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706BD" w14:textId="21D1C6EB" w:rsidR="00B83B8E" w:rsidRPr="009C53CF" w:rsidRDefault="009C53CF" w:rsidP="009C53CF">
      <w:pPr>
        <w:spacing w:line="276" w:lineRule="auto"/>
        <w:jc w:val="both"/>
        <w:rPr>
          <w:b/>
          <w:bCs/>
        </w:rPr>
      </w:pPr>
      <w:bookmarkStart w:id="0" w:name="_GoBack"/>
      <w:bookmarkEnd w:id="0"/>
      <w:r w:rsidRPr="009C53CF">
        <w:rPr>
          <w:b/>
          <w:bCs/>
        </w:rPr>
        <w:t>Apelācijas instances tiesas pienākums noskaidrot iemeslus, kāpēc apsūdzētais nav ieradies uz apelācijas instances tiesas sēdi</w:t>
      </w:r>
    </w:p>
    <w:p w14:paraId="07C8E2BE" w14:textId="40AF3D6F" w:rsidR="009C53CF" w:rsidRDefault="009C53CF" w:rsidP="009C53CF">
      <w:pPr>
        <w:spacing w:line="276" w:lineRule="auto"/>
        <w:jc w:val="both"/>
      </w:pPr>
    </w:p>
    <w:p w14:paraId="1DD49DD3" w14:textId="62C4918C" w:rsidR="009C53CF" w:rsidRDefault="009C53CF" w:rsidP="009C53CF">
      <w:pPr>
        <w:spacing w:line="276" w:lineRule="auto"/>
        <w:jc w:val="both"/>
      </w:pPr>
      <w:r w:rsidRPr="00D84B1C">
        <w:t xml:space="preserve">Lēmumu par apsūdzētā vai viņa aizstāvja apelācijas sūdzības atstāšanu bez izskatīšanas apelācijas instances tiesa var pieņemt tikai gadījumā, </w:t>
      </w:r>
      <w:r>
        <w:t>ja</w:t>
      </w:r>
      <w:r w:rsidRPr="00D84B1C">
        <w:t xml:space="preserve"> apsūdzētais nav ieradies uz tiesas sēdi bez attaisnojoša iemesla. Gadījumā, ja apsūdzētā aizstāvību nodrošina viņa izvēlēts aizstāvis, tiesai jāizvērtē, vai nav izmantojama likumā paredzētā iespēja izskatīt lietu bez apsūdzētā piedalīšanās.</w:t>
      </w:r>
    </w:p>
    <w:p w14:paraId="01C84025" w14:textId="5DFB9AB2" w:rsidR="009210E9" w:rsidRPr="00922B3F" w:rsidRDefault="009210E9" w:rsidP="00281FBF">
      <w:pPr>
        <w:spacing w:line="276" w:lineRule="auto"/>
        <w:jc w:val="right"/>
      </w:pPr>
    </w:p>
    <w:p w14:paraId="2C38182B" w14:textId="77777777" w:rsidR="007828E6" w:rsidRPr="007828E6" w:rsidRDefault="00281FBF" w:rsidP="009210E9">
      <w:pPr>
        <w:spacing w:line="276" w:lineRule="auto"/>
        <w:jc w:val="center"/>
        <w:rPr>
          <w:b/>
        </w:rPr>
      </w:pPr>
      <w:r w:rsidRPr="007828E6">
        <w:rPr>
          <w:b/>
        </w:rPr>
        <w:t>Latvijas Republikas Senāta</w:t>
      </w:r>
      <w:r w:rsidR="007828E6" w:rsidRPr="007828E6">
        <w:rPr>
          <w:b/>
        </w:rPr>
        <w:t xml:space="preserve"> </w:t>
      </w:r>
    </w:p>
    <w:p w14:paraId="7367C1A7" w14:textId="1375E9BA" w:rsidR="00281FBF" w:rsidRPr="007828E6" w:rsidRDefault="007828E6" w:rsidP="009210E9">
      <w:pPr>
        <w:spacing w:line="276" w:lineRule="auto"/>
        <w:jc w:val="center"/>
        <w:rPr>
          <w:b/>
        </w:rPr>
      </w:pPr>
      <w:r w:rsidRPr="007828E6">
        <w:rPr>
          <w:b/>
        </w:rPr>
        <w:t>Krimināllietu departamenta</w:t>
      </w:r>
    </w:p>
    <w:p w14:paraId="47AEB506" w14:textId="77777777" w:rsidR="007828E6" w:rsidRPr="007828E6" w:rsidRDefault="007828E6" w:rsidP="009210E9">
      <w:pPr>
        <w:spacing w:line="276" w:lineRule="auto"/>
        <w:jc w:val="center"/>
        <w:rPr>
          <w:b/>
        </w:rPr>
      </w:pPr>
      <w:r w:rsidRPr="007828E6">
        <w:rPr>
          <w:b/>
        </w:rPr>
        <w:t>senatora</w:t>
      </w:r>
    </w:p>
    <w:p w14:paraId="2D944310" w14:textId="1F70DBD8" w:rsidR="007828E6" w:rsidRPr="007828E6" w:rsidRDefault="007828E6" w:rsidP="009210E9">
      <w:pPr>
        <w:spacing w:line="276" w:lineRule="auto"/>
        <w:jc w:val="center"/>
        <w:rPr>
          <w:b/>
        </w:rPr>
      </w:pPr>
      <w:proofErr w:type="gramStart"/>
      <w:r w:rsidRPr="007828E6">
        <w:rPr>
          <w:b/>
        </w:rPr>
        <w:t>2020.gada</w:t>
      </w:r>
      <w:proofErr w:type="gramEnd"/>
      <w:r w:rsidRPr="007828E6">
        <w:rPr>
          <w:b/>
        </w:rPr>
        <w:t xml:space="preserve"> 20.janvāra</w:t>
      </w:r>
    </w:p>
    <w:p w14:paraId="1F4FDA16" w14:textId="77777777" w:rsidR="007828E6" w:rsidRPr="007828E6" w:rsidRDefault="009210E9" w:rsidP="009210E9">
      <w:pPr>
        <w:spacing w:line="276" w:lineRule="auto"/>
        <w:jc w:val="center"/>
        <w:rPr>
          <w:b/>
        </w:rPr>
      </w:pPr>
      <w:r w:rsidRPr="007828E6">
        <w:rPr>
          <w:b/>
        </w:rPr>
        <w:t>LĒMUMS</w:t>
      </w:r>
      <w:r w:rsidR="007828E6" w:rsidRPr="007828E6">
        <w:rPr>
          <w:b/>
        </w:rPr>
        <w:t xml:space="preserve"> </w:t>
      </w:r>
    </w:p>
    <w:p w14:paraId="7A516F2E" w14:textId="556E39DC" w:rsidR="009210E9" w:rsidRPr="007828E6" w:rsidRDefault="007828E6" w:rsidP="009210E9">
      <w:pPr>
        <w:spacing w:line="276" w:lineRule="auto"/>
        <w:jc w:val="center"/>
        <w:rPr>
          <w:bCs/>
        </w:rPr>
      </w:pPr>
      <w:r w:rsidRPr="007828E6">
        <w:rPr>
          <w:b/>
        </w:rPr>
        <w:t>Lieta Nr. </w:t>
      </w:r>
      <w:r w:rsidRPr="007828E6">
        <w:rPr>
          <w:rFonts w:eastAsia="Calibri"/>
          <w:b/>
        </w:rPr>
        <w:t>11520071117</w:t>
      </w:r>
      <w:r w:rsidRPr="007828E6">
        <w:rPr>
          <w:b/>
        </w:rPr>
        <w:t>, SKK-120/2020</w:t>
      </w:r>
    </w:p>
    <w:p w14:paraId="00AE8BC9" w14:textId="326CD860" w:rsidR="007828E6" w:rsidRPr="007828E6" w:rsidRDefault="004A1EE6" w:rsidP="009210E9">
      <w:pPr>
        <w:spacing w:line="276" w:lineRule="auto"/>
        <w:jc w:val="center"/>
        <w:rPr>
          <w:b/>
        </w:rPr>
      </w:pPr>
      <w:hyperlink r:id="rId8" w:history="1">
        <w:r w:rsidR="007828E6" w:rsidRPr="007828E6">
          <w:rPr>
            <w:rStyle w:val="Hyperlink"/>
            <w:shd w:val="clear" w:color="auto" w:fill="FFFFFF"/>
          </w:rPr>
          <w:t>ECLI:LV:AT:2020:0120.11520071117.5.L</w:t>
        </w:r>
      </w:hyperlink>
    </w:p>
    <w:p w14:paraId="21232A35" w14:textId="3822A2AA" w:rsidR="009210E9" w:rsidRDefault="009210E9" w:rsidP="009210E9">
      <w:pPr>
        <w:spacing w:line="276" w:lineRule="auto"/>
        <w:jc w:val="center"/>
      </w:pPr>
    </w:p>
    <w:p w14:paraId="5D16EC6C" w14:textId="77777777" w:rsidR="009210E9" w:rsidRDefault="009210E9" w:rsidP="009210E9">
      <w:pPr>
        <w:spacing w:line="276" w:lineRule="auto"/>
        <w:jc w:val="center"/>
      </w:pPr>
    </w:p>
    <w:p w14:paraId="5378DBC7" w14:textId="55E85086" w:rsidR="00F44255" w:rsidRDefault="00F44255" w:rsidP="00F44255">
      <w:pPr>
        <w:spacing w:line="276" w:lineRule="auto"/>
        <w:ind w:firstLine="709"/>
        <w:jc w:val="both"/>
      </w:pPr>
      <w:r>
        <w:t xml:space="preserve">Augstākās tiesas Krimināllietu departamenta senators Artūrs Freibergs izlēma rakstveida procesā apsūdzētā </w:t>
      </w:r>
      <w:proofErr w:type="gramStart"/>
      <w:r w:rsidR="009B0B9A">
        <w:t>[</w:t>
      </w:r>
      <w:proofErr w:type="gramEnd"/>
      <w:r w:rsidR="009B0B9A">
        <w:t>pers. A]</w:t>
      </w:r>
      <w:r w:rsidR="008113D7">
        <w:t xml:space="preserve"> aizstāves Baibas Didrihsones</w:t>
      </w:r>
      <w:r w:rsidR="004C1913">
        <w:t xml:space="preserve"> </w:t>
      </w:r>
      <w:r>
        <w:t xml:space="preserve">sūdzību par </w:t>
      </w:r>
      <w:r w:rsidR="008113D7">
        <w:t xml:space="preserve">Rīgas </w:t>
      </w:r>
      <w:r>
        <w:t xml:space="preserve">apgabaltiesas </w:t>
      </w:r>
      <w:proofErr w:type="gramStart"/>
      <w:r>
        <w:t>2019.gada</w:t>
      </w:r>
      <w:proofErr w:type="gramEnd"/>
      <w:r>
        <w:t xml:space="preserve"> </w:t>
      </w:r>
      <w:r w:rsidR="008113D7">
        <w:t>19.novembra</w:t>
      </w:r>
      <w:r>
        <w:t xml:space="preserve"> lēmumu. </w:t>
      </w:r>
    </w:p>
    <w:p w14:paraId="5E943463" w14:textId="77777777" w:rsidR="008113D7" w:rsidRPr="009713C3" w:rsidRDefault="008113D7" w:rsidP="00F44255">
      <w:pPr>
        <w:spacing w:line="276" w:lineRule="auto"/>
        <w:ind w:firstLine="709"/>
        <w:jc w:val="both"/>
      </w:pPr>
    </w:p>
    <w:p w14:paraId="76AAA4A9" w14:textId="77777777" w:rsidR="00B135BD" w:rsidRPr="008A5055" w:rsidRDefault="00B135BD" w:rsidP="00B135BD">
      <w:pPr>
        <w:spacing w:line="276" w:lineRule="auto"/>
        <w:jc w:val="center"/>
        <w:rPr>
          <w:b/>
        </w:rPr>
      </w:pPr>
      <w:r w:rsidRPr="008A5055">
        <w:rPr>
          <w:b/>
        </w:rPr>
        <w:t>Aprakstošā daļa</w:t>
      </w:r>
    </w:p>
    <w:p w14:paraId="0B7BDA6A" w14:textId="77777777" w:rsidR="00B135BD" w:rsidRPr="009713C3" w:rsidRDefault="00B135BD" w:rsidP="00B135BD">
      <w:pPr>
        <w:spacing w:line="276" w:lineRule="auto"/>
        <w:jc w:val="center"/>
      </w:pPr>
    </w:p>
    <w:p w14:paraId="2976C118" w14:textId="054509A1" w:rsidR="00B641C5" w:rsidRDefault="00961902" w:rsidP="009B0B9A">
      <w:pPr>
        <w:spacing w:line="276" w:lineRule="auto"/>
        <w:ind w:firstLine="709"/>
        <w:jc w:val="both"/>
      </w:pPr>
      <w:r w:rsidRPr="00627676">
        <w:t>[1] </w:t>
      </w:r>
      <w:r w:rsidR="000774AF" w:rsidRPr="00627676">
        <w:t>Apsūdzēt</w:t>
      </w:r>
      <w:r w:rsidR="00F04A6E" w:rsidRPr="00627676">
        <w:t xml:space="preserve">ā </w:t>
      </w:r>
      <w:r w:rsidR="009B0B9A">
        <w:t>[pers. A]</w:t>
      </w:r>
      <w:r w:rsidR="00F04A6E" w:rsidRPr="00627676">
        <w:t xml:space="preserve"> aizstāve B. Didrihsone</w:t>
      </w:r>
      <w:r w:rsidR="000774AF" w:rsidRPr="00627676">
        <w:t xml:space="preserve"> iesnie</w:t>
      </w:r>
      <w:r w:rsidR="00F04A6E" w:rsidRPr="00627676">
        <w:t>gusi</w:t>
      </w:r>
      <w:r w:rsidR="000774AF" w:rsidRPr="00627676">
        <w:t xml:space="preserve"> sūdzību </w:t>
      </w:r>
      <w:r w:rsidRPr="00627676">
        <w:t>p</w:t>
      </w:r>
      <w:r w:rsidR="000774AF" w:rsidRPr="00627676">
        <w:t>ar</w:t>
      </w:r>
      <w:r w:rsidR="004C1913" w:rsidRPr="00627676">
        <w:t xml:space="preserve"> </w:t>
      </w:r>
      <w:r w:rsidR="00627676" w:rsidRPr="00627676">
        <w:t xml:space="preserve">Rīgas </w:t>
      </w:r>
      <w:r w:rsidR="000774AF" w:rsidRPr="00627676">
        <w:t xml:space="preserve">apgabaltiesas </w:t>
      </w:r>
      <w:proofErr w:type="gramStart"/>
      <w:r w:rsidR="000774AF" w:rsidRPr="00627676">
        <w:t>2019.gada</w:t>
      </w:r>
      <w:proofErr w:type="gramEnd"/>
      <w:r w:rsidR="000774AF" w:rsidRPr="00627676">
        <w:t xml:space="preserve"> </w:t>
      </w:r>
      <w:r w:rsidR="00627676" w:rsidRPr="00627676">
        <w:t>19.novembra</w:t>
      </w:r>
      <w:r w:rsidR="000774AF" w:rsidRPr="00627676">
        <w:t xml:space="preserve"> lēmumu, ar kuru </w:t>
      </w:r>
      <w:r w:rsidR="00627676" w:rsidRPr="00627676">
        <w:t xml:space="preserve">atstāta bez izskatīšanas </w:t>
      </w:r>
      <w:r w:rsidR="009B0B9A">
        <w:t>[pers. A]</w:t>
      </w:r>
      <w:r w:rsidR="00627676" w:rsidRPr="00627676">
        <w:t xml:space="preserve"> aizstāves B. Didrihsones apelācijas sūdzība par Rīgas pilsētas Pārdaugavas tiesas </w:t>
      </w:r>
      <w:proofErr w:type="gramStart"/>
      <w:r w:rsidR="00627676" w:rsidRPr="00627676">
        <w:t>2019.gada</w:t>
      </w:r>
      <w:proofErr w:type="gramEnd"/>
      <w:r w:rsidR="00627676" w:rsidRPr="00627676">
        <w:t xml:space="preserve"> 3.maija spriedumu. </w:t>
      </w:r>
    </w:p>
    <w:p w14:paraId="4BDA6C1E" w14:textId="77777777" w:rsidR="00715F66" w:rsidRPr="00911F55" w:rsidRDefault="000774AF" w:rsidP="00715F66">
      <w:pPr>
        <w:spacing w:line="276" w:lineRule="auto"/>
        <w:ind w:firstLine="709"/>
        <w:jc w:val="both"/>
      </w:pPr>
      <w:r w:rsidRPr="00911F55">
        <w:t xml:space="preserve">Sūdzībā </w:t>
      </w:r>
      <w:r w:rsidR="00627676" w:rsidRPr="00911F55">
        <w:t>aizstāve</w:t>
      </w:r>
      <w:r w:rsidRPr="00911F55">
        <w:t xml:space="preserve"> </w:t>
      </w:r>
      <w:r w:rsidR="00B641C5">
        <w:t>lūdz atcelt apelācijas instances tiesas lēmumu un taisīt jaunu nolēmumu lietā,</w:t>
      </w:r>
      <w:r w:rsidR="00B641C5" w:rsidRPr="00911F55">
        <w:t xml:space="preserve"> </w:t>
      </w:r>
      <w:r w:rsidR="00B641C5">
        <w:t>norādot</w:t>
      </w:r>
      <w:r w:rsidRPr="00911F55">
        <w:t>, ka</w:t>
      </w:r>
      <w:r w:rsidR="002A7091" w:rsidRPr="00911F55">
        <w:t xml:space="preserve"> </w:t>
      </w:r>
      <w:r w:rsidR="000D314E" w:rsidRPr="00911F55">
        <w:t xml:space="preserve">tiesas lēmums ir prettiesisks, jo tiesas rīcībā nebija pierādījumu par to, ka apsūdzētais uz tiesas sēdi nav ieradies bez attaisnojoša iemesla. </w:t>
      </w:r>
    </w:p>
    <w:p w14:paraId="15728FCC" w14:textId="77777777" w:rsidR="00585D51" w:rsidRDefault="00715F66" w:rsidP="00922B3F">
      <w:pPr>
        <w:spacing w:line="276" w:lineRule="auto"/>
        <w:ind w:firstLine="709"/>
        <w:jc w:val="both"/>
      </w:pPr>
      <w:r w:rsidRPr="00911F55">
        <w:t>Izskatot līdzīgu gadījumu, Eiropas Cilvēktiesību tiesa ir konstatējusi, ka iesniedzēja pārstāvja iesniegtās apelācijas sūdzības atstāšana bez izskatīšanas ir Eiropas Cilvēka tiesību un pamatbrīvību aizsardzības konvencijas 6.pankta 1.p</w:t>
      </w:r>
      <w:r w:rsidR="00911F55" w:rsidRPr="00911F55">
        <w:t>unktā</w:t>
      </w:r>
      <w:r w:rsidRPr="00911F55">
        <w:t xml:space="preserve"> un 3.punkta „c” apakšpunktā minēto tiesību pārkāpums (</w:t>
      </w:r>
      <w:r w:rsidRPr="00911F55">
        <w:rPr>
          <w:i/>
        </w:rPr>
        <w:t xml:space="preserve">Eiropas Cilvēktiesību tiesas </w:t>
      </w:r>
      <w:proofErr w:type="gramStart"/>
      <w:r w:rsidRPr="00911F55">
        <w:rPr>
          <w:i/>
        </w:rPr>
        <w:t>2017.gada</w:t>
      </w:r>
      <w:proofErr w:type="gramEnd"/>
      <w:r w:rsidRPr="00911F55">
        <w:rPr>
          <w:i/>
        </w:rPr>
        <w:t xml:space="preserve"> 15.jūnija spriedums lietā </w:t>
      </w:r>
      <w:proofErr w:type="spellStart"/>
      <w:r w:rsidRPr="00911F55">
        <w:rPr>
          <w:i/>
        </w:rPr>
        <w:t>Frolovs</w:t>
      </w:r>
      <w:proofErr w:type="spellEnd"/>
      <w:r w:rsidRPr="00911F55">
        <w:rPr>
          <w:i/>
        </w:rPr>
        <w:t xml:space="preserve"> pret Latviju, iesnieguma Nr. 13289/06</w:t>
      </w:r>
      <w:r w:rsidRPr="00911F55">
        <w:t>)</w:t>
      </w:r>
      <w:r w:rsidR="00911F55" w:rsidRPr="00911F55">
        <w:t>.</w:t>
      </w:r>
    </w:p>
    <w:p w14:paraId="670330DE" w14:textId="77777777" w:rsidR="00922B3F" w:rsidRPr="009713C3" w:rsidRDefault="00922B3F" w:rsidP="00922B3F">
      <w:pPr>
        <w:spacing w:line="276" w:lineRule="auto"/>
        <w:ind w:firstLine="709"/>
        <w:jc w:val="both"/>
      </w:pPr>
    </w:p>
    <w:p w14:paraId="0076917D" w14:textId="77777777" w:rsidR="00B135BD" w:rsidRDefault="00B135BD" w:rsidP="00B135BD">
      <w:pPr>
        <w:spacing w:line="276" w:lineRule="auto"/>
        <w:jc w:val="center"/>
        <w:rPr>
          <w:b/>
        </w:rPr>
      </w:pPr>
      <w:r w:rsidRPr="00AC1154">
        <w:rPr>
          <w:b/>
        </w:rPr>
        <w:t>Motīvu daļa</w:t>
      </w:r>
    </w:p>
    <w:p w14:paraId="5FB81DE8" w14:textId="77777777" w:rsidR="00183ECD" w:rsidRPr="009713C3" w:rsidRDefault="00183ECD" w:rsidP="00B135BD">
      <w:pPr>
        <w:spacing w:line="276" w:lineRule="auto"/>
        <w:jc w:val="center"/>
      </w:pPr>
    </w:p>
    <w:p w14:paraId="356041A6" w14:textId="77777777" w:rsidR="00EF691A" w:rsidRDefault="00961902" w:rsidP="000B4EE1">
      <w:pPr>
        <w:spacing w:line="276" w:lineRule="auto"/>
        <w:ind w:firstLine="709"/>
        <w:jc w:val="both"/>
      </w:pPr>
      <w:r>
        <w:t>[2] </w:t>
      </w:r>
      <w:r w:rsidR="003D4851">
        <w:t xml:space="preserve">Augstākās tiesas senators atzīst, ka </w:t>
      </w:r>
      <w:r w:rsidR="008113D7">
        <w:t>Rīgas</w:t>
      </w:r>
      <w:r w:rsidR="003D4851">
        <w:t xml:space="preserve"> apgabaltiesas </w:t>
      </w:r>
      <w:proofErr w:type="gramStart"/>
      <w:r w:rsidR="003D4851">
        <w:t>2019.gada</w:t>
      </w:r>
      <w:proofErr w:type="gramEnd"/>
      <w:r w:rsidR="003D4851">
        <w:t xml:space="preserve"> </w:t>
      </w:r>
      <w:r w:rsidR="008113D7">
        <w:t>19.novembra</w:t>
      </w:r>
      <w:r w:rsidR="003D4851">
        <w:t xml:space="preserve"> lēmums </w:t>
      </w:r>
      <w:r w:rsidR="008113D7">
        <w:t>atceļams un lieta nosūtāma jaunai izskatīšanai</w:t>
      </w:r>
      <w:r w:rsidR="000D251B">
        <w:t xml:space="preserve"> apelācijas kārtībā</w:t>
      </w:r>
      <w:r w:rsidR="008113D7">
        <w:t xml:space="preserve"> Rīgas apgabaltiesai. </w:t>
      </w:r>
    </w:p>
    <w:p w14:paraId="48C33F9E" w14:textId="77777777" w:rsidR="00961902" w:rsidRDefault="00961902" w:rsidP="000B4EE1">
      <w:pPr>
        <w:spacing w:line="276" w:lineRule="auto"/>
        <w:ind w:firstLine="709"/>
        <w:jc w:val="both"/>
      </w:pPr>
    </w:p>
    <w:p w14:paraId="056C60BA" w14:textId="77777777" w:rsidR="008113D7" w:rsidRDefault="00961902" w:rsidP="008113D7">
      <w:pPr>
        <w:spacing w:line="276" w:lineRule="auto"/>
        <w:ind w:firstLine="709"/>
        <w:jc w:val="both"/>
      </w:pPr>
      <w:r>
        <w:t>[3] </w:t>
      </w:r>
      <w:r w:rsidR="008113D7">
        <w:t>Kriminālprocesa likuma 560.panta trešā daļa noteic, j</w:t>
      </w:r>
      <w:r w:rsidR="008113D7" w:rsidRPr="008113D7">
        <w:t xml:space="preserve">a persona, kura iesniegusi apelācijas sūdzību vai protestu, neierodas uz tiesas sēdi bez attaisnojoša iemesla, tās sūdzību vai protestu var atstāt bez izskatīšanas. Ja apsūdzētais neierodas uz tiesas sēdi bez attaisnojoša iemesla, bez izskatīšanas var atstāt arī apelācijas sūdzību, kuru iesniedzis viņa aizstāvis. Ja aizstāvis neierodas uz tiesas sēdi bez attaisnojoša iemesla, viņa sūdzību izskata, ja to uztur </w:t>
      </w:r>
      <w:r w:rsidR="008113D7" w:rsidRPr="008113D7">
        <w:lastRenderedPageBreak/>
        <w:t>apsūdzētais. Lēmumu par sūdzības vai protesta atstāšanu bez izskatīšanas 10 dienu laikā var pārsūdzēt Augstākajā tiesā, kuras lēmums nav pārsūdzams.</w:t>
      </w:r>
    </w:p>
    <w:p w14:paraId="29C76842" w14:textId="77777777" w:rsidR="008113D7" w:rsidRDefault="000D251B" w:rsidP="008113D7">
      <w:pPr>
        <w:spacing w:line="276" w:lineRule="auto"/>
        <w:ind w:firstLine="709"/>
        <w:jc w:val="both"/>
      </w:pPr>
      <w:r>
        <w:t>Minētā</w:t>
      </w:r>
      <w:r w:rsidR="008113D7">
        <w:t xml:space="preserve"> normas redakcija ir spēkā no </w:t>
      </w:r>
      <w:proofErr w:type="gramStart"/>
      <w:r w:rsidR="008113D7">
        <w:t>2016.gada</w:t>
      </w:r>
      <w:proofErr w:type="gramEnd"/>
      <w:r w:rsidR="008113D7">
        <w:t xml:space="preserve"> 23.marta, </w:t>
      </w:r>
      <w:r w:rsidR="00585D51">
        <w:t>jo</w:t>
      </w:r>
      <w:r w:rsidR="008113D7">
        <w:t xml:space="preserve"> likumdevējs ar 2016.gada 18.februāra likumu „Grozījumi Kriminālprocesa likumā” Kriminālprocesa likuma 560.panta trešās daļas pirmajā un otrajā teikumā vārdu „atstāj” aizstāja ar vārdiem „var atstāt”. </w:t>
      </w:r>
    </w:p>
    <w:p w14:paraId="61F777A7" w14:textId="77777777" w:rsidR="00157554" w:rsidRDefault="008113D7" w:rsidP="000D251B">
      <w:pPr>
        <w:spacing w:line="276" w:lineRule="auto"/>
        <w:ind w:firstLine="709"/>
        <w:jc w:val="both"/>
      </w:pPr>
      <w:r>
        <w:t xml:space="preserve">Tieslietu ministrijas </w:t>
      </w:r>
      <w:proofErr w:type="gramStart"/>
      <w:r>
        <w:t>2015.gada</w:t>
      </w:r>
      <w:proofErr w:type="gramEnd"/>
      <w:r>
        <w:t xml:space="preserve"> 14.</w:t>
      </w:r>
      <w:r w:rsidR="000D251B">
        <w:t>oktobra</w:t>
      </w:r>
      <w:r>
        <w:t xml:space="preserve"> vēstulē „Par priekšlikumu iesniegšanu likumprojektam „Grozījumi Kriminālprocesa likumā”” izklāstīts pamatojums minētajiem grozījumiem. Vēstulē norādīts, ka gadījumos, kad kāda no </w:t>
      </w:r>
      <w:r w:rsidR="000D251B">
        <w:t>personām bez attaisnojoša iemesl</w:t>
      </w:r>
      <w:r>
        <w:t xml:space="preserve">a neierodas uz tiesas sēdi, tiesa var konstatēt līdzīgus apstākļus, kas minēti Kriminālprocesa likuma </w:t>
      </w:r>
      <w:proofErr w:type="gramStart"/>
      <w:r>
        <w:t>556.panta</w:t>
      </w:r>
      <w:proofErr w:type="gramEnd"/>
      <w:r>
        <w:t xml:space="preserve"> piektās daļas 2.punktā, un kas nosaka gadījumus, kad apelācijas sūdzības atsaukums tiesai nav saistošs </w:t>
      </w:r>
      <w:r w:rsidR="00157554">
        <w:t>–</w:t>
      </w:r>
      <w:r>
        <w:t xml:space="preserve"> </w:t>
      </w:r>
      <w:r w:rsidR="00157554">
        <w:t>apelācija</w:t>
      </w:r>
      <w:r w:rsidR="00585D51">
        <w:t>s instances tiesa konstatē acīm</w:t>
      </w:r>
      <w:r w:rsidR="00157554">
        <w:t>redzamu Krimināllikuma vai Kriminālprocesa likuma pārkāpumu, kura dēļ pārsūdzētais nolēmums atceļams vai grozāms, lai samazinātu apsūdzības apjomu, mīkstinātu sodu vai izbeigtu lietu.</w:t>
      </w:r>
      <w:r w:rsidR="000D251B">
        <w:t xml:space="preserve"> </w:t>
      </w:r>
      <w:r w:rsidR="00157554">
        <w:t xml:space="preserve">Priekšlikums ir saistīts arī ar Kriminālprocesa likuma 464.pantā un Kriminālprocesa likuma 465.pantā paredzēto kārtību, kas nosaka gadījumus, kad lietas iztiesāšana ir iespējama bez apsūdzētā piedalīšanās. </w:t>
      </w:r>
    </w:p>
    <w:p w14:paraId="6DB62D0A" w14:textId="77777777" w:rsidR="00157554" w:rsidRPr="00B641C5" w:rsidRDefault="00963658" w:rsidP="008113D7">
      <w:pPr>
        <w:spacing w:line="276" w:lineRule="auto"/>
        <w:ind w:firstLine="709"/>
        <w:jc w:val="both"/>
      </w:pPr>
      <w:r>
        <w:t xml:space="preserve">Kriminālprocesa likuma </w:t>
      </w:r>
      <w:proofErr w:type="gramStart"/>
      <w:r>
        <w:t>12.panta</w:t>
      </w:r>
      <w:proofErr w:type="gramEnd"/>
      <w:r>
        <w:t xml:space="preserve"> pirmā daļa noteic, ka k</w:t>
      </w:r>
      <w:r w:rsidRPr="00963658">
        <w:t xml:space="preserve">riminālprocesu veic, ievērojot </w:t>
      </w:r>
      <w:r w:rsidRPr="00B641C5">
        <w:t>starptautiski atzītās cilvēktiesības un nepieļaujot neattaisnotu kriminālprocesuālo pienākumu uzlikšanu vai nesamērīgu iejaukšanos personas dzīvē.</w:t>
      </w:r>
    </w:p>
    <w:p w14:paraId="00EABDA4" w14:textId="77777777" w:rsidR="00963658" w:rsidRDefault="00963658" w:rsidP="008113D7">
      <w:pPr>
        <w:spacing w:line="276" w:lineRule="auto"/>
        <w:ind w:firstLine="709"/>
        <w:jc w:val="both"/>
      </w:pPr>
      <w:r w:rsidRPr="00B641C5">
        <w:t xml:space="preserve">Lai nodrošinātu Eiropas Cilvēka tiesību un pamatbrīvību aizsardzības konvencijas </w:t>
      </w:r>
      <w:proofErr w:type="gramStart"/>
      <w:r w:rsidRPr="00B641C5">
        <w:t>6.panta</w:t>
      </w:r>
      <w:proofErr w:type="gramEnd"/>
      <w:r w:rsidRPr="00B641C5">
        <w:t xml:space="preserve"> </w:t>
      </w:r>
      <w:r w:rsidR="00715F66" w:rsidRPr="00B641C5">
        <w:t>1.punkt</w:t>
      </w:r>
      <w:r w:rsidR="00B641C5">
        <w:t>ā</w:t>
      </w:r>
      <w:r w:rsidR="00715F66" w:rsidRPr="00B641C5">
        <w:t xml:space="preserve"> un 3.punkt</w:t>
      </w:r>
      <w:r w:rsidR="00B641C5">
        <w:t>a</w:t>
      </w:r>
      <w:r w:rsidRPr="00B641C5">
        <w:t xml:space="preserve"> „c” apakšpunktā definētās tiesības uz lietas taisnīgu izskatīšanu, jāievēro Eiropas Cilvēktiesību tiesas</w:t>
      </w:r>
      <w:r w:rsidR="00B641C5">
        <w:t xml:space="preserve"> sniegtā</w:t>
      </w:r>
      <w:r w:rsidRPr="00B641C5">
        <w:t xml:space="preserve"> tiesību uz taisnīgu tiesu interpretācija, piemēram, 2017.</w:t>
      </w:r>
      <w:r w:rsidR="00B641C5">
        <w:t>gada 15.jūnija spriedumā</w:t>
      </w:r>
      <w:r w:rsidR="00715F66" w:rsidRPr="00B641C5">
        <w:t xml:space="preserve"> lietā </w:t>
      </w:r>
      <w:proofErr w:type="spellStart"/>
      <w:r w:rsidRPr="00B641C5">
        <w:rPr>
          <w:i/>
        </w:rPr>
        <w:t>Frolovs</w:t>
      </w:r>
      <w:proofErr w:type="spellEnd"/>
      <w:r w:rsidRPr="00B641C5">
        <w:rPr>
          <w:i/>
        </w:rPr>
        <w:t xml:space="preserve"> </w:t>
      </w:r>
      <w:r w:rsidR="00715F66" w:rsidRPr="00B641C5">
        <w:rPr>
          <w:i/>
        </w:rPr>
        <w:t>pret</w:t>
      </w:r>
      <w:r w:rsidRPr="00B641C5">
        <w:rPr>
          <w:i/>
        </w:rPr>
        <w:t xml:space="preserve"> </w:t>
      </w:r>
      <w:r w:rsidRPr="00715F66">
        <w:rPr>
          <w:i/>
        </w:rPr>
        <w:t>Latv</w:t>
      </w:r>
      <w:r w:rsidR="00715F66">
        <w:rPr>
          <w:i/>
        </w:rPr>
        <w:t>iju</w:t>
      </w:r>
      <w:r>
        <w:t xml:space="preserve"> sniegtās atziņas. </w:t>
      </w:r>
    </w:p>
    <w:p w14:paraId="4879EA5C" w14:textId="77777777" w:rsidR="00963658" w:rsidRDefault="00963658" w:rsidP="008113D7">
      <w:pPr>
        <w:spacing w:line="276" w:lineRule="auto"/>
        <w:ind w:firstLine="709"/>
        <w:jc w:val="both"/>
      </w:pPr>
      <w:r>
        <w:t>Lai nodrošinātu tiesību uz taisnīgu tiesu ievērošanu, tiesai</w:t>
      </w:r>
      <w:r w:rsidR="0098234A">
        <w:t xml:space="preserve"> </w:t>
      </w:r>
      <w:r>
        <w:t>ir pienākums noskaidrot, kāpēc apsūdzēt</w:t>
      </w:r>
      <w:r w:rsidR="0098234A">
        <w:t>ais nav ieradies uz tiesas sēdi. G</w:t>
      </w:r>
      <w:r>
        <w:t xml:space="preserve">adījumā, ja apsūdzētā aizstāvību nodrošina viņa izvēlēts aizstāvis, </w:t>
      </w:r>
      <w:r w:rsidR="0098234A">
        <w:t xml:space="preserve">tiesai jāizvērtē vai nav izmantojama likumā paredzētā iespēja izskatīt lietu bez apsūdzētā </w:t>
      </w:r>
      <w:r>
        <w:t xml:space="preserve">piedalīšanās. </w:t>
      </w:r>
    </w:p>
    <w:p w14:paraId="0820A497" w14:textId="6C2579D1" w:rsidR="00963658" w:rsidRDefault="005532C2" w:rsidP="008113D7">
      <w:pPr>
        <w:spacing w:line="276" w:lineRule="auto"/>
        <w:ind w:firstLine="709"/>
        <w:jc w:val="both"/>
      </w:pPr>
      <w:r>
        <w:t xml:space="preserve">Tādējādi apelācijas instances tiesai pirms lēmuma pieņemšanas atstāt apsūdzētā </w:t>
      </w:r>
      <w:r w:rsidR="009B0B9A">
        <w:t>[per</w:t>
      </w:r>
      <w:r w:rsidR="00C9343F">
        <w:t>s. </w:t>
      </w:r>
      <w:r w:rsidR="009B0B9A">
        <w:t>A]</w:t>
      </w:r>
      <w:r>
        <w:t xml:space="preserve"> </w:t>
      </w:r>
      <w:proofErr w:type="gramStart"/>
      <w:r>
        <w:t>aizstāves B. Didrihsones apelācijas sūdzību bez izskatīšanas</w:t>
      </w:r>
      <w:proofErr w:type="gramEnd"/>
      <w:r>
        <w:t xml:space="preserve"> ar lietā nodibinātajiem faktiem bija jākonstatē, ka apsūdzētais </w:t>
      </w:r>
      <w:r w:rsidR="009B0B9A">
        <w:t>[pers. A]</w:t>
      </w:r>
      <w:r>
        <w:t xml:space="preserve"> nav ieradies uz tiesas sēdi neattaisnojošu iemeslu dēļ. </w:t>
      </w:r>
    </w:p>
    <w:p w14:paraId="6756F9A3" w14:textId="77777777" w:rsidR="005532C2" w:rsidRPr="00014623" w:rsidRDefault="005532C2" w:rsidP="008113D7">
      <w:pPr>
        <w:spacing w:line="276" w:lineRule="auto"/>
        <w:ind w:firstLine="709"/>
        <w:jc w:val="both"/>
      </w:pPr>
      <w:r>
        <w:t xml:space="preserve">No Rīgas apgabaltiesas </w:t>
      </w:r>
      <w:proofErr w:type="gramStart"/>
      <w:r>
        <w:t>2019.gada</w:t>
      </w:r>
      <w:proofErr w:type="gramEnd"/>
      <w:r>
        <w:t xml:space="preserve"> 1</w:t>
      </w:r>
      <w:r w:rsidR="000D251B">
        <w:t>9</w:t>
      </w:r>
      <w:r>
        <w:t xml:space="preserve">.novembra lēmuma redzams, ka tiesa tikai konstatēja faktu, ka apsūdzētais nav ieradies, bet neierašanās iemeslus neskaidroja. </w:t>
      </w:r>
      <w:r w:rsidR="00D1452D">
        <w:t xml:space="preserve">Tiesa </w:t>
      </w:r>
      <w:r w:rsidR="00D1452D" w:rsidRPr="00014623">
        <w:t xml:space="preserve">lēmumā nav sniegusi pamatojumu, kādēļ izvēlēta iespēja apelācijas sūdzību atstāt bez izskatīšanas. </w:t>
      </w:r>
    </w:p>
    <w:p w14:paraId="0EB3D8AE" w14:textId="621E19C3" w:rsidR="00D1452D" w:rsidRPr="00014623" w:rsidRDefault="00D1452D" w:rsidP="00200A70">
      <w:pPr>
        <w:spacing w:line="276" w:lineRule="auto"/>
        <w:ind w:firstLine="709"/>
        <w:jc w:val="both"/>
      </w:pPr>
      <w:r w:rsidRPr="00014623">
        <w:t xml:space="preserve">Augstākās tiesas senators konstatē, ka apelācijas instances tiesas lēmums nav atzīstams par tiesisku un pamatotu, jo tiesa nav izvērtējusi vai lietā nav tādu acīmredzamu </w:t>
      </w:r>
      <w:r w:rsidR="00014623" w:rsidRPr="00014623">
        <w:t xml:space="preserve">šķēršļu sūdzības atstāšanai bez izskatīšanas, kas minēti Kriminālprocesa likuma </w:t>
      </w:r>
      <w:proofErr w:type="gramStart"/>
      <w:r w:rsidR="00014623" w:rsidRPr="00014623">
        <w:t>556.panta</w:t>
      </w:r>
      <w:proofErr w:type="gramEnd"/>
      <w:r w:rsidR="00014623" w:rsidRPr="00014623">
        <w:t xml:space="preserve"> piektās daļas 2.punktā, kā arī tiesa nav noskaidrojusi vai apsūdzētais </w:t>
      </w:r>
      <w:r w:rsidR="00200A70">
        <w:t>[pers. A]</w:t>
      </w:r>
      <w:r w:rsidR="00014623" w:rsidRPr="00014623">
        <w:t xml:space="preserve"> ir atteicies no savām tiesībām uz lietas izskatīšanu apelācijas instances tiesā. </w:t>
      </w:r>
    </w:p>
    <w:p w14:paraId="248C455B" w14:textId="77777777" w:rsidR="008113D7" w:rsidRPr="00014623" w:rsidRDefault="00014623" w:rsidP="008113D7">
      <w:pPr>
        <w:spacing w:line="276" w:lineRule="auto"/>
        <w:ind w:firstLine="709"/>
        <w:jc w:val="both"/>
      </w:pPr>
      <w:r w:rsidRPr="00014623">
        <w:t xml:space="preserve">Augstākās tiesas senators atzīst, ka Rīgas apgabaltiesa pieļāvusi Kriminālprocesa likuma </w:t>
      </w:r>
      <w:proofErr w:type="gramStart"/>
      <w:r w:rsidRPr="00014623">
        <w:t>12.panta</w:t>
      </w:r>
      <w:proofErr w:type="gramEnd"/>
      <w:r w:rsidRPr="00014623">
        <w:t xml:space="preserve"> pirmās daļas, 511.panta otrās daļas pārkāpumu, kas atzīstam</w:t>
      </w:r>
      <w:r w:rsidR="00B641C5">
        <w:t>s</w:t>
      </w:r>
      <w:r w:rsidRPr="00014623">
        <w:t xml:space="preserve"> par Kriminālprocesa likuma būtisku pārkāpumu un ir pamats lēmuma atcelšanai.</w:t>
      </w:r>
    </w:p>
    <w:p w14:paraId="344D8C1A" w14:textId="77777777" w:rsidR="000B0D20" w:rsidRPr="00585D51" w:rsidRDefault="000B0D20" w:rsidP="008113D7">
      <w:pPr>
        <w:spacing w:line="276" w:lineRule="auto"/>
        <w:ind w:firstLine="709"/>
        <w:jc w:val="both"/>
        <w:rPr>
          <w:sz w:val="22"/>
          <w:szCs w:val="22"/>
        </w:rPr>
      </w:pPr>
    </w:p>
    <w:p w14:paraId="1E048555" w14:textId="77777777" w:rsidR="00B135BD" w:rsidRPr="00014623" w:rsidRDefault="0023725E" w:rsidP="0023725E">
      <w:pPr>
        <w:spacing w:line="276" w:lineRule="auto"/>
        <w:jc w:val="center"/>
        <w:rPr>
          <w:rFonts w:eastAsia="Calibri"/>
          <w:b/>
          <w:sz w:val="22"/>
        </w:rPr>
      </w:pPr>
      <w:r w:rsidRPr="00014623">
        <w:rPr>
          <w:rFonts w:eastAsia="Calibri"/>
          <w:b/>
        </w:rPr>
        <w:t>R</w:t>
      </w:r>
      <w:r w:rsidR="00B135BD" w:rsidRPr="00014623">
        <w:rPr>
          <w:rFonts w:eastAsia="Calibri"/>
          <w:b/>
        </w:rPr>
        <w:t>ezolutīvā daļa</w:t>
      </w:r>
    </w:p>
    <w:p w14:paraId="2E7BD716" w14:textId="77777777" w:rsidR="00B135BD" w:rsidRPr="00585D51" w:rsidRDefault="00B135BD" w:rsidP="00B135BD">
      <w:pPr>
        <w:spacing w:line="276" w:lineRule="auto"/>
        <w:jc w:val="both"/>
        <w:rPr>
          <w:rFonts w:eastAsia="Calibri"/>
          <w:sz w:val="22"/>
          <w:szCs w:val="22"/>
        </w:rPr>
      </w:pPr>
    </w:p>
    <w:p w14:paraId="5FF72C39" w14:textId="77777777" w:rsidR="00B135BD" w:rsidRPr="00AC1154" w:rsidRDefault="00B135BD" w:rsidP="00B135BD">
      <w:pPr>
        <w:spacing w:line="276" w:lineRule="auto"/>
        <w:ind w:firstLine="720"/>
        <w:jc w:val="both"/>
        <w:rPr>
          <w:rFonts w:eastAsia="Calibri"/>
        </w:rPr>
      </w:pPr>
      <w:r w:rsidRPr="00AC1154">
        <w:rPr>
          <w:rFonts w:eastAsia="Calibri"/>
        </w:rPr>
        <w:t xml:space="preserve">Pamatojoties uz </w:t>
      </w:r>
      <w:r w:rsidR="004B1771">
        <w:rPr>
          <w:rFonts w:eastAsia="Calibri"/>
        </w:rPr>
        <w:t>Kriminālprocesa likuma 582.panta otro daļu</w:t>
      </w:r>
      <w:r w:rsidRPr="00AC1154">
        <w:rPr>
          <w:rFonts w:eastAsia="Calibri"/>
        </w:rPr>
        <w:t xml:space="preserve">, </w:t>
      </w:r>
      <w:r w:rsidR="00FA63A7">
        <w:rPr>
          <w:rFonts w:eastAsia="Calibri"/>
        </w:rPr>
        <w:t>senators</w:t>
      </w:r>
    </w:p>
    <w:p w14:paraId="2868809E" w14:textId="77777777" w:rsidR="00B641C5" w:rsidRPr="009713C3" w:rsidRDefault="00B641C5" w:rsidP="00B135BD">
      <w:pPr>
        <w:spacing w:line="276" w:lineRule="auto"/>
        <w:ind w:firstLine="720"/>
        <w:jc w:val="both"/>
        <w:rPr>
          <w:rFonts w:eastAsia="Calibri"/>
        </w:rPr>
      </w:pPr>
    </w:p>
    <w:p w14:paraId="4C1AF52E" w14:textId="77777777" w:rsidR="00B135BD" w:rsidRDefault="00B135BD" w:rsidP="00B135BD">
      <w:pPr>
        <w:spacing w:line="276" w:lineRule="auto"/>
        <w:jc w:val="center"/>
        <w:rPr>
          <w:rFonts w:eastAsia="Calibri"/>
          <w:b/>
        </w:rPr>
      </w:pPr>
      <w:r w:rsidRPr="00AC1154">
        <w:rPr>
          <w:rFonts w:eastAsia="Calibri"/>
          <w:b/>
        </w:rPr>
        <w:lastRenderedPageBreak/>
        <w:t>nolēma:</w:t>
      </w:r>
    </w:p>
    <w:p w14:paraId="413CC000" w14:textId="77777777" w:rsidR="00BF5F75" w:rsidRPr="009713C3" w:rsidRDefault="00585D51" w:rsidP="00585D51">
      <w:pPr>
        <w:tabs>
          <w:tab w:val="left" w:pos="5513"/>
        </w:tabs>
        <w:spacing w:line="276" w:lineRule="auto"/>
        <w:jc w:val="both"/>
        <w:rPr>
          <w:rFonts w:eastAsia="Calibri"/>
          <w:sz w:val="22"/>
          <w:szCs w:val="22"/>
        </w:rPr>
      </w:pPr>
      <w:r>
        <w:rPr>
          <w:rFonts w:eastAsia="Calibri"/>
        </w:rPr>
        <w:tab/>
      </w:r>
    </w:p>
    <w:p w14:paraId="529E951E" w14:textId="77777777" w:rsidR="001C7EC1" w:rsidRPr="00585D51" w:rsidRDefault="00014623" w:rsidP="00585D51">
      <w:pPr>
        <w:spacing w:line="276" w:lineRule="auto"/>
        <w:ind w:firstLine="705"/>
        <w:jc w:val="both"/>
        <w:rPr>
          <w:rFonts w:eastAsiaTheme="minorHAnsi"/>
          <w:bCs/>
        </w:rPr>
      </w:pPr>
      <w:r>
        <w:rPr>
          <w:rFonts w:eastAsiaTheme="minorHAnsi"/>
          <w:bCs/>
        </w:rPr>
        <w:t>atcelt Rīgas</w:t>
      </w:r>
      <w:r w:rsidR="004B1771">
        <w:rPr>
          <w:rFonts w:eastAsiaTheme="minorHAnsi"/>
          <w:bCs/>
        </w:rPr>
        <w:t xml:space="preserve"> apgabaltiesas</w:t>
      </w:r>
      <w:r w:rsidR="00BF5F75">
        <w:rPr>
          <w:rFonts w:eastAsiaTheme="minorHAnsi"/>
          <w:bCs/>
        </w:rPr>
        <w:t xml:space="preserve"> </w:t>
      </w:r>
      <w:proofErr w:type="gramStart"/>
      <w:r>
        <w:rPr>
          <w:rFonts w:eastAsiaTheme="minorHAnsi"/>
          <w:bCs/>
        </w:rPr>
        <w:t>2019</w:t>
      </w:r>
      <w:r w:rsidR="00BF5F75">
        <w:rPr>
          <w:rFonts w:eastAsiaTheme="minorHAnsi"/>
          <w:bCs/>
        </w:rPr>
        <w:t>.gada</w:t>
      </w:r>
      <w:proofErr w:type="gramEnd"/>
      <w:r w:rsidR="00BF5F75">
        <w:rPr>
          <w:rFonts w:eastAsiaTheme="minorHAnsi"/>
          <w:bCs/>
        </w:rPr>
        <w:t xml:space="preserve"> </w:t>
      </w:r>
      <w:r>
        <w:rPr>
          <w:rFonts w:eastAsiaTheme="minorHAnsi"/>
          <w:bCs/>
        </w:rPr>
        <w:t>19.novembra</w:t>
      </w:r>
      <w:r w:rsidR="00F03F99">
        <w:rPr>
          <w:rFonts w:eastAsiaTheme="minorHAnsi"/>
          <w:bCs/>
        </w:rPr>
        <w:t xml:space="preserve"> </w:t>
      </w:r>
      <w:r w:rsidR="004C45BB">
        <w:rPr>
          <w:rFonts w:eastAsiaTheme="minorHAnsi"/>
          <w:bCs/>
        </w:rPr>
        <w:t>lēmumu</w:t>
      </w:r>
      <w:r w:rsidR="008D18A3">
        <w:rPr>
          <w:rFonts w:eastAsiaTheme="minorHAnsi"/>
          <w:bCs/>
        </w:rPr>
        <w:t xml:space="preserve"> </w:t>
      </w:r>
      <w:r>
        <w:rPr>
          <w:rFonts w:eastAsiaTheme="minorHAnsi"/>
          <w:bCs/>
        </w:rPr>
        <w:t>un nosūtīt lietu izskatīšanai apelācijas kārtībā Rīgas apgabaltiesā.</w:t>
      </w:r>
    </w:p>
    <w:p w14:paraId="2EBC91A2" w14:textId="677C8208" w:rsidR="00B135BD" w:rsidRPr="00B85194" w:rsidRDefault="00B135BD" w:rsidP="00B85194">
      <w:pPr>
        <w:spacing w:line="276" w:lineRule="auto"/>
        <w:ind w:firstLine="705"/>
        <w:jc w:val="both"/>
        <w:rPr>
          <w:rFonts w:eastAsia="Calibri"/>
          <w:vanish/>
        </w:rPr>
      </w:pPr>
      <w:r w:rsidRPr="009D190C">
        <w:rPr>
          <w:rFonts w:eastAsia="Calibri"/>
        </w:rPr>
        <w:t xml:space="preserve">Lēmums nav pārsūdzams. </w:t>
      </w:r>
    </w:p>
    <w:sectPr w:rsidR="00B135BD" w:rsidRPr="00B85194" w:rsidSect="00AF336A">
      <w:footerReference w:type="even" r:id="rId9"/>
      <w:footerReference w:type="default" r:id="rId10"/>
      <w:pgSz w:w="11906" w:h="16838"/>
      <w:pgMar w:top="851" w:right="1134" w:bottom="993" w:left="1701" w:header="709"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383A6" w14:textId="77777777" w:rsidR="00423CC9" w:rsidRDefault="00423CC9">
      <w:r>
        <w:separator/>
      </w:r>
    </w:p>
  </w:endnote>
  <w:endnote w:type="continuationSeparator" w:id="0">
    <w:p w14:paraId="153C7642" w14:textId="77777777" w:rsidR="00423CC9" w:rsidRDefault="0042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25AA2" w14:textId="77777777" w:rsidR="00423CC9" w:rsidRDefault="00423CC9" w:rsidP="00D33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11EBCBE0" w14:textId="77777777" w:rsidR="00423CC9" w:rsidRDefault="00423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743937"/>
      <w:docPartObj>
        <w:docPartGallery w:val="Page Numbers (Bottom of Page)"/>
        <w:docPartUnique/>
      </w:docPartObj>
    </w:sdtPr>
    <w:sdtEndPr/>
    <w:sdtContent>
      <w:p w14:paraId="769102CB" w14:textId="77777777" w:rsidR="00423CC9" w:rsidRDefault="004A1EE6" w:rsidP="00B70068">
        <w:pPr>
          <w:pStyle w:val="Footer"/>
          <w:jc w:val="center"/>
        </w:pPr>
        <w:sdt>
          <w:sdtPr>
            <w:id w:val="1327635864"/>
            <w:docPartObj>
              <w:docPartGallery w:val="Page Numbers (Top of Page)"/>
              <w:docPartUnique/>
            </w:docPartObj>
          </w:sdtPr>
          <w:sdtEndPr/>
          <w:sdtContent>
            <w:r w:rsidR="00423CC9" w:rsidRPr="00EA176A">
              <w:rPr>
                <w:bCs/>
              </w:rPr>
              <w:fldChar w:fldCharType="begin"/>
            </w:r>
            <w:r w:rsidR="00423CC9" w:rsidRPr="00EA176A">
              <w:rPr>
                <w:bCs/>
              </w:rPr>
              <w:instrText xml:space="preserve"> PAGE </w:instrText>
            </w:r>
            <w:r w:rsidR="00423CC9" w:rsidRPr="00EA176A">
              <w:rPr>
                <w:bCs/>
              </w:rPr>
              <w:fldChar w:fldCharType="separate"/>
            </w:r>
            <w:r w:rsidR="00B83B8E">
              <w:rPr>
                <w:bCs/>
                <w:noProof/>
              </w:rPr>
              <w:t>1</w:t>
            </w:r>
            <w:r w:rsidR="00423CC9" w:rsidRPr="00EA176A">
              <w:rPr>
                <w:bCs/>
              </w:rPr>
              <w:fldChar w:fldCharType="end"/>
            </w:r>
            <w:r w:rsidR="00423CC9" w:rsidRPr="00EA176A">
              <w:t xml:space="preserve"> no </w:t>
            </w:r>
            <w:r w:rsidR="00423CC9" w:rsidRPr="00EA176A">
              <w:rPr>
                <w:bCs/>
              </w:rPr>
              <w:fldChar w:fldCharType="begin"/>
            </w:r>
            <w:r w:rsidR="00423CC9" w:rsidRPr="00EA176A">
              <w:rPr>
                <w:bCs/>
              </w:rPr>
              <w:instrText xml:space="preserve"> NUMPAGES  </w:instrText>
            </w:r>
            <w:r w:rsidR="00423CC9" w:rsidRPr="00EA176A">
              <w:rPr>
                <w:bCs/>
              </w:rPr>
              <w:fldChar w:fldCharType="separate"/>
            </w:r>
            <w:r w:rsidR="00B83B8E">
              <w:rPr>
                <w:bCs/>
                <w:noProof/>
              </w:rPr>
              <w:t>2</w:t>
            </w:r>
            <w:r w:rsidR="00423CC9" w:rsidRPr="00EA176A">
              <w:rPr>
                <w:bCs/>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BD171" w14:textId="77777777" w:rsidR="00423CC9" w:rsidRDefault="00423CC9">
      <w:r>
        <w:separator/>
      </w:r>
    </w:p>
  </w:footnote>
  <w:footnote w:type="continuationSeparator" w:id="0">
    <w:p w14:paraId="2FE46862" w14:textId="77777777" w:rsidR="00423CC9" w:rsidRDefault="00423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A3640"/>
    <w:multiLevelType w:val="hybridMultilevel"/>
    <w:tmpl w:val="8872EA50"/>
    <w:lvl w:ilvl="0" w:tplc="2A1E05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BD"/>
    <w:rsid w:val="00014623"/>
    <w:rsid w:val="00023A9D"/>
    <w:rsid w:val="00026D07"/>
    <w:rsid w:val="00032F0A"/>
    <w:rsid w:val="00034AAD"/>
    <w:rsid w:val="00037679"/>
    <w:rsid w:val="00052BB7"/>
    <w:rsid w:val="00066627"/>
    <w:rsid w:val="00072DAA"/>
    <w:rsid w:val="00074ABD"/>
    <w:rsid w:val="000774AF"/>
    <w:rsid w:val="00082038"/>
    <w:rsid w:val="00093006"/>
    <w:rsid w:val="000931B5"/>
    <w:rsid w:val="000A45C0"/>
    <w:rsid w:val="000B0D20"/>
    <w:rsid w:val="000B4EE1"/>
    <w:rsid w:val="000C71ED"/>
    <w:rsid w:val="000D251B"/>
    <w:rsid w:val="000D314E"/>
    <w:rsid w:val="000D3579"/>
    <w:rsid w:val="000E13FD"/>
    <w:rsid w:val="000E20B4"/>
    <w:rsid w:val="00101710"/>
    <w:rsid w:val="00117817"/>
    <w:rsid w:val="0013067C"/>
    <w:rsid w:val="00132182"/>
    <w:rsid w:val="00134968"/>
    <w:rsid w:val="00147B21"/>
    <w:rsid w:val="0015685E"/>
    <w:rsid w:val="00157554"/>
    <w:rsid w:val="00175D94"/>
    <w:rsid w:val="00183ECD"/>
    <w:rsid w:val="001853BB"/>
    <w:rsid w:val="00197BDC"/>
    <w:rsid w:val="001A1088"/>
    <w:rsid w:val="001B1990"/>
    <w:rsid w:val="001B74E9"/>
    <w:rsid w:val="001C7EC1"/>
    <w:rsid w:val="001F051F"/>
    <w:rsid w:val="001F0CF3"/>
    <w:rsid w:val="00200A70"/>
    <w:rsid w:val="00205031"/>
    <w:rsid w:val="00205BCB"/>
    <w:rsid w:val="002154F4"/>
    <w:rsid w:val="00215B55"/>
    <w:rsid w:val="00222D7D"/>
    <w:rsid w:val="00230A8F"/>
    <w:rsid w:val="00232340"/>
    <w:rsid w:val="0023725E"/>
    <w:rsid w:val="0026033C"/>
    <w:rsid w:val="00267506"/>
    <w:rsid w:val="00270D95"/>
    <w:rsid w:val="00277A02"/>
    <w:rsid w:val="00281FBF"/>
    <w:rsid w:val="002A7091"/>
    <w:rsid w:val="002B6AE1"/>
    <w:rsid w:val="002C28F7"/>
    <w:rsid w:val="002C5AA4"/>
    <w:rsid w:val="002C6879"/>
    <w:rsid w:val="002D4129"/>
    <w:rsid w:val="002D515D"/>
    <w:rsid w:val="00320542"/>
    <w:rsid w:val="0032071E"/>
    <w:rsid w:val="003305DC"/>
    <w:rsid w:val="00334212"/>
    <w:rsid w:val="0033500B"/>
    <w:rsid w:val="0033759D"/>
    <w:rsid w:val="00340D6A"/>
    <w:rsid w:val="00342465"/>
    <w:rsid w:val="00351BD0"/>
    <w:rsid w:val="00355E9E"/>
    <w:rsid w:val="0036120C"/>
    <w:rsid w:val="0036523E"/>
    <w:rsid w:val="00376EBD"/>
    <w:rsid w:val="0038770E"/>
    <w:rsid w:val="00390281"/>
    <w:rsid w:val="00394285"/>
    <w:rsid w:val="00396601"/>
    <w:rsid w:val="003A2938"/>
    <w:rsid w:val="003B2610"/>
    <w:rsid w:val="003C234F"/>
    <w:rsid w:val="003D4851"/>
    <w:rsid w:val="003D72E7"/>
    <w:rsid w:val="003D79AD"/>
    <w:rsid w:val="00401FCF"/>
    <w:rsid w:val="00405DA6"/>
    <w:rsid w:val="0041108D"/>
    <w:rsid w:val="00423CC9"/>
    <w:rsid w:val="00424DF4"/>
    <w:rsid w:val="004253B9"/>
    <w:rsid w:val="00432BDB"/>
    <w:rsid w:val="00436BC4"/>
    <w:rsid w:val="00441D31"/>
    <w:rsid w:val="00443C6F"/>
    <w:rsid w:val="00444697"/>
    <w:rsid w:val="00444A1C"/>
    <w:rsid w:val="00456AD1"/>
    <w:rsid w:val="0045708E"/>
    <w:rsid w:val="00461873"/>
    <w:rsid w:val="00493059"/>
    <w:rsid w:val="0049524C"/>
    <w:rsid w:val="004A1EE6"/>
    <w:rsid w:val="004B1771"/>
    <w:rsid w:val="004B274E"/>
    <w:rsid w:val="004C1913"/>
    <w:rsid w:val="004C45BB"/>
    <w:rsid w:val="004D314A"/>
    <w:rsid w:val="004D6B03"/>
    <w:rsid w:val="004D6BFA"/>
    <w:rsid w:val="0050676F"/>
    <w:rsid w:val="00512603"/>
    <w:rsid w:val="00516D43"/>
    <w:rsid w:val="005237F3"/>
    <w:rsid w:val="00530718"/>
    <w:rsid w:val="00540BD7"/>
    <w:rsid w:val="005532C2"/>
    <w:rsid w:val="0055657F"/>
    <w:rsid w:val="0055771B"/>
    <w:rsid w:val="00557BB2"/>
    <w:rsid w:val="00584E00"/>
    <w:rsid w:val="00585D51"/>
    <w:rsid w:val="005C3E2B"/>
    <w:rsid w:val="005D3AFE"/>
    <w:rsid w:val="005D54B6"/>
    <w:rsid w:val="005E3143"/>
    <w:rsid w:val="005E57A9"/>
    <w:rsid w:val="005F148C"/>
    <w:rsid w:val="005F54AD"/>
    <w:rsid w:val="00600732"/>
    <w:rsid w:val="00605560"/>
    <w:rsid w:val="00610990"/>
    <w:rsid w:val="006136E3"/>
    <w:rsid w:val="006156FC"/>
    <w:rsid w:val="00617EE9"/>
    <w:rsid w:val="00627676"/>
    <w:rsid w:val="0063307C"/>
    <w:rsid w:val="0063379A"/>
    <w:rsid w:val="00635649"/>
    <w:rsid w:val="00643A6A"/>
    <w:rsid w:val="00650783"/>
    <w:rsid w:val="006655B5"/>
    <w:rsid w:val="00670C86"/>
    <w:rsid w:val="00671540"/>
    <w:rsid w:val="0067365C"/>
    <w:rsid w:val="006743B6"/>
    <w:rsid w:val="00675057"/>
    <w:rsid w:val="00677ED8"/>
    <w:rsid w:val="006909A5"/>
    <w:rsid w:val="00695A90"/>
    <w:rsid w:val="00696382"/>
    <w:rsid w:val="006A5FDD"/>
    <w:rsid w:val="006B73AA"/>
    <w:rsid w:val="006E00C4"/>
    <w:rsid w:val="006E15E2"/>
    <w:rsid w:val="006E1E89"/>
    <w:rsid w:val="006E3BA8"/>
    <w:rsid w:val="006F14AB"/>
    <w:rsid w:val="006F56FD"/>
    <w:rsid w:val="007013C1"/>
    <w:rsid w:val="00702490"/>
    <w:rsid w:val="00702E73"/>
    <w:rsid w:val="00706809"/>
    <w:rsid w:val="00710E3E"/>
    <w:rsid w:val="00712E3E"/>
    <w:rsid w:val="007135F2"/>
    <w:rsid w:val="007156C1"/>
    <w:rsid w:val="00715F66"/>
    <w:rsid w:val="00734799"/>
    <w:rsid w:val="0074239C"/>
    <w:rsid w:val="00744B95"/>
    <w:rsid w:val="00755241"/>
    <w:rsid w:val="00757EF0"/>
    <w:rsid w:val="007615EB"/>
    <w:rsid w:val="00766903"/>
    <w:rsid w:val="00771775"/>
    <w:rsid w:val="007828E6"/>
    <w:rsid w:val="00782F83"/>
    <w:rsid w:val="00783B7F"/>
    <w:rsid w:val="007A0873"/>
    <w:rsid w:val="007B3E53"/>
    <w:rsid w:val="007B4115"/>
    <w:rsid w:val="007B41ED"/>
    <w:rsid w:val="007D0746"/>
    <w:rsid w:val="007D2F67"/>
    <w:rsid w:val="007E0523"/>
    <w:rsid w:val="007E1DF6"/>
    <w:rsid w:val="007E593A"/>
    <w:rsid w:val="007F15FD"/>
    <w:rsid w:val="007F4FD5"/>
    <w:rsid w:val="008113D7"/>
    <w:rsid w:val="00811BCB"/>
    <w:rsid w:val="008152CB"/>
    <w:rsid w:val="008246D4"/>
    <w:rsid w:val="008266B7"/>
    <w:rsid w:val="0083223A"/>
    <w:rsid w:val="00845D6E"/>
    <w:rsid w:val="00850AD0"/>
    <w:rsid w:val="00850DDB"/>
    <w:rsid w:val="0085734C"/>
    <w:rsid w:val="00857471"/>
    <w:rsid w:val="008641AF"/>
    <w:rsid w:val="008642DD"/>
    <w:rsid w:val="00873FE7"/>
    <w:rsid w:val="008913F0"/>
    <w:rsid w:val="00893D2F"/>
    <w:rsid w:val="0089783C"/>
    <w:rsid w:val="008A0637"/>
    <w:rsid w:val="008C194F"/>
    <w:rsid w:val="008D18A3"/>
    <w:rsid w:val="008D6956"/>
    <w:rsid w:val="008E2B57"/>
    <w:rsid w:val="008F2135"/>
    <w:rsid w:val="00900557"/>
    <w:rsid w:val="00901520"/>
    <w:rsid w:val="00911F55"/>
    <w:rsid w:val="009210E9"/>
    <w:rsid w:val="00922B3F"/>
    <w:rsid w:val="0092303E"/>
    <w:rsid w:val="00931F6C"/>
    <w:rsid w:val="00933292"/>
    <w:rsid w:val="00940B33"/>
    <w:rsid w:val="009444BF"/>
    <w:rsid w:val="00947AAB"/>
    <w:rsid w:val="0095394B"/>
    <w:rsid w:val="00957F8E"/>
    <w:rsid w:val="00961902"/>
    <w:rsid w:val="00963658"/>
    <w:rsid w:val="00966520"/>
    <w:rsid w:val="009713C3"/>
    <w:rsid w:val="0098234A"/>
    <w:rsid w:val="00990916"/>
    <w:rsid w:val="009A4A38"/>
    <w:rsid w:val="009A4F28"/>
    <w:rsid w:val="009A5707"/>
    <w:rsid w:val="009B0B9A"/>
    <w:rsid w:val="009B23D9"/>
    <w:rsid w:val="009C53CF"/>
    <w:rsid w:val="009D3646"/>
    <w:rsid w:val="009D5EEE"/>
    <w:rsid w:val="009D7E9A"/>
    <w:rsid w:val="00A11B11"/>
    <w:rsid w:val="00A14752"/>
    <w:rsid w:val="00A21D7A"/>
    <w:rsid w:val="00A22D56"/>
    <w:rsid w:val="00A30EF3"/>
    <w:rsid w:val="00A42CDB"/>
    <w:rsid w:val="00A50EB2"/>
    <w:rsid w:val="00A6543C"/>
    <w:rsid w:val="00A75D4C"/>
    <w:rsid w:val="00A83D77"/>
    <w:rsid w:val="00AA5729"/>
    <w:rsid w:val="00AB4D5C"/>
    <w:rsid w:val="00AC10D5"/>
    <w:rsid w:val="00AC2606"/>
    <w:rsid w:val="00AD5CFB"/>
    <w:rsid w:val="00AE22B7"/>
    <w:rsid w:val="00AF29FC"/>
    <w:rsid w:val="00AF2C26"/>
    <w:rsid w:val="00AF336A"/>
    <w:rsid w:val="00AF36C2"/>
    <w:rsid w:val="00AF789D"/>
    <w:rsid w:val="00B10C28"/>
    <w:rsid w:val="00B135BD"/>
    <w:rsid w:val="00B13B52"/>
    <w:rsid w:val="00B17C9F"/>
    <w:rsid w:val="00B641C5"/>
    <w:rsid w:val="00B70068"/>
    <w:rsid w:val="00B83B8E"/>
    <w:rsid w:val="00B85194"/>
    <w:rsid w:val="00B865E5"/>
    <w:rsid w:val="00B92510"/>
    <w:rsid w:val="00B9443B"/>
    <w:rsid w:val="00BA21AB"/>
    <w:rsid w:val="00BB3C5F"/>
    <w:rsid w:val="00BB5600"/>
    <w:rsid w:val="00BC63C7"/>
    <w:rsid w:val="00BE5F15"/>
    <w:rsid w:val="00BF1582"/>
    <w:rsid w:val="00BF5F75"/>
    <w:rsid w:val="00BF7EA4"/>
    <w:rsid w:val="00C03E8F"/>
    <w:rsid w:val="00C14017"/>
    <w:rsid w:val="00C170DA"/>
    <w:rsid w:val="00C17C40"/>
    <w:rsid w:val="00C2160C"/>
    <w:rsid w:val="00C2595A"/>
    <w:rsid w:val="00C323F5"/>
    <w:rsid w:val="00C32462"/>
    <w:rsid w:val="00C640E6"/>
    <w:rsid w:val="00C74059"/>
    <w:rsid w:val="00C7682A"/>
    <w:rsid w:val="00C86533"/>
    <w:rsid w:val="00C93370"/>
    <w:rsid w:val="00C9343F"/>
    <w:rsid w:val="00C95438"/>
    <w:rsid w:val="00CA09D2"/>
    <w:rsid w:val="00CA2B34"/>
    <w:rsid w:val="00CA5038"/>
    <w:rsid w:val="00CB4175"/>
    <w:rsid w:val="00CB5405"/>
    <w:rsid w:val="00CC60C4"/>
    <w:rsid w:val="00CC7E4E"/>
    <w:rsid w:val="00CE4FC2"/>
    <w:rsid w:val="00CE6A46"/>
    <w:rsid w:val="00CF64F2"/>
    <w:rsid w:val="00D050C0"/>
    <w:rsid w:val="00D14299"/>
    <w:rsid w:val="00D14433"/>
    <w:rsid w:val="00D1452D"/>
    <w:rsid w:val="00D15D21"/>
    <w:rsid w:val="00D232BA"/>
    <w:rsid w:val="00D253CD"/>
    <w:rsid w:val="00D33265"/>
    <w:rsid w:val="00D371B7"/>
    <w:rsid w:val="00D41423"/>
    <w:rsid w:val="00D430C5"/>
    <w:rsid w:val="00D5251B"/>
    <w:rsid w:val="00D57631"/>
    <w:rsid w:val="00D57C83"/>
    <w:rsid w:val="00D61503"/>
    <w:rsid w:val="00D62EB6"/>
    <w:rsid w:val="00D633BE"/>
    <w:rsid w:val="00D66D75"/>
    <w:rsid w:val="00D67D98"/>
    <w:rsid w:val="00D71FF7"/>
    <w:rsid w:val="00D77901"/>
    <w:rsid w:val="00D83E3F"/>
    <w:rsid w:val="00D83E8E"/>
    <w:rsid w:val="00D936F8"/>
    <w:rsid w:val="00DA444A"/>
    <w:rsid w:val="00DA524F"/>
    <w:rsid w:val="00DC1CA2"/>
    <w:rsid w:val="00DC3B2A"/>
    <w:rsid w:val="00DC449B"/>
    <w:rsid w:val="00DC6B33"/>
    <w:rsid w:val="00DE5F48"/>
    <w:rsid w:val="00DF1486"/>
    <w:rsid w:val="00E07523"/>
    <w:rsid w:val="00E23BBD"/>
    <w:rsid w:val="00E44524"/>
    <w:rsid w:val="00E466BE"/>
    <w:rsid w:val="00E60FD6"/>
    <w:rsid w:val="00E62E26"/>
    <w:rsid w:val="00E80D61"/>
    <w:rsid w:val="00E821FD"/>
    <w:rsid w:val="00E82801"/>
    <w:rsid w:val="00E90321"/>
    <w:rsid w:val="00EA018F"/>
    <w:rsid w:val="00EA5441"/>
    <w:rsid w:val="00EC0A71"/>
    <w:rsid w:val="00EC4F4E"/>
    <w:rsid w:val="00ED6873"/>
    <w:rsid w:val="00EF5F83"/>
    <w:rsid w:val="00EF6170"/>
    <w:rsid w:val="00EF691A"/>
    <w:rsid w:val="00EF759C"/>
    <w:rsid w:val="00F010E1"/>
    <w:rsid w:val="00F03F99"/>
    <w:rsid w:val="00F04A6E"/>
    <w:rsid w:val="00F075EE"/>
    <w:rsid w:val="00F208BF"/>
    <w:rsid w:val="00F21DCE"/>
    <w:rsid w:val="00F273D0"/>
    <w:rsid w:val="00F325A7"/>
    <w:rsid w:val="00F35EC1"/>
    <w:rsid w:val="00F44255"/>
    <w:rsid w:val="00F46457"/>
    <w:rsid w:val="00F5441D"/>
    <w:rsid w:val="00F5649D"/>
    <w:rsid w:val="00F56A6D"/>
    <w:rsid w:val="00F716F0"/>
    <w:rsid w:val="00F746BD"/>
    <w:rsid w:val="00F759E9"/>
    <w:rsid w:val="00F90033"/>
    <w:rsid w:val="00F95B3E"/>
    <w:rsid w:val="00FA1FB5"/>
    <w:rsid w:val="00FA4D6F"/>
    <w:rsid w:val="00FA5F39"/>
    <w:rsid w:val="00FA63A7"/>
    <w:rsid w:val="00FB39BD"/>
    <w:rsid w:val="00FB44B4"/>
    <w:rsid w:val="00FB60D0"/>
    <w:rsid w:val="00FC01A4"/>
    <w:rsid w:val="00FC4664"/>
    <w:rsid w:val="00FC5D6A"/>
    <w:rsid w:val="00FD06E6"/>
    <w:rsid w:val="00FD57DD"/>
    <w:rsid w:val="00FD5F15"/>
    <w:rsid w:val="00FD6632"/>
    <w:rsid w:val="00FE141C"/>
    <w:rsid w:val="00FE32AF"/>
    <w:rsid w:val="00FE36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E587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BD"/>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B135BD"/>
    <w:rPr>
      <w:rFonts w:ascii="Garamond" w:hAnsi="Garamond"/>
      <w:sz w:val="28"/>
    </w:rPr>
  </w:style>
  <w:style w:type="paragraph" w:styleId="BodyText2">
    <w:name w:val="Body Text 2"/>
    <w:basedOn w:val="Normal"/>
    <w:link w:val="BodyText2Char"/>
    <w:semiHidden/>
    <w:rsid w:val="00B135BD"/>
    <w:pPr>
      <w:jc w:val="right"/>
    </w:pPr>
    <w:rPr>
      <w:rFonts w:ascii="Garamond" w:eastAsiaTheme="minorHAnsi" w:hAnsi="Garamond" w:cstheme="minorBidi"/>
      <w:sz w:val="28"/>
    </w:rPr>
  </w:style>
  <w:style w:type="character" w:customStyle="1" w:styleId="BodyText2Char1">
    <w:name w:val="Body Text 2 Char1"/>
    <w:basedOn w:val="DefaultParagraphFont"/>
    <w:uiPriority w:val="99"/>
    <w:semiHidden/>
    <w:rsid w:val="00B135BD"/>
    <w:rPr>
      <w:rFonts w:eastAsia="Times New Roman" w:cs="Times New Roman"/>
    </w:rPr>
  </w:style>
  <w:style w:type="paragraph" w:styleId="Footer">
    <w:name w:val="footer"/>
    <w:basedOn w:val="Normal"/>
    <w:link w:val="FooterChar"/>
    <w:uiPriority w:val="99"/>
    <w:rsid w:val="00B135BD"/>
    <w:pPr>
      <w:tabs>
        <w:tab w:val="center" w:pos="4153"/>
        <w:tab w:val="right" w:pos="8306"/>
      </w:tabs>
    </w:pPr>
  </w:style>
  <w:style w:type="character" w:customStyle="1" w:styleId="FooterChar">
    <w:name w:val="Footer Char"/>
    <w:basedOn w:val="DefaultParagraphFont"/>
    <w:link w:val="Footer"/>
    <w:uiPriority w:val="99"/>
    <w:rsid w:val="00B135BD"/>
    <w:rPr>
      <w:rFonts w:eastAsia="Times New Roman" w:cs="Times New Roman"/>
    </w:rPr>
  </w:style>
  <w:style w:type="character" w:styleId="PageNumber">
    <w:name w:val="page number"/>
    <w:basedOn w:val="DefaultParagraphFont"/>
    <w:rsid w:val="00B135BD"/>
    <w:rPr>
      <w:rFonts w:cs="Times New Roman"/>
    </w:rPr>
  </w:style>
  <w:style w:type="paragraph" w:styleId="Header">
    <w:name w:val="header"/>
    <w:basedOn w:val="Normal"/>
    <w:link w:val="HeaderChar"/>
    <w:uiPriority w:val="99"/>
    <w:unhideWhenUsed/>
    <w:rsid w:val="00B135BD"/>
    <w:pPr>
      <w:tabs>
        <w:tab w:val="center" w:pos="4153"/>
        <w:tab w:val="right" w:pos="8306"/>
      </w:tabs>
    </w:pPr>
  </w:style>
  <w:style w:type="character" w:customStyle="1" w:styleId="HeaderChar">
    <w:name w:val="Header Char"/>
    <w:basedOn w:val="DefaultParagraphFont"/>
    <w:link w:val="Header"/>
    <w:uiPriority w:val="99"/>
    <w:rsid w:val="00B135BD"/>
    <w:rPr>
      <w:rFonts w:eastAsia="Times New Roman" w:cs="Times New Roman"/>
    </w:rPr>
  </w:style>
  <w:style w:type="paragraph" w:customStyle="1" w:styleId="tv213">
    <w:name w:val="tv213"/>
    <w:basedOn w:val="Normal"/>
    <w:rsid w:val="00B135BD"/>
    <w:pPr>
      <w:spacing w:before="100" w:beforeAutospacing="1" w:after="100" w:afterAutospacing="1"/>
    </w:pPr>
    <w:rPr>
      <w:lang w:eastAsia="lv-LV"/>
    </w:rPr>
  </w:style>
  <w:style w:type="character" w:styleId="Hyperlink">
    <w:name w:val="Hyperlink"/>
    <w:basedOn w:val="DefaultParagraphFont"/>
    <w:uiPriority w:val="99"/>
    <w:unhideWhenUsed/>
    <w:rsid w:val="00FC01A4"/>
    <w:rPr>
      <w:color w:val="0563C1" w:themeColor="hyperlink"/>
      <w:u w:val="single"/>
    </w:rPr>
  </w:style>
  <w:style w:type="paragraph" w:styleId="FootnoteText">
    <w:name w:val="footnote text"/>
    <w:basedOn w:val="Normal"/>
    <w:link w:val="FootnoteTextChar"/>
    <w:uiPriority w:val="99"/>
    <w:semiHidden/>
    <w:unhideWhenUsed/>
    <w:rsid w:val="0089783C"/>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78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9783C"/>
    <w:rPr>
      <w:vertAlign w:val="superscript"/>
    </w:rPr>
  </w:style>
  <w:style w:type="table" w:styleId="TableGrid">
    <w:name w:val="Table Grid"/>
    <w:basedOn w:val="TableNormal"/>
    <w:uiPriority w:val="39"/>
    <w:rsid w:val="0043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B7"/>
    <w:rPr>
      <w:rFonts w:ascii="Segoe UI" w:eastAsia="Times New Roman" w:hAnsi="Segoe UI" w:cs="Segoe UI"/>
      <w:sz w:val="18"/>
      <w:szCs w:val="18"/>
    </w:rPr>
  </w:style>
  <w:style w:type="paragraph" w:styleId="ListParagraph">
    <w:name w:val="List Paragraph"/>
    <w:basedOn w:val="Normal"/>
    <w:uiPriority w:val="34"/>
    <w:qFormat/>
    <w:rsid w:val="00C95438"/>
    <w:pPr>
      <w:ind w:left="720"/>
      <w:contextualSpacing/>
    </w:pPr>
  </w:style>
  <w:style w:type="character" w:styleId="UnresolvedMention">
    <w:name w:val="Unresolved Mention"/>
    <w:basedOn w:val="DefaultParagraphFont"/>
    <w:uiPriority w:val="99"/>
    <w:semiHidden/>
    <w:unhideWhenUsed/>
    <w:rsid w:val="00782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1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18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9E135-39BB-4EB9-8743-C38660FE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3973</Words>
  <Characters>2266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2020-02-24T13:35:00Z</dcterms:created>
  <dcterms:modified xsi:type="dcterms:W3CDTF">2020-02-24T13:35:00Z</dcterms:modified>
</cp:coreProperties>
</file>