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25157" w14:textId="77777777" w:rsidR="00DD38FE" w:rsidRDefault="00DD38FE" w:rsidP="00DD38FE">
      <w:pPr>
        <w:spacing w:line="276" w:lineRule="auto"/>
        <w:jc w:val="both"/>
      </w:pPr>
      <w:r w:rsidRPr="00C354D9">
        <w:rPr>
          <w:b/>
          <w:bCs/>
        </w:rPr>
        <w:t>Sprieduma ar tajā iekļautu nosacījumu pieļaujamība</w:t>
      </w:r>
    </w:p>
    <w:p w14:paraId="7F875FBA" w14:textId="77777777" w:rsidR="00DD38FE" w:rsidRDefault="00DD38FE" w:rsidP="00DD38FE">
      <w:pPr>
        <w:spacing w:line="276" w:lineRule="auto"/>
        <w:jc w:val="both"/>
      </w:pPr>
      <w:r>
        <w:t>Gadījumā, ja strīds tiesā ir tieši par tiesībām uz valsts pārvaldes rīcībā esošas informācijas saņemšanu, un tiesa secina, ka personai principā šādas tiesības ir, bet par to nav samaksāta valsts nodeva, lietderīgākais un saprātīgākais risinājums būtu apmierināt pieteikumu, nosakot, ka pieprasītā informācija ir izsniedzama pēc valsts nodevas samaksāšanas. Līdzīgi kā administratīvo aktu var izdot ar nosacījumu, arī spriedumā procesuālās ekonomijas nolūkā var iekļaut nosacījumu.</w:t>
      </w:r>
    </w:p>
    <w:p w14:paraId="0FFE99FE" w14:textId="13508990" w:rsidR="00DD38FE" w:rsidRDefault="00DD38FE" w:rsidP="00DD38FE">
      <w:pPr>
        <w:spacing w:line="276" w:lineRule="auto"/>
        <w:jc w:val="both"/>
        <w:rPr>
          <w:bCs/>
        </w:rPr>
      </w:pPr>
    </w:p>
    <w:p w14:paraId="72150F6D" w14:textId="77777777" w:rsidR="00DD38FE" w:rsidRDefault="00DD38FE" w:rsidP="00DD38FE">
      <w:pPr>
        <w:spacing w:line="276" w:lineRule="auto"/>
        <w:jc w:val="both"/>
        <w:rPr>
          <w:b/>
          <w:bCs/>
        </w:rPr>
      </w:pPr>
      <w:r>
        <w:rPr>
          <w:b/>
          <w:bCs/>
        </w:rPr>
        <w:t>Valsts nodevas apmēra noteikšana par informācijas izsniegšanu, ja tās apmērs strīda izskatīšanas laikā ir mainījies</w:t>
      </w:r>
    </w:p>
    <w:p w14:paraId="13BA08D2" w14:textId="4484A964" w:rsidR="00DD38FE" w:rsidRPr="00DD38FE" w:rsidRDefault="00DD38FE" w:rsidP="00DD38FE">
      <w:pPr>
        <w:spacing w:line="276" w:lineRule="auto"/>
        <w:jc w:val="both"/>
        <w:rPr>
          <w:color w:val="0000FF"/>
        </w:rPr>
      </w:pPr>
      <w:r>
        <w:t>Gadījumā, ja par informācijas izsniegšanu ir jāmaksā valsts nodeva, bet tās apmērs strīda izskatīšanas procesa laikā ir mainījies, bet tiek noskaidrots, ka personai bija tiesības saņemt informāciju jau iesnieguma iesniegšanas brīdī, ir taisnīgi, ja persona par informācijas saņemšanu maksātu valsts nodevu tādā apmērā, kāda tā bija brīdī, kad persona vērsās iestādē ar informācijas pieprasījumu. Tomēr iepriekš minētais nebūtu attiecināms uz gadījumiem, kad informācija netiek izsniegta tieši valsts nodevas nesamaksāšanas dēļ.</w:t>
      </w:r>
    </w:p>
    <w:p w14:paraId="70187EA2" w14:textId="77777777" w:rsidR="00DD38FE" w:rsidRPr="00DD38FE" w:rsidRDefault="00DD38FE" w:rsidP="00DD38FE">
      <w:pPr>
        <w:spacing w:line="276" w:lineRule="auto"/>
        <w:jc w:val="right"/>
        <w:rPr>
          <w:bCs/>
        </w:rPr>
      </w:pPr>
    </w:p>
    <w:p w14:paraId="5B96512A" w14:textId="2611B2A1" w:rsidR="006B7BBC" w:rsidRDefault="006B7BBC" w:rsidP="00C15C75">
      <w:pPr>
        <w:spacing w:line="276" w:lineRule="auto"/>
        <w:jc w:val="center"/>
        <w:rPr>
          <w:b/>
        </w:rPr>
      </w:pPr>
      <w:r w:rsidRPr="00DD38FE">
        <w:rPr>
          <w:b/>
        </w:rPr>
        <w:t>Latvijas Republikas Senāt</w:t>
      </w:r>
      <w:r w:rsidR="00DD38FE">
        <w:rPr>
          <w:b/>
        </w:rPr>
        <w:t>a</w:t>
      </w:r>
    </w:p>
    <w:p w14:paraId="4FE32A8A" w14:textId="094B3B6F" w:rsidR="00DD38FE" w:rsidRDefault="00DD38FE" w:rsidP="00C15C75">
      <w:pPr>
        <w:spacing w:line="276" w:lineRule="auto"/>
        <w:jc w:val="center"/>
        <w:rPr>
          <w:b/>
        </w:rPr>
      </w:pPr>
      <w:r>
        <w:rPr>
          <w:b/>
        </w:rPr>
        <w:t>Administratīvo lietu departamenta</w:t>
      </w:r>
    </w:p>
    <w:p w14:paraId="2633B897" w14:textId="2BA27017" w:rsidR="00DD38FE" w:rsidRPr="00DD38FE" w:rsidRDefault="00DD38FE" w:rsidP="00C15C75">
      <w:pPr>
        <w:spacing w:line="276" w:lineRule="auto"/>
        <w:jc w:val="center"/>
        <w:rPr>
          <w:b/>
        </w:rPr>
      </w:pPr>
      <w:r>
        <w:rPr>
          <w:b/>
        </w:rPr>
        <w:t>2020.gada 21.janvāra</w:t>
      </w:r>
    </w:p>
    <w:p w14:paraId="30B4B012" w14:textId="139425EA" w:rsidR="006B7BBC" w:rsidRDefault="0089619C" w:rsidP="00C15C75">
      <w:pPr>
        <w:spacing w:line="276" w:lineRule="auto"/>
        <w:jc w:val="center"/>
        <w:rPr>
          <w:b/>
        </w:rPr>
      </w:pPr>
      <w:r w:rsidRPr="00DD38FE">
        <w:rPr>
          <w:b/>
        </w:rPr>
        <w:t>SPRIEDUMS</w:t>
      </w:r>
    </w:p>
    <w:p w14:paraId="357F32F0" w14:textId="3E9753B3" w:rsidR="00DD38FE" w:rsidRDefault="00DD38FE" w:rsidP="00C15C75">
      <w:pPr>
        <w:spacing w:line="276" w:lineRule="auto"/>
        <w:jc w:val="center"/>
        <w:rPr>
          <w:b/>
        </w:rPr>
      </w:pPr>
      <w:r>
        <w:rPr>
          <w:b/>
        </w:rPr>
        <w:t>Lieta Nr. A420224915, SKA-607/2020</w:t>
      </w:r>
    </w:p>
    <w:p w14:paraId="4E72C854" w14:textId="4451832D" w:rsidR="00DD38FE" w:rsidRPr="00DD38FE" w:rsidRDefault="00DD38FE" w:rsidP="00C15C75">
      <w:pPr>
        <w:spacing w:line="276" w:lineRule="auto"/>
        <w:jc w:val="center"/>
        <w:rPr>
          <w:b/>
        </w:rPr>
      </w:pPr>
      <w:hyperlink r:id="rId7" w:history="1">
        <w:r w:rsidRPr="00DD38FE">
          <w:rPr>
            <w:rStyle w:val="Hyperlink"/>
          </w:rPr>
          <w:t>ECLI:LV:AT:2020:0121.A4</w:t>
        </w:r>
        <w:r w:rsidRPr="00DD38FE">
          <w:rPr>
            <w:rStyle w:val="Hyperlink"/>
          </w:rPr>
          <w:t>2</w:t>
        </w:r>
        <w:r w:rsidRPr="00DD38FE">
          <w:rPr>
            <w:rStyle w:val="Hyperlink"/>
          </w:rPr>
          <w:t>0224915.12.S</w:t>
        </w:r>
      </w:hyperlink>
    </w:p>
    <w:p w14:paraId="2F242BC5" w14:textId="77777777" w:rsidR="006B7BBC" w:rsidRPr="004143B4" w:rsidRDefault="006B7BBC" w:rsidP="00C15C75">
      <w:pPr>
        <w:spacing w:line="276" w:lineRule="auto"/>
        <w:ind w:firstLine="567"/>
        <w:jc w:val="both"/>
      </w:pPr>
    </w:p>
    <w:p w14:paraId="1649AD24" w14:textId="426E1090" w:rsidR="008F061E" w:rsidRPr="004143B4" w:rsidRDefault="008F061E" w:rsidP="00C15C75">
      <w:pPr>
        <w:spacing w:line="276" w:lineRule="auto"/>
        <w:ind w:firstLine="567"/>
        <w:jc w:val="both"/>
      </w:pPr>
      <w:r w:rsidRPr="004143B4">
        <w:t xml:space="preserve">Tiesa šādā sastāvā: senatores Jautrīte Briede, </w:t>
      </w:r>
      <w:r w:rsidR="007842EA" w:rsidRPr="004143B4">
        <w:t>Vēsma Kakste</w:t>
      </w:r>
      <w:r w:rsidR="003B3D1A" w:rsidRPr="004143B4">
        <w:t xml:space="preserve"> un Dace Mita</w:t>
      </w:r>
    </w:p>
    <w:p w14:paraId="3049557F" w14:textId="77777777" w:rsidR="003047F5" w:rsidRPr="004143B4" w:rsidRDefault="003047F5" w:rsidP="00C15C75">
      <w:pPr>
        <w:spacing w:line="276" w:lineRule="auto"/>
        <w:ind w:firstLine="567"/>
        <w:jc w:val="both"/>
      </w:pPr>
    </w:p>
    <w:p w14:paraId="45FEDFF2" w14:textId="139E681D" w:rsidR="003047F5" w:rsidRPr="004143B4" w:rsidRDefault="00941626" w:rsidP="00C15C75">
      <w:pPr>
        <w:spacing w:line="276" w:lineRule="auto"/>
        <w:ind w:firstLine="567"/>
        <w:jc w:val="both"/>
      </w:pPr>
      <w:r w:rsidRPr="004143B4">
        <w:t xml:space="preserve">rakstveida procesā izskatīja administratīvo lietu, kas ierosināta, </w:t>
      </w:r>
      <w:r w:rsidR="007F5C55" w:rsidRPr="004143B4">
        <w:t xml:space="preserve">pamatojoties uz </w:t>
      </w:r>
      <w:r w:rsidR="00AD0460" w:rsidRPr="004143B4">
        <w:t xml:space="preserve">biedrības </w:t>
      </w:r>
      <w:r w:rsidR="007842EA" w:rsidRPr="004143B4">
        <w:t>„Zemes reformas komiteja” pieteikum</w:t>
      </w:r>
      <w:r w:rsidR="003B3D1A" w:rsidRPr="004143B4">
        <w:t>u</w:t>
      </w:r>
      <w:r w:rsidR="007842EA" w:rsidRPr="004143B4">
        <w:t xml:space="preserve"> par Pilsonības un migrācijas lietu pārvaldes atteikuma sniegt informāciju atzīšanu par prettiesisku, kā arī par pienākuma uzlikšanu Pilsonības un migrācijas lietu pārvaldei sniegt biedrības „Zemes reformas komiteja” pieprasīto informāciju</w:t>
      </w:r>
      <w:r w:rsidR="007F5C55" w:rsidRPr="004143B4">
        <w:t xml:space="preserve">, </w:t>
      </w:r>
      <w:r w:rsidRPr="004143B4">
        <w:t>s</w:t>
      </w:r>
      <w:r w:rsidR="008570F8" w:rsidRPr="004143B4">
        <w:t>a</w:t>
      </w:r>
      <w:r w:rsidRPr="004143B4">
        <w:t xml:space="preserve">karā ar </w:t>
      </w:r>
      <w:r w:rsidR="007842EA" w:rsidRPr="004143B4">
        <w:t>pieteicējas</w:t>
      </w:r>
      <w:r w:rsidR="005F2106" w:rsidRPr="004143B4">
        <w:t xml:space="preserve"> </w:t>
      </w:r>
      <w:r w:rsidRPr="004143B4">
        <w:t xml:space="preserve">kasācijas sūdzību par </w:t>
      </w:r>
      <w:r w:rsidR="007F5C55" w:rsidRPr="004143B4">
        <w:t>Administratīvās rajona tiesas 201</w:t>
      </w:r>
      <w:r w:rsidR="007842EA" w:rsidRPr="004143B4">
        <w:t>9</w:t>
      </w:r>
      <w:r w:rsidR="007F5C55" w:rsidRPr="004143B4">
        <w:t xml:space="preserve">.gada </w:t>
      </w:r>
      <w:r w:rsidR="007842EA" w:rsidRPr="004143B4">
        <w:t>7.jūnija</w:t>
      </w:r>
      <w:r w:rsidR="007F5C55" w:rsidRPr="004143B4">
        <w:t xml:space="preserve"> spriedumu</w:t>
      </w:r>
      <w:r w:rsidRPr="004143B4">
        <w:t>.</w:t>
      </w:r>
    </w:p>
    <w:p w14:paraId="5DE22EF3" w14:textId="77777777" w:rsidR="00A6596A" w:rsidRPr="004143B4" w:rsidRDefault="00A6596A" w:rsidP="00C15C75">
      <w:pPr>
        <w:spacing w:line="276" w:lineRule="auto"/>
        <w:ind w:firstLine="567"/>
        <w:jc w:val="both"/>
      </w:pPr>
    </w:p>
    <w:p w14:paraId="49301551" w14:textId="77777777" w:rsidR="003047F5" w:rsidRPr="004143B4" w:rsidRDefault="003047F5" w:rsidP="00C15C75">
      <w:pPr>
        <w:pStyle w:val="ATpamattesksts"/>
        <w:ind w:firstLine="0"/>
        <w:jc w:val="center"/>
      </w:pPr>
      <w:r w:rsidRPr="004143B4">
        <w:rPr>
          <w:b/>
        </w:rPr>
        <w:t>Aprakstošā</w:t>
      </w:r>
      <w:r w:rsidRPr="004143B4">
        <w:t xml:space="preserve"> </w:t>
      </w:r>
      <w:r w:rsidRPr="004143B4">
        <w:rPr>
          <w:b/>
        </w:rPr>
        <w:t>daļa</w:t>
      </w:r>
    </w:p>
    <w:p w14:paraId="54AE93A0" w14:textId="77777777" w:rsidR="003047F5" w:rsidRPr="004143B4" w:rsidRDefault="003047F5" w:rsidP="00C15C75">
      <w:pPr>
        <w:spacing w:line="276" w:lineRule="auto"/>
        <w:ind w:firstLine="567"/>
        <w:jc w:val="both"/>
      </w:pPr>
    </w:p>
    <w:p w14:paraId="1C673FF0" w14:textId="0222E924" w:rsidR="005F2106" w:rsidRPr="004143B4" w:rsidRDefault="003047F5" w:rsidP="00C15C75">
      <w:pPr>
        <w:spacing w:line="276" w:lineRule="auto"/>
        <w:ind w:firstLine="567"/>
        <w:jc w:val="both"/>
      </w:pPr>
      <w:r w:rsidRPr="004143B4">
        <w:t>[1] </w:t>
      </w:r>
      <w:r w:rsidR="007842EA" w:rsidRPr="004143B4">
        <w:t>Pieteicēja biedrība „Zemes reformas komiteja” 2015.gada 13.februārī vērsās Pilsonības un migrācijas lietu pārvaldē</w:t>
      </w:r>
      <w:r w:rsidR="00D45B63" w:rsidRPr="004143B4">
        <w:t xml:space="preserve"> (turpmāk</w:t>
      </w:r>
      <w:r w:rsidR="007842EA" w:rsidRPr="004143B4">
        <w:t xml:space="preserve"> – pārvalde), lūdzot sniegt informāciju par bijušo un esošo Ministru kabineta locekļu vārdu, uzvārdu, personas kodu, deklarēto dzīvesvietu un deklarācijā norādīto papildu adresi, bet, ja tādas nav, – dzīvesvietu. Iesniegumā norādīts, ka minētie dati pieteicējai nepieciešami, lai vērstos tiesā pret minētajām personām ar prasības pieteikumu par zaudējumu atlīdzināšanu</w:t>
      </w:r>
      <w:r w:rsidR="005F2106" w:rsidRPr="004143B4">
        <w:t xml:space="preserve">. </w:t>
      </w:r>
    </w:p>
    <w:p w14:paraId="1465732A" w14:textId="794C557F" w:rsidR="00F9001A" w:rsidRPr="004143B4" w:rsidRDefault="00F9001A" w:rsidP="00C15C75">
      <w:pPr>
        <w:spacing w:line="276" w:lineRule="auto"/>
        <w:ind w:firstLine="567"/>
        <w:jc w:val="both"/>
      </w:pPr>
      <w:r w:rsidRPr="004143B4">
        <w:t>Pārvalde atteicās izsniegt pieprasīto informāciju.</w:t>
      </w:r>
    </w:p>
    <w:p w14:paraId="48623ABD" w14:textId="4BC1F63D" w:rsidR="003047F5" w:rsidRPr="004143B4" w:rsidRDefault="002F5E6D" w:rsidP="00C15C75">
      <w:pPr>
        <w:spacing w:line="276" w:lineRule="auto"/>
        <w:ind w:firstLine="567"/>
        <w:jc w:val="both"/>
      </w:pPr>
      <w:r w:rsidRPr="004143B4">
        <w:t xml:space="preserve">Biedrība </w:t>
      </w:r>
      <w:r w:rsidR="000B7895" w:rsidRPr="004143B4">
        <w:t xml:space="preserve">vērsās </w:t>
      </w:r>
      <w:r w:rsidR="00EA7BF6" w:rsidRPr="004143B4">
        <w:t xml:space="preserve">tiesā </w:t>
      </w:r>
      <w:r w:rsidR="000B7895" w:rsidRPr="004143B4">
        <w:t>ar</w:t>
      </w:r>
      <w:r w:rsidR="007F5C55" w:rsidRPr="004143B4">
        <w:t xml:space="preserve"> pieteikum</w:t>
      </w:r>
      <w:r w:rsidR="000B7895" w:rsidRPr="004143B4">
        <w:t>u</w:t>
      </w:r>
      <w:r w:rsidR="007F5C55" w:rsidRPr="004143B4">
        <w:t xml:space="preserve">. </w:t>
      </w:r>
    </w:p>
    <w:p w14:paraId="7B7447C9" w14:textId="77777777" w:rsidR="003047F5" w:rsidRPr="004143B4" w:rsidRDefault="003047F5" w:rsidP="00C15C75">
      <w:pPr>
        <w:spacing w:line="276" w:lineRule="auto"/>
        <w:ind w:firstLine="567"/>
        <w:jc w:val="both"/>
      </w:pPr>
    </w:p>
    <w:p w14:paraId="41191EB8" w14:textId="0625DE6B" w:rsidR="00BD505F" w:rsidRPr="004143B4" w:rsidRDefault="003047F5" w:rsidP="00C15C75">
      <w:pPr>
        <w:spacing w:line="276" w:lineRule="auto"/>
        <w:ind w:firstLine="567"/>
        <w:jc w:val="both"/>
      </w:pPr>
      <w:r w:rsidRPr="004143B4">
        <w:t>[2] </w:t>
      </w:r>
      <w:r w:rsidR="00BD505F" w:rsidRPr="004143B4">
        <w:t>Administratīvā rajona tiesa pieteikumu apmierināja</w:t>
      </w:r>
      <w:r w:rsidR="00F9001A" w:rsidRPr="004143B4">
        <w:t xml:space="preserve"> daļā</w:t>
      </w:r>
      <w:r w:rsidR="00BD505F" w:rsidRPr="004143B4">
        <w:t xml:space="preserve">. </w:t>
      </w:r>
      <w:r w:rsidR="00F9001A" w:rsidRPr="004143B4">
        <w:t>Tiesa atzina par prettiesisku</w:t>
      </w:r>
      <w:r w:rsidR="005427DC" w:rsidRPr="004143B4">
        <w:t xml:space="preserve"> pārvaldes rīcību, ar kuru atteikts izsniegt pieprasīto informāciju, bet noraidīja pieteikumu daļā </w:t>
      </w:r>
      <w:r w:rsidR="005427DC" w:rsidRPr="004143B4">
        <w:lastRenderedPageBreak/>
        <w:t xml:space="preserve">par pienākuma uzlikšanu informāciju izsniegt. </w:t>
      </w:r>
      <w:r w:rsidR="007F5C55" w:rsidRPr="004143B4">
        <w:t>Tiesa</w:t>
      </w:r>
      <w:r w:rsidR="005427DC" w:rsidRPr="004143B4">
        <w:t xml:space="preserve">s spriedums noraidītajā daļā pamatots ar to, ka tiesību normas </w:t>
      </w:r>
      <w:r w:rsidR="00192FE5" w:rsidRPr="004143B4">
        <w:t xml:space="preserve">paredz </w:t>
      </w:r>
      <w:r w:rsidR="0099008E" w:rsidRPr="004143B4">
        <w:t xml:space="preserve">valsts nodevu </w:t>
      </w:r>
      <w:r w:rsidR="00192FE5" w:rsidRPr="004143B4">
        <w:t>par informācijas saņemšanu.</w:t>
      </w:r>
      <w:r w:rsidR="005427DC" w:rsidRPr="004143B4">
        <w:t xml:space="preserve"> </w:t>
      </w:r>
      <w:r w:rsidR="00192FE5" w:rsidRPr="004143B4">
        <w:t>Tā kā p</w:t>
      </w:r>
      <w:r w:rsidR="005427DC" w:rsidRPr="004143B4">
        <w:t xml:space="preserve">ieteicēja nav samaksājusi </w:t>
      </w:r>
      <w:r w:rsidR="00192FE5" w:rsidRPr="004143B4">
        <w:t xml:space="preserve">šo </w:t>
      </w:r>
      <w:r w:rsidR="005427DC" w:rsidRPr="004143B4">
        <w:t>nodevu</w:t>
      </w:r>
      <w:r w:rsidR="00192FE5" w:rsidRPr="004143B4">
        <w:t xml:space="preserve">, </w:t>
      </w:r>
      <w:r w:rsidR="005427DC" w:rsidRPr="004143B4">
        <w:t xml:space="preserve">nav izpildījies obligātais priekšnosacījums informācijas izsniegšanai. </w:t>
      </w:r>
    </w:p>
    <w:p w14:paraId="7D4ECC2D" w14:textId="77777777" w:rsidR="00E532E6" w:rsidRPr="004143B4" w:rsidRDefault="00E532E6" w:rsidP="00C15C75">
      <w:pPr>
        <w:spacing w:line="276" w:lineRule="auto"/>
        <w:ind w:firstLine="567"/>
        <w:jc w:val="both"/>
      </w:pPr>
    </w:p>
    <w:p w14:paraId="25F4AE8D" w14:textId="14556333" w:rsidR="00192FE5" w:rsidRPr="004143B4" w:rsidRDefault="003047F5" w:rsidP="00C15C75">
      <w:pPr>
        <w:pStyle w:val="ATpamatteksts"/>
        <w:rPr>
          <w:lang w:val="lv-LV"/>
        </w:rPr>
      </w:pPr>
      <w:r w:rsidRPr="004143B4">
        <w:rPr>
          <w:lang w:val="lv-LV"/>
        </w:rPr>
        <w:t>[</w:t>
      </w:r>
      <w:r w:rsidR="006B7BBC" w:rsidRPr="004143B4">
        <w:rPr>
          <w:lang w:val="lv-LV"/>
        </w:rPr>
        <w:t>3</w:t>
      </w:r>
      <w:r w:rsidRPr="004143B4">
        <w:rPr>
          <w:lang w:val="lv-LV"/>
        </w:rPr>
        <w:t>] </w:t>
      </w:r>
      <w:r w:rsidR="005427DC" w:rsidRPr="004143B4">
        <w:rPr>
          <w:lang w:val="lv-LV"/>
        </w:rPr>
        <w:t>Pieteicēja</w:t>
      </w:r>
      <w:r w:rsidR="00BD505F" w:rsidRPr="004143B4">
        <w:rPr>
          <w:lang w:val="lv-LV"/>
        </w:rPr>
        <w:t xml:space="preserve"> iesniedza kasācijas sū</w:t>
      </w:r>
      <w:r w:rsidR="006A6865" w:rsidRPr="004143B4">
        <w:rPr>
          <w:lang w:val="lv-LV"/>
        </w:rPr>
        <w:t>dzību par spriedumu</w:t>
      </w:r>
      <w:r w:rsidR="005427DC" w:rsidRPr="004143B4">
        <w:rPr>
          <w:lang w:val="lv-LV"/>
        </w:rPr>
        <w:t xml:space="preserve"> daļā, ar kuru pieteikums noraidīts</w:t>
      </w:r>
      <w:r w:rsidR="006248A7" w:rsidRPr="004143B4">
        <w:rPr>
          <w:lang w:val="lv-LV"/>
        </w:rPr>
        <w:t>.</w:t>
      </w:r>
      <w:r w:rsidR="00E424D9" w:rsidRPr="004143B4">
        <w:rPr>
          <w:lang w:val="lv-LV"/>
        </w:rPr>
        <w:t xml:space="preserve"> </w:t>
      </w:r>
      <w:r w:rsidR="005427DC" w:rsidRPr="004143B4">
        <w:rPr>
          <w:lang w:val="lv-LV"/>
        </w:rPr>
        <w:t xml:space="preserve">Sūdzībā norādīts, ka </w:t>
      </w:r>
      <w:r w:rsidR="00192FE5" w:rsidRPr="004143B4">
        <w:rPr>
          <w:lang w:val="lv-LV"/>
        </w:rPr>
        <w:t xml:space="preserve">tiesas uzdevums </w:t>
      </w:r>
      <w:r w:rsidR="0099008E" w:rsidRPr="004143B4">
        <w:rPr>
          <w:lang w:val="lv-LV"/>
        </w:rPr>
        <w:t>nav kontrolēt</w:t>
      </w:r>
      <w:r w:rsidR="00192FE5" w:rsidRPr="004143B4">
        <w:rPr>
          <w:lang w:val="lv-LV"/>
        </w:rPr>
        <w:t xml:space="preserve"> nodevas apmēru</w:t>
      </w:r>
      <w:r w:rsidR="00E424D9" w:rsidRPr="004143B4">
        <w:rPr>
          <w:lang w:val="lv-LV"/>
        </w:rPr>
        <w:t>.</w:t>
      </w:r>
      <w:r w:rsidR="00192FE5" w:rsidRPr="004143B4">
        <w:rPr>
          <w:lang w:val="lv-LV"/>
        </w:rPr>
        <w:t xml:space="preserve"> Tas jāveic iestādei, izpildot tiesas spriedumu, ja vien atteikuma pamats jeb strīda priekšmets nav valsts nodevas maksāšanas pienākums kā tāds. Valsts nodevas apmērs ir mainījies, 2015.gadā tas bija 2,13</w:t>
      </w:r>
      <w:r w:rsidR="00900116" w:rsidRPr="004143B4">
        <w:rPr>
          <w:lang w:val="lv-LV"/>
        </w:rPr>
        <w:t> </w:t>
      </w:r>
      <w:proofErr w:type="spellStart"/>
      <w:r w:rsidR="00192FE5" w:rsidRPr="004143B4">
        <w:rPr>
          <w:i/>
          <w:iCs/>
          <w:lang w:val="lv-LV"/>
        </w:rPr>
        <w:t>euro</w:t>
      </w:r>
      <w:proofErr w:type="spellEnd"/>
      <w:r w:rsidR="00192FE5" w:rsidRPr="004143B4">
        <w:rPr>
          <w:i/>
          <w:iCs/>
          <w:lang w:val="lv-LV"/>
        </w:rPr>
        <w:t>,</w:t>
      </w:r>
      <w:r w:rsidR="00674871" w:rsidRPr="004143B4">
        <w:rPr>
          <w:i/>
          <w:iCs/>
          <w:lang w:val="lv-LV"/>
        </w:rPr>
        <w:t xml:space="preserve"> </w:t>
      </w:r>
      <w:r w:rsidR="00192FE5" w:rsidRPr="004143B4">
        <w:rPr>
          <w:lang w:val="lv-LV"/>
        </w:rPr>
        <w:t>bet šobrīd</w:t>
      </w:r>
      <w:r w:rsidR="00674871" w:rsidRPr="004143B4">
        <w:rPr>
          <w:lang w:val="lv-LV"/>
        </w:rPr>
        <w:t xml:space="preserve"> </w:t>
      </w:r>
      <w:r w:rsidR="00900116" w:rsidRPr="004143B4">
        <w:rPr>
          <w:lang w:val="lv-LV"/>
        </w:rPr>
        <w:t>–</w:t>
      </w:r>
      <w:r w:rsidR="00674871" w:rsidRPr="004143B4">
        <w:rPr>
          <w:lang w:val="lv-LV"/>
        </w:rPr>
        <w:t xml:space="preserve"> </w:t>
      </w:r>
      <w:r w:rsidR="00192FE5" w:rsidRPr="004143B4">
        <w:rPr>
          <w:lang w:val="lv-LV"/>
        </w:rPr>
        <w:t>10</w:t>
      </w:r>
      <w:r w:rsidR="00900116" w:rsidRPr="004143B4">
        <w:rPr>
          <w:lang w:val="lv-LV"/>
        </w:rPr>
        <w:t> </w:t>
      </w:r>
      <w:proofErr w:type="spellStart"/>
      <w:r w:rsidR="00192FE5" w:rsidRPr="004143B4">
        <w:rPr>
          <w:i/>
          <w:iCs/>
          <w:lang w:val="lv-LV"/>
        </w:rPr>
        <w:t>euro</w:t>
      </w:r>
      <w:proofErr w:type="spellEnd"/>
      <w:r w:rsidR="00192FE5" w:rsidRPr="004143B4">
        <w:rPr>
          <w:i/>
          <w:iCs/>
          <w:lang w:val="lv-LV"/>
        </w:rPr>
        <w:t xml:space="preserve">. </w:t>
      </w:r>
      <w:r w:rsidR="00192FE5" w:rsidRPr="004143B4">
        <w:rPr>
          <w:lang w:val="lv-LV"/>
        </w:rPr>
        <w:t>Valsts nodevas nesamaksāšana nevar būt pieteikuma noraidīšanas pamats.</w:t>
      </w:r>
      <w:r w:rsidR="00953337" w:rsidRPr="004143B4">
        <w:rPr>
          <w:lang w:val="lv-LV"/>
        </w:rPr>
        <w:t xml:space="preserve"> </w:t>
      </w:r>
      <w:r w:rsidR="00192FE5" w:rsidRPr="004143B4">
        <w:rPr>
          <w:lang w:val="lv-LV"/>
        </w:rPr>
        <w:t xml:space="preserve">Tiesai bija jāapmierina pieteikums, norādot, ka informācija izsniedzama pēc nodevas samaksas. </w:t>
      </w:r>
    </w:p>
    <w:p w14:paraId="65D0B108" w14:textId="1C1C2523" w:rsidR="00E424D9" w:rsidRPr="004143B4" w:rsidRDefault="00192FE5" w:rsidP="00C15C75">
      <w:pPr>
        <w:pStyle w:val="ATpamatteksts"/>
        <w:rPr>
          <w:lang w:val="lv-LV"/>
        </w:rPr>
      </w:pPr>
      <w:r w:rsidRPr="004143B4">
        <w:rPr>
          <w:lang w:val="lv-LV"/>
        </w:rPr>
        <w:t>Pieteicēja pieteikumam pievienojusi apliecinājumu par valsts nodevas samaksu</w:t>
      </w:r>
      <w:r w:rsidR="00900116" w:rsidRPr="004143B4">
        <w:rPr>
          <w:lang w:val="lv-LV"/>
        </w:rPr>
        <w:t>.</w:t>
      </w:r>
    </w:p>
    <w:p w14:paraId="2EF547F3" w14:textId="77777777" w:rsidR="005427DC" w:rsidRPr="004143B4" w:rsidRDefault="005427DC" w:rsidP="00C15C75">
      <w:pPr>
        <w:pStyle w:val="ATpamatteksts"/>
        <w:ind w:firstLine="0"/>
        <w:rPr>
          <w:lang w:val="lv-LV"/>
        </w:rPr>
      </w:pPr>
    </w:p>
    <w:p w14:paraId="2CC30CFC" w14:textId="7613647C" w:rsidR="003047F5" w:rsidRPr="004143B4" w:rsidRDefault="006B7BBC" w:rsidP="00C15C75">
      <w:pPr>
        <w:spacing w:line="276" w:lineRule="auto"/>
        <w:ind w:firstLine="567"/>
        <w:jc w:val="both"/>
      </w:pPr>
      <w:r w:rsidRPr="004143B4">
        <w:t>[</w:t>
      </w:r>
      <w:r w:rsidR="006248A7" w:rsidRPr="004143B4">
        <w:t>4</w:t>
      </w:r>
      <w:r w:rsidR="003047F5" w:rsidRPr="004143B4">
        <w:t>] </w:t>
      </w:r>
      <w:r w:rsidR="006248A7" w:rsidRPr="004143B4">
        <w:t>P</w:t>
      </w:r>
      <w:r w:rsidR="005427DC" w:rsidRPr="004143B4">
        <w:t>ārvalde</w:t>
      </w:r>
      <w:r w:rsidR="006248A7" w:rsidRPr="004143B4">
        <w:t xml:space="preserve"> iesnie</w:t>
      </w:r>
      <w:r w:rsidR="005427DC" w:rsidRPr="004143B4">
        <w:t xml:space="preserve">gusi </w:t>
      </w:r>
      <w:r w:rsidR="006248A7" w:rsidRPr="004143B4">
        <w:t>paskaidrojumus par kasācijas sūdzību, uzskatot to par nepamatotu</w:t>
      </w:r>
      <w:r w:rsidR="00F63C28" w:rsidRPr="004143B4">
        <w:t>.</w:t>
      </w:r>
    </w:p>
    <w:p w14:paraId="51D5FABC" w14:textId="77777777" w:rsidR="003047F5" w:rsidRPr="004143B4" w:rsidRDefault="003047F5" w:rsidP="00C15C75">
      <w:pPr>
        <w:spacing w:line="276" w:lineRule="auto"/>
        <w:ind w:firstLine="567"/>
        <w:jc w:val="both"/>
      </w:pPr>
    </w:p>
    <w:p w14:paraId="1900DA50" w14:textId="77777777" w:rsidR="003047F5" w:rsidRPr="004143B4" w:rsidRDefault="003047F5" w:rsidP="00C15C75">
      <w:pPr>
        <w:spacing w:line="276" w:lineRule="auto"/>
        <w:jc w:val="center"/>
        <w:rPr>
          <w:b/>
        </w:rPr>
      </w:pPr>
      <w:r w:rsidRPr="004143B4">
        <w:rPr>
          <w:b/>
        </w:rPr>
        <w:t>Motīvu daļa</w:t>
      </w:r>
    </w:p>
    <w:p w14:paraId="50C3E4A3" w14:textId="77777777" w:rsidR="003047F5" w:rsidRPr="004143B4" w:rsidRDefault="003047F5" w:rsidP="00C15C75">
      <w:pPr>
        <w:spacing w:line="276" w:lineRule="auto"/>
        <w:ind w:firstLine="567"/>
        <w:jc w:val="both"/>
      </w:pPr>
    </w:p>
    <w:p w14:paraId="3577E213" w14:textId="269AF005" w:rsidR="009D049D" w:rsidRPr="004143B4" w:rsidRDefault="001802C9" w:rsidP="00C15C75">
      <w:pPr>
        <w:pStyle w:val="ATpamatteksts"/>
        <w:rPr>
          <w:lang w:val="lv-LV"/>
        </w:rPr>
      </w:pPr>
      <w:r w:rsidRPr="004143B4">
        <w:rPr>
          <w:lang w:val="lv-LV"/>
        </w:rPr>
        <w:t>[5] </w:t>
      </w:r>
      <w:r w:rsidR="0099008E" w:rsidRPr="004143B4">
        <w:rPr>
          <w:lang w:val="lv-LV"/>
        </w:rPr>
        <w:t xml:space="preserve">Lietā nav strīda, ka par konkrētās informācijas izsniegšanu ir jāmaksā valsts nodeva, strīds ir par to, vai nodevas nesamaksāšana ir pamats pieteikuma par informācijas izsniegšanu noraidīšanai. </w:t>
      </w:r>
      <w:r w:rsidR="000F169F" w:rsidRPr="004143B4">
        <w:rPr>
          <w:lang w:val="lv-LV"/>
        </w:rPr>
        <w:t>Tāpat strīds ir par valsts nodevas apmēru, kas strīda risināšanas procesa laikā ir mainījies.</w:t>
      </w:r>
    </w:p>
    <w:p w14:paraId="2294F89A" w14:textId="77777777" w:rsidR="009D049D" w:rsidRPr="004143B4" w:rsidRDefault="009D049D" w:rsidP="00C15C75">
      <w:pPr>
        <w:pStyle w:val="ATpamatteksts"/>
        <w:rPr>
          <w:lang w:val="lv-LV"/>
        </w:rPr>
      </w:pPr>
    </w:p>
    <w:p w14:paraId="05F604EC" w14:textId="7F2BE037" w:rsidR="002F39FD" w:rsidRPr="004143B4" w:rsidRDefault="003B3D1A" w:rsidP="00C15C75">
      <w:pPr>
        <w:pStyle w:val="ATpamatteksts"/>
        <w:rPr>
          <w:rFonts w:ascii="TimesNewRomanPSMT" w:eastAsiaTheme="minorHAnsi" w:hAnsi="TimesNewRomanPSMT" w:cs="TimesNewRomanPSMT"/>
          <w:lang w:val="en-US" w:eastAsia="en-US"/>
        </w:rPr>
      </w:pPr>
      <w:r w:rsidRPr="004143B4">
        <w:rPr>
          <w:lang w:val="lv-LV"/>
        </w:rPr>
        <w:t>[6] </w:t>
      </w:r>
      <w:r w:rsidR="0099008E" w:rsidRPr="004143B4">
        <w:rPr>
          <w:lang w:val="lv-LV"/>
        </w:rPr>
        <w:t>Senāts piekrīt kasācijas sūdzīb</w:t>
      </w:r>
      <w:r w:rsidR="00900116" w:rsidRPr="004143B4">
        <w:rPr>
          <w:lang w:val="lv-LV"/>
        </w:rPr>
        <w:t>ā</w:t>
      </w:r>
      <w:r w:rsidR="0099008E" w:rsidRPr="004143B4">
        <w:rPr>
          <w:lang w:val="lv-LV"/>
        </w:rPr>
        <w:t xml:space="preserve"> norādītajam, ka gadījumā, kad strīds tiesā ir tieši par tiesībām uz valsts pārvaldes rīcībā esoš</w:t>
      </w:r>
      <w:r w:rsidR="0017277B" w:rsidRPr="004143B4">
        <w:rPr>
          <w:lang w:val="lv-LV"/>
        </w:rPr>
        <w:t>as</w:t>
      </w:r>
      <w:r w:rsidR="0099008E" w:rsidRPr="004143B4">
        <w:rPr>
          <w:lang w:val="lv-LV"/>
        </w:rPr>
        <w:t xml:space="preserve"> informācij</w:t>
      </w:r>
      <w:r w:rsidR="0017277B" w:rsidRPr="004143B4">
        <w:rPr>
          <w:lang w:val="lv-LV"/>
        </w:rPr>
        <w:t>as saņemšanu</w:t>
      </w:r>
      <w:r w:rsidR="0099008E" w:rsidRPr="004143B4">
        <w:rPr>
          <w:lang w:val="lv-LV"/>
        </w:rPr>
        <w:t xml:space="preserve">, un tiesa secina, ka personai principā </w:t>
      </w:r>
      <w:r w:rsidR="009F4271" w:rsidRPr="004143B4">
        <w:rPr>
          <w:lang w:val="lv-LV"/>
        </w:rPr>
        <w:t xml:space="preserve">šādas </w:t>
      </w:r>
      <w:r w:rsidR="0099008E" w:rsidRPr="004143B4">
        <w:rPr>
          <w:lang w:val="lv-LV"/>
        </w:rPr>
        <w:t xml:space="preserve">tiesības </w:t>
      </w:r>
      <w:r w:rsidR="009F4271" w:rsidRPr="004143B4">
        <w:rPr>
          <w:lang w:val="lv-LV"/>
        </w:rPr>
        <w:t>ir</w:t>
      </w:r>
      <w:r w:rsidR="0099008E" w:rsidRPr="004143B4">
        <w:rPr>
          <w:lang w:val="lv-LV"/>
        </w:rPr>
        <w:t>, bet par to nav samaksāta valsts nodeva, lietderīgākais un saprātīgākais risinājums būtu apmierināt pieteikumu, nosakot, ka tā izsniedzama pēc valsts nodevas samaksāšanas.</w:t>
      </w:r>
      <w:r w:rsidR="002C0D8C" w:rsidRPr="004143B4">
        <w:rPr>
          <w:lang w:val="lv-LV"/>
        </w:rPr>
        <w:t xml:space="preserve"> Līdzīgi kā administratīvo aktu var izdot ar nosacījumu, arī spriedumā </w:t>
      </w:r>
      <w:r w:rsidR="002F39FD" w:rsidRPr="004143B4">
        <w:rPr>
          <w:lang w:val="lv-LV"/>
        </w:rPr>
        <w:t xml:space="preserve">procesuālās ekonomijas nolūkā var iekļaut nosacījumu. Šāda pieeja atrodama </w:t>
      </w:r>
      <w:r w:rsidR="009F4271" w:rsidRPr="004143B4">
        <w:rPr>
          <w:lang w:val="lv-LV"/>
        </w:rPr>
        <w:t xml:space="preserve">arī </w:t>
      </w:r>
      <w:r w:rsidR="002F39FD" w:rsidRPr="004143B4">
        <w:rPr>
          <w:lang w:val="lv-LV"/>
        </w:rPr>
        <w:t>administratīvo tiesu praksē (</w:t>
      </w:r>
      <w:r w:rsidR="00C15C75" w:rsidRPr="004143B4">
        <w:rPr>
          <w:iCs/>
          <w:lang w:val="lv-LV"/>
        </w:rPr>
        <w:t>piemēram</w:t>
      </w:r>
      <w:r w:rsidR="002F39FD" w:rsidRPr="004143B4">
        <w:rPr>
          <w:iCs/>
          <w:lang w:val="lv-LV"/>
        </w:rPr>
        <w:t>,</w:t>
      </w:r>
      <w:r w:rsidR="002F39FD" w:rsidRPr="004143B4">
        <w:rPr>
          <w:i/>
          <w:iCs/>
          <w:lang w:val="lv-LV"/>
        </w:rPr>
        <w:t xml:space="preserve"> Administratīvā</w:t>
      </w:r>
      <w:r w:rsidR="0017277B" w:rsidRPr="004143B4">
        <w:rPr>
          <w:i/>
          <w:iCs/>
          <w:lang w:val="lv-LV"/>
        </w:rPr>
        <w:t>s</w:t>
      </w:r>
      <w:r w:rsidR="002F39FD" w:rsidRPr="004143B4">
        <w:rPr>
          <w:i/>
          <w:iCs/>
          <w:lang w:val="lv-LV"/>
        </w:rPr>
        <w:t xml:space="preserve"> apgabaltiesas </w:t>
      </w:r>
      <w:r w:rsidR="0078682C" w:rsidRPr="004143B4">
        <w:rPr>
          <w:i/>
          <w:iCs/>
        </w:rPr>
        <w:t>2019.gada 7.februār</w:t>
      </w:r>
      <w:r w:rsidR="00E528F1" w:rsidRPr="004143B4">
        <w:rPr>
          <w:i/>
          <w:iCs/>
          <w:lang w:val="lv-LV"/>
        </w:rPr>
        <w:t>a spriedums</w:t>
      </w:r>
      <w:r w:rsidR="0078682C" w:rsidRPr="004143B4">
        <w:rPr>
          <w:i/>
          <w:iCs/>
          <w:lang w:val="lv-LV"/>
        </w:rPr>
        <w:t xml:space="preserve"> l</w:t>
      </w:r>
      <w:r w:rsidR="002F39FD" w:rsidRPr="004143B4">
        <w:rPr>
          <w:i/>
          <w:iCs/>
        </w:rPr>
        <w:t>iet</w:t>
      </w:r>
      <w:r w:rsidR="0078682C" w:rsidRPr="004143B4">
        <w:rPr>
          <w:i/>
          <w:iCs/>
          <w:lang w:val="lv-LV"/>
        </w:rPr>
        <w:t>ā</w:t>
      </w:r>
      <w:r w:rsidR="002F39FD" w:rsidRPr="004143B4">
        <w:rPr>
          <w:i/>
          <w:iCs/>
        </w:rPr>
        <w:t xml:space="preserve"> </w:t>
      </w:r>
      <w:r w:rsidR="00496D6B" w:rsidRPr="004143B4">
        <w:rPr>
          <w:i/>
          <w:iCs/>
          <w:lang w:val="lv-LV"/>
        </w:rPr>
        <w:t>Nr. </w:t>
      </w:r>
      <w:r w:rsidR="002F39FD" w:rsidRPr="004143B4">
        <w:rPr>
          <w:i/>
          <w:iCs/>
        </w:rPr>
        <w:t>A420345214</w:t>
      </w:r>
      <w:r w:rsidR="007C0C79" w:rsidRPr="004143B4">
        <w:rPr>
          <w:rFonts w:ascii="TimesNewRomanPSMT" w:eastAsiaTheme="minorHAnsi" w:hAnsi="TimesNewRomanPSMT" w:cs="TimesNewRomanPSMT"/>
          <w:lang w:val="en-US" w:eastAsia="en-US"/>
        </w:rPr>
        <w:t xml:space="preserve"> </w:t>
      </w:r>
      <w:r w:rsidR="007C0C79" w:rsidRPr="004143B4">
        <w:rPr>
          <w:rFonts w:ascii="TimesNewRomanPSMT" w:eastAsiaTheme="minorHAnsi" w:hAnsi="TimesNewRomanPSMT" w:cs="TimesNewRomanPSMT"/>
          <w:i/>
          <w:lang w:val="en-US" w:eastAsia="en-US"/>
        </w:rPr>
        <w:t>(ECLI:LV:ADAT:2019:0207.A420345214.6.S)</w:t>
      </w:r>
      <w:r w:rsidR="0078682C" w:rsidRPr="004143B4">
        <w:rPr>
          <w:lang w:val="lv-LV"/>
        </w:rPr>
        <w:t>).</w:t>
      </w:r>
    </w:p>
    <w:p w14:paraId="0F8A6927" w14:textId="18F51216" w:rsidR="002C0D8C" w:rsidRPr="004143B4" w:rsidRDefault="002C0D8C" w:rsidP="00C15C75">
      <w:pPr>
        <w:pStyle w:val="ATpamatteksts"/>
        <w:rPr>
          <w:bCs/>
          <w:lang w:val="lv-LV"/>
        </w:rPr>
      </w:pPr>
      <w:r w:rsidRPr="004143B4">
        <w:rPr>
          <w:lang w:val="lv-LV"/>
        </w:rPr>
        <w:t xml:space="preserve">Tas atbilstu arī </w:t>
      </w:r>
      <w:r w:rsidR="009D049D" w:rsidRPr="004143B4">
        <w:rPr>
          <w:lang w:val="lv-LV"/>
        </w:rPr>
        <w:t>p</w:t>
      </w:r>
      <w:proofErr w:type="spellStart"/>
      <w:r w:rsidR="00674871" w:rsidRPr="004143B4">
        <w:t>rivātpersonas</w:t>
      </w:r>
      <w:proofErr w:type="spellEnd"/>
      <w:r w:rsidR="00674871" w:rsidRPr="004143B4">
        <w:t xml:space="preserve"> tiesību ievērošanas principa</w:t>
      </w:r>
      <w:r w:rsidR="009D049D" w:rsidRPr="004143B4">
        <w:rPr>
          <w:lang w:val="lv-LV"/>
        </w:rPr>
        <w:t xml:space="preserve">m, </w:t>
      </w:r>
      <w:r w:rsidRPr="004143B4">
        <w:rPr>
          <w:lang w:val="lv-LV"/>
        </w:rPr>
        <w:t xml:space="preserve">atbilstoši kuram </w:t>
      </w:r>
      <w:r w:rsidR="009D049D" w:rsidRPr="004143B4">
        <w:t>tiesību piemērotājam</w:t>
      </w:r>
      <w:r w:rsidR="00674871" w:rsidRPr="004143B4">
        <w:t xml:space="preserve"> pēc iespējas </w:t>
      </w:r>
      <w:r w:rsidR="009D049D" w:rsidRPr="004143B4">
        <w:rPr>
          <w:lang w:val="lv-LV"/>
        </w:rPr>
        <w:t xml:space="preserve">jāmēģina atrast </w:t>
      </w:r>
      <w:r w:rsidR="00674871" w:rsidRPr="004143B4">
        <w:t>pareizāko tiesisko risinājumu.</w:t>
      </w:r>
      <w:r w:rsidRPr="004143B4">
        <w:rPr>
          <w:lang w:val="lv-LV"/>
        </w:rPr>
        <w:t xml:space="preserve"> Kā jau Senāts norādījis iepriekš, p</w:t>
      </w:r>
      <w:proofErr w:type="spellStart"/>
      <w:r w:rsidR="00674871" w:rsidRPr="004143B4">
        <w:t>rivātpersonas</w:t>
      </w:r>
      <w:proofErr w:type="spellEnd"/>
      <w:r w:rsidR="00674871" w:rsidRPr="004143B4">
        <w:t xml:space="preserve"> tiesību ievērošanas principa procesuālais aspekts uzliek tiesai pienākumu nodrošināt tādu lietas izskatīšanas procedūru, lai privātpersonas tiesības un tiesiskās intereses tiktu aizsargātas visefektīvāk</w:t>
      </w:r>
      <w:r w:rsidRPr="004143B4">
        <w:rPr>
          <w:lang w:val="lv-LV"/>
        </w:rPr>
        <w:t xml:space="preserve"> (</w:t>
      </w:r>
      <w:r w:rsidR="0017277B" w:rsidRPr="004143B4">
        <w:rPr>
          <w:i/>
          <w:iCs/>
          <w:lang w:val="lv-LV"/>
        </w:rPr>
        <w:t xml:space="preserve">Senāta </w:t>
      </w:r>
      <w:r w:rsidRPr="004143B4">
        <w:rPr>
          <w:bCs/>
          <w:i/>
          <w:iCs/>
        </w:rPr>
        <w:t>2019.gada 2.jūlija</w:t>
      </w:r>
      <w:r w:rsidRPr="004143B4">
        <w:rPr>
          <w:bCs/>
          <w:i/>
          <w:iCs/>
          <w:lang w:val="lv-LV"/>
        </w:rPr>
        <w:t xml:space="preserve"> </w:t>
      </w:r>
      <w:r w:rsidR="00EE0208" w:rsidRPr="004143B4">
        <w:rPr>
          <w:bCs/>
          <w:i/>
          <w:iCs/>
          <w:lang w:val="lv-LV"/>
        </w:rPr>
        <w:t xml:space="preserve">lēmums </w:t>
      </w:r>
      <w:r w:rsidRPr="004143B4">
        <w:rPr>
          <w:bCs/>
          <w:i/>
          <w:iCs/>
          <w:lang w:val="lv-LV"/>
        </w:rPr>
        <w:t>l</w:t>
      </w:r>
      <w:r w:rsidRPr="004143B4">
        <w:rPr>
          <w:bCs/>
          <w:i/>
          <w:iCs/>
        </w:rPr>
        <w:t>iet</w:t>
      </w:r>
      <w:r w:rsidRPr="004143B4">
        <w:rPr>
          <w:bCs/>
          <w:i/>
          <w:iCs/>
          <w:lang w:val="lv-LV"/>
        </w:rPr>
        <w:t>ā</w:t>
      </w:r>
      <w:r w:rsidRPr="004143B4">
        <w:rPr>
          <w:bCs/>
          <w:i/>
          <w:iCs/>
        </w:rPr>
        <w:t xml:space="preserve"> </w:t>
      </w:r>
      <w:r w:rsidR="00E528F1" w:rsidRPr="004143B4">
        <w:rPr>
          <w:bCs/>
          <w:i/>
          <w:iCs/>
          <w:lang w:val="lv-LV"/>
        </w:rPr>
        <w:t>Nr. </w:t>
      </w:r>
      <w:r w:rsidR="00E528F1" w:rsidRPr="004143B4">
        <w:rPr>
          <w:bCs/>
          <w:i/>
          <w:iCs/>
        </w:rPr>
        <w:t>SKA</w:t>
      </w:r>
      <w:r w:rsidR="00E528F1" w:rsidRPr="004143B4">
        <w:rPr>
          <w:bCs/>
          <w:i/>
          <w:iCs/>
        </w:rPr>
        <w:noBreakHyphen/>
      </w:r>
      <w:r w:rsidRPr="004143B4">
        <w:rPr>
          <w:bCs/>
          <w:i/>
          <w:iCs/>
        </w:rPr>
        <w:t>1336/2019</w:t>
      </w:r>
      <w:r w:rsidR="0017277B" w:rsidRPr="004143B4">
        <w:rPr>
          <w:bCs/>
          <w:i/>
          <w:iCs/>
          <w:lang w:val="lv-LV"/>
        </w:rPr>
        <w:t xml:space="preserve"> (</w:t>
      </w:r>
      <w:hyperlink r:id="rId8" w:history="1">
        <w:r w:rsidRPr="004143B4">
          <w:rPr>
            <w:rStyle w:val="Hyperlink"/>
            <w:bCs/>
            <w:i/>
            <w:iCs/>
            <w:color w:val="auto"/>
            <w:u w:val="none"/>
          </w:rPr>
          <w:t>ECLI:LV:AT:2019:0702.A420219118.11.L</w:t>
        </w:r>
      </w:hyperlink>
      <w:r w:rsidR="0017277B" w:rsidRPr="004143B4">
        <w:rPr>
          <w:rStyle w:val="Hyperlink"/>
          <w:bCs/>
          <w:i/>
          <w:iCs/>
          <w:color w:val="auto"/>
          <w:u w:val="none"/>
          <w:lang w:val="en-US"/>
        </w:rPr>
        <w:t>)</w:t>
      </w:r>
      <w:r w:rsidRPr="004143B4">
        <w:rPr>
          <w:bCs/>
          <w:lang w:val="lv-LV"/>
        </w:rPr>
        <w:t>)</w:t>
      </w:r>
      <w:r w:rsidR="0017277B" w:rsidRPr="004143B4">
        <w:rPr>
          <w:bCs/>
          <w:lang w:val="lv-LV"/>
        </w:rPr>
        <w:t>.</w:t>
      </w:r>
    </w:p>
    <w:p w14:paraId="03677752" w14:textId="79E7610D" w:rsidR="00674871" w:rsidRPr="004143B4" w:rsidRDefault="00674871" w:rsidP="00C15C75">
      <w:pPr>
        <w:pStyle w:val="ATpamatteksts"/>
      </w:pPr>
      <w:r w:rsidRPr="004143B4">
        <w:t xml:space="preserve"> </w:t>
      </w:r>
    </w:p>
    <w:p w14:paraId="145DD452" w14:textId="1329306E" w:rsidR="007842EA" w:rsidRPr="004143B4" w:rsidRDefault="001802C9" w:rsidP="00C15C75">
      <w:pPr>
        <w:spacing w:line="276" w:lineRule="auto"/>
        <w:ind w:firstLine="567"/>
        <w:jc w:val="both"/>
      </w:pPr>
      <w:r w:rsidRPr="004143B4">
        <w:t>[7] </w:t>
      </w:r>
      <w:r w:rsidR="009F4271" w:rsidRPr="004143B4">
        <w:t>Gadījumā, ja par informācijas izsniegšanu ir jāmaksā valsts nodeva, bet tās apmērs strīda izskatīšanas procesa laikā ir mainījies</w:t>
      </w:r>
      <w:r w:rsidR="006612D9" w:rsidRPr="004143B4">
        <w:t>, bet</w:t>
      </w:r>
      <w:r w:rsidR="009F4271" w:rsidRPr="004143B4">
        <w:t xml:space="preserve"> tiek noskaidrots, ka personai bija tiesības saņemt informāciju jau iesnieguma iesniegšanas brīdī, Senāta ieskatā, būtu taisnīgi, ja persona </w:t>
      </w:r>
      <w:r w:rsidR="006612D9" w:rsidRPr="004143B4">
        <w:t xml:space="preserve">par informācijas saņemšanu </w:t>
      </w:r>
      <w:r w:rsidR="009F4271" w:rsidRPr="004143B4">
        <w:t xml:space="preserve">maksātu valsts nodevu tādā apmērā, kāda tā bija brīdī, kad persona vērsās iestādē ar informācijas pieprasījumu. Iepriekš teiktais neattiecas uz gadījumu, </w:t>
      </w:r>
      <w:r w:rsidR="006612D9" w:rsidRPr="004143B4">
        <w:t>kad</w:t>
      </w:r>
      <w:r w:rsidR="009F4271" w:rsidRPr="004143B4">
        <w:t xml:space="preserve"> informācija neti</w:t>
      </w:r>
      <w:r w:rsidR="006612D9" w:rsidRPr="004143B4">
        <w:t>ek</w:t>
      </w:r>
      <w:r w:rsidR="009F4271" w:rsidRPr="004143B4">
        <w:t xml:space="preserve"> izsniegta tieši valsts nodevas nesamaksāšanas dēļ.</w:t>
      </w:r>
    </w:p>
    <w:p w14:paraId="2E339A58" w14:textId="33AFEEFE" w:rsidR="000F169F" w:rsidRPr="004143B4" w:rsidRDefault="000F169F" w:rsidP="00C15C75">
      <w:pPr>
        <w:spacing w:line="276" w:lineRule="auto"/>
        <w:ind w:firstLine="567"/>
        <w:jc w:val="both"/>
      </w:pPr>
      <w:r w:rsidRPr="004143B4">
        <w:t xml:space="preserve">Ja uzskatītu, ka piemērojama valsts nodeva, kas ir maksājama atbilstoši sprieduma spēkā stāšanās brīdī spēkā esošajai tiesību normai, nāktos secināt, ka iestādes kļūdas dēļ </w:t>
      </w:r>
      <w:r w:rsidRPr="004143B4">
        <w:lastRenderedPageBreak/>
        <w:t xml:space="preserve">privātpersonai ir radušies zaudējumi nodevas apmēra starpības dēļ. </w:t>
      </w:r>
      <w:r w:rsidR="00021C1B" w:rsidRPr="004143B4">
        <w:t xml:space="preserve">Tāpēc lietderīgi un procesuālajai ekonomijai atbilstoši ir piemērot to valsts nodevas apmēru, kas bija jāpiemēro jau tad, kad persona </w:t>
      </w:r>
      <w:r w:rsidR="0017277B" w:rsidRPr="004143B4">
        <w:t>informāciju</w:t>
      </w:r>
      <w:r w:rsidR="00021C1B" w:rsidRPr="004143B4">
        <w:t xml:space="preserve"> </w:t>
      </w:r>
      <w:r w:rsidR="0017277B" w:rsidRPr="004143B4">
        <w:t>pie</w:t>
      </w:r>
      <w:r w:rsidR="00021C1B" w:rsidRPr="004143B4">
        <w:t>prasīja, vēršoties iestādē pirmo reizi.</w:t>
      </w:r>
    </w:p>
    <w:p w14:paraId="4559ADA5" w14:textId="77777777" w:rsidR="00BB2B87" w:rsidRPr="004143B4" w:rsidRDefault="00BB2B87" w:rsidP="00C15C75">
      <w:pPr>
        <w:pStyle w:val="ATpamatteksts"/>
        <w:ind w:firstLine="0"/>
        <w:rPr>
          <w:lang w:val="lv-LV"/>
        </w:rPr>
      </w:pPr>
    </w:p>
    <w:p w14:paraId="415DC92F" w14:textId="2AC11902" w:rsidR="00B674CD" w:rsidRPr="004143B4" w:rsidRDefault="008D1A20" w:rsidP="00C15C75">
      <w:pPr>
        <w:pStyle w:val="ATpamatteksts"/>
        <w:rPr>
          <w:lang w:val="lv-LV"/>
        </w:rPr>
      </w:pPr>
      <w:r w:rsidRPr="004143B4">
        <w:rPr>
          <w:lang w:val="lv-LV"/>
        </w:rPr>
        <w:t>[</w:t>
      </w:r>
      <w:r w:rsidR="006612D9" w:rsidRPr="004143B4">
        <w:rPr>
          <w:lang w:val="lv-LV"/>
        </w:rPr>
        <w:t>8</w:t>
      </w:r>
      <w:r w:rsidR="001802C9" w:rsidRPr="004143B4">
        <w:rPr>
          <w:lang w:val="lv-LV"/>
        </w:rPr>
        <w:t>] </w:t>
      </w:r>
      <w:r w:rsidR="00B674CD" w:rsidRPr="004143B4">
        <w:rPr>
          <w:lang w:val="lv-LV"/>
        </w:rPr>
        <w:t>Ņemot vērā</w:t>
      </w:r>
      <w:r w:rsidR="002F39FD" w:rsidRPr="004143B4">
        <w:rPr>
          <w:lang w:val="lv-LV"/>
        </w:rPr>
        <w:t xml:space="preserve"> iepriekš minētos apsvērumus</w:t>
      </w:r>
      <w:r w:rsidR="00B674CD" w:rsidRPr="004143B4">
        <w:rPr>
          <w:lang w:val="lv-LV"/>
        </w:rPr>
        <w:t xml:space="preserve">, </w:t>
      </w:r>
      <w:r w:rsidR="002F39FD" w:rsidRPr="004143B4">
        <w:rPr>
          <w:lang w:val="lv-LV"/>
        </w:rPr>
        <w:t>tiesas spriedums pārsūdzētajā daļā ir atceļams</w:t>
      </w:r>
      <w:r w:rsidR="00B674CD" w:rsidRPr="004143B4">
        <w:rPr>
          <w:lang w:val="lv-LV"/>
        </w:rPr>
        <w:t>.</w:t>
      </w:r>
    </w:p>
    <w:p w14:paraId="4CF53E92" w14:textId="03D50EFE" w:rsidR="00E950F3" w:rsidRPr="004143B4" w:rsidRDefault="00E950F3" w:rsidP="00C15C75">
      <w:pPr>
        <w:pStyle w:val="ATpamatteksts"/>
        <w:rPr>
          <w:lang w:val="lv-LV"/>
        </w:rPr>
      </w:pPr>
    </w:p>
    <w:p w14:paraId="1FACE1B2" w14:textId="6510682E" w:rsidR="00E950F3" w:rsidRPr="004143B4" w:rsidRDefault="00E950F3" w:rsidP="00C15C75">
      <w:pPr>
        <w:pStyle w:val="ATpamatteksts"/>
        <w:rPr>
          <w:lang w:val="lv-LV"/>
        </w:rPr>
      </w:pPr>
      <w:r w:rsidRPr="004143B4">
        <w:rPr>
          <w:lang w:val="lv-LV"/>
        </w:rPr>
        <w:t xml:space="preserve">[9] Senāts vēlas vērst pieteicējas uzmanību uz to, ka procesuālās ekonomijas nolūkā pieteicēja, pamatojoties uz rajona tiesas spriedumu daļā, kas ir stājusies spēkā, jau tagad var vērsties iestādē un lūgt izsniegt konkrēto informāciju, iesniedzot arī pierādījumu par valsts nodevas samaksu. </w:t>
      </w:r>
    </w:p>
    <w:p w14:paraId="66911341" w14:textId="0072E43E" w:rsidR="00E950F3" w:rsidRPr="004143B4" w:rsidRDefault="00E950F3" w:rsidP="00C15C75">
      <w:pPr>
        <w:pStyle w:val="ATpamatteksts"/>
        <w:ind w:firstLine="0"/>
        <w:rPr>
          <w:b/>
          <w:lang w:val="lv-LV"/>
        </w:rPr>
      </w:pPr>
    </w:p>
    <w:p w14:paraId="7F133DF8" w14:textId="5C49D56C" w:rsidR="003047F5" w:rsidRPr="004143B4" w:rsidRDefault="003047F5" w:rsidP="00C15C75">
      <w:pPr>
        <w:spacing w:line="276" w:lineRule="auto"/>
        <w:jc w:val="center"/>
        <w:rPr>
          <w:b/>
        </w:rPr>
      </w:pPr>
      <w:bookmarkStart w:id="0" w:name="_GoBack"/>
      <w:bookmarkEnd w:id="0"/>
      <w:r w:rsidRPr="004143B4">
        <w:rPr>
          <w:b/>
        </w:rPr>
        <w:t>Rezolutīvā daļa</w:t>
      </w:r>
    </w:p>
    <w:p w14:paraId="178D6F52" w14:textId="77777777" w:rsidR="008E25D3" w:rsidRPr="004143B4" w:rsidRDefault="008E25D3" w:rsidP="00C15C75">
      <w:pPr>
        <w:spacing w:line="276" w:lineRule="auto"/>
        <w:jc w:val="center"/>
        <w:rPr>
          <w:b/>
        </w:rPr>
      </w:pPr>
    </w:p>
    <w:p w14:paraId="02B28323" w14:textId="5F656E8C" w:rsidR="008E25D3" w:rsidRPr="004143B4" w:rsidRDefault="008E25D3" w:rsidP="00C15C75">
      <w:pPr>
        <w:spacing w:line="276" w:lineRule="auto"/>
        <w:ind w:firstLine="567"/>
        <w:jc w:val="both"/>
      </w:pPr>
      <w:r w:rsidRPr="004143B4">
        <w:t xml:space="preserve">Pamatojoties uz Administratīvā procesa likuma </w:t>
      </w:r>
      <w:r w:rsidR="0017277B" w:rsidRPr="004143B4">
        <w:t>129.</w:t>
      </w:r>
      <w:r w:rsidR="0017277B" w:rsidRPr="004143B4">
        <w:rPr>
          <w:vertAlign w:val="superscript"/>
        </w:rPr>
        <w:t>1</w:t>
      </w:r>
      <w:r w:rsidR="0017277B" w:rsidRPr="004143B4">
        <w:t>panta pirmās daļas 1.punktu,</w:t>
      </w:r>
      <w:r w:rsidR="0017277B" w:rsidRPr="004143B4">
        <w:rPr>
          <w:vertAlign w:val="superscript"/>
        </w:rPr>
        <w:t xml:space="preserve"> </w:t>
      </w:r>
      <w:r w:rsidRPr="004143B4">
        <w:t xml:space="preserve">348.panta pirmās daļas </w:t>
      </w:r>
      <w:r w:rsidR="00622BA7" w:rsidRPr="004143B4">
        <w:t>2</w:t>
      </w:r>
      <w:r w:rsidRPr="004143B4">
        <w:t>.punktu un 351.pantu, Senāts</w:t>
      </w:r>
    </w:p>
    <w:p w14:paraId="155D8380" w14:textId="77777777" w:rsidR="008E25D3" w:rsidRPr="004143B4" w:rsidRDefault="008E25D3" w:rsidP="00C15C75">
      <w:pPr>
        <w:spacing w:line="276" w:lineRule="auto"/>
        <w:ind w:firstLine="567"/>
        <w:jc w:val="both"/>
        <w:rPr>
          <w:highlight w:val="yellow"/>
        </w:rPr>
      </w:pPr>
    </w:p>
    <w:p w14:paraId="3F8A784E" w14:textId="77777777" w:rsidR="008E25D3" w:rsidRPr="004143B4" w:rsidRDefault="008E25D3" w:rsidP="00C15C75">
      <w:pPr>
        <w:tabs>
          <w:tab w:val="left" w:pos="2700"/>
          <w:tab w:val="left" w:pos="6660"/>
        </w:tabs>
        <w:spacing w:line="276" w:lineRule="auto"/>
        <w:jc w:val="center"/>
        <w:rPr>
          <w:b/>
        </w:rPr>
      </w:pPr>
      <w:bookmarkStart w:id="1" w:name="Dropdown14"/>
      <w:r w:rsidRPr="004143B4">
        <w:rPr>
          <w:b/>
        </w:rPr>
        <w:t>nosprieda</w:t>
      </w:r>
      <w:bookmarkEnd w:id="1"/>
    </w:p>
    <w:p w14:paraId="3E3618A9" w14:textId="77777777" w:rsidR="008E25D3" w:rsidRPr="004143B4" w:rsidRDefault="008E25D3" w:rsidP="00C15C75">
      <w:pPr>
        <w:tabs>
          <w:tab w:val="left" w:pos="2700"/>
          <w:tab w:val="left" w:pos="6660"/>
        </w:tabs>
        <w:spacing w:line="276" w:lineRule="auto"/>
        <w:ind w:firstLine="567"/>
        <w:jc w:val="both"/>
        <w:rPr>
          <w:bCs/>
          <w:spacing w:val="70"/>
        </w:rPr>
      </w:pPr>
    </w:p>
    <w:p w14:paraId="04F6317E" w14:textId="4179A33F" w:rsidR="008E25D3" w:rsidRPr="004143B4" w:rsidRDefault="00622BA7" w:rsidP="00C15C75">
      <w:pPr>
        <w:tabs>
          <w:tab w:val="left" w:pos="2700"/>
          <w:tab w:val="left" w:pos="6660"/>
        </w:tabs>
        <w:spacing w:line="276" w:lineRule="auto"/>
        <w:ind w:firstLine="567"/>
        <w:jc w:val="both"/>
      </w:pPr>
      <w:r w:rsidRPr="004143B4">
        <w:t>atcelt</w:t>
      </w:r>
      <w:r w:rsidR="008E25D3" w:rsidRPr="004143B4">
        <w:t xml:space="preserve"> </w:t>
      </w:r>
      <w:r w:rsidR="004A298C" w:rsidRPr="004143B4">
        <w:t>Administratīvās rajona tiesas 201</w:t>
      </w:r>
      <w:r w:rsidR="007842EA" w:rsidRPr="004143B4">
        <w:t>9</w:t>
      </w:r>
      <w:r w:rsidR="004A298C" w:rsidRPr="004143B4">
        <w:t xml:space="preserve">.gada </w:t>
      </w:r>
      <w:r w:rsidR="007842EA" w:rsidRPr="004143B4">
        <w:t>7.jūnija</w:t>
      </w:r>
      <w:r w:rsidR="004A298C" w:rsidRPr="004143B4">
        <w:t xml:space="preserve"> spriedumu</w:t>
      </w:r>
      <w:r w:rsidRPr="004143B4">
        <w:t xml:space="preserve"> </w:t>
      </w:r>
      <w:r w:rsidR="00674871" w:rsidRPr="004143B4">
        <w:t xml:space="preserve">daļā, ar kuru noraidīts </w:t>
      </w:r>
      <w:r w:rsidR="00EE0208" w:rsidRPr="004143B4">
        <w:t>biedrības „Zemes reformas komiteja”</w:t>
      </w:r>
      <w:r w:rsidR="00674871" w:rsidRPr="004143B4">
        <w:t xml:space="preserve"> pieteikums, </w:t>
      </w:r>
      <w:r w:rsidRPr="004143B4">
        <w:t>un nosūtīt lietu jaunai izskatīšanai Administratīvajai rajona tiesai</w:t>
      </w:r>
      <w:r w:rsidR="008E25D3" w:rsidRPr="004143B4">
        <w:t>.</w:t>
      </w:r>
    </w:p>
    <w:p w14:paraId="22B40981" w14:textId="04890571" w:rsidR="00674871" w:rsidRPr="004143B4" w:rsidRDefault="00674871" w:rsidP="00C15C75">
      <w:pPr>
        <w:tabs>
          <w:tab w:val="left" w:pos="2700"/>
          <w:tab w:val="left" w:pos="6660"/>
        </w:tabs>
        <w:spacing w:line="276" w:lineRule="auto"/>
        <w:ind w:firstLine="567"/>
        <w:jc w:val="both"/>
      </w:pPr>
      <w:r w:rsidRPr="004143B4">
        <w:t>Atmaksāt biedrībai „Zemes reformas komiteja” drošības naudu 70 </w:t>
      </w:r>
      <w:proofErr w:type="spellStart"/>
      <w:r w:rsidRPr="004143B4">
        <w:rPr>
          <w:i/>
        </w:rPr>
        <w:t>euro</w:t>
      </w:r>
      <w:proofErr w:type="spellEnd"/>
      <w:r w:rsidRPr="004143B4">
        <w:t>.</w:t>
      </w:r>
    </w:p>
    <w:p w14:paraId="4B4C74F8" w14:textId="675C7C75" w:rsidR="00F43FAD" w:rsidRPr="004143B4" w:rsidRDefault="004A298C" w:rsidP="00E07C14">
      <w:pPr>
        <w:tabs>
          <w:tab w:val="left" w:pos="2700"/>
          <w:tab w:val="left" w:pos="6660"/>
        </w:tabs>
        <w:spacing w:line="276" w:lineRule="auto"/>
        <w:ind w:firstLine="567"/>
        <w:jc w:val="both"/>
      </w:pPr>
      <w:r w:rsidRPr="004143B4">
        <w:t xml:space="preserve">Spriedums nav pārsūdzams. </w:t>
      </w:r>
    </w:p>
    <w:sectPr w:rsidR="00F43FAD" w:rsidRPr="004143B4" w:rsidSect="00C15C75">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2233A" w14:textId="77777777" w:rsidR="00A3435D" w:rsidRDefault="00A3435D" w:rsidP="003047F5">
      <w:r>
        <w:separator/>
      </w:r>
    </w:p>
  </w:endnote>
  <w:endnote w:type="continuationSeparator" w:id="0">
    <w:p w14:paraId="05DA9286" w14:textId="77777777" w:rsidR="00A3435D" w:rsidRDefault="00A3435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02BABC0B" w:rsidR="002F39FD" w:rsidRDefault="002F39F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26778">
      <w:rPr>
        <w:rStyle w:val="PageNumber"/>
        <w:noProof/>
      </w:rPr>
      <w:t>3</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07C14">
      <w:rPr>
        <w:rStyle w:val="PageNumber"/>
        <w:noProof/>
      </w:rPr>
      <w:t>3</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5FDFE" w14:textId="77777777" w:rsidR="00A3435D" w:rsidRDefault="00A3435D" w:rsidP="003047F5">
      <w:r>
        <w:separator/>
      </w:r>
    </w:p>
  </w:footnote>
  <w:footnote w:type="continuationSeparator" w:id="0">
    <w:p w14:paraId="245C803A" w14:textId="77777777" w:rsidR="00A3435D" w:rsidRDefault="00A3435D"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21C1B"/>
    <w:rsid w:val="000708AF"/>
    <w:rsid w:val="00072833"/>
    <w:rsid w:val="000A0C90"/>
    <w:rsid w:val="000B0A3A"/>
    <w:rsid w:val="000B7895"/>
    <w:rsid w:val="000F169F"/>
    <w:rsid w:val="001108D8"/>
    <w:rsid w:val="00112403"/>
    <w:rsid w:val="00115104"/>
    <w:rsid w:val="0014340E"/>
    <w:rsid w:val="0016381F"/>
    <w:rsid w:val="001646E9"/>
    <w:rsid w:val="0017277B"/>
    <w:rsid w:val="001728E0"/>
    <w:rsid w:val="001802C9"/>
    <w:rsid w:val="00180EC6"/>
    <w:rsid w:val="0018117C"/>
    <w:rsid w:val="00182FF3"/>
    <w:rsid w:val="0018440B"/>
    <w:rsid w:val="0019238A"/>
    <w:rsid w:val="00192FE5"/>
    <w:rsid w:val="001A0495"/>
    <w:rsid w:val="001C6457"/>
    <w:rsid w:val="001C711B"/>
    <w:rsid w:val="001E3A09"/>
    <w:rsid w:val="00236E52"/>
    <w:rsid w:val="0023784F"/>
    <w:rsid w:val="00237F92"/>
    <w:rsid w:val="002459BF"/>
    <w:rsid w:val="0025132C"/>
    <w:rsid w:val="00256FD0"/>
    <w:rsid w:val="00273F2F"/>
    <w:rsid w:val="0027469B"/>
    <w:rsid w:val="002931D0"/>
    <w:rsid w:val="00293462"/>
    <w:rsid w:val="002A3683"/>
    <w:rsid w:val="002A4E91"/>
    <w:rsid w:val="002B54E7"/>
    <w:rsid w:val="002C0D8C"/>
    <w:rsid w:val="002C3751"/>
    <w:rsid w:val="002E22BF"/>
    <w:rsid w:val="002E3ABD"/>
    <w:rsid w:val="002F39FD"/>
    <w:rsid w:val="002F5E6D"/>
    <w:rsid w:val="002F6EBE"/>
    <w:rsid w:val="00301A51"/>
    <w:rsid w:val="003039B6"/>
    <w:rsid w:val="003047F5"/>
    <w:rsid w:val="00321A05"/>
    <w:rsid w:val="00326778"/>
    <w:rsid w:val="00343383"/>
    <w:rsid w:val="00343F92"/>
    <w:rsid w:val="0035346E"/>
    <w:rsid w:val="00353F1F"/>
    <w:rsid w:val="00354931"/>
    <w:rsid w:val="00375E78"/>
    <w:rsid w:val="00396208"/>
    <w:rsid w:val="003B2E55"/>
    <w:rsid w:val="003B3D1A"/>
    <w:rsid w:val="003E73F4"/>
    <w:rsid w:val="003F78CA"/>
    <w:rsid w:val="004143B4"/>
    <w:rsid w:val="00424B84"/>
    <w:rsid w:val="0043182C"/>
    <w:rsid w:val="0043387D"/>
    <w:rsid w:val="004466A2"/>
    <w:rsid w:val="00460155"/>
    <w:rsid w:val="00491DEC"/>
    <w:rsid w:val="00496D6B"/>
    <w:rsid w:val="004A298C"/>
    <w:rsid w:val="004A4903"/>
    <w:rsid w:val="004D28F1"/>
    <w:rsid w:val="004E236B"/>
    <w:rsid w:val="004E2F29"/>
    <w:rsid w:val="004F4FED"/>
    <w:rsid w:val="00521A02"/>
    <w:rsid w:val="00540627"/>
    <w:rsid w:val="00541500"/>
    <w:rsid w:val="005427DC"/>
    <w:rsid w:val="00543E46"/>
    <w:rsid w:val="00554958"/>
    <w:rsid w:val="00555A76"/>
    <w:rsid w:val="00577E02"/>
    <w:rsid w:val="00581CFA"/>
    <w:rsid w:val="005840B0"/>
    <w:rsid w:val="0059301F"/>
    <w:rsid w:val="005A62B2"/>
    <w:rsid w:val="005D58FD"/>
    <w:rsid w:val="005F0322"/>
    <w:rsid w:val="005F2106"/>
    <w:rsid w:val="00622BA7"/>
    <w:rsid w:val="006248A7"/>
    <w:rsid w:val="0065021D"/>
    <w:rsid w:val="00652AAD"/>
    <w:rsid w:val="006612D9"/>
    <w:rsid w:val="0066161A"/>
    <w:rsid w:val="00674871"/>
    <w:rsid w:val="006912D8"/>
    <w:rsid w:val="006A4ECF"/>
    <w:rsid w:val="006A6865"/>
    <w:rsid w:val="006B7BBC"/>
    <w:rsid w:val="006C30A8"/>
    <w:rsid w:val="006F5D3B"/>
    <w:rsid w:val="007164FB"/>
    <w:rsid w:val="00744E48"/>
    <w:rsid w:val="0074657B"/>
    <w:rsid w:val="007709C7"/>
    <w:rsid w:val="0077509E"/>
    <w:rsid w:val="0077520F"/>
    <w:rsid w:val="007842EA"/>
    <w:rsid w:val="0078682C"/>
    <w:rsid w:val="007C0C79"/>
    <w:rsid w:val="007D2050"/>
    <w:rsid w:val="007F5C55"/>
    <w:rsid w:val="00801CD9"/>
    <w:rsid w:val="00806C25"/>
    <w:rsid w:val="00812734"/>
    <w:rsid w:val="0082381C"/>
    <w:rsid w:val="00833668"/>
    <w:rsid w:val="00842872"/>
    <w:rsid w:val="00844FAF"/>
    <w:rsid w:val="00855EA4"/>
    <w:rsid w:val="008570F8"/>
    <w:rsid w:val="0088035B"/>
    <w:rsid w:val="00893AB5"/>
    <w:rsid w:val="0089619C"/>
    <w:rsid w:val="008C5417"/>
    <w:rsid w:val="008D1A20"/>
    <w:rsid w:val="008D71CC"/>
    <w:rsid w:val="008E25D3"/>
    <w:rsid w:val="008F061E"/>
    <w:rsid w:val="00900116"/>
    <w:rsid w:val="00913C7F"/>
    <w:rsid w:val="009229FE"/>
    <w:rsid w:val="00941626"/>
    <w:rsid w:val="00947A27"/>
    <w:rsid w:val="00953337"/>
    <w:rsid w:val="00960D7A"/>
    <w:rsid w:val="0096256E"/>
    <w:rsid w:val="009639F7"/>
    <w:rsid w:val="00964B7E"/>
    <w:rsid w:val="00972F14"/>
    <w:rsid w:val="0098432E"/>
    <w:rsid w:val="0099008E"/>
    <w:rsid w:val="009D049D"/>
    <w:rsid w:val="009E3837"/>
    <w:rsid w:val="009E490A"/>
    <w:rsid w:val="009F0282"/>
    <w:rsid w:val="009F39E6"/>
    <w:rsid w:val="009F4271"/>
    <w:rsid w:val="009F4F84"/>
    <w:rsid w:val="00A00062"/>
    <w:rsid w:val="00A01890"/>
    <w:rsid w:val="00A048B9"/>
    <w:rsid w:val="00A21D2C"/>
    <w:rsid w:val="00A26F37"/>
    <w:rsid w:val="00A3435D"/>
    <w:rsid w:val="00A42041"/>
    <w:rsid w:val="00A5096D"/>
    <w:rsid w:val="00A525F0"/>
    <w:rsid w:val="00A5783B"/>
    <w:rsid w:val="00A579A1"/>
    <w:rsid w:val="00A6596A"/>
    <w:rsid w:val="00A831F1"/>
    <w:rsid w:val="00A85690"/>
    <w:rsid w:val="00A94ACB"/>
    <w:rsid w:val="00A9621A"/>
    <w:rsid w:val="00AA4183"/>
    <w:rsid w:val="00AC1E14"/>
    <w:rsid w:val="00AC5F8A"/>
    <w:rsid w:val="00AD0460"/>
    <w:rsid w:val="00AF2237"/>
    <w:rsid w:val="00AF22E4"/>
    <w:rsid w:val="00AF4CED"/>
    <w:rsid w:val="00B24DAD"/>
    <w:rsid w:val="00B31F49"/>
    <w:rsid w:val="00B45E3C"/>
    <w:rsid w:val="00B65C2C"/>
    <w:rsid w:val="00B674CD"/>
    <w:rsid w:val="00B70535"/>
    <w:rsid w:val="00B70A55"/>
    <w:rsid w:val="00B75A4A"/>
    <w:rsid w:val="00B76D84"/>
    <w:rsid w:val="00B90813"/>
    <w:rsid w:val="00B9491C"/>
    <w:rsid w:val="00BB2B87"/>
    <w:rsid w:val="00BB4182"/>
    <w:rsid w:val="00BB5382"/>
    <w:rsid w:val="00BD505F"/>
    <w:rsid w:val="00BD6047"/>
    <w:rsid w:val="00BF4BAE"/>
    <w:rsid w:val="00C010FE"/>
    <w:rsid w:val="00C104DF"/>
    <w:rsid w:val="00C143CC"/>
    <w:rsid w:val="00C15C75"/>
    <w:rsid w:val="00C806B0"/>
    <w:rsid w:val="00C9084E"/>
    <w:rsid w:val="00C93E76"/>
    <w:rsid w:val="00CC1031"/>
    <w:rsid w:val="00CE5F42"/>
    <w:rsid w:val="00D12886"/>
    <w:rsid w:val="00D20035"/>
    <w:rsid w:val="00D3210B"/>
    <w:rsid w:val="00D45B63"/>
    <w:rsid w:val="00D47095"/>
    <w:rsid w:val="00D54D4D"/>
    <w:rsid w:val="00D7028E"/>
    <w:rsid w:val="00D7177F"/>
    <w:rsid w:val="00DA4264"/>
    <w:rsid w:val="00DB42E1"/>
    <w:rsid w:val="00DC5C15"/>
    <w:rsid w:val="00DD1E58"/>
    <w:rsid w:val="00DD38FE"/>
    <w:rsid w:val="00DE2B6E"/>
    <w:rsid w:val="00DF6B15"/>
    <w:rsid w:val="00E07C14"/>
    <w:rsid w:val="00E24B2B"/>
    <w:rsid w:val="00E27718"/>
    <w:rsid w:val="00E302E3"/>
    <w:rsid w:val="00E42316"/>
    <w:rsid w:val="00E424D9"/>
    <w:rsid w:val="00E5207C"/>
    <w:rsid w:val="00E528F1"/>
    <w:rsid w:val="00E532E6"/>
    <w:rsid w:val="00E87292"/>
    <w:rsid w:val="00E92944"/>
    <w:rsid w:val="00E950F3"/>
    <w:rsid w:val="00EA7BF6"/>
    <w:rsid w:val="00EE0208"/>
    <w:rsid w:val="00EE67B1"/>
    <w:rsid w:val="00EE683F"/>
    <w:rsid w:val="00F00BDB"/>
    <w:rsid w:val="00F202ED"/>
    <w:rsid w:val="00F43FAD"/>
    <w:rsid w:val="00F44204"/>
    <w:rsid w:val="00F61862"/>
    <w:rsid w:val="00F63C28"/>
    <w:rsid w:val="00F76AA7"/>
    <w:rsid w:val="00F81367"/>
    <w:rsid w:val="00F84535"/>
    <w:rsid w:val="00F9001A"/>
    <w:rsid w:val="00FC5AE2"/>
    <w:rsid w:val="00FD25E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pamatteksts">
    <w:name w:val="AT pamatteksts"/>
    <w:basedOn w:val="BodyText2"/>
    <w:link w:val="ATpamattekstsChar"/>
    <w:qFormat/>
    <w:rsid w:val="002F6EBE"/>
    <w:pPr>
      <w:spacing w:after="0" w:line="276" w:lineRule="auto"/>
      <w:ind w:firstLine="567"/>
      <w:jc w:val="both"/>
    </w:pPr>
  </w:style>
  <w:style w:type="character" w:customStyle="1" w:styleId="ATpamattekstsChar">
    <w:name w:val="AT pamatteksts Char"/>
    <w:basedOn w:val="BodyText2Char"/>
    <w:link w:val="ATpamatteksts"/>
    <w:rsid w:val="002F6EBE"/>
    <w:rPr>
      <w:rFonts w:eastAsia="Times New Roman" w:cs="Times New Roman"/>
      <w:szCs w:val="24"/>
      <w:lang w:val="x-none" w:eastAsia="ru-RU"/>
    </w:rPr>
  </w:style>
  <w:style w:type="table" w:customStyle="1" w:styleId="TableGrid1">
    <w:name w:val="Table Grid1"/>
    <w:basedOn w:val="TableNormal"/>
    <w:next w:val="TableGrid"/>
    <w:uiPriority w:val="39"/>
    <w:rsid w:val="008D71CC"/>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78CA"/>
    <w:rPr>
      <w:color w:val="0000FF"/>
      <w:u w:val="single"/>
    </w:rPr>
  </w:style>
  <w:style w:type="character" w:customStyle="1" w:styleId="UnresolvedMention1">
    <w:name w:val="Unresolved Mention1"/>
    <w:basedOn w:val="DefaultParagraphFont"/>
    <w:uiPriority w:val="99"/>
    <w:semiHidden/>
    <w:unhideWhenUsed/>
    <w:rsid w:val="00555A76"/>
    <w:rPr>
      <w:color w:val="605E5C"/>
      <w:shd w:val="clear" w:color="auto" w:fill="E1DFDD"/>
    </w:rPr>
  </w:style>
  <w:style w:type="character" w:styleId="FollowedHyperlink">
    <w:name w:val="FollowedHyperlink"/>
    <w:basedOn w:val="DefaultParagraphFont"/>
    <w:uiPriority w:val="99"/>
    <w:semiHidden/>
    <w:unhideWhenUsed/>
    <w:rsid w:val="0025132C"/>
    <w:rPr>
      <w:color w:val="954F72" w:themeColor="followedHyperlink"/>
      <w:u w:val="single"/>
    </w:rPr>
  </w:style>
  <w:style w:type="character" w:styleId="UnresolvedMention">
    <w:name w:val="Unresolved Mention"/>
    <w:basedOn w:val="DefaultParagraphFont"/>
    <w:uiPriority w:val="99"/>
    <w:semiHidden/>
    <w:unhideWhenUsed/>
    <w:rsid w:val="00DD3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391262">
      <w:bodyDiv w:val="1"/>
      <w:marLeft w:val="0"/>
      <w:marRight w:val="0"/>
      <w:marTop w:val="0"/>
      <w:marBottom w:val="0"/>
      <w:divBdr>
        <w:top w:val="none" w:sz="0" w:space="0" w:color="auto"/>
        <w:left w:val="none" w:sz="0" w:space="0" w:color="auto"/>
        <w:bottom w:val="none" w:sz="0" w:space="0" w:color="auto"/>
        <w:right w:val="none" w:sz="0" w:space="0" w:color="auto"/>
      </w:divBdr>
    </w:div>
    <w:div w:id="1355307639">
      <w:bodyDiv w:val="1"/>
      <w:marLeft w:val="0"/>
      <w:marRight w:val="0"/>
      <w:marTop w:val="0"/>
      <w:marBottom w:val="0"/>
      <w:divBdr>
        <w:top w:val="none" w:sz="0" w:space="0" w:color="auto"/>
        <w:left w:val="none" w:sz="0" w:space="0" w:color="auto"/>
        <w:bottom w:val="none" w:sz="0" w:space="0" w:color="auto"/>
        <w:right w:val="none" w:sz="0" w:space="0" w:color="auto"/>
      </w:divBdr>
      <w:divsChild>
        <w:div w:id="1264612223">
          <w:marLeft w:val="0"/>
          <w:marRight w:val="0"/>
          <w:marTop w:val="480"/>
          <w:marBottom w:val="240"/>
          <w:divBdr>
            <w:top w:val="none" w:sz="0" w:space="0" w:color="auto"/>
            <w:left w:val="none" w:sz="0" w:space="0" w:color="auto"/>
            <w:bottom w:val="none" w:sz="0" w:space="0" w:color="auto"/>
            <w:right w:val="none" w:sz="0" w:space="0" w:color="auto"/>
          </w:divBdr>
        </w:div>
        <w:div w:id="90245092">
          <w:marLeft w:val="0"/>
          <w:marRight w:val="0"/>
          <w:marTop w:val="0"/>
          <w:marBottom w:val="567"/>
          <w:divBdr>
            <w:top w:val="none" w:sz="0" w:space="0" w:color="auto"/>
            <w:left w:val="none" w:sz="0" w:space="0" w:color="auto"/>
            <w:bottom w:val="none" w:sz="0" w:space="0" w:color="auto"/>
            <w:right w:val="none" w:sz="0" w:space="0" w:color="auto"/>
          </w:divBdr>
        </w:div>
      </w:divsChild>
    </w:div>
    <w:div w:id="162865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702.A420219118.11.L" TargetMode="External"/><Relationship Id="rId3" Type="http://schemas.openxmlformats.org/officeDocument/2006/relationships/settings" Target="settings.xml"/><Relationship Id="rId7" Type="http://schemas.openxmlformats.org/officeDocument/2006/relationships/hyperlink" Target="https://manas.tiesas.lv/eTiesasMvc/eclinolemumi/ECLI:LV:AT:2020:0121.A420224915.1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166EA-BF98-44CF-BCC4-2584B5CC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4607</Words>
  <Characters>2626</Characters>
  <Application>Microsoft Office Word</Application>
  <DocSecurity>0</DocSecurity>
  <Lines>21</Lines>
  <Paragraphs>14</Paragraphs>
  <ScaleCrop>false</ScaleCrop>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2020-02-05T07:55:00Z</dcterms:created>
  <dcterms:modified xsi:type="dcterms:W3CDTF">2020-02-05T07:56:00Z</dcterms:modified>
</cp:coreProperties>
</file>