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EC350" w14:textId="77777777" w:rsidR="00B72CA4" w:rsidRDefault="00B72CA4" w:rsidP="00B72CA4">
      <w:pPr>
        <w:spacing w:line="276" w:lineRule="auto"/>
        <w:jc w:val="both"/>
        <w:rPr>
          <w:b/>
          <w:bCs/>
        </w:rPr>
      </w:pPr>
      <w:r>
        <w:rPr>
          <w:b/>
          <w:bCs/>
        </w:rPr>
        <w:t>Interpretācija vārdkopai „ugunsaizsardzības sistēma”</w:t>
      </w:r>
    </w:p>
    <w:p w14:paraId="4FC642E0" w14:textId="11486B9F" w:rsidR="00B72CA4" w:rsidRPr="00B72CA4" w:rsidRDefault="00B72CA4" w:rsidP="00B72CA4">
      <w:pPr>
        <w:spacing w:line="276" w:lineRule="auto"/>
        <w:jc w:val="both"/>
      </w:pPr>
      <w:r>
        <w:t>Ministru kabineta 2004.gada 17.februāra noteikumu Nr. 82 „Ugunsdrošības noteikumi” 103.punktā ietvertā vārdkopa „ugunsaizsardzības sistēma” interpretējama tādējādi, ka ar to ir jāsaprot tikai tāda sistēma, kas ir pieslēdzama, ja tā ir tikai atslēgta, vai salabojama, ja tā izgājusi no ierindas, taču to nevar attiecināt uz kādreiz darbojošās signalizācijas sistēmas atsevišķiem elementiem (sistēmas atliekām), kura faktiski ir nevis jāsalabo, bet gan ir pilnībā jāaizvieto. Turklāt jāņem vērā arī šo noteikumu 118.punktā noteiktais, ka automātisko ugunsaizsardzības iekārtu ekspluatācijas termiņš nedrīkst pārsniegt ražotāja noteikto.</w:t>
      </w:r>
    </w:p>
    <w:p w14:paraId="0EAEB9C7" w14:textId="77777777" w:rsidR="00B72CA4" w:rsidRPr="00B72CA4" w:rsidRDefault="00B72CA4" w:rsidP="00B72CA4">
      <w:pPr>
        <w:spacing w:line="276" w:lineRule="auto"/>
        <w:jc w:val="right"/>
        <w:rPr>
          <w:bCs/>
        </w:rPr>
      </w:pPr>
    </w:p>
    <w:p w14:paraId="5B96512A" w14:textId="6419E07F" w:rsidR="006B7BBC" w:rsidRDefault="006B7BBC" w:rsidP="002E68F9">
      <w:pPr>
        <w:spacing w:line="276" w:lineRule="auto"/>
        <w:jc w:val="center"/>
        <w:rPr>
          <w:b/>
        </w:rPr>
      </w:pPr>
      <w:r w:rsidRPr="00B72CA4">
        <w:rPr>
          <w:b/>
        </w:rPr>
        <w:t>Latvijas Republikas Senāt</w:t>
      </w:r>
      <w:r w:rsidR="00B72CA4">
        <w:rPr>
          <w:b/>
        </w:rPr>
        <w:t>a</w:t>
      </w:r>
    </w:p>
    <w:p w14:paraId="2BF9A3E3" w14:textId="6412C247" w:rsidR="00B72CA4" w:rsidRDefault="00B72CA4" w:rsidP="002E68F9">
      <w:pPr>
        <w:spacing w:line="276" w:lineRule="auto"/>
        <w:jc w:val="center"/>
        <w:rPr>
          <w:b/>
        </w:rPr>
      </w:pPr>
      <w:r>
        <w:rPr>
          <w:b/>
        </w:rPr>
        <w:t>Administratīvo lietu departamenta</w:t>
      </w:r>
    </w:p>
    <w:p w14:paraId="3EB3F995" w14:textId="66CE6FF7" w:rsidR="00B72CA4" w:rsidRPr="00B72CA4" w:rsidRDefault="00B72CA4" w:rsidP="002E68F9">
      <w:pPr>
        <w:spacing w:line="276" w:lineRule="auto"/>
        <w:jc w:val="center"/>
        <w:rPr>
          <w:b/>
        </w:rPr>
      </w:pPr>
      <w:r>
        <w:rPr>
          <w:b/>
        </w:rPr>
        <w:t>2020.gada 31.janvāra</w:t>
      </w:r>
    </w:p>
    <w:p w14:paraId="30B4B012" w14:textId="316AE2E9" w:rsidR="006B7BBC" w:rsidRDefault="0089619C" w:rsidP="002E68F9">
      <w:pPr>
        <w:spacing w:line="276" w:lineRule="auto"/>
        <w:jc w:val="center"/>
        <w:rPr>
          <w:b/>
        </w:rPr>
      </w:pPr>
      <w:r w:rsidRPr="00B72CA4">
        <w:rPr>
          <w:b/>
        </w:rPr>
        <w:t>SPRIEDUMS</w:t>
      </w:r>
    </w:p>
    <w:p w14:paraId="6C8FDEC8" w14:textId="0A7DC194" w:rsidR="00B72CA4" w:rsidRDefault="00B72CA4" w:rsidP="002E68F9">
      <w:pPr>
        <w:spacing w:line="276" w:lineRule="auto"/>
        <w:jc w:val="center"/>
        <w:rPr>
          <w:b/>
        </w:rPr>
      </w:pPr>
      <w:r>
        <w:rPr>
          <w:b/>
        </w:rPr>
        <w:t>Lieta Nr. A420182516, SKA-144/2020</w:t>
      </w:r>
    </w:p>
    <w:p w14:paraId="1577FD1F" w14:textId="7A7630C2" w:rsidR="00B72CA4" w:rsidRPr="00B72CA4" w:rsidRDefault="00B72CA4" w:rsidP="002E68F9">
      <w:pPr>
        <w:spacing w:line="276" w:lineRule="auto"/>
        <w:jc w:val="center"/>
        <w:rPr>
          <w:b/>
        </w:rPr>
      </w:pPr>
      <w:hyperlink r:id="rId7" w:history="1">
        <w:r w:rsidRPr="00B72CA4">
          <w:rPr>
            <w:rStyle w:val="Hyperlink"/>
          </w:rPr>
          <w:t>ECLI:LV:AT</w:t>
        </w:r>
        <w:r w:rsidRPr="00B72CA4">
          <w:rPr>
            <w:rStyle w:val="Hyperlink"/>
          </w:rPr>
          <w:t>:</w:t>
        </w:r>
        <w:r w:rsidRPr="00B72CA4">
          <w:rPr>
            <w:rStyle w:val="Hyperlink"/>
          </w:rPr>
          <w:t>2020:0131.A420182516.6.S</w:t>
        </w:r>
      </w:hyperlink>
    </w:p>
    <w:p w14:paraId="2F242BC5" w14:textId="77777777" w:rsidR="006B7BBC" w:rsidRPr="00652E61" w:rsidRDefault="006B7BBC" w:rsidP="002E68F9">
      <w:pPr>
        <w:spacing w:line="276" w:lineRule="auto"/>
        <w:ind w:firstLine="567"/>
        <w:jc w:val="both"/>
      </w:pPr>
    </w:p>
    <w:p w14:paraId="1649AD24" w14:textId="2256A6C3" w:rsidR="008F061E" w:rsidRPr="00652E61" w:rsidRDefault="008F061E" w:rsidP="002E68F9">
      <w:pPr>
        <w:spacing w:line="276" w:lineRule="auto"/>
        <w:ind w:firstLine="567"/>
        <w:jc w:val="both"/>
      </w:pPr>
      <w:r w:rsidRPr="00652E61">
        <w:t xml:space="preserve">Tiesa šādā sastāvā: senatores Jautrīte Briede, </w:t>
      </w:r>
      <w:r w:rsidR="007842EA" w:rsidRPr="00652E61">
        <w:t>Vēsma Kakste</w:t>
      </w:r>
      <w:r w:rsidR="003B3D1A" w:rsidRPr="00652E61">
        <w:t xml:space="preserve"> un Dace Mita</w:t>
      </w:r>
    </w:p>
    <w:p w14:paraId="3049557F" w14:textId="77777777" w:rsidR="003047F5" w:rsidRPr="00652E61" w:rsidRDefault="003047F5" w:rsidP="002E68F9">
      <w:pPr>
        <w:spacing w:line="276" w:lineRule="auto"/>
        <w:ind w:firstLine="567"/>
        <w:jc w:val="both"/>
      </w:pPr>
    </w:p>
    <w:p w14:paraId="45FEDFF2" w14:textId="3208248A" w:rsidR="003047F5" w:rsidRPr="00652E61" w:rsidRDefault="00941626" w:rsidP="002E68F9">
      <w:pPr>
        <w:spacing w:line="276" w:lineRule="auto"/>
        <w:ind w:firstLine="567"/>
        <w:jc w:val="both"/>
      </w:pPr>
      <w:r w:rsidRPr="00652E61">
        <w:t>rakstveida procesā izskatīja administratīvo lietu, kas ierosināta</w:t>
      </w:r>
      <w:r w:rsidR="00503213" w:rsidRPr="00652E61">
        <w:t>, pamatojoties uz</w:t>
      </w:r>
      <w:r w:rsidR="00207D38" w:rsidRPr="00652E61">
        <w:t xml:space="preserve"> AS </w:t>
      </w:r>
      <w:r w:rsidR="000B54D4" w:rsidRPr="00652E61">
        <w:t>„Protezēšanas un ortopēdijas centrs” pieteikumu par Valsts ugunsdzēsības un glābšanas dienesta Rīgas reģionālās pārvaldes 2016.gada 24.februāra lēmuma Nr.</w:t>
      </w:r>
      <w:r w:rsidR="00207D38" w:rsidRPr="00652E61">
        <w:t> </w:t>
      </w:r>
      <w:r w:rsidR="000B54D4" w:rsidRPr="00652E61">
        <w:t>22/8-1.19.1/8 2.punkta atcelšanu</w:t>
      </w:r>
      <w:r w:rsidR="007F5C55" w:rsidRPr="00652E61">
        <w:t xml:space="preserve">, </w:t>
      </w:r>
      <w:r w:rsidRPr="00652E61">
        <w:t>s</w:t>
      </w:r>
      <w:r w:rsidR="008570F8" w:rsidRPr="00652E61">
        <w:t>a</w:t>
      </w:r>
      <w:r w:rsidRPr="00652E61">
        <w:t>karā ar</w:t>
      </w:r>
      <w:r w:rsidR="005F2106" w:rsidRPr="00652E61">
        <w:t xml:space="preserve"> </w:t>
      </w:r>
      <w:r w:rsidR="000B54D4" w:rsidRPr="00652E61">
        <w:t>AS</w:t>
      </w:r>
      <w:r w:rsidR="00207D38" w:rsidRPr="00652E61">
        <w:t> </w:t>
      </w:r>
      <w:r w:rsidR="000B54D4" w:rsidRPr="00652E61">
        <w:t>„Protezēšanas un ortopēdijas centrs”</w:t>
      </w:r>
      <w:r w:rsidR="00503213" w:rsidRPr="00652E61">
        <w:t xml:space="preserve"> </w:t>
      </w:r>
      <w:r w:rsidRPr="00652E61">
        <w:t xml:space="preserve">kasācijas sūdzību par </w:t>
      </w:r>
      <w:bookmarkStart w:id="0" w:name="_Hlk29200063"/>
      <w:r w:rsidR="007F5C55" w:rsidRPr="00652E61">
        <w:t xml:space="preserve">Administratīvās </w:t>
      </w:r>
      <w:r w:rsidR="000B54D4" w:rsidRPr="00652E61">
        <w:t>apgabal</w:t>
      </w:r>
      <w:r w:rsidR="007F5C55" w:rsidRPr="00652E61">
        <w:t xml:space="preserve">tiesas </w:t>
      </w:r>
      <w:bookmarkEnd w:id="0"/>
      <w:r w:rsidR="00BA31B6" w:rsidRPr="00652E61">
        <w:t xml:space="preserve">2017.gada </w:t>
      </w:r>
      <w:r w:rsidR="000B54D4" w:rsidRPr="00652E61">
        <w:t>29</w:t>
      </w:r>
      <w:r w:rsidR="00BA31B6" w:rsidRPr="00652E61">
        <w:t xml:space="preserve">.novembra </w:t>
      </w:r>
      <w:r w:rsidR="007F5C55" w:rsidRPr="00652E61">
        <w:t>spriedumu</w:t>
      </w:r>
      <w:r w:rsidRPr="00652E61">
        <w:t>.</w:t>
      </w:r>
    </w:p>
    <w:p w14:paraId="5DE22EF3" w14:textId="77777777" w:rsidR="00A6596A" w:rsidRPr="00652E61" w:rsidRDefault="00A6596A" w:rsidP="002E68F9">
      <w:pPr>
        <w:spacing w:line="276" w:lineRule="auto"/>
        <w:ind w:firstLine="567"/>
        <w:jc w:val="both"/>
      </w:pPr>
    </w:p>
    <w:p w14:paraId="49301551" w14:textId="77777777" w:rsidR="003047F5" w:rsidRPr="00652E61" w:rsidRDefault="003047F5" w:rsidP="002E68F9">
      <w:pPr>
        <w:pStyle w:val="ATpamattesksts"/>
        <w:ind w:firstLine="0"/>
        <w:jc w:val="center"/>
      </w:pPr>
      <w:r w:rsidRPr="00652E61">
        <w:rPr>
          <w:b/>
        </w:rPr>
        <w:t>Aprakstošā</w:t>
      </w:r>
      <w:r w:rsidRPr="00652E61">
        <w:t xml:space="preserve"> </w:t>
      </w:r>
      <w:r w:rsidRPr="00652E61">
        <w:rPr>
          <w:b/>
        </w:rPr>
        <w:t>daļa</w:t>
      </w:r>
    </w:p>
    <w:p w14:paraId="54AE93A0" w14:textId="77777777" w:rsidR="003047F5" w:rsidRPr="00652E61" w:rsidRDefault="003047F5" w:rsidP="002E68F9">
      <w:pPr>
        <w:spacing w:line="276" w:lineRule="auto"/>
        <w:ind w:firstLine="567"/>
        <w:jc w:val="both"/>
      </w:pPr>
    </w:p>
    <w:p w14:paraId="1C673FF0" w14:textId="087DBE57" w:rsidR="00503213" w:rsidRPr="00652E61" w:rsidRDefault="003047F5" w:rsidP="002E68F9">
      <w:pPr>
        <w:spacing w:line="276" w:lineRule="auto"/>
        <w:ind w:firstLine="567"/>
        <w:jc w:val="both"/>
      </w:pPr>
      <w:r w:rsidRPr="00652E61">
        <w:t>[1] </w:t>
      </w:r>
      <w:r w:rsidR="009E41B4" w:rsidRPr="00652E61">
        <w:t>Ar pārsūdzēto Valsts ugunsdzēsības un glābšanas dienesta</w:t>
      </w:r>
      <w:r w:rsidR="00D522A4" w:rsidRPr="00652E61">
        <w:t xml:space="preserve"> (turpmāk – dienesta)</w:t>
      </w:r>
      <w:r w:rsidR="009E41B4" w:rsidRPr="00652E61">
        <w:t xml:space="preserve"> lēmuma 2.punktu</w:t>
      </w:r>
      <w:r w:rsidR="00C37F7D" w:rsidRPr="00652E61">
        <w:t xml:space="preserve"> atstāts negrozīts pārbaudes akta punkts Nr. 1, kurā</w:t>
      </w:r>
      <w:r w:rsidR="008F17D4" w:rsidRPr="00652E61">
        <w:t xml:space="preserve"> secināts, ka pieteicējas AS </w:t>
      </w:r>
      <w:r w:rsidR="009E41B4" w:rsidRPr="00652E61">
        <w:t>„Protezēšanas un ortopēdijas centrs” ēkā ir automātiskā ugunsgrēka atklāšanas un trauksmes signalizācijas sistēma (turpmāk arī – signalizācijas sistēma), kas netiek uzturēta darba kārtībā (ir atslēgta). Secināts, ka tādējādi ir pieļauts ugunsdrošības noteikumu pārkāpums</w:t>
      </w:r>
      <w:r w:rsidR="00191AA0" w:rsidRPr="00652E61">
        <w:t>,</w:t>
      </w:r>
      <w:r w:rsidR="009E41B4" w:rsidRPr="00652E61">
        <w:t xml:space="preserve"> un uzlikts pienākums novērst šo pārkāpumu. </w:t>
      </w:r>
    </w:p>
    <w:p w14:paraId="48623ABD" w14:textId="70651A04" w:rsidR="003047F5" w:rsidRPr="00652E61" w:rsidRDefault="002F5E6D" w:rsidP="002E68F9">
      <w:pPr>
        <w:spacing w:line="276" w:lineRule="auto"/>
        <w:ind w:firstLine="567"/>
        <w:jc w:val="both"/>
      </w:pPr>
      <w:r w:rsidRPr="00652E61">
        <w:t xml:space="preserve"> </w:t>
      </w:r>
      <w:r w:rsidR="006E008C" w:rsidRPr="00652E61">
        <w:t>Nepiekrītot lēmumam, p</w:t>
      </w:r>
      <w:r w:rsidR="00503213" w:rsidRPr="00652E61">
        <w:t>ieteicēj</w:t>
      </w:r>
      <w:r w:rsidR="000B54D4" w:rsidRPr="00652E61">
        <w:t>a</w:t>
      </w:r>
      <w:r w:rsidR="00503213" w:rsidRPr="00652E61">
        <w:t xml:space="preserve"> </w:t>
      </w:r>
      <w:r w:rsidR="000B7895" w:rsidRPr="00652E61">
        <w:t xml:space="preserve">vērsās </w:t>
      </w:r>
      <w:r w:rsidR="00EA7BF6" w:rsidRPr="00652E61">
        <w:t xml:space="preserve">tiesā </w:t>
      </w:r>
      <w:r w:rsidR="000B7895" w:rsidRPr="00652E61">
        <w:t>ar</w:t>
      </w:r>
      <w:r w:rsidR="007F5C55" w:rsidRPr="00652E61">
        <w:t xml:space="preserve"> pieteikum</w:t>
      </w:r>
      <w:r w:rsidR="000B7895" w:rsidRPr="00652E61">
        <w:t>u</w:t>
      </w:r>
      <w:r w:rsidR="00D522A4" w:rsidRPr="00652E61">
        <w:t xml:space="preserve">, </w:t>
      </w:r>
      <w:proofErr w:type="spellStart"/>
      <w:r w:rsidR="00D522A4" w:rsidRPr="00652E61">
        <w:t>citstarp</w:t>
      </w:r>
      <w:proofErr w:type="spellEnd"/>
      <w:r w:rsidR="00D522A4" w:rsidRPr="00652E61">
        <w:t xml:space="preserve"> norādot, ka ēkā signalizācijas sistēma nav uzstādīta, tāpēc nav iespējama tās uzturēšana darba kārtībā, dienests ir saskaņojis pieteicējas Civilās aizsardzības plānu, kurā ugunsdrošības riski novērtēti kā zemi.</w:t>
      </w:r>
    </w:p>
    <w:p w14:paraId="7B7447C9" w14:textId="77777777" w:rsidR="003047F5" w:rsidRPr="00652E61" w:rsidRDefault="003047F5" w:rsidP="002E68F9">
      <w:pPr>
        <w:spacing w:line="276" w:lineRule="auto"/>
        <w:ind w:firstLine="567"/>
        <w:jc w:val="both"/>
      </w:pPr>
    </w:p>
    <w:p w14:paraId="3E775A21" w14:textId="4AB6B4CF" w:rsidR="006E008C" w:rsidRPr="00652E61" w:rsidRDefault="003047F5" w:rsidP="002E68F9">
      <w:pPr>
        <w:spacing w:line="276" w:lineRule="auto"/>
        <w:ind w:firstLine="567"/>
        <w:jc w:val="both"/>
      </w:pPr>
      <w:r w:rsidRPr="00652E61">
        <w:t>[2] </w:t>
      </w:r>
      <w:r w:rsidR="00BD505F" w:rsidRPr="00652E61">
        <w:t xml:space="preserve">Administratīvā </w:t>
      </w:r>
      <w:r w:rsidR="00503213" w:rsidRPr="00652E61">
        <w:t>apgabaltiesa</w:t>
      </w:r>
      <w:r w:rsidR="00BD505F" w:rsidRPr="00652E61">
        <w:t xml:space="preserve"> pieteikumu </w:t>
      </w:r>
      <w:r w:rsidR="00D522A4" w:rsidRPr="00652E61">
        <w:t>noraidīja</w:t>
      </w:r>
      <w:r w:rsidR="00BD505F" w:rsidRPr="00652E61">
        <w:t xml:space="preserve">. </w:t>
      </w:r>
      <w:r w:rsidR="00503213" w:rsidRPr="00652E61">
        <w:t>Apgabaltiesa</w:t>
      </w:r>
      <w:r w:rsidR="006E008C" w:rsidRPr="00652E61">
        <w:t>s spriedums</w:t>
      </w:r>
      <w:r w:rsidR="00503213" w:rsidRPr="00652E61">
        <w:t>, pievienojoties arī rajona tiesas spriedumam,</w:t>
      </w:r>
      <w:r w:rsidR="00F9001A" w:rsidRPr="00652E61">
        <w:t xml:space="preserve"> </w:t>
      </w:r>
      <w:r w:rsidR="006E008C" w:rsidRPr="00652E61">
        <w:t>pamatots ar turpmāk minētajiem argumentiem.</w:t>
      </w:r>
    </w:p>
    <w:p w14:paraId="6A81F45E" w14:textId="7A8C5C98" w:rsidR="005C2541" w:rsidRPr="00652E61" w:rsidRDefault="00207D38" w:rsidP="002E68F9">
      <w:pPr>
        <w:spacing w:line="276" w:lineRule="auto"/>
        <w:ind w:firstLine="567"/>
        <w:jc w:val="both"/>
      </w:pPr>
      <w:r w:rsidRPr="00652E61">
        <w:t>[2.1] </w:t>
      </w:r>
      <w:r w:rsidR="005C2541" w:rsidRPr="00652E61">
        <w:t>Lietā ir strīds, vai dienests pamatoti pieteicējas objektā secināja, ka nav ievērots Ministru kabineta 2004.gada 17.februāra noteikumu Nr.</w:t>
      </w:r>
      <w:r w:rsidR="00C625EB" w:rsidRPr="00652E61">
        <w:t> </w:t>
      </w:r>
      <w:r w:rsidR="005C2541" w:rsidRPr="00652E61">
        <w:t>82 „Ugunsdrošības noteikumi” (turpmāk –</w:t>
      </w:r>
      <w:r w:rsidR="00E0009B" w:rsidRPr="00652E61">
        <w:t xml:space="preserve"> </w:t>
      </w:r>
      <w:r w:rsidR="005C2541" w:rsidRPr="00652E61">
        <w:t>Ugunsdrošības noteikumi) (zaudēja spēku 2016.gada 1.septembrī) 103.punkts, kas paredzēja, ka ugunsaizsardzības sistēmas uztur darba kārtībā un ekspluatē saskaņā ar iekārtu ražotāja tehniskās dokumentācijas prasībām</w:t>
      </w:r>
      <w:r w:rsidR="009D201B" w:rsidRPr="00652E61">
        <w:t>.</w:t>
      </w:r>
    </w:p>
    <w:p w14:paraId="153A5383" w14:textId="00C787E7" w:rsidR="005D68D6" w:rsidRPr="00652E61" w:rsidRDefault="00207D38" w:rsidP="002E68F9">
      <w:pPr>
        <w:spacing w:line="276" w:lineRule="auto"/>
        <w:ind w:firstLine="567"/>
        <w:jc w:val="both"/>
      </w:pPr>
      <w:r w:rsidRPr="00652E61">
        <w:t>[2.2] </w:t>
      </w:r>
      <w:r w:rsidR="00D522A4" w:rsidRPr="00652E61">
        <w:t>Atbilstoši Ministru kabineta 2015.gada 30.jūnija noteikumu Nr.</w:t>
      </w:r>
      <w:r w:rsidR="00C625EB" w:rsidRPr="00652E61">
        <w:t> </w:t>
      </w:r>
      <w:r w:rsidR="00D522A4" w:rsidRPr="00652E61">
        <w:t xml:space="preserve">333 „Noteikumi par Latvijas būvnormatīvu LBN 201-15 „Būvju ugunsdrošība”” (turpmāk – </w:t>
      </w:r>
      <w:r w:rsidR="00C625EB" w:rsidRPr="00652E61">
        <w:t>n</w:t>
      </w:r>
      <w:r w:rsidR="00D522A4" w:rsidRPr="00652E61">
        <w:t>oteikumi Nr.</w:t>
      </w:r>
      <w:r w:rsidR="00C625EB" w:rsidRPr="00652E61">
        <w:t> </w:t>
      </w:r>
      <w:r w:rsidR="00D522A4" w:rsidRPr="00652E61">
        <w:t>333) 5.3.</w:t>
      </w:r>
      <w:r w:rsidR="002D5B3E" w:rsidRPr="00652E61">
        <w:t>apakš</w:t>
      </w:r>
      <w:r w:rsidR="00D522A4" w:rsidRPr="00652E61">
        <w:t xml:space="preserve">punktam III lietošanas veids ir publiskas būves, kas tiek izmantotas visu diennakti un </w:t>
      </w:r>
      <w:r w:rsidR="00D522A4" w:rsidRPr="00652E61">
        <w:lastRenderedPageBreak/>
        <w:t>kurās</w:t>
      </w:r>
      <w:r w:rsidR="005D68D6" w:rsidRPr="00652E61">
        <w:t xml:space="preserve"> </w:t>
      </w:r>
      <w:r w:rsidR="00D522A4" w:rsidRPr="00652E61">
        <w:t>uzturas aprūpējami lietotāji, tostarp slimnīcas, pansionāti, aprūpes ēkas, bērnunami, dzemdību nami, sociālās re</w:t>
      </w:r>
      <w:r w:rsidR="00492F41" w:rsidRPr="00652E61">
        <w:t>h</w:t>
      </w:r>
      <w:r w:rsidR="00D522A4" w:rsidRPr="00652E61">
        <w:t xml:space="preserve">abilitācijas centri. Konkrētajā ēkā </w:t>
      </w:r>
      <w:r w:rsidR="00191AA0" w:rsidRPr="00652E61">
        <w:t xml:space="preserve">ir izvietots </w:t>
      </w:r>
      <w:r w:rsidR="00D522A4" w:rsidRPr="00652E61">
        <w:t xml:space="preserve">dienas stacionārs, kas nodrošina rehabilitāciju pacientiem ar kustību un balsta aparāta slimībām un traumu sekām. Atbilstoši </w:t>
      </w:r>
      <w:r w:rsidR="00C625EB" w:rsidRPr="00652E61">
        <w:t>n</w:t>
      </w:r>
      <w:r w:rsidR="00D522A4" w:rsidRPr="00652E61">
        <w:t>oteikum</w:t>
      </w:r>
      <w:r w:rsidR="00C625EB" w:rsidRPr="00652E61">
        <w:t>u</w:t>
      </w:r>
      <w:r w:rsidR="00D522A4" w:rsidRPr="00652E61">
        <w:t xml:space="preserve"> Nr.</w:t>
      </w:r>
      <w:r w:rsidR="00C625EB" w:rsidRPr="00652E61">
        <w:t> </w:t>
      </w:r>
      <w:r w:rsidR="00D522A4" w:rsidRPr="00652E61">
        <w:t xml:space="preserve">333 185.2.apakšpunktam objektā ir jābūt uzstādītai signalizācijas sistēmai. </w:t>
      </w:r>
    </w:p>
    <w:p w14:paraId="17B3F4C5" w14:textId="3657B477" w:rsidR="00D522A4" w:rsidRPr="00652E61" w:rsidRDefault="00207D38" w:rsidP="002E68F9">
      <w:pPr>
        <w:spacing w:line="276" w:lineRule="auto"/>
        <w:ind w:firstLine="567"/>
        <w:jc w:val="both"/>
      </w:pPr>
      <w:r w:rsidRPr="00652E61">
        <w:t>[2.3] </w:t>
      </w:r>
      <w:r w:rsidR="005D68D6" w:rsidRPr="00652E61">
        <w:t>Ministru kabineta 2011.gada 28.jūnija noteikumu Nr.</w:t>
      </w:r>
      <w:r w:rsidR="00C625EB" w:rsidRPr="00652E61">
        <w:t> </w:t>
      </w:r>
      <w:r w:rsidR="005D68D6" w:rsidRPr="00652E61">
        <w:t>498 „Noteikumi par Latvijas būvnormatīvu LBN 201-10</w:t>
      </w:r>
      <w:r w:rsidR="00004557" w:rsidRPr="00652E61">
        <w:t xml:space="preserve"> „Būvju ugunsdrošība”</w:t>
      </w:r>
      <w:r w:rsidR="005D68D6" w:rsidRPr="00652E61">
        <w:t xml:space="preserve">” (turpmāk – </w:t>
      </w:r>
      <w:r w:rsidR="00C625EB" w:rsidRPr="00652E61">
        <w:t>n</w:t>
      </w:r>
      <w:r w:rsidR="005D68D6" w:rsidRPr="00652E61">
        <w:t>oteikumi Nr.</w:t>
      </w:r>
      <w:r w:rsidR="00C625EB" w:rsidRPr="00652E61">
        <w:t> </w:t>
      </w:r>
      <w:r w:rsidR="005D68D6" w:rsidRPr="00652E61">
        <w:t>498)</w:t>
      </w:r>
      <w:r w:rsidR="00D522A4" w:rsidRPr="00652E61">
        <w:t>, uz kuriem atsaucas pieteicēja, ir zaudējuši spēku 2015.gada 1.jūlijā. Jau 2013.gada 26.marta pārbaud</w:t>
      </w:r>
      <w:r w:rsidR="00337FFD" w:rsidRPr="00652E61">
        <w:t>ē</w:t>
      </w:r>
      <w:r w:rsidR="00D522A4" w:rsidRPr="00652E61">
        <w:t xml:space="preserve"> </w:t>
      </w:r>
      <w:r w:rsidR="00337FFD" w:rsidRPr="00652E61">
        <w:t xml:space="preserve">dienests </w:t>
      </w:r>
      <w:r w:rsidR="00D522A4" w:rsidRPr="00652E61">
        <w:t>konstatē</w:t>
      </w:r>
      <w:r w:rsidR="00337FFD" w:rsidRPr="00652E61">
        <w:t>ja</w:t>
      </w:r>
      <w:r w:rsidR="00D522A4" w:rsidRPr="00652E61">
        <w:t>, ka objektā signalizācijas sistēma netiek uzturēta darba kārtībā. 2014.gada 27.februār</w:t>
      </w:r>
      <w:r w:rsidR="005D68D6" w:rsidRPr="00652E61">
        <w:t xml:space="preserve">ī </w:t>
      </w:r>
      <w:r w:rsidR="00D522A4" w:rsidRPr="00652E61">
        <w:t xml:space="preserve">pieteicējas </w:t>
      </w:r>
      <w:r w:rsidR="005D68D6" w:rsidRPr="00652E61">
        <w:t>amatpersona</w:t>
      </w:r>
      <w:r w:rsidR="00D522A4" w:rsidRPr="00652E61">
        <w:t xml:space="preserve"> </w:t>
      </w:r>
      <w:r w:rsidR="00337FFD" w:rsidRPr="00652E61">
        <w:t xml:space="preserve">par to </w:t>
      </w:r>
      <w:r w:rsidR="00D522A4" w:rsidRPr="00652E61">
        <w:t>saukt</w:t>
      </w:r>
      <w:r w:rsidR="005D68D6" w:rsidRPr="00652E61">
        <w:t>a</w:t>
      </w:r>
      <w:r w:rsidR="00D522A4" w:rsidRPr="00652E61">
        <w:t xml:space="preserve"> pie administratīvās atbildības. Pieteicējas valdes priekšsēdētājs paskaidrojumā atzin</w:t>
      </w:r>
      <w:r w:rsidR="005D68D6" w:rsidRPr="00652E61">
        <w:t>is</w:t>
      </w:r>
      <w:r w:rsidR="00D522A4" w:rsidRPr="00652E61">
        <w:t>, ka signalizācijas sistēma nav bijusi darba kārtībā.</w:t>
      </w:r>
    </w:p>
    <w:p w14:paraId="4FC5ED9A" w14:textId="419717E8" w:rsidR="005C2541" w:rsidRPr="00652E61" w:rsidRDefault="00207D38" w:rsidP="002E68F9">
      <w:pPr>
        <w:spacing w:line="276" w:lineRule="auto"/>
        <w:ind w:firstLine="567"/>
        <w:jc w:val="both"/>
      </w:pPr>
      <w:r w:rsidRPr="00652E61">
        <w:t>[2.4] </w:t>
      </w:r>
      <w:r w:rsidR="005C2541" w:rsidRPr="00652E61">
        <w:t>Konkrētas ugunsaizsardzības sistēmas un tajā ietilpstošo elementu esība pieteicējas objektā ir pieteicējas izvēle. Ja objektā ir ierīkota signalizācijas sistēma, tad pieteicējas pienākums ir to uzturēt darba kārtībā. Ja pieteicēja uzskata, ka šāda sistēma ir novecojusi, tad normatīvajos aktos noteiktā kārtībā ir iespējams to modernizēt</w:t>
      </w:r>
      <w:r w:rsidR="00337FFD" w:rsidRPr="00652E61">
        <w:t xml:space="preserve"> </w:t>
      </w:r>
      <w:r w:rsidR="005C2541" w:rsidRPr="00652E61">
        <w:t>vai demontēt, vai arī izbūvēt jaunu sistēmu. To paredz Ugunsdrošības noteikumu 104. un 105.punkts</w:t>
      </w:r>
      <w:r w:rsidR="00337FFD" w:rsidRPr="00652E61">
        <w:t>:</w:t>
      </w:r>
      <w:r w:rsidR="005C2541" w:rsidRPr="00652E61">
        <w:t xml:space="preserve"> ugunsaizsardzības sistēmai un tajā veiktajām izmaiņām jāatbilst tehniskajam projektam un ugunsaizsardzības sistēmu izbūvi reglamentējošo normatīvo aktu prasībām; ugunsaizsardzības sistēmas pirms ekspluatācijas uzsākšanas pieņem ar aktu atbilstoši būvniecību reglamentējošajiem normatīvajiem aktiem. Pieteicēja nav izdarījusi izmaiņas automātiskās ugunsgrēka atklāšanas un trauksmes signalizācijas sistēmā. Līdz ar to nav pamata analizēt un izvērtēt normas, kas </w:t>
      </w:r>
      <w:r w:rsidR="00191AA0" w:rsidRPr="00652E61">
        <w:t xml:space="preserve">paredz </w:t>
      </w:r>
      <w:r w:rsidR="005C2541" w:rsidRPr="00652E61">
        <w:t xml:space="preserve">prasības būvniecības jomā. Nav nozīmes arī apstāklim, ka ēka uzbūvēta 1933.gadā un 1978.gadā ēkai piebūvēti divi stāvi, jo nav strīda, ka ēka 2015. un 2016.gadā ir uzskatāma par </w:t>
      </w:r>
      <w:r w:rsidR="00191AA0" w:rsidRPr="00652E61">
        <w:t xml:space="preserve">nodotu </w:t>
      </w:r>
      <w:r w:rsidR="005C2541" w:rsidRPr="00652E61">
        <w:t>ekspluatācijā.</w:t>
      </w:r>
    </w:p>
    <w:p w14:paraId="42203244" w14:textId="77777777" w:rsidR="006E008C" w:rsidRPr="00652E61" w:rsidRDefault="006E008C" w:rsidP="002E68F9">
      <w:pPr>
        <w:spacing w:line="276" w:lineRule="auto"/>
        <w:ind w:firstLine="567"/>
        <w:jc w:val="both"/>
      </w:pPr>
    </w:p>
    <w:p w14:paraId="3BC66C9E" w14:textId="0109218B" w:rsidR="005265D4" w:rsidRPr="00652E61" w:rsidRDefault="003047F5" w:rsidP="002E68F9">
      <w:pPr>
        <w:pStyle w:val="ATpamatteksts"/>
        <w:rPr>
          <w:lang w:val="lv-LV"/>
        </w:rPr>
      </w:pPr>
      <w:r w:rsidRPr="00652E61">
        <w:rPr>
          <w:lang w:val="lv-LV"/>
        </w:rPr>
        <w:t>[</w:t>
      </w:r>
      <w:r w:rsidR="006B7BBC" w:rsidRPr="00652E61">
        <w:rPr>
          <w:lang w:val="lv-LV"/>
        </w:rPr>
        <w:t>3</w:t>
      </w:r>
      <w:r w:rsidRPr="00652E61">
        <w:rPr>
          <w:lang w:val="lv-LV"/>
        </w:rPr>
        <w:t>] </w:t>
      </w:r>
      <w:r w:rsidR="000B54D4" w:rsidRPr="00652E61">
        <w:rPr>
          <w:lang w:val="lv-LV"/>
        </w:rPr>
        <w:t>Pieteicēja</w:t>
      </w:r>
      <w:r w:rsidR="00FD5EFB" w:rsidRPr="00652E61">
        <w:rPr>
          <w:lang w:val="lv-LV"/>
        </w:rPr>
        <w:t xml:space="preserve"> </w:t>
      </w:r>
      <w:r w:rsidR="00BD505F" w:rsidRPr="00652E61">
        <w:rPr>
          <w:lang w:val="lv-LV"/>
        </w:rPr>
        <w:t>iesniedza kasācijas sū</w:t>
      </w:r>
      <w:r w:rsidR="006A6865" w:rsidRPr="00652E61">
        <w:rPr>
          <w:lang w:val="lv-LV"/>
        </w:rPr>
        <w:t>dzību par spriedumu</w:t>
      </w:r>
      <w:r w:rsidR="006248A7" w:rsidRPr="00652E61">
        <w:rPr>
          <w:lang w:val="lv-LV"/>
        </w:rPr>
        <w:t>.</w:t>
      </w:r>
      <w:r w:rsidR="00E424D9" w:rsidRPr="00652E61">
        <w:rPr>
          <w:lang w:val="lv-LV"/>
        </w:rPr>
        <w:t xml:space="preserve"> </w:t>
      </w:r>
      <w:r w:rsidR="00FE1A84" w:rsidRPr="00652E61">
        <w:rPr>
          <w:lang w:val="lv-LV"/>
        </w:rPr>
        <w:t xml:space="preserve">Kasācijas sūdzībā atreferēti galvenie pieteikuma un apelācijas sūdzības argumenti un norādīts, </w:t>
      </w:r>
      <w:r w:rsidR="007B631D" w:rsidRPr="00652E61">
        <w:rPr>
          <w:lang w:val="lv-LV"/>
        </w:rPr>
        <w:t>kurus</w:t>
      </w:r>
      <w:r w:rsidR="00FE1A84" w:rsidRPr="00652E61">
        <w:rPr>
          <w:lang w:val="lv-LV"/>
        </w:rPr>
        <w:t xml:space="preserve"> argumentus </w:t>
      </w:r>
      <w:r w:rsidR="007B631D" w:rsidRPr="00652E61">
        <w:rPr>
          <w:lang w:val="lv-LV"/>
        </w:rPr>
        <w:t xml:space="preserve">tiesa </w:t>
      </w:r>
      <w:r w:rsidR="00FE1A84" w:rsidRPr="00652E61">
        <w:rPr>
          <w:lang w:val="lv-LV"/>
        </w:rPr>
        <w:t>nav pietiekami izvērtējusi. Tiesa nepareizi secināju</w:t>
      </w:r>
      <w:r w:rsidR="00463DA4" w:rsidRPr="00652E61">
        <w:rPr>
          <w:lang w:val="lv-LV"/>
        </w:rPr>
        <w:t>si</w:t>
      </w:r>
      <w:r w:rsidR="00FE1A84" w:rsidRPr="00652E61">
        <w:rPr>
          <w:lang w:val="lv-LV"/>
        </w:rPr>
        <w:t xml:space="preserve">, ka </w:t>
      </w:r>
      <w:r w:rsidR="00463DA4" w:rsidRPr="00652E61">
        <w:rPr>
          <w:lang w:val="lv-LV"/>
        </w:rPr>
        <w:t xml:space="preserve">atbilstoši </w:t>
      </w:r>
      <w:r w:rsidR="00D47764">
        <w:rPr>
          <w:lang w:val="lv-LV"/>
        </w:rPr>
        <w:t>n</w:t>
      </w:r>
      <w:r w:rsidR="00463DA4" w:rsidRPr="00D47764">
        <w:rPr>
          <w:lang w:val="lv-LV"/>
        </w:rPr>
        <w:t>oteikumie</w:t>
      </w:r>
      <w:r w:rsidR="00D47764" w:rsidRPr="00D47764">
        <w:rPr>
          <w:lang w:val="lv-LV"/>
        </w:rPr>
        <w:t>m</w:t>
      </w:r>
      <w:r w:rsidR="00463DA4" w:rsidRPr="00652E61">
        <w:t xml:space="preserve"> Nr.</w:t>
      </w:r>
      <w:r w:rsidR="0039056C" w:rsidRPr="00652E61">
        <w:rPr>
          <w:lang w:val="lv-LV"/>
        </w:rPr>
        <w:t> </w:t>
      </w:r>
      <w:r w:rsidR="00463DA4" w:rsidRPr="00652E61">
        <w:t>333</w:t>
      </w:r>
      <w:r w:rsidR="00FE1A84" w:rsidRPr="00652E61">
        <w:rPr>
          <w:lang w:val="lv-LV"/>
        </w:rPr>
        <w:t xml:space="preserve"> </w:t>
      </w:r>
      <w:r w:rsidR="00463DA4" w:rsidRPr="00652E61">
        <w:rPr>
          <w:lang w:val="lv-LV"/>
        </w:rPr>
        <w:t xml:space="preserve">objektā </w:t>
      </w:r>
      <w:r w:rsidR="00191AA0" w:rsidRPr="00652E61">
        <w:rPr>
          <w:lang w:val="lv-LV"/>
        </w:rPr>
        <w:t xml:space="preserve">jābūt </w:t>
      </w:r>
      <w:r w:rsidR="00463DA4" w:rsidRPr="00652E61">
        <w:rPr>
          <w:lang w:val="lv-LV"/>
        </w:rPr>
        <w:t>signalizācijas sistēmai. Noteikumu 5.3.</w:t>
      </w:r>
      <w:r w:rsidR="00C028EE" w:rsidRPr="00652E61">
        <w:rPr>
          <w:lang w:val="lv-LV"/>
        </w:rPr>
        <w:t>apakš</w:t>
      </w:r>
      <w:r w:rsidR="00463DA4" w:rsidRPr="00652E61">
        <w:rPr>
          <w:lang w:val="lv-LV"/>
        </w:rPr>
        <w:t xml:space="preserve">punkts ietver norādi uz būvēm, kas tiek izmantotas </w:t>
      </w:r>
      <w:r w:rsidR="00463DA4" w:rsidRPr="00652E61">
        <w:rPr>
          <w:i/>
          <w:iCs/>
          <w:lang w:val="lv-LV"/>
        </w:rPr>
        <w:t>visu diennakti</w:t>
      </w:r>
      <w:r w:rsidR="00463DA4" w:rsidRPr="00652E61">
        <w:rPr>
          <w:lang w:val="lv-LV"/>
        </w:rPr>
        <w:t xml:space="preserve">, bet konkrētais objekts tāds nav. Tiesa </w:t>
      </w:r>
      <w:r w:rsidR="007B631D" w:rsidRPr="00652E61">
        <w:rPr>
          <w:lang w:val="lv-LV"/>
        </w:rPr>
        <w:t>neesot</w:t>
      </w:r>
      <w:r w:rsidR="00463DA4" w:rsidRPr="00652E61">
        <w:rPr>
          <w:lang w:val="lv-LV"/>
        </w:rPr>
        <w:t xml:space="preserve"> izvērtējusi pierādījumus, secinot, ka pieteicējai nav un nav bijusi signalizācijas sistēma. Tiesa n</w:t>
      </w:r>
      <w:r w:rsidR="007B631D" w:rsidRPr="00652E61">
        <w:rPr>
          <w:lang w:val="lv-LV"/>
        </w:rPr>
        <w:t>eesot</w:t>
      </w:r>
      <w:r w:rsidR="00463DA4" w:rsidRPr="00652E61">
        <w:rPr>
          <w:lang w:val="lv-LV"/>
        </w:rPr>
        <w:t xml:space="preserve"> iedziļinājusies strīda būtībā, tādējādi pārkāpjot Administratīvā procesa likuma 107., 112., 150., 154., 247., 251.pantu, kas novedis pie lietas nepareizas izspriešanas.</w:t>
      </w:r>
    </w:p>
    <w:p w14:paraId="2EF547F3" w14:textId="77777777" w:rsidR="005427DC" w:rsidRPr="00652E61" w:rsidRDefault="005427DC" w:rsidP="002E68F9">
      <w:pPr>
        <w:pStyle w:val="ATpamatteksts"/>
        <w:ind w:firstLine="0"/>
        <w:rPr>
          <w:lang w:val="lv-LV"/>
        </w:rPr>
      </w:pPr>
    </w:p>
    <w:p w14:paraId="4E8654CD" w14:textId="2109D7C4" w:rsidR="000B54D4" w:rsidRPr="00652E61" w:rsidRDefault="006B7BBC" w:rsidP="002E68F9">
      <w:pPr>
        <w:spacing w:line="276" w:lineRule="auto"/>
        <w:ind w:firstLine="567"/>
        <w:jc w:val="both"/>
      </w:pPr>
      <w:r w:rsidRPr="00652E61">
        <w:t>[</w:t>
      </w:r>
      <w:r w:rsidR="006248A7" w:rsidRPr="00652E61">
        <w:t>4</w:t>
      </w:r>
      <w:r w:rsidR="003047F5" w:rsidRPr="00652E61">
        <w:t>] </w:t>
      </w:r>
      <w:r w:rsidR="000B54D4" w:rsidRPr="00652E61">
        <w:t>Valsts ugunsdzēsības un glābšanas dienests iesniedzis paskaidrojumus, norādot, ka spriedums atstājams negrozīts.</w:t>
      </w:r>
    </w:p>
    <w:p w14:paraId="51D5FABC" w14:textId="77777777" w:rsidR="003047F5" w:rsidRPr="00652E61" w:rsidRDefault="003047F5" w:rsidP="002E68F9">
      <w:pPr>
        <w:spacing w:line="276" w:lineRule="auto"/>
        <w:ind w:firstLine="567"/>
        <w:jc w:val="both"/>
      </w:pPr>
    </w:p>
    <w:p w14:paraId="1900DA50" w14:textId="77777777" w:rsidR="003047F5" w:rsidRPr="00652E61" w:rsidRDefault="003047F5" w:rsidP="002E68F9">
      <w:pPr>
        <w:spacing w:line="276" w:lineRule="auto"/>
        <w:jc w:val="center"/>
        <w:rPr>
          <w:b/>
        </w:rPr>
      </w:pPr>
      <w:r w:rsidRPr="00652E61">
        <w:rPr>
          <w:b/>
        </w:rPr>
        <w:t>Motīvu daļa</w:t>
      </w:r>
    </w:p>
    <w:p w14:paraId="50C3E4A3" w14:textId="77777777" w:rsidR="003047F5" w:rsidRPr="00652E61" w:rsidRDefault="003047F5" w:rsidP="002E68F9">
      <w:pPr>
        <w:spacing w:line="276" w:lineRule="auto"/>
        <w:ind w:firstLine="567"/>
        <w:jc w:val="both"/>
      </w:pPr>
    </w:p>
    <w:p w14:paraId="614F828A" w14:textId="14AEA7C4" w:rsidR="00492F41" w:rsidRPr="00652E61" w:rsidRDefault="001802C9" w:rsidP="002E68F9">
      <w:pPr>
        <w:pStyle w:val="ATpamatteksts"/>
        <w:rPr>
          <w:lang w:val="lv-LV"/>
        </w:rPr>
      </w:pPr>
      <w:r w:rsidRPr="00652E61">
        <w:rPr>
          <w:lang w:val="lv-LV"/>
        </w:rPr>
        <w:t>[5] </w:t>
      </w:r>
      <w:r w:rsidR="00492F41" w:rsidRPr="00652E61">
        <w:rPr>
          <w:lang w:val="lv-LV"/>
        </w:rPr>
        <w:t xml:space="preserve">Konkrētajā lietā pieteicējai nelabvēlīgais administratīvais akts pamatots ar </w:t>
      </w:r>
      <w:r w:rsidR="00492F41" w:rsidRPr="00652E61">
        <w:t>Ugunsdrošības noteikum</w:t>
      </w:r>
      <w:r w:rsidR="00492F41" w:rsidRPr="00652E61">
        <w:rPr>
          <w:lang w:val="lv-LV"/>
        </w:rPr>
        <w:t xml:space="preserve">u </w:t>
      </w:r>
      <w:r w:rsidR="00492F41" w:rsidRPr="00652E61">
        <w:t>103.punkt</w:t>
      </w:r>
      <w:r w:rsidR="006F3872" w:rsidRPr="00652E61">
        <w:rPr>
          <w:lang w:val="lv-LV"/>
        </w:rPr>
        <w:t>u</w:t>
      </w:r>
      <w:r w:rsidR="00492F41" w:rsidRPr="00652E61">
        <w:t>, kas paredzēja, ka ugunsaizsardzības sistēmas uztur darba kārtībā un ekspluatē saskaņā ar iekārtu ražotāja tehniskās dokumentācijas prasībām</w:t>
      </w:r>
      <w:r w:rsidR="00492F41" w:rsidRPr="00652E61">
        <w:rPr>
          <w:lang w:val="lv-LV"/>
        </w:rPr>
        <w:t xml:space="preserve">, kā arī secinājumu, ka </w:t>
      </w:r>
      <w:r w:rsidR="009D4A57" w:rsidRPr="00652E61">
        <w:t>„</w:t>
      </w:r>
      <w:r w:rsidR="00492F41" w:rsidRPr="00652E61">
        <w:rPr>
          <w:lang w:val="lv-LV"/>
        </w:rPr>
        <w:t xml:space="preserve">objektā ir ierīkota automātiskā ugunsgrēka atklāšanas un trauksmes </w:t>
      </w:r>
      <w:r w:rsidR="006F3872" w:rsidRPr="00652E61">
        <w:rPr>
          <w:lang w:val="lv-LV"/>
        </w:rPr>
        <w:t>signalizācijas sistēma, kura netiek uzturēta darba kārtībā</w:t>
      </w:r>
      <w:r w:rsidR="00BC3B12" w:rsidRPr="00652E61">
        <w:rPr>
          <w:lang w:val="lv-LV"/>
        </w:rPr>
        <w:t>”</w:t>
      </w:r>
      <w:r w:rsidR="006F3872" w:rsidRPr="00652E61">
        <w:rPr>
          <w:lang w:val="lv-LV"/>
        </w:rPr>
        <w:t xml:space="preserve"> </w:t>
      </w:r>
      <w:r w:rsidR="006F3872" w:rsidRPr="00652E61">
        <w:rPr>
          <w:i/>
          <w:iCs/>
          <w:lang w:val="lv-LV"/>
        </w:rPr>
        <w:t>(lietas 14.lpp</w:t>
      </w:r>
      <w:r w:rsidR="006F3872" w:rsidRPr="00652E61">
        <w:rPr>
          <w:lang w:val="lv-LV"/>
        </w:rPr>
        <w:t xml:space="preserve">). </w:t>
      </w:r>
    </w:p>
    <w:p w14:paraId="57B6BAF5" w14:textId="5419B019" w:rsidR="00BA5CE9" w:rsidRPr="00652E61" w:rsidRDefault="007B631D" w:rsidP="002E68F9">
      <w:pPr>
        <w:pStyle w:val="ATpamatteksts"/>
        <w:rPr>
          <w:lang w:val="lv-LV"/>
        </w:rPr>
      </w:pPr>
      <w:r w:rsidRPr="00652E61">
        <w:rPr>
          <w:lang w:val="lv-LV"/>
        </w:rPr>
        <w:t>Senāta ieskat</w:t>
      </w:r>
      <w:r w:rsidR="00CB36DE" w:rsidRPr="00652E61">
        <w:rPr>
          <w:lang w:val="lv-LV"/>
        </w:rPr>
        <w:t>ā,</w:t>
      </w:r>
      <w:r w:rsidRPr="00652E61">
        <w:rPr>
          <w:lang w:val="lv-LV"/>
        </w:rPr>
        <w:t xml:space="preserve"> </w:t>
      </w:r>
      <w:r w:rsidR="009D201B" w:rsidRPr="00652E61">
        <w:t>Ugunsdrošības noteikum</w:t>
      </w:r>
      <w:r w:rsidR="009D201B" w:rsidRPr="00652E61">
        <w:rPr>
          <w:lang w:val="lv-LV"/>
        </w:rPr>
        <w:t xml:space="preserve">u </w:t>
      </w:r>
      <w:r w:rsidR="009D201B" w:rsidRPr="00652E61">
        <w:t>103.punkt</w:t>
      </w:r>
      <w:r w:rsidR="009D201B" w:rsidRPr="00652E61">
        <w:rPr>
          <w:lang w:val="lv-LV"/>
        </w:rPr>
        <w:t xml:space="preserve">ā ietvertā vārdkopa </w:t>
      </w:r>
      <w:r w:rsidR="009D201B" w:rsidRPr="00652E61">
        <w:t>„ugunsaizsardzības sistēma</w:t>
      </w:r>
      <w:r w:rsidR="009D201B" w:rsidRPr="00652E61">
        <w:rPr>
          <w:lang w:val="lv-LV"/>
        </w:rPr>
        <w:t>”</w:t>
      </w:r>
      <w:r w:rsidRPr="00652E61">
        <w:rPr>
          <w:lang w:val="lv-LV"/>
        </w:rPr>
        <w:t xml:space="preserve"> interpretējama tādējādi, ka</w:t>
      </w:r>
      <w:r w:rsidR="0039056C" w:rsidRPr="00652E61">
        <w:rPr>
          <w:lang w:val="lv-LV"/>
        </w:rPr>
        <w:t xml:space="preserve"> ar</w:t>
      </w:r>
      <w:r w:rsidRPr="00652E61">
        <w:rPr>
          <w:lang w:val="lv-LV"/>
        </w:rPr>
        <w:t xml:space="preserve"> to</w:t>
      </w:r>
      <w:r w:rsidR="009D201B" w:rsidRPr="00652E61">
        <w:rPr>
          <w:lang w:val="lv-LV"/>
        </w:rPr>
        <w:t xml:space="preserve"> ir jāsaprot </w:t>
      </w:r>
      <w:r w:rsidRPr="00652E61">
        <w:rPr>
          <w:lang w:val="lv-LV"/>
        </w:rPr>
        <w:t xml:space="preserve">tikai tāda sistēma, kas </w:t>
      </w:r>
      <w:r w:rsidRPr="00652E61">
        <w:rPr>
          <w:lang w:val="lv-LV"/>
        </w:rPr>
        <w:lastRenderedPageBreak/>
        <w:t xml:space="preserve">ir </w:t>
      </w:r>
      <w:r w:rsidR="00BA5CE9" w:rsidRPr="00652E61">
        <w:rPr>
          <w:lang w:val="lv-LV"/>
        </w:rPr>
        <w:t>p</w:t>
      </w:r>
      <w:r w:rsidRPr="00652E61">
        <w:rPr>
          <w:lang w:val="lv-LV"/>
        </w:rPr>
        <w:t>ieslēdzama</w:t>
      </w:r>
      <w:r w:rsidR="00A82DBD" w:rsidRPr="00652E61">
        <w:rPr>
          <w:lang w:val="lv-LV"/>
        </w:rPr>
        <w:t xml:space="preserve">, ja tā ir tikai </w:t>
      </w:r>
      <w:r w:rsidR="00BA5CE9" w:rsidRPr="00652E61">
        <w:rPr>
          <w:lang w:val="lv-LV"/>
        </w:rPr>
        <w:t>at</w:t>
      </w:r>
      <w:r w:rsidR="00A82DBD" w:rsidRPr="00652E61">
        <w:rPr>
          <w:lang w:val="lv-LV"/>
        </w:rPr>
        <w:t>slēgta,</w:t>
      </w:r>
      <w:r w:rsidRPr="00652E61">
        <w:rPr>
          <w:lang w:val="lv-LV"/>
        </w:rPr>
        <w:t xml:space="preserve"> vai </w:t>
      </w:r>
      <w:r w:rsidR="00A82DBD" w:rsidRPr="00652E61">
        <w:rPr>
          <w:lang w:val="lv-LV"/>
        </w:rPr>
        <w:t xml:space="preserve">salabojama, ja </w:t>
      </w:r>
      <w:r w:rsidR="003C2BC8" w:rsidRPr="00652E61">
        <w:rPr>
          <w:lang w:val="lv-LV"/>
        </w:rPr>
        <w:t xml:space="preserve">tā </w:t>
      </w:r>
      <w:r w:rsidR="00A82DBD" w:rsidRPr="00652E61">
        <w:rPr>
          <w:lang w:val="lv-LV"/>
        </w:rPr>
        <w:t xml:space="preserve">izgājusi no ierindas, taču to nevar attiecināt uz </w:t>
      </w:r>
      <w:r w:rsidRPr="00652E61">
        <w:rPr>
          <w:lang w:val="lv-LV"/>
        </w:rPr>
        <w:t>kādreiz</w:t>
      </w:r>
      <w:r w:rsidR="009D201B" w:rsidRPr="00652E61">
        <w:rPr>
          <w:lang w:val="lv-LV"/>
        </w:rPr>
        <w:t xml:space="preserve"> darbojošās </w:t>
      </w:r>
      <w:r w:rsidR="00BA5CE9" w:rsidRPr="00652E61">
        <w:rPr>
          <w:lang w:val="lv-LV"/>
        </w:rPr>
        <w:t xml:space="preserve">signalizācijas </w:t>
      </w:r>
      <w:r w:rsidR="009D201B" w:rsidRPr="00652E61">
        <w:rPr>
          <w:lang w:val="lv-LV"/>
        </w:rPr>
        <w:t>sistēmas atsevišķi</w:t>
      </w:r>
      <w:r w:rsidR="00A82DBD" w:rsidRPr="00652E61">
        <w:rPr>
          <w:lang w:val="lv-LV"/>
        </w:rPr>
        <w:t>em</w:t>
      </w:r>
      <w:r w:rsidR="009D201B" w:rsidRPr="00652E61">
        <w:rPr>
          <w:lang w:val="lv-LV"/>
        </w:rPr>
        <w:t xml:space="preserve"> elementi</w:t>
      </w:r>
      <w:r w:rsidR="00A82DBD" w:rsidRPr="00652E61">
        <w:rPr>
          <w:lang w:val="lv-LV"/>
        </w:rPr>
        <w:t>em</w:t>
      </w:r>
      <w:r w:rsidR="009D201B" w:rsidRPr="00652E61">
        <w:rPr>
          <w:lang w:val="lv-LV"/>
        </w:rPr>
        <w:t xml:space="preserve"> (sistēmas atliek</w:t>
      </w:r>
      <w:r w:rsidR="00A82DBD" w:rsidRPr="00652E61">
        <w:rPr>
          <w:lang w:val="lv-LV"/>
        </w:rPr>
        <w:t>ām</w:t>
      </w:r>
      <w:r w:rsidR="009D201B" w:rsidRPr="00652E61">
        <w:rPr>
          <w:lang w:val="lv-LV"/>
        </w:rPr>
        <w:t>)</w:t>
      </w:r>
      <w:r w:rsidRPr="00652E61">
        <w:rPr>
          <w:lang w:val="lv-LV"/>
        </w:rPr>
        <w:t xml:space="preserve">, kura faktiski ir </w:t>
      </w:r>
      <w:r w:rsidR="00A82DBD" w:rsidRPr="00652E61">
        <w:rPr>
          <w:lang w:val="lv-LV"/>
        </w:rPr>
        <w:t xml:space="preserve">nevis jāsalabo, bet gan </w:t>
      </w:r>
      <w:r w:rsidR="00BA5CE9" w:rsidRPr="00652E61">
        <w:rPr>
          <w:lang w:val="lv-LV"/>
        </w:rPr>
        <w:t xml:space="preserve">ir pilnībā </w:t>
      </w:r>
      <w:r w:rsidRPr="00652E61">
        <w:rPr>
          <w:lang w:val="lv-LV"/>
        </w:rPr>
        <w:t>jāaizvieto.</w:t>
      </w:r>
      <w:r w:rsidR="00CB36DE" w:rsidRPr="00652E61">
        <w:rPr>
          <w:lang w:val="lv-LV"/>
        </w:rPr>
        <w:t xml:space="preserve"> Turklāt jāņem vērā arī šo noteikumu 118.punktā </w:t>
      </w:r>
      <w:r w:rsidR="003C2BC8" w:rsidRPr="00652E61">
        <w:rPr>
          <w:lang w:val="lv-LV"/>
        </w:rPr>
        <w:t>noteiktais</w:t>
      </w:r>
      <w:r w:rsidR="00CB36DE" w:rsidRPr="00652E61">
        <w:rPr>
          <w:lang w:val="lv-LV"/>
        </w:rPr>
        <w:t xml:space="preserve">, ka </w:t>
      </w:r>
      <w:r w:rsidR="00A82DBD" w:rsidRPr="00652E61">
        <w:rPr>
          <w:shd w:val="clear" w:color="auto" w:fill="FFFFFF"/>
        </w:rPr>
        <w:t>automātisko</w:t>
      </w:r>
      <w:r w:rsidR="00CB36DE" w:rsidRPr="00652E61">
        <w:rPr>
          <w:shd w:val="clear" w:color="auto" w:fill="FFFFFF"/>
        </w:rPr>
        <w:t xml:space="preserve"> ugunsaizsardzības iekārtu ekspluatācijas termiņš ne</w:t>
      </w:r>
      <w:r w:rsidR="00CB36DE" w:rsidRPr="00652E61">
        <w:rPr>
          <w:shd w:val="clear" w:color="auto" w:fill="FFFFFF"/>
        </w:rPr>
        <w:softHyphen/>
        <w:t>drīkst pārsniegt ražotāja noteikto</w:t>
      </w:r>
      <w:r w:rsidR="00CB36DE" w:rsidRPr="00652E61">
        <w:rPr>
          <w:shd w:val="clear" w:color="auto" w:fill="FFFFFF"/>
          <w:lang w:val="lv-LV"/>
        </w:rPr>
        <w:t xml:space="preserve"> (lietā nav datu par šo termiņu, taču </w:t>
      </w:r>
      <w:proofErr w:type="spellStart"/>
      <w:r w:rsidR="00CB36DE" w:rsidRPr="00652E61">
        <w:rPr>
          <w:i/>
          <w:iCs/>
          <w:shd w:val="clear" w:color="auto" w:fill="FFFFFF"/>
          <w:lang w:val="lv-LV"/>
        </w:rPr>
        <w:t>prima</w:t>
      </w:r>
      <w:proofErr w:type="spellEnd"/>
      <w:r w:rsidR="00CB36DE" w:rsidRPr="00652E61">
        <w:rPr>
          <w:i/>
          <w:iCs/>
          <w:shd w:val="clear" w:color="auto" w:fill="FFFFFF"/>
          <w:lang w:val="lv-LV"/>
        </w:rPr>
        <w:t xml:space="preserve"> </w:t>
      </w:r>
      <w:proofErr w:type="spellStart"/>
      <w:r w:rsidR="00CB36DE" w:rsidRPr="00652E61">
        <w:rPr>
          <w:i/>
          <w:iCs/>
          <w:shd w:val="clear" w:color="auto" w:fill="FFFFFF"/>
          <w:lang w:val="lv-LV"/>
        </w:rPr>
        <w:t>facie</w:t>
      </w:r>
      <w:proofErr w:type="spellEnd"/>
      <w:r w:rsidR="00CB36DE" w:rsidRPr="00652E61">
        <w:rPr>
          <w:i/>
          <w:iCs/>
          <w:shd w:val="clear" w:color="auto" w:fill="FFFFFF"/>
          <w:lang w:val="lv-LV"/>
        </w:rPr>
        <w:t xml:space="preserve"> </w:t>
      </w:r>
      <w:r w:rsidR="00CB36DE" w:rsidRPr="00652E61">
        <w:rPr>
          <w:shd w:val="clear" w:color="auto" w:fill="FFFFFF"/>
          <w:lang w:val="lv-LV"/>
        </w:rPr>
        <w:t>šķiet, ka šis termiņš varētu būt beidzies)</w:t>
      </w:r>
      <w:r w:rsidR="00CB36DE" w:rsidRPr="00652E61">
        <w:rPr>
          <w:shd w:val="clear" w:color="auto" w:fill="FFFFFF"/>
        </w:rPr>
        <w:t>.</w:t>
      </w:r>
      <w:r w:rsidR="00BA5CE9" w:rsidRPr="00652E61">
        <w:rPr>
          <w:lang w:val="lv-LV"/>
        </w:rPr>
        <w:t xml:space="preserve"> </w:t>
      </w:r>
    </w:p>
    <w:p w14:paraId="6AC72C58" w14:textId="1A9F892C" w:rsidR="006F3872" w:rsidRPr="00652E61" w:rsidRDefault="006F3872" w:rsidP="002E68F9">
      <w:pPr>
        <w:pStyle w:val="ATpamatteksts"/>
        <w:rPr>
          <w:lang w:val="lv-LV"/>
        </w:rPr>
      </w:pPr>
      <w:r w:rsidRPr="00652E61">
        <w:rPr>
          <w:lang w:val="lv-LV"/>
        </w:rPr>
        <w:t xml:space="preserve">Pieteicēja uzsver, ka objektā atrodas tikai kādreiz uzstādītās signalizācijas sistēmas atsevišķi elementi, ko nevar uzskatīt </w:t>
      </w:r>
      <w:r w:rsidR="009D4A57" w:rsidRPr="00652E61">
        <w:rPr>
          <w:lang w:val="lv-LV"/>
        </w:rPr>
        <w:t xml:space="preserve">par </w:t>
      </w:r>
      <w:r w:rsidRPr="00652E61">
        <w:rPr>
          <w:lang w:val="lv-LV"/>
        </w:rPr>
        <w:t>signalizācijas sistēmu.</w:t>
      </w:r>
      <w:r w:rsidR="00CE164A" w:rsidRPr="00652E61">
        <w:rPr>
          <w:lang w:val="lv-LV"/>
        </w:rPr>
        <w:t xml:space="preserve"> </w:t>
      </w:r>
    </w:p>
    <w:p w14:paraId="05659A81" w14:textId="39E37330" w:rsidR="00CB36DE" w:rsidRPr="00652E61" w:rsidRDefault="00BA5CE9" w:rsidP="002E68F9">
      <w:pPr>
        <w:pStyle w:val="ATpamatteksts"/>
        <w:rPr>
          <w:lang w:val="lv-LV"/>
        </w:rPr>
      </w:pPr>
      <w:r w:rsidRPr="00652E61">
        <w:rPr>
          <w:lang w:val="lv-LV"/>
        </w:rPr>
        <w:t>Tādējādi lietā strīds pēc būtības ir par faktiskajiem apstākļiem – par to, vai konkrētajā objektā vispār ir tāda signalizācijas sistēma, kuru iespējams uzturēt vai savest kārtībā.</w:t>
      </w:r>
    </w:p>
    <w:p w14:paraId="65C6CBD5" w14:textId="5504E628" w:rsidR="00BA5CE9" w:rsidRPr="00652E61" w:rsidRDefault="00BA5CE9" w:rsidP="002E68F9">
      <w:pPr>
        <w:pStyle w:val="ATpamatteksts"/>
        <w:rPr>
          <w:lang w:val="lv-LV"/>
        </w:rPr>
      </w:pPr>
      <w:r w:rsidRPr="00652E61">
        <w:rPr>
          <w:lang w:val="lv-LV"/>
        </w:rPr>
        <w:t>Senāts konstatē, ka zemāko instanču tiesas šo apstākli nav noskaidrojušas un tas varēja novest pie lietas nepareizas izspriešanas.</w:t>
      </w:r>
    </w:p>
    <w:p w14:paraId="52322585" w14:textId="77777777" w:rsidR="00BA5CE9" w:rsidRPr="00652E61" w:rsidRDefault="00BA5CE9" w:rsidP="002E68F9">
      <w:pPr>
        <w:pStyle w:val="ATpamatteksts"/>
        <w:rPr>
          <w:lang w:val="lv-LV"/>
        </w:rPr>
      </w:pPr>
    </w:p>
    <w:p w14:paraId="7DD05F8B" w14:textId="414AF5B3" w:rsidR="00095DB5" w:rsidRPr="00652E61" w:rsidRDefault="00207D38" w:rsidP="002E68F9">
      <w:pPr>
        <w:pStyle w:val="ATpamatteksts"/>
        <w:rPr>
          <w:lang w:val="lv-LV"/>
        </w:rPr>
      </w:pPr>
      <w:r w:rsidRPr="00652E61">
        <w:rPr>
          <w:lang w:val="lv-LV"/>
        </w:rPr>
        <w:t>[6] </w:t>
      </w:r>
      <w:r w:rsidR="00095DB5" w:rsidRPr="00652E61">
        <w:rPr>
          <w:lang w:val="lv-LV"/>
        </w:rPr>
        <w:t xml:space="preserve">Atbilstoši Administratīvā procesa likuma 250.panta otrajai daļai, lemjot par nelabvēlīga administratīvā akta atcelšanu, tiesa spriedumā ņem vērā tikai to pamatojumu, ko iestāde ietvērusi administratīvajā aktā. </w:t>
      </w:r>
    </w:p>
    <w:p w14:paraId="462A99FD" w14:textId="3DEE4FD5" w:rsidR="009B639E" w:rsidRPr="00652E61" w:rsidRDefault="00BA5CE9" w:rsidP="002E68F9">
      <w:pPr>
        <w:pStyle w:val="ATpamatteksts"/>
        <w:rPr>
          <w:lang w:val="lv-LV"/>
        </w:rPr>
      </w:pPr>
      <w:r w:rsidRPr="00652E61">
        <w:rPr>
          <w:lang w:val="lv-LV"/>
        </w:rPr>
        <w:t>A</w:t>
      </w:r>
      <w:r w:rsidR="009B639E" w:rsidRPr="00652E61">
        <w:rPr>
          <w:lang w:val="lv-LV"/>
        </w:rPr>
        <w:t xml:space="preserve">pgabaltiesa </w:t>
      </w:r>
      <w:r w:rsidRPr="00652E61">
        <w:rPr>
          <w:lang w:val="lv-LV"/>
        </w:rPr>
        <w:t xml:space="preserve">spriedumā </w:t>
      </w:r>
      <w:r w:rsidR="009B639E" w:rsidRPr="00652E61">
        <w:rPr>
          <w:lang w:val="lv-LV"/>
        </w:rPr>
        <w:t>ir norādījusi, ka esošo</w:t>
      </w:r>
      <w:r w:rsidRPr="00652E61">
        <w:rPr>
          <w:lang w:val="lv-LV"/>
        </w:rPr>
        <w:t xml:space="preserve"> signalizācijas</w:t>
      </w:r>
      <w:r w:rsidR="009B639E" w:rsidRPr="00652E61">
        <w:rPr>
          <w:lang w:val="lv-LV"/>
        </w:rPr>
        <w:t xml:space="preserve"> sistēmu var arī </w:t>
      </w:r>
      <w:r w:rsidR="009B639E" w:rsidRPr="00652E61">
        <w:t>demontēt</w:t>
      </w:r>
      <w:r w:rsidR="009B639E" w:rsidRPr="00652E61">
        <w:rPr>
          <w:lang w:val="lv-LV"/>
        </w:rPr>
        <w:t xml:space="preserve">, </w:t>
      </w:r>
      <w:r w:rsidRPr="00652E61">
        <w:rPr>
          <w:lang w:val="lv-LV"/>
        </w:rPr>
        <w:t xml:space="preserve">taču </w:t>
      </w:r>
      <w:r w:rsidR="009B639E" w:rsidRPr="00652E61">
        <w:rPr>
          <w:lang w:val="lv-LV"/>
        </w:rPr>
        <w:t xml:space="preserve">Senāts nesaskata, ka šāda iespēja izriet </w:t>
      </w:r>
      <w:r w:rsidR="007B631D" w:rsidRPr="00652E61">
        <w:rPr>
          <w:lang w:val="lv-LV"/>
        </w:rPr>
        <w:t xml:space="preserve">arī </w:t>
      </w:r>
      <w:r w:rsidR="009B639E" w:rsidRPr="00652E61">
        <w:rPr>
          <w:lang w:val="lv-LV"/>
        </w:rPr>
        <w:t>no pārsūdzētā lēmuma.</w:t>
      </w:r>
      <w:r w:rsidR="007B631D" w:rsidRPr="00652E61">
        <w:rPr>
          <w:lang w:val="lv-LV"/>
        </w:rPr>
        <w:t xml:space="preserve"> </w:t>
      </w:r>
      <w:r w:rsidR="008D6746" w:rsidRPr="00652E61">
        <w:rPr>
          <w:lang w:val="lv-LV"/>
        </w:rPr>
        <w:t xml:space="preserve">Kā jau minēts iepriekš, </w:t>
      </w:r>
      <w:r w:rsidR="007B631D" w:rsidRPr="00652E61">
        <w:rPr>
          <w:lang w:val="lv-LV"/>
        </w:rPr>
        <w:t>pārsūdzēt</w:t>
      </w:r>
      <w:r w:rsidR="008D6746" w:rsidRPr="00652E61">
        <w:rPr>
          <w:lang w:val="lv-LV"/>
        </w:rPr>
        <w:t>ā</w:t>
      </w:r>
      <w:r w:rsidR="007B631D" w:rsidRPr="00652E61">
        <w:rPr>
          <w:lang w:val="lv-LV"/>
        </w:rPr>
        <w:t xml:space="preserve"> lēmum</w:t>
      </w:r>
      <w:r w:rsidR="008D6746" w:rsidRPr="00652E61">
        <w:rPr>
          <w:lang w:val="lv-LV"/>
        </w:rPr>
        <w:t>a pamatojums ir</w:t>
      </w:r>
      <w:r w:rsidR="007B631D" w:rsidRPr="00652E61">
        <w:rPr>
          <w:lang w:val="lv-LV"/>
        </w:rPr>
        <w:t xml:space="preserve"> konstatēt</w:t>
      </w:r>
      <w:r w:rsidR="008D6746" w:rsidRPr="00652E61">
        <w:rPr>
          <w:lang w:val="lv-LV"/>
        </w:rPr>
        <w:t>ais</w:t>
      </w:r>
      <w:r w:rsidR="007B631D" w:rsidRPr="00652E61">
        <w:rPr>
          <w:lang w:val="lv-LV"/>
        </w:rPr>
        <w:t xml:space="preserve"> pārkāpums </w:t>
      </w:r>
      <w:r w:rsidR="00C028EE" w:rsidRPr="00652E61">
        <w:rPr>
          <w:lang w:val="lv-LV"/>
        </w:rPr>
        <w:t>–</w:t>
      </w:r>
      <w:r w:rsidR="007B631D" w:rsidRPr="00652E61">
        <w:rPr>
          <w:lang w:val="lv-LV"/>
        </w:rPr>
        <w:t xml:space="preserve"> </w:t>
      </w:r>
      <w:r w:rsidR="00A82DBD" w:rsidRPr="00652E61">
        <w:rPr>
          <w:lang w:val="lv-LV"/>
        </w:rPr>
        <w:t xml:space="preserve">signalizācijas sistēma netiek uzturēta darba kārtībā (ir atslēgta). </w:t>
      </w:r>
      <w:r w:rsidR="00BD207A" w:rsidRPr="00652E61">
        <w:rPr>
          <w:lang w:val="lv-LV"/>
        </w:rPr>
        <w:t>Ar pārbaudes aktu</w:t>
      </w:r>
      <w:r w:rsidR="00B63BE1" w:rsidRPr="00652E61">
        <w:rPr>
          <w:lang w:val="lv-LV"/>
        </w:rPr>
        <w:t>, kurš atstāts spēkā ar pārsūdzēto lēmumu,</w:t>
      </w:r>
      <w:r w:rsidR="00A82DBD" w:rsidRPr="00652E61">
        <w:rPr>
          <w:lang w:val="lv-LV"/>
        </w:rPr>
        <w:t xml:space="preserve"> </w:t>
      </w:r>
      <w:r w:rsidR="007B631D" w:rsidRPr="00652E61">
        <w:rPr>
          <w:lang w:val="lv-LV"/>
        </w:rPr>
        <w:t xml:space="preserve">arī uzdots pienākums novērst </w:t>
      </w:r>
      <w:r w:rsidR="00E0009B" w:rsidRPr="00652E61">
        <w:rPr>
          <w:lang w:val="lv-LV"/>
        </w:rPr>
        <w:t xml:space="preserve">konstatēto </w:t>
      </w:r>
      <w:r w:rsidR="007B631D" w:rsidRPr="00652E61">
        <w:rPr>
          <w:lang w:val="lv-LV"/>
        </w:rPr>
        <w:t>pārkāpumu līdz 2016.gada 1.jūlijam (</w:t>
      </w:r>
      <w:r w:rsidR="007B631D" w:rsidRPr="00652E61">
        <w:rPr>
          <w:i/>
          <w:lang w:val="lv-LV"/>
        </w:rPr>
        <w:t>lietas 17.lapa</w:t>
      </w:r>
      <w:r w:rsidR="007B631D" w:rsidRPr="00652E61">
        <w:rPr>
          <w:lang w:val="lv-LV"/>
        </w:rPr>
        <w:t>).</w:t>
      </w:r>
      <w:r w:rsidR="00E0009B" w:rsidRPr="00652E61">
        <w:rPr>
          <w:lang w:val="lv-LV"/>
        </w:rPr>
        <w:t xml:space="preserve"> No tā secināms, ka pieteicējai </w:t>
      </w:r>
      <w:r w:rsidR="008D6746" w:rsidRPr="00652E61">
        <w:rPr>
          <w:lang w:val="lv-LV"/>
        </w:rPr>
        <w:t xml:space="preserve">ar pārsūdzēto lēmumu </w:t>
      </w:r>
      <w:r w:rsidR="00E0009B" w:rsidRPr="00652E61">
        <w:rPr>
          <w:lang w:val="lv-LV"/>
        </w:rPr>
        <w:t>uzdots savest darba kārtībā (pieslēgt) veco objektā it kā esošo sistēmu</w:t>
      </w:r>
      <w:r w:rsidR="00846519" w:rsidRPr="00652E61">
        <w:rPr>
          <w:lang w:val="lv-LV"/>
        </w:rPr>
        <w:t>, nevis demontēt veco sistēmu un tā vietā ierīkot jaunu.</w:t>
      </w:r>
    </w:p>
    <w:p w14:paraId="1D1969A8" w14:textId="7EA2710A" w:rsidR="00846519" w:rsidRPr="00652E61" w:rsidRDefault="00846519" w:rsidP="002E68F9">
      <w:pPr>
        <w:pStyle w:val="ATpamatteksts"/>
        <w:rPr>
          <w:lang w:val="lv-LV"/>
        </w:rPr>
      </w:pPr>
      <w:r w:rsidRPr="00652E61">
        <w:rPr>
          <w:lang w:val="lv-LV"/>
        </w:rPr>
        <w:t>Pārsūdzētā lēmuma aprakstošajā daļā</w:t>
      </w:r>
      <w:r w:rsidR="0091534A" w:rsidRPr="00652E61">
        <w:rPr>
          <w:lang w:val="lv-LV"/>
        </w:rPr>
        <w:t xml:space="preserve"> (</w:t>
      </w:r>
      <w:r w:rsidR="00F679E1">
        <w:rPr>
          <w:i/>
          <w:lang w:val="lv-LV"/>
        </w:rPr>
        <w:t xml:space="preserve">lietas </w:t>
      </w:r>
      <w:r w:rsidR="0091534A" w:rsidRPr="00652E61">
        <w:rPr>
          <w:i/>
          <w:iCs/>
          <w:lang w:val="lv-LV"/>
        </w:rPr>
        <w:t>13.l</w:t>
      </w:r>
      <w:r w:rsidR="00F679E1">
        <w:rPr>
          <w:i/>
          <w:iCs/>
          <w:lang w:val="lv-LV"/>
        </w:rPr>
        <w:t>apa</w:t>
      </w:r>
      <w:r w:rsidR="0091534A" w:rsidRPr="00652E61">
        <w:rPr>
          <w:lang w:val="lv-LV"/>
        </w:rPr>
        <w:t xml:space="preserve">), atsaucoties uz </w:t>
      </w:r>
      <w:r w:rsidR="0091534A" w:rsidRPr="00D47764">
        <w:rPr>
          <w:lang w:val="lv-LV"/>
        </w:rPr>
        <w:t xml:space="preserve">noteikumu </w:t>
      </w:r>
      <w:r w:rsidR="0091534A" w:rsidRPr="00652E61">
        <w:t>Nr.</w:t>
      </w:r>
      <w:r w:rsidR="0091534A" w:rsidRPr="00652E61">
        <w:rPr>
          <w:lang w:val="lv-LV"/>
        </w:rPr>
        <w:t> </w:t>
      </w:r>
      <w:r w:rsidR="0091534A" w:rsidRPr="00652E61">
        <w:t>333</w:t>
      </w:r>
      <w:r w:rsidR="0091534A" w:rsidRPr="00652E61">
        <w:rPr>
          <w:lang w:val="lv-LV"/>
        </w:rPr>
        <w:t xml:space="preserve"> normām,</w:t>
      </w:r>
      <w:r w:rsidRPr="00652E61">
        <w:rPr>
          <w:lang w:val="lv-LV"/>
        </w:rPr>
        <w:t xml:space="preserve"> </w:t>
      </w:r>
      <w:r w:rsidR="006740CF" w:rsidRPr="00652E61">
        <w:rPr>
          <w:lang w:val="lv-LV"/>
        </w:rPr>
        <w:t>arī</w:t>
      </w:r>
      <w:r w:rsidRPr="00652E61">
        <w:rPr>
          <w:lang w:val="lv-LV"/>
        </w:rPr>
        <w:t xml:space="preserve"> norādīts, ka</w:t>
      </w:r>
      <w:r w:rsidR="007E4EDA" w:rsidRPr="00652E61">
        <w:rPr>
          <w:lang w:val="lv-LV"/>
        </w:rPr>
        <w:t>,</w:t>
      </w:r>
      <w:r w:rsidRPr="00652E61">
        <w:rPr>
          <w:lang w:val="lv-LV"/>
        </w:rPr>
        <w:t xml:space="preserve"> </w:t>
      </w:r>
      <w:r w:rsidR="009D4A57" w:rsidRPr="00652E61">
        <w:t>„</w:t>
      </w:r>
      <w:r w:rsidRPr="00652E61">
        <w:rPr>
          <w:i/>
          <w:iCs/>
          <w:lang w:val="lv-LV"/>
        </w:rPr>
        <w:t>pat ja objektā nebūtu</w:t>
      </w:r>
      <w:r w:rsidRPr="00652E61">
        <w:rPr>
          <w:lang w:val="lv-LV"/>
        </w:rPr>
        <w:t xml:space="preserve"> uzstādīta automātiskā ugunsgrēka atklāšanas un trauksmes signalizācijas sistēma, Pārvaldes amatpersonai, izvērtējot iespējamo risku cilvēkiem, kas pārsvarā uzturas objektā, konkrētajā gadījumā </w:t>
      </w:r>
      <w:r w:rsidRPr="00652E61">
        <w:rPr>
          <w:i/>
          <w:iCs/>
          <w:lang w:val="lv-LV"/>
        </w:rPr>
        <w:t>būtu tiesības</w:t>
      </w:r>
      <w:r w:rsidRPr="00652E61">
        <w:rPr>
          <w:lang w:val="lv-LV"/>
        </w:rPr>
        <w:t xml:space="preserve"> prasīt automātiskā ugunsgrēka atklāšanas un trauksmes signalizācijas sistēmas ierīkošanu”. </w:t>
      </w:r>
    </w:p>
    <w:p w14:paraId="2C025710" w14:textId="007A021C" w:rsidR="00846519" w:rsidRPr="00652E61" w:rsidRDefault="00846519" w:rsidP="002E68F9">
      <w:pPr>
        <w:pStyle w:val="ATpamatteksts"/>
        <w:rPr>
          <w:lang w:val="lv-LV"/>
        </w:rPr>
      </w:pPr>
      <w:r w:rsidRPr="00652E61">
        <w:rPr>
          <w:lang w:val="lv-LV"/>
        </w:rPr>
        <w:t xml:space="preserve">Senāta ieskatā, šādu norādi </w:t>
      </w:r>
      <w:r w:rsidR="00095DB5" w:rsidRPr="00652E61">
        <w:rPr>
          <w:lang w:val="lv-LV"/>
        </w:rPr>
        <w:t xml:space="preserve">varbūtības formā konkrētajā gadījumā </w:t>
      </w:r>
      <w:r w:rsidRPr="00652E61">
        <w:rPr>
          <w:lang w:val="lv-LV"/>
        </w:rPr>
        <w:t xml:space="preserve">nevar uzskatīt par pamatojumu </w:t>
      </w:r>
      <w:r w:rsidR="006740CF" w:rsidRPr="00652E61">
        <w:rPr>
          <w:lang w:val="lv-LV"/>
        </w:rPr>
        <w:t>Administratīvā procesa likuma 250.panta otrās daļas izpratnē.</w:t>
      </w:r>
      <w:r w:rsidRPr="00652E61">
        <w:rPr>
          <w:lang w:val="lv-LV"/>
        </w:rPr>
        <w:t xml:space="preserve"> </w:t>
      </w:r>
    </w:p>
    <w:p w14:paraId="456784D6" w14:textId="643EACF5" w:rsidR="0091534A" w:rsidRPr="00652E61" w:rsidRDefault="0091534A" w:rsidP="002E68F9">
      <w:pPr>
        <w:pStyle w:val="ATpamatteksts"/>
        <w:rPr>
          <w:lang w:val="lv-LV"/>
        </w:rPr>
      </w:pPr>
      <w:r w:rsidRPr="00652E61">
        <w:rPr>
          <w:lang w:val="lv-LV"/>
        </w:rPr>
        <w:t xml:space="preserve">Tāpēc argumentācija par </w:t>
      </w:r>
      <w:r w:rsidRPr="00D47764">
        <w:rPr>
          <w:lang w:val="lv-LV"/>
        </w:rPr>
        <w:t>noteikum</w:t>
      </w:r>
      <w:r w:rsidR="00F400AC" w:rsidRPr="00D47764">
        <w:rPr>
          <w:lang w:val="lv-LV"/>
        </w:rPr>
        <w:t>os</w:t>
      </w:r>
      <w:r w:rsidRPr="00652E61">
        <w:t xml:space="preserve"> Nr.</w:t>
      </w:r>
      <w:r w:rsidRPr="00652E61">
        <w:rPr>
          <w:lang w:val="lv-LV"/>
        </w:rPr>
        <w:t> </w:t>
      </w:r>
      <w:r w:rsidRPr="00652E61">
        <w:t>333</w:t>
      </w:r>
      <w:r w:rsidRPr="00652E61">
        <w:rPr>
          <w:lang w:val="lv-LV"/>
        </w:rPr>
        <w:t xml:space="preserve"> </w:t>
      </w:r>
      <w:r w:rsidR="00F400AC" w:rsidRPr="00652E61">
        <w:rPr>
          <w:lang w:val="lv-LV"/>
        </w:rPr>
        <w:t>iekļautajām normām</w:t>
      </w:r>
      <w:r w:rsidR="00095DB5" w:rsidRPr="00652E61">
        <w:rPr>
          <w:lang w:val="lv-LV"/>
        </w:rPr>
        <w:t xml:space="preserve">, lemjot par </w:t>
      </w:r>
      <w:r w:rsidRPr="00652E61">
        <w:rPr>
          <w:lang w:val="lv-LV"/>
        </w:rPr>
        <w:t>konkrēt</w:t>
      </w:r>
      <w:r w:rsidR="00095DB5" w:rsidRPr="00652E61">
        <w:rPr>
          <w:lang w:val="lv-LV"/>
        </w:rPr>
        <w:t xml:space="preserve">ā lēmuma atcelšanu, </w:t>
      </w:r>
      <w:r w:rsidRPr="00652E61">
        <w:rPr>
          <w:lang w:val="lv-LV"/>
        </w:rPr>
        <w:t>nav i</w:t>
      </w:r>
      <w:r w:rsidR="00AE2AE8" w:rsidRPr="00652E61">
        <w:rPr>
          <w:lang w:val="lv-LV"/>
        </w:rPr>
        <w:t>z</w:t>
      </w:r>
      <w:r w:rsidRPr="00652E61">
        <w:rPr>
          <w:lang w:val="lv-LV"/>
        </w:rPr>
        <w:t>mantojama.</w:t>
      </w:r>
    </w:p>
    <w:p w14:paraId="57E86AB4" w14:textId="77777777" w:rsidR="00BD207A" w:rsidRPr="00652E61" w:rsidRDefault="00BD207A" w:rsidP="002E68F9">
      <w:pPr>
        <w:pStyle w:val="ATpamatteksts"/>
        <w:rPr>
          <w:lang w:val="lv-LV"/>
        </w:rPr>
      </w:pPr>
    </w:p>
    <w:p w14:paraId="5C660594" w14:textId="77777777" w:rsidR="00F34182" w:rsidRPr="00652E61" w:rsidRDefault="00BD207A" w:rsidP="002E68F9">
      <w:pPr>
        <w:pStyle w:val="ATpamatteksts"/>
        <w:rPr>
          <w:lang w:val="lv-LV"/>
        </w:rPr>
      </w:pPr>
      <w:r w:rsidRPr="00652E61">
        <w:rPr>
          <w:lang w:val="lv-LV"/>
        </w:rPr>
        <w:t>[</w:t>
      </w:r>
      <w:r w:rsidR="00BA5CE9" w:rsidRPr="00652E61">
        <w:rPr>
          <w:lang w:val="lv-LV"/>
        </w:rPr>
        <w:t>7</w:t>
      </w:r>
      <w:r w:rsidR="00207D38" w:rsidRPr="00652E61">
        <w:rPr>
          <w:lang w:val="lv-LV"/>
        </w:rPr>
        <w:t>] </w:t>
      </w:r>
      <w:r w:rsidR="00F34182" w:rsidRPr="00652E61">
        <w:rPr>
          <w:lang w:val="lv-LV"/>
        </w:rPr>
        <w:t>Ņemot vērā iepriekš minēto, apgabaltiesas spriedums ir atceļams.</w:t>
      </w:r>
    </w:p>
    <w:p w14:paraId="59E8B941" w14:textId="77777777" w:rsidR="00F34182" w:rsidRPr="00652E61" w:rsidRDefault="00F34182" w:rsidP="002E68F9">
      <w:pPr>
        <w:pStyle w:val="ATpamatteksts"/>
        <w:rPr>
          <w:lang w:val="lv-LV"/>
        </w:rPr>
      </w:pPr>
    </w:p>
    <w:p w14:paraId="1E87D9B1" w14:textId="63A4B0C6" w:rsidR="00AE2AE8" w:rsidRPr="00652E61" w:rsidRDefault="002E68F9" w:rsidP="002E68F9">
      <w:pPr>
        <w:pStyle w:val="ATpamatteksts"/>
        <w:rPr>
          <w:lang w:val="lv-LV"/>
        </w:rPr>
      </w:pPr>
      <w:r w:rsidRPr="00652E61">
        <w:rPr>
          <w:lang w:val="lv-LV"/>
        </w:rPr>
        <w:t>[8] </w:t>
      </w:r>
      <w:proofErr w:type="spellStart"/>
      <w:r w:rsidR="00F34182" w:rsidRPr="00652E61">
        <w:rPr>
          <w:i/>
          <w:iCs/>
          <w:lang w:val="lv-LV"/>
        </w:rPr>
        <w:t>Obiter</w:t>
      </w:r>
      <w:proofErr w:type="spellEnd"/>
      <w:r w:rsidR="00F34182" w:rsidRPr="00652E61">
        <w:rPr>
          <w:i/>
          <w:iCs/>
          <w:lang w:val="lv-LV"/>
        </w:rPr>
        <w:t xml:space="preserve"> </w:t>
      </w:r>
      <w:proofErr w:type="spellStart"/>
      <w:r w:rsidR="00F34182" w:rsidRPr="00652E61">
        <w:rPr>
          <w:i/>
          <w:iCs/>
          <w:lang w:val="lv-LV"/>
        </w:rPr>
        <w:t>dictum</w:t>
      </w:r>
      <w:proofErr w:type="spellEnd"/>
      <w:r w:rsidR="00F34182" w:rsidRPr="00652E61">
        <w:rPr>
          <w:i/>
          <w:iCs/>
          <w:lang w:val="lv-LV"/>
        </w:rPr>
        <w:t xml:space="preserve"> </w:t>
      </w:r>
      <w:r w:rsidR="00AE2AE8" w:rsidRPr="00652E61">
        <w:rPr>
          <w:lang w:val="lv-LV"/>
        </w:rPr>
        <w:t xml:space="preserve">norādāms, ka nepamatots ir </w:t>
      </w:r>
      <w:proofErr w:type="spellStart"/>
      <w:r w:rsidR="00AE2AE8" w:rsidRPr="00652E61">
        <w:rPr>
          <w:lang w:val="lv-LV"/>
        </w:rPr>
        <w:t>kasatores</w:t>
      </w:r>
      <w:proofErr w:type="spellEnd"/>
      <w:r w:rsidR="00AE2AE8" w:rsidRPr="00652E61">
        <w:rPr>
          <w:lang w:val="lv-LV"/>
        </w:rPr>
        <w:t xml:space="preserve"> viedoklis, ka dienests principā nevar uzlikt pienākumu ierīkot signalizācijas sistēmu tādēļ, ka pieteicējas būve ir nodota ekspluatācijā</w:t>
      </w:r>
      <w:r w:rsidR="00D87150" w:rsidRPr="00652E61">
        <w:rPr>
          <w:lang w:val="lv-LV"/>
        </w:rPr>
        <w:t>, tā ir vēstures piemineklis un tajā nenotiek būvniecība</w:t>
      </w:r>
      <w:r w:rsidR="00AE2AE8" w:rsidRPr="00652E61">
        <w:rPr>
          <w:lang w:val="lv-LV"/>
        </w:rPr>
        <w:t xml:space="preserve">. </w:t>
      </w:r>
      <w:r w:rsidR="00D87150" w:rsidRPr="00652E61">
        <w:rPr>
          <w:lang w:val="lv-LV"/>
        </w:rPr>
        <w:t>Valsts var grozīt prasības civilās aizsardzības, tostarp ugunsdrošības</w:t>
      </w:r>
      <w:r w:rsidR="007E4EDA" w:rsidRPr="00652E61">
        <w:rPr>
          <w:lang w:val="lv-LV"/>
        </w:rPr>
        <w:t>,</w:t>
      </w:r>
      <w:r w:rsidR="00D87150" w:rsidRPr="00652E61">
        <w:rPr>
          <w:lang w:val="lv-LV"/>
        </w:rPr>
        <w:t xml:space="preserve"> jomā, ja tas nepieciešams, lai </w:t>
      </w:r>
      <w:r w:rsidR="00D87150" w:rsidRPr="00652E61">
        <w:rPr>
          <w:shd w:val="clear" w:color="auto" w:fill="FFFFFF"/>
        </w:rPr>
        <w:t>pēc iespējas pilnīgāk nodrošinātu cilvēku, vides un īpašuma drošību un aizsardzību</w:t>
      </w:r>
      <w:r w:rsidR="00D87150" w:rsidRPr="00652E61">
        <w:rPr>
          <w:shd w:val="clear" w:color="auto" w:fill="FFFFFF"/>
          <w:lang w:val="lv-LV"/>
        </w:rPr>
        <w:t>.</w:t>
      </w:r>
      <w:r w:rsidR="00AE2AE8" w:rsidRPr="00652E61">
        <w:rPr>
          <w:lang w:val="lv-LV"/>
        </w:rPr>
        <w:t xml:space="preserve"> </w:t>
      </w:r>
      <w:r w:rsidR="008D6746" w:rsidRPr="00652E61">
        <w:rPr>
          <w:lang w:val="lv-LV"/>
        </w:rPr>
        <w:t xml:space="preserve">Šādas prasības, nosakot saprātīgu termiņu, var attiecināt arī uz ekspluatācijā nodotām būvēm.  </w:t>
      </w:r>
      <w:r w:rsidR="00C916EE" w:rsidRPr="00652E61">
        <w:rPr>
          <w:lang w:val="lv-LV"/>
        </w:rPr>
        <w:t xml:space="preserve">Kā pareizi norādījušas tiesas, </w:t>
      </w:r>
      <w:r w:rsidR="00C916EE" w:rsidRPr="00652E61">
        <w:t>noteikumi Nr. 498</w:t>
      </w:r>
      <w:r w:rsidR="00C916EE" w:rsidRPr="00652E61">
        <w:rPr>
          <w:lang w:val="lv-LV"/>
        </w:rPr>
        <w:t xml:space="preserve"> ir atcelti un vairs nav piemērojami. Civillikuma 3.pants par civiltiesisko attiecību apspriešanu uz šādu situāciju nevar tikt attiecināts, tā kā attiecībās starp valsti un privātpersonu  darbojas publisko tiesību principi.</w:t>
      </w:r>
      <w:r w:rsidR="00AE2AE8" w:rsidRPr="00652E61">
        <w:rPr>
          <w:lang w:val="lv-LV"/>
        </w:rPr>
        <w:t xml:space="preserve">  </w:t>
      </w:r>
    </w:p>
    <w:p w14:paraId="367337AC" w14:textId="2C470842" w:rsidR="00826678" w:rsidRPr="00652E61" w:rsidRDefault="00826678" w:rsidP="002E68F9">
      <w:pPr>
        <w:pStyle w:val="ATpamatteksts"/>
        <w:rPr>
          <w:lang w:val="lv-LV"/>
        </w:rPr>
      </w:pPr>
      <w:r w:rsidRPr="00652E61">
        <w:rPr>
          <w:lang w:val="lv-LV"/>
        </w:rPr>
        <w:t xml:space="preserve">Senāts </w:t>
      </w:r>
      <w:r w:rsidR="00D87150" w:rsidRPr="00652E61">
        <w:rPr>
          <w:lang w:val="lv-LV"/>
        </w:rPr>
        <w:t>gan</w:t>
      </w:r>
      <w:r w:rsidRPr="00652E61">
        <w:rPr>
          <w:lang w:val="lv-LV"/>
        </w:rPr>
        <w:t xml:space="preserve"> nesaskata, ka obligāta signalizācijas sistēmas ierīkošana pieteicējas objektā izriet no</w:t>
      </w:r>
      <w:r w:rsidR="006740CF" w:rsidRPr="00652E61">
        <w:rPr>
          <w:lang w:val="lv-LV"/>
        </w:rPr>
        <w:t xml:space="preserve"> </w:t>
      </w:r>
      <w:r w:rsidR="006740CF" w:rsidRPr="00D47764">
        <w:rPr>
          <w:lang w:val="lv-LV"/>
        </w:rPr>
        <w:t>noteikumu</w:t>
      </w:r>
      <w:r w:rsidR="006740CF" w:rsidRPr="00652E61">
        <w:t xml:space="preserve"> Nr.</w:t>
      </w:r>
      <w:r w:rsidR="006740CF" w:rsidRPr="00652E61">
        <w:rPr>
          <w:lang w:val="lv-LV"/>
        </w:rPr>
        <w:t> </w:t>
      </w:r>
      <w:r w:rsidR="006740CF" w:rsidRPr="00652E61">
        <w:t>333</w:t>
      </w:r>
      <w:r w:rsidR="006740CF" w:rsidRPr="00652E61">
        <w:rPr>
          <w:lang w:val="lv-LV"/>
        </w:rPr>
        <w:t xml:space="preserve"> 5.3.apakšpunkt</w:t>
      </w:r>
      <w:r w:rsidR="00F34182" w:rsidRPr="00652E61">
        <w:rPr>
          <w:lang w:val="lv-LV"/>
        </w:rPr>
        <w:t>a</w:t>
      </w:r>
      <w:r w:rsidR="006740CF" w:rsidRPr="00652E61">
        <w:rPr>
          <w:lang w:val="lv-LV"/>
        </w:rPr>
        <w:t>.</w:t>
      </w:r>
      <w:r w:rsidRPr="00652E61">
        <w:rPr>
          <w:lang w:val="lv-LV"/>
        </w:rPr>
        <w:t xml:space="preserve"> </w:t>
      </w:r>
      <w:r w:rsidR="00C916EE" w:rsidRPr="00652E61">
        <w:rPr>
          <w:lang w:val="lv-LV"/>
        </w:rPr>
        <w:t xml:space="preserve">Senāts piekrīt </w:t>
      </w:r>
      <w:proofErr w:type="spellStart"/>
      <w:r w:rsidR="00C916EE" w:rsidRPr="00652E61">
        <w:rPr>
          <w:lang w:val="lv-LV"/>
        </w:rPr>
        <w:t>kasator</w:t>
      </w:r>
      <w:r w:rsidR="007E4EDA" w:rsidRPr="00652E61">
        <w:rPr>
          <w:lang w:val="lv-LV"/>
        </w:rPr>
        <w:t>ei</w:t>
      </w:r>
      <w:proofErr w:type="spellEnd"/>
      <w:r w:rsidR="00C916EE" w:rsidRPr="00652E61">
        <w:rPr>
          <w:lang w:val="lv-LV"/>
        </w:rPr>
        <w:t>, ka m</w:t>
      </w:r>
      <w:r w:rsidR="006740CF" w:rsidRPr="00652E61">
        <w:rPr>
          <w:lang w:val="lv-LV"/>
        </w:rPr>
        <w:t xml:space="preserve">inētais punkts </w:t>
      </w:r>
      <w:r w:rsidRPr="00652E61">
        <w:rPr>
          <w:lang w:val="lv-LV"/>
        </w:rPr>
        <w:lastRenderedPageBreak/>
        <w:t xml:space="preserve">attiecas uz būvēm, kas </w:t>
      </w:r>
      <w:r w:rsidRPr="00652E61">
        <w:rPr>
          <w:i/>
          <w:iCs/>
          <w:lang w:val="lv-LV"/>
        </w:rPr>
        <w:t>tiek izmantotas visu diennakti</w:t>
      </w:r>
      <w:r w:rsidR="006740CF" w:rsidRPr="00652E61">
        <w:rPr>
          <w:lang w:val="lv-LV"/>
        </w:rPr>
        <w:t xml:space="preserve"> </w:t>
      </w:r>
      <w:r w:rsidR="006740CF" w:rsidRPr="00652E61">
        <w:rPr>
          <w:shd w:val="clear" w:color="auto" w:fill="FFFFFF"/>
        </w:rPr>
        <w:t>un kurās uzturas aprūpējami vai izolējami lietotāji</w:t>
      </w:r>
      <w:r w:rsidRPr="00652E61">
        <w:rPr>
          <w:lang w:val="lv-LV"/>
        </w:rPr>
        <w:t xml:space="preserve">. No lietas materiāliem neizriet, ka pieteicējas objekts </w:t>
      </w:r>
      <w:r w:rsidR="006740CF" w:rsidRPr="00652E61">
        <w:rPr>
          <w:lang w:val="lv-LV"/>
        </w:rPr>
        <w:t>tiek izmantots visu diennakti</w:t>
      </w:r>
      <w:r w:rsidRPr="00652E61">
        <w:rPr>
          <w:lang w:val="lv-LV"/>
        </w:rPr>
        <w:t>.</w:t>
      </w:r>
    </w:p>
    <w:p w14:paraId="5E0414EB" w14:textId="384DE746" w:rsidR="00C916EE" w:rsidRPr="00652E61" w:rsidRDefault="007E5286" w:rsidP="002E68F9">
      <w:pPr>
        <w:pStyle w:val="ATpamatteksts"/>
        <w:rPr>
          <w:lang w:val="lv-LV"/>
        </w:rPr>
      </w:pPr>
      <w:r w:rsidRPr="00652E61">
        <w:rPr>
          <w:shd w:val="clear" w:color="auto" w:fill="FFFFFF"/>
          <w:lang w:val="lv-LV"/>
        </w:rPr>
        <w:t>Pā</w:t>
      </w:r>
      <w:r w:rsidR="00F34182" w:rsidRPr="00652E61">
        <w:rPr>
          <w:shd w:val="clear" w:color="auto" w:fill="FFFFFF"/>
          <w:lang w:val="lv-LV"/>
        </w:rPr>
        <w:t>r</w:t>
      </w:r>
      <w:r w:rsidRPr="00652E61">
        <w:rPr>
          <w:shd w:val="clear" w:color="auto" w:fill="FFFFFF"/>
          <w:lang w:val="lv-LV"/>
        </w:rPr>
        <w:t xml:space="preserve">sūdzētā lēmuma aprakstošajā daļā dienests </w:t>
      </w:r>
      <w:r w:rsidR="00F34182" w:rsidRPr="00652E61">
        <w:rPr>
          <w:shd w:val="clear" w:color="auto" w:fill="FFFFFF"/>
          <w:lang w:val="lv-LV"/>
        </w:rPr>
        <w:t>pieminējis</w:t>
      </w:r>
      <w:r w:rsidRPr="00652E61">
        <w:rPr>
          <w:shd w:val="clear" w:color="auto" w:fill="FFFFFF"/>
          <w:lang w:val="lv-LV"/>
        </w:rPr>
        <w:t xml:space="preserve"> arī </w:t>
      </w:r>
      <w:r w:rsidRPr="00D47764">
        <w:rPr>
          <w:lang w:val="lv-LV"/>
        </w:rPr>
        <w:t>noteikumu</w:t>
      </w:r>
      <w:r w:rsidRPr="00652E61">
        <w:t xml:space="preserve"> Nr.</w:t>
      </w:r>
      <w:r w:rsidRPr="00652E61">
        <w:rPr>
          <w:lang w:val="lv-LV"/>
        </w:rPr>
        <w:t> </w:t>
      </w:r>
      <w:r w:rsidRPr="00652E61">
        <w:t>333</w:t>
      </w:r>
      <w:r w:rsidR="006740CF" w:rsidRPr="00652E61">
        <w:rPr>
          <w:lang w:val="lv-LV"/>
        </w:rPr>
        <w:t> 185.2</w:t>
      </w:r>
      <w:r w:rsidR="00F400AC" w:rsidRPr="00652E61">
        <w:rPr>
          <w:lang w:val="lv-LV"/>
        </w:rPr>
        <w:t xml:space="preserve"> </w:t>
      </w:r>
      <w:r w:rsidR="006740CF" w:rsidRPr="00652E61">
        <w:rPr>
          <w:lang w:val="lv-LV"/>
        </w:rPr>
        <w:t>apakšpunktu, atbilstoši kuram signalizācijas sistēmai jābūt arī citās būvēs un te</w:t>
      </w:r>
      <w:r w:rsidR="00BC7021" w:rsidRPr="00652E61">
        <w:rPr>
          <w:lang w:val="lv-LV"/>
        </w:rPr>
        <w:t>lpās, kuru stāvu kopējā platība</w:t>
      </w:r>
      <w:r w:rsidR="006740CF" w:rsidRPr="00652E61">
        <w:rPr>
          <w:lang w:val="lv-LV"/>
        </w:rPr>
        <w:t xml:space="preserve"> ir lielāka par 200</w:t>
      </w:r>
      <w:r w:rsidR="00BC7021" w:rsidRPr="00652E61">
        <w:rPr>
          <w:lang w:val="lv-LV"/>
        </w:rPr>
        <w:t> </w:t>
      </w:r>
      <w:r w:rsidR="006740CF" w:rsidRPr="00652E61">
        <w:rPr>
          <w:lang w:val="lv-LV"/>
        </w:rPr>
        <w:t>m</w:t>
      </w:r>
      <w:r w:rsidR="006740CF" w:rsidRPr="00652E61">
        <w:rPr>
          <w:vertAlign w:val="superscript"/>
          <w:lang w:val="lv-LV"/>
        </w:rPr>
        <w:t>2</w:t>
      </w:r>
      <w:r w:rsidR="006740CF" w:rsidRPr="00652E61">
        <w:rPr>
          <w:lang w:val="lv-LV"/>
        </w:rPr>
        <w:t xml:space="preserve">. </w:t>
      </w:r>
      <w:r w:rsidR="00F34182" w:rsidRPr="00652E61">
        <w:rPr>
          <w:lang w:val="lv-LV"/>
        </w:rPr>
        <w:t>Taču tālāk šis arguments nav analizēts, proti, no lietas materiāliem nav redzams, kāda ir konkrētā objekta kopējā platība.</w:t>
      </w:r>
    </w:p>
    <w:p w14:paraId="6E37F5E4" w14:textId="5E6A939A" w:rsidR="00095DB5" w:rsidRPr="00652E61" w:rsidRDefault="00095DB5" w:rsidP="002E68F9">
      <w:pPr>
        <w:pStyle w:val="ATpamatteksts"/>
        <w:rPr>
          <w:lang w:val="lv-LV"/>
        </w:rPr>
      </w:pPr>
      <w:r w:rsidRPr="00652E61">
        <w:rPr>
          <w:lang w:val="lv-LV"/>
        </w:rPr>
        <w:t xml:space="preserve">Senāts arī vērš procesa </w:t>
      </w:r>
      <w:bookmarkStart w:id="1" w:name="_GoBack"/>
      <w:bookmarkEnd w:id="1"/>
      <w:r w:rsidRPr="00652E61">
        <w:rPr>
          <w:lang w:val="lv-LV"/>
        </w:rPr>
        <w:t>dalībnieku uzmanību uz</w:t>
      </w:r>
      <w:r w:rsidR="0060634B" w:rsidRPr="00652E61">
        <w:rPr>
          <w:lang w:val="lv-LV"/>
        </w:rPr>
        <w:t xml:space="preserve"> to, ka šī tiesvedība nav šķērslis dienestam atcelt pārsūdzēto lēmumu un izdot jaunu administratīvo aktu. Procesa dalībnieki arī tiek aicināti apsvērt</w:t>
      </w:r>
      <w:r w:rsidRPr="00652E61">
        <w:rPr>
          <w:lang w:val="lv-LV"/>
        </w:rPr>
        <w:t xml:space="preserve"> iespēju noslēgt </w:t>
      </w:r>
      <w:r w:rsidR="0060634B" w:rsidRPr="00652E61">
        <w:rPr>
          <w:lang w:val="lv-LV"/>
        </w:rPr>
        <w:t xml:space="preserve">izlīgumu, lai izbeigtu tiesisko strīdu. </w:t>
      </w:r>
    </w:p>
    <w:p w14:paraId="5E9FB282" w14:textId="6E4DDF27" w:rsidR="005D68D6" w:rsidRPr="00652E61" w:rsidRDefault="005D68D6" w:rsidP="002E68F9">
      <w:pPr>
        <w:pStyle w:val="ATpamatteksts"/>
        <w:ind w:firstLine="0"/>
        <w:rPr>
          <w:b/>
          <w:lang w:val="lv-LV"/>
        </w:rPr>
      </w:pPr>
    </w:p>
    <w:p w14:paraId="7F133DF8" w14:textId="530E7804" w:rsidR="003047F5" w:rsidRPr="00652E61" w:rsidRDefault="003047F5" w:rsidP="002E68F9">
      <w:pPr>
        <w:spacing w:line="276" w:lineRule="auto"/>
        <w:jc w:val="center"/>
        <w:rPr>
          <w:b/>
        </w:rPr>
      </w:pPr>
      <w:r w:rsidRPr="00652E61">
        <w:rPr>
          <w:b/>
        </w:rPr>
        <w:t>Rezolutīvā daļa</w:t>
      </w:r>
    </w:p>
    <w:p w14:paraId="178D6F52" w14:textId="77777777" w:rsidR="008E25D3" w:rsidRPr="00652E61" w:rsidRDefault="008E25D3" w:rsidP="002E68F9">
      <w:pPr>
        <w:spacing w:line="276" w:lineRule="auto"/>
        <w:jc w:val="center"/>
        <w:rPr>
          <w:b/>
        </w:rPr>
      </w:pPr>
    </w:p>
    <w:p w14:paraId="02B28323" w14:textId="5F656E8C" w:rsidR="008E25D3" w:rsidRPr="00652E61" w:rsidRDefault="008E25D3" w:rsidP="002E68F9">
      <w:pPr>
        <w:spacing w:line="276" w:lineRule="auto"/>
        <w:ind w:firstLine="567"/>
        <w:jc w:val="both"/>
      </w:pPr>
      <w:r w:rsidRPr="00652E61">
        <w:t xml:space="preserve">Pamatojoties uz Administratīvā procesa likuma </w:t>
      </w:r>
      <w:r w:rsidR="0017277B" w:rsidRPr="00652E61">
        <w:t>129.</w:t>
      </w:r>
      <w:r w:rsidR="0017277B" w:rsidRPr="00652E61">
        <w:rPr>
          <w:vertAlign w:val="superscript"/>
        </w:rPr>
        <w:t>1</w:t>
      </w:r>
      <w:r w:rsidR="0017277B" w:rsidRPr="00652E61">
        <w:t>panta pirmās daļas 1.punktu,</w:t>
      </w:r>
      <w:r w:rsidR="0017277B" w:rsidRPr="00652E61">
        <w:rPr>
          <w:vertAlign w:val="superscript"/>
        </w:rPr>
        <w:t xml:space="preserve"> </w:t>
      </w:r>
      <w:r w:rsidRPr="00652E61">
        <w:t xml:space="preserve">348.panta pirmās daļas </w:t>
      </w:r>
      <w:r w:rsidR="00622BA7" w:rsidRPr="00652E61">
        <w:t>2</w:t>
      </w:r>
      <w:r w:rsidRPr="00652E61">
        <w:t>.punktu un 351.pantu, Senāts</w:t>
      </w:r>
    </w:p>
    <w:p w14:paraId="155D8380" w14:textId="77777777" w:rsidR="008E25D3" w:rsidRPr="00652E61" w:rsidRDefault="008E25D3" w:rsidP="002E68F9">
      <w:pPr>
        <w:spacing w:line="276" w:lineRule="auto"/>
        <w:ind w:firstLine="567"/>
        <w:jc w:val="both"/>
      </w:pPr>
    </w:p>
    <w:p w14:paraId="3F8A784E" w14:textId="77777777" w:rsidR="008E25D3" w:rsidRPr="00652E61" w:rsidRDefault="008E25D3" w:rsidP="002E68F9">
      <w:pPr>
        <w:tabs>
          <w:tab w:val="left" w:pos="2700"/>
          <w:tab w:val="left" w:pos="6660"/>
        </w:tabs>
        <w:spacing w:line="276" w:lineRule="auto"/>
        <w:jc w:val="center"/>
        <w:rPr>
          <w:b/>
        </w:rPr>
      </w:pPr>
      <w:bookmarkStart w:id="2" w:name="Dropdown14"/>
      <w:r w:rsidRPr="00652E61">
        <w:rPr>
          <w:b/>
        </w:rPr>
        <w:t>nosprieda</w:t>
      </w:r>
      <w:bookmarkEnd w:id="2"/>
    </w:p>
    <w:p w14:paraId="3E3618A9" w14:textId="77777777" w:rsidR="008E25D3" w:rsidRPr="00652E61" w:rsidRDefault="008E25D3" w:rsidP="002E68F9">
      <w:pPr>
        <w:tabs>
          <w:tab w:val="left" w:pos="2700"/>
          <w:tab w:val="left" w:pos="6660"/>
        </w:tabs>
        <w:spacing w:line="276" w:lineRule="auto"/>
        <w:ind w:firstLine="567"/>
        <w:jc w:val="both"/>
        <w:rPr>
          <w:bCs/>
          <w:spacing w:val="70"/>
        </w:rPr>
      </w:pPr>
    </w:p>
    <w:p w14:paraId="04F6317E" w14:textId="4B1A28F4" w:rsidR="008E25D3" w:rsidRPr="00652E61" w:rsidRDefault="00622BA7" w:rsidP="002E68F9">
      <w:pPr>
        <w:tabs>
          <w:tab w:val="left" w:pos="2700"/>
          <w:tab w:val="left" w:pos="6660"/>
        </w:tabs>
        <w:spacing w:line="276" w:lineRule="auto"/>
        <w:ind w:firstLine="567"/>
        <w:jc w:val="both"/>
      </w:pPr>
      <w:r w:rsidRPr="00652E61">
        <w:t>atcelt</w:t>
      </w:r>
      <w:r w:rsidR="008E25D3" w:rsidRPr="00652E61">
        <w:t xml:space="preserve"> </w:t>
      </w:r>
      <w:r w:rsidR="004A298C" w:rsidRPr="00652E61">
        <w:t xml:space="preserve">Administratīvās </w:t>
      </w:r>
      <w:r w:rsidR="00414386" w:rsidRPr="00652E61">
        <w:t>apgabaltiesas</w:t>
      </w:r>
      <w:r w:rsidR="004A298C" w:rsidRPr="00652E61">
        <w:t xml:space="preserve"> </w:t>
      </w:r>
      <w:r w:rsidR="00BA31B6" w:rsidRPr="00652E61">
        <w:t xml:space="preserve">2017.gada </w:t>
      </w:r>
      <w:r w:rsidR="000B54D4" w:rsidRPr="00652E61">
        <w:t>29</w:t>
      </w:r>
      <w:r w:rsidR="00BA31B6" w:rsidRPr="00652E61">
        <w:t>.novembr</w:t>
      </w:r>
      <w:r w:rsidR="00503213" w:rsidRPr="00652E61">
        <w:t>a</w:t>
      </w:r>
      <w:r w:rsidR="00BA31B6" w:rsidRPr="00652E61">
        <w:t xml:space="preserve"> </w:t>
      </w:r>
      <w:r w:rsidR="004A298C" w:rsidRPr="00652E61">
        <w:t>spriedumu</w:t>
      </w:r>
      <w:r w:rsidR="00BA31B6" w:rsidRPr="00652E61">
        <w:t xml:space="preserve"> u</w:t>
      </w:r>
      <w:r w:rsidRPr="00652E61">
        <w:t xml:space="preserve">n nosūtīt lietu jaunai izskatīšanai Administratīvajai </w:t>
      </w:r>
      <w:r w:rsidR="00BA31B6" w:rsidRPr="00652E61">
        <w:t>apgabal</w:t>
      </w:r>
      <w:r w:rsidRPr="00652E61">
        <w:t>tiesai</w:t>
      </w:r>
      <w:r w:rsidR="008E25D3" w:rsidRPr="00652E61">
        <w:t>.</w:t>
      </w:r>
    </w:p>
    <w:p w14:paraId="22B40981" w14:textId="1A5E29D4" w:rsidR="00674871" w:rsidRPr="00652E61" w:rsidRDefault="00674871" w:rsidP="002E68F9">
      <w:pPr>
        <w:tabs>
          <w:tab w:val="left" w:pos="2700"/>
          <w:tab w:val="left" w:pos="6660"/>
        </w:tabs>
        <w:spacing w:line="276" w:lineRule="auto"/>
        <w:ind w:firstLine="567"/>
        <w:jc w:val="both"/>
      </w:pPr>
      <w:r w:rsidRPr="00652E61">
        <w:t xml:space="preserve">Atmaksāt </w:t>
      </w:r>
      <w:r w:rsidR="0039056C" w:rsidRPr="00652E61">
        <w:t>AS </w:t>
      </w:r>
      <w:r w:rsidR="009E41B4" w:rsidRPr="00652E61">
        <w:t xml:space="preserve">„Protezēšanas un ortopēdijas centrs” </w:t>
      </w:r>
      <w:r w:rsidRPr="00652E61">
        <w:t>drošības naudu 70 </w:t>
      </w:r>
      <w:proofErr w:type="spellStart"/>
      <w:r w:rsidRPr="00652E61">
        <w:rPr>
          <w:i/>
        </w:rPr>
        <w:t>euro</w:t>
      </w:r>
      <w:proofErr w:type="spellEnd"/>
      <w:r w:rsidRPr="00652E61">
        <w:t>.</w:t>
      </w:r>
    </w:p>
    <w:p w14:paraId="488F3C31" w14:textId="1682F28E" w:rsidR="00D522A4" w:rsidRPr="00652E61" w:rsidRDefault="004A298C" w:rsidP="00D47764">
      <w:pPr>
        <w:tabs>
          <w:tab w:val="left" w:pos="2700"/>
          <w:tab w:val="left" w:pos="6660"/>
        </w:tabs>
        <w:spacing w:line="276" w:lineRule="auto"/>
        <w:ind w:firstLine="567"/>
        <w:jc w:val="both"/>
      </w:pPr>
      <w:r w:rsidRPr="00652E61">
        <w:t xml:space="preserve">Spriedums nav pārsūdzams. </w:t>
      </w:r>
    </w:p>
    <w:sectPr w:rsidR="00D522A4" w:rsidRPr="00652E61"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311A9" w14:textId="77777777" w:rsidR="00157015" w:rsidRDefault="00157015" w:rsidP="003047F5">
      <w:r>
        <w:separator/>
      </w:r>
    </w:p>
  </w:endnote>
  <w:endnote w:type="continuationSeparator" w:id="0">
    <w:p w14:paraId="02FFC3FD" w14:textId="77777777" w:rsidR="00157015" w:rsidRDefault="0015701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720ED" w14:textId="35C8909F" w:rsidR="00846519" w:rsidRDefault="00846519"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536AE">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D47764">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3EF68" w14:textId="77777777" w:rsidR="00157015" w:rsidRDefault="00157015" w:rsidP="003047F5">
      <w:r>
        <w:separator/>
      </w:r>
    </w:p>
  </w:footnote>
  <w:footnote w:type="continuationSeparator" w:id="0">
    <w:p w14:paraId="4441BD70" w14:textId="77777777" w:rsidR="00157015" w:rsidRDefault="00157015"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4557"/>
    <w:rsid w:val="00021C1B"/>
    <w:rsid w:val="000708AF"/>
    <w:rsid w:val="00072833"/>
    <w:rsid w:val="00072BFE"/>
    <w:rsid w:val="00095DB5"/>
    <w:rsid w:val="000A0C90"/>
    <w:rsid w:val="000B0A3A"/>
    <w:rsid w:val="000B54D4"/>
    <w:rsid w:val="000B7895"/>
    <w:rsid w:val="000D1F0C"/>
    <w:rsid w:val="000F169F"/>
    <w:rsid w:val="001108D8"/>
    <w:rsid w:val="00112403"/>
    <w:rsid w:val="00115104"/>
    <w:rsid w:val="00124A2A"/>
    <w:rsid w:val="00140968"/>
    <w:rsid w:val="0014340E"/>
    <w:rsid w:val="00157015"/>
    <w:rsid w:val="0016381F"/>
    <w:rsid w:val="001646E9"/>
    <w:rsid w:val="0017277B"/>
    <w:rsid w:val="001728E0"/>
    <w:rsid w:val="001802C9"/>
    <w:rsid w:val="0018039B"/>
    <w:rsid w:val="00180EC6"/>
    <w:rsid w:val="001829E8"/>
    <w:rsid w:val="00182FF3"/>
    <w:rsid w:val="0018440B"/>
    <w:rsid w:val="00191AA0"/>
    <w:rsid w:val="0019238A"/>
    <w:rsid w:val="00192FE5"/>
    <w:rsid w:val="001A0495"/>
    <w:rsid w:val="001C6457"/>
    <w:rsid w:val="001C711B"/>
    <w:rsid w:val="001E3A09"/>
    <w:rsid w:val="00207D38"/>
    <w:rsid w:val="00226DD1"/>
    <w:rsid w:val="00236E52"/>
    <w:rsid w:val="0023784F"/>
    <w:rsid w:val="00237F92"/>
    <w:rsid w:val="002459BF"/>
    <w:rsid w:val="0025132C"/>
    <w:rsid w:val="00256FD0"/>
    <w:rsid w:val="00273F2F"/>
    <w:rsid w:val="0027469B"/>
    <w:rsid w:val="002931D0"/>
    <w:rsid w:val="00293462"/>
    <w:rsid w:val="00294CB0"/>
    <w:rsid w:val="002A3683"/>
    <w:rsid w:val="002A4A36"/>
    <w:rsid w:val="002A4E91"/>
    <w:rsid w:val="002A7C78"/>
    <w:rsid w:val="002B54E7"/>
    <w:rsid w:val="002B7564"/>
    <w:rsid w:val="002C0D8C"/>
    <w:rsid w:val="002C3751"/>
    <w:rsid w:val="002D5B3E"/>
    <w:rsid w:val="002E68F9"/>
    <w:rsid w:val="002F39FD"/>
    <w:rsid w:val="002F5E6D"/>
    <w:rsid w:val="002F6EBE"/>
    <w:rsid w:val="00301A51"/>
    <w:rsid w:val="003039B6"/>
    <w:rsid w:val="003047F5"/>
    <w:rsid w:val="00316D2D"/>
    <w:rsid w:val="00321A05"/>
    <w:rsid w:val="0032571B"/>
    <w:rsid w:val="00337FFD"/>
    <w:rsid w:val="00343383"/>
    <w:rsid w:val="00343F92"/>
    <w:rsid w:val="0035346E"/>
    <w:rsid w:val="00353F1F"/>
    <w:rsid w:val="00375E78"/>
    <w:rsid w:val="0039056C"/>
    <w:rsid w:val="00396208"/>
    <w:rsid w:val="00396415"/>
    <w:rsid w:val="003A486C"/>
    <w:rsid w:val="003B2E55"/>
    <w:rsid w:val="003B3D1A"/>
    <w:rsid w:val="003C2BC8"/>
    <w:rsid w:val="003C2CAB"/>
    <w:rsid w:val="003E73F4"/>
    <w:rsid w:val="003F78CA"/>
    <w:rsid w:val="00414386"/>
    <w:rsid w:val="00424B84"/>
    <w:rsid w:val="0043182C"/>
    <w:rsid w:val="0043387D"/>
    <w:rsid w:val="004466A2"/>
    <w:rsid w:val="00463DA4"/>
    <w:rsid w:val="004640E1"/>
    <w:rsid w:val="00491DEC"/>
    <w:rsid w:val="00492F41"/>
    <w:rsid w:val="004A298C"/>
    <w:rsid w:val="004A4903"/>
    <w:rsid w:val="004A74A9"/>
    <w:rsid w:val="004E236B"/>
    <w:rsid w:val="004E2F29"/>
    <w:rsid w:val="004F4FED"/>
    <w:rsid w:val="00503213"/>
    <w:rsid w:val="00513582"/>
    <w:rsid w:val="00521A02"/>
    <w:rsid w:val="005265D4"/>
    <w:rsid w:val="00541500"/>
    <w:rsid w:val="005427DC"/>
    <w:rsid w:val="00543E46"/>
    <w:rsid w:val="00554958"/>
    <w:rsid w:val="00555A76"/>
    <w:rsid w:val="00577E02"/>
    <w:rsid w:val="00581CFA"/>
    <w:rsid w:val="005840B0"/>
    <w:rsid w:val="0059301F"/>
    <w:rsid w:val="005A62B2"/>
    <w:rsid w:val="005C2541"/>
    <w:rsid w:val="005D58FD"/>
    <w:rsid w:val="005D68D6"/>
    <w:rsid w:val="005F0322"/>
    <w:rsid w:val="005F2106"/>
    <w:rsid w:val="0060634B"/>
    <w:rsid w:val="00622BA7"/>
    <w:rsid w:val="006248A7"/>
    <w:rsid w:val="00640F96"/>
    <w:rsid w:val="0065021D"/>
    <w:rsid w:val="00652AAD"/>
    <w:rsid w:val="00652E61"/>
    <w:rsid w:val="006536AE"/>
    <w:rsid w:val="006612D9"/>
    <w:rsid w:val="0066161A"/>
    <w:rsid w:val="006740CF"/>
    <w:rsid w:val="00674871"/>
    <w:rsid w:val="006A6865"/>
    <w:rsid w:val="006B62E7"/>
    <w:rsid w:val="006B7BBC"/>
    <w:rsid w:val="006C30A8"/>
    <w:rsid w:val="006C503B"/>
    <w:rsid w:val="006E008C"/>
    <w:rsid w:val="006F3872"/>
    <w:rsid w:val="006F5D3B"/>
    <w:rsid w:val="007164FB"/>
    <w:rsid w:val="00744E48"/>
    <w:rsid w:val="0074657B"/>
    <w:rsid w:val="00757410"/>
    <w:rsid w:val="00763643"/>
    <w:rsid w:val="00767D03"/>
    <w:rsid w:val="007709C7"/>
    <w:rsid w:val="0077509E"/>
    <w:rsid w:val="0077520F"/>
    <w:rsid w:val="007842EA"/>
    <w:rsid w:val="0078682C"/>
    <w:rsid w:val="0079005D"/>
    <w:rsid w:val="007B631D"/>
    <w:rsid w:val="007B6E29"/>
    <w:rsid w:val="007D2050"/>
    <w:rsid w:val="007D3440"/>
    <w:rsid w:val="007E4EDA"/>
    <w:rsid w:val="007E5286"/>
    <w:rsid w:val="007E6045"/>
    <w:rsid w:val="007F5C55"/>
    <w:rsid w:val="00801CD9"/>
    <w:rsid w:val="00806C25"/>
    <w:rsid w:val="00812734"/>
    <w:rsid w:val="00814587"/>
    <w:rsid w:val="00820299"/>
    <w:rsid w:val="0082381C"/>
    <w:rsid w:val="00826678"/>
    <w:rsid w:val="00833668"/>
    <w:rsid w:val="00842872"/>
    <w:rsid w:val="00844FAF"/>
    <w:rsid w:val="00846519"/>
    <w:rsid w:val="00855EA4"/>
    <w:rsid w:val="008570F8"/>
    <w:rsid w:val="00893AB5"/>
    <w:rsid w:val="0089619C"/>
    <w:rsid w:val="008C5417"/>
    <w:rsid w:val="008D1A20"/>
    <w:rsid w:val="008D6746"/>
    <w:rsid w:val="008D71CC"/>
    <w:rsid w:val="008E25D3"/>
    <w:rsid w:val="008F061E"/>
    <w:rsid w:val="008F17D4"/>
    <w:rsid w:val="00900116"/>
    <w:rsid w:val="009036DD"/>
    <w:rsid w:val="00913C7F"/>
    <w:rsid w:val="00913D4D"/>
    <w:rsid w:val="0091534A"/>
    <w:rsid w:val="009229FE"/>
    <w:rsid w:val="00941626"/>
    <w:rsid w:val="00947A27"/>
    <w:rsid w:val="00953337"/>
    <w:rsid w:val="00960D7A"/>
    <w:rsid w:val="0096256E"/>
    <w:rsid w:val="009639F7"/>
    <w:rsid w:val="00964B7E"/>
    <w:rsid w:val="00972F14"/>
    <w:rsid w:val="0098432E"/>
    <w:rsid w:val="0099008E"/>
    <w:rsid w:val="009B639E"/>
    <w:rsid w:val="009D049D"/>
    <w:rsid w:val="009D201B"/>
    <w:rsid w:val="009D4A57"/>
    <w:rsid w:val="009D51C2"/>
    <w:rsid w:val="009E3837"/>
    <w:rsid w:val="009E41B4"/>
    <w:rsid w:val="009E490A"/>
    <w:rsid w:val="009F39E6"/>
    <w:rsid w:val="009F4271"/>
    <w:rsid w:val="009F4F84"/>
    <w:rsid w:val="009F55C7"/>
    <w:rsid w:val="00A00062"/>
    <w:rsid w:val="00A01890"/>
    <w:rsid w:val="00A048B9"/>
    <w:rsid w:val="00A26F37"/>
    <w:rsid w:val="00A42041"/>
    <w:rsid w:val="00A4479D"/>
    <w:rsid w:val="00A5096D"/>
    <w:rsid w:val="00A525F0"/>
    <w:rsid w:val="00A579A1"/>
    <w:rsid w:val="00A6596A"/>
    <w:rsid w:val="00A82DBD"/>
    <w:rsid w:val="00A831F1"/>
    <w:rsid w:val="00A85690"/>
    <w:rsid w:val="00A94ACB"/>
    <w:rsid w:val="00A961D8"/>
    <w:rsid w:val="00A9621A"/>
    <w:rsid w:val="00AC1E14"/>
    <w:rsid w:val="00AC5F8A"/>
    <w:rsid w:val="00AD0460"/>
    <w:rsid w:val="00AE2AE8"/>
    <w:rsid w:val="00AF2237"/>
    <w:rsid w:val="00AF22E4"/>
    <w:rsid w:val="00AF4CED"/>
    <w:rsid w:val="00B24DAD"/>
    <w:rsid w:val="00B31F49"/>
    <w:rsid w:val="00B45E3C"/>
    <w:rsid w:val="00B63BE1"/>
    <w:rsid w:val="00B65C2C"/>
    <w:rsid w:val="00B674CD"/>
    <w:rsid w:val="00B70535"/>
    <w:rsid w:val="00B70A55"/>
    <w:rsid w:val="00B72CA4"/>
    <w:rsid w:val="00B75A4A"/>
    <w:rsid w:val="00B76D84"/>
    <w:rsid w:val="00B82F0F"/>
    <w:rsid w:val="00B90813"/>
    <w:rsid w:val="00B9491C"/>
    <w:rsid w:val="00BA31B6"/>
    <w:rsid w:val="00BA5CE9"/>
    <w:rsid w:val="00BB2B87"/>
    <w:rsid w:val="00BB4182"/>
    <w:rsid w:val="00BB5382"/>
    <w:rsid w:val="00BC3B12"/>
    <w:rsid w:val="00BC7021"/>
    <w:rsid w:val="00BD207A"/>
    <w:rsid w:val="00BD505F"/>
    <w:rsid w:val="00BD6047"/>
    <w:rsid w:val="00BE6459"/>
    <w:rsid w:val="00C010FE"/>
    <w:rsid w:val="00C028EE"/>
    <w:rsid w:val="00C104DF"/>
    <w:rsid w:val="00C143CC"/>
    <w:rsid w:val="00C23DA0"/>
    <w:rsid w:val="00C37F7D"/>
    <w:rsid w:val="00C40BD1"/>
    <w:rsid w:val="00C625EB"/>
    <w:rsid w:val="00C806B0"/>
    <w:rsid w:val="00C9084E"/>
    <w:rsid w:val="00C916EE"/>
    <w:rsid w:val="00C93E76"/>
    <w:rsid w:val="00CB36DE"/>
    <w:rsid w:val="00CC1031"/>
    <w:rsid w:val="00CE164A"/>
    <w:rsid w:val="00CE5F42"/>
    <w:rsid w:val="00D06BCE"/>
    <w:rsid w:val="00D10A85"/>
    <w:rsid w:val="00D12886"/>
    <w:rsid w:val="00D20035"/>
    <w:rsid w:val="00D3210B"/>
    <w:rsid w:val="00D33A5F"/>
    <w:rsid w:val="00D47095"/>
    <w:rsid w:val="00D47764"/>
    <w:rsid w:val="00D522A4"/>
    <w:rsid w:val="00D54D4D"/>
    <w:rsid w:val="00D7028E"/>
    <w:rsid w:val="00D7177F"/>
    <w:rsid w:val="00D87150"/>
    <w:rsid w:val="00D94705"/>
    <w:rsid w:val="00DA4264"/>
    <w:rsid w:val="00DB42E1"/>
    <w:rsid w:val="00DB69B6"/>
    <w:rsid w:val="00DC5C15"/>
    <w:rsid w:val="00DD1E58"/>
    <w:rsid w:val="00DE2B6E"/>
    <w:rsid w:val="00DF5B3D"/>
    <w:rsid w:val="00DF6B15"/>
    <w:rsid w:val="00E0009B"/>
    <w:rsid w:val="00E2479A"/>
    <w:rsid w:val="00E24B2B"/>
    <w:rsid w:val="00E266A7"/>
    <w:rsid w:val="00E27718"/>
    <w:rsid w:val="00E302E3"/>
    <w:rsid w:val="00E42316"/>
    <w:rsid w:val="00E424D9"/>
    <w:rsid w:val="00E5207C"/>
    <w:rsid w:val="00E532E6"/>
    <w:rsid w:val="00E619BC"/>
    <w:rsid w:val="00E87292"/>
    <w:rsid w:val="00E92944"/>
    <w:rsid w:val="00E950F3"/>
    <w:rsid w:val="00EA7BF6"/>
    <w:rsid w:val="00ED16E6"/>
    <w:rsid w:val="00ED77C1"/>
    <w:rsid w:val="00EE67B1"/>
    <w:rsid w:val="00EE683F"/>
    <w:rsid w:val="00EF647C"/>
    <w:rsid w:val="00F00BDB"/>
    <w:rsid w:val="00F202ED"/>
    <w:rsid w:val="00F34182"/>
    <w:rsid w:val="00F400AC"/>
    <w:rsid w:val="00F43FAD"/>
    <w:rsid w:val="00F44204"/>
    <w:rsid w:val="00F61862"/>
    <w:rsid w:val="00F625F7"/>
    <w:rsid w:val="00F63C28"/>
    <w:rsid w:val="00F679E1"/>
    <w:rsid w:val="00F76AA7"/>
    <w:rsid w:val="00F81367"/>
    <w:rsid w:val="00F84535"/>
    <w:rsid w:val="00F9001A"/>
    <w:rsid w:val="00FC5AE2"/>
    <w:rsid w:val="00FD25E0"/>
    <w:rsid w:val="00FD5EFB"/>
    <w:rsid w:val="00FE1A8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pamatteksts">
    <w:name w:val="AT pamatteksts"/>
    <w:basedOn w:val="BodyText2"/>
    <w:link w:val="ATpamattekstsChar"/>
    <w:qFormat/>
    <w:rsid w:val="002F6EBE"/>
    <w:pPr>
      <w:spacing w:after="0" w:line="276" w:lineRule="auto"/>
      <w:ind w:firstLine="567"/>
      <w:jc w:val="both"/>
    </w:pPr>
  </w:style>
  <w:style w:type="character" w:customStyle="1" w:styleId="ATpamattekstsChar">
    <w:name w:val="AT pamatteksts Char"/>
    <w:basedOn w:val="BodyText2Char"/>
    <w:link w:val="ATpamatteksts"/>
    <w:rsid w:val="002F6EBE"/>
    <w:rPr>
      <w:rFonts w:eastAsia="Times New Roman" w:cs="Times New Roman"/>
      <w:szCs w:val="24"/>
      <w:lang w:val="x-none" w:eastAsia="ru-RU"/>
    </w:rPr>
  </w:style>
  <w:style w:type="table" w:customStyle="1" w:styleId="TableGrid1">
    <w:name w:val="Table Grid1"/>
    <w:basedOn w:val="TableNormal"/>
    <w:next w:val="TableGrid"/>
    <w:uiPriority w:val="39"/>
    <w:rsid w:val="008D71CC"/>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78CA"/>
    <w:rPr>
      <w:color w:val="0000FF"/>
      <w:u w:val="single"/>
    </w:rPr>
  </w:style>
  <w:style w:type="character" w:customStyle="1" w:styleId="UnresolvedMention1">
    <w:name w:val="Unresolved Mention1"/>
    <w:basedOn w:val="DefaultParagraphFont"/>
    <w:uiPriority w:val="99"/>
    <w:semiHidden/>
    <w:unhideWhenUsed/>
    <w:rsid w:val="00555A76"/>
    <w:rPr>
      <w:color w:val="605E5C"/>
      <w:shd w:val="clear" w:color="auto" w:fill="E1DFDD"/>
    </w:rPr>
  </w:style>
  <w:style w:type="character" w:styleId="FollowedHyperlink">
    <w:name w:val="FollowedHyperlink"/>
    <w:basedOn w:val="DefaultParagraphFont"/>
    <w:uiPriority w:val="99"/>
    <w:semiHidden/>
    <w:unhideWhenUsed/>
    <w:rsid w:val="0025132C"/>
    <w:rPr>
      <w:color w:val="954F72" w:themeColor="followedHyperlink"/>
      <w:u w:val="single"/>
    </w:rPr>
  </w:style>
  <w:style w:type="paragraph" w:customStyle="1" w:styleId="tv213">
    <w:name w:val="tv213"/>
    <w:basedOn w:val="Normal"/>
    <w:rsid w:val="00D10A85"/>
    <w:pPr>
      <w:spacing w:before="100" w:beforeAutospacing="1" w:after="100" w:afterAutospacing="1"/>
    </w:pPr>
    <w:rPr>
      <w:lang w:eastAsia="lv-LV"/>
    </w:rPr>
  </w:style>
  <w:style w:type="paragraph" w:customStyle="1" w:styleId="labojumupamats">
    <w:name w:val="labojumu_pamats"/>
    <w:basedOn w:val="Normal"/>
    <w:rsid w:val="00A961D8"/>
    <w:pPr>
      <w:spacing w:before="100" w:beforeAutospacing="1" w:after="100" w:afterAutospacing="1"/>
    </w:pPr>
    <w:rPr>
      <w:lang w:eastAsia="lv-LV"/>
    </w:rPr>
  </w:style>
  <w:style w:type="character" w:styleId="UnresolvedMention">
    <w:name w:val="Unresolved Mention"/>
    <w:basedOn w:val="DefaultParagraphFont"/>
    <w:uiPriority w:val="99"/>
    <w:semiHidden/>
    <w:unhideWhenUsed/>
    <w:rsid w:val="00B72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879333">
      <w:bodyDiv w:val="1"/>
      <w:marLeft w:val="0"/>
      <w:marRight w:val="0"/>
      <w:marTop w:val="0"/>
      <w:marBottom w:val="0"/>
      <w:divBdr>
        <w:top w:val="none" w:sz="0" w:space="0" w:color="auto"/>
        <w:left w:val="none" w:sz="0" w:space="0" w:color="auto"/>
        <w:bottom w:val="none" w:sz="0" w:space="0" w:color="auto"/>
        <w:right w:val="none" w:sz="0" w:space="0" w:color="auto"/>
      </w:divBdr>
    </w:div>
    <w:div w:id="637762480">
      <w:bodyDiv w:val="1"/>
      <w:marLeft w:val="0"/>
      <w:marRight w:val="0"/>
      <w:marTop w:val="0"/>
      <w:marBottom w:val="0"/>
      <w:divBdr>
        <w:top w:val="none" w:sz="0" w:space="0" w:color="auto"/>
        <w:left w:val="none" w:sz="0" w:space="0" w:color="auto"/>
        <w:bottom w:val="none" w:sz="0" w:space="0" w:color="auto"/>
        <w:right w:val="none" w:sz="0" w:space="0" w:color="auto"/>
      </w:divBdr>
    </w:div>
    <w:div w:id="925770752">
      <w:bodyDiv w:val="1"/>
      <w:marLeft w:val="0"/>
      <w:marRight w:val="0"/>
      <w:marTop w:val="0"/>
      <w:marBottom w:val="0"/>
      <w:divBdr>
        <w:top w:val="none" w:sz="0" w:space="0" w:color="auto"/>
        <w:left w:val="none" w:sz="0" w:space="0" w:color="auto"/>
        <w:bottom w:val="none" w:sz="0" w:space="0" w:color="auto"/>
        <w:right w:val="none" w:sz="0" w:space="0" w:color="auto"/>
      </w:divBdr>
    </w:div>
    <w:div w:id="1107391262">
      <w:bodyDiv w:val="1"/>
      <w:marLeft w:val="0"/>
      <w:marRight w:val="0"/>
      <w:marTop w:val="0"/>
      <w:marBottom w:val="0"/>
      <w:divBdr>
        <w:top w:val="none" w:sz="0" w:space="0" w:color="auto"/>
        <w:left w:val="none" w:sz="0" w:space="0" w:color="auto"/>
        <w:bottom w:val="none" w:sz="0" w:space="0" w:color="auto"/>
        <w:right w:val="none" w:sz="0" w:space="0" w:color="auto"/>
      </w:divBdr>
    </w:div>
    <w:div w:id="1313022594">
      <w:bodyDiv w:val="1"/>
      <w:marLeft w:val="0"/>
      <w:marRight w:val="0"/>
      <w:marTop w:val="0"/>
      <w:marBottom w:val="0"/>
      <w:divBdr>
        <w:top w:val="none" w:sz="0" w:space="0" w:color="auto"/>
        <w:left w:val="none" w:sz="0" w:space="0" w:color="auto"/>
        <w:bottom w:val="none" w:sz="0" w:space="0" w:color="auto"/>
        <w:right w:val="none" w:sz="0" w:space="0" w:color="auto"/>
      </w:divBdr>
    </w:div>
    <w:div w:id="1355307639">
      <w:bodyDiv w:val="1"/>
      <w:marLeft w:val="0"/>
      <w:marRight w:val="0"/>
      <w:marTop w:val="0"/>
      <w:marBottom w:val="0"/>
      <w:divBdr>
        <w:top w:val="none" w:sz="0" w:space="0" w:color="auto"/>
        <w:left w:val="none" w:sz="0" w:space="0" w:color="auto"/>
        <w:bottom w:val="none" w:sz="0" w:space="0" w:color="auto"/>
        <w:right w:val="none" w:sz="0" w:space="0" w:color="auto"/>
      </w:divBdr>
      <w:divsChild>
        <w:div w:id="1264612223">
          <w:marLeft w:val="0"/>
          <w:marRight w:val="0"/>
          <w:marTop w:val="480"/>
          <w:marBottom w:val="240"/>
          <w:divBdr>
            <w:top w:val="none" w:sz="0" w:space="0" w:color="auto"/>
            <w:left w:val="none" w:sz="0" w:space="0" w:color="auto"/>
            <w:bottom w:val="none" w:sz="0" w:space="0" w:color="auto"/>
            <w:right w:val="none" w:sz="0" w:space="0" w:color="auto"/>
          </w:divBdr>
        </w:div>
        <w:div w:id="90245092">
          <w:marLeft w:val="0"/>
          <w:marRight w:val="0"/>
          <w:marTop w:val="0"/>
          <w:marBottom w:val="567"/>
          <w:divBdr>
            <w:top w:val="none" w:sz="0" w:space="0" w:color="auto"/>
            <w:left w:val="none" w:sz="0" w:space="0" w:color="auto"/>
            <w:bottom w:val="none" w:sz="0" w:space="0" w:color="auto"/>
            <w:right w:val="none" w:sz="0" w:space="0" w:color="auto"/>
          </w:divBdr>
        </w:div>
      </w:divsChild>
    </w:div>
    <w:div w:id="1628657426">
      <w:bodyDiv w:val="1"/>
      <w:marLeft w:val="0"/>
      <w:marRight w:val="0"/>
      <w:marTop w:val="0"/>
      <w:marBottom w:val="0"/>
      <w:divBdr>
        <w:top w:val="none" w:sz="0" w:space="0" w:color="auto"/>
        <w:left w:val="none" w:sz="0" w:space="0" w:color="auto"/>
        <w:bottom w:val="none" w:sz="0" w:space="0" w:color="auto"/>
        <w:right w:val="none" w:sz="0" w:space="0" w:color="auto"/>
      </w:divBdr>
    </w:div>
    <w:div w:id="1719813415">
      <w:bodyDiv w:val="1"/>
      <w:marLeft w:val="0"/>
      <w:marRight w:val="0"/>
      <w:marTop w:val="0"/>
      <w:marBottom w:val="0"/>
      <w:divBdr>
        <w:top w:val="none" w:sz="0" w:space="0" w:color="auto"/>
        <w:left w:val="none" w:sz="0" w:space="0" w:color="auto"/>
        <w:bottom w:val="none" w:sz="0" w:space="0" w:color="auto"/>
        <w:right w:val="none" w:sz="0" w:space="0" w:color="auto"/>
      </w:divBdr>
    </w:div>
    <w:div w:id="1851022264">
      <w:bodyDiv w:val="1"/>
      <w:marLeft w:val="0"/>
      <w:marRight w:val="0"/>
      <w:marTop w:val="0"/>
      <w:marBottom w:val="0"/>
      <w:divBdr>
        <w:top w:val="none" w:sz="0" w:space="0" w:color="auto"/>
        <w:left w:val="none" w:sz="0" w:space="0" w:color="auto"/>
        <w:bottom w:val="none" w:sz="0" w:space="0" w:color="auto"/>
        <w:right w:val="none" w:sz="0" w:space="0" w:color="auto"/>
      </w:divBdr>
      <w:divsChild>
        <w:div w:id="1870413563">
          <w:marLeft w:val="0"/>
          <w:marRight w:val="0"/>
          <w:marTop w:val="480"/>
          <w:marBottom w:val="240"/>
          <w:divBdr>
            <w:top w:val="none" w:sz="0" w:space="0" w:color="auto"/>
            <w:left w:val="none" w:sz="0" w:space="0" w:color="auto"/>
            <w:bottom w:val="none" w:sz="0" w:space="0" w:color="auto"/>
            <w:right w:val="none" w:sz="0" w:space="0" w:color="auto"/>
          </w:divBdr>
        </w:div>
        <w:div w:id="1034889462">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131.A420182516.6.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ED63-926F-403A-A2A6-6F20A540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7231</Words>
  <Characters>4123</Characters>
  <Application>Microsoft Office Word</Application>
  <DocSecurity>0</DocSecurity>
  <Lines>34</Lines>
  <Paragraphs>22</Paragraphs>
  <ScaleCrop>false</ScaleCrop>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2020-02-05T07:39:00Z</dcterms:created>
  <dcterms:modified xsi:type="dcterms:W3CDTF">2020-02-05T07:44:00Z</dcterms:modified>
</cp:coreProperties>
</file>