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1B8CF" w14:textId="77777777" w:rsidR="00D469C2" w:rsidRDefault="00D469C2" w:rsidP="00D469C2">
      <w:pPr>
        <w:spacing w:line="276" w:lineRule="auto"/>
        <w:jc w:val="both"/>
        <w:rPr>
          <w:b/>
          <w:bCs/>
        </w:rPr>
      </w:pPr>
      <w:r>
        <w:rPr>
          <w:b/>
          <w:bCs/>
        </w:rPr>
        <w:t>Lēmuma par patvaļīgas būvniecības seku novēršanu pārbaudes kārtība</w:t>
      </w:r>
    </w:p>
    <w:p w14:paraId="511B97B8" w14:textId="77777777" w:rsidR="00D469C2" w:rsidRDefault="00D469C2" w:rsidP="00D469C2">
      <w:pPr>
        <w:spacing w:line="276" w:lineRule="auto"/>
        <w:jc w:val="both"/>
      </w:pPr>
      <w:r>
        <w:t>Lēmums par patvaļīgas būvniecības novēršanu būtībā sastāv no divām daļām – secinājuma par patvaļīgas būvniecības esību un konkrēta veida pienākuma saistībā ar šīs būvniecības novēršanu noteikšanas. Tādējādi, izvērtējot lēmuma, ar kuru uzdots pārtraukt patvaļīgu būvniecību, tiesiskumu, vispirms izšķirams jautājums, vai ir konstatējama patvaļīgā būvniecība, savukārt tikai pēc ta</w:t>
      </w:r>
      <w:bookmarkStart w:id="0" w:name="_GoBack"/>
      <w:bookmarkEnd w:id="0"/>
      <w:r>
        <w:t xml:space="preserve">m, ja šāda būvniecība ir konstatējama, ir pamats pievērsties tam, kādas darbības saistībā ar patvaļīgās būvniecības novēršanu konkrētajā gadījumā bija paredzamas. </w:t>
      </w:r>
    </w:p>
    <w:p w14:paraId="1F6DC1FD" w14:textId="12C3475D" w:rsidR="00D469C2" w:rsidRDefault="00D469C2" w:rsidP="00D469C2">
      <w:pPr>
        <w:spacing w:line="276" w:lineRule="auto"/>
        <w:jc w:val="both"/>
        <w:rPr>
          <w:bCs/>
        </w:rPr>
      </w:pPr>
    </w:p>
    <w:p w14:paraId="7B5055F0" w14:textId="77777777" w:rsidR="00D469C2" w:rsidRPr="00A97B32" w:rsidRDefault="00D469C2" w:rsidP="00D469C2">
      <w:pPr>
        <w:spacing w:line="276" w:lineRule="auto"/>
        <w:jc w:val="both"/>
        <w:rPr>
          <w:b/>
          <w:bCs/>
        </w:rPr>
      </w:pPr>
      <w:r w:rsidRPr="00A97B32">
        <w:rPr>
          <w:b/>
          <w:bCs/>
        </w:rPr>
        <w:t>Kompetentā institūcija lemt par būves vai atsevišķu telpu ekspluatācijas aizliegšanu un pienākuma uzlikšanu atjaunot iepriekšējo stāvokli</w:t>
      </w:r>
    </w:p>
    <w:p w14:paraId="68957394" w14:textId="3CD1CD65" w:rsidR="00D469C2" w:rsidRPr="00D469C2" w:rsidRDefault="00D469C2" w:rsidP="00D469C2">
      <w:pPr>
        <w:spacing w:line="276" w:lineRule="auto"/>
        <w:jc w:val="both"/>
      </w:pPr>
      <w:r w:rsidRPr="00A97B32">
        <w:t xml:space="preserve">Būvvalde nevar ar iekšējo normatīvo aktu savu kompetenci lemt aizliegt būves vai atsevišķas telpas ekspluatāciju un uzdot atjaunot iepriekšējo stāvokli nodot būvinspektoram. </w:t>
      </w:r>
    </w:p>
    <w:p w14:paraId="7B54CA10" w14:textId="77777777" w:rsidR="00D469C2" w:rsidRDefault="00D469C2" w:rsidP="00D469C2">
      <w:pPr>
        <w:spacing w:line="276" w:lineRule="auto"/>
        <w:jc w:val="right"/>
        <w:rPr>
          <w:b/>
        </w:rPr>
      </w:pPr>
    </w:p>
    <w:p w14:paraId="2BBC7A40" w14:textId="49FA391C" w:rsidR="001D6DA5" w:rsidRDefault="001D6DA5" w:rsidP="001D6DA5">
      <w:pPr>
        <w:spacing w:line="276" w:lineRule="auto"/>
        <w:jc w:val="center"/>
        <w:rPr>
          <w:b/>
        </w:rPr>
      </w:pPr>
      <w:r w:rsidRPr="00D469C2">
        <w:rPr>
          <w:b/>
        </w:rPr>
        <w:t>Latvijas Republikas Senāt</w:t>
      </w:r>
      <w:r w:rsidR="00D469C2">
        <w:rPr>
          <w:b/>
        </w:rPr>
        <w:t>a</w:t>
      </w:r>
    </w:p>
    <w:p w14:paraId="1C12623B" w14:textId="49D2AC42" w:rsidR="00D469C2" w:rsidRDefault="00D469C2" w:rsidP="001D6DA5">
      <w:pPr>
        <w:spacing w:line="276" w:lineRule="auto"/>
        <w:jc w:val="center"/>
        <w:rPr>
          <w:b/>
        </w:rPr>
      </w:pPr>
      <w:r>
        <w:rPr>
          <w:b/>
        </w:rPr>
        <w:t>Administratīvo lietu departamenta</w:t>
      </w:r>
    </w:p>
    <w:p w14:paraId="32274009" w14:textId="0E03B359" w:rsidR="00D469C2" w:rsidRPr="00D469C2" w:rsidRDefault="00D469C2" w:rsidP="001D6DA5">
      <w:pPr>
        <w:spacing w:line="276" w:lineRule="auto"/>
        <w:jc w:val="center"/>
        <w:rPr>
          <w:b/>
        </w:rPr>
      </w:pPr>
      <w:r>
        <w:rPr>
          <w:b/>
        </w:rPr>
        <w:t>2019.gada 10.oktobra</w:t>
      </w:r>
    </w:p>
    <w:p w14:paraId="77BBECEC" w14:textId="77777777" w:rsidR="00D469C2" w:rsidRDefault="00823D9F" w:rsidP="001D6DA5">
      <w:pPr>
        <w:spacing w:line="276" w:lineRule="auto"/>
        <w:jc w:val="center"/>
        <w:rPr>
          <w:b/>
        </w:rPr>
      </w:pPr>
      <w:r w:rsidRPr="00D469C2">
        <w:rPr>
          <w:b/>
        </w:rPr>
        <w:t>RĪCĪBAS SĒDES LĒMUMS</w:t>
      </w:r>
    </w:p>
    <w:p w14:paraId="5CB0FD64" w14:textId="77777777" w:rsidR="00D469C2" w:rsidRDefault="00D469C2" w:rsidP="001D6DA5">
      <w:pPr>
        <w:spacing w:line="276" w:lineRule="auto"/>
        <w:jc w:val="center"/>
        <w:rPr>
          <w:b/>
        </w:rPr>
      </w:pPr>
      <w:r>
        <w:rPr>
          <w:b/>
        </w:rPr>
        <w:t>Lieta Nr. A420159916, SKA-366/2019</w:t>
      </w:r>
    </w:p>
    <w:p w14:paraId="78AAA2B8" w14:textId="715E882F" w:rsidR="00823D9F" w:rsidRPr="00D469C2" w:rsidRDefault="00D469C2" w:rsidP="001D6DA5">
      <w:pPr>
        <w:spacing w:line="276" w:lineRule="auto"/>
        <w:jc w:val="center"/>
        <w:rPr>
          <w:color w:val="0000FF"/>
        </w:rPr>
      </w:pPr>
      <w:hyperlink r:id="rId7" w:history="1">
        <w:r w:rsidRPr="00D469C2">
          <w:rPr>
            <w:rStyle w:val="Hyperlink"/>
            <w:color w:val="0000FF"/>
          </w:rPr>
          <w:t>ECLI:LV:AT:2019:1010.A420159916.2.L</w:t>
        </w:r>
      </w:hyperlink>
      <w:r w:rsidR="00823D9F" w:rsidRPr="00D469C2">
        <w:rPr>
          <w:color w:val="0000FF"/>
        </w:rPr>
        <w:t xml:space="preserve"> </w:t>
      </w:r>
    </w:p>
    <w:p w14:paraId="10460452" w14:textId="77777777" w:rsidR="003047F5" w:rsidRPr="00B17B0C" w:rsidRDefault="003047F5" w:rsidP="0032201A">
      <w:pPr>
        <w:spacing w:line="276" w:lineRule="auto"/>
        <w:jc w:val="both"/>
      </w:pPr>
    </w:p>
    <w:p w14:paraId="69206B32" w14:textId="77777777" w:rsidR="006039CA" w:rsidRDefault="003047F5" w:rsidP="006039CA">
      <w:pPr>
        <w:spacing w:line="276" w:lineRule="auto"/>
        <w:ind w:firstLine="567"/>
        <w:jc w:val="both"/>
      </w:pPr>
      <w:r w:rsidRPr="00B17B0C">
        <w:t>[1] </w:t>
      </w:r>
      <w:r w:rsidR="006039CA">
        <w:t>Rīgas pilsētas būvvaldes būvinspektors apsekoja pieteicējas SIA „Tirdzniecības noliktavu komplekss „Buļļi”” nekustamo īpašumu un</w:t>
      </w:r>
      <w:r w:rsidR="00A33D9E">
        <w:t xml:space="preserve"> </w:t>
      </w:r>
      <w:proofErr w:type="spellStart"/>
      <w:r w:rsidR="00A33D9E">
        <w:t>citstarp</w:t>
      </w:r>
      <w:proofErr w:type="spellEnd"/>
      <w:r w:rsidR="006039CA">
        <w:t xml:space="preserve"> </w:t>
      </w:r>
      <w:r w:rsidR="003876E5">
        <w:t>secināja</w:t>
      </w:r>
      <w:r w:rsidR="006039CA">
        <w:t>, ka pieteicēja īpašumā esošo nojumi izmanto neatbilstoši projektētajam lietošanas veidam</w:t>
      </w:r>
      <w:r w:rsidR="00CC7937">
        <w:t xml:space="preserve"> (izmanto kā ražošanas ēku, lai arī projektētais lietošanas </w:t>
      </w:r>
      <w:r w:rsidR="00CC7937" w:rsidRPr="004A0EF5">
        <w:t xml:space="preserve">veids ir </w:t>
      </w:r>
      <w:r w:rsidR="004A0EF5" w:rsidRPr="004A0EF5">
        <w:t>palīgēka</w:t>
      </w:r>
      <w:r w:rsidR="00CC7937" w:rsidRPr="004A0EF5">
        <w:t>)</w:t>
      </w:r>
      <w:r w:rsidR="006039CA" w:rsidRPr="004A0EF5">
        <w:t>. Ņemot vērā minēto, būvinspektors</w:t>
      </w:r>
      <w:r w:rsidR="00A33D9E" w:rsidRPr="004A0EF5">
        <w:t xml:space="preserve"> sastādīja atzinumu un </w:t>
      </w:r>
      <w:proofErr w:type="spellStart"/>
      <w:r w:rsidR="00A33D9E" w:rsidRPr="004A0EF5">
        <w:t>citstarp</w:t>
      </w:r>
      <w:proofErr w:type="spellEnd"/>
      <w:r w:rsidR="006039CA" w:rsidRPr="004A0EF5">
        <w:t xml:space="preserve"> </w:t>
      </w:r>
      <w:r w:rsidR="00A33D9E" w:rsidRPr="004A0EF5">
        <w:t>uzdeva</w:t>
      </w:r>
      <w:r w:rsidR="006039CA" w:rsidRPr="004A0EF5">
        <w:t xml:space="preserve"> </w:t>
      </w:r>
      <w:r w:rsidR="00A33D9E" w:rsidRPr="004A0EF5">
        <w:t>pieteic</w:t>
      </w:r>
      <w:r w:rsidR="00A33D9E">
        <w:t xml:space="preserve">ējai </w:t>
      </w:r>
      <w:r w:rsidR="006039CA">
        <w:t>pārtraukt</w:t>
      </w:r>
      <w:r w:rsidR="00A33D9E">
        <w:t xml:space="preserve"> patvaļīgo</w:t>
      </w:r>
      <w:r w:rsidR="006039CA">
        <w:t xml:space="preserve"> nojumes ekspluatāciju. </w:t>
      </w:r>
    </w:p>
    <w:p w14:paraId="1BBD39DA" w14:textId="77777777" w:rsidR="006039CA" w:rsidRDefault="006039CA" w:rsidP="006039CA">
      <w:pPr>
        <w:spacing w:line="276" w:lineRule="auto"/>
        <w:ind w:firstLine="567"/>
        <w:jc w:val="both"/>
      </w:pPr>
      <w:r>
        <w:t xml:space="preserve">Pieteicēja minēto lēmumu apstrīdēja un apstrīdēšanas procesa </w:t>
      </w:r>
      <w:r w:rsidR="00CC7937">
        <w:t>rezultātā</w:t>
      </w:r>
      <w:r>
        <w:t xml:space="preserve"> pieņemto Rīgas domes Pilsētas attīstības departamenta 2016.gada 14.janvāra lēmumu pārsūdzēja tiesā.  </w:t>
      </w:r>
    </w:p>
    <w:p w14:paraId="45612E1F" w14:textId="77777777" w:rsidR="006039CA" w:rsidRDefault="006039CA" w:rsidP="006039CA">
      <w:pPr>
        <w:spacing w:line="276" w:lineRule="auto"/>
        <w:ind w:firstLine="567"/>
        <w:jc w:val="both"/>
      </w:pPr>
      <w:r>
        <w:t xml:space="preserve">Administratīvā apgabaltiesa, izskatījusi lietu apelācijas kārtībā, ar 2017.gada 28.augusta spriedumu </w:t>
      </w:r>
      <w:r w:rsidR="00A33D9E" w:rsidRPr="00CC7937">
        <w:t>atcēla pārsūdzēto lēmumu</w:t>
      </w:r>
      <w:r w:rsidRPr="00CC7937">
        <w:t xml:space="preserve"> minētajā daļā. Apgabaltiesa</w:t>
      </w:r>
      <w:r>
        <w:t xml:space="preserve"> spriedumā secināja, ka konkrētajā gadījumā nav konstatējams, ka pieteicēja ekspluatētu nojumi neatbilstoši tās projektētajai funkcijai, savukārt, tā kā nav konstatējama patvaļīga būvniecība, pieteicējai nebija nosakāms pienākums veikt darbības saistībā ar patvaļīgās būvniecības novēršanu. </w:t>
      </w:r>
    </w:p>
    <w:p w14:paraId="3C333181" w14:textId="77777777" w:rsidR="006039CA" w:rsidRDefault="006039CA" w:rsidP="006039CA">
      <w:pPr>
        <w:spacing w:line="276" w:lineRule="auto"/>
        <w:ind w:firstLine="567"/>
        <w:jc w:val="both"/>
      </w:pPr>
    </w:p>
    <w:p w14:paraId="12FEFE54" w14:textId="77777777" w:rsidR="00C03190" w:rsidRDefault="006039CA" w:rsidP="006039CA">
      <w:pPr>
        <w:spacing w:line="276" w:lineRule="auto"/>
        <w:ind w:firstLine="567"/>
        <w:jc w:val="both"/>
      </w:pPr>
      <w:r>
        <w:t xml:space="preserve">[2] </w:t>
      </w:r>
      <w:r w:rsidR="00C03190">
        <w:t>Senātā saņemta Rīgas domes Pilsētas attīstības departamenta kasācijas sūdzība par apgabaltiesas</w:t>
      </w:r>
      <w:r>
        <w:t xml:space="preserve"> spriedumu minētajā daļā. </w:t>
      </w:r>
    </w:p>
    <w:p w14:paraId="5B6F9589" w14:textId="77777777" w:rsidR="00C03190" w:rsidRDefault="00C03190" w:rsidP="0032201A">
      <w:pPr>
        <w:spacing w:line="276" w:lineRule="auto"/>
        <w:ind w:firstLine="567"/>
        <w:jc w:val="both"/>
      </w:pPr>
      <w:r w:rsidRPr="00C03190">
        <w:t xml:space="preserve">Izvērtējusi iesniegto kasācijas sūdzību, senatoru kolēģija turpmāk norādīto apsvērumu dēļ atzīst, ka tajā </w:t>
      </w:r>
      <w:r w:rsidR="00A33D9E">
        <w:t xml:space="preserve">norādītie argumenti nerada šaubas par </w:t>
      </w:r>
      <w:r w:rsidRPr="00C03190">
        <w:t xml:space="preserve">pārsūdzētā </w:t>
      </w:r>
      <w:r w:rsidR="00A33D9E">
        <w:t>apgabal</w:t>
      </w:r>
      <w:r w:rsidRPr="00C03190">
        <w:t>tiesas sprieduma pareizību.</w:t>
      </w:r>
    </w:p>
    <w:p w14:paraId="62C88B60" w14:textId="77777777" w:rsidR="00C03190" w:rsidRDefault="00C03190" w:rsidP="0032201A">
      <w:pPr>
        <w:spacing w:line="276" w:lineRule="auto"/>
        <w:ind w:firstLine="567"/>
        <w:jc w:val="both"/>
      </w:pPr>
    </w:p>
    <w:p w14:paraId="4297BD36" w14:textId="77777777" w:rsidR="00C03190" w:rsidRDefault="00C03190" w:rsidP="0032201A">
      <w:pPr>
        <w:spacing w:line="276" w:lineRule="auto"/>
        <w:ind w:firstLine="567"/>
        <w:jc w:val="both"/>
      </w:pPr>
      <w:r>
        <w:t>[3] Iestāde kasācijas sūdzībā iebilst tam, ka apgabaltiesa spriedumā ir vērtējusi, vai nojume</w:t>
      </w:r>
      <w:r w:rsidR="00F93F3D">
        <w:t xml:space="preserve"> tiek</w:t>
      </w:r>
      <w:r>
        <w:t xml:space="preserve"> ekspluatēta kā ražošanas ēka, bet nav vērtējusi pieteicējai noteiktā pienākuma (</w:t>
      </w:r>
      <w:r w:rsidR="00F93F3D">
        <w:t>pārtraukt patvaļīgo nojumes ekspluatāciju</w:t>
      </w:r>
      <w:r>
        <w:t>) tiesiskumu.</w:t>
      </w:r>
    </w:p>
    <w:p w14:paraId="5242AA91" w14:textId="5D68E12E" w:rsidR="00254DEC" w:rsidRDefault="00254DEC" w:rsidP="00254DEC">
      <w:pPr>
        <w:spacing w:line="276" w:lineRule="auto"/>
        <w:ind w:firstLine="567"/>
        <w:jc w:val="both"/>
      </w:pPr>
      <w:r>
        <w:t>Atbildot uz minēt</w:t>
      </w:r>
      <w:r w:rsidR="004A0EF5">
        <w:t>o</w:t>
      </w:r>
      <w:r w:rsidR="00A33D9E">
        <w:t xml:space="preserve"> iebildum</w:t>
      </w:r>
      <w:r w:rsidR="004A0EF5">
        <w:t>u</w:t>
      </w:r>
      <w:r w:rsidR="00A33D9E">
        <w:t>, senatoru kolēģija</w:t>
      </w:r>
      <w:r>
        <w:t xml:space="preserve"> uzsver, ka </w:t>
      </w:r>
      <w:r w:rsidR="00C03190">
        <w:t xml:space="preserve">lēmums par patvaļīgas būvniecības </w:t>
      </w:r>
      <w:r>
        <w:t>novēršanu</w:t>
      </w:r>
      <w:r w:rsidR="00C03190">
        <w:t xml:space="preserve"> būtībā sastāv no divām daļām – secinājuma par patvaļīgas būvniecības esību un konkrēta veida pienākum</w:t>
      </w:r>
      <w:r w:rsidR="00A33D9E">
        <w:t>a</w:t>
      </w:r>
      <w:r>
        <w:t xml:space="preserve"> saistībā ar šīs būvniecības novēršanu</w:t>
      </w:r>
      <w:r w:rsidR="00851EB1">
        <w:t xml:space="preserve"> noteikšanas</w:t>
      </w:r>
      <w:r>
        <w:t>. Tādējādi, izvērtējot lēmuma</w:t>
      </w:r>
      <w:r w:rsidR="004A0EF5">
        <w:t xml:space="preserve">, ar kuru uzdots pārtraukt patvaļīgu būvniecību, </w:t>
      </w:r>
      <w:r>
        <w:t xml:space="preserve">tiesiskumu, vispirms </w:t>
      </w:r>
      <w:r>
        <w:lastRenderedPageBreak/>
        <w:t xml:space="preserve">izšķirams jautājums, vai </w:t>
      </w:r>
      <w:r w:rsidR="004A0EF5">
        <w:t xml:space="preserve">tiešām </w:t>
      </w:r>
      <w:r>
        <w:t xml:space="preserve">ir konstatējama patvaļīgā būvniecība, savukārt tikai pēc tam, ja šāda būvniecība ir konstatējama, </w:t>
      </w:r>
      <w:r w:rsidR="00A33D9E">
        <w:t>ir</w:t>
      </w:r>
      <w:r>
        <w:t xml:space="preserve"> pamats pievērsties tam, kādas darbības saistībā ar patvaļīgās būvniecības novēršanu konkrētajā gadījumā bija paredzamas. </w:t>
      </w:r>
    </w:p>
    <w:p w14:paraId="6296505E" w14:textId="77777777" w:rsidR="00254DEC" w:rsidRDefault="004A0EF5" w:rsidP="00254DEC">
      <w:pPr>
        <w:spacing w:line="276" w:lineRule="auto"/>
        <w:ind w:firstLine="567"/>
        <w:jc w:val="both"/>
      </w:pPr>
      <w:r>
        <w:t>Līdz ar to</w:t>
      </w:r>
      <w:r w:rsidR="00F93F3D">
        <w:t xml:space="preserve">, pretēji </w:t>
      </w:r>
      <w:r w:rsidR="00CC7937">
        <w:t>kasatora</w:t>
      </w:r>
      <w:r w:rsidR="009F4E18">
        <w:t xml:space="preserve"> iebildumiem</w:t>
      </w:r>
      <w:r w:rsidR="00A33D9E">
        <w:t xml:space="preserve">, apgabaltiesa </w:t>
      </w:r>
      <w:r w:rsidR="00CC7937">
        <w:t xml:space="preserve">pamatoti </w:t>
      </w:r>
      <w:r w:rsidR="00A33D9E">
        <w:t>ir vērtējusi</w:t>
      </w:r>
      <w:r w:rsidR="009F4E18">
        <w:t xml:space="preserve">, vai konkrētajā </w:t>
      </w:r>
      <w:r w:rsidR="009F4E18" w:rsidRPr="008F1F36">
        <w:t>gadījumā ir konstatējama patvaļīga būvniecība</w:t>
      </w:r>
      <w:r w:rsidRPr="008F1F36">
        <w:t xml:space="preserve">. </w:t>
      </w:r>
      <w:r w:rsidR="008F1F36" w:rsidRPr="008F1F36">
        <w:t>Atbilstoši Būvniecības likuma 18.panta otrajai daļai p</w:t>
      </w:r>
      <w:r w:rsidR="008F1F36" w:rsidRPr="008F1F36">
        <w:rPr>
          <w:shd w:val="clear" w:color="auto" w:fill="FFFFFF"/>
        </w:rPr>
        <w:t>atvaļīga būvniecība ir arī būves vai tās daļas ekspluatācija neatbilstoši projektētajam lietošanas veidam.</w:t>
      </w:r>
      <w:r w:rsidR="008F1F36" w:rsidRPr="008F1F36">
        <w:t xml:space="preserve"> </w:t>
      </w:r>
      <w:r w:rsidRPr="008F1F36">
        <w:t xml:space="preserve">Izvērtējot </w:t>
      </w:r>
      <w:r>
        <w:t xml:space="preserve">būvinspektora atzinumā norādītos apstākļus, apgabaltiesa secinājusi, ka saistībā ar nojumes ekspluatāciju patvaļīga būvniecība nav konstatējama, proti, nav pamata uzskatīt, ka nojume bez nepieciešamās būvniecības dokumentācijas tiktu izmantota kā rūpnieciskās ražošanas ēka. </w:t>
      </w:r>
      <w:r w:rsidR="00CE4EBA">
        <w:t xml:space="preserve">Līdz ar to </w:t>
      </w:r>
      <w:r>
        <w:t xml:space="preserve">apgabaltiesa konstatējusi, ka patvaļīga būvniecība </w:t>
      </w:r>
      <w:r w:rsidR="009F4E18">
        <w:t>nav konstatējama</w:t>
      </w:r>
      <w:r w:rsidR="00CC7937">
        <w:t>.</w:t>
      </w:r>
    </w:p>
    <w:p w14:paraId="3B96223B" w14:textId="1B939601" w:rsidR="00A33D9E" w:rsidRPr="00D4361C" w:rsidRDefault="00254DEC" w:rsidP="00D4361C">
      <w:pPr>
        <w:spacing w:line="276" w:lineRule="auto"/>
        <w:ind w:firstLine="567"/>
        <w:jc w:val="both"/>
      </w:pPr>
      <w:r>
        <w:t>I</w:t>
      </w:r>
      <w:r w:rsidR="009F4E18">
        <w:t>ebilstot apgabaltiesas secinātajam</w:t>
      </w:r>
      <w:r>
        <w:t>, iestāde kasācijas sūdzībā norāda, ka apgabaltiesa pārsūdzētajā spriedumā</w:t>
      </w:r>
      <w:r w:rsidR="004A0EF5">
        <w:t xml:space="preserve">, no vienas puses, </w:t>
      </w:r>
      <w:r>
        <w:t xml:space="preserve">ir secinājusi, ka nojume tiek izmantota saimnieciskajā darbībā kā metāllūžņu uzglabāšanas un šķirošanas vieta un attiecīgi šādas darbības uzskatāmas par atkritumu apsaimniekošanu. Vienlaikus, kā norāda iestāde, pati apgabaltiesa ir konstatējusi, ka lietā nav strīda, ka pieteicēja </w:t>
      </w:r>
      <w:r w:rsidRPr="00D4361C">
        <w:t>nenodarbojas ar atkritumu apsaimnieko</w:t>
      </w:r>
      <w:r w:rsidR="00F93F3D" w:rsidRPr="00D4361C">
        <w:t>šanu</w:t>
      </w:r>
      <w:r w:rsidR="004A0EF5" w:rsidRPr="00D4361C">
        <w:t xml:space="preserve">, </w:t>
      </w:r>
      <w:r w:rsidR="00F93F3D" w:rsidRPr="00D4361C">
        <w:t>un tāpēc apgabaltiesa atzinusi, ka attiecībā uz pieteicēju nav attiecināmi Ministru kabineta 2011.gada 22.novembra noteikum</w:t>
      </w:r>
      <w:r w:rsidR="009F08B3" w:rsidRPr="00D4361C">
        <w:t>i</w:t>
      </w:r>
      <w:r w:rsidR="00F93F3D" w:rsidRPr="00D4361C">
        <w:t xml:space="preserve"> Nr. 898 „Noteikumi par atkritumu sa</w:t>
      </w:r>
      <w:r w:rsidR="00A33D9E" w:rsidRPr="00D4361C">
        <w:t>vākšanas un šķirošanas vietām”.</w:t>
      </w:r>
    </w:p>
    <w:p w14:paraId="09AC037C" w14:textId="4618C4F2" w:rsidR="009F4E18" w:rsidRPr="00D4361C" w:rsidRDefault="00A33D9E" w:rsidP="00D4361C">
      <w:pPr>
        <w:pStyle w:val="CommentText"/>
        <w:spacing w:line="276" w:lineRule="auto"/>
        <w:jc w:val="both"/>
        <w:rPr>
          <w:sz w:val="24"/>
          <w:szCs w:val="24"/>
        </w:rPr>
      </w:pPr>
      <w:r w:rsidRPr="00D4361C">
        <w:rPr>
          <w:sz w:val="24"/>
          <w:szCs w:val="24"/>
        </w:rPr>
        <w:t xml:space="preserve">Izvērtējot iestādes iebildumus, senatoru kolēģija norāda, ka no </w:t>
      </w:r>
      <w:r w:rsidR="00F93F3D" w:rsidRPr="00D4361C">
        <w:rPr>
          <w:sz w:val="24"/>
          <w:szCs w:val="24"/>
        </w:rPr>
        <w:t>apgabaltiesas sprieduma kopumā ir acīmredzams, ka apgabaltiesa nav piekritusi iestādes pozīcijai, ka pieteicēja nojumē uzsākusi rūpniecisko ražošanu. Vērtējot iestādes norādītos apsvērumus, kas par to liecina, apgabaltiesa ir konstatējusi, ka nojume tiek izmantota, lai šķirotu ar saimniecisko darbību saistītos atkritumus, tādējādi joprojām izmantojot nojumi atbilstoši tās kā palīgēkas funkcijai. Savukārt</w:t>
      </w:r>
      <w:r w:rsidRPr="00D4361C">
        <w:rPr>
          <w:sz w:val="24"/>
          <w:szCs w:val="24"/>
        </w:rPr>
        <w:t>, kā secinājusi apgabaltiesa,</w:t>
      </w:r>
      <w:r w:rsidR="00F93F3D" w:rsidRPr="00D4361C">
        <w:rPr>
          <w:sz w:val="24"/>
          <w:szCs w:val="24"/>
        </w:rPr>
        <w:t xml:space="preserve"> šāda izmantošana</w:t>
      </w:r>
      <w:r w:rsidR="00B84D7C" w:rsidRPr="00D4361C">
        <w:rPr>
          <w:sz w:val="24"/>
          <w:szCs w:val="24"/>
        </w:rPr>
        <w:t>, lai arī aptver darbības ar atkritumiem,</w:t>
      </w:r>
      <w:r w:rsidR="00F93F3D" w:rsidRPr="00D4361C">
        <w:rPr>
          <w:sz w:val="24"/>
          <w:szCs w:val="24"/>
        </w:rPr>
        <w:t xml:space="preserve"> neliecina, ka pieteicēja īsteno atkritumu apsaimniekošanu minēto Ministru kabineta noteikumu izpratnē. </w:t>
      </w:r>
      <w:r w:rsidRPr="00D4361C">
        <w:rPr>
          <w:sz w:val="24"/>
          <w:szCs w:val="24"/>
        </w:rPr>
        <w:t>Līdz ar to, pretēji iest</w:t>
      </w:r>
      <w:r w:rsidR="005315A7">
        <w:rPr>
          <w:sz w:val="24"/>
          <w:szCs w:val="24"/>
        </w:rPr>
        <w:t xml:space="preserve">ādes norādītajam, apgabaltiesas </w:t>
      </w:r>
      <w:r w:rsidR="00D4361C" w:rsidRPr="00D4361C">
        <w:rPr>
          <w:sz w:val="24"/>
          <w:szCs w:val="24"/>
        </w:rPr>
        <w:t>spriedums šajā jautājumā nav pretrunīgs</w:t>
      </w:r>
      <w:r w:rsidRPr="00D4361C">
        <w:rPr>
          <w:sz w:val="24"/>
          <w:szCs w:val="24"/>
        </w:rPr>
        <w:t xml:space="preserve">. </w:t>
      </w:r>
    </w:p>
    <w:p w14:paraId="270E5B8E" w14:textId="6432AC02" w:rsidR="004F7B90" w:rsidRDefault="009F4E18" w:rsidP="00D4361C">
      <w:pPr>
        <w:spacing w:line="276" w:lineRule="auto"/>
        <w:ind w:firstLine="567"/>
        <w:jc w:val="both"/>
      </w:pPr>
      <w:r w:rsidRPr="00D4361C">
        <w:t>Tāpat iestāde kasācijas sūdzībā vispārīgi norāda, ka tiesa, vērtējot, vai ir konstatējama patvaļīga būvniecība, nav pievērsusies tam, ka arī elektrokabeļa pievil</w:t>
      </w:r>
      <w:r w:rsidR="009F08B3" w:rsidRPr="00D4361C">
        <w:t>k</w:t>
      </w:r>
      <w:r w:rsidRPr="00D4361C">
        <w:t xml:space="preserve">šana nojumei ir notikusi bez būvatļaujas. Tomēr minētie jautājumi, proti, tas, ka elektrokabeļa </w:t>
      </w:r>
      <w:r w:rsidR="00D4361C" w:rsidRPr="00D4361C">
        <w:t>p</w:t>
      </w:r>
      <w:r w:rsidRPr="00D4361C">
        <w:t>ievilkšana ir uzskatāma par patvaļīgu būvniecību, ir pārbaudīti apgabaltiesas spriedumā daļā, kurā pieteicējas pieteikums ir noraidīts</w:t>
      </w:r>
      <w:r w:rsidR="00B84D7C" w:rsidRPr="00D4361C">
        <w:t xml:space="preserve"> un pārsūdzētais lēmums atzīts par tiesisku</w:t>
      </w:r>
      <w:r w:rsidRPr="00D4361C">
        <w:t>. Iestāde kasācijas sūdzībā nav pamatojusi, kāpēc tas, ka elektrokabeļa pievilkšana ir uzskatāma par patvaļīgu būvniecību</w:t>
      </w:r>
      <w:r w:rsidR="00CE4EBA" w:rsidRPr="00D4361C">
        <w:t>,</w:t>
      </w:r>
      <w:r w:rsidRPr="00D4361C">
        <w:t xml:space="preserve"> nozīmētu arī to, ka nojume tiek ekspluatēta neatbilstoši projektētajai</w:t>
      </w:r>
      <w:r>
        <w:t xml:space="preserve"> funkcijai</w:t>
      </w:r>
      <w:r w:rsidR="00B84D7C">
        <w:t xml:space="preserve"> (proti, izmantota kā rūpnieciskās ražošanas ēka)</w:t>
      </w:r>
      <w:r>
        <w:t xml:space="preserve">. </w:t>
      </w:r>
    </w:p>
    <w:p w14:paraId="6CDB1034" w14:textId="77777777" w:rsidR="008F1F36" w:rsidRDefault="004F7B90" w:rsidP="009F4E18">
      <w:pPr>
        <w:spacing w:line="276" w:lineRule="auto"/>
        <w:ind w:firstLine="567"/>
        <w:jc w:val="both"/>
      </w:pPr>
      <w:r>
        <w:t>Citus apsvēru</w:t>
      </w:r>
      <w:r w:rsidR="00B84D7C">
        <w:t>mus, kas norāda</w:t>
      </w:r>
      <w:r>
        <w:t>, ka apgabaltiesas secinājumi saistībā ar jautājumu p</w:t>
      </w:r>
      <w:r w:rsidR="00B84D7C">
        <w:t>ar patvaļīgas būvniecības esību</w:t>
      </w:r>
      <w:r>
        <w:t xml:space="preserve"> būtu kļūdaini, iestāde nav norādījusi. </w:t>
      </w:r>
      <w:r w:rsidR="009F4E18">
        <w:t>Līdz ar to kasācijas sūdzīb</w:t>
      </w:r>
      <w:r w:rsidR="00B84D7C">
        <w:t>as</w:t>
      </w:r>
      <w:r w:rsidR="009F4E18">
        <w:t xml:space="preserve"> argumenti kopumā neliek apšaubīt apgabaltiesas secinājumu, ka patvaļīga nojumes ekspluatācija neatbilstoši projektētajai funkcijai nav konstatējama. </w:t>
      </w:r>
    </w:p>
    <w:p w14:paraId="2B098EE2" w14:textId="77777777" w:rsidR="009F4E18" w:rsidRDefault="00B84D7C" w:rsidP="009F4E18">
      <w:pPr>
        <w:spacing w:line="276" w:lineRule="auto"/>
        <w:ind w:firstLine="567"/>
        <w:jc w:val="both"/>
      </w:pPr>
      <w:r>
        <w:t>Šādos apstākļos</w:t>
      </w:r>
      <w:r w:rsidR="004F7B90">
        <w:t xml:space="preserve"> apgabaltiesai nebija pienākuma vērtēt, vai un kādā veidā patvaļīgās būvniecības sekas būtu novēršamas. </w:t>
      </w:r>
      <w:r>
        <w:t>J</w:t>
      </w:r>
      <w:r w:rsidR="009F4E18">
        <w:t>a reiz iestāde kļūdaini secinājusi, ka ir konstatējama patvaļīga būvniecība, automātiski par kļūdainiem uzskatāmi arī iestādes secinājumi par to, k</w:t>
      </w:r>
      <w:r w:rsidR="00CE4EBA">
        <w:t>a un kā</w:t>
      </w:r>
      <w:r w:rsidR="009F4E18">
        <w:t xml:space="preserve"> šāda būvniecība novēršama. </w:t>
      </w:r>
    </w:p>
    <w:p w14:paraId="28BB2E79" w14:textId="77777777" w:rsidR="008C75C3" w:rsidRDefault="008C75C3" w:rsidP="009F4E18">
      <w:pPr>
        <w:spacing w:line="276" w:lineRule="auto"/>
        <w:jc w:val="both"/>
      </w:pPr>
    </w:p>
    <w:p w14:paraId="2FF29E8A" w14:textId="77777777" w:rsidR="009F4E18" w:rsidRDefault="008C75C3" w:rsidP="0032201A">
      <w:pPr>
        <w:spacing w:line="276" w:lineRule="auto"/>
        <w:ind w:firstLine="567"/>
        <w:jc w:val="both"/>
      </w:pPr>
      <w:r>
        <w:t xml:space="preserve">[4] </w:t>
      </w:r>
      <w:r w:rsidR="009F4E18">
        <w:t xml:space="preserve">Apgabaltiesa spriedumā </w:t>
      </w:r>
      <w:proofErr w:type="spellStart"/>
      <w:r w:rsidR="009F4E18">
        <w:t>citstarp</w:t>
      </w:r>
      <w:proofErr w:type="spellEnd"/>
      <w:r w:rsidR="009F4E18">
        <w:t xml:space="preserve"> norādījusi arī to, ka būvinspektors konkrētajā gadījumā nepamatoti piemērojis Būvniecības likuma 21.panta septītās daļas 4.punktu, jo šajā </w:t>
      </w:r>
      <w:r w:rsidR="009F4E18">
        <w:lastRenderedPageBreak/>
        <w:t xml:space="preserve">normā paredzēto gala lēmumu par </w:t>
      </w:r>
      <w:r w:rsidR="00B84D7C">
        <w:t>patvaļīgas</w:t>
      </w:r>
      <w:r w:rsidR="009F4E18">
        <w:t xml:space="preserve"> ekspluatācijas apturēšanu </w:t>
      </w:r>
      <w:r w:rsidR="00B717BA">
        <w:t xml:space="preserve"> (aizliegšanu) </w:t>
      </w:r>
      <w:r w:rsidR="009F4E18">
        <w:t xml:space="preserve">varētu pieņemt tikai būvvalde. </w:t>
      </w:r>
    </w:p>
    <w:p w14:paraId="09B8F206" w14:textId="77777777" w:rsidR="009F4E18" w:rsidRDefault="009F4E18" w:rsidP="0032201A">
      <w:pPr>
        <w:spacing w:line="276" w:lineRule="auto"/>
        <w:ind w:firstLine="567"/>
        <w:jc w:val="both"/>
      </w:pPr>
      <w:r>
        <w:t xml:space="preserve">Saistībā ar minēto iestāde kasācijas sūdzībā argumentē, ka būvvaldes vadītājs atbilstoši Rīgas domes saistošajiem noteikumiem </w:t>
      </w:r>
      <w:r w:rsidR="002546D2">
        <w:t xml:space="preserve">un savai kompetencei drīkst izdot iekšējos normatīvos aktus, savukārt ar šādu iekšējo normatīvo aktu – būvvaldes vadītāja 2014.gada 10.oktobra rīkojumu – būvvaldes būvinspektoriem piešķirtas tiesības būvvaldes vietā pieņemt lēmumus par patvaļīgas būvniecības seku novēršanu un aizliegumu būvi ekspluatēt. </w:t>
      </w:r>
    </w:p>
    <w:p w14:paraId="17297426" w14:textId="4DD4F2C4" w:rsidR="008F1F36" w:rsidRDefault="00B717BA" w:rsidP="008F1F36">
      <w:pPr>
        <w:spacing w:line="276" w:lineRule="auto"/>
        <w:ind w:firstLine="567"/>
        <w:jc w:val="both"/>
      </w:pPr>
      <w:r>
        <w:t>Šajā sakarā s</w:t>
      </w:r>
      <w:r w:rsidR="002546D2">
        <w:t xml:space="preserve">enatoru kolēģija paskaidro, ka Valsts pārvaldes iekārtas likums noteic konkrētas jomas, attiecībā uz kurām publiskas personas orgāni vai amatpersonas savas kompetences ietvaros var izdot iekšējos normatīvos aktus (likuma 73.panta pirmā daļa). Lai arī starp šīm jomām </w:t>
      </w:r>
      <w:proofErr w:type="spellStart"/>
      <w:r w:rsidR="002546D2">
        <w:t>citstarp</w:t>
      </w:r>
      <w:proofErr w:type="spellEnd"/>
      <w:r w:rsidR="002546D2">
        <w:t xml:space="preserve"> ir jautājumi par pārvaldes lēmuma pieņemšanas procedūru, pārvaldes amatpersonu un citu darbinieku pienākumu pildīšanu, </w:t>
      </w:r>
      <w:r w:rsidR="008F1F36">
        <w:t xml:space="preserve">tas nenozīmē, ka </w:t>
      </w:r>
      <w:r w:rsidR="009C5A56">
        <w:t>Valsts pārvaldes iekārtas likum</w:t>
      </w:r>
      <w:r w:rsidR="00773E02">
        <w:t xml:space="preserve">s tādējādi </w:t>
      </w:r>
      <w:r w:rsidR="009C5A56">
        <w:t xml:space="preserve">paredz, ka ar iekšējo normatīvo aktu </w:t>
      </w:r>
      <w:r w:rsidR="008F1F36">
        <w:t>iestāde (</w:t>
      </w:r>
      <w:r w:rsidR="009C5A56">
        <w:t>amatpersona</w:t>
      </w:r>
      <w:r w:rsidR="008F1F36">
        <w:t>)</w:t>
      </w:r>
      <w:r w:rsidR="009C5A56">
        <w:t xml:space="preserve"> varētu </w:t>
      </w:r>
      <w:r w:rsidR="002546D2">
        <w:t>nodo</w:t>
      </w:r>
      <w:r w:rsidR="009F08B3">
        <w:t>t</w:t>
      </w:r>
      <w:r w:rsidR="002546D2">
        <w:t xml:space="preserve"> sev ar likumu piešķirto kompetenci citai amatpersonai (iestādei)</w:t>
      </w:r>
      <w:r w:rsidR="009C5A56">
        <w:t xml:space="preserve">. </w:t>
      </w:r>
      <w:r w:rsidR="00773E02">
        <w:t>Senāta judikatūrā jau iepriekš uzsvērts, ka i</w:t>
      </w:r>
      <w:r w:rsidR="002546D2">
        <w:t xml:space="preserve">ekšējs normatīvais akts nevar būt </w:t>
      </w:r>
      <w:r w:rsidR="00B84D7C">
        <w:t>pamats</w:t>
      </w:r>
      <w:r w:rsidR="002546D2">
        <w:t>, lai neievērotu likumā noteikto am</w:t>
      </w:r>
      <w:r w:rsidR="009C5A56">
        <w:t>atpersonu un iestāžu kompetenci.</w:t>
      </w:r>
      <w:r w:rsidR="002546D2">
        <w:t xml:space="preserve"> </w:t>
      </w:r>
      <w:r w:rsidR="00B84D7C">
        <w:t>Tāpēc, j</w:t>
      </w:r>
      <w:r w:rsidR="009C5A56">
        <w:t xml:space="preserve">a reiz likumdevējs ir noteicis konkrētu darbību veikšanai un lēmumu pieņemšanai piekritīgās iestādes (amatpersonas), šāds </w:t>
      </w:r>
      <w:r w:rsidR="009C5A56" w:rsidRPr="008F1F36">
        <w:t>kompetences sadalījums ir jāievēro (</w:t>
      </w:r>
      <w:r w:rsidR="009C5A56" w:rsidRPr="008F1F36">
        <w:rPr>
          <w:i/>
        </w:rPr>
        <w:t>Senāta 2007.gada 14.marta sprieduma lietā Nr. SKA</w:t>
      </w:r>
      <w:r w:rsidR="009C5A56" w:rsidRPr="008F1F36">
        <w:rPr>
          <w:i/>
        </w:rPr>
        <w:noBreakHyphen/>
        <w:t>95/2007 12.punkt</w:t>
      </w:r>
      <w:r w:rsidR="0070344A" w:rsidRPr="008F1F36">
        <w:rPr>
          <w:i/>
        </w:rPr>
        <w:t>s</w:t>
      </w:r>
      <w:r w:rsidR="009C5A56" w:rsidRPr="008F1F36">
        <w:t xml:space="preserve">). </w:t>
      </w:r>
    </w:p>
    <w:p w14:paraId="2C59907A" w14:textId="77777777" w:rsidR="002546D2" w:rsidRDefault="008F1F36" w:rsidP="00B717BA">
      <w:pPr>
        <w:spacing w:line="276" w:lineRule="auto"/>
        <w:ind w:firstLine="567"/>
        <w:jc w:val="both"/>
      </w:pPr>
      <w:r w:rsidRPr="008F1F36">
        <w:t>Būvniecības likuma 21.panta septītās daļas 4.punkts noteic, ka gadījumā, ja būve vai atsevišķa telpa tiek izmantota neatbilstoši projektētajam lietošanas veidam, lēmumu aizliegt būves vai atsevišķas telpas ekspluatāciju un uzdot atjaunot iepriekšējo stāvokli var pieņemt būvvalde.</w:t>
      </w:r>
      <w:r>
        <w:t xml:space="preserve"> Tas nozīmē, ka būvvalde nevar ar iekšējo normatīvo aktu </w:t>
      </w:r>
      <w:r w:rsidR="00B717BA">
        <w:t xml:space="preserve">šo </w:t>
      </w:r>
      <w:r>
        <w:t>savu kompetenci nodot būvinspektoram.</w:t>
      </w:r>
      <w:r w:rsidR="00B717BA">
        <w:t xml:space="preserve"> </w:t>
      </w:r>
    </w:p>
    <w:p w14:paraId="0308546B" w14:textId="77777777" w:rsidR="00B717BA" w:rsidRDefault="00B717BA" w:rsidP="00B717BA">
      <w:pPr>
        <w:spacing w:line="276" w:lineRule="auto"/>
        <w:ind w:firstLine="567"/>
        <w:jc w:val="both"/>
      </w:pPr>
      <w:r>
        <w:t>Līdz ar to minētais kasācijas sūdzības arguments ir nepamatots.</w:t>
      </w:r>
    </w:p>
    <w:p w14:paraId="719B33E8" w14:textId="77777777" w:rsidR="003F201A" w:rsidRDefault="003F201A" w:rsidP="009C5A56">
      <w:pPr>
        <w:spacing w:line="276" w:lineRule="auto"/>
        <w:jc w:val="both"/>
      </w:pPr>
    </w:p>
    <w:p w14:paraId="6A233D79" w14:textId="77777777" w:rsidR="003F201A" w:rsidRDefault="003F201A" w:rsidP="003F201A">
      <w:pPr>
        <w:spacing w:line="276" w:lineRule="auto"/>
        <w:ind w:firstLine="567"/>
        <w:jc w:val="both"/>
      </w:pPr>
      <w:r>
        <w:t xml:space="preserve">[5] </w:t>
      </w:r>
      <w:r w:rsidRPr="003F201A">
        <w:t>Ievērojot minēto, kasācijas sūdzībā norādītie argumenti senatoru kolēģijai nerada šaubas par apg</w:t>
      </w:r>
      <w:r w:rsidR="000031C0">
        <w:t>abaltiesas sprieduma tiesiskumu</w:t>
      </w:r>
      <w:r w:rsidR="00B717BA">
        <w:t>. T</w:t>
      </w:r>
      <w:r w:rsidR="000031C0">
        <w:t>o izvērtējumam nav</w:t>
      </w:r>
      <w:r w:rsidRPr="003F201A">
        <w:t xml:space="preserve"> arī nozīmes judikatūras veidošanā. Minētais atbilstoši Administratīvā procesa likuma 338.</w:t>
      </w:r>
      <w:r w:rsidRPr="003F201A">
        <w:rPr>
          <w:vertAlign w:val="superscript"/>
        </w:rPr>
        <w:t>1</w:t>
      </w:r>
      <w:r w:rsidRPr="003F201A">
        <w:t>panta otrās daļas 2.punktam ir pamats atteikt ierosināt kasācijas tiesvedību.</w:t>
      </w:r>
    </w:p>
    <w:p w14:paraId="64FA34FB" w14:textId="77777777" w:rsidR="00E92FD5" w:rsidRPr="00B17B0C" w:rsidRDefault="00E92FD5" w:rsidP="000031C0">
      <w:pPr>
        <w:spacing w:line="276" w:lineRule="auto"/>
        <w:jc w:val="both"/>
      </w:pPr>
    </w:p>
    <w:p w14:paraId="6DCF5BD8" w14:textId="77777777" w:rsidR="003047F5" w:rsidRPr="00B17B0C" w:rsidRDefault="003047F5" w:rsidP="0032201A">
      <w:pPr>
        <w:spacing w:line="276" w:lineRule="auto"/>
        <w:ind w:firstLine="567"/>
        <w:jc w:val="both"/>
        <w:rPr>
          <w:strike/>
        </w:rPr>
      </w:pPr>
      <w:r w:rsidRPr="00B17B0C">
        <w:t xml:space="preserve">Pamatojoties uz </w:t>
      </w:r>
      <w:r w:rsidR="006F7E46" w:rsidRPr="006F7E46">
        <w:t>Administratīvā procesa likuma 338.panta otro daļu un 338.</w:t>
      </w:r>
      <w:r w:rsidR="006F7E46" w:rsidRPr="006F7E46">
        <w:rPr>
          <w:vertAlign w:val="superscript"/>
        </w:rPr>
        <w:t>1</w:t>
      </w:r>
      <w:r w:rsidR="006F7E46" w:rsidRPr="006F7E46">
        <w:t xml:space="preserve">panta </w:t>
      </w:r>
      <w:r w:rsidR="003F201A">
        <w:t>otrās daļas 2.punktu</w:t>
      </w:r>
      <w:r w:rsidRPr="00B17B0C">
        <w:t xml:space="preserve">, </w:t>
      </w:r>
      <w:r w:rsidR="001D6DA5">
        <w:t>senatoru</w:t>
      </w:r>
      <w:r w:rsidR="00D3210B" w:rsidRPr="00B17B0C">
        <w:t xml:space="preserve"> kolēģija</w:t>
      </w:r>
    </w:p>
    <w:p w14:paraId="4703656E" w14:textId="77777777" w:rsidR="003047F5" w:rsidRPr="00B17B0C" w:rsidRDefault="003047F5" w:rsidP="00B17B0C">
      <w:pPr>
        <w:spacing w:line="276" w:lineRule="auto"/>
        <w:ind w:firstLine="567"/>
        <w:jc w:val="both"/>
      </w:pPr>
    </w:p>
    <w:p w14:paraId="6856FF74" w14:textId="77777777" w:rsidR="001A0953" w:rsidRPr="00B17B0C" w:rsidRDefault="001A0953" w:rsidP="00B17B0C">
      <w:pPr>
        <w:spacing w:line="276" w:lineRule="auto"/>
        <w:jc w:val="center"/>
        <w:rPr>
          <w:b/>
        </w:rPr>
      </w:pPr>
      <w:r w:rsidRPr="00B17B0C">
        <w:rPr>
          <w:b/>
        </w:rPr>
        <w:t>nolēma</w:t>
      </w:r>
    </w:p>
    <w:p w14:paraId="6C9304D1" w14:textId="77777777" w:rsidR="001A0953" w:rsidRPr="00B17B0C" w:rsidRDefault="001A0953" w:rsidP="00B17B0C">
      <w:pPr>
        <w:spacing w:line="276" w:lineRule="auto"/>
        <w:jc w:val="center"/>
        <w:rPr>
          <w:b/>
        </w:rPr>
      </w:pPr>
    </w:p>
    <w:p w14:paraId="5F2CB38B" w14:textId="77777777" w:rsidR="001A0953" w:rsidRPr="00B17B0C" w:rsidRDefault="003F201A" w:rsidP="003F201A">
      <w:pPr>
        <w:spacing w:line="276" w:lineRule="auto"/>
        <w:ind w:firstLine="567"/>
        <w:jc w:val="both"/>
      </w:pPr>
      <w:r>
        <w:t>A</w:t>
      </w:r>
      <w:r w:rsidR="006576FA">
        <w:t xml:space="preserve">tteikt ierosināt kasācijas tiesvedību sakarā ar </w:t>
      </w:r>
      <w:r>
        <w:t xml:space="preserve">Rīgas domes Pilsētas attīstības departamenta </w:t>
      </w:r>
      <w:r w:rsidR="006576FA">
        <w:t xml:space="preserve">kasācijas sūdzību par </w:t>
      </w:r>
      <w:r w:rsidR="006576FA" w:rsidRPr="00823D9F">
        <w:t>Administratīvās apgabaltiesas</w:t>
      </w:r>
      <w:r w:rsidR="00823D9F">
        <w:t xml:space="preserve"> </w:t>
      </w:r>
      <w:r w:rsidR="006039CA">
        <w:t>2017.gada 28.augusta</w:t>
      </w:r>
      <w:r w:rsidR="006576FA" w:rsidRPr="00823D9F">
        <w:t xml:space="preserve"> </w:t>
      </w:r>
      <w:r>
        <w:t>spriedumu</w:t>
      </w:r>
      <w:r w:rsidR="00254DEC">
        <w:t xml:space="preserve"> daļā, kurā apmierināts SIA „Tirdzniecības noliktavu komplekss „Buļļi”” pieteikums</w:t>
      </w:r>
      <w:r>
        <w:t>.</w:t>
      </w:r>
    </w:p>
    <w:p w14:paraId="50F0D1CF" w14:textId="77777777" w:rsidR="001A0953" w:rsidRPr="00D75AD4" w:rsidRDefault="001A0953" w:rsidP="00B17B0C">
      <w:pPr>
        <w:spacing w:line="276" w:lineRule="auto"/>
        <w:ind w:firstLine="567"/>
        <w:jc w:val="both"/>
      </w:pPr>
      <w:r w:rsidRPr="00D75AD4">
        <w:t>Lēmums nav pārsūdzams.</w:t>
      </w:r>
    </w:p>
    <w:p w14:paraId="33582FE3" w14:textId="77777777" w:rsidR="00D75AD4" w:rsidRPr="00D75AD4" w:rsidRDefault="00E03423" w:rsidP="00D75AD4">
      <w:pPr>
        <w:spacing w:line="276" w:lineRule="auto"/>
        <w:ind w:firstLine="567"/>
        <w:jc w:val="both"/>
        <w:rPr>
          <w:bCs/>
        </w:rPr>
      </w:pPr>
      <w:r w:rsidRPr="00D75AD4">
        <w:tab/>
      </w:r>
    </w:p>
    <w:p w14:paraId="5931E9CF" w14:textId="48E0FA5D" w:rsidR="00D75AD4" w:rsidRPr="00D75AD4" w:rsidRDefault="00D75AD4" w:rsidP="00D75AD4">
      <w:pPr>
        <w:tabs>
          <w:tab w:val="center" w:pos="1276"/>
          <w:tab w:val="center" w:pos="4678"/>
          <w:tab w:val="center" w:pos="8080"/>
        </w:tabs>
        <w:spacing w:line="276" w:lineRule="auto"/>
        <w:jc w:val="both"/>
      </w:pPr>
      <w:r w:rsidRPr="00D75AD4">
        <w:tab/>
      </w:r>
      <w:r w:rsidRPr="00D75AD4">
        <w:tab/>
      </w:r>
      <w:r w:rsidRPr="00D75AD4">
        <w:tab/>
      </w:r>
    </w:p>
    <w:p w14:paraId="6AE39BF0" w14:textId="77777777" w:rsidR="00D75AD4" w:rsidRPr="00D75AD4" w:rsidRDefault="00D75AD4" w:rsidP="00D75AD4">
      <w:pPr>
        <w:tabs>
          <w:tab w:val="center" w:pos="1276"/>
          <w:tab w:val="center" w:pos="4678"/>
          <w:tab w:val="center" w:pos="8080"/>
        </w:tabs>
        <w:spacing w:line="276" w:lineRule="auto"/>
        <w:jc w:val="both"/>
      </w:pPr>
      <w:r w:rsidRPr="00D75AD4">
        <w:tab/>
        <w:t>Senatore I. Višķere</w:t>
      </w:r>
      <w:r w:rsidRPr="00D75AD4">
        <w:tab/>
        <w:t>Senatore V. Kakste</w:t>
      </w:r>
      <w:r w:rsidRPr="00D75AD4">
        <w:tab/>
        <w:t>Senatore V. Krūmiņa</w:t>
      </w:r>
    </w:p>
    <w:p w14:paraId="3714BF58" w14:textId="77777777" w:rsidR="001D6DA5" w:rsidRPr="00D75AD4" w:rsidRDefault="001D6DA5" w:rsidP="001D6DA5">
      <w:pPr>
        <w:tabs>
          <w:tab w:val="left" w:pos="2880"/>
          <w:tab w:val="left" w:pos="4680"/>
          <w:tab w:val="left" w:pos="6660"/>
        </w:tabs>
        <w:spacing w:line="276" w:lineRule="auto"/>
        <w:ind w:firstLine="567"/>
        <w:jc w:val="both"/>
      </w:pPr>
    </w:p>
    <w:p w14:paraId="31FD5F06" w14:textId="77777777" w:rsidR="00F43FAD" w:rsidRPr="00D75AD4" w:rsidRDefault="00F43FAD" w:rsidP="00B17B0C">
      <w:pPr>
        <w:tabs>
          <w:tab w:val="left" w:pos="2880"/>
          <w:tab w:val="left" w:pos="4680"/>
          <w:tab w:val="left" w:pos="6660"/>
        </w:tabs>
        <w:spacing w:line="276" w:lineRule="auto"/>
        <w:ind w:firstLine="567"/>
        <w:jc w:val="both"/>
      </w:pPr>
    </w:p>
    <w:sectPr w:rsidR="00F43FAD" w:rsidRPr="00D75AD4" w:rsidSect="00D75AD4">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7482A" w14:textId="77777777" w:rsidR="002671AC" w:rsidRDefault="002671AC" w:rsidP="003047F5">
      <w:r>
        <w:separator/>
      </w:r>
    </w:p>
  </w:endnote>
  <w:endnote w:type="continuationSeparator" w:id="0">
    <w:p w14:paraId="093B9532" w14:textId="77777777" w:rsidR="002671AC" w:rsidRDefault="002671A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4050" w14:textId="4CE3F8CF" w:rsidR="002546D2" w:rsidRDefault="002546D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75AD4">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3133A">
      <w:rPr>
        <w:rStyle w:val="PageNumber"/>
        <w:noProof/>
      </w:rPr>
      <w:t>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8072" w14:textId="77777777" w:rsidR="002671AC" w:rsidRDefault="002671AC" w:rsidP="003047F5">
      <w:r>
        <w:separator/>
      </w:r>
    </w:p>
  </w:footnote>
  <w:footnote w:type="continuationSeparator" w:id="0">
    <w:p w14:paraId="6D285010" w14:textId="77777777" w:rsidR="002671AC" w:rsidRDefault="002671A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1C0"/>
    <w:rsid w:val="00006BA2"/>
    <w:rsid w:val="000551C2"/>
    <w:rsid w:val="000838E7"/>
    <w:rsid w:val="000B0A3A"/>
    <w:rsid w:val="000D6C01"/>
    <w:rsid w:val="001108D8"/>
    <w:rsid w:val="001646E9"/>
    <w:rsid w:val="0019238A"/>
    <w:rsid w:val="001A0495"/>
    <w:rsid w:val="001A0953"/>
    <w:rsid w:val="001C7500"/>
    <w:rsid w:val="001D6DA5"/>
    <w:rsid w:val="001E3A09"/>
    <w:rsid w:val="00237F92"/>
    <w:rsid w:val="002546D2"/>
    <w:rsid w:val="00254DEC"/>
    <w:rsid w:val="002671AC"/>
    <w:rsid w:val="00270715"/>
    <w:rsid w:val="0027469B"/>
    <w:rsid w:val="00293462"/>
    <w:rsid w:val="002A3D9C"/>
    <w:rsid w:val="00301A51"/>
    <w:rsid w:val="003047F5"/>
    <w:rsid w:val="00321895"/>
    <w:rsid w:val="0032201A"/>
    <w:rsid w:val="0035346E"/>
    <w:rsid w:val="00367371"/>
    <w:rsid w:val="003876E5"/>
    <w:rsid w:val="003D294A"/>
    <w:rsid w:val="003D4A46"/>
    <w:rsid w:val="003F201A"/>
    <w:rsid w:val="00401696"/>
    <w:rsid w:val="00424B84"/>
    <w:rsid w:val="0043182C"/>
    <w:rsid w:val="004640A1"/>
    <w:rsid w:val="00491DEC"/>
    <w:rsid w:val="00494531"/>
    <w:rsid w:val="004A0EF5"/>
    <w:rsid w:val="004A4903"/>
    <w:rsid w:val="004E5539"/>
    <w:rsid w:val="004E756C"/>
    <w:rsid w:val="004F7B90"/>
    <w:rsid w:val="00521A02"/>
    <w:rsid w:val="005315A7"/>
    <w:rsid w:val="00541A5F"/>
    <w:rsid w:val="00543E46"/>
    <w:rsid w:val="00546751"/>
    <w:rsid w:val="0055490C"/>
    <w:rsid w:val="005E6E8B"/>
    <w:rsid w:val="006039CA"/>
    <w:rsid w:val="006576FA"/>
    <w:rsid w:val="006C4E62"/>
    <w:rsid w:val="006E5236"/>
    <w:rsid w:val="006F3D72"/>
    <w:rsid w:val="006F5D3B"/>
    <w:rsid w:val="006F7E46"/>
    <w:rsid w:val="0070344A"/>
    <w:rsid w:val="00773E02"/>
    <w:rsid w:val="007740F3"/>
    <w:rsid w:val="00823D9F"/>
    <w:rsid w:val="0083133A"/>
    <w:rsid w:val="00836F8C"/>
    <w:rsid w:val="008414C6"/>
    <w:rsid w:val="00851EB1"/>
    <w:rsid w:val="008C75C3"/>
    <w:rsid w:val="008D0D10"/>
    <w:rsid w:val="008F1F36"/>
    <w:rsid w:val="009118D2"/>
    <w:rsid w:val="009229FE"/>
    <w:rsid w:val="009639F7"/>
    <w:rsid w:val="009C5A56"/>
    <w:rsid w:val="009F08B3"/>
    <w:rsid w:val="009F4E18"/>
    <w:rsid w:val="009F729A"/>
    <w:rsid w:val="00A00062"/>
    <w:rsid w:val="00A33D9E"/>
    <w:rsid w:val="00A6596A"/>
    <w:rsid w:val="00A831F1"/>
    <w:rsid w:val="00B04E52"/>
    <w:rsid w:val="00B17B0C"/>
    <w:rsid w:val="00B25DB2"/>
    <w:rsid w:val="00B717BA"/>
    <w:rsid w:val="00B84D7C"/>
    <w:rsid w:val="00BB4182"/>
    <w:rsid w:val="00BB750C"/>
    <w:rsid w:val="00C03190"/>
    <w:rsid w:val="00C10D4F"/>
    <w:rsid w:val="00C42E23"/>
    <w:rsid w:val="00C43D3B"/>
    <w:rsid w:val="00CC7937"/>
    <w:rsid w:val="00CE4EBA"/>
    <w:rsid w:val="00D3210B"/>
    <w:rsid w:val="00D4361C"/>
    <w:rsid w:val="00D469C2"/>
    <w:rsid w:val="00D7028E"/>
    <w:rsid w:val="00D75AD4"/>
    <w:rsid w:val="00DB37E3"/>
    <w:rsid w:val="00E03423"/>
    <w:rsid w:val="00E84E81"/>
    <w:rsid w:val="00E92FD5"/>
    <w:rsid w:val="00EA2F6E"/>
    <w:rsid w:val="00EE683F"/>
    <w:rsid w:val="00F43FAD"/>
    <w:rsid w:val="00F93F3D"/>
    <w:rsid w:val="00FC5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C1A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8F1F36"/>
    <w:pPr>
      <w:spacing w:before="100" w:beforeAutospacing="1" w:after="100" w:afterAutospacing="1"/>
    </w:pPr>
    <w:rPr>
      <w:lang w:eastAsia="lv-LV"/>
    </w:rPr>
  </w:style>
  <w:style w:type="character" w:styleId="Hyperlink">
    <w:name w:val="Hyperlink"/>
    <w:basedOn w:val="DefaultParagraphFont"/>
    <w:uiPriority w:val="99"/>
    <w:unhideWhenUsed/>
    <w:rsid w:val="00D469C2"/>
    <w:rPr>
      <w:color w:val="0563C1" w:themeColor="hyperlink"/>
      <w:u w:val="single"/>
    </w:rPr>
  </w:style>
  <w:style w:type="character" w:styleId="UnresolvedMention">
    <w:name w:val="Unresolved Mention"/>
    <w:basedOn w:val="DefaultParagraphFont"/>
    <w:uiPriority w:val="99"/>
    <w:semiHidden/>
    <w:unhideWhenUsed/>
    <w:rsid w:val="00D46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65362007">
      <w:bodyDiv w:val="1"/>
      <w:marLeft w:val="0"/>
      <w:marRight w:val="0"/>
      <w:marTop w:val="0"/>
      <w:marBottom w:val="0"/>
      <w:divBdr>
        <w:top w:val="none" w:sz="0" w:space="0" w:color="auto"/>
        <w:left w:val="none" w:sz="0" w:space="0" w:color="auto"/>
        <w:bottom w:val="none" w:sz="0" w:space="0" w:color="auto"/>
        <w:right w:val="none" w:sz="0" w:space="0" w:color="auto"/>
      </w:divBdr>
    </w:div>
    <w:div w:id="14738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0.A420159916.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C030-675A-4F68-B8BE-44A285EF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6235</Words>
  <Characters>3554</Characters>
  <Application>Microsoft Office Word</Application>
  <DocSecurity>0</DocSecurity>
  <Lines>29</Lines>
  <Paragraphs>19</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2019-10-18T06:16:00Z</dcterms:created>
  <dcterms:modified xsi:type="dcterms:W3CDTF">2019-10-18T06:16:00Z</dcterms:modified>
</cp:coreProperties>
</file>