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14" w:rsidRDefault="00DD2814" w:rsidP="0067198E">
      <w:pPr>
        <w:autoSpaceDE w:val="0"/>
        <w:autoSpaceDN w:val="0"/>
        <w:spacing w:line="276" w:lineRule="auto"/>
        <w:rPr>
          <w:rFonts w:ascii="TimesNewRomanPSMT" w:hAnsi="TimesNewRomanPSMT"/>
          <w:b/>
          <w:bCs/>
          <w:szCs w:val="22"/>
        </w:rPr>
      </w:pPr>
      <w:r>
        <w:rPr>
          <w:rFonts w:ascii="TimesNewRomanPSMT" w:hAnsi="TimesNewRomanPSMT"/>
          <w:b/>
          <w:bCs/>
        </w:rPr>
        <w:t>Tiesvedības apturēšana, ja viens no solidāriem parādniekiem ir maksātnespējīgs</w:t>
      </w:r>
    </w:p>
    <w:p w:rsidR="00DD28AB" w:rsidRPr="000059E5" w:rsidRDefault="00DD28AB" w:rsidP="00DD2814">
      <w:pPr>
        <w:spacing w:line="276" w:lineRule="auto"/>
        <w:ind w:firstLine="709"/>
        <w:jc w:val="both"/>
      </w:pPr>
    </w:p>
    <w:p w:rsidR="0067198E" w:rsidRPr="005D7E61" w:rsidRDefault="0067198E" w:rsidP="0067198E">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rsidR="0067198E" w:rsidRPr="005D7E61" w:rsidRDefault="0067198E" w:rsidP="0067198E">
      <w:pPr>
        <w:shd w:val="clear" w:color="auto" w:fill="FFFFFF"/>
        <w:spacing w:line="276" w:lineRule="auto"/>
        <w:jc w:val="center"/>
        <w:rPr>
          <w:rStyle w:val="Strong"/>
          <w:color w:val="000000"/>
        </w:rPr>
      </w:pPr>
      <w:r w:rsidRPr="005D7E61">
        <w:rPr>
          <w:rStyle w:val="Strong"/>
          <w:color w:val="000000"/>
        </w:rPr>
        <w:t xml:space="preserve">Civillietu departamenta </w:t>
      </w:r>
    </w:p>
    <w:p w:rsidR="0067198E" w:rsidRPr="005D7E61" w:rsidRDefault="0067198E" w:rsidP="0067198E">
      <w:pPr>
        <w:shd w:val="clear" w:color="auto" w:fill="FFFFFF"/>
        <w:spacing w:line="276" w:lineRule="auto"/>
        <w:jc w:val="center"/>
        <w:rPr>
          <w:rStyle w:val="Strong"/>
          <w:color w:val="000000"/>
        </w:rPr>
      </w:pPr>
      <w:r w:rsidRPr="005D7E61">
        <w:rPr>
          <w:rStyle w:val="Strong"/>
          <w:color w:val="000000"/>
        </w:rPr>
        <w:t>201</w:t>
      </w:r>
      <w:r>
        <w:rPr>
          <w:rStyle w:val="Strong"/>
          <w:color w:val="000000"/>
        </w:rPr>
        <w:t>9</w:t>
      </w:r>
      <w:r w:rsidRPr="005D7E61">
        <w:rPr>
          <w:rStyle w:val="Strong"/>
          <w:color w:val="000000"/>
        </w:rPr>
        <w:t>.gada 2</w:t>
      </w:r>
      <w:r>
        <w:rPr>
          <w:rStyle w:val="Strong"/>
          <w:color w:val="000000"/>
        </w:rPr>
        <w:t>5</w:t>
      </w:r>
      <w:r w:rsidRPr="005D7E61">
        <w:rPr>
          <w:rStyle w:val="Strong"/>
          <w:color w:val="000000"/>
        </w:rPr>
        <w:t>.m</w:t>
      </w:r>
      <w:r>
        <w:rPr>
          <w:rStyle w:val="Strong"/>
          <w:color w:val="000000"/>
        </w:rPr>
        <w:t>art</w:t>
      </w:r>
      <w:r w:rsidRPr="005D7E61">
        <w:rPr>
          <w:rStyle w:val="Strong"/>
          <w:color w:val="000000"/>
        </w:rPr>
        <w:t xml:space="preserve">a </w:t>
      </w:r>
    </w:p>
    <w:p w:rsidR="0067198E" w:rsidRPr="000059E5" w:rsidRDefault="0067198E" w:rsidP="0067198E">
      <w:pPr>
        <w:spacing w:line="276" w:lineRule="auto"/>
        <w:jc w:val="center"/>
        <w:rPr>
          <w:b/>
        </w:rPr>
      </w:pPr>
      <w:r>
        <w:rPr>
          <w:b/>
        </w:rPr>
        <w:t>LĒMUMS</w:t>
      </w:r>
    </w:p>
    <w:p w:rsidR="0067198E" w:rsidRPr="005D7E61" w:rsidRDefault="0067198E" w:rsidP="0067198E">
      <w:pPr>
        <w:shd w:val="clear" w:color="auto" w:fill="FFFFFF"/>
        <w:spacing w:line="276" w:lineRule="auto"/>
        <w:jc w:val="center"/>
        <w:rPr>
          <w:rStyle w:val="Strong"/>
          <w:color w:val="000000"/>
        </w:rPr>
      </w:pPr>
      <w:r w:rsidRPr="005D7E61">
        <w:rPr>
          <w:rStyle w:val="Strong"/>
          <w:color w:val="000000"/>
        </w:rPr>
        <w:t>Lieta Nr. C</w:t>
      </w:r>
      <w:r>
        <w:rPr>
          <w:rStyle w:val="Strong"/>
          <w:color w:val="000000"/>
        </w:rPr>
        <w:t>28328511</w:t>
      </w:r>
      <w:r w:rsidRPr="005D7E61">
        <w:rPr>
          <w:rStyle w:val="Strong"/>
          <w:color w:val="000000"/>
        </w:rPr>
        <w:t>, SKC-</w:t>
      </w:r>
      <w:r>
        <w:rPr>
          <w:rStyle w:val="Strong"/>
          <w:color w:val="000000"/>
        </w:rPr>
        <w:t>5</w:t>
      </w:r>
      <w:r w:rsidRPr="005D7E61">
        <w:rPr>
          <w:rStyle w:val="Strong"/>
          <w:color w:val="000000"/>
        </w:rPr>
        <w:t>2</w:t>
      </w:r>
      <w:r>
        <w:rPr>
          <w:rStyle w:val="Strong"/>
          <w:color w:val="000000"/>
        </w:rPr>
        <w:t>0</w:t>
      </w:r>
      <w:r w:rsidRPr="005D7E61">
        <w:rPr>
          <w:rStyle w:val="Strong"/>
          <w:color w:val="000000"/>
        </w:rPr>
        <w:t>/201</w:t>
      </w:r>
      <w:r>
        <w:rPr>
          <w:rStyle w:val="Strong"/>
          <w:color w:val="000000"/>
        </w:rPr>
        <w:t>9</w:t>
      </w:r>
    </w:p>
    <w:p w:rsidR="00DD28AB" w:rsidRPr="000059E5" w:rsidRDefault="00166D7A" w:rsidP="0067198E">
      <w:pPr>
        <w:spacing w:line="276" w:lineRule="auto"/>
        <w:jc w:val="center"/>
        <w:rPr>
          <w:b/>
        </w:rPr>
      </w:pPr>
      <w:hyperlink r:id="rId8" w:history="1">
        <w:r w:rsidR="0067198E" w:rsidRPr="005D7E61">
          <w:rPr>
            <w:rStyle w:val="Hyperlink"/>
          </w:rPr>
          <w:t>ECLI:LV:AT:201</w:t>
        </w:r>
        <w:r w:rsidR="0067198E">
          <w:rPr>
            <w:rStyle w:val="Hyperlink"/>
          </w:rPr>
          <w:t>9</w:t>
        </w:r>
        <w:r w:rsidR="0067198E" w:rsidRPr="005D7E61">
          <w:rPr>
            <w:rStyle w:val="Hyperlink"/>
          </w:rPr>
          <w:t>:0</w:t>
        </w:r>
        <w:r w:rsidR="0067198E">
          <w:rPr>
            <w:rStyle w:val="Hyperlink"/>
          </w:rPr>
          <w:t>325</w:t>
        </w:r>
        <w:r w:rsidR="0067198E" w:rsidRPr="005D7E61">
          <w:rPr>
            <w:rStyle w:val="Hyperlink"/>
          </w:rPr>
          <w:t>.C</w:t>
        </w:r>
        <w:r w:rsidR="0067198E">
          <w:rPr>
            <w:rStyle w:val="Hyperlink"/>
          </w:rPr>
          <w:t>28328511</w:t>
        </w:r>
        <w:r w:rsidR="0067198E" w:rsidRPr="005D7E61">
          <w:rPr>
            <w:rStyle w:val="Hyperlink"/>
          </w:rPr>
          <w:t>.1</w:t>
        </w:r>
        <w:r w:rsidR="0067198E">
          <w:rPr>
            <w:rStyle w:val="Hyperlink"/>
          </w:rPr>
          <w:t>1</w:t>
        </w:r>
        <w:r w:rsidR="0067198E" w:rsidRPr="005D7E61">
          <w:rPr>
            <w:rStyle w:val="Hyperlink"/>
          </w:rPr>
          <w:t>.</w:t>
        </w:r>
        <w:r w:rsidR="0067198E">
          <w:rPr>
            <w:rStyle w:val="Hyperlink"/>
          </w:rPr>
          <w:t>L</w:t>
        </w:r>
      </w:hyperlink>
    </w:p>
    <w:p w:rsidR="00022C63" w:rsidRPr="000059E5" w:rsidRDefault="00022C63" w:rsidP="00DD2814">
      <w:pPr>
        <w:spacing w:line="276" w:lineRule="auto"/>
        <w:ind w:firstLine="709"/>
        <w:jc w:val="both"/>
      </w:pPr>
    </w:p>
    <w:p w:rsidR="007D526E" w:rsidRDefault="007D526E" w:rsidP="00DD2814">
      <w:pPr>
        <w:spacing w:line="276" w:lineRule="auto"/>
        <w:ind w:firstLine="709"/>
        <w:jc w:val="both"/>
      </w:pPr>
      <w:r>
        <w:t xml:space="preserve">Senāts </w:t>
      </w:r>
      <w:r w:rsidR="00022C63">
        <w:t>šādā sastāvā:</w:t>
      </w:r>
    </w:p>
    <w:p w:rsidR="007D526E" w:rsidRDefault="00022C63" w:rsidP="00DD2814">
      <w:pPr>
        <w:spacing w:line="276" w:lineRule="auto"/>
        <w:ind w:firstLine="709"/>
        <w:jc w:val="both"/>
      </w:pPr>
      <w:r>
        <w:t>senator</w:t>
      </w:r>
      <w:r w:rsidR="007D526E">
        <w:t>e</w:t>
      </w:r>
      <w:r>
        <w:t xml:space="preserve"> Inta Lauka,</w:t>
      </w:r>
    </w:p>
    <w:p w:rsidR="007D526E" w:rsidRDefault="007D526E" w:rsidP="00DD2814">
      <w:pPr>
        <w:spacing w:line="276" w:lineRule="auto"/>
        <w:ind w:firstLine="709"/>
        <w:jc w:val="both"/>
      </w:pPr>
      <w:r>
        <w:t>senators</w:t>
      </w:r>
      <w:r w:rsidR="00022C63">
        <w:t xml:space="preserve"> Valerijs Maksimovs,</w:t>
      </w:r>
    </w:p>
    <w:p w:rsidR="00022C63" w:rsidRDefault="007D526E" w:rsidP="00DD2814">
      <w:pPr>
        <w:spacing w:line="276" w:lineRule="auto"/>
        <w:ind w:firstLine="709"/>
        <w:jc w:val="both"/>
      </w:pPr>
      <w:r>
        <w:t>senatore</w:t>
      </w:r>
      <w:r w:rsidR="00022C63">
        <w:t xml:space="preserve"> Mārīte Zāģere</w:t>
      </w:r>
    </w:p>
    <w:p w:rsidR="00DE79E7" w:rsidRDefault="00DE79E7" w:rsidP="00DD2814">
      <w:pPr>
        <w:spacing w:line="276" w:lineRule="auto"/>
        <w:ind w:firstLine="709"/>
        <w:jc w:val="both"/>
      </w:pPr>
    </w:p>
    <w:p w:rsidR="00DF1700" w:rsidRDefault="00022C63" w:rsidP="00DD2814">
      <w:pPr>
        <w:spacing w:line="276" w:lineRule="auto"/>
        <w:ind w:firstLine="709"/>
        <w:jc w:val="both"/>
      </w:pPr>
      <w:r w:rsidRPr="00565416">
        <w:t xml:space="preserve">izskatīja rakstveida procesā </w:t>
      </w:r>
      <w:r w:rsidR="00DF1700" w:rsidRPr="00565416">
        <w:t>AS</w:t>
      </w:r>
      <w:r w:rsidR="00B4636F" w:rsidRPr="00565416">
        <w:t> „SEB </w:t>
      </w:r>
      <w:r w:rsidR="00DF1700" w:rsidRPr="00565416">
        <w:t xml:space="preserve">banka” </w:t>
      </w:r>
      <w:r w:rsidRPr="00565416">
        <w:t xml:space="preserve">blakus sūdzību par </w:t>
      </w:r>
      <w:r w:rsidR="00DF1700" w:rsidRPr="00565416">
        <w:t>Rīgas</w:t>
      </w:r>
      <w:r w:rsidRPr="00565416">
        <w:t xml:space="preserve"> </w:t>
      </w:r>
      <w:r>
        <w:t xml:space="preserve">apgabaltiesas Civillietu tiesas kolēģijas 2018.gada </w:t>
      </w:r>
      <w:r w:rsidR="00DF1700">
        <w:t>31</w:t>
      </w:r>
      <w:r>
        <w:t>.</w:t>
      </w:r>
      <w:r w:rsidR="00DF1700">
        <w:t>oktobra</w:t>
      </w:r>
      <w:r>
        <w:t xml:space="preserve"> lēmumu, </w:t>
      </w:r>
      <w:r w:rsidR="00DF1700" w:rsidRPr="00DF1700">
        <w:t>ar kuru ap</w:t>
      </w:r>
      <w:r w:rsidR="00B4636F">
        <w:t>turēta tiesvedība civillietā AS „SEB </w:t>
      </w:r>
      <w:r w:rsidR="00DF1700" w:rsidRPr="00DF1700">
        <w:t xml:space="preserve">banka” prasībā pret </w:t>
      </w:r>
      <w:r w:rsidR="00DD2814">
        <w:t>[pers. </w:t>
      </w:r>
      <w:r w:rsidR="00DF1700" w:rsidRPr="00DF1700">
        <w:t>A</w:t>
      </w:r>
      <w:r w:rsidR="00DD2814">
        <w:t>]</w:t>
      </w:r>
      <w:r w:rsidR="00DF1700" w:rsidRPr="00DF1700">
        <w:t xml:space="preserve"> un </w:t>
      </w:r>
      <w:r w:rsidR="00DD2814">
        <w:t>[pers. B]</w:t>
      </w:r>
      <w:r w:rsidR="00DF1700" w:rsidRPr="00DF1700">
        <w:t xml:space="preserve"> par parāda solidāru piedziņu</w:t>
      </w:r>
      <w:r w:rsidR="00DF1700">
        <w:t>.</w:t>
      </w:r>
    </w:p>
    <w:p w:rsidR="00DF1700" w:rsidRDefault="00DF1700" w:rsidP="00DD2814">
      <w:pPr>
        <w:spacing w:line="276" w:lineRule="auto"/>
        <w:jc w:val="both"/>
      </w:pPr>
    </w:p>
    <w:p w:rsidR="00022C63" w:rsidRDefault="00022C63" w:rsidP="00DD2814">
      <w:pPr>
        <w:spacing w:line="276" w:lineRule="auto"/>
        <w:jc w:val="center"/>
        <w:rPr>
          <w:b/>
        </w:rPr>
      </w:pPr>
      <w:r>
        <w:rPr>
          <w:b/>
        </w:rPr>
        <w:t>Aprakstošā daļa</w:t>
      </w:r>
    </w:p>
    <w:p w:rsidR="00022C63" w:rsidRDefault="00022C63" w:rsidP="00DD2814">
      <w:pPr>
        <w:spacing w:line="276" w:lineRule="auto"/>
        <w:ind w:firstLine="709"/>
        <w:jc w:val="both"/>
      </w:pPr>
    </w:p>
    <w:p w:rsidR="00B4636F" w:rsidRDefault="00022C63" w:rsidP="00481F97">
      <w:pPr>
        <w:spacing w:line="276" w:lineRule="auto"/>
        <w:ind w:firstLine="567"/>
        <w:jc w:val="both"/>
      </w:pPr>
      <w:r>
        <w:t xml:space="preserve">[1] </w:t>
      </w:r>
      <w:r w:rsidR="00B4636F">
        <w:t xml:space="preserve">2011.gada 21.aprīlī </w:t>
      </w:r>
      <w:r w:rsidR="00565416">
        <w:t>AS „SEB</w:t>
      </w:r>
      <w:r w:rsidR="00BD3182">
        <w:t> </w:t>
      </w:r>
      <w:r w:rsidR="00565416">
        <w:t xml:space="preserve">banka” cēlusi tiesā prasību pret </w:t>
      </w:r>
      <w:r w:rsidR="00DD2814">
        <w:t>[pers. </w:t>
      </w:r>
      <w:r w:rsidR="00DD2814" w:rsidRPr="00DF1700">
        <w:t>A</w:t>
      </w:r>
      <w:r w:rsidR="00DD2814">
        <w:t xml:space="preserve">] </w:t>
      </w:r>
      <w:r w:rsidR="00565416" w:rsidRPr="00565416">
        <w:t xml:space="preserve">un </w:t>
      </w:r>
      <w:r w:rsidR="00DD2814">
        <w:t>[pers. B]</w:t>
      </w:r>
      <w:r w:rsidR="00565416" w:rsidRPr="00565416">
        <w:t xml:space="preserve"> par parāda solidāru piedziņu</w:t>
      </w:r>
      <w:r w:rsidR="00565416">
        <w:t>.</w:t>
      </w:r>
    </w:p>
    <w:p w:rsidR="003A382E" w:rsidRDefault="003A382E" w:rsidP="00481F97">
      <w:pPr>
        <w:spacing w:line="276" w:lineRule="auto"/>
        <w:ind w:firstLine="567"/>
        <w:jc w:val="both"/>
      </w:pPr>
    </w:p>
    <w:p w:rsidR="00B4636F" w:rsidRDefault="003A382E" w:rsidP="00481F97">
      <w:pPr>
        <w:spacing w:line="276" w:lineRule="auto"/>
        <w:ind w:firstLine="567"/>
        <w:jc w:val="both"/>
      </w:pPr>
      <w:r>
        <w:t xml:space="preserve">[2] Ar </w:t>
      </w:r>
      <w:r w:rsidR="00D7005D">
        <w:t>Rīgas pilsētas Pārdaugavas tiesas 2017.gada 29.au</w:t>
      </w:r>
      <w:r w:rsidR="00B4636F">
        <w:t xml:space="preserve">gusta spriedumu </w:t>
      </w:r>
      <w:r>
        <w:t xml:space="preserve">AS „SEB banka” </w:t>
      </w:r>
      <w:r w:rsidR="003728FE">
        <w:t>prasība apmierināta</w:t>
      </w:r>
      <w:r w:rsidR="00B4636F">
        <w:t>, piedzenot solidāri no atbildētājiem prasītāja</w:t>
      </w:r>
      <w:r w:rsidR="00D421FF">
        <w:t>s labā</w:t>
      </w:r>
      <w:r w:rsidR="00B4636F">
        <w:t xml:space="preserve"> parādu 62 </w:t>
      </w:r>
      <w:r w:rsidR="00D7005D">
        <w:t>935,09</w:t>
      </w:r>
      <w:r w:rsidR="00B4636F">
        <w:t> EUR, līgumiskos procentus 662,39 EUR</w:t>
      </w:r>
      <w:r w:rsidR="00D7005D">
        <w:t>, likumiskos</w:t>
      </w:r>
      <w:r w:rsidR="00B4636F">
        <w:t xml:space="preserve"> nokavējuma procentus 472,01 EUR, līgumsodu 996,47 EUR un</w:t>
      </w:r>
      <w:r w:rsidR="00BD3182">
        <w:t xml:space="preserve"> tiesas izdevumus 1074,38 EUR</w:t>
      </w:r>
      <w:r w:rsidR="00DE79E7">
        <w:t>, kopā 66 140,34 </w:t>
      </w:r>
      <w:r>
        <w:t>EUR.</w:t>
      </w:r>
    </w:p>
    <w:p w:rsidR="00D421FF" w:rsidRDefault="00D421FF" w:rsidP="00481F97">
      <w:pPr>
        <w:spacing w:line="276" w:lineRule="auto"/>
        <w:ind w:firstLine="567"/>
        <w:jc w:val="both"/>
      </w:pPr>
    </w:p>
    <w:p w:rsidR="00776874" w:rsidRDefault="00776874" w:rsidP="00481F97">
      <w:pPr>
        <w:spacing w:line="276" w:lineRule="auto"/>
        <w:ind w:firstLine="567"/>
        <w:jc w:val="both"/>
      </w:pPr>
      <w:r>
        <w:t>[3] Par m</w:t>
      </w:r>
      <w:r w:rsidR="00B4636F">
        <w:t xml:space="preserve">inēto spriedumu atbildētāji </w:t>
      </w:r>
      <w:r>
        <w:t>iesnie</w:t>
      </w:r>
      <w:r w:rsidR="007D50F7">
        <w:t>dza</w:t>
      </w:r>
      <w:r w:rsidR="00B4636F">
        <w:t xml:space="preserve"> apelācijas </w:t>
      </w:r>
      <w:r w:rsidR="00D421FF">
        <w:t>sūdzību.</w:t>
      </w:r>
    </w:p>
    <w:p w:rsidR="00BF07A3" w:rsidRDefault="00351DD9" w:rsidP="00481F97">
      <w:pPr>
        <w:spacing w:line="276" w:lineRule="auto"/>
        <w:ind w:firstLine="567"/>
        <w:jc w:val="both"/>
      </w:pPr>
      <w:r>
        <w:t>Apelācijas instances tiesas sēdē</w:t>
      </w:r>
      <w:r w:rsidR="00DD2814">
        <w:t xml:space="preserve"> [pers. </w:t>
      </w:r>
      <w:r w:rsidR="00DD2814" w:rsidRPr="00DF1700">
        <w:t>A</w:t>
      </w:r>
      <w:r w:rsidR="00DD2814">
        <w:t>]</w:t>
      </w:r>
      <w:r>
        <w:t xml:space="preserve"> pārstāvis </w:t>
      </w:r>
      <w:r w:rsidR="009C750E">
        <w:t>pieteic</w:t>
      </w:r>
      <w:r w:rsidR="007D50F7">
        <w:t>a</w:t>
      </w:r>
      <w:r w:rsidR="009C750E">
        <w:t xml:space="preserve"> lūgumu</w:t>
      </w:r>
      <w:r>
        <w:t xml:space="preserve"> apturēt tiesvedību lietā līdz </w:t>
      </w:r>
      <w:r w:rsidR="00DD2814">
        <w:t>[pers. B]</w:t>
      </w:r>
      <w:r>
        <w:t xml:space="preserve"> maksātnespējas procesa, kas uzsākts</w:t>
      </w:r>
      <w:r w:rsidR="007D50F7">
        <w:t xml:space="preserve"> tiesvedības laikā</w:t>
      </w:r>
      <w:r>
        <w:t xml:space="preserve">, </w:t>
      </w:r>
      <w:r w:rsidR="009C750E">
        <w:t>iz</w:t>
      </w:r>
      <w:r>
        <w:t>beigšanai.</w:t>
      </w:r>
    </w:p>
    <w:p w:rsidR="00BF07A3" w:rsidRDefault="00BF07A3" w:rsidP="00481F97">
      <w:pPr>
        <w:spacing w:line="276" w:lineRule="auto"/>
        <w:ind w:firstLine="567"/>
        <w:jc w:val="both"/>
      </w:pPr>
    </w:p>
    <w:p w:rsidR="004A3046" w:rsidRDefault="004A3046" w:rsidP="00481F97">
      <w:pPr>
        <w:spacing w:line="276" w:lineRule="auto"/>
        <w:ind w:firstLine="567"/>
        <w:jc w:val="both"/>
      </w:pPr>
      <w:r>
        <w:t>[</w:t>
      </w:r>
      <w:r w:rsidR="00351DD9">
        <w:t>4</w:t>
      </w:r>
      <w:r>
        <w:t xml:space="preserve">] Ar </w:t>
      </w:r>
      <w:r w:rsidRPr="004A3046">
        <w:t>Rīgas apgabaltiesas Civillietu tiesas kolēģijas 2018.gada 31.oktobra lēmumu</w:t>
      </w:r>
      <w:r w:rsidR="003D52FB">
        <w:t>, pamatojoties uz Civilprocesa likuma 440.pantu, 215.panta 6.punktu un Maksātnespējas likuma 134.panta ceturto daļu, pieteikums apmierināts un</w:t>
      </w:r>
      <w:r>
        <w:t xml:space="preserve"> tiesvedība</w:t>
      </w:r>
      <w:r w:rsidR="00A03520" w:rsidRPr="00A03520">
        <w:t xml:space="preserve"> </w:t>
      </w:r>
      <w:r w:rsidR="00A03520">
        <w:t>lietā</w:t>
      </w:r>
      <w:r w:rsidR="003D52FB" w:rsidRPr="003D52FB">
        <w:t xml:space="preserve"> </w:t>
      </w:r>
      <w:r w:rsidR="003D52FB">
        <w:t>apturēta</w:t>
      </w:r>
      <w:r>
        <w:t xml:space="preserve"> līdz </w:t>
      </w:r>
      <w:r w:rsidR="00DD2814">
        <w:t>[pers. B]</w:t>
      </w:r>
      <w:r>
        <w:t xml:space="preserve"> maksātnespējas procesa izbeigšanai.</w:t>
      </w:r>
    </w:p>
    <w:p w:rsidR="00D7005D" w:rsidRDefault="00EA7B85" w:rsidP="00481F97">
      <w:pPr>
        <w:spacing w:line="276" w:lineRule="auto"/>
        <w:ind w:firstLine="567"/>
        <w:jc w:val="both"/>
      </w:pPr>
      <w:r>
        <w:t xml:space="preserve">Tiesa konstatējusi, ka </w:t>
      </w:r>
      <w:r w:rsidR="00D7005D">
        <w:t>ar Rīgas pilsētas Pārdaugavas tiesas 2017.gada 6.oktobra</w:t>
      </w:r>
      <w:r w:rsidR="00D70651">
        <w:t xml:space="preserve"> </w:t>
      </w:r>
      <w:r w:rsidR="00D7005D">
        <w:t>spriedumu</w:t>
      </w:r>
      <w:r w:rsidR="007D50F7" w:rsidRPr="007D50F7">
        <w:t xml:space="preserve"> </w:t>
      </w:r>
      <w:r w:rsidR="007D50F7">
        <w:t>civillietā Nr. C68486317</w:t>
      </w:r>
      <w:r w:rsidR="00D7005D">
        <w:t xml:space="preserve"> pasludināts </w:t>
      </w:r>
      <w:r w:rsidR="00DD2814">
        <w:t>[pers. B]</w:t>
      </w:r>
      <w:r w:rsidR="00D22D25">
        <w:t xml:space="preserve"> fiziskās personas </w:t>
      </w:r>
      <w:r w:rsidR="00D7005D">
        <w:t>maksātnespējas process</w:t>
      </w:r>
      <w:r w:rsidR="00D70651">
        <w:t xml:space="preserve">, ar </w:t>
      </w:r>
      <w:r w:rsidR="00D7005D">
        <w:t>2018.gada 30.janvāra lēmumu apstiprināta bankrota procedūras pabeigšana</w:t>
      </w:r>
      <w:r w:rsidR="007D50F7">
        <w:t xml:space="preserve">, </w:t>
      </w:r>
      <w:r w:rsidR="00D7005D">
        <w:t xml:space="preserve">pasludināta </w:t>
      </w:r>
      <w:r w:rsidR="00DD2814">
        <w:t>[pers. B]</w:t>
      </w:r>
      <w:r w:rsidR="00D70651">
        <w:t xml:space="preserve"> saistību dzēšanas procedūra</w:t>
      </w:r>
      <w:r w:rsidR="007D50F7">
        <w:t xml:space="preserve"> un apstiprināts saistību dzēšanas plāns</w:t>
      </w:r>
      <w:r w:rsidR="008A1788">
        <w:t xml:space="preserve">, kurā </w:t>
      </w:r>
      <w:r w:rsidR="00D7005D">
        <w:t>iekļ</w:t>
      </w:r>
      <w:r w:rsidR="00D70651">
        <w:t>auts kreditora</w:t>
      </w:r>
      <w:r w:rsidR="00D22D25">
        <w:t> </w:t>
      </w:r>
      <w:r w:rsidR="00DE79E7">
        <w:t>–</w:t>
      </w:r>
      <w:r w:rsidR="00D22D25">
        <w:t> </w:t>
      </w:r>
      <w:r w:rsidR="00D70651">
        <w:t>AS „</w:t>
      </w:r>
      <w:r w:rsidR="00BD3182">
        <w:t>SEB </w:t>
      </w:r>
      <w:r w:rsidR="00D7005D">
        <w:t>banka”</w:t>
      </w:r>
      <w:r w:rsidR="00D22D25">
        <w:t> </w:t>
      </w:r>
      <w:r w:rsidR="00DE79E7">
        <w:t>–</w:t>
      </w:r>
      <w:r w:rsidR="00D7005D">
        <w:t xml:space="preserve"> prasījums</w:t>
      </w:r>
      <w:r w:rsidR="00D70651">
        <w:t xml:space="preserve"> par kopējo summu 63 407,10 EUR</w:t>
      </w:r>
      <w:r w:rsidR="00D7005D">
        <w:t>, kas izriet no 2007.gada 12.jūnija kredīta</w:t>
      </w:r>
      <w:r w:rsidR="00D70651">
        <w:t xml:space="preserve"> </w:t>
      </w:r>
      <w:r w:rsidR="00D7005D">
        <w:t>līguma Nr.</w:t>
      </w:r>
      <w:r w:rsidR="00BD3182">
        <w:t> EMR-4523</w:t>
      </w:r>
      <w:r w:rsidR="00D7005D">
        <w:t>.</w:t>
      </w:r>
      <w:r w:rsidR="00D22D25">
        <w:t xml:space="preserve"> </w:t>
      </w:r>
      <w:r w:rsidR="00BD3182">
        <w:t>P</w:t>
      </w:r>
      <w:r w:rsidR="00D7005D">
        <w:t>rasī</w:t>
      </w:r>
      <w:r w:rsidR="007D50F7">
        <w:t>bas summa</w:t>
      </w:r>
      <w:r w:rsidR="00274A5D">
        <w:t xml:space="preserve">, </w:t>
      </w:r>
      <w:r w:rsidR="007D50F7">
        <w:t>ko</w:t>
      </w:r>
      <w:r w:rsidR="007D50F7" w:rsidRPr="007D50F7">
        <w:t xml:space="preserve"> </w:t>
      </w:r>
      <w:r w:rsidR="007D50F7">
        <w:t>AS „SEB banka”</w:t>
      </w:r>
      <w:r w:rsidR="00274A5D">
        <w:t xml:space="preserve"> lūdz piedzīt solidāri no atbildētājiem</w:t>
      </w:r>
      <w:r w:rsidR="004A380F">
        <w:t xml:space="preserve"> izskatāmajā lietā</w:t>
      </w:r>
      <w:r w:rsidR="00274A5D">
        <w:t>,</w:t>
      </w:r>
      <w:r w:rsidR="00D22D25">
        <w:t xml:space="preserve"> </w:t>
      </w:r>
      <w:r w:rsidR="00D7005D">
        <w:t xml:space="preserve">ir </w:t>
      </w:r>
      <w:r w:rsidR="007D50F7">
        <w:t>parāds, ko atzinis administrators</w:t>
      </w:r>
      <w:r w:rsidR="004A380F">
        <w:t xml:space="preserve"> maksātnespējas procesā</w:t>
      </w:r>
      <w:r w:rsidR="007D50F7">
        <w:t xml:space="preserve">, un tā </w:t>
      </w:r>
      <w:r w:rsidR="00D7005D">
        <w:t>tiešā veidā</w:t>
      </w:r>
      <w:r w:rsidR="00D70651">
        <w:t xml:space="preserve"> </w:t>
      </w:r>
      <w:r w:rsidR="00D7005D">
        <w:t xml:space="preserve">saistīta ar </w:t>
      </w:r>
      <w:r w:rsidR="00DD2814">
        <w:t>[pers. B]</w:t>
      </w:r>
      <w:r w:rsidR="00D7005D">
        <w:t xml:space="preserve"> saistību dzēšanas plāna realizēšan</w:t>
      </w:r>
      <w:r w:rsidR="000F436B">
        <w:t>u</w:t>
      </w:r>
      <w:r w:rsidR="004A380F">
        <w:t>.</w:t>
      </w:r>
    </w:p>
    <w:p w:rsidR="00BD3182" w:rsidRDefault="00BD3182" w:rsidP="00DD2814">
      <w:pPr>
        <w:spacing w:line="276" w:lineRule="auto"/>
        <w:ind w:firstLine="709"/>
        <w:jc w:val="both"/>
      </w:pPr>
    </w:p>
    <w:p w:rsidR="00D70651" w:rsidRDefault="00D70651" w:rsidP="00481F97">
      <w:pPr>
        <w:spacing w:line="276" w:lineRule="auto"/>
        <w:ind w:firstLine="567"/>
        <w:jc w:val="both"/>
      </w:pPr>
      <w:r w:rsidRPr="001F7DB9">
        <w:lastRenderedPageBreak/>
        <w:t>[</w:t>
      </w:r>
      <w:r w:rsidR="00BB3B28">
        <w:t>5</w:t>
      </w:r>
      <w:r w:rsidRPr="001F7DB9">
        <w:t xml:space="preserve">] Par Rīgas apgabaltiesas Civillietu tiesas kolēģijas 2018.gada 31.oktobra lēmumu </w:t>
      </w:r>
      <w:r w:rsidR="0092005C">
        <w:t>AS „SEB banka”</w:t>
      </w:r>
      <w:r w:rsidRPr="001F7DB9">
        <w:t xml:space="preserve"> iesniegusi blakus sūdzību, </w:t>
      </w:r>
      <w:r w:rsidR="001F7DB9" w:rsidRPr="001F7DB9">
        <w:t>lūdzot lēmumu atcelt.</w:t>
      </w:r>
    </w:p>
    <w:p w:rsidR="001F7DB9" w:rsidRDefault="001F7DB9" w:rsidP="00481F97">
      <w:pPr>
        <w:spacing w:line="276" w:lineRule="auto"/>
        <w:ind w:firstLine="567"/>
        <w:jc w:val="both"/>
      </w:pPr>
      <w:r>
        <w:t>Blakus sūdzība pamatota ar šādiem argumentiem.</w:t>
      </w:r>
    </w:p>
    <w:p w:rsidR="00D027E3" w:rsidRDefault="001F7DB9" w:rsidP="00481F97">
      <w:pPr>
        <w:spacing w:line="276" w:lineRule="auto"/>
        <w:ind w:firstLine="567"/>
        <w:jc w:val="both"/>
      </w:pPr>
      <w:r>
        <w:t>[</w:t>
      </w:r>
      <w:r w:rsidR="00B05F10">
        <w:t>5</w:t>
      </w:r>
      <w:r>
        <w:t xml:space="preserve">.1] </w:t>
      </w:r>
      <w:r w:rsidR="00BB3B28">
        <w:t>Tiesa, apturot tiesvedību lietā, rīkojusies formāli,</w:t>
      </w:r>
      <w:r w:rsidR="000C49DD">
        <w:t xml:space="preserve"> </w:t>
      </w:r>
      <w:r w:rsidR="00CF2DBC">
        <w:t>jo a</w:t>
      </w:r>
      <w:r w:rsidR="00BB3B28">
        <w:t xml:space="preserve">tbilstoši Civilprocesa likuma 215.panta </w:t>
      </w:r>
      <w:r w:rsidR="00965FA8">
        <w:t>6.punktam tiesai ir tiesības nevis pienākum</w:t>
      </w:r>
      <w:r w:rsidR="00A862F3">
        <w:t>s</w:t>
      </w:r>
      <w:r w:rsidR="00965FA8">
        <w:t xml:space="preserve"> apturēt tiesvedību, ja atbildētājam pasludināts maksātnespējas process.</w:t>
      </w:r>
      <w:r w:rsidR="0009558F">
        <w:t xml:space="preserve"> Ievērojot, ka normai nav imperatīva rakstura, tiesai bija jāpamato tiesvedības apturēšanas nepieciešamība un jāvērtē, kā lietas izskatīšana ietekmē pušu tiesības un pienākumus.</w:t>
      </w:r>
    </w:p>
    <w:p w:rsidR="00A32C61" w:rsidRDefault="00A862F3" w:rsidP="00481F97">
      <w:pPr>
        <w:spacing w:line="276" w:lineRule="auto"/>
        <w:ind w:firstLine="567"/>
        <w:jc w:val="both"/>
      </w:pPr>
      <w:r>
        <w:t xml:space="preserve">Tiesa nav motivējusi, kādu iemeslu dēļ noraidīti tiesas sēdē prasītājas izteiktie iebildumi pret tiesvedības apturēšanu, </w:t>
      </w:r>
      <w:r w:rsidR="00A32C61">
        <w:t xml:space="preserve">nav apsvērusi, kā </w:t>
      </w:r>
      <w:r w:rsidR="00CF2DBC">
        <w:t xml:space="preserve">tiesvedības apturēšana </w:t>
      </w:r>
      <w:r w:rsidR="00A32C61">
        <w:t xml:space="preserve">ietekmē atbildētāju tiesības un pienākumus, </w:t>
      </w:r>
      <w:r w:rsidR="00CF2DBC">
        <w:t>nenovērtējot</w:t>
      </w:r>
      <w:r w:rsidR="00A32C61">
        <w:t xml:space="preserve"> arī </w:t>
      </w:r>
      <w:r w:rsidR="00CF2DBC">
        <w:t>faktu, ka prasītājas tiesības šādā veidā tiek nesamērīgi ierobežotas.</w:t>
      </w:r>
    </w:p>
    <w:p w:rsidR="000C51C3" w:rsidRDefault="00D027E3" w:rsidP="00481F97">
      <w:pPr>
        <w:spacing w:line="276" w:lineRule="auto"/>
        <w:ind w:firstLine="567"/>
        <w:jc w:val="both"/>
      </w:pPr>
      <w:r>
        <w:t>[</w:t>
      </w:r>
      <w:r w:rsidR="00B05F10">
        <w:t>5</w:t>
      </w:r>
      <w:r>
        <w:t xml:space="preserve">.2] </w:t>
      </w:r>
      <w:r w:rsidR="00B470B8">
        <w:t>Bez tiesas uzmanības atstāti apstākļi</w:t>
      </w:r>
      <w:r>
        <w:t>,</w:t>
      </w:r>
      <w:r w:rsidR="00B470B8">
        <w:t xml:space="preserve"> kas liecina,</w:t>
      </w:r>
      <w:r>
        <w:t xml:space="preserve"> ka prasību</w:t>
      </w:r>
      <w:r w:rsidR="000C51C3">
        <w:t xml:space="preserve"> par parāda solidāru piedziņu</w:t>
      </w:r>
      <w:r w:rsidR="00A73B58">
        <w:t xml:space="preserve"> pret diviem</w:t>
      </w:r>
      <w:r w:rsidR="000C51C3">
        <w:t xml:space="preserve"> kopparādniekiem</w:t>
      </w:r>
      <w:r w:rsidR="00A73B58">
        <w:t xml:space="preserve"> </w:t>
      </w:r>
      <w:r w:rsidR="004B6842">
        <w:t xml:space="preserve">banka </w:t>
      </w:r>
      <w:r>
        <w:t>cēla jau 2011.gadā, un ar Rīgas pilsētas Pārdaugavas tiesas 2017.gada 29.augusta spriedumu prasība tika apmierināta.</w:t>
      </w:r>
      <w:r w:rsidR="004B6842">
        <w:t xml:space="preserve"> </w:t>
      </w:r>
      <w:r>
        <w:t xml:space="preserve">Savukārt </w:t>
      </w:r>
      <w:r w:rsidR="000C51C3">
        <w:t xml:space="preserve">vienas </w:t>
      </w:r>
      <w:r>
        <w:t xml:space="preserve">solidārās </w:t>
      </w:r>
      <w:r w:rsidR="000C51C3">
        <w:t xml:space="preserve">parādnieces </w:t>
      </w:r>
      <w:r w:rsidR="00DE79E7">
        <w:t>–</w:t>
      </w:r>
      <w:r>
        <w:t xml:space="preserve"> </w:t>
      </w:r>
      <w:r w:rsidR="00DD2814">
        <w:t>[pers. B]</w:t>
      </w:r>
      <w:r w:rsidR="000C51C3">
        <w:t xml:space="preserve"> </w:t>
      </w:r>
      <w:r w:rsidR="00DE79E7">
        <w:t>–</w:t>
      </w:r>
      <w:r>
        <w:t xml:space="preserve"> maksātnespējas process pasludināts jau pēc minētā sprieduma taisīšanas – 2017.gada 6.oktobrī.</w:t>
      </w:r>
    </w:p>
    <w:p w:rsidR="001D1397" w:rsidRDefault="000C51C3" w:rsidP="00481F97">
      <w:pPr>
        <w:spacing w:line="276" w:lineRule="auto"/>
        <w:ind w:firstLine="567"/>
        <w:jc w:val="both"/>
      </w:pPr>
      <w:r>
        <w:t>Prasītājai nebūtu iebildumu pret tiesvedības apturēšanu, ja prasība tiktu celta pret vienu parādnieku, jo tādā gadījumā parādnieka maksātnespējas process ļautu ātri realizēt kreditora tiesības, atjaunojot parādnieka maksātspēju, netērējot līdzekļus tiesvedībai.</w:t>
      </w:r>
    </w:p>
    <w:p w:rsidR="00D027E3" w:rsidRDefault="000C51C3" w:rsidP="00481F97">
      <w:pPr>
        <w:spacing w:line="276" w:lineRule="auto"/>
        <w:ind w:firstLine="567"/>
        <w:jc w:val="both"/>
      </w:pPr>
      <w:r>
        <w:t xml:space="preserve">Tomēr šajā civillietā pastāv citi apstākļi, jo prasība ir celta pret solidāriem kopparādniekiem, tādēļ neatkarīgi no tā, vai </w:t>
      </w:r>
      <w:r w:rsidR="00DD2814">
        <w:t>[pers. B]</w:t>
      </w:r>
      <w:r>
        <w:t xml:space="preserve"> maksātnespējas process tiks izbeigts, atbrīvojot vai neatbrīvojot viņu no saistībām, jau tagad ir saprotams, ka parādniece nespēs izpildīt saistības pilnā ap</w:t>
      </w:r>
      <w:r w:rsidR="008B7D8F">
        <w:t>jomā</w:t>
      </w:r>
      <w:r>
        <w:t>, jo ir sastādīts saistību d</w:t>
      </w:r>
      <w:r w:rsidR="00DE79E7">
        <w:t xml:space="preserve">zēšanas plāns, saskaņā ar kuru </w:t>
      </w:r>
      <w:r>
        <w:t>bankai tiek maksāti 115,82</w:t>
      </w:r>
      <w:r w:rsidR="00DE79E7">
        <w:t> </w:t>
      </w:r>
      <w:r>
        <w:t>EUR mēnesī. Labākajā gadījumā, izpildot saistību dzēšanas plānu</w:t>
      </w:r>
      <w:r w:rsidR="00B470B8">
        <w:t xml:space="preserve"> divdesmit četros mēnešos</w:t>
      </w:r>
      <w:r w:rsidR="001D1397">
        <w:t>,</w:t>
      </w:r>
      <w:r>
        <w:t xml:space="preserve"> minētā parādniece dzēsīs parādu</w:t>
      </w:r>
      <w:r w:rsidR="00B470B8">
        <w:t xml:space="preserve"> tikai</w:t>
      </w:r>
      <w:r>
        <w:t xml:space="preserve"> 2779,68</w:t>
      </w:r>
      <w:r w:rsidR="003D1078">
        <w:t> EUR apmērā.</w:t>
      </w:r>
    </w:p>
    <w:p w:rsidR="00273464" w:rsidRDefault="00273464" w:rsidP="00481F97">
      <w:pPr>
        <w:spacing w:line="276" w:lineRule="auto"/>
        <w:ind w:firstLine="567"/>
        <w:jc w:val="both"/>
      </w:pPr>
      <w:r>
        <w:t>[</w:t>
      </w:r>
      <w:r w:rsidR="00B05F10">
        <w:t>5</w:t>
      </w:r>
      <w:r>
        <w:t xml:space="preserve">.3] </w:t>
      </w:r>
      <w:r w:rsidR="00D423BF">
        <w:t>P</w:t>
      </w:r>
      <w:r w:rsidR="001867AE">
        <w:t xml:space="preserve">arādniekam dotas tiesības jebkurā laikā </w:t>
      </w:r>
      <w:r w:rsidR="003D1078">
        <w:t>–</w:t>
      </w:r>
      <w:r w:rsidR="001867AE">
        <w:t xml:space="preserve"> pirms strīda uzsākšanas tiesā, tiesvedības laikā, uzreiz pēc tiesvedības vai sprieduma izpildes stadijā – vērsties tiesā, lai pasludinātu viņa maksātnespēju. Prasītājas ieskatā</w:t>
      </w:r>
      <w:r w:rsidR="005222A5">
        <w:t>,</w:t>
      </w:r>
      <w:r w:rsidR="001867AE">
        <w:t xml:space="preserve"> lietas izskatīšana nekādā veidā</w:t>
      </w:r>
      <w:r w:rsidR="00D423BF">
        <w:t xml:space="preserve"> neaizskar</w:t>
      </w:r>
      <w:r w:rsidR="001867AE">
        <w:t xml:space="preserve"> maksātnespējīgā parādnieka tiesības, taču, apturot tiesvedību, tiek skartas kreditora tiesības, jo nepamatoti ilgu laiku </w:t>
      </w:r>
      <w:r w:rsidR="00D423BF">
        <w:t xml:space="preserve">kreditoram </w:t>
      </w:r>
      <w:r w:rsidR="001867AE">
        <w:t xml:space="preserve">tiek liegta iespēja piedzīt </w:t>
      </w:r>
      <w:r w:rsidR="003D1078">
        <w:t>parādu no otra kopparādnieka.</w:t>
      </w:r>
    </w:p>
    <w:p w:rsidR="00BB3B28" w:rsidRDefault="00BB3B28" w:rsidP="00DD2814">
      <w:pPr>
        <w:spacing w:line="276" w:lineRule="auto"/>
        <w:ind w:firstLine="709"/>
        <w:jc w:val="both"/>
      </w:pPr>
    </w:p>
    <w:p w:rsidR="00022C63" w:rsidRDefault="00022C63" w:rsidP="00DD2814">
      <w:pPr>
        <w:spacing w:line="276" w:lineRule="auto"/>
        <w:jc w:val="center"/>
      </w:pPr>
      <w:r>
        <w:rPr>
          <w:b/>
        </w:rPr>
        <w:t>Motīvu daļa</w:t>
      </w:r>
      <w:bookmarkStart w:id="0" w:name="_GoBack"/>
      <w:bookmarkEnd w:id="0"/>
    </w:p>
    <w:p w:rsidR="00022C63" w:rsidRDefault="00022C63" w:rsidP="00DD2814">
      <w:pPr>
        <w:spacing w:line="276" w:lineRule="auto"/>
        <w:ind w:firstLine="709"/>
        <w:jc w:val="both"/>
        <w:rPr>
          <w:b/>
        </w:rPr>
      </w:pPr>
    </w:p>
    <w:p w:rsidR="00AA2499" w:rsidRDefault="00732DB9" w:rsidP="00481F97">
      <w:pPr>
        <w:spacing w:line="276" w:lineRule="auto"/>
        <w:ind w:firstLine="567"/>
        <w:jc w:val="both"/>
      </w:pPr>
      <w:r>
        <w:t>[</w:t>
      </w:r>
      <w:r w:rsidR="00E4109C">
        <w:t>6</w:t>
      </w:r>
      <w:r w:rsidR="00022C63">
        <w:t xml:space="preserve">] Pārbaudījis lietas materiālus un apsvēris blakus sūdzībā norādītos argumentus, Senāts atzīst, ka pārsūdzētais lēmums ir atceļams un jautājums nododams jaunai izskatīšanai </w:t>
      </w:r>
      <w:r>
        <w:t>Rīgas</w:t>
      </w:r>
      <w:r w:rsidR="00022C63">
        <w:t xml:space="preserve"> apgabalties</w:t>
      </w:r>
      <w:r w:rsidR="002C430B">
        <w:t>ā</w:t>
      </w:r>
      <w:r w:rsidR="00022C63">
        <w:t>.</w:t>
      </w:r>
    </w:p>
    <w:p w:rsidR="004B6842" w:rsidRDefault="00022C63" w:rsidP="00481F97">
      <w:pPr>
        <w:spacing w:line="276" w:lineRule="auto"/>
        <w:ind w:firstLine="567"/>
        <w:jc w:val="both"/>
      </w:pPr>
      <w:r>
        <w:t>[</w:t>
      </w:r>
      <w:r w:rsidR="00E4109C">
        <w:t>6.1</w:t>
      </w:r>
      <w:r w:rsidR="00837F82">
        <w:t>]</w:t>
      </w:r>
      <w:r w:rsidR="002C430B" w:rsidRPr="002C430B">
        <w:t xml:space="preserve"> </w:t>
      </w:r>
      <w:r w:rsidR="002307A1">
        <w:t>Atbilstoši Civilprocesa likuma 440.pantam a</w:t>
      </w:r>
      <w:r w:rsidR="002307A1" w:rsidRPr="001E6793">
        <w:t>pelācijas instances tiesa aptur tiesvedību</w:t>
      </w:r>
      <w:r w:rsidR="002307A1">
        <w:t xml:space="preserve"> </w:t>
      </w:r>
      <w:r w:rsidR="002307A1" w:rsidRPr="001E6793">
        <w:t>gadījumos un kārtībā, kāda noteikta šā likuma 24.nodaļā.</w:t>
      </w:r>
    </w:p>
    <w:p w:rsidR="003D1078" w:rsidRDefault="002C430B" w:rsidP="00481F97">
      <w:pPr>
        <w:spacing w:line="276" w:lineRule="auto"/>
        <w:ind w:firstLine="567"/>
        <w:jc w:val="both"/>
      </w:pPr>
      <w:r>
        <w:t>Civilprocess ir dinamiska parādība, kas vērsta uz tiesību subjektu civilo tiesību un likumisko interešu aizsardzību iespējami ātrākā laika posmā. Civilprocesa likuma 24.nodaļas regulējums paredz atkāpi no vispārējās civilprocesuālās kārtības, jo izņēmuma veidā paredz tiesiskos pamatus tam, ka civillietas izskatīšana nenotiek</w:t>
      </w:r>
      <w:r w:rsidR="00E4109C">
        <w:t>,</w:t>
      </w:r>
      <w:r>
        <w:t xml:space="preserve"> kā ierasts – bez pārtraukumiem un kavēšanās. Tiesvedības apturēšana ir procesuālo darbību pārtraukšana sakarā ar tādu apstākļu iestāšanos, kuri izslēdz iespēju izspriest lietu pēc</w:t>
      </w:r>
      <w:r w:rsidR="003D1078">
        <w:t xml:space="preserve"> būtības, kamēr tie pastāv (sk. </w:t>
      </w:r>
      <w:r>
        <w:rPr>
          <w:i/>
        </w:rPr>
        <w:t>C</w:t>
      </w:r>
      <w:r w:rsidR="007D18C9">
        <w:rPr>
          <w:i/>
        </w:rPr>
        <w:t>ivilprocesa likuma komentāri</w:t>
      </w:r>
      <w:r w:rsidR="003D1078">
        <w:rPr>
          <w:i/>
        </w:rPr>
        <w:t>. I </w:t>
      </w:r>
      <w:r>
        <w:rPr>
          <w:i/>
        </w:rPr>
        <w:t xml:space="preserve">daļa (1.–28.nodaļa). </w:t>
      </w:r>
      <w:r w:rsidR="002307A1">
        <w:rPr>
          <w:i/>
        </w:rPr>
        <w:t>O</w:t>
      </w:r>
      <w:r>
        <w:rPr>
          <w:i/>
        </w:rPr>
        <w:t>trais papildinātais izdevums. Sagatav</w:t>
      </w:r>
      <w:r w:rsidR="003D1078">
        <w:rPr>
          <w:i/>
        </w:rPr>
        <w:t xml:space="preserve">ojis autoru </w:t>
      </w:r>
      <w:r w:rsidR="003D1078">
        <w:rPr>
          <w:i/>
        </w:rPr>
        <w:lastRenderedPageBreak/>
        <w:t>kolektīvs. Prof. K.</w:t>
      </w:r>
      <w:r>
        <w:rPr>
          <w:i/>
        </w:rPr>
        <w:t>Torgāna zinātniskajā redakcijā. – Rīga: Tiesu namu aģentūra, 2016, 606.lpp.</w:t>
      </w:r>
      <w:r>
        <w:t>).</w:t>
      </w:r>
    </w:p>
    <w:p w:rsidR="003D1078" w:rsidRDefault="002307A1" w:rsidP="00481F97">
      <w:pPr>
        <w:spacing w:line="276" w:lineRule="auto"/>
        <w:ind w:firstLine="567"/>
        <w:jc w:val="both"/>
      </w:pPr>
      <w:r>
        <w:t>Likumdevējs Civilprocesa likuma 214.pantā noteicis, kādos gadījumos tiesvedības apturēšana ir tiesas pienākums</w:t>
      </w:r>
      <w:r w:rsidR="00AA2499">
        <w:t>.</w:t>
      </w:r>
      <w:r w:rsidR="00F901AD">
        <w:t xml:space="preserve"> Parādnieka maksātnespējas pasludināšana nav noteikta kā</w:t>
      </w:r>
      <w:r w:rsidR="00AA2499">
        <w:t xml:space="preserve"> viens no šādiem gadījumiem.</w:t>
      </w:r>
    </w:p>
    <w:p w:rsidR="003D1078" w:rsidRDefault="009C1DAE" w:rsidP="00481F97">
      <w:pPr>
        <w:spacing w:line="276" w:lineRule="auto"/>
        <w:ind w:firstLine="567"/>
        <w:jc w:val="both"/>
      </w:pPr>
      <w:r>
        <w:t>Atbilstoši Civilprocesa likuma 215.panta 6.punktam t</w:t>
      </w:r>
      <w:r w:rsidR="001E6793">
        <w:t>iesa pēc lietas dalībnieka vai savas iniciatīvas var apturēt tiesvedību</w:t>
      </w:r>
      <w:r>
        <w:t xml:space="preserve">, ja </w:t>
      </w:r>
      <w:r w:rsidR="001E6793">
        <w:t>mantiska rakstura prasībās atbildētājam ir pasludināts juridiskās personas maksātnespējas process vai fiziskās personas maksātnespējas process.</w:t>
      </w:r>
      <w:r w:rsidR="009767F7">
        <w:t xml:space="preserve"> </w:t>
      </w:r>
      <w:r w:rsidR="00C104C8" w:rsidRPr="003D1078">
        <w:t xml:space="preserve">Minētā procesuālo tiesību norma atbilst Maksātnespējas likuma </w:t>
      </w:r>
      <w:r w:rsidR="00BF07A3" w:rsidRPr="003D1078">
        <w:t xml:space="preserve">134.panta ceturtajai daļai, kas noteic, ka </w:t>
      </w:r>
      <w:r w:rsidR="003A231B" w:rsidRPr="003D1078">
        <w:t>tiesas spriedums, ar kuru tiek pasludināts fiziskās personas maksātnespējas process, ir pamats pret parādnieku ierosinātās tiesvedības apturēšanai.</w:t>
      </w:r>
    </w:p>
    <w:p w:rsidR="00AA2499" w:rsidRPr="003D1078" w:rsidRDefault="00AA2499" w:rsidP="00481F97">
      <w:pPr>
        <w:spacing w:line="276" w:lineRule="auto"/>
        <w:ind w:firstLine="567"/>
        <w:jc w:val="both"/>
      </w:pPr>
      <w:r w:rsidRPr="003D1078">
        <w:t xml:space="preserve">Tiesvedības apturēšana civillietā, kas </w:t>
      </w:r>
      <w:r w:rsidR="001D65D1" w:rsidRPr="003D1078">
        <w:t xml:space="preserve">ir </w:t>
      </w:r>
      <w:r w:rsidRPr="003D1078">
        <w:t>ierosināta strīdā par parāda atgūšanu no maksātnespējīga parādnieka</w:t>
      </w:r>
      <w:r w:rsidR="001D65D1" w:rsidRPr="003D1078">
        <w:t>,</w:t>
      </w:r>
      <w:r w:rsidRPr="003D1078">
        <w:t xml:space="preserve"> ir saprotama</w:t>
      </w:r>
      <w:r w:rsidR="001D65D1" w:rsidRPr="003D1078">
        <w:t xml:space="preserve"> un izskaidrojama</w:t>
      </w:r>
      <w:r w:rsidRPr="003D1078">
        <w:t>, jo šādā gadījumā faktiski nepastāv strīds par saistību</w:t>
      </w:r>
      <w:r w:rsidR="001D65D1" w:rsidRPr="003D1078">
        <w:t>, un parāda atgūšana notiek Maksātnespējas likumā noteiktajā kārtībā.</w:t>
      </w:r>
    </w:p>
    <w:p w:rsidR="00A103D1" w:rsidRDefault="001D65D1" w:rsidP="00481F97">
      <w:pPr>
        <w:spacing w:line="276" w:lineRule="auto"/>
        <w:ind w:firstLine="567"/>
        <w:jc w:val="both"/>
      </w:pPr>
      <w:r>
        <w:t>[</w:t>
      </w:r>
      <w:r w:rsidR="00AA2499">
        <w:t xml:space="preserve">6.2] </w:t>
      </w:r>
      <w:r w:rsidR="00A103D1">
        <w:t xml:space="preserve">Tomēr ne visos gadījumos prasība tiek celta pret vienu parādnieku, kā tas ir </w:t>
      </w:r>
      <w:r w:rsidR="009767F7">
        <w:t>izskatāmajā civillietā</w:t>
      </w:r>
      <w:r w:rsidR="00A103D1">
        <w:t>, k</w:t>
      </w:r>
      <w:r w:rsidR="009767F7">
        <w:t>urā</w:t>
      </w:r>
      <w:r w:rsidR="00A103D1">
        <w:t xml:space="preserve"> banka, izlietojot Civillikuma 1683.pantā garantētās tiesības, cēlusi prasību pret abiem kopparādniekiem, kas prasības celšanas brīdī bijuši maksātspējīgi.</w:t>
      </w:r>
    </w:p>
    <w:p w:rsidR="0035113D" w:rsidRDefault="00391B57" w:rsidP="00481F97">
      <w:pPr>
        <w:spacing w:line="276" w:lineRule="auto"/>
        <w:ind w:firstLine="567"/>
        <w:jc w:val="both"/>
      </w:pPr>
      <w:r>
        <w:t xml:space="preserve">No lietā iesniegtā </w:t>
      </w:r>
      <w:r w:rsidR="00DD2814">
        <w:t>[pers. B]</w:t>
      </w:r>
      <w:r>
        <w:t xml:space="preserve"> saistību dzēšanas plāna redzams, ka maksātnespējas procesa ietvaros</w:t>
      </w:r>
      <w:r w:rsidR="003D1078">
        <w:t xml:space="preserve"> pilnībā atzīts AS „SEB banka” </w:t>
      </w:r>
      <w:r>
        <w:t>kreditora prasī</w:t>
      </w:r>
      <w:r w:rsidR="003D1078">
        <w:t>jums par kopējo summu 66 140,34 </w:t>
      </w:r>
      <w:r>
        <w:t>EUR, taču saistību dzēšanas procedūras laikā, kas noteikts divu gadu garumā, AS</w:t>
      </w:r>
      <w:r w:rsidR="00DE4603">
        <w:t xml:space="preserve"> </w:t>
      </w:r>
      <w:r>
        <w:t>„SEB</w:t>
      </w:r>
      <w:r w:rsidR="00DE4603">
        <w:t xml:space="preserve"> </w:t>
      </w:r>
      <w:r>
        <w:t>banka”</w:t>
      </w:r>
      <w:r w:rsidR="00DE4603">
        <w:t xml:space="preserve"> </w:t>
      </w:r>
      <w:r>
        <w:t>prasījums dzēšams 2779,68 EUR apmērā.</w:t>
      </w:r>
      <w:r w:rsidR="00DB3663">
        <w:t xml:space="preserve"> </w:t>
      </w:r>
      <w:r>
        <w:t>Minētais nepārprotami liecina par to, ka pat gadījumā, ja maksātnespējīgā parādniece izpildīs saistību dzēšanas plānu, saistības netiks izpildītas pilnīgi un prasītājai būs tiesības prasīt izpildījumu no otra kopparādnie</w:t>
      </w:r>
      <w:r w:rsidR="0048609E">
        <w:t>ka</w:t>
      </w:r>
      <w:r>
        <w:t>, pret kuru prasība tiesā</w:t>
      </w:r>
      <w:r w:rsidRPr="00916A7F">
        <w:t xml:space="preserve"> </w:t>
      </w:r>
      <w:r>
        <w:t>jau ir celta un tiek uzturēta.</w:t>
      </w:r>
    </w:p>
    <w:p w:rsidR="001D61C4" w:rsidRDefault="00D024F0" w:rsidP="00481F97">
      <w:pPr>
        <w:spacing w:line="276" w:lineRule="auto"/>
        <w:ind w:firstLine="567"/>
        <w:jc w:val="both"/>
      </w:pPr>
      <w:r>
        <w:t>[6.3] Ne</w:t>
      </w:r>
      <w:r w:rsidR="001D61C4">
        <w:t xml:space="preserve"> procesuālo</w:t>
      </w:r>
      <w:r>
        <w:t xml:space="preserve"> tiesību normas</w:t>
      </w:r>
      <w:r w:rsidR="001D61C4">
        <w:t xml:space="preserve">, </w:t>
      </w:r>
      <w:r>
        <w:t>ne</w:t>
      </w:r>
      <w:r w:rsidR="001D61C4">
        <w:t xml:space="preserve"> materiālo tiesību normas imperatīvi nenosaka tiesas pienākumu jebkurā gadījumā, kad pasludināts fiziskās personas maksātnespējas process, apturēt tiesvedību civillietā</w:t>
      </w:r>
      <w:r w:rsidR="00EE1CFA">
        <w:t>, un tas ir saprotami,</w:t>
      </w:r>
      <w:r w:rsidR="001D61C4">
        <w:t xml:space="preserve"> jo ne vienmēr izšķiramais strīds</w:t>
      </w:r>
      <w:r w:rsidR="00EE1CFA">
        <w:t xml:space="preserve"> </w:t>
      </w:r>
      <w:r w:rsidR="001D61C4">
        <w:t>skar</w:t>
      </w:r>
      <w:r w:rsidR="00EE1CFA">
        <w:t xml:space="preserve"> tikai divu personu (prasītāja, kura</w:t>
      </w:r>
      <w:r w:rsidR="00B35B02">
        <w:t>i</w:t>
      </w:r>
      <w:r w:rsidR="00EE1CFA">
        <w:t xml:space="preserve"> pēc parādnieka maksātnespējas pasludināšanas ir pienākums pieteikt kreditora prasījumu maksātnespējas procesa administratoram, un maksātnespējīgā parādnieka kā atbildētāja konkrētajā civillietā) tiesības un likumīgās intereses.</w:t>
      </w:r>
    </w:p>
    <w:p w:rsidR="0035113D" w:rsidRDefault="0035113D" w:rsidP="00481F97">
      <w:pPr>
        <w:spacing w:line="276" w:lineRule="auto"/>
        <w:ind w:firstLine="567"/>
        <w:jc w:val="both"/>
      </w:pPr>
      <w:r>
        <w:t>Tiesas lēmumus klasificē pēc to mērķa (lomas) tiesvedībā. Ir sagatavojošie, papildinošie, pārtraucošie, noslēdzošie, blakus lēmumi [..] Pārtraucošajiem lēmumiem ir bremzējoša ietekme uz civillietas ierosināšanu vai virzību, jo šo lēmumu sekas ir, piemēram [..] tiesvedības apturēšana (Civilprocesa likuma 217.pants) (sk.</w:t>
      </w:r>
      <w:r w:rsidR="003D1078">
        <w:rPr>
          <w:i/>
        </w:rPr>
        <w:t> </w:t>
      </w:r>
      <w:r w:rsidR="0043001A">
        <w:rPr>
          <w:i/>
        </w:rPr>
        <w:t>Civilprocesa likuma</w:t>
      </w:r>
      <w:r w:rsidR="003D1078">
        <w:rPr>
          <w:i/>
        </w:rPr>
        <w:t xml:space="preserve"> </w:t>
      </w:r>
      <w:r w:rsidR="0043001A">
        <w:rPr>
          <w:i/>
        </w:rPr>
        <w:t>komentāri</w:t>
      </w:r>
      <w:r w:rsidR="003D1078">
        <w:rPr>
          <w:i/>
        </w:rPr>
        <w:t>. I </w:t>
      </w:r>
      <w:r>
        <w:rPr>
          <w:i/>
        </w:rPr>
        <w:t>daļa (1.–28.nodaļa). otrais papildinātais izdevums. Sagatav</w:t>
      </w:r>
      <w:r w:rsidR="003D1078">
        <w:rPr>
          <w:i/>
        </w:rPr>
        <w:t>ojis autoru kolektīvs. Prof. K.</w:t>
      </w:r>
      <w:r>
        <w:rPr>
          <w:i/>
        </w:rPr>
        <w:t>Torgāna zinātniskajā redakcijā. – Rīga: Tiesu namu aģentūra, 2016, 561.lpp.</w:t>
      </w:r>
      <w:r>
        <w:t>).</w:t>
      </w:r>
    </w:p>
    <w:p w:rsidR="006E513E" w:rsidRDefault="006E513E" w:rsidP="00481F97">
      <w:pPr>
        <w:spacing w:line="276" w:lineRule="auto"/>
        <w:ind w:firstLine="567"/>
        <w:jc w:val="both"/>
      </w:pPr>
      <w:r>
        <w:t>Norādītajos apstākļos</w:t>
      </w:r>
      <w:r w:rsidR="00391B57">
        <w:t xml:space="preserve"> </w:t>
      </w:r>
      <w:r w:rsidR="00DB3663">
        <w:t>tiesas viedokļa pamatojums par</w:t>
      </w:r>
      <w:r w:rsidR="00391B57">
        <w:t xml:space="preserve"> tiesvedības apturēšanas </w:t>
      </w:r>
      <w:r w:rsidR="00DB3663">
        <w:t>nepieciešamību</w:t>
      </w:r>
      <w:r w:rsidR="00DC47D2">
        <w:t xml:space="preserve">, kā arī apsvērumi par kreditora tiesību ierobežošanas iespēju </w:t>
      </w:r>
      <w:r w:rsidR="00391B57">
        <w:t>šādā lietā ir īpaši svarīg</w:t>
      </w:r>
      <w:r w:rsidR="00781F92">
        <w:t>i</w:t>
      </w:r>
      <w:r w:rsidR="00391B57">
        <w:t>, jo</w:t>
      </w:r>
      <w:r w:rsidR="00D024F0">
        <w:t xml:space="preserve"> nav apšaubāms, ka tiesvedības apturēšana</w:t>
      </w:r>
      <w:r w:rsidR="00DC47D2">
        <w:t xml:space="preserve"> lietā</w:t>
      </w:r>
      <w:r w:rsidR="00D024F0">
        <w:t xml:space="preserve"> izslēdz iespēju kreditoram turpināt parāda piedziņu no līdzatbildētāja</w:t>
      </w:r>
      <w:r w:rsidR="00DC47D2">
        <w:t>, uz ko tiesai norādījis blakus sūdzības iesniedzējs.</w:t>
      </w:r>
    </w:p>
    <w:p w:rsidR="003D1078" w:rsidRDefault="00781F92" w:rsidP="00481F97">
      <w:pPr>
        <w:spacing w:line="276" w:lineRule="auto"/>
        <w:ind w:firstLine="567"/>
        <w:jc w:val="both"/>
      </w:pPr>
      <w:r>
        <w:t xml:space="preserve">[6.4] </w:t>
      </w:r>
      <w:r w:rsidR="00624D5C">
        <w:t xml:space="preserve">Komentējot Civilprocesa likuma 215.panta 6.punktu, tiesību doktrīnā norādīts, ka tiesai, lemjot par tiesvedības apturēšanu uz šī pamata, jāizvērtē: 1) kā tiesvedības apturēšana ietekmē citu lietas dalībnieku tiesību un interešu ievērošanu (piemēram, ja lieta ir vairāki atbildētāji, bet vienam no tiem pasludināts fiziskās personas maksātnespējas process); 2) vai atbildētājam pasludinātais juridiskās personas maksātnespējas process vai fiziskās personas maksātnespējas process liedz izskatīt civillietu pēc būtības; 3) samērīgums kreditoru interešu </w:t>
      </w:r>
      <w:r w:rsidR="00624D5C">
        <w:lastRenderedPageBreak/>
        <w:t>ievērošanā, ja civillietā ir vairāki atbildētāji (piemēram, solidāri parādnieki), bet tikai vienam no viņiem pasludināts fiziskās vai juridiskās personas maksātnespējas process (</w:t>
      </w:r>
      <w:r w:rsidR="00BF12D7">
        <w:t xml:space="preserve">sk. </w:t>
      </w:r>
      <w:r w:rsidR="00BF12D7">
        <w:rPr>
          <w:i/>
        </w:rPr>
        <w:t xml:space="preserve">Civilprocesa likuma komentāri. </w:t>
      </w:r>
      <w:r w:rsidR="003D1078">
        <w:rPr>
          <w:i/>
        </w:rPr>
        <w:t>I </w:t>
      </w:r>
      <w:r w:rsidR="00624D5C">
        <w:rPr>
          <w:i/>
        </w:rPr>
        <w:t>daļa (1.–28.nodaļa). Otrais papildinātais izdevums. Sagatav</w:t>
      </w:r>
      <w:r w:rsidR="003D1078">
        <w:rPr>
          <w:i/>
        </w:rPr>
        <w:t>ojis autoru kolektīvs. Prof. K.</w:t>
      </w:r>
      <w:r w:rsidR="00624D5C">
        <w:rPr>
          <w:i/>
        </w:rPr>
        <w:t>Torgāna zinātniskajā redakcijā. – Rīga: Tiesu namu aģentūra, 2016, 619. – 620.lpp.</w:t>
      </w:r>
      <w:r w:rsidR="00624D5C">
        <w:t>).</w:t>
      </w:r>
    </w:p>
    <w:p w:rsidR="00273CFB" w:rsidRPr="003D1078" w:rsidRDefault="00025BB2" w:rsidP="00481F97">
      <w:pPr>
        <w:spacing w:line="276" w:lineRule="auto"/>
        <w:ind w:firstLine="567"/>
        <w:jc w:val="both"/>
      </w:pPr>
      <w:r w:rsidRPr="003D1078">
        <w:t xml:space="preserve">Ievērojot, ka </w:t>
      </w:r>
      <w:r w:rsidR="00A6282F" w:rsidRPr="003D1078">
        <w:t>tiesas lēmumā</w:t>
      </w:r>
      <w:r w:rsidRPr="003D1078">
        <w:t xml:space="preserve"> par tiesvedības apturēšanu lietā</w:t>
      </w:r>
      <w:r w:rsidR="00A6282F" w:rsidRPr="003D1078">
        <w:t xml:space="preserve"> iepriekš minētais izvērtējums</w:t>
      </w:r>
      <w:r w:rsidRPr="003D1078">
        <w:t xml:space="preserve">, </w:t>
      </w:r>
      <w:r w:rsidR="00A6282F" w:rsidRPr="003D1078">
        <w:t>nav atrodams</w:t>
      </w:r>
      <w:r w:rsidRPr="003D1078">
        <w:t>,</w:t>
      </w:r>
      <w:r w:rsidR="00A6282F" w:rsidRPr="003D1078">
        <w:t xml:space="preserve"> Senāts atzīst, ka lēmums neatbilst </w:t>
      </w:r>
      <w:r w:rsidRPr="003D1078">
        <w:t>Civilprocesa likuma 230.panta ceturtajai daļai, kas noteic, ka lēmuma  motīvu daļā norāda konstatētos faktus, pierādījumus, uz kuriem pamatoti tiesas secinājumi un argumenti, kā arī normatīvos aktus, pēc kuriem tiesa vadījusies.</w:t>
      </w:r>
      <w:r w:rsidR="00273CFB" w:rsidRPr="003D1078">
        <w:t xml:space="preserve"> Līdz ar to Rīgas apgabaltiesas Civillietu tiesas kolēģijas 2018.gada 31.oktobra lēmums atceļams, nododot jautājumu jaunai izskatīšanai Rīgas apgabaltiesā.</w:t>
      </w:r>
    </w:p>
    <w:p w:rsidR="00F015CF" w:rsidRDefault="00F015CF" w:rsidP="00481F97">
      <w:pPr>
        <w:spacing w:line="276" w:lineRule="auto"/>
        <w:ind w:firstLine="567"/>
        <w:jc w:val="both"/>
        <w:rPr>
          <w:lang w:eastAsia="en-US"/>
        </w:rPr>
      </w:pPr>
      <w:r>
        <w:t>Saskaņā ar Civilprocesa likuma 444.</w:t>
      </w:r>
      <w:r w:rsidRPr="00F015CF">
        <w:rPr>
          <w:vertAlign w:val="superscript"/>
        </w:rPr>
        <w:t>1</w:t>
      </w:r>
      <w:r w:rsidR="00837F82">
        <w:t> </w:t>
      </w:r>
      <w:r>
        <w:t>panta otro daļu, pārsūdzēto lēmumu atceļot, blakus sūdzības iesniedzējai atmaksājama samaksātā droš</w:t>
      </w:r>
      <w:r w:rsidR="00837F82">
        <w:t>ības nauda.</w:t>
      </w:r>
    </w:p>
    <w:p w:rsidR="00F015CF" w:rsidRDefault="00F015CF" w:rsidP="00DD2814">
      <w:pPr>
        <w:spacing w:line="276" w:lineRule="auto"/>
        <w:ind w:firstLine="709"/>
        <w:jc w:val="both"/>
      </w:pPr>
    </w:p>
    <w:p w:rsidR="00022C63" w:rsidRDefault="00022C63" w:rsidP="00DD2814">
      <w:pPr>
        <w:spacing w:line="276" w:lineRule="auto"/>
        <w:jc w:val="center"/>
        <w:rPr>
          <w:b/>
          <w:lang w:val="x-none"/>
        </w:rPr>
      </w:pPr>
      <w:r>
        <w:rPr>
          <w:b/>
          <w:lang w:val="x-none"/>
        </w:rPr>
        <w:t>Rezolutīvā daļa</w:t>
      </w:r>
    </w:p>
    <w:p w:rsidR="00022C63" w:rsidRDefault="00022C63" w:rsidP="00DD2814">
      <w:pPr>
        <w:spacing w:line="276" w:lineRule="auto"/>
        <w:ind w:firstLine="709"/>
        <w:jc w:val="both"/>
      </w:pPr>
    </w:p>
    <w:p w:rsidR="00022C63" w:rsidRDefault="00022C63" w:rsidP="00481F97">
      <w:pPr>
        <w:spacing w:line="276" w:lineRule="auto"/>
        <w:ind w:firstLine="567"/>
        <w:jc w:val="both"/>
      </w:pPr>
      <w:r>
        <w:t>Pamatojoties uz Civilprocesa likuma 444.</w:t>
      </w:r>
      <w:r>
        <w:rPr>
          <w:vertAlign w:val="superscript"/>
        </w:rPr>
        <w:t>1 </w:t>
      </w:r>
      <w:r>
        <w:t>panta otro daļu, 447.</w:t>
      </w:r>
      <w:r>
        <w:rPr>
          <w:vertAlign w:val="superscript"/>
        </w:rPr>
        <w:t>1 </w:t>
      </w:r>
      <w:r>
        <w:t>pantu, 448.panta pirmās daļas 2.punktu, un 449.panta pirmo daļu, Senāts</w:t>
      </w:r>
    </w:p>
    <w:p w:rsidR="00022C63" w:rsidRDefault="00022C63" w:rsidP="00DD2814">
      <w:pPr>
        <w:spacing w:line="276" w:lineRule="auto"/>
        <w:ind w:firstLine="709"/>
        <w:jc w:val="both"/>
      </w:pPr>
    </w:p>
    <w:p w:rsidR="00022C63" w:rsidRDefault="00022C63" w:rsidP="00DD2814">
      <w:pPr>
        <w:spacing w:line="276" w:lineRule="auto"/>
        <w:jc w:val="center"/>
      </w:pPr>
      <w:r>
        <w:rPr>
          <w:b/>
        </w:rPr>
        <w:t>nolēma</w:t>
      </w:r>
    </w:p>
    <w:p w:rsidR="00022C63" w:rsidRDefault="00022C63" w:rsidP="00DD2814">
      <w:pPr>
        <w:spacing w:line="276" w:lineRule="auto"/>
        <w:ind w:firstLine="709"/>
        <w:jc w:val="center"/>
      </w:pPr>
    </w:p>
    <w:p w:rsidR="00022C63" w:rsidRDefault="00022C63" w:rsidP="00481F97">
      <w:pPr>
        <w:spacing w:line="276" w:lineRule="auto"/>
        <w:ind w:firstLine="567"/>
        <w:jc w:val="both"/>
        <w:rPr>
          <w:lang w:eastAsia="en-US"/>
        </w:rPr>
      </w:pPr>
      <w:r>
        <w:t xml:space="preserve">atcelt </w:t>
      </w:r>
      <w:r w:rsidR="00F015CF">
        <w:t>Rīgas</w:t>
      </w:r>
      <w:r>
        <w:t xml:space="preserve"> apgabaltiesas Civillietu tiesas kolēģijas 2018.gada </w:t>
      </w:r>
      <w:r w:rsidR="00F015CF">
        <w:t>31</w:t>
      </w:r>
      <w:r>
        <w:t>.</w:t>
      </w:r>
      <w:r w:rsidR="00F015CF">
        <w:t>oktobra</w:t>
      </w:r>
      <w:r>
        <w:t xml:space="preserve"> lēmumu un nodot jautājumu jaunai izskatīšanai </w:t>
      </w:r>
      <w:r w:rsidR="00F015CF">
        <w:t>Rīgas</w:t>
      </w:r>
      <w:r>
        <w:t xml:space="preserve"> apgabaltiesai.</w:t>
      </w:r>
    </w:p>
    <w:p w:rsidR="00022C63" w:rsidRDefault="00022C63" w:rsidP="00481F97">
      <w:pPr>
        <w:spacing w:line="276" w:lineRule="auto"/>
        <w:ind w:firstLine="567"/>
        <w:jc w:val="both"/>
      </w:pPr>
      <w:r>
        <w:t xml:space="preserve">Atmaksāt </w:t>
      </w:r>
      <w:r w:rsidR="00F015CF">
        <w:t>AS </w:t>
      </w:r>
      <w:r>
        <w:t>„</w:t>
      </w:r>
      <w:r w:rsidR="00F015CF">
        <w:t>S</w:t>
      </w:r>
      <w:r w:rsidR="00837F82">
        <w:t>EB </w:t>
      </w:r>
      <w:r w:rsidR="00F015CF">
        <w:t>banka</w:t>
      </w:r>
      <w:r w:rsidR="00837F82">
        <w:t>” drošības naudu 70 </w:t>
      </w:r>
      <w:r>
        <w:t xml:space="preserve">EUR (septiņdesmit </w:t>
      </w:r>
      <w:proofErr w:type="spellStart"/>
      <w:r>
        <w:rPr>
          <w:i/>
        </w:rPr>
        <w:t>euro</w:t>
      </w:r>
      <w:proofErr w:type="spellEnd"/>
      <w:r>
        <w:t>).</w:t>
      </w:r>
    </w:p>
    <w:p w:rsidR="00022C63" w:rsidRDefault="00022C63" w:rsidP="00481F97">
      <w:pPr>
        <w:spacing w:line="276" w:lineRule="auto"/>
        <w:ind w:firstLine="567"/>
        <w:jc w:val="both"/>
      </w:pPr>
      <w:r>
        <w:t>Lēmums nav pārsūdzams.</w:t>
      </w:r>
    </w:p>
    <w:sectPr w:rsidR="00022C63" w:rsidSect="003D107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D7A" w:rsidRDefault="00166D7A" w:rsidP="009E5AA1">
      <w:r>
        <w:separator/>
      </w:r>
    </w:p>
  </w:endnote>
  <w:endnote w:type="continuationSeparator" w:id="0">
    <w:p w:rsidR="00166D7A" w:rsidRDefault="00166D7A" w:rsidP="009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B7" w:rsidRDefault="00FC1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24176"/>
      <w:docPartObj>
        <w:docPartGallery w:val="Page Numbers (Bottom of Page)"/>
        <w:docPartUnique/>
      </w:docPartObj>
    </w:sdtPr>
    <w:sdtEndPr/>
    <w:sdtContent>
      <w:sdt>
        <w:sdtPr>
          <w:id w:val="1728636285"/>
          <w:docPartObj>
            <w:docPartGallery w:val="Page Numbers (Top of Page)"/>
            <w:docPartUnique/>
          </w:docPartObj>
        </w:sdtPr>
        <w:sdtEndPr/>
        <w:sdtContent>
          <w:p w:rsidR="00FC1AB7" w:rsidRDefault="00FC1AB7" w:rsidP="00E8391F">
            <w:pPr>
              <w:pStyle w:val="Footer"/>
              <w:jc w:val="center"/>
            </w:pPr>
            <w:r w:rsidRPr="00381F9D">
              <w:rPr>
                <w:bCs/>
              </w:rPr>
              <w:fldChar w:fldCharType="begin"/>
            </w:r>
            <w:r w:rsidRPr="00381F9D">
              <w:rPr>
                <w:bCs/>
              </w:rPr>
              <w:instrText xml:space="preserve"> PAGE </w:instrText>
            </w:r>
            <w:r w:rsidRPr="00381F9D">
              <w:rPr>
                <w:bCs/>
              </w:rPr>
              <w:fldChar w:fldCharType="separate"/>
            </w:r>
            <w:r w:rsidR="00C055C4">
              <w:rPr>
                <w:bCs/>
                <w:noProof/>
              </w:rPr>
              <w:t>3</w:t>
            </w:r>
            <w:r w:rsidRPr="00381F9D">
              <w:rPr>
                <w:bCs/>
              </w:rPr>
              <w:fldChar w:fldCharType="end"/>
            </w:r>
            <w:r w:rsidRPr="00381F9D">
              <w:t xml:space="preserve"> no </w:t>
            </w:r>
            <w:r w:rsidRPr="00381F9D">
              <w:rPr>
                <w:bCs/>
              </w:rPr>
              <w:fldChar w:fldCharType="begin"/>
            </w:r>
            <w:r w:rsidRPr="00381F9D">
              <w:rPr>
                <w:bCs/>
              </w:rPr>
              <w:instrText xml:space="preserve"> NUMPAGES  </w:instrText>
            </w:r>
            <w:r w:rsidRPr="00381F9D">
              <w:rPr>
                <w:bCs/>
              </w:rPr>
              <w:fldChar w:fldCharType="separate"/>
            </w:r>
            <w:r w:rsidR="00C055C4">
              <w:rPr>
                <w:bCs/>
                <w:noProof/>
              </w:rPr>
              <w:t>4</w:t>
            </w:r>
            <w:r w:rsidRPr="00381F9D">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B7" w:rsidRDefault="00FC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D7A" w:rsidRDefault="00166D7A" w:rsidP="009E5AA1">
      <w:r>
        <w:separator/>
      </w:r>
    </w:p>
  </w:footnote>
  <w:footnote w:type="continuationSeparator" w:id="0">
    <w:p w:rsidR="00166D7A" w:rsidRDefault="00166D7A" w:rsidP="009E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B7" w:rsidRDefault="00FC1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B7" w:rsidRPr="00E8391F" w:rsidRDefault="00FC1AB7" w:rsidP="00E83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B7" w:rsidRDefault="00FC1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06BB"/>
    <w:multiLevelType w:val="hybridMultilevel"/>
    <w:tmpl w:val="D93C57C8"/>
    <w:lvl w:ilvl="0" w:tplc="4260D8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921B99"/>
    <w:multiLevelType w:val="hybridMultilevel"/>
    <w:tmpl w:val="F662D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97"/>
    <w:rsid w:val="000059E5"/>
    <w:rsid w:val="000154ED"/>
    <w:rsid w:val="00022C63"/>
    <w:rsid w:val="0002497A"/>
    <w:rsid w:val="00025BB2"/>
    <w:rsid w:val="00032BA8"/>
    <w:rsid w:val="000353F5"/>
    <w:rsid w:val="00035498"/>
    <w:rsid w:val="00037637"/>
    <w:rsid w:val="00037A40"/>
    <w:rsid w:val="00045595"/>
    <w:rsid w:val="00047267"/>
    <w:rsid w:val="0005055C"/>
    <w:rsid w:val="000521ED"/>
    <w:rsid w:val="00054792"/>
    <w:rsid w:val="00054EFB"/>
    <w:rsid w:val="00062DCE"/>
    <w:rsid w:val="000648CA"/>
    <w:rsid w:val="0006580A"/>
    <w:rsid w:val="00084261"/>
    <w:rsid w:val="000853AF"/>
    <w:rsid w:val="00092F31"/>
    <w:rsid w:val="0009558F"/>
    <w:rsid w:val="000B5A9F"/>
    <w:rsid w:val="000C2138"/>
    <w:rsid w:val="000C43A4"/>
    <w:rsid w:val="000C49DD"/>
    <w:rsid w:val="000C51C3"/>
    <w:rsid w:val="000D194D"/>
    <w:rsid w:val="000D54AB"/>
    <w:rsid w:val="000D669F"/>
    <w:rsid w:val="000D6B01"/>
    <w:rsid w:val="000E1A8F"/>
    <w:rsid w:val="000E4636"/>
    <w:rsid w:val="000E5D76"/>
    <w:rsid w:val="000F1098"/>
    <w:rsid w:val="000F197F"/>
    <w:rsid w:val="000F2749"/>
    <w:rsid w:val="000F436B"/>
    <w:rsid w:val="000F47BF"/>
    <w:rsid w:val="000F5870"/>
    <w:rsid w:val="000F7589"/>
    <w:rsid w:val="00102B8A"/>
    <w:rsid w:val="00106488"/>
    <w:rsid w:val="001075FE"/>
    <w:rsid w:val="00110E45"/>
    <w:rsid w:val="00121E6A"/>
    <w:rsid w:val="0012518A"/>
    <w:rsid w:val="00130644"/>
    <w:rsid w:val="00134DA4"/>
    <w:rsid w:val="0013541E"/>
    <w:rsid w:val="00140ECC"/>
    <w:rsid w:val="00142B91"/>
    <w:rsid w:val="00145D81"/>
    <w:rsid w:val="00155723"/>
    <w:rsid w:val="00155A38"/>
    <w:rsid w:val="00155F5C"/>
    <w:rsid w:val="0016326C"/>
    <w:rsid w:val="00165979"/>
    <w:rsid w:val="00166D7A"/>
    <w:rsid w:val="00173CA8"/>
    <w:rsid w:val="00175A23"/>
    <w:rsid w:val="001867AE"/>
    <w:rsid w:val="00187922"/>
    <w:rsid w:val="00192134"/>
    <w:rsid w:val="00193537"/>
    <w:rsid w:val="00195D59"/>
    <w:rsid w:val="00197086"/>
    <w:rsid w:val="001A2EAD"/>
    <w:rsid w:val="001B3FE1"/>
    <w:rsid w:val="001C2218"/>
    <w:rsid w:val="001C568F"/>
    <w:rsid w:val="001D006A"/>
    <w:rsid w:val="001D1397"/>
    <w:rsid w:val="001D27B4"/>
    <w:rsid w:val="001D4C00"/>
    <w:rsid w:val="001D61C4"/>
    <w:rsid w:val="001D65D1"/>
    <w:rsid w:val="001E24F8"/>
    <w:rsid w:val="001E6793"/>
    <w:rsid w:val="001F0061"/>
    <w:rsid w:val="001F5520"/>
    <w:rsid w:val="001F7DB9"/>
    <w:rsid w:val="00200080"/>
    <w:rsid w:val="002034DC"/>
    <w:rsid w:val="002115BC"/>
    <w:rsid w:val="002137D4"/>
    <w:rsid w:val="0021416E"/>
    <w:rsid w:val="00220778"/>
    <w:rsid w:val="00223F65"/>
    <w:rsid w:val="00226CAF"/>
    <w:rsid w:val="002307A1"/>
    <w:rsid w:val="00234DD4"/>
    <w:rsid w:val="00240B05"/>
    <w:rsid w:val="00244AAB"/>
    <w:rsid w:val="00245C9D"/>
    <w:rsid w:val="002462DA"/>
    <w:rsid w:val="002560A6"/>
    <w:rsid w:val="00261424"/>
    <w:rsid w:val="00261D74"/>
    <w:rsid w:val="0026269D"/>
    <w:rsid w:val="0026291F"/>
    <w:rsid w:val="00262B22"/>
    <w:rsid w:val="00264A58"/>
    <w:rsid w:val="00273464"/>
    <w:rsid w:val="00273CFB"/>
    <w:rsid w:val="00274A5D"/>
    <w:rsid w:val="00274B2E"/>
    <w:rsid w:val="0027757F"/>
    <w:rsid w:val="002801B1"/>
    <w:rsid w:val="00292893"/>
    <w:rsid w:val="002A1BFA"/>
    <w:rsid w:val="002A6574"/>
    <w:rsid w:val="002A6D75"/>
    <w:rsid w:val="002B04DC"/>
    <w:rsid w:val="002B63AF"/>
    <w:rsid w:val="002C2273"/>
    <w:rsid w:val="002C430B"/>
    <w:rsid w:val="002C505B"/>
    <w:rsid w:val="002D3CB6"/>
    <w:rsid w:val="002D6A68"/>
    <w:rsid w:val="002E07CF"/>
    <w:rsid w:val="002F4EC7"/>
    <w:rsid w:val="0030256C"/>
    <w:rsid w:val="003030E3"/>
    <w:rsid w:val="003039F1"/>
    <w:rsid w:val="00312D3A"/>
    <w:rsid w:val="00322BD4"/>
    <w:rsid w:val="00344A18"/>
    <w:rsid w:val="0035113D"/>
    <w:rsid w:val="00351DD9"/>
    <w:rsid w:val="00352155"/>
    <w:rsid w:val="003728FE"/>
    <w:rsid w:val="00381F9D"/>
    <w:rsid w:val="0038499C"/>
    <w:rsid w:val="003860E0"/>
    <w:rsid w:val="00386F6E"/>
    <w:rsid w:val="00391B57"/>
    <w:rsid w:val="00396C0B"/>
    <w:rsid w:val="003A231B"/>
    <w:rsid w:val="003A382E"/>
    <w:rsid w:val="003B2361"/>
    <w:rsid w:val="003B7A76"/>
    <w:rsid w:val="003C1B4E"/>
    <w:rsid w:val="003C5B22"/>
    <w:rsid w:val="003D1078"/>
    <w:rsid w:val="003D2129"/>
    <w:rsid w:val="003D4FDB"/>
    <w:rsid w:val="003D52FB"/>
    <w:rsid w:val="003D66E6"/>
    <w:rsid w:val="003D750D"/>
    <w:rsid w:val="003E48C7"/>
    <w:rsid w:val="003E5672"/>
    <w:rsid w:val="003F1768"/>
    <w:rsid w:val="00410AB6"/>
    <w:rsid w:val="00410DEF"/>
    <w:rsid w:val="00415E74"/>
    <w:rsid w:val="00416A94"/>
    <w:rsid w:val="0043001A"/>
    <w:rsid w:val="004352AF"/>
    <w:rsid w:val="00440CFA"/>
    <w:rsid w:val="00442E10"/>
    <w:rsid w:val="00451799"/>
    <w:rsid w:val="00455753"/>
    <w:rsid w:val="00456684"/>
    <w:rsid w:val="00456ED9"/>
    <w:rsid w:val="004602DB"/>
    <w:rsid w:val="0046420B"/>
    <w:rsid w:val="00465AB2"/>
    <w:rsid w:val="00466F80"/>
    <w:rsid w:val="00481F97"/>
    <w:rsid w:val="00482F9D"/>
    <w:rsid w:val="00485099"/>
    <w:rsid w:val="0048609E"/>
    <w:rsid w:val="00493AB7"/>
    <w:rsid w:val="004942FF"/>
    <w:rsid w:val="00496CE8"/>
    <w:rsid w:val="004A3046"/>
    <w:rsid w:val="004A33D8"/>
    <w:rsid w:val="004A37DB"/>
    <w:rsid w:val="004A380F"/>
    <w:rsid w:val="004A3EA0"/>
    <w:rsid w:val="004A524E"/>
    <w:rsid w:val="004B48DB"/>
    <w:rsid w:val="004B6842"/>
    <w:rsid w:val="004C17F0"/>
    <w:rsid w:val="004C4F5C"/>
    <w:rsid w:val="004D36C6"/>
    <w:rsid w:val="004E03CD"/>
    <w:rsid w:val="004E1A04"/>
    <w:rsid w:val="004E6EA2"/>
    <w:rsid w:val="004F5D63"/>
    <w:rsid w:val="005222A5"/>
    <w:rsid w:val="0052593A"/>
    <w:rsid w:val="00533C9F"/>
    <w:rsid w:val="00541C3C"/>
    <w:rsid w:val="00543024"/>
    <w:rsid w:val="00546814"/>
    <w:rsid w:val="005524AA"/>
    <w:rsid w:val="00561413"/>
    <w:rsid w:val="00562AD1"/>
    <w:rsid w:val="005638D3"/>
    <w:rsid w:val="00565416"/>
    <w:rsid w:val="00566C7B"/>
    <w:rsid w:val="00576184"/>
    <w:rsid w:val="00596FC5"/>
    <w:rsid w:val="005B5F02"/>
    <w:rsid w:val="005C691B"/>
    <w:rsid w:val="005C7F79"/>
    <w:rsid w:val="005D6BB3"/>
    <w:rsid w:val="005F1109"/>
    <w:rsid w:val="005F740C"/>
    <w:rsid w:val="006009B4"/>
    <w:rsid w:val="00601115"/>
    <w:rsid w:val="00624D5C"/>
    <w:rsid w:val="0063286F"/>
    <w:rsid w:val="00643FC9"/>
    <w:rsid w:val="00655BE9"/>
    <w:rsid w:val="00657360"/>
    <w:rsid w:val="00670695"/>
    <w:rsid w:val="0067198E"/>
    <w:rsid w:val="00674A19"/>
    <w:rsid w:val="00675600"/>
    <w:rsid w:val="006815AB"/>
    <w:rsid w:val="0069570E"/>
    <w:rsid w:val="0069664F"/>
    <w:rsid w:val="006B51DE"/>
    <w:rsid w:val="006B57D6"/>
    <w:rsid w:val="006D0851"/>
    <w:rsid w:val="006D19C4"/>
    <w:rsid w:val="006D75B4"/>
    <w:rsid w:val="006D7F1F"/>
    <w:rsid w:val="006E084E"/>
    <w:rsid w:val="006E513E"/>
    <w:rsid w:val="006E7072"/>
    <w:rsid w:val="006F12D0"/>
    <w:rsid w:val="006F2D9E"/>
    <w:rsid w:val="006F5BA9"/>
    <w:rsid w:val="00705A3E"/>
    <w:rsid w:val="00715E7E"/>
    <w:rsid w:val="0072194A"/>
    <w:rsid w:val="007279B6"/>
    <w:rsid w:val="00732DB9"/>
    <w:rsid w:val="00740BB6"/>
    <w:rsid w:val="0075156E"/>
    <w:rsid w:val="00752D44"/>
    <w:rsid w:val="00756B2F"/>
    <w:rsid w:val="00764850"/>
    <w:rsid w:val="00764FF5"/>
    <w:rsid w:val="00776874"/>
    <w:rsid w:val="007802D2"/>
    <w:rsid w:val="00780A13"/>
    <w:rsid w:val="00781F92"/>
    <w:rsid w:val="00782187"/>
    <w:rsid w:val="00786E61"/>
    <w:rsid w:val="0079379B"/>
    <w:rsid w:val="0079384C"/>
    <w:rsid w:val="007A46A5"/>
    <w:rsid w:val="007B1A77"/>
    <w:rsid w:val="007B25BB"/>
    <w:rsid w:val="007B642C"/>
    <w:rsid w:val="007C3454"/>
    <w:rsid w:val="007D18C9"/>
    <w:rsid w:val="007D50F7"/>
    <w:rsid w:val="007D526E"/>
    <w:rsid w:val="007D7AD4"/>
    <w:rsid w:val="00800612"/>
    <w:rsid w:val="00804751"/>
    <w:rsid w:val="00816B1D"/>
    <w:rsid w:val="008171F7"/>
    <w:rsid w:val="008225CA"/>
    <w:rsid w:val="00824D3C"/>
    <w:rsid w:val="00826941"/>
    <w:rsid w:val="00837F82"/>
    <w:rsid w:val="00841762"/>
    <w:rsid w:val="00846756"/>
    <w:rsid w:val="008507DA"/>
    <w:rsid w:val="00853729"/>
    <w:rsid w:val="00854361"/>
    <w:rsid w:val="0085460C"/>
    <w:rsid w:val="00854ECA"/>
    <w:rsid w:val="008553A4"/>
    <w:rsid w:val="0086376B"/>
    <w:rsid w:val="008743BA"/>
    <w:rsid w:val="00880810"/>
    <w:rsid w:val="008A1788"/>
    <w:rsid w:val="008A320B"/>
    <w:rsid w:val="008A3363"/>
    <w:rsid w:val="008A5934"/>
    <w:rsid w:val="008B31C4"/>
    <w:rsid w:val="008B72CF"/>
    <w:rsid w:val="008B7D8F"/>
    <w:rsid w:val="008C090A"/>
    <w:rsid w:val="008E749B"/>
    <w:rsid w:val="008F7002"/>
    <w:rsid w:val="00901F42"/>
    <w:rsid w:val="0090518E"/>
    <w:rsid w:val="00914A31"/>
    <w:rsid w:val="009158A0"/>
    <w:rsid w:val="00916A7F"/>
    <w:rsid w:val="0092005C"/>
    <w:rsid w:val="00924397"/>
    <w:rsid w:val="00924B58"/>
    <w:rsid w:val="00937468"/>
    <w:rsid w:val="00941B1A"/>
    <w:rsid w:val="0095678D"/>
    <w:rsid w:val="00956D7D"/>
    <w:rsid w:val="0096054D"/>
    <w:rsid w:val="00965FA8"/>
    <w:rsid w:val="00966FB2"/>
    <w:rsid w:val="009675A0"/>
    <w:rsid w:val="009710A4"/>
    <w:rsid w:val="00972BF2"/>
    <w:rsid w:val="0097369C"/>
    <w:rsid w:val="0097514F"/>
    <w:rsid w:val="009767F7"/>
    <w:rsid w:val="00976FC8"/>
    <w:rsid w:val="009847B5"/>
    <w:rsid w:val="00997494"/>
    <w:rsid w:val="009B0E46"/>
    <w:rsid w:val="009B543B"/>
    <w:rsid w:val="009B54D1"/>
    <w:rsid w:val="009C124A"/>
    <w:rsid w:val="009C1DAE"/>
    <w:rsid w:val="009C750E"/>
    <w:rsid w:val="009D22AA"/>
    <w:rsid w:val="009E0F5D"/>
    <w:rsid w:val="009E5AA1"/>
    <w:rsid w:val="009E7568"/>
    <w:rsid w:val="009E7A36"/>
    <w:rsid w:val="009F7345"/>
    <w:rsid w:val="00A03520"/>
    <w:rsid w:val="00A103D1"/>
    <w:rsid w:val="00A13873"/>
    <w:rsid w:val="00A15BB0"/>
    <w:rsid w:val="00A17EC8"/>
    <w:rsid w:val="00A21684"/>
    <w:rsid w:val="00A32C61"/>
    <w:rsid w:val="00A35635"/>
    <w:rsid w:val="00A43330"/>
    <w:rsid w:val="00A47C41"/>
    <w:rsid w:val="00A47F77"/>
    <w:rsid w:val="00A53D4B"/>
    <w:rsid w:val="00A603DE"/>
    <w:rsid w:val="00A6282F"/>
    <w:rsid w:val="00A73B58"/>
    <w:rsid w:val="00A804F1"/>
    <w:rsid w:val="00A8138B"/>
    <w:rsid w:val="00A83B0A"/>
    <w:rsid w:val="00A862F3"/>
    <w:rsid w:val="00A96C49"/>
    <w:rsid w:val="00AA247F"/>
    <w:rsid w:val="00AA2499"/>
    <w:rsid w:val="00AC343B"/>
    <w:rsid w:val="00AC6803"/>
    <w:rsid w:val="00AD14E9"/>
    <w:rsid w:val="00AD276B"/>
    <w:rsid w:val="00AD7243"/>
    <w:rsid w:val="00AE4384"/>
    <w:rsid w:val="00AF1067"/>
    <w:rsid w:val="00AF4B25"/>
    <w:rsid w:val="00AF592A"/>
    <w:rsid w:val="00AF7350"/>
    <w:rsid w:val="00B01117"/>
    <w:rsid w:val="00B05F10"/>
    <w:rsid w:val="00B3134C"/>
    <w:rsid w:val="00B317E5"/>
    <w:rsid w:val="00B32E97"/>
    <w:rsid w:val="00B35B02"/>
    <w:rsid w:val="00B35FF5"/>
    <w:rsid w:val="00B371A9"/>
    <w:rsid w:val="00B44037"/>
    <w:rsid w:val="00B4636F"/>
    <w:rsid w:val="00B470B8"/>
    <w:rsid w:val="00B47D83"/>
    <w:rsid w:val="00B50150"/>
    <w:rsid w:val="00B62F39"/>
    <w:rsid w:val="00B67E27"/>
    <w:rsid w:val="00B77C67"/>
    <w:rsid w:val="00B81417"/>
    <w:rsid w:val="00B901CB"/>
    <w:rsid w:val="00B922E2"/>
    <w:rsid w:val="00B92B58"/>
    <w:rsid w:val="00B93DBD"/>
    <w:rsid w:val="00BB3B28"/>
    <w:rsid w:val="00BB41E4"/>
    <w:rsid w:val="00BB6E43"/>
    <w:rsid w:val="00BC1A54"/>
    <w:rsid w:val="00BD0A89"/>
    <w:rsid w:val="00BD3182"/>
    <w:rsid w:val="00BE0830"/>
    <w:rsid w:val="00BE63C6"/>
    <w:rsid w:val="00BE7A12"/>
    <w:rsid w:val="00BF07A3"/>
    <w:rsid w:val="00BF12D7"/>
    <w:rsid w:val="00BF6511"/>
    <w:rsid w:val="00C00603"/>
    <w:rsid w:val="00C00F63"/>
    <w:rsid w:val="00C02568"/>
    <w:rsid w:val="00C0412E"/>
    <w:rsid w:val="00C055C4"/>
    <w:rsid w:val="00C05669"/>
    <w:rsid w:val="00C104C8"/>
    <w:rsid w:val="00C139A9"/>
    <w:rsid w:val="00C221D9"/>
    <w:rsid w:val="00C26A57"/>
    <w:rsid w:val="00C27854"/>
    <w:rsid w:val="00C31B14"/>
    <w:rsid w:val="00C34810"/>
    <w:rsid w:val="00C577EA"/>
    <w:rsid w:val="00C702D0"/>
    <w:rsid w:val="00C837C6"/>
    <w:rsid w:val="00C841B5"/>
    <w:rsid w:val="00C9362C"/>
    <w:rsid w:val="00C9456A"/>
    <w:rsid w:val="00C9589B"/>
    <w:rsid w:val="00CA147B"/>
    <w:rsid w:val="00CB1F33"/>
    <w:rsid w:val="00CB30F6"/>
    <w:rsid w:val="00CB624C"/>
    <w:rsid w:val="00CB6E2F"/>
    <w:rsid w:val="00CF00DA"/>
    <w:rsid w:val="00CF2DBC"/>
    <w:rsid w:val="00CF52A2"/>
    <w:rsid w:val="00CF551C"/>
    <w:rsid w:val="00CF67F4"/>
    <w:rsid w:val="00D024F0"/>
    <w:rsid w:val="00D027E3"/>
    <w:rsid w:val="00D027EE"/>
    <w:rsid w:val="00D15199"/>
    <w:rsid w:val="00D22D25"/>
    <w:rsid w:val="00D31997"/>
    <w:rsid w:val="00D41E12"/>
    <w:rsid w:val="00D421FF"/>
    <w:rsid w:val="00D423BF"/>
    <w:rsid w:val="00D513EB"/>
    <w:rsid w:val="00D52443"/>
    <w:rsid w:val="00D52636"/>
    <w:rsid w:val="00D7005D"/>
    <w:rsid w:val="00D70651"/>
    <w:rsid w:val="00D7715F"/>
    <w:rsid w:val="00D77B25"/>
    <w:rsid w:val="00D82454"/>
    <w:rsid w:val="00D8302A"/>
    <w:rsid w:val="00D8375C"/>
    <w:rsid w:val="00D97017"/>
    <w:rsid w:val="00DA5853"/>
    <w:rsid w:val="00DB3663"/>
    <w:rsid w:val="00DB464E"/>
    <w:rsid w:val="00DC3EC3"/>
    <w:rsid w:val="00DC47D2"/>
    <w:rsid w:val="00DD2814"/>
    <w:rsid w:val="00DD28AB"/>
    <w:rsid w:val="00DD3550"/>
    <w:rsid w:val="00DE0312"/>
    <w:rsid w:val="00DE4603"/>
    <w:rsid w:val="00DE79E7"/>
    <w:rsid w:val="00DF1700"/>
    <w:rsid w:val="00DF3956"/>
    <w:rsid w:val="00DF4765"/>
    <w:rsid w:val="00DF56E7"/>
    <w:rsid w:val="00DF7730"/>
    <w:rsid w:val="00DF7EB3"/>
    <w:rsid w:val="00E033A5"/>
    <w:rsid w:val="00E04F86"/>
    <w:rsid w:val="00E26463"/>
    <w:rsid w:val="00E268FD"/>
    <w:rsid w:val="00E31C3C"/>
    <w:rsid w:val="00E33CDC"/>
    <w:rsid w:val="00E4092E"/>
    <w:rsid w:val="00E4101A"/>
    <w:rsid w:val="00E4109C"/>
    <w:rsid w:val="00E417EA"/>
    <w:rsid w:val="00E4214B"/>
    <w:rsid w:val="00E43279"/>
    <w:rsid w:val="00E454B7"/>
    <w:rsid w:val="00E47162"/>
    <w:rsid w:val="00E47F28"/>
    <w:rsid w:val="00E5228D"/>
    <w:rsid w:val="00E60B7E"/>
    <w:rsid w:val="00E65C81"/>
    <w:rsid w:val="00E670BC"/>
    <w:rsid w:val="00E82FF3"/>
    <w:rsid w:val="00E8391F"/>
    <w:rsid w:val="00E91095"/>
    <w:rsid w:val="00E93A97"/>
    <w:rsid w:val="00EA0CD4"/>
    <w:rsid w:val="00EA6CB5"/>
    <w:rsid w:val="00EA7B85"/>
    <w:rsid w:val="00EB60FE"/>
    <w:rsid w:val="00EC035D"/>
    <w:rsid w:val="00ED06C6"/>
    <w:rsid w:val="00ED4D29"/>
    <w:rsid w:val="00EE1CFA"/>
    <w:rsid w:val="00EE2224"/>
    <w:rsid w:val="00F015CF"/>
    <w:rsid w:val="00F05D0B"/>
    <w:rsid w:val="00F06B63"/>
    <w:rsid w:val="00F22EAB"/>
    <w:rsid w:val="00F237F0"/>
    <w:rsid w:val="00F25C9A"/>
    <w:rsid w:val="00F42BAF"/>
    <w:rsid w:val="00F45E4A"/>
    <w:rsid w:val="00F4674F"/>
    <w:rsid w:val="00F536B7"/>
    <w:rsid w:val="00F55DB4"/>
    <w:rsid w:val="00F71A4D"/>
    <w:rsid w:val="00F757C8"/>
    <w:rsid w:val="00F7739E"/>
    <w:rsid w:val="00F81BCF"/>
    <w:rsid w:val="00F8259E"/>
    <w:rsid w:val="00F82D3D"/>
    <w:rsid w:val="00F835C2"/>
    <w:rsid w:val="00F83D23"/>
    <w:rsid w:val="00F840C0"/>
    <w:rsid w:val="00F901AD"/>
    <w:rsid w:val="00F95941"/>
    <w:rsid w:val="00FA345D"/>
    <w:rsid w:val="00FB00B9"/>
    <w:rsid w:val="00FC1AB7"/>
    <w:rsid w:val="00FC2920"/>
    <w:rsid w:val="00FD0F4E"/>
    <w:rsid w:val="00FD176C"/>
    <w:rsid w:val="00FD251B"/>
    <w:rsid w:val="00FD4101"/>
    <w:rsid w:val="00FD751F"/>
    <w:rsid w:val="00FD7C9E"/>
    <w:rsid w:val="00FE02A1"/>
    <w:rsid w:val="00FE6C80"/>
    <w:rsid w:val="00FF4118"/>
    <w:rsid w:val="00FF7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37407"/>
  <w15:chartTrackingRefBased/>
  <w15:docId w15:val="{C1857458-690C-44C9-B773-62DE68BD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97"/>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2E97"/>
    <w:pPr>
      <w:jc w:val="center"/>
    </w:pPr>
    <w:rPr>
      <w:b/>
      <w:sz w:val="32"/>
      <w:szCs w:val="20"/>
      <w:lang w:val="x-none" w:eastAsia="en-US"/>
    </w:rPr>
  </w:style>
  <w:style w:type="character" w:customStyle="1" w:styleId="TitleChar">
    <w:name w:val="Title Char"/>
    <w:basedOn w:val="DefaultParagraphFont"/>
    <w:link w:val="Title"/>
    <w:rsid w:val="00B32E97"/>
    <w:rPr>
      <w:rFonts w:eastAsia="Times New Roman" w:cs="Times New Roman"/>
      <w:b/>
      <w:sz w:val="32"/>
      <w:szCs w:val="20"/>
      <w:lang w:val="x-none"/>
    </w:rPr>
  </w:style>
  <w:style w:type="table" w:styleId="TableGrid">
    <w:name w:val="Table Grid"/>
    <w:basedOn w:val="TableNormal"/>
    <w:uiPriority w:val="39"/>
    <w:rsid w:val="00175A2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A1"/>
    <w:pPr>
      <w:tabs>
        <w:tab w:val="center" w:pos="4153"/>
        <w:tab w:val="right" w:pos="8306"/>
      </w:tabs>
    </w:pPr>
  </w:style>
  <w:style w:type="character" w:customStyle="1" w:styleId="HeaderChar">
    <w:name w:val="Header Char"/>
    <w:basedOn w:val="DefaultParagraphFont"/>
    <w:link w:val="Header"/>
    <w:uiPriority w:val="99"/>
    <w:rsid w:val="009E5AA1"/>
    <w:rPr>
      <w:rFonts w:eastAsia="Times New Roman" w:cs="Times New Roman"/>
      <w:szCs w:val="24"/>
      <w:lang w:eastAsia="lv-LV"/>
    </w:rPr>
  </w:style>
  <w:style w:type="paragraph" w:styleId="Footer">
    <w:name w:val="footer"/>
    <w:basedOn w:val="Normal"/>
    <w:link w:val="FooterChar"/>
    <w:uiPriority w:val="99"/>
    <w:unhideWhenUsed/>
    <w:rsid w:val="009E5AA1"/>
    <w:pPr>
      <w:tabs>
        <w:tab w:val="center" w:pos="4153"/>
        <w:tab w:val="right" w:pos="8306"/>
      </w:tabs>
    </w:pPr>
  </w:style>
  <w:style w:type="character" w:customStyle="1" w:styleId="FooterChar">
    <w:name w:val="Footer Char"/>
    <w:basedOn w:val="DefaultParagraphFont"/>
    <w:link w:val="Footer"/>
    <w:uiPriority w:val="99"/>
    <w:rsid w:val="009E5AA1"/>
    <w:rPr>
      <w:rFonts w:eastAsia="Times New Roman" w:cs="Times New Roman"/>
      <w:szCs w:val="24"/>
      <w:lang w:eastAsia="lv-LV"/>
    </w:rPr>
  </w:style>
  <w:style w:type="character" w:styleId="Emphasis">
    <w:name w:val="Emphasis"/>
    <w:qFormat/>
    <w:rsid w:val="000E1A8F"/>
    <w:rPr>
      <w:i/>
      <w:iCs/>
    </w:rPr>
  </w:style>
  <w:style w:type="character" w:styleId="Hyperlink">
    <w:name w:val="Hyperlink"/>
    <w:uiPriority w:val="99"/>
    <w:unhideWhenUsed/>
    <w:rsid w:val="000E1A8F"/>
    <w:rPr>
      <w:color w:val="0000FF"/>
      <w:u w:val="single"/>
    </w:rPr>
  </w:style>
  <w:style w:type="table" w:customStyle="1" w:styleId="TableGrid1">
    <w:name w:val="Table Grid1"/>
    <w:basedOn w:val="TableNormal"/>
    <w:uiPriority w:val="39"/>
    <w:rsid w:val="004E1A04"/>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5B4"/>
    <w:pPr>
      <w:ind w:left="720"/>
      <w:contextualSpacing/>
    </w:pPr>
  </w:style>
  <w:style w:type="paragraph" w:styleId="BalloonText">
    <w:name w:val="Balloon Text"/>
    <w:basedOn w:val="Normal"/>
    <w:link w:val="BalloonTextChar"/>
    <w:uiPriority w:val="99"/>
    <w:semiHidden/>
    <w:unhideWhenUsed/>
    <w:rsid w:val="0056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13"/>
    <w:rPr>
      <w:rFonts w:ascii="Segoe UI" w:eastAsia="Times New Roman" w:hAnsi="Segoe UI" w:cs="Segoe UI"/>
      <w:sz w:val="18"/>
      <w:szCs w:val="18"/>
      <w:lang w:eastAsia="lv-LV"/>
    </w:rPr>
  </w:style>
  <w:style w:type="character" w:styleId="Strong">
    <w:name w:val="Strong"/>
    <w:basedOn w:val="DefaultParagraphFont"/>
    <w:uiPriority w:val="22"/>
    <w:qFormat/>
    <w:rsid w:val="00671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84904">
      <w:bodyDiv w:val="1"/>
      <w:marLeft w:val="0"/>
      <w:marRight w:val="0"/>
      <w:marTop w:val="0"/>
      <w:marBottom w:val="0"/>
      <w:divBdr>
        <w:top w:val="none" w:sz="0" w:space="0" w:color="auto"/>
        <w:left w:val="none" w:sz="0" w:space="0" w:color="auto"/>
        <w:bottom w:val="none" w:sz="0" w:space="0" w:color="auto"/>
        <w:right w:val="none" w:sz="0" w:space="0" w:color="auto"/>
      </w:divBdr>
    </w:div>
    <w:div w:id="1728920236">
      <w:bodyDiv w:val="1"/>
      <w:marLeft w:val="0"/>
      <w:marRight w:val="0"/>
      <w:marTop w:val="0"/>
      <w:marBottom w:val="0"/>
      <w:divBdr>
        <w:top w:val="none" w:sz="0" w:space="0" w:color="auto"/>
        <w:left w:val="none" w:sz="0" w:space="0" w:color="auto"/>
        <w:bottom w:val="none" w:sz="0" w:space="0" w:color="auto"/>
        <w:right w:val="none" w:sz="0" w:space="0" w:color="auto"/>
      </w:divBdr>
    </w:div>
    <w:div w:id="19569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2A57-FC95-41DD-9D8D-0D41E7E1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7222</Words>
  <Characters>4118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14</cp:revision>
  <dcterms:created xsi:type="dcterms:W3CDTF">2019-03-25T08:29:00Z</dcterms:created>
  <dcterms:modified xsi:type="dcterms:W3CDTF">2019-05-27T06:23:00Z</dcterms:modified>
</cp:coreProperties>
</file>