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BE7" w:rsidRDefault="00591BE7" w:rsidP="00B05E60">
      <w:pPr>
        <w:autoSpaceDE w:val="0"/>
        <w:autoSpaceDN w:val="0"/>
        <w:spacing w:line="276" w:lineRule="auto"/>
        <w:jc w:val="both"/>
        <w:rPr>
          <w:b/>
          <w:bCs/>
          <w:sz w:val="22"/>
          <w:szCs w:val="22"/>
        </w:rPr>
      </w:pPr>
      <w:r>
        <w:rPr>
          <w:rFonts w:ascii="TimesNewRomanPSMT" w:hAnsi="TimesNewRomanPSMT"/>
          <w:b/>
          <w:bCs/>
        </w:rPr>
        <w:t xml:space="preserve">Jēdziens „apdrošināšanas gadījums” Sauszemes transportlīdzekļu īpašnieku civiltiesiskās atbildības obligātās apdrošināšanas likuma </w:t>
      </w:r>
      <w:proofErr w:type="gramStart"/>
      <w:r>
        <w:rPr>
          <w:rFonts w:ascii="TimesNewRomanPSMT" w:hAnsi="TimesNewRomanPSMT"/>
          <w:b/>
          <w:bCs/>
        </w:rPr>
        <w:t>1.panta</w:t>
      </w:r>
      <w:proofErr w:type="gramEnd"/>
      <w:r>
        <w:rPr>
          <w:rFonts w:ascii="TimesNewRomanPSMT" w:hAnsi="TimesNewRomanPSMT"/>
          <w:b/>
          <w:bCs/>
        </w:rPr>
        <w:t xml:space="preserve"> 2.punkta izpratnē</w:t>
      </w:r>
    </w:p>
    <w:p w:rsidR="00591BE7" w:rsidRDefault="00591BE7" w:rsidP="00B05E60">
      <w:pPr>
        <w:autoSpaceDE w:val="0"/>
        <w:autoSpaceDN w:val="0"/>
        <w:spacing w:line="276" w:lineRule="auto"/>
        <w:ind w:firstLine="567"/>
        <w:jc w:val="both"/>
        <w:rPr>
          <w:rFonts w:ascii="TimesNewRomanPSMT" w:hAnsi="TimesNewRomanPSMT"/>
        </w:rPr>
      </w:pPr>
      <w:bookmarkStart w:id="0" w:name="_Hlk6302443"/>
      <w:r>
        <w:rPr>
          <w:rFonts w:ascii="TimesNewRomanPSMT" w:hAnsi="TimesNewRomanPSMT"/>
        </w:rPr>
        <w:t xml:space="preserve">Jēdziens „apdrošināšanas gadījums” Sauszemes transportlīdzekļu īpašnieku civiltiesiskās atbildības obligātās apdrošināšanas likuma </w:t>
      </w:r>
      <w:proofErr w:type="gramStart"/>
      <w:r>
        <w:rPr>
          <w:rFonts w:ascii="TimesNewRomanPSMT" w:hAnsi="TimesNewRomanPSMT"/>
        </w:rPr>
        <w:t>1.panta</w:t>
      </w:r>
      <w:proofErr w:type="gramEnd"/>
      <w:r>
        <w:rPr>
          <w:rFonts w:ascii="TimesNewRomanPSMT" w:hAnsi="TimesNewRomanPSMT"/>
        </w:rPr>
        <w:t xml:space="preserve"> 2.punkta izpratnē</w:t>
      </w:r>
      <w:bookmarkEnd w:id="0"/>
      <w:r>
        <w:rPr>
          <w:rFonts w:ascii="TimesNewRomanPSMT" w:hAnsi="TimesNewRomanPSMT"/>
        </w:rPr>
        <w:t xml:space="preserve"> aptver kaitējuma nodarīšanu ar jebkādu transportlīdzekļa izmantošanu, kas atbilst šī transportlīdzekļa parastajai funkcijai, neatkarīgi no tā, vai viens vai abi transportlīdzekļi atradās kustībā un vai automašīnas durvis, iekāpjot tajā vai izkāpjot no tās, atvēris vadītājs vai pasažieris.</w:t>
      </w:r>
    </w:p>
    <w:p w:rsidR="00591BE7" w:rsidRDefault="00591BE7" w:rsidP="00B05E60">
      <w:pPr>
        <w:spacing w:line="276" w:lineRule="auto"/>
        <w:ind w:firstLine="567"/>
        <w:jc w:val="both"/>
        <w:rPr>
          <w:rFonts w:ascii="Calibri" w:hAnsi="Calibri"/>
        </w:rPr>
      </w:pPr>
      <w:r>
        <w:rPr>
          <w:rFonts w:ascii="TimesNewRomanPSMT" w:hAnsi="TimesNewRomanPSMT"/>
        </w:rPr>
        <w:t xml:space="preserve">Savukārt Ceļu satiksmes likuma </w:t>
      </w:r>
      <w:proofErr w:type="gramStart"/>
      <w:r>
        <w:rPr>
          <w:rFonts w:ascii="TimesNewRomanPSMT" w:hAnsi="TimesNewRomanPSMT"/>
        </w:rPr>
        <w:t>1.panta</w:t>
      </w:r>
      <w:proofErr w:type="gramEnd"/>
      <w:r>
        <w:rPr>
          <w:rFonts w:ascii="TimesNewRomanPSMT" w:hAnsi="TimesNewRomanPSMT"/>
        </w:rPr>
        <w:t xml:space="preserve"> 7.punktā noteiktā ceļu satiksmes negadījuma definīcija jēdziena „apdrošināšanas gadījums” iztulkošanā izmantojama tiktāl, ciktāl tā ir saskanīga ar šī jēdziena izpratni Eiropas Savienības tiesībās.</w:t>
      </w:r>
    </w:p>
    <w:p w:rsidR="00AB304F" w:rsidRDefault="00AB304F" w:rsidP="00B05E60">
      <w:pPr>
        <w:spacing w:line="276" w:lineRule="auto"/>
        <w:jc w:val="both"/>
      </w:pPr>
    </w:p>
    <w:p w:rsidR="00591BE7" w:rsidRPr="005D7E61" w:rsidRDefault="00591BE7" w:rsidP="00B05E60">
      <w:pPr>
        <w:shd w:val="clear" w:color="auto" w:fill="FFFFFF"/>
        <w:spacing w:line="276" w:lineRule="auto"/>
        <w:jc w:val="center"/>
        <w:rPr>
          <w:rStyle w:val="Strong"/>
        </w:rPr>
      </w:pPr>
      <w:r w:rsidRPr="005D7E61">
        <w:rPr>
          <w:rStyle w:val="Strong"/>
          <w:color w:val="000000"/>
        </w:rPr>
        <w:t xml:space="preserve">Latvijas </w:t>
      </w:r>
      <w:r w:rsidRPr="005D7E61">
        <w:rPr>
          <w:rStyle w:val="Strong"/>
        </w:rPr>
        <w:t>Republikas Senāta</w:t>
      </w:r>
    </w:p>
    <w:p w:rsidR="00591BE7" w:rsidRPr="005D7E61" w:rsidRDefault="00591BE7" w:rsidP="00B05E60">
      <w:pPr>
        <w:shd w:val="clear" w:color="auto" w:fill="FFFFFF"/>
        <w:spacing w:line="276" w:lineRule="auto"/>
        <w:jc w:val="center"/>
        <w:rPr>
          <w:rStyle w:val="Strong"/>
          <w:color w:val="000000"/>
        </w:rPr>
      </w:pPr>
      <w:r w:rsidRPr="005D7E61">
        <w:rPr>
          <w:rStyle w:val="Strong"/>
          <w:color w:val="000000"/>
        </w:rPr>
        <w:t xml:space="preserve">Civillietu departamenta </w:t>
      </w:r>
    </w:p>
    <w:p w:rsidR="00591BE7" w:rsidRPr="005D7E61" w:rsidRDefault="00591BE7" w:rsidP="00B05E60">
      <w:pPr>
        <w:shd w:val="clear" w:color="auto" w:fill="FFFFFF"/>
        <w:spacing w:line="276" w:lineRule="auto"/>
        <w:jc w:val="center"/>
        <w:rPr>
          <w:rStyle w:val="Strong"/>
          <w:color w:val="000000"/>
        </w:rPr>
      </w:pPr>
      <w:proofErr w:type="gramStart"/>
      <w:r w:rsidRPr="005D7E61">
        <w:rPr>
          <w:rStyle w:val="Strong"/>
          <w:color w:val="000000"/>
        </w:rPr>
        <w:t>201</w:t>
      </w:r>
      <w:r>
        <w:rPr>
          <w:rStyle w:val="Strong"/>
          <w:color w:val="000000"/>
        </w:rPr>
        <w:t>9</w:t>
      </w:r>
      <w:r w:rsidRPr="005D7E61">
        <w:rPr>
          <w:rStyle w:val="Strong"/>
          <w:color w:val="000000"/>
        </w:rPr>
        <w:t>.gada</w:t>
      </w:r>
      <w:proofErr w:type="gramEnd"/>
      <w:r w:rsidRPr="005D7E61">
        <w:rPr>
          <w:rStyle w:val="Strong"/>
          <w:color w:val="000000"/>
        </w:rPr>
        <w:t xml:space="preserve"> </w:t>
      </w:r>
      <w:r>
        <w:rPr>
          <w:rStyle w:val="Strong"/>
          <w:color w:val="000000"/>
        </w:rPr>
        <w:t>16</w:t>
      </w:r>
      <w:r w:rsidRPr="005D7E61">
        <w:rPr>
          <w:rStyle w:val="Strong"/>
          <w:color w:val="000000"/>
        </w:rPr>
        <w:t>.a</w:t>
      </w:r>
      <w:r>
        <w:rPr>
          <w:rStyle w:val="Strong"/>
          <w:color w:val="000000"/>
        </w:rPr>
        <w:t>prīļa</w:t>
      </w:r>
      <w:r w:rsidRPr="005D7E61">
        <w:rPr>
          <w:rStyle w:val="Strong"/>
          <w:color w:val="000000"/>
        </w:rPr>
        <w:t xml:space="preserve"> </w:t>
      </w:r>
    </w:p>
    <w:p w:rsidR="00591BE7" w:rsidRPr="005D7E61" w:rsidRDefault="00591BE7" w:rsidP="00B05E60">
      <w:pPr>
        <w:shd w:val="clear" w:color="auto" w:fill="FFFFFF"/>
        <w:spacing w:line="276" w:lineRule="auto"/>
        <w:jc w:val="center"/>
        <w:rPr>
          <w:rStyle w:val="Strong"/>
          <w:color w:val="000000"/>
        </w:rPr>
      </w:pPr>
      <w:r w:rsidRPr="005D7E61">
        <w:rPr>
          <w:rStyle w:val="Strong"/>
          <w:color w:val="000000"/>
        </w:rPr>
        <w:t>SPRIEDUMS</w:t>
      </w:r>
    </w:p>
    <w:p w:rsidR="00591BE7" w:rsidRPr="005D7E61" w:rsidRDefault="00591BE7" w:rsidP="00B05E60">
      <w:pPr>
        <w:shd w:val="clear" w:color="auto" w:fill="FFFFFF"/>
        <w:spacing w:line="276" w:lineRule="auto"/>
        <w:jc w:val="center"/>
        <w:rPr>
          <w:rStyle w:val="Strong"/>
          <w:color w:val="000000"/>
        </w:rPr>
      </w:pPr>
      <w:r w:rsidRPr="005D7E61">
        <w:rPr>
          <w:rStyle w:val="Strong"/>
          <w:color w:val="000000"/>
        </w:rPr>
        <w:t>Lieta Nr. C</w:t>
      </w:r>
      <w:r>
        <w:rPr>
          <w:rStyle w:val="Strong"/>
          <w:color w:val="000000"/>
        </w:rPr>
        <w:t>30483409</w:t>
      </w:r>
      <w:r w:rsidRPr="005D7E61">
        <w:rPr>
          <w:rStyle w:val="Strong"/>
          <w:color w:val="000000"/>
        </w:rPr>
        <w:t>, SKC-2/201</w:t>
      </w:r>
      <w:r>
        <w:rPr>
          <w:rStyle w:val="Strong"/>
          <w:color w:val="000000"/>
        </w:rPr>
        <w:t>9</w:t>
      </w:r>
    </w:p>
    <w:p w:rsidR="00591BE7" w:rsidRDefault="0016619A" w:rsidP="00B05E60">
      <w:pPr>
        <w:spacing w:line="276" w:lineRule="auto"/>
        <w:jc w:val="center"/>
      </w:pPr>
      <w:hyperlink r:id="rId8" w:history="1">
        <w:r w:rsidR="00591BE7" w:rsidRPr="005D7E61">
          <w:rPr>
            <w:rStyle w:val="Hyperlink"/>
          </w:rPr>
          <w:t>ECLI:LV:AT:201</w:t>
        </w:r>
        <w:r w:rsidR="00591BE7">
          <w:rPr>
            <w:rStyle w:val="Hyperlink"/>
          </w:rPr>
          <w:t>9</w:t>
        </w:r>
        <w:r w:rsidR="00591BE7" w:rsidRPr="005D7E61">
          <w:rPr>
            <w:rStyle w:val="Hyperlink"/>
          </w:rPr>
          <w:t>:0</w:t>
        </w:r>
        <w:r w:rsidR="00591BE7">
          <w:rPr>
            <w:rStyle w:val="Hyperlink"/>
          </w:rPr>
          <w:t>416</w:t>
        </w:r>
        <w:r w:rsidR="00591BE7" w:rsidRPr="005D7E61">
          <w:rPr>
            <w:rStyle w:val="Hyperlink"/>
          </w:rPr>
          <w:t>.C3</w:t>
        </w:r>
        <w:r w:rsidR="00591BE7">
          <w:rPr>
            <w:rStyle w:val="Hyperlink"/>
          </w:rPr>
          <w:t>0483409</w:t>
        </w:r>
        <w:r w:rsidR="00591BE7" w:rsidRPr="005D7E61">
          <w:rPr>
            <w:rStyle w:val="Hyperlink"/>
          </w:rPr>
          <w:t>.</w:t>
        </w:r>
        <w:r w:rsidR="00591BE7">
          <w:rPr>
            <w:rStyle w:val="Hyperlink"/>
          </w:rPr>
          <w:t>6</w:t>
        </w:r>
        <w:r w:rsidR="00591BE7" w:rsidRPr="005D7E61">
          <w:rPr>
            <w:rStyle w:val="Hyperlink"/>
          </w:rPr>
          <w:t>.S</w:t>
        </w:r>
      </w:hyperlink>
    </w:p>
    <w:p w:rsidR="00591BE7" w:rsidRPr="00F87CB3" w:rsidRDefault="00591BE7" w:rsidP="00B05E60">
      <w:pPr>
        <w:spacing w:line="276" w:lineRule="auto"/>
        <w:jc w:val="center"/>
      </w:pPr>
    </w:p>
    <w:p w:rsidR="00AB304F" w:rsidRPr="00F87CB3" w:rsidRDefault="00C4032F" w:rsidP="00B05E60">
      <w:pPr>
        <w:spacing w:line="276" w:lineRule="auto"/>
        <w:ind w:firstLine="709"/>
        <w:jc w:val="both"/>
      </w:pPr>
      <w:r>
        <w:t>Senāts</w:t>
      </w:r>
      <w:r w:rsidR="00CD4749">
        <w:t xml:space="preserve"> </w:t>
      </w:r>
      <w:r w:rsidR="00AB304F" w:rsidRPr="00F87CB3">
        <w:t xml:space="preserve">šādā sastāvā: </w:t>
      </w:r>
    </w:p>
    <w:p w:rsidR="00AB304F" w:rsidRPr="00F87CB3" w:rsidRDefault="00CD4749" w:rsidP="00B05E60">
      <w:pPr>
        <w:tabs>
          <w:tab w:val="left" w:pos="0"/>
        </w:tabs>
        <w:spacing w:line="276" w:lineRule="auto"/>
        <w:ind w:firstLine="1418"/>
        <w:jc w:val="both"/>
      </w:pPr>
      <w:r>
        <w:t>se</w:t>
      </w:r>
      <w:r w:rsidR="00C4032F">
        <w:t>natore</w:t>
      </w:r>
      <w:r>
        <w:t xml:space="preserve"> referente Zane</w:t>
      </w:r>
      <w:r w:rsidR="00AB304F">
        <w:t xml:space="preserve"> </w:t>
      </w:r>
      <w:r w:rsidR="00AB304F" w:rsidRPr="00F87CB3">
        <w:t>Pētersone</w:t>
      </w:r>
      <w:r w:rsidR="00AB304F">
        <w:t>,</w:t>
      </w:r>
    </w:p>
    <w:p w:rsidR="009B3922" w:rsidRPr="00F87CB3" w:rsidRDefault="009B3922" w:rsidP="00B05E60">
      <w:pPr>
        <w:tabs>
          <w:tab w:val="left" w:pos="0"/>
        </w:tabs>
        <w:spacing w:line="276" w:lineRule="auto"/>
        <w:ind w:firstLine="1418"/>
        <w:jc w:val="both"/>
      </w:pPr>
      <w:r>
        <w:t>s</w:t>
      </w:r>
      <w:r w:rsidR="00C4032F">
        <w:t>enators</w:t>
      </w:r>
      <w:r w:rsidRPr="00F87CB3">
        <w:t xml:space="preserve"> </w:t>
      </w:r>
      <w:r>
        <w:t>Intars Bisters,</w:t>
      </w:r>
    </w:p>
    <w:p w:rsidR="009B3922" w:rsidRDefault="00C4032F" w:rsidP="00B05E60">
      <w:pPr>
        <w:tabs>
          <w:tab w:val="left" w:pos="3119"/>
        </w:tabs>
        <w:spacing w:line="276" w:lineRule="auto"/>
        <w:ind w:firstLine="1418"/>
        <w:jc w:val="both"/>
      </w:pPr>
      <w:r>
        <w:t>senatore</w:t>
      </w:r>
      <w:r w:rsidR="009B3922">
        <w:t xml:space="preserve"> Anda Briede,</w:t>
      </w:r>
    </w:p>
    <w:p w:rsidR="009B3922" w:rsidRDefault="00C4032F" w:rsidP="00B05E60">
      <w:pPr>
        <w:tabs>
          <w:tab w:val="left" w:pos="3119"/>
        </w:tabs>
        <w:spacing w:line="276" w:lineRule="auto"/>
        <w:ind w:firstLine="1418"/>
        <w:jc w:val="both"/>
      </w:pPr>
      <w:r>
        <w:t>senatore</w:t>
      </w:r>
      <w:r w:rsidR="009B3922">
        <w:t xml:space="preserve"> Vanda Cīrule,</w:t>
      </w:r>
    </w:p>
    <w:p w:rsidR="009B3922" w:rsidRDefault="00C4032F" w:rsidP="00B05E60">
      <w:pPr>
        <w:tabs>
          <w:tab w:val="left" w:pos="3119"/>
        </w:tabs>
        <w:spacing w:line="276" w:lineRule="auto"/>
        <w:ind w:firstLine="1418"/>
        <w:jc w:val="both"/>
      </w:pPr>
      <w:r>
        <w:t>senatore</w:t>
      </w:r>
      <w:r w:rsidR="009B3922">
        <w:t xml:space="preserve"> Anita Čerņavska,</w:t>
      </w:r>
    </w:p>
    <w:p w:rsidR="009B3922" w:rsidRDefault="00C4032F" w:rsidP="00B05E60">
      <w:pPr>
        <w:tabs>
          <w:tab w:val="left" w:pos="3119"/>
        </w:tabs>
        <w:spacing w:line="276" w:lineRule="auto"/>
        <w:ind w:firstLine="1418"/>
        <w:jc w:val="both"/>
      </w:pPr>
      <w:r>
        <w:t>senators</w:t>
      </w:r>
      <w:r w:rsidR="009B3922">
        <w:t xml:space="preserve"> Valerijans Jonikāns,</w:t>
      </w:r>
    </w:p>
    <w:p w:rsidR="009B3922" w:rsidRDefault="00C4032F" w:rsidP="00B05E60">
      <w:pPr>
        <w:tabs>
          <w:tab w:val="left" w:pos="3119"/>
        </w:tabs>
        <w:spacing w:line="276" w:lineRule="auto"/>
        <w:ind w:firstLine="1418"/>
        <w:jc w:val="both"/>
      </w:pPr>
      <w:r>
        <w:t>senatore</w:t>
      </w:r>
      <w:r w:rsidR="009B3922">
        <w:t xml:space="preserve"> Ļubova Kušnire,</w:t>
      </w:r>
    </w:p>
    <w:p w:rsidR="00C4032F" w:rsidRDefault="00C4032F" w:rsidP="00B05E60">
      <w:pPr>
        <w:tabs>
          <w:tab w:val="left" w:pos="3119"/>
        </w:tabs>
        <w:spacing w:line="276" w:lineRule="auto"/>
        <w:ind w:firstLine="1418"/>
        <w:jc w:val="both"/>
      </w:pPr>
      <w:r>
        <w:t>senators Valerijs Maksimovs,</w:t>
      </w:r>
    </w:p>
    <w:p w:rsidR="009B3922" w:rsidRDefault="00C4032F" w:rsidP="00B05E60">
      <w:pPr>
        <w:tabs>
          <w:tab w:val="left" w:pos="3119"/>
        </w:tabs>
        <w:spacing w:line="276" w:lineRule="auto"/>
        <w:ind w:firstLine="1418"/>
        <w:jc w:val="both"/>
      </w:pPr>
      <w:r>
        <w:t>senatore</w:t>
      </w:r>
      <w:r w:rsidR="009B3922">
        <w:t xml:space="preserve"> Marika Senkāne,</w:t>
      </w:r>
    </w:p>
    <w:p w:rsidR="00507020" w:rsidRDefault="00C4032F" w:rsidP="00B05E60">
      <w:pPr>
        <w:tabs>
          <w:tab w:val="left" w:pos="3119"/>
        </w:tabs>
        <w:spacing w:line="276" w:lineRule="auto"/>
        <w:ind w:firstLine="1418"/>
        <w:jc w:val="both"/>
      </w:pPr>
      <w:r>
        <w:t>senators</w:t>
      </w:r>
      <w:r w:rsidR="00507020">
        <w:t xml:space="preserve"> Aigars Strupišs,</w:t>
      </w:r>
    </w:p>
    <w:p w:rsidR="009B3922" w:rsidRDefault="00C4032F" w:rsidP="00B05E60">
      <w:pPr>
        <w:tabs>
          <w:tab w:val="left" w:pos="3119"/>
        </w:tabs>
        <w:spacing w:line="276" w:lineRule="auto"/>
        <w:ind w:firstLine="1418"/>
        <w:jc w:val="both"/>
      </w:pPr>
      <w:r>
        <w:t>senatore</w:t>
      </w:r>
      <w:r w:rsidR="009B3922">
        <w:t xml:space="preserve"> Mārīte Zāģere</w:t>
      </w:r>
    </w:p>
    <w:p w:rsidR="005516A8" w:rsidRPr="00F87CB3" w:rsidRDefault="00AB304F" w:rsidP="00B05E60">
      <w:pPr>
        <w:spacing w:line="276" w:lineRule="auto"/>
        <w:ind w:firstLine="567"/>
        <w:jc w:val="both"/>
      </w:pPr>
      <w:r w:rsidRPr="00F87CB3">
        <w:t xml:space="preserve">izskatīja </w:t>
      </w:r>
      <w:r w:rsidR="00CD4749">
        <w:t>rakstveida procesā</w:t>
      </w:r>
      <w:r w:rsidRPr="00F87CB3">
        <w:t xml:space="preserve"> </w:t>
      </w:r>
      <w:r w:rsidR="001C4C26">
        <w:t xml:space="preserve">civillietu </w:t>
      </w:r>
      <w:r w:rsidR="00C911E0" w:rsidRPr="009A1195">
        <w:t>sakarā</w:t>
      </w:r>
      <w:r w:rsidR="00C911E0">
        <w:t xml:space="preserve"> ar apdrošināšanas AS „BTA </w:t>
      </w:r>
      <w:proofErr w:type="spellStart"/>
      <w:r w:rsidR="00C911E0">
        <w:t>Baltic</w:t>
      </w:r>
      <w:proofErr w:type="spellEnd"/>
      <w:r w:rsidR="00C911E0">
        <w:t xml:space="preserve"> </w:t>
      </w:r>
      <w:proofErr w:type="spellStart"/>
      <w:r w:rsidR="00C911E0">
        <w:t>Insurance</w:t>
      </w:r>
      <w:proofErr w:type="spellEnd"/>
      <w:r w:rsidR="00C911E0">
        <w:t xml:space="preserve"> </w:t>
      </w:r>
      <w:proofErr w:type="spellStart"/>
      <w:r w:rsidR="00C911E0">
        <w:t>Company</w:t>
      </w:r>
      <w:proofErr w:type="spellEnd"/>
      <w:r w:rsidR="00C911E0">
        <w:t xml:space="preserve">” kasācijas sūdzību par Rīgas apgabaltiesas Civillietu tiesas kolēģijas </w:t>
      </w:r>
      <w:proofErr w:type="gramStart"/>
      <w:r w:rsidR="00C911E0">
        <w:t>2014.gada</w:t>
      </w:r>
      <w:proofErr w:type="gramEnd"/>
      <w:r w:rsidR="00C911E0">
        <w:t xml:space="preserve"> 20.maija spriedumu </w:t>
      </w:r>
      <w:r w:rsidR="000B2606">
        <w:t xml:space="preserve">apdrošināšanas AS </w:t>
      </w:r>
      <w:r w:rsidR="001C4C26">
        <w:t xml:space="preserve">„BTA </w:t>
      </w:r>
      <w:proofErr w:type="spellStart"/>
      <w:r w:rsidR="000B2606">
        <w:t>Baltic</w:t>
      </w:r>
      <w:proofErr w:type="spellEnd"/>
      <w:r w:rsidR="000B2606">
        <w:t xml:space="preserve"> </w:t>
      </w:r>
      <w:proofErr w:type="spellStart"/>
      <w:r w:rsidR="001C4C26">
        <w:t>Insurance</w:t>
      </w:r>
      <w:proofErr w:type="spellEnd"/>
      <w:r w:rsidR="001C4C26">
        <w:t xml:space="preserve"> </w:t>
      </w:r>
      <w:proofErr w:type="spellStart"/>
      <w:r w:rsidR="001C4C26">
        <w:t>Company</w:t>
      </w:r>
      <w:proofErr w:type="spellEnd"/>
      <w:r w:rsidR="001C4C26">
        <w:t xml:space="preserve">” </w:t>
      </w:r>
      <w:r w:rsidR="000B2606">
        <w:t>(pirms aizstāšanas</w:t>
      </w:r>
      <w:r w:rsidR="000B2606" w:rsidRPr="000B2606">
        <w:t xml:space="preserve"> </w:t>
      </w:r>
      <w:r w:rsidR="000B2606">
        <w:t>– Eiropas komercsabiedrības „</w:t>
      </w:r>
      <w:proofErr w:type="spellStart"/>
      <w:r w:rsidR="000B2606">
        <w:t>Balcia</w:t>
      </w:r>
      <w:proofErr w:type="spellEnd"/>
      <w:r w:rsidR="000B2606">
        <w:t xml:space="preserve"> </w:t>
      </w:r>
      <w:proofErr w:type="spellStart"/>
      <w:r w:rsidR="000B2606">
        <w:t>Insurance</w:t>
      </w:r>
      <w:proofErr w:type="spellEnd"/>
      <w:r w:rsidR="000B2606">
        <w:t xml:space="preserve">” SE, pirms nosaukuma maiņas – Eiropas komercsabiedrības „BTA </w:t>
      </w:r>
      <w:proofErr w:type="spellStart"/>
      <w:r w:rsidR="000B2606">
        <w:t>Insurance</w:t>
      </w:r>
      <w:proofErr w:type="spellEnd"/>
      <w:r w:rsidR="000B2606">
        <w:t xml:space="preserve"> </w:t>
      </w:r>
      <w:proofErr w:type="spellStart"/>
      <w:r w:rsidR="000B2606">
        <w:t>Company</w:t>
      </w:r>
      <w:proofErr w:type="spellEnd"/>
      <w:r w:rsidR="000B2606">
        <w:t xml:space="preserve">” SE) </w:t>
      </w:r>
      <w:r w:rsidR="001C4C26">
        <w:t>prasībā pret apdrošināšanas AS „Baltijas Apdrošināšanas Nams” par zaudējumu atlīdzības piedziņu</w:t>
      </w:r>
      <w:r w:rsidR="00FA203E">
        <w:t>.</w:t>
      </w:r>
    </w:p>
    <w:p w:rsidR="001A777A" w:rsidRPr="00BA4D2B" w:rsidRDefault="00CD4749" w:rsidP="00B05E60">
      <w:pPr>
        <w:spacing w:before="120" w:after="120" w:line="276" w:lineRule="auto"/>
        <w:jc w:val="center"/>
        <w:rPr>
          <w:b/>
        </w:rPr>
      </w:pPr>
      <w:r w:rsidRPr="00BA4D2B">
        <w:rPr>
          <w:b/>
        </w:rPr>
        <w:t>Aprakstošā daļa</w:t>
      </w:r>
    </w:p>
    <w:p w:rsidR="00742D6B" w:rsidRDefault="00CD4749" w:rsidP="00B05E60">
      <w:pPr>
        <w:spacing w:line="276" w:lineRule="auto"/>
        <w:ind w:firstLine="567"/>
        <w:jc w:val="both"/>
      </w:pPr>
      <w:r w:rsidRPr="00BA4D2B">
        <w:t>[1</w:t>
      </w:r>
      <w:r w:rsidR="00F939EB" w:rsidRPr="00BA4D2B">
        <w:t>]</w:t>
      </w:r>
      <w:r w:rsidR="006F6FAC" w:rsidRPr="00BA4D2B">
        <w:t xml:space="preserve"> </w:t>
      </w:r>
      <w:r w:rsidR="000820B0">
        <w:t>A</w:t>
      </w:r>
      <w:r w:rsidR="00742D6B">
        <w:t xml:space="preserve">pdrošināšanas akciju sabiedrība </w:t>
      </w:r>
      <w:r w:rsidR="000820B0">
        <w:t xml:space="preserve">(turpmāk – AAS) </w:t>
      </w:r>
      <w:r w:rsidR="00742D6B">
        <w:t xml:space="preserve">„BTA” </w:t>
      </w:r>
      <w:proofErr w:type="gramStart"/>
      <w:r w:rsidR="001C4C26">
        <w:t>2009.gada</w:t>
      </w:r>
      <w:proofErr w:type="gramEnd"/>
      <w:r w:rsidR="001C4C26">
        <w:t xml:space="preserve"> 12.augustā cēl</w:t>
      </w:r>
      <w:r w:rsidR="0067651D">
        <w:t>a</w:t>
      </w:r>
      <w:r w:rsidR="001C4C26">
        <w:t xml:space="preserve"> prasību pret </w:t>
      </w:r>
      <w:r w:rsidR="000820B0">
        <w:t>A</w:t>
      </w:r>
      <w:r w:rsidR="001C4C26">
        <w:t xml:space="preserve">AS „Baltijas Apdrošināšanas Nams”, </w:t>
      </w:r>
      <w:r w:rsidR="00742D6B">
        <w:t xml:space="preserve">kurā </w:t>
      </w:r>
      <w:r w:rsidR="00BA0EA5">
        <w:t>lū</w:t>
      </w:r>
      <w:r w:rsidR="0067651D">
        <w:t>dza</w:t>
      </w:r>
      <w:r w:rsidR="00BA0EA5">
        <w:t xml:space="preserve"> piedzīt zaudējumu atlīdzību 47,42 latus (kas pēc Latvijas Bankas noteiktā valūtas kursa ir 67,47 </w:t>
      </w:r>
      <w:proofErr w:type="spellStart"/>
      <w:r w:rsidR="00BA0EA5" w:rsidRPr="008D780D">
        <w:rPr>
          <w:i/>
        </w:rPr>
        <w:t>euro</w:t>
      </w:r>
      <w:proofErr w:type="spellEnd"/>
      <w:r w:rsidR="00BA0EA5">
        <w:t xml:space="preserve">) sakarā ar </w:t>
      </w:r>
      <w:r w:rsidR="00742D6B">
        <w:t xml:space="preserve">izmaksāto </w:t>
      </w:r>
      <w:r w:rsidR="00BA0EA5">
        <w:t>apdrošināšanas atlīdzību</w:t>
      </w:r>
      <w:r w:rsidR="00742D6B">
        <w:t xml:space="preserve"> un tiesāšanās izdevumus.</w:t>
      </w:r>
    </w:p>
    <w:p w:rsidR="00742D6B" w:rsidRDefault="00742D6B" w:rsidP="00B05E60">
      <w:pPr>
        <w:spacing w:line="276" w:lineRule="auto"/>
        <w:ind w:firstLine="567"/>
        <w:jc w:val="both"/>
      </w:pPr>
      <w:r>
        <w:t>Prasībā norādīti šādi apstākļi.</w:t>
      </w:r>
    </w:p>
    <w:p w:rsidR="000820B0" w:rsidRDefault="00742D6B" w:rsidP="00B05E60">
      <w:pPr>
        <w:spacing w:line="276" w:lineRule="auto"/>
        <w:ind w:firstLine="567"/>
        <w:jc w:val="both"/>
      </w:pPr>
      <w:r>
        <w:t xml:space="preserve">[1.1] </w:t>
      </w:r>
      <w:proofErr w:type="gramStart"/>
      <w:r w:rsidR="00BA0EA5">
        <w:t>2008.gada</w:t>
      </w:r>
      <w:proofErr w:type="gramEnd"/>
      <w:r w:rsidR="00BA0EA5">
        <w:t xml:space="preserve"> 24.oktobrī autotransporta līdzekļu stāvvietā pie lielveikala Krustpils ielā 35, Rīgā, piebraukušā un apstādinātā transportlīdzekļa </w:t>
      </w:r>
      <w:proofErr w:type="spellStart"/>
      <w:r w:rsidR="00BA0EA5" w:rsidRPr="001C4C26">
        <w:rPr>
          <w:i/>
        </w:rPr>
        <w:t>Škoda</w:t>
      </w:r>
      <w:proofErr w:type="spellEnd"/>
      <w:r w:rsidR="00BA0EA5" w:rsidRPr="001C4C26">
        <w:rPr>
          <w:i/>
        </w:rPr>
        <w:t xml:space="preserve"> </w:t>
      </w:r>
      <w:proofErr w:type="spellStart"/>
      <w:r w:rsidR="00BA0EA5" w:rsidRPr="001C4C26">
        <w:rPr>
          <w:i/>
        </w:rPr>
        <w:t>Octavia</w:t>
      </w:r>
      <w:proofErr w:type="spellEnd"/>
      <w:r w:rsidR="00BA0EA5">
        <w:t xml:space="preserve">, reģistrācijas Nr. FK5112, pasažierim atverot automašīnas aizmugurējās labās puses durvis, tika bojāts </w:t>
      </w:r>
      <w:r w:rsidR="00BA0EA5">
        <w:lastRenderedPageBreak/>
        <w:t xml:space="preserve">blakus stāvošā </w:t>
      </w:r>
      <w:r w:rsidR="00591BE7">
        <w:t>[pers.</w:t>
      </w:r>
      <w:r w:rsidR="00591BE7" w:rsidRPr="00591BE7">
        <w:rPr>
          <w:lang w:val="en-US"/>
        </w:rPr>
        <w:t> </w:t>
      </w:r>
      <w:r w:rsidR="00BA0EA5">
        <w:t>A</w:t>
      </w:r>
      <w:r w:rsidR="00591BE7">
        <w:t xml:space="preserve">] </w:t>
      </w:r>
      <w:r w:rsidR="00BA0EA5">
        <w:t xml:space="preserve">piederošā transportlīdzekļa </w:t>
      </w:r>
      <w:r w:rsidR="00BA0EA5" w:rsidRPr="001C4C26">
        <w:rPr>
          <w:i/>
        </w:rPr>
        <w:t xml:space="preserve">VW </w:t>
      </w:r>
      <w:proofErr w:type="spellStart"/>
      <w:r w:rsidR="00BA0EA5" w:rsidRPr="001C4C26">
        <w:rPr>
          <w:i/>
        </w:rPr>
        <w:t>Passat</w:t>
      </w:r>
      <w:proofErr w:type="spellEnd"/>
      <w:r w:rsidR="00BA0EA5">
        <w:t>, reģistrācijas Nr.</w:t>
      </w:r>
      <w:r w:rsidR="00B05E60">
        <w:t>[..]</w:t>
      </w:r>
      <w:r w:rsidR="00BA0EA5">
        <w:t xml:space="preserve">, kreisās puses aizmugures daļas spārns. </w:t>
      </w:r>
    </w:p>
    <w:p w:rsidR="000820B0" w:rsidRDefault="000820B0" w:rsidP="00B05E60">
      <w:pPr>
        <w:spacing w:line="276" w:lineRule="auto"/>
        <w:ind w:firstLine="567"/>
        <w:jc w:val="both"/>
      </w:pPr>
      <w:r>
        <w:t xml:space="preserve">[1.2] </w:t>
      </w:r>
      <w:r w:rsidR="00BA0EA5">
        <w:t xml:space="preserve">Negadījuma vietā </w:t>
      </w:r>
      <w:r w:rsidR="00591BE7">
        <w:t>[pers.</w:t>
      </w:r>
      <w:r w:rsidR="00591BE7" w:rsidRPr="00591BE7">
        <w:t> </w:t>
      </w:r>
      <w:r w:rsidR="00591BE7">
        <w:t xml:space="preserve">A] </w:t>
      </w:r>
      <w:r w:rsidR="00BA0EA5">
        <w:t xml:space="preserve">un zaudējumus nodarījušā transportlīdzekļa </w:t>
      </w:r>
      <w:proofErr w:type="spellStart"/>
      <w:r w:rsidR="00BA0EA5" w:rsidRPr="001C4C26">
        <w:rPr>
          <w:i/>
        </w:rPr>
        <w:t>Škoda</w:t>
      </w:r>
      <w:proofErr w:type="spellEnd"/>
      <w:r w:rsidR="00BA0EA5" w:rsidRPr="001C4C26">
        <w:rPr>
          <w:i/>
        </w:rPr>
        <w:t xml:space="preserve"> </w:t>
      </w:r>
      <w:proofErr w:type="spellStart"/>
      <w:r w:rsidR="00BA0EA5" w:rsidRPr="001C4C26">
        <w:rPr>
          <w:i/>
        </w:rPr>
        <w:t>Octavia</w:t>
      </w:r>
      <w:proofErr w:type="spellEnd"/>
      <w:r w:rsidR="00BA0EA5" w:rsidRPr="001C4C26">
        <w:rPr>
          <w:i/>
        </w:rPr>
        <w:t xml:space="preserve"> </w:t>
      </w:r>
      <w:r w:rsidR="00BA0EA5">
        <w:t xml:space="preserve">vadītājs </w:t>
      </w:r>
      <w:r w:rsidR="00591BE7">
        <w:t>[pers.</w:t>
      </w:r>
      <w:r w:rsidR="00591BE7" w:rsidRPr="00591BE7">
        <w:rPr>
          <w:lang w:val="en-US"/>
        </w:rPr>
        <w:t> </w:t>
      </w:r>
      <w:r w:rsidR="00591BE7">
        <w:rPr>
          <w:lang w:val="en-US"/>
        </w:rPr>
        <w:t>B</w:t>
      </w:r>
      <w:r w:rsidR="00591BE7">
        <w:t xml:space="preserve">] </w:t>
      </w:r>
      <w:r w:rsidR="00BA0EA5">
        <w:t xml:space="preserve">aizpildīja saskaņoto paziņojumu par ceļu satiksmes negadījumu, kurā </w:t>
      </w:r>
      <w:r w:rsidR="00591BE7">
        <w:t>[pers.</w:t>
      </w:r>
      <w:r w:rsidR="00591BE7" w:rsidRPr="00591BE7">
        <w:rPr>
          <w:lang w:val="en-US"/>
        </w:rPr>
        <w:t> </w:t>
      </w:r>
      <w:r w:rsidR="00591BE7">
        <w:rPr>
          <w:lang w:val="en-US"/>
        </w:rPr>
        <w:t>B</w:t>
      </w:r>
      <w:r w:rsidR="00591BE7">
        <w:t xml:space="preserve">] </w:t>
      </w:r>
      <w:r w:rsidR="00BA0EA5">
        <w:t xml:space="preserve">atzina savu vainu, kā arī apstiprināja, ka ar viņa vadītā transportlīdzekļa aizmugures durvīm pasažieris saskrāpējis blakus stāvošo transportlīdzekli. </w:t>
      </w:r>
    </w:p>
    <w:p w:rsidR="000820B0" w:rsidRDefault="000820B0" w:rsidP="00B05E60">
      <w:pPr>
        <w:spacing w:line="276" w:lineRule="auto"/>
        <w:ind w:firstLine="567"/>
        <w:jc w:val="both"/>
      </w:pPr>
      <w:r>
        <w:t xml:space="preserve">[1.3] </w:t>
      </w:r>
      <w:r w:rsidR="00BA0EA5">
        <w:t xml:space="preserve">Prasītāja </w:t>
      </w:r>
      <w:r>
        <w:t xml:space="preserve">AAS „BTA” </w:t>
      </w:r>
      <w:r w:rsidR="00BA0EA5">
        <w:t>noslēgusi brīvprātīgās apdrošināšanas līgumu</w:t>
      </w:r>
      <w:r w:rsidR="00BA0EA5" w:rsidRPr="00E34B21">
        <w:rPr>
          <w:i/>
        </w:rPr>
        <w:t xml:space="preserve"> </w:t>
      </w:r>
      <w:r w:rsidR="00BA0EA5" w:rsidRPr="00E34B21">
        <w:t>ar automašīnas</w:t>
      </w:r>
      <w:r w:rsidR="00BA0EA5">
        <w:rPr>
          <w:i/>
        </w:rPr>
        <w:t xml:space="preserve"> </w:t>
      </w:r>
      <w:r w:rsidR="00BA0EA5" w:rsidRPr="004B4E3F">
        <w:rPr>
          <w:i/>
        </w:rPr>
        <w:t xml:space="preserve">VW </w:t>
      </w:r>
      <w:proofErr w:type="spellStart"/>
      <w:r w:rsidR="00BA0EA5" w:rsidRPr="004B4E3F">
        <w:rPr>
          <w:i/>
        </w:rPr>
        <w:t>P</w:t>
      </w:r>
      <w:r w:rsidR="00BA0EA5">
        <w:rPr>
          <w:i/>
        </w:rPr>
        <w:t>assat</w:t>
      </w:r>
      <w:proofErr w:type="spellEnd"/>
      <w:r w:rsidR="00BA0EA5">
        <w:rPr>
          <w:i/>
        </w:rPr>
        <w:t xml:space="preserve"> </w:t>
      </w:r>
      <w:r w:rsidR="00BA0EA5" w:rsidRPr="00E34B21">
        <w:t>īpašniek</w:t>
      </w:r>
      <w:r w:rsidR="00BA0EA5">
        <w:t xml:space="preserve">u. Savukārt atbildētāja AAS „Baltijas Apdrošināšanas Nams” noslēgusi civiltiesiskās atbildības obligātās apdrošināšanas līgumu ar automašīnas </w:t>
      </w:r>
      <w:proofErr w:type="spellStart"/>
      <w:r w:rsidR="00BA0EA5" w:rsidRPr="001C4C26">
        <w:rPr>
          <w:i/>
        </w:rPr>
        <w:t>Škoda</w:t>
      </w:r>
      <w:proofErr w:type="spellEnd"/>
      <w:r w:rsidR="00BA0EA5" w:rsidRPr="001C4C26">
        <w:rPr>
          <w:i/>
        </w:rPr>
        <w:t xml:space="preserve"> </w:t>
      </w:r>
      <w:proofErr w:type="spellStart"/>
      <w:r w:rsidR="00BA0EA5" w:rsidRPr="001C4C26">
        <w:rPr>
          <w:i/>
        </w:rPr>
        <w:t>Octavia</w:t>
      </w:r>
      <w:proofErr w:type="spellEnd"/>
      <w:r w:rsidR="00BA0EA5">
        <w:rPr>
          <w:i/>
        </w:rPr>
        <w:t xml:space="preserve"> </w:t>
      </w:r>
      <w:r w:rsidR="00BA0EA5">
        <w:t xml:space="preserve">īpašnieku. </w:t>
      </w:r>
    </w:p>
    <w:p w:rsidR="000820B0" w:rsidRDefault="000820B0" w:rsidP="00B05E60">
      <w:pPr>
        <w:spacing w:line="276" w:lineRule="auto"/>
        <w:ind w:firstLine="567"/>
        <w:jc w:val="both"/>
      </w:pPr>
      <w:r>
        <w:t xml:space="preserve">[1.4] </w:t>
      </w:r>
      <w:r w:rsidR="00BA0EA5">
        <w:t xml:space="preserve">Kopējie nodarītie zaudējumi (remonta izdevumi) </w:t>
      </w:r>
      <w:r w:rsidR="00BA0EA5" w:rsidRPr="004B4E3F">
        <w:rPr>
          <w:i/>
        </w:rPr>
        <w:t xml:space="preserve">VW </w:t>
      </w:r>
      <w:proofErr w:type="spellStart"/>
      <w:r w:rsidR="00BA0EA5" w:rsidRPr="004B4E3F">
        <w:rPr>
          <w:i/>
        </w:rPr>
        <w:t>P</w:t>
      </w:r>
      <w:r w:rsidR="00BA0EA5">
        <w:rPr>
          <w:i/>
        </w:rPr>
        <w:t>assat</w:t>
      </w:r>
      <w:proofErr w:type="spellEnd"/>
      <w:r w:rsidR="00BA0EA5">
        <w:t xml:space="preserve"> bojājumu novēršanai bija 117,42 lati. Eiropas komercsabiedrība „BTA </w:t>
      </w:r>
      <w:proofErr w:type="spellStart"/>
      <w:r w:rsidR="00BA0EA5">
        <w:t>Insurance</w:t>
      </w:r>
      <w:proofErr w:type="spellEnd"/>
      <w:r w:rsidR="00BA0EA5">
        <w:t xml:space="preserve"> </w:t>
      </w:r>
      <w:proofErr w:type="spellStart"/>
      <w:r w:rsidR="00BA0EA5">
        <w:t>Company</w:t>
      </w:r>
      <w:proofErr w:type="spellEnd"/>
      <w:r w:rsidR="00BA0EA5" w:rsidRPr="009828A4">
        <w:t>”</w:t>
      </w:r>
      <w:r w:rsidR="00BA0EA5">
        <w:t xml:space="preserve"> SE, pamatojoties uz brīvprātīgās apdrošināšanas līgumu un atskaitot tajā paredzēto 70 latu pašrisku, transportlīdzekļa </w:t>
      </w:r>
      <w:r w:rsidR="00BA0EA5" w:rsidRPr="004B4E3F">
        <w:rPr>
          <w:i/>
        </w:rPr>
        <w:t xml:space="preserve">VW </w:t>
      </w:r>
      <w:proofErr w:type="spellStart"/>
      <w:r w:rsidR="00BA0EA5" w:rsidRPr="004B4E3F">
        <w:rPr>
          <w:i/>
        </w:rPr>
        <w:t>P</w:t>
      </w:r>
      <w:r w:rsidR="00BA0EA5">
        <w:rPr>
          <w:i/>
        </w:rPr>
        <w:t>assat</w:t>
      </w:r>
      <w:proofErr w:type="spellEnd"/>
      <w:r w:rsidR="00BA0EA5">
        <w:t xml:space="preserve"> īpašniekam izmaksāja 47,42 latus.</w:t>
      </w:r>
    </w:p>
    <w:p w:rsidR="000820B0" w:rsidRDefault="000820B0" w:rsidP="00B05E60">
      <w:pPr>
        <w:spacing w:line="276" w:lineRule="auto"/>
        <w:ind w:firstLine="567"/>
        <w:jc w:val="both"/>
      </w:pPr>
      <w:r>
        <w:t xml:space="preserve">[1.5] AAS „BTA” </w:t>
      </w:r>
      <w:r w:rsidR="00BA0EA5">
        <w:t>lūdza AAS „Baltijas Apdrošināšanas Nams” atlīdzināt radušos izdevumus minētās summas apmērā. AAS „Baltijas Apdrošināšanas Nams” atlīdzības izmaksu atteica, pamatojot</w:t>
      </w:r>
      <w:r w:rsidR="001D74EC">
        <w:t>ies uz to</w:t>
      </w:r>
      <w:r w:rsidR="00BA0EA5">
        <w:t xml:space="preserve">, ka negadījums, kas noticis, abiem transportlīdzekļiem stāvot, nav atzīstams par apdrošināšanas gadījumu Sauszemes transportlīdzekļu īpašnieku civiltiesiskās atbildības obligātās apdrošināšanas likuma izpratnē. </w:t>
      </w:r>
    </w:p>
    <w:p w:rsidR="00BA0EA5" w:rsidRDefault="000820B0" w:rsidP="00B05E60">
      <w:pPr>
        <w:spacing w:line="276" w:lineRule="auto"/>
        <w:ind w:firstLine="567"/>
        <w:jc w:val="both"/>
      </w:pPr>
      <w:r>
        <w:t>[1.6] Prasība pamatota ar</w:t>
      </w:r>
      <w:r w:rsidR="00BA0EA5">
        <w:t xml:space="preserve"> likuma „Par apdrošināšanas līgumu” </w:t>
      </w:r>
      <w:proofErr w:type="gramStart"/>
      <w:r w:rsidR="00BA0EA5">
        <w:t>40.panta</w:t>
      </w:r>
      <w:proofErr w:type="gramEnd"/>
      <w:r w:rsidR="00BA0EA5">
        <w:t xml:space="preserve"> pirmo daļu un Sauszemes transportlīdzekļu īpašnieku civiltiesiskās atbildības obligātās apdrošināšanas likuma 31.panta desmito daļu.</w:t>
      </w:r>
    </w:p>
    <w:p w:rsidR="00BA0EA5" w:rsidRDefault="00BA0EA5" w:rsidP="00B05E60">
      <w:pPr>
        <w:spacing w:line="276" w:lineRule="auto"/>
        <w:ind w:firstLine="720"/>
        <w:jc w:val="both"/>
      </w:pPr>
    </w:p>
    <w:p w:rsidR="000820B0" w:rsidRDefault="001E79E8" w:rsidP="00B05E60">
      <w:pPr>
        <w:spacing w:line="276" w:lineRule="auto"/>
        <w:ind w:firstLine="567"/>
        <w:jc w:val="both"/>
      </w:pPr>
      <w:r>
        <w:t xml:space="preserve">[2] </w:t>
      </w:r>
      <w:r w:rsidR="000820B0">
        <w:t xml:space="preserve">Atbildētāja </w:t>
      </w:r>
      <w:r w:rsidR="000820B0" w:rsidRPr="00FB36DC">
        <w:t>AAS „Baltijas Apdrošināšanas Nams” iesnie</w:t>
      </w:r>
      <w:r w:rsidR="0067651D">
        <w:t>dza</w:t>
      </w:r>
      <w:r w:rsidR="000820B0" w:rsidRPr="00FB36DC">
        <w:t xml:space="preserve"> </w:t>
      </w:r>
      <w:r w:rsidR="000820B0">
        <w:t xml:space="preserve">tiesā </w:t>
      </w:r>
      <w:r w:rsidR="000820B0" w:rsidRPr="00FB36DC">
        <w:t>paskaidrojumus</w:t>
      </w:r>
      <w:r w:rsidR="000820B0">
        <w:t xml:space="preserve">, norādot, ka prasību neatzīst, jo nav </w:t>
      </w:r>
      <w:r w:rsidR="000820B0" w:rsidRPr="00FB36DC">
        <w:t>iestājies apdrošināšanas gadījums</w:t>
      </w:r>
      <w:r w:rsidR="000820B0">
        <w:t>.</w:t>
      </w:r>
      <w:r w:rsidR="00DE00EA">
        <w:t xml:space="preserve"> </w:t>
      </w:r>
      <w:r w:rsidR="000820B0">
        <w:t>L</w:t>
      </w:r>
      <w:r w:rsidR="000820B0" w:rsidRPr="00FB36DC">
        <w:t xml:space="preserve">ai </w:t>
      </w:r>
      <w:proofErr w:type="gramStart"/>
      <w:r w:rsidR="000820B0" w:rsidRPr="00FB36DC">
        <w:t>2008.gada</w:t>
      </w:r>
      <w:proofErr w:type="gramEnd"/>
      <w:r w:rsidR="000820B0" w:rsidRPr="00FB36DC">
        <w:t xml:space="preserve"> 24.oktobrī notikušo negadījumu </w:t>
      </w:r>
      <w:r w:rsidR="000820B0">
        <w:t>atzī</w:t>
      </w:r>
      <w:r w:rsidR="000820B0" w:rsidRPr="00FB36DC">
        <w:t>tu par ceļu satiksmes negadījumu, ir jākonstatē, ka vismaz viens no transportlīdzekļa vadītājiem negadījuma brīdī ir piedalījies ceļu satiksmē. Konkrētajā gadījumā neviens no transportlīdzekļa vadītājiem nav piedalījies ceļu satiksmē, jo nav pā</w:t>
      </w:r>
      <w:r w:rsidR="00DE00EA">
        <w:t>rvietojies ar transportlīdzekli</w:t>
      </w:r>
      <w:r w:rsidR="000820B0" w:rsidRPr="00FB36DC">
        <w:t>. Pārvietošanās ar transportlīdzekli ir aktīva rīcība, kuras rezultātā transportlīdzeklis atrodas kustībā, taču konkrētajā gadījumā abi transportlīdzekļi bija novietoti stāvēšanai, proti, transportlīdzekļu piedalīšanās ceļu satiksmē bija pārtraukta.</w:t>
      </w:r>
    </w:p>
    <w:p w:rsidR="000820B0" w:rsidRDefault="000820B0" w:rsidP="00B05E60">
      <w:pPr>
        <w:spacing w:line="276" w:lineRule="auto"/>
        <w:ind w:firstLine="567"/>
        <w:jc w:val="both"/>
      </w:pPr>
    </w:p>
    <w:p w:rsidR="006B37CB" w:rsidRDefault="00096398" w:rsidP="00B05E60">
      <w:pPr>
        <w:spacing w:line="276" w:lineRule="auto"/>
        <w:ind w:firstLine="567"/>
        <w:jc w:val="both"/>
      </w:pPr>
      <w:r w:rsidRPr="00174EE6">
        <w:t>[</w:t>
      </w:r>
      <w:r w:rsidR="00FB36DC">
        <w:t>3</w:t>
      </w:r>
      <w:r w:rsidRPr="00174EE6">
        <w:t>]</w:t>
      </w:r>
      <w:r w:rsidR="00221863" w:rsidRPr="00174EE6">
        <w:t xml:space="preserve"> </w:t>
      </w:r>
      <w:r w:rsidR="006B37CB" w:rsidRPr="006B37CB">
        <w:t xml:space="preserve">Ar Rīgas pilsētas Vidzemes priekšpilsētas tiesas </w:t>
      </w:r>
      <w:proofErr w:type="gramStart"/>
      <w:r w:rsidR="006B37CB" w:rsidRPr="006B37CB">
        <w:t>2010.gada</w:t>
      </w:r>
      <w:proofErr w:type="gramEnd"/>
      <w:r w:rsidR="006B37CB" w:rsidRPr="006B37CB">
        <w:t xml:space="preserve"> 15.septembra spriedumu </w:t>
      </w:r>
      <w:r w:rsidR="00E13DF6">
        <w:t>AAS „BTA”</w:t>
      </w:r>
      <w:r w:rsidR="006B37CB">
        <w:t xml:space="preserve"> prasība apmierināta: </w:t>
      </w:r>
      <w:r w:rsidR="006B37CB" w:rsidRPr="006B37CB">
        <w:t xml:space="preserve">no AAS „Baltijas </w:t>
      </w:r>
      <w:r w:rsidR="006B37CB">
        <w:t>A</w:t>
      </w:r>
      <w:r w:rsidR="006B37CB" w:rsidRPr="006B37CB">
        <w:t xml:space="preserve">pdrošināšanas </w:t>
      </w:r>
      <w:r w:rsidR="006B37CB">
        <w:t>N</w:t>
      </w:r>
      <w:r w:rsidR="006B37CB" w:rsidRPr="006B37CB">
        <w:t xml:space="preserve">ams” </w:t>
      </w:r>
      <w:r w:rsidR="006B37CB">
        <w:t>prasītājas</w:t>
      </w:r>
      <w:r w:rsidR="006B37CB" w:rsidRPr="006B37CB">
        <w:t xml:space="preserve"> labā</w:t>
      </w:r>
      <w:r w:rsidR="006B37CB">
        <w:t xml:space="preserve"> piedzīta</w:t>
      </w:r>
      <w:r w:rsidR="006B37CB" w:rsidRPr="006B37CB">
        <w:t xml:space="preserve"> zaudējumu</w:t>
      </w:r>
      <w:r w:rsidR="006B37CB">
        <w:t xml:space="preserve"> atlīdzība 47,42 lati</w:t>
      </w:r>
      <w:r w:rsidR="006B37CB" w:rsidRPr="006B37CB">
        <w:t>, valsts nodev</w:t>
      </w:r>
      <w:r w:rsidR="006B37CB">
        <w:t>a</w:t>
      </w:r>
      <w:r w:rsidR="006B37CB" w:rsidRPr="006B37CB">
        <w:t xml:space="preserve"> 50 lat</w:t>
      </w:r>
      <w:r w:rsidR="006B37CB">
        <w:t>i</w:t>
      </w:r>
      <w:r w:rsidR="006B37CB" w:rsidRPr="006B37CB">
        <w:t xml:space="preserve"> un ar lietas izskatīšanu saistīt</w:t>
      </w:r>
      <w:r w:rsidR="006B37CB">
        <w:t>ie</w:t>
      </w:r>
      <w:r w:rsidR="006B37CB" w:rsidRPr="006B37CB">
        <w:t xml:space="preserve"> izdevum</w:t>
      </w:r>
      <w:r w:rsidR="006B37CB">
        <w:t>i</w:t>
      </w:r>
      <w:r w:rsidR="006B37CB" w:rsidRPr="006B37CB">
        <w:t xml:space="preserve"> 3,30 lat</w:t>
      </w:r>
      <w:r w:rsidR="006B37CB">
        <w:t>i.</w:t>
      </w:r>
    </w:p>
    <w:p w:rsidR="00D27D65" w:rsidRDefault="00D27D65" w:rsidP="00B05E60">
      <w:pPr>
        <w:spacing w:line="276" w:lineRule="auto"/>
        <w:ind w:firstLine="567"/>
        <w:jc w:val="both"/>
      </w:pPr>
    </w:p>
    <w:p w:rsidR="00F6614C" w:rsidRDefault="0026130B" w:rsidP="00B05E60">
      <w:pPr>
        <w:spacing w:line="276" w:lineRule="auto"/>
        <w:ind w:firstLine="567"/>
        <w:jc w:val="both"/>
      </w:pPr>
      <w:r w:rsidRPr="00BF4DB3">
        <w:t>[</w:t>
      </w:r>
      <w:r w:rsidR="00C8359B">
        <w:t>4</w:t>
      </w:r>
      <w:r w:rsidRPr="00BF4DB3">
        <w:t xml:space="preserve">] </w:t>
      </w:r>
      <w:r w:rsidR="00C8359B">
        <w:t>Atbildētāja AAS „Baltijas Apdrošināšanas Nams”</w:t>
      </w:r>
      <w:r w:rsidR="00DA507E" w:rsidRPr="00BF4DB3">
        <w:t xml:space="preserve"> iesnie</w:t>
      </w:r>
      <w:r w:rsidR="0067651D">
        <w:t>dza</w:t>
      </w:r>
      <w:r w:rsidR="00DA507E" w:rsidRPr="00BF4DB3">
        <w:t xml:space="preserve"> apelācijas sūdzību par </w:t>
      </w:r>
      <w:r w:rsidR="00174EE6" w:rsidRPr="00BF4DB3">
        <w:t>minēto</w:t>
      </w:r>
      <w:r w:rsidR="00DA507E" w:rsidRPr="00BF4DB3">
        <w:t xml:space="preserve"> spriedumu, p</w:t>
      </w:r>
      <w:r w:rsidR="00F73C25" w:rsidRPr="00BF4DB3">
        <w:t>ārsūdzot</w:t>
      </w:r>
      <w:r w:rsidR="00174EE6" w:rsidRPr="00BF4DB3">
        <w:t xml:space="preserve"> to</w:t>
      </w:r>
      <w:r w:rsidR="00F73C25" w:rsidRPr="00BF4DB3">
        <w:t xml:space="preserve"> </w:t>
      </w:r>
      <w:r w:rsidR="00C8359B">
        <w:t>pilnā apjomā.</w:t>
      </w:r>
    </w:p>
    <w:p w:rsidR="004B012D" w:rsidRDefault="004B012D" w:rsidP="00B05E60">
      <w:pPr>
        <w:spacing w:line="276" w:lineRule="auto"/>
        <w:ind w:firstLine="567"/>
        <w:jc w:val="both"/>
      </w:pPr>
    </w:p>
    <w:p w:rsidR="0011115D" w:rsidRDefault="00BA77B0" w:rsidP="00B05E60">
      <w:pPr>
        <w:spacing w:line="276" w:lineRule="auto"/>
        <w:ind w:firstLine="567"/>
        <w:jc w:val="both"/>
      </w:pPr>
      <w:r>
        <w:t>[</w:t>
      </w:r>
      <w:r w:rsidR="00C8359B">
        <w:t>5</w:t>
      </w:r>
      <w:r>
        <w:t>]</w:t>
      </w:r>
      <w:r w:rsidRPr="00BA77B0">
        <w:t xml:space="preserve"> </w:t>
      </w:r>
      <w:r w:rsidR="00B85424">
        <w:t>Ar</w:t>
      </w:r>
      <w:r w:rsidR="00C8359B" w:rsidRPr="00C8359B">
        <w:t xml:space="preserve"> Rīgas apgabaltiesas Civillietu tiesas</w:t>
      </w:r>
      <w:r w:rsidR="00B85424">
        <w:t xml:space="preserve"> kolēģijas</w:t>
      </w:r>
      <w:r w:rsidR="00C8359B" w:rsidRPr="00C8359B">
        <w:t xml:space="preserve"> </w:t>
      </w:r>
      <w:proofErr w:type="gramStart"/>
      <w:r w:rsidR="00C8359B" w:rsidRPr="00C8359B">
        <w:t>2011.gada</w:t>
      </w:r>
      <w:proofErr w:type="gramEnd"/>
      <w:r w:rsidR="00C8359B" w:rsidRPr="00C8359B">
        <w:t xml:space="preserve"> 28.decembra spriedumu </w:t>
      </w:r>
      <w:r w:rsidR="00B85424">
        <w:t xml:space="preserve">Eiropas komercsabiedrības „BTA </w:t>
      </w:r>
      <w:proofErr w:type="spellStart"/>
      <w:r w:rsidR="00B85424">
        <w:t>Insurance</w:t>
      </w:r>
      <w:proofErr w:type="spellEnd"/>
      <w:r w:rsidR="00B85424">
        <w:t xml:space="preserve"> </w:t>
      </w:r>
      <w:proofErr w:type="spellStart"/>
      <w:r w:rsidR="00B85424">
        <w:t>Company</w:t>
      </w:r>
      <w:proofErr w:type="spellEnd"/>
      <w:r w:rsidR="00B85424">
        <w:t>” SE</w:t>
      </w:r>
      <w:r w:rsidR="00B85424" w:rsidRPr="00C8359B">
        <w:t xml:space="preserve"> </w:t>
      </w:r>
      <w:r w:rsidR="00963BBC">
        <w:t>(</w:t>
      </w:r>
      <w:r w:rsidR="0011115D">
        <w:t>p</w:t>
      </w:r>
      <w:r w:rsidR="00963BBC">
        <w:t>ir</w:t>
      </w:r>
      <w:r w:rsidR="0011115D">
        <w:t>ms nosaukuma maiņas</w:t>
      </w:r>
      <w:r w:rsidR="00963BBC">
        <w:t xml:space="preserve"> – </w:t>
      </w:r>
      <w:r w:rsidR="00963BBC" w:rsidRPr="006B37CB">
        <w:t xml:space="preserve">AAS „Baltijas </w:t>
      </w:r>
      <w:r w:rsidR="00963BBC">
        <w:t>A</w:t>
      </w:r>
      <w:r w:rsidR="00963BBC" w:rsidRPr="006B37CB">
        <w:t xml:space="preserve">pdrošināšanas </w:t>
      </w:r>
      <w:r w:rsidR="00963BBC">
        <w:t>N</w:t>
      </w:r>
      <w:r w:rsidR="00963BBC" w:rsidRPr="006B37CB">
        <w:t>ams”</w:t>
      </w:r>
      <w:r w:rsidR="00963BBC">
        <w:t xml:space="preserve">) </w:t>
      </w:r>
      <w:r w:rsidR="00C8359B" w:rsidRPr="00C8359B">
        <w:t>prasīb</w:t>
      </w:r>
      <w:r w:rsidR="00B85424">
        <w:t>a</w:t>
      </w:r>
      <w:r w:rsidR="00C8359B" w:rsidRPr="00C8359B">
        <w:t xml:space="preserve"> apmierinā</w:t>
      </w:r>
      <w:r w:rsidR="00B85424">
        <w:t>ta</w:t>
      </w:r>
      <w:r w:rsidR="0011115D">
        <w:t xml:space="preserve">: </w:t>
      </w:r>
      <w:r w:rsidR="0011115D" w:rsidRPr="006B37CB">
        <w:t xml:space="preserve">no AAS „Baltijas </w:t>
      </w:r>
      <w:r w:rsidR="0011115D">
        <w:t>A</w:t>
      </w:r>
      <w:r w:rsidR="0011115D" w:rsidRPr="006B37CB">
        <w:t xml:space="preserve">pdrošināšanas </w:t>
      </w:r>
      <w:r w:rsidR="0011115D">
        <w:t>N</w:t>
      </w:r>
      <w:r w:rsidR="0011115D" w:rsidRPr="006B37CB">
        <w:t xml:space="preserve">ams” </w:t>
      </w:r>
      <w:r w:rsidR="0011115D">
        <w:t>prasītājas</w:t>
      </w:r>
      <w:r w:rsidR="0011115D" w:rsidRPr="006B37CB">
        <w:t xml:space="preserve"> labā</w:t>
      </w:r>
      <w:r w:rsidR="0011115D">
        <w:t xml:space="preserve"> piedzīta</w:t>
      </w:r>
      <w:r w:rsidR="0011115D" w:rsidRPr="006B37CB">
        <w:t xml:space="preserve"> zaudējumu</w:t>
      </w:r>
      <w:r w:rsidR="0011115D">
        <w:t xml:space="preserve"> atlīdzība 47,42 lati un tiesas </w:t>
      </w:r>
      <w:r w:rsidR="0011115D" w:rsidRPr="006B37CB">
        <w:t>izdevum</w:t>
      </w:r>
      <w:r w:rsidR="0011115D">
        <w:t>i</w:t>
      </w:r>
      <w:r w:rsidR="0011115D" w:rsidRPr="006B37CB">
        <w:t xml:space="preserve"> </w:t>
      </w:r>
      <w:r w:rsidR="0011115D">
        <w:t>5</w:t>
      </w:r>
      <w:r w:rsidR="0011115D" w:rsidRPr="006B37CB">
        <w:t>3,30 lat</w:t>
      </w:r>
      <w:r w:rsidR="0011115D">
        <w:t xml:space="preserve">i, bet valsts labā – ar lietas izskatīšanu saistītie izdevumi 4,36 </w:t>
      </w:r>
      <w:r w:rsidR="00DB4341" w:rsidRPr="00DB4341">
        <w:t>lati.</w:t>
      </w:r>
    </w:p>
    <w:p w:rsidR="004B012D" w:rsidRPr="00DB4341" w:rsidRDefault="004B012D" w:rsidP="00B05E60">
      <w:pPr>
        <w:spacing w:line="276" w:lineRule="auto"/>
        <w:ind w:firstLine="720"/>
        <w:jc w:val="both"/>
      </w:pPr>
    </w:p>
    <w:p w:rsidR="00C8359B" w:rsidRDefault="00B85424" w:rsidP="00B05E60">
      <w:pPr>
        <w:spacing w:line="276" w:lineRule="auto"/>
        <w:ind w:firstLine="567"/>
        <w:jc w:val="both"/>
      </w:pPr>
      <w:r w:rsidRPr="00B85424">
        <w:t xml:space="preserve">[6] </w:t>
      </w:r>
      <w:r>
        <w:t xml:space="preserve">Izskatot lietu sakarā ar AAS „Baltijas Apdrošināšanas Nams” kasācijas sūdzību, </w:t>
      </w:r>
      <w:r w:rsidR="00C8359B" w:rsidRPr="00B85424">
        <w:t xml:space="preserve">Augstākās tiesas Civillietu departaments </w:t>
      </w:r>
      <w:r w:rsidR="004B012D">
        <w:t xml:space="preserve">ar </w:t>
      </w:r>
      <w:proofErr w:type="gramStart"/>
      <w:r w:rsidR="00C8359B" w:rsidRPr="00B85424">
        <w:t>2014.gada</w:t>
      </w:r>
      <w:proofErr w:type="gramEnd"/>
      <w:r w:rsidR="00C8359B" w:rsidRPr="00B85424">
        <w:t xml:space="preserve"> 28.mart</w:t>
      </w:r>
      <w:r w:rsidR="004B012D">
        <w:t>a spriedumu</w:t>
      </w:r>
      <w:r w:rsidR="00C8359B" w:rsidRPr="00B85424">
        <w:t xml:space="preserve"> atcēl</w:t>
      </w:r>
      <w:r w:rsidR="0067651D">
        <w:t>a</w:t>
      </w:r>
      <w:r w:rsidR="00C8359B" w:rsidRPr="00B85424">
        <w:t xml:space="preserve"> Rīgas apgabaltiesas Civillietu tiesas kolēģijas 2011.gada 28.decembra spriedumu un nodev</w:t>
      </w:r>
      <w:r w:rsidR="0067651D">
        <w:t>a</w:t>
      </w:r>
      <w:r w:rsidR="00C8359B" w:rsidRPr="00B85424">
        <w:t xml:space="preserve"> </w:t>
      </w:r>
      <w:r w:rsidR="0067651D" w:rsidRPr="00B85424">
        <w:t xml:space="preserve">lietu </w:t>
      </w:r>
      <w:r w:rsidR="00C8359B" w:rsidRPr="00B85424">
        <w:t xml:space="preserve">jaunai izskatīšanai apelācijas instances tiesā. </w:t>
      </w:r>
    </w:p>
    <w:p w:rsidR="0067651D" w:rsidRDefault="0067651D" w:rsidP="00B05E60">
      <w:pPr>
        <w:spacing w:line="276" w:lineRule="auto"/>
        <w:ind w:firstLine="567"/>
        <w:jc w:val="both"/>
      </w:pPr>
      <w:r>
        <w:t>Spriedumā norādīts turpmāk minētais.</w:t>
      </w:r>
    </w:p>
    <w:p w:rsidR="004B012D" w:rsidRDefault="00B85424" w:rsidP="00B05E60">
      <w:pPr>
        <w:spacing w:line="276" w:lineRule="auto"/>
        <w:ind w:firstLine="567"/>
        <w:jc w:val="both"/>
      </w:pPr>
      <w:r w:rsidRPr="00B85424">
        <w:t xml:space="preserve">[6.1] </w:t>
      </w:r>
      <w:r w:rsidR="004B012D">
        <w:t>Izšķiramais pamatjautājums ir par to, vai notikušais negadījums situācijā, kad abi transportlīdzekļi bija novietoti stāvēšanai stāvlaukumā, ir kvalificējams kā ceļu satiksmes negadījums.</w:t>
      </w:r>
    </w:p>
    <w:p w:rsidR="00C8359B" w:rsidRPr="00B85424" w:rsidRDefault="004B012D" w:rsidP="00B05E60">
      <w:pPr>
        <w:spacing w:line="276" w:lineRule="auto"/>
        <w:ind w:firstLine="567"/>
        <w:jc w:val="both"/>
      </w:pPr>
      <w:r>
        <w:t>C</w:t>
      </w:r>
      <w:r w:rsidR="00C8359B" w:rsidRPr="00B85424">
        <w:t xml:space="preserve">eļu satiksmes negadījuma definīcija dota Ceļu satiksmes likuma </w:t>
      </w:r>
      <w:proofErr w:type="gramStart"/>
      <w:r w:rsidR="00C8359B" w:rsidRPr="00B85424">
        <w:t>1.panta</w:t>
      </w:r>
      <w:proofErr w:type="gramEnd"/>
      <w:r w:rsidR="00C8359B" w:rsidRPr="00B85424">
        <w:t xml:space="preserve"> 7.punktā</w:t>
      </w:r>
      <w:r>
        <w:t xml:space="preserve">: ceļu satiksmes negadījums ir </w:t>
      </w:r>
      <w:r w:rsidRPr="004B012D">
        <w:rPr>
          <w:shd w:val="clear" w:color="auto" w:fill="FFFFFF"/>
        </w:rPr>
        <w:t>ceļu satiksmē noticis nelaimes gadījums, kurā iesaistīts vismaz viens transportlīdzeklis un kura rezultātā cilvēks gājis bojā, viņam nodarīti miesas bojājumi vai arī nodarīti zaudējumi fiziskās vai juridiskās personas mantai vai videi, kā arī citā vietā, kur iespējama transportlīdzekļa braukšana, noticis negadījums, kurā iesaistīts transportlīdzeklis</w:t>
      </w:r>
      <w:r w:rsidR="00C8359B" w:rsidRPr="004B012D">
        <w:t xml:space="preserve">. </w:t>
      </w:r>
      <w:r w:rsidR="00C8359B" w:rsidRPr="00B85424">
        <w:t xml:space="preserve">Savukārt saskaņā ar minētā likuma 1.panta 5.punktu ceļu satiksme ir attiecības, kas rodas, pārvietojoties pa ceļiem ar transportlīdzekļiem vai bez tiem. </w:t>
      </w:r>
    </w:p>
    <w:p w:rsidR="00281EEE" w:rsidRPr="00B85424" w:rsidRDefault="00C8359B" w:rsidP="00B05E60">
      <w:pPr>
        <w:spacing w:line="276" w:lineRule="auto"/>
        <w:ind w:firstLine="567"/>
        <w:jc w:val="both"/>
      </w:pPr>
      <w:r w:rsidRPr="00B85424">
        <w:t xml:space="preserve">Stāvlaukumā ir iespējama transportlīdzekļu pārvietošanās un manevrēšana, un tādējādi tā varētu būt Ceļu satiksmes likuma </w:t>
      </w:r>
      <w:proofErr w:type="gramStart"/>
      <w:r w:rsidRPr="00B85424">
        <w:t>1.panta</w:t>
      </w:r>
      <w:proofErr w:type="gramEnd"/>
      <w:r w:rsidRPr="00B85424">
        <w:t xml:space="preserve"> 7.punktā minētā cita vieta, kur iespējama braukšana ar transportlīdzekļiem. Taču konkrētajā gadījumā būtiska nozīme ir apstāklim, ka abi transportlīdzekļi negadījuma brīdī stāvlaukumā nepārvietojās un tādējādi ceļu satiksmē nepiedalījās, jo bija tur novietoti stāvēšanai. </w:t>
      </w:r>
      <w:r w:rsidR="00281EEE">
        <w:t>Apelācijas instances tiesa nav vērtējusi atbildētājas piedāvāto minēto tiesību normu iztulkojumu.</w:t>
      </w:r>
    </w:p>
    <w:p w:rsidR="00C8359B" w:rsidRPr="00B85424" w:rsidRDefault="00B85424" w:rsidP="00B05E60">
      <w:pPr>
        <w:spacing w:line="276" w:lineRule="auto"/>
        <w:ind w:firstLine="567"/>
        <w:jc w:val="both"/>
      </w:pPr>
      <w:r w:rsidRPr="00B85424">
        <w:t>[6.2] Nepamatots ir apelācijas</w:t>
      </w:r>
      <w:r w:rsidR="00C8359B" w:rsidRPr="00B85424">
        <w:t xml:space="preserve"> instances tiesas secinājum</w:t>
      </w:r>
      <w:r w:rsidRPr="00B85424">
        <w:t>s</w:t>
      </w:r>
      <w:r w:rsidR="00C8359B" w:rsidRPr="00B85424">
        <w:t xml:space="preserve">, ka jautājums </w:t>
      </w:r>
      <w:r w:rsidR="00BB4979">
        <w:t xml:space="preserve">par </w:t>
      </w:r>
      <w:r w:rsidR="00C8359B" w:rsidRPr="00B85424">
        <w:t>ceļu satiksmes negadījumu jau ir izšķirts, abu transportlīdzekļu vadītājiem</w:t>
      </w:r>
      <w:r w:rsidR="00281EEE">
        <w:t xml:space="preserve"> sastādot saskaņoto paziņojumu</w:t>
      </w:r>
      <w:r w:rsidRPr="00B85424">
        <w:t>.</w:t>
      </w:r>
      <w:r w:rsidR="00281EEE">
        <w:t xml:space="preserve"> Saskaņotais paziņojums ir dokuments, kas pierāda notikuma apstākļus, nevis kalpo par neapstrīdamu pierādījumu tam, ka notikušais ir kvalificējams kā ceļu satiksmes negadījums.</w:t>
      </w:r>
    </w:p>
    <w:p w:rsidR="00B85424" w:rsidRDefault="00BC118B" w:rsidP="00B05E60">
      <w:pPr>
        <w:spacing w:line="276" w:lineRule="auto"/>
        <w:ind w:firstLine="567"/>
        <w:jc w:val="both"/>
      </w:pPr>
      <w:r>
        <w:t>Saskaņotajā paziņojumā</w:t>
      </w:r>
      <w:r w:rsidR="00C8359B" w:rsidRPr="00B85424">
        <w:t xml:space="preserve"> transportlīdzekļa </w:t>
      </w:r>
      <w:proofErr w:type="spellStart"/>
      <w:r w:rsidR="00B85424" w:rsidRPr="00B85424">
        <w:rPr>
          <w:i/>
        </w:rPr>
        <w:t>Škoda</w:t>
      </w:r>
      <w:proofErr w:type="spellEnd"/>
      <w:r w:rsidR="00B85424" w:rsidRPr="00B85424">
        <w:rPr>
          <w:i/>
        </w:rPr>
        <w:t xml:space="preserve"> </w:t>
      </w:r>
      <w:proofErr w:type="spellStart"/>
      <w:r w:rsidR="00B85424" w:rsidRPr="00B85424">
        <w:rPr>
          <w:i/>
        </w:rPr>
        <w:t>Octavia</w:t>
      </w:r>
      <w:proofErr w:type="spellEnd"/>
      <w:r w:rsidR="00B85424" w:rsidRPr="00B85424">
        <w:t xml:space="preserve"> </w:t>
      </w:r>
      <w:r w:rsidR="00C8359B" w:rsidRPr="00B85424">
        <w:t>vadītājs nepārprotami apliecinājis, ka durvis neuzmanīgi atvēris pasažieris.</w:t>
      </w:r>
      <w:r w:rsidR="00281EEE">
        <w:t xml:space="preserve"> I</w:t>
      </w:r>
      <w:r w:rsidR="00C8359B" w:rsidRPr="00B85424">
        <w:t>zšķirot strīdu par apdrošināšanas atlīdzības piedziņu, būtiska nozīme ir negadījuma situācijas, apstākļu un faktu izvērtējumam, nevis tikai negadījumā iesaistītās personas subjek</w:t>
      </w:r>
      <w:r w:rsidR="00B85424">
        <w:t>tīvai attieksmei pret notikušo.</w:t>
      </w:r>
    </w:p>
    <w:p w:rsidR="00281EEE" w:rsidRDefault="00281EEE" w:rsidP="00B05E60">
      <w:pPr>
        <w:spacing w:line="276" w:lineRule="auto"/>
        <w:ind w:firstLine="567"/>
        <w:jc w:val="both"/>
      </w:pPr>
      <w:r>
        <w:t>Apelācijas instances tiesa nav novērtējusi apelācijas sūdzības argumentus par to, ka zaudējumus nodarījis nevis automašīnas vadītājs, bet pasažieris.</w:t>
      </w:r>
    </w:p>
    <w:p w:rsidR="00C20223" w:rsidRDefault="00C20223" w:rsidP="00B05E60">
      <w:pPr>
        <w:spacing w:line="276" w:lineRule="auto"/>
        <w:ind w:firstLine="567"/>
        <w:jc w:val="both"/>
      </w:pPr>
    </w:p>
    <w:p w:rsidR="00B85424" w:rsidRPr="00BC118B" w:rsidRDefault="00281EEE" w:rsidP="00B05E60">
      <w:pPr>
        <w:spacing w:line="276" w:lineRule="auto"/>
        <w:ind w:firstLine="567"/>
        <w:jc w:val="both"/>
      </w:pPr>
      <w:r>
        <w:t>[7</w:t>
      </w:r>
      <w:r w:rsidR="00C8359B" w:rsidRPr="00B85424">
        <w:t>] I</w:t>
      </w:r>
      <w:r w:rsidR="00B85424" w:rsidRPr="00B85424">
        <w:t>zskatot</w:t>
      </w:r>
      <w:r w:rsidR="00C8359B" w:rsidRPr="00B85424">
        <w:t xml:space="preserve"> lietu atkārtoti</w:t>
      </w:r>
      <w:r w:rsidR="00CF4254">
        <w:t xml:space="preserve"> apelācijas instancē</w:t>
      </w:r>
      <w:r w:rsidR="00C8359B" w:rsidRPr="00B85424">
        <w:t xml:space="preserve">, </w:t>
      </w:r>
      <w:r w:rsidR="00B85424" w:rsidRPr="00B85424">
        <w:t xml:space="preserve">ar </w:t>
      </w:r>
      <w:r w:rsidR="00C8359B" w:rsidRPr="00B85424">
        <w:t>Rīgas apgabaltiesas Civillietu tiesas kolēģija</w:t>
      </w:r>
      <w:r w:rsidR="00B85424" w:rsidRPr="00B85424">
        <w:t>s</w:t>
      </w:r>
      <w:r w:rsidR="00C8359B" w:rsidRPr="00B85424">
        <w:t xml:space="preserve"> </w:t>
      </w:r>
      <w:proofErr w:type="gramStart"/>
      <w:r w:rsidR="00C8359B" w:rsidRPr="00B85424">
        <w:t>2014.gada</w:t>
      </w:r>
      <w:proofErr w:type="gramEnd"/>
      <w:r w:rsidR="00C8359B" w:rsidRPr="00B85424">
        <w:t xml:space="preserve"> </w:t>
      </w:r>
      <w:r w:rsidR="00BB4979">
        <w:t>20</w:t>
      </w:r>
      <w:r w:rsidR="00C8359B" w:rsidRPr="00B85424">
        <w:t xml:space="preserve">.maija spriedumu </w:t>
      </w:r>
      <w:r w:rsidR="00B85424" w:rsidRPr="00B85424">
        <w:t xml:space="preserve">Eiropas komercsabiedrības „BTA </w:t>
      </w:r>
      <w:proofErr w:type="spellStart"/>
      <w:r w:rsidR="00B85424" w:rsidRPr="00B85424">
        <w:t>Insuranc</w:t>
      </w:r>
      <w:r w:rsidR="00BC118B">
        <w:t>e</w:t>
      </w:r>
      <w:proofErr w:type="spellEnd"/>
      <w:r w:rsidR="00BC118B">
        <w:t xml:space="preserve"> </w:t>
      </w:r>
      <w:proofErr w:type="spellStart"/>
      <w:r w:rsidR="00BC118B">
        <w:t>Company</w:t>
      </w:r>
      <w:proofErr w:type="spellEnd"/>
      <w:r w:rsidR="00BC118B">
        <w:t xml:space="preserve">” SE prasība noraidīta. No Eiropas komercsabiedrības „BTA </w:t>
      </w:r>
      <w:proofErr w:type="spellStart"/>
      <w:r w:rsidR="00BC118B">
        <w:t>Insurance</w:t>
      </w:r>
      <w:proofErr w:type="spellEnd"/>
      <w:r w:rsidR="00BC118B">
        <w:t xml:space="preserve"> </w:t>
      </w:r>
      <w:proofErr w:type="spellStart"/>
      <w:r w:rsidR="00BC118B">
        <w:t>Company</w:t>
      </w:r>
      <w:proofErr w:type="spellEnd"/>
      <w:r w:rsidR="00BC118B">
        <w:t xml:space="preserve">” SE valsts labā piedzīti ar lietas izskatīšanu saistītie izdevumi 10,80 </w:t>
      </w:r>
      <w:proofErr w:type="spellStart"/>
      <w:r w:rsidR="00BC118B">
        <w:rPr>
          <w:i/>
        </w:rPr>
        <w:t>euro</w:t>
      </w:r>
      <w:proofErr w:type="spellEnd"/>
      <w:r w:rsidR="00BC118B">
        <w:t>.</w:t>
      </w:r>
    </w:p>
    <w:p w:rsidR="001F00E9" w:rsidRPr="003B4517" w:rsidRDefault="00B85424" w:rsidP="00B05E60">
      <w:pPr>
        <w:spacing w:line="276" w:lineRule="auto"/>
        <w:ind w:firstLine="567"/>
        <w:jc w:val="both"/>
      </w:pPr>
      <w:r>
        <w:t xml:space="preserve">Spriedums pamatots ar </w:t>
      </w:r>
      <w:r w:rsidR="00BC118B">
        <w:t>turpmāk norādītajiem</w:t>
      </w:r>
      <w:r>
        <w:t xml:space="preserve"> motīviem</w:t>
      </w:r>
      <w:r w:rsidR="001F00E9" w:rsidRPr="003B4517">
        <w:t>.</w:t>
      </w:r>
    </w:p>
    <w:p w:rsidR="00C8359B" w:rsidRPr="00CE598D" w:rsidRDefault="00174EE6" w:rsidP="00B05E60">
      <w:pPr>
        <w:spacing w:line="276" w:lineRule="auto"/>
        <w:ind w:firstLine="567"/>
        <w:jc w:val="both"/>
      </w:pPr>
      <w:r w:rsidRPr="00CE598D">
        <w:t>[</w:t>
      </w:r>
      <w:r w:rsidR="00FF06DC">
        <w:t>7</w:t>
      </w:r>
      <w:r w:rsidRPr="00CE598D">
        <w:t xml:space="preserve">.1] </w:t>
      </w:r>
      <w:r w:rsidR="00C8359B" w:rsidRPr="00CE598D">
        <w:t xml:space="preserve">Lai apdrošinātājs būtu tiesīgs izmaksāt apdrošināšanas atlīdzību, tam ir jāpārliecinās, pirmkārt, vai ir iestājies apdrošināšanas gadījums, otrkārt, vai apdrošinājuma ņēmējs ir izpildījis savus likumā un apdrošināšanas noteikumos paredzētos pienākumus. </w:t>
      </w:r>
    </w:p>
    <w:p w:rsidR="00C8359B" w:rsidRPr="00CE598D" w:rsidRDefault="00CE598D" w:rsidP="00B05E60">
      <w:pPr>
        <w:spacing w:line="276" w:lineRule="auto"/>
        <w:ind w:firstLine="567"/>
        <w:jc w:val="both"/>
      </w:pPr>
      <w:r w:rsidRPr="00CE598D">
        <w:t>[</w:t>
      </w:r>
      <w:r w:rsidR="0067651D">
        <w:t>7</w:t>
      </w:r>
      <w:r w:rsidRPr="00CE598D">
        <w:t xml:space="preserve">.2] </w:t>
      </w:r>
      <w:r w:rsidR="00C8359B" w:rsidRPr="00CE598D">
        <w:t xml:space="preserve">Lietā nav strīda par to, ka negadījuma vietā </w:t>
      </w:r>
      <w:r w:rsidR="00591BE7">
        <w:t>[pers.</w:t>
      </w:r>
      <w:r w:rsidR="00591BE7" w:rsidRPr="00591BE7">
        <w:rPr>
          <w:lang w:val="en-US"/>
        </w:rPr>
        <w:t> </w:t>
      </w:r>
      <w:r w:rsidR="00591BE7">
        <w:t xml:space="preserve">A] </w:t>
      </w:r>
      <w:r w:rsidR="00C8359B" w:rsidRPr="00CE598D">
        <w:t xml:space="preserve">un zaudējumus nodarījušā transportlīdzekļa </w:t>
      </w:r>
      <w:r w:rsidR="00C8359B" w:rsidRPr="00CE598D">
        <w:rPr>
          <w:i/>
        </w:rPr>
        <w:t xml:space="preserve">VW </w:t>
      </w:r>
      <w:proofErr w:type="spellStart"/>
      <w:r w:rsidR="00C8359B" w:rsidRPr="00CE598D">
        <w:rPr>
          <w:i/>
        </w:rPr>
        <w:t>Passat</w:t>
      </w:r>
      <w:proofErr w:type="spellEnd"/>
      <w:r w:rsidR="00C8359B" w:rsidRPr="00CE598D">
        <w:rPr>
          <w:i/>
        </w:rPr>
        <w:t xml:space="preserve"> </w:t>
      </w:r>
      <w:r w:rsidR="00BC118B">
        <w:t xml:space="preserve">vadītājs </w:t>
      </w:r>
      <w:r w:rsidR="00591BE7">
        <w:t>[pers.</w:t>
      </w:r>
      <w:r w:rsidR="00591BE7" w:rsidRPr="00591BE7">
        <w:rPr>
          <w:lang w:val="en-US"/>
        </w:rPr>
        <w:t> </w:t>
      </w:r>
      <w:r w:rsidR="00591BE7">
        <w:rPr>
          <w:lang w:val="en-US"/>
        </w:rPr>
        <w:t>B</w:t>
      </w:r>
      <w:r w:rsidR="00591BE7">
        <w:t>]</w:t>
      </w:r>
      <w:r w:rsidR="00BC118B">
        <w:t xml:space="preserve"> aizpildīja</w:t>
      </w:r>
      <w:r w:rsidR="00C8359B" w:rsidRPr="00CE598D">
        <w:t xml:space="preserve"> saskaņoto paziņojumu par ceļu satiksmes negadījumu, kurā </w:t>
      </w:r>
      <w:r w:rsidR="00591BE7">
        <w:t>[pers.</w:t>
      </w:r>
      <w:r w:rsidR="00591BE7" w:rsidRPr="00591BE7">
        <w:rPr>
          <w:lang w:val="en-US"/>
        </w:rPr>
        <w:t> </w:t>
      </w:r>
      <w:r w:rsidR="00591BE7">
        <w:rPr>
          <w:lang w:val="en-US"/>
        </w:rPr>
        <w:t>B</w:t>
      </w:r>
      <w:r w:rsidR="00591BE7">
        <w:t>]</w:t>
      </w:r>
      <w:r w:rsidR="00C8359B" w:rsidRPr="00CE598D">
        <w:t xml:space="preserve"> atzin</w:t>
      </w:r>
      <w:r w:rsidRPr="00CE598D">
        <w:t>a</w:t>
      </w:r>
      <w:r w:rsidR="00C8359B" w:rsidRPr="00CE598D">
        <w:t xml:space="preserve"> savu vainu, kā arī apstiprināj</w:t>
      </w:r>
      <w:r w:rsidRPr="00CE598D">
        <w:t>a</w:t>
      </w:r>
      <w:r w:rsidR="00C8359B" w:rsidRPr="00CE598D">
        <w:t xml:space="preserve">, ka ar viņa vadītā </w:t>
      </w:r>
      <w:r w:rsidR="00C8359B" w:rsidRPr="00CE598D">
        <w:lastRenderedPageBreak/>
        <w:t xml:space="preserve">transportlīdzekļa aizmugurējām durvīm pasažieris saskrāpējis blakus stāvošo transportlīdzekli. </w:t>
      </w:r>
    </w:p>
    <w:p w:rsidR="00C8359B" w:rsidRPr="00CE598D" w:rsidRDefault="00C8359B" w:rsidP="00B05E60">
      <w:pPr>
        <w:spacing w:line="276" w:lineRule="auto"/>
        <w:ind w:firstLine="567"/>
        <w:jc w:val="both"/>
      </w:pPr>
      <w:r w:rsidRPr="00CE598D">
        <w:t xml:space="preserve">Lietā </w:t>
      </w:r>
      <w:r w:rsidR="0067651D">
        <w:t>ir</w:t>
      </w:r>
      <w:r w:rsidRPr="00CE598D">
        <w:t xml:space="preserve"> strīds p</w:t>
      </w:r>
      <w:r w:rsidR="0067651D">
        <w:t xml:space="preserve">ar to, vai minētais negadījums </w:t>
      </w:r>
      <w:r w:rsidRPr="00CE598D">
        <w:t xml:space="preserve">ir atzīstams par ceļu satiksmes negadījumu Ceļu satiksmes likuma izpratnē. </w:t>
      </w:r>
    </w:p>
    <w:p w:rsidR="00D43D2C" w:rsidRDefault="00CE598D" w:rsidP="00B05E60">
      <w:pPr>
        <w:spacing w:line="276" w:lineRule="auto"/>
        <w:ind w:firstLine="567"/>
        <w:jc w:val="both"/>
      </w:pPr>
      <w:r w:rsidRPr="00CE598D">
        <w:t>[</w:t>
      </w:r>
      <w:r w:rsidR="00D43D2C">
        <w:t>7</w:t>
      </w:r>
      <w:r w:rsidRPr="00CE598D">
        <w:t xml:space="preserve">.3] </w:t>
      </w:r>
      <w:r w:rsidR="00C8359B" w:rsidRPr="00CE598D">
        <w:t xml:space="preserve">Ceļu satiksmes </w:t>
      </w:r>
      <w:r w:rsidR="00D43D2C">
        <w:t xml:space="preserve">negadījuma definīcija izriet no Ceļu satiksmes likuma </w:t>
      </w:r>
      <w:proofErr w:type="gramStart"/>
      <w:r w:rsidR="00C8359B" w:rsidRPr="00CE598D">
        <w:t>1.panta</w:t>
      </w:r>
      <w:proofErr w:type="gramEnd"/>
      <w:r w:rsidR="00C8359B" w:rsidRPr="00CE598D">
        <w:t xml:space="preserve"> 7.punkt</w:t>
      </w:r>
      <w:r w:rsidR="00FB7050">
        <w:t>a.</w:t>
      </w:r>
      <w:r w:rsidR="00C8359B" w:rsidRPr="00CE598D">
        <w:t xml:space="preserve"> </w:t>
      </w:r>
      <w:r w:rsidR="00D43D2C">
        <w:t xml:space="preserve">Lai noskaidrotu, vai, transportlīdzekļiem stāvot stāvvietā, turpinās ceļu satiksme, jānoskaidro termina „ceļu satiksme” definīcija. </w:t>
      </w:r>
      <w:r w:rsidR="00C8359B" w:rsidRPr="00CE598D">
        <w:t>Saskaņā ar Ceļu s</w:t>
      </w:r>
      <w:r w:rsidR="00D43D2C">
        <w:t xml:space="preserve">atiksmes likuma </w:t>
      </w:r>
      <w:proofErr w:type="gramStart"/>
      <w:r w:rsidR="00D43D2C">
        <w:t>1.panta</w:t>
      </w:r>
      <w:proofErr w:type="gramEnd"/>
      <w:r w:rsidR="00D43D2C">
        <w:t xml:space="preserve"> 5.punktu</w:t>
      </w:r>
      <w:r w:rsidR="00C8359B" w:rsidRPr="00CE598D">
        <w:t xml:space="preserve"> ceļu satiksme ir attiecības, kas rodas, pārvietojoties pa ceļiem ar transportlīdzekļiem vai bez tiem. </w:t>
      </w:r>
    </w:p>
    <w:p w:rsidR="00C8359B" w:rsidRPr="00CE598D" w:rsidRDefault="00BC118B" w:rsidP="00B05E60">
      <w:pPr>
        <w:spacing w:line="276" w:lineRule="auto"/>
        <w:ind w:firstLine="567"/>
        <w:jc w:val="both"/>
      </w:pPr>
      <w:r>
        <w:t>No minētā secināms</w:t>
      </w:r>
      <w:r w:rsidR="00C8359B" w:rsidRPr="00CE598D">
        <w:t>, ka ceļu satiksme notiek tikai</w:t>
      </w:r>
      <w:r>
        <w:t xml:space="preserve"> tad</w:t>
      </w:r>
      <w:r w:rsidR="00C8359B" w:rsidRPr="00CE598D">
        <w:t>, ja transportlīdzeklis reāli pārvietojas, nevis ir novietots stāvlaukumā stāvēšanai. Konkrētajā gadījumā, lai atzītu, ka ir</w:t>
      </w:r>
      <w:r>
        <w:t xml:space="preserve"> notikusi</w:t>
      </w:r>
      <w:r w:rsidR="00C8359B" w:rsidRPr="00CE598D">
        <w:t xml:space="preserve"> ceļu satiksme, vismaz vienam no negadījumā iesaistītajiem transportlīdzekļiem </w:t>
      </w:r>
      <w:r w:rsidR="00CE598D">
        <w:t>bija</w:t>
      </w:r>
      <w:r w:rsidR="00C8359B" w:rsidRPr="00CE598D">
        <w:t xml:space="preserve"> pa stāvlaukumu jāpārvietojas</w:t>
      </w:r>
      <w:proofErr w:type="gramStart"/>
      <w:r w:rsidR="00D43D2C">
        <w:t xml:space="preserve"> vai jāmanevrē</w:t>
      </w:r>
      <w:r w:rsidR="00C8359B" w:rsidRPr="00CE598D">
        <w:t>, proti</w:t>
      </w:r>
      <w:proofErr w:type="gramEnd"/>
      <w:r w:rsidR="00C8359B" w:rsidRPr="00CE598D">
        <w:t>, jābūt reālā kustībā, taču no lietas materiālie</w:t>
      </w:r>
      <w:r w:rsidR="00CE598D" w:rsidRPr="00CE598D">
        <w:t xml:space="preserve">m </w:t>
      </w:r>
      <w:r w:rsidR="00D43D2C">
        <w:t>redza</w:t>
      </w:r>
      <w:r w:rsidR="00CE598D" w:rsidRPr="00CE598D">
        <w:t xml:space="preserve">ms, ka abi transportlīdzekļi </w:t>
      </w:r>
      <w:r w:rsidR="00C8359B" w:rsidRPr="00CE598D">
        <w:t>negadījuma brīdī bija novietoti stāvēšanai un to dalīb</w:t>
      </w:r>
      <w:r w:rsidR="00CE598D" w:rsidRPr="00CE598D">
        <w:t>a ceļu satiksmē bija pārtraukta. Ap</w:t>
      </w:r>
      <w:r w:rsidR="00C8359B" w:rsidRPr="00CE598D">
        <w:t xml:space="preserve">turot transportlīdzekļus stāvlaukumā, transportlīdzekļu vadītāji bija izteikuši savu gribu pārtraukt dalību ceļu satiksmē. </w:t>
      </w:r>
    </w:p>
    <w:p w:rsidR="00C8359B" w:rsidRPr="00CE598D" w:rsidRDefault="00CE598D" w:rsidP="00B05E60">
      <w:pPr>
        <w:spacing w:line="276" w:lineRule="auto"/>
        <w:ind w:firstLine="567"/>
        <w:jc w:val="both"/>
      </w:pPr>
      <w:r w:rsidRPr="00CE598D">
        <w:t>[</w:t>
      </w:r>
      <w:r w:rsidR="00630820">
        <w:t>7</w:t>
      </w:r>
      <w:r w:rsidRPr="00CE598D">
        <w:t xml:space="preserve">.4] </w:t>
      </w:r>
      <w:r w:rsidR="00630820">
        <w:t>Lai gan vadītāji a</w:t>
      </w:r>
      <w:r w:rsidR="00C8359B" w:rsidRPr="00CE598D">
        <w:t xml:space="preserve">tbilstoši </w:t>
      </w:r>
      <w:r w:rsidRPr="00CE598D">
        <w:t>Ministru k</w:t>
      </w:r>
      <w:r w:rsidR="00C8359B" w:rsidRPr="00CE598D">
        <w:t>abineta</w:t>
      </w:r>
      <w:r w:rsidRPr="00CE598D">
        <w:t xml:space="preserve"> </w:t>
      </w:r>
      <w:proofErr w:type="gramStart"/>
      <w:r w:rsidRPr="00CE598D">
        <w:t>2004.gada</w:t>
      </w:r>
      <w:proofErr w:type="gramEnd"/>
      <w:r w:rsidRPr="00CE598D">
        <w:t xml:space="preserve"> 29.jūnija</w:t>
      </w:r>
      <w:r w:rsidR="00C8359B" w:rsidRPr="00CE598D">
        <w:t xml:space="preserve"> noteikumu Nr.</w:t>
      </w:r>
      <w:r w:rsidR="00630820">
        <w:t> </w:t>
      </w:r>
      <w:r w:rsidR="00C8359B" w:rsidRPr="00CE598D">
        <w:t xml:space="preserve">571 „Ceļu satiksmes noteikumi” 51.2.punktam </w:t>
      </w:r>
      <w:r w:rsidR="00630820">
        <w:t>ir aizpildījuši sask</w:t>
      </w:r>
      <w:r w:rsidR="00C8359B" w:rsidRPr="00CE598D">
        <w:t>aņot</w:t>
      </w:r>
      <w:r w:rsidR="00630820">
        <w:t>o</w:t>
      </w:r>
      <w:r w:rsidR="00C8359B" w:rsidRPr="00CE598D">
        <w:t xml:space="preserve"> paziņojum</w:t>
      </w:r>
      <w:r w:rsidR="00630820">
        <w:t>u, tas nemaz</w:t>
      </w:r>
      <w:r w:rsidR="00C8359B" w:rsidRPr="00CE598D">
        <w:t xml:space="preserve"> </w:t>
      </w:r>
      <w:r w:rsidRPr="00CE598D">
        <w:t>nebija</w:t>
      </w:r>
      <w:r w:rsidR="00C8359B" w:rsidRPr="00CE598D">
        <w:t xml:space="preserve"> jā</w:t>
      </w:r>
      <w:r w:rsidR="00BC118B">
        <w:t>aizpilda</w:t>
      </w:r>
      <w:r w:rsidR="00C8359B" w:rsidRPr="00CE598D">
        <w:t>, jo</w:t>
      </w:r>
      <w:r w:rsidR="00E52AF4">
        <w:t>,</w:t>
      </w:r>
      <w:r w:rsidR="00C8359B" w:rsidRPr="00CE598D">
        <w:t xml:space="preserve"> kā </w:t>
      </w:r>
      <w:r w:rsidR="00E52AF4">
        <w:t xml:space="preserve">iepriekš </w:t>
      </w:r>
      <w:r w:rsidR="00C8359B" w:rsidRPr="00CE598D">
        <w:t>norādīts, transportlīdzeklis ti</w:t>
      </w:r>
      <w:r w:rsidR="00E52AF4">
        <w:t>ka</w:t>
      </w:r>
      <w:r w:rsidR="00C8359B" w:rsidRPr="00CE598D">
        <w:t xml:space="preserve"> bojāts ārpus ceļ</w:t>
      </w:r>
      <w:r w:rsidR="00E52AF4">
        <w:t>u</w:t>
      </w:r>
      <w:r w:rsidR="00C8359B" w:rsidRPr="00CE598D">
        <w:t xml:space="preserve"> satiksmes, taču atbilstoši normatīvo aktu prasībām saskaņotais paziņojums ir aizpildāms vien par negadījumiem ceļ</w:t>
      </w:r>
      <w:r w:rsidR="00E52AF4">
        <w:t>u</w:t>
      </w:r>
      <w:r w:rsidR="00C8359B" w:rsidRPr="00CE598D">
        <w:t xml:space="preserve"> satiksmē. </w:t>
      </w:r>
      <w:r w:rsidR="00E52AF4">
        <w:t xml:space="preserve">Turklāt </w:t>
      </w:r>
      <w:r w:rsidR="00C8359B" w:rsidRPr="00CE598D">
        <w:t xml:space="preserve">saskaņotais paziņojums nekalpo </w:t>
      </w:r>
      <w:r w:rsidR="00E52AF4">
        <w:t>par</w:t>
      </w:r>
      <w:r w:rsidR="00C8359B" w:rsidRPr="00CE598D">
        <w:t xml:space="preserve"> neapstrīdam</w:t>
      </w:r>
      <w:r w:rsidR="00E52AF4">
        <w:t>u</w:t>
      </w:r>
      <w:r w:rsidR="00C8359B" w:rsidRPr="00CE598D">
        <w:t xml:space="preserve"> apliecinājum</w:t>
      </w:r>
      <w:r w:rsidR="00E52AF4">
        <w:t>u</w:t>
      </w:r>
      <w:r w:rsidR="00C8359B" w:rsidRPr="00CE598D">
        <w:t xml:space="preserve"> tam, ka negadījums kvalificējams kā ceļu satiksmes negadījums. </w:t>
      </w:r>
    </w:p>
    <w:p w:rsidR="00E52AF4" w:rsidRDefault="00CE598D" w:rsidP="00B05E60">
      <w:pPr>
        <w:spacing w:line="276" w:lineRule="auto"/>
        <w:ind w:firstLine="567"/>
        <w:jc w:val="both"/>
      </w:pPr>
      <w:r w:rsidRPr="00CE598D">
        <w:t>[</w:t>
      </w:r>
      <w:r w:rsidR="00E52AF4">
        <w:t>7</w:t>
      </w:r>
      <w:r w:rsidRPr="00CE598D">
        <w:t xml:space="preserve">.5] </w:t>
      </w:r>
      <w:r w:rsidR="00C8359B" w:rsidRPr="00CE598D">
        <w:t xml:space="preserve">Sauszemes transportlīdzekļu īpašnieku civiltiesiskās atbildības obligātās apdrošināšanas likuma </w:t>
      </w:r>
      <w:proofErr w:type="gramStart"/>
      <w:r w:rsidR="00C8359B" w:rsidRPr="00CE598D">
        <w:t>1.panta</w:t>
      </w:r>
      <w:proofErr w:type="gramEnd"/>
      <w:r w:rsidR="00C8359B" w:rsidRPr="00CE598D">
        <w:t xml:space="preserve"> 2.punktā </w:t>
      </w:r>
      <w:r w:rsidR="00FB7050">
        <w:t>ir</w:t>
      </w:r>
      <w:r w:rsidR="00C8359B" w:rsidRPr="00CE598D">
        <w:t xml:space="preserve"> termina „apdroš</w:t>
      </w:r>
      <w:r w:rsidR="00E52AF4">
        <w:t>ināšanas gadījums” skaidrojums –</w:t>
      </w:r>
      <w:r w:rsidR="00C8359B" w:rsidRPr="00CE598D">
        <w:t xml:space="preserve"> tas ir ceļu satiksmes negadījums, kuram iestājoties paredzēta apdrošināšanas atlīdzības izmaksa. </w:t>
      </w:r>
    </w:p>
    <w:p w:rsidR="00C8359B" w:rsidRPr="00CE598D" w:rsidRDefault="00E52AF4" w:rsidP="00B05E60">
      <w:pPr>
        <w:spacing w:line="276" w:lineRule="auto"/>
        <w:ind w:firstLine="567"/>
        <w:jc w:val="both"/>
      </w:pPr>
      <w:r>
        <w:t>No minētā s</w:t>
      </w:r>
      <w:r w:rsidR="00C8359B" w:rsidRPr="00CE598D">
        <w:t xml:space="preserve">ecināms, ka apdrošināšanas atlīdzības izmaksai nebija pamata, jo nav konstatējams, ka negadījums būtu atzīstams par ceļu satiksmes negadījumu. </w:t>
      </w:r>
    </w:p>
    <w:p w:rsidR="00CE598D" w:rsidRPr="00CE598D" w:rsidRDefault="00C8359B" w:rsidP="00B05E60">
      <w:pPr>
        <w:spacing w:line="276" w:lineRule="auto"/>
        <w:ind w:firstLine="567"/>
        <w:jc w:val="both"/>
      </w:pPr>
      <w:r w:rsidRPr="00CE598D">
        <w:t>Apstāklis, ka prasītāja gramatiski kļūdaini interpretējusi likuma normas un izmaksājusi apdrošināšanas atlīdzību, nedod tai tiesības saņemt izmaksāt</w:t>
      </w:r>
      <w:r w:rsidR="007D48BD">
        <w:t>o</w:t>
      </w:r>
      <w:r w:rsidRPr="00CE598D">
        <w:t xml:space="preserve"> atlīdzīb</w:t>
      </w:r>
      <w:r w:rsidR="007D48BD">
        <w:t>u</w:t>
      </w:r>
      <w:r w:rsidRPr="00CE598D">
        <w:t xml:space="preserve"> no atbildētājas. </w:t>
      </w:r>
    </w:p>
    <w:p w:rsidR="00BC118B" w:rsidRDefault="00CE598D" w:rsidP="00B05E60">
      <w:pPr>
        <w:spacing w:line="276" w:lineRule="auto"/>
        <w:ind w:firstLine="567"/>
        <w:jc w:val="both"/>
      </w:pPr>
      <w:r w:rsidRPr="00CE598D">
        <w:t>[</w:t>
      </w:r>
      <w:r w:rsidR="00E52AF4">
        <w:t>7</w:t>
      </w:r>
      <w:r w:rsidRPr="00CE598D">
        <w:t xml:space="preserve">.6] </w:t>
      </w:r>
      <w:proofErr w:type="gramStart"/>
      <w:r w:rsidRPr="00CE598D">
        <w:t>N</w:t>
      </w:r>
      <w:r w:rsidR="00C8359B" w:rsidRPr="00CE598D">
        <w:t>eskatoties uz to, ka</w:t>
      </w:r>
      <w:proofErr w:type="gramEnd"/>
      <w:r w:rsidR="00C8359B" w:rsidRPr="00CE598D">
        <w:t xml:space="preserve"> ar saskaņoto paziņojumu negadījuma dalībnieki atzinuši par vainīgu tā izraisīšanā nevis transportlīdzekļa </w:t>
      </w:r>
      <w:proofErr w:type="spellStart"/>
      <w:r w:rsidR="00C8359B" w:rsidRPr="00CE598D">
        <w:rPr>
          <w:i/>
        </w:rPr>
        <w:t>Š</w:t>
      </w:r>
      <w:r w:rsidRPr="00CE598D">
        <w:rPr>
          <w:i/>
        </w:rPr>
        <w:t>koda</w:t>
      </w:r>
      <w:proofErr w:type="spellEnd"/>
      <w:r w:rsidR="00C8359B" w:rsidRPr="00CE598D">
        <w:rPr>
          <w:i/>
        </w:rPr>
        <w:t xml:space="preserve"> </w:t>
      </w:r>
      <w:proofErr w:type="spellStart"/>
      <w:r w:rsidR="00C8359B" w:rsidRPr="00CE598D">
        <w:rPr>
          <w:i/>
        </w:rPr>
        <w:t>Octavia</w:t>
      </w:r>
      <w:proofErr w:type="spellEnd"/>
      <w:r w:rsidR="00C8359B" w:rsidRPr="00CE598D">
        <w:t xml:space="preserve"> pasažieri, kā tas bija patiesībā, bet gan tā vadītāju, ir jāņem vērā negadījuma </w:t>
      </w:r>
      <w:r w:rsidRPr="00CE598D">
        <w:t>apstākļi</w:t>
      </w:r>
      <w:r w:rsidR="00C8359B" w:rsidRPr="00CE598D">
        <w:t xml:space="preserve"> un fakt</w:t>
      </w:r>
      <w:r w:rsidRPr="00CE598D">
        <w:t>i</w:t>
      </w:r>
      <w:r w:rsidR="00C8359B" w:rsidRPr="00CE598D">
        <w:t>, nepaļaujoties vien uz negadījumā iesaistī</w:t>
      </w:r>
      <w:r w:rsidRPr="00CE598D">
        <w:t xml:space="preserve">to personu subjektīvo viedokli. </w:t>
      </w:r>
    </w:p>
    <w:p w:rsidR="00C8359B" w:rsidRPr="00CE598D" w:rsidRDefault="00C8359B" w:rsidP="00B05E60">
      <w:pPr>
        <w:spacing w:line="276" w:lineRule="auto"/>
        <w:ind w:firstLine="567"/>
        <w:jc w:val="both"/>
      </w:pPr>
      <w:r w:rsidRPr="00CE598D">
        <w:t xml:space="preserve">Attiecīgi zaudējumu atlīdzināšanas pienākums konkrētajā gadījumā </w:t>
      </w:r>
      <w:r w:rsidR="00522F48">
        <w:t>ir</w:t>
      </w:r>
      <w:r w:rsidRPr="00CE598D">
        <w:t xml:space="preserve"> pasažieri</w:t>
      </w:r>
      <w:r w:rsidR="00522F48">
        <w:t>m</w:t>
      </w:r>
      <w:r w:rsidRPr="00CE598D">
        <w:t xml:space="preserve"> saskaņā ar Civillikuma 1770.</w:t>
      </w:r>
      <w:r w:rsidR="00CE598D" w:rsidRPr="00CE598D">
        <w:t>, 1773.</w:t>
      </w:r>
      <w:r w:rsidRPr="00CE598D">
        <w:t xml:space="preserve">, 1775. un </w:t>
      </w:r>
      <w:proofErr w:type="gramStart"/>
      <w:r w:rsidRPr="00CE598D">
        <w:t>1779.pantu</w:t>
      </w:r>
      <w:proofErr w:type="gramEnd"/>
      <w:r w:rsidRPr="00CE598D">
        <w:t xml:space="preserve">. </w:t>
      </w:r>
    </w:p>
    <w:p w:rsidR="00CE598D" w:rsidRPr="00CE598D" w:rsidRDefault="00CE598D" w:rsidP="00B05E60">
      <w:pPr>
        <w:spacing w:line="276" w:lineRule="auto"/>
        <w:ind w:firstLine="567"/>
        <w:jc w:val="both"/>
      </w:pPr>
      <w:r w:rsidRPr="00CE598D">
        <w:t>[</w:t>
      </w:r>
      <w:r w:rsidR="00532A01">
        <w:t>7</w:t>
      </w:r>
      <w:r w:rsidRPr="00CE598D">
        <w:t xml:space="preserve">.7] </w:t>
      </w:r>
      <w:r w:rsidR="00C8359B" w:rsidRPr="00CE598D">
        <w:t>Prasītājas arguments, ka vadītājs t</w:t>
      </w:r>
      <w:r w:rsidRPr="00CE598D">
        <w:t>ransport</w:t>
      </w:r>
      <w:r w:rsidR="00C8359B" w:rsidRPr="00CE598D">
        <w:t xml:space="preserve">līdzekli novietoja pārāk tuvu blakus esošai automašīnai un tāpēc ar viņa vadītā transportlīdzekļa aizmugurējām durvīm pasažieris saskrāpējis blakus stāvošo transportlīdzekli, nevar būt par pamatu prasības apmierināšanai. </w:t>
      </w:r>
    </w:p>
    <w:p w:rsidR="00C8359B" w:rsidRDefault="00C8359B" w:rsidP="00B05E60">
      <w:pPr>
        <w:spacing w:line="276" w:lineRule="auto"/>
        <w:ind w:firstLine="567"/>
        <w:jc w:val="both"/>
      </w:pPr>
      <w:r w:rsidRPr="00CE598D">
        <w:t>Pasažierim pirms durvju atvēršanas ir jāpārliecinās par to, vai distance starp automašīnām ir pietiekama, lai durvis atvērtu pilnībā. Savukārt, ja šī distance nav pietiekama, pasažierim jāizkāpj pa otras puses durvīm, vai, ja tas nav iespējams, jāinformē vadītājs, lai viņš mašīnu izbrauc ārā un pēc pasažiera izkāpšanas novieto atp</w:t>
      </w:r>
      <w:r w:rsidR="00CE598D">
        <w:t>akaļ stāvēšanai paredzētā vietā.</w:t>
      </w:r>
    </w:p>
    <w:p w:rsidR="00F73C25" w:rsidRPr="003C49C6" w:rsidRDefault="00A00192" w:rsidP="00B05E60">
      <w:pPr>
        <w:spacing w:line="276" w:lineRule="auto"/>
        <w:ind w:firstLine="567"/>
        <w:jc w:val="both"/>
      </w:pPr>
      <w:r w:rsidRPr="007F7967">
        <w:lastRenderedPageBreak/>
        <w:t>[</w:t>
      </w:r>
      <w:r w:rsidR="00532A01">
        <w:t>8</w:t>
      </w:r>
      <w:r w:rsidRPr="007F7967">
        <w:t xml:space="preserve">] </w:t>
      </w:r>
      <w:r w:rsidR="00174EE6" w:rsidRPr="00174EE6">
        <w:t xml:space="preserve">Prasītāja </w:t>
      </w:r>
      <w:r w:rsidR="00FC5B6D">
        <w:t>Eiropas komercsabiedrība</w:t>
      </w:r>
      <w:r w:rsidR="00B85424">
        <w:t xml:space="preserve"> „BTA </w:t>
      </w:r>
      <w:proofErr w:type="spellStart"/>
      <w:r w:rsidR="00B85424">
        <w:t>Insurance</w:t>
      </w:r>
      <w:proofErr w:type="spellEnd"/>
      <w:r w:rsidR="00B85424">
        <w:t xml:space="preserve"> </w:t>
      </w:r>
      <w:proofErr w:type="spellStart"/>
      <w:r w:rsidR="00B85424">
        <w:t>Company</w:t>
      </w:r>
      <w:proofErr w:type="spellEnd"/>
      <w:r w:rsidR="00B85424">
        <w:t>” SE</w:t>
      </w:r>
      <w:r w:rsidR="00B85424" w:rsidRPr="00174EE6">
        <w:t xml:space="preserve"> </w:t>
      </w:r>
      <w:r w:rsidRPr="00174EE6">
        <w:t>iesnie</w:t>
      </w:r>
      <w:r w:rsidR="00090576">
        <w:t>dza</w:t>
      </w:r>
      <w:r w:rsidRPr="00174EE6">
        <w:t xml:space="preserve"> kasācijas sūdzību</w:t>
      </w:r>
      <w:r w:rsidR="006C41AE" w:rsidRPr="00174EE6">
        <w:t xml:space="preserve"> par minēto spriedumu</w:t>
      </w:r>
      <w:r w:rsidRPr="00174EE6">
        <w:t xml:space="preserve">, </w:t>
      </w:r>
      <w:r w:rsidRPr="003C49C6">
        <w:t xml:space="preserve">pārsūdzot </w:t>
      </w:r>
      <w:r w:rsidR="003C49C6" w:rsidRPr="003C49C6">
        <w:t>to</w:t>
      </w:r>
      <w:r w:rsidR="00B85424">
        <w:t xml:space="preserve"> pilnā apjomā un</w:t>
      </w:r>
      <w:r w:rsidR="003C49C6" w:rsidRPr="003C49C6">
        <w:t xml:space="preserve"> </w:t>
      </w:r>
      <w:r w:rsidRPr="003C49C6">
        <w:t>norādot šādus argumentus.</w:t>
      </w:r>
    </w:p>
    <w:p w:rsidR="00CE598D" w:rsidRDefault="00CE598D" w:rsidP="00B05E60">
      <w:pPr>
        <w:spacing w:line="276" w:lineRule="auto"/>
        <w:ind w:firstLine="567"/>
        <w:jc w:val="both"/>
      </w:pPr>
      <w:r w:rsidRPr="00CE598D">
        <w:t>[</w:t>
      </w:r>
      <w:r w:rsidR="00532A01">
        <w:t>8</w:t>
      </w:r>
      <w:r w:rsidRPr="00CE598D">
        <w:t xml:space="preserve">.1] </w:t>
      </w:r>
      <w:r>
        <w:t>Tiesa</w:t>
      </w:r>
      <w:r w:rsidR="004474C4">
        <w:t>,</w:t>
      </w:r>
      <w:r>
        <w:t xml:space="preserve"> </w:t>
      </w:r>
      <w:r w:rsidR="004474C4">
        <w:t xml:space="preserve">norādot, ka vismaz vienam transportlīdzeklim bija jāatrodas kustībā, lai konkrēto gadījumu atzītu par ceļu satiksmes negadījumu, </w:t>
      </w:r>
      <w:r>
        <w:t>sašaurināt</w:t>
      </w:r>
      <w:r w:rsidR="00740C0E">
        <w:t>i</w:t>
      </w:r>
      <w:proofErr w:type="gramStart"/>
      <w:r>
        <w:t xml:space="preserve"> iztulkojusi apdrošināšanas gadījuma jēdzienu </w:t>
      </w:r>
      <w:r w:rsidR="00740C0E">
        <w:t>s</w:t>
      </w:r>
      <w:r w:rsidR="00740C0E" w:rsidRPr="00CE598D">
        <w:t>auszemes transportlīdzekļu īpašnieku civiltiesiskās atbildības obligāt</w:t>
      </w:r>
      <w:r w:rsidR="004474C4">
        <w:t>ajā apdrošināšanā</w:t>
      </w:r>
      <w:proofErr w:type="gramEnd"/>
      <w:r w:rsidR="004474C4">
        <w:t>.</w:t>
      </w:r>
      <w:r w:rsidR="00740C0E">
        <w:t xml:space="preserve"> </w:t>
      </w:r>
    </w:p>
    <w:p w:rsidR="00B85424" w:rsidRPr="00740C0E" w:rsidRDefault="00740C0E" w:rsidP="00B05E60">
      <w:pPr>
        <w:spacing w:line="276" w:lineRule="auto"/>
        <w:ind w:firstLine="567"/>
        <w:jc w:val="both"/>
      </w:pPr>
      <w:r w:rsidRPr="00CE598D">
        <w:t xml:space="preserve">Tiesa nepareizi piemērojusi Sauszemes transportlīdzekļu īpašnieku civiltiesiskās atbildības obligātās apdrošināšanas likumu, nenoskaidrojot tā saturu atbilstoši Eiropas Savienības direktīvām, kuru </w:t>
      </w:r>
      <w:r w:rsidRPr="00740C0E">
        <w:t xml:space="preserve">noteikumi transponēti minētā likuma normās. </w:t>
      </w:r>
      <w:r w:rsidR="00B85424" w:rsidRPr="00740C0E">
        <w:t>Interpretējot valsts tiesību normas, nacionālo tiesu pienākums ir ņemt vērā valsts tiesību normu kopum</w:t>
      </w:r>
      <w:r w:rsidR="00CE598D" w:rsidRPr="00740C0E">
        <w:t>u</w:t>
      </w:r>
      <w:r w:rsidR="00536A05">
        <w:t>,</w:t>
      </w:r>
      <w:r w:rsidR="00B85424" w:rsidRPr="00740C0E">
        <w:t xml:space="preserve"> un tas jāinterpretē, cik vien iespējams, direktīvas teksta un mērķa kontekstā, lai nonāktu pie risinājuma, kas atbilst direktīvas mērķim</w:t>
      </w:r>
      <w:r w:rsidR="00CE598D" w:rsidRPr="00740C0E">
        <w:t>.</w:t>
      </w:r>
    </w:p>
    <w:p w:rsidR="00536A05" w:rsidRDefault="00740C0E" w:rsidP="00B05E60">
      <w:pPr>
        <w:spacing w:line="276" w:lineRule="auto"/>
        <w:ind w:firstLine="567"/>
        <w:jc w:val="both"/>
      </w:pPr>
      <w:r>
        <w:t>[</w:t>
      </w:r>
      <w:r w:rsidR="00532A01">
        <w:t>8</w:t>
      </w:r>
      <w:r>
        <w:t xml:space="preserve">.1.2] </w:t>
      </w:r>
      <w:r w:rsidR="00536A05" w:rsidRPr="00CE598D">
        <w:t>Sauszemes transportlīdzekļu īpašnieku civiltiesiskās atbildības</w:t>
      </w:r>
      <w:r w:rsidR="00536A05">
        <w:t xml:space="preserve"> obligātās apdrošināšanas likuma normas izriet no virknes Eiropas Savienības direktīvu, pamatā Padomes </w:t>
      </w:r>
      <w:proofErr w:type="gramStart"/>
      <w:r w:rsidR="00536A05">
        <w:t>1972.gada</w:t>
      </w:r>
      <w:proofErr w:type="gramEnd"/>
      <w:r w:rsidR="00536A05">
        <w:t xml:space="preserve"> 24.aprīļa Pirmās direktīvas 72/166/EEK</w:t>
      </w:r>
      <w:r w:rsidR="00DE63DD">
        <w:t xml:space="preserve"> (turpmāk – Direktīva 72/166/EK)</w:t>
      </w:r>
      <w:r w:rsidR="00536A05">
        <w:t>, 1983.gada 30.decembra Otrās direktīvas</w:t>
      </w:r>
      <w:r w:rsidR="0018184F">
        <w:t xml:space="preserve"> 84/5/EEK un 1990.gada 14.maija Trešās direktīvas, kas kodificētas </w:t>
      </w:r>
      <w:r w:rsidR="00F7357E">
        <w:t xml:space="preserve">Eiropas Parlamenta un </w:t>
      </w:r>
      <w:r w:rsidR="0018184F">
        <w:t>Padomes 2009.gada 1</w:t>
      </w:r>
      <w:r w:rsidR="00F7357E">
        <w:t>6</w:t>
      </w:r>
      <w:r w:rsidR="0018184F">
        <w:t>.</w:t>
      </w:r>
      <w:r w:rsidR="00F7357E">
        <w:t>septembr</w:t>
      </w:r>
      <w:r w:rsidR="0018184F">
        <w:t>a direktīvā 2009/103/EK par civiltiesiskās atbildības apdrošināšanu saistībā ar mehānisko transportlīdzekļu izmantošanu un kontroli saistībā ar pienākumu apdrošināt šādu atbildību</w:t>
      </w:r>
      <w:r w:rsidR="00F7357E">
        <w:t xml:space="preserve"> (turpmāk – Direktīva 2009/103/EK)</w:t>
      </w:r>
      <w:r w:rsidR="0018184F">
        <w:t>.</w:t>
      </w:r>
      <w:r w:rsidR="00536A05">
        <w:t xml:space="preserve"> </w:t>
      </w:r>
    </w:p>
    <w:p w:rsidR="00B85424" w:rsidRPr="00740C0E" w:rsidRDefault="00DE63DD" w:rsidP="00B05E60">
      <w:pPr>
        <w:spacing w:line="276" w:lineRule="auto"/>
        <w:ind w:firstLine="567"/>
        <w:jc w:val="both"/>
      </w:pPr>
      <w:r>
        <w:t>D</w:t>
      </w:r>
      <w:r w:rsidR="00B85424" w:rsidRPr="00740C0E">
        <w:t xml:space="preserve">irektīvas 2009/103/EK </w:t>
      </w:r>
      <w:proofErr w:type="gramStart"/>
      <w:r w:rsidR="00B85424" w:rsidRPr="00740C0E">
        <w:t>1.panta</w:t>
      </w:r>
      <w:proofErr w:type="gramEnd"/>
      <w:r w:rsidR="00B85424" w:rsidRPr="00740C0E">
        <w:t xml:space="preserve"> 2.punkts </w:t>
      </w:r>
      <w:r w:rsidR="003B169A">
        <w:t>un Direktīvas 72/166/EK</w:t>
      </w:r>
      <w:r w:rsidR="003B169A" w:rsidRPr="00740C0E">
        <w:t xml:space="preserve"> 1.panta 2.punkt</w:t>
      </w:r>
      <w:r w:rsidR="003B169A">
        <w:t>s</w:t>
      </w:r>
      <w:r w:rsidR="003B169A" w:rsidRPr="00740C0E">
        <w:t xml:space="preserve"> </w:t>
      </w:r>
      <w:r w:rsidR="00B85424" w:rsidRPr="00740C0E">
        <w:t>n</w:t>
      </w:r>
      <w:r w:rsidR="00740C0E" w:rsidRPr="00740C0E">
        <w:t>oteic</w:t>
      </w:r>
      <w:r w:rsidR="00B85424" w:rsidRPr="00740C0E">
        <w:t xml:space="preserve">, ka cietusī persona ir ikviena persona, kurai ir tiesības uz kompensāciju par jebkādiem zaudējumiem vai miesas bojājumiem, kurus izraisījis transportlīdzeklis. </w:t>
      </w:r>
    </w:p>
    <w:p w:rsidR="00B045E2" w:rsidRDefault="00C6419F" w:rsidP="00B05E60">
      <w:pPr>
        <w:spacing w:line="276" w:lineRule="auto"/>
        <w:ind w:firstLine="567"/>
        <w:jc w:val="both"/>
      </w:pPr>
      <w:r>
        <w:t>Atbilstoši ģenerāladvokātu secinājumiem Eiropas Savienības Tiesas lietās š</w:t>
      </w:r>
      <w:r w:rsidR="003B169A">
        <w:t xml:space="preserve">ī </w:t>
      </w:r>
      <w:r w:rsidR="00B85424" w:rsidRPr="00740C0E">
        <w:t>cietušās personas definīcija ir pietiekami plaša, lai ietvertu cietušos, ar vienīgo nosacījumu, ka saskaņā ar piemērojamām valsts tiesību normām viņiem ir tiesības uz kompensāciju par jebkādiem zaudējumiem, kurus izraisījis transportlīdzeklis.</w:t>
      </w:r>
      <w:r>
        <w:t xml:space="preserve"> </w:t>
      </w:r>
      <w:r w:rsidR="00B045E2">
        <w:t xml:space="preserve">Minētās direktīvas </w:t>
      </w:r>
      <w:proofErr w:type="gramStart"/>
      <w:r w:rsidR="00B045E2">
        <w:t>3.panta</w:t>
      </w:r>
      <w:proofErr w:type="gramEnd"/>
      <w:r w:rsidR="00B045E2">
        <w:t xml:space="preserve"> 1.punktā noteikts, ka katra dalībvalsts, ievērojot 4.pantu, veic visus vajadzīgos pasākumus, lai nodrošinātu to, ka civiltiesiskā atbildība par to transportlīdzekļu lietošanu, kas parasti atrodas tās teritorijā, ir apdrošināta. </w:t>
      </w:r>
    </w:p>
    <w:p w:rsidR="00740C0E" w:rsidRPr="00740C0E" w:rsidRDefault="00B85424" w:rsidP="00B05E60">
      <w:pPr>
        <w:spacing w:line="276" w:lineRule="auto"/>
        <w:ind w:firstLine="567"/>
        <w:jc w:val="both"/>
      </w:pPr>
      <w:r w:rsidRPr="00740C0E">
        <w:t>Cietušo aizsardzība pret transportlīdzekļu izraisītiem zaudējumiem ir sva</w:t>
      </w:r>
      <w:r w:rsidR="00740C0E" w:rsidRPr="00740C0E">
        <w:t xml:space="preserve">rīgākais Padomes Pirmās, Otrās </w:t>
      </w:r>
      <w:r w:rsidRPr="00740C0E">
        <w:t>un Trešās direktīvas mērķis. Atbilstoši tam arī Sauszemes transportlīdzekļu īpašnieku civiltiesiskās atbildības obligātās apdrošināš</w:t>
      </w:r>
      <w:r w:rsidR="00740C0E" w:rsidRPr="00740C0E">
        <w:t xml:space="preserve">anas likuma </w:t>
      </w:r>
      <w:proofErr w:type="gramStart"/>
      <w:r w:rsidR="00740C0E" w:rsidRPr="00740C0E">
        <w:t>2.pantā</w:t>
      </w:r>
      <w:proofErr w:type="gramEnd"/>
      <w:r w:rsidR="00740C0E" w:rsidRPr="00740C0E">
        <w:t xml:space="preserve"> ir noteikts</w:t>
      </w:r>
      <w:r w:rsidRPr="00740C0E">
        <w:t xml:space="preserve"> mērķis</w:t>
      </w:r>
      <w:r w:rsidR="00740C0E" w:rsidRPr="00740C0E">
        <w:t xml:space="preserve">  </w:t>
      </w:r>
      <w:r w:rsidRPr="00740C0E">
        <w:t xml:space="preserve">aizsargāt ceļu satiksmes negadījumos cietušo trešo personu intereses. Līdz ar to tiesai, skaidrojot jēdzienu </w:t>
      </w:r>
      <w:r w:rsidR="00D404DA">
        <w:t>„</w:t>
      </w:r>
      <w:r w:rsidRPr="00740C0E">
        <w:t>ceļu satiksmes negadījums</w:t>
      </w:r>
      <w:r w:rsidR="00D404DA">
        <w:t>”</w:t>
      </w:r>
      <w:r w:rsidRPr="00740C0E">
        <w:t>, bija jā</w:t>
      </w:r>
      <w:r w:rsidR="00D404DA">
        <w:t>ņem vērā</w:t>
      </w:r>
      <w:r w:rsidRPr="00740C0E">
        <w:t xml:space="preserve"> š</w:t>
      </w:r>
      <w:r w:rsidR="00D404DA">
        <w:t>is</w:t>
      </w:r>
      <w:r w:rsidRPr="00740C0E">
        <w:t xml:space="preserve"> mērķ</w:t>
      </w:r>
      <w:r w:rsidR="00D404DA">
        <w:t>is</w:t>
      </w:r>
      <w:r w:rsidRPr="00740C0E">
        <w:t xml:space="preserve">. </w:t>
      </w:r>
    </w:p>
    <w:p w:rsidR="00B85424" w:rsidRPr="00740C0E" w:rsidRDefault="00B85424" w:rsidP="00B05E60">
      <w:pPr>
        <w:spacing w:line="276" w:lineRule="auto"/>
        <w:ind w:firstLine="567"/>
        <w:jc w:val="both"/>
      </w:pPr>
      <w:r w:rsidRPr="00740C0E">
        <w:t>Tiesas sniegtā apdrošināšanas gadījuma jēdziena sašaurinātā interpretācija, to ierobežojot ar nosacījumu, ka vismaz vienam no negadījumā iesaistītajiem transportlīdzekļiem bija jāatrodas kustībā, lai att</w:t>
      </w:r>
      <w:r w:rsidR="007465D1">
        <w:t>iecīgo situāciju atzītu par ceļu</w:t>
      </w:r>
      <w:r w:rsidRPr="00740C0E">
        <w:t xml:space="preserve"> satiksmes negadījumu un apdrošināšanas gadījumu, </w:t>
      </w:r>
      <w:r w:rsidR="00740C0E" w:rsidRPr="00740C0E">
        <w:t xml:space="preserve">neatbilst minēto direktīvu </w:t>
      </w:r>
      <w:r w:rsidRPr="00740C0E">
        <w:t xml:space="preserve">un Sauszemes transportlīdzekļu īpašnieku civiltiesiskās atbildības obligātās apdrošināšanas likuma mērķim. </w:t>
      </w:r>
      <w:r w:rsidR="003275FA">
        <w:t>Šādā veidā tiek ierobežota minēto tiesību aktu lietderīgā iedarbība, kas nav pieļaujams.</w:t>
      </w:r>
    </w:p>
    <w:p w:rsidR="00B85424" w:rsidRPr="00740C0E" w:rsidRDefault="00B045E2" w:rsidP="00B05E60">
      <w:pPr>
        <w:spacing w:line="276" w:lineRule="auto"/>
        <w:ind w:firstLine="567"/>
        <w:jc w:val="both"/>
      </w:pPr>
      <w:r>
        <w:t>[</w:t>
      </w:r>
      <w:r w:rsidR="003275FA">
        <w:t>8</w:t>
      </w:r>
      <w:r>
        <w:t xml:space="preserve">.1.3] </w:t>
      </w:r>
      <w:r w:rsidR="003275FA">
        <w:t xml:space="preserve">Tomēr pats par sevi notikums – ceļu satiksmes negadījums – nav apdrošināšanas gadījums sauszemes transportlīdzekļu īpašnieku civiltiesiskās atbildības obligātajā apdrošināšanā. </w:t>
      </w:r>
      <w:r w:rsidR="00B85424" w:rsidRPr="00740C0E">
        <w:t xml:space="preserve">Apdrošinot transportlīdzekļa īpašnieka, tiesīgā lietotāja civiltiesisko atbildību, </w:t>
      </w:r>
      <w:r w:rsidR="00B85424" w:rsidRPr="00740C0E">
        <w:lastRenderedPageBreak/>
        <w:t xml:space="preserve">apdrošināšanas atlīdzība tiek izmaksāta gadījumā, ja šī atbildība iestājas. Savukārt atlīdzības apmērs tiek noteikts pēc kompensācijas principa (likuma „Par apdrošināšanas līgumu” </w:t>
      </w:r>
      <w:proofErr w:type="gramStart"/>
      <w:r w:rsidR="00B85424" w:rsidRPr="00740C0E">
        <w:t>35.pants</w:t>
      </w:r>
      <w:proofErr w:type="gramEnd"/>
      <w:r w:rsidR="00B85424" w:rsidRPr="00740C0E">
        <w:t xml:space="preserve">) un </w:t>
      </w:r>
      <w:r w:rsidR="003275FA">
        <w:t>atbilst vienīgi</w:t>
      </w:r>
      <w:r w:rsidR="00B85424" w:rsidRPr="00740C0E">
        <w:t xml:space="preserve"> zaudējum</w:t>
      </w:r>
      <w:r w:rsidR="003275FA">
        <w:t>iem</w:t>
      </w:r>
      <w:r w:rsidR="00B85424" w:rsidRPr="00740C0E">
        <w:t xml:space="preserve">, kuru kompensāciju vispārējais </w:t>
      </w:r>
      <w:r w:rsidR="003275FA">
        <w:t xml:space="preserve">civiltiesiskais </w:t>
      </w:r>
      <w:r w:rsidR="00B85424" w:rsidRPr="00740C0E">
        <w:t>regulējums uzliek transportlīdzekļa īpašniekam, tiesīgajam lietotājam (</w:t>
      </w:r>
      <w:r w:rsidR="00740C0E" w:rsidRPr="00740C0E">
        <w:t xml:space="preserve">Sauszemes transportlīdzekļu īpašnieku civiltiesiskās atbildības obligātās apdrošināšanas </w:t>
      </w:r>
      <w:r w:rsidR="00B85424" w:rsidRPr="00740C0E">
        <w:t>likuma 18., 31.pants).</w:t>
      </w:r>
    </w:p>
    <w:p w:rsidR="00B85424" w:rsidRPr="00740C0E" w:rsidRDefault="00B85424" w:rsidP="00B05E60">
      <w:pPr>
        <w:spacing w:line="276" w:lineRule="auto"/>
        <w:ind w:firstLine="567"/>
        <w:jc w:val="both"/>
      </w:pPr>
      <w:r w:rsidRPr="00740C0E">
        <w:t>Tas, vai konkrētajā gadījumā iestājas transportlīdzekļa īpašnieka, tiesīgā lietotāja civiltiesiskā atbildība par nodarītajiem zaudējumiem</w:t>
      </w:r>
      <w:r w:rsidR="003275FA">
        <w:t>,</w:t>
      </w:r>
      <w:r w:rsidRPr="00740C0E">
        <w:t xml:space="preserve"> jāvērtē saskaņā ar Civillikuma vispārējo regulējumu un Ceļu satiksmes likuma speciālo regulējumu, kā arī Sauszemes transportlīdzekļu īpašnieku civiltiesiskās atbildības obligātās apdrošināšanas likumu.</w:t>
      </w:r>
    </w:p>
    <w:p w:rsidR="00B85424" w:rsidRPr="00740C0E" w:rsidRDefault="00740C0E" w:rsidP="00B05E60">
      <w:pPr>
        <w:spacing w:line="276" w:lineRule="auto"/>
        <w:ind w:firstLine="567"/>
        <w:jc w:val="both"/>
      </w:pPr>
      <w:r w:rsidRPr="00740C0E">
        <w:t>[</w:t>
      </w:r>
      <w:r w:rsidR="003275FA">
        <w:t>8</w:t>
      </w:r>
      <w:r w:rsidRPr="00740C0E">
        <w:t xml:space="preserve">.2] </w:t>
      </w:r>
      <w:r w:rsidR="00B85424" w:rsidRPr="00740C0E">
        <w:t xml:space="preserve">Tiesa nepareizi piemērojusi Ceļu satiksmes likuma noteikumus, nosakot civiltiesisko atbildību par transportlīdzekļa izraisītiem zaudējumiem, </w:t>
      </w:r>
      <w:r w:rsidR="004474C4">
        <w:t xml:space="preserve">un </w:t>
      </w:r>
      <w:r w:rsidR="00B85424" w:rsidRPr="00740C0E">
        <w:t>kļūdaini tulkojusi ceļu satiksmes negadījuma jēdzienu Ceļu satiksmes likuma un Sauszemes transportlīdzekļu īpašnieku civiltiesiskās atbildības obligātās apdrošināšanas likuma izpratnē.</w:t>
      </w:r>
    </w:p>
    <w:p w:rsidR="00EA74CF" w:rsidRDefault="00EA74CF" w:rsidP="00B05E60">
      <w:pPr>
        <w:spacing w:line="276" w:lineRule="auto"/>
        <w:ind w:firstLine="567"/>
        <w:jc w:val="both"/>
      </w:pPr>
      <w:r>
        <w:t xml:space="preserve">[8.2.1] Spriedumā nepareizi norādīts, ka konkrētajā gadījumā zaudējumu atlīdzināšanas pienākums gulstas uz pasažieri saskaņā ar Civillikuma 1770., 1773., 1775. un </w:t>
      </w:r>
      <w:proofErr w:type="gramStart"/>
      <w:r>
        <w:t>1779.pantu</w:t>
      </w:r>
      <w:proofErr w:type="gramEnd"/>
      <w:r>
        <w:t>.</w:t>
      </w:r>
    </w:p>
    <w:p w:rsidR="00B85424" w:rsidRDefault="00B85424" w:rsidP="00B05E60">
      <w:pPr>
        <w:spacing w:line="276" w:lineRule="auto"/>
        <w:ind w:firstLine="567"/>
        <w:jc w:val="both"/>
      </w:pPr>
      <w:r w:rsidRPr="00740C0E">
        <w:t xml:space="preserve">Tā kā Ceļu satiksmes likuma </w:t>
      </w:r>
      <w:proofErr w:type="gramStart"/>
      <w:r w:rsidRPr="00740C0E">
        <w:t>44.pantā</w:t>
      </w:r>
      <w:proofErr w:type="gramEnd"/>
      <w:r w:rsidRPr="00740C0E">
        <w:t xml:space="preserve"> nav paredzēts izņēmums, ka transportlīdzekļa īpašnieks, valdītājs vai turētājs nav atbildīgi par pasažieru nodarītajiem zaudējumiem saistībā ar transportlīdzekļa lietošanu, secināms, ka par pasažieru transportlīdzekļa ekspluatācijas rezultātā nodarītajiem zaudējumiem atbild īpašnieks, valdītājs vai turētājs. Līdz ar to tiesai bija jāsecina, k</w:t>
      </w:r>
      <w:r w:rsidR="00740C0E" w:rsidRPr="00740C0E">
        <w:t>a par nodarītajiem zaudējumiem atbild transportlīdzekļa īpašnieks,</w:t>
      </w:r>
      <w:r w:rsidRPr="00740C0E">
        <w:t xml:space="preserve"> nevis pasažieri</w:t>
      </w:r>
      <w:r w:rsidR="00740C0E" w:rsidRPr="00740C0E">
        <w:t>s</w:t>
      </w:r>
      <w:r w:rsidRPr="00740C0E">
        <w:t>.</w:t>
      </w:r>
    </w:p>
    <w:p w:rsidR="00EA74CF" w:rsidRPr="00740C0E" w:rsidRDefault="00EA74CF" w:rsidP="00B05E60">
      <w:pPr>
        <w:spacing w:line="276" w:lineRule="auto"/>
        <w:ind w:firstLine="567"/>
        <w:jc w:val="both"/>
      </w:pPr>
      <w:r>
        <w:t xml:space="preserve">[8.2.2] Tiesa nepareizi nosprieda, ka transportlīdzekļu vadītāji šajā situācijā nedrīkstēja sastādīt saskaņoto paziņojumu Ministru kabineta </w:t>
      </w:r>
      <w:proofErr w:type="gramStart"/>
      <w:r>
        <w:t>2004.gada</w:t>
      </w:r>
      <w:proofErr w:type="gramEnd"/>
      <w:r>
        <w:t xml:space="preserve"> 29.jūnija noteikumu Nr. 571 „Ceļu satiksmes noteikumi” 51.punkt</w:t>
      </w:r>
      <w:r w:rsidR="004474C4">
        <w:t>a kārtībā</w:t>
      </w:r>
      <w:r>
        <w:t xml:space="preserve">. </w:t>
      </w:r>
      <w:r w:rsidR="004474C4">
        <w:t>To izraisīja</w:t>
      </w:r>
      <w:r>
        <w:t xml:space="preserve"> atziņa, ka, lai konstatētu, ka notika ceļu satiksmes negadījums, vismaz vienam transportlīdzeklim negadījuma laikā bija jābūt kustībā.</w:t>
      </w:r>
    </w:p>
    <w:p w:rsidR="00B85424" w:rsidRPr="00740C0E" w:rsidRDefault="00B85424" w:rsidP="00B05E60">
      <w:pPr>
        <w:spacing w:line="276" w:lineRule="auto"/>
        <w:ind w:firstLine="567"/>
        <w:jc w:val="both"/>
      </w:pPr>
      <w:r w:rsidRPr="00740C0E">
        <w:t xml:space="preserve">Tiesa </w:t>
      </w:r>
      <w:r w:rsidR="004474C4">
        <w:t>ne</w:t>
      </w:r>
      <w:r w:rsidRPr="00740C0E">
        <w:t>veic</w:t>
      </w:r>
      <w:r w:rsidR="004474C4">
        <w:t>a</w:t>
      </w:r>
      <w:r w:rsidRPr="00740C0E">
        <w:t xml:space="preserve"> Ceļu satiksmes likumā ietvertā jēdziena „ceļu satiksme” un „ceļu satiksmes negadījums” gramatisk</w:t>
      </w:r>
      <w:r w:rsidR="004474C4">
        <w:t>o</w:t>
      </w:r>
      <w:r w:rsidRPr="00740C0E">
        <w:t>, teleoloģisk</w:t>
      </w:r>
      <w:r w:rsidR="004474C4">
        <w:t>o un sistēmisko interpretāciju</w:t>
      </w:r>
      <w:r w:rsidRPr="00740C0E">
        <w:t xml:space="preserve">. </w:t>
      </w:r>
    </w:p>
    <w:p w:rsidR="00041AD8" w:rsidRDefault="00B85424" w:rsidP="00B05E60">
      <w:pPr>
        <w:spacing w:line="276" w:lineRule="auto"/>
        <w:ind w:firstLine="567"/>
        <w:jc w:val="both"/>
      </w:pPr>
      <w:r w:rsidRPr="00740C0E">
        <w:t>Ceļu satiksmes likuma 1.punkta 5.punktā noteiktais jēdziens „ceļu satiksme” kā p</w:t>
      </w:r>
      <w:r w:rsidR="00EA74CF">
        <w:t xml:space="preserve">arādība skaidrota šaurā nozīmē. </w:t>
      </w:r>
      <w:r w:rsidRPr="00740C0E">
        <w:t>Taču no likuma mērķa un sistēmas izriet, ka transportlīdzeklis tiek iesaistīts ceļu satiksmes attiecībā</w:t>
      </w:r>
      <w:r w:rsidR="001C0835">
        <w:t>s</w:t>
      </w:r>
      <w:r w:rsidRPr="00740C0E">
        <w:t xml:space="preserve"> arī tad, ja tas tiek novietots stāvēšanai vietā, kur</w:t>
      </w:r>
      <w:r w:rsidR="00FB7050">
        <w:t>ā</w:t>
      </w:r>
      <w:r w:rsidRPr="00740C0E">
        <w:t xml:space="preserve"> iespējama tā braukšana. </w:t>
      </w:r>
    </w:p>
    <w:p w:rsidR="00B85424" w:rsidRPr="00041AD8" w:rsidRDefault="00B85424" w:rsidP="00B05E60">
      <w:pPr>
        <w:spacing w:line="276" w:lineRule="auto"/>
        <w:ind w:firstLine="567"/>
        <w:jc w:val="both"/>
      </w:pPr>
      <w:r w:rsidRPr="00740C0E">
        <w:t xml:space="preserve">Šīs ceļu satiksmes attiecības ceļu satiksmes dalībnieku starpā, novietojot transportlīdzekli stāvēšanai vai apstājoties ar transportlīdzekli, tiek reglamentētas ar tiesību normām, kas attiecināmas uz ceļu satiksmi, kā arī saistībā ar šādu ekspluatāciju tiek noteikta </w:t>
      </w:r>
      <w:r w:rsidRPr="00041AD8">
        <w:t>transportlīdzekļa īpašnieka, tiesīgā lietotāja atbildība.</w:t>
      </w:r>
    </w:p>
    <w:p w:rsidR="00154EC2" w:rsidRDefault="00B85424" w:rsidP="00B05E60">
      <w:pPr>
        <w:spacing w:line="276" w:lineRule="auto"/>
        <w:ind w:firstLine="567"/>
        <w:jc w:val="both"/>
      </w:pPr>
      <w:r w:rsidRPr="00041AD8">
        <w:t xml:space="preserve">No ceļu satiksmes negadījuma definīcijas Ceļu satiksmes likuma </w:t>
      </w:r>
      <w:proofErr w:type="gramStart"/>
      <w:r w:rsidRPr="00041AD8">
        <w:t>1.panta</w:t>
      </w:r>
      <w:proofErr w:type="gramEnd"/>
      <w:r w:rsidRPr="00041AD8">
        <w:t xml:space="preserve"> 7.punktā izriet, ka par ceļa satiksmes negadījumu tiek uzskatīts ne tikai negadījum</w:t>
      </w:r>
      <w:r w:rsidR="00740C0E" w:rsidRPr="00041AD8">
        <w:t>s</w:t>
      </w:r>
      <w:r w:rsidRPr="00041AD8">
        <w:t xml:space="preserve">, kas noticis </w:t>
      </w:r>
      <w:r w:rsidR="00CF421D">
        <w:t>„</w:t>
      </w:r>
      <w:r w:rsidRPr="00041AD8">
        <w:t>ceļu satiksmē</w:t>
      </w:r>
      <w:r w:rsidR="00CF421D">
        <w:t>”</w:t>
      </w:r>
      <w:r w:rsidRPr="00041AD8">
        <w:t xml:space="preserve">, </w:t>
      </w:r>
      <w:r w:rsidR="00CF421D">
        <w:t>lietojot šo jēdzienu kā attiecību, pārvietojoties pa ceļiem ar transportlīdzekļiem vai bez tiem, bet arī „</w:t>
      </w:r>
      <w:r w:rsidRPr="00041AD8">
        <w:t>citā vietā, kur iespējama transportlīdzekļa braukšana, noticis negadījums, kurā iesaistīts transportlīdzeklis</w:t>
      </w:r>
      <w:r w:rsidR="00CF421D">
        <w:t>”</w:t>
      </w:r>
      <w:r w:rsidRPr="00041AD8">
        <w:t xml:space="preserve">. </w:t>
      </w:r>
    </w:p>
    <w:p w:rsidR="00B85424" w:rsidRPr="00041AD8" w:rsidRDefault="00B85424" w:rsidP="00B05E60">
      <w:pPr>
        <w:spacing w:line="276" w:lineRule="auto"/>
        <w:ind w:firstLine="567"/>
        <w:jc w:val="both"/>
      </w:pPr>
      <w:r w:rsidRPr="00041AD8">
        <w:t xml:space="preserve">Līdz ar to par ceļu satiksmes negadījumu atzīstams arī </w:t>
      </w:r>
      <w:r w:rsidR="00740C0E" w:rsidRPr="00041AD8">
        <w:t xml:space="preserve">tāds </w:t>
      </w:r>
      <w:r w:rsidRPr="00041AD8">
        <w:t xml:space="preserve">negadījums, kad transportlīdzeklis nav pārvietojies un </w:t>
      </w:r>
      <w:r w:rsidR="001C0835">
        <w:t>kad</w:t>
      </w:r>
      <w:r w:rsidR="00740C0E" w:rsidRPr="00041AD8">
        <w:t xml:space="preserve"> </w:t>
      </w:r>
      <w:r w:rsidRPr="00041AD8">
        <w:t>stāvvietā novietotam transportlīdzeklim tiek nodarīti bojājumi cita transportlīdzekļa ek</w:t>
      </w:r>
      <w:r w:rsidR="0023532C">
        <w:t>spluatācijas rezultātā</w:t>
      </w:r>
      <w:r w:rsidRPr="00041AD8">
        <w:t>.</w:t>
      </w:r>
    </w:p>
    <w:p w:rsidR="00B85424" w:rsidRPr="00041AD8" w:rsidRDefault="00041AD8" w:rsidP="00B05E60">
      <w:pPr>
        <w:spacing w:line="276" w:lineRule="auto"/>
        <w:ind w:firstLine="567"/>
        <w:jc w:val="both"/>
      </w:pPr>
      <w:r w:rsidRPr="00041AD8">
        <w:lastRenderedPageBreak/>
        <w:t>[</w:t>
      </w:r>
      <w:r w:rsidR="00CF421D">
        <w:t>8</w:t>
      </w:r>
      <w:r w:rsidRPr="00041AD8">
        <w:t xml:space="preserve">.3] </w:t>
      </w:r>
      <w:r w:rsidR="00B85424" w:rsidRPr="00041AD8">
        <w:t xml:space="preserve">Tiesa, norādot, ka prasītājai nebija jāizmaksā apdrošināšanas atlīdzība par transportlīdzekļa </w:t>
      </w:r>
      <w:r w:rsidR="00B85424" w:rsidRPr="00041AD8">
        <w:rPr>
          <w:i/>
        </w:rPr>
        <w:t xml:space="preserve">VW </w:t>
      </w:r>
      <w:proofErr w:type="spellStart"/>
      <w:r w:rsidR="00B85424" w:rsidRPr="00041AD8">
        <w:rPr>
          <w:i/>
        </w:rPr>
        <w:t>Passat</w:t>
      </w:r>
      <w:proofErr w:type="spellEnd"/>
      <w:r w:rsidR="00B85424" w:rsidRPr="00041AD8">
        <w:t xml:space="preserve"> bojājumiem, pārkāpusi Civilprocesa likuma </w:t>
      </w:r>
      <w:proofErr w:type="gramStart"/>
      <w:r w:rsidR="00B85424" w:rsidRPr="00041AD8">
        <w:t>192.panta</w:t>
      </w:r>
      <w:proofErr w:type="gramEnd"/>
      <w:r w:rsidR="00B85424" w:rsidRPr="00041AD8">
        <w:t xml:space="preserve"> noteikumus par prasī</w:t>
      </w:r>
      <w:r w:rsidR="0020362E">
        <w:t>b</w:t>
      </w:r>
      <w:r w:rsidR="00B85424" w:rsidRPr="00041AD8">
        <w:t>a</w:t>
      </w:r>
      <w:r w:rsidR="0020362E">
        <w:t>s</w:t>
      </w:r>
      <w:r w:rsidR="00B85424" w:rsidRPr="00041AD8">
        <w:t xml:space="preserve"> robežām.</w:t>
      </w:r>
    </w:p>
    <w:p w:rsidR="00691B91" w:rsidRDefault="00B85424" w:rsidP="00B05E60">
      <w:pPr>
        <w:spacing w:line="276" w:lineRule="auto"/>
        <w:ind w:firstLine="567"/>
        <w:jc w:val="both"/>
      </w:pPr>
      <w:r w:rsidRPr="00041AD8">
        <w:t>Prasītāja izmaksāj</w:t>
      </w:r>
      <w:r w:rsidR="0020362E">
        <w:t>a</w:t>
      </w:r>
      <w:r w:rsidRPr="00041AD8">
        <w:t xml:space="preserve"> atlīdzību brīvprātīgās apdrošināšanas ietvaros, kompensējot attiecīgus zaudējumus saistībā ar apdrošinātā transportlīdzekļa bojājumiem, </w:t>
      </w:r>
      <w:r w:rsidR="0020362E">
        <w:t>par ko strīds nepastāv</w:t>
      </w:r>
      <w:r w:rsidRPr="00041AD8">
        <w:t xml:space="preserve">. Prasītāja atbilstoši likuma „Par apdrošināšanas līgumu” </w:t>
      </w:r>
      <w:proofErr w:type="gramStart"/>
      <w:r w:rsidRPr="00041AD8">
        <w:t>40.panta</w:t>
      </w:r>
      <w:proofErr w:type="gramEnd"/>
      <w:r w:rsidRPr="00041AD8">
        <w:t xml:space="preserve"> pirmajai daļai ir pārņēmusi prasības tiesības pret personu, k</w:t>
      </w:r>
      <w:r w:rsidR="0020362E">
        <w:t>ura</w:t>
      </w:r>
      <w:r w:rsidRPr="00041AD8">
        <w:t xml:space="preserve"> ir atbildīga par zaudējumiem saskaņā ar Ceļu satiksmes likuma 44.pantu.</w:t>
      </w:r>
    </w:p>
    <w:p w:rsidR="00B85424" w:rsidRDefault="00B85424" w:rsidP="00B05E60">
      <w:pPr>
        <w:spacing w:line="276" w:lineRule="auto"/>
        <w:ind w:firstLine="567"/>
        <w:jc w:val="both"/>
      </w:pPr>
      <w:r w:rsidRPr="00041AD8">
        <w:t xml:space="preserve"> </w:t>
      </w:r>
    </w:p>
    <w:p w:rsidR="00691B91" w:rsidRDefault="00691B91" w:rsidP="00B05E60">
      <w:pPr>
        <w:spacing w:line="276" w:lineRule="auto"/>
        <w:ind w:firstLine="567"/>
        <w:jc w:val="both"/>
      </w:pPr>
      <w:r>
        <w:t>[9] Prasītājas nosaukums mainīts no Eiropas komercsabiedrība</w:t>
      </w:r>
      <w:r w:rsidR="00D27D65">
        <w:t xml:space="preserve"> </w:t>
      </w:r>
      <w:r>
        <w:t xml:space="preserve">„BTA </w:t>
      </w:r>
      <w:proofErr w:type="spellStart"/>
      <w:r>
        <w:t>Insurance</w:t>
      </w:r>
      <w:proofErr w:type="spellEnd"/>
      <w:r>
        <w:t xml:space="preserve"> </w:t>
      </w:r>
      <w:proofErr w:type="spellStart"/>
      <w:r>
        <w:t>Company</w:t>
      </w:r>
      <w:proofErr w:type="spellEnd"/>
      <w:r>
        <w:t xml:space="preserve">” SE </w:t>
      </w:r>
      <w:proofErr w:type="gramStart"/>
      <w:r>
        <w:t>uz Eiropas komercsabiedrība „</w:t>
      </w:r>
      <w:proofErr w:type="spellStart"/>
      <w:r>
        <w:t>Balcia</w:t>
      </w:r>
      <w:proofErr w:type="spellEnd"/>
      <w:r>
        <w:t xml:space="preserve"> </w:t>
      </w:r>
      <w:proofErr w:type="spellStart"/>
      <w:r>
        <w:t>Insurance</w:t>
      </w:r>
      <w:proofErr w:type="spellEnd"/>
      <w:r>
        <w:t>”</w:t>
      </w:r>
      <w:proofErr w:type="gramEnd"/>
      <w:r>
        <w:t xml:space="preserve"> SE. </w:t>
      </w:r>
    </w:p>
    <w:p w:rsidR="00691B91" w:rsidRDefault="00691B91" w:rsidP="00B05E60">
      <w:pPr>
        <w:spacing w:line="276" w:lineRule="auto"/>
        <w:ind w:firstLine="567"/>
        <w:jc w:val="both"/>
      </w:pPr>
      <w:r>
        <w:t xml:space="preserve">[10] Ar Augstākās tiesas Civillietu departamenta </w:t>
      </w:r>
      <w:proofErr w:type="gramStart"/>
      <w:r>
        <w:t>2017.gada</w:t>
      </w:r>
      <w:proofErr w:type="gramEnd"/>
      <w:r>
        <w:t xml:space="preserve"> 13.novembra lēmumu Eiropas Savienības Tiesai </w:t>
      </w:r>
      <w:r w:rsidR="00DF25FD">
        <w:t xml:space="preserve">uzdoti </w:t>
      </w:r>
      <w:r>
        <w:t>šād</w:t>
      </w:r>
      <w:r w:rsidR="00DF25FD">
        <w:t>i</w:t>
      </w:r>
      <w:r>
        <w:t xml:space="preserve"> jautājum</w:t>
      </w:r>
      <w:r w:rsidR="00DF25FD">
        <w:t>i</w:t>
      </w:r>
      <w:r>
        <w:t xml:space="preserve"> prejudiciālā nolēmuma pieņemšanai:</w:t>
      </w:r>
    </w:p>
    <w:p w:rsidR="00691B91" w:rsidRDefault="00691B91" w:rsidP="00B05E60">
      <w:pPr>
        <w:spacing w:line="276" w:lineRule="auto"/>
        <w:ind w:firstLine="567"/>
        <w:jc w:val="both"/>
      </w:pPr>
      <w:r>
        <w:t>1) V</w:t>
      </w:r>
      <w:r w:rsidRPr="00583FFA">
        <w:t>ai Padom</w:t>
      </w:r>
      <w:r>
        <w:t xml:space="preserve">es </w:t>
      </w:r>
      <w:proofErr w:type="gramStart"/>
      <w:r>
        <w:t>1972.gada</w:t>
      </w:r>
      <w:proofErr w:type="gramEnd"/>
      <w:r>
        <w:t xml:space="preserve"> 24.aprīļa direktīvas</w:t>
      </w:r>
      <w:r w:rsidRPr="00583FFA">
        <w:t> 72/166/EEK par dalībvalstu tiesību aktu tuvināšanu attiecībā uz civiltiesiskās atbildības apdrošināšanu saistībā ar mehānisko transportlīdzekļu izmantošanu un attiecībā uz kontroli saistībā ar pienākumu apdrošināt šādu atbildību (Pirmās direktīvas) 3.panta 1.punkts ir interpretē</w:t>
      </w:r>
      <w:r>
        <w:t>jams</w:t>
      </w:r>
      <w:r w:rsidRPr="00583FFA">
        <w:t xml:space="preserve"> tādējādi, ka jēdziens „transportlīdzekļu lietošana” a</w:t>
      </w:r>
      <w:r>
        <w:t>p</w:t>
      </w:r>
      <w:r w:rsidRPr="00583FFA">
        <w:t>t</w:t>
      </w:r>
      <w:r>
        <w:t>ver</w:t>
      </w:r>
      <w:r w:rsidRPr="00583FFA">
        <w:t xml:space="preserve"> tādu situāciju kā pamatlietā, proti, stāvēšanai novietota </w:t>
      </w:r>
      <w:r>
        <w:t xml:space="preserve">transportlīdzekļa durvju atvēršanu? </w:t>
      </w:r>
    </w:p>
    <w:p w:rsidR="00691B91" w:rsidRDefault="00691B91" w:rsidP="00B05E60">
      <w:pPr>
        <w:spacing w:line="276" w:lineRule="auto"/>
        <w:ind w:firstLine="567"/>
        <w:jc w:val="both"/>
      </w:pPr>
      <w:r>
        <w:t>2) G</w:t>
      </w:r>
      <w:r w:rsidRPr="00F95161">
        <w:t xml:space="preserve">adījumā, ja atbilde </w:t>
      </w:r>
      <w:r>
        <w:t xml:space="preserve">uz 1.jautājumu </w:t>
      </w:r>
      <w:r w:rsidRPr="00F95161">
        <w:t xml:space="preserve">ir apstiprinoša, vai </w:t>
      </w:r>
      <w:r w:rsidRPr="00583FFA">
        <w:t>Padom</w:t>
      </w:r>
      <w:r>
        <w:t xml:space="preserve">es </w:t>
      </w:r>
      <w:proofErr w:type="gramStart"/>
      <w:r>
        <w:t>1972.gada</w:t>
      </w:r>
      <w:proofErr w:type="gramEnd"/>
      <w:r>
        <w:t xml:space="preserve"> 24.aprīļa direktīvas</w:t>
      </w:r>
      <w:r w:rsidRPr="00583FFA">
        <w:t> </w:t>
      </w:r>
      <w:r w:rsidRPr="00F95161">
        <w:t xml:space="preserve"> 72/166/EEK </w:t>
      </w:r>
      <w:r>
        <w:t>3</w:t>
      </w:r>
      <w:r w:rsidRPr="00F95161">
        <w:t xml:space="preserve">.panta 1.punkts </w:t>
      </w:r>
      <w:r w:rsidRPr="00583FFA">
        <w:t>ir interpretē</w:t>
      </w:r>
      <w:r>
        <w:t>jams</w:t>
      </w:r>
      <w:r w:rsidRPr="00583FFA">
        <w:t xml:space="preserve"> tādējādi, ka jēdziens „transportlīdzekļu lietošana” a</w:t>
      </w:r>
      <w:r>
        <w:t>p</w:t>
      </w:r>
      <w:r w:rsidRPr="00583FFA">
        <w:t>t</w:t>
      </w:r>
      <w:r>
        <w:t>ver</w:t>
      </w:r>
      <w:r w:rsidRPr="00583FFA">
        <w:t xml:space="preserve"> tādu situāciju kā pamatlietā, proti, </w:t>
      </w:r>
      <w:r>
        <w:t>kad kaitējums trešās personas īpašumam radies, transportlīdzekli lietojot pasažierim?</w:t>
      </w:r>
    </w:p>
    <w:p w:rsidR="00DF25FD" w:rsidRDefault="00DF25FD" w:rsidP="00B05E60">
      <w:pPr>
        <w:spacing w:line="276" w:lineRule="auto"/>
        <w:ind w:firstLine="567"/>
        <w:jc w:val="both"/>
      </w:pPr>
      <w:r>
        <w:t>Tiesvedība lietā apturēta, līdz likumīgā spēkā stājas Eiropas Savienības Tiesas nolēmums.</w:t>
      </w:r>
    </w:p>
    <w:p w:rsidR="00691B91" w:rsidRDefault="00691B91" w:rsidP="00B05E60">
      <w:pPr>
        <w:spacing w:line="276" w:lineRule="auto"/>
        <w:ind w:firstLine="720"/>
        <w:jc w:val="both"/>
      </w:pPr>
    </w:p>
    <w:p w:rsidR="00691B91" w:rsidRDefault="00691B91" w:rsidP="00B05E60">
      <w:pPr>
        <w:spacing w:line="276" w:lineRule="auto"/>
        <w:ind w:firstLine="567"/>
        <w:jc w:val="both"/>
      </w:pPr>
      <w:r>
        <w:t>[1</w:t>
      </w:r>
      <w:r w:rsidR="00D27D65">
        <w:t>1</w:t>
      </w:r>
      <w:r>
        <w:t xml:space="preserve">] Ar Augstākās tiesas Civillietu departamenta </w:t>
      </w:r>
      <w:proofErr w:type="gramStart"/>
      <w:r>
        <w:t>2018.gada</w:t>
      </w:r>
      <w:proofErr w:type="gramEnd"/>
      <w:r>
        <w:t xml:space="preserve"> 13.jūnija lēmumu </w:t>
      </w:r>
      <w:r w:rsidR="00063CD9">
        <w:t>prasītāja Eiropas komercsabiedrība „</w:t>
      </w:r>
      <w:proofErr w:type="spellStart"/>
      <w:r w:rsidR="00063CD9">
        <w:t>Balcia</w:t>
      </w:r>
      <w:proofErr w:type="spellEnd"/>
      <w:r w:rsidR="00063CD9">
        <w:t xml:space="preserve"> </w:t>
      </w:r>
      <w:proofErr w:type="spellStart"/>
      <w:r w:rsidR="00063CD9">
        <w:t>Insurance</w:t>
      </w:r>
      <w:proofErr w:type="spellEnd"/>
      <w:r w:rsidR="00063CD9">
        <w:t>” SE aizstāta ar tās tiesību pārņēmēju AAS „</w:t>
      </w:r>
      <w:proofErr w:type="spellStart"/>
      <w:r w:rsidR="00063CD9">
        <w:t>Baltic</w:t>
      </w:r>
      <w:proofErr w:type="spellEnd"/>
      <w:r w:rsidR="00063CD9">
        <w:t xml:space="preserve"> </w:t>
      </w:r>
      <w:proofErr w:type="spellStart"/>
      <w:r w:rsidR="00063CD9">
        <w:t>Insurance</w:t>
      </w:r>
      <w:proofErr w:type="spellEnd"/>
      <w:r w:rsidR="00063CD9">
        <w:t xml:space="preserve"> </w:t>
      </w:r>
      <w:proofErr w:type="spellStart"/>
      <w:r w:rsidR="00063CD9">
        <w:t>Company</w:t>
      </w:r>
      <w:proofErr w:type="spellEnd"/>
      <w:r w:rsidR="00063CD9">
        <w:t>”.</w:t>
      </w:r>
    </w:p>
    <w:p w:rsidR="00063CD9" w:rsidRDefault="00063CD9" w:rsidP="00B05E60">
      <w:pPr>
        <w:spacing w:line="276" w:lineRule="auto"/>
        <w:ind w:firstLine="567"/>
        <w:jc w:val="both"/>
      </w:pPr>
    </w:p>
    <w:p w:rsidR="00063CD9" w:rsidRDefault="00063CD9" w:rsidP="00B05E60">
      <w:pPr>
        <w:spacing w:line="276" w:lineRule="auto"/>
        <w:ind w:firstLine="567"/>
        <w:jc w:val="both"/>
      </w:pPr>
      <w:r>
        <w:t>[1</w:t>
      </w:r>
      <w:r w:rsidR="00D27D65">
        <w:t>2</w:t>
      </w:r>
      <w:r>
        <w:t xml:space="preserve">] </w:t>
      </w:r>
      <w:r w:rsidR="00F047CD">
        <w:t xml:space="preserve">Ar Senāta </w:t>
      </w:r>
      <w:proofErr w:type="gramStart"/>
      <w:r w:rsidR="00F047CD">
        <w:t>2019.gada</w:t>
      </w:r>
      <w:proofErr w:type="gramEnd"/>
      <w:r w:rsidR="00F047CD">
        <w:t xml:space="preserve"> 26.februāra lēmumu atjaunota tiesvedība lietā, jo </w:t>
      </w:r>
      <w:r>
        <w:t xml:space="preserve">Augstākajā tiesā 2018.gada 4.decembrī saņemts Eiropas Savienības Tiesas 2018.gada 15.novembra spriedums lietā Nr. C-648/17 AS „BTA </w:t>
      </w:r>
      <w:proofErr w:type="spellStart"/>
      <w:r>
        <w:t>Baltic</w:t>
      </w:r>
      <w:proofErr w:type="spellEnd"/>
      <w:r>
        <w:t xml:space="preserve"> </w:t>
      </w:r>
      <w:proofErr w:type="spellStart"/>
      <w:r>
        <w:t>Insurance</w:t>
      </w:r>
      <w:proofErr w:type="spellEnd"/>
      <w:r>
        <w:t xml:space="preserve"> </w:t>
      </w:r>
      <w:proofErr w:type="spellStart"/>
      <w:r>
        <w:t>Company</w:t>
      </w:r>
      <w:proofErr w:type="spellEnd"/>
      <w:r>
        <w:t xml:space="preserve">” pret AS „Baltijas Apdrošināšanas Nams”, kurā atbildēts uz Augstākās tiesas uzdotajiem jautājumiem. </w:t>
      </w:r>
    </w:p>
    <w:p w:rsidR="00096398" w:rsidRPr="002D2CA2" w:rsidRDefault="00CD4749" w:rsidP="00B05E60">
      <w:pPr>
        <w:spacing w:before="120" w:after="120" w:line="276" w:lineRule="auto"/>
        <w:jc w:val="center"/>
        <w:rPr>
          <w:b/>
        </w:rPr>
      </w:pPr>
      <w:r>
        <w:rPr>
          <w:b/>
        </w:rPr>
        <w:t>Motīvu daļa</w:t>
      </w:r>
    </w:p>
    <w:p w:rsidR="005166DC" w:rsidRDefault="00421057" w:rsidP="00B05E60">
      <w:pPr>
        <w:shd w:val="clear" w:color="auto" w:fill="FFFFFF"/>
        <w:spacing w:line="276" w:lineRule="auto"/>
        <w:ind w:firstLine="567"/>
        <w:jc w:val="both"/>
        <w:rPr>
          <w:color w:val="000000"/>
        </w:rPr>
      </w:pPr>
      <w:r>
        <w:rPr>
          <w:color w:val="000000"/>
        </w:rPr>
        <w:t>[</w:t>
      </w:r>
      <w:r w:rsidR="00691B91">
        <w:rPr>
          <w:color w:val="000000"/>
        </w:rPr>
        <w:t>1</w:t>
      </w:r>
      <w:r w:rsidR="00D27D65">
        <w:rPr>
          <w:color w:val="000000"/>
        </w:rPr>
        <w:t>3</w:t>
      </w:r>
      <w:r w:rsidR="00096398" w:rsidRPr="00015B49">
        <w:rPr>
          <w:color w:val="000000"/>
        </w:rPr>
        <w:t xml:space="preserve">] </w:t>
      </w:r>
      <w:r w:rsidR="00096398" w:rsidRPr="00015B49">
        <w:t>Pārbaudīj</w:t>
      </w:r>
      <w:r w:rsidR="00445B1E">
        <w:t>i</w:t>
      </w:r>
      <w:r w:rsidR="002C1208">
        <w:t>s</w:t>
      </w:r>
      <w:r w:rsidR="00096398" w:rsidRPr="00015B49">
        <w:t xml:space="preserve"> sprieduma likumību attiecībā uz argumentiem, kas minēti kasācijas sūdzībā, kā to nosaka Civilprocesa likuma </w:t>
      </w:r>
      <w:proofErr w:type="gramStart"/>
      <w:r w:rsidR="00096398" w:rsidRPr="0026130B">
        <w:t>473.panta</w:t>
      </w:r>
      <w:proofErr w:type="gramEnd"/>
      <w:r w:rsidR="00096398" w:rsidRPr="0026130B">
        <w:t xml:space="preserve"> pirmā </w:t>
      </w:r>
      <w:r w:rsidR="00B04952" w:rsidRPr="0026130B">
        <w:t xml:space="preserve">daļa, </w:t>
      </w:r>
      <w:r w:rsidR="002C1208">
        <w:t>Senāts</w:t>
      </w:r>
      <w:r w:rsidR="00B04952" w:rsidRPr="0026130B">
        <w:t xml:space="preserve"> atzīst, ka </w:t>
      </w:r>
      <w:r w:rsidR="00B04952" w:rsidRPr="0026130B">
        <w:rPr>
          <w:color w:val="000000"/>
        </w:rPr>
        <w:t xml:space="preserve">apelācijas instances tiesas </w:t>
      </w:r>
      <w:r w:rsidR="00B04952" w:rsidRPr="009B3922">
        <w:rPr>
          <w:color w:val="000000"/>
        </w:rPr>
        <w:t xml:space="preserve">spriedums ir </w:t>
      </w:r>
      <w:r w:rsidR="009B3922" w:rsidRPr="009B3922">
        <w:rPr>
          <w:color w:val="000000"/>
        </w:rPr>
        <w:t xml:space="preserve">atceļams </w:t>
      </w:r>
      <w:r w:rsidR="009B3922" w:rsidRPr="008D6BC4">
        <w:rPr>
          <w:color w:val="000000"/>
        </w:rPr>
        <w:t xml:space="preserve">un lieta nododama jaunai izskatīšanai </w:t>
      </w:r>
      <w:r w:rsidR="00BB4979">
        <w:rPr>
          <w:color w:val="000000"/>
        </w:rPr>
        <w:t>Rīgas</w:t>
      </w:r>
      <w:r w:rsidR="009B3922" w:rsidRPr="008D6BC4">
        <w:rPr>
          <w:color w:val="000000"/>
        </w:rPr>
        <w:t xml:space="preserve"> apgabalties</w:t>
      </w:r>
      <w:r w:rsidR="002C1208">
        <w:rPr>
          <w:color w:val="000000"/>
        </w:rPr>
        <w:t>ā</w:t>
      </w:r>
      <w:r w:rsidR="009B3922" w:rsidRPr="008D6BC4">
        <w:rPr>
          <w:color w:val="000000"/>
        </w:rPr>
        <w:t>.</w:t>
      </w:r>
    </w:p>
    <w:p w:rsidR="00E243A1" w:rsidRDefault="009344D6" w:rsidP="00B05E60">
      <w:pPr>
        <w:spacing w:line="276" w:lineRule="auto"/>
        <w:ind w:firstLine="567"/>
        <w:jc w:val="both"/>
      </w:pPr>
      <w:r>
        <w:rPr>
          <w:color w:val="000000"/>
        </w:rPr>
        <w:t>[1</w:t>
      </w:r>
      <w:r w:rsidR="00D27D65">
        <w:rPr>
          <w:color w:val="000000"/>
        </w:rPr>
        <w:t>4</w:t>
      </w:r>
      <w:r>
        <w:rPr>
          <w:color w:val="000000"/>
        </w:rPr>
        <w:t>]</w:t>
      </w:r>
      <w:r w:rsidR="002D6F13" w:rsidRPr="002D6F13">
        <w:t xml:space="preserve"> </w:t>
      </w:r>
      <w:r w:rsidR="002D6F13">
        <w:t>Pusēm ir strīds par to, vai notikušais negadījums, kad autotransporta līdzekļu stāvvietā piebraukušā un apstādinātā transportlīdzekļa pasažierim atverot automašīnas durvis, tika bojāts blakus stāvošais transportlīdzeklis, ir kvalificējams kā apdrošināšanas gadījums Sauszemes transportlīdzekļu īpašnieku civiltiesiskās atbildības obligātās apdrošināšanas likuma izpratnē.</w:t>
      </w:r>
    </w:p>
    <w:p w:rsidR="00E243A1" w:rsidRDefault="00E413AB" w:rsidP="00B05E60">
      <w:pPr>
        <w:spacing w:line="276" w:lineRule="auto"/>
        <w:ind w:firstLine="567"/>
        <w:jc w:val="both"/>
        <w:rPr>
          <w:shd w:val="clear" w:color="auto" w:fill="FFFFFF"/>
        </w:rPr>
      </w:pPr>
      <w:r>
        <w:lastRenderedPageBreak/>
        <w:t>[1</w:t>
      </w:r>
      <w:r w:rsidR="00D27D65">
        <w:t>4</w:t>
      </w:r>
      <w:r>
        <w:t xml:space="preserve">.1] Apdrošināšanas gadījuma definīcija </w:t>
      </w:r>
      <w:r w:rsidR="00036CBC">
        <w:t>noteikta</w:t>
      </w:r>
      <w:r>
        <w:t xml:space="preserve"> Sauszemes transportlīdzekļu īpašnieku civiltiesiskās atbildības obligātās apdrošināšanas likuma </w:t>
      </w:r>
      <w:proofErr w:type="gramStart"/>
      <w:r w:rsidR="002D6F13">
        <w:t>1.panta</w:t>
      </w:r>
      <w:proofErr w:type="gramEnd"/>
      <w:r w:rsidR="002D6F13">
        <w:t xml:space="preserve"> 2.punkt</w:t>
      </w:r>
      <w:r>
        <w:t>ā:</w:t>
      </w:r>
      <w:r w:rsidR="002D6F13" w:rsidRPr="002D6F13">
        <w:rPr>
          <w:rFonts w:ascii="Arial" w:hAnsi="Arial" w:cs="Arial"/>
          <w:b/>
          <w:bCs/>
          <w:color w:val="414142"/>
          <w:sz w:val="20"/>
          <w:szCs w:val="20"/>
          <w:shd w:val="clear" w:color="auto" w:fill="FFFFFF"/>
        </w:rPr>
        <w:t xml:space="preserve"> </w:t>
      </w:r>
      <w:r w:rsidR="002D6F13" w:rsidRPr="002D6F13">
        <w:rPr>
          <w:bCs/>
          <w:shd w:val="clear" w:color="auto" w:fill="FFFFFF"/>
        </w:rPr>
        <w:t>apdrošināšanas gadījums ir</w:t>
      </w:r>
      <w:r w:rsidR="002D6F13" w:rsidRPr="002D6F13">
        <w:rPr>
          <w:shd w:val="clear" w:color="auto" w:fill="FFFFFF"/>
        </w:rPr>
        <w:t xml:space="preserve"> ceļu satiksmes negadījums, kuram iestājoties paredzēta apdrošināšanas atlīdzības izmaksa</w:t>
      </w:r>
      <w:r w:rsidR="00640A03">
        <w:rPr>
          <w:shd w:val="clear" w:color="auto" w:fill="FFFFFF"/>
        </w:rPr>
        <w:t xml:space="preserve">. </w:t>
      </w:r>
    </w:p>
    <w:p w:rsidR="00640A03" w:rsidRPr="00E243A1" w:rsidRDefault="001D3A74" w:rsidP="00B05E60">
      <w:pPr>
        <w:spacing w:line="276" w:lineRule="auto"/>
        <w:ind w:firstLine="567"/>
        <w:jc w:val="both"/>
      </w:pPr>
      <w:r>
        <w:rPr>
          <w:shd w:val="clear" w:color="auto" w:fill="FFFFFF"/>
        </w:rPr>
        <w:t>Atbilstoši</w:t>
      </w:r>
      <w:r w:rsidR="00E243A1" w:rsidRPr="00E243A1">
        <w:rPr>
          <w:shd w:val="clear" w:color="auto" w:fill="FFFFFF"/>
        </w:rPr>
        <w:t xml:space="preserve"> </w:t>
      </w:r>
      <w:r w:rsidR="004C614D">
        <w:rPr>
          <w:shd w:val="clear" w:color="auto" w:fill="FFFFFF"/>
        </w:rPr>
        <w:t xml:space="preserve">šī likuma </w:t>
      </w:r>
      <w:proofErr w:type="gramStart"/>
      <w:r w:rsidR="00E243A1" w:rsidRPr="00E243A1">
        <w:rPr>
          <w:shd w:val="clear" w:color="auto" w:fill="FFFFFF"/>
        </w:rPr>
        <w:t>18.pant</w:t>
      </w:r>
      <w:r>
        <w:rPr>
          <w:shd w:val="clear" w:color="auto" w:fill="FFFFFF"/>
        </w:rPr>
        <w:t>am</w:t>
      </w:r>
      <w:proofErr w:type="gramEnd"/>
      <w:r w:rsidR="00E243A1" w:rsidRPr="00E243A1">
        <w:rPr>
          <w:shd w:val="clear" w:color="auto" w:fill="FFFFFF"/>
        </w:rPr>
        <w:t xml:space="preserve">, iestājoties apdrošināšanas gadījumam, apdrošinātājs, kurš apdrošinājis zaudējumu nodarījušā transportlīdzekļa īpašnieka civiltiesisko atbildību, vai Transportlīdzekļu apdrošinātāju birojs, ja apdrošināšanas atlīdzība izmaksājama no Garantijas fonda, saskaņā ar apdrošinātāja atbildības limitu atlīdzina šajā likumā noteiktajā kārtībā novērtētos zaudējumus, kas ceļu satiksmes negadījumā nodarīti trešajai personai. </w:t>
      </w:r>
      <w:r w:rsidR="00640A03" w:rsidRPr="00E243A1">
        <w:rPr>
          <w:shd w:val="clear" w:color="auto" w:fill="FFFFFF"/>
        </w:rPr>
        <w:t xml:space="preserve">Savukārt atbilstoši </w:t>
      </w:r>
      <w:r w:rsidR="004C614D">
        <w:rPr>
          <w:shd w:val="clear" w:color="auto" w:fill="FFFFFF"/>
        </w:rPr>
        <w:t>minētā</w:t>
      </w:r>
      <w:r w:rsidR="00640A03" w:rsidRPr="00E243A1">
        <w:rPr>
          <w:shd w:val="clear" w:color="auto" w:fill="FFFFFF"/>
        </w:rPr>
        <w:t xml:space="preserve"> likuma 25.panta 1.punktam c</w:t>
      </w:r>
      <w:r w:rsidR="00640A03" w:rsidRPr="00E243A1">
        <w:t>eļu satiksmes negadījumā trešās personas mantai nodarītais zaudējums ir zaudējums, kas radies sakarā ar transportlīdzekļa bojājumu vai bojāeju.</w:t>
      </w:r>
    </w:p>
    <w:p w:rsidR="00492E34" w:rsidRDefault="00492E34" w:rsidP="00B05E60">
      <w:pPr>
        <w:spacing w:line="276" w:lineRule="auto"/>
        <w:ind w:firstLine="567"/>
        <w:jc w:val="both"/>
        <w:rPr>
          <w:shd w:val="clear" w:color="auto" w:fill="FFFFFF"/>
        </w:rPr>
      </w:pPr>
      <w:r>
        <w:t>[1</w:t>
      </w:r>
      <w:r w:rsidR="00D27D65">
        <w:t>4</w:t>
      </w:r>
      <w:r>
        <w:t xml:space="preserve">.2] Sauszemes transportlīdzekļu īpašnieku civiltiesiskās atbildības obligātās apdrošināšanas likumā transponētas vairākas Eiropas Savienības direktīvas, tostarp </w:t>
      </w:r>
      <w:r w:rsidRPr="00492E34">
        <w:rPr>
          <w:shd w:val="clear" w:color="auto" w:fill="FFFFFF"/>
        </w:rPr>
        <w:t xml:space="preserve">Eiropas Padomes </w:t>
      </w:r>
      <w:proofErr w:type="gramStart"/>
      <w:r w:rsidRPr="00492E34">
        <w:rPr>
          <w:shd w:val="clear" w:color="auto" w:fill="FFFFFF"/>
        </w:rPr>
        <w:t>1972.gada</w:t>
      </w:r>
      <w:proofErr w:type="gramEnd"/>
      <w:r w:rsidRPr="00492E34">
        <w:rPr>
          <w:shd w:val="clear" w:color="auto" w:fill="FFFFFF"/>
        </w:rPr>
        <w:t xml:space="preserve"> 24.aprīļa direktīva </w:t>
      </w:r>
      <w:hyperlink r:id="rId9" w:tgtFrame="_blank" w:history="1">
        <w:r w:rsidRPr="00492E34">
          <w:rPr>
            <w:rStyle w:val="Hyperlink"/>
            <w:color w:val="auto"/>
            <w:u w:val="none"/>
            <w:shd w:val="clear" w:color="auto" w:fill="FFFFFF"/>
          </w:rPr>
          <w:t>72/166/EEK</w:t>
        </w:r>
      </w:hyperlink>
      <w:r w:rsidRPr="00492E34">
        <w:rPr>
          <w:shd w:val="clear" w:color="auto" w:fill="FFFFFF"/>
        </w:rPr>
        <w:t> par dalībvalstu tiesību aktu tuvināšanu attiecībā uz civiltiesiskās atbildības apdrošināšanu saistībā ar mehānisko transportlīdzekļu izmantošanu un attiecībā uz kontroli saistībā ar pienākumu apdrošināt šādu atbildību</w:t>
      </w:r>
      <w:r w:rsidR="00FB13AA">
        <w:rPr>
          <w:shd w:val="clear" w:color="auto" w:fill="FFFFFF"/>
        </w:rPr>
        <w:t xml:space="preserve"> (Pirmā direktīva)</w:t>
      </w:r>
      <w:r w:rsidR="00EC39F2">
        <w:rPr>
          <w:shd w:val="clear" w:color="auto" w:fill="FFFFFF"/>
        </w:rPr>
        <w:t>, kas bija spēkā negadījuma brīdī 2008.gada 24.oktobrī</w:t>
      </w:r>
      <w:r>
        <w:rPr>
          <w:shd w:val="clear" w:color="auto" w:fill="FFFFFF"/>
        </w:rPr>
        <w:t>.</w:t>
      </w:r>
    </w:p>
    <w:p w:rsidR="00FB13AA" w:rsidRDefault="00FB13AA" w:rsidP="00B05E60">
      <w:pPr>
        <w:spacing w:line="276" w:lineRule="auto"/>
        <w:ind w:firstLine="567"/>
        <w:jc w:val="both"/>
      </w:pPr>
      <w:r>
        <w:rPr>
          <w:shd w:val="clear" w:color="auto" w:fill="FFFFFF"/>
        </w:rPr>
        <w:t>D</w:t>
      </w:r>
      <w:r w:rsidRPr="00492E34">
        <w:rPr>
          <w:shd w:val="clear" w:color="auto" w:fill="FFFFFF"/>
        </w:rPr>
        <w:t>irektīva</w:t>
      </w:r>
      <w:r>
        <w:rPr>
          <w:shd w:val="clear" w:color="auto" w:fill="FFFFFF"/>
        </w:rPr>
        <w:t>s</w:t>
      </w:r>
      <w:r w:rsidRPr="00492E34">
        <w:rPr>
          <w:shd w:val="clear" w:color="auto" w:fill="FFFFFF"/>
        </w:rPr>
        <w:t> </w:t>
      </w:r>
      <w:hyperlink r:id="rId10" w:tgtFrame="_blank" w:history="1">
        <w:r w:rsidRPr="00492E34">
          <w:rPr>
            <w:rStyle w:val="Hyperlink"/>
            <w:color w:val="auto"/>
            <w:u w:val="none"/>
            <w:shd w:val="clear" w:color="auto" w:fill="FFFFFF"/>
          </w:rPr>
          <w:t>72/166/EEK</w:t>
        </w:r>
      </w:hyperlink>
      <w:r>
        <w:t xml:space="preserve"> </w:t>
      </w:r>
      <w:proofErr w:type="gramStart"/>
      <w:r>
        <w:t>1.pant</w:t>
      </w:r>
      <w:r w:rsidR="007C7839">
        <w:t>a</w:t>
      </w:r>
      <w:proofErr w:type="gramEnd"/>
      <w:r w:rsidR="007C7839">
        <w:t xml:space="preserve"> 2.punkt</w:t>
      </w:r>
      <w:r>
        <w:t>s noteic, ka šajā direktīvā „cietusī persona” ir ikviena persona, k</w:t>
      </w:r>
      <w:r w:rsidR="001D3A74">
        <w:t>urai</w:t>
      </w:r>
      <w:r>
        <w:t xml:space="preserve"> ir tiesības uz kompensāciju par jebkādiem zaudējumiem vai miesas bojājumiem, kurus izraisījis transportlīdzeklis. Direktīvas </w:t>
      </w:r>
      <w:proofErr w:type="gramStart"/>
      <w:r>
        <w:t>3.pant</w:t>
      </w:r>
      <w:r w:rsidR="007C7839">
        <w:t>a</w:t>
      </w:r>
      <w:proofErr w:type="gramEnd"/>
      <w:r w:rsidR="007C7839">
        <w:t xml:space="preserve"> 1.punkts</w:t>
      </w:r>
      <w:r>
        <w:t xml:space="preserve"> paredz, ka katra dalībvalsts, ievērojot 4.pantu, veic visus vajadzīgos pasākumus, lai nodrošinātu to, ka civiltiesiskā atbildība par to transportlīdzekļu lietošanu, kas parasti atrodas tās teritorijā, ir apdrošināta.</w:t>
      </w:r>
    </w:p>
    <w:p w:rsidR="00FB13AA" w:rsidRDefault="00FB13AA" w:rsidP="00B05E60">
      <w:pPr>
        <w:spacing w:line="276" w:lineRule="auto"/>
        <w:ind w:firstLine="567"/>
        <w:jc w:val="both"/>
      </w:pPr>
      <w:r>
        <w:t xml:space="preserve">Savukārt </w:t>
      </w:r>
      <w:r w:rsidRPr="00FB13AA">
        <w:t xml:space="preserve">Padomes </w:t>
      </w:r>
      <w:proofErr w:type="gramStart"/>
      <w:r w:rsidRPr="00FB13AA">
        <w:t>1983.gada</w:t>
      </w:r>
      <w:proofErr w:type="gramEnd"/>
      <w:r w:rsidRPr="00FB13AA">
        <w:t xml:space="preserve"> 30.decembra Otrā</w:t>
      </w:r>
      <w:r w:rsidR="00967CD6">
        <w:t>s</w:t>
      </w:r>
      <w:r w:rsidRPr="00FB13AA">
        <w:t xml:space="preserve"> direktīva</w:t>
      </w:r>
      <w:r>
        <w:t>s</w:t>
      </w:r>
      <w:r w:rsidRPr="00FB13AA">
        <w:t xml:space="preserve"> 84/5/EEK</w:t>
      </w:r>
      <w:r w:rsidRPr="00740C0E">
        <w:t xml:space="preserve"> </w:t>
      </w:r>
      <w:r>
        <w:t>par dalībvalstu tiesību aktu tuvināšanu attiecībā uz transportlīdzekļu īpašnieku civiltiesiskās atbildības apdrošināšanu 1.pants noteic, ka Direktīvas 72/166/EEK 3.panta 1.punktā minētā apdrošināšana obligāti attiecas gan uz kaitējumu īpašumam, gan uz miesas bojājumiem.</w:t>
      </w:r>
    </w:p>
    <w:p w:rsidR="00FB13AA" w:rsidRDefault="00FB13AA" w:rsidP="00B05E60">
      <w:pPr>
        <w:spacing w:line="276" w:lineRule="auto"/>
        <w:ind w:firstLine="567"/>
        <w:jc w:val="both"/>
      </w:pPr>
      <w:r>
        <w:t>[1</w:t>
      </w:r>
      <w:r w:rsidR="00D27D65">
        <w:t>4</w:t>
      </w:r>
      <w:r>
        <w:t xml:space="preserve">.3] </w:t>
      </w:r>
      <w:r w:rsidR="002D6F13">
        <w:t>Atbilstoši Eiropas Savienības Tiesas pastāvīgajai judikatūrai nacionālajai tiesai, piemērojot nacionālo likumu, ja situācija ietilpst direktīvas piemērošanas jomā, ir pienākums interpretēt nacionālo likumu pēc iespējas atbilstoši direktīvas tekstam un mērķim, lai sasniegtu tajā paredzēto rezultātu (</w:t>
      </w:r>
      <w:r w:rsidR="002D6F13" w:rsidRPr="0044623A">
        <w:rPr>
          <w:i/>
        </w:rPr>
        <w:t>sk.</w:t>
      </w:r>
      <w:r w:rsidR="002D6F13">
        <w:rPr>
          <w:i/>
        </w:rPr>
        <w:t>, piemēram,</w:t>
      </w:r>
      <w:r w:rsidR="002D6F13" w:rsidRPr="0044623A">
        <w:rPr>
          <w:i/>
        </w:rPr>
        <w:t xml:space="preserve"> </w:t>
      </w:r>
      <w:r w:rsidR="002D6F13" w:rsidRPr="002E2140">
        <w:rPr>
          <w:i/>
        </w:rPr>
        <w:t xml:space="preserve">Eiropas Savienības Tiesas </w:t>
      </w:r>
      <w:proofErr w:type="gramStart"/>
      <w:r w:rsidR="002D6F13" w:rsidRPr="002E2140">
        <w:rPr>
          <w:i/>
        </w:rPr>
        <w:t>201</w:t>
      </w:r>
      <w:r w:rsidR="002E2140">
        <w:rPr>
          <w:i/>
        </w:rPr>
        <w:t>3</w:t>
      </w:r>
      <w:r w:rsidR="002D6F13" w:rsidRPr="002E2140">
        <w:rPr>
          <w:i/>
        </w:rPr>
        <w:t>.gada</w:t>
      </w:r>
      <w:proofErr w:type="gramEnd"/>
      <w:r w:rsidR="002D6F13" w:rsidRPr="002E2140">
        <w:rPr>
          <w:i/>
        </w:rPr>
        <w:t xml:space="preserve"> </w:t>
      </w:r>
      <w:r w:rsidR="002E2140">
        <w:rPr>
          <w:i/>
        </w:rPr>
        <w:t>25.</w:t>
      </w:r>
      <w:r w:rsidR="002D6F13" w:rsidRPr="002E2140">
        <w:rPr>
          <w:i/>
        </w:rPr>
        <w:t>a</w:t>
      </w:r>
      <w:r w:rsidR="002E2140">
        <w:rPr>
          <w:i/>
        </w:rPr>
        <w:t>prīļa</w:t>
      </w:r>
      <w:r w:rsidR="002D6F13" w:rsidRPr="002E2140">
        <w:rPr>
          <w:i/>
        </w:rPr>
        <w:t xml:space="preserve"> sprieduma lietā </w:t>
      </w:r>
      <w:proofErr w:type="spellStart"/>
      <w:r w:rsidR="002D6F13" w:rsidRPr="002E2140">
        <w:rPr>
          <w:i/>
        </w:rPr>
        <w:t>Asocia</w:t>
      </w:r>
      <w:r w:rsidR="002D6F13" w:rsidRPr="002E2140">
        <w:rPr>
          <w:rStyle w:val="affairetitle"/>
          <w:i/>
        </w:rPr>
        <w:t>ţ</w:t>
      </w:r>
      <w:r w:rsidR="002D6F13" w:rsidRPr="002E2140">
        <w:rPr>
          <w:i/>
        </w:rPr>
        <w:t>ia</w:t>
      </w:r>
      <w:proofErr w:type="spellEnd"/>
      <w:r w:rsidR="002D6F13" w:rsidRPr="002E2140">
        <w:rPr>
          <w:i/>
        </w:rPr>
        <w:t xml:space="preserve"> </w:t>
      </w:r>
      <w:proofErr w:type="spellStart"/>
      <w:r w:rsidR="002D6F13" w:rsidRPr="002E2140">
        <w:rPr>
          <w:i/>
        </w:rPr>
        <w:t>Accept</w:t>
      </w:r>
      <w:proofErr w:type="spellEnd"/>
      <w:r w:rsidR="002D6F13" w:rsidRPr="002E2140">
        <w:rPr>
          <w:i/>
          <w:shd w:val="clear" w:color="auto" w:fill="FFFFFF"/>
        </w:rPr>
        <w:t>, C</w:t>
      </w:r>
      <w:r w:rsidR="002D6F13" w:rsidRPr="002E2140">
        <w:rPr>
          <w:i/>
          <w:shd w:val="clear" w:color="auto" w:fill="FFFFFF"/>
        </w:rPr>
        <w:noBreakHyphen/>
        <w:t>81/12, ECLI:EU:C:2013:275,</w:t>
      </w:r>
      <w:r w:rsidR="002D6F13" w:rsidRPr="0044623A">
        <w:rPr>
          <w:i/>
          <w:shd w:val="clear" w:color="auto" w:fill="FFFFFF"/>
        </w:rPr>
        <w:t xml:space="preserve"> 71.punktu</w:t>
      </w:r>
      <w:r w:rsidR="002D6F13">
        <w:rPr>
          <w:shd w:val="clear" w:color="auto" w:fill="FFFFFF"/>
        </w:rPr>
        <w:t>).</w:t>
      </w:r>
      <w:r w:rsidR="002D6F13">
        <w:t xml:space="preserve"> </w:t>
      </w:r>
    </w:p>
    <w:p w:rsidR="00FB13AA" w:rsidRDefault="002D6F13" w:rsidP="00B05E60">
      <w:pPr>
        <w:spacing w:line="276" w:lineRule="auto"/>
        <w:ind w:firstLine="567"/>
        <w:jc w:val="both"/>
      </w:pPr>
      <w:r>
        <w:t>D</w:t>
      </w:r>
      <w:r w:rsidRPr="00181799">
        <w:t>alībvalstīm sava kompetence ir jāīsteno, ievērojot Savienības tiesības, un valsts tiesību normas par atlīdzību </w:t>
      </w:r>
      <w:bookmarkStart w:id="1" w:name="ctx27"/>
      <w:r w:rsidRPr="00181799">
        <w:t>transportlīdzekļu</w:t>
      </w:r>
      <w:bookmarkEnd w:id="1"/>
      <w:r w:rsidRPr="00181799">
        <w:t> izraisītos ceļu satiksmes negadījumos nevar atņemt Eiropas Savienības direktīvām to lietderīgo iedarbību (</w:t>
      </w:r>
      <w:r w:rsidRPr="0044623A">
        <w:rPr>
          <w:i/>
        </w:rPr>
        <w:t xml:space="preserve">sk., piemēram, Eiropas Savienības Tiesas </w:t>
      </w:r>
      <w:proofErr w:type="gramStart"/>
      <w:r w:rsidRPr="0044623A">
        <w:rPr>
          <w:i/>
        </w:rPr>
        <w:t>201</w:t>
      </w:r>
      <w:r>
        <w:rPr>
          <w:i/>
        </w:rPr>
        <w:t>2</w:t>
      </w:r>
      <w:r w:rsidRPr="0044623A">
        <w:rPr>
          <w:i/>
        </w:rPr>
        <w:t>.gada</w:t>
      </w:r>
      <w:proofErr w:type="gramEnd"/>
      <w:r w:rsidRPr="0044623A">
        <w:rPr>
          <w:i/>
        </w:rPr>
        <w:t xml:space="preserve"> </w:t>
      </w:r>
      <w:r>
        <w:rPr>
          <w:i/>
        </w:rPr>
        <w:t>23</w:t>
      </w:r>
      <w:r w:rsidRPr="0044623A">
        <w:rPr>
          <w:i/>
        </w:rPr>
        <w:t>.</w:t>
      </w:r>
      <w:r>
        <w:rPr>
          <w:i/>
        </w:rPr>
        <w:t>okto</w:t>
      </w:r>
      <w:r w:rsidRPr="0044623A">
        <w:rPr>
          <w:i/>
        </w:rPr>
        <w:t xml:space="preserve">bra sprieduma lietā </w:t>
      </w:r>
      <w:proofErr w:type="spellStart"/>
      <w:r w:rsidRPr="0044623A">
        <w:rPr>
          <w:i/>
        </w:rPr>
        <w:t>Marques</w:t>
      </w:r>
      <w:proofErr w:type="spellEnd"/>
      <w:r w:rsidRPr="0044623A">
        <w:rPr>
          <w:i/>
        </w:rPr>
        <w:t xml:space="preserve"> </w:t>
      </w:r>
      <w:proofErr w:type="spellStart"/>
      <w:r w:rsidRPr="0044623A">
        <w:rPr>
          <w:i/>
        </w:rPr>
        <w:t>Almeida</w:t>
      </w:r>
      <w:proofErr w:type="spellEnd"/>
      <w:r w:rsidRPr="0044623A">
        <w:rPr>
          <w:i/>
          <w:shd w:val="clear" w:color="auto" w:fill="FFFFFF"/>
        </w:rPr>
        <w:t>, C-300/10, ECLI:EU:C:2012:656, 31.punkt</w:t>
      </w:r>
      <w:r>
        <w:rPr>
          <w:i/>
          <w:shd w:val="clear" w:color="auto" w:fill="FFFFFF"/>
        </w:rPr>
        <w:t>u;</w:t>
      </w:r>
      <w:r w:rsidRPr="0044623A">
        <w:rPr>
          <w:i/>
          <w:shd w:val="clear" w:color="auto" w:fill="FFFFFF"/>
        </w:rPr>
        <w:t xml:space="preserve"> 2017.gada 14.septembra sprieduma lietā </w:t>
      </w:r>
      <w:proofErr w:type="spellStart"/>
      <w:r w:rsidRPr="0044623A">
        <w:rPr>
          <w:i/>
          <w:shd w:val="clear" w:color="auto" w:fill="FFFFFF"/>
        </w:rPr>
        <w:t>Delgado</w:t>
      </w:r>
      <w:proofErr w:type="spellEnd"/>
      <w:r w:rsidRPr="0044623A">
        <w:rPr>
          <w:i/>
          <w:shd w:val="clear" w:color="auto" w:fill="FFFFFF"/>
        </w:rPr>
        <w:t xml:space="preserve"> Mendes, C-503/16, ECLI:EU:C:2017:68</w:t>
      </w:r>
      <w:r w:rsidR="00E92351">
        <w:rPr>
          <w:i/>
          <w:shd w:val="clear" w:color="auto" w:fill="FFFFFF"/>
        </w:rPr>
        <w:t>1</w:t>
      </w:r>
      <w:r w:rsidRPr="0044623A">
        <w:rPr>
          <w:i/>
          <w:shd w:val="clear" w:color="auto" w:fill="FFFFFF"/>
        </w:rPr>
        <w:t>, 48.punkt</w:t>
      </w:r>
      <w:r>
        <w:rPr>
          <w:i/>
          <w:shd w:val="clear" w:color="auto" w:fill="FFFFFF"/>
        </w:rPr>
        <w:t>u</w:t>
      </w:r>
      <w:r w:rsidRPr="007E0529">
        <w:rPr>
          <w:shd w:val="clear" w:color="auto" w:fill="FFFFFF"/>
        </w:rPr>
        <w:t>).</w:t>
      </w:r>
    </w:p>
    <w:p w:rsidR="007C7839" w:rsidRDefault="002D6F13" w:rsidP="00B05E60">
      <w:pPr>
        <w:spacing w:line="276" w:lineRule="auto"/>
        <w:ind w:firstLine="567"/>
        <w:jc w:val="both"/>
      </w:pPr>
      <w:r>
        <w:t xml:space="preserve">Līdz ar to </w:t>
      </w:r>
      <w:r w:rsidRPr="00564E36">
        <w:t xml:space="preserve">Sauszemes transportlīdzekļu īpašnieku civiltiesiskās atbildības obligātās apdrošināšanas likuma </w:t>
      </w:r>
      <w:proofErr w:type="gramStart"/>
      <w:r w:rsidRPr="00564E36">
        <w:t>1.panta</w:t>
      </w:r>
      <w:proofErr w:type="gramEnd"/>
      <w:r w:rsidRPr="00564E36">
        <w:t xml:space="preserve"> 2.punktā minēt</w:t>
      </w:r>
      <w:r w:rsidR="00D0099B">
        <w:t>ā</w:t>
      </w:r>
      <w:r w:rsidRPr="00564E36">
        <w:t xml:space="preserve"> jēdzien</w:t>
      </w:r>
      <w:r w:rsidR="00D0099B">
        <w:t>a</w:t>
      </w:r>
      <w:r w:rsidRPr="00564E36">
        <w:t xml:space="preserve"> </w:t>
      </w:r>
      <w:r>
        <w:t>„apdrošināšanas gadījums”</w:t>
      </w:r>
      <w:r w:rsidR="00D0099B">
        <w:t xml:space="preserve"> iztulkošanā primāri izmantojamas Eiropas Savienības tiesību normas, nevis cits nacionālais normatīvais akts.</w:t>
      </w:r>
      <w:r>
        <w:t xml:space="preserve"> </w:t>
      </w:r>
      <w:r w:rsidR="00D0099B">
        <w:t xml:space="preserve">Proti, ir </w:t>
      </w:r>
      <w:r>
        <w:t xml:space="preserve">nepieciešams noskaidrot, vai stāvoša transportlīdzekļa pasažiera durvju atvēršana ir „transportlīdzekļa lietošana” </w:t>
      </w:r>
      <w:r w:rsidR="00614188">
        <w:t>D</w:t>
      </w:r>
      <w:r w:rsidRPr="002D737D">
        <w:t>irektīva</w:t>
      </w:r>
      <w:r>
        <w:t>s</w:t>
      </w:r>
      <w:r w:rsidRPr="002D737D">
        <w:t xml:space="preserve"> 72/166/EK</w:t>
      </w:r>
      <w:r>
        <w:t xml:space="preserve"> izpratnē.</w:t>
      </w:r>
    </w:p>
    <w:p w:rsidR="007C7839" w:rsidRPr="00BF3D52" w:rsidRDefault="007C7839" w:rsidP="00B05E60">
      <w:pPr>
        <w:spacing w:line="276" w:lineRule="auto"/>
        <w:ind w:firstLine="567"/>
        <w:jc w:val="both"/>
      </w:pPr>
      <w:r>
        <w:lastRenderedPageBreak/>
        <w:t>[1</w:t>
      </w:r>
      <w:r w:rsidR="00D27D65">
        <w:t>4</w:t>
      </w:r>
      <w:r>
        <w:t xml:space="preserve">.4] </w:t>
      </w:r>
      <w:r w:rsidR="002D6F13" w:rsidRPr="00BF3D52">
        <w:t>Eiropas Savienības Tiesa ir norādījusi, ka jēdziena „transportlīdzekļu lietošana” tvērums nevar tikt atstāts katras dalībvalsts vērtējumam</w:t>
      </w:r>
      <w:r w:rsidR="00BF3D52" w:rsidRPr="00BF3D52">
        <w:rPr>
          <w:shd w:val="clear" w:color="auto" w:fill="FFFFFF"/>
        </w:rPr>
        <w:t xml:space="preserve">, bet tas ir autonoms Savienības tiesību jēdziens, kas saskaņā ar Eiropas Savienības Tiesas pastāvīgo judikatūru ir jāinterpretē, ņemot vērā it īpaši šīs tiesību normas kontekstu un tiesiskā regulējuma, kurā tā ietilpst, mērķus </w:t>
      </w:r>
      <w:r w:rsidR="002D6F13" w:rsidRPr="00BF3D52">
        <w:t>(</w:t>
      </w:r>
      <w:r w:rsidR="002D6F13" w:rsidRPr="00BF3D52">
        <w:rPr>
          <w:i/>
        </w:rPr>
        <w:t xml:space="preserve">Eiropas Savienības Tiesas 2014.gada 4.septembra sprieduma lietā </w:t>
      </w:r>
      <w:proofErr w:type="spellStart"/>
      <w:r w:rsidR="002D6F13" w:rsidRPr="00BF3D52">
        <w:rPr>
          <w:i/>
        </w:rPr>
        <w:t>Vnuk</w:t>
      </w:r>
      <w:proofErr w:type="spellEnd"/>
      <w:r w:rsidR="002D6F13" w:rsidRPr="00BF3D52">
        <w:rPr>
          <w:i/>
        </w:rPr>
        <w:t>, C-162/13, ECLI:EU:C:2014:2146, 41.punkts</w:t>
      </w:r>
      <w:r w:rsidR="00BF3D52" w:rsidRPr="00BF3D52">
        <w:rPr>
          <w:i/>
        </w:rPr>
        <w:t xml:space="preserve">; 2017.gada 28.novembra sprieduma lietā </w:t>
      </w:r>
      <w:proofErr w:type="spellStart"/>
      <w:r w:rsidR="00BF3D52" w:rsidRPr="00BF3D52">
        <w:rPr>
          <w:i/>
          <w:iCs/>
          <w:shd w:val="clear" w:color="auto" w:fill="FFFFFF"/>
        </w:rPr>
        <w:t>Rodrigues</w:t>
      </w:r>
      <w:proofErr w:type="spellEnd"/>
      <w:r w:rsidR="00BF3D52" w:rsidRPr="00BF3D52">
        <w:rPr>
          <w:i/>
          <w:iCs/>
          <w:shd w:val="clear" w:color="auto" w:fill="FFFFFF"/>
        </w:rPr>
        <w:t xml:space="preserve"> </w:t>
      </w:r>
      <w:proofErr w:type="spellStart"/>
      <w:r w:rsidR="00BF3D52" w:rsidRPr="00BF3D52">
        <w:rPr>
          <w:i/>
          <w:iCs/>
          <w:shd w:val="clear" w:color="auto" w:fill="FFFFFF"/>
        </w:rPr>
        <w:t>de</w:t>
      </w:r>
      <w:proofErr w:type="spellEnd"/>
      <w:r w:rsidR="00BF3D52" w:rsidRPr="00BF3D52">
        <w:rPr>
          <w:i/>
          <w:iCs/>
          <w:shd w:val="clear" w:color="auto" w:fill="FFFFFF"/>
        </w:rPr>
        <w:t xml:space="preserve"> </w:t>
      </w:r>
      <w:proofErr w:type="spellStart"/>
      <w:r w:rsidR="00BF3D52" w:rsidRPr="00BF3D52">
        <w:rPr>
          <w:i/>
          <w:iCs/>
          <w:shd w:val="clear" w:color="auto" w:fill="FFFFFF"/>
        </w:rPr>
        <w:t>Andrade</w:t>
      </w:r>
      <w:proofErr w:type="spellEnd"/>
      <w:r w:rsidR="00BF3D52" w:rsidRPr="00BF3D52">
        <w:rPr>
          <w:shd w:val="clear" w:color="auto" w:fill="FFFFFF"/>
        </w:rPr>
        <w:t xml:space="preserve">, </w:t>
      </w:r>
      <w:r w:rsidR="00BF3D52" w:rsidRPr="00BF3D52">
        <w:rPr>
          <w:i/>
          <w:shd w:val="clear" w:color="auto" w:fill="FFFFFF"/>
        </w:rPr>
        <w:t>C</w:t>
      </w:r>
      <w:r w:rsidR="00BF3D52" w:rsidRPr="00BF3D52">
        <w:rPr>
          <w:i/>
          <w:shd w:val="clear" w:color="auto" w:fill="FFFFFF"/>
        </w:rPr>
        <w:noBreakHyphen/>
        <w:t>514/16, EU:C:2017:908, 31.</w:t>
      </w:r>
      <w:bookmarkStart w:id="2" w:name="_GoBack"/>
      <w:bookmarkEnd w:id="2"/>
      <w:r w:rsidR="00BF3D52" w:rsidRPr="00BF3D52">
        <w:rPr>
          <w:i/>
          <w:shd w:val="clear" w:color="auto" w:fill="FFFFFF"/>
        </w:rPr>
        <w:t>punkts</w:t>
      </w:r>
      <w:r w:rsidR="002D6F13" w:rsidRPr="00BF3D52">
        <w:t xml:space="preserve">). </w:t>
      </w:r>
    </w:p>
    <w:p w:rsidR="002479BB" w:rsidRDefault="00870601" w:rsidP="00B05E60">
      <w:pPr>
        <w:spacing w:line="276" w:lineRule="auto"/>
        <w:ind w:firstLine="567"/>
        <w:jc w:val="both"/>
      </w:pPr>
      <w:r>
        <w:t>Minētajā</w:t>
      </w:r>
      <w:r w:rsidR="004D5790">
        <w:t>s</w:t>
      </w:r>
      <w:r w:rsidR="002D6F13">
        <w:t xml:space="preserve"> lietā</w:t>
      </w:r>
      <w:r w:rsidR="004D5790">
        <w:t>s</w:t>
      </w:r>
      <w:r w:rsidR="002D6F13">
        <w:t xml:space="preserve"> Eiropas Savienības Tiesa nosprieda, ka D</w:t>
      </w:r>
      <w:r w:rsidR="002D6F13" w:rsidRPr="000E4D5F">
        <w:t xml:space="preserve">irektīvas </w:t>
      </w:r>
      <w:r w:rsidR="002D6F13">
        <w:t xml:space="preserve">72/166/EEK </w:t>
      </w:r>
      <w:proofErr w:type="gramStart"/>
      <w:r w:rsidR="002D6F13" w:rsidRPr="000E4D5F">
        <w:t>3.panta</w:t>
      </w:r>
      <w:proofErr w:type="gramEnd"/>
      <w:r w:rsidR="002D6F13" w:rsidRPr="000E4D5F">
        <w:t xml:space="preserve"> 1.punkts </w:t>
      </w:r>
      <w:r w:rsidR="002D6F13">
        <w:t xml:space="preserve">ir </w:t>
      </w:r>
      <w:r w:rsidR="002D6F13" w:rsidRPr="000E4D5F">
        <w:t xml:space="preserve">jāinterpretē tādējādi, ka tajā minētais jēdziens </w:t>
      </w:r>
      <w:r w:rsidR="002D6F13">
        <w:t>„</w:t>
      </w:r>
      <w:r w:rsidR="002D6F13" w:rsidRPr="000E4D5F">
        <w:t>transportlīdzekļu lietošana” aptver jebkādu transportlīdzekļa izmantošanu, kas atbilst šī transportlīdzekļa parastajai funkcijai</w:t>
      </w:r>
      <w:r w:rsidR="00C26D11">
        <w:t>, proti, transporta funkcijai</w:t>
      </w:r>
      <w:r w:rsidR="002D6F13">
        <w:t>.</w:t>
      </w:r>
    </w:p>
    <w:p w:rsidR="002479BB" w:rsidRDefault="003B6B01" w:rsidP="00B05E60">
      <w:pPr>
        <w:spacing w:line="276" w:lineRule="auto"/>
        <w:ind w:firstLine="567"/>
        <w:jc w:val="both"/>
      </w:pPr>
      <w:r>
        <w:t>Senāta ieskatā, ievērojot šo</w:t>
      </w:r>
      <w:r w:rsidR="002D6F13">
        <w:t xml:space="preserve"> </w:t>
      </w:r>
      <w:r>
        <w:t xml:space="preserve">norādi uz </w:t>
      </w:r>
      <w:r w:rsidR="00260662">
        <w:t xml:space="preserve">jēdziena </w:t>
      </w:r>
      <w:r>
        <w:t xml:space="preserve">„transportlīdzekļa lietošana” plašo tvērumu, </w:t>
      </w:r>
      <w:r w:rsidR="002D6F13">
        <w:t>durvju atvēršana pēc transportlīdzekļa novietošanas stāvēšanai atbilst „tā izmantošanai atbilstoši parastajai funkcijai”. Proti, pasažieru iekāpšana transportlīdzeklī un izkāpšana no tā ir transportlīdzekļa lietošanas izpausme</w:t>
      </w:r>
      <w:proofErr w:type="gramStart"/>
      <w:r w:rsidR="002D6F13">
        <w:t>, un transportlīdzekļa ekspluatāciju nevar pilnīgi pabeigt</w:t>
      </w:r>
      <w:proofErr w:type="gramEnd"/>
      <w:r w:rsidR="002D6F13">
        <w:t>, pasažieriem paliekot transportlīdzeklī.</w:t>
      </w:r>
      <w:r w:rsidR="002479BB" w:rsidRPr="002479BB">
        <w:t xml:space="preserve"> </w:t>
      </w:r>
    </w:p>
    <w:p w:rsidR="00EA7FDB" w:rsidRDefault="00EA7FDB" w:rsidP="00B05E60">
      <w:pPr>
        <w:spacing w:line="276" w:lineRule="auto"/>
        <w:ind w:firstLine="567"/>
        <w:jc w:val="both"/>
      </w:pPr>
      <w:r>
        <w:t>[1</w:t>
      </w:r>
      <w:r w:rsidR="00D27D65">
        <w:t>4</w:t>
      </w:r>
      <w:r>
        <w:t xml:space="preserve">.5] </w:t>
      </w:r>
      <w:r w:rsidR="002D6F13">
        <w:t>Tomēr</w:t>
      </w:r>
      <w:r w:rsidR="003B6B01">
        <w:t xml:space="preserve"> galīgo skaidrojumu par to</w:t>
      </w:r>
      <w:proofErr w:type="gramStart"/>
      <w:r w:rsidR="003B6B01">
        <w:t xml:space="preserve">, </w:t>
      </w:r>
      <w:r w:rsidR="002D6F13">
        <w:t>vai transportlīdzekļa durvju</w:t>
      </w:r>
      <w:proofErr w:type="gramEnd"/>
      <w:r w:rsidR="002D6F13">
        <w:t xml:space="preserve"> atvēršana ietilpst jēdziena „transportlīdzekļu lietošana” tvērumā</w:t>
      </w:r>
      <w:r w:rsidR="003B6B01">
        <w:t xml:space="preserve"> arī</w:t>
      </w:r>
      <w:r w:rsidR="002D6F13">
        <w:t xml:space="preserve"> gadījumā, kad abi transportlīdzekļi neatrodas kustībā</w:t>
      </w:r>
      <w:r>
        <w:t xml:space="preserve"> un kad automašīnas durvis atvēris pasažieris, nevis vadītājs, izskatāmajā lietā </w:t>
      </w:r>
      <w:r w:rsidR="007E7021">
        <w:t>sniegusi</w:t>
      </w:r>
      <w:r>
        <w:t xml:space="preserve"> Eiropas Savienības Tiesa, atbildot </w:t>
      </w:r>
      <w:r w:rsidR="007E7021">
        <w:t>uz</w:t>
      </w:r>
      <w:r>
        <w:t xml:space="preserve"> Augstākās tiesas uzdotajiem jautājumiem</w:t>
      </w:r>
      <w:r w:rsidR="002D6F13">
        <w:t>.</w:t>
      </w:r>
    </w:p>
    <w:p w:rsidR="00B835AE" w:rsidRDefault="00BD75E2" w:rsidP="00B05E60">
      <w:pPr>
        <w:spacing w:line="276" w:lineRule="auto"/>
        <w:ind w:firstLine="567"/>
        <w:jc w:val="both"/>
      </w:pPr>
      <w:r w:rsidRPr="007E7021">
        <w:t xml:space="preserve">Proti, Eiropas Savienības Tiesa </w:t>
      </w:r>
      <w:proofErr w:type="gramStart"/>
      <w:r w:rsidRPr="007E7021">
        <w:t>2018.gada</w:t>
      </w:r>
      <w:proofErr w:type="gramEnd"/>
      <w:r w:rsidRPr="007E7021">
        <w:t xml:space="preserve"> 15.novembra spriedumā lietā Nr. C-648/17 norād</w:t>
      </w:r>
      <w:r w:rsidR="007E7021" w:rsidRPr="007E7021">
        <w:t>īja, ka, ciktāl Pirmās direktīvas 1.panta 1.punktā paredzētos mehāniskos transportlīdzekļus neatkarīgi no to īpašībām parasti ir paredzēts izmantot transportam, minētais jēdziens aptver transportlīdzekļa visa veida izmantošanu transportam.</w:t>
      </w:r>
      <w:r w:rsidR="00B05E60">
        <w:t xml:space="preserve"> </w:t>
      </w:r>
      <w:r w:rsidR="007E7021" w:rsidRPr="007E7021">
        <w:t>Transportlīdzekļa durvju atvēršana ir tā izmantošana, kas atbilst transportlīdzekļa funkcijai, ciktāl tā ļauj ar šo transportlīdzekli pārvadāto vai pārvadājamo personu iekāpšanu tajā un izkāpšanu no tā vai preču iekraušanu tajā un izkraušanu no tā.</w:t>
      </w:r>
      <w:r w:rsidR="00B05E60">
        <w:t xml:space="preserve"> </w:t>
      </w:r>
      <w:r w:rsidR="007E7021" w:rsidRPr="007E7021">
        <w:t>Šo secinājumu neietekmē tas, ka pamatlietā aplūkotie transportlīdzekļi negadījuma brīdī bija novietoti stāvēšanai un ka tie atradās stāvvietā. Turklāt arī tam, vai attiecīgā transportlīdzekļa motors negadījuma brīdī darbojās, nav izšķirošas nozīmes (</w:t>
      </w:r>
      <w:r w:rsidR="007E7021" w:rsidRPr="003B5816">
        <w:rPr>
          <w:i/>
        </w:rPr>
        <w:t>sk.</w:t>
      </w:r>
      <w:r w:rsidR="007E7021" w:rsidRPr="007E7021">
        <w:t xml:space="preserve"> </w:t>
      </w:r>
      <w:r w:rsidR="0084676B" w:rsidRPr="00BF3D52">
        <w:rPr>
          <w:i/>
        </w:rPr>
        <w:t>Eiropas Savienības Tiesas 201</w:t>
      </w:r>
      <w:r w:rsidR="0084676B">
        <w:rPr>
          <w:i/>
        </w:rPr>
        <w:t>8</w:t>
      </w:r>
      <w:r w:rsidR="0084676B" w:rsidRPr="00BF3D52">
        <w:rPr>
          <w:i/>
        </w:rPr>
        <w:t xml:space="preserve">.gada </w:t>
      </w:r>
      <w:r w:rsidR="0084676B">
        <w:rPr>
          <w:i/>
        </w:rPr>
        <w:t>15</w:t>
      </w:r>
      <w:r w:rsidR="0084676B" w:rsidRPr="00BF3D52">
        <w:rPr>
          <w:i/>
        </w:rPr>
        <w:t>.</w:t>
      </w:r>
      <w:r w:rsidR="0084676B">
        <w:rPr>
          <w:i/>
        </w:rPr>
        <w:t>nov</w:t>
      </w:r>
      <w:r w:rsidR="0084676B" w:rsidRPr="00BF3D52">
        <w:rPr>
          <w:i/>
        </w:rPr>
        <w:t>embra sprieduma lietā</w:t>
      </w:r>
      <w:r w:rsidR="00CC7CB1">
        <w:rPr>
          <w:i/>
        </w:rPr>
        <w:t xml:space="preserve"> BTA </w:t>
      </w:r>
      <w:proofErr w:type="spellStart"/>
      <w:r w:rsidR="00CC7CB1">
        <w:rPr>
          <w:i/>
        </w:rPr>
        <w:t>Baltic</w:t>
      </w:r>
      <w:proofErr w:type="spellEnd"/>
      <w:r w:rsidR="00CC7CB1">
        <w:rPr>
          <w:i/>
        </w:rPr>
        <w:t xml:space="preserve"> </w:t>
      </w:r>
      <w:proofErr w:type="spellStart"/>
      <w:r w:rsidR="00CC7CB1">
        <w:rPr>
          <w:i/>
        </w:rPr>
        <w:t>Insurance</w:t>
      </w:r>
      <w:proofErr w:type="spellEnd"/>
      <w:r w:rsidR="00CC7CB1">
        <w:rPr>
          <w:i/>
        </w:rPr>
        <w:t xml:space="preserve"> </w:t>
      </w:r>
      <w:proofErr w:type="spellStart"/>
      <w:r w:rsidR="00CC7CB1">
        <w:rPr>
          <w:i/>
        </w:rPr>
        <w:t>Company</w:t>
      </w:r>
      <w:proofErr w:type="spellEnd"/>
      <w:r w:rsidR="0084676B" w:rsidRPr="00BF3D52">
        <w:rPr>
          <w:i/>
        </w:rPr>
        <w:t>, C</w:t>
      </w:r>
      <w:r w:rsidR="0084676B">
        <w:rPr>
          <w:i/>
        </w:rPr>
        <w:noBreakHyphen/>
      </w:r>
      <w:r w:rsidR="0084676B" w:rsidRPr="00BF3D52">
        <w:rPr>
          <w:i/>
        </w:rPr>
        <w:t>6</w:t>
      </w:r>
      <w:r w:rsidR="0084676B">
        <w:rPr>
          <w:i/>
        </w:rPr>
        <w:t>48</w:t>
      </w:r>
      <w:r w:rsidR="0084676B" w:rsidRPr="00BF3D52">
        <w:rPr>
          <w:i/>
        </w:rPr>
        <w:t>/1</w:t>
      </w:r>
      <w:r w:rsidR="0084676B">
        <w:rPr>
          <w:i/>
        </w:rPr>
        <w:t>7</w:t>
      </w:r>
      <w:r w:rsidR="0084676B" w:rsidRPr="00BF3D52">
        <w:rPr>
          <w:i/>
        </w:rPr>
        <w:t xml:space="preserve">, </w:t>
      </w:r>
      <w:r w:rsidR="00CC7CB1" w:rsidRPr="00CC7CB1">
        <w:rPr>
          <w:bCs/>
          <w:i/>
          <w:shd w:val="clear" w:color="auto" w:fill="FFFFFF"/>
        </w:rPr>
        <w:t>ECLI:EU:C:2018:917</w:t>
      </w:r>
      <w:r w:rsidR="0084676B" w:rsidRPr="00BF3D52">
        <w:rPr>
          <w:i/>
        </w:rPr>
        <w:t xml:space="preserve">, </w:t>
      </w:r>
      <w:r w:rsidR="007E7021" w:rsidRPr="007E7021">
        <w:rPr>
          <w:i/>
        </w:rPr>
        <w:t>35.-39.punktu</w:t>
      </w:r>
      <w:r w:rsidR="007E7021" w:rsidRPr="007E7021">
        <w:t>).</w:t>
      </w:r>
    </w:p>
    <w:p w:rsidR="000E5094" w:rsidRDefault="00B835AE" w:rsidP="00B05E60">
      <w:pPr>
        <w:spacing w:line="276" w:lineRule="auto"/>
        <w:ind w:firstLine="567"/>
        <w:jc w:val="both"/>
      </w:pPr>
      <w:r w:rsidRPr="000E49E4">
        <w:t xml:space="preserve">Attiecībā uz to, ka negadījumu izraisījusi nevis transportlīdzekļa vadītāja rīcība, bet gan tā pasažiera rīcība, Eiropas Savienība Tiesa norādīja, ka ne Pirmās direktīvas </w:t>
      </w:r>
      <w:proofErr w:type="gramStart"/>
      <w:r w:rsidRPr="000E49E4">
        <w:t>3.panta</w:t>
      </w:r>
      <w:proofErr w:type="gramEnd"/>
      <w:r w:rsidRPr="000E49E4">
        <w:t xml:space="preserve"> 1.punktā ietvertā tiesību norma, ne citas to direktīvu tiesību normas, kas attiecas uz obligāto apdrošināšanu, neparedz, ka obligātā apdrošināšana attiektos tikai uz kādas noteiktas personu kategorijas, piemēram, transportlīdzekļa vadītāja, civiltiesisko atbildību. Savukārt Otrās direktīvas 2</w:t>
      </w:r>
      <w:r w:rsidR="000E5094">
        <w:t>.</w:t>
      </w:r>
      <w:r w:rsidRPr="000E49E4">
        <w:t xml:space="preserve">panta 1.punkts, kurā ir norāde uz „transportlīdzekļu lietošanu vai vadīšanu”, un šīs direktīvas 3.pants, kurā ir atsauce uz „autovadītāju vai jebkuru citu personu [..], kas saskaņā ar civiltiesībām ir atbildīga par negadījumu un kuras atbildība ir [obligāti] apdrošināta”, liek domāt, ka šī apdrošināšana attiecas uz civiltiesisko atbildību, kas izriet ne tikai no transportlīdzekļu vadīšanas, bet arī no citiem tā izmantošanas veidiem un no izmantošanas, kuru īsteno personas, kas nav transportlīdzekļa vadītājs. Transportlīdzekļu izmantošana ir ne tikai to vadīšana, – tā ietver arī transportlīdzekļa durvju atvēršanu, ciktāl tā atļauj ar šo transportlīdzekli pārvadāto un pārvadājamo personu iekāpšanu tajā un izkāpšanu no tā vai </w:t>
      </w:r>
      <w:r w:rsidRPr="000E49E4">
        <w:lastRenderedPageBreak/>
        <w:t>preču iekraušanu tajā un izkraušanu no tā</w:t>
      </w:r>
      <w:r w:rsidR="000E49E4" w:rsidRPr="000E49E4">
        <w:t>, ko parasti veic arī pasažieri (</w:t>
      </w:r>
      <w:r w:rsidR="000E49E4" w:rsidRPr="000E49E4">
        <w:rPr>
          <w:i/>
        </w:rPr>
        <w:t>sk.</w:t>
      </w:r>
      <w:r w:rsidR="000E49E4" w:rsidRPr="000E49E4">
        <w:t xml:space="preserve"> </w:t>
      </w:r>
      <w:r w:rsidR="000E49E4" w:rsidRPr="000E49E4">
        <w:rPr>
          <w:i/>
        </w:rPr>
        <w:t>minētā sprieduma 41.-47.punktu</w:t>
      </w:r>
      <w:r w:rsidR="000E5094">
        <w:t>).</w:t>
      </w:r>
    </w:p>
    <w:p w:rsidR="007E7021" w:rsidRPr="007E7021" w:rsidRDefault="00870601" w:rsidP="00B05E60">
      <w:pPr>
        <w:spacing w:line="276" w:lineRule="auto"/>
        <w:ind w:firstLine="567"/>
        <w:jc w:val="both"/>
      </w:pPr>
      <w:r>
        <w:t>Līdz ar to</w:t>
      </w:r>
      <w:r w:rsidR="000E5094">
        <w:t xml:space="preserve"> Eiropas Savienības Tiesa nosprieda, ka Direktīvas 72/166/EEK </w:t>
      </w:r>
      <w:proofErr w:type="gramStart"/>
      <w:r w:rsidR="000E5094">
        <w:t>3.panta</w:t>
      </w:r>
      <w:proofErr w:type="gramEnd"/>
      <w:r w:rsidR="000E5094">
        <w:t xml:space="preserve"> 1.punkts ir interpretējams tādējādi, ka šajā tiesību normā paredzētajā jēdzienā „transportlīdzekļu lietošana” ietilpst situācija, kad stāvvietā novietota transportlīdzekļa pasažieris, atverot šī transportlīdzekļa durvis, ir saskrāpējis un bojājis tam blakus stāvošo transportlīdzekli.</w:t>
      </w:r>
    </w:p>
    <w:p w:rsidR="00963BBC" w:rsidRDefault="00870601" w:rsidP="00B05E60">
      <w:pPr>
        <w:spacing w:line="276" w:lineRule="auto"/>
        <w:ind w:firstLine="567"/>
        <w:jc w:val="both"/>
      </w:pPr>
      <w:r>
        <w:t>[1</w:t>
      </w:r>
      <w:r w:rsidR="00D27D65">
        <w:t>4</w:t>
      </w:r>
      <w:r>
        <w:t>.6] Ņemot vērā visu iepriekš</w:t>
      </w:r>
      <w:r w:rsidR="00260662">
        <w:t xml:space="preserve"> </w:t>
      </w:r>
      <w:r>
        <w:t xml:space="preserve">minēto, Senāts atzīst, ka </w:t>
      </w:r>
      <w:r w:rsidR="004560DD">
        <w:t xml:space="preserve">jēdziens „apdrošināšanas gadījums” Sauszemes transportlīdzekļu īpašnieku civiltiesiskās atbildības obligātās apdrošināšanas </w:t>
      </w:r>
      <w:r w:rsidR="004560DD" w:rsidRPr="004560DD">
        <w:t xml:space="preserve">likuma </w:t>
      </w:r>
      <w:proofErr w:type="gramStart"/>
      <w:r w:rsidR="004560DD" w:rsidRPr="004560DD">
        <w:t>1.panta</w:t>
      </w:r>
      <w:proofErr w:type="gramEnd"/>
      <w:r w:rsidR="004560DD" w:rsidRPr="004560DD">
        <w:t xml:space="preserve"> 2.punkta</w:t>
      </w:r>
      <w:r w:rsidR="004560DD">
        <w:t xml:space="preserve"> izpratnē </w:t>
      </w:r>
      <w:r w:rsidR="004560DD" w:rsidRPr="000E4D5F">
        <w:t xml:space="preserve">aptver </w:t>
      </w:r>
      <w:r w:rsidR="004560DD">
        <w:t xml:space="preserve">kaitējuma nodarīšanu ar </w:t>
      </w:r>
      <w:r w:rsidR="004560DD" w:rsidRPr="000E4D5F">
        <w:t>jebkādu transportlīdzekļa izmantošanu, kas atbilst šī transportlīdzekļa parastajai funkcijai</w:t>
      </w:r>
      <w:r w:rsidR="004560DD">
        <w:t xml:space="preserve">, neatkarīgi no tā, vai viens vai abi transportlīdzekļi atradās kustībā un vai automašīnas durvis, iekāpjot tajā vai izkāpjot no tās, atvēris vadītājs vai pasažieris. </w:t>
      </w:r>
    </w:p>
    <w:p w:rsidR="0098607B" w:rsidRDefault="0098607B" w:rsidP="00B05E60">
      <w:pPr>
        <w:spacing w:line="276" w:lineRule="auto"/>
        <w:ind w:firstLine="567"/>
        <w:jc w:val="both"/>
      </w:pPr>
      <w:r>
        <w:t xml:space="preserve">Savukārt Ceļu satiksmes likuma </w:t>
      </w:r>
      <w:proofErr w:type="gramStart"/>
      <w:r>
        <w:t>1.panta</w:t>
      </w:r>
      <w:proofErr w:type="gramEnd"/>
      <w:r>
        <w:t xml:space="preserve"> 7.punktā </w:t>
      </w:r>
      <w:r w:rsidR="00F95554">
        <w:t>noteiktā</w:t>
      </w:r>
      <w:r>
        <w:t xml:space="preserve"> ceļu satiksmes negad</w:t>
      </w:r>
      <w:r w:rsidR="005D41CD">
        <w:t>ījuma</w:t>
      </w:r>
      <w:r>
        <w:t xml:space="preserve"> definīcija jēdziena „apdrošināšanas gadījums” iztulkošanā izmantojama tiktāl, ciktāl tā ir saskanīga ar </w:t>
      </w:r>
      <w:r w:rsidR="003726D9">
        <w:t xml:space="preserve">šī </w:t>
      </w:r>
      <w:r>
        <w:t>jēdziena izpratni</w:t>
      </w:r>
      <w:r w:rsidR="005D41CD">
        <w:t xml:space="preserve"> Eiropas Savienības tiesībās.</w:t>
      </w:r>
      <w:r>
        <w:t xml:space="preserve"> </w:t>
      </w:r>
    </w:p>
    <w:p w:rsidR="000A6037" w:rsidRPr="000E5094" w:rsidRDefault="000A6037" w:rsidP="00B05E60">
      <w:pPr>
        <w:spacing w:line="276" w:lineRule="auto"/>
        <w:ind w:firstLine="567"/>
        <w:jc w:val="both"/>
      </w:pPr>
    </w:p>
    <w:p w:rsidR="00E268AC" w:rsidRDefault="00414E3E" w:rsidP="00B05E60">
      <w:pPr>
        <w:spacing w:line="276" w:lineRule="auto"/>
        <w:ind w:firstLine="567"/>
        <w:jc w:val="both"/>
      </w:pPr>
      <w:r>
        <w:t>[1</w:t>
      </w:r>
      <w:r w:rsidR="006A68AA">
        <w:t>5</w:t>
      </w:r>
      <w:r>
        <w:t xml:space="preserve">] </w:t>
      </w:r>
      <w:r w:rsidR="000743B3">
        <w:t xml:space="preserve">Rezumējot iepriekš </w:t>
      </w:r>
      <w:r w:rsidR="00BF59B8">
        <w:rPr>
          <w:color w:val="000000"/>
        </w:rPr>
        <w:t>norādīt</w:t>
      </w:r>
      <w:r w:rsidR="000743B3">
        <w:rPr>
          <w:color w:val="000000"/>
        </w:rPr>
        <w:t>o</w:t>
      </w:r>
      <w:r w:rsidR="00BF59B8">
        <w:rPr>
          <w:color w:val="000000"/>
        </w:rPr>
        <w:t xml:space="preserve">, Senāts </w:t>
      </w:r>
      <w:r w:rsidR="006A68AA">
        <w:rPr>
          <w:color w:val="000000"/>
        </w:rPr>
        <w:t>neuztur</w:t>
      </w:r>
      <w:r w:rsidR="000743B3">
        <w:rPr>
          <w:color w:val="000000"/>
        </w:rPr>
        <w:t xml:space="preserve"> šajā lietā</w:t>
      </w:r>
      <w:r w:rsidR="00BF59B8">
        <w:rPr>
          <w:color w:val="000000"/>
        </w:rPr>
        <w:t xml:space="preserve"> </w:t>
      </w:r>
      <w:r w:rsidR="000743B3">
        <w:rPr>
          <w:color w:val="000000"/>
        </w:rPr>
        <w:t xml:space="preserve">Augstākās tiesas </w:t>
      </w:r>
      <w:proofErr w:type="gramStart"/>
      <w:r w:rsidR="00BF59B8">
        <w:rPr>
          <w:color w:val="000000"/>
        </w:rPr>
        <w:t>2014.gada</w:t>
      </w:r>
      <w:proofErr w:type="gramEnd"/>
      <w:r w:rsidR="00BF59B8">
        <w:rPr>
          <w:color w:val="000000"/>
        </w:rPr>
        <w:t xml:space="preserve"> 28.marta spriedumā</w:t>
      </w:r>
      <w:r w:rsidR="006A68AA">
        <w:rPr>
          <w:color w:val="000000"/>
        </w:rPr>
        <w:t xml:space="preserve"> izteiktās atziņas</w:t>
      </w:r>
      <w:r w:rsidR="000743B3">
        <w:rPr>
          <w:color w:val="000000"/>
        </w:rPr>
        <w:t>.</w:t>
      </w:r>
    </w:p>
    <w:p w:rsidR="00E268AC" w:rsidRDefault="00E268AC" w:rsidP="00B05E60">
      <w:pPr>
        <w:spacing w:line="276" w:lineRule="auto"/>
        <w:ind w:firstLine="567"/>
        <w:jc w:val="both"/>
      </w:pPr>
    </w:p>
    <w:p w:rsidR="00E35142" w:rsidRDefault="00E35142" w:rsidP="00B05E60">
      <w:pPr>
        <w:spacing w:line="276" w:lineRule="auto"/>
        <w:ind w:firstLine="567"/>
        <w:jc w:val="both"/>
        <w:rPr>
          <w:color w:val="000000"/>
        </w:rPr>
      </w:pPr>
      <w:r>
        <w:t>[1</w:t>
      </w:r>
      <w:r w:rsidR="006A68AA">
        <w:t>6</w:t>
      </w:r>
      <w:r>
        <w:t>]</w:t>
      </w:r>
      <w:r w:rsidRPr="00247E19">
        <w:rPr>
          <w:color w:val="000000"/>
        </w:rPr>
        <w:t xml:space="preserve"> </w:t>
      </w:r>
      <w:proofErr w:type="gramStart"/>
      <w:r w:rsidR="00F354FA">
        <w:rPr>
          <w:color w:val="000000"/>
        </w:rPr>
        <w:t>Senāta</w:t>
      </w:r>
      <w:r w:rsidRPr="00D276DA">
        <w:rPr>
          <w:color w:val="000000"/>
        </w:rPr>
        <w:t xml:space="preserve"> ieskatā</w:t>
      </w:r>
      <w:r w:rsidR="00E268AC">
        <w:rPr>
          <w:color w:val="000000"/>
        </w:rPr>
        <w:t>,</w:t>
      </w:r>
      <w:proofErr w:type="gramEnd"/>
      <w:r w:rsidRPr="00D276DA">
        <w:rPr>
          <w:color w:val="000000"/>
        </w:rPr>
        <w:t xml:space="preserve"> iepriekš izklāstīto argumentu kopums ļauj secināt, ka konstatētie trūkumi materiālo tiesību normu </w:t>
      </w:r>
      <w:r w:rsidR="00F354FA">
        <w:rPr>
          <w:color w:val="000000"/>
        </w:rPr>
        <w:t xml:space="preserve">iztulkošanā un </w:t>
      </w:r>
      <w:r w:rsidRPr="00D276DA">
        <w:rPr>
          <w:color w:val="000000"/>
        </w:rPr>
        <w:t xml:space="preserve">piemērošanā </w:t>
      </w:r>
      <w:r w:rsidR="00E268AC">
        <w:rPr>
          <w:color w:val="000000"/>
        </w:rPr>
        <w:t>ir pietiekams pamats sprieduma atcelšanai, jo tie</w:t>
      </w:r>
      <w:r w:rsidRPr="00D276DA">
        <w:rPr>
          <w:color w:val="000000"/>
        </w:rPr>
        <w:t xml:space="preserve"> </w:t>
      </w:r>
      <w:r w:rsidR="00C364C1">
        <w:rPr>
          <w:color w:val="000000"/>
        </w:rPr>
        <w:t>var</w:t>
      </w:r>
      <w:r w:rsidR="00CE657A">
        <w:rPr>
          <w:color w:val="000000"/>
        </w:rPr>
        <w:t>ēja novest</w:t>
      </w:r>
      <w:r w:rsidRPr="00D276DA">
        <w:rPr>
          <w:color w:val="000000"/>
        </w:rPr>
        <w:t xml:space="preserve"> pie lietas nepareizas izspriešanas.</w:t>
      </w:r>
    </w:p>
    <w:p w:rsidR="00E268AC" w:rsidRPr="00E268AC" w:rsidRDefault="00E268AC" w:rsidP="00B05E60">
      <w:pPr>
        <w:spacing w:line="276" w:lineRule="auto"/>
        <w:ind w:firstLine="720"/>
        <w:jc w:val="both"/>
      </w:pPr>
    </w:p>
    <w:p w:rsidR="00E35142" w:rsidRPr="009710D0" w:rsidRDefault="00E35142" w:rsidP="00B05E60">
      <w:pPr>
        <w:shd w:val="clear" w:color="auto" w:fill="FFFFFF"/>
        <w:spacing w:line="276" w:lineRule="auto"/>
        <w:ind w:firstLine="567"/>
        <w:jc w:val="both"/>
        <w:rPr>
          <w:color w:val="000000"/>
        </w:rPr>
      </w:pPr>
      <w:r w:rsidRPr="009710D0">
        <w:rPr>
          <w:color w:val="000000"/>
        </w:rPr>
        <w:t>[</w:t>
      </w:r>
      <w:r>
        <w:rPr>
          <w:color w:val="000000"/>
        </w:rPr>
        <w:t>1</w:t>
      </w:r>
      <w:r w:rsidR="006A68AA">
        <w:rPr>
          <w:color w:val="000000"/>
        </w:rPr>
        <w:t>7</w:t>
      </w:r>
      <w:r w:rsidRPr="009710D0">
        <w:rPr>
          <w:color w:val="000000"/>
        </w:rPr>
        <w:t xml:space="preserve">] </w:t>
      </w:r>
      <w:r>
        <w:rPr>
          <w:color w:val="000000"/>
        </w:rPr>
        <w:t>A</w:t>
      </w:r>
      <w:r w:rsidRPr="00421057">
        <w:rPr>
          <w:color w:val="000000"/>
        </w:rPr>
        <w:t xml:space="preserve">tceļot spriedumu, saskaņā ar Civilprocesa likuma </w:t>
      </w:r>
      <w:proofErr w:type="gramStart"/>
      <w:r w:rsidRPr="00421057">
        <w:rPr>
          <w:color w:val="000000"/>
        </w:rPr>
        <w:t>458.panta</w:t>
      </w:r>
      <w:proofErr w:type="gramEnd"/>
      <w:r w:rsidRPr="00421057">
        <w:rPr>
          <w:color w:val="000000"/>
        </w:rPr>
        <w:t xml:space="preserve"> otro daļu </w:t>
      </w:r>
      <w:r w:rsidR="009344D6">
        <w:rPr>
          <w:color w:val="000000"/>
        </w:rPr>
        <w:t xml:space="preserve">prasītājai </w:t>
      </w:r>
      <w:r w:rsidR="009344D6">
        <w:t xml:space="preserve">AS „BTA </w:t>
      </w:r>
      <w:proofErr w:type="spellStart"/>
      <w:r w:rsidR="009344D6">
        <w:t>Baltic</w:t>
      </w:r>
      <w:proofErr w:type="spellEnd"/>
      <w:r w:rsidR="009344D6">
        <w:t xml:space="preserve"> </w:t>
      </w:r>
      <w:proofErr w:type="spellStart"/>
      <w:r w:rsidR="009344D6">
        <w:t>Insurance</w:t>
      </w:r>
      <w:proofErr w:type="spellEnd"/>
      <w:r w:rsidR="009344D6">
        <w:t xml:space="preserve"> </w:t>
      </w:r>
      <w:proofErr w:type="spellStart"/>
      <w:r w:rsidR="009344D6">
        <w:t>Company</w:t>
      </w:r>
      <w:proofErr w:type="spellEnd"/>
      <w:r w:rsidR="009344D6">
        <w:t xml:space="preserve">” </w:t>
      </w:r>
      <w:r w:rsidRPr="00421057">
        <w:rPr>
          <w:color w:val="000000"/>
        </w:rPr>
        <w:t>atmaksājama drošības nauda</w:t>
      </w:r>
      <w:r>
        <w:rPr>
          <w:color w:val="000000"/>
        </w:rPr>
        <w:t xml:space="preserve"> – </w:t>
      </w:r>
      <w:r w:rsidRPr="00421057">
        <w:rPr>
          <w:color w:val="000000"/>
        </w:rPr>
        <w:t xml:space="preserve">284,57 </w:t>
      </w:r>
      <w:proofErr w:type="spellStart"/>
      <w:r w:rsidRPr="00421057">
        <w:rPr>
          <w:i/>
          <w:color w:val="000000"/>
        </w:rPr>
        <w:t>euro</w:t>
      </w:r>
      <w:proofErr w:type="spellEnd"/>
      <w:r w:rsidRPr="00421057">
        <w:rPr>
          <w:color w:val="000000"/>
        </w:rPr>
        <w:t>.</w:t>
      </w:r>
    </w:p>
    <w:p w:rsidR="00CD4749" w:rsidRDefault="00CD4749" w:rsidP="00B05E60">
      <w:pPr>
        <w:shd w:val="clear" w:color="auto" w:fill="FFFFFF"/>
        <w:spacing w:before="120" w:after="120" w:line="276" w:lineRule="auto"/>
        <w:jc w:val="center"/>
        <w:rPr>
          <w:b/>
        </w:rPr>
      </w:pPr>
      <w:r>
        <w:rPr>
          <w:b/>
        </w:rPr>
        <w:t>Rezolutīvā daļa</w:t>
      </w:r>
    </w:p>
    <w:p w:rsidR="00CD4749" w:rsidRDefault="00CD4749" w:rsidP="00B05E60">
      <w:pPr>
        <w:spacing w:line="276" w:lineRule="auto"/>
        <w:ind w:firstLine="709"/>
        <w:jc w:val="both"/>
      </w:pPr>
      <w:r>
        <w:t>P</w:t>
      </w:r>
      <w:r w:rsidRPr="00865BA4">
        <w:t xml:space="preserve">amatojoties uz </w:t>
      </w:r>
      <w:r w:rsidRPr="006F4280">
        <w:t xml:space="preserve">Civilprocesa likuma </w:t>
      </w:r>
      <w:proofErr w:type="gramStart"/>
      <w:r w:rsidRPr="006F4280">
        <w:t>474.</w:t>
      </w:r>
      <w:r w:rsidRPr="009B3922">
        <w:t>panta</w:t>
      </w:r>
      <w:proofErr w:type="gramEnd"/>
      <w:r w:rsidRPr="009B3922">
        <w:t xml:space="preserve"> </w:t>
      </w:r>
      <w:r w:rsidR="00F6614C">
        <w:t>2</w:t>
      </w:r>
      <w:r w:rsidRPr="009B3922">
        <w:t>.punktu</w:t>
      </w:r>
      <w:r w:rsidR="00ED0C24">
        <w:t xml:space="preserve"> un</w:t>
      </w:r>
      <w:r>
        <w:t xml:space="preserve"> 475.pantu, </w:t>
      </w:r>
      <w:r w:rsidR="000D1BE3">
        <w:t>Senāts</w:t>
      </w:r>
    </w:p>
    <w:p w:rsidR="00CD4749" w:rsidRPr="00E44582" w:rsidRDefault="00421057" w:rsidP="00B05E60">
      <w:pPr>
        <w:spacing w:before="120" w:after="120" w:line="276" w:lineRule="auto"/>
        <w:jc w:val="center"/>
        <w:rPr>
          <w:b/>
        </w:rPr>
      </w:pPr>
      <w:r>
        <w:rPr>
          <w:b/>
        </w:rPr>
        <w:t>n</w:t>
      </w:r>
      <w:r w:rsidR="00267257">
        <w:rPr>
          <w:b/>
        </w:rPr>
        <w:t>osprieda</w:t>
      </w:r>
      <w:r>
        <w:rPr>
          <w:b/>
        </w:rPr>
        <w:t>:</w:t>
      </w:r>
    </w:p>
    <w:p w:rsidR="009B3922" w:rsidRPr="00BB4979" w:rsidRDefault="009B3922" w:rsidP="00B05E60">
      <w:pPr>
        <w:shd w:val="clear" w:color="auto" w:fill="FFFFFF"/>
        <w:spacing w:line="276" w:lineRule="auto"/>
        <w:ind w:firstLine="567"/>
        <w:jc w:val="both"/>
      </w:pPr>
      <w:r w:rsidRPr="00BB4979">
        <w:t>atcelt</w:t>
      </w:r>
      <w:r w:rsidR="00BB4979" w:rsidRPr="00BB4979">
        <w:t xml:space="preserve"> Rīgas</w:t>
      </w:r>
      <w:r w:rsidRPr="00BB4979">
        <w:t xml:space="preserve"> apgabaltiesas Civillietu tiesas kolēģijas </w:t>
      </w:r>
      <w:proofErr w:type="gramStart"/>
      <w:r w:rsidRPr="00BB4979">
        <w:t>201</w:t>
      </w:r>
      <w:r w:rsidR="00BB4979" w:rsidRPr="00BB4979">
        <w:t>4</w:t>
      </w:r>
      <w:r w:rsidRPr="00BB4979">
        <w:t>.gada</w:t>
      </w:r>
      <w:proofErr w:type="gramEnd"/>
      <w:r w:rsidRPr="00BB4979">
        <w:t xml:space="preserve"> </w:t>
      </w:r>
      <w:r w:rsidR="00BB4979" w:rsidRPr="00BB4979">
        <w:t>20.maija</w:t>
      </w:r>
      <w:r w:rsidRPr="00BB4979">
        <w:t xml:space="preserve"> spriedumu un nodot lietu jaunai izskatīšanai </w:t>
      </w:r>
      <w:r w:rsidR="00BB4979" w:rsidRPr="00BB4979">
        <w:t xml:space="preserve">Rīgas </w:t>
      </w:r>
      <w:r w:rsidRPr="00BB4979">
        <w:t>apgabalties</w:t>
      </w:r>
      <w:r w:rsidR="000D1BE3">
        <w:t>ā</w:t>
      </w:r>
      <w:r w:rsidRPr="00BB4979">
        <w:t>.</w:t>
      </w:r>
    </w:p>
    <w:p w:rsidR="00E35142" w:rsidRDefault="00E35142" w:rsidP="00B05E60">
      <w:pPr>
        <w:shd w:val="clear" w:color="auto" w:fill="FFFFFF"/>
        <w:spacing w:line="276" w:lineRule="auto"/>
        <w:ind w:firstLine="567"/>
        <w:jc w:val="both"/>
      </w:pPr>
      <w:r w:rsidRPr="00166A31">
        <w:t xml:space="preserve">Atmaksāt </w:t>
      </w:r>
      <w:r w:rsidR="00AB060D">
        <w:t xml:space="preserve">apdrošināšanas AS „BTA </w:t>
      </w:r>
      <w:proofErr w:type="spellStart"/>
      <w:r w:rsidR="00AB060D">
        <w:t>Baltic</w:t>
      </w:r>
      <w:proofErr w:type="spellEnd"/>
      <w:r w:rsidR="00AB060D">
        <w:t xml:space="preserve"> </w:t>
      </w:r>
      <w:proofErr w:type="spellStart"/>
      <w:r w:rsidR="00AB060D">
        <w:t>Insurance</w:t>
      </w:r>
      <w:proofErr w:type="spellEnd"/>
      <w:r w:rsidR="00AB060D">
        <w:t xml:space="preserve"> </w:t>
      </w:r>
      <w:proofErr w:type="spellStart"/>
      <w:r w:rsidR="00AB060D">
        <w:t>Company</w:t>
      </w:r>
      <w:proofErr w:type="spellEnd"/>
      <w:r w:rsidR="00AB060D">
        <w:t xml:space="preserve">” </w:t>
      </w:r>
      <w:r w:rsidRPr="00166A31">
        <w:t>drošības naudu 284,57 EUR (divi simti astoņdesmit četrus </w:t>
      </w:r>
      <w:proofErr w:type="spellStart"/>
      <w:r w:rsidRPr="00166A31">
        <w:rPr>
          <w:i/>
        </w:rPr>
        <w:t>euro</w:t>
      </w:r>
      <w:proofErr w:type="spellEnd"/>
      <w:r w:rsidRPr="00166A31">
        <w:t xml:space="preserve"> un 57 centus).</w:t>
      </w:r>
    </w:p>
    <w:sectPr w:rsidR="00E35142" w:rsidSect="00ED592E">
      <w:footerReference w:type="default" r:id="rId11"/>
      <w:pgSz w:w="11906" w:h="16838"/>
      <w:pgMar w:top="1135" w:right="127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19A" w:rsidRDefault="0016619A">
      <w:r>
        <w:separator/>
      </w:r>
    </w:p>
  </w:endnote>
  <w:endnote w:type="continuationSeparator" w:id="0">
    <w:p w:rsidR="0016619A" w:rsidRDefault="0016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595" w:rsidRDefault="00540595" w:rsidP="00E63CCA">
    <w:pPr>
      <w:pStyle w:val="Footer"/>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F643C7">
      <w:rPr>
        <w:rStyle w:val="PageNumber"/>
        <w:noProof/>
        <w:sz w:val="22"/>
        <w:szCs w:val="22"/>
      </w:rPr>
      <w:t>11</w:t>
    </w:r>
    <w:r>
      <w:rPr>
        <w:rStyle w:val="PageNumber"/>
        <w:sz w:val="22"/>
        <w:szCs w:val="22"/>
      </w:rPr>
      <w:fldChar w:fldCharType="end"/>
    </w:r>
    <w:r>
      <w:rPr>
        <w:rStyle w:val="PageNumber"/>
        <w:sz w:val="22"/>
        <w:szCs w:val="22"/>
      </w:rPr>
      <w:t xml:space="preserv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C40873" w:rsidRPr="00C40873">
      <w:rPr>
        <w:rStyle w:val="PageNumber"/>
        <w:noProof/>
      </w:rPr>
      <w:t>10</w:t>
    </w:r>
    <w:r>
      <w:rPr>
        <w:rStyle w:val="PageNumber"/>
        <w:sz w:val="22"/>
        <w:szCs w:val="22"/>
      </w:rPr>
      <w:fldChar w:fldCharType="end"/>
    </w:r>
  </w:p>
  <w:p w:rsidR="00540595" w:rsidRDefault="00540595">
    <w:pPr>
      <w:pStyle w:val="Footer"/>
      <w:jc w:val="center"/>
    </w:pPr>
  </w:p>
  <w:p w:rsidR="00540595" w:rsidRDefault="00540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19A" w:rsidRDefault="0016619A">
      <w:r>
        <w:separator/>
      </w:r>
    </w:p>
  </w:footnote>
  <w:footnote w:type="continuationSeparator" w:id="0">
    <w:p w:rsidR="0016619A" w:rsidRDefault="0016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900A4D"/>
    <w:multiLevelType w:val="hybridMultilevel"/>
    <w:tmpl w:val="C188FD3C"/>
    <w:lvl w:ilvl="0" w:tplc="E62CAD1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20547BC"/>
    <w:multiLevelType w:val="hybridMultilevel"/>
    <w:tmpl w:val="72EEA4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083498"/>
    <w:multiLevelType w:val="hybridMultilevel"/>
    <w:tmpl w:val="CF44EB7E"/>
    <w:lvl w:ilvl="0" w:tplc="D9B0B85C">
      <w:start w:val="1"/>
      <w:numFmt w:val="decimal"/>
      <w:lvlText w:val="%1)"/>
      <w:lvlJc w:val="left"/>
      <w:pPr>
        <w:ind w:left="720" w:hanging="360"/>
      </w:pPr>
      <w:rPr>
        <w:rFonts w:ascii="Times New Roman" w:eastAsia="Times New Roman" w:hAnsi="Times New Roman" w:cs="Times New Roman"/>
        <w:b/>
        <w:u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2C6410"/>
    <w:multiLevelType w:val="hybridMultilevel"/>
    <w:tmpl w:val="8F6A52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0"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66DB1EF9"/>
    <w:multiLevelType w:val="hybridMultilevel"/>
    <w:tmpl w:val="97DC5E1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779211D"/>
    <w:multiLevelType w:val="hybridMultilevel"/>
    <w:tmpl w:val="46CEE0CE"/>
    <w:lvl w:ilvl="0" w:tplc="04260011">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9"/>
  </w:num>
  <w:num w:numId="3">
    <w:abstractNumId w:val="18"/>
  </w:num>
  <w:num w:numId="4">
    <w:abstractNumId w:val="15"/>
  </w:num>
  <w:num w:numId="5">
    <w:abstractNumId w:val="7"/>
  </w:num>
  <w:num w:numId="6">
    <w:abstractNumId w:val="13"/>
  </w:num>
  <w:num w:numId="7">
    <w:abstractNumId w:val="12"/>
  </w:num>
  <w:num w:numId="8">
    <w:abstractNumId w:val="11"/>
  </w:num>
  <w:num w:numId="9">
    <w:abstractNumId w:val="2"/>
  </w:num>
  <w:num w:numId="10">
    <w:abstractNumId w:val="10"/>
  </w:num>
  <w:num w:numId="11">
    <w:abstractNumId w:val="1"/>
  </w:num>
  <w:num w:numId="12">
    <w:abstractNumId w:val="8"/>
  </w:num>
  <w:num w:numId="13">
    <w:abstractNumId w:val="17"/>
  </w:num>
  <w:num w:numId="14">
    <w:abstractNumId w:val="5"/>
  </w:num>
  <w:num w:numId="15">
    <w:abstractNumId w:val="3"/>
  </w:num>
  <w:num w:numId="16">
    <w:abstractNumId w:val="6"/>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857"/>
    <w:rsid w:val="00004350"/>
    <w:rsid w:val="00004EDF"/>
    <w:rsid w:val="00011EBB"/>
    <w:rsid w:val="000122C2"/>
    <w:rsid w:val="0001340D"/>
    <w:rsid w:val="000134B7"/>
    <w:rsid w:val="0001386E"/>
    <w:rsid w:val="00015451"/>
    <w:rsid w:val="000154D7"/>
    <w:rsid w:val="00017814"/>
    <w:rsid w:val="00021E77"/>
    <w:rsid w:val="00022F8F"/>
    <w:rsid w:val="00023DB9"/>
    <w:rsid w:val="00024533"/>
    <w:rsid w:val="0002586D"/>
    <w:rsid w:val="00025B30"/>
    <w:rsid w:val="00025F04"/>
    <w:rsid w:val="00030254"/>
    <w:rsid w:val="0003069C"/>
    <w:rsid w:val="000323C4"/>
    <w:rsid w:val="00033BF5"/>
    <w:rsid w:val="000347FC"/>
    <w:rsid w:val="00035864"/>
    <w:rsid w:val="00036CBC"/>
    <w:rsid w:val="000403DB"/>
    <w:rsid w:val="00040E90"/>
    <w:rsid w:val="00041AD8"/>
    <w:rsid w:val="00042FFE"/>
    <w:rsid w:val="00043348"/>
    <w:rsid w:val="00047E2F"/>
    <w:rsid w:val="00052FC2"/>
    <w:rsid w:val="000532BC"/>
    <w:rsid w:val="0005361A"/>
    <w:rsid w:val="00053CD6"/>
    <w:rsid w:val="00056E8F"/>
    <w:rsid w:val="00061474"/>
    <w:rsid w:val="00061D01"/>
    <w:rsid w:val="00062478"/>
    <w:rsid w:val="000639F4"/>
    <w:rsid w:val="00063CD9"/>
    <w:rsid w:val="00064A80"/>
    <w:rsid w:val="00066837"/>
    <w:rsid w:val="00070DB4"/>
    <w:rsid w:val="00073407"/>
    <w:rsid w:val="000743B3"/>
    <w:rsid w:val="000762EE"/>
    <w:rsid w:val="0007728B"/>
    <w:rsid w:val="00082050"/>
    <w:rsid w:val="000820B0"/>
    <w:rsid w:val="00082E32"/>
    <w:rsid w:val="0008543A"/>
    <w:rsid w:val="00085F74"/>
    <w:rsid w:val="00087484"/>
    <w:rsid w:val="00090576"/>
    <w:rsid w:val="00090C20"/>
    <w:rsid w:val="00094320"/>
    <w:rsid w:val="00094FC8"/>
    <w:rsid w:val="00096398"/>
    <w:rsid w:val="00097F21"/>
    <w:rsid w:val="000A2623"/>
    <w:rsid w:val="000A2658"/>
    <w:rsid w:val="000A273A"/>
    <w:rsid w:val="000A4802"/>
    <w:rsid w:val="000A4896"/>
    <w:rsid w:val="000A4D87"/>
    <w:rsid w:val="000A5250"/>
    <w:rsid w:val="000A57E7"/>
    <w:rsid w:val="000A6037"/>
    <w:rsid w:val="000A7281"/>
    <w:rsid w:val="000B2606"/>
    <w:rsid w:val="000B3702"/>
    <w:rsid w:val="000B3E07"/>
    <w:rsid w:val="000B459B"/>
    <w:rsid w:val="000B4CA6"/>
    <w:rsid w:val="000C01B1"/>
    <w:rsid w:val="000C0C73"/>
    <w:rsid w:val="000C1A8F"/>
    <w:rsid w:val="000C3F19"/>
    <w:rsid w:val="000C52C9"/>
    <w:rsid w:val="000C58C7"/>
    <w:rsid w:val="000C5AEA"/>
    <w:rsid w:val="000C5F1F"/>
    <w:rsid w:val="000D0C9E"/>
    <w:rsid w:val="000D1BE3"/>
    <w:rsid w:val="000D36E4"/>
    <w:rsid w:val="000E1189"/>
    <w:rsid w:val="000E2E8A"/>
    <w:rsid w:val="000E44A0"/>
    <w:rsid w:val="000E49E4"/>
    <w:rsid w:val="000E5094"/>
    <w:rsid w:val="000E6E62"/>
    <w:rsid w:val="000E6EEC"/>
    <w:rsid w:val="000F0720"/>
    <w:rsid w:val="000F345B"/>
    <w:rsid w:val="000F3766"/>
    <w:rsid w:val="000F40A3"/>
    <w:rsid w:val="000F56E5"/>
    <w:rsid w:val="000F6F84"/>
    <w:rsid w:val="000F77D5"/>
    <w:rsid w:val="00101DD4"/>
    <w:rsid w:val="00103087"/>
    <w:rsid w:val="00104610"/>
    <w:rsid w:val="001050D5"/>
    <w:rsid w:val="001065A0"/>
    <w:rsid w:val="0011115D"/>
    <w:rsid w:val="00114B9A"/>
    <w:rsid w:val="00115618"/>
    <w:rsid w:val="00117482"/>
    <w:rsid w:val="0011783C"/>
    <w:rsid w:val="001209BC"/>
    <w:rsid w:val="00120D26"/>
    <w:rsid w:val="001241A7"/>
    <w:rsid w:val="001246BE"/>
    <w:rsid w:val="00126078"/>
    <w:rsid w:val="00127595"/>
    <w:rsid w:val="00127AAD"/>
    <w:rsid w:val="00135098"/>
    <w:rsid w:val="0013540B"/>
    <w:rsid w:val="00136BCD"/>
    <w:rsid w:val="00143138"/>
    <w:rsid w:val="00143A04"/>
    <w:rsid w:val="00143D50"/>
    <w:rsid w:val="001441C5"/>
    <w:rsid w:val="00150310"/>
    <w:rsid w:val="00153253"/>
    <w:rsid w:val="00154EC2"/>
    <w:rsid w:val="00155C43"/>
    <w:rsid w:val="00156CD4"/>
    <w:rsid w:val="00160373"/>
    <w:rsid w:val="00160883"/>
    <w:rsid w:val="00160C6F"/>
    <w:rsid w:val="00161ED2"/>
    <w:rsid w:val="00162200"/>
    <w:rsid w:val="00162FB7"/>
    <w:rsid w:val="00163549"/>
    <w:rsid w:val="0016619A"/>
    <w:rsid w:val="00166A31"/>
    <w:rsid w:val="001710F0"/>
    <w:rsid w:val="00171D41"/>
    <w:rsid w:val="00173535"/>
    <w:rsid w:val="001735CF"/>
    <w:rsid w:val="00174EE6"/>
    <w:rsid w:val="001779E4"/>
    <w:rsid w:val="00180F8E"/>
    <w:rsid w:val="0018184F"/>
    <w:rsid w:val="00186107"/>
    <w:rsid w:val="00191A58"/>
    <w:rsid w:val="00191C7D"/>
    <w:rsid w:val="00192787"/>
    <w:rsid w:val="00193548"/>
    <w:rsid w:val="00194739"/>
    <w:rsid w:val="00196686"/>
    <w:rsid w:val="00197567"/>
    <w:rsid w:val="00197EB4"/>
    <w:rsid w:val="001A1617"/>
    <w:rsid w:val="001A229A"/>
    <w:rsid w:val="001A5566"/>
    <w:rsid w:val="001A754F"/>
    <w:rsid w:val="001A777A"/>
    <w:rsid w:val="001B01D2"/>
    <w:rsid w:val="001B0AC0"/>
    <w:rsid w:val="001B1CF1"/>
    <w:rsid w:val="001B3068"/>
    <w:rsid w:val="001B3F59"/>
    <w:rsid w:val="001B5653"/>
    <w:rsid w:val="001B6251"/>
    <w:rsid w:val="001B6711"/>
    <w:rsid w:val="001C041E"/>
    <w:rsid w:val="001C0835"/>
    <w:rsid w:val="001C1F56"/>
    <w:rsid w:val="001C22B0"/>
    <w:rsid w:val="001C4C26"/>
    <w:rsid w:val="001C60A4"/>
    <w:rsid w:val="001C7174"/>
    <w:rsid w:val="001D1532"/>
    <w:rsid w:val="001D2AE6"/>
    <w:rsid w:val="001D3998"/>
    <w:rsid w:val="001D3A74"/>
    <w:rsid w:val="001D5082"/>
    <w:rsid w:val="001D5662"/>
    <w:rsid w:val="001D7072"/>
    <w:rsid w:val="001D71AF"/>
    <w:rsid w:val="001D71E3"/>
    <w:rsid w:val="001D74EC"/>
    <w:rsid w:val="001E03A8"/>
    <w:rsid w:val="001E4A1B"/>
    <w:rsid w:val="001E513E"/>
    <w:rsid w:val="001E73DA"/>
    <w:rsid w:val="001E79E8"/>
    <w:rsid w:val="001F00E9"/>
    <w:rsid w:val="001F1EDA"/>
    <w:rsid w:val="001F65CE"/>
    <w:rsid w:val="001F6BC6"/>
    <w:rsid w:val="001F702E"/>
    <w:rsid w:val="001F763E"/>
    <w:rsid w:val="0020362E"/>
    <w:rsid w:val="0021270F"/>
    <w:rsid w:val="002134B1"/>
    <w:rsid w:val="0021682C"/>
    <w:rsid w:val="002174E4"/>
    <w:rsid w:val="002177A5"/>
    <w:rsid w:val="00221863"/>
    <w:rsid w:val="0022274A"/>
    <w:rsid w:val="002238CD"/>
    <w:rsid w:val="002249D3"/>
    <w:rsid w:val="00227182"/>
    <w:rsid w:val="002300CC"/>
    <w:rsid w:val="0023075E"/>
    <w:rsid w:val="0023532C"/>
    <w:rsid w:val="002420E2"/>
    <w:rsid w:val="002436CC"/>
    <w:rsid w:val="00243D47"/>
    <w:rsid w:val="00243E4F"/>
    <w:rsid w:val="002479BB"/>
    <w:rsid w:val="00247E19"/>
    <w:rsid w:val="00250647"/>
    <w:rsid w:val="00251F05"/>
    <w:rsid w:val="002522FE"/>
    <w:rsid w:val="002539B6"/>
    <w:rsid w:val="00260539"/>
    <w:rsid w:val="00260662"/>
    <w:rsid w:val="0026130B"/>
    <w:rsid w:val="00267257"/>
    <w:rsid w:val="00270035"/>
    <w:rsid w:val="00270628"/>
    <w:rsid w:val="00270914"/>
    <w:rsid w:val="00271600"/>
    <w:rsid w:val="00275240"/>
    <w:rsid w:val="00276D78"/>
    <w:rsid w:val="00280617"/>
    <w:rsid w:val="00280CFD"/>
    <w:rsid w:val="00281553"/>
    <w:rsid w:val="00281EEE"/>
    <w:rsid w:val="002825A0"/>
    <w:rsid w:val="00283DB0"/>
    <w:rsid w:val="002843E6"/>
    <w:rsid w:val="00284D8E"/>
    <w:rsid w:val="00285EB6"/>
    <w:rsid w:val="00291283"/>
    <w:rsid w:val="002925B2"/>
    <w:rsid w:val="00294511"/>
    <w:rsid w:val="00294737"/>
    <w:rsid w:val="00294941"/>
    <w:rsid w:val="00294F41"/>
    <w:rsid w:val="002A1E37"/>
    <w:rsid w:val="002A21E3"/>
    <w:rsid w:val="002A50A3"/>
    <w:rsid w:val="002A5D77"/>
    <w:rsid w:val="002B391D"/>
    <w:rsid w:val="002B56BD"/>
    <w:rsid w:val="002B5A00"/>
    <w:rsid w:val="002B7861"/>
    <w:rsid w:val="002B7C84"/>
    <w:rsid w:val="002C0656"/>
    <w:rsid w:val="002C1208"/>
    <w:rsid w:val="002C1747"/>
    <w:rsid w:val="002C2452"/>
    <w:rsid w:val="002C45C8"/>
    <w:rsid w:val="002C50A5"/>
    <w:rsid w:val="002C5E99"/>
    <w:rsid w:val="002D141D"/>
    <w:rsid w:val="002D2603"/>
    <w:rsid w:val="002D2CA2"/>
    <w:rsid w:val="002D4855"/>
    <w:rsid w:val="002D4E09"/>
    <w:rsid w:val="002D5200"/>
    <w:rsid w:val="002D5B00"/>
    <w:rsid w:val="002D6F13"/>
    <w:rsid w:val="002E1F98"/>
    <w:rsid w:val="002E2140"/>
    <w:rsid w:val="002E235D"/>
    <w:rsid w:val="002E2DC5"/>
    <w:rsid w:val="002E2EB1"/>
    <w:rsid w:val="002E4BE2"/>
    <w:rsid w:val="002E5130"/>
    <w:rsid w:val="002F4CB4"/>
    <w:rsid w:val="002F63DE"/>
    <w:rsid w:val="00306DD8"/>
    <w:rsid w:val="003075D4"/>
    <w:rsid w:val="00307B46"/>
    <w:rsid w:val="003113DA"/>
    <w:rsid w:val="0031300B"/>
    <w:rsid w:val="00315CBE"/>
    <w:rsid w:val="003174D3"/>
    <w:rsid w:val="00317A53"/>
    <w:rsid w:val="00317EFB"/>
    <w:rsid w:val="00321110"/>
    <w:rsid w:val="0032210B"/>
    <w:rsid w:val="003231D9"/>
    <w:rsid w:val="003235C9"/>
    <w:rsid w:val="0032589A"/>
    <w:rsid w:val="00325CBF"/>
    <w:rsid w:val="003275FA"/>
    <w:rsid w:val="0032764B"/>
    <w:rsid w:val="00331054"/>
    <w:rsid w:val="003311F6"/>
    <w:rsid w:val="00331D6B"/>
    <w:rsid w:val="00332A5D"/>
    <w:rsid w:val="003352E9"/>
    <w:rsid w:val="00336042"/>
    <w:rsid w:val="00336674"/>
    <w:rsid w:val="003378EB"/>
    <w:rsid w:val="00337A1C"/>
    <w:rsid w:val="0034233C"/>
    <w:rsid w:val="00343C84"/>
    <w:rsid w:val="0034409B"/>
    <w:rsid w:val="003537B8"/>
    <w:rsid w:val="003607F8"/>
    <w:rsid w:val="003627C6"/>
    <w:rsid w:val="0036340F"/>
    <w:rsid w:val="00363C91"/>
    <w:rsid w:val="0036563A"/>
    <w:rsid w:val="0036696E"/>
    <w:rsid w:val="0036774E"/>
    <w:rsid w:val="00371114"/>
    <w:rsid w:val="00372066"/>
    <w:rsid w:val="003726D9"/>
    <w:rsid w:val="00372E43"/>
    <w:rsid w:val="00373144"/>
    <w:rsid w:val="00373FFB"/>
    <w:rsid w:val="00375B02"/>
    <w:rsid w:val="00377044"/>
    <w:rsid w:val="003840A1"/>
    <w:rsid w:val="00385EB5"/>
    <w:rsid w:val="0038663F"/>
    <w:rsid w:val="0038719E"/>
    <w:rsid w:val="00387C80"/>
    <w:rsid w:val="003916C9"/>
    <w:rsid w:val="0039184C"/>
    <w:rsid w:val="00392D45"/>
    <w:rsid w:val="00393E5E"/>
    <w:rsid w:val="00393FC6"/>
    <w:rsid w:val="0039403B"/>
    <w:rsid w:val="003949D9"/>
    <w:rsid w:val="0039675E"/>
    <w:rsid w:val="00396BDD"/>
    <w:rsid w:val="0039792B"/>
    <w:rsid w:val="003A0770"/>
    <w:rsid w:val="003A0E4D"/>
    <w:rsid w:val="003A21AB"/>
    <w:rsid w:val="003A5148"/>
    <w:rsid w:val="003A7AB0"/>
    <w:rsid w:val="003A7CCB"/>
    <w:rsid w:val="003B169A"/>
    <w:rsid w:val="003B4517"/>
    <w:rsid w:val="003B4D09"/>
    <w:rsid w:val="003B5730"/>
    <w:rsid w:val="003B5816"/>
    <w:rsid w:val="003B6591"/>
    <w:rsid w:val="003B6B01"/>
    <w:rsid w:val="003C0F2B"/>
    <w:rsid w:val="003C1983"/>
    <w:rsid w:val="003C1CBB"/>
    <w:rsid w:val="003C3CFC"/>
    <w:rsid w:val="003C49C6"/>
    <w:rsid w:val="003C50C3"/>
    <w:rsid w:val="003C61BF"/>
    <w:rsid w:val="003D5AD2"/>
    <w:rsid w:val="003D687E"/>
    <w:rsid w:val="003D730B"/>
    <w:rsid w:val="003E204D"/>
    <w:rsid w:val="003E2A15"/>
    <w:rsid w:val="003E338E"/>
    <w:rsid w:val="003E3BAB"/>
    <w:rsid w:val="003E449D"/>
    <w:rsid w:val="003E5353"/>
    <w:rsid w:val="003F0808"/>
    <w:rsid w:val="003F0E7B"/>
    <w:rsid w:val="003F2D24"/>
    <w:rsid w:val="003F31F9"/>
    <w:rsid w:val="003F3C0E"/>
    <w:rsid w:val="003F3ED6"/>
    <w:rsid w:val="0040052C"/>
    <w:rsid w:val="00400624"/>
    <w:rsid w:val="00401DF2"/>
    <w:rsid w:val="00404EAE"/>
    <w:rsid w:val="0040546C"/>
    <w:rsid w:val="00405C79"/>
    <w:rsid w:val="0040626F"/>
    <w:rsid w:val="00411BD5"/>
    <w:rsid w:val="00411BD6"/>
    <w:rsid w:val="00412B77"/>
    <w:rsid w:val="00414C7C"/>
    <w:rsid w:val="00414E3E"/>
    <w:rsid w:val="004153CF"/>
    <w:rsid w:val="00420803"/>
    <w:rsid w:val="00421057"/>
    <w:rsid w:val="00421C75"/>
    <w:rsid w:val="00423882"/>
    <w:rsid w:val="00425C13"/>
    <w:rsid w:val="00427131"/>
    <w:rsid w:val="004273AD"/>
    <w:rsid w:val="004277A8"/>
    <w:rsid w:val="00427F25"/>
    <w:rsid w:val="004320C0"/>
    <w:rsid w:val="00434174"/>
    <w:rsid w:val="004407A3"/>
    <w:rsid w:val="00440E73"/>
    <w:rsid w:val="00444CFD"/>
    <w:rsid w:val="00445B1E"/>
    <w:rsid w:val="00446904"/>
    <w:rsid w:val="004474C4"/>
    <w:rsid w:val="00454E75"/>
    <w:rsid w:val="00455938"/>
    <w:rsid w:val="00455A87"/>
    <w:rsid w:val="004560DD"/>
    <w:rsid w:val="004633F1"/>
    <w:rsid w:val="00463F62"/>
    <w:rsid w:val="00465A55"/>
    <w:rsid w:val="004707B0"/>
    <w:rsid w:val="00473011"/>
    <w:rsid w:val="004730EC"/>
    <w:rsid w:val="004742E4"/>
    <w:rsid w:val="0047496F"/>
    <w:rsid w:val="00475EC6"/>
    <w:rsid w:val="0047720C"/>
    <w:rsid w:val="00481B2E"/>
    <w:rsid w:val="00481FBC"/>
    <w:rsid w:val="0048386E"/>
    <w:rsid w:val="00483940"/>
    <w:rsid w:val="00484F87"/>
    <w:rsid w:val="00485E8A"/>
    <w:rsid w:val="00486212"/>
    <w:rsid w:val="0049168D"/>
    <w:rsid w:val="00492E34"/>
    <w:rsid w:val="00496D67"/>
    <w:rsid w:val="004A1166"/>
    <w:rsid w:val="004A1BB8"/>
    <w:rsid w:val="004A61BA"/>
    <w:rsid w:val="004A6481"/>
    <w:rsid w:val="004B012D"/>
    <w:rsid w:val="004B505B"/>
    <w:rsid w:val="004B6033"/>
    <w:rsid w:val="004B7028"/>
    <w:rsid w:val="004B7690"/>
    <w:rsid w:val="004C21A6"/>
    <w:rsid w:val="004C2473"/>
    <w:rsid w:val="004C2646"/>
    <w:rsid w:val="004C43F9"/>
    <w:rsid w:val="004C47EE"/>
    <w:rsid w:val="004C4DFE"/>
    <w:rsid w:val="004C614D"/>
    <w:rsid w:val="004C7AB3"/>
    <w:rsid w:val="004C7D5E"/>
    <w:rsid w:val="004D0259"/>
    <w:rsid w:val="004D02B2"/>
    <w:rsid w:val="004D0CF4"/>
    <w:rsid w:val="004D1514"/>
    <w:rsid w:val="004D2453"/>
    <w:rsid w:val="004D3275"/>
    <w:rsid w:val="004D3747"/>
    <w:rsid w:val="004D5790"/>
    <w:rsid w:val="004D6426"/>
    <w:rsid w:val="004E15E7"/>
    <w:rsid w:val="004E1BC9"/>
    <w:rsid w:val="004E32E0"/>
    <w:rsid w:val="004E491D"/>
    <w:rsid w:val="004F020F"/>
    <w:rsid w:val="004F066B"/>
    <w:rsid w:val="004F0B6B"/>
    <w:rsid w:val="004F1574"/>
    <w:rsid w:val="004F5A5A"/>
    <w:rsid w:val="004F5E8B"/>
    <w:rsid w:val="004F6AF8"/>
    <w:rsid w:val="00501D1F"/>
    <w:rsid w:val="00502D84"/>
    <w:rsid w:val="0050432E"/>
    <w:rsid w:val="00505E0C"/>
    <w:rsid w:val="00507020"/>
    <w:rsid w:val="00511C8B"/>
    <w:rsid w:val="00513B45"/>
    <w:rsid w:val="00513E5B"/>
    <w:rsid w:val="005155BA"/>
    <w:rsid w:val="005166DC"/>
    <w:rsid w:val="00517B4A"/>
    <w:rsid w:val="0052201B"/>
    <w:rsid w:val="00522F48"/>
    <w:rsid w:val="00523A0B"/>
    <w:rsid w:val="00523D0A"/>
    <w:rsid w:val="00525545"/>
    <w:rsid w:val="00525DD0"/>
    <w:rsid w:val="00525EB5"/>
    <w:rsid w:val="00526290"/>
    <w:rsid w:val="0052694C"/>
    <w:rsid w:val="00532A01"/>
    <w:rsid w:val="00533267"/>
    <w:rsid w:val="00535324"/>
    <w:rsid w:val="00536A05"/>
    <w:rsid w:val="005374F5"/>
    <w:rsid w:val="005377F5"/>
    <w:rsid w:val="0053795D"/>
    <w:rsid w:val="00540595"/>
    <w:rsid w:val="00544383"/>
    <w:rsid w:val="0054761A"/>
    <w:rsid w:val="005516A8"/>
    <w:rsid w:val="00551F1A"/>
    <w:rsid w:val="0055392F"/>
    <w:rsid w:val="00555CC3"/>
    <w:rsid w:val="00555FCA"/>
    <w:rsid w:val="005602E1"/>
    <w:rsid w:val="005672B2"/>
    <w:rsid w:val="00567573"/>
    <w:rsid w:val="00570D9E"/>
    <w:rsid w:val="00571014"/>
    <w:rsid w:val="0057205A"/>
    <w:rsid w:val="00573B18"/>
    <w:rsid w:val="00575D3B"/>
    <w:rsid w:val="00577DD8"/>
    <w:rsid w:val="005811DA"/>
    <w:rsid w:val="00581D44"/>
    <w:rsid w:val="00583645"/>
    <w:rsid w:val="00583C96"/>
    <w:rsid w:val="0058570B"/>
    <w:rsid w:val="00591BE7"/>
    <w:rsid w:val="00592631"/>
    <w:rsid w:val="00593935"/>
    <w:rsid w:val="00593957"/>
    <w:rsid w:val="00594D48"/>
    <w:rsid w:val="005A01BC"/>
    <w:rsid w:val="005A173F"/>
    <w:rsid w:val="005A575D"/>
    <w:rsid w:val="005A6714"/>
    <w:rsid w:val="005A74E1"/>
    <w:rsid w:val="005B0E0B"/>
    <w:rsid w:val="005B20B6"/>
    <w:rsid w:val="005C0A22"/>
    <w:rsid w:val="005C126B"/>
    <w:rsid w:val="005C2AF9"/>
    <w:rsid w:val="005C4B38"/>
    <w:rsid w:val="005C597F"/>
    <w:rsid w:val="005C64D2"/>
    <w:rsid w:val="005C7003"/>
    <w:rsid w:val="005C7CAB"/>
    <w:rsid w:val="005D27AB"/>
    <w:rsid w:val="005D41CD"/>
    <w:rsid w:val="005D42A5"/>
    <w:rsid w:val="005D646C"/>
    <w:rsid w:val="005E7AD0"/>
    <w:rsid w:val="005F3D35"/>
    <w:rsid w:val="005F447A"/>
    <w:rsid w:val="005F56E2"/>
    <w:rsid w:val="00600D35"/>
    <w:rsid w:val="00601D87"/>
    <w:rsid w:val="00602C89"/>
    <w:rsid w:val="006032CB"/>
    <w:rsid w:val="006066E2"/>
    <w:rsid w:val="00606E00"/>
    <w:rsid w:val="00607AF6"/>
    <w:rsid w:val="00614172"/>
    <w:rsid w:val="00614188"/>
    <w:rsid w:val="0061463B"/>
    <w:rsid w:val="00621CAD"/>
    <w:rsid w:val="00621F03"/>
    <w:rsid w:val="006234CB"/>
    <w:rsid w:val="0062485B"/>
    <w:rsid w:val="00630820"/>
    <w:rsid w:val="00630EA0"/>
    <w:rsid w:val="00633582"/>
    <w:rsid w:val="00634142"/>
    <w:rsid w:val="006359FF"/>
    <w:rsid w:val="00635DBD"/>
    <w:rsid w:val="00636B44"/>
    <w:rsid w:val="00640A03"/>
    <w:rsid w:val="00640FA7"/>
    <w:rsid w:val="00645182"/>
    <w:rsid w:val="00647DA6"/>
    <w:rsid w:val="006509D0"/>
    <w:rsid w:val="00650E16"/>
    <w:rsid w:val="00652B4C"/>
    <w:rsid w:val="00654505"/>
    <w:rsid w:val="006545F3"/>
    <w:rsid w:val="006552C4"/>
    <w:rsid w:val="00660BA7"/>
    <w:rsid w:val="00662288"/>
    <w:rsid w:val="006703FF"/>
    <w:rsid w:val="00670425"/>
    <w:rsid w:val="00670D3B"/>
    <w:rsid w:val="0067201C"/>
    <w:rsid w:val="00674608"/>
    <w:rsid w:val="006759C7"/>
    <w:rsid w:val="0067651D"/>
    <w:rsid w:val="00680C12"/>
    <w:rsid w:val="00682234"/>
    <w:rsid w:val="00683EFE"/>
    <w:rsid w:val="006847C4"/>
    <w:rsid w:val="0069056B"/>
    <w:rsid w:val="00691B91"/>
    <w:rsid w:val="00691FEF"/>
    <w:rsid w:val="00692002"/>
    <w:rsid w:val="006921FE"/>
    <w:rsid w:val="00693EBB"/>
    <w:rsid w:val="006945AE"/>
    <w:rsid w:val="006A1F96"/>
    <w:rsid w:val="006A42BF"/>
    <w:rsid w:val="006A457C"/>
    <w:rsid w:val="006A5A28"/>
    <w:rsid w:val="006A5E57"/>
    <w:rsid w:val="006A615C"/>
    <w:rsid w:val="006A68AA"/>
    <w:rsid w:val="006A712C"/>
    <w:rsid w:val="006A718C"/>
    <w:rsid w:val="006B24B4"/>
    <w:rsid w:val="006B25E9"/>
    <w:rsid w:val="006B37CB"/>
    <w:rsid w:val="006B4C03"/>
    <w:rsid w:val="006B64D6"/>
    <w:rsid w:val="006B68ED"/>
    <w:rsid w:val="006B6E21"/>
    <w:rsid w:val="006C3070"/>
    <w:rsid w:val="006C30E2"/>
    <w:rsid w:val="006C3F4D"/>
    <w:rsid w:val="006C41AE"/>
    <w:rsid w:val="006D1EBC"/>
    <w:rsid w:val="006D2439"/>
    <w:rsid w:val="006D4824"/>
    <w:rsid w:val="006D531E"/>
    <w:rsid w:val="006D54F9"/>
    <w:rsid w:val="006E06F4"/>
    <w:rsid w:val="006E1E04"/>
    <w:rsid w:val="006E29E1"/>
    <w:rsid w:val="006E4813"/>
    <w:rsid w:val="006E4A82"/>
    <w:rsid w:val="006E4EBB"/>
    <w:rsid w:val="006E6CC4"/>
    <w:rsid w:val="006E7085"/>
    <w:rsid w:val="006E7188"/>
    <w:rsid w:val="006E79D0"/>
    <w:rsid w:val="006E7F78"/>
    <w:rsid w:val="006F15CB"/>
    <w:rsid w:val="006F3463"/>
    <w:rsid w:val="006F47DB"/>
    <w:rsid w:val="006F4FC5"/>
    <w:rsid w:val="006F6FAC"/>
    <w:rsid w:val="0070169A"/>
    <w:rsid w:val="00702AF7"/>
    <w:rsid w:val="00705337"/>
    <w:rsid w:val="0070660B"/>
    <w:rsid w:val="007068EE"/>
    <w:rsid w:val="007079C5"/>
    <w:rsid w:val="007109C2"/>
    <w:rsid w:val="007110E0"/>
    <w:rsid w:val="00713C73"/>
    <w:rsid w:val="007145AD"/>
    <w:rsid w:val="00714D26"/>
    <w:rsid w:val="007200BD"/>
    <w:rsid w:val="0072091A"/>
    <w:rsid w:val="00722177"/>
    <w:rsid w:val="007238A3"/>
    <w:rsid w:val="00727AFC"/>
    <w:rsid w:val="00727E31"/>
    <w:rsid w:val="007327C9"/>
    <w:rsid w:val="00733874"/>
    <w:rsid w:val="0073423C"/>
    <w:rsid w:val="007342E2"/>
    <w:rsid w:val="00735695"/>
    <w:rsid w:val="00735E4C"/>
    <w:rsid w:val="0073640F"/>
    <w:rsid w:val="007376B8"/>
    <w:rsid w:val="00740C0E"/>
    <w:rsid w:val="00741E0A"/>
    <w:rsid w:val="007427B7"/>
    <w:rsid w:val="00742D6B"/>
    <w:rsid w:val="0074346B"/>
    <w:rsid w:val="007465D1"/>
    <w:rsid w:val="00753846"/>
    <w:rsid w:val="0075447C"/>
    <w:rsid w:val="00754A89"/>
    <w:rsid w:val="00755303"/>
    <w:rsid w:val="00755FBA"/>
    <w:rsid w:val="007575D3"/>
    <w:rsid w:val="00762046"/>
    <w:rsid w:val="007645A9"/>
    <w:rsid w:val="00766829"/>
    <w:rsid w:val="00767B99"/>
    <w:rsid w:val="00770CE4"/>
    <w:rsid w:val="007724A9"/>
    <w:rsid w:val="0077307C"/>
    <w:rsid w:val="00775DC3"/>
    <w:rsid w:val="00775F26"/>
    <w:rsid w:val="00776BDD"/>
    <w:rsid w:val="00777C71"/>
    <w:rsid w:val="00782F65"/>
    <w:rsid w:val="007843F9"/>
    <w:rsid w:val="007849CA"/>
    <w:rsid w:val="00790B87"/>
    <w:rsid w:val="007919A0"/>
    <w:rsid w:val="00791FAE"/>
    <w:rsid w:val="0079393D"/>
    <w:rsid w:val="00795DD3"/>
    <w:rsid w:val="00796FCB"/>
    <w:rsid w:val="00797312"/>
    <w:rsid w:val="0079794D"/>
    <w:rsid w:val="007A045D"/>
    <w:rsid w:val="007A083A"/>
    <w:rsid w:val="007A452A"/>
    <w:rsid w:val="007C172F"/>
    <w:rsid w:val="007C181C"/>
    <w:rsid w:val="007C23C9"/>
    <w:rsid w:val="007C52B7"/>
    <w:rsid w:val="007C7839"/>
    <w:rsid w:val="007C7902"/>
    <w:rsid w:val="007D48BD"/>
    <w:rsid w:val="007D6E03"/>
    <w:rsid w:val="007D7847"/>
    <w:rsid w:val="007D7850"/>
    <w:rsid w:val="007E12E0"/>
    <w:rsid w:val="007E3BC9"/>
    <w:rsid w:val="007E3C5D"/>
    <w:rsid w:val="007E7021"/>
    <w:rsid w:val="007E7520"/>
    <w:rsid w:val="007F1891"/>
    <w:rsid w:val="007F4C2E"/>
    <w:rsid w:val="007F60FB"/>
    <w:rsid w:val="007F6765"/>
    <w:rsid w:val="007F7967"/>
    <w:rsid w:val="008004C5"/>
    <w:rsid w:val="008007EB"/>
    <w:rsid w:val="00802DB5"/>
    <w:rsid w:val="0080309B"/>
    <w:rsid w:val="00803F7E"/>
    <w:rsid w:val="0080547C"/>
    <w:rsid w:val="00805ACB"/>
    <w:rsid w:val="00812FAA"/>
    <w:rsid w:val="008151A3"/>
    <w:rsid w:val="00815A3F"/>
    <w:rsid w:val="00816EDA"/>
    <w:rsid w:val="00824583"/>
    <w:rsid w:val="00824A01"/>
    <w:rsid w:val="008253F9"/>
    <w:rsid w:val="00827A09"/>
    <w:rsid w:val="008313B7"/>
    <w:rsid w:val="00832FAB"/>
    <w:rsid w:val="0083301C"/>
    <w:rsid w:val="008330DB"/>
    <w:rsid w:val="008330F8"/>
    <w:rsid w:val="008348D6"/>
    <w:rsid w:val="008359C3"/>
    <w:rsid w:val="00836556"/>
    <w:rsid w:val="00843DF7"/>
    <w:rsid w:val="00844656"/>
    <w:rsid w:val="008448E6"/>
    <w:rsid w:val="0084676B"/>
    <w:rsid w:val="00851EA7"/>
    <w:rsid w:val="00853D2F"/>
    <w:rsid w:val="00855789"/>
    <w:rsid w:val="00856C9C"/>
    <w:rsid w:val="0085712C"/>
    <w:rsid w:val="0085778F"/>
    <w:rsid w:val="0086140D"/>
    <w:rsid w:val="008647CA"/>
    <w:rsid w:val="00870601"/>
    <w:rsid w:val="00872216"/>
    <w:rsid w:val="00877A5B"/>
    <w:rsid w:val="00883899"/>
    <w:rsid w:val="00883E2C"/>
    <w:rsid w:val="00884E90"/>
    <w:rsid w:val="00885E36"/>
    <w:rsid w:val="00886ACD"/>
    <w:rsid w:val="0089080C"/>
    <w:rsid w:val="008925F1"/>
    <w:rsid w:val="008930A0"/>
    <w:rsid w:val="00895478"/>
    <w:rsid w:val="008A0872"/>
    <w:rsid w:val="008A0948"/>
    <w:rsid w:val="008A0E07"/>
    <w:rsid w:val="008A48E4"/>
    <w:rsid w:val="008A4996"/>
    <w:rsid w:val="008A6A11"/>
    <w:rsid w:val="008A70D3"/>
    <w:rsid w:val="008B00E0"/>
    <w:rsid w:val="008B0F03"/>
    <w:rsid w:val="008B234F"/>
    <w:rsid w:val="008B2990"/>
    <w:rsid w:val="008B3DF8"/>
    <w:rsid w:val="008B4269"/>
    <w:rsid w:val="008C33C2"/>
    <w:rsid w:val="008C3498"/>
    <w:rsid w:val="008C4D15"/>
    <w:rsid w:val="008C4DB5"/>
    <w:rsid w:val="008C55B0"/>
    <w:rsid w:val="008C61DC"/>
    <w:rsid w:val="008C7567"/>
    <w:rsid w:val="008D4F43"/>
    <w:rsid w:val="008D557E"/>
    <w:rsid w:val="008D6F03"/>
    <w:rsid w:val="008D780D"/>
    <w:rsid w:val="008E1E3E"/>
    <w:rsid w:val="008E5805"/>
    <w:rsid w:val="008F0818"/>
    <w:rsid w:val="008F1617"/>
    <w:rsid w:val="008F3AC7"/>
    <w:rsid w:val="008F4120"/>
    <w:rsid w:val="008F54C4"/>
    <w:rsid w:val="008F55FE"/>
    <w:rsid w:val="008F600F"/>
    <w:rsid w:val="008F6143"/>
    <w:rsid w:val="008F6929"/>
    <w:rsid w:val="00900A85"/>
    <w:rsid w:val="009059A7"/>
    <w:rsid w:val="00912859"/>
    <w:rsid w:val="00915979"/>
    <w:rsid w:val="00920A29"/>
    <w:rsid w:val="00920F49"/>
    <w:rsid w:val="009227B3"/>
    <w:rsid w:val="00925B2E"/>
    <w:rsid w:val="00925B35"/>
    <w:rsid w:val="00930107"/>
    <w:rsid w:val="009344D6"/>
    <w:rsid w:val="00935ABA"/>
    <w:rsid w:val="009361AF"/>
    <w:rsid w:val="00936790"/>
    <w:rsid w:val="00936F2C"/>
    <w:rsid w:val="00940A7D"/>
    <w:rsid w:val="00941144"/>
    <w:rsid w:val="009436A0"/>
    <w:rsid w:val="00944291"/>
    <w:rsid w:val="00947E33"/>
    <w:rsid w:val="00954081"/>
    <w:rsid w:val="00960008"/>
    <w:rsid w:val="00963BBC"/>
    <w:rsid w:val="00966A35"/>
    <w:rsid w:val="00967CD6"/>
    <w:rsid w:val="00970810"/>
    <w:rsid w:val="009710D0"/>
    <w:rsid w:val="00971B90"/>
    <w:rsid w:val="00972AFE"/>
    <w:rsid w:val="00972C45"/>
    <w:rsid w:val="00976E9C"/>
    <w:rsid w:val="00982919"/>
    <w:rsid w:val="0098607B"/>
    <w:rsid w:val="00987904"/>
    <w:rsid w:val="0099083A"/>
    <w:rsid w:val="00991652"/>
    <w:rsid w:val="009926AD"/>
    <w:rsid w:val="00996621"/>
    <w:rsid w:val="009A263E"/>
    <w:rsid w:val="009A286B"/>
    <w:rsid w:val="009A34CF"/>
    <w:rsid w:val="009A3608"/>
    <w:rsid w:val="009A3AD6"/>
    <w:rsid w:val="009A44FE"/>
    <w:rsid w:val="009A5136"/>
    <w:rsid w:val="009A5885"/>
    <w:rsid w:val="009A6144"/>
    <w:rsid w:val="009A6C33"/>
    <w:rsid w:val="009A6E33"/>
    <w:rsid w:val="009A78CC"/>
    <w:rsid w:val="009B0DC2"/>
    <w:rsid w:val="009B1092"/>
    <w:rsid w:val="009B1BA6"/>
    <w:rsid w:val="009B2BFB"/>
    <w:rsid w:val="009B3922"/>
    <w:rsid w:val="009B6069"/>
    <w:rsid w:val="009C569D"/>
    <w:rsid w:val="009C6B03"/>
    <w:rsid w:val="009C6F43"/>
    <w:rsid w:val="009D1130"/>
    <w:rsid w:val="009D38AD"/>
    <w:rsid w:val="009D694E"/>
    <w:rsid w:val="009D6C42"/>
    <w:rsid w:val="009E0654"/>
    <w:rsid w:val="009E183D"/>
    <w:rsid w:val="009E23A6"/>
    <w:rsid w:val="009E4925"/>
    <w:rsid w:val="009E5E12"/>
    <w:rsid w:val="009F205E"/>
    <w:rsid w:val="009F2A7D"/>
    <w:rsid w:val="009F3CAD"/>
    <w:rsid w:val="009F454B"/>
    <w:rsid w:val="009F5756"/>
    <w:rsid w:val="009F5BFB"/>
    <w:rsid w:val="009F66AE"/>
    <w:rsid w:val="00A00192"/>
    <w:rsid w:val="00A00427"/>
    <w:rsid w:val="00A01249"/>
    <w:rsid w:val="00A0205D"/>
    <w:rsid w:val="00A04DC4"/>
    <w:rsid w:val="00A0580D"/>
    <w:rsid w:val="00A1014B"/>
    <w:rsid w:val="00A15FD1"/>
    <w:rsid w:val="00A167DD"/>
    <w:rsid w:val="00A20419"/>
    <w:rsid w:val="00A2098C"/>
    <w:rsid w:val="00A24115"/>
    <w:rsid w:val="00A24690"/>
    <w:rsid w:val="00A251EE"/>
    <w:rsid w:val="00A25D82"/>
    <w:rsid w:val="00A25E52"/>
    <w:rsid w:val="00A27BE1"/>
    <w:rsid w:val="00A31F94"/>
    <w:rsid w:val="00A36F9C"/>
    <w:rsid w:val="00A37485"/>
    <w:rsid w:val="00A378E2"/>
    <w:rsid w:val="00A37C13"/>
    <w:rsid w:val="00A37CD0"/>
    <w:rsid w:val="00A41886"/>
    <w:rsid w:val="00A44A59"/>
    <w:rsid w:val="00A47A19"/>
    <w:rsid w:val="00A51F96"/>
    <w:rsid w:val="00A53F73"/>
    <w:rsid w:val="00A6297C"/>
    <w:rsid w:val="00A641C8"/>
    <w:rsid w:val="00A6538A"/>
    <w:rsid w:val="00A65B22"/>
    <w:rsid w:val="00A66089"/>
    <w:rsid w:val="00A70ACC"/>
    <w:rsid w:val="00A73D29"/>
    <w:rsid w:val="00A77A73"/>
    <w:rsid w:val="00A807EA"/>
    <w:rsid w:val="00A81AAF"/>
    <w:rsid w:val="00A853C7"/>
    <w:rsid w:val="00A86EBB"/>
    <w:rsid w:val="00A87F97"/>
    <w:rsid w:val="00A939C1"/>
    <w:rsid w:val="00A9753F"/>
    <w:rsid w:val="00AA1F05"/>
    <w:rsid w:val="00AA1F43"/>
    <w:rsid w:val="00AA4272"/>
    <w:rsid w:val="00AB0039"/>
    <w:rsid w:val="00AB060D"/>
    <w:rsid w:val="00AB17CB"/>
    <w:rsid w:val="00AB2982"/>
    <w:rsid w:val="00AB304F"/>
    <w:rsid w:val="00AB56D6"/>
    <w:rsid w:val="00AC11F9"/>
    <w:rsid w:val="00AC2E8C"/>
    <w:rsid w:val="00AC31E0"/>
    <w:rsid w:val="00AC40DF"/>
    <w:rsid w:val="00AC4812"/>
    <w:rsid w:val="00AC4D88"/>
    <w:rsid w:val="00AD085F"/>
    <w:rsid w:val="00AD3FF8"/>
    <w:rsid w:val="00AD50A7"/>
    <w:rsid w:val="00AD51E6"/>
    <w:rsid w:val="00AD5744"/>
    <w:rsid w:val="00AD591C"/>
    <w:rsid w:val="00AD7ADE"/>
    <w:rsid w:val="00AD7E08"/>
    <w:rsid w:val="00AE04D2"/>
    <w:rsid w:val="00AE4407"/>
    <w:rsid w:val="00AF1493"/>
    <w:rsid w:val="00AF1D67"/>
    <w:rsid w:val="00AF5401"/>
    <w:rsid w:val="00AF59A2"/>
    <w:rsid w:val="00AF7778"/>
    <w:rsid w:val="00B0166E"/>
    <w:rsid w:val="00B045E2"/>
    <w:rsid w:val="00B04952"/>
    <w:rsid w:val="00B05E60"/>
    <w:rsid w:val="00B167EA"/>
    <w:rsid w:val="00B1696B"/>
    <w:rsid w:val="00B22F74"/>
    <w:rsid w:val="00B25219"/>
    <w:rsid w:val="00B25783"/>
    <w:rsid w:val="00B2581C"/>
    <w:rsid w:val="00B25F8B"/>
    <w:rsid w:val="00B26F1D"/>
    <w:rsid w:val="00B323CB"/>
    <w:rsid w:val="00B32AED"/>
    <w:rsid w:val="00B33CBF"/>
    <w:rsid w:val="00B342B2"/>
    <w:rsid w:val="00B36A70"/>
    <w:rsid w:val="00B37967"/>
    <w:rsid w:val="00B40F77"/>
    <w:rsid w:val="00B42743"/>
    <w:rsid w:val="00B444D9"/>
    <w:rsid w:val="00B45B51"/>
    <w:rsid w:val="00B46B8C"/>
    <w:rsid w:val="00B50044"/>
    <w:rsid w:val="00B576B6"/>
    <w:rsid w:val="00B57AFC"/>
    <w:rsid w:val="00B639CF"/>
    <w:rsid w:val="00B63B8C"/>
    <w:rsid w:val="00B64AD7"/>
    <w:rsid w:val="00B656A8"/>
    <w:rsid w:val="00B67C3F"/>
    <w:rsid w:val="00B73661"/>
    <w:rsid w:val="00B73C66"/>
    <w:rsid w:val="00B7483F"/>
    <w:rsid w:val="00B75171"/>
    <w:rsid w:val="00B775F4"/>
    <w:rsid w:val="00B803AE"/>
    <w:rsid w:val="00B80D05"/>
    <w:rsid w:val="00B80D12"/>
    <w:rsid w:val="00B835AE"/>
    <w:rsid w:val="00B8530D"/>
    <w:rsid w:val="00B85424"/>
    <w:rsid w:val="00B861C4"/>
    <w:rsid w:val="00B87B9F"/>
    <w:rsid w:val="00B912EE"/>
    <w:rsid w:val="00B91B8D"/>
    <w:rsid w:val="00B93BC6"/>
    <w:rsid w:val="00B96252"/>
    <w:rsid w:val="00B979CC"/>
    <w:rsid w:val="00BA0EA5"/>
    <w:rsid w:val="00BA23FA"/>
    <w:rsid w:val="00BA4D2B"/>
    <w:rsid w:val="00BA77B0"/>
    <w:rsid w:val="00BA784D"/>
    <w:rsid w:val="00BB411A"/>
    <w:rsid w:val="00BB4261"/>
    <w:rsid w:val="00BB4979"/>
    <w:rsid w:val="00BB4EFE"/>
    <w:rsid w:val="00BB7E38"/>
    <w:rsid w:val="00BC118B"/>
    <w:rsid w:val="00BC36F2"/>
    <w:rsid w:val="00BC5DB2"/>
    <w:rsid w:val="00BC721F"/>
    <w:rsid w:val="00BD32C5"/>
    <w:rsid w:val="00BD3C8B"/>
    <w:rsid w:val="00BD4B62"/>
    <w:rsid w:val="00BD709B"/>
    <w:rsid w:val="00BD75E2"/>
    <w:rsid w:val="00BD7868"/>
    <w:rsid w:val="00BE0EF5"/>
    <w:rsid w:val="00BF3767"/>
    <w:rsid w:val="00BF3D52"/>
    <w:rsid w:val="00BF4DB3"/>
    <w:rsid w:val="00BF4E12"/>
    <w:rsid w:val="00BF59B8"/>
    <w:rsid w:val="00BF76B3"/>
    <w:rsid w:val="00C00B09"/>
    <w:rsid w:val="00C01F4D"/>
    <w:rsid w:val="00C0213E"/>
    <w:rsid w:val="00C02293"/>
    <w:rsid w:val="00C06494"/>
    <w:rsid w:val="00C115D6"/>
    <w:rsid w:val="00C11FFD"/>
    <w:rsid w:val="00C121FB"/>
    <w:rsid w:val="00C1238B"/>
    <w:rsid w:val="00C13466"/>
    <w:rsid w:val="00C20223"/>
    <w:rsid w:val="00C219FC"/>
    <w:rsid w:val="00C2598B"/>
    <w:rsid w:val="00C26D11"/>
    <w:rsid w:val="00C27241"/>
    <w:rsid w:val="00C27C5A"/>
    <w:rsid w:val="00C34180"/>
    <w:rsid w:val="00C350F6"/>
    <w:rsid w:val="00C364C1"/>
    <w:rsid w:val="00C4032F"/>
    <w:rsid w:val="00C40873"/>
    <w:rsid w:val="00C412A8"/>
    <w:rsid w:val="00C42544"/>
    <w:rsid w:val="00C4723E"/>
    <w:rsid w:val="00C507EA"/>
    <w:rsid w:val="00C50FF9"/>
    <w:rsid w:val="00C517F6"/>
    <w:rsid w:val="00C54ECF"/>
    <w:rsid w:val="00C567E6"/>
    <w:rsid w:val="00C56F64"/>
    <w:rsid w:val="00C57CB7"/>
    <w:rsid w:val="00C604CA"/>
    <w:rsid w:val="00C608BF"/>
    <w:rsid w:val="00C60B27"/>
    <w:rsid w:val="00C61784"/>
    <w:rsid w:val="00C61C81"/>
    <w:rsid w:val="00C637D2"/>
    <w:rsid w:val="00C6397A"/>
    <w:rsid w:val="00C6401D"/>
    <w:rsid w:val="00C6419F"/>
    <w:rsid w:val="00C6652C"/>
    <w:rsid w:val="00C666A3"/>
    <w:rsid w:val="00C66FF2"/>
    <w:rsid w:val="00C67DA3"/>
    <w:rsid w:val="00C73E78"/>
    <w:rsid w:val="00C75F86"/>
    <w:rsid w:val="00C823CA"/>
    <w:rsid w:val="00C8359B"/>
    <w:rsid w:val="00C84114"/>
    <w:rsid w:val="00C8788F"/>
    <w:rsid w:val="00C87E42"/>
    <w:rsid w:val="00C911E0"/>
    <w:rsid w:val="00C912CE"/>
    <w:rsid w:val="00C9185E"/>
    <w:rsid w:val="00C92F9D"/>
    <w:rsid w:val="00C942F3"/>
    <w:rsid w:val="00CA0325"/>
    <w:rsid w:val="00CA0AF2"/>
    <w:rsid w:val="00CA1DDC"/>
    <w:rsid w:val="00CA1E5E"/>
    <w:rsid w:val="00CA538B"/>
    <w:rsid w:val="00CA734A"/>
    <w:rsid w:val="00CB02DC"/>
    <w:rsid w:val="00CB0713"/>
    <w:rsid w:val="00CB0D84"/>
    <w:rsid w:val="00CB15A7"/>
    <w:rsid w:val="00CB2723"/>
    <w:rsid w:val="00CB30A4"/>
    <w:rsid w:val="00CB52D1"/>
    <w:rsid w:val="00CC0454"/>
    <w:rsid w:val="00CC14A7"/>
    <w:rsid w:val="00CC4112"/>
    <w:rsid w:val="00CC5912"/>
    <w:rsid w:val="00CC7CB1"/>
    <w:rsid w:val="00CD17BD"/>
    <w:rsid w:val="00CD2C8F"/>
    <w:rsid w:val="00CD331F"/>
    <w:rsid w:val="00CD3A5C"/>
    <w:rsid w:val="00CD4749"/>
    <w:rsid w:val="00CE3D6D"/>
    <w:rsid w:val="00CE596D"/>
    <w:rsid w:val="00CE598D"/>
    <w:rsid w:val="00CE5B1D"/>
    <w:rsid w:val="00CE657A"/>
    <w:rsid w:val="00CE716B"/>
    <w:rsid w:val="00CE79EB"/>
    <w:rsid w:val="00CF0D93"/>
    <w:rsid w:val="00CF2010"/>
    <w:rsid w:val="00CF421D"/>
    <w:rsid w:val="00CF4254"/>
    <w:rsid w:val="00CF4CD1"/>
    <w:rsid w:val="00CF5862"/>
    <w:rsid w:val="00CF5BC4"/>
    <w:rsid w:val="00D003C7"/>
    <w:rsid w:val="00D0099B"/>
    <w:rsid w:val="00D01980"/>
    <w:rsid w:val="00D04BAE"/>
    <w:rsid w:val="00D04CC2"/>
    <w:rsid w:val="00D07788"/>
    <w:rsid w:val="00D07C19"/>
    <w:rsid w:val="00D124DC"/>
    <w:rsid w:val="00D12617"/>
    <w:rsid w:val="00D12AAE"/>
    <w:rsid w:val="00D14554"/>
    <w:rsid w:val="00D2042C"/>
    <w:rsid w:val="00D2086E"/>
    <w:rsid w:val="00D21A54"/>
    <w:rsid w:val="00D22A0F"/>
    <w:rsid w:val="00D22F8E"/>
    <w:rsid w:val="00D2367A"/>
    <w:rsid w:val="00D24144"/>
    <w:rsid w:val="00D251EC"/>
    <w:rsid w:val="00D26407"/>
    <w:rsid w:val="00D27D31"/>
    <w:rsid w:val="00D27D65"/>
    <w:rsid w:val="00D33AE4"/>
    <w:rsid w:val="00D36B07"/>
    <w:rsid w:val="00D376A8"/>
    <w:rsid w:val="00D404DA"/>
    <w:rsid w:val="00D41471"/>
    <w:rsid w:val="00D41BDE"/>
    <w:rsid w:val="00D43112"/>
    <w:rsid w:val="00D43336"/>
    <w:rsid w:val="00D43D2C"/>
    <w:rsid w:val="00D46B96"/>
    <w:rsid w:val="00D503B7"/>
    <w:rsid w:val="00D529EB"/>
    <w:rsid w:val="00D709E6"/>
    <w:rsid w:val="00D725FF"/>
    <w:rsid w:val="00D739AF"/>
    <w:rsid w:val="00D75845"/>
    <w:rsid w:val="00D75CAB"/>
    <w:rsid w:val="00D80A62"/>
    <w:rsid w:val="00D818FE"/>
    <w:rsid w:val="00D819DC"/>
    <w:rsid w:val="00D84FC0"/>
    <w:rsid w:val="00D85A07"/>
    <w:rsid w:val="00D863D4"/>
    <w:rsid w:val="00D87BA3"/>
    <w:rsid w:val="00D90179"/>
    <w:rsid w:val="00D921BB"/>
    <w:rsid w:val="00D97A15"/>
    <w:rsid w:val="00DA03EF"/>
    <w:rsid w:val="00DA197E"/>
    <w:rsid w:val="00DA41AF"/>
    <w:rsid w:val="00DA507E"/>
    <w:rsid w:val="00DA66CD"/>
    <w:rsid w:val="00DA6FE6"/>
    <w:rsid w:val="00DB0361"/>
    <w:rsid w:val="00DB0D70"/>
    <w:rsid w:val="00DB0EB8"/>
    <w:rsid w:val="00DB4163"/>
    <w:rsid w:val="00DB41D3"/>
    <w:rsid w:val="00DB4341"/>
    <w:rsid w:val="00DB4AEB"/>
    <w:rsid w:val="00DB4DCD"/>
    <w:rsid w:val="00DB663E"/>
    <w:rsid w:val="00DC11ED"/>
    <w:rsid w:val="00DC25DD"/>
    <w:rsid w:val="00DC2B9A"/>
    <w:rsid w:val="00DC777D"/>
    <w:rsid w:val="00DD32F9"/>
    <w:rsid w:val="00DD40A2"/>
    <w:rsid w:val="00DE00EA"/>
    <w:rsid w:val="00DE1A6C"/>
    <w:rsid w:val="00DE35D8"/>
    <w:rsid w:val="00DE4140"/>
    <w:rsid w:val="00DE4B84"/>
    <w:rsid w:val="00DE566F"/>
    <w:rsid w:val="00DE63DD"/>
    <w:rsid w:val="00DE69F3"/>
    <w:rsid w:val="00DF25FD"/>
    <w:rsid w:val="00DF3D88"/>
    <w:rsid w:val="00DF61CE"/>
    <w:rsid w:val="00DF71B2"/>
    <w:rsid w:val="00DF749C"/>
    <w:rsid w:val="00DF76C1"/>
    <w:rsid w:val="00DF77E7"/>
    <w:rsid w:val="00E02697"/>
    <w:rsid w:val="00E028BB"/>
    <w:rsid w:val="00E049EE"/>
    <w:rsid w:val="00E05E8E"/>
    <w:rsid w:val="00E07EB6"/>
    <w:rsid w:val="00E12CF3"/>
    <w:rsid w:val="00E12D10"/>
    <w:rsid w:val="00E13DF6"/>
    <w:rsid w:val="00E142B1"/>
    <w:rsid w:val="00E14BB5"/>
    <w:rsid w:val="00E15F37"/>
    <w:rsid w:val="00E169AF"/>
    <w:rsid w:val="00E17E5A"/>
    <w:rsid w:val="00E20C16"/>
    <w:rsid w:val="00E2215A"/>
    <w:rsid w:val="00E2232F"/>
    <w:rsid w:val="00E224A0"/>
    <w:rsid w:val="00E2273D"/>
    <w:rsid w:val="00E23913"/>
    <w:rsid w:val="00E24258"/>
    <w:rsid w:val="00E243A1"/>
    <w:rsid w:val="00E24684"/>
    <w:rsid w:val="00E24B74"/>
    <w:rsid w:val="00E268AC"/>
    <w:rsid w:val="00E26C2B"/>
    <w:rsid w:val="00E277E1"/>
    <w:rsid w:val="00E304FC"/>
    <w:rsid w:val="00E308F9"/>
    <w:rsid w:val="00E336D6"/>
    <w:rsid w:val="00E35135"/>
    <w:rsid w:val="00E35142"/>
    <w:rsid w:val="00E35E22"/>
    <w:rsid w:val="00E36C82"/>
    <w:rsid w:val="00E40B54"/>
    <w:rsid w:val="00E413AB"/>
    <w:rsid w:val="00E426E8"/>
    <w:rsid w:val="00E43504"/>
    <w:rsid w:val="00E4513B"/>
    <w:rsid w:val="00E4683F"/>
    <w:rsid w:val="00E5003A"/>
    <w:rsid w:val="00E52AF4"/>
    <w:rsid w:val="00E53ED1"/>
    <w:rsid w:val="00E552C2"/>
    <w:rsid w:val="00E55466"/>
    <w:rsid w:val="00E568F7"/>
    <w:rsid w:val="00E63CCA"/>
    <w:rsid w:val="00E65C9B"/>
    <w:rsid w:val="00E663FB"/>
    <w:rsid w:val="00E66C1F"/>
    <w:rsid w:val="00E66D02"/>
    <w:rsid w:val="00E70D26"/>
    <w:rsid w:val="00E71182"/>
    <w:rsid w:val="00E729E4"/>
    <w:rsid w:val="00E733D4"/>
    <w:rsid w:val="00E74042"/>
    <w:rsid w:val="00E7515D"/>
    <w:rsid w:val="00E752BF"/>
    <w:rsid w:val="00E752DA"/>
    <w:rsid w:val="00E76821"/>
    <w:rsid w:val="00E77282"/>
    <w:rsid w:val="00E80FA0"/>
    <w:rsid w:val="00E81850"/>
    <w:rsid w:val="00E819C2"/>
    <w:rsid w:val="00E82557"/>
    <w:rsid w:val="00E837F9"/>
    <w:rsid w:val="00E84255"/>
    <w:rsid w:val="00E85EAF"/>
    <w:rsid w:val="00E87806"/>
    <w:rsid w:val="00E87DB5"/>
    <w:rsid w:val="00E87F2E"/>
    <w:rsid w:val="00E900DA"/>
    <w:rsid w:val="00E906A3"/>
    <w:rsid w:val="00E91202"/>
    <w:rsid w:val="00E92161"/>
    <w:rsid w:val="00E92351"/>
    <w:rsid w:val="00E924E6"/>
    <w:rsid w:val="00E9289D"/>
    <w:rsid w:val="00E945AD"/>
    <w:rsid w:val="00E949ED"/>
    <w:rsid w:val="00EA1335"/>
    <w:rsid w:val="00EA1C34"/>
    <w:rsid w:val="00EA3D45"/>
    <w:rsid w:val="00EA5BDE"/>
    <w:rsid w:val="00EA60B6"/>
    <w:rsid w:val="00EA74CF"/>
    <w:rsid w:val="00EA7D23"/>
    <w:rsid w:val="00EA7FDB"/>
    <w:rsid w:val="00EB06A9"/>
    <w:rsid w:val="00EB2B34"/>
    <w:rsid w:val="00EB37BE"/>
    <w:rsid w:val="00EB521A"/>
    <w:rsid w:val="00EB7383"/>
    <w:rsid w:val="00EB7EF9"/>
    <w:rsid w:val="00EC0E22"/>
    <w:rsid w:val="00EC1E8B"/>
    <w:rsid w:val="00EC1EAD"/>
    <w:rsid w:val="00EC39F2"/>
    <w:rsid w:val="00EC5E00"/>
    <w:rsid w:val="00EC634D"/>
    <w:rsid w:val="00ED0C24"/>
    <w:rsid w:val="00ED2A76"/>
    <w:rsid w:val="00ED31AC"/>
    <w:rsid w:val="00ED3829"/>
    <w:rsid w:val="00ED4D27"/>
    <w:rsid w:val="00ED592E"/>
    <w:rsid w:val="00ED5AF1"/>
    <w:rsid w:val="00ED793A"/>
    <w:rsid w:val="00EE3678"/>
    <w:rsid w:val="00EE3B9D"/>
    <w:rsid w:val="00EE5222"/>
    <w:rsid w:val="00EE60A9"/>
    <w:rsid w:val="00EE6B30"/>
    <w:rsid w:val="00EF26FB"/>
    <w:rsid w:val="00EF3D1F"/>
    <w:rsid w:val="00EF5C9E"/>
    <w:rsid w:val="00EF6609"/>
    <w:rsid w:val="00F00ABC"/>
    <w:rsid w:val="00F03068"/>
    <w:rsid w:val="00F03291"/>
    <w:rsid w:val="00F0379A"/>
    <w:rsid w:val="00F047CD"/>
    <w:rsid w:val="00F049BD"/>
    <w:rsid w:val="00F06F0D"/>
    <w:rsid w:val="00F0752E"/>
    <w:rsid w:val="00F07B0E"/>
    <w:rsid w:val="00F128CD"/>
    <w:rsid w:val="00F15660"/>
    <w:rsid w:val="00F15BB1"/>
    <w:rsid w:val="00F20755"/>
    <w:rsid w:val="00F20B68"/>
    <w:rsid w:val="00F20E1F"/>
    <w:rsid w:val="00F20F8A"/>
    <w:rsid w:val="00F23D68"/>
    <w:rsid w:val="00F24C1E"/>
    <w:rsid w:val="00F26C89"/>
    <w:rsid w:val="00F270FA"/>
    <w:rsid w:val="00F304DB"/>
    <w:rsid w:val="00F30C76"/>
    <w:rsid w:val="00F31B7A"/>
    <w:rsid w:val="00F3446F"/>
    <w:rsid w:val="00F354FA"/>
    <w:rsid w:val="00F42EAB"/>
    <w:rsid w:val="00F431D8"/>
    <w:rsid w:val="00F4493C"/>
    <w:rsid w:val="00F4568B"/>
    <w:rsid w:val="00F512FE"/>
    <w:rsid w:val="00F515AE"/>
    <w:rsid w:val="00F51E17"/>
    <w:rsid w:val="00F526FB"/>
    <w:rsid w:val="00F54365"/>
    <w:rsid w:val="00F55599"/>
    <w:rsid w:val="00F5582E"/>
    <w:rsid w:val="00F56856"/>
    <w:rsid w:val="00F62A94"/>
    <w:rsid w:val="00F63F79"/>
    <w:rsid w:val="00F643C7"/>
    <w:rsid w:val="00F6614C"/>
    <w:rsid w:val="00F70A84"/>
    <w:rsid w:val="00F7234D"/>
    <w:rsid w:val="00F7357E"/>
    <w:rsid w:val="00F73C25"/>
    <w:rsid w:val="00F82C19"/>
    <w:rsid w:val="00F85715"/>
    <w:rsid w:val="00F8774C"/>
    <w:rsid w:val="00F87CB3"/>
    <w:rsid w:val="00F90BAD"/>
    <w:rsid w:val="00F90BF2"/>
    <w:rsid w:val="00F924BB"/>
    <w:rsid w:val="00F939EB"/>
    <w:rsid w:val="00F95554"/>
    <w:rsid w:val="00F97CBA"/>
    <w:rsid w:val="00FA18D4"/>
    <w:rsid w:val="00FA1F3B"/>
    <w:rsid w:val="00FA203E"/>
    <w:rsid w:val="00FA349A"/>
    <w:rsid w:val="00FA4334"/>
    <w:rsid w:val="00FA634C"/>
    <w:rsid w:val="00FA7A74"/>
    <w:rsid w:val="00FA7FBC"/>
    <w:rsid w:val="00FB13AA"/>
    <w:rsid w:val="00FB149D"/>
    <w:rsid w:val="00FB1832"/>
    <w:rsid w:val="00FB271B"/>
    <w:rsid w:val="00FB36DC"/>
    <w:rsid w:val="00FB3A5E"/>
    <w:rsid w:val="00FB5110"/>
    <w:rsid w:val="00FB5DA6"/>
    <w:rsid w:val="00FB6545"/>
    <w:rsid w:val="00FB7050"/>
    <w:rsid w:val="00FB7C98"/>
    <w:rsid w:val="00FB7D29"/>
    <w:rsid w:val="00FC46B1"/>
    <w:rsid w:val="00FC5B6D"/>
    <w:rsid w:val="00FC607A"/>
    <w:rsid w:val="00FC6CC3"/>
    <w:rsid w:val="00FC6E0A"/>
    <w:rsid w:val="00FC7855"/>
    <w:rsid w:val="00FD09EE"/>
    <w:rsid w:val="00FD10CF"/>
    <w:rsid w:val="00FD19E1"/>
    <w:rsid w:val="00FD1EF1"/>
    <w:rsid w:val="00FD4CD8"/>
    <w:rsid w:val="00FE2E2C"/>
    <w:rsid w:val="00FE5573"/>
    <w:rsid w:val="00FE7A84"/>
    <w:rsid w:val="00FF059B"/>
    <w:rsid w:val="00FF06DC"/>
    <w:rsid w:val="00FF3423"/>
    <w:rsid w:val="00FF36EC"/>
    <w:rsid w:val="00FF4387"/>
    <w:rsid w:val="00FF56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A5B8E"/>
  <w15:chartTrackingRefBased/>
  <w15:docId w15:val="{A05CF037-62B1-4A62-8C72-E6081F9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34"/>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uiPriority w:val="99"/>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character" w:customStyle="1" w:styleId="affairetitle">
    <w:name w:val="affaire_title"/>
    <w:basedOn w:val="DefaultParagraphFont"/>
    <w:rsid w:val="002D6F13"/>
  </w:style>
  <w:style w:type="paragraph" w:customStyle="1" w:styleId="c01pointnumerotealtn">
    <w:name w:val="c01pointnumerotealtn"/>
    <w:basedOn w:val="Normal"/>
    <w:rsid w:val="007E7021"/>
    <w:pPr>
      <w:spacing w:before="100" w:beforeAutospacing="1" w:after="100" w:afterAutospacing="1"/>
    </w:pPr>
    <w:rPr>
      <w:lang w:val="en-US"/>
    </w:rPr>
  </w:style>
  <w:style w:type="character" w:styleId="Strong">
    <w:name w:val="Strong"/>
    <w:basedOn w:val="DefaultParagraphFont"/>
    <w:uiPriority w:val="22"/>
    <w:qFormat/>
    <w:rsid w:val="00591BE7"/>
    <w:rPr>
      <w:b/>
      <w:bCs/>
    </w:rPr>
  </w:style>
  <w:style w:type="paragraph" w:styleId="FootnoteText">
    <w:name w:val="footnote text"/>
    <w:basedOn w:val="Normal"/>
    <w:link w:val="FootnoteTextChar"/>
    <w:rsid w:val="00E92351"/>
    <w:rPr>
      <w:sz w:val="20"/>
      <w:szCs w:val="20"/>
    </w:rPr>
  </w:style>
  <w:style w:type="character" w:customStyle="1" w:styleId="FootnoteTextChar">
    <w:name w:val="Footnote Text Char"/>
    <w:basedOn w:val="DefaultParagraphFont"/>
    <w:link w:val="FootnoteText"/>
    <w:rsid w:val="00E92351"/>
    <w:rPr>
      <w:lang w:eastAsia="en-US"/>
    </w:rPr>
  </w:style>
  <w:style w:type="character" w:styleId="FootnoteReference">
    <w:name w:val="footnote reference"/>
    <w:basedOn w:val="DefaultParagraphFont"/>
    <w:rsid w:val="00E923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26639">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609777979">
      <w:bodyDiv w:val="1"/>
      <w:marLeft w:val="0"/>
      <w:marRight w:val="0"/>
      <w:marTop w:val="0"/>
      <w:marBottom w:val="0"/>
      <w:divBdr>
        <w:top w:val="none" w:sz="0" w:space="0" w:color="auto"/>
        <w:left w:val="none" w:sz="0" w:space="0" w:color="auto"/>
        <w:bottom w:val="none" w:sz="0" w:space="0" w:color="auto"/>
        <w:right w:val="none" w:sz="0" w:space="0" w:color="auto"/>
      </w:divBdr>
    </w:div>
    <w:div w:id="897666128">
      <w:bodyDiv w:val="1"/>
      <w:marLeft w:val="0"/>
      <w:marRight w:val="0"/>
      <w:marTop w:val="0"/>
      <w:marBottom w:val="0"/>
      <w:divBdr>
        <w:top w:val="none" w:sz="0" w:space="0" w:color="auto"/>
        <w:left w:val="none" w:sz="0" w:space="0" w:color="auto"/>
        <w:bottom w:val="none" w:sz="0" w:space="0" w:color="auto"/>
        <w:right w:val="none" w:sz="0" w:space="0" w:color="auto"/>
      </w:divBdr>
    </w:div>
    <w:div w:id="950432483">
      <w:bodyDiv w:val="1"/>
      <w:marLeft w:val="0"/>
      <w:marRight w:val="0"/>
      <w:marTop w:val="0"/>
      <w:marBottom w:val="0"/>
      <w:divBdr>
        <w:top w:val="none" w:sz="0" w:space="0" w:color="auto"/>
        <w:left w:val="none" w:sz="0" w:space="0" w:color="auto"/>
        <w:bottom w:val="none" w:sz="0" w:space="0" w:color="auto"/>
        <w:right w:val="none" w:sz="0" w:space="0" w:color="auto"/>
      </w:divBdr>
    </w:div>
    <w:div w:id="1075275351">
      <w:bodyDiv w:val="1"/>
      <w:marLeft w:val="0"/>
      <w:marRight w:val="0"/>
      <w:marTop w:val="0"/>
      <w:marBottom w:val="0"/>
      <w:divBdr>
        <w:top w:val="none" w:sz="0" w:space="0" w:color="auto"/>
        <w:left w:val="none" w:sz="0" w:space="0" w:color="auto"/>
        <w:bottom w:val="none" w:sz="0" w:space="0" w:color="auto"/>
        <w:right w:val="none" w:sz="0" w:space="0" w:color="auto"/>
      </w:divBdr>
    </w:div>
    <w:div w:id="1095440413">
      <w:bodyDiv w:val="1"/>
      <w:marLeft w:val="0"/>
      <w:marRight w:val="0"/>
      <w:marTop w:val="0"/>
      <w:marBottom w:val="0"/>
      <w:divBdr>
        <w:top w:val="none" w:sz="0" w:space="0" w:color="auto"/>
        <w:left w:val="none" w:sz="0" w:space="0" w:color="auto"/>
        <w:bottom w:val="none" w:sz="0" w:space="0" w:color="auto"/>
        <w:right w:val="none" w:sz="0" w:space="0" w:color="auto"/>
      </w:divBdr>
    </w:div>
    <w:div w:id="1243446659">
      <w:bodyDiv w:val="1"/>
      <w:marLeft w:val="0"/>
      <w:marRight w:val="0"/>
      <w:marTop w:val="0"/>
      <w:marBottom w:val="0"/>
      <w:divBdr>
        <w:top w:val="none" w:sz="0" w:space="0" w:color="auto"/>
        <w:left w:val="none" w:sz="0" w:space="0" w:color="auto"/>
        <w:bottom w:val="none" w:sz="0" w:space="0" w:color="auto"/>
        <w:right w:val="none" w:sz="0" w:space="0" w:color="auto"/>
      </w:divBdr>
    </w:div>
    <w:div w:id="1805389622">
      <w:bodyDiv w:val="1"/>
      <w:marLeft w:val="0"/>
      <w:marRight w:val="0"/>
      <w:marTop w:val="0"/>
      <w:marBottom w:val="0"/>
      <w:divBdr>
        <w:top w:val="none" w:sz="0" w:space="0" w:color="auto"/>
        <w:left w:val="none" w:sz="0" w:space="0" w:color="auto"/>
        <w:bottom w:val="none" w:sz="0" w:space="0" w:color="auto"/>
        <w:right w:val="none" w:sz="0" w:space="0" w:color="auto"/>
      </w:divBdr>
      <w:divsChild>
        <w:div w:id="1756245849">
          <w:marLeft w:val="0"/>
          <w:marRight w:val="0"/>
          <w:marTop w:val="0"/>
          <w:marBottom w:val="0"/>
          <w:divBdr>
            <w:top w:val="none" w:sz="0" w:space="0" w:color="auto"/>
            <w:left w:val="none" w:sz="0" w:space="0" w:color="auto"/>
            <w:bottom w:val="none" w:sz="0" w:space="0" w:color="auto"/>
            <w:right w:val="none" w:sz="0" w:space="0" w:color="auto"/>
          </w:divBdr>
        </w:div>
      </w:divsChild>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 w:id="21027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ur-lex.europa.eu/eli/dir/1972/166/oj/?locale=LV" TargetMode="External"/><Relationship Id="rId4" Type="http://schemas.openxmlformats.org/officeDocument/2006/relationships/settings" Target="settings.xml"/><Relationship Id="rId9" Type="http://schemas.openxmlformats.org/officeDocument/2006/relationships/hyperlink" Target="http://eur-lex.europa.eu/eli/dir/1972/16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BC295-05FC-4C59-824D-44223D5C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20710</Words>
  <Characters>11806</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11</cp:revision>
  <cp:lastPrinted>2019-04-10T08:05:00Z</cp:lastPrinted>
  <dcterms:created xsi:type="dcterms:W3CDTF">2019-04-10T08:08:00Z</dcterms:created>
  <dcterms:modified xsi:type="dcterms:W3CDTF">2019-05-07T06:38:00Z</dcterms:modified>
</cp:coreProperties>
</file>