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650D4" w14:textId="79253CF7" w:rsidR="003C247B" w:rsidRPr="008E3A3C" w:rsidRDefault="008E3A3C" w:rsidP="00D335E0">
      <w:pPr>
        <w:suppressAutoHyphens/>
        <w:autoSpaceDN w:val="0"/>
        <w:spacing w:after="0" w:line="276" w:lineRule="auto"/>
        <w:contextualSpacing/>
        <w:jc w:val="both"/>
        <w:textAlignment w:val="baseline"/>
        <w:rPr>
          <w:rFonts w:cs="Times New Roman"/>
          <w:b/>
          <w:szCs w:val="24"/>
        </w:rPr>
      </w:pPr>
      <w:r w:rsidRPr="008E3A3C">
        <w:rPr>
          <w:rFonts w:cs="Times New Roman"/>
          <w:b/>
          <w:szCs w:val="24"/>
        </w:rPr>
        <w:t>Laimesti atzīstami par deklarējamiem ienākumiem K</w:t>
      </w:r>
      <w:r w:rsidR="008C1E41">
        <w:rPr>
          <w:rFonts w:cs="Times New Roman"/>
          <w:b/>
          <w:szCs w:val="24"/>
        </w:rPr>
        <w:t>rimināllikuma</w:t>
      </w:r>
      <w:r w:rsidRPr="008E3A3C">
        <w:rPr>
          <w:rFonts w:cs="Times New Roman"/>
          <w:b/>
          <w:szCs w:val="24"/>
        </w:rPr>
        <w:t xml:space="preserve"> </w:t>
      </w:r>
      <w:proofErr w:type="gramStart"/>
      <w:r w:rsidRPr="008E3A3C">
        <w:rPr>
          <w:rFonts w:cs="Times New Roman"/>
          <w:b/>
          <w:szCs w:val="24"/>
        </w:rPr>
        <w:t>219.panta</w:t>
      </w:r>
      <w:proofErr w:type="gramEnd"/>
      <w:r w:rsidRPr="008E3A3C">
        <w:rPr>
          <w:rFonts w:cs="Times New Roman"/>
          <w:b/>
          <w:szCs w:val="24"/>
        </w:rPr>
        <w:t xml:space="preserve"> otrās daļas (Izvairīšanās no deklarācijas iesniegšanas) izpratnē</w:t>
      </w:r>
    </w:p>
    <w:p w14:paraId="62575184" w14:textId="4ADF3288" w:rsidR="00D335E0" w:rsidRDefault="00D335E0" w:rsidP="00D335E0">
      <w:pPr>
        <w:suppressAutoHyphens/>
        <w:autoSpaceDN w:val="0"/>
        <w:spacing w:after="0" w:line="276" w:lineRule="auto"/>
        <w:contextualSpacing/>
        <w:jc w:val="both"/>
        <w:textAlignment w:val="baseline"/>
        <w:rPr>
          <w:rFonts w:cs="Times New Roman"/>
          <w:b/>
          <w:szCs w:val="24"/>
        </w:rPr>
      </w:pPr>
    </w:p>
    <w:p w14:paraId="6FA275BA" w14:textId="7DFB97C9" w:rsidR="00D335E0" w:rsidRPr="00D335E0" w:rsidRDefault="008E3A3C" w:rsidP="00D335E0">
      <w:pPr>
        <w:suppressAutoHyphens/>
        <w:autoSpaceDN w:val="0"/>
        <w:spacing w:after="0" w:line="276" w:lineRule="auto"/>
        <w:contextualSpacing/>
        <w:jc w:val="both"/>
        <w:textAlignment w:val="baseline"/>
        <w:rPr>
          <w:rFonts w:eastAsia="Calibri" w:cs="Times New Roman"/>
          <w:b/>
          <w:szCs w:val="24"/>
        </w:rPr>
      </w:pPr>
      <w:r w:rsidRPr="00404173">
        <w:rPr>
          <w:rFonts w:cs="Times New Roman"/>
          <w:szCs w:val="24"/>
        </w:rPr>
        <w:t>Valsts amatpersonas deklarācijā norādāmi visu veidu gūtie ienākumi pārskata periodā, tostarp laimesti, neatkarīgi no apmēra. Azartspēles nav saimnieciskā darbība, tādējādi attiecībā uz to rezultātā gūtiem laimestiem n</w:t>
      </w:r>
      <w:r>
        <w:rPr>
          <w:rFonts w:cs="Times New Roman"/>
          <w:szCs w:val="24"/>
        </w:rPr>
        <w:t>eap</w:t>
      </w:r>
      <w:r w:rsidRPr="00404173">
        <w:rPr>
          <w:rFonts w:cs="Times New Roman"/>
          <w:szCs w:val="24"/>
        </w:rPr>
        <w:t>rēķina ieņēmumus, izdevumus vai zaudējumus</w:t>
      </w:r>
      <w:r w:rsidR="00D335E0" w:rsidRPr="008C1643">
        <w:rPr>
          <w:rFonts w:cs="Times New Roman"/>
          <w:szCs w:val="24"/>
        </w:rPr>
        <w:t>.</w:t>
      </w:r>
    </w:p>
    <w:p w14:paraId="7D49B5CD" w14:textId="56D6B70C" w:rsidR="003C247B" w:rsidRPr="0056343C" w:rsidRDefault="003C247B" w:rsidP="00D335E0">
      <w:pPr>
        <w:suppressAutoHyphens/>
        <w:autoSpaceDN w:val="0"/>
        <w:spacing w:after="0" w:line="276" w:lineRule="auto"/>
        <w:contextualSpacing/>
        <w:textAlignment w:val="baseline"/>
        <w:rPr>
          <w:rFonts w:eastAsia="Calibri" w:cs="Times New Roman"/>
          <w:szCs w:val="24"/>
        </w:rPr>
      </w:pPr>
    </w:p>
    <w:p w14:paraId="59895068" w14:textId="77777777" w:rsidR="00D335E0" w:rsidRPr="00D335E0" w:rsidRDefault="003C247B" w:rsidP="0056343C">
      <w:pPr>
        <w:suppressAutoHyphens/>
        <w:autoSpaceDN w:val="0"/>
        <w:spacing w:after="0" w:line="276" w:lineRule="auto"/>
        <w:contextualSpacing/>
        <w:jc w:val="center"/>
        <w:textAlignment w:val="baseline"/>
        <w:rPr>
          <w:rFonts w:eastAsia="Calibri" w:cs="Times New Roman"/>
          <w:b/>
          <w:szCs w:val="24"/>
        </w:rPr>
      </w:pPr>
      <w:r w:rsidRPr="00D335E0">
        <w:rPr>
          <w:rFonts w:eastAsia="Calibri" w:cs="Times New Roman"/>
          <w:b/>
          <w:szCs w:val="24"/>
        </w:rPr>
        <w:t>Latvijas Republikas Senāt</w:t>
      </w:r>
      <w:r w:rsidR="00D335E0" w:rsidRPr="00D335E0">
        <w:rPr>
          <w:rFonts w:eastAsia="Calibri" w:cs="Times New Roman"/>
          <w:b/>
          <w:szCs w:val="24"/>
        </w:rPr>
        <w:t xml:space="preserve">a </w:t>
      </w:r>
    </w:p>
    <w:p w14:paraId="36537A3A" w14:textId="77777777" w:rsidR="00D335E0" w:rsidRPr="00D335E0" w:rsidRDefault="00D335E0" w:rsidP="0056343C">
      <w:pPr>
        <w:suppressAutoHyphens/>
        <w:autoSpaceDN w:val="0"/>
        <w:spacing w:after="0" w:line="276" w:lineRule="auto"/>
        <w:contextualSpacing/>
        <w:jc w:val="center"/>
        <w:textAlignment w:val="baseline"/>
        <w:rPr>
          <w:rFonts w:eastAsia="Calibri" w:cs="Times New Roman"/>
          <w:b/>
          <w:szCs w:val="24"/>
        </w:rPr>
      </w:pPr>
      <w:r w:rsidRPr="00D335E0">
        <w:rPr>
          <w:rFonts w:eastAsia="Calibri" w:cs="Times New Roman"/>
          <w:b/>
          <w:szCs w:val="24"/>
        </w:rPr>
        <w:t>Krimināllietu departamenta</w:t>
      </w:r>
    </w:p>
    <w:p w14:paraId="0FD0794E" w14:textId="74241C6A" w:rsidR="003C247B" w:rsidRPr="00D335E0" w:rsidRDefault="00D335E0" w:rsidP="0056343C">
      <w:pPr>
        <w:suppressAutoHyphens/>
        <w:autoSpaceDN w:val="0"/>
        <w:spacing w:after="0" w:line="276" w:lineRule="auto"/>
        <w:contextualSpacing/>
        <w:jc w:val="center"/>
        <w:textAlignment w:val="baseline"/>
        <w:rPr>
          <w:rFonts w:eastAsia="Calibri" w:cs="Times New Roman"/>
          <w:b/>
          <w:szCs w:val="24"/>
        </w:rPr>
      </w:pPr>
      <w:proofErr w:type="gramStart"/>
      <w:r w:rsidRPr="00D335E0">
        <w:rPr>
          <w:rFonts w:eastAsia="Calibri" w:cs="Times New Roman"/>
          <w:b/>
          <w:szCs w:val="24"/>
        </w:rPr>
        <w:t>2019.gada</w:t>
      </w:r>
      <w:proofErr w:type="gramEnd"/>
      <w:r w:rsidRPr="00D335E0">
        <w:rPr>
          <w:rFonts w:eastAsia="Calibri" w:cs="Times New Roman"/>
          <w:b/>
          <w:szCs w:val="24"/>
        </w:rPr>
        <w:t xml:space="preserve"> 15.februāra</w:t>
      </w:r>
    </w:p>
    <w:p w14:paraId="4BCA5451" w14:textId="77777777" w:rsidR="003C247B" w:rsidRPr="00D335E0" w:rsidRDefault="003C247B" w:rsidP="0056343C">
      <w:pPr>
        <w:suppressAutoHyphens/>
        <w:autoSpaceDN w:val="0"/>
        <w:spacing w:after="0" w:line="276" w:lineRule="auto"/>
        <w:contextualSpacing/>
        <w:jc w:val="center"/>
        <w:textAlignment w:val="baseline"/>
        <w:rPr>
          <w:rFonts w:eastAsia="Calibri" w:cs="Times New Roman"/>
          <w:b/>
          <w:szCs w:val="24"/>
        </w:rPr>
      </w:pPr>
      <w:r w:rsidRPr="00D335E0">
        <w:rPr>
          <w:rFonts w:eastAsia="Calibri" w:cs="Times New Roman"/>
          <w:b/>
          <w:szCs w:val="24"/>
        </w:rPr>
        <w:t>LĒMUMS</w:t>
      </w:r>
    </w:p>
    <w:p w14:paraId="2C117CFF" w14:textId="4154F426" w:rsidR="003C247B" w:rsidRPr="00D335E0" w:rsidRDefault="00D335E0" w:rsidP="0056343C">
      <w:pPr>
        <w:suppressAutoHyphens/>
        <w:autoSpaceDN w:val="0"/>
        <w:spacing w:after="0" w:line="276" w:lineRule="auto"/>
        <w:contextualSpacing/>
        <w:jc w:val="center"/>
        <w:textAlignment w:val="baseline"/>
        <w:rPr>
          <w:rFonts w:eastAsia="Calibri" w:cs="Times New Roman"/>
          <w:b/>
          <w:szCs w:val="24"/>
        </w:rPr>
      </w:pPr>
      <w:r w:rsidRPr="00D335E0">
        <w:rPr>
          <w:rFonts w:eastAsia="Calibri" w:cs="Times New Roman"/>
          <w:b/>
          <w:szCs w:val="24"/>
        </w:rPr>
        <w:t>Lieta Nr. 15830011414, SKK-95/2019</w:t>
      </w:r>
    </w:p>
    <w:p w14:paraId="7327345D" w14:textId="54338A78" w:rsidR="00D335E0" w:rsidRPr="0056343C" w:rsidRDefault="00E15B25" w:rsidP="0056343C">
      <w:pPr>
        <w:suppressAutoHyphens/>
        <w:autoSpaceDN w:val="0"/>
        <w:spacing w:after="0" w:line="276" w:lineRule="auto"/>
        <w:contextualSpacing/>
        <w:jc w:val="center"/>
        <w:textAlignment w:val="baseline"/>
        <w:rPr>
          <w:rFonts w:eastAsia="Calibri" w:cs="Times New Roman"/>
          <w:szCs w:val="24"/>
        </w:rPr>
      </w:pPr>
      <w:hyperlink r:id="rId6" w:history="1">
        <w:r w:rsidR="00D335E0" w:rsidRPr="00D335E0">
          <w:rPr>
            <w:rStyle w:val="Hyperlink"/>
          </w:rPr>
          <w:t>ECLI:LV:AT:2019:0215.15830011414.2.L</w:t>
        </w:r>
      </w:hyperlink>
    </w:p>
    <w:p w14:paraId="35F506BF" w14:textId="77777777" w:rsidR="003C247B" w:rsidRPr="0056343C" w:rsidRDefault="003C247B" w:rsidP="0056343C">
      <w:pPr>
        <w:tabs>
          <w:tab w:val="left" w:pos="7641"/>
        </w:tabs>
        <w:suppressAutoHyphens/>
        <w:autoSpaceDN w:val="0"/>
        <w:spacing w:after="0" w:line="276" w:lineRule="auto"/>
        <w:contextualSpacing/>
        <w:jc w:val="both"/>
        <w:textAlignment w:val="baseline"/>
        <w:rPr>
          <w:rFonts w:eastAsia="Calibri" w:cs="Times New Roman"/>
          <w:szCs w:val="24"/>
        </w:rPr>
      </w:pPr>
      <w:r w:rsidRPr="0056343C">
        <w:rPr>
          <w:rFonts w:eastAsia="Calibri" w:cs="Times New Roman"/>
          <w:szCs w:val="24"/>
        </w:rPr>
        <w:tab/>
      </w:r>
    </w:p>
    <w:p w14:paraId="1410AB80" w14:textId="54BBFDDC" w:rsidR="003C247B" w:rsidRPr="0056343C" w:rsidRDefault="00F77A7A" w:rsidP="0056343C">
      <w:pPr>
        <w:suppressAutoHyphens/>
        <w:autoSpaceDN w:val="0"/>
        <w:spacing w:after="0" w:line="276" w:lineRule="auto"/>
        <w:jc w:val="both"/>
        <w:textAlignment w:val="baseline"/>
        <w:rPr>
          <w:rFonts w:eastAsia="Calibri" w:cs="Times New Roman"/>
          <w:szCs w:val="24"/>
        </w:rPr>
      </w:pPr>
      <w:r w:rsidRPr="0056343C">
        <w:rPr>
          <w:rFonts w:eastAsia="Calibri" w:cs="Times New Roman"/>
          <w:szCs w:val="24"/>
        </w:rPr>
        <w:t xml:space="preserve"> </w:t>
      </w:r>
      <w:r w:rsidRPr="0056343C">
        <w:rPr>
          <w:rFonts w:eastAsia="Calibri" w:cs="Times New Roman"/>
          <w:szCs w:val="24"/>
        </w:rPr>
        <w:tab/>
      </w:r>
      <w:r w:rsidR="003C247B" w:rsidRPr="0056343C">
        <w:rPr>
          <w:rFonts w:eastAsia="Calibri" w:cs="Times New Roman"/>
          <w:szCs w:val="24"/>
        </w:rPr>
        <w:t xml:space="preserve">Tiesa šādā sastāvā: senatori Anita Nusberga, </w:t>
      </w:r>
      <w:r w:rsidR="005C4A11">
        <w:rPr>
          <w:rFonts w:eastAsia="Calibri" w:cs="Times New Roman"/>
          <w:szCs w:val="24"/>
        </w:rPr>
        <w:t xml:space="preserve">Pēteris </w:t>
      </w:r>
      <w:proofErr w:type="spellStart"/>
      <w:r w:rsidR="005C4A11">
        <w:rPr>
          <w:rFonts w:eastAsia="Calibri" w:cs="Times New Roman"/>
          <w:szCs w:val="24"/>
        </w:rPr>
        <w:t>Dzalbe</w:t>
      </w:r>
      <w:proofErr w:type="spellEnd"/>
      <w:r w:rsidR="005C4A11">
        <w:rPr>
          <w:rFonts w:eastAsia="Calibri" w:cs="Times New Roman"/>
          <w:szCs w:val="24"/>
        </w:rPr>
        <w:t xml:space="preserve">, Artūrs Freibergs </w:t>
      </w:r>
    </w:p>
    <w:p w14:paraId="5E90065E" w14:textId="77777777" w:rsidR="003C247B" w:rsidRPr="0056343C" w:rsidRDefault="003C247B" w:rsidP="0056343C">
      <w:pPr>
        <w:tabs>
          <w:tab w:val="left" w:pos="-3120"/>
        </w:tabs>
        <w:suppressAutoHyphens/>
        <w:autoSpaceDN w:val="0"/>
        <w:spacing w:after="0" w:line="276" w:lineRule="auto"/>
        <w:ind w:firstLine="709"/>
        <w:jc w:val="both"/>
        <w:textAlignment w:val="baseline"/>
        <w:rPr>
          <w:rFonts w:eastAsia="Calibri" w:cs="Times New Roman"/>
          <w:szCs w:val="24"/>
        </w:rPr>
      </w:pPr>
    </w:p>
    <w:p w14:paraId="56513F2E" w14:textId="45FB92EF" w:rsidR="003C247B" w:rsidRPr="0056343C" w:rsidRDefault="00F77A7A" w:rsidP="0056343C">
      <w:pPr>
        <w:tabs>
          <w:tab w:val="left" w:pos="-3120"/>
        </w:tabs>
        <w:suppressAutoHyphens/>
        <w:autoSpaceDN w:val="0"/>
        <w:spacing w:after="0" w:line="276" w:lineRule="auto"/>
        <w:jc w:val="both"/>
        <w:textAlignment w:val="baseline"/>
        <w:rPr>
          <w:rFonts w:eastAsia="Calibri" w:cs="Times New Roman"/>
          <w:szCs w:val="24"/>
        </w:rPr>
      </w:pPr>
      <w:r w:rsidRPr="0056343C">
        <w:rPr>
          <w:rFonts w:eastAsia="Calibri" w:cs="Times New Roman"/>
          <w:szCs w:val="24"/>
        </w:rPr>
        <w:t xml:space="preserve"> </w:t>
      </w:r>
      <w:r w:rsidRPr="0056343C">
        <w:rPr>
          <w:rFonts w:eastAsia="Calibri" w:cs="Times New Roman"/>
          <w:szCs w:val="24"/>
        </w:rPr>
        <w:tab/>
      </w:r>
      <w:r w:rsidR="003C247B" w:rsidRPr="0056343C">
        <w:rPr>
          <w:rFonts w:eastAsia="Calibri" w:cs="Times New Roman"/>
          <w:szCs w:val="24"/>
        </w:rPr>
        <w:t>izskatīja rakstveida procesā kr</w:t>
      </w:r>
      <w:r w:rsidR="00CE0C47" w:rsidRPr="0056343C">
        <w:rPr>
          <w:rFonts w:eastAsia="Calibri" w:cs="Times New Roman"/>
          <w:szCs w:val="24"/>
        </w:rPr>
        <w:t>imināllietu sakarā ar apsūdzētā</w:t>
      </w:r>
      <w:r w:rsidR="003C247B" w:rsidRPr="0056343C">
        <w:rPr>
          <w:rFonts w:eastAsia="Calibri" w:cs="Times New Roman"/>
          <w:szCs w:val="24"/>
        </w:rPr>
        <w:t xml:space="preserve"> </w:t>
      </w:r>
      <w:r w:rsidR="00C9669D">
        <w:rPr>
          <w:rFonts w:eastAsia="Calibri" w:cs="Times New Roman"/>
          <w:szCs w:val="24"/>
        </w:rPr>
        <w:t>[pers. A]</w:t>
      </w:r>
      <w:r w:rsidR="003C247B" w:rsidRPr="0056343C">
        <w:rPr>
          <w:rFonts w:eastAsia="Calibri" w:cs="Times New Roman"/>
          <w:szCs w:val="24"/>
        </w:rPr>
        <w:t xml:space="preserve"> kasācijas sūdzību par </w:t>
      </w:r>
      <w:r w:rsidR="00CE0C47" w:rsidRPr="0056343C">
        <w:rPr>
          <w:rFonts w:eastAsia="Calibri" w:cs="Times New Roman"/>
          <w:szCs w:val="24"/>
        </w:rPr>
        <w:t>Latgales</w:t>
      </w:r>
      <w:r w:rsidR="003C247B" w:rsidRPr="0056343C">
        <w:rPr>
          <w:rFonts w:eastAsia="Calibri" w:cs="Times New Roman"/>
          <w:szCs w:val="24"/>
        </w:rPr>
        <w:t xml:space="preserve"> apgabaltiesas </w:t>
      </w:r>
      <w:proofErr w:type="gramStart"/>
      <w:r w:rsidR="003C247B" w:rsidRPr="0056343C">
        <w:rPr>
          <w:rFonts w:eastAsia="Calibri" w:cs="Times New Roman"/>
          <w:szCs w:val="24"/>
        </w:rPr>
        <w:t>2018.gada</w:t>
      </w:r>
      <w:proofErr w:type="gramEnd"/>
      <w:r w:rsidR="003C247B" w:rsidRPr="0056343C">
        <w:rPr>
          <w:rFonts w:eastAsia="Calibri" w:cs="Times New Roman"/>
          <w:szCs w:val="24"/>
        </w:rPr>
        <w:t xml:space="preserve"> </w:t>
      </w:r>
      <w:r w:rsidR="00CE0C47" w:rsidRPr="0056343C">
        <w:rPr>
          <w:rFonts w:eastAsia="Calibri" w:cs="Times New Roman"/>
          <w:szCs w:val="24"/>
        </w:rPr>
        <w:t>4.oktobra</w:t>
      </w:r>
      <w:r w:rsidR="003C247B" w:rsidRPr="0056343C">
        <w:rPr>
          <w:rFonts w:eastAsia="Calibri" w:cs="Times New Roman"/>
          <w:szCs w:val="24"/>
        </w:rPr>
        <w:t xml:space="preserve"> </w:t>
      </w:r>
      <w:r w:rsidR="00592DB7" w:rsidRPr="0056343C">
        <w:rPr>
          <w:rFonts w:eastAsia="Calibri" w:cs="Times New Roman"/>
          <w:szCs w:val="24"/>
        </w:rPr>
        <w:t>lēmumu</w:t>
      </w:r>
      <w:r w:rsidR="003C247B" w:rsidRPr="0056343C">
        <w:rPr>
          <w:rFonts w:eastAsia="Calibri" w:cs="Times New Roman"/>
          <w:szCs w:val="24"/>
        </w:rPr>
        <w:t>.</w:t>
      </w:r>
    </w:p>
    <w:p w14:paraId="05F1AB4B" w14:textId="77777777" w:rsidR="003C247B" w:rsidRPr="0056343C" w:rsidRDefault="003C247B" w:rsidP="0056343C">
      <w:pPr>
        <w:suppressAutoHyphens/>
        <w:autoSpaceDN w:val="0"/>
        <w:spacing w:after="0" w:line="276" w:lineRule="auto"/>
        <w:contextualSpacing/>
        <w:jc w:val="both"/>
        <w:textAlignment w:val="baseline"/>
        <w:rPr>
          <w:rFonts w:eastAsia="Calibri" w:cs="Times New Roman"/>
          <w:b/>
          <w:szCs w:val="24"/>
        </w:rPr>
      </w:pPr>
    </w:p>
    <w:p w14:paraId="23451F16" w14:textId="77777777" w:rsidR="003C247B" w:rsidRPr="0056343C" w:rsidRDefault="003C247B" w:rsidP="0056343C">
      <w:pPr>
        <w:suppressAutoHyphens/>
        <w:autoSpaceDN w:val="0"/>
        <w:spacing w:after="0" w:line="276" w:lineRule="auto"/>
        <w:contextualSpacing/>
        <w:jc w:val="center"/>
        <w:textAlignment w:val="baseline"/>
        <w:rPr>
          <w:rFonts w:eastAsia="Calibri" w:cs="Times New Roman"/>
          <w:b/>
          <w:szCs w:val="24"/>
        </w:rPr>
      </w:pPr>
      <w:r w:rsidRPr="0056343C">
        <w:rPr>
          <w:rFonts w:eastAsia="Calibri" w:cs="Times New Roman"/>
          <w:b/>
          <w:szCs w:val="24"/>
        </w:rPr>
        <w:t>Aprakstošā daļa</w:t>
      </w:r>
    </w:p>
    <w:p w14:paraId="2DC6435E" w14:textId="77777777" w:rsidR="003C247B" w:rsidRPr="0056343C" w:rsidRDefault="003C247B" w:rsidP="0056343C">
      <w:pPr>
        <w:suppressAutoHyphens/>
        <w:autoSpaceDN w:val="0"/>
        <w:spacing w:after="0" w:line="276" w:lineRule="auto"/>
        <w:contextualSpacing/>
        <w:jc w:val="center"/>
        <w:textAlignment w:val="baseline"/>
        <w:rPr>
          <w:rFonts w:eastAsia="Calibri" w:cs="Times New Roman"/>
          <w:b/>
          <w:szCs w:val="24"/>
        </w:rPr>
      </w:pPr>
    </w:p>
    <w:p w14:paraId="2A1345B7" w14:textId="77777777" w:rsidR="00CE0C47" w:rsidRPr="0056343C" w:rsidRDefault="003C247B" w:rsidP="0056343C">
      <w:pPr>
        <w:shd w:val="clear" w:color="auto" w:fill="FFFFFF"/>
        <w:suppressAutoHyphens/>
        <w:autoSpaceDN w:val="0"/>
        <w:spacing w:after="0" w:line="276" w:lineRule="auto"/>
        <w:jc w:val="both"/>
        <w:textAlignment w:val="baseline"/>
        <w:rPr>
          <w:rFonts w:eastAsia="Calibri" w:cs="Times New Roman"/>
          <w:szCs w:val="24"/>
        </w:rPr>
      </w:pPr>
      <w:r w:rsidRPr="0056343C">
        <w:rPr>
          <w:rFonts w:eastAsia="Calibri" w:cs="Times New Roman"/>
          <w:szCs w:val="24"/>
        </w:rPr>
        <w:t xml:space="preserve"> </w:t>
      </w:r>
      <w:r w:rsidRPr="0056343C">
        <w:rPr>
          <w:rFonts w:eastAsia="Calibri" w:cs="Times New Roman"/>
          <w:szCs w:val="24"/>
        </w:rPr>
        <w:tab/>
        <w:t xml:space="preserve">[1] </w:t>
      </w:r>
      <w:r w:rsidR="00CE0C47" w:rsidRPr="0056343C">
        <w:rPr>
          <w:rFonts w:eastAsia="Calibri" w:cs="Times New Roman"/>
          <w:szCs w:val="24"/>
        </w:rPr>
        <w:t xml:space="preserve">Ar Daugavpils tiesas </w:t>
      </w:r>
      <w:proofErr w:type="gramStart"/>
      <w:r w:rsidR="00CE0C47" w:rsidRPr="0056343C">
        <w:rPr>
          <w:rFonts w:eastAsia="Calibri" w:cs="Times New Roman"/>
          <w:szCs w:val="24"/>
        </w:rPr>
        <w:t>2017.gada</w:t>
      </w:r>
      <w:proofErr w:type="gramEnd"/>
      <w:r w:rsidR="00CE0C47" w:rsidRPr="0056343C">
        <w:rPr>
          <w:rFonts w:eastAsia="Calibri" w:cs="Times New Roman"/>
          <w:szCs w:val="24"/>
        </w:rPr>
        <w:t xml:space="preserve"> 6.februāra spriedumu </w:t>
      </w:r>
    </w:p>
    <w:p w14:paraId="40664BC8" w14:textId="442E2503" w:rsidR="00CE0C47" w:rsidRPr="0056343C" w:rsidRDefault="00CE0C47" w:rsidP="0056343C">
      <w:pPr>
        <w:shd w:val="clear" w:color="auto" w:fill="FFFFFF"/>
        <w:suppressAutoHyphens/>
        <w:autoSpaceDN w:val="0"/>
        <w:spacing w:after="0" w:line="276" w:lineRule="auto"/>
        <w:jc w:val="both"/>
        <w:textAlignment w:val="baseline"/>
        <w:rPr>
          <w:rFonts w:eastAsia="Calibri" w:cs="Times New Roman"/>
          <w:szCs w:val="24"/>
        </w:rPr>
      </w:pPr>
      <w:r w:rsidRPr="0056343C">
        <w:rPr>
          <w:rFonts w:eastAsia="Calibri" w:cs="Times New Roman"/>
          <w:szCs w:val="24"/>
        </w:rPr>
        <w:t xml:space="preserve"> </w:t>
      </w:r>
      <w:r w:rsidRPr="0056343C">
        <w:rPr>
          <w:rFonts w:eastAsia="Calibri" w:cs="Times New Roman"/>
          <w:szCs w:val="24"/>
        </w:rPr>
        <w:tab/>
      </w:r>
      <w:r w:rsidR="00C9669D">
        <w:rPr>
          <w:rFonts w:eastAsia="Calibri" w:cs="Times New Roman"/>
          <w:szCs w:val="24"/>
        </w:rPr>
        <w:t>[pers. A]</w:t>
      </w:r>
      <w:r w:rsidRPr="0056343C">
        <w:rPr>
          <w:rFonts w:eastAsia="Calibri" w:cs="Times New Roman"/>
          <w:szCs w:val="24"/>
        </w:rPr>
        <w:t xml:space="preserve">, personas kods </w:t>
      </w:r>
      <w:r w:rsidR="00C9669D">
        <w:rPr>
          <w:rFonts w:eastAsia="Calibri" w:cs="Times New Roman"/>
          <w:szCs w:val="24"/>
        </w:rPr>
        <w:t>[..]</w:t>
      </w:r>
      <w:r w:rsidRPr="0056343C">
        <w:rPr>
          <w:rFonts w:eastAsia="Calibri" w:cs="Times New Roman"/>
          <w:szCs w:val="24"/>
        </w:rPr>
        <w:t>,</w:t>
      </w:r>
    </w:p>
    <w:p w14:paraId="2F760A61" w14:textId="77777777" w:rsidR="00CE0C47" w:rsidRPr="0056343C" w:rsidRDefault="00CE0C47" w:rsidP="0056343C">
      <w:pPr>
        <w:shd w:val="clear" w:color="auto" w:fill="FFFFFF"/>
        <w:suppressAutoHyphens/>
        <w:autoSpaceDN w:val="0"/>
        <w:spacing w:after="0" w:line="276" w:lineRule="auto"/>
        <w:jc w:val="both"/>
        <w:textAlignment w:val="baseline"/>
        <w:rPr>
          <w:rFonts w:eastAsia="Calibri" w:cs="Times New Roman"/>
          <w:szCs w:val="24"/>
        </w:rPr>
      </w:pPr>
      <w:r w:rsidRPr="0056343C">
        <w:rPr>
          <w:rFonts w:eastAsia="Calibri" w:cs="Times New Roman"/>
          <w:szCs w:val="24"/>
        </w:rPr>
        <w:t xml:space="preserve"> </w:t>
      </w:r>
      <w:r w:rsidRPr="0056343C">
        <w:rPr>
          <w:rFonts w:eastAsia="Calibri" w:cs="Times New Roman"/>
          <w:szCs w:val="24"/>
        </w:rPr>
        <w:tab/>
        <w:t xml:space="preserve">atzīts par vainīgu Krimināllikuma </w:t>
      </w:r>
      <w:proofErr w:type="gramStart"/>
      <w:r w:rsidRPr="0056343C">
        <w:rPr>
          <w:rFonts w:eastAsia="Calibri" w:cs="Times New Roman"/>
          <w:szCs w:val="24"/>
        </w:rPr>
        <w:t>219.panta</w:t>
      </w:r>
      <w:proofErr w:type="gramEnd"/>
      <w:r w:rsidRPr="0056343C">
        <w:rPr>
          <w:rFonts w:eastAsia="Calibri" w:cs="Times New Roman"/>
          <w:szCs w:val="24"/>
        </w:rPr>
        <w:t xml:space="preserve"> otrajā daļā paredzētajā noziedzīgajā nodarījumā un sodīts ar piespiedu darbu uz 200 stundām.</w:t>
      </w:r>
    </w:p>
    <w:p w14:paraId="5E78F318" w14:textId="77777777" w:rsidR="00CE0C47" w:rsidRPr="0056343C" w:rsidRDefault="00CE0C47" w:rsidP="0056343C">
      <w:pPr>
        <w:shd w:val="clear" w:color="auto" w:fill="FFFFFF"/>
        <w:suppressAutoHyphens/>
        <w:autoSpaceDN w:val="0"/>
        <w:spacing w:after="0" w:line="276" w:lineRule="auto"/>
        <w:contextualSpacing/>
        <w:jc w:val="both"/>
        <w:textAlignment w:val="baseline"/>
        <w:rPr>
          <w:rFonts w:eastAsia="Calibri" w:cs="Times New Roman"/>
          <w:szCs w:val="24"/>
        </w:rPr>
      </w:pPr>
    </w:p>
    <w:p w14:paraId="6112C0F9" w14:textId="4BC7FAD6" w:rsidR="00CE0C47" w:rsidRPr="0056343C" w:rsidRDefault="00F77A7A" w:rsidP="0056343C">
      <w:pPr>
        <w:shd w:val="clear" w:color="auto" w:fill="FFFFFF"/>
        <w:suppressAutoHyphens/>
        <w:autoSpaceDN w:val="0"/>
        <w:spacing w:after="0" w:line="276" w:lineRule="auto"/>
        <w:jc w:val="both"/>
        <w:textAlignment w:val="baseline"/>
        <w:rPr>
          <w:rFonts w:eastAsia="Calibri" w:cs="Times New Roman"/>
          <w:szCs w:val="24"/>
        </w:rPr>
      </w:pPr>
      <w:r w:rsidRPr="0056343C">
        <w:rPr>
          <w:rFonts w:eastAsia="Calibri" w:cs="Times New Roman"/>
          <w:szCs w:val="24"/>
        </w:rPr>
        <w:t xml:space="preserve"> </w:t>
      </w:r>
      <w:r w:rsidRPr="0056343C">
        <w:rPr>
          <w:rFonts w:eastAsia="Calibri" w:cs="Times New Roman"/>
          <w:szCs w:val="24"/>
        </w:rPr>
        <w:tab/>
      </w:r>
      <w:r w:rsidR="003C247B" w:rsidRPr="0056343C">
        <w:rPr>
          <w:rFonts w:eastAsia="Calibri" w:cs="Times New Roman"/>
          <w:szCs w:val="24"/>
        </w:rPr>
        <w:t xml:space="preserve">[2] </w:t>
      </w:r>
      <w:r w:rsidR="00CE0C47" w:rsidRPr="0056343C">
        <w:rPr>
          <w:rFonts w:eastAsia="Calibri" w:cs="Times New Roman"/>
          <w:szCs w:val="24"/>
        </w:rPr>
        <w:t xml:space="preserve">Ar Daugavpils tiesas </w:t>
      </w:r>
      <w:proofErr w:type="gramStart"/>
      <w:r w:rsidR="00CE0C47" w:rsidRPr="0056343C">
        <w:rPr>
          <w:rFonts w:eastAsia="Calibri" w:cs="Times New Roman"/>
          <w:szCs w:val="24"/>
        </w:rPr>
        <w:t>2017.gada</w:t>
      </w:r>
      <w:proofErr w:type="gramEnd"/>
      <w:r w:rsidR="00CE0C47" w:rsidRPr="0056343C">
        <w:rPr>
          <w:rFonts w:eastAsia="Calibri" w:cs="Times New Roman"/>
          <w:szCs w:val="24"/>
        </w:rPr>
        <w:t xml:space="preserve"> 6.februāra spriedumu </w:t>
      </w:r>
      <w:r w:rsidR="00C9669D">
        <w:rPr>
          <w:rFonts w:eastAsia="Calibri" w:cs="Times New Roman"/>
          <w:szCs w:val="24"/>
        </w:rPr>
        <w:t>[pers. A]</w:t>
      </w:r>
      <w:r w:rsidR="00CE0C47" w:rsidRPr="0056343C">
        <w:rPr>
          <w:rFonts w:eastAsia="Calibri" w:cs="Times New Roman"/>
          <w:szCs w:val="24"/>
        </w:rPr>
        <w:t xml:space="preserve"> atzīts par vainīgu</w:t>
      </w:r>
      <w:r w:rsidR="00F50787" w:rsidRPr="0056343C">
        <w:rPr>
          <w:rFonts w:eastAsia="Calibri" w:cs="Times New Roman"/>
          <w:szCs w:val="24"/>
        </w:rPr>
        <w:t xml:space="preserve"> un sodīts pēc Krimināllikuma 219</w:t>
      </w:r>
      <w:r w:rsidR="00CE0C47" w:rsidRPr="0056343C">
        <w:rPr>
          <w:rFonts w:eastAsia="Calibri" w:cs="Times New Roman"/>
          <w:szCs w:val="24"/>
        </w:rPr>
        <w:t xml:space="preserve">.panta </w:t>
      </w:r>
      <w:r w:rsidR="00F50787" w:rsidRPr="0056343C">
        <w:rPr>
          <w:rFonts w:eastAsia="Calibri" w:cs="Times New Roman"/>
          <w:szCs w:val="24"/>
        </w:rPr>
        <w:t>otrās</w:t>
      </w:r>
      <w:r w:rsidR="00CE0C47" w:rsidRPr="0056343C">
        <w:rPr>
          <w:rFonts w:eastAsia="Calibri" w:cs="Times New Roman"/>
          <w:szCs w:val="24"/>
        </w:rPr>
        <w:t xml:space="preserve"> daļas par to, ka viņš </w:t>
      </w:r>
      <w:r w:rsidR="00F50787" w:rsidRPr="0056343C">
        <w:rPr>
          <w:rFonts w:eastAsia="Calibri" w:cs="Times New Roman"/>
          <w:szCs w:val="24"/>
        </w:rPr>
        <w:t xml:space="preserve">norādīja nepatiesas ziņas likumā noteiktajā mantiska rakstura deklarācijā, </w:t>
      </w:r>
      <w:r w:rsidR="000A1AF9">
        <w:rPr>
          <w:rFonts w:eastAsia="Calibri" w:cs="Times New Roman"/>
          <w:szCs w:val="24"/>
        </w:rPr>
        <w:t>proti,</w:t>
      </w:r>
      <w:r w:rsidR="00F50787" w:rsidRPr="0056343C">
        <w:rPr>
          <w:rFonts w:eastAsia="Calibri" w:cs="Times New Roman"/>
          <w:szCs w:val="24"/>
        </w:rPr>
        <w:t xml:space="preserve"> nepatiesas ziņas par ienākumi</w:t>
      </w:r>
      <w:r w:rsidR="00280350">
        <w:rPr>
          <w:rFonts w:eastAsia="Calibri" w:cs="Times New Roman"/>
          <w:szCs w:val="24"/>
        </w:rPr>
        <w:t xml:space="preserve">em lielā apmērā. </w:t>
      </w:r>
    </w:p>
    <w:p w14:paraId="278207D2" w14:textId="77777777" w:rsidR="00CE0C47" w:rsidRPr="0056343C" w:rsidRDefault="00CE0C47" w:rsidP="0056343C">
      <w:pPr>
        <w:shd w:val="clear" w:color="auto" w:fill="FFFFFF"/>
        <w:suppressAutoHyphens/>
        <w:autoSpaceDN w:val="0"/>
        <w:spacing w:after="0" w:line="276" w:lineRule="auto"/>
        <w:contextualSpacing/>
        <w:jc w:val="both"/>
        <w:textAlignment w:val="baseline"/>
        <w:rPr>
          <w:rFonts w:eastAsia="Calibri" w:cs="Times New Roman"/>
          <w:szCs w:val="24"/>
        </w:rPr>
      </w:pPr>
    </w:p>
    <w:p w14:paraId="4272C454" w14:textId="2B0E8A96" w:rsidR="003C247B" w:rsidRPr="0056343C" w:rsidRDefault="00F77A7A" w:rsidP="0056343C">
      <w:pPr>
        <w:shd w:val="clear" w:color="auto" w:fill="FFFFFF"/>
        <w:suppressAutoHyphens/>
        <w:autoSpaceDN w:val="0"/>
        <w:spacing w:after="0" w:line="276" w:lineRule="auto"/>
        <w:contextualSpacing/>
        <w:jc w:val="both"/>
        <w:textAlignment w:val="baseline"/>
        <w:rPr>
          <w:rFonts w:eastAsia="Calibri" w:cs="Times New Roman"/>
          <w:szCs w:val="24"/>
        </w:rPr>
      </w:pPr>
      <w:r w:rsidRPr="0056343C">
        <w:rPr>
          <w:rFonts w:eastAsia="Calibri" w:cs="Times New Roman"/>
          <w:szCs w:val="24"/>
        </w:rPr>
        <w:t xml:space="preserve"> </w:t>
      </w:r>
      <w:r w:rsidRPr="0056343C">
        <w:rPr>
          <w:rFonts w:eastAsia="Calibri" w:cs="Times New Roman"/>
          <w:szCs w:val="24"/>
        </w:rPr>
        <w:tab/>
      </w:r>
      <w:r w:rsidR="003C247B" w:rsidRPr="0056343C">
        <w:rPr>
          <w:rFonts w:eastAsia="Calibri" w:cs="Times New Roman"/>
          <w:szCs w:val="24"/>
        </w:rPr>
        <w:t xml:space="preserve">[3] Ar </w:t>
      </w:r>
      <w:r w:rsidR="00F50787" w:rsidRPr="0056343C">
        <w:rPr>
          <w:rFonts w:eastAsia="Calibri" w:cs="Times New Roman"/>
          <w:szCs w:val="24"/>
        </w:rPr>
        <w:t xml:space="preserve">Latgales apgabaltiesas </w:t>
      </w:r>
      <w:proofErr w:type="gramStart"/>
      <w:r w:rsidR="00F50787" w:rsidRPr="0056343C">
        <w:rPr>
          <w:rFonts w:eastAsia="Calibri" w:cs="Times New Roman"/>
          <w:szCs w:val="24"/>
        </w:rPr>
        <w:t>2018.gada</w:t>
      </w:r>
      <w:proofErr w:type="gramEnd"/>
      <w:r w:rsidR="00F50787" w:rsidRPr="0056343C">
        <w:rPr>
          <w:rFonts w:eastAsia="Calibri" w:cs="Times New Roman"/>
          <w:szCs w:val="24"/>
        </w:rPr>
        <w:t xml:space="preserve"> 4.oktobra </w:t>
      </w:r>
      <w:r w:rsidR="00592DB7" w:rsidRPr="0056343C">
        <w:rPr>
          <w:rFonts w:eastAsia="Calibri" w:cs="Times New Roman"/>
          <w:szCs w:val="24"/>
        </w:rPr>
        <w:t>lēmumu</w:t>
      </w:r>
      <w:r w:rsidR="003C247B" w:rsidRPr="0056343C">
        <w:rPr>
          <w:rFonts w:eastAsia="Calibri" w:cs="Times New Roman"/>
          <w:szCs w:val="24"/>
        </w:rPr>
        <w:t xml:space="preserve">, iztiesājot lietu apelācijas kārtībā sakarā ar </w:t>
      </w:r>
      <w:r w:rsidR="00280350">
        <w:rPr>
          <w:rFonts w:eastAsia="Calibri" w:cs="Times New Roman"/>
          <w:szCs w:val="24"/>
        </w:rPr>
        <w:t xml:space="preserve">apsūdzētā </w:t>
      </w:r>
      <w:r w:rsidR="00C9669D">
        <w:rPr>
          <w:rFonts w:eastAsia="Calibri" w:cs="Times New Roman"/>
          <w:szCs w:val="24"/>
        </w:rPr>
        <w:t>[pers. A]</w:t>
      </w:r>
      <w:r w:rsidR="00F50787" w:rsidRPr="0056343C">
        <w:rPr>
          <w:rFonts w:eastAsia="Calibri" w:cs="Times New Roman"/>
          <w:szCs w:val="24"/>
        </w:rPr>
        <w:t xml:space="preserve"> </w:t>
      </w:r>
      <w:r w:rsidR="003C247B" w:rsidRPr="0056343C">
        <w:rPr>
          <w:rFonts w:cs="Times New Roman"/>
          <w:szCs w:val="24"/>
        </w:rPr>
        <w:t xml:space="preserve">apelācijas sūdzību, </w:t>
      </w:r>
      <w:r w:rsidR="00F50787" w:rsidRPr="0056343C">
        <w:rPr>
          <w:rFonts w:cs="Times New Roman"/>
          <w:szCs w:val="24"/>
        </w:rPr>
        <w:t>Daugavpils tiesas 2017.gada 6.februāra spriedums atstāts negrozīts</w:t>
      </w:r>
      <w:r w:rsidR="00592DB7" w:rsidRPr="0056343C">
        <w:rPr>
          <w:rFonts w:cs="Times New Roman"/>
          <w:szCs w:val="24"/>
        </w:rPr>
        <w:t>.</w:t>
      </w:r>
    </w:p>
    <w:p w14:paraId="47E29778" w14:textId="77777777" w:rsidR="003C247B" w:rsidRPr="0056343C" w:rsidRDefault="003C247B" w:rsidP="0056343C">
      <w:pPr>
        <w:shd w:val="clear" w:color="auto" w:fill="FFFFFF"/>
        <w:suppressAutoHyphens/>
        <w:autoSpaceDN w:val="0"/>
        <w:spacing w:after="0" w:line="276" w:lineRule="auto"/>
        <w:contextualSpacing/>
        <w:jc w:val="both"/>
        <w:textAlignment w:val="baseline"/>
        <w:rPr>
          <w:rFonts w:eastAsia="Calibri" w:cs="Times New Roman"/>
          <w:szCs w:val="24"/>
        </w:rPr>
      </w:pPr>
    </w:p>
    <w:p w14:paraId="5AD99EF9" w14:textId="0AE66A65" w:rsidR="003C247B" w:rsidRPr="0056343C" w:rsidRDefault="00F77A7A" w:rsidP="0056343C">
      <w:pPr>
        <w:shd w:val="clear" w:color="auto" w:fill="FFFFFF"/>
        <w:suppressAutoHyphens/>
        <w:autoSpaceDN w:val="0"/>
        <w:spacing w:after="0" w:line="276" w:lineRule="auto"/>
        <w:contextualSpacing/>
        <w:jc w:val="both"/>
        <w:textAlignment w:val="baseline"/>
        <w:rPr>
          <w:rFonts w:cs="Times New Roman"/>
          <w:szCs w:val="24"/>
        </w:rPr>
      </w:pPr>
      <w:r w:rsidRPr="0056343C">
        <w:rPr>
          <w:rFonts w:cs="Times New Roman"/>
          <w:szCs w:val="24"/>
        </w:rPr>
        <w:t xml:space="preserve"> </w:t>
      </w:r>
      <w:r w:rsidRPr="0056343C">
        <w:rPr>
          <w:rFonts w:cs="Times New Roman"/>
          <w:szCs w:val="24"/>
        </w:rPr>
        <w:tab/>
      </w:r>
      <w:r w:rsidR="00592DB7" w:rsidRPr="0056343C">
        <w:rPr>
          <w:rFonts w:cs="Times New Roman"/>
          <w:szCs w:val="24"/>
        </w:rPr>
        <w:t>[4</w:t>
      </w:r>
      <w:r w:rsidR="003C247B" w:rsidRPr="0056343C">
        <w:rPr>
          <w:rFonts w:cs="Times New Roman"/>
          <w:szCs w:val="24"/>
        </w:rPr>
        <w:t xml:space="preserve">] Par </w:t>
      </w:r>
      <w:r w:rsidR="00592DB7" w:rsidRPr="0056343C">
        <w:rPr>
          <w:rFonts w:eastAsia="Calibri" w:cs="Times New Roman"/>
          <w:szCs w:val="24"/>
        </w:rPr>
        <w:t xml:space="preserve">Latgales apgabaltiesas </w:t>
      </w:r>
      <w:proofErr w:type="gramStart"/>
      <w:r w:rsidR="00592DB7" w:rsidRPr="0056343C">
        <w:rPr>
          <w:rFonts w:eastAsia="Calibri" w:cs="Times New Roman"/>
          <w:szCs w:val="24"/>
        </w:rPr>
        <w:t>2018.gada</w:t>
      </w:r>
      <w:proofErr w:type="gramEnd"/>
      <w:r w:rsidR="00592DB7" w:rsidRPr="0056343C">
        <w:rPr>
          <w:rFonts w:eastAsia="Calibri" w:cs="Times New Roman"/>
          <w:szCs w:val="24"/>
        </w:rPr>
        <w:t xml:space="preserve"> 4.oktobra </w:t>
      </w:r>
      <w:r w:rsidR="00283D36" w:rsidRPr="0056343C">
        <w:rPr>
          <w:rFonts w:cs="Times New Roman"/>
          <w:szCs w:val="24"/>
        </w:rPr>
        <w:t xml:space="preserve">lēmumu apsūdzētais </w:t>
      </w:r>
      <w:r w:rsidR="00C9669D">
        <w:rPr>
          <w:rFonts w:cs="Times New Roman"/>
          <w:szCs w:val="24"/>
        </w:rPr>
        <w:t>[pers. A]</w:t>
      </w:r>
      <w:r w:rsidR="00283D36" w:rsidRPr="0056343C">
        <w:rPr>
          <w:rFonts w:cs="Times New Roman"/>
          <w:szCs w:val="24"/>
        </w:rPr>
        <w:t xml:space="preserve"> iesniedzis kasācijas sūdzību, kurā lūdz atcelt </w:t>
      </w:r>
      <w:r w:rsidR="00283D36" w:rsidRPr="0056343C">
        <w:rPr>
          <w:rFonts w:eastAsia="Calibri" w:cs="Times New Roman"/>
          <w:szCs w:val="24"/>
        </w:rPr>
        <w:t>Latgales apgabaltiesas 2018.gada 4.oktobra lēmumu</w:t>
      </w:r>
      <w:r w:rsidR="00283D36" w:rsidRPr="0056343C">
        <w:rPr>
          <w:rFonts w:cs="Times New Roman"/>
          <w:szCs w:val="24"/>
        </w:rPr>
        <w:t xml:space="preserve"> un</w:t>
      </w:r>
      <w:r w:rsidR="00592DB7" w:rsidRPr="0056343C">
        <w:rPr>
          <w:rFonts w:cs="Times New Roman"/>
          <w:szCs w:val="24"/>
        </w:rPr>
        <w:t xml:space="preserve"> nosūtīt lietu jaunai izskatīšanai.</w:t>
      </w:r>
    </w:p>
    <w:p w14:paraId="69B4A220" w14:textId="63CD6D08" w:rsidR="003C247B" w:rsidRPr="0056343C" w:rsidRDefault="00F77A7A" w:rsidP="0056343C">
      <w:pPr>
        <w:suppressAutoHyphens/>
        <w:autoSpaceDN w:val="0"/>
        <w:spacing w:after="0" w:line="276" w:lineRule="auto"/>
        <w:ind w:right="-6"/>
        <w:contextualSpacing/>
        <w:jc w:val="both"/>
        <w:textAlignment w:val="baseline"/>
        <w:rPr>
          <w:rFonts w:cs="Times New Roman"/>
          <w:szCs w:val="24"/>
        </w:rPr>
      </w:pPr>
      <w:r w:rsidRPr="0056343C">
        <w:rPr>
          <w:rFonts w:cs="Times New Roman"/>
          <w:szCs w:val="24"/>
        </w:rPr>
        <w:t xml:space="preserve"> </w:t>
      </w:r>
      <w:r w:rsidRPr="0056343C">
        <w:rPr>
          <w:rFonts w:cs="Times New Roman"/>
          <w:szCs w:val="24"/>
        </w:rPr>
        <w:tab/>
      </w:r>
      <w:r w:rsidR="00442FE9" w:rsidRPr="0056343C">
        <w:rPr>
          <w:rFonts w:cs="Times New Roman"/>
          <w:szCs w:val="24"/>
        </w:rPr>
        <w:t>Savu lūgumu apsūdzētai</w:t>
      </w:r>
      <w:r w:rsidR="003C247B" w:rsidRPr="0056343C">
        <w:rPr>
          <w:rFonts w:cs="Times New Roman"/>
          <w:szCs w:val="24"/>
        </w:rPr>
        <w:t xml:space="preserve">s </w:t>
      </w:r>
      <w:r w:rsidR="00C9669D">
        <w:rPr>
          <w:rFonts w:cs="Times New Roman"/>
          <w:szCs w:val="24"/>
        </w:rPr>
        <w:t>[pers. A]</w:t>
      </w:r>
      <w:r w:rsidR="00592DB7" w:rsidRPr="0056343C">
        <w:rPr>
          <w:rFonts w:cs="Times New Roman"/>
          <w:szCs w:val="24"/>
        </w:rPr>
        <w:t xml:space="preserve"> pamatojis</w:t>
      </w:r>
      <w:r w:rsidR="003C247B" w:rsidRPr="0056343C">
        <w:rPr>
          <w:rFonts w:cs="Times New Roman"/>
          <w:szCs w:val="24"/>
        </w:rPr>
        <w:t xml:space="preserve"> ar šādiem argumentiem.</w:t>
      </w:r>
    </w:p>
    <w:p w14:paraId="0B8E7CDC" w14:textId="6CAD2F76" w:rsidR="00A72652" w:rsidRPr="0056343C" w:rsidRDefault="00F77A7A" w:rsidP="00A72652">
      <w:pPr>
        <w:suppressAutoHyphens/>
        <w:autoSpaceDN w:val="0"/>
        <w:spacing w:after="0" w:line="276" w:lineRule="auto"/>
        <w:ind w:right="-6"/>
        <w:contextualSpacing/>
        <w:jc w:val="both"/>
        <w:textAlignment w:val="baseline"/>
        <w:rPr>
          <w:rFonts w:cs="Times New Roman"/>
          <w:szCs w:val="24"/>
        </w:rPr>
      </w:pPr>
      <w:r w:rsidRPr="0056343C">
        <w:rPr>
          <w:rFonts w:cs="Times New Roman"/>
          <w:szCs w:val="24"/>
        </w:rPr>
        <w:t xml:space="preserve"> </w:t>
      </w:r>
      <w:r w:rsidRPr="0056343C">
        <w:rPr>
          <w:rFonts w:cs="Times New Roman"/>
          <w:szCs w:val="24"/>
        </w:rPr>
        <w:tab/>
      </w:r>
      <w:r w:rsidR="00A72652" w:rsidRPr="0056343C">
        <w:rPr>
          <w:rFonts w:cs="Times New Roman"/>
          <w:szCs w:val="24"/>
        </w:rPr>
        <w:t xml:space="preserve">[4.1] Apelācijas instances tiesa pieļāvusi Kriminālprocesa likuma </w:t>
      </w:r>
      <w:proofErr w:type="gramStart"/>
      <w:r w:rsidR="00A72652" w:rsidRPr="0056343C">
        <w:rPr>
          <w:rFonts w:cs="Times New Roman"/>
          <w:szCs w:val="24"/>
        </w:rPr>
        <w:t>574.panta</w:t>
      </w:r>
      <w:proofErr w:type="gramEnd"/>
      <w:r w:rsidR="00A72652" w:rsidRPr="0056343C">
        <w:rPr>
          <w:rFonts w:cs="Times New Roman"/>
          <w:szCs w:val="24"/>
        </w:rPr>
        <w:t xml:space="preserve"> 2.punktā norādīto pārkāpumu, tas ir, kvalificējot noziedzīgo nodarījumu, nepareizi piemērojusi Krimināllikuma 219.panta otro daļu. Apsūdzētā ieskatā, viņa darbībās nav saskatāmas Krimināllikuma </w:t>
      </w:r>
      <w:proofErr w:type="gramStart"/>
      <w:r w:rsidR="00A72652" w:rsidRPr="0056343C">
        <w:rPr>
          <w:rFonts w:cs="Times New Roman"/>
          <w:szCs w:val="24"/>
        </w:rPr>
        <w:t>219.panta</w:t>
      </w:r>
      <w:proofErr w:type="gramEnd"/>
      <w:r w:rsidR="00A72652" w:rsidRPr="0056343C">
        <w:rPr>
          <w:rFonts w:cs="Times New Roman"/>
          <w:szCs w:val="24"/>
        </w:rPr>
        <w:t xml:space="preserve"> otrajā daļā paredzētā noziedzīgā nodarījuma </w:t>
      </w:r>
      <w:r w:rsidR="00BA62A2">
        <w:rPr>
          <w:rFonts w:cs="Times New Roman"/>
          <w:szCs w:val="24"/>
        </w:rPr>
        <w:t xml:space="preserve">sastāva </w:t>
      </w:r>
      <w:r w:rsidR="00A72652" w:rsidRPr="0056343C">
        <w:rPr>
          <w:rFonts w:cs="Times New Roman"/>
          <w:szCs w:val="24"/>
        </w:rPr>
        <w:t xml:space="preserve">pazīmes. </w:t>
      </w:r>
    </w:p>
    <w:p w14:paraId="7458C75B" w14:textId="4B254CF2" w:rsidR="00A72652" w:rsidRDefault="00A72652" w:rsidP="00A72652">
      <w:pPr>
        <w:suppressAutoHyphens/>
        <w:autoSpaceDN w:val="0"/>
        <w:spacing w:after="0" w:line="276" w:lineRule="auto"/>
        <w:ind w:right="-6"/>
        <w:contextualSpacing/>
        <w:jc w:val="both"/>
        <w:textAlignment w:val="baseline"/>
        <w:rPr>
          <w:rFonts w:cs="Times New Roman"/>
          <w:szCs w:val="24"/>
        </w:rPr>
      </w:pPr>
      <w:r w:rsidRPr="0056343C">
        <w:rPr>
          <w:rFonts w:cs="Times New Roman"/>
          <w:szCs w:val="24"/>
        </w:rPr>
        <w:tab/>
        <w:t>[4.1.1</w:t>
      </w:r>
      <w:r>
        <w:rPr>
          <w:rFonts w:cs="Times New Roman"/>
          <w:szCs w:val="24"/>
        </w:rPr>
        <w:t xml:space="preserve">] Nodokļu pārvalde </w:t>
      </w:r>
      <w:proofErr w:type="gramStart"/>
      <w:r>
        <w:rPr>
          <w:rFonts w:cs="Times New Roman"/>
          <w:szCs w:val="24"/>
        </w:rPr>
        <w:t>2014.gada</w:t>
      </w:r>
      <w:proofErr w:type="gramEnd"/>
      <w:r>
        <w:rPr>
          <w:rFonts w:cs="Times New Roman"/>
          <w:szCs w:val="24"/>
        </w:rPr>
        <w:t xml:space="preserve"> 15.decembra vēstulē Nr. 8.7-7/6172, sniedzot atbildi Finanšu policijas pārvaldei, </w:t>
      </w:r>
      <w:r w:rsidRPr="0056343C">
        <w:rPr>
          <w:rFonts w:cs="Times New Roman"/>
          <w:szCs w:val="24"/>
        </w:rPr>
        <w:t xml:space="preserve">norādījusi, ka apsūdzētā </w:t>
      </w:r>
      <w:r w:rsidR="00C9669D">
        <w:rPr>
          <w:rFonts w:cs="Times New Roman"/>
          <w:szCs w:val="24"/>
        </w:rPr>
        <w:t>[pers. A]</w:t>
      </w:r>
      <w:r w:rsidRPr="0056343C">
        <w:rPr>
          <w:rFonts w:cs="Times New Roman"/>
          <w:szCs w:val="24"/>
        </w:rPr>
        <w:t xml:space="preserve"> un viņa radu kontos veiktie naudas pārskaitījumi </w:t>
      </w:r>
      <w:r>
        <w:rPr>
          <w:rFonts w:cs="Times New Roman"/>
          <w:szCs w:val="24"/>
        </w:rPr>
        <w:t xml:space="preserve">totalizatoros </w:t>
      </w:r>
      <w:r w:rsidRPr="0056343C">
        <w:rPr>
          <w:rFonts w:cs="Times New Roman"/>
          <w:szCs w:val="24"/>
        </w:rPr>
        <w:t>ir uzskatāmi par darījumiem, nevis laimestiem</w:t>
      </w:r>
      <w:r>
        <w:rPr>
          <w:rFonts w:cs="Times New Roman"/>
          <w:szCs w:val="24"/>
        </w:rPr>
        <w:t>. K</w:t>
      </w:r>
      <w:r w:rsidRPr="0056343C">
        <w:rPr>
          <w:rFonts w:cs="Times New Roman"/>
          <w:szCs w:val="24"/>
        </w:rPr>
        <w:t>a</w:t>
      </w:r>
      <w:r>
        <w:rPr>
          <w:rFonts w:cs="Times New Roman"/>
          <w:szCs w:val="24"/>
        </w:rPr>
        <w:t>tra darījuma apmērs nepārsniedz 20 Ministru kabineta noteiktās minimālās mēnešalgas</w:t>
      </w:r>
      <w:r w:rsidR="007F4008">
        <w:rPr>
          <w:rFonts w:cs="Times New Roman"/>
          <w:szCs w:val="24"/>
        </w:rPr>
        <w:t>. Tādējādi</w:t>
      </w:r>
      <w:r w:rsidRPr="0056343C">
        <w:rPr>
          <w:rFonts w:cs="Times New Roman"/>
          <w:szCs w:val="24"/>
        </w:rPr>
        <w:t xml:space="preserve"> </w:t>
      </w:r>
      <w:r>
        <w:rPr>
          <w:rFonts w:cs="Times New Roman"/>
          <w:szCs w:val="24"/>
        </w:rPr>
        <w:t xml:space="preserve">informācija </w:t>
      </w:r>
      <w:r>
        <w:rPr>
          <w:rFonts w:cs="Times New Roman"/>
          <w:szCs w:val="24"/>
        </w:rPr>
        <w:lastRenderedPageBreak/>
        <w:t xml:space="preserve">par minētajiem darījumiem </w:t>
      </w:r>
      <w:r w:rsidR="00EF1273">
        <w:rPr>
          <w:rFonts w:cs="Times New Roman"/>
          <w:szCs w:val="24"/>
        </w:rPr>
        <w:t>kārtējā v</w:t>
      </w:r>
      <w:r w:rsidR="00BA62A2">
        <w:rPr>
          <w:rFonts w:cs="Times New Roman"/>
          <w:szCs w:val="24"/>
        </w:rPr>
        <w:t>alsts amatpersonas</w:t>
      </w:r>
      <w:r w:rsidRPr="0056343C">
        <w:rPr>
          <w:rFonts w:cs="Times New Roman"/>
          <w:szCs w:val="24"/>
        </w:rPr>
        <w:t xml:space="preserve"> deklarācijā par </w:t>
      </w:r>
      <w:proofErr w:type="gramStart"/>
      <w:r w:rsidRPr="0056343C">
        <w:rPr>
          <w:rFonts w:cs="Times New Roman"/>
          <w:szCs w:val="24"/>
        </w:rPr>
        <w:t>2013.gadu</w:t>
      </w:r>
      <w:proofErr w:type="gramEnd"/>
      <w:r w:rsidRPr="0056343C">
        <w:rPr>
          <w:rFonts w:cs="Times New Roman"/>
          <w:szCs w:val="24"/>
        </w:rPr>
        <w:t xml:space="preserve"> </w:t>
      </w:r>
      <w:r w:rsidR="00C9669D">
        <w:rPr>
          <w:rFonts w:cs="Times New Roman"/>
          <w:szCs w:val="24"/>
        </w:rPr>
        <w:t>[pers. A]</w:t>
      </w:r>
      <w:r w:rsidRPr="0056343C">
        <w:rPr>
          <w:rFonts w:cs="Times New Roman"/>
          <w:szCs w:val="24"/>
        </w:rPr>
        <w:t xml:space="preserve"> nebija jānorāda.</w:t>
      </w:r>
    </w:p>
    <w:p w14:paraId="0CE4DA2F" w14:textId="7016FEDE" w:rsidR="00A72652" w:rsidRPr="0064608D" w:rsidRDefault="00A72652" w:rsidP="00A72652">
      <w:pPr>
        <w:suppressAutoHyphens/>
        <w:autoSpaceDN w:val="0"/>
        <w:spacing w:after="0" w:line="276" w:lineRule="auto"/>
        <w:ind w:right="-6"/>
        <w:contextualSpacing/>
        <w:jc w:val="both"/>
        <w:textAlignment w:val="baseline"/>
      </w:pPr>
      <w:r>
        <w:rPr>
          <w:rFonts w:cs="Times New Roman"/>
          <w:szCs w:val="24"/>
        </w:rPr>
        <w:tab/>
        <w:t xml:space="preserve">Savukārt </w:t>
      </w:r>
      <w:proofErr w:type="gramStart"/>
      <w:r>
        <w:rPr>
          <w:rFonts w:cs="Times New Roman"/>
          <w:szCs w:val="24"/>
        </w:rPr>
        <w:t>2014.gada</w:t>
      </w:r>
      <w:proofErr w:type="gramEnd"/>
      <w:r>
        <w:rPr>
          <w:rFonts w:cs="Times New Roman"/>
          <w:szCs w:val="24"/>
        </w:rPr>
        <w:t xml:space="preserve"> 22.novembra Nodokļu pārvaldes atbildes vēstulē </w:t>
      </w:r>
      <w:r w:rsidR="00EF1273" w:rsidRPr="00BE6D15">
        <w:rPr>
          <w:rFonts w:cs="Times New Roman"/>
          <w:szCs w:val="24"/>
        </w:rPr>
        <w:t xml:space="preserve">Nr. 8.7-7/5597 </w:t>
      </w:r>
      <w:r>
        <w:rPr>
          <w:rFonts w:cs="Times New Roman"/>
          <w:szCs w:val="24"/>
        </w:rPr>
        <w:t xml:space="preserve">Finanšu policijas pārvaldei norādīts, ka neviena no </w:t>
      </w:r>
      <w:r w:rsidR="00C9669D">
        <w:rPr>
          <w:rFonts w:cs="Times New Roman"/>
          <w:szCs w:val="24"/>
        </w:rPr>
        <w:t>[pers. A]</w:t>
      </w:r>
      <w:r>
        <w:t xml:space="preserve"> bankas konta pārskatā norādītajām summām nepārsniedz </w:t>
      </w:r>
      <w:r>
        <w:rPr>
          <w:rFonts w:cs="Times New Roman"/>
          <w:szCs w:val="24"/>
        </w:rPr>
        <w:t xml:space="preserve">20 Ministru kabineta noteiktās minimālās mēnešalgas. </w:t>
      </w:r>
    </w:p>
    <w:p w14:paraId="4292F4BF" w14:textId="38FD8D67" w:rsidR="00A72652" w:rsidRDefault="00A72652" w:rsidP="00A72652">
      <w:pPr>
        <w:suppressAutoHyphens/>
        <w:autoSpaceDN w:val="0"/>
        <w:spacing w:after="0" w:line="276" w:lineRule="auto"/>
        <w:ind w:right="-6"/>
        <w:contextualSpacing/>
        <w:jc w:val="both"/>
        <w:textAlignment w:val="baseline"/>
        <w:rPr>
          <w:rFonts w:cs="Times New Roman"/>
          <w:szCs w:val="24"/>
        </w:rPr>
      </w:pPr>
      <w:r>
        <w:rPr>
          <w:rFonts w:cs="Times New Roman"/>
          <w:szCs w:val="24"/>
        </w:rPr>
        <w:tab/>
      </w:r>
      <w:r w:rsidR="005D5D75">
        <w:rPr>
          <w:rFonts w:cs="Times New Roman"/>
          <w:szCs w:val="24"/>
        </w:rPr>
        <w:t xml:space="preserve">Apsūdzētā </w:t>
      </w:r>
      <w:r w:rsidR="00C9669D">
        <w:rPr>
          <w:rFonts w:cs="Times New Roman"/>
          <w:szCs w:val="24"/>
        </w:rPr>
        <w:t>[pers. A]</w:t>
      </w:r>
      <w:r w:rsidR="005D5D75">
        <w:rPr>
          <w:rFonts w:cs="Times New Roman"/>
          <w:szCs w:val="24"/>
        </w:rPr>
        <w:t xml:space="preserve"> ieskatā, i</w:t>
      </w:r>
      <w:r>
        <w:rPr>
          <w:rFonts w:cs="Times New Roman"/>
          <w:szCs w:val="24"/>
        </w:rPr>
        <w:t>evērojot Nodo</w:t>
      </w:r>
      <w:r w:rsidR="005D5D75">
        <w:rPr>
          <w:rFonts w:cs="Times New Roman"/>
          <w:szCs w:val="24"/>
        </w:rPr>
        <w:t xml:space="preserve">kļu pārvaldes sniegto viedokli, </w:t>
      </w:r>
      <w:r>
        <w:rPr>
          <w:rFonts w:cs="Times New Roman"/>
          <w:szCs w:val="24"/>
        </w:rPr>
        <w:t>pārskaitījumi no spēlēm totalizatorā ir uzskatāmi par darījumiem, bet naudas pārs</w:t>
      </w:r>
      <w:r w:rsidR="007F4008">
        <w:rPr>
          <w:rFonts w:cs="Times New Roman"/>
          <w:szCs w:val="24"/>
        </w:rPr>
        <w:t>kaitīšana, liekot likmi, ir vien</w:t>
      </w:r>
      <w:r>
        <w:rPr>
          <w:rFonts w:cs="Times New Roman"/>
          <w:szCs w:val="24"/>
        </w:rPr>
        <w:t xml:space="preserve">a darījuma partnera izdevumi. Tādējādi ienākumi no šiem darījumiem jāaprēķina, ņemot vērā izdevumus. Deklarācijā </w:t>
      </w:r>
      <w:r w:rsidR="007F4008">
        <w:rPr>
          <w:rFonts w:cs="Times New Roman"/>
          <w:szCs w:val="24"/>
        </w:rPr>
        <w:t xml:space="preserve">darījumi </w:t>
      </w:r>
      <w:r>
        <w:rPr>
          <w:rFonts w:cs="Times New Roman"/>
          <w:szCs w:val="24"/>
        </w:rPr>
        <w:t>jānorāda tikai tad, ja katra darījuma apmērs, nevis</w:t>
      </w:r>
      <w:r w:rsidR="007F4008">
        <w:rPr>
          <w:rFonts w:cs="Times New Roman"/>
          <w:szCs w:val="24"/>
        </w:rPr>
        <w:t xml:space="preserve"> to summa, pārsniedz 20 minimālās</w:t>
      </w:r>
      <w:r>
        <w:rPr>
          <w:rFonts w:cs="Times New Roman"/>
          <w:szCs w:val="24"/>
        </w:rPr>
        <w:t xml:space="preserve"> </w:t>
      </w:r>
      <w:r w:rsidR="007F4008">
        <w:rPr>
          <w:rFonts w:cs="Times New Roman"/>
          <w:szCs w:val="24"/>
        </w:rPr>
        <w:t>mēnešalgas</w:t>
      </w:r>
      <w:r>
        <w:rPr>
          <w:rFonts w:cs="Times New Roman"/>
          <w:szCs w:val="24"/>
        </w:rPr>
        <w:t xml:space="preserve">.  </w:t>
      </w:r>
    </w:p>
    <w:p w14:paraId="1AC41BA8" w14:textId="6505CD5B" w:rsidR="00A72652" w:rsidRDefault="00A72652" w:rsidP="00A72652">
      <w:pPr>
        <w:suppressAutoHyphens/>
        <w:autoSpaceDN w:val="0"/>
        <w:spacing w:after="0" w:line="276" w:lineRule="auto"/>
        <w:ind w:right="-6" w:firstLine="720"/>
        <w:contextualSpacing/>
        <w:jc w:val="both"/>
        <w:textAlignment w:val="baseline"/>
        <w:rPr>
          <w:rFonts w:cs="Times New Roman"/>
          <w:szCs w:val="24"/>
        </w:rPr>
      </w:pPr>
      <w:r w:rsidRPr="0056343C">
        <w:rPr>
          <w:rFonts w:cs="Times New Roman"/>
          <w:szCs w:val="24"/>
        </w:rPr>
        <w:t>[4</w:t>
      </w:r>
      <w:r>
        <w:rPr>
          <w:rFonts w:cs="Times New Roman"/>
          <w:szCs w:val="24"/>
        </w:rPr>
        <w:t>.1.2</w:t>
      </w:r>
      <w:r w:rsidRPr="0056343C">
        <w:rPr>
          <w:rFonts w:cs="Times New Roman"/>
          <w:szCs w:val="24"/>
        </w:rPr>
        <w:t xml:space="preserve">] </w:t>
      </w:r>
      <w:r w:rsidR="00382FFC">
        <w:rPr>
          <w:rFonts w:cs="Times New Roman"/>
          <w:szCs w:val="24"/>
        </w:rPr>
        <w:t>Deklarāc</w:t>
      </w:r>
      <w:r w:rsidR="00297EE2">
        <w:rPr>
          <w:rFonts w:cs="Times New Roman"/>
          <w:szCs w:val="24"/>
        </w:rPr>
        <w:t>ijas aizpildīšanas brīdī, tas ir</w:t>
      </w:r>
      <w:r w:rsidR="00ED5DB8">
        <w:rPr>
          <w:rFonts w:cs="Times New Roman"/>
          <w:szCs w:val="24"/>
        </w:rPr>
        <w:t xml:space="preserve">, </w:t>
      </w:r>
      <w:proofErr w:type="gramStart"/>
      <w:r w:rsidR="00ED5DB8">
        <w:rPr>
          <w:rFonts w:cs="Times New Roman"/>
          <w:szCs w:val="24"/>
        </w:rPr>
        <w:t>2014.gada</w:t>
      </w:r>
      <w:proofErr w:type="gramEnd"/>
      <w:r w:rsidR="00ED5DB8">
        <w:rPr>
          <w:rFonts w:cs="Times New Roman"/>
          <w:szCs w:val="24"/>
        </w:rPr>
        <w:t xml:space="preserve"> 25.febru</w:t>
      </w:r>
      <w:r w:rsidR="002A5739">
        <w:rPr>
          <w:rFonts w:cs="Times New Roman"/>
          <w:szCs w:val="24"/>
        </w:rPr>
        <w:t>ārī bezskaidras naudas uzkrājuma</w:t>
      </w:r>
      <w:r w:rsidR="00382FFC">
        <w:rPr>
          <w:rFonts w:cs="Times New Roman"/>
          <w:szCs w:val="24"/>
        </w:rPr>
        <w:t xml:space="preserve"> </w:t>
      </w:r>
      <w:r w:rsidR="00297EE2">
        <w:rPr>
          <w:rFonts w:cs="Times New Roman"/>
          <w:szCs w:val="24"/>
        </w:rPr>
        <w:t>atlikums</w:t>
      </w:r>
      <w:r w:rsidR="002A5739">
        <w:rPr>
          <w:rFonts w:cs="Times New Roman"/>
          <w:szCs w:val="24"/>
        </w:rPr>
        <w:t xml:space="preserve"> apsūdzētā </w:t>
      </w:r>
      <w:r w:rsidR="00C9669D">
        <w:rPr>
          <w:rFonts w:cs="Times New Roman"/>
          <w:szCs w:val="24"/>
        </w:rPr>
        <w:t>[pers. </w:t>
      </w:r>
      <w:r w:rsidR="00C9669D">
        <w:t>A]</w:t>
      </w:r>
      <w:r w:rsidR="002A5739">
        <w:rPr>
          <w:rFonts w:cs="Times New Roman"/>
          <w:szCs w:val="24"/>
        </w:rPr>
        <w:t xml:space="preserve"> kontā</w:t>
      </w:r>
      <w:r w:rsidR="00297EE2">
        <w:rPr>
          <w:rFonts w:cs="Times New Roman"/>
          <w:szCs w:val="24"/>
        </w:rPr>
        <w:t xml:space="preserve"> bija </w:t>
      </w:r>
      <w:r w:rsidR="00382FFC">
        <w:rPr>
          <w:rFonts w:cs="Times New Roman"/>
          <w:szCs w:val="24"/>
        </w:rPr>
        <w:t>17 000 </w:t>
      </w:r>
      <w:proofErr w:type="spellStart"/>
      <w:r w:rsidR="00382FFC" w:rsidRPr="003B0C50">
        <w:rPr>
          <w:rFonts w:cs="Times New Roman"/>
          <w:i/>
          <w:szCs w:val="24"/>
        </w:rPr>
        <w:t>euro</w:t>
      </w:r>
      <w:proofErr w:type="spellEnd"/>
      <w:r w:rsidR="00382FFC">
        <w:rPr>
          <w:rFonts w:cs="Times New Roman"/>
          <w:szCs w:val="24"/>
        </w:rPr>
        <w:t xml:space="preserve">, jo </w:t>
      </w:r>
      <w:r w:rsidRPr="0056343C">
        <w:rPr>
          <w:rFonts w:cs="Times New Roman"/>
          <w:szCs w:val="24"/>
        </w:rPr>
        <w:t>2800 </w:t>
      </w:r>
      <w:proofErr w:type="spellStart"/>
      <w:r w:rsidRPr="0056343C">
        <w:rPr>
          <w:rFonts w:cs="Times New Roman"/>
          <w:i/>
          <w:szCs w:val="24"/>
        </w:rPr>
        <w:t>euro</w:t>
      </w:r>
      <w:proofErr w:type="spellEnd"/>
      <w:r w:rsidRPr="0056343C">
        <w:rPr>
          <w:rFonts w:cs="Times New Roman"/>
          <w:szCs w:val="24"/>
        </w:rPr>
        <w:t xml:space="preserve"> bija parāds brālim, </w:t>
      </w:r>
      <w:r w:rsidR="00382FFC">
        <w:rPr>
          <w:rFonts w:cs="Times New Roman"/>
          <w:szCs w:val="24"/>
        </w:rPr>
        <w:t>kuru</w:t>
      </w:r>
      <w:r w:rsidRPr="0056343C">
        <w:rPr>
          <w:rFonts w:cs="Times New Roman"/>
          <w:szCs w:val="24"/>
        </w:rPr>
        <w:t xml:space="preserve"> apsūdzētais pirms deklarācijas a</w:t>
      </w:r>
      <w:r w:rsidR="00AA7150">
        <w:rPr>
          <w:rFonts w:cs="Times New Roman"/>
          <w:szCs w:val="24"/>
        </w:rPr>
        <w:t>izpildīšanas pārskaitīja</w:t>
      </w:r>
      <w:r>
        <w:rPr>
          <w:rFonts w:cs="Times New Roman"/>
          <w:szCs w:val="24"/>
        </w:rPr>
        <w:t xml:space="preserve"> brālim. </w:t>
      </w:r>
    </w:p>
    <w:p w14:paraId="52D8A23F" w14:textId="6655472D" w:rsidR="008A4C8C" w:rsidRDefault="00A72652" w:rsidP="008A4C8C">
      <w:pPr>
        <w:suppressAutoHyphens/>
        <w:autoSpaceDN w:val="0"/>
        <w:spacing w:after="0" w:line="276" w:lineRule="auto"/>
        <w:ind w:right="-6" w:firstLine="720"/>
        <w:contextualSpacing/>
        <w:jc w:val="both"/>
        <w:textAlignment w:val="baseline"/>
        <w:rPr>
          <w:rFonts w:cs="Times New Roman"/>
          <w:szCs w:val="24"/>
        </w:rPr>
      </w:pPr>
      <w:r>
        <w:rPr>
          <w:rFonts w:cs="Times New Roman"/>
          <w:szCs w:val="24"/>
        </w:rPr>
        <w:t xml:space="preserve">Atbilstoši Nodokļu pārvaldes sniegtajam viedoklim </w:t>
      </w:r>
      <w:proofErr w:type="gramStart"/>
      <w:r w:rsidR="00BE6D15" w:rsidRPr="00BE6D15">
        <w:rPr>
          <w:rFonts w:cs="Times New Roman"/>
          <w:szCs w:val="24"/>
        </w:rPr>
        <w:t>2014.gada</w:t>
      </w:r>
      <w:proofErr w:type="gramEnd"/>
      <w:r w:rsidR="00BE6D15" w:rsidRPr="00BE6D15">
        <w:rPr>
          <w:rFonts w:cs="Times New Roman"/>
          <w:szCs w:val="24"/>
        </w:rPr>
        <w:t xml:space="preserve"> 22.novembra vēstulē Nr. 8.7-7/5597 </w:t>
      </w:r>
      <w:r w:rsidR="003C3E0D">
        <w:rPr>
          <w:rFonts w:cs="Times New Roman"/>
          <w:szCs w:val="24"/>
        </w:rPr>
        <w:t xml:space="preserve">parādsaistības </w:t>
      </w:r>
      <w:r w:rsidR="00492002">
        <w:rPr>
          <w:rFonts w:cs="Times New Roman"/>
          <w:szCs w:val="24"/>
        </w:rPr>
        <w:t>v</w:t>
      </w:r>
      <w:r>
        <w:rPr>
          <w:rFonts w:cs="Times New Roman"/>
          <w:szCs w:val="24"/>
        </w:rPr>
        <w:t xml:space="preserve">alsts amatpersonas </w:t>
      </w:r>
      <w:r w:rsidR="007A1268">
        <w:rPr>
          <w:rFonts w:cs="Times New Roman"/>
          <w:szCs w:val="24"/>
        </w:rPr>
        <w:t xml:space="preserve">deklarācijā </w:t>
      </w:r>
      <w:r>
        <w:rPr>
          <w:rFonts w:cs="Times New Roman"/>
          <w:szCs w:val="24"/>
        </w:rPr>
        <w:t xml:space="preserve">jānorāda tikai tad, ja aizdevuma vai parādsaistību atlikums kalendārā gada 31.decembrī pārsniedz </w:t>
      </w:r>
      <w:r w:rsidRPr="0056343C">
        <w:rPr>
          <w:rFonts w:cs="Times New Roman"/>
          <w:szCs w:val="24"/>
        </w:rPr>
        <w:t>20 </w:t>
      </w:r>
      <w:r>
        <w:rPr>
          <w:rFonts w:cs="Times New Roman"/>
          <w:szCs w:val="24"/>
        </w:rPr>
        <w:t xml:space="preserve">Ministru kabineta noteiktās </w:t>
      </w:r>
      <w:r w:rsidRPr="0056343C">
        <w:rPr>
          <w:rFonts w:cs="Times New Roman"/>
          <w:szCs w:val="24"/>
        </w:rPr>
        <w:t>minimālās mēnešalgas</w:t>
      </w:r>
      <w:r>
        <w:rPr>
          <w:rFonts w:cs="Times New Roman"/>
          <w:szCs w:val="24"/>
        </w:rPr>
        <w:t>. Arī d</w:t>
      </w:r>
      <w:r w:rsidRPr="0056343C">
        <w:rPr>
          <w:rFonts w:cs="Times New Roman"/>
          <w:szCs w:val="24"/>
        </w:rPr>
        <w:t xml:space="preserve">eklarācijas veidlapā </w:t>
      </w:r>
      <w:r>
        <w:rPr>
          <w:rFonts w:cs="Times New Roman"/>
          <w:szCs w:val="24"/>
        </w:rPr>
        <w:t>atzīmēts</w:t>
      </w:r>
      <w:r w:rsidRPr="0056343C">
        <w:rPr>
          <w:rFonts w:cs="Times New Roman"/>
          <w:szCs w:val="24"/>
        </w:rPr>
        <w:t>, ka parādsaistības jānorāda, ja to summa pārsniedz 20 minimālās mēnešalgas.</w:t>
      </w:r>
    </w:p>
    <w:p w14:paraId="7065AE75" w14:textId="41B6C059" w:rsidR="00A72652" w:rsidRDefault="008A4C8C" w:rsidP="008A4C8C">
      <w:pPr>
        <w:suppressAutoHyphens/>
        <w:autoSpaceDN w:val="0"/>
        <w:spacing w:after="0" w:line="276" w:lineRule="auto"/>
        <w:ind w:right="-6" w:firstLine="720"/>
        <w:contextualSpacing/>
        <w:jc w:val="both"/>
        <w:textAlignment w:val="baseline"/>
        <w:rPr>
          <w:rFonts w:cs="Times New Roman"/>
          <w:szCs w:val="24"/>
        </w:rPr>
      </w:pPr>
      <w:r w:rsidRPr="008A4C8C">
        <w:rPr>
          <w:rFonts w:cs="Times New Roman"/>
          <w:szCs w:val="24"/>
        </w:rPr>
        <w:t xml:space="preserve">Nodokļu pārvalde konstatējusi, ka </w:t>
      </w:r>
      <w:r w:rsidR="000618CC">
        <w:rPr>
          <w:rFonts w:cs="Times New Roman"/>
          <w:szCs w:val="24"/>
        </w:rPr>
        <w:t>[pers. A]</w:t>
      </w:r>
      <w:r w:rsidRPr="008A4C8C">
        <w:rPr>
          <w:rFonts w:cs="Times New Roman"/>
          <w:szCs w:val="24"/>
        </w:rPr>
        <w:t xml:space="preserve"> bankas kontā neviena summa nepārsniedz Ministru kabineta noteiktās 20 minimālās mēnešalgas. </w:t>
      </w:r>
    </w:p>
    <w:p w14:paraId="07E2A1B6" w14:textId="77777777" w:rsidR="00A72652" w:rsidRPr="0056343C" w:rsidRDefault="00A72652" w:rsidP="00A72652">
      <w:pPr>
        <w:autoSpaceDE w:val="0"/>
        <w:autoSpaceDN w:val="0"/>
        <w:adjustRightInd w:val="0"/>
        <w:spacing w:after="0" w:line="276" w:lineRule="auto"/>
        <w:jc w:val="both"/>
        <w:rPr>
          <w:rFonts w:cs="Times New Roman"/>
          <w:szCs w:val="24"/>
        </w:rPr>
      </w:pPr>
      <w:r>
        <w:rPr>
          <w:rFonts w:cs="Times New Roman"/>
          <w:szCs w:val="24"/>
        </w:rPr>
        <w:tab/>
      </w:r>
      <w:r w:rsidRPr="0056343C">
        <w:rPr>
          <w:rFonts w:cs="Times New Roman"/>
          <w:szCs w:val="24"/>
        </w:rPr>
        <w:t xml:space="preserve">[4.2] Pirmās instances tiesa un apelācijas instances tiesa nepamatoti norādījusi, ka </w:t>
      </w:r>
      <w:proofErr w:type="spellStart"/>
      <w:r w:rsidRPr="0056343C">
        <w:rPr>
          <w:rFonts w:cs="Times New Roman"/>
          <w:i/>
          <w:szCs w:val="24"/>
        </w:rPr>
        <w:t>Hillside</w:t>
      </w:r>
      <w:proofErr w:type="spellEnd"/>
      <w:r w:rsidRPr="0056343C">
        <w:rPr>
          <w:rFonts w:cs="Times New Roman"/>
          <w:i/>
          <w:szCs w:val="24"/>
        </w:rPr>
        <w:t xml:space="preserve"> (</w:t>
      </w:r>
      <w:proofErr w:type="spellStart"/>
      <w:r w:rsidRPr="0056343C">
        <w:rPr>
          <w:rFonts w:cs="Times New Roman"/>
          <w:i/>
          <w:szCs w:val="24"/>
        </w:rPr>
        <w:t>New</w:t>
      </w:r>
      <w:proofErr w:type="spellEnd"/>
      <w:r w:rsidRPr="0056343C">
        <w:rPr>
          <w:rFonts w:cs="Times New Roman"/>
          <w:i/>
          <w:szCs w:val="24"/>
        </w:rPr>
        <w:t xml:space="preserve"> </w:t>
      </w:r>
      <w:proofErr w:type="spellStart"/>
      <w:r w:rsidRPr="0056343C">
        <w:rPr>
          <w:rFonts w:cs="Times New Roman"/>
          <w:i/>
          <w:szCs w:val="24"/>
        </w:rPr>
        <w:t>Media</w:t>
      </w:r>
      <w:proofErr w:type="spellEnd"/>
      <w:r w:rsidRPr="0056343C">
        <w:rPr>
          <w:rFonts w:cs="Times New Roman"/>
          <w:i/>
          <w:szCs w:val="24"/>
        </w:rPr>
        <w:t xml:space="preserve">) </w:t>
      </w:r>
      <w:proofErr w:type="spellStart"/>
      <w:r w:rsidRPr="0056343C">
        <w:rPr>
          <w:rFonts w:cs="Times New Roman"/>
          <w:i/>
          <w:szCs w:val="24"/>
        </w:rPr>
        <w:t>Limited</w:t>
      </w:r>
      <w:proofErr w:type="spellEnd"/>
      <w:r w:rsidRPr="0056343C">
        <w:rPr>
          <w:rFonts w:cs="Times New Roman"/>
          <w:szCs w:val="24"/>
        </w:rPr>
        <w:t xml:space="preserve">, </w:t>
      </w:r>
      <w:r w:rsidRPr="0056343C">
        <w:rPr>
          <w:rFonts w:cs="Times New Roman"/>
          <w:i/>
          <w:szCs w:val="24"/>
        </w:rPr>
        <w:t>Marathonbet.com</w:t>
      </w:r>
      <w:r w:rsidRPr="0056343C">
        <w:rPr>
          <w:rFonts w:cs="Times New Roman"/>
          <w:szCs w:val="24"/>
        </w:rPr>
        <w:t xml:space="preserve">, </w:t>
      </w:r>
      <w:proofErr w:type="spellStart"/>
      <w:r w:rsidRPr="0056343C">
        <w:rPr>
          <w:rFonts w:cs="Times New Roman"/>
          <w:i/>
          <w:szCs w:val="24"/>
        </w:rPr>
        <w:t>Celton</w:t>
      </w:r>
      <w:proofErr w:type="spellEnd"/>
      <w:r w:rsidRPr="0056343C">
        <w:rPr>
          <w:rFonts w:cs="Times New Roman"/>
          <w:i/>
          <w:szCs w:val="24"/>
        </w:rPr>
        <w:t xml:space="preserve"> </w:t>
      </w:r>
      <w:proofErr w:type="spellStart"/>
      <w:r w:rsidRPr="0056343C">
        <w:rPr>
          <w:rFonts w:cs="Times New Roman"/>
          <w:i/>
          <w:szCs w:val="24"/>
        </w:rPr>
        <w:t>Manx</w:t>
      </w:r>
      <w:proofErr w:type="spellEnd"/>
      <w:r w:rsidRPr="0056343C">
        <w:rPr>
          <w:rFonts w:cs="Times New Roman"/>
          <w:i/>
          <w:szCs w:val="24"/>
        </w:rPr>
        <w:t xml:space="preserve">, </w:t>
      </w:r>
      <w:proofErr w:type="spellStart"/>
      <w:r w:rsidRPr="0056343C">
        <w:rPr>
          <w:rFonts w:cs="Times New Roman"/>
          <w:i/>
          <w:szCs w:val="24"/>
        </w:rPr>
        <w:t>Isle</w:t>
      </w:r>
      <w:proofErr w:type="spellEnd"/>
      <w:r w:rsidRPr="0056343C">
        <w:rPr>
          <w:rFonts w:cs="Times New Roman"/>
          <w:i/>
          <w:szCs w:val="24"/>
        </w:rPr>
        <w:t xml:space="preserve"> </w:t>
      </w:r>
      <w:proofErr w:type="spellStart"/>
      <w:r w:rsidRPr="0056343C">
        <w:rPr>
          <w:rFonts w:cs="Times New Roman"/>
          <w:i/>
          <w:szCs w:val="24"/>
        </w:rPr>
        <w:t>of</w:t>
      </w:r>
      <w:proofErr w:type="spellEnd"/>
      <w:r w:rsidRPr="0056343C">
        <w:rPr>
          <w:rFonts w:cs="Times New Roman"/>
          <w:i/>
          <w:szCs w:val="24"/>
        </w:rPr>
        <w:t xml:space="preserve"> Man </w:t>
      </w:r>
      <w:proofErr w:type="spellStart"/>
      <w:r w:rsidRPr="0056343C">
        <w:rPr>
          <w:rFonts w:cs="Times New Roman"/>
          <w:i/>
          <w:szCs w:val="24"/>
        </w:rPr>
        <w:t>Douglas</w:t>
      </w:r>
      <w:proofErr w:type="spellEnd"/>
      <w:r w:rsidRPr="0056343C">
        <w:rPr>
          <w:rFonts w:cs="Times New Roman"/>
          <w:i/>
          <w:szCs w:val="24"/>
        </w:rPr>
        <w:t>, WHG (</w:t>
      </w:r>
      <w:proofErr w:type="spellStart"/>
      <w:r w:rsidRPr="0056343C">
        <w:rPr>
          <w:rFonts w:cs="Times New Roman"/>
          <w:i/>
          <w:szCs w:val="24"/>
        </w:rPr>
        <w:t>International</w:t>
      </w:r>
      <w:proofErr w:type="spellEnd"/>
      <w:r w:rsidRPr="0056343C">
        <w:rPr>
          <w:rFonts w:cs="Times New Roman"/>
          <w:i/>
          <w:szCs w:val="24"/>
        </w:rPr>
        <w:t xml:space="preserve">) LTD, </w:t>
      </w:r>
      <w:proofErr w:type="spellStart"/>
      <w:r w:rsidRPr="0056343C">
        <w:rPr>
          <w:rFonts w:cs="Times New Roman"/>
          <w:i/>
          <w:szCs w:val="24"/>
        </w:rPr>
        <w:t>William</w:t>
      </w:r>
      <w:proofErr w:type="spellEnd"/>
      <w:r w:rsidRPr="0056343C">
        <w:rPr>
          <w:rFonts w:cs="Times New Roman"/>
          <w:i/>
          <w:szCs w:val="24"/>
        </w:rPr>
        <w:t xml:space="preserve"> Hill </w:t>
      </w:r>
      <w:proofErr w:type="spellStart"/>
      <w:r w:rsidRPr="0056343C">
        <w:rPr>
          <w:rFonts w:cs="Times New Roman"/>
          <w:i/>
          <w:szCs w:val="24"/>
        </w:rPr>
        <w:t>Online</w:t>
      </w:r>
      <w:proofErr w:type="spellEnd"/>
      <w:r w:rsidRPr="0056343C">
        <w:rPr>
          <w:rFonts w:cs="Times New Roman"/>
          <w:i/>
          <w:szCs w:val="24"/>
        </w:rPr>
        <w:t xml:space="preserve">, </w:t>
      </w:r>
      <w:proofErr w:type="spellStart"/>
      <w:r w:rsidRPr="0056343C">
        <w:rPr>
          <w:rFonts w:cs="Times New Roman"/>
          <w:i/>
          <w:szCs w:val="24"/>
        </w:rPr>
        <w:t>Ladbrokes</w:t>
      </w:r>
      <w:proofErr w:type="spellEnd"/>
      <w:r w:rsidRPr="0056343C">
        <w:rPr>
          <w:rFonts w:cs="Times New Roman"/>
          <w:i/>
          <w:szCs w:val="24"/>
        </w:rPr>
        <w:t xml:space="preserve"> LTD London Internet, „</w:t>
      </w:r>
      <w:proofErr w:type="spellStart"/>
      <w:r w:rsidRPr="0056343C">
        <w:rPr>
          <w:rFonts w:cs="Times New Roman"/>
          <w:i/>
          <w:szCs w:val="24"/>
        </w:rPr>
        <w:t>sportingbet</w:t>
      </w:r>
      <w:proofErr w:type="spellEnd"/>
      <w:r w:rsidRPr="0056343C">
        <w:rPr>
          <w:rFonts w:cs="Times New Roman"/>
          <w:i/>
          <w:szCs w:val="24"/>
        </w:rPr>
        <w:t xml:space="preserve">” </w:t>
      </w:r>
      <w:r w:rsidRPr="0056343C">
        <w:rPr>
          <w:rFonts w:cs="Times New Roman"/>
          <w:szCs w:val="24"/>
        </w:rPr>
        <w:t>ir totalizatori un pārskaitījumi no minētajiem uzņēmumiem ir laimestu summas. No šiem uzņēmumiem uz apsūdzētā un viņa radinieku kontiem tika pārskaitīti 82 976,44 </w:t>
      </w:r>
      <w:proofErr w:type="spellStart"/>
      <w:r w:rsidRPr="0056343C">
        <w:rPr>
          <w:rFonts w:cs="Times New Roman"/>
          <w:i/>
          <w:szCs w:val="24"/>
        </w:rPr>
        <w:t>euro</w:t>
      </w:r>
      <w:proofErr w:type="spellEnd"/>
      <w:r w:rsidRPr="0056343C">
        <w:rPr>
          <w:rFonts w:cs="Times New Roman"/>
          <w:szCs w:val="24"/>
        </w:rPr>
        <w:t xml:space="preserve">. </w:t>
      </w:r>
    </w:p>
    <w:p w14:paraId="02378F1A" w14:textId="0B40D64E" w:rsidR="007650A4" w:rsidRPr="0056343C" w:rsidRDefault="00A72652" w:rsidP="00A72652">
      <w:pPr>
        <w:autoSpaceDE w:val="0"/>
        <w:autoSpaceDN w:val="0"/>
        <w:adjustRightInd w:val="0"/>
        <w:spacing w:after="0" w:line="276" w:lineRule="auto"/>
        <w:jc w:val="both"/>
        <w:rPr>
          <w:rFonts w:cs="Times New Roman"/>
          <w:szCs w:val="24"/>
        </w:rPr>
      </w:pPr>
      <w:r>
        <w:rPr>
          <w:rFonts w:cs="Times New Roman"/>
          <w:szCs w:val="24"/>
        </w:rPr>
        <w:t xml:space="preserve"> </w:t>
      </w:r>
      <w:r>
        <w:rPr>
          <w:rFonts w:cs="Times New Roman"/>
          <w:szCs w:val="24"/>
        </w:rPr>
        <w:tab/>
      </w:r>
      <w:r w:rsidRPr="0056343C">
        <w:rPr>
          <w:rFonts w:cs="Times New Roman"/>
          <w:szCs w:val="24"/>
        </w:rPr>
        <w:t xml:space="preserve">Tiesa šos apstākļus nav noskaidrojusi, tādējādi pieļaujot Kriminālprocesa likuma </w:t>
      </w:r>
      <w:proofErr w:type="gramStart"/>
      <w:r w:rsidRPr="0056343C">
        <w:rPr>
          <w:rFonts w:cs="Times New Roman"/>
          <w:szCs w:val="24"/>
        </w:rPr>
        <w:t>561.p</w:t>
      </w:r>
      <w:r>
        <w:rPr>
          <w:rFonts w:cs="Times New Roman"/>
          <w:szCs w:val="24"/>
        </w:rPr>
        <w:t>anta</w:t>
      </w:r>
      <w:proofErr w:type="gramEnd"/>
      <w:r>
        <w:rPr>
          <w:rFonts w:cs="Times New Roman"/>
          <w:szCs w:val="24"/>
        </w:rPr>
        <w:t xml:space="preserve"> ceturtās daļas (domājams </w:t>
      </w:r>
      <w:r w:rsidRPr="0056343C">
        <w:rPr>
          <w:rFonts w:cs="Times New Roman"/>
          <w:szCs w:val="24"/>
        </w:rPr>
        <w:t xml:space="preserve">564.panta ceturtās daļas) pārkāpumu. </w:t>
      </w:r>
      <w:r w:rsidR="007650A4" w:rsidRPr="0056343C">
        <w:rPr>
          <w:rFonts w:cs="Times New Roman"/>
          <w:szCs w:val="24"/>
        </w:rPr>
        <w:t xml:space="preserve"> </w:t>
      </w:r>
    </w:p>
    <w:p w14:paraId="2879846E" w14:textId="77777777" w:rsidR="003C247B" w:rsidRPr="0056343C" w:rsidRDefault="003C247B" w:rsidP="0056343C">
      <w:pPr>
        <w:suppressAutoHyphens/>
        <w:autoSpaceDN w:val="0"/>
        <w:spacing w:after="0" w:line="276" w:lineRule="auto"/>
        <w:ind w:right="-6"/>
        <w:contextualSpacing/>
        <w:jc w:val="both"/>
        <w:textAlignment w:val="baseline"/>
        <w:rPr>
          <w:rFonts w:cs="Times New Roman"/>
          <w:szCs w:val="24"/>
        </w:rPr>
      </w:pPr>
      <w:r w:rsidRPr="0056343C">
        <w:rPr>
          <w:rFonts w:cs="Times New Roman"/>
          <w:szCs w:val="24"/>
        </w:rPr>
        <w:t xml:space="preserve"> </w:t>
      </w:r>
    </w:p>
    <w:p w14:paraId="58DA3B57" w14:textId="77777777" w:rsidR="003C247B" w:rsidRPr="0056343C" w:rsidRDefault="003C247B" w:rsidP="0056343C">
      <w:pPr>
        <w:suppressAutoHyphens/>
        <w:autoSpaceDN w:val="0"/>
        <w:spacing w:after="0" w:line="276" w:lineRule="auto"/>
        <w:ind w:right="-6"/>
        <w:contextualSpacing/>
        <w:jc w:val="center"/>
        <w:textAlignment w:val="baseline"/>
        <w:rPr>
          <w:rFonts w:eastAsia="Calibri" w:cs="Times New Roman"/>
          <w:b/>
          <w:szCs w:val="24"/>
        </w:rPr>
      </w:pPr>
      <w:r w:rsidRPr="0056343C">
        <w:rPr>
          <w:rFonts w:eastAsia="Calibri" w:cs="Times New Roman"/>
          <w:b/>
          <w:szCs w:val="24"/>
        </w:rPr>
        <w:t>Motīvu daļa</w:t>
      </w:r>
    </w:p>
    <w:p w14:paraId="47235F1B" w14:textId="77777777" w:rsidR="00ED75A5" w:rsidRPr="0056343C" w:rsidRDefault="00ED75A5" w:rsidP="0056343C">
      <w:pPr>
        <w:suppressAutoHyphens/>
        <w:autoSpaceDN w:val="0"/>
        <w:spacing w:after="0" w:line="276" w:lineRule="auto"/>
        <w:ind w:right="-6"/>
        <w:contextualSpacing/>
        <w:jc w:val="center"/>
        <w:textAlignment w:val="baseline"/>
        <w:rPr>
          <w:rFonts w:eastAsia="Calibri" w:cs="Times New Roman"/>
          <w:b/>
          <w:szCs w:val="24"/>
        </w:rPr>
      </w:pPr>
    </w:p>
    <w:p w14:paraId="33047B3B" w14:textId="42A0E8D2" w:rsidR="00ED75A5" w:rsidRPr="0056343C" w:rsidRDefault="00ED75A5" w:rsidP="0056343C">
      <w:pPr>
        <w:suppressAutoHyphens/>
        <w:autoSpaceDN w:val="0"/>
        <w:spacing w:after="0" w:line="276" w:lineRule="auto"/>
        <w:ind w:right="-6"/>
        <w:contextualSpacing/>
        <w:jc w:val="both"/>
        <w:textAlignment w:val="baseline"/>
        <w:rPr>
          <w:rFonts w:eastAsia="Calibri" w:cs="Times New Roman"/>
          <w:szCs w:val="24"/>
        </w:rPr>
      </w:pPr>
      <w:r w:rsidRPr="0056343C">
        <w:rPr>
          <w:rFonts w:eastAsia="Calibri" w:cs="Times New Roman"/>
          <w:szCs w:val="24"/>
        </w:rPr>
        <w:tab/>
        <w:t xml:space="preserve">[5] Kasācijas instances tiesa atzīst, ka Daugavpils tiesas </w:t>
      </w:r>
      <w:proofErr w:type="gramStart"/>
      <w:r w:rsidRPr="0056343C">
        <w:rPr>
          <w:rFonts w:eastAsia="Calibri" w:cs="Times New Roman"/>
          <w:szCs w:val="24"/>
        </w:rPr>
        <w:t>2017.gada</w:t>
      </w:r>
      <w:proofErr w:type="gramEnd"/>
      <w:r w:rsidRPr="0056343C">
        <w:rPr>
          <w:rFonts w:eastAsia="Calibri" w:cs="Times New Roman"/>
          <w:szCs w:val="24"/>
        </w:rPr>
        <w:t xml:space="preserve"> 6.februāra spriedums atstājams negrozīts, bet apsūdzētā </w:t>
      </w:r>
      <w:r w:rsidR="000618CC">
        <w:rPr>
          <w:rFonts w:eastAsia="Calibri" w:cs="Times New Roman"/>
          <w:szCs w:val="24"/>
        </w:rPr>
        <w:t>[pers. A]</w:t>
      </w:r>
      <w:r w:rsidRPr="0056343C">
        <w:rPr>
          <w:rFonts w:eastAsia="Calibri" w:cs="Times New Roman"/>
          <w:szCs w:val="24"/>
        </w:rPr>
        <w:t xml:space="preserve"> kasācijas sūdzība noraidāma. </w:t>
      </w:r>
    </w:p>
    <w:p w14:paraId="4DF859E7" w14:textId="77777777" w:rsidR="00ED75A5" w:rsidRPr="0056343C" w:rsidRDefault="00ED75A5" w:rsidP="0056343C">
      <w:pPr>
        <w:suppressAutoHyphens/>
        <w:autoSpaceDN w:val="0"/>
        <w:spacing w:after="0" w:line="276" w:lineRule="auto"/>
        <w:ind w:right="-6"/>
        <w:contextualSpacing/>
        <w:jc w:val="both"/>
        <w:textAlignment w:val="baseline"/>
        <w:rPr>
          <w:rFonts w:eastAsia="Calibri" w:cs="Times New Roman"/>
          <w:szCs w:val="24"/>
        </w:rPr>
      </w:pPr>
    </w:p>
    <w:p w14:paraId="4B9DDA18" w14:textId="77777777" w:rsidR="008753BF" w:rsidRPr="0056343C" w:rsidRDefault="00ED75A5" w:rsidP="0056343C">
      <w:pPr>
        <w:suppressAutoHyphens/>
        <w:autoSpaceDN w:val="0"/>
        <w:spacing w:after="0" w:line="276" w:lineRule="auto"/>
        <w:ind w:right="-6"/>
        <w:contextualSpacing/>
        <w:jc w:val="both"/>
        <w:textAlignment w:val="baseline"/>
        <w:rPr>
          <w:rFonts w:eastAsia="Calibri" w:cs="Times New Roman"/>
          <w:szCs w:val="24"/>
        </w:rPr>
      </w:pPr>
      <w:r w:rsidRPr="0056343C">
        <w:rPr>
          <w:rFonts w:eastAsia="Calibri" w:cs="Times New Roman"/>
          <w:szCs w:val="24"/>
        </w:rPr>
        <w:tab/>
        <w:t xml:space="preserve">[6] Atbilstoši Kriminālprocesa likuma </w:t>
      </w:r>
      <w:proofErr w:type="gramStart"/>
      <w:r w:rsidRPr="0056343C">
        <w:rPr>
          <w:rFonts w:eastAsia="Calibri" w:cs="Times New Roman"/>
          <w:szCs w:val="24"/>
        </w:rPr>
        <w:t>511.panta</w:t>
      </w:r>
      <w:proofErr w:type="gramEnd"/>
      <w:r w:rsidRPr="0056343C">
        <w:rPr>
          <w:rFonts w:eastAsia="Calibri" w:cs="Times New Roman"/>
          <w:szCs w:val="24"/>
        </w:rPr>
        <w:t xml:space="preserve"> otrajai daļai tiesas nolēmumam jābūt tiesiskam un pamatotam. Savukārt Kriminālprocesa likuma </w:t>
      </w:r>
      <w:proofErr w:type="gramStart"/>
      <w:r w:rsidRPr="0056343C">
        <w:rPr>
          <w:rFonts w:eastAsia="Calibri" w:cs="Times New Roman"/>
          <w:szCs w:val="24"/>
        </w:rPr>
        <w:t>512.panta</w:t>
      </w:r>
      <w:proofErr w:type="gramEnd"/>
      <w:r w:rsidRPr="0056343C">
        <w:rPr>
          <w:rFonts w:eastAsia="Calibri" w:cs="Times New Roman"/>
          <w:szCs w:val="24"/>
        </w:rPr>
        <w:t xml:space="preserve"> otrā daļa noteic, ka ti</w:t>
      </w:r>
      <w:r w:rsidR="00D17633" w:rsidRPr="0056343C">
        <w:rPr>
          <w:rFonts w:eastAsia="Calibri" w:cs="Times New Roman"/>
          <w:szCs w:val="24"/>
        </w:rPr>
        <w:t>esa</w:t>
      </w:r>
      <w:r w:rsidRPr="0056343C">
        <w:rPr>
          <w:rFonts w:eastAsia="Calibri" w:cs="Times New Roman"/>
          <w:szCs w:val="24"/>
        </w:rPr>
        <w:t xml:space="preserve"> spriedumu pamato ar pierādījumiem, </w:t>
      </w:r>
      <w:r w:rsidR="008753BF" w:rsidRPr="0056343C">
        <w:rPr>
          <w:rFonts w:eastAsia="Calibri" w:cs="Times New Roman"/>
          <w:szCs w:val="24"/>
        </w:rPr>
        <w:t>kas</w:t>
      </w:r>
      <w:r w:rsidRPr="0056343C">
        <w:rPr>
          <w:rFonts w:eastAsia="Calibri" w:cs="Times New Roman"/>
          <w:szCs w:val="24"/>
        </w:rPr>
        <w:t xml:space="preserve"> pārbaudīti tiesas sēdē, un rakstveida pierādījumiem un dokumentiem, </w:t>
      </w:r>
      <w:r w:rsidR="008753BF" w:rsidRPr="0056343C">
        <w:rPr>
          <w:rFonts w:eastAsia="Calibri" w:cs="Times New Roman"/>
          <w:szCs w:val="24"/>
        </w:rPr>
        <w:t>kas</w:t>
      </w:r>
      <w:r w:rsidRPr="0056343C">
        <w:rPr>
          <w:rFonts w:eastAsia="Calibri" w:cs="Times New Roman"/>
          <w:szCs w:val="24"/>
        </w:rPr>
        <w:t xml:space="preserve"> norādīti lēmumā par krimināllietas nodošanu tiesai, vai ar pierādījumiem, kurus</w:t>
      </w:r>
      <w:r w:rsidR="008753BF" w:rsidRPr="0056343C">
        <w:rPr>
          <w:rFonts w:eastAsia="Calibri" w:cs="Times New Roman"/>
          <w:szCs w:val="24"/>
        </w:rPr>
        <w:t xml:space="preserve"> </w:t>
      </w:r>
      <w:r w:rsidRPr="0056343C">
        <w:rPr>
          <w:rFonts w:eastAsia="Calibri" w:cs="Times New Roman"/>
          <w:szCs w:val="24"/>
        </w:rPr>
        <w:t>saskaņā ar šā likuma 125.panta noteikum</w:t>
      </w:r>
      <w:r w:rsidR="008753BF" w:rsidRPr="0056343C">
        <w:rPr>
          <w:rFonts w:eastAsia="Calibri" w:cs="Times New Roman"/>
          <w:szCs w:val="24"/>
        </w:rPr>
        <w:t>iem nav nepieciešams pārbaudīt.</w:t>
      </w:r>
    </w:p>
    <w:p w14:paraId="01C4A922" w14:textId="77777777" w:rsidR="00ED75A5" w:rsidRPr="0056343C" w:rsidRDefault="00ED75A5" w:rsidP="0056343C">
      <w:pPr>
        <w:suppressAutoHyphens/>
        <w:autoSpaceDN w:val="0"/>
        <w:spacing w:after="0" w:line="276" w:lineRule="auto"/>
        <w:ind w:right="-6" w:firstLine="720"/>
        <w:contextualSpacing/>
        <w:jc w:val="both"/>
        <w:textAlignment w:val="baseline"/>
        <w:rPr>
          <w:rFonts w:eastAsia="Calibri" w:cs="Times New Roman"/>
          <w:szCs w:val="24"/>
        </w:rPr>
      </w:pPr>
      <w:r w:rsidRPr="0056343C">
        <w:rPr>
          <w:rFonts w:eastAsia="Calibri" w:cs="Times New Roman"/>
          <w:szCs w:val="24"/>
        </w:rPr>
        <w:t>Kriminālprocesa likuma</w:t>
      </w:r>
      <w:r w:rsidR="008753BF" w:rsidRPr="0056343C">
        <w:rPr>
          <w:rFonts w:eastAsia="Calibri" w:cs="Times New Roman"/>
          <w:szCs w:val="24"/>
        </w:rPr>
        <w:t xml:space="preserve"> </w:t>
      </w:r>
      <w:proofErr w:type="gramStart"/>
      <w:r w:rsidRPr="0056343C">
        <w:rPr>
          <w:rFonts w:eastAsia="Calibri" w:cs="Times New Roman"/>
          <w:szCs w:val="24"/>
        </w:rPr>
        <w:t>564.pantā</w:t>
      </w:r>
      <w:proofErr w:type="gramEnd"/>
      <w:r w:rsidRPr="0056343C">
        <w:rPr>
          <w:rFonts w:eastAsia="Calibri" w:cs="Times New Roman"/>
          <w:szCs w:val="24"/>
        </w:rPr>
        <w:t xml:space="preserve"> noteiktas apelācijas instances tiesas sprieduma saturam izvirzītās prasības. Šā panta</w:t>
      </w:r>
      <w:r w:rsidR="008753BF" w:rsidRPr="0056343C">
        <w:rPr>
          <w:rFonts w:eastAsia="Calibri" w:cs="Times New Roman"/>
          <w:szCs w:val="24"/>
        </w:rPr>
        <w:t xml:space="preserve"> </w:t>
      </w:r>
      <w:r w:rsidRPr="0056343C">
        <w:rPr>
          <w:rFonts w:eastAsia="Calibri" w:cs="Times New Roman"/>
          <w:szCs w:val="24"/>
        </w:rPr>
        <w:t>ceturtajā daļā noteikts, ka nolēmuma motīvu daļā norādāms apelācijas instances tiesas atzinums par</w:t>
      </w:r>
      <w:r w:rsidR="008753BF" w:rsidRPr="0056343C">
        <w:rPr>
          <w:rFonts w:eastAsia="Calibri" w:cs="Times New Roman"/>
          <w:szCs w:val="24"/>
        </w:rPr>
        <w:t xml:space="preserve"> </w:t>
      </w:r>
      <w:r w:rsidRPr="0056343C">
        <w:rPr>
          <w:rFonts w:eastAsia="Calibri" w:cs="Times New Roman"/>
          <w:szCs w:val="24"/>
        </w:rPr>
        <w:t>apelācijas sūdzības vai apelācijas protesta pamatotību, apstākļi, ko noskaidrojusi apelācijas</w:t>
      </w:r>
      <w:r w:rsidR="008753BF" w:rsidRPr="0056343C">
        <w:rPr>
          <w:rFonts w:eastAsia="Calibri" w:cs="Times New Roman"/>
          <w:szCs w:val="24"/>
        </w:rPr>
        <w:t xml:space="preserve"> </w:t>
      </w:r>
      <w:r w:rsidRPr="0056343C">
        <w:rPr>
          <w:rFonts w:eastAsia="Calibri" w:cs="Times New Roman"/>
          <w:szCs w:val="24"/>
        </w:rPr>
        <w:t>instances tiesa, pierādījumi, kas apstiprina apelācijas instances tiesas atzinumu, motīvi, kāpēc</w:t>
      </w:r>
      <w:r w:rsidR="008753BF" w:rsidRPr="0056343C">
        <w:rPr>
          <w:rFonts w:eastAsia="Calibri" w:cs="Times New Roman"/>
          <w:szCs w:val="24"/>
        </w:rPr>
        <w:t xml:space="preserve"> </w:t>
      </w:r>
      <w:r w:rsidRPr="0056343C">
        <w:rPr>
          <w:rFonts w:eastAsia="Calibri" w:cs="Times New Roman"/>
          <w:szCs w:val="24"/>
        </w:rPr>
        <w:t>apelācijas instances tiesa noraida kādus pierādījumus, un likumi, pēc kuriem tā vadās.</w:t>
      </w:r>
    </w:p>
    <w:p w14:paraId="70992BBB" w14:textId="77777777" w:rsidR="008753BF" w:rsidRPr="0056343C" w:rsidRDefault="008753BF" w:rsidP="0056343C">
      <w:pPr>
        <w:suppressAutoHyphens/>
        <w:autoSpaceDN w:val="0"/>
        <w:spacing w:after="0" w:line="276" w:lineRule="auto"/>
        <w:ind w:right="-6" w:firstLine="720"/>
        <w:contextualSpacing/>
        <w:jc w:val="both"/>
        <w:textAlignment w:val="baseline"/>
        <w:rPr>
          <w:rFonts w:eastAsia="Calibri" w:cs="Times New Roman"/>
          <w:szCs w:val="24"/>
        </w:rPr>
      </w:pPr>
    </w:p>
    <w:p w14:paraId="3F2F8F7C" w14:textId="77777777" w:rsidR="008753BF" w:rsidRPr="0056343C" w:rsidRDefault="008753BF" w:rsidP="0056343C">
      <w:pPr>
        <w:suppressAutoHyphens/>
        <w:autoSpaceDN w:val="0"/>
        <w:spacing w:after="0" w:line="276" w:lineRule="auto"/>
        <w:ind w:right="-6" w:firstLine="720"/>
        <w:contextualSpacing/>
        <w:jc w:val="both"/>
        <w:textAlignment w:val="baseline"/>
        <w:rPr>
          <w:rFonts w:eastAsia="Calibri" w:cs="Times New Roman"/>
          <w:szCs w:val="24"/>
        </w:rPr>
      </w:pPr>
      <w:r w:rsidRPr="0056343C">
        <w:rPr>
          <w:rFonts w:eastAsia="Calibri" w:cs="Times New Roman"/>
          <w:szCs w:val="24"/>
        </w:rPr>
        <w:t xml:space="preserve">[7] </w:t>
      </w:r>
      <w:r w:rsidR="007C2480">
        <w:rPr>
          <w:rFonts w:eastAsia="Calibri" w:cs="Times New Roman"/>
          <w:szCs w:val="24"/>
        </w:rPr>
        <w:t>Noziedzīga</w:t>
      </w:r>
      <w:r w:rsidRPr="0056343C">
        <w:rPr>
          <w:rFonts w:eastAsia="Calibri" w:cs="Times New Roman"/>
          <w:szCs w:val="24"/>
        </w:rPr>
        <w:t xml:space="preserve"> nodarījuma kvalifikācija ir pilnīgas atbilstības konstatēšana starp nodarījuma faktiskajām pazīmēm un Krimināllikuma normā paredzētā konkrētā noziedzīgā </w:t>
      </w:r>
      <w:r w:rsidRPr="0056343C">
        <w:rPr>
          <w:rFonts w:eastAsia="Calibri" w:cs="Times New Roman"/>
          <w:szCs w:val="24"/>
        </w:rPr>
        <w:lastRenderedPageBreak/>
        <w:t xml:space="preserve">nodarījuma sastāva pazīmēm </w:t>
      </w:r>
      <w:r w:rsidRPr="003C3E0D">
        <w:rPr>
          <w:rFonts w:eastAsia="Calibri" w:cs="Times New Roman"/>
          <w:szCs w:val="24"/>
        </w:rPr>
        <w:t>(</w:t>
      </w:r>
      <w:r w:rsidRPr="0056343C">
        <w:rPr>
          <w:rFonts w:eastAsia="Calibri" w:cs="Times New Roman"/>
          <w:i/>
          <w:szCs w:val="24"/>
        </w:rPr>
        <w:t>Krastiņš U., Noziedzīgā nodarījuma sastāvs un nodarījuma kvalifikācija. Rīga: Tiesu namu aģentūra, 2014, 46. lpp.</w:t>
      </w:r>
      <w:r w:rsidRPr="003C3E0D">
        <w:rPr>
          <w:rFonts w:eastAsia="Calibri" w:cs="Times New Roman"/>
          <w:szCs w:val="24"/>
        </w:rPr>
        <w:t>)</w:t>
      </w:r>
      <w:r w:rsidRPr="0056343C">
        <w:rPr>
          <w:rFonts w:eastAsia="Calibri" w:cs="Times New Roman"/>
          <w:i/>
          <w:szCs w:val="24"/>
        </w:rPr>
        <w:t>.</w:t>
      </w:r>
    </w:p>
    <w:p w14:paraId="1EA05DD8" w14:textId="17C0B371" w:rsidR="0056343C" w:rsidRPr="0056343C" w:rsidRDefault="0056343C" w:rsidP="0056343C">
      <w:pPr>
        <w:spacing w:after="0" w:line="276" w:lineRule="auto"/>
        <w:jc w:val="both"/>
        <w:rPr>
          <w:rFonts w:eastAsia="Times New Roman" w:cs="Times New Roman"/>
          <w:szCs w:val="24"/>
          <w:lang w:eastAsia="lv-LV"/>
        </w:rPr>
      </w:pPr>
      <w:r>
        <w:rPr>
          <w:rFonts w:eastAsia="Calibri" w:cs="Times New Roman"/>
          <w:szCs w:val="24"/>
        </w:rPr>
        <w:tab/>
      </w:r>
      <w:r w:rsidRPr="0056343C">
        <w:rPr>
          <w:rFonts w:eastAsia="Times New Roman" w:cs="Times New Roman"/>
          <w:szCs w:val="24"/>
          <w:lang w:eastAsia="lv-LV"/>
        </w:rPr>
        <w:t>Krimināl</w:t>
      </w:r>
      <w:r w:rsidR="00CC2201">
        <w:rPr>
          <w:rFonts w:eastAsia="Times New Roman" w:cs="Times New Roman"/>
          <w:szCs w:val="24"/>
          <w:lang w:eastAsia="lv-LV"/>
        </w:rPr>
        <w:t xml:space="preserve">likuma </w:t>
      </w:r>
      <w:proofErr w:type="gramStart"/>
      <w:r w:rsidR="00CC2201">
        <w:rPr>
          <w:rFonts w:eastAsia="Times New Roman" w:cs="Times New Roman"/>
          <w:szCs w:val="24"/>
          <w:lang w:eastAsia="lv-LV"/>
        </w:rPr>
        <w:t>219.</w:t>
      </w:r>
      <w:r w:rsidR="001A3101">
        <w:rPr>
          <w:rFonts w:eastAsia="Times New Roman" w:cs="Times New Roman"/>
          <w:szCs w:val="24"/>
          <w:lang w:eastAsia="lv-LV"/>
        </w:rPr>
        <w:t>panta</w:t>
      </w:r>
      <w:proofErr w:type="gramEnd"/>
      <w:r w:rsidR="001A3101">
        <w:rPr>
          <w:rFonts w:eastAsia="Times New Roman" w:cs="Times New Roman"/>
          <w:szCs w:val="24"/>
          <w:lang w:eastAsia="lv-LV"/>
        </w:rPr>
        <w:t xml:space="preserve"> otrajā daļā</w:t>
      </w:r>
      <w:r w:rsidRPr="0056343C">
        <w:rPr>
          <w:rFonts w:eastAsia="Times New Roman" w:cs="Times New Roman"/>
          <w:szCs w:val="24"/>
          <w:lang w:eastAsia="lv-LV"/>
        </w:rPr>
        <w:t xml:space="preserve"> paredzēta kriminālatbildība par nepatiesu ziņu norādīšanu likumā noteiktajā ienākumu, īpašuma, darījumu vai cita mantiska rakstura deklarācijā, ja nepatiesas ziņas norādītas par mantu vai citiem ienākumiem lielā apmērā.</w:t>
      </w:r>
    </w:p>
    <w:p w14:paraId="093CDA20" w14:textId="77777777" w:rsidR="0056343C" w:rsidRDefault="0056343C" w:rsidP="0056343C">
      <w:pPr>
        <w:spacing w:after="0" w:line="276" w:lineRule="auto"/>
        <w:ind w:firstLine="709"/>
        <w:jc w:val="both"/>
        <w:rPr>
          <w:rFonts w:eastAsia="Times New Roman" w:cs="Times New Roman"/>
          <w:szCs w:val="24"/>
          <w:lang w:eastAsia="lv-LV"/>
        </w:rPr>
      </w:pPr>
      <w:r w:rsidRPr="0056343C">
        <w:rPr>
          <w:rFonts w:eastAsia="Times New Roman" w:cs="Times New Roman"/>
          <w:szCs w:val="24"/>
          <w:lang w:eastAsia="lv-LV"/>
        </w:rPr>
        <w:t>Krimināll</w:t>
      </w:r>
      <w:r>
        <w:rPr>
          <w:rFonts w:eastAsia="Times New Roman" w:cs="Times New Roman"/>
          <w:szCs w:val="24"/>
          <w:lang w:eastAsia="lv-LV"/>
        </w:rPr>
        <w:t xml:space="preserve">ikuma </w:t>
      </w:r>
      <w:proofErr w:type="gramStart"/>
      <w:r>
        <w:rPr>
          <w:rFonts w:eastAsia="Times New Roman" w:cs="Times New Roman"/>
          <w:szCs w:val="24"/>
          <w:lang w:eastAsia="lv-LV"/>
        </w:rPr>
        <w:t>219.panta</w:t>
      </w:r>
      <w:proofErr w:type="gramEnd"/>
      <w:r>
        <w:rPr>
          <w:rFonts w:eastAsia="Times New Roman" w:cs="Times New Roman"/>
          <w:szCs w:val="24"/>
          <w:lang w:eastAsia="lv-LV"/>
        </w:rPr>
        <w:t xml:space="preserve"> otrajā daļā paredzētā</w:t>
      </w:r>
      <w:r w:rsidRPr="0056343C">
        <w:rPr>
          <w:rFonts w:eastAsia="Times New Roman" w:cs="Times New Roman"/>
          <w:szCs w:val="24"/>
          <w:lang w:eastAsia="lv-LV"/>
        </w:rPr>
        <w:t xml:space="preserve"> </w:t>
      </w:r>
      <w:r>
        <w:rPr>
          <w:rFonts w:eastAsia="Times New Roman" w:cs="Times New Roman"/>
          <w:szCs w:val="24"/>
          <w:lang w:eastAsia="lv-LV"/>
        </w:rPr>
        <w:t>n</w:t>
      </w:r>
      <w:r w:rsidRPr="0056343C">
        <w:rPr>
          <w:rFonts w:eastAsia="Times New Roman" w:cs="Times New Roman"/>
          <w:szCs w:val="24"/>
          <w:lang w:eastAsia="lv-LV"/>
        </w:rPr>
        <w:t xml:space="preserve">oziedzīgā nodarījuma subjekts ir persona, kurai saskaņā ar likumu „Par interešu konflikta novēršanu valsts </w:t>
      </w:r>
      <w:bookmarkStart w:id="0" w:name="_GoBack"/>
      <w:r w:rsidRPr="0056343C">
        <w:rPr>
          <w:rFonts w:eastAsia="Times New Roman" w:cs="Times New Roman"/>
          <w:szCs w:val="24"/>
          <w:lang w:eastAsia="lv-LV"/>
        </w:rPr>
        <w:t>amatperson</w:t>
      </w:r>
      <w:bookmarkEnd w:id="0"/>
      <w:r w:rsidRPr="0056343C">
        <w:rPr>
          <w:rFonts w:eastAsia="Times New Roman" w:cs="Times New Roman"/>
          <w:szCs w:val="24"/>
          <w:lang w:eastAsia="lv-LV"/>
        </w:rPr>
        <w:t>u darbībā”</w:t>
      </w:r>
      <w:r>
        <w:rPr>
          <w:rFonts w:eastAsia="Times New Roman" w:cs="Times New Roman"/>
          <w:szCs w:val="24"/>
          <w:lang w:eastAsia="lv-LV"/>
        </w:rPr>
        <w:t xml:space="preserve"> </w:t>
      </w:r>
      <w:r w:rsidRPr="0056343C">
        <w:rPr>
          <w:rFonts w:eastAsia="Times New Roman" w:cs="Times New Roman"/>
          <w:szCs w:val="24"/>
          <w:lang w:eastAsia="lv-LV"/>
        </w:rPr>
        <w:t xml:space="preserve">uzlikts pienākums iesniegt mantiska rakstura deklarāciju, </w:t>
      </w:r>
      <w:r>
        <w:rPr>
          <w:rFonts w:eastAsia="Times New Roman" w:cs="Times New Roman"/>
          <w:szCs w:val="24"/>
          <w:lang w:eastAsia="lv-LV"/>
        </w:rPr>
        <w:t>tostarp V</w:t>
      </w:r>
      <w:r w:rsidRPr="0056343C">
        <w:rPr>
          <w:rFonts w:eastAsia="Times New Roman" w:cs="Times New Roman"/>
          <w:szCs w:val="24"/>
          <w:lang w:eastAsia="lv-LV"/>
        </w:rPr>
        <w:t xml:space="preserve">alsts </w:t>
      </w:r>
      <w:r>
        <w:rPr>
          <w:rFonts w:eastAsia="Times New Roman" w:cs="Times New Roman"/>
          <w:szCs w:val="24"/>
          <w:lang w:eastAsia="lv-LV"/>
        </w:rPr>
        <w:t xml:space="preserve">ieņēmumu dienesta </w:t>
      </w:r>
      <w:r w:rsidRPr="0056343C">
        <w:rPr>
          <w:rFonts w:eastAsia="Times New Roman" w:cs="Times New Roman"/>
          <w:szCs w:val="24"/>
          <w:lang w:eastAsia="lv-LV"/>
        </w:rPr>
        <w:t xml:space="preserve">amatpersona, </w:t>
      </w:r>
      <w:r>
        <w:rPr>
          <w:rFonts w:eastAsia="Times New Roman" w:cs="Times New Roman"/>
          <w:szCs w:val="24"/>
          <w:lang w:eastAsia="lv-LV"/>
        </w:rPr>
        <w:t xml:space="preserve">kā tas ir konkrētajā lietā. </w:t>
      </w:r>
    </w:p>
    <w:p w14:paraId="2CC2C98B" w14:textId="7B1DD42D" w:rsidR="00C20E4C" w:rsidRDefault="0056343C" w:rsidP="00C20E4C">
      <w:pPr>
        <w:spacing w:after="0" w:line="276" w:lineRule="auto"/>
        <w:ind w:firstLine="709"/>
        <w:jc w:val="both"/>
        <w:rPr>
          <w:rFonts w:eastAsia="Times New Roman" w:cs="Times New Roman"/>
          <w:szCs w:val="24"/>
          <w:lang w:eastAsia="lv-LV"/>
        </w:rPr>
      </w:pPr>
      <w:r w:rsidRPr="0056343C">
        <w:rPr>
          <w:rFonts w:eastAsia="Times New Roman" w:cs="Times New Roman"/>
          <w:szCs w:val="24"/>
          <w:lang w:eastAsia="lv-LV"/>
        </w:rPr>
        <w:t>No subjektīvās puses noziedzīgo nodarīj</w:t>
      </w:r>
      <w:r w:rsidR="00FD507C">
        <w:rPr>
          <w:rFonts w:eastAsia="Times New Roman" w:cs="Times New Roman"/>
          <w:szCs w:val="24"/>
          <w:lang w:eastAsia="lv-LV"/>
        </w:rPr>
        <w:t>umu var izdarīt</w:t>
      </w:r>
      <w:r w:rsidR="002A1760">
        <w:rPr>
          <w:rFonts w:eastAsia="Times New Roman" w:cs="Times New Roman"/>
          <w:szCs w:val="24"/>
          <w:lang w:eastAsia="lv-LV"/>
        </w:rPr>
        <w:t xml:space="preserve"> ar tiešu nodomu, </w:t>
      </w:r>
      <w:r w:rsidR="00C20E4C">
        <w:rPr>
          <w:rFonts w:eastAsia="Times New Roman" w:cs="Times New Roman"/>
          <w:szCs w:val="24"/>
          <w:lang w:eastAsia="lv-LV"/>
        </w:rPr>
        <w:t>proti, persona</w:t>
      </w:r>
      <w:r w:rsidR="00C20E4C" w:rsidRPr="00C20E4C">
        <w:rPr>
          <w:rFonts w:eastAsia="Times New Roman" w:cs="Times New Roman"/>
          <w:szCs w:val="24"/>
          <w:lang w:eastAsia="lv-LV"/>
        </w:rPr>
        <w:t>, kas izdarījusi noziegumu, paredzējusi nodarījuma sekas un vēlējusies tās</w:t>
      </w:r>
      <w:r w:rsidR="003C3E0D">
        <w:rPr>
          <w:rFonts w:eastAsia="Times New Roman" w:cs="Times New Roman"/>
          <w:szCs w:val="24"/>
          <w:lang w:eastAsia="lv-LV"/>
        </w:rPr>
        <w:t xml:space="preserve"> </w:t>
      </w:r>
      <w:proofErr w:type="gramStart"/>
      <w:r w:rsidR="003C3E0D">
        <w:rPr>
          <w:rFonts w:eastAsia="Times New Roman" w:cs="Times New Roman"/>
          <w:szCs w:val="24"/>
          <w:lang w:eastAsia="lv-LV"/>
        </w:rPr>
        <w:t>(</w:t>
      </w:r>
      <w:proofErr w:type="gramEnd"/>
      <w:r w:rsidR="003C3E0D" w:rsidRPr="003C3E0D">
        <w:rPr>
          <w:rFonts w:eastAsia="Times New Roman" w:cs="Times New Roman"/>
          <w:i/>
          <w:szCs w:val="24"/>
          <w:lang w:eastAsia="lv-LV"/>
        </w:rPr>
        <w:t>Krastiņš U., Noziedzīga nodarījuma sastāvs un nodarījuma kvalifikācija. Teorētiskie aspekti. Rīga: Tiesu namu aģentūra, 2014, 143. lpp.</w:t>
      </w:r>
      <w:r w:rsidR="003C3E0D">
        <w:rPr>
          <w:rFonts w:eastAsia="Times New Roman" w:cs="Times New Roman"/>
          <w:szCs w:val="24"/>
          <w:lang w:eastAsia="lv-LV"/>
        </w:rPr>
        <w:t xml:space="preserve">). </w:t>
      </w:r>
    </w:p>
    <w:p w14:paraId="5BC89215" w14:textId="77777777" w:rsidR="00C501DD" w:rsidRDefault="0056343C" w:rsidP="00C501DD">
      <w:pPr>
        <w:spacing w:after="0" w:line="276" w:lineRule="auto"/>
        <w:ind w:firstLine="709"/>
        <w:jc w:val="both"/>
        <w:rPr>
          <w:rFonts w:eastAsia="Times New Roman" w:cs="Times New Roman"/>
          <w:szCs w:val="24"/>
          <w:lang w:eastAsia="lv-LV"/>
        </w:rPr>
      </w:pPr>
      <w:r w:rsidRPr="0056343C">
        <w:rPr>
          <w:rFonts w:eastAsia="Times New Roman" w:cs="Times New Roman"/>
          <w:szCs w:val="24"/>
          <w:lang w:eastAsia="lv-LV"/>
        </w:rPr>
        <w:t xml:space="preserve">Noziedzīgā nodarījuma sastāva objektīvo pusi veido darbības – nepatiesu ziņu norādīšana deklarācijā par mantu vai </w:t>
      </w:r>
      <w:r w:rsidR="00C501DD">
        <w:rPr>
          <w:rFonts w:eastAsia="Times New Roman" w:cs="Times New Roman"/>
          <w:szCs w:val="24"/>
          <w:lang w:eastAsia="lv-LV"/>
        </w:rPr>
        <w:t>citiem ienākumiem lielā apmērā, kā arī bezdarbība – deklarācijas neiesniegšana, pieprasīto ziņu nenorādīšana u.tml.</w:t>
      </w:r>
    </w:p>
    <w:p w14:paraId="3899203F" w14:textId="1F0C3195" w:rsidR="00C501DD" w:rsidRDefault="0056343C" w:rsidP="0056343C">
      <w:pPr>
        <w:spacing w:after="0" w:line="276" w:lineRule="auto"/>
        <w:ind w:firstLine="709"/>
        <w:jc w:val="both"/>
        <w:rPr>
          <w:rFonts w:eastAsia="Times New Roman" w:cs="Times New Roman"/>
          <w:szCs w:val="24"/>
          <w:lang w:eastAsia="lv-LV"/>
        </w:rPr>
      </w:pPr>
      <w:r w:rsidRPr="0056343C">
        <w:rPr>
          <w:rFonts w:eastAsia="Times New Roman" w:cs="Times New Roman"/>
          <w:szCs w:val="24"/>
          <w:lang w:eastAsia="lv-LV"/>
        </w:rPr>
        <w:t xml:space="preserve">Noziedzīgā nodarījuma priekšmets – ienākumu, īpašuma, darījumu vai cita mantiska rakstura deklarācija, </w:t>
      </w:r>
      <w:r w:rsidR="00EF4E39">
        <w:rPr>
          <w:rFonts w:eastAsia="Times New Roman" w:cs="Times New Roman"/>
          <w:szCs w:val="24"/>
          <w:lang w:eastAsia="lv-LV"/>
        </w:rPr>
        <w:t>kas konkrētajā lietā ir</w:t>
      </w:r>
      <w:r w:rsidR="00492002">
        <w:rPr>
          <w:rFonts w:eastAsia="Times New Roman" w:cs="Times New Roman"/>
          <w:szCs w:val="24"/>
          <w:lang w:eastAsia="lv-LV"/>
        </w:rPr>
        <w:t xml:space="preserve"> v</w:t>
      </w:r>
      <w:r w:rsidRPr="0056343C">
        <w:rPr>
          <w:rFonts w:eastAsia="Times New Roman" w:cs="Times New Roman"/>
          <w:szCs w:val="24"/>
          <w:lang w:eastAsia="lv-LV"/>
        </w:rPr>
        <w:t xml:space="preserve">alsts amatpersonas deklarācija. </w:t>
      </w:r>
    </w:p>
    <w:p w14:paraId="6576EAF3" w14:textId="5C0C7E38" w:rsidR="0056343C" w:rsidRPr="0056343C" w:rsidRDefault="0056343C" w:rsidP="0056343C">
      <w:pPr>
        <w:spacing w:after="0" w:line="276" w:lineRule="auto"/>
        <w:ind w:firstLine="709"/>
        <w:jc w:val="both"/>
        <w:rPr>
          <w:rFonts w:eastAsia="Times New Roman" w:cs="Times New Roman"/>
          <w:szCs w:val="24"/>
          <w:lang w:eastAsia="lv-LV"/>
        </w:rPr>
      </w:pPr>
      <w:r w:rsidRPr="0056343C">
        <w:rPr>
          <w:rFonts w:eastAsia="Times New Roman" w:cs="Times New Roman"/>
          <w:szCs w:val="24"/>
          <w:lang w:eastAsia="lv-LV"/>
        </w:rPr>
        <w:t>Liela apmēra jēdziens skaidrots likuma „Par Krimināllikuma spēkā stāšan</w:t>
      </w:r>
      <w:r w:rsidR="00C501DD">
        <w:rPr>
          <w:rFonts w:eastAsia="Times New Roman" w:cs="Times New Roman"/>
          <w:szCs w:val="24"/>
          <w:lang w:eastAsia="lv-LV"/>
        </w:rPr>
        <w:t xml:space="preserve">ās un piemērošanas kārtību” </w:t>
      </w:r>
      <w:proofErr w:type="gramStart"/>
      <w:r w:rsidR="00C501DD">
        <w:rPr>
          <w:rFonts w:eastAsia="Times New Roman" w:cs="Times New Roman"/>
          <w:szCs w:val="24"/>
          <w:lang w:eastAsia="lv-LV"/>
        </w:rPr>
        <w:t>20.</w:t>
      </w:r>
      <w:r w:rsidRPr="0056343C">
        <w:rPr>
          <w:rFonts w:eastAsia="Times New Roman" w:cs="Times New Roman"/>
          <w:szCs w:val="24"/>
          <w:lang w:eastAsia="lv-LV"/>
        </w:rPr>
        <w:t>pant</w:t>
      </w:r>
      <w:r w:rsidR="009F0FF9">
        <w:rPr>
          <w:rFonts w:eastAsia="Times New Roman" w:cs="Times New Roman"/>
          <w:szCs w:val="24"/>
          <w:lang w:eastAsia="lv-LV"/>
        </w:rPr>
        <w:t>ā</w:t>
      </w:r>
      <w:proofErr w:type="gramEnd"/>
      <w:r w:rsidR="009F0FF9">
        <w:rPr>
          <w:rFonts w:eastAsia="Times New Roman" w:cs="Times New Roman"/>
          <w:szCs w:val="24"/>
          <w:lang w:eastAsia="lv-LV"/>
        </w:rPr>
        <w:t>, t. </w:t>
      </w:r>
      <w:r w:rsidRPr="0056343C">
        <w:rPr>
          <w:rFonts w:eastAsia="Times New Roman" w:cs="Times New Roman"/>
          <w:szCs w:val="24"/>
          <w:lang w:eastAsia="lv-LV"/>
        </w:rPr>
        <w:t>i., tam jābūt ne mazākam par piecdesmit nodarījuma izdarīšanas brīdī noteikto minimālo mēnešalgu kopsummu.</w:t>
      </w:r>
    </w:p>
    <w:p w14:paraId="1E2052DB" w14:textId="3D27B23F" w:rsidR="0056343C" w:rsidRPr="00D46E89" w:rsidRDefault="00CC2201" w:rsidP="00D46E89">
      <w:pPr>
        <w:spacing w:after="0" w:line="276" w:lineRule="auto"/>
        <w:ind w:firstLine="709"/>
        <w:jc w:val="both"/>
        <w:rPr>
          <w:rFonts w:eastAsia="Times New Roman" w:cs="Times New Roman"/>
          <w:szCs w:val="24"/>
          <w:lang w:eastAsia="lv-LV"/>
        </w:rPr>
      </w:pPr>
      <w:r w:rsidRPr="00CC2201">
        <w:rPr>
          <w:rFonts w:eastAsia="Times New Roman" w:cs="Times New Roman"/>
          <w:szCs w:val="24"/>
          <w:lang w:eastAsia="lv-LV"/>
        </w:rPr>
        <w:t xml:space="preserve">Krimināllikuma </w:t>
      </w:r>
      <w:proofErr w:type="gramStart"/>
      <w:r w:rsidRPr="00CC2201">
        <w:rPr>
          <w:rFonts w:eastAsia="Times New Roman" w:cs="Times New Roman"/>
          <w:szCs w:val="24"/>
          <w:lang w:eastAsia="lv-LV"/>
        </w:rPr>
        <w:t>219.panta</w:t>
      </w:r>
      <w:proofErr w:type="gramEnd"/>
      <w:r w:rsidRPr="00CC2201">
        <w:rPr>
          <w:rFonts w:eastAsia="Times New Roman" w:cs="Times New Roman"/>
          <w:szCs w:val="24"/>
          <w:lang w:eastAsia="lv-LV"/>
        </w:rPr>
        <w:t xml:space="preserve"> otrajā daļā paredzētā noziedzīgā nodarījuma </w:t>
      </w:r>
      <w:r w:rsidR="0056343C" w:rsidRPr="0056343C">
        <w:rPr>
          <w:rFonts w:eastAsia="Times New Roman" w:cs="Times New Roman"/>
          <w:szCs w:val="24"/>
          <w:lang w:eastAsia="lv-LV"/>
        </w:rPr>
        <w:t xml:space="preserve">tiešais objekts ir tautsaimniecības interešu apdraudējums valsts ieņēmumu sfērā </w:t>
      </w:r>
      <w:r w:rsidR="00C501DD">
        <w:rPr>
          <w:rFonts w:eastAsia="Times New Roman" w:cs="Times New Roman"/>
          <w:szCs w:val="24"/>
          <w:lang w:eastAsia="lv-LV"/>
        </w:rPr>
        <w:t>(</w:t>
      </w:r>
      <w:r w:rsidR="00C501DD" w:rsidRPr="00C501DD">
        <w:rPr>
          <w:rFonts w:eastAsia="Times New Roman" w:cs="Times New Roman"/>
          <w:i/>
          <w:szCs w:val="24"/>
          <w:lang w:eastAsia="lv-LV"/>
        </w:rPr>
        <w:t>K</w:t>
      </w:r>
      <w:r w:rsidR="00FC46F7">
        <w:rPr>
          <w:rFonts w:eastAsia="Times New Roman" w:cs="Times New Roman"/>
          <w:i/>
          <w:szCs w:val="24"/>
          <w:lang w:eastAsia="lv-LV"/>
        </w:rPr>
        <w:t xml:space="preserve">rastiņš U., </w:t>
      </w:r>
      <w:proofErr w:type="spellStart"/>
      <w:r w:rsidR="00FC46F7">
        <w:rPr>
          <w:rFonts w:eastAsia="Times New Roman" w:cs="Times New Roman"/>
          <w:i/>
          <w:szCs w:val="24"/>
          <w:lang w:eastAsia="lv-LV"/>
        </w:rPr>
        <w:t>Liholaja</w:t>
      </w:r>
      <w:proofErr w:type="spellEnd"/>
      <w:r w:rsidR="00FC46F7">
        <w:rPr>
          <w:rFonts w:eastAsia="Times New Roman" w:cs="Times New Roman"/>
          <w:i/>
          <w:szCs w:val="24"/>
          <w:lang w:eastAsia="lv-LV"/>
        </w:rPr>
        <w:t> V., Niedre </w:t>
      </w:r>
      <w:r w:rsidR="00C501DD" w:rsidRPr="00C501DD">
        <w:rPr>
          <w:rFonts w:eastAsia="Times New Roman" w:cs="Times New Roman"/>
          <w:i/>
          <w:szCs w:val="24"/>
          <w:lang w:eastAsia="lv-LV"/>
        </w:rPr>
        <w:t>A. Krimināllikuma zinātniski praktiskais komentārs 3. Sevišķā daļa. Rīga: AFS, 2007, 158.-159. lpp.</w:t>
      </w:r>
      <w:r w:rsidR="00C501DD">
        <w:rPr>
          <w:rFonts w:eastAsia="Times New Roman" w:cs="Times New Roman"/>
          <w:szCs w:val="24"/>
          <w:lang w:eastAsia="lv-LV"/>
        </w:rPr>
        <w:t>)</w:t>
      </w:r>
      <w:r w:rsidR="004625B4">
        <w:rPr>
          <w:rFonts w:eastAsia="Times New Roman" w:cs="Times New Roman"/>
          <w:szCs w:val="24"/>
          <w:lang w:eastAsia="lv-LV"/>
        </w:rPr>
        <w:t>.</w:t>
      </w:r>
    </w:p>
    <w:p w14:paraId="4FF392D6" w14:textId="403D0012" w:rsidR="00A43DC1" w:rsidRDefault="00E1577A" w:rsidP="00A43DC1">
      <w:pPr>
        <w:suppressAutoHyphens/>
        <w:autoSpaceDN w:val="0"/>
        <w:spacing w:after="0" w:line="276" w:lineRule="auto"/>
        <w:ind w:right="-6" w:firstLine="720"/>
        <w:contextualSpacing/>
        <w:jc w:val="both"/>
        <w:textAlignment w:val="baseline"/>
        <w:rPr>
          <w:rFonts w:eastAsia="Calibri" w:cs="Times New Roman"/>
          <w:szCs w:val="24"/>
        </w:rPr>
      </w:pPr>
      <w:r w:rsidRPr="0056343C">
        <w:rPr>
          <w:rFonts w:eastAsia="Calibri" w:cs="Times New Roman"/>
          <w:szCs w:val="24"/>
        </w:rPr>
        <w:t xml:space="preserve">Krimināllikuma </w:t>
      </w:r>
      <w:proofErr w:type="gramStart"/>
      <w:r w:rsidRPr="0056343C">
        <w:rPr>
          <w:rFonts w:eastAsia="Calibri" w:cs="Times New Roman"/>
          <w:szCs w:val="24"/>
        </w:rPr>
        <w:t>219.panta</w:t>
      </w:r>
      <w:proofErr w:type="gramEnd"/>
      <w:r w:rsidRPr="0056343C">
        <w:rPr>
          <w:rFonts w:eastAsia="Calibri" w:cs="Times New Roman"/>
          <w:szCs w:val="24"/>
        </w:rPr>
        <w:t xml:space="preserve"> otrajā daļā paredzētā noziedzīgā nodarījuma sastāva papildus tiešais objekts ir valsts amatpersonu darbības mantiska</w:t>
      </w:r>
      <w:r w:rsidR="00B14CB0">
        <w:rPr>
          <w:rFonts w:eastAsia="Calibri" w:cs="Times New Roman"/>
          <w:szCs w:val="24"/>
        </w:rPr>
        <w:t xml:space="preserve">jā sfērā atklātuma apdraudējums, </w:t>
      </w:r>
      <w:r w:rsidRPr="0056343C">
        <w:rPr>
          <w:rFonts w:eastAsia="Calibri" w:cs="Times New Roman"/>
          <w:szCs w:val="24"/>
        </w:rPr>
        <w:t xml:space="preserve">un tas izriet no šā panta daļas dispozīcijas satura. Krimināllikuma </w:t>
      </w:r>
      <w:proofErr w:type="gramStart"/>
      <w:r w:rsidRPr="0056343C">
        <w:rPr>
          <w:rFonts w:eastAsia="Calibri" w:cs="Times New Roman"/>
          <w:szCs w:val="24"/>
        </w:rPr>
        <w:t>219.panta</w:t>
      </w:r>
      <w:proofErr w:type="gramEnd"/>
      <w:r w:rsidRPr="0056343C">
        <w:rPr>
          <w:rFonts w:eastAsia="Calibri" w:cs="Times New Roman"/>
          <w:szCs w:val="24"/>
        </w:rPr>
        <w:t xml:space="preserve"> otrās daļas dispozīcijā ietvertais jēdziens „manta vai citi ienākumi” ir tulkojams saistībā ar likumu „Par interešu konflikta novēršanu valsts amatpersonu darbībā” un saskaņā </w:t>
      </w:r>
      <w:r w:rsidR="00D46E89" w:rsidRPr="005D03F7">
        <w:rPr>
          <w:rFonts w:eastAsia="Calibri" w:cs="Times New Roman"/>
          <w:szCs w:val="24"/>
        </w:rPr>
        <w:t>ar 2002.gada 22.</w:t>
      </w:r>
      <w:r w:rsidR="0004434B" w:rsidRPr="005D03F7">
        <w:rPr>
          <w:rFonts w:eastAsia="Calibri" w:cs="Times New Roman"/>
          <w:szCs w:val="24"/>
        </w:rPr>
        <w:t xml:space="preserve">oktobra </w:t>
      </w:r>
      <w:r w:rsidRPr="005D03F7">
        <w:rPr>
          <w:rFonts w:eastAsia="Calibri" w:cs="Times New Roman"/>
          <w:szCs w:val="24"/>
        </w:rPr>
        <w:t xml:space="preserve">Ministru Kabineta </w:t>
      </w:r>
      <w:r w:rsidR="0004434B" w:rsidRPr="005D03F7">
        <w:rPr>
          <w:rFonts w:eastAsia="Calibri" w:cs="Times New Roman"/>
          <w:szCs w:val="24"/>
        </w:rPr>
        <w:t>noteikumiem Nr. </w:t>
      </w:r>
      <w:r w:rsidRPr="005D03F7">
        <w:rPr>
          <w:rFonts w:eastAsia="Calibri" w:cs="Times New Roman"/>
          <w:szCs w:val="24"/>
        </w:rPr>
        <w:t>4</w:t>
      </w:r>
      <w:r w:rsidR="0056343C" w:rsidRPr="005D03F7">
        <w:rPr>
          <w:rFonts w:eastAsia="Calibri" w:cs="Times New Roman"/>
          <w:szCs w:val="24"/>
        </w:rPr>
        <w:t>78 </w:t>
      </w:r>
      <w:r w:rsidRPr="005D03F7">
        <w:rPr>
          <w:rFonts w:eastAsia="Calibri" w:cs="Times New Roman"/>
          <w:szCs w:val="24"/>
        </w:rPr>
        <w:t>„Kārtība, kādā aizpildāmas, iesniedza</w:t>
      </w:r>
      <w:r w:rsidRPr="0056343C">
        <w:rPr>
          <w:rFonts w:eastAsia="Calibri" w:cs="Times New Roman"/>
          <w:szCs w:val="24"/>
        </w:rPr>
        <w:t>mas, reģistrējamas un glabājamas valsts amatpersonu deklarācijas un aizpildāmi un iesniedzami valsts amatpersonu saraksti”</w:t>
      </w:r>
      <w:r w:rsidR="0004434B" w:rsidRPr="0056343C">
        <w:rPr>
          <w:rFonts w:eastAsia="Calibri" w:cs="Times New Roman"/>
          <w:szCs w:val="24"/>
        </w:rPr>
        <w:t xml:space="preserve"> (turpmāk – Ministru kabineta noteikumi Nr. 478)</w:t>
      </w:r>
      <w:r w:rsidRPr="0056343C">
        <w:rPr>
          <w:rFonts w:eastAsia="Calibri" w:cs="Times New Roman"/>
          <w:szCs w:val="24"/>
        </w:rPr>
        <w:t>.</w:t>
      </w:r>
      <w:r w:rsidR="0056343C" w:rsidRPr="0056343C">
        <w:rPr>
          <w:rFonts w:eastAsia="Calibri" w:cs="Times New Roman"/>
          <w:szCs w:val="24"/>
        </w:rPr>
        <w:t xml:space="preserve"> Tādējādi </w:t>
      </w:r>
      <w:r w:rsidR="002F11FB" w:rsidRPr="0056343C">
        <w:rPr>
          <w:rFonts w:eastAsia="Calibri" w:cs="Times New Roman"/>
          <w:szCs w:val="24"/>
        </w:rPr>
        <w:t xml:space="preserve">Krimināllikuma 219.panta otrajā daļā </w:t>
      </w:r>
      <w:r w:rsidR="00C9506D">
        <w:rPr>
          <w:rFonts w:eastAsia="Calibri" w:cs="Times New Roman"/>
          <w:szCs w:val="24"/>
        </w:rPr>
        <w:t xml:space="preserve">ietvertais </w:t>
      </w:r>
      <w:r w:rsidR="002F11FB" w:rsidRPr="0056343C">
        <w:rPr>
          <w:rFonts w:eastAsia="Calibri" w:cs="Times New Roman"/>
          <w:szCs w:val="24"/>
        </w:rPr>
        <w:t>jēdziens „manta vai citi ienākumi” att</w:t>
      </w:r>
      <w:r w:rsidR="00D46E89">
        <w:rPr>
          <w:rFonts w:eastAsia="Calibri" w:cs="Times New Roman"/>
          <w:szCs w:val="24"/>
        </w:rPr>
        <w:t xml:space="preserve">iecas uz </w:t>
      </w:r>
      <w:r w:rsidR="004625B4" w:rsidRPr="004625B4">
        <w:rPr>
          <w:rFonts w:eastAsia="Calibri" w:cs="Times New Roman"/>
          <w:szCs w:val="24"/>
        </w:rPr>
        <w:t xml:space="preserve">visu veidu </w:t>
      </w:r>
      <w:r w:rsidR="00492002">
        <w:rPr>
          <w:rFonts w:eastAsia="Calibri" w:cs="Times New Roman"/>
          <w:szCs w:val="24"/>
        </w:rPr>
        <w:t>v</w:t>
      </w:r>
      <w:r w:rsidR="0056343C" w:rsidRPr="0056343C">
        <w:rPr>
          <w:rFonts w:eastAsia="Calibri" w:cs="Times New Roman"/>
          <w:szCs w:val="24"/>
        </w:rPr>
        <w:t xml:space="preserve">alsts amatpersonas </w:t>
      </w:r>
      <w:r w:rsidR="004625B4">
        <w:rPr>
          <w:rFonts w:eastAsia="Calibri" w:cs="Times New Roman"/>
          <w:szCs w:val="24"/>
        </w:rPr>
        <w:t>deklarācijā norādāmajie</w:t>
      </w:r>
      <w:r w:rsidR="002F11FB" w:rsidRPr="0056343C">
        <w:rPr>
          <w:rFonts w:eastAsia="Calibri" w:cs="Times New Roman"/>
          <w:szCs w:val="24"/>
        </w:rPr>
        <w:t xml:space="preserve">m </w:t>
      </w:r>
      <w:r w:rsidR="004625B4" w:rsidRPr="004625B4">
        <w:rPr>
          <w:rFonts w:eastAsia="Calibri" w:cs="Times New Roman"/>
          <w:szCs w:val="24"/>
        </w:rPr>
        <w:t xml:space="preserve">pārskata periodā gūtajiem </w:t>
      </w:r>
      <w:r w:rsidR="004625B4">
        <w:rPr>
          <w:rFonts w:eastAsia="Calibri" w:cs="Times New Roman"/>
          <w:szCs w:val="24"/>
        </w:rPr>
        <w:t>ienākumiem –</w:t>
      </w:r>
      <w:r w:rsidR="004625B4" w:rsidRPr="004625B4">
        <w:rPr>
          <w:rFonts w:eastAsia="Calibri" w:cs="Times New Roman"/>
          <w:szCs w:val="24"/>
        </w:rPr>
        <w:t xml:space="preserve"> </w:t>
      </w:r>
      <w:r w:rsidR="002F11FB" w:rsidRPr="0056343C">
        <w:rPr>
          <w:rFonts w:eastAsia="Calibri" w:cs="Times New Roman"/>
          <w:szCs w:val="24"/>
        </w:rPr>
        <w:t>ziņām par īpašumiem, naudas uzkrājumiem,</w:t>
      </w:r>
      <w:r w:rsidR="003862A9">
        <w:rPr>
          <w:rFonts w:eastAsia="Calibri" w:cs="Times New Roman"/>
          <w:szCs w:val="24"/>
        </w:rPr>
        <w:t xml:space="preserve"> darījumiem, parādsaistībām, </w:t>
      </w:r>
      <w:r w:rsidR="002F11FB" w:rsidRPr="0056343C">
        <w:rPr>
          <w:rFonts w:eastAsia="Calibri" w:cs="Times New Roman"/>
          <w:szCs w:val="24"/>
        </w:rPr>
        <w:t>aizdev</w:t>
      </w:r>
      <w:r w:rsidR="00C9506D">
        <w:rPr>
          <w:rFonts w:eastAsia="Calibri" w:cs="Times New Roman"/>
          <w:szCs w:val="24"/>
        </w:rPr>
        <w:t xml:space="preserve">umiem </w:t>
      </w:r>
      <w:r w:rsidR="008753BF" w:rsidRPr="0056343C">
        <w:rPr>
          <w:rFonts w:eastAsia="Calibri" w:cs="Times New Roman"/>
          <w:szCs w:val="24"/>
        </w:rPr>
        <w:t>(</w:t>
      </w:r>
      <w:r w:rsidR="008753BF" w:rsidRPr="0056343C">
        <w:rPr>
          <w:rFonts w:eastAsia="Calibri" w:cs="Times New Roman"/>
          <w:i/>
          <w:szCs w:val="24"/>
        </w:rPr>
        <w:t>Augstākās tiesas 2008.gada 21.februāra lēmums</w:t>
      </w:r>
      <w:r w:rsidR="00465702" w:rsidRPr="0056343C">
        <w:rPr>
          <w:rFonts w:eastAsia="Calibri" w:cs="Times New Roman"/>
          <w:i/>
          <w:szCs w:val="24"/>
        </w:rPr>
        <w:t xml:space="preserve"> lietā </w:t>
      </w:r>
      <w:proofErr w:type="spellStart"/>
      <w:r w:rsidR="00465702" w:rsidRPr="0056343C">
        <w:rPr>
          <w:rFonts w:eastAsia="Calibri" w:cs="Times New Roman"/>
          <w:i/>
          <w:szCs w:val="24"/>
        </w:rPr>
        <w:t>Nr.SKK-</w:t>
      </w:r>
      <w:r w:rsidR="008753BF" w:rsidRPr="0056343C">
        <w:rPr>
          <w:rFonts w:eastAsia="Calibri" w:cs="Times New Roman"/>
          <w:i/>
          <w:szCs w:val="24"/>
        </w:rPr>
        <w:t>5</w:t>
      </w:r>
      <w:proofErr w:type="spellEnd"/>
      <w:r w:rsidR="008753BF" w:rsidRPr="0056343C">
        <w:rPr>
          <w:rFonts w:eastAsia="Calibri" w:cs="Times New Roman"/>
          <w:i/>
          <w:szCs w:val="24"/>
        </w:rPr>
        <w:t>/2008</w:t>
      </w:r>
      <w:r w:rsidR="00465702" w:rsidRPr="0056343C">
        <w:rPr>
          <w:rFonts w:eastAsia="Calibri" w:cs="Times New Roman"/>
          <w:i/>
          <w:szCs w:val="24"/>
        </w:rPr>
        <w:t xml:space="preserve"> (lieta Nr.</w:t>
      </w:r>
      <w:r w:rsidR="00465702" w:rsidRPr="0056343C">
        <w:rPr>
          <w:rFonts w:eastAsia="Times New Roman" w:cs="Times New Roman"/>
          <w:szCs w:val="24"/>
          <w:lang w:eastAsia="lv-LV"/>
        </w:rPr>
        <w:t xml:space="preserve"> </w:t>
      </w:r>
      <w:r w:rsidR="00465702" w:rsidRPr="0056343C">
        <w:rPr>
          <w:rFonts w:eastAsia="Calibri" w:cs="Times New Roman"/>
          <w:i/>
          <w:szCs w:val="24"/>
        </w:rPr>
        <w:t>15830607606</w:t>
      </w:r>
      <w:r w:rsidR="008753BF" w:rsidRPr="0056343C">
        <w:rPr>
          <w:rFonts w:eastAsia="Calibri" w:cs="Times New Roman"/>
          <w:szCs w:val="24"/>
        </w:rPr>
        <w:t>).</w:t>
      </w:r>
      <w:r w:rsidR="00C9506D" w:rsidRPr="00C9506D">
        <w:rPr>
          <w:rFonts w:eastAsia="Calibri" w:cs="Times New Roman"/>
          <w:szCs w:val="24"/>
        </w:rPr>
        <w:t xml:space="preserve"> </w:t>
      </w:r>
    </w:p>
    <w:p w14:paraId="04AEA9EF" w14:textId="77777777" w:rsidR="00465A46" w:rsidRDefault="00465A46" w:rsidP="00600406">
      <w:pPr>
        <w:suppressAutoHyphens/>
        <w:autoSpaceDN w:val="0"/>
        <w:spacing w:after="0" w:line="276" w:lineRule="auto"/>
        <w:ind w:right="-6" w:firstLine="720"/>
        <w:contextualSpacing/>
        <w:jc w:val="both"/>
        <w:textAlignment w:val="baseline"/>
        <w:rPr>
          <w:rFonts w:eastAsia="Calibri" w:cs="Times New Roman"/>
          <w:szCs w:val="24"/>
        </w:rPr>
      </w:pPr>
    </w:p>
    <w:p w14:paraId="744CB44F" w14:textId="5A7CC88E" w:rsidR="0035143D" w:rsidRDefault="00FC46F7" w:rsidP="0035143D">
      <w:pPr>
        <w:suppressAutoHyphens/>
        <w:autoSpaceDN w:val="0"/>
        <w:spacing w:after="0" w:line="276" w:lineRule="auto"/>
        <w:ind w:right="-6" w:firstLine="720"/>
        <w:contextualSpacing/>
        <w:jc w:val="both"/>
        <w:textAlignment w:val="baseline"/>
      </w:pPr>
      <w:r>
        <w:rPr>
          <w:rFonts w:eastAsia="Calibri" w:cs="Times New Roman"/>
          <w:szCs w:val="24"/>
        </w:rPr>
        <w:t xml:space="preserve">[8] </w:t>
      </w:r>
      <w:r w:rsidR="003770D9">
        <w:rPr>
          <w:rFonts w:eastAsia="Calibri" w:cs="Times New Roman"/>
          <w:szCs w:val="24"/>
        </w:rPr>
        <w:t>Kasācijas</w:t>
      </w:r>
      <w:r>
        <w:rPr>
          <w:rFonts w:eastAsia="Calibri" w:cs="Times New Roman"/>
          <w:szCs w:val="24"/>
        </w:rPr>
        <w:t xml:space="preserve"> instances </w:t>
      </w:r>
      <w:r w:rsidR="003770D9">
        <w:rPr>
          <w:rFonts w:eastAsia="Calibri" w:cs="Times New Roman"/>
          <w:szCs w:val="24"/>
        </w:rPr>
        <w:t xml:space="preserve">tiesa atzīst, </w:t>
      </w:r>
      <w:r>
        <w:rPr>
          <w:rFonts w:eastAsia="Calibri" w:cs="Times New Roman"/>
          <w:szCs w:val="24"/>
        </w:rPr>
        <w:t xml:space="preserve">ka </w:t>
      </w:r>
      <w:r w:rsidR="003770D9">
        <w:rPr>
          <w:rFonts w:eastAsia="Calibri" w:cs="Times New Roman"/>
          <w:szCs w:val="24"/>
        </w:rPr>
        <w:t xml:space="preserve">apsūdzētais </w:t>
      </w:r>
      <w:r w:rsidR="000618CC">
        <w:rPr>
          <w:rFonts w:eastAsia="Calibri" w:cs="Times New Roman"/>
          <w:szCs w:val="24"/>
        </w:rPr>
        <w:t>[pers. A]</w:t>
      </w:r>
      <w:r w:rsidR="003770D9">
        <w:rPr>
          <w:rFonts w:eastAsia="Calibri" w:cs="Times New Roman"/>
          <w:szCs w:val="24"/>
        </w:rPr>
        <w:t xml:space="preserve"> kasācijas sūdzībā nepamatoti atsaucies uz </w:t>
      </w:r>
      <w:r w:rsidR="001277DD" w:rsidRPr="00D037B9">
        <w:t>Nodokļu pārvalde</w:t>
      </w:r>
      <w:r w:rsidR="001277DD">
        <w:t>s</w:t>
      </w:r>
      <w:r w:rsidR="001277DD" w:rsidRPr="00D037B9">
        <w:t xml:space="preserve"> </w:t>
      </w:r>
      <w:proofErr w:type="gramStart"/>
      <w:r w:rsidR="001277DD" w:rsidRPr="00D037B9">
        <w:t>2014.gada</w:t>
      </w:r>
      <w:proofErr w:type="gramEnd"/>
      <w:r w:rsidR="001277DD" w:rsidRPr="00D037B9">
        <w:t xml:space="preserve"> 15.decembra vēstulē Nr. 8.7-7/6172</w:t>
      </w:r>
      <w:r w:rsidR="003770D9">
        <w:t xml:space="preserve"> sniegto viedokli</w:t>
      </w:r>
      <w:r w:rsidR="001277DD">
        <w:t xml:space="preserve"> </w:t>
      </w:r>
      <w:r w:rsidR="00CF4E24">
        <w:t>par valsts amatpersonas deklarācijā norādāmo informāciju.</w:t>
      </w:r>
    </w:p>
    <w:p w14:paraId="3DAE1F8E" w14:textId="76795E42" w:rsidR="0035143D" w:rsidRPr="00D037B9" w:rsidRDefault="0035143D" w:rsidP="008454C3">
      <w:pPr>
        <w:suppressAutoHyphens/>
        <w:autoSpaceDN w:val="0"/>
        <w:spacing w:after="0" w:line="276" w:lineRule="auto"/>
        <w:ind w:right="-6" w:firstLine="720"/>
        <w:contextualSpacing/>
        <w:jc w:val="both"/>
        <w:textAlignment w:val="baseline"/>
      </w:pPr>
      <w:r>
        <w:t xml:space="preserve">[8.1] Nodokļu pārvalde </w:t>
      </w:r>
      <w:proofErr w:type="gramStart"/>
      <w:r w:rsidR="008454C3" w:rsidRPr="00D037B9">
        <w:t>2014.gada</w:t>
      </w:r>
      <w:proofErr w:type="gramEnd"/>
      <w:r w:rsidR="008454C3" w:rsidRPr="00D037B9">
        <w:t xml:space="preserve"> 15.decembra vēstulē Nr. 8.7-7/6172</w:t>
      </w:r>
      <w:r w:rsidR="008454C3">
        <w:t xml:space="preserve"> </w:t>
      </w:r>
      <w:r w:rsidR="00330BEF">
        <w:t>norādījusi</w:t>
      </w:r>
      <w:r>
        <w:t xml:space="preserve">, ka atbilstoši Ministru kabineta noteikumu Nr. 478 3.7.apakšpunktā noteiktajam </w:t>
      </w:r>
      <w:r w:rsidR="000618CC">
        <w:t>[pers. A]</w:t>
      </w:r>
      <w:r w:rsidR="008454C3">
        <w:t xml:space="preserve"> v</w:t>
      </w:r>
      <w:r>
        <w:t>alsts amatpersonas deklarācijā bija jānorāda v</w:t>
      </w:r>
      <w:r w:rsidR="00227C25">
        <w:t>isu veidu</w:t>
      </w:r>
      <w:r>
        <w:t xml:space="preserve"> gūtie ienākumi, tostarp apsūdzētā un viņa radinieku kontos no sporta totalizatoriem saņemtie laimesti neatkarīgi no to apmēra</w:t>
      </w:r>
      <w:r w:rsidR="008454C3">
        <w:t xml:space="preserve">, bet </w:t>
      </w:r>
      <w:r w:rsidR="00227C25">
        <w:t xml:space="preserve">totalizatoriem veiktie pārskaitījumi uzskatāmi </w:t>
      </w:r>
      <w:r w:rsidR="008454C3">
        <w:t xml:space="preserve">par darījumiem </w:t>
      </w:r>
      <w:r>
        <w:t>(</w:t>
      </w:r>
      <w:r w:rsidRPr="00E81F0F">
        <w:rPr>
          <w:i/>
        </w:rPr>
        <w:t>3. sējuma 27. lapa</w:t>
      </w:r>
      <w:r>
        <w:t xml:space="preserve">). </w:t>
      </w:r>
    </w:p>
    <w:p w14:paraId="78EADE37" w14:textId="175FFCEA" w:rsidR="00227C25" w:rsidRPr="00227C25" w:rsidRDefault="00227C25" w:rsidP="00227C25">
      <w:pPr>
        <w:suppressAutoHyphens/>
        <w:autoSpaceDN w:val="0"/>
        <w:spacing w:after="0" w:line="276" w:lineRule="auto"/>
        <w:ind w:right="-6" w:firstLine="720"/>
        <w:contextualSpacing/>
        <w:jc w:val="both"/>
        <w:textAlignment w:val="baseline"/>
      </w:pPr>
      <w:r>
        <w:lastRenderedPageBreak/>
        <w:t xml:space="preserve">Tādējādi apelācijas instances tiesa </w:t>
      </w:r>
      <w:r w:rsidR="00A81B08">
        <w:t xml:space="preserve">lēmumā </w:t>
      </w:r>
      <w:r>
        <w:t xml:space="preserve">pareizi secinājusi, ka apsūdzētais savā un radinieku kontos saņemtos laimestus nepamatoti pielīdzinājis darījumiem un Nodokļu pārvaldes vēstulē izteikto viedokli </w:t>
      </w:r>
      <w:r w:rsidR="00492002">
        <w:t xml:space="preserve">par deklarācijā norādāmo darījumu apmēru </w:t>
      </w:r>
      <w:r>
        <w:t xml:space="preserve">nepamatoti attiecinājis uz savā un radinieku kontos saņemtajiem laimestiem. </w:t>
      </w:r>
    </w:p>
    <w:p w14:paraId="698714A0" w14:textId="0A8AC851" w:rsidR="00410C1B" w:rsidRPr="00492002" w:rsidRDefault="00410C1B" w:rsidP="00492002">
      <w:pPr>
        <w:suppressAutoHyphens/>
        <w:autoSpaceDN w:val="0"/>
        <w:spacing w:after="0" w:line="276" w:lineRule="auto"/>
        <w:ind w:right="-6" w:firstLine="720"/>
        <w:contextualSpacing/>
        <w:jc w:val="both"/>
        <w:textAlignment w:val="baseline"/>
        <w:rPr>
          <w:rFonts w:eastAsia="Calibri" w:cs="Times New Roman"/>
          <w:szCs w:val="24"/>
        </w:rPr>
      </w:pPr>
      <w:r>
        <w:rPr>
          <w:rFonts w:eastAsia="Calibri" w:cs="Times New Roman"/>
          <w:szCs w:val="24"/>
        </w:rPr>
        <w:t>[</w:t>
      </w:r>
      <w:r w:rsidR="00227C25">
        <w:rPr>
          <w:rFonts w:eastAsia="Calibri" w:cs="Times New Roman"/>
          <w:szCs w:val="24"/>
        </w:rPr>
        <w:t>8.2</w:t>
      </w:r>
      <w:r>
        <w:rPr>
          <w:rFonts w:eastAsia="Calibri" w:cs="Times New Roman"/>
          <w:szCs w:val="24"/>
        </w:rPr>
        <w:t>]</w:t>
      </w:r>
      <w:r w:rsidR="00227C25">
        <w:rPr>
          <w:rFonts w:eastAsia="Calibri" w:cs="Times New Roman"/>
          <w:szCs w:val="24"/>
        </w:rPr>
        <w:t xml:space="preserve"> </w:t>
      </w:r>
      <w:r>
        <w:rPr>
          <w:rFonts w:eastAsia="Calibri" w:cs="Times New Roman"/>
          <w:szCs w:val="24"/>
        </w:rPr>
        <w:t xml:space="preserve">Valsts ieņēmumu dienesta </w:t>
      </w:r>
      <w:r w:rsidRPr="003862A9">
        <w:rPr>
          <w:rFonts w:eastAsia="Calibri" w:cs="Times New Roman"/>
          <w:szCs w:val="24"/>
        </w:rPr>
        <w:t>Nodokļu pārvalde</w:t>
      </w:r>
      <w:r>
        <w:rPr>
          <w:rFonts w:eastAsia="Calibri" w:cs="Times New Roman"/>
          <w:szCs w:val="24"/>
        </w:rPr>
        <w:t>s amatpersona, l</w:t>
      </w:r>
      <w:r w:rsidRPr="0056343C">
        <w:rPr>
          <w:rFonts w:eastAsia="Calibri" w:cs="Times New Roman"/>
          <w:szCs w:val="24"/>
        </w:rPr>
        <w:t xml:space="preserve">ieciniece </w:t>
      </w:r>
      <w:r w:rsidR="000618CC">
        <w:rPr>
          <w:rFonts w:eastAsia="Calibri" w:cs="Times New Roman"/>
          <w:szCs w:val="24"/>
        </w:rPr>
        <w:t>[pers. B]</w:t>
      </w:r>
      <w:r>
        <w:rPr>
          <w:rFonts w:eastAsia="Calibri" w:cs="Times New Roman"/>
          <w:szCs w:val="24"/>
        </w:rPr>
        <w:t xml:space="preserve">, </w:t>
      </w:r>
      <w:r w:rsidR="00446B4E">
        <w:rPr>
          <w:rFonts w:eastAsia="Calibri" w:cs="Times New Roman"/>
          <w:szCs w:val="24"/>
        </w:rPr>
        <w:t xml:space="preserve">tiesas izmeklēšanā pirmās instances tiesā </w:t>
      </w:r>
      <w:r>
        <w:rPr>
          <w:rFonts w:eastAsia="Calibri" w:cs="Times New Roman"/>
          <w:szCs w:val="24"/>
        </w:rPr>
        <w:t>papildus paskaid</w:t>
      </w:r>
      <w:r w:rsidR="00B67A10">
        <w:rPr>
          <w:rFonts w:eastAsia="Calibri" w:cs="Times New Roman"/>
          <w:szCs w:val="24"/>
        </w:rPr>
        <w:t>rojusi</w:t>
      </w:r>
      <w:r w:rsidRPr="0056343C">
        <w:rPr>
          <w:rFonts w:eastAsia="Calibri" w:cs="Times New Roman"/>
          <w:szCs w:val="24"/>
        </w:rPr>
        <w:t xml:space="preserve">, </w:t>
      </w:r>
      <w:proofErr w:type="gramStart"/>
      <w:r w:rsidRPr="0056343C">
        <w:rPr>
          <w:rFonts w:eastAsia="Calibri" w:cs="Times New Roman"/>
          <w:szCs w:val="24"/>
        </w:rPr>
        <w:t xml:space="preserve">ka </w:t>
      </w:r>
      <w:r>
        <w:rPr>
          <w:rFonts w:eastAsia="Calibri" w:cs="Times New Roman"/>
          <w:szCs w:val="24"/>
        </w:rPr>
        <w:t>v</w:t>
      </w:r>
      <w:r w:rsidRPr="0056343C">
        <w:rPr>
          <w:rFonts w:eastAsia="Calibri" w:cs="Times New Roman"/>
          <w:szCs w:val="24"/>
        </w:rPr>
        <w:t>a</w:t>
      </w:r>
      <w:r>
        <w:rPr>
          <w:rFonts w:eastAsia="Calibri" w:cs="Times New Roman"/>
          <w:szCs w:val="24"/>
        </w:rPr>
        <w:t>lsts amatpersonas deklarācijā jānorāda</w:t>
      </w:r>
      <w:proofErr w:type="gramEnd"/>
      <w:r>
        <w:rPr>
          <w:rFonts w:eastAsia="Calibri" w:cs="Times New Roman"/>
          <w:szCs w:val="24"/>
        </w:rPr>
        <w:t xml:space="preserve"> visu veidu gūtie ienākumi pārskata periodā</w:t>
      </w:r>
      <w:r w:rsidRPr="0056343C">
        <w:rPr>
          <w:rFonts w:eastAsia="Calibri" w:cs="Times New Roman"/>
          <w:szCs w:val="24"/>
        </w:rPr>
        <w:t xml:space="preserve">, </w:t>
      </w:r>
      <w:r w:rsidR="00813FCF">
        <w:rPr>
          <w:rFonts w:eastAsia="Calibri" w:cs="Times New Roman"/>
          <w:szCs w:val="24"/>
        </w:rPr>
        <w:t xml:space="preserve">tostarp laimesti, </w:t>
      </w:r>
      <w:r w:rsidRPr="0056343C">
        <w:rPr>
          <w:rFonts w:eastAsia="Calibri" w:cs="Times New Roman"/>
          <w:szCs w:val="24"/>
        </w:rPr>
        <w:t>sākot ar pirmo centu</w:t>
      </w:r>
      <w:r>
        <w:rPr>
          <w:rFonts w:eastAsia="Calibri" w:cs="Times New Roman"/>
          <w:szCs w:val="24"/>
        </w:rPr>
        <w:t xml:space="preserve">. Azartspēles nav saimnieciskā </w:t>
      </w:r>
      <w:r w:rsidRPr="0056343C">
        <w:rPr>
          <w:rFonts w:eastAsia="Calibri" w:cs="Times New Roman"/>
          <w:szCs w:val="24"/>
        </w:rPr>
        <w:t xml:space="preserve">darbība, tāpēc attiecībā uz </w:t>
      </w:r>
      <w:r>
        <w:rPr>
          <w:rFonts w:eastAsia="Calibri" w:cs="Times New Roman"/>
          <w:szCs w:val="24"/>
        </w:rPr>
        <w:t xml:space="preserve">azartspēļu rezultātā gūtiem </w:t>
      </w:r>
      <w:r w:rsidRPr="0056343C">
        <w:rPr>
          <w:rFonts w:eastAsia="Calibri" w:cs="Times New Roman"/>
          <w:szCs w:val="24"/>
        </w:rPr>
        <w:t xml:space="preserve">laimestiem </w:t>
      </w:r>
      <w:r>
        <w:rPr>
          <w:rFonts w:eastAsia="Calibri" w:cs="Times New Roman"/>
          <w:szCs w:val="24"/>
        </w:rPr>
        <w:t xml:space="preserve">neaprēķina ieņēmumus, izdevumus vai zaudējumus. </w:t>
      </w:r>
    </w:p>
    <w:p w14:paraId="231B7ED8" w14:textId="5CE5CE18" w:rsidR="00227C25" w:rsidRDefault="00006725" w:rsidP="00227C25">
      <w:pPr>
        <w:suppressAutoHyphens/>
        <w:autoSpaceDN w:val="0"/>
        <w:spacing w:after="0" w:line="276" w:lineRule="auto"/>
        <w:ind w:right="-6" w:firstLine="720"/>
        <w:contextualSpacing/>
        <w:jc w:val="both"/>
        <w:textAlignment w:val="baseline"/>
        <w:rPr>
          <w:rFonts w:eastAsia="Calibri" w:cs="Times New Roman"/>
          <w:szCs w:val="24"/>
        </w:rPr>
      </w:pPr>
      <w:r>
        <w:t xml:space="preserve">Tādējādi </w:t>
      </w:r>
      <w:r>
        <w:rPr>
          <w:rFonts w:eastAsia="Calibri" w:cs="Times New Roman"/>
          <w:szCs w:val="24"/>
        </w:rPr>
        <w:t>a</w:t>
      </w:r>
      <w:r w:rsidR="00227C25" w:rsidRPr="0056343C">
        <w:rPr>
          <w:rFonts w:eastAsia="Calibri" w:cs="Times New Roman"/>
          <w:szCs w:val="24"/>
        </w:rPr>
        <w:t>pelācijas instances tiesa atbilstoši likuma „Par interešu konflikta novēršanu valsts amatpersonu darbī</w:t>
      </w:r>
      <w:r w:rsidR="00227C25">
        <w:rPr>
          <w:rFonts w:eastAsia="Calibri" w:cs="Times New Roman"/>
          <w:szCs w:val="24"/>
        </w:rPr>
        <w:t xml:space="preserve">bā” </w:t>
      </w:r>
      <w:proofErr w:type="gramStart"/>
      <w:r w:rsidR="00227C25">
        <w:rPr>
          <w:rFonts w:eastAsia="Calibri" w:cs="Times New Roman"/>
          <w:szCs w:val="24"/>
        </w:rPr>
        <w:t>24.panta</w:t>
      </w:r>
      <w:proofErr w:type="gramEnd"/>
      <w:r w:rsidR="00227C25">
        <w:rPr>
          <w:rFonts w:eastAsia="Calibri" w:cs="Times New Roman"/>
          <w:szCs w:val="24"/>
        </w:rPr>
        <w:t xml:space="preserve"> pirmās daļas </w:t>
      </w:r>
      <w:r w:rsidR="00227C25" w:rsidRPr="0056343C">
        <w:rPr>
          <w:rFonts w:eastAsia="Calibri" w:cs="Times New Roman"/>
          <w:szCs w:val="24"/>
        </w:rPr>
        <w:t xml:space="preserve">8.punktā noteiktajam, kā arī Ministru kabineta noteikumu Nr. 478 3.7.apakšpunktā noteiktajam konstatējusi, ka apsūdzētajam </w:t>
      </w:r>
      <w:r w:rsidR="000618CC">
        <w:rPr>
          <w:rFonts w:eastAsia="Calibri" w:cs="Times New Roman"/>
          <w:szCs w:val="24"/>
        </w:rPr>
        <w:t>[pers. A]</w:t>
      </w:r>
      <w:r w:rsidR="00227C25" w:rsidRPr="0056343C">
        <w:rPr>
          <w:rFonts w:eastAsia="Calibri" w:cs="Times New Roman"/>
          <w:szCs w:val="24"/>
        </w:rPr>
        <w:t xml:space="preserve"> bija jādeklarē visi ienākumi, kurus viņš ieguva 2013.gadā, tostarp </w:t>
      </w:r>
      <w:r w:rsidR="00BA62A2" w:rsidRPr="0056343C">
        <w:rPr>
          <w:rFonts w:eastAsia="Calibri" w:cs="Times New Roman"/>
          <w:szCs w:val="24"/>
        </w:rPr>
        <w:t xml:space="preserve">no sporta totalizatoriem </w:t>
      </w:r>
      <w:r w:rsidR="00227C25" w:rsidRPr="0056343C">
        <w:rPr>
          <w:rFonts w:eastAsia="Calibri" w:cs="Times New Roman"/>
          <w:szCs w:val="24"/>
        </w:rPr>
        <w:t>saņemtie laimesti neatkarī</w:t>
      </w:r>
      <w:r w:rsidR="00227C25">
        <w:rPr>
          <w:rFonts w:eastAsia="Calibri" w:cs="Times New Roman"/>
          <w:szCs w:val="24"/>
        </w:rPr>
        <w:t xml:space="preserve">gi no </w:t>
      </w:r>
      <w:r w:rsidR="00446B4E">
        <w:rPr>
          <w:rFonts w:eastAsia="Calibri" w:cs="Times New Roman"/>
          <w:szCs w:val="24"/>
        </w:rPr>
        <w:t>to summas, izdevumiem un</w:t>
      </w:r>
      <w:r w:rsidR="00B67A10">
        <w:rPr>
          <w:rFonts w:eastAsia="Calibri" w:cs="Times New Roman"/>
          <w:szCs w:val="24"/>
        </w:rPr>
        <w:t xml:space="preserve"> zaudējumiem.</w:t>
      </w:r>
    </w:p>
    <w:p w14:paraId="4259681D" w14:textId="325093C0" w:rsidR="00227C25" w:rsidRDefault="008454C3" w:rsidP="00227C25">
      <w:pPr>
        <w:suppressAutoHyphens/>
        <w:autoSpaceDN w:val="0"/>
        <w:spacing w:after="0" w:line="276" w:lineRule="auto"/>
        <w:ind w:right="-6" w:firstLine="720"/>
        <w:contextualSpacing/>
        <w:jc w:val="both"/>
        <w:textAlignment w:val="baseline"/>
      </w:pPr>
      <w:r>
        <w:t>[</w:t>
      </w:r>
      <w:r w:rsidR="00D17D33">
        <w:t>8.</w:t>
      </w:r>
      <w:r w:rsidR="00227C25">
        <w:t>3</w:t>
      </w:r>
      <w:r>
        <w:t xml:space="preserve">] </w:t>
      </w:r>
      <w:r w:rsidR="0035143D">
        <w:t xml:space="preserve">Ministru kabineta noteikumu Nr. 478 pielikumā </w:t>
      </w:r>
      <w:r w:rsidR="00F43560">
        <w:t xml:space="preserve">esošās deklarācijas veidlapā </w:t>
      </w:r>
      <w:r w:rsidR="0035143D">
        <w:t xml:space="preserve">uzskaitīti deklarējamo ienākumu veidi. Deklarācijas veidlapas 7.punktā </w:t>
      </w:r>
      <w:r w:rsidR="00410C1B">
        <w:t xml:space="preserve">laimesti </w:t>
      </w:r>
      <w:r w:rsidR="0035143D">
        <w:t xml:space="preserve">nepārprotami </w:t>
      </w:r>
      <w:r w:rsidR="00410C1B">
        <w:t>norādīti</w:t>
      </w:r>
      <w:r w:rsidR="0035143D">
        <w:t xml:space="preserve"> </w:t>
      </w:r>
      <w:r w:rsidR="00410C1B">
        <w:t>kā deklarējamie ienākumi</w:t>
      </w:r>
      <w:r w:rsidR="0035143D">
        <w:t xml:space="preserve">. </w:t>
      </w:r>
    </w:p>
    <w:p w14:paraId="6E606ABF" w14:textId="2A93B9FE" w:rsidR="0035143D" w:rsidRPr="00410C1B" w:rsidRDefault="0035143D" w:rsidP="00410C1B">
      <w:pPr>
        <w:suppressAutoHyphens/>
        <w:autoSpaceDN w:val="0"/>
        <w:spacing w:after="0" w:line="276" w:lineRule="auto"/>
        <w:ind w:right="-6" w:firstLine="720"/>
        <w:contextualSpacing/>
        <w:jc w:val="both"/>
        <w:textAlignment w:val="baseline"/>
      </w:pPr>
      <w:r>
        <w:t xml:space="preserve">Tādējādi apelācijas instances tiesa </w:t>
      </w:r>
      <w:r w:rsidR="008A4C8C">
        <w:t xml:space="preserve">lēmumā </w:t>
      </w:r>
      <w:r>
        <w:t>pamatoti norādījusi, ka apsūdzētajam bija zināmas Minis</w:t>
      </w:r>
      <w:r w:rsidR="00BA62A2">
        <w:t>tru kabineta noteikumos Nr. 47</w:t>
      </w:r>
      <w:r>
        <w:t>8 noteikt</w:t>
      </w:r>
      <w:r w:rsidR="008A4C8C">
        <w:t>ās v</w:t>
      </w:r>
      <w:r>
        <w:t>alsts amatpersonu deklarācijas aizpildīšanas prasības.</w:t>
      </w:r>
    </w:p>
    <w:p w14:paraId="024766A2" w14:textId="77777777" w:rsidR="008A4C8C" w:rsidRDefault="008A4C8C" w:rsidP="0035143D">
      <w:pPr>
        <w:suppressAutoHyphens/>
        <w:autoSpaceDN w:val="0"/>
        <w:spacing w:after="0" w:line="276" w:lineRule="auto"/>
        <w:ind w:right="-6" w:firstLine="720"/>
        <w:contextualSpacing/>
        <w:jc w:val="both"/>
        <w:textAlignment w:val="baseline"/>
        <w:rPr>
          <w:rFonts w:eastAsia="Calibri" w:cs="Times New Roman"/>
          <w:szCs w:val="24"/>
        </w:rPr>
      </w:pPr>
    </w:p>
    <w:p w14:paraId="11A1CA19" w14:textId="7799E855" w:rsidR="00D17D33" w:rsidRDefault="00D13CDD" w:rsidP="00BE6D15">
      <w:pPr>
        <w:suppressAutoHyphens/>
        <w:autoSpaceDN w:val="0"/>
        <w:spacing w:after="0" w:line="276" w:lineRule="auto"/>
        <w:ind w:right="-6" w:firstLine="720"/>
        <w:contextualSpacing/>
        <w:jc w:val="both"/>
        <w:textAlignment w:val="baseline"/>
      </w:pPr>
      <w:r>
        <w:rPr>
          <w:rFonts w:eastAsia="Calibri" w:cs="Times New Roman"/>
          <w:szCs w:val="24"/>
        </w:rPr>
        <w:t>[</w:t>
      </w:r>
      <w:r w:rsidR="00492002">
        <w:rPr>
          <w:rFonts w:eastAsia="Calibri" w:cs="Times New Roman"/>
          <w:szCs w:val="24"/>
        </w:rPr>
        <w:t>9</w:t>
      </w:r>
      <w:r>
        <w:rPr>
          <w:rFonts w:eastAsia="Calibri" w:cs="Times New Roman"/>
          <w:szCs w:val="24"/>
        </w:rPr>
        <w:t>]</w:t>
      </w:r>
      <w:r w:rsidR="00465A46">
        <w:rPr>
          <w:rFonts w:eastAsia="Calibri" w:cs="Times New Roman"/>
          <w:szCs w:val="24"/>
        </w:rPr>
        <w:t xml:space="preserve"> </w:t>
      </w:r>
      <w:r w:rsidR="00D17D33">
        <w:t xml:space="preserve">Apelācijas instances tiesa </w:t>
      </w:r>
      <w:r w:rsidR="00DC2A04">
        <w:t xml:space="preserve">lēmumā </w:t>
      </w:r>
      <w:r w:rsidR="00D17D33">
        <w:t>pamatoti atzinusi, ka 2800 </w:t>
      </w:r>
      <w:proofErr w:type="spellStart"/>
      <w:r w:rsidR="00D17D33" w:rsidRPr="00011821">
        <w:rPr>
          <w:i/>
        </w:rPr>
        <w:t>euro</w:t>
      </w:r>
      <w:proofErr w:type="spellEnd"/>
      <w:r w:rsidR="00D17D33">
        <w:t>, kurus apsūdzētais</w:t>
      </w:r>
      <w:r w:rsidR="00805BB4">
        <w:t xml:space="preserve"> </w:t>
      </w:r>
      <w:r w:rsidR="000618CC">
        <w:t>[pers. A]</w:t>
      </w:r>
      <w:r w:rsidR="00D17D33">
        <w:t xml:space="preserve"> </w:t>
      </w:r>
      <w:proofErr w:type="gramStart"/>
      <w:r w:rsidR="00D17D33" w:rsidRPr="00011821">
        <w:t>2014.gada</w:t>
      </w:r>
      <w:proofErr w:type="gramEnd"/>
      <w:r w:rsidR="00D17D33" w:rsidRPr="00011821">
        <w:t xml:space="preserve"> 25.februārī</w:t>
      </w:r>
      <w:r w:rsidR="00D17D33">
        <w:t xml:space="preserve"> esot pārskaitījis brālim kā parādu, bija </w:t>
      </w:r>
      <w:r w:rsidR="00BA62A2">
        <w:t>jāiekļauj</w:t>
      </w:r>
      <w:r w:rsidR="00D17D33">
        <w:t xml:space="preserve"> valsts amatpersonu deklarācij</w:t>
      </w:r>
      <w:r w:rsidR="00343E9F">
        <w:t>ā par 2013.gadu.</w:t>
      </w:r>
    </w:p>
    <w:p w14:paraId="57B92471" w14:textId="57A0FEED" w:rsidR="008A4C8C" w:rsidRDefault="00F43560" w:rsidP="00BE6D15">
      <w:pPr>
        <w:suppressAutoHyphens/>
        <w:autoSpaceDN w:val="0"/>
        <w:spacing w:after="0" w:line="276" w:lineRule="auto"/>
        <w:ind w:right="-6" w:firstLine="720"/>
        <w:contextualSpacing/>
        <w:jc w:val="both"/>
        <w:textAlignment w:val="baseline"/>
      </w:pPr>
      <w:r>
        <w:t xml:space="preserve">Atbilstoši </w:t>
      </w:r>
      <w:r w:rsidR="00465A46">
        <w:t>Ministru kabineta noteiku</w:t>
      </w:r>
      <w:r>
        <w:t>mu Nr. 478 10.punktā noteiktajam ziņas par bezskaidra</w:t>
      </w:r>
      <w:r w:rsidRPr="00343E9F">
        <w:t>s naudas uzkrājumiem</w:t>
      </w:r>
      <w:r>
        <w:t xml:space="preserve"> </w:t>
      </w:r>
      <w:r w:rsidR="00465A46" w:rsidRPr="00D13CDD">
        <w:t>sniedzama</w:t>
      </w:r>
      <w:r w:rsidR="0035143D">
        <w:t>s par stāvokli kārtējā kalendārā</w:t>
      </w:r>
      <w:r w:rsidR="00465A46" w:rsidRPr="00D13CDD">
        <w:t xml:space="preserve"> gada </w:t>
      </w:r>
      <w:proofErr w:type="gramStart"/>
      <w:r w:rsidR="00465A46" w:rsidRPr="00D13CDD">
        <w:t>31.decembrī</w:t>
      </w:r>
      <w:proofErr w:type="gramEnd"/>
      <w:r w:rsidR="00465A46">
        <w:t>. Apsūdzētais 2800 </w:t>
      </w:r>
      <w:proofErr w:type="spellStart"/>
      <w:r w:rsidR="00465A46" w:rsidRPr="00D13CDD">
        <w:rPr>
          <w:i/>
        </w:rPr>
        <w:t>euro</w:t>
      </w:r>
      <w:proofErr w:type="spellEnd"/>
      <w:r w:rsidR="00465A46">
        <w:t xml:space="preserve"> </w:t>
      </w:r>
      <w:r w:rsidR="001277DD">
        <w:t xml:space="preserve">no bezskaidras naudas uzkrājumiem </w:t>
      </w:r>
      <w:r w:rsidR="00465A46">
        <w:t xml:space="preserve">pārskaitīja </w:t>
      </w:r>
      <w:proofErr w:type="gramStart"/>
      <w:r w:rsidR="00465A46" w:rsidRPr="00D13CDD">
        <w:t>2014.gada</w:t>
      </w:r>
      <w:proofErr w:type="gramEnd"/>
      <w:r w:rsidR="00465A46" w:rsidRPr="00D13CDD">
        <w:t xml:space="preserve"> 25.februārī</w:t>
      </w:r>
      <w:r w:rsidR="00465A46">
        <w:t xml:space="preserve">. </w:t>
      </w:r>
    </w:p>
    <w:p w14:paraId="5F47714D" w14:textId="22A79355" w:rsidR="00C425DF" w:rsidRDefault="00C425DF" w:rsidP="00BE6D15">
      <w:pPr>
        <w:suppressAutoHyphens/>
        <w:autoSpaceDN w:val="0"/>
        <w:spacing w:after="0" w:line="276" w:lineRule="auto"/>
        <w:ind w:right="-6" w:firstLine="720"/>
        <w:contextualSpacing/>
        <w:jc w:val="both"/>
        <w:textAlignment w:val="baseline"/>
      </w:pPr>
      <w:r>
        <w:t xml:space="preserve">Tādējādi </w:t>
      </w:r>
      <w:r w:rsidR="00BE6D15">
        <w:t>apsūdzētais nepamatoti</w:t>
      </w:r>
      <w:r w:rsidR="009B6AE9">
        <w:t xml:space="preserve"> atsaucies uz Nodokļu pārvaldes </w:t>
      </w:r>
      <w:proofErr w:type="gramStart"/>
      <w:r w:rsidR="00BE6D15">
        <w:t>2014.gada</w:t>
      </w:r>
      <w:proofErr w:type="gramEnd"/>
      <w:r w:rsidR="00BE6D15">
        <w:t xml:space="preserve"> 22.novembra vēstuli</w:t>
      </w:r>
      <w:r w:rsidR="00BE6D15" w:rsidRPr="00BE6D15">
        <w:t xml:space="preserve"> Nr. 8.7-7/5597</w:t>
      </w:r>
      <w:r w:rsidR="00227C08">
        <w:t xml:space="preserve"> </w:t>
      </w:r>
      <w:r w:rsidR="009D7451">
        <w:t>(</w:t>
      </w:r>
      <w:r w:rsidR="009D7451" w:rsidRPr="009B6AE9">
        <w:rPr>
          <w:i/>
        </w:rPr>
        <w:t>3. sējuma 23.-24. lapa</w:t>
      </w:r>
      <w:r w:rsidR="009D7451">
        <w:t>)</w:t>
      </w:r>
      <w:r>
        <w:t>, norādot, ka parādsaistības 2800 </w:t>
      </w:r>
      <w:proofErr w:type="spellStart"/>
      <w:r w:rsidRPr="00C425DF">
        <w:rPr>
          <w:i/>
        </w:rPr>
        <w:t>euro</w:t>
      </w:r>
      <w:proofErr w:type="spellEnd"/>
      <w:r>
        <w:t xml:space="preserve"> viņam nebija jādeklarē, jo to summa nepārsniedz 20 Ministru kabineta </w:t>
      </w:r>
      <w:r w:rsidR="009B6AE9">
        <w:t>not</w:t>
      </w:r>
      <w:r w:rsidR="009D7451">
        <w:t>eiktās minimālās mēnešalgas.</w:t>
      </w:r>
    </w:p>
    <w:p w14:paraId="27E1F188" w14:textId="77777777" w:rsidR="00064835" w:rsidRDefault="00064835" w:rsidP="004A0572">
      <w:pPr>
        <w:suppressAutoHyphens/>
        <w:autoSpaceDN w:val="0"/>
        <w:spacing w:after="0" w:line="276" w:lineRule="auto"/>
        <w:ind w:right="-6" w:firstLine="720"/>
        <w:contextualSpacing/>
        <w:jc w:val="both"/>
        <w:textAlignment w:val="baseline"/>
        <w:rPr>
          <w:rFonts w:eastAsia="Calibri" w:cs="Times New Roman"/>
          <w:szCs w:val="24"/>
        </w:rPr>
      </w:pPr>
    </w:p>
    <w:p w14:paraId="3AE42643" w14:textId="0190FCC7" w:rsidR="004A0572" w:rsidRPr="00BA62A2" w:rsidRDefault="0092394A" w:rsidP="00BA62A2">
      <w:pPr>
        <w:suppressAutoHyphens/>
        <w:autoSpaceDN w:val="0"/>
        <w:spacing w:after="0" w:line="276" w:lineRule="auto"/>
        <w:ind w:right="-6" w:firstLine="720"/>
        <w:contextualSpacing/>
        <w:jc w:val="both"/>
        <w:textAlignment w:val="baseline"/>
        <w:rPr>
          <w:rFonts w:eastAsia="Calibri" w:cs="Times New Roman"/>
          <w:szCs w:val="24"/>
        </w:rPr>
      </w:pPr>
      <w:r>
        <w:rPr>
          <w:rFonts w:eastAsia="Calibri" w:cs="Times New Roman"/>
          <w:szCs w:val="24"/>
        </w:rPr>
        <w:t>[10</w:t>
      </w:r>
      <w:r w:rsidR="00343E9F">
        <w:rPr>
          <w:rFonts w:eastAsia="Calibri" w:cs="Times New Roman"/>
          <w:szCs w:val="24"/>
        </w:rPr>
        <w:t xml:space="preserve">] </w:t>
      </w:r>
      <w:r w:rsidR="00D17D33">
        <w:rPr>
          <w:rFonts w:eastAsia="Calibri" w:cs="Times New Roman"/>
          <w:szCs w:val="24"/>
        </w:rPr>
        <w:t>A</w:t>
      </w:r>
      <w:r w:rsidR="00BA62A2">
        <w:rPr>
          <w:rFonts w:eastAsia="Calibri" w:cs="Times New Roman"/>
          <w:szCs w:val="24"/>
        </w:rPr>
        <w:t>pelācijas instances tiesa</w:t>
      </w:r>
      <w:r w:rsidR="00D17D33" w:rsidRPr="0071323A">
        <w:rPr>
          <w:rFonts w:eastAsia="Calibri" w:cs="Times New Roman"/>
          <w:szCs w:val="24"/>
        </w:rPr>
        <w:t xml:space="preserve"> izvērtēju</w:t>
      </w:r>
      <w:r w:rsidR="00D17D33">
        <w:rPr>
          <w:rFonts w:eastAsia="Calibri" w:cs="Times New Roman"/>
          <w:szCs w:val="24"/>
        </w:rPr>
        <w:t xml:space="preserve">si apelācijas sūdzībā norādītos </w:t>
      </w:r>
      <w:r w:rsidR="00D17D33" w:rsidRPr="0071323A">
        <w:rPr>
          <w:rFonts w:eastAsia="Calibri" w:cs="Times New Roman"/>
          <w:szCs w:val="24"/>
        </w:rPr>
        <w:t xml:space="preserve">argumentus, pārbaudījusi un novērtējusi pierādījumus lietā, </w:t>
      </w:r>
      <w:r w:rsidR="00D17D33">
        <w:rPr>
          <w:rFonts w:eastAsia="Calibri" w:cs="Times New Roman"/>
          <w:szCs w:val="24"/>
        </w:rPr>
        <w:t>atzinusi</w:t>
      </w:r>
      <w:r w:rsidR="00D17D33" w:rsidRPr="0071323A">
        <w:rPr>
          <w:rFonts w:eastAsia="Calibri" w:cs="Times New Roman"/>
          <w:szCs w:val="24"/>
        </w:rPr>
        <w:t>, ka</w:t>
      </w:r>
      <w:r w:rsidR="00D17D33">
        <w:rPr>
          <w:rFonts w:eastAsia="Calibri" w:cs="Times New Roman"/>
          <w:szCs w:val="24"/>
        </w:rPr>
        <w:t xml:space="preserve"> a</w:t>
      </w:r>
      <w:r w:rsidR="00D17D33" w:rsidRPr="0071323A">
        <w:rPr>
          <w:rFonts w:eastAsia="Calibri" w:cs="Times New Roman"/>
          <w:szCs w:val="24"/>
        </w:rPr>
        <w:t xml:space="preserve">psūdzētā </w:t>
      </w:r>
      <w:r w:rsidR="000618CC">
        <w:rPr>
          <w:rFonts w:eastAsia="Calibri" w:cs="Times New Roman"/>
          <w:szCs w:val="24"/>
        </w:rPr>
        <w:t>[pers. A]</w:t>
      </w:r>
      <w:r w:rsidR="00D17D33">
        <w:rPr>
          <w:rFonts w:eastAsia="Calibri" w:cs="Times New Roman"/>
          <w:szCs w:val="24"/>
        </w:rPr>
        <w:t xml:space="preserve"> </w:t>
      </w:r>
      <w:r w:rsidR="00D17D33" w:rsidRPr="0071323A">
        <w:rPr>
          <w:rFonts w:eastAsia="Calibri" w:cs="Times New Roman"/>
          <w:szCs w:val="24"/>
        </w:rPr>
        <w:t>vaina viņam inkriminē</w:t>
      </w:r>
      <w:r w:rsidR="00D17D33">
        <w:rPr>
          <w:rFonts w:eastAsia="Calibri" w:cs="Times New Roman"/>
          <w:szCs w:val="24"/>
        </w:rPr>
        <w:t xml:space="preserve">tajā noziedzīgajā nodarījumā ir </w:t>
      </w:r>
      <w:r w:rsidR="00D17D33" w:rsidRPr="0071323A">
        <w:rPr>
          <w:rFonts w:eastAsia="Calibri" w:cs="Times New Roman"/>
          <w:szCs w:val="24"/>
        </w:rPr>
        <w:t xml:space="preserve">pierādīta pilnībā. </w:t>
      </w:r>
      <w:r w:rsidR="00BA62A2">
        <w:rPr>
          <w:rFonts w:eastAsia="Calibri" w:cs="Times New Roman"/>
          <w:szCs w:val="24"/>
        </w:rPr>
        <w:t xml:space="preserve">Turklāt </w:t>
      </w:r>
      <w:r w:rsidR="004A0572">
        <w:rPr>
          <w:rFonts w:eastAsia="Calibri" w:cs="Times New Roman"/>
          <w:szCs w:val="24"/>
        </w:rPr>
        <w:t>a</w:t>
      </w:r>
      <w:r w:rsidR="004A0572" w:rsidRPr="0056343C">
        <w:rPr>
          <w:rFonts w:eastAsia="Calibri" w:cs="Times New Roman"/>
          <w:szCs w:val="24"/>
        </w:rPr>
        <w:t xml:space="preserve">pelācijas instances tiesa, izvērtējot pierādījumus atbilstoši Kriminālprocesa likuma prasībām, </w:t>
      </w:r>
      <w:r w:rsidR="004A0572">
        <w:rPr>
          <w:rFonts w:eastAsia="Calibri" w:cs="Times New Roman"/>
          <w:szCs w:val="24"/>
        </w:rPr>
        <w:t>tas ir</w:t>
      </w:r>
      <w:r w:rsidR="004A0572" w:rsidRPr="0056343C">
        <w:rPr>
          <w:rFonts w:eastAsia="Calibri" w:cs="Times New Roman"/>
          <w:szCs w:val="24"/>
        </w:rPr>
        <w:t>, to kopumā un savstarpējā sakarībā, atzinusi</w:t>
      </w:r>
      <w:r w:rsidR="004A0572">
        <w:rPr>
          <w:rFonts w:eastAsia="Calibri" w:cs="Times New Roman"/>
          <w:szCs w:val="24"/>
        </w:rPr>
        <w:t xml:space="preserve">, ka </w:t>
      </w:r>
      <w:r w:rsidR="004A0572" w:rsidRPr="0056343C">
        <w:rPr>
          <w:rFonts w:eastAsia="Calibri" w:cs="Times New Roman"/>
          <w:szCs w:val="24"/>
        </w:rPr>
        <w:t xml:space="preserve">apsūdzētā </w:t>
      </w:r>
      <w:r w:rsidR="000618CC">
        <w:rPr>
          <w:rFonts w:eastAsia="Calibri" w:cs="Times New Roman"/>
          <w:szCs w:val="24"/>
        </w:rPr>
        <w:t>[pers. A]</w:t>
      </w:r>
      <w:r w:rsidR="004A0572" w:rsidRPr="0056343C">
        <w:rPr>
          <w:rFonts w:eastAsia="Calibri" w:cs="Times New Roman"/>
          <w:szCs w:val="24"/>
        </w:rPr>
        <w:t xml:space="preserve"> </w:t>
      </w:r>
      <w:r w:rsidR="004A0572">
        <w:rPr>
          <w:rFonts w:eastAsia="Calibri" w:cs="Times New Roman"/>
          <w:szCs w:val="24"/>
        </w:rPr>
        <w:t xml:space="preserve">un viņa radinieku kontos ieskaitītā nauda no </w:t>
      </w:r>
      <w:proofErr w:type="spellStart"/>
      <w:r w:rsidR="004A0572" w:rsidRPr="0056343C">
        <w:rPr>
          <w:rFonts w:cs="Times New Roman"/>
          <w:i/>
          <w:szCs w:val="24"/>
        </w:rPr>
        <w:t>Hillside</w:t>
      </w:r>
      <w:proofErr w:type="spellEnd"/>
      <w:r w:rsidR="004A0572" w:rsidRPr="0056343C">
        <w:rPr>
          <w:rFonts w:cs="Times New Roman"/>
          <w:i/>
          <w:szCs w:val="24"/>
        </w:rPr>
        <w:t xml:space="preserve"> (</w:t>
      </w:r>
      <w:proofErr w:type="spellStart"/>
      <w:r w:rsidR="004A0572" w:rsidRPr="0056343C">
        <w:rPr>
          <w:rFonts w:cs="Times New Roman"/>
          <w:i/>
          <w:szCs w:val="24"/>
        </w:rPr>
        <w:t>New</w:t>
      </w:r>
      <w:proofErr w:type="spellEnd"/>
      <w:r w:rsidR="004A0572" w:rsidRPr="0056343C">
        <w:rPr>
          <w:rFonts w:cs="Times New Roman"/>
          <w:i/>
          <w:szCs w:val="24"/>
        </w:rPr>
        <w:t xml:space="preserve"> </w:t>
      </w:r>
      <w:proofErr w:type="spellStart"/>
      <w:r w:rsidR="004A0572" w:rsidRPr="0056343C">
        <w:rPr>
          <w:rFonts w:cs="Times New Roman"/>
          <w:i/>
          <w:szCs w:val="24"/>
        </w:rPr>
        <w:t>Media</w:t>
      </w:r>
      <w:proofErr w:type="spellEnd"/>
      <w:r w:rsidR="004A0572" w:rsidRPr="0056343C">
        <w:rPr>
          <w:rFonts w:cs="Times New Roman"/>
          <w:i/>
          <w:szCs w:val="24"/>
        </w:rPr>
        <w:t xml:space="preserve">) </w:t>
      </w:r>
      <w:proofErr w:type="spellStart"/>
      <w:r w:rsidR="004A0572" w:rsidRPr="0056343C">
        <w:rPr>
          <w:rFonts w:cs="Times New Roman"/>
          <w:i/>
          <w:szCs w:val="24"/>
        </w:rPr>
        <w:t>Limited</w:t>
      </w:r>
      <w:proofErr w:type="spellEnd"/>
      <w:r w:rsidR="004A0572" w:rsidRPr="0056343C">
        <w:rPr>
          <w:rFonts w:cs="Times New Roman"/>
          <w:szCs w:val="24"/>
        </w:rPr>
        <w:t xml:space="preserve">, </w:t>
      </w:r>
      <w:r w:rsidR="004A0572" w:rsidRPr="0056343C">
        <w:rPr>
          <w:rFonts w:cs="Times New Roman"/>
          <w:i/>
          <w:szCs w:val="24"/>
        </w:rPr>
        <w:t>Marathonbet.com</w:t>
      </w:r>
      <w:r w:rsidR="004A0572" w:rsidRPr="0056343C">
        <w:rPr>
          <w:rFonts w:cs="Times New Roman"/>
          <w:szCs w:val="24"/>
        </w:rPr>
        <w:t xml:space="preserve">, </w:t>
      </w:r>
      <w:proofErr w:type="spellStart"/>
      <w:r w:rsidR="004A0572" w:rsidRPr="0056343C">
        <w:rPr>
          <w:rFonts w:cs="Times New Roman"/>
          <w:i/>
          <w:szCs w:val="24"/>
        </w:rPr>
        <w:t>Celton</w:t>
      </w:r>
      <w:proofErr w:type="spellEnd"/>
      <w:r w:rsidR="004A0572" w:rsidRPr="0056343C">
        <w:rPr>
          <w:rFonts w:cs="Times New Roman"/>
          <w:i/>
          <w:szCs w:val="24"/>
        </w:rPr>
        <w:t xml:space="preserve"> </w:t>
      </w:r>
      <w:proofErr w:type="spellStart"/>
      <w:r w:rsidR="004A0572" w:rsidRPr="0056343C">
        <w:rPr>
          <w:rFonts w:cs="Times New Roman"/>
          <w:i/>
          <w:szCs w:val="24"/>
        </w:rPr>
        <w:t>Manx</w:t>
      </w:r>
      <w:proofErr w:type="spellEnd"/>
      <w:r w:rsidR="004A0572" w:rsidRPr="0056343C">
        <w:rPr>
          <w:rFonts w:cs="Times New Roman"/>
          <w:i/>
          <w:szCs w:val="24"/>
        </w:rPr>
        <w:t xml:space="preserve">, </w:t>
      </w:r>
      <w:proofErr w:type="spellStart"/>
      <w:r w:rsidR="004A0572" w:rsidRPr="0056343C">
        <w:rPr>
          <w:rFonts w:cs="Times New Roman"/>
          <w:i/>
          <w:szCs w:val="24"/>
        </w:rPr>
        <w:t>Isle</w:t>
      </w:r>
      <w:proofErr w:type="spellEnd"/>
      <w:r w:rsidR="004A0572" w:rsidRPr="0056343C">
        <w:rPr>
          <w:rFonts w:cs="Times New Roman"/>
          <w:i/>
          <w:szCs w:val="24"/>
        </w:rPr>
        <w:t xml:space="preserve"> </w:t>
      </w:r>
      <w:proofErr w:type="spellStart"/>
      <w:r w:rsidR="004A0572" w:rsidRPr="0056343C">
        <w:rPr>
          <w:rFonts w:cs="Times New Roman"/>
          <w:i/>
          <w:szCs w:val="24"/>
        </w:rPr>
        <w:t>of</w:t>
      </w:r>
      <w:proofErr w:type="spellEnd"/>
      <w:r w:rsidR="004A0572" w:rsidRPr="0056343C">
        <w:rPr>
          <w:rFonts w:cs="Times New Roman"/>
          <w:i/>
          <w:szCs w:val="24"/>
        </w:rPr>
        <w:t xml:space="preserve"> Man </w:t>
      </w:r>
      <w:proofErr w:type="spellStart"/>
      <w:r w:rsidR="004A0572" w:rsidRPr="0056343C">
        <w:rPr>
          <w:rFonts w:cs="Times New Roman"/>
          <w:i/>
          <w:szCs w:val="24"/>
        </w:rPr>
        <w:t>Douglas</w:t>
      </w:r>
      <w:proofErr w:type="spellEnd"/>
      <w:r w:rsidR="004A0572" w:rsidRPr="0056343C">
        <w:rPr>
          <w:rFonts w:cs="Times New Roman"/>
          <w:i/>
          <w:szCs w:val="24"/>
        </w:rPr>
        <w:t>, WHG (</w:t>
      </w:r>
      <w:proofErr w:type="spellStart"/>
      <w:r w:rsidR="004A0572" w:rsidRPr="0056343C">
        <w:rPr>
          <w:rFonts w:cs="Times New Roman"/>
          <w:i/>
          <w:szCs w:val="24"/>
        </w:rPr>
        <w:t>International</w:t>
      </w:r>
      <w:proofErr w:type="spellEnd"/>
      <w:r w:rsidR="004A0572" w:rsidRPr="0056343C">
        <w:rPr>
          <w:rFonts w:cs="Times New Roman"/>
          <w:i/>
          <w:szCs w:val="24"/>
        </w:rPr>
        <w:t xml:space="preserve">) LTD, </w:t>
      </w:r>
      <w:proofErr w:type="spellStart"/>
      <w:r w:rsidR="004A0572" w:rsidRPr="0056343C">
        <w:rPr>
          <w:rFonts w:cs="Times New Roman"/>
          <w:i/>
          <w:szCs w:val="24"/>
        </w:rPr>
        <w:t>William</w:t>
      </w:r>
      <w:proofErr w:type="spellEnd"/>
      <w:r w:rsidR="004A0572" w:rsidRPr="0056343C">
        <w:rPr>
          <w:rFonts w:cs="Times New Roman"/>
          <w:i/>
          <w:szCs w:val="24"/>
        </w:rPr>
        <w:t xml:space="preserve"> Hill </w:t>
      </w:r>
      <w:proofErr w:type="spellStart"/>
      <w:r w:rsidR="004A0572" w:rsidRPr="0056343C">
        <w:rPr>
          <w:rFonts w:cs="Times New Roman"/>
          <w:i/>
          <w:szCs w:val="24"/>
        </w:rPr>
        <w:t>Online</w:t>
      </w:r>
      <w:proofErr w:type="spellEnd"/>
      <w:r w:rsidR="004A0572" w:rsidRPr="0056343C">
        <w:rPr>
          <w:rFonts w:cs="Times New Roman"/>
          <w:i/>
          <w:szCs w:val="24"/>
        </w:rPr>
        <w:t xml:space="preserve">, </w:t>
      </w:r>
      <w:proofErr w:type="spellStart"/>
      <w:r w:rsidR="004A0572" w:rsidRPr="0056343C">
        <w:rPr>
          <w:rFonts w:cs="Times New Roman"/>
          <w:i/>
          <w:szCs w:val="24"/>
        </w:rPr>
        <w:t>Ladbrokes</w:t>
      </w:r>
      <w:proofErr w:type="spellEnd"/>
      <w:r w:rsidR="004A0572" w:rsidRPr="0056343C">
        <w:rPr>
          <w:rFonts w:cs="Times New Roman"/>
          <w:i/>
          <w:szCs w:val="24"/>
        </w:rPr>
        <w:t xml:space="preserve"> LTD London Internet, „</w:t>
      </w:r>
      <w:proofErr w:type="spellStart"/>
      <w:r w:rsidR="004A0572" w:rsidRPr="0056343C">
        <w:rPr>
          <w:rFonts w:cs="Times New Roman"/>
          <w:i/>
          <w:szCs w:val="24"/>
        </w:rPr>
        <w:t>sportingbet</w:t>
      </w:r>
      <w:proofErr w:type="spellEnd"/>
      <w:r w:rsidR="004A0572" w:rsidRPr="0056343C">
        <w:rPr>
          <w:rFonts w:cs="Times New Roman"/>
          <w:i/>
          <w:szCs w:val="24"/>
        </w:rPr>
        <w:t>”</w:t>
      </w:r>
      <w:r w:rsidR="004A0572">
        <w:rPr>
          <w:rFonts w:cs="Times New Roman"/>
          <w:szCs w:val="24"/>
        </w:rPr>
        <w:t xml:space="preserve"> ir spēļu totalizatoros iegūtie laimesti.</w:t>
      </w:r>
      <w:r w:rsidR="00AE25AA">
        <w:rPr>
          <w:rFonts w:cs="Times New Roman"/>
          <w:szCs w:val="24"/>
        </w:rPr>
        <w:t xml:space="preserve"> Tiesa </w:t>
      </w:r>
      <w:r w:rsidR="00227C08">
        <w:rPr>
          <w:rFonts w:cs="Times New Roman"/>
          <w:szCs w:val="24"/>
        </w:rPr>
        <w:t>lēmumā ir iz</w:t>
      </w:r>
      <w:r w:rsidR="00AE25AA">
        <w:rPr>
          <w:rFonts w:cs="Times New Roman"/>
          <w:szCs w:val="24"/>
        </w:rPr>
        <w:t xml:space="preserve">vērtējusi pierādījumus par apsūdzētā un viņa radinieku kontos ieskaitīto laimestu summu. </w:t>
      </w:r>
    </w:p>
    <w:p w14:paraId="005165F6" w14:textId="05257228" w:rsidR="00064835" w:rsidRPr="00064835" w:rsidRDefault="00064835" w:rsidP="00064835">
      <w:pPr>
        <w:suppressAutoHyphens/>
        <w:autoSpaceDN w:val="0"/>
        <w:spacing w:after="0" w:line="276" w:lineRule="auto"/>
        <w:ind w:right="-6" w:firstLine="720"/>
        <w:contextualSpacing/>
        <w:jc w:val="both"/>
        <w:textAlignment w:val="baseline"/>
      </w:pPr>
      <w:r>
        <w:t xml:space="preserve">Tādējādi nepamatota ir apsūdzētā </w:t>
      </w:r>
      <w:r w:rsidR="000618CC">
        <w:t>[pers. A]</w:t>
      </w:r>
      <w:r>
        <w:t xml:space="preserve"> norāde kasācijas sūdzībā uz Kriminālprocesa likuma </w:t>
      </w:r>
      <w:proofErr w:type="gramStart"/>
      <w:r w:rsidRPr="00802103">
        <w:t>564.panta</w:t>
      </w:r>
      <w:proofErr w:type="gramEnd"/>
      <w:r w:rsidRPr="00802103">
        <w:t xml:space="preserve"> ceturtās daļas</w:t>
      </w:r>
      <w:r>
        <w:t xml:space="preserve"> pārkāpumu. </w:t>
      </w:r>
    </w:p>
    <w:p w14:paraId="1760D01D" w14:textId="116650C3" w:rsidR="00064835" w:rsidRDefault="00BA62A2" w:rsidP="00064835">
      <w:pPr>
        <w:suppressAutoHyphens/>
        <w:autoSpaceDN w:val="0"/>
        <w:spacing w:after="0" w:line="276" w:lineRule="auto"/>
        <w:ind w:right="-6" w:firstLine="720"/>
        <w:contextualSpacing/>
        <w:jc w:val="both"/>
        <w:textAlignment w:val="baseline"/>
      </w:pPr>
      <w:r>
        <w:t>A</w:t>
      </w:r>
      <w:r w:rsidR="00064835">
        <w:t xml:space="preserve">pelācijas sūdzībā apsūdzētais neapstrīdēja savā un radinieku kontos saņemto laimestu summu. </w:t>
      </w:r>
    </w:p>
    <w:p w14:paraId="781CB4CF" w14:textId="77777777" w:rsidR="00064835" w:rsidRPr="005C4A11" w:rsidRDefault="00064835" w:rsidP="00064835">
      <w:pPr>
        <w:spacing w:after="0" w:line="276" w:lineRule="auto"/>
        <w:ind w:firstLine="720"/>
        <w:jc w:val="both"/>
      </w:pPr>
      <w:r w:rsidRPr="005C4A11">
        <w:t xml:space="preserve">Kasācijas instances tiesa jau iepriekš ir </w:t>
      </w:r>
      <w:r>
        <w:t>izteikusi atziņu</w:t>
      </w:r>
      <w:r w:rsidRPr="005C4A11">
        <w:t xml:space="preserve">, ka </w:t>
      </w:r>
      <w:r w:rsidRPr="005C4A11">
        <w:rPr>
          <w:bCs/>
        </w:rPr>
        <w:t xml:space="preserve">saskaņā ar Kriminālprocesa likuma </w:t>
      </w:r>
      <w:proofErr w:type="gramStart"/>
      <w:r w:rsidRPr="005C4A11">
        <w:rPr>
          <w:bCs/>
        </w:rPr>
        <w:t>569.panta</w:t>
      </w:r>
      <w:proofErr w:type="gramEnd"/>
      <w:r w:rsidRPr="005C4A11">
        <w:rPr>
          <w:bCs/>
        </w:rPr>
        <w:t xml:space="preserve"> pirmo daļu pārsūdzēšana kasācijas kārtībā ir rakstveida kasācijas protesta vai </w:t>
      </w:r>
      <w:r w:rsidRPr="005C4A11">
        <w:rPr>
          <w:bCs/>
        </w:rPr>
        <w:lastRenderedPageBreak/>
        <w:t>sūdzības iesniegšana Augstākās tiesas Senātam par tāda apelācijas instances tiesas nolēmuma tiesiskumu, kurš vēl nav stājies spēkā, nolūkā panākt tā atcelšanu pilnībā vai kādā tā daļā, vai arī grozīšanu juridisku apsvērumu dēļ. Tas nozīmē, ka nevar iesniegt kasācijas sūdzību par tādiem apstākļiem, par kuriem nebija iesniegta apelācijas sūdzība par pirmās instances tiesas spriedumu</w:t>
      </w:r>
      <w:r w:rsidRPr="005C4A11">
        <w:t xml:space="preserve"> (</w:t>
      </w:r>
      <w:r w:rsidRPr="005C4A11">
        <w:rPr>
          <w:i/>
        </w:rPr>
        <w:t xml:space="preserve">Augstākās tiesas Senāta Krimināllietu departamenta </w:t>
      </w:r>
      <w:r w:rsidRPr="005C4A11">
        <w:rPr>
          <w:bCs/>
          <w:i/>
        </w:rPr>
        <w:t>2011.gada 29.novembra</w:t>
      </w:r>
      <w:r w:rsidRPr="005C4A11">
        <w:rPr>
          <w:i/>
        </w:rPr>
        <w:t xml:space="preserve"> lēmums lietā SKK-604/2011 (11815003910), Augstākās tiesas Senāta Krimināllietu departamenta </w:t>
      </w:r>
      <w:r w:rsidRPr="005C4A11">
        <w:rPr>
          <w:bCs/>
          <w:i/>
        </w:rPr>
        <w:t>2011.gada 15.decembra</w:t>
      </w:r>
      <w:r w:rsidRPr="005C4A11">
        <w:rPr>
          <w:i/>
        </w:rPr>
        <w:t xml:space="preserve"> lēmums lietā SKK-664/11 (11091163208)</w:t>
      </w:r>
      <w:r w:rsidRPr="005C4A11">
        <w:t>).</w:t>
      </w:r>
    </w:p>
    <w:p w14:paraId="530897AF" w14:textId="77777777" w:rsidR="00064835" w:rsidRDefault="00064835" w:rsidP="004A0572">
      <w:pPr>
        <w:suppressAutoHyphens/>
        <w:autoSpaceDN w:val="0"/>
        <w:spacing w:after="0" w:line="276" w:lineRule="auto"/>
        <w:ind w:right="-6" w:firstLine="720"/>
        <w:contextualSpacing/>
        <w:jc w:val="both"/>
        <w:textAlignment w:val="baseline"/>
        <w:rPr>
          <w:rFonts w:eastAsia="Calibri" w:cs="Times New Roman"/>
          <w:szCs w:val="24"/>
        </w:rPr>
      </w:pPr>
    </w:p>
    <w:p w14:paraId="744ED7A1" w14:textId="5542F6D7" w:rsidR="005C4A11" w:rsidRDefault="00064835" w:rsidP="00BA62A2">
      <w:pPr>
        <w:suppressAutoHyphens/>
        <w:autoSpaceDN w:val="0"/>
        <w:spacing w:after="0" w:line="276" w:lineRule="auto"/>
        <w:ind w:right="-6" w:firstLine="720"/>
        <w:contextualSpacing/>
        <w:jc w:val="both"/>
        <w:textAlignment w:val="baseline"/>
        <w:rPr>
          <w:rFonts w:eastAsia="Calibri" w:cs="Times New Roman"/>
          <w:szCs w:val="24"/>
        </w:rPr>
      </w:pPr>
      <w:r>
        <w:rPr>
          <w:rFonts w:eastAsia="Calibri" w:cs="Times New Roman"/>
          <w:szCs w:val="24"/>
        </w:rPr>
        <w:t>[11</w:t>
      </w:r>
      <w:r w:rsidR="005C4A11">
        <w:rPr>
          <w:rFonts w:eastAsia="Calibri" w:cs="Times New Roman"/>
          <w:szCs w:val="24"/>
        </w:rPr>
        <w:t xml:space="preserve">] </w:t>
      </w:r>
      <w:r w:rsidR="00D17D33" w:rsidRPr="001277DD">
        <w:rPr>
          <w:rFonts w:eastAsia="Calibri" w:cs="Times New Roman"/>
          <w:szCs w:val="24"/>
        </w:rPr>
        <w:t>Kasācijas instances tiesa nekonstatē Kriminālprocesa likuma normu pārkāpumus pierādījumu novērtēšanā, kas būtu atzīstami par būtiskiem pārkāpumiem šā likuma 575.panta trešās daļas izpratnē un kuru dēļ būtu atceļams apelācijas instances tiesas nolēmums.</w:t>
      </w:r>
      <w:r w:rsidR="00D17D33" w:rsidRPr="0056343C">
        <w:rPr>
          <w:rFonts w:eastAsia="Calibri" w:cs="Times New Roman"/>
          <w:szCs w:val="24"/>
        </w:rPr>
        <w:t xml:space="preserve"> </w:t>
      </w:r>
      <w:r w:rsidR="00D17D33" w:rsidRPr="0068015E">
        <w:rPr>
          <w:rFonts w:eastAsia="Calibri" w:cs="Times New Roman"/>
          <w:szCs w:val="24"/>
        </w:rPr>
        <w:t xml:space="preserve">Kasācijas instances </w:t>
      </w:r>
      <w:r w:rsidR="00D17D33">
        <w:rPr>
          <w:rFonts w:eastAsia="Calibri" w:cs="Times New Roman"/>
          <w:szCs w:val="24"/>
        </w:rPr>
        <w:t xml:space="preserve">tiesa </w:t>
      </w:r>
      <w:r w:rsidR="00D17D33" w:rsidRPr="0056343C">
        <w:rPr>
          <w:rFonts w:eastAsia="Calibri" w:cs="Times New Roman"/>
          <w:szCs w:val="24"/>
        </w:rPr>
        <w:t xml:space="preserve">atzīst, ka apelācijas instances tiesa atbilstoši likuma prasībām izvērtējusi lietā iegūtos pierādījumus un, pamatojot savu atzinumu ar šiem pierādījumiem, pareizi konstatējusi apsūdzētā </w:t>
      </w:r>
      <w:r w:rsidR="000618CC">
        <w:rPr>
          <w:rFonts w:eastAsia="Calibri" w:cs="Times New Roman"/>
          <w:szCs w:val="24"/>
        </w:rPr>
        <w:t>[pers. A]</w:t>
      </w:r>
      <w:r w:rsidR="00D17D33" w:rsidRPr="0056343C">
        <w:rPr>
          <w:rFonts w:eastAsia="Calibri" w:cs="Times New Roman"/>
          <w:szCs w:val="24"/>
        </w:rPr>
        <w:t xml:space="preserve"> darbībās visas nepieciešamās un obligātās Krimināllikuma </w:t>
      </w:r>
      <w:proofErr w:type="gramStart"/>
      <w:r w:rsidR="00D17D33" w:rsidRPr="0056343C">
        <w:rPr>
          <w:rFonts w:eastAsia="Calibri" w:cs="Times New Roman"/>
          <w:szCs w:val="24"/>
        </w:rPr>
        <w:t>219.panta</w:t>
      </w:r>
      <w:proofErr w:type="gramEnd"/>
      <w:r w:rsidR="00D17D33" w:rsidRPr="0056343C">
        <w:rPr>
          <w:rFonts w:eastAsia="Calibri" w:cs="Times New Roman"/>
          <w:szCs w:val="24"/>
        </w:rPr>
        <w:t xml:space="preserve"> otrajā daļā paredzētā nozied</w:t>
      </w:r>
      <w:r w:rsidR="005C4A11">
        <w:rPr>
          <w:rFonts w:eastAsia="Calibri" w:cs="Times New Roman"/>
          <w:szCs w:val="24"/>
        </w:rPr>
        <w:t>zīgā nodarījuma sastāva pazīmes.</w:t>
      </w:r>
    </w:p>
    <w:p w14:paraId="17EDFC80" w14:textId="77777777" w:rsidR="00BA62A2" w:rsidRPr="005C4A11" w:rsidRDefault="00BA62A2" w:rsidP="00BA62A2">
      <w:pPr>
        <w:suppressAutoHyphens/>
        <w:autoSpaceDN w:val="0"/>
        <w:spacing w:after="0" w:line="276" w:lineRule="auto"/>
        <w:ind w:right="-6" w:firstLine="720"/>
        <w:contextualSpacing/>
        <w:jc w:val="both"/>
        <w:textAlignment w:val="baseline"/>
        <w:rPr>
          <w:rFonts w:eastAsia="Calibri" w:cs="Times New Roman"/>
          <w:szCs w:val="24"/>
        </w:rPr>
      </w:pPr>
    </w:p>
    <w:p w14:paraId="0008D8BB" w14:textId="1AF67379" w:rsidR="00A372FA" w:rsidRPr="0056343C" w:rsidRDefault="00064835" w:rsidP="00167EE5">
      <w:pPr>
        <w:suppressAutoHyphens/>
        <w:autoSpaceDN w:val="0"/>
        <w:spacing w:after="0" w:line="276" w:lineRule="auto"/>
        <w:ind w:right="-6" w:firstLine="720"/>
        <w:contextualSpacing/>
        <w:jc w:val="both"/>
        <w:textAlignment w:val="baseline"/>
        <w:rPr>
          <w:rFonts w:eastAsia="Calibri" w:cs="Times New Roman"/>
          <w:szCs w:val="24"/>
        </w:rPr>
      </w:pPr>
      <w:r>
        <w:rPr>
          <w:rFonts w:eastAsia="Calibri" w:cs="Times New Roman"/>
          <w:szCs w:val="24"/>
        </w:rPr>
        <w:t>[12</w:t>
      </w:r>
      <w:r w:rsidR="00875311" w:rsidRPr="0056343C">
        <w:rPr>
          <w:rFonts w:eastAsia="Calibri" w:cs="Times New Roman"/>
          <w:szCs w:val="24"/>
        </w:rPr>
        <w:t xml:space="preserve">] </w:t>
      </w:r>
      <w:r w:rsidR="00A372FA" w:rsidRPr="0056343C">
        <w:rPr>
          <w:rFonts w:eastAsia="Calibri" w:cs="Times New Roman"/>
          <w:szCs w:val="24"/>
        </w:rPr>
        <w:t xml:space="preserve">Ievērojot minēto, </w:t>
      </w:r>
      <w:r w:rsidR="00690858">
        <w:rPr>
          <w:rFonts w:eastAsia="Calibri" w:cs="Times New Roman"/>
          <w:szCs w:val="24"/>
        </w:rPr>
        <w:t>kasācijas instances tiesa</w:t>
      </w:r>
      <w:r w:rsidR="00A372FA" w:rsidRPr="0056343C">
        <w:rPr>
          <w:rFonts w:eastAsia="Calibri" w:cs="Times New Roman"/>
          <w:szCs w:val="24"/>
        </w:rPr>
        <w:t xml:space="preserve"> atzīst, ka apelācijas instances tiesa, izskatot lietu, nav pieļāvusi Krimināllikuma pārkāpumus vai Kriminālprocesa likuma būtiskus pārkāpumus šā likuma 574. un </w:t>
      </w:r>
      <w:proofErr w:type="gramStart"/>
      <w:r w:rsidR="00A372FA" w:rsidRPr="0056343C">
        <w:rPr>
          <w:rFonts w:eastAsia="Calibri" w:cs="Times New Roman"/>
          <w:szCs w:val="24"/>
        </w:rPr>
        <w:t>575.panta</w:t>
      </w:r>
      <w:proofErr w:type="gramEnd"/>
      <w:r w:rsidR="00A372FA" w:rsidRPr="0056343C">
        <w:rPr>
          <w:rFonts w:eastAsia="Calibri" w:cs="Times New Roman"/>
          <w:szCs w:val="24"/>
        </w:rPr>
        <w:t xml:space="preserve"> izpratnē, tādēļ sprieduma atcelšanai vai grozīšanai nav tiesiska pamata.</w:t>
      </w:r>
      <w:r w:rsidR="007C2480" w:rsidRPr="007C2480">
        <w:rPr>
          <w:rFonts w:eastAsia="Calibri" w:cs="Times New Roman"/>
        </w:rPr>
        <w:t xml:space="preserve"> </w:t>
      </w:r>
      <w:r w:rsidR="007C2480" w:rsidRPr="007C2480">
        <w:rPr>
          <w:rFonts w:eastAsia="Calibri" w:cs="Times New Roman"/>
          <w:szCs w:val="24"/>
        </w:rPr>
        <w:t xml:space="preserve">Apelācijas instances tiesas spriedums atbilst Kriminālprocesa likuma 511., 512. un </w:t>
      </w:r>
      <w:proofErr w:type="gramStart"/>
      <w:r w:rsidR="007C2480" w:rsidRPr="007C2480">
        <w:rPr>
          <w:rFonts w:eastAsia="Calibri" w:cs="Times New Roman"/>
          <w:szCs w:val="24"/>
        </w:rPr>
        <w:t>564.pantā</w:t>
      </w:r>
      <w:proofErr w:type="gramEnd"/>
      <w:r w:rsidR="007C2480" w:rsidRPr="007C2480">
        <w:rPr>
          <w:rFonts w:eastAsia="Calibri" w:cs="Times New Roman"/>
          <w:szCs w:val="24"/>
        </w:rPr>
        <w:t xml:space="preserve"> noteiktajām prasībām.</w:t>
      </w:r>
    </w:p>
    <w:p w14:paraId="6E6F3142" w14:textId="77777777" w:rsidR="00A372FA" w:rsidRPr="0056343C" w:rsidRDefault="00A372FA" w:rsidP="0056343C">
      <w:pPr>
        <w:suppressAutoHyphens/>
        <w:autoSpaceDN w:val="0"/>
        <w:spacing w:after="0" w:line="276" w:lineRule="auto"/>
        <w:contextualSpacing/>
        <w:jc w:val="center"/>
        <w:textAlignment w:val="baseline"/>
        <w:rPr>
          <w:rFonts w:eastAsia="Calibri" w:cs="Times New Roman"/>
          <w:szCs w:val="24"/>
        </w:rPr>
      </w:pPr>
    </w:p>
    <w:p w14:paraId="3AC1A693" w14:textId="77777777" w:rsidR="003C247B" w:rsidRPr="0056343C" w:rsidRDefault="003C247B" w:rsidP="0056343C">
      <w:pPr>
        <w:suppressAutoHyphens/>
        <w:autoSpaceDN w:val="0"/>
        <w:spacing w:after="0" w:line="276" w:lineRule="auto"/>
        <w:contextualSpacing/>
        <w:jc w:val="center"/>
        <w:textAlignment w:val="baseline"/>
        <w:rPr>
          <w:rFonts w:eastAsia="Calibri" w:cs="Times New Roman"/>
          <w:b/>
          <w:szCs w:val="24"/>
        </w:rPr>
      </w:pPr>
      <w:r w:rsidRPr="0056343C">
        <w:rPr>
          <w:rFonts w:eastAsia="Calibri" w:cs="Times New Roman"/>
          <w:b/>
          <w:szCs w:val="24"/>
        </w:rPr>
        <w:t>Rezolutīvā daļa</w:t>
      </w:r>
    </w:p>
    <w:p w14:paraId="322030E4" w14:textId="77777777" w:rsidR="003C247B" w:rsidRPr="0056343C" w:rsidRDefault="003C247B" w:rsidP="0056343C">
      <w:pPr>
        <w:suppressAutoHyphens/>
        <w:autoSpaceDN w:val="0"/>
        <w:spacing w:after="0" w:line="276" w:lineRule="auto"/>
        <w:ind w:left="2880" w:firstLine="720"/>
        <w:contextualSpacing/>
        <w:jc w:val="both"/>
        <w:textAlignment w:val="baseline"/>
        <w:rPr>
          <w:rFonts w:eastAsia="Calibri" w:cs="Times New Roman"/>
          <w:b/>
          <w:szCs w:val="24"/>
        </w:rPr>
      </w:pPr>
    </w:p>
    <w:p w14:paraId="18006C5A" w14:textId="77777777" w:rsidR="003C247B" w:rsidRPr="0056343C" w:rsidRDefault="003C247B" w:rsidP="0056343C">
      <w:pPr>
        <w:suppressAutoHyphens/>
        <w:autoSpaceDN w:val="0"/>
        <w:spacing w:after="0" w:line="276" w:lineRule="auto"/>
        <w:ind w:right="-6"/>
        <w:contextualSpacing/>
        <w:jc w:val="both"/>
        <w:textAlignment w:val="baseline"/>
        <w:rPr>
          <w:rFonts w:eastAsia="Calibri" w:cs="Times New Roman"/>
          <w:szCs w:val="24"/>
        </w:rPr>
      </w:pPr>
      <w:r w:rsidRPr="0056343C">
        <w:rPr>
          <w:rFonts w:eastAsia="Calibri" w:cs="Times New Roman"/>
          <w:szCs w:val="24"/>
        </w:rPr>
        <w:t xml:space="preserve"> </w:t>
      </w:r>
      <w:r w:rsidRPr="0056343C">
        <w:rPr>
          <w:rFonts w:eastAsia="Calibri" w:cs="Times New Roman"/>
          <w:szCs w:val="24"/>
        </w:rPr>
        <w:tab/>
        <w:t xml:space="preserve">Pamatojoties uz Kriminālprocesa likuma 585., </w:t>
      </w:r>
      <w:proofErr w:type="gramStart"/>
      <w:r w:rsidRPr="0056343C">
        <w:rPr>
          <w:rFonts w:eastAsia="Calibri" w:cs="Times New Roman"/>
          <w:szCs w:val="24"/>
        </w:rPr>
        <w:t>587.pantu</w:t>
      </w:r>
      <w:proofErr w:type="gramEnd"/>
      <w:r w:rsidRPr="0056343C">
        <w:rPr>
          <w:rFonts w:eastAsia="Calibri" w:cs="Times New Roman"/>
          <w:szCs w:val="24"/>
        </w:rPr>
        <w:t xml:space="preserve">, tiesa </w:t>
      </w:r>
    </w:p>
    <w:p w14:paraId="63498425" w14:textId="77777777" w:rsidR="003C247B" w:rsidRPr="0056343C" w:rsidRDefault="003C247B" w:rsidP="0056343C">
      <w:pPr>
        <w:suppressAutoHyphens/>
        <w:autoSpaceDN w:val="0"/>
        <w:spacing w:after="0" w:line="276" w:lineRule="auto"/>
        <w:contextualSpacing/>
        <w:jc w:val="both"/>
        <w:textAlignment w:val="baseline"/>
        <w:rPr>
          <w:rFonts w:eastAsia="Calibri" w:cs="Times New Roman"/>
          <w:b/>
          <w:szCs w:val="24"/>
        </w:rPr>
      </w:pPr>
    </w:p>
    <w:p w14:paraId="165F7C46" w14:textId="77777777" w:rsidR="003C247B" w:rsidRPr="0056343C" w:rsidRDefault="003C247B" w:rsidP="0056343C">
      <w:pPr>
        <w:suppressAutoHyphens/>
        <w:autoSpaceDN w:val="0"/>
        <w:spacing w:after="0" w:line="276" w:lineRule="auto"/>
        <w:contextualSpacing/>
        <w:jc w:val="center"/>
        <w:textAlignment w:val="baseline"/>
        <w:rPr>
          <w:rFonts w:eastAsia="Calibri" w:cs="Times New Roman"/>
          <w:b/>
          <w:szCs w:val="24"/>
        </w:rPr>
      </w:pPr>
      <w:r w:rsidRPr="0056343C">
        <w:rPr>
          <w:rFonts w:eastAsia="Calibri" w:cs="Times New Roman"/>
          <w:b/>
          <w:szCs w:val="24"/>
        </w:rPr>
        <w:t>nolēma:</w:t>
      </w:r>
    </w:p>
    <w:p w14:paraId="682F546E" w14:textId="77777777" w:rsidR="00A372FA" w:rsidRPr="0056343C" w:rsidRDefault="00A372FA" w:rsidP="0056343C">
      <w:pPr>
        <w:suppressAutoHyphens/>
        <w:autoSpaceDN w:val="0"/>
        <w:spacing w:after="0" w:line="276" w:lineRule="auto"/>
        <w:contextualSpacing/>
        <w:jc w:val="center"/>
        <w:textAlignment w:val="baseline"/>
        <w:rPr>
          <w:rFonts w:eastAsia="Calibri" w:cs="Times New Roman"/>
          <w:b/>
          <w:szCs w:val="24"/>
        </w:rPr>
      </w:pPr>
    </w:p>
    <w:p w14:paraId="7AC6F957" w14:textId="4F29AEC5" w:rsidR="003C247B" w:rsidRPr="0056343C" w:rsidRDefault="00A372FA" w:rsidP="0056343C">
      <w:pPr>
        <w:suppressAutoHyphens/>
        <w:autoSpaceDN w:val="0"/>
        <w:spacing w:after="0" w:line="276" w:lineRule="auto"/>
        <w:contextualSpacing/>
        <w:jc w:val="both"/>
        <w:textAlignment w:val="baseline"/>
        <w:rPr>
          <w:rFonts w:eastAsia="Calibri" w:cs="Times New Roman"/>
          <w:szCs w:val="24"/>
        </w:rPr>
      </w:pPr>
      <w:r w:rsidRPr="0056343C">
        <w:rPr>
          <w:rFonts w:eastAsia="Calibri" w:cs="Times New Roman"/>
          <w:szCs w:val="24"/>
        </w:rPr>
        <w:tab/>
        <w:t xml:space="preserve">atstāt negrozītu Latgales apgabaltiesas </w:t>
      </w:r>
      <w:proofErr w:type="gramStart"/>
      <w:r w:rsidRPr="0056343C">
        <w:rPr>
          <w:rFonts w:eastAsia="Calibri" w:cs="Times New Roman"/>
          <w:szCs w:val="24"/>
        </w:rPr>
        <w:t>2018.gada</w:t>
      </w:r>
      <w:proofErr w:type="gramEnd"/>
      <w:r w:rsidRPr="0056343C">
        <w:rPr>
          <w:rFonts w:eastAsia="Calibri" w:cs="Times New Roman"/>
          <w:szCs w:val="24"/>
        </w:rPr>
        <w:t xml:space="preserve"> 4.</w:t>
      </w:r>
      <w:r w:rsidR="00C60E36">
        <w:rPr>
          <w:rFonts w:eastAsia="Calibri" w:cs="Times New Roman"/>
          <w:szCs w:val="24"/>
        </w:rPr>
        <w:t xml:space="preserve">oktobra lēmumu, bet apsūdzētā </w:t>
      </w:r>
      <w:r w:rsidR="000618CC">
        <w:rPr>
          <w:rFonts w:eastAsia="Calibri" w:cs="Times New Roman"/>
          <w:szCs w:val="24"/>
        </w:rPr>
        <w:t>[pers. A]</w:t>
      </w:r>
      <w:r w:rsidRPr="0056343C">
        <w:rPr>
          <w:rFonts w:eastAsia="Calibri" w:cs="Times New Roman"/>
          <w:szCs w:val="24"/>
        </w:rPr>
        <w:t xml:space="preserve"> kasācijas sūdzību noraidīt.</w:t>
      </w:r>
    </w:p>
    <w:p w14:paraId="0D8B7C07" w14:textId="2BCD7704" w:rsidR="00B9469C" w:rsidRPr="008A0075" w:rsidRDefault="003C247B" w:rsidP="008A0075">
      <w:pPr>
        <w:suppressAutoHyphens/>
        <w:autoSpaceDN w:val="0"/>
        <w:spacing w:after="0" w:line="276" w:lineRule="auto"/>
        <w:ind w:firstLine="720"/>
        <w:contextualSpacing/>
        <w:jc w:val="both"/>
        <w:textAlignment w:val="baseline"/>
        <w:rPr>
          <w:rFonts w:eastAsia="Calibri" w:cs="Times New Roman"/>
          <w:szCs w:val="24"/>
        </w:rPr>
      </w:pPr>
      <w:r w:rsidRPr="0056343C">
        <w:rPr>
          <w:rFonts w:eastAsia="Calibri" w:cs="Times New Roman"/>
          <w:szCs w:val="24"/>
        </w:rPr>
        <w:t>Lēmums nav pārsūdzams.</w:t>
      </w:r>
    </w:p>
    <w:sectPr w:rsidR="00B9469C" w:rsidRPr="008A0075" w:rsidSect="001277DD">
      <w:footerReference w:type="default" r:id="rId7"/>
      <w:pgSz w:w="11906" w:h="16838"/>
      <w:pgMar w:top="1021" w:right="1021" w:bottom="737" w:left="1701" w:header="709" w:footer="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B1E0A" w14:textId="77777777" w:rsidR="000D2223" w:rsidRDefault="000D2223">
      <w:pPr>
        <w:spacing w:after="0" w:line="240" w:lineRule="auto"/>
      </w:pPr>
      <w:r>
        <w:separator/>
      </w:r>
    </w:p>
  </w:endnote>
  <w:endnote w:type="continuationSeparator" w:id="0">
    <w:p w14:paraId="255E8CE4" w14:textId="77777777" w:rsidR="000D2223" w:rsidRDefault="000D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425C8" w14:textId="77777777" w:rsidR="00754917" w:rsidRDefault="00754917">
    <w:pPr>
      <w:pStyle w:val="Footer"/>
      <w:jc w:val="center"/>
    </w:pPr>
    <w:r>
      <w:rPr>
        <w:sz w:val="22"/>
      </w:rPr>
      <w:fldChar w:fldCharType="begin"/>
    </w:r>
    <w:r>
      <w:rPr>
        <w:sz w:val="22"/>
      </w:rPr>
      <w:instrText xml:space="preserve"> PAGE </w:instrText>
    </w:r>
    <w:r>
      <w:rPr>
        <w:sz w:val="22"/>
      </w:rPr>
      <w:fldChar w:fldCharType="separate"/>
    </w:r>
    <w:r w:rsidR="00E84AD5">
      <w:rPr>
        <w:noProof/>
        <w:sz w:val="22"/>
      </w:rPr>
      <w:t>5</w:t>
    </w:r>
    <w:r>
      <w:rPr>
        <w:sz w:val="22"/>
      </w:rPr>
      <w:fldChar w:fldCharType="end"/>
    </w:r>
    <w:r>
      <w:rPr>
        <w:sz w:val="22"/>
      </w:rPr>
      <w:t xml:space="preserve"> no </w:t>
    </w:r>
    <w:r>
      <w:rPr>
        <w:sz w:val="22"/>
      </w:rPr>
      <w:fldChar w:fldCharType="begin"/>
    </w:r>
    <w:r>
      <w:rPr>
        <w:sz w:val="22"/>
      </w:rPr>
      <w:instrText xml:space="preserve"> NUMPAGES </w:instrText>
    </w:r>
    <w:r>
      <w:rPr>
        <w:sz w:val="22"/>
      </w:rPr>
      <w:fldChar w:fldCharType="separate"/>
    </w:r>
    <w:r w:rsidR="00E84AD5">
      <w:rPr>
        <w:noProof/>
        <w:sz w:val="22"/>
      </w:rPr>
      <w:t>5</w:t>
    </w:r>
    <w:r>
      <w:rPr>
        <w:sz w:val="22"/>
      </w:rPr>
      <w:fldChar w:fldCharType="end"/>
    </w:r>
  </w:p>
  <w:p w14:paraId="10AA4406" w14:textId="77777777" w:rsidR="00754917" w:rsidRDefault="00754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AF655" w14:textId="77777777" w:rsidR="000D2223" w:rsidRDefault="000D2223">
      <w:pPr>
        <w:spacing w:after="0" w:line="240" w:lineRule="auto"/>
      </w:pPr>
      <w:r>
        <w:separator/>
      </w:r>
    </w:p>
  </w:footnote>
  <w:footnote w:type="continuationSeparator" w:id="0">
    <w:p w14:paraId="7D0C7771" w14:textId="77777777" w:rsidR="000D2223" w:rsidRDefault="000D22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7D3"/>
    <w:rsid w:val="00001D07"/>
    <w:rsid w:val="00001EA4"/>
    <w:rsid w:val="00003D8B"/>
    <w:rsid w:val="000056DF"/>
    <w:rsid w:val="00006725"/>
    <w:rsid w:val="0001043D"/>
    <w:rsid w:val="00011821"/>
    <w:rsid w:val="000202DC"/>
    <w:rsid w:val="00020CC6"/>
    <w:rsid w:val="00032B34"/>
    <w:rsid w:val="00036700"/>
    <w:rsid w:val="0004434B"/>
    <w:rsid w:val="00045228"/>
    <w:rsid w:val="00051E01"/>
    <w:rsid w:val="0005469A"/>
    <w:rsid w:val="000618CC"/>
    <w:rsid w:val="00064835"/>
    <w:rsid w:val="00070CEF"/>
    <w:rsid w:val="00071E1E"/>
    <w:rsid w:val="0007657B"/>
    <w:rsid w:val="00092409"/>
    <w:rsid w:val="0009452C"/>
    <w:rsid w:val="000946A2"/>
    <w:rsid w:val="0009759E"/>
    <w:rsid w:val="00097A94"/>
    <w:rsid w:val="000A1AF9"/>
    <w:rsid w:val="000A2101"/>
    <w:rsid w:val="000A2731"/>
    <w:rsid w:val="000A4A18"/>
    <w:rsid w:val="000A5415"/>
    <w:rsid w:val="000A70A1"/>
    <w:rsid w:val="000D2223"/>
    <w:rsid w:val="000D3209"/>
    <w:rsid w:val="000E3BE6"/>
    <w:rsid w:val="000E6F17"/>
    <w:rsid w:val="000F2F84"/>
    <w:rsid w:val="001074EF"/>
    <w:rsid w:val="001266A1"/>
    <w:rsid w:val="001277DD"/>
    <w:rsid w:val="00130687"/>
    <w:rsid w:val="00145F53"/>
    <w:rsid w:val="00152DC7"/>
    <w:rsid w:val="00153761"/>
    <w:rsid w:val="001668E6"/>
    <w:rsid w:val="00167C1C"/>
    <w:rsid w:val="00167EE5"/>
    <w:rsid w:val="00171CA1"/>
    <w:rsid w:val="00172816"/>
    <w:rsid w:val="00177641"/>
    <w:rsid w:val="0018346A"/>
    <w:rsid w:val="00195CAA"/>
    <w:rsid w:val="001A3101"/>
    <w:rsid w:val="001D086D"/>
    <w:rsid w:val="001D4833"/>
    <w:rsid w:val="001D6FD7"/>
    <w:rsid w:val="001F3683"/>
    <w:rsid w:val="001F5FF2"/>
    <w:rsid w:val="002008EC"/>
    <w:rsid w:val="00202AC8"/>
    <w:rsid w:val="00203B3B"/>
    <w:rsid w:val="00213EB6"/>
    <w:rsid w:val="002249F5"/>
    <w:rsid w:val="00225AA6"/>
    <w:rsid w:val="00227C08"/>
    <w:rsid w:val="00227C25"/>
    <w:rsid w:val="00247781"/>
    <w:rsid w:val="00260F3A"/>
    <w:rsid w:val="0026262A"/>
    <w:rsid w:val="00271682"/>
    <w:rsid w:val="00280350"/>
    <w:rsid w:val="00283D36"/>
    <w:rsid w:val="00285700"/>
    <w:rsid w:val="00290D4B"/>
    <w:rsid w:val="00296F92"/>
    <w:rsid w:val="00297EE2"/>
    <w:rsid w:val="002A1760"/>
    <w:rsid w:val="002A5739"/>
    <w:rsid w:val="002A7370"/>
    <w:rsid w:val="002C0679"/>
    <w:rsid w:val="002C0FC1"/>
    <w:rsid w:val="002C3B18"/>
    <w:rsid w:val="002C5A8E"/>
    <w:rsid w:val="002C73BD"/>
    <w:rsid w:val="002E2987"/>
    <w:rsid w:val="002E5072"/>
    <w:rsid w:val="002F11FB"/>
    <w:rsid w:val="00300FD3"/>
    <w:rsid w:val="00302E5E"/>
    <w:rsid w:val="003072E7"/>
    <w:rsid w:val="0031750C"/>
    <w:rsid w:val="0032729F"/>
    <w:rsid w:val="00330367"/>
    <w:rsid w:val="00330BEF"/>
    <w:rsid w:val="003310B6"/>
    <w:rsid w:val="00331557"/>
    <w:rsid w:val="0033283E"/>
    <w:rsid w:val="00343E9F"/>
    <w:rsid w:val="00344100"/>
    <w:rsid w:val="003513C7"/>
    <w:rsid w:val="0035143D"/>
    <w:rsid w:val="00365520"/>
    <w:rsid w:val="00376230"/>
    <w:rsid w:val="003770D9"/>
    <w:rsid w:val="00382FFC"/>
    <w:rsid w:val="003832F0"/>
    <w:rsid w:val="003862A9"/>
    <w:rsid w:val="00391E62"/>
    <w:rsid w:val="00392244"/>
    <w:rsid w:val="00393E0C"/>
    <w:rsid w:val="00397B5B"/>
    <w:rsid w:val="003A00F3"/>
    <w:rsid w:val="003B0C50"/>
    <w:rsid w:val="003B0DD4"/>
    <w:rsid w:val="003B3F3C"/>
    <w:rsid w:val="003B7C79"/>
    <w:rsid w:val="003C247B"/>
    <w:rsid w:val="003C352A"/>
    <w:rsid w:val="003C3E0D"/>
    <w:rsid w:val="003D0ADB"/>
    <w:rsid w:val="003D1E8D"/>
    <w:rsid w:val="003D254B"/>
    <w:rsid w:val="003D5496"/>
    <w:rsid w:val="003F1299"/>
    <w:rsid w:val="00404506"/>
    <w:rsid w:val="00406502"/>
    <w:rsid w:val="00410C1B"/>
    <w:rsid w:val="0042725F"/>
    <w:rsid w:val="004325B2"/>
    <w:rsid w:val="00433454"/>
    <w:rsid w:val="00436AAA"/>
    <w:rsid w:val="00442164"/>
    <w:rsid w:val="00442FE9"/>
    <w:rsid w:val="00446B4E"/>
    <w:rsid w:val="00461281"/>
    <w:rsid w:val="004625B4"/>
    <w:rsid w:val="00464FAC"/>
    <w:rsid w:val="00465702"/>
    <w:rsid w:val="00465A46"/>
    <w:rsid w:val="00470BF9"/>
    <w:rsid w:val="00481632"/>
    <w:rsid w:val="004822AB"/>
    <w:rsid w:val="00492002"/>
    <w:rsid w:val="004953A8"/>
    <w:rsid w:val="004975A6"/>
    <w:rsid w:val="004A0572"/>
    <w:rsid w:val="004A123D"/>
    <w:rsid w:val="004A2085"/>
    <w:rsid w:val="004A709C"/>
    <w:rsid w:val="004C3BA9"/>
    <w:rsid w:val="004C3C40"/>
    <w:rsid w:val="004D41BA"/>
    <w:rsid w:val="00504488"/>
    <w:rsid w:val="00520488"/>
    <w:rsid w:val="005209E6"/>
    <w:rsid w:val="00521F59"/>
    <w:rsid w:val="0052401C"/>
    <w:rsid w:val="00535173"/>
    <w:rsid w:val="005558A0"/>
    <w:rsid w:val="005604F3"/>
    <w:rsid w:val="005612CE"/>
    <w:rsid w:val="0056343C"/>
    <w:rsid w:val="00565A3D"/>
    <w:rsid w:val="00565D6A"/>
    <w:rsid w:val="00570F4A"/>
    <w:rsid w:val="005727DA"/>
    <w:rsid w:val="00583523"/>
    <w:rsid w:val="00592DB7"/>
    <w:rsid w:val="005952F1"/>
    <w:rsid w:val="005A3D5F"/>
    <w:rsid w:val="005B5521"/>
    <w:rsid w:val="005C16D2"/>
    <w:rsid w:val="005C2D3B"/>
    <w:rsid w:val="005C4A11"/>
    <w:rsid w:val="005C603D"/>
    <w:rsid w:val="005D03F7"/>
    <w:rsid w:val="005D5D75"/>
    <w:rsid w:val="005E2B43"/>
    <w:rsid w:val="005F2397"/>
    <w:rsid w:val="005F31A2"/>
    <w:rsid w:val="00600406"/>
    <w:rsid w:val="00604E17"/>
    <w:rsid w:val="00605337"/>
    <w:rsid w:val="00610532"/>
    <w:rsid w:val="00613F89"/>
    <w:rsid w:val="006231D1"/>
    <w:rsid w:val="00624817"/>
    <w:rsid w:val="00634C6F"/>
    <w:rsid w:val="006459DF"/>
    <w:rsid w:val="0064608D"/>
    <w:rsid w:val="00654D8F"/>
    <w:rsid w:val="00660786"/>
    <w:rsid w:val="006652CA"/>
    <w:rsid w:val="0068015E"/>
    <w:rsid w:val="00690858"/>
    <w:rsid w:val="006A101B"/>
    <w:rsid w:val="006B099B"/>
    <w:rsid w:val="006B1048"/>
    <w:rsid w:val="006B57AD"/>
    <w:rsid w:val="006B6D5D"/>
    <w:rsid w:val="006C2F4B"/>
    <w:rsid w:val="006C36A9"/>
    <w:rsid w:val="006C619B"/>
    <w:rsid w:val="006C6AF8"/>
    <w:rsid w:val="006D2B8E"/>
    <w:rsid w:val="006D3709"/>
    <w:rsid w:val="006D4E43"/>
    <w:rsid w:val="006E20B5"/>
    <w:rsid w:val="006F25DA"/>
    <w:rsid w:val="006F45B9"/>
    <w:rsid w:val="00703FAA"/>
    <w:rsid w:val="00705FC3"/>
    <w:rsid w:val="00707079"/>
    <w:rsid w:val="0071323A"/>
    <w:rsid w:val="00714861"/>
    <w:rsid w:val="007214FA"/>
    <w:rsid w:val="00725A65"/>
    <w:rsid w:val="00732484"/>
    <w:rsid w:val="00733F73"/>
    <w:rsid w:val="00736504"/>
    <w:rsid w:val="00754917"/>
    <w:rsid w:val="0076103A"/>
    <w:rsid w:val="007650A4"/>
    <w:rsid w:val="007756E1"/>
    <w:rsid w:val="0078732E"/>
    <w:rsid w:val="00790812"/>
    <w:rsid w:val="00793A57"/>
    <w:rsid w:val="007A1268"/>
    <w:rsid w:val="007A2C1D"/>
    <w:rsid w:val="007A36F0"/>
    <w:rsid w:val="007A3791"/>
    <w:rsid w:val="007A58DF"/>
    <w:rsid w:val="007B0911"/>
    <w:rsid w:val="007B1E40"/>
    <w:rsid w:val="007C2338"/>
    <w:rsid w:val="007C2480"/>
    <w:rsid w:val="007C4814"/>
    <w:rsid w:val="007D1BD2"/>
    <w:rsid w:val="007E537E"/>
    <w:rsid w:val="007E7DC5"/>
    <w:rsid w:val="007F4008"/>
    <w:rsid w:val="00802103"/>
    <w:rsid w:val="00805BB4"/>
    <w:rsid w:val="00813FCF"/>
    <w:rsid w:val="008146E7"/>
    <w:rsid w:val="00820449"/>
    <w:rsid w:val="008305BA"/>
    <w:rsid w:val="008454C3"/>
    <w:rsid w:val="0085061C"/>
    <w:rsid w:val="0085075D"/>
    <w:rsid w:val="00875311"/>
    <w:rsid w:val="008753BF"/>
    <w:rsid w:val="0088512C"/>
    <w:rsid w:val="00885FB0"/>
    <w:rsid w:val="00887AF4"/>
    <w:rsid w:val="008972FE"/>
    <w:rsid w:val="008A0075"/>
    <w:rsid w:val="008A079D"/>
    <w:rsid w:val="008A4C31"/>
    <w:rsid w:val="008A4C8C"/>
    <w:rsid w:val="008A75B2"/>
    <w:rsid w:val="008B3C90"/>
    <w:rsid w:val="008C1E41"/>
    <w:rsid w:val="008C5441"/>
    <w:rsid w:val="008C5ED9"/>
    <w:rsid w:val="008D6BDF"/>
    <w:rsid w:val="008E0DBF"/>
    <w:rsid w:val="008E3A3C"/>
    <w:rsid w:val="00904496"/>
    <w:rsid w:val="00915088"/>
    <w:rsid w:val="0092394A"/>
    <w:rsid w:val="0093051E"/>
    <w:rsid w:val="00930C7F"/>
    <w:rsid w:val="00935938"/>
    <w:rsid w:val="00935A9A"/>
    <w:rsid w:val="009460BC"/>
    <w:rsid w:val="009461BB"/>
    <w:rsid w:val="00952723"/>
    <w:rsid w:val="00963FA5"/>
    <w:rsid w:val="00967AA0"/>
    <w:rsid w:val="00970C0A"/>
    <w:rsid w:val="00972268"/>
    <w:rsid w:val="00973AD7"/>
    <w:rsid w:val="00984B5E"/>
    <w:rsid w:val="00987D15"/>
    <w:rsid w:val="009945D3"/>
    <w:rsid w:val="009A5846"/>
    <w:rsid w:val="009A7F65"/>
    <w:rsid w:val="009B6AE9"/>
    <w:rsid w:val="009C57E0"/>
    <w:rsid w:val="009C72B4"/>
    <w:rsid w:val="009D3554"/>
    <w:rsid w:val="009D7451"/>
    <w:rsid w:val="009E3804"/>
    <w:rsid w:val="009E4771"/>
    <w:rsid w:val="009E63C6"/>
    <w:rsid w:val="009E6705"/>
    <w:rsid w:val="009F0FF9"/>
    <w:rsid w:val="009F1497"/>
    <w:rsid w:val="009F21BD"/>
    <w:rsid w:val="00A1262C"/>
    <w:rsid w:val="00A1701E"/>
    <w:rsid w:val="00A23C36"/>
    <w:rsid w:val="00A25755"/>
    <w:rsid w:val="00A3065C"/>
    <w:rsid w:val="00A36AD0"/>
    <w:rsid w:val="00A372FA"/>
    <w:rsid w:val="00A43A00"/>
    <w:rsid w:val="00A43DC1"/>
    <w:rsid w:val="00A72652"/>
    <w:rsid w:val="00A80533"/>
    <w:rsid w:val="00A81B08"/>
    <w:rsid w:val="00A8486C"/>
    <w:rsid w:val="00A84D3A"/>
    <w:rsid w:val="00A90E00"/>
    <w:rsid w:val="00A9366A"/>
    <w:rsid w:val="00AA712C"/>
    <w:rsid w:val="00AA7150"/>
    <w:rsid w:val="00AA7615"/>
    <w:rsid w:val="00AB616F"/>
    <w:rsid w:val="00AB632C"/>
    <w:rsid w:val="00AC0BFE"/>
    <w:rsid w:val="00AC192C"/>
    <w:rsid w:val="00AD03C3"/>
    <w:rsid w:val="00AD5D45"/>
    <w:rsid w:val="00AE25AA"/>
    <w:rsid w:val="00AE480E"/>
    <w:rsid w:val="00AF282E"/>
    <w:rsid w:val="00AF2A06"/>
    <w:rsid w:val="00AF43B4"/>
    <w:rsid w:val="00B00B72"/>
    <w:rsid w:val="00B05656"/>
    <w:rsid w:val="00B063BD"/>
    <w:rsid w:val="00B14CB0"/>
    <w:rsid w:val="00B4223B"/>
    <w:rsid w:val="00B4577F"/>
    <w:rsid w:val="00B52156"/>
    <w:rsid w:val="00B52ECC"/>
    <w:rsid w:val="00B53D96"/>
    <w:rsid w:val="00B66B49"/>
    <w:rsid w:val="00B67A10"/>
    <w:rsid w:val="00B72724"/>
    <w:rsid w:val="00B85742"/>
    <w:rsid w:val="00B86B55"/>
    <w:rsid w:val="00B91E37"/>
    <w:rsid w:val="00B9469C"/>
    <w:rsid w:val="00B949B1"/>
    <w:rsid w:val="00BA3FB2"/>
    <w:rsid w:val="00BA62A2"/>
    <w:rsid w:val="00BA7409"/>
    <w:rsid w:val="00BB1FFC"/>
    <w:rsid w:val="00BC12B0"/>
    <w:rsid w:val="00BC2B9C"/>
    <w:rsid w:val="00BC404C"/>
    <w:rsid w:val="00BC709F"/>
    <w:rsid w:val="00BD1205"/>
    <w:rsid w:val="00BD17D3"/>
    <w:rsid w:val="00BD5139"/>
    <w:rsid w:val="00BE3F7A"/>
    <w:rsid w:val="00BE6D15"/>
    <w:rsid w:val="00C052E7"/>
    <w:rsid w:val="00C20E4C"/>
    <w:rsid w:val="00C3372B"/>
    <w:rsid w:val="00C425DF"/>
    <w:rsid w:val="00C42D8D"/>
    <w:rsid w:val="00C44B69"/>
    <w:rsid w:val="00C501DD"/>
    <w:rsid w:val="00C5761D"/>
    <w:rsid w:val="00C60E36"/>
    <w:rsid w:val="00C63A5D"/>
    <w:rsid w:val="00C86C2F"/>
    <w:rsid w:val="00C9227D"/>
    <w:rsid w:val="00C9506D"/>
    <w:rsid w:val="00C9669D"/>
    <w:rsid w:val="00CC2201"/>
    <w:rsid w:val="00CC2450"/>
    <w:rsid w:val="00CC443B"/>
    <w:rsid w:val="00CD0282"/>
    <w:rsid w:val="00CD11C7"/>
    <w:rsid w:val="00CD608C"/>
    <w:rsid w:val="00CE0C47"/>
    <w:rsid w:val="00CF4E24"/>
    <w:rsid w:val="00CF5037"/>
    <w:rsid w:val="00D037B9"/>
    <w:rsid w:val="00D0590C"/>
    <w:rsid w:val="00D13CDD"/>
    <w:rsid w:val="00D15425"/>
    <w:rsid w:val="00D17633"/>
    <w:rsid w:val="00D17D33"/>
    <w:rsid w:val="00D22260"/>
    <w:rsid w:val="00D335E0"/>
    <w:rsid w:val="00D42908"/>
    <w:rsid w:val="00D445F4"/>
    <w:rsid w:val="00D46E89"/>
    <w:rsid w:val="00D4753D"/>
    <w:rsid w:val="00D51F10"/>
    <w:rsid w:val="00D54990"/>
    <w:rsid w:val="00D66AA7"/>
    <w:rsid w:val="00D74C1E"/>
    <w:rsid w:val="00D82FD0"/>
    <w:rsid w:val="00D831B2"/>
    <w:rsid w:val="00D83E66"/>
    <w:rsid w:val="00DA41C3"/>
    <w:rsid w:val="00DA4D12"/>
    <w:rsid w:val="00DA7DA6"/>
    <w:rsid w:val="00DB1779"/>
    <w:rsid w:val="00DC0224"/>
    <w:rsid w:val="00DC0ED1"/>
    <w:rsid w:val="00DC2A04"/>
    <w:rsid w:val="00DC6FAB"/>
    <w:rsid w:val="00DC791F"/>
    <w:rsid w:val="00DD2523"/>
    <w:rsid w:val="00DD7ACE"/>
    <w:rsid w:val="00DF33C8"/>
    <w:rsid w:val="00E018F6"/>
    <w:rsid w:val="00E023FF"/>
    <w:rsid w:val="00E12CA2"/>
    <w:rsid w:val="00E1577A"/>
    <w:rsid w:val="00E15B25"/>
    <w:rsid w:val="00E24037"/>
    <w:rsid w:val="00E251CC"/>
    <w:rsid w:val="00E25410"/>
    <w:rsid w:val="00E31729"/>
    <w:rsid w:val="00E479A1"/>
    <w:rsid w:val="00E503A3"/>
    <w:rsid w:val="00E50821"/>
    <w:rsid w:val="00E64AC0"/>
    <w:rsid w:val="00E65F09"/>
    <w:rsid w:val="00E67017"/>
    <w:rsid w:val="00E67878"/>
    <w:rsid w:val="00E67FBE"/>
    <w:rsid w:val="00E74E7D"/>
    <w:rsid w:val="00E81F0F"/>
    <w:rsid w:val="00E84AD5"/>
    <w:rsid w:val="00E94245"/>
    <w:rsid w:val="00EA10FC"/>
    <w:rsid w:val="00EB2649"/>
    <w:rsid w:val="00EC0A8C"/>
    <w:rsid w:val="00EC5065"/>
    <w:rsid w:val="00EC55FA"/>
    <w:rsid w:val="00ED17A1"/>
    <w:rsid w:val="00ED5DB8"/>
    <w:rsid w:val="00ED72A3"/>
    <w:rsid w:val="00ED7377"/>
    <w:rsid w:val="00ED75A5"/>
    <w:rsid w:val="00ED7829"/>
    <w:rsid w:val="00EE1009"/>
    <w:rsid w:val="00EE4DD4"/>
    <w:rsid w:val="00EE4FA7"/>
    <w:rsid w:val="00EE60E3"/>
    <w:rsid w:val="00EE6F0E"/>
    <w:rsid w:val="00EF1273"/>
    <w:rsid w:val="00EF4E39"/>
    <w:rsid w:val="00F02C1A"/>
    <w:rsid w:val="00F135EB"/>
    <w:rsid w:val="00F1517C"/>
    <w:rsid w:val="00F24319"/>
    <w:rsid w:val="00F26B99"/>
    <w:rsid w:val="00F3548C"/>
    <w:rsid w:val="00F373FF"/>
    <w:rsid w:val="00F43560"/>
    <w:rsid w:val="00F50787"/>
    <w:rsid w:val="00F623A0"/>
    <w:rsid w:val="00F77593"/>
    <w:rsid w:val="00F77A7A"/>
    <w:rsid w:val="00F83E09"/>
    <w:rsid w:val="00F9184A"/>
    <w:rsid w:val="00F92A9D"/>
    <w:rsid w:val="00F933C9"/>
    <w:rsid w:val="00F97831"/>
    <w:rsid w:val="00F97E26"/>
    <w:rsid w:val="00FB7D6D"/>
    <w:rsid w:val="00FC46F7"/>
    <w:rsid w:val="00FC4AB0"/>
    <w:rsid w:val="00FD507C"/>
    <w:rsid w:val="00FD7DEF"/>
    <w:rsid w:val="00FE7B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F609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17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17D3"/>
  </w:style>
  <w:style w:type="paragraph" w:styleId="BalloonText">
    <w:name w:val="Balloon Text"/>
    <w:basedOn w:val="Normal"/>
    <w:link w:val="BalloonTextChar"/>
    <w:uiPriority w:val="99"/>
    <w:semiHidden/>
    <w:unhideWhenUsed/>
    <w:rsid w:val="00A80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533"/>
    <w:rPr>
      <w:rFonts w:ascii="Segoe UI" w:hAnsi="Segoe UI" w:cs="Segoe UI"/>
      <w:sz w:val="18"/>
      <w:szCs w:val="18"/>
    </w:rPr>
  </w:style>
  <w:style w:type="character" w:styleId="Hyperlink">
    <w:name w:val="Hyperlink"/>
    <w:basedOn w:val="DefaultParagraphFont"/>
    <w:uiPriority w:val="99"/>
    <w:unhideWhenUsed/>
    <w:rsid w:val="00145F53"/>
    <w:rPr>
      <w:color w:val="0563C1" w:themeColor="hyperlink"/>
      <w:u w:val="single"/>
    </w:rPr>
  </w:style>
  <w:style w:type="character" w:styleId="CommentReference">
    <w:name w:val="annotation reference"/>
    <w:basedOn w:val="DefaultParagraphFont"/>
    <w:uiPriority w:val="99"/>
    <w:semiHidden/>
    <w:unhideWhenUsed/>
    <w:rsid w:val="006B1048"/>
    <w:rPr>
      <w:sz w:val="16"/>
      <w:szCs w:val="16"/>
    </w:rPr>
  </w:style>
  <w:style w:type="paragraph" w:styleId="CommentText">
    <w:name w:val="annotation text"/>
    <w:basedOn w:val="Normal"/>
    <w:link w:val="CommentTextChar"/>
    <w:uiPriority w:val="99"/>
    <w:semiHidden/>
    <w:unhideWhenUsed/>
    <w:rsid w:val="006B1048"/>
    <w:pPr>
      <w:spacing w:line="240" w:lineRule="auto"/>
    </w:pPr>
    <w:rPr>
      <w:sz w:val="20"/>
      <w:szCs w:val="20"/>
    </w:rPr>
  </w:style>
  <w:style w:type="character" w:customStyle="1" w:styleId="CommentTextChar">
    <w:name w:val="Comment Text Char"/>
    <w:basedOn w:val="DefaultParagraphFont"/>
    <w:link w:val="CommentText"/>
    <w:uiPriority w:val="99"/>
    <w:semiHidden/>
    <w:rsid w:val="006B1048"/>
    <w:rPr>
      <w:sz w:val="20"/>
      <w:szCs w:val="20"/>
    </w:rPr>
  </w:style>
  <w:style w:type="paragraph" w:styleId="CommentSubject">
    <w:name w:val="annotation subject"/>
    <w:basedOn w:val="CommentText"/>
    <w:next w:val="CommentText"/>
    <w:link w:val="CommentSubjectChar"/>
    <w:uiPriority w:val="99"/>
    <w:semiHidden/>
    <w:unhideWhenUsed/>
    <w:rsid w:val="006B1048"/>
    <w:rPr>
      <w:b/>
      <w:bCs/>
    </w:rPr>
  </w:style>
  <w:style w:type="character" w:customStyle="1" w:styleId="CommentSubjectChar">
    <w:name w:val="Comment Subject Char"/>
    <w:basedOn w:val="CommentTextChar"/>
    <w:link w:val="CommentSubject"/>
    <w:uiPriority w:val="99"/>
    <w:semiHidden/>
    <w:rsid w:val="006B1048"/>
    <w:rPr>
      <w:b/>
      <w:bCs/>
      <w:sz w:val="20"/>
      <w:szCs w:val="20"/>
    </w:rPr>
  </w:style>
  <w:style w:type="paragraph" w:styleId="Header">
    <w:name w:val="header"/>
    <w:basedOn w:val="Normal"/>
    <w:link w:val="HeaderChar"/>
    <w:uiPriority w:val="99"/>
    <w:unhideWhenUsed/>
    <w:rsid w:val="001277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77DD"/>
  </w:style>
  <w:style w:type="character" w:styleId="UnresolvedMention">
    <w:name w:val="Unresolved Mention"/>
    <w:basedOn w:val="DefaultParagraphFont"/>
    <w:uiPriority w:val="99"/>
    <w:semiHidden/>
    <w:unhideWhenUsed/>
    <w:rsid w:val="00D33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04949">
      <w:bodyDiv w:val="1"/>
      <w:marLeft w:val="0"/>
      <w:marRight w:val="0"/>
      <w:marTop w:val="0"/>
      <w:marBottom w:val="0"/>
      <w:divBdr>
        <w:top w:val="none" w:sz="0" w:space="0" w:color="auto"/>
        <w:left w:val="none" w:sz="0" w:space="0" w:color="auto"/>
        <w:bottom w:val="none" w:sz="0" w:space="0" w:color="auto"/>
        <w:right w:val="none" w:sz="0" w:space="0" w:color="auto"/>
      </w:divBdr>
    </w:div>
    <w:div w:id="7664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215.15830011414.2.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9646</Words>
  <Characters>5499</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2019-03-28T12:06:00Z</dcterms:created>
  <dcterms:modified xsi:type="dcterms:W3CDTF">2019-03-28T12:06:00Z</dcterms:modified>
</cp:coreProperties>
</file>