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EA9" w:rsidRPr="00E26E2A" w:rsidRDefault="00CF1CE9" w:rsidP="00CF1CE9">
      <w:pPr>
        <w:pStyle w:val="BodyText2"/>
        <w:spacing w:line="276" w:lineRule="auto"/>
        <w:jc w:val="both"/>
        <w:outlineLvl w:val="0"/>
      </w:pPr>
      <w:bookmarkStart w:id="0" w:name="_Hlk854210"/>
      <w:r w:rsidRPr="00E26E2A">
        <w:rPr>
          <w:rFonts w:ascii="Times New Roman" w:hAnsi="Times New Roman"/>
          <w:b/>
          <w:sz w:val="24"/>
          <w:szCs w:val="24"/>
        </w:rPr>
        <w:t>Tiesību uz kriminālprocesa pabeigšanu saprātīgā termiņā izvērtējums un kompensējošais mehānisms šo tiesību pārkāpuma gadījumā</w:t>
      </w:r>
      <w:r w:rsidR="00BC2EA9" w:rsidRPr="00E26E2A">
        <w:t xml:space="preserve"> </w:t>
      </w:r>
    </w:p>
    <w:p w:rsidR="00BC2EA9" w:rsidRPr="00E26E2A" w:rsidRDefault="00BC2EA9" w:rsidP="00E61E01">
      <w:pPr>
        <w:pStyle w:val="BodyText2"/>
        <w:spacing w:line="276" w:lineRule="auto"/>
        <w:jc w:val="center"/>
      </w:pPr>
    </w:p>
    <w:p w:rsidR="00CF1CE9" w:rsidRPr="00E26E2A" w:rsidRDefault="00BC2EA9" w:rsidP="00E400FE">
      <w:pPr>
        <w:pStyle w:val="BodyText2"/>
        <w:spacing w:line="276" w:lineRule="auto"/>
        <w:jc w:val="center"/>
        <w:outlineLvl w:val="0"/>
        <w:rPr>
          <w:rFonts w:ascii="Times New Roman" w:hAnsi="Times New Roman"/>
          <w:b/>
          <w:sz w:val="24"/>
          <w:szCs w:val="24"/>
        </w:rPr>
      </w:pPr>
      <w:bookmarkStart w:id="1" w:name="_Hlk1546070"/>
      <w:r w:rsidRPr="00E26E2A">
        <w:rPr>
          <w:rFonts w:ascii="Times New Roman" w:hAnsi="Times New Roman"/>
          <w:b/>
          <w:sz w:val="24"/>
          <w:szCs w:val="24"/>
        </w:rPr>
        <w:t>Latvijas Republikas Senāt</w:t>
      </w:r>
      <w:r w:rsidR="00CF1CE9" w:rsidRPr="00E26E2A">
        <w:rPr>
          <w:rFonts w:ascii="Times New Roman" w:hAnsi="Times New Roman"/>
          <w:b/>
          <w:sz w:val="24"/>
          <w:szCs w:val="24"/>
        </w:rPr>
        <w:t>a</w:t>
      </w:r>
    </w:p>
    <w:p w:rsidR="00CF1CE9" w:rsidRPr="00E26E2A" w:rsidRDefault="00CF1CE9" w:rsidP="00E400FE">
      <w:pPr>
        <w:pStyle w:val="BodyText2"/>
        <w:spacing w:line="276" w:lineRule="auto"/>
        <w:jc w:val="center"/>
        <w:outlineLvl w:val="0"/>
        <w:rPr>
          <w:rFonts w:ascii="Times New Roman" w:hAnsi="Times New Roman"/>
          <w:b/>
          <w:sz w:val="24"/>
          <w:szCs w:val="24"/>
        </w:rPr>
      </w:pPr>
      <w:r w:rsidRPr="00E26E2A">
        <w:rPr>
          <w:rFonts w:ascii="Times New Roman" w:hAnsi="Times New Roman"/>
          <w:b/>
          <w:sz w:val="24"/>
          <w:szCs w:val="24"/>
        </w:rPr>
        <w:t>Krimināllietu departamenta</w:t>
      </w:r>
    </w:p>
    <w:p w:rsidR="00BC2EA9" w:rsidRPr="00E26E2A" w:rsidRDefault="00CF1CE9" w:rsidP="00E400FE">
      <w:pPr>
        <w:spacing w:line="276" w:lineRule="auto"/>
        <w:jc w:val="center"/>
        <w:rPr>
          <w:b/>
        </w:rPr>
      </w:pPr>
      <w:r w:rsidRPr="00E26E2A">
        <w:rPr>
          <w:b/>
        </w:rPr>
        <w:t xml:space="preserve">2019.gada </w:t>
      </w:r>
      <w:r w:rsidR="007776F4" w:rsidRPr="00E26E2A">
        <w:rPr>
          <w:b/>
        </w:rPr>
        <w:t>[..]</w:t>
      </w:r>
    </w:p>
    <w:p w:rsidR="00BC2EA9" w:rsidRPr="00E26E2A" w:rsidRDefault="00BC2EA9" w:rsidP="00E400FE">
      <w:pPr>
        <w:spacing w:line="276" w:lineRule="auto"/>
        <w:jc w:val="center"/>
        <w:rPr>
          <w:b/>
        </w:rPr>
      </w:pPr>
      <w:r w:rsidRPr="00E26E2A">
        <w:rPr>
          <w:b/>
        </w:rPr>
        <w:t>LĒMUMS</w:t>
      </w:r>
      <w:r w:rsidR="00A34952">
        <w:rPr>
          <w:rStyle w:val="FootnoteReference"/>
          <w:b/>
        </w:rPr>
        <w:footnoteReference w:id="1"/>
      </w:r>
    </w:p>
    <w:p w:rsidR="00BC2EA9" w:rsidRPr="00E26E2A" w:rsidRDefault="00CF1CE9" w:rsidP="00E400FE">
      <w:pPr>
        <w:spacing w:line="276" w:lineRule="auto"/>
        <w:ind w:firstLine="567"/>
        <w:jc w:val="center"/>
        <w:rPr>
          <w:b/>
        </w:rPr>
      </w:pPr>
      <w:r w:rsidRPr="00E26E2A">
        <w:rPr>
          <w:b/>
        </w:rPr>
        <w:t>Lieta Nr.</w:t>
      </w:r>
      <w:r w:rsidR="00567743">
        <w:rPr>
          <w:b/>
        </w:rPr>
        <w:t> </w:t>
      </w:r>
      <w:r w:rsidRPr="00E26E2A">
        <w:rPr>
          <w:b/>
        </w:rPr>
        <w:t>[..], SKK–[A]/2019</w:t>
      </w:r>
    </w:p>
    <w:bookmarkEnd w:id="1"/>
    <w:p w:rsidR="00831E6E" w:rsidRDefault="00831E6E" w:rsidP="00CF1CE9">
      <w:pPr>
        <w:spacing w:line="276" w:lineRule="auto"/>
        <w:ind w:firstLine="567"/>
        <w:jc w:val="center"/>
      </w:pPr>
    </w:p>
    <w:p w:rsidR="00831E6E" w:rsidRPr="00E26E2A" w:rsidRDefault="00831E6E" w:rsidP="00CF1CE9">
      <w:pPr>
        <w:spacing w:line="276" w:lineRule="auto"/>
        <w:ind w:firstLine="567"/>
        <w:jc w:val="center"/>
        <w:rPr>
          <w:b/>
        </w:rPr>
      </w:pPr>
    </w:p>
    <w:p w:rsidR="00BC2EA9" w:rsidRPr="00E26E2A" w:rsidRDefault="00BC2EA9" w:rsidP="00E61E01">
      <w:pPr>
        <w:spacing w:line="276" w:lineRule="auto"/>
        <w:ind w:firstLine="709"/>
      </w:pPr>
      <w:r w:rsidRPr="00E26E2A">
        <w:t xml:space="preserve">Tiesa šādā sastāvā: senatori Aija Branta, Voldemārs Čiževskis, Anita Nusberga </w:t>
      </w:r>
    </w:p>
    <w:p w:rsidR="00BC2EA9" w:rsidRPr="00E26E2A" w:rsidRDefault="00BC2EA9" w:rsidP="00E61E01">
      <w:pPr>
        <w:tabs>
          <w:tab w:val="left" w:pos="-3120"/>
        </w:tabs>
        <w:suppressAutoHyphens/>
        <w:spacing w:line="276" w:lineRule="auto"/>
        <w:ind w:firstLine="709"/>
        <w:jc w:val="both"/>
      </w:pPr>
    </w:p>
    <w:p w:rsidR="00BC2EA9" w:rsidRPr="00E26E2A" w:rsidRDefault="00BC2EA9" w:rsidP="00E61E01">
      <w:pPr>
        <w:tabs>
          <w:tab w:val="left" w:pos="-3120"/>
        </w:tabs>
        <w:suppressAutoHyphens/>
        <w:spacing w:line="276" w:lineRule="auto"/>
        <w:ind w:firstLine="709"/>
        <w:jc w:val="both"/>
      </w:pPr>
      <w:r w:rsidRPr="00E26E2A">
        <w:t xml:space="preserve">izskatīja rakstveida procesā krimināllietu sakarā ar apsūdzētā </w:t>
      </w:r>
      <w:r w:rsidR="00CF1CE9" w:rsidRPr="00E26E2A">
        <w:t>[pers. A]</w:t>
      </w:r>
      <w:r w:rsidRPr="00E26E2A">
        <w:t xml:space="preserve"> aizstāves Veras Mihaiļenko kasācijas sūdzību par </w:t>
      </w:r>
      <w:r w:rsidR="00CF1CE9" w:rsidRPr="00E26E2A">
        <w:t>[..]</w:t>
      </w:r>
      <w:r w:rsidRPr="00E26E2A">
        <w:t xml:space="preserve"> apgabaltiesas 2018.gada </w:t>
      </w:r>
      <w:r w:rsidR="00CF1CE9" w:rsidRPr="00E26E2A">
        <w:t>[..]</w:t>
      </w:r>
      <w:r w:rsidRPr="00E26E2A">
        <w:t xml:space="preserve"> spriedumu.</w:t>
      </w:r>
    </w:p>
    <w:p w:rsidR="00BC2EA9" w:rsidRPr="00E26E2A" w:rsidRDefault="00BC2EA9" w:rsidP="00E61E01">
      <w:pPr>
        <w:suppressAutoHyphens/>
        <w:spacing w:line="276" w:lineRule="auto"/>
        <w:ind w:firstLine="567"/>
      </w:pPr>
    </w:p>
    <w:p w:rsidR="00BC2EA9" w:rsidRPr="00E26E2A" w:rsidRDefault="00BC2EA9" w:rsidP="00E61E01">
      <w:pPr>
        <w:spacing w:line="276" w:lineRule="auto"/>
        <w:jc w:val="center"/>
        <w:rPr>
          <w:b/>
        </w:rPr>
      </w:pPr>
      <w:r w:rsidRPr="00E26E2A">
        <w:rPr>
          <w:b/>
        </w:rPr>
        <w:t>Aprakstošā daļa</w:t>
      </w:r>
    </w:p>
    <w:p w:rsidR="00BC2EA9" w:rsidRPr="00E26E2A" w:rsidRDefault="00BC2EA9" w:rsidP="00E61E01">
      <w:pPr>
        <w:suppressAutoHyphens/>
        <w:spacing w:line="276" w:lineRule="auto"/>
        <w:ind w:firstLine="567"/>
        <w:rPr>
          <w:b/>
        </w:rPr>
      </w:pPr>
    </w:p>
    <w:p w:rsidR="00BC2EA9" w:rsidRPr="00E26E2A" w:rsidRDefault="00BC2EA9" w:rsidP="0003390A">
      <w:pPr>
        <w:pStyle w:val="ListParagraph"/>
        <w:numPr>
          <w:ilvl w:val="0"/>
          <w:numId w:val="1"/>
        </w:numPr>
        <w:tabs>
          <w:tab w:val="left" w:pos="993"/>
        </w:tabs>
        <w:spacing w:line="276" w:lineRule="auto"/>
        <w:ind w:left="0" w:firstLine="709"/>
        <w:jc w:val="both"/>
      </w:pPr>
      <w:r w:rsidRPr="00E26E2A">
        <w:t xml:space="preserve">Ar </w:t>
      </w:r>
      <w:r w:rsidR="00CF1CE9" w:rsidRPr="00E26E2A">
        <w:t>[..]</w:t>
      </w:r>
      <w:r w:rsidRPr="00E26E2A">
        <w:t xml:space="preserve"> rajona tiesas 2016.gada </w:t>
      </w:r>
      <w:r w:rsidR="007776F4" w:rsidRPr="00E26E2A">
        <w:t>[..]</w:t>
      </w:r>
      <w:r w:rsidRPr="00E26E2A">
        <w:t xml:space="preserve"> spriedumu</w:t>
      </w:r>
    </w:p>
    <w:p w:rsidR="00BC2EA9" w:rsidRPr="00E26E2A" w:rsidRDefault="00CF1CE9" w:rsidP="007C6EBF">
      <w:pPr>
        <w:pStyle w:val="tv213"/>
        <w:tabs>
          <w:tab w:val="left" w:pos="993"/>
        </w:tabs>
        <w:spacing w:before="0" w:beforeAutospacing="0" w:after="0" w:afterAutospacing="0" w:line="276" w:lineRule="auto"/>
        <w:ind w:firstLine="709"/>
        <w:jc w:val="both"/>
      </w:pPr>
      <w:r w:rsidRPr="00E26E2A">
        <w:t>[Pers. A]</w:t>
      </w:r>
      <w:r w:rsidR="00BC2EA9" w:rsidRPr="00E26E2A">
        <w:t xml:space="preserve">, personas kods </w:t>
      </w:r>
      <w:r w:rsidRPr="00E26E2A">
        <w:t>[..]</w:t>
      </w:r>
      <w:r w:rsidR="00BC2EA9" w:rsidRPr="00E26E2A">
        <w:t>,</w:t>
      </w:r>
      <w:r w:rsidR="007C6EBF">
        <w:t xml:space="preserve"> </w:t>
      </w:r>
      <w:r w:rsidRPr="00E26E2A">
        <w:t>[..]</w:t>
      </w:r>
    </w:p>
    <w:p w:rsidR="00BC2EA9" w:rsidRPr="00E26E2A" w:rsidRDefault="00BC2EA9" w:rsidP="0003390A">
      <w:pPr>
        <w:tabs>
          <w:tab w:val="left" w:pos="993"/>
        </w:tabs>
        <w:spacing w:line="276" w:lineRule="auto"/>
        <w:ind w:firstLine="709"/>
        <w:jc w:val="both"/>
      </w:pPr>
    </w:p>
    <w:p w:rsidR="00BC2EA9" w:rsidRPr="00E26E2A" w:rsidRDefault="00BC2EA9" w:rsidP="0003390A">
      <w:pPr>
        <w:tabs>
          <w:tab w:val="left" w:pos="993"/>
        </w:tabs>
        <w:spacing w:line="276" w:lineRule="auto"/>
        <w:ind w:firstLine="709"/>
        <w:jc w:val="both"/>
      </w:pPr>
      <w:r w:rsidRPr="00E26E2A">
        <w:t xml:space="preserve">[2] Ar </w:t>
      </w:r>
      <w:r w:rsidR="00CF1CE9" w:rsidRPr="00E26E2A">
        <w:t xml:space="preserve">[..] </w:t>
      </w:r>
      <w:r w:rsidRPr="00E26E2A">
        <w:t xml:space="preserve">rajona tiesas 2016.gada </w:t>
      </w:r>
      <w:r w:rsidR="007776F4" w:rsidRPr="00E26E2A">
        <w:t>[..]</w:t>
      </w:r>
      <w:r w:rsidRPr="00E26E2A">
        <w:t xml:space="preserve"> spriedumu </w:t>
      </w:r>
      <w:r w:rsidR="00CF1CE9" w:rsidRPr="00E26E2A">
        <w:t>[pers. A]</w:t>
      </w:r>
      <w:r w:rsidRPr="00E26E2A">
        <w:t xml:space="preserve"> atzīts par vainīgu un sodīts pēc Krimināllikuma 162.panta otrās daļas par netiklām darbībām ar mazgadīgo.</w:t>
      </w:r>
    </w:p>
    <w:p w:rsidR="00BC2EA9" w:rsidRPr="00E26E2A" w:rsidRDefault="00BC2EA9" w:rsidP="0003390A">
      <w:pPr>
        <w:tabs>
          <w:tab w:val="left" w:pos="993"/>
        </w:tabs>
        <w:spacing w:line="276" w:lineRule="auto"/>
        <w:ind w:firstLine="709"/>
        <w:jc w:val="both"/>
      </w:pPr>
    </w:p>
    <w:p w:rsidR="00BC2EA9" w:rsidRPr="00E26E2A" w:rsidRDefault="00BC2EA9" w:rsidP="0003390A">
      <w:pPr>
        <w:tabs>
          <w:tab w:val="left" w:pos="993"/>
        </w:tabs>
        <w:spacing w:line="276" w:lineRule="auto"/>
        <w:ind w:firstLine="709"/>
        <w:jc w:val="both"/>
      </w:pPr>
      <w:r w:rsidRPr="00E26E2A">
        <w:t xml:space="preserve">[3] Turklāt ar </w:t>
      </w:r>
      <w:r w:rsidR="007776F4" w:rsidRPr="00E26E2A">
        <w:t>[..]</w:t>
      </w:r>
      <w:r w:rsidRPr="00E26E2A">
        <w:t xml:space="preserve"> rajona tiesas 2016.gada </w:t>
      </w:r>
      <w:r w:rsidR="007776F4" w:rsidRPr="00E26E2A">
        <w:t>[..]</w:t>
      </w:r>
      <w:r w:rsidRPr="00E26E2A">
        <w:t xml:space="preserve"> spriedumu </w:t>
      </w:r>
      <w:r w:rsidR="006B5706" w:rsidRPr="00E26E2A">
        <w:t>[pers. A]</w:t>
      </w:r>
      <w:r w:rsidRPr="00E26E2A">
        <w:t xml:space="preserve"> atzīts par vainīgu un sodīts pēc Krimināllikuma 160.panta trešās daļas par vardarbīgu dzimumtieksmes apmierināšanu (pederastiju) ar mazgadīgo, izmantojot personas bezpalīdzības stāvokli.</w:t>
      </w:r>
    </w:p>
    <w:p w:rsidR="00BC2EA9" w:rsidRPr="00E26E2A" w:rsidRDefault="00BC2EA9" w:rsidP="0003390A">
      <w:pPr>
        <w:tabs>
          <w:tab w:val="left" w:pos="993"/>
        </w:tabs>
        <w:spacing w:line="276" w:lineRule="auto"/>
        <w:ind w:firstLine="709"/>
        <w:jc w:val="both"/>
      </w:pPr>
    </w:p>
    <w:p w:rsidR="00BC2EA9" w:rsidRPr="00E26E2A" w:rsidRDefault="00BC2EA9" w:rsidP="0003390A">
      <w:pPr>
        <w:tabs>
          <w:tab w:val="left" w:pos="993"/>
        </w:tabs>
        <w:spacing w:line="276" w:lineRule="auto"/>
        <w:ind w:firstLine="709"/>
        <w:jc w:val="both"/>
      </w:pPr>
      <w:r w:rsidRPr="00E26E2A">
        <w:t xml:space="preserve">[4] Ar </w:t>
      </w:r>
      <w:r w:rsidR="006B5706" w:rsidRPr="00E26E2A">
        <w:t>[..]</w:t>
      </w:r>
      <w:r w:rsidRPr="00E26E2A">
        <w:t xml:space="preserve"> apgabaltiesas 2017.gada </w:t>
      </w:r>
      <w:r w:rsidR="007776F4" w:rsidRPr="00E26E2A">
        <w:t>[..]</w:t>
      </w:r>
      <w:r w:rsidRPr="00E26E2A">
        <w:t xml:space="preserve"> lēmumu, iztiesājot lietu apelācijas kārtībā sakarā ar apsūdzētā </w:t>
      </w:r>
      <w:r w:rsidR="006B5706" w:rsidRPr="00E26E2A">
        <w:t>[pers. A]</w:t>
      </w:r>
      <w:r w:rsidRPr="00E26E2A">
        <w:t xml:space="preserve"> un viņa aizstāves I. Samsones apelācijas sūdzībām, </w:t>
      </w:r>
      <w:r w:rsidR="006B5706" w:rsidRPr="00E26E2A">
        <w:t>[..]</w:t>
      </w:r>
      <w:r w:rsidRPr="00E26E2A">
        <w:t xml:space="preserve"> rajona tiesas 2016.gada </w:t>
      </w:r>
      <w:r w:rsidR="007776F4" w:rsidRPr="00E26E2A">
        <w:t>[..]</w:t>
      </w:r>
      <w:r w:rsidRPr="00E26E2A">
        <w:t xml:space="preserve"> spriedums atstāts negrozīts.</w:t>
      </w:r>
    </w:p>
    <w:p w:rsidR="00BC2EA9" w:rsidRPr="00E26E2A" w:rsidRDefault="00BC2EA9" w:rsidP="0003390A">
      <w:pPr>
        <w:tabs>
          <w:tab w:val="left" w:pos="993"/>
        </w:tabs>
        <w:spacing w:line="276" w:lineRule="auto"/>
        <w:ind w:firstLine="709"/>
        <w:jc w:val="both"/>
      </w:pPr>
    </w:p>
    <w:p w:rsidR="00BC2EA9" w:rsidRPr="00E26E2A" w:rsidRDefault="00BC2EA9" w:rsidP="0003390A">
      <w:pPr>
        <w:tabs>
          <w:tab w:val="left" w:pos="993"/>
        </w:tabs>
        <w:spacing w:line="276" w:lineRule="auto"/>
        <w:ind w:firstLine="709"/>
        <w:jc w:val="both"/>
      </w:pPr>
      <w:r w:rsidRPr="00E26E2A">
        <w:t xml:space="preserve">[5] Ar Augstākās tiesas 2017.gada </w:t>
      </w:r>
      <w:r w:rsidR="007776F4" w:rsidRPr="00E26E2A">
        <w:t>[..]</w:t>
      </w:r>
      <w:r w:rsidRPr="00E26E2A">
        <w:t xml:space="preserve"> lēmumu, izskatot lietu kasācijas kārtībā sakarā ar </w:t>
      </w:r>
      <w:r w:rsidR="006B5706" w:rsidRPr="00E26E2A">
        <w:t>[pers. A]</w:t>
      </w:r>
      <w:r w:rsidRPr="00E26E2A">
        <w:t xml:space="preserve"> aizstāvja J. Rozenberga kasācijas sūdzību, </w:t>
      </w:r>
      <w:r w:rsidR="006B5706" w:rsidRPr="00E26E2A">
        <w:t>[..]</w:t>
      </w:r>
      <w:r w:rsidRPr="00E26E2A">
        <w:t xml:space="preserve"> apgabaltiesas 2017.gada </w:t>
      </w:r>
      <w:r w:rsidR="007776F4" w:rsidRPr="00E26E2A">
        <w:t>[..]</w:t>
      </w:r>
      <w:r w:rsidRPr="00E26E2A">
        <w:t xml:space="preserve"> lēmums atcelts daļā par </w:t>
      </w:r>
      <w:r w:rsidR="006B5706" w:rsidRPr="00E26E2A">
        <w:t>[pers. A]</w:t>
      </w:r>
      <w:r w:rsidRPr="00E26E2A">
        <w:t xml:space="preserve"> atzīšanu par vainīgu un sodīšanu pēc Krimināllikuma 160.panta trešās daļas</w:t>
      </w:r>
      <w:r w:rsidR="00C97393" w:rsidRPr="00E26E2A">
        <w:t>, 162.panta otrās daļas,</w:t>
      </w:r>
      <w:r w:rsidRPr="00E26E2A">
        <w:t xml:space="preserve"> daļā par </w:t>
      </w:r>
      <w:r w:rsidR="006B5706" w:rsidRPr="00E26E2A">
        <w:t>[pers. A]</w:t>
      </w:r>
      <w:r w:rsidRPr="00E26E2A">
        <w:t xml:space="preserve"> noteikto </w:t>
      </w:r>
      <w:r w:rsidR="00C97393" w:rsidRPr="00E26E2A">
        <w:t xml:space="preserve">galīgo </w:t>
      </w:r>
      <w:r w:rsidRPr="00E26E2A">
        <w:t>sodu saskaņā ar Krimināllikuma 50.panta pirmo daļu</w:t>
      </w:r>
      <w:r w:rsidR="00C97393" w:rsidRPr="00E26E2A">
        <w:t>,</w:t>
      </w:r>
      <w:r w:rsidRPr="00E26E2A">
        <w:t xml:space="preserve"> daļā par </w:t>
      </w:r>
      <w:r w:rsidR="0000707A">
        <w:t>[..]</w:t>
      </w:r>
      <w:r w:rsidRPr="00E26E2A">
        <w:t xml:space="preserve"> </w:t>
      </w:r>
      <w:r w:rsidRPr="00E26E2A">
        <w:rPr>
          <w:i/>
          <w:iCs/>
        </w:rPr>
        <w:t>euro</w:t>
      </w:r>
      <w:r w:rsidRPr="00E26E2A">
        <w:t xml:space="preserve"> un procesuālo izdevumu 136 </w:t>
      </w:r>
      <w:r w:rsidRPr="00E26E2A">
        <w:rPr>
          <w:i/>
          <w:iCs/>
        </w:rPr>
        <w:t>euro</w:t>
      </w:r>
      <w:r w:rsidRPr="00E26E2A">
        <w:t xml:space="preserve">, 425 </w:t>
      </w:r>
      <w:r w:rsidRPr="00E26E2A">
        <w:rPr>
          <w:i/>
          <w:iCs/>
        </w:rPr>
        <w:t>euro</w:t>
      </w:r>
      <w:r w:rsidRPr="00E26E2A">
        <w:t xml:space="preserve">, 1673 </w:t>
      </w:r>
      <w:r w:rsidRPr="00E26E2A">
        <w:rPr>
          <w:i/>
          <w:iCs/>
        </w:rPr>
        <w:t>euro</w:t>
      </w:r>
      <w:r w:rsidRPr="00E26E2A">
        <w:t xml:space="preserve"> piedziņu no </w:t>
      </w:r>
      <w:r w:rsidR="006B5706" w:rsidRPr="00E26E2A">
        <w:t>[pers. A]</w:t>
      </w:r>
      <w:r w:rsidRPr="00E26E2A">
        <w:t xml:space="preserve"> valsts labā.</w:t>
      </w:r>
    </w:p>
    <w:p w:rsidR="0033395E" w:rsidRPr="00E26E2A" w:rsidRDefault="0033395E" w:rsidP="0003390A">
      <w:pPr>
        <w:tabs>
          <w:tab w:val="left" w:pos="993"/>
        </w:tabs>
        <w:spacing w:line="276" w:lineRule="auto"/>
        <w:ind w:firstLine="709"/>
        <w:jc w:val="both"/>
      </w:pPr>
      <w:r w:rsidRPr="00E26E2A">
        <w:t>Pārējā daļā apelācijas instances tiesas lēmums atstāts negrozīts.</w:t>
      </w:r>
    </w:p>
    <w:p w:rsidR="00BC2EA9" w:rsidRPr="00E26E2A" w:rsidRDefault="00BC2EA9" w:rsidP="0003390A">
      <w:pPr>
        <w:tabs>
          <w:tab w:val="left" w:pos="993"/>
        </w:tabs>
        <w:spacing w:line="276" w:lineRule="auto"/>
        <w:ind w:firstLine="709"/>
        <w:jc w:val="both"/>
      </w:pPr>
    </w:p>
    <w:p w:rsidR="00BC2EA9" w:rsidRPr="00E26E2A" w:rsidRDefault="00BC2EA9" w:rsidP="0003390A">
      <w:pPr>
        <w:tabs>
          <w:tab w:val="left" w:pos="993"/>
        </w:tabs>
        <w:spacing w:line="276" w:lineRule="auto"/>
        <w:ind w:firstLine="709"/>
        <w:jc w:val="both"/>
      </w:pPr>
      <w:r w:rsidRPr="00E26E2A">
        <w:lastRenderedPageBreak/>
        <w:t xml:space="preserve">[6] Ar </w:t>
      </w:r>
      <w:r w:rsidR="006B5706" w:rsidRPr="00E26E2A">
        <w:t>[..]</w:t>
      </w:r>
      <w:r w:rsidRPr="00E26E2A">
        <w:t xml:space="preserve"> apgabaltiesas 2017.gada </w:t>
      </w:r>
      <w:r w:rsidR="007776F4" w:rsidRPr="00E26E2A">
        <w:t>[..]</w:t>
      </w:r>
      <w:r w:rsidRPr="00E26E2A">
        <w:t xml:space="preserve"> spriedumu, iztiesājot lietu no jauna apelācijas kārtībā, </w:t>
      </w:r>
      <w:r w:rsidR="006B5706" w:rsidRPr="00E26E2A">
        <w:t>[..]</w:t>
      </w:r>
      <w:r w:rsidRPr="00E26E2A">
        <w:t xml:space="preserve"> rajona tiesas 2016.gada </w:t>
      </w:r>
      <w:r w:rsidR="007776F4" w:rsidRPr="00E26E2A">
        <w:t>[..]</w:t>
      </w:r>
      <w:r w:rsidRPr="00E26E2A">
        <w:t xml:space="preserve"> spriedums atcelts daļā par </w:t>
      </w:r>
      <w:r w:rsidR="006B5706" w:rsidRPr="00E26E2A">
        <w:t>[pers. A]</w:t>
      </w:r>
      <w:r w:rsidRPr="00E26E2A">
        <w:t xml:space="preserve"> atzīšanu par vainīgu un sodīšanu pēc Krimināllikuma 162.panta otrās daļas un viņam noteikto </w:t>
      </w:r>
      <w:r w:rsidR="001362F2" w:rsidRPr="00E26E2A">
        <w:t xml:space="preserve">galīgo </w:t>
      </w:r>
      <w:r w:rsidRPr="00E26E2A">
        <w:t>sodu saskaņā ar Krimināllikuma 50.panta pirmo daļu.</w:t>
      </w:r>
    </w:p>
    <w:p w:rsidR="00BC2EA9" w:rsidRPr="00E26E2A" w:rsidRDefault="00BC2EA9" w:rsidP="0003390A">
      <w:pPr>
        <w:tabs>
          <w:tab w:val="left" w:pos="993"/>
        </w:tabs>
        <w:spacing w:line="276" w:lineRule="auto"/>
        <w:ind w:firstLine="709"/>
        <w:jc w:val="both"/>
      </w:pPr>
      <w:r w:rsidRPr="00E26E2A">
        <w:t xml:space="preserve">Kriminālprocess </w:t>
      </w:r>
      <w:r w:rsidR="006B5706" w:rsidRPr="00E26E2A">
        <w:t>[pers. A]</w:t>
      </w:r>
      <w:r w:rsidRPr="00E26E2A">
        <w:t xml:space="preserve"> apsūdzībā pēc Krimināllikuma 162.panta otrās daļas izbeigts.</w:t>
      </w:r>
    </w:p>
    <w:p w:rsidR="00BC2EA9" w:rsidRPr="00E26E2A" w:rsidRDefault="00BC2EA9" w:rsidP="0003390A">
      <w:pPr>
        <w:tabs>
          <w:tab w:val="left" w:pos="993"/>
        </w:tabs>
        <w:spacing w:line="276" w:lineRule="auto"/>
        <w:ind w:firstLine="709"/>
        <w:jc w:val="both"/>
      </w:pPr>
    </w:p>
    <w:p w:rsidR="00BC2EA9" w:rsidRPr="00E26E2A" w:rsidRDefault="00BC2EA9" w:rsidP="0003390A">
      <w:pPr>
        <w:tabs>
          <w:tab w:val="left" w:pos="993"/>
        </w:tabs>
        <w:spacing w:line="276" w:lineRule="auto"/>
        <w:ind w:firstLine="709"/>
        <w:jc w:val="both"/>
      </w:pPr>
      <w:r w:rsidRPr="00E26E2A">
        <w:t xml:space="preserve">[7] Ar Augstākās tiesas 2018.gada </w:t>
      </w:r>
      <w:r w:rsidR="007776F4" w:rsidRPr="00E26E2A">
        <w:t>[..]</w:t>
      </w:r>
      <w:r w:rsidRPr="00E26E2A">
        <w:t xml:space="preserve"> lēmumu, izskatot lietu kasācijas kārtībā sakarā ar apsūdzētā </w:t>
      </w:r>
      <w:r w:rsidR="006B5706" w:rsidRPr="00E26E2A">
        <w:t>[pers. A]</w:t>
      </w:r>
      <w:r w:rsidRPr="00E26E2A">
        <w:t xml:space="preserve"> aizstāves Veras Mihaiļenko kasācijas sūdzību, </w:t>
      </w:r>
      <w:r w:rsidR="006B5706" w:rsidRPr="00E26E2A">
        <w:t>[..]</w:t>
      </w:r>
      <w:r w:rsidRPr="00E26E2A">
        <w:t xml:space="preserve"> apgabaltiesas 2017.gada </w:t>
      </w:r>
      <w:r w:rsidR="007776F4" w:rsidRPr="00E26E2A">
        <w:t>[..]</w:t>
      </w:r>
      <w:r w:rsidRPr="00E26E2A">
        <w:t xml:space="preserve"> spriedums atcelts daļā par </w:t>
      </w:r>
      <w:r w:rsidR="006B5706" w:rsidRPr="00E26E2A">
        <w:t>[pers. A]</w:t>
      </w:r>
      <w:r w:rsidRPr="00E26E2A">
        <w:t xml:space="preserve"> atzīšanu par vainīgu un sodīšanu pēc Krimināllikuma 160.panta trešās daļas</w:t>
      </w:r>
      <w:r w:rsidR="001362F2" w:rsidRPr="00E26E2A">
        <w:t xml:space="preserve"> un</w:t>
      </w:r>
      <w:r w:rsidRPr="00E26E2A">
        <w:t xml:space="preserve"> daļā par </w:t>
      </w:r>
      <w:bookmarkStart w:id="2" w:name="_GoBack"/>
      <w:r w:rsidRPr="00E26E2A">
        <w:t>kompe</w:t>
      </w:r>
      <w:bookmarkEnd w:id="2"/>
      <w:r w:rsidRPr="00E26E2A">
        <w:t xml:space="preserve">nsācijas </w:t>
      </w:r>
      <w:r w:rsidR="00567743">
        <w:t>[..]</w:t>
      </w:r>
      <w:r w:rsidRPr="00E26E2A">
        <w:t xml:space="preserve"> </w:t>
      </w:r>
      <w:r w:rsidRPr="00E26E2A">
        <w:rPr>
          <w:i/>
          <w:iCs/>
        </w:rPr>
        <w:t>euro</w:t>
      </w:r>
      <w:r w:rsidRPr="00E26E2A">
        <w:t xml:space="preserve"> un procesuālo izdevumu 136 </w:t>
      </w:r>
      <w:r w:rsidRPr="00E26E2A">
        <w:rPr>
          <w:i/>
          <w:iCs/>
        </w:rPr>
        <w:t>euro</w:t>
      </w:r>
      <w:r w:rsidRPr="00E26E2A">
        <w:t xml:space="preserve">, 425 </w:t>
      </w:r>
      <w:r w:rsidRPr="00E26E2A">
        <w:rPr>
          <w:i/>
          <w:iCs/>
        </w:rPr>
        <w:t>euro</w:t>
      </w:r>
      <w:r w:rsidRPr="00E26E2A">
        <w:t xml:space="preserve">, 1673 </w:t>
      </w:r>
      <w:r w:rsidRPr="00E26E2A">
        <w:rPr>
          <w:i/>
          <w:iCs/>
        </w:rPr>
        <w:t>euro</w:t>
      </w:r>
      <w:r w:rsidRPr="00E26E2A">
        <w:t xml:space="preserve"> piedziņu no </w:t>
      </w:r>
      <w:r w:rsidR="006B5706" w:rsidRPr="00E26E2A">
        <w:t>[pers. A]</w:t>
      </w:r>
      <w:r w:rsidRPr="00E26E2A">
        <w:t xml:space="preserve"> valsts labā.</w:t>
      </w:r>
    </w:p>
    <w:p w:rsidR="0033395E" w:rsidRPr="00E26E2A" w:rsidRDefault="0033395E" w:rsidP="0003390A">
      <w:pPr>
        <w:tabs>
          <w:tab w:val="left" w:pos="993"/>
        </w:tabs>
        <w:spacing w:line="276" w:lineRule="auto"/>
        <w:ind w:firstLine="709"/>
        <w:jc w:val="both"/>
      </w:pPr>
      <w:r w:rsidRPr="00E26E2A">
        <w:t>Pārējā daļā apelācijas instances tiesas spriedums atstāts negrozīts.</w:t>
      </w:r>
    </w:p>
    <w:p w:rsidR="00BC2EA9" w:rsidRPr="00E26E2A" w:rsidRDefault="00BC2EA9" w:rsidP="0003390A">
      <w:pPr>
        <w:tabs>
          <w:tab w:val="left" w:pos="993"/>
        </w:tabs>
        <w:spacing w:line="276" w:lineRule="auto"/>
        <w:ind w:firstLine="709"/>
        <w:jc w:val="both"/>
      </w:pPr>
    </w:p>
    <w:p w:rsidR="00BC2EA9" w:rsidRPr="00E26E2A" w:rsidRDefault="00BC2EA9" w:rsidP="0003390A">
      <w:pPr>
        <w:tabs>
          <w:tab w:val="left" w:pos="993"/>
        </w:tabs>
        <w:spacing w:line="276" w:lineRule="auto"/>
        <w:ind w:firstLine="709"/>
        <w:jc w:val="both"/>
      </w:pPr>
      <w:r w:rsidRPr="00E26E2A">
        <w:t xml:space="preserve">[8] Ar </w:t>
      </w:r>
      <w:r w:rsidR="006B5706" w:rsidRPr="00E26E2A">
        <w:t>[..]</w:t>
      </w:r>
      <w:r w:rsidRPr="00E26E2A">
        <w:t xml:space="preserve"> apgabaltiesas 2018.gada </w:t>
      </w:r>
      <w:r w:rsidR="007776F4" w:rsidRPr="00E26E2A">
        <w:t>[..]</w:t>
      </w:r>
      <w:r w:rsidRPr="00E26E2A">
        <w:t xml:space="preserve"> spriedumu, iztiesājot lietu no jauna apelācijas kārtībā, </w:t>
      </w:r>
      <w:r w:rsidR="006B5706" w:rsidRPr="00E26E2A">
        <w:t>[..]</w:t>
      </w:r>
      <w:r w:rsidRPr="00E26E2A">
        <w:t xml:space="preserve"> rajona tiesas 2016.gada </w:t>
      </w:r>
      <w:r w:rsidR="001652ED" w:rsidRPr="00E26E2A">
        <w:t>[..]</w:t>
      </w:r>
      <w:r w:rsidRPr="00E26E2A">
        <w:t xml:space="preserve"> spriedums atcelts daļā par </w:t>
      </w:r>
      <w:r w:rsidR="006B5706" w:rsidRPr="00E26E2A">
        <w:t>[pers. A]</w:t>
      </w:r>
      <w:r w:rsidRPr="00E26E2A">
        <w:t xml:space="preserve"> atzīšanu par vainīgu un sodīšanu pēc Krimināllikuma 160.panta trešās daļas.</w:t>
      </w:r>
    </w:p>
    <w:p w:rsidR="00BC2EA9" w:rsidRPr="00E26E2A" w:rsidRDefault="006B5706" w:rsidP="0003390A">
      <w:pPr>
        <w:tabs>
          <w:tab w:val="left" w:pos="993"/>
        </w:tabs>
        <w:spacing w:line="276" w:lineRule="auto"/>
        <w:ind w:firstLine="709"/>
        <w:jc w:val="both"/>
      </w:pPr>
      <w:r w:rsidRPr="00E26E2A">
        <w:t>[Pers. A]</w:t>
      </w:r>
      <w:r w:rsidR="00BC2EA9" w:rsidRPr="00E26E2A">
        <w:t xml:space="preserve"> atzīts par vainīgu Krimināllikuma 160.panta trešajā daļā paredzētajā noziedzīgajā nodarījumā un sodīts ar brīvības atņemšanu uz 10 gadiem un probācijas uzraudzību uz 1 gadu.</w:t>
      </w:r>
      <w:r w:rsidR="001652ED" w:rsidRPr="00E26E2A">
        <w:t>[..]</w:t>
      </w:r>
    </w:p>
    <w:p w:rsidR="00BC2EA9" w:rsidRPr="00E26E2A" w:rsidRDefault="006B5706" w:rsidP="0003390A">
      <w:pPr>
        <w:tabs>
          <w:tab w:val="left" w:pos="993"/>
        </w:tabs>
        <w:spacing w:line="276" w:lineRule="auto"/>
        <w:ind w:firstLine="709"/>
        <w:jc w:val="both"/>
      </w:pPr>
      <w:r w:rsidRPr="00E26E2A">
        <w:t>[Pers. A]</w:t>
      </w:r>
      <w:r w:rsidR="00BC2EA9" w:rsidRPr="00E26E2A">
        <w:t xml:space="preserve"> piemērotais drošības līdzeklis – apcietinājums – atstāts negrozīts.</w:t>
      </w:r>
    </w:p>
    <w:p w:rsidR="00BC2EA9" w:rsidRPr="00E26E2A" w:rsidRDefault="00BC2EA9" w:rsidP="0003390A">
      <w:pPr>
        <w:tabs>
          <w:tab w:val="left" w:pos="993"/>
        </w:tabs>
        <w:spacing w:line="276" w:lineRule="auto"/>
        <w:ind w:firstLine="709"/>
        <w:jc w:val="both"/>
      </w:pPr>
    </w:p>
    <w:p w:rsidR="00BC2EA9" w:rsidRPr="00E26E2A" w:rsidRDefault="00BC2EA9" w:rsidP="0003390A">
      <w:pPr>
        <w:tabs>
          <w:tab w:val="left" w:pos="993"/>
        </w:tabs>
        <w:spacing w:line="276" w:lineRule="auto"/>
        <w:ind w:firstLine="709"/>
        <w:jc w:val="both"/>
      </w:pPr>
      <w:r w:rsidRPr="00E26E2A">
        <w:t xml:space="preserve">[9] Par </w:t>
      </w:r>
      <w:r w:rsidR="006B5706" w:rsidRPr="00E26E2A">
        <w:t>[..]</w:t>
      </w:r>
      <w:r w:rsidRPr="00E26E2A">
        <w:t xml:space="preserve"> apgabaltiesas 2018.gada </w:t>
      </w:r>
      <w:r w:rsidR="001652ED" w:rsidRPr="00E26E2A">
        <w:t>[..]</w:t>
      </w:r>
      <w:r w:rsidRPr="00E26E2A">
        <w:t xml:space="preserve"> spriedumu apsūdzētā </w:t>
      </w:r>
      <w:r w:rsidR="006B5706" w:rsidRPr="00E26E2A">
        <w:t>[pers. A]</w:t>
      </w:r>
      <w:r w:rsidRPr="00E26E2A">
        <w:t xml:space="preserve"> aizstāve V. Mihaiļenko iesniegusi kasācijas sūdzību</w:t>
      </w:r>
      <w:r w:rsidR="0033395E" w:rsidRPr="00E26E2A">
        <w:t>,</w:t>
      </w:r>
      <w:r w:rsidRPr="00E26E2A">
        <w:t xml:space="preserve"> lūdzot atcelt apelācijas instances tiesas spriedumu un nosūtīt lietu jaunai izskatīšanai apelācijas instances tiesā. Savu lūgumu aizstāve pamatojusi ar turpmāk norādītiem argumentiem.</w:t>
      </w:r>
      <w:r w:rsidR="009965A8" w:rsidRPr="00E26E2A">
        <w:t xml:space="preserve"> </w:t>
      </w:r>
      <w:r w:rsidR="001652ED" w:rsidRPr="00E26E2A">
        <w:t>[..]</w:t>
      </w:r>
    </w:p>
    <w:p w:rsidR="00BC2EA9" w:rsidRPr="00E26E2A" w:rsidRDefault="00BC2EA9" w:rsidP="0003390A">
      <w:pPr>
        <w:tabs>
          <w:tab w:val="left" w:pos="993"/>
        </w:tabs>
        <w:spacing w:line="276" w:lineRule="auto"/>
        <w:ind w:firstLine="709"/>
        <w:jc w:val="both"/>
      </w:pPr>
    </w:p>
    <w:p w:rsidR="00BC2EA9" w:rsidRPr="00E26E2A" w:rsidRDefault="00BC2EA9" w:rsidP="0003390A">
      <w:pPr>
        <w:tabs>
          <w:tab w:val="left" w:pos="993"/>
        </w:tabs>
        <w:spacing w:line="276" w:lineRule="auto"/>
        <w:ind w:firstLine="709"/>
        <w:jc w:val="both"/>
      </w:pPr>
      <w:r w:rsidRPr="00E26E2A">
        <w:t>[10</w:t>
      </w:r>
      <w:r w:rsidR="00E61E01" w:rsidRPr="00E26E2A">
        <w:t xml:space="preserve">] </w:t>
      </w:r>
      <w:r w:rsidRPr="00E26E2A">
        <w:t xml:space="preserve">Aizstāve </w:t>
      </w:r>
      <w:r w:rsidR="00293A80" w:rsidRPr="00E26E2A">
        <w:t xml:space="preserve">arī </w:t>
      </w:r>
      <w:r w:rsidRPr="00E26E2A">
        <w:t>uzskata, ka apelācijas instances tiesa</w:t>
      </w:r>
      <w:r w:rsidR="00955875" w:rsidRPr="00E26E2A">
        <w:t xml:space="preserve">, nosakot </w:t>
      </w:r>
      <w:r w:rsidR="00F80797" w:rsidRPr="00E26E2A">
        <w:t>[pers.</w:t>
      </w:r>
      <w:r w:rsidR="007776F4" w:rsidRPr="00E26E2A">
        <w:t> </w:t>
      </w:r>
      <w:r w:rsidR="00F80797" w:rsidRPr="00E26E2A">
        <w:t>A]</w:t>
      </w:r>
      <w:r w:rsidR="00955875" w:rsidRPr="00E26E2A">
        <w:t xml:space="preserve"> sodu, </w:t>
      </w:r>
      <w:r w:rsidRPr="00E26E2A">
        <w:t>nepamatoti nav piemērojusi Krimināllikuma 49.</w:t>
      </w:r>
      <w:r w:rsidRPr="00E26E2A">
        <w:rPr>
          <w:vertAlign w:val="superscript"/>
        </w:rPr>
        <w:t xml:space="preserve">1 </w:t>
      </w:r>
      <w:r w:rsidRPr="00E26E2A">
        <w:t>panta nosacījumus. Proti,</w:t>
      </w:r>
      <w:r w:rsidR="00955875" w:rsidRPr="00E26E2A">
        <w:t xml:space="preserve"> divu</w:t>
      </w:r>
      <w:r w:rsidRPr="00E26E2A">
        <w:t xml:space="preserve"> apelācijas instan</w:t>
      </w:r>
      <w:r w:rsidR="00955875" w:rsidRPr="00E26E2A">
        <w:t xml:space="preserve">ču tiesu </w:t>
      </w:r>
      <w:r w:rsidRPr="00E26E2A">
        <w:t>pieļauto pārkāpumu</w:t>
      </w:r>
      <w:r w:rsidR="00955875" w:rsidRPr="00E26E2A">
        <w:t xml:space="preserve"> dēļ lieta netika izskatīta savlaicīgi.</w:t>
      </w:r>
    </w:p>
    <w:p w:rsidR="00955875" w:rsidRPr="00E26E2A" w:rsidRDefault="00955875" w:rsidP="00E61E01">
      <w:pPr>
        <w:spacing w:line="276" w:lineRule="auto"/>
        <w:ind w:firstLine="567"/>
        <w:jc w:val="both"/>
      </w:pPr>
    </w:p>
    <w:p w:rsidR="00BC2EA9" w:rsidRPr="00E26E2A" w:rsidRDefault="00BC2EA9" w:rsidP="00E61E01">
      <w:pPr>
        <w:spacing w:line="276" w:lineRule="auto"/>
        <w:jc w:val="center"/>
        <w:rPr>
          <w:b/>
        </w:rPr>
      </w:pPr>
      <w:r w:rsidRPr="00E26E2A">
        <w:rPr>
          <w:b/>
        </w:rPr>
        <w:t>Motīvu daļa</w:t>
      </w:r>
    </w:p>
    <w:p w:rsidR="00955875" w:rsidRPr="00E26E2A" w:rsidRDefault="00955875" w:rsidP="00E61E01">
      <w:pPr>
        <w:spacing w:line="276" w:lineRule="auto"/>
        <w:jc w:val="center"/>
        <w:rPr>
          <w:b/>
        </w:rPr>
      </w:pPr>
    </w:p>
    <w:p w:rsidR="009967F1" w:rsidRPr="00E26E2A" w:rsidRDefault="006F0EE2" w:rsidP="007C6EBF">
      <w:pPr>
        <w:pStyle w:val="tv213"/>
        <w:spacing w:before="0" w:beforeAutospacing="0" w:after="0" w:afterAutospacing="0" w:line="276" w:lineRule="auto"/>
        <w:ind w:firstLine="709"/>
        <w:jc w:val="both"/>
        <w:rPr>
          <w:rFonts w:eastAsia="Calibri"/>
          <w:szCs w:val="22"/>
        </w:rPr>
      </w:pPr>
      <w:r w:rsidRPr="00E26E2A">
        <w:t>[</w:t>
      </w:r>
      <w:r w:rsidR="00955875" w:rsidRPr="00E26E2A">
        <w:t>11</w:t>
      </w:r>
      <w:r w:rsidR="00E61E01" w:rsidRPr="00E26E2A">
        <w:t xml:space="preserve">] </w:t>
      </w:r>
      <w:r w:rsidRPr="00E26E2A">
        <w:t xml:space="preserve">Kasācijas instances tiesa atzīst, ka </w:t>
      </w:r>
      <w:r w:rsidR="00F80797" w:rsidRPr="00E26E2A">
        <w:t>[..]</w:t>
      </w:r>
      <w:r w:rsidRPr="00E26E2A">
        <w:t xml:space="preserve"> apgabaltiesas 2018.gada </w:t>
      </w:r>
      <w:r w:rsidR="001652ED" w:rsidRPr="00E26E2A">
        <w:t>[..]</w:t>
      </w:r>
      <w:r w:rsidRPr="00E26E2A">
        <w:t xml:space="preserve"> spriedums atstājams negrozīts daļā par apsūdzētā </w:t>
      </w:r>
      <w:r w:rsidR="00F80797" w:rsidRPr="00E26E2A">
        <w:t>[pers. A]</w:t>
      </w:r>
      <w:r w:rsidRPr="00E26E2A">
        <w:t xml:space="preserve"> atzīšanu par vainīgu Krimināllikuma 160.panta trešajā daļā paredzētajā noziedzīgajā nodarījumā</w:t>
      </w:r>
      <w:r w:rsidR="0001279A" w:rsidRPr="00E26E2A">
        <w:t>, bet apsūdzētā aizstāves kasācijas sūdzība šajā daļā noraidāma.</w:t>
      </w:r>
      <w:r w:rsidR="007C6EBF">
        <w:t xml:space="preserve"> </w:t>
      </w:r>
      <w:r w:rsidR="009965A8">
        <w:rPr>
          <w:rFonts w:eastAsia="Calibri"/>
          <w:szCs w:val="22"/>
        </w:rPr>
        <w:t>[..]</w:t>
      </w:r>
    </w:p>
    <w:p w:rsidR="009965A8" w:rsidRDefault="009965A8" w:rsidP="009965A8">
      <w:pPr>
        <w:spacing w:line="276" w:lineRule="auto"/>
        <w:ind w:firstLine="709"/>
        <w:jc w:val="both"/>
      </w:pPr>
    </w:p>
    <w:p w:rsidR="000042CA" w:rsidRPr="00E26E2A" w:rsidRDefault="003D3587" w:rsidP="009965A8">
      <w:pPr>
        <w:spacing w:line="276" w:lineRule="auto"/>
        <w:ind w:firstLine="709"/>
        <w:jc w:val="both"/>
        <w:rPr>
          <w:rFonts w:eastAsia="Calibri"/>
          <w:szCs w:val="22"/>
        </w:rPr>
      </w:pPr>
      <w:r w:rsidRPr="00E26E2A">
        <w:t>[</w:t>
      </w:r>
      <w:r w:rsidR="0001279A" w:rsidRPr="00E26E2A">
        <w:t>12</w:t>
      </w:r>
      <w:r w:rsidR="007C6EBF">
        <w:t>, 13</w:t>
      </w:r>
      <w:r w:rsidR="00E61E01" w:rsidRPr="00E26E2A">
        <w:t xml:space="preserve">] </w:t>
      </w:r>
      <w:r w:rsidR="009965A8">
        <w:t>[..]</w:t>
      </w:r>
      <w:r w:rsidR="003C29C4" w:rsidRPr="00E26E2A">
        <w:rPr>
          <w:rFonts w:eastAsia="Calibri"/>
          <w:szCs w:val="22"/>
        </w:rPr>
        <w:t xml:space="preserve"> </w:t>
      </w:r>
    </w:p>
    <w:p w:rsidR="007D62F4" w:rsidRPr="00E26E2A" w:rsidRDefault="007D62F4" w:rsidP="0003390A">
      <w:pPr>
        <w:spacing w:line="276" w:lineRule="auto"/>
        <w:ind w:firstLine="709"/>
        <w:jc w:val="both"/>
        <w:rPr>
          <w:rFonts w:eastAsia="Calibri"/>
          <w:szCs w:val="22"/>
        </w:rPr>
      </w:pPr>
    </w:p>
    <w:p w:rsidR="006F0EE2" w:rsidRPr="00E26E2A" w:rsidRDefault="006F0EE2" w:rsidP="0003390A">
      <w:pPr>
        <w:pStyle w:val="tv213"/>
        <w:spacing w:before="0" w:beforeAutospacing="0" w:after="0" w:afterAutospacing="0" w:line="276" w:lineRule="auto"/>
        <w:ind w:firstLine="709"/>
        <w:jc w:val="both"/>
        <w:rPr>
          <w:rFonts w:ascii="TimesNewRomanPSMT" w:eastAsiaTheme="minorHAnsi" w:hAnsi="TimesNewRomanPSMT" w:cs="TimesNewRomanPSMT"/>
        </w:rPr>
      </w:pPr>
      <w:r w:rsidRPr="00E26E2A">
        <w:t>[</w:t>
      </w:r>
      <w:r w:rsidR="00CA3AF7" w:rsidRPr="00E26E2A">
        <w:t>14</w:t>
      </w:r>
      <w:r w:rsidR="007D62F4" w:rsidRPr="00E26E2A">
        <w:t>]</w:t>
      </w:r>
      <w:r w:rsidR="007D62F4" w:rsidRPr="00E26E2A">
        <w:rPr>
          <w:b/>
          <w:bCs/>
        </w:rPr>
        <w:t xml:space="preserve"> </w:t>
      </w:r>
      <w:r w:rsidRPr="00E26E2A">
        <w:t>Vienlaikus k</w:t>
      </w:r>
      <w:r w:rsidR="00BC2EA9" w:rsidRPr="00E26E2A">
        <w:t xml:space="preserve">asācijas instances tiesa atzīst, ka </w:t>
      </w:r>
      <w:r w:rsidR="000A5543" w:rsidRPr="00E26E2A">
        <w:t>[..]</w:t>
      </w:r>
      <w:r w:rsidR="00BC2EA9" w:rsidRPr="00E26E2A">
        <w:t xml:space="preserve"> apgabaltiesas 2018.gada</w:t>
      </w:r>
      <w:r w:rsidR="007D62F4" w:rsidRPr="00E26E2A">
        <w:t xml:space="preserve"> </w:t>
      </w:r>
      <w:r w:rsidR="001652ED" w:rsidRPr="00E26E2A">
        <w:t>[..]</w:t>
      </w:r>
      <w:r w:rsidR="00BC2EA9" w:rsidRPr="00E26E2A">
        <w:t xml:space="preserve"> spriedums grozāms un apsūdzētajam </w:t>
      </w:r>
      <w:r w:rsidR="000A5543" w:rsidRPr="00E26E2A">
        <w:t>[pers. A]</w:t>
      </w:r>
      <w:r w:rsidR="00BC2EA9" w:rsidRPr="00E26E2A">
        <w:rPr>
          <w:rFonts w:ascii="TimesNewRomanPSMT" w:eastAsiaTheme="minorHAnsi" w:hAnsi="TimesNewRomanPSMT" w:cs="TimesNewRomanPSMT"/>
        </w:rPr>
        <w:t xml:space="preserve"> </w:t>
      </w:r>
      <w:r w:rsidR="008747CB" w:rsidRPr="00E26E2A">
        <w:rPr>
          <w:rFonts w:ascii="TimesNewRomanPSMT" w:eastAsiaTheme="minorHAnsi" w:hAnsi="TimesNewRomanPSMT" w:cs="TimesNewRomanPSMT"/>
        </w:rPr>
        <w:t>nosakāms sods, kas ir zemāks par minimālo robežu, kāda par attiecīgo noziedzīgo nodarījumu paredzēta likumā.</w:t>
      </w:r>
    </w:p>
    <w:p w:rsidR="002F78D4" w:rsidRPr="00E26E2A" w:rsidRDefault="00CA3AF7" w:rsidP="0003390A">
      <w:pPr>
        <w:pStyle w:val="tv213"/>
        <w:spacing w:before="0" w:beforeAutospacing="0" w:after="0" w:afterAutospacing="0" w:line="276" w:lineRule="auto"/>
        <w:ind w:firstLine="709"/>
        <w:jc w:val="both"/>
        <w:rPr>
          <w:rFonts w:ascii="TimesNewRomanPSMT" w:eastAsiaTheme="minorHAnsi" w:hAnsi="TimesNewRomanPSMT" w:cs="TimesNewRomanPSMT"/>
        </w:rPr>
      </w:pPr>
      <w:r w:rsidRPr="00E26E2A">
        <w:rPr>
          <w:rFonts w:ascii="TimesNewRomanPSMT" w:eastAsiaTheme="minorHAnsi" w:hAnsi="TimesNewRomanPSMT" w:cs="TimesNewRomanPSMT"/>
        </w:rPr>
        <w:lastRenderedPageBreak/>
        <w:t>Judikatūrā</w:t>
      </w:r>
      <w:r w:rsidR="00D945A8" w:rsidRPr="00E26E2A">
        <w:rPr>
          <w:rFonts w:ascii="TimesNewRomanPSMT" w:eastAsiaTheme="minorHAnsi" w:hAnsi="TimesNewRomanPSMT" w:cs="TimesNewRomanPSMT"/>
        </w:rPr>
        <w:t xml:space="preserve"> pau</w:t>
      </w:r>
      <w:r w:rsidRPr="00E26E2A">
        <w:rPr>
          <w:rFonts w:ascii="TimesNewRomanPSMT" w:eastAsiaTheme="minorHAnsi" w:hAnsi="TimesNewRomanPSMT" w:cs="TimesNewRomanPSMT"/>
        </w:rPr>
        <w:t>sts</w:t>
      </w:r>
      <w:r w:rsidR="00D945A8" w:rsidRPr="00E26E2A">
        <w:rPr>
          <w:rFonts w:ascii="TimesNewRomanPSMT" w:eastAsiaTheme="minorHAnsi" w:hAnsi="TimesNewRomanPSMT" w:cs="TimesNewRomanPSMT"/>
        </w:rPr>
        <w:t xml:space="preserve"> viedokli</w:t>
      </w:r>
      <w:r w:rsidRPr="00E26E2A">
        <w:rPr>
          <w:rFonts w:ascii="TimesNewRomanPSMT" w:eastAsiaTheme="minorHAnsi" w:hAnsi="TimesNewRomanPSMT" w:cs="TimesNewRomanPSMT"/>
        </w:rPr>
        <w:t>s</w:t>
      </w:r>
      <w:r w:rsidR="00D945A8" w:rsidRPr="00E26E2A">
        <w:rPr>
          <w:rFonts w:ascii="TimesNewRomanPSMT" w:eastAsiaTheme="minorHAnsi" w:hAnsi="TimesNewRomanPSMT" w:cs="TimesNewRomanPSMT"/>
        </w:rPr>
        <w:t>, ka tiesību uz kriminālprocesa pabeigšanu saprātīgā termiņā pārkāpum</w:t>
      </w:r>
      <w:r w:rsidR="002F78D4" w:rsidRPr="00E26E2A">
        <w:rPr>
          <w:rFonts w:ascii="TimesNewRomanPSMT" w:eastAsiaTheme="minorHAnsi" w:hAnsi="TimesNewRomanPSMT" w:cs="TimesNewRomanPSMT"/>
        </w:rPr>
        <w:t>a izvērtējums</w:t>
      </w:r>
      <w:r w:rsidR="00D945A8" w:rsidRPr="00E26E2A">
        <w:rPr>
          <w:rFonts w:ascii="TimesNewRomanPSMT" w:eastAsiaTheme="minorHAnsi" w:hAnsi="TimesNewRomanPSMT" w:cs="TimesNewRomanPSMT"/>
        </w:rPr>
        <w:t xml:space="preserve"> ir juridisks jautājums</w:t>
      </w:r>
      <w:r w:rsidRPr="00E26E2A">
        <w:rPr>
          <w:rFonts w:ascii="TimesNewRomanPSMT" w:eastAsiaTheme="minorHAnsi" w:hAnsi="TimesNewRomanPSMT" w:cs="TimesNewRomanPSMT"/>
        </w:rPr>
        <w:t>, kas ietilpst kasācijas instances tiesas kompetencē</w:t>
      </w:r>
      <w:r w:rsidR="00D945A8" w:rsidRPr="00E26E2A">
        <w:rPr>
          <w:rFonts w:ascii="TimesNewRomanPSMT" w:eastAsiaTheme="minorHAnsi" w:hAnsi="TimesNewRomanPSMT" w:cs="TimesNewRomanPSMT"/>
        </w:rPr>
        <w:t xml:space="preserve"> (</w:t>
      </w:r>
      <w:r w:rsidR="00D945A8" w:rsidRPr="00E26E2A">
        <w:rPr>
          <w:rFonts w:ascii="TimesNewRomanPSMT" w:eastAsiaTheme="minorHAnsi" w:hAnsi="TimesNewRomanPSMT" w:cs="TimesNewRomanPSMT"/>
          <w:i/>
          <w:iCs/>
        </w:rPr>
        <w:t>Augstākās tiesas 2012.gada 22.maija lēmums lietā Nr.</w:t>
      </w:r>
      <w:r w:rsidR="007D62F4" w:rsidRPr="00E26E2A">
        <w:rPr>
          <w:rFonts w:ascii="TimesNewRomanPSMT" w:eastAsiaTheme="minorHAnsi" w:hAnsi="TimesNewRomanPSMT" w:cs="TimesNewRomanPSMT"/>
          <w:i/>
          <w:iCs/>
        </w:rPr>
        <w:t> </w:t>
      </w:r>
      <w:r w:rsidR="00D945A8" w:rsidRPr="00E26E2A">
        <w:rPr>
          <w:rFonts w:ascii="TimesNewRomanPSMT" w:eastAsiaTheme="minorHAnsi" w:hAnsi="TimesNewRomanPSMT" w:cs="TimesNewRomanPSMT"/>
          <w:i/>
          <w:iCs/>
        </w:rPr>
        <w:t>SKK-253/2012 (11340003409)</w:t>
      </w:r>
      <w:r w:rsidRPr="00E26E2A">
        <w:rPr>
          <w:rFonts w:ascii="TimesNewRomanPSMT" w:eastAsiaTheme="minorHAnsi" w:hAnsi="TimesNewRomanPSMT" w:cs="TimesNewRomanPSMT"/>
          <w:i/>
          <w:iCs/>
        </w:rPr>
        <w:t>, 2017.gada 9.marta lēmums lietā Nr.</w:t>
      </w:r>
      <w:r w:rsidR="007D62F4" w:rsidRPr="00E26E2A">
        <w:rPr>
          <w:rFonts w:ascii="TimesNewRomanPSMT" w:eastAsiaTheme="minorHAnsi" w:hAnsi="TimesNewRomanPSMT" w:cs="TimesNewRomanPSMT"/>
          <w:i/>
          <w:iCs/>
        </w:rPr>
        <w:t> </w:t>
      </w:r>
      <w:r w:rsidRPr="00E26E2A">
        <w:rPr>
          <w:rFonts w:ascii="TimesNewRomanPSMT" w:eastAsiaTheme="minorHAnsi" w:hAnsi="TimesNewRomanPSMT" w:cs="TimesNewRomanPSMT"/>
          <w:i/>
          <w:iCs/>
        </w:rPr>
        <w:t>SKK-202/2017 (11091058112), 2018.gada 4.septembra lēmums lietā Nr.</w:t>
      </w:r>
      <w:r w:rsidR="007D62F4" w:rsidRPr="00E26E2A">
        <w:rPr>
          <w:rFonts w:ascii="TimesNewRomanPSMT" w:eastAsiaTheme="minorHAnsi" w:hAnsi="TimesNewRomanPSMT" w:cs="TimesNewRomanPSMT"/>
          <w:i/>
          <w:iCs/>
        </w:rPr>
        <w:t> </w:t>
      </w:r>
      <w:r w:rsidRPr="00E26E2A">
        <w:rPr>
          <w:rFonts w:ascii="TimesNewRomanPSMT" w:eastAsiaTheme="minorHAnsi" w:hAnsi="TimesNewRomanPSMT" w:cs="TimesNewRomanPSMT"/>
          <w:i/>
          <w:iCs/>
        </w:rPr>
        <w:t>SKK-337/2018 (11210030713)</w:t>
      </w:r>
      <w:r w:rsidR="00D945A8" w:rsidRPr="00E26E2A">
        <w:rPr>
          <w:rFonts w:ascii="TimesNewRomanPSMT" w:eastAsiaTheme="minorHAnsi" w:hAnsi="TimesNewRomanPSMT" w:cs="TimesNewRomanPSMT"/>
        </w:rPr>
        <w:t xml:space="preserve">). </w:t>
      </w:r>
      <w:r w:rsidRPr="00E26E2A">
        <w:rPr>
          <w:rFonts w:ascii="TimesNewRomanPSMT" w:eastAsiaTheme="minorHAnsi" w:hAnsi="TimesNewRomanPSMT" w:cs="TimesNewRomanPSMT"/>
        </w:rPr>
        <w:t>Līdz ar to</w:t>
      </w:r>
      <w:r w:rsidR="00D945A8" w:rsidRPr="00E26E2A">
        <w:rPr>
          <w:rFonts w:ascii="TimesNewRomanPSMT" w:eastAsiaTheme="minorHAnsi" w:hAnsi="TimesNewRomanPSMT" w:cs="TimesNewRomanPSMT"/>
        </w:rPr>
        <w:t xml:space="preserve"> kasācijas instances tiesa izvērtēs, vai konkrētajā kriminālprocesā nav pārkāptas apsūdzētā </w:t>
      </w:r>
      <w:r w:rsidR="000A5543" w:rsidRPr="00E26E2A">
        <w:rPr>
          <w:rFonts w:ascii="TimesNewRomanPSMT" w:eastAsiaTheme="minorHAnsi" w:hAnsi="TimesNewRomanPSMT" w:cs="TimesNewRomanPSMT"/>
        </w:rPr>
        <w:t>[pers.</w:t>
      </w:r>
      <w:r w:rsidR="00F729AA" w:rsidRPr="00E26E2A">
        <w:rPr>
          <w:rFonts w:ascii="TimesNewRomanPSMT" w:eastAsiaTheme="minorHAnsi" w:hAnsi="TimesNewRomanPSMT" w:cs="TimesNewRomanPSMT"/>
        </w:rPr>
        <w:t> </w:t>
      </w:r>
      <w:r w:rsidR="000A5543" w:rsidRPr="00E26E2A">
        <w:rPr>
          <w:rFonts w:eastAsiaTheme="minorHAnsi"/>
        </w:rPr>
        <w:t>A]</w:t>
      </w:r>
      <w:r w:rsidRPr="00E26E2A">
        <w:rPr>
          <w:rFonts w:ascii="TimesNewRomanPSMT" w:eastAsiaTheme="minorHAnsi" w:hAnsi="TimesNewRomanPSMT" w:cs="TimesNewRomanPSMT"/>
        </w:rPr>
        <w:t xml:space="preserve"> </w:t>
      </w:r>
      <w:r w:rsidR="00D945A8" w:rsidRPr="00E26E2A">
        <w:rPr>
          <w:rFonts w:ascii="TimesNewRomanPSMT" w:eastAsiaTheme="minorHAnsi" w:hAnsi="TimesNewRomanPSMT" w:cs="TimesNewRomanPSMT"/>
        </w:rPr>
        <w:t>tiesības uz kriminālprocesa pabeigšanu saprātīgā termiņā</w:t>
      </w:r>
      <w:r w:rsidRPr="00E26E2A">
        <w:rPr>
          <w:rFonts w:ascii="TimesNewRomanPSMT" w:eastAsiaTheme="minorHAnsi" w:hAnsi="TimesNewRomanPSMT" w:cs="TimesNewRomanPSMT"/>
        </w:rPr>
        <w:t xml:space="preserve"> kā tas lūgts aizstāves kasācijas sūdzībā</w:t>
      </w:r>
      <w:r w:rsidR="00D945A8" w:rsidRPr="00E26E2A">
        <w:rPr>
          <w:rFonts w:ascii="TimesNewRomanPSMT" w:eastAsiaTheme="minorHAnsi" w:hAnsi="TimesNewRomanPSMT" w:cs="TimesNewRomanPSMT"/>
        </w:rPr>
        <w:t>.</w:t>
      </w:r>
    </w:p>
    <w:p w:rsidR="00655909" w:rsidRPr="00E26E2A" w:rsidRDefault="002F78D4" w:rsidP="0003390A">
      <w:pPr>
        <w:autoSpaceDE w:val="0"/>
        <w:autoSpaceDN w:val="0"/>
        <w:adjustRightInd w:val="0"/>
        <w:spacing w:line="276" w:lineRule="auto"/>
        <w:ind w:firstLine="709"/>
        <w:jc w:val="both"/>
        <w:rPr>
          <w:rFonts w:asciiTheme="majorBidi" w:eastAsiaTheme="minorHAnsi" w:hAnsiTheme="majorBidi" w:cstheme="majorBidi"/>
        </w:rPr>
      </w:pPr>
      <w:r w:rsidRPr="00E26E2A">
        <w:rPr>
          <w:rFonts w:asciiTheme="majorBidi" w:eastAsiaTheme="minorHAnsi" w:hAnsiTheme="majorBidi" w:cstheme="majorBidi"/>
        </w:rPr>
        <w:t>[</w:t>
      </w:r>
      <w:r w:rsidR="00CA3AF7" w:rsidRPr="00E26E2A">
        <w:rPr>
          <w:rFonts w:asciiTheme="majorBidi" w:eastAsiaTheme="minorHAnsi" w:hAnsiTheme="majorBidi" w:cstheme="majorBidi"/>
        </w:rPr>
        <w:t>14.1</w:t>
      </w:r>
      <w:r w:rsidR="007D62F4" w:rsidRPr="00E26E2A">
        <w:rPr>
          <w:rFonts w:asciiTheme="majorBidi" w:eastAsiaTheme="minorHAnsi" w:hAnsiTheme="majorBidi" w:cstheme="majorBidi"/>
        </w:rPr>
        <w:t xml:space="preserve">] </w:t>
      </w:r>
      <w:r w:rsidR="005D0B0E" w:rsidRPr="00E26E2A">
        <w:rPr>
          <w:rFonts w:asciiTheme="majorBidi" w:eastAsiaTheme="minorHAnsi" w:hAnsiTheme="majorBidi" w:cstheme="majorBidi"/>
        </w:rPr>
        <w:t>Jebkura procesa termiņa izvērtēšana nevar notikt mehāniski un tā neizbēgami ir atkarīga no konkrētiem lietas apstākļiem un šai vērtēšanai ir jāatspoguļo rūpes par līdzsvara nodrošināšanu starp dažādām garantijām, kādas ir ietvertas Eiropas Cilvēktiesību un pamatbrīvību aizsardzības konvencijas 6.pantā (</w:t>
      </w:r>
      <w:r w:rsidR="005D0B0E" w:rsidRPr="00E26E2A">
        <w:rPr>
          <w:rFonts w:asciiTheme="majorBidi" w:eastAsiaTheme="minorHAnsi" w:hAnsiTheme="majorBidi" w:cstheme="majorBidi"/>
          <w:i/>
          <w:iCs/>
        </w:rPr>
        <w:t>F. Tulkens, Report on the effectiveness of national remedies in respect of excessive lenght of proceedings. Adopted by the Venice Commission at its 69</w:t>
      </w:r>
      <w:r w:rsidR="005D0B0E" w:rsidRPr="00E26E2A">
        <w:rPr>
          <w:rFonts w:asciiTheme="majorBidi" w:eastAsiaTheme="minorHAnsi" w:hAnsiTheme="majorBidi" w:cstheme="majorBidi"/>
          <w:i/>
          <w:iCs/>
          <w:vertAlign w:val="superscript"/>
        </w:rPr>
        <w:t>th</w:t>
      </w:r>
      <w:r w:rsidR="005D0B0E" w:rsidRPr="00E26E2A">
        <w:rPr>
          <w:rFonts w:asciiTheme="majorBidi" w:eastAsiaTheme="minorHAnsi" w:hAnsiTheme="majorBidi" w:cstheme="majorBidi"/>
          <w:i/>
          <w:iCs/>
        </w:rPr>
        <w:t xml:space="preserve"> Plenary Session (Venice, 15-16 December 2006</w:t>
      </w:r>
      <w:r w:rsidR="005D0B0E" w:rsidRPr="00E26E2A">
        <w:rPr>
          <w:rFonts w:asciiTheme="majorBidi" w:eastAsiaTheme="minorHAnsi" w:hAnsiTheme="majorBidi" w:cstheme="majorBidi"/>
        </w:rPr>
        <w:t>).</w:t>
      </w:r>
    </w:p>
    <w:p w:rsidR="00655909" w:rsidRPr="00E26E2A" w:rsidRDefault="007D62F4" w:rsidP="0003390A">
      <w:pPr>
        <w:pStyle w:val="tv213"/>
        <w:spacing w:before="0" w:beforeAutospacing="0" w:after="0" w:afterAutospacing="0" w:line="276" w:lineRule="auto"/>
        <w:ind w:firstLine="709"/>
        <w:jc w:val="both"/>
        <w:rPr>
          <w:rFonts w:asciiTheme="majorBidi" w:eastAsiaTheme="minorHAnsi" w:hAnsiTheme="majorBidi" w:cstheme="majorBidi"/>
        </w:rPr>
      </w:pPr>
      <w:r w:rsidRPr="00E26E2A">
        <w:rPr>
          <w:rFonts w:asciiTheme="majorBidi" w:eastAsiaTheme="minorHAnsi" w:hAnsiTheme="majorBidi" w:cstheme="majorBidi"/>
        </w:rPr>
        <w:t>„</w:t>
      </w:r>
      <w:r w:rsidR="00655909" w:rsidRPr="00E26E2A">
        <w:rPr>
          <w:rFonts w:asciiTheme="majorBidi" w:eastAsiaTheme="minorHAnsi" w:hAnsiTheme="majorBidi" w:cstheme="majorBidi"/>
        </w:rPr>
        <w:t>Saprātīgs termiņš” ir piepildāms jēdziens, tas nav izteikts konkrētos skaitļos un ir nosakāms katrā konkrētā gadījumā individuāli (</w:t>
      </w:r>
      <w:r w:rsidR="00655909" w:rsidRPr="00E26E2A">
        <w:rPr>
          <w:rFonts w:asciiTheme="majorBidi" w:eastAsiaTheme="minorHAnsi" w:hAnsiTheme="majorBidi" w:cstheme="majorBidi"/>
          <w:i/>
          <w:iCs/>
        </w:rPr>
        <w:t>Ā. Meikališa, K. Strada-Rozenberga. Taisnīgums kriminālprocesā. Jurista Vārds. Nr.48(695), 2011.29.11.</w:t>
      </w:r>
      <w:r w:rsidR="00655909" w:rsidRPr="00E26E2A">
        <w:rPr>
          <w:rFonts w:asciiTheme="majorBidi" w:eastAsiaTheme="minorHAnsi" w:hAnsiTheme="majorBidi" w:cstheme="majorBidi"/>
        </w:rPr>
        <w:t>).</w:t>
      </w:r>
    </w:p>
    <w:p w:rsidR="005D0B0E" w:rsidRPr="00E26E2A" w:rsidRDefault="00655909" w:rsidP="0003390A">
      <w:pPr>
        <w:pStyle w:val="tv213"/>
        <w:spacing w:before="0" w:beforeAutospacing="0" w:after="0" w:afterAutospacing="0" w:line="276" w:lineRule="auto"/>
        <w:ind w:firstLine="709"/>
        <w:jc w:val="both"/>
        <w:rPr>
          <w:rFonts w:asciiTheme="majorBidi" w:eastAsiaTheme="minorHAnsi" w:hAnsiTheme="majorBidi" w:cstheme="majorBidi"/>
        </w:rPr>
      </w:pPr>
      <w:r w:rsidRPr="00E26E2A">
        <w:rPr>
          <w:rFonts w:asciiTheme="majorBidi" w:eastAsiaTheme="minorHAnsi" w:hAnsiTheme="majorBidi" w:cstheme="majorBidi"/>
        </w:rPr>
        <w:t>Savukārt, n</w:t>
      </w:r>
      <w:r w:rsidR="007C550A" w:rsidRPr="00E26E2A">
        <w:rPr>
          <w:rFonts w:asciiTheme="majorBidi" w:eastAsiaTheme="minorHAnsi" w:hAnsiTheme="majorBidi" w:cstheme="majorBidi"/>
        </w:rPr>
        <w:t xml:space="preserve">osakot termiņa </w:t>
      </w:r>
      <w:r w:rsidR="008F2FD2" w:rsidRPr="00E26E2A">
        <w:rPr>
          <w:rFonts w:asciiTheme="majorBidi" w:eastAsiaTheme="minorHAnsi" w:hAnsiTheme="majorBidi" w:cstheme="majorBidi"/>
        </w:rPr>
        <w:t>„</w:t>
      </w:r>
      <w:r w:rsidR="007C550A" w:rsidRPr="00E26E2A">
        <w:rPr>
          <w:rFonts w:asciiTheme="majorBidi" w:eastAsiaTheme="minorHAnsi" w:hAnsiTheme="majorBidi" w:cstheme="majorBidi"/>
        </w:rPr>
        <w:t>saprātīgumu”, jāņem vērā gan Eiropas Cilvēktiesību tiesas praksē</w:t>
      </w:r>
      <w:r w:rsidR="00C77DF9" w:rsidRPr="00E26E2A">
        <w:rPr>
          <w:rFonts w:asciiTheme="majorBidi" w:eastAsiaTheme="minorHAnsi" w:hAnsiTheme="majorBidi" w:cstheme="majorBidi"/>
        </w:rPr>
        <w:t xml:space="preserve"> izteiktās atziņas</w:t>
      </w:r>
      <w:r w:rsidR="007C550A" w:rsidRPr="00E26E2A">
        <w:rPr>
          <w:rFonts w:asciiTheme="majorBidi" w:eastAsiaTheme="minorHAnsi" w:hAnsiTheme="majorBidi" w:cstheme="majorBidi"/>
        </w:rPr>
        <w:t xml:space="preserve">, gan Kriminālprocesa likumā </w:t>
      </w:r>
      <w:r w:rsidR="00C77DF9" w:rsidRPr="00E26E2A">
        <w:rPr>
          <w:rFonts w:asciiTheme="majorBidi" w:eastAsiaTheme="minorHAnsi" w:hAnsiTheme="majorBidi" w:cstheme="majorBidi"/>
        </w:rPr>
        <w:t>norādītais</w:t>
      </w:r>
      <w:r w:rsidR="005D0B0E" w:rsidRPr="00E26E2A">
        <w:rPr>
          <w:rFonts w:asciiTheme="majorBidi" w:eastAsiaTheme="minorHAnsi" w:hAnsiTheme="majorBidi" w:cstheme="majorBidi"/>
        </w:rPr>
        <w:t xml:space="preserve">. </w:t>
      </w:r>
    </w:p>
    <w:p w:rsidR="00472DD3" w:rsidRPr="00E26E2A" w:rsidRDefault="00472DD3" w:rsidP="0003390A">
      <w:pPr>
        <w:pStyle w:val="tv213"/>
        <w:spacing w:before="0" w:beforeAutospacing="0" w:after="0" w:afterAutospacing="0" w:line="276" w:lineRule="auto"/>
        <w:ind w:firstLine="709"/>
        <w:jc w:val="both"/>
        <w:rPr>
          <w:rFonts w:asciiTheme="majorBidi" w:eastAsiaTheme="minorHAnsi" w:hAnsiTheme="majorBidi" w:cstheme="majorBidi"/>
        </w:rPr>
      </w:pPr>
      <w:r w:rsidRPr="00E26E2A">
        <w:rPr>
          <w:rFonts w:asciiTheme="majorBidi" w:eastAsiaTheme="minorHAnsi" w:hAnsiTheme="majorBidi" w:cstheme="majorBidi"/>
        </w:rPr>
        <w:t>Kriminālprocesa likuma 14.panta pirmā daļa noteic, ka ikvienam ir tiesības uz kriminālprocesa pabeigšanu saprātīgā termiņā, tas ir, bez neattaisnotas novilcināšanas. Kriminālprocesa pabeigšana saprātīgā termiņā ir saistīta ar lietas apjomu, juridisko sarežģītību, procesuālo darbību daudzumu, procesā iesaistīto personu attieksmi pret pienākumu pildīšanu un citiem objektīviem apstākļiem.</w:t>
      </w:r>
    </w:p>
    <w:p w:rsidR="000C490F" w:rsidRPr="00E26E2A" w:rsidRDefault="00240E05" w:rsidP="0003390A">
      <w:pPr>
        <w:autoSpaceDE w:val="0"/>
        <w:autoSpaceDN w:val="0"/>
        <w:adjustRightInd w:val="0"/>
        <w:spacing w:line="276" w:lineRule="auto"/>
        <w:ind w:firstLine="709"/>
        <w:jc w:val="both"/>
        <w:rPr>
          <w:rFonts w:asciiTheme="majorBidi" w:eastAsiaTheme="minorHAnsi" w:hAnsiTheme="majorBidi" w:cstheme="majorBidi"/>
        </w:rPr>
      </w:pPr>
      <w:r w:rsidRPr="00E26E2A">
        <w:rPr>
          <w:rFonts w:asciiTheme="majorBidi" w:eastAsiaTheme="minorHAnsi" w:hAnsiTheme="majorBidi" w:cstheme="majorBidi"/>
        </w:rPr>
        <w:t xml:space="preserve">Savukārt </w:t>
      </w:r>
      <w:r w:rsidR="007C550A" w:rsidRPr="00E26E2A">
        <w:rPr>
          <w:rFonts w:asciiTheme="majorBidi" w:eastAsiaTheme="minorHAnsi" w:hAnsiTheme="majorBidi" w:cstheme="majorBidi"/>
        </w:rPr>
        <w:t>Eiropas Cilvēktiesību tiesas nolēmumos paust</w:t>
      </w:r>
      <w:r w:rsidRPr="00E26E2A">
        <w:rPr>
          <w:rFonts w:asciiTheme="majorBidi" w:eastAsiaTheme="minorHAnsi" w:hAnsiTheme="majorBidi" w:cstheme="majorBidi"/>
        </w:rPr>
        <w:t xml:space="preserve">a atziņa, ka tiesība uz tiesu saprātīgā termiņā ir </w:t>
      </w:r>
      <w:r w:rsidR="00E5753F" w:rsidRPr="00E26E2A">
        <w:rPr>
          <w:rFonts w:asciiTheme="majorBidi" w:eastAsiaTheme="minorHAnsi" w:hAnsiTheme="majorBidi" w:cstheme="majorBidi"/>
        </w:rPr>
        <w:t xml:space="preserve">viena no </w:t>
      </w:r>
      <w:r w:rsidRPr="00E26E2A">
        <w:rPr>
          <w:rFonts w:asciiTheme="majorBidi" w:eastAsiaTheme="minorHAnsi" w:hAnsiTheme="majorBidi" w:cstheme="majorBidi"/>
        </w:rPr>
        <w:t xml:space="preserve">Eiropas Cilvēktiesību un pamatbrīvību aizsardzības konvencijas 6.pantā garantētajām tiesībām un, ka, izvērtējot termiņa saprātīgumu, ir jāņem vērā </w:t>
      </w:r>
      <w:r w:rsidR="00E5753F" w:rsidRPr="00E26E2A">
        <w:rPr>
          <w:rFonts w:asciiTheme="majorBidi" w:eastAsiaTheme="minorHAnsi" w:hAnsiTheme="majorBidi" w:cstheme="majorBidi"/>
        </w:rPr>
        <w:t xml:space="preserve">lietas konkrētie apstākļi un </w:t>
      </w:r>
      <w:r w:rsidRPr="00E26E2A">
        <w:rPr>
          <w:rFonts w:asciiTheme="majorBidi" w:eastAsiaTheme="minorHAnsi" w:hAnsiTheme="majorBidi" w:cstheme="majorBidi"/>
        </w:rPr>
        <w:t>tās tiesu praksē noteiktie kritēriji (</w:t>
      </w:r>
      <w:r w:rsidRPr="00E26E2A">
        <w:rPr>
          <w:rFonts w:asciiTheme="majorBidi" w:eastAsiaTheme="minorHAnsi" w:hAnsiTheme="majorBidi" w:cstheme="majorBidi"/>
          <w:i/>
          <w:iCs/>
        </w:rPr>
        <w:t xml:space="preserve">Eiropas Cilvēktiesību tiesas 1982.gada 15.jūlija spriedums lietā </w:t>
      </w:r>
      <w:r w:rsidR="008F2FD2" w:rsidRPr="00E26E2A">
        <w:rPr>
          <w:rFonts w:asciiTheme="majorBidi" w:eastAsiaTheme="minorHAnsi" w:hAnsiTheme="majorBidi" w:cstheme="majorBidi"/>
          <w:i/>
          <w:iCs/>
        </w:rPr>
        <w:t>„</w:t>
      </w:r>
      <w:r w:rsidRPr="00E26E2A">
        <w:rPr>
          <w:rFonts w:asciiTheme="majorBidi" w:eastAsiaTheme="minorHAnsi" w:hAnsiTheme="majorBidi" w:cstheme="majorBidi"/>
          <w:i/>
          <w:iCs/>
        </w:rPr>
        <w:t>Eckle v. Germany”,</w:t>
      </w:r>
      <w:r w:rsidR="00240895" w:rsidRPr="00E26E2A">
        <w:rPr>
          <w:rFonts w:asciiTheme="majorBidi" w:eastAsiaTheme="minorHAnsi" w:hAnsiTheme="majorBidi" w:cstheme="majorBidi"/>
          <w:i/>
          <w:iCs/>
        </w:rPr>
        <w:t xml:space="preserve"> </w:t>
      </w:r>
      <w:r w:rsidRPr="00E26E2A">
        <w:rPr>
          <w:rFonts w:asciiTheme="majorBidi" w:eastAsiaTheme="minorHAnsi" w:hAnsiTheme="majorBidi" w:cstheme="majorBidi"/>
          <w:i/>
          <w:iCs/>
        </w:rPr>
        <w:t>Nr</w:t>
      </w:r>
      <w:r w:rsidR="004422AA" w:rsidRPr="00E26E2A">
        <w:rPr>
          <w:rFonts w:asciiTheme="majorBidi" w:eastAsiaTheme="minorHAnsi" w:hAnsiTheme="majorBidi" w:cstheme="majorBidi"/>
          <w:i/>
          <w:iCs/>
        </w:rPr>
        <w:t>.</w:t>
      </w:r>
      <w:r w:rsidR="00240895" w:rsidRPr="00E26E2A">
        <w:rPr>
          <w:rFonts w:asciiTheme="majorBidi" w:eastAsiaTheme="minorHAnsi" w:hAnsiTheme="majorBidi" w:cstheme="majorBidi"/>
          <w:i/>
          <w:iCs/>
        </w:rPr>
        <w:t>8130/78</w:t>
      </w:r>
      <w:r w:rsidRPr="00E26E2A">
        <w:rPr>
          <w:rFonts w:asciiTheme="majorBidi" w:eastAsiaTheme="minorHAnsi" w:hAnsiTheme="majorBidi" w:cstheme="majorBidi"/>
          <w:i/>
          <w:iCs/>
        </w:rPr>
        <w:t>,</w:t>
      </w:r>
      <w:r w:rsidR="004422AA" w:rsidRPr="00E26E2A">
        <w:rPr>
          <w:rFonts w:asciiTheme="majorBidi" w:eastAsiaTheme="minorHAnsi" w:hAnsiTheme="majorBidi" w:cstheme="majorBidi"/>
          <w:i/>
          <w:iCs/>
        </w:rPr>
        <w:t xml:space="preserve"> </w:t>
      </w:r>
      <w:r w:rsidR="00255D83" w:rsidRPr="00E26E2A">
        <w:rPr>
          <w:rFonts w:asciiTheme="majorBidi" w:eastAsiaTheme="minorHAnsi" w:hAnsiTheme="majorBidi" w:cstheme="majorBidi"/>
          <w:i/>
          <w:iCs/>
        </w:rPr>
        <w:t>80</w:t>
      </w:r>
      <w:r w:rsidR="004422AA" w:rsidRPr="00E26E2A">
        <w:rPr>
          <w:rFonts w:asciiTheme="majorBidi" w:eastAsiaTheme="minorHAnsi" w:hAnsiTheme="majorBidi" w:cstheme="majorBidi"/>
          <w:i/>
          <w:iCs/>
        </w:rPr>
        <w:t>.punkts;</w:t>
      </w:r>
      <w:r w:rsidRPr="00E26E2A">
        <w:rPr>
          <w:rFonts w:asciiTheme="majorBidi" w:eastAsiaTheme="minorHAnsi" w:hAnsiTheme="majorBidi" w:cstheme="majorBidi"/>
          <w:i/>
          <w:iCs/>
        </w:rPr>
        <w:t xml:space="preserve"> 1992.gada 25.novembra spriedums lietā </w:t>
      </w:r>
      <w:r w:rsidR="008F2FD2" w:rsidRPr="00E26E2A">
        <w:rPr>
          <w:rFonts w:asciiTheme="majorBidi" w:eastAsiaTheme="minorHAnsi" w:hAnsiTheme="majorBidi" w:cstheme="majorBidi"/>
          <w:i/>
          <w:iCs/>
        </w:rPr>
        <w:t>„</w:t>
      </w:r>
      <w:r w:rsidRPr="00E26E2A">
        <w:rPr>
          <w:rFonts w:asciiTheme="majorBidi" w:eastAsiaTheme="minorHAnsi" w:hAnsiTheme="majorBidi" w:cstheme="majorBidi"/>
          <w:i/>
          <w:iCs/>
        </w:rPr>
        <w:t xml:space="preserve">Abdoella v. </w:t>
      </w:r>
      <w:r w:rsidR="004422AA" w:rsidRPr="00E26E2A">
        <w:rPr>
          <w:rFonts w:asciiTheme="majorBidi" w:eastAsiaTheme="minorHAnsi" w:hAnsiTheme="majorBidi" w:cstheme="majorBidi"/>
          <w:i/>
          <w:iCs/>
        </w:rPr>
        <w:t>t</w:t>
      </w:r>
      <w:r w:rsidRPr="00E26E2A">
        <w:rPr>
          <w:rFonts w:asciiTheme="majorBidi" w:eastAsiaTheme="minorHAnsi" w:hAnsiTheme="majorBidi" w:cstheme="majorBidi"/>
          <w:i/>
          <w:iCs/>
        </w:rPr>
        <w:t>he Netherlands, iesnieguma Nr.12728/87,</w:t>
      </w:r>
      <w:r w:rsidR="004422AA" w:rsidRPr="00E26E2A">
        <w:rPr>
          <w:rFonts w:asciiTheme="majorBidi" w:eastAsiaTheme="minorHAnsi" w:hAnsiTheme="majorBidi" w:cstheme="majorBidi"/>
          <w:i/>
          <w:iCs/>
        </w:rPr>
        <w:t xml:space="preserve"> 23.punkts;</w:t>
      </w:r>
      <w:r w:rsidRPr="00E26E2A">
        <w:rPr>
          <w:rFonts w:asciiTheme="majorBidi" w:eastAsiaTheme="minorHAnsi" w:hAnsiTheme="majorBidi" w:cstheme="majorBidi"/>
          <w:i/>
          <w:iCs/>
        </w:rPr>
        <w:t xml:space="preserve"> </w:t>
      </w:r>
      <w:r w:rsidR="009763FE" w:rsidRPr="00E26E2A">
        <w:rPr>
          <w:rFonts w:asciiTheme="majorBidi" w:eastAsiaTheme="minorHAnsi" w:hAnsiTheme="majorBidi" w:cstheme="majorBidi"/>
          <w:i/>
          <w:iCs/>
        </w:rPr>
        <w:t xml:space="preserve">1999.gada 25.marta spriedums lietā </w:t>
      </w:r>
      <w:r w:rsidR="008F2FD2" w:rsidRPr="00E26E2A">
        <w:rPr>
          <w:rFonts w:asciiTheme="majorBidi" w:eastAsiaTheme="minorHAnsi" w:hAnsiTheme="majorBidi" w:cstheme="majorBidi"/>
          <w:i/>
          <w:iCs/>
        </w:rPr>
        <w:t>„</w:t>
      </w:r>
      <w:r w:rsidR="009763FE" w:rsidRPr="00E26E2A">
        <w:rPr>
          <w:rFonts w:asciiTheme="majorBidi" w:eastAsiaTheme="minorHAnsi" w:hAnsiTheme="majorBidi" w:cstheme="majorBidi"/>
          <w:i/>
          <w:iCs/>
        </w:rPr>
        <w:t xml:space="preserve">Pelisier and Sassi v. France”, (GC), iesnieguma Nr.25444/94, 67.punkts; </w:t>
      </w:r>
      <w:r w:rsidR="004422AA" w:rsidRPr="00E26E2A">
        <w:rPr>
          <w:rFonts w:asciiTheme="majorBidi" w:eastAsiaTheme="minorHAnsi" w:hAnsiTheme="majorBidi" w:cstheme="majorBidi"/>
          <w:i/>
          <w:iCs/>
        </w:rPr>
        <w:t xml:space="preserve">2000.gada 27.jūnija spriedums lietā </w:t>
      </w:r>
      <w:r w:rsidR="008F2FD2" w:rsidRPr="00E26E2A">
        <w:rPr>
          <w:rFonts w:asciiTheme="majorBidi" w:eastAsiaTheme="minorHAnsi" w:hAnsiTheme="majorBidi" w:cstheme="majorBidi"/>
          <w:i/>
          <w:iCs/>
        </w:rPr>
        <w:t>„</w:t>
      </w:r>
      <w:r w:rsidR="004422AA" w:rsidRPr="00E26E2A">
        <w:rPr>
          <w:rFonts w:asciiTheme="majorBidi" w:eastAsiaTheme="minorHAnsi" w:hAnsiTheme="majorBidi" w:cstheme="majorBidi"/>
          <w:i/>
          <w:iCs/>
        </w:rPr>
        <w:t xml:space="preserve">Frydlender v. France”, (GC), iesnieguma Nr.30979/96, 42.punkts; </w:t>
      </w:r>
      <w:r w:rsidRPr="00E26E2A">
        <w:rPr>
          <w:rFonts w:asciiTheme="majorBidi" w:eastAsiaTheme="minorHAnsi" w:hAnsiTheme="majorBidi" w:cstheme="majorBidi"/>
          <w:i/>
          <w:iCs/>
        </w:rPr>
        <w:t xml:space="preserve">2012.gada 22.maija spriedums lietā </w:t>
      </w:r>
      <w:r w:rsidR="008F2FD2" w:rsidRPr="00E26E2A">
        <w:rPr>
          <w:rFonts w:asciiTheme="majorBidi" w:eastAsiaTheme="minorHAnsi" w:hAnsiTheme="majorBidi" w:cstheme="majorBidi"/>
          <w:i/>
          <w:iCs/>
        </w:rPr>
        <w:t>„</w:t>
      </w:r>
      <w:r w:rsidR="000C490F" w:rsidRPr="00E26E2A">
        <w:rPr>
          <w:rFonts w:asciiTheme="majorBidi" w:eastAsiaTheme="minorHAnsi" w:hAnsiTheme="majorBidi" w:cstheme="majorBidi"/>
          <w:i/>
          <w:iCs/>
        </w:rPr>
        <w:t>Idalov v. Russia”, (GC), iesnieguma Nr.5826/03</w:t>
      </w:r>
      <w:r w:rsidR="004422AA" w:rsidRPr="00E26E2A">
        <w:rPr>
          <w:rFonts w:asciiTheme="majorBidi" w:eastAsiaTheme="minorHAnsi" w:hAnsiTheme="majorBidi" w:cstheme="majorBidi"/>
          <w:i/>
          <w:iCs/>
        </w:rPr>
        <w:t xml:space="preserve">, </w:t>
      </w:r>
      <w:r w:rsidR="009763FE" w:rsidRPr="00E26E2A">
        <w:rPr>
          <w:rFonts w:asciiTheme="majorBidi" w:eastAsiaTheme="minorHAnsi" w:hAnsiTheme="majorBidi" w:cstheme="majorBidi"/>
          <w:i/>
          <w:iCs/>
        </w:rPr>
        <w:t>186.</w:t>
      </w:r>
      <w:r w:rsidR="004422AA" w:rsidRPr="00E26E2A">
        <w:rPr>
          <w:rFonts w:asciiTheme="majorBidi" w:eastAsiaTheme="minorHAnsi" w:hAnsiTheme="majorBidi" w:cstheme="majorBidi"/>
          <w:i/>
          <w:iCs/>
        </w:rPr>
        <w:t>punkts</w:t>
      </w:r>
      <w:r w:rsidR="000C490F" w:rsidRPr="00E26E2A">
        <w:rPr>
          <w:rFonts w:asciiTheme="majorBidi" w:eastAsiaTheme="minorHAnsi" w:hAnsiTheme="majorBidi" w:cstheme="majorBidi"/>
        </w:rPr>
        <w:t>)</w:t>
      </w:r>
      <w:r w:rsidRPr="00E26E2A">
        <w:rPr>
          <w:rFonts w:asciiTheme="majorBidi" w:eastAsiaTheme="minorHAnsi" w:hAnsiTheme="majorBidi" w:cstheme="majorBidi"/>
        </w:rPr>
        <w:t xml:space="preserve">. </w:t>
      </w:r>
    </w:p>
    <w:p w:rsidR="000C490F" w:rsidRPr="00E26E2A" w:rsidRDefault="000C490F" w:rsidP="0003390A">
      <w:pPr>
        <w:autoSpaceDE w:val="0"/>
        <w:autoSpaceDN w:val="0"/>
        <w:adjustRightInd w:val="0"/>
        <w:spacing w:line="276" w:lineRule="auto"/>
        <w:ind w:firstLine="709"/>
        <w:jc w:val="both"/>
        <w:rPr>
          <w:rFonts w:asciiTheme="majorBidi" w:eastAsiaTheme="minorHAnsi" w:hAnsiTheme="majorBidi" w:cstheme="majorBidi"/>
        </w:rPr>
      </w:pPr>
      <w:r w:rsidRPr="00E26E2A">
        <w:rPr>
          <w:rFonts w:asciiTheme="majorBidi" w:eastAsiaTheme="minorHAnsi" w:hAnsiTheme="majorBidi" w:cstheme="majorBidi"/>
        </w:rPr>
        <w:t>Tādējādi procesa ilguma saprātīguma izvērtēšanā būtiski ņemt vērā katras konkrētas lietas apstākļus, ievērojot vairākus kritērijus, proti, lietas sarežģītību, iesaistīto personu rīcību, aizskartās intereses.</w:t>
      </w:r>
    </w:p>
    <w:p w:rsidR="00603511" w:rsidRPr="00E26E2A" w:rsidRDefault="00A974E6" w:rsidP="0003390A">
      <w:pPr>
        <w:autoSpaceDE w:val="0"/>
        <w:autoSpaceDN w:val="0"/>
        <w:adjustRightInd w:val="0"/>
        <w:spacing w:line="276" w:lineRule="auto"/>
        <w:ind w:firstLine="709"/>
        <w:jc w:val="both"/>
        <w:rPr>
          <w:rFonts w:asciiTheme="majorBidi" w:eastAsiaTheme="minorHAnsi" w:hAnsiTheme="majorBidi" w:cstheme="majorBidi"/>
        </w:rPr>
      </w:pPr>
      <w:r w:rsidRPr="00E26E2A">
        <w:rPr>
          <w:rFonts w:asciiTheme="majorBidi" w:eastAsiaTheme="minorHAnsi" w:hAnsiTheme="majorBidi" w:cstheme="majorBidi"/>
        </w:rPr>
        <w:t>[</w:t>
      </w:r>
      <w:r w:rsidR="000C490F" w:rsidRPr="00E26E2A">
        <w:rPr>
          <w:rFonts w:asciiTheme="majorBidi" w:eastAsiaTheme="minorHAnsi" w:hAnsiTheme="majorBidi" w:cstheme="majorBidi"/>
        </w:rPr>
        <w:t>14.2</w:t>
      </w:r>
      <w:r w:rsidR="008F2FD2" w:rsidRPr="00E26E2A">
        <w:rPr>
          <w:rFonts w:asciiTheme="majorBidi" w:eastAsiaTheme="minorHAnsi" w:hAnsiTheme="majorBidi" w:cstheme="majorBidi"/>
        </w:rPr>
        <w:t>]</w:t>
      </w:r>
      <w:r w:rsidR="008F2FD2" w:rsidRPr="00E26E2A">
        <w:rPr>
          <w:rFonts w:asciiTheme="majorBidi" w:eastAsiaTheme="minorHAnsi" w:hAnsiTheme="majorBidi" w:cstheme="majorBidi"/>
          <w:color w:val="FF0000"/>
        </w:rPr>
        <w:t xml:space="preserve"> </w:t>
      </w:r>
      <w:r w:rsidR="003C7C2E" w:rsidRPr="00E26E2A">
        <w:rPr>
          <w:rFonts w:asciiTheme="majorBidi" w:eastAsiaTheme="minorHAnsi" w:hAnsiTheme="majorBidi" w:cstheme="majorBidi"/>
        </w:rPr>
        <w:t>Izskatāmajā k</w:t>
      </w:r>
      <w:r w:rsidR="00472DD3" w:rsidRPr="00E26E2A">
        <w:rPr>
          <w:rFonts w:asciiTheme="majorBidi" w:eastAsiaTheme="minorHAnsi" w:hAnsiTheme="majorBidi" w:cstheme="majorBidi"/>
        </w:rPr>
        <w:t xml:space="preserve">riminālprocesā iegūtie materiāli apkopoti trīs sējumos. Atbilstoši </w:t>
      </w:r>
      <w:r w:rsidR="000A5543" w:rsidRPr="00E26E2A">
        <w:rPr>
          <w:rFonts w:asciiTheme="majorBidi" w:eastAsiaTheme="minorHAnsi" w:hAnsiTheme="majorBidi" w:cstheme="majorBidi"/>
        </w:rPr>
        <w:t>[pers. A]</w:t>
      </w:r>
      <w:r w:rsidR="00472DD3" w:rsidRPr="00E26E2A">
        <w:rPr>
          <w:rFonts w:asciiTheme="majorBidi" w:eastAsiaTheme="minorHAnsi" w:hAnsiTheme="majorBidi" w:cstheme="majorBidi"/>
        </w:rPr>
        <w:t xml:space="preserve"> celtajai apsūdzībai</w:t>
      </w:r>
      <w:r w:rsidR="00D571C4" w:rsidRPr="00E26E2A">
        <w:rPr>
          <w:rFonts w:asciiTheme="majorBidi" w:eastAsiaTheme="minorHAnsi" w:hAnsiTheme="majorBidi" w:cstheme="majorBidi"/>
        </w:rPr>
        <w:t xml:space="preserve"> n</w:t>
      </w:r>
      <w:r w:rsidR="00472DD3" w:rsidRPr="00E26E2A">
        <w:rPr>
          <w:rFonts w:asciiTheme="majorBidi" w:eastAsiaTheme="minorHAnsi" w:hAnsiTheme="majorBidi" w:cstheme="majorBidi"/>
        </w:rPr>
        <w:t>oziedzīg</w:t>
      </w:r>
      <w:r w:rsidR="00D571C4" w:rsidRPr="00E26E2A">
        <w:rPr>
          <w:rFonts w:asciiTheme="majorBidi" w:eastAsiaTheme="minorHAnsi" w:hAnsiTheme="majorBidi" w:cstheme="majorBidi"/>
        </w:rPr>
        <w:t>i</w:t>
      </w:r>
      <w:r w:rsidR="000C490F" w:rsidRPr="00E26E2A">
        <w:rPr>
          <w:rFonts w:asciiTheme="majorBidi" w:eastAsiaTheme="minorHAnsi" w:hAnsiTheme="majorBidi" w:cstheme="majorBidi"/>
        </w:rPr>
        <w:t>e n</w:t>
      </w:r>
      <w:r w:rsidR="00472DD3" w:rsidRPr="00E26E2A">
        <w:rPr>
          <w:rFonts w:asciiTheme="majorBidi" w:eastAsiaTheme="minorHAnsi" w:hAnsiTheme="majorBidi" w:cstheme="majorBidi"/>
        </w:rPr>
        <w:t>odarījum</w:t>
      </w:r>
      <w:r w:rsidR="00D571C4" w:rsidRPr="00E26E2A">
        <w:rPr>
          <w:rFonts w:asciiTheme="majorBidi" w:eastAsiaTheme="minorHAnsi" w:hAnsiTheme="majorBidi" w:cstheme="majorBidi"/>
        </w:rPr>
        <w:t xml:space="preserve">i izdarīti laikā no 2011.gada februāra līdz 2012.gada jūlijam. </w:t>
      </w:r>
    </w:p>
    <w:p w:rsidR="00E26E2A" w:rsidRPr="00E26E2A" w:rsidRDefault="00603511" w:rsidP="0003390A">
      <w:pPr>
        <w:autoSpaceDE w:val="0"/>
        <w:autoSpaceDN w:val="0"/>
        <w:adjustRightInd w:val="0"/>
        <w:spacing w:line="276" w:lineRule="auto"/>
        <w:ind w:firstLine="709"/>
        <w:jc w:val="both"/>
        <w:rPr>
          <w:rFonts w:ascii="TimesNewRomanPSMT" w:eastAsiaTheme="minorHAnsi" w:hAnsi="TimesNewRomanPSMT" w:cs="TimesNewRomanPSMT"/>
        </w:rPr>
      </w:pPr>
      <w:r w:rsidRPr="00E26E2A">
        <w:rPr>
          <w:rFonts w:ascii="TimesNewRomanPSMT" w:eastAsiaTheme="minorHAnsi" w:hAnsi="TimesNewRomanPSMT" w:cs="TimesNewRomanPSMT"/>
        </w:rPr>
        <w:t>Kriminālprocess uzsākts 201</w:t>
      </w:r>
      <w:r w:rsidR="000C490F" w:rsidRPr="00E26E2A">
        <w:rPr>
          <w:rFonts w:ascii="TimesNewRomanPSMT" w:eastAsiaTheme="minorHAnsi" w:hAnsi="TimesNewRomanPSMT" w:cs="TimesNewRomanPSMT"/>
        </w:rPr>
        <w:t>5</w:t>
      </w:r>
      <w:r w:rsidRPr="00E26E2A">
        <w:rPr>
          <w:rFonts w:ascii="TimesNewRomanPSMT" w:eastAsiaTheme="minorHAnsi" w:hAnsi="TimesNewRomanPSMT" w:cs="TimesNewRomanPSMT"/>
        </w:rPr>
        <w:t>.gada</w:t>
      </w:r>
      <w:r w:rsidR="000C490F" w:rsidRPr="00E26E2A">
        <w:rPr>
          <w:rFonts w:ascii="TimesNewRomanPSMT" w:eastAsiaTheme="minorHAnsi" w:hAnsi="TimesNewRomanPSMT" w:cs="TimesNewRomanPSMT"/>
        </w:rPr>
        <w:t xml:space="preserve"> </w:t>
      </w:r>
      <w:r w:rsidR="00F729AA" w:rsidRPr="00E26E2A">
        <w:rPr>
          <w:rFonts w:ascii="TimesNewRomanPSMT" w:eastAsiaTheme="minorHAnsi" w:hAnsi="TimesNewRomanPSMT" w:cs="TimesNewRomanPSMT"/>
        </w:rPr>
        <w:t>[..]</w:t>
      </w:r>
      <w:r w:rsidRPr="00E26E2A">
        <w:rPr>
          <w:rFonts w:ascii="TimesNewRomanPSMT" w:eastAsiaTheme="minorHAnsi" w:hAnsi="TimesNewRomanPSMT" w:cs="TimesNewRomanPSMT"/>
        </w:rPr>
        <w:t xml:space="preserve">. </w:t>
      </w:r>
      <w:r w:rsidR="00E26E2A" w:rsidRPr="00E26E2A">
        <w:rPr>
          <w:rFonts w:ascii="TimesNewRomanPSMT" w:eastAsiaTheme="minorHAnsi" w:hAnsi="TimesNewRomanPSMT" w:cs="TimesNewRomanPSMT"/>
        </w:rPr>
        <w:t>[..]</w:t>
      </w:r>
    </w:p>
    <w:p w:rsidR="00603511" w:rsidRPr="00E26E2A" w:rsidRDefault="002D18DD" w:rsidP="0003390A">
      <w:pPr>
        <w:autoSpaceDE w:val="0"/>
        <w:autoSpaceDN w:val="0"/>
        <w:adjustRightInd w:val="0"/>
        <w:spacing w:line="276" w:lineRule="auto"/>
        <w:ind w:firstLine="709"/>
        <w:jc w:val="both"/>
        <w:rPr>
          <w:rFonts w:ascii="TimesNewRomanPSMT" w:eastAsiaTheme="minorHAnsi" w:hAnsi="TimesNewRomanPSMT" w:cs="TimesNewRomanPSMT"/>
        </w:rPr>
      </w:pPr>
      <w:r w:rsidRPr="00E26E2A">
        <w:rPr>
          <w:rFonts w:ascii="TimesNewRomanPSMT" w:eastAsiaTheme="minorHAnsi" w:hAnsi="TimesNewRomanPSMT" w:cs="TimesNewRomanPSMT"/>
        </w:rPr>
        <w:lastRenderedPageBreak/>
        <w:t>Tādējādi</w:t>
      </w:r>
      <w:r w:rsidR="00603511" w:rsidRPr="00E26E2A">
        <w:rPr>
          <w:rFonts w:ascii="TimesNewRomanPSMT" w:eastAsiaTheme="minorHAnsi" w:hAnsi="TimesNewRomanPSMT" w:cs="TimesNewRomanPSMT"/>
        </w:rPr>
        <w:t xml:space="preserve"> kopējais kriminālprocesa ilgums ir</w:t>
      </w:r>
      <w:r w:rsidR="00E5753F" w:rsidRPr="00E26E2A">
        <w:rPr>
          <w:rFonts w:ascii="TimesNewRomanPSMT" w:eastAsiaTheme="minorHAnsi" w:hAnsi="TimesNewRomanPSMT" w:cs="TimesNewRomanPSMT"/>
        </w:rPr>
        <w:t xml:space="preserve"> </w:t>
      </w:r>
      <w:r w:rsidR="003712E9" w:rsidRPr="00E26E2A">
        <w:rPr>
          <w:rFonts w:ascii="TimesNewRomanPSMT" w:eastAsiaTheme="minorHAnsi" w:hAnsi="TimesNewRomanPSMT" w:cs="TimesNewRomanPSMT"/>
        </w:rPr>
        <w:t xml:space="preserve">3 </w:t>
      </w:r>
      <w:r w:rsidR="00E5753F" w:rsidRPr="00E26E2A">
        <w:rPr>
          <w:rFonts w:ascii="TimesNewRomanPSMT" w:eastAsiaTheme="minorHAnsi" w:hAnsi="TimesNewRomanPSMT" w:cs="TimesNewRomanPSMT"/>
        </w:rPr>
        <w:t xml:space="preserve">gadi un </w:t>
      </w:r>
      <w:r w:rsidR="003712E9" w:rsidRPr="00E26E2A">
        <w:rPr>
          <w:rFonts w:ascii="TimesNewRomanPSMT" w:eastAsiaTheme="minorHAnsi" w:hAnsi="TimesNewRomanPSMT" w:cs="TimesNewRomanPSMT"/>
        </w:rPr>
        <w:t xml:space="preserve">11 </w:t>
      </w:r>
      <w:r w:rsidR="00E5753F" w:rsidRPr="00E26E2A">
        <w:rPr>
          <w:rFonts w:ascii="TimesNewRomanPSMT" w:eastAsiaTheme="minorHAnsi" w:hAnsi="TimesNewRomanPSMT" w:cs="TimesNewRomanPSMT"/>
        </w:rPr>
        <w:t>mēneši</w:t>
      </w:r>
      <w:r w:rsidR="00603511" w:rsidRPr="00E26E2A">
        <w:rPr>
          <w:rFonts w:ascii="TimesNewRomanPSMT" w:eastAsiaTheme="minorHAnsi" w:hAnsi="TimesNewRomanPSMT" w:cs="TimesNewRomanPSMT"/>
        </w:rPr>
        <w:t xml:space="preserve">, tostarp, pirmstiesas process – </w:t>
      </w:r>
      <w:r w:rsidR="00B7475B" w:rsidRPr="00E26E2A">
        <w:rPr>
          <w:rFonts w:ascii="TimesNewRomanPSMT" w:eastAsiaTheme="minorHAnsi" w:hAnsi="TimesNewRomanPSMT" w:cs="TimesNewRomanPSMT"/>
        </w:rPr>
        <w:t>8 mēneši</w:t>
      </w:r>
      <w:r w:rsidR="00603511" w:rsidRPr="00E26E2A">
        <w:rPr>
          <w:rFonts w:ascii="TimesNewRomanPSMT" w:eastAsiaTheme="minorHAnsi" w:hAnsi="TimesNewRomanPSMT" w:cs="TimesNewRomanPSMT"/>
        </w:rPr>
        <w:t xml:space="preserve">, </w:t>
      </w:r>
      <w:r w:rsidR="00B7475B" w:rsidRPr="00E26E2A">
        <w:rPr>
          <w:rFonts w:ascii="TimesNewRomanPSMT" w:eastAsiaTheme="minorHAnsi" w:hAnsi="TimesNewRomanPSMT" w:cs="TimesNewRomanPSMT"/>
        </w:rPr>
        <w:t xml:space="preserve">iztiesāšana </w:t>
      </w:r>
      <w:r w:rsidR="00603511" w:rsidRPr="00E26E2A">
        <w:rPr>
          <w:rFonts w:ascii="TimesNewRomanPSMT" w:eastAsiaTheme="minorHAnsi" w:hAnsi="TimesNewRomanPSMT" w:cs="TimesNewRomanPSMT"/>
        </w:rPr>
        <w:t>triju instanču tiesās</w:t>
      </w:r>
      <w:r w:rsidR="00B7475B" w:rsidRPr="00E26E2A">
        <w:rPr>
          <w:rFonts w:ascii="TimesNewRomanPSMT" w:eastAsiaTheme="minorHAnsi" w:hAnsi="TimesNewRomanPSMT" w:cs="TimesNewRomanPSMT"/>
        </w:rPr>
        <w:t xml:space="preserve"> – vairāk </w:t>
      </w:r>
      <w:r w:rsidR="00A576AE" w:rsidRPr="00E26E2A">
        <w:rPr>
          <w:rFonts w:ascii="TimesNewRomanPSMT" w:eastAsiaTheme="minorHAnsi" w:hAnsi="TimesNewRomanPSMT" w:cs="TimesNewRomanPSMT"/>
        </w:rPr>
        <w:t>nekā</w:t>
      </w:r>
      <w:r w:rsidR="00B7475B" w:rsidRPr="00E26E2A">
        <w:rPr>
          <w:rFonts w:ascii="TimesNewRomanPSMT" w:eastAsiaTheme="minorHAnsi" w:hAnsi="TimesNewRomanPSMT" w:cs="TimesNewRomanPSMT"/>
        </w:rPr>
        <w:t xml:space="preserve"> 3 gadi</w:t>
      </w:r>
      <w:r w:rsidR="00603511" w:rsidRPr="00E26E2A">
        <w:rPr>
          <w:rFonts w:ascii="TimesNewRomanPSMT" w:eastAsiaTheme="minorHAnsi" w:hAnsi="TimesNewRomanPSMT" w:cs="TimesNewRomanPSMT"/>
        </w:rPr>
        <w:t>, turklāt apelācijas instances tiesā lieta izskatīta trīs reizes.</w:t>
      </w:r>
    </w:p>
    <w:p w:rsidR="002D18DD" w:rsidRPr="00E26E2A" w:rsidRDefault="002D18DD" w:rsidP="0003390A">
      <w:pPr>
        <w:autoSpaceDE w:val="0"/>
        <w:autoSpaceDN w:val="0"/>
        <w:adjustRightInd w:val="0"/>
        <w:spacing w:line="276" w:lineRule="auto"/>
        <w:ind w:firstLine="709"/>
        <w:jc w:val="both"/>
        <w:rPr>
          <w:rFonts w:asciiTheme="majorBidi" w:eastAsiaTheme="minorHAnsi" w:hAnsiTheme="majorBidi" w:cstheme="majorBidi"/>
        </w:rPr>
      </w:pPr>
      <w:r w:rsidRPr="00E26E2A">
        <w:rPr>
          <w:rFonts w:asciiTheme="majorBidi" w:eastAsiaTheme="minorHAnsi" w:hAnsiTheme="majorBidi" w:cstheme="majorBidi"/>
        </w:rPr>
        <w:t xml:space="preserve">Krimināllietā ir viens apsūdzētais, </w:t>
      </w:r>
      <w:r w:rsidR="002C6DAE" w:rsidRPr="00E26E2A">
        <w:rPr>
          <w:rFonts w:asciiTheme="majorBidi" w:eastAsiaTheme="minorHAnsi" w:hAnsiTheme="majorBidi" w:cstheme="majorBidi"/>
        </w:rPr>
        <w:t>lietas iztiesāšana atlikta</w:t>
      </w:r>
      <w:r w:rsidRPr="00E26E2A">
        <w:rPr>
          <w:rFonts w:asciiTheme="majorBidi" w:eastAsiaTheme="minorHAnsi" w:hAnsiTheme="majorBidi" w:cstheme="majorBidi"/>
        </w:rPr>
        <w:t xml:space="preserve"> sakarā ar </w:t>
      </w:r>
      <w:r w:rsidR="0011761E" w:rsidRPr="00E26E2A">
        <w:rPr>
          <w:rFonts w:asciiTheme="majorBidi" w:eastAsiaTheme="minorHAnsi" w:hAnsiTheme="majorBidi" w:cstheme="majorBidi"/>
        </w:rPr>
        <w:t xml:space="preserve">liecinieces </w:t>
      </w:r>
      <w:r w:rsidR="002C6DAE" w:rsidRPr="00E26E2A">
        <w:rPr>
          <w:rFonts w:asciiTheme="majorBidi" w:eastAsiaTheme="minorHAnsi" w:hAnsiTheme="majorBidi" w:cstheme="majorBidi"/>
        </w:rPr>
        <w:t>neierašanos slimības dēļ</w:t>
      </w:r>
      <w:r w:rsidR="0011761E" w:rsidRPr="00E26E2A">
        <w:rPr>
          <w:rFonts w:asciiTheme="majorBidi" w:eastAsiaTheme="minorHAnsi" w:hAnsiTheme="majorBidi" w:cstheme="majorBidi"/>
        </w:rPr>
        <w:t xml:space="preserve">, tādēļ, ka apsūdzētais nebija </w:t>
      </w:r>
      <w:r w:rsidR="002C6DAE" w:rsidRPr="00E26E2A">
        <w:rPr>
          <w:rFonts w:asciiTheme="majorBidi" w:eastAsiaTheme="minorHAnsi" w:hAnsiTheme="majorBidi" w:cstheme="majorBidi"/>
        </w:rPr>
        <w:t>gatavs</w:t>
      </w:r>
      <w:r w:rsidR="0011761E" w:rsidRPr="00E26E2A">
        <w:rPr>
          <w:rFonts w:asciiTheme="majorBidi" w:eastAsiaTheme="minorHAnsi" w:hAnsiTheme="majorBidi" w:cstheme="majorBidi"/>
        </w:rPr>
        <w:t xml:space="preserve"> sniegt liecības,</w:t>
      </w:r>
      <w:r w:rsidR="002C6DAE" w:rsidRPr="00E26E2A">
        <w:rPr>
          <w:rFonts w:asciiTheme="majorBidi" w:eastAsiaTheme="minorHAnsi" w:hAnsiTheme="majorBidi" w:cstheme="majorBidi"/>
        </w:rPr>
        <w:t xml:space="preserve"> kā arī sakarā ar</w:t>
      </w:r>
      <w:r w:rsidR="0011761E" w:rsidRPr="00E26E2A">
        <w:rPr>
          <w:rFonts w:asciiTheme="majorBidi" w:eastAsiaTheme="minorHAnsi" w:hAnsiTheme="majorBidi" w:cstheme="majorBidi"/>
        </w:rPr>
        <w:t xml:space="preserve"> </w:t>
      </w:r>
      <w:r w:rsidR="002C6DAE" w:rsidRPr="00E26E2A">
        <w:rPr>
          <w:rFonts w:asciiTheme="majorBidi" w:eastAsiaTheme="minorHAnsi" w:hAnsiTheme="majorBidi" w:cstheme="majorBidi"/>
        </w:rPr>
        <w:t xml:space="preserve">aizstāvja un apsūdzētā pieteiktā lūguma apmierināšanu noteikt </w:t>
      </w:r>
      <w:r w:rsidR="000A5543" w:rsidRPr="00E26E2A">
        <w:rPr>
          <w:rFonts w:asciiTheme="majorBidi" w:eastAsiaTheme="minorHAnsi" w:hAnsiTheme="majorBidi" w:cstheme="majorBidi"/>
        </w:rPr>
        <w:t>[pers. A]</w:t>
      </w:r>
      <w:r w:rsidR="002C6DAE" w:rsidRPr="00E26E2A">
        <w:rPr>
          <w:rFonts w:asciiTheme="majorBidi" w:eastAsiaTheme="minorHAnsi" w:hAnsiTheme="majorBidi" w:cstheme="majorBidi"/>
        </w:rPr>
        <w:t xml:space="preserve"> komplekso tiesu psihiatrisko poligrāfa ekspertīzi un šīs ekspertīzes veikšana.</w:t>
      </w:r>
    </w:p>
    <w:p w:rsidR="002D18DD" w:rsidRPr="00E26E2A" w:rsidRDefault="00C77DF9" w:rsidP="0003390A">
      <w:pPr>
        <w:autoSpaceDE w:val="0"/>
        <w:autoSpaceDN w:val="0"/>
        <w:adjustRightInd w:val="0"/>
        <w:spacing w:line="276" w:lineRule="auto"/>
        <w:ind w:firstLine="709"/>
        <w:jc w:val="both"/>
        <w:rPr>
          <w:rFonts w:asciiTheme="majorBidi" w:eastAsiaTheme="minorHAnsi" w:hAnsiTheme="majorBidi" w:cstheme="majorBidi"/>
        </w:rPr>
      </w:pPr>
      <w:r w:rsidRPr="00E26E2A">
        <w:rPr>
          <w:rFonts w:asciiTheme="majorBidi" w:eastAsiaTheme="minorHAnsi" w:hAnsiTheme="majorBidi" w:cstheme="majorBidi"/>
        </w:rPr>
        <w:t xml:space="preserve"> </w:t>
      </w:r>
      <w:r w:rsidR="00A974E6" w:rsidRPr="00E26E2A">
        <w:rPr>
          <w:rFonts w:asciiTheme="majorBidi" w:eastAsiaTheme="minorHAnsi" w:hAnsiTheme="majorBidi" w:cstheme="majorBidi"/>
        </w:rPr>
        <w:t>[</w:t>
      </w:r>
      <w:r w:rsidR="002C6DAE" w:rsidRPr="00E26E2A">
        <w:rPr>
          <w:rFonts w:asciiTheme="majorBidi" w:eastAsiaTheme="minorHAnsi" w:hAnsiTheme="majorBidi" w:cstheme="majorBidi"/>
        </w:rPr>
        <w:t>14.</w:t>
      </w:r>
      <w:r w:rsidR="00B15ADD" w:rsidRPr="00E26E2A">
        <w:rPr>
          <w:rFonts w:asciiTheme="majorBidi" w:eastAsiaTheme="minorHAnsi" w:hAnsiTheme="majorBidi" w:cstheme="majorBidi"/>
        </w:rPr>
        <w:t>3</w:t>
      </w:r>
      <w:r w:rsidR="00B7475B" w:rsidRPr="00E26E2A">
        <w:rPr>
          <w:rFonts w:asciiTheme="majorBidi" w:eastAsiaTheme="minorHAnsi" w:hAnsiTheme="majorBidi" w:cstheme="majorBidi"/>
        </w:rPr>
        <w:t xml:space="preserve">] </w:t>
      </w:r>
      <w:r w:rsidR="00A974E6" w:rsidRPr="00E26E2A">
        <w:rPr>
          <w:rFonts w:asciiTheme="majorBidi" w:eastAsiaTheme="minorHAnsi" w:hAnsiTheme="majorBidi" w:cstheme="majorBidi"/>
        </w:rPr>
        <w:t>Izvērtējot</w:t>
      </w:r>
      <w:r w:rsidR="00E53E6C" w:rsidRPr="00E26E2A">
        <w:rPr>
          <w:rFonts w:asciiTheme="majorBidi" w:eastAsiaTheme="minorHAnsi" w:hAnsiTheme="majorBidi" w:cstheme="majorBidi"/>
        </w:rPr>
        <w:t xml:space="preserve"> krimināllietas juridisko sarežģītību, </w:t>
      </w:r>
      <w:r w:rsidR="002D18DD" w:rsidRPr="00E26E2A">
        <w:rPr>
          <w:rFonts w:asciiTheme="majorBidi" w:eastAsiaTheme="minorHAnsi" w:hAnsiTheme="majorBidi" w:cstheme="majorBidi"/>
        </w:rPr>
        <w:t>konstatējams</w:t>
      </w:r>
      <w:r w:rsidR="00E53E6C" w:rsidRPr="00E26E2A">
        <w:rPr>
          <w:rFonts w:asciiTheme="majorBidi" w:eastAsiaTheme="minorHAnsi" w:hAnsiTheme="majorBidi" w:cstheme="majorBidi"/>
        </w:rPr>
        <w:t xml:space="preserve">, ka apsūdzētajam </w:t>
      </w:r>
      <w:r w:rsidR="000A5543" w:rsidRPr="00E26E2A">
        <w:rPr>
          <w:rFonts w:asciiTheme="majorBidi" w:eastAsiaTheme="minorHAnsi" w:hAnsiTheme="majorBidi" w:cstheme="majorBidi"/>
        </w:rPr>
        <w:t>[pers. </w:t>
      </w:r>
      <w:r w:rsidR="000A5543" w:rsidRPr="00E26E2A">
        <w:rPr>
          <w:rFonts w:eastAsiaTheme="minorHAnsi"/>
        </w:rPr>
        <w:t>A]</w:t>
      </w:r>
      <w:r w:rsidR="00E53E6C" w:rsidRPr="00E26E2A">
        <w:rPr>
          <w:rFonts w:asciiTheme="majorBidi" w:eastAsiaTheme="minorHAnsi" w:hAnsiTheme="majorBidi" w:cstheme="majorBidi"/>
        </w:rPr>
        <w:t xml:space="preserve"> celta apsūdzība par </w:t>
      </w:r>
      <w:r w:rsidR="002D18DD" w:rsidRPr="00E26E2A">
        <w:rPr>
          <w:rFonts w:asciiTheme="majorBidi" w:eastAsiaTheme="minorHAnsi" w:hAnsiTheme="majorBidi" w:cstheme="majorBidi"/>
        </w:rPr>
        <w:t>laikā no 2011.gada februāra līdz 2012.gada jūlijam izdarītajiem noziedzīgajiem nodarījumiem</w:t>
      </w:r>
      <w:r w:rsidR="00E53E6C" w:rsidRPr="00E26E2A">
        <w:rPr>
          <w:rFonts w:asciiTheme="majorBidi" w:eastAsiaTheme="minorHAnsi" w:hAnsiTheme="majorBidi" w:cstheme="majorBidi"/>
        </w:rPr>
        <w:t xml:space="preserve">. </w:t>
      </w:r>
      <w:r w:rsidR="002D18DD" w:rsidRPr="00E26E2A">
        <w:rPr>
          <w:rFonts w:asciiTheme="majorBidi" w:eastAsiaTheme="minorHAnsi" w:hAnsiTheme="majorBidi" w:cstheme="majorBidi"/>
        </w:rPr>
        <w:t>A</w:t>
      </w:r>
      <w:r w:rsidR="00E53E6C" w:rsidRPr="00E26E2A">
        <w:rPr>
          <w:rFonts w:asciiTheme="majorBidi" w:eastAsiaTheme="minorHAnsi" w:hAnsiTheme="majorBidi" w:cstheme="majorBidi"/>
        </w:rPr>
        <w:t xml:space="preserve">r 2014.gada 15.maija likumu </w:t>
      </w:r>
      <w:r w:rsidR="00B7475B" w:rsidRPr="00E26E2A">
        <w:rPr>
          <w:rFonts w:asciiTheme="majorBidi" w:eastAsiaTheme="minorHAnsi" w:hAnsiTheme="majorBidi" w:cstheme="majorBidi"/>
        </w:rPr>
        <w:t>„</w:t>
      </w:r>
      <w:r w:rsidR="00E53E6C" w:rsidRPr="00E26E2A">
        <w:rPr>
          <w:rFonts w:asciiTheme="majorBidi" w:eastAsiaTheme="minorHAnsi" w:hAnsiTheme="majorBidi" w:cstheme="majorBidi"/>
        </w:rPr>
        <w:t>Grozījumi Krimināllikumā”</w:t>
      </w:r>
      <w:r w:rsidR="002D18DD" w:rsidRPr="00E26E2A">
        <w:rPr>
          <w:rFonts w:asciiTheme="majorBidi" w:eastAsiaTheme="minorHAnsi" w:hAnsiTheme="majorBidi" w:cstheme="majorBidi"/>
        </w:rPr>
        <w:t>, kas stājās spēkā</w:t>
      </w:r>
      <w:r w:rsidR="00E53E6C" w:rsidRPr="00E26E2A">
        <w:rPr>
          <w:rFonts w:asciiTheme="majorBidi" w:eastAsiaTheme="minorHAnsi" w:hAnsiTheme="majorBidi" w:cstheme="majorBidi"/>
        </w:rPr>
        <w:t xml:space="preserve"> 2014.gada</w:t>
      </w:r>
      <w:r w:rsidR="002C6DAE" w:rsidRPr="00E26E2A">
        <w:rPr>
          <w:rFonts w:asciiTheme="majorBidi" w:eastAsiaTheme="minorHAnsi" w:hAnsiTheme="majorBidi" w:cstheme="majorBidi"/>
        </w:rPr>
        <w:t xml:space="preserve"> </w:t>
      </w:r>
      <w:r w:rsidR="00E53E6C" w:rsidRPr="00E26E2A">
        <w:rPr>
          <w:rFonts w:asciiTheme="majorBidi" w:eastAsiaTheme="minorHAnsi" w:hAnsiTheme="majorBidi" w:cstheme="majorBidi"/>
        </w:rPr>
        <w:t>14.jūnijā</w:t>
      </w:r>
      <w:r w:rsidR="002D18DD" w:rsidRPr="00E26E2A">
        <w:rPr>
          <w:rFonts w:asciiTheme="majorBidi" w:eastAsiaTheme="minorHAnsi" w:hAnsiTheme="majorBidi" w:cstheme="majorBidi"/>
        </w:rPr>
        <w:t xml:space="preserve"> Krimināllikuma 160. un 162.pantā</w:t>
      </w:r>
      <w:r w:rsidR="00E53E6C" w:rsidRPr="00E26E2A">
        <w:rPr>
          <w:rFonts w:asciiTheme="majorBidi" w:eastAsiaTheme="minorHAnsi" w:hAnsiTheme="majorBidi" w:cstheme="majorBidi"/>
        </w:rPr>
        <w:t xml:space="preserve"> </w:t>
      </w:r>
      <w:r w:rsidR="004D6EFE" w:rsidRPr="00E26E2A">
        <w:rPr>
          <w:rFonts w:asciiTheme="majorBidi" w:eastAsiaTheme="minorHAnsi" w:hAnsiTheme="majorBidi" w:cstheme="majorBidi"/>
        </w:rPr>
        <w:t xml:space="preserve">veikti grozījumi. </w:t>
      </w:r>
      <w:r w:rsidR="002D18DD" w:rsidRPr="00E26E2A">
        <w:rPr>
          <w:rFonts w:asciiTheme="majorBidi" w:eastAsiaTheme="minorHAnsi" w:hAnsiTheme="majorBidi" w:cstheme="majorBidi"/>
        </w:rPr>
        <w:t>Vienlaikus ar grozījumiem</w:t>
      </w:r>
      <w:r w:rsidR="00E53E6C" w:rsidRPr="00E26E2A">
        <w:rPr>
          <w:rFonts w:asciiTheme="majorBidi" w:eastAsiaTheme="minorHAnsi" w:hAnsiTheme="majorBidi" w:cstheme="majorBidi"/>
        </w:rPr>
        <w:t xml:space="preserve"> Krimināllikumā </w:t>
      </w:r>
      <w:r w:rsidR="002D18DD" w:rsidRPr="00E26E2A">
        <w:rPr>
          <w:rFonts w:asciiTheme="majorBidi" w:eastAsiaTheme="minorHAnsi" w:hAnsiTheme="majorBidi" w:cstheme="majorBidi"/>
        </w:rPr>
        <w:t xml:space="preserve">likumdevējs </w:t>
      </w:r>
      <w:r w:rsidR="00B7475B" w:rsidRPr="00E26E2A">
        <w:rPr>
          <w:rFonts w:asciiTheme="majorBidi" w:eastAsiaTheme="minorHAnsi" w:hAnsiTheme="majorBidi" w:cstheme="majorBidi"/>
        </w:rPr>
        <w:t xml:space="preserve">pieņēmis </w:t>
      </w:r>
      <w:r w:rsidR="00E53E6C" w:rsidRPr="00E26E2A">
        <w:rPr>
          <w:rFonts w:asciiTheme="majorBidi" w:eastAsiaTheme="minorHAnsi" w:hAnsiTheme="majorBidi" w:cstheme="majorBidi"/>
        </w:rPr>
        <w:t xml:space="preserve">arī pārejas noteikumus. </w:t>
      </w:r>
    </w:p>
    <w:p w:rsidR="00CD6BB4" w:rsidRPr="00E26E2A" w:rsidRDefault="002D18DD" w:rsidP="0003390A">
      <w:pPr>
        <w:autoSpaceDE w:val="0"/>
        <w:autoSpaceDN w:val="0"/>
        <w:adjustRightInd w:val="0"/>
        <w:spacing w:line="276" w:lineRule="auto"/>
        <w:ind w:firstLine="709"/>
        <w:jc w:val="both"/>
        <w:rPr>
          <w:rFonts w:asciiTheme="majorBidi" w:eastAsiaTheme="minorHAnsi" w:hAnsiTheme="majorBidi" w:cstheme="majorBidi"/>
        </w:rPr>
      </w:pPr>
      <w:r w:rsidRPr="00E26E2A">
        <w:rPr>
          <w:rFonts w:asciiTheme="majorBidi" w:eastAsiaTheme="minorHAnsi" w:hAnsiTheme="majorBidi" w:cstheme="majorBidi"/>
        </w:rPr>
        <w:t xml:space="preserve">Pirmās instances tiesa spriedumu šajā lietā taisījusi 2016.gada </w:t>
      </w:r>
      <w:r w:rsidR="00E26E2A" w:rsidRPr="00E26E2A">
        <w:rPr>
          <w:rFonts w:asciiTheme="majorBidi" w:eastAsiaTheme="minorHAnsi" w:hAnsiTheme="majorBidi" w:cstheme="majorBidi"/>
        </w:rPr>
        <w:t>[..]</w:t>
      </w:r>
      <w:r w:rsidRPr="00E26E2A">
        <w:rPr>
          <w:rFonts w:asciiTheme="majorBidi" w:eastAsiaTheme="minorHAnsi" w:hAnsiTheme="majorBidi" w:cstheme="majorBidi"/>
        </w:rPr>
        <w:t xml:space="preserve">, savukārt apelācijas instances tiesas nolēmumi pieņemti attiecīgi 2017.gada </w:t>
      </w:r>
      <w:r w:rsidR="00E26E2A" w:rsidRPr="00E26E2A">
        <w:rPr>
          <w:rFonts w:asciiTheme="majorBidi" w:eastAsiaTheme="minorHAnsi" w:hAnsiTheme="majorBidi" w:cstheme="majorBidi"/>
        </w:rPr>
        <w:t>[..]</w:t>
      </w:r>
      <w:r w:rsidRPr="00E26E2A">
        <w:rPr>
          <w:rFonts w:asciiTheme="majorBidi" w:eastAsiaTheme="minorHAnsi" w:hAnsiTheme="majorBidi" w:cstheme="majorBidi"/>
        </w:rPr>
        <w:t xml:space="preserve"> un 2017.gada </w:t>
      </w:r>
      <w:r w:rsidR="00E26E2A" w:rsidRPr="00E26E2A">
        <w:rPr>
          <w:rFonts w:asciiTheme="majorBidi" w:eastAsiaTheme="minorHAnsi" w:hAnsiTheme="majorBidi" w:cstheme="majorBidi"/>
        </w:rPr>
        <w:t>[..]</w:t>
      </w:r>
      <w:r w:rsidRPr="00E26E2A">
        <w:rPr>
          <w:rFonts w:asciiTheme="majorBidi" w:eastAsiaTheme="minorHAnsi" w:hAnsiTheme="majorBidi" w:cstheme="majorBidi"/>
        </w:rPr>
        <w:t>, kad jau bija izveidojusies judikatūra grozīto likuma normu piemērošanā.</w:t>
      </w:r>
    </w:p>
    <w:p w:rsidR="002D18DD" w:rsidRPr="00E26E2A" w:rsidRDefault="00CD6BB4" w:rsidP="0003390A">
      <w:pPr>
        <w:autoSpaceDE w:val="0"/>
        <w:autoSpaceDN w:val="0"/>
        <w:adjustRightInd w:val="0"/>
        <w:spacing w:line="276" w:lineRule="auto"/>
        <w:ind w:firstLine="709"/>
        <w:jc w:val="both"/>
        <w:rPr>
          <w:rFonts w:asciiTheme="majorBidi" w:eastAsiaTheme="minorHAnsi" w:hAnsiTheme="majorBidi" w:cstheme="majorBidi"/>
        </w:rPr>
      </w:pPr>
      <w:r w:rsidRPr="00E26E2A">
        <w:rPr>
          <w:rFonts w:asciiTheme="majorBidi" w:eastAsiaTheme="minorHAnsi" w:hAnsiTheme="majorBidi" w:cstheme="majorBidi"/>
        </w:rPr>
        <w:t xml:space="preserve">No </w:t>
      </w:r>
      <w:r w:rsidR="004D6EFE" w:rsidRPr="00E26E2A">
        <w:rPr>
          <w:rFonts w:asciiTheme="majorBidi" w:eastAsiaTheme="minorHAnsi" w:hAnsiTheme="majorBidi" w:cstheme="majorBidi"/>
        </w:rPr>
        <w:t>krimināl</w:t>
      </w:r>
      <w:r w:rsidRPr="00E26E2A">
        <w:rPr>
          <w:rFonts w:asciiTheme="majorBidi" w:eastAsiaTheme="minorHAnsi" w:hAnsiTheme="majorBidi" w:cstheme="majorBidi"/>
        </w:rPr>
        <w:t xml:space="preserve">lietas materiāliem konstatējams, ka </w:t>
      </w:r>
      <w:r w:rsidR="002D18DD" w:rsidRPr="00E26E2A">
        <w:rPr>
          <w:rFonts w:asciiTheme="majorBidi" w:eastAsiaTheme="minorHAnsi" w:hAnsiTheme="majorBidi" w:cstheme="majorBidi"/>
        </w:rPr>
        <w:t>kasācijas instances tiesa atkārtoti atcēlusi apelācijas instances tiesas nolēmumus un nosūtījusi lietu jaunai izskatīšanai apelācijas instances tiesā.</w:t>
      </w:r>
    </w:p>
    <w:p w:rsidR="002D18DD" w:rsidRPr="00E26E2A" w:rsidRDefault="002D18DD" w:rsidP="0003390A">
      <w:pPr>
        <w:autoSpaceDE w:val="0"/>
        <w:autoSpaceDN w:val="0"/>
        <w:adjustRightInd w:val="0"/>
        <w:spacing w:line="276" w:lineRule="auto"/>
        <w:ind w:firstLine="709"/>
        <w:jc w:val="both"/>
        <w:rPr>
          <w:rFonts w:asciiTheme="majorBidi" w:eastAsiaTheme="minorHAnsi" w:hAnsiTheme="majorBidi" w:cstheme="majorBidi"/>
        </w:rPr>
      </w:pPr>
      <w:r w:rsidRPr="00E26E2A">
        <w:rPr>
          <w:rFonts w:asciiTheme="majorBidi" w:eastAsiaTheme="minorHAnsi" w:hAnsiTheme="majorBidi" w:cstheme="majorBidi"/>
        </w:rPr>
        <w:t xml:space="preserve">Izskatot lietu kasācijas instances tiesā pirmo reizi </w:t>
      </w:r>
      <w:r w:rsidR="004D6EFE" w:rsidRPr="00E26E2A">
        <w:rPr>
          <w:rFonts w:asciiTheme="majorBidi" w:eastAsiaTheme="minorHAnsi" w:hAnsiTheme="majorBidi" w:cstheme="majorBidi"/>
        </w:rPr>
        <w:t>20</w:t>
      </w:r>
      <w:r w:rsidR="00E5753F" w:rsidRPr="00E26E2A">
        <w:rPr>
          <w:rFonts w:asciiTheme="majorBidi" w:eastAsiaTheme="minorHAnsi" w:hAnsiTheme="majorBidi" w:cstheme="majorBidi"/>
        </w:rPr>
        <w:t>1</w:t>
      </w:r>
      <w:r w:rsidR="004E4E50" w:rsidRPr="00E26E2A">
        <w:rPr>
          <w:rFonts w:asciiTheme="majorBidi" w:eastAsiaTheme="minorHAnsi" w:hAnsiTheme="majorBidi" w:cstheme="majorBidi"/>
        </w:rPr>
        <w:t>7</w:t>
      </w:r>
      <w:r w:rsidR="00E5753F" w:rsidRPr="00E26E2A">
        <w:rPr>
          <w:rFonts w:asciiTheme="majorBidi" w:eastAsiaTheme="minorHAnsi" w:hAnsiTheme="majorBidi" w:cstheme="majorBidi"/>
        </w:rPr>
        <w:t>.gada</w:t>
      </w:r>
      <w:r w:rsidR="004E4E50" w:rsidRPr="00E26E2A">
        <w:rPr>
          <w:rFonts w:asciiTheme="majorBidi" w:eastAsiaTheme="minorHAnsi" w:hAnsiTheme="majorBidi" w:cstheme="majorBidi"/>
        </w:rPr>
        <w:t xml:space="preserve"> </w:t>
      </w:r>
      <w:r w:rsidR="00E26E2A" w:rsidRPr="00E26E2A">
        <w:rPr>
          <w:rFonts w:asciiTheme="majorBidi" w:eastAsiaTheme="minorHAnsi" w:hAnsiTheme="majorBidi" w:cstheme="majorBidi"/>
        </w:rPr>
        <w:t>[..]</w:t>
      </w:r>
      <w:r w:rsidR="004D6EFE" w:rsidRPr="00E26E2A">
        <w:rPr>
          <w:rFonts w:asciiTheme="majorBidi" w:eastAsiaTheme="minorHAnsi" w:hAnsiTheme="majorBidi" w:cstheme="majorBidi"/>
        </w:rPr>
        <w:t xml:space="preserve"> </w:t>
      </w:r>
      <w:r w:rsidRPr="00E26E2A">
        <w:rPr>
          <w:rFonts w:asciiTheme="majorBidi" w:eastAsiaTheme="minorHAnsi" w:hAnsiTheme="majorBidi" w:cstheme="majorBidi"/>
        </w:rPr>
        <w:t xml:space="preserve">sakarā ar apsūdzētā aizstāvja kasācijas sūdzību, kasācijas instances tiesa, konstatējot nepareizu likuma piemērošanu, atbilstoši Kriminālprocesa likuma 584.panta otrajā daļā noteiktajam pārsniedza kasācijas sūdzībā izteikto prasību apjomu un ietvarus un attiecīgajā daļā atcēla apelācijas instances tiesas nolēmumu. Kasācijas instances tiesa atzina, ka apelācijas instances tiesa </w:t>
      </w:r>
      <w:r w:rsidR="000A5543" w:rsidRPr="00E26E2A">
        <w:rPr>
          <w:rFonts w:asciiTheme="majorBidi" w:eastAsiaTheme="minorHAnsi" w:hAnsiTheme="majorBidi" w:cstheme="majorBidi"/>
        </w:rPr>
        <w:t>[pers. A]</w:t>
      </w:r>
      <w:r w:rsidRPr="00E26E2A">
        <w:rPr>
          <w:rFonts w:asciiTheme="majorBidi" w:eastAsiaTheme="minorHAnsi" w:hAnsiTheme="majorBidi" w:cstheme="majorBidi"/>
        </w:rPr>
        <w:t xml:space="preserve"> inkriminētā noziedzīgā nodarījuma aprakstā iekļāvusi papildu pazīmes, kāds nebija paredzētas likumā viņam inkriminētā noziedzīgā nodarījuma izdarīšanas laikā. Savukārt </w:t>
      </w:r>
      <w:r w:rsidR="004D6EFE" w:rsidRPr="00E26E2A">
        <w:rPr>
          <w:rFonts w:asciiTheme="majorBidi" w:eastAsiaTheme="minorHAnsi" w:hAnsiTheme="majorBidi" w:cstheme="majorBidi"/>
        </w:rPr>
        <w:t>20</w:t>
      </w:r>
      <w:r w:rsidR="004E4E50" w:rsidRPr="00E26E2A">
        <w:rPr>
          <w:rFonts w:asciiTheme="majorBidi" w:eastAsiaTheme="minorHAnsi" w:hAnsiTheme="majorBidi" w:cstheme="majorBidi"/>
        </w:rPr>
        <w:t>18</w:t>
      </w:r>
      <w:r w:rsidR="004D6EFE" w:rsidRPr="00E26E2A">
        <w:rPr>
          <w:rFonts w:asciiTheme="majorBidi" w:eastAsiaTheme="minorHAnsi" w:hAnsiTheme="majorBidi" w:cstheme="majorBidi"/>
        </w:rPr>
        <w:t>.gada</w:t>
      </w:r>
      <w:r w:rsidR="004E4E50" w:rsidRPr="00E26E2A">
        <w:rPr>
          <w:rFonts w:asciiTheme="majorBidi" w:eastAsiaTheme="minorHAnsi" w:hAnsiTheme="majorBidi" w:cstheme="majorBidi"/>
        </w:rPr>
        <w:t xml:space="preserve"> </w:t>
      </w:r>
      <w:r w:rsidR="00E26E2A" w:rsidRPr="00E26E2A">
        <w:rPr>
          <w:rFonts w:asciiTheme="majorBidi" w:eastAsiaTheme="minorHAnsi" w:hAnsiTheme="majorBidi" w:cstheme="majorBidi"/>
        </w:rPr>
        <w:t>[..]</w:t>
      </w:r>
      <w:r w:rsidR="004D6EFE" w:rsidRPr="00E26E2A">
        <w:rPr>
          <w:rFonts w:asciiTheme="majorBidi" w:eastAsiaTheme="minorHAnsi" w:hAnsiTheme="majorBidi" w:cstheme="majorBidi"/>
        </w:rPr>
        <w:t xml:space="preserve"> </w:t>
      </w:r>
      <w:r w:rsidRPr="00E26E2A">
        <w:rPr>
          <w:rFonts w:asciiTheme="majorBidi" w:eastAsiaTheme="minorHAnsi" w:hAnsiTheme="majorBidi" w:cstheme="majorBidi"/>
        </w:rPr>
        <w:t xml:space="preserve">atkārtoti izskatot lietu sakarā ar apsūdzētā </w:t>
      </w:r>
      <w:r w:rsidR="000A5543" w:rsidRPr="00E26E2A">
        <w:rPr>
          <w:rFonts w:asciiTheme="majorBidi" w:eastAsiaTheme="minorHAnsi" w:hAnsiTheme="majorBidi" w:cstheme="majorBidi"/>
        </w:rPr>
        <w:t>[pers.</w:t>
      </w:r>
      <w:r w:rsidR="007776F4" w:rsidRPr="00E26E2A">
        <w:rPr>
          <w:rFonts w:asciiTheme="majorBidi" w:eastAsiaTheme="minorHAnsi" w:hAnsiTheme="majorBidi" w:cstheme="majorBidi"/>
        </w:rPr>
        <w:t> </w:t>
      </w:r>
      <w:r w:rsidR="000A5543" w:rsidRPr="00E26E2A">
        <w:rPr>
          <w:rFonts w:eastAsiaTheme="minorHAnsi"/>
        </w:rPr>
        <w:t>A]</w:t>
      </w:r>
      <w:r w:rsidRPr="00E26E2A">
        <w:rPr>
          <w:rFonts w:asciiTheme="majorBidi" w:eastAsiaTheme="minorHAnsi" w:hAnsiTheme="majorBidi" w:cstheme="majorBidi"/>
        </w:rPr>
        <w:t xml:space="preserve"> aizstāves kasācijas sūdzību, kasācijas instances tiesa konstatēja, ka </w:t>
      </w:r>
      <w:r w:rsidR="004E4E50" w:rsidRPr="00E26E2A">
        <w:rPr>
          <w:rFonts w:asciiTheme="majorBidi" w:eastAsiaTheme="minorHAnsi" w:hAnsiTheme="majorBidi" w:cstheme="majorBidi"/>
        </w:rPr>
        <w:t>krimināllietā taisīts pretrunīgs spriedums</w:t>
      </w:r>
      <w:r w:rsidRPr="00E26E2A">
        <w:rPr>
          <w:rFonts w:asciiTheme="majorBidi" w:eastAsiaTheme="minorHAnsi" w:hAnsiTheme="majorBidi" w:cstheme="majorBidi"/>
        </w:rPr>
        <w:t xml:space="preserve">. Proti, sprieduma motīvu daļā sniedzot jaunu noziedzīgā nodarījuma aprakstu, tā rezolutīvajā daļā </w:t>
      </w:r>
      <w:r w:rsidR="004E4E50" w:rsidRPr="00E26E2A">
        <w:rPr>
          <w:rFonts w:asciiTheme="majorBidi" w:eastAsiaTheme="minorHAnsi" w:hAnsiTheme="majorBidi" w:cstheme="majorBidi"/>
        </w:rPr>
        <w:t xml:space="preserve">apelācijas instances tiesa </w:t>
      </w:r>
      <w:r w:rsidRPr="00E26E2A">
        <w:rPr>
          <w:rFonts w:asciiTheme="majorBidi" w:eastAsiaTheme="minorHAnsi" w:hAnsiTheme="majorBidi" w:cstheme="majorBidi"/>
        </w:rPr>
        <w:t xml:space="preserve">norādījusi, ka </w:t>
      </w:r>
      <w:r w:rsidR="004D6EFE" w:rsidRPr="00E26E2A">
        <w:rPr>
          <w:rFonts w:asciiTheme="majorBidi" w:eastAsiaTheme="minorHAnsi" w:hAnsiTheme="majorBidi" w:cstheme="majorBidi"/>
        </w:rPr>
        <w:t>atceltajā</w:t>
      </w:r>
      <w:r w:rsidRPr="00E26E2A">
        <w:rPr>
          <w:rFonts w:asciiTheme="majorBidi" w:eastAsiaTheme="minorHAnsi" w:hAnsiTheme="majorBidi" w:cstheme="majorBidi"/>
        </w:rPr>
        <w:t xml:space="preserve"> daļā </w:t>
      </w:r>
      <w:r w:rsidR="004D6EFE" w:rsidRPr="00E26E2A">
        <w:rPr>
          <w:rFonts w:asciiTheme="majorBidi" w:eastAsiaTheme="minorHAnsi" w:hAnsiTheme="majorBidi" w:cstheme="majorBidi"/>
        </w:rPr>
        <w:t>pirmās instances tiesas spriedums atstājams</w:t>
      </w:r>
      <w:r w:rsidRPr="00E26E2A">
        <w:rPr>
          <w:rFonts w:asciiTheme="majorBidi" w:eastAsiaTheme="minorHAnsi" w:hAnsiTheme="majorBidi" w:cstheme="majorBidi"/>
        </w:rPr>
        <w:t xml:space="preserve"> negrozīts.</w:t>
      </w:r>
    </w:p>
    <w:p w:rsidR="00603511" w:rsidRPr="00E26E2A" w:rsidRDefault="002C6DAE" w:rsidP="0003390A">
      <w:pPr>
        <w:autoSpaceDE w:val="0"/>
        <w:autoSpaceDN w:val="0"/>
        <w:adjustRightInd w:val="0"/>
        <w:spacing w:line="276" w:lineRule="auto"/>
        <w:ind w:firstLine="709"/>
        <w:jc w:val="both"/>
        <w:rPr>
          <w:rFonts w:asciiTheme="majorBidi" w:eastAsiaTheme="minorHAnsi" w:hAnsiTheme="majorBidi" w:cstheme="majorBidi"/>
        </w:rPr>
      </w:pPr>
      <w:r w:rsidRPr="00E26E2A">
        <w:rPr>
          <w:rFonts w:asciiTheme="majorBidi" w:eastAsiaTheme="minorHAnsi" w:hAnsiTheme="majorBidi" w:cstheme="majorBidi"/>
        </w:rPr>
        <w:t>Kā jau iepriekš šajā lēmumā norādīts, p</w:t>
      </w:r>
      <w:r w:rsidR="00E53E6C" w:rsidRPr="00E26E2A">
        <w:rPr>
          <w:rFonts w:asciiTheme="majorBidi" w:eastAsiaTheme="minorHAnsi" w:hAnsiTheme="majorBidi" w:cstheme="majorBidi"/>
        </w:rPr>
        <w:t xml:space="preserve">irmās instances tiesa spriedumu šajā lietā taisījusi 2016.gada </w:t>
      </w:r>
      <w:r w:rsidR="00E26E2A" w:rsidRPr="00E26E2A">
        <w:rPr>
          <w:rFonts w:asciiTheme="majorBidi" w:eastAsiaTheme="minorHAnsi" w:hAnsiTheme="majorBidi" w:cstheme="majorBidi"/>
        </w:rPr>
        <w:t>[..]</w:t>
      </w:r>
      <w:r w:rsidR="00E53E6C" w:rsidRPr="00E26E2A">
        <w:rPr>
          <w:rFonts w:asciiTheme="majorBidi" w:eastAsiaTheme="minorHAnsi" w:hAnsiTheme="majorBidi" w:cstheme="majorBidi"/>
        </w:rPr>
        <w:t xml:space="preserve">, savukārt apelācijas instances tiesas nolēmumi pieņemti attiecīgi 2017.gada </w:t>
      </w:r>
      <w:r w:rsidR="00E26E2A" w:rsidRPr="00E26E2A">
        <w:rPr>
          <w:rFonts w:asciiTheme="majorBidi" w:eastAsiaTheme="minorHAnsi" w:hAnsiTheme="majorBidi" w:cstheme="majorBidi"/>
        </w:rPr>
        <w:t>[..]</w:t>
      </w:r>
      <w:r w:rsidR="00E53E6C" w:rsidRPr="00E26E2A">
        <w:rPr>
          <w:rFonts w:asciiTheme="majorBidi" w:eastAsiaTheme="minorHAnsi" w:hAnsiTheme="majorBidi" w:cstheme="majorBidi"/>
        </w:rPr>
        <w:t xml:space="preserve"> un 2017.gada </w:t>
      </w:r>
      <w:r w:rsidR="00E26E2A" w:rsidRPr="00E26E2A">
        <w:rPr>
          <w:rFonts w:asciiTheme="majorBidi" w:eastAsiaTheme="minorHAnsi" w:hAnsiTheme="majorBidi" w:cstheme="majorBidi"/>
        </w:rPr>
        <w:t>[..]</w:t>
      </w:r>
      <w:r w:rsidR="00E53E6C" w:rsidRPr="00E26E2A">
        <w:rPr>
          <w:rFonts w:asciiTheme="majorBidi" w:eastAsiaTheme="minorHAnsi" w:hAnsiTheme="majorBidi" w:cstheme="majorBidi"/>
        </w:rPr>
        <w:t>, kad jau bija izveidojusies judikatūra grozīto likuma</w:t>
      </w:r>
      <w:r w:rsidR="0089789D" w:rsidRPr="00E26E2A">
        <w:rPr>
          <w:rFonts w:asciiTheme="majorBidi" w:eastAsiaTheme="minorHAnsi" w:hAnsiTheme="majorBidi" w:cstheme="majorBidi"/>
        </w:rPr>
        <w:t xml:space="preserve"> </w:t>
      </w:r>
      <w:r w:rsidR="00E53E6C" w:rsidRPr="00E26E2A">
        <w:rPr>
          <w:rFonts w:asciiTheme="majorBidi" w:eastAsiaTheme="minorHAnsi" w:hAnsiTheme="majorBidi" w:cstheme="majorBidi"/>
        </w:rPr>
        <w:t>normu piemērošanā</w:t>
      </w:r>
      <w:r w:rsidR="004E4E50" w:rsidRPr="00E26E2A">
        <w:rPr>
          <w:rFonts w:asciiTheme="majorBidi" w:eastAsiaTheme="minorHAnsi" w:hAnsiTheme="majorBidi" w:cstheme="majorBidi"/>
        </w:rPr>
        <w:t xml:space="preserve">, turklāt kasācijas instances tiesas nolēmumi pieņemti 2017.gada </w:t>
      </w:r>
      <w:r w:rsidR="00E26E2A" w:rsidRPr="00E26E2A">
        <w:rPr>
          <w:rFonts w:asciiTheme="majorBidi" w:eastAsiaTheme="minorHAnsi" w:hAnsiTheme="majorBidi" w:cstheme="majorBidi"/>
        </w:rPr>
        <w:t>[..]</w:t>
      </w:r>
      <w:r w:rsidR="004E4E50" w:rsidRPr="00E26E2A">
        <w:rPr>
          <w:rFonts w:asciiTheme="majorBidi" w:eastAsiaTheme="minorHAnsi" w:hAnsiTheme="majorBidi" w:cstheme="majorBidi"/>
        </w:rPr>
        <w:t xml:space="preserve"> un 2018.gada </w:t>
      </w:r>
      <w:r w:rsidR="00E26E2A" w:rsidRPr="00E26E2A">
        <w:rPr>
          <w:rFonts w:asciiTheme="majorBidi" w:eastAsiaTheme="minorHAnsi" w:hAnsiTheme="majorBidi" w:cstheme="majorBidi"/>
        </w:rPr>
        <w:t>[..]</w:t>
      </w:r>
      <w:r w:rsidR="004E4E50" w:rsidRPr="00E26E2A">
        <w:rPr>
          <w:rFonts w:asciiTheme="majorBidi" w:eastAsiaTheme="minorHAnsi" w:hAnsiTheme="majorBidi" w:cstheme="majorBidi"/>
        </w:rPr>
        <w:t xml:space="preserve"> un tajos norādīts uz apelācijas instances tiesas pieļauto Krimināllikuma normu pārkāpumu un Kriminālprocesa likuma normu būtisku pārkāpumu, kas novēršami atkārtoti izskatot krimināllietu</w:t>
      </w:r>
      <w:r w:rsidR="0089789D" w:rsidRPr="00E26E2A">
        <w:rPr>
          <w:rFonts w:asciiTheme="majorBidi" w:eastAsiaTheme="minorHAnsi" w:hAnsiTheme="majorBidi" w:cstheme="majorBidi"/>
        </w:rPr>
        <w:t>.</w:t>
      </w:r>
    </w:p>
    <w:p w:rsidR="00D8562E" w:rsidRPr="00E26E2A" w:rsidRDefault="00D8562E" w:rsidP="0003390A">
      <w:pPr>
        <w:autoSpaceDE w:val="0"/>
        <w:autoSpaceDN w:val="0"/>
        <w:adjustRightInd w:val="0"/>
        <w:spacing w:line="276" w:lineRule="auto"/>
        <w:ind w:firstLine="709"/>
        <w:jc w:val="both"/>
        <w:rPr>
          <w:rFonts w:asciiTheme="majorBidi" w:eastAsiaTheme="minorHAnsi" w:hAnsiTheme="majorBidi" w:cstheme="majorBidi"/>
        </w:rPr>
      </w:pPr>
      <w:r w:rsidRPr="00E26E2A">
        <w:rPr>
          <w:rFonts w:asciiTheme="majorBidi" w:eastAsiaTheme="minorHAnsi" w:hAnsiTheme="majorBidi" w:cstheme="majorBidi"/>
        </w:rPr>
        <w:t xml:space="preserve">Līdz ar to kasācijas instances tiesa piekrīt apsūdzētā </w:t>
      </w:r>
      <w:r w:rsidR="000A5543" w:rsidRPr="00E26E2A">
        <w:rPr>
          <w:rFonts w:asciiTheme="majorBidi" w:eastAsiaTheme="minorHAnsi" w:hAnsiTheme="majorBidi" w:cstheme="majorBidi"/>
        </w:rPr>
        <w:t>[pers. A]</w:t>
      </w:r>
      <w:r w:rsidRPr="00E26E2A">
        <w:rPr>
          <w:rFonts w:asciiTheme="majorBidi" w:eastAsiaTheme="minorHAnsi" w:hAnsiTheme="majorBidi" w:cstheme="majorBidi"/>
        </w:rPr>
        <w:t xml:space="preserve"> aizstāves kasācijas sūdzībā izteiktajam viedoklim, ka apelācijas instances tiesu rīcības rezultātā, kas nebija atkarīgi no apsūdzētā </w:t>
      </w:r>
      <w:r w:rsidR="000A5543" w:rsidRPr="00E26E2A">
        <w:rPr>
          <w:rFonts w:asciiTheme="majorBidi" w:eastAsiaTheme="minorHAnsi" w:hAnsiTheme="majorBidi" w:cstheme="majorBidi"/>
        </w:rPr>
        <w:t>[pers. A]</w:t>
      </w:r>
      <w:r w:rsidRPr="00E26E2A">
        <w:rPr>
          <w:rFonts w:asciiTheme="majorBidi" w:eastAsiaTheme="minorHAnsi" w:hAnsiTheme="majorBidi" w:cstheme="majorBidi"/>
        </w:rPr>
        <w:t xml:space="preserve">, lietas izskatīšana tikusi novilcināta. </w:t>
      </w:r>
    </w:p>
    <w:p w:rsidR="008747CB" w:rsidRPr="00E26E2A" w:rsidRDefault="00D8562E" w:rsidP="0003390A">
      <w:pPr>
        <w:spacing w:line="276" w:lineRule="auto"/>
        <w:ind w:firstLine="709"/>
        <w:jc w:val="both"/>
        <w:rPr>
          <w:rFonts w:asciiTheme="majorBidi" w:eastAsiaTheme="minorHAnsi" w:hAnsiTheme="majorBidi" w:cstheme="majorBidi"/>
        </w:rPr>
      </w:pPr>
      <w:r w:rsidRPr="00E26E2A">
        <w:rPr>
          <w:rFonts w:asciiTheme="majorBidi" w:eastAsiaTheme="minorHAnsi" w:hAnsiTheme="majorBidi" w:cstheme="majorBidi"/>
        </w:rPr>
        <w:t>Kasācijas instances tiesa konstatē, ka laika periods, kad lieta atkārtoti iztiesāta apelācijas instances tiesā, ir gads un pieci mēneši.</w:t>
      </w:r>
      <w:r w:rsidR="0035584F" w:rsidRPr="00E26E2A">
        <w:rPr>
          <w:rFonts w:asciiTheme="majorBidi" w:eastAsiaTheme="minorHAnsi" w:hAnsiTheme="majorBidi" w:cstheme="majorBidi"/>
        </w:rPr>
        <w:t xml:space="preserve"> </w:t>
      </w:r>
      <w:r w:rsidR="00385B53" w:rsidRPr="00E26E2A">
        <w:rPr>
          <w:rFonts w:asciiTheme="majorBidi" w:eastAsiaTheme="minorHAnsi" w:hAnsiTheme="majorBidi" w:cstheme="majorBidi"/>
        </w:rPr>
        <w:t>T</w:t>
      </w:r>
      <w:r w:rsidR="0098250B" w:rsidRPr="00E26E2A">
        <w:rPr>
          <w:rFonts w:asciiTheme="majorBidi" w:eastAsiaTheme="minorHAnsi" w:hAnsiTheme="majorBidi" w:cstheme="majorBidi"/>
        </w:rPr>
        <w:t>ādējādi nav ievērots arī</w:t>
      </w:r>
      <w:r w:rsidR="008747CB" w:rsidRPr="00E26E2A">
        <w:rPr>
          <w:rFonts w:asciiTheme="majorBidi" w:eastAsiaTheme="minorHAnsi" w:hAnsiTheme="majorBidi" w:cstheme="majorBidi"/>
        </w:rPr>
        <w:t xml:space="preserve"> </w:t>
      </w:r>
      <w:r w:rsidR="00EF1CB1" w:rsidRPr="00E26E2A">
        <w:rPr>
          <w:rFonts w:asciiTheme="majorBidi" w:eastAsiaTheme="minorHAnsi" w:hAnsiTheme="majorBidi" w:cstheme="majorBidi"/>
        </w:rPr>
        <w:t xml:space="preserve">Kriminālprocesa likuma 14.panta ceturtajā daļā noteiktais, ka kriminālprocesam par noziedzīgu nodarījumu, kas saistīts </w:t>
      </w:r>
      <w:r w:rsidR="00EF1CB1" w:rsidRPr="00E26E2A">
        <w:rPr>
          <w:rFonts w:asciiTheme="majorBidi" w:eastAsiaTheme="minorHAnsi" w:hAnsiTheme="majorBidi" w:cstheme="majorBidi"/>
        </w:rPr>
        <w:lastRenderedPageBreak/>
        <w:t xml:space="preserve">ar vardarbību, ko nodarījusi persona, no kuras nepilngadīgais cietušais ir materiāli vai citādi atkarīgs, vai par noziedzīgu nodarījumu pret tikumību vai dzimumneaizskaramību, kurā cietušais ir nepilngadīgs, saprātīga termiņa nodrošināšanā ir priekšrocība salīdzinājumā ar līdzīgiem kriminālprocesiem, kurās cietušie ir pilngadīgas personas. </w:t>
      </w:r>
    </w:p>
    <w:p w:rsidR="008747CB" w:rsidRPr="00E26E2A" w:rsidRDefault="00E61619" w:rsidP="0003390A">
      <w:pPr>
        <w:spacing w:line="276" w:lineRule="auto"/>
        <w:ind w:firstLine="709"/>
        <w:jc w:val="both"/>
      </w:pPr>
      <w:r w:rsidRPr="00E26E2A">
        <w:rPr>
          <w:rFonts w:asciiTheme="majorBidi" w:eastAsiaTheme="minorHAnsi" w:hAnsiTheme="majorBidi" w:cstheme="majorBidi"/>
        </w:rPr>
        <w:t xml:space="preserve">Līdz ar to kasācijas instances tiesa konstatē apsūdzētā </w:t>
      </w:r>
      <w:r w:rsidR="000A5543" w:rsidRPr="00E26E2A">
        <w:rPr>
          <w:rFonts w:asciiTheme="majorBidi" w:eastAsiaTheme="minorHAnsi" w:hAnsiTheme="majorBidi" w:cstheme="majorBidi"/>
        </w:rPr>
        <w:t>[pers. A]</w:t>
      </w:r>
      <w:r w:rsidRPr="00E26E2A">
        <w:rPr>
          <w:rFonts w:asciiTheme="majorBidi" w:eastAsiaTheme="minorHAnsi" w:hAnsiTheme="majorBidi" w:cstheme="majorBidi"/>
        </w:rPr>
        <w:t xml:space="preserve"> tiesību uz kriminālprocesa pabeigšanu saprātīgā termiņā pārkāpumu</w:t>
      </w:r>
      <w:r w:rsidR="00742455" w:rsidRPr="00E26E2A">
        <w:rPr>
          <w:rFonts w:asciiTheme="majorBidi" w:eastAsiaTheme="minorHAnsi" w:hAnsiTheme="majorBidi" w:cstheme="majorBidi"/>
        </w:rPr>
        <w:t xml:space="preserve"> un</w:t>
      </w:r>
      <w:r w:rsidR="008747CB" w:rsidRPr="00E26E2A">
        <w:rPr>
          <w:rFonts w:asciiTheme="majorBidi" w:eastAsiaTheme="minorHAnsi" w:hAnsiTheme="majorBidi" w:cstheme="majorBidi"/>
        </w:rPr>
        <w:t xml:space="preserve"> atzīst, ka</w:t>
      </w:r>
      <w:r w:rsidR="00742455" w:rsidRPr="00E26E2A">
        <w:rPr>
          <w:rFonts w:asciiTheme="majorBidi" w:eastAsiaTheme="minorHAnsi" w:hAnsiTheme="majorBidi" w:cstheme="majorBidi"/>
        </w:rPr>
        <w:t xml:space="preserve"> </w:t>
      </w:r>
      <w:r w:rsidR="00742455" w:rsidRPr="00E26E2A">
        <w:t>ir pamats piemērot Krimināllikuma 49.</w:t>
      </w:r>
      <w:r w:rsidR="00742455" w:rsidRPr="00E26E2A">
        <w:rPr>
          <w:vertAlign w:val="superscript"/>
        </w:rPr>
        <w:t xml:space="preserve">1 </w:t>
      </w:r>
      <w:r w:rsidR="00742455" w:rsidRPr="00E26E2A">
        <w:t xml:space="preserve">panta pirmās daļas </w:t>
      </w:r>
      <w:r w:rsidR="008747CB" w:rsidRPr="00E26E2A">
        <w:t>2</w:t>
      </w:r>
      <w:r w:rsidR="00742455" w:rsidRPr="00E26E2A">
        <w:t>.punktu</w:t>
      </w:r>
      <w:r w:rsidR="0098250B" w:rsidRPr="00E26E2A">
        <w:t xml:space="preserve">, kas noteic – </w:t>
      </w:r>
      <w:r w:rsidR="008747CB" w:rsidRPr="00E26E2A">
        <w:t>ja tiesa konstatē, ka nav ievērotas personas tiesības uz kriminālprocesa pabeigšanu saprātīgā termiņā, tā var noteikt sodu, kas ir zemāks par minimālo robežu, kāda par attiecīgo noziedzīgo nodarījumu paredzēta likumā.</w:t>
      </w:r>
      <w:r w:rsidR="00B15ADD" w:rsidRPr="00E26E2A">
        <w:t xml:space="preserve"> </w:t>
      </w:r>
    </w:p>
    <w:p w:rsidR="004D6EFE" w:rsidRPr="00E26E2A" w:rsidRDefault="0003390A" w:rsidP="0003390A">
      <w:pPr>
        <w:spacing w:line="276" w:lineRule="auto"/>
        <w:ind w:firstLine="709"/>
        <w:jc w:val="both"/>
      </w:pPr>
      <w:r w:rsidRPr="00E26E2A">
        <w:t xml:space="preserve">[14.4] </w:t>
      </w:r>
      <w:r w:rsidR="007858B7" w:rsidRPr="00E26E2A">
        <w:t>L</w:t>
      </w:r>
      <w:r w:rsidR="009023A3" w:rsidRPr="00E26E2A">
        <w:t xml:space="preserve">ai noteiktu </w:t>
      </w:r>
      <w:r w:rsidR="007858B7" w:rsidRPr="00E26E2A">
        <w:t>tiesību uz kriminālprocesa pabeigšanu saprātīgā termiņā pārkāpuma atlīdzinājum</w:t>
      </w:r>
      <w:r w:rsidR="009023A3" w:rsidRPr="00E26E2A">
        <w:t>a apmēru</w:t>
      </w:r>
      <w:r w:rsidR="007858B7" w:rsidRPr="00E26E2A">
        <w:t xml:space="preserve">, kasācijas instances tiesa izvērtē trešo no kritērijiem, proti, </w:t>
      </w:r>
      <w:r w:rsidR="009023A3" w:rsidRPr="00E26E2A">
        <w:t xml:space="preserve">apsūdzētā </w:t>
      </w:r>
      <w:r w:rsidR="000A5543" w:rsidRPr="00E26E2A">
        <w:t>[pers. A]</w:t>
      </w:r>
      <w:r w:rsidR="007858B7" w:rsidRPr="00E26E2A">
        <w:t xml:space="preserve"> interešu aizskāruma intensitāti. Eiropas Cilvēktiesību tiesa izteikusi atziņu</w:t>
      </w:r>
      <w:r w:rsidR="004D6EFE" w:rsidRPr="00E26E2A">
        <w:t xml:space="preserve"> –</w:t>
      </w:r>
      <w:r w:rsidR="007858B7" w:rsidRPr="00E26E2A">
        <w:t xml:space="preserve"> jo apsūdzētajai personai process ir apgrūtinošāks, jo stingrāks pienākums valsts institūcijām ir ievērot rūpību savlaicīgas procesa norises nodrošināšanā</w:t>
      </w:r>
      <w:r w:rsidR="009023A3" w:rsidRPr="00E26E2A">
        <w:t>. Par vienu no apgrūtinājumiem atzīts personai piemērotā drošības līdzekļa smagums (</w:t>
      </w:r>
      <w:r w:rsidR="009023A3" w:rsidRPr="00E26E2A">
        <w:rPr>
          <w:i/>
          <w:iCs/>
        </w:rPr>
        <w:t>Eiropas Cilvēktiesību tiesas</w:t>
      </w:r>
      <w:r w:rsidR="00E61625" w:rsidRPr="00E26E2A">
        <w:rPr>
          <w:i/>
          <w:iCs/>
        </w:rPr>
        <w:t xml:space="preserve"> </w:t>
      </w:r>
      <w:r w:rsidR="00557BFC" w:rsidRPr="00E26E2A">
        <w:rPr>
          <w:i/>
          <w:iCs/>
        </w:rPr>
        <w:t>1992.gada 31.marta spriedums lietā</w:t>
      </w:r>
      <w:r w:rsidR="006848D8" w:rsidRPr="00E26E2A">
        <w:rPr>
          <w:i/>
          <w:iCs/>
        </w:rPr>
        <w:t xml:space="preserve"> </w:t>
      </w:r>
      <w:r w:rsidR="003246C1" w:rsidRPr="00E26E2A">
        <w:rPr>
          <w:i/>
          <w:iCs/>
        </w:rPr>
        <w:t>„</w:t>
      </w:r>
      <w:r w:rsidR="006848D8" w:rsidRPr="00E26E2A">
        <w:rPr>
          <w:i/>
          <w:iCs/>
        </w:rPr>
        <w:t>X</w:t>
      </w:r>
      <w:r w:rsidR="003246C1" w:rsidRPr="00E26E2A">
        <w:rPr>
          <w:i/>
          <w:iCs/>
        </w:rPr>
        <w:t xml:space="preserve"> v. </w:t>
      </w:r>
      <w:r w:rsidR="006848D8" w:rsidRPr="00E26E2A">
        <w:rPr>
          <w:i/>
          <w:iCs/>
        </w:rPr>
        <w:t xml:space="preserve">France”, pieteikuma Nr.18020/91, 32.punkts; 1992.gada 24.septembra spriedums lietā </w:t>
      </w:r>
      <w:r w:rsidR="003246C1" w:rsidRPr="00E26E2A">
        <w:rPr>
          <w:i/>
          <w:iCs/>
        </w:rPr>
        <w:t>„</w:t>
      </w:r>
      <w:r w:rsidR="006848D8" w:rsidRPr="00E26E2A">
        <w:rPr>
          <w:i/>
          <w:iCs/>
        </w:rPr>
        <w:t xml:space="preserve">Herczegfalvy v. Austria”, iesnieguma Nr.10533, </w:t>
      </w:r>
      <w:r w:rsidR="004422AA" w:rsidRPr="00E26E2A">
        <w:rPr>
          <w:i/>
          <w:iCs/>
        </w:rPr>
        <w:t>71.</w:t>
      </w:r>
      <w:r w:rsidR="006848D8" w:rsidRPr="00E26E2A">
        <w:rPr>
          <w:i/>
          <w:iCs/>
        </w:rPr>
        <w:t xml:space="preserve">punkts; </w:t>
      </w:r>
      <w:r w:rsidR="003C614A" w:rsidRPr="00E26E2A">
        <w:rPr>
          <w:i/>
          <w:iCs/>
        </w:rPr>
        <w:t>1992.gada 25.novembra spriedumu lietā</w:t>
      </w:r>
      <w:r w:rsidR="00E61625" w:rsidRPr="00E26E2A">
        <w:rPr>
          <w:i/>
          <w:iCs/>
        </w:rPr>
        <w:t xml:space="preserve"> </w:t>
      </w:r>
      <w:r w:rsidR="003246C1" w:rsidRPr="00E26E2A">
        <w:rPr>
          <w:i/>
          <w:iCs/>
        </w:rPr>
        <w:t>„</w:t>
      </w:r>
      <w:r w:rsidR="00E61625" w:rsidRPr="00E26E2A">
        <w:rPr>
          <w:i/>
          <w:iCs/>
        </w:rPr>
        <w:t>Abdoella v. the Netherlands”, iesnieguma Nr.12728/87,</w:t>
      </w:r>
      <w:r w:rsidR="004422AA" w:rsidRPr="00E26E2A">
        <w:rPr>
          <w:i/>
          <w:iCs/>
        </w:rPr>
        <w:t xml:space="preserve"> </w:t>
      </w:r>
      <w:r w:rsidR="006848D8" w:rsidRPr="00E26E2A">
        <w:rPr>
          <w:i/>
          <w:iCs/>
        </w:rPr>
        <w:t>24.punkts</w:t>
      </w:r>
      <w:r w:rsidR="004422AA" w:rsidRPr="00E26E2A">
        <w:rPr>
          <w:i/>
          <w:iCs/>
        </w:rPr>
        <w:t>;</w:t>
      </w:r>
      <w:r w:rsidR="00E61625" w:rsidRPr="00E26E2A">
        <w:rPr>
          <w:i/>
          <w:iCs/>
        </w:rPr>
        <w:t xml:space="preserve"> </w:t>
      </w:r>
      <w:r w:rsidR="009023A3" w:rsidRPr="00E26E2A">
        <w:rPr>
          <w:i/>
          <w:iCs/>
        </w:rPr>
        <w:t xml:space="preserve">2003.gada 29.aprīļa spriedumu lietā </w:t>
      </w:r>
      <w:r w:rsidR="003246C1" w:rsidRPr="00E26E2A">
        <w:rPr>
          <w:i/>
          <w:iCs/>
        </w:rPr>
        <w:t>„</w:t>
      </w:r>
      <w:r w:rsidR="009023A3" w:rsidRPr="00E26E2A">
        <w:rPr>
          <w:i/>
          <w:iCs/>
        </w:rPr>
        <w:t>Motsnik v. Estonia”, iesnieguma Nr.</w:t>
      </w:r>
      <w:r w:rsidR="006848D8" w:rsidRPr="00E26E2A">
        <w:rPr>
          <w:i/>
          <w:iCs/>
        </w:rPr>
        <w:t>50533/99</w:t>
      </w:r>
      <w:r w:rsidR="004422AA" w:rsidRPr="00E26E2A">
        <w:rPr>
          <w:i/>
          <w:iCs/>
        </w:rPr>
        <w:t xml:space="preserve">, </w:t>
      </w:r>
      <w:r w:rsidR="009023A3" w:rsidRPr="00E26E2A">
        <w:rPr>
          <w:i/>
          <w:iCs/>
        </w:rPr>
        <w:t>40</w:t>
      </w:r>
      <w:r w:rsidR="004422AA" w:rsidRPr="00E26E2A">
        <w:rPr>
          <w:i/>
          <w:iCs/>
        </w:rPr>
        <w:t>.punkts</w:t>
      </w:r>
      <w:r w:rsidR="009023A3" w:rsidRPr="00E26E2A">
        <w:t>).</w:t>
      </w:r>
    </w:p>
    <w:p w:rsidR="00DC42AE" w:rsidRPr="00E26E2A" w:rsidRDefault="007776F4" w:rsidP="0003390A">
      <w:pPr>
        <w:spacing w:line="276" w:lineRule="auto"/>
        <w:ind w:firstLine="709"/>
        <w:jc w:val="both"/>
      </w:pPr>
      <w:r w:rsidRPr="00E26E2A">
        <w:t>[Pers. A]</w:t>
      </w:r>
      <w:r w:rsidR="004D6EFE" w:rsidRPr="00E26E2A">
        <w:t xml:space="preserve"> aizturēts 20</w:t>
      </w:r>
      <w:r w:rsidR="004E4E50" w:rsidRPr="00E26E2A">
        <w:t>15.gada</w:t>
      </w:r>
      <w:r w:rsidR="00873007" w:rsidRPr="00E26E2A">
        <w:t xml:space="preserve"> </w:t>
      </w:r>
      <w:r w:rsidR="00E26E2A" w:rsidRPr="00E26E2A">
        <w:t>[..]</w:t>
      </w:r>
      <w:r w:rsidR="004D6EFE" w:rsidRPr="00E26E2A">
        <w:t xml:space="preserve"> un </w:t>
      </w:r>
      <w:r w:rsidR="00E26E2A" w:rsidRPr="00E26E2A">
        <w:t>[nākamajā dienā]</w:t>
      </w:r>
      <w:r w:rsidR="004D6EFE" w:rsidRPr="00E26E2A">
        <w:t xml:space="preserve"> viņam </w:t>
      </w:r>
      <w:r w:rsidR="003246C1" w:rsidRPr="00E26E2A">
        <w:t xml:space="preserve">piemērots </w:t>
      </w:r>
      <w:r w:rsidR="004D6EFE" w:rsidRPr="00E26E2A">
        <w:t>drošības līdzeklis – apcietinājums.</w:t>
      </w:r>
      <w:r w:rsidR="00FF0A0E" w:rsidRPr="00E26E2A">
        <w:t xml:space="preserve"> </w:t>
      </w:r>
      <w:r w:rsidR="00B15ADD" w:rsidRPr="00E26E2A">
        <w:t>A</w:t>
      </w:r>
      <w:r w:rsidR="00FF0A0E" w:rsidRPr="00E26E2A">
        <w:t xml:space="preserve">psūdzētais </w:t>
      </w:r>
      <w:r w:rsidRPr="00E26E2A">
        <w:t>[pers.</w:t>
      </w:r>
      <w:r w:rsidR="00E26E2A" w:rsidRPr="00E26E2A">
        <w:t> </w:t>
      </w:r>
      <w:r w:rsidRPr="00E26E2A">
        <w:t>A]</w:t>
      </w:r>
      <w:r w:rsidR="00FF0A0E" w:rsidRPr="00E26E2A">
        <w:t xml:space="preserve"> apcietinājumā atrodas </w:t>
      </w:r>
      <w:r w:rsidR="00E61625" w:rsidRPr="00E26E2A">
        <w:t xml:space="preserve">visa kriminālprocesa laikā, tas ir, </w:t>
      </w:r>
      <w:r w:rsidR="00A576AE" w:rsidRPr="00E26E2A">
        <w:t>vairāk nekā trīs gadus.</w:t>
      </w:r>
    </w:p>
    <w:p w:rsidR="00DC42AE" w:rsidRPr="00E26E2A" w:rsidRDefault="00DC42AE" w:rsidP="0003390A">
      <w:pPr>
        <w:spacing w:line="276" w:lineRule="auto"/>
        <w:ind w:firstLine="709"/>
        <w:jc w:val="both"/>
      </w:pPr>
      <w:r w:rsidRPr="00E26E2A">
        <w:t>Krimināllikuma 160.panta trešās daļas sankcij</w:t>
      </w:r>
      <w:r w:rsidR="003246C1" w:rsidRPr="00E26E2A">
        <w:t>ā</w:t>
      </w:r>
      <w:r w:rsidRPr="00E26E2A">
        <w:t xml:space="preserve"> (likuma redakcijā līdz 2014.g</w:t>
      </w:r>
      <w:r w:rsidR="004E4E50" w:rsidRPr="00E26E2A">
        <w:t>a</w:t>
      </w:r>
      <w:r w:rsidRPr="00E26E2A">
        <w:t xml:space="preserve">da </w:t>
      </w:r>
      <w:r w:rsidR="004E4E50" w:rsidRPr="00E26E2A">
        <w:t>13.jūnijam</w:t>
      </w:r>
      <w:r w:rsidRPr="00E26E2A">
        <w:t xml:space="preserve">) bija </w:t>
      </w:r>
      <w:r w:rsidR="003246C1" w:rsidRPr="00E26E2A">
        <w:t xml:space="preserve">paredzēts </w:t>
      </w:r>
      <w:r w:rsidR="00A576AE" w:rsidRPr="00E26E2A">
        <w:t xml:space="preserve">mūža ieslodzījums, </w:t>
      </w:r>
      <w:r w:rsidRPr="00E26E2A">
        <w:t>brīvības atņemšana uz laiku no</w:t>
      </w:r>
      <w:r w:rsidR="003246C1" w:rsidRPr="00E26E2A">
        <w:t xml:space="preserve"> desmit līdz divdesmit gadiem</w:t>
      </w:r>
      <w:r w:rsidRPr="00E26E2A">
        <w:t xml:space="preserve"> un probācijas uzraudzība uz laiku līdz</w:t>
      </w:r>
      <w:r w:rsidR="003246C1" w:rsidRPr="00E26E2A">
        <w:t xml:space="preserve"> </w:t>
      </w:r>
      <w:r w:rsidR="00742455" w:rsidRPr="00E26E2A">
        <w:t>trim</w:t>
      </w:r>
      <w:r w:rsidR="003246C1" w:rsidRPr="00E26E2A">
        <w:t xml:space="preserve"> gadiem</w:t>
      </w:r>
      <w:r w:rsidRPr="00E26E2A">
        <w:t>.</w:t>
      </w:r>
    </w:p>
    <w:p w:rsidR="007C550A" w:rsidRPr="00E26E2A" w:rsidRDefault="007776F4" w:rsidP="0003390A">
      <w:pPr>
        <w:spacing w:line="276" w:lineRule="auto"/>
        <w:ind w:firstLine="709"/>
        <w:jc w:val="both"/>
      </w:pPr>
      <w:r w:rsidRPr="00E26E2A">
        <w:t>[Pers. A]</w:t>
      </w:r>
      <w:r w:rsidR="00DC42AE" w:rsidRPr="00E26E2A">
        <w:t xml:space="preserve"> noteikts sods brīvības atņemšana uz 10 gadiem un probācijas uzraudzība uz 1 gadu.</w:t>
      </w:r>
      <w:r w:rsidR="00B15ADD" w:rsidRPr="00E26E2A">
        <w:t xml:space="preserve"> Kasācijas instances tiesa atzīst, ka apsūdzētājam</w:t>
      </w:r>
      <w:r w:rsidR="00A576AE" w:rsidRPr="00E26E2A">
        <w:t xml:space="preserve"> </w:t>
      </w:r>
      <w:r w:rsidRPr="00E26E2A">
        <w:t>[pers. A]</w:t>
      </w:r>
      <w:r w:rsidR="00B15ADD" w:rsidRPr="00E26E2A">
        <w:t>, piemērojot Krimināllikuma 49.</w:t>
      </w:r>
      <w:r w:rsidR="00B15ADD" w:rsidRPr="00E26E2A">
        <w:rPr>
          <w:vertAlign w:val="superscript"/>
        </w:rPr>
        <w:t xml:space="preserve">1 </w:t>
      </w:r>
      <w:r w:rsidR="00B15ADD" w:rsidRPr="00E26E2A">
        <w:t xml:space="preserve">panta pirmās daļas </w:t>
      </w:r>
      <w:r w:rsidR="00A576AE" w:rsidRPr="00E26E2A">
        <w:t>2</w:t>
      </w:r>
      <w:r w:rsidR="00B15ADD" w:rsidRPr="00E26E2A">
        <w:t>.punktu</w:t>
      </w:r>
      <w:r w:rsidR="00A576AE" w:rsidRPr="00E26E2A">
        <w:t>, nosakāma brīvības atņemšana uz 8 gadiem 6 mēnešiem un probācijas uzraudzība uz 1 gadu</w:t>
      </w:r>
      <w:r w:rsidR="00B15ADD" w:rsidRPr="00E26E2A">
        <w:t>.</w:t>
      </w:r>
    </w:p>
    <w:p w:rsidR="00BC2EA9" w:rsidRPr="00E26E2A" w:rsidRDefault="00BC2EA9" w:rsidP="00E61E01">
      <w:pPr>
        <w:spacing w:line="276" w:lineRule="auto"/>
        <w:ind w:firstLine="709"/>
        <w:jc w:val="both"/>
      </w:pPr>
    </w:p>
    <w:p w:rsidR="00BC2EA9" w:rsidRPr="00E26E2A" w:rsidRDefault="00BC2EA9" w:rsidP="00A576AE">
      <w:pPr>
        <w:pStyle w:val="tv213"/>
        <w:spacing w:before="0" w:beforeAutospacing="0" w:after="0" w:afterAutospacing="0" w:line="276" w:lineRule="auto"/>
        <w:jc w:val="center"/>
        <w:rPr>
          <w:b/>
        </w:rPr>
      </w:pPr>
      <w:r w:rsidRPr="00E26E2A">
        <w:rPr>
          <w:b/>
        </w:rPr>
        <w:t>Rezolutīvā daļa</w:t>
      </w:r>
    </w:p>
    <w:p w:rsidR="00742455" w:rsidRPr="00E26E2A" w:rsidRDefault="00742455" w:rsidP="00A576AE">
      <w:pPr>
        <w:pStyle w:val="tv213"/>
        <w:spacing w:before="0" w:beforeAutospacing="0" w:after="0" w:afterAutospacing="0" w:line="276" w:lineRule="auto"/>
        <w:jc w:val="center"/>
        <w:rPr>
          <w:b/>
        </w:rPr>
      </w:pPr>
    </w:p>
    <w:p w:rsidR="00264CC2" w:rsidRPr="00E26E2A" w:rsidRDefault="004E4E50" w:rsidP="00E61E01">
      <w:pPr>
        <w:tabs>
          <w:tab w:val="left" w:pos="-3120"/>
        </w:tabs>
        <w:suppressAutoHyphens/>
        <w:spacing w:line="276" w:lineRule="auto"/>
        <w:ind w:firstLine="709"/>
        <w:jc w:val="both"/>
      </w:pPr>
      <w:r w:rsidRPr="00E26E2A">
        <w:t xml:space="preserve">Pamatojoties uz Kriminālprocesa likuma 585. un 587.pantu, </w:t>
      </w:r>
    </w:p>
    <w:p w:rsidR="00973F5A" w:rsidRPr="00E26E2A" w:rsidRDefault="00973F5A" w:rsidP="00E61E01">
      <w:pPr>
        <w:tabs>
          <w:tab w:val="left" w:pos="-3120"/>
        </w:tabs>
        <w:suppressAutoHyphens/>
        <w:spacing w:line="276" w:lineRule="auto"/>
        <w:ind w:firstLine="709"/>
        <w:jc w:val="both"/>
      </w:pPr>
    </w:p>
    <w:p w:rsidR="00973F5A" w:rsidRPr="00E26E2A" w:rsidRDefault="00973F5A" w:rsidP="00A576AE">
      <w:pPr>
        <w:tabs>
          <w:tab w:val="left" w:pos="-3120"/>
        </w:tabs>
        <w:suppressAutoHyphens/>
        <w:spacing w:line="276" w:lineRule="auto"/>
        <w:jc w:val="center"/>
        <w:rPr>
          <w:b/>
          <w:bCs/>
        </w:rPr>
      </w:pPr>
      <w:r w:rsidRPr="00E26E2A">
        <w:rPr>
          <w:b/>
          <w:bCs/>
        </w:rPr>
        <w:t>nolēma:</w:t>
      </w:r>
    </w:p>
    <w:p w:rsidR="00973F5A" w:rsidRPr="00E26E2A" w:rsidRDefault="00973F5A" w:rsidP="00E61E01">
      <w:pPr>
        <w:tabs>
          <w:tab w:val="left" w:pos="-3120"/>
        </w:tabs>
        <w:suppressAutoHyphens/>
        <w:spacing w:line="276" w:lineRule="auto"/>
        <w:ind w:firstLine="709"/>
        <w:jc w:val="both"/>
        <w:rPr>
          <w:rFonts w:asciiTheme="majorBidi" w:hAnsiTheme="majorBidi" w:cstheme="majorBidi"/>
          <w:b/>
          <w:bCs/>
        </w:rPr>
      </w:pPr>
    </w:p>
    <w:p w:rsidR="00973F5A" w:rsidRPr="00E26E2A" w:rsidRDefault="00973F5A" w:rsidP="00E61E01">
      <w:pPr>
        <w:autoSpaceDE w:val="0"/>
        <w:autoSpaceDN w:val="0"/>
        <w:adjustRightInd w:val="0"/>
        <w:spacing w:line="276" w:lineRule="auto"/>
        <w:ind w:firstLine="709"/>
        <w:jc w:val="both"/>
        <w:rPr>
          <w:rFonts w:asciiTheme="majorBidi" w:eastAsiaTheme="minorHAnsi" w:hAnsiTheme="majorBidi" w:cstheme="majorBidi"/>
        </w:rPr>
      </w:pPr>
      <w:r w:rsidRPr="00E26E2A">
        <w:rPr>
          <w:rFonts w:asciiTheme="majorBidi" w:eastAsiaTheme="minorHAnsi" w:hAnsiTheme="majorBidi" w:cstheme="majorBidi"/>
        </w:rPr>
        <w:t xml:space="preserve">grozīt </w:t>
      </w:r>
      <w:r w:rsidR="00AD6F4A" w:rsidRPr="00E26E2A">
        <w:rPr>
          <w:rFonts w:asciiTheme="majorBidi" w:eastAsiaTheme="minorHAnsi" w:hAnsiTheme="majorBidi" w:cstheme="majorBidi"/>
        </w:rPr>
        <w:t xml:space="preserve">[..] </w:t>
      </w:r>
      <w:r w:rsidRPr="00E26E2A">
        <w:rPr>
          <w:rFonts w:asciiTheme="majorBidi" w:eastAsiaTheme="minorHAnsi" w:hAnsiTheme="majorBidi" w:cstheme="majorBidi"/>
        </w:rPr>
        <w:t xml:space="preserve">apgabaltiesas 2018.gada </w:t>
      </w:r>
      <w:r w:rsidR="00E26E2A" w:rsidRPr="00E26E2A">
        <w:rPr>
          <w:rFonts w:asciiTheme="majorBidi" w:eastAsiaTheme="minorHAnsi" w:hAnsiTheme="majorBidi" w:cstheme="majorBidi"/>
        </w:rPr>
        <w:t>[..]</w:t>
      </w:r>
      <w:r w:rsidRPr="00E26E2A">
        <w:rPr>
          <w:rFonts w:asciiTheme="majorBidi" w:eastAsiaTheme="minorHAnsi" w:hAnsiTheme="majorBidi" w:cstheme="majorBidi"/>
        </w:rPr>
        <w:t xml:space="preserve"> spriedumu daļā par apsūdzētajam </w:t>
      </w:r>
      <w:r w:rsidR="00AD6F4A" w:rsidRPr="00E26E2A">
        <w:rPr>
          <w:rFonts w:asciiTheme="majorBidi" w:eastAsiaTheme="minorHAnsi" w:hAnsiTheme="majorBidi" w:cstheme="majorBidi"/>
        </w:rPr>
        <w:t>[pers.</w:t>
      </w:r>
      <w:r w:rsidR="007776F4" w:rsidRPr="00E26E2A">
        <w:rPr>
          <w:rFonts w:asciiTheme="majorBidi" w:eastAsiaTheme="minorHAnsi" w:hAnsiTheme="majorBidi" w:cstheme="majorBidi"/>
        </w:rPr>
        <w:t> </w:t>
      </w:r>
      <w:r w:rsidR="00AD6F4A" w:rsidRPr="00E26E2A">
        <w:rPr>
          <w:rFonts w:eastAsiaTheme="minorHAnsi"/>
        </w:rPr>
        <w:t xml:space="preserve">A] </w:t>
      </w:r>
      <w:r w:rsidRPr="00E26E2A">
        <w:rPr>
          <w:rFonts w:asciiTheme="majorBidi" w:eastAsiaTheme="minorHAnsi" w:hAnsiTheme="majorBidi" w:cstheme="majorBidi"/>
        </w:rPr>
        <w:t>noteikto sodu pēc Krimināllikuma 160.panta trešās daļas.</w:t>
      </w:r>
    </w:p>
    <w:p w:rsidR="00973F5A" w:rsidRPr="00E26E2A" w:rsidRDefault="00AD6F4A" w:rsidP="00E61E01">
      <w:pPr>
        <w:autoSpaceDE w:val="0"/>
        <w:autoSpaceDN w:val="0"/>
        <w:adjustRightInd w:val="0"/>
        <w:spacing w:line="276" w:lineRule="auto"/>
        <w:ind w:firstLine="709"/>
        <w:jc w:val="both"/>
        <w:rPr>
          <w:rFonts w:asciiTheme="majorBidi" w:eastAsiaTheme="minorHAnsi" w:hAnsiTheme="majorBidi" w:cstheme="majorBidi"/>
        </w:rPr>
      </w:pPr>
      <w:r w:rsidRPr="00E26E2A">
        <w:rPr>
          <w:rFonts w:asciiTheme="majorBidi" w:eastAsiaTheme="minorHAnsi" w:hAnsiTheme="majorBidi" w:cstheme="majorBidi"/>
        </w:rPr>
        <w:t>[Pers.</w:t>
      </w:r>
      <w:r w:rsidR="007776F4" w:rsidRPr="00E26E2A">
        <w:rPr>
          <w:rFonts w:asciiTheme="majorBidi" w:eastAsiaTheme="minorHAnsi" w:hAnsiTheme="majorBidi" w:cstheme="majorBidi"/>
        </w:rPr>
        <w:t> </w:t>
      </w:r>
      <w:r w:rsidRPr="00E26E2A">
        <w:rPr>
          <w:rFonts w:eastAsiaTheme="minorHAnsi"/>
        </w:rPr>
        <w:t>A]</w:t>
      </w:r>
      <w:r w:rsidR="00973F5A" w:rsidRPr="00E26E2A">
        <w:rPr>
          <w:rFonts w:asciiTheme="majorBidi" w:eastAsiaTheme="minorHAnsi" w:hAnsiTheme="majorBidi" w:cstheme="majorBidi"/>
        </w:rPr>
        <w:t xml:space="preserve"> pēc Krimināllikuma 160.panta trešās daļas, piemērojot Krimināllikuma 49.</w:t>
      </w:r>
      <w:r w:rsidR="00973F5A" w:rsidRPr="00E26E2A">
        <w:rPr>
          <w:rFonts w:asciiTheme="majorBidi" w:eastAsiaTheme="minorHAnsi" w:hAnsiTheme="majorBidi" w:cstheme="majorBidi"/>
          <w:vertAlign w:val="superscript"/>
        </w:rPr>
        <w:t>1</w:t>
      </w:r>
      <w:r w:rsidR="00973F5A" w:rsidRPr="00E26E2A">
        <w:rPr>
          <w:rFonts w:asciiTheme="majorBidi" w:eastAsiaTheme="minorHAnsi" w:hAnsiTheme="majorBidi" w:cstheme="majorBidi"/>
        </w:rPr>
        <w:t xml:space="preserve"> panta pirmās daļas </w:t>
      </w:r>
      <w:r w:rsidR="00A576AE" w:rsidRPr="00E26E2A">
        <w:rPr>
          <w:rFonts w:asciiTheme="majorBidi" w:eastAsiaTheme="minorHAnsi" w:hAnsiTheme="majorBidi" w:cstheme="majorBidi"/>
        </w:rPr>
        <w:t>2</w:t>
      </w:r>
      <w:r w:rsidR="00973F5A" w:rsidRPr="00E26E2A">
        <w:rPr>
          <w:rFonts w:asciiTheme="majorBidi" w:eastAsiaTheme="minorHAnsi" w:hAnsiTheme="majorBidi" w:cstheme="majorBidi"/>
        </w:rPr>
        <w:t>.punktu, noteikt brīvības atņemšan</w:t>
      </w:r>
      <w:r w:rsidR="00A576AE" w:rsidRPr="00E26E2A">
        <w:rPr>
          <w:rFonts w:asciiTheme="majorBidi" w:eastAsiaTheme="minorHAnsi" w:hAnsiTheme="majorBidi" w:cstheme="majorBidi"/>
        </w:rPr>
        <w:t>u</w:t>
      </w:r>
      <w:r w:rsidR="00973F5A" w:rsidRPr="00E26E2A">
        <w:rPr>
          <w:rFonts w:asciiTheme="majorBidi" w:eastAsiaTheme="minorHAnsi" w:hAnsiTheme="majorBidi" w:cstheme="majorBidi"/>
        </w:rPr>
        <w:t xml:space="preserve"> uz 8 gadiem 6 mēnešiem un probācijas uzraudzību uz 1 gadu.</w:t>
      </w:r>
    </w:p>
    <w:p w:rsidR="00973F5A" w:rsidRPr="00E26E2A" w:rsidRDefault="00973F5A" w:rsidP="00E61E01">
      <w:pPr>
        <w:autoSpaceDE w:val="0"/>
        <w:autoSpaceDN w:val="0"/>
        <w:adjustRightInd w:val="0"/>
        <w:spacing w:line="276" w:lineRule="auto"/>
        <w:ind w:firstLine="709"/>
        <w:jc w:val="both"/>
        <w:rPr>
          <w:rFonts w:asciiTheme="majorBidi" w:hAnsiTheme="majorBidi" w:cstheme="majorBidi"/>
        </w:rPr>
      </w:pPr>
      <w:r w:rsidRPr="00E26E2A">
        <w:rPr>
          <w:rFonts w:asciiTheme="majorBidi" w:eastAsiaTheme="minorHAnsi" w:hAnsiTheme="majorBidi" w:cstheme="majorBidi"/>
        </w:rPr>
        <w:lastRenderedPageBreak/>
        <w:t xml:space="preserve">Pārējā daļā </w:t>
      </w:r>
      <w:r w:rsidR="007776F4" w:rsidRPr="00E26E2A">
        <w:rPr>
          <w:rFonts w:asciiTheme="majorBidi" w:eastAsiaTheme="minorHAnsi" w:hAnsiTheme="majorBidi" w:cstheme="majorBidi"/>
        </w:rPr>
        <w:t>[..]</w:t>
      </w:r>
      <w:r w:rsidRPr="00E26E2A">
        <w:rPr>
          <w:rFonts w:asciiTheme="majorBidi" w:eastAsiaTheme="minorHAnsi" w:hAnsiTheme="majorBidi" w:cstheme="majorBidi"/>
        </w:rPr>
        <w:t xml:space="preserve"> apgabaltiesas 2018.gada </w:t>
      </w:r>
      <w:r w:rsidR="00E26E2A" w:rsidRPr="00E26E2A">
        <w:rPr>
          <w:rFonts w:asciiTheme="majorBidi" w:eastAsiaTheme="minorHAnsi" w:hAnsiTheme="majorBidi" w:cstheme="majorBidi"/>
        </w:rPr>
        <w:t>[..]</w:t>
      </w:r>
      <w:r w:rsidRPr="00E26E2A">
        <w:rPr>
          <w:rFonts w:asciiTheme="majorBidi" w:eastAsiaTheme="minorHAnsi" w:hAnsiTheme="majorBidi" w:cstheme="majorBidi"/>
        </w:rPr>
        <w:t xml:space="preserve"> spriedumu atstāt negrozītu.</w:t>
      </w:r>
    </w:p>
    <w:p w:rsidR="00973F5A" w:rsidRDefault="00973F5A" w:rsidP="00E61E01">
      <w:pPr>
        <w:autoSpaceDE w:val="0"/>
        <w:autoSpaceDN w:val="0"/>
        <w:adjustRightInd w:val="0"/>
        <w:spacing w:line="276" w:lineRule="auto"/>
        <w:ind w:firstLine="709"/>
        <w:jc w:val="both"/>
        <w:rPr>
          <w:rFonts w:asciiTheme="majorBidi" w:hAnsiTheme="majorBidi" w:cstheme="majorBidi"/>
        </w:rPr>
      </w:pPr>
      <w:r w:rsidRPr="00E26E2A">
        <w:rPr>
          <w:rFonts w:asciiTheme="majorBidi" w:hAnsiTheme="majorBidi" w:cstheme="majorBidi"/>
        </w:rPr>
        <w:t>Lēmums nav pārsūdzams.</w:t>
      </w:r>
    </w:p>
    <w:bookmarkEnd w:id="0"/>
    <w:sectPr w:rsidR="00973F5A" w:rsidSect="003564C1">
      <w:footerReference w:type="default" r:id="rId8"/>
      <w:pgSz w:w="11906" w:h="16838"/>
      <w:pgMar w:top="1440" w:right="991" w:bottom="184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543" w:rsidRDefault="000A5543" w:rsidP="0049585A">
      <w:r>
        <w:separator/>
      </w:r>
    </w:p>
  </w:endnote>
  <w:endnote w:type="continuationSeparator" w:id="0">
    <w:p w:rsidR="000A5543" w:rsidRDefault="000A5543" w:rsidP="00495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0339226"/>
      <w:docPartObj>
        <w:docPartGallery w:val="Page Numbers (Bottom of Page)"/>
        <w:docPartUnique/>
      </w:docPartObj>
    </w:sdtPr>
    <w:sdtEndPr>
      <w:rPr>
        <w:noProof/>
      </w:rPr>
    </w:sdtEndPr>
    <w:sdtContent>
      <w:p w:rsidR="000A5543" w:rsidRDefault="000A5543" w:rsidP="0049585A">
        <w:pPr>
          <w:pStyle w:val="Footer"/>
          <w:jc w:val="cente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Pr>
            <w:rStyle w:val="PageNumber"/>
            <w:noProof/>
          </w:rPr>
          <w:t>1</w:t>
        </w:r>
        <w:r w:rsidRPr="00966A45">
          <w:rPr>
            <w:rStyle w:val="PageNumber"/>
          </w:rPr>
          <w:fldChar w:fldCharType="end"/>
        </w:r>
        <w:r w:rsidRPr="00966A4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3A5019">
          <w:rPr>
            <w:rStyle w:val="PageNumber"/>
            <w:noProof/>
          </w:rPr>
          <w:t>6</w:t>
        </w:r>
        <w:r>
          <w:rPr>
            <w:rStyle w:val="PageNumber"/>
            <w:noProof/>
          </w:rPr>
          <w:fldChar w:fldCharType="end"/>
        </w:r>
      </w:p>
    </w:sdtContent>
  </w:sdt>
  <w:p w:rsidR="000A5543" w:rsidRDefault="000A5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543" w:rsidRDefault="000A5543" w:rsidP="0049585A">
      <w:r>
        <w:separator/>
      </w:r>
    </w:p>
  </w:footnote>
  <w:footnote w:type="continuationSeparator" w:id="0">
    <w:p w:rsidR="000A5543" w:rsidRDefault="000A5543" w:rsidP="0049585A">
      <w:r>
        <w:continuationSeparator/>
      </w:r>
    </w:p>
  </w:footnote>
  <w:footnote w:id="1">
    <w:p w:rsidR="00A34952" w:rsidRPr="00A34952" w:rsidRDefault="00A34952">
      <w:pPr>
        <w:pStyle w:val="FootnoteText"/>
        <w:rPr>
          <w:rFonts w:ascii="Times New Roman" w:hAnsi="Times New Roman"/>
          <w:sz w:val="20"/>
          <w:szCs w:val="20"/>
        </w:rPr>
      </w:pPr>
      <w:r w:rsidRPr="00A34952">
        <w:rPr>
          <w:rStyle w:val="FootnoteReference"/>
          <w:rFonts w:ascii="Times New Roman" w:hAnsi="Times New Roman"/>
          <w:sz w:val="20"/>
          <w:szCs w:val="20"/>
        </w:rPr>
        <w:footnoteRef/>
      </w:r>
      <w:r w:rsidRPr="00A34952">
        <w:rPr>
          <w:rFonts w:ascii="Times New Roman" w:hAnsi="Times New Roman"/>
          <w:sz w:val="20"/>
          <w:szCs w:val="20"/>
        </w:rPr>
        <w:t xml:space="preserve"> Slēgtas lietas statuss. Publicēti izvilkumi no lēmuma.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1508A4"/>
    <w:multiLevelType w:val="hybridMultilevel"/>
    <w:tmpl w:val="1C02F344"/>
    <w:lvl w:ilvl="0" w:tplc="47BEB638">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 w15:restartNumberingAfterBreak="0">
    <w:nsid w:val="79AC0933"/>
    <w:multiLevelType w:val="hybridMultilevel"/>
    <w:tmpl w:val="3EE43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684"/>
    <w:rsid w:val="00004077"/>
    <w:rsid w:val="000042CA"/>
    <w:rsid w:val="00005234"/>
    <w:rsid w:val="0000609F"/>
    <w:rsid w:val="0000707A"/>
    <w:rsid w:val="0000770D"/>
    <w:rsid w:val="00010569"/>
    <w:rsid w:val="000109A3"/>
    <w:rsid w:val="00010A0C"/>
    <w:rsid w:val="0001279A"/>
    <w:rsid w:val="00020B0C"/>
    <w:rsid w:val="0002304A"/>
    <w:rsid w:val="00023266"/>
    <w:rsid w:val="00025752"/>
    <w:rsid w:val="00025BB0"/>
    <w:rsid w:val="0002758B"/>
    <w:rsid w:val="0002766D"/>
    <w:rsid w:val="00027F39"/>
    <w:rsid w:val="00030075"/>
    <w:rsid w:val="0003390A"/>
    <w:rsid w:val="00034C3B"/>
    <w:rsid w:val="000367A7"/>
    <w:rsid w:val="000373CD"/>
    <w:rsid w:val="00037530"/>
    <w:rsid w:val="000401C4"/>
    <w:rsid w:val="00040642"/>
    <w:rsid w:val="00040837"/>
    <w:rsid w:val="000416D6"/>
    <w:rsid w:val="000454E9"/>
    <w:rsid w:val="00045AC2"/>
    <w:rsid w:val="00045C2E"/>
    <w:rsid w:val="00046982"/>
    <w:rsid w:val="00046A1C"/>
    <w:rsid w:val="00046F26"/>
    <w:rsid w:val="000477C4"/>
    <w:rsid w:val="00051296"/>
    <w:rsid w:val="000531D9"/>
    <w:rsid w:val="00053254"/>
    <w:rsid w:val="0005790E"/>
    <w:rsid w:val="000630C9"/>
    <w:rsid w:val="00063ACF"/>
    <w:rsid w:val="00063FEE"/>
    <w:rsid w:val="00064FD9"/>
    <w:rsid w:val="00065A32"/>
    <w:rsid w:val="000672DD"/>
    <w:rsid w:val="00070FE0"/>
    <w:rsid w:val="00071525"/>
    <w:rsid w:val="00076557"/>
    <w:rsid w:val="00080E09"/>
    <w:rsid w:val="00082162"/>
    <w:rsid w:val="000842AE"/>
    <w:rsid w:val="000861AF"/>
    <w:rsid w:val="0008756B"/>
    <w:rsid w:val="0009004A"/>
    <w:rsid w:val="00090A53"/>
    <w:rsid w:val="00092178"/>
    <w:rsid w:val="00094530"/>
    <w:rsid w:val="00095147"/>
    <w:rsid w:val="000A32CE"/>
    <w:rsid w:val="000A5543"/>
    <w:rsid w:val="000A668C"/>
    <w:rsid w:val="000B1932"/>
    <w:rsid w:val="000B2134"/>
    <w:rsid w:val="000B4400"/>
    <w:rsid w:val="000B48A6"/>
    <w:rsid w:val="000B4BA4"/>
    <w:rsid w:val="000C04EC"/>
    <w:rsid w:val="000C1568"/>
    <w:rsid w:val="000C490F"/>
    <w:rsid w:val="000C699B"/>
    <w:rsid w:val="000D6C77"/>
    <w:rsid w:val="000E248D"/>
    <w:rsid w:val="000E360E"/>
    <w:rsid w:val="000E535E"/>
    <w:rsid w:val="000E56B4"/>
    <w:rsid w:val="000E6289"/>
    <w:rsid w:val="000E6347"/>
    <w:rsid w:val="000F36A3"/>
    <w:rsid w:val="000F37CE"/>
    <w:rsid w:val="000F4B0B"/>
    <w:rsid w:val="000F5DA7"/>
    <w:rsid w:val="000F6803"/>
    <w:rsid w:val="000F6CE2"/>
    <w:rsid w:val="000F6FF0"/>
    <w:rsid w:val="00102044"/>
    <w:rsid w:val="00103756"/>
    <w:rsid w:val="00105025"/>
    <w:rsid w:val="00107001"/>
    <w:rsid w:val="001109E7"/>
    <w:rsid w:val="001129C9"/>
    <w:rsid w:val="00115C84"/>
    <w:rsid w:val="0011761E"/>
    <w:rsid w:val="0012017D"/>
    <w:rsid w:val="00121087"/>
    <w:rsid w:val="001239AD"/>
    <w:rsid w:val="00124A5E"/>
    <w:rsid w:val="00127166"/>
    <w:rsid w:val="001362F2"/>
    <w:rsid w:val="00142FA4"/>
    <w:rsid w:val="0014568F"/>
    <w:rsid w:val="00146A01"/>
    <w:rsid w:val="001517D5"/>
    <w:rsid w:val="00152D5E"/>
    <w:rsid w:val="00152ED1"/>
    <w:rsid w:val="00153580"/>
    <w:rsid w:val="001543B9"/>
    <w:rsid w:val="001612EE"/>
    <w:rsid w:val="001652ED"/>
    <w:rsid w:val="001655BD"/>
    <w:rsid w:val="001660D9"/>
    <w:rsid w:val="00167569"/>
    <w:rsid w:val="00175EB3"/>
    <w:rsid w:val="00177541"/>
    <w:rsid w:val="00183353"/>
    <w:rsid w:val="00186F77"/>
    <w:rsid w:val="00187EC5"/>
    <w:rsid w:val="0019359F"/>
    <w:rsid w:val="0019383C"/>
    <w:rsid w:val="00193C8E"/>
    <w:rsid w:val="001944BB"/>
    <w:rsid w:val="00195A2C"/>
    <w:rsid w:val="001A0E00"/>
    <w:rsid w:val="001A0FE2"/>
    <w:rsid w:val="001A104F"/>
    <w:rsid w:val="001A722B"/>
    <w:rsid w:val="001B0E18"/>
    <w:rsid w:val="001B21CB"/>
    <w:rsid w:val="001B2AEA"/>
    <w:rsid w:val="001B2FF5"/>
    <w:rsid w:val="001B4A9C"/>
    <w:rsid w:val="001B4C55"/>
    <w:rsid w:val="001C1447"/>
    <w:rsid w:val="001C2056"/>
    <w:rsid w:val="001C26D8"/>
    <w:rsid w:val="001C4AD6"/>
    <w:rsid w:val="001C4C04"/>
    <w:rsid w:val="001C52E6"/>
    <w:rsid w:val="001C572D"/>
    <w:rsid w:val="001C7145"/>
    <w:rsid w:val="001D0C85"/>
    <w:rsid w:val="001D2644"/>
    <w:rsid w:val="001D2681"/>
    <w:rsid w:val="001D690D"/>
    <w:rsid w:val="001D70B2"/>
    <w:rsid w:val="001D7C40"/>
    <w:rsid w:val="001E029C"/>
    <w:rsid w:val="001E214C"/>
    <w:rsid w:val="001E2F0A"/>
    <w:rsid w:val="001E38B7"/>
    <w:rsid w:val="001E3BD1"/>
    <w:rsid w:val="001E62B1"/>
    <w:rsid w:val="001E6E64"/>
    <w:rsid w:val="001F5A0E"/>
    <w:rsid w:val="001F64D9"/>
    <w:rsid w:val="00200DBC"/>
    <w:rsid w:val="00201704"/>
    <w:rsid w:val="00202AFC"/>
    <w:rsid w:val="00207165"/>
    <w:rsid w:val="00212A1E"/>
    <w:rsid w:val="00216886"/>
    <w:rsid w:val="00216A0E"/>
    <w:rsid w:val="00217F7F"/>
    <w:rsid w:val="0022379E"/>
    <w:rsid w:val="0022588E"/>
    <w:rsid w:val="0023322E"/>
    <w:rsid w:val="00234555"/>
    <w:rsid w:val="002356CD"/>
    <w:rsid w:val="00236010"/>
    <w:rsid w:val="00237594"/>
    <w:rsid w:val="00240444"/>
    <w:rsid w:val="00240895"/>
    <w:rsid w:val="00240A80"/>
    <w:rsid w:val="00240E05"/>
    <w:rsid w:val="002462C0"/>
    <w:rsid w:val="002533B0"/>
    <w:rsid w:val="00255D83"/>
    <w:rsid w:val="002609F9"/>
    <w:rsid w:val="00260E9B"/>
    <w:rsid w:val="00264CC2"/>
    <w:rsid w:val="0026558C"/>
    <w:rsid w:val="00266B07"/>
    <w:rsid w:val="00267106"/>
    <w:rsid w:val="0027302F"/>
    <w:rsid w:val="00274408"/>
    <w:rsid w:val="002775C0"/>
    <w:rsid w:val="00277FC9"/>
    <w:rsid w:val="0028024E"/>
    <w:rsid w:val="00281686"/>
    <w:rsid w:val="00283717"/>
    <w:rsid w:val="00287436"/>
    <w:rsid w:val="002879DA"/>
    <w:rsid w:val="00287DD5"/>
    <w:rsid w:val="00293A80"/>
    <w:rsid w:val="00295C81"/>
    <w:rsid w:val="002A0217"/>
    <w:rsid w:val="002A0C9A"/>
    <w:rsid w:val="002A18FC"/>
    <w:rsid w:val="002A1DCC"/>
    <w:rsid w:val="002A317A"/>
    <w:rsid w:val="002A656F"/>
    <w:rsid w:val="002A65F4"/>
    <w:rsid w:val="002B477D"/>
    <w:rsid w:val="002B6B1F"/>
    <w:rsid w:val="002C158C"/>
    <w:rsid w:val="002C18BB"/>
    <w:rsid w:val="002C4319"/>
    <w:rsid w:val="002C6DAE"/>
    <w:rsid w:val="002D18DD"/>
    <w:rsid w:val="002D2DDD"/>
    <w:rsid w:val="002E026F"/>
    <w:rsid w:val="002E0BBB"/>
    <w:rsid w:val="002E0C33"/>
    <w:rsid w:val="002E1DB8"/>
    <w:rsid w:val="002E57DE"/>
    <w:rsid w:val="002E5E88"/>
    <w:rsid w:val="002E7FD9"/>
    <w:rsid w:val="002F083F"/>
    <w:rsid w:val="002F34DC"/>
    <w:rsid w:val="002F4097"/>
    <w:rsid w:val="002F4B42"/>
    <w:rsid w:val="002F72B7"/>
    <w:rsid w:val="002F78D4"/>
    <w:rsid w:val="00302176"/>
    <w:rsid w:val="0030286F"/>
    <w:rsid w:val="00302A75"/>
    <w:rsid w:val="00310BC0"/>
    <w:rsid w:val="003128B5"/>
    <w:rsid w:val="003161FA"/>
    <w:rsid w:val="003172A8"/>
    <w:rsid w:val="003217B6"/>
    <w:rsid w:val="003222BE"/>
    <w:rsid w:val="003246C1"/>
    <w:rsid w:val="00326C1A"/>
    <w:rsid w:val="00327727"/>
    <w:rsid w:val="00331BB8"/>
    <w:rsid w:val="0033395E"/>
    <w:rsid w:val="00334137"/>
    <w:rsid w:val="003401E9"/>
    <w:rsid w:val="003403AC"/>
    <w:rsid w:val="00352CE4"/>
    <w:rsid w:val="0035360E"/>
    <w:rsid w:val="00354149"/>
    <w:rsid w:val="003544C8"/>
    <w:rsid w:val="003548E0"/>
    <w:rsid w:val="0035584F"/>
    <w:rsid w:val="00355D8F"/>
    <w:rsid w:val="003564C1"/>
    <w:rsid w:val="003611CC"/>
    <w:rsid w:val="00361A7E"/>
    <w:rsid w:val="00362AC7"/>
    <w:rsid w:val="00367891"/>
    <w:rsid w:val="00370359"/>
    <w:rsid w:val="003712E9"/>
    <w:rsid w:val="00372700"/>
    <w:rsid w:val="0037794B"/>
    <w:rsid w:val="00377E44"/>
    <w:rsid w:val="003831D6"/>
    <w:rsid w:val="003849B1"/>
    <w:rsid w:val="00384D7C"/>
    <w:rsid w:val="00385576"/>
    <w:rsid w:val="003856A6"/>
    <w:rsid w:val="00385B53"/>
    <w:rsid w:val="00385EA8"/>
    <w:rsid w:val="003861D7"/>
    <w:rsid w:val="003929C6"/>
    <w:rsid w:val="00393CCF"/>
    <w:rsid w:val="003A5019"/>
    <w:rsid w:val="003A6D36"/>
    <w:rsid w:val="003A7543"/>
    <w:rsid w:val="003B0779"/>
    <w:rsid w:val="003B1069"/>
    <w:rsid w:val="003C058C"/>
    <w:rsid w:val="003C2989"/>
    <w:rsid w:val="003C29C4"/>
    <w:rsid w:val="003C2B44"/>
    <w:rsid w:val="003C2B62"/>
    <w:rsid w:val="003C614A"/>
    <w:rsid w:val="003C7887"/>
    <w:rsid w:val="003C7C2E"/>
    <w:rsid w:val="003D1666"/>
    <w:rsid w:val="003D1A87"/>
    <w:rsid w:val="003D1B7D"/>
    <w:rsid w:val="003D2071"/>
    <w:rsid w:val="003D29A4"/>
    <w:rsid w:val="003D3211"/>
    <w:rsid w:val="003D33EE"/>
    <w:rsid w:val="003D3587"/>
    <w:rsid w:val="003D3FFE"/>
    <w:rsid w:val="003D4EFA"/>
    <w:rsid w:val="003E1F42"/>
    <w:rsid w:val="003E21F6"/>
    <w:rsid w:val="003E6E26"/>
    <w:rsid w:val="003E6E9D"/>
    <w:rsid w:val="003E7E50"/>
    <w:rsid w:val="003F186A"/>
    <w:rsid w:val="003F2361"/>
    <w:rsid w:val="003F4013"/>
    <w:rsid w:val="003F4025"/>
    <w:rsid w:val="003F42DC"/>
    <w:rsid w:val="003F43DA"/>
    <w:rsid w:val="003F4866"/>
    <w:rsid w:val="003F518D"/>
    <w:rsid w:val="003F57AF"/>
    <w:rsid w:val="003F592F"/>
    <w:rsid w:val="003F7F90"/>
    <w:rsid w:val="00400D17"/>
    <w:rsid w:val="00405F1D"/>
    <w:rsid w:val="004110F9"/>
    <w:rsid w:val="004140C5"/>
    <w:rsid w:val="00422FF6"/>
    <w:rsid w:val="0042301D"/>
    <w:rsid w:val="0042788D"/>
    <w:rsid w:val="00427EE7"/>
    <w:rsid w:val="00430C48"/>
    <w:rsid w:val="00431578"/>
    <w:rsid w:val="00432538"/>
    <w:rsid w:val="00435122"/>
    <w:rsid w:val="004422AA"/>
    <w:rsid w:val="0044434B"/>
    <w:rsid w:val="00447FAC"/>
    <w:rsid w:val="00451880"/>
    <w:rsid w:val="00454973"/>
    <w:rsid w:val="0046168E"/>
    <w:rsid w:val="004629F4"/>
    <w:rsid w:val="00467814"/>
    <w:rsid w:val="004707DE"/>
    <w:rsid w:val="00472DD3"/>
    <w:rsid w:val="00474A02"/>
    <w:rsid w:val="0047507C"/>
    <w:rsid w:val="00475C80"/>
    <w:rsid w:val="00476806"/>
    <w:rsid w:val="0048002A"/>
    <w:rsid w:val="00481176"/>
    <w:rsid w:val="00481CC4"/>
    <w:rsid w:val="0048233F"/>
    <w:rsid w:val="00483C1C"/>
    <w:rsid w:val="0048440E"/>
    <w:rsid w:val="0048529C"/>
    <w:rsid w:val="004865CE"/>
    <w:rsid w:val="00490FED"/>
    <w:rsid w:val="00493495"/>
    <w:rsid w:val="00493D69"/>
    <w:rsid w:val="00493F01"/>
    <w:rsid w:val="0049585A"/>
    <w:rsid w:val="00496097"/>
    <w:rsid w:val="00497A2F"/>
    <w:rsid w:val="004A2701"/>
    <w:rsid w:val="004A47C8"/>
    <w:rsid w:val="004B2AFB"/>
    <w:rsid w:val="004B3B36"/>
    <w:rsid w:val="004B4552"/>
    <w:rsid w:val="004B6E31"/>
    <w:rsid w:val="004B7BF0"/>
    <w:rsid w:val="004C1EC8"/>
    <w:rsid w:val="004C2473"/>
    <w:rsid w:val="004C3025"/>
    <w:rsid w:val="004C3435"/>
    <w:rsid w:val="004C552B"/>
    <w:rsid w:val="004C61D3"/>
    <w:rsid w:val="004D0A29"/>
    <w:rsid w:val="004D2AD7"/>
    <w:rsid w:val="004D4A6F"/>
    <w:rsid w:val="004D4AFE"/>
    <w:rsid w:val="004D51BB"/>
    <w:rsid w:val="004D6EFE"/>
    <w:rsid w:val="004D7695"/>
    <w:rsid w:val="004D7962"/>
    <w:rsid w:val="004E313B"/>
    <w:rsid w:val="004E4E50"/>
    <w:rsid w:val="004F1372"/>
    <w:rsid w:val="004F3110"/>
    <w:rsid w:val="004F7024"/>
    <w:rsid w:val="00507E91"/>
    <w:rsid w:val="00513817"/>
    <w:rsid w:val="00515480"/>
    <w:rsid w:val="00515F70"/>
    <w:rsid w:val="005161C4"/>
    <w:rsid w:val="00532250"/>
    <w:rsid w:val="005325E0"/>
    <w:rsid w:val="00534076"/>
    <w:rsid w:val="005352C6"/>
    <w:rsid w:val="00541D1D"/>
    <w:rsid w:val="0054694B"/>
    <w:rsid w:val="00550510"/>
    <w:rsid w:val="00550A95"/>
    <w:rsid w:val="005514CC"/>
    <w:rsid w:val="005520DF"/>
    <w:rsid w:val="005520EC"/>
    <w:rsid w:val="0055499C"/>
    <w:rsid w:val="005554E1"/>
    <w:rsid w:val="00555528"/>
    <w:rsid w:val="005559AE"/>
    <w:rsid w:val="00556A88"/>
    <w:rsid w:val="00557BFC"/>
    <w:rsid w:val="00561FB6"/>
    <w:rsid w:val="005625F1"/>
    <w:rsid w:val="0056507C"/>
    <w:rsid w:val="0056676C"/>
    <w:rsid w:val="00567743"/>
    <w:rsid w:val="00567AB6"/>
    <w:rsid w:val="00570930"/>
    <w:rsid w:val="0057240E"/>
    <w:rsid w:val="00572DDE"/>
    <w:rsid w:val="005735DF"/>
    <w:rsid w:val="0057363A"/>
    <w:rsid w:val="00576309"/>
    <w:rsid w:val="005806B8"/>
    <w:rsid w:val="00582812"/>
    <w:rsid w:val="00591789"/>
    <w:rsid w:val="005A1C8F"/>
    <w:rsid w:val="005A1D1F"/>
    <w:rsid w:val="005A34C1"/>
    <w:rsid w:val="005A35C2"/>
    <w:rsid w:val="005A3892"/>
    <w:rsid w:val="005A6202"/>
    <w:rsid w:val="005A6597"/>
    <w:rsid w:val="005A67E7"/>
    <w:rsid w:val="005A7B77"/>
    <w:rsid w:val="005A7C1B"/>
    <w:rsid w:val="005B047E"/>
    <w:rsid w:val="005B1C91"/>
    <w:rsid w:val="005B523C"/>
    <w:rsid w:val="005B79C1"/>
    <w:rsid w:val="005C02AF"/>
    <w:rsid w:val="005C0FE5"/>
    <w:rsid w:val="005C2571"/>
    <w:rsid w:val="005C392B"/>
    <w:rsid w:val="005C4BBB"/>
    <w:rsid w:val="005C756C"/>
    <w:rsid w:val="005D0618"/>
    <w:rsid w:val="005D0B0E"/>
    <w:rsid w:val="005D1CF2"/>
    <w:rsid w:val="005D3829"/>
    <w:rsid w:val="005D5352"/>
    <w:rsid w:val="005D7E1F"/>
    <w:rsid w:val="005E1086"/>
    <w:rsid w:val="005E1ADC"/>
    <w:rsid w:val="005E1DFE"/>
    <w:rsid w:val="005E26AB"/>
    <w:rsid w:val="005E4B63"/>
    <w:rsid w:val="005E5148"/>
    <w:rsid w:val="005E6142"/>
    <w:rsid w:val="005E69F3"/>
    <w:rsid w:val="005F5CD8"/>
    <w:rsid w:val="005F7C02"/>
    <w:rsid w:val="005F7E03"/>
    <w:rsid w:val="0060165C"/>
    <w:rsid w:val="00601934"/>
    <w:rsid w:val="0060275D"/>
    <w:rsid w:val="00603511"/>
    <w:rsid w:val="00604771"/>
    <w:rsid w:val="00604FD2"/>
    <w:rsid w:val="00610A59"/>
    <w:rsid w:val="0061351A"/>
    <w:rsid w:val="00621B59"/>
    <w:rsid w:val="00623CCE"/>
    <w:rsid w:val="006243E2"/>
    <w:rsid w:val="0062469B"/>
    <w:rsid w:val="0062480C"/>
    <w:rsid w:val="00632691"/>
    <w:rsid w:val="00632F10"/>
    <w:rsid w:val="00634147"/>
    <w:rsid w:val="00636EC9"/>
    <w:rsid w:val="006410B5"/>
    <w:rsid w:val="006420AB"/>
    <w:rsid w:val="00643EA2"/>
    <w:rsid w:val="0064574A"/>
    <w:rsid w:val="00646B2F"/>
    <w:rsid w:val="00646E79"/>
    <w:rsid w:val="0065105F"/>
    <w:rsid w:val="00653D69"/>
    <w:rsid w:val="00655909"/>
    <w:rsid w:val="00655E75"/>
    <w:rsid w:val="00657B44"/>
    <w:rsid w:val="006605A4"/>
    <w:rsid w:val="0066108F"/>
    <w:rsid w:val="00661BE5"/>
    <w:rsid w:val="00663388"/>
    <w:rsid w:val="00663B92"/>
    <w:rsid w:val="00663EB9"/>
    <w:rsid w:val="0066431D"/>
    <w:rsid w:val="00670336"/>
    <w:rsid w:val="00670D42"/>
    <w:rsid w:val="00674DF9"/>
    <w:rsid w:val="00675C86"/>
    <w:rsid w:val="00682DDC"/>
    <w:rsid w:val="00683284"/>
    <w:rsid w:val="00684629"/>
    <w:rsid w:val="006848D8"/>
    <w:rsid w:val="006870DD"/>
    <w:rsid w:val="00687ABB"/>
    <w:rsid w:val="006918C4"/>
    <w:rsid w:val="006951F0"/>
    <w:rsid w:val="006A030C"/>
    <w:rsid w:val="006A30EA"/>
    <w:rsid w:val="006A3939"/>
    <w:rsid w:val="006A5D48"/>
    <w:rsid w:val="006A6EBB"/>
    <w:rsid w:val="006A70E3"/>
    <w:rsid w:val="006B520A"/>
    <w:rsid w:val="006B5706"/>
    <w:rsid w:val="006B7FD9"/>
    <w:rsid w:val="006C17D9"/>
    <w:rsid w:val="006C5780"/>
    <w:rsid w:val="006C64BC"/>
    <w:rsid w:val="006C695B"/>
    <w:rsid w:val="006C6B52"/>
    <w:rsid w:val="006C6C9D"/>
    <w:rsid w:val="006D03E9"/>
    <w:rsid w:val="006D22E4"/>
    <w:rsid w:val="006D2D12"/>
    <w:rsid w:val="006D586B"/>
    <w:rsid w:val="006D67BB"/>
    <w:rsid w:val="006D7393"/>
    <w:rsid w:val="006E0055"/>
    <w:rsid w:val="006E42DB"/>
    <w:rsid w:val="006E5830"/>
    <w:rsid w:val="006E6F81"/>
    <w:rsid w:val="006E7355"/>
    <w:rsid w:val="006F0150"/>
    <w:rsid w:val="006F046E"/>
    <w:rsid w:val="006F0EE2"/>
    <w:rsid w:val="006F1DAB"/>
    <w:rsid w:val="006F34B1"/>
    <w:rsid w:val="006F462E"/>
    <w:rsid w:val="006F4C60"/>
    <w:rsid w:val="00702AFE"/>
    <w:rsid w:val="00704B9D"/>
    <w:rsid w:val="00705FB9"/>
    <w:rsid w:val="0070672B"/>
    <w:rsid w:val="00706ACA"/>
    <w:rsid w:val="007110A5"/>
    <w:rsid w:val="0071152A"/>
    <w:rsid w:val="00712FAE"/>
    <w:rsid w:val="00716806"/>
    <w:rsid w:val="00717777"/>
    <w:rsid w:val="007212FD"/>
    <w:rsid w:val="00721304"/>
    <w:rsid w:val="00723916"/>
    <w:rsid w:val="00723C43"/>
    <w:rsid w:val="007267F6"/>
    <w:rsid w:val="007276D1"/>
    <w:rsid w:val="007279CA"/>
    <w:rsid w:val="00730387"/>
    <w:rsid w:val="0073234A"/>
    <w:rsid w:val="007373EE"/>
    <w:rsid w:val="007401CE"/>
    <w:rsid w:val="007407A5"/>
    <w:rsid w:val="007420F3"/>
    <w:rsid w:val="00742455"/>
    <w:rsid w:val="00742848"/>
    <w:rsid w:val="00743D18"/>
    <w:rsid w:val="00745994"/>
    <w:rsid w:val="007504D0"/>
    <w:rsid w:val="0075081F"/>
    <w:rsid w:val="00750E61"/>
    <w:rsid w:val="00755E37"/>
    <w:rsid w:val="007572B6"/>
    <w:rsid w:val="00760655"/>
    <w:rsid w:val="007614DE"/>
    <w:rsid w:val="00761A1D"/>
    <w:rsid w:val="0076559B"/>
    <w:rsid w:val="00766632"/>
    <w:rsid w:val="0076722D"/>
    <w:rsid w:val="0077087F"/>
    <w:rsid w:val="0077303A"/>
    <w:rsid w:val="00774924"/>
    <w:rsid w:val="00774D61"/>
    <w:rsid w:val="007776F4"/>
    <w:rsid w:val="007813C3"/>
    <w:rsid w:val="00785814"/>
    <w:rsid w:val="007858B7"/>
    <w:rsid w:val="0078735E"/>
    <w:rsid w:val="007879C3"/>
    <w:rsid w:val="00787C88"/>
    <w:rsid w:val="007900C0"/>
    <w:rsid w:val="00795A71"/>
    <w:rsid w:val="007A0964"/>
    <w:rsid w:val="007A27B8"/>
    <w:rsid w:val="007A4021"/>
    <w:rsid w:val="007A66A6"/>
    <w:rsid w:val="007B143F"/>
    <w:rsid w:val="007B57BF"/>
    <w:rsid w:val="007B661B"/>
    <w:rsid w:val="007B6EF0"/>
    <w:rsid w:val="007C1DC6"/>
    <w:rsid w:val="007C3639"/>
    <w:rsid w:val="007C550A"/>
    <w:rsid w:val="007C65A7"/>
    <w:rsid w:val="007C6EBF"/>
    <w:rsid w:val="007C7AF4"/>
    <w:rsid w:val="007D234A"/>
    <w:rsid w:val="007D3C6B"/>
    <w:rsid w:val="007D4FF0"/>
    <w:rsid w:val="007D62F4"/>
    <w:rsid w:val="007E099C"/>
    <w:rsid w:val="007E0E3A"/>
    <w:rsid w:val="007E1ADB"/>
    <w:rsid w:val="007E27C3"/>
    <w:rsid w:val="007E4592"/>
    <w:rsid w:val="007E5792"/>
    <w:rsid w:val="007E5A2D"/>
    <w:rsid w:val="007F1F62"/>
    <w:rsid w:val="007F2408"/>
    <w:rsid w:val="007F2600"/>
    <w:rsid w:val="007F3819"/>
    <w:rsid w:val="007F46D8"/>
    <w:rsid w:val="007F740A"/>
    <w:rsid w:val="00801D2B"/>
    <w:rsid w:val="00802956"/>
    <w:rsid w:val="00805A97"/>
    <w:rsid w:val="008074FA"/>
    <w:rsid w:val="008128F6"/>
    <w:rsid w:val="008139C2"/>
    <w:rsid w:val="00814C6A"/>
    <w:rsid w:val="00814EF9"/>
    <w:rsid w:val="0081597C"/>
    <w:rsid w:val="008230D2"/>
    <w:rsid w:val="00826282"/>
    <w:rsid w:val="0082683E"/>
    <w:rsid w:val="008268F0"/>
    <w:rsid w:val="008275B6"/>
    <w:rsid w:val="00827C7A"/>
    <w:rsid w:val="008302F4"/>
    <w:rsid w:val="008311CF"/>
    <w:rsid w:val="00831E6E"/>
    <w:rsid w:val="0083339E"/>
    <w:rsid w:val="0083350E"/>
    <w:rsid w:val="00835A8E"/>
    <w:rsid w:val="00837A49"/>
    <w:rsid w:val="00837BE7"/>
    <w:rsid w:val="008414B8"/>
    <w:rsid w:val="0084284F"/>
    <w:rsid w:val="00850078"/>
    <w:rsid w:val="00852293"/>
    <w:rsid w:val="00853A1D"/>
    <w:rsid w:val="0085583F"/>
    <w:rsid w:val="00856FBE"/>
    <w:rsid w:val="00857DFF"/>
    <w:rsid w:val="00861A76"/>
    <w:rsid w:val="008651E6"/>
    <w:rsid w:val="0086575B"/>
    <w:rsid w:val="00873007"/>
    <w:rsid w:val="008747CB"/>
    <w:rsid w:val="00876664"/>
    <w:rsid w:val="00876E87"/>
    <w:rsid w:val="00882922"/>
    <w:rsid w:val="0088460E"/>
    <w:rsid w:val="00891B95"/>
    <w:rsid w:val="00891FD1"/>
    <w:rsid w:val="00892314"/>
    <w:rsid w:val="00892749"/>
    <w:rsid w:val="00893C0C"/>
    <w:rsid w:val="008968E6"/>
    <w:rsid w:val="0089789D"/>
    <w:rsid w:val="008A3EBB"/>
    <w:rsid w:val="008A3FCE"/>
    <w:rsid w:val="008A449E"/>
    <w:rsid w:val="008A5B01"/>
    <w:rsid w:val="008A703E"/>
    <w:rsid w:val="008B394B"/>
    <w:rsid w:val="008B3D01"/>
    <w:rsid w:val="008B5B6E"/>
    <w:rsid w:val="008B5F09"/>
    <w:rsid w:val="008B6750"/>
    <w:rsid w:val="008B6C7E"/>
    <w:rsid w:val="008B6E58"/>
    <w:rsid w:val="008B7FFA"/>
    <w:rsid w:val="008D0DA0"/>
    <w:rsid w:val="008D27F3"/>
    <w:rsid w:val="008D2A13"/>
    <w:rsid w:val="008D3A06"/>
    <w:rsid w:val="008D514E"/>
    <w:rsid w:val="008D51FA"/>
    <w:rsid w:val="008D691F"/>
    <w:rsid w:val="008D786F"/>
    <w:rsid w:val="008E14BC"/>
    <w:rsid w:val="008E362F"/>
    <w:rsid w:val="008E444D"/>
    <w:rsid w:val="008E5E4D"/>
    <w:rsid w:val="008E62B2"/>
    <w:rsid w:val="008F11C6"/>
    <w:rsid w:val="008F213F"/>
    <w:rsid w:val="008F2FD2"/>
    <w:rsid w:val="008F3E69"/>
    <w:rsid w:val="008F637E"/>
    <w:rsid w:val="00900F1F"/>
    <w:rsid w:val="00902005"/>
    <w:rsid w:val="009023A3"/>
    <w:rsid w:val="009038AB"/>
    <w:rsid w:val="0090403A"/>
    <w:rsid w:val="00907282"/>
    <w:rsid w:val="00910A00"/>
    <w:rsid w:val="009129D6"/>
    <w:rsid w:val="00913E4E"/>
    <w:rsid w:val="00914CF8"/>
    <w:rsid w:val="00917F68"/>
    <w:rsid w:val="00920548"/>
    <w:rsid w:val="00921392"/>
    <w:rsid w:val="00921462"/>
    <w:rsid w:val="00923C23"/>
    <w:rsid w:val="009265A8"/>
    <w:rsid w:val="009306F1"/>
    <w:rsid w:val="00930BE8"/>
    <w:rsid w:val="0093123C"/>
    <w:rsid w:val="00932460"/>
    <w:rsid w:val="00932742"/>
    <w:rsid w:val="0093307D"/>
    <w:rsid w:val="00933923"/>
    <w:rsid w:val="00936306"/>
    <w:rsid w:val="00945335"/>
    <w:rsid w:val="00945A75"/>
    <w:rsid w:val="00945CEE"/>
    <w:rsid w:val="00946634"/>
    <w:rsid w:val="00952D9E"/>
    <w:rsid w:val="00955875"/>
    <w:rsid w:val="009558E6"/>
    <w:rsid w:val="00955DC3"/>
    <w:rsid w:val="00955F2D"/>
    <w:rsid w:val="009565C1"/>
    <w:rsid w:val="009575EC"/>
    <w:rsid w:val="0096062C"/>
    <w:rsid w:val="009628B4"/>
    <w:rsid w:val="0096393E"/>
    <w:rsid w:val="00964546"/>
    <w:rsid w:val="00965F7B"/>
    <w:rsid w:val="00966F7B"/>
    <w:rsid w:val="0097030A"/>
    <w:rsid w:val="00972716"/>
    <w:rsid w:val="00972BB2"/>
    <w:rsid w:val="00973600"/>
    <w:rsid w:val="00973F5A"/>
    <w:rsid w:val="00974B02"/>
    <w:rsid w:val="009763FE"/>
    <w:rsid w:val="00982225"/>
    <w:rsid w:val="0098250B"/>
    <w:rsid w:val="009836B1"/>
    <w:rsid w:val="009848F8"/>
    <w:rsid w:val="00990EC5"/>
    <w:rsid w:val="0099146E"/>
    <w:rsid w:val="0099207F"/>
    <w:rsid w:val="00994DC4"/>
    <w:rsid w:val="009953F6"/>
    <w:rsid w:val="009965A8"/>
    <w:rsid w:val="009967F1"/>
    <w:rsid w:val="009978DD"/>
    <w:rsid w:val="009A1AC4"/>
    <w:rsid w:val="009A2F19"/>
    <w:rsid w:val="009A3347"/>
    <w:rsid w:val="009A376D"/>
    <w:rsid w:val="009A3B72"/>
    <w:rsid w:val="009A4E20"/>
    <w:rsid w:val="009A5F16"/>
    <w:rsid w:val="009A6EC2"/>
    <w:rsid w:val="009B026A"/>
    <w:rsid w:val="009B092B"/>
    <w:rsid w:val="009B123A"/>
    <w:rsid w:val="009B23BD"/>
    <w:rsid w:val="009B2CFF"/>
    <w:rsid w:val="009B3E5F"/>
    <w:rsid w:val="009B52A4"/>
    <w:rsid w:val="009B6BD3"/>
    <w:rsid w:val="009B6D9B"/>
    <w:rsid w:val="009C33FA"/>
    <w:rsid w:val="009C723A"/>
    <w:rsid w:val="009D0D88"/>
    <w:rsid w:val="009D1020"/>
    <w:rsid w:val="009D2125"/>
    <w:rsid w:val="009D4595"/>
    <w:rsid w:val="009D466B"/>
    <w:rsid w:val="009D775C"/>
    <w:rsid w:val="009E06A5"/>
    <w:rsid w:val="009E2263"/>
    <w:rsid w:val="009E29C6"/>
    <w:rsid w:val="009E6006"/>
    <w:rsid w:val="009E62E4"/>
    <w:rsid w:val="009F3423"/>
    <w:rsid w:val="00A00E79"/>
    <w:rsid w:val="00A0265C"/>
    <w:rsid w:val="00A02AF9"/>
    <w:rsid w:val="00A04F6F"/>
    <w:rsid w:val="00A106AA"/>
    <w:rsid w:val="00A11EB6"/>
    <w:rsid w:val="00A11EC9"/>
    <w:rsid w:val="00A12580"/>
    <w:rsid w:val="00A12C88"/>
    <w:rsid w:val="00A13E62"/>
    <w:rsid w:val="00A1689F"/>
    <w:rsid w:val="00A17C52"/>
    <w:rsid w:val="00A21432"/>
    <w:rsid w:val="00A23B55"/>
    <w:rsid w:val="00A24A4D"/>
    <w:rsid w:val="00A2555C"/>
    <w:rsid w:val="00A25D8C"/>
    <w:rsid w:val="00A27035"/>
    <w:rsid w:val="00A27846"/>
    <w:rsid w:val="00A322C9"/>
    <w:rsid w:val="00A3327F"/>
    <w:rsid w:val="00A334ED"/>
    <w:rsid w:val="00A3388E"/>
    <w:rsid w:val="00A34952"/>
    <w:rsid w:val="00A351CF"/>
    <w:rsid w:val="00A372A2"/>
    <w:rsid w:val="00A37490"/>
    <w:rsid w:val="00A4067C"/>
    <w:rsid w:val="00A45415"/>
    <w:rsid w:val="00A454C3"/>
    <w:rsid w:val="00A502D0"/>
    <w:rsid w:val="00A50C9A"/>
    <w:rsid w:val="00A515A3"/>
    <w:rsid w:val="00A576AE"/>
    <w:rsid w:val="00A57C6F"/>
    <w:rsid w:val="00A60CA7"/>
    <w:rsid w:val="00A60D46"/>
    <w:rsid w:val="00A65B13"/>
    <w:rsid w:val="00A70A36"/>
    <w:rsid w:val="00A75748"/>
    <w:rsid w:val="00A7680A"/>
    <w:rsid w:val="00A777A3"/>
    <w:rsid w:val="00A77B98"/>
    <w:rsid w:val="00A80240"/>
    <w:rsid w:val="00A83441"/>
    <w:rsid w:val="00A90B76"/>
    <w:rsid w:val="00A91415"/>
    <w:rsid w:val="00A9141D"/>
    <w:rsid w:val="00A92311"/>
    <w:rsid w:val="00A94E84"/>
    <w:rsid w:val="00A95437"/>
    <w:rsid w:val="00A974E6"/>
    <w:rsid w:val="00A9767B"/>
    <w:rsid w:val="00AA1FFE"/>
    <w:rsid w:val="00AA3DC4"/>
    <w:rsid w:val="00AA4001"/>
    <w:rsid w:val="00AA4974"/>
    <w:rsid w:val="00AB0017"/>
    <w:rsid w:val="00AB082A"/>
    <w:rsid w:val="00AB2290"/>
    <w:rsid w:val="00AB2436"/>
    <w:rsid w:val="00AB2732"/>
    <w:rsid w:val="00AB50C8"/>
    <w:rsid w:val="00AB5218"/>
    <w:rsid w:val="00AB52C5"/>
    <w:rsid w:val="00AC00F6"/>
    <w:rsid w:val="00AC068F"/>
    <w:rsid w:val="00AC3952"/>
    <w:rsid w:val="00AC3BA6"/>
    <w:rsid w:val="00AC5E50"/>
    <w:rsid w:val="00AC7F6F"/>
    <w:rsid w:val="00AD0733"/>
    <w:rsid w:val="00AD0CAA"/>
    <w:rsid w:val="00AD132D"/>
    <w:rsid w:val="00AD6F4A"/>
    <w:rsid w:val="00AE7129"/>
    <w:rsid w:val="00AE74A2"/>
    <w:rsid w:val="00AE7A6D"/>
    <w:rsid w:val="00AE7B32"/>
    <w:rsid w:val="00AF0BBF"/>
    <w:rsid w:val="00AF5AED"/>
    <w:rsid w:val="00AF5CB9"/>
    <w:rsid w:val="00AF72E4"/>
    <w:rsid w:val="00B03D74"/>
    <w:rsid w:val="00B03FB1"/>
    <w:rsid w:val="00B04B1A"/>
    <w:rsid w:val="00B04F2B"/>
    <w:rsid w:val="00B04FF6"/>
    <w:rsid w:val="00B0563A"/>
    <w:rsid w:val="00B073EA"/>
    <w:rsid w:val="00B07741"/>
    <w:rsid w:val="00B10A88"/>
    <w:rsid w:val="00B151AD"/>
    <w:rsid w:val="00B15ADD"/>
    <w:rsid w:val="00B17AAF"/>
    <w:rsid w:val="00B17E54"/>
    <w:rsid w:val="00B22C29"/>
    <w:rsid w:val="00B24579"/>
    <w:rsid w:val="00B26489"/>
    <w:rsid w:val="00B270D2"/>
    <w:rsid w:val="00B314F6"/>
    <w:rsid w:val="00B33BB7"/>
    <w:rsid w:val="00B34E95"/>
    <w:rsid w:val="00B4314F"/>
    <w:rsid w:val="00B444E6"/>
    <w:rsid w:val="00B44C1F"/>
    <w:rsid w:val="00B44DB5"/>
    <w:rsid w:val="00B46F86"/>
    <w:rsid w:val="00B47F7E"/>
    <w:rsid w:val="00B47FD7"/>
    <w:rsid w:val="00B509B0"/>
    <w:rsid w:val="00B511A4"/>
    <w:rsid w:val="00B516A8"/>
    <w:rsid w:val="00B52C59"/>
    <w:rsid w:val="00B54D28"/>
    <w:rsid w:val="00B56638"/>
    <w:rsid w:val="00B57B14"/>
    <w:rsid w:val="00B60569"/>
    <w:rsid w:val="00B60927"/>
    <w:rsid w:val="00B63A8E"/>
    <w:rsid w:val="00B63EEC"/>
    <w:rsid w:val="00B658CC"/>
    <w:rsid w:val="00B66B44"/>
    <w:rsid w:val="00B67241"/>
    <w:rsid w:val="00B672F2"/>
    <w:rsid w:val="00B67AC8"/>
    <w:rsid w:val="00B7239D"/>
    <w:rsid w:val="00B72EC7"/>
    <w:rsid w:val="00B74216"/>
    <w:rsid w:val="00B7475B"/>
    <w:rsid w:val="00B74D97"/>
    <w:rsid w:val="00B76961"/>
    <w:rsid w:val="00B76F13"/>
    <w:rsid w:val="00B80F8E"/>
    <w:rsid w:val="00B816D7"/>
    <w:rsid w:val="00B849F0"/>
    <w:rsid w:val="00B85F47"/>
    <w:rsid w:val="00B87EB5"/>
    <w:rsid w:val="00B923D8"/>
    <w:rsid w:val="00B9723D"/>
    <w:rsid w:val="00B974A6"/>
    <w:rsid w:val="00B97BEB"/>
    <w:rsid w:val="00BA00B6"/>
    <w:rsid w:val="00BA01F3"/>
    <w:rsid w:val="00BA1DE8"/>
    <w:rsid w:val="00BA23CA"/>
    <w:rsid w:val="00BA363A"/>
    <w:rsid w:val="00BB1CF1"/>
    <w:rsid w:val="00BB52DB"/>
    <w:rsid w:val="00BB6507"/>
    <w:rsid w:val="00BB73A7"/>
    <w:rsid w:val="00BC0D56"/>
    <w:rsid w:val="00BC2EA9"/>
    <w:rsid w:val="00BC4B40"/>
    <w:rsid w:val="00BC5D36"/>
    <w:rsid w:val="00BD08F4"/>
    <w:rsid w:val="00BD0A75"/>
    <w:rsid w:val="00BD0B47"/>
    <w:rsid w:val="00BD4D85"/>
    <w:rsid w:val="00BE6314"/>
    <w:rsid w:val="00BE6E28"/>
    <w:rsid w:val="00BF43DA"/>
    <w:rsid w:val="00C01BE8"/>
    <w:rsid w:val="00C02425"/>
    <w:rsid w:val="00C02BA7"/>
    <w:rsid w:val="00C03E84"/>
    <w:rsid w:val="00C10ECF"/>
    <w:rsid w:val="00C11057"/>
    <w:rsid w:val="00C14002"/>
    <w:rsid w:val="00C15606"/>
    <w:rsid w:val="00C22269"/>
    <w:rsid w:val="00C22CAF"/>
    <w:rsid w:val="00C22EB0"/>
    <w:rsid w:val="00C25A5B"/>
    <w:rsid w:val="00C264CD"/>
    <w:rsid w:val="00C336F9"/>
    <w:rsid w:val="00C34172"/>
    <w:rsid w:val="00C3438F"/>
    <w:rsid w:val="00C373BE"/>
    <w:rsid w:val="00C4008E"/>
    <w:rsid w:val="00C41A31"/>
    <w:rsid w:val="00C41E9F"/>
    <w:rsid w:val="00C42822"/>
    <w:rsid w:val="00C44134"/>
    <w:rsid w:val="00C454A4"/>
    <w:rsid w:val="00C45882"/>
    <w:rsid w:val="00C46E42"/>
    <w:rsid w:val="00C52042"/>
    <w:rsid w:val="00C54E6E"/>
    <w:rsid w:val="00C55062"/>
    <w:rsid w:val="00C67295"/>
    <w:rsid w:val="00C72390"/>
    <w:rsid w:val="00C726B5"/>
    <w:rsid w:val="00C72788"/>
    <w:rsid w:val="00C72AF5"/>
    <w:rsid w:val="00C74A18"/>
    <w:rsid w:val="00C754E3"/>
    <w:rsid w:val="00C7648E"/>
    <w:rsid w:val="00C76B46"/>
    <w:rsid w:val="00C77277"/>
    <w:rsid w:val="00C77DF9"/>
    <w:rsid w:val="00C8065A"/>
    <w:rsid w:val="00C84D79"/>
    <w:rsid w:val="00C8763E"/>
    <w:rsid w:val="00C97393"/>
    <w:rsid w:val="00CA02B1"/>
    <w:rsid w:val="00CA3AF7"/>
    <w:rsid w:val="00CA4841"/>
    <w:rsid w:val="00CA7B5E"/>
    <w:rsid w:val="00CA7BCA"/>
    <w:rsid w:val="00CB1EDF"/>
    <w:rsid w:val="00CB227D"/>
    <w:rsid w:val="00CB28E3"/>
    <w:rsid w:val="00CB2AE1"/>
    <w:rsid w:val="00CB6915"/>
    <w:rsid w:val="00CC26BD"/>
    <w:rsid w:val="00CD0738"/>
    <w:rsid w:val="00CD0DDC"/>
    <w:rsid w:val="00CD4205"/>
    <w:rsid w:val="00CD5E3B"/>
    <w:rsid w:val="00CD619E"/>
    <w:rsid w:val="00CD6BB4"/>
    <w:rsid w:val="00CE0672"/>
    <w:rsid w:val="00CE34C8"/>
    <w:rsid w:val="00CE75EC"/>
    <w:rsid w:val="00CE77D7"/>
    <w:rsid w:val="00CF1715"/>
    <w:rsid w:val="00CF1CE9"/>
    <w:rsid w:val="00CF2371"/>
    <w:rsid w:val="00CF30E1"/>
    <w:rsid w:val="00CF5657"/>
    <w:rsid w:val="00CF5E14"/>
    <w:rsid w:val="00D053E4"/>
    <w:rsid w:val="00D0635C"/>
    <w:rsid w:val="00D10CD3"/>
    <w:rsid w:val="00D113DC"/>
    <w:rsid w:val="00D11620"/>
    <w:rsid w:val="00D11F19"/>
    <w:rsid w:val="00D128E5"/>
    <w:rsid w:val="00D134F5"/>
    <w:rsid w:val="00D153E1"/>
    <w:rsid w:val="00D16CE6"/>
    <w:rsid w:val="00D20774"/>
    <w:rsid w:val="00D21372"/>
    <w:rsid w:val="00D2151F"/>
    <w:rsid w:val="00D22D78"/>
    <w:rsid w:val="00D30152"/>
    <w:rsid w:val="00D31C42"/>
    <w:rsid w:val="00D35733"/>
    <w:rsid w:val="00D374CB"/>
    <w:rsid w:val="00D40604"/>
    <w:rsid w:val="00D4229C"/>
    <w:rsid w:val="00D43F61"/>
    <w:rsid w:val="00D45589"/>
    <w:rsid w:val="00D46532"/>
    <w:rsid w:val="00D50D92"/>
    <w:rsid w:val="00D54F66"/>
    <w:rsid w:val="00D55636"/>
    <w:rsid w:val="00D557F5"/>
    <w:rsid w:val="00D55BDB"/>
    <w:rsid w:val="00D571C4"/>
    <w:rsid w:val="00D57782"/>
    <w:rsid w:val="00D57AD5"/>
    <w:rsid w:val="00D70713"/>
    <w:rsid w:val="00D70E03"/>
    <w:rsid w:val="00D723F7"/>
    <w:rsid w:val="00D750F5"/>
    <w:rsid w:val="00D756D8"/>
    <w:rsid w:val="00D8007A"/>
    <w:rsid w:val="00D802DA"/>
    <w:rsid w:val="00D81EA1"/>
    <w:rsid w:val="00D8295A"/>
    <w:rsid w:val="00D82C94"/>
    <w:rsid w:val="00D8562E"/>
    <w:rsid w:val="00D85D56"/>
    <w:rsid w:val="00D861E2"/>
    <w:rsid w:val="00D86F16"/>
    <w:rsid w:val="00D87846"/>
    <w:rsid w:val="00D91770"/>
    <w:rsid w:val="00D91F37"/>
    <w:rsid w:val="00D92394"/>
    <w:rsid w:val="00D945A8"/>
    <w:rsid w:val="00D954C3"/>
    <w:rsid w:val="00D97AAD"/>
    <w:rsid w:val="00DA19AE"/>
    <w:rsid w:val="00DA2A37"/>
    <w:rsid w:val="00DA3609"/>
    <w:rsid w:val="00DA4469"/>
    <w:rsid w:val="00DA5850"/>
    <w:rsid w:val="00DC0701"/>
    <w:rsid w:val="00DC1B49"/>
    <w:rsid w:val="00DC3BE8"/>
    <w:rsid w:val="00DC42AE"/>
    <w:rsid w:val="00DC5E64"/>
    <w:rsid w:val="00DC72D2"/>
    <w:rsid w:val="00DD06B5"/>
    <w:rsid w:val="00DD1B8C"/>
    <w:rsid w:val="00DD1BD4"/>
    <w:rsid w:val="00DD2DC6"/>
    <w:rsid w:val="00DD3567"/>
    <w:rsid w:val="00DD396E"/>
    <w:rsid w:val="00DD4E67"/>
    <w:rsid w:val="00DD5BBD"/>
    <w:rsid w:val="00DE0016"/>
    <w:rsid w:val="00DE0A05"/>
    <w:rsid w:val="00DE0EC7"/>
    <w:rsid w:val="00DF2718"/>
    <w:rsid w:val="00DF3F9E"/>
    <w:rsid w:val="00DF5288"/>
    <w:rsid w:val="00DF6F57"/>
    <w:rsid w:val="00DF7C91"/>
    <w:rsid w:val="00E10D98"/>
    <w:rsid w:val="00E14204"/>
    <w:rsid w:val="00E25252"/>
    <w:rsid w:val="00E254BB"/>
    <w:rsid w:val="00E26E2A"/>
    <w:rsid w:val="00E27AE3"/>
    <w:rsid w:val="00E3032A"/>
    <w:rsid w:val="00E354AA"/>
    <w:rsid w:val="00E400FE"/>
    <w:rsid w:val="00E41379"/>
    <w:rsid w:val="00E41384"/>
    <w:rsid w:val="00E421B9"/>
    <w:rsid w:val="00E46548"/>
    <w:rsid w:val="00E47B2E"/>
    <w:rsid w:val="00E50A29"/>
    <w:rsid w:val="00E50B3F"/>
    <w:rsid w:val="00E51C27"/>
    <w:rsid w:val="00E53E6C"/>
    <w:rsid w:val="00E5753F"/>
    <w:rsid w:val="00E61619"/>
    <w:rsid w:val="00E61625"/>
    <w:rsid w:val="00E619B4"/>
    <w:rsid w:val="00E61E01"/>
    <w:rsid w:val="00E633CD"/>
    <w:rsid w:val="00E63C47"/>
    <w:rsid w:val="00E64BF3"/>
    <w:rsid w:val="00E67F61"/>
    <w:rsid w:val="00E72DE5"/>
    <w:rsid w:val="00E73AFA"/>
    <w:rsid w:val="00E82E2D"/>
    <w:rsid w:val="00E84185"/>
    <w:rsid w:val="00E94845"/>
    <w:rsid w:val="00E96D75"/>
    <w:rsid w:val="00E974F6"/>
    <w:rsid w:val="00E9760A"/>
    <w:rsid w:val="00E97FF4"/>
    <w:rsid w:val="00EA1DA0"/>
    <w:rsid w:val="00EA285B"/>
    <w:rsid w:val="00EA2F0B"/>
    <w:rsid w:val="00EA5614"/>
    <w:rsid w:val="00EA5684"/>
    <w:rsid w:val="00EA57FC"/>
    <w:rsid w:val="00EA5B2F"/>
    <w:rsid w:val="00EA5F64"/>
    <w:rsid w:val="00EA610E"/>
    <w:rsid w:val="00EA66C6"/>
    <w:rsid w:val="00EB01AD"/>
    <w:rsid w:val="00EB057F"/>
    <w:rsid w:val="00EB2FFE"/>
    <w:rsid w:val="00EB31CD"/>
    <w:rsid w:val="00EB365F"/>
    <w:rsid w:val="00EB51AE"/>
    <w:rsid w:val="00EB6375"/>
    <w:rsid w:val="00EB6655"/>
    <w:rsid w:val="00EB66FC"/>
    <w:rsid w:val="00EB6C55"/>
    <w:rsid w:val="00EC2BE8"/>
    <w:rsid w:val="00EC3D10"/>
    <w:rsid w:val="00EC3D80"/>
    <w:rsid w:val="00EC6AFA"/>
    <w:rsid w:val="00ED30B6"/>
    <w:rsid w:val="00ED4BBB"/>
    <w:rsid w:val="00ED7E8C"/>
    <w:rsid w:val="00EE4AAF"/>
    <w:rsid w:val="00EE5F75"/>
    <w:rsid w:val="00EF1CB1"/>
    <w:rsid w:val="00F00054"/>
    <w:rsid w:val="00F01FE8"/>
    <w:rsid w:val="00F02D9A"/>
    <w:rsid w:val="00F03FE4"/>
    <w:rsid w:val="00F0550A"/>
    <w:rsid w:val="00F05EAA"/>
    <w:rsid w:val="00F077C4"/>
    <w:rsid w:val="00F1093B"/>
    <w:rsid w:val="00F1349F"/>
    <w:rsid w:val="00F15601"/>
    <w:rsid w:val="00F16499"/>
    <w:rsid w:val="00F17694"/>
    <w:rsid w:val="00F17C4A"/>
    <w:rsid w:val="00F2041D"/>
    <w:rsid w:val="00F23549"/>
    <w:rsid w:val="00F254DB"/>
    <w:rsid w:val="00F2717F"/>
    <w:rsid w:val="00F30E23"/>
    <w:rsid w:val="00F311FF"/>
    <w:rsid w:val="00F32FA8"/>
    <w:rsid w:val="00F3385A"/>
    <w:rsid w:val="00F3397F"/>
    <w:rsid w:val="00F33F55"/>
    <w:rsid w:val="00F34D83"/>
    <w:rsid w:val="00F361CA"/>
    <w:rsid w:val="00F36632"/>
    <w:rsid w:val="00F36905"/>
    <w:rsid w:val="00F36BDB"/>
    <w:rsid w:val="00F371B7"/>
    <w:rsid w:val="00F40DD4"/>
    <w:rsid w:val="00F43FE2"/>
    <w:rsid w:val="00F45B98"/>
    <w:rsid w:val="00F540EC"/>
    <w:rsid w:val="00F5629F"/>
    <w:rsid w:val="00F57920"/>
    <w:rsid w:val="00F61494"/>
    <w:rsid w:val="00F66B12"/>
    <w:rsid w:val="00F725BC"/>
    <w:rsid w:val="00F729AA"/>
    <w:rsid w:val="00F76F7F"/>
    <w:rsid w:val="00F80387"/>
    <w:rsid w:val="00F803CF"/>
    <w:rsid w:val="00F80797"/>
    <w:rsid w:val="00F81541"/>
    <w:rsid w:val="00F81AA3"/>
    <w:rsid w:val="00F83C45"/>
    <w:rsid w:val="00F84D36"/>
    <w:rsid w:val="00F856C8"/>
    <w:rsid w:val="00F87694"/>
    <w:rsid w:val="00F91004"/>
    <w:rsid w:val="00FA066A"/>
    <w:rsid w:val="00FA070F"/>
    <w:rsid w:val="00FA4BE8"/>
    <w:rsid w:val="00FA5906"/>
    <w:rsid w:val="00FA693F"/>
    <w:rsid w:val="00FB0CD0"/>
    <w:rsid w:val="00FB10E1"/>
    <w:rsid w:val="00FB5A4D"/>
    <w:rsid w:val="00FB6913"/>
    <w:rsid w:val="00FB6EDB"/>
    <w:rsid w:val="00FC43B6"/>
    <w:rsid w:val="00FD09A5"/>
    <w:rsid w:val="00FD160B"/>
    <w:rsid w:val="00FD250C"/>
    <w:rsid w:val="00FD3B2C"/>
    <w:rsid w:val="00FD52E4"/>
    <w:rsid w:val="00FD681F"/>
    <w:rsid w:val="00FE5360"/>
    <w:rsid w:val="00FE7AFD"/>
    <w:rsid w:val="00FF0A0E"/>
    <w:rsid w:val="00FF1248"/>
    <w:rsid w:val="00FF2189"/>
    <w:rsid w:val="00FF2EC8"/>
    <w:rsid w:val="00FF42C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465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56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A5684"/>
    <w:pPr>
      <w:jc w:val="right"/>
    </w:pPr>
    <w:rPr>
      <w:rFonts w:ascii="Garamond" w:hAnsi="Garamond"/>
      <w:sz w:val="28"/>
      <w:szCs w:val="28"/>
    </w:rPr>
  </w:style>
  <w:style w:type="character" w:customStyle="1" w:styleId="BodyText2Char">
    <w:name w:val="Body Text 2 Char"/>
    <w:basedOn w:val="DefaultParagraphFont"/>
    <w:link w:val="BodyText2"/>
    <w:rsid w:val="00EA5684"/>
    <w:rPr>
      <w:rFonts w:ascii="Garamond" w:eastAsia="Times New Roman" w:hAnsi="Garamond" w:cs="Times New Roman"/>
      <w:sz w:val="28"/>
      <w:szCs w:val="28"/>
    </w:rPr>
  </w:style>
  <w:style w:type="paragraph" w:customStyle="1" w:styleId="tv213">
    <w:name w:val="tv213"/>
    <w:basedOn w:val="Normal"/>
    <w:rsid w:val="00EA5684"/>
    <w:pPr>
      <w:spacing w:before="100" w:beforeAutospacing="1" w:after="100" w:afterAutospacing="1"/>
    </w:pPr>
    <w:rPr>
      <w:lang w:eastAsia="lv-LV"/>
    </w:rPr>
  </w:style>
  <w:style w:type="paragraph" w:styleId="ListParagraph">
    <w:name w:val="List Paragraph"/>
    <w:basedOn w:val="Normal"/>
    <w:uiPriority w:val="34"/>
    <w:qFormat/>
    <w:rsid w:val="00EA5684"/>
    <w:pPr>
      <w:ind w:left="720"/>
      <w:contextualSpacing/>
    </w:pPr>
  </w:style>
  <w:style w:type="paragraph" w:styleId="BalloonText">
    <w:name w:val="Balloon Text"/>
    <w:basedOn w:val="Normal"/>
    <w:link w:val="BalloonTextChar"/>
    <w:uiPriority w:val="99"/>
    <w:semiHidden/>
    <w:unhideWhenUsed/>
    <w:rsid w:val="00EA5684"/>
    <w:rPr>
      <w:rFonts w:ascii="Tahoma" w:hAnsi="Tahoma" w:cs="Tahoma"/>
      <w:sz w:val="16"/>
      <w:szCs w:val="16"/>
    </w:rPr>
  </w:style>
  <w:style w:type="character" w:customStyle="1" w:styleId="BalloonTextChar">
    <w:name w:val="Balloon Text Char"/>
    <w:basedOn w:val="DefaultParagraphFont"/>
    <w:link w:val="BalloonText"/>
    <w:uiPriority w:val="99"/>
    <w:semiHidden/>
    <w:rsid w:val="00EA568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514CC"/>
    <w:rPr>
      <w:sz w:val="16"/>
      <w:szCs w:val="16"/>
    </w:rPr>
  </w:style>
  <w:style w:type="paragraph" w:styleId="CommentText">
    <w:name w:val="annotation text"/>
    <w:basedOn w:val="Normal"/>
    <w:link w:val="CommentTextChar"/>
    <w:uiPriority w:val="99"/>
    <w:semiHidden/>
    <w:unhideWhenUsed/>
    <w:rsid w:val="005514CC"/>
    <w:rPr>
      <w:sz w:val="20"/>
      <w:szCs w:val="20"/>
    </w:rPr>
  </w:style>
  <w:style w:type="character" w:customStyle="1" w:styleId="CommentTextChar">
    <w:name w:val="Comment Text Char"/>
    <w:basedOn w:val="DefaultParagraphFont"/>
    <w:link w:val="CommentText"/>
    <w:uiPriority w:val="99"/>
    <w:semiHidden/>
    <w:rsid w:val="005514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14CC"/>
    <w:rPr>
      <w:b/>
      <w:bCs/>
    </w:rPr>
  </w:style>
  <w:style w:type="character" w:customStyle="1" w:styleId="CommentSubjectChar">
    <w:name w:val="Comment Subject Char"/>
    <w:basedOn w:val="CommentTextChar"/>
    <w:link w:val="CommentSubject"/>
    <w:uiPriority w:val="99"/>
    <w:semiHidden/>
    <w:rsid w:val="005514C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9585A"/>
    <w:pPr>
      <w:tabs>
        <w:tab w:val="center" w:pos="4153"/>
        <w:tab w:val="right" w:pos="8306"/>
      </w:tabs>
    </w:pPr>
  </w:style>
  <w:style w:type="character" w:customStyle="1" w:styleId="HeaderChar">
    <w:name w:val="Header Char"/>
    <w:basedOn w:val="DefaultParagraphFont"/>
    <w:link w:val="Header"/>
    <w:uiPriority w:val="99"/>
    <w:rsid w:val="0049585A"/>
    <w:rPr>
      <w:rFonts w:ascii="Times New Roman" w:eastAsia="Times New Roman" w:hAnsi="Times New Roman" w:cs="Times New Roman"/>
      <w:sz w:val="24"/>
      <w:szCs w:val="24"/>
    </w:rPr>
  </w:style>
  <w:style w:type="paragraph" w:styleId="Footer">
    <w:name w:val="footer"/>
    <w:basedOn w:val="Normal"/>
    <w:link w:val="FooterChar"/>
    <w:unhideWhenUsed/>
    <w:rsid w:val="0049585A"/>
    <w:pPr>
      <w:tabs>
        <w:tab w:val="center" w:pos="4153"/>
        <w:tab w:val="right" w:pos="8306"/>
      </w:tabs>
    </w:pPr>
  </w:style>
  <w:style w:type="character" w:customStyle="1" w:styleId="FooterChar">
    <w:name w:val="Footer Char"/>
    <w:basedOn w:val="DefaultParagraphFont"/>
    <w:link w:val="Footer"/>
    <w:uiPriority w:val="99"/>
    <w:rsid w:val="0049585A"/>
    <w:rPr>
      <w:rFonts w:ascii="Times New Roman" w:eastAsia="Times New Roman" w:hAnsi="Times New Roman" w:cs="Times New Roman"/>
      <w:sz w:val="24"/>
      <w:szCs w:val="24"/>
    </w:rPr>
  </w:style>
  <w:style w:type="character" w:styleId="PageNumber">
    <w:name w:val="page number"/>
    <w:basedOn w:val="DefaultParagraphFont"/>
    <w:rsid w:val="0049585A"/>
  </w:style>
  <w:style w:type="paragraph" w:styleId="NormalWeb">
    <w:name w:val="Normal (Web)"/>
    <w:basedOn w:val="Normal"/>
    <w:uiPriority w:val="99"/>
    <w:semiHidden/>
    <w:unhideWhenUsed/>
    <w:rsid w:val="00D723F7"/>
    <w:pPr>
      <w:spacing w:before="100" w:beforeAutospacing="1" w:after="100" w:afterAutospacing="1"/>
    </w:pPr>
    <w:rPr>
      <w:lang w:val="en-US"/>
    </w:rPr>
  </w:style>
  <w:style w:type="table" w:styleId="TableGrid">
    <w:name w:val="Table Grid"/>
    <w:basedOn w:val="TableNormal"/>
    <w:uiPriority w:val="39"/>
    <w:rsid w:val="00A95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BC2EA9"/>
    <w:pPr>
      <w:ind w:left="720"/>
      <w:contextualSpacing/>
    </w:pPr>
    <w:rPr>
      <w:rFonts w:ascii="Cambria" w:eastAsia="MS Mincho" w:hAnsi="Cambria"/>
    </w:rPr>
  </w:style>
  <w:style w:type="paragraph" w:styleId="FootnoteText">
    <w:name w:val="footnote text"/>
    <w:basedOn w:val="Normal"/>
    <w:link w:val="FootnoteTextChar"/>
    <w:unhideWhenUsed/>
    <w:rsid w:val="00BC2EA9"/>
    <w:rPr>
      <w:rFonts w:ascii="Cambria" w:eastAsia="MS Mincho" w:hAnsi="Cambria"/>
      <w:lang w:eastAsia="x-none"/>
    </w:rPr>
  </w:style>
  <w:style w:type="character" w:customStyle="1" w:styleId="FootnoteTextChar">
    <w:name w:val="Footnote Text Char"/>
    <w:basedOn w:val="DefaultParagraphFont"/>
    <w:link w:val="FootnoteText"/>
    <w:rsid w:val="00BC2EA9"/>
    <w:rPr>
      <w:rFonts w:ascii="Cambria" w:eastAsia="MS Mincho" w:hAnsi="Cambria" w:cs="Times New Roman"/>
      <w:sz w:val="24"/>
      <w:szCs w:val="24"/>
      <w:lang w:eastAsia="x-none"/>
    </w:rPr>
  </w:style>
  <w:style w:type="character" w:styleId="FootnoteReference">
    <w:name w:val="footnote reference"/>
    <w:unhideWhenUsed/>
    <w:rsid w:val="00BC2EA9"/>
    <w:rPr>
      <w:vertAlign w:val="superscript"/>
    </w:rPr>
  </w:style>
  <w:style w:type="character" w:styleId="Hyperlink">
    <w:name w:val="Hyperlink"/>
    <w:basedOn w:val="DefaultParagraphFont"/>
    <w:uiPriority w:val="99"/>
    <w:unhideWhenUsed/>
    <w:rsid w:val="006918C4"/>
    <w:rPr>
      <w:color w:val="0000FF" w:themeColor="hyperlink"/>
      <w:u w:val="single"/>
    </w:rPr>
  </w:style>
  <w:style w:type="character" w:styleId="UnresolvedMention">
    <w:name w:val="Unresolved Mention"/>
    <w:basedOn w:val="DefaultParagraphFont"/>
    <w:uiPriority w:val="99"/>
    <w:semiHidden/>
    <w:unhideWhenUsed/>
    <w:rsid w:val="006918C4"/>
    <w:rPr>
      <w:color w:val="605E5C"/>
      <w:shd w:val="clear" w:color="auto" w:fill="E1DFDD"/>
    </w:rPr>
  </w:style>
  <w:style w:type="character" w:styleId="FollowedHyperlink">
    <w:name w:val="FollowedHyperlink"/>
    <w:basedOn w:val="DefaultParagraphFont"/>
    <w:uiPriority w:val="99"/>
    <w:semiHidden/>
    <w:unhideWhenUsed/>
    <w:rsid w:val="00831E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730892">
      <w:bodyDiv w:val="1"/>
      <w:marLeft w:val="0"/>
      <w:marRight w:val="0"/>
      <w:marTop w:val="0"/>
      <w:marBottom w:val="0"/>
      <w:divBdr>
        <w:top w:val="none" w:sz="0" w:space="0" w:color="auto"/>
        <w:left w:val="none" w:sz="0" w:space="0" w:color="auto"/>
        <w:bottom w:val="none" w:sz="0" w:space="0" w:color="auto"/>
        <w:right w:val="none" w:sz="0" w:space="0" w:color="auto"/>
      </w:divBdr>
    </w:div>
    <w:div w:id="197894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B7751-A97E-4049-9555-4E3863A59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8964</Words>
  <Characters>5110</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2019-02-21T06:59:00Z</dcterms:created>
  <dcterms:modified xsi:type="dcterms:W3CDTF">2019-02-21T06:59:00Z</dcterms:modified>
</cp:coreProperties>
</file>