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FFE0A" w14:textId="77777777" w:rsidR="000D22C6" w:rsidRPr="00E1693D" w:rsidRDefault="00E1693D" w:rsidP="00E1693D">
      <w:pPr>
        <w:suppressAutoHyphens/>
        <w:autoSpaceDN w:val="0"/>
        <w:spacing w:after="0" w:line="276" w:lineRule="auto"/>
        <w:jc w:val="both"/>
        <w:textAlignment w:val="baseline"/>
        <w:rPr>
          <w:rFonts w:cs="Times New Roman"/>
          <w:b/>
          <w:szCs w:val="24"/>
        </w:rPr>
      </w:pPr>
      <w:r w:rsidRPr="00E1693D">
        <w:rPr>
          <w:rFonts w:cs="Times New Roman"/>
          <w:b/>
          <w:szCs w:val="24"/>
        </w:rPr>
        <w:t>Tiesa, neveicot pierādījumu pārbaudi, nevar konstatēt no apsūdzības atšķirīgus noziedzīgā nodarījuma faktiskos apstākļus</w:t>
      </w:r>
    </w:p>
    <w:p w14:paraId="5A518BFD" w14:textId="77777777" w:rsidR="00E1693D" w:rsidRPr="006D6285" w:rsidRDefault="00E1693D" w:rsidP="00E1693D">
      <w:pPr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</w:rPr>
      </w:pPr>
    </w:p>
    <w:p w14:paraId="05745842" w14:textId="77777777" w:rsidR="000D22C6" w:rsidRPr="006D6285" w:rsidRDefault="000D22C6" w:rsidP="000D22C6">
      <w:pPr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</w:p>
    <w:p w14:paraId="5B6A8C4E" w14:textId="77777777" w:rsidR="00DB46D8" w:rsidRPr="00DB46D8" w:rsidRDefault="000D22C6" w:rsidP="00DB46D8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eastAsia="Calibri" w:cs="Times New Roman"/>
          <w:b/>
          <w:szCs w:val="24"/>
        </w:rPr>
      </w:pPr>
      <w:r w:rsidRPr="00DB46D8">
        <w:rPr>
          <w:rFonts w:eastAsia="Calibri" w:cs="Times New Roman"/>
          <w:b/>
          <w:szCs w:val="24"/>
        </w:rPr>
        <w:t>Latvijas Republikas Augstākā</w:t>
      </w:r>
      <w:r w:rsidR="00DB46D8" w:rsidRPr="00DB46D8">
        <w:rPr>
          <w:rFonts w:eastAsia="Calibri" w:cs="Times New Roman"/>
          <w:b/>
          <w:szCs w:val="24"/>
        </w:rPr>
        <w:t>s</w:t>
      </w:r>
      <w:r w:rsidRPr="00DB46D8">
        <w:rPr>
          <w:rFonts w:eastAsia="Calibri" w:cs="Times New Roman"/>
          <w:b/>
          <w:szCs w:val="24"/>
        </w:rPr>
        <w:t xml:space="preserve"> tiesa</w:t>
      </w:r>
      <w:r w:rsidR="00DB46D8" w:rsidRPr="00DB46D8">
        <w:rPr>
          <w:rFonts w:eastAsia="Calibri" w:cs="Times New Roman"/>
          <w:b/>
          <w:szCs w:val="24"/>
        </w:rPr>
        <w:t>s</w:t>
      </w:r>
    </w:p>
    <w:p w14:paraId="21956C3F" w14:textId="77777777" w:rsidR="00DB46D8" w:rsidRDefault="00DB46D8" w:rsidP="00DB46D8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eastAsia="Calibri" w:cs="Times New Roman"/>
          <w:b/>
          <w:szCs w:val="24"/>
        </w:rPr>
      </w:pPr>
      <w:r w:rsidRPr="00DB46D8">
        <w:rPr>
          <w:rFonts w:eastAsia="Calibri" w:cs="Times New Roman"/>
          <w:b/>
          <w:szCs w:val="24"/>
        </w:rPr>
        <w:t>Krimināllietu departamenta</w:t>
      </w:r>
    </w:p>
    <w:p w14:paraId="7C66738A" w14:textId="77777777" w:rsidR="00DE223C" w:rsidRDefault="00DE223C" w:rsidP="00DB46D8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eastAsia="Calibri" w:cs="Times New Roman"/>
          <w:b/>
          <w:szCs w:val="24"/>
        </w:rPr>
      </w:pPr>
      <w:proofErr w:type="gramStart"/>
      <w:r>
        <w:rPr>
          <w:rFonts w:eastAsia="Calibri" w:cs="Times New Roman"/>
          <w:b/>
          <w:szCs w:val="24"/>
        </w:rPr>
        <w:t>2018.gada</w:t>
      </w:r>
      <w:proofErr w:type="gramEnd"/>
      <w:r>
        <w:rPr>
          <w:rFonts w:eastAsia="Calibri" w:cs="Times New Roman"/>
          <w:b/>
          <w:szCs w:val="24"/>
        </w:rPr>
        <w:t xml:space="preserve"> 6.septembra</w:t>
      </w:r>
    </w:p>
    <w:p w14:paraId="016B805B" w14:textId="77777777" w:rsidR="00DB46D8" w:rsidRPr="00DB46D8" w:rsidRDefault="000D22C6" w:rsidP="00DB46D8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eastAsia="Calibri" w:cs="Times New Roman"/>
          <w:b/>
          <w:szCs w:val="24"/>
        </w:rPr>
      </w:pPr>
      <w:r w:rsidRPr="00DB46D8">
        <w:rPr>
          <w:rFonts w:eastAsia="Calibri" w:cs="Times New Roman"/>
          <w:b/>
          <w:szCs w:val="24"/>
        </w:rPr>
        <w:t>LĒMUMS</w:t>
      </w:r>
      <w:r w:rsidR="00DB46D8" w:rsidRPr="00DB46D8">
        <w:rPr>
          <w:rFonts w:eastAsia="Calibri" w:cs="Times New Roman"/>
          <w:b/>
          <w:szCs w:val="24"/>
        </w:rPr>
        <w:t xml:space="preserve"> </w:t>
      </w:r>
    </w:p>
    <w:p w14:paraId="1427C30E" w14:textId="77777777" w:rsidR="00DB46D8" w:rsidRDefault="00DB46D8" w:rsidP="00DB46D8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eastAsia="Calibri" w:cs="Times New Roman"/>
          <w:b/>
          <w:szCs w:val="24"/>
        </w:rPr>
      </w:pPr>
      <w:r w:rsidRPr="00DB46D8">
        <w:rPr>
          <w:rFonts w:eastAsia="Calibri" w:cs="Times New Roman"/>
          <w:b/>
          <w:szCs w:val="24"/>
        </w:rPr>
        <w:t>Lieta Nr. 11903038816, SKK-423/2018</w:t>
      </w:r>
    </w:p>
    <w:p w14:paraId="5472B911" w14:textId="77777777" w:rsidR="00DE223C" w:rsidRPr="00DE223C" w:rsidRDefault="00DE223C" w:rsidP="00DB46D8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eastAsia="Calibri" w:cs="Times New Roman"/>
          <w:b/>
          <w:szCs w:val="24"/>
        </w:rPr>
      </w:pPr>
      <w:r w:rsidRPr="00DE223C">
        <w:rPr>
          <w:b/>
        </w:rPr>
        <w:t>ECLI:LV:AT:2018:0906.11903038816.11.L</w:t>
      </w:r>
    </w:p>
    <w:p w14:paraId="5032A35E" w14:textId="77777777" w:rsidR="000D22C6" w:rsidRPr="006D6285" w:rsidRDefault="000D22C6" w:rsidP="00DE223C">
      <w:pPr>
        <w:suppressAutoHyphens/>
        <w:autoSpaceDN w:val="0"/>
        <w:spacing w:after="0" w:line="276" w:lineRule="auto"/>
        <w:textAlignment w:val="baseline"/>
        <w:rPr>
          <w:rFonts w:eastAsia="Calibri" w:cs="Times New Roman"/>
          <w:b/>
          <w:szCs w:val="24"/>
        </w:rPr>
      </w:pPr>
    </w:p>
    <w:p w14:paraId="41B23BBE" w14:textId="77777777" w:rsidR="000D22C6" w:rsidRPr="006D6285" w:rsidRDefault="000D22C6" w:rsidP="000D22C6">
      <w:pPr>
        <w:tabs>
          <w:tab w:val="left" w:pos="7641"/>
        </w:tabs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ab/>
      </w:r>
    </w:p>
    <w:p w14:paraId="6DAAC5C2" w14:textId="77777777" w:rsidR="000D22C6" w:rsidRPr="006D6285" w:rsidRDefault="000D22C6" w:rsidP="000D22C6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>Augstākā tiesa šādā sastāvā:</w:t>
      </w:r>
    </w:p>
    <w:p w14:paraId="4B71863B" w14:textId="77777777" w:rsidR="000D22C6" w:rsidRDefault="000D22C6" w:rsidP="000D22C6">
      <w:pPr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</w:p>
    <w:p w14:paraId="5D376EDB" w14:textId="77777777" w:rsidR="000D22C6" w:rsidRPr="006D6285" w:rsidRDefault="008B1BBC" w:rsidP="008B1BBC">
      <w:pPr>
        <w:tabs>
          <w:tab w:val="left" w:pos="1134"/>
        </w:tabs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ab/>
      </w:r>
      <w:r w:rsidR="000D22C6" w:rsidRPr="006D6285">
        <w:rPr>
          <w:rFonts w:eastAsia="Calibri" w:cs="Times New Roman"/>
          <w:szCs w:val="24"/>
        </w:rPr>
        <w:t>tiesnese Anita Nusberga,</w:t>
      </w:r>
    </w:p>
    <w:p w14:paraId="32A4B734" w14:textId="77777777" w:rsidR="000D22C6" w:rsidRPr="006D6285" w:rsidRDefault="008B1BBC" w:rsidP="008B1BBC">
      <w:pPr>
        <w:tabs>
          <w:tab w:val="left" w:pos="1134"/>
        </w:tabs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ab/>
      </w:r>
      <w:r w:rsidR="000D22C6">
        <w:rPr>
          <w:rFonts w:eastAsia="Calibri" w:cs="Times New Roman"/>
          <w:szCs w:val="24"/>
        </w:rPr>
        <w:t xml:space="preserve">tiesnesis </w:t>
      </w:r>
      <w:r w:rsidR="00F20284">
        <w:rPr>
          <w:rFonts w:eastAsia="Calibri" w:cs="Times New Roman"/>
          <w:szCs w:val="24"/>
        </w:rPr>
        <w:t xml:space="preserve">Voldemārs </w:t>
      </w:r>
      <w:proofErr w:type="spellStart"/>
      <w:r w:rsidR="00F20284">
        <w:rPr>
          <w:rFonts w:eastAsia="Calibri" w:cs="Times New Roman"/>
          <w:szCs w:val="24"/>
        </w:rPr>
        <w:t>Čiževskis</w:t>
      </w:r>
      <w:proofErr w:type="spellEnd"/>
    </w:p>
    <w:p w14:paraId="74151217" w14:textId="77777777" w:rsidR="000D22C6" w:rsidRPr="006D6285" w:rsidRDefault="008B1BBC" w:rsidP="008B1BBC">
      <w:pPr>
        <w:tabs>
          <w:tab w:val="left" w:pos="-4200"/>
          <w:tab w:val="left" w:pos="1134"/>
        </w:tabs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ab/>
      </w:r>
      <w:r w:rsidR="000D22C6" w:rsidRPr="006D6285">
        <w:rPr>
          <w:rFonts w:eastAsia="Calibri" w:cs="Times New Roman"/>
          <w:szCs w:val="24"/>
        </w:rPr>
        <w:t xml:space="preserve">tiesnesis </w:t>
      </w:r>
      <w:r w:rsidR="00F20284">
        <w:rPr>
          <w:rFonts w:eastAsia="Calibri" w:cs="Times New Roman"/>
          <w:szCs w:val="24"/>
        </w:rPr>
        <w:t>Artūrs Freibergs</w:t>
      </w:r>
    </w:p>
    <w:p w14:paraId="6763F224" w14:textId="77777777" w:rsidR="000D22C6" w:rsidRDefault="000D22C6" w:rsidP="000D22C6">
      <w:pPr>
        <w:tabs>
          <w:tab w:val="left" w:pos="-312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Calibri" w:cs="Times New Roman"/>
          <w:szCs w:val="24"/>
        </w:rPr>
      </w:pPr>
    </w:p>
    <w:p w14:paraId="004D3D9A" w14:textId="77777777" w:rsidR="000D22C6" w:rsidRDefault="000D22C6" w:rsidP="004448D5">
      <w:pPr>
        <w:tabs>
          <w:tab w:val="left" w:pos="-312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 xml:space="preserve">izskatīja rakstveida procesā krimināllietu sakarā ar </w:t>
      </w:r>
      <w:r w:rsidR="00E60431">
        <w:rPr>
          <w:rFonts w:eastAsia="Calibri" w:cs="Times New Roman"/>
          <w:szCs w:val="24"/>
        </w:rPr>
        <w:t>Rēzeknes</w:t>
      </w:r>
      <w:r w:rsidR="004448D5">
        <w:rPr>
          <w:rFonts w:eastAsia="Calibri" w:cs="Times New Roman"/>
          <w:szCs w:val="24"/>
        </w:rPr>
        <w:t xml:space="preserve"> prokuratūras prokurore</w:t>
      </w:r>
      <w:r w:rsidR="00167B61">
        <w:rPr>
          <w:rFonts w:eastAsia="Calibri" w:cs="Times New Roman"/>
          <w:szCs w:val="24"/>
        </w:rPr>
        <w:t>s</w:t>
      </w:r>
      <w:r w:rsidR="004448D5">
        <w:rPr>
          <w:rFonts w:eastAsia="Calibri" w:cs="Times New Roman"/>
          <w:szCs w:val="24"/>
        </w:rPr>
        <w:t xml:space="preserve"> </w:t>
      </w:r>
      <w:r w:rsidR="00390D36">
        <w:rPr>
          <w:rFonts w:eastAsia="Calibri" w:cs="Times New Roman"/>
          <w:szCs w:val="24"/>
        </w:rPr>
        <w:t xml:space="preserve">Jeļenas </w:t>
      </w:r>
      <w:proofErr w:type="spellStart"/>
      <w:r w:rsidR="00390D36">
        <w:rPr>
          <w:rFonts w:eastAsia="Calibri" w:cs="Times New Roman"/>
          <w:szCs w:val="24"/>
        </w:rPr>
        <w:t>Laganovskas</w:t>
      </w:r>
      <w:proofErr w:type="spellEnd"/>
      <w:r w:rsidR="004448D5">
        <w:rPr>
          <w:rFonts w:eastAsia="Calibri" w:cs="Times New Roman"/>
          <w:szCs w:val="24"/>
        </w:rPr>
        <w:t xml:space="preserve"> </w:t>
      </w:r>
      <w:r w:rsidR="004448D5" w:rsidRPr="004448D5">
        <w:rPr>
          <w:rFonts w:eastAsia="Calibri" w:cs="Times New Roman"/>
          <w:szCs w:val="24"/>
        </w:rPr>
        <w:t xml:space="preserve">kasācijas protestu </w:t>
      </w:r>
      <w:r w:rsidRPr="006D6285">
        <w:rPr>
          <w:rFonts w:eastAsia="Calibri" w:cs="Times New Roman"/>
          <w:szCs w:val="24"/>
        </w:rPr>
        <w:t xml:space="preserve">par </w:t>
      </w:r>
      <w:r w:rsidR="004448D5">
        <w:rPr>
          <w:rFonts w:eastAsia="Calibri" w:cs="Times New Roman"/>
          <w:szCs w:val="24"/>
        </w:rPr>
        <w:t>Latgales</w:t>
      </w:r>
      <w:r>
        <w:rPr>
          <w:rFonts w:eastAsia="Calibri" w:cs="Times New Roman"/>
          <w:szCs w:val="24"/>
        </w:rPr>
        <w:t xml:space="preserve"> apgabaltiesas </w:t>
      </w:r>
      <w:proofErr w:type="gramStart"/>
      <w:r>
        <w:rPr>
          <w:rFonts w:eastAsia="Calibri" w:cs="Times New Roman"/>
          <w:szCs w:val="24"/>
        </w:rPr>
        <w:t>2018</w:t>
      </w:r>
      <w:r w:rsidRPr="006D6285">
        <w:rPr>
          <w:rFonts w:eastAsia="Calibri" w:cs="Times New Roman"/>
          <w:szCs w:val="24"/>
        </w:rPr>
        <w:t>.gada</w:t>
      </w:r>
      <w:proofErr w:type="gramEnd"/>
      <w:r w:rsidRPr="006D6285">
        <w:rPr>
          <w:rFonts w:eastAsia="Calibri" w:cs="Times New Roman"/>
          <w:szCs w:val="24"/>
        </w:rPr>
        <w:t xml:space="preserve"> </w:t>
      </w:r>
      <w:r w:rsidR="004448D5">
        <w:rPr>
          <w:rFonts w:eastAsia="Calibri" w:cs="Times New Roman"/>
          <w:szCs w:val="24"/>
        </w:rPr>
        <w:t>21</w:t>
      </w:r>
      <w:r w:rsidR="00AD2FB7">
        <w:rPr>
          <w:rFonts w:eastAsia="Calibri" w:cs="Times New Roman"/>
          <w:szCs w:val="24"/>
        </w:rPr>
        <w:t>.</w:t>
      </w:r>
      <w:r w:rsidR="005B35DB">
        <w:rPr>
          <w:rFonts w:eastAsia="Calibri" w:cs="Times New Roman"/>
          <w:szCs w:val="24"/>
        </w:rPr>
        <w:t xml:space="preserve">marta lēmumu un </w:t>
      </w:r>
      <w:r w:rsidR="005B35DB" w:rsidRPr="005B35DB">
        <w:rPr>
          <w:rFonts w:eastAsia="Calibri" w:cs="Times New Roman"/>
          <w:szCs w:val="24"/>
        </w:rPr>
        <w:t>blakus</w:t>
      </w:r>
      <w:r w:rsidR="005B35DB">
        <w:rPr>
          <w:rFonts w:eastAsia="Calibri" w:cs="Times New Roman"/>
          <w:szCs w:val="24"/>
        </w:rPr>
        <w:t xml:space="preserve"> lēmumu.</w:t>
      </w:r>
    </w:p>
    <w:p w14:paraId="2E40ED5A" w14:textId="77777777" w:rsidR="00167B61" w:rsidRPr="005D6D3C" w:rsidRDefault="00167B61" w:rsidP="004448D5">
      <w:pPr>
        <w:tabs>
          <w:tab w:val="left" w:pos="-312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Calibri" w:cs="Times New Roman"/>
          <w:szCs w:val="24"/>
        </w:rPr>
      </w:pPr>
    </w:p>
    <w:p w14:paraId="0BDE5637" w14:textId="77777777" w:rsidR="000D22C6" w:rsidRPr="006D6285" w:rsidRDefault="000D22C6" w:rsidP="00B21E0D">
      <w:pPr>
        <w:suppressAutoHyphens/>
        <w:autoSpaceDN w:val="0"/>
        <w:spacing w:after="0" w:line="276" w:lineRule="auto"/>
        <w:jc w:val="center"/>
        <w:textAlignment w:val="baseline"/>
        <w:rPr>
          <w:rFonts w:eastAsia="Calibri" w:cs="Times New Roman"/>
          <w:b/>
          <w:szCs w:val="24"/>
        </w:rPr>
      </w:pPr>
      <w:r w:rsidRPr="006D6285">
        <w:rPr>
          <w:rFonts w:eastAsia="Calibri" w:cs="Times New Roman"/>
          <w:b/>
          <w:szCs w:val="24"/>
        </w:rPr>
        <w:t>Aprakstošā daļa</w:t>
      </w:r>
    </w:p>
    <w:p w14:paraId="6B9E268A" w14:textId="77777777" w:rsidR="000D22C6" w:rsidRPr="006D6285" w:rsidRDefault="000D22C6" w:rsidP="000D22C6">
      <w:pPr>
        <w:suppressAutoHyphens/>
        <w:autoSpaceDN w:val="0"/>
        <w:spacing w:after="0" w:line="276" w:lineRule="auto"/>
        <w:jc w:val="center"/>
        <w:textAlignment w:val="baseline"/>
        <w:rPr>
          <w:rFonts w:eastAsia="Calibri" w:cs="Times New Roman"/>
          <w:b/>
          <w:szCs w:val="24"/>
        </w:rPr>
      </w:pPr>
    </w:p>
    <w:p w14:paraId="2D395C91" w14:textId="77777777" w:rsidR="000D22C6" w:rsidRDefault="000D22C6" w:rsidP="000D22C6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 xml:space="preserve">[1] Ar </w:t>
      </w:r>
      <w:r w:rsidR="005B35DB">
        <w:rPr>
          <w:rFonts w:eastAsia="Calibri" w:cs="Times New Roman"/>
          <w:szCs w:val="24"/>
        </w:rPr>
        <w:t xml:space="preserve">Rēzeknes tiesas </w:t>
      </w:r>
      <w:proofErr w:type="gramStart"/>
      <w:r w:rsidR="005B35DB">
        <w:rPr>
          <w:rFonts w:eastAsia="Calibri" w:cs="Times New Roman"/>
          <w:szCs w:val="24"/>
        </w:rPr>
        <w:t>2017</w:t>
      </w:r>
      <w:r>
        <w:rPr>
          <w:rFonts w:eastAsia="Calibri" w:cs="Times New Roman"/>
          <w:szCs w:val="24"/>
        </w:rPr>
        <w:t>.gada</w:t>
      </w:r>
      <w:proofErr w:type="gramEnd"/>
      <w:r>
        <w:rPr>
          <w:rFonts w:eastAsia="Calibri" w:cs="Times New Roman"/>
          <w:szCs w:val="24"/>
        </w:rPr>
        <w:t xml:space="preserve"> </w:t>
      </w:r>
      <w:r w:rsidR="005B35DB">
        <w:rPr>
          <w:rFonts w:eastAsia="Calibri" w:cs="Times New Roman"/>
          <w:szCs w:val="24"/>
        </w:rPr>
        <w:t>13.oktobra</w:t>
      </w:r>
      <w:r>
        <w:rPr>
          <w:rFonts w:eastAsia="Calibri" w:cs="Times New Roman"/>
          <w:szCs w:val="24"/>
        </w:rPr>
        <w:t xml:space="preserve"> spriedumu </w:t>
      </w:r>
    </w:p>
    <w:p w14:paraId="0CA0F7D4" w14:textId="77777777" w:rsidR="000D22C6" w:rsidRDefault="00DB46D8" w:rsidP="000D22C6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[Pers. A]</w:t>
      </w:r>
      <w:r w:rsidR="000D22C6">
        <w:rPr>
          <w:rFonts w:eastAsia="Calibri" w:cs="Times New Roman"/>
          <w:szCs w:val="24"/>
        </w:rPr>
        <w:t xml:space="preserve">, personas kods </w:t>
      </w:r>
      <w:bookmarkStart w:id="0" w:name="_GoBack"/>
      <w:r>
        <w:rPr>
          <w:rFonts w:eastAsia="Calibri" w:cs="Times New Roman"/>
          <w:szCs w:val="24"/>
        </w:rPr>
        <w:t>[..]</w:t>
      </w:r>
      <w:bookmarkEnd w:id="0"/>
      <w:r w:rsidR="000D22C6">
        <w:rPr>
          <w:rFonts w:eastAsia="Calibri" w:cs="Times New Roman"/>
          <w:szCs w:val="24"/>
        </w:rPr>
        <w:t>,</w:t>
      </w:r>
    </w:p>
    <w:p w14:paraId="165028A1" w14:textId="77777777" w:rsidR="000D22C6" w:rsidRDefault="000D22C6" w:rsidP="004448D5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atzīts</w:t>
      </w:r>
      <w:r w:rsidRPr="006D6285">
        <w:rPr>
          <w:rFonts w:eastAsia="Calibri" w:cs="Times New Roman"/>
          <w:szCs w:val="24"/>
        </w:rPr>
        <w:t xml:space="preserve"> par vainīgu Krimināllikuma </w:t>
      </w:r>
      <w:proofErr w:type="gramStart"/>
      <w:r w:rsidR="005B35DB">
        <w:rPr>
          <w:rFonts w:eastAsia="Calibri" w:cs="Times New Roman"/>
          <w:szCs w:val="24"/>
        </w:rPr>
        <w:t>253</w:t>
      </w:r>
      <w:r>
        <w:rPr>
          <w:rFonts w:eastAsia="Calibri" w:cs="Times New Roman"/>
          <w:szCs w:val="24"/>
        </w:rPr>
        <w:t>.panta</w:t>
      </w:r>
      <w:proofErr w:type="gramEnd"/>
      <w:r>
        <w:rPr>
          <w:rFonts w:eastAsia="Calibri" w:cs="Times New Roman"/>
          <w:szCs w:val="24"/>
        </w:rPr>
        <w:t xml:space="preserve"> </w:t>
      </w:r>
      <w:r w:rsidR="005B35DB">
        <w:rPr>
          <w:rFonts w:eastAsia="Calibri" w:cs="Times New Roman"/>
          <w:szCs w:val="24"/>
        </w:rPr>
        <w:t>otrajā</w:t>
      </w:r>
      <w:r w:rsidR="00AD2FB7">
        <w:rPr>
          <w:rFonts w:eastAsia="Calibri" w:cs="Times New Roman"/>
          <w:szCs w:val="24"/>
        </w:rPr>
        <w:t xml:space="preserve"> daļā</w:t>
      </w:r>
      <w:r>
        <w:rPr>
          <w:rFonts w:eastAsia="Calibri" w:cs="Times New Roman"/>
          <w:szCs w:val="24"/>
        </w:rPr>
        <w:t xml:space="preserve"> </w:t>
      </w:r>
      <w:r w:rsidRPr="006D6285">
        <w:rPr>
          <w:rFonts w:eastAsia="Calibri" w:cs="Times New Roman"/>
          <w:szCs w:val="24"/>
        </w:rPr>
        <w:t>paredzētajā n</w:t>
      </w:r>
      <w:r w:rsidR="00AD2FB7">
        <w:rPr>
          <w:rFonts w:eastAsia="Calibri" w:cs="Times New Roman"/>
          <w:szCs w:val="24"/>
        </w:rPr>
        <w:t xml:space="preserve">oziedzīgajā nodarījumā un </w:t>
      </w:r>
      <w:r>
        <w:rPr>
          <w:rFonts w:eastAsia="Calibri" w:cs="Times New Roman"/>
          <w:szCs w:val="24"/>
        </w:rPr>
        <w:t>sodīts</w:t>
      </w:r>
      <w:r w:rsidRPr="006D6285">
        <w:rPr>
          <w:rFonts w:eastAsia="Calibri" w:cs="Times New Roman"/>
          <w:szCs w:val="24"/>
        </w:rPr>
        <w:t xml:space="preserve"> ar </w:t>
      </w:r>
      <w:r w:rsidR="005B35DB">
        <w:rPr>
          <w:rFonts w:eastAsia="Calibri" w:cs="Times New Roman"/>
          <w:szCs w:val="24"/>
        </w:rPr>
        <w:t>br</w:t>
      </w:r>
      <w:r w:rsidR="006756C7">
        <w:rPr>
          <w:rFonts w:eastAsia="Calibri" w:cs="Times New Roman"/>
          <w:szCs w:val="24"/>
        </w:rPr>
        <w:t>īvības atņemšanu uz 3 gadiem 1 mēnesi un</w:t>
      </w:r>
      <w:r w:rsidR="009547B0">
        <w:rPr>
          <w:rFonts w:eastAsia="Calibri" w:cs="Times New Roman"/>
          <w:szCs w:val="24"/>
        </w:rPr>
        <w:t xml:space="preserve"> </w:t>
      </w:r>
      <w:r w:rsidR="005B35DB">
        <w:rPr>
          <w:rFonts w:eastAsia="Calibri" w:cs="Times New Roman"/>
          <w:szCs w:val="24"/>
        </w:rPr>
        <w:t xml:space="preserve">probācijas uzraudzību uz 1 gadu. </w:t>
      </w:r>
    </w:p>
    <w:p w14:paraId="1C336D33" w14:textId="77777777" w:rsidR="000D22C6" w:rsidRDefault="000D22C6" w:rsidP="00726B84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</w:p>
    <w:p w14:paraId="7BF106A7" w14:textId="77777777" w:rsidR="005B35DB" w:rsidRDefault="000D22C6" w:rsidP="005B35DB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[2</w:t>
      </w:r>
      <w:r w:rsidRPr="006D6285">
        <w:rPr>
          <w:rFonts w:eastAsia="Calibri" w:cs="Times New Roman"/>
          <w:szCs w:val="24"/>
        </w:rPr>
        <w:t>] Ar</w:t>
      </w:r>
      <w:r>
        <w:rPr>
          <w:rFonts w:eastAsia="Calibri" w:cs="Times New Roman"/>
          <w:szCs w:val="24"/>
        </w:rPr>
        <w:t xml:space="preserve"> pirmās instance</w:t>
      </w:r>
      <w:r w:rsidR="00782192">
        <w:rPr>
          <w:rFonts w:eastAsia="Calibri" w:cs="Times New Roman"/>
          <w:szCs w:val="24"/>
        </w:rPr>
        <w:t xml:space="preserve">s tiesas spriedumu </w:t>
      </w:r>
      <w:r w:rsidR="00DB46D8">
        <w:rPr>
          <w:rFonts w:eastAsia="Calibri" w:cs="Times New Roman"/>
          <w:szCs w:val="24"/>
        </w:rPr>
        <w:t>[pers. A]</w:t>
      </w:r>
      <w:r w:rsidR="008F1EBE" w:rsidRPr="005B35DB">
        <w:t xml:space="preserve"> </w:t>
      </w:r>
      <w:proofErr w:type="gramStart"/>
      <w:r w:rsidR="008F1EBE">
        <w:rPr>
          <w:rFonts w:eastAsia="Calibri" w:cs="Times New Roman"/>
          <w:szCs w:val="24"/>
        </w:rPr>
        <w:t>atzīts par vainīgu un sodīts</w:t>
      </w:r>
      <w:r w:rsidR="00782192">
        <w:rPr>
          <w:rFonts w:eastAsia="Calibri" w:cs="Times New Roman"/>
          <w:szCs w:val="24"/>
        </w:rPr>
        <w:t xml:space="preserve"> </w:t>
      </w:r>
      <w:r w:rsidR="008F1EBE">
        <w:rPr>
          <w:rFonts w:eastAsia="Calibri" w:cs="Times New Roman"/>
          <w:szCs w:val="24"/>
        </w:rPr>
        <w:t>par narkotisko vielu</w:t>
      </w:r>
      <w:proofErr w:type="gramEnd"/>
      <w:r w:rsidR="008F1EBE" w:rsidRPr="005B35DB">
        <w:rPr>
          <w:rFonts w:eastAsia="Calibri" w:cs="Times New Roman"/>
          <w:szCs w:val="24"/>
        </w:rPr>
        <w:t xml:space="preserve"> </w:t>
      </w:r>
      <w:r w:rsidR="008F1EBE">
        <w:rPr>
          <w:rFonts w:eastAsia="Calibri" w:cs="Times New Roman"/>
          <w:szCs w:val="24"/>
        </w:rPr>
        <w:t>neatļautu</w:t>
      </w:r>
      <w:r w:rsidR="005B35DB" w:rsidRPr="005B35DB">
        <w:rPr>
          <w:rFonts w:eastAsia="Calibri" w:cs="Times New Roman"/>
          <w:szCs w:val="24"/>
        </w:rPr>
        <w:t xml:space="preserve"> </w:t>
      </w:r>
      <w:r w:rsidR="008F1EBE">
        <w:rPr>
          <w:rFonts w:eastAsia="Calibri" w:cs="Times New Roman"/>
          <w:szCs w:val="24"/>
        </w:rPr>
        <w:t>iegādāšanos un glabāšanu</w:t>
      </w:r>
      <w:r w:rsidR="005B35DB" w:rsidRPr="005B35DB">
        <w:rPr>
          <w:rFonts w:eastAsia="Calibri" w:cs="Times New Roman"/>
          <w:szCs w:val="24"/>
        </w:rPr>
        <w:t xml:space="preserve"> </w:t>
      </w:r>
      <w:r w:rsidR="00F20284">
        <w:rPr>
          <w:rFonts w:eastAsia="Calibri" w:cs="Times New Roman"/>
          <w:szCs w:val="24"/>
        </w:rPr>
        <w:t>lielā apmērā bez nolūka tās</w:t>
      </w:r>
      <w:r w:rsidR="005B35DB">
        <w:rPr>
          <w:rFonts w:eastAsia="Calibri" w:cs="Times New Roman"/>
          <w:szCs w:val="24"/>
        </w:rPr>
        <w:t xml:space="preserve"> realizēt.</w:t>
      </w:r>
    </w:p>
    <w:p w14:paraId="68993FA8" w14:textId="77777777" w:rsidR="005B35DB" w:rsidRPr="008F1EBE" w:rsidRDefault="000D22C6" w:rsidP="008F1EBE">
      <w:pPr>
        <w:shd w:val="clear" w:color="auto" w:fill="FFFFFF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>Noziedzīgais nodarījums izdarīts šādos pirmās instances tiesas konstatētos apstākļos.</w:t>
      </w:r>
    </w:p>
    <w:p w14:paraId="5A2C0E22" w14:textId="77777777" w:rsidR="005B35DB" w:rsidRPr="007B6220" w:rsidRDefault="00DB46D8" w:rsidP="008F1EBE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r>
        <w:t>[Pers. A]</w:t>
      </w:r>
      <w:r w:rsidR="008F1EBE">
        <w:t xml:space="preserve"> </w:t>
      </w:r>
      <w:proofErr w:type="gramStart"/>
      <w:r w:rsidR="005B35DB">
        <w:t>2016.gada</w:t>
      </w:r>
      <w:proofErr w:type="gramEnd"/>
      <w:r w:rsidR="005B35DB">
        <w:t xml:space="preserve"> augustā, pirmstiesas kriminālprocesā precīzi nenoskaidrotā laikā un </w:t>
      </w:r>
      <w:r w:rsidR="005B35DB" w:rsidRPr="007B6220">
        <w:t xml:space="preserve">vietā, personīgai lietošanai neatļauti iegādājās </w:t>
      </w:r>
      <w:proofErr w:type="spellStart"/>
      <w:r w:rsidR="005B35DB" w:rsidRPr="007B6220">
        <w:t>zaļganbrūnas</w:t>
      </w:r>
      <w:proofErr w:type="spellEnd"/>
      <w:r w:rsidR="005B35DB" w:rsidRPr="007B6220">
        <w:t xml:space="preserve"> krā</w:t>
      </w:r>
      <w:r w:rsidR="008F1EBE" w:rsidRPr="007B6220">
        <w:t>sas augu valsts izcelsmes masu -</w:t>
      </w:r>
      <w:r w:rsidR="004549BF">
        <w:t xml:space="preserve"> kanabisu (marihuānu),</w:t>
      </w:r>
      <w:r w:rsidR="005B35DB" w:rsidRPr="007B6220">
        <w:t xml:space="preserve"> kuras svars izžāvētā veidā bija 155 gra</w:t>
      </w:r>
      <w:r w:rsidR="008C3CB7" w:rsidRPr="007B6220">
        <w:t xml:space="preserve">mi, </w:t>
      </w:r>
      <w:r w:rsidR="00F154A8" w:rsidRPr="007B6220">
        <w:t xml:space="preserve">tas ir, lielā apmērā, </w:t>
      </w:r>
      <w:r w:rsidR="00F20284">
        <w:t>un neatļauti glabāja t</w:t>
      </w:r>
      <w:r w:rsidR="00CE1EEA">
        <w:t>o</w:t>
      </w:r>
      <w:r w:rsidR="005B35DB" w:rsidRPr="007B6220">
        <w:t xml:space="preserve"> savā dzīvesvietā</w:t>
      </w:r>
      <w:r w:rsidR="008F1EBE" w:rsidRPr="007B6220">
        <w:t xml:space="preserve"> </w:t>
      </w:r>
      <w:r>
        <w:t>[..]</w:t>
      </w:r>
      <w:r w:rsidR="004549BF">
        <w:t>.</w:t>
      </w:r>
    </w:p>
    <w:p w14:paraId="67272316" w14:textId="77777777" w:rsidR="000D22C6" w:rsidRDefault="000D22C6" w:rsidP="00424FA1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</w:rPr>
      </w:pPr>
      <w:r w:rsidRPr="007B6220">
        <w:rPr>
          <w:rFonts w:eastAsia="Calibri" w:cs="Times New Roman"/>
        </w:rPr>
        <w:t xml:space="preserve">Šādas </w:t>
      </w:r>
      <w:r w:rsidR="00DB46D8">
        <w:rPr>
          <w:rFonts w:eastAsia="Calibri" w:cs="Times New Roman"/>
        </w:rPr>
        <w:t>[pers. A]</w:t>
      </w:r>
      <w:r w:rsidRPr="007B6220">
        <w:rPr>
          <w:rFonts w:eastAsia="Calibri" w:cs="Times New Roman"/>
        </w:rPr>
        <w:t xml:space="preserve"> darbības</w:t>
      </w:r>
      <w:r>
        <w:rPr>
          <w:rFonts w:eastAsia="Calibri" w:cs="Times New Roman"/>
        </w:rPr>
        <w:t xml:space="preserve"> </w:t>
      </w:r>
      <w:r w:rsidRPr="006D6285">
        <w:rPr>
          <w:rFonts w:eastAsia="Calibri" w:cs="Times New Roman"/>
        </w:rPr>
        <w:t xml:space="preserve">kvalificētas pēc Krimināllikuma </w:t>
      </w:r>
      <w:proofErr w:type="gramStart"/>
      <w:r w:rsidR="008C3CB7">
        <w:rPr>
          <w:rFonts w:eastAsia="Calibri" w:cs="Times New Roman"/>
        </w:rPr>
        <w:t>253</w:t>
      </w:r>
      <w:r w:rsidRPr="006D6285">
        <w:rPr>
          <w:rFonts w:eastAsia="Calibri" w:cs="Times New Roman"/>
        </w:rPr>
        <w:t>.panta</w:t>
      </w:r>
      <w:proofErr w:type="gramEnd"/>
      <w:r w:rsidRPr="006D6285">
        <w:rPr>
          <w:rFonts w:eastAsia="Calibri" w:cs="Times New Roman"/>
        </w:rPr>
        <w:t xml:space="preserve"> </w:t>
      </w:r>
      <w:r w:rsidR="008C3CB7">
        <w:rPr>
          <w:rFonts w:eastAsia="Calibri" w:cs="Times New Roman"/>
        </w:rPr>
        <w:t>otrās</w:t>
      </w:r>
      <w:r w:rsidR="005F1944">
        <w:rPr>
          <w:rFonts w:eastAsia="Calibri" w:cs="Times New Roman"/>
        </w:rPr>
        <w:t xml:space="preserve"> daļ</w:t>
      </w:r>
      <w:r w:rsidR="00D33EFC">
        <w:rPr>
          <w:rFonts w:eastAsia="Calibri" w:cs="Times New Roman"/>
        </w:rPr>
        <w:t>as</w:t>
      </w:r>
      <w:r w:rsidR="00BF596B">
        <w:rPr>
          <w:rFonts w:eastAsia="Calibri" w:cs="Times New Roman"/>
        </w:rPr>
        <w:t>.</w:t>
      </w:r>
    </w:p>
    <w:p w14:paraId="637A030B" w14:textId="77777777" w:rsidR="000D22C6" w:rsidRDefault="000D22C6" w:rsidP="006D0CE9">
      <w:pPr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</w:rPr>
      </w:pPr>
    </w:p>
    <w:p w14:paraId="5AD3A718" w14:textId="77777777" w:rsidR="005F3CDB" w:rsidRDefault="000D22C6" w:rsidP="005F3CDB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[3] Ar </w:t>
      </w:r>
      <w:r w:rsidR="00E60431">
        <w:rPr>
          <w:rFonts w:eastAsia="Calibri" w:cs="Times New Roman"/>
          <w:szCs w:val="24"/>
        </w:rPr>
        <w:t>Latgales</w:t>
      </w:r>
      <w:r>
        <w:rPr>
          <w:rFonts w:eastAsia="Calibri" w:cs="Times New Roman"/>
          <w:szCs w:val="24"/>
        </w:rPr>
        <w:t xml:space="preserve"> apgabaltiesas </w:t>
      </w:r>
      <w:proofErr w:type="gramStart"/>
      <w:r>
        <w:rPr>
          <w:rFonts w:eastAsia="Calibri" w:cs="Times New Roman"/>
          <w:szCs w:val="24"/>
        </w:rPr>
        <w:t>201</w:t>
      </w:r>
      <w:r w:rsidR="00D33EFC">
        <w:rPr>
          <w:rFonts w:eastAsia="Calibri" w:cs="Times New Roman"/>
          <w:szCs w:val="24"/>
        </w:rPr>
        <w:t>8</w:t>
      </w:r>
      <w:r>
        <w:rPr>
          <w:rFonts w:eastAsia="Calibri" w:cs="Times New Roman"/>
          <w:szCs w:val="24"/>
        </w:rPr>
        <w:t>.gada</w:t>
      </w:r>
      <w:proofErr w:type="gramEnd"/>
      <w:r>
        <w:rPr>
          <w:rFonts w:eastAsia="Calibri" w:cs="Times New Roman"/>
          <w:szCs w:val="24"/>
        </w:rPr>
        <w:t xml:space="preserve"> </w:t>
      </w:r>
      <w:r w:rsidR="00E60431">
        <w:rPr>
          <w:rFonts w:eastAsia="Calibri" w:cs="Times New Roman"/>
          <w:szCs w:val="24"/>
        </w:rPr>
        <w:t>21</w:t>
      </w:r>
      <w:r w:rsidR="00BF596B">
        <w:rPr>
          <w:rFonts w:eastAsia="Calibri" w:cs="Times New Roman"/>
          <w:szCs w:val="24"/>
        </w:rPr>
        <w:t>.</w:t>
      </w:r>
      <w:r w:rsidR="008C3CB7">
        <w:rPr>
          <w:rFonts w:eastAsia="Calibri" w:cs="Times New Roman"/>
          <w:szCs w:val="24"/>
        </w:rPr>
        <w:t>marta</w:t>
      </w:r>
      <w:r w:rsidR="00D33EFC">
        <w:rPr>
          <w:rFonts w:eastAsia="Calibri" w:cs="Times New Roman"/>
          <w:szCs w:val="24"/>
        </w:rPr>
        <w:t xml:space="preserve"> </w:t>
      </w:r>
      <w:r w:rsidR="00AA1E6C">
        <w:rPr>
          <w:rFonts w:eastAsia="Calibri" w:cs="Times New Roman"/>
          <w:szCs w:val="24"/>
        </w:rPr>
        <w:t>lēmumu</w:t>
      </w:r>
      <w:r w:rsidRPr="006D6285">
        <w:rPr>
          <w:rFonts w:eastAsia="Calibri" w:cs="Times New Roman"/>
          <w:szCs w:val="24"/>
        </w:rPr>
        <w:t xml:space="preserve">, iztiesājot lietu apelācijas kārtībā sakarā ar </w:t>
      </w:r>
      <w:r w:rsidR="00E462EF">
        <w:rPr>
          <w:rFonts w:eastAsia="Calibri" w:cs="Times New Roman"/>
          <w:szCs w:val="24"/>
        </w:rPr>
        <w:t xml:space="preserve">apsūdzētā </w:t>
      </w:r>
      <w:r w:rsidR="00DB46D8">
        <w:rPr>
          <w:rFonts w:eastAsia="Calibri" w:cs="Times New Roman"/>
          <w:szCs w:val="24"/>
        </w:rPr>
        <w:t>[pers. A]</w:t>
      </w:r>
      <w:r w:rsidR="00E462EF">
        <w:rPr>
          <w:rFonts w:eastAsia="Calibri" w:cs="Times New Roman"/>
          <w:szCs w:val="24"/>
        </w:rPr>
        <w:t xml:space="preserve"> aizstāvja V. </w:t>
      </w:r>
      <w:proofErr w:type="spellStart"/>
      <w:r w:rsidR="00E462EF">
        <w:rPr>
          <w:rFonts w:eastAsia="Calibri" w:cs="Times New Roman"/>
          <w:szCs w:val="24"/>
        </w:rPr>
        <w:t>Platpira</w:t>
      </w:r>
      <w:proofErr w:type="spellEnd"/>
      <w:r w:rsidR="00E462EF">
        <w:rPr>
          <w:rFonts w:eastAsia="Calibri" w:cs="Times New Roman"/>
          <w:szCs w:val="24"/>
        </w:rPr>
        <w:t xml:space="preserve"> </w:t>
      </w:r>
      <w:r w:rsidR="00E60431">
        <w:rPr>
          <w:rFonts w:eastAsia="Calibri" w:cs="Times New Roman"/>
          <w:szCs w:val="24"/>
        </w:rPr>
        <w:t xml:space="preserve">apelācijas </w:t>
      </w:r>
      <w:r w:rsidR="006D0CE9">
        <w:rPr>
          <w:rFonts w:eastAsia="Calibri" w:cs="Times New Roman"/>
          <w:szCs w:val="24"/>
        </w:rPr>
        <w:t>sūdzību</w:t>
      </w:r>
      <w:r>
        <w:rPr>
          <w:rFonts w:eastAsia="Calibri" w:cs="Times New Roman"/>
          <w:szCs w:val="24"/>
        </w:rPr>
        <w:t xml:space="preserve">, </w:t>
      </w:r>
      <w:r w:rsidR="007B6220" w:rsidRPr="007B6220">
        <w:rPr>
          <w:rFonts w:eastAsia="Calibri" w:cs="Times New Roman"/>
          <w:szCs w:val="24"/>
        </w:rPr>
        <w:t xml:space="preserve">Rēzeknes tiesas 2017.gada 13.oktobra </w:t>
      </w:r>
      <w:r w:rsidR="00AA1E6C">
        <w:rPr>
          <w:rFonts w:eastAsia="Calibri" w:cs="Times New Roman"/>
          <w:szCs w:val="24"/>
        </w:rPr>
        <w:t xml:space="preserve">spriedums </w:t>
      </w:r>
      <w:r w:rsidR="00E462EF">
        <w:rPr>
          <w:rFonts w:eastAsia="Calibri" w:cs="Times New Roman"/>
          <w:szCs w:val="24"/>
        </w:rPr>
        <w:t>atcelts un lieta nosūtīta jaunai izskat</w:t>
      </w:r>
      <w:r w:rsidR="008B1BBC">
        <w:rPr>
          <w:rFonts w:eastAsia="Calibri" w:cs="Times New Roman"/>
          <w:szCs w:val="24"/>
        </w:rPr>
        <w:t>īšanai pirmās instances tiesā.</w:t>
      </w:r>
    </w:p>
    <w:p w14:paraId="04BE255B" w14:textId="77777777" w:rsidR="00EF49FB" w:rsidRDefault="00E462EF" w:rsidP="002A5027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[3.1] </w:t>
      </w:r>
      <w:r w:rsidR="002A5027" w:rsidRPr="002A5027">
        <w:rPr>
          <w:rFonts w:eastAsia="Calibri" w:cs="Times New Roman"/>
          <w:szCs w:val="24"/>
        </w:rPr>
        <w:t xml:space="preserve">Kriminālprocesa likuma </w:t>
      </w:r>
      <w:proofErr w:type="gramStart"/>
      <w:r w:rsidR="002A5027" w:rsidRPr="002A5027">
        <w:rPr>
          <w:rFonts w:eastAsia="Calibri" w:cs="Times New Roman"/>
          <w:szCs w:val="24"/>
        </w:rPr>
        <w:t>533.panta</w:t>
      </w:r>
      <w:proofErr w:type="gramEnd"/>
      <w:r w:rsidR="002A5027" w:rsidRPr="002A5027">
        <w:rPr>
          <w:rFonts w:eastAsia="Calibri" w:cs="Times New Roman"/>
          <w:szCs w:val="24"/>
        </w:rPr>
        <w:t xml:space="preserve"> pirmās daļas kārtībā Latgales apgabaltiesa p</w:t>
      </w:r>
      <w:r w:rsidR="00931354">
        <w:rPr>
          <w:rFonts w:eastAsia="Calibri" w:cs="Times New Roman"/>
          <w:szCs w:val="24"/>
        </w:rPr>
        <w:t>ieņēmusi</w:t>
      </w:r>
      <w:r w:rsidR="002A5027">
        <w:rPr>
          <w:rFonts w:eastAsia="Calibri" w:cs="Times New Roman"/>
          <w:szCs w:val="24"/>
        </w:rPr>
        <w:t xml:space="preserve"> </w:t>
      </w:r>
      <w:r w:rsidR="002A5027" w:rsidRPr="002A5027">
        <w:rPr>
          <w:rFonts w:eastAsia="Calibri" w:cs="Times New Roman"/>
          <w:szCs w:val="24"/>
        </w:rPr>
        <w:t xml:space="preserve">blakus lēmumu </w:t>
      </w:r>
      <w:r w:rsidR="00DA44F6">
        <w:rPr>
          <w:rFonts w:eastAsia="Calibri" w:cs="Times New Roman"/>
          <w:szCs w:val="24"/>
        </w:rPr>
        <w:t>par prokurores J. </w:t>
      </w:r>
      <w:proofErr w:type="spellStart"/>
      <w:r w:rsidR="00DA44F6">
        <w:rPr>
          <w:rFonts w:eastAsia="Calibri" w:cs="Times New Roman"/>
          <w:szCs w:val="24"/>
        </w:rPr>
        <w:t>Laganovskas</w:t>
      </w:r>
      <w:proofErr w:type="spellEnd"/>
      <w:r w:rsidR="00DA44F6">
        <w:rPr>
          <w:rFonts w:eastAsia="Calibri" w:cs="Times New Roman"/>
          <w:szCs w:val="24"/>
        </w:rPr>
        <w:t xml:space="preserve"> darba p</w:t>
      </w:r>
      <w:r w:rsidR="00EF49FB">
        <w:rPr>
          <w:rFonts w:eastAsia="Calibri" w:cs="Times New Roman"/>
          <w:szCs w:val="24"/>
        </w:rPr>
        <w:t xml:space="preserve">ienākumu nepienācīgu </w:t>
      </w:r>
      <w:r w:rsidR="00EF49FB">
        <w:rPr>
          <w:rFonts w:eastAsia="Calibri" w:cs="Times New Roman"/>
          <w:szCs w:val="24"/>
        </w:rPr>
        <w:lastRenderedPageBreak/>
        <w:t xml:space="preserve">pildīšanu. </w:t>
      </w:r>
      <w:proofErr w:type="gramStart"/>
      <w:r w:rsidR="00EF49FB">
        <w:rPr>
          <w:rFonts w:eastAsia="Calibri" w:cs="Times New Roman"/>
          <w:szCs w:val="24"/>
        </w:rPr>
        <w:t>Apelācijas instances tiesa</w:t>
      </w:r>
      <w:r w:rsidR="00681123">
        <w:rPr>
          <w:rFonts w:eastAsia="Calibri" w:cs="Times New Roman"/>
          <w:szCs w:val="24"/>
        </w:rPr>
        <w:t>s</w:t>
      </w:r>
      <w:r w:rsidR="00EF49FB">
        <w:rPr>
          <w:rFonts w:eastAsia="Calibri" w:cs="Times New Roman"/>
          <w:szCs w:val="24"/>
        </w:rPr>
        <w:t xml:space="preserve"> </w:t>
      </w:r>
      <w:r w:rsidR="00681123">
        <w:rPr>
          <w:rFonts w:eastAsia="Calibri" w:cs="Times New Roman"/>
          <w:szCs w:val="24"/>
        </w:rPr>
        <w:t>ieskatā,</w:t>
      </w:r>
      <w:proofErr w:type="gramEnd"/>
      <w:r w:rsidR="00EF49FB">
        <w:rPr>
          <w:rFonts w:eastAsia="Calibri" w:cs="Times New Roman"/>
          <w:szCs w:val="24"/>
        </w:rPr>
        <w:t xml:space="preserve"> prokurore cēlusi </w:t>
      </w:r>
      <w:r w:rsidR="00DB46D8">
        <w:rPr>
          <w:rFonts w:eastAsia="Calibri" w:cs="Times New Roman"/>
          <w:szCs w:val="24"/>
        </w:rPr>
        <w:t>[pers. A]</w:t>
      </w:r>
      <w:r w:rsidR="00EF49FB" w:rsidRPr="00EF49FB">
        <w:rPr>
          <w:rFonts w:eastAsia="Calibri" w:cs="Times New Roman"/>
          <w:szCs w:val="24"/>
        </w:rPr>
        <w:t xml:space="preserve"> </w:t>
      </w:r>
      <w:r w:rsidR="007A0179">
        <w:rPr>
          <w:rFonts w:eastAsia="Calibri" w:cs="Times New Roman"/>
          <w:szCs w:val="24"/>
        </w:rPr>
        <w:t>apsūdzību, kura</w:t>
      </w:r>
      <w:r w:rsidR="00EF49FB">
        <w:rPr>
          <w:rFonts w:eastAsia="Calibri" w:cs="Times New Roman"/>
          <w:szCs w:val="24"/>
        </w:rPr>
        <w:t xml:space="preserve"> ir pretrunā kriminālprocesā iegūtajiem pierādījumiem un lietā konstatētajiem f</w:t>
      </w:r>
      <w:r w:rsidR="002F59EF">
        <w:rPr>
          <w:rFonts w:eastAsia="Calibri" w:cs="Times New Roman"/>
          <w:szCs w:val="24"/>
        </w:rPr>
        <w:t>aktiskajiem a</w:t>
      </w:r>
      <w:r w:rsidR="008B1BBC">
        <w:rPr>
          <w:rFonts w:eastAsia="Calibri" w:cs="Times New Roman"/>
          <w:szCs w:val="24"/>
        </w:rPr>
        <w:t>pstākļiem</w:t>
      </w:r>
      <w:r w:rsidR="004549BF">
        <w:rPr>
          <w:rFonts w:eastAsia="Calibri" w:cs="Times New Roman"/>
          <w:szCs w:val="24"/>
        </w:rPr>
        <w:t xml:space="preserve">. </w:t>
      </w:r>
      <w:r w:rsidR="009547B0">
        <w:rPr>
          <w:rFonts w:eastAsia="Calibri" w:cs="Times New Roman"/>
          <w:szCs w:val="24"/>
        </w:rPr>
        <w:t xml:space="preserve"> </w:t>
      </w:r>
    </w:p>
    <w:p w14:paraId="0DABBB2D" w14:textId="77777777" w:rsidR="002B465E" w:rsidRDefault="002B465E" w:rsidP="00EF49FB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</w:p>
    <w:p w14:paraId="103859C9" w14:textId="77777777" w:rsidR="00D02838" w:rsidRDefault="002B465E" w:rsidP="009E45D4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r>
        <w:rPr>
          <w:rFonts w:eastAsia="Calibri" w:cs="Times New Roman"/>
          <w:szCs w:val="24"/>
        </w:rPr>
        <w:t xml:space="preserve">[4] Par Latgales apgabaltiesas </w:t>
      </w:r>
      <w:proofErr w:type="gramStart"/>
      <w:r>
        <w:rPr>
          <w:rFonts w:eastAsia="Calibri" w:cs="Times New Roman"/>
          <w:szCs w:val="24"/>
        </w:rPr>
        <w:t>2018.gada</w:t>
      </w:r>
      <w:proofErr w:type="gramEnd"/>
      <w:r>
        <w:rPr>
          <w:rFonts w:eastAsia="Calibri" w:cs="Times New Roman"/>
          <w:szCs w:val="24"/>
        </w:rPr>
        <w:t xml:space="preserve"> 21.marta lēmumu un blakus lēmumu Rēzeknes prokuratūras prokurore J. Laganovska</w:t>
      </w:r>
      <w:r w:rsidR="009E45D4">
        <w:rPr>
          <w:rFonts w:eastAsia="Calibri" w:cs="Times New Roman"/>
          <w:szCs w:val="24"/>
        </w:rPr>
        <w:t xml:space="preserve"> iesniegusi kasācijas protestu, kurā lūdz </w:t>
      </w:r>
      <w:r w:rsidR="00D02838" w:rsidRPr="00D02838">
        <w:t xml:space="preserve">atcelt apgabaltiesas lēmumu </w:t>
      </w:r>
      <w:r>
        <w:t xml:space="preserve">un blakus lēmumu </w:t>
      </w:r>
      <w:r w:rsidR="000633CA">
        <w:t xml:space="preserve">un </w:t>
      </w:r>
      <w:r w:rsidR="00D02838" w:rsidRPr="00167B61">
        <w:t>nosūtīt</w:t>
      </w:r>
      <w:r w:rsidR="00D02838" w:rsidRPr="00D02838">
        <w:t xml:space="preserve"> lietu jaunai izskatīšanai apelācijas instances tiesā</w:t>
      </w:r>
      <w:r w:rsidR="001E6783">
        <w:t>.</w:t>
      </w:r>
    </w:p>
    <w:p w14:paraId="5CD91C7B" w14:textId="77777777" w:rsidR="009E45D4" w:rsidRPr="009E45D4" w:rsidRDefault="009E45D4" w:rsidP="009E45D4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</w:p>
    <w:p w14:paraId="102677D3" w14:textId="77777777" w:rsidR="00EC3C63" w:rsidRDefault="009E45D4" w:rsidP="00FE33FF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r>
        <w:t>[5</w:t>
      </w:r>
      <w:r w:rsidR="000633CA">
        <w:t xml:space="preserve">] </w:t>
      </w:r>
      <w:r w:rsidR="004549BF">
        <w:t xml:space="preserve">Prokurores ieskatā, </w:t>
      </w:r>
      <w:r w:rsidR="00681123">
        <w:t xml:space="preserve">apelācijas instances </w:t>
      </w:r>
      <w:r w:rsidR="00EC3C63" w:rsidRPr="00EC3C63">
        <w:t>tiesas nolēmums neat</w:t>
      </w:r>
      <w:r w:rsidR="005D6D3C">
        <w:t>bilst Kriminālprocesa likuma 51</w:t>
      </w:r>
      <w:r w:rsidR="005D6D3C" w:rsidRPr="005D6D3C">
        <w:t>1</w:t>
      </w:r>
      <w:r w:rsidR="00EC3C63" w:rsidRPr="00EC3C63">
        <w:t xml:space="preserve">. un </w:t>
      </w:r>
      <w:proofErr w:type="gramStart"/>
      <w:r w:rsidR="00EC3C63" w:rsidRPr="00EC3C63">
        <w:t>512.panta</w:t>
      </w:r>
      <w:proofErr w:type="gramEnd"/>
      <w:r w:rsidR="00EC3C63" w:rsidRPr="00EC3C63">
        <w:t xml:space="preserve"> </w:t>
      </w:r>
      <w:r w:rsidR="00F20284">
        <w:t>prasībām</w:t>
      </w:r>
      <w:r w:rsidR="00EC3C63">
        <w:t xml:space="preserve"> </w:t>
      </w:r>
      <w:r w:rsidR="00D73F9F">
        <w:t xml:space="preserve">un taisīts, pieļaujot būtiskus </w:t>
      </w:r>
      <w:r w:rsidR="00D73F9F" w:rsidRPr="00D73F9F">
        <w:t>Kriminālprocesa likuma pārkāpumus</w:t>
      </w:r>
      <w:r w:rsidR="00D73F9F">
        <w:t xml:space="preserve">, </w:t>
      </w:r>
      <w:r w:rsidR="00FE33FF">
        <w:t>kas novedis</w:t>
      </w:r>
      <w:r w:rsidR="00D73F9F" w:rsidRPr="00D73F9F">
        <w:t xml:space="preserve"> pie nelikumīga nolēmuma</w:t>
      </w:r>
      <w:r w:rsidR="00D73F9F">
        <w:t>.</w:t>
      </w:r>
    </w:p>
    <w:p w14:paraId="2ECF84AA" w14:textId="77777777" w:rsidR="008C7D94" w:rsidRDefault="009E45D4" w:rsidP="004549BF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r>
        <w:t>[5.1</w:t>
      </w:r>
      <w:r w:rsidR="000633CA">
        <w:t xml:space="preserve">] Prokurore </w:t>
      </w:r>
      <w:r w:rsidR="0072453A">
        <w:t xml:space="preserve">uzskata, ka lieta pirmās instances tiesā izskatīta, ievērojot </w:t>
      </w:r>
      <w:r w:rsidR="000633CA">
        <w:t>Kriminālprocesa</w:t>
      </w:r>
      <w:r w:rsidR="000633CA" w:rsidRPr="000633CA">
        <w:t xml:space="preserve"> likuma </w:t>
      </w:r>
      <w:proofErr w:type="gramStart"/>
      <w:r w:rsidR="000633CA" w:rsidRPr="000633CA">
        <w:t>499.panta</w:t>
      </w:r>
      <w:proofErr w:type="gramEnd"/>
      <w:r w:rsidR="00846F54">
        <w:t xml:space="preserve"> </w:t>
      </w:r>
      <w:r w:rsidR="00F20284">
        <w:t>nosacījumus</w:t>
      </w:r>
      <w:r w:rsidR="00846F54">
        <w:t xml:space="preserve">. </w:t>
      </w:r>
      <w:r w:rsidR="00F20284">
        <w:t>A</w:t>
      </w:r>
      <w:r w:rsidR="007F109D">
        <w:t xml:space="preserve">psūdzētais </w:t>
      </w:r>
      <w:r w:rsidR="00A61DE8">
        <w:t xml:space="preserve">pirmās instances tiesā </w:t>
      </w:r>
      <w:r w:rsidR="007F109D">
        <w:t xml:space="preserve">savu vainu </w:t>
      </w:r>
      <w:r w:rsidR="009251F3">
        <w:t xml:space="preserve">Krimināllikuma </w:t>
      </w:r>
      <w:proofErr w:type="gramStart"/>
      <w:r w:rsidR="009251F3">
        <w:t>253.panta</w:t>
      </w:r>
      <w:proofErr w:type="gramEnd"/>
      <w:r w:rsidR="009251F3">
        <w:t xml:space="preserve"> otrajā daļā paredzēt</w:t>
      </w:r>
      <w:r w:rsidR="00237836">
        <w:t>ajā noziedzīgajā nodarījumā</w:t>
      </w:r>
      <w:r w:rsidR="00F20284">
        <w:t xml:space="preserve"> atzina un</w:t>
      </w:r>
      <w:r w:rsidR="007F109D">
        <w:t xml:space="preserve"> </w:t>
      </w:r>
      <w:r w:rsidR="00F20284">
        <w:t xml:space="preserve">nelūdza veikt </w:t>
      </w:r>
      <w:r w:rsidR="007F109D">
        <w:t>pierādījumu pārbaudi</w:t>
      </w:r>
      <w:r w:rsidR="00F20284">
        <w:t>. A</w:t>
      </w:r>
      <w:r w:rsidR="00237836">
        <w:t xml:space="preserve">psūdzētā aizstāvis un prokurore </w:t>
      </w:r>
      <w:r w:rsidR="00F20284">
        <w:t>neiebilda</w:t>
      </w:r>
      <w:r w:rsidR="00237836">
        <w:t xml:space="preserve"> pret p</w:t>
      </w:r>
      <w:r w:rsidR="00237836" w:rsidRPr="008C7D94">
        <w:t>i</w:t>
      </w:r>
      <w:r w:rsidR="00237836">
        <w:t>er</w:t>
      </w:r>
      <w:r w:rsidR="004549BF">
        <w:t xml:space="preserve">ādījumu pārbaudes neizdarīšanu </w:t>
      </w:r>
      <w:r w:rsidR="00237836">
        <w:t>un t</w:t>
      </w:r>
      <w:r w:rsidR="007F109D">
        <w:t xml:space="preserve">iesnesim pēc </w:t>
      </w:r>
      <w:r w:rsidR="007F109D" w:rsidRPr="007F109D">
        <w:t xml:space="preserve">lietas materiālu pārbaudes </w:t>
      </w:r>
      <w:r w:rsidR="00F20284">
        <w:t>neradās</w:t>
      </w:r>
      <w:r w:rsidR="007F109D">
        <w:t xml:space="preserve"> šaubas</w:t>
      </w:r>
      <w:r w:rsidR="007F109D" w:rsidRPr="007F109D">
        <w:t xml:space="preserve"> par apsūdzētā vainu</w:t>
      </w:r>
      <w:r w:rsidR="007F109D">
        <w:t xml:space="preserve">. </w:t>
      </w:r>
    </w:p>
    <w:p w14:paraId="6A212B46" w14:textId="77777777" w:rsidR="00A33831" w:rsidRDefault="009E45D4" w:rsidP="00E03DAB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r>
        <w:t>[5.2</w:t>
      </w:r>
      <w:r w:rsidR="00A33831">
        <w:t>] Prokurore</w:t>
      </w:r>
      <w:r w:rsidR="00301BF9">
        <w:t>s ieskatā,</w:t>
      </w:r>
      <w:r w:rsidR="00D75488">
        <w:t xml:space="preserve"> n</w:t>
      </w:r>
      <w:r>
        <w:t xml:space="preserve">oziedzīgais nodarījums pareizi kvalificēts pēc Krimināllikuma </w:t>
      </w:r>
      <w:proofErr w:type="gramStart"/>
      <w:r>
        <w:t>253.panta</w:t>
      </w:r>
      <w:proofErr w:type="gramEnd"/>
      <w:r>
        <w:t xml:space="preserve"> otrās daļas. </w:t>
      </w:r>
    </w:p>
    <w:p w14:paraId="1585FB24" w14:textId="77777777" w:rsidR="00D75488" w:rsidRDefault="009E45D4" w:rsidP="0071394E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r>
        <w:t>[5.3</w:t>
      </w:r>
      <w:r w:rsidR="00324F01">
        <w:t xml:space="preserve">] Prokurore </w:t>
      </w:r>
      <w:r w:rsidR="00181C2D">
        <w:t>norāda</w:t>
      </w:r>
      <w:r w:rsidR="00324F01">
        <w:t>, ka pirmās instances tiesa</w:t>
      </w:r>
      <w:r w:rsidR="001C5341">
        <w:t xml:space="preserve"> nav grozījusi </w:t>
      </w:r>
      <w:r w:rsidR="00DB46D8">
        <w:t>[pers. A]</w:t>
      </w:r>
      <w:r w:rsidR="000F089D">
        <w:t xml:space="preserve"> celto </w:t>
      </w:r>
      <w:r w:rsidR="001C5341">
        <w:t>apsūdzību, bet</w:t>
      </w:r>
      <w:r w:rsidR="00324F01">
        <w:t xml:space="preserve"> </w:t>
      </w:r>
      <w:r w:rsidR="00D75488">
        <w:t>izma</w:t>
      </w:r>
      <w:r w:rsidR="0071394E">
        <w:t>i</w:t>
      </w:r>
      <w:r w:rsidR="00D75488">
        <w:t xml:space="preserve">nīja noziedzīgā nodarījuma aprakstu, nepasliktinot apsūdzētā stāvokli un nepārkāpjot viņa tiesības uz aizstāvību, kā to paredz Kriminālprocesa likuma </w:t>
      </w:r>
      <w:proofErr w:type="gramStart"/>
      <w:r w:rsidR="00D75488">
        <w:t>455.panta</w:t>
      </w:r>
      <w:proofErr w:type="gramEnd"/>
      <w:r w:rsidR="00D75488">
        <w:t xml:space="preserve"> trešās </w:t>
      </w:r>
      <w:r w:rsidR="0071394E">
        <w:t xml:space="preserve">daļas nosacījumi. </w:t>
      </w:r>
    </w:p>
    <w:p w14:paraId="50005E55" w14:textId="77777777" w:rsidR="00181C2D" w:rsidRDefault="00181C2D" w:rsidP="00181C2D">
      <w:pPr>
        <w:suppressAutoHyphens/>
        <w:autoSpaceDN w:val="0"/>
        <w:spacing w:after="0" w:line="276" w:lineRule="auto"/>
        <w:ind w:right="-6" w:firstLine="720"/>
        <w:jc w:val="both"/>
        <w:textAlignment w:val="baseline"/>
      </w:pPr>
      <w:r>
        <w:t>[5.4</w:t>
      </w:r>
      <w:r w:rsidR="00FD07A8">
        <w:t xml:space="preserve">] </w:t>
      </w:r>
      <w:r w:rsidR="0071394E">
        <w:t xml:space="preserve">Prokurore </w:t>
      </w:r>
      <w:r w:rsidRPr="00181C2D">
        <w:t xml:space="preserve">uzskata par nepamatotu </w:t>
      </w:r>
      <w:r w:rsidR="000F089D">
        <w:t>un prettiesisku</w:t>
      </w:r>
      <w:r w:rsidRPr="00181C2D">
        <w:t xml:space="preserve"> apelācijas instances tiesas pieņemto blakus lēmumu</w:t>
      </w:r>
      <w:r w:rsidR="0071394E">
        <w:t>, jo pamatoti uzturējusi apsūdzību.</w:t>
      </w:r>
    </w:p>
    <w:p w14:paraId="392FBCF2" w14:textId="77777777" w:rsidR="00167B61" w:rsidRPr="00F86A5C" w:rsidRDefault="00167B61" w:rsidP="007D2B48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rFonts w:eastAsia="Calibri" w:cs="Times New Roman"/>
          <w:szCs w:val="24"/>
        </w:rPr>
      </w:pPr>
    </w:p>
    <w:p w14:paraId="77705020" w14:textId="77777777" w:rsidR="000D22C6" w:rsidRPr="006D6285" w:rsidRDefault="000D22C6" w:rsidP="00B21E0D">
      <w:pPr>
        <w:suppressAutoHyphens/>
        <w:autoSpaceDN w:val="0"/>
        <w:spacing w:after="0" w:line="276" w:lineRule="auto"/>
        <w:ind w:right="-6"/>
        <w:jc w:val="center"/>
        <w:textAlignment w:val="baseline"/>
        <w:rPr>
          <w:rFonts w:eastAsia="Calibri" w:cs="Times New Roman"/>
          <w:b/>
          <w:szCs w:val="24"/>
        </w:rPr>
      </w:pPr>
      <w:r w:rsidRPr="006D6285">
        <w:rPr>
          <w:rFonts w:eastAsia="Calibri" w:cs="Times New Roman"/>
          <w:b/>
          <w:szCs w:val="24"/>
        </w:rPr>
        <w:t>Motīvu daļa</w:t>
      </w:r>
    </w:p>
    <w:p w14:paraId="2ABECF04" w14:textId="77777777" w:rsidR="000D22C6" w:rsidRPr="006D6285" w:rsidRDefault="000D22C6" w:rsidP="000D22C6">
      <w:pPr>
        <w:suppressAutoHyphens/>
        <w:autoSpaceDN w:val="0"/>
        <w:spacing w:after="0" w:line="276" w:lineRule="auto"/>
        <w:ind w:right="-6" w:firstLine="720"/>
        <w:jc w:val="center"/>
        <w:textAlignment w:val="baseline"/>
        <w:rPr>
          <w:rFonts w:eastAsia="Calibri" w:cs="Times New Roman"/>
          <w:b/>
          <w:szCs w:val="24"/>
        </w:rPr>
      </w:pPr>
    </w:p>
    <w:p w14:paraId="75189BCD" w14:textId="77777777" w:rsidR="002F5326" w:rsidRDefault="00182104" w:rsidP="00F35897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[6</w:t>
      </w:r>
      <w:r w:rsidR="002F5326" w:rsidRPr="002F5326">
        <w:rPr>
          <w:rFonts w:eastAsia="Calibri" w:cs="Times New Roman"/>
          <w:szCs w:val="24"/>
        </w:rPr>
        <w:t xml:space="preserve">] Augstākā tiesa atzīst, ka </w:t>
      </w:r>
      <w:r w:rsidR="00A21117">
        <w:rPr>
          <w:rFonts w:eastAsia="Calibri" w:cs="Times New Roman"/>
          <w:szCs w:val="24"/>
        </w:rPr>
        <w:t>Latgales</w:t>
      </w:r>
      <w:r w:rsidR="002F5326">
        <w:rPr>
          <w:rFonts w:eastAsia="Calibri" w:cs="Times New Roman"/>
          <w:szCs w:val="24"/>
        </w:rPr>
        <w:t xml:space="preserve"> apgabaltiesas </w:t>
      </w:r>
      <w:proofErr w:type="gramStart"/>
      <w:r w:rsidR="002F5326">
        <w:rPr>
          <w:rFonts w:eastAsia="Calibri" w:cs="Times New Roman"/>
          <w:szCs w:val="24"/>
        </w:rPr>
        <w:t>2018.gada</w:t>
      </w:r>
      <w:proofErr w:type="gramEnd"/>
      <w:r w:rsidR="002F5326">
        <w:rPr>
          <w:rFonts w:eastAsia="Calibri" w:cs="Times New Roman"/>
          <w:szCs w:val="24"/>
        </w:rPr>
        <w:t xml:space="preserve"> </w:t>
      </w:r>
      <w:r w:rsidR="00A21117">
        <w:rPr>
          <w:rFonts w:eastAsia="Calibri" w:cs="Times New Roman"/>
          <w:szCs w:val="24"/>
        </w:rPr>
        <w:t>21</w:t>
      </w:r>
      <w:r w:rsidR="00A27BFF">
        <w:rPr>
          <w:rFonts w:eastAsia="Calibri" w:cs="Times New Roman"/>
          <w:szCs w:val="24"/>
        </w:rPr>
        <w:t>.</w:t>
      </w:r>
      <w:r w:rsidR="007F0AB4">
        <w:rPr>
          <w:rFonts w:eastAsia="Calibri" w:cs="Times New Roman"/>
          <w:szCs w:val="24"/>
        </w:rPr>
        <w:t>marta</w:t>
      </w:r>
      <w:r w:rsidR="002F5326" w:rsidRPr="002F5326">
        <w:rPr>
          <w:rFonts w:eastAsia="Calibri" w:cs="Times New Roman"/>
          <w:szCs w:val="24"/>
        </w:rPr>
        <w:t xml:space="preserve"> </w:t>
      </w:r>
      <w:r w:rsidR="002F5326">
        <w:rPr>
          <w:rFonts w:eastAsia="Calibri" w:cs="Times New Roman"/>
          <w:szCs w:val="24"/>
        </w:rPr>
        <w:t>lēmums</w:t>
      </w:r>
      <w:r w:rsidR="002F5326" w:rsidRPr="002F5326">
        <w:rPr>
          <w:rFonts w:eastAsia="Calibri" w:cs="Times New Roman"/>
          <w:szCs w:val="24"/>
        </w:rPr>
        <w:t xml:space="preserve"> </w:t>
      </w:r>
      <w:r w:rsidR="007F0AB4">
        <w:rPr>
          <w:rFonts w:eastAsia="Calibri" w:cs="Times New Roman"/>
          <w:szCs w:val="24"/>
        </w:rPr>
        <w:t xml:space="preserve">un blakus lēmums </w:t>
      </w:r>
      <w:r w:rsidR="002F5326" w:rsidRPr="002F5326">
        <w:rPr>
          <w:rFonts w:eastAsia="Calibri" w:cs="Times New Roman"/>
          <w:szCs w:val="24"/>
        </w:rPr>
        <w:t>ats</w:t>
      </w:r>
      <w:r w:rsidR="007F0AB4">
        <w:rPr>
          <w:rFonts w:eastAsia="Calibri" w:cs="Times New Roman"/>
          <w:szCs w:val="24"/>
        </w:rPr>
        <w:t>tājami negrozīti</w:t>
      </w:r>
      <w:r w:rsidR="004D583A">
        <w:rPr>
          <w:rFonts w:eastAsia="Calibri" w:cs="Times New Roman"/>
          <w:szCs w:val="24"/>
        </w:rPr>
        <w:t xml:space="preserve">, bet </w:t>
      </w:r>
      <w:r w:rsidR="004D55E5" w:rsidRPr="004D55E5">
        <w:rPr>
          <w:rFonts w:eastAsia="Calibri" w:cs="Times New Roman"/>
          <w:szCs w:val="24"/>
        </w:rPr>
        <w:t xml:space="preserve">Rēzeknes prokuratūras prokurores </w:t>
      </w:r>
      <w:r w:rsidR="00262EA0">
        <w:rPr>
          <w:rFonts w:eastAsia="Calibri" w:cs="Times New Roman"/>
          <w:szCs w:val="24"/>
        </w:rPr>
        <w:t>J. </w:t>
      </w:r>
      <w:proofErr w:type="spellStart"/>
      <w:r w:rsidR="007F0AB4">
        <w:rPr>
          <w:rFonts w:eastAsia="Calibri" w:cs="Times New Roman"/>
          <w:szCs w:val="24"/>
        </w:rPr>
        <w:t>Laganovskas</w:t>
      </w:r>
      <w:proofErr w:type="spellEnd"/>
      <w:r w:rsidR="004D55E5">
        <w:rPr>
          <w:rFonts w:eastAsia="Calibri" w:cs="Times New Roman"/>
          <w:szCs w:val="24"/>
        </w:rPr>
        <w:t xml:space="preserve"> kasācijas protests noraidāms.</w:t>
      </w:r>
    </w:p>
    <w:p w14:paraId="4C1DEF06" w14:textId="77777777" w:rsidR="00181C2D" w:rsidRDefault="00181C2D" w:rsidP="00F35897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</w:p>
    <w:p w14:paraId="33679438" w14:textId="77777777" w:rsidR="00A2224D" w:rsidRDefault="00B70BF0" w:rsidP="00A2224D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 w:rsidR="00A2224D">
        <w:rPr>
          <w:rFonts w:eastAsia="Calibri" w:cs="Times New Roman"/>
          <w:szCs w:val="24"/>
        </w:rPr>
        <w:t>[</w:t>
      </w:r>
      <w:r w:rsidR="00DF7C10">
        <w:rPr>
          <w:rFonts w:eastAsia="Calibri" w:cs="Times New Roman"/>
          <w:szCs w:val="24"/>
        </w:rPr>
        <w:t>7</w:t>
      </w:r>
      <w:r w:rsidR="00A2224D">
        <w:rPr>
          <w:rFonts w:eastAsia="Calibri" w:cs="Times New Roman"/>
          <w:szCs w:val="24"/>
        </w:rPr>
        <w:t xml:space="preserve">] </w:t>
      </w:r>
      <w:r w:rsidR="00DF7C10">
        <w:rPr>
          <w:rFonts w:eastAsia="Calibri" w:cs="Times New Roman"/>
          <w:szCs w:val="24"/>
        </w:rPr>
        <w:t>Augstākās</w:t>
      </w:r>
      <w:r w:rsidR="00A2224D">
        <w:rPr>
          <w:rFonts w:eastAsia="Calibri" w:cs="Times New Roman"/>
          <w:szCs w:val="24"/>
        </w:rPr>
        <w:t xml:space="preserve"> tiesas ieskatā, prokurores</w:t>
      </w:r>
      <w:r w:rsidR="00A2224D" w:rsidRPr="00A2224D">
        <w:rPr>
          <w:rFonts w:eastAsia="Calibri" w:cs="Times New Roman"/>
          <w:szCs w:val="24"/>
        </w:rPr>
        <w:t xml:space="preserve"> kasācijas protestā nav izklāst</w:t>
      </w:r>
      <w:r w:rsidR="00A2224D">
        <w:rPr>
          <w:rFonts w:eastAsia="Calibri" w:cs="Times New Roman"/>
          <w:szCs w:val="24"/>
        </w:rPr>
        <w:t xml:space="preserve">īti tādi argumenti, kas </w:t>
      </w:r>
      <w:r w:rsidR="00A2224D" w:rsidRPr="00A2224D">
        <w:rPr>
          <w:rFonts w:eastAsia="Calibri" w:cs="Times New Roman"/>
          <w:szCs w:val="24"/>
        </w:rPr>
        <w:t>varētu būt par pamatu apelācijas instances tiesas lēmuma atcelšanai</w:t>
      </w:r>
      <w:r w:rsidR="00A2224D">
        <w:rPr>
          <w:rFonts w:eastAsia="Calibri" w:cs="Times New Roman"/>
          <w:szCs w:val="24"/>
        </w:rPr>
        <w:t>.</w:t>
      </w:r>
    </w:p>
    <w:p w14:paraId="27ADF66C" w14:textId="77777777" w:rsidR="00A2224D" w:rsidRDefault="00A2224D" w:rsidP="00A2224D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 w:rsidR="00963C1F">
        <w:rPr>
          <w:rFonts w:eastAsia="Calibri" w:cs="Times New Roman"/>
          <w:szCs w:val="24"/>
        </w:rPr>
        <w:t xml:space="preserve">Atbilstoši </w:t>
      </w:r>
      <w:r w:rsidRPr="00A2224D">
        <w:rPr>
          <w:rFonts w:eastAsia="Calibri" w:cs="Times New Roman"/>
          <w:szCs w:val="24"/>
        </w:rPr>
        <w:t xml:space="preserve">Kriminālprocesa likuma </w:t>
      </w:r>
      <w:proofErr w:type="gramStart"/>
      <w:r w:rsidRPr="00A2224D">
        <w:rPr>
          <w:rFonts w:eastAsia="Calibri" w:cs="Times New Roman"/>
          <w:szCs w:val="24"/>
        </w:rPr>
        <w:t>572.pantā</w:t>
      </w:r>
      <w:proofErr w:type="gramEnd"/>
      <w:r w:rsidRPr="00A2224D">
        <w:rPr>
          <w:rFonts w:eastAsia="Calibri" w:cs="Times New Roman"/>
          <w:szCs w:val="24"/>
        </w:rPr>
        <w:t xml:space="preserve"> </w:t>
      </w:r>
      <w:r w:rsidR="00963C1F">
        <w:rPr>
          <w:rFonts w:eastAsia="Calibri" w:cs="Times New Roman"/>
          <w:szCs w:val="24"/>
        </w:rPr>
        <w:t xml:space="preserve">noteiktajam </w:t>
      </w:r>
      <w:r w:rsidRPr="00A2224D">
        <w:rPr>
          <w:rFonts w:eastAsia="Calibri" w:cs="Times New Roman"/>
          <w:szCs w:val="24"/>
        </w:rPr>
        <w:t>kasācijas sūd</w:t>
      </w:r>
      <w:r>
        <w:rPr>
          <w:rFonts w:eastAsia="Calibri" w:cs="Times New Roman"/>
          <w:szCs w:val="24"/>
        </w:rPr>
        <w:t xml:space="preserve">zībā vai protestā jāiekļauj tajā </w:t>
      </w:r>
      <w:r w:rsidRPr="00A2224D">
        <w:rPr>
          <w:rFonts w:eastAsia="Calibri" w:cs="Times New Roman"/>
          <w:szCs w:val="24"/>
        </w:rPr>
        <w:t>izteikto prasību pamatojums ar norādi uz Krimināllikuma vai Kriminālproce</w:t>
      </w:r>
      <w:r>
        <w:rPr>
          <w:rFonts w:eastAsia="Calibri" w:cs="Times New Roman"/>
          <w:szCs w:val="24"/>
        </w:rPr>
        <w:t xml:space="preserve">sa likuma normu </w:t>
      </w:r>
      <w:r w:rsidRPr="00A2224D">
        <w:rPr>
          <w:rFonts w:eastAsia="Calibri" w:cs="Times New Roman"/>
          <w:szCs w:val="24"/>
        </w:rPr>
        <w:t>pārkāpumu.</w:t>
      </w:r>
    </w:p>
    <w:p w14:paraId="57D34B0D" w14:textId="77777777" w:rsidR="0040406A" w:rsidRDefault="00A2224D" w:rsidP="0040406A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 w:rsidR="00CE593D">
        <w:rPr>
          <w:rFonts w:eastAsia="Calibri" w:cs="Times New Roman"/>
          <w:szCs w:val="24"/>
        </w:rPr>
        <w:t>P</w:t>
      </w:r>
      <w:r w:rsidR="00DF7C10">
        <w:rPr>
          <w:rFonts w:eastAsia="Calibri" w:cs="Times New Roman"/>
          <w:szCs w:val="24"/>
        </w:rPr>
        <w:t>rokurore</w:t>
      </w:r>
      <w:r w:rsidRPr="00A2224D">
        <w:rPr>
          <w:rFonts w:eastAsia="Calibri" w:cs="Times New Roman"/>
          <w:szCs w:val="24"/>
        </w:rPr>
        <w:t xml:space="preserve"> </w:t>
      </w:r>
      <w:r w:rsidR="00CE593D">
        <w:rPr>
          <w:rFonts w:eastAsia="Calibri" w:cs="Times New Roman"/>
          <w:szCs w:val="24"/>
        </w:rPr>
        <w:t xml:space="preserve">kasācijas protestā </w:t>
      </w:r>
      <w:r w:rsidR="00DF7C10">
        <w:rPr>
          <w:rFonts w:eastAsia="Calibri" w:cs="Times New Roman"/>
          <w:szCs w:val="24"/>
        </w:rPr>
        <w:t>nav argumentēti apstrīdējusi</w:t>
      </w:r>
      <w:r w:rsidR="00963C1F">
        <w:rPr>
          <w:rFonts w:eastAsia="Calibri" w:cs="Times New Roman"/>
          <w:szCs w:val="24"/>
        </w:rPr>
        <w:t xml:space="preserve"> un </w:t>
      </w:r>
      <w:r w:rsidR="00DF7C10">
        <w:rPr>
          <w:rFonts w:eastAsia="Calibri" w:cs="Times New Roman"/>
          <w:szCs w:val="24"/>
        </w:rPr>
        <w:t>atspēkojusi</w:t>
      </w:r>
      <w:r w:rsidRPr="00A2224D">
        <w:rPr>
          <w:rFonts w:eastAsia="Calibri" w:cs="Times New Roman"/>
          <w:szCs w:val="24"/>
        </w:rPr>
        <w:t xml:space="preserve"> apelācijas instances tiesas atzinumus par </w:t>
      </w:r>
      <w:r w:rsidR="00DF7C10">
        <w:rPr>
          <w:rFonts w:eastAsia="Calibri" w:cs="Times New Roman"/>
          <w:szCs w:val="24"/>
        </w:rPr>
        <w:t xml:space="preserve">nepamatotu pierādījumu pārbaudes neveikšanu pirmās instances tiesā. </w:t>
      </w:r>
      <w:r w:rsidR="0040406A">
        <w:rPr>
          <w:rFonts w:eastAsia="Calibri" w:cs="Times New Roman"/>
          <w:szCs w:val="24"/>
        </w:rPr>
        <w:t>Kasācijas protestā norāde</w:t>
      </w:r>
      <w:r w:rsidR="0040406A" w:rsidRPr="0040406A">
        <w:rPr>
          <w:rFonts w:eastAsia="Calibri" w:cs="Times New Roman"/>
          <w:szCs w:val="24"/>
        </w:rPr>
        <w:t xml:space="preserve"> </w:t>
      </w:r>
      <w:r w:rsidR="0040406A">
        <w:rPr>
          <w:rFonts w:eastAsia="Calibri" w:cs="Times New Roman"/>
          <w:szCs w:val="24"/>
        </w:rPr>
        <w:t xml:space="preserve">uz </w:t>
      </w:r>
      <w:r w:rsidR="0040406A" w:rsidRPr="0040406A">
        <w:rPr>
          <w:rFonts w:eastAsia="Calibri" w:cs="Times New Roman"/>
          <w:szCs w:val="24"/>
        </w:rPr>
        <w:t xml:space="preserve">Kriminālprocesa likuma </w:t>
      </w:r>
      <w:proofErr w:type="gramStart"/>
      <w:r w:rsidR="0040406A" w:rsidRPr="0040406A">
        <w:rPr>
          <w:rFonts w:eastAsia="Calibri" w:cs="Times New Roman"/>
          <w:szCs w:val="24"/>
        </w:rPr>
        <w:t>563.panta</w:t>
      </w:r>
      <w:proofErr w:type="gramEnd"/>
      <w:r w:rsidR="0040406A" w:rsidRPr="0040406A">
        <w:rPr>
          <w:rFonts w:eastAsia="Calibri" w:cs="Times New Roman"/>
          <w:szCs w:val="24"/>
        </w:rPr>
        <w:t xml:space="preserve"> pirmās daļas 5.punkta un 575.panta</w:t>
      </w:r>
      <w:r w:rsidR="0040406A">
        <w:rPr>
          <w:rFonts w:eastAsia="Calibri" w:cs="Times New Roman"/>
          <w:szCs w:val="24"/>
        </w:rPr>
        <w:t xml:space="preserve"> pirmās daļas 8.punkta pārkāpumu</w:t>
      </w:r>
      <w:r w:rsidR="0040406A" w:rsidRPr="0040406A">
        <w:rPr>
          <w:rFonts w:eastAsia="Calibri" w:cs="Times New Roman"/>
          <w:szCs w:val="24"/>
        </w:rPr>
        <w:t xml:space="preserve"> ir </w:t>
      </w:r>
      <w:r w:rsidR="0040406A">
        <w:rPr>
          <w:rFonts w:eastAsia="Calibri" w:cs="Times New Roman"/>
          <w:szCs w:val="24"/>
        </w:rPr>
        <w:t>formāla</w:t>
      </w:r>
      <w:r w:rsidR="004101E6" w:rsidRPr="004101E6">
        <w:rPr>
          <w:rFonts w:eastAsia="Calibri" w:cs="Times New Roman"/>
          <w:szCs w:val="24"/>
        </w:rPr>
        <w:t xml:space="preserve">, </w:t>
      </w:r>
      <w:r w:rsidR="0040406A" w:rsidRPr="004101E6">
        <w:rPr>
          <w:rFonts w:eastAsia="Calibri" w:cs="Times New Roman"/>
          <w:szCs w:val="24"/>
        </w:rPr>
        <w:t>be</w:t>
      </w:r>
      <w:r w:rsidR="0040406A">
        <w:rPr>
          <w:rFonts w:eastAsia="Calibri" w:cs="Times New Roman"/>
          <w:szCs w:val="24"/>
        </w:rPr>
        <w:t xml:space="preserve">z </w:t>
      </w:r>
      <w:r w:rsidR="0040406A" w:rsidRPr="00A2224D">
        <w:rPr>
          <w:rFonts w:eastAsia="Calibri" w:cs="Times New Roman"/>
          <w:szCs w:val="24"/>
        </w:rPr>
        <w:t>ju</w:t>
      </w:r>
      <w:r w:rsidR="0040406A">
        <w:rPr>
          <w:rFonts w:eastAsia="Calibri" w:cs="Times New Roman"/>
          <w:szCs w:val="24"/>
        </w:rPr>
        <w:t xml:space="preserve">ridiskās analīzes un pamatojuma. </w:t>
      </w:r>
      <w:r w:rsidR="00760572">
        <w:rPr>
          <w:rFonts w:eastAsia="Calibri" w:cs="Times New Roman"/>
          <w:szCs w:val="24"/>
        </w:rPr>
        <w:t xml:space="preserve"> </w:t>
      </w:r>
    </w:p>
    <w:p w14:paraId="5FF305F1" w14:textId="77777777" w:rsidR="004101E6" w:rsidRDefault="004101E6" w:rsidP="0040406A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rFonts w:eastAsia="Calibri" w:cs="Times New Roman"/>
          <w:szCs w:val="24"/>
        </w:rPr>
      </w:pPr>
    </w:p>
    <w:p w14:paraId="0937CEB0" w14:textId="77777777" w:rsidR="00154CAF" w:rsidRDefault="00D97DB3" w:rsidP="00937BB3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 w:rsidR="00154CAF">
        <w:rPr>
          <w:rFonts w:eastAsia="Calibri" w:cs="Times New Roman"/>
          <w:szCs w:val="24"/>
        </w:rPr>
        <w:t>[8</w:t>
      </w:r>
      <w:r w:rsidR="00B70BF0" w:rsidRPr="00DF7C10">
        <w:rPr>
          <w:rFonts w:eastAsia="Calibri" w:cs="Times New Roman"/>
          <w:szCs w:val="24"/>
        </w:rPr>
        <w:t>]</w:t>
      </w:r>
      <w:r w:rsidR="00B70BF0">
        <w:rPr>
          <w:rFonts w:eastAsia="Calibri" w:cs="Times New Roman"/>
          <w:szCs w:val="24"/>
        </w:rPr>
        <w:t xml:space="preserve"> </w:t>
      </w:r>
      <w:r w:rsidR="0071394E">
        <w:rPr>
          <w:rFonts w:eastAsia="Calibri" w:cs="Times New Roman"/>
          <w:szCs w:val="24"/>
        </w:rPr>
        <w:t>Augstākā tiesa</w:t>
      </w:r>
      <w:r w:rsidR="00154CAF">
        <w:rPr>
          <w:rFonts w:eastAsia="Calibri" w:cs="Times New Roman"/>
          <w:szCs w:val="24"/>
        </w:rPr>
        <w:t xml:space="preserve"> </w:t>
      </w:r>
      <w:r w:rsidR="0071394E">
        <w:rPr>
          <w:rFonts w:eastAsia="Calibri" w:cs="Times New Roman"/>
          <w:szCs w:val="24"/>
        </w:rPr>
        <w:t>atzīst</w:t>
      </w:r>
      <w:r w:rsidR="00154CAF">
        <w:rPr>
          <w:rFonts w:eastAsia="Calibri" w:cs="Times New Roman"/>
          <w:szCs w:val="24"/>
        </w:rPr>
        <w:t xml:space="preserve">, </w:t>
      </w:r>
      <w:r w:rsidR="0071394E">
        <w:rPr>
          <w:rFonts w:eastAsia="Calibri" w:cs="Times New Roman"/>
          <w:szCs w:val="24"/>
        </w:rPr>
        <w:t xml:space="preserve">ka </w:t>
      </w:r>
      <w:r w:rsidR="00154CAF">
        <w:rPr>
          <w:rFonts w:eastAsia="Calibri" w:cs="Times New Roman"/>
          <w:szCs w:val="24"/>
        </w:rPr>
        <w:t>apel</w:t>
      </w:r>
      <w:r w:rsidR="00760572">
        <w:rPr>
          <w:rFonts w:eastAsia="Calibri" w:cs="Times New Roman"/>
          <w:szCs w:val="24"/>
        </w:rPr>
        <w:t xml:space="preserve">ācijas instances tiesa </w:t>
      </w:r>
      <w:r w:rsidR="0071394E">
        <w:rPr>
          <w:rFonts w:eastAsia="Calibri" w:cs="Times New Roman"/>
          <w:szCs w:val="24"/>
        </w:rPr>
        <w:t>pareizi secinājusi</w:t>
      </w:r>
      <w:r w:rsidR="00154CAF">
        <w:rPr>
          <w:rFonts w:eastAsia="Calibri" w:cs="Times New Roman"/>
          <w:szCs w:val="24"/>
        </w:rPr>
        <w:t>, ka pirmās instances tiesa</w:t>
      </w:r>
      <w:r w:rsidR="0071394E">
        <w:rPr>
          <w:rFonts w:eastAsia="Calibri" w:cs="Times New Roman"/>
          <w:szCs w:val="24"/>
        </w:rPr>
        <w:t xml:space="preserve">i bija jāizdara </w:t>
      </w:r>
      <w:r w:rsidR="00154CAF">
        <w:rPr>
          <w:rFonts w:eastAsia="Calibri" w:cs="Times New Roman"/>
          <w:szCs w:val="24"/>
        </w:rPr>
        <w:t>pierādījumu pārbau</w:t>
      </w:r>
      <w:r w:rsidR="0071394E">
        <w:rPr>
          <w:rFonts w:eastAsia="Calibri" w:cs="Times New Roman"/>
          <w:szCs w:val="24"/>
        </w:rPr>
        <w:t>de.</w:t>
      </w:r>
    </w:p>
    <w:p w14:paraId="3D00EB23" w14:textId="77777777" w:rsidR="002F77BD" w:rsidRDefault="00D243FF" w:rsidP="00CE593D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[8.1</w:t>
      </w:r>
      <w:r w:rsidR="00154CAF">
        <w:rPr>
          <w:rFonts w:eastAsia="Calibri" w:cs="Times New Roman"/>
          <w:szCs w:val="24"/>
        </w:rPr>
        <w:t>] Apelācijas insta</w:t>
      </w:r>
      <w:r w:rsidR="004101E6">
        <w:rPr>
          <w:rFonts w:eastAsia="Calibri" w:cs="Times New Roman"/>
          <w:szCs w:val="24"/>
        </w:rPr>
        <w:t xml:space="preserve">nces tiesa konstatējusi, ka </w:t>
      </w:r>
      <w:r w:rsidR="00154CAF">
        <w:rPr>
          <w:rFonts w:eastAsia="Calibri" w:cs="Times New Roman"/>
          <w:szCs w:val="24"/>
        </w:rPr>
        <w:t>pr</w:t>
      </w:r>
      <w:r w:rsidR="004101E6">
        <w:rPr>
          <w:rFonts w:eastAsia="Calibri" w:cs="Times New Roman"/>
          <w:szCs w:val="24"/>
        </w:rPr>
        <w:t xml:space="preserve">okurores celtajā apsūdzībā un </w:t>
      </w:r>
      <w:r w:rsidR="00154CAF">
        <w:rPr>
          <w:rFonts w:eastAsia="Calibri" w:cs="Times New Roman"/>
          <w:szCs w:val="24"/>
        </w:rPr>
        <w:t>pirmās instances tiesas spriedumā noziedzīgā nodarījuma faktisko apstākļu apraksts neatbilst lietā esoš</w:t>
      </w:r>
      <w:r w:rsidR="00AA1BBF">
        <w:rPr>
          <w:rFonts w:eastAsia="Calibri" w:cs="Times New Roman"/>
          <w:szCs w:val="24"/>
        </w:rPr>
        <w:t>aj</w:t>
      </w:r>
      <w:r w:rsidR="00154CAF">
        <w:rPr>
          <w:rFonts w:eastAsia="Calibri" w:cs="Times New Roman"/>
          <w:szCs w:val="24"/>
        </w:rPr>
        <w:t xml:space="preserve">iem pierādījumiem. </w:t>
      </w:r>
      <w:r w:rsidR="00A61DE8">
        <w:rPr>
          <w:rFonts w:eastAsia="Calibri" w:cs="Times New Roman"/>
          <w:szCs w:val="24"/>
        </w:rPr>
        <w:t>Tādējādi a</w:t>
      </w:r>
      <w:r w:rsidR="00760572">
        <w:rPr>
          <w:rFonts w:eastAsia="Calibri" w:cs="Times New Roman"/>
          <w:szCs w:val="24"/>
        </w:rPr>
        <w:t>pelācijas instances tiesa</w:t>
      </w:r>
      <w:r w:rsidR="00B7135F">
        <w:rPr>
          <w:rFonts w:eastAsia="Calibri" w:cs="Times New Roman"/>
          <w:szCs w:val="24"/>
        </w:rPr>
        <w:t xml:space="preserve"> </w:t>
      </w:r>
      <w:r w:rsidR="00247A7F">
        <w:rPr>
          <w:rFonts w:eastAsia="Calibri" w:cs="Times New Roman"/>
          <w:szCs w:val="24"/>
        </w:rPr>
        <w:t>secinājusi</w:t>
      </w:r>
      <w:r w:rsidR="00B7135F">
        <w:rPr>
          <w:rFonts w:eastAsia="Calibri" w:cs="Times New Roman"/>
          <w:szCs w:val="24"/>
        </w:rPr>
        <w:t xml:space="preserve">, ka </w:t>
      </w:r>
      <w:r w:rsidR="00F42647">
        <w:rPr>
          <w:rFonts w:eastAsia="Calibri" w:cs="Times New Roman"/>
          <w:szCs w:val="24"/>
        </w:rPr>
        <w:t xml:space="preserve">pirmās instances tiesa </w:t>
      </w:r>
      <w:r w:rsidR="002F77BD">
        <w:rPr>
          <w:rFonts w:eastAsia="Calibri" w:cs="Times New Roman"/>
          <w:szCs w:val="24"/>
        </w:rPr>
        <w:t xml:space="preserve">nepietiekami pārbaudījusi lietas materiālus un </w:t>
      </w:r>
      <w:r w:rsidR="00F42647">
        <w:rPr>
          <w:rFonts w:eastAsia="Calibri" w:cs="Times New Roman"/>
          <w:szCs w:val="24"/>
        </w:rPr>
        <w:t>pirms lēmuma pieņemšanas</w:t>
      </w:r>
      <w:r w:rsidR="00F42647" w:rsidRPr="00F42647">
        <w:rPr>
          <w:rFonts w:eastAsia="Calibri" w:cs="Times New Roman"/>
          <w:szCs w:val="24"/>
        </w:rPr>
        <w:t xml:space="preserve"> par pierādījumu pārbaudes neizdarīšanu </w:t>
      </w:r>
      <w:r w:rsidR="002F77BD">
        <w:rPr>
          <w:rFonts w:eastAsia="Calibri" w:cs="Times New Roman"/>
          <w:szCs w:val="24"/>
        </w:rPr>
        <w:t xml:space="preserve">nav pārliecinājusies par apsūdzētā vainu viņam </w:t>
      </w:r>
      <w:r w:rsidR="00F42647">
        <w:rPr>
          <w:rFonts w:eastAsia="Calibri" w:cs="Times New Roman"/>
          <w:szCs w:val="24"/>
        </w:rPr>
        <w:t xml:space="preserve">celtajā apsūdzībā. </w:t>
      </w:r>
    </w:p>
    <w:p w14:paraId="67497634" w14:textId="77777777" w:rsidR="006D1EB2" w:rsidRDefault="00AA1BBF" w:rsidP="006D1EB2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CE593D">
        <w:rPr>
          <w:rFonts w:eastAsia="Calibri" w:cs="Times New Roman"/>
          <w:szCs w:val="24"/>
        </w:rPr>
        <w:t xml:space="preserve">irmās instances tiesai, </w:t>
      </w:r>
      <w:r w:rsidR="00CE593D" w:rsidRPr="002E691B">
        <w:rPr>
          <w:rFonts w:eastAsia="Calibri" w:cs="Times New Roman"/>
          <w:szCs w:val="24"/>
        </w:rPr>
        <w:t>iepazīstoties ar lietas materiāliem, bija jārodas saprāt</w:t>
      </w:r>
      <w:r w:rsidR="00CE593D">
        <w:rPr>
          <w:rFonts w:eastAsia="Calibri" w:cs="Times New Roman"/>
          <w:szCs w:val="24"/>
        </w:rPr>
        <w:t>īgām šaubām par apsūdzētā vainu.</w:t>
      </w:r>
    </w:p>
    <w:p w14:paraId="08489697" w14:textId="77777777" w:rsidR="00CA0201" w:rsidRDefault="00D243FF" w:rsidP="00154CAF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[8.2</w:t>
      </w:r>
      <w:r w:rsidR="00154CAF">
        <w:rPr>
          <w:rFonts w:eastAsia="Calibri" w:cs="Times New Roman"/>
          <w:szCs w:val="24"/>
        </w:rPr>
        <w:t xml:space="preserve">] </w:t>
      </w:r>
      <w:r>
        <w:rPr>
          <w:rFonts w:eastAsia="Calibri" w:cs="Times New Roman"/>
          <w:szCs w:val="24"/>
        </w:rPr>
        <w:t>P</w:t>
      </w:r>
      <w:r w:rsidR="00CA0201">
        <w:rPr>
          <w:rFonts w:eastAsia="Calibri" w:cs="Times New Roman"/>
          <w:szCs w:val="24"/>
        </w:rPr>
        <w:t xml:space="preserve">irmās instances tiesa </w:t>
      </w:r>
      <w:r w:rsidR="00760572">
        <w:rPr>
          <w:rFonts w:eastAsia="Calibri" w:cs="Times New Roman"/>
          <w:szCs w:val="24"/>
        </w:rPr>
        <w:t xml:space="preserve">spriedumā </w:t>
      </w:r>
      <w:r w:rsidR="00CA0201">
        <w:rPr>
          <w:rFonts w:eastAsia="Calibri" w:cs="Times New Roman"/>
          <w:szCs w:val="24"/>
        </w:rPr>
        <w:t xml:space="preserve">atzinusi, ka apsūdzētais narkotisko vielu ir iegādājies un glabājis. Savukārt apsūdzība </w:t>
      </w:r>
      <w:r w:rsidR="00DB46D8">
        <w:rPr>
          <w:rFonts w:eastAsia="Calibri" w:cs="Times New Roman"/>
          <w:szCs w:val="24"/>
        </w:rPr>
        <w:t>[pers. A]</w:t>
      </w:r>
      <w:r w:rsidR="00CA0201">
        <w:t xml:space="preserve"> celta par to, ka viņš glabāja narkotisko vielu. </w:t>
      </w:r>
    </w:p>
    <w:p w14:paraId="63C5CF55" w14:textId="77777777" w:rsidR="00CA0201" w:rsidRDefault="00AA1BBF" w:rsidP="00D243FF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Tādējādi</w:t>
      </w:r>
      <w:r w:rsidR="00CA0201">
        <w:rPr>
          <w:rFonts w:eastAsia="Calibri" w:cs="Times New Roman"/>
          <w:szCs w:val="24"/>
        </w:rPr>
        <w:t xml:space="preserve"> apelācijas instances tiesa </w:t>
      </w:r>
      <w:r>
        <w:rPr>
          <w:rFonts w:eastAsia="Calibri" w:cs="Times New Roman"/>
          <w:szCs w:val="24"/>
        </w:rPr>
        <w:t>pareizi</w:t>
      </w:r>
      <w:r w:rsidR="00CA0201">
        <w:rPr>
          <w:rFonts w:eastAsia="Calibri" w:cs="Times New Roman"/>
          <w:szCs w:val="24"/>
        </w:rPr>
        <w:t xml:space="preserve"> </w:t>
      </w:r>
      <w:r w:rsidR="00D243FF">
        <w:rPr>
          <w:rFonts w:eastAsia="Calibri" w:cs="Times New Roman"/>
          <w:szCs w:val="24"/>
        </w:rPr>
        <w:t>secinājusi</w:t>
      </w:r>
      <w:r w:rsidR="00CA0201">
        <w:rPr>
          <w:rFonts w:eastAsia="Calibri" w:cs="Times New Roman"/>
          <w:szCs w:val="24"/>
        </w:rPr>
        <w:t>, ka pirmās instances ties</w:t>
      </w:r>
      <w:r>
        <w:rPr>
          <w:rFonts w:eastAsia="Calibri" w:cs="Times New Roman"/>
          <w:szCs w:val="24"/>
        </w:rPr>
        <w:t xml:space="preserve">a celto apsūdzību ir grozījusi, pasliktinot </w:t>
      </w:r>
      <w:r w:rsidR="00CA0201">
        <w:rPr>
          <w:rFonts w:eastAsia="Calibri" w:cs="Times New Roman"/>
          <w:szCs w:val="24"/>
        </w:rPr>
        <w:t xml:space="preserve">apsūdzētā stāvokli, jo palielinājusi </w:t>
      </w:r>
      <w:r w:rsidR="00CA0201" w:rsidRPr="00D243FF">
        <w:rPr>
          <w:rFonts w:eastAsia="Calibri" w:cs="Times New Roman"/>
          <w:szCs w:val="24"/>
        </w:rPr>
        <w:t xml:space="preserve">noziedzīgā nodarījuma </w:t>
      </w:r>
      <w:r w:rsidR="00F42647" w:rsidRPr="00D243FF">
        <w:rPr>
          <w:rFonts w:eastAsia="Calibri" w:cs="Times New Roman"/>
          <w:szCs w:val="24"/>
        </w:rPr>
        <w:t xml:space="preserve">darbību </w:t>
      </w:r>
      <w:r w:rsidR="00CA0201" w:rsidRPr="00D243FF">
        <w:rPr>
          <w:rFonts w:eastAsia="Calibri" w:cs="Times New Roman"/>
          <w:szCs w:val="24"/>
        </w:rPr>
        <w:t>apjomu.</w:t>
      </w:r>
    </w:p>
    <w:p w14:paraId="36AFDDBA" w14:textId="77777777" w:rsidR="001F4DF1" w:rsidRDefault="00D243FF" w:rsidP="00882F7F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[8.3</w:t>
      </w:r>
      <w:r w:rsidR="00CA0201">
        <w:rPr>
          <w:rFonts w:eastAsia="Calibri" w:cs="Times New Roman"/>
          <w:szCs w:val="24"/>
        </w:rPr>
        <w:t xml:space="preserve">] </w:t>
      </w:r>
      <w:r w:rsidR="001F4DF1">
        <w:rPr>
          <w:rFonts w:eastAsia="Calibri" w:cs="Times New Roman"/>
          <w:szCs w:val="24"/>
        </w:rPr>
        <w:t xml:space="preserve">Apelācijas instances tiesa pamatoti spriedumā </w:t>
      </w:r>
      <w:r w:rsidR="00D97DB3">
        <w:rPr>
          <w:rFonts w:eastAsia="Calibri" w:cs="Times New Roman"/>
          <w:szCs w:val="24"/>
        </w:rPr>
        <w:t>secinājusi</w:t>
      </w:r>
      <w:r w:rsidR="001F4DF1">
        <w:rPr>
          <w:rFonts w:eastAsia="Calibri" w:cs="Times New Roman"/>
          <w:szCs w:val="24"/>
        </w:rPr>
        <w:t>, ka tiesa, neveicot pierādījumu pārbaudi, nevar</w:t>
      </w:r>
      <w:r w:rsidR="00AA1BBF">
        <w:rPr>
          <w:rFonts w:eastAsia="Calibri" w:cs="Times New Roman"/>
          <w:szCs w:val="24"/>
        </w:rPr>
        <w:t>ēja</w:t>
      </w:r>
      <w:r w:rsidR="001F4DF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konstatēt</w:t>
      </w:r>
      <w:r w:rsidR="001F4DF1">
        <w:rPr>
          <w:rFonts w:eastAsia="Calibri" w:cs="Times New Roman"/>
          <w:szCs w:val="24"/>
        </w:rPr>
        <w:t xml:space="preserve"> no apsūdzības atšķirīgus </w:t>
      </w:r>
      <w:r w:rsidR="001F4DF1" w:rsidRPr="001F4DF1">
        <w:rPr>
          <w:rFonts w:eastAsia="Calibri" w:cs="Times New Roman"/>
          <w:szCs w:val="24"/>
        </w:rPr>
        <w:t>noziedzīgā nodarījuma faktiskos apstākļus</w:t>
      </w:r>
      <w:r w:rsidR="001F4DF1">
        <w:rPr>
          <w:rFonts w:eastAsia="Calibri" w:cs="Times New Roman"/>
          <w:szCs w:val="24"/>
        </w:rPr>
        <w:t xml:space="preserve">. </w:t>
      </w:r>
    </w:p>
    <w:p w14:paraId="13D9E6FD" w14:textId="77777777" w:rsidR="00882F7F" w:rsidRDefault="001F4DF1" w:rsidP="005F7D08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Kriminālprocesa likuma </w:t>
      </w:r>
      <w:proofErr w:type="gramStart"/>
      <w:r>
        <w:rPr>
          <w:rFonts w:eastAsia="Calibri" w:cs="Times New Roman"/>
          <w:szCs w:val="24"/>
        </w:rPr>
        <w:t>455.panta</w:t>
      </w:r>
      <w:proofErr w:type="gramEnd"/>
      <w:r>
        <w:rPr>
          <w:rFonts w:eastAsia="Calibri" w:cs="Times New Roman"/>
          <w:szCs w:val="24"/>
        </w:rPr>
        <w:t xml:space="preserve"> trešā daļa noteic, ka t</w:t>
      </w:r>
      <w:r w:rsidRPr="001F4DF1">
        <w:rPr>
          <w:rFonts w:eastAsia="Calibri" w:cs="Times New Roman"/>
          <w:szCs w:val="24"/>
        </w:rPr>
        <w:t>iesa var atzīt par pierādītiem no apsūdzības atšķirīgus noziedzīgā nodarījuma faktiskos apstākļus, ja ar to nepasliktinās apsūdzētā stāvoklis un netiek pārkāptas viņa tiesības uz aizstāvību.</w:t>
      </w:r>
      <w:r w:rsidR="00A52095">
        <w:rPr>
          <w:rFonts w:eastAsia="Calibri" w:cs="Times New Roman"/>
          <w:szCs w:val="24"/>
        </w:rPr>
        <w:t xml:space="preserve"> Gramatiski iztulkojot </w:t>
      </w:r>
      <w:r w:rsidR="003144B4">
        <w:rPr>
          <w:rFonts w:eastAsia="Calibri" w:cs="Times New Roman"/>
          <w:szCs w:val="24"/>
        </w:rPr>
        <w:t xml:space="preserve">Kriminālprocesa likuma </w:t>
      </w:r>
      <w:proofErr w:type="gramStart"/>
      <w:r w:rsidR="003144B4">
        <w:rPr>
          <w:rFonts w:eastAsia="Calibri" w:cs="Times New Roman"/>
          <w:szCs w:val="24"/>
        </w:rPr>
        <w:t>455.panta</w:t>
      </w:r>
      <w:proofErr w:type="gramEnd"/>
      <w:r w:rsidR="003144B4">
        <w:rPr>
          <w:rFonts w:eastAsia="Calibri" w:cs="Times New Roman"/>
          <w:szCs w:val="24"/>
        </w:rPr>
        <w:t xml:space="preserve"> tre</w:t>
      </w:r>
      <w:r w:rsidR="00A52095">
        <w:rPr>
          <w:rFonts w:eastAsia="Calibri" w:cs="Times New Roman"/>
          <w:szCs w:val="24"/>
        </w:rPr>
        <w:t>šo daļu, no tās</w:t>
      </w:r>
      <w:r w:rsidR="005F7D08">
        <w:rPr>
          <w:rFonts w:eastAsia="Calibri" w:cs="Times New Roman"/>
          <w:szCs w:val="24"/>
        </w:rPr>
        <w:t xml:space="preserve"> </w:t>
      </w:r>
      <w:r w:rsidR="005F7D08" w:rsidRPr="005F7D08">
        <w:rPr>
          <w:rFonts w:eastAsia="Calibri" w:cs="Times New Roman"/>
          <w:szCs w:val="24"/>
        </w:rPr>
        <w:t>satura un jēgas izriet</w:t>
      </w:r>
      <w:r w:rsidR="005F7D08">
        <w:rPr>
          <w:rFonts w:eastAsia="Calibri" w:cs="Times New Roman"/>
          <w:szCs w:val="24"/>
        </w:rPr>
        <w:t xml:space="preserve">, </w:t>
      </w:r>
      <w:r w:rsidR="00882F7F">
        <w:rPr>
          <w:rFonts w:eastAsia="Calibri" w:cs="Times New Roman"/>
          <w:szCs w:val="24"/>
        </w:rPr>
        <w:t xml:space="preserve">ka </w:t>
      </w:r>
      <w:r w:rsidR="005F7D08">
        <w:rPr>
          <w:rFonts w:eastAsia="Calibri" w:cs="Times New Roman"/>
          <w:szCs w:val="24"/>
        </w:rPr>
        <w:t xml:space="preserve">tiesa </w:t>
      </w:r>
      <w:r w:rsidR="00882F7F" w:rsidRPr="00882F7F">
        <w:rPr>
          <w:rFonts w:eastAsia="Calibri" w:cs="Times New Roman"/>
          <w:szCs w:val="24"/>
        </w:rPr>
        <w:t>par pierādītiem no apsūdzības atšķirīgus noziedzīgā nodarījuma faktiskos apstākļus</w:t>
      </w:r>
      <w:r w:rsidR="00882F7F">
        <w:rPr>
          <w:rFonts w:eastAsia="Calibri" w:cs="Times New Roman"/>
          <w:szCs w:val="24"/>
        </w:rPr>
        <w:t xml:space="preserve"> var atzīt, </w:t>
      </w:r>
      <w:r>
        <w:rPr>
          <w:rFonts w:eastAsia="Calibri" w:cs="Times New Roman"/>
          <w:szCs w:val="24"/>
        </w:rPr>
        <w:t>veicot pierādījumu p</w:t>
      </w:r>
      <w:r w:rsidR="00882F7F">
        <w:rPr>
          <w:rFonts w:eastAsia="Calibri" w:cs="Times New Roman"/>
          <w:szCs w:val="24"/>
        </w:rPr>
        <w:t xml:space="preserve">ārbaudi. </w:t>
      </w:r>
    </w:p>
    <w:p w14:paraId="297F3727" w14:textId="77777777" w:rsidR="00882F7F" w:rsidRDefault="00882F7F" w:rsidP="00882F7F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</w:p>
    <w:p w14:paraId="10739256" w14:textId="77777777" w:rsidR="00B50E5A" w:rsidRDefault="00D243FF" w:rsidP="009C2BDE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[9</w:t>
      </w:r>
      <w:r w:rsidR="005F7D08">
        <w:rPr>
          <w:rFonts w:eastAsia="Calibri" w:cs="Times New Roman"/>
          <w:szCs w:val="24"/>
        </w:rPr>
        <w:t xml:space="preserve">] </w:t>
      </w:r>
      <w:r w:rsidR="00F1215C">
        <w:rPr>
          <w:rFonts w:eastAsia="Calibri" w:cs="Times New Roman"/>
          <w:szCs w:val="24"/>
        </w:rPr>
        <w:t>Augstākā tiesa atzīst, ka a</w:t>
      </w:r>
      <w:r w:rsidR="00B50E5A">
        <w:rPr>
          <w:rFonts w:eastAsia="Calibri" w:cs="Times New Roman"/>
          <w:szCs w:val="24"/>
        </w:rPr>
        <w:t xml:space="preserve">pelācijas instances tiesa </w:t>
      </w:r>
      <w:r w:rsidR="00AA1BBF">
        <w:rPr>
          <w:rFonts w:eastAsia="Calibri" w:cs="Times New Roman"/>
          <w:szCs w:val="24"/>
        </w:rPr>
        <w:t>pareizi</w:t>
      </w:r>
      <w:r w:rsidR="00B50E5A">
        <w:rPr>
          <w:rFonts w:eastAsia="Calibri" w:cs="Times New Roman"/>
          <w:szCs w:val="24"/>
        </w:rPr>
        <w:t xml:space="preserve"> norādījusi, ka </w:t>
      </w:r>
      <w:r w:rsidR="009C2BDE">
        <w:rPr>
          <w:rFonts w:eastAsia="Calibri" w:cs="Times New Roman"/>
          <w:szCs w:val="24"/>
        </w:rPr>
        <w:t xml:space="preserve">tiesai </w:t>
      </w:r>
      <w:r w:rsidR="00F1215C">
        <w:rPr>
          <w:rFonts w:eastAsia="Calibri" w:cs="Times New Roman"/>
          <w:szCs w:val="24"/>
        </w:rPr>
        <w:t xml:space="preserve">atbilstoši Kriminālprocesa likuma </w:t>
      </w:r>
      <w:proofErr w:type="gramStart"/>
      <w:r w:rsidR="00F1215C">
        <w:rPr>
          <w:rFonts w:eastAsia="Calibri" w:cs="Times New Roman"/>
          <w:szCs w:val="24"/>
        </w:rPr>
        <w:t>499.panta</w:t>
      </w:r>
      <w:proofErr w:type="gramEnd"/>
      <w:r w:rsidR="00F1215C">
        <w:rPr>
          <w:rFonts w:eastAsia="Calibri" w:cs="Times New Roman"/>
          <w:szCs w:val="24"/>
        </w:rPr>
        <w:t xml:space="preserve"> pirmajā daļā noteiktajam </w:t>
      </w:r>
      <w:r w:rsidR="009C2BDE">
        <w:rPr>
          <w:rFonts w:eastAsia="Calibri" w:cs="Times New Roman"/>
          <w:szCs w:val="24"/>
        </w:rPr>
        <w:t>ir pienākums pārbaudīt lietas materiālus, lai izsl</w:t>
      </w:r>
      <w:r w:rsidR="00F42647">
        <w:rPr>
          <w:rFonts w:eastAsia="Calibri" w:cs="Times New Roman"/>
          <w:szCs w:val="24"/>
        </w:rPr>
        <w:t>ēgtu šaubas par apsūdzētā vainu,</w:t>
      </w:r>
      <w:r w:rsidR="009C2BDE">
        <w:rPr>
          <w:rFonts w:eastAsia="Calibri" w:cs="Times New Roman"/>
          <w:szCs w:val="24"/>
        </w:rPr>
        <w:t xml:space="preserve"> arī tad, ja apsūdzētais atzinis savu vainu un piekritis pierādījumu pārbaudes </w:t>
      </w:r>
      <w:r w:rsidR="00F42647">
        <w:rPr>
          <w:rFonts w:eastAsia="Calibri" w:cs="Times New Roman"/>
          <w:szCs w:val="24"/>
        </w:rPr>
        <w:t>neizdarīšanai</w:t>
      </w:r>
      <w:r w:rsidR="009C2BDE">
        <w:rPr>
          <w:rFonts w:eastAsia="Calibri" w:cs="Times New Roman"/>
          <w:szCs w:val="24"/>
        </w:rPr>
        <w:t>.</w:t>
      </w:r>
    </w:p>
    <w:p w14:paraId="3CC1A570" w14:textId="77777777" w:rsidR="00B50E5A" w:rsidRPr="00B50E5A" w:rsidRDefault="00A52095" w:rsidP="00B50E5A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i/>
          <w:szCs w:val="24"/>
        </w:rPr>
      </w:pPr>
      <w:r>
        <w:rPr>
          <w:rFonts w:eastAsia="Calibri" w:cs="Times New Roman"/>
          <w:szCs w:val="24"/>
        </w:rPr>
        <w:t xml:space="preserve">Augstākā tiesa jau iepriekš </w:t>
      </w:r>
      <w:r w:rsidR="00B50E5A" w:rsidRPr="00B50E5A">
        <w:rPr>
          <w:rFonts w:eastAsia="Calibri" w:cs="Times New Roman"/>
          <w:szCs w:val="24"/>
        </w:rPr>
        <w:t>izteikusi atziņu, ka</w:t>
      </w:r>
      <w:r w:rsidR="00B50E5A">
        <w:rPr>
          <w:rFonts w:eastAsia="Calibri" w:cs="Times New Roman"/>
          <w:szCs w:val="24"/>
        </w:rPr>
        <w:t xml:space="preserve"> </w:t>
      </w:r>
      <w:r w:rsidR="00B50E5A" w:rsidRPr="00B50E5A">
        <w:rPr>
          <w:rFonts w:eastAsia="Calibri" w:cs="Times New Roman"/>
          <w:szCs w:val="24"/>
        </w:rPr>
        <w:t xml:space="preserve">Kriminālprocesa likuma </w:t>
      </w:r>
      <w:proofErr w:type="gramStart"/>
      <w:r w:rsidR="00B50E5A" w:rsidRPr="00B50E5A">
        <w:rPr>
          <w:rFonts w:eastAsia="Calibri" w:cs="Times New Roman"/>
          <w:szCs w:val="24"/>
        </w:rPr>
        <w:t>499.panta</w:t>
      </w:r>
      <w:proofErr w:type="gramEnd"/>
      <w:r w:rsidR="00B50E5A" w:rsidRPr="00B50E5A">
        <w:rPr>
          <w:rFonts w:eastAsia="Calibri" w:cs="Times New Roman"/>
          <w:szCs w:val="24"/>
        </w:rPr>
        <w:t xml:space="preserve"> pirmajā daļā ir uzskaitīti nosacījumi pierādījumu pārbaudes neizdarīšanai un šā panta pirmās daļas 2.punktā ir</w:t>
      </w:r>
      <w:r w:rsidR="00B50E5A">
        <w:rPr>
          <w:rFonts w:eastAsia="Calibri" w:cs="Times New Roman"/>
          <w:szCs w:val="24"/>
        </w:rPr>
        <w:t xml:space="preserve"> ietverts obligāts nosacījums  - </w:t>
      </w:r>
      <w:r w:rsidR="00B50E5A" w:rsidRPr="00B50E5A">
        <w:rPr>
          <w:rFonts w:eastAsia="Calibri" w:cs="Times New Roman"/>
          <w:szCs w:val="24"/>
        </w:rPr>
        <w:t>tiesai pēc lietas materiālu pārbaudes</w:t>
      </w:r>
      <w:r w:rsidR="00B50E5A">
        <w:rPr>
          <w:rFonts w:eastAsia="Calibri" w:cs="Times New Roman"/>
          <w:szCs w:val="24"/>
        </w:rPr>
        <w:t xml:space="preserve"> nav šaubu par apsūdzētā vainu. </w:t>
      </w:r>
      <w:r w:rsidR="00B50E5A" w:rsidRPr="00B50E5A">
        <w:rPr>
          <w:rFonts w:eastAsia="Calibri" w:cs="Times New Roman"/>
          <w:szCs w:val="24"/>
        </w:rPr>
        <w:t xml:space="preserve">Fakts, ka apsūdzētais tiesas sēdē atzīst savu vainu, neatbrīvo tiesu no pārējo Kriminālprocesa likuma </w:t>
      </w:r>
      <w:proofErr w:type="gramStart"/>
      <w:r w:rsidR="00B50E5A" w:rsidRPr="00B50E5A">
        <w:rPr>
          <w:rFonts w:eastAsia="Calibri" w:cs="Times New Roman"/>
          <w:szCs w:val="24"/>
        </w:rPr>
        <w:t>499.panta</w:t>
      </w:r>
      <w:proofErr w:type="gramEnd"/>
      <w:r w:rsidR="00B50E5A" w:rsidRPr="00B50E5A">
        <w:rPr>
          <w:rFonts w:eastAsia="Calibri" w:cs="Times New Roman"/>
          <w:szCs w:val="24"/>
        </w:rPr>
        <w:t xml:space="preserve"> pirmajā daļā ietverto nosacījumu pārbaudes.</w:t>
      </w:r>
      <w:r w:rsidR="00B50E5A">
        <w:rPr>
          <w:rFonts w:eastAsia="Calibri" w:cs="Times New Roman"/>
          <w:szCs w:val="24"/>
        </w:rPr>
        <w:t xml:space="preserve"> </w:t>
      </w:r>
      <w:r w:rsidR="00B50E5A" w:rsidRPr="00B50E5A">
        <w:rPr>
          <w:rFonts w:eastAsia="Calibri" w:cs="Times New Roman"/>
          <w:szCs w:val="24"/>
        </w:rPr>
        <w:t xml:space="preserve">Tiesai, lemjot par pierādījumu pārbaudes neizdarīšanu, ir jāpārbauda arī apsūdzētajai personai celtās apsūdzības atbilstība Kriminālprocesa likuma </w:t>
      </w:r>
      <w:proofErr w:type="gramStart"/>
      <w:r w:rsidR="00B50E5A" w:rsidRPr="00B50E5A">
        <w:rPr>
          <w:rFonts w:eastAsia="Calibri" w:cs="Times New Roman"/>
          <w:szCs w:val="24"/>
        </w:rPr>
        <w:t>405.panta</w:t>
      </w:r>
      <w:proofErr w:type="gramEnd"/>
      <w:r w:rsidR="00B50E5A" w:rsidRPr="00B50E5A">
        <w:rPr>
          <w:rFonts w:eastAsia="Calibri" w:cs="Times New Roman"/>
          <w:szCs w:val="24"/>
        </w:rPr>
        <w:t xml:space="preserve"> pirmās daļas noteikumiem – vai noziedzīgā nodarījuma faktiskie apstākļi apstiprina nod</w:t>
      </w:r>
      <w:r w:rsidR="00B50E5A">
        <w:rPr>
          <w:rFonts w:eastAsia="Calibri" w:cs="Times New Roman"/>
          <w:szCs w:val="24"/>
        </w:rPr>
        <w:t>arījuma juridisko kvalifikāciju (</w:t>
      </w:r>
      <w:r w:rsidR="00B50E5A">
        <w:rPr>
          <w:i/>
          <w:szCs w:val="24"/>
        </w:rPr>
        <w:t xml:space="preserve">Augstākās tiesas </w:t>
      </w:r>
      <w:r w:rsidR="00B50E5A" w:rsidRPr="00B50E5A">
        <w:rPr>
          <w:i/>
          <w:szCs w:val="24"/>
        </w:rPr>
        <w:t>2010. gada 23. marta</w:t>
      </w:r>
      <w:r w:rsidR="00B50E5A">
        <w:rPr>
          <w:i/>
          <w:szCs w:val="24"/>
        </w:rPr>
        <w:t xml:space="preserve"> lēmums lietā SKK-158/2010 </w:t>
      </w:r>
      <w:r w:rsidR="00B50E5A" w:rsidRPr="00B50E5A">
        <w:rPr>
          <w:i/>
          <w:szCs w:val="24"/>
        </w:rPr>
        <w:t>(11130044409)</w:t>
      </w:r>
      <w:r w:rsidR="00B50E5A">
        <w:rPr>
          <w:i/>
          <w:szCs w:val="24"/>
        </w:rPr>
        <w:t xml:space="preserve">). </w:t>
      </w:r>
    </w:p>
    <w:p w14:paraId="6BF49C5E" w14:textId="77777777" w:rsidR="00B50E5A" w:rsidRDefault="00B50E5A" w:rsidP="005F7D08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</w:p>
    <w:p w14:paraId="221FA475" w14:textId="77777777" w:rsidR="00937BB3" w:rsidRPr="00B50E5A" w:rsidRDefault="00616219" w:rsidP="00B70BF0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 w:rsidR="00D243FF">
        <w:rPr>
          <w:rFonts w:eastAsia="Calibri" w:cs="Times New Roman"/>
          <w:szCs w:val="24"/>
        </w:rPr>
        <w:t>[10</w:t>
      </w:r>
      <w:r w:rsidR="00937BB3" w:rsidRPr="0040406A">
        <w:rPr>
          <w:rFonts w:eastAsia="Calibri" w:cs="Times New Roman"/>
          <w:szCs w:val="24"/>
        </w:rPr>
        <w:t xml:space="preserve">] </w:t>
      </w:r>
      <w:r w:rsidR="009C2BDE" w:rsidRPr="0040406A">
        <w:rPr>
          <w:rFonts w:eastAsia="Calibri" w:cs="Times New Roman"/>
          <w:szCs w:val="24"/>
        </w:rPr>
        <w:t>Kasāc</w:t>
      </w:r>
      <w:r w:rsidR="009C2BDE">
        <w:rPr>
          <w:rFonts w:eastAsia="Calibri" w:cs="Times New Roman"/>
          <w:szCs w:val="24"/>
        </w:rPr>
        <w:t xml:space="preserve">ijas instances tiesa atzīst par pamatotu Latgales apgabaltiesas </w:t>
      </w:r>
      <w:proofErr w:type="gramStart"/>
      <w:r w:rsidR="009C2BDE">
        <w:rPr>
          <w:rFonts w:eastAsia="Calibri" w:cs="Times New Roman"/>
          <w:szCs w:val="24"/>
        </w:rPr>
        <w:t>20</w:t>
      </w:r>
      <w:r w:rsidR="00AA1BBF">
        <w:rPr>
          <w:rFonts w:eastAsia="Calibri" w:cs="Times New Roman"/>
          <w:szCs w:val="24"/>
        </w:rPr>
        <w:t>18.gada</w:t>
      </w:r>
      <w:proofErr w:type="gramEnd"/>
      <w:r w:rsidR="00AA1BBF">
        <w:rPr>
          <w:rFonts w:eastAsia="Calibri" w:cs="Times New Roman"/>
          <w:szCs w:val="24"/>
        </w:rPr>
        <w:t xml:space="preserve"> 21.marta blakus lēmumu.</w:t>
      </w:r>
    </w:p>
    <w:p w14:paraId="32F4DBF8" w14:textId="77777777" w:rsidR="002E691B" w:rsidRDefault="00247A7F" w:rsidP="000C7685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Apelācijas instances tiesa </w:t>
      </w:r>
      <w:r w:rsidR="00DB46D8">
        <w:rPr>
          <w:rFonts w:eastAsia="Calibri" w:cs="Times New Roman"/>
          <w:szCs w:val="24"/>
        </w:rPr>
        <w:t>[pers. A]</w:t>
      </w:r>
      <w:r>
        <w:rPr>
          <w:rFonts w:eastAsia="Calibri" w:cs="Times New Roman"/>
          <w:szCs w:val="24"/>
        </w:rPr>
        <w:t xml:space="preserve"> celtajā apsūdzībā konstatējusi neatbilstību</w:t>
      </w:r>
      <w:r w:rsidRPr="00247A7F">
        <w:rPr>
          <w:rFonts w:eastAsia="Calibri" w:cs="Times New Roman"/>
          <w:szCs w:val="24"/>
        </w:rPr>
        <w:t xml:space="preserve"> lietā esoš</w:t>
      </w:r>
      <w:r w:rsidR="000D31F3">
        <w:rPr>
          <w:rFonts w:eastAsia="Calibri" w:cs="Times New Roman"/>
          <w:szCs w:val="24"/>
        </w:rPr>
        <w:t>aj</w:t>
      </w:r>
      <w:r w:rsidRPr="00247A7F">
        <w:rPr>
          <w:rFonts w:eastAsia="Calibri" w:cs="Times New Roman"/>
          <w:szCs w:val="24"/>
        </w:rPr>
        <w:t>iem pierādījumiem</w:t>
      </w:r>
      <w:r>
        <w:rPr>
          <w:rFonts w:eastAsia="Calibri" w:cs="Times New Roman"/>
          <w:szCs w:val="24"/>
        </w:rPr>
        <w:t xml:space="preserve">. </w:t>
      </w:r>
      <w:r w:rsidR="009C2BDE">
        <w:rPr>
          <w:rFonts w:eastAsia="Calibri" w:cs="Times New Roman"/>
          <w:szCs w:val="24"/>
        </w:rPr>
        <w:t xml:space="preserve">Saskaņā ar Kriminālprocesa likuma </w:t>
      </w:r>
      <w:proofErr w:type="gramStart"/>
      <w:r w:rsidR="009C2BDE">
        <w:rPr>
          <w:rFonts w:eastAsia="Calibri" w:cs="Times New Roman"/>
          <w:szCs w:val="24"/>
        </w:rPr>
        <w:t>402.pantu</w:t>
      </w:r>
      <w:proofErr w:type="gramEnd"/>
      <w:r w:rsidR="009C2BDE">
        <w:rPr>
          <w:rFonts w:eastAsia="Calibri" w:cs="Times New Roman"/>
          <w:szCs w:val="24"/>
        </w:rPr>
        <w:t xml:space="preserve"> p</w:t>
      </w:r>
      <w:r w:rsidR="009C2BDE" w:rsidRPr="009C2BDE">
        <w:rPr>
          <w:rFonts w:eastAsia="Calibri" w:cs="Times New Roman"/>
          <w:szCs w:val="24"/>
        </w:rPr>
        <w:t>ersonu sauc pie kriminālatbildības</w:t>
      </w:r>
      <w:r w:rsidR="009C2BDE">
        <w:rPr>
          <w:rFonts w:eastAsia="Calibri" w:cs="Times New Roman"/>
          <w:szCs w:val="24"/>
        </w:rPr>
        <w:t xml:space="preserve"> tikai tad</w:t>
      </w:r>
      <w:r w:rsidR="009C2BDE" w:rsidRPr="009C2BDE">
        <w:rPr>
          <w:rFonts w:eastAsia="Calibri" w:cs="Times New Roman"/>
          <w:szCs w:val="24"/>
        </w:rPr>
        <w:t>, ja izmeklēšanā savāktie pierādījumi norāda uz šīs personas vainu izmeklējamā noziedzīgā nodarījumā un prokurors ir pārliecināts, ka pierādījumi to apstiprina.</w:t>
      </w:r>
      <w:r w:rsidR="00F42647">
        <w:rPr>
          <w:rFonts w:eastAsia="Calibri" w:cs="Times New Roman"/>
          <w:szCs w:val="24"/>
        </w:rPr>
        <w:t xml:space="preserve"> </w:t>
      </w:r>
      <w:r w:rsidR="002E691B">
        <w:rPr>
          <w:rFonts w:eastAsia="Calibri" w:cs="Times New Roman"/>
          <w:szCs w:val="24"/>
        </w:rPr>
        <w:t xml:space="preserve">Apelācijas instances tiesa atzinusi, ka šādu neatbilstību prokurore varēja novērst, tostarp, pirmās instances tiesā, taču prokurore to nav darījusi. </w:t>
      </w:r>
    </w:p>
    <w:p w14:paraId="76A78D29" w14:textId="77777777" w:rsidR="009C2BDE" w:rsidRDefault="009C2BDE" w:rsidP="00F42647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Tādējādi a</w:t>
      </w:r>
      <w:r w:rsidR="00C90EF7" w:rsidRPr="00B50E5A">
        <w:rPr>
          <w:rFonts w:eastAsia="Calibri" w:cs="Times New Roman"/>
          <w:szCs w:val="24"/>
        </w:rPr>
        <w:t xml:space="preserve">pelācijas instances tiesa </w:t>
      </w:r>
      <w:r>
        <w:rPr>
          <w:rFonts w:eastAsia="Calibri" w:cs="Times New Roman"/>
          <w:szCs w:val="24"/>
        </w:rPr>
        <w:t xml:space="preserve">pamatoti atzinusi, ka prokurore nepienācīgi pildījusi darba pienākumus. </w:t>
      </w:r>
    </w:p>
    <w:p w14:paraId="14DF5675" w14:textId="77777777" w:rsidR="00DA6157" w:rsidRDefault="00DA6157" w:rsidP="000D22C6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rFonts w:eastAsia="Calibri" w:cs="Times New Roman"/>
          <w:szCs w:val="24"/>
        </w:rPr>
      </w:pPr>
    </w:p>
    <w:p w14:paraId="57048405" w14:textId="77777777" w:rsidR="004111A6" w:rsidRDefault="004D55E5" w:rsidP="00F35897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[</w:t>
      </w:r>
      <w:r w:rsidR="00D243FF">
        <w:rPr>
          <w:rFonts w:eastAsia="Calibri" w:cs="Times New Roman"/>
          <w:szCs w:val="24"/>
        </w:rPr>
        <w:t>11</w:t>
      </w:r>
      <w:r w:rsidR="00B21E0D">
        <w:rPr>
          <w:rFonts w:eastAsia="Calibri" w:cs="Times New Roman"/>
          <w:szCs w:val="24"/>
        </w:rPr>
        <w:t xml:space="preserve">] </w:t>
      </w:r>
      <w:r w:rsidR="00467ABF">
        <w:rPr>
          <w:rFonts w:eastAsia="Calibri" w:cs="Times New Roman"/>
          <w:szCs w:val="24"/>
        </w:rPr>
        <w:t>Augstākā tiesa atzīst, ka apelācijas instances tiesa, iztiesājot lietu</w:t>
      </w:r>
      <w:r w:rsidR="007F0AB4">
        <w:rPr>
          <w:rFonts w:eastAsia="Calibri" w:cs="Times New Roman"/>
          <w:szCs w:val="24"/>
        </w:rPr>
        <w:t xml:space="preserve"> un pieņemot blakus lēmumu</w:t>
      </w:r>
      <w:r w:rsidR="00467ABF">
        <w:rPr>
          <w:rFonts w:eastAsia="Calibri" w:cs="Times New Roman"/>
          <w:szCs w:val="24"/>
        </w:rPr>
        <w:t>, nav pieļāvusi Kriminālprocesa likuma būti</w:t>
      </w:r>
      <w:r w:rsidR="00570F91">
        <w:rPr>
          <w:rFonts w:eastAsia="Calibri" w:cs="Times New Roman"/>
          <w:szCs w:val="24"/>
        </w:rPr>
        <w:t xml:space="preserve">skus pārkāpumus šā likuma </w:t>
      </w:r>
      <w:proofErr w:type="gramStart"/>
      <w:r w:rsidR="00467ABF">
        <w:rPr>
          <w:rFonts w:eastAsia="Calibri" w:cs="Times New Roman"/>
          <w:szCs w:val="24"/>
        </w:rPr>
        <w:t>575.panta</w:t>
      </w:r>
      <w:proofErr w:type="gramEnd"/>
      <w:r w:rsidR="00467ABF">
        <w:rPr>
          <w:rFonts w:eastAsia="Calibri" w:cs="Times New Roman"/>
          <w:szCs w:val="24"/>
        </w:rPr>
        <w:t xml:space="preserve"> izpratnē.</w:t>
      </w:r>
    </w:p>
    <w:p w14:paraId="63499286" w14:textId="77777777" w:rsidR="004111A6" w:rsidRDefault="004111A6" w:rsidP="000D22C6">
      <w:pPr>
        <w:suppressAutoHyphens/>
        <w:autoSpaceDN w:val="0"/>
        <w:spacing w:after="0" w:line="276" w:lineRule="auto"/>
        <w:ind w:right="-6"/>
        <w:jc w:val="both"/>
        <w:textAlignment w:val="baseline"/>
        <w:rPr>
          <w:rFonts w:eastAsia="Calibri" w:cs="Times New Roman"/>
          <w:szCs w:val="24"/>
        </w:rPr>
      </w:pPr>
    </w:p>
    <w:p w14:paraId="18870F4D" w14:textId="77777777" w:rsidR="000D22C6" w:rsidRPr="006D6285" w:rsidRDefault="000D22C6" w:rsidP="00467ABF">
      <w:pPr>
        <w:suppressAutoHyphens/>
        <w:autoSpaceDN w:val="0"/>
        <w:spacing w:after="0" w:line="276" w:lineRule="auto"/>
        <w:ind w:left="2880" w:firstLine="720"/>
        <w:textAlignment w:val="baseline"/>
        <w:rPr>
          <w:rFonts w:eastAsia="Calibri" w:cs="Times New Roman"/>
          <w:b/>
          <w:szCs w:val="24"/>
        </w:rPr>
      </w:pPr>
      <w:r w:rsidRPr="006D6285">
        <w:rPr>
          <w:rFonts w:eastAsia="Calibri" w:cs="Times New Roman"/>
          <w:b/>
          <w:szCs w:val="24"/>
        </w:rPr>
        <w:t>Rezolutīvā daļa</w:t>
      </w:r>
    </w:p>
    <w:p w14:paraId="1062B0AD" w14:textId="77777777" w:rsidR="000D22C6" w:rsidRPr="006D6285" w:rsidRDefault="000D22C6" w:rsidP="000D22C6">
      <w:pPr>
        <w:suppressAutoHyphens/>
        <w:autoSpaceDN w:val="0"/>
        <w:spacing w:after="0" w:line="276" w:lineRule="auto"/>
        <w:ind w:left="2880" w:firstLine="720"/>
        <w:jc w:val="both"/>
        <w:textAlignment w:val="baseline"/>
        <w:rPr>
          <w:rFonts w:eastAsia="Calibri" w:cs="Times New Roman"/>
          <w:b/>
          <w:szCs w:val="24"/>
        </w:rPr>
      </w:pPr>
    </w:p>
    <w:p w14:paraId="35209D10" w14:textId="77777777" w:rsidR="000D22C6" w:rsidRPr="006D6285" w:rsidRDefault="000D22C6" w:rsidP="000D22C6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>Pamatojoties uz Kriminālprocesa likuma 585., 587.</w:t>
      </w:r>
      <w:r w:rsidR="00571EA9">
        <w:rPr>
          <w:rFonts w:eastAsia="Calibri" w:cs="Times New Roman"/>
          <w:szCs w:val="24"/>
        </w:rPr>
        <w:t> </w:t>
      </w:r>
      <w:r w:rsidRPr="006D6285">
        <w:rPr>
          <w:rFonts w:eastAsia="Calibri" w:cs="Times New Roman"/>
          <w:szCs w:val="24"/>
        </w:rPr>
        <w:t xml:space="preserve">pantu, Augstākā tiesa </w:t>
      </w:r>
    </w:p>
    <w:p w14:paraId="3F363BD7" w14:textId="77777777" w:rsidR="000D22C6" w:rsidRPr="006D6285" w:rsidRDefault="000D22C6" w:rsidP="000D22C6">
      <w:pPr>
        <w:suppressAutoHyphens/>
        <w:autoSpaceDN w:val="0"/>
        <w:spacing w:after="0" w:line="276" w:lineRule="auto"/>
        <w:jc w:val="both"/>
        <w:textAlignment w:val="baseline"/>
        <w:rPr>
          <w:rFonts w:eastAsia="Calibri" w:cs="Times New Roman"/>
          <w:b/>
          <w:szCs w:val="24"/>
        </w:rPr>
      </w:pPr>
    </w:p>
    <w:p w14:paraId="1EA27675" w14:textId="77777777" w:rsidR="000D22C6" w:rsidRDefault="000D22C6" w:rsidP="000D22C6">
      <w:pPr>
        <w:suppressAutoHyphens/>
        <w:autoSpaceDN w:val="0"/>
        <w:spacing w:after="0" w:line="276" w:lineRule="auto"/>
        <w:jc w:val="center"/>
        <w:textAlignment w:val="baseline"/>
        <w:rPr>
          <w:rFonts w:eastAsia="Calibri" w:cs="Times New Roman"/>
          <w:b/>
          <w:szCs w:val="24"/>
        </w:rPr>
      </w:pPr>
      <w:r w:rsidRPr="006D6285">
        <w:rPr>
          <w:rFonts w:eastAsia="Calibri" w:cs="Times New Roman"/>
          <w:b/>
          <w:szCs w:val="24"/>
        </w:rPr>
        <w:t>n o l ē m a:</w:t>
      </w:r>
    </w:p>
    <w:p w14:paraId="59A727B1" w14:textId="77777777" w:rsidR="00467ABF" w:rsidRPr="006D6285" w:rsidRDefault="00467ABF" w:rsidP="000D22C6">
      <w:pPr>
        <w:suppressAutoHyphens/>
        <w:autoSpaceDN w:val="0"/>
        <w:spacing w:after="0" w:line="276" w:lineRule="auto"/>
        <w:jc w:val="center"/>
        <w:textAlignment w:val="baseline"/>
        <w:rPr>
          <w:rFonts w:eastAsia="Calibri" w:cs="Times New Roman"/>
          <w:b/>
          <w:szCs w:val="24"/>
        </w:rPr>
      </w:pPr>
    </w:p>
    <w:p w14:paraId="7CAA8C2F" w14:textId="77777777" w:rsidR="00467ABF" w:rsidRPr="002F5326" w:rsidRDefault="00467ABF" w:rsidP="00467ABF">
      <w:pPr>
        <w:suppressAutoHyphens/>
        <w:autoSpaceDN w:val="0"/>
        <w:spacing w:after="0" w:line="276" w:lineRule="auto"/>
        <w:ind w:right="-6" w:firstLine="720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atstāt negrozītu</w:t>
      </w:r>
      <w:r w:rsidR="00665F39">
        <w:rPr>
          <w:rFonts w:eastAsia="Calibri" w:cs="Times New Roman"/>
          <w:szCs w:val="24"/>
        </w:rPr>
        <w:t xml:space="preserve">s </w:t>
      </w:r>
      <w:r w:rsidR="004D55E5">
        <w:rPr>
          <w:rFonts w:eastAsia="Calibri" w:cs="Times New Roman"/>
          <w:szCs w:val="24"/>
        </w:rPr>
        <w:t>Latgales</w:t>
      </w:r>
      <w:r>
        <w:rPr>
          <w:rFonts w:eastAsia="Calibri" w:cs="Times New Roman"/>
          <w:szCs w:val="24"/>
        </w:rPr>
        <w:t xml:space="preserve"> apgabaltiesas </w:t>
      </w:r>
      <w:proofErr w:type="gramStart"/>
      <w:r>
        <w:rPr>
          <w:rFonts w:eastAsia="Calibri" w:cs="Times New Roman"/>
          <w:szCs w:val="24"/>
        </w:rPr>
        <w:t>2018.gada</w:t>
      </w:r>
      <w:proofErr w:type="gramEnd"/>
      <w:r>
        <w:rPr>
          <w:rFonts w:eastAsia="Calibri" w:cs="Times New Roman"/>
          <w:szCs w:val="24"/>
        </w:rPr>
        <w:t xml:space="preserve"> </w:t>
      </w:r>
      <w:r w:rsidR="004D55E5">
        <w:rPr>
          <w:rFonts w:eastAsia="Calibri" w:cs="Times New Roman"/>
          <w:szCs w:val="24"/>
        </w:rPr>
        <w:t>21</w:t>
      </w:r>
      <w:r w:rsidR="00570F91">
        <w:rPr>
          <w:rFonts w:eastAsia="Calibri" w:cs="Times New Roman"/>
          <w:szCs w:val="24"/>
        </w:rPr>
        <w:t>.</w:t>
      </w:r>
      <w:r w:rsidR="00665F39">
        <w:rPr>
          <w:rFonts w:eastAsia="Calibri" w:cs="Times New Roman"/>
          <w:szCs w:val="24"/>
        </w:rPr>
        <w:t>marta</w:t>
      </w:r>
      <w:r w:rsidRPr="002F5326">
        <w:rPr>
          <w:rFonts w:eastAsia="Calibri" w:cs="Times New Roman"/>
          <w:szCs w:val="24"/>
        </w:rPr>
        <w:t xml:space="preserve"> </w:t>
      </w:r>
      <w:r w:rsidR="00665F39">
        <w:rPr>
          <w:rFonts w:eastAsia="Calibri" w:cs="Times New Roman"/>
          <w:szCs w:val="24"/>
        </w:rPr>
        <w:t xml:space="preserve">lēmumu un </w:t>
      </w:r>
      <w:r w:rsidR="00665F39" w:rsidRPr="00665F39">
        <w:rPr>
          <w:rFonts w:eastAsia="Calibri" w:cs="Times New Roman"/>
          <w:szCs w:val="24"/>
        </w:rPr>
        <w:t>blakus lēmumu</w:t>
      </w:r>
      <w:r w:rsidR="00665F39">
        <w:rPr>
          <w:rFonts w:eastAsia="Calibri" w:cs="Times New Roman"/>
          <w:szCs w:val="24"/>
        </w:rPr>
        <w:t>,</w:t>
      </w:r>
      <w:r w:rsidR="004D583A">
        <w:rPr>
          <w:rFonts w:eastAsia="Calibri" w:cs="Times New Roman"/>
          <w:szCs w:val="24"/>
        </w:rPr>
        <w:t xml:space="preserve"> bet </w:t>
      </w:r>
      <w:r w:rsidR="004D55E5" w:rsidRPr="004D55E5">
        <w:rPr>
          <w:rFonts w:eastAsia="Calibri" w:cs="Times New Roman"/>
          <w:szCs w:val="24"/>
        </w:rPr>
        <w:t xml:space="preserve">Rēzeknes prokuratūras prokurores </w:t>
      </w:r>
      <w:r w:rsidR="00262EA0">
        <w:rPr>
          <w:rFonts w:eastAsia="Calibri" w:cs="Times New Roman"/>
          <w:szCs w:val="24"/>
        </w:rPr>
        <w:t>J. </w:t>
      </w:r>
      <w:proofErr w:type="spellStart"/>
      <w:r w:rsidR="00665F39">
        <w:rPr>
          <w:rFonts w:eastAsia="Calibri" w:cs="Times New Roman"/>
          <w:szCs w:val="24"/>
        </w:rPr>
        <w:t>Laganovskas</w:t>
      </w:r>
      <w:proofErr w:type="spellEnd"/>
      <w:r w:rsidR="004D55E5">
        <w:rPr>
          <w:rFonts w:eastAsia="Calibri" w:cs="Times New Roman"/>
          <w:szCs w:val="24"/>
        </w:rPr>
        <w:t xml:space="preserve"> kasācijas protestu</w:t>
      </w:r>
      <w:r>
        <w:rPr>
          <w:rFonts w:eastAsia="Calibri" w:cs="Times New Roman"/>
          <w:szCs w:val="24"/>
        </w:rPr>
        <w:t xml:space="preserve"> noraidīt</w:t>
      </w:r>
      <w:r w:rsidRPr="002F5326">
        <w:rPr>
          <w:rFonts w:eastAsia="Calibri" w:cs="Times New Roman"/>
          <w:szCs w:val="24"/>
        </w:rPr>
        <w:t>.</w:t>
      </w:r>
    </w:p>
    <w:p w14:paraId="35D0F3F1" w14:textId="77777777" w:rsidR="000D22C6" w:rsidRDefault="000D22C6" w:rsidP="00B21E0D">
      <w:pPr>
        <w:tabs>
          <w:tab w:val="left" w:pos="-312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Calibri" w:cs="Times New Roman"/>
          <w:szCs w:val="24"/>
        </w:rPr>
      </w:pPr>
      <w:r w:rsidRPr="006D6285">
        <w:rPr>
          <w:rFonts w:eastAsia="Calibri" w:cs="Times New Roman"/>
          <w:szCs w:val="24"/>
        </w:rPr>
        <w:t>Lēmums nav pārsūdzams.</w:t>
      </w:r>
    </w:p>
    <w:p w14:paraId="2C2B2A9C" w14:textId="77777777" w:rsidR="00AA1BBF" w:rsidRDefault="00AA1BBF" w:rsidP="00B21E0D">
      <w:pPr>
        <w:tabs>
          <w:tab w:val="left" w:pos="-312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eastAsia="Calibri" w:cs="Times New Roman"/>
          <w:szCs w:val="24"/>
        </w:rPr>
      </w:pPr>
    </w:p>
    <w:p w14:paraId="0F0E7625" w14:textId="77777777" w:rsidR="004E6636" w:rsidRDefault="004E6636" w:rsidP="004E6636">
      <w:pPr>
        <w:suppressAutoHyphens/>
        <w:autoSpaceDN w:val="0"/>
        <w:spacing w:after="0" w:line="480" w:lineRule="auto"/>
        <w:textAlignment w:val="baseline"/>
        <w:rPr>
          <w:lang w:val="en-US"/>
        </w:rPr>
      </w:pPr>
    </w:p>
    <w:sectPr w:rsidR="004E6636" w:rsidSect="004D583A">
      <w:footerReference w:type="default" r:id="rId7"/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56280" w14:textId="77777777" w:rsidR="004F3D21" w:rsidRDefault="004F3D21">
      <w:pPr>
        <w:spacing w:after="0" w:line="240" w:lineRule="auto"/>
      </w:pPr>
      <w:r>
        <w:separator/>
      </w:r>
    </w:p>
  </w:endnote>
  <w:endnote w:type="continuationSeparator" w:id="0">
    <w:p w14:paraId="3CD2E902" w14:textId="77777777" w:rsidR="004F3D21" w:rsidRDefault="004F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98A58" w14:textId="77777777" w:rsidR="00CE7F1F" w:rsidRDefault="00CE7F1F">
    <w:pPr>
      <w:pStyle w:val="Footer"/>
      <w:jc w:val="center"/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DB4AB1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no </w:t>
    </w:r>
    <w:r>
      <w:rPr>
        <w:sz w:val="22"/>
      </w:rPr>
      <w:fldChar w:fldCharType="begin"/>
    </w:r>
    <w:r>
      <w:rPr>
        <w:sz w:val="22"/>
      </w:rPr>
      <w:instrText xml:space="preserve"> NUMPAGES </w:instrText>
    </w:r>
    <w:r>
      <w:rPr>
        <w:sz w:val="22"/>
      </w:rPr>
      <w:fldChar w:fldCharType="separate"/>
    </w:r>
    <w:r w:rsidR="00DB4AB1">
      <w:rPr>
        <w:noProof/>
        <w:sz w:val="22"/>
      </w:rPr>
      <w:t>4</w:t>
    </w:r>
    <w:r>
      <w:rPr>
        <w:sz w:val="22"/>
      </w:rPr>
      <w:fldChar w:fldCharType="end"/>
    </w:r>
  </w:p>
  <w:p w14:paraId="5DFD51CC" w14:textId="77777777" w:rsidR="00CE7F1F" w:rsidRDefault="00CE7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240FC" w14:textId="77777777" w:rsidR="004F3D21" w:rsidRDefault="004F3D21">
      <w:pPr>
        <w:spacing w:after="0" w:line="240" w:lineRule="auto"/>
      </w:pPr>
      <w:r>
        <w:separator/>
      </w:r>
    </w:p>
  </w:footnote>
  <w:footnote w:type="continuationSeparator" w:id="0">
    <w:p w14:paraId="1E6A8902" w14:textId="77777777" w:rsidR="004F3D21" w:rsidRDefault="004F3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C6"/>
    <w:rsid w:val="00016905"/>
    <w:rsid w:val="00017881"/>
    <w:rsid w:val="00026FC1"/>
    <w:rsid w:val="0003215D"/>
    <w:rsid w:val="00035F6D"/>
    <w:rsid w:val="00062F04"/>
    <w:rsid w:val="000633CA"/>
    <w:rsid w:val="00092DCB"/>
    <w:rsid w:val="000C7685"/>
    <w:rsid w:val="000D22C6"/>
    <w:rsid w:val="000D31F3"/>
    <w:rsid w:val="000D7B63"/>
    <w:rsid w:val="000F089D"/>
    <w:rsid w:val="001421FD"/>
    <w:rsid w:val="00143632"/>
    <w:rsid w:val="00154CAF"/>
    <w:rsid w:val="00167B61"/>
    <w:rsid w:val="00181C2D"/>
    <w:rsid w:val="00182104"/>
    <w:rsid w:val="001A1743"/>
    <w:rsid w:val="001C3509"/>
    <w:rsid w:val="001C5341"/>
    <w:rsid w:val="001E6783"/>
    <w:rsid w:val="001F4DF1"/>
    <w:rsid w:val="001F671F"/>
    <w:rsid w:val="00221CB6"/>
    <w:rsid w:val="00237836"/>
    <w:rsid w:val="00247A7F"/>
    <w:rsid w:val="00250BC1"/>
    <w:rsid w:val="002562F5"/>
    <w:rsid w:val="00262EA0"/>
    <w:rsid w:val="00285438"/>
    <w:rsid w:val="00293A0D"/>
    <w:rsid w:val="002A5027"/>
    <w:rsid w:val="002B465E"/>
    <w:rsid w:val="002B7E7B"/>
    <w:rsid w:val="002E691B"/>
    <w:rsid w:val="002F03D9"/>
    <w:rsid w:val="002F0DB3"/>
    <w:rsid w:val="002F5326"/>
    <w:rsid w:val="002F59EF"/>
    <w:rsid w:val="002F77BD"/>
    <w:rsid w:val="00301BF9"/>
    <w:rsid w:val="003144B4"/>
    <w:rsid w:val="00324B13"/>
    <w:rsid w:val="00324F01"/>
    <w:rsid w:val="003570ED"/>
    <w:rsid w:val="00360274"/>
    <w:rsid w:val="00374CEB"/>
    <w:rsid w:val="00377D1C"/>
    <w:rsid w:val="00382A0C"/>
    <w:rsid w:val="00390D36"/>
    <w:rsid w:val="003B3777"/>
    <w:rsid w:val="003F62CA"/>
    <w:rsid w:val="0040406A"/>
    <w:rsid w:val="0040754E"/>
    <w:rsid w:val="004101E6"/>
    <w:rsid w:val="004111A6"/>
    <w:rsid w:val="004210AD"/>
    <w:rsid w:val="00424FA1"/>
    <w:rsid w:val="00434EC7"/>
    <w:rsid w:val="00441E14"/>
    <w:rsid w:val="004448D5"/>
    <w:rsid w:val="004549BF"/>
    <w:rsid w:val="00456D4B"/>
    <w:rsid w:val="00467ABF"/>
    <w:rsid w:val="004D28BD"/>
    <w:rsid w:val="004D55E5"/>
    <w:rsid w:val="004D583A"/>
    <w:rsid w:val="004E6636"/>
    <w:rsid w:val="004F3D21"/>
    <w:rsid w:val="00560A08"/>
    <w:rsid w:val="00560C1A"/>
    <w:rsid w:val="00570F91"/>
    <w:rsid w:val="00571EA9"/>
    <w:rsid w:val="005A028F"/>
    <w:rsid w:val="005B09DB"/>
    <w:rsid w:val="005B35DB"/>
    <w:rsid w:val="005D1A7E"/>
    <w:rsid w:val="005D6D3C"/>
    <w:rsid w:val="005E208C"/>
    <w:rsid w:val="005F1944"/>
    <w:rsid w:val="005F3CDB"/>
    <w:rsid w:val="005F7D08"/>
    <w:rsid w:val="00616219"/>
    <w:rsid w:val="00632C8C"/>
    <w:rsid w:val="00643823"/>
    <w:rsid w:val="006565A9"/>
    <w:rsid w:val="00665F39"/>
    <w:rsid w:val="00666E02"/>
    <w:rsid w:val="006756C7"/>
    <w:rsid w:val="0068045B"/>
    <w:rsid w:val="00681123"/>
    <w:rsid w:val="006853E1"/>
    <w:rsid w:val="0069385A"/>
    <w:rsid w:val="006A02C3"/>
    <w:rsid w:val="006A2101"/>
    <w:rsid w:val="006A737C"/>
    <w:rsid w:val="006D0CE9"/>
    <w:rsid w:val="006D1EB2"/>
    <w:rsid w:val="0071377D"/>
    <w:rsid w:val="0071394E"/>
    <w:rsid w:val="00722421"/>
    <w:rsid w:val="0072453A"/>
    <w:rsid w:val="00726B84"/>
    <w:rsid w:val="0075128C"/>
    <w:rsid w:val="007517B1"/>
    <w:rsid w:val="00760572"/>
    <w:rsid w:val="00772DB3"/>
    <w:rsid w:val="00782192"/>
    <w:rsid w:val="00782C01"/>
    <w:rsid w:val="00783220"/>
    <w:rsid w:val="007A0179"/>
    <w:rsid w:val="007B4545"/>
    <w:rsid w:val="007B6220"/>
    <w:rsid w:val="007C25E1"/>
    <w:rsid w:val="007D2B48"/>
    <w:rsid w:val="007E3B8C"/>
    <w:rsid w:val="007F0AB4"/>
    <w:rsid w:val="007F0CC8"/>
    <w:rsid w:val="007F109D"/>
    <w:rsid w:val="007F1475"/>
    <w:rsid w:val="00842783"/>
    <w:rsid w:val="00846F54"/>
    <w:rsid w:val="00847D07"/>
    <w:rsid w:val="00851AE6"/>
    <w:rsid w:val="00880809"/>
    <w:rsid w:val="00882F7F"/>
    <w:rsid w:val="008A4B40"/>
    <w:rsid w:val="008B1BBC"/>
    <w:rsid w:val="008C3CB7"/>
    <w:rsid w:val="008C7D94"/>
    <w:rsid w:val="008D2642"/>
    <w:rsid w:val="008F1EBE"/>
    <w:rsid w:val="008F4B01"/>
    <w:rsid w:val="00905AE7"/>
    <w:rsid w:val="009251F3"/>
    <w:rsid w:val="00931354"/>
    <w:rsid w:val="00937BB3"/>
    <w:rsid w:val="009547B0"/>
    <w:rsid w:val="00963C1F"/>
    <w:rsid w:val="00970DB8"/>
    <w:rsid w:val="00985FF1"/>
    <w:rsid w:val="009B0B97"/>
    <w:rsid w:val="009B4989"/>
    <w:rsid w:val="009C2BDE"/>
    <w:rsid w:val="009E45D4"/>
    <w:rsid w:val="00A04D99"/>
    <w:rsid w:val="00A138E0"/>
    <w:rsid w:val="00A21117"/>
    <w:rsid w:val="00A2224D"/>
    <w:rsid w:val="00A27BFF"/>
    <w:rsid w:val="00A33831"/>
    <w:rsid w:val="00A52095"/>
    <w:rsid w:val="00A57DD6"/>
    <w:rsid w:val="00A61DE8"/>
    <w:rsid w:val="00A92200"/>
    <w:rsid w:val="00AA1BBF"/>
    <w:rsid w:val="00AA1E6C"/>
    <w:rsid w:val="00AA45E4"/>
    <w:rsid w:val="00AA5C3D"/>
    <w:rsid w:val="00AA6ACC"/>
    <w:rsid w:val="00AD2FB7"/>
    <w:rsid w:val="00AE0E2F"/>
    <w:rsid w:val="00B15105"/>
    <w:rsid w:val="00B21E0D"/>
    <w:rsid w:val="00B44008"/>
    <w:rsid w:val="00B46D24"/>
    <w:rsid w:val="00B50E5A"/>
    <w:rsid w:val="00B70BF0"/>
    <w:rsid w:val="00B7135F"/>
    <w:rsid w:val="00B9549D"/>
    <w:rsid w:val="00BB0550"/>
    <w:rsid w:val="00BD045A"/>
    <w:rsid w:val="00BD3E56"/>
    <w:rsid w:val="00BE3C5C"/>
    <w:rsid w:val="00BF0B53"/>
    <w:rsid w:val="00BF596B"/>
    <w:rsid w:val="00C252BE"/>
    <w:rsid w:val="00C54F59"/>
    <w:rsid w:val="00C90EF7"/>
    <w:rsid w:val="00CA0201"/>
    <w:rsid w:val="00CC38B6"/>
    <w:rsid w:val="00CC61A1"/>
    <w:rsid w:val="00CD3474"/>
    <w:rsid w:val="00CE1EEA"/>
    <w:rsid w:val="00CE1F4E"/>
    <w:rsid w:val="00CE56AD"/>
    <w:rsid w:val="00CE593D"/>
    <w:rsid w:val="00CE7F1F"/>
    <w:rsid w:val="00CF1709"/>
    <w:rsid w:val="00D02838"/>
    <w:rsid w:val="00D07699"/>
    <w:rsid w:val="00D243FF"/>
    <w:rsid w:val="00D33EFC"/>
    <w:rsid w:val="00D40E99"/>
    <w:rsid w:val="00D525D9"/>
    <w:rsid w:val="00D614E7"/>
    <w:rsid w:val="00D6305D"/>
    <w:rsid w:val="00D73F9F"/>
    <w:rsid w:val="00D75488"/>
    <w:rsid w:val="00D96885"/>
    <w:rsid w:val="00D97DB3"/>
    <w:rsid w:val="00DA44F6"/>
    <w:rsid w:val="00DA6157"/>
    <w:rsid w:val="00DB46D8"/>
    <w:rsid w:val="00DB4AB1"/>
    <w:rsid w:val="00DE223C"/>
    <w:rsid w:val="00DF080F"/>
    <w:rsid w:val="00DF7C10"/>
    <w:rsid w:val="00E03DAB"/>
    <w:rsid w:val="00E1693D"/>
    <w:rsid w:val="00E32A1F"/>
    <w:rsid w:val="00E462EF"/>
    <w:rsid w:val="00E60431"/>
    <w:rsid w:val="00EA0CFD"/>
    <w:rsid w:val="00EC0E6E"/>
    <w:rsid w:val="00EC3C63"/>
    <w:rsid w:val="00ED6C80"/>
    <w:rsid w:val="00EF49FB"/>
    <w:rsid w:val="00F01BAF"/>
    <w:rsid w:val="00F1215C"/>
    <w:rsid w:val="00F133B0"/>
    <w:rsid w:val="00F154A8"/>
    <w:rsid w:val="00F166EF"/>
    <w:rsid w:val="00F20284"/>
    <w:rsid w:val="00F23CAE"/>
    <w:rsid w:val="00F27FFA"/>
    <w:rsid w:val="00F35897"/>
    <w:rsid w:val="00F42647"/>
    <w:rsid w:val="00F63133"/>
    <w:rsid w:val="00FA5935"/>
    <w:rsid w:val="00FB0D40"/>
    <w:rsid w:val="00FD07A8"/>
    <w:rsid w:val="00FE33FF"/>
    <w:rsid w:val="00FE636C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288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2C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22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2C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D22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2C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BE51-F00D-4EC0-B564-15AAFE10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5582</Words>
  <Characters>3183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2018-11-13T06:25:00Z</dcterms:created>
  <dcterms:modified xsi:type="dcterms:W3CDTF">2018-11-13T06:25:00Z</dcterms:modified>
</cp:coreProperties>
</file>