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A0DD" w14:textId="445E3DB1" w:rsidR="00915616" w:rsidRPr="00B05FE9" w:rsidRDefault="00B05FE9" w:rsidP="00B05FE9">
      <w:pPr>
        <w:autoSpaceDE w:val="0"/>
        <w:autoSpaceDN w:val="0"/>
        <w:spacing w:after="0"/>
        <w:jc w:val="both"/>
        <w:rPr>
          <w:rFonts w:ascii="TimesNewRomanPSMT" w:hAnsi="TimesNewRomanPSMT"/>
          <w:b/>
          <w:bCs/>
          <w:szCs w:val="24"/>
        </w:rPr>
      </w:pPr>
      <w:r>
        <w:rPr>
          <w:rFonts w:ascii="TimesNewRomanPSMT" w:hAnsi="TimesNewRomanPSMT"/>
          <w:b/>
          <w:bCs/>
          <w:szCs w:val="24"/>
        </w:rPr>
        <w:t>Ierobežojums garantētās atlīdzības saņemšanai personām, kuru rīcībā vadītājam raksturīgās kompetences dēļ ir pietiekama informācija saistībā ar kredītiestādes finanšu stāvokli un noguldījumu pieejamības riskiem</w:t>
      </w:r>
    </w:p>
    <w:p w14:paraId="4B011150" w14:textId="77399F07" w:rsidR="00605DFD" w:rsidRPr="004F7476" w:rsidRDefault="00605DFD" w:rsidP="002F6CF6">
      <w:pPr>
        <w:pStyle w:val="NoSpacing"/>
        <w:jc w:val="right"/>
      </w:pPr>
    </w:p>
    <w:p w14:paraId="72B01739" w14:textId="2CCCAEAC" w:rsidR="00915616" w:rsidRDefault="00915616" w:rsidP="00915616">
      <w:pPr>
        <w:pStyle w:val="NoSpacing"/>
        <w:spacing w:line="276" w:lineRule="auto"/>
        <w:jc w:val="center"/>
        <w:rPr>
          <w:b/>
        </w:rPr>
      </w:pPr>
      <w:r w:rsidRPr="004F7476">
        <w:rPr>
          <w:b/>
        </w:rPr>
        <w:t>Latvijas Republikas Augstākā</w:t>
      </w:r>
      <w:r w:rsidR="002F6CF6">
        <w:rPr>
          <w:b/>
        </w:rPr>
        <w:t>s</w:t>
      </w:r>
      <w:r w:rsidRPr="004F7476">
        <w:rPr>
          <w:b/>
        </w:rPr>
        <w:t xml:space="preserve"> tiesa</w:t>
      </w:r>
      <w:r w:rsidR="002F6CF6">
        <w:rPr>
          <w:b/>
        </w:rPr>
        <w:t>s</w:t>
      </w:r>
    </w:p>
    <w:p w14:paraId="4355CF5B" w14:textId="61E860EB" w:rsidR="002F6CF6" w:rsidRDefault="002F6CF6" w:rsidP="00915616">
      <w:pPr>
        <w:pStyle w:val="NoSpacing"/>
        <w:spacing w:line="276" w:lineRule="auto"/>
        <w:jc w:val="center"/>
        <w:rPr>
          <w:b/>
        </w:rPr>
      </w:pPr>
      <w:r>
        <w:rPr>
          <w:b/>
        </w:rPr>
        <w:t>Administratīvo lietu departamenta</w:t>
      </w:r>
    </w:p>
    <w:p w14:paraId="2ADB00CC" w14:textId="255B69DC" w:rsidR="002F6CF6" w:rsidRPr="004F7476" w:rsidRDefault="002F6CF6" w:rsidP="00915616">
      <w:pPr>
        <w:pStyle w:val="NoSpacing"/>
        <w:spacing w:line="276" w:lineRule="auto"/>
        <w:jc w:val="center"/>
        <w:rPr>
          <w:b/>
        </w:rPr>
      </w:pPr>
      <w:proofErr w:type="gramStart"/>
      <w:r>
        <w:rPr>
          <w:b/>
        </w:rPr>
        <w:t>2018.gada</w:t>
      </w:r>
      <w:proofErr w:type="gramEnd"/>
      <w:r>
        <w:rPr>
          <w:b/>
        </w:rPr>
        <w:t xml:space="preserve"> 18.jūlija</w:t>
      </w:r>
    </w:p>
    <w:p w14:paraId="6877D6D9" w14:textId="3EF8D904" w:rsidR="00915616" w:rsidRDefault="00915616" w:rsidP="00915616">
      <w:pPr>
        <w:pStyle w:val="NoSpacing"/>
        <w:spacing w:line="276" w:lineRule="auto"/>
        <w:jc w:val="center"/>
        <w:rPr>
          <w:b/>
        </w:rPr>
      </w:pPr>
      <w:r w:rsidRPr="004F7476">
        <w:rPr>
          <w:b/>
        </w:rPr>
        <w:t>SPRIEDUMS</w:t>
      </w:r>
    </w:p>
    <w:p w14:paraId="6BAA3BDA" w14:textId="473C6A31" w:rsidR="002F6CF6" w:rsidRDefault="002F6CF6" w:rsidP="00915616">
      <w:pPr>
        <w:pStyle w:val="NoSpacing"/>
        <w:spacing w:line="276" w:lineRule="auto"/>
        <w:jc w:val="center"/>
        <w:rPr>
          <w:b/>
        </w:rPr>
      </w:pPr>
      <w:r>
        <w:rPr>
          <w:b/>
        </w:rPr>
        <w:t>Lieta Nr. A43010512, SKA-185/2018</w:t>
      </w:r>
    </w:p>
    <w:p w14:paraId="587A2776" w14:textId="11564FF4" w:rsidR="00915616" w:rsidRPr="00B05FE9" w:rsidRDefault="002F6CF6" w:rsidP="00B05FE9">
      <w:pPr>
        <w:spacing w:after="0" w:line="276" w:lineRule="auto"/>
        <w:jc w:val="center"/>
        <w:rPr>
          <w:u w:val="single"/>
        </w:rPr>
      </w:pPr>
      <w:r w:rsidRPr="002F6CF6">
        <w:rPr>
          <w:u w:val="single"/>
        </w:rPr>
        <w:t>ECLI:LV:AT:2018:0718.A43010512.2.S</w:t>
      </w:r>
    </w:p>
    <w:p w14:paraId="6148B188" w14:textId="77777777" w:rsidR="00915616" w:rsidRPr="004F7476" w:rsidRDefault="00915616" w:rsidP="00915616">
      <w:pPr>
        <w:pStyle w:val="NoSpacing"/>
        <w:jc w:val="center"/>
      </w:pPr>
    </w:p>
    <w:p w14:paraId="3CCF9C2D" w14:textId="77777777" w:rsidR="00915616" w:rsidRPr="004F7476" w:rsidRDefault="00915616" w:rsidP="00915616">
      <w:pPr>
        <w:pStyle w:val="NoSpacing"/>
        <w:spacing w:line="276" w:lineRule="auto"/>
        <w:ind w:firstLine="567"/>
        <w:jc w:val="both"/>
      </w:pPr>
      <w:r w:rsidRPr="004F7476">
        <w:t>Augstākā tiesa šādā sastāvā:</w:t>
      </w:r>
    </w:p>
    <w:p w14:paraId="03A74829" w14:textId="0F767BAE" w:rsidR="00915616" w:rsidRPr="004F7476" w:rsidRDefault="00915616" w:rsidP="00915616">
      <w:pPr>
        <w:pStyle w:val="NoSpacing"/>
        <w:spacing w:line="276" w:lineRule="auto"/>
        <w:ind w:left="567" w:firstLine="567"/>
        <w:jc w:val="both"/>
      </w:pPr>
      <w:r w:rsidRPr="004F7476">
        <w:t xml:space="preserve">tiesnese </w:t>
      </w:r>
      <w:r w:rsidR="00F11879">
        <w:t>Veronika Krūmiņa</w:t>
      </w:r>
    </w:p>
    <w:p w14:paraId="43881041" w14:textId="4F736F2B" w:rsidR="00915616" w:rsidRPr="004F7476" w:rsidRDefault="00915616" w:rsidP="00915616">
      <w:pPr>
        <w:pStyle w:val="NoSpacing"/>
        <w:spacing w:line="276" w:lineRule="auto"/>
        <w:ind w:left="567" w:firstLine="567"/>
        <w:jc w:val="both"/>
      </w:pPr>
      <w:r>
        <w:t>tiesnesis</w:t>
      </w:r>
      <w:r w:rsidRPr="004F7476">
        <w:t xml:space="preserve"> </w:t>
      </w:r>
      <w:r>
        <w:t>Andris</w:t>
      </w:r>
      <w:r w:rsidRPr="004F7476">
        <w:t xml:space="preserve"> </w:t>
      </w:r>
      <w:r>
        <w:t>Guļāns</w:t>
      </w:r>
    </w:p>
    <w:p w14:paraId="55E472C4" w14:textId="77777777" w:rsidR="00915616" w:rsidRPr="004F7476" w:rsidRDefault="00915616" w:rsidP="00915616">
      <w:pPr>
        <w:pStyle w:val="NoSpacing"/>
        <w:spacing w:line="276" w:lineRule="auto"/>
        <w:ind w:left="567" w:firstLine="567"/>
        <w:jc w:val="both"/>
      </w:pPr>
      <w:r w:rsidRPr="004F7476">
        <w:t xml:space="preserve">tiesnese </w:t>
      </w:r>
      <w:r>
        <w:t>Anita Kovaļevska</w:t>
      </w:r>
    </w:p>
    <w:p w14:paraId="3813AB49" w14:textId="77777777" w:rsidR="00915616" w:rsidRPr="004F7476" w:rsidRDefault="00915616" w:rsidP="00915616">
      <w:pPr>
        <w:pStyle w:val="NoSpacing"/>
        <w:spacing w:line="276" w:lineRule="auto"/>
        <w:ind w:firstLine="567"/>
        <w:jc w:val="both"/>
      </w:pPr>
    </w:p>
    <w:p w14:paraId="12BF0A3A" w14:textId="45F81023" w:rsidR="00B05FE9" w:rsidRPr="004F7476" w:rsidRDefault="00915616" w:rsidP="00B05FE9">
      <w:pPr>
        <w:pStyle w:val="NoSpacing"/>
        <w:spacing w:line="276" w:lineRule="auto"/>
        <w:ind w:firstLine="567"/>
        <w:jc w:val="both"/>
      </w:pPr>
      <w:r w:rsidRPr="004F7476">
        <w:t xml:space="preserve">rakstveida procesā izskatīja administratīvo lietu, kas ierosināta, pamatojoties uz </w:t>
      </w:r>
      <w:proofErr w:type="gramStart"/>
      <w:r w:rsidR="00B05FE9">
        <w:t>[</w:t>
      </w:r>
      <w:proofErr w:type="gramEnd"/>
      <w:r w:rsidR="00B05FE9">
        <w:t>pers. A]</w:t>
      </w:r>
      <w:r w:rsidRPr="004F7476">
        <w:t xml:space="preserve"> pieteikumu par </w:t>
      </w:r>
      <w:r w:rsidR="009C7EC3">
        <w:t>labvēlīga administratīvā akta izdošanu</w:t>
      </w:r>
      <w:r w:rsidRPr="004F7476">
        <w:t>,</w:t>
      </w:r>
      <w:r w:rsidR="009C7EC3">
        <w:t xml:space="preserve"> ar kuru </w:t>
      </w:r>
      <w:proofErr w:type="gramStart"/>
      <w:r w:rsidR="00B05FE9">
        <w:t>[</w:t>
      </w:r>
      <w:proofErr w:type="gramEnd"/>
      <w:r w:rsidR="00B05FE9">
        <w:t>pers. A]</w:t>
      </w:r>
      <w:r w:rsidRPr="004F7476">
        <w:t xml:space="preserve"> </w:t>
      </w:r>
      <w:r w:rsidR="009C7EC3">
        <w:t xml:space="preserve">atzītu par noguldītāju, </w:t>
      </w:r>
      <w:r w:rsidRPr="004F7476">
        <w:t xml:space="preserve">sakarā ar </w:t>
      </w:r>
      <w:proofErr w:type="gramStart"/>
      <w:r w:rsidR="00B05FE9">
        <w:t>[</w:t>
      </w:r>
      <w:proofErr w:type="gramEnd"/>
      <w:r w:rsidR="00B05FE9">
        <w:t>pers. A]</w:t>
      </w:r>
      <w:r w:rsidR="009C7EC3" w:rsidRPr="004F7476">
        <w:t xml:space="preserve"> </w:t>
      </w:r>
      <w:r w:rsidRPr="004F7476">
        <w:t>kasācijas sūdzību par Administratīvās apgabaltiesas 201</w:t>
      </w:r>
      <w:r w:rsidR="009C7EC3">
        <w:t>6</w:t>
      </w:r>
      <w:r w:rsidRPr="004F7476">
        <w:t xml:space="preserve">.gada </w:t>
      </w:r>
      <w:r w:rsidR="009C7EC3">
        <w:t>8</w:t>
      </w:r>
      <w:r w:rsidRPr="004F7476">
        <w:t>.jū</w:t>
      </w:r>
      <w:r w:rsidR="009C7EC3">
        <w:t>l</w:t>
      </w:r>
      <w:r w:rsidRPr="004F7476">
        <w:t>ija spriedumu.</w:t>
      </w:r>
      <w:bookmarkStart w:id="0" w:name="_GoBack"/>
      <w:bookmarkEnd w:id="0"/>
    </w:p>
    <w:p w14:paraId="16CB791F" w14:textId="77777777" w:rsidR="00915616" w:rsidRPr="00CB6E9B" w:rsidRDefault="00915616" w:rsidP="00CB6E9B">
      <w:pPr>
        <w:pStyle w:val="NoSpacing"/>
        <w:spacing w:line="276" w:lineRule="auto"/>
        <w:jc w:val="center"/>
        <w:rPr>
          <w:b/>
        </w:rPr>
      </w:pPr>
      <w:r w:rsidRPr="00CB6E9B">
        <w:rPr>
          <w:b/>
        </w:rPr>
        <w:t>Aprakstošā daļa</w:t>
      </w:r>
    </w:p>
    <w:p w14:paraId="16F26245" w14:textId="77777777" w:rsidR="00915616" w:rsidRPr="004F7476" w:rsidRDefault="00915616" w:rsidP="00CB6E9B">
      <w:pPr>
        <w:pStyle w:val="NoSpacing"/>
        <w:spacing w:line="276" w:lineRule="auto"/>
        <w:ind w:firstLine="567"/>
        <w:jc w:val="both"/>
      </w:pPr>
    </w:p>
    <w:p w14:paraId="6BB0B9E5" w14:textId="1F6263AB" w:rsidR="008C72E4" w:rsidRDefault="00915616" w:rsidP="00CB6E9B">
      <w:pPr>
        <w:pStyle w:val="NoSpacing"/>
        <w:spacing w:line="276" w:lineRule="auto"/>
        <w:ind w:firstLine="567"/>
        <w:jc w:val="both"/>
      </w:pPr>
      <w:r w:rsidRPr="004F7476">
        <w:t>[1]</w:t>
      </w:r>
      <w:r w:rsidR="00540A27">
        <w:t xml:space="preserve"> </w:t>
      </w:r>
      <w:r w:rsidR="00123038">
        <w:t>Finanšu un kapitāla tirgus komisij</w:t>
      </w:r>
      <w:r w:rsidR="00CC6A18">
        <w:t xml:space="preserve">a ar </w:t>
      </w:r>
      <w:proofErr w:type="gramStart"/>
      <w:r w:rsidR="00CC6A18">
        <w:t>2012.gada</w:t>
      </w:r>
      <w:proofErr w:type="gramEnd"/>
      <w:r w:rsidR="00CC6A18">
        <w:t xml:space="preserve"> 5.janvāra lēmumu </w:t>
      </w:r>
      <w:r w:rsidR="00123038">
        <w:t>noraidīja</w:t>
      </w:r>
      <w:r w:rsidR="00123038" w:rsidRPr="004F7476">
        <w:t xml:space="preserve"> </w:t>
      </w:r>
      <w:r w:rsidR="00E26390">
        <w:t xml:space="preserve">pieteicēja </w:t>
      </w:r>
      <w:r w:rsidR="00B05FE9">
        <w:t>[pers. A]</w:t>
      </w:r>
      <w:r w:rsidR="00123038">
        <w:t xml:space="preserve"> </w:t>
      </w:r>
      <w:r w:rsidR="00C84416">
        <w:t>iesniegumu par garantētās atlīdzības izmaksu saistībā ar noguldījumu nepieejamību AS „Latvijas Krājbanka”</w:t>
      </w:r>
      <w:r w:rsidR="00083493">
        <w:t xml:space="preserve"> (turpmāk – Latvijas Krājbanka)</w:t>
      </w:r>
      <w:r w:rsidR="001D1BE5" w:rsidRPr="009E4F25">
        <w:t>.</w:t>
      </w:r>
    </w:p>
    <w:p w14:paraId="75D8754F" w14:textId="77777777" w:rsidR="001D1BE5" w:rsidRDefault="001D1BE5" w:rsidP="00CB6E9B">
      <w:pPr>
        <w:pStyle w:val="NoSpacing"/>
        <w:spacing w:line="276" w:lineRule="auto"/>
        <w:ind w:firstLine="567"/>
        <w:jc w:val="both"/>
      </w:pPr>
    </w:p>
    <w:p w14:paraId="0C193FEE" w14:textId="2E40464A" w:rsidR="001D1BE5" w:rsidRDefault="001D1BE5" w:rsidP="00CB6E9B">
      <w:pPr>
        <w:pStyle w:val="NoSpacing"/>
        <w:spacing w:line="276" w:lineRule="auto"/>
        <w:ind w:firstLine="567"/>
        <w:jc w:val="both"/>
      </w:pPr>
      <w:r>
        <w:t>[2] Pieteicējs vērsās tiesā par labvēlīga administratīvā akta izdošanu</w:t>
      </w:r>
      <w:r w:rsidRPr="004F7476">
        <w:t>,</w:t>
      </w:r>
      <w:r>
        <w:t xml:space="preserve"> ar kuru </w:t>
      </w:r>
      <w:r w:rsidR="00B232F6">
        <w:t>viņu</w:t>
      </w:r>
      <w:r w:rsidRPr="004F7476">
        <w:t xml:space="preserve"> </w:t>
      </w:r>
      <w:r>
        <w:t>atzītu par noguldītāju.</w:t>
      </w:r>
    </w:p>
    <w:p w14:paraId="3FB6340D" w14:textId="77777777" w:rsidR="001D1BE5" w:rsidRDefault="001D1BE5" w:rsidP="00CB6E9B">
      <w:pPr>
        <w:pStyle w:val="NoSpacing"/>
        <w:spacing w:line="276" w:lineRule="auto"/>
        <w:ind w:firstLine="567"/>
        <w:jc w:val="both"/>
      </w:pPr>
    </w:p>
    <w:p w14:paraId="4BF79F1A" w14:textId="729AE802" w:rsidR="001D1BE5" w:rsidRDefault="001D1BE5" w:rsidP="00CB6E9B">
      <w:pPr>
        <w:pStyle w:val="NoSpacing"/>
        <w:spacing w:line="276" w:lineRule="auto"/>
        <w:ind w:firstLine="567"/>
        <w:jc w:val="both"/>
      </w:pPr>
      <w:r>
        <w:t xml:space="preserve">[3] </w:t>
      </w:r>
      <w:r w:rsidR="00A3515B">
        <w:t xml:space="preserve">Izskatot lietu kasācijas kārtībā, Augstākā tiesa uzdeva prejudiciālo jautājumu Eiropas Savienības tiesai </w:t>
      </w:r>
      <w:r w:rsidR="00CB6E9B">
        <w:t xml:space="preserve">par Eiropas Parlamenta un Padomes </w:t>
      </w:r>
      <w:proofErr w:type="gramStart"/>
      <w:r w:rsidR="00CB6E9B">
        <w:t>1994.gada</w:t>
      </w:r>
      <w:proofErr w:type="gramEnd"/>
      <w:r w:rsidR="00CB6E9B">
        <w:t xml:space="preserve"> 30.maija Direktīvas 94/19/EK</w:t>
      </w:r>
      <w:r w:rsidR="00565858">
        <w:t xml:space="preserve"> </w:t>
      </w:r>
      <w:r w:rsidR="00CB6E9B">
        <w:t xml:space="preserve">par noguldījumu garantiju sistēmām </w:t>
      </w:r>
      <w:r w:rsidR="00EF6C5C">
        <w:t xml:space="preserve">(turpmāk – direktīva 94/19) </w:t>
      </w:r>
      <w:r w:rsidR="002E7A58">
        <w:t xml:space="preserve">7.panta 2.punkta un </w:t>
      </w:r>
      <w:r w:rsidR="00CB6E9B">
        <w:t>I</w:t>
      </w:r>
      <w:r w:rsidR="002914AC">
        <w:t> </w:t>
      </w:r>
      <w:r w:rsidR="00CB6E9B">
        <w:t xml:space="preserve">pielikuma 7.punkta interpretāciju. </w:t>
      </w:r>
    </w:p>
    <w:p w14:paraId="759F941D" w14:textId="74428BE8" w:rsidR="00A1391E" w:rsidRDefault="00CB6E9B" w:rsidP="00A1391E">
      <w:pPr>
        <w:pStyle w:val="NoSpacing"/>
        <w:spacing w:line="276" w:lineRule="auto"/>
        <w:ind w:firstLine="567"/>
        <w:jc w:val="both"/>
      </w:pPr>
      <w:r>
        <w:t xml:space="preserve">Pamatojoties uz Eiropas Savienības </w:t>
      </w:r>
      <w:r w:rsidR="0093206E">
        <w:t>T</w:t>
      </w:r>
      <w:r>
        <w:t xml:space="preserve">iesas </w:t>
      </w:r>
      <w:proofErr w:type="gramStart"/>
      <w:r>
        <w:t>2015.gada</w:t>
      </w:r>
      <w:proofErr w:type="gramEnd"/>
      <w:r>
        <w:t xml:space="preserve"> 2.septembra spriedum</w:t>
      </w:r>
      <w:r w:rsidR="004620B1">
        <w:t>u</w:t>
      </w:r>
      <w:r>
        <w:t xml:space="preserve"> lietā C-127/14</w:t>
      </w:r>
      <w:r w:rsidR="004620B1">
        <w:t xml:space="preserve"> sniegtajām atbildēm</w:t>
      </w:r>
      <w:r>
        <w:t xml:space="preserve">, Augstākā tiesa ar 2015.gada 27.novembra spriedumu atcēla Administratīvās apgabaltiesas 2013.gada 24.aprīļa spriedumu un nodeva lietu jaunai izskatīšanai. Spriedumā secināts, ka </w:t>
      </w:r>
      <w:r w:rsidR="008C7016">
        <w:t xml:space="preserve">atbilstoši Eiropas Savienības Tiesas spriedumam jēdziena „vadītājs” </w:t>
      </w:r>
      <w:r w:rsidR="00E71D33">
        <w:t>izpratne ir jāvērtē funkcionāli</w:t>
      </w:r>
      <w:r w:rsidR="008C7016">
        <w:t>.</w:t>
      </w:r>
    </w:p>
    <w:p w14:paraId="0323A75A" w14:textId="77777777" w:rsidR="00A262C2" w:rsidRDefault="00A262C2" w:rsidP="00CB6E9B">
      <w:pPr>
        <w:pStyle w:val="NoSpacing"/>
        <w:spacing w:line="276" w:lineRule="auto"/>
        <w:ind w:firstLine="567"/>
        <w:jc w:val="both"/>
      </w:pPr>
    </w:p>
    <w:p w14:paraId="4B656252" w14:textId="77777777" w:rsidR="00514E39" w:rsidRDefault="00514E39" w:rsidP="00CB6E9B">
      <w:pPr>
        <w:pStyle w:val="NoSpacing"/>
        <w:spacing w:line="276" w:lineRule="auto"/>
        <w:ind w:firstLine="567"/>
        <w:jc w:val="both"/>
      </w:pPr>
      <w:r>
        <w:t xml:space="preserve">[4] Administratīvā apgabaltiesa ar </w:t>
      </w:r>
      <w:proofErr w:type="gramStart"/>
      <w:r>
        <w:t>2016.gada</w:t>
      </w:r>
      <w:proofErr w:type="gramEnd"/>
      <w:r>
        <w:t xml:space="preserve"> 8.jūlija spriedumu pieteikumu noraidīja. Spriedums pamatots ar </w:t>
      </w:r>
      <w:r w:rsidR="007C1883">
        <w:t>turpmāk minētajiem argumentiem.</w:t>
      </w:r>
    </w:p>
    <w:p w14:paraId="4587864A" w14:textId="1386752F" w:rsidR="00CC1CAC" w:rsidRDefault="00E81E65" w:rsidP="003D18C3">
      <w:pPr>
        <w:pStyle w:val="NoSpacing"/>
        <w:spacing w:line="276" w:lineRule="auto"/>
        <w:ind w:firstLine="567"/>
        <w:jc w:val="both"/>
      </w:pPr>
      <w:r>
        <w:t>[4.1]</w:t>
      </w:r>
      <w:r w:rsidR="00CC1CAC">
        <w:t xml:space="preserve"> Komisija atteica pieteicējam izmaksāt garantēto atlīdzību</w:t>
      </w:r>
      <w:r w:rsidR="0029337E">
        <w:t>,</w:t>
      </w:r>
      <w:r w:rsidR="00CC1CAC">
        <w:t xml:space="preserve"> pamatojoties uz Noguldījumu garantiju likuma </w:t>
      </w:r>
      <w:proofErr w:type="gramStart"/>
      <w:r w:rsidR="00CC1CAC">
        <w:t>17.panta</w:t>
      </w:r>
      <w:proofErr w:type="gramEnd"/>
      <w:r w:rsidR="00CC1CAC">
        <w:t xml:space="preserve"> 4.punktu</w:t>
      </w:r>
      <w:r w:rsidR="00640DA0">
        <w:t>. Šajā likumā ir pārņemts direktīvas 94/19 regulējums.</w:t>
      </w:r>
    </w:p>
    <w:p w14:paraId="6504D5AE" w14:textId="10408776" w:rsidR="003D18C3" w:rsidRDefault="003D18C3" w:rsidP="003D18C3">
      <w:pPr>
        <w:pStyle w:val="NoSpacing"/>
        <w:spacing w:line="276" w:lineRule="auto"/>
        <w:ind w:firstLine="567"/>
        <w:jc w:val="both"/>
      </w:pPr>
      <w:r>
        <w:t xml:space="preserve">Ievērojot Eiropas Savienības Tiesas un Augstākās tiesas sniegto </w:t>
      </w:r>
      <w:r w:rsidR="005419CB">
        <w:t xml:space="preserve">direktīvas 94/19 </w:t>
      </w:r>
      <w:r>
        <w:t>interpretāciju, lietā jānoskaidro pieteicēja veikt</w:t>
      </w:r>
      <w:r w:rsidR="009F6DC8">
        <w:t>ie</w:t>
      </w:r>
      <w:r>
        <w:t xml:space="preserve"> amata pienākum</w:t>
      </w:r>
      <w:r w:rsidR="00A8200D">
        <w:t>i</w:t>
      </w:r>
      <w:r>
        <w:t xml:space="preserve">, kā arī viņa tiesiskās un </w:t>
      </w:r>
      <w:r>
        <w:lastRenderedPageBreak/>
        <w:t>faktiskās attiecības ar bankas vadību, nolūkā noskaidrot viņa kompetences un informētības līmeni par kredītiestādes darbību, kas ļauj novērtēt kredītiestādes patieso finanšu stāvokli un ar tās darbību saistītos riskus.</w:t>
      </w:r>
    </w:p>
    <w:p w14:paraId="05864FC7" w14:textId="45B96F8E" w:rsidR="003D18C3" w:rsidRDefault="007B0AB3" w:rsidP="003D18C3">
      <w:pPr>
        <w:pStyle w:val="NoSpacing"/>
        <w:spacing w:line="276" w:lineRule="auto"/>
        <w:ind w:firstLine="567"/>
        <w:jc w:val="both"/>
      </w:pPr>
      <w:r>
        <w:t xml:space="preserve">[4.2] </w:t>
      </w:r>
      <w:r w:rsidR="003D18C3">
        <w:t>Direktīva 94/19/EK tuvāk nepaskaidro</w:t>
      </w:r>
      <w:r w:rsidR="00D53FF3">
        <w:t xml:space="preserve"> jēdzienu</w:t>
      </w:r>
      <w:r w:rsidR="003D18C3">
        <w:t xml:space="preserve"> „vadītājs”.</w:t>
      </w:r>
    </w:p>
    <w:p w14:paraId="38EDF191" w14:textId="7CB61418" w:rsidR="003D18C3" w:rsidRDefault="003D18C3" w:rsidP="003D18C3">
      <w:pPr>
        <w:pStyle w:val="NoSpacing"/>
        <w:spacing w:line="276" w:lineRule="auto"/>
        <w:ind w:firstLine="567"/>
        <w:jc w:val="both"/>
      </w:pPr>
      <w:r>
        <w:t xml:space="preserve">Taču Eiropas Parlamenta un Padomes </w:t>
      </w:r>
      <w:proofErr w:type="gramStart"/>
      <w:r>
        <w:t>2013.gada</w:t>
      </w:r>
      <w:proofErr w:type="gramEnd"/>
      <w:r>
        <w:t xml:space="preserve"> 26.jūnija </w:t>
      </w:r>
      <w:r w:rsidR="00ED1E89">
        <w:t>d</w:t>
      </w:r>
      <w:r>
        <w:t xml:space="preserve">irektīva 2013/36/ES par piekļuvi kredītiestāžu darbībai un kredītiestāžu un ieguldījumu brokeru sabiedrību prudenciālo uzraudzību, ar ko groza </w:t>
      </w:r>
      <w:r w:rsidR="00ED1E89">
        <w:t>d</w:t>
      </w:r>
      <w:r>
        <w:t xml:space="preserve">irektīvu 2002/87/EK un atceļ </w:t>
      </w:r>
      <w:r w:rsidR="00ED1E89">
        <w:t>d</w:t>
      </w:r>
      <w:r>
        <w:t xml:space="preserve">irektīvas 2006/48/EK un 2006/49/EK (turpmāk – </w:t>
      </w:r>
      <w:r w:rsidR="00ED1E89">
        <w:t>d</w:t>
      </w:r>
      <w:r w:rsidR="00691318">
        <w:t>irektīva 2013/36</w:t>
      </w:r>
      <w:r>
        <w:t>) 3.panta 1.punktā ir ietvertas vairākas definīcijas, kas skaidro jēdzienu „vadība”</w:t>
      </w:r>
      <w:r w:rsidR="00517DB7">
        <w:t xml:space="preserve">: </w:t>
      </w:r>
      <w:r w:rsidR="008F667E">
        <w:t>„</w:t>
      </w:r>
      <w:r w:rsidR="00517DB7">
        <w:t>vadības struktūra”</w:t>
      </w:r>
      <w:r w:rsidR="004A44DA">
        <w:t xml:space="preserve"> (iestādes struktūra vai struktūras, kas ir norīkotas saskaņā ar valsts tiesību aktiem un kas ir pilnvarotas noteikt iestādes stratēģiju, mērķus un vispārējos darbības virzienus un uzrauga un pārrauga vadības lēmumu pieņemšanu un tā ietver personas, kas faktiski vada iestādes uzņēmējdarbību)</w:t>
      </w:r>
      <w:r w:rsidR="00517DB7">
        <w:t xml:space="preserve">, </w:t>
      </w:r>
      <w:r w:rsidR="008F667E">
        <w:t>„</w:t>
      </w:r>
      <w:r w:rsidR="00517DB7">
        <w:t>vadības struktūra kā uzraudzības veicēja”</w:t>
      </w:r>
      <w:r w:rsidR="004A44DA">
        <w:t xml:space="preserve"> (vadības struktūra, kas veic lēmumu pieņemšanas uzraudzības un pārraudzības vadību)</w:t>
      </w:r>
      <w:r w:rsidR="00517DB7">
        <w:t xml:space="preserve">, </w:t>
      </w:r>
      <w:r w:rsidR="008F667E">
        <w:t>„</w:t>
      </w:r>
      <w:r w:rsidR="00517DB7">
        <w:t>augstākā vadība”</w:t>
      </w:r>
      <w:r w:rsidR="004A44DA">
        <w:t xml:space="preserve"> (tās fiziskās personas, k</w:t>
      </w:r>
      <w:r w:rsidR="00B17A97">
        <w:t>ur</w:t>
      </w:r>
      <w:r w:rsidR="004A44DA">
        <w:t>as iestādē veic izpildfunkcijas un ir atbildīgas un pārskatatbildīgas vadības struktūrai par iestādes ikdienas pārvaldību)</w:t>
      </w:r>
      <w:r w:rsidR="00517DB7">
        <w:t>.</w:t>
      </w:r>
      <w:r w:rsidR="00EA23BE">
        <w:t xml:space="preserve"> </w:t>
      </w:r>
      <w:r>
        <w:t>Savukārt atbilstoši Komerclikuma 291. un 301.pantam padomes un valdes locekļi nodrošina kredītiestādes vadību un uzraudzību.</w:t>
      </w:r>
    </w:p>
    <w:p w14:paraId="0B79B624" w14:textId="3BC3966E" w:rsidR="007C1883" w:rsidRDefault="00286732" w:rsidP="00CB6E9B">
      <w:pPr>
        <w:pStyle w:val="NoSpacing"/>
        <w:spacing w:line="276" w:lineRule="auto"/>
        <w:ind w:firstLine="567"/>
        <w:jc w:val="both"/>
      </w:pPr>
      <w:r>
        <w:t>[4.</w:t>
      </w:r>
      <w:r w:rsidR="001E10EC">
        <w:t>3</w:t>
      </w:r>
      <w:r>
        <w:t>]</w:t>
      </w:r>
      <w:r w:rsidR="00517DB7">
        <w:t xml:space="preserve"> </w:t>
      </w:r>
      <w:r w:rsidR="002A4F3D">
        <w:t xml:space="preserve">Laikā, kad pieteicējs ieņēma </w:t>
      </w:r>
      <w:r w:rsidR="009D5E0E">
        <w:t>L</w:t>
      </w:r>
      <w:r w:rsidR="002A4F3D">
        <w:t>atvijas Krājbanka</w:t>
      </w:r>
      <w:r w:rsidR="00EF6FB8">
        <w:t>s</w:t>
      </w:r>
      <w:r w:rsidR="002A4F3D">
        <w:t xml:space="preserve"> valdes locekļa </w:t>
      </w:r>
      <w:r w:rsidR="00A62823">
        <w:t xml:space="preserve">amatu, </w:t>
      </w:r>
      <w:r w:rsidR="003D18C3">
        <w:t>viņa pārraudzībā bija arī šās bankas Revidentu dienests, pieteicējam bija pieejama visa informācija par bankas darb</w:t>
      </w:r>
      <w:r w:rsidR="00063619">
        <w:t>ību, tostarp par tās finansiālo stāvokli, darbības riskiem, kā arī pieteicējs šo informāciju bija tiesīgs nodot bankas darbiniekiem. To apstiprināja arī pats pieteicējs.</w:t>
      </w:r>
      <w:r w:rsidR="00A33C5B">
        <w:t xml:space="preserve"> Tādējādi pieteicēj</w:t>
      </w:r>
      <w:r w:rsidR="00A62823">
        <w:t>a kompetences un informētības līmenis</w:t>
      </w:r>
      <w:r w:rsidR="00834A2C">
        <w:t xml:space="preserve"> </w:t>
      </w:r>
      <w:r w:rsidR="00A62823">
        <w:t>atbil</w:t>
      </w:r>
      <w:r w:rsidR="009F0E03">
        <w:t>da</w:t>
      </w:r>
      <w:r w:rsidR="00A62823">
        <w:t xml:space="preserve"> direktīvas 94/14 I</w:t>
      </w:r>
      <w:r w:rsidR="00297532">
        <w:t> </w:t>
      </w:r>
      <w:r w:rsidR="00945A93">
        <w:t>pielikuma 7.punkta</w:t>
      </w:r>
      <w:r w:rsidR="00834A2C">
        <w:t xml:space="preserve"> jēdziena </w:t>
      </w:r>
      <w:r w:rsidR="00292089">
        <w:t>„</w:t>
      </w:r>
      <w:r w:rsidR="00834A2C">
        <w:t>vadītājs”</w:t>
      </w:r>
      <w:r w:rsidR="009F0E03">
        <w:t xml:space="preserve"> izpratnei. Tāpēc </w:t>
      </w:r>
      <w:r w:rsidR="000B6176">
        <w:t>uz p</w:t>
      </w:r>
      <w:r w:rsidR="00E21C7A">
        <w:t>ieteicēj</w:t>
      </w:r>
      <w:r w:rsidR="000B6176">
        <w:t xml:space="preserve">u ir piemērojams izņēmums </w:t>
      </w:r>
      <w:r w:rsidR="00926AFB">
        <w:t>garantēt</w:t>
      </w:r>
      <w:r w:rsidR="00E21C7A">
        <w:t>ā</w:t>
      </w:r>
      <w:r w:rsidR="00926AFB">
        <w:t>s atlīdzības noguldījumu nepieejamības gadījumā izmaksā.</w:t>
      </w:r>
    </w:p>
    <w:p w14:paraId="7A168878" w14:textId="028414DC" w:rsidR="00286732" w:rsidRDefault="007005CB" w:rsidP="00CB6E9B">
      <w:pPr>
        <w:pStyle w:val="NoSpacing"/>
        <w:spacing w:line="276" w:lineRule="auto"/>
        <w:ind w:firstLine="567"/>
        <w:jc w:val="both"/>
      </w:pPr>
      <w:r>
        <w:t>L</w:t>
      </w:r>
      <w:r w:rsidR="00B77A79">
        <w:t xml:space="preserve">aikā, kad iestājās </w:t>
      </w:r>
      <w:r w:rsidR="00486BD1">
        <w:t xml:space="preserve">minētās bankas </w:t>
      </w:r>
      <w:r w:rsidR="00452EA7">
        <w:t>noguldījumu nepieejamība (</w:t>
      </w:r>
      <w:proofErr w:type="gramStart"/>
      <w:r w:rsidR="00452EA7">
        <w:t>2011.gada</w:t>
      </w:r>
      <w:proofErr w:type="gramEnd"/>
      <w:r w:rsidR="00452EA7">
        <w:t xml:space="preserve"> </w:t>
      </w:r>
      <w:r w:rsidR="0030044C">
        <w:t>21.novembrī), pieteicējs ieņēma bankas viceprezidenta amatu</w:t>
      </w:r>
      <w:r w:rsidR="0042643F">
        <w:t xml:space="preserve"> starptautisko un finanšu tiesību jautājumos</w:t>
      </w:r>
      <w:r w:rsidR="0030044C">
        <w:t>.</w:t>
      </w:r>
      <w:r w:rsidR="008F667E">
        <w:t xml:space="preserve"> Šajā laikā uz pieteicēju, ievērojot viņa ieņemamo amatu bankā, nebūt</w:t>
      </w:r>
      <w:r w:rsidR="004B2AA6">
        <w:t>u attiecināmi direktīvā 2013/36</w:t>
      </w:r>
      <w:r w:rsidR="008F667E">
        <w:t xml:space="preserve"> lietotie jēdzieni „vadības struktūra”, „vadības struktūra kā uzraudzības veicēja”</w:t>
      </w:r>
      <w:r w:rsidR="00BA0C6A">
        <w:t xml:space="preserve">. Tomēr jāpārbauda, vai pieteicējs atbilda šajā direktīvā lietotajam jēdzienam </w:t>
      </w:r>
      <w:r w:rsidR="006A2AA5">
        <w:t>„</w:t>
      </w:r>
      <w:r w:rsidR="00BA0C6A">
        <w:t>augstākā vadība”.</w:t>
      </w:r>
    </w:p>
    <w:p w14:paraId="1D1B396A" w14:textId="5177B5D4" w:rsidR="00C35513" w:rsidRDefault="00C35513" w:rsidP="00C35513">
      <w:pPr>
        <w:pStyle w:val="NoSpacing"/>
        <w:spacing w:line="276" w:lineRule="auto"/>
        <w:ind w:firstLine="567"/>
        <w:jc w:val="both"/>
      </w:pPr>
      <w:r>
        <w:t xml:space="preserve">Eiropas Banku pamatnostādņu par vadības struktūras locekļu un personu, kas pilda pamatfunkcijas, piemērotības novērtēšanu I sadaļas 2.punkts, Kredītiestāžu likuma </w:t>
      </w:r>
      <w:proofErr w:type="gramStart"/>
      <w:r>
        <w:t>1.panta</w:t>
      </w:r>
      <w:proofErr w:type="gramEnd"/>
      <w:r>
        <w:t xml:space="preserve"> 65.punkts, 57.panta 1.</w:t>
      </w:r>
      <w:r w:rsidRPr="00260677">
        <w:rPr>
          <w:vertAlign w:val="superscript"/>
        </w:rPr>
        <w:t>1</w:t>
      </w:r>
      <w:r>
        <w:rPr>
          <w:vertAlign w:val="superscript"/>
        </w:rPr>
        <w:t> </w:t>
      </w:r>
      <w:r>
        <w:t>daļa un Finanšu un kapitāla tirgus komisijas 2013.gada 25.jūlija ieteikum</w:t>
      </w:r>
      <w:r w:rsidR="00A6072E">
        <w:t>u</w:t>
      </w:r>
      <w:r>
        <w:t xml:space="preserve"> Nr. 166 „Ieteikumi valdes un padomes locekļu un personu, kas pilda pamatfunkcijas, piemērotības novērtēšanai” 3.punkts uzskaita virkni amatu – iekšējā audita dienesta vadītājs, ārvalsts kredītiestādes filiāles vai kredītiestādes filiāles citā dalībvalstī vadītājs, meitas uzņēmuma vadītājs</w:t>
      </w:r>
      <w:r w:rsidR="006C307B">
        <w:t>,</w:t>
      </w:r>
      <w:r w:rsidR="00AE62A0">
        <w:t xml:space="preserve"> –</w:t>
      </w:r>
      <w:r>
        <w:t xml:space="preserve"> kuru pretendentiem ir izvirzītas papildu prasības. </w:t>
      </w:r>
      <w:r w:rsidR="00D16E01">
        <w:t>Š</w:t>
      </w:r>
      <w:r>
        <w:t>ie amati ir funkcionāli nozīmīgi un būtiski kredītiestādes darbībā</w:t>
      </w:r>
      <w:r w:rsidR="00B54FB5">
        <w:t>.</w:t>
      </w:r>
      <w:r>
        <w:t xml:space="preserve"> </w:t>
      </w:r>
      <w:r w:rsidR="00961983">
        <w:t>Tādējādi</w:t>
      </w:r>
      <w:r>
        <w:t xml:space="preserve"> uz darbiniekiem, kas pild</w:t>
      </w:r>
      <w:r w:rsidR="00B36856">
        <w:t>a minētos amata pienākumus var</w:t>
      </w:r>
      <w:r>
        <w:t xml:space="preserve"> attiecināt jēdzienu „vadītāji” direktīvas 94/19 izpratnē.</w:t>
      </w:r>
    </w:p>
    <w:p w14:paraId="4607F038" w14:textId="596EBD9F" w:rsidR="00D931D3" w:rsidRDefault="00260677" w:rsidP="00CB6E9B">
      <w:pPr>
        <w:pStyle w:val="NoSpacing"/>
        <w:spacing w:line="276" w:lineRule="auto"/>
        <w:ind w:firstLine="567"/>
        <w:jc w:val="both"/>
      </w:pPr>
      <w:r>
        <w:t>[</w:t>
      </w:r>
      <w:r w:rsidR="009B0778">
        <w:t>4.4</w:t>
      </w:r>
      <w:r>
        <w:t xml:space="preserve">] </w:t>
      </w:r>
      <w:r w:rsidR="00944B6C">
        <w:t>P</w:t>
      </w:r>
      <w:r w:rsidR="001100BF">
        <w:t xml:space="preserve">ieteicējam </w:t>
      </w:r>
      <w:r w:rsidR="00086558">
        <w:t xml:space="preserve">no </w:t>
      </w:r>
      <w:proofErr w:type="gramStart"/>
      <w:r w:rsidR="00086558">
        <w:t>2011.gada</w:t>
      </w:r>
      <w:proofErr w:type="gramEnd"/>
      <w:r w:rsidR="00086558">
        <w:t xml:space="preserve"> 24.janvāra </w:t>
      </w:r>
      <w:r w:rsidR="001100BF">
        <w:t>nebija uzticēti amata pienākumi</w:t>
      </w:r>
      <w:r w:rsidR="008D658F">
        <w:t>, kas atstātu</w:t>
      </w:r>
      <w:r w:rsidR="001100BF">
        <w:t xml:space="preserve"> būtisku ietekmi </w:t>
      </w:r>
      <w:r w:rsidR="008D658F">
        <w:t xml:space="preserve">uz </w:t>
      </w:r>
      <w:r w:rsidR="001100BF">
        <w:t>kredītiestādes darb</w:t>
      </w:r>
      <w:r w:rsidR="008D658F">
        <w:t>ību</w:t>
      </w:r>
      <w:r w:rsidR="001100BF">
        <w:t xml:space="preserve">. </w:t>
      </w:r>
      <w:r w:rsidR="005C7615">
        <w:t xml:space="preserve">Pieteicēja rīcībā saistībā ar amata pienākumiem bija būtiska informācija par pārrobežu vai citiem bankai nozīmīgiem finanšu darījumiem un par bankas finanšu produktiem. Tomēr šai informācijai par atsevišķiem bankas darījumiem nebija būtiska ietekme uz visu bankas darbību. </w:t>
      </w:r>
      <w:r w:rsidR="00D81D5D">
        <w:t>N</w:t>
      </w:r>
      <w:r w:rsidR="00AD44A1">
        <w:t xml:space="preserve">o pierādījumiem lietā </w:t>
      </w:r>
      <w:r w:rsidR="00DA5699">
        <w:t xml:space="preserve">un pieteicēja faktiski veiktajiem darba pienākumiem </w:t>
      </w:r>
      <w:r w:rsidR="00AD44A1">
        <w:t xml:space="preserve">neizriet, ka </w:t>
      </w:r>
      <w:r w:rsidR="00D931D3">
        <w:t>pieteicējam b</w:t>
      </w:r>
      <w:r w:rsidR="00D81D5D">
        <w:t>ija</w:t>
      </w:r>
      <w:r w:rsidR="00D931D3">
        <w:t xml:space="preserve"> deleģētas tiesības izlemt būtiskus jautājumus ar ietekmi uz bankas kopējo darbību.</w:t>
      </w:r>
    </w:p>
    <w:p w14:paraId="39976378" w14:textId="086D576E" w:rsidR="0042643F" w:rsidRDefault="00DB2D3A" w:rsidP="00CB6E9B">
      <w:pPr>
        <w:pStyle w:val="NoSpacing"/>
        <w:spacing w:line="276" w:lineRule="auto"/>
        <w:ind w:firstLine="567"/>
        <w:jc w:val="both"/>
      </w:pPr>
      <w:r>
        <w:lastRenderedPageBreak/>
        <w:t>[4.</w:t>
      </w:r>
      <w:r w:rsidR="009B0778">
        <w:t>5</w:t>
      </w:r>
      <w:r>
        <w:t xml:space="preserve">] Tomēr, ievērojot </w:t>
      </w:r>
      <w:r w:rsidR="00EB7AB4">
        <w:t xml:space="preserve">Eiropas Savienības Tiesas un Augstākās tiesas </w:t>
      </w:r>
      <w:r w:rsidR="00B674D7">
        <w:t>sniegto tiesību normu interpretācij</w:t>
      </w:r>
      <w:r w:rsidR="00A42389">
        <w:t xml:space="preserve">u, </w:t>
      </w:r>
      <w:r w:rsidR="00551699">
        <w:t xml:space="preserve">nolūkā noskaidrot pieteicēja kompetences un atbildības līmeni bankā, </w:t>
      </w:r>
      <w:r w:rsidR="00591075">
        <w:t>jāvērtē</w:t>
      </w:r>
      <w:r w:rsidR="00A42389">
        <w:t xml:space="preserve"> pieteicēja tiesiskās un faktiskās attiecības ar banku un tās valdi un vadību, tostarp ņemot vērā arī saistītos uzņēmumus – bankas meitas un mātes sabiedrības </w:t>
      </w:r>
      <w:r w:rsidR="00591075">
        <w:t>uzņēmum</w:t>
      </w:r>
      <w:r w:rsidR="00F128A2">
        <w:t>u</w:t>
      </w:r>
      <w:r w:rsidR="00591075">
        <w:t>s.</w:t>
      </w:r>
    </w:p>
    <w:p w14:paraId="29C52837" w14:textId="28D6308F" w:rsidR="00C34598" w:rsidRDefault="00C34598" w:rsidP="00CB6E9B">
      <w:pPr>
        <w:pStyle w:val="NoSpacing"/>
        <w:spacing w:line="276" w:lineRule="auto"/>
        <w:ind w:firstLine="567"/>
        <w:jc w:val="both"/>
      </w:pPr>
      <w:r>
        <w:t xml:space="preserve">Par „vadītāju” direktīvas 94/19 izpratnē nacionālie tiesību akti atzīst arī virkni amatu, kas ir funkcionāli nozīmīgi un būtiski kredītiestādes darbībā. Šos amatus persona var ieņemt arī </w:t>
      </w:r>
      <w:r w:rsidR="00FC0ACD">
        <w:t>saistītajā</w:t>
      </w:r>
      <w:r>
        <w:t xml:space="preserve">s uzņēmējsabiedrībās. </w:t>
      </w:r>
      <w:r w:rsidR="00995886">
        <w:t>Iepriekš minētās Kredītiestāžu likuma</w:t>
      </w:r>
      <w:r>
        <w:t xml:space="preserve"> </w:t>
      </w:r>
      <w:r w:rsidR="00995886">
        <w:t xml:space="preserve">normas </w:t>
      </w:r>
      <w:r>
        <w:t>uzskaita virkni amatu, tostarp ārvalsts kredītiestādes filiāles vai kredītiestādes filiāles citā dalībvalstī vadītājs un kredītiestādes meitas uzņēmuma vadītājs</w:t>
      </w:r>
      <w:r w:rsidR="004C4773">
        <w:t>.</w:t>
      </w:r>
    </w:p>
    <w:p w14:paraId="7FCFC53C" w14:textId="7E4E4010" w:rsidR="008B4DCF" w:rsidRPr="00237E28" w:rsidRDefault="00D010D4" w:rsidP="00237E28">
      <w:pPr>
        <w:pStyle w:val="NoSpacing"/>
        <w:spacing w:line="276" w:lineRule="auto"/>
        <w:ind w:firstLine="567"/>
        <w:jc w:val="both"/>
        <w:rPr>
          <w:rFonts w:ascii="TimesNewRomanPSMT" w:hAnsi="TimesNewRomanPSMT" w:cs="TimesNewRomanPSMT"/>
          <w:color w:val="000000"/>
          <w:szCs w:val="24"/>
        </w:rPr>
      </w:pPr>
      <w:r>
        <w:t>P</w:t>
      </w:r>
      <w:r w:rsidRPr="00237E28">
        <w:rPr>
          <w:szCs w:val="24"/>
        </w:rPr>
        <w:t xml:space="preserve">ieteicēja statuss, </w:t>
      </w:r>
      <w:r>
        <w:rPr>
          <w:szCs w:val="24"/>
        </w:rPr>
        <w:t>ievērojot</w:t>
      </w:r>
      <w:r w:rsidRPr="00237E28">
        <w:rPr>
          <w:szCs w:val="24"/>
        </w:rPr>
        <w:t xml:space="preserve"> ieņemamos amatus</w:t>
      </w:r>
      <w:r>
        <w:t xml:space="preserve"> </w:t>
      </w:r>
      <w:r w:rsidR="00331A94">
        <w:t>Latvijas Krājbanka</w:t>
      </w:r>
      <w:r w:rsidR="00844A2F">
        <w:t>s</w:t>
      </w:r>
      <w:r w:rsidR="00331A94">
        <w:t xml:space="preserve"> </w:t>
      </w:r>
      <w:r w:rsidR="00331A94" w:rsidRPr="00237E28">
        <w:rPr>
          <w:szCs w:val="24"/>
        </w:rPr>
        <w:t xml:space="preserve">saistītajos </w:t>
      </w:r>
      <w:r w:rsidR="00F84EDC" w:rsidRPr="00237E28">
        <w:rPr>
          <w:szCs w:val="24"/>
        </w:rPr>
        <w:t xml:space="preserve">uzņēmumos, tostarp šās bankas </w:t>
      </w:r>
      <w:r w:rsidR="00BA2391" w:rsidRPr="00237E28">
        <w:rPr>
          <w:szCs w:val="24"/>
        </w:rPr>
        <w:t xml:space="preserve">lielākā akcionāra </w:t>
      </w:r>
      <w:r w:rsidR="00C8649C">
        <w:t>„</w:t>
      </w:r>
      <w:r w:rsidR="00BA2391" w:rsidRPr="00237E28">
        <w:rPr>
          <w:szCs w:val="24"/>
        </w:rPr>
        <w:t>Snoras Banka</w:t>
      </w:r>
      <w:r w:rsidR="007D0792">
        <w:rPr>
          <w:szCs w:val="24"/>
        </w:rPr>
        <w:t>”</w:t>
      </w:r>
      <w:r w:rsidR="00BA2391" w:rsidRPr="00237E28">
        <w:rPr>
          <w:szCs w:val="24"/>
        </w:rPr>
        <w:t xml:space="preserve"> uzņēmumos, </w:t>
      </w:r>
      <w:r w:rsidR="00997D18" w:rsidRPr="00237E28">
        <w:rPr>
          <w:szCs w:val="24"/>
        </w:rPr>
        <w:t xml:space="preserve">saskaņā ar Komerclikuma regulējumu par akciju sabiedrības padomes un valdes priekšsēdētāja kompetenci, sabiedrības ar ierobežotu atbildību padomes priekšsēdētāja kompetenci, kā arī </w:t>
      </w:r>
      <w:r>
        <w:rPr>
          <w:szCs w:val="24"/>
        </w:rPr>
        <w:t>tas</w:t>
      </w:r>
      <w:r w:rsidR="00997D18" w:rsidRPr="00237E28">
        <w:rPr>
          <w:szCs w:val="24"/>
        </w:rPr>
        <w:t xml:space="preserve">, ka pieteicējs bija vienīgā amatpersona, kas bija tiesīga pārstāvēt </w:t>
      </w:r>
      <w:r w:rsidR="00B91E72" w:rsidRPr="00237E28">
        <w:rPr>
          <w:szCs w:val="24"/>
        </w:rPr>
        <w:t>Lietuvas Snoras Banka filiāli Latvijā, atbilst</w:t>
      </w:r>
      <w:r w:rsidR="00603201">
        <w:rPr>
          <w:szCs w:val="24"/>
        </w:rPr>
        <w:t xml:space="preserve"> direktīvas 94/19 </w:t>
      </w:r>
      <w:r w:rsidR="00B91E72" w:rsidRPr="00237E28">
        <w:rPr>
          <w:szCs w:val="24"/>
        </w:rPr>
        <w:t>I pielikuma 7.punktā minētaj</w:t>
      </w:r>
      <w:r w:rsidR="00603201">
        <w:rPr>
          <w:szCs w:val="24"/>
        </w:rPr>
        <w:t>a</w:t>
      </w:r>
      <w:r w:rsidR="00B91E72" w:rsidRPr="00237E28">
        <w:rPr>
          <w:szCs w:val="24"/>
        </w:rPr>
        <w:t xml:space="preserve">i </w:t>
      </w:r>
      <w:r w:rsidR="008B4DCF" w:rsidRPr="00237E28">
        <w:rPr>
          <w:rFonts w:ascii="TimesNewRomanPSMT" w:hAnsi="TimesNewRomanPSMT" w:cs="TimesNewRomanPSMT"/>
          <w:color w:val="000000"/>
          <w:szCs w:val="24"/>
        </w:rPr>
        <w:t>kategorij</w:t>
      </w:r>
      <w:r w:rsidR="00603201">
        <w:rPr>
          <w:rFonts w:ascii="TimesNewRomanPSMT" w:hAnsi="TimesNewRomanPSMT" w:cs="TimesNewRomanPSMT"/>
          <w:color w:val="000000"/>
          <w:szCs w:val="24"/>
        </w:rPr>
        <w:t>ai</w:t>
      </w:r>
      <w:r w:rsidR="008B4DCF" w:rsidRPr="00237E28">
        <w:rPr>
          <w:rFonts w:ascii="TimesNewRomanPSMT" w:hAnsi="TimesNewRomanPSMT" w:cs="TimesNewRomanPSMT"/>
          <w:color w:val="000000"/>
          <w:szCs w:val="24"/>
        </w:rPr>
        <w:t xml:space="preserve"> „vadītājs”.</w:t>
      </w:r>
    </w:p>
    <w:p w14:paraId="29E25380" w14:textId="52B6709B" w:rsidR="0068545E" w:rsidRDefault="00A40A72" w:rsidP="00AB2001">
      <w:pPr>
        <w:pStyle w:val="NoSpacing"/>
        <w:spacing w:line="276" w:lineRule="auto"/>
        <w:ind w:firstLine="567"/>
        <w:jc w:val="both"/>
        <w:rPr>
          <w:rFonts w:ascii="TimesNewRomanPSMT" w:hAnsi="TimesNewRomanPSMT" w:cs="TimesNewRomanPSMT"/>
          <w:color w:val="000000"/>
          <w:szCs w:val="24"/>
        </w:rPr>
      </w:pPr>
      <w:r>
        <w:rPr>
          <w:rFonts w:ascii="TimesNewRomanPSMT" w:hAnsi="TimesNewRomanPSMT" w:cs="TimesNewRomanPSMT"/>
          <w:color w:val="000000"/>
          <w:szCs w:val="24"/>
        </w:rPr>
        <w:t>[4</w:t>
      </w:r>
      <w:r w:rsidR="00F02CAD">
        <w:rPr>
          <w:rFonts w:ascii="TimesNewRomanPSMT" w:hAnsi="TimesNewRomanPSMT" w:cs="TimesNewRomanPSMT"/>
          <w:color w:val="000000"/>
          <w:szCs w:val="24"/>
        </w:rPr>
        <w:t>.</w:t>
      </w:r>
      <w:r w:rsidR="005746EF">
        <w:rPr>
          <w:rFonts w:ascii="TimesNewRomanPSMT" w:hAnsi="TimesNewRomanPSMT" w:cs="TimesNewRomanPSMT"/>
          <w:color w:val="000000"/>
          <w:szCs w:val="24"/>
        </w:rPr>
        <w:t>6</w:t>
      </w:r>
      <w:r>
        <w:rPr>
          <w:rFonts w:ascii="TimesNewRomanPSMT" w:hAnsi="TimesNewRomanPSMT" w:cs="TimesNewRomanPSMT"/>
          <w:color w:val="000000"/>
          <w:szCs w:val="24"/>
        </w:rPr>
        <w:t>] V</w:t>
      </w:r>
      <w:r w:rsidR="008B4DCF" w:rsidRPr="00237E28">
        <w:rPr>
          <w:rFonts w:ascii="TimesNewRomanPSMT" w:hAnsi="TimesNewRomanPSMT" w:cs="TimesNewRomanPSMT"/>
          <w:color w:val="000000"/>
          <w:szCs w:val="24"/>
        </w:rPr>
        <w:t xml:space="preserve">ērtējot jautājumu par pieteicēja kompetences un informētības līmeni, ka arī statusu kredītiestādē, vērā ņemami arī apstākļi, ka laika posmā no </w:t>
      </w:r>
      <w:proofErr w:type="gramStart"/>
      <w:r w:rsidR="008B4DCF" w:rsidRPr="00237E28">
        <w:rPr>
          <w:rFonts w:ascii="TimesNewRomanPSMT" w:hAnsi="TimesNewRomanPSMT" w:cs="TimesNewRomanPSMT"/>
          <w:color w:val="000000"/>
          <w:szCs w:val="24"/>
        </w:rPr>
        <w:t>2009.gada</w:t>
      </w:r>
      <w:proofErr w:type="gramEnd"/>
      <w:r w:rsidR="008B4DCF" w:rsidRPr="00237E28">
        <w:rPr>
          <w:rFonts w:ascii="TimesNewRomanPSMT" w:hAnsi="TimesNewRomanPSMT" w:cs="TimesNewRomanPSMT"/>
          <w:color w:val="000000"/>
          <w:szCs w:val="24"/>
        </w:rPr>
        <w:t xml:space="preserve"> 22.jūlija līdz 2012.ga</w:t>
      </w:r>
      <w:r w:rsidR="007C13B4">
        <w:rPr>
          <w:rFonts w:ascii="TimesNewRomanPSMT" w:hAnsi="TimesNewRomanPSMT" w:cs="TimesNewRomanPSMT"/>
          <w:color w:val="000000"/>
          <w:szCs w:val="24"/>
        </w:rPr>
        <w:t xml:space="preserve">da 7.martam </w:t>
      </w:r>
      <w:r w:rsidR="007C13B4" w:rsidRPr="00086F26">
        <w:rPr>
          <w:rFonts w:ascii="TimesNewRomanPSMT" w:hAnsi="TimesNewRomanPSMT" w:cs="TimesNewRomanPSMT"/>
          <w:color w:val="000000"/>
          <w:szCs w:val="24"/>
        </w:rPr>
        <w:t>pieteicēj</w:t>
      </w:r>
      <w:r w:rsidR="008B4DCF" w:rsidRPr="00086F26">
        <w:rPr>
          <w:rFonts w:ascii="TimesNewRomanPSMT" w:hAnsi="TimesNewRomanPSMT" w:cs="TimesNewRomanPSMT"/>
          <w:color w:val="000000"/>
          <w:szCs w:val="24"/>
        </w:rPr>
        <w:t xml:space="preserve">s </w:t>
      </w:r>
      <w:r w:rsidR="00C43847" w:rsidRPr="00086F26">
        <w:rPr>
          <w:rFonts w:ascii="TimesNewRomanPSMT" w:hAnsi="TimesNewRomanPSMT" w:cs="TimesNewRomanPSMT"/>
          <w:color w:val="000000"/>
          <w:szCs w:val="24"/>
        </w:rPr>
        <w:t xml:space="preserve">bija vienīgā persona, kura bija tiesīga pārstāvēt komersantu darbībās, kas saistītas ar </w:t>
      </w:r>
      <w:r w:rsidR="008B4DCF" w:rsidRPr="00086F26">
        <w:rPr>
          <w:rFonts w:ascii="TimesNewRomanPSMT" w:hAnsi="TimesNewRomanPSMT" w:cs="TimesNewRomanPSMT"/>
          <w:color w:val="000000"/>
          <w:szCs w:val="24"/>
        </w:rPr>
        <w:t>Lietuvas Snoras Banka</w:t>
      </w:r>
      <w:r w:rsidR="00A4220D" w:rsidRPr="00086F26">
        <w:rPr>
          <w:rFonts w:ascii="TimesNewRomanPSMT" w:hAnsi="TimesNewRomanPSMT" w:cs="TimesNewRomanPSMT"/>
          <w:color w:val="000000"/>
          <w:szCs w:val="24"/>
        </w:rPr>
        <w:t>s</w:t>
      </w:r>
      <w:r w:rsidR="008B4DCF" w:rsidRPr="00086F26">
        <w:rPr>
          <w:rFonts w:ascii="TimesNewRomanPSMT" w:hAnsi="TimesNewRomanPSMT" w:cs="TimesNewRomanPSMT"/>
          <w:color w:val="000000"/>
          <w:szCs w:val="24"/>
        </w:rPr>
        <w:t xml:space="preserve"> Latvijas filiāl</w:t>
      </w:r>
      <w:r w:rsidR="00C43847" w:rsidRPr="00086F26">
        <w:rPr>
          <w:rFonts w:ascii="TimesNewRomanPSMT" w:hAnsi="TimesNewRomanPSMT" w:cs="TimesNewRomanPSMT"/>
          <w:color w:val="000000"/>
          <w:szCs w:val="24"/>
        </w:rPr>
        <w:t>i</w:t>
      </w:r>
      <w:r w:rsidR="008B4DCF" w:rsidRPr="00086F26">
        <w:rPr>
          <w:rFonts w:ascii="TimesNewRomanPSMT" w:hAnsi="TimesNewRomanPSMT" w:cs="TimesNewRomanPSMT"/>
          <w:color w:val="000000"/>
          <w:szCs w:val="24"/>
        </w:rPr>
        <w:t>; Lietuvas Snoras Banka bija lielākais Latvijas Krājbanka</w:t>
      </w:r>
      <w:r w:rsidR="001C370B" w:rsidRPr="00086F26">
        <w:rPr>
          <w:rFonts w:ascii="TimesNewRomanPSMT" w:hAnsi="TimesNewRomanPSMT" w:cs="TimesNewRomanPSMT"/>
          <w:color w:val="000000"/>
          <w:szCs w:val="24"/>
        </w:rPr>
        <w:t>s</w:t>
      </w:r>
      <w:r w:rsidR="008B4DCF" w:rsidRPr="00086F26">
        <w:rPr>
          <w:rFonts w:ascii="TimesNewRomanPSMT" w:hAnsi="TimesNewRomanPSMT" w:cs="TimesNewRomanPSMT"/>
          <w:color w:val="000000"/>
          <w:szCs w:val="24"/>
        </w:rPr>
        <w:t xml:space="preserve"> akcionārs</w:t>
      </w:r>
      <w:r w:rsidR="00B94D95" w:rsidRPr="00086F26">
        <w:rPr>
          <w:rFonts w:ascii="TimesNewRomanPSMT" w:hAnsi="TimesNewRomanPSMT" w:cs="TimesNewRomanPSMT"/>
          <w:color w:val="000000"/>
          <w:szCs w:val="24"/>
        </w:rPr>
        <w:t>;</w:t>
      </w:r>
      <w:r w:rsidR="008B4DCF" w:rsidRPr="00086F26">
        <w:rPr>
          <w:rFonts w:ascii="TimesNewRomanPSMT" w:hAnsi="TimesNewRomanPSMT" w:cs="TimesNewRomanPSMT"/>
          <w:color w:val="000000"/>
          <w:szCs w:val="24"/>
        </w:rPr>
        <w:t xml:space="preserve"> savukārt Lietuvas Snoras Banka akcionāri bija Krievijas uzņēmējs </w:t>
      </w:r>
      <w:r w:rsidR="00B05FE9">
        <w:rPr>
          <w:rFonts w:ascii="TimesNewRomanPSMT" w:hAnsi="TimesNewRomanPSMT" w:cs="TimesNewRomanPSMT"/>
          <w:color w:val="000000"/>
          <w:szCs w:val="24"/>
        </w:rPr>
        <w:t>[pers. B]</w:t>
      </w:r>
      <w:r w:rsidR="008B4DCF" w:rsidRPr="00086F26">
        <w:rPr>
          <w:rFonts w:ascii="TimesNewRomanPSMT" w:hAnsi="TimesNewRomanPSMT" w:cs="TimesNewRomanPSMT"/>
          <w:color w:val="000000"/>
          <w:szCs w:val="24"/>
        </w:rPr>
        <w:t xml:space="preserve"> un Lietuvas uzņēmējs </w:t>
      </w:r>
      <w:r w:rsidR="00B05FE9">
        <w:rPr>
          <w:rFonts w:ascii="TimesNewRomanPSMT" w:hAnsi="TimesNewRomanPSMT" w:cs="TimesNewRomanPSMT"/>
          <w:color w:val="000000"/>
          <w:szCs w:val="24"/>
        </w:rPr>
        <w:t>[pers. C]</w:t>
      </w:r>
      <w:r w:rsidR="00B94D95" w:rsidRPr="00086F26">
        <w:rPr>
          <w:rFonts w:ascii="TimesNewRomanPSMT" w:hAnsi="TimesNewRomanPSMT" w:cs="TimesNewRomanPSMT"/>
          <w:color w:val="000000"/>
          <w:szCs w:val="24"/>
        </w:rPr>
        <w:t>.</w:t>
      </w:r>
      <w:r w:rsidR="006A7365">
        <w:rPr>
          <w:rFonts w:ascii="TimesNewRomanPSMT" w:hAnsi="TimesNewRomanPSMT" w:cs="TimesNewRomanPSMT"/>
          <w:color w:val="000000"/>
          <w:szCs w:val="24"/>
        </w:rPr>
        <w:t xml:space="preserve"> </w:t>
      </w:r>
      <w:r w:rsidR="008B4DCF" w:rsidRPr="00086F26">
        <w:rPr>
          <w:rFonts w:ascii="TimesNewRomanPSMT" w:hAnsi="TimesNewRomanPSMT" w:cs="TimesNewRomanPSMT"/>
          <w:color w:val="000000"/>
          <w:szCs w:val="24"/>
        </w:rPr>
        <w:t xml:space="preserve">Arī </w:t>
      </w:r>
      <w:r w:rsidR="00375E7B" w:rsidRPr="00086F26">
        <w:rPr>
          <w:rFonts w:ascii="TimesNewRomanPSMT" w:hAnsi="TimesNewRomanPSMT" w:cs="TimesNewRomanPSMT"/>
          <w:color w:val="000000"/>
          <w:szCs w:val="24"/>
        </w:rPr>
        <w:t>tas</w:t>
      </w:r>
      <w:r w:rsidR="008B4DCF" w:rsidRPr="00086F26">
        <w:rPr>
          <w:rFonts w:ascii="TimesNewRomanPSMT" w:hAnsi="TimesNewRomanPSMT" w:cs="TimesNewRomanPSMT"/>
          <w:color w:val="000000"/>
          <w:szCs w:val="24"/>
        </w:rPr>
        <w:t>, ka pieteicējs ilgstoši bija Latvi</w:t>
      </w:r>
      <w:r w:rsidR="00375E7B" w:rsidRPr="00086F26">
        <w:rPr>
          <w:rFonts w:ascii="TimesNewRomanPSMT" w:hAnsi="TimesNewRomanPSMT" w:cs="TimesNewRomanPSMT"/>
          <w:color w:val="000000"/>
          <w:szCs w:val="24"/>
        </w:rPr>
        <w:t>jas Krājbanka</w:t>
      </w:r>
      <w:r w:rsidR="00106A3F" w:rsidRPr="00086F26">
        <w:rPr>
          <w:rFonts w:ascii="TimesNewRomanPSMT" w:hAnsi="TimesNewRomanPSMT" w:cs="TimesNewRomanPSMT"/>
          <w:color w:val="000000"/>
          <w:szCs w:val="24"/>
        </w:rPr>
        <w:t>s</w:t>
      </w:r>
      <w:r w:rsidR="00375E7B" w:rsidRPr="00086F26">
        <w:rPr>
          <w:rFonts w:ascii="TimesNewRomanPSMT" w:hAnsi="TimesNewRomanPSMT" w:cs="TimesNewRomanPSMT"/>
          <w:color w:val="000000"/>
          <w:szCs w:val="24"/>
        </w:rPr>
        <w:t xml:space="preserve"> valdes loceklis</w:t>
      </w:r>
      <w:r w:rsidR="008B4DCF" w:rsidRPr="00086F26">
        <w:rPr>
          <w:rFonts w:ascii="TimesNewRomanPSMT" w:hAnsi="TimesNewRomanPSMT" w:cs="TimesNewRomanPSMT"/>
          <w:color w:val="000000"/>
          <w:szCs w:val="24"/>
        </w:rPr>
        <w:t xml:space="preserve">, </w:t>
      </w:r>
      <w:r w:rsidR="00375E7B" w:rsidRPr="00086F26">
        <w:rPr>
          <w:rFonts w:ascii="TimesNewRomanPSMT" w:hAnsi="TimesNewRomanPSMT" w:cs="TimesNewRomanPSMT"/>
          <w:color w:val="000000"/>
          <w:szCs w:val="24"/>
        </w:rPr>
        <w:t>liecina par ļoti augst</w:t>
      </w:r>
      <w:r w:rsidR="00115C21">
        <w:rPr>
          <w:rFonts w:ascii="TimesNewRomanPSMT" w:hAnsi="TimesNewRomanPSMT" w:cs="TimesNewRomanPSMT"/>
          <w:color w:val="000000"/>
          <w:szCs w:val="24"/>
        </w:rPr>
        <w:t>u</w:t>
      </w:r>
      <w:r w:rsidR="00375E7B" w:rsidRPr="00086F26">
        <w:rPr>
          <w:rFonts w:ascii="TimesNewRomanPSMT" w:hAnsi="TimesNewRomanPSMT" w:cs="TimesNewRomanPSMT"/>
          <w:color w:val="000000"/>
          <w:szCs w:val="24"/>
        </w:rPr>
        <w:t xml:space="preserve"> informētības līmeni</w:t>
      </w:r>
      <w:r w:rsidR="008B4DCF" w:rsidRPr="00086F26">
        <w:rPr>
          <w:rFonts w:ascii="TimesNewRomanPSMT" w:hAnsi="TimesNewRomanPSMT" w:cs="TimesNewRomanPSMT"/>
          <w:color w:val="000000"/>
          <w:szCs w:val="24"/>
        </w:rPr>
        <w:t xml:space="preserve"> par bankas darbību un tās darbības </w:t>
      </w:r>
      <w:r w:rsidR="00867305" w:rsidRPr="00086F26">
        <w:rPr>
          <w:rFonts w:ascii="TimesNewRomanPSMT" w:hAnsi="TimesNewRomanPSMT" w:cs="TimesNewRomanPSMT"/>
          <w:color w:val="000000"/>
          <w:szCs w:val="24"/>
        </w:rPr>
        <w:t>riskiem par iepriekšējo periodu</w:t>
      </w:r>
      <w:r w:rsidR="008B4DCF" w:rsidRPr="00086F26">
        <w:rPr>
          <w:rFonts w:ascii="TimesNewRomanPSMT" w:hAnsi="TimesNewRomanPSMT" w:cs="TimesNewRomanPSMT"/>
          <w:color w:val="000000"/>
          <w:szCs w:val="24"/>
        </w:rPr>
        <w:t>.</w:t>
      </w:r>
    </w:p>
    <w:p w14:paraId="71534DAB" w14:textId="7CC36A54" w:rsidR="007332E6" w:rsidRDefault="00867305" w:rsidP="00F67A1B">
      <w:pPr>
        <w:pStyle w:val="NoSpacing"/>
        <w:spacing w:line="276" w:lineRule="auto"/>
        <w:ind w:firstLine="567"/>
        <w:jc w:val="both"/>
        <w:rPr>
          <w:rFonts w:ascii="TimesNewRomanPSMT" w:hAnsi="TimesNewRomanPSMT" w:cs="TimesNewRomanPSMT"/>
          <w:szCs w:val="24"/>
        </w:rPr>
      </w:pPr>
      <w:r w:rsidRPr="00086F26">
        <w:rPr>
          <w:rFonts w:ascii="TimesNewRomanPSMT" w:hAnsi="TimesNewRomanPSMT" w:cs="TimesNewRomanPSMT"/>
          <w:color w:val="000000"/>
          <w:szCs w:val="24"/>
        </w:rPr>
        <w:t>Tā kā</w:t>
      </w:r>
      <w:r w:rsidR="008B4DCF" w:rsidRPr="00086F26">
        <w:rPr>
          <w:rFonts w:ascii="TimesNewRomanPSMT" w:hAnsi="TimesNewRomanPSMT" w:cs="TimesNewRomanPSMT"/>
          <w:color w:val="000000"/>
          <w:szCs w:val="24"/>
        </w:rPr>
        <w:t xml:space="preserve"> </w:t>
      </w:r>
      <w:r w:rsidR="00CC6EE3" w:rsidRPr="00086F26">
        <w:rPr>
          <w:rFonts w:ascii="TimesNewRomanPSMT" w:hAnsi="TimesNewRomanPSMT" w:cs="TimesNewRomanPSMT"/>
          <w:color w:val="000000"/>
          <w:szCs w:val="24"/>
        </w:rPr>
        <w:t>L</w:t>
      </w:r>
      <w:r w:rsidR="008B4DCF" w:rsidRPr="00086F26">
        <w:rPr>
          <w:rFonts w:ascii="TimesNewRomanPSMT" w:hAnsi="TimesNewRomanPSMT" w:cs="TimesNewRomanPSMT"/>
          <w:color w:val="000000"/>
          <w:szCs w:val="24"/>
        </w:rPr>
        <w:t>atvijas Krājbanka</w:t>
      </w:r>
      <w:r w:rsidR="00CC6EE3" w:rsidRPr="00086F26">
        <w:rPr>
          <w:rFonts w:ascii="TimesNewRomanPSMT" w:hAnsi="TimesNewRomanPSMT" w:cs="TimesNewRomanPSMT"/>
          <w:color w:val="000000"/>
          <w:szCs w:val="24"/>
        </w:rPr>
        <w:t>s</w:t>
      </w:r>
      <w:r w:rsidR="008B4DCF" w:rsidRPr="00086F26">
        <w:rPr>
          <w:rFonts w:ascii="TimesNewRomanPSMT" w:hAnsi="TimesNewRomanPSMT" w:cs="TimesNewRomanPSMT"/>
          <w:color w:val="000000"/>
          <w:szCs w:val="24"/>
        </w:rPr>
        <w:t xml:space="preserve"> maksātnespēja iestāj</w:t>
      </w:r>
      <w:r w:rsidR="00711B0B" w:rsidRPr="00086F26">
        <w:rPr>
          <w:rFonts w:ascii="TimesNewRomanPSMT" w:hAnsi="TimesNewRomanPSMT" w:cs="TimesNewRomanPSMT"/>
          <w:color w:val="000000"/>
          <w:szCs w:val="24"/>
        </w:rPr>
        <w:t>ā</w:t>
      </w:r>
      <w:r w:rsidR="008B4DCF" w:rsidRPr="00086F26">
        <w:rPr>
          <w:rFonts w:ascii="TimesNewRomanPSMT" w:hAnsi="TimesNewRomanPSMT" w:cs="TimesNewRomanPSMT"/>
          <w:color w:val="000000"/>
          <w:szCs w:val="24"/>
        </w:rPr>
        <w:t xml:space="preserve">s </w:t>
      </w:r>
      <w:r w:rsidR="00A17D06">
        <w:rPr>
          <w:rFonts w:ascii="TimesNewRomanPSMT" w:hAnsi="TimesNewRomanPSMT" w:cs="TimesNewRomanPSMT"/>
          <w:color w:val="000000"/>
          <w:szCs w:val="24"/>
        </w:rPr>
        <w:t xml:space="preserve">tieši </w:t>
      </w:r>
      <w:r w:rsidR="008B4DCF" w:rsidRPr="00086F26">
        <w:rPr>
          <w:rFonts w:ascii="TimesNewRomanPSMT" w:hAnsi="TimesNewRomanPSMT" w:cs="TimesNewRomanPSMT"/>
          <w:color w:val="000000"/>
          <w:szCs w:val="24"/>
        </w:rPr>
        <w:t>tās lielākā akcionāra Lietuvas Snoras Banka</w:t>
      </w:r>
      <w:r w:rsidR="006A547E" w:rsidRPr="00086F26">
        <w:rPr>
          <w:rFonts w:ascii="TimesNewRomanPSMT" w:hAnsi="TimesNewRomanPSMT" w:cs="TimesNewRomanPSMT"/>
          <w:color w:val="000000"/>
          <w:szCs w:val="24"/>
        </w:rPr>
        <w:t>s</w:t>
      </w:r>
      <w:r w:rsidR="008B4DCF" w:rsidRPr="00086F26">
        <w:rPr>
          <w:rFonts w:ascii="TimesNewRomanPSMT" w:hAnsi="TimesNewRomanPSMT" w:cs="TimesNewRomanPSMT"/>
          <w:color w:val="000000"/>
          <w:szCs w:val="24"/>
        </w:rPr>
        <w:t xml:space="preserve"> maksātnespējas dēļ, pieteicējs, ņemot vērā viņa ciešo saistību ar </w:t>
      </w:r>
      <w:proofErr w:type="gramStart"/>
      <w:r w:rsidR="00B05FE9">
        <w:rPr>
          <w:rFonts w:ascii="TimesNewRomanPSMT" w:hAnsi="TimesNewRomanPSMT" w:cs="TimesNewRomanPSMT"/>
          <w:color w:val="000000"/>
          <w:szCs w:val="24"/>
        </w:rPr>
        <w:t>[</w:t>
      </w:r>
      <w:proofErr w:type="gramEnd"/>
      <w:r w:rsidR="00B05FE9">
        <w:rPr>
          <w:rFonts w:ascii="TimesNewRomanPSMT" w:hAnsi="TimesNewRomanPSMT" w:cs="TimesNewRomanPSMT"/>
          <w:color w:val="000000"/>
          <w:szCs w:val="24"/>
        </w:rPr>
        <w:t>pers. B]</w:t>
      </w:r>
      <w:r w:rsidR="008B4DCF" w:rsidRPr="00086F26">
        <w:rPr>
          <w:rFonts w:ascii="TimesNewRomanPSMT" w:hAnsi="TimesNewRomanPSMT" w:cs="TimesNewRomanPSMT"/>
          <w:color w:val="000000"/>
          <w:szCs w:val="24"/>
        </w:rPr>
        <w:t xml:space="preserve"> – pieteicējs no AS „Conversgroup Baltic” reģistrācijas dienas</w:t>
      </w:r>
      <w:r w:rsidRPr="00086F26">
        <w:rPr>
          <w:rFonts w:ascii="TimesNewRomanPSMT" w:hAnsi="TimesNewRomanPSMT" w:cs="TimesNewRomanPSMT"/>
          <w:color w:val="000000"/>
          <w:szCs w:val="24"/>
        </w:rPr>
        <w:t xml:space="preserve"> –</w:t>
      </w:r>
      <w:r w:rsidR="008B4DCF" w:rsidRPr="00086F26">
        <w:rPr>
          <w:rFonts w:ascii="TimesNewRomanPSMT" w:hAnsi="TimesNewRomanPSMT" w:cs="TimesNewRomanPSMT"/>
          <w:color w:val="000000"/>
          <w:szCs w:val="24"/>
        </w:rPr>
        <w:t xml:space="preserve"> ir minētās sabiedrības valdes priekšsēdētājs (vienīgais valdes pārstāvis) ar tiesībām pārstāvēt uzņēmumu atsevišķi,</w:t>
      </w:r>
      <w:r w:rsidR="008B4DCF" w:rsidRPr="00237E28">
        <w:rPr>
          <w:rFonts w:ascii="TimesNewRomanPSMT" w:hAnsi="TimesNewRomanPSMT" w:cs="TimesNewRomanPSMT"/>
          <w:color w:val="000000"/>
          <w:szCs w:val="24"/>
        </w:rPr>
        <w:t xml:space="preserve"> savukārt padomes priekšsēdētāji no </w:t>
      </w:r>
      <w:proofErr w:type="gramStart"/>
      <w:r w:rsidR="008B4DCF" w:rsidRPr="00237E28">
        <w:rPr>
          <w:rFonts w:ascii="TimesNewRomanPSMT" w:hAnsi="TimesNewRomanPSMT" w:cs="TimesNewRomanPSMT"/>
          <w:color w:val="000000"/>
          <w:szCs w:val="24"/>
        </w:rPr>
        <w:t>2010.gada</w:t>
      </w:r>
      <w:proofErr w:type="gramEnd"/>
      <w:r w:rsidR="008B4DCF" w:rsidRPr="00237E28">
        <w:rPr>
          <w:rFonts w:ascii="TimesNewRomanPSMT" w:hAnsi="TimesNewRomanPSMT" w:cs="TimesNewRomanPSMT"/>
          <w:color w:val="000000"/>
          <w:szCs w:val="24"/>
        </w:rPr>
        <w:t xml:space="preserve"> 21.aprīļa ir </w:t>
      </w:r>
      <w:r w:rsidR="00385DFE" w:rsidRPr="00237E28">
        <w:rPr>
          <w:rFonts w:ascii="TimesNewRomanPSMT" w:hAnsi="TimesNewRomanPSMT" w:cs="TimesNewRomanPSMT"/>
          <w:color w:val="000000"/>
          <w:szCs w:val="24"/>
        </w:rPr>
        <w:t>Lietuvas Snoras Banka akcionār</w:t>
      </w:r>
      <w:r w:rsidR="00385DFE">
        <w:rPr>
          <w:rFonts w:ascii="TimesNewRomanPSMT" w:hAnsi="TimesNewRomanPSMT" w:cs="TimesNewRomanPSMT"/>
          <w:color w:val="000000"/>
          <w:szCs w:val="24"/>
        </w:rPr>
        <w:t>i</w:t>
      </w:r>
      <w:r w:rsidR="00385DFE" w:rsidRPr="00237E28">
        <w:rPr>
          <w:rFonts w:ascii="TimesNewRomanPSMT" w:hAnsi="TimesNewRomanPSMT" w:cs="TimesNewRomanPSMT"/>
          <w:color w:val="000000"/>
          <w:szCs w:val="24"/>
        </w:rPr>
        <w:t xml:space="preserve"> </w:t>
      </w:r>
      <w:r w:rsidR="00B05FE9">
        <w:rPr>
          <w:rFonts w:ascii="TimesNewRomanPSMT" w:hAnsi="TimesNewRomanPSMT" w:cs="TimesNewRomanPSMT"/>
          <w:color w:val="000000"/>
          <w:szCs w:val="24"/>
        </w:rPr>
        <w:t>[pers. D]</w:t>
      </w:r>
      <w:r w:rsidR="00163D8B">
        <w:rPr>
          <w:rFonts w:ascii="TimesNewRomanPSMT" w:hAnsi="TimesNewRomanPSMT" w:cs="TimesNewRomanPSMT"/>
          <w:color w:val="000000"/>
          <w:szCs w:val="24"/>
        </w:rPr>
        <w:t xml:space="preserve"> (</w:t>
      </w:r>
      <w:r w:rsidR="00B05FE9">
        <w:rPr>
          <w:rFonts w:ascii="TimesNewRomanPSMT" w:hAnsi="TimesNewRomanPSMT" w:cs="TimesNewRomanPSMT"/>
          <w:color w:val="000000"/>
          <w:szCs w:val="24"/>
        </w:rPr>
        <w:t>[</w:t>
      </w:r>
      <w:r w:rsidR="00B05FE9">
        <w:rPr>
          <w:rFonts w:ascii="TimesNewRomanPSMT" w:hAnsi="TimesNewRomanPSMT" w:cs="TimesNewRomanPSMT"/>
          <w:i/>
          <w:color w:val="000000"/>
          <w:szCs w:val="24"/>
        </w:rPr>
        <w:t>pers.</w:t>
      </w:r>
      <w:proofErr w:type="gramStart"/>
      <w:r w:rsidR="00B05FE9">
        <w:rPr>
          <w:rFonts w:ascii="TimesNewRomanPSMT" w:hAnsi="TimesNewRomanPSMT" w:cs="TimesNewRomanPSMT"/>
          <w:i/>
          <w:color w:val="000000"/>
          <w:szCs w:val="24"/>
        </w:rPr>
        <w:t xml:space="preserve"> </w:t>
      </w:r>
      <w:proofErr w:type="gramEnd"/>
      <w:r w:rsidR="00B05FE9">
        <w:rPr>
          <w:rFonts w:ascii="TimesNewRomanPSMT" w:hAnsi="TimesNewRomanPSMT" w:cs="TimesNewRomanPSMT"/>
          <w:i/>
          <w:color w:val="000000"/>
          <w:szCs w:val="24"/>
        </w:rPr>
        <w:t>D</w:t>
      </w:r>
      <w:r w:rsidR="00B05FE9">
        <w:rPr>
          <w:rFonts w:ascii="TimesNewRomanPSMT" w:hAnsi="TimesNewRomanPSMT" w:cs="TimesNewRomanPSMT"/>
          <w:color w:val="000000"/>
          <w:szCs w:val="24"/>
        </w:rPr>
        <w:t>]</w:t>
      </w:r>
      <w:r w:rsidR="00163D8B">
        <w:rPr>
          <w:rFonts w:ascii="TimesNewRomanPSMT" w:hAnsi="TimesNewRomanPSMT" w:cs="TimesNewRomanPSMT"/>
          <w:color w:val="000000"/>
          <w:szCs w:val="24"/>
        </w:rPr>
        <w:t>)</w:t>
      </w:r>
      <w:r w:rsidR="008B4DCF" w:rsidRPr="00237E28">
        <w:rPr>
          <w:rFonts w:ascii="TimesNewRomanPSMT" w:hAnsi="TimesNewRomanPSMT" w:cs="TimesNewRomanPSMT"/>
          <w:color w:val="000000"/>
          <w:szCs w:val="24"/>
        </w:rPr>
        <w:t xml:space="preserve"> un </w:t>
      </w:r>
      <w:proofErr w:type="gramStart"/>
      <w:r w:rsidR="00B05FE9">
        <w:rPr>
          <w:rFonts w:ascii="TimesNewRomanPSMT" w:hAnsi="TimesNewRomanPSMT" w:cs="TimesNewRomanPSMT"/>
          <w:color w:val="000000"/>
          <w:szCs w:val="24"/>
        </w:rPr>
        <w:t>[</w:t>
      </w:r>
      <w:proofErr w:type="gramEnd"/>
      <w:r w:rsidR="00B05FE9">
        <w:rPr>
          <w:rFonts w:ascii="TimesNewRomanPSMT" w:hAnsi="TimesNewRomanPSMT" w:cs="TimesNewRomanPSMT"/>
          <w:color w:val="000000"/>
          <w:szCs w:val="24"/>
        </w:rPr>
        <w:t>pers. B]</w:t>
      </w:r>
      <w:r w:rsidR="008B4DCF" w:rsidRPr="00237E28">
        <w:rPr>
          <w:rFonts w:ascii="TimesNewRomanPSMT" w:hAnsi="TimesNewRomanPSMT" w:cs="TimesNewRomanPSMT"/>
          <w:color w:val="000000"/>
          <w:szCs w:val="24"/>
        </w:rPr>
        <w:t xml:space="preserve"> un ieņemamo amatu Lietuvas Snoras Banka</w:t>
      </w:r>
      <w:r w:rsidR="00515202">
        <w:rPr>
          <w:rFonts w:ascii="TimesNewRomanPSMT" w:hAnsi="TimesNewRomanPSMT" w:cs="TimesNewRomanPSMT"/>
          <w:color w:val="000000"/>
          <w:szCs w:val="24"/>
        </w:rPr>
        <w:t>s</w:t>
      </w:r>
      <w:r w:rsidR="008B4DCF" w:rsidRPr="00237E28">
        <w:rPr>
          <w:rFonts w:ascii="TimesNewRomanPSMT" w:hAnsi="TimesNewRomanPSMT" w:cs="TimesNewRomanPSMT"/>
          <w:color w:val="000000"/>
          <w:szCs w:val="24"/>
        </w:rPr>
        <w:t xml:space="preserve"> Latvijas filiāle (bija vienīgā amatpersona, kas bija tiesīga pārstāvēt filiāli), norāda uz pieteicēja īpašu saikni ar bankas un tās lielākā akcionāra Lietuvas Snoras Banku un </w:t>
      </w:r>
      <w:r w:rsidR="00237E28" w:rsidRPr="00237E28">
        <w:rPr>
          <w:rFonts w:ascii="TimesNewRomanPSMT" w:hAnsi="TimesNewRomanPSMT" w:cs="TimesNewRomanPSMT"/>
          <w:szCs w:val="24"/>
        </w:rPr>
        <w:t xml:space="preserve">attiecīgi, tās akciju turētāju </w:t>
      </w:r>
      <w:r w:rsidR="00B05FE9">
        <w:rPr>
          <w:rFonts w:ascii="TimesNewRomanPSMT" w:hAnsi="TimesNewRomanPSMT" w:cs="TimesNewRomanPSMT"/>
          <w:szCs w:val="24"/>
        </w:rPr>
        <w:t>[pers. B]</w:t>
      </w:r>
      <w:r w:rsidR="00237E28" w:rsidRPr="00237E28">
        <w:rPr>
          <w:rFonts w:ascii="TimesNewRomanPSMT" w:hAnsi="TimesNewRomanPSMT" w:cs="TimesNewRomanPSMT"/>
          <w:szCs w:val="24"/>
        </w:rPr>
        <w:t>.</w:t>
      </w:r>
      <w:r w:rsidR="00AA7D0C">
        <w:rPr>
          <w:rFonts w:ascii="TimesNewRomanPSMT" w:hAnsi="TimesNewRomanPSMT" w:cs="TimesNewRomanPSMT"/>
          <w:szCs w:val="24"/>
        </w:rPr>
        <w:t xml:space="preserve"> </w:t>
      </w:r>
      <w:r w:rsidR="00853939">
        <w:rPr>
          <w:rFonts w:ascii="TimesNewRomanPSMT" w:hAnsi="TimesNewRomanPSMT" w:cs="TimesNewRomanPSMT"/>
          <w:szCs w:val="24"/>
        </w:rPr>
        <w:t>Šie</w:t>
      </w:r>
      <w:r w:rsidR="00237E28" w:rsidRPr="00237E28">
        <w:rPr>
          <w:rFonts w:ascii="TimesNewRomanPSMT" w:hAnsi="TimesNewRomanPSMT" w:cs="TimesNewRomanPSMT"/>
          <w:szCs w:val="24"/>
        </w:rPr>
        <w:t xml:space="preserve"> apstākļi tikai papildina </w:t>
      </w:r>
      <w:r w:rsidR="00190C32">
        <w:rPr>
          <w:rFonts w:ascii="TimesNewRomanPSMT" w:hAnsi="TimesNewRomanPSMT" w:cs="TimesNewRomanPSMT"/>
          <w:szCs w:val="24"/>
        </w:rPr>
        <w:t>argumentācij</w:t>
      </w:r>
      <w:r w:rsidR="00237E28" w:rsidRPr="00237E28">
        <w:rPr>
          <w:rFonts w:ascii="TimesNewRomanPSMT" w:hAnsi="TimesNewRomanPSMT" w:cs="TimesNewRomanPSMT"/>
          <w:szCs w:val="24"/>
        </w:rPr>
        <w:t>u par to, ka</w:t>
      </w:r>
      <w:r w:rsidR="00237E28">
        <w:rPr>
          <w:rFonts w:ascii="TimesNewRomanPSMT" w:hAnsi="TimesNewRomanPSMT" w:cs="TimesNewRomanPSMT"/>
          <w:szCs w:val="24"/>
        </w:rPr>
        <w:t xml:space="preserve"> </w:t>
      </w:r>
      <w:r w:rsidR="00237E28" w:rsidRPr="00237E28">
        <w:rPr>
          <w:rFonts w:ascii="TimesNewRomanPSMT" w:hAnsi="TimesNewRomanPSMT" w:cs="TimesNewRomanPSMT"/>
          <w:szCs w:val="24"/>
        </w:rPr>
        <w:t>pieteicējam bija tādas attiecības ar kredītiestādi un tās vadību, ka viņa</w:t>
      </w:r>
      <w:r w:rsidR="00237E28">
        <w:rPr>
          <w:rFonts w:ascii="TimesNewRomanPSMT" w:hAnsi="TimesNewRomanPSMT" w:cs="TimesNewRomanPSMT"/>
          <w:szCs w:val="24"/>
        </w:rPr>
        <w:t xml:space="preserve"> </w:t>
      </w:r>
      <w:r w:rsidR="00237E28" w:rsidRPr="00237E28">
        <w:rPr>
          <w:rFonts w:ascii="TimesNewRomanPSMT" w:hAnsi="TimesNewRomanPSMT" w:cs="TimesNewRomanPSMT"/>
          <w:szCs w:val="24"/>
        </w:rPr>
        <w:t xml:space="preserve">informētības līmenis par bankas darbību un riskiem nav </w:t>
      </w:r>
      <w:r w:rsidR="00237E28" w:rsidRPr="00AB2001">
        <w:rPr>
          <w:rFonts w:ascii="TimesNewRomanPSMT" w:hAnsi="TimesNewRomanPSMT" w:cs="TimesNewRomanPSMT"/>
          <w:szCs w:val="24"/>
        </w:rPr>
        <w:t>atzīstams par tādu, kas</w:t>
      </w:r>
      <w:r w:rsidR="00F67A1B">
        <w:rPr>
          <w:rFonts w:ascii="TimesNewRomanPSMT" w:hAnsi="TimesNewRomanPSMT" w:cs="TimesNewRomanPSMT"/>
          <w:szCs w:val="24"/>
        </w:rPr>
        <w:t xml:space="preserve"> piemīt vidusmēra ieguldītājam.</w:t>
      </w:r>
    </w:p>
    <w:p w14:paraId="23D79E0C" w14:textId="77777777" w:rsidR="007332E6" w:rsidRDefault="007332E6" w:rsidP="00AB2001">
      <w:pPr>
        <w:pStyle w:val="NoSpacing"/>
        <w:spacing w:line="276" w:lineRule="auto"/>
        <w:ind w:firstLine="567"/>
        <w:jc w:val="both"/>
        <w:rPr>
          <w:rFonts w:ascii="TimesNewRomanPSMT" w:hAnsi="TimesNewRomanPSMT" w:cs="TimesNewRomanPSMT"/>
          <w:szCs w:val="24"/>
        </w:rPr>
      </w:pPr>
    </w:p>
    <w:p w14:paraId="21D6EED4" w14:textId="77777777" w:rsidR="007332E6" w:rsidRDefault="007332E6" w:rsidP="00AB2001">
      <w:pPr>
        <w:pStyle w:val="NoSpacing"/>
        <w:spacing w:line="276" w:lineRule="auto"/>
        <w:ind w:firstLine="567"/>
        <w:jc w:val="both"/>
        <w:rPr>
          <w:rFonts w:ascii="TimesNewRomanPSMT" w:hAnsi="TimesNewRomanPSMT" w:cs="TimesNewRomanPSMT"/>
          <w:szCs w:val="24"/>
        </w:rPr>
      </w:pPr>
      <w:r>
        <w:rPr>
          <w:rFonts w:ascii="TimesNewRomanPSMT" w:hAnsi="TimesNewRomanPSMT" w:cs="TimesNewRomanPSMT"/>
          <w:szCs w:val="24"/>
        </w:rPr>
        <w:t>[5] Par apgabaltiesas spriedumu pieteicējs ir iesniedzis kasācijas sūdzību, kas pamatota ar turpmāk minētajiem argumentiem.</w:t>
      </w:r>
    </w:p>
    <w:p w14:paraId="4E35C0EC" w14:textId="2EEAB9A3" w:rsidR="003517C6" w:rsidRDefault="009A0875" w:rsidP="00AB2001">
      <w:pPr>
        <w:pStyle w:val="NoSpacing"/>
        <w:spacing w:line="276" w:lineRule="auto"/>
        <w:ind w:firstLine="567"/>
        <w:jc w:val="both"/>
        <w:rPr>
          <w:szCs w:val="24"/>
        </w:rPr>
      </w:pPr>
      <w:r>
        <w:rPr>
          <w:szCs w:val="24"/>
        </w:rPr>
        <w:t xml:space="preserve">[5.1] </w:t>
      </w:r>
      <w:r w:rsidR="003517C6" w:rsidRPr="005738FB">
        <w:rPr>
          <w:szCs w:val="24"/>
        </w:rPr>
        <w:t xml:space="preserve">Apgabaltiesa nepamatoti </w:t>
      </w:r>
      <w:r w:rsidR="001D424C">
        <w:rPr>
          <w:szCs w:val="24"/>
        </w:rPr>
        <w:t xml:space="preserve">atzina, ka </w:t>
      </w:r>
      <w:r w:rsidR="003517C6" w:rsidRPr="005738FB">
        <w:rPr>
          <w:szCs w:val="24"/>
        </w:rPr>
        <w:t xml:space="preserve">uz pieteicēju </w:t>
      </w:r>
      <w:r w:rsidR="001D424C">
        <w:rPr>
          <w:szCs w:val="24"/>
        </w:rPr>
        <w:t xml:space="preserve">ir </w:t>
      </w:r>
      <w:r w:rsidR="003517C6" w:rsidRPr="005738FB">
        <w:rPr>
          <w:szCs w:val="24"/>
        </w:rPr>
        <w:t>attiecinā</w:t>
      </w:r>
      <w:r w:rsidR="001D424C">
        <w:rPr>
          <w:szCs w:val="24"/>
        </w:rPr>
        <w:t>ms</w:t>
      </w:r>
      <w:r w:rsidR="003517C6" w:rsidRPr="005738FB">
        <w:rPr>
          <w:szCs w:val="24"/>
        </w:rPr>
        <w:t xml:space="preserve"> direktīvas 94/19 </w:t>
      </w:r>
      <w:proofErr w:type="gramStart"/>
      <w:r w:rsidR="003517C6" w:rsidRPr="005738FB">
        <w:rPr>
          <w:szCs w:val="24"/>
        </w:rPr>
        <w:t>7.panta</w:t>
      </w:r>
      <w:proofErr w:type="gramEnd"/>
      <w:r w:rsidR="003517C6" w:rsidRPr="005738FB">
        <w:rPr>
          <w:szCs w:val="24"/>
        </w:rPr>
        <w:t xml:space="preserve"> 2.punkt</w:t>
      </w:r>
      <w:r w:rsidR="001D424C">
        <w:rPr>
          <w:szCs w:val="24"/>
        </w:rPr>
        <w:t>a</w:t>
      </w:r>
      <w:r w:rsidR="003517C6" w:rsidRPr="005738FB">
        <w:rPr>
          <w:szCs w:val="24"/>
        </w:rPr>
        <w:t xml:space="preserve"> un I pielikuma 7.punkt</w:t>
      </w:r>
      <w:r w:rsidR="001D424C">
        <w:rPr>
          <w:szCs w:val="24"/>
        </w:rPr>
        <w:t>a</w:t>
      </w:r>
      <w:r w:rsidR="00B51904">
        <w:rPr>
          <w:szCs w:val="24"/>
        </w:rPr>
        <w:t xml:space="preserve"> </w:t>
      </w:r>
      <w:r w:rsidR="001D424C">
        <w:rPr>
          <w:szCs w:val="24"/>
        </w:rPr>
        <w:t>regulējums</w:t>
      </w:r>
      <w:r w:rsidR="003517C6" w:rsidRPr="005738FB">
        <w:rPr>
          <w:szCs w:val="24"/>
        </w:rPr>
        <w:t xml:space="preserve">. Eiropas Savienības tiesības neparedz </w:t>
      </w:r>
      <w:r w:rsidR="003517C6">
        <w:rPr>
          <w:szCs w:val="24"/>
        </w:rPr>
        <w:t xml:space="preserve">direktīvas regulējuma tiešu piemērošanu indivīdam. Uz indivīdiem attiecas tikai tās direktīvu normas, kas ir ieviestas nacionālajā likumdošanā. Noguldījumu garantiju likumā </w:t>
      </w:r>
      <w:r w:rsidR="009F165D">
        <w:rPr>
          <w:szCs w:val="24"/>
        </w:rPr>
        <w:t>nav ietverts tāds pats regulējums kā direktīvā</w:t>
      </w:r>
      <w:r w:rsidR="003517C6">
        <w:rPr>
          <w:szCs w:val="24"/>
        </w:rPr>
        <w:t>.</w:t>
      </w:r>
    </w:p>
    <w:p w14:paraId="299B6710" w14:textId="77777777" w:rsidR="002C395F" w:rsidRDefault="002C395F" w:rsidP="00AB2001">
      <w:pPr>
        <w:pStyle w:val="NoSpacing"/>
        <w:spacing w:line="276" w:lineRule="auto"/>
        <w:ind w:firstLine="567"/>
        <w:jc w:val="both"/>
        <w:rPr>
          <w:szCs w:val="24"/>
        </w:rPr>
      </w:pPr>
      <w:r>
        <w:rPr>
          <w:szCs w:val="24"/>
        </w:rPr>
        <w:t xml:space="preserve">Direktīvā kredītiestādes vadītājs un kredītiestādes grupas sabiedrību amatpersonas ir norādītas kā divas patstāvīgas noguldītāju kategorijas. Noguldījumu garantiju likumā nav prezumpcijas, ka kredītiestādes grupas sabiedrības amatpersonām nepienāktos noguldījumu </w:t>
      </w:r>
      <w:r>
        <w:rPr>
          <w:szCs w:val="24"/>
        </w:rPr>
        <w:lastRenderedPageBreak/>
        <w:t>garantija. Ja likumdevējs būtu vēlējies neattiecināt noguldījumu garantiju uz abām šīm kategorijām, tās abas būtu iekļautas Noguldījumu garantiju likumā, tāpat kā direktīvā.</w:t>
      </w:r>
    </w:p>
    <w:p w14:paraId="4D9504E5" w14:textId="49CD8902" w:rsidR="00696D89" w:rsidRDefault="007A466E" w:rsidP="00AB2001">
      <w:pPr>
        <w:pStyle w:val="NoSpacing"/>
        <w:spacing w:line="276" w:lineRule="auto"/>
        <w:ind w:firstLine="567"/>
        <w:jc w:val="both"/>
        <w:rPr>
          <w:szCs w:val="24"/>
        </w:rPr>
      </w:pPr>
      <w:r>
        <w:rPr>
          <w:szCs w:val="24"/>
        </w:rPr>
        <w:t xml:space="preserve">[5.2] </w:t>
      </w:r>
      <w:r w:rsidR="00990B08">
        <w:rPr>
          <w:szCs w:val="24"/>
        </w:rPr>
        <w:t>Apgabaltiesa</w:t>
      </w:r>
      <w:r w:rsidR="004F7586">
        <w:rPr>
          <w:szCs w:val="24"/>
        </w:rPr>
        <w:t xml:space="preserve"> nav konstatējusi nevienu no Eiropas Savienības Tiesas sprieduma 36.punktā minētajām</w:t>
      </w:r>
      <w:r w:rsidR="00D17F56">
        <w:rPr>
          <w:szCs w:val="24"/>
        </w:rPr>
        <w:t xml:space="preserve"> pazīmēm, lai pieteicēju varētu atzīt par </w:t>
      </w:r>
      <w:r w:rsidR="00AE4083">
        <w:t>„</w:t>
      </w:r>
      <w:r w:rsidR="00D17F56">
        <w:rPr>
          <w:szCs w:val="24"/>
        </w:rPr>
        <w:t>vadītāju” direktīvas izpratnē</w:t>
      </w:r>
      <w:r w:rsidR="008631FB">
        <w:t>.</w:t>
      </w:r>
      <w:r w:rsidR="004F7586">
        <w:rPr>
          <w:szCs w:val="24"/>
        </w:rPr>
        <w:t xml:space="preserve"> </w:t>
      </w:r>
      <w:r w:rsidR="00751C3B">
        <w:rPr>
          <w:szCs w:val="24"/>
        </w:rPr>
        <w:t>A</w:t>
      </w:r>
      <w:r w:rsidR="005C19EF">
        <w:rPr>
          <w:szCs w:val="24"/>
        </w:rPr>
        <w:t xml:space="preserve">pgabaltiesa </w:t>
      </w:r>
      <w:r w:rsidR="00751C3B">
        <w:rPr>
          <w:szCs w:val="24"/>
        </w:rPr>
        <w:t xml:space="preserve">nepamatoti </w:t>
      </w:r>
      <w:r w:rsidR="00062298">
        <w:rPr>
          <w:szCs w:val="24"/>
        </w:rPr>
        <w:t>paplašināja direktīvā 94/19</w:t>
      </w:r>
      <w:r w:rsidR="00253C65">
        <w:rPr>
          <w:szCs w:val="24"/>
        </w:rPr>
        <w:t xml:space="preserve"> </w:t>
      </w:r>
      <w:r w:rsidR="00E75D6B">
        <w:rPr>
          <w:szCs w:val="24"/>
        </w:rPr>
        <w:t xml:space="preserve">lietotā jēdziena </w:t>
      </w:r>
      <w:r w:rsidR="00DA11CB">
        <w:t>„</w:t>
      </w:r>
      <w:r w:rsidR="00751C3B">
        <w:rPr>
          <w:szCs w:val="24"/>
        </w:rPr>
        <w:t>vadītājs” saturu</w:t>
      </w:r>
      <w:r w:rsidR="00B34AAF">
        <w:rPr>
          <w:szCs w:val="24"/>
        </w:rPr>
        <w:t>,</w:t>
      </w:r>
      <w:r w:rsidR="0018088E">
        <w:rPr>
          <w:szCs w:val="24"/>
        </w:rPr>
        <w:t xml:space="preserve"> attiecinot t</w:t>
      </w:r>
      <w:r w:rsidR="00751C3B">
        <w:rPr>
          <w:szCs w:val="24"/>
        </w:rPr>
        <w:t xml:space="preserve">o </w:t>
      </w:r>
      <w:r w:rsidR="0018088E">
        <w:rPr>
          <w:szCs w:val="24"/>
        </w:rPr>
        <w:t>arī uz</w:t>
      </w:r>
      <w:r w:rsidR="00751C3B">
        <w:rPr>
          <w:szCs w:val="24"/>
        </w:rPr>
        <w:t xml:space="preserve"> pieteicēja ieņemamajiem amatiem Latvijas </w:t>
      </w:r>
      <w:r w:rsidR="005534A1">
        <w:rPr>
          <w:szCs w:val="24"/>
        </w:rPr>
        <w:t>K</w:t>
      </w:r>
      <w:r w:rsidR="00751C3B">
        <w:rPr>
          <w:szCs w:val="24"/>
        </w:rPr>
        <w:t>rājbankas meitas sabiedrību pārvaldes institūcijās</w:t>
      </w:r>
      <w:r w:rsidR="0018088E">
        <w:rPr>
          <w:szCs w:val="24"/>
        </w:rPr>
        <w:t>.</w:t>
      </w:r>
      <w:r w:rsidR="007F73BE">
        <w:rPr>
          <w:szCs w:val="24"/>
        </w:rPr>
        <w:t xml:space="preserve"> Šāda pazīme ne Eiropas Savienības Tiesas spriedumā, ne Noguldījumu garantiju likumā nav minēta.</w:t>
      </w:r>
    </w:p>
    <w:p w14:paraId="4A635B76" w14:textId="6F177BCA" w:rsidR="00C96487" w:rsidRDefault="00216ADF" w:rsidP="00216ADF">
      <w:pPr>
        <w:pStyle w:val="NoSpacing"/>
        <w:spacing w:line="276" w:lineRule="auto"/>
        <w:ind w:firstLine="567"/>
        <w:jc w:val="both"/>
        <w:rPr>
          <w:szCs w:val="24"/>
        </w:rPr>
      </w:pPr>
      <w:r>
        <w:rPr>
          <w:szCs w:val="24"/>
        </w:rPr>
        <w:t>[5.</w:t>
      </w:r>
      <w:r w:rsidR="007A466E">
        <w:rPr>
          <w:szCs w:val="24"/>
        </w:rPr>
        <w:t>3</w:t>
      </w:r>
      <w:r>
        <w:rPr>
          <w:szCs w:val="24"/>
        </w:rPr>
        <w:t xml:space="preserve">] </w:t>
      </w:r>
      <w:r w:rsidR="00C96487">
        <w:rPr>
          <w:szCs w:val="24"/>
        </w:rPr>
        <w:t xml:space="preserve">Tiesa jēdziena </w:t>
      </w:r>
      <w:r w:rsidR="00136A02">
        <w:t>„</w:t>
      </w:r>
      <w:r w:rsidR="00C96487">
        <w:rPr>
          <w:szCs w:val="24"/>
        </w:rPr>
        <w:t xml:space="preserve">vadītājs” interpretācijā nepamatoti </w:t>
      </w:r>
      <w:r w:rsidR="00292089">
        <w:rPr>
          <w:szCs w:val="24"/>
        </w:rPr>
        <w:t xml:space="preserve">piemēroja direktīvu </w:t>
      </w:r>
      <w:r w:rsidR="00292089">
        <w:t>2013/36/ES un grozījumus Kredītiestāžu likumā</w:t>
      </w:r>
      <w:r w:rsidR="00F138F5">
        <w:t>, jo intertemporalitātes dēļ šīs tiesību normas nav piemērojamas</w:t>
      </w:r>
      <w:r w:rsidR="00292089">
        <w:t>.</w:t>
      </w:r>
      <w:r w:rsidR="009B477D">
        <w:t xml:space="preserve"> Tāpat tiesa ir nepareizi piemērojusi Eiropas Banku iestādes </w:t>
      </w:r>
      <w:r w:rsidR="001B3942">
        <w:t>pamatnostādn</w:t>
      </w:r>
      <w:r w:rsidR="006B3B58">
        <w:t>ē</w:t>
      </w:r>
      <w:r w:rsidR="000F06CE">
        <w:t>s</w:t>
      </w:r>
      <w:r w:rsidR="006B3B58">
        <w:t xml:space="preserve"> lietoto</w:t>
      </w:r>
      <w:r w:rsidR="001B3942">
        <w:t>s</w:t>
      </w:r>
      <w:r w:rsidR="006B3B58">
        <w:t xml:space="preserve"> vadības jēdzienus</w:t>
      </w:r>
      <w:r w:rsidR="00460B3A">
        <w:t>.</w:t>
      </w:r>
    </w:p>
    <w:p w14:paraId="3B9FF5A4" w14:textId="37C50262" w:rsidR="00AE098E" w:rsidRPr="0069710B" w:rsidRDefault="00216ADF" w:rsidP="00216ADF">
      <w:pPr>
        <w:pStyle w:val="NoSpacing"/>
        <w:spacing w:line="276" w:lineRule="auto"/>
        <w:ind w:firstLine="567"/>
        <w:jc w:val="both"/>
        <w:rPr>
          <w:szCs w:val="24"/>
        </w:rPr>
      </w:pPr>
      <w:r>
        <w:rPr>
          <w:szCs w:val="24"/>
        </w:rPr>
        <w:t>[5.</w:t>
      </w:r>
      <w:r w:rsidR="007A466E">
        <w:rPr>
          <w:szCs w:val="24"/>
        </w:rPr>
        <w:t>4</w:t>
      </w:r>
      <w:r>
        <w:rPr>
          <w:szCs w:val="24"/>
        </w:rPr>
        <w:t xml:space="preserve">] </w:t>
      </w:r>
      <w:r w:rsidR="00AE098E" w:rsidRPr="0069710B">
        <w:rPr>
          <w:szCs w:val="24"/>
        </w:rPr>
        <w:t xml:space="preserve">Tiesa nav ievērojusi Administratīvā procesa likuma </w:t>
      </w:r>
      <w:proofErr w:type="gramStart"/>
      <w:r w:rsidR="00AE098E" w:rsidRPr="0069710B">
        <w:rPr>
          <w:szCs w:val="24"/>
        </w:rPr>
        <w:t>154.pantu</w:t>
      </w:r>
      <w:proofErr w:type="gramEnd"/>
      <w:r w:rsidR="00C46467">
        <w:rPr>
          <w:szCs w:val="24"/>
        </w:rPr>
        <w:t>, jo</w:t>
      </w:r>
      <w:r w:rsidR="00A42DCA" w:rsidRPr="0069710B">
        <w:rPr>
          <w:szCs w:val="24"/>
        </w:rPr>
        <w:t xml:space="preserve"> nepareizi spriedumā atzin</w:t>
      </w:r>
      <w:r w:rsidR="00C46467">
        <w:rPr>
          <w:szCs w:val="24"/>
        </w:rPr>
        <w:t>a</w:t>
      </w:r>
      <w:r w:rsidR="00A42DCA" w:rsidRPr="0069710B">
        <w:rPr>
          <w:szCs w:val="24"/>
        </w:rPr>
        <w:t>, ka pieteicēja pakļautībā bija bankas Revidentu dienests.</w:t>
      </w:r>
      <w:r w:rsidR="005B3404" w:rsidRPr="0069710B">
        <w:rPr>
          <w:szCs w:val="24"/>
        </w:rPr>
        <w:t xml:space="preserve"> </w:t>
      </w:r>
      <w:r w:rsidR="00DB5CA0">
        <w:rPr>
          <w:szCs w:val="24"/>
        </w:rPr>
        <w:t>T</w:t>
      </w:r>
      <w:r w:rsidR="005B3404" w:rsidRPr="0069710B">
        <w:rPr>
          <w:szCs w:val="24"/>
        </w:rPr>
        <w:t xml:space="preserve">iesa </w:t>
      </w:r>
      <w:r w:rsidR="00DB5CA0">
        <w:rPr>
          <w:szCs w:val="24"/>
        </w:rPr>
        <w:t xml:space="preserve">arī </w:t>
      </w:r>
      <w:r w:rsidR="006D00CB" w:rsidRPr="0069710B">
        <w:rPr>
          <w:szCs w:val="24"/>
        </w:rPr>
        <w:t>neizvērtēja ar Latvijas Krājbanka</w:t>
      </w:r>
      <w:r w:rsidR="00C46467">
        <w:rPr>
          <w:szCs w:val="24"/>
        </w:rPr>
        <w:t>s</w:t>
      </w:r>
      <w:r w:rsidR="006D00CB" w:rsidRPr="0069710B">
        <w:rPr>
          <w:szCs w:val="24"/>
        </w:rPr>
        <w:t xml:space="preserve"> saistīto uzņēmumu darbību un ietekmi uz </w:t>
      </w:r>
      <w:r w:rsidR="00460B3A">
        <w:rPr>
          <w:szCs w:val="24"/>
        </w:rPr>
        <w:t>šo banku, lai var</w:t>
      </w:r>
      <w:r w:rsidR="004145D6">
        <w:rPr>
          <w:szCs w:val="24"/>
        </w:rPr>
        <w:t>ētu uzskatīt, ka pieteicēja kā amatpersonas darbība bankas grupas sabiedrībās uzskatāma par izņēmumu noguldījumu nesaņemšanai.</w:t>
      </w:r>
    </w:p>
    <w:p w14:paraId="30842716" w14:textId="0714DC71" w:rsidR="00086558" w:rsidRPr="0069710B" w:rsidRDefault="0069710B" w:rsidP="00AB2001">
      <w:pPr>
        <w:pStyle w:val="NoSpacing"/>
        <w:spacing w:line="276" w:lineRule="auto"/>
        <w:ind w:firstLine="567"/>
        <w:jc w:val="both"/>
        <w:rPr>
          <w:szCs w:val="24"/>
        </w:rPr>
      </w:pPr>
      <w:r w:rsidRPr="0069710B">
        <w:rPr>
          <w:szCs w:val="24"/>
        </w:rPr>
        <w:t xml:space="preserve">Tiesa arī </w:t>
      </w:r>
      <w:r>
        <w:rPr>
          <w:szCs w:val="24"/>
        </w:rPr>
        <w:t>nepamatoti konstatē</w:t>
      </w:r>
      <w:r w:rsidR="00A93BE0">
        <w:rPr>
          <w:szCs w:val="24"/>
        </w:rPr>
        <w:t>ja</w:t>
      </w:r>
      <w:r>
        <w:rPr>
          <w:szCs w:val="24"/>
        </w:rPr>
        <w:t xml:space="preserve"> pieteicēja ietekmi uz Latvijas Krājbanka</w:t>
      </w:r>
      <w:r w:rsidR="000B01CD">
        <w:rPr>
          <w:szCs w:val="24"/>
        </w:rPr>
        <w:t>s</w:t>
      </w:r>
      <w:r>
        <w:rPr>
          <w:szCs w:val="24"/>
        </w:rPr>
        <w:t xml:space="preserve"> darbību no Snoras Bankas Latvijas filiāles vadītāja pozīcijas, lai gan filiāles vadītājam nav nekādas iespējas ietekmēt meitas sabiedrības kredītiestādes darbību, gan arī no AS </w:t>
      </w:r>
      <w:r w:rsidR="009F5217" w:rsidRPr="00086F26">
        <w:rPr>
          <w:rFonts w:ascii="TimesNewRomanPSMT" w:hAnsi="TimesNewRomanPSMT" w:cs="TimesNewRomanPSMT"/>
          <w:color w:val="000000"/>
          <w:szCs w:val="24"/>
        </w:rPr>
        <w:t>„</w:t>
      </w:r>
      <w:r w:rsidR="00086558" w:rsidRPr="0069710B">
        <w:rPr>
          <w:szCs w:val="24"/>
        </w:rPr>
        <w:t>Conversgroup</w:t>
      </w:r>
      <w:r>
        <w:rPr>
          <w:szCs w:val="24"/>
        </w:rPr>
        <w:t xml:space="preserve"> Baltic” valdes priekšsēdētāja amata pozīcijām, jo šī sabiedrība neietilpst Latvijas Krājbanka</w:t>
      </w:r>
      <w:r w:rsidR="003B7F55">
        <w:rPr>
          <w:szCs w:val="24"/>
        </w:rPr>
        <w:t>s</w:t>
      </w:r>
      <w:r>
        <w:rPr>
          <w:szCs w:val="24"/>
        </w:rPr>
        <w:t xml:space="preserve"> grupā. Tas pats attiecas uz tiesas konstatēto par īpašo saistību starp pieteicēju un Latvijas Krājbanka</w:t>
      </w:r>
      <w:r w:rsidR="004E6D0C">
        <w:rPr>
          <w:szCs w:val="24"/>
        </w:rPr>
        <w:t>s</w:t>
      </w:r>
      <w:r>
        <w:rPr>
          <w:szCs w:val="24"/>
        </w:rPr>
        <w:t xml:space="preserve"> valdi uz tā pamata, ka </w:t>
      </w:r>
      <w:r w:rsidR="004A11A9">
        <w:rPr>
          <w:szCs w:val="24"/>
        </w:rPr>
        <w:t xml:space="preserve">AS </w:t>
      </w:r>
      <w:r w:rsidR="00DC4EDC" w:rsidRPr="00086F26">
        <w:rPr>
          <w:rFonts w:ascii="TimesNewRomanPSMT" w:hAnsi="TimesNewRomanPSMT" w:cs="TimesNewRomanPSMT"/>
          <w:color w:val="000000"/>
          <w:szCs w:val="24"/>
        </w:rPr>
        <w:t>„</w:t>
      </w:r>
      <w:r w:rsidR="004A11A9" w:rsidRPr="0069710B">
        <w:rPr>
          <w:szCs w:val="24"/>
        </w:rPr>
        <w:t>Conversgroup</w:t>
      </w:r>
      <w:r w:rsidR="004A11A9">
        <w:rPr>
          <w:szCs w:val="24"/>
        </w:rPr>
        <w:t xml:space="preserve"> Baltic” </w:t>
      </w:r>
      <w:r w:rsidR="003421E6">
        <w:rPr>
          <w:szCs w:val="24"/>
        </w:rPr>
        <w:t xml:space="preserve">padome ir iecēlusi pieteicēju šīs sabiedrības valdē. Šāds secinājums ir pretrunā lietas materiāliem un Komerclikumā noteikto </w:t>
      </w:r>
      <w:r w:rsidR="00521FD8">
        <w:rPr>
          <w:szCs w:val="24"/>
        </w:rPr>
        <w:t xml:space="preserve">akciju sabiedrību </w:t>
      </w:r>
      <w:r w:rsidR="001A14DD">
        <w:rPr>
          <w:szCs w:val="24"/>
        </w:rPr>
        <w:t>pārvaldes institūciju hierarhijai, kurā sabiedrības padome uzrauga valdes locekļus, nevis otrādi</w:t>
      </w:r>
      <w:r w:rsidR="003421E6">
        <w:rPr>
          <w:szCs w:val="24"/>
        </w:rPr>
        <w:t>.</w:t>
      </w:r>
      <w:r w:rsidR="004F7054">
        <w:rPr>
          <w:szCs w:val="24"/>
        </w:rPr>
        <w:t xml:space="preserve"> Turklāt ne </w:t>
      </w:r>
      <w:r w:rsidR="00B05FE9">
        <w:rPr>
          <w:szCs w:val="24"/>
        </w:rPr>
        <w:t>[pers. D]</w:t>
      </w:r>
      <w:r w:rsidR="00163D8B">
        <w:rPr>
          <w:szCs w:val="24"/>
        </w:rPr>
        <w:t xml:space="preserve"> (</w:t>
      </w:r>
      <w:r w:rsidR="00B05FE9">
        <w:rPr>
          <w:szCs w:val="24"/>
        </w:rPr>
        <w:t>[</w:t>
      </w:r>
      <w:r w:rsidR="00B05FE9">
        <w:rPr>
          <w:i/>
          <w:szCs w:val="24"/>
        </w:rPr>
        <w:t>pers. D</w:t>
      </w:r>
      <w:r w:rsidR="00B05FE9">
        <w:rPr>
          <w:szCs w:val="24"/>
        </w:rPr>
        <w:t>]</w:t>
      </w:r>
      <w:r w:rsidR="00163D8B">
        <w:rPr>
          <w:szCs w:val="24"/>
        </w:rPr>
        <w:t>)</w:t>
      </w:r>
      <w:r w:rsidR="004F7054">
        <w:rPr>
          <w:szCs w:val="24"/>
        </w:rPr>
        <w:t xml:space="preserve">, ne arī </w:t>
      </w:r>
      <w:r w:rsidR="00B05FE9">
        <w:rPr>
          <w:szCs w:val="24"/>
        </w:rPr>
        <w:t>[pers. C]</w:t>
      </w:r>
      <w:r w:rsidR="004F7054">
        <w:rPr>
          <w:szCs w:val="24"/>
        </w:rPr>
        <w:t xml:space="preserve"> nebija Latvijas Krājbanka</w:t>
      </w:r>
      <w:r w:rsidR="004E6D0C">
        <w:rPr>
          <w:szCs w:val="24"/>
        </w:rPr>
        <w:t>s</w:t>
      </w:r>
      <w:r w:rsidR="005E2A20">
        <w:rPr>
          <w:szCs w:val="24"/>
        </w:rPr>
        <w:t xml:space="preserve"> valdē</w:t>
      </w:r>
      <w:r w:rsidR="004F7054">
        <w:rPr>
          <w:szCs w:val="24"/>
        </w:rPr>
        <w:t>.</w:t>
      </w:r>
      <w:r w:rsidR="007B602A">
        <w:rPr>
          <w:szCs w:val="24"/>
        </w:rPr>
        <w:t xml:space="preserve"> Tiesai bija jāvāc pierādījumi, ko tiesa nav darījusi.</w:t>
      </w:r>
    </w:p>
    <w:p w14:paraId="68E9A2C6" w14:textId="71C92EC2" w:rsidR="00101FF4" w:rsidRDefault="003517C6" w:rsidP="00AB2001">
      <w:pPr>
        <w:pStyle w:val="NoSpacing"/>
        <w:spacing w:line="276" w:lineRule="auto"/>
        <w:ind w:firstLine="567"/>
        <w:jc w:val="both"/>
        <w:rPr>
          <w:szCs w:val="24"/>
        </w:rPr>
      </w:pPr>
      <w:r w:rsidRPr="006F2774">
        <w:rPr>
          <w:szCs w:val="24"/>
        </w:rPr>
        <w:t>[5.</w:t>
      </w:r>
      <w:r w:rsidR="002C395F">
        <w:rPr>
          <w:szCs w:val="24"/>
        </w:rPr>
        <w:t>5</w:t>
      </w:r>
      <w:r w:rsidRPr="006F2774">
        <w:rPr>
          <w:szCs w:val="24"/>
        </w:rPr>
        <w:t>] Apgabaltiesas</w:t>
      </w:r>
      <w:r>
        <w:rPr>
          <w:szCs w:val="24"/>
        </w:rPr>
        <w:t xml:space="preserve"> spriedums ir pretrunā citiem spriedumiem saistībā ar garantēto atlīdzību Latvijas Krājbanka</w:t>
      </w:r>
      <w:r w:rsidR="004E6D0C">
        <w:rPr>
          <w:szCs w:val="24"/>
        </w:rPr>
        <w:t>s</w:t>
      </w:r>
      <w:r>
        <w:rPr>
          <w:szCs w:val="24"/>
        </w:rPr>
        <w:t xml:space="preserve"> viceprezidentiem. Tā lietā Nr. A43010612 tiesa atzina, ka valdes locekļa amats Latvijas Krājbanka</w:t>
      </w:r>
      <w:r w:rsidR="004E6D0C">
        <w:rPr>
          <w:szCs w:val="24"/>
        </w:rPr>
        <w:t>s</w:t>
      </w:r>
      <w:r>
        <w:rPr>
          <w:szCs w:val="24"/>
        </w:rPr>
        <w:t xml:space="preserve"> meitas sabiedrībās nav šķērslis garantētās atlīdzības saņemšanai.</w:t>
      </w:r>
    </w:p>
    <w:p w14:paraId="66D64E65" w14:textId="77777777" w:rsidR="003517C6" w:rsidRPr="0069710B" w:rsidRDefault="003517C6" w:rsidP="00AB2001">
      <w:pPr>
        <w:pStyle w:val="NoSpacing"/>
        <w:spacing w:line="276" w:lineRule="auto"/>
        <w:ind w:firstLine="567"/>
        <w:jc w:val="both"/>
        <w:rPr>
          <w:szCs w:val="24"/>
        </w:rPr>
      </w:pPr>
    </w:p>
    <w:p w14:paraId="5334858F" w14:textId="1894AF79" w:rsidR="006F2774" w:rsidRDefault="006F2774" w:rsidP="00AB2001">
      <w:pPr>
        <w:pStyle w:val="NoSpacing"/>
        <w:spacing w:line="276" w:lineRule="auto"/>
        <w:ind w:firstLine="567"/>
        <w:jc w:val="both"/>
        <w:rPr>
          <w:szCs w:val="24"/>
        </w:rPr>
      </w:pPr>
      <w:r w:rsidRPr="0069710B">
        <w:rPr>
          <w:szCs w:val="24"/>
        </w:rPr>
        <w:t>[6] Finanšu un kapitāla tirgus komisija paskaidrojumos</w:t>
      </w:r>
      <w:r>
        <w:rPr>
          <w:szCs w:val="24"/>
        </w:rPr>
        <w:t xml:space="preserve"> kasācijas sūdzībai nepiekrīt.</w:t>
      </w:r>
    </w:p>
    <w:p w14:paraId="2ED1FE30" w14:textId="77777777" w:rsidR="004222C2" w:rsidRDefault="004222C2" w:rsidP="00AB2001">
      <w:pPr>
        <w:pStyle w:val="NoSpacing"/>
        <w:spacing w:line="276" w:lineRule="auto"/>
        <w:ind w:firstLine="567"/>
        <w:jc w:val="both"/>
        <w:rPr>
          <w:szCs w:val="24"/>
        </w:rPr>
      </w:pPr>
    </w:p>
    <w:p w14:paraId="01B54B91" w14:textId="77777777" w:rsidR="00605DFD" w:rsidRDefault="00605DFD" w:rsidP="007172E1">
      <w:pPr>
        <w:pStyle w:val="NoSpacing"/>
        <w:spacing w:line="276" w:lineRule="auto"/>
        <w:jc w:val="center"/>
        <w:rPr>
          <w:b/>
          <w:szCs w:val="24"/>
        </w:rPr>
      </w:pPr>
    </w:p>
    <w:p w14:paraId="49115699" w14:textId="0A26F5DD" w:rsidR="004222C2" w:rsidRPr="007172E1" w:rsidRDefault="004222C2" w:rsidP="007172E1">
      <w:pPr>
        <w:pStyle w:val="NoSpacing"/>
        <w:spacing w:line="276" w:lineRule="auto"/>
        <w:jc w:val="center"/>
        <w:rPr>
          <w:b/>
          <w:szCs w:val="24"/>
        </w:rPr>
      </w:pPr>
      <w:r w:rsidRPr="007172E1">
        <w:rPr>
          <w:b/>
          <w:szCs w:val="24"/>
        </w:rPr>
        <w:t>Motīvu daļa</w:t>
      </w:r>
    </w:p>
    <w:p w14:paraId="06B28863" w14:textId="77777777" w:rsidR="004222C2" w:rsidRDefault="004222C2" w:rsidP="00AB2001">
      <w:pPr>
        <w:pStyle w:val="NoSpacing"/>
        <w:spacing w:line="276" w:lineRule="auto"/>
        <w:ind w:firstLine="567"/>
        <w:jc w:val="both"/>
        <w:rPr>
          <w:szCs w:val="24"/>
        </w:rPr>
      </w:pPr>
    </w:p>
    <w:p w14:paraId="60458881" w14:textId="4B5A90CF" w:rsidR="004A51F3" w:rsidRDefault="007172E1" w:rsidP="004A51F3">
      <w:pPr>
        <w:pStyle w:val="NoSpacing"/>
        <w:spacing w:line="276" w:lineRule="auto"/>
        <w:ind w:firstLine="567"/>
        <w:jc w:val="both"/>
      </w:pPr>
      <w:r w:rsidRPr="007560A7">
        <w:t>[7]</w:t>
      </w:r>
      <w:r w:rsidR="004A51F3">
        <w:t xml:space="preserve"> Finanšu un kapitāla tirgus komisija pārsūdzēto lēmumu par atteikumu pieteicējam piešķirt garantēto noguldījumu ir pamatojusi ar Noguldījumu garantiju likuma </w:t>
      </w:r>
      <w:proofErr w:type="gramStart"/>
      <w:r w:rsidR="004A51F3">
        <w:t>17.panta</w:t>
      </w:r>
      <w:proofErr w:type="gramEnd"/>
      <w:r w:rsidR="004A51F3">
        <w:t xml:space="preserve"> 4.punktu. </w:t>
      </w:r>
      <w:r w:rsidR="00427961">
        <w:t xml:space="preserve">Pārbaudot komisijas lēmuma tiesiskumu un pieteicēja prasījumu par labvēlīga administratīvā akta izdošanu par pieteicēja atzīšanu par personu, kurai pienākas garantētā atlīdzība, </w:t>
      </w:r>
      <w:r w:rsidR="00EA5A5C">
        <w:t xml:space="preserve">apgabaltiesa spriedumā piemēroja šo likuma normu. Tāpat tiesa spriedumā </w:t>
      </w:r>
      <w:r w:rsidR="001D5043">
        <w:t>ir atsaukusies uz</w:t>
      </w:r>
      <w:r w:rsidR="00EA5A5C">
        <w:t xml:space="preserve"> d</w:t>
      </w:r>
      <w:r w:rsidR="00DA7DDD">
        <w:t>irektīv</w:t>
      </w:r>
      <w:r w:rsidR="00660767">
        <w:t>as</w:t>
      </w:r>
      <w:r w:rsidR="00DA7DDD">
        <w:t xml:space="preserve"> 94/19</w:t>
      </w:r>
      <w:r w:rsidR="004A51F3">
        <w:t xml:space="preserve"> </w:t>
      </w:r>
      <w:proofErr w:type="gramStart"/>
      <w:r w:rsidR="004A51F3">
        <w:t>7.panta</w:t>
      </w:r>
      <w:proofErr w:type="gramEnd"/>
      <w:r w:rsidR="004A51F3">
        <w:t xml:space="preserve"> 2.punkt</w:t>
      </w:r>
      <w:r w:rsidR="00EA5A5C">
        <w:t xml:space="preserve">u un I pielikuma 7.punktu. </w:t>
      </w:r>
    </w:p>
    <w:p w14:paraId="23B75D05" w14:textId="184BE729" w:rsidR="004A51F3" w:rsidRDefault="004A51F3" w:rsidP="00524110">
      <w:pPr>
        <w:pStyle w:val="NoSpacing"/>
        <w:spacing w:line="276" w:lineRule="auto"/>
        <w:ind w:firstLine="567"/>
        <w:jc w:val="both"/>
      </w:pPr>
      <w:r>
        <w:t xml:space="preserve">Pieteicējs kasācijas sūdzībā iebilst, ka apgabaltiesa, ņemot vērā, ka direktīva nav tieši piemērojama Latvijas tiesību sistēmā, </w:t>
      </w:r>
      <w:r w:rsidR="00A00917">
        <w:t xml:space="preserve">nepamatoti </w:t>
      </w:r>
      <w:r w:rsidR="00BA7D1D">
        <w:t xml:space="preserve">ir </w:t>
      </w:r>
      <w:r w:rsidR="00A00917">
        <w:t>atsaukusies uz tās regulējumu.</w:t>
      </w:r>
    </w:p>
    <w:p w14:paraId="5BDA9B11" w14:textId="77777777" w:rsidR="00A00917" w:rsidRDefault="00A00917" w:rsidP="00524110">
      <w:pPr>
        <w:pStyle w:val="NoSpacing"/>
        <w:spacing w:line="276" w:lineRule="auto"/>
        <w:ind w:firstLine="567"/>
        <w:jc w:val="both"/>
      </w:pPr>
    </w:p>
    <w:p w14:paraId="51A5F003" w14:textId="5A54DBFB" w:rsidR="007560A7" w:rsidRDefault="00A00917" w:rsidP="00524110">
      <w:pPr>
        <w:pStyle w:val="NoSpacing"/>
        <w:spacing w:line="276" w:lineRule="auto"/>
        <w:ind w:firstLine="567"/>
        <w:jc w:val="both"/>
      </w:pPr>
      <w:r>
        <w:t xml:space="preserve">[8] </w:t>
      </w:r>
      <w:r w:rsidR="007560A7" w:rsidRPr="007560A7">
        <w:t xml:space="preserve">Latvijā izveidotā noguldījumu garantiju sistēma ir regulēta Noguldījumu garantiju likumā. </w:t>
      </w:r>
      <w:r w:rsidR="004C5858">
        <w:t>Kā izriet no šā likuma informatīvajām atsaucēm uz Eiropas Savienības direktīvām</w:t>
      </w:r>
      <w:r w:rsidR="007A101A">
        <w:t>,</w:t>
      </w:r>
      <w:r w:rsidR="007560A7" w:rsidRPr="007560A7">
        <w:t xml:space="preserve"> likums </w:t>
      </w:r>
      <w:r w:rsidR="002D339D" w:rsidRPr="007560A7">
        <w:t>Latvijas</w:t>
      </w:r>
      <w:r w:rsidR="002D339D">
        <w:t xml:space="preserve"> tiesībās</w:t>
      </w:r>
      <w:r w:rsidR="002D339D" w:rsidRPr="007560A7">
        <w:t xml:space="preserve"> </w:t>
      </w:r>
      <w:r w:rsidR="003F188A">
        <w:t xml:space="preserve">transponē jeb </w:t>
      </w:r>
      <w:r w:rsidR="007560A7" w:rsidRPr="007560A7">
        <w:t xml:space="preserve">ievieš </w:t>
      </w:r>
      <w:r w:rsidR="002D339D">
        <w:t xml:space="preserve">direktīvu 94/19. </w:t>
      </w:r>
      <w:r w:rsidR="00B43171">
        <w:t xml:space="preserve">Tas nozīmē, ka konkrētajā nacionālajā normatīvajā aktā, kuru </w:t>
      </w:r>
      <w:r w:rsidR="00CB29EB">
        <w:t>šajā</w:t>
      </w:r>
      <w:r w:rsidR="00B43171">
        <w:t xml:space="preserve"> </w:t>
      </w:r>
      <w:r w:rsidR="00CB29EB">
        <w:t>liet</w:t>
      </w:r>
      <w:r w:rsidR="00B43171">
        <w:t xml:space="preserve">ā ir piemērojusi </w:t>
      </w:r>
      <w:r w:rsidR="003F5EE8">
        <w:t xml:space="preserve">arī </w:t>
      </w:r>
      <w:r w:rsidR="00B43171" w:rsidRPr="00B43171">
        <w:t xml:space="preserve">Finanšu un kapitāla tirgus komisija, </w:t>
      </w:r>
      <w:r w:rsidR="00AB4A06">
        <w:t xml:space="preserve">atsakot pieteicējam garantētā noguldījuma izmaksu, </w:t>
      </w:r>
      <w:r w:rsidR="00B43171" w:rsidRPr="00B43171">
        <w:t xml:space="preserve">ir </w:t>
      </w:r>
      <w:r w:rsidR="003F5EE8">
        <w:t>pārņemt</w:t>
      </w:r>
      <w:r w:rsidR="00724070">
        <w:t>a</w:t>
      </w:r>
      <w:r w:rsidR="003F5EE8">
        <w:t>s Eiropas Savienības tiesības. Tādējādi direktīva, kā pamatoti norāda pieteicējs kasācijas sūdzībā, nav tieši piemērojam</w:t>
      </w:r>
      <w:r w:rsidR="002858C9">
        <w:t>a</w:t>
      </w:r>
      <w:r w:rsidR="004C5858">
        <w:t>,</w:t>
      </w:r>
      <w:r w:rsidR="003F5EE8">
        <w:t xml:space="preserve"> </w:t>
      </w:r>
      <w:r w:rsidR="004E03DD">
        <w:t xml:space="preserve">bet </w:t>
      </w:r>
      <w:r w:rsidR="003F5EE8">
        <w:t>tā tiek piemērota</w:t>
      </w:r>
      <w:r w:rsidR="002858C9">
        <w:t xml:space="preserve"> netieši</w:t>
      </w:r>
      <w:r w:rsidR="00524110">
        <w:t>, proti,</w:t>
      </w:r>
      <w:r w:rsidR="00524110" w:rsidRPr="00524110">
        <w:t xml:space="preserve"> </w:t>
      </w:r>
      <w:r w:rsidR="00524110">
        <w:t xml:space="preserve">piemērojot </w:t>
      </w:r>
      <w:r w:rsidR="002858C9">
        <w:t>nacionāl</w:t>
      </w:r>
      <w:r w:rsidR="00524110">
        <w:t>o</w:t>
      </w:r>
      <w:r w:rsidR="002858C9">
        <w:t xml:space="preserve"> normatīv</w:t>
      </w:r>
      <w:r w:rsidR="00524110">
        <w:t>o</w:t>
      </w:r>
      <w:r w:rsidR="002858C9">
        <w:t xml:space="preserve"> akt</w:t>
      </w:r>
      <w:r w:rsidR="00524110">
        <w:t>u</w:t>
      </w:r>
      <w:r w:rsidR="004E03DD" w:rsidRPr="004E03DD">
        <w:t xml:space="preserve"> </w:t>
      </w:r>
      <w:r w:rsidR="004E03DD">
        <w:t xml:space="preserve">– </w:t>
      </w:r>
      <w:r w:rsidR="004E03DD" w:rsidRPr="007560A7">
        <w:t>Noguldījumu garantiju likum</w:t>
      </w:r>
      <w:r w:rsidR="004E03DD">
        <w:t>u</w:t>
      </w:r>
      <w:r w:rsidR="002858C9">
        <w:t>.</w:t>
      </w:r>
    </w:p>
    <w:p w14:paraId="1F086E52" w14:textId="74D6950B" w:rsidR="00467A7D" w:rsidRDefault="004C5858" w:rsidP="00524110">
      <w:pPr>
        <w:pStyle w:val="NoSpacing"/>
        <w:spacing w:line="276" w:lineRule="auto"/>
        <w:ind w:firstLine="567"/>
        <w:jc w:val="both"/>
      </w:pPr>
      <w:r>
        <w:t>Tā kā</w:t>
      </w:r>
      <w:r w:rsidR="00342CB6">
        <w:t xml:space="preserve"> šis likums ievieš Eiropas Savienības tiesības, tad šaubu gadījumā par </w:t>
      </w:r>
      <w:r w:rsidR="003306D4">
        <w:t>šā regulējuma i</w:t>
      </w:r>
      <w:r w:rsidR="00395522">
        <w:t>nterpretāciju</w:t>
      </w:r>
      <w:r w:rsidR="003306D4">
        <w:t xml:space="preserve"> un </w:t>
      </w:r>
      <w:r w:rsidR="00395522">
        <w:t xml:space="preserve">spēkā esību </w:t>
      </w:r>
      <w:r w:rsidR="003306D4">
        <w:t>nacionālajās tiesību normās, interpretāciju sniedz Eiropas Savienības Tiesa.</w:t>
      </w:r>
    </w:p>
    <w:p w14:paraId="7266BA9C" w14:textId="7EDFE145" w:rsidR="002858C9" w:rsidRDefault="00467A7D" w:rsidP="00524110">
      <w:pPr>
        <w:pStyle w:val="NoSpacing"/>
        <w:spacing w:line="276" w:lineRule="auto"/>
        <w:ind w:firstLine="567"/>
        <w:jc w:val="both"/>
      </w:pPr>
      <w:r>
        <w:t xml:space="preserve">Augstākā tiesa, </w:t>
      </w:r>
      <w:r w:rsidR="003306D4">
        <w:t>izskatot</w:t>
      </w:r>
      <w:r>
        <w:t xml:space="preserve"> konkrēto</w:t>
      </w:r>
      <w:r w:rsidR="003306D4">
        <w:t xml:space="preserve"> lietu kasācijas kārtībā</w:t>
      </w:r>
      <w:r w:rsidRPr="00467A7D">
        <w:t xml:space="preserve"> </w:t>
      </w:r>
      <w:r>
        <w:t>iepriekšējā reizē</w:t>
      </w:r>
      <w:r w:rsidR="003306D4">
        <w:t xml:space="preserve">, </w:t>
      </w:r>
      <w:r w:rsidR="00CD0949">
        <w:t xml:space="preserve">rodoties šaubām par Eiropas Savienības tiesību interpretāciju, </w:t>
      </w:r>
      <w:r w:rsidR="003306D4">
        <w:t xml:space="preserve">uzdeva jautājumu Eiropas Savienības Tiesai par </w:t>
      </w:r>
      <w:r w:rsidR="00F31A66">
        <w:t>direkt</w:t>
      </w:r>
      <w:r w:rsidR="00DA7DDD">
        <w:t>īvas 94/19</w:t>
      </w:r>
      <w:r w:rsidR="00F31A66">
        <w:t xml:space="preserve"> </w:t>
      </w:r>
      <w:r w:rsidR="00395522">
        <w:t>interpretācij</w:t>
      </w:r>
      <w:r w:rsidR="00AD1B70">
        <w:t>u</w:t>
      </w:r>
      <w:r w:rsidR="00963F4A">
        <w:t xml:space="preserve">, tostarp par direktīvas </w:t>
      </w:r>
      <w:proofErr w:type="gramStart"/>
      <w:r w:rsidR="001870A0">
        <w:t>7.panta</w:t>
      </w:r>
      <w:proofErr w:type="gramEnd"/>
      <w:r w:rsidR="001870A0">
        <w:t xml:space="preserve"> </w:t>
      </w:r>
      <w:r w:rsidR="002D4237">
        <w:t xml:space="preserve">2.punkta </w:t>
      </w:r>
      <w:r w:rsidR="001870A0">
        <w:t xml:space="preserve">un </w:t>
      </w:r>
      <w:r w:rsidR="00963F4A">
        <w:t xml:space="preserve">I pielikuma 7.punkta saturu. Eiropas Savienības Tiesa </w:t>
      </w:r>
      <w:proofErr w:type="gramStart"/>
      <w:r w:rsidR="00963F4A">
        <w:t>2015.gada</w:t>
      </w:r>
      <w:proofErr w:type="gramEnd"/>
      <w:r w:rsidR="00963F4A">
        <w:t xml:space="preserve"> 2.septe</w:t>
      </w:r>
      <w:r w:rsidR="00A716A2">
        <w:t>m</w:t>
      </w:r>
      <w:r w:rsidR="00963F4A">
        <w:t>bra spriedumā sniedza atbildes uz Augstākās tiesas uzdotajiem jautājumiem par direktīvas tiesību normu interpretāciju.</w:t>
      </w:r>
      <w:r w:rsidR="00CA5692">
        <w:t xml:space="preserve"> Eiropas Savienības Tiesas sniegtā direkt</w:t>
      </w:r>
      <w:r w:rsidR="00DA7DDD">
        <w:t xml:space="preserve">īvas 94/19 </w:t>
      </w:r>
      <w:r w:rsidR="00CA5692">
        <w:t>tiesību normu interpretācija nacionālajai tiesai un iestādei ir saistoša</w:t>
      </w:r>
      <w:proofErr w:type="gramStart"/>
      <w:r w:rsidR="009D4BB1">
        <w:t xml:space="preserve"> un</w:t>
      </w:r>
      <w:proofErr w:type="gramEnd"/>
      <w:r w:rsidR="009D4BB1">
        <w:t xml:space="preserve"> ir jāņem vērā</w:t>
      </w:r>
      <w:r w:rsidR="00CA5692">
        <w:t xml:space="preserve">, piemērojot </w:t>
      </w:r>
      <w:r w:rsidR="00CA5692" w:rsidRPr="007560A7">
        <w:t>Noguldījumu garantiju likum</w:t>
      </w:r>
      <w:r w:rsidR="009D4BB1">
        <w:t>a normas.</w:t>
      </w:r>
    </w:p>
    <w:p w14:paraId="3C16A308" w14:textId="4FF1907F" w:rsidR="001B6127" w:rsidRDefault="009D4BB1" w:rsidP="001B6127">
      <w:pPr>
        <w:pStyle w:val="NoSpacing"/>
        <w:spacing w:line="276" w:lineRule="auto"/>
        <w:ind w:firstLine="567"/>
        <w:jc w:val="both"/>
      </w:pPr>
      <w:r>
        <w:t xml:space="preserve">Līdz ar to pretēji kasatora uzskatam </w:t>
      </w:r>
      <w:r w:rsidR="00786ACA">
        <w:t>apgabaltiesa</w:t>
      </w:r>
      <w:r w:rsidR="00E65EA6">
        <w:t>i</w:t>
      </w:r>
      <w:r w:rsidR="00786ACA">
        <w:t xml:space="preserve">, piemērojot lietā </w:t>
      </w:r>
      <w:r w:rsidR="002C04E2" w:rsidRPr="007560A7">
        <w:t>Noguldījumu</w:t>
      </w:r>
      <w:r w:rsidR="00786ACA">
        <w:t xml:space="preserve"> garantiju </w:t>
      </w:r>
      <w:r w:rsidR="00E65EA6">
        <w:t>likumu, bija jāņem vērā direktīvas 94/19 normas, tostarp Eiropas Savienības Tiesas sniegtā šīs direktīvas tiesību normu interpret</w:t>
      </w:r>
      <w:r w:rsidR="00D23482">
        <w:t>ācija.</w:t>
      </w:r>
    </w:p>
    <w:p w14:paraId="5E3B329D" w14:textId="77777777" w:rsidR="001B6127" w:rsidRDefault="001B6127" w:rsidP="001B6127">
      <w:pPr>
        <w:pStyle w:val="NoSpacing"/>
        <w:spacing w:line="276" w:lineRule="auto"/>
        <w:ind w:firstLine="567"/>
        <w:jc w:val="both"/>
      </w:pPr>
    </w:p>
    <w:p w14:paraId="2E3DE03C" w14:textId="30466278" w:rsidR="001B6127" w:rsidRDefault="004A4105" w:rsidP="001B6127">
      <w:pPr>
        <w:pStyle w:val="NoSpacing"/>
        <w:spacing w:line="276" w:lineRule="auto"/>
        <w:ind w:firstLine="567"/>
        <w:jc w:val="both"/>
      </w:pPr>
      <w:r w:rsidRPr="0032556A">
        <w:t>[</w:t>
      </w:r>
      <w:r w:rsidR="001B6127">
        <w:t>9</w:t>
      </w:r>
      <w:r w:rsidRPr="0032556A">
        <w:t>]</w:t>
      </w:r>
      <w:r w:rsidR="00207EC6">
        <w:t xml:space="preserve"> </w:t>
      </w:r>
      <w:r w:rsidR="00675916">
        <w:t>Par d</w:t>
      </w:r>
      <w:r w:rsidR="00856EE3" w:rsidRPr="0032556A">
        <w:t xml:space="preserve">irektīvas </w:t>
      </w:r>
      <w:r w:rsidR="00C06DA9" w:rsidRPr="0032556A">
        <w:t xml:space="preserve">94/19 </w:t>
      </w:r>
      <w:proofErr w:type="gramStart"/>
      <w:r w:rsidR="0032556A" w:rsidRPr="0032556A">
        <w:t>7.panta</w:t>
      </w:r>
      <w:proofErr w:type="gramEnd"/>
      <w:r w:rsidR="0032556A" w:rsidRPr="0032556A">
        <w:t xml:space="preserve"> 2.punkta un I pielikuma 7.punkta</w:t>
      </w:r>
      <w:r w:rsidR="0032556A">
        <w:t xml:space="preserve"> interpretācij</w:t>
      </w:r>
      <w:r w:rsidR="00675916">
        <w:t>u</w:t>
      </w:r>
      <w:r w:rsidR="0032556A">
        <w:t xml:space="preserve"> Eiropas Savienības Tiesa </w:t>
      </w:r>
      <w:r w:rsidR="00794B6A">
        <w:t xml:space="preserve">2015.gada </w:t>
      </w:r>
      <w:r w:rsidR="00794B6A" w:rsidRPr="0032556A">
        <w:rPr>
          <w:szCs w:val="24"/>
        </w:rPr>
        <w:t>2.septembra spriedumā</w:t>
      </w:r>
      <w:r w:rsidR="00794B6A">
        <w:t xml:space="preserve"> izteica </w:t>
      </w:r>
      <w:r w:rsidR="00820696">
        <w:t>turpmāk minētās atziņas</w:t>
      </w:r>
      <w:r w:rsidR="0032556A">
        <w:t>.</w:t>
      </w:r>
    </w:p>
    <w:p w14:paraId="35D06FAC" w14:textId="0DC4BE3B" w:rsidR="007E5177" w:rsidRDefault="001B6127" w:rsidP="001B6127">
      <w:pPr>
        <w:pStyle w:val="NoSpacing"/>
        <w:spacing w:line="276" w:lineRule="auto"/>
        <w:ind w:firstLine="567"/>
        <w:jc w:val="both"/>
      </w:pPr>
      <w:r>
        <w:t>Direktīvas 94/19</w:t>
      </w:r>
      <w:r w:rsidRPr="00A202FF">
        <w:t xml:space="preserve"> </w:t>
      </w:r>
      <w:r>
        <w:t>I pielikumā noguldītāji ir uzskaitīti i</w:t>
      </w:r>
      <w:r w:rsidR="00D715E9">
        <w:t>zsmeļoši</w:t>
      </w:r>
      <w:r>
        <w:t xml:space="preserve">, un dalībvalstis nevar paplašināt tajā paredzētās noguldījumu un noguldītāju kategorijas. </w:t>
      </w:r>
      <w:r w:rsidR="00495009">
        <w:t>U</w:t>
      </w:r>
      <w:r>
        <w:t xml:space="preserve">zskaitītās kategorijas </w:t>
      </w:r>
      <w:r w:rsidR="00495009">
        <w:t>kā</w:t>
      </w:r>
      <w:r>
        <w:t xml:space="preserve"> izņēmums jāinterpretē šauri.</w:t>
      </w:r>
      <w:r w:rsidRPr="003F654D">
        <w:t xml:space="preserve"> </w:t>
      </w:r>
      <w:r>
        <w:t xml:space="preserve">Savukārt, vērtējot, vai konkrēta persona atbilst attiecīgajai kategorijai, tā jādefinē funkcionāli. Līdz ar to noguldījuma garantijas var </w:t>
      </w:r>
      <w:r w:rsidRPr="00A01A95">
        <w:t>neattiecināt uz personām, kuras pilda funkcijas, ko, ņemot vērā valsts tiesības un komerciālo praksi, var uzskatīt par tādām, uz kurām attiecas šajā pielikuma punktā minētie jēdzieni.</w:t>
      </w:r>
      <w:r>
        <w:t xml:space="preserve"> Turklāt šādā vērtējumā būtiski ir ievērot direktīvas mērķi – aizsargāt noguldītājus to tiesiskajās attiecībās ar kredītiestādēm.</w:t>
      </w:r>
      <w:r w:rsidR="007E5177">
        <w:t xml:space="preserve"> </w:t>
      </w:r>
      <w:r>
        <w:t xml:space="preserve">Tā kā lielākoties noguldītājiem trūkst informācijas vai kompetences, kas vajadzīga, lai izvērtētu tās kredītiestādes patieso finanšu stāvokli, ar kuru tiem ir darīšana, viņi nevar novērtēt šo kredītiestāžu maksātnespējas riskus. Savukārt garantiju var neattiecināt uz tiem, kuriem šāda aizsardzība nav vajadzīga, jo viņiem atšķirībā no pārējiem piemīt nepieciešamā kompetence un informācija par kredītiestādi, kas tām ļauj zināt un novērtēt patieso finanšu stāvokli un ar šīs iestādes darbību saistītos riskus. </w:t>
      </w:r>
      <w:r w:rsidR="003040B9">
        <w:t>Proti, viņus ir grūti uzskatīt par aizsardzības vērtiem viņu kompetences trūkuma vai vājuma ekonomi</w:t>
      </w:r>
      <w:r w:rsidR="00D715E9">
        <w:t>skā</w:t>
      </w:r>
      <w:r w:rsidR="003040B9">
        <w:t xml:space="preserve"> ziņā dēļ. </w:t>
      </w:r>
      <w:r>
        <w:t xml:space="preserve">Tiesa arī norādīja, ka uzskaitījums </w:t>
      </w:r>
      <w:r w:rsidR="00C30F42">
        <w:t xml:space="preserve">direktīvas </w:t>
      </w:r>
      <w:r>
        <w:t xml:space="preserve">I pielikumā ir balstīts uz pieņēmumu, ka </w:t>
      </w:r>
      <w:r w:rsidRPr="00A01A95">
        <w:t>principā šīm personām ir nepieciešamais kompetences un informācijas līmenis.</w:t>
      </w:r>
      <w:r w:rsidR="007E5177">
        <w:t xml:space="preserve"> </w:t>
      </w:r>
    </w:p>
    <w:p w14:paraId="664AB42E" w14:textId="088299E1" w:rsidR="001B6127" w:rsidRDefault="007E5177" w:rsidP="001B6127">
      <w:pPr>
        <w:pStyle w:val="NoSpacing"/>
        <w:spacing w:line="276" w:lineRule="auto"/>
        <w:ind w:firstLine="567"/>
        <w:jc w:val="both"/>
      </w:pPr>
      <w:r>
        <w:t>Savukārt to, va</w:t>
      </w:r>
      <w:r w:rsidR="001B6127">
        <w:t>i personai ir bijis nepieciešamais kompetences un informācijas līmenis, ir jāpārbauda, ņemot vērā konkrētās lietas apstākļus, vērtējot cita starpā personas amata aprakstu, viņa</w:t>
      </w:r>
      <w:r w:rsidR="004E119E">
        <w:t>s</w:t>
      </w:r>
      <w:r w:rsidR="001B6127">
        <w:t xml:space="preserve"> faktiski veiktās darbības, tiesiskās un faktiskās attiecības ar kredītiestādes valdi (</w:t>
      </w:r>
      <w:r w:rsidR="001B6127" w:rsidRPr="006010A8">
        <w:rPr>
          <w:i/>
        </w:rPr>
        <w:t xml:space="preserve">Eiropas Savienības Tiesas </w:t>
      </w:r>
      <w:proofErr w:type="gramStart"/>
      <w:r w:rsidR="001B6127" w:rsidRPr="006010A8">
        <w:rPr>
          <w:i/>
        </w:rPr>
        <w:t>2015.gada</w:t>
      </w:r>
      <w:proofErr w:type="gramEnd"/>
      <w:r w:rsidR="001B6127" w:rsidRPr="006010A8">
        <w:rPr>
          <w:i/>
        </w:rPr>
        <w:t xml:space="preserve"> 2.septembra sprieduma lietā C-127/2014 18.</w:t>
      </w:r>
      <w:r w:rsidR="001B6127">
        <w:rPr>
          <w:i/>
        </w:rPr>
        <w:t>–</w:t>
      </w:r>
      <w:r w:rsidR="001B6127" w:rsidRPr="006010A8">
        <w:rPr>
          <w:i/>
        </w:rPr>
        <w:t>25., 30</w:t>
      </w:r>
      <w:r w:rsidR="001B6127">
        <w:rPr>
          <w:i/>
        </w:rPr>
        <w:t>.–</w:t>
      </w:r>
      <w:r w:rsidR="001B6127" w:rsidRPr="006010A8">
        <w:rPr>
          <w:i/>
        </w:rPr>
        <w:t>37.punkt</w:t>
      </w:r>
      <w:r w:rsidR="00577E7B">
        <w:rPr>
          <w:i/>
        </w:rPr>
        <w:t>s</w:t>
      </w:r>
      <w:r w:rsidR="001B6127">
        <w:t>).</w:t>
      </w:r>
      <w:r w:rsidR="004F7748" w:rsidRPr="004F7748">
        <w:t xml:space="preserve"> </w:t>
      </w:r>
      <w:r w:rsidR="004F7748">
        <w:lastRenderedPageBreak/>
        <w:t xml:space="preserve">No tiesas sprieduma arī izriet, ka direktīvas I pielikuma 7.punktā minēto personu kategoriju </w:t>
      </w:r>
      <w:r w:rsidR="00BA4634">
        <w:t xml:space="preserve">funkcionālā </w:t>
      </w:r>
      <w:r w:rsidR="004F7748">
        <w:t>vērtēšan</w:t>
      </w:r>
      <w:r w:rsidR="00BA4634">
        <w:t>ā</w:t>
      </w:r>
      <w:r w:rsidR="004F7748">
        <w:t xml:space="preserve"> nav izšķirošs pild</w:t>
      </w:r>
      <w:r w:rsidR="00BA4634">
        <w:t xml:space="preserve">āmo funkciju nosaukums </w:t>
      </w:r>
      <w:r w:rsidR="004F7748">
        <w:t>(</w:t>
      </w:r>
      <w:r w:rsidR="004F7748" w:rsidRPr="00595F12">
        <w:rPr>
          <w:i/>
        </w:rPr>
        <w:t>sprieduma 25.punkts</w:t>
      </w:r>
      <w:r w:rsidR="004F7748">
        <w:t>).</w:t>
      </w:r>
    </w:p>
    <w:p w14:paraId="0150C0AA" w14:textId="5F2B50B1" w:rsidR="007E5177" w:rsidRDefault="008638FE" w:rsidP="004A4105">
      <w:pPr>
        <w:pStyle w:val="NoSpacing"/>
        <w:spacing w:line="276" w:lineRule="auto"/>
        <w:ind w:firstLine="567"/>
        <w:jc w:val="both"/>
      </w:pPr>
      <w:r>
        <w:rPr>
          <w:szCs w:val="24"/>
        </w:rPr>
        <w:t xml:space="preserve">Tātad </w:t>
      </w:r>
      <w:r w:rsidR="004A4105" w:rsidRPr="0032556A">
        <w:rPr>
          <w:szCs w:val="24"/>
        </w:rPr>
        <w:t>Eiropas Savienības Tiesa, ievērojot direktīvas 94/19</w:t>
      </w:r>
      <w:r w:rsidR="004A4105">
        <w:t xml:space="preserve"> pieņemšanas mērķi, uzsvaru lik</w:t>
      </w:r>
      <w:r w:rsidR="00794B6A">
        <w:t>a</w:t>
      </w:r>
      <w:r w:rsidR="004A4105">
        <w:t xml:space="preserve"> uz to, ka direktīvas mērķis ir aizsargāt noguldītājus to tiesiskajās attiecībās ar kredītiestādēm, tā kā noguldītājiem </w:t>
      </w:r>
      <w:r w:rsidR="00D715E9">
        <w:t xml:space="preserve">lielākoties </w:t>
      </w:r>
      <w:r w:rsidR="004A4105">
        <w:t>trūkst informācijas vai kompetences, kas vajadzīga, lai izvērtētu tās kredītiestādes patieso finanšu stāv</w:t>
      </w:r>
      <w:r w:rsidR="0048762F">
        <w:t>okli, ar kuru tiem ir darīšana</w:t>
      </w:r>
      <w:r w:rsidR="007C52A3">
        <w:t>.</w:t>
      </w:r>
      <w:r w:rsidR="007E5177">
        <w:t xml:space="preserve"> </w:t>
      </w:r>
    </w:p>
    <w:p w14:paraId="06996885" w14:textId="5CF83EF9" w:rsidR="004A4105" w:rsidRDefault="007C52A3" w:rsidP="004A4105">
      <w:pPr>
        <w:pStyle w:val="NoSpacing"/>
        <w:spacing w:line="276" w:lineRule="auto"/>
        <w:ind w:firstLine="567"/>
        <w:jc w:val="both"/>
      </w:pPr>
      <w:r>
        <w:t>Tādēļ</w:t>
      </w:r>
      <w:r w:rsidR="004A4105">
        <w:t xml:space="preserve"> dalībvalsts garantiju var neattiecināt uz noguldītājiem, kuriem nav vajadzīga šāda īpaša aizsardzība, proti, uz tām personām, kurām pildāmo funkciju dēļ ir tāds informācijas un kompetences līmenis, kas tām ļauj novērtēt kredītiestādes patieso finanšu stāvokli un ar tās darbību saistītos riskus. Var pieņemt, ka šīm personām ir tāds kompetences un informācijas līmenis par kredītiestādi, kurai tās uztic savus noguldījumus, kāda </w:t>
      </w:r>
      <w:r>
        <w:t>nav lielākai daļai</w:t>
      </w:r>
      <w:r w:rsidR="002F7069" w:rsidRPr="002F7069">
        <w:t xml:space="preserve"> </w:t>
      </w:r>
      <w:r w:rsidR="002F7069">
        <w:t>noguldītāju</w:t>
      </w:r>
      <w:r w:rsidR="004A4105">
        <w:t>.</w:t>
      </w:r>
      <w:r w:rsidR="00B35F1F">
        <w:t xml:space="preserve"> </w:t>
      </w:r>
    </w:p>
    <w:p w14:paraId="1E6E4539" w14:textId="77777777" w:rsidR="005C5A15" w:rsidRDefault="005C5A15" w:rsidP="004A4105">
      <w:pPr>
        <w:pStyle w:val="NoSpacing"/>
        <w:spacing w:line="276" w:lineRule="auto"/>
        <w:ind w:firstLine="567"/>
        <w:jc w:val="both"/>
      </w:pPr>
    </w:p>
    <w:p w14:paraId="166F5732" w14:textId="017A3255" w:rsidR="00D45722" w:rsidRDefault="005C5A15" w:rsidP="00D45722">
      <w:pPr>
        <w:pStyle w:val="NoSpacing"/>
        <w:spacing w:line="276" w:lineRule="auto"/>
        <w:ind w:firstLine="567"/>
        <w:jc w:val="both"/>
      </w:pPr>
      <w:r>
        <w:t>[</w:t>
      </w:r>
      <w:r w:rsidR="00986871">
        <w:t>10</w:t>
      </w:r>
      <w:r>
        <w:t>]</w:t>
      </w:r>
      <w:r w:rsidR="00D45722">
        <w:t xml:space="preserve"> Noguldījumu garantiju likuma </w:t>
      </w:r>
      <w:proofErr w:type="gramStart"/>
      <w:r w:rsidR="00D45722">
        <w:t>17.panta</w:t>
      </w:r>
      <w:proofErr w:type="gramEnd"/>
      <w:r w:rsidR="00D45722">
        <w:t xml:space="preserve"> 4.punkts noteic, ka garantētā atlīdzība netiek izmaksāta par noguldījumiem, ko izdarījuši noguldījumu piesaistītāja akcionāri, kuriem noguldījumu piesaistītājā ir būtiska līdzdalība, padomes un valdes priekšsēdētājs un locekļi, </w:t>
      </w:r>
      <w:r w:rsidR="00D45722" w:rsidRPr="00427961">
        <w:t>iekšējā audita dienesta vadītājs, sabiedrības kontrolieris un citi noguldījumu piesaistītāja darbinieki, kuri plāno, vada un kontrolē noguldījumu piesaistītāja darbību un atbild par to</w:t>
      </w:r>
      <w:r w:rsidR="00D45722">
        <w:t>.</w:t>
      </w:r>
    </w:p>
    <w:p w14:paraId="11B238BD" w14:textId="1BC38725" w:rsidR="004C2B13" w:rsidRDefault="0061291B" w:rsidP="004C2B13">
      <w:pPr>
        <w:pStyle w:val="NoSpacing"/>
        <w:spacing w:line="276" w:lineRule="auto"/>
        <w:ind w:firstLine="567"/>
        <w:jc w:val="both"/>
      </w:pPr>
      <w:r>
        <w:t xml:space="preserve">Savukārt direktīvas 94/19 </w:t>
      </w:r>
      <w:proofErr w:type="gramStart"/>
      <w:r>
        <w:t>7.panta</w:t>
      </w:r>
      <w:proofErr w:type="gramEnd"/>
      <w:r>
        <w:t xml:space="preserve"> 2.punkts noteic, ka dalībvalstis var noteikt, ka garantiju var neattiecināt uz dažu kategoriju noguldītājiem vai noguldījumiem, vai arī tiem var piešķirt zemāku garantiju līmeni. Šie izņēmumi ir uzskaitīti I pielik</w:t>
      </w:r>
      <w:r w:rsidR="00B326F9">
        <w:t xml:space="preserve">umā, tas ir, </w:t>
      </w:r>
      <w:r>
        <w:t>I pielikums noteic 7.panta 2.punktā minēto izņēmumu sarakstu. Šā saraksta 7.punkts noteic – pašas kredītiestādes direktoru, vadītāju, personiski atbildīgu locekļu, personu, kam pieder vismaz pieci procenti kredītiestādes kapitāla, personu, kas atbild par kredītiestādes uzskaites dokumentu likumos noteikto revīziju veikšanu, un noguldī</w:t>
      </w:r>
      <w:r w:rsidR="00B63708">
        <w:t>tā</w:t>
      </w:r>
      <w:r>
        <w:t>ju, kam ir līdzīgs statuss citās tās pašas grupas uzņēmējsabiedrībās, noguldījumi.</w:t>
      </w:r>
    </w:p>
    <w:p w14:paraId="07337175" w14:textId="45CC49E3" w:rsidR="004C2B13" w:rsidRPr="00034E0A" w:rsidRDefault="008D5E9C" w:rsidP="004C2B13">
      <w:pPr>
        <w:pStyle w:val="NoSpacing"/>
        <w:spacing w:line="276" w:lineRule="auto"/>
        <w:ind w:firstLine="567"/>
        <w:jc w:val="both"/>
      </w:pPr>
      <w:r>
        <w:t xml:space="preserve">Kā minēts, </w:t>
      </w:r>
      <w:r w:rsidR="004C2B13">
        <w:t xml:space="preserve">Noguldījumu garantiju likuma </w:t>
      </w:r>
      <w:proofErr w:type="gramStart"/>
      <w:r w:rsidR="004C2B13">
        <w:t>17.panta</w:t>
      </w:r>
      <w:proofErr w:type="gramEnd"/>
      <w:r w:rsidR="004C2B13">
        <w:t xml:space="preserve"> 4.punktā iekļaut</w:t>
      </w:r>
      <w:r w:rsidR="00861CE9">
        <w:t>ā</w:t>
      </w:r>
      <w:r w:rsidR="004C2B13">
        <w:t>s tiesību normas</w:t>
      </w:r>
      <w:r w:rsidR="00E5229B">
        <w:t xml:space="preserve"> </w:t>
      </w:r>
      <w:r w:rsidR="004C2B13">
        <w:t xml:space="preserve">izriet no direktīvas 94/19. Likuma normā noteiktā personu </w:t>
      </w:r>
      <w:r w:rsidR="004C2B13" w:rsidRPr="00034E0A">
        <w:t xml:space="preserve">kategorija – darbinieki, </w:t>
      </w:r>
      <w:proofErr w:type="gramStart"/>
      <w:r w:rsidR="004C2B13" w:rsidRPr="00034E0A">
        <w:t>kuri plāno, vada un kontrolē noguldījumu piesaistītāja darbību</w:t>
      </w:r>
      <w:proofErr w:type="gramEnd"/>
      <w:r w:rsidR="004C2B13" w:rsidRPr="00034E0A">
        <w:t xml:space="preserve"> un atbild par to, – atbilst </w:t>
      </w:r>
      <w:r w:rsidR="008442D4">
        <w:t>„</w:t>
      </w:r>
      <w:r w:rsidR="004C2B13" w:rsidRPr="00034E0A">
        <w:t>vadītāja</w:t>
      </w:r>
      <w:r w:rsidR="00B41769">
        <w:t>”</w:t>
      </w:r>
      <w:r w:rsidR="004C2B13" w:rsidRPr="00034E0A">
        <w:t xml:space="preserve"> kategorijai direktīvā</w:t>
      </w:r>
      <w:r w:rsidR="00F42025">
        <w:t>.</w:t>
      </w:r>
      <w:r w:rsidR="004C2B13" w:rsidRPr="00034E0A">
        <w:t xml:space="preserve"> </w:t>
      </w:r>
      <w:r w:rsidR="00F42025">
        <w:t>N</w:t>
      </w:r>
      <w:r w:rsidR="004C2B13" w:rsidRPr="00034E0A">
        <w:t>av pamata uzskatīt, ka likumā noteiktaja</w:t>
      </w:r>
      <w:r w:rsidR="00B24DA0">
        <w:t>m</w:t>
      </w:r>
      <w:r w:rsidR="004C2B13" w:rsidRPr="00034E0A">
        <w:t xml:space="preserve"> </w:t>
      </w:r>
      <w:r w:rsidR="00B24DA0">
        <w:t xml:space="preserve">uzskaitījumam </w:t>
      </w:r>
      <w:r w:rsidR="004C2B13" w:rsidRPr="00034E0A">
        <w:t xml:space="preserve">atbilst citāds darbinieku loks, nekā direktīvas izpratnē. Tādēļ jēdziens </w:t>
      </w:r>
      <w:r w:rsidR="00D715E9">
        <w:t>„</w:t>
      </w:r>
      <w:r w:rsidR="004C2B13" w:rsidRPr="00034E0A">
        <w:t>darbinieki, kuri plāno, vada un kontrolē noguldījumu piesaistītāja darbību un atbild par to</w:t>
      </w:r>
      <w:r w:rsidR="00D715E9">
        <w:t>”</w:t>
      </w:r>
      <w:r w:rsidR="004C2B13" w:rsidRPr="00034E0A">
        <w:t xml:space="preserve"> ir </w:t>
      </w:r>
      <w:r w:rsidR="009B4C96">
        <w:t>piemērojams</w:t>
      </w:r>
      <w:r w:rsidR="004C2B13" w:rsidRPr="00034E0A">
        <w:t>, ievērojot Eiropas Savienības Tiesas sniegto direktīvas 94/19 I pielikuma 7.punkta interpretāciju</w:t>
      </w:r>
      <w:r w:rsidR="00034E0A">
        <w:t xml:space="preserve"> (</w:t>
      </w:r>
      <w:r w:rsidR="00034E0A" w:rsidRPr="00034E0A">
        <w:rPr>
          <w:i/>
        </w:rPr>
        <w:t xml:space="preserve">sal. Augstākās tiesas </w:t>
      </w:r>
      <w:proofErr w:type="gramStart"/>
      <w:r w:rsidR="00034E0A" w:rsidRPr="00034E0A">
        <w:rPr>
          <w:i/>
        </w:rPr>
        <w:t>2015.gada</w:t>
      </w:r>
      <w:proofErr w:type="gramEnd"/>
      <w:r w:rsidR="00034E0A" w:rsidRPr="00034E0A">
        <w:rPr>
          <w:i/>
        </w:rPr>
        <w:t xml:space="preserve"> 23.decembra sprieduma lietā Nr. SKA-5/2015 (A43010912) 9.punkts</w:t>
      </w:r>
      <w:r w:rsidR="00034E0A">
        <w:t>)</w:t>
      </w:r>
      <w:r w:rsidR="004C2B13" w:rsidRPr="00034E0A">
        <w:t>.</w:t>
      </w:r>
      <w:r w:rsidR="00110E4E">
        <w:t xml:space="preserve"> </w:t>
      </w:r>
      <w:r w:rsidR="00D715E9">
        <w:t xml:space="preserve">Līdz ar to </w:t>
      </w:r>
      <w:r w:rsidR="00216ADF">
        <w:t xml:space="preserve">nepamatots ir </w:t>
      </w:r>
      <w:r w:rsidR="00110E4E">
        <w:t xml:space="preserve">pieteicēja kasācijas sūdzības arguments, ka </w:t>
      </w:r>
      <w:r w:rsidR="00CA1070">
        <w:rPr>
          <w:szCs w:val="24"/>
        </w:rPr>
        <w:t xml:space="preserve">Noguldījumu garantiju likumā </w:t>
      </w:r>
      <w:r w:rsidR="00311A8D">
        <w:rPr>
          <w:szCs w:val="24"/>
        </w:rPr>
        <w:t>nav ietverta tāda pati jēdzienu izpratne kā</w:t>
      </w:r>
      <w:r w:rsidR="00CA1070">
        <w:rPr>
          <w:szCs w:val="24"/>
        </w:rPr>
        <w:t xml:space="preserve"> direkt</w:t>
      </w:r>
      <w:r w:rsidR="00311A8D">
        <w:rPr>
          <w:szCs w:val="24"/>
        </w:rPr>
        <w:t>īvā</w:t>
      </w:r>
      <w:r w:rsidR="00CA1070">
        <w:rPr>
          <w:szCs w:val="24"/>
        </w:rPr>
        <w:t xml:space="preserve"> 94/19.</w:t>
      </w:r>
    </w:p>
    <w:p w14:paraId="2FC21124" w14:textId="038A5D83" w:rsidR="00E2228F" w:rsidRDefault="004C2B13" w:rsidP="004C2B13">
      <w:pPr>
        <w:pStyle w:val="NoSpacing"/>
        <w:spacing w:line="276" w:lineRule="auto"/>
        <w:ind w:firstLine="567"/>
        <w:jc w:val="both"/>
      </w:pPr>
      <w:r>
        <w:t xml:space="preserve">Tādējādi </w:t>
      </w:r>
      <w:r w:rsidR="0079391F">
        <w:t>i</w:t>
      </w:r>
      <w:r>
        <w:t>erobežojums uz garantēto atlīdzību attiecas uz personām, kuru rīcībā savas (vadītājam raksturīgās) kompetences dēļ ir pietiekama informācija, lai tās novērtētu kredītiestādes finanšu stāvokli un noguldījumu pieejamības riskus. Tādēļ</w:t>
      </w:r>
      <w:r w:rsidR="001769A4">
        <w:t xml:space="preserve">, kā jau </w:t>
      </w:r>
      <w:r w:rsidR="00E2228F">
        <w:t>norādīja Augstākā tiesa,</w:t>
      </w:r>
      <w:r w:rsidR="00341A29">
        <w:t xml:space="preserve"> </w:t>
      </w:r>
      <w:r w:rsidR="005A796F">
        <w:t xml:space="preserve">atkārtoti nododot lietu jaunai izskatīšanai apelācijas instances tiesai, </w:t>
      </w:r>
      <w:r w:rsidR="00341A29">
        <w:t>ievērojot Eiropas Savienības Tiesas sniegto tiesību normu interpretāciju,</w:t>
      </w:r>
      <w:r w:rsidR="00E2228F">
        <w:t xml:space="preserve"> </w:t>
      </w:r>
      <w:r>
        <w:t xml:space="preserve">lietā </w:t>
      </w:r>
      <w:r w:rsidR="00E2228F">
        <w:t>bija</w:t>
      </w:r>
      <w:r>
        <w:t xml:space="preserve"> </w:t>
      </w:r>
      <w:r w:rsidR="00E2228F">
        <w:t>jā</w:t>
      </w:r>
      <w:r>
        <w:t>noskaidro, vai pieteicējam bija tāds kompetences un informācijas līmenis, lai viņam liegtu īpašo aizsardzību, t</w:t>
      </w:r>
      <w:r w:rsidR="00E2228F">
        <w:t xml:space="preserve">as </w:t>
      </w:r>
      <w:r>
        <w:t>i</w:t>
      </w:r>
      <w:r w:rsidR="00183D5D">
        <w:t>r</w:t>
      </w:r>
      <w:r>
        <w:t>, tiesības uz garantēto atlīdzību.</w:t>
      </w:r>
    </w:p>
    <w:p w14:paraId="1CECF649" w14:textId="77777777" w:rsidR="004154FD" w:rsidRDefault="004154FD" w:rsidP="004C2B13">
      <w:pPr>
        <w:pStyle w:val="NoSpacing"/>
        <w:spacing w:line="276" w:lineRule="auto"/>
        <w:ind w:firstLine="567"/>
        <w:jc w:val="both"/>
      </w:pPr>
    </w:p>
    <w:p w14:paraId="49B109CA" w14:textId="2DC81D9A" w:rsidR="004154FD" w:rsidRDefault="004154FD" w:rsidP="004C2B13">
      <w:pPr>
        <w:pStyle w:val="NoSpacing"/>
        <w:spacing w:line="276" w:lineRule="auto"/>
        <w:ind w:firstLine="567"/>
        <w:jc w:val="both"/>
        <w:rPr>
          <w:szCs w:val="24"/>
        </w:rPr>
      </w:pPr>
      <w:r>
        <w:t>[</w:t>
      </w:r>
      <w:r w:rsidR="00986871">
        <w:t>11</w:t>
      </w:r>
      <w:r>
        <w:t xml:space="preserve">] </w:t>
      </w:r>
      <w:r w:rsidR="00B57201">
        <w:t xml:space="preserve">Vērtējot, vai apgabaltiesa spriedumā ir pareizi izvērtējusi lietas apstākļus atbilstoši Augstākās tiesas un Eiropas Savienības Tiesas sniegtajai tiesību normu interpretācijai, </w:t>
      </w:r>
      <w:r w:rsidR="00B57201">
        <w:lastRenderedPageBreak/>
        <w:t xml:space="preserve">pieteicējs kasācijas sūdzībā iebilst, ka apgabaltiesa </w:t>
      </w:r>
      <w:r w:rsidR="00EF22DE">
        <w:rPr>
          <w:szCs w:val="24"/>
        </w:rPr>
        <w:t xml:space="preserve">nav konstatējusi nevienu no Eiropas Savienības Tiesas sprieduma 36.punktā minētajām pazīmēm, nepamatoti pieteicēju pieskaitot </w:t>
      </w:r>
      <w:r w:rsidR="00E432D2">
        <w:t>„</w:t>
      </w:r>
      <w:r w:rsidR="00EF22DE">
        <w:rPr>
          <w:szCs w:val="24"/>
        </w:rPr>
        <w:t>vadītāju” kategorijai.</w:t>
      </w:r>
    </w:p>
    <w:p w14:paraId="2C6DA751" w14:textId="399CAB2E" w:rsidR="004F5645" w:rsidRDefault="00EF22DE" w:rsidP="004C2B13">
      <w:pPr>
        <w:pStyle w:val="NoSpacing"/>
        <w:spacing w:line="276" w:lineRule="auto"/>
        <w:ind w:firstLine="567"/>
        <w:jc w:val="both"/>
        <w:rPr>
          <w:szCs w:val="24"/>
        </w:rPr>
      </w:pPr>
      <w:r>
        <w:rPr>
          <w:szCs w:val="24"/>
        </w:rPr>
        <w:t xml:space="preserve">Eiropas Savienības Tiesas sprieduma 36.punktā atzīts, ka </w:t>
      </w:r>
      <w:r w:rsidR="009B0C63">
        <w:rPr>
          <w:szCs w:val="24"/>
        </w:rPr>
        <w:t xml:space="preserve">uz personu, kas ir tādā situācijā, kā pieteicējs, varētu neattiecināt direktīvas 94/19 paredzēto </w:t>
      </w:r>
      <w:r w:rsidR="00B54267">
        <w:rPr>
          <w:szCs w:val="24"/>
        </w:rPr>
        <w:t xml:space="preserve">garantiju, ja </w:t>
      </w:r>
      <w:r w:rsidR="00D715E9">
        <w:rPr>
          <w:szCs w:val="24"/>
        </w:rPr>
        <w:t xml:space="preserve">to </w:t>
      </w:r>
      <w:r w:rsidR="00B54267">
        <w:rPr>
          <w:szCs w:val="24"/>
        </w:rPr>
        <w:t>funkciju</w:t>
      </w:r>
      <w:r w:rsidR="00D715E9">
        <w:rPr>
          <w:szCs w:val="24"/>
        </w:rPr>
        <w:t xml:space="preserve"> dēļ</w:t>
      </w:r>
      <w:r w:rsidR="00B54267">
        <w:rPr>
          <w:szCs w:val="24"/>
        </w:rPr>
        <w:t>, k</w:t>
      </w:r>
      <w:r w:rsidR="00D715E9">
        <w:rPr>
          <w:szCs w:val="24"/>
        </w:rPr>
        <w:t>uras</w:t>
      </w:r>
      <w:r w:rsidR="00B54267">
        <w:rPr>
          <w:szCs w:val="24"/>
        </w:rPr>
        <w:t xml:space="preserve"> persona pilda kā kredītiestādes vadītājs, tai varētu būt tāds informācijas un kompetences līmenis, kas tai ļauj zināt un novērtēt </w:t>
      </w:r>
      <w:r w:rsidR="004E30FD">
        <w:rPr>
          <w:szCs w:val="24"/>
        </w:rPr>
        <w:t>šīs iestādes patieso finanšu stāvokli, kā arī ar tās darbību saistītos riskus.</w:t>
      </w:r>
      <w:r w:rsidR="004F5645">
        <w:rPr>
          <w:szCs w:val="24"/>
        </w:rPr>
        <w:t xml:space="preserve"> Minētais sprieduma punkts ir skatāms kopā ar</w:t>
      </w:r>
      <w:r w:rsidR="00057DAC">
        <w:rPr>
          <w:szCs w:val="24"/>
        </w:rPr>
        <w:t xml:space="preserve"> pārējiem Eiropas Savienības Tiesas</w:t>
      </w:r>
      <w:r w:rsidR="004F5645">
        <w:rPr>
          <w:szCs w:val="24"/>
        </w:rPr>
        <w:t xml:space="preserve"> sprieduma</w:t>
      </w:r>
      <w:r w:rsidR="00057DAC">
        <w:rPr>
          <w:szCs w:val="24"/>
        </w:rPr>
        <w:t xml:space="preserve"> secinājumiem, tostarp</w:t>
      </w:r>
      <w:r w:rsidR="004F5645">
        <w:rPr>
          <w:szCs w:val="24"/>
        </w:rPr>
        <w:t xml:space="preserve"> 35.punktu, kurā tiesa atzina, ka attiecībā uz tādas situācijas</w:t>
      </w:r>
      <w:r w:rsidR="004F5645" w:rsidRPr="004F5645">
        <w:rPr>
          <w:szCs w:val="24"/>
        </w:rPr>
        <w:t xml:space="preserve"> </w:t>
      </w:r>
      <w:r w:rsidR="004F5645">
        <w:rPr>
          <w:szCs w:val="24"/>
        </w:rPr>
        <w:t xml:space="preserve">vērtējumu, kāda ir pamatlietā esošā prasītāja situācija, </w:t>
      </w:r>
      <w:r w:rsidR="004D4C9C">
        <w:rPr>
          <w:szCs w:val="24"/>
        </w:rPr>
        <w:t xml:space="preserve">ņemot vērā tiesas iepriekš izdarītos apsvērumus, no lūguma sniegt prejudiciālu nolēmumu izriet, ka vienīgā direktīvas 94/19 I pielikuma 7.punktā minētā personu kategorija, kurā viņš varētu ietilpt, ir </w:t>
      </w:r>
      <w:r w:rsidR="00EA5EDF">
        <w:t>„</w:t>
      </w:r>
      <w:r w:rsidR="004D4C9C">
        <w:rPr>
          <w:szCs w:val="24"/>
        </w:rPr>
        <w:t xml:space="preserve">vadītāja” kategorija. </w:t>
      </w:r>
    </w:p>
    <w:p w14:paraId="21EA09B3" w14:textId="7A19F411" w:rsidR="008B685A" w:rsidRDefault="008B685A" w:rsidP="004C2B13">
      <w:pPr>
        <w:pStyle w:val="NoSpacing"/>
        <w:spacing w:line="276" w:lineRule="auto"/>
        <w:ind w:firstLine="567"/>
        <w:jc w:val="both"/>
      </w:pPr>
      <w:r>
        <w:rPr>
          <w:szCs w:val="24"/>
        </w:rPr>
        <w:t xml:space="preserve">No minētā izriet, ka </w:t>
      </w:r>
      <w:r w:rsidR="005E211E">
        <w:rPr>
          <w:szCs w:val="24"/>
        </w:rPr>
        <w:t xml:space="preserve">uz </w:t>
      </w:r>
      <w:r w:rsidR="0009165B">
        <w:rPr>
          <w:szCs w:val="24"/>
        </w:rPr>
        <w:t>pieteicēj</w:t>
      </w:r>
      <w:r w:rsidR="005E211E">
        <w:rPr>
          <w:szCs w:val="24"/>
        </w:rPr>
        <w:t>u</w:t>
      </w:r>
      <w:proofErr w:type="gramStart"/>
      <w:r w:rsidR="0009165B">
        <w:rPr>
          <w:szCs w:val="24"/>
        </w:rPr>
        <w:t xml:space="preserve">  </w:t>
      </w:r>
      <w:proofErr w:type="gramEnd"/>
      <w:r w:rsidR="0009165B">
        <w:rPr>
          <w:szCs w:val="24"/>
        </w:rPr>
        <w:t>ir a</w:t>
      </w:r>
      <w:r w:rsidR="005E211E">
        <w:rPr>
          <w:szCs w:val="24"/>
        </w:rPr>
        <w:t>ttiecināma</w:t>
      </w:r>
      <w:r w:rsidR="0009165B">
        <w:rPr>
          <w:szCs w:val="24"/>
        </w:rPr>
        <w:t xml:space="preserve"> direktīvas I pielikuma 7.punktā minētā kategorij</w:t>
      </w:r>
      <w:r w:rsidR="005E211E">
        <w:rPr>
          <w:szCs w:val="24"/>
        </w:rPr>
        <w:t>a</w:t>
      </w:r>
      <w:r w:rsidR="0009165B">
        <w:rPr>
          <w:szCs w:val="24"/>
        </w:rPr>
        <w:t xml:space="preserve"> </w:t>
      </w:r>
      <w:r w:rsidR="00EA5EDF">
        <w:t>„</w:t>
      </w:r>
      <w:r w:rsidR="0009165B">
        <w:rPr>
          <w:szCs w:val="24"/>
        </w:rPr>
        <w:t>vadītājs”</w:t>
      </w:r>
      <w:r w:rsidR="005E211E">
        <w:rPr>
          <w:szCs w:val="24"/>
        </w:rPr>
        <w:t>.</w:t>
      </w:r>
      <w:r w:rsidR="0009165B">
        <w:rPr>
          <w:szCs w:val="24"/>
        </w:rPr>
        <w:t xml:space="preserve"> </w:t>
      </w:r>
      <w:r w:rsidR="005E211E">
        <w:rPr>
          <w:szCs w:val="24"/>
        </w:rPr>
        <w:t>V</w:t>
      </w:r>
      <w:r w:rsidR="0009165B">
        <w:rPr>
          <w:szCs w:val="24"/>
        </w:rPr>
        <w:t>ērtējums tiesai, kas izskata lietu, ir jāveic funkcionāli, tas ir</w:t>
      </w:r>
      <w:proofErr w:type="gramStart"/>
      <w:r w:rsidR="0009165B">
        <w:rPr>
          <w:szCs w:val="24"/>
        </w:rPr>
        <w:t>, nevis</w:t>
      </w:r>
      <w:proofErr w:type="gramEnd"/>
      <w:r w:rsidR="0009165B">
        <w:rPr>
          <w:szCs w:val="24"/>
        </w:rPr>
        <w:t xml:space="preserve"> </w:t>
      </w:r>
      <w:r w:rsidR="00B41E04">
        <w:rPr>
          <w:szCs w:val="24"/>
        </w:rPr>
        <w:t xml:space="preserve">vadoties </w:t>
      </w:r>
      <w:r w:rsidR="001D01D2">
        <w:rPr>
          <w:szCs w:val="24"/>
        </w:rPr>
        <w:t xml:space="preserve">šauri no amata un pildāmo funkciju nosaukuma, bet gan </w:t>
      </w:r>
      <w:r w:rsidR="00675916">
        <w:rPr>
          <w:szCs w:val="24"/>
        </w:rPr>
        <w:t xml:space="preserve">vadoties no </w:t>
      </w:r>
      <w:r w:rsidR="001D01D2">
        <w:rPr>
          <w:szCs w:val="24"/>
        </w:rPr>
        <w:t>faktiski veicam</w:t>
      </w:r>
      <w:r w:rsidR="00675916">
        <w:rPr>
          <w:szCs w:val="24"/>
        </w:rPr>
        <w:t>ajām</w:t>
      </w:r>
      <w:r w:rsidR="001D01D2">
        <w:rPr>
          <w:szCs w:val="24"/>
        </w:rPr>
        <w:t xml:space="preserve"> funkcij</w:t>
      </w:r>
      <w:r w:rsidR="00675916">
        <w:rPr>
          <w:szCs w:val="24"/>
        </w:rPr>
        <w:t>ām</w:t>
      </w:r>
      <w:r w:rsidR="001D01D2">
        <w:rPr>
          <w:szCs w:val="24"/>
        </w:rPr>
        <w:t xml:space="preserve"> un uzdevum</w:t>
      </w:r>
      <w:r w:rsidR="00675916">
        <w:rPr>
          <w:szCs w:val="24"/>
        </w:rPr>
        <w:t>iem</w:t>
      </w:r>
      <w:r w:rsidR="00692614">
        <w:rPr>
          <w:szCs w:val="24"/>
        </w:rPr>
        <w:t xml:space="preserve">, kā arī </w:t>
      </w:r>
      <w:r w:rsidR="00B41E04">
        <w:rPr>
          <w:szCs w:val="24"/>
        </w:rPr>
        <w:t xml:space="preserve">vērtējot to, </w:t>
      </w:r>
      <w:r w:rsidR="00692614">
        <w:rPr>
          <w:szCs w:val="24"/>
        </w:rPr>
        <w:t>vai pieteicējam bija tāds informētības līmenis, kas</w:t>
      </w:r>
      <w:r w:rsidR="004E6335">
        <w:t xml:space="preserve"> ta</w:t>
      </w:r>
      <w:r w:rsidR="00E00A87">
        <w:t>m ļāva</w:t>
      </w:r>
      <w:r w:rsidR="004E6335">
        <w:t xml:space="preserve"> novērtēt kredītiestādes patieso finanšu stāvokli un ar tās darbību saistītos riskus.</w:t>
      </w:r>
      <w:r w:rsidR="005A796F">
        <w:t xml:space="preserve"> </w:t>
      </w:r>
      <w:r w:rsidR="00CC3EEC">
        <w:t xml:space="preserve">Tas ir, </w:t>
      </w:r>
      <w:r w:rsidR="00E56D0B">
        <w:t>vai pieteicējam bija tāds kompetences un informācijas līmenis par kredītiestādi, kāda nebija lielākajai daļai</w:t>
      </w:r>
      <w:r w:rsidR="00523CE6" w:rsidRPr="00523CE6">
        <w:t xml:space="preserve"> </w:t>
      </w:r>
      <w:r w:rsidR="00523CE6">
        <w:t>noguldītāju</w:t>
      </w:r>
      <w:r w:rsidR="00E56D0B">
        <w:t>.</w:t>
      </w:r>
    </w:p>
    <w:p w14:paraId="42DD6FD8" w14:textId="77777777" w:rsidR="00EA5EDF" w:rsidRDefault="00EA5EDF" w:rsidP="00850FEB">
      <w:pPr>
        <w:pStyle w:val="NoSpacing"/>
        <w:spacing w:line="276" w:lineRule="auto"/>
        <w:ind w:firstLine="567"/>
        <w:jc w:val="both"/>
      </w:pPr>
    </w:p>
    <w:p w14:paraId="4AFCB3F3" w14:textId="727D106C" w:rsidR="00D753B3" w:rsidRDefault="00751CE9" w:rsidP="00850FEB">
      <w:pPr>
        <w:pStyle w:val="NoSpacing"/>
        <w:spacing w:line="276" w:lineRule="auto"/>
        <w:ind w:firstLine="567"/>
        <w:jc w:val="both"/>
      </w:pPr>
      <w:r>
        <w:t xml:space="preserve">[12] </w:t>
      </w:r>
      <w:r w:rsidR="00F61D10">
        <w:t>A</w:t>
      </w:r>
      <w:r w:rsidR="00A90024">
        <w:t>pgabaltiesa</w:t>
      </w:r>
      <w:r w:rsidR="00CA42E0">
        <w:t xml:space="preserve"> pretēji kasatora norādītājam</w:t>
      </w:r>
      <w:r w:rsidR="00A90024">
        <w:t xml:space="preserve"> spriedumā ir </w:t>
      </w:r>
      <w:r w:rsidR="00F00FE6">
        <w:t>izvērtējusi tos apstā</w:t>
      </w:r>
      <w:r w:rsidR="00313392">
        <w:t xml:space="preserve">kļus, ko uzdeva </w:t>
      </w:r>
      <w:r w:rsidR="00AA7043">
        <w:t xml:space="preserve">vērtēt </w:t>
      </w:r>
      <w:r w:rsidR="00BA6781">
        <w:t>Augstākā tiesa, ņemot vērā Eiropas Savienības Tiesas izdarītos secinājumus.</w:t>
      </w:r>
    </w:p>
    <w:p w14:paraId="3977473B" w14:textId="5DFDF309" w:rsidR="005577E5" w:rsidRDefault="00313392" w:rsidP="00850FEB">
      <w:pPr>
        <w:pStyle w:val="NoSpacing"/>
        <w:spacing w:line="276" w:lineRule="auto"/>
        <w:ind w:firstLine="567"/>
        <w:jc w:val="both"/>
      </w:pPr>
      <w:r>
        <w:t xml:space="preserve">Tā </w:t>
      </w:r>
      <w:r w:rsidR="006A0860">
        <w:t>apgabal</w:t>
      </w:r>
      <w:r>
        <w:t>tiesa</w:t>
      </w:r>
      <w:r w:rsidR="00A6113D">
        <w:t xml:space="preserve">, </w:t>
      </w:r>
      <w:r w:rsidR="00A6113D" w:rsidRPr="00B7423F">
        <w:t>tostarp</w:t>
      </w:r>
      <w:r w:rsidR="00A6113D" w:rsidRPr="006E700A">
        <w:t xml:space="preserve"> no paša</w:t>
      </w:r>
      <w:r w:rsidR="004C7FC8" w:rsidRPr="006E700A">
        <w:t xml:space="preserve"> pieteicēj</w:t>
      </w:r>
      <w:r w:rsidR="00A6113D" w:rsidRPr="006E700A">
        <w:t>a paskaidrojumiem lietā</w:t>
      </w:r>
      <w:r w:rsidR="00B41E04" w:rsidRPr="006E700A">
        <w:t>,</w:t>
      </w:r>
      <w:r w:rsidR="00A6113D" w:rsidRPr="006E700A">
        <w:t xml:space="preserve"> ir </w:t>
      </w:r>
      <w:r w:rsidR="00AF4926" w:rsidRPr="006E700A">
        <w:t>secināju</w:t>
      </w:r>
      <w:r w:rsidR="00A6113D" w:rsidRPr="006E700A">
        <w:t>si</w:t>
      </w:r>
      <w:r w:rsidR="004C7FC8" w:rsidRPr="006E700A">
        <w:t xml:space="preserve">, ka </w:t>
      </w:r>
      <w:r w:rsidRPr="00605DFD">
        <w:t xml:space="preserve">pieteicējam </w:t>
      </w:r>
      <w:r w:rsidR="00A6113D" w:rsidRPr="00605DFD">
        <w:t xml:space="preserve">apmēram sešu gadu </w:t>
      </w:r>
      <w:r w:rsidRPr="00605DFD">
        <w:t>laikā</w:t>
      </w:r>
      <w:r w:rsidR="003C0B1B" w:rsidRPr="00605DFD">
        <w:t xml:space="preserve"> līdz </w:t>
      </w:r>
      <w:proofErr w:type="gramStart"/>
      <w:r w:rsidR="003C0B1B" w:rsidRPr="00605DFD">
        <w:t>2011.gada</w:t>
      </w:r>
      <w:proofErr w:type="gramEnd"/>
      <w:r w:rsidR="003C0B1B" w:rsidRPr="00605DFD">
        <w:t xml:space="preserve"> janvāra beigām</w:t>
      </w:r>
      <w:r w:rsidRPr="00605DFD">
        <w:t>, ka</w:t>
      </w:r>
      <w:r w:rsidR="00A6113D" w:rsidRPr="00605DFD">
        <w:t>mēr</w:t>
      </w:r>
      <w:r w:rsidRPr="00605DFD">
        <w:t xml:space="preserve"> viņš bija Latvijas Krājbanka</w:t>
      </w:r>
      <w:r w:rsidR="009F6B1F" w:rsidRPr="00605DFD">
        <w:t>s</w:t>
      </w:r>
      <w:r w:rsidR="004C7FC8" w:rsidRPr="00605DFD">
        <w:t xml:space="preserve"> valdes loceklis, bija pieejama visa iespējamā informācija </w:t>
      </w:r>
      <w:r w:rsidR="00AF66CC" w:rsidRPr="00605DFD">
        <w:t xml:space="preserve">par </w:t>
      </w:r>
      <w:r w:rsidR="00033925" w:rsidRPr="00605DFD">
        <w:t xml:space="preserve">bankas darbību, </w:t>
      </w:r>
      <w:r w:rsidR="00016FA7" w:rsidRPr="00605DFD">
        <w:t>arī</w:t>
      </w:r>
      <w:r w:rsidR="00033925" w:rsidRPr="00605DFD">
        <w:t xml:space="preserve"> par bankas finansiālo stāvokli un darbības riskiem. </w:t>
      </w:r>
      <w:r w:rsidR="003C0B1B" w:rsidRPr="00605DFD">
        <w:t xml:space="preserve">Savukārt </w:t>
      </w:r>
      <w:r w:rsidR="00386D8D" w:rsidRPr="00605DFD">
        <w:t>par laiku, kad pieteicējs ieņēma bankas viceprezidenta amatu</w:t>
      </w:r>
      <w:r w:rsidR="003C0B1B" w:rsidRPr="00605DFD">
        <w:t xml:space="preserve"> </w:t>
      </w:r>
      <w:r w:rsidR="00386D8D" w:rsidRPr="00605DFD">
        <w:t>(</w:t>
      </w:r>
      <w:r w:rsidR="003C0B1B" w:rsidRPr="00605DFD">
        <w:t xml:space="preserve">no </w:t>
      </w:r>
      <w:proofErr w:type="gramStart"/>
      <w:r w:rsidR="003C0B1B" w:rsidRPr="00605DFD">
        <w:t>2011.gada</w:t>
      </w:r>
      <w:proofErr w:type="gramEnd"/>
      <w:r w:rsidR="003C0B1B" w:rsidRPr="00605DFD">
        <w:t xml:space="preserve"> janvāra beigām</w:t>
      </w:r>
      <w:r w:rsidR="00386D8D" w:rsidRPr="00605DFD">
        <w:t>), tostarp laik</w:t>
      </w:r>
      <w:r w:rsidR="00B41E04" w:rsidRPr="00605DFD">
        <w:t>u</w:t>
      </w:r>
      <w:r w:rsidR="00386D8D" w:rsidRPr="00605DFD">
        <w:t xml:space="preserve">, kad </w:t>
      </w:r>
      <w:r w:rsidR="003C0B1B" w:rsidRPr="00605DFD">
        <w:t xml:space="preserve">iestājās bankas </w:t>
      </w:r>
      <w:r w:rsidR="00386D8D" w:rsidRPr="00605DFD">
        <w:t>noguldījumu nepieejamība 2011.</w:t>
      </w:r>
      <w:r w:rsidR="00386D8D">
        <w:t>gada novembrī</w:t>
      </w:r>
      <w:r w:rsidR="003C0B1B">
        <w:t xml:space="preserve">, </w:t>
      </w:r>
      <w:r w:rsidR="00386D8D">
        <w:t xml:space="preserve">apgabaltiesa secināja, ka pieteicēja </w:t>
      </w:r>
      <w:r w:rsidR="00E401B8">
        <w:t xml:space="preserve">veicamie </w:t>
      </w:r>
      <w:r w:rsidR="00B41E04">
        <w:t xml:space="preserve">amata </w:t>
      </w:r>
      <w:r w:rsidR="00E401B8">
        <w:t xml:space="preserve">pienākumi nenorādīja uz </w:t>
      </w:r>
      <w:r w:rsidR="00EE7B3F">
        <w:t xml:space="preserve">to, ka pieteicējs šajā laikā būtu pildījis </w:t>
      </w:r>
      <w:r w:rsidR="00EA401E">
        <w:t xml:space="preserve">bankā funkcijas ar būtisku ietekmi uz </w:t>
      </w:r>
      <w:r w:rsidR="00E03F37">
        <w:t>bankas darbību.</w:t>
      </w:r>
    </w:p>
    <w:p w14:paraId="5DD92FA8" w14:textId="72618BCA" w:rsidR="00850FEB" w:rsidRDefault="00E03F37" w:rsidP="00850FEB">
      <w:pPr>
        <w:pStyle w:val="NoSpacing"/>
        <w:spacing w:line="276" w:lineRule="auto"/>
        <w:ind w:firstLine="567"/>
        <w:jc w:val="both"/>
      </w:pPr>
      <w:r>
        <w:t xml:space="preserve">Vienlaikus </w:t>
      </w:r>
      <w:r w:rsidR="000E2442">
        <w:t>apgabal</w:t>
      </w:r>
      <w:r>
        <w:t>tiesa</w:t>
      </w:r>
      <w:r w:rsidR="00CC1867">
        <w:t xml:space="preserve">, ņemot vērā Eiropas Savienības Tiesas izdarītos apsvērumus, pamatoti </w:t>
      </w:r>
      <w:r w:rsidR="00931938">
        <w:t xml:space="preserve">tālāk </w:t>
      </w:r>
      <w:r w:rsidR="001A0C27">
        <w:t xml:space="preserve">vērtēja, vai </w:t>
      </w:r>
      <w:r w:rsidR="004F3DC4">
        <w:t xml:space="preserve">pieteicēja </w:t>
      </w:r>
      <w:r w:rsidR="00B63206">
        <w:t xml:space="preserve">darbība citos amatos </w:t>
      </w:r>
      <w:r w:rsidR="003B7F94">
        <w:t>deva pieteicējam tādu kompetences un informētības l</w:t>
      </w:r>
      <w:r w:rsidR="00273C64">
        <w:t>īmeni, kas</w:t>
      </w:r>
      <w:r w:rsidR="003B7F94">
        <w:t xml:space="preserve"> </w:t>
      </w:r>
      <w:r w:rsidR="00044778">
        <w:t>nepiemīt vidusmēra noguldīt</w:t>
      </w:r>
      <w:r w:rsidR="00931938">
        <w:t>ājam, tostarp, kādas bija pieteicēja tiesiskās un faktiskās attiecības ar banku, tās valdi, vadību, arī bankas saistītajos uzņēmumos.</w:t>
      </w:r>
      <w:r w:rsidR="00A54736">
        <w:t xml:space="preserve"> </w:t>
      </w:r>
      <w:r w:rsidR="00FD4080">
        <w:t>Apgabalt</w:t>
      </w:r>
      <w:r w:rsidR="00A54736">
        <w:t xml:space="preserve">iesa secināja, ka </w:t>
      </w:r>
      <w:r w:rsidR="007C4B0A">
        <w:t>šajā laikā</w:t>
      </w:r>
      <w:r w:rsidR="00CF7F51">
        <w:t>,</w:t>
      </w:r>
      <w:r w:rsidR="007C4B0A">
        <w:t xml:space="preserve"> </w:t>
      </w:r>
      <w:r w:rsidR="00B62B78">
        <w:t xml:space="preserve">gan ievērojot pieteicēja amatu </w:t>
      </w:r>
      <w:r w:rsidR="006E700A">
        <w:t xml:space="preserve">pienākumu </w:t>
      </w:r>
      <w:r w:rsidR="00B62B78">
        <w:t>saturu Latvijas Krājbanka</w:t>
      </w:r>
      <w:r w:rsidR="007767BB">
        <w:t>s</w:t>
      </w:r>
      <w:r w:rsidR="00B62B78">
        <w:t xml:space="preserve"> grupā ietilpstošo uzņēmumu padomes un valdes priekšsēdētāja amatos, </w:t>
      </w:r>
      <w:r w:rsidR="00CF7F51">
        <w:t>gan</w:t>
      </w:r>
      <w:r w:rsidR="00B62B78">
        <w:t xml:space="preserve"> arī to, ka pieteicējs bija vienīgā </w:t>
      </w:r>
      <w:r w:rsidR="00CF7F51">
        <w:t>perso</w:t>
      </w:r>
      <w:r w:rsidR="007767BB">
        <w:t xml:space="preserve">na, kas bija tiesīga pārstāvēt </w:t>
      </w:r>
      <w:r w:rsidR="00CF7F51">
        <w:t>Latvijas Krājbank</w:t>
      </w:r>
      <w:r w:rsidR="00B41E04">
        <w:t>as</w:t>
      </w:r>
      <w:r w:rsidR="00CF7F51">
        <w:t xml:space="preserve"> lielākā akcionāra Lietuvas Snoras Bankas filiāli Latvijā, gan pieteicēja ciešo saistību ar Lietuvas Snoras Bankas, kuras maksātnespēja bija Latvijas Krājbanka</w:t>
      </w:r>
      <w:r w:rsidR="007767BB">
        <w:t>s</w:t>
      </w:r>
      <w:r w:rsidR="00CF7F51">
        <w:t xml:space="preserve"> maksātnespējas iemesls, akcionāriem, gan ievērojot pieteicēja kompetences un informētības līmeni</w:t>
      </w:r>
      <w:r w:rsidR="002C221B">
        <w:t>, ilgstoši darbojoties</w:t>
      </w:r>
      <w:r w:rsidR="00CF7F51">
        <w:t xml:space="preserve"> Latvijas Krājbanka</w:t>
      </w:r>
      <w:r w:rsidR="001B258B">
        <w:t>s</w:t>
      </w:r>
      <w:r w:rsidR="00CF7F51">
        <w:t xml:space="preserve"> valdes locekļa amatā, </w:t>
      </w:r>
      <w:r w:rsidR="00DB628D">
        <w:t>pieteicēja informētības līmenis par bankas darbību un riskiem nav atzīstams par tādu, ka</w:t>
      </w:r>
      <w:r w:rsidR="00FC1B35">
        <w:t>s</w:t>
      </w:r>
      <w:r w:rsidR="00DB628D">
        <w:t xml:space="preserve"> piemīt vidusmēra noguldītājam.</w:t>
      </w:r>
    </w:p>
    <w:p w14:paraId="3F88C349" w14:textId="77777777" w:rsidR="00714C74" w:rsidRDefault="00714C74" w:rsidP="00850FEB">
      <w:pPr>
        <w:pStyle w:val="NoSpacing"/>
        <w:spacing w:line="276" w:lineRule="auto"/>
        <w:ind w:firstLine="567"/>
        <w:jc w:val="both"/>
      </w:pPr>
    </w:p>
    <w:p w14:paraId="7A7FEC8E" w14:textId="7CB8A6FA" w:rsidR="00833C34" w:rsidRDefault="00714C74" w:rsidP="00850FEB">
      <w:pPr>
        <w:pStyle w:val="NoSpacing"/>
        <w:spacing w:line="276" w:lineRule="auto"/>
        <w:ind w:firstLine="567"/>
        <w:jc w:val="both"/>
        <w:rPr>
          <w:szCs w:val="24"/>
        </w:rPr>
      </w:pPr>
      <w:r>
        <w:lastRenderedPageBreak/>
        <w:t xml:space="preserve">[13] </w:t>
      </w:r>
      <w:r w:rsidR="005577E5" w:rsidRPr="00813AA1">
        <w:t>Par p</w:t>
      </w:r>
      <w:r w:rsidR="00850FEB" w:rsidRPr="00813AA1">
        <w:t>ieteicēj</w:t>
      </w:r>
      <w:r w:rsidR="0070529B">
        <w:t>a</w:t>
      </w:r>
      <w:r w:rsidR="00850FEB" w:rsidRPr="00813AA1">
        <w:t xml:space="preserve"> </w:t>
      </w:r>
      <w:r w:rsidR="005577E5" w:rsidRPr="00813AA1">
        <w:t>iebildi</w:t>
      </w:r>
      <w:r w:rsidR="00850FEB" w:rsidRPr="00813AA1">
        <w:t xml:space="preserve">, ka </w:t>
      </w:r>
      <w:r w:rsidR="00F66BF8" w:rsidRPr="00813AA1">
        <w:t>d</w:t>
      </w:r>
      <w:r w:rsidR="00F66BF8" w:rsidRPr="00813AA1">
        <w:rPr>
          <w:szCs w:val="24"/>
        </w:rPr>
        <w:t>irektīvā kredītiestādes vadītājs un kredītiestādes grupas sabiedrību amatpersonas ir norādītas kā divas patstāvīgas noguldītāju kategorijas</w:t>
      </w:r>
      <w:r w:rsidR="005577E5" w:rsidRPr="00813AA1">
        <w:rPr>
          <w:szCs w:val="24"/>
        </w:rPr>
        <w:t xml:space="preserve"> un arī Eiropas Savienības Tiesas spriedums nesatur secinājumu, ka darbība kredītiestādes grupas sabiedrībās būtu pieskaitāma jēdzienam </w:t>
      </w:r>
      <w:r w:rsidR="005577E5" w:rsidRPr="00813AA1">
        <w:t>„</w:t>
      </w:r>
      <w:r w:rsidR="005577E5" w:rsidRPr="00813AA1">
        <w:rPr>
          <w:szCs w:val="24"/>
        </w:rPr>
        <w:t xml:space="preserve">vadītājs”, </w:t>
      </w:r>
      <w:r w:rsidR="00572F25" w:rsidRPr="00813AA1">
        <w:rPr>
          <w:szCs w:val="24"/>
        </w:rPr>
        <w:t>norādāms</w:t>
      </w:r>
      <w:r w:rsidR="0070529B">
        <w:rPr>
          <w:szCs w:val="24"/>
        </w:rPr>
        <w:t xml:space="preserve"> turpmāk minētais.</w:t>
      </w:r>
    </w:p>
    <w:p w14:paraId="2EE04596" w14:textId="69DF5775" w:rsidR="0006014A" w:rsidRDefault="0006014A" w:rsidP="00850FEB">
      <w:pPr>
        <w:pStyle w:val="NoSpacing"/>
        <w:spacing w:line="276" w:lineRule="auto"/>
        <w:ind w:firstLine="567"/>
        <w:jc w:val="both"/>
        <w:rPr>
          <w:szCs w:val="24"/>
        </w:rPr>
      </w:pPr>
      <w:r>
        <w:rPr>
          <w:szCs w:val="24"/>
        </w:rPr>
        <w:t>Direktīvas I pielikum</w:t>
      </w:r>
      <w:r w:rsidR="00F86DD8">
        <w:rPr>
          <w:szCs w:val="24"/>
        </w:rPr>
        <w:t>a 7.punkt</w:t>
      </w:r>
      <w:r w:rsidR="001F4B10">
        <w:rPr>
          <w:szCs w:val="24"/>
        </w:rPr>
        <w:t>ā</w:t>
      </w:r>
      <w:r>
        <w:rPr>
          <w:szCs w:val="24"/>
        </w:rPr>
        <w:t xml:space="preserve"> </w:t>
      </w:r>
      <w:r w:rsidR="000F712A">
        <w:rPr>
          <w:szCs w:val="24"/>
        </w:rPr>
        <w:t>ietverti</w:t>
      </w:r>
      <w:r>
        <w:rPr>
          <w:szCs w:val="24"/>
        </w:rPr>
        <w:t xml:space="preserve"> </w:t>
      </w:r>
      <w:r w:rsidR="00C62EED">
        <w:t>kredītiestādes direktor</w:t>
      </w:r>
      <w:r w:rsidR="000F712A">
        <w:t>a</w:t>
      </w:r>
      <w:r w:rsidR="00C62EED">
        <w:t>, vadītāj</w:t>
      </w:r>
      <w:r w:rsidR="000F712A">
        <w:t>a</w:t>
      </w:r>
      <w:r w:rsidR="00C62EED">
        <w:t>, personiski atbildīgu locekļu, personu, kam pieder vismaz 5 % kredītiestādes kapitāla, personu, kas atbild par kredītiestādes uzskaites dokumentu likumos noteikto revīziju veikšanu, un noguldītāju, kam ir līdzīgs statuss citās tās pašas grupas uzņēmējsabiedrībās, noguldījumi. Tāpat pielikum</w:t>
      </w:r>
      <w:r w:rsidR="00F86DD8">
        <w:t>a 8.punktā</w:t>
      </w:r>
      <w:r w:rsidR="00C62EED">
        <w:t xml:space="preserve"> ietverti, piemēram, </w:t>
      </w:r>
      <w:r w:rsidR="004145E3">
        <w:t>tuv</w:t>
      </w:r>
      <w:r w:rsidR="009F1E75">
        <w:t>u</w:t>
      </w:r>
      <w:r w:rsidR="004145E3">
        <w:t xml:space="preserve"> radiniek</w:t>
      </w:r>
      <w:r w:rsidR="009F1E75">
        <w:t>u</w:t>
      </w:r>
      <w:r w:rsidR="004145E3">
        <w:t xml:space="preserve"> un treš</w:t>
      </w:r>
      <w:r w:rsidR="009F1E75">
        <w:t>o</w:t>
      </w:r>
      <w:r w:rsidR="004145E3">
        <w:t xml:space="preserve"> person</w:t>
      </w:r>
      <w:r w:rsidR="00C83EF0">
        <w:t>u</w:t>
      </w:r>
      <w:r w:rsidR="004145E3">
        <w:t>, kas darbojas 7.punktā minēto noguldītāju vārdā, noguldījumi.</w:t>
      </w:r>
    </w:p>
    <w:p w14:paraId="18DA9036" w14:textId="77777777" w:rsidR="00AB7EDF" w:rsidRDefault="0070529B" w:rsidP="00850FEB">
      <w:pPr>
        <w:pStyle w:val="NoSpacing"/>
        <w:spacing w:line="276" w:lineRule="auto"/>
        <w:ind w:firstLine="567"/>
        <w:jc w:val="both"/>
        <w:rPr>
          <w:szCs w:val="24"/>
        </w:rPr>
      </w:pPr>
      <w:r>
        <w:rPr>
          <w:szCs w:val="24"/>
        </w:rPr>
        <w:t>N</w:t>
      </w:r>
      <w:r w:rsidR="00572F25" w:rsidRPr="00813AA1">
        <w:rPr>
          <w:szCs w:val="24"/>
        </w:rPr>
        <w:t xml:space="preserve">o Eiropas Savienības Tiesas sprieduma izriet, ka </w:t>
      </w:r>
      <w:r w:rsidR="00D415B2" w:rsidRPr="00813AA1">
        <w:rPr>
          <w:szCs w:val="24"/>
        </w:rPr>
        <w:t>tiesa, ievērojot direktīvas mērķi aizsargāt</w:t>
      </w:r>
      <w:r w:rsidR="00D415B2">
        <w:rPr>
          <w:szCs w:val="24"/>
        </w:rPr>
        <w:t xml:space="preserve"> tieši noguldītājus, kuriem, kā uzsver tiesa, nav pieejams tāds informācijas apjoms, ka tie varētu novērtēt kredītiestādes patieso finanšu stāvokli, tostarp maksātnespējas riskus</w:t>
      </w:r>
      <w:r w:rsidR="00332345">
        <w:rPr>
          <w:szCs w:val="24"/>
        </w:rPr>
        <w:t xml:space="preserve"> (</w:t>
      </w:r>
      <w:r w:rsidR="00332345" w:rsidRPr="00332345">
        <w:rPr>
          <w:i/>
          <w:szCs w:val="24"/>
        </w:rPr>
        <w:t>sprieduma 30.punkts</w:t>
      </w:r>
      <w:r w:rsidR="00332345">
        <w:rPr>
          <w:szCs w:val="24"/>
        </w:rPr>
        <w:t>)</w:t>
      </w:r>
      <w:r w:rsidR="00D415B2">
        <w:rPr>
          <w:szCs w:val="24"/>
        </w:rPr>
        <w:t xml:space="preserve">, uzsvaru ir likusi uz </w:t>
      </w:r>
      <w:r w:rsidR="00384E19">
        <w:rPr>
          <w:szCs w:val="24"/>
        </w:rPr>
        <w:t xml:space="preserve">to, kāds ir bijis konkrētās personas informācijas apjoms, gan ievērojot tās veicamos amata pienākumus, </w:t>
      </w:r>
      <w:r w:rsidR="002857D5">
        <w:rPr>
          <w:szCs w:val="24"/>
        </w:rPr>
        <w:t>kas turklāt jāvērtē funkcionāli (</w:t>
      </w:r>
      <w:r w:rsidR="002857D5" w:rsidRPr="002857D5">
        <w:rPr>
          <w:i/>
          <w:szCs w:val="24"/>
        </w:rPr>
        <w:t>sprieduma 25.punkts</w:t>
      </w:r>
      <w:r w:rsidR="002857D5">
        <w:rPr>
          <w:szCs w:val="24"/>
        </w:rPr>
        <w:t>)</w:t>
      </w:r>
      <w:r w:rsidR="00643468">
        <w:rPr>
          <w:szCs w:val="24"/>
        </w:rPr>
        <w:t>,</w:t>
      </w:r>
      <w:r w:rsidR="002857D5">
        <w:rPr>
          <w:szCs w:val="24"/>
        </w:rPr>
        <w:t xml:space="preserve"> </w:t>
      </w:r>
      <w:r w:rsidR="00384E19">
        <w:rPr>
          <w:szCs w:val="24"/>
        </w:rPr>
        <w:t>gan faktisko darbību kredītiestādē, tās saistību ar kredītiestādes pārvaldes institūcijām un tml.</w:t>
      </w:r>
    </w:p>
    <w:p w14:paraId="6FFDF3DE" w14:textId="30F8BCC9" w:rsidR="005B32B0" w:rsidRDefault="0002747A" w:rsidP="00850FEB">
      <w:pPr>
        <w:pStyle w:val="NoSpacing"/>
        <w:spacing w:line="276" w:lineRule="auto"/>
        <w:ind w:firstLine="567"/>
        <w:jc w:val="both"/>
        <w:rPr>
          <w:szCs w:val="24"/>
        </w:rPr>
      </w:pPr>
      <w:r>
        <w:rPr>
          <w:szCs w:val="24"/>
        </w:rPr>
        <w:t>Līdz ar to, balstoties uz šiem apsv</w:t>
      </w:r>
      <w:r w:rsidR="00177637">
        <w:rPr>
          <w:szCs w:val="24"/>
        </w:rPr>
        <w:t xml:space="preserve">ērumiem, </w:t>
      </w:r>
      <w:r w:rsidR="00BF0B17">
        <w:rPr>
          <w:szCs w:val="24"/>
        </w:rPr>
        <w:t xml:space="preserve">Eiropas Savienības Tiesa </w:t>
      </w:r>
      <w:r w:rsidR="000661B6">
        <w:rPr>
          <w:szCs w:val="24"/>
        </w:rPr>
        <w:t>uzskatīja, ka uz personām, kuras ietilpst vienā no direktīvas I pielikum</w:t>
      </w:r>
      <w:r w:rsidR="00B41E04">
        <w:rPr>
          <w:szCs w:val="24"/>
        </w:rPr>
        <w:t>a</w:t>
      </w:r>
      <w:r w:rsidR="000661B6">
        <w:rPr>
          <w:szCs w:val="24"/>
        </w:rPr>
        <w:t xml:space="preserve"> </w:t>
      </w:r>
      <w:r w:rsidR="00025482">
        <w:rPr>
          <w:szCs w:val="24"/>
        </w:rPr>
        <w:t xml:space="preserve">7.punktā uzskaitītajām kategorijām, atbilstoši šai tiesību normai var netikt attiecināta garantija, ciktāl tām kredītiestādē pildāmo funkciju vai attiecību ar šo iestādi dēļ ir tāds informācijas un kompetences līmenis, kas tām ļauj zināt un novērtēt patieso finanšu stāvokli un </w:t>
      </w:r>
      <w:r w:rsidR="008C3082">
        <w:rPr>
          <w:szCs w:val="24"/>
        </w:rPr>
        <w:t xml:space="preserve">ar </w:t>
      </w:r>
      <w:r w:rsidR="00025482">
        <w:rPr>
          <w:szCs w:val="24"/>
        </w:rPr>
        <w:t>šīs iestādes darbību saistītos riskus (</w:t>
      </w:r>
      <w:r w:rsidR="00025482" w:rsidRPr="006D5138">
        <w:rPr>
          <w:i/>
          <w:szCs w:val="24"/>
        </w:rPr>
        <w:t>sprieduma 33.punkts</w:t>
      </w:r>
      <w:r w:rsidR="00025482">
        <w:rPr>
          <w:szCs w:val="24"/>
        </w:rPr>
        <w:t xml:space="preserve">). </w:t>
      </w:r>
      <w:r w:rsidR="00643468">
        <w:rPr>
          <w:szCs w:val="24"/>
        </w:rPr>
        <w:t xml:space="preserve">Tiesa arī pati norāda, ka </w:t>
      </w:r>
      <w:r w:rsidR="00CF7B33">
        <w:rPr>
          <w:szCs w:val="24"/>
        </w:rPr>
        <w:t>iepriekš minēto</w:t>
      </w:r>
      <w:r w:rsidR="00643468">
        <w:rPr>
          <w:szCs w:val="24"/>
        </w:rPr>
        <w:t xml:space="preserve"> konstatējumu </w:t>
      </w:r>
      <w:r w:rsidR="00B828BE">
        <w:rPr>
          <w:szCs w:val="24"/>
        </w:rPr>
        <w:t>apstiprina arī citu direktīvas I pielikumā paredzēto izņēmumu izvē</w:t>
      </w:r>
      <w:r w:rsidR="002A05EA">
        <w:rPr>
          <w:szCs w:val="24"/>
        </w:rPr>
        <w:t>r</w:t>
      </w:r>
      <w:r w:rsidR="00B828BE">
        <w:rPr>
          <w:szCs w:val="24"/>
        </w:rPr>
        <w:t>tējums</w:t>
      </w:r>
      <w:r w:rsidR="001922FC">
        <w:rPr>
          <w:szCs w:val="24"/>
        </w:rPr>
        <w:t>.</w:t>
      </w:r>
      <w:r w:rsidR="00B828BE">
        <w:rPr>
          <w:szCs w:val="24"/>
        </w:rPr>
        <w:t xml:space="preserve"> </w:t>
      </w:r>
      <w:r w:rsidR="001922FC">
        <w:rPr>
          <w:szCs w:val="24"/>
        </w:rPr>
        <w:t>Tā, piem</w:t>
      </w:r>
      <w:r w:rsidR="00F9225B">
        <w:rPr>
          <w:szCs w:val="24"/>
        </w:rPr>
        <w:t>ēram,</w:t>
      </w:r>
      <w:r w:rsidR="001922FC">
        <w:rPr>
          <w:szCs w:val="24"/>
        </w:rPr>
        <w:t xml:space="preserve"> viens no iemesliem, ka</w:t>
      </w:r>
      <w:r w:rsidR="00B41E04">
        <w:rPr>
          <w:szCs w:val="24"/>
        </w:rPr>
        <w:t>s</w:t>
      </w:r>
      <w:r w:rsidR="001922FC">
        <w:rPr>
          <w:szCs w:val="24"/>
        </w:rPr>
        <w:t xml:space="preserve"> var attaisnot fakultatīvu</w:t>
      </w:r>
      <w:r w:rsidR="00F9225B">
        <w:rPr>
          <w:szCs w:val="24"/>
        </w:rPr>
        <w:t xml:space="preserve"> </w:t>
      </w:r>
      <w:r w:rsidR="00E44D2E">
        <w:t>„</w:t>
      </w:r>
      <w:r w:rsidR="000259B7">
        <w:rPr>
          <w:szCs w:val="24"/>
        </w:rPr>
        <w:t xml:space="preserve">tuvu radinieku” un </w:t>
      </w:r>
      <w:r w:rsidR="00E44D2E">
        <w:t>„</w:t>
      </w:r>
      <w:r w:rsidR="000259B7">
        <w:rPr>
          <w:szCs w:val="24"/>
        </w:rPr>
        <w:t xml:space="preserve">trešo personu, kas rīkojas </w:t>
      </w:r>
      <w:r w:rsidR="00C14FD4">
        <w:rPr>
          <w:szCs w:val="24"/>
        </w:rPr>
        <w:t xml:space="preserve">7.punktā minēto noguldītāju vārdā” izslēgšanu, ir tas, ka šiem subjektiem </w:t>
      </w:r>
      <w:r w:rsidR="001922FC">
        <w:rPr>
          <w:szCs w:val="24"/>
        </w:rPr>
        <w:t>var būt zināma tā pati informācija, kas ir zināma minētajā 7.punktā uzskaitītajām personām (</w:t>
      </w:r>
      <w:r w:rsidR="001922FC" w:rsidRPr="001922FC">
        <w:rPr>
          <w:i/>
          <w:szCs w:val="24"/>
        </w:rPr>
        <w:t>sprieduma 34.punkts</w:t>
      </w:r>
      <w:r w:rsidR="001922FC">
        <w:rPr>
          <w:szCs w:val="24"/>
        </w:rPr>
        <w:t>).</w:t>
      </w:r>
    </w:p>
    <w:p w14:paraId="5AA31604" w14:textId="149EEC8F" w:rsidR="00D43F56" w:rsidRDefault="00C7716F" w:rsidP="00D43F56">
      <w:pPr>
        <w:pStyle w:val="NoSpacing"/>
        <w:spacing w:line="276" w:lineRule="auto"/>
        <w:ind w:firstLine="567"/>
        <w:jc w:val="both"/>
      </w:pPr>
      <w:r>
        <w:rPr>
          <w:szCs w:val="24"/>
        </w:rPr>
        <w:t>Tādējādi, k</w:t>
      </w:r>
      <w:r w:rsidR="007F4ABF">
        <w:rPr>
          <w:szCs w:val="24"/>
        </w:rPr>
        <w:t xml:space="preserve">ā redzams, </w:t>
      </w:r>
      <w:r w:rsidR="00DF0295">
        <w:rPr>
          <w:szCs w:val="24"/>
        </w:rPr>
        <w:t xml:space="preserve">atbilstoši </w:t>
      </w:r>
      <w:r w:rsidR="00D24FD6">
        <w:rPr>
          <w:szCs w:val="24"/>
        </w:rPr>
        <w:t>Eiropas Savienības Tiesa</w:t>
      </w:r>
      <w:r w:rsidR="00FC5A9D">
        <w:rPr>
          <w:szCs w:val="24"/>
        </w:rPr>
        <w:t>s</w:t>
      </w:r>
      <w:r w:rsidR="007F4ABF">
        <w:rPr>
          <w:szCs w:val="24"/>
        </w:rPr>
        <w:t xml:space="preserve"> </w:t>
      </w:r>
      <w:r w:rsidR="009058C5">
        <w:rPr>
          <w:szCs w:val="24"/>
        </w:rPr>
        <w:t xml:space="preserve">veiktajai </w:t>
      </w:r>
      <w:r w:rsidR="00270ADC">
        <w:rPr>
          <w:szCs w:val="24"/>
        </w:rPr>
        <w:t>minētās tiesību normas interpretācij</w:t>
      </w:r>
      <w:r w:rsidR="009058C5">
        <w:rPr>
          <w:szCs w:val="24"/>
        </w:rPr>
        <w:t>ai</w:t>
      </w:r>
      <w:r w:rsidR="00171E17">
        <w:rPr>
          <w:szCs w:val="24"/>
        </w:rPr>
        <w:t>, lai noteiktu, vai persona</w:t>
      </w:r>
      <w:r w:rsidR="00D74857">
        <w:rPr>
          <w:szCs w:val="24"/>
        </w:rPr>
        <w:t xml:space="preserve"> </w:t>
      </w:r>
      <w:r w:rsidR="009058C5">
        <w:rPr>
          <w:szCs w:val="24"/>
        </w:rPr>
        <w:t>ir</w:t>
      </w:r>
      <w:r w:rsidR="00171E17">
        <w:rPr>
          <w:szCs w:val="24"/>
        </w:rPr>
        <w:t xml:space="preserve"> direktīvas I pielikuma 7.punktā minēt</w:t>
      </w:r>
      <w:r w:rsidR="009058C5">
        <w:rPr>
          <w:szCs w:val="24"/>
        </w:rPr>
        <w:t>ā</w:t>
      </w:r>
      <w:r w:rsidR="00171E17">
        <w:rPr>
          <w:szCs w:val="24"/>
        </w:rPr>
        <w:t xml:space="preserve"> person</w:t>
      </w:r>
      <w:r w:rsidR="009058C5">
        <w:rPr>
          <w:szCs w:val="24"/>
        </w:rPr>
        <w:t>a</w:t>
      </w:r>
      <w:r w:rsidR="00171E17">
        <w:rPr>
          <w:szCs w:val="24"/>
        </w:rPr>
        <w:t>, kur</w:t>
      </w:r>
      <w:r w:rsidR="009058C5">
        <w:rPr>
          <w:szCs w:val="24"/>
        </w:rPr>
        <w:t xml:space="preserve">ai </w:t>
      </w:r>
      <w:r w:rsidR="00171E17">
        <w:rPr>
          <w:szCs w:val="24"/>
        </w:rPr>
        <w:t>nav piešķirama noguldījumu garantija,</w:t>
      </w:r>
      <w:r w:rsidR="00270ADC">
        <w:rPr>
          <w:szCs w:val="24"/>
        </w:rPr>
        <w:t xml:space="preserve"> </w:t>
      </w:r>
      <w:r w:rsidR="007F7797">
        <w:rPr>
          <w:szCs w:val="24"/>
        </w:rPr>
        <w:t xml:space="preserve">ir jāņem vērā ne tikai personas </w:t>
      </w:r>
      <w:r w:rsidR="00F655ED">
        <w:rPr>
          <w:szCs w:val="24"/>
        </w:rPr>
        <w:t>pildāmā</w:t>
      </w:r>
      <w:r w:rsidR="007F7797">
        <w:rPr>
          <w:szCs w:val="24"/>
        </w:rPr>
        <w:t>s</w:t>
      </w:r>
      <w:r w:rsidR="00F655ED">
        <w:rPr>
          <w:szCs w:val="24"/>
        </w:rPr>
        <w:t xml:space="preserve"> funkcij</w:t>
      </w:r>
      <w:r w:rsidR="007F7797">
        <w:rPr>
          <w:szCs w:val="24"/>
        </w:rPr>
        <w:t>as kredītiestādē</w:t>
      </w:r>
      <w:r w:rsidR="00F655ED">
        <w:rPr>
          <w:szCs w:val="24"/>
        </w:rPr>
        <w:t>, bet arī personas attiecīb</w:t>
      </w:r>
      <w:r w:rsidR="007F7797">
        <w:rPr>
          <w:szCs w:val="24"/>
        </w:rPr>
        <w:t>as</w:t>
      </w:r>
      <w:r w:rsidR="00F655ED">
        <w:rPr>
          <w:szCs w:val="24"/>
        </w:rPr>
        <w:t xml:space="preserve"> ar šo iestādi.</w:t>
      </w:r>
      <w:r w:rsidR="00526277">
        <w:rPr>
          <w:szCs w:val="24"/>
        </w:rPr>
        <w:t xml:space="preserve"> Šāds izvērtējums ir vērsts </w:t>
      </w:r>
      <w:r w:rsidR="00D21042">
        <w:rPr>
          <w:szCs w:val="24"/>
        </w:rPr>
        <w:t xml:space="preserve">tieši </w:t>
      </w:r>
      <w:r w:rsidR="00526277">
        <w:rPr>
          <w:szCs w:val="24"/>
        </w:rPr>
        <w:t xml:space="preserve">uz to, lai </w:t>
      </w:r>
      <w:r w:rsidR="007B2858">
        <w:rPr>
          <w:szCs w:val="24"/>
        </w:rPr>
        <w:t xml:space="preserve">noskaidrotu, kāds ir </w:t>
      </w:r>
      <w:r w:rsidR="007B2858" w:rsidRPr="00907BFD">
        <w:rPr>
          <w:szCs w:val="24"/>
        </w:rPr>
        <w:t xml:space="preserve">konkrētās personas </w:t>
      </w:r>
      <w:r w:rsidR="00C322D9" w:rsidRPr="00907BFD">
        <w:rPr>
          <w:szCs w:val="24"/>
        </w:rPr>
        <w:t xml:space="preserve">patiesais </w:t>
      </w:r>
      <w:r w:rsidR="007B2858" w:rsidRPr="00907BFD">
        <w:rPr>
          <w:szCs w:val="24"/>
        </w:rPr>
        <w:t>informētības līmenis par kredītiestādes finanšu stāvokli un riskiem</w:t>
      </w:r>
      <w:r w:rsidR="00786249">
        <w:rPr>
          <w:szCs w:val="24"/>
        </w:rPr>
        <w:t xml:space="preserve">. </w:t>
      </w:r>
      <w:r w:rsidR="00C44B85">
        <w:rPr>
          <w:szCs w:val="24"/>
        </w:rPr>
        <w:t>T</w:t>
      </w:r>
      <w:r w:rsidR="00786249">
        <w:rPr>
          <w:szCs w:val="24"/>
        </w:rPr>
        <w:t>iesa direktīvas I pielikuma 7.punktā minētos izņēmumus ir interpretējusi sistēmiski</w:t>
      </w:r>
      <w:r w:rsidR="00D21042">
        <w:rPr>
          <w:szCs w:val="24"/>
        </w:rPr>
        <w:t>, norādot,</w:t>
      </w:r>
      <w:r w:rsidR="00786249">
        <w:rPr>
          <w:szCs w:val="24"/>
        </w:rPr>
        <w:t xml:space="preserve"> ka visus šajā normā minētos izņēmums vieno </w:t>
      </w:r>
      <w:r w:rsidR="00846F3B">
        <w:rPr>
          <w:szCs w:val="24"/>
        </w:rPr>
        <w:t>tas, vai personas kompetences un informētības līmenis pārsniedz vidusmēra noguldītāja informācijas līmeni</w:t>
      </w:r>
      <w:r w:rsidR="007B2858" w:rsidRPr="00907BFD">
        <w:rPr>
          <w:szCs w:val="24"/>
        </w:rPr>
        <w:t xml:space="preserve">. </w:t>
      </w:r>
      <w:r w:rsidR="00C322D9" w:rsidRPr="00907BFD">
        <w:rPr>
          <w:szCs w:val="24"/>
        </w:rPr>
        <w:t>Tādējādi</w:t>
      </w:r>
      <w:r w:rsidR="00850FEB" w:rsidRPr="00907BFD">
        <w:t xml:space="preserve"> neatkarīgi no </w:t>
      </w:r>
      <w:r w:rsidR="00C322D9" w:rsidRPr="00907BFD">
        <w:t xml:space="preserve">personas </w:t>
      </w:r>
      <w:r w:rsidR="00850FEB" w:rsidRPr="00907BFD">
        <w:t xml:space="preserve">ieņemamā amata </w:t>
      </w:r>
      <w:r w:rsidR="00C322D9" w:rsidRPr="00907BFD">
        <w:t xml:space="preserve">kredītiestādē vai ar kredītiestādi saistītā </w:t>
      </w:r>
      <w:r w:rsidR="00B94A1B">
        <w:t>sabiedrīb</w:t>
      </w:r>
      <w:r w:rsidR="00C322D9" w:rsidRPr="00907BFD">
        <w:t xml:space="preserve">ā, piemēram, kredītiestādes grupas sabiedrībās, </w:t>
      </w:r>
      <w:r w:rsidR="00850FEB" w:rsidRPr="00907BFD">
        <w:t xml:space="preserve">ir būtiski, </w:t>
      </w:r>
      <w:r w:rsidR="00C322D9" w:rsidRPr="00907BFD">
        <w:t xml:space="preserve">konstatēt, </w:t>
      </w:r>
      <w:r w:rsidR="00850FEB" w:rsidRPr="00907BFD">
        <w:t xml:space="preserve">vai personai </w:t>
      </w:r>
      <w:r w:rsidR="00C322D9" w:rsidRPr="00907BFD">
        <w:t>bija tāds</w:t>
      </w:r>
      <w:r w:rsidR="00850FEB" w:rsidRPr="00907BFD">
        <w:t xml:space="preserve"> </w:t>
      </w:r>
      <w:r w:rsidR="00C322D9" w:rsidRPr="00907BFD">
        <w:t xml:space="preserve">kompetences un </w:t>
      </w:r>
      <w:r w:rsidR="00850FEB" w:rsidRPr="00907BFD">
        <w:t>inform</w:t>
      </w:r>
      <w:r w:rsidR="00C322D9" w:rsidRPr="00907BFD">
        <w:t>ētības</w:t>
      </w:r>
      <w:r w:rsidR="00850FEB" w:rsidRPr="00907BFD">
        <w:t xml:space="preserve"> </w:t>
      </w:r>
      <w:r w:rsidR="00C322D9" w:rsidRPr="00907BFD">
        <w:t>l</w:t>
      </w:r>
      <w:r w:rsidR="00850FEB" w:rsidRPr="00907BFD">
        <w:t xml:space="preserve">īmenis, kas tai </w:t>
      </w:r>
      <w:r w:rsidR="007F175E" w:rsidRPr="00907BFD">
        <w:t xml:space="preserve">iepretim vidusmēra noguldītājam </w:t>
      </w:r>
      <w:r w:rsidR="00850FEB" w:rsidRPr="00907BFD">
        <w:t>ļ</w:t>
      </w:r>
      <w:r w:rsidR="007F175E" w:rsidRPr="00907BFD">
        <w:t>āva</w:t>
      </w:r>
      <w:r w:rsidR="00850FEB" w:rsidRPr="00907BFD">
        <w:t xml:space="preserve"> novērtēt kredītiestādes patieso finanšu stāvokli un a</w:t>
      </w:r>
      <w:r w:rsidR="005552F3" w:rsidRPr="00907BFD">
        <w:t>r tās darbību saistītos riskus.</w:t>
      </w:r>
      <w:r w:rsidR="005C3493">
        <w:t xml:space="preserve"> Tādējādi apgabaltiesa, noskaidrojot iepriekš minētos apstākļus</w:t>
      </w:r>
      <w:r w:rsidR="00934071">
        <w:t xml:space="preserve"> par pieteicēja informētības līmeni par bankas finanšu stāvokli</w:t>
      </w:r>
      <w:r w:rsidR="005C3493">
        <w:t>, varēja vērtēt pieteicēja</w:t>
      </w:r>
      <w:r w:rsidR="00D43F56">
        <w:t xml:space="preserve"> darbību ar banku saistītajās sabiedrīb</w:t>
      </w:r>
      <w:r w:rsidR="00CB1428">
        <w:t>ās.</w:t>
      </w:r>
    </w:p>
    <w:p w14:paraId="691EC725" w14:textId="2E131106" w:rsidR="007357D5" w:rsidRDefault="00A21F6B" w:rsidP="007357D5">
      <w:pPr>
        <w:pStyle w:val="NoSpacing"/>
        <w:spacing w:line="276" w:lineRule="auto"/>
        <w:ind w:firstLine="567"/>
        <w:jc w:val="both"/>
      </w:pPr>
      <w:r>
        <w:t>Turkl</w:t>
      </w:r>
      <w:r w:rsidR="00942744">
        <w:t xml:space="preserve">āt </w:t>
      </w:r>
      <w:r w:rsidR="004F13BE">
        <w:t>pieteicēja darbība ar banku saistītaj</w:t>
      </w:r>
      <w:r w:rsidR="00990D30">
        <w:t>ā</w:t>
      </w:r>
      <w:r w:rsidR="004F13BE">
        <w:t xml:space="preserve">s </w:t>
      </w:r>
      <w:r w:rsidR="00990D30">
        <w:t>sabiedrībā</w:t>
      </w:r>
      <w:r w:rsidR="004F13BE">
        <w:t xml:space="preserve">s, tostarp Latvijas Krājbankas lielākā akcionāra </w:t>
      </w:r>
      <w:r w:rsidR="005B0AF4">
        <w:t xml:space="preserve">Lietuvas Snoras Bankas </w:t>
      </w:r>
      <w:r w:rsidR="004F13BE">
        <w:t>pārvaldes institūcijās bija tikai papildu arguments tiesas vērtējum</w:t>
      </w:r>
      <w:r w:rsidR="00143BDA">
        <w:t>ā</w:t>
      </w:r>
      <w:r w:rsidR="007C3E83">
        <w:t xml:space="preserve"> par pieteicēja informētības līmeni</w:t>
      </w:r>
      <w:r w:rsidR="00143BDA">
        <w:t xml:space="preserve">. Apgabaltiesa pieteicēja atbilstību </w:t>
      </w:r>
      <w:r w:rsidR="00DC6DD4">
        <w:t xml:space="preserve">direktīvas </w:t>
      </w:r>
      <w:r w:rsidR="00DC6DD4">
        <w:lastRenderedPageBreak/>
        <w:t xml:space="preserve">I </w:t>
      </w:r>
      <w:r w:rsidR="00902D2A">
        <w:t>p</w:t>
      </w:r>
      <w:r w:rsidR="00DC6DD4">
        <w:t>ie</w:t>
      </w:r>
      <w:r w:rsidR="00902D2A">
        <w:t>li</w:t>
      </w:r>
      <w:r w:rsidR="00DC6DD4">
        <w:t>kuma 7.punktā minētajiem izņēmumiem</w:t>
      </w:r>
      <w:r w:rsidR="00143BDA">
        <w:t xml:space="preserve"> pamatā konstatēja jau no pieteicēja ilgstošās darbības Latvijas Krājbankas pārvaldes institūcijās.</w:t>
      </w:r>
    </w:p>
    <w:p w14:paraId="57C1EA1B" w14:textId="77777777" w:rsidR="007357D5" w:rsidRDefault="007357D5" w:rsidP="007357D5">
      <w:pPr>
        <w:pStyle w:val="NoSpacing"/>
        <w:spacing w:line="276" w:lineRule="auto"/>
        <w:ind w:firstLine="567"/>
        <w:jc w:val="both"/>
      </w:pPr>
    </w:p>
    <w:p w14:paraId="03921145" w14:textId="485964C3" w:rsidR="00B61B15" w:rsidRDefault="00DD37D1" w:rsidP="00A44688">
      <w:pPr>
        <w:pStyle w:val="NoSpacing"/>
        <w:spacing w:line="276" w:lineRule="auto"/>
        <w:ind w:firstLine="567"/>
        <w:jc w:val="both"/>
      </w:pPr>
      <w:r>
        <w:t>[</w:t>
      </w:r>
      <w:r w:rsidR="003A52A3">
        <w:t>14</w:t>
      </w:r>
      <w:r>
        <w:t>]</w:t>
      </w:r>
      <w:r w:rsidR="007357D5">
        <w:t xml:space="preserve"> </w:t>
      </w:r>
      <w:r w:rsidR="00A44688">
        <w:t>Pieteicējs kasācijas sūdzībā nepiekr</w:t>
      </w:r>
      <w:r w:rsidR="008B4748">
        <w:t>īt</w:t>
      </w:r>
      <w:r w:rsidR="00A44688">
        <w:t xml:space="preserve">, kā tiesa ir novērtējusi pierādījumus par to, ka pieteicēja pakļautībā bija </w:t>
      </w:r>
      <w:r w:rsidR="00C25B46">
        <w:t>Latvijas Krāj</w:t>
      </w:r>
      <w:r w:rsidR="00A44688">
        <w:t>bankas Revidentu dienests</w:t>
      </w:r>
      <w:r w:rsidR="00DA3569">
        <w:t>.</w:t>
      </w:r>
      <w:r w:rsidR="00A44688">
        <w:t xml:space="preserve"> </w:t>
      </w:r>
      <w:r w:rsidR="00DA3569">
        <w:t>No lietas materiāliem, uz kuriem spriedumā ir atsaukusies apgabaltiesa, tieši izriet, ka pieteicēja pakļautībā bija bankas Revidentu dienests</w:t>
      </w:r>
      <w:r w:rsidR="00414C1C">
        <w:t xml:space="preserve"> (</w:t>
      </w:r>
      <w:r w:rsidR="00557945" w:rsidRPr="00876007">
        <w:rPr>
          <w:i/>
        </w:rPr>
        <w:t>s</w:t>
      </w:r>
      <w:r w:rsidR="00414C1C" w:rsidRPr="00876007">
        <w:rPr>
          <w:i/>
        </w:rPr>
        <w:t>pri</w:t>
      </w:r>
      <w:r w:rsidR="00557945" w:rsidRPr="00876007">
        <w:rPr>
          <w:i/>
        </w:rPr>
        <w:t>e</w:t>
      </w:r>
      <w:r w:rsidR="00414C1C" w:rsidRPr="00876007">
        <w:rPr>
          <w:i/>
        </w:rPr>
        <w:t xml:space="preserve">duma </w:t>
      </w:r>
      <w:r w:rsidR="00876007" w:rsidRPr="00876007">
        <w:rPr>
          <w:i/>
        </w:rPr>
        <w:t>15.punkts</w:t>
      </w:r>
      <w:r w:rsidR="00876007">
        <w:t>)</w:t>
      </w:r>
      <w:r w:rsidR="00DA3569">
        <w:t>. Tādējādi šis arguments ir acīmredzami nepamatots.</w:t>
      </w:r>
    </w:p>
    <w:p w14:paraId="079C0CB4" w14:textId="77777777" w:rsidR="00E4112B" w:rsidRDefault="0096157E" w:rsidP="00A44688">
      <w:pPr>
        <w:pStyle w:val="NoSpacing"/>
        <w:spacing w:line="276" w:lineRule="auto"/>
        <w:ind w:firstLine="567"/>
        <w:jc w:val="both"/>
      </w:pPr>
      <w:r>
        <w:t>P</w:t>
      </w:r>
      <w:r w:rsidR="00DA3569">
        <w:t xml:space="preserve">ieteicējs </w:t>
      </w:r>
      <w:r>
        <w:t>ar</w:t>
      </w:r>
      <w:r w:rsidR="0086329D">
        <w:t xml:space="preserve">ī </w:t>
      </w:r>
      <w:r w:rsidR="00DA3569">
        <w:t xml:space="preserve">nepiekrīt tiesas vērtējumam </w:t>
      </w:r>
      <w:r w:rsidR="00A44688">
        <w:t xml:space="preserve">par pieteicēja darbību ar banku saistītajās sabiedrībās, uzskatot, ka tiesai bija jāvāc papildu pierādījumi. </w:t>
      </w:r>
      <w:r w:rsidR="00DA3569">
        <w:t>Kā minēts iepriekš, tiesa spriedumā no pierādījumiem lietā bija konstat</w:t>
      </w:r>
      <w:r w:rsidR="00663717">
        <w:t xml:space="preserve">ējusi, ka pieteicēja kompetences un informētības līmenis bija tāds, ka </w:t>
      </w:r>
      <w:r w:rsidR="00C32B2B">
        <w:t>piet</w:t>
      </w:r>
      <w:r w:rsidR="003B38C1">
        <w:t>e</w:t>
      </w:r>
      <w:r w:rsidR="00C32B2B">
        <w:t xml:space="preserve">icējs atbilst direktīvas I pielikuma 7.punktā minētajam izņēmumam. Tiesas </w:t>
      </w:r>
      <w:r w:rsidR="00B61B15">
        <w:t xml:space="preserve">detalizētais </w:t>
      </w:r>
      <w:r w:rsidR="00C32B2B">
        <w:t>vērtējums ir loģisks un atbilst Eiropas Savienības Tiesas un Augstākās tiesas spriedumā ietvertajai tiesību normu interpretācijai.</w:t>
      </w:r>
    </w:p>
    <w:p w14:paraId="7A8D18D2" w14:textId="7D65255F" w:rsidR="00DD58B4" w:rsidRDefault="00B61B15" w:rsidP="00A44688">
      <w:pPr>
        <w:pStyle w:val="NoSpacing"/>
        <w:spacing w:line="276" w:lineRule="auto"/>
        <w:ind w:firstLine="567"/>
        <w:jc w:val="both"/>
      </w:pPr>
      <w:r>
        <w:t>Pretēji pieteicēja argumentam direktīvas I</w:t>
      </w:r>
      <w:r w:rsidR="00F11879">
        <w:t> </w:t>
      </w:r>
      <w:r>
        <w:t xml:space="preserve">pielikuma izņēmumu piemērošanai nav būtiski, vai padomes un valdes locekļi ir bijuši iecelti atbilstoši Komerclikumā noteiktajai kārtībai, tā kā būtiski ir tas, vai konkrētajā amatā persona faktiski bija apveltīta ar tādu kompetences un informētības līmeni par bankas finanšu stāvokli, kāds nav vidusmēra noguldītājam. </w:t>
      </w:r>
      <w:r w:rsidR="00E4112B">
        <w:t xml:space="preserve">Visi būtiskie lietas apstākļi </w:t>
      </w:r>
      <w:r w:rsidR="00DD58B4">
        <w:t>ir tikuši izvērtēti.</w:t>
      </w:r>
    </w:p>
    <w:p w14:paraId="5C01207F" w14:textId="2BE41B23" w:rsidR="00A44688" w:rsidRDefault="00B61B15" w:rsidP="00A44688">
      <w:pPr>
        <w:pStyle w:val="NoSpacing"/>
        <w:spacing w:line="276" w:lineRule="auto"/>
        <w:ind w:firstLine="567"/>
        <w:jc w:val="both"/>
      </w:pPr>
      <w:r>
        <w:t xml:space="preserve">Līdz ar to, tā kā tiesas konstatētie apstākļi bija pietiekami secinājuma izdarīšanai par pieteicēja atbilstību direktīvas I pielikuma izņēmumiem un līdz ar to arī Noguldījumu garantiju likuma </w:t>
      </w:r>
      <w:proofErr w:type="gramStart"/>
      <w:r>
        <w:t>17.panta</w:t>
      </w:r>
      <w:proofErr w:type="gramEnd"/>
      <w:r>
        <w:t xml:space="preserve"> 4.punktam,</w:t>
      </w:r>
      <w:r w:rsidR="00C32B2B">
        <w:t xml:space="preserve"> </w:t>
      </w:r>
      <w:r>
        <w:t>apgabaltiesai</w:t>
      </w:r>
      <w:r w:rsidR="00C32B2B">
        <w:t xml:space="preserve"> nebija jāvāc papildu pierādījumi lietā. Tā kā p</w:t>
      </w:r>
      <w:r w:rsidR="00A44688">
        <w:t xml:space="preserve">ieteicēja argumenti šajā jautājumā </w:t>
      </w:r>
      <w:r w:rsidR="003173F7">
        <w:t xml:space="preserve">ir </w:t>
      </w:r>
      <w:r w:rsidR="00A44688">
        <w:t xml:space="preserve">vērsti uz pierādījumu pārvērtēšanu, </w:t>
      </w:r>
      <w:r w:rsidR="00DA2A31">
        <w:t>k</w:t>
      </w:r>
      <w:r w:rsidR="00A44688">
        <w:t xml:space="preserve">as atbilstoši Administratīvā procesa likuma </w:t>
      </w:r>
      <w:proofErr w:type="gramStart"/>
      <w:r w:rsidR="00A44688">
        <w:t>325.pantam</w:t>
      </w:r>
      <w:proofErr w:type="gramEnd"/>
      <w:r w:rsidR="00A44688">
        <w:t xml:space="preserve"> nav kasācijas instances tiesas kompetencē</w:t>
      </w:r>
      <w:r w:rsidR="00DA2A31">
        <w:t>, tie ir noraid</w:t>
      </w:r>
      <w:r w:rsidR="00C71C11">
        <w:t>āmi.</w:t>
      </w:r>
    </w:p>
    <w:p w14:paraId="59531E7C" w14:textId="77777777" w:rsidR="00A44688" w:rsidRDefault="00A44688" w:rsidP="0015210C">
      <w:pPr>
        <w:pStyle w:val="NoSpacing"/>
        <w:spacing w:line="276" w:lineRule="auto"/>
        <w:ind w:firstLine="567"/>
        <w:jc w:val="both"/>
      </w:pPr>
    </w:p>
    <w:p w14:paraId="376B9394" w14:textId="15FE0018" w:rsidR="007A70C9" w:rsidRDefault="00A44688" w:rsidP="00850AF9">
      <w:pPr>
        <w:pStyle w:val="NoSpacing"/>
        <w:spacing w:line="276" w:lineRule="auto"/>
        <w:ind w:firstLine="567"/>
        <w:jc w:val="both"/>
      </w:pPr>
      <w:r>
        <w:t>[</w:t>
      </w:r>
      <w:r w:rsidR="003A52A3">
        <w:t>15</w:t>
      </w:r>
      <w:r>
        <w:t>]</w:t>
      </w:r>
      <w:r w:rsidR="00F54575">
        <w:t xml:space="preserve"> </w:t>
      </w:r>
      <w:r w:rsidR="00D21042">
        <w:t xml:space="preserve">Attiecībā uz </w:t>
      </w:r>
      <w:r w:rsidR="00F54575">
        <w:t xml:space="preserve">pieteicēja argumentu par vienlīdzības principa </w:t>
      </w:r>
      <w:r w:rsidR="00C65562">
        <w:t xml:space="preserve">neievērošanu </w:t>
      </w:r>
      <w:r w:rsidR="003F1E1A">
        <w:t xml:space="preserve">saistībā </w:t>
      </w:r>
      <w:r w:rsidR="00C65562">
        <w:t>ar administratīvo lietu Nr. </w:t>
      </w:r>
      <w:r w:rsidR="00AD7E7E">
        <w:t>A</w:t>
      </w:r>
      <w:r w:rsidR="00C65562">
        <w:t xml:space="preserve">43010612, konstatējams, ka </w:t>
      </w:r>
      <w:r w:rsidR="008D53D3">
        <w:t xml:space="preserve">šajā lietā Administratīvā apgabaltiesa ar </w:t>
      </w:r>
      <w:proofErr w:type="gramStart"/>
      <w:r w:rsidR="008D53D3">
        <w:t>2016.gada</w:t>
      </w:r>
      <w:proofErr w:type="gramEnd"/>
      <w:r w:rsidR="008D53D3">
        <w:t xml:space="preserve"> 21.jūnija spriedumu apmierināja pieteicējas </w:t>
      </w:r>
      <w:r w:rsidR="00B05FE9">
        <w:t>[pers. E]</w:t>
      </w:r>
      <w:r w:rsidR="008D53D3">
        <w:t xml:space="preserve"> pieteikumu.</w:t>
      </w:r>
    </w:p>
    <w:p w14:paraId="4D462107" w14:textId="1BFA998C" w:rsidR="00850AF9" w:rsidRDefault="00B05FE9" w:rsidP="00850AF9">
      <w:pPr>
        <w:pStyle w:val="NoSpacing"/>
        <w:spacing w:line="276" w:lineRule="auto"/>
        <w:ind w:firstLine="567"/>
        <w:jc w:val="both"/>
      </w:pPr>
      <w:r>
        <w:t>[pers. E]</w:t>
      </w:r>
      <w:r w:rsidR="008D53D3">
        <w:t xml:space="preserve"> </w:t>
      </w:r>
      <w:r w:rsidR="00E15572">
        <w:t xml:space="preserve">bija </w:t>
      </w:r>
      <w:r w:rsidR="007A4BBF">
        <w:t>viena no Latvijas Krājbankas viceprezident</w:t>
      </w:r>
      <w:r w:rsidR="008B340A">
        <w:t>iem</w:t>
      </w:r>
      <w:r w:rsidR="007A4BBF">
        <w:t>.</w:t>
      </w:r>
      <w:r w:rsidR="008B340A">
        <w:t xml:space="preserve"> M</w:t>
      </w:r>
      <w:r w:rsidR="00AB7F27">
        <w:t>inēt</w:t>
      </w:r>
      <w:r w:rsidR="008B340A">
        <w:t>aj</w:t>
      </w:r>
      <w:r w:rsidR="00AB7F27">
        <w:t>ā apgabaltiesas spriedum</w:t>
      </w:r>
      <w:r w:rsidR="008B340A">
        <w:t xml:space="preserve">ā </w:t>
      </w:r>
      <w:r w:rsidR="000B37F5">
        <w:t>secināts</w:t>
      </w:r>
      <w:r w:rsidR="00AB7F27">
        <w:t xml:space="preserve">, ka </w:t>
      </w:r>
      <w:proofErr w:type="gramStart"/>
      <w:r>
        <w:t>[</w:t>
      </w:r>
      <w:proofErr w:type="gramEnd"/>
      <w:r>
        <w:t>pers. E]</w:t>
      </w:r>
      <w:r w:rsidR="00D437CD">
        <w:t xml:space="preserve"> bija</w:t>
      </w:r>
      <w:r w:rsidR="00AB7F27">
        <w:t xml:space="preserve"> darbojusies amatos gan Latvijas Krājbankā, gan </w:t>
      </w:r>
      <w:r w:rsidR="00E80B92">
        <w:t xml:space="preserve">krājbankas meitas sabiedrībās. Tomēr pretēji pieteicēja kasācijas sūdzībā norādītajam, </w:t>
      </w:r>
      <w:r w:rsidR="007A70C9">
        <w:t>apgabal</w:t>
      </w:r>
      <w:r w:rsidR="00E80B92">
        <w:t xml:space="preserve">tiesa nebija apmierinājusi </w:t>
      </w:r>
      <w:proofErr w:type="gramStart"/>
      <w:r>
        <w:t>[</w:t>
      </w:r>
      <w:proofErr w:type="gramEnd"/>
      <w:r>
        <w:t>pers. E]</w:t>
      </w:r>
      <w:r w:rsidR="00381067">
        <w:t xml:space="preserve"> </w:t>
      </w:r>
      <w:r w:rsidR="00E80B92">
        <w:t xml:space="preserve">pieteikumu tikai tāpēc, ka </w:t>
      </w:r>
      <w:r w:rsidR="00E80B92">
        <w:rPr>
          <w:szCs w:val="24"/>
        </w:rPr>
        <w:t xml:space="preserve">valdes locekļa amats Latvijas Krājbankas meitas sabiedrībās nebija šķērslis garantētās atlīdzības saņemšanai. </w:t>
      </w:r>
      <w:r w:rsidR="00454F96">
        <w:rPr>
          <w:szCs w:val="24"/>
        </w:rPr>
        <w:t>Apgabalt</w:t>
      </w:r>
      <w:r w:rsidR="00E80B92">
        <w:t xml:space="preserve">iesa, ievērojot Eiropas Savienības Tiesas sniegto direktīvas </w:t>
      </w:r>
      <w:r w:rsidR="00625FE2">
        <w:t xml:space="preserve">normu </w:t>
      </w:r>
      <w:r w:rsidR="00E80B92">
        <w:t xml:space="preserve">interpretāciju, </w:t>
      </w:r>
      <w:r w:rsidR="002620FF">
        <w:t xml:space="preserve">izvērtēja </w:t>
      </w:r>
      <w:r w:rsidR="001A5F4F">
        <w:t xml:space="preserve">visus </w:t>
      </w:r>
      <w:proofErr w:type="gramStart"/>
      <w:r>
        <w:t>[</w:t>
      </w:r>
      <w:proofErr w:type="gramEnd"/>
      <w:r>
        <w:t>pers. E]</w:t>
      </w:r>
      <w:r w:rsidR="002620FF">
        <w:t xml:space="preserve"> vei</w:t>
      </w:r>
      <w:r w:rsidR="00A80C86">
        <w:t>ktos</w:t>
      </w:r>
      <w:r w:rsidR="002620FF">
        <w:t xml:space="preserve"> amatus </w:t>
      </w:r>
      <w:r w:rsidR="002620FF" w:rsidRPr="00457CC6">
        <w:rPr>
          <w:i/>
        </w:rPr>
        <w:t>funkcionāli</w:t>
      </w:r>
      <w:r w:rsidR="00143098">
        <w:rPr>
          <w:i/>
        </w:rPr>
        <w:t>.</w:t>
      </w:r>
      <w:r w:rsidR="002620FF">
        <w:t xml:space="preserve"> </w:t>
      </w:r>
      <w:r w:rsidR="001A5F4F">
        <w:t>Apgabalt</w:t>
      </w:r>
      <w:r w:rsidR="00143098">
        <w:t xml:space="preserve">iesa </w:t>
      </w:r>
      <w:r w:rsidR="002620FF">
        <w:t xml:space="preserve">secināja, ka </w:t>
      </w:r>
      <w:proofErr w:type="gramStart"/>
      <w:r>
        <w:t>[</w:t>
      </w:r>
      <w:proofErr w:type="gramEnd"/>
      <w:r>
        <w:t>pers. E]</w:t>
      </w:r>
      <w:r w:rsidR="00E14C3C">
        <w:t xml:space="preserve"> pienākumi bija saistīti ar </w:t>
      </w:r>
      <w:r w:rsidR="00E81DA0">
        <w:t xml:space="preserve">bankas nekustamo īpašumu apsaimniekošanu un inkasācijas darbībām, bet atbilstoši pierādījumiem lietā šīs darbības nav bijušas būtiskas no informācijas viedokļa par bankas </w:t>
      </w:r>
      <w:r w:rsidR="00805E3C">
        <w:t>finanšu stāvokli.</w:t>
      </w:r>
      <w:r w:rsidR="00A86135">
        <w:t xml:space="preserve"> </w:t>
      </w:r>
      <w:r>
        <w:t>[pers. E]</w:t>
      </w:r>
      <w:r w:rsidR="004C7952">
        <w:t xml:space="preserve"> arī nebija iekļauta kredītiestādes organizatoriskajā struktūrā</w:t>
      </w:r>
      <w:r w:rsidR="00B855CC">
        <w:t>,</w:t>
      </w:r>
      <w:r w:rsidR="004C7952">
        <w:t xml:space="preserve"> viņai </w:t>
      </w:r>
      <w:r w:rsidR="00BD0BF5">
        <w:t xml:space="preserve">arī </w:t>
      </w:r>
      <w:r w:rsidR="004C7952">
        <w:t xml:space="preserve">nebija </w:t>
      </w:r>
      <w:r w:rsidR="008001DB">
        <w:t>šādām struktūrām raksturīgo pilnvaru, tostarp paraks</w:t>
      </w:r>
      <w:r w:rsidR="000F6252">
        <w:t>t</w:t>
      </w:r>
      <w:r w:rsidR="008001DB">
        <w:t>tiesīb</w:t>
      </w:r>
      <w:r w:rsidR="009E3F39">
        <w:t>u</w:t>
      </w:r>
      <w:r w:rsidR="008001DB">
        <w:t xml:space="preserve">. </w:t>
      </w:r>
      <w:r>
        <w:t>[pers. E]</w:t>
      </w:r>
      <w:r w:rsidR="008001DB">
        <w:t xml:space="preserve"> funkcijas bija vairāk konsultatīv</w:t>
      </w:r>
      <w:r w:rsidR="007402DC">
        <w:t>a</w:t>
      </w:r>
      <w:r w:rsidR="008001DB">
        <w:t xml:space="preserve">s. </w:t>
      </w:r>
      <w:r w:rsidR="00A86135">
        <w:t xml:space="preserve">Tādējādi </w:t>
      </w:r>
      <w:r w:rsidR="00123ED7">
        <w:t>apgabal</w:t>
      </w:r>
      <w:r w:rsidR="00A86135">
        <w:t xml:space="preserve">tiesa secināja, ka </w:t>
      </w:r>
      <w:proofErr w:type="gramStart"/>
      <w:r>
        <w:t>[</w:t>
      </w:r>
      <w:proofErr w:type="gramEnd"/>
      <w:r>
        <w:t>pers. E]</w:t>
      </w:r>
      <w:r w:rsidR="00A86135">
        <w:t xml:space="preserve"> informētības līmenis nesasniedza tādu </w:t>
      </w:r>
      <w:r w:rsidR="000F49D8">
        <w:t xml:space="preserve">pakāpi, lai varētu atzīt, ka </w:t>
      </w:r>
      <w:r w:rsidR="00227E6D">
        <w:t>v</w:t>
      </w:r>
      <w:r w:rsidR="000F49D8">
        <w:t>i</w:t>
      </w:r>
      <w:r w:rsidR="00227E6D">
        <w:t>ņai</w:t>
      </w:r>
      <w:r w:rsidR="000F49D8">
        <w:t xml:space="preserve"> bija iespēja novērtēt bankas finanšu stāvokli un </w:t>
      </w:r>
      <w:r w:rsidR="00D716CC">
        <w:t xml:space="preserve">ar bankas darbību saistītos </w:t>
      </w:r>
      <w:r w:rsidR="006B7518">
        <w:t xml:space="preserve">iespējamos </w:t>
      </w:r>
      <w:r w:rsidR="000F49D8">
        <w:t>riskus</w:t>
      </w:r>
      <w:r w:rsidR="00045919">
        <w:t xml:space="preserve"> (</w:t>
      </w:r>
      <w:r w:rsidR="00045919" w:rsidRPr="00C76CC5">
        <w:rPr>
          <w:i/>
        </w:rPr>
        <w:t xml:space="preserve">sprieduma </w:t>
      </w:r>
      <w:r w:rsidR="00C76CC5" w:rsidRPr="00C76CC5">
        <w:rPr>
          <w:i/>
        </w:rPr>
        <w:t>15.punkts</w:t>
      </w:r>
      <w:r w:rsidR="00C76CC5">
        <w:t>).</w:t>
      </w:r>
    </w:p>
    <w:p w14:paraId="0F4FF3CE" w14:textId="54FCDC6E" w:rsidR="002202E5" w:rsidRDefault="002202E5" w:rsidP="00A21F6B">
      <w:pPr>
        <w:pStyle w:val="NoSpacing"/>
        <w:spacing w:line="276" w:lineRule="auto"/>
        <w:ind w:firstLine="567"/>
        <w:jc w:val="both"/>
      </w:pPr>
      <w:r>
        <w:t>Tā kā no Eiropas Savienības Tiesas sprieduma un Augstākās tiesas sprieduma šajā lietā</w:t>
      </w:r>
      <w:r w:rsidR="00BD70B9">
        <w:t xml:space="preserve"> izriet</w:t>
      </w:r>
      <w:r>
        <w:t>,</w:t>
      </w:r>
      <w:r w:rsidR="00BD70B9">
        <w:t xml:space="preserve"> ka</w:t>
      </w:r>
      <w:r>
        <w:t xml:space="preserve"> direktīvas I pielikuma 7.punkta izņēmumu piemērošanai ir būtisks </w:t>
      </w:r>
      <w:r w:rsidR="005F3AC8">
        <w:t xml:space="preserve">tieši </w:t>
      </w:r>
      <w:r w:rsidR="00E56A5D">
        <w:t xml:space="preserve">personas </w:t>
      </w:r>
      <w:r w:rsidR="00496BE9">
        <w:t>informētības</w:t>
      </w:r>
      <w:r w:rsidR="005F3AC8">
        <w:t xml:space="preserve"> līmenis un </w:t>
      </w:r>
      <w:r w:rsidR="002B4D95">
        <w:t>ieņemto amatu</w:t>
      </w:r>
      <w:r w:rsidR="005F3AC8">
        <w:t xml:space="preserve"> </w:t>
      </w:r>
      <w:r w:rsidR="005F3AC8" w:rsidRPr="005F3AC8">
        <w:rPr>
          <w:i/>
        </w:rPr>
        <w:t xml:space="preserve">funkcionāls </w:t>
      </w:r>
      <w:r w:rsidR="005F3AC8">
        <w:t xml:space="preserve">izvērtējums </w:t>
      </w:r>
      <w:r w:rsidRPr="005F3AC8">
        <w:rPr>
          <w:i/>
        </w:rPr>
        <w:t>neatkar</w:t>
      </w:r>
      <w:r w:rsidR="00E56A5D" w:rsidRPr="005F3AC8">
        <w:rPr>
          <w:i/>
        </w:rPr>
        <w:t>īgi no amat</w:t>
      </w:r>
      <w:r w:rsidR="007940DD">
        <w:rPr>
          <w:i/>
        </w:rPr>
        <w:t>u</w:t>
      </w:r>
      <w:r w:rsidRPr="005F3AC8">
        <w:rPr>
          <w:i/>
        </w:rPr>
        <w:t xml:space="preserve"> </w:t>
      </w:r>
      <w:r w:rsidRPr="005F3AC8">
        <w:rPr>
          <w:i/>
        </w:rPr>
        <w:lastRenderedPageBreak/>
        <w:t>nosaukum</w:t>
      </w:r>
      <w:r w:rsidR="005F3AC8">
        <w:rPr>
          <w:i/>
        </w:rPr>
        <w:t>iem</w:t>
      </w:r>
      <w:r>
        <w:t>, tad div</w:t>
      </w:r>
      <w:r w:rsidR="00D21042">
        <w:t>ām</w:t>
      </w:r>
      <w:r>
        <w:t xml:space="preserve"> </w:t>
      </w:r>
      <w:r w:rsidR="00D21042">
        <w:t xml:space="preserve">nosaukuma ziņā </w:t>
      </w:r>
      <w:r>
        <w:t>līdzīg</w:t>
      </w:r>
      <w:r w:rsidR="00D21042">
        <w:t>ām</w:t>
      </w:r>
      <w:r>
        <w:t xml:space="preserve"> vai pat vienād</w:t>
      </w:r>
      <w:r w:rsidR="00D21042">
        <w:t>ām</w:t>
      </w:r>
      <w:r>
        <w:t xml:space="preserve"> </w:t>
      </w:r>
      <w:r w:rsidR="00F17BA7">
        <w:t xml:space="preserve">amatpersonām </w:t>
      </w:r>
      <w:r w:rsidR="003343DC">
        <w:t xml:space="preserve">attiecībā uz garantēto noguldījumu saņemšanu </w:t>
      </w:r>
      <w:r w:rsidR="00F17BA7">
        <w:t>var iestāties atšķirīgas tiesisk</w:t>
      </w:r>
      <w:r w:rsidR="00D806F4">
        <w:t>ās sekas</w:t>
      </w:r>
      <w:r w:rsidR="00F17BA7">
        <w:t xml:space="preserve">. Tas nozīmē, ka amati krājbankas meitas vai citās saistītajās sabiedrībās </w:t>
      </w:r>
      <w:r w:rsidR="00910F71">
        <w:t xml:space="preserve">paši par sevi </w:t>
      </w:r>
      <w:r w:rsidR="00F17BA7">
        <w:t>nav izšķiroši noguldījumu garantijas saņemšanai. Būtiskas ir faktiski veiktās funkcijas un personas informētības līmenis.</w:t>
      </w:r>
      <w:r w:rsidR="005B5267">
        <w:t xml:space="preserve"> Līdz ar to </w:t>
      </w:r>
      <w:r w:rsidR="005D402B">
        <w:t xml:space="preserve">ir jāvērtē </w:t>
      </w:r>
      <w:r w:rsidR="005B5267">
        <w:t xml:space="preserve">katras lietas </w:t>
      </w:r>
      <w:r w:rsidR="00E90B30">
        <w:t xml:space="preserve">konkrētie </w:t>
      </w:r>
      <w:r w:rsidR="005B5267">
        <w:t>apstāk</w:t>
      </w:r>
      <w:r w:rsidR="005D402B">
        <w:t>ļi.</w:t>
      </w:r>
    </w:p>
    <w:p w14:paraId="61B99F6A" w14:textId="25B391DA" w:rsidR="00A21F6B" w:rsidRDefault="00614A33" w:rsidP="00A21F6B">
      <w:pPr>
        <w:pStyle w:val="NoSpacing"/>
        <w:spacing w:line="276" w:lineRule="auto"/>
        <w:ind w:firstLine="567"/>
        <w:jc w:val="both"/>
      </w:pPr>
      <w:r>
        <w:t>A</w:t>
      </w:r>
      <w:r w:rsidR="0089210E">
        <w:t xml:space="preserve">tbilstoši </w:t>
      </w:r>
      <w:r w:rsidR="002350B6">
        <w:t xml:space="preserve">apelācijas instanču tiesu </w:t>
      </w:r>
      <w:r w:rsidR="0089210E">
        <w:t xml:space="preserve">konstatētajiem </w:t>
      </w:r>
      <w:r w:rsidR="00B233AE">
        <w:t xml:space="preserve">faktiskajiem </w:t>
      </w:r>
      <w:r w:rsidR="0089210E">
        <w:t xml:space="preserve">apstākļiem </w:t>
      </w:r>
      <w:r w:rsidR="00F17BA7">
        <w:t xml:space="preserve">pieteicēja un </w:t>
      </w:r>
      <w:proofErr w:type="gramStart"/>
      <w:r w:rsidR="00B05FE9">
        <w:t>[</w:t>
      </w:r>
      <w:proofErr w:type="gramEnd"/>
      <w:r w:rsidR="00B05FE9">
        <w:t>pers. E]</w:t>
      </w:r>
      <w:r w:rsidR="0089210E">
        <w:t xml:space="preserve"> veicamās funkcijas Latvijas Krājbankā un tās saistītajos uzņēmumos </w:t>
      </w:r>
      <w:r w:rsidR="00D842DC">
        <w:t>būtiski atšķīr</w:t>
      </w:r>
      <w:r w:rsidR="003375CA">
        <w:t>ās. P</w:t>
      </w:r>
      <w:r w:rsidR="00D842DC">
        <w:t>ieteicējam</w:t>
      </w:r>
      <w:r w:rsidR="00FA5D73">
        <w:t>, ko apliecina arī pats pieteicējs,</w:t>
      </w:r>
      <w:r w:rsidR="00D842DC">
        <w:t xml:space="preserve"> atšķirībā no </w:t>
      </w:r>
      <w:proofErr w:type="gramStart"/>
      <w:r w:rsidR="00B05FE9">
        <w:t>[</w:t>
      </w:r>
      <w:proofErr w:type="gramEnd"/>
      <w:r w:rsidR="00B05FE9">
        <w:t>pers. E]</w:t>
      </w:r>
      <w:r w:rsidR="00D842DC">
        <w:t xml:space="preserve"> bija </w:t>
      </w:r>
      <w:r w:rsidR="008763D5" w:rsidRPr="00F736FD">
        <w:t>pieejama visa iespējamā informācija par bankas darbību, tostarp par bankas finansiālo stāvokli un darbības riskiem</w:t>
      </w:r>
      <w:r w:rsidR="008763D5">
        <w:t xml:space="preserve">, kā arī </w:t>
      </w:r>
      <w:r w:rsidR="00427E55">
        <w:t xml:space="preserve">pieteicēja </w:t>
      </w:r>
      <w:r w:rsidR="008763D5">
        <w:t xml:space="preserve">darbība ar kredītiestādi saistītajās </w:t>
      </w:r>
      <w:r w:rsidR="00353C57">
        <w:t>sabiedrībās,</w:t>
      </w:r>
      <w:r w:rsidR="00427E55">
        <w:t xml:space="preserve"> kurās pieteicējs noteiktu laika posmu bija vienīgais uzņēmuma pārstāvis, kā arī pieteicēja</w:t>
      </w:r>
      <w:r w:rsidR="00353C57">
        <w:t xml:space="preserve"> attiecības ar šo sabiedrību akcionāriem un pārvaldes institūcijām</w:t>
      </w:r>
      <w:r w:rsidR="00AC25B2">
        <w:t>,</w:t>
      </w:r>
      <w:r w:rsidR="00353C57">
        <w:t xml:space="preserve"> </w:t>
      </w:r>
      <w:r w:rsidR="00BC5A9F">
        <w:t xml:space="preserve">būtiski atšķir konkrētās lietas faktiskos apstākļus no </w:t>
      </w:r>
      <w:proofErr w:type="gramStart"/>
      <w:r w:rsidR="00B05FE9">
        <w:t>[</w:t>
      </w:r>
      <w:proofErr w:type="gramEnd"/>
      <w:r w:rsidR="00B05FE9">
        <w:t>pers. E]</w:t>
      </w:r>
      <w:r w:rsidR="00BC5A9F">
        <w:t xml:space="preserve"> lietas apstākļiem</w:t>
      </w:r>
      <w:r w:rsidR="00850AF9">
        <w:t>.</w:t>
      </w:r>
      <w:r w:rsidR="00D8796C">
        <w:t xml:space="preserve"> T</w:t>
      </w:r>
      <w:r w:rsidR="00271D25">
        <w:t xml:space="preserve">āpēc </w:t>
      </w:r>
      <w:r w:rsidR="00B05FE9">
        <w:t>[pers. E]</w:t>
      </w:r>
      <w:r w:rsidR="00271D25">
        <w:t xml:space="preserve"> lietā izdarītos </w:t>
      </w:r>
      <w:r w:rsidR="00663470">
        <w:t>apgabal</w:t>
      </w:r>
      <w:r w:rsidR="00271D25">
        <w:t xml:space="preserve">tiesas secinājumus </w:t>
      </w:r>
      <w:r w:rsidR="00353E86">
        <w:t xml:space="preserve">par minētās lietas faktiskajiem apstākļiem </w:t>
      </w:r>
      <w:r w:rsidR="00271D25">
        <w:t>nevar attiecināt uz konkrēto lietu.</w:t>
      </w:r>
    </w:p>
    <w:p w14:paraId="7E819BA2" w14:textId="77777777" w:rsidR="0000463F" w:rsidRDefault="0000463F" w:rsidP="00850AF9">
      <w:pPr>
        <w:pStyle w:val="NoSpacing"/>
        <w:spacing w:line="276" w:lineRule="auto"/>
        <w:ind w:firstLine="567"/>
        <w:jc w:val="both"/>
      </w:pPr>
    </w:p>
    <w:p w14:paraId="544E6F29" w14:textId="7BEA1207" w:rsidR="003173F7" w:rsidRDefault="0000463F" w:rsidP="00850AF9">
      <w:pPr>
        <w:pStyle w:val="NoSpacing"/>
        <w:spacing w:line="276" w:lineRule="auto"/>
        <w:ind w:firstLine="567"/>
        <w:jc w:val="both"/>
      </w:pPr>
      <w:r>
        <w:t>[</w:t>
      </w:r>
      <w:r w:rsidR="003A52A3">
        <w:t>16</w:t>
      </w:r>
      <w:r>
        <w:t>] Pretēji pieteicēja kasācijas sūdzībā norādītājam apgabaltiesa spriedumā nav piemēr</w:t>
      </w:r>
      <w:r w:rsidR="00F11879">
        <w:t>o</w:t>
      </w:r>
      <w:r>
        <w:t xml:space="preserve">jusi direktīvu 2013/36 un grozījumus Kredītiestāžu likumā. </w:t>
      </w:r>
      <w:r w:rsidR="002B48B7">
        <w:t>Apgabalt</w:t>
      </w:r>
      <w:r>
        <w:t>iesa uz minētaj</w:t>
      </w:r>
      <w:r w:rsidR="0010290E">
        <w:t>ie</w:t>
      </w:r>
      <w:r>
        <w:t>m tiesību aktiem ir atsaukusies, interpretējot strīdus direktīvu 94/19 un Noguldījumu garantiju likum</w:t>
      </w:r>
      <w:r w:rsidR="009C2DBD">
        <w:t>u</w:t>
      </w:r>
      <w:r>
        <w:t xml:space="preserve">. </w:t>
      </w:r>
      <w:r w:rsidR="00F11879">
        <w:t>P</w:t>
      </w:r>
      <w:r>
        <w:t>amatot</w:t>
      </w:r>
      <w:r w:rsidR="009F7BCF">
        <w:t xml:space="preserve">s </w:t>
      </w:r>
      <w:r w:rsidR="00F11879">
        <w:t xml:space="preserve">ir </w:t>
      </w:r>
      <w:r w:rsidR="009F7BCF">
        <w:t>arguments</w:t>
      </w:r>
      <w:r>
        <w:t>, ka direktīv</w:t>
      </w:r>
      <w:r w:rsidR="00A82297">
        <w:t>a</w:t>
      </w:r>
      <w:r>
        <w:t xml:space="preserve"> 2013/36 intertemporalitātes dēļ šajā lietā nav piemērojama, jo ir pieņemta pēc bankas noguldījumu nepieejamības iestāšanās</w:t>
      </w:r>
      <w:r w:rsidR="005F0BCB">
        <w:t xml:space="preserve"> šajā lietā</w:t>
      </w:r>
      <w:r>
        <w:t>. Tomēr apgabaltiesa, lai atklātu lietā piemērojamo jēdzienu kredītiestāžu jomā saturu, sistēmiski var atsaukties uz Eiropas Savienības tiesību kredītiestāžu jomā ietilpstošajām tiesību normām, tostarp minēto direktīvu un Eiropas Banku iestādes pamatnostādnēm kā tiesību normu interpretācijas līdzekļiem.</w:t>
      </w:r>
    </w:p>
    <w:p w14:paraId="6E1606DC" w14:textId="600B485E" w:rsidR="00252361" w:rsidRDefault="00E440F5" w:rsidP="00850AF9">
      <w:pPr>
        <w:pStyle w:val="NoSpacing"/>
        <w:spacing w:line="276" w:lineRule="auto"/>
        <w:ind w:firstLine="567"/>
        <w:jc w:val="both"/>
      </w:pPr>
      <w:r>
        <w:t xml:space="preserve">Līdz ar to apgabaltiesa nav pieļāvusi pārkāpumu, lietā noskaidrojamo jēdzienu satura atklāšanā kā interpretācijas līdzekli izmantojot iepriekš minētās tiesību normas. </w:t>
      </w:r>
      <w:r w:rsidR="00252361">
        <w:t xml:space="preserve">Turklāt apgabaltiesa minētajās tiesību normās lietotajiem jēdzieniem nav piešķīrusi izšķirošu nozīmi lietā, jo tiesa secinājumu par pieteicēja atbilstību direktīvas 94/19 I pielikuma 7.punktā minētajiem izņēmumiem ir </w:t>
      </w:r>
      <w:r>
        <w:t>izdarījusi</w:t>
      </w:r>
      <w:r w:rsidR="00D21042">
        <w:t>, balstoties</w:t>
      </w:r>
      <w:r>
        <w:t xml:space="preserve"> </w:t>
      </w:r>
      <w:r w:rsidR="00F008F3">
        <w:t xml:space="preserve">tieši </w:t>
      </w:r>
      <w:r w:rsidR="00D21042">
        <w:t>uz</w:t>
      </w:r>
      <w:r>
        <w:t xml:space="preserve"> pieteicēja amatu funkcionalitātes un informētības līmeņa izvērtēju</w:t>
      </w:r>
      <w:r w:rsidR="00F008F3">
        <w:t>m</w:t>
      </w:r>
      <w:r w:rsidR="00D21042">
        <w:t>u</w:t>
      </w:r>
      <w:r w:rsidR="00F008F3">
        <w:t>, nevis amata nosaukumiem.</w:t>
      </w:r>
    </w:p>
    <w:p w14:paraId="09D7CBD0" w14:textId="77777777" w:rsidR="00A262C2" w:rsidRDefault="00A262C2" w:rsidP="004E4C1E">
      <w:pPr>
        <w:pStyle w:val="NoSpacing"/>
        <w:jc w:val="center"/>
        <w:rPr>
          <w:b/>
        </w:rPr>
      </w:pPr>
    </w:p>
    <w:p w14:paraId="37E2A6D2" w14:textId="77777777" w:rsidR="004E4C1E" w:rsidRPr="004E4C1E" w:rsidRDefault="004E4C1E" w:rsidP="004E4C1E">
      <w:pPr>
        <w:pStyle w:val="NoSpacing"/>
        <w:jc w:val="center"/>
        <w:rPr>
          <w:b/>
        </w:rPr>
      </w:pPr>
      <w:r w:rsidRPr="004E4C1E">
        <w:rPr>
          <w:b/>
        </w:rPr>
        <w:t>Rezolutīvā daļa</w:t>
      </w:r>
    </w:p>
    <w:p w14:paraId="0D269292" w14:textId="77777777" w:rsidR="004E4C1E" w:rsidRPr="007F76C8" w:rsidRDefault="004E4C1E" w:rsidP="004E4C1E">
      <w:pPr>
        <w:pStyle w:val="NoSpacing"/>
      </w:pPr>
    </w:p>
    <w:p w14:paraId="1BD19B12" w14:textId="77777777" w:rsidR="004E4C1E" w:rsidRDefault="004E4C1E" w:rsidP="004E4C1E">
      <w:pPr>
        <w:pStyle w:val="NoSpacing"/>
        <w:spacing w:line="276" w:lineRule="auto"/>
        <w:ind w:firstLine="567"/>
        <w:jc w:val="both"/>
        <w:rPr>
          <w:rFonts w:eastAsiaTheme="minorEastAsia"/>
        </w:rPr>
      </w:pPr>
      <w:r w:rsidRPr="006462B9">
        <w:rPr>
          <w:rFonts w:eastAsiaTheme="minorEastAsia"/>
        </w:rPr>
        <w:t xml:space="preserve">Pamatojoties uz Administratīvā procesa likuma </w:t>
      </w:r>
      <w:proofErr w:type="gramStart"/>
      <w:r>
        <w:rPr>
          <w:rFonts w:eastAsiaTheme="minorEastAsia"/>
        </w:rPr>
        <w:t>348.panta</w:t>
      </w:r>
      <w:proofErr w:type="gramEnd"/>
      <w:r>
        <w:rPr>
          <w:rFonts w:eastAsiaTheme="minorEastAsia"/>
        </w:rPr>
        <w:t xml:space="preserve"> pirmās daļas 1</w:t>
      </w:r>
      <w:r w:rsidRPr="006462B9">
        <w:rPr>
          <w:rFonts w:eastAsiaTheme="minorEastAsia"/>
        </w:rPr>
        <w:t>.punktu un 351.pantu, Augstākā tiesa</w:t>
      </w:r>
    </w:p>
    <w:p w14:paraId="72245CCA" w14:textId="77777777" w:rsidR="00341507" w:rsidRDefault="00341507" w:rsidP="004E4C1E">
      <w:pPr>
        <w:pStyle w:val="NoSpacing"/>
        <w:jc w:val="center"/>
        <w:rPr>
          <w:b/>
        </w:rPr>
      </w:pPr>
      <w:bookmarkStart w:id="1" w:name="Dropdown14"/>
    </w:p>
    <w:p w14:paraId="77466F8A" w14:textId="77777777" w:rsidR="004E4C1E" w:rsidRPr="004E4C1E" w:rsidRDefault="004E4C1E" w:rsidP="004E4C1E">
      <w:pPr>
        <w:pStyle w:val="NoSpacing"/>
        <w:jc w:val="center"/>
        <w:rPr>
          <w:b/>
        </w:rPr>
      </w:pPr>
      <w:r w:rsidRPr="004E4C1E">
        <w:rPr>
          <w:b/>
        </w:rPr>
        <w:t>nosprieda</w:t>
      </w:r>
      <w:bookmarkEnd w:id="1"/>
    </w:p>
    <w:p w14:paraId="64320AD9" w14:textId="77777777" w:rsidR="004E4C1E" w:rsidRPr="007F76C8" w:rsidRDefault="004E4C1E" w:rsidP="004E4C1E">
      <w:pPr>
        <w:pStyle w:val="NoSpacing"/>
        <w:rPr>
          <w:bCs/>
          <w:spacing w:val="70"/>
        </w:rPr>
      </w:pPr>
    </w:p>
    <w:p w14:paraId="6ED721A3" w14:textId="394FD49D" w:rsidR="004E4C1E" w:rsidRDefault="004E4C1E" w:rsidP="004E4C1E">
      <w:pPr>
        <w:pStyle w:val="NoSpacing"/>
        <w:spacing w:line="276" w:lineRule="auto"/>
        <w:ind w:firstLine="567"/>
        <w:jc w:val="both"/>
        <w:rPr>
          <w:rFonts w:eastAsiaTheme="minorEastAsia"/>
        </w:rPr>
      </w:pPr>
      <w:r>
        <w:rPr>
          <w:rFonts w:eastAsiaTheme="minorEastAsia"/>
        </w:rPr>
        <w:t xml:space="preserve">Atstāt negrozītu Administratīvās </w:t>
      </w:r>
      <w:r w:rsidR="00EC012E">
        <w:rPr>
          <w:rFonts w:eastAsiaTheme="minorEastAsia"/>
        </w:rPr>
        <w:t>apgabal</w:t>
      </w:r>
      <w:r>
        <w:rPr>
          <w:rFonts w:eastAsiaTheme="minorEastAsia"/>
        </w:rPr>
        <w:t xml:space="preserve">tiesas </w:t>
      </w:r>
      <w:proofErr w:type="gramStart"/>
      <w:r>
        <w:rPr>
          <w:rFonts w:eastAsiaTheme="minorEastAsia"/>
        </w:rPr>
        <w:t>201</w:t>
      </w:r>
      <w:r w:rsidR="00EC012E">
        <w:rPr>
          <w:rFonts w:eastAsiaTheme="minorEastAsia"/>
        </w:rPr>
        <w:t>6</w:t>
      </w:r>
      <w:r w:rsidR="00DC5B68">
        <w:rPr>
          <w:rFonts w:eastAsiaTheme="minorEastAsia"/>
        </w:rPr>
        <w:t>.gada</w:t>
      </w:r>
      <w:proofErr w:type="gramEnd"/>
      <w:r w:rsidR="00DC5B68">
        <w:rPr>
          <w:rFonts w:eastAsiaTheme="minorEastAsia"/>
        </w:rPr>
        <w:t xml:space="preserve"> 8</w:t>
      </w:r>
      <w:r>
        <w:rPr>
          <w:rFonts w:eastAsiaTheme="minorEastAsia"/>
        </w:rPr>
        <w:t>.</w:t>
      </w:r>
      <w:r w:rsidR="00DC5B68">
        <w:rPr>
          <w:rFonts w:eastAsiaTheme="minorEastAsia"/>
        </w:rPr>
        <w:t>jūlij</w:t>
      </w:r>
      <w:r>
        <w:rPr>
          <w:rFonts w:eastAsiaTheme="minorEastAsia"/>
        </w:rPr>
        <w:t xml:space="preserve">a spriedumu, bet </w:t>
      </w:r>
      <w:r w:rsidR="00B05FE9">
        <w:rPr>
          <w:rFonts w:eastAsiaTheme="minorEastAsia"/>
        </w:rPr>
        <w:t>[pers. A]</w:t>
      </w:r>
      <w:r>
        <w:rPr>
          <w:rFonts w:eastAsiaTheme="minorEastAsia"/>
        </w:rPr>
        <w:t xml:space="preserve"> kasācijas sūdzību noraidīt.</w:t>
      </w:r>
    </w:p>
    <w:p w14:paraId="4E325F41" w14:textId="77777777" w:rsidR="004E4C1E" w:rsidRPr="006462B9" w:rsidRDefault="004E4C1E" w:rsidP="004E4C1E">
      <w:pPr>
        <w:pStyle w:val="NoSpacing"/>
        <w:spacing w:line="276" w:lineRule="auto"/>
        <w:ind w:firstLine="567"/>
        <w:rPr>
          <w:rFonts w:eastAsiaTheme="minorEastAsia"/>
        </w:rPr>
      </w:pPr>
      <w:r w:rsidRPr="006462B9">
        <w:rPr>
          <w:rFonts w:eastAsiaTheme="minorEastAsia"/>
        </w:rPr>
        <w:t xml:space="preserve">Spriedums </w:t>
      </w:r>
      <w:r w:rsidRPr="006462B9">
        <w:rPr>
          <w:rFonts w:eastAsiaTheme="minorEastAsia"/>
          <w:bCs/>
        </w:rPr>
        <w:t>nav pārsūdzams.</w:t>
      </w:r>
    </w:p>
    <w:p w14:paraId="2DE908E3" w14:textId="469C5C68" w:rsidR="00430BC3" w:rsidRPr="00A6113D" w:rsidRDefault="00430BC3" w:rsidP="00B05FE9">
      <w:pPr>
        <w:pStyle w:val="NoSpacing"/>
        <w:spacing w:line="276" w:lineRule="auto"/>
        <w:jc w:val="both"/>
      </w:pPr>
    </w:p>
    <w:sectPr w:rsidR="00430BC3" w:rsidRPr="00A6113D" w:rsidSect="004A2731">
      <w:headerReference w:type="default" r:id="rId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5874F" w14:textId="77777777" w:rsidR="00AD4F28" w:rsidRDefault="00AD4F28" w:rsidP="00485975">
      <w:pPr>
        <w:spacing w:after="0" w:line="240" w:lineRule="auto"/>
      </w:pPr>
      <w:r>
        <w:separator/>
      </w:r>
    </w:p>
  </w:endnote>
  <w:endnote w:type="continuationSeparator" w:id="0">
    <w:p w14:paraId="760454E1" w14:textId="77777777" w:rsidR="00AD4F28" w:rsidRDefault="00AD4F28" w:rsidP="0048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632359"/>
      <w:docPartObj>
        <w:docPartGallery w:val="Page Numbers (Bottom of Page)"/>
        <w:docPartUnique/>
      </w:docPartObj>
    </w:sdtPr>
    <w:sdtEndPr>
      <w:rPr>
        <w:noProof/>
      </w:rPr>
    </w:sdtEndPr>
    <w:sdtContent>
      <w:p w14:paraId="260F7EA4" w14:textId="77777777" w:rsidR="00F00FE6" w:rsidRDefault="00F00FE6">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E60EAA">
          <w:rPr>
            <w:rStyle w:val="PageNumber"/>
            <w:noProof/>
          </w:rPr>
          <w:t>10</w:t>
        </w:r>
        <w:r w:rsidRPr="00391D55">
          <w:rPr>
            <w:rStyle w:val="PageNumber"/>
          </w:rPr>
          <w:fldChar w:fldCharType="end"/>
        </w:r>
        <w:r>
          <w:rPr>
            <w:rStyle w:val="PageNumber"/>
          </w:rPr>
          <w:t xml:space="preserve"> </w:t>
        </w:r>
        <w:r w:rsidRPr="00391D55">
          <w:rPr>
            <w:rStyle w:val="PageNumber"/>
          </w:rPr>
          <w:t xml:space="preserve">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E60EAA">
          <w:rPr>
            <w:rStyle w:val="PageNumber"/>
            <w:noProof/>
          </w:rPr>
          <w:t>11</w:t>
        </w:r>
        <w:r w:rsidRPr="00391D55">
          <w:rPr>
            <w:rStyle w:val="PageNumber"/>
          </w:rPr>
          <w:fldChar w:fldCharType="end"/>
        </w:r>
      </w:p>
    </w:sdtContent>
  </w:sdt>
  <w:p w14:paraId="3B7A0E67" w14:textId="77777777" w:rsidR="00F00FE6" w:rsidRDefault="00F00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525CE" w14:textId="77777777" w:rsidR="00AD4F28" w:rsidRDefault="00AD4F28" w:rsidP="00485975">
      <w:pPr>
        <w:spacing w:after="0" w:line="240" w:lineRule="auto"/>
      </w:pPr>
      <w:r>
        <w:separator/>
      </w:r>
    </w:p>
  </w:footnote>
  <w:footnote w:type="continuationSeparator" w:id="0">
    <w:p w14:paraId="509A6058" w14:textId="77777777" w:rsidR="00AD4F28" w:rsidRDefault="00AD4F28" w:rsidP="00485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EDA0" w14:textId="77777777" w:rsidR="00F00FE6" w:rsidRPr="00BB0A6E" w:rsidRDefault="00F00FE6" w:rsidP="00BB0A6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16"/>
    <w:rsid w:val="0000463F"/>
    <w:rsid w:val="00012134"/>
    <w:rsid w:val="00012A1C"/>
    <w:rsid w:val="00012D5C"/>
    <w:rsid w:val="00016FA7"/>
    <w:rsid w:val="00025482"/>
    <w:rsid w:val="000259B7"/>
    <w:rsid w:val="0002747A"/>
    <w:rsid w:val="00031930"/>
    <w:rsid w:val="00032614"/>
    <w:rsid w:val="00033925"/>
    <w:rsid w:val="00034E0A"/>
    <w:rsid w:val="00036D6E"/>
    <w:rsid w:val="00044778"/>
    <w:rsid w:val="00045919"/>
    <w:rsid w:val="00057DAC"/>
    <w:rsid w:val="0006014A"/>
    <w:rsid w:val="00062298"/>
    <w:rsid w:val="00063619"/>
    <w:rsid w:val="000640A7"/>
    <w:rsid w:val="000661B6"/>
    <w:rsid w:val="00083493"/>
    <w:rsid w:val="00086558"/>
    <w:rsid w:val="00086F26"/>
    <w:rsid w:val="0009165B"/>
    <w:rsid w:val="0009287B"/>
    <w:rsid w:val="0009469A"/>
    <w:rsid w:val="000A1EA0"/>
    <w:rsid w:val="000A4111"/>
    <w:rsid w:val="000B01CD"/>
    <w:rsid w:val="000B0724"/>
    <w:rsid w:val="000B37F5"/>
    <w:rsid w:val="000B6176"/>
    <w:rsid w:val="000E195D"/>
    <w:rsid w:val="000E2442"/>
    <w:rsid w:val="000F06CE"/>
    <w:rsid w:val="000F49D8"/>
    <w:rsid w:val="000F6252"/>
    <w:rsid w:val="000F712A"/>
    <w:rsid w:val="001008EA"/>
    <w:rsid w:val="00101FF4"/>
    <w:rsid w:val="0010290E"/>
    <w:rsid w:val="00106A3F"/>
    <w:rsid w:val="001100BF"/>
    <w:rsid w:val="00110E4E"/>
    <w:rsid w:val="0011556C"/>
    <w:rsid w:val="00115C21"/>
    <w:rsid w:val="00122ABF"/>
    <w:rsid w:val="00123038"/>
    <w:rsid w:val="00123ED7"/>
    <w:rsid w:val="00136A02"/>
    <w:rsid w:val="00143098"/>
    <w:rsid w:val="00143BDA"/>
    <w:rsid w:val="00145891"/>
    <w:rsid w:val="001459D5"/>
    <w:rsid w:val="00150A28"/>
    <w:rsid w:val="0015210C"/>
    <w:rsid w:val="001529B3"/>
    <w:rsid w:val="00163D8B"/>
    <w:rsid w:val="001659DB"/>
    <w:rsid w:val="00166644"/>
    <w:rsid w:val="00171E17"/>
    <w:rsid w:val="001769A4"/>
    <w:rsid w:val="00177637"/>
    <w:rsid w:val="0018088E"/>
    <w:rsid w:val="00180E71"/>
    <w:rsid w:val="00183D5D"/>
    <w:rsid w:val="001870A0"/>
    <w:rsid w:val="00190C32"/>
    <w:rsid w:val="001922FC"/>
    <w:rsid w:val="001A0C27"/>
    <w:rsid w:val="001A14DD"/>
    <w:rsid w:val="001A5527"/>
    <w:rsid w:val="001A5F4F"/>
    <w:rsid w:val="001B258B"/>
    <w:rsid w:val="001B2BC3"/>
    <w:rsid w:val="001B3942"/>
    <w:rsid w:val="001B6127"/>
    <w:rsid w:val="001B61AC"/>
    <w:rsid w:val="001C370B"/>
    <w:rsid w:val="001C5D77"/>
    <w:rsid w:val="001D01D2"/>
    <w:rsid w:val="001D1BE5"/>
    <w:rsid w:val="001D424C"/>
    <w:rsid w:val="001D438B"/>
    <w:rsid w:val="001D5043"/>
    <w:rsid w:val="001E10EC"/>
    <w:rsid w:val="001E2BF1"/>
    <w:rsid w:val="001F3328"/>
    <w:rsid w:val="001F4B10"/>
    <w:rsid w:val="00203263"/>
    <w:rsid w:val="00207EC6"/>
    <w:rsid w:val="00214C91"/>
    <w:rsid w:val="00216ADF"/>
    <w:rsid w:val="002202E5"/>
    <w:rsid w:val="002254CA"/>
    <w:rsid w:val="00227E6D"/>
    <w:rsid w:val="002350B6"/>
    <w:rsid w:val="0023572B"/>
    <w:rsid w:val="0023650A"/>
    <w:rsid w:val="00237E28"/>
    <w:rsid w:val="00246D74"/>
    <w:rsid w:val="00252121"/>
    <w:rsid w:val="00252361"/>
    <w:rsid w:val="00253C65"/>
    <w:rsid w:val="00260677"/>
    <w:rsid w:val="002620FF"/>
    <w:rsid w:val="00264C96"/>
    <w:rsid w:val="00265E6F"/>
    <w:rsid w:val="00270ADC"/>
    <w:rsid w:val="00271D25"/>
    <w:rsid w:val="00273C64"/>
    <w:rsid w:val="002753B6"/>
    <w:rsid w:val="00277008"/>
    <w:rsid w:val="002801E7"/>
    <w:rsid w:val="0028355A"/>
    <w:rsid w:val="002841AA"/>
    <w:rsid w:val="00284CAC"/>
    <w:rsid w:val="002857D5"/>
    <w:rsid w:val="002858C9"/>
    <w:rsid w:val="00286732"/>
    <w:rsid w:val="002914AC"/>
    <w:rsid w:val="00292089"/>
    <w:rsid w:val="0029337E"/>
    <w:rsid w:val="00297532"/>
    <w:rsid w:val="002A05EA"/>
    <w:rsid w:val="002A4F3D"/>
    <w:rsid w:val="002B14AC"/>
    <w:rsid w:val="002B48B7"/>
    <w:rsid w:val="002B4D95"/>
    <w:rsid w:val="002B54B3"/>
    <w:rsid w:val="002B5F69"/>
    <w:rsid w:val="002C04E2"/>
    <w:rsid w:val="002C221B"/>
    <w:rsid w:val="002C395F"/>
    <w:rsid w:val="002C3E7D"/>
    <w:rsid w:val="002C57FC"/>
    <w:rsid w:val="002D164D"/>
    <w:rsid w:val="002D339D"/>
    <w:rsid w:val="002D4237"/>
    <w:rsid w:val="002E7A58"/>
    <w:rsid w:val="002F0D8B"/>
    <w:rsid w:val="002F6CF6"/>
    <w:rsid w:val="002F7069"/>
    <w:rsid w:val="0030044C"/>
    <w:rsid w:val="00300C39"/>
    <w:rsid w:val="003040B9"/>
    <w:rsid w:val="00311A8D"/>
    <w:rsid w:val="00313392"/>
    <w:rsid w:val="003173F7"/>
    <w:rsid w:val="0032556A"/>
    <w:rsid w:val="003306D4"/>
    <w:rsid w:val="00331A82"/>
    <w:rsid w:val="00331A94"/>
    <w:rsid w:val="00332345"/>
    <w:rsid w:val="003343DC"/>
    <w:rsid w:val="0033727C"/>
    <w:rsid w:val="003375CA"/>
    <w:rsid w:val="00341507"/>
    <w:rsid w:val="00341A29"/>
    <w:rsid w:val="003421E6"/>
    <w:rsid w:val="00342CB6"/>
    <w:rsid w:val="00346493"/>
    <w:rsid w:val="003517C6"/>
    <w:rsid w:val="00352142"/>
    <w:rsid w:val="00353C57"/>
    <w:rsid w:val="00353E86"/>
    <w:rsid w:val="00364B78"/>
    <w:rsid w:val="003737BE"/>
    <w:rsid w:val="00374EB8"/>
    <w:rsid w:val="00375E7B"/>
    <w:rsid w:val="00380001"/>
    <w:rsid w:val="00381067"/>
    <w:rsid w:val="00384E19"/>
    <w:rsid w:val="00385DFE"/>
    <w:rsid w:val="00385EC2"/>
    <w:rsid w:val="00386D8D"/>
    <w:rsid w:val="00395522"/>
    <w:rsid w:val="003A3304"/>
    <w:rsid w:val="003A52A3"/>
    <w:rsid w:val="003B38C1"/>
    <w:rsid w:val="003B7F55"/>
    <w:rsid w:val="003B7F94"/>
    <w:rsid w:val="003C0B1B"/>
    <w:rsid w:val="003C540C"/>
    <w:rsid w:val="003D18C3"/>
    <w:rsid w:val="003F0CB2"/>
    <w:rsid w:val="003F188A"/>
    <w:rsid w:val="003F1E1A"/>
    <w:rsid w:val="003F5EE8"/>
    <w:rsid w:val="003F6A6C"/>
    <w:rsid w:val="00404E87"/>
    <w:rsid w:val="00412FA0"/>
    <w:rsid w:val="00412FB2"/>
    <w:rsid w:val="004145D6"/>
    <w:rsid w:val="004145E3"/>
    <w:rsid w:val="00414C1C"/>
    <w:rsid w:val="004154FD"/>
    <w:rsid w:val="004222C2"/>
    <w:rsid w:val="0042472A"/>
    <w:rsid w:val="0042643F"/>
    <w:rsid w:val="00427961"/>
    <w:rsid w:val="00427E55"/>
    <w:rsid w:val="00430BC3"/>
    <w:rsid w:val="00452EA7"/>
    <w:rsid w:val="00454F96"/>
    <w:rsid w:val="00456C4D"/>
    <w:rsid w:val="00457CC6"/>
    <w:rsid w:val="00460B3A"/>
    <w:rsid w:val="004620B1"/>
    <w:rsid w:val="0046536F"/>
    <w:rsid w:val="00466D53"/>
    <w:rsid w:val="00467A7D"/>
    <w:rsid w:val="00467D5D"/>
    <w:rsid w:val="00480299"/>
    <w:rsid w:val="00485975"/>
    <w:rsid w:val="00486BD1"/>
    <w:rsid w:val="0048762F"/>
    <w:rsid w:val="00493F05"/>
    <w:rsid w:val="00495009"/>
    <w:rsid w:val="00496799"/>
    <w:rsid w:val="00496BE9"/>
    <w:rsid w:val="004A11A9"/>
    <w:rsid w:val="004A2731"/>
    <w:rsid w:val="004A4105"/>
    <w:rsid w:val="004A44DA"/>
    <w:rsid w:val="004A51F3"/>
    <w:rsid w:val="004B22C8"/>
    <w:rsid w:val="004B2AA6"/>
    <w:rsid w:val="004C07BD"/>
    <w:rsid w:val="004C22A6"/>
    <w:rsid w:val="004C2B13"/>
    <w:rsid w:val="004C3B90"/>
    <w:rsid w:val="004C4773"/>
    <w:rsid w:val="004C5858"/>
    <w:rsid w:val="004C59C4"/>
    <w:rsid w:val="004C7952"/>
    <w:rsid w:val="004C7FC8"/>
    <w:rsid w:val="004D4C9C"/>
    <w:rsid w:val="004E03DD"/>
    <w:rsid w:val="004E119E"/>
    <w:rsid w:val="004E30FD"/>
    <w:rsid w:val="004E4C1E"/>
    <w:rsid w:val="004E6335"/>
    <w:rsid w:val="004E6D0C"/>
    <w:rsid w:val="004F01B5"/>
    <w:rsid w:val="004F13BE"/>
    <w:rsid w:val="004F3435"/>
    <w:rsid w:val="004F3DC4"/>
    <w:rsid w:val="004F5645"/>
    <w:rsid w:val="004F7054"/>
    <w:rsid w:val="004F7586"/>
    <w:rsid w:val="004F7748"/>
    <w:rsid w:val="00505E1F"/>
    <w:rsid w:val="00507A62"/>
    <w:rsid w:val="00514E39"/>
    <w:rsid w:val="00515202"/>
    <w:rsid w:val="00517DB7"/>
    <w:rsid w:val="00521FD8"/>
    <w:rsid w:val="00523CE6"/>
    <w:rsid w:val="00524110"/>
    <w:rsid w:val="00526277"/>
    <w:rsid w:val="005406D0"/>
    <w:rsid w:val="00540A27"/>
    <w:rsid w:val="005419CB"/>
    <w:rsid w:val="00544F42"/>
    <w:rsid w:val="00551699"/>
    <w:rsid w:val="00552695"/>
    <w:rsid w:val="0055344E"/>
    <w:rsid w:val="005534A1"/>
    <w:rsid w:val="005552F3"/>
    <w:rsid w:val="005577E5"/>
    <w:rsid w:val="00557945"/>
    <w:rsid w:val="00564F1D"/>
    <w:rsid w:val="00565858"/>
    <w:rsid w:val="00572F1F"/>
    <w:rsid w:val="00572F25"/>
    <w:rsid w:val="005737B3"/>
    <w:rsid w:val="005738FB"/>
    <w:rsid w:val="005746EF"/>
    <w:rsid w:val="00577E7B"/>
    <w:rsid w:val="0058579F"/>
    <w:rsid w:val="00585939"/>
    <w:rsid w:val="00591075"/>
    <w:rsid w:val="00593C9A"/>
    <w:rsid w:val="00595F12"/>
    <w:rsid w:val="005A1870"/>
    <w:rsid w:val="005A2BF7"/>
    <w:rsid w:val="005A796F"/>
    <w:rsid w:val="005B0AF4"/>
    <w:rsid w:val="005B32B0"/>
    <w:rsid w:val="005B3404"/>
    <w:rsid w:val="005B5267"/>
    <w:rsid w:val="005C19EF"/>
    <w:rsid w:val="005C3493"/>
    <w:rsid w:val="005C34B8"/>
    <w:rsid w:val="005C5A15"/>
    <w:rsid w:val="005C7615"/>
    <w:rsid w:val="005D2CCC"/>
    <w:rsid w:val="005D402B"/>
    <w:rsid w:val="005D6583"/>
    <w:rsid w:val="005D704D"/>
    <w:rsid w:val="005E211E"/>
    <w:rsid w:val="005E2A20"/>
    <w:rsid w:val="005E31C9"/>
    <w:rsid w:val="005F0BCB"/>
    <w:rsid w:val="005F0FAC"/>
    <w:rsid w:val="005F3AC8"/>
    <w:rsid w:val="00603201"/>
    <w:rsid w:val="00605DFD"/>
    <w:rsid w:val="00611A30"/>
    <w:rsid w:val="0061291B"/>
    <w:rsid w:val="0061355A"/>
    <w:rsid w:val="00614A33"/>
    <w:rsid w:val="00625FE2"/>
    <w:rsid w:val="00637D37"/>
    <w:rsid w:val="00640DA0"/>
    <w:rsid w:val="00643468"/>
    <w:rsid w:val="00652C1C"/>
    <w:rsid w:val="0066066F"/>
    <w:rsid w:val="00660767"/>
    <w:rsid w:val="006624D7"/>
    <w:rsid w:val="00663470"/>
    <w:rsid w:val="00663717"/>
    <w:rsid w:val="00664985"/>
    <w:rsid w:val="006723FD"/>
    <w:rsid w:val="00672748"/>
    <w:rsid w:val="00675916"/>
    <w:rsid w:val="00676550"/>
    <w:rsid w:val="00685221"/>
    <w:rsid w:val="0068545E"/>
    <w:rsid w:val="00691318"/>
    <w:rsid w:val="00692614"/>
    <w:rsid w:val="006936EE"/>
    <w:rsid w:val="006940D0"/>
    <w:rsid w:val="00696D89"/>
    <w:rsid w:val="0069710B"/>
    <w:rsid w:val="006A0860"/>
    <w:rsid w:val="006A2AA5"/>
    <w:rsid w:val="006A547E"/>
    <w:rsid w:val="006A7365"/>
    <w:rsid w:val="006B3B58"/>
    <w:rsid w:val="006B7518"/>
    <w:rsid w:val="006C2371"/>
    <w:rsid w:val="006C2DFE"/>
    <w:rsid w:val="006C307B"/>
    <w:rsid w:val="006D00CB"/>
    <w:rsid w:val="006D5138"/>
    <w:rsid w:val="006E0520"/>
    <w:rsid w:val="006E1585"/>
    <w:rsid w:val="006E700A"/>
    <w:rsid w:val="006F0A1C"/>
    <w:rsid w:val="006F2774"/>
    <w:rsid w:val="007005CB"/>
    <w:rsid w:val="00704136"/>
    <w:rsid w:val="0070529B"/>
    <w:rsid w:val="0070552A"/>
    <w:rsid w:val="00711B0B"/>
    <w:rsid w:val="00712A4E"/>
    <w:rsid w:val="00712D21"/>
    <w:rsid w:val="00714C74"/>
    <w:rsid w:val="007158C3"/>
    <w:rsid w:val="007172E1"/>
    <w:rsid w:val="00724070"/>
    <w:rsid w:val="00724B48"/>
    <w:rsid w:val="007332E6"/>
    <w:rsid w:val="007357D5"/>
    <w:rsid w:val="007402DC"/>
    <w:rsid w:val="00743F7F"/>
    <w:rsid w:val="00751C3B"/>
    <w:rsid w:val="00751CE9"/>
    <w:rsid w:val="007560A7"/>
    <w:rsid w:val="00761AC9"/>
    <w:rsid w:val="00772C50"/>
    <w:rsid w:val="00775C24"/>
    <w:rsid w:val="007767BB"/>
    <w:rsid w:val="0078061B"/>
    <w:rsid w:val="00786249"/>
    <w:rsid w:val="00786ACA"/>
    <w:rsid w:val="0079391F"/>
    <w:rsid w:val="007940DD"/>
    <w:rsid w:val="00794B6A"/>
    <w:rsid w:val="007A101A"/>
    <w:rsid w:val="007A338F"/>
    <w:rsid w:val="007A466E"/>
    <w:rsid w:val="007A4BBF"/>
    <w:rsid w:val="007A70C9"/>
    <w:rsid w:val="007B0AB3"/>
    <w:rsid w:val="007B2858"/>
    <w:rsid w:val="007B602A"/>
    <w:rsid w:val="007C13B4"/>
    <w:rsid w:val="007C1883"/>
    <w:rsid w:val="007C3E83"/>
    <w:rsid w:val="007C4B0A"/>
    <w:rsid w:val="007C52A3"/>
    <w:rsid w:val="007C5BA3"/>
    <w:rsid w:val="007C765F"/>
    <w:rsid w:val="007D0792"/>
    <w:rsid w:val="007E05AA"/>
    <w:rsid w:val="007E0D8C"/>
    <w:rsid w:val="007E5177"/>
    <w:rsid w:val="007F175E"/>
    <w:rsid w:val="007F369F"/>
    <w:rsid w:val="007F4ABF"/>
    <w:rsid w:val="007F73BE"/>
    <w:rsid w:val="007F7797"/>
    <w:rsid w:val="008001DB"/>
    <w:rsid w:val="008008B5"/>
    <w:rsid w:val="00805E3C"/>
    <w:rsid w:val="00806642"/>
    <w:rsid w:val="00812537"/>
    <w:rsid w:val="00813AA1"/>
    <w:rsid w:val="00820696"/>
    <w:rsid w:val="008265DE"/>
    <w:rsid w:val="00833C34"/>
    <w:rsid w:val="00834A2C"/>
    <w:rsid w:val="00836034"/>
    <w:rsid w:val="00837EEB"/>
    <w:rsid w:val="008442D4"/>
    <w:rsid w:val="00844A2F"/>
    <w:rsid w:val="00846F3B"/>
    <w:rsid w:val="00850AF9"/>
    <w:rsid w:val="00850FEB"/>
    <w:rsid w:val="00853939"/>
    <w:rsid w:val="00856EE3"/>
    <w:rsid w:val="00861CE9"/>
    <w:rsid w:val="008631FB"/>
    <w:rsid w:val="0086329D"/>
    <w:rsid w:val="008638FE"/>
    <w:rsid w:val="00867305"/>
    <w:rsid w:val="0086745A"/>
    <w:rsid w:val="008719B8"/>
    <w:rsid w:val="00876007"/>
    <w:rsid w:val="008763D5"/>
    <w:rsid w:val="00881B0E"/>
    <w:rsid w:val="00885394"/>
    <w:rsid w:val="0089210E"/>
    <w:rsid w:val="00895527"/>
    <w:rsid w:val="008B340A"/>
    <w:rsid w:val="008B4748"/>
    <w:rsid w:val="008B4DCF"/>
    <w:rsid w:val="008B685A"/>
    <w:rsid w:val="008C3082"/>
    <w:rsid w:val="008C7016"/>
    <w:rsid w:val="008C72E4"/>
    <w:rsid w:val="008D53D3"/>
    <w:rsid w:val="008D5E9C"/>
    <w:rsid w:val="008D658F"/>
    <w:rsid w:val="008D7CCE"/>
    <w:rsid w:val="008F098D"/>
    <w:rsid w:val="008F1ABD"/>
    <w:rsid w:val="008F667E"/>
    <w:rsid w:val="008F76AD"/>
    <w:rsid w:val="00902D2A"/>
    <w:rsid w:val="00902E55"/>
    <w:rsid w:val="009058C5"/>
    <w:rsid w:val="00907BFD"/>
    <w:rsid w:val="00910F71"/>
    <w:rsid w:val="0091164F"/>
    <w:rsid w:val="00915616"/>
    <w:rsid w:val="00926AFB"/>
    <w:rsid w:val="00931938"/>
    <w:rsid w:val="0093206E"/>
    <w:rsid w:val="00934071"/>
    <w:rsid w:val="00942744"/>
    <w:rsid w:val="00944B6C"/>
    <w:rsid w:val="00945A93"/>
    <w:rsid w:val="0094735A"/>
    <w:rsid w:val="00951463"/>
    <w:rsid w:val="0096157E"/>
    <w:rsid w:val="00961983"/>
    <w:rsid w:val="00963F4A"/>
    <w:rsid w:val="00970A5B"/>
    <w:rsid w:val="00986871"/>
    <w:rsid w:val="00990B08"/>
    <w:rsid w:val="00990D30"/>
    <w:rsid w:val="00995886"/>
    <w:rsid w:val="00997D18"/>
    <w:rsid w:val="009A0875"/>
    <w:rsid w:val="009B0778"/>
    <w:rsid w:val="009B0C63"/>
    <w:rsid w:val="009B477D"/>
    <w:rsid w:val="009B4C96"/>
    <w:rsid w:val="009C2DBD"/>
    <w:rsid w:val="009C38B0"/>
    <w:rsid w:val="009C7EC3"/>
    <w:rsid w:val="009D073B"/>
    <w:rsid w:val="009D4BB1"/>
    <w:rsid w:val="009D5E0E"/>
    <w:rsid w:val="009E2C44"/>
    <w:rsid w:val="009E3F39"/>
    <w:rsid w:val="009F0E03"/>
    <w:rsid w:val="009F165D"/>
    <w:rsid w:val="009F1E75"/>
    <w:rsid w:val="009F5217"/>
    <w:rsid w:val="009F6B1F"/>
    <w:rsid w:val="009F6DC8"/>
    <w:rsid w:val="009F6E06"/>
    <w:rsid w:val="009F7BCF"/>
    <w:rsid w:val="00A00917"/>
    <w:rsid w:val="00A038AD"/>
    <w:rsid w:val="00A13573"/>
    <w:rsid w:val="00A136E3"/>
    <w:rsid w:val="00A1391E"/>
    <w:rsid w:val="00A15A3E"/>
    <w:rsid w:val="00A16DEF"/>
    <w:rsid w:val="00A17D06"/>
    <w:rsid w:val="00A21F6B"/>
    <w:rsid w:val="00A262C2"/>
    <w:rsid w:val="00A33C5B"/>
    <w:rsid w:val="00A3515B"/>
    <w:rsid w:val="00A40A72"/>
    <w:rsid w:val="00A4220D"/>
    <w:rsid w:val="00A42389"/>
    <w:rsid w:val="00A42DCA"/>
    <w:rsid w:val="00A439FB"/>
    <w:rsid w:val="00A44688"/>
    <w:rsid w:val="00A50630"/>
    <w:rsid w:val="00A52407"/>
    <w:rsid w:val="00A53317"/>
    <w:rsid w:val="00A54736"/>
    <w:rsid w:val="00A6072E"/>
    <w:rsid w:val="00A6113D"/>
    <w:rsid w:val="00A62823"/>
    <w:rsid w:val="00A70773"/>
    <w:rsid w:val="00A716A2"/>
    <w:rsid w:val="00A71FC7"/>
    <w:rsid w:val="00A80C86"/>
    <w:rsid w:val="00A8200D"/>
    <w:rsid w:val="00A82297"/>
    <w:rsid w:val="00A86135"/>
    <w:rsid w:val="00A90024"/>
    <w:rsid w:val="00A93BE0"/>
    <w:rsid w:val="00A969B2"/>
    <w:rsid w:val="00AA1CD8"/>
    <w:rsid w:val="00AA491F"/>
    <w:rsid w:val="00AA5AEB"/>
    <w:rsid w:val="00AA7043"/>
    <w:rsid w:val="00AA707B"/>
    <w:rsid w:val="00AA7D0C"/>
    <w:rsid w:val="00AB1176"/>
    <w:rsid w:val="00AB2001"/>
    <w:rsid w:val="00AB4A06"/>
    <w:rsid w:val="00AB6438"/>
    <w:rsid w:val="00AB7EDF"/>
    <w:rsid w:val="00AB7F27"/>
    <w:rsid w:val="00AC25B2"/>
    <w:rsid w:val="00AD1B70"/>
    <w:rsid w:val="00AD40C5"/>
    <w:rsid w:val="00AD44A1"/>
    <w:rsid w:val="00AD4F28"/>
    <w:rsid w:val="00AD7E7E"/>
    <w:rsid w:val="00AE098E"/>
    <w:rsid w:val="00AE4083"/>
    <w:rsid w:val="00AE62A0"/>
    <w:rsid w:val="00AE6430"/>
    <w:rsid w:val="00AF4926"/>
    <w:rsid w:val="00AF66CC"/>
    <w:rsid w:val="00B05E78"/>
    <w:rsid w:val="00B05FE9"/>
    <w:rsid w:val="00B17A97"/>
    <w:rsid w:val="00B232F6"/>
    <w:rsid w:val="00B233AE"/>
    <w:rsid w:val="00B24DA0"/>
    <w:rsid w:val="00B25284"/>
    <w:rsid w:val="00B323A2"/>
    <w:rsid w:val="00B326F9"/>
    <w:rsid w:val="00B34AAF"/>
    <w:rsid w:val="00B35F1F"/>
    <w:rsid w:val="00B36856"/>
    <w:rsid w:val="00B36D1F"/>
    <w:rsid w:val="00B41769"/>
    <w:rsid w:val="00B41E04"/>
    <w:rsid w:val="00B423CE"/>
    <w:rsid w:val="00B43171"/>
    <w:rsid w:val="00B51904"/>
    <w:rsid w:val="00B52501"/>
    <w:rsid w:val="00B54267"/>
    <w:rsid w:val="00B54FB5"/>
    <w:rsid w:val="00B57201"/>
    <w:rsid w:val="00B61B15"/>
    <w:rsid w:val="00B62B78"/>
    <w:rsid w:val="00B63206"/>
    <w:rsid w:val="00B63708"/>
    <w:rsid w:val="00B63FD8"/>
    <w:rsid w:val="00B65876"/>
    <w:rsid w:val="00B66C33"/>
    <w:rsid w:val="00B674D7"/>
    <w:rsid w:val="00B7423F"/>
    <w:rsid w:val="00B77A79"/>
    <w:rsid w:val="00B828BE"/>
    <w:rsid w:val="00B82CB2"/>
    <w:rsid w:val="00B855CC"/>
    <w:rsid w:val="00B91E72"/>
    <w:rsid w:val="00B942C0"/>
    <w:rsid w:val="00B94A1B"/>
    <w:rsid w:val="00B94D95"/>
    <w:rsid w:val="00B95322"/>
    <w:rsid w:val="00BA0C6A"/>
    <w:rsid w:val="00BA14A9"/>
    <w:rsid w:val="00BA2391"/>
    <w:rsid w:val="00BA4634"/>
    <w:rsid w:val="00BA6781"/>
    <w:rsid w:val="00BA7D1D"/>
    <w:rsid w:val="00BB0A6E"/>
    <w:rsid w:val="00BB214A"/>
    <w:rsid w:val="00BB5ACE"/>
    <w:rsid w:val="00BC0FA3"/>
    <w:rsid w:val="00BC5A9F"/>
    <w:rsid w:val="00BD0BF5"/>
    <w:rsid w:val="00BD24FC"/>
    <w:rsid w:val="00BD580A"/>
    <w:rsid w:val="00BD70B9"/>
    <w:rsid w:val="00BE1FD9"/>
    <w:rsid w:val="00BE5958"/>
    <w:rsid w:val="00BE68E5"/>
    <w:rsid w:val="00BF0B17"/>
    <w:rsid w:val="00C06DA9"/>
    <w:rsid w:val="00C14FD4"/>
    <w:rsid w:val="00C15A6A"/>
    <w:rsid w:val="00C1785B"/>
    <w:rsid w:val="00C25B46"/>
    <w:rsid w:val="00C26D59"/>
    <w:rsid w:val="00C2752B"/>
    <w:rsid w:val="00C30F42"/>
    <w:rsid w:val="00C322D9"/>
    <w:rsid w:val="00C32B2B"/>
    <w:rsid w:val="00C34394"/>
    <w:rsid w:val="00C34598"/>
    <w:rsid w:val="00C34AEE"/>
    <w:rsid w:val="00C35513"/>
    <w:rsid w:val="00C43847"/>
    <w:rsid w:val="00C44B85"/>
    <w:rsid w:val="00C46467"/>
    <w:rsid w:val="00C61C51"/>
    <w:rsid w:val="00C62231"/>
    <w:rsid w:val="00C6258C"/>
    <w:rsid w:val="00C62EED"/>
    <w:rsid w:val="00C65562"/>
    <w:rsid w:val="00C71C11"/>
    <w:rsid w:val="00C76CC5"/>
    <w:rsid w:val="00C7716F"/>
    <w:rsid w:val="00C83115"/>
    <w:rsid w:val="00C83EF0"/>
    <w:rsid w:val="00C84416"/>
    <w:rsid w:val="00C85D53"/>
    <w:rsid w:val="00C8649C"/>
    <w:rsid w:val="00C92235"/>
    <w:rsid w:val="00C96487"/>
    <w:rsid w:val="00CA1070"/>
    <w:rsid w:val="00CA42E0"/>
    <w:rsid w:val="00CA5692"/>
    <w:rsid w:val="00CB1428"/>
    <w:rsid w:val="00CB237B"/>
    <w:rsid w:val="00CB29EB"/>
    <w:rsid w:val="00CB31A7"/>
    <w:rsid w:val="00CB6E9B"/>
    <w:rsid w:val="00CC1867"/>
    <w:rsid w:val="00CC1CAC"/>
    <w:rsid w:val="00CC3EEC"/>
    <w:rsid w:val="00CC413F"/>
    <w:rsid w:val="00CC5C81"/>
    <w:rsid w:val="00CC6A18"/>
    <w:rsid w:val="00CC6EE3"/>
    <w:rsid w:val="00CC7799"/>
    <w:rsid w:val="00CC7CC2"/>
    <w:rsid w:val="00CD0949"/>
    <w:rsid w:val="00CE3DAF"/>
    <w:rsid w:val="00CF7B33"/>
    <w:rsid w:val="00CF7F51"/>
    <w:rsid w:val="00D010D4"/>
    <w:rsid w:val="00D023A3"/>
    <w:rsid w:val="00D13083"/>
    <w:rsid w:val="00D144D5"/>
    <w:rsid w:val="00D14571"/>
    <w:rsid w:val="00D16E01"/>
    <w:rsid w:val="00D17F56"/>
    <w:rsid w:val="00D20408"/>
    <w:rsid w:val="00D205A8"/>
    <w:rsid w:val="00D21042"/>
    <w:rsid w:val="00D2154E"/>
    <w:rsid w:val="00D23482"/>
    <w:rsid w:val="00D24FD6"/>
    <w:rsid w:val="00D2501E"/>
    <w:rsid w:val="00D415B2"/>
    <w:rsid w:val="00D431A5"/>
    <w:rsid w:val="00D437CD"/>
    <w:rsid w:val="00D43F56"/>
    <w:rsid w:val="00D44818"/>
    <w:rsid w:val="00D45722"/>
    <w:rsid w:val="00D53FF3"/>
    <w:rsid w:val="00D6472F"/>
    <w:rsid w:val="00D648DA"/>
    <w:rsid w:val="00D715E9"/>
    <w:rsid w:val="00D716CC"/>
    <w:rsid w:val="00D74857"/>
    <w:rsid w:val="00D753B3"/>
    <w:rsid w:val="00D806F4"/>
    <w:rsid w:val="00D81D5D"/>
    <w:rsid w:val="00D8278D"/>
    <w:rsid w:val="00D842DC"/>
    <w:rsid w:val="00D85F05"/>
    <w:rsid w:val="00D8760A"/>
    <w:rsid w:val="00D8796C"/>
    <w:rsid w:val="00D90AE9"/>
    <w:rsid w:val="00D931D3"/>
    <w:rsid w:val="00D93FF6"/>
    <w:rsid w:val="00D94359"/>
    <w:rsid w:val="00D958AC"/>
    <w:rsid w:val="00DA11CB"/>
    <w:rsid w:val="00DA15E2"/>
    <w:rsid w:val="00DA2A31"/>
    <w:rsid w:val="00DA2ACA"/>
    <w:rsid w:val="00DA3569"/>
    <w:rsid w:val="00DA5303"/>
    <w:rsid w:val="00DA5699"/>
    <w:rsid w:val="00DA6354"/>
    <w:rsid w:val="00DA7DDD"/>
    <w:rsid w:val="00DB2D3A"/>
    <w:rsid w:val="00DB33D5"/>
    <w:rsid w:val="00DB5CA0"/>
    <w:rsid w:val="00DB628D"/>
    <w:rsid w:val="00DB72F5"/>
    <w:rsid w:val="00DC33E3"/>
    <w:rsid w:val="00DC4EDC"/>
    <w:rsid w:val="00DC5B68"/>
    <w:rsid w:val="00DC6DD4"/>
    <w:rsid w:val="00DD37D1"/>
    <w:rsid w:val="00DD4391"/>
    <w:rsid w:val="00DD58B4"/>
    <w:rsid w:val="00DF0295"/>
    <w:rsid w:val="00DF0C32"/>
    <w:rsid w:val="00DF342C"/>
    <w:rsid w:val="00E00A87"/>
    <w:rsid w:val="00E03F37"/>
    <w:rsid w:val="00E040CE"/>
    <w:rsid w:val="00E12BD8"/>
    <w:rsid w:val="00E14C3C"/>
    <w:rsid w:val="00E15572"/>
    <w:rsid w:val="00E21170"/>
    <w:rsid w:val="00E21C7A"/>
    <w:rsid w:val="00E2228F"/>
    <w:rsid w:val="00E23FCD"/>
    <w:rsid w:val="00E26390"/>
    <w:rsid w:val="00E27FA3"/>
    <w:rsid w:val="00E30BF3"/>
    <w:rsid w:val="00E350AC"/>
    <w:rsid w:val="00E401B8"/>
    <w:rsid w:val="00E4112B"/>
    <w:rsid w:val="00E432D2"/>
    <w:rsid w:val="00E43449"/>
    <w:rsid w:val="00E440F5"/>
    <w:rsid w:val="00E44D2E"/>
    <w:rsid w:val="00E5229B"/>
    <w:rsid w:val="00E52DDD"/>
    <w:rsid w:val="00E56A5D"/>
    <w:rsid w:val="00E56D0B"/>
    <w:rsid w:val="00E60EAA"/>
    <w:rsid w:val="00E61594"/>
    <w:rsid w:val="00E65EA6"/>
    <w:rsid w:val="00E70CCE"/>
    <w:rsid w:val="00E71D33"/>
    <w:rsid w:val="00E75D6B"/>
    <w:rsid w:val="00E80B92"/>
    <w:rsid w:val="00E81DA0"/>
    <w:rsid w:val="00E81E65"/>
    <w:rsid w:val="00E8758F"/>
    <w:rsid w:val="00E90B30"/>
    <w:rsid w:val="00E913D2"/>
    <w:rsid w:val="00EA04C2"/>
    <w:rsid w:val="00EA23BE"/>
    <w:rsid w:val="00EA401E"/>
    <w:rsid w:val="00EA5A5C"/>
    <w:rsid w:val="00EA5EDF"/>
    <w:rsid w:val="00EB119A"/>
    <w:rsid w:val="00EB19EE"/>
    <w:rsid w:val="00EB77A5"/>
    <w:rsid w:val="00EB7AB4"/>
    <w:rsid w:val="00EC012E"/>
    <w:rsid w:val="00EC07CB"/>
    <w:rsid w:val="00EC7E63"/>
    <w:rsid w:val="00ED1E89"/>
    <w:rsid w:val="00EE110D"/>
    <w:rsid w:val="00EE7B3F"/>
    <w:rsid w:val="00EF22DE"/>
    <w:rsid w:val="00EF3EC4"/>
    <w:rsid w:val="00EF6C5C"/>
    <w:rsid w:val="00EF6FB8"/>
    <w:rsid w:val="00F008F3"/>
    <w:rsid w:val="00F00FE6"/>
    <w:rsid w:val="00F02CAD"/>
    <w:rsid w:val="00F05593"/>
    <w:rsid w:val="00F10214"/>
    <w:rsid w:val="00F11879"/>
    <w:rsid w:val="00F128A2"/>
    <w:rsid w:val="00F138F5"/>
    <w:rsid w:val="00F17BA7"/>
    <w:rsid w:val="00F17F2A"/>
    <w:rsid w:val="00F203F0"/>
    <w:rsid w:val="00F31A66"/>
    <w:rsid w:val="00F42025"/>
    <w:rsid w:val="00F43DE7"/>
    <w:rsid w:val="00F4566C"/>
    <w:rsid w:val="00F54575"/>
    <w:rsid w:val="00F61D10"/>
    <w:rsid w:val="00F622D3"/>
    <w:rsid w:val="00F653AC"/>
    <w:rsid w:val="00F655ED"/>
    <w:rsid w:val="00F66BF8"/>
    <w:rsid w:val="00F67A1B"/>
    <w:rsid w:val="00F71B42"/>
    <w:rsid w:val="00F736FD"/>
    <w:rsid w:val="00F74412"/>
    <w:rsid w:val="00F756D2"/>
    <w:rsid w:val="00F760CC"/>
    <w:rsid w:val="00F77E5A"/>
    <w:rsid w:val="00F84EDC"/>
    <w:rsid w:val="00F86DD8"/>
    <w:rsid w:val="00F9225B"/>
    <w:rsid w:val="00F9705A"/>
    <w:rsid w:val="00F97D1A"/>
    <w:rsid w:val="00FA5D73"/>
    <w:rsid w:val="00FC0ACD"/>
    <w:rsid w:val="00FC1B35"/>
    <w:rsid w:val="00FC2DEF"/>
    <w:rsid w:val="00FC5A9D"/>
    <w:rsid w:val="00FD4080"/>
    <w:rsid w:val="00FE10E9"/>
    <w:rsid w:val="00FF39A4"/>
    <w:rsid w:val="00FF4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4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616"/>
  </w:style>
  <w:style w:type="paragraph" w:styleId="Heading2">
    <w:name w:val="heading 2"/>
    <w:basedOn w:val="Normal"/>
    <w:next w:val="Normal"/>
    <w:link w:val="Heading2Char"/>
    <w:qFormat/>
    <w:rsid w:val="004A51F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616"/>
    <w:pPr>
      <w:spacing w:after="0" w:line="240" w:lineRule="auto"/>
    </w:pPr>
  </w:style>
  <w:style w:type="paragraph" w:styleId="BodyText2">
    <w:name w:val="Body Text 2"/>
    <w:basedOn w:val="Normal"/>
    <w:link w:val="BodyText2Char"/>
    <w:rsid w:val="00915616"/>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915616"/>
    <w:rPr>
      <w:rFonts w:eastAsia="Times New Roman" w:cs="Times New Roman"/>
      <w:szCs w:val="24"/>
      <w:lang w:val="x-none" w:eastAsia="ru-RU"/>
    </w:rPr>
  </w:style>
  <w:style w:type="paragraph" w:customStyle="1" w:styleId="ATpamattesksts">
    <w:name w:val="AT pamattesksts"/>
    <w:basedOn w:val="BodyText2"/>
    <w:link w:val="ATpamatteskstsChar"/>
    <w:qFormat/>
    <w:rsid w:val="00915616"/>
    <w:pPr>
      <w:spacing w:after="0" w:line="276" w:lineRule="auto"/>
      <w:ind w:firstLine="567"/>
      <w:jc w:val="both"/>
    </w:pPr>
  </w:style>
  <w:style w:type="character" w:customStyle="1" w:styleId="ATpamatteskstsChar">
    <w:name w:val="AT pamattesksts Char"/>
    <w:basedOn w:val="BodyText2Char"/>
    <w:link w:val="ATpamattesksts"/>
    <w:rsid w:val="00915616"/>
    <w:rPr>
      <w:rFonts w:eastAsia="Times New Roman" w:cs="Times New Roman"/>
      <w:szCs w:val="24"/>
      <w:lang w:val="x-none" w:eastAsia="ru-RU"/>
    </w:rPr>
  </w:style>
  <w:style w:type="paragraph" w:customStyle="1" w:styleId="ATvirsraksts">
    <w:name w:val="AT virsraksts"/>
    <w:basedOn w:val="Normal"/>
    <w:link w:val="ATvirsrakstsChar"/>
    <w:qFormat/>
    <w:rsid w:val="00915616"/>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915616"/>
    <w:rPr>
      <w:rFonts w:eastAsia="Times New Roman" w:cs="Times New Roman"/>
      <w:b/>
      <w:szCs w:val="24"/>
      <w:lang w:eastAsia="ru-RU"/>
    </w:rPr>
  </w:style>
  <w:style w:type="paragraph" w:customStyle="1" w:styleId="tv213">
    <w:name w:val="tv213"/>
    <w:basedOn w:val="Normal"/>
    <w:rsid w:val="00A1391E"/>
    <w:pPr>
      <w:spacing w:before="100" w:beforeAutospacing="1" w:after="100" w:afterAutospacing="1" w:line="240" w:lineRule="auto"/>
    </w:pPr>
    <w:rPr>
      <w:rFonts w:eastAsia="Times New Roman" w:cs="Times New Roman"/>
      <w:szCs w:val="24"/>
      <w:lang w:val="en-US"/>
    </w:rPr>
  </w:style>
  <w:style w:type="paragraph" w:styleId="Header">
    <w:name w:val="header"/>
    <w:basedOn w:val="Normal"/>
    <w:link w:val="HeaderChar"/>
    <w:uiPriority w:val="99"/>
    <w:unhideWhenUsed/>
    <w:rsid w:val="004859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5975"/>
  </w:style>
  <w:style w:type="paragraph" w:styleId="Footer">
    <w:name w:val="footer"/>
    <w:basedOn w:val="Normal"/>
    <w:link w:val="FooterChar"/>
    <w:unhideWhenUsed/>
    <w:rsid w:val="00485975"/>
    <w:pPr>
      <w:tabs>
        <w:tab w:val="center" w:pos="4153"/>
        <w:tab w:val="right" w:pos="8306"/>
      </w:tabs>
      <w:spacing w:after="0" w:line="240" w:lineRule="auto"/>
    </w:pPr>
  </w:style>
  <w:style w:type="character" w:customStyle="1" w:styleId="FooterChar">
    <w:name w:val="Footer Char"/>
    <w:basedOn w:val="DefaultParagraphFont"/>
    <w:link w:val="Footer"/>
    <w:rsid w:val="00485975"/>
  </w:style>
  <w:style w:type="character" w:styleId="PageNumber">
    <w:name w:val="page number"/>
    <w:basedOn w:val="DefaultParagraphFont"/>
    <w:rsid w:val="00485975"/>
  </w:style>
  <w:style w:type="character" w:styleId="Hyperlink">
    <w:name w:val="Hyperlink"/>
    <w:basedOn w:val="DefaultParagraphFont"/>
    <w:uiPriority w:val="99"/>
    <w:unhideWhenUsed/>
    <w:rsid w:val="008B4DCF"/>
    <w:rPr>
      <w:color w:val="0563C1" w:themeColor="hyperlink"/>
      <w:u w:val="single"/>
    </w:rPr>
  </w:style>
  <w:style w:type="character" w:styleId="CommentReference">
    <w:name w:val="annotation reference"/>
    <w:basedOn w:val="DefaultParagraphFont"/>
    <w:uiPriority w:val="99"/>
    <w:semiHidden/>
    <w:unhideWhenUsed/>
    <w:rsid w:val="00593C9A"/>
    <w:rPr>
      <w:sz w:val="16"/>
      <w:szCs w:val="16"/>
    </w:rPr>
  </w:style>
  <w:style w:type="paragraph" w:styleId="CommentText">
    <w:name w:val="annotation text"/>
    <w:basedOn w:val="Normal"/>
    <w:link w:val="CommentTextChar"/>
    <w:uiPriority w:val="99"/>
    <w:unhideWhenUsed/>
    <w:rsid w:val="00593C9A"/>
    <w:pPr>
      <w:spacing w:line="240" w:lineRule="auto"/>
    </w:pPr>
    <w:rPr>
      <w:sz w:val="20"/>
      <w:szCs w:val="20"/>
    </w:rPr>
  </w:style>
  <w:style w:type="character" w:customStyle="1" w:styleId="CommentTextChar">
    <w:name w:val="Comment Text Char"/>
    <w:basedOn w:val="DefaultParagraphFont"/>
    <w:link w:val="CommentText"/>
    <w:uiPriority w:val="99"/>
    <w:rsid w:val="00593C9A"/>
    <w:rPr>
      <w:sz w:val="20"/>
      <w:szCs w:val="20"/>
    </w:rPr>
  </w:style>
  <w:style w:type="paragraph" w:styleId="CommentSubject">
    <w:name w:val="annotation subject"/>
    <w:basedOn w:val="CommentText"/>
    <w:next w:val="CommentText"/>
    <w:link w:val="CommentSubjectChar"/>
    <w:uiPriority w:val="99"/>
    <w:semiHidden/>
    <w:unhideWhenUsed/>
    <w:rsid w:val="00593C9A"/>
    <w:rPr>
      <w:b/>
      <w:bCs/>
    </w:rPr>
  </w:style>
  <w:style w:type="character" w:customStyle="1" w:styleId="CommentSubjectChar">
    <w:name w:val="Comment Subject Char"/>
    <w:basedOn w:val="CommentTextChar"/>
    <w:link w:val="CommentSubject"/>
    <w:uiPriority w:val="99"/>
    <w:semiHidden/>
    <w:rsid w:val="00593C9A"/>
    <w:rPr>
      <w:b/>
      <w:bCs/>
      <w:sz w:val="20"/>
      <w:szCs w:val="20"/>
    </w:rPr>
  </w:style>
  <w:style w:type="paragraph" w:styleId="BalloonText">
    <w:name w:val="Balloon Text"/>
    <w:basedOn w:val="Normal"/>
    <w:link w:val="BalloonTextChar"/>
    <w:uiPriority w:val="99"/>
    <w:semiHidden/>
    <w:unhideWhenUsed/>
    <w:rsid w:val="00593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C9A"/>
    <w:rPr>
      <w:rFonts w:ascii="Segoe UI" w:hAnsi="Segoe UI" w:cs="Segoe UI"/>
      <w:sz w:val="18"/>
      <w:szCs w:val="18"/>
    </w:rPr>
  </w:style>
  <w:style w:type="character" w:customStyle="1" w:styleId="Heading2Char">
    <w:name w:val="Heading 2 Char"/>
    <w:basedOn w:val="DefaultParagraphFont"/>
    <w:link w:val="Heading2"/>
    <w:rsid w:val="004A51F3"/>
    <w:rPr>
      <w:rFonts w:ascii="Arial" w:eastAsia="Times New Roman" w:hAnsi="Arial" w:cs="Arial"/>
      <w:b/>
      <w:bCs/>
      <w:i/>
      <w:iCs/>
      <w:sz w:val="28"/>
      <w:szCs w:val="28"/>
    </w:rPr>
  </w:style>
  <w:style w:type="paragraph" w:styleId="NormalWeb">
    <w:name w:val="Normal (Web)"/>
    <w:basedOn w:val="Normal"/>
    <w:uiPriority w:val="99"/>
    <w:semiHidden/>
    <w:unhideWhenUsed/>
    <w:rsid w:val="00430BC3"/>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22149</Words>
  <Characters>12625</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2018-08-10T06:25:00Z</dcterms:created>
  <dcterms:modified xsi:type="dcterms:W3CDTF">2018-08-10T06:33:00Z</dcterms:modified>
</cp:coreProperties>
</file>