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0512B" w14:textId="4AC493B5" w:rsidR="00191F2B" w:rsidRDefault="00191F2B" w:rsidP="002063E1">
      <w:pPr>
        <w:spacing w:after="0" w:line="276" w:lineRule="auto"/>
        <w:jc w:val="both"/>
        <w:rPr>
          <w:b/>
        </w:rPr>
      </w:pPr>
      <w:bookmarkStart w:id="0" w:name="_Hlk518475803"/>
      <w:r>
        <w:rPr>
          <w:b/>
        </w:rPr>
        <w:t>Kritērija „izšķirošā ietekme” konstatēšana</w:t>
      </w:r>
      <w:r w:rsidR="00347E18">
        <w:rPr>
          <w:b/>
        </w:rPr>
        <w:t>,</w:t>
      </w:r>
      <w:r>
        <w:rPr>
          <w:b/>
        </w:rPr>
        <w:t xml:space="preserve"> piemērojot likuma „Par uzņēmumu ienākum</w:t>
      </w:r>
      <w:r w:rsidR="00205C4C">
        <w:rPr>
          <w:b/>
        </w:rPr>
        <w:t>a</w:t>
      </w:r>
      <w:r>
        <w:rPr>
          <w:b/>
        </w:rPr>
        <w:t xml:space="preserve"> nodokli” </w:t>
      </w:r>
      <w:proofErr w:type="gramStart"/>
      <w:r>
        <w:rPr>
          <w:b/>
        </w:rPr>
        <w:t>12.panta</w:t>
      </w:r>
      <w:proofErr w:type="gramEnd"/>
      <w:r>
        <w:rPr>
          <w:b/>
        </w:rPr>
        <w:t xml:space="preserve"> otrās daļas 2.punktu</w:t>
      </w:r>
    </w:p>
    <w:p w14:paraId="4BA697F1" w14:textId="6B748242" w:rsidR="00191F2B" w:rsidRDefault="00191F2B" w:rsidP="002063E1">
      <w:pPr>
        <w:spacing w:after="0" w:line="276" w:lineRule="auto"/>
        <w:jc w:val="both"/>
      </w:pPr>
      <w:r>
        <w:t xml:space="preserve">Nav pamatots vispārīgs secinājums, ka pie divu personu vienādām iespējām ietekmēt lēmumu pieņemšanu tās </w:t>
      </w:r>
      <w:r w:rsidRPr="002B085F">
        <w:rPr>
          <w:i/>
        </w:rPr>
        <w:t>abas</w:t>
      </w:r>
      <w:r>
        <w:t xml:space="preserve"> īsteno </w:t>
      </w:r>
      <w:r w:rsidRPr="002B085F">
        <w:rPr>
          <w:i/>
        </w:rPr>
        <w:t>kopīgu</w:t>
      </w:r>
      <w:r>
        <w:t xml:space="preserve"> kontroli. Pretējā gadījumā likuma „Par uzņēmumu ienākum</w:t>
      </w:r>
      <w:r w:rsidR="00205C4C">
        <w:t>a</w:t>
      </w:r>
      <w:r>
        <w:t xml:space="preserve"> nodokli” </w:t>
      </w:r>
      <w:proofErr w:type="gramStart"/>
      <w:r>
        <w:t>12.panta</w:t>
      </w:r>
      <w:proofErr w:type="gramEnd"/>
      <w:r>
        <w:t xml:space="preserve"> otrās daļas 2.punkts būtu jāpiemēro attiecībā uz ikvienu gadījumu, kad divas vai vairāk personas vienlīdzīgi īsteno sabiedrības pārvaldību, arī tad, ja vienīgais veids, kā sabiedrībā vispār jebkad varētu tikt pieņemti lēmumi, ir tikai šo personu saskaņots lēmums. </w:t>
      </w:r>
      <w:r w:rsidRPr="00F060F3">
        <w:t>Nav izslēdzams, ka divas personas ir izveidojušas vienlīdzīgu ietekmes īstenošanas mehānismu tieši tādēļ, lai nevienai nebūtu izšķirošas ietekme</w:t>
      </w:r>
      <w:r>
        <w:t xml:space="preserve">s. </w:t>
      </w:r>
    </w:p>
    <w:p w14:paraId="3E2AC38C" w14:textId="66BBA33C" w:rsidR="00703DEB" w:rsidRPr="002063E1" w:rsidRDefault="00191F2B" w:rsidP="002063E1">
      <w:pPr>
        <w:spacing w:after="0" w:line="276" w:lineRule="auto"/>
        <w:jc w:val="both"/>
      </w:pPr>
      <w:r>
        <w:t xml:space="preserve">Lai piemērotu likuma „Par uzņēmumu ienākuma nodokli” </w:t>
      </w:r>
      <w:proofErr w:type="gramStart"/>
      <w:r>
        <w:t>12.panta</w:t>
      </w:r>
      <w:proofErr w:type="gramEnd"/>
      <w:r>
        <w:t xml:space="preserve"> otrās daļas 2.punktu atbilstoši tā jēgai, proti, identificēt gadījumus, kad kādas personas izšķiroša ietekme ir bijis pamats noslēgt tirgus cenām neatbilstošus darījumus, vienlīdzīgas ietekmes apstākļos būtu jāspēj identificēt tāds apstākļu kopums, kas ļauj uzskatīt, ka divas vai vairākas personas darbojas kopīgi. </w:t>
      </w:r>
      <w:r w:rsidRPr="00F060F3">
        <w:t xml:space="preserve">Tādi apstākļi var būt redzami </w:t>
      </w:r>
      <w:proofErr w:type="spellStart"/>
      <w:r w:rsidRPr="00F060F3">
        <w:t>citstarp</w:t>
      </w:r>
      <w:proofErr w:type="spellEnd"/>
      <w:r w:rsidRPr="00F060F3">
        <w:t xml:space="preserve"> no uzņēmuma darbības ilgākā laikposmā, no strīdus darījumu vietas pārējās saimnieciskās darbības ietvaros, no attiecīgo personu savstarpējām saiknēm, jo īpaši ilgtermiņā.</w:t>
      </w:r>
      <w:bookmarkEnd w:id="0"/>
    </w:p>
    <w:p w14:paraId="6E64E5B1" w14:textId="77777777" w:rsidR="00191F2B" w:rsidRPr="007274C5" w:rsidRDefault="00191F2B" w:rsidP="007274C5">
      <w:pPr>
        <w:spacing w:after="0" w:line="276" w:lineRule="auto"/>
        <w:jc w:val="right"/>
        <w:rPr>
          <w:rFonts w:cs="Times New Roman"/>
          <w:szCs w:val="24"/>
        </w:rPr>
      </w:pPr>
    </w:p>
    <w:p w14:paraId="099CA928" w14:textId="0010AAE7" w:rsidR="00703DEB" w:rsidRDefault="00703DEB" w:rsidP="007274C5">
      <w:pPr>
        <w:tabs>
          <w:tab w:val="left" w:pos="1418"/>
        </w:tabs>
        <w:spacing w:after="0" w:line="276" w:lineRule="auto"/>
        <w:jc w:val="center"/>
        <w:rPr>
          <w:rFonts w:cs="Times New Roman"/>
          <w:b/>
          <w:szCs w:val="24"/>
        </w:rPr>
      </w:pPr>
      <w:r w:rsidRPr="007274C5">
        <w:rPr>
          <w:rFonts w:cs="Times New Roman"/>
          <w:b/>
          <w:szCs w:val="24"/>
        </w:rPr>
        <w:t>Latvijas Republikas Augstākā</w:t>
      </w:r>
      <w:r w:rsidR="00191F2B">
        <w:rPr>
          <w:rFonts w:cs="Times New Roman"/>
          <w:b/>
          <w:szCs w:val="24"/>
        </w:rPr>
        <w:t>s</w:t>
      </w:r>
      <w:r w:rsidRPr="007274C5">
        <w:rPr>
          <w:rFonts w:cs="Times New Roman"/>
          <w:b/>
          <w:szCs w:val="24"/>
        </w:rPr>
        <w:t xml:space="preserve"> tiesa</w:t>
      </w:r>
      <w:r w:rsidR="00191F2B">
        <w:rPr>
          <w:rFonts w:cs="Times New Roman"/>
          <w:b/>
          <w:szCs w:val="24"/>
        </w:rPr>
        <w:t>s</w:t>
      </w:r>
    </w:p>
    <w:p w14:paraId="1A791738" w14:textId="21C32E67" w:rsidR="00191F2B" w:rsidRDefault="00191F2B" w:rsidP="007274C5">
      <w:pPr>
        <w:tabs>
          <w:tab w:val="left" w:pos="1418"/>
        </w:tabs>
        <w:spacing w:after="0" w:line="276" w:lineRule="auto"/>
        <w:jc w:val="center"/>
        <w:rPr>
          <w:rFonts w:cs="Times New Roman"/>
          <w:b/>
          <w:szCs w:val="24"/>
        </w:rPr>
      </w:pPr>
      <w:r>
        <w:rPr>
          <w:rFonts w:cs="Times New Roman"/>
          <w:b/>
          <w:szCs w:val="24"/>
        </w:rPr>
        <w:t>Administratīvo lietu departamenta</w:t>
      </w:r>
    </w:p>
    <w:p w14:paraId="57D7E901" w14:textId="11A6232E" w:rsidR="00E308A1" w:rsidRPr="007274C5" w:rsidRDefault="00E308A1" w:rsidP="007274C5">
      <w:pPr>
        <w:tabs>
          <w:tab w:val="left" w:pos="1418"/>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20.jūnija</w:t>
      </w:r>
    </w:p>
    <w:p w14:paraId="5A120818" w14:textId="685E4CA3" w:rsidR="00703DEB" w:rsidRDefault="00961FBB" w:rsidP="007274C5">
      <w:pPr>
        <w:spacing w:after="0" w:line="276" w:lineRule="auto"/>
        <w:jc w:val="center"/>
        <w:rPr>
          <w:rFonts w:cs="Times New Roman"/>
          <w:b/>
          <w:szCs w:val="24"/>
        </w:rPr>
      </w:pPr>
      <w:r w:rsidRPr="007274C5">
        <w:rPr>
          <w:rFonts w:cs="Times New Roman"/>
          <w:b/>
          <w:szCs w:val="24"/>
        </w:rPr>
        <w:t>SPRIEDUMS</w:t>
      </w:r>
    </w:p>
    <w:p w14:paraId="04AF06F3" w14:textId="0FEA2496" w:rsidR="00191F2B" w:rsidRDefault="00191F2B" w:rsidP="007274C5">
      <w:pPr>
        <w:spacing w:after="0" w:line="276" w:lineRule="auto"/>
        <w:jc w:val="center"/>
        <w:rPr>
          <w:rFonts w:cs="Times New Roman"/>
          <w:b/>
          <w:szCs w:val="24"/>
        </w:rPr>
      </w:pPr>
      <w:r>
        <w:rPr>
          <w:rFonts w:cs="Times New Roman"/>
          <w:b/>
          <w:szCs w:val="24"/>
        </w:rPr>
        <w:t>Lieta Nr. A420437112, SKA-97/2018</w:t>
      </w:r>
    </w:p>
    <w:p w14:paraId="248A3861" w14:textId="05E97E97" w:rsidR="00191F2B" w:rsidRPr="00191F2B" w:rsidRDefault="00191F2B" w:rsidP="00191F2B">
      <w:pPr>
        <w:spacing w:after="0" w:line="276" w:lineRule="auto"/>
        <w:jc w:val="center"/>
        <w:rPr>
          <w:rFonts w:cs="Times New Roman"/>
          <w:b/>
          <w:szCs w:val="24"/>
          <w:u w:val="single"/>
        </w:rPr>
      </w:pPr>
      <w:r w:rsidRPr="00191F2B">
        <w:rPr>
          <w:rFonts w:ascii="TimesNewRomanPSMT" w:hAnsi="TimesNewRomanPSMT" w:cs="TimesNewRomanPSMT"/>
          <w:szCs w:val="24"/>
          <w:u w:val="single"/>
        </w:rPr>
        <w:t>ECLI:LV:AT:2018:0620.A420437112.4.S</w:t>
      </w:r>
    </w:p>
    <w:p w14:paraId="64C6C733" w14:textId="77777777" w:rsidR="00703DEB" w:rsidRPr="007274C5" w:rsidRDefault="00703DEB" w:rsidP="007274C5">
      <w:pPr>
        <w:spacing w:after="0" w:line="276" w:lineRule="auto"/>
        <w:jc w:val="center"/>
        <w:rPr>
          <w:rFonts w:cs="Times New Roman"/>
          <w:szCs w:val="24"/>
        </w:rPr>
      </w:pPr>
    </w:p>
    <w:p w14:paraId="38D4E64A" w14:textId="2D717C28" w:rsidR="00703DEB" w:rsidRPr="007274C5" w:rsidRDefault="00961FBB" w:rsidP="007274C5">
      <w:pPr>
        <w:spacing w:after="0" w:line="276" w:lineRule="auto"/>
        <w:ind w:firstLine="720"/>
        <w:jc w:val="both"/>
        <w:rPr>
          <w:rFonts w:cs="Times New Roman"/>
          <w:szCs w:val="24"/>
        </w:rPr>
      </w:pPr>
      <w:r w:rsidRPr="007274C5">
        <w:rPr>
          <w:rFonts w:cs="Times New Roman"/>
          <w:szCs w:val="24"/>
        </w:rPr>
        <w:t>Augstākā tiesa</w:t>
      </w:r>
      <w:r w:rsidR="00703DEB" w:rsidRPr="007274C5">
        <w:rPr>
          <w:rFonts w:cs="Times New Roman"/>
          <w:szCs w:val="24"/>
        </w:rPr>
        <w:t xml:space="preserve"> šādā sastāvā: </w:t>
      </w:r>
    </w:p>
    <w:p w14:paraId="5A93865D" w14:textId="1CC2CB38" w:rsidR="00703DEB" w:rsidRPr="007274C5" w:rsidRDefault="00E90090" w:rsidP="007274C5">
      <w:pPr>
        <w:tabs>
          <w:tab w:val="left" w:pos="2700"/>
        </w:tabs>
        <w:spacing w:after="0" w:line="276" w:lineRule="auto"/>
        <w:ind w:left="720" w:firstLine="414"/>
        <w:jc w:val="both"/>
        <w:rPr>
          <w:rFonts w:cs="Times New Roman"/>
          <w:szCs w:val="24"/>
        </w:rPr>
      </w:pPr>
      <w:r>
        <w:rPr>
          <w:rFonts w:cs="Times New Roman"/>
          <w:szCs w:val="24"/>
        </w:rPr>
        <w:t xml:space="preserve">tiesas sēdes priekšsēdētāja </w:t>
      </w:r>
      <w:r w:rsidR="00E70BE1" w:rsidRPr="007274C5">
        <w:rPr>
          <w:rFonts w:cs="Times New Roman"/>
          <w:szCs w:val="24"/>
        </w:rPr>
        <w:t xml:space="preserve">tiesnese </w:t>
      </w:r>
      <w:r w:rsidR="009F3DCB" w:rsidRPr="007274C5">
        <w:rPr>
          <w:rFonts w:cs="Times New Roman"/>
          <w:szCs w:val="24"/>
        </w:rPr>
        <w:t>Rudīte Vīduša,</w:t>
      </w:r>
    </w:p>
    <w:p w14:paraId="689683AF" w14:textId="45FE41FC" w:rsidR="00703DEB" w:rsidRPr="007274C5" w:rsidRDefault="009F3DCB" w:rsidP="007274C5">
      <w:pPr>
        <w:spacing w:after="0" w:line="276" w:lineRule="auto"/>
        <w:ind w:left="414" w:firstLine="720"/>
        <w:jc w:val="both"/>
        <w:rPr>
          <w:rFonts w:cs="Times New Roman"/>
          <w:szCs w:val="24"/>
        </w:rPr>
      </w:pPr>
      <w:r w:rsidRPr="007274C5">
        <w:rPr>
          <w:rFonts w:cs="Times New Roman"/>
          <w:szCs w:val="24"/>
        </w:rPr>
        <w:t>tiesnese</w:t>
      </w:r>
      <w:r w:rsidR="00E70BE1" w:rsidRPr="007274C5">
        <w:rPr>
          <w:rFonts w:cs="Times New Roman"/>
          <w:szCs w:val="24"/>
        </w:rPr>
        <w:t xml:space="preserve"> </w:t>
      </w:r>
      <w:r w:rsidR="00F70D7A">
        <w:rPr>
          <w:rFonts w:cs="Times New Roman"/>
          <w:szCs w:val="24"/>
        </w:rPr>
        <w:t>Veronika Krūmiņa</w:t>
      </w:r>
      <w:r w:rsidR="00D51EEC">
        <w:rPr>
          <w:rFonts w:cs="Times New Roman"/>
          <w:szCs w:val="24"/>
        </w:rPr>
        <w:t>,</w:t>
      </w:r>
    </w:p>
    <w:p w14:paraId="7146D1F9" w14:textId="2CD3D929" w:rsidR="00703DEB" w:rsidRPr="007274C5" w:rsidRDefault="00F84C76" w:rsidP="007274C5">
      <w:pPr>
        <w:tabs>
          <w:tab w:val="left" w:pos="2700"/>
        </w:tabs>
        <w:spacing w:after="0" w:line="276" w:lineRule="auto"/>
        <w:ind w:left="720" w:firstLine="414"/>
        <w:jc w:val="both"/>
        <w:rPr>
          <w:rFonts w:cs="Times New Roman"/>
          <w:szCs w:val="24"/>
        </w:rPr>
      </w:pPr>
      <w:r>
        <w:rPr>
          <w:rFonts w:cs="Times New Roman"/>
          <w:szCs w:val="24"/>
        </w:rPr>
        <w:t>tiesnese Līvija Slica</w:t>
      </w:r>
    </w:p>
    <w:p w14:paraId="44F231E5" w14:textId="77777777" w:rsidR="00703DEB" w:rsidRPr="007274C5" w:rsidRDefault="00703DEB" w:rsidP="007274C5">
      <w:pPr>
        <w:spacing w:after="0" w:line="276" w:lineRule="auto"/>
        <w:ind w:firstLine="709"/>
        <w:jc w:val="both"/>
        <w:rPr>
          <w:rFonts w:cs="Times New Roman"/>
          <w:szCs w:val="24"/>
        </w:rPr>
      </w:pPr>
    </w:p>
    <w:p w14:paraId="08F9886F" w14:textId="3707C2F2" w:rsidR="00033047" w:rsidRDefault="00033047" w:rsidP="00F84C76">
      <w:pPr>
        <w:spacing w:after="0" w:line="276" w:lineRule="auto"/>
        <w:ind w:firstLine="709"/>
        <w:jc w:val="both"/>
        <w:rPr>
          <w:rFonts w:cs="Times New Roman"/>
          <w:szCs w:val="24"/>
        </w:rPr>
      </w:pPr>
      <w:r>
        <w:rPr>
          <w:rFonts w:cs="Times New Roman"/>
          <w:szCs w:val="24"/>
        </w:rPr>
        <w:t>piedaloties pieteicējas SIA „</w:t>
      </w:r>
      <w:proofErr w:type="spellStart"/>
      <w:r>
        <w:rPr>
          <w:rFonts w:cs="Times New Roman"/>
          <w:szCs w:val="24"/>
        </w:rPr>
        <w:t>Woodison</w:t>
      </w:r>
      <w:proofErr w:type="spellEnd"/>
      <w:r>
        <w:rPr>
          <w:rFonts w:cs="Times New Roman"/>
          <w:szCs w:val="24"/>
        </w:rPr>
        <w:t xml:space="preserve"> </w:t>
      </w:r>
      <w:proofErr w:type="spellStart"/>
      <w:r>
        <w:rPr>
          <w:rFonts w:cs="Times New Roman"/>
          <w:szCs w:val="24"/>
        </w:rPr>
        <w:t>Terminal</w:t>
      </w:r>
      <w:proofErr w:type="spellEnd"/>
      <w:r>
        <w:rPr>
          <w:rFonts w:cs="Times New Roman"/>
          <w:szCs w:val="24"/>
        </w:rPr>
        <w:t xml:space="preserve">” pārstāvim </w:t>
      </w:r>
      <w:proofErr w:type="gramStart"/>
      <w:r w:rsidR="002063E1">
        <w:rPr>
          <w:rFonts w:cs="Times New Roman"/>
          <w:szCs w:val="24"/>
        </w:rPr>
        <w:t>[</w:t>
      </w:r>
      <w:proofErr w:type="gramEnd"/>
      <w:r w:rsidR="002063E1">
        <w:rPr>
          <w:rFonts w:cs="Times New Roman"/>
          <w:szCs w:val="24"/>
        </w:rPr>
        <w:t>pers. A]</w:t>
      </w:r>
      <w:r>
        <w:rPr>
          <w:rFonts w:cs="Times New Roman"/>
          <w:szCs w:val="24"/>
        </w:rPr>
        <w:t>,</w:t>
      </w:r>
    </w:p>
    <w:p w14:paraId="037FD9AE" w14:textId="150FA9B2" w:rsidR="00033047" w:rsidRDefault="00033047" w:rsidP="00F84C76">
      <w:pPr>
        <w:spacing w:after="0" w:line="276" w:lineRule="auto"/>
        <w:ind w:firstLine="709"/>
        <w:jc w:val="both"/>
        <w:rPr>
          <w:rFonts w:cs="Times New Roman"/>
          <w:szCs w:val="24"/>
        </w:rPr>
      </w:pPr>
      <w:r>
        <w:rPr>
          <w:rFonts w:cs="Times New Roman"/>
          <w:szCs w:val="24"/>
        </w:rPr>
        <w:t xml:space="preserve">atbildētājas Latvijas Republikas pusē pieaicinātās iestādes Valsts ieņēmumu dienesta pārstāvjiem </w:t>
      </w:r>
      <w:proofErr w:type="gramStart"/>
      <w:r w:rsidR="002063E1">
        <w:rPr>
          <w:rFonts w:cs="Times New Roman"/>
          <w:szCs w:val="24"/>
        </w:rPr>
        <w:t>[</w:t>
      </w:r>
      <w:proofErr w:type="gramEnd"/>
      <w:r w:rsidR="002063E1">
        <w:rPr>
          <w:rFonts w:cs="Times New Roman"/>
          <w:szCs w:val="24"/>
        </w:rPr>
        <w:t>pers. B]</w:t>
      </w:r>
      <w:r>
        <w:rPr>
          <w:rFonts w:cs="Times New Roman"/>
          <w:szCs w:val="24"/>
        </w:rPr>
        <w:t xml:space="preserve"> un </w:t>
      </w:r>
      <w:proofErr w:type="gramStart"/>
      <w:r w:rsidR="002063E1">
        <w:rPr>
          <w:rFonts w:cs="Times New Roman"/>
          <w:szCs w:val="24"/>
        </w:rPr>
        <w:t>[</w:t>
      </w:r>
      <w:proofErr w:type="gramEnd"/>
      <w:r w:rsidR="002063E1">
        <w:rPr>
          <w:rFonts w:cs="Times New Roman"/>
          <w:szCs w:val="24"/>
        </w:rPr>
        <w:t>pers. C]</w:t>
      </w:r>
      <w:r>
        <w:rPr>
          <w:rFonts w:cs="Times New Roman"/>
          <w:szCs w:val="24"/>
        </w:rPr>
        <w:t>,</w:t>
      </w:r>
    </w:p>
    <w:p w14:paraId="4FAD5513" w14:textId="77777777" w:rsidR="00033047" w:rsidRDefault="00033047" w:rsidP="00F84C76">
      <w:pPr>
        <w:spacing w:after="0" w:line="276" w:lineRule="auto"/>
        <w:ind w:firstLine="709"/>
        <w:jc w:val="both"/>
        <w:rPr>
          <w:rFonts w:cs="Times New Roman"/>
          <w:szCs w:val="24"/>
        </w:rPr>
      </w:pPr>
    </w:p>
    <w:p w14:paraId="1A710286" w14:textId="5DD22746" w:rsidR="00703DEB" w:rsidRPr="007274C5" w:rsidRDefault="00033047" w:rsidP="00F84C76">
      <w:pPr>
        <w:spacing w:after="0" w:line="276" w:lineRule="auto"/>
        <w:ind w:firstLine="709"/>
        <w:jc w:val="both"/>
        <w:rPr>
          <w:rFonts w:cs="Times New Roman"/>
          <w:szCs w:val="24"/>
        </w:rPr>
      </w:pPr>
      <w:r>
        <w:rPr>
          <w:rFonts w:cs="Times New Roman"/>
          <w:szCs w:val="24"/>
        </w:rPr>
        <w:t>atklātā tiesas sēdē</w:t>
      </w:r>
      <w:r w:rsidR="00703DEB" w:rsidRPr="007274C5">
        <w:rPr>
          <w:rFonts w:cs="Times New Roman"/>
          <w:szCs w:val="24"/>
        </w:rPr>
        <w:t xml:space="preserve"> izskatīja </w:t>
      </w:r>
      <w:r w:rsidR="00961FBB" w:rsidRPr="007274C5">
        <w:rPr>
          <w:rFonts w:cs="Times New Roman"/>
          <w:szCs w:val="24"/>
        </w:rPr>
        <w:t xml:space="preserve">administratīvo lietu, kas ierosināta pēc </w:t>
      </w:r>
      <w:r w:rsidR="005508CC" w:rsidRPr="007274C5">
        <w:rPr>
          <w:rFonts w:cs="Times New Roman"/>
          <w:szCs w:val="24"/>
        </w:rPr>
        <w:t>SIA „</w:t>
      </w:r>
      <w:proofErr w:type="spellStart"/>
      <w:r w:rsidR="00F70D7A" w:rsidRPr="00F70D7A">
        <w:rPr>
          <w:rFonts w:cs="Times New Roman"/>
          <w:szCs w:val="24"/>
        </w:rPr>
        <w:t>Woodison</w:t>
      </w:r>
      <w:proofErr w:type="spellEnd"/>
      <w:r w:rsidR="00F70D7A" w:rsidRPr="00F70D7A">
        <w:rPr>
          <w:rFonts w:cs="Times New Roman"/>
          <w:szCs w:val="24"/>
        </w:rPr>
        <w:t xml:space="preserve"> </w:t>
      </w:r>
      <w:proofErr w:type="spellStart"/>
      <w:r w:rsidR="00F70D7A" w:rsidRPr="00F70D7A">
        <w:rPr>
          <w:rFonts w:cs="Times New Roman"/>
          <w:szCs w:val="24"/>
        </w:rPr>
        <w:t>Terminal</w:t>
      </w:r>
      <w:proofErr w:type="spellEnd"/>
      <w:r w:rsidR="00F84C76" w:rsidRPr="00F84C76">
        <w:rPr>
          <w:rFonts w:cs="Times New Roman"/>
          <w:szCs w:val="24"/>
        </w:rPr>
        <w:t>” pieteikum</w:t>
      </w:r>
      <w:r w:rsidR="00F84C76">
        <w:rPr>
          <w:rFonts w:cs="Times New Roman"/>
          <w:szCs w:val="24"/>
        </w:rPr>
        <w:t>a</w:t>
      </w:r>
      <w:r w:rsidR="00F84C76" w:rsidRPr="00F84C76">
        <w:rPr>
          <w:rFonts w:cs="Times New Roman"/>
          <w:szCs w:val="24"/>
        </w:rPr>
        <w:t xml:space="preserve"> par</w:t>
      </w:r>
      <w:r w:rsidR="00F84C76">
        <w:rPr>
          <w:rFonts w:cs="Times New Roman"/>
          <w:szCs w:val="24"/>
        </w:rPr>
        <w:t xml:space="preserve"> </w:t>
      </w:r>
      <w:r w:rsidR="00F84C76" w:rsidRPr="00F84C76">
        <w:rPr>
          <w:rFonts w:cs="Times New Roman"/>
          <w:szCs w:val="24"/>
        </w:rPr>
        <w:t xml:space="preserve">Valsts ieņēmumu dienesta </w:t>
      </w:r>
      <w:proofErr w:type="gramStart"/>
      <w:r w:rsidR="00F84C76" w:rsidRPr="00F84C76">
        <w:rPr>
          <w:rFonts w:cs="Times New Roman"/>
          <w:szCs w:val="24"/>
        </w:rPr>
        <w:t>2012.gada</w:t>
      </w:r>
      <w:proofErr w:type="gramEnd"/>
      <w:r w:rsidR="00F84C76" w:rsidRPr="00F84C76">
        <w:rPr>
          <w:rFonts w:cs="Times New Roman"/>
          <w:szCs w:val="24"/>
        </w:rPr>
        <w:t xml:space="preserve"> 18.aprīļa lēmuma Nr.</w:t>
      </w:r>
      <w:r w:rsidR="00F84C76">
        <w:rPr>
          <w:rFonts w:cs="Times New Roman"/>
          <w:szCs w:val="24"/>
        </w:rPr>
        <w:t> </w:t>
      </w:r>
      <w:r w:rsidR="00F84C76" w:rsidRPr="00F84C76">
        <w:rPr>
          <w:rFonts w:cs="Times New Roman"/>
          <w:szCs w:val="24"/>
        </w:rPr>
        <w:t>22.4.8/30950 atcelšanu,</w:t>
      </w:r>
      <w:r w:rsidR="00F84C76">
        <w:rPr>
          <w:rFonts w:cs="Times New Roman"/>
          <w:szCs w:val="24"/>
        </w:rPr>
        <w:t xml:space="preserve"> </w:t>
      </w:r>
      <w:r w:rsidR="00F84C76" w:rsidRPr="00F84C76">
        <w:rPr>
          <w:rFonts w:cs="Times New Roman"/>
          <w:szCs w:val="24"/>
        </w:rPr>
        <w:t xml:space="preserve">sakarā ar </w:t>
      </w:r>
      <w:r w:rsidR="00F84C76">
        <w:rPr>
          <w:rFonts w:cs="Times New Roman"/>
          <w:szCs w:val="24"/>
        </w:rPr>
        <w:t>SIA „</w:t>
      </w:r>
      <w:proofErr w:type="spellStart"/>
      <w:r w:rsidR="00F70D7A" w:rsidRPr="00F70D7A">
        <w:rPr>
          <w:rFonts w:cs="Times New Roman"/>
          <w:szCs w:val="24"/>
        </w:rPr>
        <w:t>Woodison</w:t>
      </w:r>
      <w:proofErr w:type="spellEnd"/>
      <w:r w:rsidR="00F70D7A" w:rsidRPr="00F70D7A">
        <w:rPr>
          <w:rFonts w:cs="Times New Roman"/>
          <w:szCs w:val="24"/>
        </w:rPr>
        <w:t xml:space="preserve"> </w:t>
      </w:r>
      <w:proofErr w:type="spellStart"/>
      <w:r w:rsidR="00F70D7A" w:rsidRPr="00F70D7A">
        <w:rPr>
          <w:rFonts w:cs="Times New Roman"/>
          <w:szCs w:val="24"/>
        </w:rPr>
        <w:t>Terminal</w:t>
      </w:r>
      <w:proofErr w:type="spellEnd"/>
      <w:r w:rsidR="00F84C76">
        <w:rPr>
          <w:rFonts w:cs="Times New Roman"/>
          <w:szCs w:val="24"/>
        </w:rPr>
        <w:t xml:space="preserve">” </w:t>
      </w:r>
      <w:r w:rsidR="00703DEB" w:rsidRPr="007274C5">
        <w:rPr>
          <w:rFonts w:cs="Times New Roman"/>
          <w:szCs w:val="24"/>
        </w:rPr>
        <w:t>kasācijas sūdzību par Administr</w:t>
      </w:r>
      <w:r w:rsidR="009F3DCB" w:rsidRPr="007274C5">
        <w:rPr>
          <w:rFonts w:cs="Times New Roman"/>
          <w:szCs w:val="24"/>
        </w:rPr>
        <w:t>a</w:t>
      </w:r>
      <w:r w:rsidR="006459D9" w:rsidRPr="007274C5">
        <w:rPr>
          <w:rFonts w:cs="Times New Roman"/>
          <w:szCs w:val="24"/>
        </w:rPr>
        <w:t>tīvās apgabaltiesas 201</w:t>
      </w:r>
      <w:r w:rsidR="005508CC" w:rsidRPr="007274C5">
        <w:rPr>
          <w:rFonts w:cs="Times New Roman"/>
          <w:szCs w:val="24"/>
        </w:rPr>
        <w:t xml:space="preserve">6.gada </w:t>
      </w:r>
      <w:r w:rsidR="00F84C76">
        <w:rPr>
          <w:rFonts w:cs="Times New Roman"/>
          <w:szCs w:val="24"/>
        </w:rPr>
        <w:t>31.marta</w:t>
      </w:r>
      <w:r w:rsidR="00703DEB" w:rsidRPr="007274C5">
        <w:rPr>
          <w:rFonts w:cs="Times New Roman"/>
          <w:szCs w:val="24"/>
        </w:rPr>
        <w:t xml:space="preserve"> spriedumu.</w:t>
      </w:r>
    </w:p>
    <w:p w14:paraId="7C7A8A78" w14:textId="77777777" w:rsidR="00703DEB" w:rsidRPr="007274C5" w:rsidRDefault="00703DEB" w:rsidP="007274C5">
      <w:pPr>
        <w:spacing w:after="0" w:line="276" w:lineRule="auto"/>
        <w:jc w:val="both"/>
        <w:rPr>
          <w:rFonts w:cs="Times New Roman"/>
          <w:szCs w:val="24"/>
        </w:rPr>
      </w:pPr>
    </w:p>
    <w:p w14:paraId="041F1BDA" w14:textId="77777777" w:rsidR="00703DEB" w:rsidRPr="007274C5" w:rsidRDefault="00703DEB" w:rsidP="007274C5">
      <w:pPr>
        <w:spacing w:after="0" w:line="276" w:lineRule="auto"/>
        <w:jc w:val="center"/>
        <w:rPr>
          <w:rFonts w:cs="Times New Roman"/>
          <w:b/>
          <w:szCs w:val="24"/>
        </w:rPr>
      </w:pPr>
      <w:r w:rsidRPr="007274C5">
        <w:rPr>
          <w:rFonts w:cs="Times New Roman"/>
          <w:b/>
          <w:szCs w:val="24"/>
        </w:rPr>
        <w:t>Aprakstošā daļa</w:t>
      </w:r>
    </w:p>
    <w:p w14:paraId="387C3038" w14:textId="77777777" w:rsidR="00703DEB" w:rsidRPr="007274C5" w:rsidRDefault="00703DEB" w:rsidP="007274C5">
      <w:pPr>
        <w:pStyle w:val="NoSpacing"/>
        <w:spacing w:line="276" w:lineRule="auto"/>
        <w:jc w:val="both"/>
        <w:rPr>
          <w:rFonts w:cs="Times New Roman"/>
          <w:b/>
          <w:szCs w:val="24"/>
        </w:rPr>
      </w:pPr>
    </w:p>
    <w:p w14:paraId="1CF3D102" w14:textId="3D55EAC0" w:rsidR="009B6484" w:rsidRPr="007274C5" w:rsidRDefault="00703DEB" w:rsidP="007274C5">
      <w:pPr>
        <w:autoSpaceDE w:val="0"/>
        <w:autoSpaceDN w:val="0"/>
        <w:adjustRightInd w:val="0"/>
        <w:spacing w:after="0" w:line="276" w:lineRule="auto"/>
        <w:ind w:firstLine="709"/>
        <w:jc w:val="both"/>
        <w:rPr>
          <w:rFonts w:cs="Times New Roman"/>
          <w:szCs w:val="24"/>
        </w:rPr>
      </w:pPr>
      <w:r w:rsidRPr="007274C5">
        <w:rPr>
          <w:rFonts w:cs="Times New Roman"/>
          <w:szCs w:val="24"/>
          <w:lang w:eastAsia="lv-LV"/>
        </w:rPr>
        <w:t>[1]</w:t>
      </w:r>
      <w:r w:rsidR="00684C35" w:rsidRPr="007274C5">
        <w:rPr>
          <w:rFonts w:cs="Times New Roman"/>
          <w:szCs w:val="24"/>
          <w:lang w:eastAsia="lv-LV"/>
        </w:rPr>
        <w:t xml:space="preserve"> </w:t>
      </w:r>
      <w:r w:rsidR="006D68B3" w:rsidRPr="007274C5">
        <w:rPr>
          <w:rFonts w:cs="Times New Roman"/>
          <w:szCs w:val="24"/>
        </w:rPr>
        <w:t xml:space="preserve">Valsts ieņēmumu dienests </w:t>
      </w:r>
      <w:r w:rsidR="004231F2" w:rsidRPr="007274C5">
        <w:rPr>
          <w:rFonts w:cs="Times New Roman"/>
          <w:szCs w:val="24"/>
        </w:rPr>
        <w:t xml:space="preserve">veica pieteicējai </w:t>
      </w:r>
      <w:r w:rsidR="001677C2" w:rsidRPr="007274C5">
        <w:rPr>
          <w:rFonts w:cs="Times New Roman"/>
          <w:szCs w:val="24"/>
        </w:rPr>
        <w:t>SIA „</w:t>
      </w:r>
      <w:proofErr w:type="spellStart"/>
      <w:r w:rsidR="00F70D7A">
        <w:rPr>
          <w:rFonts w:cs="Times New Roman"/>
          <w:szCs w:val="24"/>
        </w:rPr>
        <w:t>Woodison</w:t>
      </w:r>
      <w:proofErr w:type="spellEnd"/>
      <w:r w:rsidR="00F70D7A">
        <w:rPr>
          <w:rFonts w:cs="Times New Roman"/>
          <w:szCs w:val="24"/>
        </w:rPr>
        <w:t xml:space="preserve"> </w:t>
      </w:r>
      <w:proofErr w:type="spellStart"/>
      <w:r w:rsidR="00F70D7A">
        <w:rPr>
          <w:rFonts w:cs="Times New Roman"/>
          <w:szCs w:val="24"/>
        </w:rPr>
        <w:t>Terminal</w:t>
      </w:r>
      <w:proofErr w:type="spellEnd"/>
      <w:r w:rsidR="001677C2" w:rsidRPr="007274C5">
        <w:rPr>
          <w:rFonts w:cs="Times New Roman"/>
          <w:szCs w:val="24"/>
        </w:rPr>
        <w:t xml:space="preserve">” </w:t>
      </w:r>
      <w:r w:rsidR="001677C2">
        <w:rPr>
          <w:rFonts w:cs="Times New Roman"/>
          <w:szCs w:val="24"/>
        </w:rPr>
        <w:t>pievienotās vērtības nodokļa, uzņēmumu ienākuma nodokļa, valsts sociālās apdrošināšanas obligāto iemaksu un iedzīvotāju ienākuma</w:t>
      </w:r>
      <w:r w:rsidR="004231F2" w:rsidRPr="007274C5">
        <w:rPr>
          <w:rFonts w:cs="Times New Roman"/>
          <w:szCs w:val="24"/>
        </w:rPr>
        <w:t xml:space="preserve"> nodok</w:t>
      </w:r>
      <w:r w:rsidR="00601FA7" w:rsidRPr="007274C5">
        <w:rPr>
          <w:rFonts w:cs="Times New Roman"/>
          <w:szCs w:val="24"/>
        </w:rPr>
        <w:t>ļ</w:t>
      </w:r>
      <w:r w:rsidR="005E66BA">
        <w:rPr>
          <w:rFonts w:cs="Times New Roman"/>
          <w:szCs w:val="24"/>
        </w:rPr>
        <w:t>a</w:t>
      </w:r>
      <w:r w:rsidR="00601FA7" w:rsidRPr="007274C5">
        <w:rPr>
          <w:rFonts w:cs="Times New Roman"/>
          <w:szCs w:val="24"/>
        </w:rPr>
        <w:t xml:space="preserve"> auditu. </w:t>
      </w:r>
      <w:r w:rsidR="006D68B3" w:rsidRPr="007274C5">
        <w:rPr>
          <w:rFonts w:cs="Times New Roman"/>
          <w:szCs w:val="24"/>
        </w:rPr>
        <w:t xml:space="preserve">Audita rezultātā pieteicējai </w:t>
      </w:r>
      <w:r w:rsidR="00576A8C" w:rsidRPr="007274C5">
        <w:rPr>
          <w:rFonts w:cs="Times New Roman"/>
          <w:szCs w:val="24"/>
        </w:rPr>
        <w:t xml:space="preserve">papildu </w:t>
      </w:r>
      <w:r w:rsidR="002F0F5C">
        <w:rPr>
          <w:rFonts w:cs="Times New Roman"/>
          <w:szCs w:val="24"/>
        </w:rPr>
        <w:t>sa</w:t>
      </w:r>
      <w:r w:rsidR="00576A8C" w:rsidRPr="007274C5">
        <w:rPr>
          <w:rFonts w:cs="Times New Roman"/>
          <w:szCs w:val="24"/>
        </w:rPr>
        <w:t xml:space="preserve">maksai budžetā aprēķināts </w:t>
      </w:r>
      <w:r w:rsidR="00CC46B7">
        <w:rPr>
          <w:rFonts w:cs="Times New Roman"/>
          <w:szCs w:val="24"/>
        </w:rPr>
        <w:t xml:space="preserve">uzņēmumu ienākuma nodoklis, soda nauda un nokavējuma nauda, kā arī samazināts no budžeta atmaksājamais </w:t>
      </w:r>
      <w:r w:rsidR="001677C2">
        <w:rPr>
          <w:rFonts w:cs="Times New Roman"/>
          <w:szCs w:val="24"/>
        </w:rPr>
        <w:t>pievienotās vērtības nodoklis</w:t>
      </w:r>
      <w:r w:rsidR="00CC46B7">
        <w:rPr>
          <w:rFonts w:cs="Times New Roman"/>
          <w:szCs w:val="24"/>
        </w:rPr>
        <w:t xml:space="preserve"> un saistībā ar to aprēķināta soda nauda</w:t>
      </w:r>
      <w:r w:rsidR="001677C2">
        <w:rPr>
          <w:rFonts w:cs="Times New Roman"/>
          <w:szCs w:val="24"/>
        </w:rPr>
        <w:t>.</w:t>
      </w:r>
      <w:r w:rsidR="006D68B3" w:rsidRPr="007274C5">
        <w:rPr>
          <w:rFonts w:cs="Times New Roman"/>
          <w:szCs w:val="24"/>
        </w:rPr>
        <w:t xml:space="preserve"> </w:t>
      </w:r>
    </w:p>
    <w:p w14:paraId="053CA84A" w14:textId="10855BEE" w:rsidR="009B6484" w:rsidRPr="007274C5" w:rsidRDefault="00CD0958" w:rsidP="007274C5">
      <w:pPr>
        <w:autoSpaceDE w:val="0"/>
        <w:autoSpaceDN w:val="0"/>
        <w:adjustRightInd w:val="0"/>
        <w:spacing w:after="0" w:line="276" w:lineRule="auto"/>
        <w:ind w:firstLine="709"/>
        <w:jc w:val="both"/>
        <w:rPr>
          <w:rFonts w:cs="Times New Roman"/>
          <w:szCs w:val="24"/>
        </w:rPr>
      </w:pPr>
      <w:r w:rsidRPr="007274C5">
        <w:rPr>
          <w:rFonts w:cs="Times New Roman"/>
          <w:szCs w:val="24"/>
        </w:rPr>
        <w:lastRenderedPageBreak/>
        <w:t>Administratīvais process iestādē noslēdzies ar Valst</w:t>
      </w:r>
      <w:r w:rsidR="00B379AC" w:rsidRPr="007274C5">
        <w:rPr>
          <w:rFonts w:cs="Times New Roman"/>
          <w:szCs w:val="24"/>
        </w:rPr>
        <w:t xml:space="preserve">s ieņēmumu </w:t>
      </w:r>
      <w:r w:rsidR="00414121">
        <w:rPr>
          <w:rFonts w:cs="Times New Roman"/>
          <w:szCs w:val="24"/>
        </w:rPr>
        <w:t xml:space="preserve">dienesta ģenerāldirektora </w:t>
      </w:r>
      <w:proofErr w:type="gramStart"/>
      <w:r w:rsidR="001677C2" w:rsidRPr="007274C5">
        <w:rPr>
          <w:rFonts w:cs="Times New Roman"/>
          <w:szCs w:val="24"/>
        </w:rPr>
        <w:t>201</w:t>
      </w:r>
      <w:r w:rsidR="00CC46B7">
        <w:rPr>
          <w:rFonts w:cs="Times New Roman"/>
          <w:szCs w:val="24"/>
        </w:rPr>
        <w:t>2</w:t>
      </w:r>
      <w:r w:rsidR="001677C2" w:rsidRPr="007274C5">
        <w:rPr>
          <w:rFonts w:cs="Times New Roman"/>
          <w:szCs w:val="24"/>
        </w:rPr>
        <w:t>.gada</w:t>
      </w:r>
      <w:proofErr w:type="gramEnd"/>
      <w:r w:rsidR="001677C2" w:rsidRPr="007274C5">
        <w:rPr>
          <w:rFonts w:cs="Times New Roman"/>
          <w:szCs w:val="24"/>
        </w:rPr>
        <w:t xml:space="preserve"> </w:t>
      </w:r>
      <w:r w:rsidR="00CC46B7">
        <w:rPr>
          <w:rFonts w:cs="Times New Roman"/>
          <w:szCs w:val="24"/>
        </w:rPr>
        <w:t xml:space="preserve">18.aprīļa </w:t>
      </w:r>
      <w:r w:rsidR="001677C2" w:rsidRPr="007274C5">
        <w:rPr>
          <w:rFonts w:cs="Times New Roman"/>
          <w:szCs w:val="24"/>
        </w:rPr>
        <w:t>lēmum</w:t>
      </w:r>
      <w:r w:rsidR="001677C2">
        <w:rPr>
          <w:rFonts w:cs="Times New Roman"/>
          <w:szCs w:val="24"/>
        </w:rPr>
        <w:t>u</w:t>
      </w:r>
      <w:r w:rsidR="001677C2" w:rsidRPr="007274C5">
        <w:rPr>
          <w:rFonts w:cs="Times New Roman"/>
          <w:szCs w:val="24"/>
        </w:rPr>
        <w:t xml:space="preserve"> Nr. 22.</w:t>
      </w:r>
      <w:r w:rsidR="00CC46B7">
        <w:rPr>
          <w:rFonts w:cs="Times New Roman"/>
          <w:szCs w:val="24"/>
        </w:rPr>
        <w:t>4.8/30950, ar kuru zemākas iestādes lēmums atstāts negrozīts.</w:t>
      </w:r>
    </w:p>
    <w:p w14:paraId="71BA7533" w14:textId="77777777" w:rsidR="00703DEB" w:rsidRPr="007274C5" w:rsidRDefault="00703DEB" w:rsidP="007274C5">
      <w:pPr>
        <w:autoSpaceDE w:val="0"/>
        <w:autoSpaceDN w:val="0"/>
        <w:adjustRightInd w:val="0"/>
        <w:spacing w:after="0" w:line="276" w:lineRule="auto"/>
        <w:ind w:firstLine="709"/>
        <w:jc w:val="both"/>
        <w:rPr>
          <w:rFonts w:cs="Times New Roman"/>
          <w:szCs w:val="24"/>
          <w:highlight w:val="yellow"/>
        </w:rPr>
      </w:pPr>
    </w:p>
    <w:p w14:paraId="2E5F2FCD" w14:textId="67DD46FD" w:rsidR="00703DEB" w:rsidRPr="007274C5" w:rsidRDefault="00E70BE1" w:rsidP="007274C5">
      <w:pPr>
        <w:autoSpaceDE w:val="0"/>
        <w:autoSpaceDN w:val="0"/>
        <w:adjustRightInd w:val="0"/>
        <w:spacing w:after="0" w:line="276" w:lineRule="auto"/>
        <w:ind w:firstLine="709"/>
        <w:jc w:val="both"/>
        <w:rPr>
          <w:rFonts w:cs="Times New Roman"/>
          <w:szCs w:val="24"/>
        </w:rPr>
      </w:pPr>
      <w:r w:rsidRPr="007274C5">
        <w:rPr>
          <w:rFonts w:cs="Times New Roman"/>
          <w:szCs w:val="24"/>
        </w:rPr>
        <w:t xml:space="preserve">[2] </w:t>
      </w:r>
      <w:r w:rsidR="00B379AC" w:rsidRPr="007274C5">
        <w:rPr>
          <w:rFonts w:cs="Times New Roman"/>
          <w:szCs w:val="24"/>
        </w:rPr>
        <w:t>P</w:t>
      </w:r>
      <w:r w:rsidR="006D68B3" w:rsidRPr="007274C5">
        <w:rPr>
          <w:rFonts w:cs="Times New Roman"/>
          <w:szCs w:val="24"/>
        </w:rPr>
        <w:t>ieteicēja</w:t>
      </w:r>
      <w:r w:rsidR="00703DEB" w:rsidRPr="007274C5">
        <w:rPr>
          <w:rFonts w:cs="Times New Roman"/>
          <w:szCs w:val="24"/>
        </w:rPr>
        <w:t xml:space="preserve"> iesniedza </w:t>
      </w:r>
      <w:r w:rsidR="00F70D7A" w:rsidRPr="007274C5">
        <w:rPr>
          <w:rFonts w:cs="Times New Roman"/>
          <w:szCs w:val="24"/>
        </w:rPr>
        <w:t xml:space="preserve">tiesā </w:t>
      </w:r>
      <w:r w:rsidR="00703DEB" w:rsidRPr="007274C5">
        <w:rPr>
          <w:rFonts w:cs="Times New Roman"/>
          <w:szCs w:val="24"/>
        </w:rPr>
        <w:t>pieteikumu</w:t>
      </w:r>
      <w:r w:rsidR="00B379AC" w:rsidRPr="007274C5">
        <w:rPr>
          <w:rFonts w:cs="Times New Roman"/>
          <w:szCs w:val="24"/>
        </w:rPr>
        <w:t xml:space="preserve">, lūdzot atcelt </w:t>
      </w:r>
      <w:r w:rsidR="002F0F5C">
        <w:rPr>
          <w:rFonts w:cs="Times New Roman"/>
          <w:szCs w:val="24"/>
        </w:rPr>
        <w:t xml:space="preserve">Valsts ieņēmumu </w:t>
      </w:r>
      <w:r w:rsidR="00B379AC" w:rsidRPr="007274C5">
        <w:rPr>
          <w:rFonts w:cs="Times New Roman"/>
          <w:szCs w:val="24"/>
        </w:rPr>
        <w:t>dienesta lēmumu</w:t>
      </w:r>
      <w:r w:rsidR="000149F0" w:rsidRPr="007274C5">
        <w:rPr>
          <w:rFonts w:cs="Times New Roman"/>
          <w:szCs w:val="24"/>
        </w:rPr>
        <w:t xml:space="preserve">. </w:t>
      </w:r>
      <w:r w:rsidR="004F4F03" w:rsidRPr="007274C5">
        <w:rPr>
          <w:rFonts w:cs="Times New Roman"/>
          <w:szCs w:val="24"/>
        </w:rPr>
        <w:t>A</w:t>
      </w:r>
      <w:r w:rsidR="000149F0" w:rsidRPr="007274C5">
        <w:rPr>
          <w:rFonts w:cs="Times New Roman"/>
          <w:szCs w:val="24"/>
        </w:rPr>
        <w:t xml:space="preserve">r </w:t>
      </w:r>
      <w:r w:rsidR="00B379AC" w:rsidRPr="007274C5">
        <w:rPr>
          <w:rFonts w:cs="Times New Roman"/>
          <w:szCs w:val="24"/>
        </w:rPr>
        <w:t xml:space="preserve">Administratīvās rajona </w:t>
      </w:r>
      <w:r w:rsidR="000149F0" w:rsidRPr="007274C5">
        <w:rPr>
          <w:rFonts w:cs="Times New Roman"/>
          <w:szCs w:val="24"/>
        </w:rPr>
        <w:t xml:space="preserve">tiesas </w:t>
      </w:r>
      <w:proofErr w:type="gramStart"/>
      <w:r w:rsidR="000149F0" w:rsidRPr="007274C5">
        <w:rPr>
          <w:rFonts w:cs="Times New Roman"/>
          <w:szCs w:val="24"/>
        </w:rPr>
        <w:t>201</w:t>
      </w:r>
      <w:r w:rsidR="00CC46B7">
        <w:rPr>
          <w:rFonts w:cs="Times New Roman"/>
          <w:szCs w:val="24"/>
        </w:rPr>
        <w:t>4</w:t>
      </w:r>
      <w:r w:rsidR="00B379AC" w:rsidRPr="007274C5">
        <w:rPr>
          <w:rFonts w:cs="Times New Roman"/>
          <w:szCs w:val="24"/>
        </w:rPr>
        <w:t>.gada</w:t>
      </w:r>
      <w:proofErr w:type="gramEnd"/>
      <w:r w:rsidR="00B379AC" w:rsidRPr="007274C5">
        <w:rPr>
          <w:rFonts w:cs="Times New Roman"/>
          <w:szCs w:val="24"/>
        </w:rPr>
        <w:t xml:space="preserve"> </w:t>
      </w:r>
      <w:r w:rsidR="00CC46B7">
        <w:rPr>
          <w:rFonts w:cs="Times New Roman"/>
          <w:szCs w:val="24"/>
        </w:rPr>
        <w:t>14.febr</w:t>
      </w:r>
      <w:r w:rsidR="00A01E87">
        <w:rPr>
          <w:rFonts w:cs="Times New Roman"/>
          <w:szCs w:val="24"/>
        </w:rPr>
        <w:t>uāra</w:t>
      </w:r>
      <w:r w:rsidR="000149F0" w:rsidRPr="007274C5">
        <w:rPr>
          <w:rFonts w:cs="Times New Roman"/>
          <w:szCs w:val="24"/>
        </w:rPr>
        <w:t xml:space="preserve"> spriedumu </w:t>
      </w:r>
      <w:r w:rsidR="006D68B3" w:rsidRPr="007274C5">
        <w:rPr>
          <w:rFonts w:cs="Times New Roman"/>
          <w:szCs w:val="24"/>
        </w:rPr>
        <w:t>pieteikums noraidīts</w:t>
      </w:r>
      <w:r w:rsidR="004E2B2F" w:rsidRPr="007274C5">
        <w:rPr>
          <w:rFonts w:cs="Times New Roman"/>
          <w:szCs w:val="24"/>
        </w:rPr>
        <w:t>.</w:t>
      </w:r>
    </w:p>
    <w:p w14:paraId="14B99714" w14:textId="77777777" w:rsidR="00703DEB" w:rsidRPr="007274C5" w:rsidRDefault="00703DEB" w:rsidP="007274C5">
      <w:pPr>
        <w:spacing w:after="0" w:line="276" w:lineRule="auto"/>
        <w:ind w:firstLine="709"/>
        <w:jc w:val="both"/>
        <w:rPr>
          <w:rFonts w:cs="Times New Roman"/>
          <w:szCs w:val="24"/>
        </w:rPr>
      </w:pPr>
    </w:p>
    <w:p w14:paraId="33077EC7" w14:textId="11613942" w:rsidR="004E2B2F" w:rsidRDefault="00703DEB" w:rsidP="007274C5">
      <w:pPr>
        <w:autoSpaceDE w:val="0"/>
        <w:autoSpaceDN w:val="0"/>
        <w:adjustRightInd w:val="0"/>
        <w:spacing w:after="0" w:line="276" w:lineRule="auto"/>
        <w:ind w:firstLine="709"/>
        <w:jc w:val="both"/>
        <w:rPr>
          <w:rFonts w:cs="Times New Roman"/>
          <w:szCs w:val="24"/>
        </w:rPr>
      </w:pPr>
      <w:r w:rsidRPr="007274C5">
        <w:rPr>
          <w:rFonts w:cs="Times New Roman"/>
          <w:szCs w:val="24"/>
        </w:rPr>
        <w:t>[</w:t>
      </w:r>
      <w:r w:rsidR="007C144E" w:rsidRPr="007274C5">
        <w:rPr>
          <w:rFonts w:cs="Times New Roman"/>
          <w:szCs w:val="24"/>
        </w:rPr>
        <w:t>3</w:t>
      </w:r>
      <w:r w:rsidRPr="007274C5">
        <w:rPr>
          <w:rFonts w:cs="Times New Roman"/>
          <w:szCs w:val="24"/>
        </w:rPr>
        <w:t xml:space="preserve">] Izskatījusi lietu apelācijas kārtībā sakarā ar </w:t>
      </w:r>
      <w:r w:rsidR="007C144E" w:rsidRPr="007274C5">
        <w:rPr>
          <w:rFonts w:cs="Times New Roman"/>
          <w:szCs w:val="24"/>
        </w:rPr>
        <w:t>pieteicējas</w:t>
      </w:r>
      <w:r w:rsidRPr="007274C5">
        <w:rPr>
          <w:rFonts w:cs="Times New Roman"/>
          <w:szCs w:val="24"/>
        </w:rPr>
        <w:t xml:space="preserve"> apelācijas sūdzību, </w:t>
      </w:r>
      <w:r w:rsidR="00A01E87">
        <w:rPr>
          <w:rFonts w:cs="Times New Roman"/>
          <w:szCs w:val="24"/>
        </w:rPr>
        <w:t xml:space="preserve">arī </w:t>
      </w:r>
      <w:r w:rsidRPr="007274C5">
        <w:rPr>
          <w:rFonts w:cs="Times New Roman"/>
          <w:szCs w:val="24"/>
        </w:rPr>
        <w:t>Administra</w:t>
      </w:r>
      <w:r w:rsidR="004E2B2F" w:rsidRPr="007274C5">
        <w:rPr>
          <w:rFonts w:cs="Times New Roman"/>
          <w:szCs w:val="24"/>
        </w:rPr>
        <w:t>t</w:t>
      </w:r>
      <w:r w:rsidR="00B379AC" w:rsidRPr="007274C5">
        <w:rPr>
          <w:rFonts w:cs="Times New Roman"/>
          <w:szCs w:val="24"/>
        </w:rPr>
        <w:t xml:space="preserve">īvā apgabaltiesa ar </w:t>
      </w:r>
      <w:proofErr w:type="gramStart"/>
      <w:r w:rsidR="00B379AC" w:rsidRPr="007274C5">
        <w:rPr>
          <w:rFonts w:cs="Times New Roman"/>
          <w:szCs w:val="24"/>
        </w:rPr>
        <w:t>201</w:t>
      </w:r>
      <w:r w:rsidR="00A01E87">
        <w:rPr>
          <w:rFonts w:cs="Times New Roman"/>
          <w:szCs w:val="24"/>
        </w:rPr>
        <w:t>6</w:t>
      </w:r>
      <w:r w:rsidR="00B379AC" w:rsidRPr="007274C5">
        <w:rPr>
          <w:rFonts w:cs="Times New Roman"/>
          <w:szCs w:val="24"/>
        </w:rPr>
        <w:t>.gada</w:t>
      </w:r>
      <w:proofErr w:type="gramEnd"/>
      <w:r w:rsidR="00B379AC" w:rsidRPr="007274C5">
        <w:rPr>
          <w:rFonts w:cs="Times New Roman"/>
          <w:szCs w:val="24"/>
        </w:rPr>
        <w:t xml:space="preserve"> </w:t>
      </w:r>
      <w:r w:rsidR="00CC46B7">
        <w:rPr>
          <w:rFonts w:cs="Times New Roman"/>
          <w:szCs w:val="24"/>
        </w:rPr>
        <w:t xml:space="preserve">31.marta </w:t>
      </w:r>
      <w:r w:rsidRPr="007274C5">
        <w:rPr>
          <w:rFonts w:cs="Times New Roman"/>
          <w:szCs w:val="24"/>
        </w:rPr>
        <w:t xml:space="preserve">spriedumu </w:t>
      </w:r>
      <w:r w:rsidR="008D7512" w:rsidRPr="007274C5">
        <w:rPr>
          <w:rFonts w:cs="Times New Roman"/>
          <w:szCs w:val="24"/>
        </w:rPr>
        <w:t>pieteikumu</w:t>
      </w:r>
      <w:r w:rsidR="00A01E87">
        <w:rPr>
          <w:rFonts w:cs="Times New Roman"/>
          <w:szCs w:val="24"/>
        </w:rPr>
        <w:t xml:space="preserve"> noraidīja</w:t>
      </w:r>
      <w:r w:rsidR="004E2B2F" w:rsidRPr="007274C5">
        <w:rPr>
          <w:rFonts w:cs="Times New Roman"/>
          <w:szCs w:val="24"/>
        </w:rPr>
        <w:t xml:space="preserve">. </w:t>
      </w:r>
      <w:r w:rsidRPr="007274C5">
        <w:rPr>
          <w:rFonts w:cs="Times New Roman"/>
          <w:szCs w:val="24"/>
        </w:rPr>
        <w:t xml:space="preserve">Tiesas spriedums </w:t>
      </w:r>
      <w:r w:rsidR="00455F11">
        <w:rPr>
          <w:rFonts w:cs="Times New Roman"/>
          <w:szCs w:val="24"/>
        </w:rPr>
        <w:t>pamatots</w:t>
      </w:r>
      <w:r w:rsidRPr="007274C5">
        <w:rPr>
          <w:rFonts w:cs="Times New Roman"/>
          <w:szCs w:val="24"/>
        </w:rPr>
        <w:t xml:space="preserve"> ar </w:t>
      </w:r>
      <w:r w:rsidR="00EC04DF" w:rsidRPr="007274C5">
        <w:rPr>
          <w:rFonts w:cs="Times New Roman"/>
          <w:szCs w:val="24"/>
        </w:rPr>
        <w:t>turpmāk minēt</w:t>
      </w:r>
      <w:r w:rsidR="008B2B1C" w:rsidRPr="007274C5">
        <w:rPr>
          <w:rFonts w:cs="Times New Roman"/>
          <w:szCs w:val="24"/>
        </w:rPr>
        <w:t>aj</w:t>
      </w:r>
      <w:r w:rsidR="00EC04DF" w:rsidRPr="007274C5">
        <w:rPr>
          <w:rFonts w:cs="Times New Roman"/>
          <w:szCs w:val="24"/>
        </w:rPr>
        <w:t>iem</w:t>
      </w:r>
      <w:r w:rsidR="004E2B2F" w:rsidRPr="007274C5">
        <w:rPr>
          <w:rFonts w:cs="Times New Roman"/>
          <w:szCs w:val="24"/>
        </w:rPr>
        <w:t xml:space="preserve"> argumentiem.</w:t>
      </w:r>
    </w:p>
    <w:p w14:paraId="2F58944D" w14:textId="1642E703" w:rsidR="00927E33" w:rsidRDefault="007C144E" w:rsidP="007274C5">
      <w:pPr>
        <w:autoSpaceDE w:val="0"/>
        <w:autoSpaceDN w:val="0"/>
        <w:adjustRightInd w:val="0"/>
        <w:spacing w:after="0" w:line="276" w:lineRule="auto"/>
        <w:ind w:firstLine="709"/>
        <w:jc w:val="both"/>
        <w:rPr>
          <w:rFonts w:cs="Times New Roman"/>
          <w:szCs w:val="24"/>
        </w:rPr>
      </w:pPr>
      <w:r w:rsidRPr="007274C5">
        <w:rPr>
          <w:rFonts w:cs="Times New Roman"/>
          <w:szCs w:val="24"/>
        </w:rPr>
        <w:t>[3</w:t>
      </w:r>
      <w:r w:rsidR="004E2B2F" w:rsidRPr="007274C5">
        <w:rPr>
          <w:rFonts w:cs="Times New Roman"/>
          <w:szCs w:val="24"/>
        </w:rPr>
        <w:t>.1]</w:t>
      </w:r>
      <w:r w:rsidR="008D7512" w:rsidRPr="007274C5">
        <w:rPr>
          <w:rFonts w:cs="Times New Roman"/>
          <w:szCs w:val="24"/>
        </w:rPr>
        <w:t xml:space="preserve"> </w:t>
      </w:r>
      <w:r w:rsidR="00CC46B7">
        <w:rPr>
          <w:rFonts w:cs="Times New Roman"/>
          <w:szCs w:val="24"/>
        </w:rPr>
        <w:t xml:space="preserve">Valsts ieņēmumu dienests </w:t>
      </w:r>
      <w:r w:rsidR="00927E33">
        <w:rPr>
          <w:rFonts w:cs="Times New Roman"/>
          <w:szCs w:val="24"/>
        </w:rPr>
        <w:t xml:space="preserve">pamatoti </w:t>
      </w:r>
      <w:r w:rsidR="00CC46B7">
        <w:rPr>
          <w:rFonts w:cs="Times New Roman"/>
          <w:szCs w:val="24"/>
        </w:rPr>
        <w:t xml:space="preserve">atzinis, ka pieteicēja </w:t>
      </w:r>
      <w:r w:rsidR="00927E33">
        <w:rPr>
          <w:rFonts w:cs="Times New Roman"/>
          <w:szCs w:val="24"/>
        </w:rPr>
        <w:t xml:space="preserve">nedrīkstēja </w:t>
      </w:r>
      <w:r w:rsidR="00CC46B7">
        <w:rPr>
          <w:rFonts w:cs="Times New Roman"/>
          <w:szCs w:val="24"/>
        </w:rPr>
        <w:t>atskaitī</w:t>
      </w:r>
      <w:r w:rsidR="00927E33">
        <w:rPr>
          <w:rFonts w:cs="Times New Roman"/>
          <w:szCs w:val="24"/>
        </w:rPr>
        <w:t>t</w:t>
      </w:r>
      <w:r w:rsidR="00CC46B7">
        <w:rPr>
          <w:rFonts w:cs="Times New Roman"/>
          <w:szCs w:val="24"/>
        </w:rPr>
        <w:t xml:space="preserve"> priekšnodokli par darījumu ar SIA „KNDS”. </w:t>
      </w:r>
    </w:p>
    <w:p w14:paraId="4221B90D" w14:textId="014BDF59" w:rsidR="00CC46B7" w:rsidRDefault="00CC46B7" w:rsidP="007274C5">
      <w:pPr>
        <w:autoSpaceDE w:val="0"/>
        <w:autoSpaceDN w:val="0"/>
        <w:adjustRightInd w:val="0"/>
        <w:spacing w:after="0" w:line="276" w:lineRule="auto"/>
        <w:ind w:firstLine="709"/>
        <w:jc w:val="both"/>
        <w:rPr>
          <w:rFonts w:cs="Times New Roman"/>
          <w:szCs w:val="24"/>
        </w:rPr>
      </w:pPr>
      <w:r>
        <w:rPr>
          <w:rFonts w:cs="Times New Roman"/>
          <w:szCs w:val="24"/>
        </w:rPr>
        <w:t>Pieteicēja ar minēto darījumu partneri noslēdza līgumu, ar kuru S</w:t>
      </w:r>
      <w:r w:rsidR="005E66BA">
        <w:rPr>
          <w:rFonts w:cs="Times New Roman"/>
          <w:szCs w:val="24"/>
        </w:rPr>
        <w:t>I</w:t>
      </w:r>
      <w:r>
        <w:rPr>
          <w:rFonts w:cs="Times New Roman"/>
          <w:szCs w:val="24"/>
        </w:rPr>
        <w:t>A „KNDS” apņēmās veikt tirgus monitoringu, atrast optimālu piedāvājumu naftas termināla iekārtas (metāla caurules ar diametru ne mazāku par 400 mm un kopējo garumu</w:t>
      </w:r>
      <w:proofErr w:type="gramStart"/>
      <w:r>
        <w:rPr>
          <w:rFonts w:cs="Times New Roman"/>
          <w:szCs w:val="24"/>
        </w:rPr>
        <w:t xml:space="preserve"> ne</w:t>
      </w:r>
      <w:proofErr w:type="gramEnd"/>
      <w:r>
        <w:rPr>
          <w:rFonts w:cs="Times New Roman"/>
          <w:szCs w:val="24"/>
        </w:rPr>
        <w:t xml:space="preserve"> mazāku par 420 m) iegād</w:t>
      </w:r>
      <w:r w:rsidR="005E66BA">
        <w:rPr>
          <w:rFonts w:cs="Times New Roman"/>
          <w:szCs w:val="24"/>
        </w:rPr>
        <w:t>e</w:t>
      </w:r>
      <w:r>
        <w:rPr>
          <w:rFonts w:cs="Times New Roman"/>
          <w:szCs w:val="24"/>
        </w:rPr>
        <w:t>i, kā arī piegādāt šādas caurules pieteicējai. Izrakstīts avansa rēķins, pavadzīme par preču piegādi, veikta samaksa.</w:t>
      </w:r>
    </w:p>
    <w:p w14:paraId="70032398" w14:textId="062EA280" w:rsidR="00CC46B7" w:rsidRDefault="00CC46B7" w:rsidP="007274C5">
      <w:pPr>
        <w:autoSpaceDE w:val="0"/>
        <w:autoSpaceDN w:val="0"/>
        <w:adjustRightInd w:val="0"/>
        <w:spacing w:after="0" w:line="276" w:lineRule="auto"/>
        <w:ind w:firstLine="709"/>
        <w:jc w:val="both"/>
        <w:rPr>
          <w:rFonts w:cs="Times New Roman"/>
          <w:szCs w:val="24"/>
        </w:rPr>
      </w:pPr>
      <w:r>
        <w:rPr>
          <w:rFonts w:cs="Times New Roman"/>
          <w:szCs w:val="24"/>
        </w:rPr>
        <w:t xml:space="preserve">Lai arī darījums formāli atbilst likuma „Par pievienotās vērtības nodokli” </w:t>
      </w:r>
      <w:proofErr w:type="gramStart"/>
      <w:r>
        <w:rPr>
          <w:rFonts w:cs="Times New Roman"/>
          <w:szCs w:val="24"/>
        </w:rPr>
        <w:t>10.panta</w:t>
      </w:r>
      <w:proofErr w:type="gramEnd"/>
      <w:r>
        <w:rPr>
          <w:rFonts w:cs="Times New Roman"/>
          <w:szCs w:val="24"/>
        </w:rPr>
        <w:t xml:space="preserve"> pirmās daļas 1.punktam, izvērtējot darījumu pēc būtības</w:t>
      </w:r>
      <w:r w:rsidR="00F57092">
        <w:rPr>
          <w:rFonts w:cs="Times New Roman"/>
          <w:szCs w:val="24"/>
        </w:rPr>
        <w:t>,</w:t>
      </w:r>
      <w:r>
        <w:rPr>
          <w:rFonts w:cs="Times New Roman"/>
          <w:szCs w:val="24"/>
        </w:rPr>
        <w:t xml:space="preserve"> konstatējams, ka tas faktiski nav noticis. Par to liecina šādi apstākļi: lai arī SIA „KNDS” apņēmās piegādāt caurules pieteicējai un sagatavot arī vietu cauruļu novietošanai, par laukuma sagatavošanu nedz no pieteicējas, nedz SIA „KNDS” puses nekas neliecina, turklāt bez pieteicējas iesaistes laukuma sagatavošana nebūtu iespējama; nav neviena dokumenta, kas apliecinātu cauruļu pieg</w:t>
      </w:r>
      <w:r w:rsidR="001D02CD">
        <w:rPr>
          <w:rFonts w:cs="Times New Roman"/>
          <w:szCs w:val="24"/>
        </w:rPr>
        <w:t>ādāšanu pieteicējas uzņēmum</w:t>
      </w:r>
      <w:r w:rsidR="005E66BA">
        <w:rPr>
          <w:rFonts w:cs="Times New Roman"/>
          <w:szCs w:val="24"/>
        </w:rPr>
        <w:t>am</w:t>
      </w:r>
      <w:r w:rsidR="001D02CD">
        <w:rPr>
          <w:rFonts w:cs="Times New Roman"/>
          <w:szCs w:val="24"/>
        </w:rPr>
        <w:t xml:space="preserve"> dokumentos norādītajā adresē, lai gan tā ir Rīgas brīvostas teritorijā ar caurlaižu režīmu; SIA „KNDS” amatpersonas paskaidrojumi un liecība par cauruļu iegādi no kāda uzņēmuma Jūrmalā ir ļoti nekonkrēti un vispārīgi, un līdz ar to tiem nav piešķirama ticamība, tādu iegādi neapstiprina neviens dokuments; maz ticams, ka naftas produktu pārkraušanai brīvostas teritorijā pieteicēja būtu iegādājusies un izmantojusi nezināmas izcelsmes un kvalitātes caurules. Uz darījuma fiktīvo raksturu norāda arī darījuma neatbilstība pieteicējas darījumu partneres parastajai saimnieciskajai darbībai (degvielas mazumtirdzniecība</w:t>
      </w:r>
      <w:r w:rsidR="006C12D7">
        <w:rPr>
          <w:rFonts w:cs="Times New Roman"/>
          <w:szCs w:val="24"/>
        </w:rPr>
        <w:t>i</w:t>
      </w:r>
      <w:r w:rsidR="001D02CD">
        <w:rPr>
          <w:rFonts w:cs="Times New Roman"/>
          <w:szCs w:val="24"/>
        </w:rPr>
        <w:t>), uzņēmuma atrašanās pieteicējas atkarībā parādsaistību dēļ; tāpat nav neviena pierādījuma, ka caurules būtu tikušas izmantotas cauruļvadu remontiem. Ja piegādes darījums būtu reāls, konkrētajos apstākļos tas neizbēgami radītu dokumentētas vai citādi konstatējamas sekas, kas neradītu grūtības pieteicējai šādu darījuma faktu pierādīt.</w:t>
      </w:r>
    </w:p>
    <w:p w14:paraId="5C55577C" w14:textId="2BD864E5" w:rsidR="001D02CD" w:rsidRDefault="001D02CD" w:rsidP="007274C5">
      <w:pPr>
        <w:autoSpaceDE w:val="0"/>
        <w:autoSpaceDN w:val="0"/>
        <w:adjustRightInd w:val="0"/>
        <w:spacing w:after="0" w:line="276" w:lineRule="auto"/>
        <w:ind w:firstLine="709"/>
        <w:jc w:val="both"/>
        <w:rPr>
          <w:rFonts w:cs="Times New Roman"/>
          <w:szCs w:val="24"/>
        </w:rPr>
      </w:pPr>
      <w:r>
        <w:rPr>
          <w:rFonts w:cs="Times New Roman"/>
          <w:szCs w:val="24"/>
        </w:rPr>
        <w:t>Tā kā grāmatvedības uzskaitē iekļauti izdevumi par faktiski nenotikušu darījumu, Valsts ieņēmumu dienests pamatoti samazinājis arī pieteicējas peļņas vai zaudējumu aprēķinā uzrādītās izmaksas par šā darījuma vērtību un pamatoti palielinājis ienākumus.</w:t>
      </w:r>
    </w:p>
    <w:p w14:paraId="24BAC305" w14:textId="0BD79528" w:rsidR="001D02CD" w:rsidRDefault="001D02CD" w:rsidP="007274C5">
      <w:pPr>
        <w:autoSpaceDE w:val="0"/>
        <w:autoSpaceDN w:val="0"/>
        <w:adjustRightInd w:val="0"/>
        <w:spacing w:after="0" w:line="276" w:lineRule="auto"/>
        <w:ind w:firstLine="709"/>
        <w:jc w:val="both"/>
        <w:rPr>
          <w:rFonts w:cs="Times New Roman"/>
          <w:szCs w:val="24"/>
        </w:rPr>
      </w:pPr>
      <w:r>
        <w:rPr>
          <w:rFonts w:cs="Times New Roman"/>
          <w:szCs w:val="24"/>
        </w:rPr>
        <w:t xml:space="preserve">[3.2] </w:t>
      </w:r>
      <w:r w:rsidR="00927E33">
        <w:rPr>
          <w:rFonts w:cs="Times New Roman"/>
          <w:szCs w:val="24"/>
        </w:rPr>
        <w:t>Valsts ieņēmumu dienests palielinājis pieteicējas apliekamo ienākumu par pieteicējas izsniegtajiem aizdevumiem abiem tās valdes locekļiem.</w:t>
      </w:r>
    </w:p>
    <w:p w14:paraId="0CD56768" w14:textId="0AE8205F" w:rsidR="00927E33" w:rsidRDefault="008D3541" w:rsidP="007274C5">
      <w:pPr>
        <w:autoSpaceDE w:val="0"/>
        <w:autoSpaceDN w:val="0"/>
        <w:adjustRightInd w:val="0"/>
        <w:spacing w:after="0" w:line="276" w:lineRule="auto"/>
        <w:ind w:firstLine="709"/>
        <w:jc w:val="both"/>
        <w:rPr>
          <w:rFonts w:cs="Times New Roman"/>
          <w:szCs w:val="24"/>
        </w:rPr>
      </w:pPr>
      <w:r>
        <w:rPr>
          <w:rFonts w:cs="Times New Roman"/>
          <w:szCs w:val="24"/>
        </w:rPr>
        <w:t xml:space="preserve">Pieteicēja vairākkārt izsniegusi bezprocentu aizdevumus uz nenoteiktu laiku, kopumā vairāk </w:t>
      </w:r>
      <w:r w:rsidR="005E66BA">
        <w:rPr>
          <w:rFonts w:cs="Times New Roman"/>
          <w:szCs w:val="24"/>
        </w:rPr>
        <w:t>ne</w:t>
      </w:r>
      <w:r>
        <w:rPr>
          <w:rFonts w:cs="Times New Roman"/>
          <w:szCs w:val="24"/>
        </w:rPr>
        <w:t>kā 2 miljonus eiro. Abi valdes locekļi bija arī pieteicējas mātes uzņēmuma – SIA „</w:t>
      </w:r>
      <w:proofErr w:type="spellStart"/>
      <w:r>
        <w:rPr>
          <w:rFonts w:cs="Times New Roman"/>
          <w:szCs w:val="24"/>
        </w:rPr>
        <w:t>Tropico</w:t>
      </w:r>
      <w:proofErr w:type="spellEnd"/>
      <w:r>
        <w:rPr>
          <w:rFonts w:cs="Times New Roman"/>
          <w:szCs w:val="24"/>
        </w:rPr>
        <w:t xml:space="preserve">” valdes locekļi un dalībnieki ar 50 procentiem kapitāla daļu katram. Valsts ieņēmumu dienesta ieskatā, tas abas minētās fiziskās personas padara par </w:t>
      </w:r>
      <w:r w:rsidR="006C12D7">
        <w:rPr>
          <w:rFonts w:cs="Times New Roman"/>
          <w:szCs w:val="24"/>
        </w:rPr>
        <w:t xml:space="preserve">personām, kas saistītas </w:t>
      </w:r>
      <w:r>
        <w:rPr>
          <w:rFonts w:cs="Times New Roman"/>
          <w:szCs w:val="24"/>
        </w:rPr>
        <w:t xml:space="preserve">ar pieteicēju likuma „Par uzņēmumu ienākuma nodokli” </w:t>
      </w:r>
      <w:proofErr w:type="gramStart"/>
      <w:r>
        <w:rPr>
          <w:rFonts w:cs="Times New Roman"/>
          <w:szCs w:val="24"/>
        </w:rPr>
        <w:t>1.panta</w:t>
      </w:r>
      <w:proofErr w:type="gramEnd"/>
      <w:r>
        <w:rPr>
          <w:rFonts w:cs="Times New Roman"/>
          <w:szCs w:val="24"/>
        </w:rPr>
        <w:t xml:space="preserve"> piektās daļas izpratnē. Tādēļ ir pamats atbilstoši minētā likuma </w:t>
      </w:r>
      <w:proofErr w:type="gramStart"/>
      <w:r>
        <w:rPr>
          <w:rFonts w:cs="Times New Roman"/>
          <w:szCs w:val="24"/>
        </w:rPr>
        <w:t>12.panta</w:t>
      </w:r>
      <w:proofErr w:type="gramEnd"/>
      <w:r>
        <w:rPr>
          <w:rFonts w:cs="Times New Roman"/>
          <w:szCs w:val="24"/>
        </w:rPr>
        <w:t xml:space="preserve"> otrās daļas 2.punktam palielināt pieteicējas </w:t>
      </w:r>
      <w:r>
        <w:rPr>
          <w:rFonts w:cs="Times New Roman"/>
          <w:szCs w:val="24"/>
        </w:rPr>
        <w:lastRenderedPageBreak/>
        <w:t>apliekamo ienākumu par izsniegto aizdevumu procentu maksājumu summu, kas aprēķināta saskaņā ar Ministru kabineta 2006.gada 4.jūlija noteikumu Nr. 556 „Likuma „Par uzņēmumu ienākuma nodokli” normu piemērošanas noteikumi” (turpmāk – noteikumi Nr. 556) 84.punktā paredzēto salīdzināmo nekontrolēto cenu metodi un izmantojot Centrālās statistikas pārvaldes informāciju par vidējām svērtām procentu likmēm izsniegtajiem ilgtermiņa kredītiem kredītiestādēs.</w:t>
      </w:r>
    </w:p>
    <w:p w14:paraId="28CF9905" w14:textId="3C243A4A" w:rsidR="008D3541" w:rsidRDefault="008D3541" w:rsidP="007274C5">
      <w:pPr>
        <w:autoSpaceDE w:val="0"/>
        <w:autoSpaceDN w:val="0"/>
        <w:adjustRightInd w:val="0"/>
        <w:spacing w:after="0" w:line="276" w:lineRule="auto"/>
        <w:ind w:firstLine="709"/>
        <w:jc w:val="both"/>
        <w:rPr>
          <w:rFonts w:cs="Times New Roman"/>
          <w:szCs w:val="24"/>
        </w:rPr>
      </w:pPr>
      <w:r>
        <w:rPr>
          <w:rFonts w:cs="Times New Roman"/>
          <w:szCs w:val="24"/>
        </w:rPr>
        <w:t>Pieteicēja iebilst secinājuma</w:t>
      </w:r>
      <w:r w:rsidR="005E66BA">
        <w:rPr>
          <w:rFonts w:cs="Times New Roman"/>
          <w:szCs w:val="24"/>
        </w:rPr>
        <w:t>m</w:t>
      </w:r>
      <w:r>
        <w:rPr>
          <w:rFonts w:cs="Times New Roman"/>
          <w:szCs w:val="24"/>
        </w:rPr>
        <w:t xml:space="preserve">, ka abi tās valdes locekļi ir ar uzņēmumu saistītas personas, jo katram no viņiem nepieder vairāk par 50 procentiem no pieteicējas pamatkapitāla un nevar konstatēt izšķirošu ietekmi pēc Koncernu likuma </w:t>
      </w:r>
      <w:proofErr w:type="gramStart"/>
      <w:r>
        <w:rPr>
          <w:rFonts w:cs="Times New Roman"/>
          <w:szCs w:val="24"/>
        </w:rPr>
        <w:t>3.pantā</w:t>
      </w:r>
      <w:proofErr w:type="gramEnd"/>
      <w:r>
        <w:rPr>
          <w:rFonts w:cs="Times New Roman"/>
          <w:szCs w:val="24"/>
        </w:rPr>
        <w:t xml:space="preserve"> paredzētajiem kritērijiem.</w:t>
      </w:r>
    </w:p>
    <w:p w14:paraId="39E98C79" w14:textId="494FD6C3" w:rsidR="008D3541" w:rsidRDefault="008D3541" w:rsidP="007274C5">
      <w:pPr>
        <w:autoSpaceDE w:val="0"/>
        <w:autoSpaceDN w:val="0"/>
        <w:adjustRightInd w:val="0"/>
        <w:spacing w:after="0" w:line="276" w:lineRule="auto"/>
        <w:ind w:firstLine="709"/>
        <w:jc w:val="both"/>
        <w:rPr>
          <w:rFonts w:cs="Times New Roman"/>
          <w:szCs w:val="24"/>
        </w:rPr>
      </w:pPr>
      <w:r>
        <w:rPr>
          <w:rFonts w:cs="Times New Roman"/>
          <w:szCs w:val="24"/>
        </w:rPr>
        <w:t>Likumā „Par uzņēmumu ienākuma nodokli” nav skaidrojuma, ko saprast ar „izš</w:t>
      </w:r>
      <w:r w:rsidR="009264A0">
        <w:rPr>
          <w:rFonts w:cs="Times New Roman"/>
          <w:szCs w:val="24"/>
        </w:rPr>
        <w:t>ķirošu ietekmi komercsabiedrībā”,</w:t>
      </w:r>
      <w:r>
        <w:rPr>
          <w:rFonts w:cs="Times New Roman"/>
          <w:szCs w:val="24"/>
        </w:rPr>
        <w:t xml:space="preserve"> kas ir viens no kritērijiem, lai personu atzītu par tādu, kas ir saistīta ar uzņēmumu.</w:t>
      </w:r>
    </w:p>
    <w:p w14:paraId="11DEA0B6" w14:textId="54DCFD53" w:rsidR="008D3541" w:rsidRDefault="005A5C56" w:rsidP="007274C5">
      <w:pPr>
        <w:autoSpaceDE w:val="0"/>
        <w:autoSpaceDN w:val="0"/>
        <w:adjustRightInd w:val="0"/>
        <w:spacing w:after="0" w:line="276" w:lineRule="auto"/>
        <w:ind w:firstLine="709"/>
        <w:jc w:val="both"/>
        <w:rPr>
          <w:rFonts w:cs="Times New Roman"/>
          <w:szCs w:val="24"/>
        </w:rPr>
      </w:pPr>
      <w:r>
        <w:rPr>
          <w:rFonts w:cs="Times New Roman"/>
          <w:szCs w:val="24"/>
        </w:rPr>
        <w:t xml:space="preserve">Pēc Kredītiestāžu likuma </w:t>
      </w:r>
      <w:proofErr w:type="gramStart"/>
      <w:r>
        <w:rPr>
          <w:rFonts w:cs="Times New Roman"/>
          <w:szCs w:val="24"/>
        </w:rPr>
        <w:t>1.panta</w:t>
      </w:r>
      <w:proofErr w:type="gramEnd"/>
      <w:r>
        <w:rPr>
          <w:rFonts w:cs="Times New Roman"/>
          <w:szCs w:val="24"/>
        </w:rPr>
        <w:t xml:space="preserve"> 12.punkta var secināt, ka kontrole ir stāvoklis, kad personai ir kontrole pār komercsabiedrību, ja 1) šai personai komercsabiedrībā ir izšķiroša ietekme uz līdzdalības pamata, 2) šai personai komercsabiedrībā ir izšķiroša ietekme uz koncerna līguma pamata, 3) starp šo personu un komercsabiedrību pastāv jebkādas citas iepriekš minētajām attiecībām analogas attiecības. No minētā secināms, ka izšķiroša ietekme komercsabiedrībā nodrošina personai kontroli pār šo komercsabiedrību.</w:t>
      </w:r>
    </w:p>
    <w:p w14:paraId="64576E7E" w14:textId="43CF3EE3" w:rsidR="005A5C56" w:rsidRDefault="005A5C56" w:rsidP="007274C5">
      <w:pPr>
        <w:autoSpaceDE w:val="0"/>
        <w:autoSpaceDN w:val="0"/>
        <w:adjustRightInd w:val="0"/>
        <w:spacing w:after="0" w:line="276" w:lineRule="auto"/>
        <w:ind w:firstLine="709"/>
        <w:jc w:val="both"/>
        <w:rPr>
          <w:rFonts w:cs="Times New Roman"/>
          <w:szCs w:val="24"/>
        </w:rPr>
      </w:pPr>
      <w:r>
        <w:rPr>
          <w:rFonts w:cs="Times New Roman"/>
          <w:szCs w:val="24"/>
        </w:rPr>
        <w:t xml:space="preserve">Nav pamata lietā piemērot Koncernu likuma normas izšķirošas ietekmes noteikšanai, jo pēc Kredītiestāžu likuma līdzdalība un koncerna līgums ir tikai viens no veidiem, kā izpaužas izšķiroša ietekme. Tas redzams arī no Konkurences likuma </w:t>
      </w:r>
      <w:proofErr w:type="gramStart"/>
      <w:r>
        <w:rPr>
          <w:rFonts w:cs="Times New Roman"/>
          <w:szCs w:val="24"/>
        </w:rPr>
        <w:t>1.panta</w:t>
      </w:r>
      <w:proofErr w:type="gramEnd"/>
      <w:r>
        <w:rPr>
          <w:rFonts w:cs="Times New Roman"/>
          <w:szCs w:val="24"/>
        </w:rPr>
        <w:t xml:space="preserve"> 2.punkta, kas noteic, ka izšķiroša ietekme ir iespēja tieši vai netieši kontrolēt (regulāri vai neregulāri) lēmumu pieņemšanu tirgus dalībnieka pārvaldes institūcijās, realizējot līdzdalību vai bez tās. Ievērojot likuma „Par uzņēmumu ienākuma nodokli” </w:t>
      </w:r>
      <w:proofErr w:type="gramStart"/>
      <w:r>
        <w:rPr>
          <w:rFonts w:cs="Times New Roman"/>
          <w:szCs w:val="24"/>
        </w:rPr>
        <w:t>12.panta</w:t>
      </w:r>
      <w:proofErr w:type="gramEnd"/>
      <w:r>
        <w:rPr>
          <w:rFonts w:cs="Times New Roman"/>
          <w:szCs w:val="24"/>
        </w:rPr>
        <w:t xml:space="preserve"> otrās daļas 2.punkta mērķi – novērst nepamatotu apliekamā ienākuma samazināšanu ar tādiem darījumiem, kuru cenas neatbilst tirgus cenām, – jēdziens „izšķiroša ietekme” likuma „Par uzņēmumu ienākuma nodokli” 1.panta piektās daļas izpratnē ir saprotams kā „spēja kontrolēt sabiedrības lēmumu pieņemšanu tās pārvaldes institūcijā attiecībā uz saimniecisko darījumu slēgšanu un to vērtību”.</w:t>
      </w:r>
    </w:p>
    <w:p w14:paraId="7262ECED" w14:textId="769E7145" w:rsidR="00311ECB" w:rsidRDefault="00311ECB" w:rsidP="007274C5">
      <w:pPr>
        <w:autoSpaceDE w:val="0"/>
        <w:autoSpaceDN w:val="0"/>
        <w:adjustRightInd w:val="0"/>
        <w:spacing w:after="0" w:line="276" w:lineRule="auto"/>
        <w:ind w:firstLine="709"/>
        <w:jc w:val="both"/>
        <w:rPr>
          <w:rFonts w:cs="Times New Roman"/>
          <w:szCs w:val="24"/>
        </w:rPr>
      </w:pPr>
      <w:r>
        <w:rPr>
          <w:rFonts w:cs="Times New Roman"/>
          <w:szCs w:val="24"/>
        </w:rPr>
        <w:t>Ievērojot Komerclikuma 221.pantu (valde vada un pārstāv sabiedrību, atbild par tās komercdarbību un veic darījumus sabiedrības vārdā), v</w:t>
      </w:r>
      <w:r w:rsidR="00033A68">
        <w:rPr>
          <w:rFonts w:cs="Times New Roman"/>
          <w:szCs w:val="24"/>
        </w:rPr>
        <w:t xml:space="preserve">aldes slēgtie darījumi ar pašiem valdes locekļiem var arī neatbilst parastajai darījumu vērtībai. </w:t>
      </w:r>
      <w:r>
        <w:rPr>
          <w:rFonts w:cs="Times New Roman"/>
          <w:szCs w:val="24"/>
        </w:rPr>
        <w:t>Uz to netieši norāda arī pašreiz Komerclikuma 139.</w:t>
      </w:r>
      <w:r w:rsidRPr="00311ECB">
        <w:rPr>
          <w:rFonts w:cs="Times New Roman"/>
          <w:szCs w:val="24"/>
          <w:vertAlign w:val="superscript"/>
        </w:rPr>
        <w:t>3</w:t>
      </w:r>
      <w:r>
        <w:rPr>
          <w:rFonts w:cs="Times New Roman"/>
          <w:szCs w:val="24"/>
        </w:rPr>
        <w:t>pantā noteiktā prasība sabiedrības darījumus ar valdi saskaņot ar padomi vai dalībnieku sapulci, ja vien darījums nav slēgts sabiedrības parasti veicamās komercdarbības ietvaros par parasto vērtību.</w:t>
      </w:r>
    </w:p>
    <w:p w14:paraId="6FA6DBD5" w14:textId="582845FE" w:rsidR="00033A68" w:rsidRDefault="00033A68" w:rsidP="007274C5">
      <w:pPr>
        <w:autoSpaceDE w:val="0"/>
        <w:autoSpaceDN w:val="0"/>
        <w:adjustRightInd w:val="0"/>
        <w:spacing w:after="0" w:line="276" w:lineRule="auto"/>
        <w:ind w:firstLine="709"/>
        <w:jc w:val="both"/>
        <w:rPr>
          <w:rFonts w:cs="Times New Roman"/>
          <w:szCs w:val="24"/>
        </w:rPr>
      </w:pPr>
      <w:r>
        <w:rPr>
          <w:rFonts w:cs="Times New Roman"/>
          <w:szCs w:val="24"/>
        </w:rPr>
        <w:t xml:space="preserve">Ievērojot arī apstākļus par </w:t>
      </w:r>
      <w:r w:rsidR="00A65948">
        <w:rPr>
          <w:rFonts w:cs="Times New Roman"/>
          <w:szCs w:val="24"/>
        </w:rPr>
        <w:t xml:space="preserve">aizdevuma neatbilstību ierastajai jeb tirgus cenai (proti, liela apmēra aizdevumi izsniegti uz nenoteiktu laiku, nenosakot maksu par finanšu līdzekļu lietošanu) </w:t>
      </w:r>
      <w:r>
        <w:rPr>
          <w:rFonts w:cs="Times New Roman"/>
          <w:szCs w:val="24"/>
        </w:rPr>
        <w:t>pieteicējas valdes locekļu dalību pieteicējas mātes sabiedrības kapitālā un esību mātes sabiedrības valdē</w:t>
      </w:r>
      <w:r w:rsidR="00A65948">
        <w:rPr>
          <w:rFonts w:cs="Times New Roman"/>
          <w:szCs w:val="24"/>
        </w:rPr>
        <w:t>, viņiem bija izšķiroša ietekme pieteicējā un iespēja īstenot kontroli (kopīgu) pār pieteicēju. Tas savukārt ļāva pieņemt lēmumus par darījumiem, kas neatbilst parastajai darījumu vērtībai un nebūtu iespējama ierastas komercprakses ietvaros.</w:t>
      </w:r>
    </w:p>
    <w:p w14:paraId="245FAFE2" w14:textId="32EBB23F" w:rsidR="00A65948" w:rsidRDefault="00A65948" w:rsidP="007274C5">
      <w:pPr>
        <w:autoSpaceDE w:val="0"/>
        <w:autoSpaceDN w:val="0"/>
        <w:adjustRightInd w:val="0"/>
        <w:spacing w:after="0" w:line="276" w:lineRule="auto"/>
        <w:ind w:firstLine="709"/>
        <w:jc w:val="both"/>
        <w:rPr>
          <w:rFonts w:cs="Times New Roman"/>
          <w:szCs w:val="24"/>
        </w:rPr>
      </w:pPr>
      <w:r>
        <w:rPr>
          <w:rFonts w:cs="Times New Roman"/>
          <w:szCs w:val="24"/>
        </w:rPr>
        <w:t>Līdz ar to dienesta lēmums šajā daļā ir pamatots.</w:t>
      </w:r>
    </w:p>
    <w:p w14:paraId="2A484E2C" w14:textId="556AC441" w:rsidR="00A65948" w:rsidRDefault="00A65948" w:rsidP="007274C5">
      <w:pPr>
        <w:autoSpaceDE w:val="0"/>
        <w:autoSpaceDN w:val="0"/>
        <w:adjustRightInd w:val="0"/>
        <w:spacing w:after="0" w:line="276" w:lineRule="auto"/>
        <w:ind w:firstLine="709"/>
        <w:jc w:val="both"/>
        <w:rPr>
          <w:rFonts w:cs="Times New Roman"/>
          <w:szCs w:val="24"/>
        </w:rPr>
      </w:pPr>
      <w:r>
        <w:rPr>
          <w:rFonts w:cs="Times New Roman"/>
          <w:szCs w:val="24"/>
        </w:rPr>
        <w:t xml:space="preserve">[3.3] </w:t>
      </w:r>
      <w:r w:rsidR="001035EE">
        <w:rPr>
          <w:rFonts w:cs="Times New Roman"/>
          <w:szCs w:val="24"/>
        </w:rPr>
        <w:t xml:space="preserve">Valsts ieņēmumu dienests palielinājis pieteicējas apliekamo ienākumu arī saistībā ar bezprocentu aizdevumiem, kas izsniegti tās mātes uzņēmumam SIA „WT </w:t>
      </w:r>
      <w:proofErr w:type="spellStart"/>
      <w:r w:rsidR="001035EE">
        <w:rPr>
          <w:rFonts w:cs="Times New Roman"/>
          <w:szCs w:val="24"/>
        </w:rPr>
        <w:t>Oil</w:t>
      </w:r>
      <w:proofErr w:type="spellEnd"/>
      <w:r w:rsidR="001035EE">
        <w:rPr>
          <w:rFonts w:cs="Times New Roman"/>
          <w:szCs w:val="24"/>
        </w:rPr>
        <w:t xml:space="preserve"> </w:t>
      </w:r>
      <w:proofErr w:type="spellStart"/>
      <w:r w:rsidR="001035EE">
        <w:rPr>
          <w:rFonts w:cs="Times New Roman"/>
          <w:szCs w:val="24"/>
        </w:rPr>
        <w:t>Terminal</w:t>
      </w:r>
      <w:proofErr w:type="spellEnd"/>
      <w:r w:rsidR="001035EE">
        <w:rPr>
          <w:rFonts w:cs="Times New Roman"/>
          <w:szCs w:val="24"/>
        </w:rPr>
        <w:t>” (iepriekš SIA „</w:t>
      </w:r>
      <w:proofErr w:type="spellStart"/>
      <w:r w:rsidR="001035EE">
        <w:rPr>
          <w:rFonts w:cs="Times New Roman"/>
          <w:szCs w:val="24"/>
        </w:rPr>
        <w:t>Tropico</w:t>
      </w:r>
      <w:proofErr w:type="spellEnd"/>
      <w:r w:rsidR="001035EE">
        <w:rPr>
          <w:rFonts w:cs="Times New Roman"/>
          <w:szCs w:val="24"/>
        </w:rPr>
        <w:t xml:space="preserve">”). </w:t>
      </w:r>
    </w:p>
    <w:p w14:paraId="387F3510" w14:textId="0661D127" w:rsidR="001035EE" w:rsidRDefault="001035EE" w:rsidP="007274C5">
      <w:pPr>
        <w:autoSpaceDE w:val="0"/>
        <w:autoSpaceDN w:val="0"/>
        <w:adjustRightInd w:val="0"/>
        <w:spacing w:after="0" w:line="276" w:lineRule="auto"/>
        <w:ind w:firstLine="709"/>
        <w:jc w:val="both"/>
        <w:rPr>
          <w:rFonts w:cs="Times New Roman"/>
          <w:szCs w:val="24"/>
        </w:rPr>
      </w:pPr>
      <w:r>
        <w:rPr>
          <w:rFonts w:cs="Times New Roman"/>
          <w:szCs w:val="24"/>
        </w:rPr>
        <w:t>Pieteicēja norāda, ka strīdus naudas summas uzskatāmas par izmaksām sabiedrības dalībniekam sakarā ar pamatkapitāla samazināšanu.</w:t>
      </w:r>
    </w:p>
    <w:p w14:paraId="72EC5E2E" w14:textId="58A95C76" w:rsidR="00F559AC" w:rsidRDefault="001035EE" w:rsidP="00F559AC">
      <w:pPr>
        <w:autoSpaceDE w:val="0"/>
        <w:autoSpaceDN w:val="0"/>
        <w:adjustRightInd w:val="0"/>
        <w:spacing w:after="0" w:line="276" w:lineRule="auto"/>
        <w:ind w:firstLine="709"/>
        <w:jc w:val="both"/>
        <w:rPr>
          <w:rFonts w:cs="Times New Roman"/>
          <w:szCs w:val="24"/>
        </w:rPr>
      </w:pPr>
      <w:r>
        <w:rPr>
          <w:rFonts w:cs="Times New Roman"/>
          <w:szCs w:val="24"/>
        </w:rPr>
        <w:lastRenderedPageBreak/>
        <w:t>Lietā nav tiesiska pamata to pieņemt. Komerclikuma normas nosaka striktu kārtību sabiedrības pamatkapitāla samazināšanai (Komerclikuma 205. un 207.pants – paziņojums komercreģistra iestādei un kreditoriem, publicēšana oficiālajā izdevumā, kreditoru prasījumu pieteikšanas termiņš; Komerclikuma 208.pants – kreditoru prasījumu pieteikšanas termiņa izbeigšanās un prasījumu nodrošināšana kā priekšnoteikums paziņojuma iesniegšanai komercreģistra iestādē par pamatkapitāla samazināšanu, kā arī noteikums, ka pamatkapitāls uzskatāms par samazinātu ar dienu, kad komercreģistrā ierakstīts</w:t>
      </w:r>
      <w:r w:rsidR="00F559AC">
        <w:rPr>
          <w:rFonts w:cs="Times New Roman"/>
          <w:szCs w:val="24"/>
        </w:rPr>
        <w:t xml:space="preserve"> jaunais pamatkapitāla lielums). Pieteicēja auditējamā periodā šādas darbības nebija veikusi. Pamatkapitāla samazināšana ierakstīta komercreģistrā tikai pēc tam, 2011.gadā. Arī pieteicējas noformētās vienošanās pie aizdevumu līgumiem, kurās norādīts, ka izsniegtie aizdevumi uzskatāmi par aizdevēja izmaksu tās dalībniekam saistībā ar pamatkapitāla samazināšanu, nevar kalpot par tiesisku pamatu, lai šīs izmaksas par tādu atzītu. Turklāt arī pašā vienošanās tekstā ir skaidri norādīts, ka pamatkapitāla samazināšana nav iespējama sakarā ar aizliegumu no kreditoru puses, tātad pieteicēja to apzinājās. Prettiesiski pieteicējas nolūki nevar tikt atzīti par darījuma patieso ekonomisko būtību.</w:t>
      </w:r>
    </w:p>
    <w:p w14:paraId="26279C71" w14:textId="6FCE05AC" w:rsidR="00F559AC" w:rsidRDefault="00F559AC"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[3.4] </w:t>
      </w:r>
      <w:r w:rsidR="008059F3">
        <w:rPr>
          <w:rFonts w:cs="Times New Roman"/>
          <w:szCs w:val="24"/>
        </w:rPr>
        <w:t xml:space="preserve">Lietā ir strīds arī par pieteicējas tiesībām 2009. un </w:t>
      </w:r>
      <w:proofErr w:type="gramStart"/>
      <w:r w:rsidR="008059F3">
        <w:rPr>
          <w:rFonts w:cs="Times New Roman"/>
          <w:szCs w:val="24"/>
        </w:rPr>
        <w:t>2010.gadā</w:t>
      </w:r>
      <w:proofErr w:type="gramEnd"/>
      <w:r w:rsidR="008059F3">
        <w:rPr>
          <w:rFonts w:cs="Times New Roman"/>
          <w:szCs w:val="24"/>
        </w:rPr>
        <w:t xml:space="preserve"> pārnest zaudējumus no citiem grupas uzņēmumiem. Valsts ieņēmumu dienests atzinis, ka zaudējumu pārnešana (98 789 lati </w:t>
      </w:r>
      <w:proofErr w:type="gramStart"/>
      <w:r w:rsidR="008059F3">
        <w:rPr>
          <w:rFonts w:cs="Times New Roman"/>
          <w:szCs w:val="24"/>
        </w:rPr>
        <w:t>2009.gadā</w:t>
      </w:r>
      <w:proofErr w:type="gramEnd"/>
      <w:r w:rsidR="008059F3">
        <w:rPr>
          <w:rFonts w:cs="Times New Roman"/>
          <w:szCs w:val="24"/>
        </w:rPr>
        <w:t xml:space="preserve"> no SIA „TREST </w:t>
      </w:r>
      <w:proofErr w:type="spellStart"/>
      <w:r w:rsidR="008059F3">
        <w:rPr>
          <w:rFonts w:cs="Times New Roman"/>
          <w:szCs w:val="24"/>
        </w:rPr>
        <w:t>Oil</w:t>
      </w:r>
      <w:proofErr w:type="spellEnd"/>
      <w:r w:rsidR="008059F3">
        <w:rPr>
          <w:rFonts w:cs="Times New Roman"/>
          <w:szCs w:val="24"/>
        </w:rPr>
        <w:t xml:space="preserve"> Co” un 112 921 lati 2010.gadā no SIA </w:t>
      </w:r>
      <w:r w:rsidR="00926AA6">
        <w:rPr>
          <w:rFonts w:cs="Times New Roman"/>
          <w:szCs w:val="24"/>
        </w:rPr>
        <w:t>„</w:t>
      </w:r>
      <w:r w:rsidR="008059F3">
        <w:rPr>
          <w:rFonts w:cs="Times New Roman"/>
          <w:szCs w:val="24"/>
        </w:rPr>
        <w:t xml:space="preserve">WT </w:t>
      </w:r>
      <w:proofErr w:type="spellStart"/>
      <w:r w:rsidR="008059F3">
        <w:rPr>
          <w:rFonts w:cs="Times New Roman"/>
          <w:szCs w:val="24"/>
        </w:rPr>
        <w:t>Oil</w:t>
      </w:r>
      <w:proofErr w:type="spellEnd"/>
      <w:r w:rsidR="008059F3">
        <w:rPr>
          <w:rFonts w:cs="Times New Roman"/>
          <w:szCs w:val="24"/>
        </w:rPr>
        <w:t xml:space="preserve"> </w:t>
      </w:r>
      <w:proofErr w:type="spellStart"/>
      <w:r w:rsidR="008059F3">
        <w:rPr>
          <w:rFonts w:cs="Times New Roman"/>
          <w:szCs w:val="24"/>
        </w:rPr>
        <w:t>Terminal</w:t>
      </w:r>
      <w:proofErr w:type="spellEnd"/>
      <w:r w:rsidR="008059F3">
        <w:rPr>
          <w:rFonts w:cs="Times New Roman"/>
          <w:szCs w:val="24"/>
        </w:rPr>
        <w:t>”), ko pieteicēja veica, nebija pieļaujama tādēļ, ka katrai no saistītajām sabiedrībām attiecīgā gada 31.decembrī bija nodokļu parādi. Atbilstoši likuma „Par uzņēmumu ienākuma nodokli” 14.</w:t>
      </w:r>
      <w:r w:rsidR="008059F3" w:rsidRPr="009264A0">
        <w:rPr>
          <w:rFonts w:cs="Times New Roman"/>
          <w:szCs w:val="24"/>
          <w:vertAlign w:val="superscript"/>
        </w:rPr>
        <w:t>1</w:t>
      </w:r>
      <w:r w:rsidR="008059F3">
        <w:rPr>
          <w:rFonts w:cs="Times New Roman"/>
          <w:szCs w:val="24"/>
        </w:rPr>
        <w:t xml:space="preserve">panta septītās daļas 4.punktam viens no priekšnoteikumiem zaudējumu pārnešanai ir tas, ka neviens no uzņēmumiem nav nodokļu parādnieks taksācijas perioda pēdējā dienā attiecībā uz jebkuriem Latvijas Republikā maksājamiem nodokļiem, izņemot gadījumus, kad nodokļu </w:t>
      </w:r>
      <w:r w:rsidR="00926AA6">
        <w:rPr>
          <w:rFonts w:cs="Times New Roman"/>
          <w:szCs w:val="24"/>
        </w:rPr>
        <w:t>nomaksas termiņi ir pagarināti saskaņā ar likumu „Par nodokļiem un nodevām”.</w:t>
      </w:r>
    </w:p>
    <w:p w14:paraId="3E790632" w14:textId="6C8C7D68" w:rsidR="00926AA6" w:rsidRDefault="00926AA6" w:rsidP="00F559AC">
      <w:pPr>
        <w:autoSpaceDE w:val="0"/>
        <w:autoSpaceDN w:val="0"/>
        <w:adjustRightInd w:val="0"/>
        <w:spacing w:after="0" w:line="276" w:lineRule="auto"/>
        <w:ind w:firstLine="709"/>
        <w:jc w:val="both"/>
        <w:rPr>
          <w:rFonts w:cs="Times New Roman"/>
          <w:szCs w:val="24"/>
        </w:rPr>
      </w:pPr>
      <w:r>
        <w:rPr>
          <w:rFonts w:cs="Times New Roman"/>
          <w:szCs w:val="24"/>
        </w:rPr>
        <w:t>Pieteicējas ieskatā, nosakot nodokļu parāda esību, bija jāņem vērā arī deklarācijas, kas iesniegtas pēc taksācijas perioda beigām, ja tajās ir dati par taksācijas perioda darījumiem, kas ietekmē nodokļa saistību apmēru.</w:t>
      </w:r>
    </w:p>
    <w:p w14:paraId="7643402F" w14:textId="77777777" w:rsidR="00926AA6" w:rsidRDefault="00926AA6" w:rsidP="00F559AC">
      <w:pPr>
        <w:autoSpaceDE w:val="0"/>
        <w:autoSpaceDN w:val="0"/>
        <w:adjustRightInd w:val="0"/>
        <w:spacing w:after="0" w:line="276" w:lineRule="auto"/>
        <w:ind w:firstLine="709"/>
        <w:jc w:val="both"/>
        <w:rPr>
          <w:rFonts w:cs="Times New Roman"/>
          <w:szCs w:val="24"/>
        </w:rPr>
      </w:pPr>
      <w:r>
        <w:rPr>
          <w:rFonts w:cs="Times New Roman"/>
          <w:szCs w:val="24"/>
        </w:rPr>
        <w:t>Pieteicējas arguments ir pamatots, tomēr konkrētajā gadījumā tai, arī šādi vērtējot, nebija pieļaujams pārnest zaudējumus.</w:t>
      </w:r>
    </w:p>
    <w:p w14:paraId="6C073BC2" w14:textId="7A535662" w:rsidR="00926AA6" w:rsidRDefault="00926AA6" w:rsidP="00F559AC">
      <w:pPr>
        <w:autoSpaceDE w:val="0"/>
        <w:autoSpaceDN w:val="0"/>
        <w:adjustRightInd w:val="0"/>
        <w:spacing w:after="0" w:line="276" w:lineRule="auto"/>
        <w:ind w:firstLine="709"/>
        <w:jc w:val="both"/>
        <w:rPr>
          <w:rFonts w:cs="Times New Roman"/>
          <w:szCs w:val="24"/>
        </w:rPr>
      </w:pPr>
      <w:r>
        <w:rPr>
          <w:rFonts w:cs="Times New Roman"/>
          <w:szCs w:val="24"/>
        </w:rPr>
        <w:t>Atbilstoši likuma „Par nodokļiem un nodevām” normām nodokļu parāds veidojas nodokļu revīzijas (audita) vai datu atbilstības pārbaudes rezultātā vai nodokļu maksājumu kavējuma dēļ.</w:t>
      </w:r>
    </w:p>
    <w:p w14:paraId="2E623173" w14:textId="5FB7077F" w:rsidR="00926AA6" w:rsidRDefault="00926AA6" w:rsidP="00F559AC">
      <w:pPr>
        <w:autoSpaceDE w:val="0"/>
        <w:autoSpaceDN w:val="0"/>
        <w:adjustRightInd w:val="0"/>
        <w:spacing w:after="0" w:line="276" w:lineRule="auto"/>
        <w:ind w:firstLine="709"/>
        <w:jc w:val="both"/>
        <w:rPr>
          <w:rFonts w:cs="Times New Roman"/>
          <w:szCs w:val="24"/>
        </w:rPr>
      </w:pPr>
      <w:r>
        <w:rPr>
          <w:rFonts w:cs="Times New Roman"/>
          <w:szCs w:val="24"/>
        </w:rPr>
        <w:t>Pieteicējas saistītos uzņēmumus varē</w:t>
      </w:r>
      <w:r w:rsidR="009264A0">
        <w:rPr>
          <w:rFonts w:cs="Times New Roman"/>
          <w:szCs w:val="24"/>
        </w:rPr>
        <w:t>tu</w:t>
      </w:r>
      <w:r>
        <w:rPr>
          <w:rFonts w:cs="Times New Roman"/>
          <w:szCs w:val="24"/>
        </w:rPr>
        <w:t xml:space="preserve"> atzīt par nodokļu parādniekiem tikai tad, ja tiktu konstatēts, ka tie nav veikuši konkrētā nodokļa nomaksu noteiktajā termiņā, kāds paredzēts konkrētā nodokļa likumā. </w:t>
      </w:r>
    </w:p>
    <w:p w14:paraId="799F963B" w14:textId="6BF5639F" w:rsidR="00926AA6" w:rsidRDefault="00926AA6" w:rsidP="00F559AC">
      <w:pPr>
        <w:autoSpaceDE w:val="0"/>
        <w:autoSpaceDN w:val="0"/>
        <w:adjustRightInd w:val="0"/>
        <w:spacing w:after="0" w:line="276" w:lineRule="auto"/>
        <w:ind w:firstLine="709"/>
        <w:jc w:val="both"/>
        <w:rPr>
          <w:rFonts w:cs="Times New Roman"/>
          <w:szCs w:val="24"/>
        </w:rPr>
      </w:pPr>
      <w:r>
        <w:rPr>
          <w:rFonts w:cs="Times New Roman"/>
          <w:szCs w:val="24"/>
        </w:rPr>
        <w:t>Valsts ieņēmumu dienests</w:t>
      </w:r>
      <w:r w:rsidR="0027237C">
        <w:rPr>
          <w:rFonts w:cs="Times New Roman"/>
          <w:szCs w:val="24"/>
        </w:rPr>
        <w:t xml:space="preserve"> iesniedza papildu informāciju. Lai</w:t>
      </w:r>
      <w:r>
        <w:rPr>
          <w:rFonts w:cs="Times New Roman"/>
          <w:szCs w:val="24"/>
        </w:rPr>
        <w:t xml:space="preserve"> arī nav gūstams apstiprinājums SIA „TREST </w:t>
      </w:r>
      <w:proofErr w:type="spellStart"/>
      <w:r>
        <w:rPr>
          <w:rFonts w:cs="Times New Roman"/>
          <w:szCs w:val="24"/>
        </w:rPr>
        <w:t>Oil</w:t>
      </w:r>
      <w:proofErr w:type="spellEnd"/>
      <w:r>
        <w:rPr>
          <w:rFonts w:cs="Times New Roman"/>
          <w:szCs w:val="24"/>
        </w:rPr>
        <w:t xml:space="preserve"> Co” un SIA „WT </w:t>
      </w:r>
      <w:proofErr w:type="spellStart"/>
      <w:r>
        <w:rPr>
          <w:rFonts w:cs="Times New Roman"/>
          <w:szCs w:val="24"/>
        </w:rPr>
        <w:t>Oil</w:t>
      </w:r>
      <w:proofErr w:type="spellEnd"/>
      <w:r>
        <w:rPr>
          <w:rFonts w:cs="Times New Roman"/>
          <w:szCs w:val="24"/>
        </w:rPr>
        <w:t xml:space="preserve"> </w:t>
      </w:r>
      <w:proofErr w:type="spellStart"/>
      <w:r>
        <w:rPr>
          <w:rFonts w:cs="Times New Roman"/>
          <w:szCs w:val="24"/>
        </w:rPr>
        <w:t>Terminal</w:t>
      </w:r>
      <w:proofErr w:type="spellEnd"/>
      <w:r>
        <w:rPr>
          <w:rFonts w:cs="Times New Roman"/>
          <w:szCs w:val="24"/>
        </w:rPr>
        <w:t>”</w:t>
      </w:r>
      <w:r w:rsidR="0027237C">
        <w:rPr>
          <w:rFonts w:cs="Times New Roman"/>
          <w:szCs w:val="24"/>
        </w:rPr>
        <w:t xml:space="preserve"> pievienotās vērtības nodokļa un valsts sociālās apdrošināšanas obligāto iemaksu parādiem (ņemot vērā maksājumus, kas veikti attiecīgo nodokļu samaksas termiņos), ir konstatējams, ka minētie uzņēmumi uz </w:t>
      </w:r>
      <w:proofErr w:type="gramStart"/>
      <w:r w:rsidR="0027237C">
        <w:rPr>
          <w:rFonts w:cs="Times New Roman"/>
          <w:szCs w:val="24"/>
        </w:rPr>
        <w:t>2009.gada</w:t>
      </w:r>
      <w:proofErr w:type="gramEnd"/>
      <w:r w:rsidR="0027237C">
        <w:rPr>
          <w:rFonts w:cs="Times New Roman"/>
          <w:szCs w:val="24"/>
        </w:rPr>
        <w:t xml:space="preserve"> 31.decembri un 2010.gada 31.decembri nebija veikuši iedzīvotāju ienākuma nodokļa samaksu atbilstoši likumā „Par iedzīvotāju ienākuma nodokli” noteiktajam samaksas termiņam.</w:t>
      </w:r>
    </w:p>
    <w:p w14:paraId="69BF538E" w14:textId="7EACF7C7" w:rsidR="0027237C" w:rsidRDefault="0027237C"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Nav pamata uzskatīt, ka soda sankcijas konkrētajā gadījumā nav samērīgas. Pieteicējai, iesniedzot gada pārskatus par 2009. un </w:t>
      </w:r>
      <w:proofErr w:type="gramStart"/>
      <w:r>
        <w:rPr>
          <w:rFonts w:cs="Times New Roman"/>
          <w:szCs w:val="24"/>
        </w:rPr>
        <w:t>2010.gadu</w:t>
      </w:r>
      <w:proofErr w:type="gramEnd"/>
      <w:r>
        <w:rPr>
          <w:rFonts w:cs="Times New Roman"/>
          <w:szCs w:val="24"/>
        </w:rPr>
        <w:t>, bija pietiekami daudz laika, lai novērtētu, vai ir iestājušies priekšnoteikumi zaudējumu pārnešanai. Sankcijas nav nesamērīgas.</w:t>
      </w:r>
    </w:p>
    <w:p w14:paraId="7CC3FB4F" w14:textId="77777777" w:rsidR="0004506C" w:rsidRDefault="0004506C" w:rsidP="00F559AC">
      <w:pPr>
        <w:autoSpaceDE w:val="0"/>
        <w:autoSpaceDN w:val="0"/>
        <w:adjustRightInd w:val="0"/>
        <w:spacing w:after="0" w:line="276" w:lineRule="auto"/>
        <w:ind w:firstLine="709"/>
        <w:jc w:val="both"/>
        <w:rPr>
          <w:rFonts w:cs="Times New Roman"/>
          <w:szCs w:val="24"/>
        </w:rPr>
      </w:pPr>
    </w:p>
    <w:p w14:paraId="058D08AE" w14:textId="2E680543" w:rsidR="0004506C" w:rsidRDefault="0004506C" w:rsidP="00F559AC">
      <w:pPr>
        <w:autoSpaceDE w:val="0"/>
        <w:autoSpaceDN w:val="0"/>
        <w:adjustRightInd w:val="0"/>
        <w:spacing w:after="0" w:line="276" w:lineRule="auto"/>
        <w:ind w:firstLine="709"/>
        <w:jc w:val="both"/>
        <w:rPr>
          <w:rFonts w:cs="Times New Roman"/>
          <w:szCs w:val="24"/>
        </w:rPr>
      </w:pPr>
      <w:r>
        <w:rPr>
          <w:rFonts w:cs="Times New Roman"/>
          <w:szCs w:val="24"/>
        </w:rPr>
        <w:t>[4] Pieteicēja par apgabaltiesas spriedumu iesniegusi kasācijas sūdzību, kurā norādīti turpmāk minētie argumenti.</w:t>
      </w:r>
    </w:p>
    <w:p w14:paraId="23AFE81A" w14:textId="54177E36" w:rsidR="0004506C" w:rsidRDefault="0004506C"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[4.1] Attiecībā uz darījumu ar SIA „KNDS” tiesa izskatāmās lietas un lietā esošo pierādījumu kontekstā nepareizi interpretējusi likuma „Par pievienotās vērtības nodokli” </w:t>
      </w:r>
      <w:proofErr w:type="gramStart"/>
      <w:r>
        <w:rPr>
          <w:rFonts w:cs="Times New Roman"/>
          <w:szCs w:val="24"/>
        </w:rPr>
        <w:t>10.panta</w:t>
      </w:r>
      <w:proofErr w:type="gramEnd"/>
      <w:r>
        <w:rPr>
          <w:rFonts w:cs="Times New Roman"/>
          <w:szCs w:val="24"/>
        </w:rPr>
        <w:t xml:space="preserve"> pirmās daļas 1.punktu. Apgabaltiesa konstatējusi pazīmi, kura atbilstoši Augstākās tiesas judikatūrai ir pamats liegt tiesības uz priekšnodokļa atskaitīšanu, – darījums faktiski nav noticis. Tomēr cauruļu iegādes fakts un to izmantošana pieteicējas saimnieciskās darbības nodrošināšanai netika apšaubīts administratīvā procesa laikā iestādē. Ir mainīts administratīvā akta pamatojums. Turklāt tiesa nav ievērojusi Administratīvā procesa likuma 154.panta pirmo un trešo daļu: tiesas secinājumi par darījuma neesību balstīti galvenokārt uz to, ka pieteicēja nav iesniegusi piegādi apstiprinošus pierādījumus, taču pieteicēja var iesniegt tikai tādus pierādījumus, kādi ir tās rīcībā</w:t>
      </w:r>
      <w:r w:rsidR="005762AD">
        <w:rPr>
          <w:rFonts w:cs="Times New Roman"/>
          <w:szCs w:val="24"/>
        </w:rPr>
        <w:t xml:space="preserve"> (un tādi tika iesniegti), turpretim tiesa pretēji Administratīvā procesa likuma 107.panta ceturtajai daļai nedeva pieteicējai norādījumus un ieteikumus papildu pierādījumu iesniegšanai.</w:t>
      </w:r>
    </w:p>
    <w:p w14:paraId="1DA81417" w14:textId="43977D00" w:rsidR="005762AD" w:rsidRDefault="005762AD"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[4.2] </w:t>
      </w:r>
      <w:r w:rsidR="00311ECB">
        <w:rPr>
          <w:rFonts w:cs="Times New Roman"/>
          <w:szCs w:val="24"/>
        </w:rPr>
        <w:t xml:space="preserve">Vērtējot pieteicējas valdes locekļiem izsniegtos aizdevumus, tiesa nepamatoti nav piemērojusi Koncernu likuma </w:t>
      </w:r>
      <w:proofErr w:type="gramStart"/>
      <w:r w:rsidR="00311ECB">
        <w:rPr>
          <w:rFonts w:cs="Times New Roman"/>
          <w:szCs w:val="24"/>
        </w:rPr>
        <w:t>3.pantu</w:t>
      </w:r>
      <w:proofErr w:type="gramEnd"/>
      <w:r w:rsidR="00311ECB">
        <w:rPr>
          <w:rFonts w:cs="Times New Roman"/>
          <w:szCs w:val="24"/>
        </w:rPr>
        <w:t xml:space="preserve">, bet nepamatoti </w:t>
      </w:r>
      <w:r w:rsidR="009264A0">
        <w:rPr>
          <w:rFonts w:cs="Times New Roman"/>
          <w:szCs w:val="24"/>
        </w:rPr>
        <w:t xml:space="preserve">ir </w:t>
      </w:r>
      <w:r w:rsidR="00311ECB">
        <w:rPr>
          <w:rFonts w:cs="Times New Roman"/>
          <w:szCs w:val="24"/>
        </w:rPr>
        <w:t>piemērojusi Komerclikuma 221.panta pirmo daļu un 139.</w:t>
      </w:r>
      <w:r w:rsidR="00311ECB" w:rsidRPr="00311ECB">
        <w:rPr>
          <w:rFonts w:cs="Times New Roman"/>
          <w:szCs w:val="24"/>
          <w:vertAlign w:val="superscript"/>
        </w:rPr>
        <w:t>3</w:t>
      </w:r>
      <w:r w:rsidR="00311ECB">
        <w:rPr>
          <w:rFonts w:cs="Times New Roman"/>
          <w:szCs w:val="24"/>
        </w:rPr>
        <w:t xml:space="preserve">pantu. Tādā veidā tiesa nepamatoti secināja, ka </w:t>
      </w:r>
      <w:r w:rsidR="005E66BA">
        <w:rPr>
          <w:rFonts w:cs="Times New Roman"/>
          <w:szCs w:val="24"/>
        </w:rPr>
        <w:t xml:space="preserve">valdes locekļiem </w:t>
      </w:r>
      <w:r w:rsidR="00311ECB">
        <w:rPr>
          <w:rFonts w:cs="Times New Roman"/>
          <w:szCs w:val="24"/>
        </w:rPr>
        <w:t xml:space="preserve">konkrētajos apstākļos bija nodrošināta izšķiroša ietekme pieteicējā un spēja </w:t>
      </w:r>
      <w:r w:rsidR="006078B2">
        <w:rPr>
          <w:rFonts w:cs="Times New Roman"/>
          <w:szCs w:val="24"/>
        </w:rPr>
        <w:t>īstenot</w:t>
      </w:r>
      <w:r w:rsidR="00311ECB">
        <w:rPr>
          <w:rFonts w:cs="Times New Roman"/>
          <w:szCs w:val="24"/>
        </w:rPr>
        <w:t xml:space="preserve"> kontroli (kopīgu) pār pieteicēju. Izšķiroša ietekme ir tiešā tekstā definēta Koncernu likumā, un nevienam no valdes locekļiem katram atsevišķi tādas nav. Uz Koncernu likuma piemērošanu norādīts arī Augstākās tiesas </w:t>
      </w:r>
      <w:proofErr w:type="gramStart"/>
      <w:r w:rsidR="00311ECB">
        <w:rPr>
          <w:rFonts w:cs="Times New Roman"/>
          <w:szCs w:val="24"/>
        </w:rPr>
        <w:t>2014.gada</w:t>
      </w:r>
      <w:proofErr w:type="gramEnd"/>
      <w:r w:rsidR="00311ECB">
        <w:rPr>
          <w:rFonts w:cs="Times New Roman"/>
          <w:szCs w:val="24"/>
        </w:rPr>
        <w:t xml:space="preserve"> 12.marta spriedumā lietā Nr. SKA-80/2014.</w:t>
      </w:r>
    </w:p>
    <w:p w14:paraId="2F477DC5" w14:textId="033F642B" w:rsidR="00311ECB" w:rsidRDefault="00311ECB"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[4.3] </w:t>
      </w:r>
      <w:r w:rsidR="00FC3C7E">
        <w:rPr>
          <w:rFonts w:cs="Times New Roman"/>
          <w:szCs w:val="24"/>
        </w:rPr>
        <w:t xml:space="preserve">Novērtējot aizdevumus SIA „WT </w:t>
      </w:r>
      <w:proofErr w:type="spellStart"/>
      <w:r w:rsidR="00FC3C7E">
        <w:rPr>
          <w:rFonts w:cs="Times New Roman"/>
          <w:szCs w:val="24"/>
        </w:rPr>
        <w:t>Oil</w:t>
      </w:r>
      <w:proofErr w:type="spellEnd"/>
      <w:r w:rsidR="00FC3C7E">
        <w:rPr>
          <w:rFonts w:cs="Times New Roman"/>
          <w:szCs w:val="24"/>
        </w:rPr>
        <w:t xml:space="preserve"> </w:t>
      </w:r>
      <w:proofErr w:type="spellStart"/>
      <w:r w:rsidR="00FC3C7E">
        <w:rPr>
          <w:rFonts w:cs="Times New Roman"/>
          <w:szCs w:val="24"/>
        </w:rPr>
        <w:t>Terminal</w:t>
      </w:r>
      <w:proofErr w:type="spellEnd"/>
      <w:r w:rsidR="00FC3C7E">
        <w:rPr>
          <w:rFonts w:cs="Times New Roman"/>
          <w:szCs w:val="24"/>
        </w:rPr>
        <w:t xml:space="preserve">”, tiesa neņēma vērā argumentus par darījumu patieso ekonomisko būtību, ko apliecina pierādījumi: SIA „WT </w:t>
      </w:r>
      <w:proofErr w:type="spellStart"/>
      <w:r w:rsidR="00FC3C7E">
        <w:rPr>
          <w:rFonts w:cs="Times New Roman"/>
          <w:szCs w:val="24"/>
        </w:rPr>
        <w:t>Oil</w:t>
      </w:r>
      <w:proofErr w:type="spellEnd"/>
      <w:r w:rsidR="00FC3C7E">
        <w:rPr>
          <w:rFonts w:cs="Times New Roman"/>
          <w:szCs w:val="24"/>
        </w:rPr>
        <w:t xml:space="preserve"> </w:t>
      </w:r>
      <w:proofErr w:type="spellStart"/>
      <w:r w:rsidR="00FC3C7E">
        <w:rPr>
          <w:rFonts w:cs="Times New Roman"/>
          <w:szCs w:val="24"/>
        </w:rPr>
        <w:t>Terminal</w:t>
      </w:r>
      <w:proofErr w:type="spellEnd"/>
      <w:r w:rsidR="00FC3C7E">
        <w:rPr>
          <w:rFonts w:cs="Times New Roman"/>
          <w:szCs w:val="24"/>
        </w:rPr>
        <w:t xml:space="preserve">” kā pieteicējas vienīgā dalībnieka lēmums par pamatkapitāla samazināšanu, sakarā ar ko būtu bijis jāizmaksā pamatkapitāla samazinājuma summa. </w:t>
      </w:r>
      <w:r w:rsidR="005E66BA">
        <w:rPr>
          <w:rFonts w:cs="Times New Roman"/>
          <w:szCs w:val="24"/>
        </w:rPr>
        <w:t>J</w:t>
      </w:r>
      <w:r w:rsidR="00FC3C7E">
        <w:rPr>
          <w:rFonts w:cs="Times New Roman"/>
          <w:szCs w:val="24"/>
        </w:rPr>
        <w:t>uridiski pamatkapitāla samazināšana nebija iespējama, jo pieteicējas rīcībā nebija aktīvu papildu nodrošinājuma izsniegšanai kreditoram. To ievērojot, tika panākta vienošanās, ka uz aizdevuma līguma pamata izsniegtās naudas summas uzskatāmas par pamatkapitāla samazināšanu. Vienojās arī par to, ka gadījumā, ja līdz noteiktam laikam pamatkapitāla samazināšana netiks ierakstīta komercreģistrā, izsniegtās naudas summas tiks uzskatītas par procentu aizdevumu. Apstāklis, ka kreditors nepiekrita pamatkapitāla samazināšanai, nozīmē tikai to, ka tā nevarēja tikt pieteikta ierakstīšanai komercreģistrā, bet neietekmē tiesības vienoties par pieteicējas un tās mātes sabiedrības mantisko attiecību saturu.</w:t>
      </w:r>
    </w:p>
    <w:p w14:paraId="6DAA5DBC" w14:textId="4BFEDEC7" w:rsidR="00FC3C7E" w:rsidRDefault="00FC3C7E"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[4.4] </w:t>
      </w:r>
      <w:r w:rsidR="00B652FE">
        <w:rPr>
          <w:rFonts w:cs="Times New Roman"/>
          <w:szCs w:val="24"/>
        </w:rPr>
        <w:t xml:space="preserve">Izvērtējot zaudējumu pārnešanas pieļaujamību, tiesa nav ievērojusi Administratīvā procesa likuma </w:t>
      </w:r>
      <w:proofErr w:type="gramStart"/>
      <w:r w:rsidR="00B652FE">
        <w:rPr>
          <w:rFonts w:cs="Times New Roman"/>
          <w:szCs w:val="24"/>
        </w:rPr>
        <w:t>154.panta</w:t>
      </w:r>
      <w:proofErr w:type="gramEnd"/>
      <w:r w:rsidR="00B652FE">
        <w:rPr>
          <w:rFonts w:cs="Times New Roman"/>
          <w:szCs w:val="24"/>
        </w:rPr>
        <w:t xml:space="preserve"> pirmo un trešo daļu, kā arī 251.panta piekto daļu, jo spriedumā nav faktisko apstākļu un pierādījumu izklāsta un vērtējuma, no kā varētu secināt, kādā apjomā kuram no uzņēmumiem ir iedzīvotāju ienākuma nodokļa parāds. Pat ja pieņem, ka parādi bija (spriedumā nenorādītā apmērā), bija jāņem vērā samērīguma princips, jo zaudējumu pārnešanas tiesību ierobežojums salīdzinoši niecīga parāda dēļ </w:t>
      </w:r>
      <w:r w:rsidR="009F6AE5">
        <w:rPr>
          <w:rFonts w:cs="Times New Roman"/>
          <w:szCs w:val="24"/>
        </w:rPr>
        <w:t>ir nesamērīgi formāls. Netipiskā gadījumā tiesa, ievērojot samērīgu principu, var atkāpties no tiesību normas piemērošanas.</w:t>
      </w:r>
    </w:p>
    <w:p w14:paraId="3084972F" w14:textId="77777777" w:rsidR="00C90558" w:rsidRDefault="00C90558" w:rsidP="00F559AC">
      <w:pPr>
        <w:autoSpaceDE w:val="0"/>
        <w:autoSpaceDN w:val="0"/>
        <w:adjustRightInd w:val="0"/>
        <w:spacing w:after="0" w:line="276" w:lineRule="auto"/>
        <w:ind w:firstLine="709"/>
        <w:jc w:val="both"/>
        <w:rPr>
          <w:rFonts w:cs="Times New Roman"/>
          <w:szCs w:val="24"/>
        </w:rPr>
      </w:pPr>
    </w:p>
    <w:p w14:paraId="69A8ABD5" w14:textId="6E6D8FBF" w:rsidR="00C90558" w:rsidRDefault="00C90558" w:rsidP="00F559AC">
      <w:pPr>
        <w:autoSpaceDE w:val="0"/>
        <w:autoSpaceDN w:val="0"/>
        <w:adjustRightInd w:val="0"/>
        <w:spacing w:after="0" w:line="276" w:lineRule="auto"/>
        <w:ind w:firstLine="709"/>
        <w:jc w:val="both"/>
        <w:rPr>
          <w:rFonts w:cs="Times New Roman"/>
          <w:szCs w:val="24"/>
        </w:rPr>
      </w:pPr>
      <w:r>
        <w:rPr>
          <w:rFonts w:cs="Times New Roman"/>
          <w:szCs w:val="24"/>
        </w:rPr>
        <w:t>[5] Valsts ieņēmumu dienests iesniedzis paskaidrojumus par kasācijas sūdzību un norāda, ka sūdzību uzskata par nepamatotu.</w:t>
      </w:r>
    </w:p>
    <w:p w14:paraId="51F5F0D7" w14:textId="77777777" w:rsidR="002E1254" w:rsidRDefault="002E1254" w:rsidP="00F559AC">
      <w:pPr>
        <w:autoSpaceDE w:val="0"/>
        <w:autoSpaceDN w:val="0"/>
        <w:adjustRightInd w:val="0"/>
        <w:spacing w:after="0" w:line="276" w:lineRule="auto"/>
        <w:ind w:firstLine="709"/>
        <w:jc w:val="both"/>
        <w:rPr>
          <w:rFonts w:cs="Times New Roman"/>
          <w:szCs w:val="24"/>
        </w:rPr>
      </w:pPr>
    </w:p>
    <w:p w14:paraId="632547DD" w14:textId="03F4B5A5" w:rsidR="002E1254" w:rsidRDefault="002E1254"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[6] Tiesas sēdē pieteicējas pārstāvis uzturēja kasācijas sūdzību saskaņā ar tajā minētajiem argumentiem. Papildus norādīja, ka tiesa, izdarot secinājumu par darījuma faktisku neesību ar SIA „KNDS”, pienācīgi nenovērtēja, ka pienākums sagatavot cauruļu novietošanas vietu līgumā tika iekļauts nepamatoti. Attiecībā uz Valsts ieņēmumu dienesta konstatēto pieteicējas aizdevumu mātes sabiedrībai būtu jādod priekšroka darījuma dalībnieku savstarpējām attiecībām, kā arī apstāklim, ka pamatkapitāla samazināšana vēlāk patiešām tika īstenota. Attiecībā uz zaudējumu pārnešanu no grupas uzņēmumiem tiesai būtu bijis jāņem vērā attiecīgajā taksācijas periodā izveidojusies nodokļu pārmaksa, kas sedza nodokļu parādu. </w:t>
      </w:r>
      <w:proofErr w:type="gramStart"/>
      <w:r>
        <w:rPr>
          <w:rFonts w:cs="Times New Roman"/>
          <w:szCs w:val="24"/>
        </w:rPr>
        <w:t>Saistībā ar aizdevumiem,</w:t>
      </w:r>
      <w:proofErr w:type="gramEnd"/>
      <w:r>
        <w:rPr>
          <w:rFonts w:cs="Times New Roman"/>
          <w:szCs w:val="24"/>
        </w:rPr>
        <w:t xml:space="preserve"> kas izsniegti pieteicējas valdes locekļiem, pieteicējas pārstāvis vērsa uzmanību uz to, ka Kredītiestāžu likums, ko piemēroja apgabaltiesa, ir vērsts uz specifisku saimnieciskās darbības jomu, </w:t>
      </w:r>
      <w:r w:rsidR="00476314">
        <w:rPr>
          <w:rFonts w:cs="Times New Roman"/>
          <w:szCs w:val="24"/>
        </w:rPr>
        <w:t>kur jautājums par izšķirošu ietekmi un kontroli pār uzņēmumu varētu būt atšķirīgi regulējams.</w:t>
      </w:r>
    </w:p>
    <w:p w14:paraId="1CF52763" w14:textId="3ADC1AF2" w:rsidR="00476314" w:rsidRDefault="00476314" w:rsidP="00F559AC">
      <w:pPr>
        <w:autoSpaceDE w:val="0"/>
        <w:autoSpaceDN w:val="0"/>
        <w:adjustRightInd w:val="0"/>
        <w:spacing w:after="0" w:line="276" w:lineRule="auto"/>
        <w:ind w:firstLine="709"/>
        <w:jc w:val="both"/>
        <w:rPr>
          <w:rFonts w:cs="Times New Roman"/>
          <w:szCs w:val="24"/>
        </w:rPr>
      </w:pPr>
      <w:r>
        <w:rPr>
          <w:rFonts w:cs="Times New Roman"/>
          <w:szCs w:val="24"/>
        </w:rPr>
        <w:t xml:space="preserve">Valsts ieņēmumu dienesta pārstāvji kasācijas sūdzību neatzina. Vērsa uzmanību, ka Valsts ieņēmumu dienests nebija atzinis, ka darījumā ar SIA „KNDS” caurules patiesi būtu piegādātas. Attiecībā uz aizdevumu mātes sabiedrībai, kurš, pieteicējas ieskatā, būtu jākvalificē par pamatkapitāla samazināšanu, esot jāņem vērā, ka nauda tika aizdota jau </w:t>
      </w:r>
      <w:proofErr w:type="gramStart"/>
      <w:r>
        <w:rPr>
          <w:rFonts w:cs="Times New Roman"/>
          <w:szCs w:val="24"/>
        </w:rPr>
        <w:t>2006.gadā</w:t>
      </w:r>
      <w:proofErr w:type="gramEnd"/>
      <w:r>
        <w:rPr>
          <w:rFonts w:cs="Times New Roman"/>
          <w:szCs w:val="24"/>
        </w:rPr>
        <w:t>, bet tikai 2011.gadā notika pamatkapitāla samazināšana. Jēdziens „izšķiroša ietekme” būtu interpretējams neatbilstoši tā vispārīgajai nozīmei, kas arī ir ietverta likumā, turklāt neesot pamata uzskatīt, ka iz</w:t>
      </w:r>
      <w:r w:rsidR="00F12533">
        <w:rPr>
          <w:rFonts w:cs="Times New Roman"/>
          <w:szCs w:val="24"/>
        </w:rPr>
        <w:t>šķiroša ietekme vienmēr var būt</w:t>
      </w:r>
      <w:r>
        <w:rPr>
          <w:rFonts w:cs="Times New Roman"/>
          <w:szCs w:val="24"/>
        </w:rPr>
        <w:t xml:space="preserve"> tikai vienai personai. Vērsa uzmanību, ka būtu jāņem </w:t>
      </w:r>
      <w:r w:rsidR="00033047">
        <w:rPr>
          <w:rFonts w:cs="Times New Roman"/>
          <w:szCs w:val="24"/>
        </w:rPr>
        <w:t xml:space="preserve">vērā </w:t>
      </w:r>
      <w:r>
        <w:rPr>
          <w:rFonts w:cs="Times New Roman"/>
          <w:szCs w:val="24"/>
        </w:rPr>
        <w:t>atšķirīgie mērķi, kādi ir Koncernu likumam (mazākuma grupas, kreditoru un patērētāju aizsardzība) un likumam „Par uzņēmumu ienākuma nodokli”. Arī piemērojot Koncernu likumu, jāņem vērā, ka tajā ietvertais izšķirošas ietekmes skaidrojums ir atvērts.</w:t>
      </w:r>
    </w:p>
    <w:p w14:paraId="1F0201BE" w14:textId="11A2ECE8" w:rsidR="00B14A9A" w:rsidRPr="007274C5" w:rsidRDefault="00B14A9A" w:rsidP="007274C5">
      <w:pPr>
        <w:pStyle w:val="NoSpacing"/>
        <w:spacing w:line="276" w:lineRule="auto"/>
        <w:ind w:firstLine="709"/>
        <w:jc w:val="both"/>
        <w:rPr>
          <w:rFonts w:cs="Times New Roman"/>
          <w:szCs w:val="24"/>
        </w:rPr>
      </w:pPr>
    </w:p>
    <w:p w14:paraId="26EBFAD0" w14:textId="7C59A681" w:rsidR="00703DEB" w:rsidRPr="007274C5" w:rsidRDefault="00703DEB" w:rsidP="007274C5">
      <w:pPr>
        <w:spacing w:after="0" w:line="276" w:lineRule="auto"/>
        <w:jc w:val="center"/>
        <w:rPr>
          <w:rFonts w:eastAsia="Times New Roman" w:cs="Times New Roman"/>
          <w:b/>
          <w:szCs w:val="24"/>
          <w:lang w:eastAsia="lv-LV"/>
        </w:rPr>
      </w:pPr>
      <w:r w:rsidRPr="007274C5">
        <w:rPr>
          <w:rFonts w:eastAsia="Times New Roman" w:cs="Times New Roman"/>
          <w:b/>
          <w:szCs w:val="24"/>
          <w:lang w:eastAsia="lv-LV"/>
        </w:rPr>
        <w:t>Motīvu daļa</w:t>
      </w:r>
    </w:p>
    <w:p w14:paraId="70420CD6" w14:textId="77777777" w:rsidR="00C7620D" w:rsidRPr="007274C5" w:rsidRDefault="00C7620D" w:rsidP="007274C5">
      <w:pPr>
        <w:spacing w:after="0" w:line="276" w:lineRule="auto"/>
        <w:jc w:val="center"/>
        <w:rPr>
          <w:rFonts w:eastAsia="Times New Roman" w:cs="Times New Roman"/>
          <w:b/>
          <w:szCs w:val="24"/>
          <w:lang w:eastAsia="lv-LV"/>
        </w:rPr>
      </w:pPr>
    </w:p>
    <w:p w14:paraId="2E92CA54" w14:textId="5FC82553" w:rsidR="00CB2C28" w:rsidRPr="00CB2C28" w:rsidRDefault="00CB2C28" w:rsidP="00CB2C28">
      <w:pPr>
        <w:spacing w:after="0" w:line="276" w:lineRule="auto"/>
        <w:jc w:val="center"/>
        <w:rPr>
          <w:rFonts w:eastAsia="Times New Roman" w:cs="Times New Roman"/>
          <w:b/>
          <w:szCs w:val="24"/>
          <w:lang w:eastAsia="lv-LV"/>
        </w:rPr>
      </w:pPr>
      <w:r w:rsidRPr="00CB2C28">
        <w:rPr>
          <w:rFonts w:eastAsia="Times New Roman" w:cs="Times New Roman"/>
          <w:b/>
          <w:szCs w:val="24"/>
          <w:lang w:eastAsia="lv-LV"/>
        </w:rPr>
        <w:t>I</w:t>
      </w:r>
    </w:p>
    <w:p w14:paraId="5068CE88" w14:textId="77777777" w:rsidR="00CB2C28" w:rsidRDefault="00CB2C28" w:rsidP="0069292D">
      <w:pPr>
        <w:spacing w:after="0" w:line="276" w:lineRule="auto"/>
        <w:ind w:firstLine="720"/>
        <w:jc w:val="both"/>
        <w:rPr>
          <w:rFonts w:eastAsia="Times New Roman" w:cs="Times New Roman"/>
          <w:szCs w:val="24"/>
          <w:lang w:eastAsia="lv-LV"/>
        </w:rPr>
      </w:pPr>
    </w:p>
    <w:p w14:paraId="3CF4FC72" w14:textId="5B13142F" w:rsidR="00C90558" w:rsidRDefault="00B1369E" w:rsidP="0069292D">
      <w:pPr>
        <w:spacing w:after="0" w:line="276" w:lineRule="auto"/>
        <w:ind w:firstLine="720"/>
        <w:jc w:val="both"/>
        <w:rPr>
          <w:rFonts w:eastAsia="Times New Roman" w:cs="Times New Roman"/>
          <w:szCs w:val="24"/>
          <w:lang w:eastAsia="lv-LV"/>
        </w:rPr>
      </w:pPr>
      <w:r w:rsidRPr="007274C5">
        <w:rPr>
          <w:rFonts w:eastAsia="Times New Roman" w:cs="Times New Roman"/>
          <w:szCs w:val="24"/>
          <w:lang w:eastAsia="lv-LV"/>
        </w:rPr>
        <w:t>[</w:t>
      </w:r>
      <w:r w:rsidR="00033047">
        <w:rPr>
          <w:rFonts w:eastAsia="Times New Roman" w:cs="Times New Roman"/>
          <w:szCs w:val="24"/>
          <w:lang w:eastAsia="lv-LV"/>
        </w:rPr>
        <w:t>7</w:t>
      </w:r>
      <w:r w:rsidRPr="007274C5">
        <w:rPr>
          <w:rFonts w:eastAsia="Times New Roman" w:cs="Times New Roman"/>
          <w:szCs w:val="24"/>
          <w:lang w:eastAsia="lv-LV"/>
        </w:rPr>
        <w:t>]</w:t>
      </w:r>
      <w:r w:rsidR="00B379AC" w:rsidRPr="007274C5">
        <w:rPr>
          <w:rFonts w:eastAsia="Times New Roman" w:cs="Times New Roman"/>
          <w:szCs w:val="24"/>
          <w:lang w:eastAsia="lv-LV"/>
        </w:rPr>
        <w:t xml:space="preserve"> </w:t>
      </w:r>
      <w:r w:rsidR="00CB2C28">
        <w:rPr>
          <w:rFonts w:eastAsia="Times New Roman" w:cs="Times New Roman"/>
          <w:szCs w:val="24"/>
          <w:lang w:eastAsia="lv-LV"/>
        </w:rPr>
        <w:t xml:space="preserve">Apgabaltiesa pareizi interpretējusi tiesību normu, kas noteic tiesības atskaitīt priekšnodokli – likuma „Par pievienotās vērtības nodokli” </w:t>
      </w:r>
      <w:proofErr w:type="gramStart"/>
      <w:r w:rsidR="00CB2C28">
        <w:rPr>
          <w:rFonts w:eastAsia="Times New Roman" w:cs="Times New Roman"/>
          <w:szCs w:val="24"/>
          <w:lang w:eastAsia="lv-LV"/>
        </w:rPr>
        <w:t>10.panta</w:t>
      </w:r>
      <w:proofErr w:type="gramEnd"/>
      <w:r w:rsidR="00CB2C28">
        <w:rPr>
          <w:rFonts w:eastAsia="Times New Roman" w:cs="Times New Roman"/>
          <w:szCs w:val="24"/>
          <w:lang w:eastAsia="lv-LV"/>
        </w:rPr>
        <w:t xml:space="preserve"> pirmās daļas 1.punktu. Lai arī pieteicēja norāda, ka norma interpretēta nepareizi, kasācijas sūdzības argume</w:t>
      </w:r>
      <w:r w:rsidR="00162D79">
        <w:rPr>
          <w:rFonts w:eastAsia="Times New Roman" w:cs="Times New Roman"/>
          <w:szCs w:val="24"/>
          <w:lang w:eastAsia="lv-LV"/>
        </w:rPr>
        <w:t>nti būtībā neuzrāda interpretācijas kļūdas</w:t>
      </w:r>
      <w:r w:rsidR="00CB2C28">
        <w:rPr>
          <w:rFonts w:eastAsia="Times New Roman" w:cs="Times New Roman"/>
          <w:szCs w:val="24"/>
          <w:lang w:eastAsia="lv-LV"/>
        </w:rPr>
        <w:t>.</w:t>
      </w:r>
    </w:p>
    <w:p w14:paraId="737FBB2C" w14:textId="77777777" w:rsidR="00CB2C28" w:rsidRDefault="00CB2C28" w:rsidP="0069292D">
      <w:pPr>
        <w:spacing w:after="0" w:line="276" w:lineRule="auto"/>
        <w:ind w:firstLine="720"/>
        <w:jc w:val="both"/>
        <w:rPr>
          <w:rFonts w:eastAsia="Times New Roman" w:cs="Times New Roman"/>
          <w:szCs w:val="24"/>
          <w:lang w:eastAsia="lv-LV"/>
        </w:rPr>
      </w:pPr>
    </w:p>
    <w:p w14:paraId="063C83BE" w14:textId="6925C8FF" w:rsidR="00CB2C28" w:rsidRDefault="00CB2C28" w:rsidP="0069292D">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33047">
        <w:rPr>
          <w:rFonts w:eastAsia="Times New Roman" w:cs="Times New Roman"/>
          <w:szCs w:val="24"/>
          <w:lang w:eastAsia="lv-LV"/>
        </w:rPr>
        <w:t>8</w:t>
      </w:r>
      <w:r>
        <w:rPr>
          <w:rFonts w:eastAsia="Times New Roman" w:cs="Times New Roman"/>
          <w:szCs w:val="24"/>
          <w:lang w:eastAsia="lv-LV"/>
        </w:rPr>
        <w:t>] Pieteicējas ieskatā, apgabaltiesa nav ievērojusi administratīvā akta pamatojumu, bet liegumu atskaitīt priekšnodokli pamatojusi ar citiem apstākļiem, proti, ka darījums nav vispār faktiski noticis, nevis ka tas nav noticis ar attiecīgo darījumu partneri.</w:t>
      </w:r>
    </w:p>
    <w:p w14:paraId="07789E9E" w14:textId="5ACC08BA" w:rsidR="00CB2C28" w:rsidRDefault="00CB2C28" w:rsidP="0069292D">
      <w:pPr>
        <w:spacing w:after="0" w:line="276" w:lineRule="auto"/>
        <w:ind w:firstLine="720"/>
        <w:jc w:val="both"/>
        <w:rPr>
          <w:rFonts w:eastAsia="Times New Roman" w:cs="Times New Roman"/>
          <w:szCs w:val="24"/>
          <w:lang w:eastAsia="lv-LV"/>
        </w:rPr>
      </w:pPr>
      <w:r>
        <w:rPr>
          <w:rFonts w:eastAsia="Times New Roman" w:cs="Times New Roman"/>
          <w:szCs w:val="24"/>
          <w:lang w:eastAsia="lv-LV"/>
        </w:rPr>
        <w:t>Jāpiekrīt pieteicējai, ka tie ir divi atšķirīgi pamatojumi, kuru dēļ var tikt liegtas tiesības uz priekšnodokļa atskaitīšanu. Ja darījums nav vispār noticis, ir tikai noformēti fiktīvi dokumenti, tas ir pamats liegt tiesība</w:t>
      </w:r>
      <w:r w:rsidR="00162D79">
        <w:rPr>
          <w:rFonts w:eastAsia="Times New Roman" w:cs="Times New Roman"/>
          <w:szCs w:val="24"/>
          <w:lang w:eastAsia="lv-LV"/>
        </w:rPr>
        <w:t>s uz priekšnodokļa atskaitīšanu. Proti, tādā gadījumā</w:t>
      </w:r>
      <w:r>
        <w:rPr>
          <w:rFonts w:eastAsia="Times New Roman" w:cs="Times New Roman"/>
          <w:szCs w:val="24"/>
          <w:lang w:eastAsia="lv-LV"/>
        </w:rPr>
        <w:t xml:space="preserve"> </w:t>
      </w:r>
      <w:r w:rsidR="00162D79">
        <w:rPr>
          <w:rFonts w:eastAsia="Times New Roman" w:cs="Times New Roman"/>
          <w:szCs w:val="24"/>
          <w:lang w:eastAsia="lv-LV"/>
        </w:rPr>
        <w:t>var</w:t>
      </w:r>
      <w:r>
        <w:rPr>
          <w:rFonts w:eastAsia="Times New Roman" w:cs="Times New Roman"/>
          <w:szCs w:val="24"/>
          <w:lang w:eastAsia="lv-LV"/>
        </w:rPr>
        <w:t xml:space="preserve"> prezumēt, ka nodokļa maksātājs apzināti noformējis dokumentus par neesošu darījumu, lai ar šāda mākslīga darījuma palīdzību iegūtu tiesības uz priekšnodokļa atskaitī</w:t>
      </w:r>
      <w:r w:rsidR="00816C49">
        <w:rPr>
          <w:rFonts w:eastAsia="Times New Roman" w:cs="Times New Roman"/>
          <w:szCs w:val="24"/>
          <w:lang w:eastAsia="lv-LV"/>
        </w:rPr>
        <w:t xml:space="preserve">šanu par darījumu, kura nemaz nav. </w:t>
      </w:r>
    </w:p>
    <w:p w14:paraId="75071A91" w14:textId="23D1F967" w:rsidR="00816C49" w:rsidRDefault="00816C49" w:rsidP="00816C49">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Ja savukārt netiek apstrīdēta preču vai pakalpojumu iegāde, nav izslēdzams, ka pieteicējs nemaz nezināja, ka persona, kas tai piegādā preces vai sniedz pakalpojumus, dara to fiktīva darījumu partnera vārdā vai nepiegādā tiesiski iegūtas preces, vai preču piegāde ir daļa no ļaunprātīgas pievienotās vērtības nodokļa sistēmas izmantošanas shēmas, kurā kāda persona gūst labumu, nodokļu maksātājam par to nezinot, vai arī ir citi apstākļi, kas nav saistīti ar pieteicējas dalību ļaunprātīgā nodokļu sistēmas izmantošanā. Ja preču vai pakalpojumu iegāde netiek apstrīdēta, tiesai ir būtiski pārbaudīt, vai nodokļu maksātājs ir apzināti tādā nodokļu sistēmas </w:t>
      </w:r>
      <w:r w:rsidR="00162D79">
        <w:rPr>
          <w:rFonts w:eastAsia="Times New Roman" w:cs="Times New Roman"/>
          <w:szCs w:val="24"/>
          <w:lang w:eastAsia="lv-LV"/>
        </w:rPr>
        <w:t xml:space="preserve">ļaunprātīgā </w:t>
      </w:r>
      <w:r>
        <w:rPr>
          <w:rFonts w:eastAsia="Times New Roman" w:cs="Times New Roman"/>
          <w:szCs w:val="24"/>
          <w:lang w:eastAsia="lv-LV"/>
        </w:rPr>
        <w:t>izmantošanā iesaistījies. Šādā pārbaudē ir objektīvi jānovērtē darījuma patiesā būtība.</w:t>
      </w:r>
    </w:p>
    <w:p w14:paraId="6B33B9CC" w14:textId="77777777" w:rsidR="00816C49" w:rsidRDefault="00816C49" w:rsidP="00816C49">
      <w:pPr>
        <w:spacing w:after="0" w:line="276" w:lineRule="auto"/>
        <w:ind w:firstLine="720"/>
        <w:jc w:val="both"/>
        <w:rPr>
          <w:rFonts w:eastAsia="Times New Roman" w:cs="Times New Roman"/>
          <w:szCs w:val="24"/>
          <w:lang w:eastAsia="lv-LV"/>
        </w:rPr>
      </w:pPr>
    </w:p>
    <w:p w14:paraId="4EDC3282" w14:textId="3FC4EACF" w:rsidR="00816C49" w:rsidRDefault="00816C49" w:rsidP="00816C49">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33047">
        <w:rPr>
          <w:rFonts w:eastAsia="Times New Roman" w:cs="Times New Roman"/>
          <w:szCs w:val="24"/>
          <w:lang w:eastAsia="lv-LV"/>
        </w:rPr>
        <w:t>9</w:t>
      </w:r>
      <w:r>
        <w:rPr>
          <w:rFonts w:eastAsia="Times New Roman" w:cs="Times New Roman"/>
          <w:szCs w:val="24"/>
          <w:lang w:eastAsia="lv-LV"/>
        </w:rPr>
        <w:t xml:space="preserve">] Tā kā tiesai ir jāpārbauda darījuma patiesā būtība, nevar izslēgt situāciju, ka tiesa konstatē ne tikvien to, ka preces nav saņemtas no konkrētā darījumu partnera atbilstoši darījumu apliecinošiem dokumentiem, bet ka tās nav saņemtas vispār. Tā tas var notikt, ja objektīvs novērtējums noved pie tālākiem secinājumiem par </w:t>
      </w:r>
      <w:r w:rsidR="00162D79">
        <w:rPr>
          <w:rFonts w:eastAsia="Times New Roman" w:cs="Times New Roman"/>
          <w:szCs w:val="24"/>
          <w:lang w:eastAsia="lv-LV"/>
        </w:rPr>
        <w:t>dokumentu noformēšanas</w:t>
      </w:r>
      <w:r>
        <w:rPr>
          <w:rFonts w:eastAsia="Times New Roman" w:cs="Times New Roman"/>
          <w:szCs w:val="24"/>
          <w:lang w:eastAsia="lv-LV"/>
        </w:rPr>
        <w:t xml:space="preserve"> pilnībā fiktīvo raksturu. Šajā gadījumā </w:t>
      </w:r>
      <w:r w:rsidR="0034202C">
        <w:rPr>
          <w:rFonts w:eastAsia="Times New Roman" w:cs="Times New Roman"/>
          <w:szCs w:val="24"/>
          <w:lang w:eastAsia="lv-LV"/>
        </w:rPr>
        <w:t xml:space="preserve">tā tas arī ir: </w:t>
      </w:r>
      <w:r>
        <w:rPr>
          <w:rFonts w:eastAsia="Times New Roman" w:cs="Times New Roman"/>
          <w:szCs w:val="24"/>
          <w:lang w:eastAsia="lv-LV"/>
        </w:rPr>
        <w:t xml:space="preserve">tiesa ir konstatējusi apstākļus, kas rada pamatotas šaubas par </w:t>
      </w:r>
      <w:r w:rsidR="0034202C">
        <w:rPr>
          <w:rFonts w:eastAsia="Times New Roman" w:cs="Times New Roman"/>
          <w:szCs w:val="24"/>
          <w:lang w:eastAsia="lv-LV"/>
        </w:rPr>
        <w:t>cauruļu izcelsmi atbilstoši tam</w:t>
      </w:r>
      <w:r>
        <w:rPr>
          <w:rFonts w:eastAsia="Times New Roman" w:cs="Times New Roman"/>
          <w:szCs w:val="24"/>
          <w:lang w:eastAsia="lv-LV"/>
        </w:rPr>
        <w:t>, k</w:t>
      </w:r>
      <w:r w:rsidR="0034202C">
        <w:rPr>
          <w:rFonts w:eastAsia="Times New Roman" w:cs="Times New Roman"/>
          <w:szCs w:val="24"/>
          <w:lang w:eastAsia="lv-LV"/>
        </w:rPr>
        <w:t>ā</w:t>
      </w:r>
      <w:r>
        <w:rPr>
          <w:rFonts w:eastAsia="Times New Roman" w:cs="Times New Roman"/>
          <w:szCs w:val="24"/>
          <w:lang w:eastAsia="lv-LV"/>
        </w:rPr>
        <w:t xml:space="preserve"> t</w:t>
      </w:r>
      <w:r w:rsidR="0034202C">
        <w:rPr>
          <w:rFonts w:eastAsia="Times New Roman" w:cs="Times New Roman"/>
          <w:szCs w:val="24"/>
          <w:lang w:eastAsia="lv-LV"/>
        </w:rPr>
        <w:t>a</w:t>
      </w:r>
      <w:r>
        <w:rPr>
          <w:rFonts w:eastAsia="Times New Roman" w:cs="Times New Roman"/>
          <w:szCs w:val="24"/>
          <w:lang w:eastAsia="lv-LV"/>
        </w:rPr>
        <w:t>s</w:t>
      </w:r>
      <w:proofErr w:type="gramStart"/>
      <w:r>
        <w:rPr>
          <w:rFonts w:eastAsia="Times New Roman" w:cs="Times New Roman"/>
          <w:szCs w:val="24"/>
          <w:lang w:eastAsia="lv-LV"/>
        </w:rPr>
        <w:t xml:space="preserve"> norādīts iegādes dokumentos</w:t>
      </w:r>
      <w:proofErr w:type="gramEnd"/>
      <w:r>
        <w:rPr>
          <w:rFonts w:eastAsia="Times New Roman" w:cs="Times New Roman"/>
          <w:szCs w:val="24"/>
          <w:lang w:eastAsia="lv-LV"/>
        </w:rPr>
        <w:t xml:space="preserve">, </w:t>
      </w:r>
      <w:r w:rsidR="0034202C">
        <w:rPr>
          <w:rFonts w:eastAsia="Times New Roman" w:cs="Times New Roman"/>
          <w:szCs w:val="24"/>
          <w:lang w:eastAsia="lv-LV"/>
        </w:rPr>
        <w:t>kā arī cauruļu</w:t>
      </w:r>
      <w:r>
        <w:rPr>
          <w:rFonts w:eastAsia="Times New Roman" w:cs="Times New Roman"/>
          <w:szCs w:val="24"/>
          <w:lang w:eastAsia="lv-LV"/>
        </w:rPr>
        <w:t xml:space="preserve"> faktisku piegādi pieteicējai un izmantošanu tās darbībā.</w:t>
      </w:r>
    </w:p>
    <w:p w14:paraId="5E94D7C5" w14:textId="0ADCB379" w:rsidR="00816C49" w:rsidRDefault="00816C49" w:rsidP="00816C49">
      <w:pPr>
        <w:spacing w:after="0" w:line="276" w:lineRule="auto"/>
        <w:ind w:firstLine="720"/>
        <w:jc w:val="both"/>
        <w:rPr>
          <w:rFonts w:eastAsia="Times New Roman" w:cs="Times New Roman"/>
          <w:szCs w:val="24"/>
          <w:lang w:eastAsia="lv-LV"/>
        </w:rPr>
      </w:pPr>
      <w:r>
        <w:rPr>
          <w:rFonts w:eastAsia="Times New Roman" w:cs="Times New Roman"/>
          <w:szCs w:val="24"/>
          <w:lang w:eastAsia="lv-LV"/>
        </w:rPr>
        <w:t>Konkrētajā gadījumā tas tomēr nevar būt pamats atzīt,</w:t>
      </w:r>
      <w:r w:rsidR="0034202C">
        <w:rPr>
          <w:rFonts w:eastAsia="Times New Roman" w:cs="Times New Roman"/>
          <w:szCs w:val="24"/>
          <w:lang w:eastAsia="lv-LV"/>
        </w:rPr>
        <w:t xml:space="preserve"> ka apgabaltiesa ir mainījusi iestādes lēmuma pamatojumu (Administratīvā procesa likuma </w:t>
      </w:r>
      <w:r w:rsidR="00101AA6">
        <w:rPr>
          <w:rFonts w:eastAsia="Times New Roman" w:cs="Times New Roman"/>
          <w:szCs w:val="24"/>
          <w:lang w:eastAsia="lv-LV"/>
        </w:rPr>
        <w:t xml:space="preserve">103.panta pirmā daļa, </w:t>
      </w:r>
      <w:r w:rsidR="0034202C">
        <w:rPr>
          <w:rFonts w:eastAsia="Times New Roman" w:cs="Times New Roman"/>
          <w:szCs w:val="24"/>
          <w:lang w:eastAsia="lv-LV"/>
        </w:rPr>
        <w:t xml:space="preserve">250.panta otrā daļa). </w:t>
      </w:r>
      <w:r w:rsidR="00EB6555">
        <w:rPr>
          <w:rFonts w:eastAsia="Times New Roman" w:cs="Times New Roman"/>
          <w:szCs w:val="24"/>
          <w:lang w:eastAsia="lv-LV"/>
        </w:rPr>
        <w:t>Tiesas secinājumi būtībā nemaina, bet paplašinot apstiprina arī to, ko bija konstatējis Valsts ieņēmumu dienests – ka darījums par cauruļu iegādi nav noticis atbilstoši darījumu apliecinošos dokumentos norādītajam</w:t>
      </w:r>
      <w:r w:rsidR="00A728A1">
        <w:rPr>
          <w:rFonts w:eastAsia="Times New Roman" w:cs="Times New Roman"/>
          <w:szCs w:val="24"/>
          <w:lang w:eastAsia="lv-LV"/>
        </w:rPr>
        <w:t>.</w:t>
      </w:r>
    </w:p>
    <w:p w14:paraId="72D2C1FF" w14:textId="77777777" w:rsidR="00A728A1" w:rsidRDefault="00A728A1" w:rsidP="00816C49">
      <w:pPr>
        <w:spacing w:after="0" w:line="276" w:lineRule="auto"/>
        <w:ind w:firstLine="720"/>
        <w:jc w:val="both"/>
        <w:rPr>
          <w:rFonts w:eastAsia="Times New Roman" w:cs="Times New Roman"/>
          <w:szCs w:val="24"/>
          <w:lang w:eastAsia="lv-LV"/>
        </w:rPr>
      </w:pPr>
    </w:p>
    <w:p w14:paraId="608AE816" w14:textId="7C1EE91A" w:rsidR="00101AA6" w:rsidRDefault="00A728A1" w:rsidP="00101AA6">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33047">
        <w:rPr>
          <w:rFonts w:eastAsia="Times New Roman" w:cs="Times New Roman"/>
          <w:szCs w:val="24"/>
          <w:lang w:eastAsia="lv-LV"/>
        </w:rPr>
        <w:t>10</w:t>
      </w:r>
      <w:r>
        <w:rPr>
          <w:rFonts w:eastAsia="Times New Roman" w:cs="Times New Roman"/>
          <w:szCs w:val="24"/>
          <w:lang w:eastAsia="lv-LV"/>
        </w:rPr>
        <w:t xml:space="preserve">] </w:t>
      </w:r>
      <w:r w:rsidR="00101AA6">
        <w:rPr>
          <w:rFonts w:eastAsia="Times New Roman" w:cs="Times New Roman"/>
          <w:szCs w:val="24"/>
          <w:lang w:eastAsia="lv-LV"/>
        </w:rPr>
        <w:t xml:space="preserve">Pieteicēja iebilst, ka tiesa, atsaucoties uz pierādījumu neesību, vienlaikus nav veikusi objektīvo izmeklēšanu, iesakot </w:t>
      </w:r>
      <w:r w:rsidR="00162D79">
        <w:rPr>
          <w:rFonts w:eastAsia="Times New Roman" w:cs="Times New Roman"/>
          <w:szCs w:val="24"/>
          <w:lang w:eastAsia="lv-LV"/>
        </w:rPr>
        <w:t xml:space="preserve">konkrētu </w:t>
      </w:r>
      <w:r w:rsidR="00101AA6">
        <w:rPr>
          <w:rFonts w:eastAsia="Times New Roman" w:cs="Times New Roman"/>
          <w:szCs w:val="24"/>
          <w:lang w:eastAsia="lv-LV"/>
        </w:rPr>
        <w:t>pierādījumu iesniegšanu</w:t>
      </w:r>
      <w:r w:rsidR="00162D79">
        <w:rPr>
          <w:rFonts w:eastAsia="Times New Roman" w:cs="Times New Roman"/>
          <w:szCs w:val="24"/>
          <w:lang w:eastAsia="lv-LV"/>
        </w:rPr>
        <w:t>.</w:t>
      </w:r>
    </w:p>
    <w:p w14:paraId="06B9B68D" w14:textId="2FDF581A" w:rsidR="00162D79" w:rsidRDefault="00101AA6" w:rsidP="00101AA6">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Pieteicēja ir uzrādījusi primāros darījuma apliecinājuma dokumentus (līgumi, avansa rēķins, samaksu apliecinošs dokuments). </w:t>
      </w:r>
      <w:r w:rsidR="00C65C7E">
        <w:rPr>
          <w:rFonts w:eastAsia="Times New Roman" w:cs="Times New Roman"/>
          <w:szCs w:val="24"/>
          <w:lang w:eastAsia="lv-LV"/>
        </w:rPr>
        <w:t xml:space="preserve">Ja atbilstoši </w:t>
      </w:r>
      <w:r>
        <w:rPr>
          <w:rFonts w:eastAsia="Times New Roman" w:cs="Times New Roman"/>
          <w:szCs w:val="24"/>
          <w:lang w:eastAsia="lv-LV"/>
        </w:rPr>
        <w:t>Valsts ieņēmumu dienest</w:t>
      </w:r>
      <w:r w:rsidR="00C65C7E">
        <w:rPr>
          <w:rFonts w:eastAsia="Times New Roman" w:cs="Times New Roman"/>
          <w:szCs w:val="24"/>
          <w:lang w:eastAsia="lv-LV"/>
        </w:rPr>
        <w:t>ā un tiesā iegūtiem citiem</w:t>
      </w:r>
      <w:r>
        <w:rPr>
          <w:rFonts w:eastAsia="Times New Roman" w:cs="Times New Roman"/>
          <w:szCs w:val="24"/>
          <w:lang w:eastAsia="lv-LV"/>
        </w:rPr>
        <w:t xml:space="preserve"> </w:t>
      </w:r>
      <w:r w:rsidR="00C65C7E">
        <w:rPr>
          <w:rFonts w:eastAsia="Times New Roman" w:cs="Times New Roman"/>
          <w:szCs w:val="24"/>
          <w:lang w:eastAsia="lv-LV"/>
        </w:rPr>
        <w:t xml:space="preserve">pierādījumiem </w:t>
      </w:r>
      <w:r>
        <w:rPr>
          <w:rFonts w:eastAsia="Times New Roman" w:cs="Times New Roman"/>
          <w:szCs w:val="24"/>
          <w:lang w:eastAsia="lv-LV"/>
        </w:rPr>
        <w:t xml:space="preserve">ir </w:t>
      </w:r>
      <w:r w:rsidR="00C65C7E">
        <w:rPr>
          <w:rFonts w:eastAsia="Times New Roman" w:cs="Times New Roman"/>
          <w:szCs w:val="24"/>
          <w:lang w:eastAsia="lv-LV"/>
        </w:rPr>
        <w:t xml:space="preserve">pietiekams </w:t>
      </w:r>
      <w:r w:rsidR="00F12533">
        <w:rPr>
          <w:rFonts w:eastAsia="Times New Roman" w:cs="Times New Roman"/>
          <w:szCs w:val="24"/>
          <w:lang w:eastAsia="lv-LV"/>
        </w:rPr>
        <w:t>pamat</w:t>
      </w:r>
      <w:r>
        <w:rPr>
          <w:rFonts w:eastAsia="Times New Roman" w:cs="Times New Roman"/>
          <w:szCs w:val="24"/>
          <w:lang w:eastAsia="lv-LV"/>
        </w:rPr>
        <w:t>s šaub</w:t>
      </w:r>
      <w:r w:rsidR="00C65C7E">
        <w:rPr>
          <w:rFonts w:eastAsia="Times New Roman" w:cs="Times New Roman"/>
          <w:szCs w:val="24"/>
          <w:lang w:eastAsia="lv-LV"/>
        </w:rPr>
        <w:t>īties</w:t>
      </w:r>
      <w:r>
        <w:rPr>
          <w:rFonts w:eastAsia="Times New Roman" w:cs="Times New Roman"/>
          <w:szCs w:val="24"/>
          <w:lang w:eastAsia="lv-LV"/>
        </w:rPr>
        <w:t xml:space="preserve"> par šo darījumu esību vispār vai par atbilstību dokumentos norādītajam, vai </w:t>
      </w:r>
      <w:r w:rsidR="00C65C7E">
        <w:rPr>
          <w:rFonts w:eastAsia="Times New Roman" w:cs="Times New Roman"/>
          <w:szCs w:val="24"/>
          <w:lang w:eastAsia="lv-LV"/>
        </w:rPr>
        <w:t xml:space="preserve">ir pamats uzskatīt, ka darījums ir </w:t>
      </w:r>
      <w:r>
        <w:rPr>
          <w:rFonts w:eastAsia="Times New Roman" w:cs="Times New Roman"/>
          <w:szCs w:val="24"/>
          <w:lang w:eastAsia="lv-LV"/>
        </w:rPr>
        <w:t>saistī</w:t>
      </w:r>
      <w:r w:rsidR="00C65C7E">
        <w:rPr>
          <w:rFonts w:eastAsia="Times New Roman" w:cs="Times New Roman"/>
          <w:szCs w:val="24"/>
          <w:lang w:eastAsia="lv-LV"/>
        </w:rPr>
        <w:t>ts</w:t>
      </w:r>
      <w:r>
        <w:rPr>
          <w:rFonts w:eastAsia="Times New Roman" w:cs="Times New Roman"/>
          <w:szCs w:val="24"/>
          <w:lang w:eastAsia="lv-LV"/>
        </w:rPr>
        <w:t xml:space="preserve"> ar krāpniecību</w:t>
      </w:r>
      <w:r w:rsidR="00C65C7E">
        <w:rPr>
          <w:rFonts w:eastAsia="Times New Roman" w:cs="Times New Roman"/>
          <w:szCs w:val="24"/>
          <w:lang w:eastAsia="lv-LV"/>
        </w:rPr>
        <w:t xml:space="preserve">, </w:t>
      </w:r>
      <w:r>
        <w:rPr>
          <w:rFonts w:eastAsia="Times New Roman" w:cs="Times New Roman"/>
          <w:szCs w:val="24"/>
          <w:lang w:eastAsia="lv-LV"/>
        </w:rPr>
        <w:t xml:space="preserve">nodokļu maksātājam tālāk ir pamats censties šīs šaubas novērst </w:t>
      </w:r>
      <w:proofErr w:type="gramStart"/>
      <w:r>
        <w:rPr>
          <w:rFonts w:eastAsia="Times New Roman" w:cs="Times New Roman"/>
          <w:szCs w:val="24"/>
          <w:lang w:eastAsia="lv-LV"/>
        </w:rPr>
        <w:t>(</w:t>
      </w:r>
      <w:proofErr w:type="gramEnd"/>
      <w:r>
        <w:rPr>
          <w:rFonts w:eastAsia="Times New Roman" w:cs="Times New Roman"/>
          <w:szCs w:val="24"/>
          <w:lang w:eastAsia="lv-LV"/>
        </w:rPr>
        <w:t>likuma „Par nodokļiem un nodevām” 38.pants, kā arī parastā pierādījumu nastas sadale, kad katram jāpierāda savi iebildumi – Administratīvā procesa likuma 149.pants).</w:t>
      </w:r>
      <w:r w:rsidR="00162D79">
        <w:rPr>
          <w:rFonts w:eastAsia="Times New Roman" w:cs="Times New Roman"/>
          <w:szCs w:val="24"/>
          <w:lang w:eastAsia="lv-LV"/>
        </w:rPr>
        <w:t xml:space="preserve"> </w:t>
      </w:r>
    </w:p>
    <w:p w14:paraId="27AD5EFF" w14:textId="181FA2BC" w:rsidR="00162D79" w:rsidRDefault="00162D79" w:rsidP="00101AA6">
      <w:pPr>
        <w:spacing w:after="0" w:line="276" w:lineRule="auto"/>
        <w:ind w:firstLine="720"/>
        <w:jc w:val="both"/>
        <w:rPr>
          <w:rFonts w:eastAsia="Times New Roman" w:cs="Times New Roman"/>
          <w:szCs w:val="24"/>
          <w:lang w:eastAsia="lv-LV"/>
        </w:rPr>
      </w:pPr>
      <w:r w:rsidRPr="00162D79">
        <w:rPr>
          <w:rFonts w:eastAsia="Times New Roman" w:cs="Times New Roman"/>
          <w:szCs w:val="24"/>
          <w:lang w:eastAsia="lv-LV"/>
        </w:rPr>
        <w:t>Pieteicējai jau administratīvajā procesā iestādē bija skaidrs, ka pastāv šaubas par darījuma atbilstību rēķinos norādītajiem apstākļiem. Šādos apstākļos, kā jau norādīts, tieši pieteicējai ir pienākums savu iebildumu pamatošanai iesniegt papildu pierādījumus. Turklāt pierādījumi, kas apstiprina darījuma faktisko norisi, vispirms ir tieši pieteicējas rīcībā, jo īpaši tie ir pierādījumi par darījuma sagatavošanu, preces atvešanu. Tiesas izmeklēšanas priekšmets bija pietiekami saprotams, arī pirmās instances tiesas veiktā izmeklēšana pietiekami skaidri uzrādīja strīdīgos un īpašu vērību pelnījušos apstākļus. Šādā situācijā pieteicējas arguments par nepietiekamu tiesas objektīvo izmeklēšanu, nedodot pieteicējai norādes un ieteikumus, kādi pierādījumi iesniedzami, ir nepamatots.</w:t>
      </w:r>
    </w:p>
    <w:p w14:paraId="27F26D61" w14:textId="283D4710" w:rsidR="00101AA6" w:rsidRDefault="00101AA6" w:rsidP="00101AA6">
      <w:pPr>
        <w:spacing w:after="0" w:line="276" w:lineRule="auto"/>
        <w:ind w:firstLine="720"/>
        <w:jc w:val="both"/>
        <w:rPr>
          <w:rFonts w:eastAsia="Times New Roman" w:cs="Times New Roman"/>
          <w:szCs w:val="24"/>
          <w:lang w:eastAsia="lv-LV"/>
        </w:rPr>
      </w:pPr>
    </w:p>
    <w:p w14:paraId="521EDAC1" w14:textId="10AEC025" w:rsidR="00A728A1" w:rsidRDefault="0059703A" w:rsidP="00101AA6">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1</w:t>
      </w:r>
      <w:r w:rsidR="00033047">
        <w:rPr>
          <w:rFonts w:eastAsia="Times New Roman" w:cs="Times New Roman"/>
          <w:szCs w:val="24"/>
          <w:lang w:eastAsia="lv-LV"/>
        </w:rPr>
        <w:t>1</w:t>
      </w:r>
      <w:r>
        <w:rPr>
          <w:rFonts w:eastAsia="Times New Roman" w:cs="Times New Roman"/>
          <w:szCs w:val="24"/>
          <w:lang w:eastAsia="lv-LV"/>
        </w:rPr>
        <w:t xml:space="preserve">] </w:t>
      </w:r>
      <w:r w:rsidR="00101AA6">
        <w:rPr>
          <w:rFonts w:eastAsia="Times New Roman" w:cs="Times New Roman"/>
          <w:szCs w:val="24"/>
          <w:lang w:eastAsia="lv-LV"/>
        </w:rPr>
        <w:t>Izskatot strīdu, tiesai ir pierādījumu pārbaudes rezultātā jāizšķiras, kura procesa dalībnieka apgalvotie fakti ir nodibināti.</w:t>
      </w:r>
      <w:r w:rsidR="00C65C7E">
        <w:rPr>
          <w:rFonts w:eastAsia="Times New Roman" w:cs="Times New Roman"/>
          <w:szCs w:val="24"/>
          <w:lang w:eastAsia="lv-LV"/>
        </w:rPr>
        <w:t xml:space="preserve"> Tiesa, kas izskata lietu pēc būtības un novērtē pierādījumus, ir brīva pierādījumu novērtēšanā, ievērojot Administratīvā procesa likuma </w:t>
      </w:r>
      <w:proofErr w:type="gramStart"/>
      <w:r w:rsidR="00C65C7E">
        <w:rPr>
          <w:rFonts w:eastAsia="Times New Roman" w:cs="Times New Roman"/>
          <w:szCs w:val="24"/>
          <w:lang w:eastAsia="lv-LV"/>
        </w:rPr>
        <w:t>154.panta</w:t>
      </w:r>
      <w:proofErr w:type="gramEnd"/>
      <w:r w:rsidR="00C65C7E">
        <w:rPr>
          <w:rFonts w:eastAsia="Times New Roman" w:cs="Times New Roman"/>
          <w:szCs w:val="24"/>
          <w:lang w:eastAsia="lv-LV"/>
        </w:rPr>
        <w:t xml:space="preserve"> pirmās un trešās daļas noteikumus, proti, </w:t>
      </w:r>
      <w:r w:rsidR="00C65C7E">
        <w:t>t</w:t>
      </w:r>
      <w:r w:rsidR="00C65C7E" w:rsidRPr="006F11B5">
        <w:t xml:space="preserve">iesa novērtē pierādījumus pēc savas iekšējās pārliecības, kas pamatojas uz vispusīgi, pilnīgi un objektīvi pārbaudītiem pierādījumiem, kā arī vadoties no tiesiskās apziņas, kas balstīta uz loģikas likumiem, zinātnes </w:t>
      </w:r>
      <w:r w:rsidR="00C65C7E">
        <w:t xml:space="preserve">atziņām un taisnības principiem; </w:t>
      </w:r>
      <w:r w:rsidR="00C65C7E">
        <w:rPr>
          <w:rFonts w:eastAsia="Times New Roman" w:cs="Times New Roman"/>
          <w:szCs w:val="24"/>
          <w:lang w:eastAsia="lv-LV"/>
        </w:rPr>
        <w:t>t</w:t>
      </w:r>
      <w:r w:rsidR="00C65C7E" w:rsidRPr="006F11B5">
        <w:rPr>
          <w:rFonts w:eastAsia="Times New Roman" w:cs="Times New Roman"/>
          <w:szCs w:val="24"/>
          <w:lang w:eastAsia="lv-LV"/>
        </w:rPr>
        <w:t xml:space="preserve">iesa spriedumā norāda, kādēļ tā vienam pierādījumam devusi priekšroku salīdzinājumā ar citu pierādījumu un atzinusi vienu faktu par pierādītu, bet citu </w:t>
      </w:r>
      <w:r w:rsidR="00162D79">
        <w:rPr>
          <w:rFonts w:eastAsia="Times New Roman" w:cs="Times New Roman"/>
          <w:szCs w:val="24"/>
          <w:lang w:eastAsia="lv-LV"/>
        </w:rPr>
        <w:t>–</w:t>
      </w:r>
      <w:r w:rsidR="00C65C7E" w:rsidRPr="006F11B5">
        <w:rPr>
          <w:rFonts w:eastAsia="Times New Roman" w:cs="Times New Roman"/>
          <w:szCs w:val="24"/>
          <w:lang w:eastAsia="lv-LV"/>
        </w:rPr>
        <w:t xml:space="preserve"> par nepierādītu.</w:t>
      </w:r>
    </w:p>
    <w:p w14:paraId="3E1A965C" w14:textId="10AB7D8E" w:rsidR="00C65C7E" w:rsidRDefault="00C65C7E" w:rsidP="00101AA6">
      <w:pPr>
        <w:spacing w:after="0" w:line="276" w:lineRule="auto"/>
        <w:ind w:firstLine="720"/>
        <w:jc w:val="both"/>
        <w:rPr>
          <w:rFonts w:eastAsia="Times New Roman" w:cs="Times New Roman"/>
          <w:szCs w:val="24"/>
          <w:lang w:eastAsia="lv-LV"/>
        </w:rPr>
      </w:pPr>
      <w:r>
        <w:rPr>
          <w:rFonts w:eastAsia="Times New Roman" w:cs="Times New Roman"/>
          <w:szCs w:val="24"/>
          <w:lang w:eastAsia="lv-LV"/>
        </w:rPr>
        <w:t>Ievērojot, ka kasācijas instances tiesa nepārvērtē pierādījumus, bet pārbauda tiesību normu piemērošanu, nav pamata pārskatīt apgabaltiesas secinājumus, ciktāl nav objektīva pamata saskatīt kļūdas 154.panta pirmās daļas piemērošanā un ciktāl pierādījumu vērtēšanas atspoguļojums spriedumā atbilst 154.panta trešās daļas prasībām.</w:t>
      </w:r>
    </w:p>
    <w:p w14:paraId="024B4FD6" w14:textId="77777777" w:rsidR="00162D79" w:rsidRDefault="00C65C7E" w:rsidP="00101AA6">
      <w:pPr>
        <w:spacing w:after="0" w:line="276" w:lineRule="auto"/>
        <w:ind w:firstLine="720"/>
        <w:jc w:val="both"/>
        <w:rPr>
          <w:rFonts w:eastAsia="Times New Roman" w:cs="Times New Roman"/>
          <w:szCs w:val="24"/>
          <w:lang w:eastAsia="lv-LV"/>
        </w:rPr>
      </w:pPr>
      <w:r>
        <w:rPr>
          <w:rFonts w:eastAsia="Times New Roman" w:cs="Times New Roman"/>
          <w:szCs w:val="24"/>
          <w:lang w:eastAsia="lv-LV"/>
        </w:rPr>
        <w:t>Šajā lietā iegūto pierādījumu pārbaude atspoguļota pienācīgi, neatbilstība pierādījumu vērtēšanas principiem nav saskatāma.</w:t>
      </w:r>
      <w:r w:rsidR="006078B2">
        <w:rPr>
          <w:rFonts w:eastAsia="Times New Roman" w:cs="Times New Roman"/>
          <w:szCs w:val="24"/>
          <w:lang w:eastAsia="lv-LV"/>
        </w:rPr>
        <w:t xml:space="preserve"> </w:t>
      </w:r>
    </w:p>
    <w:p w14:paraId="2C749CAE" w14:textId="1E42645D" w:rsidR="00C65C7E" w:rsidRDefault="00162D79" w:rsidP="00101AA6">
      <w:pPr>
        <w:spacing w:after="0" w:line="276" w:lineRule="auto"/>
        <w:ind w:firstLine="720"/>
        <w:jc w:val="both"/>
        <w:rPr>
          <w:rFonts w:eastAsia="Times New Roman" w:cs="Times New Roman"/>
          <w:szCs w:val="24"/>
          <w:lang w:eastAsia="lv-LV"/>
        </w:rPr>
      </w:pPr>
      <w:r>
        <w:rPr>
          <w:rFonts w:eastAsia="Times New Roman" w:cs="Times New Roman"/>
          <w:szCs w:val="24"/>
          <w:lang w:eastAsia="lv-LV"/>
        </w:rPr>
        <w:t>Kasācijas instances tiesas</w:t>
      </w:r>
      <w:r w:rsidR="006078B2">
        <w:rPr>
          <w:rFonts w:eastAsia="Times New Roman" w:cs="Times New Roman"/>
          <w:szCs w:val="24"/>
          <w:lang w:eastAsia="lv-LV"/>
        </w:rPr>
        <w:t xml:space="preserve"> sēdē pieteicējas pārstāvis vērsa uzmanību, ka tiesas apskatītais apstāklis – nebija sagatavota vieta cauruļu novietošanai – nevar būt pamats secinājumam par cauruļu piegādes neesību, jo tas ir saistāms ar kļūdainu vietas sagatavošanas pienākuma ietveršanu līgumā. Tomēr jāņem vērā, ka apgabaltiesas spriedumā ir apskatīta virkne citu apstākļu, kas netieši liecina par cauruļu iegādes darījuma fiktīvo raksturu, un pieteicēja norādītā versija ir jāapsver visu citu apstākļu kontekstā. Apgabaltiesas spriedums kopumā uzrāda, ka apgabaltiesa ir vērtējusi pierādījumus kopsakarā, un kasācijas instances tiesas kompetencē nav izdarīt citus secinājumus par to, vai darījumi faktiski atbilda noformētajiem dokumentiem vai ne.</w:t>
      </w:r>
    </w:p>
    <w:p w14:paraId="70E69DF5" w14:textId="77777777" w:rsidR="00C65C7E" w:rsidRDefault="00C65C7E" w:rsidP="00101AA6">
      <w:pPr>
        <w:spacing w:after="0" w:line="276" w:lineRule="auto"/>
        <w:ind w:firstLine="720"/>
        <w:jc w:val="both"/>
        <w:rPr>
          <w:rFonts w:eastAsia="Times New Roman" w:cs="Times New Roman"/>
          <w:szCs w:val="24"/>
          <w:lang w:eastAsia="lv-LV"/>
        </w:rPr>
      </w:pPr>
    </w:p>
    <w:p w14:paraId="339F4CEF" w14:textId="06940588" w:rsidR="001B732F" w:rsidRDefault="00C65C7E"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33047">
        <w:rPr>
          <w:rFonts w:eastAsia="Times New Roman" w:cs="Times New Roman"/>
          <w:szCs w:val="24"/>
          <w:lang w:eastAsia="lv-LV"/>
        </w:rPr>
        <w:t>2</w:t>
      </w:r>
      <w:r>
        <w:rPr>
          <w:rFonts w:eastAsia="Times New Roman" w:cs="Times New Roman"/>
          <w:szCs w:val="24"/>
          <w:lang w:eastAsia="lv-LV"/>
        </w:rPr>
        <w:t xml:space="preserve">] </w:t>
      </w:r>
      <w:r w:rsidR="001B732F">
        <w:rPr>
          <w:rFonts w:eastAsia="Times New Roman" w:cs="Times New Roman"/>
          <w:szCs w:val="24"/>
          <w:lang w:eastAsia="lv-LV"/>
        </w:rPr>
        <w:t>Līdz ar to kasācijas sūdzības argumenti nav pamats apgabaltiesas sprieduma atcelšanai šajā daļā.</w:t>
      </w:r>
    </w:p>
    <w:p w14:paraId="03274A56" w14:textId="77777777" w:rsidR="00A22528" w:rsidRDefault="00A22528" w:rsidP="00A22528">
      <w:pPr>
        <w:spacing w:after="0" w:line="276" w:lineRule="auto"/>
        <w:jc w:val="both"/>
        <w:rPr>
          <w:rFonts w:eastAsia="Times New Roman" w:cs="Times New Roman"/>
          <w:szCs w:val="24"/>
          <w:lang w:eastAsia="lv-LV"/>
        </w:rPr>
      </w:pPr>
    </w:p>
    <w:p w14:paraId="155B68E9" w14:textId="6ED477CE" w:rsidR="00A22528" w:rsidRPr="00A22528" w:rsidRDefault="00A22528" w:rsidP="00A22528">
      <w:pPr>
        <w:spacing w:after="0" w:line="276" w:lineRule="auto"/>
        <w:jc w:val="center"/>
        <w:rPr>
          <w:rFonts w:eastAsia="Times New Roman" w:cs="Times New Roman"/>
          <w:b/>
          <w:szCs w:val="24"/>
          <w:lang w:eastAsia="lv-LV"/>
        </w:rPr>
      </w:pPr>
      <w:r w:rsidRPr="00A22528">
        <w:rPr>
          <w:rFonts w:eastAsia="Times New Roman" w:cs="Times New Roman"/>
          <w:b/>
          <w:szCs w:val="24"/>
          <w:lang w:eastAsia="lv-LV"/>
        </w:rPr>
        <w:t>II</w:t>
      </w:r>
    </w:p>
    <w:p w14:paraId="75855F04" w14:textId="77777777" w:rsidR="00A22528" w:rsidRDefault="00A22528" w:rsidP="00A22528">
      <w:pPr>
        <w:spacing w:after="0" w:line="276" w:lineRule="auto"/>
        <w:ind w:firstLine="720"/>
        <w:jc w:val="both"/>
        <w:rPr>
          <w:rFonts w:eastAsia="Times New Roman" w:cs="Times New Roman"/>
          <w:szCs w:val="24"/>
          <w:lang w:eastAsia="lv-LV"/>
        </w:rPr>
      </w:pPr>
    </w:p>
    <w:p w14:paraId="0DDE7670" w14:textId="0EFC5F48" w:rsidR="00A22528" w:rsidRDefault="00A22528"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33047">
        <w:rPr>
          <w:rFonts w:eastAsia="Times New Roman" w:cs="Times New Roman"/>
          <w:szCs w:val="24"/>
          <w:lang w:eastAsia="lv-LV"/>
        </w:rPr>
        <w:t>3</w:t>
      </w:r>
      <w:r>
        <w:rPr>
          <w:rFonts w:eastAsia="Times New Roman" w:cs="Times New Roman"/>
          <w:szCs w:val="24"/>
          <w:lang w:eastAsia="lv-LV"/>
        </w:rPr>
        <w:t>] Attiecībā uz valdes locekļiem izsniegto aizdevumu procentu ieskaitīšanu apliekamajā ienākumā secināms turpmāk minētais.</w:t>
      </w:r>
    </w:p>
    <w:p w14:paraId="106BFE31" w14:textId="77777777" w:rsidR="00A22528" w:rsidRDefault="00A22528" w:rsidP="00A22528">
      <w:pPr>
        <w:spacing w:after="0" w:line="276" w:lineRule="auto"/>
        <w:ind w:firstLine="720"/>
        <w:jc w:val="both"/>
        <w:rPr>
          <w:rFonts w:eastAsia="Times New Roman" w:cs="Times New Roman"/>
          <w:szCs w:val="24"/>
          <w:lang w:eastAsia="lv-LV"/>
        </w:rPr>
      </w:pPr>
    </w:p>
    <w:p w14:paraId="15B3002F" w14:textId="677C4D66" w:rsidR="003729AB" w:rsidRDefault="00A22528"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1</w:t>
      </w:r>
      <w:r w:rsidR="00033047">
        <w:rPr>
          <w:rFonts w:eastAsia="Times New Roman" w:cs="Times New Roman"/>
          <w:szCs w:val="24"/>
          <w:lang w:eastAsia="lv-LV"/>
        </w:rPr>
        <w:t>4</w:t>
      </w:r>
      <w:r>
        <w:rPr>
          <w:rFonts w:eastAsia="Times New Roman" w:cs="Times New Roman"/>
          <w:szCs w:val="24"/>
          <w:lang w:eastAsia="lv-LV"/>
        </w:rPr>
        <w:t xml:space="preserve">] </w:t>
      </w:r>
      <w:r w:rsidR="003729AB">
        <w:rPr>
          <w:rFonts w:eastAsia="Times New Roman" w:cs="Times New Roman"/>
          <w:szCs w:val="24"/>
          <w:lang w:eastAsia="lv-LV"/>
        </w:rPr>
        <w:t xml:space="preserve">Likuma „Par uzņēmumu ienākuma nodokli” </w:t>
      </w:r>
      <w:proofErr w:type="gramStart"/>
      <w:r w:rsidR="003729AB">
        <w:rPr>
          <w:rFonts w:eastAsia="Times New Roman" w:cs="Times New Roman"/>
          <w:szCs w:val="24"/>
          <w:lang w:eastAsia="lv-LV"/>
        </w:rPr>
        <w:t>12.panta</w:t>
      </w:r>
      <w:proofErr w:type="gramEnd"/>
      <w:r w:rsidR="003729AB">
        <w:rPr>
          <w:rFonts w:eastAsia="Times New Roman" w:cs="Times New Roman"/>
          <w:szCs w:val="24"/>
          <w:lang w:eastAsia="lv-LV"/>
        </w:rPr>
        <w:t xml:space="preserve"> otrās daļas 2.punkts </w:t>
      </w:r>
      <w:proofErr w:type="spellStart"/>
      <w:r w:rsidR="003729AB">
        <w:rPr>
          <w:rFonts w:eastAsia="Times New Roman" w:cs="Times New Roman"/>
          <w:szCs w:val="24"/>
          <w:lang w:eastAsia="lv-LV"/>
        </w:rPr>
        <w:t>citstarp</w:t>
      </w:r>
      <w:proofErr w:type="spellEnd"/>
      <w:r w:rsidR="003729AB">
        <w:rPr>
          <w:rFonts w:eastAsia="Times New Roman" w:cs="Times New Roman"/>
          <w:szCs w:val="24"/>
          <w:lang w:eastAsia="lv-LV"/>
        </w:rPr>
        <w:t xml:space="preserve"> paredz, ka, nosakot apliekamo ienākumu, peļņu palielina par summu, kuru veido preču (produkcijas, pakalpojumu) vērtību starpība (starpības daļa), ja šīs preces (produkcija, pakalpojumi) par cenām, kas ir zemākas par tirgus cenām, tiek pārdotas ar uzņēmumu saistītām personām.</w:t>
      </w:r>
    </w:p>
    <w:p w14:paraId="0BF7820E" w14:textId="43F2EE60" w:rsidR="003729AB" w:rsidRDefault="003729AB"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Ar uzņēmumu saistītas personas ir definētas likuma </w:t>
      </w:r>
      <w:proofErr w:type="gramStart"/>
      <w:r>
        <w:rPr>
          <w:rFonts w:eastAsia="Times New Roman" w:cs="Times New Roman"/>
          <w:szCs w:val="24"/>
          <w:lang w:eastAsia="lv-LV"/>
        </w:rPr>
        <w:t>1.panta</w:t>
      </w:r>
      <w:proofErr w:type="gramEnd"/>
      <w:r>
        <w:rPr>
          <w:rFonts w:eastAsia="Times New Roman" w:cs="Times New Roman"/>
          <w:szCs w:val="24"/>
          <w:lang w:eastAsia="lv-LV"/>
        </w:rPr>
        <w:t xml:space="preserve"> piektajā daļā: </w:t>
      </w:r>
      <w:r>
        <w:t>persona, kurai (fiziskās personas gadījumā – tās radiniekiem līdz trešajai pakāpei vai laulātajam, vai ar šo personu svainībā esošiem līdz otrajai pakāpei) pieder vairāk nekā 50 procenti no komercsabiedrības pamatkapitāla vai daļu vērtības vai kooperatīvās sabiedrības paju vērtības vai kurai (fiziskās personas gadījumā – tās radiniekiem līdz trešajai pakāpei vai laulātajam, vai ar šo personu svainībā esošiem līdz otrajai pakāpei) ar līgumu vai citādi ir nodrošināta izšķiroša ietekme komercsabiedrībā vai kooperatīvajā sabiedrībā.</w:t>
      </w:r>
    </w:p>
    <w:p w14:paraId="0EBBE6AA" w14:textId="3AC6A98E" w:rsidR="00A22528" w:rsidRDefault="00A22528"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Ir strīds, vai likuma „Par uzņēmumu ienākuma nodokli” </w:t>
      </w:r>
      <w:proofErr w:type="gramStart"/>
      <w:r>
        <w:rPr>
          <w:rFonts w:eastAsia="Times New Roman" w:cs="Times New Roman"/>
          <w:szCs w:val="24"/>
          <w:lang w:eastAsia="lv-LV"/>
        </w:rPr>
        <w:t>1.panta</w:t>
      </w:r>
      <w:proofErr w:type="gramEnd"/>
      <w:r>
        <w:rPr>
          <w:rFonts w:eastAsia="Times New Roman" w:cs="Times New Roman"/>
          <w:szCs w:val="24"/>
          <w:lang w:eastAsia="lv-LV"/>
        </w:rPr>
        <w:t xml:space="preserve"> piektā daļa ir interpretējama tādējādi, ka tā attiektos arī uz pieteicējas situāciju</w:t>
      </w:r>
      <w:r w:rsidR="00C33714">
        <w:rPr>
          <w:rFonts w:eastAsia="Times New Roman" w:cs="Times New Roman"/>
          <w:szCs w:val="24"/>
          <w:lang w:eastAsia="lv-LV"/>
        </w:rPr>
        <w:t xml:space="preserve"> (abi</w:t>
      </w:r>
      <w:r w:rsidR="00AC713A">
        <w:rPr>
          <w:rFonts w:eastAsia="Times New Roman" w:cs="Times New Roman"/>
          <w:szCs w:val="24"/>
          <w:lang w:eastAsia="lv-LV"/>
        </w:rPr>
        <w:t>em</w:t>
      </w:r>
      <w:r w:rsidR="00C33714">
        <w:rPr>
          <w:rFonts w:eastAsia="Times New Roman" w:cs="Times New Roman"/>
          <w:szCs w:val="24"/>
          <w:lang w:eastAsia="lv-LV"/>
        </w:rPr>
        <w:t xml:space="preserve"> tās valdes locekļiem pieder katram 50 procenti pamatkapitāla pieteicējas mātessabiedrībā, un arī mātessabiedrībā </w:t>
      </w:r>
      <w:r w:rsidR="00AC713A">
        <w:rPr>
          <w:rFonts w:eastAsia="Times New Roman" w:cs="Times New Roman"/>
          <w:szCs w:val="24"/>
          <w:lang w:eastAsia="lv-LV"/>
        </w:rPr>
        <w:t xml:space="preserve">viņi </w:t>
      </w:r>
      <w:r w:rsidR="00C33714">
        <w:rPr>
          <w:rFonts w:eastAsia="Times New Roman" w:cs="Times New Roman"/>
          <w:szCs w:val="24"/>
          <w:lang w:eastAsia="lv-LV"/>
        </w:rPr>
        <w:t>ir valdes locekļi)</w:t>
      </w:r>
      <w:r>
        <w:rPr>
          <w:rFonts w:eastAsia="Times New Roman" w:cs="Times New Roman"/>
          <w:szCs w:val="24"/>
          <w:lang w:eastAsia="lv-LV"/>
        </w:rPr>
        <w:t>. Tostarp, vai saistīto personu jēdziena interpretācijā sistēmiski ir ņemams vērā Koncernu likums.</w:t>
      </w:r>
    </w:p>
    <w:p w14:paraId="003483B6" w14:textId="77777777" w:rsidR="00A22528" w:rsidRDefault="00A22528" w:rsidP="00A22528">
      <w:pPr>
        <w:spacing w:after="0" w:line="276" w:lineRule="auto"/>
        <w:ind w:firstLine="720"/>
        <w:jc w:val="both"/>
        <w:rPr>
          <w:rFonts w:eastAsia="Times New Roman" w:cs="Times New Roman"/>
          <w:szCs w:val="24"/>
          <w:lang w:eastAsia="lv-LV"/>
        </w:rPr>
      </w:pPr>
    </w:p>
    <w:p w14:paraId="64676A99" w14:textId="0F993901" w:rsidR="00531ABC" w:rsidRDefault="00531ABC"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33047">
        <w:rPr>
          <w:rFonts w:eastAsia="Times New Roman" w:cs="Times New Roman"/>
          <w:szCs w:val="24"/>
          <w:lang w:eastAsia="lv-LV"/>
        </w:rPr>
        <w:t>5</w:t>
      </w:r>
      <w:r>
        <w:rPr>
          <w:rFonts w:eastAsia="Times New Roman" w:cs="Times New Roman"/>
          <w:szCs w:val="24"/>
          <w:lang w:eastAsia="lv-LV"/>
        </w:rPr>
        <w:t xml:space="preserve">] </w:t>
      </w:r>
      <w:bookmarkStart w:id="1" w:name="_Hlk518562938"/>
      <w:r>
        <w:rPr>
          <w:rFonts w:eastAsia="Times New Roman" w:cs="Times New Roman"/>
          <w:szCs w:val="24"/>
          <w:lang w:eastAsia="lv-LV"/>
        </w:rPr>
        <w:t xml:space="preserve">Augstākā tiesa </w:t>
      </w:r>
      <w:proofErr w:type="gramStart"/>
      <w:r>
        <w:rPr>
          <w:rFonts w:eastAsia="Times New Roman" w:cs="Times New Roman"/>
          <w:szCs w:val="24"/>
          <w:lang w:eastAsia="lv-LV"/>
        </w:rPr>
        <w:t>2014.gada</w:t>
      </w:r>
      <w:proofErr w:type="gramEnd"/>
      <w:r>
        <w:rPr>
          <w:rFonts w:eastAsia="Times New Roman" w:cs="Times New Roman"/>
          <w:szCs w:val="24"/>
          <w:lang w:eastAsia="lv-LV"/>
        </w:rPr>
        <w:t xml:space="preserve"> 12.marta spriedumā lietā Nr. SKA-80/2014 (A42994709) </w:t>
      </w:r>
      <w:bookmarkEnd w:id="1"/>
      <w:r>
        <w:rPr>
          <w:rFonts w:eastAsia="Times New Roman" w:cs="Times New Roman"/>
          <w:szCs w:val="24"/>
          <w:lang w:eastAsia="lv-LV"/>
        </w:rPr>
        <w:t>atzina: lai arī likumā „Par uzņēmumu i</w:t>
      </w:r>
      <w:r w:rsidR="00E7678B">
        <w:rPr>
          <w:rFonts w:eastAsia="Times New Roman" w:cs="Times New Roman"/>
          <w:szCs w:val="24"/>
          <w:lang w:eastAsia="lv-LV"/>
        </w:rPr>
        <w:t>enākuma nodokli” nav atsauces uz</w:t>
      </w:r>
      <w:r>
        <w:rPr>
          <w:rFonts w:eastAsia="Times New Roman" w:cs="Times New Roman"/>
          <w:szCs w:val="24"/>
          <w:lang w:eastAsia="lv-LV"/>
        </w:rPr>
        <w:t xml:space="preserve"> Koncerna likumu, termins „izšķiroša ietekme” ir tulkojams, ņemot vērā Koncernu likumā noteikto. To apstiprina arī citos likumos ietvertās normas, kurās termins „izšķiroš</w:t>
      </w:r>
      <w:r w:rsidR="006C12D7">
        <w:rPr>
          <w:rFonts w:eastAsia="Times New Roman" w:cs="Times New Roman"/>
          <w:szCs w:val="24"/>
          <w:lang w:eastAsia="lv-LV"/>
        </w:rPr>
        <w:t>a</w:t>
      </w:r>
      <w:r>
        <w:rPr>
          <w:rFonts w:eastAsia="Times New Roman" w:cs="Times New Roman"/>
          <w:szCs w:val="24"/>
          <w:lang w:eastAsia="lv-LV"/>
        </w:rPr>
        <w:t xml:space="preserve"> ietekme” tiek lietots atbilstoši Koncernu likuma izpratnei (likuma „Par nodokļiem un nodevām” </w:t>
      </w:r>
      <w:proofErr w:type="gramStart"/>
      <w:r>
        <w:rPr>
          <w:rFonts w:eastAsia="Times New Roman" w:cs="Times New Roman"/>
          <w:szCs w:val="24"/>
          <w:lang w:eastAsia="lv-LV"/>
        </w:rPr>
        <w:t>1.panta</w:t>
      </w:r>
      <w:proofErr w:type="gramEnd"/>
      <w:r>
        <w:rPr>
          <w:rFonts w:eastAsia="Times New Roman" w:cs="Times New Roman"/>
          <w:szCs w:val="24"/>
          <w:lang w:eastAsia="lv-LV"/>
        </w:rPr>
        <w:t xml:space="preserve"> 18.punkts (saistītas personas jēdzienā izšķiroša ietekme ir saistīta ar balsu vairākumu), Kredītiestāžu likuma 1.panta 12.punkts (kontroli pār komercsabiedrību saista ar izšķirošu ietekmi uz līdzdalības pamata, uz koncerna līguma pamata vai minētajām attiecībām analogu citu attiecību pamata) (</w:t>
      </w:r>
      <w:r w:rsidRPr="00531ABC">
        <w:rPr>
          <w:rFonts w:eastAsia="Times New Roman" w:cs="Times New Roman"/>
          <w:i/>
          <w:szCs w:val="24"/>
          <w:lang w:eastAsia="lv-LV"/>
        </w:rPr>
        <w:t>minētā sprieduma 10., 12.punkts</w:t>
      </w:r>
      <w:r>
        <w:rPr>
          <w:rFonts w:eastAsia="Times New Roman" w:cs="Times New Roman"/>
          <w:szCs w:val="24"/>
          <w:lang w:eastAsia="lv-LV"/>
        </w:rPr>
        <w:t>).</w:t>
      </w:r>
    </w:p>
    <w:p w14:paraId="6E46EAA8" w14:textId="77777777" w:rsidR="00531ABC" w:rsidRDefault="00531ABC" w:rsidP="00A22528">
      <w:pPr>
        <w:spacing w:after="0" w:line="276" w:lineRule="auto"/>
        <w:ind w:firstLine="720"/>
        <w:jc w:val="both"/>
        <w:rPr>
          <w:rFonts w:eastAsia="Times New Roman" w:cs="Times New Roman"/>
          <w:szCs w:val="24"/>
          <w:lang w:eastAsia="lv-LV"/>
        </w:rPr>
      </w:pPr>
    </w:p>
    <w:p w14:paraId="2520EFDD" w14:textId="281AF95F" w:rsidR="00531ABC" w:rsidRDefault="00531ABC"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33047">
        <w:rPr>
          <w:rFonts w:eastAsia="Times New Roman" w:cs="Times New Roman"/>
          <w:szCs w:val="24"/>
          <w:lang w:eastAsia="lv-LV"/>
        </w:rPr>
        <w:t>6</w:t>
      </w:r>
      <w:r>
        <w:rPr>
          <w:rFonts w:eastAsia="Times New Roman" w:cs="Times New Roman"/>
          <w:szCs w:val="24"/>
          <w:lang w:eastAsia="lv-LV"/>
        </w:rPr>
        <w:t xml:space="preserve">] Kā redzams, Augstākā tiesa minētajā lietā nesaskatīja principiālu atšķirību starp Koncernu likumā un citos likumos </w:t>
      </w:r>
      <w:r w:rsidR="008922F7">
        <w:rPr>
          <w:rFonts w:eastAsia="Times New Roman" w:cs="Times New Roman"/>
          <w:szCs w:val="24"/>
          <w:lang w:eastAsia="lv-LV"/>
        </w:rPr>
        <w:t xml:space="preserve">ietverto izšķirošas ietekmes tiešu vai netiešu skaidrojumu. Tādu nebūtu pamata saskatīt arī šajā gadījumā, jo, ievērojot izšķirošas ietekmes jēdziena vispārīgo nozīmi, ir jābūt konstatējamam, ka viena persona var pieņemt attiecībā uz </w:t>
      </w:r>
      <w:r w:rsidR="00455421">
        <w:rPr>
          <w:rFonts w:eastAsia="Times New Roman" w:cs="Times New Roman"/>
          <w:szCs w:val="24"/>
          <w:lang w:eastAsia="lv-LV"/>
        </w:rPr>
        <w:t>sabiedrību lēmumus</w:t>
      </w:r>
      <w:r w:rsidR="0059703A">
        <w:rPr>
          <w:rFonts w:eastAsia="Times New Roman" w:cs="Times New Roman"/>
          <w:szCs w:val="24"/>
          <w:lang w:eastAsia="lv-LV"/>
        </w:rPr>
        <w:t xml:space="preserve"> (kontrolēt)</w:t>
      </w:r>
      <w:r w:rsidR="008922F7">
        <w:rPr>
          <w:rFonts w:eastAsia="Times New Roman" w:cs="Times New Roman"/>
          <w:szCs w:val="24"/>
          <w:lang w:eastAsia="lv-LV"/>
        </w:rPr>
        <w:t>, un, neesot konkrētiem līgumiem par citu noregulējumu, tāda situācija ir konstatējama vispirms ar līdzdalību, no kuras savukārt parastā gadījumā tālāk izri</w:t>
      </w:r>
      <w:r w:rsidR="0059703A">
        <w:rPr>
          <w:rFonts w:eastAsia="Times New Roman" w:cs="Times New Roman"/>
          <w:szCs w:val="24"/>
          <w:lang w:eastAsia="lv-LV"/>
        </w:rPr>
        <w:t>et attiecīg</w:t>
      </w:r>
      <w:r w:rsidR="008922F7">
        <w:rPr>
          <w:rFonts w:eastAsia="Times New Roman" w:cs="Times New Roman"/>
          <w:szCs w:val="24"/>
          <w:lang w:eastAsia="lv-LV"/>
        </w:rPr>
        <w:t>as balsstiesības un iespēja iecelt un atcelt pārvaldes institūciju.</w:t>
      </w:r>
    </w:p>
    <w:p w14:paraId="58628D4F" w14:textId="6B781E9A" w:rsidR="008922F7" w:rsidRDefault="008922F7"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Arī apgabaltiesa, interpretācijā izmantojot Kredītiestāžu likuma </w:t>
      </w:r>
      <w:proofErr w:type="gramStart"/>
      <w:r>
        <w:rPr>
          <w:rFonts w:eastAsia="Times New Roman" w:cs="Times New Roman"/>
          <w:szCs w:val="24"/>
          <w:lang w:eastAsia="lv-LV"/>
        </w:rPr>
        <w:t>1.panta</w:t>
      </w:r>
      <w:proofErr w:type="gramEnd"/>
      <w:r>
        <w:rPr>
          <w:rFonts w:eastAsia="Times New Roman" w:cs="Times New Roman"/>
          <w:szCs w:val="24"/>
          <w:lang w:eastAsia="lv-LV"/>
        </w:rPr>
        <w:t xml:space="preserve"> 12.punktu un secinot, ka ar izšķirošu ietekmi ir saprotama spēja kontrolēt sabiedrības lēmumu pieņemšanu tās pārvaldes institūcijā attiecībā uz saimniecisko darījumu slēgšanu un to vērtību, būtībā nav šo vispārīgo izpratni grozījusi, proti, ir uzsvērusi spēju</w:t>
      </w:r>
      <w:r w:rsidR="00F508F3">
        <w:rPr>
          <w:rFonts w:eastAsia="Times New Roman" w:cs="Times New Roman"/>
          <w:szCs w:val="24"/>
          <w:lang w:eastAsia="lv-LV"/>
        </w:rPr>
        <w:t xml:space="preserve"> kontrolēt lēmumu pieņemšanu.</w:t>
      </w:r>
      <w:r w:rsidR="00455421">
        <w:rPr>
          <w:rFonts w:eastAsia="Times New Roman" w:cs="Times New Roman"/>
          <w:szCs w:val="24"/>
          <w:lang w:eastAsia="lv-LV"/>
        </w:rPr>
        <w:t xml:space="preserve"> Turklāt jebkurš skaidrojums jēdzienam „izšķiroša ietekme” nevar nonākt pretrunā ar tā tiešo vispārīgo izpratni – proti, ka konkrētajai personai ir iespēja izšķirt lēmumu pieņemšanu, jautājumu izlemšanu. Ievērojot komercsabiedrību darbības vispārīgos principus, parasti tas būs nodrošināts ar attiecīgu daļu pamatkapitālā.</w:t>
      </w:r>
    </w:p>
    <w:p w14:paraId="3149596F" w14:textId="3DD796F1" w:rsidR="00F508F3" w:rsidRDefault="00F508F3"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Vienlaikus gan jāatzīmē, ka, izmantojot Kredītiestāžu likuma </w:t>
      </w:r>
      <w:proofErr w:type="gramStart"/>
      <w:r>
        <w:rPr>
          <w:rFonts w:eastAsia="Times New Roman" w:cs="Times New Roman"/>
          <w:szCs w:val="24"/>
          <w:lang w:eastAsia="lv-LV"/>
        </w:rPr>
        <w:t>1.panta</w:t>
      </w:r>
      <w:proofErr w:type="gramEnd"/>
      <w:r>
        <w:rPr>
          <w:rFonts w:eastAsia="Times New Roman" w:cs="Times New Roman"/>
          <w:szCs w:val="24"/>
          <w:lang w:eastAsia="lv-LV"/>
        </w:rPr>
        <w:t xml:space="preserve"> 12.punktu, apgabaltiesa ir minētajā normā </w:t>
      </w:r>
      <w:r w:rsidRPr="00455421">
        <w:rPr>
          <w:rFonts w:eastAsia="Times New Roman" w:cs="Times New Roman"/>
          <w:i/>
          <w:szCs w:val="24"/>
          <w:lang w:eastAsia="lv-LV"/>
        </w:rPr>
        <w:t>skaidrojamo</w:t>
      </w:r>
      <w:r>
        <w:rPr>
          <w:rFonts w:eastAsia="Times New Roman" w:cs="Times New Roman"/>
          <w:szCs w:val="24"/>
          <w:lang w:eastAsia="lv-LV"/>
        </w:rPr>
        <w:t xml:space="preserve"> jēdzienu (kontrole) izmantojusi, lai izskaidrotu jēdzienu „izšķiroša ietekme”, kas normā ir izmantots kā </w:t>
      </w:r>
      <w:r w:rsidRPr="00455421">
        <w:rPr>
          <w:rFonts w:eastAsia="Times New Roman" w:cs="Times New Roman"/>
          <w:i/>
          <w:szCs w:val="24"/>
          <w:lang w:eastAsia="lv-LV"/>
        </w:rPr>
        <w:t>paskaidrošanas līdzeklis</w:t>
      </w:r>
      <w:r>
        <w:rPr>
          <w:rFonts w:eastAsia="Times New Roman" w:cs="Times New Roman"/>
          <w:szCs w:val="24"/>
          <w:lang w:eastAsia="lv-LV"/>
        </w:rPr>
        <w:t>, taču, ciktāl tas neattālinās no jēgas – raksturojuma, ka ir iespēja izšķiroši ietekmēt lēmumus, – skaidrojums nav nepareizs.</w:t>
      </w:r>
      <w:r w:rsidR="00CD6069">
        <w:rPr>
          <w:rFonts w:eastAsia="Times New Roman" w:cs="Times New Roman"/>
          <w:szCs w:val="24"/>
          <w:lang w:eastAsia="lv-LV"/>
        </w:rPr>
        <w:t xml:space="preserve"> Var piekrist Valsts ieņēmumu dienesta pārstāvja tiesas sēdē norādītajam, ka ir būtiski piemērot likuma „Par uzņēmumu ienākuma nodokli” 1.panta piektajā daļā ietverto jēdzienu „izšķiroša ietekme” pašu par sevi atbilstoši tā jēgai.</w:t>
      </w:r>
    </w:p>
    <w:p w14:paraId="2034645F" w14:textId="77777777" w:rsidR="00135319" w:rsidRDefault="00135319" w:rsidP="00A22528">
      <w:pPr>
        <w:spacing w:after="0" w:line="276" w:lineRule="auto"/>
        <w:ind w:firstLine="720"/>
        <w:jc w:val="both"/>
        <w:rPr>
          <w:rFonts w:eastAsia="Times New Roman" w:cs="Times New Roman"/>
          <w:szCs w:val="24"/>
          <w:lang w:eastAsia="lv-LV"/>
        </w:rPr>
      </w:pPr>
    </w:p>
    <w:p w14:paraId="723C67FA" w14:textId="31F28503" w:rsidR="00F87CC4" w:rsidRDefault="00135319" w:rsidP="00F87CC4">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33047">
        <w:rPr>
          <w:rFonts w:eastAsia="Times New Roman" w:cs="Times New Roman"/>
          <w:szCs w:val="24"/>
          <w:lang w:eastAsia="lv-LV"/>
        </w:rPr>
        <w:t>7</w:t>
      </w:r>
      <w:r>
        <w:rPr>
          <w:rFonts w:eastAsia="Times New Roman" w:cs="Times New Roman"/>
          <w:szCs w:val="24"/>
          <w:lang w:eastAsia="lv-LV"/>
        </w:rPr>
        <w:t xml:space="preserve">] </w:t>
      </w:r>
      <w:r w:rsidR="00455421">
        <w:rPr>
          <w:rFonts w:eastAsia="Times New Roman" w:cs="Times New Roman"/>
          <w:szCs w:val="24"/>
          <w:lang w:eastAsia="lv-LV"/>
        </w:rPr>
        <w:t>Apgabaltiesas spriedumā pēc juridiskās analīzes tālāk novērtēti konkrētā gadījuma apstākļi.</w:t>
      </w:r>
      <w:r w:rsidR="00CD6069">
        <w:rPr>
          <w:rFonts w:eastAsia="Times New Roman" w:cs="Times New Roman"/>
          <w:szCs w:val="24"/>
          <w:lang w:eastAsia="lv-LV"/>
        </w:rPr>
        <w:t xml:space="preserve"> </w:t>
      </w:r>
      <w:r w:rsidR="00500B21">
        <w:rPr>
          <w:rFonts w:eastAsia="Times New Roman" w:cs="Times New Roman"/>
          <w:szCs w:val="24"/>
          <w:lang w:eastAsia="lv-LV"/>
        </w:rPr>
        <w:t>T</w:t>
      </w:r>
      <w:r w:rsidR="00CD6069">
        <w:rPr>
          <w:rFonts w:eastAsia="Times New Roman" w:cs="Times New Roman"/>
          <w:szCs w:val="24"/>
          <w:lang w:eastAsia="lv-LV"/>
        </w:rPr>
        <w:t>iesa atzinusi, ka pieteicējas valdes locekļu statuss pieteicējā, kā arī dalība pieteicējas mātes sabiedrības kapitālā (katram 50 procentu) un arī mātes sabiedrība</w:t>
      </w:r>
      <w:r w:rsidR="005E66BA">
        <w:rPr>
          <w:rFonts w:eastAsia="Times New Roman" w:cs="Times New Roman"/>
          <w:szCs w:val="24"/>
          <w:lang w:eastAsia="lv-LV"/>
        </w:rPr>
        <w:t>s</w:t>
      </w:r>
      <w:r w:rsidR="00CD6069">
        <w:rPr>
          <w:rFonts w:eastAsia="Times New Roman" w:cs="Times New Roman"/>
          <w:szCs w:val="24"/>
          <w:lang w:eastAsia="lv-LV"/>
        </w:rPr>
        <w:t xml:space="preserve"> valdes locekļu statuss radīja tādu apstākļu kopumu, kas nodrošināja izšķirošu ietekmi pieteicējā un spēju īstenot kontroli (kopīgu) pār pieteicēju.</w:t>
      </w:r>
    </w:p>
    <w:p w14:paraId="6DFE5CF4" w14:textId="3FB9FBE1" w:rsidR="00CD6069" w:rsidRDefault="00CD6069" w:rsidP="00CD6069">
      <w:pPr>
        <w:spacing w:after="0" w:line="276" w:lineRule="auto"/>
        <w:ind w:firstLine="720"/>
        <w:jc w:val="both"/>
        <w:rPr>
          <w:rFonts w:eastAsia="Times New Roman" w:cs="Times New Roman"/>
          <w:szCs w:val="24"/>
          <w:lang w:eastAsia="lv-LV"/>
        </w:rPr>
      </w:pPr>
      <w:r>
        <w:rPr>
          <w:rFonts w:eastAsia="Times New Roman" w:cs="Times New Roman"/>
          <w:szCs w:val="24"/>
          <w:lang w:eastAsia="lv-LV"/>
        </w:rPr>
        <w:t>No minētā secināms, ka apgabaltiesa, lai arī pirms tam iedziļinājusies jautājumā par atsevišķas personas izšķirošas ietekmes pazīmēm, secinājumu izdarījusi, konstatējot divu personu kopīgi īstenotu kontroli.</w:t>
      </w:r>
      <w:r w:rsidR="0052346B">
        <w:rPr>
          <w:rFonts w:eastAsia="Times New Roman" w:cs="Times New Roman"/>
          <w:szCs w:val="24"/>
          <w:lang w:eastAsia="lv-LV"/>
        </w:rPr>
        <w:t xml:space="preserve"> Tādēj</w:t>
      </w:r>
      <w:r w:rsidR="00501425">
        <w:rPr>
          <w:rFonts w:eastAsia="Times New Roman" w:cs="Times New Roman"/>
          <w:szCs w:val="24"/>
          <w:lang w:eastAsia="lv-LV"/>
        </w:rPr>
        <w:t xml:space="preserve">ādi vērtējums balstās uz aspektu, kas iziet ārpus </w:t>
      </w:r>
      <w:r w:rsidR="0052346B">
        <w:rPr>
          <w:rFonts w:eastAsia="Times New Roman" w:cs="Times New Roman"/>
          <w:szCs w:val="24"/>
          <w:lang w:eastAsia="lv-LV"/>
        </w:rPr>
        <w:t>Koncernu likumā</w:t>
      </w:r>
      <w:r w:rsidR="00501425">
        <w:rPr>
          <w:rFonts w:eastAsia="Times New Roman" w:cs="Times New Roman"/>
          <w:szCs w:val="24"/>
          <w:lang w:eastAsia="lv-LV"/>
        </w:rPr>
        <w:t xml:space="preserve"> un</w:t>
      </w:r>
      <w:r w:rsidR="0052346B">
        <w:rPr>
          <w:rFonts w:eastAsia="Times New Roman" w:cs="Times New Roman"/>
          <w:szCs w:val="24"/>
          <w:lang w:eastAsia="lv-LV"/>
        </w:rPr>
        <w:t xml:space="preserve"> Kredītiestāžu likumā ietvertaj</w:t>
      </w:r>
      <w:r w:rsidR="00924960">
        <w:rPr>
          <w:rFonts w:eastAsia="Times New Roman" w:cs="Times New Roman"/>
          <w:szCs w:val="24"/>
          <w:lang w:eastAsia="lv-LV"/>
        </w:rPr>
        <w:t>am izšķirošas ietekmes jēdziena</w:t>
      </w:r>
      <w:r w:rsidR="00B535F9">
        <w:rPr>
          <w:rFonts w:eastAsia="Times New Roman" w:cs="Times New Roman"/>
          <w:szCs w:val="24"/>
          <w:lang w:eastAsia="lv-LV"/>
        </w:rPr>
        <w:t>m</w:t>
      </w:r>
      <w:r w:rsidR="0052346B">
        <w:rPr>
          <w:rFonts w:eastAsia="Times New Roman" w:cs="Times New Roman"/>
          <w:szCs w:val="24"/>
          <w:lang w:eastAsia="lv-LV"/>
        </w:rPr>
        <w:t xml:space="preserve">. </w:t>
      </w:r>
      <w:r w:rsidR="00501425">
        <w:rPr>
          <w:rFonts w:eastAsia="Times New Roman" w:cs="Times New Roman"/>
          <w:szCs w:val="24"/>
          <w:lang w:eastAsia="lv-LV"/>
        </w:rPr>
        <w:t>Jautājums par k</w:t>
      </w:r>
      <w:r w:rsidR="0052346B">
        <w:rPr>
          <w:rFonts w:eastAsia="Times New Roman" w:cs="Times New Roman"/>
          <w:szCs w:val="24"/>
          <w:lang w:eastAsia="lv-LV"/>
        </w:rPr>
        <w:t xml:space="preserve">opīgi </w:t>
      </w:r>
      <w:r w:rsidR="00501425">
        <w:rPr>
          <w:rFonts w:eastAsia="Times New Roman" w:cs="Times New Roman"/>
          <w:szCs w:val="24"/>
          <w:lang w:eastAsia="lv-LV"/>
        </w:rPr>
        <w:t xml:space="preserve">īstenotu kontroli prasa apsvērt, vai </w:t>
      </w:r>
      <w:r w:rsidR="0052346B">
        <w:rPr>
          <w:rFonts w:eastAsia="Times New Roman" w:cs="Times New Roman"/>
          <w:szCs w:val="24"/>
          <w:lang w:eastAsia="lv-LV"/>
        </w:rPr>
        <w:t>par izšķirošu ietekmi var runāt arī tad, ja katrai personai atsevišķi tā formāli nepiemīt ne pēc vienas definīcijas</w:t>
      </w:r>
      <w:r w:rsidR="00B65963">
        <w:rPr>
          <w:rFonts w:eastAsia="Times New Roman" w:cs="Times New Roman"/>
          <w:szCs w:val="24"/>
          <w:lang w:eastAsia="lv-LV"/>
        </w:rPr>
        <w:t xml:space="preserve"> un vai ir iespējams šo personu kontroles iespēju skatīt kopā</w:t>
      </w:r>
      <w:r w:rsidR="0052346B">
        <w:rPr>
          <w:rFonts w:eastAsia="Times New Roman" w:cs="Times New Roman"/>
          <w:szCs w:val="24"/>
          <w:lang w:eastAsia="lv-LV"/>
        </w:rPr>
        <w:t>.</w:t>
      </w:r>
    </w:p>
    <w:p w14:paraId="1853671A" w14:textId="340A9200" w:rsidR="00830902" w:rsidRDefault="00FD313C" w:rsidP="00CD6069">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Secinājums, ka pie divu personu vienādām iespējām ietekmēt lēmumu pieņemšanu tās </w:t>
      </w:r>
      <w:r w:rsidRPr="00830902">
        <w:rPr>
          <w:rFonts w:eastAsia="Times New Roman" w:cs="Times New Roman"/>
          <w:i/>
          <w:szCs w:val="24"/>
          <w:lang w:eastAsia="lv-LV"/>
        </w:rPr>
        <w:t>abas</w:t>
      </w:r>
      <w:r>
        <w:rPr>
          <w:rFonts w:eastAsia="Times New Roman" w:cs="Times New Roman"/>
          <w:szCs w:val="24"/>
          <w:lang w:eastAsia="lv-LV"/>
        </w:rPr>
        <w:t xml:space="preserve"> īsteno </w:t>
      </w:r>
      <w:r w:rsidRPr="00830902">
        <w:rPr>
          <w:rFonts w:eastAsia="Times New Roman" w:cs="Times New Roman"/>
          <w:i/>
          <w:szCs w:val="24"/>
          <w:lang w:eastAsia="lv-LV"/>
        </w:rPr>
        <w:t>kopīgu</w:t>
      </w:r>
      <w:r>
        <w:rPr>
          <w:rFonts w:eastAsia="Times New Roman" w:cs="Times New Roman"/>
          <w:szCs w:val="24"/>
          <w:lang w:eastAsia="lv-LV"/>
        </w:rPr>
        <w:t xml:space="preserve"> kontroli, nav pašsaprotams. Pretējā gadījumā likuma „Par uzņēmumu ienākum</w:t>
      </w:r>
      <w:r w:rsidR="00205C4C">
        <w:rPr>
          <w:rFonts w:eastAsia="Times New Roman" w:cs="Times New Roman"/>
          <w:szCs w:val="24"/>
          <w:lang w:eastAsia="lv-LV"/>
        </w:rPr>
        <w:t>a</w:t>
      </w:r>
      <w:r>
        <w:rPr>
          <w:rFonts w:eastAsia="Times New Roman" w:cs="Times New Roman"/>
          <w:szCs w:val="24"/>
          <w:lang w:eastAsia="lv-LV"/>
        </w:rPr>
        <w:t xml:space="preserve"> nodokli” </w:t>
      </w:r>
      <w:proofErr w:type="gramStart"/>
      <w:r>
        <w:rPr>
          <w:rFonts w:eastAsia="Times New Roman" w:cs="Times New Roman"/>
          <w:szCs w:val="24"/>
          <w:lang w:eastAsia="lv-LV"/>
        </w:rPr>
        <w:t>12.panta</w:t>
      </w:r>
      <w:proofErr w:type="gramEnd"/>
      <w:r>
        <w:rPr>
          <w:rFonts w:eastAsia="Times New Roman" w:cs="Times New Roman"/>
          <w:szCs w:val="24"/>
          <w:lang w:eastAsia="lv-LV"/>
        </w:rPr>
        <w:t xml:space="preserve"> otrās daļas 2.punkts būtu jāpiemēro attiecībā uz ikvienu gadījumu, kad divas vai vairāk personas vienlīdzīgi īsteno sabiedrības pārvaldību, arī tad, ja vienīgais veids, kā sabiedrībā vispār jebkad varētu tikt pieņemti lēmumi, ir tikai šo personu saskaņots lēmums. </w:t>
      </w:r>
      <w:r w:rsidR="00830902">
        <w:rPr>
          <w:rFonts w:eastAsia="Times New Roman" w:cs="Times New Roman"/>
          <w:szCs w:val="24"/>
          <w:lang w:eastAsia="lv-LV"/>
        </w:rPr>
        <w:t xml:space="preserve">Nav izslēdzams, ka divas personas ir izveidojušas vienlīdzīgu ietekmes īstenošanas mehānismu tieši tādēļ, lai nevienai </w:t>
      </w:r>
      <w:bookmarkStart w:id="2" w:name="_GoBack"/>
      <w:bookmarkEnd w:id="2"/>
      <w:r w:rsidR="00830902">
        <w:rPr>
          <w:rFonts w:eastAsia="Times New Roman" w:cs="Times New Roman"/>
          <w:szCs w:val="24"/>
          <w:lang w:eastAsia="lv-LV"/>
        </w:rPr>
        <w:t xml:space="preserve">nebūtu izšķirošas ietekmes. </w:t>
      </w:r>
    </w:p>
    <w:p w14:paraId="5D4FB393" w14:textId="77777777" w:rsidR="00FD313C" w:rsidRDefault="00FD313C" w:rsidP="00CD6069">
      <w:pPr>
        <w:spacing w:after="0" w:line="276" w:lineRule="auto"/>
        <w:ind w:firstLine="720"/>
        <w:jc w:val="both"/>
        <w:rPr>
          <w:rFonts w:eastAsia="Times New Roman" w:cs="Times New Roman"/>
          <w:szCs w:val="24"/>
          <w:lang w:eastAsia="lv-LV"/>
        </w:rPr>
      </w:pPr>
    </w:p>
    <w:p w14:paraId="55A90324" w14:textId="515A4448" w:rsidR="00FD313C" w:rsidRDefault="00FD313C" w:rsidP="00CD6069">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33047">
        <w:rPr>
          <w:rFonts w:eastAsia="Times New Roman" w:cs="Times New Roman"/>
          <w:szCs w:val="24"/>
          <w:lang w:eastAsia="lv-LV"/>
        </w:rPr>
        <w:t>8</w:t>
      </w:r>
      <w:r>
        <w:rPr>
          <w:rFonts w:eastAsia="Times New Roman" w:cs="Times New Roman"/>
          <w:szCs w:val="24"/>
          <w:lang w:eastAsia="lv-LV"/>
        </w:rPr>
        <w:t xml:space="preserve">] Vienlaikus nevar izslēgt situāciju, kad vienlīdzīgas ietekmes </w:t>
      </w:r>
      <w:r w:rsidR="0052346B">
        <w:rPr>
          <w:rFonts w:eastAsia="Times New Roman" w:cs="Times New Roman"/>
          <w:szCs w:val="24"/>
          <w:lang w:eastAsia="lv-LV"/>
        </w:rPr>
        <w:t>apstākļos</w:t>
      </w:r>
      <w:r>
        <w:rPr>
          <w:rFonts w:eastAsia="Times New Roman" w:cs="Times New Roman"/>
          <w:szCs w:val="24"/>
          <w:lang w:eastAsia="lv-LV"/>
        </w:rPr>
        <w:t xml:space="preserve"> </w:t>
      </w:r>
      <w:proofErr w:type="gramStart"/>
      <w:r>
        <w:rPr>
          <w:rFonts w:eastAsia="Times New Roman" w:cs="Times New Roman"/>
          <w:szCs w:val="24"/>
          <w:lang w:eastAsia="lv-LV"/>
        </w:rPr>
        <w:t>vairāk kā</w:t>
      </w:r>
      <w:proofErr w:type="gramEnd"/>
      <w:r>
        <w:rPr>
          <w:rFonts w:eastAsia="Times New Roman" w:cs="Times New Roman"/>
          <w:szCs w:val="24"/>
          <w:lang w:eastAsia="lv-LV"/>
        </w:rPr>
        <w:t xml:space="preserve"> viena persona apzināti īsteno kopīgu saimniecisku plānu ar kopīgu mērķi, un tieši šī apzinātā sadarbība ļauj uzskatīt, ka viena persona lēmumu pieņemšanā droši var rēķināties ar otru person</w:t>
      </w:r>
      <w:r w:rsidR="0052346B">
        <w:rPr>
          <w:rFonts w:eastAsia="Times New Roman" w:cs="Times New Roman"/>
          <w:szCs w:val="24"/>
          <w:lang w:eastAsia="lv-LV"/>
        </w:rPr>
        <w:t>u</w:t>
      </w:r>
      <w:r>
        <w:rPr>
          <w:rFonts w:eastAsia="Times New Roman" w:cs="Times New Roman"/>
          <w:szCs w:val="24"/>
          <w:lang w:eastAsia="lv-LV"/>
        </w:rPr>
        <w:t>.</w:t>
      </w:r>
      <w:r w:rsidR="0052346B">
        <w:rPr>
          <w:rFonts w:eastAsia="Times New Roman" w:cs="Times New Roman"/>
          <w:szCs w:val="24"/>
          <w:lang w:eastAsia="lv-LV"/>
        </w:rPr>
        <w:t xml:space="preserve"> Proti, kāds plāns vai mērķis un sadarbība tā ietvaros šīs persona nosacīti ļauj uzlūkot kā vien</w:t>
      </w:r>
      <w:r w:rsidR="00830902">
        <w:rPr>
          <w:rFonts w:eastAsia="Times New Roman" w:cs="Times New Roman"/>
          <w:szCs w:val="24"/>
          <w:lang w:eastAsia="lv-LV"/>
        </w:rPr>
        <w:t>otu subjektu</w:t>
      </w:r>
      <w:r w:rsidR="0052346B">
        <w:rPr>
          <w:rFonts w:eastAsia="Times New Roman" w:cs="Times New Roman"/>
          <w:szCs w:val="24"/>
          <w:lang w:eastAsia="lv-LV"/>
        </w:rPr>
        <w:t>.</w:t>
      </w:r>
    </w:p>
    <w:p w14:paraId="464F6D96" w14:textId="7D88AD71" w:rsidR="00B01859" w:rsidRDefault="00B01859" w:rsidP="00A22528">
      <w:pPr>
        <w:spacing w:after="0" w:line="276" w:lineRule="auto"/>
        <w:ind w:firstLine="720"/>
        <w:jc w:val="both"/>
        <w:rPr>
          <w:rFonts w:eastAsia="Times New Roman" w:cs="Times New Roman"/>
          <w:szCs w:val="24"/>
          <w:lang w:eastAsia="lv-LV"/>
        </w:rPr>
      </w:pPr>
    </w:p>
    <w:p w14:paraId="596B4FEE" w14:textId="38BD78E4" w:rsidR="008922F7" w:rsidRDefault="00FD313C" w:rsidP="00A22528">
      <w:pPr>
        <w:spacing w:after="0" w:line="276" w:lineRule="auto"/>
        <w:ind w:firstLine="720"/>
        <w:jc w:val="both"/>
        <w:rPr>
          <w:rFonts w:eastAsia="Times New Roman" w:cs="Times New Roman"/>
          <w:szCs w:val="24"/>
          <w:lang w:eastAsia="lv-LV"/>
        </w:rPr>
      </w:pPr>
      <w:r>
        <w:rPr>
          <w:rFonts w:eastAsia="Times New Roman" w:cs="Times New Roman"/>
          <w:szCs w:val="24"/>
          <w:lang w:eastAsia="lv-LV"/>
        </w:rPr>
        <w:t>[1</w:t>
      </w:r>
      <w:r w:rsidR="00033047">
        <w:rPr>
          <w:rFonts w:eastAsia="Times New Roman" w:cs="Times New Roman"/>
          <w:szCs w:val="24"/>
          <w:lang w:eastAsia="lv-LV"/>
        </w:rPr>
        <w:t>9</w:t>
      </w:r>
      <w:r>
        <w:rPr>
          <w:rFonts w:eastAsia="Times New Roman" w:cs="Times New Roman"/>
          <w:szCs w:val="24"/>
          <w:lang w:eastAsia="lv-LV"/>
        </w:rPr>
        <w:t xml:space="preserve">] Lai piemērotu likuma „Par uzņēmumu ienākuma nodokli” </w:t>
      </w:r>
      <w:proofErr w:type="gramStart"/>
      <w:r>
        <w:rPr>
          <w:rFonts w:eastAsia="Times New Roman" w:cs="Times New Roman"/>
          <w:szCs w:val="24"/>
          <w:lang w:eastAsia="lv-LV"/>
        </w:rPr>
        <w:t>12.panta</w:t>
      </w:r>
      <w:proofErr w:type="gramEnd"/>
      <w:r>
        <w:rPr>
          <w:rFonts w:eastAsia="Times New Roman" w:cs="Times New Roman"/>
          <w:szCs w:val="24"/>
          <w:lang w:eastAsia="lv-LV"/>
        </w:rPr>
        <w:t xml:space="preserve"> otrās daļas 2.punktu atbilstoši tā jēgai, proti, identificēt gadījumus, kad kādas personas izšķiroša ietekme ir bijis pamats noslēgt tirgus cenām neatbilstošus darījumus, </w:t>
      </w:r>
      <w:r w:rsidR="0052346B">
        <w:rPr>
          <w:rFonts w:eastAsia="Times New Roman" w:cs="Times New Roman"/>
          <w:szCs w:val="24"/>
          <w:lang w:eastAsia="lv-LV"/>
        </w:rPr>
        <w:t xml:space="preserve">vienlīdzīgas ietekmes apstākļos būtu jāspēj identificēt tāds apstākļu kopums, kas ļauj uzskatīt, ka divas vai vairākas personas darbojas kopīgi. Tādi apstākļi var būt redzami </w:t>
      </w:r>
      <w:proofErr w:type="spellStart"/>
      <w:r w:rsidR="0052346B">
        <w:rPr>
          <w:rFonts w:eastAsia="Times New Roman" w:cs="Times New Roman"/>
          <w:szCs w:val="24"/>
          <w:lang w:eastAsia="lv-LV"/>
        </w:rPr>
        <w:t>citstarp</w:t>
      </w:r>
      <w:proofErr w:type="spellEnd"/>
      <w:r w:rsidR="0052346B">
        <w:rPr>
          <w:rFonts w:eastAsia="Times New Roman" w:cs="Times New Roman"/>
          <w:szCs w:val="24"/>
          <w:lang w:eastAsia="lv-LV"/>
        </w:rPr>
        <w:t xml:space="preserve"> no uzņēmuma darbības ilgākā laikposmā, no strīdus darījumu vietas pārējās saimnieciskās darbības ietvaros, no attiecīgo personu savstarpējām saiknēm</w:t>
      </w:r>
      <w:r w:rsidR="00501425">
        <w:rPr>
          <w:rFonts w:eastAsia="Times New Roman" w:cs="Times New Roman"/>
          <w:szCs w:val="24"/>
          <w:lang w:eastAsia="lv-LV"/>
        </w:rPr>
        <w:t>, jo īpaši ilgtermiņā</w:t>
      </w:r>
      <w:r w:rsidR="00666F98">
        <w:rPr>
          <w:rFonts w:eastAsia="Times New Roman" w:cs="Times New Roman"/>
          <w:szCs w:val="24"/>
          <w:lang w:eastAsia="lv-LV"/>
        </w:rPr>
        <w:t>,</w:t>
      </w:r>
      <w:r w:rsidR="0052346B">
        <w:rPr>
          <w:rFonts w:eastAsia="Times New Roman" w:cs="Times New Roman"/>
          <w:szCs w:val="24"/>
          <w:lang w:eastAsia="lv-LV"/>
        </w:rPr>
        <w:t xml:space="preserve"> utt.</w:t>
      </w:r>
    </w:p>
    <w:p w14:paraId="43BD8A7D" w14:textId="77777777" w:rsidR="0052346B" w:rsidRDefault="0052346B" w:rsidP="00A22528">
      <w:pPr>
        <w:spacing w:after="0" w:line="276" w:lineRule="auto"/>
        <w:ind w:firstLine="720"/>
        <w:jc w:val="both"/>
        <w:rPr>
          <w:rFonts w:eastAsia="Times New Roman" w:cs="Times New Roman"/>
          <w:szCs w:val="24"/>
          <w:lang w:eastAsia="lv-LV"/>
        </w:rPr>
      </w:pPr>
    </w:p>
    <w:p w14:paraId="5587D587" w14:textId="7991AFE9" w:rsidR="0052346B" w:rsidRDefault="0052346B" w:rsidP="0052346B">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033047">
        <w:rPr>
          <w:rFonts w:eastAsia="Times New Roman" w:cs="Times New Roman"/>
          <w:szCs w:val="24"/>
          <w:lang w:eastAsia="lv-LV"/>
        </w:rPr>
        <w:t>20</w:t>
      </w:r>
      <w:r>
        <w:rPr>
          <w:rFonts w:eastAsia="Times New Roman" w:cs="Times New Roman"/>
          <w:szCs w:val="24"/>
          <w:lang w:eastAsia="lv-LV"/>
        </w:rPr>
        <w:t xml:space="preserve">] Apgabaltiesas secinājums par </w:t>
      </w:r>
      <w:r w:rsidRPr="00830902">
        <w:rPr>
          <w:rFonts w:eastAsia="Times New Roman" w:cs="Times New Roman"/>
          <w:szCs w:val="24"/>
          <w:lang w:eastAsia="lv-LV"/>
        </w:rPr>
        <w:t>kopīgi</w:t>
      </w:r>
      <w:r>
        <w:rPr>
          <w:rFonts w:eastAsia="Times New Roman" w:cs="Times New Roman"/>
          <w:szCs w:val="24"/>
          <w:lang w:eastAsia="lv-LV"/>
        </w:rPr>
        <w:t xml:space="preserve"> īstenotu kontroli nav pamatots ne ar vienu konkrētu faktisko apstākli. </w:t>
      </w:r>
      <w:r w:rsidR="00666F98">
        <w:rPr>
          <w:rFonts w:eastAsia="Times New Roman" w:cs="Times New Roman"/>
          <w:szCs w:val="24"/>
          <w:lang w:eastAsia="lv-LV"/>
        </w:rPr>
        <w:t>S</w:t>
      </w:r>
      <w:r>
        <w:rPr>
          <w:rFonts w:eastAsia="Times New Roman" w:cs="Times New Roman"/>
          <w:szCs w:val="24"/>
          <w:lang w:eastAsia="lv-LV"/>
        </w:rPr>
        <w:t>priedumā norādītie apstākļi liecina tikai par pilnīgi vienlīdzīgām iespējām lēmumu pieņemšan</w:t>
      </w:r>
      <w:r w:rsidR="00501425">
        <w:rPr>
          <w:rFonts w:eastAsia="Times New Roman" w:cs="Times New Roman"/>
          <w:szCs w:val="24"/>
          <w:lang w:eastAsia="lv-LV"/>
        </w:rPr>
        <w:t>ā, bet ne par kopīgu izšķiro</w:t>
      </w:r>
      <w:r w:rsidR="008A6BCC">
        <w:rPr>
          <w:rFonts w:eastAsia="Times New Roman" w:cs="Times New Roman"/>
          <w:szCs w:val="24"/>
          <w:lang w:eastAsia="lv-LV"/>
        </w:rPr>
        <w:t>šu ietekmi.</w:t>
      </w:r>
    </w:p>
    <w:p w14:paraId="7CB8158D" w14:textId="0D864E85" w:rsidR="008A6BCC" w:rsidRDefault="00501425" w:rsidP="008A6BCC">
      <w:pPr>
        <w:spacing w:after="0" w:line="276" w:lineRule="auto"/>
        <w:ind w:firstLine="720"/>
        <w:jc w:val="both"/>
        <w:rPr>
          <w:rFonts w:eastAsia="Times New Roman" w:cs="Times New Roman"/>
          <w:szCs w:val="24"/>
          <w:lang w:eastAsia="lv-LV"/>
        </w:rPr>
      </w:pPr>
      <w:r>
        <w:rPr>
          <w:rFonts w:eastAsia="Times New Roman" w:cs="Times New Roman"/>
          <w:szCs w:val="24"/>
          <w:lang w:eastAsia="lv-LV"/>
        </w:rPr>
        <w:t>Ievērojot minēto, spriedums šajā daļā ir atceļams un lieta nosūtāma</w:t>
      </w:r>
      <w:r w:rsidR="00B65963">
        <w:rPr>
          <w:rFonts w:eastAsia="Times New Roman" w:cs="Times New Roman"/>
          <w:szCs w:val="24"/>
          <w:lang w:eastAsia="lv-LV"/>
        </w:rPr>
        <w:t xml:space="preserve"> jaunai izskatīšanai, lai atkārtoti pārbaudītu apstākļus par abu pieteicējas valdes locekļu izšķirošu iet</w:t>
      </w:r>
      <w:r w:rsidR="008A6BCC">
        <w:rPr>
          <w:rFonts w:eastAsia="Times New Roman" w:cs="Times New Roman"/>
          <w:szCs w:val="24"/>
          <w:lang w:eastAsia="lv-LV"/>
        </w:rPr>
        <w:t>ekmi.</w:t>
      </w:r>
      <w:r w:rsidR="005E66BA">
        <w:rPr>
          <w:rFonts w:eastAsia="Times New Roman" w:cs="Times New Roman"/>
          <w:szCs w:val="24"/>
          <w:lang w:eastAsia="lv-LV"/>
        </w:rPr>
        <w:t xml:space="preserve"> Vienlaikus Augstākā tiesa vērš uzmanību, ka tiesai, ievērojot Administratīvā procesa likuma 250.panta otro daļu un tiesas procesa būtību – pārbaudīt iestādes administratīvā akta tiesiskumu (Administratīvā procesa likuma 103.panta pirmā daļa) –, nav no jauna jāveic pilnīga izmeklēšana par šo jautājumu, bet ir jāpārbauda iestādes norādītais pamatojums par izšķirošas ietekmes esību, pārbaudot tos apstākļus, kurus iestāde apskatījusi lēmumā un ar to saistītajā audita pārskatā.</w:t>
      </w:r>
    </w:p>
    <w:p w14:paraId="01C4B3F2" w14:textId="77777777" w:rsidR="008A6BCC" w:rsidRDefault="008A6BCC" w:rsidP="008A6BCC">
      <w:pPr>
        <w:spacing w:after="0" w:line="276" w:lineRule="auto"/>
        <w:jc w:val="both"/>
        <w:rPr>
          <w:rFonts w:eastAsia="Times New Roman" w:cs="Times New Roman"/>
          <w:szCs w:val="24"/>
          <w:lang w:eastAsia="lv-LV"/>
        </w:rPr>
      </w:pPr>
    </w:p>
    <w:p w14:paraId="7237F120" w14:textId="672A4AE4" w:rsidR="008A6BCC" w:rsidRPr="008A6BCC" w:rsidRDefault="008A6BCC" w:rsidP="008A6BCC">
      <w:pPr>
        <w:spacing w:after="0" w:line="276" w:lineRule="auto"/>
        <w:jc w:val="center"/>
        <w:rPr>
          <w:rFonts w:eastAsia="Times New Roman" w:cs="Times New Roman"/>
          <w:b/>
          <w:szCs w:val="24"/>
          <w:lang w:eastAsia="lv-LV"/>
        </w:rPr>
      </w:pPr>
      <w:r w:rsidRPr="008A6BCC">
        <w:rPr>
          <w:rFonts w:eastAsia="Times New Roman" w:cs="Times New Roman"/>
          <w:b/>
          <w:szCs w:val="24"/>
          <w:lang w:eastAsia="lv-LV"/>
        </w:rPr>
        <w:t>III</w:t>
      </w:r>
    </w:p>
    <w:p w14:paraId="084A0C24" w14:textId="77777777" w:rsidR="008A6BCC" w:rsidRDefault="008A6BCC" w:rsidP="008A6BCC">
      <w:pPr>
        <w:spacing w:after="0" w:line="276" w:lineRule="auto"/>
        <w:ind w:firstLine="720"/>
        <w:jc w:val="both"/>
        <w:rPr>
          <w:rFonts w:eastAsia="Times New Roman" w:cs="Times New Roman"/>
          <w:szCs w:val="24"/>
          <w:lang w:eastAsia="lv-LV"/>
        </w:rPr>
      </w:pPr>
    </w:p>
    <w:p w14:paraId="16BB1014" w14:textId="27D602F6" w:rsidR="00E128B8" w:rsidRPr="005A25DD" w:rsidRDefault="008A6BCC" w:rsidP="00E128B8">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2</w:t>
      </w:r>
      <w:r w:rsidR="00033047">
        <w:rPr>
          <w:rFonts w:eastAsia="Times New Roman" w:cs="Times New Roman"/>
          <w:szCs w:val="24"/>
          <w:lang w:eastAsia="lv-LV"/>
        </w:rPr>
        <w:t>1</w:t>
      </w:r>
      <w:r>
        <w:rPr>
          <w:rFonts w:eastAsia="Times New Roman" w:cs="Times New Roman"/>
          <w:szCs w:val="24"/>
          <w:lang w:eastAsia="lv-LV"/>
        </w:rPr>
        <w:t>]</w:t>
      </w:r>
      <w:r w:rsidR="00E128B8">
        <w:rPr>
          <w:rFonts w:eastAsia="Times New Roman" w:cs="Times New Roman"/>
          <w:szCs w:val="24"/>
          <w:lang w:eastAsia="lv-LV"/>
        </w:rPr>
        <w:t xml:space="preserve"> Apgabaltiesa spriedumā ir noraidījusi pieteicējas argumentu, ka SIA „WT </w:t>
      </w:r>
      <w:proofErr w:type="spellStart"/>
      <w:r w:rsidR="00E128B8">
        <w:rPr>
          <w:rFonts w:eastAsia="Times New Roman" w:cs="Times New Roman"/>
          <w:szCs w:val="24"/>
          <w:lang w:eastAsia="lv-LV"/>
        </w:rPr>
        <w:t>Oil</w:t>
      </w:r>
      <w:proofErr w:type="spellEnd"/>
      <w:r w:rsidR="00E128B8">
        <w:rPr>
          <w:rFonts w:eastAsia="Times New Roman" w:cs="Times New Roman"/>
          <w:szCs w:val="24"/>
          <w:lang w:eastAsia="lv-LV"/>
        </w:rPr>
        <w:t xml:space="preserve"> </w:t>
      </w:r>
      <w:proofErr w:type="spellStart"/>
      <w:r w:rsidR="00E128B8">
        <w:rPr>
          <w:rFonts w:eastAsia="Times New Roman" w:cs="Times New Roman"/>
          <w:szCs w:val="24"/>
          <w:lang w:eastAsia="lv-LV"/>
        </w:rPr>
        <w:t>Terminal</w:t>
      </w:r>
      <w:proofErr w:type="spellEnd"/>
      <w:r w:rsidR="00E128B8">
        <w:rPr>
          <w:rFonts w:eastAsia="Times New Roman" w:cs="Times New Roman"/>
          <w:szCs w:val="24"/>
          <w:lang w:eastAsia="lv-LV"/>
        </w:rPr>
        <w:t xml:space="preserve">” izmaksātās </w:t>
      </w:r>
      <w:r w:rsidR="00E128B8" w:rsidRPr="005A25DD">
        <w:rPr>
          <w:rFonts w:eastAsia="Times New Roman" w:cs="Times New Roman"/>
          <w:szCs w:val="24"/>
          <w:lang w:eastAsia="lv-LV"/>
        </w:rPr>
        <w:t xml:space="preserve">naudas summas </w:t>
      </w:r>
      <w:r w:rsidR="00E128B8">
        <w:rPr>
          <w:rFonts w:eastAsia="Times New Roman" w:cs="Times New Roman"/>
          <w:szCs w:val="24"/>
          <w:lang w:eastAsia="lv-LV"/>
        </w:rPr>
        <w:t xml:space="preserve">varētu tikt </w:t>
      </w:r>
      <w:r w:rsidR="00E128B8" w:rsidRPr="005A25DD">
        <w:rPr>
          <w:rFonts w:eastAsia="Times New Roman" w:cs="Times New Roman"/>
          <w:szCs w:val="24"/>
          <w:lang w:eastAsia="lv-LV"/>
        </w:rPr>
        <w:t>uzskat</w:t>
      </w:r>
      <w:r w:rsidR="00E128B8">
        <w:rPr>
          <w:rFonts w:eastAsia="Times New Roman" w:cs="Times New Roman"/>
          <w:szCs w:val="24"/>
          <w:lang w:eastAsia="lv-LV"/>
        </w:rPr>
        <w:t>īta</w:t>
      </w:r>
      <w:r w:rsidR="00E128B8" w:rsidRPr="005A25DD">
        <w:rPr>
          <w:rFonts w:eastAsia="Times New Roman" w:cs="Times New Roman"/>
          <w:szCs w:val="24"/>
          <w:lang w:eastAsia="lv-LV"/>
        </w:rPr>
        <w:t>s par izmaksām sabiedrības dalībniekam sakarā ar pamatkapitāla samazināšanu.</w:t>
      </w:r>
      <w:r w:rsidR="00E128B8">
        <w:rPr>
          <w:rFonts w:eastAsia="Times New Roman" w:cs="Times New Roman"/>
          <w:szCs w:val="24"/>
          <w:lang w:eastAsia="lv-LV"/>
        </w:rPr>
        <w:t xml:space="preserve"> Kā norādīja tiesa, tas neatbilstu Komerclikumā noteiktajai kārtībai par sabiedrības pamatkapitāla samazināšanu.</w:t>
      </w:r>
    </w:p>
    <w:p w14:paraId="769D45E9" w14:textId="74F073C0" w:rsidR="005A25DD" w:rsidRDefault="00353AD9" w:rsidP="008A6BCC">
      <w:pPr>
        <w:spacing w:after="0" w:line="276" w:lineRule="auto"/>
        <w:ind w:firstLine="720"/>
        <w:jc w:val="both"/>
        <w:rPr>
          <w:rFonts w:eastAsia="Times New Roman" w:cs="Times New Roman"/>
          <w:szCs w:val="24"/>
          <w:lang w:eastAsia="lv-LV"/>
        </w:rPr>
      </w:pPr>
      <w:r>
        <w:rPr>
          <w:rFonts w:eastAsia="Times New Roman" w:cs="Times New Roman"/>
          <w:szCs w:val="24"/>
          <w:lang w:eastAsia="lv-LV"/>
        </w:rPr>
        <w:t>Pieteicēja kasācijas sūdzībā norād</w:t>
      </w:r>
      <w:r w:rsidR="005A25DD">
        <w:rPr>
          <w:rFonts w:eastAsia="Times New Roman" w:cs="Times New Roman"/>
          <w:szCs w:val="24"/>
          <w:lang w:eastAsia="lv-LV"/>
        </w:rPr>
        <w:t>ījusi</w:t>
      </w:r>
      <w:r>
        <w:rPr>
          <w:rFonts w:eastAsia="Times New Roman" w:cs="Times New Roman"/>
          <w:szCs w:val="24"/>
          <w:lang w:eastAsia="lv-LV"/>
        </w:rPr>
        <w:t>, ka</w:t>
      </w:r>
      <w:r w:rsidR="00830902">
        <w:rPr>
          <w:rFonts w:eastAsia="Times New Roman" w:cs="Times New Roman"/>
          <w:szCs w:val="24"/>
          <w:lang w:eastAsia="lv-LV"/>
        </w:rPr>
        <w:t>,</w:t>
      </w:r>
      <w:r>
        <w:rPr>
          <w:rFonts w:eastAsia="Times New Roman" w:cs="Times New Roman"/>
          <w:szCs w:val="24"/>
          <w:lang w:eastAsia="lv-LV"/>
        </w:rPr>
        <w:t xml:space="preserve"> </w:t>
      </w:r>
      <w:r w:rsidR="005A25DD">
        <w:rPr>
          <w:rFonts w:eastAsia="Times New Roman" w:cs="Times New Roman"/>
          <w:szCs w:val="24"/>
          <w:lang w:eastAsia="lv-LV"/>
        </w:rPr>
        <w:t>n</w:t>
      </w:r>
      <w:r w:rsidRPr="00353AD9">
        <w:rPr>
          <w:rFonts w:eastAsia="Times New Roman" w:cs="Times New Roman"/>
          <w:szCs w:val="24"/>
          <w:lang w:eastAsia="lv-LV"/>
        </w:rPr>
        <w:t xml:space="preserve">ovērtējot </w:t>
      </w:r>
      <w:r w:rsidR="00E128B8">
        <w:rPr>
          <w:rFonts w:eastAsia="Times New Roman" w:cs="Times New Roman"/>
          <w:szCs w:val="24"/>
          <w:lang w:eastAsia="lv-LV"/>
        </w:rPr>
        <w:t xml:space="preserve">naudas izmaksu, kas, Valsts ieņēmumu dienesta ieskatā, ir </w:t>
      </w:r>
      <w:r w:rsidRPr="00353AD9">
        <w:rPr>
          <w:rFonts w:eastAsia="Times New Roman" w:cs="Times New Roman"/>
          <w:szCs w:val="24"/>
          <w:lang w:eastAsia="lv-LV"/>
        </w:rPr>
        <w:t>aizdevum</w:t>
      </w:r>
      <w:r w:rsidR="00E128B8">
        <w:rPr>
          <w:rFonts w:eastAsia="Times New Roman" w:cs="Times New Roman"/>
          <w:szCs w:val="24"/>
          <w:lang w:eastAsia="lv-LV"/>
        </w:rPr>
        <w:t>s</w:t>
      </w:r>
      <w:r w:rsidRPr="00353AD9">
        <w:rPr>
          <w:rFonts w:eastAsia="Times New Roman" w:cs="Times New Roman"/>
          <w:szCs w:val="24"/>
          <w:lang w:eastAsia="lv-LV"/>
        </w:rPr>
        <w:t>, tiesa neņēma vērā argumentus par darījumu patieso ekonomisko būtību</w:t>
      </w:r>
      <w:r w:rsidR="00E128B8">
        <w:rPr>
          <w:rFonts w:eastAsia="Times New Roman" w:cs="Times New Roman"/>
          <w:szCs w:val="24"/>
          <w:lang w:eastAsia="lv-LV"/>
        </w:rPr>
        <w:t xml:space="preserve"> (pamatkapitāla samazināšana un attiecīga naudas izmaksa kapitāldaļu īpašniekam)</w:t>
      </w:r>
      <w:r w:rsidRPr="00353AD9">
        <w:rPr>
          <w:rFonts w:eastAsia="Times New Roman" w:cs="Times New Roman"/>
          <w:szCs w:val="24"/>
          <w:lang w:eastAsia="lv-LV"/>
        </w:rPr>
        <w:t>, ko apliecin</w:t>
      </w:r>
      <w:r w:rsidR="005A25DD">
        <w:rPr>
          <w:rFonts w:eastAsia="Times New Roman" w:cs="Times New Roman"/>
          <w:szCs w:val="24"/>
          <w:lang w:eastAsia="lv-LV"/>
        </w:rPr>
        <w:t>ot</w:t>
      </w:r>
      <w:r w:rsidRPr="00353AD9">
        <w:rPr>
          <w:rFonts w:eastAsia="Times New Roman" w:cs="Times New Roman"/>
          <w:szCs w:val="24"/>
          <w:lang w:eastAsia="lv-LV"/>
        </w:rPr>
        <w:t xml:space="preserve"> </w:t>
      </w:r>
      <w:r w:rsidR="005A25DD">
        <w:rPr>
          <w:rFonts w:eastAsia="Times New Roman" w:cs="Times New Roman"/>
          <w:szCs w:val="24"/>
          <w:lang w:eastAsia="lv-LV"/>
        </w:rPr>
        <w:t xml:space="preserve">konkrēti </w:t>
      </w:r>
      <w:r w:rsidRPr="00353AD9">
        <w:rPr>
          <w:rFonts w:eastAsia="Times New Roman" w:cs="Times New Roman"/>
          <w:szCs w:val="24"/>
          <w:lang w:eastAsia="lv-LV"/>
        </w:rPr>
        <w:t>pierādījumi</w:t>
      </w:r>
      <w:r w:rsidR="005A25DD">
        <w:rPr>
          <w:rFonts w:eastAsia="Times New Roman" w:cs="Times New Roman"/>
          <w:szCs w:val="24"/>
          <w:lang w:eastAsia="lv-LV"/>
        </w:rPr>
        <w:t xml:space="preserve">. </w:t>
      </w:r>
    </w:p>
    <w:p w14:paraId="3B75D84D" w14:textId="77777777" w:rsidR="00D008F9" w:rsidRDefault="00D008F9" w:rsidP="005A25DD">
      <w:pPr>
        <w:spacing w:after="0" w:line="276" w:lineRule="auto"/>
        <w:ind w:firstLine="720"/>
        <w:jc w:val="both"/>
        <w:rPr>
          <w:rFonts w:eastAsia="Times New Roman" w:cs="Times New Roman"/>
          <w:szCs w:val="24"/>
          <w:lang w:eastAsia="lv-LV"/>
        </w:rPr>
      </w:pPr>
    </w:p>
    <w:p w14:paraId="63296308" w14:textId="1FF58544" w:rsidR="00D008F9" w:rsidRDefault="00D008F9" w:rsidP="00D008F9">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2</w:t>
      </w:r>
      <w:r w:rsidR="00033047">
        <w:rPr>
          <w:rFonts w:eastAsia="Times New Roman" w:cs="Times New Roman"/>
          <w:szCs w:val="24"/>
          <w:lang w:eastAsia="lv-LV"/>
        </w:rPr>
        <w:t>2</w:t>
      </w:r>
      <w:r>
        <w:rPr>
          <w:rFonts w:eastAsia="Times New Roman" w:cs="Times New Roman"/>
          <w:szCs w:val="24"/>
          <w:lang w:eastAsia="lv-LV"/>
        </w:rPr>
        <w:t xml:space="preserve">] </w:t>
      </w:r>
      <w:r w:rsidR="005A25DD">
        <w:rPr>
          <w:rFonts w:eastAsia="Times New Roman" w:cs="Times New Roman"/>
          <w:szCs w:val="24"/>
          <w:lang w:eastAsia="lv-LV"/>
        </w:rPr>
        <w:t xml:space="preserve">Augstākā tiesa atzīst, ka apgabaltiesa ir pareizi noraidījusi iespēju ar pierādījumiem apliecināt tādu darījuma ekonomisko būtību, kas konkrētajos apstākļos būtu acīmredzami pretēja likumam. Apgabaltiesas </w:t>
      </w:r>
      <w:r>
        <w:rPr>
          <w:rFonts w:eastAsia="Times New Roman" w:cs="Times New Roman"/>
          <w:szCs w:val="24"/>
          <w:lang w:eastAsia="lv-LV"/>
        </w:rPr>
        <w:t>skaidrojums par</w:t>
      </w:r>
      <w:r w:rsidR="005A25DD">
        <w:rPr>
          <w:rFonts w:eastAsia="Times New Roman" w:cs="Times New Roman"/>
          <w:szCs w:val="24"/>
          <w:lang w:eastAsia="lv-LV"/>
        </w:rPr>
        <w:t xml:space="preserve"> Komerclikuma norm</w:t>
      </w:r>
      <w:r>
        <w:rPr>
          <w:rFonts w:eastAsia="Times New Roman" w:cs="Times New Roman"/>
          <w:szCs w:val="24"/>
          <w:lang w:eastAsia="lv-LV"/>
        </w:rPr>
        <w:t>u nozīmi</w:t>
      </w:r>
      <w:r w:rsidR="005A25DD">
        <w:rPr>
          <w:rFonts w:eastAsia="Times New Roman" w:cs="Times New Roman"/>
          <w:szCs w:val="24"/>
          <w:lang w:eastAsia="lv-LV"/>
        </w:rPr>
        <w:t xml:space="preserve"> ir pareizs, Augstākā tiesa </w:t>
      </w:r>
      <w:r>
        <w:rPr>
          <w:rFonts w:eastAsia="Times New Roman" w:cs="Times New Roman"/>
          <w:szCs w:val="24"/>
          <w:lang w:eastAsia="lv-LV"/>
        </w:rPr>
        <w:t xml:space="preserve">atbilstoši Administratīvā procesa likuma 349.panta ceturtajai daļai </w:t>
      </w:r>
      <w:r w:rsidR="005A25DD">
        <w:rPr>
          <w:rFonts w:eastAsia="Times New Roman" w:cs="Times New Roman"/>
          <w:szCs w:val="24"/>
          <w:lang w:eastAsia="lv-LV"/>
        </w:rPr>
        <w:t>t</w:t>
      </w:r>
      <w:r>
        <w:rPr>
          <w:rFonts w:eastAsia="Times New Roman" w:cs="Times New Roman"/>
          <w:szCs w:val="24"/>
          <w:lang w:eastAsia="lv-LV"/>
        </w:rPr>
        <w:t>a</w:t>
      </w:r>
      <w:r w:rsidR="005A25DD">
        <w:rPr>
          <w:rFonts w:eastAsia="Times New Roman" w:cs="Times New Roman"/>
          <w:szCs w:val="24"/>
          <w:lang w:eastAsia="lv-LV"/>
        </w:rPr>
        <w:t>m pievienojas, atkārtoti nenorādot</w:t>
      </w:r>
      <w:r>
        <w:rPr>
          <w:rFonts w:eastAsia="Times New Roman" w:cs="Times New Roman"/>
          <w:szCs w:val="24"/>
          <w:lang w:eastAsia="lv-LV"/>
        </w:rPr>
        <w:t xml:space="preserve">. </w:t>
      </w:r>
      <w:r w:rsidR="005A25DD">
        <w:rPr>
          <w:rFonts w:eastAsia="Times New Roman" w:cs="Times New Roman"/>
          <w:szCs w:val="24"/>
          <w:lang w:eastAsia="lv-LV"/>
        </w:rPr>
        <w:t xml:space="preserve">Jāņem </w:t>
      </w:r>
      <w:r w:rsidR="00E128B8">
        <w:rPr>
          <w:rFonts w:eastAsia="Times New Roman" w:cs="Times New Roman"/>
          <w:szCs w:val="24"/>
          <w:lang w:eastAsia="lv-LV"/>
        </w:rPr>
        <w:t xml:space="preserve">arī </w:t>
      </w:r>
      <w:r w:rsidR="005A25DD">
        <w:rPr>
          <w:rFonts w:eastAsia="Times New Roman" w:cs="Times New Roman"/>
          <w:szCs w:val="24"/>
          <w:lang w:eastAsia="lv-LV"/>
        </w:rPr>
        <w:t xml:space="preserve">vērā, ka </w:t>
      </w:r>
      <w:r>
        <w:rPr>
          <w:rFonts w:eastAsia="Times New Roman" w:cs="Times New Roman"/>
          <w:szCs w:val="24"/>
          <w:lang w:eastAsia="lv-LV"/>
        </w:rPr>
        <w:t>atbilstoši Komerclikuma 208.panta ceturtajai daļai sabiedrības p</w:t>
      </w:r>
      <w:r w:rsidRPr="00D008F9">
        <w:rPr>
          <w:rFonts w:eastAsia="Times New Roman" w:cs="Times New Roman"/>
          <w:szCs w:val="24"/>
          <w:lang w:eastAsia="lv-LV"/>
        </w:rPr>
        <w:t>amatkapitāls uzskatāms par samazinātu ar dienu, kad komercreģistrā ierakstīts jaunais pamatkapitāla lielums.</w:t>
      </w:r>
      <w:r>
        <w:rPr>
          <w:rFonts w:eastAsia="Times New Roman" w:cs="Times New Roman"/>
          <w:szCs w:val="24"/>
          <w:lang w:eastAsia="lv-LV"/>
        </w:rPr>
        <w:t xml:space="preserve"> Tātad ierakstam komercreģistrā ir konstitutīva nozīme un pieteicējas norādītās tiesiskās sekas – pamatkapitāla samazināšana – nevar nekādā veidā iestāties, iekams nav izdarīts ieraksts komercreģistrā pēc tam, kad sabiedrība veikusi Komerclikumā noteiktās darbības kreditoru interešu aizsardzības nolūkā. Līdz tam nav nekāda pamata darījumam piešķirt pamatkapitāla samazināšanas būtību.</w:t>
      </w:r>
    </w:p>
    <w:p w14:paraId="4B3AE5B0" w14:textId="77777777" w:rsidR="00B535F9" w:rsidRDefault="00B535F9" w:rsidP="00D008F9">
      <w:pPr>
        <w:spacing w:after="0" w:line="276" w:lineRule="auto"/>
        <w:jc w:val="both"/>
        <w:rPr>
          <w:rFonts w:eastAsia="Times New Roman" w:cs="Times New Roman"/>
          <w:szCs w:val="24"/>
          <w:lang w:eastAsia="lv-LV"/>
        </w:rPr>
      </w:pPr>
    </w:p>
    <w:p w14:paraId="7D7C1553" w14:textId="1C4B0A9D" w:rsidR="00D008F9" w:rsidRPr="00D008F9" w:rsidRDefault="00D008F9" w:rsidP="00D008F9">
      <w:pPr>
        <w:spacing w:after="0" w:line="276" w:lineRule="auto"/>
        <w:jc w:val="center"/>
        <w:rPr>
          <w:rFonts w:eastAsia="Times New Roman" w:cs="Times New Roman"/>
          <w:b/>
          <w:szCs w:val="24"/>
          <w:lang w:eastAsia="lv-LV"/>
        </w:rPr>
      </w:pPr>
      <w:r w:rsidRPr="00D008F9">
        <w:rPr>
          <w:rFonts w:eastAsia="Times New Roman" w:cs="Times New Roman"/>
          <w:b/>
          <w:szCs w:val="24"/>
          <w:lang w:eastAsia="lv-LV"/>
        </w:rPr>
        <w:t>IV</w:t>
      </w:r>
    </w:p>
    <w:p w14:paraId="19A4592A" w14:textId="77777777" w:rsidR="00D008F9" w:rsidRDefault="00D008F9" w:rsidP="00D008F9">
      <w:pPr>
        <w:spacing w:after="0" w:line="276" w:lineRule="auto"/>
        <w:ind w:firstLine="720"/>
        <w:jc w:val="both"/>
        <w:rPr>
          <w:rFonts w:eastAsia="Times New Roman" w:cs="Times New Roman"/>
          <w:szCs w:val="24"/>
          <w:lang w:eastAsia="lv-LV"/>
        </w:rPr>
      </w:pPr>
    </w:p>
    <w:p w14:paraId="730B5C86" w14:textId="724C282D" w:rsidR="00EE6F41" w:rsidRDefault="00D008F9" w:rsidP="00D008F9">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2</w:t>
      </w:r>
      <w:r w:rsidR="00033047">
        <w:rPr>
          <w:rFonts w:eastAsia="Times New Roman" w:cs="Times New Roman"/>
          <w:szCs w:val="24"/>
          <w:lang w:eastAsia="lv-LV"/>
        </w:rPr>
        <w:t>3</w:t>
      </w:r>
      <w:r>
        <w:rPr>
          <w:rFonts w:eastAsia="Times New Roman" w:cs="Times New Roman"/>
          <w:szCs w:val="24"/>
          <w:lang w:eastAsia="lv-LV"/>
        </w:rPr>
        <w:t>]</w:t>
      </w:r>
      <w:r w:rsidR="003C6D28">
        <w:rPr>
          <w:rFonts w:eastAsia="Times New Roman" w:cs="Times New Roman"/>
          <w:szCs w:val="24"/>
          <w:lang w:eastAsia="lv-LV"/>
        </w:rPr>
        <w:t xml:space="preserve"> </w:t>
      </w:r>
      <w:r w:rsidR="00EE6F41">
        <w:rPr>
          <w:rFonts w:eastAsia="Times New Roman" w:cs="Times New Roman"/>
          <w:szCs w:val="24"/>
          <w:lang w:eastAsia="lv-LV"/>
        </w:rPr>
        <w:t xml:space="preserve">Apgabaltiesa atzinusi par pamatotu Valsts ieņēmumu dienesta lēmumu daļā, kurā </w:t>
      </w:r>
      <w:r w:rsidR="00E128B8">
        <w:rPr>
          <w:rFonts w:eastAsia="Times New Roman" w:cs="Times New Roman"/>
          <w:szCs w:val="24"/>
          <w:lang w:eastAsia="lv-LV"/>
        </w:rPr>
        <w:t>dienests</w:t>
      </w:r>
      <w:r w:rsidR="00EE6F41">
        <w:rPr>
          <w:rFonts w:eastAsia="Times New Roman" w:cs="Times New Roman"/>
          <w:szCs w:val="24"/>
          <w:lang w:eastAsia="lv-LV"/>
        </w:rPr>
        <w:t xml:space="preserve"> bija atzinis, ka, ievērojot likuma „Par uzņēmumu ienākuma nodokli” 14.</w:t>
      </w:r>
      <w:proofErr w:type="gramStart"/>
      <w:r w:rsidR="00EE6F41" w:rsidRPr="00EE6F41">
        <w:rPr>
          <w:rFonts w:eastAsia="Times New Roman" w:cs="Times New Roman"/>
          <w:szCs w:val="24"/>
          <w:vertAlign w:val="superscript"/>
          <w:lang w:eastAsia="lv-LV"/>
        </w:rPr>
        <w:t>1</w:t>
      </w:r>
      <w:r w:rsidR="00EE6F41">
        <w:rPr>
          <w:rFonts w:eastAsia="Times New Roman" w:cs="Times New Roman"/>
          <w:szCs w:val="24"/>
          <w:lang w:eastAsia="lv-LV"/>
        </w:rPr>
        <w:t>panta</w:t>
      </w:r>
      <w:proofErr w:type="gramEnd"/>
      <w:r w:rsidR="00EE6F41">
        <w:rPr>
          <w:rFonts w:eastAsia="Times New Roman" w:cs="Times New Roman"/>
          <w:szCs w:val="24"/>
          <w:lang w:eastAsia="lv-LV"/>
        </w:rPr>
        <w:t xml:space="preserve"> septītās daļas 4.punktu, pieteicējai nebija tiesību pārnest zaudējumus no citiem gr</w:t>
      </w:r>
      <w:r w:rsidR="00E128B8">
        <w:rPr>
          <w:rFonts w:eastAsia="Times New Roman" w:cs="Times New Roman"/>
          <w:szCs w:val="24"/>
          <w:lang w:eastAsia="lv-LV"/>
        </w:rPr>
        <w:t>u</w:t>
      </w:r>
      <w:r w:rsidR="00EE6F41">
        <w:rPr>
          <w:rFonts w:eastAsia="Times New Roman" w:cs="Times New Roman"/>
          <w:szCs w:val="24"/>
          <w:lang w:eastAsia="lv-LV"/>
        </w:rPr>
        <w:t>pas uzņēmumiem un attiecīg</w:t>
      </w:r>
      <w:r w:rsidR="00DF459B">
        <w:rPr>
          <w:rFonts w:eastAsia="Times New Roman" w:cs="Times New Roman"/>
          <w:szCs w:val="24"/>
          <w:lang w:eastAsia="lv-LV"/>
        </w:rPr>
        <w:t>i samazināt apliekamo ienākumu, jo attiecīgajiem grupas uzņēmumiem bija nodokļu parādi 2009. un 2010.gada taksācijas perioda pēdējā dienā.</w:t>
      </w:r>
    </w:p>
    <w:p w14:paraId="50FD5DEC" w14:textId="2E511F90" w:rsidR="00D008F9" w:rsidRDefault="003C6D28" w:rsidP="00D008F9">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Pieteicēja argumentē, ka </w:t>
      </w:r>
      <w:r w:rsidRPr="003C6D28">
        <w:rPr>
          <w:rFonts w:eastAsia="Times New Roman" w:cs="Times New Roman"/>
          <w:szCs w:val="24"/>
          <w:lang w:eastAsia="lv-LV"/>
        </w:rPr>
        <w:t xml:space="preserve">spriedumā nav </w:t>
      </w:r>
      <w:r w:rsidR="00EE6F41">
        <w:rPr>
          <w:rFonts w:eastAsia="Times New Roman" w:cs="Times New Roman"/>
          <w:szCs w:val="24"/>
          <w:lang w:eastAsia="lv-LV"/>
        </w:rPr>
        <w:t>konkretizēts</w:t>
      </w:r>
      <w:r w:rsidRPr="003C6D28">
        <w:rPr>
          <w:rFonts w:eastAsia="Times New Roman" w:cs="Times New Roman"/>
          <w:szCs w:val="24"/>
          <w:lang w:eastAsia="lv-LV"/>
        </w:rPr>
        <w:t xml:space="preserve">, kādā apjomā kuram no </w:t>
      </w:r>
      <w:r w:rsidR="00EE6F41">
        <w:rPr>
          <w:rFonts w:eastAsia="Times New Roman" w:cs="Times New Roman"/>
          <w:szCs w:val="24"/>
          <w:lang w:eastAsia="lv-LV"/>
        </w:rPr>
        <w:t xml:space="preserve">grupas </w:t>
      </w:r>
      <w:r w:rsidRPr="003C6D28">
        <w:rPr>
          <w:rFonts w:eastAsia="Times New Roman" w:cs="Times New Roman"/>
          <w:szCs w:val="24"/>
          <w:lang w:eastAsia="lv-LV"/>
        </w:rPr>
        <w:t xml:space="preserve">uzņēmumiem ir iedzīvotāju ienākuma nodokļa parāds. </w:t>
      </w:r>
      <w:proofErr w:type="gramStart"/>
      <w:r w:rsidR="00B535F9">
        <w:rPr>
          <w:rFonts w:eastAsia="Times New Roman" w:cs="Times New Roman"/>
          <w:szCs w:val="24"/>
          <w:lang w:eastAsia="lv-LV"/>
        </w:rPr>
        <w:t>Turklāt,</w:t>
      </w:r>
      <w:proofErr w:type="gramEnd"/>
      <w:r>
        <w:rPr>
          <w:rFonts w:eastAsia="Times New Roman" w:cs="Times New Roman"/>
          <w:szCs w:val="24"/>
          <w:lang w:eastAsia="lv-LV"/>
        </w:rPr>
        <w:t xml:space="preserve"> pieteicējas ieskatā, tiesai </w:t>
      </w:r>
      <w:r w:rsidRPr="003C6D28">
        <w:rPr>
          <w:rFonts w:eastAsia="Times New Roman" w:cs="Times New Roman"/>
          <w:szCs w:val="24"/>
          <w:lang w:eastAsia="lv-LV"/>
        </w:rPr>
        <w:t>bija jāņem vērā samērīguma princips</w:t>
      </w:r>
      <w:r>
        <w:rPr>
          <w:rFonts w:eastAsia="Times New Roman" w:cs="Times New Roman"/>
          <w:szCs w:val="24"/>
          <w:lang w:eastAsia="lv-LV"/>
        </w:rPr>
        <w:t xml:space="preserve">: </w:t>
      </w:r>
      <w:r w:rsidRPr="003C6D28">
        <w:rPr>
          <w:rFonts w:eastAsia="Times New Roman" w:cs="Times New Roman"/>
          <w:szCs w:val="24"/>
          <w:lang w:eastAsia="lv-LV"/>
        </w:rPr>
        <w:t xml:space="preserve">zaudējumu pārnešanas tiesību ierobežojums salīdzinoši niecīga parāda dēļ ir nesamērīgi formāls. </w:t>
      </w:r>
    </w:p>
    <w:p w14:paraId="1B205DA5" w14:textId="77777777" w:rsidR="00EE6F41" w:rsidRDefault="00EE6F41" w:rsidP="00D008F9">
      <w:pPr>
        <w:spacing w:after="0" w:line="276" w:lineRule="auto"/>
        <w:ind w:firstLine="720"/>
        <w:jc w:val="both"/>
        <w:rPr>
          <w:rFonts w:eastAsia="Times New Roman" w:cs="Times New Roman"/>
          <w:szCs w:val="24"/>
          <w:lang w:eastAsia="lv-LV"/>
        </w:rPr>
      </w:pPr>
    </w:p>
    <w:p w14:paraId="3E8DA320" w14:textId="2D908FA9" w:rsidR="00601312" w:rsidRDefault="00EE6F41" w:rsidP="00D008F9">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2</w:t>
      </w:r>
      <w:r w:rsidR="00033047">
        <w:rPr>
          <w:rFonts w:eastAsia="Times New Roman" w:cs="Times New Roman"/>
          <w:szCs w:val="24"/>
          <w:lang w:eastAsia="lv-LV"/>
        </w:rPr>
        <w:t>4</w:t>
      </w:r>
      <w:r>
        <w:rPr>
          <w:rFonts w:eastAsia="Times New Roman" w:cs="Times New Roman"/>
          <w:szCs w:val="24"/>
          <w:lang w:eastAsia="lv-LV"/>
        </w:rPr>
        <w:t>] L</w:t>
      </w:r>
      <w:r w:rsidRPr="00EE6F41">
        <w:rPr>
          <w:rFonts w:eastAsia="Times New Roman" w:cs="Times New Roman"/>
          <w:szCs w:val="24"/>
          <w:lang w:eastAsia="lv-LV"/>
        </w:rPr>
        <w:t>ikuma „Par uzņēmumu ienākuma nodokli” 14.</w:t>
      </w:r>
      <w:r w:rsidRPr="00EE6F41">
        <w:rPr>
          <w:rFonts w:eastAsia="Times New Roman" w:cs="Times New Roman"/>
          <w:szCs w:val="24"/>
          <w:vertAlign w:val="superscript"/>
          <w:lang w:eastAsia="lv-LV"/>
        </w:rPr>
        <w:t>1</w:t>
      </w:r>
      <w:r w:rsidR="006251F5">
        <w:rPr>
          <w:rFonts w:eastAsia="Times New Roman" w:cs="Times New Roman"/>
          <w:szCs w:val="24"/>
          <w:lang w:eastAsia="lv-LV"/>
        </w:rPr>
        <w:t>pant</w:t>
      </w:r>
      <w:r w:rsidR="00601312">
        <w:rPr>
          <w:rFonts w:eastAsia="Times New Roman" w:cs="Times New Roman"/>
          <w:szCs w:val="24"/>
          <w:lang w:eastAsia="lv-LV"/>
        </w:rPr>
        <w:t>s nosaka to, kad un kādā veidā ir pieļaujama zaudējumu pārnešana uzņēmumu grupā.</w:t>
      </w:r>
    </w:p>
    <w:p w14:paraId="50E8D4FA" w14:textId="1E6E6A42" w:rsidR="009C5CDA" w:rsidRDefault="00601312" w:rsidP="00601312">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Laikā līdz </w:t>
      </w:r>
      <w:proofErr w:type="gramStart"/>
      <w:r>
        <w:rPr>
          <w:rFonts w:eastAsia="Times New Roman" w:cs="Times New Roman"/>
          <w:szCs w:val="24"/>
          <w:lang w:eastAsia="lv-LV"/>
        </w:rPr>
        <w:t>2010.gada</w:t>
      </w:r>
      <w:proofErr w:type="gramEnd"/>
      <w:r>
        <w:rPr>
          <w:rFonts w:eastAsia="Times New Roman" w:cs="Times New Roman"/>
          <w:szCs w:val="24"/>
          <w:lang w:eastAsia="lv-LV"/>
        </w:rPr>
        <w:t xml:space="preserve"> 31.decembrim likuma „Par uzņēmumu ienākuma nodokli” 14.</w:t>
      </w:r>
      <w:r w:rsidRPr="00601312">
        <w:rPr>
          <w:rFonts w:eastAsia="Times New Roman" w:cs="Times New Roman"/>
          <w:szCs w:val="24"/>
          <w:vertAlign w:val="superscript"/>
          <w:lang w:eastAsia="lv-LV"/>
        </w:rPr>
        <w:t>1</w:t>
      </w:r>
      <w:r>
        <w:rPr>
          <w:rFonts w:eastAsia="Times New Roman" w:cs="Times New Roman"/>
          <w:szCs w:val="24"/>
          <w:lang w:eastAsia="lv-LV"/>
        </w:rPr>
        <w:t>panta septītā daļa paredzēja, ka u</w:t>
      </w:r>
      <w:r w:rsidRPr="00601312">
        <w:rPr>
          <w:rFonts w:eastAsia="Times New Roman" w:cs="Times New Roman"/>
          <w:szCs w:val="24"/>
          <w:lang w:eastAsia="lv-LV"/>
        </w:rPr>
        <w:t xml:space="preserve">zņēmumu grupas dalībnieka taksācijas perioda zaudējumus var pārnest uz citu tās pašas uzņēmumu grupas dalībnieku, ja tiek izpildīti konkrēti </w:t>
      </w:r>
      <w:r>
        <w:rPr>
          <w:rFonts w:eastAsia="Times New Roman" w:cs="Times New Roman"/>
          <w:szCs w:val="24"/>
          <w:lang w:eastAsia="lv-LV"/>
        </w:rPr>
        <w:t xml:space="preserve">šai panta daļā minēti </w:t>
      </w:r>
      <w:r w:rsidRPr="00601312">
        <w:rPr>
          <w:rFonts w:eastAsia="Times New Roman" w:cs="Times New Roman"/>
          <w:szCs w:val="24"/>
          <w:lang w:eastAsia="lv-LV"/>
        </w:rPr>
        <w:t xml:space="preserve">nosacījumi. </w:t>
      </w:r>
      <w:proofErr w:type="spellStart"/>
      <w:r w:rsidR="009C5CDA" w:rsidRPr="00601312">
        <w:rPr>
          <w:rFonts w:eastAsia="Times New Roman" w:cs="Times New Roman"/>
          <w:szCs w:val="24"/>
          <w:lang w:eastAsia="lv-LV"/>
        </w:rPr>
        <w:t>Citstarp</w:t>
      </w:r>
      <w:proofErr w:type="spellEnd"/>
      <w:r w:rsidR="009C5CDA" w:rsidRPr="00601312">
        <w:rPr>
          <w:rFonts w:eastAsia="Times New Roman" w:cs="Times New Roman"/>
          <w:szCs w:val="24"/>
          <w:lang w:eastAsia="lv-LV"/>
        </w:rPr>
        <w:t xml:space="preserve"> 14.</w:t>
      </w:r>
      <w:r w:rsidR="009C5CDA" w:rsidRPr="009C5CDA">
        <w:rPr>
          <w:rFonts w:eastAsia="Times New Roman" w:cs="Times New Roman"/>
          <w:szCs w:val="24"/>
          <w:vertAlign w:val="superscript"/>
          <w:lang w:eastAsia="lv-LV"/>
        </w:rPr>
        <w:t>1</w:t>
      </w:r>
      <w:r w:rsidR="009C5CDA" w:rsidRPr="00601312">
        <w:rPr>
          <w:rFonts w:eastAsia="Times New Roman" w:cs="Times New Roman"/>
          <w:szCs w:val="24"/>
          <w:lang w:eastAsia="lv-LV"/>
        </w:rPr>
        <w:t>panta septītās daļas 4.punkts paredz</w:t>
      </w:r>
      <w:r w:rsidR="009C5CDA">
        <w:rPr>
          <w:rFonts w:eastAsia="Times New Roman" w:cs="Times New Roman"/>
          <w:szCs w:val="24"/>
          <w:lang w:eastAsia="lv-LV"/>
        </w:rPr>
        <w:t>ēja</w:t>
      </w:r>
      <w:r w:rsidR="009C5CDA" w:rsidRPr="00601312">
        <w:rPr>
          <w:rFonts w:eastAsia="Times New Roman" w:cs="Times New Roman"/>
          <w:szCs w:val="24"/>
          <w:lang w:eastAsia="lv-LV"/>
        </w:rPr>
        <w:t xml:space="preserve"> nosacījumu – neviens no uzņēmumiem nav nodokļu parādnieks attiecībā uz jebkuriem Latvijas Republikā maksājamiem nodokļiem, izņemot gadījumus, kad nodokļu nomaksas termiņi ir pagarināti</w:t>
      </w:r>
      <w:r w:rsidR="009C5CDA">
        <w:rPr>
          <w:rFonts w:eastAsia="Times New Roman" w:cs="Times New Roman"/>
          <w:szCs w:val="24"/>
          <w:lang w:eastAsia="lv-LV"/>
        </w:rPr>
        <w:t>.</w:t>
      </w:r>
    </w:p>
    <w:p w14:paraId="2CBD61F4" w14:textId="7B9D6036" w:rsidR="00601312" w:rsidRDefault="00601312" w:rsidP="00601312">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Ar likuma grozījumiem, kas stājās spēkā </w:t>
      </w:r>
      <w:proofErr w:type="gramStart"/>
      <w:r>
        <w:rPr>
          <w:rFonts w:eastAsia="Times New Roman" w:cs="Times New Roman"/>
          <w:szCs w:val="24"/>
          <w:lang w:eastAsia="lv-LV"/>
        </w:rPr>
        <w:t>2011.gada</w:t>
      </w:r>
      <w:proofErr w:type="gramEnd"/>
      <w:r>
        <w:rPr>
          <w:rFonts w:eastAsia="Times New Roman" w:cs="Times New Roman"/>
          <w:szCs w:val="24"/>
          <w:lang w:eastAsia="lv-LV"/>
        </w:rPr>
        <w:t xml:space="preserve"> 1.janvārī</w:t>
      </w:r>
      <w:r w:rsidR="00576F4B">
        <w:rPr>
          <w:rFonts w:eastAsia="Times New Roman" w:cs="Times New Roman"/>
          <w:szCs w:val="24"/>
          <w:lang w:eastAsia="lv-LV"/>
        </w:rPr>
        <w:t>,</w:t>
      </w:r>
      <w:r>
        <w:rPr>
          <w:rFonts w:eastAsia="Times New Roman" w:cs="Times New Roman"/>
          <w:szCs w:val="24"/>
          <w:lang w:eastAsia="lv-LV"/>
        </w:rPr>
        <w:t xml:space="preserve"> norma tika </w:t>
      </w:r>
      <w:r w:rsidR="00576F4B">
        <w:rPr>
          <w:rFonts w:eastAsia="Times New Roman" w:cs="Times New Roman"/>
          <w:szCs w:val="24"/>
          <w:lang w:eastAsia="lv-LV"/>
        </w:rPr>
        <w:t xml:space="preserve">izteikta redakcijā, kas noteica, ka </w:t>
      </w:r>
      <w:r w:rsidR="009C5CDA">
        <w:rPr>
          <w:rFonts w:eastAsia="Times New Roman" w:cs="Times New Roman"/>
          <w:szCs w:val="24"/>
          <w:lang w:eastAsia="lv-LV"/>
        </w:rPr>
        <w:t xml:space="preserve">zaudējumus var pārnest, ja </w:t>
      </w:r>
      <w:r w:rsidR="009C5CDA" w:rsidRPr="009C5CDA">
        <w:rPr>
          <w:rFonts w:eastAsia="Times New Roman" w:cs="Times New Roman"/>
          <w:szCs w:val="24"/>
          <w:lang w:eastAsia="lv-LV"/>
        </w:rPr>
        <w:t>neviens no uzņēmumiem</w:t>
      </w:r>
      <w:r w:rsidR="009C5CDA">
        <w:rPr>
          <w:rFonts w:eastAsia="Times New Roman" w:cs="Times New Roman"/>
          <w:szCs w:val="24"/>
          <w:lang w:eastAsia="lv-LV"/>
        </w:rPr>
        <w:t xml:space="preserve"> </w:t>
      </w:r>
      <w:r w:rsidR="009C5CDA" w:rsidRPr="009C5CDA">
        <w:rPr>
          <w:rFonts w:eastAsia="Times New Roman" w:cs="Times New Roman"/>
          <w:szCs w:val="24"/>
          <w:lang w:eastAsia="lv-LV"/>
        </w:rPr>
        <w:t xml:space="preserve">nav nodokļu parādnieks </w:t>
      </w:r>
      <w:r w:rsidR="009C5CDA" w:rsidRPr="009C5CDA">
        <w:rPr>
          <w:rFonts w:eastAsia="Times New Roman" w:cs="Times New Roman"/>
          <w:i/>
          <w:szCs w:val="24"/>
          <w:lang w:eastAsia="lv-LV"/>
        </w:rPr>
        <w:t>taksācijas perioda pēdējā dienā</w:t>
      </w:r>
      <w:r w:rsidR="009C5CDA">
        <w:rPr>
          <w:rFonts w:eastAsia="Times New Roman" w:cs="Times New Roman"/>
          <w:szCs w:val="24"/>
          <w:lang w:eastAsia="lv-LV"/>
        </w:rPr>
        <w:t>.</w:t>
      </w:r>
      <w:r w:rsidR="00DF459B">
        <w:rPr>
          <w:rFonts w:eastAsia="Times New Roman" w:cs="Times New Roman"/>
          <w:szCs w:val="24"/>
          <w:lang w:eastAsia="lv-LV"/>
        </w:rPr>
        <w:t xml:space="preserve"> </w:t>
      </w:r>
    </w:p>
    <w:p w14:paraId="3F604216" w14:textId="2795409C" w:rsidR="00237BFE" w:rsidRDefault="00237BFE" w:rsidP="00601312">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Tādējādi līdz </w:t>
      </w:r>
      <w:proofErr w:type="gramStart"/>
      <w:r>
        <w:rPr>
          <w:rFonts w:eastAsia="Times New Roman" w:cs="Times New Roman"/>
          <w:szCs w:val="24"/>
          <w:lang w:eastAsia="lv-LV"/>
        </w:rPr>
        <w:t>2010.gada</w:t>
      </w:r>
      <w:proofErr w:type="gramEnd"/>
      <w:r>
        <w:rPr>
          <w:rFonts w:eastAsia="Times New Roman" w:cs="Times New Roman"/>
          <w:szCs w:val="24"/>
          <w:lang w:eastAsia="lv-LV"/>
        </w:rPr>
        <w:t xml:space="preserve"> 31.decembrim likumā ietvertais kritērijs par nodokļu parādu neesību nebija precizēts, paredzot noteiktu brīdi, uz kuru nodokļu parādu esība būtu jākonstatē.</w:t>
      </w:r>
    </w:p>
    <w:p w14:paraId="5F810049" w14:textId="77777777" w:rsidR="00DF459B" w:rsidRDefault="00DF459B" w:rsidP="00601312">
      <w:pPr>
        <w:spacing w:after="0" w:line="276" w:lineRule="auto"/>
        <w:ind w:firstLine="720"/>
        <w:jc w:val="both"/>
        <w:rPr>
          <w:rFonts w:eastAsia="Times New Roman" w:cs="Times New Roman"/>
          <w:szCs w:val="24"/>
          <w:lang w:eastAsia="lv-LV"/>
        </w:rPr>
      </w:pPr>
    </w:p>
    <w:p w14:paraId="63D9C3C3" w14:textId="50CA1118" w:rsidR="00237BFE" w:rsidRDefault="00DF459B" w:rsidP="00601312">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2</w:t>
      </w:r>
      <w:r w:rsidR="00033047">
        <w:rPr>
          <w:rFonts w:eastAsia="Times New Roman" w:cs="Times New Roman"/>
          <w:szCs w:val="24"/>
          <w:lang w:eastAsia="lv-LV"/>
        </w:rPr>
        <w:t>5</w:t>
      </w:r>
      <w:r>
        <w:rPr>
          <w:rFonts w:eastAsia="Times New Roman" w:cs="Times New Roman"/>
          <w:szCs w:val="24"/>
          <w:lang w:eastAsia="lv-LV"/>
        </w:rPr>
        <w:t xml:space="preserve">] </w:t>
      </w:r>
      <w:r w:rsidR="00237BFE">
        <w:rPr>
          <w:rFonts w:eastAsia="Times New Roman" w:cs="Times New Roman"/>
          <w:szCs w:val="24"/>
          <w:lang w:eastAsia="lv-LV"/>
        </w:rPr>
        <w:t>Uzņēmumu ienākuma nodokļa apmērs tiek noteikts, iesniedzot deklarāciju, kurā tiek apkopoti taksācijas perioda rezultāti un noteikt</w:t>
      </w:r>
      <w:r w:rsidR="00EA78D4">
        <w:rPr>
          <w:rFonts w:eastAsia="Times New Roman" w:cs="Times New Roman"/>
          <w:szCs w:val="24"/>
          <w:lang w:eastAsia="lv-LV"/>
        </w:rPr>
        <w:t>a</w:t>
      </w:r>
      <w:r w:rsidR="00237BFE">
        <w:rPr>
          <w:rFonts w:eastAsia="Times New Roman" w:cs="Times New Roman"/>
          <w:szCs w:val="24"/>
          <w:lang w:eastAsia="lv-LV"/>
        </w:rPr>
        <w:t xml:space="preserve"> taksācijas perioda </w:t>
      </w:r>
      <w:r w:rsidR="00EA78D4">
        <w:rPr>
          <w:rFonts w:eastAsia="Times New Roman" w:cs="Times New Roman"/>
          <w:szCs w:val="24"/>
          <w:lang w:eastAsia="lv-LV"/>
        </w:rPr>
        <w:t>peļņa</w:t>
      </w:r>
      <w:r w:rsidR="00237BFE">
        <w:rPr>
          <w:rFonts w:eastAsia="Times New Roman" w:cs="Times New Roman"/>
          <w:szCs w:val="24"/>
          <w:lang w:eastAsia="lv-LV"/>
        </w:rPr>
        <w:t xml:space="preserve"> vai zaudējumi</w:t>
      </w:r>
      <w:r w:rsidR="00EA78D4">
        <w:rPr>
          <w:rFonts w:eastAsia="Times New Roman" w:cs="Times New Roman"/>
          <w:szCs w:val="24"/>
          <w:lang w:eastAsia="lv-LV"/>
        </w:rPr>
        <w:t xml:space="preserve">, aprēķinam par pamatu ņemot attiecīgo gada pārskatu un to koriģējot atbilstoši likumam (likuma „Par uzņēmumu ienākuma nodokli” </w:t>
      </w:r>
      <w:proofErr w:type="gramStart"/>
      <w:r w:rsidR="00EA78D4">
        <w:rPr>
          <w:rFonts w:eastAsia="Times New Roman" w:cs="Times New Roman"/>
          <w:szCs w:val="24"/>
          <w:lang w:eastAsia="lv-LV"/>
        </w:rPr>
        <w:t>4.panta</w:t>
      </w:r>
      <w:proofErr w:type="gramEnd"/>
      <w:r w:rsidR="00EA78D4">
        <w:rPr>
          <w:rFonts w:eastAsia="Times New Roman" w:cs="Times New Roman"/>
          <w:szCs w:val="24"/>
          <w:lang w:eastAsia="lv-LV"/>
        </w:rPr>
        <w:t xml:space="preserve"> pirmā daļa)</w:t>
      </w:r>
      <w:r w:rsidR="00237BFE">
        <w:rPr>
          <w:rFonts w:eastAsia="Times New Roman" w:cs="Times New Roman"/>
          <w:szCs w:val="24"/>
          <w:lang w:eastAsia="lv-LV"/>
        </w:rPr>
        <w:t xml:space="preserve">. </w:t>
      </w:r>
      <w:r w:rsidR="00EA78D4">
        <w:rPr>
          <w:rFonts w:eastAsia="Times New Roman" w:cs="Times New Roman"/>
          <w:szCs w:val="24"/>
          <w:lang w:eastAsia="lv-LV"/>
        </w:rPr>
        <w:t>Tikai tad arī tiek noskaidrots, vai vispār ir zaudējumi, kurus būtu iespējams pārnest (</w:t>
      </w:r>
      <w:r w:rsidR="008828A7">
        <w:rPr>
          <w:rFonts w:eastAsia="Times New Roman" w:cs="Times New Roman"/>
          <w:szCs w:val="24"/>
          <w:lang w:eastAsia="lv-LV"/>
        </w:rPr>
        <w:t>sal.</w:t>
      </w:r>
      <w:r w:rsidR="00EA78D4">
        <w:rPr>
          <w:rFonts w:eastAsia="Times New Roman" w:cs="Times New Roman"/>
          <w:szCs w:val="24"/>
          <w:lang w:eastAsia="lv-LV"/>
        </w:rPr>
        <w:t xml:space="preserve"> likuma „Par uzņēmumu ienākuma nodokli” 14.</w:t>
      </w:r>
      <w:r w:rsidR="00EA78D4" w:rsidRPr="008828A7">
        <w:rPr>
          <w:rFonts w:eastAsia="Times New Roman" w:cs="Times New Roman"/>
          <w:szCs w:val="24"/>
          <w:vertAlign w:val="superscript"/>
          <w:lang w:eastAsia="lv-LV"/>
        </w:rPr>
        <w:t>1</w:t>
      </w:r>
      <w:r w:rsidR="00EA78D4">
        <w:rPr>
          <w:rFonts w:eastAsia="Times New Roman" w:cs="Times New Roman"/>
          <w:szCs w:val="24"/>
          <w:lang w:eastAsia="lv-LV"/>
        </w:rPr>
        <w:t>panta sest</w:t>
      </w:r>
      <w:r w:rsidR="008828A7">
        <w:rPr>
          <w:rFonts w:eastAsia="Times New Roman" w:cs="Times New Roman"/>
          <w:szCs w:val="24"/>
          <w:lang w:eastAsia="lv-LV"/>
        </w:rPr>
        <w:t>ā</w:t>
      </w:r>
      <w:r w:rsidR="00EA78D4">
        <w:rPr>
          <w:rFonts w:eastAsia="Times New Roman" w:cs="Times New Roman"/>
          <w:szCs w:val="24"/>
          <w:lang w:eastAsia="lv-LV"/>
        </w:rPr>
        <w:t xml:space="preserve"> da</w:t>
      </w:r>
      <w:r w:rsidR="008828A7">
        <w:rPr>
          <w:rFonts w:eastAsia="Times New Roman" w:cs="Times New Roman"/>
          <w:szCs w:val="24"/>
          <w:lang w:eastAsia="lv-LV"/>
        </w:rPr>
        <w:t>ļa – „</w:t>
      </w:r>
      <w:r w:rsidR="00A80078">
        <w:rPr>
          <w:rFonts w:eastAsia="Times New Roman" w:cs="Times New Roman"/>
          <w:szCs w:val="24"/>
          <w:lang w:eastAsia="lv-LV"/>
        </w:rPr>
        <w:t xml:space="preserve">Ja </w:t>
      </w:r>
      <w:r w:rsidR="008828A7">
        <w:rPr>
          <w:rFonts w:eastAsia="Times New Roman" w:cs="Times New Roman"/>
          <w:szCs w:val="24"/>
          <w:lang w:eastAsia="lv-LV"/>
        </w:rPr>
        <w:t xml:space="preserve">[..] </w:t>
      </w:r>
      <w:r w:rsidR="008828A7" w:rsidRPr="008828A7">
        <w:rPr>
          <w:rFonts w:eastAsia="Times New Roman" w:cs="Times New Roman"/>
          <w:szCs w:val="24"/>
          <w:lang w:eastAsia="lv-LV"/>
        </w:rPr>
        <w:t>taksācijas perioda peļņas vai zaudējumu koriģēšanas rezultāts ir zaudējumi</w:t>
      </w:r>
      <w:r w:rsidR="008828A7">
        <w:rPr>
          <w:rFonts w:eastAsia="Times New Roman" w:cs="Times New Roman"/>
          <w:szCs w:val="24"/>
          <w:lang w:eastAsia="lv-LV"/>
        </w:rPr>
        <w:t>”</w:t>
      </w:r>
      <w:r w:rsidR="00EA78D4">
        <w:rPr>
          <w:rFonts w:eastAsia="Times New Roman" w:cs="Times New Roman"/>
          <w:szCs w:val="24"/>
          <w:lang w:eastAsia="lv-LV"/>
        </w:rPr>
        <w:t xml:space="preserve">). </w:t>
      </w:r>
      <w:r w:rsidR="00237BFE">
        <w:rPr>
          <w:rFonts w:eastAsia="Times New Roman" w:cs="Times New Roman"/>
          <w:szCs w:val="24"/>
          <w:lang w:eastAsia="lv-LV"/>
        </w:rPr>
        <w:t xml:space="preserve">Ievērojot minēto, ciktāl normatīvajos aktos nav </w:t>
      </w:r>
      <w:r w:rsidR="008828A7">
        <w:rPr>
          <w:rFonts w:eastAsia="Times New Roman" w:cs="Times New Roman"/>
          <w:szCs w:val="24"/>
          <w:lang w:eastAsia="lv-LV"/>
        </w:rPr>
        <w:t>noteikts</w:t>
      </w:r>
      <w:r w:rsidR="00237BFE">
        <w:rPr>
          <w:rFonts w:eastAsia="Times New Roman" w:cs="Times New Roman"/>
          <w:szCs w:val="24"/>
          <w:lang w:eastAsia="lv-LV"/>
        </w:rPr>
        <w:t xml:space="preserve"> cits brīdis, vispārīgi var secināt, ka </w:t>
      </w:r>
      <w:r w:rsidR="00EA78D4">
        <w:rPr>
          <w:rFonts w:eastAsia="Times New Roman" w:cs="Times New Roman"/>
          <w:szCs w:val="24"/>
          <w:lang w:eastAsia="lv-LV"/>
        </w:rPr>
        <w:t xml:space="preserve">arī </w:t>
      </w:r>
      <w:r w:rsidR="00237BFE">
        <w:rPr>
          <w:rFonts w:eastAsia="Times New Roman" w:cs="Times New Roman"/>
          <w:szCs w:val="24"/>
          <w:lang w:eastAsia="lv-LV"/>
        </w:rPr>
        <w:t>nodokļu parāda esība</w:t>
      </w:r>
      <w:r w:rsidR="00EA78D4">
        <w:rPr>
          <w:rFonts w:eastAsia="Times New Roman" w:cs="Times New Roman"/>
          <w:szCs w:val="24"/>
          <w:lang w:eastAsia="lv-LV"/>
        </w:rPr>
        <w:t xml:space="preserve"> kā zaudējumu pārnešanu izslēdzošs apstāklis</w:t>
      </w:r>
      <w:r w:rsidR="00237BFE">
        <w:rPr>
          <w:rFonts w:eastAsia="Times New Roman" w:cs="Times New Roman"/>
          <w:szCs w:val="24"/>
          <w:lang w:eastAsia="lv-LV"/>
        </w:rPr>
        <w:t xml:space="preserve"> ir noskaidrojama vienlaikus ar ienākumu vai zaudējumu noskaidrošanu, proti, iesniedzot deklarāciju, kurā tiek arī deklarēta zaudējumu pārnešana.</w:t>
      </w:r>
      <w:r w:rsidR="00EA78D4">
        <w:rPr>
          <w:rFonts w:eastAsia="Times New Roman" w:cs="Times New Roman"/>
          <w:szCs w:val="24"/>
          <w:lang w:eastAsia="lv-LV"/>
        </w:rPr>
        <w:t xml:space="preserve"> </w:t>
      </w:r>
      <w:r w:rsidR="008828A7">
        <w:rPr>
          <w:rFonts w:eastAsia="Times New Roman" w:cs="Times New Roman"/>
          <w:szCs w:val="24"/>
          <w:lang w:eastAsia="lv-LV"/>
        </w:rPr>
        <w:t>T</w:t>
      </w:r>
      <w:r w:rsidR="00EA78D4">
        <w:rPr>
          <w:rFonts w:eastAsia="Times New Roman" w:cs="Times New Roman"/>
          <w:szCs w:val="24"/>
          <w:lang w:eastAsia="lv-LV"/>
        </w:rPr>
        <w:t xml:space="preserve">āda varētu būt arī nodokļu maksātāja vispārīga izpratne, jo ļauj apkopot visa gada rezultātus, tostarp, kā </w:t>
      </w:r>
      <w:r w:rsidR="008828A7">
        <w:rPr>
          <w:rFonts w:eastAsia="Times New Roman" w:cs="Times New Roman"/>
          <w:szCs w:val="24"/>
          <w:lang w:eastAsia="lv-LV"/>
        </w:rPr>
        <w:t xml:space="preserve">var secināt no pieteicējas </w:t>
      </w:r>
      <w:r w:rsidR="00830902">
        <w:rPr>
          <w:rFonts w:eastAsia="Times New Roman" w:cs="Times New Roman"/>
          <w:szCs w:val="24"/>
          <w:lang w:eastAsia="lv-LV"/>
        </w:rPr>
        <w:t xml:space="preserve">pieteikumā ietvertajiem argumentiem un </w:t>
      </w:r>
      <w:r w:rsidR="008828A7">
        <w:rPr>
          <w:rFonts w:eastAsia="Times New Roman" w:cs="Times New Roman"/>
          <w:szCs w:val="24"/>
          <w:lang w:eastAsia="lv-LV"/>
        </w:rPr>
        <w:t>paskaidrojumiem</w:t>
      </w:r>
      <w:r w:rsidR="00EA78D4">
        <w:rPr>
          <w:rFonts w:eastAsia="Times New Roman" w:cs="Times New Roman"/>
          <w:szCs w:val="24"/>
          <w:lang w:eastAsia="lv-LV"/>
        </w:rPr>
        <w:t xml:space="preserve">, </w:t>
      </w:r>
      <w:r w:rsidR="008828A7">
        <w:rPr>
          <w:rFonts w:eastAsia="Times New Roman" w:cs="Times New Roman"/>
          <w:szCs w:val="24"/>
          <w:lang w:eastAsia="lv-LV"/>
        </w:rPr>
        <w:t>galīgi noskaidrot saistības pret valsti par attiecīgo taksācijas periodu, un tas ietver arī par attiecīgo taksācijas periodu izveidojušos nodokļu pārmaksu izmantošanu.</w:t>
      </w:r>
    </w:p>
    <w:p w14:paraId="20776241" w14:textId="77777777" w:rsidR="00A80078" w:rsidRDefault="00A80078" w:rsidP="00237BFE">
      <w:pPr>
        <w:spacing w:after="0" w:line="276" w:lineRule="auto"/>
        <w:ind w:firstLine="720"/>
        <w:jc w:val="both"/>
        <w:rPr>
          <w:rFonts w:eastAsia="Times New Roman" w:cs="Times New Roman"/>
          <w:szCs w:val="24"/>
          <w:lang w:eastAsia="lv-LV"/>
        </w:rPr>
      </w:pPr>
    </w:p>
    <w:p w14:paraId="69B4831F" w14:textId="2CC3480E" w:rsidR="00237BFE" w:rsidRDefault="00A80078" w:rsidP="00237BFE">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2</w:t>
      </w:r>
      <w:r w:rsidR="00033047">
        <w:rPr>
          <w:rFonts w:eastAsia="Times New Roman" w:cs="Times New Roman"/>
          <w:szCs w:val="24"/>
          <w:lang w:eastAsia="lv-LV"/>
        </w:rPr>
        <w:t>6</w:t>
      </w:r>
      <w:r>
        <w:rPr>
          <w:rFonts w:eastAsia="Times New Roman" w:cs="Times New Roman"/>
          <w:szCs w:val="24"/>
          <w:lang w:eastAsia="lv-LV"/>
        </w:rPr>
        <w:t xml:space="preserve">] </w:t>
      </w:r>
      <w:r w:rsidR="00237BFE">
        <w:rPr>
          <w:rFonts w:eastAsia="Times New Roman" w:cs="Times New Roman"/>
          <w:szCs w:val="24"/>
          <w:lang w:eastAsia="lv-LV"/>
        </w:rPr>
        <w:t xml:space="preserve">Tā kā, stājoties spēkā likumam, taksācijas perioda pēdējā diena jau bija pagājusi, un tā kā likumam pēc vispārīga principa nav atpakaļejoša spēka, šādu normas tekstu nevar attiecināt nedz uz 2009., nedz uz </w:t>
      </w:r>
      <w:proofErr w:type="gramStart"/>
      <w:r w:rsidR="00237BFE">
        <w:rPr>
          <w:rFonts w:eastAsia="Times New Roman" w:cs="Times New Roman"/>
          <w:szCs w:val="24"/>
          <w:lang w:eastAsia="lv-LV"/>
        </w:rPr>
        <w:t>2010.gada</w:t>
      </w:r>
      <w:proofErr w:type="gramEnd"/>
      <w:r w:rsidR="00237BFE">
        <w:rPr>
          <w:rFonts w:eastAsia="Times New Roman" w:cs="Times New Roman"/>
          <w:szCs w:val="24"/>
          <w:lang w:eastAsia="lv-LV"/>
        </w:rPr>
        <w:t xml:space="preserve"> taksācijas perioda pēdējo dienu. Pretējā gadījumā nodokļu maksātājam nelabvēlīgas sekas iestātos par tādu darbību un apstākļiem, kuri jau notikuši pagātnē un kurus tas vairs nevar ietekmēt.</w:t>
      </w:r>
    </w:p>
    <w:p w14:paraId="089FC5AD" w14:textId="039C4181" w:rsidR="00A80078" w:rsidRDefault="00A80078" w:rsidP="00237BFE">
      <w:pPr>
        <w:spacing w:after="0" w:line="276" w:lineRule="auto"/>
        <w:ind w:firstLine="720"/>
        <w:jc w:val="both"/>
        <w:rPr>
          <w:rFonts w:eastAsia="Times New Roman" w:cs="Times New Roman"/>
          <w:szCs w:val="24"/>
          <w:lang w:eastAsia="lv-LV"/>
        </w:rPr>
      </w:pPr>
      <w:r>
        <w:rPr>
          <w:rFonts w:eastAsia="Times New Roman" w:cs="Times New Roman"/>
          <w:szCs w:val="24"/>
          <w:lang w:eastAsia="lv-LV"/>
        </w:rPr>
        <w:t>Līdz ar to attiecībā uz pieteicēju nebija piemērojama likuma „Par uzņēmumu ienākuma nodokli” 14.</w:t>
      </w:r>
      <w:proofErr w:type="gramStart"/>
      <w:r w:rsidRPr="00A80078">
        <w:rPr>
          <w:rFonts w:eastAsia="Times New Roman" w:cs="Times New Roman"/>
          <w:szCs w:val="24"/>
          <w:vertAlign w:val="superscript"/>
          <w:lang w:eastAsia="lv-LV"/>
        </w:rPr>
        <w:t>1</w:t>
      </w:r>
      <w:r>
        <w:rPr>
          <w:rFonts w:eastAsia="Times New Roman" w:cs="Times New Roman"/>
          <w:szCs w:val="24"/>
          <w:lang w:eastAsia="lv-LV"/>
        </w:rPr>
        <w:t>panta</w:t>
      </w:r>
      <w:proofErr w:type="gramEnd"/>
      <w:r>
        <w:rPr>
          <w:rFonts w:eastAsia="Times New Roman" w:cs="Times New Roman"/>
          <w:szCs w:val="24"/>
          <w:lang w:eastAsia="lv-LV"/>
        </w:rPr>
        <w:t xml:space="preserve"> septītās daļas 4.punkta redakcija, kas stājās spēkā 2011.gada 1.janvārī.</w:t>
      </w:r>
    </w:p>
    <w:p w14:paraId="125608A4" w14:textId="77777777" w:rsidR="00237BFE" w:rsidRDefault="00237BFE" w:rsidP="00237BFE">
      <w:pPr>
        <w:spacing w:after="0" w:line="276" w:lineRule="auto"/>
        <w:ind w:firstLine="720"/>
        <w:jc w:val="both"/>
        <w:rPr>
          <w:rFonts w:eastAsia="Times New Roman" w:cs="Times New Roman"/>
          <w:szCs w:val="24"/>
          <w:lang w:eastAsia="lv-LV"/>
        </w:rPr>
      </w:pPr>
    </w:p>
    <w:p w14:paraId="1C89A3CC" w14:textId="2E25E8E1" w:rsidR="00A80078" w:rsidRDefault="00A80078" w:rsidP="00237BFE">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830902">
        <w:rPr>
          <w:rFonts w:eastAsia="Times New Roman" w:cs="Times New Roman"/>
          <w:szCs w:val="24"/>
          <w:lang w:eastAsia="lv-LV"/>
        </w:rPr>
        <w:t>2</w:t>
      </w:r>
      <w:r w:rsidR="00033047">
        <w:rPr>
          <w:rFonts w:eastAsia="Times New Roman" w:cs="Times New Roman"/>
          <w:szCs w:val="24"/>
          <w:lang w:eastAsia="lv-LV"/>
        </w:rPr>
        <w:t>7</w:t>
      </w:r>
      <w:r>
        <w:rPr>
          <w:rFonts w:eastAsia="Times New Roman" w:cs="Times New Roman"/>
          <w:szCs w:val="24"/>
          <w:lang w:eastAsia="lv-LV"/>
        </w:rPr>
        <w:t>] Administratīvā apgabaltiesa turpretim ir piemērojusi normu tieši šajā – jaunajā – redakcijā, kā to bija darījis arī Valsts ieņēmumu dienests</w:t>
      </w:r>
      <w:r w:rsidR="00E922F9">
        <w:rPr>
          <w:rFonts w:eastAsia="Times New Roman" w:cs="Times New Roman"/>
          <w:szCs w:val="24"/>
          <w:lang w:eastAsia="lv-LV"/>
        </w:rPr>
        <w:t xml:space="preserve"> (sk. Valsts ieņēmumu dienesta </w:t>
      </w:r>
      <w:proofErr w:type="gramStart"/>
      <w:r w:rsidR="00E922F9">
        <w:rPr>
          <w:rFonts w:eastAsia="Times New Roman" w:cs="Times New Roman"/>
          <w:szCs w:val="24"/>
          <w:lang w:eastAsia="lv-LV"/>
        </w:rPr>
        <w:t>2012.gada</w:t>
      </w:r>
      <w:proofErr w:type="gramEnd"/>
      <w:r w:rsidR="00E922F9">
        <w:rPr>
          <w:rFonts w:eastAsia="Times New Roman" w:cs="Times New Roman"/>
          <w:szCs w:val="24"/>
          <w:lang w:eastAsia="lv-LV"/>
        </w:rPr>
        <w:t xml:space="preserve"> 18.aprīļa lēmuma Nr. 22.4.8/30950 21.lapu)</w:t>
      </w:r>
      <w:r>
        <w:rPr>
          <w:rFonts w:eastAsia="Times New Roman" w:cs="Times New Roman"/>
          <w:szCs w:val="24"/>
          <w:lang w:eastAsia="lv-LV"/>
        </w:rPr>
        <w:t>, neiedziļinoties jautājumā par normas piemērojamību.</w:t>
      </w:r>
    </w:p>
    <w:p w14:paraId="19F3E56B" w14:textId="79D1F368" w:rsidR="00A80078" w:rsidRDefault="00A80078" w:rsidP="00237BFE">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Tas varēja novest pie </w:t>
      </w:r>
      <w:r w:rsidR="00E922F9">
        <w:rPr>
          <w:rFonts w:eastAsia="Times New Roman" w:cs="Times New Roman"/>
          <w:szCs w:val="24"/>
          <w:lang w:eastAsia="lv-LV"/>
        </w:rPr>
        <w:t>nepareiza lietas iznākuma, tādēļ spriedums šajā daļā ir atceļams.</w:t>
      </w:r>
    </w:p>
    <w:p w14:paraId="4225CFDC" w14:textId="77777777" w:rsidR="006251F5" w:rsidRDefault="006251F5" w:rsidP="00D008F9">
      <w:pPr>
        <w:spacing w:after="0" w:line="276" w:lineRule="auto"/>
        <w:ind w:firstLine="720"/>
        <w:jc w:val="both"/>
        <w:rPr>
          <w:rFonts w:eastAsia="Times New Roman" w:cs="Times New Roman"/>
          <w:szCs w:val="24"/>
          <w:lang w:eastAsia="lv-LV"/>
        </w:rPr>
      </w:pPr>
    </w:p>
    <w:p w14:paraId="538BBCF7" w14:textId="77777777" w:rsidR="0022589D" w:rsidRPr="007274C5" w:rsidRDefault="0022589D" w:rsidP="007274C5">
      <w:pPr>
        <w:spacing w:after="0" w:line="276" w:lineRule="auto"/>
        <w:jc w:val="center"/>
        <w:rPr>
          <w:rFonts w:cs="Times New Roman"/>
          <w:b/>
          <w:szCs w:val="24"/>
        </w:rPr>
      </w:pPr>
      <w:r w:rsidRPr="007274C5">
        <w:rPr>
          <w:rFonts w:cs="Times New Roman"/>
          <w:b/>
          <w:szCs w:val="24"/>
        </w:rPr>
        <w:t>Rezolutīvā daļa</w:t>
      </w:r>
    </w:p>
    <w:p w14:paraId="32DD3FE7" w14:textId="77777777" w:rsidR="0022589D" w:rsidRPr="007274C5" w:rsidRDefault="0022589D" w:rsidP="007274C5">
      <w:pPr>
        <w:spacing w:after="0" w:line="276" w:lineRule="auto"/>
        <w:jc w:val="both"/>
        <w:rPr>
          <w:rFonts w:cs="Times New Roman"/>
          <w:szCs w:val="24"/>
        </w:rPr>
      </w:pPr>
    </w:p>
    <w:p w14:paraId="55C56C88" w14:textId="09834546" w:rsidR="0022589D" w:rsidRPr="007274C5" w:rsidRDefault="0022589D" w:rsidP="007274C5">
      <w:pPr>
        <w:spacing w:after="0" w:line="276" w:lineRule="auto"/>
        <w:ind w:firstLine="709"/>
        <w:jc w:val="both"/>
        <w:rPr>
          <w:rFonts w:cs="Times New Roman"/>
          <w:bCs/>
          <w:szCs w:val="24"/>
        </w:rPr>
      </w:pPr>
      <w:r w:rsidRPr="007274C5">
        <w:rPr>
          <w:rFonts w:cs="Times New Roman"/>
          <w:szCs w:val="24"/>
        </w:rPr>
        <w:t xml:space="preserve">Pamatojoties uz Administratīvā procesa likuma </w:t>
      </w:r>
      <w:r w:rsidR="00E128B8">
        <w:rPr>
          <w:rFonts w:cs="Times New Roman"/>
          <w:szCs w:val="24"/>
        </w:rPr>
        <w:t>129.</w:t>
      </w:r>
      <w:r w:rsidR="00E128B8" w:rsidRPr="00120815">
        <w:rPr>
          <w:rFonts w:cs="Times New Roman"/>
          <w:szCs w:val="24"/>
          <w:vertAlign w:val="superscript"/>
        </w:rPr>
        <w:t>1</w:t>
      </w:r>
      <w:r w:rsidR="00E128B8">
        <w:rPr>
          <w:rFonts w:cs="Times New Roman"/>
          <w:szCs w:val="24"/>
        </w:rPr>
        <w:t xml:space="preserve">panta pirmās daļas 1.punktu, </w:t>
      </w:r>
      <w:r w:rsidR="00A567A9" w:rsidRPr="007274C5">
        <w:rPr>
          <w:rFonts w:cs="Times New Roman"/>
          <w:szCs w:val="24"/>
        </w:rPr>
        <w:t xml:space="preserve">348.panta pirmās daļas </w:t>
      </w:r>
      <w:r w:rsidR="001B732F">
        <w:rPr>
          <w:rFonts w:cs="Times New Roman"/>
          <w:szCs w:val="24"/>
        </w:rPr>
        <w:t>2</w:t>
      </w:r>
      <w:r w:rsidR="00A567A9" w:rsidRPr="007274C5">
        <w:rPr>
          <w:rFonts w:cs="Times New Roman"/>
          <w:szCs w:val="24"/>
        </w:rPr>
        <w:t xml:space="preserve">.punktu un 351.pantu, </w:t>
      </w:r>
      <w:r w:rsidRPr="007274C5">
        <w:rPr>
          <w:rFonts w:cs="Times New Roman"/>
          <w:szCs w:val="24"/>
        </w:rPr>
        <w:t>Augstākā tiesa</w:t>
      </w:r>
    </w:p>
    <w:p w14:paraId="4C82B639" w14:textId="77777777" w:rsidR="0022589D" w:rsidRPr="007274C5" w:rsidRDefault="0022589D" w:rsidP="007274C5">
      <w:pPr>
        <w:spacing w:after="0" w:line="276" w:lineRule="auto"/>
        <w:jc w:val="both"/>
        <w:rPr>
          <w:rFonts w:cs="Times New Roman"/>
          <w:szCs w:val="24"/>
        </w:rPr>
      </w:pPr>
    </w:p>
    <w:p w14:paraId="4D957476" w14:textId="185261E6" w:rsidR="0022589D" w:rsidRPr="007274C5" w:rsidRDefault="00A567A9" w:rsidP="007274C5">
      <w:pPr>
        <w:spacing w:after="0" w:line="276" w:lineRule="auto"/>
        <w:jc w:val="center"/>
        <w:rPr>
          <w:rFonts w:cs="Times New Roman"/>
          <w:b/>
          <w:szCs w:val="24"/>
        </w:rPr>
      </w:pPr>
      <w:r w:rsidRPr="007274C5">
        <w:rPr>
          <w:rFonts w:cs="Times New Roman"/>
          <w:b/>
          <w:szCs w:val="24"/>
        </w:rPr>
        <w:t>n</w:t>
      </w:r>
      <w:r w:rsidR="0022589D" w:rsidRPr="007274C5">
        <w:rPr>
          <w:rFonts w:cs="Times New Roman"/>
          <w:b/>
          <w:szCs w:val="24"/>
        </w:rPr>
        <w:t>osprieda</w:t>
      </w:r>
      <w:r w:rsidRPr="007274C5">
        <w:rPr>
          <w:rFonts w:cs="Times New Roman"/>
          <w:b/>
          <w:szCs w:val="24"/>
        </w:rPr>
        <w:t>:</w:t>
      </w:r>
    </w:p>
    <w:p w14:paraId="79A19ED7" w14:textId="77777777" w:rsidR="0022589D" w:rsidRPr="007274C5" w:rsidRDefault="0022589D" w:rsidP="007274C5">
      <w:pPr>
        <w:spacing w:after="0" w:line="276" w:lineRule="auto"/>
        <w:jc w:val="both"/>
        <w:rPr>
          <w:rFonts w:cs="Times New Roman"/>
          <w:szCs w:val="24"/>
        </w:rPr>
      </w:pPr>
    </w:p>
    <w:p w14:paraId="706817B4" w14:textId="77777777" w:rsidR="00E922F9" w:rsidRDefault="00A567A9" w:rsidP="00120815">
      <w:pPr>
        <w:spacing w:after="0" w:line="276" w:lineRule="auto"/>
        <w:ind w:firstLine="720"/>
        <w:jc w:val="both"/>
        <w:rPr>
          <w:rFonts w:cs="Times New Roman"/>
          <w:szCs w:val="24"/>
        </w:rPr>
      </w:pPr>
      <w:r w:rsidRPr="007274C5">
        <w:rPr>
          <w:rFonts w:cs="Times New Roman"/>
          <w:szCs w:val="24"/>
        </w:rPr>
        <w:t>at</w:t>
      </w:r>
      <w:r w:rsidR="001B732F">
        <w:rPr>
          <w:rFonts w:cs="Times New Roman"/>
          <w:szCs w:val="24"/>
        </w:rPr>
        <w:t>celt</w:t>
      </w:r>
      <w:r w:rsidR="0022589D" w:rsidRPr="007274C5">
        <w:rPr>
          <w:rFonts w:cs="Times New Roman"/>
          <w:szCs w:val="24"/>
        </w:rPr>
        <w:t xml:space="preserve"> Administratīvās apgabaltiesas </w:t>
      </w:r>
      <w:proofErr w:type="gramStart"/>
      <w:r w:rsidRPr="007274C5">
        <w:rPr>
          <w:rFonts w:cs="Times New Roman"/>
          <w:szCs w:val="24"/>
        </w:rPr>
        <w:t>201</w:t>
      </w:r>
      <w:r w:rsidR="005508CC" w:rsidRPr="007274C5">
        <w:rPr>
          <w:rFonts w:cs="Times New Roman"/>
          <w:szCs w:val="24"/>
        </w:rPr>
        <w:t>6</w:t>
      </w:r>
      <w:r w:rsidRPr="007274C5">
        <w:rPr>
          <w:rFonts w:cs="Times New Roman"/>
          <w:szCs w:val="24"/>
        </w:rPr>
        <w:t>.gada</w:t>
      </w:r>
      <w:proofErr w:type="gramEnd"/>
      <w:r w:rsidRPr="007274C5">
        <w:rPr>
          <w:rFonts w:cs="Times New Roman"/>
          <w:szCs w:val="24"/>
        </w:rPr>
        <w:t xml:space="preserve"> </w:t>
      </w:r>
      <w:r w:rsidR="00E128B8">
        <w:rPr>
          <w:rFonts w:cs="Times New Roman"/>
          <w:szCs w:val="24"/>
        </w:rPr>
        <w:t>31.marta</w:t>
      </w:r>
      <w:r w:rsidRPr="007274C5">
        <w:rPr>
          <w:rFonts w:cs="Times New Roman"/>
          <w:szCs w:val="24"/>
        </w:rPr>
        <w:t xml:space="preserve"> spriedumu</w:t>
      </w:r>
      <w:r w:rsidR="00E128B8">
        <w:rPr>
          <w:rFonts w:cs="Times New Roman"/>
          <w:szCs w:val="24"/>
        </w:rPr>
        <w:t xml:space="preserve"> daļā, ar kuru atstāts negrozīts Valsts ieņēmumu dienesta 2012.gada 18.aprīļa lēmums Nr. 22.4.8/30950 daļā, ar kuru</w:t>
      </w:r>
      <w:r w:rsidR="00E922F9">
        <w:rPr>
          <w:rFonts w:cs="Times New Roman"/>
          <w:szCs w:val="24"/>
        </w:rPr>
        <w:t>:</w:t>
      </w:r>
      <w:r w:rsidR="00E128B8">
        <w:rPr>
          <w:rFonts w:cs="Times New Roman"/>
          <w:szCs w:val="24"/>
        </w:rPr>
        <w:t xml:space="preserve"> </w:t>
      </w:r>
    </w:p>
    <w:p w14:paraId="282BC8BB" w14:textId="496E689D" w:rsidR="00120815" w:rsidRPr="00E922F9" w:rsidRDefault="00120815" w:rsidP="00E922F9">
      <w:pPr>
        <w:pStyle w:val="ListParagraph"/>
        <w:numPr>
          <w:ilvl w:val="0"/>
          <w:numId w:val="12"/>
        </w:numPr>
        <w:spacing w:after="0" w:line="276" w:lineRule="auto"/>
        <w:jc w:val="both"/>
        <w:rPr>
          <w:rFonts w:cs="Times New Roman"/>
          <w:szCs w:val="24"/>
        </w:rPr>
      </w:pPr>
      <w:r w:rsidRPr="00E922F9">
        <w:rPr>
          <w:rFonts w:cs="Times New Roman"/>
          <w:szCs w:val="24"/>
        </w:rPr>
        <w:t>SIA „</w:t>
      </w:r>
      <w:proofErr w:type="spellStart"/>
      <w:r w:rsidRPr="00E922F9">
        <w:rPr>
          <w:rFonts w:cs="Times New Roman"/>
          <w:szCs w:val="24"/>
        </w:rPr>
        <w:t>Woodison</w:t>
      </w:r>
      <w:proofErr w:type="spellEnd"/>
      <w:r w:rsidRPr="00E922F9">
        <w:rPr>
          <w:rFonts w:cs="Times New Roman"/>
          <w:szCs w:val="24"/>
        </w:rPr>
        <w:t xml:space="preserve"> </w:t>
      </w:r>
      <w:proofErr w:type="spellStart"/>
      <w:r w:rsidRPr="00E922F9">
        <w:rPr>
          <w:rFonts w:cs="Times New Roman"/>
          <w:szCs w:val="24"/>
        </w:rPr>
        <w:t>Terminal</w:t>
      </w:r>
      <w:proofErr w:type="spellEnd"/>
      <w:r w:rsidRPr="00E922F9">
        <w:rPr>
          <w:rFonts w:cs="Times New Roman"/>
          <w:szCs w:val="24"/>
        </w:rPr>
        <w:t xml:space="preserve">” </w:t>
      </w:r>
      <w:proofErr w:type="gramStart"/>
      <w:r w:rsidRPr="00E922F9">
        <w:rPr>
          <w:rFonts w:cs="Times New Roman"/>
          <w:szCs w:val="24"/>
        </w:rPr>
        <w:t>2009.gada</w:t>
      </w:r>
      <w:proofErr w:type="gramEnd"/>
      <w:r w:rsidRPr="00E922F9">
        <w:rPr>
          <w:rFonts w:cs="Times New Roman"/>
          <w:szCs w:val="24"/>
        </w:rPr>
        <w:t xml:space="preserve"> apliekamais ienākums palielināts par </w:t>
      </w:r>
      <w:r w:rsidR="002063E1">
        <w:rPr>
          <w:rFonts w:cs="Times New Roman"/>
          <w:szCs w:val="24"/>
        </w:rPr>
        <w:t>[pers. D]</w:t>
      </w:r>
      <w:r w:rsidRPr="00E922F9">
        <w:rPr>
          <w:rFonts w:cs="Times New Roman"/>
          <w:szCs w:val="24"/>
        </w:rPr>
        <w:t xml:space="preserve"> un </w:t>
      </w:r>
      <w:proofErr w:type="gramStart"/>
      <w:r w:rsidR="002063E1">
        <w:rPr>
          <w:rFonts w:cs="Times New Roman"/>
          <w:szCs w:val="24"/>
        </w:rPr>
        <w:t>[</w:t>
      </w:r>
      <w:proofErr w:type="gramEnd"/>
      <w:r w:rsidR="002063E1">
        <w:rPr>
          <w:rFonts w:cs="Times New Roman"/>
          <w:szCs w:val="24"/>
        </w:rPr>
        <w:t>pers. E]</w:t>
      </w:r>
      <w:r w:rsidRPr="00E922F9">
        <w:rPr>
          <w:rFonts w:cs="Times New Roman"/>
          <w:szCs w:val="24"/>
        </w:rPr>
        <w:t xml:space="preserve"> izsniegto aizdevumu darījuma vērtīb</w:t>
      </w:r>
      <w:r w:rsidR="00E922F9" w:rsidRPr="00E922F9">
        <w:rPr>
          <w:rFonts w:cs="Times New Roman"/>
          <w:szCs w:val="24"/>
        </w:rPr>
        <w:t xml:space="preserve">as un tirgus vērtības starpību un </w:t>
      </w:r>
      <w:r w:rsidRPr="00E922F9">
        <w:rPr>
          <w:rFonts w:cs="Times New Roman"/>
          <w:szCs w:val="24"/>
        </w:rPr>
        <w:t>kā arī aprēķināta atbilstoša soda nauda un nokavējuma nauda;</w:t>
      </w:r>
    </w:p>
    <w:p w14:paraId="3A644113" w14:textId="5470AFEB" w:rsidR="00E922F9" w:rsidRDefault="00830902" w:rsidP="00830902">
      <w:pPr>
        <w:pStyle w:val="ListParagraph"/>
        <w:numPr>
          <w:ilvl w:val="0"/>
          <w:numId w:val="12"/>
        </w:numPr>
        <w:spacing w:after="0" w:line="276" w:lineRule="auto"/>
        <w:jc w:val="both"/>
        <w:rPr>
          <w:rFonts w:cs="Times New Roman"/>
          <w:szCs w:val="24"/>
        </w:rPr>
      </w:pPr>
      <w:r w:rsidRPr="00830902">
        <w:rPr>
          <w:rFonts w:cs="Times New Roman"/>
          <w:szCs w:val="24"/>
        </w:rPr>
        <w:t>SIA „</w:t>
      </w:r>
      <w:proofErr w:type="spellStart"/>
      <w:r w:rsidRPr="00830902">
        <w:rPr>
          <w:rFonts w:cs="Times New Roman"/>
          <w:szCs w:val="24"/>
        </w:rPr>
        <w:t>Woodison</w:t>
      </w:r>
      <w:proofErr w:type="spellEnd"/>
      <w:r w:rsidRPr="00830902">
        <w:rPr>
          <w:rFonts w:cs="Times New Roman"/>
          <w:szCs w:val="24"/>
        </w:rPr>
        <w:t xml:space="preserve"> </w:t>
      </w:r>
      <w:proofErr w:type="spellStart"/>
      <w:r w:rsidRPr="00830902">
        <w:rPr>
          <w:rFonts w:cs="Times New Roman"/>
          <w:szCs w:val="24"/>
        </w:rPr>
        <w:t>Terminal</w:t>
      </w:r>
      <w:proofErr w:type="spellEnd"/>
      <w:r w:rsidRPr="00830902">
        <w:rPr>
          <w:rFonts w:cs="Times New Roman"/>
          <w:szCs w:val="24"/>
        </w:rPr>
        <w:t xml:space="preserve">” </w:t>
      </w:r>
      <w:r w:rsidR="00E922F9">
        <w:rPr>
          <w:rFonts w:cs="Times New Roman"/>
          <w:szCs w:val="24"/>
        </w:rPr>
        <w:t>samazinātas zaudējumu summas, kas tiek pārnestas uzņēmumu grupā</w:t>
      </w:r>
      <w:r>
        <w:rPr>
          <w:rFonts w:cs="Times New Roman"/>
          <w:szCs w:val="24"/>
        </w:rPr>
        <w:t>,</w:t>
      </w:r>
      <w:r w:rsidR="00E922F9">
        <w:rPr>
          <w:rFonts w:cs="Times New Roman"/>
          <w:szCs w:val="24"/>
        </w:rPr>
        <w:t xml:space="preserve"> un attiecīgi palielin</w:t>
      </w:r>
      <w:r>
        <w:rPr>
          <w:rFonts w:cs="Times New Roman"/>
          <w:szCs w:val="24"/>
        </w:rPr>
        <w:t>āts</w:t>
      </w:r>
      <w:r w:rsidR="00E922F9">
        <w:rPr>
          <w:rFonts w:cs="Times New Roman"/>
          <w:szCs w:val="24"/>
        </w:rPr>
        <w:t xml:space="preserve"> apliekam</w:t>
      </w:r>
      <w:r>
        <w:rPr>
          <w:rFonts w:cs="Times New Roman"/>
          <w:szCs w:val="24"/>
        </w:rPr>
        <w:t>ais</w:t>
      </w:r>
      <w:r w:rsidR="00E922F9">
        <w:rPr>
          <w:rFonts w:cs="Times New Roman"/>
          <w:szCs w:val="24"/>
        </w:rPr>
        <w:t xml:space="preserve"> ienākum</w:t>
      </w:r>
      <w:r>
        <w:rPr>
          <w:rFonts w:cs="Times New Roman"/>
          <w:szCs w:val="24"/>
        </w:rPr>
        <w:t>s</w:t>
      </w:r>
      <w:r w:rsidR="00E922F9">
        <w:rPr>
          <w:rFonts w:cs="Times New Roman"/>
          <w:szCs w:val="24"/>
        </w:rPr>
        <w:t xml:space="preserve"> 2009. un </w:t>
      </w:r>
      <w:proofErr w:type="gramStart"/>
      <w:r w:rsidR="00E922F9">
        <w:rPr>
          <w:rFonts w:cs="Times New Roman"/>
          <w:szCs w:val="24"/>
        </w:rPr>
        <w:t>2010.gadā</w:t>
      </w:r>
      <w:proofErr w:type="gramEnd"/>
      <w:r w:rsidR="00E922F9">
        <w:rPr>
          <w:rFonts w:cs="Times New Roman"/>
          <w:szCs w:val="24"/>
        </w:rPr>
        <w:t>, kā arī aprēķināta atbilstoša soda nauda un nokavējuma nauda;</w:t>
      </w:r>
    </w:p>
    <w:p w14:paraId="6E42C065" w14:textId="332147CD" w:rsidR="00120815" w:rsidRPr="00E922F9" w:rsidRDefault="00120815" w:rsidP="00E922F9">
      <w:pPr>
        <w:spacing w:after="0" w:line="276" w:lineRule="auto"/>
        <w:ind w:left="720"/>
        <w:jc w:val="both"/>
        <w:rPr>
          <w:rFonts w:cs="Times New Roman"/>
          <w:szCs w:val="24"/>
        </w:rPr>
      </w:pPr>
      <w:r w:rsidRPr="00E922F9">
        <w:rPr>
          <w:rFonts w:cs="Times New Roman"/>
          <w:szCs w:val="24"/>
        </w:rPr>
        <w:t>pārējā daļā spriedumu atstāt negrozītu;</w:t>
      </w:r>
    </w:p>
    <w:p w14:paraId="3A55E016" w14:textId="3B1F484A" w:rsidR="00120815" w:rsidRPr="007274C5" w:rsidRDefault="00120815" w:rsidP="00120815">
      <w:pPr>
        <w:spacing w:after="0" w:line="276" w:lineRule="auto"/>
        <w:ind w:firstLine="720"/>
        <w:jc w:val="both"/>
        <w:rPr>
          <w:rFonts w:cs="Times New Roman"/>
          <w:szCs w:val="24"/>
        </w:rPr>
      </w:pPr>
      <w:r>
        <w:rPr>
          <w:rFonts w:cs="Times New Roman"/>
          <w:szCs w:val="24"/>
        </w:rPr>
        <w:t>atmaksāt SIA „</w:t>
      </w:r>
      <w:proofErr w:type="spellStart"/>
      <w:r>
        <w:rPr>
          <w:rFonts w:cs="Times New Roman"/>
          <w:szCs w:val="24"/>
        </w:rPr>
        <w:t>Woodison</w:t>
      </w:r>
      <w:proofErr w:type="spellEnd"/>
      <w:r>
        <w:rPr>
          <w:rFonts w:cs="Times New Roman"/>
          <w:szCs w:val="24"/>
        </w:rPr>
        <w:t xml:space="preserve"> </w:t>
      </w:r>
      <w:proofErr w:type="spellStart"/>
      <w:r>
        <w:rPr>
          <w:rFonts w:cs="Times New Roman"/>
          <w:szCs w:val="24"/>
        </w:rPr>
        <w:t>Terminal</w:t>
      </w:r>
      <w:proofErr w:type="spellEnd"/>
      <w:r>
        <w:rPr>
          <w:rFonts w:cs="Times New Roman"/>
          <w:szCs w:val="24"/>
        </w:rPr>
        <w:t xml:space="preserve">” drošības naudu 71,14 </w:t>
      </w:r>
      <w:proofErr w:type="spellStart"/>
      <w:r w:rsidRPr="00120815">
        <w:rPr>
          <w:rFonts w:cs="Times New Roman"/>
          <w:i/>
          <w:szCs w:val="24"/>
        </w:rPr>
        <w:t>euro</w:t>
      </w:r>
      <w:proofErr w:type="spellEnd"/>
      <w:r>
        <w:rPr>
          <w:rFonts w:cs="Times New Roman"/>
          <w:szCs w:val="24"/>
        </w:rPr>
        <w:t>.</w:t>
      </w:r>
    </w:p>
    <w:p w14:paraId="656F424A" w14:textId="77777777" w:rsidR="0022589D" w:rsidRPr="007274C5" w:rsidRDefault="0022589D" w:rsidP="007274C5">
      <w:pPr>
        <w:spacing w:after="0" w:line="276" w:lineRule="auto"/>
        <w:ind w:firstLine="709"/>
        <w:jc w:val="both"/>
        <w:rPr>
          <w:rFonts w:cs="Times New Roman"/>
          <w:szCs w:val="24"/>
        </w:rPr>
      </w:pPr>
      <w:r w:rsidRPr="007274C5">
        <w:rPr>
          <w:rFonts w:cs="Times New Roman"/>
          <w:szCs w:val="24"/>
        </w:rPr>
        <w:t>Spriedums nav pārsūdzams.</w:t>
      </w:r>
    </w:p>
    <w:p w14:paraId="018310D6" w14:textId="77777777" w:rsidR="009E4C27" w:rsidRPr="007274C5" w:rsidRDefault="009E4C27" w:rsidP="007274C5">
      <w:pPr>
        <w:tabs>
          <w:tab w:val="left" w:pos="3402"/>
          <w:tab w:val="left" w:pos="4680"/>
          <w:tab w:val="left" w:pos="7200"/>
          <w:tab w:val="left" w:pos="7560"/>
        </w:tabs>
        <w:spacing w:after="0" w:line="276" w:lineRule="auto"/>
        <w:ind w:firstLine="709"/>
        <w:rPr>
          <w:rFonts w:cs="Times New Roman"/>
          <w:szCs w:val="24"/>
        </w:rPr>
      </w:pPr>
    </w:p>
    <w:sectPr w:rsidR="009E4C27" w:rsidRPr="007274C5" w:rsidSect="007274C5">
      <w:headerReference w:type="default" r:id="rId8"/>
      <w:footerReference w:type="default" r:id="rId9"/>
      <w:pgSz w:w="11906" w:h="16838"/>
      <w:pgMar w:top="1134" w:right="1134"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0699" w14:textId="77777777" w:rsidR="009F778C" w:rsidRDefault="009F778C" w:rsidP="00E26D08">
      <w:pPr>
        <w:spacing w:after="0" w:line="240" w:lineRule="auto"/>
      </w:pPr>
      <w:r>
        <w:separator/>
      </w:r>
    </w:p>
  </w:endnote>
  <w:endnote w:type="continuationSeparator" w:id="0">
    <w:p w14:paraId="17E4CCEB" w14:textId="77777777" w:rsidR="009F778C" w:rsidRDefault="009F778C"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017E" w14:textId="7D8ADB82" w:rsidR="00816C49" w:rsidRDefault="00816C49"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347E18">
      <w:rPr>
        <w:rStyle w:val="PageNumber"/>
        <w:noProof/>
      </w:rPr>
      <w:t>11</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347E18">
      <w:rPr>
        <w:rStyle w:val="PageNumber"/>
        <w:noProof/>
      </w:rPr>
      <w:t>12</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E482" w14:textId="77777777" w:rsidR="009F778C" w:rsidRDefault="009F778C" w:rsidP="00E26D08">
      <w:pPr>
        <w:spacing w:after="0" w:line="240" w:lineRule="auto"/>
      </w:pPr>
      <w:r>
        <w:separator/>
      </w:r>
    </w:p>
  </w:footnote>
  <w:footnote w:type="continuationSeparator" w:id="0">
    <w:p w14:paraId="7B43C449" w14:textId="77777777" w:rsidR="009F778C" w:rsidRDefault="009F778C" w:rsidP="00E2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6412" w14:textId="2E5CBE0E" w:rsidR="00816C49" w:rsidRDefault="00816C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4" w15:restartNumberingAfterBreak="0">
    <w:nsid w:val="31402D4B"/>
    <w:multiLevelType w:val="multilevel"/>
    <w:tmpl w:val="8FB20AFC"/>
    <w:lvl w:ilvl="0">
      <w:start w:val="6"/>
      <w:numFmt w:val="decimal"/>
      <w:lvlText w:val="[%1]"/>
      <w:lvlJc w:val="left"/>
      <w:pPr>
        <w:tabs>
          <w:tab w:val="num" w:pos="0"/>
        </w:tabs>
        <w:ind w:left="0" w:firstLine="794"/>
      </w:pPr>
      <w:rPr>
        <w:rFonts w:hint="default"/>
        <w:b w:val="0"/>
      </w:rPr>
    </w:lvl>
    <w:lvl w:ilvl="1">
      <w:start w:val="1"/>
      <w:numFmt w:val="decimal"/>
      <w:lvlText w:val="[%1.%2]"/>
      <w:lvlJc w:val="left"/>
      <w:pPr>
        <w:tabs>
          <w:tab w:val="num" w:pos="0"/>
        </w:tabs>
        <w:ind w:left="0" w:firstLine="851"/>
      </w:pPr>
      <w:rPr>
        <w:rFonts w:hint="default"/>
      </w:rPr>
    </w:lvl>
    <w:lvl w:ilvl="2">
      <w:start w:val="1"/>
      <w:numFmt w:val="decimal"/>
      <w:lvlText w:val="[%1.%2.2"/>
      <w:lvlJc w:val="left"/>
      <w:pPr>
        <w:tabs>
          <w:tab w:val="num" w:pos="0"/>
        </w:tabs>
        <w:ind w:left="0" w:firstLine="851"/>
      </w:pPr>
      <w:rPr>
        <w:rFonts w:hint="default"/>
      </w:rPr>
    </w:lvl>
    <w:lvl w:ilvl="3">
      <w:start w:val="1"/>
      <w:numFmt w:val="bullet"/>
      <w:lvlText w:val=""/>
      <w:lvlJc w:val="left"/>
      <w:pPr>
        <w:tabs>
          <w:tab w:val="num" w:pos="0"/>
        </w:tabs>
        <w:ind w:left="680" w:hanging="680"/>
      </w:pPr>
      <w:rPr>
        <w:rFonts w:ascii="Symbol" w:hAnsi="Symbol" w:hint="default"/>
      </w:rPr>
    </w:lvl>
    <w:lvl w:ilvl="4">
      <w:start w:val="1"/>
      <w:numFmt w:val="bullet"/>
      <w:lvlText w:val="o"/>
      <w:lvlJc w:val="left"/>
      <w:pPr>
        <w:tabs>
          <w:tab w:val="num" w:pos="0"/>
        </w:tabs>
        <w:ind w:left="680" w:hanging="680"/>
      </w:pPr>
      <w:rPr>
        <w:rFonts w:ascii="Courier New" w:hAnsi="Courier New" w:cs="Courier New" w:hint="default"/>
      </w:rPr>
    </w:lvl>
    <w:lvl w:ilvl="5">
      <w:start w:val="1"/>
      <w:numFmt w:val="bullet"/>
      <w:lvlText w:val=""/>
      <w:lvlJc w:val="left"/>
      <w:pPr>
        <w:tabs>
          <w:tab w:val="num" w:pos="0"/>
        </w:tabs>
        <w:ind w:left="680" w:hanging="680"/>
      </w:pPr>
      <w:rPr>
        <w:rFonts w:ascii="Wingdings" w:hAnsi="Wingdings" w:hint="default"/>
      </w:rPr>
    </w:lvl>
    <w:lvl w:ilvl="6">
      <w:start w:val="1"/>
      <w:numFmt w:val="bullet"/>
      <w:lvlText w:val=""/>
      <w:lvlJc w:val="left"/>
      <w:pPr>
        <w:tabs>
          <w:tab w:val="num" w:pos="0"/>
        </w:tabs>
        <w:ind w:left="680" w:hanging="680"/>
      </w:pPr>
      <w:rPr>
        <w:rFonts w:ascii="Symbol" w:hAnsi="Symbol" w:hint="default"/>
      </w:rPr>
    </w:lvl>
    <w:lvl w:ilvl="7">
      <w:start w:val="1"/>
      <w:numFmt w:val="bullet"/>
      <w:lvlText w:val="o"/>
      <w:lvlJc w:val="left"/>
      <w:pPr>
        <w:tabs>
          <w:tab w:val="num" w:pos="0"/>
        </w:tabs>
        <w:ind w:left="680" w:hanging="680"/>
      </w:pPr>
      <w:rPr>
        <w:rFonts w:ascii="Courier New" w:hAnsi="Courier New" w:cs="Courier New" w:hint="default"/>
      </w:rPr>
    </w:lvl>
    <w:lvl w:ilvl="8">
      <w:start w:val="1"/>
      <w:numFmt w:val="bullet"/>
      <w:lvlText w:val=""/>
      <w:lvlJc w:val="left"/>
      <w:pPr>
        <w:tabs>
          <w:tab w:val="num" w:pos="0"/>
        </w:tabs>
        <w:ind w:left="680" w:hanging="680"/>
      </w:pPr>
      <w:rPr>
        <w:rFonts w:ascii="Wingdings" w:hAnsi="Wingdings" w:hint="default"/>
      </w:rPr>
    </w:lvl>
  </w:abstractNum>
  <w:abstractNum w:abstractNumId="5"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48B5406"/>
    <w:multiLevelType w:val="hybridMultilevel"/>
    <w:tmpl w:val="ED64D222"/>
    <w:lvl w:ilvl="0" w:tplc="E83E4F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72689"/>
    <w:multiLevelType w:val="hybridMultilevel"/>
    <w:tmpl w:val="BA7E275C"/>
    <w:lvl w:ilvl="0" w:tplc="FE2096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7"/>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E3"/>
    <w:rsid w:val="000035FF"/>
    <w:rsid w:val="000071B6"/>
    <w:rsid w:val="00011B07"/>
    <w:rsid w:val="000149F0"/>
    <w:rsid w:val="00016B1A"/>
    <w:rsid w:val="00021159"/>
    <w:rsid w:val="000236E3"/>
    <w:rsid w:val="0002409A"/>
    <w:rsid w:val="000246FD"/>
    <w:rsid w:val="00024A48"/>
    <w:rsid w:val="00026B64"/>
    <w:rsid w:val="00026E56"/>
    <w:rsid w:val="000277F8"/>
    <w:rsid w:val="00030075"/>
    <w:rsid w:val="00030E98"/>
    <w:rsid w:val="00033047"/>
    <w:rsid w:val="00033A68"/>
    <w:rsid w:val="00033F23"/>
    <w:rsid w:val="00042DE5"/>
    <w:rsid w:val="000433FA"/>
    <w:rsid w:val="00044E4C"/>
    <w:rsid w:val="0004506C"/>
    <w:rsid w:val="0005065F"/>
    <w:rsid w:val="00051266"/>
    <w:rsid w:val="000516A5"/>
    <w:rsid w:val="000528BF"/>
    <w:rsid w:val="00053F13"/>
    <w:rsid w:val="000559D0"/>
    <w:rsid w:val="0006492D"/>
    <w:rsid w:val="00064C8A"/>
    <w:rsid w:val="00067506"/>
    <w:rsid w:val="00071B79"/>
    <w:rsid w:val="00071F72"/>
    <w:rsid w:val="00071FFD"/>
    <w:rsid w:val="0007245E"/>
    <w:rsid w:val="0007270D"/>
    <w:rsid w:val="00072792"/>
    <w:rsid w:val="00074FBD"/>
    <w:rsid w:val="00075996"/>
    <w:rsid w:val="00075A88"/>
    <w:rsid w:val="0007774A"/>
    <w:rsid w:val="00081C28"/>
    <w:rsid w:val="000824EB"/>
    <w:rsid w:val="00082883"/>
    <w:rsid w:val="00084AC9"/>
    <w:rsid w:val="00086578"/>
    <w:rsid w:val="000905CD"/>
    <w:rsid w:val="00090C31"/>
    <w:rsid w:val="00091F68"/>
    <w:rsid w:val="0009350F"/>
    <w:rsid w:val="00094CC8"/>
    <w:rsid w:val="00094E66"/>
    <w:rsid w:val="00095817"/>
    <w:rsid w:val="00096A7F"/>
    <w:rsid w:val="000A12E8"/>
    <w:rsid w:val="000A24FE"/>
    <w:rsid w:val="000A65C1"/>
    <w:rsid w:val="000B0F82"/>
    <w:rsid w:val="000B5137"/>
    <w:rsid w:val="000B785B"/>
    <w:rsid w:val="000C070E"/>
    <w:rsid w:val="000C1ABA"/>
    <w:rsid w:val="000C2392"/>
    <w:rsid w:val="000C5396"/>
    <w:rsid w:val="000D046D"/>
    <w:rsid w:val="000D16C8"/>
    <w:rsid w:val="000D42D0"/>
    <w:rsid w:val="000D7080"/>
    <w:rsid w:val="000E062B"/>
    <w:rsid w:val="000E59B5"/>
    <w:rsid w:val="000E625A"/>
    <w:rsid w:val="000F32F0"/>
    <w:rsid w:val="000F44D8"/>
    <w:rsid w:val="000F6A41"/>
    <w:rsid w:val="001011ED"/>
    <w:rsid w:val="001017E8"/>
    <w:rsid w:val="00101AA6"/>
    <w:rsid w:val="001035EE"/>
    <w:rsid w:val="00104566"/>
    <w:rsid w:val="001055E3"/>
    <w:rsid w:val="0011025B"/>
    <w:rsid w:val="00111D41"/>
    <w:rsid w:val="0011226C"/>
    <w:rsid w:val="001143FB"/>
    <w:rsid w:val="001157D8"/>
    <w:rsid w:val="001162CE"/>
    <w:rsid w:val="00120815"/>
    <w:rsid w:val="00121B88"/>
    <w:rsid w:val="001226AA"/>
    <w:rsid w:val="0012276E"/>
    <w:rsid w:val="00122CD7"/>
    <w:rsid w:val="00131C85"/>
    <w:rsid w:val="00132A36"/>
    <w:rsid w:val="00134D8F"/>
    <w:rsid w:val="00135319"/>
    <w:rsid w:val="001353DB"/>
    <w:rsid w:val="00135439"/>
    <w:rsid w:val="0013719D"/>
    <w:rsid w:val="00137F99"/>
    <w:rsid w:val="0014018D"/>
    <w:rsid w:val="001449DA"/>
    <w:rsid w:val="00147076"/>
    <w:rsid w:val="001474EB"/>
    <w:rsid w:val="00147E12"/>
    <w:rsid w:val="00147EB8"/>
    <w:rsid w:val="00151CE2"/>
    <w:rsid w:val="00152529"/>
    <w:rsid w:val="001535AD"/>
    <w:rsid w:val="001544E6"/>
    <w:rsid w:val="00154B4C"/>
    <w:rsid w:val="00156989"/>
    <w:rsid w:val="0016279C"/>
    <w:rsid w:val="00162D79"/>
    <w:rsid w:val="0016617D"/>
    <w:rsid w:val="00167516"/>
    <w:rsid w:val="001677C2"/>
    <w:rsid w:val="0016780E"/>
    <w:rsid w:val="00170BD2"/>
    <w:rsid w:val="00170F9D"/>
    <w:rsid w:val="0017152D"/>
    <w:rsid w:val="00180322"/>
    <w:rsid w:val="001821D2"/>
    <w:rsid w:val="00182DAB"/>
    <w:rsid w:val="00187592"/>
    <w:rsid w:val="00191F2B"/>
    <w:rsid w:val="0019346D"/>
    <w:rsid w:val="0019429E"/>
    <w:rsid w:val="00194484"/>
    <w:rsid w:val="001A3F80"/>
    <w:rsid w:val="001A7624"/>
    <w:rsid w:val="001B0AD1"/>
    <w:rsid w:val="001B41B0"/>
    <w:rsid w:val="001B45E9"/>
    <w:rsid w:val="001B732F"/>
    <w:rsid w:val="001B7F1E"/>
    <w:rsid w:val="001C5769"/>
    <w:rsid w:val="001C777E"/>
    <w:rsid w:val="001D02CD"/>
    <w:rsid w:val="001D07B0"/>
    <w:rsid w:val="001D114B"/>
    <w:rsid w:val="001D42CF"/>
    <w:rsid w:val="001D67AB"/>
    <w:rsid w:val="001D682E"/>
    <w:rsid w:val="001D68EB"/>
    <w:rsid w:val="001D6A97"/>
    <w:rsid w:val="001E28B4"/>
    <w:rsid w:val="001E2CD0"/>
    <w:rsid w:val="001E385C"/>
    <w:rsid w:val="001E4129"/>
    <w:rsid w:val="001E455F"/>
    <w:rsid w:val="001E55E9"/>
    <w:rsid w:val="001E6DF2"/>
    <w:rsid w:val="001F33C6"/>
    <w:rsid w:val="001F72D6"/>
    <w:rsid w:val="001F7C15"/>
    <w:rsid w:val="00200D76"/>
    <w:rsid w:val="00203B88"/>
    <w:rsid w:val="002045A9"/>
    <w:rsid w:val="00204DCD"/>
    <w:rsid w:val="00205C4C"/>
    <w:rsid w:val="002063E1"/>
    <w:rsid w:val="002070DE"/>
    <w:rsid w:val="002121CA"/>
    <w:rsid w:val="00212908"/>
    <w:rsid w:val="002141BD"/>
    <w:rsid w:val="00214F3F"/>
    <w:rsid w:val="00217F14"/>
    <w:rsid w:val="0022161D"/>
    <w:rsid w:val="00222852"/>
    <w:rsid w:val="00223245"/>
    <w:rsid w:val="00223FC6"/>
    <w:rsid w:val="00224B46"/>
    <w:rsid w:val="00224DFF"/>
    <w:rsid w:val="0022589D"/>
    <w:rsid w:val="002266E7"/>
    <w:rsid w:val="00232E96"/>
    <w:rsid w:val="00232FC7"/>
    <w:rsid w:val="00233867"/>
    <w:rsid w:val="00236120"/>
    <w:rsid w:val="00236803"/>
    <w:rsid w:val="002375E8"/>
    <w:rsid w:val="00237BFE"/>
    <w:rsid w:val="002406C1"/>
    <w:rsid w:val="00242EA7"/>
    <w:rsid w:val="0024379F"/>
    <w:rsid w:val="00243B78"/>
    <w:rsid w:val="00247C8E"/>
    <w:rsid w:val="002504FF"/>
    <w:rsid w:val="0025163A"/>
    <w:rsid w:val="002517B2"/>
    <w:rsid w:val="002526AF"/>
    <w:rsid w:val="00256401"/>
    <w:rsid w:val="00256D20"/>
    <w:rsid w:val="002633B9"/>
    <w:rsid w:val="00265107"/>
    <w:rsid w:val="00265575"/>
    <w:rsid w:val="00265BE7"/>
    <w:rsid w:val="002667ED"/>
    <w:rsid w:val="00271080"/>
    <w:rsid w:val="0027237C"/>
    <w:rsid w:val="002726D6"/>
    <w:rsid w:val="002726FE"/>
    <w:rsid w:val="00272A4B"/>
    <w:rsid w:val="0027311A"/>
    <w:rsid w:val="00275FC1"/>
    <w:rsid w:val="00280623"/>
    <w:rsid w:val="002831F0"/>
    <w:rsid w:val="00287658"/>
    <w:rsid w:val="002912FE"/>
    <w:rsid w:val="00291B98"/>
    <w:rsid w:val="002934E0"/>
    <w:rsid w:val="002A1FC9"/>
    <w:rsid w:val="002A25ED"/>
    <w:rsid w:val="002A3012"/>
    <w:rsid w:val="002A3C3E"/>
    <w:rsid w:val="002A41FF"/>
    <w:rsid w:val="002A47C2"/>
    <w:rsid w:val="002A567E"/>
    <w:rsid w:val="002A5A9B"/>
    <w:rsid w:val="002B2287"/>
    <w:rsid w:val="002B6BAB"/>
    <w:rsid w:val="002B6EE6"/>
    <w:rsid w:val="002B7053"/>
    <w:rsid w:val="002B74AA"/>
    <w:rsid w:val="002C02D3"/>
    <w:rsid w:val="002C0551"/>
    <w:rsid w:val="002C0D59"/>
    <w:rsid w:val="002C3EF4"/>
    <w:rsid w:val="002C4328"/>
    <w:rsid w:val="002C5991"/>
    <w:rsid w:val="002C6B09"/>
    <w:rsid w:val="002C789F"/>
    <w:rsid w:val="002D2DFD"/>
    <w:rsid w:val="002D41FD"/>
    <w:rsid w:val="002D4F83"/>
    <w:rsid w:val="002D5937"/>
    <w:rsid w:val="002D7078"/>
    <w:rsid w:val="002E1254"/>
    <w:rsid w:val="002E59F6"/>
    <w:rsid w:val="002E6AC2"/>
    <w:rsid w:val="002F08EC"/>
    <w:rsid w:val="002F0BF8"/>
    <w:rsid w:val="002F0F5C"/>
    <w:rsid w:val="002F2323"/>
    <w:rsid w:val="002F3212"/>
    <w:rsid w:val="002F438C"/>
    <w:rsid w:val="002F4BCC"/>
    <w:rsid w:val="002F58A5"/>
    <w:rsid w:val="002F5F84"/>
    <w:rsid w:val="0030345E"/>
    <w:rsid w:val="0030474B"/>
    <w:rsid w:val="00306F41"/>
    <w:rsid w:val="0031166B"/>
    <w:rsid w:val="00311ECB"/>
    <w:rsid w:val="00312528"/>
    <w:rsid w:val="00313C79"/>
    <w:rsid w:val="00313D13"/>
    <w:rsid w:val="00315532"/>
    <w:rsid w:val="003164B5"/>
    <w:rsid w:val="00322287"/>
    <w:rsid w:val="0032322E"/>
    <w:rsid w:val="0032481B"/>
    <w:rsid w:val="00325D9E"/>
    <w:rsid w:val="00327C8A"/>
    <w:rsid w:val="00330869"/>
    <w:rsid w:val="00331DE1"/>
    <w:rsid w:val="00332591"/>
    <w:rsid w:val="00332D34"/>
    <w:rsid w:val="00336897"/>
    <w:rsid w:val="003414A5"/>
    <w:rsid w:val="0034202C"/>
    <w:rsid w:val="00342096"/>
    <w:rsid w:val="003463BF"/>
    <w:rsid w:val="00347014"/>
    <w:rsid w:val="003471F2"/>
    <w:rsid w:val="00347CCE"/>
    <w:rsid w:val="00347E18"/>
    <w:rsid w:val="00350A3E"/>
    <w:rsid w:val="003515E4"/>
    <w:rsid w:val="00353A5C"/>
    <w:rsid w:val="00353AD9"/>
    <w:rsid w:val="00353E00"/>
    <w:rsid w:val="00353E54"/>
    <w:rsid w:val="0035480A"/>
    <w:rsid w:val="00355142"/>
    <w:rsid w:val="00355321"/>
    <w:rsid w:val="00355829"/>
    <w:rsid w:val="00355A93"/>
    <w:rsid w:val="0035699C"/>
    <w:rsid w:val="0035727C"/>
    <w:rsid w:val="00360A4F"/>
    <w:rsid w:val="00360E0F"/>
    <w:rsid w:val="00362FDA"/>
    <w:rsid w:val="00363299"/>
    <w:rsid w:val="003644EF"/>
    <w:rsid w:val="00365C89"/>
    <w:rsid w:val="00366D75"/>
    <w:rsid w:val="003729AB"/>
    <w:rsid w:val="00372D75"/>
    <w:rsid w:val="00374851"/>
    <w:rsid w:val="0037553C"/>
    <w:rsid w:val="0038009D"/>
    <w:rsid w:val="00380A7D"/>
    <w:rsid w:val="00381E1B"/>
    <w:rsid w:val="00386CFA"/>
    <w:rsid w:val="00390536"/>
    <w:rsid w:val="00390E42"/>
    <w:rsid w:val="003925D9"/>
    <w:rsid w:val="00395AE5"/>
    <w:rsid w:val="003961FF"/>
    <w:rsid w:val="00396A42"/>
    <w:rsid w:val="003975B7"/>
    <w:rsid w:val="003A02DC"/>
    <w:rsid w:val="003A0AAA"/>
    <w:rsid w:val="003A256E"/>
    <w:rsid w:val="003A5B60"/>
    <w:rsid w:val="003B0581"/>
    <w:rsid w:val="003B149E"/>
    <w:rsid w:val="003B1B59"/>
    <w:rsid w:val="003B2E86"/>
    <w:rsid w:val="003B4147"/>
    <w:rsid w:val="003C2923"/>
    <w:rsid w:val="003C3003"/>
    <w:rsid w:val="003C33B0"/>
    <w:rsid w:val="003C3946"/>
    <w:rsid w:val="003C3ADF"/>
    <w:rsid w:val="003C4608"/>
    <w:rsid w:val="003C514B"/>
    <w:rsid w:val="003C6D28"/>
    <w:rsid w:val="003D1493"/>
    <w:rsid w:val="003D2046"/>
    <w:rsid w:val="003D3046"/>
    <w:rsid w:val="003D599B"/>
    <w:rsid w:val="003E00CD"/>
    <w:rsid w:val="003E0907"/>
    <w:rsid w:val="003E0D4D"/>
    <w:rsid w:val="003E1BE4"/>
    <w:rsid w:val="003E249D"/>
    <w:rsid w:val="003E2BDB"/>
    <w:rsid w:val="003E48BC"/>
    <w:rsid w:val="003E6D9C"/>
    <w:rsid w:val="003F2F57"/>
    <w:rsid w:val="003F3D15"/>
    <w:rsid w:val="003F4213"/>
    <w:rsid w:val="003F4372"/>
    <w:rsid w:val="003F4E75"/>
    <w:rsid w:val="003F6038"/>
    <w:rsid w:val="00400C6B"/>
    <w:rsid w:val="0041018A"/>
    <w:rsid w:val="004104F2"/>
    <w:rsid w:val="00410820"/>
    <w:rsid w:val="00412B28"/>
    <w:rsid w:val="00414121"/>
    <w:rsid w:val="0041527D"/>
    <w:rsid w:val="00415CAC"/>
    <w:rsid w:val="004208A3"/>
    <w:rsid w:val="004231F2"/>
    <w:rsid w:val="00427637"/>
    <w:rsid w:val="004358C8"/>
    <w:rsid w:val="00441668"/>
    <w:rsid w:val="00442823"/>
    <w:rsid w:val="00445571"/>
    <w:rsid w:val="004476D5"/>
    <w:rsid w:val="00447747"/>
    <w:rsid w:val="004524FC"/>
    <w:rsid w:val="00452D64"/>
    <w:rsid w:val="00453EB9"/>
    <w:rsid w:val="00455421"/>
    <w:rsid w:val="00455AB3"/>
    <w:rsid w:val="00455DAE"/>
    <w:rsid w:val="00455F11"/>
    <w:rsid w:val="00456DF2"/>
    <w:rsid w:val="00462355"/>
    <w:rsid w:val="00463286"/>
    <w:rsid w:val="00463C0B"/>
    <w:rsid w:val="00463DE1"/>
    <w:rsid w:val="004647E4"/>
    <w:rsid w:val="00466728"/>
    <w:rsid w:val="004679C0"/>
    <w:rsid w:val="00467E89"/>
    <w:rsid w:val="00470A2C"/>
    <w:rsid w:val="00470F34"/>
    <w:rsid w:val="004720B6"/>
    <w:rsid w:val="0047524F"/>
    <w:rsid w:val="00476314"/>
    <w:rsid w:val="00483224"/>
    <w:rsid w:val="004851C5"/>
    <w:rsid w:val="004904AD"/>
    <w:rsid w:val="0049151D"/>
    <w:rsid w:val="00493C52"/>
    <w:rsid w:val="00495B85"/>
    <w:rsid w:val="004A6F22"/>
    <w:rsid w:val="004A7D20"/>
    <w:rsid w:val="004B0920"/>
    <w:rsid w:val="004B12D3"/>
    <w:rsid w:val="004B3E17"/>
    <w:rsid w:val="004B418D"/>
    <w:rsid w:val="004B4F87"/>
    <w:rsid w:val="004B663A"/>
    <w:rsid w:val="004B6E6C"/>
    <w:rsid w:val="004C09BB"/>
    <w:rsid w:val="004C5CD2"/>
    <w:rsid w:val="004D1B72"/>
    <w:rsid w:val="004D3D4B"/>
    <w:rsid w:val="004D3FE6"/>
    <w:rsid w:val="004E199B"/>
    <w:rsid w:val="004E22E8"/>
    <w:rsid w:val="004E2B2F"/>
    <w:rsid w:val="004E2FAF"/>
    <w:rsid w:val="004E678A"/>
    <w:rsid w:val="004F0158"/>
    <w:rsid w:val="004F25CA"/>
    <w:rsid w:val="004F2A61"/>
    <w:rsid w:val="004F2F69"/>
    <w:rsid w:val="004F31BD"/>
    <w:rsid w:val="004F3A30"/>
    <w:rsid w:val="004F4F03"/>
    <w:rsid w:val="004F5378"/>
    <w:rsid w:val="004F564F"/>
    <w:rsid w:val="004F6108"/>
    <w:rsid w:val="004F78E8"/>
    <w:rsid w:val="00500B21"/>
    <w:rsid w:val="00501425"/>
    <w:rsid w:val="00503052"/>
    <w:rsid w:val="00504B47"/>
    <w:rsid w:val="00505C3D"/>
    <w:rsid w:val="00507A83"/>
    <w:rsid w:val="00513E89"/>
    <w:rsid w:val="00514E2F"/>
    <w:rsid w:val="00515D3C"/>
    <w:rsid w:val="00521182"/>
    <w:rsid w:val="00522198"/>
    <w:rsid w:val="00522B27"/>
    <w:rsid w:val="0052346B"/>
    <w:rsid w:val="00524B5E"/>
    <w:rsid w:val="00525074"/>
    <w:rsid w:val="00526E74"/>
    <w:rsid w:val="00531ABC"/>
    <w:rsid w:val="00532AA7"/>
    <w:rsid w:val="005361AA"/>
    <w:rsid w:val="005361AE"/>
    <w:rsid w:val="00540071"/>
    <w:rsid w:val="00543D8C"/>
    <w:rsid w:val="00544789"/>
    <w:rsid w:val="00547204"/>
    <w:rsid w:val="00547969"/>
    <w:rsid w:val="00547D65"/>
    <w:rsid w:val="005508CC"/>
    <w:rsid w:val="00552242"/>
    <w:rsid w:val="00553391"/>
    <w:rsid w:val="0056461B"/>
    <w:rsid w:val="0056469A"/>
    <w:rsid w:val="00564CDF"/>
    <w:rsid w:val="00566F5E"/>
    <w:rsid w:val="0057270F"/>
    <w:rsid w:val="00573E0A"/>
    <w:rsid w:val="005745E2"/>
    <w:rsid w:val="0057495A"/>
    <w:rsid w:val="005759AC"/>
    <w:rsid w:val="005762AD"/>
    <w:rsid w:val="00576A8C"/>
    <w:rsid w:val="00576F4B"/>
    <w:rsid w:val="00577BF4"/>
    <w:rsid w:val="005823B9"/>
    <w:rsid w:val="00582702"/>
    <w:rsid w:val="005832BA"/>
    <w:rsid w:val="00583ACA"/>
    <w:rsid w:val="005860E6"/>
    <w:rsid w:val="00590457"/>
    <w:rsid w:val="00590E5C"/>
    <w:rsid w:val="005928C0"/>
    <w:rsid w:val="00595BF6"/>
    <w:rsid w:val="0059703A"/>
    <w:rsid w:val="005A1BEB"/>
    <w:rsid w:val="005A25DD"/>
    <w:rsid w:val="005A48D6"/>
    <w:rsid w:val="005A4C86"/>
    <w:rsid w:val="005A53B4"/>
    <w:rsid w:val="005A5C56"/>
    <w:rsid w:val="005A61AA"/>
    <w:rsid w:val="005B1D95"/>
    <w:rsid w:val="005B6288"/>
    <w:rsid w:val="005B6F97"/>
    <w:rsid w:val="005C07A2"/>
    <w:rsid w:val="005C1ECB"/>
    <w:rsid w:val="005C3CAB"/>
    <w:rsid w:val="005C558B"/>
    <w:rsid w:val="005C7890"/>
    <w:rsid w:val="005C7AE1"/>
    <w:rsid w:val="005D3193"/>
    <w:rsid w:val="005D3C02"/>
    <w:rsid w:val="005D553B"/>
    <w:rsid w:val="005E1868"/>
    <w:rsid w:val="005E378F"/>
    <w:rsid w:val="005E3B1F"/>
    <w:rsid w:val="005E3D47"/>
    <w:rsid w:val="005E66BA"/>
    <w:rsid w:val="005F1119"/>
    <w:rsid w:val="005F1431"/>
    <w:rsid w:val="005F1C46"/>
    <w:rsid w:val="005F3098"/>
    <w:rsid w:val="005F4ACE"/>
    <w:rsid w:val="0060120C"/>
    <w:rsid w:val="00601312"/>
    <w:rsid w:val="00601FA7"/>
    <w:rsid w:val="0060413B"/>
    <w:rsid w:val="006078B2"/>
    <w:rsid w:val="006102D5"/>
    <w:rsid w:val="006103A0"/>
    <w:rsid w:val="0061290E"/>
    <w:rsid w:val="00615104"/>
    <w:rsid w:val="006154F0"/>
    <w:rsid w:val="00617EF7"/>
    <w:rsid w:val="006219A5"/>
    <w:rsid w:val="00622CC3"/>
    <w:rsid w:val="006251F5"/>
    <w:rsid w:val="00625E37"/>
    <w:rsid w:val="006262B3"/>
    <w:rsid w:val="0062645E"/>
    <w:rsid w:val="00630F31"/>
    <w:rsid w:val="006310B9"/>
    <w:rsid w:val="00631EB9"/>
    <w:rsid w:val="00632B5E"/>
    <w:rsid w:val="00641AEA"/>
    <w:rsid w:val="00641EC1"/>
    <w:rsid w:val="00644379"/>
    <w:rsid w:val="006444B5"/>
    <w:rsid w:val="00644925"/>
    <w:rsid w:val="006459D9"/>
    <w:rsid w:val="00650147"/>
    <w:rsid w:val="006522A6"/>
    <w:rsid w:val="00655BCC"/>
    <w:rsid w:val="00661B51"/>
    <w:rsid w:val="006625B2"/>
    <w:rsid w:val="00662D0A"/>
    <w:rsid w:val="00664040"/>
    <w:rsid w:val="00664673"/>
    <w:rsid w:val="00666C74"/>
    <w:rsid w:val="00666F98"/>
    <w:rsid w:val="006712A5"/>
    <w:rsid w:val="00672E0F"/>
    <w:rsid w:val="00672F37"/>
    <w:rsid w:val="0067612A"/>
    <w:rsid w:val="00676819"/>
    <w:rsid w:val="00680CB2"/>
    <w:rsid w:val="00683848"/>
    <w:rsid w:val="0068399A"/>
    <w:rsid w:val="00684456"/>
    <w:rsid w:val="00684C35"/>
    <w:rsid w:val="0069292D"/>
    <w:rsid w:val="006929AD"/>
    <w:rsid w:val="00693397"/>
    <w:rsid w:val="00695FA8"/>
    <w:rsid w:val="00696550"/>
    <w:rsid w:val="006A329A"/>
    <w:rsid w:val="006A3C1E"/>
    <w:rsid w:val="006A5871"/>
    <w:rsid w:val="006A6D60"/>
    <w:rsid w:val="006A6EAF"/>
    <w:rsid w:val="006B16AE"/>
    <w:rsid w:val="006B23DE"/>
    <w:rsid w:val="006B4116"/>
    <w:rsid w:val="006B44E8"/>
    <w:rsid w:val="006B63F4"/>
    <w:rsid w:val="006C12D7"/>
    <w:rsid w:val="006C15CF"/>
    <w:rsid w:val="006C234C"/>
    <w:rsid w:val="006C2774"/>
    <w:rsid w:val="006C3066"/>
    <w:rsid w:val="006C4E5E"/>
    <w:rsid w:val="006C57AE"/>
    <w:rsid w:val="006C7DD7"/>
    <w:rsid w:val="006D2A8E"/>
    <w:rsid w:val="006D68B3"/>
    <w:rsid w:val="006E339B"/>
    <w:rsid w:val="006E5DDA"/>
    <w:rsid w:val="006E6494"/>
    <w:rsid w:val="006E6CCC"/>
    <w:rsid w:val="006E6E47"/>
    <w:rsid w:val="006E718A"/>
    <w:rsid w:val="006E7A71"/>
    <w:rsid w:val="006E7EB1"/>
    <w:rsid w:val="006F11B5"/>
    <w:rsid w:val="006F172B"/>
    <w:rsid w:val="006F1B2B"/>
    <w:rsid w:val="006F59C5"/>
    <w:rsid w:val="006F69DF"/>
    <w:rsid w:val="006F72AA"/>
    <w:rsid w:val="00700ACC"/>
    <w:rsid w:val="00703886"/>
    <w:rsid w:val="00703DEB"/>
    <w:rsid w:val="00703DFF"/>
    <w:rsid w:val="00705640"/>
    <w:rsid w:val="00706C19"/>
    <w:rsid w:val="00707314"/>
    <w:rsid w:val="007104FE"/>
    <w:rsid w:val="00713653"/>
    <w:rsid w:val="007159A1"/>
    <w:rsid w:val="00716BF1"/>
    <w:rsid w:val="00717FE0"/>
    <w:rsid w:val="00720075"/>
    <w:rsid w:val="007207B2"/>
    <w:rsid w:val="0072145A"/>
    <w:rsid w:val="00722011"/>
    <w:rsid w:val="0072402F"/>
    <w:rsid w:val="00724D02"/>
    <w:rsid w:val="00725A06"/>
    <w:rsid w:val="00726906"/>
    <w:rsid w:val="007274C5"/>
    <w:rsid w:val="00736261"/>
    <w:rsid w:val="007362E5"/>
    <w:rsid w:val="0074033C"/>
    <w:rsid w:val="00742D97"/>
    <w:rsid w:val="00743143"/>
    <w:rsid w:val="00744104"/>
    <w:rsid w:val="007450E5"/>
    <w:rsid w:val="007500DC"/>
    <w:rsid w:val="007503CA"/>
    <w:rsid w:val="00750E47"/>
    <w:rsid w:val="00752BDC"/>
    <w:rsid w:val="00752E3A"/>
    <w:rsid w:val="00752F4C"/>
    <w:rsid w:val="007540BC"/>
    <w:rsid w:val="00754D54"/>
    <w:rsid w:val="00761201"/>
    <w:rsid w:val="0076224D"/>
    <w:rsid w:val="007641E2"/>
    <w:rsid w:val="00766280"/>
    <w:rsid w:val="00766A04"/>
    <w:rsid w:val="00766A67"/>
    <w:rsid w:val="00771499"/>
    <w:rsid w:val="00772C5E"/>
    <w:rsid w:val="00773544"/>
    <w:rsid w:val="00773C04"/>
    <w:rsid w:val="00780B40"/>
    <w:rsid w:val="007822B6"/>
    <w:rsid w:val="00782ED4"/>
    <w:rsid w:val="0078706D"/>
    <w:rsid w:val="0079022D"/>
    <w:rsid w:val="007905DD"/>
    <w:rsid w:val="007911FF"/>
    <w:rsid w:val="007919AC"/>
    <w:rsid w:val="00791BEB"/>
    <w:rsid w:val="00794A5B"/>
    <w:rsid w:val="00794EA4"/>
    <w:rsid w:val="0079563A"/>
    <w:rsid w:val="00797D48"/>
    <w:rsid w:val="007A2841"/>
    <w:rsid w:val="007A40B5"/>
    <w:rsid w:val="007B3AD2"/>
    <w:rsid w:val="007B457D"/>
    <w:rsid w:val="007B5EC4"/>
    <w:rsid w:val="007B5EED"/>
    <w:rsid w:val="007B6AC8"/>
    <w:rsid w:val="007B7D89"/>
    <w:rsid w:val="007C11CE"/>
    <w:rsid w:val="007C144E"/>
    <w:rsid w:val="007C29BD"/>
    <w:rsid w:val="007C5B1A"/>
    <w:rsid w:val="007C5FE2"/>
    <w:rsid w:val="007D0706"/>
    <w:rsid w:val="007D3133"/>
    <w:rsid w:val="007D5B1F"/>
    <w:rsid w:val="007D5C64"/>
    <w:rsid w:val="007D73EA"/>
    <w:rsid w:val="007E0DFB"/>
    <w:rsid w:val="007E2787"/>
    <w:rsid w:val="007E3BFB"/>
    <w:rsid w:val="007E4491"/>
    <w:rsid w:val="007E4A84"/>
    <w:rsid w:val="007E7A02"/>
    <w:rsid w:val="007F0888"/>
    <w:rsid w:val="007F1455"/>
    <w:rsid w:val="007F2871"/>
    <w:rsid w:val="007F32A1"/>
    <w:rsid w:val="007F43F9"/>
    <w:rsid w:val="00804C48"/>
    <w:rsid w:val="008059F3"/>
    <w:rsid w:val="0080789C"/>
    <w:rsid w:val="00812122"/>
    <w:rsid w:val="00816C49"/>
    <w:rsid w:val="00821236"/>
    <w:rsid w:val="0082218B"/>
    <w:rsid w:val="008227FB"/>
    <w:rsid w:val="00822C62"/>
    <w:rsid w:val="00826D43"/>
    <w:rsid w:val="00830902"/>
    <w:rsid w:val="008315A0"/>
    <w:rsid w:val="00834DB1"/>
    <w:rsid w:val="00834FB3"/>
    <w:rsid w:val="0083544A"/>
    <w:rsid w:val="008463F2"/>
    <w:rsid w:val="00846905"/>
    <w:rsid w:val="00855417"/>
    <w:rsid w:val="00856B7A"/>
    <w:rsid w:val="0085769B"/>
    <w:rsid w:val="00861BA6"/>
    <w:rsid w:val="0086416C"/>
    <w:rsid w:val="0086419F"/>
    <w:rsid w:val="00864259"/>
    <w:rsid w:val="00864CBC"/>
    <w:rsid w:val="00865B15"/>
    <w:rsid w:val="00871762"/>
    <w:rsid w:val="00872688"/>
    <w:rsid w:val="00872FC4"/>
    <w:rsid w:val="00874709"/>
    <w:rsid w:val="00874A0A"/>
    <w:rsid w:val="00874EB0"/>
    <w:rsid w:val="00875774"/>
    <w:rsid w:val="008772DD"/>
    <w:rsid w:val="0088081E"/>
    <w:rsid w:val="008828A7"/>
    <w:rsid w:val="00883B46"/>
    <w:rsid w:val="008845B2"/>
    <w:rsid w:val="008846E4"/>
    <w:rsid w:val="008850CD"/>
    <w:rsid w:val="008860D6"/>
    <w:rsid w:val="00886B59"/>
    <w:rsid w:val="00886B8D"/>
    <w:rsid w:val="00886ED4"/>
    <w:rsid w:val="008922F7"/>
    <w:rsid w:val="00892D33"/>
    <w:rsid w:val="00893131"/>
    <w:rsid w:val="00897A92"/>
    <w:rsid w:val="008A454B"/>
    <w:rsid w:val="008A49D1"/>
    <w:rsid w:val="008A5728"/>
    <w:rsid w:val="008A6BCC"/>
    <w:rsid w:val="008B0762"/>
    <w:rsid w:val="008B2422"/>
    <w:rsid w:val="008B2B1C"/>
    <w:rsid w:val="008B537B"/>
    <w:rsid w:val="008C01CB"/>
    <w:rsid w:val="008C2065"/>
    <w:rsid w:val="008C4AE7"/>
    <w:rsid w:val="008C4C90"/>
    <w:rsid w:val="008C60EB"/>
    <w:rsid w:val="008C62AD"/>
    <w:rsid w:val="008C62BD"/>
    <w:rsid w:val="008C66A8"/>
    <w:rsid w:val="008C7521"/>
    <w:rsid w:val="008D23C3"/>
    <w:rsid w:val="008D2433"/>
    <w:rsid w:val="008D27EB"/>
    <w:rsid w:val="008D3541"/>
    <w:rsid w:val="008D3C2D"/>
    <w:rsid w:val="008D4010"/>
    <w:rsid w:val="008D6237"/>
    <w:rsid w:val="008D7512"/>
    <w:rsid w:val="008E2829"/>
    <w:rsid w:val="008E47B3"/>
    <w:rsid w:val="008E7053"/>
    <w:rsid w:val="008F22D0"/>
    <w:rsid w:val="008F320C"/>
    <w:rsid w:val="008F5EE1"/>
    <w:rsid w:val="008F6B27"/>
    <w:rsid w:val="00901CDB"/>
    <w:rsid w:val="00903AF2"/>
    <w:rsid w:val="009049A4"/>
    <w:rsid w:val="00904C84"/>
    <w:rsid w:val="0090763C"/>
    <w:rsid w:val="00907E40"/>
    <w:rsid w:val="00911DA9"/>
    <w:rsid w:val="00912B0A"/>
    <w:rsid w:val="009133E0"/>
    <w:rsid w:val="0091522A"/>
    <w:rsid w:val="00915D5A"/>
    <w:rsid w:val="00917FB0"/>
    <w:rsid w:val="009201B7"/>
    <w:rsid w:val="00922EF9"/>
    <w:rsid w:val="00924960"/>
    <w:rsid w:val="009264A0"/>
    <w:rsid w:val="00926AA6"/>
    <w:rsid w:val="00927E33"/>
    <w:rsid w:val="009323B2"/>
    <w:rsid w:val="00936603"/>
    <w:rsid w:val="00936D27"/>
    <w:rsid w:val="00940551"/>
    <w:rsid w:val="0094153E"/>
    <w:rsid w:val="00942FD2"/>
    <w:rsid w:val="0094536D"/>
    <w:rsid w:val="009469EC"/>
    <w:rsid w:val="00950D3C"/>
    <w:rsid w:val="00953050"/>
    <w:rsid w:val="00954399"/>
    <w:rsid w:val="009605DD"/>
    <w:rsid w:val="00961FBB"/>
    <w:rsid w:val="00962B89"/>
    <w:rsid w:val="00964213"/>
    <w:rsid w:val="00964B60"/>
    <w:rsid w:val="00966968"/>
    <w:rsid w:val="00966AE6"/>
    <w:rsid w:val="00966EE9"/>
    <w:rsid w:val="009673DF"/>
    <w:rsid w:val="009674C2"/>
    <w:rsid w:val="00967F27"/>
    <w:rsid w:val="00971307"/>
    <w:rsid w:val="00971471"/>
    <w:rsid w:val="00971C7F"/>
    <w:rsid w:val="009724C4"/>
    <w:rsid w:val="00973AD1"/>
    <w:rsid w:val="00973C89"/>
    <w:rsid w:val="00974179"/>
    <w:rsid w:val="009744B7"/>
    <w:rsid w:val="0097577C"/>
    <w:rsid w:val="00977063"/>
    <w:rsid w:val="00977E13"/>
    <w:rsid w:val="009807E3"/>
    <w:rsid w:val="00980D35"/>
    <w:rsid w:val="00980D47"/>
    <w:rsid w:val="00985622"/>
    <w:rsid w:val="00987976"/>
    <w:rsid w:val="0099756B"/>
    <w:rsid w:val="009975F2"/>
    <w:rsid w:val="009A35E0"/>
    <w:rsid w:val="009A4074"/>
    <w:rsid w:val="009A536A"/>
    <w:rsid w:val="009A6CA2"/>
    <w:rsid w:val="009A77B0"/>
    <w:rsid w:val="009B03F7"/>
    <w:rsid w:val="009B324B"/>
    <w:rsid w:val="009B42D7"/>
    <w:rsid w:val="009B6315"/>
    <w:rsid w:val="009B6484"/>
    <w:rsid w:val="009C0E75"/>
    <w:rsid w:val="009C3DBC"/>
    <w:rsid w:val="009C5CDA"/>
    <w:rsid w:val="009C5D81"/>
    <w:rsid w:val="009C6815"/>
    <w:rsid w:val="009C6999"/>
    <w:rsid w:val="009D03A0"/>
    <w:rsid w:val="009D0F7A"/>
    <w:rsid w:val="009D2B8B"/>
    <w:rsid w:val="009D3073"/>
    <w:rsid w:val="009D5053"/>
    <w:rsid w:val="009D70E5"/>
    <w:rsid w:val="009D727F"/>
    <w:rsid w:val="009E4C27"/>
    <w:rsid w:val="009E644B"/>
    <w:rsid w:val="009E72B9"/>
    <w:rsid w:val="009F1256"/>
    <w:rsid w:val="009F3DCB"/>
    <w:rsid w:val="009F61A8"/>
    <w:rsid w:val="009F6377"/>
    <w:rsid w:val="009F6882"/>
    <w:rsid w:val="009F6AE5"/>
    <w:rsid w:val="009F778C"/>
    <w:rsid w:val="009F787E"/>
    <w:rsid w:val="00A00843"/>
    <w:rsid w:val="00A016E3"/>
    <w:rsid w:val="00A01E87"/>
    <w:rsid w:val="00A020E2"/>
    <w:rsid w:val="00A03F43"/>
    <w:rsid w:val="00A045E9"/>
    <w:rsid w:val="00A04C04"/>
    <w:rsid w:val="00A05EEF"/>
    <w:rsid w:val="00A0797E"/>
    <w:rsid w:val="00A129DC"/>
    <w:rsid w:val="00A14577"/>
    <w:rsid w:val="00A15027"/>
    <w:rsid w:val="00A161CE"/>
    <w:rsid w:val="00A22528"/>
    <w:rsid w:val="00A22769"/>
    <w:rsid w:val="00A24AFE"/>
    <w:rsid w:val="00A26E37"/>
    <w:rsid w:val="00A3071F"/>
    <w:rsid w:val="00A334E9"/>
    <w:rsid w:val="00A35CD7"/>
    <w:rsid w:val="00A4047E"/>
    <w:rsid w:val="00A44ABF"/>
    <w:rsid w:val="00A4709A"/>
    <w:rsid w:val="00A516B8"/>
    <w:rsid w:val="00A55104"/>
    <w:rsid w:val="00A5510D"/>
    <w:rsid w:val="00A56685"/>
    <w:rsid w:val="00A567A9"/>
    <w:rsid w:val="00A56EC8"/>
    <w:rsid w:val="00A65948"/>
    <w:rsid w:val="00A67BDD"/>
    <w:rsid w:val="00A728A1"/>
    <w:rsid w:val="00A7512B"/>
    <w:rsid w:val="00A759D2"/>
    <w:rsid w:val="00A76501"/>
    <w:rsid w:val="00A76606"/>
    <w:rsid w:val="00A76655"/>
    <w:rsid w:val="00A77D86"/>
    <w:rsid w:val="00A80078"/>
    <w:rsid w:val="00A81AF1"/>
    <w:rsid w:val="00A81F48"/>
    <w:rsid w:val="00A841F2"/>
    <w:rsid w:val="00A843D0"/>
    <w:rsid w:val="00A85200"/>
    <w:rsid w:val="00A8723D"/>
    <w:rsid w:val="00A87323"/>
    <w:rsid w:val="00A90C11"/>
    <w:rsid w:val="00A90D55"/>
    <w:rsid w:val="00A917C4"/>
    <w:rsid w:val="00A91E05"/>
    <w:rsid w:val="00A932C3"/>
    <w:rsid w:val="00A939A6"/>
    <w:rsid w:val="00A9417A"/>
    <w:rsid w:val="00A97678"/>
    <w:rsid w:val="00A979C6"/>
    <w:rsid w:val="00A97E64"/>
    <w:rsid w:val="00AA1018"/>
    <w:rsid w:val="00AA2449"/>
    <w:rsid w:val="00AA3A86"/>
    <w:rsid w:val="00AA5C9A"/>
    <w:rsid w:val="00AA6577"/>
    <w:rsid w:val="00AB1300"/>
    <w:rsid w:val="00AB1F42"/>
    <w:rsid w:val="00AB2DF3"/>
    <w:rsid w:val="00AB3461"/>
    <w:rsid w:val="00AB369F"/>
    <w:rsid w:val="00AB3F96"/>
    <w:rsid w:val="00AB5786"/>
    <w:rsid w:val="00AB753E"/>
    <w:rsid w:val="00AC3BA9"/>
    <w:rsid w:val="00AC4532"/>
    <w:rsid w:val="00AC6CAC"/>
    <w:rsid w:val="00AC713A"/>
    <w:rsid w:val="00AD1BA1"/>
    <w:rsid w:val="00AD3F06"/>
    <w:rsid w:val="00AD77D4"/>
    <w:rsid w:val="00AE1E1C"/>
    <w:rsid w:val="00AE4300"/>
    <w:rsid w:val="00AF20A9"/>
    <w:rsid w:val="00AF2C8D"/>
    <w:rsid w:val="00AF2CF1"/>
    <w:rsid w:val="00AF6983"/>
    <w:rsid w:val="00B01596"/>
    <w:rsid w:val="00B01859"/>
    <w:rsid w:val="00B02093"/>
    <w:rsid w:val="00B0479F"/>
    <w:rsid w:val="00B05A51"/>
    <w:rsid w:val="00B061BE"/>
    <w:rsid w:val="00B06398"/>
    <w:rsid w:val="00B1027B"/>
    <w:rsid w:val="00B11BCC"/>
    <w:rsid w:val="00B12377"/>
    <w:rsid w:val="00B12AEF"/>
    <w:rsid w:val="00B1369E"/>
    <w:rsid w:val="00B14A9A"/>
    <w:rsid w:val="00B15679"/>
    <w:rsid w:val="00B2043F"/>
    <w:rsid w:val="00B20E03"/>
    <w:rsid w:val="00B20E10"/>
    <w:rsid w:val="00B217A8"/>
    <w:rsid w:val="00B25959"/>
    <w:rsid w:val="00B26F9F"/>
    <w:rsid w:val="00B32F48"/>
    <w:rsid w:val="00B33F28"/>
    <w:rsid w:val="00B3612A"/>
    <w:rsid w:val="00B36F0C"/>
    <w:rsid w:val="00B379AC"/>
    <w:rsid w:val="00B37A78"/>
    <w:rsid w:val="00B423E7"/>
    <w:rsid w:val="00B43203"/>
    <w:rsid w:val="00B43B62"/>
    <w:rsid w:val="00B4568E"/>
    <w:rsid w:val="00B4594A"/>
    <w:rsid w:val="00B46EB6"/>
    <w:rsid w:val="00B5171C"/>
    <w:rsid w:val="00B535F9"/>
    <w:rsid w:val="00B55AEE"/>
    <w:rsid w:val="00B62036"/>
    <w:rsid w:val="00B62C39"/>
    <w:rsid w:val="00B62DBC"/>
    <w:rsid w:val="00B63290"/>
    <w:rsid w:val="00B652FE"/>
    <w:rsid w:val="00B65963"/>
    <w:rsid w:val="00B66280"/>
    <w:rsid w:val="00B713C9"/>
    <w:rsid w:val="00B72370"/>
    <w:rsid w:val="00B73AA5"/>
    <w:rsid w:val="00B73BF8"/>
    <w:rsid w:val="00B743C1"/>
    <w:rsid w:val="00B777E3"/>
    <w:rsid w:val="00B82942"/>
    <w:rsid w:val="00B83765"/>
    <w:rsid w:val="00B8424C"/>
    <w:rsid w:val="00B8643F"/>
    <w:rsid w:val="00B9031B"/>
    <w:rsid w:val="00B91B3E"/>
    <w:rsid w:val="00B95EAB"/>
    <w:rsid w:val="00BA5868"/>
    <w:rsid w:val="00BA5F1C"/>
    <w:rsid w:val="00BA7DD8"/>
    <w:rsid w:val="00BB3246"/>
    <w:rsid w:val="00BC0378"/>
    <w:rsid w:val="00BC1D12"/>
    <w:rsid w:val="00BC5BD7"/>
    <w:rsid w:val="00BC66C0"/>
    <w:rsid w:val="00BC6894"/>
    <w:rsid w:val="00BC6BBF"/>
    <w:rsid w:val="00BC7027"/>
    <w:rsid w:val="00BD0F9C"/>
    <w:rsid w:val="00BD17E7"/>
    <w:rsid w:val="00BD4276"/>
    <w:rsid w:val="00BD4A69"/>
    <w:rsid w:val="00BD5959"/>
    <w:rsid w:val="00BD60DE"/>
    <w:rsid w:val="00BD68C9"/>
    <w:rsid w:val="00BE08DE"/>
    <w:rsid w:val="00BE360F"/>
    <w:rsid w:val="00BF1B09"/>
    <w:rsid w:val="00BF2166"/>
    <w:rsid w:val="00BF2630"/>
    <w:rsid w:val="00BF6CFF"/>
    <w:rsid w:val="00C01DF8"/>
    <w:rsid w:val="00C0537D"/>
    <w:rsid w:val="00C05D05"/>
    <w:rsid w:val="00C10873"/>
    <w:rsid w:val="00C11E1B"/>
    <w:rsid w:val="00C1348B"/>
    <w:rsid w:val="00C163ED"/>
    <w:rsid w:val="00C1682E"/>
    <w:rsid w:val="00C220D9"/>
    <w:rsid w:val="00C239BD"/>
    <w:rsid w:val="00C246B4"/>
    <w:rsid w:val="00C24B0C"/>
    <w:rsid w:val="00C24DDE"/>
    <w:rsid w:val="00C2607C"/>
    <w:rsid w:val="00C26C41"/>
    <w:rsid w:val="00C2717A"/>
    <w:rsid w:val="00C310D3"/>
    <w:rsid w:val="00C31550"/>
    <w:rsid w:val="00C33714"/>
    <w:rsid w:val="00C35F69"/>
    <w:rsid w:val="00C423DC"/>
    <w:rsid w:val="00C43141"/>
    <w:rsid w:val="00C45309"/>
    <w:rsid w:val="00C45CDD"/>
    <w:rsid w:val="00C4725C"/>
    <w:rsid w:val="00C53027"/>
    <w:rsid w:val="00C53707"/>
    <w:rsid w:val="00C538E0"/>
    <w:rsid w:val="00C5412E"/>
    <w:rsid w:val="00C5500A"/>
    <w:rsid w:val="00C60410"/>
    <w:rsid w:val="00C61F92"/>
    <w:rsid w:val="00C63D30"/>
    <w:rsid w:val="00C655D6"/>
    <w:rsid w:val="00C65C7E"/>
    <w:rsid w:val="00C70AA5"/>
    <w:rsid w:val="00C72EDD"/>
    <w:rsid w:val="00C74B0D"/>
    <w:rsid w:val="00C7620D"/>
    <w:rsid w:val="00C764B5"/>
    <w:rsid w:val="00C768BE"/>
    <w:rsid w:val="00C83376"/>
    <w:rsid w:val="00C83DC3"/>
    <w:rsid w:val="00C83DE7"/>
    <w:rsid w:val="00C872CA"/>
    <w:rsid w:val="00C90558"/>
    <w:rsid w:val="00C90CAC"/>
    <w:rsid w:val="00C93294"/>
    <w:rsid w:val="00C93C8E"/>
    <w:rsid w:val="00C97095"/>
    <w:rsid w:val="00C970B6"/>
    <w:rsid w:val="00CA0FBB"/>
    <w:rsid w:val="00CA1CF2"/>
    <w:rsid w:val="00CA1E43"/>
    <w:rsid w:val="00CA66AF"/>
    <w:rsid w:val="00CA75E2"/>
    <w:rsid w:val="00CA7E6D"/>
    <w:rsid w:val="00CB2358"/>
    <w:rsid w:val="00CB26FE"/>
    <w:rsid w:val="00CB2C28"/>
    <w:rsid w:val="00CB61C8"/>
    <w:rsid w:val="00CB664F"/>
    <w:rsid w:val="00CB7F8F"/>
    <w:rsid w:val="00CC20E4"/>
    <w:rsid w:val="00CC4004"/>
    <w:rsid w:val="00CC46B7"/>
    <w:rsid w:val="00CC5EB5"/>
    <w:rsid w:val="00CD0958"/>
    <w:rsid w:val="00CD0F75"/>
    <w:rsid w:val="00CD52CB"/>
    <w:rsid w:val="00CD58F4"/>
    <w:rsid w:val="00CD6069"/>
    <w:rsid w:val="00CE1376"/>
    <w:rsid w:val="00CE63F6"/>
    <w:rsid w:val="00CE66A9"/>
    <w:rsid w:val="00CE6CC6"/>
    <w:rsid w:val="00CF2A6A"/>
    <w:rsid w:val="00CF6254"/>
    <w:rsid w:val="00CF75C2"/>
    <w:rsid w:val="00D008F9"/>
    <w:rsid w:val="00D02BD4"/>
    <w:rsid w:val="00D02EDF"/>
    <w:rsid w:val="00D05C66"/>
    <w:rsid w:val="00D10011"/>
    <w:rsid w:val="00D11C08"/>
    <w:rsid w:val="00D122A6"/>
    <w:rsid w:val="00D13CE3"/>
    <w:rsid w:val="00D13D83"/>
    <w:rsid w:val="00D164FB"/>
    <w:rsid w:val="00D1680F"/>
    <w:rsid w:val="00D22AC6"/>
    <w:rsid w:val="00D307EF"/>
    <w:rsid w:val="00D30F75"/>
    <w:rsid w:val="00D3159E"/>
    <w:rsid w:val="00D36626"/>
    <w:rsid w:val="00D37CE7"/>
    <w:rsid w:val="00D40466"/>
    <w:rsid w:val="00D40B3E"/>
    <w:rsid w:val="00D41150"/>
    <w:rsid w:val="00D432A2"/>
    <w:rsid w:val="00D450CD"/>
    <w:rsid w:val="00D45FFA"/>
    <w:rsid w:val="00D51EEC"/>
    <w:rsid w:val="00D67F05"/>
    <w:rsid w:val="00D70C51"/>
    <w:rsid w:val="00D70F2B"/>
    <w:rsid w:val="00D727FE"/>
    <w:rsid w:val="00D73104"/>
    <w:rsid w:val="00D75B4D"/>
    <w:rsid w:val="00D777CF"/>
    <w:rsid w:val="00D801F9"/>
    <w:rsid w:val="00D80D1D"/>
    <w:rsid w:val="00D86349"/>
    <w:rsid w:val="00D917BC"/>
    <w:rsid w:val="00D93564"/>
    <w:rsid w:val="00D939F6"/>
    <w:rsid w:val="00D95117"/>
    <w:rsid w:val="00DA2980"/>
    <w:rsid w:val="00DA3737"/>
    <w:rsid w:val="00DA404F"/>
    <w:rsid w:val="00DA4685"/>
    <w:rsid w:val="00DA5889"/>
    <w:rsid w:val="00DA5F21"/>
    <w:rsid w:val="00DA7335"/>
    <w:rsid w:val="00DA774D"/>
    <w:rsid w:val="00DB0670"/>
    <w:rsid w:val="00DB31E7"/>
    <w:rsid w:val="00DB6302"/>
    <w:rsid w:val="00DB6BE5"/>
    <w:rsid w:val="00DB7B2B"/>
    <w:rsid w:val="00DC22C2"/>
    <w:rsid w:val="00DC23F5"/>
    <w:rsid w:val="00DC359C"/>
    <w:rsid w:val="00DC4A68"/>
    <w:rsid w:val="00DC4FAA"/>
    <w:rsid w:val="00DC54DB"/>
    <w:rsid w:val="00DC55A6"/>
    <w:rsid w:val="00DD03B0"/>
    <w:rsid w:val="00DD28EE"/>
    <w:rsid w:val="00DD4054"/>
    <w:rsid w:val="00DE16EF"/>
    <w:rsid w:val="00DE1C04"/>
    <w:rsid w:val="00DE2131"/>
    <w:rsid w:val="00DE30C3"/>
    <w:rsid w:val="00DE4ADF"/>
    <w:rsid w:val="00DE4D18"/>
    <w:rsid w:val="00DE501B"/>
    <w:rsid w:val="00DE6323"/>
    <w:rsid w:val="00DE6F7D"/>
    <w:rsid w:val="00DE797E"/>
    <w:rsid w:val="00DE7B24"/>
    <w:rsid w:val="00DF37BE"/>
    <w:rsid w:val="00DF459B"/>
    <w:rsid w:val="00DF4D73"/>
    <w:rsid w:val="00DF7680"/>
    <w:rsid w:val="00DF7F79"/>
    <w:rsid w:val="00DF7FF3"/>
    <w:rsid w:val="00E01B39"/>
    <w:rsid w:val="00E01EE8"/>
    <w:rsid w:val="00E057BA"/>
    <w:rsid w:val="00E07EEF"/>
    <w:rsid w:val="00E10BC1"/>
    <w:rsid w:val="00E11007"/>
    <w:rsid w:val="00E11D78"/>
    <w:rsid w:val="00E128B8"/>
    <w:rsid w:val="00E13832"/>
    <w:rsid w:val="00E14D3A"/>
    <w:rsid w:val="00E23983"/>
    <w:rsid w:val="00E26D08"/>
    <w:rsid w:val="00E2772E"/>
    <w:rsid w:val="00E308A1"/>
    <w:rsid w:val="00E33A00"/>
    <w:rsid w:val="00E3402E"/>
    <w:rsid w:val="00E35796"/>
    <w:rsid w:val="00E35D29"/>
    <w:rsid w:val="00E41F15"/>
    <w:rsid w:val="00E42A14"/>
    <w:rsid w:val="00E43719"/>
    <w:rsid w:val="00E4541A"/>
    <w:rsid w:val="00E45D1B"/>
    <w:rsid w:val="00E47E61"/>
    <w:rsid w:val="00E506DB"/>
    <w:rsid w:val="00E5150C"/>
    <w:rsid w:val="00E517A1"/>
    <w:rsid w:val="00E518F1"/>
    <w:rsid w:val="00E532B4"/>
    <w:rsid w:val="00E5389B"/>
    <w:rsid w:val="00E5411A"/>
    <w:rsid w:val="00E55EF7"/>
    <w:rsid w:val="00E632F7"/>
    <w:rsid w:val="00E63753"/>
    <w:rsid w:val="00E63BBA"/>
    <w:rsid w:val="00E70BE1"/>
    <w:rsid w:val="00E727D5"/>
    <w:rsid w:val="00E73CD5"/>
    <w:rsid w:val="00E73CFA"/>
    <w:rsid w:val="00E74126"/>
    <w:rsid w:val="00E75157"/>
    <w:rsid w:val="00E75CF6"/>
    <w:rsid w:val="00E7678B"/>
    <w:rsid w:val="00E77D76"/>
    <w:rsid w:val="00E80998"/>
    <w:rsid w:val="00E82B3D"/>
    <w:rsid w:val="00E8668A"/>
    <w:rsid w:val="00E868F1"/>
    <w:rsid w:val="00E86ADC"/>
    <w:rsid w:val="00E90090"/>
    <w:rsid w:val="00E91819"/>
    <w:rsid w:val="00E91B91"/>
    <w:rsid w:val="00E922F9"/>
    <w:rsid w:val="00E96D62"/>
    <w:rsid w:val="00EA245F"/>
    <w:rsid w:val="00EA4147"/>
    <w:rsid w:val="00EA46D7"/>
    <w:rsid w:val="00EA5E36"/>
    <w:rsid w:val="00EA78D4"/>
    <w:rsid w:val="00EB0793"/>
    <w:rsid w:val="00EB08AF"/>
    <w:rsid w:val="00EB1248"/>
    <w:rsid w:val="00EB1E40"/>
    <w:rsid w:val="00EB479D"/>
    <w:rsid w:val="00EB5552"/>
    <w:rsid w:val="00EB61B3"/>
    <w:rsid w:val="00EB64D8"/>
    <w:rsid w:val="00EB6555"/>
    <w:rsid w:val="00EC04DF"/>
    <w:rsid w:val="00EC529E"/>
    <w:rsid w:val="00EC77C6"/>
    <w:rsid w:val="00EC7C7D"/>
    <w:rsid w:val="00ED0082"/>
    <w:rsid w:val="00ED02DC"/>
    <w:rsid w:val="00ED27A9"/>
    <w:rsid w:val="00ED2AB3"/>
    <w:rsid w:val="00ED407F"/>
    <w:rsid w:val="00ED435B"/>
    <w:rsid w:val="00ED6281"/>
    <w:rsid w:val="00EE1014"/>
    <w:rsid w:val="00EE363C"/>
    <w:rsid w:val="00EE5227"/>
    <w:rsid w:val="00EE64DD"/>
    <w:rsid w:val="00EE6F41"/>
    <w:rsid w:val="00EF12AB"/>
    <w:rsid w:val="00EF12CE"/>
    <w:rsid w:val="00EF2DA0"/>
    <w:rsid w:val="00EF3D7F"/>
    <w:rsid w:val="00EF5C26"/>
    <w:rsid w:val="00EF6A66"/>
    <w:rsid w:val="00EF7364"/>
    <w:rsid w:val="00F006E1"/>
    <w:rsid w:val="00F12533"/>
    <w:rsid w:val="00F142E6"/>
    <w:rsid w:val="00F14885"/>
    <w:rsid w:val="00F14D9D"/>
    <w:rsid w:val="00F16E0A"/>
    <w:rsid w:val="00F21393"/>
    <w:rsid w:val="00F274D4"/>
    <w:rsid w:val="00F33615"/>
    <w:rsid w:val="00F3415E"/>
    <w:rsid w:val="00F37C60"/>
    <w:rsid w:val="00F45128"/>
    <w:rsid w:val="00F456E8"/>
    <w:rsid w:val="00F4575F"/>
    <w:rsid w:val="00F508F3"/>
    <w:rsid w:val="00F5214E"/>
    <w:rsid w:val="00F53BDC"/>
    <w:rsid w:val="00F54C0E"/>
    <w:rsid w:val="00F559AC"/>
    <w:rsid w:val="00F57092"/>
    <w:rsid w:val="00F636A3"/>
    <w:rsid w:val="00F64B9B"/>
    <w:rsid w:val="00F66189"/>
    <w:rsid w:val="00F66795"/>
    <w:rsid w:val="00F66F53"/>
    <w:rsid w:val="00F672AF"/>
    <w:rsid w:val="00F67F27"/>
    <w:rsid w:val="00F70D7A"/>
    <w:rsid w:val="00F72B1B"/>
    <w:rsid w:val="00F772D6"/>
    <w:rsid w:val="00F80647"/>
    <w:rsid w:val="00F81B24"/>
    <w:rsid w:val="00F8338C"/>
    <w:rsid w:val="00F84C76"/>
    <w:rsid w:val="00F85686"/>
    <w:rsid w:val="00F8670A"/>
    <w:rsid w:val="00F86A29"/>
    <w:rsid w:val="00F87CC4"/>
    <w:rsid w:val="00F91815"/>
    <w:rsid w:val="00F956C7"/>
    <w:rsid w:val="00F95D1C"/>
    <w:rsid w:val="00FA2C1A"/>
    <w:rsid w:val="00FA4DED"/>
    <w:rsid w:val="00FA69EE"/>
    <w:rsid w:val="00FB28BE"/>
    <w:rsid w:val="00FB44DF"/>
    <w:rsid w:val="00FB5E3F"/>
    <w:rsid w:val="00FB72FA"/>
    <w:rsid w:val="00FB798D"/>
    <w:rsid w:val="00FC1453"/>
    <w:rsid w:val="00FC3C7E"/>
    <w:rsid w:val="00FC572D"/>
    <w:rsid w:val="00FC5913"/>
    <w:rsid w:val="00FD0284"/>
    <w:rsid w:val="00FD1DFE"/>
    <w:rsid w:val="00FD252A"/>
    <w:rsid w:val="00FD313C"/>
    <w:rsid w:val="00FD37E9"/>
    <w:rsid w:val="00FD4FC1"/>
    <w:rsid w:val="00FD5263"/>
    <w:rsid w:val="00FE0175"/>
    <w:rsid w:val="00FE083F"/>
    <w:rsid w:val="00FE41C1"/>
    <w:rsid w:val="00FE6B9D"/>
    <w:rsid w:val="00FE766A"/>
    <w:rsid w:val="00FF0377"/>
    <w:rsid w:val="00FF18C3"/>
    <w:rsid w:val="00FF25B0"/>
    <w:rsid w:val="00FF4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nhideWhenUsed/>
    <w:rsid w:val="00030075"/>
    <w:rPr>
      <w:vertAlign w:val="superscript"/>
    </w:rPr>
  </w:style>
  <w:style w:type="paragraph" w:customStyle="1" w:styleId="CharCharChar1">
    <w:name w:val="Char Char Char1"/>
    <w:basedOn w:val="Normal"/>
    <w:rsid w:val="00901CDB"/>
    <w:pPr>
      <w:spacing w:line="240" w:lineRule="exact"/>
    </w:pPr>
    <w:rPr>
      <w:rFonts w:ascii="Tahoma" w:eastAsia="Times New Roman" w:hAnsi="Tahoma" w:cs="Times New Roman"/>
      <w:sz w:val="20"/>
      <w:szCs w:val="20"/>
      <w:lang w:val="en-US"/>
    </w:rPr>
  </w:style>
  <w:style w:type="character" w:styleId="FollowedHyperlink">
    <w:name w:val="FollowedHyperlink"/>
    <w:basedOn w:val="DefaultParagraphFont"/>
    <w:uiPriority w:val="99"/>
    <w:semiHidden/>
    <w:unhideWhenUsed/>
    <w:rsid w:val="0005065F"/>
    <w:rPr>
      <w:color w:val="954F72" w:themeColor="followedHyperlink"/>
      <w:u w:val="single"/>
    </w:rPr>
  </w:style>
  <w:style w:type="paragraph" w:customStyle="1" w:styleId="tv213">
    <w:name w:val="tv213"/>
    <w:basedOn w:val="Normal"/>
    <w:rsid w:val="00DE6323"/>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7871">
      <w:bodyDiv w:val="1"/>
      <w:marLeft w:val="0"/>
      <w:marRight w:val="0"/>
      <w:marTop w:val="0"/>
      <w:marBottom w:val="0"/>
      <w:divBdr>
        <w:top w:val="none" w:sz="0" w:space="0" w:color="auto"/>
        <w:left w:val="none" w:sz="0" w:space="0" w:color="auto"/>
        <w:bottom w:val="none" w:sz="0" w:space="0" w:color="auto"/>
        <w:right w:val="none" w:sz="0" w:space="0" w:color="auto"/>
      </w:divBdr>
    </w:div>
    <w:div w:id="709038009">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490754047">
      <w:bodyDiv w:val="1"/>
      <w:marLeft w:val="0"/>
      <w:marRight w:val="0"/>
      <w:marTop w:val="0"/>
      <w:marBottom w:val="0"/>
      <w:divBdr>
        <w:top w:val="none" w:sz="0" w:space="0" w:color="auto"/>
        <w:left w:val="none" w:sz="0" w:space="0" w:color="auto"/>
        <w:bottom w:val="none" w:sz="0" w:space="0" w:color="auto"/>
        <w:right w:val="none" w:sz="0" w:space="0" w:color="auto"/>
      </w:divBdr>
    </w:div>
    <w:div w:id="1687631720">
      <w:bodyDiv w:val="1"/>
      <w:marLeft w:val="0"/>
      <w:marRight w:val="0"/>
      <w:marTop w:val="0"/>
      <w:marBottom w:val="0"/>
      <w:divBdr>
        <w:top w:val="none" w:sz="0" w:space="0" w:color="auto"/>
        <w:left w:val="none" w:sz="0" w:space="0" w:color="auto"/>
        <w:bottom w:val="none" w:sz="0" w:space="0" w:color="auto"/>
        <w:right w:val="none" w:sz="0" w:space="0" w:color="auto"/>
      </w:divBdr>
    </w:div>
    <w:div w:id="1778482871">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E82A0-6265-47F7-88B4-C162D254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25143</Words>
  <Characters>14333</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2018-07-05T10:12:00Z</dcterms:created>
  <dcterms:modified xsi:type="dcterms:W3CDTF">2018-11-27T14:03:00Z</dcterms:modified>
</cp:coreProperties>
</file>