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19F" w:rsidRPr="0037519F" w:rsidRDefault="0037519F" w:rsidP="0037519F">
      <w:pPr>
        <w:spacing w:after="0" w:line="276" w:lineRule="auto"/>
        <w:jc w:val="both"/>
        <w:rPr>
          <w:rFonts w:eastAsia="Times New Roman" w:cs="Times New Roman"/>
          <w:color w:val="000000"/>
          <w:szCs w:val="24"/>
          <w:lang w:eastAsia="lv-LV"/>
        </w:rPr>
      </w:pPr>
      <w:r w:rsidRPr="002D7127">
        <w:rPr>
          <w:rFonts w:cs="Times New Roman"/>
          <w:b/>
          <w:bCs/>
          <w:szCs w:val="24"/>
        </w:rPr>
        <w:t>Pārrobežu mantojuma lietā piemērojamās jurisdikcijas un likuma izvēle</w:t>
      </w:r>
    </w:p>
    <w:p w:rsidR="0037519F" w:rsidRPr="0037519F" w:rsidRDefault="0037519F" w:rsidP="0037519F">
      <w:pPr>
        <w:spacing w:after="0" w:line="276" w:lineRule="auto"/>
        <w:jc w:val="right"/>
        <w:rPr>
          <w:rFonts w:eastAsia="Times New Roman" w:cs="Times New Roman"/>
          <w:color w:val="000000"/>
          <w:szCs w:val="24"/>
          <w:lang w:eastAsia="lv-LV"/>
        </w:rPr>
      </w:pPr>
    </w:p>
    <w:p w:rsidR="0037519F" w:rsidRDefault="0037519F" w:rsidP="0037519F">
      <w:pPr>
        <w:spacing w:after="0" w:line="276" w:lineRule="auto"/>
        <w:jc w:val="center"/>
        <w:rPr>
          <w:rFonts w:eastAsia="Times New Roman" w:cs="Times New Roman"/>
          <w:color w:val="000000"/>
          <w:szCs w:val="24"/>
          <w:lang w:eastAsia="lv-LV"/>
        </w:rPr>
      </w:pPr>
      <w:r w:rsidRPr="0037519F">
        <w:rPr>
          <w:rFonts w:eastAsia="Times New Roman" w:cs="Times New Roman"/>
          <w:b/>
          <w:bCs/>
          <w:color w:val="000000"/>
          <w:szCs w:val="24"/>
          <w:lang w:eastAsia="lv-LV"/>
        </w:rPr>
        <w:t>Latvijas Republikas Augstākā</w:t>
      </w:r>
      <w:r>
        <w:rPr>
          <w:rFonts w:eastAsia="Times New Roman" w:cs="Times New Roman"/>
          <w:b/>
          <w:bCs/>
          <w:color w:val="000000"/>
          <w:szCs w:val="24"/>
          <w:lang w:eastAsia="lv-LV"/>
        </w:rPr>
        <w:t>s</w:t>
      </w:r>
      <w:r w:rsidRPr="0037519F">
        <w:rPr>
          <w:rFonts w:eastAsia="Times New Roman" w:cs="Times New Roman"/>
          <w:b/>
          <w:bCs/>
          <w:color w:val="000000"/>
          <w:szCs w:val="24"/>
          <w:lang w:eastAsia="lv-LV"/>
        </w:rPr>
        <w:t xml:space="preserve"> tiesa</w:t>
      </w:r>
      <w:r>
        <w:rPr>
          <w:rFonts w:eastAsia="Times New Roman" w:cs="Times New Roman"/>
          <w:b/>
          <w:bCs/>
          <w:color w:val="000000"/>
          <w:szCs w:val="24"/>
          <w:lang w:eastAsia="lv-LV"/>
        </w:rPr>
        <w:t>s</w:t>
      </w:r>
      <w:r w:rsidRPr="0037519F">
        <w:rPr>
          <w:rFonts w:eastAsia="Times New Roman" w:cs="Times New Roman"/>
          <w:color w:val="000000"/>
          <w:szCs w:val="24"/>
          <w:lang w:eastAsia="lv-LV"/>
        </w:rPr>
        <w:t> </w:t>
      </w:r>
    </w:p>
    <w:p w:rsidR="0037519F" w:rsidRPr="0037519F" w:rsidRDefault="0037519F" w:rsidP="0037519F">
      <w:pPr>
        <w:spacing w:after="0" w:line="276" w:lineRule="auto"/>
        <w:jc w:val="center"/>
        <w:rPr>
          <w:rFonts w:eastAsia="Times New Roman" w:cs="Times New Roman"/>
          <w:b/>
          <w:color w:val="000000"/>
          <w:szCs w:val="24"/>
          <w:lang w:eastAsia="lv-LV"/>
        </w:rPr>
      </w:pPr>
      <w:r w:rsidRPr="0037519F">
        <w:rPr>
          <w:rFonts w:eastAsia="Times New Roman" w:cs="Times New Roman"/>
          <w:b/>
          <w:color w:val="000000"/>
          <w:szCs w:val="24"/>
          <w:lang w:eastAsia="lv-LV"/>
        </w:rPr>
        <w:t>Civillietu departamenta</w:t>
      </w:r>
    </w:p>
    <w:p w:rsidR="0037519F" w:rsidRPr="0037519F" w:rsidRDefault="0037519F" w:rsidP="0037519F">
      <w:pPr>
        <w:spacing w:after="0" w:line="276" w:lineRule="auto"/>
        <w:jc w:val="center"/>
        <w:rPr>
          <w:rFonts w:eastAsia="Times New Roman" w:cs="Times New Roman"/>
          <w:b/>
          <w:color w:val="000000"/>
          <w:szCs w:val="24"/>
          <w:lang w:eastAsia="lv-LV"/>
        </w:rPr>
      </w:pPr>
      <w:proofErr w:type="gramStart"/>
      <w:r w:rsidRPr="0037519F">
        <w:rPr>
          <w:rFonts w:eastAsia="Times New Roman" w:cs="Times New Roman"/>
          <w:b/>
          <w:color w:val="000000"/>
          <w:szCs w:val="24"/>
          <w:lang w:eastAsia="lv-LV"/>
        </w:rPr>
        <w:t>2018.gada</w:t>
      </w:r>
      <w:proofErr w:type="gramEnd"/>
      <w:r w:rsidRPr="0037519F">
        <w:rPr>
          <w:rFonts w:eastAsia="Times New Roman" w:cs="Times New Roman"/>
          <w:b/>
          <w:color w:val="000000"/>
          <w:szCs w:val="24"/>
          <w:lang w:eastAsia="lv-LV"/>
        </w:rPr>
        <w:t xml:space="preserve"> 27.aprīļa</w:t>
      </w:r>
    </w:p>
    <w:p w:rsidR="0037519F" w:rsidRDefault="0037519F" w:rsidP="0037519F">
      <w:pPr>
        <w:spacing w:after="0" w:line="276" w:lineRule="auto"/>
        <w:jc w:val="center"/>
        <w:rPr>
          <w:rFonts w:eastAsia="Times New Roman" w:cs="Times New Roman"/>
          <w:color w:val="000000"/>
          <w:szCs w:val="24"/>
          <w:lang w:eastAsia="lv-LV"/>
        </w:rPr>
      </w:pPr>
      <w:r w:rsidRPr="0037519F">
        <w:rPr>
          <w:rFonts w:eastAsia="Times New Roman" w:cs="Times New Roman"/>
          <w:b/>
          <w:bCs/>
          <w:color w:val="000000"/>
          <w:szCs w:val="24"/>
          <w:lang w:eastAsia="lv-LV"/>
        </w:rPr>
        <w:t>LĒMUMS</w:t>
      </w:r>
    </w:p>
    <w:p w:rsidR="0037519F" w:rsidRPr="0037519F" w:rsidRDefault="0037519F" w:rsidP="0037519F">
      <w:pPr>
        <w:spacing w:after="0" w:line="276" w:lineRule="auto"/>
        <w:jc w:val="center"/>
        <w:rPr>
          <w:rFonts w:eastAsia="Times New Roman" w:cs="Times New Roman"/>
          <w:b/>
          <w:color w:val="000000"/>
          <w:szCs w:val="24"/>
          <w:lang w:eastAsia="lv-LV"/>
        </w:rPr>
      </w:pPr>
      <w:r w:rsidRPr="0037519F">
        <w:rPr>
          <w:rFonts w:eastAsia="Times New Roman" w:cs="Times New Roman"/>
          <w:b/>
          <w:color w:val="000000"/>
          <w:szCs w:val="24"/>
          <w:lang w:eastAsia="lv-LV"/>
        </w:rPr>
        <w:t>Lieta Nr.C04002517, SKC-815/2018 </w:t>
      </w:r>
    </w:p>
    <w:p w:rsidR="0037519F" w:rsidRPr="0037519F" w:rsidRDefault="00022DD8" w:rsidP="0037519F">
      <w:pPr>
        <w:spacing w:after="0" w:line="276" w:lineRule="auto"/>
        <w:jc w:val="center"/>
        <w:rPr>
          <w:rFonts w:eastAsia="Times New Roman" w:cs="Times New Roman"/>
          <w:color w:val="000000"/>
          <w:szCs w:val="24"/>
          <w:lang w:eastAsia="lv-LV"/>
        </w:rPr>
      </w:pPr>
      <w:hyperlink r:id="rId6" w:tgtFrame="_blank" w:history="1">
        <w:r w:rsidR="0037519F" w:rsidRPr="0037519F">
          <w:rPr>
            <w:rFonts w:eastAsia="Times New Roman" w:cs="Times New Roman"/>
            <w:color w:val="0000FF"/>
            <w:szCs w:val="24"/>
            <w:u w:val="single"/>
            <w:lang w:eastAsia="lv-LV"/>
          </w:rPr>
          <w:t>ECLI:LV:AT:2018:0427.C04002517.6.L</w:t>
        </w:r>
      </w:hyperlink>
    </w:p>
    <w:p w:rsidR="0037519F" w:rsidRPr="0037519F" w:rsidRDefault="0037519F" w:rsidP="0037519F">
      <w:pPr>
        <w:spacing w:after="0" w:line="276" w:lineRule="auto"/>
        <w:rPr>
          <w:rFonts w:eastAsia="Times New Roman" w:cs="Times New Roman"/>
          <w:color w:val="000000"/>
          <w:szCs w:val="24"/>
          <w:lang w:eastAsia="lv-LV"/>
        </w:rPr>
      </w:pPr>
    </w:p>
    <w:p w:rsidR="0037519F" w:rsidRPr="0037519F" w:rsidRDefault="0037519F" w:rsidP="0037519F">
      <w:pPr>
        <w:spacing w:after="0" w:line="276" w:lineRule="auto"/>
        <w:ind w:firstLine="720"/>
        <w:rPr>
          <w:rFonts w:eastAsia="Times New Roman" w:cs="Times New Roman"/>
          <w:color w:val="000000"/>
          <w:szCs w:val="24"/>
          <w:lang w:eastAsia="lv-LV"/>
        </w:rPr>
      </w:pPr>
      <w:r w:rsidRPr="002D7127">
        <w:rPr>
          <w:rFonts w:eastAsia="Times New Roman" w:cs="Times New Roman"/>
          <w:color w:val="000000"/>
          <w:szCs w:val="24"/>
          <w:lang w:eastAsia="lv-LV"/>
        </w:rPr>
        <w:t>Augstākā tiesa šādā sastāvā:</w:t>
      </w:r>
    </w:p>
    <w:p w:rsidR="0037519F" w:rsidRPr="0037519F" w:rsidRDefault="0037519F" w:rsidP="0037519F">
      <w:pPr>
        <w:spacing w:after="0" w:line="276" w:lineRule="auto"/>
        <w:ind w:left="720" w:firstLine="720"/>
        <w:rPr>
          <w:rFonts w:eastAsia="Times New Roman" w:cs="Times New Roman"/>
          <w:color w:val="000000"/>
          <w:szCs w:val="24"/>
          <w:lang w:eastAsia="lv-LV"/>
        </w:rPr>
      </w:pPr>
      <w:r>
        <w:rPr>
          <w:rFonts w:eastAsia="Times New Roman" w:cs="Times New Roman"/>
          <w:color w:val="000000"/>
          <w:szCs w:val="24"/>
          <w:lang w:eastAsia="lv-LV"/>
        </w:rPr>
        <w:t>t</w:t>
      </w:r>
      <w:r w:rsidRPr="0037519F">
        <w:rPr>
          <w:rFonts w:eastAsia="Times New Roman" w:cs="Times New Roman"/>
          <w:color w:val="000000"/>
          <w:szCs w:val="24"/>
          <w:lang w:eastAsia="lv-LV"/>
        </w:rPr>
        <w:t>iesnese referente Anda Briede,</w:t>
      </w:r>
    </w:p>
    <w:p w:rsidR="0037519F" w:rsidRPr="0037519F" w:rsidRDefault="0037519F" w:rsidP="0037519F">
      <w:pPr>
        <w:spacing w:after="0" w:line="276" w:lineRule="auto"/>
        <w:ind w:left="720"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tiesnese Anita Čerņavska,</w:t>
      </w:r>
    </w:p>
    <w:p w:rsidR="0037519F" w:rsidRPr="0037519F" w:rsidRDefault="0037519F" w:rsidP="0037519F">
      <w:pPr>
        <w:spacing w:after="0" w:line="276" w:lineRule="auto"/>
        <w:ind w:left="720"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tiesnesis Valerijs Maksimovs</w:t>
      </w:r>
    </w:p>
    <w:p w:rsidR="0037519F" w:rsidRPr="0037519F" w:rsidRDefault="0037519F" w:rsidP="0037519F">
      <w:pPr>
        <w:spacing w:after="0" w:line="276" w:lineRule="auto"/>
        <w:rPr>
          <w:rFonts w:eastAsia="Times New Roman" w:cs="Times New Roman"/>
          <w:color w:val="000000"/>
          <w:szCs w:val="24"/>
          <w:lang w:eastAsia="lv-LV"/>
        </w:rPr>
      </w:pPr>
    </w:p>
    <w:p w:rsidR="0037519F" w:rsidRPr="0037519F" w:rsidRDefault="0037519F" w:rsidP="0037519F">
      <w:pPr>
        <w:spacing w:after="0" w:line="276" w:lineRule="auto"/>
        <w:ind w:firstLine="709"/>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rakstveida procesā izskatīja </w:t>
      </w:r>
      <w:r>
        <w:rPr>
          <w:rFonts w:eastAsia="Times New Roman" w:cs="Times New Roman"/>
          <w:color w:val="000000"/>
          <w:szCs w:val="24"/>
          <w:lang w:eastAsia="lv-LV"/>
        </w:rPr>
        <w:t>[pers. A]</w:t>
      </w:r>
      <w:r w:rsidRPr="0037519F">
        <w:rPr>
          <w:rFonts w:eastAsia="Times New Roman" w:cs="Times New Roman"/>
          <w:color w:val="000000"/>
          <w:szCs w:val="24"/>
          <w:lang w:eastAsia="lv-LV"/>
        </w:rPr>
        <w:t xml:space="preserve"> (</w:t>
      </w:r>
      <w:r>
        <w:rPr>
          <w:rFonts w:eastAsia="Times New Roman" w:cs="Times New Roman"/>
          <w:color w:val="000000"/>
          <w:szCs w:val="24"/>
          <w:lang w:eastAsia="lv-LV"/>
        </w:rPr>
        <w:t>[</w:t>
      </w:r>
      <w:r w:rsidRPr="0037519F">
        <w:rPr>
          <w:rFonts w:eastAsia="Times New Roman" w:cs="Times New Roman"/>
          <w:i/>
          <w:color w:val="000000"/>
          <w:szCs w:val="24"/>
          <w:lang w:eastAsia="lv-LV"/>
        </w:rPr>
        <w:t>pers. A</w:t>
      </w:r>
      <w:r>
        <w:rPr>
          <w:rFonts w:eastAsia="Times New Roman" w:cs="Times New Roman"/>
          <w:color w:val="000000"/>
          <w:szCs w:val="24"/>
          <w:lang w:eastAsia="lv-LV"/>
        </w:rPr>
        <w:t>]</w:t>
      </w:r>
      <w:r w:rsidRPr="0037519F">
        <w:rPr>
          <w:rFonts w:eastAsia="Times New Roman" w:cs="Times New Roman"/>
          <w:color w:val="000000"/>
          <w:szCs w:val="24"/>
          <w:lang w:eastAsia="lv-LV"/>
        </w:rPr>
        <w:t xml:space="preserve">) un </w:t>
      </w:r>
      <w:r>
        <w:rPr>
          <w:rFonts w:eastAsia="Times New Roman" w:cs="Times New Roman"/>
          <w:color w:val="000000"/>
          <w:szCs w:val="24"/>
          <w:lang w:eastAsia="lv-LV"/>
        </w:rPr>
        <w:t xml:space="preserve">[pers. B] </w:t>
      </w:r>
      <w:r w:rsidRPr="0037519F">
        <w:rPr>
          <w:rFonts w:eastAsia="Times New Roman" w:cs="Times New Roman"/>
          <w:color w:val="000000"/>
          <w:szCs w:val="24"/>
          <w:lang w:eastAsia="lv-LV"/>
        </w:rPr>
        <w:t>(</w:t>
      </w:r>
      <w:r>
        <w:rPr>
          <w:rFonts w:eastAsia="Times New Roman" w:cs="Times New Roman"/>
          <w:color w:val="000000"/>
          <w:szCs w:val="24"/>
          <w:lang w:eastAsia="lv-LV"/>
        </w:rPr>
        <w:t>[</w:t>
      </w:r>
      <w:r w:rsidRPr="0037519F">
        <w:rPr>
          <w:rFonts w:eastAsia="Times New Roman" w:cs="Times New Roman"/>
          <w:i/>
          <w:color w:val="000000"/>
          <w:szCs w:val="24"/>
          <w:lang w:eastAsia="lv-LV"/>
        </w:rPr>
        <w:t>pers. B</w:t>
      </w:r>
      <w:r>
        <w:rPr>
          <w:rFonts w:eastAsia="Times New Roman" w:cs="Times New Roman"/>
          <w:color w:val="000000"/>
          <w:szCs w:val="24"/>
          <w:lang w:eastAsia="lv-LV"/>
        </w:rPr>
        <w:t>]</w:t>
      </w:r>
      <w:r w:rsidRPr="0037519F">
        <w:rPr>
          <w:rFonts w:eastAsia="Times New Roman" w:cs="Times New Roman"/>
          <w:color w:val="000000"/>
          <w:szCs w:val="24"/>
          <w:lang w:eastAsia="lv-LV"/>
        </w:rPr>
        <w:t xml:space="preserve">) blakus sūdzību par Rīgas apgabaltiesas Civillietu tiesas kolēģijas </w:t>
      </w:r>
      <w:proofErr w:type="gramStart"/>
      <w:r w:rsidRPr="0037519F">
        <w:rPr>
          <w:rFonts w:eastAsia="Times New Roman" w:cs="Times New Roman"/>
          <w:color w:val="000000"/>
          <w:szCs w:val="24"/>
          <w:lang w:eastAsia="lv-LV"/>
        </w:rPr>
        <w:t>2017.gada</w:t>
      </w:r>
      <w:proofErr w:type="gramEnd"/>
      <w:r w:rsidRPr="0037519F">
        <w:rPr>
          <w:rFonts w:eastAsia="Times New Roman" w:cs="Times New Roman"/>
          <w:color w:val="000000"/>
          <w:szCs w:val="24"/>
          <w:lang w:eastAsia="lv-LV"/>
        </w:rPr>
        <w:t xml:space="preserve"> 22.decembra lēmumu </w:t>
      </w:r>
      <w:r>
        <w:rPr>
          <w:rFonts w:eastAsia="Times New Roman" w:cs="Times New Roman"/>
          <w:color w:val="000000"/>
          <w:szCs w:val="24"/>
          <w:lang w:eastAsia="lv-LV"/>
        </w:rPr>
        <w:t xml:space="preserve">[pers. A] </w:t>
      </w:r>
      <w:r w:rsidRPr="0037519F">
        <w:rPr>
          <w:rFonts w:eastAsia="Times New Roman" w:cs="Times New Roman"/>
          <w:color w:val="000000"/>
          <w:szCs w:val="24"/>
          <w:lang w:eastAsia="lv-LV"/>
        </w:rPr>
        <w:t xml:space="preserve">un </w:t>
      </w:r>
      <w:r>
        <w:rPr>
          <w:rFonts w:eastAsia="Times New Roman" w:cs="Times New Roman"/>
          <w:color w:val="000000"/>
          <w:szCs w:val="24"/>
          <w:lang w:eastAsia="lv-LV"/>
        </w:rPr>
        <w:t xml:space="preserve">[pers. B] </w:t>
      </w:r>
      <w:r w:rsidRPr="0037519F">
        <w:rPr>
          <w:rFonts w:eastAsia="Times New Roman" w:cs="Times New Roman"/>
          <w:color w:val="000000"/>
          <w:szCs w:val="24"/>
          <w:lang w:eastAsia="lv-LV"/>
        </w:rPr>
        <w:t xml:space="preserve">sūdzības lietā par zvērinātas notāres </w:t>
      </w:r>
      <w:proofErr w:type="spellStart"/>
      <w:r w:rsidRPr="0037519F">
        <w:rPr>
          <w:rFonts w:eastAsia="Times New Roman" w:cs="Times New Roman"/>
          <w:color w:val="000000"/>
          <w:szCs w:val="24"/>
          <w:lang w:eastAsia="lv-LV"/>
        </w:rPr>
        <w:t>Argitas</w:t>
      </w:r>
      <w:proofErr w:type="spellEnd"/>
      <w:r w:rsidRPr="0037519F">
        <w:rPr>
          <w:rFonts w:eastAsia="Times New Roman" w:cs="Times New Roman"/>
          <w:color w:val="000000"/>
          <w:szCs w:val="24"/>
          <w:lang w:eastAsia="lv-LV"/>
        </w:rPr>
        <w:t xml:space="preserve"> </w:t>
      </w:r>
      <w:proofErr w:type="spellStart"/>
      <w:r w:rsidRPr="0037519F">
        <w:rPr>
          <w:rFonts w:eastAsia="Times New Roman" w:cs="Times New Roman"/>
          <w:color w:val="000000"/>
          <w:szCs w:val="24"/>
          <w:lang w:eastAsia="lv-LV"/>
        </w:rPr>
        <w:t>Gustafssones</w:t>
      </w:r>
      <w:proofErr w:type="spellEnd"/>
      <w:r w:rsidRPr="0037519F">
        <w:rPr>
          <w:rFonts w:eastAsia="Times New Roman" w:cs="Times New Roman"/>
          <w:color w:val="000000"/>
          <w:szCs w:val="24"/>
          <w:lang w:eastAsia="lv-LV"/>
        </w:rPr>
        <w:t xml:space="preserve"> rīcību.</w:t>
      </w:r>
    </w:p>
    <w:p w:rsidR="0037519F" w:rsidRPr="0037519F" w:rsidRDefault="0037519F" w:rsidP="0037519F">
      <w:pPr>
        <w:spacing w:after="0" w:line="276" w:lineRule="auto"/>
        <w:rPr>
          <w:rFonts w:eastAsia="Times New Roman" w:cs="Times New Roman"/>
          <w:color w:val="000000"/>
          <w:szCs w:val="24"/>
          <w:lang w:eastAsia="lv-LV"/>
        </w:rPr>
      </w:pPr>
    </w:p>
    <w:p w:rsidR="0037519F" w:rsidRDefault="0037519F" w:rsidP="0037519F">
      <w:pPr>
        <w:spacing w:after="0" w:line="276" w:lineRule="auto"/>
        <w:jc w:val="center"/>
        <w:rPr>
          <w:rFonts w:eastAsia="Times New Roman" w:cs="Times New Roman"/>
          <w:color w:val="000000"/>
          <w:szCs w:val="24"/>
          <w:lang w:eastAsia="lv-LV"/>
        </w:rPr>
      </w:pPr>
      <w:r w:rsidRPr="0037519F">
        <w:rPr>
          <w:rFonts w:eastAsia="Times New Roman" w:cs="Times New Roman"/>
          <w:b/>
          <w:bCs/>
          <w:color w:val="000000"/>
          <w:szCs w:val="24"/>
          <w:lang w:eastAsia="lv-LV"/>
        </w:rPr>
        <w:t>Aprakstošā daļa</w:t>
      </w:r>
    </w:p>
    <w:p w:rsidR="0037519F" w:rsidRPr="0037519F" w:rsidRDefault="0037519F" w:rsidP="0037519F">
      <w:pPr>
        <w:spacing w:after="0" w:line="276" w:lineRule="auto"/>
        <w:jc w:val="center"/>
        <w:rPr>
          <w:rFonts w:eastAsia="Times New Roman" w:cs="Times New Roman"/>
          <w:color w:val="000000"/>
          <w:szCs w:val="24"/>
          <w:lang w:eastAsia="lv-LV"/>
        </w:rPr>
      </w:pP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[1] Zvērināta notāre </w:t>
      </w:r>
      <w:proofErr w:type="spellStart"/>
      <w:r w:rsidRPr="0037519F">
        <w:rPr>
          <w:rFonts w:eastAsia="Times New Roman" w:cs="Times New Roman"/>
          <w:color w:val="000000"/>
          <w:szCs w:val="24"/>
          <w:lang w:eastAsia="lv-LV"/>
        </w:rPr>
        <w:t>Argita</w:t>
      </w:r>
      <w:proofErr w:type="spellEnd"/>
      <w:r w:rsidRPr="0037519F">
        <w:rPr>
          <w:rFonts w:eastAsia="Times New Roman" w:cs="Times New Roman"/>
          <w:color w:val="000000"/>
          <w:szCs w:val="24"/>
          <w:lang w:eastAsia="lv-LV"/>
        </w:rPr>
        <w:t xml:space="preserve"> </w:t>
      </w:r>
      <w:proofErr w:type="spellStart"/>
      <w:r w:rsidRPr="0037519F">
        <w:rPr>
          <w:rFonts w:eastAsia="Times New Roman" w:cs="Times New Roman"/>
          <w:color w:val="000000"/>
          <w:szCs w:val="24"/>
          <w:lang w:eastAsia="lv-LV"/>
        </w:rPr>
        <w:t>Gustafssone</w:t>
      </w:r>
      <w:proofErr w:type="spellEnd"/>
      <w:r w:rsidRPr="0037519F">
        <w:rPr>
          <w:rFonts w:eastAsia="Times New Roman" w:cs="Times New Roman"/>
          <w:color w:val="000000"/>
          <w:szCs w:val="24"/>
          <w:lang w:eastAsia="lv-LV"/>
        </w:rPr>
        <w:t xml:space="preserve"> (turpmāk arī notāre) uzsākusi </w:t>
      </w:r>
      <w:r>
        <w:rPr>
          <w:rFonts w:eastAsia="Times New Roman" w:cs="Times New Roman"/>
          <w:color w:val="000000"/>
          <w:szCs w:val="24"/>
          <w:lang w:eastAsia="lv-LV"/>
        </w:rPr>
        <w:t>[pers. C]</w:t>
      </w:r>
      <w:r w:rsidRPr="0037519F">
        <w:rPr>
          <w:rFonts w:eastAsia="Times New Roman" w:cs="Times New Roman"/>
          <w:color w:val="000000"/>
          <w:szCs w:val="24"/>
          <w:lang w:eastAsia="lv-LV"/>
        </w:rPr>
        <w:t xml:space="preserve"> (</w:t>
      </w:r>
      <w:r>
        <w:rPr>
          <w:rFonts w:eastAsia="Times New Roman" w:cs="Times New Roman"/>
          <w:color w:val="000000"/>
          <w:szCs w:val="24"/>
          <w:lang w:eastAsia="lv-LV"/>
        </w:rPr>
        <w:t>[</w:t>
      </w:r>
      <w:r w:rsidRPr="00EC0004">
        <w:rPr>
          <w:rFonts w:eastAsia="Times New Roman" w:cs="Times New Roman"/>
          <w:i/>
          <w:color w:val="000000"/>
          <w:szCs w:val="24"/>
          <w:lang w:eastAsia="lv-LV"/>
        </w:rPr>
        <w:t>pers. C</w:t>
      </w:r>
      <w:r>
        <w:rPr>
          <w:rFonts w:eastAsia="Times New Roman" w:cs="Times New Roman"/>
          <w:color w:val="000000"/>
          <w:szCs w:val="24"/>
          <w:lang w:eastAsia="lv-LV"/>
        </w:rPr>
        <w:t>]</w:t>
      </w:r>
      <w:r w:rsidRPr="0037519F">
        <w:rPr>
          <w:rFonts w:eastAsia="Times New Roman" w:cs="Times New Roman"/>
          <w:color w:val="000000"/>
          <w:szCs w:val="24"/>
          <w:lang w:eastAsia="lv-LV"/>
        </w:rPr>
        <w:t xml:space="preserve">), miruša </w:t>
      </w:r>
      <w:proofErr w:type="gramStart"/>
      <w:r w:rsidRPr="0037519F">
        <w:rPr>
          <w:rFonts w:eastAsia="Times New Roman" w:cs="Times New Roman"/>
          <w:color w:val="000000"/>
          <w:szCs w:val="24"/>
          <w:lang w:eastAsia="lv-LV"/>
        </w:rPr>
        <w:t>2017.gada</w:t>
      </w:r>
      <w:proofErr w:type="gramEnd"/>
      <w:r w:rsidR="00EC0004">
        <w:rPr>
          <w:rFonts w:eastAsia="Times New Roman" w:cs="Times New Roman"/>
          <w:color w:val="000000"/>
          <w:szCs w:val="24"/>
          <w:lang w:eastAsia="lv-LV"/>
        </w:rPr>
        <w:t xml:space="preserve"> [..] </w:t>
      </w:r>
      <w:r w:rsidRPr="0037519F">
        <w:rPr>
          <w:rFonts w:eastAsia="Times New Roman" w:cs="Times New Roman"/>
          <w:color w:val="000000"/>
          <w:szCs w:val="24"/>
          <w:lang w:eastAsia="lv-LV"/>
        </w:rPr>
        <w:t>aprīlī Minhenē, mantojuma lietu Nr.</w:t>
      </w:r>
      <w:r w:rsidR="00EC0004">
        <w:rPr>
          <w:rFonts w:eastAsia="Times New Roman" w:cs="Times New Roman"/>
          <w:color w:val="000000"/>
          <w:szCs w:val="24"/>
          <w:lang w:eastAsia="lv-LV"/>
        </w:rPr>
        <w:t>[..]</w:t>
      </w:r>
      <w:r w:rsidRPr="0037519F">
        <w:rPr>
          <w:rFonts w:eastAsia="Times New Roman" w:cs="Times New Roman"/>
          <w:color w:val="000000"/>
          <w:szCs w:val="24"/>
          <w:lang w:eastAsia="lv-LV"/>
        </w:rPr>
        <w:t>, pamatojoties uz pirmās šķiras mantinieku (dēla</w:t>
      </w:r>
      <w:r w:rsidR="00EC0004">
        <w:rPr>
          <w:rFonts w:eastAsia="Times New Roman" w:cs="Times New Roman"/>
          <w:color w:val="000000"/>
          <w:szCs w:val="24"/>
          <w:lang w:eastAsia="lv-LV"/>
        </w:rPr>
        <w:t xml:space="preserve"> [pers. D]</w:t>
      </w:r>
      <w:r w:rsidRPr="0037519F">
        <w:rPr>
          <w:rFonts w:eastAsia="Times New Roman" w:cs="Times New Roman"/>
          <w:color w:val="000000"/>
          <w:szCs w:val="24"/>
          <w:lang w:eastAsia="lv-LV"/>
        </w:rPr>
        <w:t xml:space="preserve">, dzim. </w:t>
      </w:r>
      <w:r w:rsidR="00EC0004">
        <w:rPr>
          <w:rFonts w:eastAsia="Times New Roman" w:cs="Times New Roman"/>
          <w:color w:val="000000"/>
          <w:szCs w:val="24"/>
          <w:lang w:eastAsia="lv-LV"/>
        </w:rPr>
        <w:t>[..]</w:t>
      </w:r>
      <w:r w:rsidRPr="0037519F">
        <w:rPr>
          <w:rFonts w:eastAsia="Times New Roman" w:cs="Times New Roman"/>
          <w:color w:val="000000"/>
          <w:szCs w:val="24"/>
          <w:lang w:eastAsia="lv-LV"/>
        </w:rPr>
        <w:t>, Maskavā; dēla</w:t>
      </w:r>
      <w:r w:rsidR="00EC0004">
        <w:rPr>
          <w:rFonts w:eastAsia="Times New Roman" w:cs="Times New Roman"/>
          <w:color w:val="000000"/>
          <w:szCs w:val="24"/>
          <w:lang w:eastAsia="lv-LV"/>
        </w:rPr>
        <w:t xml:space="preserve"> [pers.  E]</w:t>
      </w:r>
      <w:r w:rsidRPr="0037519F">
        <w:rPr>
          <w:rFonts w:eastAsia="Times New Roman" w:cs="Times New Roman"/>
          <w:color w:val="000000"/>
          <w:szCs w:val="24"/>
          <w:lang w:eastAsia="lv-LV"/>
        </w:rPr>
        <w:t xml:space="preserve">, dzim. </w:t>
      </w:r>
      <w:r w:rsidR="00EC0004">
        <w:rPr>
          <w:rFonts w:eastAsia="Times New Roman" w:cs="Times New Roman"/>
          <w:color w:val="000000"/>
          <w:szCs w:val="24"/>
          <w:lang w:eastAsia="lv-LV"/>
        </w:rPr>
        <w:t>[..]</w:t>
      </w:r>
      <w:r w:rsidRPr="0037519F">
        <w:rPr>
          <w:rFonts w:eastAsia="Times New Roman" w:cs="Times New Roman"/>
          <w:color w:val="000000"/>
          <w:szCs w:val="24"/>
          <w:lang w:eastAsia="lv-LV"/>
        </w:rPr>
        <w:t>, Maskavā; dēla</w:t>
      </w:r>
      <w:r w:rsidR="00EC0004">
        <w:rPr>
          <w:rFonts w:eastAsia="Times New Roman" w:cs="Times New Roman"/>
          <w:color w:val="000000"/>
          <w:szCs w:val="24"/>
          <w:lang w:eastAsia="lv-LV"/>
        </w:rPr>
        <w:t xml:space="preserve"> [pers. F]</w:t>
      </w:r>
      <w:r w:rsidRPr="0037519F">
        <w:rPr>
          <w:rFonts w:eastAsia="Times New Roman" w:cs="Times New Roman"/>
          <w:color w:val="000000"/>
          <w:szCs w:val="24"/>
          <w:lang w:eastAsia="lv-LV"/>
        </w:rPr>
        <w:t>, dzim.</w:t>
      </w:r>
      <w:r w:rsidR="00EC0004">
        <w:rPr>
          <w:rFonts w:eastAsia="Times New Roman" w:cs="Times New Roman"/>
          <w:color w:val="000000"/>
          <w:szCs w:val="24"/>
          <w:lang w:eastAsia="lv-LV"/>
        </w:rPr>
        <w:t>[..]</w:t>
      </w:r>
      <w:r w:rsidRPr="0037519F">
        <w:rPr>
          <w:rFonts w:eastAsia="Times New Roman" w:cs="Times New Roman"/>
          <w:color w:val="000000"/>
          <w:szCs w:val="24"/>
          <w:lang w:eastAsia="lv-LV"/>
        </w:rPr>
        <w:t>, Maskavā; meitas</w:t>
      </w:r>
      <w:r w:rsidR="00EC0004">
        <w:rPr>
          <w:rFonts w:eastAsia="Times New Roman" w:cs="Times New Roman"/>
          <w:color w:val="000000"/>
          <w:szCs w:val="24"/>
          <w:lang w:eastAsia="lv-LV"/>
        </w:rPr>
        <w:t xml:space="preserve"> [pers. G]</w:t>
      </w:r>
      <w:r w:rsidRPr="0037519F">
        <w:rPr>
          <w:rFonts w:eastAsia="Times New Roman" w:cs="Times New Roman"/>
          <w:color w:val="000000"/>
          <w:szCs w:val="24"/>
          <w:lang w:eastAsia="lv-LV"/>
        </w:rPr>
        <w:t>, dzim.</w:t>
      </w:r>
      <w:r w:rsidR="00EC0004">
        <w:rPr>
          <w:rFonts w:eastAsia="Times New Roman" w:cs="Times New Roman"/>
          <w:color w:val="000000"/>
          <w:szCs w:val="24"/>
          <w:lang w:eastAsia="lv-LV"/>
        </w:rPr>
        <w:t>[..]</w:t>
      </w:r>
      <w:r w:rsidRPr="0037519F">
        <w:rPr>
          <w:rFonts w:eastAsia="Times New Roman" w:cs="Times New Roman"/>
          <w:color w:val="000000"/>
          <w:szCs w:val="24"/>
          <w:lang w:eastAsia="lv-LV"/>
        </w:rPr>
        <w:t xml:space="preserve">, </w:t>
      </w:r>
      <w:proofErr w:type="spellStart"/>
      <w:r w:rsidRPr="0037519F">
        <w:rPr>
          <w:rFonts w:eastAsia="Times New Roman" w:cs="Times New Roman"/>
          <w:color w:val="000000"/>
          <w:szCs w:val="24"/>
          <w:lang w:eastAsia="lv-LV"/>
        </w:rPr>
        <w:t>Ņižnij-Novgorodā)</w:t>
      </w:r>
      <w:proofErr w:type="spellEnd"/>
      <w:r w:rsidRPr="0037519F">
        <w:rPr>
          <w:rFonts w:eastAsia="Times New Roman" w:cs="Times New Roman"/>
          <w:color w:val="000000"/>
          <w:szCs w:val="24"/>
          <w:lang w:eastAsia="lv-LV"/>
        </w:rPr>
        <w:t xml:space="preserve"> 2017.gada </w:t>
      </w:r>
      <w:r w:rsidR="00EC0004">
        <w:rPr>
          <w:rFonts w:eastAsia="Times New Roman" w:cs="Times New Roman"/>
          <w:color w:val="000000"/>
          <w:szCs w:val="24"/>
          <w:lang w:eastAsia="lv-LV"/>
        </w:rPr>
        <w:t xml:space="preserve">[..] </w:t>
      </w:r>
      <w:r w:rsidRPr="0037519F">
        <w:rPr>
          <w:rFonts w:eastAsia="Times New Roman" w:cs="Times New Roman"/>
          <w:color w:val="000000"/>
          <w:szCs w:val="24"/>
          <w:lang w:eastAsia="lv-LV"/>
        </w:rPr>
        <w:t>jūnija iesniegumu par mantojuma pieņemšanu, izsludināšanu un apstiprināšanu mantojuma tiesībās.</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Mantošanas iesniegumā norādīts, ka mirušā pēdējā faktiskā dzīvesvieta bija</w:t>
      </w:r>
      <w:r w:rsidR="00EC0004">
        <w:rPr>
          <w:rFonts w:eastAsia="Times New Roman" w:cs="Times New Roman"/>
          <w:color w:val="000000"/>
          <w:szCs w:val="24"/>
          <w:lang w:eastAsia="lv-LV"/>
        </w:rPr>
        <w:t xml:space="preserve"> [adrese]</w:t>
      </w:r>
      <w:r w:rsidRPr="0037519F">
        <w:rPr>
          <w:rFonts w:eastAsia="Times New Roman" w:cs="Times New Roman"/>
          <w:color w:val="000000"/>
          <w:szCs w:val="24"/>
          <w:lang w:eastAsia="lv-LV"/>
        </w:rPr>
        <w:t>, un galvenā mantojamās mantas atrašanās vieta ir Latvijā un Eiropas Savienībā (turpmāk – ES).</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Sludinājums par mantojuma atklāšanos ar uzaicinājuma termiņu trīs mēneši publicēts </w:t>
      </w:r>
      <w:proofErr w:type="gramStart"/>
      <w:r w:rsidRPr="0037519F">
        <w:rPr>
          <w:rFonts w:eastAsia="Times New Roman" w:cs="Times New Roman"/>
          <w:color w:val="000000"/>
          <w:szCs w:val="24"/>
          <w:lang w:eastAsia="lv-LV"/>
        </w:rPr>
        <w:t>2017.gada</w:t>
      </w:r>
      <w:proofErr w:type="gramEnd"/>
      <w:r w:rsidRPr="0037519F">
        <w:rPr>
          <w:rFonts w:eastAsia="Times New Roman" w:cs="Times New Roman"/>
          <w:color w:val="000000"/>
          <w:szCs w:val="24"/>
          <w:lang w:eastAsia="lv-LV"/>
        </w:rPr>
        <w:t xml:space="preserve"> </w:t>
      </w:r>
      <w:r w:rsidR="00EC0004">
        <w:rPr>
          <w:rFonts w:eastAsia="Times New Roman" w:cs="Times New Roman"/>
          <w:color w:val="000000"/>
          <w:szCs w:val="24"/>
          <w:lang w:eastAsia="lv-LV"/>
        </w:rPr>
        <w:t>[..]</w:t>
      </w:r>
      <w:r w:rsidR="002F25AC">
        <w:rPr>
          <w:rFonts w:eastAsia="Times New Roman" w:cs="Times New Roman"/>
          <w:color w:val="000000"/>
          <w:szCs w:val="24"/>
          <w:lang w:eastAsia="lv-LV"/>
        </w:rPr>
        <w:t xml:space="preserve"> </w:t>
      </w:r>
      <w:r w:rsidRPr="0037519F">
        <w:rPr>
          <w:rFonts w:eastAsia="Times New Roman" w:cs="Times New Roman"/>
          <w:color w:val="000000"/>
          <w:szCs w:val="24"/>
          <w:lang w:eastAsia="lv-LV"/>
        </w:rPr>
        <w:t>laikrakstā „Latvijas Vēstnesis”.</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Mantojuma atstājēja vecāki </w:t>
      </w:r>
      <w:r w:rsidR="00EC0004">
        <w:rPr>
          <w:rFonts w:eastAsia="Times New Roman" w:cs="Times New Roman"/>
          <w:color w:val="000000"/>
          <w:szCs w:val="24"/>
          <w:lang w:eastAsia="lv-LV"/>
        </w:rPr>
        <w:t xml:space="preserve">[pers. A] </w:t>
      </w:r>
      <w:r w:rsidRPr="0037519F">
        <w:rPr>
          <w:rFonts w:eastAsia="Times New Roman" w:cs="Times New Roman"/>
          <w:color w:val="000000"/>
          <w:szCs w:val="24"/>
          <w:lang w:eastAsia="lv-LV"/>
        </w:rPr>
        <w:t xml:space="preserve">un </w:t>
      </w:r>
      <w:r w:rsidR="00EC0004">
        <w:rPr>
          <w:rFonts w:eastAsia="Times New Roman" w:cs="Times New Roman"/>
          <w:color w:val="000000"/>
          <w:szCs w:val="24"/>
          <w:lang w:eastAsia="lv-LV"/>
        </w:rPr>
        <w:t xml:space="preserve">[pers. B] </w:t>
      </w:r>
      <w:proofErr w:type="gramStart"/>
      <w:r w:rsidRPr="0037519F">
        <w:rPr>
          <w:rFonts w:eastAsia="Times New Roman" w:cs="Times New Roman"/>
          <w:color w:val="000000"/>
          <w:szCs w:val="24"/>
          <w:lang w:eastAsia="lv-LV"/>
        </w:rPr>
        <w:t>2017.gada</w:t>
      </w:r>
      <w:proofErr w:type="gramEnd"/>
      <w:r w:rsidRPr="0037519F">
        <w:rPr>
          <w:rFonts w:eastAsia="Times New Roman" w:cs="Times New Roman"/>
          <w:color w:val="000000"/>
          <w:szCs w:val="24"/>
          <w:lang w:eastAsia="lv-LV"/>
        </w:rPr>
        <w:t xml:space="preserve"> </w:t>
      </w:r>
      <w:r w:rsidR="00EC0004">
        <w:rPr>
          <w:rFonts w:eastAsia="Times New Roman" w:cs="Times New Roman"/>
          <w:color w:val="000000"/>
          <w:szCs w:val="24"/>
          <w:lang w:eastAsia="lv-LV"/>
        </w:rPr>
        <w:t xml:space="preserve">[..] </w:t>
      </w:r>
      <w:r w:rsidRPr="0037519F">
        <w:rPr>
          <w:rFonts w:eastAsia="Times New Roman" w:cs="Times New Roman"/>
          <w:color w:val="000000"/>
          <w:szCs w:val="24"/>
          <w:lang w:eastAsia="lv-LV"/>
        </w:rPr>
        <w:t xml:space="preserve">septembrī mantojuma lietā iesniedza mantošanas iesniegumu. Taču ar </w:t>
      </w:r>
      <w:proofErr w:type="gramStart"/>
      <w:r w:rsidRPr="0037519F">
        <w:rPr>
          <w:rFonts w:eastAsia="Times New Roman" w:cs="Times New Roman"/>
          <w:color w:val="000000"/>
          <w:szCs w:val="24"/>
          <w:lang w:eastAsia="lv-LV"/>
        </w:rPr>
        <w:t>2017.gada</w:t>
      </w:r>
      <w:proofErr w:type="gramEnd"/>
      <w:r w:rsidRPr="0037519F">
        <w:rPr>
          <w:rFonts w:eastAsia="Times New Roman" w:cs="Times New Roman"/>
          <w:color w:val="000000"/>
          <w:szCs w:val="24"/>
          <w:lang w:eastAsia="lv-LV"/>
        </w:rPr>
        <w:t xml:space="preserve"> 28.septembra lēmumu notāre atteica pildīt notariālo darbību, tostarp sagatavot un pieņemt mantošanas iesniegumu, motivējot, pirmkārt, ar uzaicinājumā noteiktā termiņa notecējumu, otrkārt, ar faktu, ka mantojuma apliecība ir jau izsniegta augstākas (pirmās) šķiras mantiniekiem, un iesniedzēji, kā zemākas (otrās) šķiras mantinieki, nemanto. Lēmumā arī norādīts, ka mantojuma lietā Nr.</w:t>
      </w:r>
      <w:r w:rsidR="00EC0004">
        <w:rPr>
          <w:rFonts w:eastAsia="Times New Roman" w:cs="Times New Roman"/>
          <w:color w:val="000000"/>
          <w:szCs w:val="24"/>
          <w:lang w:eastAsia="lv-LV"/>
        </w:rPr>
        <w:t>[..]</w:t>
      </w:r>
      <w:r w:rsidRPr="0037519F">
        <w:rPr>
          <w:rFonts w:eastAsia="Times New Roman" w:cs="Times New Roman"/>
          <w:color w:val="000000"/>
          <w:szCs w:val="24"/>
          <w:lang w:eastAsia="lv-LV"/>
        </w:rPr>
        <w:t>, kas ir pārrobežu mantojuma lieta, mantinieki ir pieprasījuši Eiropas mantojuma apliecību, un tā tuvākajā laikā arī tiks izsniegta saskaņā ar</w:t>
      </w:r>
      <w:r w:rsidR="00EC0004">
        <w:rPr>
          <w:rFonts w:eastAsia="Times New Roman" w:cs="Times New Roman"/>
          <w:color w:val="000000"/>
          <w:szCs w:val="24"/>
          <w:lang w:eastAsia="lv-LV"/>
        </w:rPr>
        <w:t xml:space="preserve"> </w:t>
      </w:r>
      <w:r w:rsidRPr="0037519F">
        <w:rPr>
          <w:rFonts w:eastAsia="Times New Roman" w:cs="Times New Roman"/>
          <w:color w:val="000000"/>
          <w:szCs w:val="24"/>
          <w:lang w:eastAsia="lv-LV"/>
        </w:rPr>
        <w:t>Eiropas Parlamenta un Padomes 2012.gada 4.jūlija Regulu</w:t>
      </w:r>
      <w:r w:rsidR="002F25AC">
        <w:rPr>
          <w:rFonts w:eastAsia="Times New Roman" w:cs="Times New Roman"/>
          <w:color w:val="000000"/>
          <w:szCs w:val="24"/>
          <w:lang w:eastAsia="lv-LV"/>
        </w:rPr>
        <w:t xml:space="preserve"> </w:t>
      </w:r>
      <w:r w:rsidRPr="0037519F">
        <w:rPr>
          <w:rFonts w:eastAsia="Times New Roman" w:cs="Times New Roman"/>
          <w:color w:val="000000"/>
          <w:szCs w:val="24"/>
          <w:lang w:eastAsia="lv-LV"/>
        </w:rPr>
        <w:t>(ES) Nr.650/2012 par jurisdikciju, piemērojamiem tiesību aktiem, nolēmumu atzīšanu un izpildi un publisku aktu akceptēšanu un izpildi mantošanas lietās un par Eiropas mantošanas apliecības izveidi (turpmāk – Mantošanas regula), iekļaujot mantojuma masā īpašumus Spānijas Karalistē.</w:t>
      </w:r>
    </w:p>
    <w:p w:rsidR="0037519F" w:rsidRPr="0037519F" w:rsidRDefault="0037519F" w:rsidP="0037519F">
      <w:pPr>
        <w:spacing w:after="0" w:line="276" w:lineRule="auto"/>
        <w:rPr>
          <w:rFonts w:eastAsia="Times New Roman" w:cs="Times New Roman"/>
          <w:color w:val="000000"/>
          <w:szCs w:val="24"/>
          <w:lang w:eastAsia="lv-LV"/>
        </w:rPr>
      </w:pP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[2]</w:t>
      </w:r>
      <w:r w:rsidR="00EC0004">
        <w:rPr>
          <w:rFonts w:eastAsia="Times New Roman" w:cs="Times New Roman"/>
          <w:color w:val="000000"/>
          <w:szCs w:val="24"/>
          <w:lang w:eastAsia="lv-LV"/>
        </w:rPr>
        <w:t xml:space="preserve"> [</w:t>
      </w:r>
      <w:r w:rsidR="00806621">
        <w:rPr>
          <w:rFonts w:eastAsia="Times New Roman" w:cs="Times New Roman"/>
          <w:color w:val="000000"/>
          <w:szCs w:val="24"/>
          <w:lang w:eastAsia="lv-LV"/>
        </w:rPr>
        <w:t>Pers. A]</w:t>
      </w:r>
      <w:r w:rsidRPr="0037519F">
        <w:rPr>
          <w:rFonts w:eastAsia="Times New Roman" w:cs="Times New Roman"/>
          <w:color w:val="000000"/>
          <w:szCs w:val="24"/>
          <w:lang w:eastAsia="lv-LV"/>
        </w:rPr>
        <w:t xml:space="preserve"> un </w:t>
      </w:r>
      <w:r w:rsidR="00806621">
        <w:rPr>
          <w:rFonts w:eastAsia="Times New Roman" w:cs="Times New Roman"/>
          <w:color w:val="000000"/>
          <w:szCs w:val="24"/>
          <w:lang w:eastAsia="lv-LV"/>
        </w:rPr>
        <w:t xml:space="preserve">[pers. B] </w:t>
      </w:r>
      <w:proofErr w:type="gramStart"/>
      <w:r w:rsidRPr="0037519F">
        <w:rPr>
          <w:rFonts w:eastAsia="Times New Roman" w:cs="Times New Roman"/>
          <w:color w:val="000000"/>
          <w:szCs w:val="24"/>
          <w:lang w:eastAsia="lv-LV"/>
        </w:rPr>
        <w:t>2017.gada</w:t>
      </w:r>
      <w:proofErr w:type="gramEnd"/>
      <w:r w:rsidRPr="0037519F">
        <w:rPr>
          <w:rFonts w:eastAsia="Times New Roman" w:cs="Times New Roman"/>
          <w:color w:val="000000"/>
          <w:szCs w:val="24"/>
          <w:lang w:eastAsia="lv-LV"/>
        </w:rPr>
        <w:t xml:space="preserve"> 16.oktobrī Rīgas apgabaltiesā iesniedza sūdzību par zvērinātas notāres </w:t>
      </w:r>
      <w:proofErr w:type="spellStart"/>
      <w:r w:rsidRPr="0037519F">
        <w:rPr>
          <w:rFonts w:eastAsia="Times New Roman" w:cs="Times New Roman"/>
          <w:color w:val="000000"/>
          <w:szCs w:val="24"/>
          <w:lang w:eastAsia="lv-LV"/>
        </w:rPr>
        <w:t>Argitas</w:t>
      </w:r>
      <w:proofErr w:type="spellEnd"/>
      <w:r w:rsidRPr="0037519F">
        <w:rPr>
          <w:rFonts w:eastAsia="Times New Roman" w:cs="Times New Roman"/>
          <w:color w:val="000000"/>
          <w:szCs w:val="24"/>
          <w:lang w:eastAsia="lv-LV"/>
        </w:rPr>
        <w:t xml:space="preserve"> </w:t>
      </w:r>
      <w:proofErr w:type="spellStart"/>
      <w:r w:rsidRPr="0037519F">
        <w:rPr>
          <w:rFonts w:eastAsia="Times New Roman" w:cs="Times New Roman"/>
          <w:color w:val="000000"/>
          <w:szCs w:val="24"/>
          <w:lang w:eastAsia="lv-LV"/>
        </w:rPr>
        <w:t>Gustafssones</w:t>
      </w:r>
      <w:proofErr w:type="spellEnd"/>
      <w:r w:rsidRPr="0037519F">
        <w:rPr>
          <w:rFonts w:eastAsia="Times New Roman" w:cs="Times New Roman"/>
          <w:color w:val="000000"/>
          <w:szCs w:val="24"/>
          <w:lang w:eastAsia="lv-LV"/>
        </w:rPr>
        <w:t xml:space="preserve"> darbībām, kurā lūgts: 1) atzīt par prettiesisku mantojuma apliecības (par tiesībām uz mantojumu pēc likuma) izsniegšanu, apstiprinot </w:t>
      </w:r>
      <w:r w:rsidRPr="0037519F">
        <w:rPr>
          <w:rFonts w:eastAsia="Times New Roman" w:cs="Times New Roman"/>
          <w:color w:val="000000"/>
          <w:szCs w:val="24"/>
          <w:lang w:eastAsia="lv-LV"/>
        </w:rPr>
        <w:lastRenderedPageBreak/>
        <w:t>mantojuma tiesībās mantojuma atstājēja pirmās šķiras mantiniekus; 2) aizliegt notārei izsniegt Eiropas mantošanas apliecību; 3) mantojuma apliecību par tiesībām uz mantojumu pēc likuma atcelt un atzīt par spēkā neesošu.</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Sūdzībā norādīts, ka </w:t>
      </w:r>
      <w:proofErr w:type="gramStart"/>
      <w:r w:rsidRPr="0037519F">
        <w:rPr>
          <w:rFonts w:eastAsia="Times New Roman" w:cs="Times New Roman"/>
          <w:color w:val="000000"/>
          <w:szCs w:val="24"/>
          <w:lang w:eastAsia="lv-LV"/>
        </w:rPr>
        <w:t>2017.gada</w:t>
      </w:r>
      <w:proofErr w:type="gramEnd"/>
      <w:r w:rsidRPr="0037519F">
        <w:rPr>
          <w:rFonts w:eastAsia="Times New Roman" w:cs="Times New Roman"/>
          <w:color w:val="000000"/>
          <w:szCs w:val="24"/>
          <w:lang w:eastAsia="lv-LV"/>
        </w:rPr>
        <w:t xml:space="preserve"> </w:t>
      </w:r>
      <w:r w:rsidR="00806621">
        <w:rPr>
          <w:rFonts w:eastAsia="Times New Roman" w:cs="Times New Roman"/>
          <w:color w:val="000000"/>
          <w:szCs w:val="24"/>
          <w:lang w:eastAsia="lv-LV"/>
        </w:rPr>
        <w:t xml:space="preserve">[..] </w:t>
      </w:r>
      <w:r w:rsidRPr="0037519F">
        <w:rPr>
          <w:rFonts w:eastAsia="Times New Roman" w:cs="Times New Roman"/>
          <w:color w:val="000000"/>
          <w:szCs w:val="24"/>
          <w:lang w:eastAsia="lv-LV"/>
        </w:rPr>
        <w:t xml:space="preserve">aprīlī Maskavā – pēc mantojuma atstājēja dzīvesvietas – tika uzsākta </w:t>
      </w:r>
      <w:r w:rsidR="00806621">
        <w:rPr>
          <w:rFonts w:eastAsia="Times New Roman" w:cs="Times New Roman"/>
          <w:color w:val="000000"/>
          <w:szCs w:val="24"/>
          <w:lang w:eastAsia="lv-LV"/>
        </w:rPr>
        <w:t xml:space="preserve">[pers. C] </w:t>
      </w:r>
      <w:r w:rsidRPr="0037519F">
        <w:rPr>
          <w:rFonts w:eastAsia="Times New Roman" w:cs="Times New Roman"/>
          <w:color w:val="000000"/>
          <w:szCs w:val="24"/>
          <w:lang w:eastAsia="lv-LV"/>
        </w:rPr>
        <w:t>mantojuma lieta Nr.</w:t>
      </w:r>
      <w:r w:rsidR="00806621">
        <w:rPr>
          <w:rFonts w:eastAsia="Times New Roman" w:cs="Times New Roman"/>
          <w:color w:val="000000"/>
          <w:szCs w:val="24"/>
          <w:lang w:eastAsia="lv-LV"/>
        </w:rPr>
        <w:t>[..]</w:t>
      </w:r>
      <w:r w:rsidRPr="0037519F">
        <w:rPr>
          <w:rFonts w:eastAsia="Times New Roman" w:cs="Times New Roman"/>
          <w:color w:val="000000"/>
          <w:szCs w:val="24"/>
          <w:lang w:eastAsia="lv-LV"/>
        </w:rPr>
        <w:t xml:space="preserve">. Atbilstoši Krievijas Federācijas Civilkodeksa (turpmāk - KFCK) </w:t>
      </w:r>
      <w:proofErr w:type="gramStart"/>
      <w:r w:rsidRPr="0037519F">
        <w:rPr>
          <w:rFonts w:eastAsia="Times New Roman" w:cs="Times New Roman"/>
          <w:color w:val="000000"/>
          <w:szCs w:val="24"/>
          <w:lang w:eastAsia="lv-LV"/>
        </w:rPr>
        <w:t>1115.panta</w:t>
      </w:r>
      <w:proofErr w:type="gramEnd"/>
      <w:r w:rsidRPr="0037519F">
        <w:rPr>
          <w:rFonts w:eastAsia="Times New Roman" w:cs="Times New Roman"/>
          <w:color w:val="000000"/>
          <w:szCs w:val="24"/>
          <w:lang w:eastAsia="lv-LV"/>
        </w:rPr>
        <w:t xml:space="preserve"> 1.punktam par mantojuma atklāšanās vietu uzskatāma mantojuma atstājēja pēdējā dzīvesvieta, bet atbilstoši KFCK 1142.panta 1.punktam pirmās kārtas likumiskie mantinieki ir bērni, laulātais un vecāki.</w:t>
      </w:r>
    </w:p>
    <w:p w:rsidR="0037519F" w:rsidRPr="0037519F" w:rsidRDefault="00806621" w:rsidP="0037519F">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[Pers. </w:t>
      </w:r>
      <w:r>
        <w:t xml:space="preserve">C] </w:t>
      </w:r>
      <w:r w:rsidR="0037519F" w:rsidRPr="0037519F">
        <w:rPr>
          <w:rFonts w:eastAsia="Times New Roman" w:cs="Times New Roman"/>
          <w:color w:val="000000"/>
          <w:szCs w:val="24"/>
          <w:lang w:eastAsia="lv-LV"/>
        </w:rPr>
        <w:t>līdz nāves brīdim bija Krievijas Federācijas rezidents ar pastāvīgo dzīvesvietu Krievijā, Maskavā, kur ir vedama viņa mantojuma lieta. Mantojumā ir arī manta, kas atrodas Latvijā (uzturējās īslaicīgi), Spānijā un Andorā.</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Izdodot mantojuma apliecību mantojuma atstājēja bērniem (kaut arī Krievijā jau bija uzsākta mantojuma lieta) un </w:t>
      </w:r>
      <w:proofErr w:type="gramStart"/>
      <w:r w:rsidRPr="0037519F">
        <w:rPr>
          <w:rFonts w:eastAsia="Times New Roman" w:cs="Times New Roman"/>
          <w:color w:val="000000"/>
          <w:szCs w:val="24"/>
          <w:lang w:eastAsia="lv-LV"/>
        </w:rPr>
        <w:t>apliecinādama gatavību izsniegt</w:t>
      </w:r>
      <w:proofErr w:type="gramEnd"/>
      <w:r w:rsidRPr="0037519F">
        <w:rPr>
          <w:rFonts w:eastAsia="Times New Roman" w:cs="Times New Roman"/>
          <w:color w:val="000000"/>
          <w:szCs w:val="24"/>
          <w:lang w:eastAsia="lv-LV"/>
        </w:rPr>
        <w:t xml:space="preserve"> Eiropas mantošanas apliecību, iekļaujot tajā īpašumus Spānijas Karalistē, notāre atstūmusi </w:t>
      </w:r>
      <w:r w:rsidR="00806621">
        <w:rPr>
          <w:rFonts w:eastAsia="Times New Roman" w:cs="Times New Roman"/>
          <w:color w:val="000000"/>
          <w:szCs w:val="24"/>
          <w:lang w:eastAsia="lv-LV"/>
        </w:rPr>
        <w:t xml:space="preserve">[pers. C] </w:t>
      </w:r>
      <w:r w:rsidRPr="0037519F">
        <w:rPr>
          <w:rFonts w:eastAsia="Times New Roman" w:cs="Times New Roman"/>
          <w:color w:val="000000"/>
          <w:szCs w:val="24"/>
          <w:lang w:eastAsia="lv-LV"/>
        </w:rPr>
        <w:t>vecākus no mantojuma, kas atrodas Latvijā, proti, dzīvokļa īpašuma</w:t>
      </w:r>
      <w:r w:rsidR="00806621">
        <w:rPr>
          <w:rFonts w:eastAsia="Times New Roman" w:cs="Times New Roman"/>
          <w:color w:val="000000"/>
          <w:szCs w:val="24"/>
          <w:lang w:eastAsia="lv-LV"/>
        </w:rPr>
        <w:t xml:space="preserve"> [adrese].</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Gan nacionālais, gan starptautiskais tiesiskais regulējums mantošanas gadījumam nosaka piesaistes kritēriju (mirušā pastāvīgo dzīvesvietu nāves brīdī)</w:t>
      </w:r>
      <w:proofErr w:type="gramStart"/>
      <w:r w:rsidRPr="0037519F">
        <w:rPr>
          <w:rFonts w:eastAsia="Times New Roman" w:cs="Times New Roman"/>
          <w:color w:val="000000"/>
          <w:szCs w:val="24"/>
          <w:lang w:eastAsia="lv-LV"/>
        </w:rPr>
        <w:t>, kā galveno nosacījumu jurisdikcijas un piemērojamās tiesību normas noteikšanai</w:t>
      </w:r>
      <w:proofErr w:type="gramEnd"/>
      <w:r w:rsidRPr="0037519F">
        <w:rPr>
          <w:rFonts w:eastAsia="Times New Roman" w:cs="Times New Roman"/>
          <w:color w:val="000000"/>
          <w:szCs w:val="24"/>
          <w:lang w:eastAsia="lv-LV"/>
        </w:rPr>
        <w:t xml:space="preserve">. Iestādei, kura ved mantošanas lietu, lai noteiktu pastāvīgo dzīvesvietu, ir vispārīgi jāizvērtē mirušā dzīves apstākļi pirms viņa nāves un nāves brīdī. Mantojuma atstājēja pastāvīgā dzīvesvieta bija Krievijā, nevis Latvijā, līdz ar to bija jāpiemēro KFCK </w:t>
      </w:r>
      <w:proofErr w:type="gramStart"/>
      <w:r w:rsidRPr="0037519F">
        <w:rPr>
          <w:rFonts w:eastAsia="Times New Roman" w:cs="Times New Roman"/>
          <w:color w:val="000000"/>
          <w:szCs w:val="24"/>
          <w:lang w:eastAsia="lv-LV"/>
        </w:rPr>
        <w:t>1142.panta</w:t>
      </w:r>
      <w:proofErr w:type="gramEnd"/>
      <w:r w:rsidRPr="0037519F">
        <w:rPr>
          <w:rFonts w:eastAsia="Times New Roman" w:cs="Times New Roman"/>
          <w:color w:val="000000"/>
          <w:szCs w:val="24"/>
          <w:lang w:eastAsia="lv-LV"/>
        </w:rPr>
        <w:t xml:space="preserve"> 1.punkts.</w:t>
      </w:r>
      <w:r w:rsidR="00806621">
        <w:rPr>
          <w:rFonts w:eastAsia="Times New Roman" w:cs="Times New Roman"/>
          <w:color w:val="000000"/>
          <w:szCs w:val="24"/>
          <w:lang w:eastAsia="lv-LV"/>
        </w:rPr>
        <w:t xml:space="preserve"> </w:t>
      </w:r>
      <w:r w:rsidRPr="0037519F">
        <w:rPr>
          <w:rFonts w:eastAsia="Times New Roman" w:cs="Times New Roman"/>
          <w:color w:val="000000"/>
          <w:szCs w:val="24"/>
          <w:lang w:eastAsia="lv-LV"/>
        </w:rPr>
        <w:t xml:space="preserve">Iepriekš teikto pamato Mantošanas regulas </w:t>
      </w:r>
      <w:proofErr w:type="gramStart"/>
      <w:r w:rsidRPr="0037519F">
        <w:rPr>
          <w:rFonts w:eastAsia="Times New Roman" w:cs="Times New Roman"/>
          <w:color w:val="000000"/>
          <w:szCs w:val="24"/>
          <w:lang w:eastAsia="lv-LV"/>
        </w:rPr>
        <w:t>4.pantā</w:t>
      </w:r>
      <w:proofErr w:type="gramEnd"/>
      <w:r w:rsidRPr="0037519F">
        <w:rPr>
          <w:rFonts w:eastAsia="Times New Roman" w:cs="Times New Roman"/>
          <w:color w:val="000000"/>
          <w:szCs w:val="24"/>
          <w:lang w:eastAsia="lv-LV"/>
        </w:rPr>
        <w:t xml:space="preserve"> noteiktais, ka jurisdikcija lemt par mantošanu kopumā ir tās dalībvalsts tiesām, kurā mirušajam nāves brīdī bija pastāvīgā dzīvesvieta, kā arī 21.panta 1.punkts, kas paredz, ja vien šajā regulā nav paredzēts citādi, mantošanai kopumā piemērojamie tiesību akti ir tās valsts tiesību akti, kurā bija mirušā pastāvīgā dzīvesvieta nāves brīdī.</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Atbilstoši Eiropas Kopienas dibināšanas līguma </w:t>
      </w:r>
      <w:proofErr w:type="gramStart"/>
      <w:r w:rsidRPr="0037519F">
        <w:rPr>
          <w:rFonts w:eastAsia="Times New Roman" w:cs="Times New Roman"/>
          <w:color w:val="000000"/>
          <w:szCs w:val="24"/>
          <w:lang w:eastAsia="lv-LV"/>
        </w:rPr>
        <w:t>249.panta</w:t>
      </w:r>
      <w:proofErr w:type="gramEnd"/>
      <w:r w:rsidRPr="0037519F">
        <w:rPr>
          <w:rFonts w:eastAsia="Times New Roman" w:cs="Times New Roman"/>
          <w:color w:val="000000"/>
          <w:szCs w:val="24"/>
          <w:lang w:eastAsia="lv-LV"/>
        </w:rPr>
        <w:t xml:space="preserve"> otrajai daļai regulas ir vispārpiemērojamas. Tās uzliek saistības kopumā un ir tieši piemērojamas visās dalībvalstīs. Tas nozīmē, ka pēc to stāšanās spēkā regulas iegūst saistošu spēku visā ES teritorijā un kļūst par dalībvalsts tiesību sistēmas daļu bez valsts tiesību aktu starpniecības.</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Notāre, vedot mantojuma lietu, ir pārkāpusi Mantošanas regulas noteikumus, tādēļ viņas uzsāktā mantojuma lieta ir jāaptur, kā arī līdz Krievijas Federācijā uzsāktās mantojuma lietas pabeigšanai, jāaizliedz notārei izsniegt Eiropas mantošanas apliecību un mantošanas apliecību pēc likuma, ar kuru mantojuma atstājēja bērni tiek apstiprināti mantojuma tiesībās.</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Tiesisko situāciju konkrētajā gadījumā nemaina arī </w:t>
      </w:r>
      <w:proofErr w:type="gramStart"/>
      <w:r w:rsidRPr="0037519F">
        <w:rPr>
          <w:rFonts w:eastAsia="Times New Roman" w:cs="Times New Roman"/>
          <w:color w:val="000000"/>
          <w:szCs w:val="24"/>
          <w:lang w:eastAsia="lv-LV"/>
        </w:rPr>
        <w:t>1995.gada</w:t>
      </w:r>
      <w:proofErr w:type="gramEnd"/>
      <w:r w:rsidRPr="0037519F">
        <w:rPr>
          <w:rFonts w:eastAsia="Times New Roman" w:cs="Times New Roman"/>
          <w:color w:val="000000"/>
          <w:szCs w:val="24"/>
          <w:lang w:eastAsia="lv-LV"/>
        </w:rPr>
        <w:t xml:space="preserve"> 28.marta Līgums starp Latvijas Republiku un Krievijas Federāciju par tiesisko palīdzību un tiesiskajām attiecībām civilajās, ģimenes un krimināllietās (turpmāk – Starpvalstu līgums), jo konkrētā līguma 45.panta trešais punkts noteic, ka nekustamas mantas mantošanas lietas kārto tās līgumslēdzējas puses iestādes, kuras teritorijā šī manta atrodas. Līgums neparedz, ka mantojuma lietu kārtošanai nav piemērojams mantojuma atstājēja pastāvīgās dzīvesvietas valsts normatīvais regulējums.</w:t>
      </w:r>
    </w:p>
    <w:p w:rsidR="0037519F" w:rsidRPr="0037519F" w:rsidRDefault="0037519F" w:rsidP="0037519F">
      <w:pPr>
        <w:spacing w:after="0" w:line="276" w:lineRule="auto"/>
        <w:ind w:firstLine="720"/>
        <w:jc w:val="both"/>
        <w:rPr>
          <w:rFonts w:eastAsia="Times New Roman" w:cs="Times New Roman"/>
          <w:color w:val="000000"/>
          <w:szCs w:val="24"/>
          <w:lang w:eastAsia="lv-LV"/>
        </w:rPr>
      </w:pP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[3] Zvērināta notāre </w:t>
      </w:r>
      <w:proofErr w:type="spellStart"/>
      <w:r w:rsidRPr="0037519F">
        <w:rPr>
          <w:rFonts w:eastAsia="Times New Roman" w:cs="Times New Roman"/>
          <w:color w:val="000000"/>
          <w:szCs w:val="24"/>
          <w:lang w:eastAsia="lv-LV"/>
        </w:rPr>
        <w:t>Argita</w:t>
      </w:r>
      <w:proofErr w:type="spellEnd"/>
      <w:r w:rsidRPr="0037519F">
        <w:rPr>
          <w:rFonts w:eastAsia="Times New Roman" w:cs="Times New Roman"/>
          <w:color w:val="000000"/>
          <w:szCs w:val="24"/>
          <w:lang w:eastAsia="lv-LV"/>
        </w:rPr>
        <w:t xml:space="preserve"> </w:t>
      </w:r>
      <w:proofErr w:type="spellStart"/>
      <w:r w:rsidRPr="0037519F">
        <w:rPr>
          <w:rFonts w:eastAsia="Times New Roman" w:cs="Times New Roman"/>
          <w:color w:val="000000"/>
          <w:szCs w:val="24"/>
          <w:lang w:eastAsia="lv-LV"/>
        </w:rPr>
        <w:t>Gustafssone</w:t>
      </w:r>
      <w:proofErr w:type="spellEnd"/>
      <w:r w:rsidRPr="0037519F">
        <w:rPr>
          <w:rFonts w:eastAsia="Times New Roman" w:cs="Times New Roman"/>
          <w:color w:val="000000"/>
          <w:szCs w:val="24"/>
          <w:lang w:eastAsia="lv-LV"/>
        </w:rPr>
        <w:t xml:space="preserve"> paskaidrojumos sakarā ar sūdzību norādījusi, ka tā ir nepamatota un noraidāma.</w:t>
      </w:r>
    </w:p>
    <w:p w:rsidR="0037519F" w:rsidRPr="0037519F" w:rsidRDefault="00806621" w:rsidP="0037519F">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[Pers. A]</w:t>
      </w:r>
      <w:r w:rsidR="0037519F" w:rsidRPr="0037519F">
        <w:rPr>
          <w:rFonts w:eastAsia="Times New Roman" w:cs="Times New Roman"/>
          <w:color w:val="000000"/>
          <w:szCs w:val="24"/>
          <w:lang w:eastAsia="lv-LV"/>
        </w:rPr>
        <w:t xml:space="preserve"> un </w:t>
      </w:r>
      <w:r>
        <w:rPr>
          <w:rFonts w:eastAsia="Times New Roman" w:cs="Times New Roman"/>
          <w:color w:val="000000"/>
          <w:szCs w:val="24"/>
          <w:lang w:eastAsia="lv-LV"/>
        </w:rPr>
        <w:t xml:space="preserve">[pers. B] </w:t>
      </w:r>
      <w:r w:rsidR="0037519F" w:rsidRPr="0037519F">
        <w:rPr>
          <w:rFonts w:eastAsia="Times New Roman" w:cs="Times New Roman"/>
          <w:color w:val="000000"/>
          <w:szCs w:val="24"/>
          <w:lang w:eastAsia="lv-LV"/>
        </w:rPr>
        <w:t xml:space="preserve">ar mantošanas iesniegumu pie notāra vērsušies </w:t>
      </w:r>
      <w:proofErr w:type="gramStart"/>
      <w:r w:rsidR="0037519F" w:rsidRPr="0037519F">
        <w:rPr>
          <w:rFonts w:eastAsia="Times New Roman" w:cs="Times New Roman"/>
          <w:color w:val="000000"/>
          <w:szCs w:val="24"/>
          <w:lang w:eastAsia="lv-LV"/>
        </w:rPr>
        <w:t>2017.gada</w:t>
      </w:r>
      <w:proofErr w:type="gramEnd"/>
      <w:r w:rsidR="0037519F" w:rsidRPr="0037519F">
        <w:rPr>
          <w:rFonts w:eastAsia="Times New Roman" w:cs="Times New Roman"/>
          <w:color w:val="000000"/>
          <w:szCs w:val="24"/>
          <w:lang w:eastAsia="lv-LV"/>
        </w:rPr>
        <w:t xml:space="preserve"> </w:t>
      </w:r>
      <w:r>
        <w:rPr>
          <w:rFonts w:eastAsia="Times New Roman" w:cs="Times New Roman"/>
          <w:color w:val="000000"/>
          <w:szCs w:val="24"/>
          <w:lang w:eastAsia="lv-LV"/>
        </w:rPr>
        <w:t xml:space="preserve">[..] </w:t>
      </w:r>
      <w:r w:rsidR="0037519F" w:rsidRPr="0037519F">
        <w:rPr>
          <w:rFonts w:eastAsia="Times New Roman" w:cs="Times New Roman"/>
          <w:color w:val="000000"/>
          <w:szCs w:val="24"/>
          <w:lang w:eastAsia="lv-LV"/>
        </w:rPr>
        <w:t>septembrī, pēc uzaicinājumā noteiktā termiņa un pēc tam, kad likumiskajiem pirmās šķiras mantiniekiem 2017.gada</w:t>
      </w:r>
      <w:r w:rsidR="002F25AC">
        <w:rPr>
          <w:rFonts w:eastAsia="Times New Roman" w:cs="Times New Roman"/>
          <w:color w:val="000000"/>
          <w:szCs w:val="24"/>
          <w:lang w:eastAsia="lv-LV"/>
        </w:rPr>
        <w:t xml:space="preserve"> </w:t>
      </w:r>
      <w:r>
        <w:rPr>
          <w:rFonts w:eastAsia="Times New Roman" w:cs="Times New Roman"/>
          <w:color w:val="000000"/>
          <w:szCs w:val="24"/>
          <w:lang w:eastAsia="lv-LV"/>
        </w:rPr>
        <w:t xml:space="preserve">[..] </w:t>
      </w:r>
      <w:r w:rsidR="0037519F" w:rsidRPr="0037519F">
        <w:rPr>
          <w:rFonts w:eastAsia="Times New Roman" w:cs="Times New Roman"/>
          <w:color w:val="000000"/>
          <w:szCs w:val="24"/>
          <w:lang w:eastAsia="lv-LV"/>
        </w:rPr>
        <w:t xml:space="preserve">.septembrī tika izsniegta mantojuma apliecība par tiesībām uz </w:t>
      </w:r>
      <w:r w:rsidR="0037519F" w:rsidRPr="0037519F">
        <w:rPr>
          <w:rFonts w:eastAsia="Times New Roman" w:cs="Times New Roman"/>
          <w:color w:val="000000"/>
          <w:szCs w:val="24"/>
          <w:lang w:eastAsia="lv-LV"/>
        </w:rPr>
        <w:lastRenderedPageBreak/>
        <w:t>mantojumu pēc likuma.</w:t>
      </w:r>
      <w:r>
        <w:rPr>
          <w:rFonts w:eastAsia="Times New Roman" w:cs="Times New Roman"/>
          <w:color w:val="000000"/>
          <w:szCs w:val="24"/>
          <w:lang w:eastAsia="lv-LV"/>
        </w:rPr>
        <w:t xml:space="preserve"> </w:t>
      </w:r>
      <w:r w:rsidR="0037519F" w:rsidRPr="0037519F">
        <w:rPr>
          <w:rFonts w:eastAsia="Times New Roman" w:cs="Times New Roman"/>
          <w:color w:val="000000"/>
          <w:szCs w:val="24"/>
          <w:lang w:eastAsia="lv-LV"/>
        </w:rPr>
        <w:t>Tā kā Civillikums nepieļauj mantot zemākai šķirai, ja nav testamenta, un lietā ir saņemti iesniegumi no augstākas šķiras mantiniekiem, sūdzības iesniedzējiem tika atteikts pieņemt mantojuma iesniegumu.</w:t>
      </w:r>
    </w:p>
    <w:p w:rsidR="0037519F" w:rsidRPr="0037519F" w:rsidRDefault="0037519F" w:rsidP="00806621">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Pēc mantinieku pieprasījuma </w:t>
      </w:r>
      <w:proofErr w:type="gramStart"/>
      <w:r w:rsidRPr="0037519F">
        <w:rPr>
          <w:rFonts w:eastAsia="Times New Roman" w:cs="Times New Roman"/>
          <w:color w:val="000000"/>
          <w:szCs w:val="24"/>
          <w:lang w:eastAsia="lv-LV"/>
        </w:rPr>
        <w:t>2017.gada</w:t>
      </w:r>
      <w:proofErr w:type="gramEnd"/>
      <w:r w:rsidRPr="0037519F">
        <w:rPr>
          <w:rFonts w:eastAsia="Times New Roman" w:cs="Times New Roman"/>
          <w:color w:val="000000"/>
          <w:szCs w:val="24"/>
          <w:lang w:eastAsia="lv-LV"/>
        </w:rPr>
        <w:t xml:space="preserve"> </w:t>
      </w:r>
      <w:r w:rsidR="00806621">
        <w:rPr>
          <w:rFonts w:eastAsia="Times New Roman" w:cs="Times New Roman"/>
          <w:color w:val="000000"/>
          <w:szCs w:val="24"/>
          <w:lang w:eastAsia="lv-LV"/>
        </w:rPr>
        <w:t xml:space="preserve">[..] </w:t>
      </w:r>
      <w:r w:rsidRPr="0037519F">
        <w:rPr>
          <w:rFonts w:eastAsia="Times New Roman" w:cs="Times New Roman"/>
          <w:color w:val="000000"/>
          <w:szCs w:val="24"/>
          <w:lang w:eastAsia="lv-LV"/>
        </w:rPr>
        <w:t xml:space="preserve">oktobrī tika izsniegta Eiropas mantojuma apliecība, iekļaujot mantojuma masā mantu, kas atrodas Latvijas Republikā un Spānijas Karalistē, jo šī ir pārrobežu mantojuma lieta. Manta, kas atrodas Krievijas Federācijā, mantojuma masā nav iekļauta, jo tur lieta tiek skatīta atbilstoši Krievijas Federācijas normatīvajam regulējumam. Saskaņā ar Starpvalstu līguma </w:t>
      </w:r>
      <w:proofErr w:type="gramStart"/>
      <w:r w:rsidRPr="0037519F">
        <w:rPr>
          <w:rFonts w:eastAsia="Times New Roman" w:cs="Times New Roman"/>
          <w:color w:val="000000"/>
          <w:szCs w:val="24"/>
          <w:lang w:eastAsia="lv-LV"/>
        </w:rPr>
        <w:t>45.panta</w:t>
      </w:r>
      <w:proofErr w:type="gramEnd"/>
      <w:r w:rsidRPr="0037519F">
        <w:rPr>
          <w:rFonts w:eastAsia="Times New Roman" w:cs="Times New Roman"/>
          <w:color w:val="000000"/>
          <w:szCs w:val="24"/>
          <w:lang w:eastAsia="lv-LV"/>
        </w:rPr>
        <w:t xml:space="preserve"> 5.punktu Latvijā esošu nekustamo īpašumu manto saskaņā ar Latvijas likumiem. Savukārt Mantošanas regula nosaka tiesiskās attiecības starp ES dalībvalstīm. Krievijas Federācija un Andoras Firstiste Mantošanas regulas izpratnē ir trešās valstis, tādēļ tur esošā mantojuma atstājēja manta mantojuma masā netika iekļauta.</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Mantojuma lietā ir iesniegts dokuments, ka </w:t>
      </w:r>
      <w:r w:rsidR="00806621">
        <w:rPr>
          <w:rFonts w:eastAsia="Times New Roman" w:cs="Times New Roman"/>
          <w:color w:val="000000"/>
          <w:szCs w:val="24"/>
          <w:lang w:eastAsia="lv-LV"/>
        </w:rPr>
        <w:t xml:space="preserve">[pers. C] </w:t>
      </w:r>
      <w:r w:rsidRPr="0037519F">
        <w:rPr>
          <w:rFonts w:eastAsia="Times New Roman" w:cs="Times New Roman"/>
          <w:color w:val="000000"/>
          <w:szCs w:val="24"/>
          <w:lang w:eastAsia="lv-LV"/>
        </w:rPr>
        <w:t>ir Andoras Firstistes rezidents, kurš pēdējos dzīves gadus pastāvīgi dzīvoja Minhenē, kas ir arī viņa miršanas vieta. Mantojuma atstājējam ir īpašumi ES dalībvalstīs, kā arī saimniecisko darbību viņš veica Spānijas Karalistē, kas norāda uz viņa ciešāku saiti ar ES dalībvalstīm. Testaments, kurā būtu noteikts mantojuma lietā piemērojamais likums, nav atstāts. To izvēlējās mantinieki uzsākot mantojuma lietu Latvijas Republikā.</w:t>
      </w:r>
    </w:p>
    <w:p w:rsidR="0037519F" w:rsidRPr="0037519F" w:rsidRDefault="0037519F" w:rsidP="0037519F">
      <w:pPr>
        <w:spacing w:after="0" w:line="276" w:lineRule="auto"/>
        <w:rPr>
          <w:rFonts w:eastAsia="Times New Roman" w:cs="Times New Roman"/>
          <w:color w:val="000000"/>
          <w:szCs w:val="24"/>
          <w:lang w:eastAsia="lv-LV"/>
        </w:rPr>
      </w:pP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[4] Ar</w:t>
      </w:r>
      <w:r w:rsidR="00806621">
        <w:rPr>
          <w:rFonts w:eastAsia="Times New Roman" w:cs="Times New Roman"/>
          <w:color w:val="000000"/>
          <w:szCs w:val="24"/>
          <w:lang w:eastAsia="lv-LV"/>
        </w:rPr>
        <w:t xml:space="preserve"> </w:t>
      </w:r>
      <w:r w:rsidRPr="0037519F">
        <w:rPr>
          <w:rFonts w:eastAsia="Times New Roman" w:cs="Times New Roman"/>
          <w:color w:val="000000"/>
          <w:szCs w:val="24"/>
          <w:lang w:eastAsia="lv-LV"/>
        </w:rPr>
        <w:t xml:space="preserve">Rīgas apgabaltiesas Civillietu tiesas kolēģijas </w:t>
      </w:r>
      <w:proofErr w:type="gramStart"/>
      <w:r w:rsidRPr="0037519F">
        <w:rPr>
          <w:rFonts w:eastAsia="Times New Roman" w:cs="Times New Roman"/>
          <w:color w:val="000000"/>
          <w:szCs w:val="24"/>
          <w:lang w:eastAsia="lv-LV"/>
        </w:rPr>
        <w:t>2017.gada</w:t>
      </w:r>
      <w:proofErr w:type="gramEnd"/>
      <w:r w:rsidRPr="0037519F">
        <w:rPr>
          <w:rFonts w:eastAsia="Times New Roman" w:cs="Times New Roman"/>
          <w:color w:val="000000"/>
          <w:szCs w:val="24"/>
          <w:lang w:eastAsia="lv-LV"/>
        </w:rPr>
        <w:t xml:space="preserve"> 22.decembra lēmumu</w:t>
      </w:r>
      <w:r w:rsidR="00806621">
        <w:rPr>
          <w:rFonts w:eastAsia="Times New Roman" w:cs="Times New Roman"/>
          <w:color w:val="000000"/>
          <w:szCs w:val="24"/>
          <w:lang w:eastAsia="lv-LV"/>
        </w:rPr>
        <w:t xml:space="preserve"> [pers.</w:t>
      </w:r>
      <w:r w:rsidR="00727E0B">
        <w:rPr>
          <w:rFonts w:eastAsia="Times New Roman" w:cs="Times New Roman"/>
          <w:color w:val="000000"/>
          <w:szCs w:val="24"/>
          <w:lang w:eastAsia="lv-LV"/>
        </w:rPr>
        <w:t xml:space="preserve"> A] </w:t>
      </w:r>
      <w:r w:rsidRPr="0037519F">
        <w:rPr>
          <w:rFonts w:eastAsia="Times New Roman" w:cs="Times New Roman"/>
          <w:color w:val="000000"/>
          <w:szCs w:val="24"/>
          <w:lang w:eastAsia="lv-LV"/>
        </w:rPr>
        <w:t xml:space="preserve">un </w:t>
      </w:r>
      <w:r w:rsidR="00727E0B">
        <w:rPr>
          <w:rFonts w:eastAsia="Times New Roman" w:cs="Times New Roman"/>
          <w:color w:val="000000"/>
          <w:szCs w:val="24"/>
          <w:lang w:eastAsia="lv-LV"/>
        </w:rPr>
        <w:t>[pers. B]</w:t>
      </w:r>
      <w:r w:rsidRPr="0037519F">
        <w:rPr>
          <w:rFonts w:eastAsia="Times New Roman" w:cs="Times New Roman"/>
          <w:color w:val="000000"/>
          <w:szCs w:val="24"/>
          <w:lang w:eastAsia="lv-LV"/>
        </w:rPr>
        <w:t xml:space="preserve"> sūdzība par notāres rīcību noraidīta.</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Lēmums pamatots ar tālāk izklāstītajiem argumentiem.</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[4.1] Atbilstoši Notariāta likuma </w:t>
      </w:r>
      <w:proofErr w:type="gramStart"/>
      <w:r w:rsidRPr="0037519F">
        <w:rPr>
          <w:rFonts w:eastAsia="Times New Roman" w:cs="Times New Roman"/>
          <w:color w:val="000000"/>
          <w:szCs w:val="24"/>
          <w:lang w:eastAsia="lv-LV"/>
        </w:rPr>
        <w:t>205.panta</w:t>
      </w:r>
      <w:proofErr w:type="gramEnd"/>
      <w:r w:rsidRPr="0037519F">
        <w:rPr>
          <w:rFonts w:eastAsia="Times New Roman" w:cs="Times New Roman"/>
          <w:color w:val="000000"/>
          <w:szCs w:val="24"/>
          <w:lang w:eastAsia="lv-LV"/>
        </w:rPr>
        <w:t xml:space="preserve"> noteikumiem kopsakarā ar Civillikuma 1.pantu sūdzības par zvērināta notāra nepareizu rīcību, izpildot amata pienākumus, kā arī sūdzības par atteikšanos izpildīt šos pienākumus, var iesniegt persona, kuras tiesības un tiesiskās intereses šī darbība tieši aizskar. Faktiski sūdzību var iesniegt tikai par jau notikušu (pagātnē esošu) zvērināta notāra darbību vai bezdarbību. Tādēļ sūdzība daļā, kurā lūgts aizliegt notārei izsniegt Eiropas mantošanas apliecību (kas ir nākotnē veicama darbība), ir noraidāma, jo šādas apgabaltiesas tiesības neizriet no Notariāta likuma </w:t>
      </w:r>
      <w:proofErr w:type="gramStart"/>
      <w:r w:rsidRPr="0037519F">
        <w:rPr>
          <w:rFonts w:eastAsia="Times New Roman" w:cs="Times New Roman"/>
          <w:color w:val="000000"/>
          <w:szCs w:val="24"/>
          <w:lang w:eastAsia="lv-LV"/>
        </w:rPr>
        <w:t>205.panta</w:t>
      </w:r>
      <w:proofErr w:type="gramEnd"/>
      <w:r w:rsidRPr="0037519F">
        <w:rPr>
          <w:rFonts w:eastAsia="Times New Roman" w:cs="Times New Roman"/>
          <w:color w:val="000000"/>
          <w:szCs w:val="24"/>
          <w:lang w:eastAsia="lv-LV"/>
        </w:rPr>
        <w:t>, nedz arī citām tiesību normām.</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[4.2] No sūdzības secināms, ka pastāv strīds par sūdzības iesniedzēju tiesībām uz </w:t>
      </w:r>
      <w:r w:rsidR="00727E0B">
        <w:rPr>
          <w:rFonts w:eastAsia="Times New Roman" w:cs="Times New Roman"/>
          <w:color w:val="000000"/>
          <w:szCs w:val="24"/>
          <w:lang w:eastAsia="lv-LV"/>
        </w:rPr>
        <w:t>[pers. C]</w:t>
      </w:r>
      <w:r w:rsidRPr="0037519F">
        <w:rPr>
          <w:rFonts w:eastAsia="Times New Roman" w:cs="Times New Roman"/>
          <w:color w:val="000000"/>
          <w:szCs w:val="24"/>
          <w:lang w:eastAsia="lv-LV"/>
        </w:rPr>
        <w:t xml:space="preserve"> atstāto mantojumu, kas atrodas Latvijā. Ja rodas strīds par mantojuma tiesībām, tas izšķirams tiesā prasības kārtībā (Notariāta likuma </w:t>
      </w:r>
      <w:proofErr w:type="gramStart"/>
      <w:r w:rsidRPr="0037519F">
        <w:rPr>
          <w:rFonts w:eastAsia="Times New Roman" w:cs="Times New Roman"/>
          <w:color w:val="000000"/>
          <w:szCs w:val="24"/>
          <w:lang w:eastAsia="lv-LV"/>
        </w:rPr>
        <w:t>315.pants</w:t>
      </w:r>
      <w:proofErr w:type="gramEnd"/>
      <w:r w:rsidRPr="0037519F">
        <w:rPr>
          <w:rFonts w:eastAsia="Times New Roman" w:cs="Times New Roman"/>
          <w:color w:val="000000"/>
          <w:szCs w:val="24"/>
          <w:lang w:eastAsia="lv-LV"/>
        </w:rPr>
        <w:t xml:space="preserve">). Tā kā mantojuma lietā jau ir izdota mantojuma apliecība, apstrīdēt to pilnībā, vai kādā daļā sūdzības iesniedzēji var, tikai ceļot mantojuma prasību vispārējās prasības tiesvedības kārtībā pret mantojuma apliecībā norādītajiem mantiniekiem. Tiesa nevar grozīt vai atzīt par spēkā neesošu mantojuma apliecību, skatot sūdzību par zvērinātas notāres rīcību. Tādēļ sūdzība daļā par </w:t>
      </w:r>
      <w:proofErr w:type="gramStart"/>
      <w:r w:rsidRPr="0037519F">
        <w:rPr>
          <w:rFonts w:eastAsia="Times New Roman" w:cs="Times New Roman"/>
          <w:color w:val="000000"/>
          <w:szCs w:val="24"/>
          <w:lang w:eastAsia="lv-LV"/>
        </w:rPr>
        <w:t>2017.gada</w:t>
      </w:r>
      <w:proofErr w:type="gramEnd"/>
      <w:r w:rsidRPr="0037519F">
        <w:rPr>
          <w:rFonts w:eastAsia="Times New Roman" w:cs="Times New Roman"/>
          <w:color w:val="000000"/>
          <w:szCs w:val="24"/>
          <w:lang w:eastAsia="lv-LV"/>
        </w:rPr>
        <w:t xml:space="preserve"> </w:t>
      </w:r>
      <w:r w:rsidR="00727E0B">
        <w:rPr>
          <w:rFonts w:eastAsia="Times New Roman" w:cs="Times New Roman"/>
          <w:color w:val="000000"/>
          <w:szCs w:val="24"/>
          <w:lang w:eastAsia="lv-LV"/>
        </w:rPr>
        <w:t xml:space="preserve">[..] </w:t>
      </w:r>
      <w:r w:rsidRPr="0037519F">
        <w:rPr>
          <w:rFonts w:eastAsia="Times New Roman" w:cs="Times New Roman"/>
          <w:color w:val="000000"/>
          <w:szCs w:val="24"/>
          <w:lang w:eastAsia="lv-LV"/>
        </w:rPr>
        <w:t>septembrī izdotās Mantojuma apliecības (par tiesībām uz mantojumu pēc likuma) atzīšanu par spēkā neesošu ir arī noraidāma.</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[4.3] Mantošanas regula reglamentē pārrobežu mantošanas jautājumus tikai ES dalībvalstīs, nevis pārrobežu tiesiskās attiecības starp kādu no ES dalībvalstīm un trešajām valstīm (tostarp Andoras Firstisti un Krievijas Federāciju). </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Izvērtējot sūdzības argumentus kopsakarā ar Mantošanas regulas mērķi un jēgu, atzīstams, ka tās preambulas 24.punkts runā par gadījumu, kad mantojuma atstājējs saglabājis ciešu un stabilu saikni ar savu izcelsmes valsti, kura ir ES dalībvalsts, nevis jebkuru trešo valsti, kādas minētās regulas izpratnē ir Andoras Firstiste un Krievijas Federācija.</w:t>
      </w:r>
    </w:p>
    <w:p w:rsidR="0037519F" w:rsidRPr="0037519F" w:rsidRDefault="00727E0B" w:rsidP="00727E0B">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lastRenderedPageBreak/>
        <w:t>[Pers. C]</w:t>
      </w:r>
      <w:r w:rsidR="0037519F" w:rsidRPr="0037519F">
        <w:rPr>
          <w:rFonts w:eastAsia="Times New Roman" w:cs="Times New Roman"/>
          <w:color w:val="000000"/>
          <w:szCs w:val="24"/>
          <w:lang w:eastAsia="lv-LV"/>
        </w:rPr>
        <w:t xml:space="preserve"> izcelsmes valsts bija Krievija, tādēļ Mantošanas regulas preambulas 24.punkts nav piemērojams. Faktiski nav strīda, ka mantojuma atstājēja pēdējā pastāvīgā dzīvesvieta bija Andoras Firstistē (trešajā valstī), bet viņam piederoši nekustamie īpašumi atrodas ES teritorijā – Latvijas Republikā un Spānijas Karalistē. Šādos apstākļos atbilstoši Mantošanas regulas </w:t>
      </w:r>
      <w:proofErr w:type="gramStart"/>
      <w:r w:rsidR="0037519F" w:rsidRPr="0037519F">
        <w:rPr>
          <w:rFonts w:eastAsia="Times New Roman" w:cs="Times New Roman"/>
          <w:color w:val="000000"/>
          <w:szCs w:val="24"/>
          <w:lang w:eastAsia="lv-LV"/>
        </w:rPr>
        <w:t>10.panta</w:t>
      </w:r>
      <w:proofErr w:type="gramEnd"/>
      <w:r w:rsidR="0037519F" w:rsidRPr="0037519F">
        <w:rPr>
          <w:rFonts w:eastAsia="Times New Roman" w:cs="Times New Roman"/>
          <w:color w:val="000000"/>
          <w:szCs w:val="24"/>
          <w:lang w:eastAsia="lv-LV"/>
        </w:rPr>
        <w:t xml:space="preserve"> 2.punktam </w:t>
      </w:r>
      <w:r>
        <w:rPr>
          <w:rFonts w:eastAsia="Times New Roman" w:cs="Times New Roman"/>
          <w:color w:val="000000"/>
          <w:szCs w:val="24"/>
          <w:lang w:eastAsia="lv-LV"/>
        </w:rPr>
        <w:t xml:space="preserve">[pers. C] </w:t>
      </w:r>
      <w:r w:rsidR="0037519F" w:rsidRPr="0037519F">
        <w:rPr>
          <w:rFonts w:eastAsia="Times New Roman" w:cs="Times New Roman"/>
          <w:color w:val="000000"/>
          <w:szCs w:val="24"/>
          <w:lang w:eastAsia="lv-LV"/>
        </w:rPr>
        <w:t>mantošanas lietas jurisdikcija ir Latvijas Republikai vai Spānijas Karalistei. Mantinieku vēlme uzsākt un vest mantojuma lietu Latvijā nav pretrunā ar Mantošanas regulas jurisdikcijas noteikumiem.</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Mantošanas regulas </w:t>
      </w:r>
      <w:proofErr w:type="gramStart"/>
      <w:r w:rsidRPr="0037519F">
        <w:rPr>
          <w:rFonts w:eastAsia="Times New Roman" w:cs="Times New Roman"/>
          <w:color w:val="000000"/>
          <w:szCs w:val="24"/>
          <w:lang w:eastAsia="lv-LV"/>
        </w:rPr>
        <w:t>21.pants</w:t>
      </w:r>
      <w:proofErr w:type="gramEnd"/>
      <w:r w:rsidRPr="0037519F">
        <w:rPr>
          <w:rFonts w:eastAsia="Times New Roman" w:cs="Times New Roman"/>
          <w:color w:val="000000"/>
          <w:szCs w:val="24"/>
          <w:lang w:eastAsia="lv-LV"/>
        </w:rPr>
        <w:t xml:space="preserve"> piemērojams tikai attiecībā uz vienas ES dalībvalsts likuma piemērošanu, vedot mantojuma lietu citā ES dalībvalstī, un neparedz kādas trešās valsts (Andoras Firstistes vai Krievijas Federācijas) tiesību normu piemērošanu ES dalībvalstīs. Tādēļ sūdzības iesniedzēju arguments par minētā panta pārkāpumu nav pamatots.</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Nepamatota ir sūdzības iesniedzēju atsauce uz Starpvalstu līgumu. No </w:t>
      </w:r>
      <w:r w:rsidR="00727E0B">
        <w:rPr>
          <w:rFonts w:eastAsia="Times New Roman" w:cs="Times New Roman"/>
          <w:color w:val="000000"/>
          <w:szCs w:val="24"/>
          <w:lang w:eastAsia="lv-LV"/>
        </w:rPr>
        <w:t xml:space="preserve">[pers. C] </w:t>
      </w:r>
      <w:r w:rsidRPr="0037519F">
        <w:rPr>
          <w:rFonts w:eastAsia="Times New Roman" w:cs="Times New Roman"/>
          <w:color w:val="000000"/>
          <w:szCs w:val="24"/>
          <w:lang w:eastAsia="lv-LV"/>
        </w:rPr>
        <w:t>mantojuma masā ietilpstošās mantas Latvijā atrodas tikai nekustamais īpašums – dzīvoklis</w:t>
      </w:r>
      <w:r w:rsidR="00727E0B">
        <w:rPr>
          <w:rFonts w:eastAsia="Times New Roman" w:cs="Times New Roman"/>
          <w:color w:val="000000"/>
          <w:szCs w:val="24"/>
          <w:lang w:eastAsia="lv-LV"/>
        </w:rPr>
        <w:t xml:space="preserve"> [adrese]</w:t>
      </w:r>
      <w:r w:rsidRPr="0037519F">
        <w:rPr>
          <w:rFonts w:eastAsia="Times New Roman" w:cs="Times New Roman"/>
          <w:color w:val="000000"/>
          <w:szCs w:val="24"/>
          <w:lang w:eastAsia="lv-LV"/>
        </w:rPr>
        <w:t xml:space="preserve">. Starpvalstu līguma 42.punkts paredz, ka nekustamās mantas mantošanas tiesības nosaka tās līgumslēdzējas puses likumdošana, kuras teritorijā manta atrodas, bet tā </w:t>
      </w:r>
      <w:proofErr w:type="gramStart"/>
      <w:r w:rsidRPr="0037519F">
        <w:rPr>
          <w:rFonts w:eastAsia="Times New Roman" w:cs="Times New Roman"/>
          <w:color w:val="000000"/>
          <w:szCs w:val="24"/>
          <w:lang w:eastAsia="lv-LV"/>
        </w:rPr>
        <w:t>45.panta</w:t>
      </w:r>
      <w:proofErr w:type="gramEnd"/>
      <w:r w:rsidRPr="0037519F">
        <w:rPr>
          <w:rFonts w:eastAsia="Times New Roman" w:cs="Times New Roman"/>
          <w:color w:val="000000"/>
          <w:szCs w:val="24"/>
          <w:lang w:eastAsia="lv-LV"/>
        </w:rPr>
        <w:t xml:space="preserve"> trešais punkts – ka nekustamas mantas mantošanas lietas kārto tās līgumslēdzējas puses iestādes, kuras teritorijā šī manta atrodas. Notāre, ierosinot mantojuma lietu un izdodot mantojuma apliecību, ir rīkojusies atbilstoši līgumā noteiktajai kārtībai.</w:t>
      </w:r>
    </w:p>
    <w:p w:rsidR="0037519F" w:rsidRPr="0037519F" w:rsidRDefault="0037519F" w:rsidP="00727E0B">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Tāpat nepamatots ir sūdzības iesniedzēju iebildums, ka notāre nav noskaidrojusi mirušā </w:t>
      </w:r>
      <w:r w:rsidR="00727E0B">
        <w:rPr>
          <w:rFonts w:eastAsia="Times New Roman" w:cs="Times New Roman"/>
          <w:color w:val="000000"/>
          <w:szCs w:val="24"/>
          <w:lang w:eastAsia="lv-LV"/>
        </w:rPr>
        <w:t>[pers. C]</w:t>
      </w:r>
      <w:r w:rsidRPr="0037519F">
        <w:rPr>
          <w:rFonts w:eastAsia="Times New Roman" w:cs="Times New Roman"/>
          <w:color w:val="000000"/>
          <w:szCs w:val="24"/>
          <w:lang w:eastAsia="lv-LV"/>
        </w:rPr>
        <w:t xml:space="preserve"> pastāvīgo dzīvesvietu, jo Notariāta likums un citas normas neuzliek notāram pienākumu, kā arī nedod tiesības veikt jebkādas izmeklēšanas darbības ar mērķi noskaidrot, vai mantinieku mantošanas iesniegumā norādītā informācija par mantojuma atstājēja pastāvīgo dzīvesvietu ir patiesa. Notāra pienākums ir tiesību normās noteiktajā kārtībā izsludināt mantojuma atklāšanos, ko šajā gadījumā notāre ir izdarījusi. Savukārt pašu iespējamo mantinieku ziņā ir veikt nepieciešamās darbības, lai mantojumu pieņemtu, vai arī prasības kārtībā apstrīdētu citu mantinieku tiesības mantot. Izvērtējot visu iepriekš minēto, atzīstams, ka notāres lēmums ir pamatots un tiesisks, savukārt sūdzība arī daļā, kurā lūgts atzīt par prettiesisku notāres rīcību, izdodot Latvijā 2017.gada</w:t>
      </w:r>
      <w:r w:rsidR="00BF2816">
        <w:rPr>
          <w:rFonts w:eastAsia="Times New Roman" w:cs="Times New Roman"/>
          <w:color w:val="000000"/>
          <w:szCs w:val="24"/>
          <w:lang w:eastAsia="lv-LV"/>
        </w:rPr>
        <w:t xml:space="preserve"> </w:t>
      </w:r>
      <w:r w:rsidR="00727E0B">
        <w:rPr>
          <w:rFonts w:eastAsia="Times New Roman" w:cs="Times New Roman"/>
          <w:color w:val="000000"/>
          <w:szCs w:val="24"/>
          <w:lang w:eastAsia="lv-LV"/>
        </w:rPr>
        <w:t xml:space="preserve">[..] </w:t>
      </w:r>
      <w:r w:rsidRPr="0037519F">
        <w:rPr>
          <w:rFonts w:eastAsia="Times New Roman" w:cs="Times New Roman"/>
          <w:color w:val="000000"/>
          <w:szCs w:val="24"/>
          <w:lang w:eastAsia="lv-LV"/>
        </w:rPr>
        <w:t xml:space="preserve">septembrī mantojuma apliecību </w:t>
      </w:r>
      <w:r w:rsidR="00727E0B">
        <w:rPr>
          <w:rFonts w:eastAsia="Times New Roman" w:cs="Times New Roman"/>
          <w:color w:val="000000"/>
          <w:szCs w:val="24"/>
          <w:lang w:eastAsia="lv-LV"/>
        </w:rPr>
        <w:t>[pers. C]</w:t>
      </w:r>
      <w:r w:rsidRPr="0037519F">
        <w:rPr>
          <w:rFonts w:eastAsia="Times New Roman" w:cs="Times New Roman"/>
          <w:color w:val="000000"/>
          <w:szCs w:val="24"/>
          <w:lang w:eastAsia="lv-LV"/>
        </w:rPr>
        <w:t xml:space="preserve"> mantiniekiem saskaņā ar Latvijas Republikas tiesību normām, ir noraidāma kā nepamatota.</w:t>
      </w:r>
    </w:p>
    <w:p w:rsidR="0037519F" w:rsidRPr="0037519F" w:rsidRDefault="0037519F" w:rsidP="0037519F">
      <w:pPr>
        <w:spacing w:after="0" w:line="276" w:lineRule="auto"/>
        <w:rPr>
          <w:rFonts w:eastAsia="Times New Roman" w:cs="Times New Roman"/>
          <w:color w:val="000000"/>
          <w:szCs w:val="24"/>
          <w:lang w:eastAsia="lv-LV"/>
        </w:rPr>
      </w:pPr>
    </w:p>
    <w:p w:rsidR="0037519F" w:rsidRPr="0037519F" w:rsidRDefault="0037519F" w:rsidP="00174DA6">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[5] </w:t>
      </w:r>
      <w:r w:rsidR="00BF2816">
        <w:rPr>
          <w:rFonts w:eastAsia="Times New Roman" w:cs="Times New Roman"/>
          <w:color w:val="000000"/>
          <w:szCs w:val="24"/>
          <w:lang w:eastAsia="lv-LV"/>
        </w:rPr>
        <w:t xml:space="preserve">[Pers. A] </w:t>
      </w:r>
      <w:r w:rsidRPr="0037519F">
        <w:rPr>
          <w:rFonts w:eastAsia="Times New Roman" w:cs="Times New Roman"/>
          <w:color w:val="000000"/>
          <w:szCs w:val="24"/>
          <w:lang w:eastAsia="lv-LV"/>
        </w:rPr>
        <w:t xml:space="preserve">un </w:t>
      </w:r>
      <w:r w:rsidR="00BF2816">
        <w:rPr>
          <w:rFonts w:eastAsia="Times New Roman" w:cs="Times New Roman"/>
          <w:color w:val="000000"/>
          <w:szCs w:val="24"/>
          <w:lang w:eastAsia="lv-LV"/>
        </w:rPr>
        <w:t>[pers. B]</w:t>
      </w:r>
      <w:r w:rsidRPr="0037519F">
        <w:rPr>
          <w:rFonts w:eastAsia="Times New Roman" w:cs="Times New Roman"/>
          <w:color w:val="000000"/>
          <w:szCs w:val="24"/>
          <w:lang w:eastAsia="lv-LV"/>
        </w:rPr>
        <w:t xml:space="preserve"> iesnieguši blakus sūdzību par minēto lēmumu, </w:t>
      </w:r>
      <w:proofErr w:type="gramStart"/>
      <w:r w:rsidRPr="0037519F">
        <w:rPr>
          <w:rFonts w:eastAsia="Times New Roman" w:cs="Times New Roman"/>
          <w:color w:val="000000"/>
          <w:szCs w:val="24"/>
          <w:lang w:eastAsia="lv-LV"/>
        </w:rPr>
        <w:t>lūdzot to atcelt</w:t>
      </w:r>
      <w:proofErr w:type="gramEnd"/>
      <w:r w:rsidRPr="0037519F">
        <w:rPr>
          <w:rFonts w:eastAsia="Times New Roman" w:cs="Times New Roman"/>
          <w:color w:val="000000"/>
          <w:szCs w:val="24"/>
          <w:lang w:eastAsia="lv-LV"/>
        </w:rPr>
        <w:t xml:space="preserve"> un izlemt jautājumu pēc būtības, vai arī nodot jautājumu jaunai izskatīšanai Rīgas apgabaltiesai. </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Blakus sūdzībā norādīti tālāk izklāstītie argumenti.</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[5.1] </w:t>
      </w:r>
      <w:r w:rsidR="00BF2816">
        <w:rPr>
          <w:rFonts w:eastAsia="Times New Roman" w:cs="Times New Roman"/>
          <w:color w:val="000000"/>
          <w:szCs w:val="24"/>
          <w:lang w:eastAsia="lv-LV"/>
        </w:rPr>
        <w:t xml:space="preserve">[Pers. C] </w:t>
      </w:r>
      <w:r w:rsidRPr="0037519F">
        <w:rPr>
          <w:rFonts w:eastAsia="Times New Roman" w:cs="Times New Roman"/>
          <w:color w:val="000000"/>
          <w:szCs w:val="24"/>
          <w:lang w:eastAsia="lv-LV"/>
        </w:rPr>
        <w:t>mantojuma masā ir: vairāki nekustamie īpašumi un kustamā manta (naudas noguldījumi banku kontos, sabiedrību kapitāla daļas, vērtslietas seifos) Krievijā; dzīvokļa īpašums</w:t>
      </w:r>
      <w:r w:rsidR="00BF2816">
        <w:rPr>
          <w:rFonts w:eastAsia="Times New Roman" w:cs="Times New Roman"/>
          <w:color w:val="000000"/>
          <w:szCs w:val="24"/>
          <w:lang w:eastAsia="lv-LV"/>
        </w:rPr>
        <w:t xml:space="preserve"> [adrese]</w:t>
      </w:r>
      <w:r w:rsidRPr="0037519F">
        <w:rPr>
          <w:rFonts w:eastAsia="Times New Roman" w:cs="Times New Roman"/>
          <w:color w:val="000000"/>
          <w:szCs w:val="24"/>
          <w:lang w:eastAsia="lv-LV"/>
        </w:rPr>
        <w:t xml:space="preserve"> Latvijā; nekustamais īpašums Andoras Firstistē; vairāki nekustamie īpašumi un kustamā manta Spānijā; kapitāla daļas Ukrainas komercsabiedrībā. Tā kā atstātais mantojums atrodas gan ES, gan ārpus tās, </w:t>
      </w:r>
      <w:r w:rsidR="00BF2816">
        <w:rPr>
          <w:rFonts w:eastAsia="Times New Roman" w:cs="Times New Roman"/>
          <w:color w:val="000000"/>
          <w:szCs w:val="24"/>
          <w:lang w:eastAsia="lv-LV"/>
        </w:rPr>
        <w:t xml:space="preserve">[pers. C] </w:t>
      </w:r>
      <w:r w:rsidRPr="0037519F">
        <w:rPr>
          <w:rFonts w:eastAsia="Times New Roman" w:cs="Times New Roman"/>
          <w:color w:val="000000"/>
          <w:szCs w:val="24"/>
          <w:lang w:eastAsia="lv-LV"/>
        </w:rPr>
        <w:t>mantojuma lieta ir pārrobežu mantojuma lieta, kurai piemērojama Mantošanas regula.</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[5.2] Mantošanas regulas piemērošana nozīmē gan tās noteikumu ievērošanu attiecībā uz jurisdikcijas noteikšanu, gan attiecībā uz mantojuma lietā piemērojamā likuma izvēli.</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[5.2.1] No notāres lēmuma nav skaidrs, uz kura Mantošanas regulas panta pamata ir pieņemts iesniegums mantojuma lietā. Arī tiesa jurisdikcijas izvēles analīzei vērību nav pievērsusi. Norādot lēmumā, ka atbilstoši regulas </w:t>
      </w:r>
      <w:proofErr w:type="gramStart"/>
      <w:r w:rsidRPr="0037519F">
        <w:rPr>
          <w:rFonts w:eastAsia="Times New Roman" w:cs="Times New Roman"/>
          <w:color w:val="000000"/>
          <w:szCs w:val="24"/>
          <w:lang w:eastAsia="lv-LV"/>
        </w:rPr>
        <w:t>10.panta</w:t>
      </w:r>
      <w:proofErr w:type="gramEnd"/>
      <w:r w:rsidRPr="0037519F">
        <w:rPr>
          <w:rFonts w:eastAsia="Times New Roman" w:cs="Times New Roman"/>
          <w:color w:val="000000"/>
          <w:szCs w:val="24"/>
          <w:lang w:eastAsia="lv-LV"/>
        </w:rPr>
        <w:t xml:space="preserve"> 2.punktam jurisdikcija ir Latvijas </w:t>
      </w:r>
      <w:r w:rsidRPr="0037519F">
        <w:rPr>
          <w:rFonts w:eastAsia="Times New Roman" w:cs="Times New Roman"/>
          <w:color w:val="000000"/>
          <w:szCs w:val="24"/>
          <w:lang w:eastAsia="lv-LV"/>
        </w:rPr>
        <w:lastRenderedPageBreak/>
        <w:t>Republikai vai Spānijas Karalistei, tiesa būtībā atzinusi, ka Latvijas zvērināts notārs</w:t>
      </w:r>
      <w:r w:rsidR="00BF2816">
        <w:rPr>
          <w:rFonts w:eastAsia="Times New Roman" w:cs="Times New Roman"/>
          <w:color w:val="000000"/>
          <w:szCs w:val="24"/>
          <w:lang w:eastAsia="lv-LV"/>
        </w:rPr>
        <w:t xml:space="preserve"> i</w:t>
      </w:r>
      <w:r w:rsidRPr="0037519F">
        <w:rPr>
          <w:rFonts w:eastAsia="Times New Roman" w:cs="Times New Roman"/>
          <w:color w:val="000000"/>
          <w:szCs w:val="24"/>
          <w:lang w:eastAsia="lv-LV"/>
        </w:rPr>
        <w:t>r tiesīgs lemt tikai par mantu, kas atrodas Latvijā, un nevar lemt par mantu, kas atrodas citā dalībvalstī. </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[5.2.2] Pat ja pieņem, ka Latvijas zvērinātam notāram ir jurisdikcija lemt par </w:t>
      </w:r>
      <w:r w:rsidR="00BF2816">
        <w:rPr>
          <w:rFonts w:eastAsia="Times New Roman" w:cs="Times New Roman"/>
          <w:color w:val="000000"/>
          <w:szCs w:val="24"/>
          <w:lang w:eastAsia="lv-LV"/>
        </w:rPr>
        <w:t>[pers. C]</w:t>
      </w:r>
      <w:r w:rsidRPr="0037519F">
        <w:rPr>
          <w:rFonts w:eastAsia="Times New Roman" w:cs="Times New Roman"/>
          <w:color w:val="000000"/>
          <w:szCs w:val="24"/>
          <w:lang w:eastAsia="lv-LV"/>
        </w:rPr>
        <w:t xml:space="preserve"> mantojumu kopumā, tad arī Mantošanas regulas </w:t>
      </w:r>
      <w:proofErr w:type="gramStart"/>
      <w:r w:rsidRPr="0037519F">
        <w:rPr>
          <w:rFonts w:eastAsia="Times New Roman" w:cs="Times New Roman"/>
          <w:color w:val="000000"/>
          <w:szCs w:val="24"/>
          <w:lang w:eastAsia="lv-LV"/>
        </w:rPr>
        <w:t>10.panta</w:t>
      </w:r>
      <w:proofErr w:type="gramEnd"/>
      <w:r w:rsidRPr="0037519F">
        <w:rPr>
          <w:rFonts w:eastAsia="Times New Roman" w:cs="Times New Roman"/>
          <w:color w:val="000000"/>
          <w:szCs w:val="24"/>
          <w:lang w:eastAsia="lv-LV"/>
        </w:rPr>
        <w:t xml:space="preserve"> 2.punktā norādītajā gadījumā ir jānoskaidro, kādas valsts likums ir piemērojams.</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Mantošanas regulas </w:t>
      </w:r>
      <w:proofErr w:type="gramStart"/>
      <w:r w:rsidRPr="0037519F">
        <w:rPr>
          <w:rFonts w:eastAsia="Times New Roman" w:cs="Times New Roman"/>
          <w:color w:val="000000"/>
          <w:szCs w:val="24"/>
          <w:lang w:eastAsia="lv-LV"/>
        </w:rPr>
        <w:t>20.pants</w:t>
      </w:r>
      <w:proofErr w:type="gramEnd"/>
      <w:r w:rsidRPr="0037519F">
        <w:rPr>
          <w:rFonts w:eastAsia="Times New Roman" w:cs="Times New Roman"/>
          <w:color w:val="000000"/>
          <w:szCs w:val="24"/>
          <w:lang w:eastAsia="lv-LV"/>
        </w:rPr>
        <w:t xml:space="preserve"> paredz, ka jebkurus tiesību aktus, kas norādīti ar šo regulu, piemēro neatkarīgi no tā, vai tie ir vai nav dalībvalsts tiesību akti. Tāpat arī ar Mantošanas regulu saistītā Komisijas Īstenošanas Regula (ES) Nr.1329/2014 vairākkārtīgi norāda uz iespēju piemērot ne tikai dalībvalstu, bet arī trešās valsts normatīvos aktus mantojuma lietā, kurā varētu tikt izsniegta Eiropas mantošanas apliecība. Tiesas secinājums, ka Mantošanas regulas </w:t>
      </w:r>
      <w:proofErr w:type="gramStart"/>
      <w:r w:rsidRPr="0037519F">
        <w:rPr>
          <w:rFonts w:eastAsia="Times New Roman" w:cs="Times New Roman"/>
          <w:color w:val="000000"/>
          <w:szCs w:val="24"/>
          <w:lang w:eastAsia="lv-LV"/>
        </w:rPr>
        <w:t>21.pants</w:t>
      </w:r>
      <w:proofErr w:type="gramEnd"/>
      <w:r w:rsidRPr="0037519F">
        <w:rPr>
          <w:rFonts w:eastAsia="Times New Roman" w:cs="Times New Roman"/>
          <w:color w:val="000000"/>
          <w:szCs w:val="24"/>
          <w:lang w:eastAsia="lv-LV"/>
        </w:rPr>
        <w:t xml:space="preserve"> neparedz kādas trešās valsts tiesību normu piemērošanu ES dalībvalstīs, ir pretrunā regulā noteiktajam.</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[5.2.3]</w:t>
      </w:r>
      <w:r w:rsidR="00BF2816">
        <w:rPr>
          <w:rFonts w:eastAsia="Times New Roman" w:cs="Times New Roman"/>
          <w:color w:val="000000"/>
          <w:szCs w:val="24"/>
          <w:lang w:eastAsia="lv-LV"/>
        </w:rPr>
        <w:t xml:space="preserve"> </w:t>
      </w:r>
      <w:r w:rsidRPr="0037519F">
        <w:rPr>
          <w:rFonts w:eastAsia="Times New Roman" w:cs="Times New Roman"/>
          <w:color w:val="000000"/>
          <w:szCs w:val="24"/>
          <w:lang w:eastAsia="lv-LV"/>
        </w:rPr>
        <w:t xml:space="preserve">Atbilstoši Mantošanas regulas </w:t>
      </w:r>
      <w:proofErr w:type="gramStart"/>
      <w:r w:rsidRPr="0037519F">
        <w:rPr>
          <w:rFonts w:eastAsia="Times New Roman" w:cs="Times New Roman"/>
          <w:color w:val="000000"/>
          <w:szCs w:val="24"/>
          <w:lang w:eastAsia="lv-LV"/>
        </w:rPr>
        <w:t>21.panta</w:t>
      </w:r>
      <w:proofErr w:type="gramEnd"/>
      <w:r w:rsidRPr="0037519F">
        <w:rPr>
          <w:rFonts w:eastAsia="Times New Roman" w:cs="Times New Roman"/>
          <w:color w:val="000000"/>
          <w:szCs w:val="24"/>
          <w:lang w:eastAsia="lv-LV"/>
        </w:rPr>
        <w:t xml:space="preserve"> pirmajai daļai, lai pareizi noteiktu</w:t>
      </w:r>
      <w:r w:rsidR="00BF2816">
        <w:rPr>
          <w:rFonts w:eastAsia="Times New Roman" w:cs="Times New Roman"/>
          <w:color w:val="000000"/>
          <w:szCs w:val="24"/>
          <w:lang w:eastAsia="lv-LV"/>
        </w:rPr>
        <w:t xml:space="preserve"> </w:t>
      </w:r>
      <w:r w:rsidRPr="0037519F">
        <w:rPr>
          <w:rFonts w:eastAsia="Times New Roman" w:cs="Times New Roman"/>
          <w:color w:val="000000"/>
          <w:szCs w:val="24"/>
          <w:lang w:eastAsia="lv-LV"/>
        </w:rPr>
        <w:t>piemērojamo likumu, ir jānoskaidro mantojuma atstājēja pastāvīgā dzīvesvieta nāves brīdī. Taču nedz notāre, nedz arī tiesa nav vērtējusi Mantošanas regulā un Eiropas Savienības Tiesas spriedumos (</w:t>
      </w:r>
      <w:proofErr w:type="gramStart"/>
      <w:r w:rsidRPr="0037519F">
        <w:rPr>
          <w:rFonts w:eastAsia="Times New Roman" w:cs="Times New Roman"/>
          <w:color w:val="000000"/>
          <w:szCs w:val="24"/>
          <w:lang w:eastAsia="lv-LV"/>
        </w:rPr>
        <w:t>1991.gada</w:t>
      </w:r>
      <w:proofErr w:type="gramEnd"/>
      <w:r w:rsidRPr="0037519F">
        <w:rPr>
          <w:rFonts w:eastAsia="Times New Roman" w:cs="Times New Roman"/>
          <w:color w:val="000000"/>
          <w:szCs w:val="24"/>
          <w:lang w:eastAsia="lv-LV"/>
        </w:rPr>
        <w:t xml:space="preserve"> 23.aprīļa spriedums lietā</w:t>
      </w:r>
      <w:r w:rsidR="00BF2816">
        <w:rPr>
          <w:rFonts w:eastAsia="Times New Roman" w:cs="Times New Roman"/>
          <w:color w:val="000000"/>
          <w:szCs w:val="24"/>
          <w:lang w:eastAsia="lv-LV"/>
        </w:rPr>
        <w:t xml:space="preserve"> </w:t>
      </w:r>
      <w:proofErr w:type="spellStart"/>
      <w:r w:rsidRPr="0037519F">
        <w:rPr>
          <w:rFonts w:eastAsia="Times New Roman" w:cs="Times New Roman"/>
          <w:i/>
          <w:iCs/>
          <w:color w:val="000000"/>
          <w:szCs w:val="24"/>
          <w:shd w:val="clear" w:color="auto" w:fill="FFFFFF"/>
          <w:lang w:eastAsia="lv-LV"/>
        </w:rPr>
        <w:t>Rigsadvokaten</w:t>
      </w:r>
      <w:proofErr w:type="spellEnd"/>
      <w:r w:rsidRPr="0037519F">
        <w:rPr>
          <w:rFonts w:eastAsia="Times New Roman" w:cs="Times New Roman"/>
          <w:i/>
          <w:iCs/>
          <w:color w:val="000000"/>
          <w:szCs w:val="24"/>
          <w:shd w:val="clear" w:color="auto" w:fill="FFFFFF"/>
          <w:lang w:eastAsia="lv-LV"/>
        </w:rPr>
        <w:t xml:space="preserve"> v </w:t>
      </w:r>
      <w:proofErr w:type="spellStart"/>
      <w:r w:rsidRPr="0037519F">
        <w:rPr>
          <w:rFonts w:eastAsia="Times New Roman" w:cs="Times New Roman"/>
          <w:i/>
          <w:iCs/>
          <w:color w:val="000000"/>
          <w:szCs w:val="24"/>
          <w:shd w:val="clear" w:color="auto" w:fill="FFFFFF"/>
          <w:lang w:eastAsia="lv-LV"/>
        </w:rPr>
        <w:t>Nicolai</w:t>
      </w:r>
      <w:proofErr w:type="spellEnd"/>
      <w:r w:rsidRPr="0037519F">
        <w:rPr>
          <w:rFonts w:eastAsia="Times New Roman" w:cs="Times New Roman"/>
          <w:i/>
          <w:iCs/>
          <w:color w:val="000000"/>
          <w:szCs w:val="24"/>
          <w:shd w:val="clear" w:color="auto" w:fill="FFFFFF"/>
          <w:lang w:eastAsia="lv-LV"/>
        </w:rPr>
        <w:t xml:space="preserve"> </w:t>
      </w:r>
      <w:proofErr w:type="spellStart"/>
      <w:r w:rsidRPr="0037519F">
        <w:rPr>
          <w:rFonts w:eastAsia="Times New Roman" w:cs="Times New Roman"/>
          <w:i/>
          <w:iCs/>
          <w:color w:val="000000"/>
          <w:szCs w:val="24"/>
          <w:shd w:val="clear" w:color="auto" w:fill="FFFFFF"/>
          <w:lang w:eastAsia="lv-LV"/>
        </w:rPr>
        <w:t>Christian</w:t>
      </w:r>
      <w:proofErr w:type="spellEnd"/>
      <w:r w:rsidRPr="0037519F">
        <w:rPr>
          <w:rFonts w:eastAsia="Times New Roman" w:cs="Times New Roman"/>
          <w:i/>
          <w:iCs/>
          <w:color w:val="000000"/>
          <w:szCs w:val="24"/>
          <w:shd w:val="clear" w:color="auto" w:fill="FFFFFF"/>
          <w:lang w:eastAsia="lv-LV"/>
        </w:rPr>
        <w:t xml:space="preserve"> </w:t>
      </w:r>
      <w:proofErr w:type="spellStart"/>
      <w:r w:rsidRPr="0037519F">
        <w:rPr>
          <w:rFonts w:eastAsia="Times New Roman" w:cs="Times New Roman"/>
          <w:i/>
          <w:iCs/>
          <w:color w:val="000000"/>
          <w:szCs w:val="24"/>
          <w:shd w:val="clear" w:color="auto" w:fill="FFFFFF"/>
          <w:lang w:eastAsia="lv-LV"/>
        </w:rPr>
        <w:t>Ryborg</w:t>
      </w:r>
      <w:proofErr w:type="spellEnd"/>
      <w:r w:rsidRPr="0037519F">
        <w:rPr>
          <w:rFonts w:eastAsia="Times New Roman" w:cs="Times New Roman"/>
          <w:color w:val="000000"/>
          <w:szCs w:val="24"/>
          <w:shd w:val="clear" w:color="auto" w:fill="FFFFFF"/>
          <w:lang w:eastAsia="lv-LV"/>
        </w:rPr>
        <w:t>, C?297/89,</w:t>
      </w:r>
      <w:r w:rsidR="002F25AC">
        <w:rPr>
          <w:rFonts w:eastAsia="Times New Roman" w:cs="Times New Roman"/>
          <w:color w:val="000000"/>
          <w:szCs w:val="24"/>
          <w:shd w:val="clear" w:color="auto" w:fill="FFFFFF"/>
          <w:lang w:eastAsia="lv-LV"/>
        </w:rPr>
        <w:t xml:space="preserve"> </w:t>
      </w:r>
      <w:hyperlink r:id="rId7" w:tgtFrame="_blank" w:history="1">
        <w:r w:rsidRPr="0037519F">
          <w:rPr>
            <w:rFonts w:eastAsia="Times New Roman" w:cs="Times New Roman"/>
            <w:color w:val="0000FF"/>
            <w:szCs w:val="24"/>
            <w:u w:val="single"/>
            <w:shd w:val="clear" w:color="auto" w:fill="FFFFFF"/>
            <w:lang w:eastAsia="lv-LV"/>
          </w:rPr>
          <w:t>ECLI:EU:C:1991:160;</w:t>
        </w:r>
      </w:hyperlink>
      <w:r w:rsidRPr="0037519F">
        <w:rPr>
          <w:rFonts w:eastAsia="Times New Roman" w:cs="Times New Roman"/>
          <w:color w:val="000000"/>
          <w:szCs w:val="24"/>
          <w:shd w:val="clear" w:color="auto" w:fill="FFFFFF"/>
          <w:lang w:eastAsia="lv-LV"/>
        </w:rPr>
        <w:t> 1999.gada 25.februāra spriedums lietā </w:t>
      </w:r>
      <w:r w:rsidRPr="0037519F">
        <w:rPr>
          <w:rFonts w:eastAsia="Times New Roman" w:cs="Times New Roman"/>
          <w:i/>
          <w:iCs/>
          <w:color w:val="000000"/>
          <w:szCs w:val="24"/>
          <w:shd w:val="clear" w:color="auto" w:fill="FFFFFF"/>
          <w:lang w:eastAsia="lv-LV"/>
        </w:rPr>
        <w:t xml:space="preserve">Robin </w:t>
      </w:r>
      <w:proofErr w:type="spellStart"/>
      <w:r w:rsidRPr="0037519F">
        <w:rPr>
          <w:rFonts w:eastAsia="Times New Roman" w:cs="Times New Roman"/>
          <w:i/>
          <w:iCs/>
          <w:color w:val="000000"/>
          <w:szCs w:val="24"/>
          <w:shd w:val="clear" w:color="auto" w:fill="FFFFFF"/>
          <w:lang w:eastAsia="lv-LV"/>
        </w:rPr>
        <w:t>Swaddling</w:t>
      </w:r>
      <w:proofErr w:type="spellEnd"/>
      <w:r w:rsidRPr="0037519F">
        <w:rPr>
          <w:rFonts w:eastAsia="Times New Roman" w:cs="Times New Roman"/>
          <w:i/>
          <w:iCs/>
          <w:color w:val="000000"/>
          <w:szCs w:val="24"/>
          <w:shd w:val="clear" w:color="auto" w:fill="FFFFFF"/>
          <w:lang w:eastAsia="lv-LV"/>
        </w:rPr>
        <w:t xml:space="preserve"> v </w:t>
      </w:r>
      <w:proofErr w:type="spellStart"/>
      <w:r w:rsidRPr="0037519F">
        <w:rPr>
          <w:rFonts w:eastAsia="Times New Roman" w:cs="Times New Roman"/>
          <w:i/>
          <w:iCs/>
          <w:color w:val="000000"/>
          <w:szCs w:val="24"/>
          <w:shd w:val="clear" w:color="auto" w:fill="FFFFFF"/>
          <w:lang w:eastAsia="lv-LV"/>
        </w:rPr>
        <w:t>Adjudication</w:t>
      </w:r>
      <w:proofErr w:type="spellEnd"/>
      <w:r w:rsidRPr="0037519F">
        <w:rPr>
          <w:rFonts w:eastAsia="Times New Roman" w:cs="Times New Roman"/>
          <w:i/>
          <w:iCs/>
          <w:color w:val="000000"/>
          <w:szCs w:val="24"/>
          <w:shd w:val="clear" w:color="auto" w:fill="FFFFFF"/>
          <w:lang w:eastAsia="lv-LV"/>
        </w:rPr>
        <w:t xml:space="preserve"> </w:t>
      </w:r>
      <w:proofErr w:type="spellStart"/>
      <w:r w:rsidRPr="0037519F">
        <w:rPr>
          <w:rFonts w:eastAsia="Times New Roman" w:cs="Times New Roman"/>
          <w:i/>
          <w:iCs/>
          <w:color w:val="000000"/>
          <w:szCs w:val="24"/>
          <w:shd w:val="clear" w:color="auto" w:fill="FFFFFF"/>
          <w:lang w:eastAsia="lv-LV"/>
        </w:rPr>
        <w:t>Officer</w:t>
      </w:r>
      <w:proofErr w:type="spellEnd"/>
      <w:r w:rsidRPr="0037519F">
        <w:rPr>
          <w:rFonts w:eastAsia="Times New Roman" w:cs="Times New Roman"/>
          <w:color w:val="000000"/>
          <w:szCs w:val="24"/>
          <w:shd w:val="clear" w:color="auto" w:fill="FFFFFF"/>
          <w:lang w:eastAsia="lv-LV"/>
        </w:rPr>
        <w:t>, C-90/97, </w:t>
      </w:r>
      <w:hyperlink r:id="rId8" w:tgtFrame="_blank" w:history="1">
        <w:r w:rsidRPr="0037519F">
          <w:rPr>
            <w:rFonts w:eastAsia="Times New Roman" w:cs="Times New Roman"/>
            <w:color w:val="0000FF"/>
            <w:szCs w:val="24"/>
            <w:u w:val="single"/>
            <w:shd w:val="clear" w:color="auto" w:fill="FFFFFF"/>
            <w:lang w:eastAsia="lv-LV"/>
          </w:rPr>
          <w:t>ECLI:EU:C:1999:96;</w:t>
        </w:r>
      </w:hyperlink>
      <w:r w:rsidR="0056194F">
        <w:rPr>
          <w:rFonts w:eastAsia="Times New Roman" w:cs="Times New Roman"/>
          <w:color w:val="000000"/>
          <w:szCs w:val="24"/>
          <w:shd w:val="clear" w:color="auto" w:fill="FFFFFF"/>
          <w:lang w:eastAsia="lv-LV"/>
        </w:rPr>
        <w:t xml:space="preserve"> </w:t>
      </w:r>
      <w:r w:rsidRPr="0037519F">
        <w:rPr>
          <w:rFonts w:eastAsia="Times New Roman" w:cs="Times New Roman"/>
          <w:color w:val="000000"/>
          <w:szCs w:val="24"/>
          <w:shd w:val="clear" w:color="auto" w:fill="FFFFFF"/>
          <w:lang w:eastAsia="lv-LV"/>
        </w:rPr>
        <w:t>2004.gada 11.novembra spriedums lietā</w:t>
      </w:r>
      <w:r w:rsidR="00BF2816">
        <w:rPr>
          <w:rFonts w:eastAsia="Times New Roman" w:cs="Times New Roman"/>
          <w:color w:val="000000"/>
          <w:szCs w:val="24"/>
          <w:shd w:val="clear" w:color="auto" w:fill="FFFFFF"/>
          <w:lang w:eastAsia="lv-LV"/>
        </w:rPr>
        <w:t xml:space="preserve"> </w:t>
      </w:r>
      <w:r w:rsidRPr="0037519F">
        <w:rPr>
          <w:rFonts w:eastAsia="Times New Roman" w:cs="Times New Roman"/>
          <w:i/>
          <w:iCs/>
          <w:color w:val="000000"/>
          <w:szCs w:val="24"/>
          <w:shd w:val="clear" w:color="auto" w:fill="FFFFFF"/>
          <w:lang w:eastAsia="lv-LV"/>
        </w:rPr>
        <w:t xml:space="preserve">Roberto </w:t>
      </w:r>
      <w:proofErr w:type="spellStart"/>
      <w:r w:rsidRPr="0037519F">
        <w:rPr>
          <w:rFonts w:eastAsia="Times New Roman" w:cs="Times New Roman"/>
          <w:i/>
          <w:iCs/>
          <w:color w:val="000000"/>
          <w:szCs w:val="24"/>
          <w:shd w:val="clear" w:color="auto" w:fill="FFFFFF"/>
          <w:lang w:eastAsia="lv-LV"/>
        </w:rPr>
        <w:t>Adanez-Vega</w:t>
      </w:r>
      <w:proofErr w:type="spellEnd"/>
      <w:r w:rsidRPr="0037519F">
        <w:rPr>
          <w:rFonts w:eastAsia="Times New Roman" w:cs="Times New Roman"/>
          <w:i/>
          <w:iCs/>
          <w:color w:val="000000"/>
          <w:szCs w:val="24"/>
          <w:shd w:val="clear" w:color="auto" w:fill="FFFFFF"/>
          <w:lang w:eastAsia="lv-LV"/>
        </w:rPr>
        <w:t xml:space="preserve"> pret </w:t>
      </w:r>
      <w:proofErr w:type="spellStart"/>
      <w:r w:rsidRPr="0037519F">
        <w:rPr>
          <w:rFonts w:eastAsia="Times New Roman" w:cs="Times New Roman"/>
          <w:i/>
          <w:iCs/>
          <w:color w:val="000000"/>
          <w:szCs w:val="24"/>
          <w:shd w:val="clear" w:color="auto" w:fill="FFFFFF"/>
          <w:lang w:eastAsia="lv-LV"/>
        </w:rPr>
        <w:t>Bundesanstalt</w:t>
      </w:r>
      <w:proofErr w:type="spellEnd"/>
      <w:r w:rsidRPr="0037519F">
        <w:rPr>
          <w:rFonts w:eastAsia="Times New Roman" w:cs="Times New Roman"/>
          <w:i/>
          <w:iCs/>
          <w:color w:val="000000"/>
          <w:szCs w:val="24"/>
          <w:shd w:val="clear" w:color="auto" w:fill="FFFFFF"/>
          <w:lang w:eastAsia="lv-LV"/>
        </w:rPr>
        <w:t xml:space="preserve"> </w:t>
      </w:r>
      <w:proofErr w:type="spellStart"/>
      <w:r w:rsidRPr="0037519F">
        <w:rPr>
          <w:rFonts w:eastAsia="Times New Roman" w:cs="Times New Roman"/>
          <w:i/>
          <w:iCs/>
          <w:color w:val="000000"/>
          <w:szCs w:val="24"/>
          <w:shd w:val="clear" w:color="auto" w:fill="FFFFFF"/>
          <w:lang w:eastAsia="lv-LV"/>
        </w:rPr>
        <w:t>für</w:t>
      </w:r>
      <w:proofErr w:type="spellEnd"/>
      <w:r w:rsidRPr="0037519F">
        <w:rPr>
          <w:rFonts w:eastAsia="Times New Roman" w:cs="Times New Roman"/>
          <w:i/>
          <w:iCs/>
          <w:color w:val="000000"/>
          <w:szCs w:val="24"/>
          <w:shd w:val="clear" w:color="auto" w:fill="FFFFFF"/>
          <w:lang w:eastAsia="lv-LV"/>
        </w:rPr>
        <w:t xml:space="preserve"> </w:t>
      </w:r>
      <w:proofErr w:type="spellStart"/>
      <w:r w:rsidRPr="0037519F">
        <w:rPr>
          <w:rFonts w:eastAsia="Times New Roman" w:cs="Times New Roman"/>
          <w:i/>
          <w:iCs/>
          <w:color w:val="000000"/>
          <w:szCs w:val="24"/>
          <w:shd w:val="clear" w:color="auto" w:fill="FFFFFF"/>
          <w:lang w:eastAsia="lv-LV"/>
        </w:rPr>
        <w:t>Arbeit</w:t>
      </w:r>
      <w:proofErr w:type="spellEnd"/>
      <w:r w:rsidRPr="0037519F">
        <w:rPr>
          <w:rFonts w:eastAsia="Times New Roman" w:cs="Times New Roman"/>
          <w:color w:val="000000"/>
          <w:szCs w:val="24"/>
          <w:lang w:eastAsia="lv-LV"/>
        </w:rPr>
        <w:t>, C-372/02,</w:t>
      </w:r>
      <w:r w:rsidR="002F25AC">
        <w:rPr>
          <w:rFonts w:eastAsia="Times New Roman" w:cs="Times New Roman"/>
          <w:color w:val="000000"/>
          <w:szCs w:val="24"/>
          <w:lang w:eastAsia="lv-LV"/>
        </w:rPr>
        <w:t xml:space="preserve"> </w:t>
      </w:r>
      <w:hyperlink r:id="rId9" w:tgtFrame="_blank" w:history="1">
        <w:r w:rsidRPr="0037519F">
          <w:rPr>
            <w:rFonts w:eastAsia="Times New Roman" w:cs="Times New Roman"/>
            <w:color w:val="0000FF"/>
            <w:szCs w:val="24"/>
            <w:u w:val="single"/>
            <w:lang w:eastAsia="lv-LV"/>
          </w:rPr>
          <w:t>ECLI:EU:C:2004:705)</w:t>
        </w:r>
      </w:hyperlink>
      <w:r w:rsidR="002F25AC">
        <w:rPr>
          <w:rFonts w:eastAsia="Times New Roman" w:cs="Times New Roman"/>
          <w:color w:val="000000"/>
          <w:szCs w:val="24"/>
          <w:lang w:eastAsia="lv-LV"/>
        </w:rPr>
        <w:t xml:space="preserve"> </w:t>
      </w:r>
      <w:r w:rsidRPr="0037519F">
        <w:rPr>
          <w:rFonts w:eastAsia="Times New Roman" w:cs="Times New Roman"/>
          <w:color w:val="000000"/>
          <w:szCs w:val="24"/>
          <w:lang w:eastAsia="lv-LV"/>
        </w:rPr>
        <w:t>minētos apstākļus, kas izmantojami jēdziena „pastāvīgā dzīvesvieta” interpretācijai un piepildīšanai ar saturu. Tiesas norāde uz to, ka likums neuzliek notāram pienākumu veikt izmeklēšanu, lai noskaidrotu mantošanas iesniegumā norādīto ziņu patiesumu par mantojuma atstājēja pēdējo dzīvesvietu, ir pretrunā Mantošanas regulas preambulas 23.apsvērumā noteiktajam.</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Neraugoties uz lietā esošiem vairākiem pretrunīgiem pierādījumiem par to, kas varētu būt mantojuma atstājēja pēdējā dzīvesvieta, tiesa nav noskaidrojusi, kuram pierādījumam dodama priekšroka, un bez pierādījumu analīzes par pēdējo dzīvesvietu atzinusi Andoras Firstisti, kas ir Civilprocesa likuma </w:t>
      </w:r>
      <w:proofErr w:type="gramStart"/>
      <w:r w:rsidRPr="0037519F">
        <w:rPr>
          <w:rFonts w:eastAsia="Times New Roman" w:cs="Times New Roman"/>
          <w:color w:val="000000"/>
          <w:szCs w:val="24"/>
          <w:lang w:eastAsia="lv-LV"/>
        </w:rPr>
        <w:t>97.panta</w:t>
      </w:r>
      <w:proofErr w:type="gramEnd"/>
      <w:r w:rsidRPr="0037519F">
        <w:rPr>
          <w:rFonts w:eastAsia="Times New Roman" w:cs="Times New Roman"/>
          <w:color w:val="000000"/>
          <w:szCs w:val="24"/>
          <w:lang w:eastAsia="lv-LV"/>
        </w:rPr>
        <w:t xml:space="preserve"> pārkāpums pierādījumu novērtēšanā, kā arī 193.panta piektās daļas pārkāpums nolēmuma argumentēšanā.</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Minētie pārkāpumi noveduši pie lietas faktiskajiem apstākļiem neatbilstoša secinājuma, ka </w:t>
      </w:r>
      <w:r w:rsidR="00BF2816">
        <w:rPr>
          <w:rFonts w:eastAsia="Times New Roman" w:cs="Times New Roman"/>
          <w:color w:val="000000"/>
          <w:szCs w:val="24"/>
          <w:lang w:eastAsia="lv-LV"/>
        </w:rPr>
        <w:t xml:space="preserve">[pers. C] </w:t>
      </w:r>
      <w:r w:rsidRPr="0037519F">
        <w:rPr>
          <w:rFonts w:eastAsia="Times New Roman" w:cs="Times New Roman"/>
          <w:color w:val="000000"/>
          <w:szCs w:val="24"/>
          <w:lang w:eastAsia="lv-LV"/>
        </w:rPr>
        <w:t xml:space="preserve">pēdējā pastāvīgā dzīvesvieta bija Andoras Firstiste un ka Mantošanas regulas </w:t>
      </w:r>
      <w:proofErr w:type="gramStart"/>
      <w:r w:rsidRPr="0037519F">
        <w:rPr>
          <w:rFonts w:eastAsia="Times New Roman" w:cs="Times New Roman"/>
          <w:color w:val="000000"/>
          <w:szCs w:val="24"/>
          <w:lang w:eastAsia="lv-LV"/>
        </w:rPr>
        <w:t>21.pants</w:t>
      </w:r>
      <w:proofErr w:type="gramEnd"/>
      <w:r w:rsidRPr="0037519F">
        <w:rPr>
          <w:rFonts w:eastAsia="Times New Roman" w:cs="Times New Roman"/>
          <w:color w:val="000000"/>
          <w:szCs w:val="24"/>
          <w:lang w:eastAsia="lv-LV"/>
        </w:rPr>
        <w:t xml:space="preserve"> neparedz trešās valsts tiesību normu piemērošanu, kaut gan faktiski viņa</w:t>
      </w:r>
      <w:r w:rsidR="00BF2816">
        <w:rPr>
          <w:rFonts w:eastAsia="Times New Roman" w:cs="Times New Roman"/>
          <w:color w:val="000000"/>
          <w:szCs w:val="24"/>
          <w:lang w:eastAsia="lv-LV"/>
        </w:rPr>
        <w:t xml:space="preserve"> </w:t>
      </w:r>
      <w:r w:rsidRPr="0037519F">
        <w:rPr>
          <w:rFonts w:eastAsia="Times New Roman" w:cs="Times New Roman"/>
          <w:color w:val="000000"/>
          <w:szCs w:val="24"/>
          <w:lang w:eastAsia="lv-LV"/>
        </w:rPr>
        <w:t>pēdējā pastāvīgā dzīvesvieta atbilstoši noskaidrojamajiem kritērijiem bija Krievijā, kuras likums arī bija piemērojams mantojuma sadalē.</w:t>
      </w:r>
    </w:p>
    <w:p w:rsidR="0037519F" w:rsidRPr="0037519F" w:rsidRDefault="0037519F" w:rsidP="0037519F">
      <w:pPr>
        <w:spacing w:after="0" w:line="276" w:lineRule="auto"/>
        <w:rPr>
          <w:rFonts w:eastAsia="Times New Roman" w:cs="Times New Roman"/>
          <w:color w:val="000000"/>
          <w:szCs w:val="24"/>
          <w:lang w:eastAsia="lv-LV"/>
        </w:rPr>
      </w:pP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[5.3] Noraidot sūdzību daļā par aizliegumu izdot Eiropas mantošanas apliecību, tiesa nav ņēmusi vērā, ka lūgums nav hipotētisks pieņēmums, bet attiecas uz reāli veiktu notāres darbību – pieņemtu lēmumu – kas iekļaujas Notariāta likuma </w:t>
      </w:r>
      <w:proofErr w:type="gramStart"/>
      <w:r w:rsidRPr="0037519F">
        <w:rPr>
          <w:rFonts w:eastAsia="Times New Roman" w:cs="Times New Roman"/>
          <w:color w:val="000000"/>
          <w:szCs w:val="24"/>
          <w:lang w:eastAsia="lv-LV"/>
        </w:rPr>
        <w:t>205.panta</w:t>
      </w:r>
      <w:proofErr w:type="gramEnd"/>
      <w:r w:rsidRPr="0037519F">
        <w:rPr>
          <w:rFonts w:eastAsia="Times New Roman" w:cs="Times New Roman"/>
          <w:color w:val="000000"/>
          <w:szCs w:val="24"/>
          <w:lang w:eastAsia="lv-LV"/>
        </w:rPr>
        <w:t xml:space="preserve"> tvērumā. Turklāt uzskatot, ka jurisdikcija Latvijas zvērinātam notāram ir saskaņā ar Mantošanas regulas </w:t>
      </w:r>
      <w:proofErr w:type="gramStart"/>
      <w:r w:rsidRPr="0037519F">
        <w:rPr>
          <w:rFonts w:eastAsia="Times New Roman" w:cs="Times New Roman"/>
          <w:color w:val="000000"/>
          <w:szCs w:val="24"/>
          <w:lang w:eastAsia="lv-LV"/>
        </w:rPr>
        <w:t>10.panta</w:t>
      </w:r>
      <w:proofErr w:type="gramEnd"/>
      <w:r w:rsidRPr="0037519F">
        <w:rPr>
          <w:rFonts w:eastAsia="Times New Roman" w:cs="Times New Roman"/>
          <w:color w:val="000000"/>
          <w:szCs w:val="24"/>
          <w:lang w:eastAsia="lv-LV"/>
        </w:rPr>
        <w:t xml:space="preserve"> otro daļu, tiesa nevarēja par pareizu atzīt notāres rīcību, lemjot par ārpus Latvijas robežām esošu mantojumā ietilpstošu mantu.</w:t>
      </w:r>
    </w:p>
    <w:p w:rsidR="0037519F" w:rsidRPr="0037519F" w:rsidRDefault="0037519F" w:rsidP="0037519F">
      <w:pPr>
        <w:spacing w:after="0" w:line="276" w:lineRule="auto"/>
        <w:rPr>
          <w:rFonts w:eastAsia="Times New Roman" w:cs="Times New Roman"/>
          <w:color w:val="000000"/>
          <w:szCs w:val="24"/>
          <w:lang w:eastAsia="lv-LV"/>
        </w:rPr>
      </w:pP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[6]</w:t>
      </w:r>
      <w:r w:rsidR="00BF2816">
        <w:rPr>
          <w:rFonts w:eastAsia="Times New Roman" w:cs="Times New Roman"/>
          <w:color w:val="000000"/>
          <w:szCs w:val="24"/>
          <w:lang w:eastAsia="lv-LV"/>
        </w:rPr>
        <w:t xml:space="preserve"> </w:t>
      </w:r>
      <w:r w:rsidRPr="0037519F">
        <w:rPr>
          <w:rFonts w:eastAsia="Times New Roman" w:cs="Times New Roman"/>
          <w:color w:val="000000"/>
          <w:szCs w:val="24"/>
          <w:lang w:eastAsia="lv-LV"/>
        </w:rPr>
        <w:t xml:space="preserve">Paskaidrojumos sakarā ar blakus sūdzību notāre norādījusi, ka </w:t>
      </w:r>
      <w:r w:rsidR="00EF2E7A">
        <w:rPr>
          <w:rFonts w:eastAsia="Times New Roman" w:cs="Times New Roman"/>
          <w:color w:val="000000"/>
          <w:szCs w:val="24"/>
          <w:lang w:eastAsia="lv-LV"/>
        </w:rPr>
        <w:t xml:space="preserve">[pers. C] </w:t>
      </w:r>
      <w:r w:rsidRPr="0037519F">
        <w:rPr>
          <w:rFonts w:eastAsia="Times New Roman" w:cs="Times New Roman"/>
          <w:color w:val="000000"/>
          <w:szCs w:val="24"/>
          <w:lang w:eastAsia="lv-LV"/>
        </w:rPr>
        <w:t>mantojuma lietā pareizi piemērotas Notariāta likuma, Civillikuma un Mantošanas regulas normas.</w:t>
      </w:r>
    </w:p>
    <w:p w:rsidR="0037519F" w:rsidRPr="0037519F" w:rsidRDefault="0037519F" w:rsidP="0037519F">
      <w:pPr>
        <w:spacing w:after="0" w:line="276" w:lineRule="auto"/>
        <w:rPr>
          <w:rFonts w:eastAsia="Times New Roman" w:cs="Times New Roman"/>
          <w:color w:val="000000"/>
          <w:szCs w:val="24"/>
          <w:lang w:eastAsia="lv-LV"/>
        </w:rPr>
      </w:pPr>
    </w:p>
    <w:p w:rsidR="0037519F" w:rsidRPr="0037519F" w:rsidRDefault="0037519F" w:rsidP="0037519F">
      <w:pPr>
        <w:spacing w:after="0" w:line="276" w:lineRule="auto"/>
        <w:jc w:val="center"/>
        <w:rPr>
          <w:rFonts w:eastAsia="Times New Roman" w:cs="Times New Roman"/>
          <w:color w:val="000000"/>
          <w:szCs w:val="24"/>
          <w:lang w:eastAsia="lv-LV"/>
        </w:rPr>
      </w:pPr>
      <w:r w:rsidRPr="0037519F">
        <w:rPr>
          <w:rFonts w:eastAsia="Times New Roman" w:cs="Times New Roman"/>
          <w:b/>
          <w:bCs/>
          <w:color w:val="000000"/>
          <w:szCs w:val="24"/>
          <w:lang w:eastAsia="lv-LV"/>
        </w:rPr>
        <w:t>Motīvu daļa</w:t>
      </w:r>
    </w:p>
    <w:p w:rsidR="0037519F" w:rsidRPr="0037519F" w:rsidRDefault="0037519F" w:rsidP="0037519F">
      <w:pPr>
        <w:spacing w:after="0" w:line="276" w:lineRule="auto"/>
        <w:rPr>
          <w:rFonts w:eastAsia="Times New Roman" w:cs="Times New Roman"/>
          <w:color w:val="000000"/>
          <w:szCs w:val="24"/>
          <w:lang w:eastAsia="lv-LV"/>
        </w:rPr>
      </w:pPr>
    </w:p>
    <w:p w:rsidR="0037519F" w:rsidRPr="0037519F" w:rsidRDefault="0037519F" w:rsidP="0037519F">
      <w:pPr>
        <w:spacing w:after="0" w:line="276" w:lineRule="auto"/>
        <w:ind w:firstLine="709"/>
        <w:jc w:val="both"/>
        <w:rPr>
          <w:rFonts w:eastAsia="Times New Roman" w:cs="Times New Roman"/>
          <w:color w:val="000000"/>
          <w:szCs w:val="24"/>
          <w:lang w:eastAsia="lv-LV"/>
        </w:rPr>
      </w:pPr>
      <w:r w:rsidRPr="0037519F">
        <w:rPr>
          <w:rFonts w:eastAsia="Times New Roman" w:cs="Times New Roman"/>
          <w:color w:val="000000"/>
          <w:szCs w:val="24"/>
          <w:lang w:eastAsia="lv-LV"/>
        </w:rPr>
        <w:lastRenderedPageBreak/>
        <w:t>[7]</w:t>
      </w:r>
      <w:r w:rsidR="00EF2E7A">
        <w:rPr>
          <w:rFonts w:eastAsia="Times New Roman" w:cs="Times New Roman"/>
          <w:color w:val="000000"/>
          <w:szCs w:val="24"/>
          <w:lang w:eastAsia="lv-LV"/>
        </w:rPr>
        <w:t xml:space="preserve"> </w:t>
      </w:r>
      <w:r w:rsidRPr="0037519F">
        <w:rPr>
          <w:rFonts w:eastAsia="Times New Roman" w:cs="Times New Roman"/>
          <w:color w:val="000000"/>
          <w:szCs w:val="24"/>
          <w:lang w:eastAsia="lv-LV"/>
        </w:rPr>
        <w:t>Pārbaudījusi lietas materiālus un izvērtējusi blakus sūdzības motīvus, Augstākā tiesa atzīst, ka</w:t>
      </w:r>
      <w:r w:rsidR="00EF2E7A">
        <w:rPr>
          <w:rFonts w:eastAsia="Times New Roman" w:cs="Times New Roman"/>
          <w:color w:val="000000"/>
          <w:szCs w:val="24"/>
          <w:lang w:eastAsia="lv-LV"/>
        </w:rPr>
        <w:t xml:space="preserve"> </w:t>
      </w:r>
      <w:r w:rsidRPr="0037519F">
        <w:rPr>
          <w:rFonts w:eastAsia="Times New Roman" w:cs="Times New Roman"/>
          <w:color w:val="000000"/>
          <w:szCs w:val="24"/>
          <w:lang w:eastAsia="lv-LV"/>
        </w:rPr>
        <w:t>blakus sūdzība ir pamatota, lēmums atceļams un jautājums nododams jaunai izskatīšanai.</w:t>
      </w:r>
    </w:p>
    <w:p w:rsidR="0037519F" w:rsidRPr="0037519F" w:rsidRDefault="0037519F" w:rsidP="0037519F">
      <w:pPr>
        <w:spacing w:after="0" w:line="276" w:lineRule="auto"/>
        <w:jc w:val="both"/>
        <w:rPr>
          <w:rFonts w:eastAsia="Times New Roman" w:cs="Times New Roman"/>
          <w:color w:val="000000"/>
          <w:szCs w:val="24"/>
          <w:lang w:eastAsia="lv-LV"/>
        </w:rPr>
      </w:pPr>
    </w:p>
    <w:p w:rsidR="0037519F" w:rsidRPr="000B6CE0"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[8] No </w:t>
      </w:r>
      <w:r w:rsidRPr="000B6CE0">
        <w:rPr>
          <w:rFonts w:eastAsia="Times New Roman" w:cs="Times New Roman"/>
          <w:color w:val="000000"/>
          <w:szCs w:val="24"/>
          <w:lang w:eastAsia="lv-LV"/>
        </w:rPr>
        <w:t xml:space="preserve">lietas materiāliem izriet, ka </w:t>
      </w:r>
      <w:proofErr w:type="gramStart"/>
      <w:r w:rsidRPr="000B6CE0">
        <w:rPr>
          <w:rFonts w:eastAsia="Times New Roman" w:cs="Times New Roman"/>
          <w:color w:val="000000"/>
          <w:szCs w:val="24"/>
          <w:lang w:eastAsia="lv-LV"/>
        </w:rPr>
        <w:t>2017.gada</w:t>
      </w:r>
      <w:proofErr w:type="gramEnd"/>
      <w:r w:rsidRPr="000B6CE0">
        <w:rPr>
          <w:rFonts w:eastAsia="Times New Roman" w:cs="Times New Roman"/>
          <w:color w:val="000000"/>
          <w:szCs w:val="24"/>
          <w:lang w:eastAsia="lv-LV"/>
        </w:rPr>
        <w:t xml:space="preserve"> </w:t>
      </w:r>
      <w:r w:rsidR="00EF2E7A" w:rsidRPr="000B6CE0">
        <w:rPr>
          <w:rFonts w:eastAsia="Times New Roman" w:cs="Times New Roman"/>
          <w:color w:val="000000"/>
          <w:szCs w:val="24"/>
          <w:lang w:eastAsia="lv-LV"/>
        </w:rPr>
        <w:t xml:space="preserve">[..] </w:t>
      </w:r>
      <w:r w:rsidRPr="000B6CE0">
        <w:rPr>
          <w:rFonts w:eastAsia="Times New Roman" w:cs="Times New Roman"/>
          <w:color w:val="000000"/>
          <w:szCs w:val="24"/>
          <w:lang w:eastAsia="lv-LV"/>
        </w:rPr>
        <w:t>aprīlī Minhenē miris sūdzības iesniedzēju dēls</w:t>
      </w:r>
      <w:r w:rsidR="00EF2E7A" w:rsidRPr="000B6CE0">
        <w:rPr>
          <w:rFonts w:eastAsia="Times New Roman" w:cs="Times New Roman"/>
          <w:color w:val="000000"/>
          <w:szCs w:val="24"/>
          <w:lang w:eastAsia="lv-LV"/>
        </w:rPr>
        <w:t xml:space="preserve"> [pers. C]</w:t>
      </w:r>
      <w:r w:rsidRPr="000B6CE0">
        <w:rPr>
          <w:rFonts w:eastAsia="Times New Roman" w:cs="Times New Roman"/>
          <w:color w:val="000000"/>
          <w:szCs w:val="24"/>
          <w:lang w:eastAsia="lv-LV"/>
        </w:rPr>
        <w:t>.</w:t>
      </w:r>
    </w:p>
    <w:p w:rsidR="0037519F" w:rsidRPr="000B6CE0" w:rsidRDefault="0037519F" w:rsidP="0037519F">
      <w:pPr>
        <w:spacing w:after="0" w:line="276" w:lineRule="auto"/>
        <w:ind w:firstLine="720"/>
        <w:jc w:val="both"/>
        <w:rPr>
          <w:rFonts w:eastAsia="Times New Roman" w:cs="Times New Roman"/>
          <w:color w:val="000000"/>
          <w:szCs w:val="24"/>
          <w:lang w:eastAsia="lv-LV"/>
        </w:rPr>
      </w:pPr>
      <w:r w:rsidRPr="000B6CE0">
        <w:rPr>
          <w:rFonts w:eastAsia="Times New Roman" w:cs="Times New Roman"/>
          <w:color w:val="000000"/>
          <w:szCs w:val="24"/>
          <w:lang w:eastAsia="lv-LV"/>
        </w:rPr>
        <w:t xml:space="preserve">Maskavā </w:t>
      </w:r>
      <w:proofErr w:type="gramStart"/>
      <w:r w:rsidRPr="000B6CE0">
        <w:rPr>
          <w:rFonts w:eastAsia="Times New Roman" w:cs="Times New Roman"/>
          <w:color w:val="000000"/>
          <w:szCs w:val="24"/>
          <w:lang w:eastAsia="lv-LV"/>
        </w:rPr>
        <w:t>2017.gada</w:t>
      </w:r>
      <w:proofErr w:type="gramEnd"/>
      <w:r w:rsidRPr="000B6CE0">
        <w:rPr>
          <w:rFonts w:eastAsia="Times New Roman" w:cs="Times New Roman"/>
          <w:color w:val="000000"/>
          <w:szCs w:val="24"/>
          <w:lang w:eastAsia="lv-LV"/>
        </w:rPr>
        <w:t xml:space="preserve"> </w:t>
      </w:r>
      <w:r w:rsidR="00EF2E7A" w:rsidRPr="000B6CE0">
        <w:rPr>
          <w:rFonts w:eastAsia="Times New Roman" w:cs="Times New Roman"/>
          <w:color w:val="000000"/>
          <w:szCs w:val="24"/>
          <w:lang w:eastAsia="lv-LV"/>
        </w:rPr>
        <w:t xml:space="preserve"> [..] </w:t>
      </w:r>
      <w:r w:rsidRPr="000B6CE0">
        <w:rPr>
          <w:rFonts w:eastAsia="Times New Roman" w:cs="Times New Roman"/>
          <w:color w:val="000000"/>
          <w:szCs w:val="24"/>
          <w:lang w:eastAsia="lv-LV"/>
        </w:rPr>
        <w:t xml:space="preserve">aprīlī pie Maskavas notāra ir uzsākta </w:t>
      </w:r>
      <w:r w:rsidR="00EF2E7A" w:rsidRPr="000B6CE0">
        <w:rPr>
          <w:rFonts w:eastAsia="Times New Roman" w:cs="Times New Roman"/>
          <w:color w:val="000000"/>
          <w:szCs w:val="24"/>
          <w:lang w:eastAsia="lv-LV"/>
        </w:rPr>
        <w:t xml:space="preserve">[pers. C] </w:t>
      </w:r>
      <w:r w:rsidRPr="000B6CE0">
        <w:rPr>
          <w:rFonts w:eastAsia="Times New Roman" w:cs="Times New Roman"/>
          <w:color w:val="000000"/>
          <w:szCs w:val="24"/>
          <w:lang w:eastAsia="lv-LV"/>
        </w:rPr>
        <w:t xml:space="preserve"> mantojuma lieta, kurā savas mantojuma tiesības atbilstoši KFCK 1142.pantam pieteica pirmās kārtas mantinieki – vecāki </w:t>
      </w:r>
      <w:r w:rsidR="00EF2E7A" w:rsidRPr="000B6CE0">
        <w:rPr>
          <w:rFonts w:eastAsia="Times New Roman" w:cs="Times New Roman"/>
          <w:color w:val="000000"/>
          <w:szCs w:val="24"/>
          <w:lang w:eastAsia="lv-LV"/>
        </w:rPr>
        <w:t xml:space="preserve">[pers. A] </w:t>
      </w:r>
      <w:r w:rsidRPr="000B6CE0">
        <w:rPr>
          <w:rFonts w:eastAsia="Times New Roman" w:cs="Times New Roman"/>
          <w:color w:val="000000"/>
          <w:szCs w:val="24"/>
          <w:lang w:eastAsia="lv-LV"/>
        </w:rPr>
        <w:t xml:space="preserve">un </w:t>
      </w:r>
      <w:r w:rsidR="00EF2E7A" w:rsidRPr="000B6CE0">
        <w:rPr>
          <w:rFonts w:eastAsia="Times New Roman" w:cs="Times New Roman"/>
          <w:color w:val="000000"/>
          <w:szCs w:val="24"/>
          <w:lang w:eastAsia="lv-LV"/>
        </w:rPr>
        <w:t xml:space="preserve">[pers. B] </w:t>
      </w:r>
      <w:r w:rsidRPr="000B6CE0">
        <w:rPr>
          <w:rFonts w:eastAsia="Times New Roman" w:cs="Times New Roman"/>
          <w:color w:val="000000"/>
          <w:szCs w:val="24"/>
          <w:lang w:eastAsia="lv-LV"/>
        </w:rPr>
        <w:t xml:space="preserve"> un četri bērni – </w:t>
      </w:r>
      <w:r w:rsidR="00EF2E7A" w:rsidRPr="000B6CE0">
        <w:rPr>
          <w:rFonts w:eastAsia="Times New Roman" w:cs="Times New Roman"/>
          <w:color w:val="000000"/>
          <w:szCs w:val="24"/>
          <w:lang w:eastAsia="lv-LV"/>
        </w:rPr>
        <w:t>[pers.  E]</w:t>
      </w:r>
      <w:r w:rsidRPr="000B6CE0">
        <w:rPr>
          <w:rFonts w:eastAsia="Times New Roman" w:cs="Times New Roman"/>
          <w:color w:val="000000"/>
          <w:szCs w:val="24"/>
          <w:lang w:eastAsia="lv-LV"/>
        </w:rPr>
        <w:t xml:space="preserve">, </w:t>
      </w:r>
      <w:r w:rsidR="00EF2E7A" w:rsidRPr="000B6CE0">
        <w:rPr>
          <w:rFonts w:eastAsia="Times New Roman" w:cs="Times New Roman"/>
          <w:color w:val="000000"/>
          <w:szCs w:val="24"/>
          <w:lang w:eastAsia="lv-LV"/>
        </w:rPr>
        <w:t>[pers. G]</w:t>
      </w:r>
      <w:r w:rsidRPr="000B6CE0">
        <w:rPr>
          <w:rFonts w:eastAsia="Times New Roman" w:cs="Times New Roman"/>
          <w:color w:val="000000"/>
          <w:szCs w:val="24"/>
          <w:lang w:eastAsia="lv-LV"/>
        </w:rPr>
        <w:t xml:space="preserve">, </w:t>
      </w:r>
      <w:r w:rsidR="00EF2E7A" w:rsidRPr="000B6CE0">
        <w:rPr>
          <w:rFonts w:eastAsia="Times New Roman" w:cs="Times New Roman"/>
          <w:color w:val="000000"/>
          <w:szCs w:val="24"/>
          <w:lang w:eastAsia="lv-LV"/>
        </w:rPr>
        <w:t>[pers. F]</w:t>
      </w:r>
      <w:r w:rsidRPr="000B6CE0">
        <w:rPr>
          <w:rFonts w:eastAsia="Times New Roman" w:cs="Times New Roman"/>
          <w:color w:val="000000"/>
          <w:szCs w:val="24"/>
          <w:lang w:eastAsia="lv-LV"/>
        </w:rPr>
        <w:t xml:space="preserve"> un </w:t>
      </w:r>
      <w:r w:rsidR="00EF2E7A" w:rsidRPr="000B6CE0">
        <w:rPr>
          <w:rFonts w:eastAsia="Times New Roman" w:cs="Times New Roman"/>
          <w:color w:val="000000"/>
          <w:szCs w:val="24"/>
          <w:lang w:eastAsia="lv-LV"/>
        </w:rPr>
        <w:t>[pers.  E].</w:t>
      </w:r>
    </w:p>
    <w:p w:rsidR="0037519F" w:rsidRPr="000B6CE0" w:rsidRDefault="0037519F" w:rsidP="0037519F">
      <w:pPr>
        <w:spacing w:after="0" w:line="276" w:lineRule="auto"/>
        <w:ind w:firstLine="720"/>
        <w:jc w:val="both"/>
        <w:rPr>
          <w:rFonts w:eastAsia="Times New Roman" w:cs="Times New Roman"/>
          <w:color w:val="000000"/>
          <w:szCs w:val="24"/>
          <w:lang w:eastAsia="lv-LV"/>
        </w:rPr>
      </w:pPr>
      <w:r w:rsidRPr="000B6CE0">
        <w:rPr>
          <w:rFonts w:eastAsia="Times New Roman" w:cs="Times New Roman"/>
          <w:color w:val="000000"/>
          <w:szCs w:val="24"/>
          <w:lang w:eastAsia="lv-LV"/>
        </w:rPr>
        <w:t xml:space="preserve">Savukārt </w:t>
      </w:r>
      <w:proofErr w:type="gramStart"/>
      <w:r w:rsidRPr="000B6CE0">
        <w:rPr>
          <w:rFonts w:eastAsia="Times New Roman" w:cs="Times New Roman"/>
          <w:color w:val="000000"/>
          <w:szCs w:val="24"/>
          <w:lang w:eastAsia="lv-LV"/>
        </w:rPr>
        <w:t>2017.gada</w:t>
      </w:r>
      <w:proofErr w:type="gramEnd"/>
      <w:r w:rsidRPr="000B6CE0">
        <w:rPr>
          <w:rFonts w:eastAsia="Times New Roman" w:cs="Times New Roman"/>
          <w:color w:val="000000"/>
          <w:szCs w:val="24"/>
          <w:lang w:eastAsia="lv-LV"/>
        </w:rPr>
        <w:t xml:space="preserve"> </w:t>
      </w:r>
      <w:r w:rsidR="00EF2E7A" w:rsidRPr="000B6CE0">
        <w:rPr>
          <w:rFonts w:eastAsia="Times New Roman" w:cs="Times New Roman"/>
          <w:color w:val="000000"/>
          <w:szCs w:val="24"/>
          <w:lang w:eastAsia="lv-LV"/>
        </w:rPr>
        <w:t xml:space="preserve">[..] </w:t>
      </w:r>
      <w:r w:rsidRPr="000B6CE0">
        <w:rPr>
          <w:rFonts w:eastAsia="Times New Roman" w:cs="Times New Roman"/>
          <w:color w:val="000000"/>
          <w:szCs w:val="24"/>
          <w:lang w:eastAsia="lv-LV"/>
        </w:rPr>
        <w:t xml:space="preserve">jūnijā Rīgas apgabaltiesas zvērināta notāre </w:t>
      </w:r>
      <w:proofErr w:type="spellStart"/>
      <w:r w:rsidRPr="000B6CE0">
        <w:rPr>
          <w:rFonts w:eastAsia="Times New Roman" w:cs="Times New Roman"/>
          <w:color w:val="000000"/>
          <w:szCs w:val="24"/>
          <w:lang w:eastAsia="lv-LV"/>
        </w:rPr>
        <w:t>Argita</w:t>
      </w:r>
      <w:proofErr w:type="spellEnd"/>
      <w:r w:rsidRPr="000B6CE0">
        <w:rPr>
          <w:rFonts w:eastAsia="Times New Roman" w:cs="Times New Roman"/>
          <w:color w:val="000000"/>
          <w:szCs w:val="24"/>
          <w:lang w:eastAsia="lv-LV"/>
        </w:rPr>
        <w:t xml:space="preserve"> </w:t>
      </w:r>
      <w:proofErr w:type="spellStart"/>
      <w:r w:rsidRPr="000B6CE0">
        <w:rPr>
          <w:rFonts w:eastAsia="Times New Roman" w:cs="Times New Roman"/>
          <w:color w:val="000000"/>
          <w:szCs w:val="24"/>
          <w:lang w:eastAsia="lv-LV"/>
        </w:rPr>
        <w:t>Gustafssone</w:t>
      </w:r>
      <w:proofErr w:type="spellEnd"/>
      <w:r w:rsidRPr="000B6CE0">
        <w:rPr>
          <w:rFonts w:eastAsia="Times New Roman" w:cs="Times New Roman"/>
          <w:color w:val="000000"/>
          <w:szCs w:val="24"/>
          <w:lang w:eastAsia="lv-LV"/>
        </w:rPr>
        <w:t xml:space="preserve"> uzsāka </w:t>
      </w:r>
      <w:r w:rsidR="00EF2E7A" w:rsidRPr="000B6CE0">
        <w:rPr>
          <w:rFonts w:eastAsia="Times New Roman" w:cs="Times New Roman"/>
          <w:color w:val="000000"/>
          <w:szCs w:val="24"/>
          <w:lang w:eastAsia="lv-LV"/>
        </w:rPr>
        <w:t>[pers. C]</w:t>
      </w:r>
      <w:r w:rsidRPr="000B6CE0">
        <w:rPr>
          <w:rFonts w:eastAsia="Times New Roman" w:cs="Times New Roman"/>
          <w:color w:val="000000"/>
          <w:szCs w:val="24"/>
          <w:lang w:eastAsia="lv-LV"/>
        </w:rPr>
        <w:t xml:space="preserve"> mantojuma lietu, pamatojoties uz mantojuma atstājēja četru bērnu mantošanas iesniegumu.</w:t>
      </w:r>
    </w:p>
    <w:p w:rsidR="0037519F" w:rsidRPr="000B6CE0" w:rsidRDefault="0037519F" w:rsidP="0037519F">
      <w:pPr>
        <w:spacing w:after="0" w:line="276" w:lineRule="auto"/>
        <w:ind w:firstLine="720"/>
        <w:jc w:val="both"/>
        <w:rPr>
          <w:rFonts w:eastAsia="Times New Roman" w:cs="Times New Roman"/>
          <w:color w:val="000000"/>
          <w:szCs w:val="24"/>
          <w:lang w:eastAsia="lv-LV"/>
        </w:rPr>
      </w:pPr>
      <w:r w:rsidRPr="000B6CE0">
        <w:rPr>
          <w:rFonts w:eastAsia="Times New Roman" w:cs="Times New Roman"/>
          <w:color w:val="000000"/>
          <w:szCs w:val="24"/>
          <w:lang w:eastAsia="lv-LV"/>
        </w:rPr>
        <w:t xml:space="preserve">Tā kā </w:t>
      </w:r>
      <w:r w:rsidR="00EF2E7A" w:rsidRPr="000B6CE0">
        <w:rPr>
          <w:rFonts w:eastAsia="Times New Roman" w:cs="Times New Roman"/>
          <w:color w:val="000000"/>
          <w:szCs w:val="24"/>
          <w:lang w:eastAsia="lv-LV"/>
        </w:rPr>
        <w:t>[pers.</w:t>
      </w:r>
      <w:r w:rsidR="0014713A" w:rsidRPr="000B6CE0">
        <w:t xml:space="preserve"> C] </w:t>
      </w:r>
      <w:r w:rsidRPr="000B6CE0">
        <w:rPr>
          <w:rFonts w:eastAsia="Times New Roman" w:cs="Times New Roman"/>
          <w:color w:val="000000"/>
          <w:szCs w:val="24"/>
          <w:lang w:eastAsia="lv-LV"/>
        </w:rPr>
        <w:t>atstātais mantojums atrodas gan ES, gan ārpus tās, notāres uzsāktā lieta ir pārrobežu mantojuma lieta, ko viņa norādījusi arī savos paskaidrojumos.</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0B6CE0">
        <w:rPr>
          <w:rFonts w:eastAsia="Times New Roman" w:cs="Times New Roman"/>
          <w:color w:val="000000"/>
          <w:szCs w:val="24"/>
          <w:lang w:eastAsia="lv-LV"/>
        </w:rPr>
        <w:t xml:space="preserve">Apsverot Mantošanas regulas materiālo un temporālo tvērumu, secināms, ka tā ir piemērojama </w:t>
      </w:r>
      <w:r w:rsidR="0014713A" w:rsidRPr="000B6CE0">
        <w:rPr>
          <w:rFonts w:eastAsia="Times New Roman" w:cs="Times New Roman"/>
          <w:color w:val="000000"/>
          <w:szCs w:val="24"/>
          <w:lang w:eastAsia="lv-LV"/>
        </w:rPr>
        <w:t xml:space="preserve">[pers. C] </w:t>
      </w:r>
      <w:r w:rsidRPr="000B6CE0">
        <w:rPr>
          <w:rFonts w:eastAsia="Times New Roman" w:cs="Times New Roman"/>
          <w:color w:val="000000"/>
          <w:szCs w:val="24"/>
          <w:lang w:eastAsia="lv-LV"/>
        </w:rPr>
        <w:t xml:space="preserve">mantojuma lietā. Materiālā tvēruma nosacījums atbilstoši Mantošanas regulas </w:t>
      </w:r>
      <w:proofErr w:type="gramStart"/>
      <w:r w:rsidRPr="000B6CE0">
        <w:rPr>
          <w:rFonts w:eastAsia="Times New Roman" w:cs="Times New Roman"/>
          <w:color w:val="000000"/>
          <w:szCs w:val="24"/>
          <w:lang w:eastAsia="lv-LV"/>
        </w:rPr>
        <w:t>1.pantam</w:t>
      </w:r>
      <w:proofErr w:type="gramEnd"/>
      <w:r w:rsidRPr="000B6CE0">
        <w:rPr>
          <w:rFonts w:eastAsia="Times New Roman" w:cs="Times New Roman"/>
          <w:color w:val="000000"/>
          <w:szCs w:val="24"/>
          <w:lang w:eastAsia="lv-LV"/>
        </w:rPr>
        <w:t xml:space="preserve"> ir izpildīts, jo lietā ir vairāki pārrobežu saistoši faktori (galvenokārt mantojuma masā ietilpstošās mantas atrašanās vairākās ES valstīs). Temporālais tvērums ir izpildīts, jo mantojuma atstājējs </w:t>
      </w:r>
      <w:r w:rsidR="0014713A" w:rsidRPr="000B6CE0">
        <w:rPr>
          <w:rFonts w:eastAsia="Times New Roman" w:cs="Times New Roman"/>
          <w:color w:val="000000"/>
          <w:szCs w:val="24"/>
          <w:lang w:eastAsia="lv-LV"/>
        </w:rPr>
        <w:t>[pers. C]</w:t>
      </w:r>
      <w:r w:rsidRPr="000B6CE0">
        <w:rPr>
          <w:rFonts w:eastAsia="Times New Roman" w:cs="Times New Roman"/>
          <w:color w:val="000000"/>
          <w:szCs w:val="24"/>
          <w:lang w:eastAsia="lv-LV"/>
        </w:rPr>
        <w:t xml:space="preserve"> mira </w:t>
      </w:r>
      <w:proofErr w:type="gramStart"/>
      <w:r w:rsidRPr="000B6CE0">
        <w:rPr>
          <w:rFonts w:eastAsia="Times New Roman" w:cs="Times New Roman"/>
          <w:color w:val="000000"/>
          <w:szCs w:val="24"/>
          <w:lang w:eastAsia="lv-LV"/>
        </w:rPr>
        <w:t>2017.gada</w:t>
      </w:r>
      <w:proofErr w:type="gramEnd"/>
      <w:r w:rsidRPr="000B6CE0">
        <w:rPr>
          <w:rFonts w:eastAsia="Times New Roman" w:cs="Times New Roman"/>
          <w:color w:val="000000"/>
          <w:szCs w:val="24"/>
          <w:lang w:eastAsia="lv-LV"/>
        </w:rPr>
        <w:t xml:space="preserve"> </w:t>
      </w:r>
      <w:r w:rsidR="0014713A" w:rsidRPr="000B6CE0">
        <w:rPr>
          <w:rFonts w:eastAsia="Times New Roman" w:cs="Times New Roman"/>
          <w:color w:val="000000"/>
          <w:szCs w:val="24"/>
          <w:lang w:eastAsia="lv-LV"/>
        </w:rPr>
        <w:t xml:space="preserve">[..] </w:t>
      </w:r>
      <w:r w:rsidRPr="000B6CE0">
        <w:rPr>
          <w:rFonts w:eastAsia="Times New Roman" w:cs="Times New Roman"/>
          <w:color w:val="000000"/>
          <w:szCs w:val="24"/>
          <w:lang w:eastAsia="lv-LV"/>
        </w:rPr>
        <w:t>aprīlī, t.i., pēc 2015.gada 17.augusta, kas atbilstoši regulas 83.pantam ir mantojuma atklāšanās brīdis, ar kuru uzsākama Mantošanas regulas piemērošana.</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Mantošanas regulas piemērošana nozīmē gan tās noteikumu ievērošanu attiecībā uz jurisdikcijas noteikšanu, gan arī attiecībā uz mantojuma lietā piemērojamā likuma izvēli.</w:t>
      </w:r>
    </w:p>
    <w:p w:rsidR="0037519F" w:rsidRPr="0037519F" w:rsidRDefault="0037519F" w:rsidP="0037519F">
      <w:pPr>
        <w:spacing w:after="0" w:line="276" w:lineRule="auto"/>
        <w:jc w:val="both"/>
        <w:rPr>
          <w:rFonts w:eastAsia="Times New Roman" w:cs="Times New Roman"/>
          <w:color w:val="000000"/>
          <w:szCs w:val="24"/>
          <w:lang w:eastAsia="lv-LV"/>
        </w:rPr>
      </w:pP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[9] Augstākā tiesa piekrīt blakus sūdzībā norādītajam, ka tiesa nav ņēmusi vērā visu lietas faktisko apstākļu un Mantošanas regulas juridisko aspektu kopumu, kas bijis par iemeslu nepareiziem secinājumiem attiecībā uz lietas jurisdikciju un mantojuma lietā piemērojamo likumu un novedis pie nepamatota lēmuma pieņemšanas.</w:t>
      </w:r>
    </w:p>
    <w:p w:rsidR="0037519F" w:rsidRPr="0037519F" w:rsidRDefault="0037519F" w:rsidP="0037519F">
      <w:pPr>
        <w:spacing w:after="0" w:line="276" w:lineRule="auto"/>
        <w:jc w:val="both"/>
        <w:rPr>
          <w:rFonts w:eastAsia="Times New Roman" w:cs="Times New Roman"/>
          <w:color w:val="000000"/>
          <w:szCs w:val="24"/>
          <w:lang w:eastAsia="lv-LV"/>
        </w:rPr>
      </w:pP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[9.1] Jurisdikcijas nosacījumi ietverti Mantošanas regulas II nodaļā.</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Vispārēji jurisdikcija lemt par mantošanu kopumā ir tās dalībvalsts tiesām, kurā mirušajam nāves brīdī bija pastāvīgā dzīvesvieta (</w:t>
      </w:r>
      <w:proofErr w:type="gramStart"/>
      <w:r w:rsidRPr="0037519F">
        <w:rPr>
          <w:rFonts w:eastAsia="Times New Roman" w:cs="Times New Roman"/>
          <w:color w:val="000000"/>
          <w:szCs w:val="24"/>
          <w:lang w:eastAsia="lv-LV"/>
        </w:rPr>
        <w:t>4.pants</w:t>
      </w:r>
      <w:proofErr w:type="gramEnd"/>
      <w:r w:rsidRPr="0037519F">
        <w:rPr>
          <w:rFonts w:eastAsia="Times New Roman" w:cs="Times New Roman"/>
          <w:color w:val="000000"/>
          <w:szCs w:val="24"/>
          <w:lang w:eastAsia="lv-LV"/>
        </w:rPr>
        <w:t xml:space="preserve">). Tomēr </w:t>
      </w:r>
      <w:proofErr w:type="gramStart"/>
      <w:r w:rsidRPr="000B6CE0">
        <w:rPr>
          <w:rFonts w:eastAsia="Times New Roman" w:cs="Times New Roman"/>
          <w:color w:val="000000"/>
          <w:szCs w:val="24"/>
          <w:lang w:eastAsia="lv-LV"/>
        </w:rPr>
        <w:t>10.pantā</w:t>
      </w:r>
      <w:proofErr w:type="gramEnd"/>
      <w:r w:rsidRPr="0037519F">
        <w:rPr>
          <w:rFonts w:eastAsia="Times New Roman" w:cs="Times New Roman"/>
          <w:color w:val="000000"/>
          <w:szCs w:val="24"/>
          <w:lang w:eastAsia="lv-LV"/>
        </w:rPr>
        <w:t xml:space="preserve"> „Papildu jurisdikcija” paredzēts, ja mirušā pastāvīgā dzīvesvieta nāves brīdī nav kādā no dalībvalstīm, tad tās dalībvalsts tiesām, kurā atrodas mantojumā ietilpstošā manta, tomēr ir jurisdikcija lemt par mantošanu kopumā, ja:</w:t>
      </w:r>
    </w:p>
    <w:p w:rsidR="0037519F" w:rsidRPr="0037519F" w:rsidRDefault="0037519F" w:rsidP="0037519F">
      <w:pPr>
        <w:spacing w:after="0" w:line="276" w:lineRule="auto"/>
        <w:jc w:val="both"/>
        <w:rPr>
          <w:rFonts w:eastAsia="Times New Roman" w:cs="Times New Roman"/>
          <w:color w:val="000000"/>
          <w:szCs w:val="24"/>
          <w:lang w:eastAsia="lv-LV"/>
        </w:rPr>
      </w:pPr>
      <w:r w:rsidRPr="0037519F">
        <w:rPr>
          <w:rFonts w:eastAsia="Times New Roman" w:cs="Times New Roman"/>
          <w:color w:val="000000"/>
          <w:szCs w:val="24"/>
          <w:lang w:eastAsia="lv-LV"/>
        </w:rPr>
        <w:tab/>
        <w:t>a) mirušajam nāves brīdī bija minētās dalībvalsts pilsonība; vai, ja tās nav,</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b) mirušā iepriekšējā pastāvīgā dzīvesvieta bija minētajā dalībvalstī – ar noteikumu, ka laikā, kad prasība tiek celta tiesā, ir pagājuši ne vairāk kā pieci gadi, kopš minētā pastāvīgā dzīvesvieta ir mainīta (1.punkts). Ja nevienas dalībvalsts tiesai nav jurisdikcijas saskaņā ar 1.punktu, tad tās dalībvalsts tiesām, kurā atrodas mantojumā ietilpstošā manta, tomēr ir jurisdikcija lemt par minēto mantu (2.punkts).</w:t>
      </w:r>
    </w:p>
    <w:p w:rsidR="0037519F" w:rsidRPr="000B6CE0" w:rsidRDefault="0037519F" w:rsidP="0037519F">
      <w:pPr>
        <w:spacing w:after="0" w:line="276" w:lineRule="auto"/>
        <w:jc w:val="both"/>
        <w:rPr>
          <w:rFonts w:eastAsia="Times New Roman" w:cs="Times New Roman"/>
          <w:color w:val="000000"/>
          <w:szCs w:val="24"/>
          <w:lang w:eastAsia="lv-LV"/>
        </w:rPr>
      </w:pPr>
      <w:r w:rsidRPr="0037519F">
        <w:rPr>
          <w:rFonts w:eastAsia="Times New Roman" w:cs="Times New Roman"/>
          <w:color w:val="000000"/>
          <w:szCs w:val="24"/>
          <w:lang w:eastAsia="lv-LV"/>
        </w:rPr>
        <w:tab/>
        <w:t xml:space="preserve">No Mantošanas </w:t>
      </w:r>
      <w:r w:rsidRPr="000B6CE0">
        <w:rPr>
          <w:rFonts w:eastAsia="Times New Roman" w:cs="Times New Roman"/>
          <w:color w:val="000000"/>
          <w:szCs w:val="24"/>
          <w:lang w:eastAsia="lv-LV"/>
        </w:rPr>
        <w:t xml:space="preserve">regulas </w:t>
      </w:r>
      <w:proofErr w:type="gramStart"/>
      <w:r w:rsidRPr="000B6CE0">
        <w:rPr>
          <w:rFonts w:eastAsia="Times New Roman" w:cs="Times New Roman"/>
          <w:color w:val="000000"/>
          <w:szCs w:val="24"/>
          <w:lang w:eastAsia="lv-LV"/>
        </w:rPr>
        <w:t>10.panta</w:t>
      </w:r>
      <w:proofErr w:type="gramEnd"/>
      <w:r w:rsidRPr="000B6CE0">
        <w:rPr>
          <w:rFonts w:eastAsia="Times New Roman" w:cs="Times New Roman"/>
          <w:color w:val="000000"/>
          <w:szCs w:val="24"/>
          <w:lang w:eastAsia="lv-LV"/>
        </w:rPr>
        <w:t>, lasot to kopā ar 30.apsvērumu (</w:t>
      </w:r>
      <w:r w:rsidRPr="000B6CE0">
        <w:rPr>
          <w:rFonts w:eastAsia="Times New Roman" w:cs="Times New Roman"/>
          <w:i/>
          <w:iCs/>
          <w:color w:val="000000"/>
          <w:szCs w:val="24"/>
          <w:lang w:eastAsia="lv-LV"/>
        </w:rPr>
        <w:t>lai nodrošinātu, ka visu dalībvalstu tiesas, balstoties uz vienu un to pašu pamatojumu, var īstenot jurisdikciju attiecībā uz tādu personu atstātu mantojumu, kuru pastāvīgā dzīvesvieta nāves brīdī nav kādā no dalībvalstīm, šajā regulā būtu jādod izsmeļošs tādu pamatojumu saraksts hierarhiskā secībā, uz kuriem balstoties, var īstenot šādu papildu jurisdikciju</w:t>
      </w:r>
      <w:r w:rsidRPr="000B6CE0">
        <w:rPr>
          <w:rFonts w:eastAsia="Times New Roman" w:cs="Times New Roman"/>
          <w:color w:val="000000"/>
          <w:szCs w:val="24"/>
          <w:lang w:eastAsia="lv-LV"/>
        </w:rPr>
        <w:t xml:space="preserve">), izriet, ka vispirms ir </w:t>
      </w:r>
      <w:r w:rsidRPr="000B6CE0">
        <w:rPr>
          <w:rFonts w:eastAsia="Times New Roman" w:cs="Times New Roman"/>
          <w:color w:val="000000"/>
          <w:szCs w:val="24"/>
          <w:lang w:eastAsia="lv-LV"/>
        </w:rPr>
        <w:lastRenderedPageBreak/>
        <w:t>jānoskaidro, vai pēc kāda no papildu kritērijiem nav iespējams noteikt kompetento dalībvalsti. Ja tas tomēr nav iespējams, tad jautājuma izlemšanu par konkrētu mantu ir tiesīgas veikt tiesas pēc mantas atrašanās vietas.</w:t>
      </w:r>
    </w:p>
    <w:p w:rsidR="0037519F" w:rsidRPr="000B6CE0" w:rsidRDefault="0037519F" w:rsidP="0037519F">
      <w:pPr>
        <w:spacing w:after="0" w:line="276" w:lineRule="auto"/>
        <w:ind w:firstLine="720"/>
        <w:jc w:val="both"/>
        <w:rPr>
          <w:rFonts w:eastAsia="Times New Roman" w:cs="Times New Roman"/>
          <w:color w:val="000000"/>
          <w:szCs w:val="24"/>
          <w:lang w:eastAsia="lv-LV"/>
        </w:rPr>
      </w:pPr>
      <w:r w:rsidRPr="000B6CE0">
        <w:rPr>
          <w:rFonts w:eastAsia="Times New Roman" w:cs="Times New Roman"/>
          <w:color w:val="000000"/>
          <w:szCs w:val="24"/>
          <w:lang w:eastAsia="lv-LV"/>
        </w:rPr>
        <w:t xml:space="preserve">Citiem vārdiem, pamatojot jurisdikciju saskaņā ar Mantošanas regulas </w:t>
      </w:r>
      <w:proofErr w:type="gramStart"/>
      <w:r w:rsidRPr="000B6CE0">
        <w:rPr>
          <w:rFonts w:eastAsia="Times New Roman" w:cs="Times New Roman"/>
          <w:color w:val="000000"/>
          <w:szCs w:val="24"/>
          <w:lang w:eastAsia="lv-LV"/>
        </w:rPr>
        <w:t>4.pantu</w:t>
      </w:r>
      <w:proofErr w:type="gramEnd"/>
      <w:r w:rsidRPr="000B6CE0">
        <w:rPr>
          <w:rFonts w:eastAsia="Times New Roman" w:cs="Times New Roman"/>
          <w:color w:val="000000"/>
          <w:szCs w:val="24"/>
          <w:lang w:eastAsia="lv-LV"/>
        </w:rPr>
        <w:t xml:space="preserve"> vai 10.panta 1.punktu, dalībvalsts tiesa ir tiesīga lemt par mantojumu kopumā (arī attiecībā uz mantu, kas atrodas citā dalībvalstī), savukārt, pamatojot jurisdikciju ar 10.panta 2.punktu, tiesības ir lemt tikai par mantu, kas atrodas konkrētās dalībvalsts teritorijā.</w:t>
      </w:r>
    </w:p>
    <w:p w:rsidR="0037519F" w:rsidRPr="000B6CE0" w:rsidRDefault="0037519F" w:rsidP="0037519F">
      <w:pPr>
        <w:spacing w:after="0" w:line="276" w:lineRule="auto"/>
        <w:ind w:firstLine="720"/>
        <w:jc w:val="both"/>
        <w:rPr>
          <w:rFonts w:eastAsia="Times New Roman" w:cs="Times New Roman"/>
          <w:color w:val="000000"/>
          <w:szCs w:val="24"/>
          <w:lang w:eastAsia="lv-LV"/>
        </w:rPr>
      </w:pPr>
      <w:r w:rsidRPr="000B6CE0">
        <w:rPr>
          <w:rFonts w:eastAsia="Times New Roman" w:cs="Times New Roman"/>
          <w:color w:val="000000"/>
          <w:szCs w:val="24"/>
          <w:lang w:eastAsia="lv-LV"/>
        </w:rPr>
        <w:t xml:space="preserve">Nedz notāres lēmumā, nedz pārsūdzētajā lēmumā jurisdikcijas izvēles jautājums nav analizēts. Atsaukšanās pārsūdzētajā lēmumā uz Mantošanas regulas </w:t>
      </w:r>
      <w:proofErr w:type="gramStart"/>
      <w:r w:rsidRPr="000B6CE0">
        <w:rPr>
          <w:rFonts w:eastAsia="Times New Roman" w:cs="Times New Roman"/>
          <w:color w:val="000000"/>
          <w:szCs w:val="24"/>
          <w:lang w:eastAsia="lv-LV"/>
        </w:rPr>
        <w:t>10.panta</w:t>
      </w:r>
      <w:proofErr w:type="gramEnd"/>
      <w:r w:rsidRPr="000B6CE0">
        <w:rPr>
          <w:rFonts w:eastAsia="Times New Roman" w:cs="Times New Roman"/>
          <w:color w:val="000000"/>
          <w:szCs w:val="24"/>
          <w:lang w:eastAsia="lv-LV"/>
        </w:rPr>
        <w:t xml:space="preserve"> 2.punktu ļauj secināt, ka tiesa ir atzinusi Latvijas zvērināta notāra tiesības lemt tikai par to mantu, kas atrodas Latvijā. Tajā pašā laikā apstāklim, ka notāre ir nolēmusi viņas vestajā pārrobežu mantojuma</w:t>
      </w:r>
      <w:r w:rsidRPr="0037519F">
        <w:rPr>
          <w:rFonts w:eastAsia="Times New Roman" w:cs="Times New Roman"/>
          <w:color w:val="000000"/>
          <w:szCs w:val="24"/>
          <w:lang w:eastAsia="lv-LV"/>
        </w:rPr>
        <w:t xml:space="preserve"> lietā izsniegt Eiropas mantošanas apliecību</w:t>
      </w:r>
      <w:r w:rsidRPr="000B6CE0">
        <w:rPr>
          <w:rFonts w:eastAsia="Times New Roman" w:cs="Times New Roman"/>
          <w:color w:val="000000"/>
          <w:szCs w:val="24"/>
          <w:lang w:eastAsia="lv-LV"/>
        </w:rPr>
        <w:t xml:space="preserve">, iekļaujot mantojuma masā arī īpašumus Spānijas Karalistē, tātad pretēji Mantošanas regulas </w:t>
      </w:r>
      <w:proofErr w:type="gramStart"/>
      <w:r w:rsidRPr="000B6CE0">
        <w:rPr>
          <w:rFonts w:eastAsia="Times New Roman" w:cs="Times New Roman"/>
          <w:color w:val="000000"/>
          <w:szCs w:val="24"/>
          <w:lang w:eastAsia="lv-LV"/>
        </w:rPr>
        <w:t>10.panta</w:t>
      </w:r>
      <w:proofErr w:type="gramEnd"/>
      <w:r w:rsidRPr="000B6CE0">
        <w:rPr>
          <w:rFonts w:eastAsia="Times New Roman" w:cs="Times New Roman"/>
          <w:color w:val="000000"/>
          <w:szCs w:val="24"/>
          <w:lang w:eastAsia="lv-LV"/>
        </w:rPr>
        <w:t xml:space="preserve"> 2.punktam, izlēmusi lemt par citā dalībvalstī esošu mantu, tiesa nekādu vērtējumu nav devusi.</w:t>
      </w:r>
    </w:p>
    <w:p w:rsidR="0037519F" w:rsidRPr="000B6CE0" w:rsidRDefault="0037519F" w:rsidP="0037519F">
      <w:pPr>
        <w:spacing w:after="0" w:line="276" w:lineRule="auto"/>
        <w:ind w:firstLine="720"/>
        <w:jc w:val="both"/>
        <w:rPr>
          <w:rFonts w:eastAsia="Times New Roman" w:cs="Times New Roman"/>
          <w:color w:val="000000"/>
          <w:szCs w:val="24"/>
          <w:lang w:eastAsia="lv-LV"/>
        </w:rPr>
      </w:pPr>
      <w:r w:rsidRPr="000B6CE0">
        <w:rPr>
          <w:rFonts w:eastAsia="Times New Roman" w:cs="Times New Roman"/>
          <w:color w:val="000000"/>
          <w:szCs w:val="24"/>
          <w:lang w:eastAsia="lv-LV"/>
        </w:rPr>
        <w:t>[9.2]</w:t>
      </w:r>
      <w:r w:rsidR="0014713A" w:rsidRPr="000B6CE0">
        <w:rPr>
          <w:rFonts w:eastAsia="Times New Roman" w:cs="Times New Roman"/>
          <w:color w:val="000000"/>
          <w:szCs w:val="24"/>
          <w:lang w:eastAsia="lv-LV"/>
        </w:rPr>
        <w:t xml:space="preserve"> </w:t>
      </w:r>
      <w:r w:rsidRPr="000B6CE0">
        <w:rPr>
          <w:rFonts w:eastAsia="Times New Roman" w:cs="Times New Roman"/>
          <w:color w:val="000000"/>
          <w:szCs w:val="24"/>
          <w:lang w:eastAsia="lv-LV"/>
        </w:rPr>
        <w:t xml:space="preserve">Otrs izskatāmajā lietā risināmais jautājums ir pārrobežu mantojuma lietā piemērojamais likums. Šis jautājums ir izšķirams arī tad, ja jurisdikcija tiek īstenota saskaņā ar Mantošanas regulas </w:t>
      </w:r>
      <w:proofErr w:type="gramStart"/>
      <w:r w:rsidRPr="000B6CE0">
        <w:rPr>
          <w:rFonts w:eastAsia="Times New Roman" w:cs="Times New Roman"/>
          <w:color w:val="000000"/>
          <w:szCs w:val="24"/>
          <w:lang w:eastAsia="lv-LV"/>
        </w:rPr>
        <w:t>10.panta</w:t>
      </w:r>
      <w:proofErr w:type="gramEnd"/>
      <w:r w:rsidRPr="000B6CE0">
        <w:rPr>
          <w:rFonts w:eastAsia="Times New Roman" w:cs="Times New Roman"/>
          <w:color w:val="000000"/>
          <w:szCs w:val="24"/>
          <w:lang w:eastAsia="lv-LV"/>
        </w:rPr>
        <w:t xml:space="preserve"> 2.punktu.</w:t>
      </w:r>
    </w:p>
    <w:p w:rsidR="0037519F" w:rsidRPr="000B6CE0" w:rsidRDefault="0037519F" w:rsidP="0037519F">
      <w:pPr>
        <w:spacing w:after="0" w:line="276" w:lineRule="auto"/>
        <w:ind w:firstLine="720"/>
        <w:jc w:val="both"/>
        <w:rPr>
          <w:rFonts w:eastAsia="Times New Roman" w:cs="Times New Roman"/>
          <w:color w:val="000000"/>
          <w:szCs w:val="24"/>
          <w:lang w:eastAsia="lv-LV"/>
        </w:rPr>
      </w:pPr>
      <w:r w:rsidRPr="000B6CE0">
        <w:rPr>
          <w:rFonts w:eastAsia="Times New Roman" w:cs="Times New Roman"/>
          <w:color w:val="000000"/>
          <w:szCs w:val="24"/>
          <w:lang w:eastAsia="lv-LV"/>
        </w:rPr>
        <w:t xml:space="preserve">Noteikumi par piemērojamiem tiesību aktiem ietverti Mantošanas regulas III nodaļā, kuras </w:t>
      </w:r>
      <w:proofErr w:type="gramStart"/>
      <w:r w:rsidRPr="000B6CE0">
        <w:rPr>
          <w:rFonts w:eastAsia="Times New Roman" w:cs="Times New Roman"/>
          <w:color w:val="000000"/>
          <w:szCs w:val="24"/>
          <w:lang w:eastAsia="lv-LV"/>
        </w:rPr>
        <w:t>20.pantā</w:t>
      </w:r>
      <w:proofErr w:type="gramEnd"/>
      <w:r w:rsidRPr="000B6CE0">
        <w:rPr>
          <w:rFonts w:eastAsia="Times New Roman" w:cs="Times New Roman"/>
          <w:color w:val="000000"/>
          <w:szCs w:val="24"/>
          <w:lang w:eastAsia="lv-LV"/>
        </w:rPr>
        <w:t xml:space="preserve"> noteikts, ka jebkurus tiesību aktus, kas norādīti ar šo regulu, piemēro neatkarīgi no tā, vai tie ir vai nav dalībvalsts tiesību akti.</w:t>
      </w:r>
    </w:p>
    <w:p w:rsidR="0037519F" w:rsidRPr="000B6CE0" w:rsidRDefault="0037519F" w:rsidP="0037519F">
      <w:pPr>
        <w:spacing w:after="0" w:line="276" w:lineRule="auto"/>
        <w:ind w:firstLine="720"/>
        <w:jc w:val="both"/>
        <w:rPr>
          <w:rFonts w:eastAsia="Times New Roman" w:cs="Times New Roman"/>
          <w:color w:val="000000"/>
          <w:szCs w:val="24"/>
          <w:lang w:eastAsia="lv-LV"/>
        </w:rPr>
      </w:pPr>
      <w:r w:rsidRPr="000B6CE0">
        <w:rPr>
          <w:rFonts w:eastAsia="Times New Roman" w:cs="Times New Roman"/>
          <w:color w:val="000000"/>
          <w:szCs w:val="24"/>
          <w:lang w:eastAsia="lv-LV"/>
        </w:rPr>
        <w:t xml:space="preserve">Minētā norma nosaka jau iepriekš ES starptautisko privāttiesību instrumentu klāstā zināmu vispārēju principu </w:t>
      </w:r>
      <w:proofErr w:type="gramStart"/>
      <w:r w:rsidRPr="000B6CE0">
        <w:rPr>
          <w:rFonts w:eastAsia="Times New Roman" w:cs="Times New Roman"/>
          <w:color w:val="000000"/>
          <w:szCs w:val="24"/>
          <w:lang w:eastAsia="lv-LV"/>
        </w:rPr>
        <w:t>par vispārēju (universālu) attiecīgā instrumenta</w:t>
      </w:r>
      <w:proofErr w:type="gramEnd"/>
      <w:r w:rsidRPr="000B6CE0">
        <w:rPr>
          <w:rFonts w:eastAsia="Times New Roman" w:cs="Times New Roman"/>
          <w:color w:val="000000"/>
          <w:szCs w:val="24"/>
          <w:lang w:eastAsia="lv-LV"/>
        </w:rPr>
        <w:t>, šajā gadījumā Mantošanas regulas piemērošanu, nosakot, ka jebkurus tiesību aktus, kas norādīti ar šo regulu, piemēro neatkarīgi no tā, vai tie ir, vai nav dalībvalsts tiesību akti.</w:t>
      </w:r>
    </w:p>
    <w:p w:rsidR="0037519F" w:rsidRPr="000B6CE0" w:rsidRDefault="0037519F" w:rsidP="0037519F">
      <w:pPr>
        <w:spacing w:after="0" w:line="276" w:lineRule="auto"/>
        <w:ind w:firstLine="720"/>
        <w:jc w:val="both"/>
        <w:rPr>
          <w:rFonts w:eastAsia="Times New Roman" w:cs="Times New Roman"/>
          <w:color w:val="000000"/>
          <w:szCs w:val="24"/>
          <w:lang w:eastAsia="lv-LV"/>
        </w:rPr>
      </w:pPr>
      <w:r w:rsidRPr="000B6CE0">
        <w:rPr>
          <w:rFonts w:eastAsia="Times New Roman" w:cs="Times New Roman"/>
          <w:color w:val="000000"/>
          <w:szCs w:val="24"/>
          <w:lang w:eastAsia="lv-LV"/>
        </w:rPr>
        <w:t xml:space="preserve">Šāds princips, kas paredz „universālu piemērošanu” ir ietverts arī citos ES starptautisko privāttiesību instrumentos, piemēram, </w:t>
      </w:r>
      <w:proofErr w:type="gramStart"/>
      <w:r w:rsidRPr="000B6CE0">
        <w:rPr>
          <w:rFonts w:eastAsia="Times New Roman" w:cs="Times New Roman"/>
          <w:color w:val="000000"/>
          <w:szCs w:val="24"/>
          <w:lang w:eastAsia="lv-LV"/>
        </w:rPr>
        <w:t>2008.gada</w:t>
      </w:r>
      <w:proofErr w:type="gramEnd"/>
      <w:r w:rsidRPr="000B6CE0">
        <w:rPr>
          <w:rFonts w:eastAsia="Times New Roman" w:cs="Times New Roman"/>
          <w:color w:val="000000"/>
          <w:szCs w:val="24"/>
          <w:lang w:eastAsia="lv-LV"/>
        </w:rPr>
        <w:t xml:space="preserve"> 1.jūnija Eiropas Parlamenta un Padomes Regulā (EK) Nr.593/2008 „Par tiesību aktiem, kas piemērojami līgumsaistībām (Roma I)”, kuras 2.pants paredz, ka jebkurus šajā regulā norādītos tiesību aktus piemēro neatkarīgi no tā, vai tie ir dalībvalsts tiesību akti, un līdz ar to pieļauj arī trešo valstu tiesību aktu piemērošanu.</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0B6CE0">
        <w:rPr>
          <w:rFonts w:eastAsia="Times New Roman" w:cs="Times New Roman"/>
          <w:color w:val="000000"/>
          <w:szCs w:val="24"/>
          <w:lang w:eastAsia="lv-LV"/>
        </w:rPr>
        <w:t>Iespēja piemērot ne tikai dalībvalsts, bet arī trešās valsts normatīvos aktus mantojuma lietā,</w:t>
      </w:r>
      <w:r w:rsidR="0014713A" w:rsidRPr="000B6CE0">
        <w:rPr>
          <w:rFonts w:eastAsia="Times New Roman" w:cs="Times New Roman"/>
          <w:color w:val="000000"/>
          <w:szCs w:val="24"/>
          <w:lang w:eastAsia="lv-LV"/>
        </w:rPr>
        <w:t xml:space="preserve"> </w:t>
      </w:r>
      <w:proofErr w:type="spellStart"/>
      <w:r w:rsidRPr="000B6CE0">
        <w:rPr>
          <w:rFonts w:eastAsia="Times New Roman" w:cs="Times New Roman"/>
          <w:i/>
          <w:iCs/>
          <w:color w:val="000000"/>
          <w:szCs w:val="24"/>
          <w:lang w:eastAsia="lv-LV"/>
        </w:rPr>
        <w:t>expressis</w:t>
      </w:r>
      <w:proofErr w:type="spellEnd"/>
      <w:r w:rsidRPr="000B6CE0">
        <w:rPr>
          <w:rFonts w:eastAsia="Times New Roman" w:cs="Times New Roman"/>
          <w:i/>
          <w:iCs/>
          <w:color w:val="000000"/>
          <w:szCs w:val="24"/>
          <w:lang w:eastAsia="lv-LV"/>
        </w:rPr>
        <w:t xml:space="preserve"> </w:t>
      </w:r>
      <w:proofErr w:type="spellStart"/>
      <w:r w:rsidRPr="000B6CE0">
        <w:rPr>
          <w:rFonts w:eastAsia="Times New Roman" w:cs="Times New Roman"/>
          <w:i/>
          <w:iCs/>
          <w:color w:val="000000"/>
          <w:szCs w:val="24"/>
          <w:lang w:eastAsia="lv-LV"/>
        </w:rPr>
        <w:t>verbis</w:t>
      </w:r>
      <w:proofErr w:type="spellEnd"/>
      <w:r w:rsidR="0014713A" w:rsidRPr="000B6CE0">
        <w:rPr>
          <w:rFonts w:eastAsia="Times New Roman" w:cs="Times New Roman"/>
          <w:color w:val="000000"/>
          <w:szCs w:val="24"/>
          <w:lang w:eastAsia="lv-LV"/>
        </w:rPr>
        <w:t xml:space="preserve"> </w:t>
      </w:r>
      <w:r w:rsidRPr="000B6CE0">
        <w:rPr>
          <w:rFonts w:eastAsia="Times New Roman" w:cs="Times New Roman"/>
          <w:color w:val="000000"/>
          <w:szCs w:val="24"/>
          <w:lang w:eastAsia="lv-LV"/>
        </w:rPr>
        <w:t xml:space="preserve">apstiprināta Mantošanas regulas preambulas 57.punktā, kā arī tas izriet no </w:t>
      </w:r>
      <w:bookmarkStart w:id="0" w:name="_Hlk516241629"/>
      <w:proofErr w:type="gramStart"/>
      <w:r w:rsidRPr="000B6CE0">
        <w:rPr>
          <w:rFonts w:eastAsia="Times New Roman" w:cs="Times New Roman"/>
          <w:color w:val="000000"/>
          <w:szCs w:val="24"/>
          <w:lang w:eastAsia="lv-LV"/>
        </w:rPr>
        <w:t>2014.gada</w:t>
      </w:r>
      <w:proofErr w:type="gramEnd"/>
      <w:r w:rsidRPr="000B6CE0">
        <w:rPr>
          <w:rFonts w:eastAsia="Times New Roman" w:cs="Times New Roman"/>
          <w:color w:val="000000"/>
          <w:szCs w:val="24"/>
          <w:lang w:eastAsia="lv-LV"/>
        </w:rPr>
        <w:t xml:space="preserve"> 9.decembra</w:t>
      </w:r>
      <w:r w:rsidR="0014713A" w:rsidRPr="000B6CE0">
        <w:rPr>
          <w:rFonts w:eastAsia="Times New Roman" w:cs="Times New Roman"/>
          <w:color w:val="000000"/>
          <w:szCs w:val="24"/>
          <w:lang w:eastAsia="lv-LV"/>
        </w:rPr>
        <w:t xml:space="preserve"> </w:t>
      </w:r>
      <w:r w:rsidRPr="000B6CE0">
        <w:rPr>
          <w:rFonts w:eastAsia="Times New Roman" w:cs="Times New Roman"/>
          <w:color w:val="000000"/>
          <w:szCs w:val="24"/>
          <w:lang w:eastAsia="lv-LV"/>
        </w:rPr>
        <w:t>Komisijas Īstenošanas Regulas (ES) Nr.1329/2014</w:t>
      </w:r>
      <w:bookmarkEnd w:id="0"/>
      <w:r w:rsidRPr="000B6CE0">
        <w:rPr>
          <w:rFonts w:eastAsia="Times New Roman" w:cs="Times New Roman"/>
          <w:color w:val="000000"/>
          <w:szCs w:val="24"/>
          <w:lang w:eastAsia="lv-LV"/>
        </w:rPr>
        <w:t>,</w:t>
      </w:r>
      <w:r w:rsidR="0014713A" w:rsidRPr="000B6CE0">
        <w:rPr>
          <w:rFonts w:eastAsia="Times New Roman" w:cs="Times New Roman"/>
          <w:color w:val="000000"/>
          <w:szCs w:val="24"/>
          <w:lang w:eastAsia="lv-LV"/>
        </w:rPr>
        <w:t xml:space="preserve"> </w:t>
      </w:r>
      <w:r w:rsidRPr="000B6CE0">
        <w:rPr>
          <w:rFonts w:eastAsia="Times New Roman" w:cs="Times New Roman"/>
          <w:color w:val="000000"/>
          <w:szCs w:val="24"/>
          <w:lang w:eastAsia="lv-LV"/>
        </w:rPr>
        <w:t>ar ko izveido Mantošanas regulā minētās veidlapas, 5.pielikuma „Eiropas mantošanas apliecība” 8.1. un 8.2.4.punkta, kuri specifiski pieprasa identificēt, kādas trešās valsts tiesību akti tiks piemēroti konkrētajā mantošanas lietā.</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Iepriekš teiktais ļauj secināt, ka, vedot pārrobežu mantojuma lietu, kurā varētu tikt izsniegta Eiropas mantošanas apliecība, jebkuras ES dalībvalsts, tostarp Latvijas notāram ir ne tikai tiesība, bet arī pienākums (noteiktos gadījumos) piemērot trešās valsts, kas nav ES dalībvalsts, tiesību aktus.</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Situācijā, kad dalībvalsts tiesa mantošanai piemēro citas valsts tiesību aktus, mantošanai tiek piemērotas šīs (citas) valsts materiāli tiesiskās normas, taču iestāde turpina piemērot pati savas valsts procesuālās normas.</w:t>
      </w:r>
    </w:p>
    <w:p w:rsidR="0037519F" w:rsidRPr="000B6CE0"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Līdz ar to secinājums pārsūdzētajā lēmumā, </w:t>
      </w:r>
      <w:r w:rsidRPr="000B6CE0">
        <w:rPr>
          <w:rFonts w:eastAsia="Times New Roman" w:cs="Times New Roman"/>
          <w:color w:val="000000"/>
          <w:szCs w:val="24"/>
          <w:lang w:eastAsia="lv-LV"/>
        </w:rPr>
        <w:t xml:space="preserve">ka Mantošanas regulas </w:t>
      </w:r>
      <w:proofErr w:type="gramStart"/>
      <w:r w:rsidRPr="000B6CE0">
        <w:rPr>
          <w:rFonts w:eastAsia="Times New Roman" w:cs="Times New Roman"/>
          <w:color w:val="000000"/>
          <w:szCs w:val="24"/>
          <w:lang w:eastAsia="lv-LV"/>
        </w:rPr>
        <w:t>21.pants</w:t>
      </w:r>
      <w:proofErr w:type="gramEnd"/>
      <w:r w:rsidRPr="000B6CE0">
        <w:rPr>
          <w:rFonts w:eastAsia="Times New Roman" w:cs="Times New Roman"/>
          <w:color w:val="000000"/>
          <w:szCs w:val="24"/>
          <w:lang w:eastAsia="lv-LV"/>
        </w:rPr>
        <w:t xml:space="preserve"> piemērojams tikai attiecībā uz vienas ES dalībvalsts likuma piemērošanu un neparedz kādas trešās valsts (Andoras Firstistes vai Krievijas Federācijas) tiesību normu piemērošanu ES dalībvalstīs, kā tas pamatoti norādīts blakus sūdzībā, ir pretrunā ar Mantošanas regulā noteikto. </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0B6CE0">
        <w:rPr>
          <w:rFonts w:eastAsia="Times New Roman" w:cs="Times New Roman"/>
          <w:color w:val="000000"/>
          <w:szCs w:val="24"/>
          <w:lang w:eastAsia="lv-LV"/>
        </w:rPr>
        <w:lastRenderedPageBreak/>
        <w:t xml:space="preserve">[9.3] Mantošanas regulas </w:t>
      </w:r>
      <w:proofErr w:type="gramStart"/>
      <w:r w:rsidRPr="000B6CE0">
        <w:rPr>
          <w:rFonts w:eastAsia="Times New Roman" w:cs="Times New Roman"/>
          <w:color w:val="000000"/>
          <w:szCs w:val="24"/>
          <w:lang w:eastAsia="lv-LV"/>
        </w:rPr>
        <w:t>21.panta</w:t>
      </w:r>
      <w:proofErr w:type="gramEnd"/>
      <w:r w:rsidRPr="000B6CE0">
        <w:rPr>
          <w:rFonts w:eastAsia="Times New Roman" w:cs="Times New Roman"/>
          <w:color w:val="000000"/>
          <w:szCs w:val="24"/>
          <w:lang w:eastAsia="lv-LV"/>
        </w:rPr>
        <w:t xml:space="preserve"> 1.punkts paredz</w:t>
      </w:r>
      <w:r w:rsidRPr="0037519F">
        <w:rPr>
          <w:rFonts w:eastAsia="Times New Roman" w:cs="Times New Roman"/>
          <w:color w:val="000000"/>
          <w:szCs w:val="24"/>
          <w:lang w:eastAsia="lv-LV"/>
        </w:rPr>
        <w:t>, ja vien šajā regulā nav paredzēts citādi, mantošanai kopumā piemērojamie tiesību akti ir tās valsts tiesību akti, kurā bija mirušā pastāvīgā dzīvesvieta nāves brīdī.</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Tātad kritērijs gan piemērojamā likuma noteikšanai, gan jurisdikcijas noteikšanai ir mirušā (mantojuma atstājēja) pastāvīgā dzīvesvieta nāves brīdī.</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Mantošanas regulā jēdziens „mirušā pastāvīgā dzīvesvieta nāves brīdī” nav definēts, kā arī regula nesatur tiešu norādi uz dalībvalstu tiesībām, lai noteiktu šī jēdziena saturu un jomu. Tādēļ jēdziena „mirušā pastāvīgā dzīvesvieta nāves brīdī” noskaidrošana un piepildīšana ar noteiktu saturu (faktiem un apstākļiem) tiesību piemērotājam jāveic, ņemot vērā normas kontekstu un Mantošanas regulas mērķi, kas atklāts preambulas apsvērumos.</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Šādu pieeju </w:t>
      </w:r>
      <w:r w:rsidRPr="000B6CE0">
        <w:rPr>
          <w:rFonts w:eastAsia="Times New Roman" w:cs="Times New Roman"/>
          <w:color w:val="000000"/>
          <w:szCs w:val="24"/>
          <w:lang w:eastAsia="lv-LV"/>
        </w:rPr>
        <w:t xml:space="preserve">regulā lietotā jēdziena satura noskaidrošanai pamato ES tiesībās nostiprinājies „autonomā jēdziena” koncepts (piemēram, Eiropas Savienības Tiesas </w:t>
      </w:r>
      <w:proofErr w:type="gramStart"/>
      <w:r w:rsidRPr="000B6CE0">
        <w:rPr>
          <w:rFonts w:eastAsia="Times New Roman" w:cs="Times New Roman"/>
          <w:color w:val="000000"/>
          <w:szCs w:val="24"/>
          <w:lang w:eastAsia="lv-LV"/>
        </w:rPr>
        <w:t>2010.gada</w:t>
      </w:r>
      <w:proofErr w:type="gramEnd"/>
      <w:r w:rsidRPr="000B6CE0">
        <w:rPr>
          <w:rFonts w:eastAsia="Times New Roman" w:cs="Times New Roman"/>
          <w:color w:val="000000"/>
          <w:szCs w:val="24"/>
          <w:lang w:eastAsia="lv-LV"/>
        </w:rPr>
        <w:t xml:space="preserve"> 28.oktobra sprieduma lietā</w:t>
      </w:r>
      <w:r w:rsidR="0014713A" w:rsidRPr="000B6CE0">
        <w:rPr>
          <w:rFonts w:eastAsia="Times New Roman" w:cs="Times New Roman"/>
          <w:color w:val="000000"/>
          <w:szCs w:val="24"/>
          <w:lang w:eastAsia="lv-LV"/>
        </w:rPr>
        <w:t xml:space="preserve"> </w:t>
      </w:r>
      <w:proofErr w:type="spellStart"/>
      <w:r w:rsidRPr="000B6CE0">
        <w:rPr>
          <w:rFonts w:eastAsia="Times New Roman" w:cs="Times New Roman"/>
          <w:i/>
          <w:iCs/>
          <w:color w:val="000000"/>
          <w:szCs w:val="24"/>
          <w:lang w:eastAsia="lv-LV"/>
        </w:rPr>
        <w:t>Belgisch</w:t>
      </w:r>
      <w:proofErr w:type="spellEnd"/>
      <w:r w:rsidRPr="000B6CE0">
        <w:rPr>
          <w:rFonts w:eastAsia="Times New Roman" w:cs="Times New Roman"/>
          <w:i/>
          <w:iCs/>
          <w:color w:val="000000"/>
          <w:szCs w:val="24"/>
          <w:lang w:eastAsia="lv-LV"/>
        </w:rPr>
        <w:t xml:space="preserve"> </w:t>
      </w:r>
      <w:proofErr w:type="spellStart"/>
      <w:r w:rsidRPr="000B6CE0">
        <w:rPr>
          <w:rFonts w:eastAsia="Times New Roman" w:cs="Times New Roman"/>
          <w:i/>
          <w:iCs/>
          <w:color w:val="000000"/>
          <w:szCs w:val="24"/>
          <w:lang w:eastAsia="lv-LV"/>
        </w:rPr>
        <w:t>Interventie-en</w:t>
      </w:r>
      <w:proofErr w:type="spellEnd"/>
      <w:r w:rsidRPr="000B6CE0">
        <w:rPr>
          <w:rFonts w:eastAsia="Times New Roman" w:cs="Times New Roman"/>
          <w:i/>
          <w:iCs/>
          <w:color w:val="000000"/>
          <w:szCs w:val="24"/>
          <w:lang w:eastAsia="lv-LV"/>
        </w:rPr>
        <w:t xml:space="preserve"> </w:t>
      </w:r>
      <w:proofErr w:type="spellStart"/>
      <w:r w:rsidRPr="000B6CE0">
        <w:rPr>
          <w:rFonts w:eastAsia="Times New Roman" w:cs="Times New Roman"/>
          <w:i/>
          <w:iCs/>
          <w:color w:val="000000"/>
          <w:szCs w:val="24"/>
          <w:lang w:eastAsia="lv-LV"/>
        </w:rPr>
        <w:t>Restitutiebureau</w:t>
      </w:r>
      <w:proofErr w:type="spellEnd"/>
      <w:r w:rsidRPr="000B6CE0">
        <w:rPr>
          <w:rFonts w:eastAsia="Times New Roman" w:cs="Times New Roman"/>
          <w:color w:val="000000"/>
          <w:szCs w:val="24"/>
          <w:lang w:eastAsia="lv-LV"/>
        </w:rPr>
        <w:t>, C-367/09,</w:t>
      </w:r>
      <w:r w:rsidR="00E52C3E" w:rsidRPr="000B6CE0">
        <w:rPr>
          <w:rFonts w:eastAsia="Times New Roman" w:cs="Times New Roman"/>
          <w:color w:val="000000"/>
          <w:szCs w:val="24"/>
          <w:lang w:eastAsia="lv-LV"/>
        </w:rPr>
        <w:t xml:space="preserve"> </w:t>
      </w:r>
      <w:hyperlink r:id="rId10" w:tgtFrame="_blank" w:history="1">
        <w:r w:rsidRPr="000B6CE0">
          <w:rPr>
            <w:rFonts w:eastAsia="Times New Roman" w:cs="Times New Roman"/>
            <w:color w:val="0000FF"/>
            <w:szCs w:val="24"/>
            <w:u w:val="single"/>
            <w:lang w:eastAsia="lv-LV"/>
          </w:rPr>
          <w:t>ECLI:EU:C:2010:648</w:t>
        </w:r>
      </w:hyperlink>
      <w:r w:rsidR="0014713A" w:rsidRPr="000B6CE0">
        <w:rPr>
          <w:rFonts w:eastAsia="Times New Roman" w:cs="Times New Roman"/>
          <w:color w:val="000000"/>
          <w:szCs w:val="24"/>
          <w:lang w:eastAsia="lv-LV"/>
        </w:rPr>
        <w:t xml:space="preserve"> </w:t>
      </w:r>
      <w:r w:rsidRPr="000B6CE0">
        <w:rPr>
          <w:rFonts w:eastAsia="Times New Roman" w:cs="Times New Roman"/>
          <w:color w:val="000000"/>
          <w:szCs w:val="24"/>
          <w:lang w:eastAsia="lv-LV"/>
        </w:rPr>
        <w:t>37.punktā ir izmantota formula: „no Regulas Nr.2988/95 2.panta, it īpaši tā 3.punkta, lasot to kopā ar šīs regulas piekto un astoto apsvērumu, izriet, ka Savienības likumdevējam ir jāpieņem nozaru regulējums, kas paredz administratīvos sodus, līdzīgi tam, kāds minētās regulas pieņemšanas laikā jau pastāvēja kopējās lauksaimniecības politikas ietvaros. Turklāt, kā tas izriet no šīs regulas septītā apsvēruma, tās mērķis ir paredzēt vispārējus noteikumus šādam nozaru regulējumam”. Eiropas Savienības Tiesas 2009.gada 2.aprīļa sprieduma lietā </w:t>
      </w:r>
      <w:r w:rsidRPr="000B6CE0">
        <w:rPr>
          <w:rFonts w:eastAsia="Times New Roman" w:cs="Times New Roman"/>
          <w:i/>
          <w:iCs/>
          <w:color w:val="000000"/>
          <w:szCs w:val="24"/>
          <w:lang w:eastAsia="lv-LV"/>
        </w:rPr>
        <w:t>A</w:t>
      </w:r>
      <w:r w:rsidRPr="000B6CE0">
        <w:rPr>
          <w:rFonts w:eastAsia="Times New Roman" w:cs="Times New Roman"/>
          <w:color w:val="000000"/>
          <w:szCs w:val="24"/>
          <w:lang w:eastAsia="lv-LV"/>
        </w:rPr>
        <w:t>., C-523/07,</w:t>
      </w:r>
      <w:r w:rsidR="0014713A" w:rsidRPr="000B6CE0">
        <w:rPr>
          <w:rFonts w:eastAsia="Times New Roman" w:cs="Times New Roman"/>
          <w:color w:val="000000"/>
          <w:szCs w:val="24"/>
          <w:lang w:eastAsia="lv-LV"/>
        </w:rPr>
        <w:t xml:space="preserve"> </w:t>
      </w:r>
      <w:hyperlink r:id="rId11" w:tgtFrame="_blank" w:history="1">
        <w:r w:rsidRPr="000B6CE0">
          <w:rPr>
            <w:rFonts w:eastAsia="Times New Roman" w:cs="Times New Roman"/>
            <w:color w:val="0000FF"/>
            <w:szCs w:val="24"/>
            <w:u w:val="single"/>
            <w:lang w:eastAsia="lv-LV"/>
          </w:rPr>
          <w:t>ECLI:EU:C:2009:225,</w:t>
        </w:r>
      </w:hyperlink>
      <w:r w:rsidR="0014713A" w:rsidRPr="000B6CE0">
        <w:rPr>
          <w:rFonts w:eastAsia="Times New Roman" w:cs="Times New Roman"/>
          <w:color w:val="000000"/>
          <w:szCs w:val="24"/>
          <w:lang w:eastAsia="lv-LV"/>
        </w:rPr>
        <w:t xml:space="preserve"> </w:t>
      </w:r>
      <w:r w:rsidRPr="000B6CE0">
        <w:rPr>
          <w:rFonts w:eastAsia="Times New Roman" w:cs="Times New Roman"/>
          <w:color w:val="000000"/>
          <w:szCs w:val="24"/>
          <w:lang w:eastAsia="lv-LV"/>
        </w:rPr>
        <w:t>attiecībā uz Regulu (EK) Nr.2201/2003 par jurisdikciju un spriedumu atzīšanu un izpildi laulības lietās</w:t>
      </w:r>
      <w:r w:rsidRPr="0037519F">
        <w:rPr>
          <w:rFonts w:eastAsia="Times New Roman" w:cs="Times New Roman"/>
          <w:color w:val="000000"/>
          <w:szCs w:val="24"/>
          <w:lang w:eastAsia="lv-LV"/>
        </w:rPr>
        <w:t xml:space="preserve"> un lietās par vecāku atbildību un par Regulas (EK) Nr.1347/2000 atcelšanu 37.punktā teikts, ka „pastāvīgās dzīvesvietas” tulkojums nav vienāds visiem ES tiesību aktiem. Bērna pastāvīgā dzīvesvieta Regulas 8.panta 1.punkta izpratnē ir nosakāma, pamatojoties uz visiem katrā konkrētā gadījumā pastāvošajiem faktiskajiem apstākļiem. Tā kā Regulas 8.panta 1.punktā nav paredzēta neviena tieša norāde uz dalībvalstu tiesībām, lai noteiktu „pastāvīgās dzīvesvietas” jēdziena saturu un piemērošanas jomu, šī noteikšana ir jāveic, ņemot vērā normas kontekstu un Regulas mērķi, it īpaši to, kas izriet no tās divpadsmitā apsvēruma, ar kuru saskaņā tajā paredzētie piekritības noteikumi ir izveidoti, ņemot vērā bērna intereses un it īpaši tuvuma kritēriju (minētā sprieduma 35.punkts)).</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Attiecībā uz jēdzienu „pastāvīgā dzīvesvieta” Mantošanas regulas preambulas 23.apsvērums noteic, ka, ņemot vērā iedzīvotāju arvien pieaugošo mobilitāti un, lai Savienībā nodrošinātu pareizu tiesu organizāciju un reālu piesaisti starp mantojumu un dalībvalsti, kurā īsteno jurisdikciju, šajā regulā būtu jāparedz, ka vispārējs piesaistes kritērijs, lai noteiktu gan jurisdikciju, gan piemērojamos tiesību aktus, ir mirušā pastāvīgā dzīvesvieta nāves brīdī. Lai noteiktu pastāvīgo dzīvesvietu, iestādei, kura nodarbojas ar mantošanas lietu, būtu vispārēji jāizvērtē mirušā dzīves apstākļi gados pirms viņa nāves un nāves brīdī, ņemot vērā visus attiecīgos faktiskos apstākļus, jo īpaši mirušā uzturēšanās attiecīgajā valstī ilgumu un regularitāti, kā arī šādas uzturēšanās apstākļus un iemeslus. Šādi noteiktai pastāvīgajai dzīvesvietai būtu jāatspoguļo cieša un stabila saikne ar attiecīgo valsti, ievērojot šīs regulas īpašos mērķus. Preambulas 24.apsvērumā noteikts, ka dažos gadījumos noteikt mirušā pastāvīgo dzīvesvietu varētu būt sarežģīti. Tāds jo īpaši varētu būt gadījums, kad mirušais profesionālu vai ekonomisku iemeslu dēļ bija devies dzīvot uz citu valsti, lai tur strādātu, dažkārt uz ilgu laiku, bet bija saglabājis ciešu un stabilu saikni ar savu izcelsmes valsti. Šādā gadījumā atkarībā no lietas apstākļiem varētu uzskatīt, ka mirušā pastāvīgā dzīvesvieta joprojām ir bijusi viņa izcelsmes valsts, kurā atradās viņa ģimenes interešu centrs un norisinājās viņa sociālā dzīve. Citi sarežģīti gadījumi var būt tādi, kad mirušais dzīvojis pārmaiņus vairākās </w:t>
      </w:r>
      <w:r w:rsidRPr="0037519F">
        <w:rPr>
          <w:rFonts w:eastAsia="Times New Roman" w:cs="Times New Roman"/>
          <w:color w:val="000000"/>
          <w:szCs w:val="24"/>
          <w:lang w:eastAsia="lv-LV"/>
        </w:rPr>
        <w:lastRenderedPageBreak/>
        <w:t>valstīs, vai arī ceļojis no valsts uz valsti, nevienā no tām neapmetoties uz pastāvīgu dzīvi. Ja mirušais bijis kādas minētās valsts pilsonis vai arī kādā no minētajām valstīm atradusies visa viņa galvenā manta, tad viņa pilsonība vai minētās mantas atrašanās vieta varētu būt īpašs faktors visu faktisko apstākļu vispārējā izvērtēšanā.</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Augstākā tiesa piekrīt blakus sūdzībā norādītajam, ka, </w:t>
      </w:r>
      <w:proofErr w:type="gramStart"/>
      <w:r w:rsidRPr="0037519F">
        <w:rPr>
          <w:rFonts w:eastAsia="Times New Roman" w:cs="Times New Roman"/>
          <w:color w:val="000000"/>
          <w:szCs w:val="24"/>
          <w:lang w:eastAsia="lv-LV"/>
        </w:rPr>
        <w:t>lai noteiktu mirušā pastāvīgo dzīvesvietu nāves brīdī ir</w:t>
      </w:r>
      <w:proofErr w:type="gramEnd"/>
      <w:r w:rsidRPr="0037519F">
        <w:rPr>
          <w:rFonts w:eastAsia="Times New Roman" w:cs="Times New Roman"/>
          <w:color w:val="000000"/>
          <w:szCs w:val="24"/>
          <w:lang w:eastAsia="lv-LV"/>
        </w:rPr>
        <w:t xml:space="preserve"> jākonstatē apstākļi un fakti, kas liecina par personas ciešu un stabilu saikni ar attiecīgo valsti, t.i., kur atrodas personas ģimenes, sociālais, kultūras, finanšu un ekonomisko interešu centrs. Turklāt Mantošanas regulas izpratnē nevienam no šiem faktiem nav dota prioritāra nozīme un neviens no tiem pats par sevi nepierāda personas pastāvīgo dzīvesvietu, jebkura fakta nozīmīgums (nenozīmīgums) rodas tikai kontekstā un kopsakarībā ar citiem faktiem (</w:t>
      </w:r>
      <w:r w:rsidRPr="0037519F">
        <w:rPr>
          <w:rFonts w:eastAsia="Times New Roman" w:cs="Times New Roman"/>
          <w:i/>
          <w:iCs/>
          <w:color w:val="000000"/>
          <w:szCs w:val="24"/>
          <w:lang w:eastAsia="lv-LV"/>
        </w:rPr>
        <w:t>sk. Krūmiņa I. Romas IV regula – jauns regulējums pārrobežu mantojuma lietās. Jurista Vārds, 21.05.2013., Nr. 20</w:t>
      </w:r>
      <w:r w:rsidRPr="0037519F">
        <w:rPr>
          <w:rFonts w:eastAsia="Times New Roman" w:cs="Times New Roman"/>
          <w:color w:val="000000"/>
          <w:szCs w:val="24"/>
          <w:lang w:eastAsia="lv-LV"/>
        </w:rPr>
        <w:t>).</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[9.4] Lietas materiāliem ir pievienota izziņa, ka </w:t>
      </w:r>
      <w:r w:rsidR="0014713A">
        <w:rPr>
          <w:rFonts w:eastAsia="Times New Roman" w:cs="Times New Roman"/>
          <w:color w:val="000000"/>
          <w:szCs w:val="24"/>
          <w:lang w:eastAsia="lv-LV"/>
        </w:rPr>
        <w:t>[pers. C]</w:t>
      </w:r>
      <w:r w:rsidRPr="0037519F">
        <w:rPr>
          <w:rFonts w:eastAsia="Times New Roman" w:cs="Times New Roman"/>
          <w:color w:val="000000"/>
          <w:szCs w:val="24"/>
          <w:lang w:eastAsia="lv-LV"/>
        </w:rPr>
        <w:t xml:space="preserve"> reģistrētā dzīvesvieta bijusi Maskavā (</w:t>
      </w:r>
      <w:r w:rsidRPr="0037519F">
        <w:rPr>
          <w:rFonts w:eastAsia="Times New Roman" w:cs="Times New Roman"/>
          <w:i/>
          <w:iCs/>
          <w:color w:val="000000"/>
          <w:szCs w:val="24"/>
          <w:lang w:eastAsia="lv-LV"/>
        </w:rPr>
        <w:t>lietas 24.-</w:t>
      </w:r>
      <w:proofErr w:type="gramStart"/>
      <w:r w:rsidRPr="0037519F">
        <w:rPr>
          <w:rFonts w:eastAsia="Times New Roman" w:cs="Times New Roman"/>
          <w:i/>
          <w:iCs/>
          <w:color w:val="000000"/>
          <w:szCs w:val="24"/>
          <w:lang w:eastAsia="lv-LV"/>
        </w:rPr>
        <w:t>25.lapa</w:t>
      </w:r>
      <w:proofErr w:type="gramEnd"/>
      <w:r w:rsidRPr="0037519F">
        <w:rPr>
          <w:rFonts w:eastAsia="Times New Roman" w:cs="Times New Roman"/>
          <w:color w:val="000000"/>
          <w:szCs w:val="24"/>
          <w:lang w:eastAsia="lv-LV"/>
        </w:rPr>
        <w:t xml:space="preserve">), Maskava kā </w:t>
      </w:r>
      <w:r w:rsidR="0014713A">
        <w:rPr>
          <w:rFonts w:eastAsia="Times New Roman" w:cs="Times New Roman"/>
          <w:color w:val="000000"/>
          <w:szCs w:val="24"/>
          <w:lang w:eastAsia="lv-LV"/>
        </w:rPr>
        <w:t xml:space="preserve">[pers. C] </w:t>
      </w:r>
      <w:r w:rsidRPr="0037519F">
        <w:rPr>
          <w:rFonts w:eastAsia="Times New Roman" w:cs="Times New Roman"/>
          <w:color w:val="000000"/>
          <w:szCs w:val="24"/>
          <w:lang w:eastAsia="lv-LV"/>
        </w:rPr>
        <w:t>dzīvesvieta minēta Maskavas notāra vēstulē (</w:t>
      </w:r>
      <w:r w:rsidRPr="0037519F">
        <w:rPr>
          <w:rFonts w:eastAsia="Times New Roman" w:cs="Times New Roman"/>
          <w:i/>
          <w:iCs/>
          <w:color w:val="000000"/>
          <w:szCs w:val="24"/>
          <w:lang w:eastAsia="lv-LV"/>
        </w:rPr>
        <w:t>lietas 18. un 20.lapa</w:t>
      </w:r>
      <w:r w:rsidRPr="0037519F">
        <w:rPr>
          <w:rFonts w:eastAsia="Times New Roman" w:cs="Times New Roman"/>
          <w:color w:val="000000"/>
          <w:szCs w:val="24"/>
          <w:lang w:eastAsia="lv-LV"/>
        </w:rPr>
        <w:t xml:space="preserve">), </w:t>
      </w:r>
      <w:r w:rsidR="0014713A" w:rsidRPr="005216C4">
        <w:rPr>
          <w:rFonts w:eastAsia="Times New Roman" w:cs="Times New Roman"/>
          <w:color w:val="000000"/>
          <w:szCs w:val="24"/>
          <w:lang w:eastAsia="lv-LV"/>
        </w:rPr>
        <w:t xml:space="preserve">[pers. C] </w:t>
      </w:r>
      <w:r w:rsidRPr="005216C4">
        <w:rPr>
          <w:rFonts w:eastAsia="Times New Roman" w:cs="Times New Roman"/>
          <w:color w:val="000000"/>
          <w:szCs w:val="24"/>
          <w:lang w:eastAsia="lv-LV"/>
        </w:rPr>
        <w:t>mantinieki</w:t>
      </w:r>
      <w:r w:rsidRPr="0037519F">
        <w:rPr>
          <w:rFonts w:eastAsia="Times New Roman" w:cs="Times New Roman"/>
          <w:color w:val="000000"/>
          <w:szCs w:val="24"/>
          <w:lang w:eastAsia="lv-LV"/>
        </w:rPr>
        <w:t xml:space="preserve">, pēc kuru iesnieguma notāre uzsākusi mantojuma lietu Latvijā, norādījuši viņa pēdējo dzīvesvietu Latvijā, </w:t>
      </w:r>
      <w:r w:rsidR="005216C4">
        <w:rPr>
          <w:rFonts w:eastAsia="Times New Roman" w:cs="Times New Roman"/>
          <w:color w:val="000000"/>
          <w:szCs w:val="24"/>
          <w:lang w:eastAsia="lv-LV"/>
        </w:rPr>
        <w:t>[adrese]</w:t>
      </w:r>
      <w:r w:rsidRPr="0037519F">
        <w:rPr>
          <w:rFonts w:eastAsia="Times New Roman" w:cs="Times New Roman"/>
          <w:color w:val="000000"/>
          <w:szCs w:val="24"/>
          <w:lang w:eastAsia="lv-LV"/>
        </w:rPr>
        <w:t xml:space="preserve"> (</w:t>
      </w:r>
      <w:r w:rsidRPr="0037519F">
        <w:rPr>
          <w:rFonts w:eastAsia="Times New Roman" w:cs="Times New Roman"/>
          <w:i/>
          <w:iCs/>
          <w:color w:val="000000"/>
          <w:szCs w:val="24"/>
          <w:lang w:eastAsia="lv-LV"/>
        </w:rPr>
        <w:t>lietas 38.-39.lapa</w:t>
      </w:r>
      <w:r w:rsidRPr="0037519F">
        <w:rPr>
          <w:rFonts w:eastAsia="Times New Roman" w:cs="Times New Roman"/>
          <w:color w:val="000000"/>
          <w:szCs w:val="24"/>
          <w:lang w:eastAsia="lv-LV"/>
        </w:rPr>
        <w:t xml:space="preserve">), Vācijā izdotajā </w:t>
      </w:r>
      <w:r w:rsidR="005216C4">
        <w:rPr>
          <w:rFonts w:eastAsia="Times New Roman" w:cs="Times New Roman"/>
          <w:color w:val="000000"/>
          <w:szCs w:val="24"/>
          <w:lang w:eastAsia="lv-LV"/>
        </w:rPr>
        <w:t xml:space="preserve">[pers. C] </w:t>
      </w:r>
      <w:r w:rsidRPr="0037519F">
        <w:rPr>
          <w:rFonts w:eastAsia="Times New Roman" w:cs="Times New Roman"/>
          <w:color w:val="000000"/>
          <w:szCs w:val="24"/>
          <w:lang w:eastAsia="lv-LV"/>
        </w:rPr>
        <w:t>miršanas apliecībā viņa pēdējā dzīvesvieta norādīta Maskavā (</w:t>
      </w:r>
      <w:r w:rsidRPr="0037519F">
        <w:rPr>
          <w:rFonts w:eastAsia="Times New Roman" w:cs="Times New Roman"/>
          <w:i/>
          <w:iCs/>
          <w:color w:val="000000"/>
          <w:szCs w:val="24"/>
          <w:lang w:eastAsia="lv-LV"/>
        </w:rPr>
        <w:t>lietas 70.lapa</w:t>
      </w:r>
      <w:r w:rsidRPr="0037519F">
        <w:rPr>
          <w:rFonts w:eastAsia="Times New Roman" w:cs="Times New Roman"/>
          <w:color w:val="000000"/>
          <w:szCs w:val="24"/>
          <w:lang w:eastAsia="lv-LV"/>
        </w:rPr>
        <w:t xml:space="preserve">), notāres paskaidrojumu tiesai otrās lapas septītajā rindkopā minēts, ka mantinieki (domājams bērni) mantojuma lietā iesnieguši dokumentus, ka </w:t>
      </w:r>
      <w:r w:rsidR="005216C4">
        <w:rPr>
          <w:rFonts w:eastAsia="Times New Roman" w:cs="Times New Roman"/>
          <w:color w:val="000000"/>
          <w:szCs w:val="24"/>
          <w:lang w:eastAsia="lv-LV"/>
        </w:rPr>
        <w:t xml:space="preserve">[pers. C] </w:t>
      </w:r>
      <w:r w:rsidRPr="0037519F">
        <w:rPr>
          <w:rFonts w:eastAsia="Times New Roman" w:cs="Times New Roman"/>
          <w:color w:val="000000"/>
          <w:szCs w:val="24"/>
          <w:lang w:eastAsia="lv-LV"/>
        </w:rPr>
        <w:t>ir Andoras Firstistes rezidents, kurš pēdējos savas dzīves gadus pastāvīgi dzīvoja Minhenē, kas ir viņa miršanas vieta (</w:t>
      </w:r>
      <w:r w:rsidRPr="0037519F">
        <w:rPr>
          <w:rFonts w:eastAsia="Times New Roman" w:cs="Times New Roman"/>
          <w:i/>
          <w:iCs/>
          <w:color w:val="000000"/>
          <w:szCs w:val="24"/>
          <w:lang w:eastAsia="lv-LV"/>
        </w:rPr>
        <w:t>lietas 36.lapa</w:t>
      </w:r>
      <w:r w:rsidRPr="0037519F">
        <w:rPr>
          <w:rFonts w:eastAsia="Times New Roman" w:cs="Times New Roman"/>
          <w:color w:val="000000"/>
          <w:szCs w:val="24"/>
          <w:lang w:eastAsia="lv-LV"/>
        </w:rPr>
        <w:t>). Piedevām no notāres 2018.gada 20.aprīļa paskaidrojumiem izriet, ka viņas rīcībā ir pierādījumi, kas liecina par mirušā ciešu saikni ar Spānijas Karalisti (</w:t>
      </w:r>
      <w:r w:rsidRPr="0037519F">
        <w:rPr>
          <w:rFonts w:eastAsia="Times New Roman" w:cs="Times New Roman"/>
          <w:i/>
          <w:iCs/>
          <w:color w:val="000000"/>
          <w:szCs w:val="24"/>
          <w:lang w:eastAsia="lv-LV"/>
        </w:rPr>
        <w:t>lietas 145.-149.lapa</w:t>
      </w:r>
      <w:r w:rsidRPr="0037519F">
        <w:rPr>
          <w:rFonts w:eastAsia="Times New Roman" w:cs="Times New Roman"/>
          <w:color w:val="000000"/>
          <w:szCs w:val="24"/>
          <w:lang w:eastAsia="lv-LV"/>
        </w:rPr>
        <w:t>).</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Neraugoties uz to, ka lietā ir dokumenti, kas satur dažādas ziņas par vairākām </w:t>
      </w:r>
      <w:r w:rsidR="005216C4">
        <w:rPr>
          <w:rFonts w:eastAsia="Times New Roman" w:cs="Times New Roman"/>
          <w:color w:val="000000"/>
          <w:szCs w:val="24"/>
          <w:lang w:eastAsia="lv-LV"/>
        </w:rPr>
        <w:t xml:space="preserve">[pers. C] </w:t>
      </w:r>
      <w:r w:rsidRPr="0037519F">
        <w:rPr>
          <w:rFonts w:eastAsia="Times New Roman" w:cs="Times New Roman"/>
          <w:color w:val="000000"/>
          <w:szCs w:val="24"/>
          <w:lang w:eastAsia="lv-LV"/>
        </w:rPr>
        <w:t>dzīvesvietām, nedz notāre, nedz arī tiesa nevienu no tām pastāvīgās dzīvesvietas kritēriju kontekstā nav izvērtējusi. Vēl jo vairāk, tiesa pārsūdzētajā lēmumā norādījusi, ka likums tādu pienākumu notāram neuzliek, kas ir klajā pretrunā ar Mantošanas regulas preambulas 23.punktā noteikto.</w:t>
      </w:r>
    </w:p>
    <w:p w:rsidR="0037519F" w:rsidRPr="000B6CE0"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Turklāt norāde pārsūdzētajā lēmumā, ka faktiski nav strīda par </w:t>
      </w:r>
      <w:r w:rsidR="005216C4">
        <w:rPr>
          <w:rFonts w:eastAsia="Times New Roman" w:cs="Times New Roman"/>
          <w:color w:val="000000"/>
          <w:szCs w:val="24"/>
          <w:lang w:eastAsia="lv-LV"/>
        </w:rPr>
        <w:t xml:space="preserve">[pers. C] </w:t>
      </w:r>
      <w:r w:rsidRPr="0037519F">
        <w:rPr>
          <w:rFonts w:eastAsia="Times New Roman" w:cs="Times New Roman"/>
          <w:color w:val="000000"/>
          <w:szCs w:val="24"/>
          <w:lang w:eastAsia="lv-LV"/>
        </w:rPr>
        <w:t xml:space="preserve">pēdējo pastāvīgo dzīvesvietu Andoras Firstistē, izdarīta bez jebkādas lietā esošajos dokumentos ietverto ziņu analīzes un argumentācijas. Būtībā mirušā pastāvīgā dzīvesvieta nāves brīdī, kas ir vispārējais piesaistes kritērijs, lai noteiktu gan jurisdikciju, gan piemērojamos tiesību aktus, vispār nav skaidrota. Minētais, kā uzskata Augstākā tiesa, liecina gan par Civilprocesa likuma </w:t>
      </w:r>
      <w:proofErr w:type="gramStart"/>
      <w:r w:rsidRPr="0037519F">
        <w:rPr>
          <w:rFonts w:eastAsia="Times New Roman" w:cs="Times New Roman"/>
          <w:color w:val="000000"/>
          <w:szCs w:val="24"/>
          <w:lang w:eastAsia="lv-LV"/>
        </w:rPr>
        <w:t>97.panta</w:t>
      </w:r>
      <w:proofErr w:type="gramEnd"/>
      <w:r w:rsidRPr="0037519F">
        <w:rPr>
          <w:rFonts w:eastAsia="Times New Roman" w:cs="Times New Roman"/>
          <w:color w:val="000000"/>
          <w:szCs w:val="24"/>
          <w:lang w:eastAsia="lv-LV"/>
        </w:rPr>
        <w:t xml:space="preserve"> trešās daļas (</w:t>
      </w:r>
      <w:r w:rsidRPr="0037519F">
        <w:rPr>
          <w:rFonts w:eastAsia="Times New Roman" w:cs="Times New Roman"/>
          <w:i/>
          <w:iCs/>
          <w:color w:val="000000"/>
          <w:szCs w:val="24"/>
          <w:lang w:eastAsia="lv-LV"/>
        </w:rPr>
        <w:t>kas uzliek tiesai pienākumu norādīt, kādēļ tā vienam pierādījumam devusi priekšroku salīdzinājumā ar citu pierādījumu un atzinusi vienus faktus par pierādītiem, bet citus – par nepierādītiem</w:t>
      </w:r>
      <w:r w:rsidRPr="0037519F">
        <w:rPr>
          <w:rFonts w:eastAsia="Times New Roman" w:cs="Times New Roman"/>
          <w:color w:val="000000"/>
          <w:szCs w:val="24"/>
          <w:lang w:eastAsia="lv-LV"/>
        </w:rPr>
        <w:t xml:space="preserve">), gan </w:t>
      </w:r>
      <w:r w:rsidRPr="000B6CE0">
        <w:rPr>
          <w:rFonts w:eastAsia="Times New Roman" w:cs="Times New Roman"/>
          <w:color w:val="000000"/>
          <w:szCs w:val="24"/>
          <w:lang w:eastAsia="lv-LV"/>
        </w:rPr>
        <w:t>230.panta ceturtās daļas (</w:t>
      </w:r>
      <w:r w:rsidRPr="000B6CE0">
        <w:rPr>
          <w:rFonts w:eastAsia="Times New Roman" w:cs="Times New Roman"/>
          <w:i/>
          <w:iCs/>
          <w:color w:val="000000"/>
          <w:szCs w:val="24"/>
          <w:lang w:eastAsia="lv-LV"/>
        </w:rPr>
        <w:t>kas uzliek tiesai pienākumu lēmuma motīvu daļā norādīt konstatētos faktus, pierādījumus, uz kuriem pamatoti tiesas vai tiesneša secinājumi un argumenti</w:t>
      </w:r>
      <w:r w:rsidRPr="000B6CE0">
        <w:rPr>
          <w:rFonts w:eastAsia="Times New Roman" w:cs="Times New Roman"/>
          <w:color w:val="000000"/>
          <w:szCs w:val="24"/>
          <w:lang w:eastAsia="lv-LV"/>
        </w:rPr>
        <w:t>) pārkāpumu.</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0B6CE0">
        <w:rPr>
          <w:rFonts w:eastAsia="Times New Roman" w:cs="Times New Roman"/>
          <w:color w:val="000000"/>
          <w:szCs w:val="24"/>
          <w:lang w:eastAsia="lv-LV"/>
        </w:rPr>
        <w:t xml:space="preserve">[9.5] Tāpat par pamatotiem Augstākā tiesa atzīst blakus sūdzības argumentus attiecībā uz Notariāta likuma </w:t>
      </w:r>
      <w:proofErr w:type="gramStart"/>
      <w:r w:rsidRPr="000B6CE0">
        <w:rPr>
          <w:rFonts w:eastAsia="Times New Roman" w:cs="Times New Roman"/>
          <w:color w:val="000000"/>
          <w:szCs w:val="24"/>
          <w:lang w:eastAsia="lv-LV"/>
        </w:rPr>
        <w:t>205.panta</w:t>
      </w:r>
      <w:proofErr w:type="gramEnd"/>
      <w:r w:rsidRPr="000B6CE0">
        <w:rPr>
          <w:rFonts w:eastAsia="Times New Roman" w:cs="Times New Roman"/>
          <w:color w:val="000000"/>
          <w:szCs w:val="24"/>
          <w:lang w:eastAsia="lv-LV"/>
        </w:rPr>
        <w:t xml:space="preserve"> tvērumu</w:t>
      </w:r>
      <w:r w:rsidRPr="0037519F">
        <w:rPr>
          <w:rFonts w:eastAsia="Times New Roman" w:cs="Times New Roman"/>
          <w:color w:val="000000"/>
          <w:szCs w:val="24"/>
          <w:lang w:eastAsia="lv-LV"/>
        </w:rPr>
        <w:t>.</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No notāres </w:t>
      </w:r>
      <w:proofErr w:type="gramStart"/>
      <w:r w:rsidRPr="0037519F">
        <w:rPr>
          <w:rFonts w:eastAsia="Times New Roman" w:cs="Times New Roman"/>
          <w:color w:val="000000"/>
          <w:szCs w:val="24"/>
          <w:lang w:eastAsia="lv-LV"/>
        </w:rPr>
        <w:t>2017.gada</w:t>
      </w:r>
      <w:proofErr w:type="gramEnd"/>
      <w:r w:rsidRPr="0037519F">
        <w:rPr>
          <w:rFonts w:eastAsia="Times New Roman" w:cs="Times New Roman"/>
          <w:color w:val="000000"/>
          <w:szCs w:val="24"/>
          <w:lang w:eastAsia="lv-LV"/>
        </w:rPr>
        <w:t xml:space="preserve"> 28.septembra lēmumā mantojuma lietā Nr.</w:t>
      </w:r>
      <w:r w:rsidR="005216C4">
        <w:rPr>
          <w:rFonts w:eastAsia="Times New Roman" w:cs="Times New Roman"/>
          <w:color w:val="000000"/>
          <w:szCs w:val="24"/>
          <w:lang w:eastAsia="lv-LV"/>
        </w:rPr>
        <w:t>[..]</w:t>
      </w:r>
      <w:r w:rsidRPr="0037519F">
        <w:rPr>
          <w:rFonts w:eastAsia="Times New Roman" w:cs="Times New Roman"/>
          <w:color w:val="000000"/>
          <w:szCs w:val="24"/>
          <w:lang w:eastAsia="lv-LV"/>
        </w:rPr>
        <w:t xml:space="preserve"> (</w:t>
      </w:r>
      <w:r w:rsidRPr="0037519F">
        <w:rPr>
          <w:rFonts w:eastAsia="Times New Roman" w:cs="Times New Roman"/>
          <w:i/>
          <w:iCs/>
          <w:color w:val="000000"/>
          <w:szCs w:val="24"/>
          <w:lang w:eastAsia="lv-LV"/>
        </w:rPr>
        <w:t>lietas 46.-47.lapa</w:t>
      </w:r>
      <w:r w:rsidRPr="0037519F">
        <w:rPr>
          <w:rFonts w:eastAsia="Times New Roman" w:cs="Times New Roman"/>
          <w:color w:val="000000"/>
          <w:szCs w:val="24"/>
          <w:lang w:eastAsia="lv-LV"/>
        </w:rPr>
        <w:t>) norādītā, ko apstiprina arī viņas paskaidrojumi tiesai (</w:t>
      </w:r>
      <w:r w:rsidRPr="0037519F">
        <w:rPr>
          <w:rFonts w:eastAsia="Times New Roman" w:cs="Times New Roman"/>
          <w:i/>
          <w:iCs/>
          <w:color w:val="000000"/>
          <w:szCs w:val="24"/>
          <w:lang w:eastAsia="lv-LV"/>
        </w:rPr>
        <w:t>lietas 35.-37.lapa</w:t>
      </w:r>
      <w:r w:rsidRPr="0037519F">
        <w:rPr>
          <w:rFonts w:eastAsia="Times New Roman" w:cs="Times New Roman"/>
          <w:color w:val="000000"/>
          <w:szCs w:val="24"/>
          <w:lang w:eastAsia="lv-LV"/>
        </w:rPr>
        <w:t xml:space="preserve">), izriet, ka notāre ir izdarījusi darbību – pieņēmusi lēmumu mantojuma lietā izsniegt Eiropas mantošanas apliecību, iekļaujot mantojuma masā īpašumus Spānijas </w:t>
      </w:r>
      <w:r w:rsidRPr="000B6CE0">
        <w:rPr>
          <w:rFonts w:eastAsia="Times New Roman" w:cs="Times New Roman"/>
          <w:color w:val="000000"/>
          <w:szCs w:val="24"/>
          <w:lang w:eastAsia="lv-LV"/>
        </w:rPr>
        <w:t xml:space="preserve">Karalistē. Tāda notāres darbība jeb rīcība, kuru ieinteresētās personas uzskata par nepareizu, ir Notariāta likuma 205.panta tvēruma objekts. Citu iespēju, kā apstrīdēt šādu notāra rīcību uzreiz pēc tam, kad personai kļuvis zināms par šādu rīcību, normatīvie akti vispār neparedz. Turklāt secinot, ka Latvijas zvērināts notārs ir </w:t>
      </w:r>
      <w:r w:rsidRPr="000B6CE0">
        <w:rPr>
          <w:rFonts w:eastAsia="Times New Roman" w:cs="Times New Roman"/>
          <w:color w:val="000000"/>
          <w:szCs w:val="24"/>
          <w:lang w:eastAsia="lv-LV"/>
        </w:rPr>
        <w:lastRenderedPageBreak/>
        <w:t>kompetents lemt par mantojumu saskaņā ar Mantošanas regulas 10.panta 2.punktu, tad tiesa nevarēja atzīt par pareizām notāres darbības attiecībā uz mantu, kas atrodas ārpus</w:t>
      </w:r>
      <w:r w:rsidRPr="0037519F">
        <w:rPr>
          <w:rFonts w:eastAsia="Times New Roman" w:cs="Times New Roman"/>
          <w:color w:val="000000"/>
          <w:szCs w:val="24"/>
          <w:lang w:eastAsia="lv-LV"/>
        </w:rPr>
        <w:t xml:space="preserve"> Latvijas robežām.</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[9.6] Sūdzību daļā par </w:t>
      </w:r>
      <w:proofErr w:type="gramStart"/>
      <w:r w:rsidRPr="0037519F">
        <w:rPr>
          <w:rFonts w:eastAsia="Times New Roman" w:cs="Times New Roman"/>
          <w:color w:val="000000"/>
          <w:szCs w:val="24"/>
          <w:lang w:eastAsia="lv-LV"/>
        </w:rPr>
        <w:t>2017.gada</w:t>
      </w:r>
      <w:proofErr w:type="gramEnd"/>
      <w:r w:rsidRPr="0037519F">
        <w:rPr>
          <w:rFonts w:eastAsia="Times New Roman" w:cs="Times New Roman"/>
          <w:color w:val="000000"/>
          <w:szCs w:val="24"/>
          <w:lang w:eastAsia="lv-LV"/>
        </w:rPr>
        <w:t xml:space="preserve"> 15.septembrī mantojuma atstājēja bērniem izsniegtās mantojuma apliecības atzīšanu par spēkā neesošu tiesa noraidījusi ar argumentu, ka starp mantiniekiem pastāv strīds par mantojuma tiesībām, kas risināms tiesā prasības kārtībā. Šajā sakarā norādāms, ka notāres rīcības, izdodot mantojuma apliecību, tiesiskuma izvērtēšanai primāri noskaidrojams, vai Latvijas tiesām (iestādēm) vispār ir jurisdikcija lemt par </w:t>
      </w:r>
      <w:r w:rsidR="005216C4">
        <w:rPr>
          <w:rFonts w:eastAsia="Times New Roman" w:cs="Times New Roman"/>
          <w:color w:val="000000"/>
          <w:szCs w:val="24"/>
          <w:lang w:eastAsia="lv-LV"/>
        </w:rPr>
        <w:t>[pers. C]</w:t>
      </w:r>
      <w:r w:rsidRPr="0037519F">
        <w:rPr>
          <w:rFonts w:eastAsia="Times New Roman" w:cs="Times New Roman"/>
          <w:color w:val="000000"/>
          <w:szCs w:val="24"/>
          <w:lang w:eastAsia="lv-LV"/>
        </w:rPr>
        <w:t xml:space="preserve"> mantojumu kādā tā daļā. Mantojuma apliecība, kuru izdevusi iestāde, pārkāpjot jurisdikcijas noteikumus, neizraisa nekādas tiesiskas sekas, tā ir spēkā neesoša no izdošanas brīža.</w:t>
      </w: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Apkopojot teikto, Rīgas apgabaltiesas lēmumu nevar atzīt par tiesisku un pamatotu, tādēļ tas atceļams un sūdzība nododama jaunai izskatīšanai Rīgas apgabaltiesai.</w:t>
      </w:r>
    </w:p>
    <w:p w:rsidR="0037519F" w:rsidRPr="0037519F" w:rsidRDefault="0037519F" w:rsidP="0037519F">
      <w:pPr>
        <w:spacing w:after="0" w:line="276" w:lineRule="auto"/>
        <w:rPr>
          <w:rFonts w:eastAsia="Times New Roman" w:cs="Times New Roman"/>
          <w:color w:val="000000"/>
          <w:szCs w:val="24"/>
          <w:lang w:eastAsia="lv-LV"/>
        </w:rPr>
      </w:pPr>
    </w:p>
    <w:p w:rsidR="0037519F" w:rsidRPr="0037519F" w:rsidRDefault="0037519F" w:rsidP="0037519F">
      <w:pPr>
        <w:spacing w:after="0" w:line="276" w:lineRule="auto"/>
        <w:jc w:val="center"/>
        <w:rPr>
          <w:rFonts w:eastAsia="Times New Roman" w:cs="Times New Roman"/>
          <w:color w:val="000000"/>
          <w:szCs w:val="24"/>
          <w:lang w:eastAsia="lv-LV"/>
        </w:rPr>
      </w:pPr>
      <w:r w:rsidRPr="0037519F">
        <w:rPr>
          <w:rFonts w:eastAsia="Times New Roman" w:cs="Times New Roman"/>
          <w:b/>
          <w:bCs/>
          <w:color w:val="000000"/>
          <w:szCs w:val="24"/>
          <w:lang w:eastAsia="lv-LV"/>
        </w:rPr>
        <w:t>Rezolutīvā daļa</w:t>
      </w:r>
    </w:p>
    <w:p w:rsidR="0037519F" w:rsidRPr="0037519F" w:rsidRDefault="0037519F" w:rsidP="0037519F">
      <w:pPr>
        <w:spacing w:after="0" w:line="276" w:lineRule="auto"/>
        <w:rPr>
          <w:rFonts w:eastAsia="Times New Roman" w:cs="Times New Roman"/>
          <w:color w:val="000000"/>
          <w:szCs w:val="24"/>
          <w:lang w:eastAsia="lv-LV"/>
        </w:rPr>
      </w:pPr>
    </w:p>
    <w:p w:rsidR="0037519F" w:rsidRPr="0037519F" w:rsidRDefault="0037519F" w:rsidP="0037519F">
      <w:pPr>
        <w:spacing w:after="0" w:line="276" w:lineRule="auto"/>
        <w:ind w:firstLine="720"/>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Pamatojoties uz Civilprocesa likuma </w:t>
      </w:r>
      <w:proofErr w:type="gramStart"/>
      <w:r w:rsidRPr="0037519F">
        <w:rPr>
          <w:rFonts w:eastAsia="Times New Roman" w:cs="Times New Roman"/>
          <w:color w:val="000000"/>
          <w:szCs w:val="24"/>
          <w:lang w:eastAsia="lv-LV"/>
        </w:rPr>
        <w:t>448.panta</w:t>
      </w:r>
      <w:proofErr w:type="gramEnd"/>
      <w:r w:rsidRPr="0037519F">
        <w:rPr>
          <w:rFonts w:eastAsia="Times New Roman" w:cs="Times New Roman"/>
          <w:color w:val="000000"/>
          <w:szCs w:val="24"/>
          <w:lang w:eastAsia="lv-LV"/>
        </w:rPr>
        <w:t xml:space="preserve"> pirmās daļas 2.punktu, Augstākā tiesa</w:t>
      </w:r>
    </w:p>
    <w:p w:rsidR="0037519F" w:rsidRPr="0037519F" w:rsidRDefault="0037519F" w:rsidP="0037519F">
      <w:pPr>
        <w:spacing w:after="0" w:line="276" w:lineRule="auto"/>
        <w:rPr>
          <w:rFonts w:eastAsia="Times New Roman" w:cs="Times New Roman"/>
          <w:color w:val="000000"/>
          <w:szCs w:val="24"/>
          <w:lang w:eastAsia="lv-LV"/>
        </w:rPr>
      </w:pPr>
    </w:p>
    <w:p w:rsidR="0037519F" w:rsidRPr="0037519F" w:rsidRDefault="0037519F" w:rsidP="0037519F">
      <w:pPr>
        <w:spacing w:after="0" w:line="276" w:lineRule="auto"/>
        <w:jc w:val="center"/>
        <w:rPr>
          <w:rFonts w:eastAsia="Times New Roman" w:cs="Times New Roman"/>
          <w:color w:val="000000"/>
          <w:szCs w:val="24"/>
          <w:lang w:eastAsia="lv-LV"/>
        </w:rPr>
      </w:pPr>
      <w:r w:rsidRPr="0037519F">
        <w:rPr>
          <w:rFonts w:eastAsia="Times New Roman" w:cs="Times New Roman"/>
          <w:b/>
          <w:bCs/>
          <w:color w:val="000000"/>
          <w:szCs w:val="24"/>
          <w:lang w:eastAsia="lv-LV"/>
        </w:rPr>
        <w:t>nolēma</w:t>
      </w:r>
    </w:p>
    <w:p w:rsidR="0037519F" w:rsidRPr="0037519F" w:rsidRDefault="0037519F" w:rsidP="0037519F">
      <w:pPr>
        <w:spacing w:after="0" w:line="276" w:lineRule="auto"/>
        <w:rPr>
          <w:rFonts w:eastAsia="Times New Roman" w:cs="Times New Roman"/>
          <w:color w:val="000000"/>
          <w:szCs w:val="24"/>
          <w:lang w:eastAsia="lv-LV"/>
        </w:rPr>
      </w:pPr>
    </w:p>
    <w:p w:rsidR="0037519F" w:rsidRPr="0037519F" w:rsidRDefault="0037519F" w:rsidP="0037519F">
      <w:pPr>
        <w:spacing w:after="0" w:line="276" w:lineRule="auto"/>
        <w:ind w:firstLine="567"/>
        <w:jc w:val="both"/>
        <w:rPr>
          <w:rFonts w:eastAsia="Times New Roman" w:cs="Times New Roman"/>
          <w:color w:val="000000"/>
          <w:szCs w:val="24"/>
          <w:lang w:eastAsia="lv-LV"/>
        </w:rPr>
      </w:pPr>
      <w:r w:rsidRPr="0037519F">
        <w:rPr>
          <w:rFonts w:eastAsia="Times New Roman" w:cs="Times New Roman"/>
          <w:color w:val="000000"/>
          <w:szCs w:val="24"/>
          <w:lang w:eastAsia="lv-LV"/>
        </w:rPr>
        <w:t xml:space="preserve">atcelt Rīgas apgabaltiesas Civillietu tiesas kolēģijas </w:t>
      </w:r>
      <w:proofErr w:type="gramStart"/>
      <w:r w:rsidRPr="0037519F">
        <w:rPr>
          <w:rFonts w:eastAsia="Times New Roman" w:cs="Times New Roman"/>
          <w:color w:val="000000"/>
          <w:szCs w:val="24"/>
          <w:lang w:eastAsia="lv-LV"/>
        </w:rPr>
        <w:t>2017.gada</w:t>
      </w:r>
      <w:proofErr w:type="gramEnd"/>
      <w:r w:rsidRPr="0037519F">
        <w:rPr>
          <w:rFonts w:eastAsia="Times New Roman" w:cs="Times New Roman"/>
          <w:color w:val="000000"/>
          <w:szCs w:val="24"/>
          <w:lang w:eastAsia="lv-LV"/>
        </w:rPr>
        <w:t xml:space="preserve"> 22.decembra lēmumu un lietu</w:t>
      </w:r>
      <w:r w:rsidR="001A3FE6">
        <w:rPr>
          <w:rFonts w:eastAsia="Times New Roman" w:cs="Times New Roman"/>
          <w:color w:val="000000"/>
          <w:szCs w:val="24"/>
          <w:lang w:eastAsia="lv-LV"/>
        </w:rPr>
        <w:t xml:space="preserve"> </w:t>
      </w:r>
      <w:r w:rsidRPr="0037519F">
        <w:rPr>
          <w:rFonts w:eastAsia="Times New Roman" w:cs="Times New Roman"/>
          <w:color w:val="000000"/>
          <w:szCs w:val="24"/>
          <w:lang w:eastAsia="lv-LV"/>
        </w:rPr>
        <w:t>nodot jaunai izskatīšanai tai pašai tiesai.</w:t>
      </w:r>
      <w:bookmarkStart w:id="1" w:name="_GoBack"/>
      <w:bookmarkEnd w:id="1"/>
    </w:p>
    <w:sectPr w:rsidR="0037519F" w:rsidRPr="0037519F" w:rsidSect="0037519F">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DD8" w:rsidRDefault="00022DD8" w:rsidP="00C2516B">
      <w:pPr>
        <w:spacing w:after="0" w:line="240" w:lineRule="auto"/>
      </w:pPr>
      <w:r>
        <w:separator/>
      </w:r>
    </w:p>
  </w:endnote>
  <w:endnote w:type="continuationSeparator" w:id="0">
    <w:p w:rsidR="00022DD8" w:rsidRDefault="00022DD8" w:rsidP="00C2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23" w:rsidRDefault="00910F23" w:rsidP="00432F36">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8</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DD8" w:rsidRDefault="00022DD8" w:rsidP="00C2516B">
      <w:pPr>
        <w:spacing w:after="0" w:line="240" w:lineRule="auto"/>
      </w:pPr>
      <w:r>
        <w:separator/>
      </w:r>
    </w:p>
  </w:footnote>
  <w:footnote w:type="continuationSeparator" w:id="0">
    <w:p w:rsidR="00022DD8" w:rsidRDefault="00022DD8" w:rsidP="00C251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20"/>
    <w:rsid w:val="00022DD8"/>
    <w:rsid w:val="000B6CE0"/>
    <w:rsid w:val="00127515"/>
    <w:rsid w:val="0014713A"/>
    <w:rsid w:val="00174DA6"/>
    <w:rsid w:val="001A3FE6"/>
    <w:rsid w:val="00207F72"/>
    <w:rsid w:val="002D7127"/>
    <w:rsid w:val="002F25AC"/>
    <w:rsid w:val="00301FEA"/>
    <w:rsid w:val="003461A8"/>
    <w:rsid w:val="00356897"/>
    <w:rsid w:val="0037519F"/>
    <w:rsid w:val="004258B7"/>
    <w:rsid w:val="00432F36"/>
    <w:rsid w:val="004F6ED6"/>
    <w:rsid w:val="005216C4"/>
    <w:rsid w:val="0056194F"/>
    <w:rsid w:val="005B5220"/>
    <w:rsid w:val="00630528"/>
    <w:rsid w:val="00727E0B"/>
    <w:rsid w:val="00806621"/>
    <w:rsid w:val="0086716C"/>
    <w:rsid w:val="008A1E9A"/>
    <w:rsid w:val="00902243"/>
    <w:rsid w:val="00910F23"/>
    <w:rsid w:val="00995225"/>
    <w:rsid w:val="00A81BE3"/>
    <w:rsid w:val="00A961E2"/>
    <w:rsid w:val="00AE4632"/>
    <w:rsid w:val="00B85532"/>
    <w:rsid w:val="00BF2816"/>
    <w:rsid w:val="00C118F9"/>
    <w:rsid w:val="00C2516B"/>
    <w:rsid w:val="00D32D5B"/>
    <w:rsid w:val="00E36D73"/>
    <w:rsid w:val="00E52C3E"/>
    <w:rsid w:val="00EA0E1E"/>
    <w:rsid w:val="00EC0004"/>
    <w:rsid w:val="00EF2E7A"/>
    <w:rsid w:val="00F44C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379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19F"/>
  </w:style>
  <w:style w:type="paragraph" w:styleId="Heading2">
    <w:name w:val="heading 2"/>
    <w:basedOn w:val="Normal"/>
    <w:link w:val="Heading2Char"/>
    <w:uiPriority w:val="9"/>
    <w:qFormat/>
    <w:rsid w:val="0037519F"/>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4258B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519F"/>
    <w:rPr>
      <w:rFonts w:eastAsia="Times New Roman" w:cs="Times New Roman"/>
      <w:b/>
      <w:bCs/>
      <w:sz w:val="36"/>
      <w:szCs w:val="36"/>
      <w:lang w:eastAsia="lv-LV"/>
    </w:rPr>
  </w:style>
  <w:style w:type="paragraph" w:styleId="NormalWeb">
    <w:name w:val="Normal (Web)"/>
    <w:basedOn w:val="Normal"/>
    <w:uiPriority w:val="99"/>
    <w:semiHidden/>
    <w:unhideWhenUsed/>
    <w:rsid w:val="0037519F"/>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37519F"/>
    <w:rPr>
      <w:color w:val="0000FF"/>
      <w:u w:val="single"/>
    </w:rPr>
  </w:style>
  <w:style w:type="character" w:customStyle="1" w:styleId="anonymisation">
    <w:name w:val="anonymisation"/>
    <w:basedOn w:val="DefaultParagraphFont"/>
    <w:rsid w:val="0037519F"/>
  </w:style>
  <w:style w:type="character" w:styleId="Strong">
    <w:name w:val="Strong"/>
    <w:basedOn w:val="DefaultParagraphFont"/>
    <w:uiPriority w:val="22"/>
    <w:qFormat/>
    <w:rsid w:val="0037519F"/>
    <w:rPr>
      <w:b/>
      <w:bCs/>
    </w:rPr>
  </w:style>
  <w:style w:type="paragraph" w:styleId="BodyText2">
    <w:name w:val="Body Text 2"/>
    <w:basedOn w:val="Normal"/>
    <w:link w:val="BodyText2Char"/>
    <w:uiPriority w:val="99"/>
    <w:semiHidden/>
    <w:unhideWhenUsed/>
    <w:rsid w:val="0037519F"/>
    <w:pPr>
      <w:spacing w:before="100" w:beforeAutospacing="1" w:after="100" w:afterAutospacing="1" w:line="24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semiHidden/>
    <w:rsid w:val="0037519F"/>
    <w:rPr>
      <w:rFonts w:eastAsia="Times New Roman" w:cs="Times New Roman"/>
      <w:szCs w:val="24"/>
      <w:lang w:eastAsia="lv-LV"/>
    </w:rPr>
  </w:style>
  <w:style w:type="paragraph" w:customStyle="1" w:styleId="tv213">
    <w:name w:val="tv213"/>
    <w:basedOn w:val="Normal"/>
    <w:rsid w:val="0037519F"/>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37519F"/>
    <w:rPr>
      <w:i/>
      <w:iCs/>
    </w:rPr>
  </w:style>
  <w:style w:type="paragraph" w:styleId="Header">
    <w:name w:val="header"/>
    <w:basedOn w:val="Normal"/>
    <w:link w:val="HeaderChar"/>
    <w:uiPriority w:val="99"/>
    <w:unhideWhenUsed/>
    <w:rsid w:val="00C251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516B"/>
  </w:style>
  <w:style w:type="paragraph" w:styleId="Footer">
    <w:name w:val="footer"/>
    <w:basedOn w:val="Normal"/>
    <w:link w:val="FooterChar"/>
    <w:uiPriority w:val="99"/>
    <w:unhideWhenUsed/>
    <w:rsid w:val="00C251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516B"/>
  </w:style>
  <w:style w:type="table" w:styleId="TableGrid">
    <w:name w:val="Table Grid"/>
    <w:basedOn w:val="TableNormal"/>
    <w:uiPriority w:val="59"/>
    <w:rsid w:val="00A9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127515"/>
    <w:pPr>
      <w:spacing w:before="100" w:beforeAutospacing="1" w:after="100" w:afterAutospacing="1" w:line="240" w:lineRule="auto"/>
    </w:pPr>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4258B7"/>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648057">
      <w:bodyDiv w:val="1"/>
      <w:marLeft w:val="0"/>
      <w:marRight w:val="0"/>
      <w:marTop w:val="0"/>
      <w:marBottom w:val="0"/>
      <w:divBdr>
        <w:top w:val="none" w:sz="0" w:space="0" w:color="auto"/>
        <w:left w:val="none" w:sz="0" w:space="0" w:color="auto"/>
        <w:bottom w:val="none" w:sz="0" w:space="0" w:color="auto"/>
        <w:right w:val="none" w:sz="0" w:space="0" w:color="auto"/>
      </w:divBdr>
    </w:div>
    <w:div w:id="595792988">
      <w:bodyDiv w:val="1"/>
      <w:marLeft w:val="0"/>
      <w:marRight w:val="0"/>
      <w:marTop w:val="0"/>
      <w:marBottom w:val="0"/>
      <w:divBdr>
        <w:top w:val="none" w:sz="0" w:space="0" w:color="auto"/>
        <w:left w:val="none" w:sz="0" w:space="0" w:color="auto"/>
        <w:bottom w:val="none" w:sz="0" w:space="0" w:color="auto"/>
        <w:right w:val="none" w:sz="0" w:space="0" w:color="auto"/>
      </w:divBdr>
    </w:div>
    <w:div w:id="872615113">
      <w:bodyDiv w:val="1"/>
      <w:marLeft w:val="0"/>
      <w:marRight w:val="0"/>
      <w:marTop w:val="0"/>
      <w:marBottom w:val="0"/>
      <w:divBdr>
        <w:top w:val="none" w:sz="0" w:space="0" w:color="auto"/>
        <w:left w:val="none" w:sz="0" w:space="0" w:color="auto"/>
        <w:bottom w:val="none" w:sz="0" w:space="0" w:color="auto"/>
        <w:right w:val="none" w:sz="0" w:space="0" w:color="auto"/>
      </w:divBdr>
    </w:div>
    <w:div w:id="1595095503">
      <w:bodyDiv w:val="1"/>
      <w:marLeft w:val="0"/>
      <w:marRight w:val="0"/>
      <w:marTop w:val="0"/>
      <w:marBottom w:val="0"/>
      <w:divBdr>
        <w:top w:val="none" w:sz="0" w:space="0" w:color="auto"/>
        <w:left w:val="none" w:sz="0" w:space="0" w:color="auto"/>
        <w:bottom w:val="none" w:sz="0" w:space="0" w:color="auto"/>
        <w:right w:val="none" w:sz="0" w:space="0" w:color="auto"/>
      </w:divBdr>
    </w:div>
    <w:div w:id="1718696735">
      <w:bodyDiv w:val="1"/>
      <w:marLeft w:val="0"/>
      <w:marRight w:val="0"/>
      <w:marTop w:val="0"/>
      <w:marBottom w:val="0"/>
      <w:divBdr>
        <w:top w:val="none" w:sz="0" w:space="0" w:color="auto"/>
        <w:left w:val="none" w:sz="0" w:space="0" w:color="auto"/>
        <w:bottom w:val="none" w:sz="0" w:space="0" w:color="auto"/>
        <w:right w:val="none" w:sz="0" w:space="0" w:color="auto"/>
      </w:divBdr>
    </w:div>
    <w:div w:id="18279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EU:C:1999:9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nas.tiesas.lv/eTiesasMvc/eclinolemumi/ECLI:EU:C:1991:16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427.C04002517.6.L" TargetMode="External"/><Relationship Id="rId11" Type="http://schemas.openxmlformats.org/officeDocument/2006/relationships/hyperlink" Target="https://manas.tiesas.lv/eTiesasMvc/eclinolemumi/ECLI:EU:C:2009:225," TargetMode="External"/><Relationship Id="rId5" Type="http://schemas.openxmlformats.org/officeDocument/2006/relationships/endnotes" Target="endnotes.xml"/><Relationship Id="rId10" Type="http://schemas.openxmlformats.org/officeDocument/2006/relationships/hyperlink" Target="https://manas.tiesas.lv/eTiesasMvc/eclinolemumi/ECLI:EU:C:2010:648" TargetMode="External"/><Relationship Id="rId4" Type="http://schemas.openxmlformats.org/officeDocument/2006/relationships/footnotes" Target="footnotes.xml"/><Relationship Id="rId9" Type="http://schemas.openxmlformats.org/officeDocument/2006/relationships/hyperlink" Target="https://manas.tiesas.lv/eTiesasMvc/eclinolemumi/ECLI:EU:C:2004:7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21820</Words>
  <Characters>12438</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2018-06-08T09:05:00Z</dcterms:created>
  <dcterms:modified xsi:type="dcterms:W3CDTF">2018-06-11T11:21:00Z</dcterms:modified>
</cp:coreProperties>
</file>