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7BEB8" w14:textId="77777777" w:rsidR="00E07FA6" w:rsidRDefault="0011179B" w:rsidP="00E07FA6">
      <w:pPr>
        <w:spacing w:line="276" w:lineRule="auto"/>
        <w:jc w:val="both"/>
        <w:rPr>
          <w:b/>
          <w:bCs/>
        </w:rPr>
      </w:pPr>
      <w:bookmarkStart w:id="0" w:name="OLE_LINK1"/>
      <w:bookmarkStart w:id="1" w:name="OLE_LINK2"/>
      <w:r>
        <w:rPr>
          <w:b/>
          <w:bCs/>
        </w:rPr>
        <w:t xml:space="preserve">Tiesības iepazīties ar pabeigtas krimināllietas materiāliem </w:t>
      </w:r>
    </w:p>
    <w:p w14:paraId="4175F8EF" w14:textId="0D5C8C03" w:rsidR="00345199" w:rsidRPr="00E07FA6" w:rsidRDefault="0011179B" w:rsidP="00E07FA6">
      <w:pPr>
        <w:spacing w:line="276" w:lineRule="auto"/>
        <w:jc w:val="both"/>
        <w:rPr>
          <w:b/>
          <w:bCs/>
        </w:rPr>
      </w:pPr>
      <w:r>
        <w:t xml:space="preserve">Pabeigta kriminālprocesa gadījumā liegums iepazīties ar krimināllietas materiāliem nevar būt </w:t>
      </w:r>
      <w:proofErr w:type="spellStart"/>
      <w:r>
        <w:t>pašmērķīgs</w:t>
      </w:r>
      <w:proofErr w:type="spellEnd"/>
      <w:r>
        <w:t xml:space="preserve">, bet tam jābūt vērstam uz konkrētu interešu aizsardzību. Tāpēc tiesības iepazīties ar krimināllietas materiāliem nav aplūkojamas, nepamatoti šauri, formāli koncentrējoties tikai uz personas kriminālprocesuālo statusu un nevērtējot to, kādu aizsargājamu interešu labad ir attaisnojams aizliegums personai iepazīties ar krimināllietas materiāliem. Tas, vai personai atzīstamas </w:t>
      </w:r>
      <w:proofErr w:type="gramStart"/>
      <w:r>
        <w:t>tiesības iepazīties ar krimināllietas materiāliem izvērtējams</w:t>
      </w:r>
      <w:proofErr w:type="gramEnd"/>
      <w:r>
        <w:t xml:space="preserve"> katrā konkrētā gadījumā. </w:t>
      </w:r>
    </w:p>
    <w:p w14:paraId="0EBBAE25" w14:textId="77777777" w:rsidR="00187329" w:rsidRPr="001B0840" w:rsidRDefault="00187329" w:rsidP="00345199">
      <w:pPr>
        <w:spacing w:line="276" w:lineRule="auto"/>
        <w:ind w:firstLine="567"/>
        <w:jc w:val="right"/>
      </w:pPr>
    </w:p>
    <w:bookmarkEnd w:id="0"/>
    <w:bookmarkEnd w:id="1"/>
    <w:p w14:paraId="65DBC38F" w14:textId="74F30C6B" w:rsidR="00345199" w:rsidRDefault="00345199" w:rsidP="00345199">
      <w:pPr>
        <w:spacing w:line="276" w:lineRule="auto"/>
        <w:ind w:firstLine="567"/>
        <w:jc w:val="center"/>
        <w:rPr>
          <w:b/>
        </w:rPr>
      </w:pPr>
      <w:r w:rsidRPr="001B0840">
        <w:rPr>
          <w:b/>
        </w:rPr>
        <w:t>Latvijas Republikas Augstākā</w:t>
      </w:r>
      <w:r w:rsidR="00187329">
        <w:rPr>
          <w:b/>
        </w:rPr>
        <w:t>s</w:t>
      </w:r>
      <w:r w:rsidRPr="001B0840">
        <w:rPr>
          <w:b/>
        </w:rPr>
        <w:t xml:space="preserve"> tiesa</w:t>
      </w:r>
      <w:r w:rsidR="00187329">
        <w:rPr>
          <w:b/>
        </w:rPr>
        <w:t>s</w:t>
      </w:r>
    </w:p>
    <w:p w14:paraId="2B306DEB" w14:textId="4E53FE89" w:rsidR="00187329" w:rsidRDefault="00187329" w:rsidP="00345199">
      <w:pPr>
        <w:spacing w:line="276" w:lineRule="auto"/>
        <w:ind w:firstLine="567"/>
        <w:jc w:val="center"/>
        <w:rPr>
          <w:b/>
        </w:rPr>
      </w:pPr>
      <w:r>
        <w:rPr>
          <w:b/>
        </w:rPr>
        <w:t>Administratīvo lietu departamenta</w:t>
      </w:r>
    </w:p>
    <w:p w14:paraId="0758A224" w14:textId="1A49484A" w:rsidR="00187329" w:rsidRPr="001B0840" w:rsidRDefault="00187329" w:rsidP="00345199">
      <w:pPr>
        <w:spacing w:line="276" w:lineRule="auto"/>
        <w:ind w:firstLine="567"/>
        <w:jc w:val="center"/>
        <w:rPr>
          <w:b/>
        </w:rPr>
      </w:pPr>
      <w:proofErr w:type="gramStart"/>
      <w:r>
        <w:rPr>
          <w:b/>
        </w:rPr>
        <w:t>2017.gada</w:t>
      </w:r>
      <w:proofErr w:type="gramEnd"/>
      <w:r>
        <w:rPr>
          <w:b/>
        </w:rPr>
        <w:t xml:space="preserve"> 21.decembra</w:t>
      </w:r>
    </w:p>
    <w:p w14:paraId="3AEA43E1" w14:textId="7A6C2AC7" w:rsidR="00345199" w:rsidRDefault="00345199" w:rsidP="00345199">
      <w:pPr>
        <w:spacing w:line="276" w:lineRule="auto"/>
        <w:ind w:firstLine="567"/>
        <w:jc w:val="center"/>
        <w:rPr>
          <w:b/>
        </w:rPr>
      </w:pPr>
      <w:r w:rsidRPr="001B0840">
        <w:rPr>
          <w:b/>
        </w:rPr>
        <w:t>SPRIEDUMS</w:t>
      </w:r>
    </w:p>
    <w:p w14:paraId="22B21253" w14:textId="1D95C9C7" w:rsidR="00187329" w:rsidRDefault="00187329" w:rsidP="00345199">
      <w:pPr>
        <w:spacing w:line="276" w:lineRule="auto"/>
        <w:ind w:firstLine="567"/>
        <w:jc w:val="center"/>
        <w:rPr>
          <w:b/>
        </w:rPr>
      </w:pPr>
      <w:r>
        <w:rPr>
          <w:b/>
        </w:rPr>
        <w:t>Lieta Nr. A420346515, SKA-453/2017</w:t>
      </w:r>
    </w:p>
    <w:p w14:paraId="1F2CC52C" w14:textId="60CBE4C3" w:rsidR="00187329" w:rsidRPr="00187329" w:rsidRDefault="00187329" w:rsidP="00345199">
      <w:pPr>
        <w:spacing w:line="276" w:lineRule="auto"/>
        <w:ind w:firstLine="567"/>
        <w:jc w:val="center"/>
        <w:rPr>
          <w:b/>
          <w:u w:val="single"/>
        </w:rPr>
      </w:pPr>
      <w:r w:rsidRPr="00187329">
        <w:rPr>
          <w:u w:val="single"/>
        </w:rPr>
        <w:t>ECLI:LV:AT:2017:1221.A420346515.2.S</w:t>
      </w:r>
    </w:p>
    <w:p w14:paraId="153E9B5B" w14:textId="77777777" w:rsidR="00345199" w:rsidRPr="001B0840" w:rsidRDefault="00345199" w:rsidP="00345199">
      <w:pPr>
        <w:spacing w:line="276" w:lineRule="auto"/>
        <w:ind w:firstLine="567"/>
        <w:jc w:val="center"/>
      </w:pPr>
    </w:p>
    <w:p w14:paraId="1DDAB9EB" w14:textId="77777777" w:rsidR="00345199" w:rsidRPr="001B0840" w:rsidRDefault="00345199" w:rsidP="00345199">
      <w:pPr>
        <w:spacing w:line="276" w:lineRule="auto"/>
        <w:ind w:firstLine="567"/>
        <w:jc w:val="both"/>
      </w:pPr>
      <w:r w:rsidRPr="001B0840">
        <w:t>Augstākā tiesa</w:t>
      </w:r>
      <w:r>
        <w:t xml:space="preserve"> </w:t>
      </w:r>
      <w:r w:rsidRPr="001B0840">
        <w:t xml:space="preserve">šādā sastāvā: </w:t>
      </w:r>
    </w:p>
    <w:p w14:paraId="6B1B2743" w14:textId="77777777" w:rsidR="00345199" w:rsidRPr="00710C5A" w:rsidRDefault="00345199" w:rsidP="00345199">
      <w:pPr>
        <w:tabs>
          <w:tab w:val="left" w:pos="2700"/>
        </w:tabs>
        <w:spacing w:line="276" w:lineRule="auto"/>
        <w:ind w:firstLine="567"/>
        <w:jc w:val="both"/>
      </w:pPr>
      <w:r w:rsidRPr="00710C5A">
        <w:t xml:space="preserve">tiesnese Ieva </w:t>
      </w:r>
      <w:bookmarkStart w:id="2" w:name="_GoBack"/>
      <w:bookmarkEnd w:id="2"/>
      <w:proofErr w:type="spellStart"/>
      <w:r w:rsidRPr="00710C5A">
        <w:t>Višķere</w:t>
      </w:r>
      <w:proofErr w:type="spellEnd"/>
      <w:r w:rsidRPr="00710C5A">
        <w:t>,</w:t>
      </w:r>
    </w:p>
    <w:p w14:paraId="0BBE2CB4" w14:textId="77777777" w:rsidR="00345199" w:rsidRPr="00710C5A" w:rsidRDefault="00345199" w:rsidP="00345199">
      <w:pPr>
        <w:tabs>
          <w:tab w:val="left" w:pos="540"/>
          <w:tab w:val="left" w:pos="3240"/>
        </w:tabs>
        <w:spacing w:line="276" w:lineRule="auto"/>
        <w:ind w:firstLine="567"/>
        <w:jc w:val="both"/>
        <w:rPr>
          <w:color w:val="000000"/>
        </w:rPr>
      </w:pPr>
      <w:r w:rsidRPr="00710C5A">
        <w:rPr>
          <w:color w:val="000000"/>
        </w:rPr>
        <w:t xml:space="preserve">tiesnese </w:t>
      </w:r>
      <w:r w:rsidR="0079485C" w:rsidRPr="00710C5A">
        <w:rPr>
          <w:color w:val="000000"/>
        </w:rPr>
        <w:t>Veronika Krūmiņa</w:t>
      </w:r>
      <w:r w:rsidRPr="00710C5A">
        <w:rPr>
          <w:color w:val="000000"/>
        </w:rPr>
        <w:t>,</w:t>
      </w:r>
    </w:p>
    <w:p w14:paraId="19C5B682" w14:textId="77777777" w:rsidR="00754B8C" w:rsidRDefault="00754B8C" w:rsidP="00345199">
      <w:pPr>
        <w:tabs>
          <w:tab w:val="left" w:pos="540"/>
          <w:tab w:val="left" w:pos="3240"/>
        </w:tabs>
        <w:spacing w:line="276" w:lineRule="auto"/>
        <w:ind w:firstLine="567"/>
        <w:jc w:val="both"/>
        <w:rPr>
          <w:color w:val="000000"/>
        </w:rPr>
      </w:pPr>
      <w:r w:rsidRPr="00710C5A">
        <w:rPr>
          <w:color w:val="000000"/>
        </w:rPr>
        <w:t xml:space="preserve">tiesnese </w:t>
      </w:r>
      <w:r w:rsidR="0079485C" w:rsidRPr="00710C5A">
        <w:rPr>
          <w:color w:val="000000"/>
        </w:rPr>
        <w:t xml:space="preserve">Līvija </w:t>
      </w:r>
      <w:proofErr w:type="spellStart"/>
      <w:r w:rsidR="0079485C" w:rsidRPr="00710C5A">
        <w:rPr>
          <w:color w:val="000000"/>
        </w:rPr>
        <w:t>Slica</w:t>
      </w:r>
      <w:proofErr w:type="spellEnd"/>
    </w:p>
    <w:p w14:paraId="50F746C8" w14:textId="77777777" w:rsidR="00345199" w:rsidRDefault="00345199" w:rsidP="00345199">
      <w:pPr>
        <w:tabs>
          <w:tab w:val="left" w:pos="540"/>
          <w:tab w:val="left" w:pos="3240"/>
        </w:tabs>
        <w:spacing w:line="276" w:lineRule="auto"/>
        <w:ind w:firstLine="567"/>
        <w:jc w:val="both"/>
        <w:rPr>
          <w:color w:val="000000"/>
        </w:rPr>
      </w:pPr>
    </w:p>
    <w:p w14:paraId="39635148" w14:textId="2C9E0051" w:rsidR="00345199" w:rsidRPr="00345199" w:rsidRDefault="00345199" w:rsidP="00345199">
      <w:pPr>
        <w:tabs>
          <w:tab w:val="left" w:pos="540"/>
          <w:tab w:val="left" w:pos="3240"/>
        </w:tabs>
        <w:spacing w:line="276" w:lineRule="auto"/>
        <w:ind w:firstLine="567"/>
        <w:jc w:val="both"/>
      </w:pPr>
      <w:r w:rsidRPr="00345199">
        <w:t xml:space="preserve">rakstveida procesā izskatīja administratīvo lietu, kas ierosināta, pamatojoties uz </w:t>
      </w:r>
      <w:proofErr w:type="gramStart"/>
      <w:r w:rsidR="00187329">
        <w:t>[</w:t>
      </w:r>
      <w:proofErr w:type="gramEnd"/>
      <w:r w:rsidR="00187329">
        <w:t>pers. A]</w:t>
      </w:r>
      <w:r w:rsidR="00B46FD9">
        <w:t xml:space="preserve"> </w:t>
      </w:r>
      <w:r w:rsidRPr="00345199">
        <w:rPr>
          <w:rFonts w:eastAsiaTheme="minorHAnsi"/>
          <w:lang w:eastAsia="en-US"/>
        </w:rPr>
        <w:t xml:space="preserve">pieteikumu </w:t>
      </w:r>
      <w:r w:rsidR="005D7A35">
        <w:rPr>
          <w:rFonts w:ascii="TimesNewRomanPSMT" w:eastAsiaTheme="minorHAnsi" w:hAnsi="TimesNewRomanPSMT" w:cs="TimesNewRomanPSMT"/>
          <w:lang w:eastAsia="en-US"/>
        </w:rPr>
        <w:t>par</w:t>
      </w:r>
      <w:r w:rsidR="005D7A35">
        <w:rPr>
          <w:rFonts w:eastAsiaTheme="minorHAnsi"/>
          <w:lang w:eastAsia="en-US"/>
        </w:rPr>
        <w:t xml:space="preserve"> </w:t>
      </w:r>
      <w:r w:rsidR="005D7A35">
        <w:rPr>
          <w:rFonts w:ascii="TimesNewRomanPSMT" w:eastAsiaTheme="minorHAnsi" w:hAnsi="TimesNewRomanPSMT" w:cs="TimesNewRomanPSMT"/>
          <w:lang w:eastAsia="en-US"/>
        </w:rPr>
        <w:t xml:space="preserve">pienākuma uzlikšanu </w:t>
      </w:r>
      <w:r w:rsidR="00B46FD9">
        <w:rPr>
          <w:rFonts w:ascii="TimesNewRomanPSMT" w:eastAsiaTheme="minorHAnsi" w:hAnsi="TimesNewRomanPSMT" w:cs="TimesNewRomanPSMT"/>
          <w:lang w:eastAsia="en-US"/>
        </w:rPr>
        <w:t xml:space="preserve">Rīgas tiesas apgabala prokuratūrai </w:t>
      </w:r>
      <w:r w:rsidR="005D7A35" w:rsidRPr="00797AD2">
        <w:rPr>
          <w:rFonts w:ascii="TimesNewRomanPSMT" w:eastAsiaTheme="minorHAnsi" w:hAnsi="TimesNewRomanPSMT" w:cs="TimesNewRomanPSMT"/>
          <w:lang w:eastAsia="en-US"/>
        </w:rPr>
        <w:t xml:space="preserve">sniegt </w:t>
      </w:r>
      <w:proofErr w:type="gramStart"/>
      <w:r w:rsidR="00187329">
        <w:rPr>
          <w:rFonts w:ascii="TimesNewRomanPSMT" w:eastAsiaTheme="minorHAnsi" w:hAnsi="TimesNewRomanPSMT" w:cs="TimesNewRomanPSMT"/>
          <w:lang w:eastAsia="en-US"/>
        </w:rPr>
        <w:t>[</w:t>
      </w:r>
      <w:proofErr w:type="gramEnd"/>
      <w:r w:rsidR="00187329">
        <w:rPr>
          <w:rFonts w:ascii="TimesNewRomanPSMT" w:eastAsiaTheme="minorHAnsi" w:hAnsi="TimesNewRomanPSMT" w:cs="TimesNewRomanPSMT"/>
          <w:lang w:eastAsia="en-US"/>
        </w:rPr>
        <w:t>pers. A]</w:t>
      </w:r>
      <w:r w:rsidR="00710C5A">
        <w:rPr>
          <w:rFonts w:ascii="TimesNewRomanPSMT" w:eastAsiaTheme="minorHAnsi" w:hAnsi="TimesNewRomanPSMT" w:cs="TimesNewRomanPSMT"/>
          <w:lang w:eastAsia="en-US"/>
        </w:rPr>
        <w:t xml:space="preserve"> pieprasīto informāciju, </w:t>
      </w:r>
      <w:r w:rsidRPr="00345199">
        <w:rPr>
          <w:rFonts w:eastAsiaTheme="minorHAnsi"/>
          <w:lang w:eastAsia="en-US"/>
        </w:rPr>
        <w:t xml:space="preserve">sakarā ar </w:t>
      </w:r>
      <w:proofErr w:type="gramStart"/>
      <w:r w:rsidR="00187329">
        <w:rPr>
          <w:rFonts w:eastAsiaTheme="minorHAnsi"/>
          <w:lang w:eastAsia="en-US"/>
        </w:rPr>
        <w:t>[</w:t>
      </w:r>
      <w:proofErr w:type="gramEnd"/>
      <w:r w:rsidR="00187329">
        <w:rPr>
          <w:rFonts w:eastAsiaTheme="minorHAnsi"/>
          <w:lang w:eastAsia="en-US"/>
        </w:rPr>
        <w:t>pers. A]</w:t>
      </w:r>
      <w:r w:rsidRPr="00345199">
        <w:rPr>
          <w:rFonts w:eastAsiaTheme="minorHAnsi"/>
          <w:lang w:eastAsia="en-US"/>
        </w:rPr>
        <w:t xml:space="preserve"> </w:t>
      </w:r>
      <w:r>
        <w:rPr>
          <w:rFonts w:eastAsiaTheme="minorHAnsi"/>
          <w:lang w:eastAsia="en-US"/>
        </w:rPr>
        <w:t xml:space="preserve">kasācijas </w:t>
      </w:r>
      <w:r w:rsidR="005C0E95">
        <w:rPr>
          <w:rFonts w:eastAsiaTheme="minorHAnsi"/>
          <w:lang w:eastAsia="en-US"/>
        </w:rPr>
        <w:t xml:space="preserve">sūdzību </w:t>
      </w:r>
      <w:r w:rsidRPr="00345199">
        <w:rPr>
          <w:rFonts w:eastAsiaTheme="minorHAnsi"/>
          <w:lang w:eastAsia="en-US"/>
        </w:rPr>
        <w:t xml:space="preserve">par Administratīvās </w:t>
      </w:r>
      <w:r w:rsidR="005D7A35">
        <w:rPr>
          <w:rFonts w:eastAsiaTheme="minorHAnsi"/>
          <w:lang w:eastAsia="en-US"/>
        </w:rPr>
        <w:t>rajona tiesas</w:t>
      </w:r>
      <w:r w:rsidRPr="00345199">
        <w:rPr>
          <w:rFonts w:eastAsiaTheme="minorHAnsi"/>
          <w:lang w:eastAsia="en-US"/>
        </w:rPr>
        <w:t xml:space="preserve"> </w:t>
      </w:r>
      <w:proofErr w:type="gramStart"/>
      <w:r w:rsidRPr="00345199">
        <w:rPr>
          <w:rFonts w:eastAsiaTheme="minorHAnsi"/>
          <w:lang w:eastAsia="en-US"/>
        </w:rPr>
        <w:t>201</w:t>
      </w:r>
      <w:r w:rsidR="005C0E95">
        <w:rPr>
          <w:rFonts w:eastAsiaTheme="minorHAnsi"/>
          <w:lang w:eastAsia="en-US"/>
        </w:rPr>
        <w:t>6</w:t>
      </w:r>
      <w:r w:rsidRPr="00345199">
        <w:rPr>
          <w:rFonts w:eastAsiaTheme="minorHAnsi"/>
          <w:lang w:eastAsia="en-US"/>
        </w:rPr>
        <w:t>.gada</w:t>
      </w:r>
      <w:proofErr w:type="gramEnd"/>
      <w:r w:rsidRPr="00345199">
        <w:rPr>
          <w:rFonts w:eastAsiaTheme="minorHAnsi"/>
          <w:lang w:eastAsia="en-US"/>
        </w:rPr>
        <w:t xml:space="preserve"> </w:t>
      </w:r>
      <w:r w:rsidR="00B46FD9">
        <w:rPr>
          <w:rFonts w:eastAsiaTheme="minorHAnsi"/>
          <w:lang w:eastAsia="en-US"/>
        </w:rPr>
        <w:t>18.maija</w:t>
      </w:r>
      <w:r w:rsidR="00BF70F0">
        <w:rPr>
          <w:rFonts w:eastAsiaTheme="minorHAnsi"/>
          <w:lang w:eastAsia="en-US"/>
        </w:rPr>
        <w:t xml:space="preserve"> spriedumu.</w:t>
      </w:r>
    </w:p>
    <w:p w14:paraId="3231FCD7" w14:textId="77777777" w:rsidR="00345199" w:rsidRDefault="00345199" w:rsidP="00345199">
      <w:pPr>
        <w:spacing w:line="276" w:lineRule="auto"/>
        <w:ind w:firstLine="567"/>
        <w:jc w:val="center"/>
        <w:rPr>
          <w:b/>
        </w:rPr>
      </w:pPr>
    </w:p>
    <w:p w14:paraId="42BD9B19" w14:textId="77777777" w:rsidR="00165A1E" w:rsidRDefault="00345199" w:rsidP="00165A1E">
      <w:pPr>
        <w:spacing w:line="276" w:lineRule="auto"/>
        <w:ind w:firstLine="567"/>
        <w:jc w:val="center"/>
        <w:rPr>
          <w:b/>
        </w:rPr>
      </w:pPr>
      <w:r w:rsidRPr="001B0840">
        <w:rPr>
          <w:b/>
        </w:rPr>
        <w:t>Aprakstošā daļa</w:t>
      </w:r>
      <w:r w:rsidR="00165A1E">
        <w:rPr>
          <w:b/>
        </w:rPr>
        <w:t xml:space="preserve"> </w:t>
      </w:r>
    </w:p>
    <w:p w14:paraId="7EF3E37F" w14:textId="77777777" w:rsidR="00165A1E" w:rsidRDefault="00165A1E" w:rsidP="00165A1E">
      <w:pPr>
        <w:spacing w:line="276" w:lineRule="auto"/>
        <w:ind w:firstLine="567"/>
        <w:jc w:val="center"/>
        <w:rPr>
          <w:b/>
        </w:rPr>
      </w:pPr>
    </w:p>
    <w:p w14:paraId="6D6B8209" w14:textId="20782BD2" w:rsidR="009768F2" w:rsidRPr="00710C5A" w:rsidRDefault="00345199" w:rsidP="00710C5A">
      <w:pPr>
        <w:spacing w:line="276" w:lineRule="auto"/>
        <w:ind w:firstLine="567"/>
        <w:jc w:val="both"/>
      </w:pPr>
      <w:r w:rsidRPr="00165A1E">
        <w:t xml:space="preserve">[1] </w:t>
      </w:r>
      <w:r w:rsidR="00963AD4">
        <w:t xml:space="preserve">Pieteicējs </w:t>
      </w:r>
      <w:r w:rsidR="00187329">
        <w:t>[pers. A]</w:t>
      </w:r>
      <w:r w:rsidR="00963AD4">
        <w:t xml:space="preserve"> </w:t>
      </w:r>
      <w:r w:rsidR="00710C5A">
        <w:t xml:space="preserve">vērsās </w:t>
      </w:r>
      <w:r w:rsidR="009768F2">
        <w:t xml:space="preserve">ar iesniegumu </w:t>
      </w:r>
      <w:r w:rsidR="0007799F">
        <w:t xml:space="preserve">prokuratūrā, lūdzot uzsākt kriminālprocesu saistībā ar izmaiņām </w:t>
      </w:r>
      <w:r w:rsidR="0007799F">
        <w:rPr>
          <w:shd w:val="clear" w:color="auto" w:fill="FFFFFF"/>
        </w:rPr>
        <w:t>a</w:t>
      </w:r>
      <w:r w:rsidR="0007799F" w:rsidRPr="00963AD4">
        <w:rPr>
          <w:shd w:val="clear" w:color="auto" w:fill="FFFFFF"/>
        </w:rPr>
        <w:t>utomašīnu garāžu īp</w:t>
      </w:r>
      <w:r w:rsidR="0007799F">
        <w:rPr>
          <w:shd w:val="clear" w:color="auto" w:fill="FFFFFF"/>
        </w:rPr>
        <w:t>ašnieku kooperatīvās sabiedrības „</w:t>
      </w:r>
      <w:r w:rsidR="0007799F" w:rsidRPr="00963AD4">
        <w:rPr>
          <w:shd w:val="clear" w:color="auto" w:fill="FFFFFF"/>
        </w:rPr>
        <w:t>P</w:t>
      </w:r>
      <w:r w:rsidR="009768F2" w:rsidRPr="00963AD4">
        <w:rPr>
          <w:shd w:val="clear" w:color="auto" w:fill="FFFFFF"/>
        </w:rPr>
        <w:t>ārdaugava</w:t>
      </w:r>
      <w:r w:rsidR="0007799F">
        <w:rPr>
          <w:shd w:val="clear" w:color="auto" w:fill="FFFFFF"/>
        </w:rPr>
        <w:t xml:space="preserve">” </w:t>
      </w:r>
      <w:r w:rsidR="007750D5">
        <w:rPr>
          <w:shd w:val="clear" w:color="auto" w:fill="FFFFFF"/>
        </w:rPr>
        <w:t>(turpmāk – sabiedrība „</w:t>
      </w:r>
      <w:r w:rsidR="007750D5" w:rsidRPr="00963AD4">
        <w:rPr>
          <w:shd w:val="clear" w:color="auto" w:fill="FFFFFF"/>
        </w:rPr>
        <w:t>P</w:t>
      </w:r>
      <w:r w:rsidR="009768F2" w:rsidRPr="00963AD4">
        <w:rPr>
          <w:shd w:val="clear" w:color="auto" w:fill="FFFFFF"/>
        </w:rPr>
        <w:t>ārdaugava</w:t>
      </w:r>
      <w:r w:rsidR="007750D5">
        <w:rPr>
          <w:shd w:val="clear" w:color="auto" w:fill="FFFFFF"/>
        </w:rPr>
        <w:t xml:space="preserve">”) </w:t>
      </w:r>
      <w:r w:rsidR="0007799F">
        <w:rPr>
          <w:shd w:val="clear" w:color="auto" w:fill="FFFFFF"/>
        </w:rPr>
        <w:t>valdē</w:t>
      </w:r>
      <w:r w:rsidR="00F866CF">
        <w:rPr>
          <w:shd w:val="clear" w:color="auto" w:fill="FFFFFF"/>
        </w:rPr>
        <w:t xml:space="preserve"> (pieteicējs uzskata, ka ir prettiesiski atcelts no valdes priekšsēdētāja amata)</w:t>
      </w:r>
      <w:r w:rsidR="0007799F">
        <w:rPr>
          <w:shd w:val="clear" w:color="auto" w:fill="FFFFFF"/>
        </w:rPr>
        <w:t>.</w:t>
      </w:r>
      <w:r w:rsidR="00710C5A">
        <w:t xml:space="preserve"> </w:t>
      </w:r>
      <w:r w:rsidR="009768F2">
        <w:rPr>
          <w:shd w:val="clear" w:color="auto" w:fill="FFFFFF"/>
        </w:rPr>
        <w:t xml:space="preserve">Pēc pieteicēja iesnieguma tika uzsākts kriminālprocess </w:t>
      </w:r>
      <w:r w:rsidR="00496786" w:rsidRPr="00230D92">
        <w:rPr>
          <w:rFonts w:ascii="TimesNewRomanPSMT" w:eastAsiaTheme="minorHAnsi" w:hAnsi="TimesNewRomanPSMT" w:cs="TimesNewRomanPSMT"/>
          <w:lang w:eastAsia="en-US"/>
        </w:rPr>
        <w:t>Nr.11096305514</w:t>
      </w:r>
      <w:r w:rsidR="00F866CF">
        <w:rPr>
          <w:rFonts w:ascii="TimesNewRomanPSMT" w:eastAsiaTheme="minorHAnsi" w:hAnsi="TimesNewRomanPSMT" w:cs="TimesNewRomanPSMT"/>
          <w:lang w:eastAsia="en-US"/>
        </w:rPr>
        <w:t>,</w:t>
      </w:r>
      <w:r w:rsidR="009768F2">
        <w:rPr>
          <w:shd w:val="clear" w:color="auto" w:fill="FFFFFF"/>
        </w:rPr>
        <w:t xml:space="preserve"> un tā ietvaros pieteicējs tika nopratināts liecinieka statusā. </w:t>
      </w:r>
    </w:p>
    <w:p w14:paraId="506879B2" w14:textId="77777777" w:rsidR="003D431E" w:rsidRDefault="00B359A0" w:rsidP="009768F2">
      <w:pPr>
        <w:spacing w:line="276" w:lineRule="auto"/>
        <w:ind w:firstLine="567"/>
        <w:jc w:val="both"/>
        <w:rPr>
          <w:shd w:val="clear" w:color="auto" w:fill="FFFFFF"/>
        </w:rPr>
      </w:pPr>
      <w:r>
        <w:rPr>
          <w:shd w:val="clear" w:color="auto" w:fill="FFFFFF"/>
        </w:rPr>
        <w:t xml:space="preserve">Ar Rīgas pilsētas Kurzemes rajona prokuratūras prokurora </w:t>
      </w:r>
      <w:proofErr w:type="gramStart"/>
      <w:r>
        <w:rPr>
          <w:shd w:val="clear" w:color="auto" w:fill="FFFFFF"/>
        </w:rPr>
        <w:t>2015.gada</w:t>
      </w:r>
      <w:proofErr w:type="gramEnd"/>
      <w:r>
        <w:rPr>
          <w:shd w:val="clear" w:color="auto" w:fill="FFFFFF"/>
        </w:rPr>
        <w:t xml:space="preserve"> 27.maija lēmumu kriminālprocess izbeigts, pamatojoties uz Kriminālprocesa likuma 377.panta 1.punktu (nav noticis noziedzīgs nodarījums).</w:t>
      </w:r>
      <w:r w:rsidR="007750D5">
        <w:rPr>
          <w:shd w:val="clear" w:color="auto" w:fill="FFFFFF"/>
        </w:rPr>
        <w:t xml:space="preserve"> </w:t>
      </w:r>
    </w:p>
    <w:p w14:paraId="53118731" w14:textId="77777777" w:rsidR="000D02E5" w:rsidRDefault="00710C5A" w:rsidP="003D431E">
      <w:pPr>
        <w:spacing w:line="276" w:lineRule="auto"/>
        <w:ind w:firstLine="567"/>
        <w:jc w:val="both"/>
        <w:rPr>
          <w:shd w:val="clear" w:color="auto" w:fill="FFFFFF"/>
        </w:rPr>
      </w:pPr>
      <w:r>
        <w:rPr>
          <w:shd w:val="clear" w:color="auto" w:fill="FFFFFF"/>
        </w:rPr>
        <w:t xml:space="preserve">Par minēto lēmumu pieteicējs iesniedza sūdzību, kura </w:t>
      </w:r>
      <w:r w:rsidR="003D431E">
        <w:rPr>
          <w:shd w:val="clear" w:color="auto" w:fill="FFFFFF"/>
        </w:rPr>
        <w:t xml:space="preserve">ar Rīgas tiesas apgabala prokuratūras virsprokurora lēmumu noraidīta. </w:t>
      </w:r>
      <w:r w:rsidR="00F866CF">
        <w:rPr>
          <w:shd w:val="clear" w:color="auto" w:fill="FFFFFF"/>
        </w:rPr>
        <w:t>P</w:t>
      </w:r>
      <w:r w:rsidR="003D431E">
        <w:rPr>
          <w:shd w:val="clear" w:color="auto" w:fill="FFFFFF"/>
        </w:rPr>
        <w:t xml:space="preserve">ieteicējam paskaidrots, ka </w:t>
      </w:r>
      <w:r w:rsidR="000D02E5">
        <w:rPr>
          <w:shd w:val="clear" w:color="auto" w:fill="FFFFFF"/>
        </w:rPr>
        <w:t>sabiedrības „</w:t>
      </w:r>
      <w:r w:rsidR="000D02E5" w:rsidRPr="00963AD4">
        <w:rPr>
          <w:shd w:val="clear" w:color="auto" w:fill="FFFFFF"/>
        </w:rPr>
        <w:t>P</w:t>
      </w:r>
      <w:r w:rsidR="00FB1ED7" w:rsidRPr="00963AD4">
        <w:rPr>
          <w:shd w:val="clear" w:color="auto" w:fill="FFFFFF"/>
        </w:rPr>
        <w:t>ārdaugava</w:t>
      </w:r>
      <w:r w:rsidR="000D02E5">
        <w:rPr>
          <w:shd w:val="clear" w:color="auto" w:fill="FFFFFF"/>
        </w:rPr>
        <w:t xml:space="preserve">” valdes maiņa notikusi atbilstoši likuma prasībām, </w:t>
      </w:r>
      <w:r w:rsidR="003D431E">
        <w:rPr>
          <w:shd w:val="clear" w:color="auto" w:fill="FFFFFF"/>
        </w:rPr>
        <w:t>attiec</w:t>
      </w:r>
      <w:r w:rsidR="009E22A5">
        <w:rPr>
          <w:shd w:val="clear" w:color="auto" w:fill="FFFFFF"/>
        </w:rPr>
        <w:t>īgi</w:t>
      </w:r>
      <w:r w:rsidR="000D02E5">
        <w:rPr>
          <w:shd w:val="clear" w:color="auto" w:fill="FFFFFF"/>
        </w:rPr>
        <w:t xml:space="preserve"> visi strīdi </w:t>
      </w:r>
      <w:r w:rsidR="00F866CF">
        <w:rPr>
          <w:shd w:val="clear" w:color="auto" w:fill="FFFFFF"/>
        </w:rPr>
        <w:t>saistībā ar pieteicēja atcelšanu</w:t>
      </w:r>
      <w:r w:rsidR="000D02E5">
        <w:rPr>
          <w:shd w:val="clear" w:color="auto" w:fill="FFFFFF"/>
        </w:rPr>
        <w:t xml:space="preserve"> no amata risināmi vispārējās jurisdikcijas tiesā.</w:t>
      </w:r>
    </w:p>
    <w:p w14:paraId="627C415C" w14:textId="77777777" w:rsidR="000D02E5" w:rsidRDefault="000D02E5" w:rsidP="000D02E5">
      <w:pPr>
        <w:spacing w:line="276" w:lineRule="auto"/>
        <w:ind w:firstLine="567"/>
        <w:jc w:val="both"/>
        <w:rPr>
          <w:shd w:val="clear" w:color="auto" w:fill="FFFFFF"/>
        </w:rPr>
      </w:pPr>
    </w:p>
    <w:p w14:paraId="53E4491A" w14:textId="77777777" w:rsidR="00496786" w:rsidRDefault="00230D92" w:rsidP="00496786">
      <w:pPr>
        <w:spacing w:line="276" w:lineRule="auto"/>
        <w:ind w:firstLine="567"/>
        <w:jc w:val="both"/>
        <w:rPr>
          <w:rFonts w:ascii="TimesNewRomanPSMT" w:eastAsiaTheme="minorHAnsi" w:hAnsi="TimesNewRomanPSMT" w:cs="TimesNewRomanPSMT"/>
          <w:lang w:eastAsia="en-US"/>
        </w:rPr>
      </w:pPr>
      <w:r w:rsidRPr="00230D92">
        <w:rPr>
          <w:shd w:val="clear" w:color="auto" w:fill="FFFFFF"/>
        </w:rPr>
        <w:t>[2]</w:t>
      </w:r>
      <w:r w:rsidR="000D02E5">
        <w:rPr>
          <w:shd w:val="clear" w:color="auto" w:fill="FFFFFF"/>
        </w:rPr>
        <w:t xml:space="preserve"> Pieteicējs</w:t>
      </w:r>
      <w:r w:rsidRPr="00230D92">
        <w:rPr>
          <w:shd w:val="clear" w:color="auto" w:fill="FFFFFF"/>
        </w:rPr>
        <w:t xml:space="preserve"> </w:t>
      </w:r>
      <w:proofErr w:type="gramStart"/>
      <w:r w:rsidRPr="00230D92">
        <w:rPr>
          <w:rFonts w:ascii="TimesNewRomanPSMT" w:eastAsiaTheme="minorHAnsi" w:hAnsi="TimesNewRomanPSMT" w:cs="TimesNewRomanPSMT"/>
          <w:lang w:eastAsia="en-US"/>
        </w:rPr>
        <w:t>2015.gada</w:t>
      </w:r>
      <w:proofErr w:type="gramEnd"/>
      <w:r w:rsidRPr="00230D92">
        <w:rPr>
          <w:rFonts w:ascii="TimesNewRomanPSMT" w:eastAsiaTheme="minorHAnsi" w:hAnsi="TimesNewRomanPSMT" w:cs="TimesNewRomanPSMT"/>
          <w:lang w:eastAsia="en-US"/>
        </w:rPr>
        <w:t xml:space="preserve"> 31.augustā vērsās Rīgas pilsētas Kurzemes rajona</w:t>
      </w:r>
      <w:r w:rsidR="000D02E5">
        <w:rPr>
          <w:shd w:val="clear" w:color="auto" w:fill="FFFFFF"/>
        </w:rPr>
        <w:t xml:space="preserve"> </w:t>
      </w:r>
      <w:r w:rsidRPr="00230D92">
        <w:rPr>
          <w:rFonts w:ascii="TimesNewRomanPSMT" w:eastAsiaTheme="minorHAnsi" w:hAnsi="TimesNewRomanPSMT" w:cs="TimesNewRomanPSMT"/>
          <w:lang w:eastAsia="en-US"/>
        </w:rPr>
        <w:t xml:space="preserve">prokuratūrā ar </w:t>
      </w:r>
      <w:r w:rsidR="00F61A81">
        <w:rPr>
          <w:rFonts w:ascii="TimesNewRomanPSMT" w:eastAsiaTheme="minorHAnsi" w:hAnsi="TimesNewRomanPSMT" w:cs="TimesNewRomanPSMT"/>
          <w:lang w:eastAsia="en-US"/>
        </w:rPr>
        <w:t xml:space="preserve">lūgumu </w:t>
      </w:r>
      <w:r w:rsidRPr="00230D92">
        <w:rPr>
          <w:rFonts w:ascii="TimesNewRomanPSMT" w:eastAsiaTheme="minorHAnsi" w:hAnsi="TimesNewRomanPSMT" w:cs="TimesNewRomanPSMT"/>
          <w:lang w:eastAsia="en-US"/>
        </w:rPr>
        <w:t>iepazīties ar kriminālprocesa Nr.11096305514 lietas</w:t>
      </w:r>
      <w:r w:rsidR="000D02E5">
        <w:rPr>
          <w:shd w:val="clear" w:color="auto" w:fill="FFFFFF"/>
        </w:rPr>
        <w:t xml:space="preserve"> </w:t>
      </w:r>
      <w:r w:rsidRPr="00230D92">
        <w:rPr>
          <w:rFonts w:ascii="TimesNewRomanPSMT" w:eastAsiaTheme="minorHAnsi" w:hAnsi="TimesNewRomanPSMT" w:cs="TimesNewRomanPSMT"/>
          <w:lang w:eastAsia="en-US"/>
        </w:rPr>
        <w:t>materiāliem un saņ</w:t>
      </w:r>
      <w:r w:rsidR="000D02E5">
        <w:rPr>
          <w:rFonts w:ascii="TimesNewRomanPSMT" w:eastAsiaTheme="minorHAnsi" w:hAnsi="TimesNewRomanPSMT" w:cs="TimesNewRomanPSMT"/>
          <w:lang w:eastAsia="en-US"/>
        </w:rPr>
        <w:t xml:space="preserve">emt to </w:t>
      </w:r>
      <w:r w:rsidRPr="00230D92">
        <w:rPr>
          <w:rFonts w:ascii="TimesNewRomanPSMT" w:eastAsiaTheme="minorHAnsi" w:hAnsi="TimesNewRomanPSMT" w:cs="TimesNewRomanPSMT"/>
          <w:lang w:eastAsia="en-US"/>
        </w:rPr>
        <w:t xml:space="preserve">apliecinātas kopijas, </w:t>
      </w:r>
      <w:r w:rsidR="005C6013">
        <w:rPr>
          <w:rFonts w:ascii="TimesNewRomanPSMT" w:eastAsiaTheme="minorHAnsi" w:hAnsi="TimesNewRomanPSMT" w:cs="TimesNewRomanPSMT"/>
          <w:lang w:eastAsia="en-US"/>
        </w:rPr>
        <w:t xml:space="preserve">lai </w:t>
      </w:r>
      <w:r w:rsidRPr="00230D92">
        <w:rPr>
          <w:rFonts w:ascii="TimesNewRomanPSMT" w:eastAsiaTheme="minorHAnsi" w:hAnsi="TimesNewRomanPSMT" w:cs="TimesNewRomanPSMT"/>
          <w:lang w:eastAsia="en-US"/>
        </w:rPr>
        <w:t>celt</w:t>
      </w:r>
      <w:r w:rsidR="005C6013">
        <w:rPr>
          <w:rFonts w:ascii="TimesNewRomanPSMT" w:eastAsiaTheme="minorHAnsi" w:hAnsi="TimesNewRomanPSMT" w:cs="TimesNewRomanPSMT"/>
          <w:lang w:eastAsia="en-US"/>
        </w:rPr>
        <w:t>u</w:t>
      </w:r>
      <w:r w:rsidRPr="00230D92">
        <w:rPr>
          <w:rFonts w:ascii="TimesNewRomanPSMT" w:eastAsiaTheme="minorHAnsi" w:hAnsi="TimesNewRomanPSMT" w:cs="TimesNewRomanPSMT"/>
          <w:lang w:eastAsia="en-US"/>
        </w:rPr>
        <w:t xml:space="preserve"> prasību</w:t>
      </w:r>
      <w:r w:rsidR="00496786">
        <w:rPr>
          <w:rFonts w:ascii="TimesNewRomanPSMT" w:eastAsiaTheme="minorHAnsi" w:hAnsi="TimesNewRomanPSMT" w:cs="TimesNewRomanPSMT"/>
          <w:lang w:eastAsia="en-US"/>
        </w:rPr>
        <w:t xml:space="preserve"> vispārējās jurisdikcijas tiesā.</w:t>
      </w:r>
    </w:p>
    <w:p w14:paraId="77D54CC0" w14:textId="77777777" w:rsidR="00355C80" w:rsidRDefault="00710C5A" w:rsidP="00710C5A">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Ar Rīgas tiesas apgabala prokuratūras virsprokurora </w:t>
      </w:r>
      <w:proofErr w:type="gramStart"/>
      <w:r>
        <w:rPr>
          <w:rFonts w:ascii="TimesNewRomanPSMT" w:eastAsiaTheme="minorHAnsi" w:hAnsi="TimesNewRomanPSMT" w:cs="TimesNewRomanPSMT"/>
          <w:lang w:eastAsia="en-US"/>
        </w:rPr>
        <w:t>2015.gada</w:t>
      </w:r>
      <w:proofErr w:type="gramEnd"/>
      <w:r>
        <w:rPr>
          <w:rFonts w:ascii="TimesNewRomanPSMT" w:eastAsiaTheme="minorHAnsi" w:hAnsi="TimesNewRomanPSMT" w:cs="TimesNewRomanPSMT"/>
          <w:lang w:eastAsia="en-US"/>
        </w:rPr>
        <w:t xml:space="preserve"> 26.oktobra lēmumu (turpmāk – pārsūdzētais lēmums) kā administratīvo procesu noslēdzošo administratīvo aktu pieteicējam atteikta pieprasītās informācijas sniegšana. Atteikums pamatots ar argumentiem par </w:t>
      </w:r>
      <w:r>
        <w:rPr>
          <w:rFonts w:ascii="TimesNewRomanPSMT" w:eastAsiaTheme="minorHAnsi" w:hAnsi="TimesNewRomanPSMT" w:cs="TimesNewRomanPSMT"/>
          <w:lang w:eastAsia="en-US"/>
        </w:rPr>
        <w:lastRenderedPageBreak/>
        <w:t xml:space="preserve">to, ka pieprasītā informācija pieteicējam nav izsniedzama, jo atbilstoši Kriminālprocesa likuma 375.pantam, kas regulē krimināllietas materiālu pieejamību pēc galīgā nolēmuma spēkā stāšanās, lietas materiālus var izsniegt personai, kuras tiesības bija aizskartas konkrētajā kriminālprocesā. Tā kā pieteicējs kriminālprocesa ietvaros bija liecinieks, pieteicējs </w:t>
      </w:r>
      <w:r w:rsidR="00F16413">
        <w:rPr>
          <w:rFonts w:ascii="TimesNewRomanPSMT" w:eastAsiaTheme="minorHAnsi" w:hAnsi="TimesNewRomanPSMT" w:cs="TimesNewRomanPSMT"/>
          <w:lang w:eastAsia="en-US"/>
        </w:rPr>
        <w:t xml:space="preserve">nav uzskatāms par personu, kuras tiesības bija aizskartas konkrētajā kriminālprocesā. </w:t>
      </w:r>
      <w:r w:rsidR="00B3677F">
        <w:rPr>
          <w:rFonts w:ascii="TimesNewRomanPSMT" w:eastAsiaTheme="minorHAnsi" w:hAnsi="TimesNewRomanPSMT" w:cs="TimesNewRomanPSMT"/>
          <w:lang w:eastAsia="en-US"/>
        </w:rPr>
        <w:t>Turklāt konkrētā k</w:t>
      </w:r>
      <w:r w:rsidR="00F16413">
        <w:rPr>
          <w:rFonts w:ascii="TimesNewRomanPSMT" w:eastAsiaTheme="minorHAnsi" w:hAnsi="TimesNewRomanPSMT" w:cs="TimesNewRomanPSMT"/>
          <w:lang w:eastAsia="en-US"/>
        </w:rPr>
        <w:t xml:space="preserve">riminālprocesa ietvaros nevienai personai netika piešķirts cietušā statuss. </w:t>
      </w:r>
      <w:r w:rsidR="00B3677F">
        <w:rPr>
          <w:rFonts w:ascii="TimesNewRomanPSMT" w:eastAsiaTheme="minorHAnsi" w:hAnsi="TimesNewRomanPSMT" w:cs="TimesNewRomanPSMT"/>
          <w:lang w:eastAsia="en-US"/>
        </w:rPr>
        <w:t>Prokuratūras ieskatā, k</w:t>
      </w:r>
      <w:r w:rsidR="00F16413">
        <w:rPr>
          <w:rFonts w:ascii="TimesNewRomanPSMT" w:eastAsiaTheme="minorHAnsi" w:hAnsi="TimesNewRomanPSMT" w:cs="TimesNewRomanPSMT"/>
          <w:lang w:eastAsia="en-US"/>
        </w:rPr>
        <w:t xml:space="preserve">rimināllietas materiālu izsniegšana ir pieļaujama </w:t>
      </w:r>
      <w:r w:rsidR="00F16413">
        <w:rPr>
          <w:rFonts w:ascii="TimesNewRomanPSMT" w:eastAsiaTheme="minorHAnsi" w:hAnsi="TimesNewRomanPSMT" w:cs="TimesNewRomanPSMT" w:hint="eastAsia"/>
          <w:lang w:eastAsia="en-US"/>
        </w:rPr>
        <w:t>vienīgi</w:t>
      </w:r>
      <w:r w:rsidR="00F16413">
        <w:rPr>
          <w:rFonts w:ascii="TimesNewRomanPSMT" w:eastAsiaTheme="minorHAnsi" w:hAnsi="TimesNewRomanPSMT" w:cs="TimesNewRomanPSMT"/>
          <w:lang w:eastAsia="en-US"/>
        </w:rPr>
        <w:t xml:space="preserve"> apsūdzētajam vai viņa aizstāvim, kā arī cietušajam, nododot lietu tiesai.</w:t>
      </w:r>
    </w:p>
    <w:p w14:paraId="4CEE4794" w14:textId="77777777" w:rsidR="00F16413" w:rsidRDefault="00F16413" w:rsidP="00355C80">
      <w:pPr>
        <w:spacing w:line="276" w:lineRule="auto"/>
        <w:ind w:firstLine="567"/>
        <w:jc w:val="both"/>
        <w:rPr>
          <w:rFonts w:ascii="TimesNewRomanPSMT" w:eastAsiaTheme="minorHAnsi" w:hAnsi="TimesNewRomanPSMT" w:cs="TimesNewRomanPSMT"/>
          <w:lang w:eastAsia="en-US"/>
        </w:rPr>
      </w:pPr>
    </w:p>
    <w:p w14:paraId="6C3CCCE8" w14:textId="77777777" w:rsidR="00756E31" w:rsidRDefault="00F16413" w:rsidP="00F16413">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[3] </w:t>
      </w:r>
      <w:r w:rsidR="00756E31">
        <w:rPr>
          <w:rFonts w:ascii="TimesNewRomanPSMT" w:eastAsiaTheme="minorHAnsi" w:hAnsi="TimesNewRomanPSMT" w:cs="TimesNewRomanPSMT"/>
          <w:lang w:eastAsia="en-US"/>
        </w:rPr>
        <w:t xml:space="preserve">Pieteicējs vērsās Administratīvajā rajona tiesā ar pieteikumu par </w:t>
      </w:r>
      <w:r>
        <w:rPr>
          <w:rFonts w:ascii="TimesNewRomanPSMT" w:eastAsiaTheme="minorHAnsi" w:hAnsi="TimesNewRomanPSMT" w:cs="TimesNewRomanPSMT"/>
          <w:lang w:eastAsia="en-US"/>
        </w:rPr>
        <w:t xml:space="preserve">pienākuma uzlikšanu Rīgas tiesas apgabala prokuratūrai atļaut </w:t>
      </w:r>
      <w:r>
        <w:rPr>
          <w:rFonts w:ascii="TimesNewRomanPSMT" w:eastAsiaTheme="minorHAnsi" w:hAnsi="TimesNewRomanPSMT" w:cs="TimesNewRomanPSMT" w:hint="eastAsia"/>
          <w:lang w:eastAsia="en-US"/>
        </w:rPr>
        <w:t>iepazīties</w:t>
      </w:r>
      <w:r>
        <w:rPr>
          <w:rFonts w:ascii="TimesNewRomanPSMT" w:eastAsiaTheme="minorHAnsi" w:hAnsi="TimesNewRomanPSMT" w:cs="TimesNewRomanPSMT"/>
          <w:lang w:eastAsia="en-US"/>
        </w:rPr>
        <w:t xml:space="preserve"> ar </w:t>
      </w:r>
      <w:r w:rsidR="00B3677F">
        <w:rPr>
          <w:rFonts w:ascii="TimesNewRomanPSMT" w:eastAsiaTheme="minorHAnsi" w:hAnsi="TimesNewRomanPSMT" w:cs="TimesNewRomanPSMT"/>
          <w:lang w:eastAsia="en-US"/>
        </w:rPr>
        <w:t xml:space="preserve">konkrētās </w:t>
      </w:r>
      <w:r w:rsidR="00AF7E74">
        <w:rPr>
          <w:rFonts w:ascii="TimesNewRomanPSMT" w:eastAsiaTheme="minorHAnsi" w:hAnsi="TimesNewRomanPSMT" w:cs="TimesNewRomanPSMT"/>
          <w:lang w:eastAsia="en-US"/>
        </w:rPr>
        <w:t>krimināllietas</w:t>
      </w:r>
      <w:r>
        <w:rPr>
          <w:rFonts w:ascii="TimesNewRomanPSMT" w:eastAsiaTheme="minorHAnsi" w:hAnsi="TimesNewRomanPSMT" w:cs="TimesNewRomanPSMT"/>
          <w:lang w:eastAsia="en-US"/>
        </w:rPr>
        <w:t xml:space="preserve"> </w:t>
      </w:r>
      <w:r>
        <w:rPr>
          <w:rFonts w:ascii="TimesNewRomanPSMT" w:eastAsiaTheme="minorHAnsi" w:hAnsi="TimesNewRomanPSMT" w:cs="TimesNewRomanPSMT" w:hint="eastAsia"/>
          <w:lang w:eastAsia="en-US"/>
        </w:rPr>
        <w:t>materiāliem</w:t>
      </w:r>
      <w:r>
        <w:rPr>
          <w:rFonts w:ascii="TimesNewRomanPSMT" w:eastAsiaTheme="minorHAnsi" w:hAnsi="TimesNewRomanPSMT" w:cs="TimesNewRomanPSMT"/>
          <w:lang w:eastAsia="en-US"/>
        </w:rPr>
        <w:t>.</w:t>
      </w:r>
    </w:p>
    <w:p w14:paraId="738DDFCE" w14:textId="77777777" w:rsidR="00F16413" w:rsidRDefault="00F16413" w:rsidP="00F16413">
      <w:pPr>
        <w:spacing w:line="276" w:lineRule="auto"/>
        <w:ind w:firstLine="567"/>
        <w:jc w:val="both"/>
        <w:rPr>
          <w:rFonts w:ascii="TimesNewRomanPSMT" w:eastAsiaTheme="minorHAnsi" w:hAnsi="TimesNewRomanPSMT" w:cs="TimesNewRomanPSMT"/>
          <w:lang w:eastAsia="en-US"/>
        </w:rPr>
      </w:pPr>
    </w:p>
    <w:p w14:paraId="24CFE809" w14:textId="77777777" w:rsidR="0080148A" w:rsidRDefault="00345199" w:rsidP="0080148A">
      <w:pPr>
        <w:spacing w:line="276" w:lineRule="auto"/>
        <w:ind w:firstLine="567"/>
        <w:jc w:val="both"/>
        <w:rPr>
          <w:rFonts w:eastAsiaTheme="minorHAnsi"/>
          <w:lang w:eastAsia="en-US"/>
        </w:rPr>
      </w:pPr>
      <w:r w:rsidRPr="00FD70FA">
        <w:rPr>
          <w:rFonts w:eastAsiaTheme="minorHAnsi"/>
          <w:lang w:eastAsia="en-US"/>
        </w:rPr>
        <w:t>[</w:t>
      </w:r>
      <w:r w:rsidR="00675A5A">
        <w:rPr>
          <w:rFonts w:eastAsiaTheme="minorHAnsi"/>
          <w:lang w:eastAsia="en-US"/>
        </w:rPr>
        <w:t>4</w:t>
      </w:r>
      <w:r w:rsidR="00FD70FA" w:rsidRPr="00FD70FA">
        <w:rPr>
          <w:rFonts w:eastAsiaTheme="minorHAnsi"/>
          <w:lang w:eastAsia="en-US"/>
        </w:rPr>
        <w:t xml:space="preserve">] Ar Administratīvās </w:t>
      </w:r>
      <w:r w:rsidR="001721E2">
        <w:rPr>
          <w:rFonts w:eastAsiaTheme="minorHAnsi"/>
          <w:lang w:eastAsia="en-US"/>
        </w:rPr>
        <w:t xml:space="preserve">rajona tiesas </w:t>
      </w:r>
      <w:proofErr w:type="gramStart"/>
      <w:r w:rsidR="001721E2">
        <w:rPr>
          <w:rFonts w:eastAsiaTheme="minorHAnsi"/>
          <w:lang w:eastAsia="en-US"/>
        </w:rPr>
        <w:t>2</w:t>
      </w:r>
      <w:r w:rsidR="00FD70FA" w:rsidRPr="00FD70FA">
        <w:rPr>
          <w:rFonts w:eastAsiaTheme="minorHAnsi"/>
          <w:lang w:eastAsia="en-US"/>
        </w:rPr>
        <w:t>01</w:t>
      </w:r>
      <w:r w:rsidR="001721E2">
        <w:rPr>
          <w:rFonts w:eastAsiaTheme="minorHAnsi"/>
          <w:lang w:eastAsia="en-US"/>
        </w:rPr>
        <w:t>6</w:t>
      </w:r>
      <w:r w:rsidR="00FD70FA" w:rsidRPr="00FD70FA">
        <w:rPr>
          <w:rFonts w:eastAsiaTheme="minorHAnsi"/>
          <w:lang w:eastAsia="en-US"/>
        </w:rPr>
        <w:t>.gada</w:t>
      </w:r>
      <w:proofErr w:type="gramEnd"/>
      <w:r w:rsidR="00FD70FA" w:rsidRPr="00FD70FA">
        <w:rPr>
          <w:rFonts w:eastAsiaTheme="minorHAnsi"/>
          <w:lang w:eastAsia="en-US"/>
        </w:rPr>
        <w:t xml:space="preserve"> </w:t>
      </w:r>
      <w:r w:rsidR="00F16413">
        <w:rPr>
          <w:rFonts w:eastAsiaTheme="minorHAnsi"/>
          <w:lang w:eastAsia="en-US"/>
        </w:rPr>
        <w:t>18.maija</w:t>
      </w:r>
      <w:r w:rsidR="00FD70FA" w:rsidRPr="00FD70FA">
        <w:rPr>
          <w:rFonts w:eastAsiaTheme="minorHAnsi"/>
          <w:lang w:eastAsia="en-US"/>
        </w:rPr>
        <w:t xml:space="preserve"> spriedumu </w:t>
      </w:r>
      <w:r w:rsidR="00675A5A">
        <w:rPr>
          <w:rFonts w:eastAsiaTheme="minorHAnsi"/>
          <w:lang w:eastAsia="en-US"/>
        </w:rPr>
        <w:t>p</w:t>
      </w:r>
      <w:r w:rsidR="003A19AC">
        <w:rPr>
          <w:rFonts w:eastAsiaTheme="minorHAnsi"/>
          <w:lang w:eastAsia="en-US"/>
        </w:rPr>
        <w:t xml:space="preserve">ieteikums </w:t>
      </w:r>
      <w:r w:rsidR="00F16413">
        <w:rPr>
          <w:rFonts w:eastAsiaTheme="minorHAnsi"/>
          <w:lang w:eastAsia="en-US"/>
        </w:rPr>
        <w:t>norai</w:t>
      </w:r>
      <w:r w:rsidR="00AF7E74">
        <w:rPr>
          <w:rFonts w:eastAsiaTheme="minorHAnsi"/>
          <w:lang w:eastAsia="en-US"/>
        </w:rPr>
        <w:t>d</w:t>
      </w:r>
      <w:r w:rsidR="00F16413">
        <w:rPr>
          <w:rFonts w:eastAsiaTheme="minorHAnsi"/>
          <w:lang w:eastAsia="en-US"/>
        </w:rPr>
        <w:t>īts.</w:t>
      </w:r>
    </w:p>
    <w:p w14:paraId="57056108" w14:textId="77777777" w:rsidR="00AA4D91" w:rsidRDefault="00756E31" w:rsidP="00AA4D91">
      <w:pPr>
        <w:spacing w:line="276" w:lineRule="auto"/>
        <w:ind w:firstLine="567"/>
        <w:jc w:val="both"/>
        <w:rPr>
          <w:rFonts w:eastAsiaTheme="minorHAnsi"/>
          <w:lang w:eastAsia="en-US"/>
        </w:rPr>
      </w:pPr>
      <w:r>
        <w:rPr>
          <w:rFonts w:ascii="TimesNewRomanPSMT" w:eastAsiaTheme="minorHAnsi" w:hAnsi="TimesNewRomanPSMT" w:cs="TimesNewRomanPSMT"/>
          <w:lang w:eastAsia="en-US"/>
        </w:rPr>
        <w:t xml:space="preserve">Rajona tiesas spriedums pamatots ar turpmāk </w:t>
      </w:r>
      <w:r w:rsidR="00AC5A52">
        <w:rPr>
          <w:rFonts w:ascii="TimesNewRomanPSMT" w:eastAsiaTheme="minorHAnsi" w:hAnsi="TimesNewRomanPSMT" w:cs="TimesNewRomanPSMT"/>
          <w:lang w:eastAsia="en-US"/>
        </w:rPr>
        <w:t xml:space="preserve">norādītajiem </w:t>
      </w:r>
      <w:r>
        <w:rPr>
          <w:rFonts w:ascii="TimesNewRomanPSMT" w:eastAsiaTheme="minorHAnsi" w:hAnsi="TimesNewRomanPSMT" w:cs="TimesNewRomanPSMT"/>
          <w:lang w:eastAsia="en-US"/>
        </w:rPr>
        <w:t xml:space="preserve">argumentiem. </w:t>
      </w:r>
    </w:p>
    <w:p w14:paraId="04685FDA" w14:textId="77777777" w:rsidR="00AA4D91" w:rsidRDefault="008E7DED" w:rsidP="00AA4D91">
      <w:pPr>
        <w:spacing w:line="276" w:lineRule="auto"/>
        <w:ind w:firstLine="567"/>
        <w:jc w:val="both"/>
        <w:rPr>
          <w:rFonts w:eastAsiaTheme="minorHAnsi"/>
          <w:lang w:eastAsia="en-US"/>
        </w:rPr>
      </w:pPr>
      <w:r w:rsidRPr="00F61A81">
        <w:rPr>
          <w:rFonts w:ascii="TimesNewRomanPSMT" w:eastAsiaTheme="minorHAnsi" w:hAnsi="TimesNewRomanPSMT" w:cs="TimesNewRomanPSMT"/>
          <w:lang w:eastAsia="en-US"/>
        </w:rPr>
        <w:t xml:space="preserve">[4.1] </w:t>
      </w:r>
      <w:r w:rsidR="00AA4D91">
        <w:rPr>
          <w:rFonts w:ascii="TimesNewRomanPSMT" w:eastAsiaTheme="minorHAnsi" w:hAnsi="TimesNewRomanPSMT" w:cs="TimesNewRomanPSMT"/>
          <w:lang w:eastAsia="en-US"/>
        </w:rPr>
        <w:t>Saskaņā ar Kriminālprocesa likuma 375.panta otro daļu pēc</w:t>
      </w:r>
      <w:r w:rsidR="00AA4D91">
        <w:rPr>
          <w:rFonts w:eastAsiaTheme="minorHAnsi"/>
          <w:lang w:eastAsia="en-US"/>
        </w:rPr>
        <w:t xml:space="preserve"> </w:t>
      </w:r>
      <w:r w:rsidR="00AA4D91">
        <w:rPr>
          <w:rFonts w:ascii="TimesNewRomanPSMT" w:eastAsiaTheme="minorHAnsi" w:hAnsi="TimesNewRomanPSMT" w:cs="TimesNewRomanPSMT"/>
          <w:lang w:eastAsia="en-US"/>
        </w:rPr>
        <w:t>kriminālprocesa pabeigšanas un galīgā nolēmuma stāšanās spēkā ar krimināllietas materiāliem</w:t>
      </w:r>
      <w:r w:rsidR="00AA4D91">
        <w:rPr>
          <w:rFonts w:eastAsiaTheme="minorHAnsi"/>
          <w:lang w:eastAsia="en-US"/>
        </w:rPr>
        <w:t xml:space="preserve"> </w:t>
      </w:r>
      <w:r w:rsidR="00AA4D91">
        <w:rPr>
          <w:rFonts w:ascii="TimesNewRomanPSMT" w:eastAsiaTheme="minorHAnsi" w:hAnsi="TimesNewRomanPSMT" w:cs="TimesNewRomanPSMT"/>
          <w:lang w:eastAsia="en-US"/>
        </w:rPr>
        <w:t>drīkst iepazīties tiesu, prokuratūras un izmeklēšanas iestāžu darbinieki, personas, kuru tiesības bija</w:t>
      </w:r>
      <w:r w:rsidR="00AA4D91">
        <w:rPr>
          <w:rFonts w:eastAsiaTheme="minorHAnsi"/>
          <w:lang w:eastAsia="en-US"/>
        </w:rPr>
        <w:t xml:space="preserve"> </w:t>
      </w:r>
      <w:r w:rsidR="00AA4D91">
        <w:rPr>
          <w:rFonts w:ascii="TimesNewRomanPSMT" w:eastAsiaTheme="minorHAnsi" w:hAnsi="TimesNewRomanPSMT" w:cs="TimesNewRomanPSMT"/>
          <w:lang w:eastAsia="en-US"/>
        </w:rPr>
        <w:t>aizskartas konkrētajā kriminālprocesā, kā arī perso</w:t>
      </w:r>
      <w:r w:rsidR="00C059A9">
        <w:rPr>
          <w:rFonts w:ascii="TimesNewRomanPSMT" w:eastAsiaTheme="minorHAnsi" w:hAnsi="TimesNewRomanPSMT" w:cs="TimesNewRomanPSMT"/>
          <w:lang w:eastAsia="en-US"/>
        </w:rPr>
        <w:t>nas, kuras veic zinātnisko darbību</w:t>
      </w:r>
      <w:r w:rsidR="00AA4D91">
        <w:rPr>
          <w:rFonts w:ascii="TimesNewRomanPSMT" w:eastAsiaTheme="minorHAnsi" w:hAnsi="TimesNewRomanPSMT" w:cs="TimesNewRomanPSMT"/>
          <w:lang w:eastAsia="en-US"/>
        </w:rPr>
        <w:t>.</w:t>
      </w:r>
    </w:p>
    <w:p w14:paraId="3331EFE9" w14:textId="77777777" w:rsidR="00AA4D91" w:rsidRDefault="00AA4D91" w:rsidP="00AA4D91">
      <w:pPr>
        <w:spacing w:line="276" w:lineRule="auto"/>
        <w:ind w:firstLine="567"/>
        <w:jc w:val="both"/>
        <w:rPr>
          <w:rFonts w:eastAsiaTheme="minorHAnsi"/>
          <w:lang w:eastAsia="en-US"/>
        </w:rPr>
      </w:pPr>
      <w:r>
        <w:rPr>
          <w:rFonts w:ascii="TimesNewRomanPSMT" w:eastAsiaTheme="minorHAnsi" w:hAnsi="TimesNewRomanPSMT" w:cs="TimesNewRomanPSMT"/>
          <w:lang w:eastAsia="en-US"/>
        </w:rPr>
        <w:t>Kriminālprocesa likuma regulējums par tiesībām iegūt informāciju kriminālprocesā</w:t>
      </w:r>
      <w:r>
        <w:rPr>
          <w:rFonts w:eastAsiaTheme="minorHAnsi"/>
          <w:lang w:eastAsia="en-US"/>
        </w:rPr>
        <w:t xml:space="preserve"> </w:t>
      </w:r>
      <w:r>
        <w:rPr>
          <w:rFonts w:ascii="TimesNewRomanPSMT" w:eastAsiaTheme="minorHAnsi" w:hAnsi="TimesNewRomanPSMT" w:cs="TimesNewRomanPSMT"/>
          <w:lang w:eastAsia="en-US"/>
        </w:rPr>
        <w:t>noteikts, pamatojoties uz Eiropas Parlamenta un Padomes direktīvu 2012/13/ES par tiesībām uz</w:t>
      </w:r>
      <w:r>
        <w:rPr>
          <w:rFonts w:eastAsiaTheme="minorHAnsi"/>
          <w:lang w:eastAsia="en-US"/>
        </w:rPr>
        <w:t xml:space="preserve"> </w:t>
      </w:r>
      <w:r>
        <w:rPr>
          <w:rFonts w:ascii="TimesNewRomanPSMT" w:eastAsiaTheme="minorHAnsi" w:hAnsi="TimesNewRomanPSMT" w:cs="TimesNewRomanPSMT"/>
          <w:lang w:eastAsia="en-US"/>
        </w:rPr>
        <w:t xml:space="preserve">informāciju kriminālprocesā. Saskaņā ar </w:t>
      </w:r>
      <w:r w:rsidR="00560EEA">
        <w:rPr>
          <w:rFonts w:ascii="TimesNewRomanPSMT" w:eastAsiaTheme="minorHAnsi" w:hAnsi="TimesNewRomanPSMT" w:cs="TimesNewRomanPSMT"/>
          <w:lang w:eastAsia="en-US"/>
        </w:rPr>
        <w:t>šīs</w:t>
      </w:r>
      <w:r>
        <w:rPr>
          <w:rFonts w:ascii="TimesNewRomanPSMT" w:eastAsiaTheme="minorHAnsi" w:hAnsi="TimesNewRomanPSMT" w:cs="TimesNewRomanPSMT"/>
          <w:lang w:eastAsia="en-US"/>
        </w:rPr>
        <w:t xml:space="preserve"> direktīvas </w:t>
      </w:r>
      <w:proofErr w:type="gramStart"/>
      <w:r>
        <w:rPr>
          <w:rFonts w:ascii="TimesNewRomanPSMT" w:eastAsiaTheme="minorHAnsi" w:hAnsi="TimesNewRomanPSMT" w:cs="TimesNewRomanPSMT"/>
          <w:lang w:eastAsia="en-US"/>
        </w:rPr>
        <w:t>7.pantu</w:t>
      </w:r>
      <w:proofErr w:type="gramEnd"/>
      <w:r>
        <w:rPr>
          <w:rFonts w:ascii="TimesNewRomanPSMT" w:eastAsiaTheme="minorHAnsi" w:hAnsi="TimesNewRomanPSMT" w:cs="TimesNewRomanPSMT"/>
          <w:lang w:eastAsia="en-US"/>
        </w:rPr>
        <w:t xml:space="preserve"> tiesības piekļūt lietas materiāliem ir apcietinātajiem, aizturētajiem un viņu advokātiem, lai</w:t>
      </w:r>
      <w:r>
        <w:rPr>
          <w:rFonts w:eastAsiaTheme="minorHAnsi"/>
          <w:lang w:eastAsia="en-US"/>
        </w:rPr>
        <w:t xml:space="preserve"> </w:t>
      </w:r>
      <w:r>
        <w:rPr>
          <w:rFonts w:ascii="TimesNewRomanPSMT" w:eastAsiaTheme="minorHAnsi" w:hAnsi="TimesNewRomanPSMT" w:cs="TimesNewRomanPSMT"/>
          <w:lang w:eastAsia="en-US"/>
        </w:rPr>
        <w:t>saskaņā ar valsts tiesību aktiem efektīvi apstrīdētu apcietināšanas vai aizturēšanas likumību un lai</w:t>
      </w:r>
      <w:r>
        <w:rPr>
          <w:rFonts w:eastAsiaTheme="minorHAnsi"/>
          <w:lang w:eastAsia="en-US"/>
        </w:rPr>
        <w:t xml:space="preserve"> </w:t>
      </w:r>
      <w:r>
        <w:rPr>
          <w:rFonts w:ascii="TimesNewRomanPSMT" w:eastAsiaTheme="minorHAnsi" w:hAnsi="TimesNewRomanPSMT" w:cs="TimesNewRomanPSMT"/>
          <w:lang w:eastAsia="en-US"/>
        </w:rPr>
        <w:t>garantētu procesa taisnīgu norisi un sagatavotu aizstāvību. Tātad tiesības piekļūt lietas materiāliem</w:t>
      </w:r>
      <w:r>
        <w:rPr>
          <w:rFonts w:eastAsiaTheme="minorHAnsi"/>
          <w:lang w:eastAsia="en-US"/>
        </w:rPr>
        <w:t xml:space="preserve"> </w:t>
      </w:r>
      <w:r>
        <w:rPr>
          <w:rFonts w:ascii="TimesNewRomanPSMT" w:eastAsiaTheme="minorHAnsi" w:hAnsi="TimesNewRomanPSMT" w:cs="TimesNewRomanPSMT"/>
          <w:lang w:eastAsia="en-US"/>
        </w:rPr>
        <w:t>ir personām, kuras ir ieguvušas tiesības uz aizstāvību.</w:t>
      </w:r>
    </w:p>
    <w:p w14:paraId="1DCD7C96" w14:textId="77777777" w:rsidR="00AA4D91" w:rsidRDefault="00AA4D91" w:rsidP="00AA4D91">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w:t>
      </w:r>
      <w:r w:rsidR="0012442A">
        <w:rPr>
          <w:rFonts w:ascii="TimesNewRomanPSMT" w:eastAsiaTheme="minorHAnsi" w:hAnsi="TimesNewRomanPSMT" w:cs="TimesNewRomanPSMT"/>
          <w:lang w:eastAsia="en-US"/>
        </w:rPr>
        <w:t>2</w:t>
      </w:r>
      <w:r>
        <w:rPr>
          <w:rFonts w:ascii="TimesNewRomanPSMT" w:eastAsiaTheme="minorHAnsi" w:hAnsi="TimesNewRomanPSMT" w:cs="TimesNewRomanPSMT"/>
          <w:lang w:eastAsia="en-US"/>
        </w:rPr>
        <w:t>] Lietā nav strīda, ka kriminālprocesā Nr.11096305514 pieteicējam bija liecinieka statuss.</w:t>
      </w:r>
      <w:r>
        <w:rPr>
          <w:rFonts w:eastAsiaTheme="minorHAnsi"/>
          <w:lang w:eastAsia="en-US"/>
        </w:rPr>
        <w:t xml:space="preserve"> </w:t>
      </w:r>
      <w:r>
        <w:rPr>
          <w:rFonts w:ascii="TimesNewRomanPSMT" w:eastAsiaTheme="minorHAnsi" w:hAnsi="TimesNewRomanPSMT" w:cs="TimesNewRomanPSMT"/>
          <w:lang w:eastAsia="en-US"/>
        </w:rPr>
        <w:t>Kriminālprocesa likuma 109.panta pirmā daļa noteic, ka liecinieks ir persona, kura likumā</w:t>
      </w:r>
      <w:r>
        <w:rPr>
          <w:rFonts w:eastAsiaTheme="minorHAnsi"/>
          <w:lang w:eastAsia="en-US"/>
        </w:rPr>
        <w:t xml:space="preserve"> </w:t>
      </w:r>
      <w:r>
        <w:rPr>
          <w:rFonts w:ascii="TimesNewRomanPSMT" w:eastAsiaTheme="minorHAnsi" w:hAnsi="TimesNewRomanPSMT" w:cs="TimesNewRomanPSMT"/>
          <w:lang w:eastAsia="en-US"/>
        </w:rPr>
        <w:t>noteiktajā kārtībā uzaicināta sniegt ziņas (liecināt) par kriminālprocesā pierādāmajiem apstākļiem</w:t>
      </w:r>
      <w:r>
        <w:rPr>
          <w:rFonts w:eastAsiaTheme="minorHAnsi"/>
          <w:lang w:eastAsia="en-US"/>
        </w:rPr>
        <w:t xml:space="preserve"> </w:t>
      </w:r>
      <w:r>
        <w:rPr>
          <w:rFonts w:ascii="TimesNewRomanPSMT" w:eastAsiaTheme="minorHAnsi" w:hAnsi="TimesNewRomanPSMT" w:cs="TimesNewRomanPSMT"/>
          <w:lang w:eastAsia="en-US"/>
        </w:rPr>
        <w:t xml:space="preserve">un ar tiem saistītajiem faktiem un </w:t>
      </w:r>
      <w:proofErr w:type="spellStart"/>
      <w:r>
        <w:rPr>
          <w:rFonts w:ascii="TimesNewRomanPSMT" w:eastAsiaTheme="minorHAnsi" w:hAnsi="TimesNewRomanPSMT" w:cs="TimesNewRomanPSMT"/>
          <w:lang w:eastAsia="en-US"/>
        </w:rPr>
        <w:t>palīgfaktiem</w:t>
      </w:r>
      <w:proofErr w:type="spellEnd"/>
      <w:r>
        <w:rPr>
          <w:rFonts w:ascii="TimesNewRomanPSMT" w:eastAsiaTheme="minorHAnsi" w:hAnsi="TimesNewRomanPSMT" w:cs="TimesNewRomanPSMT"/>
          <w:lang w:eastAsia="en-US"/>
        </w:rPr>
        <w:t xml:space="preserve">. </w:t>
      </w:r>
    </w:p>
    <w:p w14:paraId="6F315025" w14:textId="77777777" w:rsidR="00AA4D91" w:rsidRDefault="00AA4D91" w:rsidP="00AA4D91">
      <w:pPr>
        <w:spacing w:line="276" w:lineRule="auto"/>
        <w:ind w:firstLine="567"/>
        <w:jc w:val="both"/>
        <w:rPr>
          <w:rFonts w:eastAsiaTheme="minorHAnsi"/>
          <w:lang w:eastAsia="en-US"/>
        </w:rPr>
      </w:pPr>
      <w:r>
        <w:rPr>
          <w:rFonts w:ascii="TimesNewRomanPSMT" w:eastAsiaTheme="minorHAnsi" w:hAnsi="TimesNewRomanPSMT" w:cs="TimesNewRomanPSMT"/>
          <w:lang w:eastAsia="en-US"/>
        </w:rPr>
        <w:t>No minētās tiesību normas izriet, ka liecinieka</w:t>
      </w:r>
      <w:r>
        <w:rPr>
          <w:rFonts w:eastAsiaTheme="minorHAnsi"/>
          <w:lang w:eastAsia="en-US"/>
        </w:rPr>
        <w:t xml:space="preserve"> </w:t>
      </w:r>
      <w:r>
        <w:rPr>
          <w:rFonts w:ascii="TimesNewRomanPSMT" w:eastAsiaTheme="minorHAnsi" w:hAnsi="TimesNewRomanPSMT" w:cs="TimesNewRomanPSMT"/>
          <w:lang w:eastAsia="en-US"/>
        </w:rPr>
        <w:t>statuss kriminālprocesā personas tiesiskajā situācijā neko nemaina un to neietekmē. Līdz ar to arī</w:t>
      </w:r>
      <w:r>
        <w:rPr>
          <w:rFonts w:eastAsiaTheme="minorHAnsi"/>
          <w:lang w:eastAsia="en-US"/>
        </w:rPr>
        <w:t xml:space="preserve"> </w:t>
      </w:r>
      <w:r>
        <w:rPr>
          <w:rFonts w:ascii="TimesNewRomanPSMT" w:eastAsiaTheme="minorHAnsi" w:hAnsi="TimesNewRomanPSMT" w:cs="TimesNewRomanPSMT"/>
          <w:lang w:eastAsia="en-US"/>
        </w:rPr>
        <w:t>lieciniekam kriminālprocesā tiesību aizskārums netiek konstatēts.</w:t>
      </w:r>
    </w:p>
    <w:p w14:paraId="51DC8A7C" w14:textId="77777777" w:rsidR="00AA4D91" w:rsidRDefault="00AA4D91" w:rsidP="00AA4D91">
      <w:pPr>
        <w:spacing w:line="276" w:lineRule="auto"/>
        <w:ind w:firstLine="567"/>
        <w:jc w:val="both"/>
        <w:rPr>
          <w:rFonts w:eastAsiaTheme="minorHAnsi"/>
          <w:lang w:eastAsia="en-US"/>
        </w:rPr>
      </w:pPr>
      <w:r>
        <w:rPr>
          <w:rFonts w:ascii="TimesNewRomanPSMT" w:eastAsiaTheme="minorHAnsi" w:hAnsi="TimesNewRomanPSMT" w:cs="TimesNewRomanPSMT"/>
          <w:lang w:eastAsia="en-US"/>
        </w:rPr>
        <w:t xml:space="preserve">Ne no Kriminālprocesa likuma 110.panta, kurā noteiktas liecinieka tiesības, </w:t>
      </w:r>
      <w:r w:rsidR="0012442A">
        <w:rPr>
          <w:rFonts w:ascii="TimesNewRomanPSMT" w:eastAsiaTheme="minorHAnsi" w:hAnsi="TimesNewRomanPSMT" w:cs="TimesNewRomanPSMT"/>
          <w:lang w:eastAsia="en-US"/>
        </w:rPr>
        <w:t>ne</w:t>
      </w:r>
      <w:r>
        <w:rPr>
          <w:rFonts w:ascii="TimesNewRomanPSMT" w:eastAsiaTheme="minorHAnsi" w:hAnsi="TimesNewRomanPSMT" w:cs="TimesNewRomanPSMT"/>
          <w:lang w:eastAsia="en-US"/>
        </w:rPr>
        <w:t xml:space="preserve"> arī no</w:t>
      </w:r>
      <w:r>
        <w:rPr>
          <w:rFonts w:eastAsiaTheme="minorHAnsi"/>
          <w:lang w:eastAsia="en-US"/>
        </w:rPr>
        <w:t xml:space="preserve"> </w:t>
      </w:r>
      <w:r>
        <w:rPr>
          <w:rFonts w:ascii="TimesNewRomanPSMT" w:eastAsiaTheme="minorHAnsi" w:hAnsi="TimesNewRomanPSMT" w:cs="TimesNewRomanPSMT"/>
          <w:lang w:eastAsia="en-US"/>
        </w:rPr>
        <w:t>Kriminālprocesa likuma kopumā neizriet, ka lieciniekam būtu tiesības iepazīties ar krimināllietas</w:t>
      </w:r>
      <w:r>
        <w:rPr>
          <w:rFonts w:eastAsiaTheme="minorHAnsi"/>
          <w:lang w:eastAsia="en-US"/>
        </w:rPr>
        <w:t xml:space="preserve"> </w:t>
      </w:r>
      <w:r>
        <w:rPr>
          <w:rFonts w:ascii="TimesNewRomanPSMT" w:eastAsiaTheme="minorHAnsi" w:hAnsi="TimesNewRomanPSMT" w:cs="TimesNewRomanPSMT"/>
          <w:lang w:eastAsia="en-US"/>
        </w:rPr>
        <w:t>materiāliem.</w:t>
      </w:r>
    </w:p>
    <w:p w14:paraId="14B99862" w14:textId="77777777" w:rsidR="00AA4D91" w:rsidRDefault="00AA4D91" w:rsidP="00AA4D91">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Ņemot vērā minēto, prokuratūra pamatoti liedza pieteicējam iepazīties ar</w:t>
      </w:r>
      <w:r>
        <w:rPr>
          <w:rFonts w:eastAsiaTheme="minorHAnsi"/>
          <w:lang w:eastAsia="en-US"/>
        </w:rPr>
        <w:t xml:space="preserve"> </w:t>
      </w:r>
      <w:r>
        <w:rPr>
          <w:rFonts w:ascii="TimesNewRomanPSMT" w:eastAsiaTheme="minorHAnsi" w:hAnsi="TimesNewRomanPSMT" w:cs="TimesNewRomanPSMT"/>
          <w:lang w:eastAsia="en-US"/>
        </w:rPr>
        <w:t>krimināllietas materiāliem.</w:t>
      </w:r>
    </w:p>
    <w:p w14:paraId="2F179935" w14:textId="77777777" w:rsidR="00AA4D91" w:rsidRDefault="00AA4D91" w:rsidP="00AA4D91">
      <w:pPr>
        <w:spacing w:line="276" w:lineRule="auto"/>
        <w:ind w:firstLine="567"/>
        <w:jc w:val="both"/>
        <w:rPr>
          <w:rFonts w:ascii="TimesNewRomanPSMT" w:eastAsiaTheme="minorHAnsi" w:hAnsi="TimesNewRomanPSMT" w:cs="TimesNewRomanPSMT"/>
          <w:lang w:eastAsia="en-US"/>
        </w:rPr>
      </w:pPr>
    </w:p>
    <w:p w14:paraId="375D432C" w14:textId="77777777" w:rsidR="00E51F98" w:rsidRPr="00AA4D91" w:rsidRDefault="00E51F98" w:rsidP="00AA4D91">
      <w:pPr>
        <w:spacing w:line="276" w:lineRule="auto"/>
        <w:ind w:firstLine="567"/>
        <w:jc w:val="both"/>
        <w:rPr>
          <w:rFonts w:ascii="TimesNewRomanPSMT" w:eastAsiaTheme="minorHAnsi" w:hAnsi="TimesNewRomanPSMT" w:cs="TimesNewRomanPSMT"/>
          <w:lang w:eastAsia="en-US"/>
        </w:rPr>
      </w:pPr>
      <w:r w:rsidRPr="00FD70FA">
        <w:rPr>
          <w:rFonts w:eastAsiaTheme="minorHAnsi"/>
          <w:lang w:eastAsia="en-US"/>
        </w:rPr>
        <w:t>[</w:t>
      </w:r>
      <w:r>
        <w:rPr>
          <w:rFonts w:eastAsiaTheme="minorHAnsi"/>
          <w:lang w:eastAsia="en-US"/>
        </w:rPr>
        <w:t>5</w:t>
      </w:r>
      <w:r w:rsidRPr="00FD70FA">
        <w:rPr>
          <w:rFonts w:eastAsiaTheme="minorHAnsi"/>
          <w:lang w:eastAsia="en-US"/>
        </w:rPr>
        <w:t xml:space="preserve">] </w:t>
      </w:r>
      <w:r w:rsidR="00AA4D91">
        <w:rPr>
          <w:rFonts w:eastAsiaTheme="minorHAnsi"/>
          <w:lang w:eastAsia="en-US"/>
        </w:rPr>
        <w:t>Pieteicējs</w:t>
      </w:r>
      <w:r>
        <w:rPr>
          <w:rFonts w:eastAsiaTheme="minorHAnsi"/>
          <w:lang w:eastAsia="en-US"/>
        </w:rPr>
        <w:t xml:space="preserve"> </w:t>
      </w:r>
      <w:r w:rsidRPr="00FD70FA">
        <w:rPr>
          <w:rFonts w:eastAsiaTheme="minorHAnsi"/>
          <w:lang w:eastAsia="en-US"/>
        </w:rPr>
        <w:t xml:space="preserve">par minēto </w:t>
      </w:r>
      <w:r>
        <w:rPr>
          <w:rFonts w:eastAsiaTheme="minorHAnsi"/>
          <w:lang w:eastAsia="en-US"/>
        </w:rPr>
        <w:t xml:space="preserve">rajona </w:t>
      </w:r>
      <w:r w:rsidRPr="00FD70FA">
        <w:rPr>
          <w:rFonts w:eastAsiaTheme="minorHAnsi"/>
          <w:lang w:eastAsia="en-US"/>
        </w:rPr>
        <w:t>tiesas spriedumu iesniedz</w:t>
      </w:r>
      <w:r>
        <w:rPr>
          <w:rFonts w:eastAsiaTheme="minorHAnsi"/>
          <w:lang w:eastAsia="en-US"/>
        </w:rPr>
        <w:t>a</w:t>
      </w:r>
      <w:r w:rsidRPr="00FD70FA">
        <w:rPr>
          <w:rFonts w:eastAsiaTheme="minorHAnsi"/>
          <w:lang w:eastAsia="en-US"/>
        </w:rPr>
        <w:t xml:space="preserve"> kasācijas sūdzību. Kasācijas sūdzība pamatota ar turpmāk norādītajiem argumentiem.</w:t>
      </w:r>
    </w:p>
    <w:p w14:paraId="0FE6BC50" w14:textId="77777777" w:rsidR="000B2909" w:rsidRDefault="00C65380" w:rsidP="00AA4D91">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[5.1</w:t>
      </w:r>
      <w:r w:rsidR="009E0D6E">
        <w:rPr>
          <w:rFonts w:ascii="TimesNewRomanPSMT" w:eastAsiaTheme="minorHAnsi" w:hAnsi="TimesNewRomanPSMT" w:cs="TimesNewRomanPSMT"/>
          <w:lang w:eastAsia="en-US"/>
        </w:rPr>
        <w:t>]</w:t>
      </w:r>
      <w:r w:rsidR="009E0D6E" w:rsidRPr="009E0D6E">
        <w:rPr>
          <w:rFonts w:ascii="TimesNewRomanPSMT" w:eastAsiaTheme="minorHAnsi" w:hAnsi="TimesNewRomanPSMT" w:cs="TimesNewRomanPSMT"/>
          <w:lang w:eastAsia="en-US"/>
        </w:rPr>
        <w:t xml:space="preserve"> </w:t>
      </w:r>
      <w:r w:rsidR="00AA4D91">
        <w:rPr>
          <w:rFonts w:ascii="TimesNewRomanPSMT" w:eastAsiaTheme="minorHAnsi" w:hAnsi="TimesNewRomanPSMT" w:cs="TimesNewRomanPSMT"/>
          <w:lang w:eastAsia="en-US"/>
        </w:rPr>
        <w:t xml:space="preserve">Tiesa bez ievērības ir atstājusi apstākli, ka kriminālprocess tika uzsākts, pamatojoties uz pieteicēja iesniegumu. Kurzemes rajona prokuratūras virsprokurors un Rīgas tiesas apgabala prokuratūras virsprokurors pēc būtības </w:t>
      </w:r>
      <w:r w:rsidR="00910DB4">
        <w:rPr>
          <w:rFonts w:ascii="TimesNewRomanPSMT" w:eastAsiaTheme="minorHAnsi" w:hAnsi="TimesNewRomanPSMT" w:cs="TimesNewRomanPSMT"/>
          <w:lang w:eastAsia="en-US"/>
        </w:rPr>
        <w:t>ir izskatījuši</w:t>
      </w:r>
      <w:r w:rsidR="00AA4D91">
        <w:rPr>
          <w:rFonts w:ascii="TimesNewRomanPSMT" w:eastAsiaTheme="minorHAnsi" w:hAnsi="TimesNewRomanPSMT" w:cs="TimesNewRomanPSMT"/>
          <w:lang w:eastAsia="en-US"/>
        </w:rPr>
        <w:t xml:space="preserve"> pieteicēja sūdzības par lēmumu izbeigt kriminālprocesu.</w:t>
      </w:r>
    </w:p>
    <w:p w14:paraId="21D30DEC" w14:textId="77777777" w:rsidR="00AA4D91" w:rsidRDefault="00AA4D91" w:rsidP="00AA4D91">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No minētā izriet, ka pieteicējs ir persona, kuras tiesības bija aizskartas konkrētajā kriminālproces</w:t>
      </w:r>
      <w:r w:rsidR="000230CF">
        <w:rPr>
          <w:rFonts w:ascii="TimesNewRomanPSMT" w:eastAsiaTheme="minorHAnsi" w:hAnsi="TimesNewRomanPSMT" w:cs="TimesNewRomanPSMT"/>
          <w:lang w:eastAsia="en-US"/>
        </w:rPr>
        <w:t>ā.</w:t>
      </w:r>
      <w:r w:rsidR="00ED5DBE">
        <w:rPr>
          <w:rFonts w:ascii="TimesNewRomanPSMT" w:eastAsiaTheme="minorHAnsi" w:hAnsi="TimesNewRomanPSMT" w:cs="TimesNewRomanPSMT"/>
          <w:lang w:eastAsia="en-US"/>
        </w:rPr>
        <w:t xml:space="preserve"> Tādējādi tiesa ir nepareizi </w:t>
      </w:r>
      <w:r w:rsidR="00910DB4">
        <w:rPr>
          <w:rFonts w:ascii="TimesNewRomanPSMT" w:eastAsiaTheme="minorHAnsi" w:hAnsi="TimesNewRomanPSMT" w:cs="TimesNewRomanPSMT"/>
          <w:lang w:eastAsia="en-US"/>
        </w:rPr>
        <w:t>interpretējusi</w:t>
      </w:r>
      <w:r w:rsidR="00ED5DBE">
        <w:rPr>
          <w:rFonts w:ascii="TimesNewRomanPSMT" w:eastAsiaTheme="minorHAnsi" w:hAnsi="TimesNewRomanPSMT" w:cs="TimesNewRomanPSMT"/>
          <w:lang w:eastAsia="en-US"/>
        </w:rPr>
        <w:t xml:space="preserve"> Kriminālprocesa likuma 375.panta otro daļu. </w:t>
      </w:r>
    </w:p>
    <w:p w14:paraId="38C9EDCD" w14:textId="77777777" w:rsidR="004B76E8" w:rsidRDefault="00F20C38" w:rsidP="00891777">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[5.</w:t>
      </w:r>
      <w:r w:rsidR="004B76E8">
        <w:rPr>
          <w:rFonts w:ascii="TimesNewRomanPSMT" w:eastAsiaTheme="minorHAnsi" w:hAnsi="TimesNewRomanPSMT" w:cs="TimesNewRomanPSMT"/>
          <w:lang w:eastAsia="en-US"/>
        </w:rPr>
        <w:t>2</w:t>
      </w:r>
      <w:r>
        <w:rPr>
          <w:rFonts w:ascii="TimesNewRomanPSMT" w:eastAsiaTheme="minorHAnsi" w:hAnsi="TimesNewRomanPSMT" w:cs="TimesNewRomanPSMT"/>
          <w:lang w:eastAsia="en-US"/>
        </w:rPr>
        <w:t xml:space="preserve">] </w:t>
      </w:r>
      <w:r w:rsidR="004B76E8">
        <w:rPr>
          <w:rFonts w:ascii="TimesNewRomanPSMT" w:eastAsiaTheme="minorHAnsi" w:hAnsi="TimesNewRomanPSMT" w:cs="TimesNewRomanPSMT"/>
          <w:lang w:eastAsia="en-US"/>
        </w:rPr>
        <w:t xml:space="preserve">Atsakot izsniegt pieteicējam kriminālprocesa gaitā iegūtos pierādījumus, ir aizskartas pieteicēja Latvijas Republikas Satversmes 1., 89., 90. un </w:t>
      </w:r>
      <w:proofErr w:type="gramStart"/>
      <w:r w:rsidR="004B76E8">
        <w:rPr>
          <w:rFonts w:ascii="TimesNewRomanPSMT" w:eastAsiaTheme="minorHAnsi" w:hAnsi="TimesNewRomanPSMT" w:cs="TimesNewRomanPSMT"/>
          <w:lang w:eastAsia="en-US"/>
        </w:rPr>
        <w:t>92.pantā</w:t>
      </w:r>
      <w:proofErr w:type="gramEnd"/>
      <w:r w:rsidR="004B76E8">
        <w:rPr>
          <w:rFonts w:ascii="TimesNewRomanPSMT" w:eastAsiaTheme="minorHAnsi" w:hAnsi="TimesNewRomanPSMT" w:cs="TimesNewRomanPSMT"/>
          <w:lang w:eastAsia="en-US"/>
        </w:rPr>
        <w:t xml:space="preserve">, kā arī Eiropas Cilvēktiesību un pamatbrīvību aizsardzības konvencijas 6.pantā </w:t>
      </w:r>
      <w:r w:rsidR="004B76E8">
        <w:rPr>
          <w:rFonts w:ascii="TimesNewRomanPSMT" w:eastAsiaTheme="minorHAnsi" w:hAnsi="TimesNewRomanPSMT" w:cs="TimesNewRomanPSMT" w:hint="eastAsia"/>
          <w:lang w:eastAsia="en-US"/>
        </w:rPr>
        <w:t>nostiprinātās</w:t>
      </w:r>
      <w:r w:rsidR="004B76E8">
        <w:rPr>
          <w:rFonts w:ascii="TimesNewRomanPSMT" w:eastAsiaTheme="minorHAnsi" w:hAnsi="TimesNewRomanPSMT" w:cs="TimesNewRomanPSMT"/>
          <w:lang w:eastAsia="en-US"/>
        </w:rPr>
        <w:t xml:space="preserve"> tiesības. Pieteicējam </w:t>
      </w:r>
      <w:r w:rsidR="003B794D">
        <w:rPr>
          <w:rFonts w:ascii="TimesNewRomanPSMT" w:eastAsiaTheme="minorHAnsi" w:hAnsi="TimesNewRomanPSMT" w:cs="TimesNewRomanPSMT"/>
          <w:lang w:eastAsia="en-US"/>
        </w:rPr>
        <w:t>ir liegta pieeja informācijai</w:t>
      </w:r>
      <w:r w:rsidR="004B76E8">
        <w:rPr>
          <w:rFonts w:ascii="TimesNewRomanPSMT" w:eastAsiaTheme="minorHAnsi" w:hAnsi="TimesNewRomanPSMT" w:cs="TimesNewRomanPSMT"/>
          <w:lang w:eastAsia="en-US"/>
        </w:rPr>
        <w:t xml:space="preserve">, kas nepieciešama, lai vērstos vispārējās jurisdikcijas tiesā ar civilprasību, tādējādi </w:t>
      </w:r>
      <w:r w:rsidR="003B794D">
        <w:rPr>
          <w:rFonts w:ascii="TimesNewRomanPSMT" w:eastAsiaTheme="minorHAnsi" w:hAnsi="TimesNewRomanPSMT" w:cs="TimesNewRomanPSMT"/>
          <w:lang w:eastAsia="en-US"/>
        </w:rPr>
        <w:t xml:space="preserve">nepamatoti ir </w:t>
      </w:r>
      <w:r w:rsidR="004B76E8">
        <w:rPr>
          <w:rFonts w:ascii="TimesNewRomanPSMT" w:eastAsiaTheme="minorHAnsi" w:hAnsi="TimesNewRomanPSMT" w:cs="TimesNewRomanPSMT"/>
          <w:lang w:eastAsia="en-US"/>
        </w:rPr>
        <w:t>ierobežotas pieteicēja tiesības vērsties tiesā. Turklāt, ja jau valsts iestāde ir savākusi informāciju, kas vēlāk var nebūt pieejama, un norāda pieteicējam, ka viņam ir jāvēršas vispārējās jurisdikcijas tiesā, nav pamata atteikt iepazīties ar iegūtajiem pierādījumiem.</w:t>
      </w:r>
    </w:p>
    <w:p w14:paraId="35B4ADDC" w14:textId="77777777" w:rsidR="00F20C38" w:rsidRDefault="004B76E8" w:rsidP="00891777">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[5.3] </w:t>
      </w:r>
      <w:r w:rsidR="00F20C38">
        <w:rPr>
          <w:rFonts w:ascii="TimesNewRomanPSMT" w:eastAsiaTheme="minorHAnsi" w:hAnsi="TimesNewRomanPSMT" w:cs="TimesNewRomanPSMT"/>
          <w:lang w:eastAsia="en-US"/>
        </w:rPr>
        <w:t>Nav attaisnojama piekļuves ierobežošana informācijas saņemšanai. Kā izriet no lēmuma par kriminālprocesa izbeigšanu un lēmumiem, kas pieņemti, izskatot pieteicēja sūdzību, izbeigtā kriminālprocesa materiālos nav ziņu par noziedzīgiem nodar</w:t>
      </w:r>
      <w:r w:rsidR="003B794D">
        <w:rPr>
          <w:rFonts w:ascii="TimesNewRomanPSMT" w:eastAsiaTheme="minorHAnsi" w:hAnsi="TimesNewRomanPSMT" w:cs="TimesNewRomanPSMT"/>
          <w:lang w:eastAsia="en-US"/>
        </w:rPr>
        <w:t>ījumiem. L</w:t>
      </w:r>
      <w:r w:rsidR="00F20C38">
        <w:rPr>
          <w:rFonts w:ascii="TimesNewRomanPSMT" w:eastAsiaTheme="minorHAnsi" w:hAnsi="TimesNewRomanPSMT" w:cs="TimesNewRomanPSMT"/>
          <w:lang w:eastAsia="en-US"/>
        </w:rPr>
        <w:t xml:space="preserve">īdz ar to nav pamata pieteicējam </w:t>
      </w:r>
      <w:r w:rsidR="003B794D">
        <w:rPr>
          <w:rFonts w:ascii="TimesNewRomanPSMT" w:eastAsiaTheme="minorHAnsi" w:hAnsi="TimesNewRomanPSMT" w:cs="TimesNewRomanPSMT"/>
          <w:lang w:eastAsia="en-US"/>
        </w:rPr>
        <w:t xml:space="preserve">atteikt izsniegt </w:t>
      </w:r>
      <w:r w:rsidR="00F20C38">
        <w:rPr>
          <w:rFonts w:ascii="TimesNewRomanPSMT" w:eastAsiaTheme="minorHAnsi" w:hAnsi="TimesNewRomanPSMT" w:cs="TimesNewRomanPSMT" w:hint="eastAsia"/>
          <w:lang w:eastAsia="en-US"/>
        </w:rPr>
        <w:t>pieprasīto</w:t>
      </w:r>
      <w:r w:rsidR="00F20C38">
        <w:rPr>
          <w:rFonts w:ascii="TimesNewRomanPSMT" w:eastAsiaTheme="minorHAnsi" w:hAnsi="TimesNewRomanPSMT" w:cs="TimesNewRomanPSMT"/>
          <w:lang w:eastAsia="en-US"/>
        </w:rPr>
        <w:t xml:space="preserve"> informāciju.</w:t>
      </w:r>
      <w:r w:rsidR="00492B4C" w:rsidRPr="00492B4C">
        <w:rPr>
          <w:rFonts w:ascii="TimesNewRomanPSMT" w:eastAsiaTheme="minorHAnsi" w:hAnsi="TimesNewRomanPSMT" w:cs="TimesNewRomanPSMT"/>
          <w:lang w:eastAsia="en-US"/>
        </w:rPr>
        <w:t xml:space="preserve"> </w:t>
      </w:r>
      <w:r w:rsidR="00492B4C">
        <w:rPr>
          <w:rFonts w:ascii="TimesNewRomanPSMT" w:eastAsiaTheme="minorHAnsi" w:hAnsi="TimesNewRomanPSMT" w:cs="TimesNewRomanPSMT"/>
          <w:lang w:eastAsia="en-US"/>
        </w:rPr>
        <w:t xml:space="preserve">Turklāt, ievērojot to, ka kriminālprocess izbeigts, jo nav noziedzīga nodarījuma sastāva, nav pamata uzskatīt, ka, izsniedzot krimināllietas </w:t>
      </w:r>
      <w:proofErr w:type="gramStart"/>
      <w:r w:rsidR="00492B4C">
        <w:rPr>
          <w:rFonts w:ascii="TimesNewRomanPSMT" w:eastAsiaTheme="minorHAnsi" w:hAnsi="TimesNewRomanPSMT" w:cs="TimesNewRomanPSMT"/>
          <w:lang w:eastAsia="en-US"/>
        </w:rPr>
        <w:t>materiālus, tiktu</w:t>
      </w:r>
      <w:proofErr w:type="gramEnd"/>
      <w:r w:rsidR="00492B4C">
        <w:rPr>
          <w:rFonts w:ascii="TimesNewRomanPSMT" w:eastAsiaTheme="minorHAnsi" w:hAnsi="TimesNewRomanPSMT" w:cs="TimesNewRomanPSMT"/>
          <w:lang w:eastAsia="en-US"/>
        </w:rPr>
        <w:t xml:space="preserve"> apdraudētas vai aizskartas sabiedrības intereses.</w:t>
      </w:r>
    </w:p>
    <w:p w14:paraId="6F7EA956" w14:textId="77777777" w:rsidR="00891777" w:rsidRDefault="00F20C38" w:rsidP="00891777">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[5.4] </w:t>
      </w:r>
      <w:r w:rsidR="00ED5DBE">
        <w:rPr>
          <w:rFonts w:ascii="TimesNewRomanPSMT" w:eastAsiaTheme="minorHAnsi" w:hAnsi="TimesNewRomanPSMT" w:cs="TimesNewRomanPSMT"/>
          <w:lang w:eastAsia="en-US"/>
        </w:rPr>
        <w:t xml:space="preserve">Atteikumā izsniegt informāciju iestāde nepamatoti </w:t>
      </w:r>
      <w:r w:rsidR="003B794D">
        <w:rPr>
          <w:rFonts w:ascii="TimesNewRomanPSMT" w:eastAsiaTheme="minorHAnsi" w:hAnsi="TimesNewRomanPSMT" w:cs="TimesNewRomanPSMT"/>
          <w:lang w:eastAsia="en-US"/>
        </w:rPr>
        <w:t xml:space="preserve">ir </w:t>
      </w:r>
      <w:r w:rsidR="00ED5DBE">
        <w:rPr>
          <w:rFonts w:ascii="TimesNewRomanPSMT" w:eastAsiaTheme="minorHAnsi" w:hAnsi="TimesNewRomanPSMT" w:cs="TimesNewRomanPSMT"/>
          <w:lang w:eastAsia="en-US"/>
        </w:rPr>
        <w:t>atsaukusies uz Kriminālprocesa likuma 337.panta trešo daļu. Pieteicēja lūgums iepazīties ar kriminālprocesa materiāliem nav saistīts ar kriminālprocesa norisi.</w:t>
      </w:r>
    </w:p>
    <w:p w14:paraId="69332EF7" w14:textId="77777777" w:rsidR="00662D19" w:rsidRDefault="00662D19" w:rsidP="00CA78F3">
      <w:pPr>
        <w:spacing w:line="276" w:lineRule="auto"/>
        <w:ind w:firstLine="567"/>
        <w:jc w:val="center"/>
        <w:rPr>
          <w:b/>
        </w:rPr>
      </w:pPr>
    </w:p>
    <w:p w14:paraId="6B9DBB21" w14:textId="77777777" w:rsidR="002B4191" w:rsidRDefault="00901CBA" w:rsidP="00CA78F3">
      <w:pPr>
        <w:spacing w:line="276" w:lineRule="auto"/>
        <w:ind w:firstLine="567"/>
        <w:jc w:val="center"/>
        <w:rPr>
          <w:b/>
        </w:rPr>
      </w:pPr>
      <w:r w:rsidRPr="00DB617D">
        <w:rPr>
          <w:b/>
        </w:rPr>
        <w:t>Motīvu daļa</w:t>
      </w:r>
    </w:p>
    <w:p w14:paraId="1D20D56E" w14:textId="77777777" w:rsidR="00D96D24" w:rsidRDefault="00D96D24" w:rsidP="00D96D24">
      <w:pPr>
        <w:autoSpaceDE w:val="0"/>
        <w:autoSpaceDN w:val="0"/>
        <w:adjustRightInd w:val="0"/>
        <w:spacing w:line="276" w:lineRule="auto"/>
        <w:jc w:val="both"/>
      </w:pPr>
    </w:p>
    <w:p w14:paraId="0FA89AEE" w14:textId="77777777" w:rsidR="00B3677F" w:rsidRDefault="00FE16F1" w:rsidP="00047112">
      <w:pPr>
        <w:autoSpaceDE w:val="0"/>
        <w:autoSpaceDN w:val="0"/>
        <w:adjustRightInd w:val="0"/>
        <w:spacing w:line="276" w:lineRule="auto"/>
        <w:ind w:firstLine="567"/>
        <w:jc w:val="both"/>
      </w:pPr>
      <w:r>
        <w:t>[</w:t>
      </w:r>
      <w:r w:rsidR="007D152E">
        <w:t>6</w:t>
      </w:r>
      <w:r w:rsidR="00C56292">
        <w:t>]</w:t>
      </w:r>
      <w:r w:rsidR="007D152E" w:rsidRPr="007D152E">
        <w:t xml:space="preserve"> </w:t>
      </w:r>
      <w:r w:rsidR="00B3677F">
        <w:t>Izskatāmajā lietā izšķirams jautājums, vai pieteicējam būtu atzīstamas tiesības saņemt informāciju no tā kriminālprocesa lietas materiāliem, kas tika ierosināts sakarā ar pieteicēja iesniegumu un izbeigts noziedzīga nodarījuma neesamības dēļ.</w:t>
      </w:r>
    </w:p>
    <w:p w14:paraId="524C5841" w14:textId="77777777" w:rsidR="00AD4808" w:rsidRDefault="008E7B4A" w:rsidP="00F73336">
      <w:pPr>
        <w:autoSpaceDE w:val="0"/>
        <w:autoSpaceDN w:val="0"/>
        <w:adjustRightInd w:val="0"/>
        <w:spacing w:line="276" w:lineRule="auto"/>
        <w:ind w:firstLine="567"/>
        <w:jc w:val="both"/>
      </w:pPr>
      <w:r>
        <w:t xml:space="preserve">Prokuratūra </w:t>
      </w:r>
      <w:r w:rsidR="001A1AC6">
        <w:t>noraidīja</w:t>
      </w:r>
      <w:r w:rsidR="00834E47">
        <w:t xml:space="preserve"> </w:t>
      </w:r>
      <w:r>
        <w:t>pieteicēja</w:t>
      </w:r>
      <w:r w:rsidR="00047112">
        <w:t xml:space="preserve"> lūgum</w:t>
      </w:r>
      <w:r w:rsidR="001A1AC6">
        <w:t>u</w:t>
      </w:r>
      <w:r>
        <w:t xml:space="preserve"> </w:t>
      </w:r>
      <w:r w:rsidR="00834E47">
        <w:t>iepazīties ar krimināllietas materiāliem tā iemesla dē</w:t>
      </w:r>
      <w:r w:rsidR="008C0D91">
        <w:t>ļ,</w:t>
      </w:r>
      <w:r w:rsidR="00834E47">
        <w:t xml:space="preserve"> ka</w:t>
      </w:r>
      <w:r>
        <w:t xml:space="preserve"> </w:t>
      </w:r>
      <w:r w:rsidR="001A1AC6">
        <w:t xml:space="preserve">pieteicējs konkrētajā kriminālprocesā tika nopratināts kā liecinieks un </w:t>
      </w:r>
      <w:r w:rsidR="00F73336">
        <w:t>Kriminālprocesa likuma 375.panta otrā daļa neparedz krimināllietas materiālu izsniegšanu personai, kura konkrētajā kriminālprocesā nopratināta liecinieka statusā.</w:t>
      </w:r>
      <w:r w:rsidR="00B3677F">
        <w:t xml:space="preserve"> </w:t>
      </w:r>
      <w:r w:rsidR="000813EF">
        <w:t>Arī r</w:t>
      </w:r>
      <w:r w:rsidR="00AD4808">
        <w:t>ajona tiesa</w:t>
      </w:r>
      <w:r w:rsidR="000C6DD7">
        <w:t>, s</w:t>
      </w:r>
      <w:r w:rsidR="00B3677F">
        <w:t xml:space="preserve">ecinot, ka </w:t>
      </w:r>
      <w:r w:rsidR="001C28D5">
        <w:t>lieciniek</w:t>
      </w:r>
      <w:r w:rsidR="000C6DD7">
        <w:t>a tiesības kriminālprocess nevar skart</w:t>
      </w:r>
      <w:r w:rsidR="001C28D5">
        <w:t xml:space="preserve">, </w:t>
      </w:r>
      <w:r w:rsidR="000C6DD7">
        <w:t xml:space="preserve">atzina, ka </w:t>
      </w:r>
      <w:r w:rsidR="00DC227E">
        <w:t>pieteic</w:t>
      </w:r>
      <w:r w:rsidR="001C28D5">
        <w:t xml:space="preserve">ējam nav tiesību </w:t>
      </w:r>
      <w:r w:rsidR="000C6DD7">
        <w:t>iepazīties ar pieprasīto informāciju</w:t>
      </w:r>
      <w:r w:rsidR="001C28D5">
        <w:t>.</w:t>
      </w:r>
    </w:p>
    <w:p w14:paraId="55E28D81" w14:textId="77777777" w:rsidR="00F12C9F" w:rsidRDefault="00EC5D84" w:rsidP="00F12C9F">
      <w:pPr>
        <w:autoSpaceDE w:val="0"/>
        <w:autoSpaceDN w:val="0"/>
        <w:adjustRightInd w:val="0"/>
        <w:spacing w:line="276" w:lineRule="auto"/>
        <w:ind w:firstLine="567"/>
        <w:jc w:val="both"/>
      </w:pPr>
      <w:r>
        <w:t xml:space="preserve">Augstākā tiesa turpmāk </w:t>
      </w:r>
      <w:r w:rsidR="003D3284">
        <w:t>izklāstīto</w:t>
      </w:r>
      <w:r>
        <w:t xml:space="preserve"> apsvērumu </w:t>
      </w:r>
      <w:r w:rsidR="001A1AC6">
        <w:t xml:space="preserve">dēļ konkrētajos apstākļos </w:t>
      </w:r>
      <w:r w:rsidR="003D3284">
        <w:t>šādam</w:t>
      </w:r>
      <w:r>
        <w:t xml:space="preserve"> secinājum</w:t>
      </w:r>
      <w:r w:rsidR="003D3284">
        <w:t>am nepiekrīt</w:t>
      </w:r>
      <w:r>
        <w:t>.</w:t>
      </w:r>
    </w:p>
    <w:p w14:paraId="6F5B6A2C" w14:textId="77777777" w:rsidR="00F12C9F" w:rsidRDefault="00F12C9F" w:rsidP="00F12C9F">
      <w:pPr>
        <w:autoSpaceDE w:val="0"/>
        <w:autoSpaceDN w:val="0"/>
        <w:adjustRightInd w:val="0"/>
        <w:spacing w:line="276" w:lineRule="auto"/>
        <w:ind w:firstLine="567"/>
        <w:jc w:val="both"/>
      </w:pPr>
    </w:p>
    <w:p w14:paraId="210511CC" w14:textId="0C72FF0B" w:rsidR="003441ED" w:rsidRDefault="00EC5D84" w:rsidP="00926EC5">
      <w:pPr>
        <w:autoSpaceDE w:val="0"/>
        <w:autoSpaceDN w:val="0"/>
        <w:adjustRightInd w:val="0"/>
        <w:spacing w:line="276" w:lineRule="auto"/>
        <w:ind w:firstLine="567"/>
        <w:jc w:val="both"/>
      </w:pPr>
      <w:r>
        <w:t xml:space="preserve">[7] </w:t>
      </w:r>
      <w:r w:rsidR="00F12C9F">
        <w:t xml:space="preserve">Augstākās tiesas judikatūrā atzīts, ka </w:t>
      </w:r>
      <w:r w:rsidR="005875E7">
        <w:t>Informācijas atklātības likums attiecas uz gadījumiem, kad persona, īstenojot savas tiesības uz informāciju, vēršas iestādē nolūkā iegūt kādus datus, no kuriem tiek kaut kas uzzin</w:t>
      </w:r>
      <w:r w:rsidR="00926EC5">
        <w:t>āts (</w:t>
      </w:r>
      <w:r w:rsidR="005875E7" w:rsidRPr="00926EC5">
        <w:rPr>
          <w:i/>
        </w:rPr>
        <w:t xml:space="preserve">Augstākās tiesas </w:t>
      </w:r>
      <w:proofErr w:type="gramStart"/>
      <w:r w:rsidR="005875E7" w:rsidRPr="00926EC5">
        <w:rPr>
          <w:i/>
        </w:rPr>
        <w:t>2011.gada</w:t>
      </w:r>
      <w:proofErr w:type="gramEnd"/>
      <w:r w:rsidR="005875E7" w:rsidRPr="00926EC5">
        <w:rPr>
          <w:i/>
        </w:rPr>
        <w:t xml:space="preserve"> 22.februāra lēmuma </w:t>
      </w:r>
      <w:r w:rsidR="005875E7" w:rsidRPr="00611ABB">
        <w:rPr>
          <w:i/>
        </w:rPr>
        <w:t>lietā Nr.</w:t>
      </w:r>
      <w:r w:rsidR="00FB1ED7">
        <w:rPr>
          <w:i/>
        </w:rPr>
        <w:t> </w:t>
      </w:r>
      <w:r w:rsidR="005875E7" w:rsidRPr="00611ABB">
        <w:rPr>
          <w:i/>
        </w:rPr>
        <w:t>SKA-203/</w:t>
      </w:r>
      <w:r w:rsidR="00926EC5" w:rsidRPr="00611ABB">
        <w:rPr>
          <w:i/>
        </w:rPr>
        <w:t>20</w:t>
      </w:r>
      <w:r w:rsidR="005875E7" w:rsidRPr="00611ABB">
        <w:rPr>
          <w:i/>
        </w:rPr>
        <w:t>11</w:t>
      </w:r>
      <w:r w:rsidR="00926EC5" w:rsidRPr="00611ABB">
        <w:rPr>
          <w:i/>
        </w:rPr>
        <w:t xml:space="preserve"> </w:t>
      </w:r>
      <w:r w:rsidR="009053C8" w:rsidRPr="00611ABB">
        <w:rPr>
          <w:i/>
        </w:rPr>
        <w:t>(A8094810</w:t>
      </w:r>
      <w:r w:rsidR="009053C8" w:rsidRPr="009053C8">
        <w:rPr>
          <w:i/>
        </w:rPr>
        <w:t xml:space="preserve">) </w:t>
      </w:r>
      <w:r w:rsidR="00926EC5" w:rsidRPr="009053C8">
        <w:rPr>
          <w:i/>
        </w:rPr>
        <w:t>6</w:t>
      </w:r>
      <w:r w:rsidR="00926EC5" w:rsidRPr="00926EC5">
        <w:rPr>
          <w:i/>
        </w:rPr>
        <w:t>.punkt</w:t>
      </w:r>
      <w:r w:rsidR="004D172F">
        <w:rPr>
          <w:i/>
        </w:rPr>
        <w:t>s</w:t>
      </w:r>
      <w:r w:rsidR="00926EC5" w:rsidRPr="00926EC5">
        <w:rPr>
          <w:i/>
        </w:rPr>
        <w:t xml:space="preserve"> un 2017.gada 20.februāra lēmuma lietā Nr.</w:t>
      </w:r>
      <w:r w:rsidR="00FB1ED7">
        <w:rPr>
          <w:i/>
        </w:rPr>
        <w:t> </w:t>
      </w:r>
      <w:r w:rsidR="00926EC5" w:rsidRPr="00926EC5">
        <w:rPr>
          <w:i/>
        </w:rPr>
        <w:t>SKA-172/2017</w:t>
      </w:r>
      <w:r w:rsidR="005875E7" w:rsidRPr="00926EC5">
        <w:rPr>
          <w:i/>
        </w:rPr>
        <w:t xml:space="preserve"> (</w:t>
      </w:r>
      <w:r w:rsidR="00926EC5" w:rsidRPr="00926EC5">
        <w:rPr>
          <w:i/>
        </w:rPr>
        <w:t>6-70015715/6) 6.punkt</w:t>
      </w:r>
      <w:r w:rsidR="004D172F">
        <w:rPr>
          <w:i/>
        </w:rPr>
        <w:t>s</w:t>
      </w:r>
      <w:r w:rsidR="00926EC5">
        <w:t xml:space="preserve">). </w:t>
      </w:r>
    </w:p>
    <w:p w14:paraId="5A8883AB" w14:textId="7D2E3A2A" w:rsidR="003F6BFD" w:rsidRPr="00A57F79" w:rsidRDefault="003441ED" w:rsidP="00A57F79">
      <w:pPr>
        <w:autoSpaceDE w:val="0"/>
        <w:autoSpaceDN w:val="0"/>
        <w:adjustRightInd w:val="0"/>
        <w:spacing w:line="276" w:lineRule="auto"/>
        <w:ind w:firstLine="567"/>
        <w:jc w:val="both"/>
        <w:rPr>
          <w:rFonts w:ascii="TimesNewRomanPSMT" w:eastAsiaTheme="minorHAnsi" w:hAnsi="TimesNewRomanPSMT" w:cs="TimesNewRomanPSMT"/>
          <w:lang w:eastAsia="en-US"/>
        </w:rPr>
      </w:pPr>
      <w:r>
        <w:t xml:space="preserve">Izskatāmajā gadījumā pieteicējs ir vērsies </w:t>
      </w:r>
      <w:r w:rsidR="003E438E">
        <w:t>prokuratūrā</w:t>
      </w:r>
      <w:r>
        <w:t xml:space="preserve">, lai iepazītos ar informāciju, </w:t>
      </w:r>
      <w:r w:rsidR="003A0062">
        <w:t xml:space="preserve">kas </w:t>
      </w:r>
      <w:r>
        <w:t>sa</w:t>
      </w:r>
      <w:r w:rsidR="000813EF">
        <w:t>istīta ar konkrētu krimināllietu</w:t>
      </w:r>
      <w:r>
        <w:t xml:space="preserve">. </w:t>
      </w:r>
      <w:r w:rsidR="00926EC5">
        <w:rPr>
          <w:rFonts w:ascii="TimesNewRomanPSMT" w:eastAsiaTheme="minorHAnsi" w:hAnsi="TimesNewRomanPSMT" w:cs="TimesNewRomanPSMT"/>
          <w:lang w:eastAsia="en-US"/>
        </w:rPr>
        <w:t>Augstākā tiesa ir atzinusi, ka p</w:t>
      </w:r>
      <w:r w:rsidR="00F12C9F">
        <w:rPr>
          <w:rFonts w:ascii="TimesNewRomanPSMT" w:eastAsiaTheme="minorHAnsi" w:hAnsi="TimesNewRomanPSMT" w:cs="TimesNewRomanPSMT"/>
          <w:lang w:eastAsia="en-US"/>
        </w:rPr>
        <w:t>ēc galīgā nolēmuma stāšanās spēkā</w:t>
      </w:r>
      <w:r w:rsidR="00F12C9F">
        <w:t xml:space="preserve"> </w:t>
      </w:r>
      <w:r>
        <w:t>šāda veida info</w:t>
      </w:r>
      <w:r w:rsidR="00D054AE">
        <w:t>r</w:t>
      </w:r>
      <w:r>
        <w:t>mācija</w:t>
      </w:r>
      <w:r w:rsidR="00926EC5">
        <w:t xml:space="preserve"> </w:t>
      </w:r>
      <w:r w:rsidR="00F12C9F">
        <w:rPr>
          <w:rFonts w:ascii="TimesNewRomanPSMT" w:eastAsiaTheme="minorHAnsi" w:hAnsi="TimesNewRomanPSMT" w:cs="TimesNewRomanPSMT"/>
          <w:lang w:eastAsia="en-US"/>
        </w:rPr>
        <w:t>ir pieejama saskaņā ar Informācijas atklātības</w:t>
      </w:r>
      <w:r w:rsidR="00F12C9F">
        <w:t xml:space="preserve"> </w:t>
      </w:r>
      <w:r w:rsidR="00F12C9F">
        <w:rPr>
          <w:rFonts w:ascii="TimesNewRomanPSMT" w:eastAsiaTheme="minorHAnsi" w:hAnsi="TimesNewRomanPSMT" w:cs="TimesNewRomanPSMT"/>
          <w:lang w:eastAsia="en-US"/>
        </w:rPr>
        <w:t>likumu (</w:t>
      </w:r>
      <w:r w:rsidR="00F12C9F">
        <w:rPr>
          <w:rFonts w:ascii="TimesNewRomanPS-ItalicMT" w:eastAsiaTheme="minorHAnsi" w:hAnsi="TimesNewRomanPS-ItalicMT" w:cs="TimesNewRomanPS-ItalicMT"/>
          <w:i/>
          <w:iCs/>
          <w:lang w:eastAsia="en-US"/>
        </w:rPr>
        <w:t xml:space="preserve">Augstākās tiesas </w:t>
      </w:r>
      <w:proofErr w:type="gramStart"/>
      <w:r w:rsidR="00F12C9F">
        <w:rPr>
          <w:rFonts w:ascii="TimesNewRomanPS-ItalicMT" w:eastAsiaTheme="minorHAnsi" w:hAnsi="TimesNewRomanPS-ItalicMT" w:cs="TimesNewRomanPS-ItalicMT"/>
          <w:i/>
          <w:iCs/>
          <w:lang w:eastAsia="en-US"/>
        </w:rPr>
        <w:t>2013.gada</w:t>
      </w:r>
      <w:proofErr w:type="gramEnd"/>
      <w:r w:rsidR="00F12C9F">
        <w:rPr>
          <w:rFonts w:ascii="TimesNewRomanPS-ItalicMT" w:eastAsiaTheme="minorHAnsi" w:hAnsi="TimesNewRomanPS-ItalicMT" w:cs="TimesNewRomanPS-ItalicMT"/>
          <w:i/>
          <w:iCs/>
          <w:lang w:eastAsia="en-US"/>
        </w:rPr>
        <w:t xml:space="preserve"> 15.marta lēmuma lietā Nr.</w:t>
      </w:r>
      <w:r w:rsidR="00FB1ED7">
        <w:rPr>
          <w:rFonts w:ascii="TimesNewRomanPS-ItalicMT" w:eastAsiaTheme="minorHAnsi" w:hAnsi="TimesNewRomanPS-ItalicMT" w:cs="TimesNewRomanPS-ItalicMT"/>
          <w:i/>
          <w:iCs/>
          <w:lang w:eastAsia="en-US"/>
        </w:rPr>
        <w:t> </w:t>
      </w:r>
      <w:r w:rsidR="00F12C9F">
        <w:rPr>
          <w:rFonts w:ascii="TimesNewRomanPS-ItalicMT" w:eastAsiaTheme="minorHAnsi" w:hAnsi="TimesNewRomanPS-ItalicMT" w:cs="TimesNewRomanPS-ItalicMT"/>
          <w:i/>
          <w:iCs/>
          <w:lang w:eastAsia="en-US"/>
        </w:rPr>
        <w:t xml:space="preserve">SKA-418/2013 </w:t>
      </w:r>
      <w:r w:rsidR="00F12C9F" w:rsidRPr="00F12C9F">
        <w:rPr>
          <w:rFonts w:ascii="TimesNewRomanPS-ItalicMT" w:eastAsiaTheme="minorHAnsi" w:hAnsi="TimesNewRomanPS-ItalicMT" w:cs="TimesNewRomanPS-ItalicMT"/>
          <w:i/>
          <w:iCs/>
          <w:lang w:eastAsia="en-US"/>
        </w:rPr>
        <w:t>(</w:t>
      </w:r>
      <w:r w:rsidR="00F12C9F" w:rsidRPr="00F12C9F">
        <w:rPr>
          <w:i/>
        </w:rPr>
        <w:t xml:space="preserve">670057712) </w:t>
      </w:r>
      <w:r w:rsidR="00F12C9F" w:rsidRPr="00F12C9F">
        <w:rPr>
          <w:rFonts w:ascii="TimesNewRomanPS-ItalicMT" w:eastAsiaTheme="minorHAnsi" w:hAnsi="TimesNewRomanPS-ItalicMT" w:cs="TimesNewRomanPS-ItalicMT"/>
          <w:i/>
          <w:iCs/>
          <w:lang w:eastAsia="en-US"/>
        </w:rPr>
        <w:t>10</w:t>
      </w:r>
      <w:r w:rsidR="00F12C9F">
        <w:rPr>
          <w:rFonts w:ascii="TimesNewRomanPS-ItalicMT" w:eastAsiaTheme="minorHAnsi" w:hAnsi="TimesNewRomanPS-ItalicMT" w:cs="TimesNewRomanPS-ItalicMT"/>
          <w:i/>
          <w:iCs/>
          <w:lang w:eastAsia="en-US"/>
        </w:rPr>
        <w:t>.punkt</w:t>
      </w:r>
      <w:r w:rsidR="004D172F">
        <w:rPr>
          <w:rFonts w:ascii="TimesNewRomanPS-ItalicMT" w:eastAsiaTheme="minorHAnsi" w:hAnsi="TimesNewRomanPS-ItalicMT" w:cs="TimesNewRomanPS-ItalicMT"/>
          <w:i/>
          <w:iCs/>
          <w:lang w:eastAsia="en-US"/>
        </w:rPr>
        <w:t>s</w:t>
      </w:r>
      <w:r w:rsidR="00F12C9F">
        <w:rPr>
          <w:rFonts w:ascii="TimesNewRomanPS-ItalicMT" w:eastAsiaTheme="minorHAnsi" w:hAnsi="TimesNewRomanPS-ItalicMT" w:cs="TimesNewRomanPS-ItalicMT"/>
          <w:i/>
          <w:iCs/>
          <w:lang w:eastAsia="en-US"/>
        </w:rPr>
        <w:t xml:space="preserve"> un 2014.gada 26.februāra lēmuma </w:t>
      </w:r>
      <w:r w:rsidR="00F12C9F" w:rsidRPr="00F12C9F">
        <w:rPr>
          <w:rFonts w:ascii="TimesNewRomanPS-ItalicMT" w:eastAsiaTheme="minorHAnsi" w:hAnsi="TimesNewRomanPS-ItalicMT" w:cs="TimesNewRomanPS-ItalicMT"/>
          <w:i/>
          <w:iCs/>
          <w:lang w:eastAsia="en-US"/>
        </w:rPr>
        <w:t>lietā Nr.</w:t>
      </w:r>
      <w:r w:rsidR="00FB1ED7">
        <w:rPr>
          <w:rFonts w:ascii="TimesNewRomanPS-ItalicMT" w:eastAsiaTheme="minorHAnsi" w:hAnsi="TimesNewRomanPS-ItalicMT" w:cs="TimesNewRomanPS-ItalicMT"/>
          <w:i/>
          <w:iCs/>
          <w:lang w:eastAsia="en-US"/>
        </w:rPr>
        <w:t> </w:t>
      </w:r>
      <w:r w:rsidR="00F12C9F">
        <w:rPr>
          <w:rFonts w:ascii="TimesNewRomanPSMT" w:eastAsiaTheme="minorHAnsi" w:hAnsi="TimesNewRomanPSMT" w:cs="TimesNewRomanPSMT"/>
          <w:i/>
          <w:lang w:eastAsia="en-US"/>
        </w:rPr>
        <w:t>SKA-</w:t>
      </w:r>
      <w:r w:rsidR="00F12C9F" w:rsidRPr="00F12C9F">
        <w:rPr>
          <w:rFonts w:ascii="TimesNewRomanPSMT" w:eastAsiaTheme="minorHAnsi" w:hAnsi="TimesNewRomanPSMT" w:cs="TimesNewRomanPSMT"/>
          <w:i/>
          <w:lang w:eastAsia="en-US"/>
        </w:rPr>
        <w:t>392/2014 (680134213) 4.punkt</w:t>
      </w:r>
      <w:r w:rsidR="004D172F">
        <w:rPr>
          <w:rFonts w:ascii="TimesNewRomanPSMT" w:eastAsiaTheme="minorHAnsi" w:hAnsi="TimesNewRomanPSMT" w:cs="TimesNewRomanPSMT"/>
          <w:i/>
          <w:lang w:eastAsia="en-US"/>
        </w:rPr>
        <w:t>s</w:t>
      </w:r>
      <w:r w:rsidR="00F12C9F">
        <w:rPr>
          <w:rFonts w:ascii="TimesNewRomanPSMT" w:eastAsiaTheme="minorHAnsi" w:hAnsi="TimesNewRomanPSMT" w:cs="TimesNewRomanPSMT"/>
          <w:lang w:eastAsia="en-US"/>
        </w:rPr>
        <w:t>).</w:t>
      </w:r>
      <w:r w:rsidR="001A1AC6">
        <w:rPr>
          <w:rFonts w:ascii="TimesNewRomanPSMT" w:eastAsiaTheme="minorHAnsi" w:hAnsi="TimesNewRomanPSMT" w:cs="TimesNewRomanPSMT"/>
          <w:lang w:eastAsia="en-US"/>
        </w:rPr>
        <w:t xml:space="preserve"> Vienlaikus</w:t>
      </w:r>
      <w:r w:rsidR="000813EF">
        <w:rPr>
          <w:rFonts w:ascii="TimesNewRomanPSMT" w:eastAsiaTheme="minorHAnsi" w:hAnsi="TimesNewRomanPSMT" w:cs="TimesNewRomanPSMT"/>
          <w:lang w:eastAsia="en-US"/>
        </w:rPr>
        <w:t xml:space="preserve">, kaut arī </w:t>
      </w:r>
      <w:r w:rsidR="00A57F79">
        <w:rPr>
          <w:rFonts w:ascii="TimesNewRomanPSMT" w:eastAsiaTheme="minorHAnsi" w:hAnsi="TimesNewRomanPSMT" w:cs="TimesNewRomanPSMT"/>
          <w:lang w:eastAsia="en-US"/>
        </w:rPr>
        <w:t xml:space="preserve">vispārīgi </w:t>
      </w:r>
      <w:r w:rsidR="00A57F79">
        <w:rPr>
          <w:rFonts w:ascii="TimesNewRomanPSMT" w:eastAsiaTheme="minorHAnsi" w:hAnsi="TimesNewRomanPSMT" w:cs="TimesNewRomanPSMT" w:hint="eastAsia"/>
          <w:lang w:eastAsia="en-US"/>
        </w:rPr>
        <w:t>informācijas</w:t>
      </w:r>
      <w:r w:rsidR="00A57F79">
        <w:rPr>
          <w:rFonts w:ascii="TimesNewRomanPSMT" w:eastAsiaTheme="minorHAnsi" w:hAnsi="TimesNewRomanPSMT" w:cs="TimesNewRomanPSMT"/>
          <w:lang w:eastAsia="en-US"/>
        </w:rPr>
        <w:t xml:space="preserve"> pieejamību pēc lietas izskatīšanas un nolēmuma stāšanās spēkā </w:t>
      </w:r>
      <w:r w:rsidR="00A57F79">
        <w:rPr>
          <w:rFonts w:ascii="TimesNewRomanPSMT" w:eastAsiaTheme="minorHAnsi" w:hAnsi="TimesNewRomanPSMT" w:cs="TimesNewRomanPSMT"/>
          <w:lang w:eastAsia="en-US"/>
        </w:rPr>
        <w:lastRenderedPageBreak/>
        <w:t xml:space="preserve">regulē Informācijas atklātības likums, </w:t>
      </w:r>
      <w:r w:rsidR="001A1AC6">
        <w:rPr>
          <w:rFonts w:ascii="TimesNewRomanPSMT" w:eastAsiaTheme="minorHAnsi" w:hAnsi="TimesNewRomanPSMT" w:cs="TimesNewRomanPSMT"/>
          <w:lang w:eastAsia="en-US"/>
        </w:rPr>
        <w:t xml:space="preserve">jāņem vērā, ka </w:t>
      </w:r>
      <w:r w:rsidR="003A0062">
        <w:rPr>
          <w:rFonts w:ascii="TimesNewRomanPSMT" w:eastAsiaTheme="minorHAnsi" w:hAnsi="TimesNewRomanPSMT" w:cs="TimesNewRomanPSMT"/>
          <w:lang w:eastAsia="en-US"/>
        </w:rPr>
        <w:t>ir iespējamas situācijas, kad cita likuma speciālā tiesību norma noteic īpašu regulējumu informācijas pieejamībai. Izskatāmajā gadījumā tā ir Kriminālprocesa likuma 375.panta otrā daļa, k</w:t>
      </w:r>
      <w:r w:rsidR="009D5BCD">
        <w:rPr>
          <w:rFonts w:ascii="TimesNewRomanPSMT" w:eastAsiaTheme="minorHAnsi" w:hAnsi="TimesNewRomanPSMT" w:cs="TimesNewRomanPSMT"/>
          <w:lang w:eastAsia="en-US"/>
        </w:rPr>
        <w:t>as</w:t>
      </w:r>
      <w:r w:rsidR="003A0062">
        <w:rPr>
          <w:rFonts w:ascii="TimesNewRomanPSMT" w:eastAsiaTheme="minorHAnsi" w:hAnsi="TimesNewRomanPSMT" w:cs="TimesNewRomanPSMT"/>
          <w:lang w:eastAsia="en-US"/>
        </w:rPr>
        <w:t xml:space="preserve"> reglamentē </w:t>
      </w:r>
      <w:r w:rsidR="003A0062">
        <w:rPr>
          <w:rFonts w:ascii="TimesNewRomanPSMT" w:eastAsiaTheme="minorHAnsi" w:hAnsi="TimesNewRomanPSMT" w:cs="TimesNewRomanPSMT" w:hint="eastAsia"/>
          <w:lang w:eastAsia="en-US"/>
        </w:rPr>
        <w:t>iepazī</w:t>
      </w:r>
      <w:r w:rsidR="003A0062">
        <w:rPr>
          <w:rFonts w:ascii="TimesNewRomanPSMT" w:eastAsiaTheme="minorHAnsi" w:hAnsi="TimesNewRomanPSMT" w:cs="TimesNewRomanPSMT"/>
          <w:lang w:eastAsia="en-US"/>
        </w:rPr>
        <w:t xml:space="preserve">šanos ar </w:t>
      </w:r>
      <w:r w:rsidR="003F6BFD">
        <w:t>krimināllietas materiāl</w:t>
      </w:r>
      <w:r w:rsidR="003A0062">
        <w:t>iem</w:t>
      </w:r>
      <w:r w:rsidR="003F6BFD">
        <w:t xml:space="preserve"> pēc kriminālprocesa pabeigšanas un galīgā nolēmuma stāšanās spēkā.</w:t>
      </w:r>
    </w:p>
    <w:p w14:paraId="423018AE" w14:textId="77777777" w:rsidR="003A0062" w:rsidRDefault="003A0062" w:rsidP="003A0062">
      <w:pPr>
        <w:autoSpaceDE w:val="0"/>
        <w:autoSpaceDN w:val="0"/>
        <w:adjustRightInd w:val="0"/>
        <w:spacing w:line="276" w:lineRule="auto"/>
        <w:ind w:firstLine="567"/>
        <w:jc w:val="both"/>
      </w:pPr>
      <w:r>
        <w:t xml:space="preserve">Atbilstoši minētajai tiesību normai </w:t>
      </w:r>
      <w:r w:rsidR="003F6BFD">
        <w:t>pēc kriminālprocesa pabeigšanas un galīgā nolēmuma stāšanās spēkā ar krimināllietas materiāliem drīkst iepazīties tiesu, prokuratūras un izmeklēšanas iestāžu darbinieki, personas, kuru tiesības bija aizskartas konkrētajā kriminālprocesā, kā arī personas, kuras veic zinātnisko darbību. Visi galīgie nolēmumi krimināllietās, nodrošinot ar likumiem noteiktās informācijas aizsardzību, ir pieejami publiski.</w:t>
      </w:r>
    </w:p>
    <w:p w14:paraId="4A2F91B8" w14:textId="717A66C9" w:rsidR="00777355" w:rsidRDefault="00A57F79" w:rsidP="003A0062">
      <w:pPr>
        <w:autoSpaceDE w:val="0"/>
        <w:autoSpaceDN w:val="0"/>
        <w:adjustRightInd w:val="0"/>
        <w:spacing w:line="276" w:lineRule="auto"/>
        <w:ind w:firstLine="567"/>
        <w:jc w:val="both"/>
      </w:pPr>
      <w:r>
        <w:rPr>
          <w:rFonts w:ascii="TimesNewRomanPSMT" w:eastAsiaTheme="minorHAnsi" w:hAnsi="TimesNewRomanPSMT" w:cs="TimesNewRomanPSMT"/>
          <w:lang w:eastAsia="en-US"/>
        </w:rPr>
        <w:t xml:space="preserve">Ievērojot minēto, Augstākā tiesa </w:t>
      </w:r>
      <w:r w:rsidR="00714D11">
        <w:rPr>
          <w:rFonts w:ascii="TimesNewRomanPSMT" w:eastAsiaTheme="minorHAnsi" w:hAnsi="TimesNewRomanPSMT" w:cs="TimesNewRomanPSMT"/>
          <w:lang w:eastAsia="en-US"/>
        </w:rPr>
        <w:t>secina</w:t>
      </w:r>
      <w:r>
        <w:rPr>
          <w:rFonts w:ascii="TimesNewRomanPSMT" w:eastAsiaTheme="minorHAnsi" w:hAnsi="TimesNewRomanPSMT" w:cs="TimesNewRomanPSMT"/>
          <w:lang w:eastAsia="en-US"/>
        </w:rPr>
        <w:t xml:space="preserve">, ka </w:t>
      </w:r>
      <w:r w:rsidR="00F12C9F">
        <w:rPr>
          <w:rFonts w:ascii="TimesNewRomanPSMT" w:eastAsiaTheme="minorHAnsi" w:hAnsi="TimesNewRomanPSMT" w:cs="TimesNewRomanPSMT"/>
          <w:lang w:eastAsia="en-US"/>
        </w:rPr>
        <w:t>p</w:t>
      </w:r>
      <w:r w:rsidR="00C80077">
        <w:t xml:space="preserve">ieteicēja lūgums iepazīties ar krimināllietas materiāliem ir aplūkojams </w:t>
      </w:r>
      <w:r w:rsidR="00714D11">
        <w:t xml:space="preserve">atbilstoši </w:t>
      </w:r>
      <w:r w:rsidR="00546B14">
        <w:t>Informācijas atklātības likuma</w:t>
      </w:r>
      <w:r w:rsidR="00714D11">
        <w:t>m (tostarp ņemot vērā informācijas atklātības un pieejamības principus) tiktāl, ciktā</w:t>
      </w:r>
      <w:r w:rsidR="004F7C65">
        <w:t>l</w:t>
      </w:r>
      <w:r w:rsidR="00714D11">
        <w:t xml:space="preserve"> </w:t>
      </w:r>
      <w:r>
        <w:t>tā piemērošanu neierobežo speciālā tiesību norma – Kriminālprocesa likuma 375.panta otrā daļa.</w:t>
      </w:r>
    </w:p>
    <w:p w14:paraId="1DF616C3" w14:textId="77777777" w:rsidR="000652EE" w:rsidRDefault="000652EE" w:rsidP="00C80077">
      <w:pPr>
        <w:autoSpaceDE w:val="0"/>
        <w:autoSpaceDN w:val="0"/>
        <w:adjustRightInd w:val="0"/>
        <w:spacing w:line="276" w:lineRule="auto"/>
        <w:ind w:firstLine="567"/>
        <w:jc w:val="both"/>
      </w:pPr>
    </w:p>
    <w:p w14:paraId="04D4054B" w14:textId="77777777" w:rsidR="00FE0FF1" w:rsidRDefault="000652EE" w:rsidP="00775782">
      <w:pPr>
        <w:autoSpaceDE w:val="0"/>
        <w:autoSpaceDN w:val="0"/>
        <w:adjustRightInd w:val="0"/>
        <w:spacing w:line="276" w:lineRule="auto"/>
        <w:ind w:firstLine="567"/>
        <w:jc w:val="both"/>
      </w:pPr>
      <w:r>
        <w:t xml:space="preserve">[8] </w:t>
      </w:r>
      <w:r w:rsidR="00C059A9">
        <w:t>Kā norādīts iepriekš, t</w:t>
      </w:r>
      <w:r w:rsidR="00546B14">
        <w:t xml:space="preserve">iesības iepazīties ar krimināllietas materiāliem </w:t>
      </w:r>
      <w:r w:rsidR="00F966E8">
        <w:t xml:space="preserve">pēc kriminālprocesa pabeigšanas </w:t>
      </w:r>
      <w:r w:rsidR="001B382C">
        <w:t xml:space="preserve">saskaņā ar Kriminālprocesa likuma 375.panta otrajā daļā noteikto </w:t>
      </w:r>
      <w:r w:rsidR="00546B14">
        <w:t>ir ierobe</w:t>
      </w:r>
      <w:r w:rsidR="00FE0FF1">
        <w:t>žotam subjektu lokam – tiesu, prokuratūras un izmeklēšanas iestāžu darbiniekiem, personām, kuru tiesības bija aizskartas konkrētajā kriminālprocesā, un personām, kuras veic zinātnisko darbību</w:t>
      </w:r>
      <w:r w:rsidR="009A207D">
        <w:t>.</w:t>
      </w:r>
    </w:p>
    <w:p w14:paraId="54DBC88A" w14:textId="77777777" w:rsidR="00F966E8" w:rsidRDefault="00775782" w:rsidP="00F966E8">
      <w:pPr>
        <w:autoSpaceDE w:val="0"/>
        <w:autoSpaceDN w:val="0"/>
        <w:adjustRightInd w:val="0"/>
        <w:spacing w:line="276" w:lineRule="auto"/>
        <w:ind w:firstLine="567"/>
        <w:jc w:val="both"/>
      </w:pPr>
      <w:r>
        <w:t xml:space="preserve">Tādējādi likumdevējs krimināllietas materiālu pieejamībai </w:t>
      </w:r>
      <w:r w:rsidR="00F966E8">
        <w:t xml:space="preserve">pēc kriminālprocesa pabeigšanas </w:t>
      </w:r>
      <w:r>
        <w:t xml:space="preserve">ir noteicis stingrākus </w:t>
      </w:r>
      <w:r w:rsidR="008C0B0F">
        <w:t xml:space="preserve">pieejamības </w:t>
      </w:r>
      <w:r>
        <w:t xml:space="preserve">ierobežojumus salīdzinājumā </w:t>
      </w:r>
      <w:r w:rsidR="008C0B0F">
        <w:t xml:space="preserve">ar Informācijas atklātības likumā noteikto </w:t>
      </w:r>
      <w:r>
        <w:t>cita veida ierobežotas pieejamības informācij</w:t>
      </w:r>
      <w:r w:rsidR="008C0B0F">
        <w:t>as pieejamību</w:t>
      </w:r>
      <w:r>
        <w:t xml:space="preserve">. </w:t>
      </w:r>
      <w:r w:rsidR="00F966E8">
        <w:t xml:space="preserve">Savukārt iepazīšanās ar krimināllietas materiāliem kriminālprocesa laikā ir reglamentēta vēl stingrāk. Proti, kriminālprocesa laikā krimināllietā esošie materiāli ir izmeklēšanas noslēpums un ar tiem drīkst iepazīties amatpersonas, kuras veic kriminālprocesu, kā arī personas, kurām minētās amatpersonas attiecīgos materiālus uzrāda </w:t>
      </w:r>
      <w:r w:rsidR="000E1C19">
        <w:t>Kriminālprocesa</w:t>
      </w:r>
      <w:r w:rsidR="00F966E8">
        <w:t xml:space="preserve"> likumā paredzētajā kārtībā</w:t>
      </w:r>
      <w:r w:rsidR="008C0B0F">
        <w:t xml:space="preserve"> (Kriminālprocesa likuma 375.panta pirmā daļa)</w:t>
      </w:r>
      <w:r w:rsidR="00F966E8">
        <w:t>.</w:t>
      </w:r>
      <w:r w:rsidR="008C0B0F">
        <w:t xml:space="preserve"> </w:t>
      </w:r>
      <w:r>
        <w:t xml:space="preserve">Šāds regulējums ir </w:t>
      </w:r>
      <w:r w:rsidR="009A207D">
        <w:t xml:space="preserve">objektīvi saprotams un </w:t>
      </w:r>
      <w:r>
        <w:t>attaisnojams ar krimināllietas materiālos esošās informācijas specifi</w:t>
      </w:r>
      <w:r w:rsidR="009424D9">
        <w:t>s</w:t>
      </w:r>
      <w:r>
        <w:t>k</w:t>
      </w:r>
      <w:r w:rsidR="009424D9">
        <w:t>o</w:t>
      </w:r>
      <w:r w:rsidR="00796E71">
        <w:t xml:space="preserve"> dabu</w:t>
      </w:r>
      <w:r w:rsidR="00F966E8">
        <w:t>, tostarp izmeklēšanas noslēpuma aizsardzību.</w:t>
      </w:r>
    </w:p>
    <w:p w14:paraId="0EA93C1D" w14:textId="7FC62979" w:rsidR="00796E71" w:rsidRDefault="00796E71" w:rsidP="00F966E8">
      <w:pPr>
        <w:autoSpaceDE w:val="0"/>
        <w:autoSpaceDN w:val="0"/>
        <w:adjustRightInd w:val="0"/>
        <w:spacing w:line="276" w:lineRule="auto"/>
        <w:ind w:firstLine="567"/>
        <w:jc w:val="both"/>
      </w:pPr>
      <w:r>
        <w:t>Augstākā tiesa</w:t>
      </w:r>
      <w:r w:rsidR="00F966E8">
        <w:t>, interpretējot Kriminālprocesa likuma 375.panta pirmo daļu,</w:t>
      </w:r>
      <w:r>
        <w:t xml:space="preserve"> ir atzinusi, ka </w:t>
      </w:r>
      <w:r w:rsidR="00D07923">
        <w:t xml:space="preserve">konkrētā norma </w:t>
      </w:r>
      <w:r>
        <w:t>ir vērst</w:t>
      </w:r>
      <w:r w:rsidR="00D07923">
        <w:t>a</w:t>
      </w:r>
      <w:r>
        <w:t xml:space="preserve"> uz kriminālprocesa mērķa sasniegšanu. Tomēr materiālu neizsniegšana kriminālprocesā nevar būt pašmērķis</w:t>
      </w:r>
      <w:r w:rsidR="00D07923">
        <w:t>, līdz ar to, j</w:t>
      </w:r>
      <w:r>
        <w:t>a tas procesa virzītāja ieskatā neietekmē procesa sekmīgu virzību, tad materiālu neizsniegšanai nav pamata (</w:t>
      </w:r>
      <w:r w:rsidRPr="00796E71">
        <w:rPr>
          <w:i/>
        </w:rPr>
        <w:t xml:space="preserve">Augstākās tiesas </w:t>
      </w:r>
      <w:proofErr w:type="gramStart"/>
      <w:r w:rsidRPr="00796E71">
        <w:rPr>
          <w:i/>
        </w:rPr>
        <w:t>2008.gada</w:t>
      </w:r>
      <w:proofErr w:type="gramEnd"/>
      <w:r w:rsidRPr="00796E71">
        <w:rPr>
          <w:i/>
        </w:rPr>
        <w:t xml:space="preserve"> 6.novembra spriedum</w:t>
      </w:r>
      <w:r w:rsidR="00C059A9">
        <w:rPr>
          <w:i/>
        </w:rPr>
        <w:t>a</w:t>
      </w:r>
      <w:r w:rsidRPr="00796E71">
        <w:rPr>
          <w:i/>
        </w:rPr>
        <w:t xml:space="preserve"> lietā Nr.</w:t>
      </w:r>
      <w:r w:rsidR="00FB1ED7">
        <w:rPr>
          <w:i/>
        </w:rPr>
        <w:t> </w:t>
      </w:r>
      <w:r w:rsidRPr="00796E71">
        <w:rPr>
          <w:i/>
        </w:rPr>
        <w:t>SKA-705/2008 (A42555306) 10.punkt</w:t>
      </w:r>
      <w:r w:rsidR="004F7C65">
        <w:rPr>
          <w:i/>
        </w:rPr>
        <w:t>s</w:t>
      </w:r>
      <w:r>
        <w:t>).</w:t>
      </w:r>
    </w:p>
    <w:p w14:paraId="0D73E02E" w14:textId="19BB2B4C" w:rsidR="0061343B" w:rsidRDefault="005C6013" w:rsidP="00F966E8">
      <w:pPr>
        <w:autoSpaceDE w:val="0"/>
        <w:autoSpaceDN w:val="0"/>
        <w:adjustRightInd w:val="0"/>
        <w:spacing w:line="276" w:lineRule="auto"/>
        <w:ind w:firstLine="567"/>
        <w:jc w:val="both"/>
      </w:pPr>
      <w:r>
        <w:t xml:space="preserve">Augstākās tiesas ieskatā, </w:t>
      </w:r>
      <w:r w:rsidR="008E595A">
        <w:t xml:space="preserve">minētā </w:t>
      </w:r>
      <w:r w:rsidR="00F966E8">
        <w:t>atziņa</w:t>
      </w:r>
      <w:r w:rsidR="009D3EA0">
        <w:t>s</w:t>
      </w:r>
      <w:r w:rsidR="00F966E8">
        <w:t xml:space="preserve"> ir attiecināma</w:t>
      </w:r>
      <w:r w:rsidR="009D3EA0">
        <w:t xml:space="preserve"> </w:t>
      </w:r>
      <w:r w:rsidR="00F966E8">
        <w:t xml:space="preserve">arī uz izskatāmo gadījumu tādējādi, ka arī </w:t>
      </w:r>
      <w:r w:rsidR="009D3EA0">
        <w:t xml:space="preserve">pabeigta kriminālprocesa gadījumā </w:t>
      </w:r>
      <w:r w:rsidR="008E595A">
        <w:t xml:space="preserve">liegums iepazīties ar krimināllietas materiāliem nevar būt </w:t>
      </w:r>
      <w:proofErr w:type="spellStart"/>
      <w:r w:rsidR="008E595A">
        <w:t>pašmērķīgs</w:t>
      </w:r>
      <w:proofErr w:type="spellEnd"/>
      <w:r w:rsidR="008E595A">
        <w:t xml:space="preserve">, bet tam jābūt vērstam uz konkrētu interešu aizsardzību. Līdz ar to </w:t>
      </w:r>
      <w:r w:rsidR="009D3EA0">
        <w:t>tiesības iepazīties ar krimināllietas materiāliem nav aplūkojamas nepamatoti šauri, formāli koncentrējoties tikai uz personas kriminālprocesuālo statusu</w:t>
      </w:r>
      <w:r w:rsidR="00A966BA">
        <w:t xml:space="preserve"> un nevērtējot</w:t>
      </w:r>
      <w:r w:rsidR="004276CA">
        <w:t xml:space="preserve"> to</w:t>
      </w:r>
      <w:r w:rsidR="00A966BA">
        <w:t>, k</w:t>
      </w:r>
      <w:r w:rsidR="000539F6">
        <w:t>ādu aizsargājamu interešu labad ir attaisnojams aizliegums personai iepazīties ar krimināllietas materiāliem.</w:t>
      </w:r>
      <w:r w:rsidR="008E595A">
        <w:t xml:space="preserve"> Turklāt š</w:t>
      </w:r>
      <w:r w:rsidR="0061343B">
        <w:t xml:space="preserve">ajā </w:t>
      </w:r>
      <w:r w:rsidR="00F96130">
        <w:t>ziņā</w:t>
      </w:r>
      <w:r w:rsidR="0061343B">
        <w:t xml:space="preserve"> </w:t>
      </w:r>
      <w:r w:rsidR="00DF4F23">
        <w:t xml:space="preserve">nozīme </w:t>
      </w:r>
      <w:r w:rsidR="008E595A">
        <w:t xml:space="preserve">var būt arī </w:t>
      </w:r>
      <w:r w:rsidR="00DF4F23">
        <w:t xml:space="preserve">veidam, kādā </w:t>
      </w:r>
      <w:r w:rsidR="003E438E">
        <w:t xml:space="preserve">ir </w:t>
      </w:r>
      <w:r w:rsidR="00DF4F23">
        <w:t>pabe</w:t>
      </w:r>
      <w:r w:rsidR="004276CA">
        <w:t xml:space="preserve">igts konkrētais kriminālprocess. </w:t>
      </w:r>
      <w:r w:rsidR="00DF4F23">
        <w:t xml:space="preserve">Ja kriminālprocess pabeigts ar lēmumu izbeigt kriminālprocesu, jo nav </w:t>
      </w:r>
      <w:r w:rsidR="00F96130">
        <w:t>noticis noziedzīgs nodarījum</w:t>
      </w:r>
      <w:r w:rsidR="00DF4F23">
        <w:t>s, tad šāda veida krimināllietas materiāliem</w:t>
      </w:r>
      <w:r w:rsidR="008E595A">
        <w:t xml:space="preserve">, iespējams, </w:t>
      </w:r>
      <w:r w:rsidR="00DF4F23">
        <w:t>nebūtu pieš</w:t>
      </w:r>
      <w:r w:rsidR="00740EEE">
        <w:t>ķirama tik augsta aizsardzības pakāpe kā, piemēram,</w:t>
      </w:r>
      <w:r w:rsidR="001E5B30">
        <w:t xml:space="preserve"> tādas</w:t>
      </w:r>
      <w:r w:rsidR="00740EEE">
        <w:t xml:space="preserve"> krimināllietas</w:t>
      </w:r>
      <w:r w:rsidR="001E5B30">
        <w:t xml:space="preserve"> materiāliem</w:t>
      </w:r>
      <w:r w:rsidR="00740EEE">
        <w:t xml:space="preserve">, kurā </w:t>
      </w:r>
      <w:r w:rsidR="00F96130">
        <w:t>taisīts notiesājošs spriedums</w:t>
      </w:r>
      <w:r w:rsidR="001E5B30">
        <w:t>.</w:t>
      </w:r>
      <w:r w:rsidR="004276CA">
        <w:t xml:space="preserve"> </w:t>
      </w:r>
    </w:p>
    <w:p w14:paraId="316C0EAB" w14:textId="77777777" w:rsidR="0056412B" w:rsidRDefault="00740EEE" w:rsidP="001A7E27">
      <w:pPr>
        <w:autoSpaceDE w:val="0"/>
        <w:autoSpaceDN w:val="0"/>
        <w:adjustRightInd w:val="0"/>
        <w:spacing w:line="276" w:lineRule="auto"/>
        <w:ind w:firstLine="567"/>
        <w:jc w:val="both"/>
      </w:pPr>
      <w:r>
        <w:lastRenderedPageBreak/>
        <w:t xml:space="preserve">Ievērojot minēto, Kriminālprocesa likuma 375.panta otrās daļas piemērošanā iestādei ir jāizvērtē </w:t>
      </w:r>
      <w:r w:rsidR="001D786D">
        <w:t xml:space="preserve">gan tas, kura persona un kādām vajadzībām prasa informāciju no krimināllietas materiāliem, gan </w:t>
      </w:r>
      <w:r>
        <w:t xml:space="preserve">tas, kādu informāciju </w:t>
      </w:r>
      <w:r w:rsidR="0056412B">
        <w:t>satur krimināllietas materiāli</w:t>
      </w:r>
      <w:r>
        <w:t xml:space="preserve">, ar </w:t>
      </w:r>
      <w:r w:rsidR="004276CA">
        <w:t xml:space="preserve">kuriem persona lūdz iepazīties, jo ziņas, kas iegūtas veicot kriminālprocesuālas darbības, var būt dažādas. </w:t>
      </w:r>
    </w:p>
    <w:p w14:paraId="197B7450" w14:textId="77777777" w:rsidR="005E0BC5" w:rsidRDefault="005E0BC5" w:rsidP="001A7E27">
      <w:pPr>
        <w:autoSpaceDE w:val="0"/>
        <w:autoSpaceDN w:val="0"/>
        <w:adjustRightInd w:val="0"/>
        <w:spacing w:line="276" w:lineRule="auto"/>
        <w:ind w:firstLine="567"/>
        <w:jc w:val="both"/>
      </w:pPr>
    </w:p>
    <w:p w14:paraId="3029F1C3" w14:textId="77777777" w:rsidR="006E5584" w:rsidRDefault="0056412B" w:rsidP="00E47E32">
      <w:pPr>
        <w:autoSpaceDE w:val="0"/>
        <w:autoSpaceDN w:val="0"/>
        <w:adjustRightInd w:val="0"/>
        <w:spacing w:line="276" w:lineRule="auto"/>
        <w:ind w:firstLine="567"/>
        <w:jc w:val="both"/>
      </w:pPr>
      <w:r>
        <w:t xml:space="preserve">[9] </w:t>
      </w:r>
      <w:r w:rsidR="006E5584">
        <w:t xml:space="preserve">Prokuratūra un rajona tiesa </w:t>
      </w:r>
      <w:r w:rsidR="001D786D">
        <w:t xml:space="preserve">izskatāmajā gadījumā </w:t>
      </w:r>
      <w:r w:rsidR="006E5584">
        <w:t>secināja, ka pieteicējs neietilpst to subjektu lokā, kuriem atbilstoši Kriminālprocesa likuma 375.panta otrajai daļai ir tiesības iepazīties ar krimināllietas materiāliem. Š</w:t>
      </w:r>
      <w:r w:rsidR="00400D48">
        <w:t xml:space="preserve">ā </w:t>
      </w:r>
      <w:r w:rsidR="006E5584">
        <w:t>secinājuma pamatā ir apstāklis, ka pieteicējs konkrētajā kriminālprocesā nopratināts liecinieka statusā.</w:t>
      </w:r>
    </w:p>
    <w:p w14:paraId="542C915E" w14:textId="77777777" w:rsidR="00AC0842" w:rsidRDefault="00C233BA" w:rsidP="00E47E32">
      <w:pPr>
        <w:autoSpaceDE w:val="0"/>
        <w:autoSpaceDN w:val="0"/>
        <w:adjustRightInd w:val="0"/>
        <w:spacing w:line="276" w:lineRule="auto"/>
        <w:ind w:firstLine="567"/>
        <w:jc w:val="both"/>
      </w:pPr>
      <w:r>
        <w:t xml:space="preserve">Augstākās tiesas ieskatā, prokuratūra un tiesa </w:t>
      </w:r>
      <w:r w:rsidR="001D786D">
        <w:t xml:space="preserve">konkrētajā gadījumā </w:t>
      </w:r>
      <w:r>
        <w:t>ir interpretēju</w:t>
      </w:r>
      <w:r w:rsidR="001D786D">
        <w:t>šas</w:t>
      </w:r>
      <w:r>
        <w:t xml:space="preserve"> </w:t>
      </w:r>
      <w:r w:rsidR="006E5584">
        <w:t>Kriminālprocesa likuma 375.panta otro daļu</w:t>
      </w:r>
      <w:r w:rsidR="001D786D">
        <w:t xml:space="preserve"> nepamatoti šauri</w:t>
      </w:r>
      <w:r w:rsidR="006E5584">
        <w:t>.</w:t>
      </w:r>
      <w:r w:rsidR="001D786D">
        <w:t xml:space="preserve"> </w:t>
      </w:r>
      <w:r w:rsidR="00400D48">
        <w:t>Iestāde un</w:t>
      </w:r>
      <w:r w:rsidR="006E5584">
        <w:t xml:space="preserve"> rajona tiesa ir atstāju</w:t>
      </w:r>
      <w:r w:rsidR="00400D48">
        <w:t>si</w:t>
      </w:r>
      <w:r w:rsidR="006E5584">
        <w:t xml:space="preserve"> bez ievērības būtisku apstākli, </w:t>
      </w:r>
      <w:r w:rsidR="00252D60">
        <w:t xml:space="preserve">proti, to, </w:t>
      </w:r>
      <w:r w:rsidR="006E5584">
        <w:t>ka</w:t>
      </w:r>
      <w:r w:rsidR="001D786D">
        <w:t xml:space="preserve"> konkrētais kriminālprocess tika uzsākts pēc pieteicēja iesnieguma, turklāt pieteicējs bija</w:t>
      </w:r>
      <w:proofErr w:type="gramStart"/>
      <w:r w:rsidR="001D786D">
        <w:t xml:space="preserve"> vērsies prokuratūrā nevis par kādu ar sevi</w:t>
      </w:r>
      <w:proofErr w:type="gramEnd"/>
      <w:r w:rsidR="001D786D">
        <w:t xml:space="preserve"> nesaistītu nodarījumu, bet gan </w:t>
      </w:r>
      <w:r w:rsidR="006E5584">
        <w:t xml:space="preserve">par pret sevi vērstu rīcību, </w:t>
      </w:r>
      <w:r w:rsidR="00AC0842">
        <w:t>kuru uzskatījis par noziedzīgu.</w:t>
      </w:r>
    </w:p>
    <w:p w14:paraId="4CD1A095" w14:textId="77777777" w:rsidR="00252D60" w:rsidRDefault="00AC0842" w:rsidP="00E47E32">
      <w:pPr>
        <w:autoSpaceDE w:val="0"/>
        <w:autoSpaceDN w:val="0"/>
        <w:adjustRightInd w:val="0"/>
        <w:spacing w:line="276" w:lineRule="auto"/>
        <w:ind w:firstLine="567"/>
        <w:jc w:val="both"/>
      </w:pPr>
      <w:r>
        <w:t xml:space="preserve">Kriminālprocesa likuma 369.pants reglamentē kriminālprocesa uzsākšanas iemeslus. Saskaņā ar minētā panta pirmo daļu kriminālprocesa uzsākšanas iemesls </w:t>
      </w:r>
      <w:proofErr w:type="spellStart"/>
      <w:r w:rsidR="002349E7">
        <w:t>citstarp</w:t>
      </w:r>
      <w:proofErr w:type="spellEnd"/>
      <w:r w:rsidR="002349E7">
        <w:t xml:space="preserve"> </w:t>
      </w:r>
      <w:r>
        <w:t>ir tādu ziņu iesniegšana izmeklēšanas iestādei, prokuratūrai vai tiesai, kuras norāda uz iespējama noziedzīga nodarījuma izdarīšanu.</w:t>
      </w:r>
      <w:r w:rsidR="00400D48">
        <w:t xml:space="preserve"> </w:t>
      </w:r>
    </w:p>
    <w:p w14:paraId="210A6160" w14:textId="77777777" w:rsidR="00AC0842" w:rsidRDefault="00400D48" w:rsidP="00E47E32">
      <w:pPr>
        <w:autoSpaceDE w:val="0"/>
        <w:autoSpaceDN w:val="0"/>
        <w:adjustRightInd w:val="0"/>
        <w:spacing w:line="276" w:lineRule="auto"/>
        <w:ind w:firstLine="567"/>
        <w:jc w:val="both"/>
      </w:pPr>
      <w:r>
        <w:t xml:space="preserve">Šā panta otrā daļa noteic subjektus, kuri var sniegt ziņas par noziedzīga nodarījuma izdarīšanu, piemēram, noziedzīga nodarījuma rezultātā cietusī persona </w:t>
      </w:r>
      <w:r w:rsidR="002349E7">
        <w:t>ar</w:t>
      </w:r>
      <w:r>
        <w:t xml:space="preserve"> iesniegumu (1.punkts), kontrolējošās un uzraugošās iestādes – to darbību regulējošos normatīvajos aktos paredzētajā kārtībā (2.punkts), </w:t>
      </w:r>
      <w:r w:rsidR="00A1333E">
        <w:t xml:space="preserve">bērnu tiesību aizsardzības institūcijas un nevalstiskās institūcijas </w:t>
      </w:r>
      <w:r w:rsidR="002349E7">
        <w:t xml:space="preserve">ar </w:t>
      </w:r>
      <w:r w:rsidR="00A1333E">
        <w:t>iesniegumu par nepilngadīgo tiesību aizskārumiem</w:t>
      </w:r>
      <w:r w:rsidR="002349E7">
        <w:t xml:space="preserve"> (4.punkts)</w:t>
      </w:r>
      <w:r w:rsidR="00A1333E">
        <w:t xml:space="preserve">, </w:t>
      </w:r>
      <w:r w:rsidR="00252D60">
        <w:t xml:space="preserve">kā arī </w:t>
      </w:r>
      <w:r>
        <w:t>jebkura fiziskā vai juridiskā persona</w:t>
      </w:r>
      <w:r w:rsidR="002349E7">
        <w:t xml:space="preserve">, sniedzot informāciju par </w:t>
      </w:r>
      <w:r>
        <w:t>iespējamiem noziedzīgiem nodarījumiem, no kuriem pati nav cietusi (6.punkts).</w:t>
      </w:r>
    </w:p>
    <w:p w14:paraId="26467346" w14:textId="77777777" w:rsidR="002349E7" w:rsidRDefault="002349E7" w:rsidP="00E47E32">
      <w:pPr>
        <w:autoSpaceDE w:val="0"/>
        <w:autoSpaceDN w:val="0"/>
        <w:adjustRightInd w:val="0"/>
        <w:spacing w:line="276" w:lineRule="auto"/>
        <w:ind w:firstLine="567"/>
        <w:jc w:val="both"/>
      </w:pPr>
      <w:r>
        <w:t>Tādējādi Kriminālprocesa likumā ir nodalītas tādas personas, kuras vēršas iestādē ar iesniegumu par iespējamu pret sevi vērstu noziedzīgu nodarījumu, no personām, kuras vēršas iestādē ar iesniegumu par nodarījumu, par kuru tām ir informācija, bet kas šīs personas pašas nekādi nav skāris.</w:t>
      </w:r>
    </w:p>
    <w:p w14:paraId="77C0FE45" w14:textId="77777777" w:rsidR="006E5584" w:rsidRDefault="003E438E" w:rsidP="006B423D">
      <w:pPr>
        <w:autoSpaceDE w:val="0"/>
        <w:autoSpaceDN w:val="0"/>
        <w:adjustRightInd w:val="0"/>
        <w:spacing w:line="276" w:lineRule="auto"/>
        <w:ind w:firstLine="567"/>
        <w:jc w:val="both"/>
      </w:pPr>
      <w:r>
        <w:t xml:space="preserve">Ņemot vērā to, ka </w:t>
      </w:r>
      <w:r w:rsidR="00FD1368">
        <w:t xml:space="preserve">pieteicējs </w:t>
      </w:r>
      <w:r w:rsidR="002349E7">
        <w:t xml:space="preserve">konkrētajā gadījumā </w:t>
      </w:r>
      <w:r w:rsidR="006B423D">
        <w:t xml:space="preserve">prokuratūrai ir sniedzis ziņas par pret sevi vērstu noziedzīgu nodarījumu un kriminālprocess uzsākts, pamatojoties uz pieteicēja iesniegumu, secināms, ka </w:t>
      </w:r>
      <w:r w:rsidR="00400D48">
        <w:t xml:space="preserve">pieteicējs </w:t>
      </w:r>
      <w:r w:rsidR="00AC0842">
        <w:t xml:space="preserve">vērsās prokuratūra kā </w:t>
      </w:r>
      <w:r w:rsidR="008C5538">
        <w:t xml:space="preserve">persona, kura </w:t>
      </w:r>
      <w:r w:rsidR="001D786D">
        <w:t xml:space="preserve">uzskata, ka </w:t>
      </w:r>
      <w:r w:rsidR="00697BC5">
        <w:t xml:space="preserve">pati </w:t>
      </w:r>
      <w:r w:rsidR="008C5538">
        <w:t>ir cietusi no noziedzīga nodarījuma (</w:t>
      </w:r>
      <w:r w:rsidR="00FD1368">
        <w:t>Kriminālprocesa likuma 369.pan</w:t>
      </w:r>
      <w:r w:rsidR="008C5538">
        <w:t xml:space="preserve">ta otrās daļas 1.punkts). </w:t>
      </w:r>
      <w:r w:rsidR="005E0BC5">
        <w:t>Šāda persona, Augstākās tiesas ieskatā, ir uzskatāma par personu, kuru konkrētais kriminālprocess skar.</w:t>
      </w:r>
    </w:p>
    <w:p w14:paraId="41E7A5F6" w14:textId="77777777" w:rsidR="00400D48" w:rsidRDefault="00400D48" w:rsidP="00400D48">
      <w:pPr>
        <w:autoSpaceDE w:val="0"/>
        <w:autoSpaceDN w:val="0"/>
        <w:adjustRightInd w:val="0"/>
        <w:spacing w:line="276" w:lineRule="auto"/>
        <w:ind w:firstLine="567"/>
        <w:jc w:val="both"/>
      </w:pPr>
    </w:p>
    <w:p w14:paraId="6ED6A2CF" w14:textId="77777777" w:rsidR="00400D48" w:rsidRDefault="00400D48" w:rsidP="00400D48">
      <w:pPr>
        <w:autoSpaceDE w:val="0"/>
        <w:autoSpaceDN w:val="0"/>
        <w:adjustRightInd w:val="0"/>
        <w:spacing w:line="276" w:lineRule="auto"/>
        <w:ind w:firstLine="567"/>
        <w:jc w:val="both"/>
        <w:rPr>
          <w:shd w:val="clear" w:color="auto" w:fill="FFFFFF"/>
        </w:rPr>
      </w:pPr>
      <w:r>
        <w:t xml:space="preserve">[10] </w:t>
      </w:r>
      <w:r w:rsidR="005E0BC5">
        <w:t xml:space="preserve">Tas, ka pieteicējs izskatāmajā gadījumā būtu uzskatāms par personu, kuru konkrētais kriminālprocess skar, </w:t>
      </w:r>
      <w:r>
        <w:t>izriet arī no Kriminālprocesa likuma 392.</w:t>
      </w:r>
      <w:r w:rsidRPr="00400D48">
        <w:rPr>
          <w:vertAlign w:val="superscript"/>
        </w:rPr>
        <w:t>1</w:t>
      </w:r>
      <w:r>
        <w:t>panta 5.</w:t>
      </w:r>
      <w:r w:rsidRPr="00400D48">
        <w:rPr>
          <w:vertAlign w:val="superscript"/>
        </w:rPr>
        <w:t>1</w:t>
      </w:r>
      <w:r>
        <w:t xml:space="preserve">daļas un </w:t>
      </w:r>
      <w:r w:rsidR="00252D60">
        <w:t>tā, kā prokuratūra ir piemērojusi šo tiesību normu.</w:t>
      </w:r>
    </w:p>
    <w:p w14:paraId="3B30D43D" w14:textId="77777777" w:rsidR="00A1333E" w:rsidRDefault="005E0BC5" w:rsidP="00A1333E">
      <w:pPr>
        <w:autoSpaceDE w:val="0"/>
        <w:autoSpaceDN w:val="0"/>
        <w:adjustRightInd w:val="0"/>
        <w:spacing w:line="276" w:lineRule="auto"/>
        <w:ind w:firstLine="567"/>
        <w:jc w:val="both"/>
      </w:pPr>
      <w:r>
        <w:t xml:space="preserve">Proti, </w:t>
      </w:r>
      <w:r w:rsidR="00A1333E">
        <w:t>Kriminālprocesa likuma 392.</w:t>
      </w:r>
      <w:r w:rsidR="00A1333E" w:rsidRPr="00400D48">
        <w:rPr>
          <w:vertAlign w:val="superscript"/>
        </w:rPr>
        <w:t>1</w:t>
      </w:r>
      <w:r w:rsidR="00A1333E">
        <w:t>panta 5.</w:t>
      </w:r>
      <w:r w:rsidR="00A1333E" w:rsidRPr="00400D48">
        <w:rPr>
          <w:vertAlign w:val="superscript"/>
        </w:rPr>
        <w:t>1</w:t>
      </w:r>
      <w:r w:rsidR="00A1333E">
        <w:t xml:space="preserve">daļa noteic personas, kuras ir tiesīgas saņemt lēmumu par kriminālprocesa izbeigšanu. Saskaņā ar minēto tiesību normu šā likuma 369.panta otrās daļas 2. un 4.punktā minētajām personām un tām </w:t>
      </w:r>
      <w:r w:rsidR="00A1333E" w:rsidRPr="00A1333E">
        <w:rPr>
          <w:i/>
        </w:rPr>
        <w:t>personām, kuru tiesības bija aizskartas konkrētajā kriminālprocesā</w:t>
      </w:r>
      <w:r w:rsidR="00A1333E">
        <w:t>, procesa virzītājs lēmuma par kriminālprocesa izbeigšanu kopiju nosūta vai izsniedz pēc to lūguma.</w:t>
      </w:r>
    </w:p>
    <w:p w14:paraId="5B4AF782" w14:textId="77777777" w:rsidR="00581C10" w:rsidRDefault="00A1333E" w:rsidP="00697BC5">
      <w:pPr>
        <w:autoSpaceDE w:val="0"/>
        <w:autoSpaceDN w:val="0"/>
        <w:adjustRightInd w:val="0"/>
        <w:spacing w:line="276" w:lineRule="auto"/>
        <w:ind w:firstLine="567"/>
        <w:jc w:val="both"/>
      </w:pPr>
      <w:r>
        <w:t xml:space="preserve">Kā izriet no pārsūdzētā lēmuma, </w:t>
      </w:r>
      <w:r>
        <w:rPr>
          <w:shd w:val="clear" w:color="auto" w:fill="FFFFFF"/>
        </w:rPr>
        <w:t xml:space="preserve">lēmums par kriminālprocesa izbeigšanu pieteicējam </w:t>
      </w:r>
      <w:r w:rsidR="00697BC5">
        <w:rPr>
          <w:shd w:val="clear" w:color="auto" w:fill="FFFFFF"/>
        </w:rPr>
        <w:t xml:space="preserve">tika </w:t>
      </w:r>
      <w:r>
        <w:rPr>
          <w:shd w:val="clear" w:color="auto" w:fill="FFFFFF"/>
        </w:rPr>
        <w:t xml:space="preserve">nosūtīts </w:t>
      </w:r>
      <w:r w:rsidR="00697BC5">
        <w:rPr>
          <w:shd w:val="clear" w:color="auto" w:fill="FFFFFF"/>
        </w:rPr>
        <w:t>(</w:t>
      </w:r>
      <w:proofErr w:type="gramStart"/>
      <w:r>
        <w:rPr>
          <w:shd w:val="clear" w:color="auto" w:fill="FFFFFF"/>
        </w:rPr>
        <w:t>2015.gada</w:t>
      </w:r>
      <w:proofErr w:type="gramEnd"/>
      <w:r>
        <w:rPr>
          <w:shd w:val="clear" w:color="auto" w:fill="FFFFFF"/>
        </w:rPr>
        <w:t xml:space="preserve"> 27.maijā</w:t>
      </w:r>
      <w:r w:rsidR="00697BC5">
        <w:rPr>
          <w:shd w:val="clear" w:color="auto" w:fill="FFFFFF"/>
        </w:rPr>
        <w:t>)</w:t>
      </w:r>
      <w:r>
        <w:rPr>
          <w:shd w:val="clear" w:color="auto" w:fill="FFFFFF"/>
        </w:rPr>
        <w:t xml:space="preserve">. Ievērojot to, ka pieteicējs neatbilst Kriminālprocesa </w:t>
      </w:r>
      <w:r>
        <w:t xml:space="preserve">likuma </w:t>
      </w:r>
      <w:r>
        <w:lastRenderedPageBreak/>
        <w:t>369.panta otrās daļas 2. un 4.punktā minētajām personām, secināms, ka lēmums par kriminālprocesa izbeigšanu pieteicējam nosūtīts kā personai, kuras tiesības bija aizskartas konkrētajā kriminālprocesā.</w:t>
      </w:r>
      <w:r w:rsidR="00697BC5">
        <w:t xml:space="preserve"> Proti, </w:t>
      </w:r>
      <w:r w:rsidR="008C5538">
        <w:t>prokuratūra,</w:t>
      </w:r>
      <w:r w:rsidR="00342ABB">
        <w:t xml:space="preserve"> nosūtot pieteicējam lēmumu par kriminālprocesa izbeigšanu, </w:t>
      </w:r>
      <w:r w:rsidR="00697BC5">
        <w:t xml:space="preserve">pati </w:t>
      </w:r>
      <w:r w:rsidR="00342ABB">
        <w:t>ir uzskatījusi pieteicēju par personu, kuras tiesības bija aizskartas konkrētajā kriminālprocesā. Turklāt</w:t>
      </w:r>
      <w:r w:rsidR="00C233BA">
        <w:t xml:space="preserve">, kā pareizi norādījis pieteicējs, par minēto liecina arī apstāklis, ka </w:t>
      </w:r>
      <w:r w:rsidR="00697BC5">
        <w:t xml:space="preserve">prokuratūra atzina pieteicēja tiesības iesniegt sūdzību par konkrētā kriminālprocesa izbeigšanu un </w:t>
      </w:r>
      <w:r w:rsidR="00C233BA">
        <w:t xml:space="preserve">pieteicēja </w:t>
      </w:r>
      <w:r w:rsidR="00342ABB">
        <w:t>sūdzīb</w:t>
      </w:r>
      <w:r w:rsidR="00697BC5">
        <w:t>as</w:t>
      </w:r>
      <w:r w:rsidR="00342ABB">
        <w:t xml:space="preserve"> pēc būtības ir izskatījis </w:t>
      </w:r>
      <w:r w:rsidR="00751890">
        <w:t xml:space="preserve">gan </w:t>
      </w:r>
      <w:r w:rsidR="00342ABB">
        <w:t xml:space="preserve">amatā augstāks prokurors, </w:t>
      </w:r>
      <w:r w:rsidR="00751890">
        <w:t>gan arī nāka</w:t>
      </w:r>
      <w:r w:rsidR="00F91371">
        <w:t>mais amatā augstāks prokurors (</w:t>
      </w:r>
      <w:r w:rsidR="00751890">
        <w:t xml:space="preserve">par </w:t>
      </w:r>
      <w:r w:rsidR="00342ABB">
        <w:t>amatā augstāka prokurora lēmumu</w:t>
      </w:r>
      <w:r w:rsidR="00F91371">
        <w:t>)</w:t>
      </w:r>
      <w:r w:rsidR="00342ABB">
        <w:t>.</w:t>
      </w:r>
      <w:r w:rsidR="00581C10">
        <w:t xml:space="preserve"> </w:t>
      </w:r>
    </w:p>
    <w:p w14:paraId="66061DC7" w14:textId="77777777" w:rsidR="00342ABB" w:rsidRDefault="00581C10" w:rsidP="00400D48">
      <w:pPr>
        <w:autoSpaceDE w:val="0"/>
        <w:autoSpaceDN w:val="0"/>
        <w:adjustRightInd w:val="0"/>
        <w:spacing w:line="276" w:lineRule="auto"/>
        <w:ind w:firstLine="567"/>
        <w:jc w:val="both"/>
      </w:pPr>
      <w:r>
        <w:t xml:space="preserve">Prokuratūra paskaidrojumos par kasācijas sūdzību </w:t>
      </w:r>
      <w:r w:rsidR="00697BC5">
        <w:t xml:space="preserve">kļūdaini </w:t>
      </w:r>
      <w:r>
        <w:t>apgalvo, ka no pieteikuma</w:t>
      </w:r>
      <w:r w:rsidR="008C5538">
        <w:t>m</w:t>
      </w:r>
      <w:r>
        <w:t xml:space="preserve"> pievienotajiem dokumentiem izriet, ka pieteicēja sūdzības </w:t>
      </w:r>
      <w:r w:rsidR="00697BC5">
        <w:t>bija</w:t>
      </w:r>
      <w:r>
        <w:t xml:space="preserve"> vērstas nevis uz lēmuma par kriminālprocesa izbeigšanu pārskatīšanu, bet gan uz to, lai pieteicējam tiktu atļauts iepazīties ar kriminālprocesa materiāliem. Kā nepārprotami izriet no pārsūdzētā lēmuma, pieteicējs amatā augstākam un nākamajam amatā augstākam prokuroram </w:t>
      </w:r>
      <w:r w:rsidR="00697BC5">
        <w:t>bija</w:t>
      </w:r>
      <w:r>
        <w:t xml:space="preserve"> sūdzējies tieši par lēmumu izbeigt kriminālprocesu, un šīs sūdzības minētās amatpersonas arī ir izskatījušas pēc būtības, lēmumu par kriminālprocesa izbeigšanu atzīstot pa</w:t>
      </w:r>
      <w:r w:rsidR="008729AC">
        <w:t>r</w:t>
      </w:r>
      <w:r>
        <w:t xml:space="preserve"> pamatotu.</w:t>
      </w:r>
      <w:r w:rsidR="00697BC5">
        <w:t xml:space="preserve"> Tikai pēc tam pieteicējs vērsās prokuratūrā ar lūgumu ļaut iepazīties ar krimināllietas materiāliem.</w:t>
      </w:r>
    </w:p>
    <w:p w14:paraId="13B1362F" w14:textId="77777777" w:rsidR="00581C10" w:rsidRDefault="00581C10" w:rsidP="00400D48">
      <w:pPr>
        <w:autoSpaceDE w:val="0"/>
        <w:autoSpaceDN w:val="0"/>
        <w:adjustRightInd w:val="0"/>
        <w:spacing w:line="276" w:lineRule="auto"/>
        <w:ind w:firstLine="567"/>
        <w:jc w:val="both"/>
      </w:pPr>
    </w:p>
    <w:p w14:paraId="10786937" w14:textId="77777777" w:rsidR="00166BA3" w:rsidRPr="00166BA3" w:rsidRDefault="00342ABB" w:rsidP="00166BA3">
      <w:pPr>
        <w:autoSpaceDE w:val="0"/>
        <w:autoSpaceDN w:val="0"/>
        <w:adjustRightInd w:val="0"/>
        <w:spacing w:line="276" w:lineRule="auto"/>
        <w:ind w:firstLine="567"/>
        <w:jc w:val="both"/>
      </w:pPr>
      <w:r>
        <w:t xml:space="preserve">[11] </w:t>
      </w:r>
      <w:r w:rsidR="00697BC5">
        <w:t xml:space="preserve">Šādos apstākļos Augstākā tiesa atzīst, ka </w:t>
      </w:r>
      <w:r w:rsidR="00D14056">
        <w:t xml:space="preserve">pieteicēja nopratināšana liecinieka statusā </w:t>
      </w:r>
      <w:r w:rsidR="00697BC5">
        <w:t xml:space="preserve">pati par sevi </w:t>
      </w:r>
      <w:r w:rsidR="00D14056">
        <w:t xml:space="preserve">automātiski nenozīmē, ka </w:t>
      </w:r>
      <w:r w:rsidR="00D14056" w:rsidRPr="00166BA3">
        <w:t>pieteicējs n</w:t>
      </w:r>
      <w:r w:rsidR="00F91371">
        <w:t>av</w:t>
      </w:r>
      <w:r w:rsidR="00D14056" w:rsidRPr="00166BA3">
        <w:t xml:space="preserve"> </w:t>
      </w:r>
      <w:r w:rsidR="00F91371">
        <w:t>atzīstams</w:t>
      </w:r>
      <w:r w:rsidR="00D14056" w:rsidRPr="00166BA3">
        <w:t xml:space="preserve"> par personu, kuras tiesības bija aizskartas konkrētajā kriminālproces</w:t>
      </w:r>
      <w:r w:rsidR="00166BA3" w:rsidRPr="00166BA3">
        <w:t>ā.</w:t>
      </w:r>
    </w:p>
    <w:p w14:paraId="76692909" w14:textId="77777777" w:rsidR="005B6C4C" w:rsidRDefault="005E0BC5" w:rsidP="00166BA3">
      <w:pPr>
        <w:autoSpaceDE w:val="0"/>
        <w:autoSpaceDN w:val="0"/>
        <w:adjustRightInd w:val="0"/>
        <w:spacing w:line="276" w:lineRule="auto"/>
        <w:ind w:firstLine="567"/>
        <w:jc w:val="both"/>
        <w:rPr>
          <w:rFonts w:ascii="Noto Serif" w:hAnsi="Noto Serif"/>
          <w:color w:val="101820"/>
        </w:rPr>
      </w:pPr>
      <w:r>
        <w:t>Turklāt t</w:t>
      </w:r>
      <w:r w:rsidR="00166BA3" w:rsidRPr="00166BA3">
        <w:t xml:space="preserve">iesību doktrīnā </w:t>
      </w:r>
      <w:r w:rsidR="00166BA3">
        <w:t>norādīts, ka j</w:t>
      </w:r>
      <w:r w:rsidR="00166BA3" w:rsidRPr="00166BA3">
        <w:t xml:space="preserve">ēdziens </w:t>
      </w:r>
      <w:r w:rsidR="00166BA3">
        <w:t>„</w:t>
      </w:r>
      <w:r w:rsidR="00166BA3" w:rsidRPr="00166BA3">
        <w:t>cietušais</w:t>
      </w:r>
      <w:r w:rsidR="00166BA3">
        <w:t>”</w:t>
      </w:r>
      <w:r w:rsidR="00166BA3" w:rsidRPr="00166BA3">
        <w:t xml:space="preserve"> ne teorijā, ne praksē, ne arī K</w:t>
      </w:r>
      <w:r w:rsidR="00166BA3">
        <w:t>riminālprocesa likumā</w:t>
      </w:r>
      <w:r w:rsidR="00166BA3" w:rsidRPr="00166BA3">
        <w:t xml:space="preserve"> netiek lietots vienveidīg</w:t>
      </w:r>
      <w:r w:rsidR="00166BA3">
        <w:t xml:space="preserve">i un var tikt saprasts divējādi: 1) </w:t>
      </w:r>
      <w:r w:rsidR="00166BA3" w:rsidRPr="00166BA3">
        <w:t xml:space="preserve">faktiski cietusī persona, kurai ar </w:t>
      </w:r>
      <w:r w:rsidR="00697BC5">
        <w:t>konkrēto</w:t>
      </w:r>
      <w:r w:rsidR="00166BA3">
        <w:t xml:space="preserve"> nodarījumu radīts kaitējums; 2) </w:t>
      </w:r>
      <w:r w:rsidR="00166BA3" w:rsidRPr="00166BA3">
        <w:t>cietušais procesuālā nozīmē – kriminālprocesa dalībnieks ar kriminālprocesuāli reglamentētu statusu.</w:t>
      </w:r>
      <w:r w:rsidR="00166BA3">
        <w:t xml:space="preserve"> </w:t>
      </w:r>
      <w:r w:rsidR="00697BC5">
        <w:t>Līdz ar to, t</w:t>
      </w:r>
      <w:r w:rsidR="00166BA3" w:rsidRPr="00166BA3">
        <w:t>ā kā K</w:t>
      </w:r>
      <w:r w:rsidR="00166BA3">
        <w:t>riminālprocesa likumā</w:t>
      </w:r>
      <w:r w:rsidR="00166BA3" w:rsidRPr="00166BA3">
        <w:t xml:space="preserve"> vārds </w:t>
      </w:r>
      <w:r w:rsidR="00166BA3">
        <w:t>„</w:t>
      </w:r>
      <w:r w:rsidR="00166BA3" w:rsidRPr="00166BA3">
        <w:t>cietušais</w:t>
      </w:r>
      <w:r w:rsidR="00166BA3">
        <w:t>”</w:t>
      </w:r>
      <w:r w:rsidR="00166BA3" w:rsidRPr="00166BA3">
        <w:t xml:space="preserve"> ne vienmēr tiek lietots vienā nozīmē, ikreiz, kad jāizprot vārda </w:t>
      </w:r>
      <w:r w:rsidR="00166BA3">
        <w:t>„</w:t>
      </w:r>
      <w:r w:rsidR="00166BA3" w:rsidRPr="00166BA3">
        <w:t>cietušais</w:t>
      </w:r>
      <w:r w:rsidR="00166BA3">
        <w:t>”</w:t>
      </w:r>
      <w:r w:rsidR="00166BA3" w:rsidRPr="00166BA3">
        <w:t xml:space="preserve"> saturs konkrētā normā, ir jāapzina šīs normas jēga un mērķis </w:t>
      </w:r>
      <w:proofErr w:type="gramStart"/>
      <w:r w:rsidR="00166BA3" w:rsidRPr="00166BA3">
        <w:t>(</w:t>
      </w:r>
      <w:proofErr w:type="gramEnd"/>
      <w:r w:rsidR="00166BA3" w:rsidRPr="005B6C4C">
        <w:rPr>
          <w:i/>
        </w:rPr>
        <w:t xml:space="preserve">Strada-Rozenberga K. </w:t>
      </w:r>
      <w:r w:rsidR="00166BA3" w:rsidRPr="005B6C4C">
        <w:rPr>
          <w:i/>
          <w:color w:val="000000"/>
          <w:spacing w:val="3"/>
        </w:rPr>
        <w:t>Cietušais un tā tiesības kriminālprocesā. Jurista Vārds, 04.11.2008., Nr.42 (547)</w:t>
      </w:r>
      <w:r w:rsidR="005B6C4C">
        <w:rPr>
          <w:rFonts w:ascii="Source Sans Pro" w:hAnsi="Source Sans Pro"/>
          <w:color w:val="000000"/>
          <w:spacing w:val="3"/>
        </w:rPr>
        <w:t>).</w:t>
      </w:r>
      <w:r>
        <w:rPr>
          <w:rFonts w:ascii="Source Sans Pro" w:hAnsi="Source Sans Pro"/>
          <w:color w:val="000000"/>
          <w:spacing w:val="3"/>
        </w:rPr>
        <w:t xml:space="preserve"> </w:t>
      </w:r>
      <w:r w:rsidR="008C5538">
        <w:rPr>
          <w:rFonts w:ascii="Source Sans Pro" w:hAnsi="Source Sans Pro"/>
          <w:color w:val="000000"/>
          <w:spacing w:val="3"/>
        </w:rPr>
        <w:t>Tādējādi</w:t>
      </w:r>
      <w:r w:rsidR="005B6C4C" w:rsidRPr="005B6C4C">
        <w:rPr>
          <w:rFonts w:ascii="Source Sans Pro" w:hAnsi="Source Sans Pro"/>
          <w:color w:val="000000"/>
          <w:spacing w:val="3"/>
        </w:rPr>
        <w:t xml:space="preserve"> tas, ka pieteicēj</w:t>
      </w:r>
      <w:r w:rsidR="00F91371">
        <w:rPr>
          <w:rFonts w:ascii="Source Sans Pro" w:hAnsi="Source Sans Pro"/>
          <w:color w:val="000000"/>
          <w:spacing w:val="3"/>
        </w:rPr>
        <w:t>am</w:t>
      </w:r>
      <w:r w:rsidR="005B6C4C" w:rsidRPr="005B6C4C">
        <w:rPr>
          <w:rFonts w:ascii="Source Sans Pro" w:hAnsi="Source Sans Pro"/>
          <w:color w:val="000000"/>
          <w:spacing w:val="3"/>
        </w:rPr>
        <w:t xml:space="preserve"> konkrētajā kriminālprocesā ar procesa virzītāja lēmumu nebija </w:t>
      </w:r>
      <w:r w:rsidR="00F91371">
        <w:rPr>
          <w:rFonts w:ascii="Source Sans Pro" w:hAnsi="Source Sans Pro" w:hint="eastAsia"/>
          <w:color w:val="000000"/>
          <w:spacing w:val="3"/>
        </w:rPr>
        <w:t>piešķirts</w:t>
      </w:r>
      <w:r w:rsidR="00F91371">
        <w:rPr>
          <w:rFonts w:ascii="Source Sans Pro" w:hAnsi="Source Sans Pro"/>
          <w:color w:val="000000"/>
          <w:spacing w:val="3"/>
        </w:rPr>
        <w:t xml:space="preserve"> cietušā procesuālais statuss</w:t>
      </w:r>
      <w:r w:rsidR="005B6C4C" w:rsidRPr="005B6C4C">
        <w:rPr>
          <w:rFonts w:ascii="Source Sans Pro" w:hAnsi="Source Sans Pro"/>
          <w:color w:val="000000"/>
          <w:spacing w:val="3"/>
        </w:rPr>
        <w:t xml:space="preserve">, </w:t>
      </w:r>
      <w:r w:rsidR="0007125E">
        <w:rPr>
          <w:rFonts w:ascii="Source Sans Pro" w:hAnsi="Source Sans Pro"/>
          <w:color w:val="000000"/>
          <w:spacing w:val="3"/>
        </w:rPr>
        <w:t xml:space="preserve">bet </w:t>
      </w:r>
      <w:r w:rsidR="00F91371">
        <w:rPr>
          <w:rFonts w:ascii="Source Sans Pro" w:hAnsi="Source Sans Pro"/>
          <w:color w:val="000000"/>
          <w:spacing w:val="3"/>
        </w:rPr>
        <w:t xml:space="preserve">pieteicējs bija </w:t>
      </w:r>
      <w:r w:rsidR="0007125E">
        <w:rPr>
          <w:rFonts w:ascii="Source Sans Pro" w:hAnsi="Source Sans Pro"/>
          <w:color w:val="000000"/>
          <w:spacing w:val="3"/>
        </w:rPr>
        <w:t xml:space="preserve">nopratināts liecinieka statusā, </w:t>
      </w:r>
      <w:r w:rsidR="005B6C4C" w:rsidRPr="005B6C4C">
        <w:rPr>
          <w:rFonts w:ascii="Source Sans Pro" w:hAnsi="Source Sans Pro"/>
          <w:color w:val="000000"/>
          <w:spacing w:val="3"/>
        </w:rPr>
        <w:t xml:space="preserve">nav </w:t>
      </w:r>
      <w:r w:rsidR="00697BC5">
        <w:rPr>
          <w:rFonts w:ascii="Source Sans Pro" w:hAnsi="Source Sans Pro"/>
          <w:color w:val="000000"/>
          <w:spacing w:val="3"/>
        </w:rPr>
        <w:t xml:space="preserve">pietiekams </w:t>
      </w:r>
      <w:r w:rsidR="005B6C4C" w:rsidRPr="005B6C4C">
        <w:rPr>
          <w:rFonts w:ascii="Source Sans Pro" w:hAnsi="Source Sans Pro"/>
          <w:color w:val="000000"/>
          <w:spacing w:val="3"/>
        </w:rPr>
        <w:t>pamats atzīt, ka pieteicēja tiesības nebija skar</w:t>
      </w:r>
      <w:r w:rsidR="00697BC5">
        <w:rPr>
          <w:rFonts w:ascii="Source Sans Pro" w:hAnsi="Source Sans Pro"/>
          <w:color w:val="000000"/>
          <w:spacing w:val="3"/>
        </w:rPr>
        <w:t xml:space="preserve">tas konkrētajā kriminālprocesā. Minēto papildus apstiprina arī tas, ka saskaņā ar tiesību doktrīnā atzīto </w:t>
      </w:r>
      <w:r w:rsidR="0007125E">
        <w:rPr>
          <w:rFonts w:ascii="Source Sans Pro" w:hAnsi="Source Sans Pro"/>
          <w:color w:val="000000"/>
          <w:spacing w:val="3"/>
        </w:rPr>
        <w:t>Kriminālprocesa likumā</w:t>
      </w:r>
      <w:r w:rsidR="005B6C4C" w:rsidRPr="005B6C4C">
        <w:rPr>
          <w:rFonts w:ascii="Source Sans Pro" w:hAnsi="Source Sans Pro"/>
          <w:color w:val="000000"/>
          <w:spacing w:val="3"/>
        </w:rPr>
        <w:t xml:space="preserve"> </w:t>
      </w:r>
      <w:r w:rsidR="005B6C4C" w:rsidRPr="005B6C4C">
        <w:rPr>
          <w:rFonts w:ascii="Noto Serif" w:hAnsi="Noto Serif"/>
          <w:color w:val="101820"/>
        </w:rPr>
        <w:t>jautājums par noziedzīgā nodarījumā cietušās personas, kura nav atzīta par cietušo kriminālprocesā, pratināšanas procesuālo veidu</w:t>
      </w:r>
      <w:r w:rsidR="00697BC5">
        <w:rPr>
          <w:rFonts w:ascii="Noto Serif" w:hAnsi="Noto Serif"/>
          <w:color w:val="101820"/>
        </w:rPr>
        <w:t xml:space="preserve"> nav precīzi atrisināts un tāpēc šāda </w:t>
      </w:r>
      <w:r w:rsidR="005B6C4C" w:rsidRPr="005B6C4C">
        <w:rPr>
          <w:rFonts w:ascii="Noto Serif" w:hAnsi="Noto Serif"/>
          <w:color w:val="101820"/>
        </w:rPr>
        <w:t xml:space="preserve">persona </w:t>
      </w:r>
      <w:r w:rsidR="00697BC5">
        <w:rPr>
          <w:rFonts w:ascii="Noto Serif" w:hAnsi="Noto Serif"/>
          <w:color w:val="101820"/>
        </w:rPr>
        <w:t>tiek</w:t>
      </w:r>
      <w:r w:rsidR="0007125E">
        <w:rPr>
          <w:rFonts w:ascii="Noto Serif" w:hAnsi="Noto Serif"/>
          <w:color w:val="101820"/>
        </w:rPr>
        <w:t xml:space="preserve"> </w:t>
      </w:r>
      <w:r w:rsidR="005B6C4C" w:rsidRPr="005B6C4C">
        <w:rPr>
          <w:rFonts w:ascii="Noto Serif" w:hAnsi="Noto Serif"/>
          <w:color w:val="101820"/>
        </w:rPr>
        <w:t>pratinā</w:t>
      </w:r>
      <w:r w:rsidR="00697BC5">
        <w:rPr>
          <w:rFonts w:ascii="Noto Serif" w:hAnsi="Noto Serif"/>
          <w:color w:val="101820"/>
        </w:rPr>
        <w:t>ta</w:t>
      </w:r>
      <w:r w:rsidR="005B6C4C" w:rsidRPr="005B6C4C">
        <w:rPr>
          <w:rFonts w:ascii="Noto Serif" w:hAnsi="Noto Serif"/>
          <w:color w:val="101820"/>
        </w:rPr>
        <w:t xml:space="preserve"> liecinieka statusā</w:t>
      </w:r>
      <w:r w:rsidR="0007125E">
        <w:rPr>
          <w:rFonts w:ascii="Noto Serif" w:hAnsi="Noto Serif"/>
          <w:color w:val="101820"/>
        </w:rPr>
        <w:t xml:space="preserve"> </w:t>
      </w:r>
      <w:proofErr w:type="gramStart"/>
      <w:r w:rsidR="0007125E" w:rsidRPr="00166BA3">
        <w:t>(</w:t>
      </w:r>
      <w:proofErr w:type="gramEnd"/>
      <w:r w:rsidR="0007125E" w:rsidRPr="005B6C4C">
        <w:rPr>
          <w:i/>
        </w:rPr>
        <w:t xml:space="preserve">Strada-Rozenberga K. </w:t>
      </w:r>
      <w:r w:rsidR="0007125E" w:rsidRPr="005B6C4C">
        <w:rPr>
          <w:i/>
          <w:color w:val="000000"/>
          <w:spacing w:val="3"/>
        </w:rPr>
        <w:t>Cietušais un tā tiesības kriminālprocesā. Jurista Vārds, 04.11.2008., Nr.42 (547)</w:t>
      </w:r>
      <w:r w:rsidR="0007125E">
        <w:rPr>
          <w:rFonts w:ascii="Source Sans Pro" w:hAnsi="Source Sans Pro"/>
          <w:color w:val="000000"/>
          <w:spacing w:val="3"/>
        </w:rPr>
        <w:t>)</w:t>
      </w:r>
      <w:r w:rsidR="005B6C4C" w:rsidRPr="005B6C4C">
        <w:rPr>
          <w:rFonts w:ascii="Noto Serif" w:hAnsi="Noto Serif"/>
          <w:color w:val="101820"/>
        </w:rPr>
        <w:t>.</w:t>
      </w:r>
    </w:p>
    <w:p w14:paraId="3B58381B" w14:textId="77777777" w:rsidR="0007125E" w:rsidRDefault="00F91371" w:rsidP="004C6503">
      <w:pPr>
        <w:autoSpaceDE w:val="0"/>
        <w:autoSpaceDN w:val="0"/>
        <w:adjustRightInd w:val="0"/>
        <w:spacing w:line="276" w:lineRule="auto"/>
        <w:ind w:firstLine="567"/>
        <w:jc w:val="both"/>
        <w:rPr>
          <w:rFonts w:ascii="Noto Serif" w:hAnsi="Noto Serif"/>
          <w:color w:val="101820"/>
        </w:rPr>
      </w:pPr>
      <w:r>
        <w:rPr>
          <w:rFonts w:ascii="Noto Serif" w:hAnsi="Noto Serif"/>
          <w:color w:val="101820"/>
        </w:rPr>
        <w:t xml:space="preserve">No minētā izriet, ka atbilstoši Kriminālprocesa likumā ietvertajam regulējumam ir pieļaujams noziedzīga nodarījuma rezultātā cietušo personu pratināt liecinieka statusā, jo īpaši </w:t>
      </w:r>
      <w:r w:rsidR="00EF72BC">
        <w:rPr>
          <w:rFonts w:ascii="Noto Serif" w:hAnsi="Noto Serif"/>
          <w:color w:val="101820"/>
        </w:rPr>
        <w:t xml:space="preserve">šāda rīcība ir pamatota </w:t>
      </w:r>
      <w:r>
        <w:rPr>
          <w:rFonts w:ascii="Noto Serif" w:hAnsi="Noto Serif"/>
          <w:color w:val="101820"/>
        </w:rPr>
        <w:t xml:space="preserve">pirmajā kriminālprocesa stadijā – izmeklēšanā, kad </w:t>
      </w:r>
      <w:proofErr w:type="spellStart"/>
      <w:r w:rsidR="00EF72BC">
        <w:rPr>
          <w:rFonts w:ascii="Noto Serif" w:hAnsi="Noto Serif"/>
          <w:color w:val="101820"/>
        </w:rPr>
        <w:t>citstarp</w:t>
      </w:r>
      <w:proofErr w:type="spellEnd"/>
      <w:r w:rsidR="00EF72BC">
        <w:rPr>
          <w:rFonts w:ascii="Noto Serif" w:hAnsi="Noto Serif"/>
          <w:color w:val="101820"/>
        </w:rPr>
        <w:t xml:space="preserve"> </w:t>
      </w:r>
      <w:r>
        <w:rPr>
          <w:rFonts w:ascii="Noto Serif" w:hAnsi="Noto Serif"/>
          <w:color w:val="101820"/>
        </w:rPr>
        <w:t>tiek iegūtas ziņas par to, vai vispār ir noticis noziedzīgs nodar</w:t>
      </w:r>
      <w:r w:rsidR="00EF72BC">
        <w:rPr>
          <w:rFonts w:ascii="Noto Serif" w:hAnsi="Noto Serif"/>
          <w:color w:val="101820"/>
        </w:rPr>
        <w:t>ījums.</w:t>
      </w:r>
      <w:r w:rsidR="00675911">
        <w:rPr>
          <w:rFonts w:ascii="Noto Serif" w:hAnsi="Noto Serif"/>
          <w:color w:val="101820"/>
        </w:rPr>
        <w:t xml:space="preserve"> Līdz ar to </w:t>
      </w:r>
      <w:r w:rsidR="00EF72BC">
        <w:rPr>
          <w:rFonts w:ascii="Noto Serif" w:hAnsi="Noto Serif"/>
          <w:color w:val="101820"/>
        </w:rPr>
        <w:t xml:space="preserve">Augstākā tiesa atzīst, ka </w:t>
      </w:r>
      <w:r w:rsidR="0007125E">
        <w:rPr>
          <w:rFonts w:ascii="Noto Serif" w:hAnsi="Noto Serif"/>
          <w:color w:val="101820"/>
        </w:rPr>
        <w:t>personas kriminālprocesuāl</w:t>
      </w:r>
      <w:r w:rsidR="00EF72BC">
        <w:rPr>
          <w:rFonts w:ascii="Noto Serif" w:hAnsi="Noto Serif"/>
          <w:color w:val="101820"/>
        </w:rPr>
        <w:t xml:space="preserve">ajam statusam nav izšķirošas nozīmes, lemjot jautājumu par krimināllietas materiālu pieejamību, un Kriminālprocesa likuma 375.panta otrā daļa </w:t>
      </w:r>
      <w:r w:rsidR="004C6503">
        <w:rPr>
          <w:rFonts w:ascii="Noto Serif" w:hAnsi="Noto Serif"/>
          <w:color w:val="101820"/>
        </w:rPr>
        <w:t>ir interpretējama</w:t>
      </w:r>
      <w:r w:rsidR="008C5538">
        <w:rPr>
          <w:rFonts w:ascii="Noto Serif" w:hAnsi="Noto Serif"/>
          <w:color w:val="101820"/>
        </w:rPr>
        <w:t>, ievērojot</w:t>
      </w:r>
      <w:r w:rsidR="004C6503">
        <w:rPr>
          <w:rFonts w:ascii="Noto Serif" w:hAnsi="Noto Serif"/>
          <w:color w:val="101820"/>
        </w:rPr>
        <w:t xml:space="preserve"> katr</w:t>
      </w:r>
      <w:r w:rsidR="008C5538">
        <w:rPr>
          <w:rFonts w:ascii="Noto Serif" w:hAnsi="Noto Serif"/>
          <w:color w:val="101820"/>
        </w:rPr>
        <w:t>a</w:t>
      </w:r>
      <w:r w:rsidR="004C6503">
        <w:rPr>
          <w:rFonts w:ascii="Noto Serif" w:hAnsi="Noto Serif"/>
          <w:color w:val="101820"/>
        </w:rPr>
        <w:t xml:space="preserve"> konkrēt</w:t>
      </w:r>
      <w:r w:rsidR="008C5538">
        <w:rPr>
          <w:rFonts w:ascii="Noto Serif" w:hAnsi="Noto Serif"/>
          <w:color w:val="101820"/>
        </w:rPr>
        <w:t xml:space="preserve">ā </w:t>
      </w:r>
      <w:r w:rsidR="004C6503">
        <w:rPr>
          <w:rFonts w:ascii="Noto Serif" w:hAnsi="Noto Serif"/>
          <w:color w:val="101820"/>
        </w:rPr>
        <w:t>gadījum</w:t>
      </w:r>
      <w:r w:rsidR="008C5538">
        <w:rPr>
          <w:rFonts w:ascii="Noto Serif" w:hAnsi="Noto Serif"/>
          <w:color w:val="101820"/>
        </w:rPr>
        <w:t>a apstākļus</w:t>
      </w:r>
      <w:r w:rsidR="004C6503">
        <w:rPr>
          <w:rFonts w:ascii="Noto Serif" w:hAnsi="Noto Serif"/>
          <w:color w:val="101820"/>
        </w:rPr>
        <w:t>.</w:t>
      </w:r>
    </w:p>
    <w:p w14:paraId="426D24C6" w14:textId="77777777" w:rsidR="00CE54B6" w:rsidRDefault="00CE54B6" w:rsidP="00166BA3">
      <w:pPr>
        <w:autoSpaceDE w:val="0"/>
        <w:autoSpaceDN w:val="0"/>
        <w:adjustRightInd w:val="0"/>
        <w:spacing w:line="276" w:lineRule="auto"/>
        <w:ind w:firstLine="567"/>
        <w:jc w:val="both"/>
        <w:rPr>
          <w:rFonts w:ascii="Noto Serif" w:hAnsi="Noto Serif"/>
          <w:color w:val="101820"/>
        </w:rPr>
      </w:pPr>
    </w:p>
    <w:p w14:paraId="702885E9" w14:textId="77777777" w:rsidR="00751890" w:rsidRDefault="00CE54B6" w:rsidP="00166BA3">
      <w:pPr>
        <w:autoSpaceDE w:val="0"/>
        <w:autoSpaceDN w:val="0"/>
        <w:adjustRightInd w:val="0"/>
        <w:spacing w:line="276" w:lineRule="auto"/>
        <w:ind w:firstLine="567"/>
        <w:jc w:val="both"/>
        <w:rPr>
          <w:rFonts w:ascii="Noto Serif" w:hAnsi="Noto Serif"/>
          <w:color w:val="101820"/>
        </w:rPr>
      </w:pPr>
      <w:r>
        <w:rPr>
          <w:rFonts w:ascii="Noto Serif" w:hAnsi="Noto Serif"/>
          <w:color w:val="101820"/>
        </w:rPr>
        <w:t xml:space="preserve">[12] </w:t>
      </w:r>
      <w:r w:rsidR="005C6013">
        <w:rPr>
          <w:rFonts w:ascii="Noto Serif" w:hAnsi="Noto Serif"/>
          <w:color w:val="101820"/>
        </w:rPr>
        <w:t>T</w:t>
      </w:r>
      <w:r w:rsidR="0007125E">
        <w:rPr>
          <w:rFonts w:ascii="Noto Serif" w:hAnsi="Noto Serif"/>
          <w:color w:val="101820"/>
        </w:rPr>
        <w:t xml:space="preserve">as, ka kriminālprocess ir noslēdzies, nekonstatējot </w:t>
      </w:r>
      <w:r w:rsidR="00FB228A">
        <w:rPr>
          <w:rFonts w:ascii="Noto Serif" w:hAnsi="Noto Serif"/>
          <w:color w:val="101820"/>
        </w:rPr>
        <w:t>noziedzīgu nodarījumu</w:t>
      </w:r>
      <w:r w:rsidR="0007125E">
        <w:rPr>
          <w:rFonts w:ascii="Noto Serif" w:hAnsi="Noto Serif"/>
          <w:color w:val="101820"/>
        </w:rPr>
        <w:t xml:space="preserve">, nav pamats uzskatīt, ka nevienas personas tiesības </w:t>
      </w:r>
      <w:r w:rsidR="004276CA">
        <w:rPr>
          <w:rFonts w:ascii="Noto Serif" w:hAnsi="Noto Serif"/>
          <w:color w:val="101820"/>
        </w:rPr>
        <w:t xml:space="preserve">konkrētajā kriminālprocesā nav </w:t>
      </w:r>
      <w:r w:rsidR="0007125E">
        <w:rPr>
          <w:rFonts w:ascii="Noto Serif" w:hAnsi="Noto Serif"/>
          <w:color w:val="101820"/>
        </w:rPr>
        <w:t>skartas</w:t>
      </w:r>
      <w:r w:rsidR="00C42F20">
        <w:rPr>
          <w:rFonts w:ascii="Noto Serif" w:hAnsi="Noto Serif"/>
          <w:color w:val="101820"/>
        </w:rPr>
        <w:t>.</w:t>
      </w:r>
    </w:p>
    <w:p w14:paraId="5DA62E82" w14:textId="77777777" w:rsidR="00AE5577" w:rsidRPr="00751890" w:rsidRDefault="001731A3" w:rsidP="00751890">
      <w:pPr>
        <w:autoSpaceDE w:val="0"/>
        <w:autoSpaceDN w:val="0"/>
        <w:adjustRightInd w:val="0"/>
        <w:spacing w:line="276" w:lineRule="auto"/>
        <w:ind w:firstLine="567"/>
        <w:jc w:val="both"/>
        <w:rPr>
          <w:rFonts w:ascii="Noto Serif" w:hAnsi="Noto Serif"/>
          <w:color w:val="101820"/>
        </w:rPr>
      </w:pPr>
      <w:r>
        <w:rPr>
          <w:rFonts w:ascii="Noto Serif" w:hAnsi="Noto Serif"/>
          <w:color w:val="101820"/>
        </w:rPr>
        <w:lastRenderedPageBreak/>
        <w:t>Kā minēts iepriekš, i</w:t>
      </w:r>
      <w:r w:rsidR="00CE54B6">
        <w:rPr>
          <w:rFonts w:ascii="Noto Serif" w:hAnsi="Noto Serif"/>
          <w:color w:val="101820"/>
        </w:rPr>
        <w:t>zskatāmajā gadījumā kriminālprocess uzsākts uz pieteicēja iesnieguma pamata</w:t>
      </w:r>
      <w:r>
        <w:rPr>
          <w:rFonts w:ascii="Noto Serif" w:hAnsi="Noto Serif"/>
          <w:color w:val="101820"/>
        </w:rPr>
        <w:t xml:space="preserve"> par pret </w:t>
      </w:r>
      <w:r w:rsidR="007C15E1">
        <w:rPr>
          <w:rFonts w:ascii="Noto Serif" w:hAnsi="Noto Serif"/>
          <w:color w:val="101820"/>
        </w:rPr>
        <w:t>sevi</w:t>
      </w:r>
      <w:r>
        <w:rPr>
          <w:rFonts w:ascii="Noto Serif" w:hAnsi="Noto Serif"/>
          <w:color w:val="101820"/>
        </w:rPr>
        <w:t xml:space="preserve"> vērstu rīcību, kuru pieteicējs ir uzskatījis par noziedzīgu un </w:t>
      </w:r>
      <w:r w:rsidR="00FB228A">
        <w:rPr>
          <w:rFonts w:ascii="Noto Serif" w:hAnsi="Noto Serif"/>
          <w:color w:val="101820"/>
        </w:rPr>
        <w:t>lūdzis izmeklēt kriminālprocesa ietvaros</w:t>
      </w:r>
      <w:r w:rsidR="007C15E1">
        <w:rPr>
          <w:rFonts w:ascii="Noto Serif" w:hAnsi="Noto Serif"/>
          <w:color w:val="101820"/>
        </w:rPr>
        <w:t>, un pati prokuratūra ir atzinusi pieteicēja tiesības pārsūdzēt lēmumu par kriminālprocesa izbeigšanu</w:t>
      </w:r>
      <w:r w:rsidR="00910DB4">
        <w:rPr>
          <w:rFonts w:ascii="Noto Serif" w:hAnsi="Noto Serif"/>
          <w:color w:val="101820"/>
        </w:rPr>
        <w:t>.</w:t>
      </w:r>
    </w:p>
    <w:p w14:paraId="4B531C99" w14:textId="77777777" w:rsidR="00AD4808" w:rsidRDefault="00CE54B6" w:rsidP="002208ED">
      <w:pPr>
        <w:autoSpaceDE w:val="0"/>
        <w:autoSpaceDN w:val="0"/>
        <w:adjustRightInd w:val="0"/>
        <w:spacing w:line="276" w:lineRule="auto"/>
        <w:ind w:firstLine="567"/>
        <w:jc w:val="both"/>
      </w:pPr>
      <w:r>
        <w:t>Prokurat</w:t>
      </w:r>
      <w:r w:rsidR="004276CA">
        <w:t xml:space="preserve">ūras nostāja – </w:t>
      </w:r>
      <w:r>
        <w:t xml:space="preserve">ja nav </w:t>
      </w:r>
      <w:r w:rsidR="00FB228A">
        <w:t>noticis noziedzīgs nodarījums</w:t>
      </w:r>
      <w:r>
        <w:t>, tātad nevienas pe</w:t>
      </w:r>
      <w:r w:rsidR="005C6013">
        <w:t>rsonas tiesības nav aizskartas –</w:t>
      </w:r>
      <w:r w:rsidR="007C15E1">
        <w:t xml:space="preserve"> </w:t>
      </w:r>
      <w:r>
        <w:t>nepamatoti sašaurina Kriminālprocesa likuma 375.panta otrās daļas piemērošanu. Jēdziens „</w:t>
      </w:r>
      <w:r w:rsidR="00AD5FAF">
        <w:t>persona,</w:t>
      </w:r>
      <w:r>
        <w:t xml:space="preserve"> kur</w:t>
      </w:r>
      <w:r w:rsidR="00AD5FAF">
        <w:t>as</w:t>
      </w:r>
      <w:r>
        <w:t xml:space="preserve"> tiesības bija aizskartas konkrētajā kriminālprocesā” vērtējams </w:t>
      </w:r>
      <w:r w:rsidR="00AD5FAF">
        <w:t xml:space="preserve">no informācijas pieejamības viedokļa, nevis </w:t>
      </w:r>
      <w:r w:rsidR="007C15E1">
        <w:t xml:space="preserve">no </w:t>
      </w:r>
      <w:r w:rsidR="00AD5FAF">
        <w:t xml:space="preserve">tā, vai konkrētajā kriminālprocesā </w:t>
      </w:r>
      <w:r w:rsidR="00FB228A">
        <w:t>ir konstatēts noziedzīgs no</w:t>
      </w:r>
      <w:r w:rsidR="008C5538">
        <w:t>darījums, kura rezultātā kāda persona</w:t>
      </w:r>
      <w:r w:rsidR="00FB228A">
        <w:t xml:space="preserve"> </w:t>
      </w:r>
      <w:r w:rsidR="008C5538">
        <w:t>ar procesa virzītāja lēmumu ir atzīta par cietušo</w:t>
      </w:r>
      <w:r w:rsidR="00FB228A">
        <w:t>.</w:t>
      </w:r>
    </w:p>
    <w:p w14:paraId="4E7CFE96" w14:textId="77777777" w:rsidR="00AD5FAF" w:rsidRDefault="00AD5FAF" w:rsidP="002208ED">
      <w:pPr>
        <w:autoSpaceDE w:val="0"/>
        <w:autoSpaceDN w:val="0"/>
        <w:adjustRightInd w:val="0"/>
        <w:spacing w:line="276" w:lineRule="auto"/>
        <w:ind w:firstLine="567"/>
        <w:jc w:val="both"/>
      </w:pPr>
    </w:p>
    <w:p w14:paraId="2C3F94A3" w14:textId="77777777" w:rsidR="00254E3F" w:rsidRDefault="00C241C6" w:rsidP="002208ED">
      <w:pPr>
        <w:autoSpaceDE w:val="0"/>
        <w:autoSpaceDN w:val="0"/>
        <w:adjustRightInd w:val="0"/>
        <w:spacing w:line="276" w:lineRule="auto"/>
        <w:ind w:firstLine="567"/>
        <w:jc w:val="both"/>
      </w:pPr>
      <w:r>
        <w:t xml:space="preserve">[13] </w:t>
      </w:r>
      <w:r w:rsidR="00534F58">
        <w:t>Līdz ar to</w:t>
      </w:r>
      <w:r>
        <w:t xml:space="preserve"> Augstākā tiesa atzīst, ka </w:t>
      </w:r>
      <w:r w:rsidR="00910DB4">
        <w:t xml:space="preserve">pieteicējs ietilpst to personu lokā, kurām ir tiesības iepazīties ar </w:t>
      </w:r>
      <w:r w:rsidR="000C0B43">
        <w:t xml:space="preserve">konkrētas </w:t>
      </w:r>
      <w:r w:rsidR="00910DB4">
        <w:t>krimināllietas materiāliem saskaņā ar Kriminālprocesa likuma 375.panta otro daļu. K</w:t>
      </w:r>
      <w:r>
        <w:t>onkrētajos apstākļos, kad kriminālprocess uzsākts pēc pieteicēja kā cietušā iesnieguma</w:t>
      </w:r>
      <w:r w:rsidR="00FB228A">
        <w:t xml:space="preserve">, lūdzot kriminālprocesa ietvaros izmeklēt pret pieteicēju vērstu rīcību, </w:t>
      </w:r>
      <w:r w:rsidR="00910DB4">
        <w:t xml:space="preserve">pieteicējs </w:t>
      </w:r>
      <w:r w:rsidR="00FB228A">
        <w:t xml:space="preserve">ir </w:t>
      </w:r>
      <w:r w:rsidR="004F31C3">
        <w:t xml:space="preserve">uzskatāms par </w:t>
      </w:r>
      <w:r w:rsidR="00FB228A">
        <w:t>person</w:t>
      </w:r>
      <w:r w:rsidR="004F31C3">
        <w:t>u</w:t>
      </w:r>
      <w:r w:rsidR="00FB228A">
        <w:t>, kuras tiesības bija aizskartas konkrētajā kriminālprocesā.</w:t>
      </w:r>
      <w:r w:rsidR="004F31C3">
        <w:t xml:space="preserve"> Apstāklim, ka pieteicējs pratināts liecinieka statusā</w:t>
      </w:r>
      <w:r w:rsidR="003D67E9">
        <w:t>,</w:t>
      </w:r>
      <w:r w:rsidR="004F31C3">
        <w:t xml:space="preserve"> nav izšķiroša</w:t>
      </w:r>
      <w:r w:rsidR="003D67E9">
        <w:t>s</w:t>
      </w:r>
      <w:r w:rsidR="004F31C3">
        <w:t xml:space="preserve"> nozīmes</w:t>
      </w:r>
      <w:r w:rsidR="00A429C2">
        <w:t>.</w:t>
      </w:r>
    </w:p>
    <w:p w14:paraId="1E360A62" w14:textId="77777777" w:rsidR="00581C10" w:rsidRDefault="00AD7F64" w:rsidP="002208ED">
      <w:pPr>
        <w:autoSpaceDE w:val="0"/>
        <w:autoSpaceDN w:val="0"/>
        <w:adjustRightInd w:val="0"/>
        <w:spacing w:line="276" w:lineRule="auto"/>
        <w:ind w:firstLine="567"/>
        <w:jc w:val="both"/>
      </w:pPr>
      <w:r>
        <w:t>Arī prokuratūras argument</w:t>
      </w:r>
      <w:r w:rsidR="00581C10">
        <w:t>am</w:t>
      </w:r>
      <w:r>
        <w:t xml:space="preserve">, ka krimināllietas materiālu </w:t>
      </w:r>
      <w:r w:rsidR="000C0B43">
        <w:t xml:space="preserve">neizsniegšana </w:t>
      </w:r>
      <w:r>
        <w:t xml:space="preserve">neliedz pieteicējam </w:t>
      </w:r>
      <w:r w:rsidR="00254E3F">
        <w:t xml:space="preserve">savu aizskarto tiesību aizsardzībai </w:t>
      </w:r>
      <w:r>
        <w:t>vērsties vispārējās jurisdikcijas tiesā</w:t>
      </w:r>
      <w:r w:rsidR="00254E3F">
        <w:t>,</w:t>
      </w:r>
      <w:r>
        <w:t xml:space="preserve"> </w:t>
      </w:r>
      <w:r w:rsidR="00254E3F">
        <w:t xml:space="preserve">nav </w:t>
      </w:r>
      <w:r w:rsidR="00581C10">
        <w:t>izšķirošas nozīmes</w:t>
      </w:r>
      <w:r w:rsidR="00254E3F">
        <w:t>, jo Kriminālprocesa likuma 375.pant</w:t>
      </w:r>
      <w:r w:rsidR="00581C10">
        <w:t>s pieteicējam kā personai, kuras tiesības ir aizskartas konkrētajā kriminālprocesā, paredz tiesības iepazīties ar krimināllietas materiāliem</w:t>
      </w:r>
      <w:r w:rsidR="000C0B43">
        <w:t xml:space="preserve"> neatkarīgi no tā, vai pieteicējs vēlas šo informāciju izmantot, lai vērstos tiesā ar civilprasību</w:t>
      </w:r>
      <w:r w:rsidR="00581C10">
        <w:t>.</w:t>
      </w:r>
    </w:p>
    <w:p w14:paraId="1A390AED" w14:textId="77777777" w:rsidR="000C0B43" w:rsidRDefault="000C0B43" w:rsidP="002208ED">
      <w:pPr>
        <w:autoSpaceDE w:val="0"/>
        <w:autoSpaceDN w:val="0"/>
        <w:adjustRightInd w:val="0"/>
        <w:spacing w:line="276" w:lineRule="auto"/>
        <w:ind w:firstLine="567"/>
        <w:jc w:val="both"/>
      </w:pPr>
    </w:p>
    <w:p w14:paraId="1964D7DA" w14:textId="7031FBEB" w:rsidR="004F31C3" w:rsidRDefault="000C0B43" w:rsidP="002208ED">
      <w:pPr>
        <w:autoSpaceDE w:val="0"/>
        <w:autoSpaceDN w:val="0"/>
        <w:adjustRightInd w:val="0"/>
        <w:spacing w:line="276" w:lineRule="auto"/>
        <w:ind w:firstLine="567"/>
        <w:jc w:val="both"/>
      </w:pPr>
      <w:r>
        <w:t xml:space="preserve">[14] </w:t>
      </w:r>
      <w:r w:rsidR="00FB228A">
        <w:t xml:space="preserve">Vienlaikus </w:t>
      </w:r>
      <w:r w:rsidR="004F31C3">
        <w:t xml:space="preserve">Augstākā tiesa </w:t>
      </w:r>
      <w:r>
        <w:t xml:space="preserve">neizslēdz, ka </w:t>
      </w:r>
      <w:r w:rsidR="004F31C3">
        <w:t>arī šādos gadījumos</w:t>
      </w:r>
      <w:r w:rsidR="00844424">
        <w:t>, kad tiesības iepazīties ar krimināllietas materiāliem vēlas īstenot kād</w:t>
      </w:r>
      <w:r w:rsidR="004276CA">
        <w:t>a</w:t>
      </w:r>
      <w:r w:rsidR="00844424">
        <w:t xml:space="preserve"> no Kriminālprocesa likuma 375.panta otrajā daļā paredzētajām personām, iestāde varētu </w:t>
      </w:r>
      <w:r w:rsidR="00A429C2">
        <w:t xml:space="preserve">atteikt </w:t>
      </w:r>
      <w:r w:rsidR="004F31C3">
        <w:t xml:space="preserve">personai tiesības iepazīties ar krimināllietas materiāliem, </w:t>
      </w:r>
      <w:r w:rsidR="00824D8C">
        <w:t xml:space="preserve">atteikumu </w:t>
      </w:r>
      <w:r w:rsidR="004F31C3">
        <w:t>pamatojot ar īpašiem apstākļiem</w:t>
      </w:r>
      <w:proofErr w:type="gramStart"/>
      <w:r w:rsidR="004F31C3">
        <w:t xml:space="preserve"> un</w:t>
      </w:r>
      <w:proofErr w:type="gramEnd"/>
      <w:r w:rsidR="004F31C3">
        <w:t xml:space="preserve"> </w:t>
      </w:r>
      <w:r w:rsidR="00844424">
        <w:t xml:space="preserve">nepieciešamību nodrošināt būtisku sabiedrības </w:t>
      </w:r>
      <w:r w:rsidR="004F31C3">
        <w:t>interešu aizsardzību.</w:t>
      </w:r>
      <w:r>
        <w:t xml:space="preserve"> Izskatāmajā gadījumā prokuratūra nav norādījusi, ka konkrētās krimināllietas materiāli saturētu kādu tādu informāciju, kuras aizsardzība (neizsniegšana) ir nepieciešama būtisku sabiedrības interešu nodrošināšanai. </w:t>
      </w:r>
    </w:p>
    <w:p w14:paraId="4CB9910C" w14:textId="77777777" w:rsidR="000C0B43" w:rsidRDefault="000C0B43" w:rsidP="002208ED">
      <w:pPr>
        <w:autoSpaceDE w:val="0"/>
        <w:autoSpaceDN w:val="0"/>
        <w:adjustRightInd w:val="0"/>
        <w:spacing w:line="276" w:lineRule="auto"/>
        <w:ind w:firstLine="567"/>
        <w:jc w:val="both"/>
      </w:pPr>
    </w:p>
    <w:p w14:paraId="05FE64CF" w14:textId="489A550A" w:rsidR="00076ED0" w:rsidRDefault="004F31C3" w:rsidP="002208ED">
      <w:pPr>
        <w:autoSpaceDE w:val="0"/>
        <w:autoSpaceDN w:val="0"/>
        <w:adjustRightInd w:val="0"/>
        <w:spacing w:line="276" w:lineRule="auto"/>
        <w:ind w:firstLine="567"/>
        <w:jc w:val="both"/>
      </w:pPr>
      <w:r>
        <w:t>[1</w:t>
      </w:r>
      <w:r w:rsidR="005E0BC5">
        <w:t>5</w:t>
      </w:r>
      <w:r>
        <w:t xml:space="preserve">] </w:t>
      </w:r>
      <w:r w:rsidR="002F78AE">
        <w:t>R</w:t>
      </w:r>
      <w:r w:rsidR="00534F58">
        <w:t>ezumējot minēto, atzīstams, ka r</w:t>
      </w:r>
      <w:r w:rsidR="002F78AE">
        <w:t xml:space="preserve">ajona tiesa </w:t>
      </w:r>
      <w:r w:rsidR="003918E7">
        <w:t xml:space="preserve">nepareizi </w:t>
      </w:r>
      <w:r w:rsidR="009903C1">
        <w:t xml:space="preserve">ir </w:t>
      </w:r>
      <w:r w:rsidR="003918E7">
        <w:t>interpretējusi Kri</w:t>
      </w:r>
      <w:r>
        <w:t>mināl</w:t>
      </w:r>
      <w:r w:rsidR="003D67E9">
        <w:t>procesa likuma</w:t>
      </w:r>
      <w:r>
        <w:t xml:space="preserve"> 375.panta otro daļu</w:t>
      </w:r>
      <w:r w:rsidR="002C3C89">
        <w:t xml:space="preserve">. Tas ir novedis pie lietas nepareizas izspriešanas, tāpēc rajona tiesas spriedums ir atceļams, un lieta </w:t>
      </w:r>
      <w:proofErr w:type="gramStart"/>
      <w:r w:rsidR="002C3C89">
        <w:t>nosūtāma jaunai izskatīšanai pirmās instances tiesai</w:t>
      </w:r>
      <w:proofErr w:type="gramEnd"/>
      <w:r w:rsidR="002C3C89">
        <w:t>.</w:t>
      </w:r>
    </w:p>
    <w:p w14:paraId="0B6E1ED0" w14:textId="77777777" w:rsidR="00B00B31" w:rsidRDefault="00B00B31" w:rsidP="002C3C89">
      <w:pPr>
        <w:autoSpaceDE w:val="0"/>
        <w:autoSpaceDN w:val="0"/>
        <w:adjustRightInd w:val="0"/>
        <w:spacing w:line="276" w:lineRule="auto"/>
        <w:jc w:val="both"/>
      </w:pPr>
    </w:p>
    <w:p w14:paraId="1AA0BB3A" w14:textId="77777777" w:rsidR="00345199" w:rsidRPr="001B0840" w:rsidRDefault="00345199" w:rsidP="00345199">
      <w:pPr>
        <w:spacing w:line="276" w:lineRule="auto"/>
        <w:ind w:firstLine="567"/>
        <w:jc w:val="center"/>
        <w:rPr>
          <w:b/>
        </w:rPr>
      </w:pPr>
      <w:r w:rsidRPr="001B0840">
        <w:rPr>
          <w:b/>
        </w:rPr>
        <w:t>Rezolutīvā daļa</w:t>
      </w:r>
    </w:p>
    <w:p w14:paraId="233B5340" w14:textId="77777777" w:rsidR="00345199" w:rsidRPr="001B0840" w:rsidRDefault="00345199" w:rsidP="00345199">
      <w:pPr>
        <w:spacing w:line="276" w:lineRule="auto"/>
        <w:ind w:firstLine="567"/>
        <w:jc w:val="both"/>
      </w:pPr>
    </w:p>
    <w:p w14:paraId="35F5740D" w14:textId="77777777" w:rsidR="00345199" w:rsidRDefault="00345199" w:rsidP="00345199">
      <w:pPr>
        <w:spacing w:line="276" w:lineRule="auto"/>
        <w:ind w:firstLine="567"/>
        <w:jc w:val="both"/>
      </w:pPr>
      <w:r w:rsidRPr="00C05668">
        <w:t>Pamatojoties uz Administratīvā procesa likuma</w:t>
      </w:r>
      <w:r w:rsidR="00C05668" w:rsidRPr="00C05668">
        <w:t xml:space="preserve"> </w:t>
      </w:r>
      <w:r w:rsidR="002C3C89" w:rsidRPr="0082381C">
        <w:rPr>
          <w:rFonts w:eastAsiaTheme="minorHAnsi"/>
          <w:lang w:eastAsia="en-US"/>
        </w:rPr>
        <w:t>129.</w:t>
      </w:r>
      <w:r w:rsidR="002C3C89" w:rsidRPr="0082381C">
        <w:rPr>
          <w:rFonts w:eastAsiaTheme="minorHAnsi"/>
          <w:vertAlign w:val="superscript"/>
          <w:lang w:eastAsia="en-US"/>
        </w:rPr>
        <w:t>1</w:t>
      </w:r>
      <w:r w:rsidR="002C3C89" w:rsidRPr="0082381C">
        <w:rPr>
          <w:rFonts w:eastAsiaTheme="minorHAnsi"/>
          <w:lang w:eastAsia="en-US"/>
        </w:rPr>
        <w:t xml:space="preserve">panta </w:t>
      </w:r>
      <w:r w:rsidR="002C3C89">
        <w:rPr>
          <w:rFonts w:eastAsiaTheme="minorHAnsi"/>
          <w:lang w:eastAsia="en-US"/>
        </w:rPr>
        <w:t>pirmās daļas 1.punktu</w:t>
      </w:r>
      <w:r w:rsidR="002C3C89" w:rsidRPr="0082381C">
        <w:rPr>
          <w:rFonts w:eastAsiaTheme="minorHAnsi"/>
          <w:lang w:eastAsia="en-US"/>
        </w:rPr>
        <w:t xml:space="preserve">, 348.panta </w:t>
      </w:r>
      <w:r w:rsidR="002C3C89">
        <w:rPr>
          <w:rFonts w:eastAsiaTheme="minorHAnsi"/>
          <w:lang w:eastAsia="en-US"/>
        </w:rPr>
        <w:t>pirmās daļas 2.punktu</w:t>
      </w:r>
      <w:r w:rsidR="002C3C89" w:rsidRPr="0082381C">
        <w:rPr>
          <w:rFonts w:eastAsiaTheme="minorHAnsi"/>
          <w:lang w:eastAsia="en-US"/>
        </w:rPr>
        <w:t xml:space="preserve"> un 351.pantu</w:t>
      </w:r>
      <w:r w:rsidR="003D67E9">
        <w:t>, Augstākā</w:t>
      </w:r>
      <w:r w:rsidRPr="001B0840">
        <w:t xml:space="preserve"> tiesa</w:t>
      </w:r>
    </w:p>
    <w:p w14:paraId="61CFB768" w14:textId="77777777" w:rsidR="00295AF6" w:rsidRDefault="00295AF6" w:rsidP="0011179B">
      <w:pPr>
        <w:spacing w:line="276" w:lineRule="auto"/>
        <w:rPr>
          <w:b/>
        </w:rPr>
      </w:pPr>
    </w:p>
    <w:p w14:paraId="3ECDFC86" w14:textId="59327FEF" w:rsidR="00345199" w:rsidRPr="001B0840" w:rsidRDefault="00295AF6" w:rsidP="00345199">
      <w:pPr>
        <w:spacing w:line="276" w:lineRule="auto"/>
        <w:ind w:firstLine="567"/>
        <w:jc w:val="center"/>
        <w:rPr>
          <w:b/>
        </w:rPr>
      </w:pPr>
      <w:r>
        <w:rPr>
          <w:b/>
        </w:rPr>
        <w:t>n</w:t>
      </w:r>
      <w:r w:rsidR="00345199" w:rsidRPr="001B0840">
        <w:rPr>
          <w:b/>
        </w:rPr>
        <w:t>osprieda</w:t>
      </w:r>
      <w:r>
        <w:rPr>
          <w:b/>
        </w:rPr>
        <w:t>:</w:t>
      </w:r>
    </w:p>
    <w:p w14:paraId="7F5D7A84" w14:textId="77777777" w:rsidR="00345199" w:rsidRPr="001B0840" w:rsidRDefault="00345199" w:rsidP="00345199">
      <w:pPr>
        <w:spacing w:line="276" w:lineRule="auto"/>
        <w:ind w:firstLine="567"/>
        <w:jc w:val="both"/>
      </w:pPr>
    </w:p>
    <w:p w14:paraId="403211FD" w14:textId="77777777" w:rsidR="00345199" w:rsidRDefault="002C3C89" w:rsidP="000C69CF">
      <w:pPr>
        <w:tabs>
          <w:tab w:val="left" w:pos="540"/>
          <w:tab w:val="left" w:pos="3240"/>
        </w:tabs>
        <w:spacing w:line="276" w:lineRule="auto"/>
        <w:ind w:firstLine="567"/>
        <w:jc w:val="both"/>
        <w:rPr>
          <w:rFonts w:eastAsiaTheme="minorHAnsi"/>
          <w:lang w:eastAsia="en-US"/>
        </w:rPr>
      </w:pPr>
      <w:r>
        <w:t>atcelt</w:t>
      </w:r>
      <w:r w:rsidR="00345199" w:rsidRPr="001B0840">
        <w:t xml:space="preserve"> Administratīvās </w:t>
      </w:r>
      <w:r w:rsidR="0079485C">
        <w:t>rajona tiesas</w:t>
      </w:r>
      <w:r w:rsidR="00345199" w:rsidRPr="001B0840">
        <w:t xml:space="preserve"> </w:t>
      </w:r>
      <w:proofErr w:type="gramStart"/>
      <w:r w:rsidR="000C69CF" w:rsidRPr="00345199">
        <w:rPr>
          <w:rFonts w:eastAsiaTheme="minorHAnsi"/>
          <w:lang w:eastAsia="en-US"/>
        </w:rPr>
        <w:t>201</w:t>
      </w:r>
      <w:r w:rsidR="00C940CF">
        <w:rPr>
          <w:rFonts w:eastAsiaTheme="minorHAnsi"/>
          <w:lang w:eastAsia="en-US"/>
        </w:rPr>
        <w:t>6</w:t>
      </w:r>
      <w:r w:rsidR="000C69CF" w:rsidRPr="00345199">
        <w:rPr>
          <w:rFonts w:eastAsiaTheme="minorHAnsi"/>
          <w:lang w:eastAsia="en-US"/>
        </w:rPr>
        <w:t>.gada</w:t>
      </w:r>
      <w:proofErr w:type="gramEnd"/>
      <w:r w:rsidR="000C69CF" w:rsidRPr="00345199">
        <w:rPr>
          <w:rFonts w:eastAsiaTheme="minorHAnsi"/>
          <w:lang w:eastAsia="en-US"/>
        </w:rPr>
        <w:t xml:space="preserve"> </w:t>
      </w:r>
      <w:r>
        <w:rPr>
          <w:rFonts w:eastAsiaTheme="minorHAnsi"/>
          <w:lang w:eastAsia="en-US"/>
        </w:rPr>
        <w:t>18.maija</w:t>
      </w:r>
      <w:r w:rsidR="000C69CF" w:rsidRPr="00345199">
        <w:rPr>
          <w:rFonts w:eastAsiaTheme="minorHAnsi"/>
          <w:lang w:eastAsia="en-US"/>
        </w:rPr>
        <w:t xml:space="preserve"> spriedumu</w:t>
      </w:r>
      <w:r>
        <w:rPr>
          <w:rFonts w:eastAsiaTheme="minorHAnsi"/>
          <w:lang w:eastAsia="en-US"/>
        </w:rPr>
        <w:t xml:space="preserve"> un nosūtīt lietu jaunai izskatīšanai Administratīvajai rajona tiesai.</w:t>
      </w:r>
    </w:p>
    <w:p w14:paraId="5BE8F073" w14:textId="473D7391" w:rsidR="002C3C89" w:rsidRDefault="002C3C89" w:rsidP="002C3C89">
      <w:pPr>
        <w:tabs>
          <w:tab w:val="left" w:pos="2700"/>
          <w:tab w:val="left" w:pos="6660"/>
        </w:tabs>
        <w:spacing w:line="276" w:lineRule="auto"/>
        <w:ind w:firstLine="567"/>
        <w:jc w:val="both"/>
      </w:pPr>
      <w:r>
        <w:t xml:space="preserve">atmaksāt </w:t>
      </w:r>
      <w:proofErr w:type="gramStart"/>
      <w:r w:rsidR="00187329">
        <w:t>[</w:t>
      </w:r>
      <w:proofErr w:type="gramEnd"/>
      <w:r w:rsidR="00187329">
        <w:t>pers. A]</w:t>
      </w:r>
      <w:r>
        <w:t xml:space="preserve"> par kasācijas sūdzību</w:t>
      </w:r>
      <w:r w:rsidR="00295AF6">
        <w:t xml:space="preserve"> samaksāto drošības naudu 71,14 </w:t>
      </w:r>
      <w:proofErr w:type="spellStart"/>
      <w:r w:rsidRPr="00FD7499">
        <w:rPr>
          <w:i/>
        </w:rPr>
        <w:t>euro</w:t>
      </w:r>
      <w:proofErr w:type="spellEnd"/>
      <w:r>
        <w:t>.</w:t>
      </w:r>
    </w:p>
    <w:p w14:paraId="125D47F1" w14:textId="77777777" w:rsidR="00345199" w:rsidRPr="001B0840" w:rsidRDefault="00345199" w:rsidP="00345199">
      <w:pPr>
        <w:spacing w:line="276" w:lineRule="auto"/>
        <w:ind w:firstLine="567"/>
        <w:jc w:val="both"/>
      </w:pPr>
      <w:r w:rsidRPr="001B0840">
        <w:lastRenderedPageBreak/>
        <w:t>Spriedums nav pārsūdzams.</w:t>
      </w:r>
    </w:p>
    <w:p w14:paraId="28760EDE" w14:textId="77777777" w:rsidR="00A71D5F" w:rsidRDefault="00A71D5F"/>
    <w:sectPr w:rsidR="00A71D5F" w:rsidSect="0004044A">
      <w:footerReference w:type="default" r:id="rId7"/>
      <w:pgSz w:w="11906" w:h="16838"/>
      <w:pgMar w:top="1134" w:right="1134" w:bottom="113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42BF2" w14:textId="77777777" w:rsidR="00EF1FA6" w:rsidRDefault="00EF1FA6">
      <w:r>
        <w:separator/>
      </w:r>
    </w:p>
  </w:endnote>
  <w:endnote w:type="continuationSeparator" w:id="0">
    <w:p w14:paraId="354AFC86" w14:textId="77777777" w:rsidR="00EF1FA6" w:rsidRDefault="00EF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Noto Serif">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F6FD3" w14:textId="44FFC129" w:rsidR="000E1C19" w:rsidRPr="00DB7CF7" w:rsidRDefault="000E1C19" w:rsidP="0004044A">
    <w:pPr>
      <w:jc w:val="center"/>
      <w:rPr>
        <w:lang w:eastAsia="ru-RU"/>
      </w:rPr>
    </w:pPr>
    <w:r w:rsidRPr="00DB7CF7">
      <w:rPr>
        <w:lang w:eastAsia="ru-RU"/>
      </w:rPr>
      <w:fldChar w:fldCharType="begin"/>
    </w:r>
    <w:r w:rsidRPr="00DB7CF7">
      <w:rPr>
        <w:lang w:eastAsia="ru-RU"/>
      </w:rPr>
      <w:instrText xml:space="preserve">PAGE  </w:instrText>
    </w:r>
    <w:r w:rsidRPr="00DB7CF7">
      <w:rPr>
        <w:lang w:eastAsia="ru-RU"/>
      </w:rPr>
      <w:fldChar w:fldCharType="separate"/>
    </w:r>
    <w:r w:rsidR="00E07FA6">
      <w:rPr>
        <w:noProof/>
        <w:lang w:eastAsia="ru-RU"/>
      </w:rPr>
      <w:t>8</w:t>
    </w:r>
    <w:r w:rsidRPr="00DB7CF7">
      <w:rPr>
        <w:lang w:eastAsia="ru-RU"/>
      </w:rPr>
      <w:fldChar w:fldCharType="end"/>
    </w:r>
    <w:r w:rsidRPr="00DB7CF7">
      <w:rPr>
        <w:lang w:eastAsia="ru-RU"/>
      </w:rPr>
      <w:t xml:space="preserve"> no </w:t>
    </w:r>
    <w:r w:rsidR="00E07FA6">
      <w:fldChar w:fldCharType="begin"/>
    </w:r>
    <w:r w:rsidR="00E07FA6">
      <w:instrText xml:space="preserve"> SECTIONPAGES   \* MERGEFORMAT </w:instrText>
    </w:r>
    <w:r w:rsidR="00E07FA6">
      <w:fldChar w:fldCharType="separate"/>
    </w:r>
    <w:r w:rsidR="00E07FA6">
      <w:rPr>
        <w:noProof/>
        <w:lang w:eastAsia="ru-RU"/>
      </w:rPr>
      <w:t>8</w:t>
    </w:r>
    <w:r w:rsidR="00E07FA6">
      <w:rPr>
        <w:noProof/>
        <w:lang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26B38" w14:textId="77777777" w:rsidR="00EF1FA6" w:rsidRDefault="00EF1FA6">
      <w:r>
        <w:separator/>
      </w:r>
    </w:p>
  </w:footnote>
  <w:footnote w:type="continuationSeparator" w:id="0">
    <w:p w14:paraId="56C1F1B3" w14:textId="77777777" w:rsidR="00EF1FA6" w:rsidRDefault="00EF1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99"/>
    <w:rsid w:val="000002C7"/>
    <w:rsid w:val="000020F9"/>
    <w:rsid w:val="0000325E"/>
    <w:rsid w:val="00011BF6"/>
    <w:rsid w:val="00017187"/>
    <w:rsid w:val="00022764"/>
    <w:rsid w:val="000230CF"/>
    <w:rsid w:val="00023DFD"/>
    <w:rsid w:val="00024ECE"/>
    <w:rsid w:val="00024EDB"/>
    <w:rsid w:val="00025CDA"/>
    <w:rsid w:val="00030EDE"/>
    <w:rsid w:val="0003136B"/>
    <w:rsid w:val="00033ED8"/>
    <w:rsid w:val="00035076"/>
    <w:rsid w:val="00037C25"/>
    <w:rsid w:val="0004044A"/>
    <w:rsid w:val="00042F5D"/>
    <w:rsid w:val="00047112"/>
    <w:rsid w:val="000474D1"/>
    <w:rsid w:val="00047B35"/>
    <w:rsid w:val="00050374"/>
    <w:rsid w:val="000539F6"/>
    <w:rsid w:val="00054973"/>
    <w:rsid w:val="000549BC"/>
    <w:rsid w:val="00055BA7"/>
    <w:rsid w:val="00064E38"/>
    <w:rsid w:val="000652EE"/>
    <w:rsid w:val="00070A72"/>
    <w:rsid w:val="0007125E"/>
    <w:rsid w:val="00071F45"/>
    <w:rsid w:val="00076190"/>
    <w:rsid w:val="00076699"/>
    <w:rsid w:val="00076ED0"/>
    <w:rsid w:val="0007799F"/>
    <w:rsid w:val="000813CC"/>
    <w:rsid w:val="000813EF"/>
    <w:rsid w:val="00081DE8"/>
    <w:rsid w:val="000845E9"/>
    <w:rsid w:val="00084AB6"/>
    <w:rsid w:val="0008697F"/>
    <w:rsid w:val="000952CD"/>
    <w:rsid w:val="000A764C"/>
    <w:rsid w:val="000B2909"/>
    <w:rsid w:val="000B5B91"/>
    <w:rsid w:val="000B6E9E"/>
    <w:rsid w:val="000C0B43"/>
    <w:rsid w:val="000C69CF"/>
    <w:rsid w:val="000C6DD7"/>
    <w:rsid w:val="000D02E5"/>
    <w:rsid w:val="000D277B"/>
    <w:rsid w:val="000D7FC7"/>
    <w:rsid w:val="000E1C19"/>
    <w:rsid w:val="000E5E3C"/>
    <w:rsid w:val="000E5FC8"/>
    <w:rsid w:val="000E6F17"/>
    <w:rsid w:val="000F6DC4"/>
    <w:rsid w:val="000F6FD8"/>
    <w:rsid w:val="000F7AF9"/>
    <w:rsid w:val="00100439"/>
    <w:rsid w:val="001063E5"/>
    <w:rsid w:val="00106EB5"/>
    <w:rsid w:val="00107EAE"/>
    <w:rsid w:val="0011179B"/>
    <w:rsid w:val="00113BF6"/>
    <w:rsid w:val="00114566"/>
    <w:rsid w:val="00114BF9"/>
    <w:rsid w:val="00114E9F"/>
    <w:rsid w:val="001159DF"/>
    <w:rsid w:val="0012173D"/>
    <w:rsid w:val="00122AFC"/>
    <w:rsid w:val="00123634"/>
    <w:rsid w:val="0012442A"/>
    <w:rsid w:val="001256E2"/>
    <w:rsid w:val="0013155C"/>
    <w:rsid w:val="0013389B"/>
    <w:rsid w:val="0013525E"/>
    <w:rsid w:val="0013541F"/>
    <w:rsid w:val="0013754D"/>
    <w:rsid w:val="001376AD"/>
    <w:rsid w:val="00141853"/>
    <w:rsid w:val="00144A12"/>
    <w:rsid w:val="00154102"/>
    <w:rsid w:val="00161155"/>
    <w:rsid w:val="00162C0F"/>
    <w:rsid w:val="00165A1E"/>
    <w:rsid w:val="00166633"/>
    <w:rsid w:val="00166BA3"/>
    <w:rsid w:val="00167E40"/>
    <w:rsid w:val="001721E2"/>
    <w:rsid w:val="001731A3"/>
    <w:rsid w:val="0017599A"/>
    <w:rsid w:val="00176888"/>
    <w:rsid w:val="0018108E"/>
    <w:rsid w:val="001857F2"/>
    <w:rsid w:val="00187329"/>
    <w:rsid w:val="00191735"/>
    <w:rsid w:val="00194C68"/>
    <w:rsid w:val="001A1AC6"/>
    <w:rsid w:val="001A2F71"/>
    <w:rsid w:val="001A329B"/>
    <w:rsid w:val="001A7548"/>
    <w:rsid w:val="001A7E27"/>
    <w:rsid w:val="001B382C"/>
    <w:rsid w:val="001B3BA1"/>
    <w:rsid w:val="001B7120"/>
    <w:rsid w:val="001C28D5"/>
    <w:rsid w:val="001C3A70"/>
    <w:rsid w:val="001D786D"/>
    <w:rsid w:val="001D7B5A"/>
    <w:rsid w:val="001E1801"/>
    <w:rsid w:val="001E2A26"/>
    <w:rsid w:val="001E5B30"/>
    <w:rsid w:val="001E772F"/>
    <w:rsid w:val="001E7FC1"/>
    <w:rsid w:val="001F30B3"/>
    <w:rsid w:val="002001B3"/>
    <w:rsid w:val="0020042A"/>
    <w:rsid w:val="002208ED"/>
    <w:rsid w:val="002244CA"/>
    <w:rsid w:val="002249D4"/>
    <w:rsid w:val="00226951"/>
    <w:rsid w:val="00227E53"/>
    <w:rsid w:val="00230D92"/>
    <w:rsid w:val="002311F0"/>
    <w:rsid w:val="00234398"/>
    <w:rsid w:val="002349E7"/>
    <w:rsid w:val="00237F8A"/>
    <w:rsid w:val="002414EE"/>
    <w:rsid w:val="002457A4"/>
    <w:rsid w:val="00252D60"/>
    <w:rsid w:val="00254E3F"/>
    <w:rsid w:val="00260CCB"/>
    <w:rsid w:val="002626C1"/>
    <w:rsid w:val="002731EB"/>
    <w:rsid w:val="00283A5D"/>
    <w:rsid w:val="00283CF0"/>
    <w:rsid w:val="002901C8"/>
    <w:rsid w:val="00294DE1"/>
    <w:rsid w:val="00295AF6"/>
    <w:rsid w:val="002A7ABC"/>
    <w:rsid w:val="002A7FAC"/>
    <w:rsid w:val="002B2ABC"/>
    <w:rsid w:val="002B3139"/>
    <w:rsid w:val="002B4191"/>
    <w:rsid w:val="002B471A"/>
    <w:rsid w:val="002B48BA"/>
    <w:rsid w:val="002B5BAE"/>
    <w:rsid w:val="002C0392"/>
    <w:rsid w:val="002C0EE3"/>
    <w:rsid w:val="002C18EF"/>
    <w:rsid w:val="002C2288"/>
    <w:rsid w:val="002C2601"/>
    <w:rsid w:val="002C26AE"/>
    <w:rsid w:val="002C3C89"/>
    <w:rsid w:val="002D36E4"/>
    <w:rsid w:val="002D36E8"/>
    <w:rsid w:val="002F2B8F"/>
    <w:rsid w:val="002F3390"/>
    <w:rsid w:val="002F705F"/>
    <w:rsid w:val="002F78AE"/>
    <w:rsid w:val="003000DF"/>
    <w:rsid w:val="0030147C"/>
    <w:rsid w:val="00302E17"/>
    <w:rsid w:val="00310A3D"/>
    <w:rsid w:val="00310DA8"/>
    <w:rsid w:val="00311BAC"/>
    <w:rsid w:val="00313A4B"/>
    <w:rsid w:val="00317A76"/>
    <w:rsid w:val="00323462"/>
    <w:rsid w:val="00327208"/>
    <w:rsid w:val="003272F1"/>
    <w:rsid w:val="00327FAC"/>
    <w:rsid w:val="003338EC"/>
    <w:rsid w:val="00342ABB"/>
    <w:rsid w:val="00342B68"/>
    <w:rsid w:val="00342EE9"/>
    <w:rsid w:val="00343E8F"/>
    <w:rsid w:val="003441ED"/>
    <w:rsid w:val="00345199"/>
    <w:rsid w:val="00351CBF"/>
    <w:rsid w:val="00354103"/>
    <w:rsid w:val="00355C80"/>
    <w:rsid w:val="00355F5B"/>
    <w:rsid w:val="0036382F"/>
    <w:rsid w:val="00365240"/>
    <w:rsid w:val="00366EE8"/>
    <w:rsid w:val="00373AC2"/>
    <w:rsid w:val="003748E1"/>
    <w:rsid w:val="00375602"/>
    <w:rsid w:val="0037697D"/>
    <w:rsid w:val="00381D7A"/>
    <w:rsid w:val="003826EC"/>
    <w:rsid w:val="00384F3D"/>
    <w:rsid w:val="003918E7"/>
    <w:rsid w:val="003945B5"/>
    <w:rsid w:val="00395108"/>
    <w:rsid w:val="0039626D"/>
    <w:rsid w:val="00396D15"/>
    <w:rsid w:val="00397F89"/>
    <w:rsid w:val="003A0062"/>
    <w:rsid w:val="003A19AC"/>
    <w:rsid w:val="003A2E08"/>
    <w:rsid w:val="003A31DD"/>
    <w:rsid w:val="003A4CCD"/>
    <w:rsid w:val="003B7740"/>
    <w:rsid w:val="003B794D"/>
    <w:rsid w:val="003B7E04"/>
    <w:rsid w:val="003C03E9"/>
    <w:rsid w:val="003C0EA9"/>
    <w:rsid w:val="003D3284"/>
    <w:rsid w:val="003D431E"/>
    <w:rsid w:val="003D67E9"/>
    <w:rsid w:val="003E4216"/>
    <w:rsid w:val="003E438E"/>
    <w:rsid w:val="003F044E"/>
    <w:rsid w:val="003F057A"/>
    <w:rsid w:val="003F4702"/>
    <w:rsid w:val="003F5DC1"/>
    <w:rsid w:val="003F6BFD"/>
    <w:rsid w:val="00400D48"/>
    <w:rsid w:val="004115AA"/>
    <w:rsid w:val="00413F51"/>
    <w:rsid w:val="004160EE"/>
    <w:rsid w:val="00416DA6"/>
    <w:rsid w:val="00420028"/>
    <w:rsid w:val="00424406"/>
    <w:rsid w:val="00424775"/>
    <w:rsid w:val="004256B8"/>
    <w:rsid w:val="004260F8"/>
    <w:rsid w:val="004276CA"/>
    <w:rsid w:val="00431212"/>
    <w:rsid w:val="004452C4"/>
    <w:rsid w:val="00452BDC"/>
    <w:rsid w:val="00453BF5"/>
    <w:rsid w:val="00456A6D"/>
    <w:rsid w:val="00461675"/>
    <w:rsid w:val="00466212"/>
    <w:rsid w:val="0048202E"/>
    <w:rsid w:val="004834A6"/>
    <w:rsid w:val="00486E30"/>
    <w:rsid w:val="0048716E"/>
    <w:rsid w:val="00490307"/>
    <w:rsid w:val="00490671"/>
    <w:rsid w:val="0049282B"/>
    <w:rsid w:val="00492B4C"/>
    <w:rsid w:val="004933B4"/>
    <w:rsid w:val="0049409E"/>
    <w:rsid w:val="00494BE9"/>
    <w:rsid w:val="00495DB3"/>
    <w:rsid w:val="00496786"/>
    <w:rsid w:val="00496FB1"/>
    <w:rsid w:val="004A318A"/>
    <w:rsid w:val="004A55C8"/>
    <w:rsid w:val="004B0947"/>
    <w:rsid w:val="004B0A2A"/>
    <w:rsid w:val="004B15F3"/>
    <w:rsid w:val="004B3819"/>
    <w:rsid w:val="004B43BA"/>
    <w:rsid w:val="004B76E8"/>
    <w:rsid w:val="004B776D"/>
    <w:rsid w:val="004C6503"/>
    <w:rsid w:val="004D0F58"/>
    <w:rsid w:val="004D172F"/>
    <w:rsid w:val="004D27B7"/>
    <w:rsid w:val="004D3CE0"/>
    <w:rsid w:val="004D7E10"/>
    <w:rsid w:val="004E314B"/>
    <w:rsid w:val="004E3C4C"/>
    <w:rsid w:val="004E45D2"/>
    <w:rsid w:val="004F119B"/>
    <w:rsid w:val="004F31C3"/>
    <w:rsid w:val="004F3E58"/>
    <w:rsid w:val="004F6014"/>
    <w:rsid w:val="004F7C65"/>
    <w:rsid w:val="00500057"/>
    <w:rsid w:val="00507911"/>
    <w:rsid w:val="0051035B"/>
    <w:rsid w:val="005148FD"/>
    <w:rsid w:val="00514EBD"/>
    <w:rsid w:val="00516FFC"/>
    <w:rsid w:val="00521F08"/>
    <w:rsid w:val="00534F58"/>
    <w:rsid w:val="00535366"/>
    <w:rsid w:val="005355D3"/>
    <w:rsid w:val="005429C3"/>
    <w:rsid w:val="00542B63"/>
    <w:rsid w:val="00544C1F"/>
    <w:rsid w:val="00546B14"/>
    <w:rsid w:val="00553C7D"/>
    <w:rsid w:val="00555E28"/>
    <w:rsid w:val="00560EEA"/>
    <w:rsid w:val="00563DED"/>
    <w:rsid w:val="0056412B"/>
    <w:rsid w:val="00564342"/>
    <w:rsid w:val="00564946"/>
    <w:rsid w:val="00565E39"/>
    <w:rsid w:val="005715B1"/>
    <w:rsid w:val="00574F72"/>
    <w:rsid w:val="00581C10"/>
    <w:rsid w:val="00582949"/>
    <w:rsid w:val="0058405F"/>
    <w:rsid w:val="005875E7"/>
    <w:rsid w:val="00590EB1"/>
    <w:rsid w:val="00592EA7"/>
    <w:rsid w:val="005A0569"/>
    <w:rsid w:val="005A1536"/>
    <w:rsid w:val="005A6F6C"/>
    <w:rsid w:val="005B2F33"/>
    <w:rsid w:val="005B3276"/>
    <w:rsid w:val="005B6C4C"/>
    <w:rsid w:val="005C0D8D"/>
    <w:rsid w:val="005C0E95"/>
    <w:rsid w:val="005C499B"/>
    <w:rsid w:val="005C6013"/>
    <w:rsid w:val="005C6F03"/>
    <w:rsid w:val="005D07F9"/>
    <w:rsid w:val="005D226C"/>
    <w:rsid w:val="005D26A1"/>
    <w:rsid w:val="005D2CF1"/>
    <w:rsid w:val="005D4474"/>
    <w:rsid w:val="005D7A35"/>
    <w:rsid w:val="005E0BC5"/>
    <w:rsid w:val="005E4180"/>
    <w:rsid w:val="005E6C81"/>
    <w:rsid w:val="005F03A6"/>
    <w:rsid w:val="005F14B4"/>
    <w:rsid w:val="005F4EB8"/>
    <w:rsid w:val="005F533F"/>
    <w:rsid w:val="005F7851"/>
    <w:rsid w:val="0060187E"/>
    <w:rsid w:val="00602396"/>
    <w:rsid w:val="00604E98"/>
    <w:rsid w:val="00611090"/>
    <w:rsid w:val="00611ABB"/>
    <w:rsid w:val="0061343B"/>
    <w:rsid w:val="006152D4"/>
    <w:rsid w:val="00616D19"/>
    <w:rsid w:val="0062022E"/>
    <w:rsid w:val="006257D3"/>
    <w:rsid w:val="00626492"/>
    <w:rsid w:val="006326EA"/>
    <w:rsid w:val="00634F13"/>
    <w:rsid w:val="00640A08"/>
    <w:rsid w:val="00640B86"/>
    <w:rsid w:val="006410C1"/>
    <w:rsid w:val="00641746"/>
    <w:rsid w:val="00641D63"/>
    <w:rsid w:val="0064404B"/>
    <w:rsid w:val="006445AC"/>
    <w:rsid w:val="00645474"/>
    <w:rsid w:val="00646159"/>
    <w:rsid w:val="00646A1D"/>
    <w:rsid w:val="006506B8"/>
    <w:rsid w:val="00651B9A"/>
    <w:rsid w:val="00656587"/>
    <w:rsid w:val="00660C0E"/>
    <w:rsid w:val="0066119E"/>
    <w:rsid w:val="00662D19"/>
    <w:rsid w:val="006636DD"/>
    <w:rsid w:val="00672AC4"/>
    <w:rsid w:val="006744FE"/>
    <w:rsid w:val="006758C3"/>
    <w:rsid w:val="00675911"/>
    <w:rsid w:val="00675A5A"/>
    <w:rsid w:val="00684ED6"/>
    <w:rsid w:val="00691600"/>
    <w:rsid w:val="0069738D"/>
    <w:rsid w:val="00697BC5"/>
    <w:rsid w:val="006A451E"/>
    <w:rsid w:val="006B1772"/>
    <w:rsid w:val="006B423D"/>
    <w:rsid w:val="006B4D79"/>
    <w:rsid w:val="006B7B38"/>
    <w:rsid w:val="006C008F"/>
    <w:rsid w:val="006C031F"/>
    <w:rsid w:val="006C6CC6"/>
    <w:rsid w:val="006C6FD5"/>
    <w:rsid w:val="006D076F"/>
    <w:rsid w:val="006D7285"/>
    <w:rsid w:val="006E0CB2"/>
    <w:rsid w:val="006E4F29"/>
    <w:rsid w:val="006E5584"/>
    <w:rsid w:val="006E71A0"/>
    <w:rsid w:val="006E7CA4"/>
    <w:rsid w:val="006F13F2"/>
    <w:rsid w:val="006F1EC7"/>
    <w:rsid w:val="006F6424"/>
    <w:rsid w:val="006F7ACB"/>
    <w:rsid w:val="0070209B"/>
    <w:rsid w:val="00705782"/>
    <w:rsid w:val="00706A81"/>
    <w:rsid w:val="00707F98"/>
    <w:rsid w:val="00710C5A"/>
    <w:rsid w:val="00713443"/>
    <w:rsid w:val="00714D11"/>
    <w:rsid w:val="007155A8"/>
    <w:rsid w:val="00717690"/>
    <w:rsid w:val="007220DE"/>
    <w:rsid w:val="00722ED4"/>
    <w:rsid w:val="00724774"/>
    <w:rsid w:val="00726F2F"/>
    <w:rsid w:val="007270E1"/>
    <w:rsid w:val="007271C5"/>
    <w:rsid w:val="00727705"/>
    <w:rsid w:val="007303D0"/>
    <w:rsid w:val="0073108C"/>
    <w:rsid w:val="00731B07"/>
    <w:rsid w:val="00732E7B"/>
    <w:rsid w:val="007345F5"/>
    <w:rsid w:val="0073678C"/>
    <w:rsid w:val="00740EEE"/>
    <w:rsid w:val="00742DBA"/>
    <w:rsid w:val="00751881"/>
    <w:rsid w:val="00751890"/>
    <w:rsid w:val="00752F5B"/>
    <w:rsid w:val="0075389F"/>
    <w:rsid w:val="00754884"/>
    <w:rsid w:val="00754B8C"/>
    <w:rsid w:val="007555F3"/>
    <w:rsid w:val="00756E31"/>
    <w:rsid w:val="007638F7"/>
    <w:rsid w:val="007653A2"/>
    <w:rsid w:val="0076563D"/>
    <w:rsid w:val="00766998"/>
    <w:rsid w:val="007750D5"/>
    <w:rsid w:val="00775782"/>
    <w:rsid w:val="00777355"/>
    <w:rsid w:val="0078160D"/>
    <w:rsid w:val="00783A04"/>
    <w:rsid w:val="00784651"/>
    <w:rsid w:val="00785DDF"/>
    <w:rsid w:val="00791298"/>
    <w:rsid w:val="00791810"/>
    <w:rsid w:val="007947E4"/>
    <w:rsid w:val="0079485C"/>
    <w:rsid w:val="00794E83"/>
    <w:rsid w:val="00795156"/>
    <w:rsid w:val="00796E71"/>
    <w:rsid w:val="00797AD2"/>
    <w:rsid w:val="007A0660"/>
    <w:rsid w:val="007A06C9"/>
    <w:rsid w:val="007A250C"/>
    <w:rsid w:val="007B0157"/>
    <w:rsid w:val="007B0C29"/>
    <w:rsid w:val="007B19E2"/>
    <w:rsid w:val="007C1174"/>
    <w:rsid w:val="007C15E1"/>
    <w:rsid w:val="007D1176"/>
    <w:rsid w:val="007D152E"/>
    <w:rsid w:val="007E18B7"/>
    <w:rsid w:val="007E4DC5"/>
    <w:rsid w:val="007E4F2B"/>
    <w:rsid w:val="007E5191"/>
    <w:rsid w:val="007F02B8"/>
    <w:rsid w:val="007F2BF6"/>
    <w:rsid w:val="007F2CAD"/>
    <w:rsid w:val="0080148A"/>
    <w:rsid w:val="00801FBD"/>
    <w:rsid w:val="0080337F"/>
    <w:rsid w:val="00803BDA"/>
    <w:rsid w:val="00804CC8"/>
    <w:rsid w:val="008062D3"/>
    <w:rsid w:val="00806F7E"/>
    <w:rsid w:val="00807EC4"/>
    <w:rsid w:val="00807FCD"/>
    <w:rsid w:val="0081327B"/>
    <w:rsid w:val="0081532F"/>
    <w:rsid w:val="008153E2"/>
    <w:rsid w:val="00820A62"/>
    <w:rsid w:val="00823369"/>
    <w:rsid w:val="00824D8C"/>
    <w:rsid w:val="00832BA9"/>
    <w:rsid w:val="00832E10"/>
    <w:rsid w:val="00834E47"/>
    <w:rsid w:val="0083503E"/>
    <w:rsid w:val="00844424"/>
    <w:rsid w:val="0085224A"/>
    <w:rsid w:val="00853A57"/>
    <w:rsid w:val="008603F3"/>
    <w:rsid w:val="00860578"/>
    <w:rsid w:val="00862EF7"/>
    <w:rsid w:val="00863319"/>
    <w:rsid w:val="008729AC"/>
    <w:rsid w:val="008732CB"/>
    <w:rsid w:val="00873F71"/>
    <w:rsid w:val="008775F9"/>
    <w:rsid w:val="00891777"/>
    <w:rsid w:val="00894E39"/>
    <w:rsid w:val="0089585E"/>
    <w:rsid w:val="008978F5"/>
    <w:rsid w:val="008A2222"/>
    <w:rsid w:val="008A2664"/>
    <w:rsid w:val="008A3A55"/>
    <w:rsid w:val="008A7A5D"/>
    <w:rsid w:val="008B027C"/>
    <w:rsid w:val="008B3454"/>
    <w:rsid w:val="008B67C1"/>
    <w:rsid w:val="008C0B0F"/>
    <w:rsid w:val="008C0D91"/>
    <w:rsid w:val="008C3BC9"/>
    <w:rsid w:val="008C3EB3"/>
    <w:rsid w:val="008C5538"/>
    <w:rsid w:val="008D48B0"/>
    <w:rsid w:val="008E54AC"/>
    <w:rsid w:val="008E595A"/>
    <w:rsid w:val="008E5B2C"/>
    <w:rsid w:val="008E695C"/>
    <w:rsid w:val="008E7B4A"/>
    <w:rsid w:val="008E7DED"/>
    <w:rsid w:val="008F027D"/>
    <w:rsid w:val="008F65B4"/>
    <w:rsid w:val="00901CBA"/>
    <w:rsid w:val="009053C8"/>
    <w:rsid w:val="009079B3"/>
    <w:rsid w:val="00910DB4"/>
    <w:rsid w:val="009120E4"/>
    <w:rsid w:val="0091303D"/>
    <w:rsid w:val="0091472F"/>
    <w:rsid w:val="00914D45"/>
    <w:rsid w:val="009221F3"/>
    <w:rsid w:val="0092236F"/>
    <w:rsid w:val="00925F11"/>
    <w:rsid w:val="00926EC5"/>
    <w:rsid w:val="0092751B"/>
    <w:rsid w:val="0094042C"/>
    <w:rsid w:val="009424D9"/>
    <w:rsid w:val="009427ED"/>
    <w:rsid w:val="009429A2"/>
    <w:rsid w:val="00942B45"/>
    <w:rsid w:val="009438B8"/>
    <w:rsid w:val="0094445F"/>
    <w:rsid w:val="00944956"/>
    <w:rsid w:val="00945B5C"/>
    <w:rsid w:val="00946C14"/>
    <w:rsid w:val="009509E0"/>
    <w:rsid w:val="009569AC"/>
    <w:rsid w:val="00960CAA"/>
    <w:rsid w:val="00963AD4"/>
    <w:rsid w:val="00963F22"/>
    <w:rsid w:val="00964FDB"/>
    <w:rsid w:val="009661BD"/>
    <w:rsid w:val="0096725A"/>
    <w:rsid w:val="00967F70"/>
    <w:rsid w:val="00972E0A"/>
    <w:rsid w:val="00973ED4"/>
    <w:rsid w:val="009758C5"/>
    <w:rsid w:val="009768F2"/>
    <w:rsid w:val="00977671"/>
    <w:rsid w:val="009903C1"/>
    <w:rsid w:val="00992343"/>
    <w:rsid w:val="009924B7"/>
    <w:rsid w:val="00994391"/>
    <w:rsid w:val="00996B5D"/>
    <w:rsid w:val="009A207D"/>
    <w:rsid w:val="009A2E91"/>
    <w:rsid w:val="009A37F9"/>
    <w:rsid w:val="009A4410"/>
    <w:rsid w:val="009B2D98"/>
    <w:rsid w:val="009B63CA"/>
    <w:rsid w:val="009C18C3"/>
    <w:rsid w:val="009C5E79"/>
    <w:rsid w:val="009D01CA"/>
    <w:rsid w:val="009D37E2"/>
    <w:rsid w:val="009D3EA0"/>
    <w:rsid w:val="009D46DB"/>
    <w:rsid w:val="009D546A"/>
    <w:rsid w:val="009D5BCD"/>
    <w:rsid w:val="009E0C82"/>
    <w:rsid w:val="009E0D6E"/>
    <w:rsid w:val="009E22A5"/>
    <w:rsid w:val="009E406F"/>
    <w:rsid w:val="009F1649"/>
    <w:rsid w:val="009F2D22"/>
    <w:rsid w:val="009F3F82"/>
    <w:rsid w:val="00A00035"/>
    <w:rsid w:val="00A1333E"/>
    <w:rsid w:val="00A13B96"/>
    <w:rsid w:val="00A14AAC"/>
    <w:rsid w:val="00A173BD"/>
    <w:rsid w:val="00A22084"/>
    <w:rsid w:val="00A24250"/>
    <w:rsid w:val="00A30625"/>
    <w:rsid w:val="00A30E3B"/>
    <w:rsid w:val="00A37962"/>
    <w:rsid w:val="00A37C95"/>
    <w:rsid w:val="00A40459"/>
    <w:rsid w:val="00A411AB"/>
    <w:rsid w:val="00A429C2"/>
    <w:rsid w:val="00A46D2E"/>
    <w:rsid w:val="00A50888"/>
    <w:rsid w:val="00A51584"/>
    <w:rsid w:val="00A57F79"/>
    <w:rsid w:val="00A61488"/>
    <w:rsid w:val="00A6216E"/>
    <w:rsid w:val="00A621CC"/>
    <w:rsid w:val="00A644DB"/>
    <w:rsid w:val="00A6588A"/>
    <w:rsid w:val="00A71D5F"/>
    <w:rsid w:val="00A73F59"/>
    <w:rsid w:val="00A90FAA"/>
    <w:rsid w:val="00A94454"/>
    <w:rsid w:val="00A966BA"/>
    <w:rsid w:val="00AA0042"/>
    <w:rsid w:val="00AA26E2"/>
    <w:rsid w:val="00AA39B7"/>
    <w:rsid w:val="00AA4D91"/>
    <w:rsid w:val="00AA590D"/>
    <w:rsid w:val="00AA6727"/>
    <w:rsid w:val="00AA6831"/>
    <w:rsid w:val="00AB1A11"/>
    <w:rsid w:val="00AB2736"/>
    <w:rsid w:val="00AB4FE0"/>
    <w:rsid w:val="00AC0842"/>
    <w:rsid w:val="00AC115B"/>
    <w:rsid w:val="00AC33C2"/>
    <w:rsid w:val="00AC43C8"/>
    <w:rsid w:val="00AC5A52"/>
    <w:rsid w:val="00AC61EF"/>
    <w:rsid w:val="00AD0645"/>
    <w:rsid w:val="00AD2BE1"/>
    <w:rsid w:val="00AD42D3"/>
    <w:rsid w:val="00AD47C1"/>
    <w:rsid w:val="00AD4808"/>
    <w:rsid w:val="00AD5FAF"/>
    <w:rsid w:val="00AD7F64"/>
    <w:rsid w:val="00AE3196"/>
    <w:rsid w:val="00AE387B"/>
    <w:rsid w:val="00AE4CA3"/>
    <w:rsid w:val="00AE5577"/>
    <w:rsid w:val="00AF6D26"/>
    <w:rsid w:val="00AF7E74"/>
    <w:rsid w:val="00B00B31"/>
    <w:rsid w:val="00B0143E"/>
    <w:rsid w:val="00B048DC"/>
    <w:rsid w:val="00B05E00"/>
    <w:rsid w:val="00B12EAB"/>
    <w:rsid w:val="00B1721E"/>
    <w:rsid w:val="00B20A83"/>
    <w:rsid w:val="00B24F31"/>
    <w:rsid w:val="00B359A0"/>
    <w:rsid w:val="00B3677F"/>
    <w:rsid w:val="00B3716D"/>
    <w:rsid w:val="00B4176B"/>
    <w:rsid w:val="00B422AF"/>
    <w:rsid w:val="00B45DC9"/>
    <w:rsid w:val="00B46FD9"/>
    <w:rsid w:val="00B4700B"/>
    <w:rsid w:val="00B508B5"/>
    <w:rsid w:val="00B5106E"/>
    <w:rsid w:val="00B53B2C"/>
    <w:rsid w:val="00B620D3"/>
    <w:rsid w:val="00B63C07"/>
    <w:rsid w:val="00B71AAD"/>
    <w:rsid w:val="00B761CF"/>
    <w:rsid w:val="00B7643A"/>
    <w:rsid w:val="00B86981"/>
    <w:rsid w:val="00B86E95"/>
    <w:rsid w:val="00B900B1"/>
    <w:rsid w:val="00B93665"/>
    <w:rsid w:val="00B95E36"/>
    <w:rsid w:val="00BB0C6D"/>
    <w:rsid w:val="00BB1B45"/>
    <w:rsid w:val="00BB32EB"/>
    <w:rsid w:val="00BB4E7A"/>
    <w:rsid w:val="00BB7176"/>
    <w:rsid w:val="00BB74D2"/>
    <w:rsid w:val="00BC172A"/>
    <w:rsid w:val="00BC1739"/>
    <w:rsid w:val="00BC38A4"/>
    <w:rsid w:val="00BC4D09"/>
    <w:rsid w:val="00BC64EF"/>
    <w:rsid w:val="00BC67B0"/>
    <w:rsid w:val="00BD46B4"/>
    <w:rsid w:val="00BD52E5"/>
    <w:rsid w:val="00BE7B83"/>
    <w:rsid w:val="00BF0476"/>
    <w:rsid w:val="00BF29C0"/>
    <w:rsid w:val="00BF2AA4"/>
    <w:rsid w:val="00BF6847"/>
    <w:rsid w:val="00BF70F0"/>
    <w:rsid w:val="00C00C5C"/>
    <w:rsid w:val="00C00FE7"/>
    <w:rsid w:val="00C03BB5"/>
    <w:rsid w:val="00C0563A"/>
    <w:rsid w:val="00C05668"/>
    <w:rsid w:val="00C059A9"/>
    <w:rsid w:val="00C2275A"/>
    <w:rsid w:val="00C22D6B"/>
    <w:rsid w:val="00C233BA"/>
    <w:rsid w:val="00C238BC"/>
    <w:rsid w:val="00C2394E"/>
    <w:rsid w:val="00C241C6"/>
    <w:rsid w:val="00C24328"/>
    <w:rsid w:val="00C256D5"/>
    <w:rsid w:val="00C33BB7"/>
    <w:rsid w:val="00C3505A"/>
    <w:rsid w:val="00C35587"/>
    <w:rsid w:val="00C377B5"/>
    <w:rsid w:val="00C42F20"/>
    <w:rsid w:val="00C45FD1"/>
    <w:rsid w:val="00C5610A"/>
    <w:rsid w:val="00C56292"/>
    <w:rsid w:val="00C600E6"/>
    <w:rsid w:val="00C65380"/>
    <w:rsid w:val="00C80077"/>
    <w:rsid w:val="00C82B01"/>
    <w:rsid w:val="00C863D9"/>
    <w:rsid w:val="00C90594"/>
    <w:rsid w:val="00C919DE"/>
    <w:rsid w:val="00C9356F"/>
    <w:rsid w:val="00C940CF"/>
    <w:rsid w:val="00C95CCD"/>
    <w:rsid w:val="00CA001B"/>
    <w:rsid w:val="00CA2897"/>
    <w:rsid w:val="00CA3085"/>
    <w:rsid w:val="00CA612E"/>
    <w:rsid w:val="00CA61B0"/>
    <w:rsid w:val="00CA78F3"/>
    <w:rsid w:val="00CB03AF"/>
    <w:rsid w:val="00CB2194"/>
    <w:rsid w:val="00CC1A59"/>
    <w:rsid w:val="00CC3619"/>
    <w:rsid w:val="00CC6FEA"/>
    <w:rsid w:val="00CD156B"/>
    <w:rsid w:val="00CD641A"/>
    <w:rsid w:val="00CE14A8"/>
    <w:rsid w:val="00CE153B"/>
    <w:rsid w:val="00CE47BC"/>
    <w:rsid w:val="00CE4DDB"/>
    <w:rsid w:val="00CE54B6"/>
    <w:rsid w:val="00CE7C2C"/>
    <w:rsid w:val="00D0444C"/>
    <w:rsid w:val="00D054AE"/>
    <w:rsid w:val="00D06420"/>
    <w:rsid w:val="00D07923"/>
    <w:rsid w:val="00D10F8B"/>
    <w:rsid w:val="00D14056"/>
    <w:rsid w:val="00D1665A"/>
    <w:rsid w:val="00D20D52"/>
    <w:rsid w:val="00D21697"/>
    <w:rsid w:val="00D2538D"/>
    <w:rsid w:val="00D30BBC"/>
    <w:rsid w:val="00D37BD2"/>
    <w:rsid w:val="00D42A10"/>
    <w:rsid w:val="00D45612"/>
    <w:rsid w:val="00D4727F"/>
    <w:rsid w:val="00D47635"/>
    <w:rsid w:val="00D50826"/>
    <w:rsid w:val="00D51A88"/>
    <w:rsid w:val="00D567A3"/>
    <w:rsid w:val="00D575B9"/>
    <w:rsid w:val="00D605C8"/>
    <w:rsid w:val="00D6247D"/>
    <w:rsid w:val="00D64463"/>
    <w:rsid w:val="00D65C26"/>
    <w:rsid w:val="00D75453"/>
    <w:rsid w:val="00D81FA7"/>
    <w:rsid w:val="00D91085"/>
    <w:rsid w:val="00D9293D"/>
    <w:rsid w:val="00D9351E"/>
    <w:rsid w:val="00D96D24"/>
    <w:rsid w:val="00DA38FB"/>
    <w:rsid w:val="00DA50AD"/>
    <w:rsid w:val="00DA55A5"/>
    <w:rsid w:val="00DB380A"/>
    <w:rsid w:val="00DB518B"/>
    <w:rsid w:val="00DB617D"/>
    <w:rsid w:val="00DB6F1A"/>
    <w:rsid w:val="00DC07C5"/>
    <w:rsid w:val="00DC227E"/>
    <w:rsid w:val="00DC342D"/>
    <w:rsid w:val="00DC3828"/>
    <w:rsid w:val="00DC56E7"/>
    <w:rsid w:val="00DD580C"/>
    <w:rsid w:val="00DD5C48"/>
    <w:rsid w:val="00DE3D9F"/>
    <w:rsid w:val="00DE4AC1"/>
    <w:rsid w:val="00DF3E47"/>
    <w:rsid w:val="00DF4F23"/>
    <w:rsid w:val="00DF64B8"/>
    <w:rsid w:val="00E02D69"/>
    <w:rsid w:val="00E03982"/>
    <w:rsid w:val="00E070B6"/>
    <w:rsid w:val="00E07318"/>
    <w:rsid w:val="00E07FA6"/>
    <w:rsid w:val="00E14944"/>
    <w:rsid w:val="00E20399"/>
    <w:rsid w:val="00E23E1C"/>
    <w:rsid w:val="00E26D93"/>
    <w:rsid w:val="00E27284"/>
    <w:rsid w:val="00E318BB"/>
    <w:rsid w:val="00E334B5"/>
    <w:rsid w:val="00E3570E"/>
    <w:rsid w:val="00E37A8C"/>
    <w:rsid w:val="00E446A1"/>
    <w:rsid w:val="00E44EA2"/>
    <w:rsid w:val="00E47E32"/>
    <w:rsid w:val="00E51F98"/>
    <w:rsid w:val="00E52685"/>
    <w:rsid w:val="00E559A3"/>
    <w:rsid w:val="00E63636"/>
    <w:rsid w:val="00E63E82"/>
    <w:rsid w:val="00E672D3"/>
    <w:rsid w:val="00E707AF"/>
    <w:rsid w:val="00E722DE"/>
    <w:rsid w:val="00E824C4"/>
    <w:rsid w:val="00E829B1"/>
    <w:rsid w:val="00E85077"/>
    <w:rsid w:val="00E86AA7"/>
    <w:rsid w:val="00E95888"/>
    <w:rsid w:val="00E96C70"/>
    <w:rsid w:val="00EA31F5"/>
    <w:rsid w:val="00EA427F"/>
    <w:rsid w:val="00EA4690"/>
    <w:rsid w:val="00EB299D"/>
    <w:rsid w:val="00EB49EF"/>
    <w:rsid w:val="00EC0BE5"/>
    <w:rsid w:val="00EC3711"/>
    <w:rsid w:val="00EC37EE"/>
    <w:rsid w:val="00EC5D84"/>
    <w:rsid w:val="00EC670D"/>
    <w:rsid w:val="00EC688D"/>
    <w:rsid w:val="00ED40AB"/>
    <w:rsid w:val="00ED446B"/>
    <w:rsid w:val="00ED5DBE"/>
    <w:rsid w:val="00ED7EAC"/>
    <w:rsid w:val="00EE404F"/>
    <w:rsid w:val="00EF0F23"/>
    <w:rsid w:val="00EF13CD"/>
    <w:rsid w:val="00EF1FA6"/>
    <w:rsid w:val="00EF21C8"/>
    <w:rsid w:val="00EF35B0"/>
    <w:rsid w:val="00EF72BC"/>
    <w:rsid w:val="00EF7557"/>
    <w:rsid w:val="00F00D90"/>
    <w:rsid w:val="00F022C1"/>
    <w:rsid w:val="00F023BA"/>
    <w:rsid w:val="00F02E45"/>
    <w:rsid w:val="00F03446"/>
    <w:rsid w:val="00F05F6A"/>
    <w:rsid w:val="00F06DED"/>
    <w:rsid w:val="00F12C9F"/>
    <w:rsid w:val="00F13D29"/>
    <w:rsid w:val="00F1409A"/>
    <w:rsid w:val="00F16413"/>
    <w:rsid w:val="00F164D4"/>
    <w:rsid w:val="00F165F7"/>
    <w:rsid w:val="00F20C38"/>
    <w:rsid w:val="00F2117A"/>
    <w:rsid w:val="00F23C9F"/>
    <w:rsid w:val="00F25676"/>
    <w:rsid w:val="00F3022D"/>
    <w:rsid w:val="00F513FA"/>
    <w:rsid w:val="00F51828"/>
    <w:rsid w:val="00F524F1"/>
    <w:rsid w:val="00F55408"/>
    <w:rsid w:val="00F57971"/>
    <w:rsid w:val="00F61A81"/>
    <w:rsid w:val="00F62037"/>
    <w:rsid w:val="00F72897"/>
    <w:rsid w:val="00F73336"/>
    <w:rsid w:val="00F747E5"/>
    <w:rsid w:val="00F775D0"/>
    <w:rsid w:val="00F80524"/>
    <w:rsid w:val="00F82A13"/>
    <w:rsid w:val="00F85F73"/>
    <w:rsid w:val="00F866CF"/>
    <w:rsid w:val="00F91371"/>
    <w:rsid w:val="00F91BFB"/>
    <w:rsid w:val="00F92FAB"/>
    <w:rsid w:val="00F9303C"/>
    <w:rsid w:val="00F9380E"/>
    <w:rsid w:val="00F94CB7"/>
    <w:rsid w:val="00F96130"/>
    <w:rsid w:val="00F966E8"/>
    <w:rsid w:val="00F9708C"/>
    <w:rsid w:val="00FA0CC2"/>
    <w:rsid w:val="00FA1F82"/>
    <w:rsid w:val="00FA7812"/>
    <w:rsid w:val="00FA7FBA"/>
    <w:rsid w:val="00FB1ED7"/>
    <w:rsid w:val="00FB228A"/>
    <w:rsid w:val="00FB4E54"/>
    <w:rsid w:val="00FB50EC"/>
    <w:rsid w:val="00FB72C8"/>
    <w:rsid w:val="00FB7AF2"/>
    <w:rsid w:val="00FC3EE1"/>
    <w:rsid w:val="00FD1368"/>
    <w:rsid w:val="00FD70FA"/>
    <w:rsid w:val="00FE0FF1"/>
    <w:rsid w:val="00FE16F1"/>
    <w:rsid w:val="00FE2DA8"/>
    <w:rsid w:val="00FE365F"/>
    <w:rsid w:val="00FE5C3B"/>
    <w:rsid w:val="00FE6850"/>
    <w:rsid w:val="00FE7F31"/>
    <w:rsid w:val="00FF0715"/>
    <w:rsid w:val="00FF1376"/>
    <w:rsid w:val="00FF375D"/>
    <w:rsid w:val="00FF7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C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199"/>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45199"/>
    <w:pPr>
      <w:jc w:val="right"/>
    </w:pPr>
    <w:rPr>
      <w:rFonts w:ascii="Garamond" w:hAnsi="Garamond"/>
      <w:sz w:val="28"/>
      <w:szCs w:val="28"/>
      <w:lang w:eastAsia="en-US"/>
    </w:rPr>
  </w:style>
  <w:style w:type="character" w:customStyle="1" w:styleId="BodyText2Char">
    <w:name w:val="Body Text 2 Char"/>
    <w:basedOn w:val="DefaultParagraphFont"/>
    <w:link w:val="BodyText2"/>
    <w:rsid w:val="00345199"/>
    <w:rPr>
      <w:rFonts w:ascii="Garamond" w:eastAsia="Times New Roman" w:hAnsi="Garamond" w:cs="Times New Roman"/>
      <w:sz w:val="28"/>
      <w:szCs w:val="28"/>
    </w:rPr>
  </w:style>
  <w:style w:type="paragraph" w:customStyle="1" w:styleId="tv213">
    <w:name w:val="tv213"/>
    <w:basedOn w:val="Normal"/>
    <w:rsid w:val="00901CBA"/>
    <w:pPr>
      <w:spacing w:before="100" w:beforeAutospacing="1" w:after="100" w:afterAutospacing="1"/>
    </w:pPr>
  </w:style>
  <w:style w:type="paragraph" w:customStyle="1" w:styleId="naisf">
    <w:name w:val="naisf"/>
    <w:basedOn w:val="Normal"/>
    <w:rsid w:val="002F3390"/>
    <w:pPr>
      <w:spacing w:before="75" w:after="75"/>
      <w:ind w:firstLine="375"/>
      <w:jc w:val="both"/>
    </w:pPr>
    <w:rPr>
      <w:lang w:val="en-US" w:eastAsia="en-US"/>
    </w:rPr>
  </w:style>
  <w:style w:type="character" w:styleId="CommentReference">
    <w:name w:val="annotation reference"/>
    <w:basedOn w:val="DefaultParagraphFont"/>
    <w:uiPriority w:val="99"/>
    <w:semiHidden/>
    <w:unhideWhenUsed/>
    <w:rsid w:val="00DE4AC1"/>
    <w:rPr>
      <w:sz w:val="16"/>
      <w:szCs w:val="16"/>
    </w:rPr>
  </w:style>
  <w:style w:type="paragraph" w:styleId="CommentText">
    <w:name w:val="annotation text"/>
    <w:basedOn w:val="Normal"/>
    <w:link w:val="CommentTextChar"/>
    <w:uiPriority w:val="99"/>
    <w:semiHidden/>
    <w:unhideWhenUsed/>
    <w:rsid w:val="00DE4AC1"/>
    <w:rPr>
      <w:sz w:val="20"/>
      <w:szCs w:val="20"/>
    </w:rPr>
  </w:style>
  <w:style w:type="character" w:customStyle="1" w:styleId="CommentTextChar">
    <w:name w:val="Comment Text Char"/>
    <w:basedOn w:val="DefaultParagraphFont"/>
    <w:link w:val="CommentText"/>
    <w:uiPriority w:val="99"/>
    <w:semiHidden/>
    <w:rsid w:val="00DE4AC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E4AC1"/>
    <w:rPr>
      <w:b/>
      <w:bCs/>
    </w:rPr>
  </w:style>
  <w:style w:type="character" w:customStyle="1" w:styleId="CommentSubjectChar">
    <w:name w:val="Comment Subject Char"/>
    <w:basedOn w:val="CommentTextChar"/>
    <w:link w:val="CommentSubject"/>
    <w:uiPriority w:val="99"/>
    <w:semiHidden/>
    <w:rsid w:val="00DE4AC1"/>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DE4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C1"/>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unhideWhenUsed/>
    <w:rsid w:val="0048202E"/>
    <w:rPr>
      <w:sz w:val="20"/>
      <w:szCs w:val="20"/>
    </w:rPr>
  </w:style>
  <w:style w:type="character" w:customStyle="1" w:styleId="FootnoteTextChar">
    <w:name w:val="Footnote Text Char"/>
    <w:basedOn w:val="DefaultParagraphFont"/>
    <w:link w:val="FootnoteText"/>
    <w:uiPriority w:val="99"/>
    <w:semiHidden/>
    <w:rsid w:val="0048202E"/>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48202E"/>
    <w:rPr>
      <w:vertAlign w:val="superscript"/>
    </w:rPr>
  </w:style>
  <w:style w:type="paragraph" w:styleId="Header">
    <w:name w:val="header"/>
    <w:basedOn w:val="Normal"/>
    <w:link w:val="HeaderChar"/>
    <w:uiPriority w:val="99"/>
    <w:unhideWhenUsed/>
    <w:rsid w:val="006F1EC7"/>
    <w:pPr>
      <w:tabs>
        <w:tab w:val="center" w:pos="4153"/>
        <w:tab w:val="right" w:pos="8306"/>
      </w:tabs>
    </w:pPr>
  </w:style>
  <w:style w:type="character" w:customStyle="1" w:styleId="HeaderChar">
    <w:name w:val="Header Char"/>
    <w:basedOn w:val="DefaultParagraphFont"/>
    <w:link w:val="Header"/>
    <w:uiPriority w:val="99"/>
    <w:rsid w:val="006F1EC7"/>
    <w:rPr>
      <w:rFonts w:eastAsia="Times New Roman" w:cs="Times New Roman"/>
      <w:szCs w:val="24"/>
      <w:lang w:eastAsia="lv-LV"/>
    </w:rPr>
  </w:style>
  <w:style w:type="paragraph" w:styleId="Footer">
    <w:name w:val="footer"/>
    <w:basedOn w:val="Normal"/>
    <w:link w:val="FooterChar"/>
    <w:uiPriority w:val="99"/>
    <w:unhideWhenUsed/>
    <w:rsid w:val="006F1EC7"/>
    <w:pPr>
      <w:tabs>
        <w:tab w:val="center" w:pos="4153"/>
        <w:tab w:val="right" w:pos="8306"/>
      </w:tabs>
    </w:pPr>
  </w:style>
  <w:style w:type="character" w:customStyle="1" w:styleId="FooterChar">
    <w:name w:val="Footer Char"/>
    <w:basedOn w:val="DefaultParagraphFont"/>
    <w:link w:val="Footer"/>
    <w:uiPriority w:val="99"/>
    <w:rsid w:val="006F1EC7"/>
    <w:rPr>
      <w:rFonts w:eastAsia="Times New Roman" w:cs="Times New Roman"/>
      <w:szCs w:val="24"/>
      <w:lang w:eastAsia="lv-LV"/>
    </w:rPr>
  </w:style>
  <w:style w:type="character" w:styleId="Hyperlink">
    <w:name w:val="Hyperlink"/>
    <w:basedOn w:val="DefaultParagraphFont"/>
    <w:uiPriority w:val="99"/>
    <w:semiHidden/>
    <w:unhideWhenUsed/>
    <w:rsid w:val="00C00FE7"/>
    <w:rPr>
      <w:color w:val="0000FF"/>
      <w:u w:val="single"/>
    </w:rPr>
  </w:style>
  <w:style w:type="paragraph" w:styleId="ListParagraph">
    <w:name w:val="List Paragraph"/>
    <w:basedOn w:val="Normal"/>
    <w:uiPriority w:val="34"/>
    <w:qFormat/>
    <w:rsid w:val="00731B07"/>
    <w:pPr>
      <w:ind w:left="720"/>
      <w:contextualSpacing/>
    </w:pPr>
  </w:style>
  <w:style w:type="paragraph" w:styleId="NormalWeb">
    <w:name w:val="Normal (Web)"/>
    <w:basedOn w:val="Normal"/>
    <w:uiPriority w:val="99"/>
    <w:semiHidden/>
    <w:unhideWhenUsed/>
    <w:rsid w:val="00166BA3"/>
    <w:pPr>
      <w:spacing w:before="100" w:beforeAutospacing="1" w:after="100" w:afterAutospacing="1"/>
    </w:pPr>
  </w:style>
  <w:style w:type="character" w:styleId="Strong">
    <w:name w:val="Strong"/>
    <w:basedOn w:val="DefaultParagraphFont"/>
    <w:uiPriority w:val="22"/>
    <w:qFormat/>
    <w:rsid w:val="00166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6441">
      <w:bodyDiv w:val="1"/>
      <w:marLeft w:val="0"/>
      <w:marRight w:val="0"/>
      <w:marTop w:val="0"/>
      <w:marBottom w:val="0"/>
      <w:divBdr>
        <w:top w:val="none" w:sz="0" w:space="0" w:color="auto"/>
        <w:left w:val="none" w:sz="0" w:space="0" w:color="auto"/>
        <w:bottom w:val="none" w:sz="0" w:space="0" w:color="auto"/>
        <w:right w:val="none" w:sz="0" w:space="0" w:color="auto"/>
      </w:divBdr>
    </w:div>
    <w:div w:id="296684125">
      <w:bodyDiv w:val="1"/>
      <w:marLeft w:val="0"/>
      <w:marRight w:val="0"/>
      <w:marTop w:val="0"/>
      <w:marBottom w:val="0"/>
      <w:divBdr>
        <w:top w:val="none" w:sz="0" w:space="0" w:color="auto"/>
        <w:left w:val="none" w:sz="0" w:space="0" w:color="auto"/>
        <w:bottom w:val="none" w:sz="0" w:space="0" w:color="auto"/>
        <w:right w:val="none" w:sz="0" w:space="0" w:color="auto"/>
      </w:divBdr>
    </w:div>
    <w:div w:id="953053530">
      <w:bodyDiv w:val="1"/>
      <w:marLeft w:val="0"/>
      <w:marRight w:val="0"/>
      <w:marTop w:val="0"/>
      <w:marBottom w:val="0"/>
      <w:divBdr>
        <w:top w:val="none" w:sz="0" w:space="0" w:color="auto"/>
        <w:left w:val="none" w:sz="0" w:space="0" w:color="auto"/>
        <w:bottom w:val="none" w:sz="0" w:space="0" w:color="auto"/>
        <w:right w:val="none" w:sz="0" w:space="0" w:color="auto"/>
      </w:divBdr>
    </w:div>
    <w:div w:id="1295481660">
      <w:bodyDiv w:val="1"/>
      <w:marLeft w:val="0"/>
      <w:marRight w:val="0"/>
      <w:marTop w:val="0"/>
      <w:marBottom w:val="0"/>
      <w:divBdr>
        <w:top w:val="none" w:sz="0" w:space="0" w:color="auto"/>
        <w:left w:val="none" w:sz="0" w:space="0" w:color="auto"/>
        <w:bottom w:val="none" w:sz="0" w:space="0" w:color="auto"/>
        <w:right w:val="none" w:sz="0" w:space="0" w:color="auto"/>
      </w:divBdr>
    </w:div>
    <w:div w:id="1337881123">
      <w:bodyDiv w:val="1"/>
      <w:marLeft w:val="0"/>
      <w:marRight w:val="0"/>
      <w:marTop w:val="0"/>
      <w:marBottom w:val="0"/>
      <w:divBdr>
        <w:top w:val="none" w:sz="0" w:space="0" w:color="auto"/>
        <w:left w:val="none" w:sz="0" w:space="0" w:color="auto"/>
        <w:bottom w:val="none" w:sz="0" w:space="0" w:color="auto"/>
        <w:right w:val="none" w:sz="0" w:space="0" w:color="auto"/>
      </w:divBdr>
    </w:div>
    <w:div w:id="1467894852">
      <w:bodyDiv w:val="1"/>
      <w:marLeft w:val="0"/>
      <w:marRight w:val="0"/>
      <w:marTop w:val="0"/>
      <w:marBottom w:val="0"/>
      <w:divBdr>
        <w:top w:val="none" w:sz="0" w:space="0" w:color="auto"/>
        <w:left w:val="none" w:sz="0" w:space="0" w:color="auto"/>
        <w:bottom w:val="none" w:sz="0" w:space="0" w:color="auto"/>
        <w:right w:val="none" w:sz="0" w:space="0" w:color="auto"/>
      </w:divBdr>
    </w:div>
    <w:div w:id="1550453561">
      <w:bodyDiv w:val="1"/>
      <w:marLeft w:val="0"/>
      <w:marRight w:val="0"/>
      <w:marTop w:val="0"/>
      <w:marBottom w:val="0"/>
      <w:divBdr>
        <w:top w:val="none" w:sz="0" w:space="0" w:color="auto"/>
        <w:left w:val="none" w:sz="0" w:space="0" w:color="auto"/>
        <w:bottom w:val="none" w:sz="0" w:space="0" w:color="auto"/>
        <w:right w:val="none" w:sz="0" w:space="0" w:color="auto"/>
      </w:divBdr>
      <w:divsChild>
        <w:div w:id="171603054">
          <w:marLeft w:val="0"/>
          <w:marRight w:val="0"/>
          <w:marTop w:val="0"/>
          <w:marBottom w:val="0"/>
          <w:divBdr>
            <w:top w:val="none" w:sz="0" w:space="0" w:color="auto"/>
            <w:left w:val="none" w:sz="0" w:space="0" w:color="auto"/>
            <w:bottom w:val="none" w:sz="0" w:space="0" w:color="auto"/>
            <w:right w:val="none" w:sz="0" w:space="0" w:color="auto"/>
          </w:divBdr>
        </w:div>
      </w:divsChild>
    </w:div>
    <w:div w:id="1638534693">
      <w:bodyDiv w:val="1"/>
      <w:marLeft w:val="0"/>
      <w:marRight w:val="0"/>
      <w:marTop w:val="0"/>
      <w:marBottom w:val="0"/>
      <w:divBdr>
        <w:top w:val="none" w:sz="0" w:space="0" w:color="auto"/>
        <w:left w:val="none" w:sz="0" w:space="0" w:color="auto"/>
        <w:bottom w:val="none" w:sz="0" w:space="0" w:color="auto"/>
        <w:right w:val="none" w:sz="0" w:space="0" w:color="auto"/>
      </w:divBdr>
    </w:div>
    <w:div w:id="20358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E2C2B-8D7B-4610-ACE7-06732AAF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15022</Words>
  <Characters>8563</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2018-02-15T14:28:00Z</dcterms:created>
  <dcterms:modified xsi:type="dcterms:W3CDTF">2018-02-28T14:08:00Z</dcterms:modified>
</cp:coreProperties>
</file>