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E09" w:rsidRPr="00125E09" w:rsidRDefault="00125E09" w:rsidP="00125E09">
      <w:pPr>
        <w:spacing w:line="276" w:lineRule="auto"/>
        <w:jc w:val="both"/>
        <w:rPr>
          <w:b/>
          <w:color w:val="000000"/>
          <w:lang w:eastAsia="lv-LV"/>
        </w:rPr>
      </w:pPr>
      <w:bookmarkStart w:id="0" w:name="_GoBack"/>
      <w:bookmarkEnd w:id="0"/>
      <w:r w:rsidRPr="00125E09">
        <w:rPr>
          <w:b/>
          <w:color w:val="000000"/>
          <w:lang w:eastAsia="lv-LV"/>
        </w:rPr>
        <w:t>Tiesas sēdē klāt neesoša liecinieka liecību izmantošana pierādīšanā</w:t>
      </w:r>
    </w:p>
    <w:p w:rsidR="00125E09" w:rsidRPr="00125E09" w:rsidRDefault="00125E09" w:rsidP="00125E09">
      <w:pPr>
        <w:spacing w:line="276" w:lineRule="auto"/>
        <w:jc w:val="both"/>
      </w:pPr>
    </w:p>
    <w:p w:rsidR="00125E09" w:rsidRPr="00125E09" w:rsidRDefault="00125E09" w:rsidP="00125E09">
      <w:pPr>
        <w:spacing w:line="276" w:lineRule="auto"/>
        <w:jc w:val="both"/>
        <w:rPr>
          <w:color w:val="000000"/>
          <w:lang w:eastAsia="lv-LV"/>
        </w:rPr>
      </w:pPr>
      <w:r w:rsidRPr="00125E09">
        <w:rPr>
          <w:color w:val="000000"/>
          <w:lang w:eastAsia="lv-LV"/>
        </w:rPr>
        <w:t>Tiesai ir jāizvērtē, vai to liecinieku, kurus apsūdzētajam nav bijis iespējams iztaujāt, pirmstiesas kriminālprocesa laikā sniegtās liecības nav atzīstamas par būtisku pierādījumu, kas var izšķirt lietas iznākumu un vai tādā gadījumā apsūdzētā vainīguma pamatošana ar šādām liecinieku liecībām nepārkāpj apsūdzētā tiesības uz aizstāvību tādā apmērā, kas nav savienojams ar Eiropas Cilvēka tiesību un pamatbrīvību aizsardzības konvencijas 6.pantā ietvertajām garantijām.</w:t>
      </w:r>
    </w:p>
    <w:p w:rsidR="00125E09" w:rsidRPr="00125E09" w:rsidRDefault="00125E09" w:rsidP="00125E09">
      <w:pPr>
        <w:spacing w:line="276" w:lineRule="auto"/>
        <w:jc w:val="both"/>
      </w:pPr>
    </w:p>
    <w:p w:rsidR="00E97DEA" w:rsidRPr="00473F47" w:rsidRDefault="00125E09" w:rsidP="00125E09">
      <w:pPr>
        <w:spacing w:line="276" w:lineRule="auto"/>
        <w:jc w:val="both"/>
      </w:pPr>
      <w:bookmarkStart w:id="1" w:name="_Hlk504034785"/>
      <w:r w:rsidRPr="00125E09">
        <w:t>Ja liecinieka, kurš nav bijis klāt tiesas sēdē, pirmstiesas izmeklēšanas laikā sniegtās liecības nav vienīgais vai izšķirošais apsūdzētā vainīguma pierādījums, bet vienīgi apstiprina un papildina citus lietā iegūtos pierādījumus, tās ir izmantojamas pierādīšanā un apsūdzētā vainīguma pamatošanā.</w:t>
      </w:r>
      <w:bookmarkEnd w:id="1"/>
      <w:r w:rsidR="00010924" w:rsidRPr="00125E09">
        <w:t xml:space="preserve"> </w:t>
      </w:r>
    </w:p>
    <w:p w:rsidR="00764898" w:rsidRPr="00473F47" w:rsidRDefault="00764898" w:rsidP="00A00485">
      <w:pPr>
        <w:pStyle w:val="BodyText2"/>
        <w:spacing w:line="276" w:lineRule="auto"/>
        <w:outlineLvl w:val="0"/>
        <w:rPr>
          <w:rFonts w:ascii="Times New Roman" w:hAnsi="Times New Roman"/>
          <w:sz w:val="24"/>
          <w:szCs w:val="24"/>
        </w:rPr>
      </w:pPr>
    </w:p>
    <w:p w:rsidR="00125E09" w:rsidRPr="00125E09" w:rsidRDefault="00740F6A" w:rsidP="00A00485">
      <w:pPr>
        <w:pStyle w:val="BodyText2"/>
        <w:spacing w:line="276" w:lineRule="auto"/>
        <w:jc w:val="center"/>
        <w:outlineLvl w:val="0"/>
        <w:rPr>
          <w:rFonts w:ascii="Times New Roman" w:hAnsi="Times New Roman"/>
          <w:b/>
          <w:sz w:val="24"/>
          <w:szCs w:val="24"/>
        </w:rPr>
      </w:pPr>
      <w:r w:rsidRPr="00125E09">
        <w:rPr>
          <w:rFonts w:ascii="Times New Roman" w:hAnsi="Times New Roman"/>
          <w:b/>
          <w:sz w:val="24"/>
          <w:szCs w:val="24"/>
        </w:rPr>
        <w:t>Latvijas Republikas Augstākā</w:t>
      </w:r>
      <w:r w:rsidR="00125E09" w:rsidRPr="00125E09">
        <w:rPr>
          <w:rFonts w:ascii="Times New Roman" w:hAnsi="Times New Roman"/>
          <w:b/>
          <w:sz w:val="24"/>
          <w:szCs w:val="24"/>
        </w:rPr>
        <w:t>s</w:t>
      </w:r>
      <w:r w:rsidRPr="00125E09">
        <w:rPr>
          <w:rFonts w:ascii="Times New Roman" w:hAnsi="Times New Roman"/>
          <w:b/>
          <w:sz w:val="24"/>
          <w:szCs w:val="24"/>
        </w:rPr>
        <w:t xml:space="preserve"> tiesa</w:t>
      </w:r>
      <w:r w:rsidR="00125E09" w:rsidRPr="00125E09">
        <w:rPr>
          <w:rFonts w:ascii="Times New Roman" w:hAnsi="Times New Roman"/>
          <w:b/>
          <w:sz w:val="24"/>
          <w:szCs w:val="24"/>
        </w:rPr>
        <w:t xml:space="preserve">s </w:t>
      </w:r>
    </w:p>
    <w:p w:rsidR="00125E09" w:rsidRPr="00125E09" w:rsidRDefault="00125E09" w:rsidP="00A00485">
      <w:pPr>
        <w:pStyle w:val="BodyText2"/>
        <w:spacing w:line="276" w:lineRule="auto"/>
        <w:jc w:val="center"/>
        <w:outlineLvl w:val="0"/>
        <w:rPr>
          <w:rFonts w:ascii="Times New Roman" w:hAnsi="Times New Roman"/>
          <w:b/>
          <w:sz w:val="24"/>
          <w:szCs w:val="24"/>
        </w:rPr>
      </w:pPr>
      <w:r w:rsidRPr="00125E09">
        <w:rPr>
          <w:rFonts w:ascii="Times New Roman" w:hAnsi="Times New Roman"/>
          <w:b/>
          <w:sz w:val="24"/>
          <w:szCs w:val="24"/>
        </w:rPr>
        <w:t>Krimināllietu departamenta</w:t>
      </w:r>
    </w:p>
    <w:p w:rsidR="00740F6A" w:rsidRPr="00125E09" w:rsidRDefault="00125E09" w:rsidP="00A00485">
      <w:pPr>
        <w:pStyle w:val="BodyText2"/>
        <w:spacing w:line="276" w:lineRule="auto"/>
        <w:jc w:val="center"/>
        <w:outlineLvl w:val="0"/>
        <w:rPr>
          <w:rFonts w:ascii="Times New Roman" w:hAnsi="Times New Roman"/>
          <w:b/>
          <w:sz w:val="24"/>
          <w:szCs w:val="24"/>
        </w:rPr>
      </w:pPr>
      <w:r w:rsidRPr="00125E09">
        <w:rPr>
          <w:rFonts w:ascii="Times New Roman" w:hAnsi="Times New Roman"/>
          <w:b/>
          <w:sz w:val="24"/>
          <w:szCs w:val="24"/>
        </w:rPr>
        <w:t>2017.gada 21.septembra</w:t>
      </w:r>
    </w:p>
    <w:p w:rsidR="0002742E" w:rsidRPr="00125E09" w:rsidRDefault="0002742E" w:rsidP="00A00485">
      <w:pPr>
        <w:pStyle w:val="BodyText2"/>
        <w:spacing w:line="276" w:lineRule="auto"/>
        <w:jc w:val="center"/>
        <w:outlineLvl w:val="0"/>
        <w:rPr>
          <w:rFonts w:ascii="Times New Roman" w:hAnsi="Times New Roman"/>
          <w:b/>
          <w:sz w:val="24"/>
          <w:szCs w:val="24"/>
        </w:rPr>
      </w:pPr>
      <w:smartTag w:uri="schemas-tilde-lv/tildestengine" w:element="veidnes">
        <w:smartTagPr>
          <w:attr w:name="id" w:val="-1"/>
          <w:attr w:name="baseform" w:val="lēmums"/>
          <w:attr w:name="text" w:val="LĒMUMS&#10;"/>
        </w:smartTagPr>
        <w:r w:rsidRPr="00125E09">
          <w:rPr>
            <w:rFonts w:ascii="Times New Roman" w:hAnsi="Times New Roman"/>
            <w:b/>
            <w:sz w:val="24"/>
            <w:szCs w:val="24"/>
          </w:rPr>
          <w:t>LĒMUMS</w:t>
        </w:r>
      </w:smartTag>
    </w:p>
    <w:p w:rsidR="00125E09" w:rsidRPr="00125E09" w:rsidRDefault="00125E09" w:rsidP="00A00485">
      <w:pPr>
        <w:pStyle w:val="BodyText2"/>
        <w:spacing w:line="276" w:lineRule="auto"/>
        <w:jc w:val="center"/>
        <w:outlineLvl w:val="0"/>
        <w:rPr>
          <w:rFonts w:ascii="Times New Roman" w:hAnsi="Times New Roman"/>
          <w:b/>
          <w:sz w:val="24"/>
          <w:szCs w:val="24"/>
        </w:rPr>
      </w:pPr>
      <w:r w:rsidRPr="00125E09">
        <w:rPr>
          <w:rFonts w:ascii="Times New Roman" w:hAnsi="Times New Roman"/>
          <w:b/>
          <w:sz w:val="24"/>
          <w:szCs w:val="24"/>
        </w:rPr>
        <w:t>Lieta Nr.11092086113, SKK</w:t>
      </w:r>
      <w:r w:rsidRPr="00125E09">
        <w:rPr>
          <w:rFonts w:ascii="Times New Roman" w:hAnsi="Times New Roman"/>
          <w:b/>
          <w:sz w:val="24"/>
          <w:szCs w:val="24"/>
        </w:rPr>
        <w:softHyphen/>
        <w:t>-343/2017</w:t>
      </w:r>
    </w:p>
    <w:p w:rsidR="00125E09" w:rsidRPr="00125E09" w:rsidRDefault="00125E09" w:rsidP="00A00485">
      <w:pPr>
        <w:pStyle w:val="BodyText2"/>
        <w:spacing w:line="276" w:lineRule="auto"/>
        <w:jc w:val="center"/>
        <w:outlineLvl w:val="0"/>
        <w:rPr>
          <w:rFonts w:ascii="Times New Roman" w:hAnsi="Times New Roman"/>
          <w:b/>
          <w:spacing w:val="30"/>
          <w:sz w:val="24"/>
          <w:szCs w:val="24"/>
        </w:rPr>
      </w:pPr>
      <w:r w:rsidRPr="00125E09">
        <w:rPr>
          <w:rFonts w:ascii="Times New Roman" w:hAnsi="Times New Roman"/>
          <w:b/>
          <w:sz w:val="24"/>
          <w:szCs w:val="24"/>
        </w:rPr>
        <w:t>ECLI:LV:AT:2017:0921.11092086113.1.L</w:t>
      </w:r>
    </w:p>
    <w:p w:rsidR="001218D2" w:rsidRPr="00125E09" w:rsidRDefault="001218D2" w:rsidP="00A00485">
      <w:pPr>
        <w:spacing w:line="276" w:lineRule="auto"/>
        <w:jc w:val="center"/>
        <w:rPr>
          <w:b/>
        </w:rP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5E140D">
        <w:t>is Voldemārs Čiževskis</w:t>
      </w:r>
      <w:r w:rsidR="00185635">
        <w:t>,</w:t>
      </w:r>
    </w:p>
    <w:p w:rsidR="001218D2" w:rsidRPr="00473F47" w:rsidRDefault="00E97DEA" w:rsidP="00A00485">
      <w:pPr>
        <w:tabs>
          <w:tab w:val="left" w:pos="540"/>
        </w:tabs>
        <w:spacing w:line="276" w:lineRule="auto"/>
        <w:jc w:val="both"/>
      </w:pPr>
      <w:r w:rsidRPr="00473F47">
        <w:tab/>
      </w:r>
      <w:r w:rsidR="00436257" w:rsidRPr="00473F47">
        <w:t>tiesnes</w:t>
      </w:r>
      <w:r w:rsidR="005E140D">
        <w:t>e 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590BF0">
        <w:t>apsūdzētā</w:t>
      </w:r>
      <w:r w:rsidR="0003162F">
        <w:t xml:space="preserve"> </w:t>
      </w:r>
      <w:r w:rsidR="00FB1E10">
        <w:t>[pers. A]</w:t>
      </w:r>
      <w:r w:rsidR="0003162F">
        <w:t xml:space="preserve"> un viņa aizstāves</w:t>
      </w:r>
      <w:r w:rsidR="00590BF0">
        <w:t xml:space="preserve"> </w:t>
      </w:r>
      <w:r w:rsidR="0003162F">
        <w:t>Ainas Bērziņas</w:t>
      </w:r>
      <w:r w:rsidR="0079083D">
        <w:t xml:space="preserve"> </w:t>
      </w:r>
      <w:r w:rsidR="00AE04D0" w:rsidRPr="00473F47">
        <w:t xml:space="preserve">kasācijas </w:t>
      </w:r>
      <w:r w:rsidR="00590BF0">
        <w:t>sūdzīb</w:t>
      </w:r>
      <w:r w:rsidR="0003162F">
        <w:t>ām</w:t>
      </w:r>
      <w:r w:rsidR="00AE04D0" w:rsidRPr="00473F47">
        <w:t xml:space="preserve"> par </w:t>
      </w:r>
      <w:r w:rsidR="0003162F">
        <w:t>Rīgas</w:t>
      </w:r>
      <w:r w:rsidR="00AE04D0" w:rsidRPr="00473F47">
        <w:t xml:space="preserve"> </w:t>
      </w:r>
      <w:r w:rsidR="0079083D">
        <w:t>apgabaltiesas</w:t>
      </w:r>
      <w:r w:rsidR="00AE04D0" w:rsidRPr="00473F47">
        <w:t xml:space="preserve"> 201</w:t>
      </w:r>
      <w:r w:rsidR="0003162F">
        <w:t>6</w:t>
      </w:r>
      <w:r w:rsidR="00590BF0">
        <w:t xml:space="preserve">.gada </w:t>
      </w:r>
      <w:r w:rsidR="0003162F">
        <w:t>27</w:t>
      </w:r>
      <w:r w:rsidR="00590BF0">
        <w:t>.</w:t>
      </w:r>
      <w:r w:rsidR="0003162F">
        <w:t>oktobra</w:t>
      </w:r>
      <w:r w:rsidR="00590BF0">
        <w:t xml:space="preserve"> 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3960FD">
        <w:t>Rīgas pilsētas Ziemeļu</w:t>
      </w:r>
      <w:r w:rsidR="00571B5D">
        <w:t xml:space="preserve"> rajona </w:t>
      </w:r>
      <w:r w:rsidRPr="00473F47">
        <w:t>tiesas 201</w:t>
      </w:r>
      <w:r w:rsidR="003960FD">
        <w:t>5</w:t>
      </w:r>
      <w:r w:rsidR="00EF2060" w:rsidRPr="00473F47">
        <w:t>.</w:t>
      </w:r>
      <w:r w:rsidRPr="00473F47">
        <w:t xml:space="preserve">gada </w:t>
      </w:r>
      <w:r w:rsidR="003960FD">
        <w:t>21</w:t>
      </w:r>
      <w:r w:rsidR="00590BF0">
        <w:t>.</w:t>
      </w:r>
      <w:r w:rsidR="003960FD">
        <w:t>aprīļa</w:t>
      </w:r>
      <w:r w:rsidRPr="00473F47">
        <w:t xml:space="preserve"> spriedumu</w:t>
      </w:r>
      <w:r w:rsidR="00571B5D">
        <w:t xml:space="preserve"> </w:t>
      </w:r>
    </w:p>
    <w:p w:rsidR="00176F50" w:rsidRPr="00473F47" w:rsidRDefault="00FB1E10"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300F08" w:rsidRDefault="00590BF0" w:rsidP="003C2FE2">
      <w:pPr>
        <w:spacing w:line="276" w:lineRule="auto"/>
        <w:jc w:val="both"/>
      </w:pPr>
      <w:r>
        <w:t>atzīt</w:t>
      </w:r>
      <w:r w:rsidR="003960FD">
        <w:t>s</w:t>
      </w:r>
      <w:r w:rsidR="00037592" w:rsidRPr="00473F47">
        <w:t xml:space="preserve"> </w:t>
      </w:r>
      <w:r w:rsidR="00EF2060" w:rsidRPr="00473F47">
        <w:t xml:space="preserve">par vainīgu Krimināllikuma </w:t>
      </w:r>
      <w:r w:rsidR="003960FD">
        <w:t>116</w:t>
      </w:r>
      <w:r w:rsidR="00EF2060" w:rsidRPr="00473F47">
        <w:t>.</w:t>
      </w:r>
      <w:r w:rsidR="00986705">
        <w:t>pant</w:t>
      </w:r>
      <w:r w:rsidR="003960FD">
        <w:t>ā</w:t>
      </w:r>
      <w:r w:rsidR="002F3E6D" w:rsidRPr="00473F47">
        <w:t xml:space="preserve"> </w:t>
      </w:r>
      <w:r w:rsidR="00037592" w:rsidRPr="00473F47">
        <w:t>paredzēt</w:t>
      </w:r>
      <w:r w:rsidR="00F378EF" w:rsidRPr="00473F47">
        <w:t>ajā</w:t>
      </w:r>
      <w:r w:rsidR="00037592" w:rsidRPr="00473F47">
        <w:t xml:space="preserve"> noziedzī</w:t>
      </w:r>
      <w:r w:rsidR="00F378EF" w:rsidRPr="00473F47">
        <w:t>gajā</w:t>
      </w:r>
      <w:r w:rsidR="00037592" w:rsidRPr="00473F47">
        <w:t xml:space="preserve"> nodarījum</w:t>
      </w:r>
      <w:r w:rsidR="00F378EF" w:rsidRPr="00473F47">
        <w:t>ā</w:t>
      </w:r>
      <w:r>
        <w:t xml:space="preserve"> un sodīt</w:t>
      </w:r>
      <w:r w:rsidR="003960FD">
        <w:t>s</w:t>
      </w:r>
      <w:r w:rsidR="0000219D">
        <w:t xml:space="preserve"> ar brīvības atņemšan</w:t>
      </w:r>
      <w:r>
        <w:t xml:space="preserve">u uz </w:t>
      </w:r>
      <w:r w:rsidR="003960FD">
        <w:t>6</w:t>
      </w:r>
      <w:r>
        <w:t xml:space="preserve"> gadiem</w:t>
      </w:r>
      <w:r w:rsidR="003960FD">
        <w:t xml:space="preserve"> 6 mēnešiem un policijas kontroli uz 2 gadiem</w:t>
      </w:r>
      <w:r w:rsidR="00986705">
        <w:t>.</w:t>
      </w:r>
    </w:p>
    <w:p w:rsidR="00986705" w:rsidRPr="003960FD" w:rsidRDefault="00300F08" w:rsidP="003960FD">
      <w:pPr>
        <w:spacing w:line="276" w:lineRule="auto"/>
        <w:jc w:val="both"/>
      </w:pPr>
      <w:r>
        <w:t xml:space="preserve">            </w:t>
      </w:r>
    </w:p>
    <w:p w:rsidR="00060FF6" w:rsidRDefault="00BE6FD6" w:rsidP="00060FF6">
      <w:pPr>
        <w:pStyle w:val="ListParagraph"/>
        <w:numPr>
          <w:ilvl w:val="0"/>
          <w:numId w:val="8"/>
        </w:numPr>
        <w:tabs>
          <w:tab w:val="left" w:pos="1134"/>
          <w:tab w:val="left" w:pos="1276"/>
        </w:tabs>
        <w:spacing w:line="276" w:lineRule="auto"/>
        <w:ind w:left="0" w:firstLine="709"/>
        <w:jc w:val="both"/>
      </w:pPr>
      <w:r w:rsidRPr="00473F47">
        <w:t xml:space="preserve">Ar </w:t>
      </w:r>
      <w:r w:rsidR="003960FD">
        <w:t>Rīgas pilsētas Ziemeļu</w:t>
      </w:r>
      <w:r w:rsidR="002C689D">
        <w:t xml:space="preserve"> rajona </w:t>
      </w:r>
      <w:r w:rsidRPr="00473F47">
        <w:t xml:space="preserve">tiesas </w:t>
      </w:r>
      <w:r w:rsidR="00B553A8" w:rsidRPr="00473F47">
        <w:t>201</w:t>
      </w:r>
      <w:r w:rsidR="003960FD">
        <w:t>5</w:t>
      </w:r>
      <w:r w:rsidR="00B553A8" w:rsidRPr="00473F47">
        <w:t xml:space="preserve">.gada </w:t>
      </w:r>
      <w:r w:rsidR="003960FD">
        <w:t>21</w:t>
      </w:r>
      <w:r w:rsidR="00300F08">
        <w:t>.</w:t>
      </w:r>
      <w:r w:rsidR="003960FD">
        <w:t>aprīļa</w:t>
      </w:r>
      <w:r w:rsidR="00B553A8" w:rsidRPr="00473F47">
        <w:t xml:space="preserve"> </w:t>
      </w:r>
      <w:r w:rsidRPr="00473F47">
        <w:t xml:space="preserve">spriedumu </w:t>
      </w:r>
      <w:r w:rsidR="00FB1E10">
        <w:rPr>
          <w:color w:val="000000"/>
        </w:rPr>
        <w:t>[pers. A]</w:t>
      </w:r>
      <w:r w:rsidR="00B553A8" w:rsidRPr="00473F47">
        <w:rPr>
          <w:color w:val="000000"/>
        </w:rPr>
        <w:t xml:space="preserve"> atzīt</w:t>
      </w:r>
      <w:r w:rsidR="003960FD">
        <w:rPr>
          <w:color w:val="000000"/>
        </w:rPr>
        <w:t>s</w:t>
      </w:r>
      <w:r w:rsidRPr="00473F47">
        <w:t xml:space="preserve"> par </w:t>
      </w:r>
      <w:r w:rsidR="002B509F">
        <w:t xml:space="preserve">vainīgu </w:t>
      </w:r>
      <w:r w:rsidR="003960FD">
        <w:t>un sodīts</w:t>
      </w:r>
      <w:r w:rsidR="00FA033A">
        <w:t xml:space="preserve"> pēc </w:t>
      </w:r>
      <w:r w:rsidR="00E00793" w:rsidRPr="00473F47">
        <w:t xml:space="preserve">Krimināllikuma </w:t>
      </w:r>
      <w:r w:rsidR="003960FD">
        <w:t>116</w:t>
      </w:r>
      <w:r w:rsidR="002C689D">
        <w:t>.</w:t>
      </w:r>
      <w:r w:rsidR="00E00793" w:rsidRPr="00473F47">
        <w:t xml:space="preserve">panta </w:t>
      </w:r>
      <w:r w:rsidR="006179E4" w:rsidRPr="00473F47">
        <w:t>par</w:t>
      </w:r>
      <w:r w:rsidR="00BC6FF0" w:rsidRPr="00473F47">
        <w:rPr>
          <w:color w:val="000000"/>
        </w:rPr>
        <w:t xml:space="preserve"> </w:t>
      </w:r>
      <w:r w:rsidR="005E140D">
        <w:rPr>
          <w:color w:val="000000"/>
        </w:rPr>
        <w:t>citas personas tīšu prettiesisku nonāvēšanu (</w:t>
      </w:r>
      <w:r w:rsidR="003960FD">
        <w:t>slepkavību</w:t>
      </w:r>
      <w:r w:rsidR="005E140D">
        <w:t>)</w:t>
      </w:r>
      <w:r w:rsidR="00060FF6">
        <w:t>.</w:t>
      </w:r>
    </w:p>
    <w:p w:rsidR="003940F3" w:rsidRDefault="00060FF6" w:rsidP="007008B7">
      <w:pPr>
        <w:tabs>
          <w:tab w:val="left" w:pos="1134"/>
          <w:tab w:val="left" w:pos="1276"/>
        </w:tabs>
        <w:spacing w:line="276" w:lineRule="auto"/>
        <w:jc w:val="both"/>
      </w:pPr>
      <w:r>
        <w:t xml:space="preserve">            Pirmās instances tiesa konstatējusi, ka noziedzīgais nodarījums izdarīts šādos apstākļos.</w:t>
      </w:r>
      <w:r w:rsidR="003940F3">
        <w:t xml:space="preserve"> </w:t>
      </w:r>
    </w:p>
    <w:p w:rsidR="00D836B8" w:rsidRDefault="007008B7" w:rsidP="00FE3E36">
      <w:pPr>
        <w:tabs>
          <w:tab w:val="left" w:pos="1134"/>
          <w:tab w:val="left" w:pos="1276"/>
        </w:tabs>
        <w:spacing w:line="276" w:lineRule="auto"/>
        <w:ind w:firstLine="709"/>
        <w:jc w:val="both"/>
      </w:pPr>
      <w:r w:rsidRPr="005D3A5A">
        <w:t xml:space="preserve">2013.gada 15.augustā, </w:t>
      </w:r>
      <w:r w:rsidR="005E140D">
        <w:t xml:space="preserve">izmeklēšanā </w:t>
      </w:r>
      <w:r w:rsidRPr="005D3A5A">
        <w:t>precīzi nenoskaidrotā laikā</w:t>
      </w:r>
      <w:r w:rsidR="005E140D">
        <w:t>,</w:t>
      </w:r>
      <w:r w:rsidRPr="005D3A5A">
        <w:t xml:space="preserve"> </w:t>
      </w:r>
      <w:r w:rsidR="00FB1E10">
        <w:t>[pers. A]</w:t>
      </w:r>
      <w:r w:rsidRPr="005D3A5A">
        <w:t xml:space="preserve">, </w:t>
      </w:r>
      <w:r w:rsidR="00FE3E36">
        <w:t xml:space="preserve">būdams </w:t>
      </w:r>
      <w:r w:rsidRPr="005D3A5A">
        <w:t>alkohola ietekmē</w:t>
      </w:r>
      <w:r w:rsidR="00FE3E36">
        <w:t xml:space="preserve">, </w:t>
      </w:r>
      <w:r w:rsidR="00FB1E10">
        <w:t>[adrese]</w:t>
      </w:r>
      <w:r w:rsidR="00FE3E36">
        <w:t xml:space="preserve"> </w:t>
      </w:r>
      <w:r w:rsidRPr="005D3A5A">
        <w:t xml:space="preserve">strīda laikā ar </w:t>
      </w:r>
      <w:r w:rsidR="00FB1E10">
        <w:t>[pers. B]</w:t>
      </w:r>
      <w:r w:rsidRPr="005D3A5A">
        <w:t>, būdams sanikno</w:t>
      </w:r>
      <w:r w:rsidR="00FE3E36">
        <w:t xml:space="preserve">ts un agresīvi noskaņots, </w:t>
      </w:r>
      <w:r w:rsidR="005D3A5A">
        <w:t>slepkavības</w:t>
      </w:r>
      <w:r w:rsidR="00FE3E36">
        <w:t xml:space="preserve"> nolūkā paņēma koka nūju un </w:t>
      </w:r>
      <w:r w:rsidR="005D3A5A" w:rsidRPr="005D3A5A">
        <w:t xml:space="preserve">ne mazāk kā </w:t>
      </w:r>
      <w:r w:rsidR="00BD59E6">
        <w:t>trīs reizes</w:t>
      </w:r>
      <w:r w:rsidR="00FE3E36">
        <w:t xml:space="preserve"> iesita ar to </w:t>
      </w:r>
      <w:r w:rsidR="00D22F3F">
        <w:t>[pers. B]</w:t>
      </w:r>
      <w:r w:rsidR="00FE3E36">
        <w:t xml:space="preserve"> pa galvu</w:t>
      </w:r>
      <w:r w:rsidR="00BD59E6">
        <w:t xml:space="preserve">. </w:t>
      </w:r>
      <w:r w:rsidR="00D22F3F">
        <w:t>[</w:t>
      </w:r>
      <w:r w:rsidR="00BC05D3">
        <w:t>P</w:t>
      </w:r>
      <w:r w:rsidR="00D22F3F">
        <w:t>ers. A]</w:t>
      </w:r>
      <w:r w:rsidRPr="005D3A5A">
        <w:t xml:space="preserve"> darbību rezultātā </w:t>
      </w:r>
      <w:r w:rsidR="00D22F3F">
        <w:t>[pers. B]</w:t>
      </w:r>
      <w:r w:rsidRPr="005D3A5A">
        <w:t xml:space="preserve"> </w:t>
      </w:r>
      <w:r w:rsidR="00E9782E">
        <w:t xml:space="preserve">tika nodarīti šādi miesas bojājumi: </w:t>
      </w:r>
      <w:r w:rsidR="00FE3E36">
        <w:t>galvas apvid</w:t>
      </w:r>
      <w:r w:rsidR="00E9782E">
        <w:t xml:space="preserve">ū – </w:t>
      </w:r>
      <w:r w:rsidR="00FE3E36">
        <w:t xml:space="preserve">smagi </w:t>
      </w:r>
      <w:r w:rsidR="00FE3E36">
        <w:lastRenderedPageBreak/>
        <w:t>dzīvībai bīstami</w:t>
      </w:r>
      <w:r w:rsidRPr="007008B7">
        <w:t xml:space="preserve"> miesas bo</w:t>
      </w:r>
      <w:r w:rsidR="00E9782E">
        <w:t>jājumi, kas atrodas</w:t>
      </w:r>
      <w:r w:rsidR="00FE3E36">
        <w:t xml:space="preserve"> tiešā cēloņsakarībā ar nāves iestāšanos</w:t>
      </w:r>
      <w:r w:rsidR="00E9782E">
        <w:t xml:space="preserve">;  </w:t>
      </w:r>
      <w:r w:rsidRPr="007008B7">
        <w:t xml:space="preserve">kakla apvidū </w:t>
      </w:r>
      <w:r w:rsidR="003940F3">
        <w:t>–</w:t>
      </w:r>
      <w:r w:rsidR="00E9782E">
        <w:t xml:space="preserve"> </w:t>
      </w:r>
      <w:r w:rsidRPr="007008B7">
        <w:t>vidēji</w:t>
      </w:r>
      <w:r>
        <w:t xml:space="preserve"> </w:t>
      </w:r>
      <w:r w:rsidR="00E9782E">
        <w:t>smagi</w:t>
      </w:r>
      <w:r w:rsidRPr="007008B7">
        <w:t xml:space="preserve"> miesas bojājumiem, kas izraisa ilgstošu veselības traucējumu </w:t>
      </w:r>
      <w:r w:rsidR="00E9782E">
        <w:t xml:space="preserve">uz laiku, ilgāku par 21 dienu; </w:t>
      </w:r>
      <w:r w:rsidRPr="007008B7">
        <w:t xml:space="preserve">roku apvidū </w:t>
      </w:r>
      <w:r w:rsidR="00D836B8">
        <w:t>–</w:t>
      </w:r>
      <w:r w:rsidR="00E9782E">
        <w:t xml:space="preserve"> maznozīmīgi</w:t>
      </w:r>
      <w:r w:rsidR="00D836B8">
        <w:t xml:space="preserve"> </w:t>
      </w:r>
      <w:r w:rsidR="00E9782E">
        <w:t>miesas bojājumi.</w:t>
      </w:r>
    </w:p>
    <w:p w:rsidR="00D836B8" w:rsidRDefault="00E9782E" w:rsidP="00E9782E">
      <w:pPr>
        <w:tabs>
          <w:tab w:val="left" w:pos="1134"/>
          <w:tab w:val="left" w:pos="1276"/>
        </w:tabs>
        <w:spacing w:line="276" w:lineRule="auto"/>
        <w:jc w:val="both"/>
      </w:pPr>
      <w:r>
        <w:t xml:space="preserve">            Pēc minēto miesas bojājumu </w:t>
      </w:r>
      <w:r w:rsidR="00D836B8" w:rsidRPr="007008B7">
        <w:t>iegūšanas</w:t>
      </w:r>
      <w:r w:rsidR="00D836B8">
        <w:t xml:space="preserve"> </w:t>
      </w:r>
      <w:r w:rsidR="00D22F3F">
        <w:t>[pers. B]</w:t>
      </w:r>
      <w:r w:rsidR="00D836B8" w:rsidRPr="007008B7">
        <w:t xml:space="preserve"> </w:t>
      </w:r>
      <w:r>
        <w:t xml:space="preserve">tika </w:t>
      </w:r>
      <w:r w:rsidR="00D836B8" w:rsidRPr="007008B7">
        <w:t>nogādāts Rīgas Austrumu slimnīcā, kur 2013.gada 18.augustā miris.</w:t>
      </w:r>
    </w:p>
    <w:p w:rsidR="007008B7" w:rsidRPr="007008B7" w:rsidRDefault="007008B7" w:rsidP="00D836B8">
      <w:pPr>
        <w:tabs>
          <w:tab w:val="left" w:pos="1134"/>
          <w:tab w:val="left" w:pos="1276"/>
        </w:tabs>
        <w:spacing w:line="276" w:lineRule="auto"/>
        <w:ind w:firstLine="709"/>
        <w:jc w:val="both"/>
      </w:pPr>
      <w:r w:rsidRPr="007008B7">
        <w:t>Pēc nozieguma</w:t>
      </w:r>
      <w:r>
        <w:t xml:space="preserve"> </w:t>
      </w:r>
      <w:r w:rsidRPr="007008B7">
        <w:t xml:space="preserve">izdarīšanas </w:t>
      </w:r>
      <w:r w:rsidR="00D22F3F">
        <w:t>[pers. A]</w:t>
      </w:r>
      <w:r w:rsidRPr="007008B7">
        <w:t xml:space="preserve">, būdams pārliecināts, ka </w:t>
      </w:r>
      <w:r w:rsidR="00D22F3F">
        <w:t>[pers. B]</w:t>
      </w:r>
      <w:r w:rsidR="00FE3E36">
        <w:t xml:space="preserve"> ir</w:t>
      </w:r>
      <w:r w:rsidRPr="007008B7">
        <w:t xml:space="preserve"> nonāvēts, no notikuma vietas aizgāja.</w:t>
      </w:r>
    </w:p>
    <w:p w:rsidR="00D836B8" w:rsidRPr="00473F47" w:rsidRDefault="00240CE6" w:rsidP="00D836B8">
      <w:pPr>
        <w:spacing w:line="276" w:lineRule="auto"/>
        <w:ind w:firstLine="709"/>
        <w:jc w:val="both"/>
      </w:pPr>
      <w:r>
        <w:t xml:space="preserve">  </w:t>
      </w:r>
    </w:p>
    <w:p w:rsidR="0006670D" w:rsidRDefault="0093698B" w:rsidP="0006670D">
      <w:pPr>
        <w:pStyle w:val="ListParagraph"/>
        <w:numPr>
          <w:ilvl w:val="0"/>
          <w:numId w:val="8"/>
        </w:numPr>
        <w:tabs>
          <w:tab w:val="left" w:pos="1134"/>
        </w:tabs>
        <w:spacing w:line="276" w:lineRule="auto"/>
        <w:ind w:left="0" w:firstLine="709"/>
        <w:jc w:val="both"/>
        <w:rPr>
          <w:rFonts w:ascii="TimesNewRomanPSMT" w:hAnsi="TimesNewRomanPSMT" w:cs="TimesNewRomanPSMT"/>
          <w:lang w:eastAsia="lv-LV"/>
        </w:rPr>
      </w:pPr>
      <w:r>
        <w:rPr>
          <w:rFonts w:ascii="TimesNewRomanPSMT" w:hAnsi="TimesNewRomanPSMT" w:cs="TimesNewRomanPSMT"/>
          <w:lang w:eastAsia="lv-LV"/>
        </w:rPr>
        <w:t xml:space="preserve">Ar </w:t>
      </w:r>
      <w:r w:rsidR="00173983">
        <w:rPr>
          <w:rFonts w:ascii="TimesNewRomanPSMT" w:hAnsi="TimesNewRomanPSMT" w:cs="TimesNewRomanPSMT"/>
          <w:lang w:eastAsia="lv-LV"/>
        </w:rPr>
        <w:t>Rīgas</w:t>
      </w:r>
      <w:r>
        <w:rPr>
          <w:rFonts w:ascii="TimesNewRomanPSMT" w:hAnsi="TimesNewRomanPSMT" w:cs="TimesNewRomanPSMT"/>
          <w:lang w:eastAsia="lv-LV"/>
        </w:rPr>
        <w:t xml:space="preserve"> apgabaltiesas 201</w:t>
      </w:r>
      <w:r w:rsidR="00173983">
        <w:rPr>
          <w:rFonts w:ascii="TimesNewRomanPSMT" w:hAnsi="TimesNewRomanPSMT" w:cs="TimesNewRomanPSMT"/>
          <w:lang w:eastAsia="lv-LV"/>
        </w:rPr>
        <w:t>6</w:t>
      </w:r>
      <w:r>
        <w:rPr>
          <w:rFonts w:ascii="TimesNewRomanPSMT" w:hAnsi="TimesNewRomanPSMT" w:cs="TimesNewRomanPSMT"/>
          <w:lang w:eastAsia="lv-LV"/>
        </w:rPr>
        <w:t xml:space="preserve">.gada </w:t>
      </w:r>
      <w:r w:rsidR="00173983">
        <w:rPr>
          <w:rFonts w:ascii="TimesNewRomanPSMT" w:hAnsi="TimesNewRomanPSMT" w:cs="TimesNewRomanPSMT"/>
          <w:lang w:eastAsia="lv-LV"/>
        </w:rPr>
        <w:t>27</w:t>
      </w:r>
      <w:r>
        <w:rPr>
          <w:rFonts w:ascii="TimesNewRomanPSMT" w:hAnsi="TimesNewRomanPSMT" w:cs="TimesNewRomanPSMT"/>
          <w:lang w:eastAsia="lv-LV"/>
        </w:rPr>
        <w:t>.</w:t>
      </w:r>
      <w:r w:rsidR="00173983">
        <w:rPr>
          <w:rFonts w:ascii="TimesNewRomanPSMT" w:hAnsi="TimesNewRomanPSMT" w:cs="TimesNewRomanPSMT"/>
          <w:lang w:eastAsia="lv-LV"/>
        </w:rPr>
        <w:t>oktobra</w:t>
      </w:r>
      <w:r>
        <w:rPr>
          <w:rFonts w:ascii="TimesNewRomanPSMT" w:hAnsi="TimesNewRomanPSMT" w:cs="TimesNewRomanPSMT"/>
          <w:lang w:eastAsia="lv-LV"/>
        </w:rPr>
        <w:t xml:space="preserve"> lēmumu</w:t>
      </w:r>
      <w:r w:rsidR="00D93410">
        <w:rPr>
          <w:rFonts w:ascii="TimesNewRomanPSMT" w:hAnsi="TimesNewRomanPSMT" w:cs="TimesNewRomanPSMT"/>
          <w:lang w:eastAsia="lv-LV"/>
        </w:rPr>
        <w:t>, iztiesājot lietu apelācija</w:t>
      </w:r>
      <w:r w:rsidR="00173983">
        <w:rPr>
          <w:rFonts w:ascii="TimesNewRomanPSMT" w:hAnsi="TimesNewRomanPSMT" w:cs="TimesNewRomanPSMT"/>
          <w:lang w:eastAsia="lv-LV"/>
        </w:rPr>
        <w:t>s kārtībā sakarā ar apsūdzētā</w:t>
      </w:r>
      <w:r>
        <w:rPr>
          <w:rFonts w:ascii="TimesNewRomanPSMT" w:hAnsi="TimesNewRomanPSMT" w:cs="TimesNewRomanPSMT"/>
          <w:lang w:eastAsia="lv-LV"/>
        </w:rPr>
        <w:t xml:space="preserve"> </w:t>
      </w:r>
      <w:r w:rsidR="00D22F3F">
        <w:rPr>
          <w:rFonts w:ascii="TimesNewRomanPSMT" w:hAnsi="TimesNewRomanPSMT" w:cs="TimesNewRomanPSMT"/>
          <w:lang w:eastAsia="lv-LV"/>
        </w:rPr>
        <w:t>[pers. A]</w:t>
      </w:r>
      <w:r>
        <w:rPr>
          <w:rFonts w:ascii="TimesNewRomanPSMT" w:hAnsi="TimesNewRomanPSMT" w:cs="TimesNewRomanPSMT"/>
          <w:lang w:eastAsia="lv-LV"/>
        </w:rPr>
        <w:t xml:space="preserve"> apelācijas sūdzību, </w:t>
      </w:r>
      <w:r w:rsidR="00173983">
        <w:rPr>
          <w:rFonts w:ascii="TimesNewRomanPSMT" w:hAnsi="TimesNewRomanPSMT" w:cs="TimesNewRomanPSMT"/>
          <w:lang w:eastAsia="lv-LV"/>
        </w:rPr>
        <w:t>Rīgas pilsētas Ziemeļu rajona</w:t>
      </w:r>
      <w:r>
        <w:rPr>
          <w:rFonts w:ascii="TimesNewRomanPSMT" w:hAnsi="TimesNewRomanPSMT" w:cs="TimesNewRomanPSMT"/>
          <w:lang w:eastAsia="lv-LV"/>
        </w:rPr>
        <w:t xml:space="preserve"> </w:t>
      </w:r>
      <w:r w:rsidR="003D0C1C" w:rsidRPr="0093698B">
        <w:rPr>
          <w:rFonts w:ascii="TimesNewRomanPSMT" w:hAnsi="TimesNewRomanPSMT" w:cs="TimesNewRomanPSMT"/>
          <w:lang w:eastAsia="lv-LV"/>
        </w:rPr>
        <w:t xml:space="preserve">tiesas </w:t>
      </w:r>
      <w:r>
        <w:rPr>
          <w:rFonts w:ascii="TimesNewRomanPSMT" w:hAnsi="TimesNewRomanPSMT" w:cs="TimesNewRomanPSMT"/>
          <w:lang w:eastAsia="lv-LV"/>
        </w:rPr>
        <w:t>201</w:t>
      </w:r>
      <w:r w:rsidR="00173983">
        <w:rPr>
          <w:rFonts w:ascii="TimesNewRomanPSMT" w:hAnsi="TimesNewRomanPSMT" w:cs="TimesNewRomanPSMT"/>
          <w:lang w:eastAsia="lv-LV"/>
        </w:rPr>
        <w:t>5</w:t>
      </w:r>
      <w:r>
        <w:rPr>
          <w:rFonts w:ascii="TimesNewRomanPSMT" w:hAnsi="TimesNewRomanPSMT" w:cs="TimesNewRomanPSMT"/>
          <w:lang w:eastAsia="lv-LV"/>
        </w:rPr>
        <w:t xml:space="preserve">.gada </w:t>
      </w:r>
      <w:r w:rsidR="00173983">
        <w:rPr>
          <w:rFonts w:ascii="TimesNewRomanPSMT" w:hAnsi="TimesNewRomanPSMT" w:cs="TimesNewRomanPSMT"/>
          <w:lang w:eastAsia="lv-LV"/>
        </w:rPr>
        <w:t>21</w:t>
      </w:r>
      <w:r>
        <w:rPr>
          <w:rFonts w:ascii="TimesNewRomanPSMT" w:hAnsi="TimesNewRomanPSMT" w:cs="TimesNewRomanPSMT"/>
          <w:lang w:eastAsia="lv-LV"/>
        </w:rPr>
        <w:t>.</w:t>
      </w:r>
      <w:r w:rsidR="00173983">
        <w:rPr>
          <w:rFonts w:ascii="TimesNewRomanPSMT" w:hAnsi="TimesNewRomanPSMT" w:cs="TimesNewRomanPSMT"/>
          <w:lang w:eastAsia="lv-LV"/>
        </w:rPr>
        <w:t>aprīļa</w:t>
      </w:r>
      <w:r>
        <w:rPr>
          <w:rFonts w:ascii="TimesNewRomanPSMT" w:hAnsi="TimesNewRomanPSMT" w:cs="TimesNewRomanPSMT"/>
          <w:lang w:eastAsia="lv-LV"/>
        </w:rPr>
        <w:t xml:space="preserve"> </w:t>
      </w:r>
      <w:r w:rsidR="003D0C1C" w:rsidRPr="0093698B">
        <w:rPr>
          <w:rFonts w:ascii="TimesNewRomanPSMT" w:hAnsi="TimesNewRomanPSMT" w:cs="TimesNewRomanPSMT"/>
          <w:lang w:eastAsia="lv-LV"/>
        </w:rPr>
        <w:t>spriedums atstāts negrozīts.</w:t>
      </w:r>
    </w:p>
    <w:p w:rsidR="0006670D" w:rsidRPr="0006670D" w:rsidRDefault="0006670D" w:rsidP="0006670D">
      <w:pPr>
        <w:pStyle w:val="ListParagraph"/>
        <w:tabs>
          <w:tab w:val="left" w:pos="1134"/>
        </w:tabs>
        <w:spacing w:line="276" w:lineRule="auto"/>
        <w:ind w:left="709"/>
        <w:jc w:val="both"/>
        <w:rPr>
          <w:rFonts w:ascii="TimesNewRomanPSMT" w:hAnsi="TimesNewRomanPSMT" w:cs="TimesNewRomanPSMT"/>
          <w:lang w:eastAsia="lv-LV"/>
        </w:rPr>
      </w:pPr>
      <w:r w:rsidRPr="0006670D">
        <w:rPr>
          <w:rFonts w:ascii="TimesNewRomanPSMT" w:hAnsi="TimesNewRomanPSMT" w:cs="TimesNewRomanPSMT"/>
          <w:lang w:eastAsia="lv-LV"/>
        </w:rPr>
        <w:t xml:space="preserve"> </w:t>
      </w:r>
    </w:p>
    <w:p w:rsidR="0006670D" w:rsidRDefault="00CF6ADD" w:rsidP="0006670D">
      <w:pPr>
        <w:pStyle w:val="ListParagraph"/>
        <w:tabs>
          <w:tab w:val="left" w:pos="1134"/>
        </w:tabs>
        <w:spacing w:line="276" w:lineRule="auto"/>
        <w:ind w:left="0" w:firstLine="709"/>
        <w:jc w:val="both"/>
      </w:pPr>
      <w:r>
        <w:t xml:space="preserve">[4] </w:t>
      </w:r>
      <w:r w:rsidR="0093698B">
        <w:t xml:space="preserve">Par </w:t>
      </w:r>
      <w:r w:rsidR="007B1811">
        <w:t>Rīgas</w:t>
      </w:r>
      <w:r w:rsidR="0093698B">
        <w:t xml:space="preserve"> apgabaltiesas 201</w:t>
      </w:r>
      <w:r w:rsidR="007B1811">
        <w:t>6</w:t>
      </w:r>
      <w:r w:rsidR="0093698B">
        <w:t xml:space="preserve">.gada </w:t>
      </w:r>
      <w:r w:rsidR="007B1811">
        <w:t>27</w:t>
      </w:r>
      <w:r w:rsidR="0093698B">
        <w:t>.</w:t>
      </w:r>
      <w:r w:rsidR="007B1811">
        <w:t xml:space="preserve">oktobra lēmumu apsūdzētais </w:t>
      </w:r>
      <w:r w:rsidR="00D22F3F">
        <w:t>[pers. A]</w:t>
      </w:r>
      <w:r w:rsidR="007B1811">
        <w:t xml:space="preserve"> </w:t>
      </w:r>
      <w:r w:rsidR="00156EF1">
        <w:t>un viņa aizstāve A.</w:t>
      </w:r>
      <w:r w:rsidR="00707735">
        <w:t> </w:t>
      </w:r>
      <w:r w:rsidR="00156EF1">
        <w:t xml:space="preserve">Bērziņa </w:t>
      </w:r>
      <w:r w:rsidR="0093698B">
        <w:t>iesnie</w:t>
      </w:r>
      <w:r w:rsidR="00156EF1">
        <w:t>guši</w:t>
      </w:r>
      <w:r w:rsidR="003D0C1C">
        <w:t xml:space="preserve"> kasācijas </w:t>
      </w:r>
      <w:r w:rsidR="00156EF1">
        <w:t>sūdzības.</w:t>
      </w:r>
    </w:p>
    <w:p w:rsidR="00316FBA" w:rsidRDefault="00C8640E" w:rsidP="00156EF1">
      <w:pPr>
        <w:pStyle w:val="ListParagraph"/>
        <w:tabs>
          <w:tab w:val="left" w:pos="1134"/>
        </w:tabs>
        <w:spacing w:line="276" w:lineRule="auto"/>
        <w:ind w:left="0" w:firstLine="709"/>
        <w:jc w:val="both"/>
      </w:pPr>
      <w:r>
        <w:t>[4.1]</w:t>
      </w:r>
      <w:r w:rsidR="00156EF1">
        <w:t xml:space="preserve"> Apsūdzētais</w:t>
      </w:r>
      <w:r w:rsidR="000A0D92">
        <w:t xml:space="preserve"> </w:t>
      </w:r>
      <w:r w:rsidR="00D22F3F">
        <w:t>[pers. A]</w:t>
      </w:r>
      <w:r w:rsidR="00156EF1">
        <w:t xml:space="preserve"> </w:t>
      </w:r>
      <w:r w:rsidR="00E17550">
        <w:t xml:space="preserve">savā </w:t>
      </w:r>
      <w:r w:rsidR="000A0D92">
        <w:t xml:space="preserve">kasācijas sūdzībā </w:t>
      </w:r>
      <w:r w:rsidR="00156EF1">
        <w:t>lūdz nosūtīt lietu jaunai izskatīšanai apelācijas instances tiesā</w:t>
      </w:r>
      <w:r w:rsidR="00E17550">
        <w:t>,</w:t>
      </w:r>
      <w:r w:rsidR="00316FBA">
        <w:t xml:space="preserve"> kā arī pārkvalificēt viņa darbības no Krimināllikuma 116.panta uz Krimināl</w:t>
      </w:r>
      <w:r w:rsidR="0043483D">
        <w:t xml:space="preserve">likuma 125.panta trešo daļu, norādot, ka </w:t>
      </w:r>
      <w:r w:rsidR="00316FBA">
        <w:t xml:space="preserve">viņam nav bijis nodoma nonāvēt </w:t>
      </w:r>
      <w:r w:rsidR="00D22F3F">
        <w:t>[pers. B]</w:t>
      </w:r>
      <w:r w:rsidR="00316FBA">
        <w:t>.</w:t>
      </w:r>
    </w:p>
    <w:p w:rsidR="00156EF1" w:rsidRDefault="00316FBA" w:rsidP="00156EF1">
      <w:pPr>
        <w:pStyle w:val="ListParagraph"/>
        <w:tabs>
          <w:tab w:val="left" w:pos="1134"/>
        </w:tabs>
        <w:spacing w:line="276" w:lineRule="auto"/>
        <w:ind w:left="0" w:firstLine="709"/>
        <w:jc w:val="both"/>
      </w:pPr>
      <w:r>
        <w:t xml:space="preserve">Savu lūgumu </w:t>
      </w:r>
      <w:r w:rsidR="00D22F3F">
        <w:t>[pers. A]</w:t>
      </w:r>
      <w:r>
        <w:t xml:space="preserve"> pamatojis ar </w:t>
      </w:r>
      <w:r w:rsidR="00E17550">
        <w:t>šādiem argumentiem.</w:t>
      </w:r>
    </w:p>
    <w:p w:rsidR="00463C0B" w:rsidRDefault="00E17550" w:rsidP="00E17550">
      <w:pPr>
        <w:pStyle w:val="ListParagraph"/>
        <w:tabs>
          <w:tab w:val="left" w:pos="1134"/>
        </w:tabs>
        <w:spacing w:line="276" w:lineRule="auto"/>
        <w:ind w:left="0" w:firstLine="709"/>
        <w:jc w:val="both"/>
      </w:pPr>
      <w:r>
        <w:t xml:space="preserve">[4.1.1] </w:t>
      </w:r>
      <w:r w:rsidR="00D0015B">
        <w:t xml:space="preserve">Apelācijas instances tiesa </w:t>
      </w:r>
      <w:r>
        <w:t xml:space="preserve">nolēmumā </w:t>
      </w:r>
      <w:r w:rsidR="00D0015B">
        <w:t xml:space="preserve">nepilnīgi atspoguļojusi liecinieces </w:t>
      </w:r>
      <w:r w:rsidR="00D22F3F">
        <w:t>[pers. C]</w:t>
      </w:r>
      <w:r w:rsidR="00D0015B">
        <w:t xml:space="preserve"> liecības. </w:t>
      </w:r>
      <w:r>
        <w:t xml:space="preserve">Minētā lieciniece norādījusi, ka tad, kad </w:t>
      </w:r>
      <w:r w:rsidR="00D22F3F">
        <w:t>[pers. A]</w:t>
      </w:r>
      <w:r w:rsidR="00114917">
        <w:t xml:space="preserve"> atgriez</w:t>
      </w:r>
      <w:r>
        <w:t>ies ar asiņainu koka pagali, viņš</w:t>
      </w:r>
      <w:r w:rsidR="000A0D92">
        <w:t xml:space="preserve"> izskatījies tā, it kā nesaprastu</w:t>
      </w:r>
      <w:r w:rsidR="00114917">
        <w:t>, kas notiek</w:t>
      </w:r>
      <w:r w:rsidR="000A0D92">
        <w:t xml:space="preserve">, un teicis, ka jādodas mājās. Apelācijas instances tiesa liecinieces </w:t>
      </w:r>
      <w:r w:rsidR="00D22F3F">
        <w:t>[pers. C]</w:t>
      </w:r>
      <w:r w:rsidR="000A0D92">
        <w:t xml:space="preserve"> liecības šajā daļā nolēmumā nav ietvērusi.</w:t>
      </w:r>
    </w:p>
    <w:p w:rsidR="00B4672F" w:rsidRDefault="00463C0B" w:rsidP="00A70D3A">
      <w:pPr>
        <w:autoSpaceDE w:val="0"/>
        <w:autoSpaceDN w:val="0"/>
        <w:adjustRightInd w:val="0"/>
        <w:spacing w:line="276" w:lineRule="auto"/>
        <w:ind w:firstLine="709"/>
        <w:jc w:val="both"/>
      </w:pPr>
      <w:r>
        <w:t>[4.</w:t>
      </w:r>
      <w:r w:rsidR="000A0D92">
        <w:t>1.</w:t>
      </w:r>
      <w:r>
        <w:t>2]</w:t>
      </w:r>
      <w:r w:rsidR="000A0D92">
        <w:t xml:space="preserve"> </w:t>
      </w:r>
      <w:r w:rsidR="00965A88">
        <w:t>Lietā veiktās tiesu psihiatriskās ekspertīzes atzinums nav objektīvs, jo eksperti nav ņēmuši vēr</w:t>
      </w:r>
      <w:r w:rsidR="004603CD">
        <w:t>ā ziņas par viņa saslimšanu un tās ārstēšanā pielietotajiem medikamentiem.</w:t>
      </w:r>
      <w:r w:rsidR="00B4672F">
        <w:t xml:space="preserve"> </w:t>
      </w:r>
      <w:r w:rsidR="004603CD">
        <w:t>Minēto medikamentu</w:t>
      </w:r>
      <w:r w:rsidR="00A70D3A">
        <w:t xml:space="preserve"> iespaidā noziedzīgā nodarījuma </w:t>
      </w:r>
      <w:r w:rsidR="00B4672F">
        <w:t xml:space="preserve"> la</w:t>
      </w:r>
      <w:r w:rsidR="00316FBA">
        <w:t>ikā viņam</w:t>
      </w:r>
      <w:r w:rsidR="00A70D3A">
        <w:t xml:space="preserve"> bijušas halucinācijas, taču eksperti nepamatoti secinājuši, ka viņš ar psihisku slimību neslimo. Šāds ekspertu atzinums ir pretrunā ar faktu, ka sakarā ar psihisku saslimšanu viņam noteikta invaliditāte līdz mūža beigām. </w:t>
      </w:r>
      <w:r w:rsidR="0022055D">
        <w:t xml:space="preserve">Sakarā ar neobjektīvo eksperta atzinumu viņš </w:t>
      </w:r>
      <w:r w:rsidR="00B4672F">
        <w:t xml:space="preserve"> vairākkārt </w:t>
      </w:r>
      <w:r w:rsidR="00A70D3A">
        <w:t>pieteicis</w:t>
      </w:r>
      <w:r w:rsidR="00E1348D">
        <w:t xml:space="preserve"> noraidījumu ekspertam</w:t>
      </w:r>
      <w:r w:rsidR="00A70D3A">
        <w:t>,</w:t>
      </w:r>
      <w:r w:rsidR="00B4672F">
        <w:t xml:space="preserve"> taču atkārtotu ekspertīzi veicis tas pats ā</w:t>
      </w:r>
      <w:r w:rsidR="00A70D3A">
        <w:t>rsts.</w:t>
      </w:r>
    </w:p>
    <w:p w:rsidR="00463C0B" w:rsidRDefault="0022055D" w:rsidP="00316FBA">
      <w:pPr>
        <w:autoSpaceDE w:val="0"/>
        <w:autoSpaceDN w:val="0"/>
        <w:adjustRightInd w:val="0"/>
        <w:spacing w:line="276" w:lineRule="auto"/>
        <w:ind w:firstLine="709"/>
        <w:jc w:val="both"/>
      </w:pPr>
      <w:r>
        <w:t xml:space="preserve">[4.1.3] </w:t>
      </w:r>
      <w:r w:rsidR="00463C0B">
        <w:t xml:space="preserve">Apsūdzībā nepamatoti norādīts, ka </w:t>
      </w:r>
      <w:r w:rsidR="00D22F3F">
        <w:t>[pers. A]</w:t>
      </w:r>
      <w:r w:rsidR="00463C0B">
        <w:t>, būdams pārliecināts</w:t>
      </w:r>
      <w:r w:rsidR="00316FBA">
        <w:t xml:space="preserve"> par to</w:t>
      </w:r>
      <w:r w:rsidR="00463C0B">
        <w:t xml:space="preserve">, ka </w:t>
      </w:r>
      <w:r w:rsidR="00D22F3F">
        <w:t>[pers. B]</w:t>
      </w:r>
      <w:r w:rsidR="00463C0B">
        <w:t xml:space="preserve"> nogalināts, no notikuma vietas </w:t>
      </w:r>
      <w:r w:rsidR="00316FBA">
        <w:t>aizgājis. Lietā nav nekādu pierādījumu tam, ka viņš</w:t>
      </w:r>
      <w:r w:rsidR="00463C0B">
        <w:t xml:space="preserve"> būtu pārbau</w:t>
      </w:r>
      <w:r w:rsidR="00316FBA">
        <w:t>dījis, vai cietušais ir dz</w:t>
      </w:r>
      <w:r w:rsidR="004572B3">
        <w:t xml:space="preserve">īvs vai miris. </w:t>
      </w:r>
      <w:r w:rsidR="00463C0B">
        <w:t xml:space="preserve">Tāpat apsūdzībā </w:t>
      </w:r>
      <w:r w:rsidR="00316FBA">
        <w:t xml:space="preserve">nepamatoti </w:t>
      </w:r>
      <w:r w:rsidR="00463C0B">
        <w:t xml:space="preserve">norādīts, ka </w:t>
      </w:r>
      <w:r w:rsidR="00415482">
        <w:t>[pers. A]</w:t>
      </w:r>
      <w:r w:rsidR="00316FBA">
        <w:t xml:space="preserve"> </w:t>
      </w:r>
      <w:r w:rsidR="00463C0B">
        <w:t>no notikuma vi</w:t>
      </w:r>
      <w:r w:rsidR="00316FBA">
        <w:t xml:space="preserve">etas aizgājis. Viņš pats minēto faktu neatceras, taču </w:t>
      </w:r>
      <w:r w:rsidR="00463C0B">
        <w:t>no liecinieku liecībām izriet, ka viņš palicis</w:t>
      </w:r>
      <w:r w:rsidR="004572B3">
        <w:t xml:space="preserve"> notikuma vietā, līdz ieradusies policija.</w:t>
      </w:r>
    </w:p>
    <w:p w:rsidR="00322D05" w:rsidRPr="00463C0B" w:rsidRDefault="004572B3" w:rsidP="00463C0B">
      <w:pPr>
        <w:pStyle w:val="ListParagraph"/>
        <w:tabs>
          <w:tab w:val="left" w:pos="1134"/>
        </w:tabs>
        <w:spacing w:line="276" w:lineRule="auto"/>
        <w:ind w:left="0" w:firstLine="709"/>
        <w:jc w:val="both"/>
        <w:rPr>
          <w:rFonts w:ascii="TimesNewRomanPSMT" w:hAnsi="TimesNewRomanPSMT" w:cs="TimesNewRomanPSMT"/>
          <w:lang w:eastAsia="lv-LV"/>
        </w:rPr>
      </w:pPr>
      <w:r>
        <w:t>[4.1.4] Tiesas nolēmumā atspoguļotas liecības, kuras viņ</w:t>
      </w:r>
      <w:r w:rsidR="007204B6">
        <w:t>š nekad nav sniedzi</w:t>
      </w:r>
      <w:r>
        <w:t xml:space="preserve">s, proti, </w:t>
      </w:r>
      <w:r w:rsidR="007204B6">
        <w:t xml:space="preserve">par to, </w:t>
      </w:r>
      <w:r>
        <w:t xml:space="preserve">ka viņš ar </w:t>
      </w:r>
      <w:r w:rsidR="00415482">
        <w:t>[pers. B]</w:t>
      </w:r>
      <w:r>
        <w:t xml:space="preserve"> vēlējies vienīgi izkauties.</w:t>
      </w:r>
      <w:r w:rsidR="00463C0B">
        <w:t xml:space="preserve"> </w:t>
      </w:r>
    </w:p>
    <w:p w:rsidR="00836249" w:rsidRDefault="00A210B5" w:rsidP="007204B6">
      <w:pPr>
        <w:autoSpaceDE w:val="0"/>
        <w:autoSpaceDN w:val="0"/>
        <w:adjustRightInd w:val="0"/>
        <w:spacing w:line="276" w:lineRule="auto"/>
        <w:ind w:firstLine="709"/>
        <w:jc w:val="both"/>
      </w:pPr>
      <w:r>
        <w:t>[4.1.5</w:t>
      </w:r>
      <w:r w:rsidR="00322D05">
        <w:t xml:space="preserve">] </w:t>
      </w:r>
      <w:r w:rsidR="007204B6">
        <w:t xml:space="preserve">Tiesā nav nopratināti liecinieki </w:t>
      </w:r>
      <w:r w:rsidR="00415482">
        <w:t>[pers. D]</w:t>
      </w:r>
      <w:r w:rsidR="007204B6">
        <w:t xml:space="preserve"> un </w:t>
      </w:r>
      <w:r w:rsidR="00415482">
        <w:t>[pers. E]</w:t>
      </w:r>
      <w:r w:rsidR="007204B6">
        <w:t xml:space="preserve">. Lietas izskatīšanas laikā atklājies, ka liecinieki maldinājuši policijas darbiniekus, norādot adreses, kurās viņi faktiski nedzīvo. Vienlaikus tiesai bijis zināms, ka abi liecinieki </w:t>
      </w:r>
      <w:r w:rsidR="0083099C">
        <w:t>piedalās Metadona pro</w:t>
      </w:r>
      <w:r w:rsidR="004603CD">
        <w:t>grammā slimnīcā</w:t>
      </w:r>
      <w:r w:rsidR="007204B6">
        <w:t>, taču viņa lūgums par liecinieku</w:t>
      </w:r>
      <w:r w:rsidR="004603CD">
        <w:t xml:space="preserve"> nogādāšanu tiesā no slimnīcas</w:t>
      </w:r>
      <w:r w:rsidR="007204B6">
        <w:t xml:space="preserve"> ticis noraidīts.</w:t>
      </w:r>
      <w:r w:rsidR="00E311D7">
        <w:t xml:space="preserve"> Tādējādi tiesa apzināti nav izdarījusi visu iespējamo, lai nogādātu lieciniekus uz tiesas sēdi.</w:t>
      </w:r>
    </w:p>
    <w:p w:rsidR="00E311D7" w:rsidRDefault="00E311D7" w:rsidP="00114917">
      <w:pPr>
        <w:autoSpaceDE w:val="0"/>
        <w:autoSpaceDN w:val="0"/>
        <w:adjustRightInd w:val="0"/>
        <w:spacing w:line="276" w:lineRule="auto"/>
        <w:ind w:firstLine="709"/>
        <w:jc w:val="both"/>
      </w:pPr>
      <w:r>
        <w:t xml:space="preserve">Turklāt </w:t>
      </w:r>
      <w:r w:rsidR="002A07D9">
        <w:t>apelāc</w:t>
      </w:r>
      <w:r>
        <w:t xml:space="preserve">ijas instances tiesa ir pievienojusies </w:t>
      </w:r>
      <w:r w:rsidR="002A07D9">
        <w:t>pirmās instances tiesas secinājumiem</w:t>
      </w:r>
      <w:r>
        <w:t xml:space="preserve"> par to</w:t>
      </w:r>
      <w:r w:rsidR="002A07D9">
        <w:t>, ka liecinieku</w:t>
      </w:r>
      <w:r>
        <w:t xml:space="preserve"> </w:t>
      </w:r>
      <w:r w:rsidR="00415482">
        <w:t>[pers. D]</w:t>
      </w:r>
      <w:r>
        <w:t xml:space="preserve"> un </w:t>
      </w:r>
      <w:r w:rsidR="00415482">
        <w:t>[pers. E]</w:t>
      </w:r>
      <w:r w:rsidR="002A07D9">
        <w:t xml:space="preserve"> liecību ticamība ir apšaubāma, jo </w:t>
      </w:r>
      <w:r>
        <w:t xml:space="preserve">minētie liecinieki </w:t>
      </w:r>
      <w:r>
        <w:lastRenderedPageBreak/>
        <w:t>ir lietas</w:t>
      </w:r>
      <w:r w:rsidR="002A07D9">
        <w:t xml:space="preserve"> iznā</w:t>
      </w:r>
      <w:r>
        <w:t>kumā ieinteresētas personas, taču vienlaikus norādījusi</w:t>
      </w:r>
      <w:r w:rsidR="002A07D9">
        <w:t xml:space="preserve">, ka </w:t>
      </w:r>
      <w:r w:rsidR="00415482">
        <w:t>[pers. D]</w:t>
      </w:r>
      <w:r>
        <w:t xml:space="preserve"> un </w:t>
      </w:r>
      <w:r w:rsidR="00415482">
        <w:t>[pers. E]</w:t>
      </w:r>
      <w:r>
        <w:t xml:space="preserve"> liecības </w:t>
      </w:r>
      <w:r w:rsidR="002A07D9">
        <w:t xml:space="preserve">papildina </w:t>
      </w:r>
      <w:r>
        <w:t xml:space="preserve">citus lietā iegūtos </w:t>
      </w:r>
      <w:r w:rsidR="002A07D9">
        <w:t>pierādījumus.</w:t>
      </w:r>
      <w:r>
        <w:t xml:space="preserve"> </w:t>
      </w:r>
    </w:p>
    <w:p w:rsidR="002A07D9" w:rsidRDefault="00E311D7" w:rsidP="00114917">
      <w:pPr>
        <w:autoSpaceDE w:val="0"/>
        <w:autoSpaceDN w:val="0"/>
        <w:adjustRightInd w:val="0"/>
        <w:spacing w:line="276" w:lineRule="auto"/>
        <w:ind w:firstLine="709"/>
        <w:jc w:val="both"/>
      </w:pPr>
      <w:r>
        <w:t xml:space="preserve">Apsūdzētā ieskatā, </w:t>
      </w:r>
      <w:r w:rsidR="00CD1AED">
        <w:t>l</w:t>
      </w:r>
      <w:r>
        <w:t xml:space="preserve">iecinieku </w:t>
      </w:r>
      <w:r w:rsidR="00415482">
        <w:t>[pers. D]</w:t>
      </w:r>
      <w:r>
        <w:t xml:space="preserve"> un </w:t>
      </w:r>
      <w:r w:rsidR="00415482">
        <w:t>[pers. E]</w:t>
      </w:r>
      <w:r>
        <w:t xml:space="preserve"> liecībām ir būtiska nozīme, jo, pamatojoties uz šīm liecībām, viņa apsūdzība grozīta uz smagāku.</w:t>
      </w:r>
      <w:r w:rsidR="006738CE">
        <w:t xml:space="preserve"> Nenopratinot minētos lieciniekus tiesā, pārkāpts Eiropas Cilvēka tiesību un pamatbrīvību aizsardzības konvencijas 6.panta trešās daļas d) apakšpunkts.</w:t>
      </w:r>
      <w:r>
        <w:t xml:space="preserve"> </w:t>
      </w:r>
    </w:p>
    <w:p w:rsidR="008C07F5" w:rsidRDefault="00A210B5" w:rsidP="008C07F5">
      <w:pPr>
        <w:autoSpaceDE w:val="0"/>
        <w:autoSpaceDN w:val="0"/>
        <w:adjustRightInd w:val="0"/>
        <w:spacing w:line="276" w:lineRule="auto"/>
        <w:ind w:firstLine="709"/>
        <w:jc w:val="both"/>
      </w:pPr>
      <w:r>
        <w:t>[4.1.6</w:t>
      </w:r>
      <w:r w:rsidR="00D22DFD">
        <w:t xml:space="preserve">] </w:t>
      </w:r>
      <w:r>
        <w:t xml:space="preserve">Apsūdzētais lūdz </w:t>
      </w:r>
      <w:r w:rsidR="002D79F1">
        <w:t>piemērot</w:t>
      </w:r>
      <w:r>
        <w:t xml:space="preserve"> Krim</w:t>
      </w:r>
      <w:r w:rsidR="00377D03">
        <w:t>inālprocesa likuma (domājams</w:t>
      </w:r>
      <w:r w:rsidR="00CD1AED">
        <w:t> – </w:t>
      </w:r>
      <w:r>
        <w:t>Krimināllikuma)</w:t>
      </w:r>
      <w:r w:rsidR="002D79F1">
        <w:t xml:space="preserve"> </w:t>
      </w:r>
      <w:r>
        <w:t xml:space="preserve">49.pantu un noteikt viņam sodu, </w:t>
      </w:r>
      <w:r w:rsidR="002D79F1">
        <w:t>kas ir zemāks par minimālo robežu, kāda par attiecīgo noziedzīgo nodarījumu paredzēta likumā</w:t>
      </w:r>
      <w:r>
        <w:t>, jo uz lietas izskatīšanas brīdi apelācijas instances tiesā viņš atrodas apcietinājumā jau 3 gadus un 2 mēnešus, kas ir gandrīz puse no viņam noteiktā soda termiņa.</w:t>
      </w:r>
      <w:r w:rsidR="008C07F5">
        <w:t xml:space="preserve"> </w:t>
      </w:r>
    </w:p>
    <w:p w:rsidR="002D7F8F" w:rsidRDefault="00A210B5" w:rsidP="008C07F5">
      <w:pPr>
        <w:autoSpaceDE w:val="0"/>
        <w:autoSpaceDN w:val="0"/>
        <w:adjustRightInd w:val="0"/>
        <w:spacing w:line="276" w:lineRule="auto"/>
        <w:ind w:firstLine="709"/>
        <w:jc w:val="both"/>
      </w:pPr>
      <w:r>
        <w:t>[4.2</w:t>
      </w:r>
      <w:r w:rsidR="002D7F8F">
        <w:t>]</w:t>
      </w:r>
      <w:r>
        <w:t xml:space="preserve"> A</w:t>
      </w:r>
      <w:r w:rsidR="007737BC">
        <w:t>psūdzētā</w:t>
      </w:r>
      <w:r>
        <w:t xml:space="preserve"> </w:t>
      </w:r>
      <w:r w:rsidR="00415482">
        <w:t>[pers. A]</w:t>
      </w:r>
      <w:r>
        <w:t xml:space="preserve"> aizstāve A. Bērziņa savā kasācijas sūdzībā </w:t>
      </w:r>
      <w:r w:rsidR="007737BC">
        <w:t>lūdz atcelt apelācijas instances tiesas nolēmumu un no</w:t>
      </w:r>
      <w:r>
        <w:t>sūtīt lietu jaunai izskatīšanai</w:t>
      </w:r>
      <w:r w:rsidR="00F378CD">
        <w:t>, pamatojoties uz šādiem argumentiem.</w:t>
      </w:r>
    </w:p>
    <w:p w:rsidR="007737BC" w:rsidRDefault="00331BCD" w:rsidP="00331BCD">
      <w:pPr>
        <w:autoSpaceDE w:val="0"/>
        <w:autoSpaceDN w:val="0"/>
        <w:adjustRightInd w:val="0"/>
        <w:spacing w:line="276" w:lineRule="auto"/>
        <w:ind w:firstLine="709"/>
        <w:jc w:val="both"/>
      </w:pPr>
      <w:r>
        <w:t>[4.2.1</w:t>
      </w:r>
      <w:r w:rsidR="00904415">
        <w:t>]</w:t>
      </w:r>
      <w:r>
        <w:t xml:space="preserve"> </w:t>
      </w:r>
      <w:r w:rsidR="00415482">
        <w:t>[</w:t>
      </w:r>
      <w:r w:rsidR="00BC05D3">
        <w:t>P</w:t>
      </w:r>
      <w:r w:rsidR="00415482">
        <w:t>ers. A]</w:t>
      </w:r>
      <w:r>
        <w:t xml:space="preserve"> darbības pret </w:t>
      </w:r>
      <w:r w:rsidR="00415482">
        <w:t>[pers. B]</w:t>
      </w:r>
      <w:r>
        <w:t xml:space="preserve"> kvalificējamas pēc Krimināllikuma 125.panta trešās daļas.</w:t>
      </w:r>
      <w:r w:rsidR="00904415">
        <w:t xml:space="preserve"> </w:t>
      </w:r>
      <w:r w:rsidR="0025710E">
        <w:t>Noskaidrojot vainīgā nodoma saturu, apelācijas instances tiesai bija jāpamatojas uz izdarītā noziedzīgā nodarījuma apstākļu ko</w:t>
      </w:r>
      <w:r w:rsidR="00F378CD">
        <w:t xml:space="preserve">pumu, īpaši ņemot vērā noziedzīgā nodarījuma </w:t>
      </w:r>
      <w:r>
        <w:t xml:space="preserve"> izdarīšanas veidu, rīkus un</w:t>
      </w:r>
      <w:r w:rsidR="0025710E">
        <w:t xml:space="preserve"> rīcību pēc noziedzīgā nodarījuma izdarīšanas, </w:t>
      </w:r>
      <w:r>
        <w:t xml:space="preserve">kā arī </w:t>
      </w:r>
      <w:r w:rsidR="0025710E">
        <w:t>jāizvērtē vainīgā un cietušā attiecības pirms noziedzīgā</w:t>
      </w:r>
      <w:r>
        <w:t xml:space="preserve"> nodarījuma izdarīšanas un citi apstākļi</w:t>
      </w:r>
      <w:r w:rsidR="0025710E">
        <w:t>, kas var liecināt par vainīgā nodomu.</w:t>
      </w:r>
    </w:p>
    <w:p w:rsidR="0025710E" w:rsidRDefault="00AC6B70" w:rsidP="004142D1">
      <w:pPr>
        <w:autoSpaceDE w:val="0"/>
        <w:autoSpaceDN w:val="0"/>
        <w:adjustRightInd w:val="0"/>
        <w:spacing w:line="276" w:lineRule="auto"/>
        <w:ind w:firstLine="709"/>
        <w:jc w:val="both"/>
      </w:pPr>
      <w:r>
        <w:t>[4.2.2] L</w:t>
      </w:r>
      <w:r w:rsidR="0025710E">
        <w:t>i</w:t>
      </w:r>
      <w:r w:rsidR="00B97C05">
        <w:t>e</w:t>
      </w:r>
      <w:r w:rsidR="0025710E">
        <w:t>tā nav pārbaudītas visu liecinieku liecības.</w:t>
      </w:r>
    </w:p>
    <w:p w:rsidR="00B97C05" w:rsidRDefault="0025710E" w:rsidP="00A004C0">
      <w:pPr>
        <w:autoSpaceDE w:val="0"/>
        <w:autoSpaceDN w:val="0"/>
        <w:adjustRightInd w:val="0"/>
        <w:spacing w:line="276" w:lineRule="auto"/>
        <w:ind w:firstLine="709"/>
        <w:jc w:val="both"/>
      </w:pPr>
      <w:r>
        <w:t xml:space="preserve">Apelācijas instances tiesa, nenoklausoties tiesas sēdē liecinieku </w:t>
      </w:r>
      <w:r w:rsidR="00415482">
        <w:t>[pers. F]</w:t>
      </w:r>
      <w:r>
        <w:t xml:space="preserve"> (domājams – </w:t>
      </w:r>
      <w:r w:rsidR="00415482">
        <w:t>[pers. E]</w:t>
      </w:r>
      <w:r>
        <w:t xml:space="preserve">) un </w:t>
      </w:r>
      <w:r w:rsidR="00415482">
        <w:t>[pers. D]</w:t>
      </w:r>
      <w:r>
        <w:t xml:space="preserve"> liecības</w:t>
      </w:r>
      <w:r w:rsidR="00563307">
        <w:t>,</w:t>
      </w:r>
      <w:r>
        <w:t xml:space="preserve"> ir ierobežojusi apsūdzētā tiesības uzdot</w:t>
      </w:r>
      <w:r w:rsidR="00331BCD">
        <w:t xml:space="preserve"> minētajiem lieciniekiem</w:t>
      </w:r>
      <w:r>
        <w:t xml:space="preserve"> jautājumus un saņemt atbildes</w:t>
      </w:r>
      <w:r w:rsidR="005D7B35">
        <w:t xml:space="preserve">, savukārt </w:t>
      </w:r>
      <w:r w:rsidR="00331BCD">
        <w:t>tiesas atsauce</w:t>
      </w:r>
      <w:r w:rsidR="005D7B35">
        <w:t xml:space="preserve"> nolēmumā uz Eiropas Cilvēktiesību tiesas spriedumu ir nepamatota, </w:t>
      </w:r>
      <w:r w:rsidR="00331BCD">
        <w:t>jo Eiropas Cilvēktiesību tiesa 2011.gada 15.decembra spriedumā</w:t>
      </w:r>
      <w:r w:rsidR="005D7B35">
        <w:t xml:space="preserve"> ir norādījusi, ka a</w:t>
      </w:r>
      <w:r w:rsidR="00331BCD">
        <w:t>psūdzētajam kriminālprocesā</w:t>
      </w:r>
      <w:r w:rsidR="005D7B35">
        <w:t xml:space="preserve"> jābūt efektīvai iespējai apstrīdēt apsūdzīb</w:t>
      </w:r>
      <w:r w:rsidR="00331BCD">
        <w:t xml:space="preserve">as pierādījumus, taču </w:t>
      </w:r>
      <w:r w:rsidR="00415482">
        <w:t>[pers. A]</w:t>
      </w:r>
      <w:r w:rsidR="00331BCD">
        <w:t xml:space="preserve"> šāda iespēja bija liegta.</w:t>
      </w:r>
    </w:p>
    <w:p w:rsidR="00B97C05" w:rsidRDefault="00331BCD" w:rsidP="00B97C05">
      <w:pPr>
        <w:autoSpaceDE w:val="0"/>
        <w:autoSpaceDN w:val="0"/>
        <w:adjustRightInd w:val="0"/>
        <w:spacing w:line="276" w:lineRule="auto"/>
        <w:ind w:firstLine="709"/>
        <w:jc w:val="both"/>
      </w:pPr>
      <w:r>
        <w:t xml:space="preserve">Tādējādi </w:t>
      </w:r>
      <w:r w:rsidR="00B97C05">
        <w:t>apelācijas instances tiesa, izskatot kr</w:t>
      </w:r>
      <w:r>
        <w:t>imināllietu, nav izvērtējusi</w:t>
      </w:r>
      <w:r w:rsidR="00B97C05">
        <w:t xml:space="preserve"> formālās tiesiskās saistības, ko Latvija uzņēmusies 1997.gadā, pievienojoties Eiropas Cilvēk</w:t>
      </w:r>
      <w:r w:rsidR="006738CE">
        <w:t xml:space="preserve">a </w:t>
      </w:r>
      <w:r w:rsidR="00B97C05">
        <w:t>tiesību un pamatbrīvību aizsardzības konv</w:t>
      </w:r>
      <w:r>
        <w:t>encijai, un</w:t>
      </w:r>
      <w:r w:rsidR="0066455E">
        <w:t xml:space="preserve"> līdz ar to</w:t>
      </w:r>
      <w:r>
        <w:t xml:space="preserve"> pieļāvusi</w:t>
      </w:r>
      <w:r w:rsidR="0065302C">
        <w:t xml:space="preserve"> Kriminālprocesa likum</w:t>
      </w:r>
      <w:r>
        <w:t>a 574.panta 2.punkta pārkāpumu.</w:t>
      </w:r>
    </w:p>
    <w:p w:rsidR="006A3F7F" w:rsidRDefault="005D7B35" w:rsidP="008312A6">
      <w:pPr>
        <w:autoSpaceDE w:val="0"/>
        <w:autoSpaceDN w:val="0"/>
        <w:adjustRightInd w:val="0"/>
        <w:spacing w:line="276" w:lineRule="auto"/>
        <w:ind w:firstLine="709"/>
        <w:jc w:val="both"/>
      </w:pPr>
      <w:r>
        <w:t xml:space="preserve"> </w:t>
      </w:r>
    </w:p>
    <w:p w:rsidR="006A3F7F" w:rsidRDefault="006A3F7F" w:rsidP="006A3F7F">
      <w:pPr>
        <w:pStyle w:val="tv213"/>
        <w:spacing w:before="0" w:beforeAutospacing="0" w:after="0" w:afterAutospacing="0" w:line="276" w:lineRule="auto"/>
        <w:jc w:val="center"/>
        <w:rPr>
          <w:b/>
        </w:rPr>
      </w:pPr>
      <w:r>
        <w:rPr>
          <w:b/>
        </w:rPr>
        <w:t>Motīvu daļa</w:t>
      </w:r>
    </w:p>
    <w:p w:rsidR="006A3F7F" w:rsidRDefault="006A3F7F" w:rsidP="006A3F7F">
      <w:pPr>
        <w:pStyle w:val="tv213"/>
        <w:spacing w:before="0" w:beforeAutospacing="0" w:after="0" w:afterAutospacing="0" w:line="276" w:lineRule="auto"/>
        <w:jc w:val="center"/>
      </w:pPr>
    </w:p>
    <w:p w:rsidR="002B6EA9" w:rsidRDefault="00AB2E11" w:rsidP="002B6EA9">
      <w:pPr>
        <w:spacing w:line="276" w:lineRule="auto"/>
        <w:jc w:val="both"/>
      </w:pPr>
      <w:r>
        <w:rPr>
          <w:lang w:eastAsia="lv-LV"/>
        </w:rPr>
        <w:t xml:space="preserve">            </w:t>
      </w:r>
      <w:r w:rsidR="008312A6">
        <w:t>[</w:t>
      </w:r>
      <w:r w:rsidR="00421651">
        <w:t>5</w:t>
      </w:r>
      <w:r w:rsidR="00D15B61">
        <w:t xml:space="preserve">] </w:t>
      </w:r>
      <w:r w:rsidR="006A570C">
        <w:t xml:space="preserve">Augstākā tiesa atzīst, ka </w:t>
      </w:r>
      <w:r w:rsidR="008312A6">
        <w:t>Rīgas</w:t>
      </w:r>
      <w:r w:rsidR="006A570C">
        <w:t xml:space="preserve"> apgabaltiesas 201</w:t>
      </w:r>
      <w:r w:rsidR="008312A6">
        <w:t>6</w:t>
      </w:r>
      <w:r w:rsidR="006A570C">
        <w:t xml:space="preserve">.gada </w:t>
      </w:r>
      <w:r w:rsidR="008312A6">
        <w:t>27</w:t>
      </w:r>
      <w:r w:rsidR="006A570C">
        <w:t>.</w:t>
      </w:r>
      <w:r w:rsidR="008312A6">
        <w:t>oktobra</w:t>
      </w:r>
      <w:r w:rsidR="006A570C">
        <w:t xml:space="preserve"> lēmums</w:t>
      </w:r>
      <w:r w:rsidR="00BD37BD">
        <w:t xml:space="preserve"> atstā</w:t>
      </w:r>
      <w:r w:rsidR="006A570C">
        <w:t>jams negrozīts, bet apsūdzētā</w:t>
      </w:r>
      <w:r w:rsidR="008312A6">
        <w:t xml:space="preserve"> </w:t>
      </w:r>
      <w:r w:rsidR="00415482">
        <w:t>[pers. A]</w:t>
      </w:r>
      <w:r w:rsidR="008312A6">
        <w:t xml:space="preserve"> un viņa aizstāves A. Bērziņas</w:t>
      </w:r>
      <w:r w:rsidR="006A570C">
        <w:t xml:space="preserve"> kasācijas sūdzība</w:t>
      </w:r>
      <w:r w:rsidR="008312A6">
        <w:t>s</w:t>
      </w:r>
      <w:r w:rsidR="006A570C">
        <w:t xml:space="preserve"> noraidāma</w:t>
      </w:r>
      <w:r w:rsidR="008312A6">
        <w:t>s</w:t>
      </w:r>
      <w:r w:rsidR="00BD37BD">
        <w:t>.</w:t>
      </w:r>
      <w:r w:rsidR="002B6EA9">
        <w:t xml:space="preserve"> </w:t>
      </w:r>
    </w:p>
    <w:p w:rsidR="00BD37BD" w:rsidRDefault="00487D71" w:rsidP="006878ED">
      <w:pPr>
        <w:spacing w:line="276" w:lineRule="auto"/>
        <w:ind w:firstLine="709"/>
        <w:jc w:val="both"/>
      </w:pPr>
      <w:r>
        <w:t>[</w:t>
      </w:r>
      <w:r w:rsidR="00421651">
        <w:t>5</w:t>
      </w:r>
      <w:r w:rsidR="00BD37BD">
        <w:t xml:space="preserve">.1] </w:t>
      </w:r>
      <w:r w:rsidR="00DB11BA">
        <w:t>Augstākā tiesa atzīst, ka</w:t>
      </w:r>
      <w:r w:rsidR="00BD37BD">
        <w:t xml:space="preserve"> apelācijas instances tiesa, iztiesājot lietu, nav pieļāvusi Krimināllikuma pārkāpumus un tādus Kriminālprocesa likuma pārkāpumus, kas varētu būt par pamatu apelācijas instances tiesas nolēmuma atcelšanai vai grozīšanai.</w:t>
      </w:r>
    </w:p>
    <w:p w:rsidR="001276D0" w:rsidRDefault="00A004C0" w:rsidP="00A004C0">
      <w:pPr>
        <w:tabs>
          <w:tab w:val="left" w:pos="709"/>
        </w:tabs>
        <w:spacing w:line="276" w:lineRule="auto"/>
        <w:ind w:firstLine="709"/>
        <w:jc w:val="both"/>
      </w:pPr>
      <w:r>
        <w:t xml:space="preserve">Apelācijas instances tiesa </w:t>
      </w:r>
      <w:r w:rsidR="006878ED">
        <w:t xml:space="preserve">atzinusi, ka pirmās instances tiesa, izlemjot apsūdzētajam </w:t>
      </w:r>
      <w:r w:rsidR="00415482">
        <w:t>[pers. A]</w:t>
      </w:r>
      <w:r w:rsidR="006878ED">
        <w:t xml:space="preserve"> celtās apsūdzības pamatotību, </w:t>
      </w:r>
      <w:r w:rsidR="001276D0">
        <w:t xml:space="preserve">pareizi novērtējusi lietā iegūtos pierādījumus un izdarījusi pamatotus secinājumus par apsūdzētā vainīgumu un viņa noziedzīgo darbību </w:t>
      </w:r>
      <w:r w:rsidR="001276D0">
        <w:lastRenderedPageBreak/>
        <w:t>kvalifikāciju pēc Krimināllikuma 116.panta, kā arī noteikusi apsūdzētajam sodu, kas atbilst izdarīt</w:t>
      </w:r>
      <w:r w:rsidR="00E71473">
        <w:t>ajam noziedzīgajam nodarījumam</w:t>
      </w:r>
      <w:r w:rsidR="001276D0">
        <w:t xml:space="preserve"> un apsūdzētā personībai.</w:t>
      </w:r>
    </w:p>
    <w:p w:rsidR="001276D0" w:rsidRDefault="001276D0" w:rsidP="00A004C0">
      <w:pPr>
        <w:tabs>
          <w:tab w:val="left" w:pos="709"/>
        </w:tabs>
        <w:spacing w:line="276" w:lineRule="auto"/>
        <w:ind w:firstLine="709"/>
        <w:jc w:val="both"/>
      </w:pPr>
      <w:r>
        <w:t>Ievērojot to, ka pirmās instances tiesas spriedums atstāts negrozīts, apelācijas instances tiesa atbilstoši Kriminālprocesa likuma 564.panta sestajai daļai atzinusi par iespējamu pirmās instances tiesas spriedumā minētos pierādījumus un atzinumus neatkārtot.</w:t>
      </w:r>
    </w:p>
    <w:p w:rsidR="00A004C0" w:rsidRDefault="001276D0" w:rsidP="002968B2">
      <w:pPr>
        <w:tabs>
          <w:tab w:val="left" w:pos="709"/>
        </w:tabs>
        <w:spacing w:line="276" w:lineRule="auto"/>
        <w:ind w:firstLine="709"/>
        <w:jc w:val="both"/>
      </w:pPr>
      <w:r>
        <w:t xml:space="preserve">Izvērtējusi apsūdzētā </w:t>
      </w:r>
      <w:r w:rsidR="00415482">
        <w:t>[pers. A]</w:t>
      </w:r>
      <w:r>
        <w:t xml:space="preserve"> apelācijas sūdzības argumentus par to, ka viņam nav bijis nodoma nonāvēt </w:t>
      </w:r>
      <w:r w:rsidR="00415482">
        <w:t>[pers. B]</w:t>
      </w:r>
      <w:r w:rsidR="00B372C3">
        <w:t xml:space="preserve">, tiesa atzinusi, ka apsūdzētā darbības pareizi kvalificētas pēc Krimināllikuma 116.panta kā slepkavība. Savus atzinumus šajā daļā tiesa pamatojusi ar liecinieku </w:t>
      </w:r>
      <w:r w:rsidR="00415482">
        <w:t>[pers. C]</w:t>
      </w:r>
      <w:r w:rsidR="00B372C3">
        <w:t xml:space="preserve">, </w:t>
      </w:r>
      <w:r w:rsidR="00415482">
        <w:t>[pers. D]</w:t>
      </w:r>
      <w:r w:rsidR="00B372C3">
        <w:t xml:space="preserve"> un </w:t>
      </w:r>
      <w:r w:rsidR="00415482">
        <w:t>[pers. E]</w:t>
      </w:r>
      <w:r w:rsidR="00B372C3">
        <w:t xml:space="preserve"> liecīb</w:t>
      </w:r>
      <w:r w:rsidR="002968B2">
        <w:t xml:space="preserve">ām, kuras atzinusi par ticamām, </w:t>
      </w:r>
      <w:r w:rsidR="00D66C3D">
        <w:t xml:space="preserve">norādot, ka </w:t>
      </w:r>
      <w:r w:rsidR="002968B2">
        <w:t>tās apstiprina un papildina cita citu, turklāt minētie liecinieki ir lietas iznākumā neieinteresētas personas, kurām ar apsūdzēto bija labas vai neitrālas attiecības.</w:t>
      </w:r>
      <w:r w:rsidR="00D66C3D">
        <w:t xml:space="preserve"> Tāpat a</w:t>
      </w:r>
      <w:r w:rsidR="002968B2">
        <w:t>pelācijas instanc</w:t>
      </w:r>
      <w:r w:rsidR="0009263E">
        <w:t>es tiesa norādījusi</w:t>
      </w:r>
      <w:r w:rsidR="004F0024">
        <w:t xml:space="preserve">, </w:t>
      </w:r>
      <w:r w:rsidR="002968B2">
        <w:t xml:space="preserve">ka </w:t>
      </w:r>
      <w:r w:rsidR="00D66C3D">
        <w:t xml:space="preserve">par apsūdzētā nodomu izdarīt </w:t>
      </w:r>
      <w:r w:rsidR="00415482">
        <w:t>[pers. B]</w:t>
      </w:r>
      <w:r w:rsidR="00D66C3D">
        <w:t xml:space="preserve"> slepkavību liecina gan pielietotās vardarbības veids un intensitāte, vairākk</w:t>
      </w:r>
      <w:r w:rsidR="004F0024">
        <w:t xml:space="preserve">ārt iesitot </w:t>
      </w:r>
      <w:r w:rsidR="00415482">
        <w:t>[pers. B]</w:t>
      </w:r>
      <w:r w:rsidR="004F0024">
        <w:t xml:space="preserve"> ar vienu </w:t>
      </w:r>
      <w:r w:rsidR="00D66C3D">
        <w:t>metru garu koka nūju, gan nodarīto miesas bo</w:t>
      </w:r>
      <w:r w:rsidR="004F0024">
        <w:t>j</w:t>
      </w:r>
      <w:r w:rsidR="00D66C3D">
        <w:t xml:space="preserve">ājumu daudzums, </w:t>
      </w:r>
      <w:r w:rsidR="004F0024">
        <w:t>gan to lokalizācija dzīvības funkciju nodrošināšanai svarīgā ķermeņa daļā – galvā. Pamatojoties uz lietā iegūtajiem pierād</w:t>
      </w:r>
      <w:r w:rsidR="0009263E">
        <w:t>ījumiem tiesa</w:t>
      </w:r>
      <w:r w:rsidR="004F0024">
        <w:t xml:space="preserve"> noraidīju</w:t>
      </w:r>
      <w:r w:rsidR="0009263E">
        <w:t>si</w:t>
      </w:r>
      <w:r w:rsidR="004F0024">
        <w:t xml:space="preserve"> apsūdzētā </w:t>
      </w:r>
      <w:r w:rsidR="00415482">
        <w:t>[pers. A]</w:t>
      </w:r>
      <w:r w:rsidR="004F0024">
        <w:t xml:space="preserve"> apgalvojumus par to, ka viņam nav bijis nodoma tīši nonāvēt </w:t>
      </w:r>
      <w:r w:rsidR="00415482">
        <w:t>[pers. B]</w:t>
      </w:r>
      <w:r w:rsidR="004F0024">
        <w:t>.</w:t>
      </w:r>
    </w:p>
    <w:p w:rsidR="004F0024" w:rsidRDefault="004F0024" w:rsidP="002968B2">
      <w:pPr>
        <w:tabs>
          <w:tab w:val="left" w:pos="709"/>
        </w:tabs>
        <w:spacing w:line="276" w:lineRule="auto"/>
        <w:ind w:firstLine="709"/>
        <w:jc w:val="both"/>
      </w:pPr>
      <w:r>
        <w:t xml:space="preserve">Augstākajai tiesai nav pamata apšaubīt </w:t>
      </w:r>
      <w:r w:rsidR="00C776B0">
        <w:t>šādus apelācijas instances tiesas atzinumus. Apelācijas instances tiesas lēmums atbilst Kriminālprocesa likuma 511., 512. un 564.panta ceturtās daļas prasībām, tajā izvērtēti lietā iegūtie pierādījumi un tiesas atzinumi pamatoti ar šiem pierādījumiem. Pierādījumi vērtēti to kopumā un savstarpējā sakarībā. Kasācijas instances tiesa atbilstoši Kriminālprocesa likuma 569.panta pirmajai un trešajai daļai krimināllietu pēc būtības neiztiesā, li</w:t>
      </w:r>
      <w:r w:rsidR="0043483D">
        <w:t>etas faktiskos apstākļus neskai</w:t>
      </w:r>
      <w:r w:rsidR="00C776B0">
        <w:t>dro un pierādījumus lietā no jauna neizvērtē. Kriminālprocesa likuma prasību pārkāpumus pierādījumu novērtēšanā apelācijas instances tiesā, kas varētu būt par pamatu tiesas nolēmumu atcelšanai, Augstākā tiesa nekonstatē. Savukārt apsūdzētā un viņa aizstāves viedoklis par citādu lietā iegūto pierādījumu novērtējumu, ja pierādījumu vē</w:t>
      </w:r>
      <w:r w:rsidR="001C24B8">
        <w:t>rtēšanā nav pieļauti Kriminālpr</w:t>
      </w:r>
      <w:r w:rsidR="00C776B0">
        <w:t>ocesa likuma pārkāpumi, nevar būt par pamatu tiesas nolēmuma atcelšanai.</w:t>
      </w:r>
    </w:p>
    <w:p w:rsidR="00C52B7A" w:rsidRDefault="0043483D" w:rsidP="00936486">
      <w:pPr>
        <w:tabs>
          <w:tab w:val="left" w:pos="709"/>
        </w:tabs>
        <w:spacing w:line="276" w:lineRule="auto"/>
        <w:ind w:firstLine="709"/>
        <w:jc w:val="both"/>
      </w:pPr>
      <w:r>
        <w:t>[</w:t>
      </w:r>
      <w:r w:rsidR="003473B1">
        <w:t>5</w:t>
      </w:r>
      <w:r>
        <w:t>.</w:t>
      </w:r>
      <w:r w:rsidR="003473B1">
        <w:t>2</w:t>
      </w:r>
      <w:r>
        <w:t xml:space="preserve">] </w:t>
      </w:r>
      <w:r w:rsidR="0009263E">
        <w:t>Pirmās instances tiesa, kuras sniegto pierādījumu vērtējumu apelācijas instances tiesa atzinusi par pareizu, ir izvērtējusi papildu stacionārās tiesu psihiatriskās ekspertīzes atzinumu un secinājusi, ka tā apšaubīšanai nav tiesiska pamata</w:t>
      </w:r>
      <w:r w:rsidR="00970EED">
        <w:t>.</w:t>
      </w:r>
      <w:r w:rsidR="005550F8">
        <w:t xml:space="preserve"> </w:t>
      </w:r>
    </w:p>
    <w:p w:rsidR="004F0024" w:rsidRDefault="00C52B7A" w:rsidP="00936486">
      <w:pPr>
        <w:tabs>
          <w:tab w:val="left" w:pos="709"/>
        </w:tabs>
        <w:spacing w:line="276" w:lineRule="auto"/>
        <w:ind w:firstLine="709"/>
        <w:jc w:val="both"/>
      </w:pPr>
      <w:r>
        <w:t>Augs</w:t>
      </w:r>
      <w:r w:rsidR="0043483D">
        <w:t>tākā tiesa atzīst par nepamatotie</w:t>
      </w:r>
      <w:r>
        <w:t xml:space="preserve">m apsūdzētā </w:t>
      </w:r>
      <w:r w:rsidR="00415482">
        <w:t>[pers. A]</w:t>
      </w:r>
      <w:r>
        <w:t xml:space="preserve"> kasācijas sūdzībā izteiktos apgalvojumus</w:t>
      </w:r>
      <w:r w:rsidR="00947503">
        <w:t xml:space="preserve"> par to</w:t>
      </w:r>
      <w:r>
        <w:t>, ka ekspertu atzin</w:t>
      </w:r>
      <w:r w:rsidR="0043483D">
        <w:t xml:space="preserve">ums ir neobjektīvs, jo </w:t>
      </w:r>
      <w:r>
        <w:t>eksperti nav ņēmuši vērā to, ka viņš bijis uzskaitē pie psihiatra</w:t>
      </w:r>
      <w:r w:rsidR="00947503">
        <w:t xml:space="preserve"> </w:t>
      </w:r>
      <w:r>
        <w:t>un ilgstoši lietojis dažādas</w:t>
      </w:r>
      <w:r w:rsidR="00947503">
        <w:t xml:space="preserve"> </w:t>
      </w:r>
      <w:r>
        <w:t xml:space="preserve">zāles. No tiesas lēmuma </w:t>
      </w:r>
      <w:r w:rsidR="005D04D2">
        <w:t xml:space="preserve">par papildu stacionārās ekspertīzes noteikšanu un no ekspertu atzinuma redzams, ka ekspertīzes veikšanai ekspertu rīcībā nodoti visi krimināllietas materiāli, </w:t>
      </w:r>
      <w:r w:rsidR="00415482">
        <w:t>[pers. A]</w:t>
      </w:r>
      <w:r w:rsidR="005D04D2">
        <w:t xml:space="preserve"> ambulatorā pacienta medicīniskā karte no Rīgas Centrālcietuma, </w:t>
      </w:r>
      <w:r w:rsidR="001E74B2">
        <w:t>[pers. A]</w:t>
      </w:r>
      <w:r w:rsidR="005D04D2">
        <w:t xml:space="preserve"> stacionārā slimnieka </w:t>
      </w:r>
      <w:r w:rsidR="0054406F">
        <w:t>medicīniskā</w:t>
      </w:r>
      <w:r w:rsidR="00D04CF1">
        <w:t>s</w:t>
      </w:r>
      <w:r w:rsidR="0054406F">
        <w:t xml:space="preserve"> karte</w:t>
      </w:r>
      <w:r w:rsidR="00D04CF1">
        <w:t>s</w:t>
      </w:r>
      <w:r w:rsidR="00947503">
        <w:t xml:space="preserve"> un slimības vēstures no Rīgas Psihiatrijas un narkoloģijas centra, </w:t>
      </w:r>
      <w:r w:rsidR="001E74B2">
        <w:t>[pers. A]</w:t>
      </w:r>
      <w:r w:rsidR="00947503">
        <w:t xml:space="preserve"> ambulatorā pacienta medicīniskā karte no ambulatorās aprūpes centra Pārdaugavā, kā arī iepriekš veikto tiesu psihiatrisko ekspertīžu rezultāti. </w:t>
      </w:r>
    </w:p>
    <w:p w:rsidR="004F0024" w:rsidRDefault="00AB72A5" w:rsidP="00936486">
      <w:pPr>
        <w:tabs>
          <w:tab w:val="left" w:pos="709"/>
        </w:tabs>
        <w:spacing w:line="276" w:lineRule="auto"/>
        <w:ind w:firstLine="709"/>
        <w:jc w:val="both"/>
      </w:pPr>
      <w:r>
        <w:t xml:space="preserve">Izskatāmās lietas ietvaros </w:t>
      </w:r>
      <w:r w:rsidR="001E74B2">
        <w:t>[pers. A]</w:t>
      </w:r>
      <w:r>
        <w:t xml:space="preserve"> veikta stacionārā tiesu psihiatriskā ekspertīze un papildu stacionārā tiesu psihiatriskā ekspertīze. Abās ekspertīzēs eksper</w:t>
      </w:r>
      <w:r w:rsidR="00AB6B2C">
        <w:t xml:space="preserve">tu komisijas sastāvā piedalījušies tiesu psihiatrijas eksperti </w:t>
      </w:r>
      <w:r w:rsidR="001E74B2">
        <w:t>[pers. G]</w:t>
      </w:r>
      <w:r w:rsidR="00AB6B2C">
        <w:t xml:space="preserve"> un </w:t>
      </w:r>
      <w:r w:rsidR="001E74B2">
        <w:t>[pers. H]</w:t>
      </w:r>
      <w:r>
        <w:t>.</w:t>
      </w:r>
      <w:r w:rsidR="0043483D">
        <w:t xml:space="preserve"> Augstākā tiesa norāda, ka minētais apstāklis pats par sevi nevar būt par pamatu, lai atzītu, ka </w:t>
      </w:r>
      <w:r w:rsidR="00AB6B2C">
        <w:t>minētie eksperti</w:t>
      </w:r>
      <w:r w:rsidR="0043483D">
        <w:t>, veicot</w:t>
      </w:r>
      <w:r w:rsidR="002C1F84">
        <w:t xml:space="preserve"> </w:t>
      </w:r>
      <w:r w:rsidR="00AB6B2C">
        <w:t>ekspertīzes, atradušies</w:t>
      </w:r>
      <w:r w:rsidR="0043483D">
        <w:t xml:space="preserve"> interešu konfliktā. Kriminālprocesa likuma 196.panta otrā daļa noteic, ka papildu </w:t>
      </w:r>
      <w:r w:rsidR="0043483D">
        <w:lastRenderedPageBreak/>
        <w:t>ekspertīzi var uzdot izdarīt tam pašam ekspertam. Nekā</w:t>
      </w:r>
      <w:r w:rsidR="000056E0">
        <w:t>d</w:t>
      </w:r>
      <w:r w:rsidR="0043483D">
        <w:t>us citus argumentus</w:t>
      </w:r>
      <w:r w:rsidR="000056E0">
        <w:t xml:space="preserve">, </w:t>
      </w:r>
      <w:r w:rsidR="002C1F84">
        <w:t xml:space="preserve">kas ļautu </w:t>
      </w:r>
      <w:r w:rsidR="000056E0">
        <w:t>ap</w:t>
      </w:r>
      <w:r w:rsidR="002C1F84">
        <w:t>šaubī</w:t>
      </w:r>
      <w:r w:rsidR="000056E0">
        <w:t xml:space="preserve">t </w:t>
      </w:r>
      <w:r w:rsidR="00AB6B2C">
        <w:t xml:space="preserve">ekspertu </w:t>
      </w:r>
      <w:r w:rsidR="001E74B2">
        <w:t>[pers. G]</w:t>
      </w:r>
      <w:r w:rsidR="00AB6B2C">
        <w:t xml:space="preserve"> un</w:t>
      </w:r>
      <w:r w:rsidR="000056E0">
        <w:t xml:space="preserve"> </w:t>
      </w:r>
      <w:r w:rsidR="001E74B2">
        <w:t>[pers. H]</w:t>
      </w:r>
      <w:r w:rsidR="000056E0">
        <w:t xml:space="preserve"> objektivitāti, apsūdzētais </w:t>
      </w:r>
      <w:r w:rsidR="001E74B2">
        <w:t>[pers. A]</w:t>
      </w:r>
      <w:r w:rsidR="000056E0">
        <w:t xml:space="preserve"> kasācijas sūdzībā nav norādījis. Savukārt apsūdzētā </w:t>
      </w:r>
      <w:r w:rsidR="002C1F84">
        <w:t xml:space="preserve">kasācijas sūdzībā izteiktie </w:t>
      </w:r>
      <w:r w:rsidR="000056E0">
        <w:t xml:space="preserve">apgalvojumi par to, ka </w:t>
      </w:r>
      <w:r w:rsidR="00AB6B2C">
        <w:t xml:space="preserve">viņš ekspertam </w:t>
      </w:r>
      <w:r w:rsidR="002C1F84">
        <w:t xml:space="preserve">vairākkārt pieteicis noraidījumu, neatbilst lietas materiāliem. </w:t>
      </w:r>
      <w:r w:rsidR="00230698">
        <w:t xml:space="preserve"> </w:t>
      </w:r>
    </w:p>
    <w:p w:rsidR="004F0024" w:rsidRDefault="002C1F84" w:rsidP="00936486">
      <w:pPr>
        <w:tabs>
          <w:tab w:val="left" w:pos="709"/>
        </w:tabs>
        <w:spacing w:line="276" w:lineRule="auto"/>
        <w:ind w:firstLine="709"/>
        <w:jc w:val="both"/>
      </w:pPr>
      <w:r>
        <w:t>[</w:t>
      </w:r>
      <w:r w:rsidR="00590A94">
        <w:t>5</w:t>
      </w:r>
      <w:r>
        <w:t>.3] Iepazinusies ar lietas materiāliem, tostarp tiesas sēžu</w:t>
      </w:r>
      <w:r w:rsidR="00E239B2">
        <w:t xml:space="preserve"> protokoliem un tiesas sēdes</w:t>
      </w:r>
      <w:r>
        <w:t xml:space="preserve"> ska</w:t>
      </w:r>
      <w:r w:rsidR="00E239B2">
        <w:t>ņu ierakstu</w:t>
      </w:r>
      <w:r>
        <w:t xml:space="preserve">, Augstākā tiesa secina, ka liecinieces </w:t>
      </w:r>
      <w:r w:rsidR="001E74B2">
        <w:t>[pers. C]</w:t>
      </w:r>
      <w:r>
        <w:t xml:space="preserve"> un apsūdzētā </w:t>
      </w:r>
      <w:r w:rsidR="001E74B2">
        <w:t>[pers. A]</w:t>
      </w:r>
      <w:r>
        <w:t xml:space="preserve"> liecības abu zemāko instanču tiesu nolēm</w:t>
      </w:r>
      <w:r w:rsidR="007836B8">
        <w:t>um</w:t>
      </w:r>
      <w:r>
        <w:t xml:space="preserve">os </w:t>
      </w:r>
      <w:r w:rsidR="00061CE2">
        <w:t xml:space="preserve">kopumā </w:t>
      </w:r>
      <w:r>
        <w:t>atspoguļotas pareizi, atbilstoši viņu liecin</w:t>
      </w:r>
      <w:r w:rsidR="007463AD">
        <w:t>ātajam tiesas sēdē.</w:t>
      </w:r>
      <w:r>
        <w:t xml:space="preserve"> Pretēji apsūdzētā </w:t>
      </w:r>
      <w:r w:rsidR="001E74B2">
        <w:t>[pers. A]</w:t>
      </w:r>
      <w:r>
        <w:t xml:space="preserve"> kasācijas sūdzībā norādītajam, </w:t>
      </w:r>
      <w:r w:rsidR="007463AD">
        <w:t xml:space="preserve">pirmās instances tiesa, kuras sniegto pierādījumu vērtējumu apelācijas instances tiesa atzinusi par pareizu, spriedumā ir izklāstījusi liecinieces </w:t>
      </w:r>
      <w:r w:rsidR="001E74B2">
        <w:t>[pers. C]</w:t>
      </w:r>
      <w:r w:rsidR="007463AD">
        <w:t xml:space="preserve"> liecības par to, ka brīdī, kad </w:t>
      </w:r>
      <w:r w:rsidR="001E74B2">
        <w:t>[pers. A]</w:t>
      </w:r>
      <w:r w:rsidR="00CD28B4">
        <w:t xml:space="preserve"> pienācis viņai klāt,</w:t>
      </w:r>
      <w:r w:rsidR="007463AD">
        <w:t xml:space="preserve"> viņš izskatījies tā, it kā nesaprastu, ko izdarījis, un teicis, ka jādodas mājās (</w:t>
      </w:r>
      <w:r w:rsidR="007463AD" w:rsidRPr="007463AD">
        <w:rPr>
          <w:i/>
        </w:rPr>
        <w:t>tiesas sprieduma</w:t>
      </w:r>
      <w:r w:rsidR="001F7D2E">
        <w:rPr>
          <w:i/>
        </w:rPr>
        <w:t xml:space="preserve"> 3.lapa</w:t>
      </w:r>
      <w:r w:rsidR="001F7D2E">
        <w:t>).</w:t>
      </w:r>
      <w:r w:rsidR="007463AD">
        <w:t xml:space="preserve"> </w:t>
      </w:r>
    </w:p>
    <w:p w:rsidR="00936486" w:rsidRDefault="00061CE2" w:rsidP="00061CE2">
      <w:pPr>
        <w:tabs>
          <w:tab w:val="left" w:pos="709"/>
        </w:tabs>
        <w:spacing w:line="276" w:lineRule="auto"/>
        <w:jc w:val="both"/>
      </w:pPr>
      <w:r>
        <w:t xml:space="preserve">            </w:t>
      </w:r>
      <w:r w:rsidR="004F0024">
        <w:t xml:space="preserve"> </w:t>
      </w:r>
      <w:r w:rsidR="002E30D4">
        <w:t>[</w:t>
      </w:r>
      <w:r w:rsidR="00590A94">
        <w:t>5</w:t>
      </w:r>
      <w:r w:rsidR="003450A8">
        <w:t>.4</w:t>
      </w:r>
      <w:r w:rsidR="002E30D4">
        <w:t>] Augstākā tiesa atzī</w:t>
      </w:r>
      <w:r w:rsidR="00D46ADF">
        <w:t>st</w:t>
      </w:r>
      <w:r w:rsidR="003450A8">
        <w:t xml:space="preserve"> par nepamatotiem</w:t>
      </w:r>
      <w:r>
        <w:t xml:space="preserve"> </w:t>
      </w:r>
      <w:r w:rsidR="00F245B5">
        <w:t>apsūdzētā un viņa aizstāves kasācijas sūdzīb</w:t>
      </w:r>
      <w:r>
        <w:t xml:space="preserve">ās norādītos apgalvojumus </w:t>
      </w:r>
      <w:r w:rsidR="007C4BE1">
        <w:t>par to, ka</w:t>
      </w:r>
      <w:r w:rsidR="003450A8">
        <w:t xml:space="preserve"> tiesa, nenopratinot tiesas sēdē apsūdzības </w:t>
      </w:r>
      <w:r w:rsidR="007C4BE1">
        <w:t xml:space="preserve">lieciniekus </w:t>
      </w:r>
      <w:r w:rsidR="001E74B2">
        <w:t>[pers. D]</w:t>
      </w:r>
      <w:r w:rsidR="007C4BE1">
        <w:t xml:space="preserve"> un </w:t>
      </w:r>
      <w:r w:rsidR="001E74B2">
        <w:t>[pers. E]</w:t>
      </w:r>
      <w:r w:rsidR="003450A8">
        <w:t xml:space="preserve">, pārkāpusi </w:t>
      </w:r>
      <w:r w:rsidR="007C4BE1">
        <w:t>apsūdzētā Eiropas Cilvēk</w:t>
      </w:r>
      <w:r w:rsidR="003450A8">
        <w:t xml:space="preserve">a </w:t>
      </w:r>
      <w:r w:rsidR="007C4BE1">
        <w:t xml:space="preserve">tiesību un pamatbrīvību </w:t>
      </w:r>
      <w:r w:rsidR="006738CE">
        <w:t xml:space="preserve">aizsardzības konvencijas 6.panta </w:t>
      </w:r>
      <w:r w:rsidR="0095224C">
        <w:t>trešās daļas d) apakšpunktu.</w:t>
      </w:r>
    </w:p>
    <w:p w:rsidR="003956C2" w:rsidRDefault="0095224C" w:rsidP="003956C2">
      <w:pPr>
        <w:spacing w:line="276" w:lineRule="auto"/>
        <w:jc w:val="both"/>
      </w:pPr>
      <w:r>
        <w:t xml:space="preserve">            </w:t>
      </w:r>
      <w:r w:rsidR="003450A8">
        <w:t xml:space="preserve"> </w:t>
      </w:r>
      <w:r w:rsidR="007C4BE1">
        <w:t>[</w:t>
      </w:r>
      <w:r w:rsidR="00590A94">
        <w:t>5</w:t>
      </w:r>
      <w:r w:rsidR="003450A8">
        <w:t>.4</w:t>
      </w:r>
      <w:r w:rsidR="00AB2E11">
        <w:t>.1]</w:t>
      </w:r>
      <w:r w:rsidR="003956C2">
        <w:t xml:space="preserve"> Eiropas Cilvēktiesību tiesa savos nolēmumos vairākkārt norādījusi, ka Eiropas Cilvēk</w:t>
      </w:r>
      <w:r w:rsidR="00703ACE">
        <w:t xml:space="preserve">a </w:t>
      </w:r>
      <w:r w:rsidR="003956C2">
        <w:t xml:space="preserve">tiesību un pamatbrīvību aizsardzības konvencijas 6.panta trešās daļas d) apakšpunkts paredz principu, ka pirms apsūdzētā notiesāšanas visi pierādījumi pret viņu parasti jāuzrāda viņa klātbūtnē publiskā tiesas sēdē. Vienlaikus pirmstiesas izmeklēšanas gaitā iegūto liecību izmantošana par pierādījumiem kā tāda </w:t>
      </w:r>
      <w:r w:rsidR="00D04CF1">
        <w:t>nav pretrunā ar 6.panta trešās daļas</w:t>
      </w:r>
      <w:r w:rsidR="003956C2">
        <w:t xml:space="preserve"> d) apakšpunktu pie nosacījuma, ka tiek ievērotas aizstāvības intereses. Parasti šīs intereses pieprasa, lai apsūdzētajam būtu dotas adekvātas un atbilstošas iespējas apšaubīt un nopratināt apsūdzības liecinieku viņa liecību sniegšanas laikā vai arī vēlākā tiesvedības posmā (</w:t>
      </w:r>
      <w:r w:rsidR="003956C2">
        <w:rPr>
          <w:i/>
        </w:rPr>
        <w:t>sk. Eiropas Cilvēktiesību tiesas 1991.gada 26.aprīļa sprieduma lietā Asch pret Austriju 27.rindkopu, 2006.gada 16.novembra nolēmuma lietā  Klimentyev pret Krieviju 124.rindkopu</w:t>
      </w:r>
      <w:r w:rsidR="003956C2">
        <w:t>). Gadījumā, ja nopratināt lieciniekus ir neiespējami tāpēc, ka viņus nav iespējams atrast, atbildīgajām iestādēm, tostarp tiesai, ir jāpieliek saprātīgas pūles, lai nodrošinātu šo liecinieku klātbūtni (</w:t>
      </w:r>
      <w:r w:rsidR="002823A6">
        <w:rPr>
          <w:i/>
        </w:rPr>
        <w:t>sk. </w:t>
      </w:r>
      <w:r w:rsidR="003956C2">
        <w:rPr>
          <w:i/>
        </w:rPr>
        <w:t>Eiropas Cilvēktiesību tiesas 2003.gada 13.novembra sprieduma lietā Rachdad pret Franciju 25.rindkopu, 2006.gada 8.jūnija sprieduma lietā Bonev pret Bulgāriju 43.rindkopu)</w:t>
      </w:r>
      <w:r w:rsidR="003956C2">
        <w:t>.</w:t>
      </w:r>
    </w:p>
    <w:p w:rsidR="003956C2" w:rsidRDefault="003956C2" w:rsidP="003956C2">
      <w:pPr>
        <w:spacing w:line="276" w:lineRule="auto"/>
        <w:jc w:val="both"/>
      </w:pPr>
      <w:r>
        <w:t xml:space="preserve">            Tādējādi viena no prasībām, kas izriet no iepriekšminētā vispārējā principa, ir tā, ka</w:t>
      </w:r>
      <w:r w:rsidR="00021799">
        <w:t xml:space="preserve"> gadījumā, ja liecinieks uz tiesas sēdi nav ieradies, </w:t>
      </w:r>
      <w:r>
        <w:t xml:space="preserve"> jāpastāv pamatotam liecinieka neierašanās iemeslam.</w:t>
      </w:r>
    </w:p>
    <w:p w:rsidR="003863E9" w:rsidRDefault="003956C2" w:rsidP="003956C2">
      <w:pPr>
        <w:spacing w:line="276" w:lineRule="auto"/>
        <w:jc w:val="both"/>
      </w:pPr>
      <w:r>
        <w:t xml:space="preserve">            [</w:t>
      </w:r>
      <w:r w:rsidR="00590A94">
        <w:t>5</w:t>
      </w:r>
      <w:r>
        <w:t xml:space="preserve">.4.2] </w:t>
      </w:r>
      <w:r w:rsidR="00116853">
        <w:t>No lietas materiāliem redzams, ka pirmās</w:t>
      </w:r>
      <w:r>
        <w:t xml:space="preserve"> instances tiesa vairākkārt sūtījusi </w:t>
      </w:r>
      <w:r w:rsidR="00116853">
        <w:t xml:space="preserve">lieciniekiem </w:t>
      </w:r>
      <w:r w:rsidR="001E74B2">
        <w:t>[pers. D]</w:t>
      </w:r>
      <w:r w:rsidR="00116853">
        <w:t xml:space="preserve"> un </w:t>
      </w:r>
      <w:r w:rsidR="001E74B2">
        <w:t>[pers. E]</w:t>
      </w:r>
      <w:r>
        <w:t xml:space="preserve"> pav</w:t>
      </w:r>
      <w:r w:rsidR="00FD7F72">
        <w:t>ēstes</w:t>
      </w:r>
      <w:r w:rsidR="00116853">
        <w:t xml:space="preserve">, gan </w:t>
      </w:r>
      <w:r>
        <w:t xml:space="preserve">vairākkārt </w:t>
      </w:r>
      <w:r w:rsidR="00116853">
        <w:t xml:space="preserve">piemērojusi </w:t>
      </w:r>
      <w:r>
        <w:t xml:space="preserve">viņiem </w:t>
      </w:r>
      <w:r w:rsidR="00116853">
        <w:t>piespiedu atve</w:t>
      </w:r>
      <w:r>
        <w:t>šanu</w:t>
      </w:r>
      <w:r w:rsidR="00F710CC">
        <w:t xml:space="preserve">, taču </w:t>
      </w:r>
      <w:r w:rsidR="00116853">
        <w:t>liecinieki uz tiesu nav ieradušies, bet viņu piespiedu atvešan</w:t>
      </w:r>
      <w:r w:rsidR="00F710CC">
        <w:t>u nav bijis iespējams īstenot</w:t>
      </w:r>
      <w:r w:rsidR="00116853">
        <w:t>, jo nevienā</w:t>
      </w:r>
      <w:r w:rsidR="00F710CC">
        <w:t xml:space="preserve"> no norādītajām adresēm liecinieki</w:t>
      </w:r>
      <w:r w:rsidR="00116853">
        <w:t xml:space="preserve"> </w:t>
      </w:r>
      <w:r w:rsidR="00F710CC">
        <w:t>nebija sastopami</w:t>
      </w:r>
      <w:r w:rsidR="00116853">
        <w:t xml:space="preserve"> (</w:t>
      </w:r>
      <w:r w:rsidR="00116853">
        <w:rPr>
          <w:i/>
        </w:rPr>
        <w:t xml:space="preserve">1.sējuma 275., 280.lapa; </w:t>
      </w:r>
      <w:r w:rsidR="00256692">
        <w:rPr>
          <w:i/>
        </w:rPr>
        <w:t>2.sējuma 114., 134., 139., 164., 174.lapa</w:t>
      </w:r>
      <w:r w:rsidR="00256692">
        <w:t>). Turklāt pirmās instances tiesa nolūkā noskaidrot liecinieku atrašanās vietu, pamatojoties uz prokurores tiesas sēdē norādītajām ziņām, pieprasījusi informāciju no VSIA ,,Rīgas psihiatrijas un narkoloģijas centrs”</w:t>
      </w:r>
      <w:r w:rsidR="00BB72DC">
        <w:t xml:space="preserve"> par to,</w:t>
      </w:r>
      <w:r w:rsidR="00256692">
        <w:t xml:space="preserve"> vai liecinieki piedalās Metadona un Buprenorfīna programmā (</w:t>
      </w:r>
      <w:r w:rsidR="00256692">
        <w:rPr>
          <w:i/>
        </w:rPr>
        <w:t>2.sējuma 110.lapa</w:t>
      </w:r>
      <w:r w:rsidR="00256692">
        <w:t xml:space="preserve">). </w:t>
      </w:r>
      <w:r w:rsidR="00F710CC">
        <w:t xml:space="preserve">Uz tiesas </w:t>
      </w:r>
      <w:r w:rsidR="006E7888">
        <w:t xml:space="preserve">pieprasījumu no VSIA ,,Rīgas psihiatrijas un narkoloģijas centrs” </w:t>
      </w:r>
      <w:r w:rsidR="00F710CC">
        <w:t xml:space="preserve">tika </w:t>
      </w:r>
      <w:r w:rsidR="006E7888">
        <w:t xml:space="preserve">saņemta atbilde par liecinieku </w:t>
      </w:r>
      <w:r w:rsidR="001E74B2">
        <w:t>[pers. D]</w:t>
      </w:r>
      <w:r w:rsidR="006E7888">
        <w:t xml:space="preserve"> un </w:t>
      </w:r>
      <w:r w:rsidR="001E74B2">
        <w:t>[pers. E]</w:t>
      </w:r>
      <w:r w:rsidR="00F710CC">
        <w:t xml:space="preserve"> ārstēšanās gaitu. Minētajā atbildē tika </w:t>
      </w:r>
      <w:r w:rsidR="006E7888">
        <w:t>norād</w:t>
      </w:r>
      <w:r w:rsidR="00F335B9">
        <w:t>īta</w:t>
      </w:r>
      <w:r w:rsidR="006E7888">
        <w:t xml:space="preserve"> liecinie</w:t>
      </w:r>
      <w:r w:rsidR="0040050E">
        <w:t xml:space="preserve">ces </w:t>
      </w:r>
      <w:r w:rsidR="001E74B2">
        <w:t>[pers. E]</w:t>
      </w:r>
      <w:r w:rsidR="0040050E">
        <w:t xml:space="preserve"> adrese</w:t>
      </w:r>
      <w:r w:rsidR="006E7888">
        <w:t>, k</w:t>
      </w:r>
      <w:r w:rsidR="00F710CC">
        <w:t>ura iepriekš tiesai nebija zināma</w:t>
      </w:r>
      <w:r w:rsidR="006E7888">
        <w:t xml:space="preserve"> (</w:t>
      </w:r>
      <w:r w:rsidR="006E7888">
        <w:rPr>
          <w:i/>
        </w:rPr>
        <w:t>2.sējuma 117., 118.lapa</w:t>
      </w:r>
      <w:r w:rsidR="006E7888">
        <w:t>).</w:t>
      </w:r>
      <w:r w:rsidR="0040050E">
        <w:t xml:space="preserve"> Uz nākamo tiesas sēdi tiesa atkārtoti</w:t>
      </w:r>
      <w:r w:rsidR="00F710CC">
        <w:t xml:space="preserve"> piemērojusi lieciniekiem </w:t>
      </w:r>
      <w:r w:rsidR="001E74B2">
        <w:t>[pers. D]</w:t>
      </w:r>
      <w:r w:rsidR="00F710CC">
        <w:t xml:space="preserve"> un</w:t>
      </w:r>
      <w:r w:rsidR="0040050E">
        <w:t xml:space="preserve"> </w:t>
      </w:r>
      <w:r w:rsidR="001E74B2">
        <w:t>[pers. E]</w:t>
      </w:r>
      <w:r w:rsidR="00F710CC">
        <w:t xml:space="preserve"> piespiedu atvešanu, taču </w:t>
      </w:r>
      <w:r w:rsidR="00F710CC">
        <w:lastRenderedPageBreak/>
        <w:t>norādītajās dzīvesvietās liecinieki nebija sastopami</w:t>
      </w:r>
      <w:r w:rsidR="0040050E">
        <w:t xml:space="preserve">, tāpēc viņu </w:t>
      </w:r>
      <w:r w:rsidR="00F710CC">
        <w:t>piespiedu atvešanu nebija iespējams nodrošināt</w:t>
      </w:r>
      <w:r w:rsidR="007F19C6">
        <w:t xml:space="preserve">. </w:t>
      </w:r>
      <w:r w:rsidR="00F710CC">
        <w:t xml:space="preserve">Par liecinieci </w:t>
      </w:r>
      <w:r w:rsidR="001E74B2">
        <w:t xml:space="preserve">[pers. E] </w:t>
      </w:r>
      <w:r w:rsidR="007F19C6">
        <w:t xml:space="preserve">no policijas saņemta informācija, ka norādītajā adresē </w:t>
      </w:r>
      <w:r w:rsidR="00F710CC">
        <w:t xml:space="preserve">tika </w:t>
      </w:r>
      <w:r w:rsidR="00FD7F72">
        <w:t xml:space="preserve">sastapta liecinieces māte, kura </w:t>
      </w:r>
      <w:r w:rsidR="00A550CA">
        <w:t>paskaidroja</w:t>
      </w:r>
      <w:r w:rsidR="007F19C6">
        <w:t>, ka lieciniece</w:t>
      </w:r>
      <w:r w:rsidR="002E6E56">
        <w:t xml:space="preserve"> pēdējos divus mēnešus dzīvo Ķengaragā</w:t>
      </w:r>
      <w:r w:rsidR="00CE0792">
        <w:t xml:space="preserve"> pie sava drauga, </w:t>
      </w:r>
      <w:r w:rsidR="002E6E56">
        <w:t>kura precīza adrese nav zin</w:t>
      </w:r>
      <w:r w:rsidR="00CE0792">
        <w:t>āma (</w:t>
      </w:r>
      <w:r w:rsidR="00CE0792">
        <w:rPr>
          <w:i/>
        </w:rPr>
        <w:t>2.sējuma 174.lapa</w:t>
      </w:r>
      <w:r w:rsidR="00FA0F2D">
        <w:t>).</w:t>
      </w:r>
      <w:r w:rsidR="006A2A8D">
        <w:t xml:space="preserve"> </w:t>
      </w:r>
    </w:p>
    <w:p w:rsidR="00FD7F72" w:rsidRDefault="00FD7F72" w:rsidP="00936486">
      <w:pPr>
        <w:tabs>
          <w:tab w:val="left" w:pos="709"/>
        </w:tabs>
        <w:spacing w:line="276" w:lineRule="auto"/>
        <w:ind w:firstLine="709"/>
        <w:jc w:val="both"/>
      </w:pPr>
      <w:r>
        <w:t xml:space="preserve">Pastāvot šādiem apstākļiem, pirmās instances tiesa </w:t>
      </w:r>
      <w:r w:rsidR="006A2A8D">
        <w:t>2015.gada 20.aprīļa tie</w:t>
      </w:r>
      <w:r>
        <w:t xml:space="preserve">sas sēdē </w:t>
      </w:r>
      <w:r w:rsidR="006A2A8D">
        <w:t xml:space="preserve">atzinusi, ka </w:t>
      </w:r>
      <w:r>
        <w:t>tiesas process ilgstoši tiek kavēts</w:t>
      </w:r>
      <w:r w:rsidR="006A2A8D">
        <w:t>,</w:t>
      </w:r>
      <w:r>
        <w:t xml:space="preserve"> tiesas iespējas liecinieku </w:t>
      </w:r>
      <w:r w:rsidR="006A2A8D">
        <w:t xml:space="preserve">nogādāšanai uz tiesu ir izsmeltas, </w:t>
      </w:r>
      <w:r w:rsidR="00F0498F">
        <w:t xml:space="preserve">un ir pamats atzīt, ka liecinieki </w:t>
      </w:r>
      <w:r w:rsidR="00880B51">
        <w:t>[pers. D]</w:t>
      </w:r>
      <w:r w:rsidR="00F0498F">
        <w:t xml:space="preserve"> un </w:t>
      </w:r>
      <w:r w:rsidR="00880B51">
        <w:t>[pers. E]</w:t>
      </w:r>
      <w:r>
        <w:t xml:space="preserve"> izvairās no ierašanās tiesā. </w:t>
      </w:r>
    </w:p>
    <w:p w:rsidR="007C3DFC" w:rsidRDefault="00FD7F72" w:rsidP="00936486">
      <w:pPr>
        <w:tabs>
          <w:tab w:val="left" w:pos="709"/>
        </w:tabs>
        <w:spacing w:line="276" w:lineRule="auto"/>
        <w:ind w:firstLine="709"/>
        <w:jc w:val="both"/>
      </w:pPr>
      <w:r>
        <w:t xml:space="preserve">Ievērojot minēto, pirmās instances tiesa, pamatojoties uz </w:t>
      </w:r>
      <w:r w:rsidR="00F0498F">
        <w:t>Kriminālpr</w:t>
      </w:r>
      <w:r>
        <w:t xml:space="preserve">ocesa likuma 501.panta 4.punktu, </w:t>
      </w:r>
      <w:r w:rsidR="00A550CA">
        <w:t xml:space="preserve">nolasījusi </w:t>
      </w:r>
      <w:r>
        <w:t xml:space="preserve">liecinieku </w:t>
      </w:r>
      <w:r w:rsidR="00880B51">
        <w:t>[pers. D]</w:t>
      </w:r>
      <w:r>
        <w:t xml:space="preserve"> un </w:t>
      </w:r>
      <w:r w:rsidR="00880B51">
        <w:t>[pers. E]</w:t>
      </w:r>
      <w:r w:rsidR="00A550CA">
        <w:t xml:space="preserve"> pirmstiesas kriminālprocesā sniegtās liecības</w:t>
      </w:r>
      <w:r>
        <w:t xml:space="preserve"> </w:t>
      </w:r>
      <w:r w:rsidR="00075E03">
        <w:t xml:space="preserve"> (</w:t>
      </w:r>
      <w:r w:rsidR="00075E03">
        <w:rPr>
          <w:i/>
        </w:rPr>
        <w:t>2.sējuma 152.lapa</w:t>
      </w:r>
      <w:r w:rsidR="00075E03">
        <w:t>).</w:t>
      </w:r>
    </w:p>
    <w:p w:rsidR="00A550CA" w:rsidRDefault="00A550CA" w:rsidP="00A550CA">
      <w:pPr>
        <w:tabs>
          <w:tab w:val="left" w:pos="709"/>
        </w:tabs>
        <w:spacing w:line="276" w:lineRule="auto"/>
        <w:ind w:firstLine="709"/>
        <w:jc w:val="both"/>
      </w:pPr>
      <w:r>
        <w:t>[</w:t>
      </w:r>
      <w:r w:rsidR="00590A94">
        <w:t>5</w:t>
      </w:r>
      <w:r>
        <w:t>.4.3</w:t>
      </w:r>
      <w:r w:rsidR="007C3DFC">
        <w:t xml:space="preserve">] </w:t>
      </w:r>
      <w:r w:rsidR="00CB213A">
        <w:t>No lietas materiāliem redzams, ka arī apelācijas instances tiesa pēc apsūdzētā</w:t>
      </w:r>
      <w:r w:rsidR="009E5C5B">
        <w:t xml:space="preserve"> </w:t>
      </w:r>
      <w:r w:rsidR="00880B51">
        <w:t>[pers. A]</w:t>
      </w:r>
      <w:r w:rsidR="00CB213A">
        <w:t xml:space="preserve"> lūguma nodrošināt liecinieku </w:t>
      </w:r>
      <w:r w:rsidR="00880B51">
        <w:t>[pers. D]</w:t>
      </w:r>
      <w:r w:rsidR="00CB213A">
        <w:t xml:space="preserve"> un </w:t>
      </w:r>
      <w:r w:rsidR="00880B51">
        <w:t>[pers. E]</w:t>
      </w:r>
      <w:r w:rsidR="00CB213A">
        <w:t xml:space="preserve"> klātbūtni li</w:t>
      </w:r>
      <w:r w:rsidR="00FD7F72">
        <w:t xml:space="preserve">etas izskatīšanā vairākkārt sūtījusi </w:t>
      </w:r>
      <w:r w:rsidR="00CB213A">
        <w:t>minētajiem lieciniekiem</w:t>
      </w:r>
      <w:r w:rsidR="00FD7F72">
        <w:t xml:space="preserve"> pavēstes</w:t>
      </w:r>
      <w:r>
        <w:t xml:space="preserve"> un vairākkārt </w:t>
      </w:r>
      <w:r w:rsidR="00CB213A">
        <w:t>piemērojusi piespiedu atvešanu</w:t>
      </w:r>
      <w:r>
        <w:t xml:space="preserve">, taču </w:t>
      </w:r>
      <w:r w:rsidR="00232EAB">
        <w:t>liecinieki uz tiesu nav ieradušies, bet viņu piespiedu atvešanu nav bijis i</w:t>
      </w:r>
      <w:r>
        <w:t>espējams īstenot</w:t>
      </w:r>
      <w:r w:rsidR="00232EAB">
        <w:t>, jo nevienā</w:t>
      </w:r>
      <w:r>
        <w:t xml:space="preserve"> no norādītajām adresēm liecinieki nebija sastopami</w:t>
      </w:r>
      <w:r w:rsidR="00232EAB">
        <w:t xml:space="preserve"> </w:t>
      </w:r>
      <w:r w:rsidR="00D26A5E">
        <w:t>(</w:t>
      </w:r>
      <w:r w:rsidR="00D26A5E">
        <w:rPr>
          <w:i/>
        </w:rPr>
        <w:t xml:space="preserve">3.sējuma </w:t>
      </w:r>
      <w:r w:rsidR="00732164">
        <w:rPr>
          <w:i/>
        </w:rPr>
        <w:t>36., 89., 99.lapa</w:t>
      </w:r>
      <w:r>
        <w:t xml:space="preserve">). Turklāt lietas materiāliem pievienoti pasta </w:t>
      </w:r>
      <w:r w:rsidR="00732164">
        <w:t>paziņojum</w:t>
      </w:r>
      <w:r w:rsidR="00FB7DB5">
        <w:t>i</w:t>
      </w:r>
      <w:r w:rsidR="00732164">
        <w:t xml:space="preserve"> ar liecinieka </w:t>
      </w:r>
      <w:r w:rsidR="00880B51">
        <w:t>[pers. D]</w:t>
      </w:r>
      <w:r w:rsidR="00732164">
        <w:t xml:space="preserve"> parakstu par tiesas pavēstes saņemšanu uz divām tiesas sēdēm (</w:t>
      </w:r>
      <w:r w:rsidR="00732164">
        <w:rPr>
          <w:i/>
        </w:rPr>
        <w:t>3.sējuma 25., 62.lapa</w:t>
      </w:r>
      <w:r>
        <w:t>), taču</w:t>
      </w:r>
      <w:r w:rsidR="00732164">
        <w:t xml:space="preserve"> liecinieks, būdams informēts par tiesas sēžu lai</w:t>
      </w:r>
      <w:r>
        <w:t>ku un vietu, uz tiesu neieradās un par savas neierašanās iemesliem tiesai nav ziņojis</w:t>
      </w:r>
      <w:r w:rsidR="00732164">
        <w:t xml:space="preserve">. Savukārt lieciniecei </w:t>
      </w:r>
      <w:r w:rsidR="00880B51">
        <w:t>[pers. E]</w:t>
      </w:r>
      <w:r w:rsidR="00732164">
        <w:t xml:space="preserve"> 2016.gada 19.maijā izsniegta pavēste par ierašanos tiesā 2016.gada 6.jūnijā, ko apliecina viņas paraksts (</w:t>
      </w:r>
      <w:r w:rsidR="00732164">
        <w:rPr>
          <w:i/>
        </w:rPr>
        <w:t>3.sējuma 79.lapa</w:t>
      </w:r>
      <w:r>
        <w:t>), taču</w:t>
      </w:r>
      <w:r w:rsidR="00732164">
        <w:t xml:space="preserve"> lieciniece, būdama informēta par tiesas sēdes laiku un</w:t>
      </w:r>
      <w:r>
        <w:t xml:space="preserve"> vietu, uz tiesu neieradās un par savas neierašanās iemesliem nav ziņojusi. </w:t>
      </w:r>
      <w:r w:rsidR="00C33385">
        <w:t>2016.gada 27.oktobra tiesas sēdē</w:t>
      </w:r>
      <w:r w:rsidR="00C2328F">
        <w:t xml:space="preserve"> prokurore norādīja, ka pārbaudījusi datus p</w:t>
      </w:r>
      <w:r w:rsidR="000536D2">
        <w:t xml:space="preserve">ar lieciniekiem </w:t>
      </w:r>
      <w:r w:rsidR="00880B51">
        <w:t>[pers. D]</w:t>
      </w:r>
      <w:r w:rsidR="000536D2">
        <w:t xml:space="preserve"> un </w:t>
      </w:r>
      <w:r w:rsidR="00880B51">
        <w:t>[pers. E]</w:t>
      </w:r>
      <w:r>
        <w:t xml:space="preserve"> Informācijas centra datu bāzē</w:t>
      </w:r>
      <w:r w:rsidR="00C2328F">
        <w:t xml:space="preserve"> un pārliecinājusies, ka neviena no norādītajām p</w:t>
      </w:r>
      <w:r>
        <w:t>ersonām neatrodas apcietinājumā. Lieciniecei</w:t>
      </w:r>
      <w:r w:rsidR="00C2328F">
        <w:t xml:space="preserve"> </w:t>
      </w:r>
      <w:r w:rsidR="00880B51">
        <w:t>[pers. E]</w:t>
      </w:r>
      <w:r w:rsidR="00C2328F">
        <w:t xml:space="preserve"> citā kriminālprocesā piemērots drošības līdzeklis – nodošana policijas uzraudzībā, taču, sazinoties</w:t>
      </w:r>
      <w:r>
        <w:t xml:space="preserve"> ar </w:t>
      </w:r>
      <w:r w:rsidR="00C2328F">
        <w:t>atbild</w:t>
      </w:r>
      <w:r w:rsidR="00F22AA9">
        <w:t>īgo</w:t>
      </w:r>
      <w:r w:rsidR="00C2328F">
        <w:t xml:space="preserve"> policijas darbinieku, noskaidrots, ka </w:t>
      </w:r>
      <w:r w:rsidR="00880B51">
        <w:t>[pers. E]</w:t>
      </w:r>
      <w:r>
        <w:t xml:space="preserve"> </w:t>
      </w:r>
      <w:r w:rsidR="00C2328F">
        <w:t>uz reģistrāciju policijas iecirknī</w:t>
      </w:r>
      <w:r>
        <w:t xml:space="preserve"> ne reizi nav ieradusies.</w:t>
      </w:r>
    </w:p>
    <w:p w:rsidR="003863E9" w:rsidRDefault="00C2328F" w:rsidP="00A550CA">
      <w:pPr>
        <w:tabs>
          <w:tab w:val="left" w:pos="709"/>
        </w:tabs>
        <w:spacing w:line="276" w:lineRule="auto"/>
        <w:ind w:firstLine="709"/>
        <w:jc w:val="both"/>
      </w:pPr>
      <w:r>
        <w:t xml:space="preserve">Ievērojot minēto, </w:t>
      </w:r>
      <w:r w:rsidR="000536D2">
        <w:t xml:space="preserve">apelācijas instances </w:t>
      </w:r>
      <w:r>
        <w:t>tiesa atzina, ka liecinieki</w:t>
      </w:r>
      <w:r w:rsidR="000536D2">
        <w:t xml:space="preserve"> </w:t>
      </w:r>
      <w:r w:rsidR="00880B51">
        <w:t>[pers. D]</w:t>
      </w:r>
      <w:r w:rsidR="000536D2">
        <w:t xml:space="preserve"> un </w:t>
      </w:r>
      <w:r w:rsidR="00880B51">
        <w:t>[pers. E]</w:t>
      </w:r>
      <w:r>
        <w:t xml:space="preserve"> izvairās no</w:t>
      </w:r>
      <w:r w:rsidR="000536D2">
        <w:t xml:space="preserve"> ierašanās tiesā, un, pamatojoties uz </w:t>
      </w:r>
      <w:r>
        <w:t>Kriminālprocesa likuma 501.panta 4.punktu</w:t>
      </w:r>
      <w:r w:rsidR="000536D2">
        <w:t xml:space="preserve">, </w:t>
      </w:r>
      <w:r>
        <w:t xml:space="preserve"> nolasīja liecinieku </w:t>
      </w:r>
      <w:r w:rsidR="000536D2">
        <w:t>pirmstiesas kriminālprocesa laikā sniegtās liecības</w:t>
      </w:r>
      <w:r>
        <w:t xml:space="preserve"> (</w:t>
      </w:r>
      <w:r>
        <w:rPr>
          <w:i/>
        </w:rPr>
        <w:t>tiesas sēdes audio protokols – 3.sējuma 104.lapa</w:t>
      </w:r>
      <w:r>
        <w:t>).</w:t>
      </w:r>
    </w:p>
    <w:p w:rsidR="001466B2" w:rsidRDefault="00C22855" w:rsidP="001466B2">
      <w:pPr>
        <w:spacing w:line="276" w:lineRule="auto"/>
        <w:ind w:firstLine="709"/>
        <w:jc w:val="both"/>
      </w:pPr>
      <w:r>
        <w:t xml:space="preserve"> [</w:t>
      </w:r>
      <w:r w:rsidR="00590A94">
        <w:t>5</w:t>
      </w:r>
      <w:r>
        <w:t>.4.4</w:t>
      </w:r>
      <w:r w:rsidR="00D6616D">
        <w:t>]</w:t>
      </w:r>
      <w:r w:rsidR="001466B2">
        <w:t xml:space="preserve"> Turklāt Eiropas Cilvēktiesību tiesa, interpretējot Eiropas Cilvēka tiesību un pamatbrīvību aizsardzības konvencijas 6.panta </w:t>
      </w:r>
      <w:r w:rsidR="00C1562A">
        <w:t>trešās daļas</w:t>
      </w:r>
      <w:r w:rsidR="001466B2">
        <w:t xml:space="preserve"> d) apakšpunktu, savos nolēmumos vairākkārt norādījusi arī uz to, ka minētā tiesību norma var būt pārkāpta ne tikai tajā gadījumā, ja netiek minēti pamatoti iemesli liecinieka neiztaujāšanai, bet arī tajā gadījumā, ja notiesāšana tiek balstīta tikai vai izšķirošā mērā uz apgalvojumiem, ko izteikusi persona, kuru apsūdzētajam nav bijis iespējams iztaujāt, pat ja procesa virzītājs ir izdarījis visu, ko no tā saprātīgi varēja sagaidīt, lai nodrošinātu šādas personas ierašanos (</w:t>
      </w:r>
      <w:r w:rsidR="001466B2">
        <w:rPr>
          <w:i/>
        </w:rPr>
        <w:t>sk. Eiropas Cilvēktiesību tiesas 2011.gada 15.decembra sprieduma lietā Al-Khawaja un Tahery pret Apvienoto Karalisti 120.punktu, 2012.gada 2.oktobra sprieduma lietā Mitkus pret Latviju 101.punktu</w:t>
      </w:r>
      <w:r w:rsidR="001466B2">
        <w:t>).</w:t>
      </w:r>
    </w:p>
    <w:p w:rsidR="005410B0" w:rsidRDefault="001466B2" w:rsidP="005410B0">
      <w:pPr>
        <w:spacing w:line="276" w:lineRule="auto"/>
        <w:ind w:firstLine="709"/>
        <w:jc w:val="both"/>
      </w:pPr>
      <w:r>
        <w:t xml:space="preserve">Tādējādi otra prasība, kas izriet no vispārīgā principa par apsūdzētā tiesībām uz visu pret viņu iegūto pierādījumu uzrādīšanu viņa klātbūtnē tiesas sēdē, ir tā, ka tiesai jāizvērtē, vai to liecinieku, kurus apsūdzētajam nav bijis iespējams iztaujāt, pirmstiesas kriminālprocesa laikā sniegtās liecības nav atzīstamas par būtisku pierādījumu, </w:t>
      </w:r>
      <w:r w:rsidR="001643BE">
        <w:t xml:space="preserve">kas var izšķirt lietas iznākumu un vai </w:t>
      </w:r>
      <w:r w:rsidR="001643BE">
        <w:lastRenderedPageBreak/>
        <w:t>tādā gadījumā apsūdzētā vainīguma pamatošana ar šādām lieciniek</w:t>
      </w:r>
      <w:r w:rsidR="00FE7CE2">
        <w:t>u liecībām</w:t>
      </w:r>
      <w:r w:rsidR="001643BE">
        <w:t xml:space="preserve"> nepārkāpj apsūdzētā tiesības uz aizstāvību tādā apmērā, kas nav savienojams ar Eiropas Cilvēka</w:t>
      </w:r>
      <w:r w:rsidR="00FE7CE2">
        <w:t xml:space="preserve"> </w:t>
      </w:r>
      <w:r w:rsidR="001643BE">
        <w:t>tiesību un pamatbrīvību aizsardzības konvencijas 6.pantā ietvertajām garantijām.</w:t>
      </w:r>
      <w:r w:rsidR="005410B0">
        <w:t xml:space="preserve"> </w:t>
      </w:r>
    </w:p>
    <w:p w:rsidR="006738CE" w:rsidRDefault="00FE28A2" w:rsidP="005410B0">
      <w:pPr>
        <w:spacing w:line="276" w:lineRule="auto"/>
        <w:ind w:firstLine="709"/>
        <w:jc w:val="both"/>
      </w:pPr>
      <w:r>
        <w:t xml:space="preserve">Izvērtējusi liecinieku </w:t>
      </w:r>
      <w:r w:rsidR="001306BF">
        <w:t>[pers. D]</w:t>
      </w:r>
      <w:r>
        <w:t xml:space="preserve"> un </w:t>
      </w:r>
      <w:r w:rsidR="001306BF">
        <w:t>[pers. E]</w:t>
      </w:r>
      <w:r>
        <w:t xml:space="preserve"> pirmstiesas kriminālprocesa laikā sniegtās liecības atbilstoši šim nosacījumam, apelācijas instances tiesa atzinusi, ka šīs liecības</w:t>
      </w:r>
      <w:r w:rsidR="001643BE">
        <w:t xml:space="preserve"> nav </w:t>
      </w:r>
      <w:r w:rsidR="00326FDC">
        <w:t>v</w:t>
      </w:r>
      <w:r w:rsidR="001643BE">
        <w:t xml:space="preserve">ienīgais vai izšķirošais apsūdzētā </w:t>
      </w:r>
      <w:r w:rsidR="001306BF">
        <w:t>[pers. A]</w:t>
      </w:r>
      <w:r w:rsidR="001643BE">
        <w:t xml:space="preserve"> </w:t>
      </w:r>
      <w:r w:rsidR="00C22855">
        <w:t xml:space="preserve">vainīguma pierādījums, tās vienīgi apstiprina un papildina liecinieces </w:t>
      </w:r>
      <w:r w:rsidR="001306BF">
        <w:t>[pers. C]</w:t>
      </w:r>
      <w:r w:rsidR="00326FDC">
        <w:t xml:space="preserve"> liecības, tādēļ ir izmantoja</w:t>
      </w:r>
      <w:r w:rsidR="00C22855">
        <w:t xml:space="preserve">mas pierādīšanā un apsūdzētā </w:t>
      </w:r>
      <w:r w:rsidR="001306BF">
        <w:t>[pers. A]</w:t>
      </w:r>
      <w:r w:rsidR="00C22855">
        <w:t xml:space="preserve"> vainīguma pamatošanā.</w:t>
      </w:r>
      <w:r>
        <w:t xml:space="preserve"> </w:t>
      </w:r>
    </w:p>
    <w:p w:rsidR="006738CE" w:rsidRDefault="00C22855" w:rsidP="00936486">
      <w:pPr>
        <w:tabs>
          <w:tab w:val="left" w:pos="709"/>
        </w:tabs>
        <w:spacing w:line="276" w:lineRule="auto"/>
        <w:ind w:firstLine="709"/>
        <w:jc w:val="both"/>
      </w:pPr>
      <w:r>
        <w:t>Augstākajai tiesai nav pamata apšaubīt šādus apelācijas instances tiesas atzinumus.</w:t>
      </w:r>
    </w:p>
    <w:p w:rsidR="00B873B7" w:rsidRDefault="00C22855" w:rsidP="00B873B7">
      <w:pPr>
        <w:tabs>
          <w:tab w:val="left" w:pos="709"/>
        </w:tabs>
        <w:spacing w:line="276" w:lineRule="auto"/>
        <w:ind w:firstLine="709"/>
        <w:jc w:val="both"/>
      </w:pPr>
      <w:r>
        <w:t>[</w:t>
      </w:r>
      <w:r w:rsidR="008230CC">
        <w:t>5</w:t>
      </w:r>
      <w:r>
        <w:t>.4.</w:t>
      </w:r>
      <w:r w:rsidR="005410B0">
        <w:t>5</w:t>
      </w:r>
      <w:r>
        <w:t>] Augstākā tiesa atzīst</w:t>
      </w:r>
      <w:r w:rsidR="00B873B7">
        <w:t xml:space="preserve">, ka abu zemāko instanču tiesas </w:t>
      </w:r>
      <w:r>
        <w:t xml:space="preserve">ir izdarījušas visu, ko no tām saprātīgi varēja sagaidīt, lai nodrošinātu liecinieku </w:t>
      </w:r>
      <w:r w:rsidR="001306BF">
        <w:t>[pers. D]</w:t>
      </w:r>
      <w:r>
        <w:t xml:space="preserve"> un </w:t>
      </w:r>
      <w:r w:rsidR="001306BF">
        <w:t>[pers. E]</w:t>
      </w:r>
      <w:r>
        <w:t xml:space="preserve"> ierašanos uz tiesas sēdi, taču tas nav izdevies</w:t>
      </w:r>
      <w:r w:rsidR="00B873B7">
        <w:t xml:space="preserve">, tādēļ apelācijas instances tiesa saskaņā ar Kriminālprocesa likuma normām pamatoti nolasījusi minēto </w:t>
      </w:r>
      <w:r w:rsidR="00CA40A6">
        <w:t>liecinieku pirmst</w:t>
      </w:r>
      <w:r w:rsidR="00B873B7">
        <w:t xml:space="preserve">iesas procesā sniegtās liecības. Tiesa ir izvērtējusi šo </w:t>
      </w:r>
      <w:r w:rsidR="001E4720">
        <w:t>liecību nozīmīgumu apsūdzētā vainīguma pierādīšanā un atzinusi</w:t>
      </w:r>
      <w:r w:rsidR="00B873B7">
        <w:t xml:space="preserve">, ka tās </w:t>
      </w:r>
      <w:r w:rsidR="001E4720">
        <w:t>nav vienīgais un izšķiroša</w:t>
      </w:r>
      <w:r w:rsidR="00B873B7">
        <w:t xml:space="preserve">is apsūdzētā vainīguma pierādījums, bet vienīgi apstiprina un papildina citus lietā iegūtos pierādījumus. </w:t>
      </w:r>
      <w:r w:rsidR="001E4720">
        <w:t xml:space="preserve"> </w:t>
      </w:r>
    </w:p>
    <w:p w:rsidR="00CA40A6" w:rsidRDefault="001E4720" w:rsidP="00B873B7">
      <w:pPr>
        <w:tabs>
          <w:tab w:val="left" w:pos="709"/>
        </w:tabs>
        <w:spacing w:line="276" w:lineRule="auto"/>
        <w:ind w:firstLine="709"/>
        <w:jc w:val="both"/>
      </w:pPr>
      <w:r>
        <w:t>Ievērojot minēto, Augstākā tiesa atzīst, ka apelācijas instances tiesa</w:t>
      </w:r>
      <w:r w:rsidR="00B34752">
        <w:t>, izmantojot liecinieku</w:t>
      </w:r>
      <w:r w:rsidR="00B873B7">
        <w:t xml:space="preserve"> </w:t>
      </w:r>
      <w:r w:rsidR="001306BF">
        <w:t>[pers. D]</w:t>
      </w:r>
      <w:r w:rsidR="00B873B7">
        <w:t xml:space="preserve"> un </w:t>
      </w:r>
      <w:r w:rsidR="001306BF">
        <w:t>[pers. E]</w:t>
      </w:r>
      <w:r w:rsidR="00B873B7">
        <w:t xml:space="preserve"> pirmstiesas kriminālprocesa laikā sniegtās liec</w:t>
      </w:r>
      <w:r w:rsidR="00B34752">
        <w:t xml:space="preserve">ības apsūdzētā </w:t>
      </w:r>
      <w:r w:rsidR="001306BF">
        <w:t>[pers. A]</w:t>
      </w:r>
      <w:r w:rsidR="00B34752">
        <w:t xml:space="preserve"> vainīguma pamatošanā, nav pārkāpusi</w:t>
      </w:r>
      <w:r>
        <w:t xml:space="preserve"> Eiropas Cilvēk</w:t>
      </w:r>
      <w:r w:rsidR="00B34752">
        <w:t xml:space="preserve">a </w:t>
      </w:r>
      <w:r>
        <w:t>tiesību un pamatbrīvību aizsardzība</w:t>
      </w:r>
      <w:r w:rsidR="00B34752">
        <w:t>s konvencijas 6.panta trešās daļas d) apakšpunktā, kā arī Kriminālprocesa likuma 15.un 20.pantā  paredzētās</w:t>
      </w:r>
      <w:r>
        <w:t xml:space="preserve"> apsūdzētā tiesīb</w:t>
      </w:r>
      <w:r w:rsidR="00B34752">
        <w:t>as uz aizstāvību un taisnīgu tiesu</w:t>
      </w:r>
      <w:r>
        <w:t xml:space="preserve">. </w:t>
      </w:r>
    </w:p>
    <w:p w:rsidR="000341E9" w:rsidRDefault="00B34752" w:rsidP="00B34752">
      <w:pPr>
        <w:tabs>
          <w:tab w:val="left" w:pos="709"/>
        </w:tabs>
        <w:spacing w:line="276" w:lineRule="auto"/>
        <w:jc w:val="both"/>
      </w:pPr>
      <w:r>
        <w:t xml:space="preserve">            </w:t>
      </w:r>
      <w:r w:rsidR="00C6194F">
        <w:t>[</w:t>
      </w:r>
      <w:r w:rsidR="008230CC">
        <w:t>5</w:t>
      </w:r>
      <w:r w:rsidR="00C6194F">
        <w:t xml:space="preserve">.5] </w:t>
      </w:r>
      <w:r>
        <w:t>A</w:t>
      </w:r>
      <w:r w:rsidR="00095958">
        <w:t>psūdzētā</w:t>
      </w:r>
      <w:r>
        <w:t xml:space="preserve"> </w:t>
      </w:r>
      <w:r w:rsidR="001306BF">
        <w:t>[pers. A]</w:t>
      </w:r>
      <w:r w:rsidR="00095958">
        <w:t xml:space="preserve"> kasācijas sūdzībā</w:t>
      </w:r>
      <w:r>
        <w:t xml:space="preserve"> ietvertā lūguma izlemšana par viņam noteiktā</w:t>
      </w:r>
      <w:r w:rsidR="00095958">
        <w:t xml:space="preserve"> </w:t>
      </w:r>
      <w:r>
        <w:t>soda samazināšanu</w:t>
      </w:r>
      <w:r w:rsidR="00095958">
        <w:t>, piemērojot Krim</w:t>
      </w:r>
      <w:r w:rsidR="00021799">
        <w:t xml:space="preserve">ināllikuma </w:t>
      </w:r>
      <w:r w:rsidR="00377D03">
        <w:t>49.pantu, neietilpst kasācijas</w:t>
      </w:r>
      <w:r>
        <w:t xml:space="preserve"> instances tiesas kompetencē</w:t>
      </w:r>
      <w:r w:rsidR="00095958">
        <w:t>.</w:t>
      </w:r>
      <w:r w:rsidR="003C7B1A">
        <w:t xml:space="preserve"> Atbilstoši Kriminālprocesa likuma 569.panta pirmajai un trešajai daļai kasācijas instances tiesa </w:t>
      </w:r>
      <w:r w:rsidR="00377D03">
        <w:t xml:space="preserve">lietā iegūtos pierādījumus un </w:t>
      </w:r>
      <w:r w:rsidR="003C7B1A">
        <w:t>sodu ietekmējošos apstākļus no jauna neizvērtē, jo tas ietilpst to tiesu kompetencē, kas skata lietu pēc būtības.</w:t>
      </w:r>
    </w:p>
    <w:p w:rsidR="00460CC6" w:rsidRDefault="00460CC6" w:rsidP="00936486">
      <w:pPr>
        <w:tabs>
          <w:tab w:val="left" w:pos="709"/>
        </w:tabs>
        <w:spacing w:line="276" w:lineRule="auto"/>
        <w:ind w:firstLine="709"/>
        <w:jc w:val="both"/>
      </w:pPr>
    </w:p>
    <w:p w:rsidR="00D62AF9" w:rsidRDefault="00460CC6" w:rsidP="00FE1660">
      <w:pPr>
        <w:tabs>
          <w:tab w:val="left" w:pos="709"/>
        </w:tabs>
        <w:spacing w:line="276" w:lineRule="auto"/>
        <w:ind w:firstLine="709"/>
        <w:jc w:val="both"/>
      </w:pPr>
      <w:r>
        <w:t>[</w:t>
      </w:r>
      <w:r w:rsidR="008230CC">
        <w:t>6</w:t>
      </w:r>
      <w:r>
        <w:t xml:space="preserve">] Ievērojot minēto, Augstākā tiesa atzīst, ka </w:t>
      </w:r>
      <w:r w:rsidR="00FE1660">
        <w:t xml:space="preserve">apsūdzētā </w:t>
      </w:r>
      <w:r w:rsidR="001306BF">
        <w:t>[pers. A]</w:t>
      </w:r>
      <w:r w:rsidR="00FE1660">
        <w:t xml:space="preserve"> un viņa aizstāves A. Bērziņas kasācijas sūdzībās norādītie argumenti apelācijas instances tiesas nolēmuma atcelšanai nav guvuši apstiprinājumu. </w:t>
      </w:r>
      <w:r w:rsidR="004C42E9">
        <w:t xml:space="preserve">Apelācijas instances tiesas </w:t>
      </w:r>
      <w:r w:rsidR="00FE1660">
        <w:t>lēmums</w:t>
      </w:r>
      <w:r w:rsidR="004C42E9">
        <w:t xml:space="preserve"> atbilst Kriminālprocesa likuma 511., 512. un 564.panta prasībām. Iztiesājot lietu, apelācijas instances tiesa nav pieļāvusi Krimināllikuma pārkāpumus vai Kriminālprocesa likuma būtiskus pārkāpumus šā likuma 575.panta trešās daļas izpratnē,</w:t>
      </w:r>
      <w:r w:rsidR="00A902A0">
        <w:t xml:space="preserve"> kā arī nav pārkāpusi Eiropas Cilvēk</w:t>
      </w:r>
      <w:r w:rsidR="00703ACE">
        <w:t xml:space="preserve">a </w:t>
      </w:r>
      <w:r w:rsidR="00A902A0">
        <w:t>tiesību un pamatbrīvību aizsardzības konvencijas 6.pantā ietvertās apsūdzētā tiesības uz</w:t>
      </w:r>
      <w:r w:rsidR="00377D03">
        <w:t xml:space="preserve"> aizstāvību un</w:t>
      </w:r>
      <w:r w:rsidR="00A902A0">
        <w:t xml:space="preserve"> taisnīgu tiesu,</w:t>
      </w:r>
      <w:r w:rsidR="004C42E9">
        <w:t xml:space="preserve"> tādēļ apelācijas instances tiesas nolēmums atstājams negrozīts. </w:t>
      </w:r>
      <w:r w:rsidR="00D62AF9">
        <w:t xml:space="preserve"> </w:t>
      </w:r>
    </w:p>
    <w:p w:rsidR="002338A9" w:rsidRDefault="002338A9" w:rsidP="002F7853">
      <w:pPr>
        <w:pStyle w:val="tv213"/>
        <w:spacing w:before="0" w:beforeAutospacing="0" w:after="0" w:afterAutospacing="0" w:line="276" w:lineRule="auto"/>
        <w:jc w:val="center"/>
        <w:rPr>
          <w:b/>
        </w:rPr>
      </w:pPr>
    </w:p>
    <w:p w:rsidR="00AC0DBE" w:rsidRPr="00473F47" w:rsidRDefault="00AC0DBE" w:rsidP="006D7079">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2"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2"/>
    <w:p w:rsidR="00021799" w:rsidRDefault="00021799" w:rsidP="002F7853">
      <w:pPr>
        <w:pStyle w:val="tv213"/>
        <w:spacing w:before="0" w:beforeAutospacing="0" w:after="0" w:afterAutospacing="0" w:line="276" w:lineRule="auto"/>
        <w:jc w:val="center"/>
        <w:rPr>
          <w:b/>
        </w:rPr>
      </w:pPr>
    </w:p>
    <w:p w:rsidR="00021799" w:rsidRDefault="00021799" w:rsidP="002F7853">
      <w:pPr>
        <w:pStyle w:val="tv213"/>
        <w:spacing w:before="0" w:beforeAutospacing="0" w:after="0" w:afterAutospacing="0" w:line="276" w:lineRule="auto"/>
        <w:jc w:val="center"/>
        <w:rPr>
          <w:b/>
        </w:rPr>
      </w:pPr>
    </w:p>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F12072" w:rsidRDefault="00F12072" w:rsidP="00F12072">
      <w:pPr>
        <w:pStyle w:val="tv213"/>
        <w:spacing w:before="0" w:beforeAutospacing="0" w:after="0" w:afterAutospacing="0" w:line="276" w:lineRule="auto"/>
        <w:jc w:val="both"/>
        <w:rPr>
          <w:lang w:eastAsia="en-US"/>
        </w:rPr>
      </w:pPr>
    </w:p>
    <w:p w:rsidR="00404944" w:rsidRPr="00473F47" w:rsidRDefault="00F12072" w:rsidP="00F12072">
      <w:pPr>
        <w:pStyle w:val="tv213"/>
        <w:spacing w:before="0" w:beforeAutospacing="0" w:after="0" w:afterAutospacing="0" w:line="276" w:lineRule="auto"/>
        <w:jc w:val="both"/>
      </w:pPr>
      <w:r>
        <w:lastRenderedPageBreak/>
        <w:t xml:space="preserve">atstāt negrozītu </w:t>
      </w:r>
      <w:r w:rsidR="00341BC9">
        <w:t>Rīgas</w:t>
      </w:r>
      <w:r w:rsidR="00341BC9" w:rsidRPr="00473F47">
        <w:t xml:space="preserve"> </w:t>
      </w:r>
      <w:r w:rsidR="00341BC9">
        <w:t>apgabaltiesas</w:t>
      </w:r>
      <w:r w:rsidR="00341BC9" w:rsidRPr="00473F47">
        <w:t xml:space="preserve"> 201</w:t>
      </w:r>
      <w:r w:rsidR="00341BC9">
        <w:t>6.gada 27.oktobra lēmumu</w:t>
      </w:r>
      <w:r w:rsidR="00C83644">
        <w:t xml:space="preserve">, bet </w:t>
      </w:r>
      <w:r w:rsidR="00614CC6">
        <w:t>apsūdzētā</w:t>
      </w:r>
      <w:r w:rsidR="006D7079">
        <w:t xml:space="preserve"> </w:t>
      </w:r>
      <w:r w:rsidR="001306BF">
        <w:t>[pers. A]</w:t>
      </w:r>
      <w:r w:rsidR="00341BC9">
        <w:t xml:space="preserve"> un viņa</w:t>
      </w:r>
      <w:r w:rsidR="006D7079">
        <w:t xml:space="preserve"> aizstāves </w:t>
      </w:r>
      <w:r w:rsidR="00341BC9">
        <w:t>A. Bērziņas</w:t>
      </w:r>
      <w:r w:rsidR="006D7079">
        <w:t xml:space="preserve"> </w:t>
      </w:r>
      <w:r w:rsidR="00C83644">
        <w:t xml:space="preserve">kasācijas </w:t>
      </w:r>
      <w:r w:rsidR="00614CC6">
        <w:t>sūdzīb</w:t>
      </w:r>
      <w:r w:rsidR="00341BC9">
        <w:t>as</w:t>
      </w:r>
      <w:r w:rsidR="00C83644">
        <w:t xml:space="preserve"> noraid</w:t>
      </w:r>
      <w:r w:rsidR="00BC51E9">
        <w:t>īt</w:t>
      </w:r>
      <w:r w:rsidR="00C83644">
        <w:t>.</w:t>
      </w:r>
    </w:p>
    <w:p w:rsidR="001218D2" w:rsidRPr="00473F47" w:rsidRDefault="009F2A62" w:rsidP="00A00485">
      <w:pPr>
        <w:tabs>
          <w:tab w:val="left" w:pos="-3120"/>
        </w:tabs>
        <w:suppressAutoHyphens/>
        <w:spacing w:line="276" w:lineRule="auto"/>
        <w:jc w:val="both"/>
      </w:pPr>
      <w:r w:rsidRPr="00473F47">
        <w:tab/>
      </w:r>
      <w:smartTag w:uri="schemas-tilde-lv/tildestengine" w:element="veidnes">
        <w:smartTagPr>
          <w:attr w:name="id" w:val="-1"/>
          <w:attr w:name="baseform" w:val="lēmums"/>
          <w:attr w:name="text" w:val="lēmums"/>
        </w:smartTagPr>
        <w:r w:rsidR="002B7187" w:rsidRPr="00473F47">
          <w:rPr>
            <w:color w:val="000000"/>
          </w:rPr>
          <w:t>Lēmums</w:t>
        </w:r>
      </w:smartTag>
      <w:r w:rsidR="002B7187"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7D0CFD" w:rsidRDefault="007D0CFD"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4812E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F65" w:rsidRDefault="00362F65">
      <w:r>
        <w:separator/>
      </w:r>
    </w:p>
  </w:endnote>
  <w:endnote w:type="continuationSeparator" w:id="0">
    <w:p w:rsidR="00362F65" w:rsidRDefault="0036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B51" w:rsidRDefault="00880B51">
    <w:pPr>
      <w:pStyle w:val="Footer"/>
      <w:ind w:right="360"/>
    </w:pPr>
  </w:p>
  <w:p w:rsidR="00880B51" w:rsidRPr="00966A45" w:rsidRDefault="00880B5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9E4AE8">
      <w:rPr>
        <w:rStyle w:val="PageNumber"/>
        <w:noProof/>
      </w:rPr>
      <w:t>1</w:t>
    </w:r>
    <w:r w:rsidRPr="00966A45">
      <w:rPr>
        <w:rStyle w:val="PageNumber"/>
      </w:rPr>
      <w:fldChar w:fldCharType="end"/>
    </w:r>
    <w:r w:rsidRPr="00966A45">
      <w:rPr>
        <w:rStyle w:val="PageNumber"/>
      </w:rPr>
      <w:t xml:space="preserve"> no </w:t>
    </w:r>
    <w:fldSimple w:instr=" SECTIONPAGES   \* MERGEFORMAT ">
      <w:r w:rsidR="009E4AE8" w:rsidRPr="009E4AE8">
        <w:rPr>
          <w:rStyle w:val="PageNumber"/>
          <w:noProof/>
        </w:rPr>
        <w:t>8</w:t>
      </w:r>
    </w:fldSimple>
  </w:p>
  <w:p w:rsidR="00880B51" w:rsidRDefault="00880B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F65" w:rsidRDefault="00362F65">
      <w:r>
        <w:separator/>
      </w:r>
    </w:p>
  </w:footnote>
  <w:footnote w:type="continuationSeparator" w:id="0">
    <w:p w:rsidR="00362F65" w:rsidRDefault="00362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C7E94"/>
    <w:rsid w:val="000D17B5"/>
    <w:rsid w:val="000D1D98"/>
    <w:rsid w:val="000D3345"/>
    <w:rsid w:val="000D4B0D"/>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5E09"/>
    <w:rsid w:val="0012609A"/>
    <w:rsid w:val="00126C9E"/>
    <w:rsid w:val="00126CF2"/>
    <w:rsid w:val="00126CF7"/>
    <w:rsid w:val="001276D0"/>
    <w:rsid w:val="00127F72"/>
    <w:rsid w:val="00127FFC"/>
    <w:rsid w:val="001306BF"/>
    <w:rsid w:val="00131258"/>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7DB"/>
    <w:rsid w:val="001B0546"/>
    <w:rsid w:val="001B07EC"/>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4B2"/>
    <w:rsid w:val="001E7A9F"/>
    <w:rsid w:val="001E7F11"/>
    <w:rsid w:val="001F02BD"/>
    <w:rsid w:val="001F210C"/>
    <w:rsid w:val="001F2196"/>
    <w:rsid w:val="001F2B01"/>
    <w:rsid w:val="001F30FE"/>
    <w:rsid w:val="001F38D0"/>
    <w:rsid w:val="001F4028"/>
    <w:rsid w:val="001F45B1"/>
    <w:rsid w:val="001F4B09"/>
    <w:rsid w:val="001F5677"/>
    <w:rsid w:val="001F567A"/>
    <w:rsid w:val="001F5AD3"/>
    <w:rsid w:val="001F73F9"/>
    <w:rsid w:val="001F7D2E"/>
    <w:rsid w:val="0020023E"/>
    <w:rsid w:val="00200CC7"/>
    <w:rsid w:val="002015DB"/>
    <w:rsid w:val="00201886"/>
    <w:rsid w:val="00201B08"/>
    <w:rsid w:val="00202E51"/>
    <w:rsid w:val="0020456D"/>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B8B"/>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DF4"/>
    <w:rsid w:val="00362F65"/>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48D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C09"/>
    <w:rsid w:val="003B4AD0"/>
    <w:rsid w:val="003B4ECB"/>
    <w:rsid w:val="003B5110"/>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B1A"/>
    <w:rsid w:val="003D0823"/>
    <w:rsid w:val="003D0C1C"/>
    <w:rsid w:val="003D1067"/>
    <w:rsid w:val="003D1643"/>
    <w:rsid w:val="003D1F32"/>
    <w:rsid w:val="003D221E"/>
    <w:rsid w:val="003D371C"/>
    <w:rsid w:val="003D3CD2"/>
    <w:rsid w:val="003D4423"/>
    <w:rsid w:val="003D4E11"/>
    <w:rsid w:val="003D6332"/>
    <w:rsid w:val="003D6447"/>
    <w:rsid w:val="003D67D5"/>
    <w:rsid w:val="003D79B6"/>
    <w:rsid w:val="003E0ED0"/>
    <w:rsid w:val="003E1E3E"/>
    <w:rsid w:val="003E21DA"/>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482"/>
    <w:rsid w:val="00415A41"/>
    <w:rsid w:val="00415CF9"/>
    <w:rsid w:val="00415DE5"/>
    <w:rsid w:val="00415EDB"/>
    <w:rsid w:val="00415F3A"/>
    <w:rsid w:val="00416769"/>
    <w:rsid w:val="00416AB7"/>
    <w:rsid w:val="00416B05"/>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5514"/>
    <w:rsid w:val="004A5864"/>
    <w:rsid w:val="004A5CBC"/>
    <w:rsid w:val="004A6BB0"/>
    <w:rsid w:val="004A7622"/>
    <w:rsid w:val="004A7BA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52FD"/>
    <w:rsid w:val="004F5633"/>
    <w:rsid w:val="004F72CF"/>
    <w:rsid w:val="004F7613"/>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FB2"/>
    <w:rsid w:val="00522AFE"/>
    <w:rsid w:val="00522EEA"/>
    <w:rsid w:val="00523AAE"/>
    <w:rsid w:val="005243D9"/>
    <w:rsid w:val="005247FB"/>
    <w:rsid w:val="00524AE4"/>
    <w:rsid w:val="00524CB9"/>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513"/>
    <w:rsid w:val="00546F1B"/>
    <w:rsid w:val="00546FD3"/>
    <w:rsid w:val="005474AA"/>
    <w:rsid w:val="0054777E"/>
    <w:rsid w:val="00551047"/>
    <w:rsid w:val="00551566"/>
    <w:rsid w:val="00551AA6"/>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717"/>
    <w:rsid w:val="00586D4B"/>
    <w:rsid w:val="005871B1"/>
    <w:rsid w:val="005872E2"/>
    <w:rsid w:val="00587A42"/>
    <w:rsid w:val="00587F76"/>
    <w:rsid w:val="005902D3"/>
    <w:rsid w:val="005908AB"/>
    <w:rsid w:val="00590A94"/>
    <w:rsid w:val="00590BF0"/>
    <w:rsid w:val="00591EE3"/>
    <w:rsid w:val="0059209E"/>
    <w:rsid w:val="00592604"/>
    <w:rsid w:val="00593157"/>
    <w:rsid w:val="005938B4"/>
    <w:rsid w:val="005938C1"/>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75D6"/>
    <w:rsid w:val="005A7B5B"/>
    <w:rsid w:val="005A7C83"/>
    <w:rsid w:val="005B039C"/>
    <w:rsid w:val="005B0AA3"/>
    <w:rsid w:val="005B45B8"/>
    <w:rsid w:val="005B49E8"/>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43E4"/>
    <w:rsid w:val="0065446E"/>
    <w:rsid w:val="00655E80"/>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A46"/>
    <w:rsid w:val="00672AE2"/>
    <w:rsid w:val="00673894"/>
    <w:rsid w:val="006738CE"/>
    <w:rsid w:val="00673913"/>
    <w:rsid w:val="0067432D"/>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F3B"/>
    <w:rsid w:val="00691146"/>
    <w:rsid w:val="00691997"/>
    <w:rsid w:val="00692CDC"/>
    <w:rsid w:val="00692DAF"/>
    <w:rsid w:val="00693C54"/>
    <w:rsid w:val="006942E9"/>
    <w:rsid w:val="00694580"/>
    <w:rsid w:val="006949AF"/>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2A35"/>
    <w:rsid w:val="00782D25"/>
    <w:rsid w:val="007836B8"/>
    <w:rsid w:val="007849F2"/>
    <w:rsid w:val="00784A81"/>
    <w:rsid w:val="007852F1"/>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871"/>
    <w:rsid w:val="007929EC"/>
    <w:rsid w:val="00792CAA"/>
    <w:rsid w:val="00792F91"/>
    <w:rsid w:val="0079328B"/>
    <w:rsid w:val="007932A2"/>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622A"/>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3067C"/>
    <w:rsid w:val="00830882"/>
    <w:rsid w:val="0083089E"/>
    <w:rsid w:val="0083099C"/>
    <w:rsid w:val="008312A6"/>
    <w:rsid w:val="0083177B"/>
    <w:rsid w:val="00832F48"/>
    <w:rsid w:val="00833D74"/>
    <w:rsid w:val="008351D5"/>
    <w:rsid w:val="008351E7"/>
    <w:rsid w:val="00835523"/>
    <w:rsid w:val="00836249"/>
    <w:rsid w:val="00836BF0"/>
    <w:rsid w:val="00837232"/>
    <w:rsid w:val="00837E4D"/>
    <w:rsid w:val="0084054F"/>
    <w:rsid w:val="008407EE"/>
    <w:rsid w:val="00840991"/>
    <w:rsid w:val="00840E72"/>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B51"/>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BAA"/>
    <w:rsid w:val="008B2BDB"/>
    <w:rsid w:val="008B37D0"/>
    <w:rsid w:val="008B3CB8"/>
    <w:rsid w:val="008B41A2"/>
    <w:rsid w:val="008B44A4"/>
    <w:rsid w:val="008B4828"/>
    <w:rsid w:val="008B5417"/>
    <w:rsid w:val="008B6249"/>
    <w:rsid w:val="008B70D2"/>
    <w:rsid w:val="008C0422"/>
    <w:rsid w:val="008C06EF"/>
    <w:rsid w:val="008C07F5"/>
    <w:rsid w:val="008C0C28"/>
    <w:rsid w:val="008C1607"/>
    <w:rsid w:val="008C18E8"/>
    <w:rsid w:val="008C2AEB"/>
    <w:rsid w:val="008C3523"/>
    <w:rsid w:val="008C382D"/>
    <w:rsid w:val="008C3CB7"/>
    <w:rsid w:val="008C3F03"/>
    <w:rsid w:val="008C463F"/>
    <w:rsid w:val="008C4B13"/>
    <w:rsid w:val="008C5071"/>
    <w:rsid w:val="008C5123"/>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3B5"/>
    <w:rsid w:val="00902E8C"/>
    <w:rsid w:val="009030CD"/>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5F20"/>
    <w:rsid w:val="00916418"/>
    <w:rsid w:val="009175DE"/>
    <w:rsid w:val="00917DF7"/>
    <w:rsid w:val="00917E58"/>
    <w:rsid w:val="00920AA1"/>
    <w:rsid w:val="00920B15"/>
    <w:rsid w:val="00920DDA"/>
    <w:rsid w:val="00921421"/>
    <w:rsid w:val="00921977"/>
    <w:rsid w:val="00921AAB"/>
    <w:rsid w:val="00921ECF"/>
    <w:rsid w:val="00923EDC"/>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8A5"/>
    <w:rsid w:val="0097798C"/>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D6"/>
    <w:rsid w:val="009A1987"/>
    <w:rsid w:val="009A1C35"/>
    <w:rsid w:val="009A28FF"/>
    <w:rsid w:val="009A2977"/>
    <w:rsid w:val="009A3703"/>
    <w:rsid w:val="009A3966"/>
    <w:rsid w:val="009A4328"/>
    <w:rsid w:val="009A494F"/>
    <w:rsid w:val="009A5504"/>
    <w:rsid w:val="009A602B"/>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4AE8"/>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170"/>
    <w:rsid w:val="00A01671"/>
    <w:rsid w:val="00A01B70"/>
    <w:rsid w:val="00A02C69"/>
    <w:rsid w:val="00A02D74"/>
    <w:rsid w:val="00A048AB"/>
    <w:rsid w:val="00A051D9"/>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414"/>
    <w:rsid w:val="00A3577F"/>
    <w:rsid w:val="00A367C8"/>
    <w:rsid w:val="00A36D48"/>
    <w:rsid w:val="00A379AC"/>
    <w:rsid w:val="00A37E49"/>
    <w:rsid w:val="00A37FEE"/>
    <w:rsid w:val="00A409CA"/>
    <w:rsid w:val="00A4129F"/>
    <w:rsid w:val="00A422FC"/>
    <w:rsid w:val="00A42334"/>
    <w:rsid w:val="00A42F03"/>
    <w:rsid w:val="00A44B12"/>
    <w:rsid w:val="00A44D03"/>
    <w:rsid w:val="00A45399"/>
    <w:rsid w:val="00A456C1"/>
    <w:rsid w:val="00A456C4"/>
    <w:rsid w:val="00A4598C"/>
    <w:rsid w:val="00A45E5E"/>
    <w:rsid w:val="00A4667C"/>
    <w:rsid w:val="00A468EE"/>
    <w:rsid w:val="00A477C5"/>
    <w:rsid w:val="00A47FC2"/>
    <w:rsid w:val="00A512AA"/>
    <w:rsid w:val="00A5219D"/>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C0C"/>
    <w:rsid w:val="00A75E83"/>
    <w:rsid w:val="00A75F8D"/>
    <w:rsid w:val="00A76703"/>
    <w:rsid w:val="00A76BB4"/>
    <w:rsid w:val="00A80337"/>
    <w:rsid w:val="00A81FE6"/>
    <w:rsid w:val="00A82131"/>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2B72"/>
    <w:rsid w:val="00A94367"/>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72A5"/>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17A1"/>
    <w:rsid w:val="00B11F4E"/>
    <w:rsid w:val="00B12704"/>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6E69"/>
    <w:rsid w:val="00B771AA"/>
    <w:rsid w:val="00B77734"/>
    <w:rsid w:val="00B77A30"/>
    <w:rsid w:val="00B77AC8"/>
    <w:rsid w:val="00B77BB2"/>
    <w:rsid w:val="00B80854"/>
    <w:rsid w:val="00B8092F"/>
    <w:rsid w:val="00B80A9E"/>
    <w:rsid w:val="00B81B22"/>
    <w:rsid w:val="00B82F33"/>
    <w:rsid w:val="00B83479"/>
    <w:rsid w:val="00B83AE6"/>
    <w:rsid w:val="00B83F4F"/>
    <w:rsid w:val="00B85485"/>
    <w:rsid w:val="00B8554F"/>
    <w:rsid w:val="00B856AE"/>
    <w:rsid w:val="00B85846"/>
    <w:rsid w:val="00B859A2"/>
    <w:rsid w:val="00B85EB3"/>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5D3"/>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787"/>
    <w:rsid w:val="00BF3BB9"/>
    <w:rsid w:val="00BF3C6E"/>
    <w:rsid w:val="00BF505B"/>
    <w:rsid w:val="00BF57F6"/>
    <w:rsid w:val="00BF6001"/>
    <w:rsid w:val="00BF6344"/>
    <w:rsid w:val="00BF6611"/>
    <w:rsid w:val="00BF7786"/>
    <w:rsid w:val="00BF787A"/>
    <w:rsid w:val="00C00A02"/>
    <w:rsid w:val="00C016F2"/>
    <w:rsid w:val="00C01DEA"/>
    <w:rsid w:val="00C02658"/>
    <w:rsid w:val="00C02865"/>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ECD"/>
    <w:rsid w:val="00C24F6B"/>
    <w:rsid w:val="00C24F7C"/>
    <w:rsid w:val="00C25BA5"/>
    <w:rsid w:val="00C26441"/>
    <w:rsid w:val="00C26BF2"/>
    <w:rsid w:val="00C27901"/>
    <w:rsid w:val="00C306A4"/>
    <w:rsid w:val="00C32AB3"/>
    <w:rsid w:val="00C330D4"/>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EE8"/>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167"/>
    <w:rsid w:val="00D2229F"/>
    <w:rsid w:val="00D22603"/>
    <w:rsid w:val="00D228B7"/>
    <w:rsid w:val="00D22D64"/>
    <w:rsid w:val="00D22DCA"/>
    <w:rsid w:val="00D22DFD"/>
    <w:rsid w:val="00D22F3F"/>
    <w:rsid w:val="00D230B3"/>
    <w:rsid w:val="00D23673"/>
    <w:rsid w:val="00D23C32"/>
    <w:rsid w:val="00D24157"/>
    <w:rsid w:val="00D247A5"/>
    <w:rsid w:val="00D248C7"/>
    <w:rsid w:val="00D2490E"/>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15E"/>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5E9B"/>
    <w:rsid w:val="00DA65F6"/>
    <w:rsid w:val="00DA75F2"/>
    <w:rsid w:val="00DA7B3E"/>
    <w:rsid w:val="00DB003A"/>
    <w:rsid w:val="00DB108E"/>
    <w:rsid w:val="00DB1107"/>
    <w:rsid w:val="00DB11BA"/>
    <w:rsid w:val="00DB174C"/>
    <w:rsid w:val="00DB1F18"/>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24A5"/>
    <w:rsid w:val="00E32F61"/>
    <w:rsid w:val="00E33D57"/>
    <w:rsid w:val="00E34D64"/>
    <w:rsid w:val="00E34E0D"/>
    <w:rsid w:val="00E3668F"/>
    <w:rsid w:val="00E36DFA"/>
    <w:rsid w:val="00E37237"/>
    <w:rsid w:val="00E37747"/>
    <w:rsid w:val="00E4009E"/>
    <w:rsid w:val="00E40238"/>
    <w:rsid w:val="00E403E0"/>
    <w:rsid w:val="00E40ECC"/>
    <w:rsid w:val="00E41479"/>
    <w:rsid w:val="00E41DB1"/>
    <w:rsid w:val="00E423BB"/>
    <w:rsid w:val="00E433D0"/>
    <w:rsid w:val="00E44078"/>
    <w:rsid w:val="00E44D73"/>
    <w:rsid w:val="00E4548B"/>
    <w:rsid w:val="00E459A5"/>
    <w:rsid w:val="00E45B0C"/>
    <w:rsid w:val="00E45D9E"/>
    <w:rsid w:val="00E4633E"/>
    <w:rsid w:val="00E46A91"/>
    <w:rsid w:val="00E47C91"/>
    <w:rsid w:val="00E50A52"/>
    <w:rsid w:val="00E50AA2"/>
    <w:rsid w:val="00E511C4"/>
    <w:rsid w:val="00E52DDC"/>
    <w:rsid w:val="00E5436E"/>
    <w:rsid w:val="00E54579"/>
    <w:rsid w:val="00E54B5F"/>
    <w:rsid w:val="00E56E88"/>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53B7"/>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1E63"/>
    <w:rsid w:val="00F22AA9"/>
    <w:rsid w:val="00F2346E"/>
    <w:rsid w:val="00F23B0B"/>
    <w:rsid w:val="00F23C28"/>
    <w:rsid w:val="00F2447E"/>
    <w:rsid w:val="00F24576"/>
    <w:rsid w:val="00F245B5"/>
    <w:rsid w:val="00F2481D"/>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1E10"/>
    <w:rsid w:val="00FB2ECA"/>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E9F"/>
    <w:rsid w:val="00FC604A"/>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94985-7B5E-4D3F-AB94-93456CD3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15115</Words>
  <Characters>8616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2018-01-26T11:51:00Z</dcterms:created>
  <dcterms:modified xsi:type="dcterms:W3CDTF">2018-01-26T11:51:00Z</dcterms:modified>
</cp:coreProperties>
</file>