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29F55" w14:textId="4A022998" w:rsidR="00834538" w:rsidRDefault="00BF2A9D" w:rsidP="00BB739D">
      <w:pPr>
        <w:spacing w:line="276" w:lineRule="auto"/>
        <w:jc w:val="both"/>
        <w:rPr>
          <w:b/>
        </w:rPr>
      </w:pPr>
      <w:bookmarkStart w:id="0" w:name="_GoBack"/>
      <w:bookmarkEnd w:id="0"/>
      <w:r w:rsidRPr="00BF2A9D">
        <w:rPr>
          <w:b/>
        </w:rPr>
        <w:t>Tiesu izpildītāja disciplinārā atbildība par tiesas atzītām prettiesiskām darbībām</w:t>
      </w:r>
    </w:p>
    <w:p w14:paraId="500289A7" w14:textId="77777777" w:rsidR="00BF2A9D" w:rsidRDefault="00BF2A9D" w:rsidP="00BB739D">
      <w:pPr>
        <w:spacing w:line="276" w:lineRule="auto"/>
        <w:jc w:val="both"/>
      </w:pPr>
    </w:p>
    <w:p w14:paraId="00920666" w14:textId="71562A6C" w:rsidR="0041639E" w:rsidRDefault="00861BC4" w:rsidP="00BB739D">
      <w:pPr>
        <w:spacing w:line="276" w:lineRule="auto"/>
        <w:jc w:val="both"/>
      </w:pPr>
      <w:r>
        <w:t>1. </w:t>
      </w:r>
      <w:r w:rsidR="00BF2A9D" w:rsidRPr="00BF2A9D">
        <w:t xml:space="preserve">Gadījumā, ja par tiesu izpildītāja rīcību persona ir vērsusies vispārējās jurisdikcijas tiesā, minētā tiesa izvērtē tiesu izpildītāja darbību tiesiskumu, tostarp to atcelšanu. Tomēr zvērināta tiesu izpildītāja procesuālo lēmumu vai darbības atcelšana pati par sevi nevar būt pamats zvērināta tiesu izpildītāja disciplinārajai atbildībai, ja vien šis tiesu izpildītājs nav pieļāvis tīšu likuma pārkāpumu vai rupju neuzmanību. Līdz ar to iestāde tiesu izpildītāja </w:t>
      </w:r>
      <w:proofErr w:type="spellStart"/>
      <w:r w:rsidR="00BF2A9D" w:rsidRPr="00BF2A9D">
        <w:t>disciplinārprocesā</w:t>
      </w:r>
      <w:proofErr w:type="spellEnd"/>
      <w:r w:rsidR="00BF2A9D" w:rsidRPr="00BF2A9D">
        <w:t xml:space="preserve"> un pēc tam administratīv</w:t>
      </w:r>
      <w:r w:rsidR="00F467F5">
        <w:t>ā</w:t>
      </w:r>
      <w:r w:rsidR="00BF2A9D" w:rsidRPr="00BF2A9D">
        <w:t xml:space="preserve"> tiesa, </w:t>
      </w:r>
      <w:proofErr w:type="gramStart"/>
      <w:r w:rsidR="00BF2A9D" w:rsidRPr="00BF2A9D">
        <w:t>konstatējot, ka zvērināta tiesu izpildītāja darbības ar nolēmumu civillietā ir</w:t>
      </w:r>
      <w:proofErr w:type="gramEnd"/>
      <w:r w:rsidR="00BF2A9D" w:rsidRPr="00BF2A9D">
        <w:t xml:space="preserve"> tikušas atzītas par prettiesiskām, kas iestādei un tiesai administratīvajā lietā ir saistoši, tālāk vērtē, vai konkrētās darbības ir pieļautas tīši vai aiz rupjas neuzmanības.</w:t>
      </w:r>
    </w:p>
    <w:p w14:paraId="070E8546" w14:textId="77777777" w:rsidR="00BB739D" w:rsidRDefault="00BB739D" w:rsidP="00BB739D">
      <w:pPr>
        <w:spacing w:line="276" w:lineRule="auto"/>
        <w:jc w:val="both"/>
      </w:pPr>
    </w:p>
    <w:p w14:paraId="531B753E" w14:textId="60B33FE8" w:rsidR="00BB739D" w:rsidRDefault="00861BC4" w:rsidP="00BB739D">
      <w:pPr>
        <w:spacing w:line="276" w:lineRule="auto"/>
        <w:jc w:val="both"/>
      </w:pPr>
      <w:r>
        <w:t>2. </w:t>
      </w:r>
      <w:r w:rsidR="00DE1478" w:rsidRPr="00DE1478">
        <w:t xml:space="preserve">Tiesu izpildītāju likums neparedz rupjas neuzmanības </w:t>
      </w:r>
      <w:proofErr w:type="spellStart"/>
      <w:r w:rsidR="00DE1478" w:rsidRPr="00DE1478">
        <w:t>legāldefinīciju</w:t>
      </w:r>
      <w:proofErr w:type="spellEnd"/>
      <w:r w:rsidR="00DE1478" w:rsidRPr="00DE1478">
        <w:t>.</w:t>
      </w:r>
      <w:r w:rsidR="006131FD">
        <w:t xml:space="preserve"> No citos normatīvajos aktos definētā izriet, ka </w:t>
      </w:r>
      <w:r w:rsidR="00DE1478" w:rsidRPr="00DE1478">
        <w:t>rupja neuzmanība ir konstatējama gadījumā, ja persona ir apzinājusies savas rīcības nelabvēlīgo seku iestāšanās iespēju, bet vieglprātīgi paļāvusies, ka tās neiestāsies vai varēs novērst (pretstatā vieglai neuzmanībai, kas konstatējama gadījumā, ja persona nav paredzējusi savas rīcības nelabvēlīgo seku iestāšanās iespēju un nav vēlējusies šādu seku iestāšanos, kaut gan tās varēja paredzēt un bija jāparedz). Tātad rupjas neuzmanības gadījumā jāpastāv apstākļiem, kas liecina, ka persona ir apzinājusies savas rīcības un tās seku prettiesisko raksturu</w:t>
      </w:r>
      <w:r w:rsidR="00CA021A">
        <w:t>.</w:t>
      </w:r>
    </w:p>
    <w:p w14:paraId="7D0C207D" w14:textId="77777777" w:rsidR="0041639E" w:rsidRDefault="0041639E" w:rsidP="007F0C61">
      <w:pPr>
        <w:spacing w:line="276" w:lineRule="auto"/>
        <w:jc w:val="right"/>
      </w:pPr>
    </w:p>
    <w:p w14:paraId="2DFA9C0D" w14:textId="77777777" w:rsidR="00180533" w:rsidRDefault="00180533" w:rsidP="007F0C61">
      <w:pPr>
        <w:spacing w:line="276" w:lineRule="auto"/>
        <w:jc w:val="right"/>
      </w:pPr>
    </w:p>
    <w:p w14:paraId="1075997A" w14:textId="77777777" w:rsidR="00180533" w:rsidRPr="00936649" w:rsidRDefault="00180533" w:rsidP="00180533">
      <w:pPr>
        <w:pStyle w:val="BodyText2"/>
        <w:spacing w:after="0" w:line="240" w:lineRule="auto"/>
        <w:jc w:val="center"/>
        <w:rPr>
          <w:b/>
          <w:noProof/>
        </w:rPr>
      </w:pPr>
      <w:r w:rsidRPr="00936649">
        <w:rPr>
          <w:b/>
          <w:noProof/>
        </w:rPr>
        <w:t>Latvijas Republikas Augstākās tiesas</w:t>
      </w:r>
    </w:p>
    <w:p w14:paraId="0A8DA0D6" w14:textId="77777777" w:rsidR="00180533" w:rsidRPr="00936649" w:rsidRDefault="00180533" w:rsidP="00180533">
      <w:pPr>
        <w:pStyle w:val="BodyText2"/>
        <w:spacing w:after="0" w:line="240" w:lineRule="auto"/>
        <w:jc w:val="center"/>
        <w:rPr>
          <w:b/>
          <w:noProof/>
        </w:rPr>
      </w:pPr>
      <w:r w:rsidRPr="00936649">
        <w:rPr>
          <w:b/>
          <w:noProof/>
        </w:rPr>
        <w:t>Administratīvo lietu departamenta</w:t>
      </w:r>
    </w:p>
    <w:p w14:paraId="765FD81A" w14:textId="15CCD62E" w:rsidR="00180533" w:rsidRPr="00180533" w:rsidRDefault="00180533" w:rsidP="00180533">
      <w:pPr>
        <w:pStyle w:val="BodyText2"/>
        <w:spacing w:after="0" w:line="240" w:lineRule="auto"/>
        <w:jc w:val="center"/>
        <w:rPr>
          <w:b/>
          <w:noProof/>
          <w:lang w:val="lv-LV"/>
        </w:rPr>
      </w:pPr>
      <w:r w:rsidRPr="00936649">
        <w:rPr>
          <w:b/>
          <w:noProof/>
        </w:rPr>
        <w:t xml:space="preserve">2017.gada </w:t>
      </w:r>
      <w:r>
        <w:rPr>
          <w:b/>
          <w:noProof/>
        </w:rPr>
        <w:t>4.</w:t>
      </w:r>
      <w:r>
        <w:rPr>
          <w:b/>
          <w:noProof/>
          <w:lang w:val="lv-LV"/>
        </w:rPr>
        <w:t>augusta</w:t>
      </w:r>
    </w:p>
    <w:p w14:paraId="55F25DA6" w14:textId="2B3D8739" w:rsidR="00180533" w:rsidRPr="00180533" w:rsidRDefault="00180533" w:rsidP="00180533">
      <w:pPr>
        <w:pStyle w:val="BodyText2"/>
        <w:spacing w:after="0" w:line="240" w:lineRule="auto"/>
        <w:jc w:val="center"/>
        <w:rPr>
          <w:b/>
          <w:noProof/>
          <w:lang w:val="lv-LV"/>
        </w:rPr>
      </w:pPr>
      <w:r>
        <w:rPr>
          <w:b/>
          <w:noProof/>
          <w:lang w:val="lv-LV"/>
        </w:rPr>
        <w:t>SPRIEDUMS</w:t>
      </w:r>
    </w:p>
    <w:p w14:paraId="4DFF7B0D" w14:textId="5DEB9BF5" w:rsidR="00180533" w:rsidRPr="00C33162" w:rsidRDefault="00180533" w:rsidP="00180533">
      <w:pPr>
        <w:jc w:val="center"/>
        <w:rPr>
          <w:b/>
        </w:rPr>
      </w:pPr>
      <w:r w:rsidRPr="00C33162">
        <w:rPr>
          <w:b/>
        </w:rPr>
        <w:t>Lieta Nr. </w:t>
      </w:r>
      <w:r w:rsidR="00440963" w:rsidRPr="00440963">
        <w:rPr>
          <w:b/>
        </w:rPr>
        <w:t>A420333115</w:t>
      </w:r>
    </w:p>
    <w:p w14:paraId="22149C82" w14:textId="400E64ED" w:rsidR="00180533" w:rsidRDefault="00440963" w:rsidP="00440963">
      <w:pPr>
        <w:spacing w:line="276" w:lineRule="auto"/>
        <w:jc w:val="center"/>
      </w:pPr>
      <w:r w:rsidRPr="00440963">
        <w:rPr>
          <w:b/>
          <w:lang w:eastAsia="lv-LV"/>
        </w:rPr>
        <w:t>SKA-860/2017</w:t>
      </w:r>
    </w:p>
    <w:p w14:paraId="0BC4E7BF" w14:textId="77777777" w:rsidR="00180533" w:rsidRDefault="00180533" w:rsidP="007F0C61">
      <w:pPr>
        <w:spacing w:line="276" w:lineRule="auto"/>
        <w:jc w:val="right"/>
      </w:pPr>
    </w:p>
    <w:p w14:paraId="38A0C3E9" w14:textId="5173A769" w:rsidR="007F0C61" w:rsidRPr="00B17B0C" w:rsidRDefault="007F0C61" w:rsidP="007F0C61">
      <w:pPr>
        <w:spacing w:line="276" w:lineRule="auto"/>
        <w:ind w:firstLine="567"/>
        <w:jc w:val="both"/>
      </w:pPr>
      <w:r w:rsidRPr="00B17B0C">
        <w:t>Augstākā tiesa šādā sastāvā:</w:t>
      </w:r>
    </w:p>
    <w:p w14:paraId="0A88895B" w14:textId="6F453E49" w:rsidR="007F0C61" w:rsidRPr="00B17B0C" w:rsidRDefault="007F0C61" w:rsidP="007F0C61">
      <w:pPr>
        <w:tabs>
          <w:tab w:val="left" w:pos="540"/>
          <w:tab w:val="left" w:pos="3240"/>
        </w:tabs>
        <w:spacing w:line="276" w:lineRule="auto"/>
        <w:ind w:firstLine="1134"/>
        <w:jc w:val="both"/>
      </w:pPr>
      <w:r w:rsidRPr="00B17B0C">
        <w:t xml:space="preserve">tiesnese </w:t>
      </w:r>
      <w:r w:rsidR="001C0499">
        <w:t>Veronika Krūmiņa</w:t>
      </w:r>
    </w:p>
    <w:p w14:paraId="330A1504" w14:textId="17079401" w:rsidR="007F0C61" w:rsidRPr="00B17B0C" w:rsidRDefault="007F0C61" w:rsidP="007F0C61">
      <w:pPr>
        <w:tabs>
          <w:tab w:val="left" w:pos="3240"/>
        </w:tabs>
        <w:spacing w:line="276" w:lineRule="auto"/>
        <w:ind w:firstLine="1134"/>
        <w:jc w:val="both"/>
      </w:pPr>
      <w:r>
        <w:t>tiesnes</w:t>
      </w:r>
      <w:r w:rsidR="001C0499">
        <w:t>e</w:t>
      </w:r>
      <w:r>
        <w:t xml:space="preserve"> </w:t>
      </w:r>
      <w:r w:rsidR="001C0499">
        <w:t>Anita Kovaļevska</w:t>
      </w:r>
    </w:p>
    <w:p w14:paraId="24D513B2" w14:textId="31DA547F" w:rsidR="007F0C61" w:rsidRPr="00B17B0C" w:rsidRDefault="007F0C61" w:rsidP="007F0C61">
      <w:pPr>
        <w:tabs>
          <w:tab w:val="left" w:pos="3240"/>
        </w:tabs>
        <w:spacing w:line="276" w:lineRule="auto"/>
        <w:ind w:firstLine="1134"/>
        <w:jc w:val="both"/>
      </w:pPr>
      <w:r w:rsidRPr="00B17B0C">
        <w:t>tiesnese</w:t>
      </w:r>
      <w:r>
        <w:t xml:space="preserve"> </w:t>
      </w:r>
      <w:r w:rsidR="001C0499">
        <w:t>Ilze Skultāne</w:t>
      </w:r>
    </w:p>
    <w:p w14:paraId="1D6153F4" w14:textId="77777777" w:rsidR="007F0C61" w:rsidRPr="00B17B0C" w:rsidRDefault="007F0C61" w:rsidP="007F0C61">
      <w:pPr>
        <w:spacing w:line="276" w:lineRule="auto"/>
        <w:ind w:firstLine="567"/>
        <w:jc w:val="both"/>
      </w:pPr>
    </w:p>
    <w:p w14:paraId="39DE8BA3" w14:textId="28F0B8BF" w:rsidR="007F0C61" w:rsidRPr="00B17B0C" w:rsidRDefault="002A396F" w:rsidP="007F0C61">
      <w:pPr>
        <w:spacing w:line="276" w:lineRule="auto"/>
        <w:ind w:firstLine="567"/>
        <w:jc w:val="both"/>
      </w:pPr>
      <w:r>
        <w:t>rakstveida procesā</w:t>
      </w:r>
      <w:r w:rsidR="007F0C61" w:rsidRPr="00B17B0C">
        <w:t xml:space="preserve"> izskatīja </w:t>
      </w:r>
      <w:proofErr w:type="gramStart"/>
      <w:r w:rsidR="003F1FBB">
        <w:t>[</w:t>
      </w:r>
      <w:proofErr w:type="gramEnd"/>
      <w:r w:rsidR="003F1FBB">
        <w:t xml:space="preserve">pers. A] </w:t>
      </w:r>
      <w:r w:rsidR="007F0C61" w:rsidRPr="00B17B0C">
        <w:t xml:space="preserve">kasācijas sūdzību par </w:t>
      </w:r>
      <w:r w:rsidR="007F0C61" w:rsidRPr="001D1C82">
        <w:t xml:space="preserve">Administratīvās apgabaltiesas </w:t>
      </w:r>
      <w:proofErr w:type="gramStart"/>
      <w:r w:rsidR="007F0C61" w:rsidRPr="001D1C82">
        <w:t>201</w:t>
      </w:r>
      <w:r w:rsidR="007F0C61">
        <w:t>6</w:t>
      </w:r>
      <w:r w:rsidR="007F0C61" w:rsidRPr="001D1C82">
        <w:t>.gada</w:t>
      </w:r>
      <w:proofErr w:type="gramEnd"/>
      <w:r w:rsidR="007F0C61" w:rsidRPr="001D1C82">
        <w:t xml:space="preserve"> </w:t>
      </w:r>
      <w:r w:rsidR="007F0C61">
        <w:t>19</w:t>
      </w:r>
      <w:r w:rsidR="007F0C61" w:rsidRPr="001D1C82">
        <w:t>.</w:t>
      </w:r>
      <w:r w:rsidR="007F0C61">
        <w:t>decemb</w:t>
      </w:r>
      <w:r w:rsidR="007F0C61" w:rsidRPr="001D1C82">
        <w:t>ra spriedumu</w:t>
      </w:r>
      <w:r w:rsidR="007F0C61" w:rsidRPr="00B17B0C">
        <w:t xml:space="preserve"> administratīvajā lietā, kas ierosināta, pamatojoties uz </w:t>
      </w:r>
      <w:r w:rsidR="003F1FBB">
        <w:t xml:space="preserve">[pers. A] </w:t>
      </w:r>
      <w:r w:rsidR="007F0C61" w:rsidRPr="001D1C82">
        <w:t xml:space="preserve">pieteikumu par </w:t>
      </w:r>
      <w:r w:rsidR="007F0C61">
        <w:t xml:space="preserve">Tieslietu ministrijas zvērinātu tiesu izpildītāju disciplinārlietu komisijas </w:t>
      </w:r>
      <w:proofErr w:type="gramStart"/>
      <w:r w:rsidR="007F0C61">
        <w:t>2015.gada</w:t>
      </w:r>
      <w:proofErr w:type="gramEnd"/>
      <w:r w:rsidR="007F0C61">
        <w:t xml:space="preserve"> 9.oktobra lēmuma atcelšanu</w:t>
      </w:r>
      <w:r w:rsidR="007F0C61" w:rsidRPr="00B17B0C">
        <w:t>.</w:t>
      </w:r>
    </w:p>
    <w:p w14:paraId="299FB772" w14:textId="77777777" w:rsidR="007F0C61" w:rsidRPr="00B17B0C" w:rsidRDefault="007F0C61" w:rsidP="007F0C61">
      <w:pPr>
        <w:spacing w:line="276" w:lineRule="auto"/>
        <w:ind w:firstLine="567"/>
        <w:jc w:val="both"/>
      </w:pPr>
    </w:p>
    <w:p w14:paraId="6F4D51F9" w14:textId="77777777" w:rsidR="007F0C61" w:rsidRPr="00B17B0C" w:rsidRDefault="007F0C61" w:rsidP="007F0C61">
      <w:pPr>
        <w:pStyle w:val="ATvirsraksts"/>
      </w:pPr>
      <w:r w:rsidRPr="00B17B0C">
        <w:t>Aprakstošā daļa</w:t>
      </w:r>
    </w:p>
    <w:p w14:paraId="044EBB31" w14:textId="77777777" w:rsidR="007F0C61" w:rsidRPr="00B17B0C" w:rsidRDefault="007F0C61" w:rsidP="007F0C61">
      <w:pPr>
        <w:spacing w:line="276" w:lineRule="auto"/>
        <w:ind w:firstLine="567"/>
        <w:jc w:val="both"/>
      </w:pPr>
    </w:p>
    <w:p w14:paraId="68126377" w14:textId="425D1920" w:rsidR="00CA173A" w:rsidRDefault="007F0C61" w:rsidP="00CA173A">
      <w:pPr>
        <w:spacing w:line="276" w:lineRule="auto"/>
        <w:ind w:firstLine="567"/>
        <w:jc w:val="both"/>
      </w:pPr>
      <w:r w:rsidRPr="00D01F4A">
        <w:t xml:space="preserve">[1] Administratīvā apgabaltiesa ar </w:t>
      </w:r>
      <w:proofErr w:type="gramStart"/>
      <w:r w:rsidRPr="00D01F4A">
        <w:t>201</w:t>
      </w:r>
      <w:r>
        <w:t>6</w:t>
      </w:r>
      <w:r w:rsidRPr="00D01F4A">
        <w:t>.gada</w:t>
      </w:r>
      <w:proofErr w:type="gramEnd"/>
      <w:r w:rsidRPr="00D01F4A">
        <w:t xml:space="preserve"> </w:t>
      </w:r>
      <w:r>
        <w:t>19</w:t>
      </w:r>
      <w:r w:rsidRPr="001D1C82">
        <w:t>.</w:t>
      </w:r>
      <w:r>
        <w:t>decemb</w:t>
      </w:r>
      <w:r w:rsidRPr="001D1C82">
        <w:t xml:space="preserve">ra </w:t>
      </w:r>
      <w:r w:rsidRPr="00D01F4A">
        <w:t xml:space="preserve">spriedumu </w:t>
      </w:r>
      <w:r>
        <w:t xml:space="preserve">noraidīja </w:t>
      </w:r>
      <w:r w:rsidR="003F1FBB">
        <w:t>[pers. A]</w:t>
      </w:r>
      <w:proofErr w:type="gramStart"/>
      <w:r w:rsidR="003F1FBB">
        <w:t xml:space="preserve"> </w:t>
      </w:r>
      <w:r>
        <w:t xml:space="preserve"> </w:t>
      </w:r>
      <w:proofErr w:type="gramEnd"/>
      <w:r>
        <w:t>pieteikumu par Tieslietu ministrijas zvērinātu tiesu izpildītāju disciplinārlietu komisijas 2015.gada 9.oktobra lēmuma Nr. 1-4.4/8 atcelšanu. Apgabaltiesas spriedums pamatots ar turpmāk minētajiem argumentiem.</w:t>
      </w:r>
    </w:p>
    <w:p w14:paraId="36009B97" w14:textId="22322700" w:rsidR="008D33A3" w:rsidRPr="00564020" w:rsidRDefault="007F0C61" w:rsidP="008D33A3">
      <w:pPr>
        <w:spacing w:line="276" w:lineRule="auto"/>
        <w:ind w:firstLine="567"/>
        <w:jc w:val="both"/>
        <w:rPr>
          <w:rFonts w:ascii="TimesNewRomanPSMT" w:eastAsiaTheme="minorHAnsi" w:hAnsi="TimesNewRomanPSMT" w:cs="TimesNewRomanPSMT"/>
          <w:lang w:eastAsia="en-US"/>
        </w:rPr>
      </w:pPr>
      <w:r w:rsidRPr="00564020">
        <w:t xml:space="preserve">[1.1] </w:t>
      </w:r>
      <w:r w:rsidR="00CA173A" w:rsidRPr="00564020">
        <w:rPr>
          <w:rFonts w:ascii="TimesNewRomanPSMT" w:eastAsiaTheme="minorHAnsi" w:hAnsi="TimesNewRomanPSMT" w:cs="TimesNewRomanPSMT"/>
          <w:lang w:eastAsia="en-US"/>
        </w:rPr>
        <w:t xml:space="preserve">Ar Rīgas apgabaltiesas </w:t>
      </w:r>
      <w:proofErr w:type="gramStart"/>
      <w:r w:rsidR="00CA173A" w:rsidRPr="00564020">
        <w:rPr>
          <w:rFonts w:ascii="TimesNewRomanPSMT" w:eastAsiaTheme="minorHAnsi" w:hAnsi="TimesNewRomanPSMT" w:cs="TimesNewRomanPSMT"/>
          <w:lang w:eastAsia="en-US"/>
        </w:rPr>
        <w:t>2015.gada</w:t>
      </w:r>
      <w:proofErr w:type="gramEnd"/>
      <w:r w:rsidR="00CA173A" w:rsidRPr="00564020">
        <w:rPr>
          <w:rFonts w:ascii="TimesNewRomanPSMT" w:eastAsiaTheme="minorHAnsi" w:hAnsi="TimesNewRomanPSMT" w:cs="TimesNewRomanPSMT"/>
          <w:lang w:eastAsia="en-US"/>
        </w:rPr>
        <w:t xml:space="preserve"> 26.jūnija lēmumu civillietā Nr.</w:t>
      </w:r>
      <w:r w:rsidR="00212D71">
        <w:rPr>
          <w:rFonts w:ascii="TimesNewRomanPSMT" w:eastAsiaTheme="minorHAnsi" w:hAnsi="TimesNewRomanPSMT" w:cs="TimesNewRomanPSMT"/>
          <w:lang w:eastAsia="en-US"/>
        </w:rPr>
        <w:t> </w:t>
      </w:r>
      <w:r w:rsidR="00E7066D">
        <w:rPr>
          <w:rFonts w:ascii="TimesNewRomanPSMT" w:eastAsiaTheme="minorHAnsi" w:hAnsi="TimesNewRomanPSMT" w:cs="TimesNewRomanPSMT"/>
          <w:lang w:eastAsia="en-US"/>
        </w:rPr>
        <w:t>[..]</w:t>
      </w:r>
      <w:r w:rsidR="00CA173A" w:rsidRPr="00564020">
        <w:rPr>
          <w:rFonts w:ascii="TimesNewRomanPSMT" w:eastAsiaTheme="minorHAnsi" w:hAnsi="TimesNewRomanPSMT" w:cs="TimesNewRomanPSMT"/>
          <w:lang w:eastAsia="en-US"/>
        </w:rPr>
        <w:t xml:space="preserve"> </w:t>
      </w:r>
      <w:r w:rsidR="00AB037C">
        <w:rPr>
          <w:rFonts w:ascii="TimesNewRomanPSMT" w:eastAsiaTheme="minorHAnsi" w:hAnsi="TimesNewRomanPSMT" w:cs="TimesNewRomanPSMT"/>
          <w:lang w:eastAsia="en-US"/>
        </w:rPr>
        <w:t xml:space="preserve">(turpmāk – lēmums civillietā) </w:t>
      </w:r>
      <w:r w:rsidR="00CA173A" w:rsidRPr="00564020">
        <w:rPr>
          <w:rFonts w:ascii="TimesNewRomanPSMT" w:eastAsiaTheme="minorHAnsi" w:hAnsi="TimesNewRomanPSMT" w:cs="TimesNewRomanPSMT"/>
          <w:lang w:eastAsia="en-US"/>
        </w:rPr>
        <w:t xml:space="preserve">atzīta par prettiesisku pieteicējas rīcība, neizmaksājot naudas līdzekļus SIA </w:t>
      </w:r>
      <w:r w:rsidR="00CA173A" w:rsidRPr="00564020">
        <w:rPr>
          <w:rFonts w:ascii="TimesNewRomanPSMT" w:eastAsiaTheme="minorHAnsi" w:hAnsi="TimesNewRomanPSMT" w:cs="TimesNewRomanPSMT"/>
          <w:lang w:eastAsia="en-US"/>
        </w:rPr>
        <w:lastRenderedPageBreak/>
        <w:t>„RT Piedziņa”</w:t>
      </w:r>
      <w:r w:rsidR="003F3185">
        <w:rPr>
          <w:rFonts w:ascii="TimesNewRomanPSMT" w:eastAsiaTheme="minorHAnsi" w:hAnsi="TimesNewRomanPSMT" w:cs="TimesNewRomanPSMT"/>
          <w:lang w:eastAsia="en-US"/>
        </w:rPr>
        <w:t xml:space="preserve"> (turpmāk – sabiedrība)</w:t>
      </w:r>
      <w:r w:rsidR="00CA173A" w:rsidRPr="00564020">
        <w:rPr>
          <w:rFonts w:ascii="TimesNewRomanPSMT" w:eastAsiaTheme="minorHAnsi" w:hAnsi="TimesNewRomanPSMT" w:cs="TimesNewRomanPSMT"/>
          <w:lang w:eastAsia="en-US"/>
        </w:rPr>
        <w:t>, kā arī uzlikts pienākums naudas līdzekļus izmaksāt. Tādējādi pieteicējas kā zvērinātas tiesu izpildītājas rīcības tiesiskums ir novērtēts normatīvajos aktos noteiktajā kārtībā.</w:t>
      </w:r>
    </w:p>
    <w:p w14:paraId="1956310F" w14:textId="7A30EA91" w:rsidR="00B247DF" w:rsidRPr="00564020" w:rsidRDefault="008D33A3" w:rsidP="00B247DF">
      <w:pPr>
        <w:spacing w:line="276" w:lineRule="auto"/>
        <w:ind w:firstLine="567"/>
        <w:jc w:val="both"/>
        <w:rPr>
          <w:rFonts w:ascii="TimesNewRomanPSMT" w:eastAsiaTheme="minorHAnsi" w:hAnsi="TimesNewRomanPSMT" w:cs="TimesNewRomanPSMT"/>
          <w:lang w:eastAsia="en-US"/>
        </w:rPr>
      </w:pPr>
      <w:r w:rsidRPr="00564020">
        <w:rPr>
          <w:rFonts w:ascii="TimesNewRomanPSMT" w:eastAsiaTheme="minorHAnsi" w:hAnsi="TimesNewRomanPSMT" w:cs="TimesNewRomanPSMT"/>
          <w:lang w:eastAsia="en-US"/>
        </w:rPr>
        <w:t xml:space="preserve">Ar </w:t>
      </w:r>
      <w:r w:rsidR="00AD5640">
        <w:rPr>
          <w:rFonts w:ascii="TimesNewRomanPSMT" w:eastAsiaTheme="minorHAnsi" w:hAnsi="TimesNewRomanPSMT" w:cs="TimesNewRomanPSMT"/>
          <w:lang w:eastAsia="en-US"/>
        </w:rPr>
        <w:t>pārsūdzēto l</w:t>
      </w:r>
      <w:r w:rsidRPr="00564020">
        <w:rPr>
          <w:rFonts w:ascii="TimesNewRomanPSMT" w:eastAsiaTheme="minorHAnsi" w:hAnsi="TimesNewRomanPSMT" w:cs="TimesNewRomanPSMT"/>
          <w:lang w:eastAsia="en-US"/>
        </w:rPr>
        <w:t xml:space="preserve">ēmumu, </w:t>
      </w:r>
      <w:r w:rsidR="00D97C48">
        <w:rPr>
          <w:rFonts w:ascii="TimesNewRomanPSMT" w:eastAsiaTheme="minorHAnsi" w:hAnsi="TimesNewRomanPSMT" w:cs="TimesNewRomanPSMT"/>
          <w:lang w:eastAsia="en-US"/>
        </w:rPr>
        <w:t xml:space="preserve">tostarp </w:t>
      </w:r>
      <w:r w:rsidRPr="00564020">
        <w:rPr>
          <w:rFonts w:ascii="TimesNewRomanPSMT" w:eastAsiaTheme="minorHAnsi" w:hAnsi="TimesNewRomanPSMT" w:cs="TimesNewRomanPSMT"/>
          <w:lang w:eastAsia="en-US"/>
        </w:rPr>
        <w:t>atsaucoties uz lēmumu civillietā, pieteicēja kā zvērināta tiesu izpildītāja saukta pie disciplināratbildības</w:t>
      </w:r>
      <w:r w:rsidR="00A86994">
        <w:rPr>
          <w:rFonts w:ascii="TimesNewRomanPSMT" w:eastAsiaTheme="minorHAnsi" w:hAnsi="TimesNewRomanPSMT" w:cs="TimesNewRomanPSMT"/>
          <w:lang w:eastAsia="en-US"/>
        </w:rPr>
        <w:t>, izsakot rājienu,</w:t>
      </w:r>
      <w:r w:rsidRPr="00564020">
        <w:rPr>
          <w:rFonts w:ascii="TimesNewRomanPSMT" w:eastAsiaTheme="minorHAnsi" w:hAnsi="TimesNewRomanPSMT" w:cs="TimesNewRomanPSMT"/>
          <w:lang w:eastAsia="en-US"/>
        </w:rPr>
        <w:t xml:space="preserve"> par to, ka izpildu raksta civillietā izpildē aiz rupjas neuzmanības ir </w:t>
      </w:r>
      <w:r w:rsidR="00475253">
        <w:rPr>
          <w:rFonts w:ascii="TimesNewRomanPSMT" w:eastAsiaTheme="minorHAnsi" w:hAnsi="TimesNewRomanPSMT" w:cs="TimesNewRomanPSMT"/>
          <w:lang w:eastAsia="en-US"/>
        </w:rPr>
        <w:t>pārkāpusi</w:t>
      </w:r>
      <w:r w:rsidRPr="00564020">
        <w:rPr>
          <w:rFonts w:ascii="TimesNewRomanPSMT" w:eastAsiaTheme="minorHAnsi" w:hAnsi="TimesNewRomanPSMT" w:cs="TimesNewRomanPSMT"/>
          <w:lang w:eastAsia="en-US"/>
        </w:rPr>
        <w:t xml:space="preserve"> Ci</w:t>
      </w:r>
      <w:r w:rsidR="00475253">
        <w:rPr>
          <w:rFonts w:ascii="TimesNewRomanPSMT" w:eastAsiaTheme="minorHAnsi" w:hAnsi="TimesNewRomanPSMT" w:cs="TimesNewRomanPSMT"/>
          <w:lang w:eastAsia="en-US"/>
        </w:rPr>
        <w:t>vilprocesa likuma 621.panta otro</w:t>
      </w:r>
      <w:r w:rsidRPr="00564020">
        <w:rPr>
          <w:rFonts w:ascii="TimesNewRomanPSMT" w:eastAsiaTheme="minorHAnsi" w:hAnsi="TimesNewRomanPSMT" w:cs="TimesNewRomanPSMT"/>
          <w:lang w:eastAsia="en-US"/>
        </w:rPr>
        <w:t xml:space="preserve"> daļ</w:t>
      </w:r>
      <w:r w:rsidR="00475253">
        <w:rPr>
          <w:rFonts w:ascii="TimesNewRomanPSMT" w:eastAsiaTheme="minorHAnsi" w:hAnsi="TimesNewRomanPSMT" w:cs="TimesNewRomanPSMT"/>
          <w:lang w:eastAsia="en-US"/>
        </w:rPr>
        <w:t>u</w:t>
      </w:r>
      <w:r w:rsidRPr="00564020">
        <w:rPr>
          <w:rFonts w:ascii="TimesNewRomanPSMT" w:eastAsiaTheme="minorHAnsi" w:hAnsi="TimesNewRomanPSMT" w:cs="TimesNewRomanPSMT"/>
          <w:lang w:eastAsia="en-US"/>
        </w:rPr>
        <w:t xml:space="preserve"> un Tiesu izpildītāju likuma </w:t>
      </w:r>
      <w:r w:rsidR="00475253">
        <w:rPr>
          <w:rFonts w:ascii="TimesNewRomanPSMT" w:eastAsiaTheme="minorHAnsi" w:hAnsi="TimesNewRomanPSMT" w:cs="TimesNewRomanPSMT"/>
          <w:lang w:eastAsia="en-US"/>
        </w:rPr>
        <w:t>45.panta pirmo</w:t>
      </w:r>
      <w:r w:rsidR="00475253" w:rsidRPr="00564020">
        <w:rPr>
          <w:rFonts w:ascii="TimesNewRomanPSMT" w:eastAsiaTheme="minorHAnsi" w:hAnsi="TimesNewRomanPSMT" w:cs="TimesNewRomanPSMT"/>
          <w:lang w:eastAsia="en-US"/>
        </w:rPr>
        <w:t xml:space="preserve"> daļ</w:t>
      </w:r>
      <w:r w:rsidR="00475253">
        <w:rPr>
          <w:rFonts w:ascii="TimesNewRomanPSMT" w:eastAsiaTheme="minorHAnsi" w:hAnsi="TimesNewRomanPSMT" w:cs="TimesNewRomanPSMT"/>
          <w:lang w:eastAsia="en-US"/>
        </w:rPr>
        <w:t>u un</w:t>
      </w:r>
      <w:r w:rsidR="00475253" w:rsidRPr="00564020">
        <w:rPr>
          <w:rFonts w:ascii="TimesNewRomanPSMT" w:eastAsiaTheme="minorHAnsi" w:hAnsi="TimesNewRomanPSMT" w:cs="TimesNewRomanPSMT"/>
          <w:lang w:eastAsia="en-US"/>
        </w:rPr>
        <w:t xml:space="preserve"> </w:t>
      </w:r>
      <w:r w:rsidR="00475253">
        <w:rPr>
          <w:rFonts w:ascii="TimesNewRomanPSMT" w:eastAsiaTheme="minorHAnsi" w:hAnsi="TimesNewRomanPSMT" w:cs="TimesNewRomanPSMT"/>
          <w:lang w:eastAsia="en-US"/>
        </w:rPr>
        <w:t>152.panta trešo</w:t>
      </w:r>
      <w:r w:rsidRPr="00564020">
        <w:rPr>
          <w:rFonts w:ascii="TimesNewRomanPSMT" w:eastAsiaTheme="minorHAnsi" w:hAnsi="TimesNewRomanPSMT" w:cs="TimesNewRomanPSMT"/>
          <w:lang w:eastAsia="en-US"/>
        </w:rPr>
        <w:t xml:space="preserve"> daļu</w:t>
      </w:r>
      <w:r w:rsidR="00A86994">
        <w:rPr>
          <w:rFonts w:ascii="TimesNewRomanPSMT" w:eastAsiaTheme="minorHAnsi" w:hAnsi="TimesNewRomanPSMT" w:cs="TimesNewRomanPSMT"/>
          <w:lang w:eastAsia="en-US"/>
        </w:rPr>
        <w:t>. Lēmumā atzīts, ka</w:t>
      </w:r>
      <w:r w:rsidRPr="00564020">
        <w:rPr>
          <w:rFonts w:ascii="TimesNewRomanPSMT" w:eastAsiaTheme="minorHAnsi" w:hAnsi="TimesNewRomanPSMT" w:cs="TimesNewRomanPSMT"/>
          <w:lang w:eastAsia="en-US"/>
        </w:rPr>
        <w:t xml:space="preserve"> pārkāpums ir būtisks un radījis kaitējumu pri</w:t>
      </w:r>
      <w:r w:rsidR="00A86994">
        <w:rPr>
          <w:rFonts w:ascii="TimesNewRomanPSMT" w:eastAsiaTheme="minorHAnsi" w:hAnsi="TimesNewRomanPSMT" w:cs="TimesNewRomanPSMT"/>
          <w:lang w:eastAsia="en-US"/>
        </w:rPr>
        <w:t>vātpersonas un valsts interesēm</w:t>
      </w:r>
      <w:r w:rsidRPr="00564020">
        <w:rPr>
          <w:rFonts w:ascii="TimesNewRomanPSMT" w:eastAsiaTheme="minorHAnsi" w:hAnsi="TimesNewRomanPSMT" w:cs="TimesNewRomanPSMT"/>
          <w:lang w:eastAsia="en-US"/>
        </w:rPr>
        <w:t>.</w:t>
      </w:r>
    </w:p>
    <w:p w14:paraId="6C07557A" w14:textId="75D54D0B" w:rsidR="00395C49" w:rsidRDefault="00B247DF" w:rsidP="004D29FD">
      <w:pPr>
        <w:spacing w:line="276" w:lineRule="auto"/>
        <w:ind w:firstLine="567"/>
        <w:jc w:val="both"/>
        <w:rPr>
          <w:rFonts w:ascii="TimesNewRomanPSMT" w:eastAsiaTheme="minorHAnsi" w:hAnsi="TimesNewRomanPSMT" w:cs="TimesNewRomanPSMT"/>
          <w:color w:val="000000"/>
          <w:lang w:eastAsia="en-US"/>
        </w:rPr>
      </w:pPr>
      <w:r w:rsidRPr="00564020">
        <w:rPr>
          <w:rFonts w:ascii="TimesNewRomanPSMT" w:eastAsiaTheme="minorHAnsi" w:hAnsi="TimesNewRomanPSMT" w:cs="TimesNewRomanPSMT"/>
          <w:lang w:eastAsia="en-US"/>
        </w:rPr>
        <w:t>[</w:t>
      </w:r>
      <w:r w:rsidR="00A21934">
        <w:rPr>
          <w:rFonts w:ascii="TimesNewRomanPSMT" w:eastAsiaTheme="minorHAnsi" w:hAnsi="TimesNewRomanPSMT" w:cs="TimesNewRomanPSMT"/>
          <w:lang w:eastAsia="en-US"/>
        </w:rPr>
        <w:t>1.2</w:t>
      </w:r>
      <w:r w:rsidRPr="00564020">
        <w:rPr>
          <w:rFonts w:ascii="TimesNewRomanPSMT" w:eastAsiaTheme="minorHAnsi" w:hAnsi="TimesNewRomanPSMT" w:cs="TimesNewRomanPSMT"/>
          <w:lang w:eastAsia="en-US"/>
        </w:rPr>
        <w:t xml:space="preserve">] </w:t>
      </w:r>
      <w:r w:rsidR="00A21934">
        <w:rPr>
          <w:rFonts w:ascii="TimesNewRomanPSMT" w:eastAsiaTheme="minorHAnsi" w:hAnsi="TimesNewRomanPSMT" w:cs="TimesNewRomanPSMT"/>
          <w:lang w:eastAsia="en-US"/>
        </w:rPr>
        <w:t xml:space="preserve">Ievērojot </w:t>
      </w:r>
      <w:r w:rsidRPr="00564020">
        <w:rPr>
          <w:rFonts w:ascii="TimesNewRomanPSMT" w:eastAsiaTheme="minorHAnsi" w:hAnsi="TimesNewRomanPSMT" w:cs="TimesNewRomanPSMT"/>
          <w:color w:val="000000"/>
          <w:lang w:eastAsia="en-US"/>
        </w:rPr>
        <w:t xml:space="preserve">Tiesu izpildītāju likuma </w:t>
      </w:r>
      <w:proofErr w:type="gramStart"/>
      <w:r w:rsidRPr="00564020">
        <w:rPr>
          <w:rFonts w:ascii="TimesNewRomanPSMT" w:eastAsiaTheme="minorHAnsi" w:hAnsi="TimesNewRomanPSMT" w:cs="TimesNewRomanPSMT"/>
          <w:color w:val="000000"/>
          <w:lang w:eastAsia="en-US"/>
        </w:rPr>
        <w:t>57.panta</w:t>
      </w:r>
      <w:proofErr w:type="gramEnd"/>
      <w:r w:rsidRPr="00564020">
        <w:rPr>
          <w:rFonts w:ascii="TimesNewRomanPSMT" w:eastAsiaTheme="minorHAnsi" w:hAnsi="TimesNewRomanPSMT" w:cs="TimesNewRomanPSMT"/>
          <w:color w:val="000000"/>
          <w:lang w:eastAsia="en-US"/>
        </w:rPr>
        <w:t xml:space="preserve"> pirm</w:t>
      </w:r>
      <w:r w:rsidR="00054989">
        <w:rPr>
          <w:rFonts w:ascii="TimesNewRomanPSMT" w:eastAsiaTheme="minorHAnsi" w:hAnsi="TimesNewRomanPSMT" w:cs="TimesNewRomanPSMT"/>
          <w:color w:val="000000"/>
          <w:lang w:eastAsia="en-US"/>
        </w:rPr>
        <w:t>o</w:t>
      </w:r>
      <w:r w:rsidRPr="00564020">
        <w:rPr>
          <w:rFonts w:ascii="TimesNewRomanPSMT" w:eastAsiaTheme="minorHAnsi" w:hAnsi="TimesNewRomanPSMT" w:cs="TimesNewRomanPSMT"/>
          <w:color w:val="000000"/>
          <w:lang w:eastAsia="en-US"/>
        </w:rPr>
        <w:t xml:space="preserve"> daļ</w:t>
      </w:r>
      <w:r w:rsidR="00054989">
        <w:rPr>
          <w:rFonts w:ascii="TimesNewRomanPSMT" w:eastAsiaTheme="minorHAnsi" w:hAnsi="TimesNewRomanPSMT" w:cs="TimesNewRomanPSMT"/>
          <w:color w:val="000000"/>
          <w:lang w:eastAsia="en-US"/>
        </w:rPr>
        <w:t>u</w:t>
      </w:r>
      <w:r w:rsidR="00A21934">
        <w:rPr>
          <w:rFonts w:ascii="TimesNewRomanPSMT" w:eastAsiaTheme="minorHAnsi" w:hAnsi="TimesNewRomanPSMT" w:cs="TimesNewRomanPSMT"/>
          <w:color w:val="000000"/>
          <w:lang w:eastAsia="en-US"/>
        </w:rPr>
        <w:t xml:space="preserve"> un </w:t>
      </w:r>
      <w:r w:rsidRPr="00564020">
        <w:rPr>
          <w:rFonts w:ascii="TimesNewRomanPSMT" w:eastAsiaTheme="minorHAnsi" w:hAnsi="TimesNewRomanPSMT" w:cs="TimesNewRomanPSMT"/>
          <w:color w:val="000000"/>
          <w:lang w:eastAsia="en-US"/>
        </w:rPr>
        <w:t>58.panta otr</w:t>
      </w:r>
      <w:r w:rsidR="00054989">
        <w:rPr>
          <w:rFonts w:ascii="TimesNewRomanPSMT" w:eastAsiaTheme="minorHAnsi" w:hAnsi="TimesNewRomanPSMT" w:cs="TimesNewRomanPSMT"/>
          <w:color w:val="000000"/>
          <w:lang w:eastAsia="en-US"/>
        </w:rPr>
        <w:t>o</w:t>
      </w:r>
      <w:r w:rsidR="00A21934">
        <w:rPr>
          <w:rFonts w:ascii="TimesNewRomanPSMT" w:eastAsiaTheme="minorHAnsi" w:hAnsi="TimesNewRomanPSMT" w:cs="TimesNewRomanPSMT"/>
          <w:color w:val="000000"/>
          <w:lang w:eastAsia="en-US"/>
        </w:rPr>
        <w:t xml:space="preserve"> </w:t>
      </w:r>
      <w:r w:rsidRPr="00564020">
        <w:rPr>
          <w:rFonts w:ascii="TimesNewRomanPSMT" w:eastAsiaTheme="minorHAnsi" w:hAnsi="TimesNewRomanPSMT" w:cs="TimesNewRomanPSMT"/>
          <w:color w:val="000000"/>
          <w:lang w:eastAsia="en-US"/>
        </w:rPr>
        <w:t>daļ</w:t>
      </w:r>
      <w:r w:rsidR="00054989">
        <w:rPr>
          <w:rFonts w:ascii="TimesNewRomanPSMT" w:eastAsiaTheme="minorHAnsi" w:hAnsi="TimesNewRomanPSMT" w:cs="TimesNewRomanPSMT"/>
          <w:color w:val="000000"/>
          <w:lang w:eastAsia="en-US"/>
        </w:rPr>
        <w:t>u</w:t>
      </w:r>
      <w:r w:rsidR="00A21934">
        <w:rPr>
          <w:rFonts w:ascii="TimesNewRomanPSMT" w:eastAsiaTheme="minorHAnsi" w:hAnsi="TimesNewRomanPSMT" w:cs="TimesNewRomanPSMT"/>
          <w:color w:val="000000"/>
          <w:lang w:eastAsia="en-US"/>
        </w:rPr>
        <w:t xml:space="preserve">, </w:t>
      </w:r>
      <w:r w:rsidR="00C26850">
        <w:rPr>
          <w:rFonts w:ascii="TimesNewRomanPSMT" w:eastAsiaTheme="minorHAnsi" w:hAnsi="TimesNewRomanPSMT" w:cs="TimesNewRomanPSMT"/>
          <w:color w:val="000000"/>
          <w:lang w:eastAsia="en-US"/>
        </w:rPr>
        <w:t xml:space="preserve">ja </w:t>
      </w:r>
      <w:r w:rsidR="00A21934">
        <w:rPr>
          <w:rFonts w:ascii="TimesNewRomanPSMT" w:eastAsiaTheme="minorHAnsi" w:hAnsi="TimesNewRomanPSMT" w:cs="TimesNewRomanPSMT"/>
          <w:color w:val="000000"/>
          <w:lang w:eastAsia="en-US"/>
        </w:rPr>
        <w:t>pie</w:t>
      </w:r>
      <w:r w:rsidRPr="00564020">
        <w:rPr>
          <w:rFonts w:ascii="TimesNewRomanPSMT" w:eastAsiaTheme="minorHAnsi" w:hAnsi="TimesNewRomanPSMT" w:cs="TimesNewRomanPSMT"/>
          <w:color w:val="000000"/>
          <w:lang w:eastAsia="en-US"/>
        </w:rPr>
        <w:t xml:space="preserve">teicējas darbība, atsakoties izmaksāt naudas līdzekļus, ir atcelta, tiesai, pārbaudot disciplinārsoda pamatotību, jāvērtē, vai pieteicēja, atsakoties izmaksāt naudas līdzekļus, ir pieļāvusi rupju neuzmanību, kā tas konstatēts </w:t>
      </w:r>
      <w:r w:rsidR="00395C49">
        <w:rPr>
          <w:rFonts w:ascii="TimesNewRomanPSMT" w:eastAsiaTheme="minorHAnsi" w:hAnsi="TimesNewRomanPSMT" w:cs="TimesNewRomanPSMT"/>
          <w:color w:val="000000"/>
          <w:lang w:eastAsia="en-US"/>
        </w:rPr>
        <w:t>pārsūdzētājā l</w:t>
      </w:r>
      <w:r w:rsidRPr="00564020">
        <w:rPr>
          <w:rFonts w:ascii="TimesNewRomanPSMT" w:eastAsiaTheme="minorHAnsi" w:hAnsi="TimesNewRomanPSMT" w:cs="TimesNewRomanPSMT"/>
          <w:color w:val="000000"/>
          <w:lang w:eastAsia="en-US"/>
        </w:rPr>
        <w:t>ēmumā.</w:t>
      </w:r>
    </w:p>
    <w:p w14:paraId="77F50D6D" w14:textId="14B2FD42" w:rsidR="004D29FD" w:rsidRPr="00564020" w:rsidRDefault="00B247DF" w:rsidP="004D29FD">
      <w:pPr>
        <w:spacing w:line="276" w:lineRule="auto"/>
        <w:ind w:firstLine="567"/>
        <w:jc w:val="both"/>
        <w:rPr>
          <w:rFonts w:ascii="TimesNewRomanPSMT" w:eastAsiaTheme="minorHAnsi" w:hAnsi="TimesNewRomanPSMT" w:cs="TimesNewRomanPSMT"/>
          <w:color w:val="000000"/>
          <w:lang w:eastAsia="en-US"/>
        </w:rPr>
      </w:pPr>
      <w:r w:rsidRPr="00564020">
        <w:rPr>
          <w:rFonts w:ascii="TimesNewRomanPSMT" w:eastAsiaTheme="minorHAnsi" w:hAnsi="TimesNewRomanPSMT" w:cs="TimesNewRomanPSMT"/>
          <w:color w:val="000000"/>
          <w:lang w:eastAsia="en-US"/>
        </w:rPr>
        <w:t>Tiesu izpildītāju likum</w:t>
      </w:r>
      <w:r w:rsidR="005E7AAA">
        <w:rPr>
          <w:rFonts w:ascii="TimesNewRomanPSMT" w:eastAsiaTheme="minorHAnsi" w:hAnsi="TimesNewRomanPSMT" w:cs="TimesNewRomanPSMT"/>
          <w:color w:val="000000"/>
          <w:lang w:eastAsia="en-US"/>
        </w:rPr>
        <w:t>s nesatur</w:t>
      </w:r>
      <w:r w:rsidRPr="00564020">
        <w:rPr>
          <w:rFonts w:ascii="TimesNewRomanPSMT" w:eastAsiaTheme="minorHAnsi" w:hAnsi="TimesNewRomanPSMT" w:cs="TimesNewRomanPSMT"/>
          <w:color w:val="000000"/>
          <w:lang w:eastAsia="en-US"/>
        </w:rPr>
        <w:t xml:space="preserve"> rupjas neuzmanības </w:t>
      </w:r>
      <w:proofErr w:type="spellStart"/>
      <w:r w:rsidRPr="00564020">
        <w:rPr>
          <w:rFonts w:ascii="TimesNewRomanPSMT" w:eastAsiaTheme="minorHAnsi" w:hAnsi="TimesNewRomanPSMT" w:cs="TimesNewRomanPSMT"/>
          <w:color w:val="000000"/>
          <w:lang w:eastAsia="en-US"/>
        </w:rPr>
        <w:t>legāldefinīcij</w:t>
      </w:r>
      <w:r w:rsidR="005E7AAA">
        <w:rPr>
          <w:rFonts w:ascii="TimesNewRomanPSMT" w:eastAsiaTheme="minorHAnsi" w:hAnsi="TimesNewRomanPSMT" w:cs="TimesNewRomanPSMT"/>
          <w:color w:val="000000"/>
          <w:lang w:eastAsia="en-US"/>
        </w:rPr>
        <w:t>u</w:t>
      </w:r>
      <w:proofErr w:type="spellEnd"/>
      <w:r w:rsidRPr="00564020">
        <w:rPr>
          <w:rFonts w:ascii="TimesNewRomanPSMT" w:eastAsiaTheme="minorHAnsi" w:hAnsi="TimesNewRomanPSMT" w:cs="TimesNewRomanPSMT"/>
          <w:color w:val="000000"/>
          <w:lang w:eastAsia="en-US"/>
        </w:rPr>
        <w:t>, tāpēc izmanto</w:t>
      </w:r>
      <w:r w:rsidR="00002899">
        <w:rPr>
          <w:rFonts w:ascii="TimesNewRomanPSMT" w:eastAsiaTheme="minorHAnsi" w:hAnsi="TimesNewRomanPSMT" w:cs="TimesNewRomanPSMT"/>
          <w:color w:val="000000"/>
          <w:lang w:eastAsia="en-US"/>
        </w:rPr>
        <w:t>jama</w:t>
      </w:r>
      <w:r w:rsidRPr="00564020">
        <w:rPr>
          <w:rFonts w:ascii="TimesNewRomanPSMT" w:eastAsiaTheme="minorHAnsi" w:hAnsi="TimesNewRomanPSMT" w:cs="TimesNewRomanPSMT"/>
          <w:color w:val="000000"/>
          <w:lang w:eastAsia="en-US"/>
        </w:rPr>
        <w:t xml:space="preserve"> Valsts civildienesta ierēdņu disciplināratbildības likuma </w:t>
      </w:r>
      <w:proofErr w:type="gramStart"/>
      <w:r w:rsidRPr="00564020">
        <w:rPr>
          <w:rFonts w:ascii="TimesNewRomanPSMT" w:eastAsiaTheme="minorHAnsi" w:hAnsi="TimesNewRomanPSMT" w:cs="TimesNewRomanPSMT"/>
          <w:color w:val="000000"/>
          <w:lang w:eastAsia="en-US"/>
        </w:rPr>
        <w:t>5.panta</w:t>
      </w:r>
      <w:proofErr w:type="gramEnd"/>
      <w:r w:rsidRPr="00564020">
        <w:rPr>
          <w:rFonts w:ascii="TimesNewRomanPSMT" w:eastAsiaTheme="minorHAnsi" w:hAnsi="TimesNewRomanPSMT" w:cs="TimesNewRomanPSMT"/>
          <w:color w:val="000000"/>
          <w:lang w:eastAsia="en-US"/>
        </w:rPr>
        <w:t xml:space="preserve"> piektajā daļā minēt</w:t>
      </w:r>
      <w:r w:rsidR="00002899">
        <w:rPr>
          <w:rFonts w:ascii="TimesNewRomanPSMT" w:eastAsiaTheme="minorHAnsi" w:hAnsi="TimesNewRomanPSMT" w:cs="TimesNewRomanPSMT"/>
          <w:color w:val="000000"/>
          <w:lang w:eastAsia="en-US"/>
        </w:rPr>
        <w:t>ais</w:t>
      </w:r>
      <w:r w:rsidRPr="00564020">
        <w:rPr>
          <w:rFonts w:ascii="TimesNewRomanPSMT" w:eastAsiaTheme="minorHAnsi" w:hAnsi="TimesNewRomanPSMT" w:cs="TimesNewRomanPSMT"/>
          <w:color w:val="000000"/>
          <w:lang w:eastAsia="en-US"/>
        </w:rPr>
        <w:t xml:space="preserve"> rupjas neuzmanības </w:t>
      </w:r>
      <w:proofErr w:type="spellStart"/>
      <w:r w:rsidRPr="00564020">
        <w:rPr>
          <w:rFonts w:ascii="TimesNewRomanPSMT" w:eastAsiaTheme="minorHAnsi" w:hAnsi="TimesNewRomanPSMT" w:cs="TimesNewRomanPSMT"/>
          <w:color w:val="000000"/>
          <w:lang w:eastAsia="en-US"/>
        </w:rPr>
        <w:t>legāldefinīcij</w:t>
      </w:r>
      <w:r w:rsidR="00002899">
        <w:rPr>
          <w:rFonts w:ascii="TimesNewRomanPSMT" w:eastAsiaTheme="minorHAnsi" w:hAnsi="TimesNewRomanPSMT" w:cs="TimesNewRomanPSMT"/>
          <w:color w:val="000000"/>
          <w:lang w:eastAsia="en-US"/>
        </w:rPr>
        <w:t>a</w:t>
      </w:r>
      <w:proofErr w:type="spellEnd"/>
      <w:r w:rsidRPr="00564020">
        <w:rPr>
          <w:rFonts w:ascii="TimesNewRomanPSMT" w:eastAsiaTheme="minorHAnsi" w:hAnsi="TimesNewRomanPSMT" w:cs="TimesNewRomanPSMT"/>
          <w:color w:val="000000"/>
          <w:lang w:eastAsia="en-US"/>
        </w:rPr>
        <w:t xml:space="preserve">, proti, </w:t>
      </w:r>
      <w:proofErr w:type="spellStart"/>
      <w:r w:rsidRPr="00564020">
        <w:rPr>
          <w:rFonts w:ascii="TimesNewRomanPSMT" w:eastAsiaTheme="minorHAnsi" w:hAnsi="TimesNewRomanPSMT" w:cs="TimesNewRomanPSMT"/>
          <w:color w:val="000000"/>
          <w:lang w:eastAsia="en-US"/>
        </w:rPr>
        <w:t>disciplinārpārkāpums</w:t>
      </w:r>
      <w:proofErr w:type="spellEnd"/>
      <w:r w:rsidRPr="00564020">
        <w:rPr>
          <w:rFonts w:ascii="TimesNewRomanPSMT" w:eastAsiaTheme="minorHAnsi" w:hAnsi="TimesNewRomanPSMT" w:cs="TimesNewRomanPSMT"/>
          <w:color w:val="000000"/>
          <w:lang w:eastAsia="en-US"/>
        </w:rPr>
        <w:t xml:space="preserve"> atzīstams par izdarītu aiz rupjas neuzmanības, ja ierēdnis, kas to izdarījis, ir apzinājies savas rīcības nelabvēlīgo seku iestāšanās iespēju, bet vieglprātīgi paļāvies, ka tās</w:t>
      </w:r>
      <w:r w:rsidR="007D3A54">
        <w:rPr>
          <w:rFonts w:ascii="TimesNewRomanPSMT" w:eastAsiaTheme="minorHAnsi" w:hAnsi="TimesNewRomanPSMT" w:cs="TimesNewRomanPSMT"/>
          <w:color w:val="000000"/>
          <w:lang w:eastAsia="en-US"/>
        </w:rPr>
        <w:t xml:space="preserve"> neiestāsies vai varēs novērst.</w:t>
      </w:r>
    </w:p>
    <w:p w14:paraId="0708545E" w14:textId="77777777" w:rsidR="00D54132" w:rsidRDefault="004D29FD" w:rsidP="00564020">
      <w:pPr>
        <w:spacing w:line="276" w:lineRule="auto"/>
        <w:ind w:firstLine="567"/>
        <w:jc w:val="both"/>
        <w:rPr>
          <w:rFonts w:ascii="TimesNewRomanPSMT" w:eastAsiaTheme="minorHAnsi" w:hAnsi="TimesNewRomanPSMT" w:cs="TimesNewRomanPSMT"/>
          <w:lang w:eastAsia="en-US"/>
        </w:rPr>
      </w:pPr>
      <w:r w:rsidRPr="00564020">
        <w:rPr>
          <w:rFonts w:ascii="TimesNewRomanPSMT" w:eastAsiaTheme="minorHAnsi" w:hAnsi="TimesNewRomanPSMT" w:cs="TimesNewRomanPSMT"/>
          <w:color w:val="000000"/>
          <w:lang w:eastAsia="en-US"/>
        </w:rPr>
        <w:t>[</w:t>
      </w:r>
      <w:r w:rsidR="008C36D5">
        <w:rPr>
          <w:rFonts w:ascii="TimesNewRomanPSMT" w:eastAsiaTheme="minorHAnsi" w:hAnsi="TimesNewRomanPSMT" w:cs="TimesNewRomanPSMT"/>
          <w:color w:val="000000"/>
          <w:lang w:eastAsia="en-US"/>
        </w:rPr>
        <w:t>1</w:t>
      </w:r>
      <w:r w:rsidR="00F903A5">
        <w:rPr>
          <w:rFonts w:ascii="TimesNewRomanPSMT" w:eastAsiaTheme="minorHAnsi" w:hAnsi="TimesNewRomanPSMT" w:cs="TimesNewRomanPSMT"/>
          <w:color w:val="000000"/>
          <w:lang w:eastAsia="en-US"/>
        </w:rPr>
        <w:t>.3</w:t>
      </w:r>
      <w:r w:rsidRPr="00564020">
        <w:rPr>
          <w:rFonts w:ascii="TimesNewRomanPSMT" w:eastAsiaTheme="minorHAnsi" w:hAnsi="TimesNewRomanPSMT" w:cs="TimesNewRomanPSMT"/>
          <w:color w:val="000000"/>
          <w:lang w:eastAsia="en-US"/>
        </w:rPr>
        <w:t>] Piet</w:t>
      </w:r>
      <w:r w:rsidR="00902F85">
        <w:rPr>
          <w:rFonts w:ascii="TimesNewRomanPSMT" w:eastAsiaTheme="minorHAnsi" w:hAnsi="TimesNewRomanPSMT" w:cs="TimesNewRomanPSMT"/>
          <w:color w:val="000000"/>
          <w:lang w:eastAsia="en-US"/>
        </w:rPr>
        <w:t>e</w:t>
      </w:r>
      <w:r w:rsidRPr="00564020">
        <w:rPr>
          <w:rFonts w:ascii="TimesNewRomanPSMT" w:eastAsiaTheme="minorHAnsi" w:hAnsi="TimesNewRomanPSMT" w:cs="TimesNewRomanPSMT"/>
          <w:color w:val="000000"/>
          <w:lang w:eastAsia="en-US"/>
        </w:rPr>
        <w:t>icēja uzskata, ka nav saucama pie disciplināratbildības, jo k</w:t>
      </w:r>
      <w:r w:rsidRPr="00564020">
        <w:rPr>
          <w:rFonts w:ascii="TimesNewRomanPSMT" w:eastAsiaTheme="minorHAnsi" w:hAnsi="TimesNewRomanPSMT" w:cs="TimesNewRomanPSMT"/>
          <w:lang w:eastAsia="en-US"/>
        </w:rPr>
        <w:t xml:space="preserve">onstatētā iztrūkuma dēļ pieteicēja bija nonākusi pienākumu un tiesību normu ievērošanas kolīzijas situācijā, jo depozīta kontā ieskaitītie naudas līdzekļi tiek piesaistīti konkrētai izpildu lietai, tie nedrīkst tikt izmaksāti citā izpildu lietā. Naudas līdzekļu iztrūkums depozīta kontā, kā arī ierosināts kriminālprocess par naudas līdzekļu iztrūkumu bija objektīvs iemesls, kādēļ nebija iespējams izpildīt spriedumu civillietā. Izmaksājot </w:t>
      </w:r>
      <w:r w:rsidR="00142036">
        <w:rPr>
          <w:rFonts w:ascii="TimesNewRomanPSMT" w:eastAsiaTheme="minorHAnsi" w:hAnsi="TimesNewRomanPSMT" w:cs="TimesNewRomanPSMT"/>
          <w:lang w:eastAsia="en-US"/>
        </w:rPr>
        <w:t>sabiedrībai</w:t>
      </w:r>
      <w:r w:rsidRPr="00564020">
        <w:rPr>
          <w:rFonts w:ascii="TimesNewRomanPSMT" w:eastAsiaTheme="minorHAnsi" w:hAnsi="TimesNewRomanPSMT" w:cs="TimesNewRomanPSMT"/>
          <w:lang w:eastAsia="en-US"/>
        </w:rPr>
        <w:t xml:space="preserve"> naudas līdzekļus no depozītu konta līdzekļiem, kuri piesaistīti konkrētām izpildu lietām, tiktu pieļauts </w:t>
      </w:r>
      <w:r w:rsidR="00C32FCC">
        <w:rPr>
          <w:rFonts w:ascii="TimesNewRomanPSMT" w:eastAsiaTheme="minorHAnsi" w:hAnsi="TimesNewRomanPSMT" w:cs="TimesNewRomanPSMT"/>
          <w:lang w:eastAsia="en-US"/>
        </w:rPr>
        <w:t xml:space="preserve">citu </w:t>
      </w:r>
      <w:r w:rsidRPr="00564020">
        <w:rPr>
          <w:rFonts w:ascii="TimesNewRomanPSMT" w:eastAsiaTheme="minorHAnsi" w:hAnsi="TimesNewRomanPSMT" w:cs="TimesNewRomanPSMT"/>
          <w:lang w:eastAsia="en-US"/>
        </w:rPr>
        <w:t>personu tiesību aizskārums</w:t>
      </w:r>
      <w:r w:rsidR="00D54132">
        <w:rPr>
          <w:rFonts w:ascii="TimesNewRomanPSMT" w:eastAsiaTheme="minorHAnsi" w:hAnsi="TimesNewRomanPSMT" w:cs="TimesNewRomanPSMT"/>
          <w:lang w:eastAsia="en-US"/>
        </w:rPr>
        <w:t>.</w:t>
      </w:r>
    </w:p>
    <w:p w14:paraId="1538FB0E" w14:textId="6102EB4B" w:rsidR="00564020" w:rsidRPr="00564020" w:rsidRDefault="004D29FD" w:rsidP="00564020">
      <w:pPr>
        <w:spacing w:line="276" w:lineRule="auto"/>
        <w:ind w:firstLine="567"/>
        <w:jc w:val="both"/>
        <w:rPr>
          <w:rFonts w:ascii="TimesNewRomanPSMT" w:eastAsiaTheme="minorHAnsi" w:hAnsi="TimesNewRomanPSMT" w:cs="TimesNewRomanPSMT"/>
          <w:lang w:eastAsia="en-US"/>
        </w:rPr>
      </w:pPr>
      <w:r w:rsidRPr="00564020">
        <w:rPr>
          <w:rFonts w:ascii="TimesNewRomanPSMT" w:eastAsiaTheme="minorHAnsi" w:hAnsi="TimesNewRomanPSMT" w:cs="TimesNewRomanPSMT"/>
          <w:lang w:eastAsia="en-US"/>
        </w:rPr>
        <w:t>Novērtē</w:t>
      </w:r>
      <w:r w:rsidR="00A2288A">
        <w:rPr>
          <w:rFonts w:ascii="TimesNewRomanPSMT" w:eastAsiaTheme="minorHAnsi" w:hAnsi="TimesNewRomanPSMT" w:cs="TimesNewRomanPSMT"/>
          <w:lang w:eastAsia="en-US"/>
        </w:rPr>
        <w:t xml:space="preserve">jot </w:t>
      </w:r>
      <w:r w:rsidRPr="00564020">
        <w:rPr>
          <w:rFonts w:ascii="TimesNewRomanPSMT" w:eastAsiaTheme="minorHAnsi" w:hAnsi="TimesNewRomanPSMT" w:cs="TimesNewRomanPSMT"/>
          <w:lang w:eastAsia="en-US"/>
        </w:rPr>
        <w:t>pierādījumus</w:t>
      </w:r>
      <w:r w:rsidR="00A2288A">
        <w:rPr>
          <w:rFonts w:ascii="TimesNewRomanPSMT" w:eastAsiaTheme="minorHAnsi" w:hAnsi="TimesNewRomanPSMT" w:cs="TimesNewRomanPSMT"/>
          <w:lang w:eastAsia="en-US"/>
        </w:rPr>
        <w:t xml:space="preserve"> lietā</w:t>
      </w:r>
      <w:r w:rsidR="00D54132">
        <w:rPr>
          <w:rFonts w:ascii="TimesNewRomanPSMT" w:eastAsiaTheme="minorHAnsi" w:hAnsi="TimesNewRomanPSMT" w:cs="TimesNewRomanPSMT"/>
          <w:lang w:eastAsia="en-US"/>
        </w:rPr>
        <w:t xml:space="preserve">, turpmāk minēto apsvērumu dēļ nav konstatējami apstākļi </w:t>
      </w:r>
      <w:r w:rsidRPr="00564020">
        <w:rPr>
          <w:rFonts w:ascii="TimesNewRomanPSMT" w:eastAsiaTheme="minorHAnsi" w:hAnsi="TimesNewRomanPSMT" w:cs="TimesNewRomanPSMT"/>
          <w:lang w:eastAsia="en-US"/>
        </w:rPr>
        <w:t>pieteicējas atbrīvo</w:t>
      </w:r>
      <w:r w:rsidR="00D54132">
        <w:rPr>
          <w:rFonts w:ascii="TimesNewRomanPSMT" w:eastAsiaTheme="minorHAnsi" w:hAnsi="TimesNewRomanPSMT" w:cs="TimesNewRomanPSMT"/>
          <w:lang w:eastAsia="en-US"/>
        </w:rPr>
        <w:t>šanai no disciplināratbildības.</w:t>
      </w:r>
    </w:p>
    <w:p w14:paraId="6A480B6F" w14:textId="66EBC363" w:rsidR="00474E46" w:rsidRDefault="00564020" w:rsidP="00824DF3">
      <w:pPr>
        <w:spacing w:line="276" w:lineRule="auto"/>
        <w:ind w:firstLine="567"/>
        <w:jc w:val="both"/>
        <w:rPr>
          <w:rFonts w:ascii="TimesNewRomanPSMT" w:eastAsiaTheme="minorHAnsi" w:hAnsi="TimesNewRomanPSMT" w:cs="TimesNewRomanPSMT"/>
          <w:lang w:eastAsia="en-US"/>
        </w:rPr>
      </w:pPr>
      <w:r w:rsidRPr="00564020">
        <w:t>[</w:t>
      </w:r>
      <w:r w:rsidR="00495719">
        <w:t>1.4</w:t>
      </w:r>
      <w:r w:rsidRPr="00564020">
        <w:t xml:space="preserve">] </w:t>
      </w:r>
      <w:r w:rsidR="00D24C74">
        <w:rPr>
          <w:rFonts w:ascii="TimesNewRomanPSMT" w:eastAsiaTheme="minorHAnsi" w:hAnsi="TimesNewRomanPSMT" w:cs="TimesNewRomanPSMT"/>
          <w:lang w:eastAsia="en-US"/>
        </w:rPr>
        <w:t>L</w:t>
      </w:r>
      <w:r w:rsidRPr="00564020">
        <w:rPr>
          <w:rFonts w:ascii="TimesNewRomanPSMT" w:eastAsiaTheme="minorHAnsi" w:hAnsi="TimesNewRomanPSMT" w:cs="TimesNewRomanPSMT"/>
          <w:lang w:eastAsia="en-US"/>
        </w:rPr>
        <w:t>iet</w:t>
      </w:r>
      <w:r w:rsidR="00D24C74">
        <w:rPr>
          <w:rFonts w:ascii="TimesNewRomanPSMT" w:eastAsiaTheme="minorHAnsi" w:hAnsi="TimesNewRomanPSMT" w:cs="TimesNewRomanPSMT"/>
          <w:lang w:eastAsia="en-US"/>
        </w:rPr>
        <w:t>ā</w:t>
      </w:r>
      <w:r w:rsidRPr="00564020">
        <w:rPr>
          <w:rFonts w:ascii="TimesNewRomanPSMT" w:eastAsiaTheme="minorHAnsi" w:hAnsi="TimesNewRomanPSMT" w:cs="TimesNewRomanPSMT"/>
          <w:lang w:eastAsia="en-US"/>
        </w:rPr>
        <w:t xml:space="preserve"> konstatē</w:t>
      </w:r>
      <w:r w:rsidR="00D24C74">
        <w:rPr>
          <w:rFonts w:ascii="TimesNewRomanPSMT" w:eastAsiaTheme="minorHAnsi" w:hAnsi="TimesNewRomanPSMT" w:cs="TimesNewRomanPSMT"/>
          <w:lang w:eastAsia="en-US"/>
        </w:rPr>
        <w:t>jams, ka p</w:t>
      </w:r>
      <w:r w:rsidR="00F715BB">
        <w:rPr>
          <w:rFonts w:ascii="TimesNewRomanPSMT" w:eastAsiaTheme="minorHAnsi" w:hAnsi="TimesNewRomanPSMT" w:cs="TimesNewRomanPSMT"/>
          <w:lang w:eastAsia="en-US"/>
        </w:rPr>
        <w:t xml:space="preserve">ieteicēja </w:t>
      </w:r>
      <w:proofErr w:type="gramStart"/>
      <w:r w:rsidR="00F715BB">
        <w:rPr>
          <w:rFonts w:ascii="TimesNewRomanPSMT" w:eastAsiaTheme="minorHAnsi" w:hAnsi="TimesNewRomanPSMT" w:cs="TimesNewRomanPSMT"/>
          <w:lang w:eastAsia="en-US"/>
        </w:rPr>
        <w:t>2011.gada</w:t>
      </w:r>
      <w:proofErr w:type="gramEnd"/>
      <w:r w:rsidR="00F715BB">
        <w:rPr>
          <w:rFonts w:ascii="TimesNewRomanPSMT" w:eastAsiaTheme="minorHAnsi" w:hAnsi="TimesNewRomanPSMT" w:cs="TimesNewRomanPSMT"/>
          <w:lang w:eastAsia="en-US"/>
        </w:rPr>
        <w:t xml:space="preserve"> 16.jūnijā</w:t>
      </w:r>
      <w:r w:rsidRPr="00564020">
        <w:rPr>
          <w:rFonts w:ascii="TimesNewRomanPSMT" w:eastAsiaTheme="minorHAnsi" w:hAnsi="TimesNewRomanPSMT" w:cs="TimesNewRomanPSMT"/>
          <w:lang w:eastAsia="en-US"/>
        </w:rPr>
        <w:t xml:space="preserve"> pārņēm</w:t>
      </w:r>
      <w:r w:rsidR="00F715BB">
        <w:rPr>
          <w:rFonts w:ascii="TimesNewRomanPSMT" w:eastAsiaTheme="minorHAnsi" w:hAnsi="TimesNewRomanPSMT" w:cs="TimesNewRomanPSMT"/>
          <w:lang w:eastAsia="en-US"/>
        </w:rPr>
        <w:t>a</w:t>
      </w:r>
      <w:r w:rsidRPr="00564020">
        <w:rPr>
          <w:rFonts w:ascii="TimesNewRomanPSMT" w:eastAsiaTheme="minorHAnsi" w:hAnsi="TimesNewRomanPSMT" w:cs="TimesNewRomanPSMT"/>
          <w:lang w:eastAsia="en-US"/>
        </w:rPr>
        <w:t xml:space="preserve"> Rīgas apgabaltiesas iecirkņa Nr.</w:t>
      </w:r>
      <w:r w:rsidR="004C1E83">
        <w:rPr>
          <w:rFonts w:ascii="TimesNewRomanPSMT" w:eastAsiaTheme="minorHAnsi" w:hAnsi="TimesNewRomanPSMT" w:cs="TimesNewRomanPSMT"/>
          <w:lang w:eastAsia="en-US"/>
        </w:rPr>
        <w:t> </w:t>
      </w:r>
      <w:r w:rsidRPr="00564020">
        <w:rPr>
          <w:rFonts w:ascii="TimesNewRomanPSMT" w:eastAsiaTheme="minorHAnsi" w:hAnsi="TimesNewRomanPSMT" w:cs="TimesNewRomanPSMT"/>
          <w:lang w:eastAsia="en-US"/>
        </w:rPr>
        <w:t>64</w:t>
      </w:r>
      <w:r w:rsidR="00D54132">
        <w:rPr>
          <w:rFonts w:ascii="TimesNewRomanPSMT" w:eastAsiaTheme="minorHAnsi" w:hAnsi="TimesNewRomanPSMT" w:cs="TimesNewRomanPSMT"/>
          <w:lang w:eastAsia="en-US"/>
        </w:rPr>
        <w:t xml:space="preserve"> (turpmāk – iecirknis Nr. 64)</w:t>
      </w:r>
      <w:r w:rsidRPr="00564020">
        <w:rPr>
          <w:rFonts w:ascii="TimesNewRomanPSMT" w:eastAsiaTheme="minorHAnsi" w:hAnsi="TimesNewRomanPSMT" w:cs="TimesNewRomanPSMT"/>
          <w:lang w:eastAsia="en-US"/>
        </w:rPr>
        <w:t xml:space="preserve"> lietas. Pēc lietu pārņemšanas pieteicēja ir konstatējusi līdzekļu iztrūkumu, par ko ir vērsusies Latvijas </w:t>
      </w:r>
      <w:r w:rsidR="004C1E83">
        <w:rPr>
          <w:rFonts w:ascii="TimesNewRomanPSMT" w:eastAsiaTheme="minorHAnsi" w:hAnsi="TimesNewRomanPSMT" w:cs="TimesNewRomanPSMT"/>
          <w:lang w:eastAsia="en-US"/>
        </w:rPr>
        <w:t>Z</w:t>
      </w:r>
      <w:r w:rsidRPr="00564020">
        <w:rPr>
          <w:rFonts w:ascii="TimesNewRomanPSMT" w:eastAsiaTheme="minorHAnsi" w:hAnsi="TimesNewRomanPSMT" w:cs="TimesNewRomanPSMT"/>
          <w:lang w:eastAsia="en-US"/>
        </w:rPr>
        <w:t>vērinātu tiesu izpildītāju padom</w:t>
      </w:r>
      <w:r w:rsidR="00C3004C">
        <w:rPr>
          <w:rFonts w:ascii="TimesNewRomanPSMT" w:eastAsiaTheme="minorHAnsi" w:hAnsi="TimesNewRomanPSMT" w:cs="TimesNewRomanPSMT"/>
          <w:lang w:eastAsia="en-US"/>
        </w:rPr>
        <w:t>ē</w:t>
      </w:r>
      <w:r w:rsidR="00CA5EE2">
        <w:rPr>
          <w:rFonts w:ascii="TimesNewRomanPSMT" w:eastAsiaTheme="minorHAnsi" w:hAnsi="TimesNewRomanPSMT" w:cs="TimesNewRomanPSMT"/>
          <w:lang w:eastAsia="en-US"/>
        </w:rPr>
        <w:t xml:space="preserve"> (turpmāk – padome)</w:t>
      </w:r>
      <w:r w:rsidRPr="00564020">
        <w:rPr>
          <w:rFonts w:ascii="TimesNewRomanPSMT" w:eastAsiaTheme="minorHAnsi" w:hAnsi="TimesNewRomanPSMT" w:cs="TimesNewRomanPSMT"/>
          <w:lang w:eastAsia="en-US"/>
        </w:rPr>
        <w:t xml:space="preserve">, kā arī par minēto faktu ir ierosināts kriminālprocess. </w:t>
      </w:r>
      <w:r w:rsidR="00E36F9F">
        <w:rPr>
          <w:rFonts w:ascii="TimesNewRomanPSMT" w:eastAsiaTheme="minorHAnsi" w:hAnsi="TimesNewRomanPSMT" w:cs="TimesNewRomanPSMT"/>
          <w:lang w:eastAsia="en-US"/>
        </w:rPr>
        <w:t>P</w:t>
      </w:r>
      <w:r w:rsidRPr="00564020">
        <w:rPr>
          <w:rFonts w:ascii="TimesNewRomanPSMT" w:eastAsiaTheme="minorHAnsi" w:hAnsi="TimesNewRomanPSMT" w:cs="TimesNewRomanPSMT"/>
          <w:lang w:eastAsia="en-US"/>
        </w:rPr>
        <w:t xml:space="preserve">ieteicēja depozīta grāmatas un konta salīdzināšanu ir veikusi </w:t>
      </w:r>
      <w:r w:rsidR="00661259" w:rsidRPr="00564020">
        <w:rPr>
          <w:rFonts w:ascii="TimesNewRomanPSMT" w:eastAsiaTheme="minorHAnsi" w:hAnsi="TimesNewRomanPSMT" w:cs="TimesNewRomanPSMT"/>
          <w:lang w:eastAsia="en-US"/>
        </w:rPr>
        <w:t>nevis uzreiz pēc to pārņemšanas</w:t>
      </w:r>
      <w:r w:rsidR="00661259">
        <w:rPr>
          <w:rFonts w:ascii="TimesNewRomanPSMT" w:eastAsiaTheme="minorHAnsi" w:hAnsi="TimesNewRomanPSMT" w:cs="TimesNewRomanPSMT"/>
          <w:lang w:eastAsia="en-US"/>
        </w:rPr>
        <w:t>, bet</w:t>
      </w:r>
      <w:r w:rsidR="00661259" w:rsidRPr="00564020">
        <w:rPr>
          <w:rFonts w:ascii="TimesNewRomanPSMT" w:eastAsiaTheme="minorHAnsi" w:hAnsi="TimesNewRomanPSMT" w:cs="TimesNewRomanPSMT"/>
          <w:lang w:eastAsia="en-US"/>
        </w:rPr>
        <w:t xml:space="preserve"> </w:t>
      </w:r>
      <w:r w:rsidR="00661259">
        <w:rPr>
          <w:rFonts w:ascii="TimesNewRomanPSMT" w:eastAsiaTheme="minorHAnsi" w:hAnsi="TimesNewRomanPSMT" w:cs="TimesNewRomanPSMT"/>
          <w:lang w:eastAsia="en-US"/>
        </w:rPr>
        <w:t>pāris nedēļas vēlāk</w:t>
      </w:r>
      <w:r w:rsidRPr="00564020">
        <w:rPr>
          <w:rFonts w:ascii="TimesNewRomanPSMT" w:eastAsiaTheme="minorHAnsi" w:hAnsi="TimesNewRomanPSMT" w:cs="TimesNewRomanPSMT"/>
          <w:lang w:eastAsia="en-US"/>
        </w:rPr>
        <w:t xml:space="preserve">. Pieteicēja </w:t>
      </w:r>
      <w:r w:rsidR="00862925">
        <w:rPr>
          <w:rFonts w:ascii="TimesNewRomanPSMT" w:eastAsiaTheme="minorHAnsi" w:hAnsi="TimesNewRomanPSMT" w:cs="TimesNewRomanPSMT"/>
          <w:lang w:eastAsia="en-US"/>
        </w:rPr>
        <w:t>norāda</w:t>
      </w:r>
      <w:r w:rsidRPr="00564020">
        <w:rPr>
          <w:rFonts w:ascii="TimesNewRomanPSMT" w:eastAsiaTheme="minorHAnsi" w:hAnsi="TimesNewRomanPSMT" w:cs="TimesNewRomanPSMT"/>
          <w:lang w:eastAsia="en-US"/>
        </w:rPr>
        <w:t>, ka viņai netika piedāvāta iespēja veikt pārbaudi iecirkņa Nr.</w:t>
      </w:r>
      <w:r w:rsidR="00D17A26">
        <w:rPr>
          <w:rFonts w:ascii="TimesNewRomanPSMT" w:eastAsiaTheme="minorHAnsi" w:hAnsi="TimesNewRomanPSMT" w:cs="TimesNewRomanPSMT"/>
          <w:lang w:eastAsia="en-US"/>
        </w:rPr>
        <w:t> </w:t>
      </w:r>
      <w:r w:rsidRPr="00564020">
        <w:rPr>
          <w:rFonts w:ascii="TimesNewRomanPSMT" w:eastAsiaTheme="minorHAnsi" w:hAnsi="TimesNewRomanPSMT" w:cs="TimesNewRomanPSMT"/>
          <w:lang w:eastAsia="en-US"/>
        </w:rPr>
        <w:t>64 pārņemšanas brīdī</w:t>
      </w:r>
      <w:r w:rsidR="007E0236">
        <w:rPr>
          <w:rFonts w:ascii="TimesNewRomanPSMT" w:eastAsiaTheme="minorHAnsi" w:hAnsi="TimesNewRomanPSMT" w:cs="TimesNewRomanPSMT"/>
          <w:lang w:eastAsia="en-US"/>
        </w:rPr>
        <w:t>.</w:t>
      </w:r>
      <w:r w:rsidRPr="00564020">
        <w:rPr>
          <w:rFonts w:ascii="TimesNewRomanPSMT" w:eastAsiaTheme="minorHAnsi" w:hAnsi="TimesNewRomanPSMT" w:cs="TimesNewRomanPSMT"/>
          <w:lang w:eastAsia="en-US"/>
        </w:rPr>
        <w:t xml:space="preserve"> </w:t>
      </w:r>
      <w:r w:rsidR="007E0236">
        <w:rPr>
          <w:rFonts w:ascii="TimesNewRomanPSMT" w:eastAsiaTheme="minorHAnsi" w:hAnsi="TimesNewRomanPSMT" w:cs="TimesNewRomanPSMT"/>
          <w:lang w:eastAsia="en-US"/>
        </w:rPr>
        <w:t>Tomēr</w:t>
      </w:r>
      <w:r w:rsidRPr="00564020">
        <w:rPr>
          <w:rFonts w:ascii="TimesNewRomanPSMT" w:eastAsiaTheme="minorHAnsi" w:hAnsi="TimesNewRomanPSMT" w:cs="TimesNewRomanPSMT"/>
          <w:lang w:eastAsia="en-US"/>
        </w:rPr>
        <w:t xml:space="preserve"> lietā </w:t>
      </w:r>
      <w:r w:rsidR="00005D0B">
        <w:rPr>
          <w:rFonts w:ascii="TimesNewRomanPSMT" w:eastAsiaTheme="minorHAnsi" w:hAnsi="TimesNewRomanPSMT" w:cs="TimesNewRomanPSMT"/>
          <w:lang w:eastAsia="en-US"/>
        </w:rPr>
        <w:t>nav</w:t>
      </w:r>
      <w:r w:rsidRPr="00564020">
        <w:rPr>
          <w:rFonts w:ascii="TimesNewRomanPSMT" w:eastAsiaTheme="minorHAnsi" w:hAnsi="TimesNewRomanPSMT" w:cs="TimesNewRomanPSMT"/>
          <w:lang w:eastAsia="en-US"/>
        </w:rPr>
        <w:t xml:space="preserve"> pierādījum</w:t>
      </w:r>
      <w:r w:rsidR="00005D0B">
        <w:rPr>
          <w:rFonts w:ascii="TimesNewRomanPSMT" w:eastAsiaTheme="minorHAnsi" w:hAnsi="TimesNewRomanPSMT" w:cs="TimesNewRomanPSMT"/>
          <w:lang w:eastAsia="en-US"/>
        </w:rPr>
        <w:t>u</w:t>
      </w:r>
      <w:r w:rsidRPr="00564020">
        <w:rPr>
          <w:rFonts w:ascii="TimesNewRomanPSMT" w:eastAsiaTheme="minorHAnsi" w:hAnsi="TimesNewRomanPSMT" w:cs="TimesNewRomanPSMT"/>
          <w:lang w:eastAsia="en-US"/>
        </w:rPr>
        <w:t xml:space="preserve"> tam, ka pieteicēja par šādiem apstākļiem būtu cēlusi iebildumus.</w:t>
      </w:r>
    </w:p>
    <w:p w14:paraId="0C4A43CE" w14:textId="77777777" w:rsidR="001A169C" w:rsidRDefault="00564020" w:rsidP="00824DF3">
      <w:pPr>
        <w:spacing w:line="276" w:lineRule="auto"/>
        <w:ind w:firstLine="567"/>
        <w:jc w:val="both"/>
        <w:rPr>
          <w:rFonts w:ascii="TimesNewRomanPSMT" w:eastAsiaTheme="minorHAnsi" w:hAnsi="TimesNewRomanPSMT" w:cs="TimesNewRomanPSMT"/>
          <w:lang w:eastAsia="en-US"/>
        </w:rPr>
      </w:pPr>
      <w:r w:rsidRPr="00564020">
        <w:rPr>
          <w:rFonts w:ascii="TimesNewRomanPSMT" w:eastAsiaTheme="minorHAnsi" w:hAnsi="TimesNewRomanPSMT" w:cs="TimesNewRomanPSMT"/>
          <w:lang w:eastAsia="en-US"/>
        </w:rPr>
        <w:t>Pi</w:t>
      </w:r>
      <w:r w:rsidR="00D24C74">
        <w:rPr>
          <w:rFonts w:ascii="TimesNewRomanPSMT" w:eastAsiaTheme="minorHAnsi" w:hAnsi="TimesNewRomanPSMT" w:cs="TimesNewRomanPSMT"/>
          <w:lang w:eastAsia="en-US"/>
        </w:rPr>
        <w:t xml:space="preserve">eteicēja </w:t>
      </w:r>
      <w:r w:rsidR="003B0C8D">
        <w:rPr>
          <w:rFonts w:ascii="TimesNewRomanPSMT" w:eastAsiaTheme="minorHAnsi" w:hAnsi="TimesNewRomanPSMT" w:cs="TimesNewRomanPSMT"/>
          <w:lang w:eastAsia="en-US"/>
        </w:rPr>
        <w:t>norāda</w:t>
      </w:r>
      <w:r w:rsidR="00D24C74">
        <w:rPr>
          <w:rFonts w:ascii="TimesNewRomanPSMT" w:eastAsiaTheme="minorHAnsi" w:hAnsi="TimesNewRomanPSMT" w:cs="TimesNewRomanPSMT"/>
          <w:lang w:eastAsia="en-US"/>
        </w:rPr>
        <w:t>, ka</w:t>
      </w:r>
      <w:r w:rsidRPr="00564020">
        <w:rPr>
          <w:rFonts w:ascii="TimesNewRomanPSMT" w:eastAsiaTheme="minorHAnsi" w:hAnsi="TimesNewRomanPSMT" w:cs="TimesNewRomanPSMT"/>
          <w:lang w:eastAsia="en-US"/>
        </w:rPr>
        <w:t xml:space="preserve"> paļāvās uz </w:t>
      </w:r>
      <w:proofErr w:type="gramStart"/>
      <w:r w:rsidRPr="00564020">
        <w:rPr>
          <w:rFonts w:ascii="TimesNewRomanPSMT" w:eastAsiaTheme="minorHAnsi" w:hAnsi="TimesNewRomanPSMT" w:cs="TimesNewRomanPSMT"/>
          <w:lang w:eastAsia="en-US"/>
        </w:rPr>
        <w:t>iepriekšējo zvērinātu tiesu</w:t>
      </w:r>
      <w:proofErr w:type="gramEnd"/>
      <w:r w:rsidRPr="00564020">
        <w:rPr>
          <w:rFonts w:ascii="TimesNewRomanPSMT" w:eastAsiaTheme="minorHAnsi" w:hAnsi="TimesNewRomanPSMT" w:cs="TimesNewRomanPSMT"/>
          <w:lang w:eastAsia="en-US"/>
        </w:rPr>
        <w:t xml:space="preserve"> izpildītāju godaprātu, ka </w:t>
      </w:r>
      <w:r w:rsidR="008D7B16">
        <w:rPr>
          <w:rFonts w:ascii="TimesNewRomanPSMT" w:eastAsiaTheme="minorHAnsi" w:hAnsi="TimesNewRomanPSMT" w:cs="TimesNewRomanPSMT"/>
          <w:lang w:eastAsia="en-US"/>
        </w:rPr>
        <w:t>lietas</w:t>
      </w:r>
      <w:r w:rsidRPr="00564020">
        <w:rPr>
          <w:rFonts w:ascii="TimesNewRomanPSMT" w:eastAsiaTheme="minorHAnsi" w:hAnsi="TimesNewRomanPSMT" w:cs="TimesNewRomanPSMT"/>
          <w:lang w:eastAsia="en-US"/>
        </w:rPr>
        <w:t xml:space="preserve"> un depozītu konti tiek nodoti atbilstošā stāvoklī.</w:t>
      </w:r>
      <w:r w:rsidR="003E1F9C">
        <w:rPr>
          <w:rFonts w:ascii="TimesNewRomanPSMT" w:eastAsiaTheme="minorHAnsi" w:hAnsi="TimesNewRomanPSMT" w:cs="TimesNewRomanPSMT"/>
          <w:lang w:eastAsia="en-US"/>
        </w:rPr>
        <w:t xml:space="preserve"> Konstatējams, ka v</w:t>
      </w:r>
      <w:r w:rsidRPr="00564020">
        <w:rPr>
          <w:rFonts w:ascii="TimesNewRomanPSMT" w:eastAsiaTheme="minorHAnsi" w:hAnsi="TimesNewRomanPSMT" w:cs="TimesNewRomanPSMT"/>
          <w:lang w:eastAsia="en-US"/>
        </w:rPr>
        <w:t xml:space="preserve">isu izpildu lietu faktiskā pārbaude veikta </w:t>
      </w:r>
      <w:proofErr w:type="gramStart"/>
      <w:r w:rsidRPr="00564020">
        <w:rPr>
          <w:rFonts w:ascii="TimesNewRomanPSMT" w:eastAsiaTheme="minorHAnsi" w:hAnsi="TimesNewRomanPSMT" w:cs="TimesNewRomanPSMT"/>
          <w:lang w:eastAsia="en-US"/>
        </w:rPr>
        <w:t>2015.gadā</w:t>
      </w:r>
      <w:proofErr w:type="gramEnd"/>
      <w:r w:rsidRPr="00564020">
        <w:rPr>
          <w:rFonts w:ascii="TimesNewRomanPSMT" w:eastAsiaTheme="minorHAnsi" w:hAnsi="TimesNewRomanPSMT" w:cs="TimesNewRomanPSMT"/>
          <w:lang w:eastAsia="en-US"/>
        </w:rPr>
        <w:t xml:space="preserve">, bet pilnīga depozītu summu uzskaites pārbaude un sakārtošana iecirknī par laiku no 2003.gada 1.janvāra līdz 2011.gada 21.jūnijam veikta pēc apstrīdētā administratīvā akta pieņemšanas. Izvērtējot minēto, </w:t>
      </w:r>
      <w:r w:rsidR="00FE107B">
        <w:rPr>
          <w:rFonts w:ascii="TimesNewRomanPSMT" w:eastAsiaTheme="minorHAnsi" w:hAnsi="TimesNewRomanPSMT" w:cs="TimesNewRomanPSMT"/>
          <w:lang w:eastAsia="en-US"/>
        </w:rPr>
        <w:t>secināms</w:t>
      </w:r>
      <w:r w:rsidRPr="00564020">
        <w:rPr>
          <w:rFonts w:ascii="TimesNewRomanPSMT" w:eastAsiaTheme="minorHAnsi" w:hAnsi="TimesNewRomanPSMT" w:cs="TimesNewRomanPSMT"/>
          <w:lang w:eastAsia="en-US"/>
        </w:rPr>
        <w:t>, ka iecirkņa Nr.</w:t>
      </w:r>
      <w:r w:rsidR="00D83A62">
        <w:rPr>
          <w:rFonts w:ascii="TimesNewRomanPSMT" w:eastAsiaTheme="minorHAnsi" w:hAnsi="TimesNewRomanPSMT" w:cs="TimesNewRomanPSMT"/>
          <w:lang w:eastAsia="en-US"/>
        </w:rPr>
        <w:t> </w:t>
      </w:r>
      <w:r w:rsidRPr="00564020">
        <w:rPr>
          <w:rFonts w:ascii="TimesNewRomanPSMT" w:eastAsiaTheme="minorHAnsi" w:hAnsi="TimesNewRomanPSMT" w:cs="TimesNewRomanPSMT"/>
          <w:lang w:eastAsia="en-US"/>
        </w:rPr>
        <w:t>64 pārņemšanas brīdī pieteicēja nav veikusi visas nepieciešamās darbības, lai noskaidrotu patieso stāvokli, kādā iecirknis tiek pārņemts, bet ir nepamatoti paļāvusies, ka pārbaudi var arī neveikt.</w:t>
      </w:r>
      <w:r w:rsidR="001A169C">
        <w:rPr>
          <w:rFonts w:ascii="TimesNewRomanPSMT" w:eastAsiaTheme="minorHAnsi" w:hAnsi="TimesNewRomanPSMT" w:cs="TimesNewRomanPSMT"/>
          <w:lang w:eastAsia="en-US"/>
        </w:rPr>
        <w:t xml:space="preserve"> </w:t>
      </w:r>
      <w:r w:rsidRPr="00564020">
        <w:rPr>
          <w:rFonts w:ascii="TimesNewRomanPSMT" w:eastAsiaTheme="minorHAnsi" w:hAnsi="TimesNewRomanPSMT" w:cs="TimesNewRomanPSMT"/>
          <w:lang w:eastAsia="en-US"/>
        </w:rPr>
        <w:t xml:space="preserve">Tāpat pieteicēja, </w:t>
      </w:r>
      <w:r w:rsidR="00474E46" w:rsidRPr="00564020">
        <w:rPr>
          <w:rFonts w:ascii="TimesNewRomanPSMT" w:eastAsiaTheme="minorHAnsi" w:hAnsi="TimesNewRomanPSMT" w:cs="TimesNewRomanPSMT"/>
          <w:lang w:eastAsia="en-US"/>
        </w:rPr>
        <w:t xml:space="preserve">neraugoties uz </w:t>
      </w:r>
      <w:r w:rsidR="002F0069">
        <w:rPr>
          <w:rFonts w:ascii="TimesNewRomanPSMT" w:eastAsiaTheme="minorHAnsi" w:hAnsi="TimesNewRomanPSMT" w:cs="TimesNewRomanPSMT"/>
          <w:lang w:eastAsia="en-US"/>
        </w:rPr>
        <w:t>konstatēto iztrūkumu, sākotnēji</w:t>
      </w:r>
      <w:r w:rsidRPr="00564020">
        <w:rPr>
          <w:rFonts w:ascii="TimesNewRomanPSMT" w:eastAsiaTheme="minorHAnsi" w:hAnsi="TimesNewRomanPSMT" w:cs="TimesNewRomanPSMT"/>
          <w:lang w:eastAsia="en-US"/>
        </w:rPr>
        <w:t xml:space="preserve"> nebija pārbaudījusi, konkrēti kurā izpildu lietā trūkst līdzekļ</w:t>
      </w:r>
      <w:r w:rsidR="00CF4493">
        <w:rPr>
          <w:rFonts w:ascii="TimesNewRomanPSMT" w:eastAsiaTheme="minorHAnsi" w:hAnsi="TimesNewRomanPSMT" w:cs="TimesNewRomanPSMT"/>
          <w:lang w:eastAsia="en-US"/>
        </w:rPr>
        <w:t>i</w:t>
      </w:r>
      <w:r w:rsidRPr="00564020">
        <w:rPr>
          <w:rFonts w:ascii="TimesNewRomanPSMT" w:eastAsiaTheme="minorHAnsi" w:hAnsi="TimesNewRomanPSMT" w:cs="TimesNewRomanPSMT"/>
          <w:lang w:eastAsia="en-US"/>
        </w:rPr>
        <w:t xml:space="preserve">, bet gan turpināja veikt izmaksas, kamēr </w:t>
      </w:r>
      <w:r w:rsidR="003933B3">
        <w:rPr>
          <w:rFonts w:ascii="TimesNewRomanPSMT" w:eastAsiaTheme="minorHAnsi" w:hAnsi="TimesNewRomanPSMT" w:cs="TimesNewRomanPSMT"/>
          <w:lang w:eastAsia="en-US"/>
        </w:rPr>
        <w:t>kontā bija</w:t>
      </w:r>
      <w:r w:rsidRPr="00564020">
        <w:rPr>
          <w:rFonts w:ascii="TimesNewRomanPSMT" w:eastAsiaTheme="minorHAnsi" w:hAnsi="TimesNewRomanPSMT" w:cs="TimesNewRomanPSMT"/>
          <w:lang w:eastAsia="en-US"/>
        </w:rPr>
        <w:t xml:space="preserve"> </w:t>
      </w:r>
      <w:r w:rsidR="002F0069">
        <w:rPr>
          <w:rFonts w:ascii="TimesNewRomanPSMT" w:eastAsiaTheme="minorHAnsi" w:hAnsi="TimesNewRomanPSMT" w:cs="TimesNewRomanPSMT"/>
          <w:lang w:eastAsia="en-US"/>
        </w:rPr>
        <w:t>n</w:t>
      </w:r>
      <w:r w:rsidRPr="00564020">
        <w:rPr>
          <w:rFonts w:ascii="TimesNewRomanPSMT" w:eastAsiaTheme="minorHAnsi" w:hAnsi="TimesNewRomanPSMT" w:cs="TimesNewRomanPSMT"/>
          <w:lang w:eastAsia="en-US"/>
        </w:rPr>
        <w:t>audas līdzekļ</w:t>
      </w:r>
      <w:r w:rsidR="002F0069">
        <w:rPr>
          <w:rFonts w:ascii="TimesNewRomanPSMT" w:eastAsiaTheme="minorHAnsi" w:hAnsi="TimesNewRomanPSMT" w:cs="TimesNewRomanPSMT"/>
          <w:lang w:eastAsia="en-US"/>
        </w:rPr>
        <w:t>i</w:t>
      </w:r>
      <w:r w:rsidRPr="00564020">
        <w:rPr>
          <w:rFonts w:ascii="TimesNewRomanPSMT" w:eastAsiaTheme="minorHAnsi" w:hAnsi="TimesNewRomanPSMT" w:cs="TimesNewRomanPSMT"/>
          <w:lang w:eastAsia="en-US"/>
        </w:rPr>
        <w:t>.</w:t>
      </w:r>
    </w:p>
    <w:p w14:paraId="4DE8368E" w14:textId="678FC772" w:rsidR="00824DF3" w:rsidRDefault="00564020" w:rsidP="00824DF3">
      <w:pPr>
        <w:spacing w:line="276" w:lineRule="auto"/>
        <w:ind w:firstLine="567"/>
        <w:jc w:val="both"/>
        <w:rPr>
          <w:rFonts w:ascii="TimesNewRomanPSMT" w:eastAsiaTheme="minorHAnsi" w:hAnsi="TimesNewRomanPSMT" w:cs="TimesNewRomanPSMT"/>
          <w:lang w:eastAsia="en-US"/>
        </w:rPr>
      </w:pPr>
      <w:r w:rsidRPr="00564020">
        <w:rPr>
          <w:rFonts w:ascii="TimesNewRomanPSMT" w:eastAsiaTheme="minorHAnsi" w:hAnsi="TimesNewRomanPSMT" w:cs="TimesNewRomanPSMT"/>
          <w:lang w:eastAsia="en-US"/>
        </w:rPr>
        <w:t xml:space="preserve">Pieteicēja </w:t>
      </w:r>
      <w:r w:rsidR="003933B3">
        <w:rPr>
          <w:rFonts w:ascii="TimesNewRomanPSMT" w:eastAsiaTheme="minorHAnsi" w:hAnsi="TimesNewRomanPSMT" w:cs="TimesNewRomanPSMT"/>
          <w:lang w:eastAsia="en-US"/>
        </w:rPr>
        <w:t>norāda</w:t>
      </w:r>
      <w:r w:rsidRPr="00564020">
        <w:rPr>
          <w:rFonts w:ascii="TimesNewRomanPSMT" w:eastAsiaTheme="minorHAnsi" w:hAnsi="TimesNewRomanPSMT" w:cs="TimesNewRomanPSMT"/>
          <w:lang w:eastAsia="en-US"/>
        </w:rPr>
        <w:t xml:space="preserve">, ka </w:t>
      </w:r>
      <w:r w:rsidR="00AC78B8">
        <w:rPr>
          <w:rFonts w:ascii="TimesNewRomanPSMT" w:eastAsiaTheme="minorHAnsi" w:hAnsi="TimesNewRomanPSMT" w:cs="TimesNewRomanPSMT"/>
          <w:lang w:eastAsia="en-US"/>
        </w:rPr>
        <w:t xml:space="preserve">bija </w:t>
      </w:r>
      <w:r w:rsidRPr="00564020">
        <w:rPr>
          <w:rFonts w:ascii="TimesNewRomanPSMT" w:eastAsiaTheme="minorHAnsi" w:hAnsi="TimesNewRomanPSMT" w:cs="TimesNewRomanPSMT"/>
          <w:lang w:eastAsia="en-US"/>
        </w:rPr>
        <w:t>vadījusies no padomes</w:t>
      </w:r>
      <w:r w:rsidR="00D93E64">
        <w:rPr>
          <w:rFonts w:ascii="TimesNewRomanPSMT" w:eastAsiaTheme="minorHAnsi" w:hAnsi="TimesNewRomanPSMT" w:cs="TimesNewRomanPSMT"/>
          <w:lang w:eastAsia="en-US"/>
        </w:rPr>
        <w:t xml:space="preserve"> </w:t>
      </w:r>
      <w:proofErr w:type="gramStart"/>
      <w:r w:rsidR="00D93E64">
        <w:rPr>
          <w:rFonts w:ascii="TimesNewRomanPSMT" w:eastAsiaTheme="minorHAnsi" w:hAnsi="TimesNewRomanPSMT" w:cs="TimesNewRomanPSMT"/>
          <w:lang w:eastAsia="en-US"/>
        </w:rPr>
        <w:t>2012.gada</w:t>
      </w:r>
      <w:proofErr w:type="gramEnd"/>
      <w:r w:rsidR="00D93E64">
        <w:rPr>
          <w:rFonts w:ascii="TimesNewRomanPSMT" w:eastAsiaTheme="minorHAnsi" w:hAnsi="TimesNewRomanPSMT" w:cs="TimesNewRomanPSMT"/>
          <w:lang w:eastAsia="en-US"/>
        </w:rPr>
        <w:t xml:space="preserve"> 17.februāra</w:t>
      </w:r>
      <w:r w:rsidRPr="00564020">
        <w:rPr>
          <w:rFonts w:ascii="TimesNewRomanPSMT" w:eastAsiaTheme="minorHAnsi" w:hAnsi="TimesNewRomanPSMT" w:cs="TimesNewRomanPSMT"/>
          <w:lang w:eastAsia="en-US"/>
        </w:rPr>
        <w:t xml:space="preserve"> vēstules, ka nav pamata atteikt izmaksu kreditoriem, ja nav iespējams konstatēt, kurā izpildu lietā naudas </w:t>
      </w:r>
      <w:r w:rsidRPr="00564020">
        <w:rPr>
          <w:rFonts w:ascii="TimesNewRomanPSMT" w:eastAsiaTheme="minorHAnsi" w:hAnsi="TimesNewRomanPSMT" w:cs="TimesNewRomanPSMT"/>
          <w:lang w:eastAsia="en-US"/>
        </w:rPr>
        <w:lastRenderedPageBreak/>
        <w:t>līdzekļ</w:t>
      </w:r>
      <w:r w:rsidR="00B91E25">
        <w:rPr>
          <w:rFonts w:ascii="TimesNewRomanPSMT" w:eastAsiaTheme="minorHAnsi" w:hAnsi="TimesNewRomanPSMT" w:cs="TimesNewRomanPSMT"/>
          <w:lang w:eastAsia="en-US"/>
        </w:rPr>
        <w:t>i</w:t>
      </w:r>
      <w:r w:rsidRPr="00564020">
        <w:rPr>
          <w:rFonts w:ascii="TimesNewRomanPSMT" w:eastAsiaTheme="minorHAnsi" w:hAnsi="TimesNewRomanPSMT" w:cs="TimesNewRomanPSMT"/>
          <w:lang w:eastAsia="en-US"/>
        </w:rPr>
        <w:t xml:space="preserve"> trūkst. </w:t>
      </w:r>
      <w:r w:rsidR="00A878CB" w:rsidRPr="00564020">
        <w:rPr>
          <w:rFonts w:ascii="TimesNewRomanPSMT" w:eastAsiaTheme="minorHAnsi" w:hAnsi="TimesNewRomanPSMT" w:cs="TimesNewRomanPSMT"/>
          <w:lang w:eastAsia="en-US"/>
        </w:rPr>
        <w:t xml:space="preserve">Pieteicēja </w:t>
      </w:r>
      <w:r w:rsidR="00A878CB">
        <w:rPr>
          <w:rFonts w:ascii="TimesNewRomanPSMT" w:eastAsiaTheme="minorHAnsi" w:hAnsi="TimesNewRomanPSMT" w:cs="TimesNewRomanPSMT"/>
          <w:lang w:eastAsia="en-US"/>
        </w:rPr>
        <w:t>norāda</w:t>
      </w:r>
      <w:r w:rsidR="00A878CB" w:rsidRPr="00564020">
        <w:rPr>
          <w:rFonts w:ascii="TimesNewRomanPSMT" w:eastAsiaTheme="minorHAnsi" w:hAnsi="TimesNewRomanPSMT" w:cs="TimesNewRomanPSMT"/>
          <w:lang w:eastAsia="en-US"/>
        </w:rPr>
        <w:t xml:space="preserve">, ka viņa veica izmaksas, </w:t>
      </w:r>
      <w:proofErr w:type="gramStart"/>
      <w:r w:rsidR="00A878CB" w:rsidRPr="00564020">
        <w:rPr>
          <w:rFonts w:ascii="TimesNewRomanPSMT" w:eastAsiaTheme="minorHAnsi" w:hAnsi="TimesNewRomanPSMT" w:cs="TimesNewRomanPSMT"/>
          <w:lang w:eastAsia="en-US"/>
        </w:rPr>
        <w:t xml:space="preserve">kamēr bija pieejami naudas līdzekļi, kā rezultātā </w:t>
      </w:r>
      <w:r w:rsidR="00A878CB">
        <w:rPr>
          <w:rFonts w:ascii="TimesNewRomanPSMT" w:eastAsiaTheme="minorHAnsi" w:hAnsi="TimesNewRomanPSMT" w:cs="TimesNewRomanPSMT"/>
          <w:lang w:eastAsia="en-US"/>
        </w:rPr>
        <w:t>sabiedrībai</w:t>
      </w:r>
      <w:r w:rsidR="00A878CB" w:rsidRPr="00564020">
        <w:rPr>
          <w:rFonts w:ascii="TimesNewRomanPSMT" w:eastAsiaTheme="minorHAnsi" w:hAnsi="TimesNewRomanPSMT" w:cs="TimesNewRomanPSMT"/>
          <w:lang w:eastAsia="en-US"/>
        </w:rPr>
        <w:t xml:space="preserve"> izpildu raksta iesniegšanas brīdī iztrūkstošie naudas līdzekļi</w:t>
      </w:r>
      <w:proofErr w:type="gramEnd"/>
      <w:r w:rsidR="00A878CB" w:rsidRPr="00564020">
        <w:rPr>
          <w:rFonts w:ascii="TimesNewRomanPSMT" w:eastAsiaTheme="minorHAnsi" w:hAnsi="TimesNewRomanPSMT" w:cs="TimesNewRomanPSMT"/>
          <w:lang w:eastAsia="en-US"/>
        </w:rPr>
        <w:t xml:space="preserve"> nebija izmaksājami tieši konkrētajā izpildu lietā, par ko tika noformē</w:t>
      </w:r>
      <w:r w:rsidR="00A878CB">
        <w:rPr>
          <w:rFonts w:ascii="TimesNewRomanPSMT" w:eastAsiaTheme="minorHAnsi" w:hAnsi="TimesNewRomanPSMT" w:cs="TimesNewRomanPSMT"/>
          <w:lang w:eastAsia="en-US"/>
        </w:rPr>
        <w:t>ts akts</w:t>
      </w:r>
      <w:r w:rsidR="00A878CB" w:rsidRPr="00564020">
        <w:rPr>
          <w:rFonts w:ascii="TimesNewRomanPSMT" w:eastAsiaTheme="minorHAnsi" w:hAnsi="TimesNewRomanPSMT" w:cs="TimesNewRomanPSMT"/>
          <w:lang w:eastAsia="en-US"/>
        </w:rPr>
        <w:t xml:space="preserve">. </w:t>
      </w:r>
      <w:r w:rsidR="007D6F02">
        <w:rPr>
          <w:rFonts w:ascii="TimesNewRomanPSMT" w:eastAsiaTheme="minorHAnsi" w:hAnsi="TimesNewRomanPSMT" w:cs="TimesNewRomanPSMT"/>
          <w:lang w:eastAsia="en-US"/>
        </w:rPr>
        <w:t>M</w:t>
      </w:r>
      <w:r w:rsidRPr="00564020">
        <w:rPr>
          <w:rFonts w:ascii="TimesNewRomanPSMT" w:eastAsiaTheme="minorHAnsi" w:hAnsi="TimesNewRomanPSMT" w:cs="TimesNewRomanPSMT"/>
          <w:lang w:eastAsia="en-US"/>
        </w:rPr>
        <w:t xml:space="preserve">inētā pieteicējas rīcība </w:t>
      </w:r>
      <w:r w:rsidR="008C0ED5" w:rsidRPr="00564020">
        <w:rPr>
          <w:rFonts w:ascii="TimesNewRomanPSMT" w:eastAsiaTheme="minorHAnsi" w:hAnsi="TimesNewRomanPSMT" w:cs="TimesNewRomanPSMT"/>
          <w:lang w:eastAsia="en-US"/>
        </w:rPr>
        <w:t xml:space="preserve">nav balstīta </w:t>
      </w:r>
      <w:r w:rsidRPr="00564020">
        <w:rPr>
          <w:rFonts w:ascii="TimesNewRomanPSMT" w:eastAsiaTheme="minorHAnsi" w:hAnsi="TimesNewRomanPSMT" w:cs="TimesNewRomanPSMT"/>
          <w:lang w:eastAsia="en-US"/>
        </w:rPr>
        <w:t>tiesību normās. Līdz ar to kritiski vērtē</w:t>
      </w:r>
      <w:r w:rsidR="008C0ED5">
        <w:rPr>
          <w:rFonts w:ascii="TimesNewRomanPSMT" w:eastAsiaTheme="minorHAnsi" w:hAnsi="TimesNewRomanPSMT" w:cs="TimesNewRomanPSMT"/>
          <w:lang w:eastAsia="en-US"/>
        </w:rPr>
        <w:t>jams</w:t>
      </w:r>
      <w:r w:rsidRPr="00564020">
        <w:rPr>
          <w:rFonts w:ascii="TimesNewRomanPSMT" w:eastAsiaTheme="minorHAnsi" w:hAnsi="TimesNewRomanPSMT" w:cs="TimesNewRomanPSMT"/>
          <w:lang w:eastAsia="en-US"/>
        </w:rPr>
        <w:t xml:space="preserve"> pieteicējas argument</w:t>
      </w:r>
      <w:r w:rsidR="008C0ED5">
        <w:rPr>
          <w:rFonts w:ascii="TimesNewRomanPSMT" w:eastAsiaTheme="minorHAnsi" w:hAnsi="TimesNewRomanPSMT" w:cs="TimesNewRomanPSMT"/>
          <w:lang w:eastAsia="en-US"/>
        </w:rPr>
        <w:t>s</w:t>
      </w:r>
      <w:r w:rsidRPr="00564020">
        <w:rPr>
          <w:rFonts w:ascii="TimesNewRomanPSMT" w:eastAsiaTheme="minorHAnsi" w:hAnsi="TimesNewRomanPSMT" w:cs="TimesNewRomanPSMT"/>
          <w:lang w:eastAsia="en-US"/>
        </w:rPr>
        <w:t xml:space="preserve">, ka viņai bija pamats uzskatīt, ka viņas rīcība ir tiesiska, jo konkrētā situācija bija izveidojusies arī pieteicējas rīcības dēļ. </w:t>
      </w:r>
      <w:r w:rsidR="00160B7B">
        <w:rPr>
          <w:rFonts w:ascii="TimesNewRomanPSMT" w:eastAsiaTheme="minorHAnsi" w:hAnsi="TimesNewRomanPSMT" w:cs="TimesNewRomanPSMT"/>
          <w:lang w:eastAsia="en-US"/>
        </w:rPr>
        <w:t>N</w:t>
      </w:r>
      <w:r w:rsidRPr="00564020">
        <w:rPr>
          <w:rFonts w:ascii="TimesNewRomanPSMT" w:eastAsiaTheme="minorHAnsi" w:hAnsi="TimesNewRomanPSMT" w:cs="TimesNewRomanPSMT"/>
          <w:lang w:eastAsia="en-US"/>
        </w:rPr>
        <w:t xml:space="preserve">o minētās padomes atbildes nav izdarāms secinājums, ka pieteicējai būtu pamats izmaksāt naudas līdzekļus, nekonstatējot, konkrēti kurā izpildu lietā (vai lietās) naudas līdzekļi iztrūkst. </w:t>
      </w:r>
      <w:r w:rsidR="002E5FA5">
        <w:rPr>
          <w:rFonts w:ascii="TimesNewRomanPSMT" w:eastAsiaTheme="minorHAnsi" w:hAnsi="TimesNewRomanPSMT" w:cs="TimesNewRomanPSMT"/>
          <w:lang w:eastAsia="en-US"/>
        </w:rPr>
        <w:t>K</w:t>
      </w:r>
      <w:r w:rsidRPr="00564020">
        <w:rPr>
          <w:rFonts w:ascii="TimesNewRomanPSMT" w:eastAsiaTheme="minorHAnsi" w:hAnsi="TimesNewRomanPSMT" w:cs="TimesNewRomanPSMT"/>
          <w:lang w:eastAsia="en-US"/>
        </w:rPr>
        <w:t xml:space="preserve">onkrētā situācija ar atteikumu izmaksāt rezervēto naudas līdzekļu daļu </w:t>
      </w:r>
      <w:r w:rsidR="00167D4B">
        <w:rPr>
          <w:rFonts w:ascii="TimesNewRomanPSMT" w:eastAsiaTheme="minorHAnsi" w:hAnsi="TimesNewRomanPSMT" w:cs="TimesNewRomanPSMT"/>
          <w:lang w:eastAsia="en-US"/>
        </w:rPr>
        <w:t>sabiedrībai</w:t>
      </w:r>
      <w:r w:rsidRPr="00564020">
        <w:rPr>
          <w:rFonts w:ascii="TimesNewRomanPSMT" w:eastAsiaTheme="minorHAnsi" w:hAnsi="TimesNewRomanPSMT" w:cs="TimesNewRomanPSMT"/>
          <w:lang w:eastAsia="en-US"/>
        </w:rPr>
        <w:t xml:space="preserve"> ir sekas ne tikai naudas līdzekļu iztrūkumam kā tādam, bet arī tam, ka ilgstoši netika sakārtota depozītu summu uzskaite iecirknī Nr.</w:t>
      </w:r>
      <w:r w:rsidR="00AC7EF9">
        <w:rPr>
          <w:rFonts w:ascii="TimesNewRomanPSMT" w:eastAsiaTheme="minorHAnsi" w:hAnsi="TimesNewRomanPSMT" w:cs="TimesNewRomanPSMT"/>
          <w:lang w:eastAsia="en-US"/>
        </w:rPr>
        <w:t> </w:t>
      </w:r>
      <w:r w:rsidRPr="00564020">
        <w:rPr>
          <w:rFonts w:ascii="TimesNewRomanPSMT" w:eastAsiaTheme="minorHAnsi" w:hAnsi="TimesNewRomanPSMT" w:cs="TimesNewRomanPSMT"/>
          <w:lang w:eastAsia="en-US"/>
        </w:rPr>
        <w:t xml:space="preserve">64 par laiku no </w:t>
      </w:r>
      <w:proofErr w:type="gramStart"/>
      <w:r w:rsidRPr="00564020">
        <w:rPr>
          <w:rFonts w:ascii="TimesNewRomanPSMT" w:eastAsiaTheme="minorHAnsi" w:hAnsi="TimesNewRomanPSMT" w:cs="TimesNewRomanPSMT"/>
          <w:lang w:eastAsia="en-US"/>
        </w:rPr>
        <w:t>2003.gada</w:t>
      </w:r>
      <w:proofErr w:type="gramEnd"/>
      <w:r w:rsidRPr="00564020">
        <w:rPr>
          <w:rFonts w:ascii="TimesNewRomanPSMT" w:eastAsiaTheme="minorHAnsi" w:hAnsi="TimesNewRomanPSMT" w:cs="TimesNewRomanPSMT"/>
          <w:lang w:eastAsia="en-US"/>
        </w:rPr>
        <w:t xml:space="preserve"> 1.janvāra līdz 2011.gada 21.jūnijam. Pieteicējai nebija pamata izmaksāt naudas līdzekļus citās izpildu lietās, </w:t>
      </w:r>
      <w:proofErr w:type="gramStart"/>
      <w:r w:rsidRPr="00564020">
        <w:rPr>
          <w:rFonts w:ascii="TimesNewRomanPSMT" w:eastAsiaTheme="minorHAnsi" w:hAnsi="TimesNewRomanPSMT" w:cs="TimesNewRomanPSMT"/>
          <w:lang w:eastAsia="en-US"/>
        </w:rPr>
        <w:t>nepārbaudot naudas līdzekļu saistību ar konkrēto</w:t>
      </w:r>
      <w:proofErr w:type="gramEnd"/>
      <w:r w:rsidRPr="00564020">
        <w:rPr>
          <w:rFonts w:ascii="TimesNewRomanPSMT" w:eastAsiaTheme="minorHAnsi" w:hAnsi="TimesNewRomanPSMT" w:cs="TimesNewRomanPSMT"/>
          <w:lang w:eastAsia="en-US"/>
        </w:rPr>
        <w:t xml:space="preserve"> izpildu lietu. Minētā pieteicējas rīcība ir tiešā pretrunā ar pašas pieteicējas vēlāk izvirzīto argumentu, ka naudas līdzekļi depozītu kontā ir piesaistīti konkrētām izpildu lietām. </w:t>
      </w:r>
      <w:proofErr w:type="gramStart"/>
      <w:r w:rsidRPr="00564020">
        <w:rPr>
          <w:rFonts w:ascii="TimesNewRomanPSMT" w:eastAsiaTheme="minorHAnsi" w:hAnsi="TimesNewRomanPSMT" w:cs="TimesNewRomanPSMT"/>
          <w:lang w:eastAsia="en-US"/>
        </w:rPr>
        <w:t>Izmaksājot naudas līdzekļus citām personām citās</w:t>
      </w:r>
      <w:proofErr w:type="gramEnd"/>
      <w:r w:rsidRPr="00564020">
        <w:rPr>
          <w:rFonts w:ascii="TimesNewRomanPSMT" w:eastAsiaTheme="minorHAnsi" w:hAnsi="TimesNewRomanPSMT" w:cs="TimesNewRomanPSMT"/>
          <w:lang w:eastAsia="en-US"/>
        </w:rPr>
        <w:t xml:space="preserve"> izpildu lietās, tiek pieļauts </w:t>
      </w:r>
      <w:r w:rsidR="00A878CB">
        <w:rPr>
          <w:rFonts w:ascii="TimesNewRomanPSMT" w:eastAsiaTheme="minorHAnsi" w:hAnsi="TimesNewRomanPSMT" w:cs="TimesNewRomanPSMT"/>
          <w:lang w:eastAsia="en-US"/>
        </w:rPr>
        <w:t>citu</w:t>
      </w:r>
      <w:r w:rsidRPr="00564020">
        <w:rPr>
          <w:rFonts w:ascii="TimesNewRomanPSMT" w:eastAsiaTheme="minorHAnsi" w:hAnsi="TimesNewRomanPSMT" w:cs="TimesNewRomanPSMT"/>
          <w:lang w:eastAsia="en-US"/>
        </w:rPr>
        <w:t xml:space="preserve"> personu tiesību aizskārums.</w:t>
      </w:r>
    </w:p>
    <w:p w14:paraId="7A5AFC8E" w14:textId="2629A121" w:rsidR="00BE583E" w:rsidRDefault="00824DF3" w:rsidP="00BE583E">
      <w:pPr>
        <w:spacing w:line="276" w:lineRule="auto"/>
        <w:ind w:firstLine="567"/>
        <w:jc w:val="both"/>
        <w:rPr>
          <w:rFonts w:ascii="TimesNewRomanPSMT" w:eastAsiaTheme="minorHAnsi" w:hAnsi="TimesNewRomanPSMT" w:cs="TimesNewRomanPSMT"/>
          <w:lang w:eastAsia="en-US"/>
        </w:rPr>
      </w:pPr>
      <w:r w:rsidRPr="00824DF3">
        <w:rPr>
          <w:rFonts w:ascii="TimesNewRomanPSMT" w:eastAsiaTheme="minorHAnsi" w:hAnsi="TimesNewRomanPSMT" w:cs="TimesNewRomanPSMT"/>
          <w:lang w:eastAsia="en-US"/>
        </w:rPr>
        <w:t>[</w:t>
      </w:r>
      <w:r w:rsidR="003C1F34">
        <w:rPr>
          <w:rFonts w:ascii="TimesNewRomanPSMT" w:eastAsiaTheme="minorHAnsi" w:hAnsi="TimesNewRomanPSMT" w:cs="TimesNewRomanPSMT"/>
          <w:lang w:eastAsia="en-US"/>
        </w:rPr>
        <w:t>1.5</w:t>
      </w:r>
      <w:r w:rsidRPr="00824DF3">
        <w:rPr>
          <w:rFonts w:ascii="TimesNewRomanPSMT" w:eastAsiaTheme="minorHAnsi" w:hAnsi="TimesNewRomanPSMT" w:cs="TimesNewRomanPSMT"/>
          <w:lang w:eastAsia="en-US"/>
        </w:rPr>
        <w:t>] Lietā nav strīd</w:t>
      </w:r>
      <w:r w:rsidR="00471073">
        <w:rPr>
          <w:rFonts w:ascii="TimesNewRomanPSMT" w:eastAsiaTheme="minorHAnsi" w:hAnsi="TimesNewRomanPSMT" w:cs="TimesNewRomanPSMT"/>
          <w:lang w:eastAsia="en-US"/>
        </w:rPr>
        <w:t>a</w:t>
      </w:r>
      <w:r w:rsidRPr="00824DF3">
        <w:rPr>
          <w:rFonts w:ascii="TimesNewRomanPSMT" w:eastAsiaTheme="minorHAnsi" w:hAnsi="TimesNewRomanPSMT" w:cs="TimesNewRomanPSMT"/>
          <w:lang w:eastAsia="en-US"/>
        </w:rPr>
        <w:t xml:space="preserve">, ka naudas līdzekļi, kas bija rezervēti </w:t>
      </w:r>
      <w:r w:rsidR="00471073">
        <w:rPr>
          <w:rFonts w:ascii="TimesNewRomanPSMT" w:eastAsiaTheme="minorHAnsi" w:hAnsi="TimesNewRomanPSMT" w:cs="TimesNewRomanPSMT"/>
          <w:lang w:eastAsia="en-US"/>
        </w:rPr>
        <w:t>sa</w:t>
      </w:r>
      <w:r w:rsidR="007E66BD">
        <w:rPr>
          <w:rFonts w:ascii="TimesNewRomanPSMT" w:eastAsiaTheme="minorHAnsi" w:hAnsi="TimesNewRomanPSMT" w:cs="TimesNewRomanPSMT"/>
          <w:lang w:eastAsia="en-US"/>
        </w:rPr>
        <w:t>bied</w:t>
      </w:r>
      <w:r w:rsidR="00471073">
        <w:rPr>
          <w:rFonts w:ascii="TimesNewRomanPSMT" w:eastAsiaTheme="minorHAnsi" w:hAnsi="TimesNewRomanPSMT" w:cs="TimesNewRomanPSMT"/>
          <w:lang w:eastAsia="en-US"/>
        </w:rPr>
        <w:t>rībai</w:t>
      </w:r>
      <w:r w:rsidRPr="00824DF3">
        <w:rPr>
          <w:rFonts w:ascii="TimesNewRomanPSMT" w:eastAsiaTheme="minorHAnsi" w:hAnsi="TimesNewRomanPSMT" w:cs="TimesNewRomanPSMT"/>
          <w:lang w:eastAsia="en-US"/>
        </w:rPr>
        <w:t xml:space="preserve">, tai </w:t>
      </w:r>
      <w:r w:rsidR="007E66BD">
        <w:rPr>
          <w:rFonts w:ascii="TimesNewRomanPSMT" w:eastAsiaTheme="minorHAnsi" w:hAnsi="TimesNewRomanPSMT" w:cs="TimesNewRomanPSMT"/>
          <w:lang w:eastAsia="en-US"/>
        </w:rPr>
        <w:t>bija</w:t>
      </w:r>
      <w:r w:rsidRPr="00824DF3">
        <w:rPr>
          <w:rFonts w:ascii="TimesNewRomanPSMT" w:eastAsiaTheme="minorHAnsi" w:hAnsi="TimesNewRomanPSMT" w:cs="TimesNewRomanPSMT"/>
          <w:lang w:eastAsia="en-US"/>
        </w:rPr>
        <w:t xml:space="preserve"> izmaksājami. Valsts tiesu izpildītājam ir piešķīrusi monopolu tiesu nolēmumu izpildē. Līdz ar to nolēmumu izpilde ir tiesu izpildītāja obligāts pienā</w:t>
      </w:r>
      <w:r w:rsidR="00B205D2">
        <w:rPr>
          <w:rFonts w:ascii="TimesNewRomanPSMT" w:eastAsiaTheme="minorHAnsi" w:hAnsi="TimesNewRomanPSMT" w:cs="TimesNewRomanPSMT"/>
          <w:lang w:eastAsia="en-US"/>
        </w:rPr>
        <w:t>kums</w:t>
      </w:r>
      <w:r w:rsidRPr="00824DF3">
        <w:rPr>
          <w:rFonts w:ascii="TimesNewRomanPSMT" w:eastAsiaTheme="minorHAnsi" w:hAnsi="TimesNewRomanPSMT" w:cs="TimesNewRomanPSMT"/>
          <w:lang w:eastAsia="en-US"/>
        </w:rPr>
        <w:t>. Pieteicēja pēc iecirkņa pārņemšanas (nevis pārņemšanas laikā) konstatēja iztrūkumu, taču nepārliecinājās, kurā izpildu lietā līdzekļi iztrūkst. Pēc tam pieteicēja izmaksāja naudas līdzekļus, nekonstatējot to saistību ar konkrētu izpildu lietu,</w:t>
      </w:r>
      <w:r>
        <w:rPr>
          <w:rFonts w:ascii="TimesNewRomanPSMT" w:eastAsiaTheme="minorHAnsi" w:hAnsi="TimesNewRomanPSMT" w:cs="TimesNewRomanPSMT"/>
          <w:lang w:eastAsia="en-US"/>
        </w:rPr>
        <w:t xml:space="preserve"> </w:t>
      </w:r>
      <w:r w:rsidRPr="00824DF3">
        <w:rPr>
          <w:rFonts w:ascii="TimesNewRomanPSMT" w:eastAsiaTheme="minorHAnsi" w:hAnsi="TimesNewRomanPSMT" w:cs="TimesNewRomanPSMT"/>
          <w:lang w:eastAsia="en-US"/>
        </w:rPr>
        <w:t>apzinoties, ka piedzītie līdzekļi ir saistāmi ar to izpildu lietu, kurā tie piedzīti, bet nedrīkst tikt</w:t>
      </w:r>
      <w:proofErr w:type="gramStart"/>
      <w:r w:rsidRPr="00824DF3">
        <w:rPr>
          <w:rFonts w:ascii="TimesNewRomanPSMT" w:eastAsiaTheme="minorHAnsi" w:hAnsi="TimesNewRomanPSMT" w:cs="TimesNewRomanPSMT"/>
          <w:lang w:eastAsia="en-US"/>
        </w:rPr>
        <w:t xml:space="preserve"> izmaksāti citās</w:t>
      </w:r>
      <w:proofErr w:type="gramEnd"/>
      <w:r w:rsidRPr="00824DF3">
        <w:rPr>
          <w:rFonts w:ascii="TimesNewRomanPSMT" w:eastAsiaTheme="minorHAnsi" w:hAnsi="TimesNewRomanPSMT" w:cs="TimesNewRomanPSMT"/>
          <w:lang w:eastAsia="en-US"/>
        </w:rPr>
        <w:t xml:space="preserve"> izpildu lietās. </w:t>
      </w:r>
      <w:r w:rsidR="0017054D">
        <w:rPr>
          <w:rFonts w:ascii="TimesNewRomanPSMT" w:eastAsiaTheme="minorHAnsi" w:hAnsi="TimesNewRomanPSMT" w:cs="TimesNewRomanPSMT"/>
          <w:lang w:eastAsia="en-US"/>
        </w:rPr>
        <w:t>Tāpēc</w:t>
      </w:r>
      <w:r w:rsidRPr="00824DF3">
        <w:rPr>
          <w:rFonts w:ascii="TimesNewRomanPSMT" w:eastAsiaTheme="minorHAnsi" w:hAnsi="TimesNewRomanPSMT" w:cs="TimesNewRomanPSMT"/>
          <w:lang w:eastAsia="en-US"/>
        </w:rPr>
        <w:t xml:space="preserve"> pieteicējai bija jāapzinās arī tas, ka, šādi rīkojoties, pienāks brīdis, kad kontā vairs nebūs naudas līdzekļu, ko izmaksāt. Līdz ar to minētā pieteicējas rīcība atbilst „rupjas neuzmanības” pazīmēm. </w:t>
      </w:r>
      <w:proofErr w:type="gramStart"/>
      <w:r w:rsidRPr="00824DF3">
        <w:rPr>
          <w:rFonts w:ascii="TimesNewRomanPSMT" w:eastAsiaTheme="minorHAnsi" w:hAnsi="TimesNewRomanPSMT" w:cs="TimesNewRomanPSMT"/>
          <w:lang w:eastAsia="en-US"/>
        </w:rPr>
        <w:t>Nenodrošinot piedzīto un rezervēto līdzekļu izmaksāšanu konkrētās</w:t>
      </w:r>
      <w:proofErr w:type="gramEnd"/>
      <w:r w:rsidRPr="00824DF3">
        <w:rPr>
          <w:rFonts w:ascii="TimesNewRomanPSMT" w:eastAsiaTheme="minorHAnsi" w:hAnsi="TimesNewRomanPSMT" w:cs="TimesNewRomanPSMT"/>
          <w:lang w:eastAsia="en-US"/>
        </w:rPr>
        <w:t xml:space="preserve"> izpildu lietās, pieteicēja nevarēja neapzināties šādas rīcības nelabvēlīgās sekas gan privātpersonai, gan valstij, tomēr pieteicēja ir vieglprātīgi paļāvusies, ka kaitējums netiks radīts (neiestāsies), jo depozītu konta stāvoklis jebkurā gadījumā tiks atzīts par tādu, kas viņai liedz veikt visas rezervētās summas izmaksu. </w:t>
      </w:r>
      <w:r w:rsidR="00493114">
        <w:rPr>
          <w:rFonts w:ascii="TimesNewRomanPSMT" w:eastAsiaTheme="minorHAnsi" w:hAnsi="TimesNewRomanPSMT" w:cs="TimesNewRomanPSMT"/>
          <w:lang w:eastAsia="en-US"/>
        </w:rPr>
        <w:t>P</w:t>
      </w:r>
      <w:r w:rsidRPr="00824DF3">
        <w:rPr>
          <w:rFonts w:ascii="TimesNewRomanPSMT" w:eastAsiaTheme="minorHAnsi" w:hAnsi="TimesNewRomanPSMT" w:cs="TimesNewRomanPSMT"/>
          <w:lang w:eastAsia="en-US"/>
        </w:rPr>
        <w:t>ieteicējas argumenti varētu tikt atzīti par pamatotiem, ja pati pieteicēja bū</w:t>
      </w:r>
      <w:r w:rsidR="00767B8F">
        <w:rPr>
          <w:rFonts w:ascii="TimesNewRomanPSMT" w:eastAsiaTheme="minorHAnsi" w:hAnsi="TimesNewRomanPSMT" w:cs="TimesNewRomanPSMT"/>
          <w:lang w:eastAsia="en-US"/>
        </w:rPr>
        <w:t>tu laikus</w:t>
      </w:r>
      <w:r w:rsidRPr="00824DF3">
        <w:rPr>
          <w:rFonts w:ascii="TimesNewRomanPSMT" w:eastAsiaTheme="minorHAnsi" w:hAnsi="TimesNewRomanPSMT" w:cs="TimesNewRomanPSMT"/>
          <w:lang w:eastAsia="en-US"/>
        </w:rPr>
        <w:t xml:space="preserve"> veikusi visas nepieciešamās pārbaudes darbības un rīkojusies saskaņā ar normatīvo aktu prasībām, kas šajā gadījumā nav konstatējams.</w:t>
      </w:r>
    </w:p>
    <w:p w14:paraId="343350F6" w14:textId="75262CF9" w:rsidR="00A43A2D" w:rsidRDefault="00BE583E" w:rsidP="000F5711">
      <w:pPr>
        <w:spacing w:line="276" w:lineRule="auto"/>
        <w:ind w:firstLine="567"/>
        <w:jc w:val="both"/>
        <w:rPr>
          <w:rFonts w:ascii="TimesNewRomanPSMT" w:eastAsiaTheme="minorHAnsi" w:hAnsi="TimesNewRomanPSMT" w:cs="TimesNewRomanPSMT"/>
          <w:lang w:eastAsia="en-US"/>
        </w:rPr>
      </w:pPr>
      <w:r w:rsidRPr="000F5711">
        <w:rPr>
          <w:rFonts w:ascii="TimesNewRomanPSMT" w:eastAsiaTheme="minorHAnsi" w:hAnsi="TimesNewRomanPSMT" w:cs="TimesNewRomanPSMT"/>
          <w:lang w:eastAsia="en-US"/>
        </w:rPr>
        <w:t>[</w:t>
      </w:r>
      <w:r w:rsidR="00796CBC">
        <w:rPr>
          <w:rFonts w:ascii="TimesNewRomanPSMT" w:eastAsiaTheme="minorHAnsi" w:hAnsi="TimesNewRomanPSMT" w:cs="TimesNewRomanPSMT"/>
          <w:lang w:eastAsia="en-US"/>
        </w:rPr>
        <w:t>1.6</w:t>
      </w:r>
      <w:r w:rsidRPr="000F5711">
        <w:rPr>
          <w:rFonts w:ascii="TimesNewRomanPSMT" w:eastAsiaTheme="minorHAnsi" w:hAnsi="TimesNewRomanPSMT" w:cs="TimesNewRomanPSMT"/>
          <w:lang w:eastAsia="en-US"/>
        </w:rPr>
        <w:t>] Pieteicēja norāda, ka ir pierādījumi, kas apliecina naudas līdzekļu iztrūkuma faktu iecirkņa Nr.</w:t>
      </w:r>
      <w:r w:rsidR="00CE2752">
        <w:rPr>
          <w:rFonts w:ascii="TimesNewRomanPSMT" w:eastAsiaTheme="minorHAnsi" w:hAnsi="TimesNewRomanPSMT" w:cs="TimesNewRomanPSMT"/>
          <w:lang w:eastAsia="en-US"/>
        </w:rPr>
        <w:t> </w:t>
      </w:r>
      <w:r w:rsidRPr="000F5711">
        <w:rPr>
          <w:rFonts w:ascii="TimesNewRomanPSMT" w:eastAsiaTheme="minorHAnsi" w:hAnsi="TimesNewRomanPSMT" w:cs="TimesNewRomanPSMT"/>
          <w:lang w:eastAsia="en-US"/>
        </w:rPr>
        <w:t xml:space="preserve">64 izpildu lietā </w:t>
      </w:r>
      <w:r w:rsidR="009D0AED">
        <w:rPr>
          <w:rFonts w:ascii="TimesNewRomanPSMT" w:eastAsiaTheme="minorHAnsi" w:hAnsi="TimesNewRomanPSMT" w:cs="TimesNewRomanPSMT"/>
          <w:lang w:eastAsia="en-US"/>
        </w:rPr>
        <w:t xml:space="preserve">jau </w:t>
      </w:r>
      <w:r w:rsidRPr="000F5711">
        <w:rPr>
          <w:rFonts w:ascii="TimesNewRomanPSMT" w:eastAsiaTheme="minorHAnsi" w:hAnsi="TimesNewRomanPSMT" w:cs="TimesNewRomanPSMT"/>
          <w:lang w:eastAsia="en-US"/>
        </w:rPr>
        <w:t xml:space="preserve">uz tā pārņemšanas brīdi </w:t>
      </w:r>
      <w:proofErr w:type="gramStart"/>
      <w:r w:rsidRPr="000F5711">
        <w:rPr>
          <w:rFonts w:ascii="TimesNewRomanPSMT" w:eastAsiaTheme="minorHAnsi" w:hAnsi="TimesNewRomanPSMT" w:cs="TimesNewRomanPSMT"/>
          <w:lang w:eastAsia="en-US"/>
        </w:rPr>
        <w:t>2011.gada</w:t>
      </w:r>
      <w:proofErr w:type="gramEnd"/>
      <w:r w:rsidRPr="000F5711">
        <w:rPr>
          <w:rFonts w:ascii="TimesNewRomanPSMT" w:eastAsiaTheme="minorHAnsi" w:hAnsi="TimesNewRomanPSMT" w:cs="TimesNewRomanPSMT"/>
          <w:lang w:eastAsia="en-US"/>
        </w:rPr>
        <w:t xml:space="preserve"> 16.jūnijā. Ņemot vērā, ka naudas līdzekļu iztrūkums pastāvēja disciplinārlietas izskatīšanas laikā, kā arī uz šiem apstākļiem pieteicēja ir atsaukusies disciplinārlietas izskatīšanas laikā, pieteicēja uzskata, ka tas ir lietā būtisks pierādījums, kas pamato viņas iebildumus. Minētajiem pieteicējas apsvērumiem nav būtiskas nozīmes, vērtējot pieteicējai piemēr</w:t>
      </w:r>
      <w:r w:rsidR="00551FFE">
        <w:rPr>
          <w:rFonts w:ascii="TimesNewRomanPSMT" w:eastAsiaTheme="minorHAnsi" w:hAnsi="TimesNewRomanPSMT" w:cs="TimesNewRomanPSMT"/>
          <w:lang w:eastAsia="en-US"/>
        </w:rPr>
        <w:t>otā disciplinārsoda tiesiskumu. Kā jau tika minēts</w:t>
      </w:r>
      <w:r w:rsidRPr="000F5711">
        <w:rPr>
          <w:rFonts w:ascii="TimesNewRomanPSMT" w:eastAsiaTheme="minorHAnsi" w:hAnsi="TimesNewRomanPSMT" w:cs="TimesNewRomanPSMT"/>
          <w:lang w:eastAsia="en-US"/>
        </w:rPr>
        <w:t xml:space="preserve">, atteikums izmaksāt rezervētos naudas līdzekļus ir sekas tam, ka ilgstoši netika ieviesta kārtība pārņemtajā depozīta kontā, savukārt kontā esošie līdzekļi tika izmaksāti, kamēr vien tie kontā bija, bez nepieciešamās pārbaudes par līdzekļu sasaisti ar konkrēto izpildu lietu. Attiecīgi šajā procesa stadijā (jau pēc disciplinārsoda piemērošanas), ciktāl tas attiecas uz pieteicējai piemēroto disciplinārsodu, vairs nav izšķirošas nozīmes tam, tieši kurā izpildu lietā trūkst līdzekļu. Līdzekļu iztrūkuma fakts bija jākonstatē, pārņemot iecirkni, nevis pēc ilgāka laika, kad tika konstatētas nenovēršamas problēmas līdzekļu izmaksāšanā. Šajā gadījumā pieteicēja bija izvēlējusies nepieciešamo darbību veikšanu atlikt uz vēlāku laiku. Tāpat pieteicēja bija veikusi naudas līdzekļu izmaksas, </w:t>
      </w:r>
      <w:proofErr w:type="gramStart"/>
      <w:r w:rsidRPr="000F5711">
        <w:rPr>
          <w:rFonts w:ascii="TimesNewRomanPSMT" w:eastAsiaTheme="minorHAnsi" w:hAnsi="TimesNewRomanPSMT" w:cs="TimesNewRomanPSMT"/>
          <w:lang w:eastAsia="en-US"/>
        </w:rPr>
        <w:t>nekonstatējot naudas līdzekļu sasaisti ar konkrēto</w:t>
      </w:r>
      <w:proofErr w:type="gramEnd"/>
      <w:r w:rsidRPr="000F5711">
        <w:rPr>
          <w:rFonts w:ascii="TimesNewRomanPSMT" w:eastAsiaTheme="minorHAnsi" w:hAnsi="TimesNewRomanPSMT" w:cs="TimesNewRomanPSMT"/>
          <w:lang w:eastAsia="en-US"/>
        </w:rPr>
        <w:t xml:space="preserve"> izpildu lietu.</w:t>
      </w:r>
    </w:p>
    <w:p w14:paraId="1AD8CEA4" w14:textId="1500E37F" w:rsidR="000F5711" w:rsidRPr="00211460" w:rsidRDefault="00BE583E" w:rsidP="000F5711">
      <w:pPr>
        <w:spacing w:line="276" w:lineRule="auto"/>
        <w:ind w:firstLine="567"/>
        <w:jc w:val="both"/>
        <w:rPr>
          <w:rFonts w:ascii="TimesNewRomanPSMT" w:eastAsiaTheme="minorHAnsi" w:hAnsi="TimesNewRomanPSMT" w:cs="TimesNewRomanPSMT"/>
          <w:lang w:eastAsia="en-US"/>
        </w:rPr>
      </w:pPr>
      <w:r w:rsidRPr="000F5711">
        <w:rPr>
          <w:rFonts w:ascii="TimesNewRomanPSMT" w:eastAsiaTheme="minorHAnsi" w:hAnsi="TimesNewRomanPSMT" w:cs="TimesNewRomanPSMT"/>
          <w:lang w:eastAsia="en-US"/>
        </w:rPr>
        <w:lastRenderedPageBreak/>
        <w:t xml:space="preserve">Vienlaikus pati pieteicēja arī argumentē, ka šāda rīcība ir nepieļaujama un tiesību normām </w:t>
      </w:r>
      <w:r w:rsidRPr="00211460">
        <w:rPr>
          <w:rFonts w:ascii="TimesNewRomanPSMT" w:eastAsiaTheme="minorHAnsi" w:hAnsi="TimesNewRomanPSMT" w:cs="TimesNewRomanPSMT"/>
          <w:lang w:eastAsia="en-US"/>
        </w:rPr>
        <w:t>neatbilstoša, kas norāda uz to, ka pieteicēja savas rīcības prettiesiskumu ir apzinājusies</w:t>
      </w:r>
      <w:r w:rsidR="00551FFE" w:rsidRPr="00211460">
        <w:rPr>
          <w:rFonts w:ascii="TimesNewRomanPSMT" w:eastAsiaTheme="minorHAnsi" w:hAnsi="TimesNewRomanPSMT" w:cs="TimesNewRomanPSMT"/>
          <w:lang w:eastAsia="en-US"/>
        </w:rPr>
        <w:t>.</w:t>
      </w:r>
    </w:p>
    <w:p w14:paraId="42D96B20" w14:textId="0E0D4184" w:rsidR="00782331" w:rsidRDefault="000F5711" w:rsidP="00782331">
      <w:pPr>
        <w:spacing w:line="276" w:lineRule="auto"/>
        <w:ind w:firstLine="567"/>
        <w:jc w:val="both"/>
        <w:rPr>
          <w:rFonts w:ascii="TimesNewRomanPSMT" w:eastAsiaTheme="minorHAnsi" w:hAnsi="TimesNewRomanPSMT" w:cs="TimesNewRomanPSMT"/>
          <w:lang w:eastAsia="en-US"/>
        </w:rPr>
      </w:pPr>
      <w:r w:rsidRPr="00211460">
        <w:rPr>
          <w:rFonts w:ascii="TimesNewRomanPSMT" w:eastAsiaTheme="minorHAnsi" w:hAnsi="TimesNewRomanPSMT" w:cs="TimesNewRomanPSMT"/>
          <w:lang w:eastAsia="en-US"/>
        </w:rPr>
        <w:t>[</w:t>
      </w:r>
      <w:r w:rsidR="00CE2752" w:rsidRPr="00211460">
        <w:rPr>
          <w:rFonts w:ascii="TimesNewRomanPSMT" w:eastAsiaTheme="minorHAnsi" w:hAnsi="TimesNewRomanPSMT" w:cs="TimesNewRomanPSMT"/>
          <w:lang w:eastAsia="en-US"/>
        </w:rPr>
        <w:t>1.7</w:t>
      </w:r>
      <w:r w:rsidRPr="000F0DCC">
        <w:rPr>
          <w:rFonts w:ascii="TimesNewRomanPSMT" w:eastAsiaTheme="minorHAnsi" w:hAnsi="TimesNewRomanPSMT" w:cs="TimesNewRomanPSMT"/>
          <w:lang w:eastAsia="en-US"/>
        </w:rPr>
        <w:t xml:space="preserve">] Pieteicēja uzskata, ka tiesai nav pamata neierobežotā laikā izmantot faktus, kuri nav pārbaudīti, jo uz disciplinārlietas izskatīšanas brīdi bija pagājuši jau vairāk nekā 4 gadi. Par iecirkņa pārņemšanā pieļautajiem pārkāpumiem pārbaude un disciplinārlieta netika ierosināta. </w:t>
      </w:r>
      <w:r w:rsidR="00D10DA9" w:rsidRPr="000F0DCC">
        <w:rPr>
          <w:rFonts w:ascii="TimesNewRomanPSMT" w:eastAsiaTheme="minorHAnsi" w:hAnsi="TimesNewRomanPSMT" w:cs="TimesNewRomanPSMT"/>
          <w:lang w:eastAsia="en-US"/>
        </w:rPr>
        <w:t xml:space="preserve">Šie </w:t>
      </w:r>
      <w:r w:rsidRPr="000F0DCC">
        <w:rPr>
          <w:rFonts w:ascii="TimesNewRomanPSMT" w:eastAsiaTheme="minorHAnsi" w:hAnsi="TimesNewRomanPSMT" w:cs="TimesNewRomanPSMT"/>
          <w:lang w:eastAsia="en-US"/>
        </w:rPr>
        <w:t>apsvē</w:t>
      </w:r>
      <w:r w:rsidR="00D10DA9" w:rsidRPr="000F0DCC">
        <w:rPr>
          <w:rFonts w:ascii="TimesNewRomanPSMT" w:eastAsiaTheme="minorHAnsi" w:hAnsi="TimesNewRomanPSMT" w:cs="TimesNewRomanPSMT"/>
          <w:lang w:eastAsia="en-US"/>
        </w:rPr>
        <w:t>rumi</w:t>
      </w:r>
      <w:r w:rsidRPr="000F0DCC">
        <w:rPr>
          <w:rFonts w:ascii="TimesNewRomanPSMT" w:eastAsiaTheme="minorHAnsi" w:hAnsi="TimesNewRomanPSMT" w:cs="TimesNewRomanPSMT"/>
          <w:lang w:eastAsia="en-US"/>
        </w:rPr>
        <w:t xml:space="preserve"> vērtē</w:t>
      </w:r>
      <w:r w:rsidR="00D10DA9" w:rsidRPr="000F0DCC">
        <w:rPr>
          <w:rFonts w:ascii="TimesNewRomanPSMT" w:eastAsiaTheme="minorHAnsi" w:hAnsi="TimesNewRomanPSMT" w:cs="TimesNewRomanPSMT"/>
          <w:lang w:eastAsia="en-US"/>
        </w:rPr>
        <w:t>jami</w:t>
      </w:r>
      <w:r w:rsidRPr="000F0DCC">
        <w:rPr>
          <w:rFonts w:ascii="TimesNewRomanPSMT" w:eastAsiaTheme="minorHAnsi" w:hAnsi="TimesNewRomanPSMT" w:cs="TimesNewRomanPSMT"/>
          <w:lang w:eastAsia="en-US"/>
        </w:rPr>
        <w:t xml:space="preserve"> kritiski, jo pieteicējas darbības iecirkņa pārņemšanā ir </w:t>
      </w:r>
      <w:r w:rsidR="00923A45">
        <w:rPr>
          <w:rFonts w:ascii="TimesNewRomanPSMT" w:eastAsiaTheme="minorHAnsi" w:hAnsi="TimesNewRomanPSMT" w:cs="TimesNewRomanPSMT"/>
          <w:lang w:eastAsia="en-US"/>
        </w:rPr>
        <w:t>nesaraujami</w:t>
      </w:r>
      <w:r w:rsidRPr="000F0DCC">
        <w:rPr>
          <w:rFonts w:ascii="TimesNewRomanPSMT" w:eastAsiaTheme="minorHAnsi" w:hAnsi="TimesNewRomanPSMT" w:cs="TimesNewRomanPSMT"/>
          <w:lang w:eastAsia="en-US"/>
        </w:rPr>
        <w:t xml:space="preserve"> </w:t>
      </w:r>
      <w:r w:rsidRPr="0051742A">
        <w:rPr>
          <w:rFonts w:ascii="TimesNewRomanPSMT" w:eastAsiaTheme="minorHAnsi" w:hAnsi="TimesNewRomanPSMT" w:cs="TimesNewRomanPSMT"/>
          <w:lang w:eastAsia="en-US"/>
        </w:rPr>
        <w:t>saistītas ar lietā vērtējamo situāciju. Respektīvi, pieteicējas rīcība iecirkņa pārņemšanas laikā un ilgstošā periodā pēc iecirkņa pārņemšanas</w:t>
      </w:r>
      <w:r w:rsidRPr="000F5711">
        <w:rPr>
          <w:rFonts w:ascii="TimesNewRomanPSMT" w:eastAsiaTheme="minorHAnsi" w:hAnsi="TimesNewRomanPSMT" w:cs="TimesNewRomanPSMT"/>
          <w:lang w:eastAsia="en-US"/>
        </w:rPr>
        <w:t xml:space="preserve"> noveda pie tā, ka </w:t>
      </w:r>
      <w:r w:rsidR="009E11B4">
        <w:rPr>
          <w:rFonts w:ascii="TimesNewRomanPSMT" w:eastAsiaTheme="minorHAnsi" w:hAnsi="TimesNewRomanPSMT" w:cs="TimesNewRomanPSMT"/>
          <w:lang w:eastAsia="en-US"/>
        </w:rPr>
        <w:t>sabiedrībai</w:t>
      </w:r>
      <w:r w:rsidRPr="000F5711">
        <w:rPr>
          <w:rFonts w:ascii="TimesNewRomanPSMT" w:eastAsiaTheme="minorHAnsi" w:hAnsi="TimesNewRomanPSMT" w:cs="TimesNewRomanPSMT"/>
          <w:lang w:eastAsia="en-US"/>
        </w:rPr>
        <w:t xml:space="preserve"> netika izmaksāta </w:t>
      </w:r>
      <w:r w:rsidR="00C5507A">
        <w:rPr>
          <w:rFonts w:ascii="TimesNewRomanPSMT" w:eastAsiaTheme="minorHAnsi" w:hAnsi="TimesNewRomanPSMT" w:cs="TimesNewRomanPSMT"/>
          <w:lang w:eastAsia="en-US"/>
        </w:rPr>
        <w:t xml:space="preserve">tai </w:t>
      </w:r>
      <w:r w:rsidRPr="000F5711">
        <w:rPr>
          <w:rFonts w:ascii="TimesNewRomanPSMT" w:eastAsiaTheme="minorHAnsi" w:hAnsi="TimesNewRomanPSMT" w:cs="TimesNewRomanPSMT"/>
          <w:lang w:eastAsia="en-US"/>
        </w:rPr>
        <w:t>rezervēto naudas līdzekļu daļa</w:t>
      </w:r>
      <w:r w:rsidR="009A07EE" w:rsidRPr="009A07EE">
        <w:rPr>
          <w:rFonts w:ascii="TimesNewRomanPS-ItalicMT" w:eastAsiaTheme="minorHAnsi" w:hAnsi="TimesNewRomanPS-ItalicMT" w:cs="TimesNewRomanPS-ItalicMT"/>
          <w:iCs/>
          <w:lang w:eastAsia="en-US"/>
        </w:rPr>
        <w:t>.</w:t>
      </w:r>
    </w:p>
    <w:p w14:paraId="63EAA436" w14:textId="77777777" w:rsidR="00782331" w:rsidRDefault="00782331" w:rsidP="00782331">
      <w:pPr>
        <w:spacing w:line="276" w:lineRule="auto"/>
        <w:ind w:firstLine="567"/>
        <w:jc w:val="both"/>
        <w:rPr>
          <w:rFonts w:ascii="TimesNewRomanPSMT" w:eastAsiaTheme="minorHAnsi" w:hAnsi="TimesNewRomanPSMT" w:cs="TimesNewRomanPSMT"/>
          <w:lang w:eastAsia="en-US"/>
        </w:rPr>
      </w:pPr>
    </w:p>
    <w:p w14:paraId="0CABC390" w14:textId="239575F5" w:rsidR="001B5C20" w:rsidRDefault="007F0C61" w:rsidP="00782331">
      <w:pPr>
        <w:spacing w:line="276" w:lineRule="auto"/>
        <w:ind w:firstLine="567"/>
        <w:jc w:val="both"/>
      </w:pPr>
      <w:r w:rsidRPr="00D01F4A">
        <w:t>[</w:t>
      </w:r>
      <w:r>
        <w:t>2</w:t>
      </w:r>
      <w:r w:rsidR="00950844">
        <w:t>]</w:t>
      </w:r>
      <w:r w:rsidR="001B5C20">
        <w:t xml:space="preserve"> Par apgabaltiesas spriedumu</w:t>
      </w:r>
      <w:r w:rsidR="00950844">
        <w:t xml:space="preserve"> </w:t>
      </w:r>
      <w:r w:rsidR="001B5C20">
        <w:t>p</w:t>
      </w:r>
      <w:r w:rsidR="00950844">
        <w:t>ieteicēja</w:t>
      </w:r>
      <w:r w:rsidR="001B5C20">
        <w:t xml:space="preserve"> ir iesniegusi</w:t>
      </w:r>
      <w:r w:rsidRPr="00D01F4A">
        <w:t xml:space="preserve"> kasācijas sūdzīb</w:t>
      </w:r>
      <w:r w:rsidR="001B5C20">
        <w:t>u, kas pamatota ar turpmāk minētajiem argumentiem.</w:t>
      </w:r>
    </w:p>
    <w:p w14:paraId="49E2753D" w14:textId="2A8D1963" w:rsidR="001B5C20" w:rsidRDefault="001B5C20" w:rsidP="00782331">
      <w:pPr>
        <w:spacing w:line="276" w:lineRule="auto"/>
        <w:ind w:firstLine="567"/>
        <w:jc w:val="both"/>
      </w:pPr>
      <w:r>
        <w:t xml:space="preserve">[2.1] </w:t>
      </w:r>
      <w:r w:rsidR="009D3243">
        <w:t xml:space="preserve">Tiesa nav ievērojusi Administratīvā procesa likuma 107.panta ceturto daļu </w:t>
      </w:r>
      <w:r w:rsidR="001E00C6">
        <w:t>un 154.panta pirmo daļu</w:t>
      </w:r>
      <w:r w:rsidR="009D7752">
        <w:t>, jo</w:t>
      </w:r>
      <w:r w:rsidR="001E00C6">
        <w:t xml:space="preserve"> </w:t>
      </w:r>
      <w:r w:rsidR="00235C16">
        <w:t xml:space="preserve">nepamatoti noraidīja pieteicējas lūgumu izprasīt pierādījumus no iecirkņa Nr. 64, kuri apliecina naudas līdzekļu iztrūkuma faktu šajā iecirknī </w:t>
      </w:r>
      <w:r w:rsidR="00060C2A">
        <w:t>tā pārņemšanas brīdī</w:t>
      </w:r>
      <w:r w:rsidR="00235C16">
        <w:t>. Šā pierādījuma neesība noveda pie nepareiza tiesas sprieduma.</w:t>
      </w:r>
    </w:p>
    <w:p w14:paraId="0C51FBED" w14:textId="573CF439" w:rsidR="00C25A1E" w:rsidRDefault="00C25A1E" w:rsidP="00782331">
      <w:pPr>
        <w:spacing w:line="276" w:lineRule="auto"/>
        <w:ind w:firstLine="567"/>
        <w:jc w:val="both"/>
      </w:pPr>
      <w:r>
        <w:t xml:space="preserve">Tāpat pretrunā faktiskajiem apstākļiem un tiesību normām ir tiesas secinājums, ka pieteicējas atteikums izmaksāt naudas līdzekļus sabiedrībai ir </w:t>
      </w:r>
      <w:r w:rsidR="009167E1">
        <w:t xml:space="preserve">sekas ne tikai naudas līdzekļu iztrūkumam kā tādam, bet arī </w:t>
      </w:r>
      <w:r w:rsidR="00642695">
        <w:t xml:space="preserve">tam, ka ilgstoši netika sakārtota depozīta summu uzskaite </w:t>
      </w:r>
      <w:r w:rsidR="00534FCB">
        <w:t xml:space="preserve">minētajā iecirknī, tā kā atbildība par </w:t>
      </w:r>
      <w:r w:rsidR="000331CB">
        <w:t>iepriekšējo</w:t>
      </w:r>
      <w:r w:rsidR="00534FCB">
        <w:t xml:space="preserve"> laiku </w:t>
      </w:r>
      <w:r w:rsidR="007608C6">
        <w:t xml:space="preserve">atbilstoši Tiesu izpildītāju likuma 149.pantam </w:t>
      </w:r>
      <w:r w:rsidR="00534FCB">
        <w:t>ir iepriekšējiem tiesu izpild</w:t>
      </w:r>
      <w:r w:rsidR="00B67755">
        <w:t>ītā</w:t>
      </w:r>
      <w:r w:rsidR="00534FCB">
        <w:t>jiem</w:t>
      </w:r>
      <w:r w:rsidR="007608C6">
        <w:t>.</w:t>
      </w:r>
    </w:p>
    <w:p w14:paraId="69265186" w14:textId="10BFC48F" w:rsidR="00D959DA" w:rsidRDefault="00D959DA" w:rsidP="00782331">
      <w:pPr>
        <w:spacing w:line="276" w:lineRule="auto"/>
        <w:ind w:firstLine="567"/>
        <w:jc w:val="both"/>
      </w:pPr>
      <w:r>
        <w:t xml:space="preserve">[2.2] </w:t>
      </w:r>
      <w:r w:rsidR="003D2557">
        <w:t xml:space="preserve">Neviens normatīvais akts vai metodiskais materiāls </w:t>
      </w:r>
      <w:r w:rsidR="00226873">
        <w:t xml:space="preserve">nereglamentē </w:t>
      </w:r>
      <w:r w:rsidR="00B50AE8">
        <w:t xml:space="preserve">lietu pārņemšanas kārtību iecirknī. </w:t>
      </w:r>
      <w:r>
        <w:t>Atbilstoši</w:t>
      </w:r>
      <w:r w:rsidR="00B75449">
        <w:t xml:space="preserve"> Tiesu izpildītāju likuma </w:t>
      </w:r>
      <w:proofErr w:type="gramStart"/>
      <w:r w:rsidR="00B75449">
        <w:t>94.</w:t>
      </w:r>
      <w:r>
        <w:t>pantam</w:t>
      </w:r>
      <w:proofErr w:type="gramEnd"/>
      <w:r w:rsidR="00241427">
        <w:t xml:space="preserve">, atstājot zvērināta tiesu izpildītāja amatu, </w:t>
      </w:r>
      <w:r w:rsidR="00BF4A2A">
        <w:t xml:space="preserve">zvērināts tiesu izpildītājs sastāda </w:t>
      </w:r>
      <w:r w:rsidR="00366F94">
        <w:t>sarakstu par lietvedībā esošajām lietām un grāmatām. Šo sarakstu pārbauda un paraksta padomes pārstāvis. Lietas ar tieslietu ministra rīkojumu nododamas cita</w:t>
      </w:r>
      <w:r w:rsidR="00D354E1">
        <w:t xml:space="preserve">m zvērinātam tiesu izpildītājam, kas turpina </w:t>
      </w:r>
      <w:r w:rsidR="00D02461">
        <w:t xml:space="preserve">veikt nepieciešamās </w:t>
      </w:r>
      <w:r w:rsidR="000A2F8E">
        <w:t>izpildu darbības.</w:t>
      </w:r>
      <w:r w:rsidR="007069D2">
        <w:t xml:space="preserve"> Tam ir saistoši iepriekšējā tiesu izpildītāja sastādītie </w:t>
      </w:r>
      <w:r w:rsidR="00696AAF">
        <w:t>dokumenti.</w:t>
      </w:r>
    </w:p>
    <w:p w14:paraId="5B6F7276" w14:textId="66E82E2C" w:rsidR="00ED62E9" w:rsidRDefault="00ED62E9" w:rsidP="00782331">
      <w:pPr>
        <w:spacing w:line="276" w:lineRule="auto"/>
        <w:ind w:firstLine="567"/>
        <w:jc w:val="both"/>
      </w:pPr>
      <w:r>
        <w:t>Pārņemot izpildu lietas un depozīta ko</w:t>
      </w:r>
      <w:r w:rsidR="00342085">
        <w:t xml:space="preserve">ntu, pieņemšanas-nodošanas aktā tika fiksēts depozīta kontā esošo līdzekļu daudzums. Pieteicējas darbības </w:t>
      </w:r>
      <w:r w:rsidR="00D046FE">
        <w:t>iecirkņa pārņemšanā</w:t>
      </w:r>
      <w:r w:rsidR="00E66012">
        <w:t xml:space="preserve"> un iztrūkuma konstatēšana dažas dienas pēc iecirkņa pārņemšanas nav pamats pieteicējas saukšanai pie disciplināratbild</w:t>
      </w:r>
      <w:r w:rsidR="00B3251C">
        <w:t>ības</w:t>
      </w:r>
      <w:proofErr w:type="gramStart"/>
      <w:r w:rsidR="00B3251C">
        <w:t xml:space="preserve"> un</w:t>
      </w:r>
      <w:proofErr w:type="gramEnd"/>
      <w:r w:rsidR="00B3251C">
        <w:t xml:space="preserve"> nemainu faktu, ka iztrūkums radies citu personu noziedzīgas rīcības rezultātā.</w:t>
      </w:r>
      <w:r w:rsidR="00432061">
        <w:t xml:space="preserve"> Pieteicēja, pārņemot </w:t>
      </w:r>
      <w:r w:rsidR="005C1178">
        <w:t>iecirkņa izpildu lietas un depozītu kontu, ir veikusi datu salīdzināšanu.</w:t>
      </w:r>
      <w:r w:rsidR="00C02DEE">
        <w:t xml:space="preserve"> Pēc iztrūkuma konstatēšanas pieteicēja par šo faktu ziņoja pado</w:t>
      </w:r>
      <w:r w:rsidR="00996403">
        <w:t>mei, kas tālāk ziņoja tiesībaizsardzības iestādēm.</w:t>
      </w:r>
      <w:r w:rsidR="007E7FA4">
        <w:t xml:space="preserve"> Ierosinātā kriminālprocesa ietvaros par citu tiesu izpildītāju rīcību cietušās personas var pieteikt prasījumus.</w:t>
      </w:r>
      <w:r w:rsidR="005D7BC7">
        <w:t xml:space="preserve"> Tāpēc pieteicēja kā jaunais tiesu izpildītājs nav atbildīgs par </w:t>
      </w:r>
      <w:r w:rsidR="00867837">
        <w:t>zaudējumiem, kas radušies vai nākotnē varētu rasties amatu atstājušā zvērināta tiesu izpildītāja darbības dēļ.</w:t>
      </w:r>
    </w:p>
    <w:p w14:paraId="5DD8CB35" w14:textId="2E263E12" w:rsidR="00A70EC5" w:rsidRDefault="004D00C9" w:rsidP="00782331">
      <w:pPr>
        <w:spacing w:line="276" w:lineRule="auto"/>
        <w:ind w:firstLine="567"/>
        <w:jc w:val="both"/>
      </w:pPr>
      <w:r>
        <w:t xml:space="preserve">[2.3] Tiesa </w:t>
      </w:r>
      <w:r w:rsidRPr="00B608F9">
        <w:t xml:space="preserve">nepamatoti secināja, ka </w:t>
      </w:r>
      <w:r w:rsidR="00833684" w:rsidRPr="00B608F9">
        <w:t>jau pēc disciplinārsoda piemēro</w:t>
      </w:r>
      <w:r w:rsidR="00C86EF2" w:rsidRPr="00B608F9">
        <w:t>šanas, ciktāl tas attiecas uz pieteicējai piemēroto disciplinārsodu, vairs nav izšķirošas nozīmes tam, kurā izpildu lietā trūkst līdzekļ</w:t>
      </w:r>
      <w:r w:rsidR="00B608F9">
        <w:t>i</w:t>
      </w:r>
      <w:r w:rsidR="00C86EF2" w:rsidRPr="00B608F9">
        <w:t>. Tā kā pieteicēja ir</w:t>
      </w:r>
      <w:proofErr w:type="gramStart"/>
      <w:r w:rsidR="00C86EF2" w:rsidRPr="00B608F9">
        <w:t xml:space="preserve"> saukta pie disciplināratbildības par tiesas nolēmuma nepildīšanu konkrētā</w:t>
      </w:r>
      <w:proofErr w:type="gramEnd"/>
      <w:r w:rsidR="00C86EF2" w:rsidRPr="00B608F9">
        <w:t xml:space="preserve"> izpildu lietā</w:t>
      </w:r>
      <w:r w:rsidR="00353D7C" w:rsidRPr="00B608F9">
        <w:t>, tad apstākļiem</w:t>
      </w:r>
      <w:r w:rsidR="00353D7C">
        <w:t xml:space="preserve">, kas liedz </w:t>
      </w:r>
      <w:r w:rsidR="0055284A">
        <w:t xml:space="preserve">konkrētajā izpildu lietā veikt </w:t>
      </w:r>
      <w:r w:rsidR="00AD0798">
        <w:t xml:space="preserve">izpildu darbības, ir būtiska nozīme. </w:t>
      </w:r>
      <w:r w:rsidR="00A70EC5">
        <w:t>Pieteicējai atbilstoši Tiesu izpildītāju likuma 152.panta trešajai daļai bija objektīvs pamats – cita tiesu izpildītāja prettiesiska rīcība – naudas līdzekļu izmaksas atteikšanai.</w:t>
      </w:r>
      <w:r w:rsidR="00034B20">
        <w:t xml:space="preserve"> Tāpēc nevar uzskatīt, ka pieteicēja pieļāvusi rupju neuzmanību.</w:t>
      </w:r>
    </w:p>
    <w:p w14:paraId="3B4AD627" w14:textId="77777777" w:rsidR="00A70EC5" w:rsidRDefault="00A70EC5" w:rsidP="00782331">
      <w:pPr>
        <w:spacing w:line="276" w:lineRule="auto"/>
        <w:ind w:firstLine="567"/>
        <w:jc w:val="both"/>
      </w:pPr>
    </w:p>
    <w:p w14:paraId="1F3E3EF3" w14:textId="7F910DAF" w:rsidR="007F0C61" w:rsidRPr="00D01F4A" w:rsidRDefault="007F0C61" w:rsidP="007F0C61">
      <w:pPr>
        <w:spacing w:line="276" w:lineRule="auto"/>
        <w:ind w:firstLine="567"/>
        <w:jc w:val="both"/>
      </w:pPr>
      <w:r>
        <w:t xml:space="preserve">[3] </w:t>
      </w:r>
      <w:r w:rsidR="00AF0F8F">
        <w:t>Tieslietu ministrija</w:t>
      </w:r>
      <w:r>
        <w:t xml:space="preserve"> paskaidrojumos kasācijas sūdzībai nepiekrīt.</w:t>
      </w:r>
    </w:p>
    <w:p w14:paraId="3201B9DC" w14:textId="77777777" w:rsidR="007F0C61" w:rsidRPr="00B17B0C" w:rsidRDefault="007F0C61" w:rsidP="007F0C61">
      <w:pPr>
        <w:spacing w:line="276" w:lineRule="auto"/>
        <w:ind w:firstLine="567"/>
        <w:jc w:val="both"/>
      </w:pPr>
    </w:p>
    <w:p w14:paraId="79D4D8B4" w14:textId="77777777" w:rsidR="00C74DAB" w:rsidRDefault="00C74DAB" w:rsidP="007F0C61">
      <w:pPr>
        <w:spacing w:line="276" w:lineRule="auto"/>
        <w:jc w:val="center"/>
        <w:rPr>
          <w:b/>
        </w:rPr>
      </w:pPr>
    </w:p>
    <w:p w14:paraId="0743EEA3" w14:textId="77777777" w:rsidR="007F0C61" w:rsidRDefault="007F0C61" w:rsidP="007F0C61">
      <w:pPr>
        <w:spacing w:line="276" w:lineRule="auto"/>
        <w:jc w:val="center"/>
        <w:rPr>
          <w:b/>
        </w:rPr>
      </w:pPr>
      <w:r w:rsidRPr="00B17B0C">
        <w:rPr>
          <w:b/>
        </w:rPr>
        <w:t>Motīvu daļa</w:t>
      </w:r>
    </w:p>
    <w:p w14:paraId="104C8F3A" w14:textId="77777777" w:rsidR="00411385" w:rsidRDefault="00411385" w:rsidP="007F0C61">
      <w:pPr>
        <w:spacing w:line="276" w:lineRule="auto"/>
        <w:jc w:val="center"/>
        <w:rPr>
          <w:b/>
        </w:rPr>
      </w:pPr>
    </w:p>
    <w:p w14:paraId="3F460833" w14:textId="22DF77E2" w:rsidR="00347A5C" w:rsidRDefault="0050659C" w:rsidP="00336936">
      <w:pPr>
        <w:spacing w:line="276" w:lineRule="auto"/>
        <w:ind w:firstLine="567"/>
        <w:jc w:val="both"/>
        <w:rPr>
          <w:color w:val="000000"/>
        </w:rPr>
      </w:pPr>
      <w:r w:rsidRPr="0050659C">
        <w:t xml:space="preserve">[4] </w:t>
      </w:r>
      <w:r w:rsidR="00FD3A85" w:rsidRPr="0050659C">
        <w:rPr>
          <w:color w:val="000000"/>
        </w:rPr>
        <w:t>Saskaņā</w:t>
      </w:r>
      <w:r w:rsidR="00FD3A85">
        <w:rPr>
          <w:color w:val="000000"/>
        </w:rPr>
        <w:t xml:space="preserve"> ar Tiesu izpildītāju likuma </w:t>
      </w:r>
      <w:proofErr w:type="gramStart"/>
      <w:r w:rsidR="00FD3A85">
        <w:rPr>
          <w:color w:val="000000"/>
        </w:rPr>
        <w:t>57.panta</w:t>
      </w:r>
      <w:proofErr w:type="gramEnd"/>
      <w:r w:rsidR="00FD3A85">
        <w:rPr>
          <w:color w:val="000000"/>
        </w:rPr>
        <w:t xml:space="preserve"> pirmo daļu, j</w:t>
      </w:r>
      <w:r w:rsidR="00FD3A85" w:rsidRPr="000D0E85">
        <w:rPr>
          <w:color w:val="000000"/>
        </w:rPr>
        <w:t>a persona iesniegusi sūdzību tiesā Civilprocesa likuma 632.panta kārtībā, jautājums par zvērināta tiesu izpildītāja saukšanu pie disciplināratbildības izskatāms pēc tam, kad likumīgā spēkā stājies tiesas nolēmums par attiecīgās zvērināta tiesu izpildītāja darbības atzīšanu par prettiesisku.</w:t>
      </w:r>
      <w:r w:rsidR="00FD3A85">
        <w:rPr>
          <w:color w:val="000000"/>
        </w:rPr>
        <w:t xml:space="preserve"> No minētās tiesību normas izriet, ka zvērināts tiesu izpildītājs var tikt saukts pie disciplinārās atbildības arī par tām tiesu izpildītāja darbībām, kuru tiesiskums pārbaudīts tiesā civilprocesuālā kārtā. Pretējs secinājums būtu neatbilstošs ieviestajam tiesu izpildītāju disciplināratbildības mehānismam.</w:t>
      </w:r>
      <w:r w:rsidR="00FD3A85">
        <w:t xml:space="preserve"> </w:t>
      </w:r>
      <w:r w:rsidR="00FD3A85">
        <w:rPr>
          <w:color w:val="000000"/>
        </w:rPr>
        <w:t>Iespēja saukt tiesu izpildītāju pie disciplināratbildības pati par sevi nesamērīgi neierobežo tiesu izpildītāja neatkarību. Disciplināratbildība par amata pienākumu nepienācīgu pildīšanu ir paredzēta arī citām tiesu sistēmai piederīgām personām, tā ierobežo iespējamu patvaļu amata pienākuma pildīšanā</w:t>
      </w:r>
      <w:r w:rsidR="00A21DAC">
        <w:rPr>
          <w:color w:val="000000"/>
        </w:rPr>
        <w:t xml:space="preserve"> (</w:t>
      </w:r>
      <w:r w:rsidR="00A21DAC" w:rsidRPr="00A21DAC">
        <w:rPr>
          <w:i/>
          <w:color w:val="000000"/>
        </w:rPr>
        <w:t>sal</w:t>
      </w:r>
      <w:r w:rsidR="00FD3A85" w:rsidRPr="00A21DAC">
        <w:rPr>
          <w:i/>
          <w:color w:val="000000"/>
        </w:rPr>
        <w:t>.</w:t>
      </w:r>
      <w:r w:rsidR="00A21DAC" w:rsidRPr="00A21DAC">
        <w:rPr>
          <w:i/>
          <w:color w:val="000000"/>
        </w:rPr>
        <w:t xml:space="preserve"> Augstākās tiesas </w:t>
      </w:r>
      <w:proofErr w:type="gramStart"/>
      <w:r w:rsidR="00A21DAC" w:rsidRPr="00A21DAC">
        <w:rPr>
          <w:i/>
          <w:color w:val="000000"/>
        </w:rPr>
        <w:t>2010.gada</w:t>
      </w:r>
      <w:proofErr w:type="gramEnd"/>
      <w:r w:rsidR="00A21DAC" w:rsidRPr="00A21DAC">
        <w:rPr>
          <w:i/>
          <w:color w:val="000000"/>
        </w:rPr>
        <w:t xml:space="preserve"> 22.jūlija rīcības sēdes lēmuma lietā </w:t>
      </w:r>
      <w:r w:rsidR="00BE513D">
        <w:rPr>
          <w:i/>
          <w:color w:val="000000"/>
        </w:rPr>
        <w:t>N</w:t>
      </w:r>
      <w:r w:rsidR="00A21DAC" w:rsidRPr="00A21DAC">
        <w:rPr>
          <w:i/>
          <w:color w:val="000000"/>
        </w:rPr>
        <w:t>r. SKA-443/2010 (A42395507) 8.punkts</w:t>
      </w:r>
      <w:r w:rsidR="00A21DAC">
        <w:rPr>
          <w:color w:val="000000"/>
        </w:rPr>
        <w:t>).</w:t>
      </w:r>
    </w:p>
    <w:p w14:paraId="785E2AD2" w14:textId="7681F417" w:rsidR="0010692A" w:rsidRDefault="00347A5C" w:rsidP="00336936">
      <w:pPr>
        <w:spacing w:line="276" w:lineRule="auto"/>
        <w:ind w:firstLine="567"/>
        <w:jc w:val="both"/>
        <w:rPr>
          <w:color w:val="000000"/>
          <w:lang w:eastAsia="lv-LV"/>
        </w:rPr>
      </w:pPr>
      <w:r w:rsidRPr="00347A5C">
        <w:t xml:space="preserve">Atbilstoši Tiesu izpildītāju likuma </w:t>
      </w:r>
      <w:proofErr w:type="gramStart"/>
      <w:r w:rsidRPr="00347A5C">
        <w:t>58.panta</w:t>
      </w:r>
      <w:proofErr w:type="gramEnd"/>
      <w:r w:rsidRPr="00347A5C">
        <w:t xml:space="preserve"> otrajai daļai z</w:t>
      </w:r>
      <w:r w:rsidRPr="00347A5C">
        <w:rPr>
          <w:shd w:val="clear" w:color="auto" w:fill="FFFFFF"/>
        </w:rPr>
        <w:t>vērināta tiesu izpildītāja procesuālo lēmumu vai darbības atcelšana pati par sevi nevar būt par pamatu zvērināta tiesu izpildītāja disciplinārajai atbildībai, ja vien šis tiesu izpildītājs nav pieļāvis tīšu likuma pārkāpumu vai rupju neuzmanību</w:t>
      </w:r>
      <w:r>
        <w:rPr>
          <w:shd w:val="clear" w:color="auto" w:fill="FFFFFF"/>
        </w:rPr>
        <w:t xml:space="preserve">. </w:t>
      </w:r>
      <w:r w:rsidR="00E5638B" w:rsidRPr="00241CFB">
        <w:rPr>
          <w:color w:val="000000"/>
          <w:lang w:eastAsia="lv-LV"/>
        </w:rPr>
        <w:t>Līdz ar to iestāde, vērtējot jautājumu par zvērināta tiesu izpildītāja disciplināratbildību, nevar vienkārši atsaukties uz to, ka attiecīgās zvērināta tiesu izpildītāja darbības ir atzītas par prettiesiskām ar tiesas nolēmumu – iestādei ir jāvērtē, vai pārkāpums pieļauts tīši vai aiz rupjas neuzmanības</w:t>
      </w:r>
      <w:r w:rsidR="00E5638B">
        <w:rPr>
          <w:color w:val="000000"/>
          <w:lang w:eastAsia="lv-LV"/>
        </w:rPr>
        <w:t xml:space="preserve"> (</w:t>
      </w:r>
      <w:r w:rsidR="00E5638B" w:rsidRPr="00DA04DD">
        <w:rPr>
          <w:i/>
          <w:color w:val="000000"/>
          <w:lang w:eastAsia="lv-LV"/>
        </w:rPr>
        <w:t xml:space="preserve">sal. Augstākās tiesas </w:t>
      </w:r>
      <w:proofErr w:type="gramStart"/>
      <w:r w:rsidR="00E5638B" w:rsidRPr="00DA04DD">
        <w:rPr>
          <w:i/>
          <w:color w:val="000000"/>
          <w:lang w:eastAsia="lv-LV"/>
        </w:rPr>
        <w:t>2015.gada</w:t>
      </w:r>
      <w:proofErr w:type="gramEnd"/>
      <w:r w:rsidR="00E5638B" w:rsidRPr="00DA04DD">
        <w:rPr>
          <w:i/>
          <w:color w:val="000000"/>
          <w:lang w:eastAsia="lv-LV"/>
        </w:rPr>
        <w:t xml:space="preserve"> 28.oktobra sprieduma lietā Nr. SKA-1031/2015 (A420315314) </w:t>
      </w:r>
      <w:r w:rsidR="00DA04DD" w:rsidRPr="00DA04DD">
        <w:rPr>
          <w:i/>
          <w:color w:val="000000"/>
          <w:lang w:eastAsia="lv-LV"/>
        </w:rPr>
        <w:t>4.3.apakšpunkt</w:t>
      </w:r>
      <w:r w:rsidR="00D70ED0">
        <w:rPr>
          <w:i/>
          <w:color w:val="000000"/>
          <w:lang w:eastAsia="lv-LV"/>
        </w:rPr>
        <w:t>s</w:t>
      </w:r>
      <w:r w:rsidR="00DA04DD">
        <w:rPr>
          <w:color w:val="000000"/>
          <w:lang w:eastAsia="lv-LV"/>
        </w:rPr>
        <w:t>)</w:t>
      </w:r>
      <w:r w:rsidR="00E5638B" w:rsidRPr="00241CFB">
        <w:rPr>
          <w:color w:val="000000"/>
          <w:lang w:eastAsia="lv-LV"/>
        </w:rPr>
        <w:t>.</w:t>
      </w:r>
    </w:p>
    <w:p w14:paraId="7B304787" w14:textId="77777777" w:rsidR="005C107D" w:rsidRDefault="00347A5C" w:rsidP="00336936">
      <w:pPr>
        <w:spacing w:line="276" w:lineRule="auto"/>
        <w:ind w:firstLine="567"/>
        <w:jc w:val="both"/>
        <w:rPr>
          <w:shd w:val="clear" w:color="auto" w:fill="FFFFFF"/>
        </w:rPr>
      </w:pPr>
      <w:r>
        <w:rPr>
          <w:shd w:val="clear" w:color="auto" w:fill="FFFFFF"/>
        </w:rPr>
        <w:t xml:space="preserve">Tādējādi </w:t>
      </w:r>
      <w:r w:rsidR="0037021A">
        <w:rPr>
          <w:shd w:val="clear" w:color="auto" w:fill="FFFFFF"/>
        </w:rPr>
        <w:t>no minētajām tiesību normām izriet, ka gadījumā, ja par tiesu izpildītāja rīcību persona ir vērsu</w:t>
      </w:r>
      <w:r w:rsidR="00BB0C08">
        <w:rPr>
          <w:shd w:val="clear" w:color="auto" w:fill="FFFFFF"/>
        </w:rPr>
        <w:t>sie</w:t>
      </w:r>
      <w:r w:rsidR="0037021A">
        <w:rPr>
          <w:shd w:val="clear" w:color="auto" w:fill="FFFFFF"/>
        </w:rPr>
        <w:t>s vispārējās jurisdikcijas tiesā, minētā tiesa izvērtē tiesu izpildītāja darbību tiesiskumu. Savukārt iestādei un pēc tam administratīvajai tiesai</w:t>
      </w:r>
      <w:r>
        <w:rPr>
          <w:shd w:val="clear" w:color="auto" w:fill="FFFFFF"/>
        </w:rPr>
        <w:t xml:space="preserve">, </w:t>
      </w:r>
      <w:proofErr w:type="gramStart"/>
      <w:r>
        <w:rPr>
          <w:shd w:val="clear" w:color="auto" w:fill="FFFFFF"/>
        </w:rPr>
        <w:t xml:space="preserve">konstatējot, ka </w:t>
      </w:r>
      <w:r w:rsidR="0037021A">
        <w:rPr>
          <w:shd w:val="clear" w:color="auto" w:fill="FFFFFF"/>
        </w:rPr>
        <w:t>zvērināta tiesu izpildītāja</w:t>
      </w:r>
      <w:r>
        <w:rPr>
          <w:shd w:val="clear" w:color="auto" w:fill="FFFFFF"/>
        </w:rPr>
        <w:t xml:space="preserve"> darbības ar nolēmumu civillietā</w:t>
      </w:r>
      <w:proofErr w:type="gramEnd"/>
      <w:r>
        <w:rPr>
          <w:shd w:val="clear" w:color="auto" w:fill="FFFFFF"/>
        </w:rPr>
        <w:t xml:space="preserve"> ir ti</w:t>
      </w:r>
      <w:r w:rsidR="0037021A">
        <w:rPr>
          <w:shd w:val="clear" w:color="auto" w:fill="FFFFFF"/>
        </w:rPr>
        <w:t>kušas atzītas par prettiesiskām</w:t>
      </w:r>
      <w:r>
        <w:rPr>
          <w:shd w:val="clear" w:color="auto" w:fill="FFFFFF"/>
        </w:rPr>
        <w:t>,</w:t>
      </w:r>
      <w:r w:rsidR="0037021A">
        <w:rPr>
          <w:shd w:val="clear" w:color="auto" w:fill="FFFFFF"/>
        </w:rPr>
        <w:t xml:space="preserve"> kas iestādei un tiesai administratīvajā lietā ir saistoši,</w:t>
      </w:r>
      <w:r>
        <w:rPr>
          <w:shd w:val="clear" w:color="auto" w:fill="FFFFFF"/>
        </w:rPr>
        <w:t xml:space="preserve"> </w:t>
      </w:r>
      <w:r w:rsidR="0037021A">
        <w:rPr>
          <w:shd w:val="clear" w:color="auto" w:fill="FFFFFF"/>
        </w:rPr>
        <w:t>tālāk vērtē, vai konkrētās darbības ir pieļautas tīši vai aiz rupjas neuzmanības.</w:t>
      </w:r>
    </w:p>
    <w:p w14:paraId="3025BEF1" w14:textId="3CB6DD69" w:rsidR="00071DE9" w:rsidRDefault="0037021A" w:rsidP="00336936">
      <w:pPr>
        <w:spacing w:line="276" w:lineRule="auto"/>
        <w:ind w:firstLine="567"/>
        <w:jc w:val="both"/>
        <w:rPr>
          <w:shd w:val="clear" w:color="auto" w:fill="FFFFFF"/>
        </w:rPr>
      </w:pPr>
      <w:r>
        <w:rPr>
          <w:shd w:val="clear" w:color="auto" w:fill="FFFFFF"/>
        </w:rPr>
        <w:t>Tādējādi apgabaltiesa</w:t>
      </w:r>
      <w:r w:rsidR="005C107D">
        <w:rPr>
          <w:shd w:val="clear" w:color="auto" w:fill="FFFFFF"/>
        </w:rPr>
        <w:t xml:space="preserve"> konkrētajā gadījumā, konstatējot, ka ir stājies spēkā lēmums civillietā, ar kuru pieteicējas darbības atzītas par prettiesiskām, </w:t>
      </w:r>
      <w:r w:rsidR="00347A5C">
        <w:rPr>
          <w:shd w:val="clear" w:color="auto" w:fill="FFFFFF"/>
        </w:rPr>
        <w:t>pamatoti</w:t>
      </w:r>
      <w:r w:rsidR="005C107D">
        <w:rPr>
          <w:shd w:val="clear" w:color="auto" w:fill="FFFFFF"/>
        </w:rPr>
        <w:t xml:space="preserve"> ir</w:t>
      </w:r>
      <w:r w:rsidR="00347A5C">
        <w:rPr>
          <w:shd w:val="clear" w:color="auto" w:fill="FFFFFF"/>
        </w:rPr>
        <w:t xml:space="preserve"> vērtējusi, vai pieteicēja par prettiesiskām atzītās darbības</w:t>
      </w:r>
      <w:r>
        <w:rPr>
          <w:shd w:val="clear" w:color="auto" w:fill="FFFFFF"/>
        </w:rPr>
        <w:t xml:space="preserve"> </w:t>
      </w:r>
      <w:r w:rsidR="00347A5C">
        <w:rPr>
          <w:shd w:val="clear" w:color="auto" w:fill="FFFFFF"/>
        </w:rPr>
        <w:t xml:space="preserve">ir pieļāvusi tīši vai </w:t>
      </w:r>
      <w:r>
        <w:rPr>
          <w:shd w:val="clear" w:color="auto" w:fill="FFFFFF"/>
        </w:rPr>
        <w:t xml:space="preserve">aiz </w:t>
      </w:r>
      <w:r w:rsidR="00347A5C">
        <w:rPr>
          <w:shd w:val="clear" w:color="auto" w:fill="FFFFFF"/>
        </w:rPr>
        <w:t>rupjas neuzmanības.</w:t>
      </w:r>
    </w:p>
    <w:p w14:paraId="29B7A232" w14:textId="77777777" w:rsidR="00071DE9" w:rsidRDefault="00071DE9" w:rsidP="00336936">
      <w:pPr>
        <w:spacing w:line="276" w:lineRule="auto"/>
        <w:ind w:firstLine="567"/>
        <w:jc w:val="both"/>
        <w:rPr>
          <w:shd w:val="clear" w:color="auto" w:fill="FFFFFF"/>
        </w:rPr>
      </w:pPr>
    </w:p>
    <w:p w14:paraId="372269BF" w14:textId="559811BF" w:rsidR="00FB4AC8" w:rsidRDefault="00C400A3" w:rsidP="00336936">
      <w:pPr>
        <w:spacing w:line="276" w:lineRule="auto"/>
        <w:ind w:firstLine="567"/>
        <w:jc w:val="both"/>
        <w:rPr>
          <w:color w:val="000000"/>
          <w:lang w:eastAsia="lv-LV"/>
        </w:rPr>
      </w:pPr>
      <w:r>
        <w:t>[</w:t>
      </w:r>
      <w:r w:rsidR="00071DE9">
        <w:t>5</w:t>
      </w:r>
      <w:r>
        <w:t>]</w:t>
      </w:r>
      <w:r w:rsidR="008A30D8">
        <w:t xml:space="preserve"> </w:t>
      </w:r>
      <w:r>
        <w:t xml:space="preserve">Tiesu izpildītāju likums neparedz rupjas neuzmanības </w:t>
      </w:r>
      <w:proofErr w:type="spellStart"/>
      <w:r>
        <w:t>legāldefin</w:t>
      </w:r>
      <w:r w:rsidR="008A30D8">
        <w:t>īciju</w:t>
      </w:r>
      <w:proofErr w:type="spellEnd"/>
      <w:r w:rsidR="008A30D8">
        <w:t>.</w:t>
      </w:r>
      <w:r>
        <w:t xml:space="preserve"> </w:t>
      </w:r>
      <w:r w:rsidR="008A30D8">
        <w:t>C</w:t>
      </w:r>
      <w:r>
        <w:t>itos normatīvajos aktos, kas nosaka gan disciplināro atbildību, gan kriminālatbildību</w:t>
      </w:r>
      <w:r w:rsidR="008A30D8">
        <w:t xml:space="preserve"> (sal., piemēram, </w:t>
      </w:r>
      <w:r w:rsidR="0081359B">
        <w:t xml:space="preserve">Krimināllikuma 9., </w:t>
      </w:r>
      <w:proofErr w:type="gramStart"/>
      <w:r w:rsidR="0081359B">
        <w:t>10.pants</w:t>
      </w:r>
      <w:proofErr w:type="gramEnd"/>
      <w:r w:rsidR="0081359B">
        <w:t xml:space="preserve">, Iekšlietu </w:t>
      </w:r>
      <w:r w:rsidR="0081359B" w:rsidRPr="00241CFB">
        <w:rPr>
          <w:color w:val="000000"/>
          <w:lang w:eastAsia="lv-LV"/>
        </w:rPr>
        <w:t>ministrijas sistēmas iestāžu un Ieslodzījuma vietu pārvaldes amatpersonu ar speciālajām dienesta pakāpēm disciplināratbildības likuma 7.pants, Valsts civildienesta ierēdņu disciplināratbildības likuma 5.pants)</w:t>
      </w:r>
      <w:r>
        <w:t xml:space="preserve">, ir formulēts minētā jēdziena saturs. </w:t>
      </w:r>
      <w:r w:rsidR="007F1BD3">
        <w:t xml:space="preserve">No minētajām tiesību normām secināms, ka </w:t>
      </w:r>
      <w:r>
        <w:t>rupja neuzman</w:t>
      </w:r>
      <w:r w:rsidR="005F2286">
        <w:t>ība ir</w:t>
      </w:r>
      <w:r w:rsidR="005F2286" w:rsidRPr="00241CFB">
        <w:rPr>
          <w:color w:val="000000"/>
          <w:lang w:eastAsia="lv-LV"/>
        </w:rPr>
        <w:t xml:space="preserve"> konstatējama gadījumā, ja persona ir apzinājusies savas rīcības nelabvēlīgo seku iestāšanās iespēju, bet vieglprātīgi paļāvusies, ka tās neiestāsies vai varēs novērst (pretstatā vieglai neuzmanībai, kas konstatējama gadījumā, ja persona nav paredzējusi savas rīcības nelabvēlīgo seku iestāšanās iespēju un nav vēlējusies šādu seku iestāšanos, kaut gan tās varēja paredzēt un bija jāparedz). Tātad rupjas neuzmanības gadījumā jāpastāv apstākļiem, kas liecina, ka persona ir apzinājusies </w:t>
      </w:r>
      <w:r w:rsidR="005F2286" w:rsidRPr="00241CFB">
        <w:rPr>
          <w:color w:val="000000"/>
          <w:lang w:eastAsia="lv-LV"/>
        </w:rPr>
        <w:lastRenderedPageBreak/>
        <w:t>savas rīcības un</w:t>
      </w:r>
      <w:r w:rsidR="005F2286">
        <w:rPr>
          <w:color w:val="000000"/>
          <w:lang w:eastAsia="lv-LV"/>
        </w:rPr>
        <w:t xml:space="preserve"> tās seku prettiesisko raksturu (</w:t>
      </w:r>
      <w:r w:rsidR="005F2286" w:rsidRPr="005F2286">
        <w:rPr>
          <w:i/>
          <w:color w:val="000000"/>
          <w:lang w:eastAsia="lv-LV"/>
        </w:rPr>
        <w:t>sal.</w:t>
      </w:r>
      <w:r w:rsidR="00D70ED0" w:rsidRPr="00DA04DD">
        <w:rPr>
          <w:i/>
          <w:color w:val="000000"/>
          <w:lang w:eastAsia="lv-LV"/>
        </w:rPr>
        <w:t xml:space="preserve"> Augstākās tiesas </w:t>
      </w:r>
      <w:proofErr w:type="gramStart"/>
      <w:r w:rsidR="00D70ED0" w:rsidRPr="00DA04DD">
        <w:rPr>
          <w:i/>
          <w:color w:val="000000"/>
          <w:lang w:eastAsia="lv-LV"/>
        </w:rPr>
        <w:t>2015.gada</w:t>
      </w:r>
      <w:proofErr w:type="gramEnd"/>
      <w:r w:rsidR="00D70ED0" w:rsidRPr="00DA04DD">
        <w:rPr>
          <w:i/>
          <w:color w:val="000000"/>
          <w:lang w:eastAsia="lv-LV"/>
        </w:rPr>
        <w:t xml:space="preserve"> 28.oktobra sprieduma lietā Nr. SKA-1031/2015 (A420315314) </w:t>
      </w:r>
      <w:r w:rsidR="00D70ED0">
        <w:rPr>
          <w:i/>
          <w:color w:val="000000"/>
          <w:lang w:eastAsia="lv-LV"/>
        </w:rPr>
        <w:t>4.3.apakšpunkts</w:t>
      </w:r>
      <w:r w:rsidR="00D70ED0" w:rsidRPr="008D59D8">
        <w:rPr>
          <w:color w:val="000000"/>
          <w:lang w:eastAsia="lv-LV"/>
        </w:rPr>
        <w:t>).</w:t>
      </w:r>
    </w:p>
    <w:p w14:paraId="4C047D87" w14:textId="23C263C7" w:rsidR="005F2286" w:rsidRDefault="008A30D8" w:rsidP="00336936">
      <w:pPr>
        <w:spacing w:line="276" w:lineRule="auto"/>
        <w:ind w:firstLine="567"/>
        <w:jc w:val="both"/>
      </w:pPr>
      <w:r>
        <w:rPr>
          <w:color w:val="000000"/>
          <w:lang w:eastAsia="lv-LV"/>
        </w:rPr>
        <w:t xml:space="preserve"> </w:t>
      </w:r>
      <w:r w:rsidR="002B34AE">
        <w:rPr>
          <w:color w:val="000000"/>
          <w:lang w:eastAsia="lv-LV"/>
        </w:rPr>
        <w:t xml:space="preserve">Ievērojot minēto, apgabaltiesa, lai noskaidrotu </w:t>
      </w:r>
      <w:r w:rsidR="002B34AE">
        <w:t>rupjas neuzmanības saturu, ir pamatoti vadījusies no regulē</w:t>
      </w:r>
      <w:r w:rsidR="00FB4AC8">
        <w:t>juma Valsts civildienesta</w:t>
      </w:r>
      <w:r w:rsidR="00FC7497">
        <w:t xml:space="preserve"> ierēdņu</w:t>
      </w:r>
      <w:r w:rsidR="00FB4AC8">
        <w:t xml:space="preserve"> </w:t>
      </w:r>
      <w:r w:rsidR="00FC7497" w:rsidRPr="00564020">
        <w:rPr>
          <w:rFonts w:ascii="TimesNewRomanPSMT" w:eastAsiaTheme="minorHAnsi" w:hAnsi="TimesNewRomanPSMT" w:cs="TimesNewRomanPSMT"/>
          <w:color w:val="000000"/>
          <w:lang w:eastAsia="en-US"/>
        </w:rPr>
        <w:t>disciplināratbildības</w:t>
      </w:r>
      <w:r w:rsidR="00FC7497">
        <w:t xml:space="preserve"> </w:t>
      </w:r>
      <w:r w:rsidR="00FB4AC8">
        <w:t>likumā</w:t>
      </w:r>
      <w:r w:rsidR="002B34AE">
        <w:t xml:space="preserve">. </w:t>
      </w:r>
      <w:r w:rsidR="00A8121C">
        <w:t xml:space="preserve">Kasācijas sūdzībā nav norādīts, ka apgabaltiesa būtu nepareizi </w:t>
      </w:r>
      <w:r w:rsidR="00EC060F">
        <w:t xml:space="preserve">interpretējusi rupjas neuzmanības saturu, bet </w:t>
      </w:r>
      <w:proofErr w:type="spellStart"/>
      <w:r w:rsidR="00CE4B99">
        <w:t>kasatore</w:t>
      </w:r>
      <w:proofErr w:type="spellEnd"/>
      <w:r w:rsidR="00CE4B99">
        <w:t xml:space="preserve"> </w:t>
      </w:r>
      <w:r w:rsidR="00EC060F">
        <w:t xml:space="preserve">nepiekrīt tam, kā </w:t>
      </w:r>
      <w:r w:rsidR="0053144D">
        <w:t>apgabal</w:t>
      </w:r>
      <w:r w:rsidR="00EC060F">
        <w:t xml:space="preserve">tiesa ir noskaidrojusi </w:t>
      </w:r>
      <w:r w:rsidR="00A10AB5">
        <w:t>fakt</w:t>
      </w:r>
      <w:r w:rsidR="00EC060F">
        <w:t xml:space="preserve">us, lai konstatētu, vai konkrētajā gadījumā ir iestājušies </w:t>
      </w:r>
      <w:r w:rsidR="006238E2">
        <w:t>apstākļi šīs vainas formas konstatēšanai.</w:t>
      </w:r>
    </w:p>
    <w:p w14:paraId="0294FA8D" w14:textId="77777777" w:rsidR="006238E2" w:rsidRDefault="006238E2" w:rsidP="005F2286">
      <w:pPr>
        <w:spacing w:line="276" w:lineRule="auto"/>
        <w:jc w:val="both"/>
      </w:pPr>
    </w:p>
    <w:p w14:paraId="0ED410BE" w14:textId="0DBCD405" w:rsidR="00FA59D4" w:rsidRDefault="006238E2" w:rsidP="00FA59D4">
      <w:pPr>
        <w:spacing w:line="276" w:lineRule="auto"/>
        <w:ind w:firstLine="567"/>
        <w:jc w:val="both"/>
      </w:pPr>
      <w:r>
        <w:t>[</w:t>
      </w:r>
      <w:r w:rsidR="0066543C">
        <w:t>6</w:t>
      </w:r>
      <w:r>
        <w:t xml:space="preserve">] </w:t>
      </w:r>
      <w:proofErr w:type="spellStart"/>
      <w:r w:rsidR="003A305E">
        <w:t>K</w:t>
      </w:r>
      <w:r w:rsidR="008328AA">
        <w:t>asatore</w:t>
      </w:r>
      <w:proofErr w:type="spellEnd"/>
      <w:r w:rsidR="008328AA">
        <w:t xml:space="preserve">, norādot uz </w:t>
      </w:r>
      <w:r>
        <w:t xml:space="preserve">Administratīvā </w:t>
      </w:r>
      <w:r w:rsidR="008328AA">
        <w:t>procesa likuma 107.panta ceturtās daļas</w:t>
      </w:r>
      <w:r w:rsidR="009035AF">
        <w:t xml:space="preserve"> un 154.panta pirm</w:t>
      </w:r>
      <w:r w:rsidR="008328AA">
        <w:t>ās daļas pārkāpumu, uzskata, ka, savācot nepieciešamos pierādījumus</w:t>
      </w:r>
      <w:r w:rsidR="008328AA" w:rsidRPr="008328AA">
        <w:rPr>
          <w:rFonts w:ascii="TimesNewRomanPSMT" w:eastAsiaTheme="minorHAnsi" w:hAnsi="TimesNewRomanPSMT" w:cs="TimesNewRomanPSMT"/>
          <w:lang w:eastAsia="en-US"/>
        </w:rPr>
        <w:t xml:space="preserve"> </w:t>
      </w:r>
      <w:r w:rsidR="008328AA">
        <w:rPr>
          <w:rFonts w:ascii="TimesNewRomanPSMT" w:eastAsiaTheme="minorHAnsi" w:hAnsi="TimesNewRomanPSMT" w:cs="TimesNewRomanPSMT"/>
          <w:lang w:eastAsia="en-US"/>
        </w:rPr>
        <w:t>par to, ka naudas līdzekļu iztrūkums zvērināta tiesu izpildītāja iecirknī bija jau brīdī, kad pieteicēja iecirkni pārņēma</w:t>
      </w:r>
      <w:r w:rsidR="008328AA">
        <w:t>, apgabaltiesai bija jākonstatē, ka pieteicēja nav pieļāvusi rupju neuzmanību</w:t>
      </w:r>
      <w:r w:rsidR="009B5791">
        <w:rPr>
          <w:rFonts w:ascii="TimesNewRomanPSMT" w:eastAsiaTheme="minorHAnsi" w:hAnsi="TimesNewRomanPSMT" w:cs="TimesNewRomanPSMT"/>
          <w:lang w:eastAsia="en-US"/>
        </w:rPr>
        <w:t>.</w:t>
      </w:r>
      <w:r w:rsidR="002D0BB5">
        <w:rPr>
          <w:rFonts w:ascii="TimesNewRomanPSMT" w:eastAsiaTheme="minorHAnsi" w:hAnsi="TimesNewRomanPSMT" w:cs="TimesNewRomanPSMT"/>
          <w:lang w:eastAsia="en-US"/>
        </w:rPr>
        <w:t xml:space="preserve"> </w:t>
      </w:r>
      <w:r w:rsidR="00D936A8">
        <w:t>Par minēto kasācijas sūdzības argumenti norādāmi turpmāk minētie argumenti.</w:t>
      </w:r>
    </w:p>
    <w:p w14:paraId="152858CA" w14:textId="3FBE59F4" w:rsidR="004D6094" w:rsidRDefault="00FA59D4" w:rsidP="00007D1F">
      <w:pPr>
        <w:spacing w:line="276" w:lineRule="auto"/>
        <w:ind w:firstLine="567"/>
        <w:jc w:val="both"/>
      </w:pPr>
      <w:r w:rsidRPr="00663134">
        <w:t>Atbilstoši Tiesu izpildītāju likuma</w:t>
      </w:r>
      <w:r w:rsidR="00D354E1" w:rsidRPr="00663134">
        <w:t xml:space="preserve"> </w:t>
      </w:r>
      <w:proofErr w:type="gramStart"/>
      <w:r w:rsidR="00D354E1" w:rsidRPr="00663134">
        <w:t>45.pant</w:t>
      </w:r>
      <w:r w:rsidR="002818FC" w:rsidRPr="00663134">
        <w:t>am</w:t>
      </w:r>
      <w:proofErr w:type="gramEnd"/>
      <w:r w:rsidR="006840D2">
        <w:t xml:space="preserve"> </w:t>
      </w:r>
      <w:r w:rsidR="00663134" w:rsidRPr="00663134">
        <w:t>z</w:t>
      </w:r>
      <w:r w:rsidR="00663134" w:rsidRPr="00663134">
        <w:rPr>
          <w:shd w:val="clear" w:color="auto" w:fill="FFFFFF"/>
        </w:rPr>
        <w:t>vērināts tiesu izpildītājs pēc savas iniciatīvas veic visus likumā noteiktos pasākumus un izmanto visus likumā paredzētos līdzekļus un metodes, lai ātri un kvalitatīvi pildītu tiesas un citu institūciju nolēmumus, kā arī veiktu citas sava amata darbības</w:t>
      </w:r>
      <w:r w:rsidR="00D354E1" w:rsidRPr="00663134">
        <w:t>.</w:t>
      </w:r>
    </w:p>
    <w:p w14:paraId="77025EC7" w14:textId="2DC0926D" w:rsidR="00007D1F" w:rsidRDefault="00663134" w:rsidP="00007D1F">
      <w:pPr>
        <w:spacing w:line="276" w:lineRule="auto"/>
        <w:ind w:firstLine="567"/>
        <w:jc w:val="both"/>
      </w:pPr>
      <w:r w:rsidRPr="00663134">
        <w:t xml:space="preserve">Kā konstatējusi iestāde, par ko lietā nav strīda, pie pieteicējas </w:t>
      </w:r>
      <w:proofErr w:type="gramStart"/>
      <w:r w:rsidRPr="00663134">
        <w:t>2015.gadā</w:t>
      </w:r>
      <w:proofErr w:type="gramEnd"/>
      <w:r w:rsidRPr="00663134">
        <w:t xml:space="preserve">, tas ir, laikā, kad pieteicēja vadīja iecirkni, vērsās </w:t>
      </w:r>
      <w:r w:rsidR="007C04CD">
        <w:t>sabiedrība</w:t>
      </w:r>
      <w:r w:rsidRPr="00663134">
        <w:t xml:space="preserve"> un lūdza tai izmaksāt naudas līdzekļus konkrētā izpildu lietā.</w:t>
      </w:r>
      <w:r w:rsidR="0098469B">
        <w:t xml:space="preserve"> Pieteicēja to atteica darīt, tādējādi iestāde ir pamatoti atzinusi, ka pieteicēja nav ievērojusi minēto tiesību normu</w:t>
      </w:r>
      <w:r w:rsidR="00DC1735">
        <w:t xml:space="preserve"> izpildīt nolēmumu. Tas, kādēļ pieteicēja nevarēja izpildīt konkrētās darbības, ir faktu noskaidrošanas jautājums, ko jau ir vērtējusi vispārējās jurisdikcijas </w:t>
      </w:r>
      <w:r w:rsidR="00DC1735" w:rsidRPr="00D2637D">
        <w:t>tiesa civillietā</w:t>
      </w:r>
      <w:r w:rsidR="00D2637D" w:rsidRPr="00D2637D">
        <w:rPr>
          <w:rFonts w:ascii="TimesNewRomanPSMT" w:eastAsiaTheme="minorHAnsi" w:hAnsi="TimesNewRomanPSMT" w:cs="TimesNewRomanPSMT"/>
          <w:lang w:eastAsia="en-US"/>
        </w:rPr>
        <w:t>.</w:t>
      </w:r>
      <w:r w:rsidR="00CC0FCE">
        <w:rPr>
          <w:rFonts w:ascii="TimesNewRomanPSMT" w:eastAsiaTheme="minorHAnsi" w:hAnsi="TimesNewRomanPSMT" w:cs="TimesNewRomanPSMT"/>
          <w:lang w:eastAsia="en-US"/>
        </w:rPr>
        <w:t xml:space="preserve"> </w:t>
      </w:r>
      <w:r w:rsidR="00DA5683" w:rsidRPr="007A374C">
        <w:t>Savukārt apgabaltiesai</w:t>
      </w:r>
      <w:r w:rsidR="003249E8">
        <w:t>, kā minēts,</w:t>
      </w:r>
      <w:r w:rsidR="00DA5683" w:rsidRPr="007A374C">
        <w:t xml:space="preserve"> ir jāvērtē, vai konkrētās par prettiesiskām atzītās tiesu izpildītāja darbības pieļautas tīši vai aiz rupjas neuzmanības, jo tad ir pamats tiesu izpildītāju saukt pie disciplinārās atbildības</w:t>
      </w:r>
      <w:r w:rsidR="00DA5683">
        <w:t>.</w:t>
      </w:r>
    </w:p>
    <w:p w14:paraId="2921911E" w14:textId="20FDEFFF" w:rsidR="00007D1F" w:rsidRDefault="00DC1735" w:rsidP="00007D1F">
      <w:pPr>
        <w:spacing w:line="276" w:lineRule="auto"/>
        <w:ind w:firstLine="567"/>
        <w:jc w:val="both"/>
        <w:rPr>
          <w:lang w:eastAsia="en-US"/>
        </w:rPr>
      </w:pPr>
      <w:r w:rsidRPr="007A374C">
        <w:t>Augstākā tiesa</w:t>
      </w:r>
      <w:r w:rsidR="007A374C">
        <w:t xml:space="preserve"> no </w:t>
      </w:r>
      <w:r w:rsidR="007A374C" w:rsidRPr="00127BFD">
        <w:t>nolēmuma civillietā konstatē, ka tiesa</w:t>
      </w:r>
      <w:r w:rsidR="00127BFD" w:rsidRPr="00127BFD">
        <w:t>,</w:t>
      </w:r>
      <w:r w:rsidR="007A374C" w:rsidRPr="00127BFD">
        <w:t xml:space="preserve"> atzīstot par prettiesiskām pieteicējas darbības, neizmaksājot līdzekļus sabiedrībai, </w:t>
      </w:r>
      <w:r w:rsidR="00127BFD" w:rsidRPr="00127BFD">
        <w:t xml:space="preserve">no pieteicējas paskaidrojumiem </w:t>
      </w:r>
      <w:r w:rsidR="007A374C" w:rsidRPr="00127BFD">
        <w:t xml:space="preserve">ir konstatējusi, ka </w:t>
      </w:r>
      <w:r w:rsidR="00127BFD" w:rsidRPr="00127BFD">
        <w:t>pieteicēja no iepriekšējā tiesu izpildītāja</w:t>
      </w:r>
      <w:r w:rsidR="00141E86">
        <w:t xml:space="preserve"> lietas un</w:t>
      </w:r>
      <w:r w:rsidR="00127BFD" w:rsidRPr="00127BFD">
        <w:t xml:space="preserve"> depozīta konta līdzekļus pieņēma nepersonificētus, </w:t>
      </w:r>
      <w:r w:rsidR="00127BFD" w:rsidRPr="00127BFD">
        <w:rPr>
          <w:lang w:eastAsia="en-US"/>
        </w:rPr>
        <w:t xml:space="preserve">tas ir, </w:t>
      </w:r>
      <w:proofErr w:type="gramStart"/>
      <w:r w:rsidR="00127BFD" w:rsidRPr="00127BFD">
        <w:rPr>
          <w:lang w:eastAsia="en-US"/>
        </w:rPr>
        <w:t>nesasaistot ar konkrētām</w:t>
      </w:r>
      <w:proofErr w:type="gramEnd"/>
      <w:r w:rsidR="00127BFD" w:rsidRPr="00127BFD">
        <w:rPr>
          <w:lang w:eastAsia="en-US"/>
        </w:rPr>
        <w:t xml:space="preserve"> izpildu lietām vai personām, kā arī pieteicēja tiesai</w:t>
      </w:r>
      <w:r w:rsidR="00070FD9">
        <w:rPr>
          <w:lang w:eastAsia="en-US"/>
        </w:rPr>
        <w:t xml:space="preserve"> civillietā</w:t>
      </w:r>
      <w:r w:rsidR="001F57BA">
        <w:rPr>
          <w:lang w:eastAsia="en-US"/>
        </w:rPr>
        <w:t xml:space="preserve"> </w:t>
      </w:r>
      <w:r w:rsidR="00127BFD" w:rsidRPr="00127BFD">
        <w:rPr>
          <w:lang w:eastAsia="en-US"/>
        </w:rPr>
        <w:t xml:space="preserve">norādīja, ka izpildu lietās piedzīto naudas līdzekļu atbilstību iecirkņa depozīta kontā esošajai naudai viņa </w:t>
      </w:r>
      <w:r w:rsidR="00856390">
        <w:rPr>
          <w:lang w:eastAsia="en-US"/>
        </w:rPr>
        <w:t>uzre</w:t>
      </w:r>
      <w:r w:rsidR="008B4A4F">
        <w:rPr>
          <w:lang w:eastAsia="en-US"/>
        </w:rPr>
        <w:t>i</w:t>
      </w:r>
      <w:r w:rsidR="00856390">
        <w:rPr>
          <w:lang w:eastAsia="en-US"/>
        </w:rPr>
        <w:t>z</w:t>
      </w:r>
      <w:r w:rsidR="00127BFD" w:rsidRPr="00127BFD">
        <w:rPr>
          <w:lang w:eastAsia="en-US"/>
        </w:rPr>
        <w:t xml:space="preserve"> nepārbaudīja.</w:t>
      </w:r>
    </w:p>
    <w:p w14:paraId="2B7A18D5" w14:textId="0A1EDA30" w:rsidR="00AD7129" w:rsidRDefault="00B13554" w:rsidP="00AD7129">
      <w:pPr>
        <w:spacing w:line="276" w:lineRule="auto"/>
        <w:ind w:firstLine="567"/>
        <w:jc w:val="both"/>
      </w:pPr>
      <w:r>
        <w:t>Arī no pašas pieteicējas paskaidrojuma</w:t>
      </w:r>
      <w:r w:rsidR="004103A0">
        <w:t xml:space="preserve"> šajā lietā</w:t>
      </w:r>
      <w:r>
        <w:t xml:space="preserve"> </w:t>
      </w:r>
      <w:r w:rsidR="00F06930">
        <w:t>iestādei</w:t>
      </w:r>
      <w:r>
        <w:t xml:space="preserve">, </w:t>
      </w:r>
      <w:proofErr w:type="gramStart"/>
      <w:r>
        <w:t xml:space="preserve">kas atspoguļots </w:t>
      </w:r>
      <w:r w:rsidR="00802263">
        <w:t xml:space="preserve">arī </w:t>
      </w:r>
      <w:r>
        <w:t xml:space="preserve">pārsūdzētajā lēmumā, izriet, ka pieteicēja uzskata, ka </w:t>
      </w:r>
      <w:r w:rsidR="00E34D5B">
        <w:t xml:space="preserve">nav pieļāvusi paviršību vai neuzmanību, tā kā pieteicējai bija pamats uzskatīt, ka iepriekšējā tiesu izpildītāja, kurai uz lietu nodošanu bija liela darba pieredze, </w:t>
      </w:r>
      <w:r w:rsidR="00F628D4">
        <w:t>savus pienākumus ir veikusi atbildīgi</w:t>
      </w:r>
      <w:proofErr w:type="gramEnd"/>
      <w:r w:rsidR="00F628D4">
        <w:t xml:space="preserve"> un nav pieļāvusi pārkāpumus un iztrūkumus.</w:t>
      </w:r>
    </w:p>
    <w:p w14:paraId="67EC9BCF" w14:textId="67DED0A7" w:rsidR="00B54A9F" w:rsidRDefault="00AD7129" w:rsidP="004D379C">
      <w:pPr>
        <w:spacing w:line="276" w:lineRule="auto"/>
        <w:ind w:firstLine="567"/>
        <w:jc w:val="both"/>
        <w:rPr>
          <w:lang w:eastAsia="en-US"/>
        </w:rPr>
      </w:pPr>
      <w:r w:rsidRPr="00AD7129">
        <w:t>No minētā nepārprotami izriet, ka pieteicēja, pārņemot iecirkni</w:t>
      </w:r>
      <w:r w:rsidR="00342A10">
        <w:t>,</w:t>
      </w:r>
      <w:r w:rsidRPr="00AD7129">
        <w:t xml:space="preserve"> uzreiz nav pārliecinājusies par iecirkņa lietu un depozīta konta stāvokli, jo bija paļāvusies uz iepriekšējā tiesu izpildītāja darba pieredzi. Tomēr </w:t>
      </w:r>
      <w:r w:rsidR="00FB5371">
        <w:t>no</w:t>
      </w:r>
      <w:r w:rsidRPr="00AD7129">
        <w:t xml:space="preserve"> </w:t>
      </w:r>
      <w:r w:rsidR="00496D57" w:rsidRPr="00AD7129">
        <w:rPr>
          <w:lang w:eastAsia="en-US"/>
        </w:rPr>
        <w:t>Ti</w:t>
      </w:r>
      <w:r w:rsidRPr="00AD7129">
        <w:rPr>
          <w:lang w:eastAsia="en-US"/>
        </w:rPr>
        <w:t xml:space="preserve">esu izpildītāju likuma </w:t>
      </w:r>
      <w:proofErr w:type="gramStart"/>
      <w:r w:rsidRPr="00AD7129">
        <w:rPr>
          <w:lang w:eastAsia="en-US"/>
        </w:rPr>
        <w:t>32.pant</w:t>
      </w:r>
      <w:r w:rsidR="00FB5371">
        <w:rPr>
          <w:lang w:eastAsia="en-US"/>
        </w:rPr>
        <w:t>a</w:t>
      </w:r>
      <w:proofErr w:type="gramEnd"/>
      <w:r w:rsidRPr="00AD7129">
        <w:rPr>
          <w:lang w:eastAsia="en-US"/>
        </w:rPr>
        <w:t>, uz kuru, vērtējot pieteicējas darbības, norādījusi arī tiesa civillietā, izriet, ka</w:t>
      </w:r>
      <w:r w:rsidR="00496D57" w:rsidRPr="00AD7129">
        <w:rPr>
          <w:lang w:eastAsia="en-US"/>
        </w:rPr>
        <w:t xml:space="preserve">, mainoties viena iecirkņa tiesu izpildītāja amata ieņēmējiem, nemainīgā stāvoklī tiek saglabātas un nodotas lietas un konti. Tāpēc </w:t>
      </w:r>
      <w:r w:rsidRPr="00AD7129">
        <w:rPr>
          <w:lang w:eastAsia="en-US"/>
        </w:rPr>
        <w:t>p</w:t>
      </w:r>
      <w:r w:rsidR="00496D57" w:rsidRPr="00AD7129">
        <w:rPr>
          <w:lang w:eastAsia="en-US"/>
        </w:rPr>
        <w:t>i</w:t>
      </w:r>
      <w:r w:rsidRPr="00AD7129">
        <w:rPr>
          <w:lang w:eastAsia="en-US"/>
        </w:rPr>
        <w:t>eteicējai</w:t>
      </w:r>
      <w:r w:rsidR="00496D57" w:rsidRPr="00AD7129">
        <w:rPr>
          <w:lang w:eastAsia="en-US"/>
        </w:rPr>
        <w:t xml:space="preserve"> bija pienākums pārņemt kontus tādā stāvoklī, kāds tas bija iepriekšējo izpildītāju laikā</w:t>
      </w:r>
      <w:r w:rsidRPr="00AD7129">
        <w:rPr>
          <w:lang w:eastAsia="en-US"/>
        </w:rPr>
        <w:t>, pašai pārliecinoties par lietu un konta stāvokli, nevis</w:t>
      </w:r>
      <w:r w:rsidR="00CB19D2">
        <w:rPr>
          <w:lang w:eastAsia="en-US"/>
        </w:rPr>
        <w:t>,</w:t>
      </w:r>
      <w:r w:rsidRPr="00AD7129">
        <w:rPr>
          <w:lang w:eastAsia="en-US"/>
        </w:rPr>
        <w:t xml:space="preserve"> paļaujoties uz iepriekšējo tiesu izpildītāju</w:t>
      </w:r>
      <w:r w:rsidR="00CB19D2">
        <w:rPr>
          <w:lang w:eastAsia="en-US"/>
        </w:rPr>
        <w:t>,</w:t>
      </w:r>
      <w:r w:rsidRPr="00AD7129">
        <w:rPr>
          <w:lang w:eastAsia="en-US"/>
        </w:rPr>
        <w:t xml:space="preserve"> pieņemt visas lietas un kontu, to nepārbaudot. Vispārējās jurisdikcijas t</w:t>
      </w:r>
      <w:r w:rsidR="00496D57" w:rsidRPr="00AD7129">
        <w:rPr>
          <w:lang w:eastAsia="en-US"/>
        </w:rPr>
        <w:t xml:space="preserve">iesas ieskatā minētie apstākļi norādīja uz to, ka </w:t>
      </w:r>
      <w:r w:rsidRPr="00AD7129">
        <w:rPr>
          <w:lang w:eastAsia="en-US"/>
        </w:rPr>
        <w:t>pieteicēja</w:t>
      </w:r>
      <w:r w:rsidR="00496D57" w:rsidRPr="00AD7129">
        <w:rPr>
          <w:lang w:eastAsia="en-US"/>
        </w:rPr>
        <w:t xml:space="preserve"> nav veikusi visas no viņas iespējamās un atkarīgās darbības, pārņemot iecirkni un pēcāk arī konstatējot iztrūkumu. </w:t>
      </w:r>
      <w:r w:rsidR="00342A10">
        <w:rPr>
          <w:lang w:eastAsia="en-US"/>
        </w:rPr>
        <w:t xml:space="preserve">Tam piekrīt arī </w:t>
      </w:r>
      <w:r w:rsidR="00342A10">
        <w:rPr>
          <w:lang w:eastAsia="en-US"/>
        </w:rPr>
        <w:lastRenderedPageBreak/>
        <w:t>Augstākā tiesa.</w:t>
      </w:r>
      <w:r w:rsidR="00E60E77">
        <w:rPr>
          <w:lang w:eastAsia="en-US"/>
        </w:rPr>
        <w:t xml:space="preserve"> </w:t>
      </w:r>
      <w:r w:rsidR="00416103" w:rsidRPr="00277C46">
        <w:rPr>
          <w:lang w:eastAsia="en-US"/>
        </w:rPr>
        <w:t>Tas nozīmē, ka ja pieteicēja, pārņemot iecirkni, nevis būtu paļāvusies uz to, ka iepriekšējie tiesu izpildītāji izpildu lietas un depozīt</w:t>
      </w:r>
      <w:r w:rsidR="00E8255F">
        <w:rPr>
          <w:lang w:eastAsia="en-US"/>
        </w:rPr>
        <w:t>a</w:t>
      </w:r>
      <w:r w:rsidR="00416103" w:rsidRPr="00277C46">
        <w:rPr>
          <w:lang w:eastAsia="en-US"/>
        </w:rPr>
        <w:t xml:space="preserve"> kontu ir atstājuši pareizā stāvoklī, tad </w:t>
      </w:r>
      <w:r w:rsidR="001631D3" w:rsidRPr="00277C46">
        <w:rPr>
          <w:lang w:eastAsia="en-US"/>
        </w:rPr>
        <w:t xml:space="preserve">ar šo pieteicēja dabiski novērstu </w:t>
      </w:r>
      <w:r w:rsidR="005C3D7B" w:rsidRPr="00277C46">
        <w:rPr>
          <w:lang w:eastAsia="en-US"/>
        </w:rPr>
        <w:t>sekas</w:t>
      </w:r>
      <w:r w:rsidR="001631D3" w:rsidRPr="00277C46">
        <w:rPr>
          <w:lang w:eastAsia="en-US"/>
        </w:rPr>
        <w:t xml:space="preserve">, kas iestājās </w:t>
      </w:r>
      <w:r w:rsidR="00416103" w:rsidRPr="00277C46">
        <w:rPr>
          <w:lang w:eastAsia="en-US"/>
        </w:rPr>
        <w:t>vēlāk</w:t>
      </w:r>
      <w:r w:rsidR="001631D3" w:rsidRPr="00277C46">
        <w:rPr>
          <w:lang w:eastAsia="en-US"/>
        </w:rPr>
        <w:t>, proti,</w:t>
      </w:r>
      <w:r w:rsidR="00416103" w:rsidRPr="00277C46">
        <w:rPr>
          <w:lang w:eastAsia="en-US"/>
        </w:rPr>
        <w:t xml:space="preserve"> </w:t>
      </w:r>
      <w:r w:rsidR="005C3D7B" w:rsidRPr="00277C46">
        <w:rPr>
          <w:lang w:eastAsia="en-US"/>
        </w:rPr>
        <w:t xml:space="preserve">ka </w:t>
      </w:r>
      <w:proofErr w:type="gramStart"/>
      <w:r w:rsidR="005C3D7B" w:rsidRPr="00277C46">
        <w:rPr>
          <w:lang w:eastAsia="en-US"/>
        </w:rPr>
        <w:t>2015.gadā</w:t>
      </w:r>
      <w:proofErr w:type="gramEnd"/>
      <w:r w:rsidR="005C3D7B" w:rsidRPr="00277C46">
        <w:rPr>
          <w:lang w:eastAsia="en-US"/>
        </w:rPr>
        <w:t xml:space="preserve"> </w:t>
      </w:r>
      <w:r w:rsidR="00416103" w:rsidRPr="00277C46">
        <w:rPr>
          <w:lang w:eastAsia="en-US"/>
        </w:rPr>
        <w:t xml:space="preserve">konkrētā izpildu lietā </w:t>
      </w:r>
      <w:r w:rsidR="005C3D7B" w:rsidRPr="00277C46">
        <w:rPr>
          <w:lang w:eastAsia="en-US"/>
        </w:rPr>
        <w:t xml:space="preserve">vairs </w:t>
      </w:r>
      <w:r w:rsidR="00416103" w:rsidRPr="00277C46">
        <w:rPr>
          <w:lang w:eastAsia="en-US"/>
        </w:rPr>
        <w:t>nevar</w:t>
      </w:r>
      <w:r w:rsidR="005C3D7B" w:rsidRPr="00277C46">
        <w:rPr>
          <w:lang w:eastAsia="en-US"/>
        </w:rPr>
        <w:t>ēja</w:t>
      </w:r>
      <w:r w:rsidR="00416103" w:rsidRPr="00277C46">
        <w:rPr>
          <w:lang w:eastAsia="en-US"/>
        </w:rPr>
        <w:t xml:space="preserve"> izmaksāt konkrētu naudas summu.</w:t>
      </w:r>
    </w:p>
    <w:p w14:paraId="32E1BF1D" w14:textId="3D5D40B5" w:rsidR="004D379C" w:rsidRPr="00277C46" w:rsidRDefault="00416103" w:rsidP="004D379C">
      <w:pPr>
        <w:spacing w:line="276" w:lineRule="auto"/>
        <w:ind w:firstLine="567"/>
        <w:jc w:val="both"/>
        <w:rPr>
          <w:lang w:eastAsia="en-US"/>
        </w:rPr>
      </w:pPr>
      <w:r w:rsidRPr="00277C46">
        <w:rPr>
          <w:lang w:eastAsia="en-US"/>
        </w:rPr>
        <w:t xml:space="preserve">Pieteicējai </w:t>
      </w:r>
      <w:r w:rsidR="00B54A9F">
        <w:t>a</w:t>
      </w:r>
      <w:r w:rsidR="00B54A9F" w:rsidRPr="00C75259">
        <w:t xml:space="preserve">tbilstoši Tiesu izpildītāju likuma 4. un </w:t>
      </w:r>
      <w:proofErr w:type="gramStart"/>
      <w:r w:rsidR="00B54A9F" w:rsidRPr="00C75259">
        <w:t>5.pantam</w:t>
      </w:r>
      <w:proofErr w:type="gramEnd"/>
      <w:r w:rsidR="00B54A9F" w:rsidRPr="00277C46">
        <w:rPr>
          <w:lang w:eastAsia="en-US"/>
        </w:rPr>
        <w:t xml:space="preserve"> </w:t>
      </w:r>
      <w:r w:rsidRPr="00277C46">
        <w:rPr>
          <w:lang w:eastAsia="en-US"/>
        </w:rPr>
        <w:t>kā tiesu sistēmai piederīgai valsts amatpersonai bija jāsaprot, ka, pārņemot iecirkni no cita tiesu izpildītāja, pieteicējai atbildīgi ir jāveic nodoto lietu un depozīta konta pilnīga pārbaude</w:t>
      </w:r>
      <w:r w:rsidR="005941BD" w:rsidRPr="00277C46">
        <w:rPr>
          <w:lang w:eastAsia="en-US"/>
        </w:rPr>
        <w:t xml:space="preserve"> un salīdzinā</w:t>
      </w:r>
      <w:r w:rsidR="00E4434F" w:rsidRPr="00277C46">
        <w:rPr>
          <w:lang w:eastAsia="en-US"/>
        </w:rPr>
        <w:t>ša</w:t>
      </w:r>
      <w:r w:rsidR="005941BD" w:rsidRPr="00277C46">
        <w:rPr>
          <w:lang w:eastAsia="en-US"/>
        </w:rPr>
        <w:t>na</w:t>
      </w:r>
      <w:r w:rsidRPr="00277C46">
        <w:rPr>
          <w:lang w:eastAsia="en-US"/>
        </w:rPr>
        <w:t>, lai aizsargātu ne tikai citu, t</w:t>
      </w:r>
      <w:r w:rsidR="00143E28">
        <w:rPr>
          <w:lang w:eastAsia="en-US"/>
        </w:rPr>
        <w:t xml:space="preserve">as </w:t>
      </w:r>
      <w:r w:rsidRPr="00277C46">
        <w:rPr>
          <w:lang w:eastAsia="en-US"/>
        </w:rPr>
        <w:t>i</w:t>
      </w:r>
      <w:r w:rsidR="00143E28">
        <w:rPr>
          <w:lang w:eastAsia="en-US"/>
        </w:rPr>
        <w:t>r</w:t>
      </w:r>
      <w:r w:rsidRPr="00277C46">
        <w:rPr>
          <w:lang w:eastAsia="en-US"/>
        </w:rPr>
        <w:t xml:space="preserve">, izpildu lietās iesaistīto personu tiesības, bet arī </w:t>
      </w:r>
      <w:r w:rsidR="00F771C7" w:rsidRPr="00277C46">
        <w:rPr>
          <w:lang w:eastAsia="en-US"/>
        </w:rPr>
        <w:t xml:space="preserve">lai </w:t>
      </w:r>
      <w:r w:rsidRPr="00277C46">
        <w:rPr>
          <w:lang w:eastAsia="en-US"/>
        </w:rPr>
        <w:t>izslēgtu pati savu atbildību par iepriekšējo tiesu izpildītāju iespējamu prettiesisku rīcību.</w:t>
      </w:r>
      <w:r w:rsidR="00B54A9F">
        <w:rPr>
          <w:lang w:eastAsia="en-US"/>
        </w:rPr>
        <w:t xml:space="preserve"> </w:t>
      </w:r>
      <w:r w:rsidR="00B54A9F" w:rsidRPr="00456F73">
        <w:t xml:space="preserve">Tā kā pieteicēja tieši šajā stadijā nav ar pienācīgu rūpību veikusi savus amata pienākumus, bet, kā konstatējusi gan civiltiesa, gan iestāde un </w:t>
      </w:r>
      <w:r w:rsidR="00B54A9F">
        <w:t>apgabaltiesa</w:t>
      </w:r>
      <w:r w:rsidR="00B54A9F" w:rsidRPr="00456F73">
        <w:t>, paļāvusies uz iepriekšējā tiesu izpildītāja godaprātu (par ko pieteicējas ieskatā liecina iepriekšējā tiesu izpildītāja ilgstoša darba pieredze), pieteicēja nav darījusi visu, lai nodrošinātu, ka tiek ievērotas citu personu (kreditoru utt.) tiesības un intereses izpildu procesos.</w:t>
      </w:r>
      <w:r w:rsidR="00B54A9F">
        <w:t xml:space="preserve"> </w:t>
      </w:r>
      <w:r w:rsidRPr="00277C46">
        <w:rPr>
          <w:lang w:eastAsia="en-US"/>
        </w:rPr>
        <w:t>Ja pieteicēja, k</w:t>
      </w:r>
      <w:r w:rsidR="00352AA4">
        <w:rPr>
          <w:lang w:eastAsia="en-US"/>
        </w:rPr>
        <w:t>ā</w:t>
      </w:r>
      <w:r w:rsidR="00583064">
        <w:rPr>
          <w:lang w:eastAsia="en-US"/>
        </w:rPr>
        <w:t xml:space="preserve"> pamatoti</w:t>
      </w:r>
      <w:r w:rsidRPr="00277C46">
        <w:rPr>
          <w:lang w:eastAsia="en-US"/>
        </w:rPr>
        <w:t xml:space="preserve"> konstatējusi apgabaltiesa, uzreiz pie iecirkņa pārņemšanas nav veikusi lietu un konta pārbaudi un salīdzināšanu, tad pieteicējai pēc tam ir jāuzņemas atbildība par citu personu tiesību aizskārumu, tā kā šis aizskārums ir tie</w:t>
      </w:r>
      <w:r w:rsidR="0012096A">
        <w:rPr>
          <w:lang w:eastAsia="en-US"/>
        </w:rPr>
        <w:t>š</w:t>
      </w:r>
      <w:r w:rsidRPr="00277C46">
        <w:rPr>
          <w:lang w:eastAsia="en-US"/>
        </w:rPr>
        <w:t>ā cēloņsakarībā ar pieteicējas nolaidīg</w:t>
      </w:r>
      <w:r w:rsidR="007044FC" w:rsidRPr="00277C46">
        <w:rPr>
          <w:lang w:eastAsia="en-US"/>
        </w:rPr>
        <w:t>o</w:t>
      </w:r>
      <w:r w:rsidRPr="00277C46">
        <w:rPr>
          <w:lang w:eastAsia="en-US"/>
        </w:rPr>
        <w:t xml:space="preserve"> rīcību.</w:t>
      </w:r>
    </w:p>
    <w:p w14:paraId="2A33557F" w14:textId="37AAEF36" w:rsidR="00983EB0" w:rsidRDefault="00502209" w:rsidP="00983EB0">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Tādējādi secināms, ka a</w:t>
      </w:r>
      <w:r w:rsidR="00983EB0">
        <w:rPr>
          <w:rFonts w:ascii="TimesNewRomanPSMT" w:eastAsiaTheme="minorHAnsi" w:hAnsi="TimesNewRomanPSMT" w:cs="TimesNewRomanPSMT"/>
          <w:lang w:eastAsia="en-US"/>
        </w:rPr>
        <w:t xml:space="preserve">pgabaltiesa </w:t>
      </w:r>
      <w:r>
        <w:rPr>
          <w:rFonts w:ascii="TimesNewRomanPSMT" w:eastAsiaTheme="minorHAnsi" w:hAnsi="TimesNewRomanPSMT" w:cs="TimesNewRomanPSMT"/>
          <w:lang w:eastAsia="en-US"/>
        </w:rPr>
        <w:t xml:space="preserve">ir pamatoti </w:t>
      </w:r>
      <w:r w:rsidR="00983EB0">
        <w:rPr>
          <w:rFonts w:ascii="TimesNewRomanPSMT" w:eastAsiaTheme="minorHAnsi" w:hAnsi="TimesNewRomanPSMT" w:cs="TimesNewRomanPSMT"/>
          <w:lang w:eastAsia="en-US"/>
        </w:rPr>
        <w:t>secināj</w:t>
      </w:r>
      <w:r>
        <w:rPr>
          <w:rFonts w:ascii="TimesNewRomanPSMT" w:eastAsiaTheme="minorHAnsi" w:hAnsi="TimesNewRomanPSMT" w:cs="TimesNewRomanPSMT"/>
          <w:lang w:eastAsia="en-US"/>
        </w:rPr>
        <w:t>usi</w:t>
      </w:r>
      <w:r w:rsidR="00983EB0">
        <w:rPr>
          <w:rFonts w:ascii="TimesNewRomanPSMT" w:eastAsiaTheme="minorHAnsi" w:hAnsi="TimesNewRomanPSMT" w:cs="TimesNewRomanPSMT"/>
          <w:lang w:eastAsia="en-US"/>
        </w:rPr>
        <w:t xml:space="preserve">, ka pieteicēja iecirkņa pārņemšanas laikā nav veikusi visas saprātīgi nepieciešamās darbības, lai noskaidrotu patieso pārņemamā iecirkņa stāvokli, kā arī nav </w:t>
      </w:r>
      <w:r w:rsidR="00983EB0" w:rsidRPr="000F5711">
        <w:rPr>
          <w:rFonts w:ascii="TimesNewRomanPSMT" w:eastAsiaTheme="minorHAnsi" w:hAnsi="TimesNewRomanPSMT" w:cs="TimesNewRomanPSMT"/>
          <w:lang w:eastAsia="en-US"/>
        </w:rPr>
        <w:t>pierādījum</w:t>
      </w:r>
      <w:r w:rsidR="00983EB0">
        <w:rPr>
          <w:rFonts w:ascii="TimesNewRomanPSMT" w:eastAsiaTheme="minorHAnsi" w:hAnsi="TimesNewRomanPSMT" w:cs="TimesNewRomanPSMT"/>
          <w:lang w:eastAsia="en-US"/>
        </w:rPr>
        <w:t>u</w:t>
      </w:r>
      <w:r w:rsidR="00983EB0" w:rsidRPr="000F5711">
        <w:rPr>
          <w:rFonts w:ascii="TimesNewRomanPSMT" w:eastAsiaTheme="minorHAnsi" w:hAnsi="TimesNewRomanPSMT" w:cs="TimesNewRomanPSMT"/>
          <w:lang w:eastAsia="en-US"/>
        </w:rPr>
        <w:t>, ka uz iecirkņa pārņemšanas brīdi būtu pastāvējuši nepārvarami šķēršļi, kas pieteicējai l</w:t>
      </w:r>
      <w:r w:rsidR="00983EB0">
        <w:rPr>
          <w:rFonts w:ascii="TimesNewRomanPSMT" w:eastAsiaTheme="minorHAnsi" w:hAnsi="TimesNewRomanPSMT" w:cs="TimesNewRomanPSMT"/>
          <w:lang w:eastAsia="en-US"/>
        </w:rPr>
        <w:t>iegtu iespēju veikt nepieciešamās</w:t>
      </w:r>
      <w:r w:rsidR="00983EB0" w:rsidRPr="000F5711">
        <w:rPr>
          <w:rFonts w:ascii="TimesNewRomanPSMT" w:eastAsiaTheme="minorHAnsi" w:hAnsi="TimesNewRomanPSMT" w:cs="TimesNewRomanPSMT"/>
          <w:lang w:eastAsia="en-US"/>
        </w:rPr>
        <w:t xml:space="preserve"> pārbaud</w:t>
      </w:r>
      <w:r w:rsidR="00983EB0">
        <w:rPr>
          <w:rFonts w:ascii="TimesNewRomanPSMT" w:eastAsiaTheme="minorHAnsi" w:hAnsi="TimesNewRomanPSMT" w:cs="TimesNewRomanPSMT"/>
          <w:lang w:eastAsia="en-US"/>
        </w:rPr>
        <w:t>es.</w:t>
      </w:r>
      <w:r w:rsidR="00983EB0" w:rsidRPr="00657BE8">
        <w:rPr>
          <w:rFonts w:ascii="TimesNewRomanPSMT" w:eastAsiaTheme="minorHAnsi" w:hAnsi="TimesNewRomanPSMT" w:cs="TimesNewRomanPSMT"/>
          <w:lang w:eastAsia="en-US"/>
        </w:rPr>
        <w:t xml:space="preserve"> </w:t>
      </w:r>
      <w:r w:rsidR="00983EB0" w:rsidRPr="000F5711">
        <w:rPr>
          <w:rFonts w:ascii="TimesNewRomanPSMT" w:eastAsiaTheme="minorHAnsi" w:hAnsi="TimesNewRomanPSMT" w:cs="TimesNewRomanPSMT"/>
          <w:lang w:eastAsia="en-US"/>
        </w:rPr>
        <w:t xml:space="preserve">Tāpat </w:t>
      </w:r>
      <w:r w:rsidR="00983EB0">
        <w:rPr>
          <w:rFonts w:ascii="TimesNewRomanPSMT" w:eastAsiaTheme="minorHAnsi" w:hAnsi="TimesNewRomanPSMT" w:cs="TimesNewRomanPSMT"/>
          <w:lang w:eastAsia="en-US"/>
        </w:rPr>
        <w:t xml:space="preserve">apgabaltiesa secināja, ka </w:t>
      </w:r>
      <w:r w:rsidR="00983EB0" w:rsidRPr="000F5711">
        <w:rPr>
          <w:rFonts w:ascii="TimesNewRomanPSMT" w:eastAsiaTheme="minorHAnsi" w:hAnsi="TimesNewRomanPSMT" w:cs="TimesNewRomanPSMT"/>
          <w:lang w:eastAsia="en-US"/>
        </w:rPr>
        <w:t>nav pierādījumu tam, ka pieteicēja būtu cēlusi iebildumus par to, ka viņai tiek liegta iespēja veikt pienācīgu pārbaudi iecirkņa pārņemšanas brīdī</w:t>
      </w:r>
      <w:r w:rsidR="00983EB0">
        <w:rPr>
          <w:rFonts w:ascii="TimesNewRomanPSMT" w:eastAsiaTheme="minorHAnsi" w:hAnsi="TimesNewRomanPSMT" w:cs="TimesNewRomanPSMT"/>
          <w:lang w:eastAsia="en-US"/>
        </w:rPr>
        <w:t>,</w:t>
      </w:r>
      <w:r w:rsidR="006669FA">
        <w:rPr>
          <w:rFonts w:ascii="TimesNewRomanPSMT" w:eastAsiaTheme="minorHAnsi" w:hAnsi="TimesNewRomanPSMT" w:cs="TimesNewRomanPSMT"/>
          <w:lang w:eastAsia="en-US"/>
        </w:rPr>
        <w:t xml:space="preserve"> konstatēt neatbilstības.</w:t>
      </w:r>
    </w:p>
    <w:p w14:paraId="7D3212B2" w14:textId="77777777" w:rsidR="00C32DF3" w:rsidRDefault="00C32DF3" w:rsidP="00C32DF3">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Tāpat apgabaltiesa ir konstatējusi, ka </w:t>
      </w:r>
      <w:r w:rsidRPr="000F5711">
        <w:rPr>
          <w:rFonts w:ascii="TimesNewRomanPSMT" w:eastAsiaTheme="minorHAnsi" w:hAnsi="TimesNewRomanPSMT" w:cs="TimesNewRomanPSMT"/>
          <w:lang w:eastAsia="en-US"/>
        </w:rPr>
        <w:t xml:space="preserve">pieteicēja </w:t>
      </w:r>
      <w:r>
        <w:rPr>
          <w:rFonts w:ascii="TimesNewRomanPSMT" w:eastAsiaTheme="minorHAnsi" w:hAnsi="TimesNewRomanPSMT" w:cs="TimesNewRomanPSMT"/>
          <w:lang w:eastAsia="en-US"/>
        </w:rPr>
        <w:t>pati ir atzinusi, ka</w:t>
      </w:r>
      <w:r w:rsidRPr="000F5711">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konkrētā pieteicējas </w:t>
      </w:r>
      <w:r w:rsidRPr="000F5711">
        <w:rPr>
          <w:rFonts w:ascii="TimesNewRomanPSMT" w:eastAsiaTheme="minorHAnsi" w:hAnsi="TimesNewRomanPSMT" w:cs="TimesNewRomanPSMT"/>
          <w:lang w:eastAsia="en-US"/>
        </w:rPr>
        <w:t xml:space="preserve">rīcība ir nepieļaujama un tiesību normām neatbilstoša, </w:t>
      </w:r>
      <w:r>
        <w:rPr>
          <w:rFonts w:ascii="TimesNewRomanPSMT" w:eastAsiaTheme="minorHAnsi" w:hAnsi="TimesNewRomanPSMT" w:cs="TimesNewRomanPSMT"/>
          <w:lang w:eastAsia="en-US"/>
        </w:rPr>
        <w:t>un tādējādi</w:t>
      </w:r>
      <w:r w:rsidRPr="000F5711">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apgabaltiesa ir pamatoti secinājusi, </w:t>
      </w:r>
      <w:r w:rsidRPr="000F5711">
        <w:rPr>
          <w:rFonts w:ascii="TimesNewRomanPSMT" w:eastAsiaTheme="minorHAnsi" w:hAnsi="TimesNewRomanPSMT" w:cs="TimesNewRomanPSMT"/>
          <w:lang w:eastAsia="en-US"/>
        </w:rPr>
        <w:t>ka pieteicēja savas rīcības prettiesiskumu ir apzinājusies.</w:t>
      </w:r>
    </w:p>
    <w:p w14:paraId="33A7C97A" w14:textId="06D247B5" w:rsidR="006669FA" w:rsidRDefault="006669FA" w:rsidP="00FF2A0C">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Ievērojot iepriekš minēto, </w:t>
      </w:r>
      <w:r w:rsidR="00753C02">
        <w:rPr>
          <w:rFonts w:ascii="TimesNewRomanPSMT" w:eastAsiaTheme="minorHAnsi" w:hAnsi="TimesNewRomanPSMT" w:cs="TimesNewRomanPSMT"/>
          <w:lang w:eastAsia="en-US"/>
        </w:rPr>
        <w:t xml:space="preserve">nav konstatējams </w:t>
      </w:r>
      <w:proofErr w:type="spellStart"/>
      <w:r w:rsidR="00753C02">
        <w:rPr>
          <w:rFonts w:ascii="TimesNewRomanPSMT" w:eastAsiaTheme="minorHAnsi" w:hAnsi="TimesNewRomanPSMT" w:cs="TimesNewRomanPSMT"/>
          <w:lang w:eastAsia="en-US"/>
        </w:rPr>
        <w:t>kasatores</w:t>
      </w:r>
      <w:proofErr w:type="spellEnd"/>
      <w:r w:rsidR="00753C02">
        <w:rPr>
          <w:rFonts w:ascii="TimesNewRomanPSMT" w:eastAsiaTheme="minorHAnsi" w:hAnsi="TimesNewRomanPSMT" w:cs="TimesNewRomanPSMT"/>
          <w:lang w:eastAsia="en-US"/>
        </w:rPr>
        <w:t xml:space="preserve"> norādīto </w:t>
      </w:r>
      <w:r w:rsidR="00753C02">
        <w:t xml:space="preserve">Administratīvā procesa likuma normu par pierādījumu savākšanu pārkāpums, tā kā </w:t>
      </w:r>
      <w:proofErr w:type="spellStart"/>
      <w:r w:rsidR="00C32DF3">
        <w:t>kasatores</w:t>
      </w:r>
      <w:proofErr w:type="spellEnd"/>
      <w:r w:rsidR="00C32DF3">
        <w:t xml:space="preserve"> norādīto</w:t>
      </w:r>
      <w:r w:rsidR="000A0EA4">
        <w:t xml:space="preserve"> pierādījumu iegūšana neko nemainītu secinājumā par pieteicējas rupju neuzmanību, tā kā </w:t>
      </w:r>
      <w:r w:rsidR="00523B56">
        <w:t xml:space="preserve">jau </w:t>
      </w:r>
      <w:r w:rsidR="000A0EA4">
        <w:t xml:space="preserve">no pašas pieteicējas paskaidrojumiem, kā iepriekš norādīts, skaidri izriet, ka pieteicēja, pārņemot iecirkni, uzreiz pārbaudi neveica. </w:t>
      </w:r>
      <w:r w:rsidR="004F01CF">
        <w:t>Tas secīgi noved pie tālākām konsekvencēm pieteicējas disciplinārajā atbildībā.</w:t>
      </w:r>
    </w:p>
    <w:p w14:paraId="21B52F6B" w14:textId="77777777" w:rsidR="00B54A9F" w:rsidRDefault="00B54A9F" w:rsidP="00F327E5">
      <w:pPr>
        <w:spacing w:line="276" w:lineRule="auto"/>
        <w:ind w:firstLine="567"/>
        <w:jc w:val="both"/>
      </w:pPr>
    </w:p>
    <w:p w14:paraId="7537DCB0" w14:textId="3B9CEFF5" w:rsidR="00496D57" w:rsidRDefault="00B54A9F" w:rsidP="00F327E5">
      <w:pPr>
        <w:spacing w:line="276" w:lineRule="auto"/>
        <w:ind w:firstLine="567"/>
        <w:jc w:val="both"/>
      </w:pPr>
      <w:r>
        <w:t>[</w:t>
      </w:r>
      <w:r w:rsidR="00A970DC">
        <w:t>7</w:t>
      </w:r>
      <w:r>
        <w:t xml:space="preserve">] Papildus norādāms, ka apgabaltiesas sprieduma argumentācija ir plašāka, </w:t>
      </w:r>
      <w:r w:rsidR="00DA4462">
        <w:t>ne</w:t>
      </w:r>
      <w:r>
        <w:t>kā nepieciešams. Proti, tā kā tiesai, tāpat kā iestādei, konstatējot, ka pieteicēja uzreiz pie iecirkņa pārņemšanas nepārliecinājās par lietu un depozīta konta stāvokli, jo bija paļāvusies uz iepriekšējā tiesu izpildītāja rīcību (kas arī nospriests civillietā), apgabaltiesai vairs nebija izšķiroši ietvert spriedumā argumentus arī par to, ka ilgstoši iecirknī nebija sakārtotas izpildu lietas</w:t>
      </w:r>
      <w:proofErr w:type="gramStart"/>
      <w:r>
        <w:t xml:space="preserve"> un</w:t>
      </w:r>
      <w:proofErr w:type="gramEnd"/>
      <w:r>
        <w:t xml:space="preserve"> pieteicēja nav pārbaudījusi depozīta naudas līdzekļu saistību ar konkrētām izpildu lietām, tā kā pieteicējas disciplināratbildības – atsakoties izmaksāt naudas līdzekļus </w:t>
      </w:r>
      <w:r w:rsidR="00DA4462">
        <w:t>sabiedrībai</w:t>
      </w:r>
      <w:r>
        <w:t xml:space="preserve"> – pietiek ar fakta konstatēšanu, ka tieši laikā, kad pieteicēja</w:t>
      </w:r>
      <w:r w:rsidR="007C14D4">
        <w:t>i</w:t>
      </w:r>
      <w:r>
        <w:t xml:space="preserve"> vajadzēja pārliecināties par depozīta konta un izpildu lietu stāvokli, lai novērstu nesakritības un novērstu trešo personu aizskārumu, pieteicēja to nav darījusi. Tomēr šī neprecizitāte kopumā nav novedusi pie lietas nepareizas izspriešanas, tāpēc sprieduma atcelšanai nav pamata.</w:t>
      </w:r>
    </w:p>
    <w:p w14:paraId="78BB7EC8" w14:textId="77777777" w:rsidR="00B54A9F" w:rsidRDefault="00B54A9F" w:rsidP="008A437E">
      <w:pPr>
        <w:spacing w:line="276" w:lineRule="auto"/>
        <w:ind w:firstLine="567"/>
        <w:jc w:val="both"/>
      </w:pPr>
    </w:p>
    <w:p w14:paraId="47378A20" w14:textId="3CC74C18" w:rsidR="00C86EF2" w:rsidRDefault="00C86EF2" w:rsidP="008A437E">
      <w:pPr>
        <w:spacing w:line="276" w:lineRule="auto"/>
        <w:ind w:firstLine="567"/>
        <w:jc w:val="both"/>
      </w:pPr>
      <w:r>
        <w:lastRenderedPageBreak/>
        <w:t>[</w:t>
      </w:r>
      <w:r w:rsidR="00A970DC">
        <w:t>8</w:t>
      </w:r>
      <w:r>
        <w:t xml:space="preserve">] </w:t>
      </w:r>
      <w:r w:rsidR="005D1805">
        <w:t xml:space="preserve">Tāpat pretēji </w:t>
      </w:r>
      <w:proofErr w:type="spellStart"/>
      <w:r w:rsidR="005D1805">
        <w:t>kasatores</w:t>
      </w:r>
      <w:proofErr w:type="spellEnd"/>
      <w:r w:rsidR="005D1805">
        <w:t xml:space="preserve"> uzskatam m</w:t>
      </w:r>
      <w:r>
        <w:t>etodikas vai tiesību normu neesība</w:t>
      </w:r>
      <w:r w:rsidR="008D5832">
        <w:t xml:space="preserve"> par to</w:t>
      </w:r>
      <w:r>
        <w:t xml:space="preserve">, kā veicama iecirkņa pārņemšana, nevar atbrīvot pieteicēju no </w:t>
      </w:r>
      <w:r w:rsidR="008D5832">
        <w:t xml:space="preserve">disciplinārās </w:t>
      </w:r>
      <w:r>
        <w:t xml:space="preserve">atbildības. Tā kā tiesu izpildītājs </w:t>
      </w:r>
      <w:r w:rsidRPr="00C75259">
        <w:rPr>
          <w:shd w:val="clear" w:color="auto" w:fill="FFFFFF"/>
        </w:rPr>
        <w:t xml:space="preserve">ir tiesu sistēmai piederīga persona, </w:t>
      </w:r>
      <w:r w:rsidR="00DD4C4C">
        <w:rPr>
          <w:shd w:val="clear" w:color="auto" w:fill="FFFFFF"/>
        </w:rPr>
        <w:t>kas pi</w:t>
      </w:r>
      <w:r w:rsidR="00E92CAC">
        <w:rPr>
          <w:shd w:val="clear" w:color="auto" w:fill="FFFFFF"/>
        </w:rPr>
        <w:t>lda</w:t>
      </w:r>
      <w:r w:rsidRPr="00C75259">
        <w:rPr>
          <w:shd w:val="clear" w:color="auto" w:fill="FFFFFF"/>
        </w:rPr>
        <w:t xml:space="preserve"> </w:t>
      </w:r>
      <w:r w:rsidR="00E92CAC">
        <w:rPr>
          <w:shd w:val="clear" w:color="auto" w:fill="FFFFFF"/>
        </w:rPr>
        <w:t>tiesību normās</w:t>
      </w:r>
      <w:r w:rsidRPr="00C75259">
        <w:rPr>
          <w:shd w:val="clear" w:color="auto" w:fill="FFFFFF"/>
        </w:rPr>
        <w:t xml:space="preserve"> noteiktos pienākumu</w:t>
      </w:r>
      <w:r w:rsidR="00176278">
        <w:rPr>
          <w:shd w:val="clear" w:color="auto" w:fill="FFFFFF"/>
        </w:rPr>
        <w:t>s</w:t>
      </w:r>
      <w:r w:rsidRPr="00C75259">
        <w:rPr>
          <w:shd w:val="clear" w:color="auto" w:fill="FFFFFF"/>
        </w:rPr>
        <w:t xml:space="preserve"> un amata darbībā zvērināti tiesu izpildītāji ir pielīdzināti valsts amatpersonām</w:t>
      </w:r>
      <w:r>
        <w:rPr>
          <w:shd w:val="clear" w:color="auto" w:fill="FFFFFF"/>
        </w:rPr>
        <w:t>, tiesu izpildītājam ar vislielāko rūpību jāattiecas pret saviem amata pienākumiem. Tāpēc Augstākās tiesas ieskatā</w:t>
      </w:r>
      <w:r w:rsidR="00D91BA5">
        <w:rPr>
          <w:shd w:val="clear" w:color="auto" w:fill="FFFFFF"/>
        </w:rPr>
        <w:t>,</w:t>
      </w:r>
      <w:r>
        <w:rPr>
          <w:shd w:val="clear" w:color="auto" w:fill="FFFFFF"/>
        </w:rPr>
        <w:t xml:space="preserve"> nepastāvot regulējumam, </w:t>
      </w:r>
      <w:r>
        <w:t xml:space="preserve">kā veicama iecirkņa pārņemšana, </w:t>
      </w:r>
      <w:r w:rsidR="008A437E">
        <w:t>ir tikai saprātīgi, ka tiesu izpildītājs uzreiz pie iecirkņa pārņemšanas pārbauda tam nododamās lietas un depozīta konta stāvokli un tos salīdzina, lai konstatētu, vai izpildu lietās piedz</w:t>
      </w:r>
      <w:r w:rsidR="00A7596B">
        <w:t>enamās summas</w:t>
      </w:r>
      <w:proofErr w:type="gramStart"/>
      <w:r w:rsidR="00A7596B">
        <w:t xml:space="preserve"> sakrīt ar depozīta</w:t>
      </w:r>
      <w:r w:rsidR="008A437E">
        <w:t xml:space="preserve"> kontā esošajiem naudas līdzekļiem</w:t>
      </w:r>
      <w:proofErr w:type="gramEnd"/>
      <w:r w:rsidR="008A437E">
        <w:t xml:space="preserve">. Tā nav </w:t>
      </w:r>
      <w:r w:rsidR="00EA495C">
        <w:t xml:space="preserve">atzīstama par </w:t>
      </w:r>
      <w:r w:rsidR="008A437E">
        <w:t>pārmērīga prasīb</w:t>
      </w:r>
      <w:r w:rsidR="00EA495C">
        <w:t>u</w:t>
      </w:r>
      <w:r w:rsidR="008A437E">
        <w:t xml:space="preserve"> valsts amatpersona</w:t>
      </w:r>
      <w:r w:rsidR="00E92CAC">
        <w:t>i</w:t>
      </w:r>
      <w:r w:rsidR="008059C2">
        <w:t>, lai nodrošinātu trešo personu tiesību un interešu ievērošanu.</w:t>
      </w:r>
    </w:p>
    <w:p w14:paraId="134207FB" w14:textId="06D75482" w:rsidR="00983EB0" w:rsidRDefault="00983EB0" w:rsidP="00983EB0">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Ievērojot minēto, metodiskā materiāla neesība, nevar attaisnot pieteicējas rīcību, pārņemot iecirkni </w:t>
      </w:r>
      <w:r w:rsidR="00062B1F">
        <w:rPr>
          <w:rFonts w:ascii="TimesNewRomanPSMT" w:eastAsiaTheme="minorHAnsi" w:hAnsi="TimesNewRomanPSMT" w:cs="TimesNewRomanPSMT"/>
          <w:lang w:eastAsia="en-US"/>
        </w:rPr>
        <w:t xml:space="preserve">uzreiz </w:t>
      </w:r>
      <w:r>
        <w:rPr>
          <w:rFonts w:ascii="TimesNewRomanPSMT" w:eastAsiaTheme="minorHAnsi" w:hAnsi="TimesNewRomanPSMT" w:cs="TimesNewRomanPSMT"/>
          <w:lang w:eastAsia="en-US"/>
        </w:rPr>
        <w:t>neveikt pārbaudes, kuras faktiski dabiski ir nepieciešamas un</w:t>
      </w:r>
      <w:r w:rsidR="001023C1">
        <w:rPr>
          <w:rFonts w:ascii="TimesNewRomanPSMT" w:eastAsiaTheme="minorHAnsi" w:hAnsi="TimesNewRomanPSMT" w:cs="TimesNewRomanPSMT"/>
          <w:lang w:eastAsia="en-US"/>
        </w:rPr>
        <w:t>,</w:t>
      </w:r>
      <w:r>
        <w:rPr>
          <w:rFonts w:ascii="TimesNewRomanPSMT" w:eastAsiaTheme="minorHAnsi" w:hAnsi="TimesNewRomanPSMT" w:cs="TimesNewRomanPSMT"/>
          <w:lang w:eastAsia="en-US"/>
        </w:rPr>
        <w:t xml:space="preserve"> ja tās nav iespējams veikt, par to ziņot, lai vēlāk netiktu aizskartas citu personu tiesības. </w:t>
      </w:r>
    </w:p>
    <w:p w14:paraId="4B2BA9F9" w14:textId="17284F81" w:rsidR="005712A7" w:rsidRDefault="005712A7" w:rsidP="005712A7">
      <w:pPr>
        <w:spacing w:line="276" w:lineRule="auto"/>
        <w:ind w:firstLine="567"/>
        <w:jc w:val="both"/>
      </w:pPr>
      <w:r>
        <w:t>[</w:t>
      </w:r>
      <w:r w:rsidR="00A970DC">
        <w:t>9</w:t>
      </w:r>
      <w:r>
        <w:t xml:space="preserve">] Pieteicēja kasācijas sūdzībā nepamatoti uzskata, ka ierosināts kriminālprocess par iespējamām prettiesiskām </w:t>
      </w:r>
      <w:r w:rsidR="005A1000">
        <w:t>iepriekšējo tiesu izpild</w:t>
      </w:r>
      <w:r w:rsidR="00621D97">
        <w:t>ī</w:t>
      </w:r>
      <w:r w:rsidR="005A1000">
        <w:t xml:space="preserve">tāju </w:t>
      </w:r>
      <w:r>
        <w:t>darbībām ar naudas līdzekļiem</w:t>
      </w:r>
      <w:proofErr w:type="gramStart"/>
      <w:r>
        <w:t xml:space="preserve"> līdz pieteicēja pārņēma iecirkni</w:t>
      </w:r>
      <w:proofErr w:type="gramEnd"/>
      <w:r>
        <w:t xml:space="preserve"> ietekmē pieteicējas disciplināro atbildību.</w:t>
      </w:r>
    </w:p>
    <w:p w14:paraId="46358CCF" w14:textId="07DD7479" w:rsidR="005712A7" w:rsidRDefault="005712A7" w:rsidP="005712A7">
      <w:pPr>
        <w:spacing w:line="276" w:lineRule="auto"/>
        <w:ind w:firstLine="567"/>
        <w:jc w:val="both"/>
      </w:pPr>
      <w:r w:rsidRPr="00456F73">
        <w:t xml:space="preserve">Atbilstoši Tiesu izpildītāju likuma </w:t>
      </w:r>
      <w:proofErr w:type="gramStart"/>
      <w:r w:rsidRPr="00456F73">
        <w:t>15.pantam</w:t>
      </w:r>
      <w:proofErr w:type="gramEnd"/>
      <w:r w:rsidRPr="00456F73">
        <w:t xml:space="preserve"> z</w:t>
      </w:r>
      <w:r w:rsidRPr="00456F73">
        <w:rPr>
          <w:shd w:val="clear" w:color="auto" w:fill="FFFFFF"/>
        </w:rPr>
        <w:t xml:space="preserve">vērināti tiesu izpildītāji šajā likumā noteiktajā kārtībā par savu darbību ir disciplināri, civiltiesiski un krimināltiesiski atbildīgi. Tādējādi neatkarīgi no krimināltiesiskās atbildības, pastāv arī </w:t>
      </w:r>
      <w:r>
        <w:rPr>
          <w:shd w:val="clear" w:color="auto" w:fill="FFFFFF"/>
        </w:rPr>
        <w:t xml:space="preserve">pārējie atbildības veidi, tostarp </w:t>
      </w:r>
      <w:r w:rsidRPr="00456F73">
        <w:rPr>
          <w:shd w:val="clear" w:color="auto" w:fill="FFFFFF"/>
        </w:rPr>
        <w:t xml:space="preserve">disciplinārā atbildība. </w:t>
      </w:r>
      <w:r>
        <w:rPr>
          <w:shd w:val="clear" w:color="auto" w:fill="FFFFFF"/>
        </w:rPr>
        <w:t>Tas nozīmē, ka, j</w:t>
      </w:r>
      <w:r w:rsidRPr="00456F73">
        <w:t xml:space="preserve">a arī </w:t>
      </w:r>
      <w:r>
        <w:t>ir</w:t>
      </w:r>
      <w:r w:rsidRPr="00456F73">
        <w:t xml:space="preserve"> </w:t>
      </w:r>
      <w:r>
        <w:t>ierosināt</w:t>
      </w:r>
      <w:r w:rsidRPr="00456F73">
        <w:t>s kriminālprocess un</w:t>
      </w:r>
      <w:proofErr w:type="gramStart"/>
      <w:r w:rsidRPr="00456F73">
        <w:t xml:space="preserve"> iespējams</w:t>
      </w:r>
      <w:proofErr w:type="gramEnd"/>
      <w:r w:rsidRPr="00456F73">
        <w:t xml:space="preserve"> tiks atzīta </w:t>
      </w:r>
      <w:r>
        <w:t>iepriekšējo tiesu izpildītāj</w:t>
      </w:r>
      <w:r w:rsidRPr="00456F73">
        <w:t>u prettiesiska rīcība ar līdzekļiem, tomēr, tā kā laikā, kad iecirknī ar prasību izmaksāt naudas līdzekļus vērsās sabiedrība, iecirkni vadīja pieteicēja un tieši pieteicēja atteicās izmaksāt sabiedrī</w:t>
      </w:r>
      <w:r w:rsidR="00B54A9F">
        <w:t>bai pienākošos naudas līdzekļus,</w:t>
      </w:r>
      <w:r w:rsidRPr="00456F73">
        <w:t xml:space="preserve"> </w:t>
      </w:r>
      <w:r w:rsidR="00B54A9F">
        <w:t>p</w:t>
      </w:r>
      <w:r w:rsidRPr="00456F73">
        <w:t xml:space="preserve">ieteicējai kā valsts amatpersona un tiesu varai piederīgai personai ir atbildība par tās lietvedībā esošo lietu izpildi. </w:t>
      </w:r>
      <w:r>
        <w:t>Līdz ar to neatkarīgi no fakta, ka ir ierosināta krimināllieta par iepriekšējo tiesu izpildītāju rīcību, pieteicējai ir amata atbildība par tās rīcībā nodotajām lietām un kontu.</w:t>
      </w:r>
    </w:p>
    <w:p w14:paraId="30576DD5" w14:textId="77777777" w:rsidR="005712A7" w:rsidRDefault="005712A7" w:rsidP="005712A7">
      <w:pPr>
        <w:spacing w:line="276" w:lineRule="auto"/>
        <w:ind w:firstLine="567"/>
        <w:jc w:val="both"/>
      </w:pPr>
    </w:p>
    <w:p w14:paraId="353038ED" w14:textId="77777777" w:rsidR="00474E46" w:rsidRPr="00206A3F" w:rsidRDefault="00474E46" w:rsidP="00474E46">
      <w:pPr>
        <w:pStyle w:val="NoSpacing"/>
        <w:jc w:val="center"/>
        <w:rPr>
          <w:b/>
        </w:rPr>
      </w:pPr>
      <w:r w:rsidRPr="00206A3F">
        <w:rPr>
          <w:b/>
        </w:rPr>
        <w:t>Rezolutīvā daļa</w:t>
      </w:r>
    </w:p>
    <w:p w14:paraId="1604A60E" w14:textId="77777777" w:rsidR="00474E46" w:rsidRPr="00206A3F" w:rsidRDefault="00474E46" w:rsidP="00474E46">
      <w:pPr>
        <w:pStyle w:val="NoSpacing"/>
        <w:ind w:firstLine="567"/>
      </w:pPr>
    </w:p>
    <w:p w14:paraId="4B632547" w14:textId="77777777" w:rsidR="00474E46" w:rsidRPr="00206A3F" w:rsidRDefault="00474E46" w:rsidP="00474E46">
      <w:pPr>
        <w:pStyle w:val="NoSpacing"/>
        <w:ind w:firstLine="567"/>
        <w:jc w:val="both"/>
      </w:pPr>
      <w:r w:rsidRPr="00206A3F">
        <w:t>Pamatojoties uz Administratīvā procesa likuma 348.panta pirmās daļas 1.punktu un 351.pantu, Augstākā tiesa</w:t>
      </w:r>
    </w:p>
    <w:p w14:paraId="3599E57E" w14:textId="77777777" w:rsidR="00474E46" w:rsidRPr="00206A3F" w:rsidRDefault="00474E46" w:rsidP="00474E46">
      <w:pPr>
        <w:pStyle w:val="NoSpacing"/>
        <w:ind w:firstLine="567"/>
      </w:pPr>
    </w:p>
    <w:p w14:paraId="6C05DE4C" w14:textId="77777777" w:rsidR="00474E46" w:rsidRPr="00206A3F" w:rsidRDefault="00474E46" w:rsidP="00474E46">
      <w:pPr>
        <w:pStyle w:val="NoSpacing"/>
        <w:jc w:val="center"/>
        <w:rPr>
          <w:b/>
        </w:rPr>
      </w:pPr>
      <w:r w:rsidRPr="00206A3F">
        <w:rPr>
          <w:b/>
        </w:rPr>
        <w:t>nosprieda</w:t>
      </w:r>
    </w:p>
    <w:p w14:paraId="382E0D69" w14:textId="77777777" w:rsidR="00474E46" w:rsidRPr="00206A3F" w:rsidRDefault="00474E46" w:rsidP="00474E46">
      <w:pPr>
        <w:pStyle w:val="NoSpacing"/>
        <w:spacing w:line="276" w:lineRule="auto"/>
        <w:ind w:firstLine="567"/>
        <w:jc w:val="both"/>
      </w:pPr>
    </w:p>
    <w:p w14:paraId="59C53C1A" w14:textId="3E71EC6F" w:rsidR="00474E46" w:rsidRPr="00206A3F" w:rsidRDefault="00474E46" w:rsidP="00474E46">
      <w:pPr>
        <w:pStyle w:val="NoSpacing"/>
        <w:spacing w:line="276" w:lineRule="auto"/>
        <w:ind w:firstLine="567"/>
        <w:jc w:val="both"/>
      </w:pPr>
      <w:r w:rsidRPr="00206A3F">
        <w:rPr>
          <w:rFonts w:eastAsiaTheme="minorEastAsia"/>
        </w:rPr>
        <w:t>Atstāt negrozītu</w:t>
      </w:r>
      <w:r w:rsidRPr="00206A3F">
        <w:t xml:space="preserve"> Administratīvās apgabaltiesas </w:t>
      </w:r>
      <w:proofErr w:type="gramStart"/>
      <w:r w:rsidR="001B1966" w:rsidRPr="001D1C82">
        <w:t>201</w:t>
      </w:r>
      <w:r w:rsidR="001B1966">
        <w:t>6</w:t>
      </w:r>
      <w:r w:rsidR="001B1966" w:rsidRPr="001D1C82">
        <w:t>.gada</w:t>
      </w:r>
      <w:proofErr w:type="gramEnd"/>
      <w:r w:rsidR="001B1966" w:rsidRPr="001D1C82">
        <w:t xml:space="preserve"> </w:t>
      </w:r>
      <w:r w:rsidR="001B1966">
        <w:t>19</w:t>
      </w:r>
      <w:r w:rsidR="001B1966" w:rsidRPr="001D1C82">
        <w:t>.</w:t>
      </w:r>
      <w:r w:rsidR="001B1966">
        <w:t>decemb</w:t>
      </w:r>
      <w:r w:rsidR="001B1966" w:rsidRPr="001D1C82">
        <w:t xml:space="preserve">ra </w:t>
      </w:r>
      <w:r w:rsidRPr="00206A3F">
        <w:t xml:space="preserve">spriedumu, bet </w:t>
      </w:r>
      <w:r w:rsidR="001E1BFF">
        <w:t xml:space="preserve">[pers. A] </w:t>
      </w:r>
      <w:r w:rsidRPr="00206A3F">
        <w:t>kasācijas sūdzību noraidīt.</w:t>
      </w:r>
    </w:p>
    <w:p w14:paraId="7E9F8BCE" w14:textId="77777777" w:rsidR="00474E46" w:rsidRPr="00206A3F" w:rsidRDefault="00474E46" w:rsidP="00474E46">
      <w:pPr>
        <w:pStyle w:val="NoSpacing"/>
        <w:spacing w:line="276" w:lineRule="auto"/>
        <w:ind w:firstLine="567"/>
        <w:jc w:val="both"/>
      </w:pPr>
      <w:r w:rsidRPr="00206A3F">
        <w:t>Spriedums nav pārsūdzams.</w:t>
      </w:r>
    </w:p>
    <w:p w14:paraId="49C36049" w14:textId="77777777" w:rsidR="00474E46" w:rsidRDefault="00474E46" w:rsidP="00474E46">
      <w:pPr>
        <w:pStyle w:val="NoSpacing"/>
        <w:spacing w:line="276" w:lineRule="auto"/>
        <w:ind w:firstLine="567"/>
        <w:jc w:val="both"/>
      </w:pPr>
    </w:p>
    <w:p w14:paraId="53588F11" w14:textId="77777777" w:rsidR="00F75A0C" w:rsidRPr="000C3E0A" w:rsidRDefault="00F75A0C" w:rsidP="00F75A0C">
      <w:pPr>
        <w:tabs>
          <w:tab w:val="left" w:pos="2700"/>
          <w:tab w:val="left" w:pos="4500"/>
          <w:tab w:val="left" w:pos="6660"/>
        </w:tabs>
        <w:spacing w:line="276" w:lineRule="auto"/>
        <w:ind w:firstLine="567"/>
        <w:rPr>
          <w:b/>
        </w:rPr>
      </w:pPr>
      <w:r w:rsidRPr="000C3E0A">
        <w:rPr>
          <w:b/>
        </w:rPr>
        <w:t>Tiesību aktu un nolēmumu rādītājs</w:t>
      </w:r>
    </w:p>
    <w:p w14:paraId="17E08C7F" w14:textId="77777777" w:rsidR="00BB2C6E" w:rsidRDefault="00BB2C6E" w:rsidP="00F75A0C">
      <w:pPr>
        <w:tabs>
          <w:tab w:val="left" w:pos="2880"/>
          <w:tab w:val="left" w:pos="4680"/>
          <w:tab w:val="left" w:pos="7797"/>
        </w:tabs>
        <w:spacing w:line="276" w:lineRule="auto"/>
        <w:jc w:val="both"/>
      </w:pPr>
      <w:r>
        <w:t>Tiesu izpildītāju likums</w:t>
      </w:r>
    </w:p>
    <w:p w14:paraId="369AE62C" w14:textId="27164E5B" w:rsidR="00284538" w:rsidRDefault="00284538" w:rsidP="00F75A0C">
      <w:pPr>
        <w:tabs>
          <w:tab w:val="left" w:pos="2880"/>
          <w:tab w:val="left" w:pos="4680"/>
          <w:tab w:val="left" w:pos="7797"/>
        </w:tabs>
        <w:spacing w:line="276" w:lineRule="auto"/>
        <w:jc w:val="both"/>
      </w:pPr>
      <w:proofErr w:type="gramStart"/>
      <w:r>
        <w:t>4.pants</w:t>
      </w:r>
      <w:proofErr w:type="gramEnd"/>
    </w:p>
    <w:p w14:paraId="6F7CF029" w14:textId="1DC8BD78" w:rsidR="00284538" w:rsidRDefault="00284538" w:rsidP="00F75A0C">
      <w:pPr>
        <w:tabs>
          <w:tab w:val="left" w:pos="2880"/>
          <w:tab w:val="left" w:pos="4680"/>
          <w:tab w:val="left" w:pos="7797"/>
        </w:tabs>
        <w:spacing w:line="276" w:lineRule="auto"/>
        <w:jc w:val="both"/>
      </w:pPr>
      <w:proofErr w:type="gramStart"/>
      <w:r>
        <w:t>5.pants</w:t>
      </w:r>
      <w:proofErr w:type="gramEnd"/>
    </w:p>
    <w:p w14:paraId="25D7F68E" w14:textId="34DCF535" w:rsidR="00BB2C6E" w:rsidRDefault="00BB2C6E" w:rsidP="00F75A0C">
      <w:pPr>
        <w:tabs>
          <w:tab w:val="left" w:pos="2880"/>
          <w:tab w:val="left" w:pos="4680"/>
          <w:tab w:val="left" w:pos="7797"/>
        </w:tabs>
        <w:spacing w:line="276" w:lineRule="auto"/>
        <w:jc w:val="both"/>
      </w:pPr>
      <w:proofErr w:type="gramStart"/>
      <w:r>
        <w:t>15.pants</w:t>
      </w:r>
      <w:proofErr w:type="gramEnd"/>
    </w:p>
    <w:p w14:paraId="18CA6DFC" w14:textId="28EA1100" w:rsidR="00284538" w:rsidRDefault="00284538" w:rsidP="00F75A0C">
      <w:pPr>
        <w:tabs>
          <w:tab w:val="left" w:pos="2880"/>
          <w:tab w:val="left" w:pos="4680"/>
          <w:tab w:val="left" w:pos="7797"/>
        </w:tabs>
        <w:spacing w:line="276" w:lineRule="auto"/>
        <w:jc w:val="both"/>
      </w:pPr>
      <w:proofErr w:type="gramStart"/>
      <w:r>
        <w:t>32.pants</w:t>
      </w:r>
      <w:proofErr w:type="gramEnd"/>
    </w:p>
    <w:p w14:paraId="333096BE" w14:textId="20F2AC58" w:rsidR="00284538" w:rsidRDefault="00284538" w:rsidP="00F75A0C">
      <w:pPr>
        <w:tabs>
          <w:tab w:val="left" w:pos="2880"/>
          <w:tab w:val="left" w:pos="4680"/>
          <w:tab w:val="left" w:pos="7797"/>
        </w:tabs>
        <w:spacing w:line="276" w:lineRule="auto"/>
        <w:jc w:val="both"/>
      </w:pPr>
      <w:proofErr w:type="gramStart"/>
      <w:r>
        <w:t>45.pants</w:t>
      </w:r>
      <w:proofErr w:type="gramEnd"/>
    </w:p>
    <w:p w14:paraId="691A668C" w14:textId="1C4C8DDF" w:rsidR="00BB2C6E" w:rsidRDefault="00492C68" w:rsidP="00F75A0C">
      <w:pPr>
        <w:tabs>
          <w:tab w:val="left" w:pos="2880"/>
          <w:tab w:val="left" w:pos="4680"/>
          <w:tab w:val="left" w:pos="7797"/>
        </w:tabs>
        <w:spacing w:line="276" w:lineRule="auto"/>
        <w:jc w:val="both"/>
      </w:pPr>
      <w:proofErr w:type="gramStart"/>
      <w:r>
        <w:t>57.panta</w:t>
      </w:r>
      <w:proofErr w:type="gramEnd"/>
      <w:r>
        <w:t xml:space="preserve"> pirmā daļa</w:t>
      </w:r>
    </w:p>
    <w:p w14:paraId="392802A5" w14:textId="4EFA44A3" w:rsidR="00777CF9" w:rsidRDefault="00777CF9" w:rsidP="00F75A0C">
      <w:pPr>
        <w:tabs>
          <w:tab w:val="left" w:pos="2880"/>
          <w:tab w:val="left" w:pos="4680"/>
          <w:tab w:val="left" w:pos="7797"/>
        </w:tabs>
        <w:spacing w:line="276" w:lineRule="auto"/>
        <w:jc w:val="both"/>
      </w:pPr>
      <w:proofErr w:type="gramStart"/>
      <w:r>
        <w:lastRenderedPageBreak/>
        <w:t>58.pants</w:t>
      </w:r>
      <w:proofErr w:type="gramEnd"/>
    </w:p>
    <w:p w14:paraId="3967775E" w14:textId="77777777" w:rsidR="00AE4DE9" w:rsidRDefault="00AE4DE9" w:rsidP="00F75A0C">
      <w:pPr>
        <w:tabs>
          <w:tab w:val="left" w:pos="2880"/>
          <w:tab w:val="left" w:pos="4680"/>
          <w:tab w:val="left" w:pos="7797"/>
        </w:tabs>
        <w:spacing w:line="276" w:lineRule="auto"/>
        <w:jc w:val="both"/>
      </w:pPr>
    </w:p>
    <w:p w14:paraId="0392716F" w14:textId="7D6F2C5F" w:rsidR="00492C68" w:rsidRDefault="00492C68" w:rsidP="00F75A0C">
      <w:pPr>
        <w:tabs>
          <w:tab w:val="left" w:pos="2880"/>
          <w:tab w:val="left" w:pos="4680"/>
          <w:tab w:val="left" w:pos="7797"/>
        </w:tabs>
        <w:spacing w:line="276" w:lineRule="auto"/>
        <w:jc w:val="both"/>
      </w:pPr>
      <w:r w:rsidRPr="00492C68">
        <w:t xml:space="preserve">Augstākās tiesas </w:t>
      </w:r>
      <w:proofErr w:type="gramStart"/>
      <w:r w:rsidRPr="00492C68">
        <w:t>2010.gad</w:t>
      </w:r>
      <w:r>
        <w:t>a</w:t>
      </w:r>
      <w:proofErr w:type="gramEnd"/>
      <w:r>
        <w:t xml:space="preserve"> 22.jūlija rīcības sēdes lēmums lietā Nr. SKA-443/2010 (A42395507)</w:t>
      </w:r>
    </w:p>
    <w:p w14:paraId="7DAFFA76" w14:textId="0D24D047" w:rsidR="00492C68" w:rsidRDefault="00492C68" w:rsidP="00F75A0C">
      <w:pPr>
        <w:tabs>
          <w:tab w:val="left" w:pos="2880"/>
          <w:tab w:val="left" w:pos="4680"/>
          <w:tab w:val="left" w:pos="7797"/>
        </w:tabs>
        <w:spacing w:line="276" w:lineRule="auto"/>
        <w:jc w:val="both"/>
      </w:pPr>
      <w:r w:rsidRPr="00492C68">
        <w:t>Augstākās tiesa</w:t>
      </w:r>
      <w:r>
        <w:t xml:space="preserve">s </w:t>
      </w:r>
      <w:proofErr w:type="gramStart"/>
      <w:r>
        <w:t>2015.gada</w:t>
      </w:r>
      <w:proofErr w:type="gramEnd"/>
      <w:r>
        <w:t xml:space="preserve"> 28.oktobra spriedums</w:t>
      </w:r>
      <w:r w:rsidRPr="00492C68">
        <w:t xml:space="preserve"> lietā Nr. SKA-1031/2015 (A420315314) </w:t>
      </w:r>
    </w:p>
    <w:p w14:paraId="3B0D046A" w14:textId="77777777" w:rsidR="00492C68" w:rsidRDefault="00492C68" w:rsidP="00F75A0C">
      <w:pPr>
        <w:tabs>
          <w:tab w:val="left" w:pos="2880"/>
          <w:tab w:val="left" w:pos="4680"/>
          <w:tab w:val="left" w:pos="7797"/>
        </w:tabs>
        <w:spacing w:line="276" w:lineRule="auto"/>
        <w:jc w:val="both"/>
      </w:pPr>
    </w:p>
    <w:sectPr w:rsidR="00492C68" w:rsidSect="00A6596A">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CB4AD" w14:textId="77777777" w:rsidR="0035137A" w:rsidRDefault="0035137A">
      <w:r>
        <w:separator/>
      </w:r>
    </w:p>
  </w:endnote>
  <w:endnote w:type="continuationSeparator" w:id="0">
    <w:p w14:paraId="58A9C795" w14:textId="77777777" w:rsidR="0035137A" w:rsidRDefault="0035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133AD" w14:textId="77777777" w:rsidR="00F43FAD" w:rsidRDefault="00B306C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27FB2">
      <w:rPr>
        <w:rStyle w:val="PageNumber"/>
        <w:noProof/>
      </w:rPr>
      <w:t>9</w:t>
    </w:r>
    <w:r w:rsidRPr="009F0E55">
      <w:rPr>
        <w:rStyle w:val="PageNumber"/>
      </w:rPr>
      <w:fldChar w:fldCharType="end"/>
    </w:r>
    <w:r w:rsidRPr="009F0E55">
      <w:rPr>
        <w:rStyle w:val="PageNumber"/>
      </w:rPr>
      <w:t xml:space="preserve">. lapa no </w:t>
    </w:r>
    <w:fldSimple w:instr=" SECTIONPAGES   \* MERGEFORMAT ">
      <w:r w:rsidR="00127FB2" w:rsidRPr="00127FB2">
        <w:rPr>
          <w:rStyle w:val="PageNumber"/>
          <w:noProof/>
        </w:rPr>
        <w:t>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ECCA7" w14:textId="77777777" w:rsidR="0035137A" w:rsidRDefault="0035137A">
      <w:r>
        <w:separator/>
      </w:r>
    </w:p>
  </w:footnote>
  <w:footnote w:type="continuationSeparator" w:id="0">
    <w:p w14:paraId="7974E580" w14:textId="77777777" w:rsidR="0035137A" w:rsidRDefault="00351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61"/>
    <w:rsid w:val="00002899"/>
    <w:rsid w:val="00005D0B"/>
    <w:rsid w:val="00007D1F"/>
    <w:rsid w:val="000128E3"/>
    <w:rsid w:val="000331CB"/>
    <w:rsid w:val="00034B20"/>
    <w:rsid w:val="00036139"/>
    <w:rsid w:val="000362AF"/>
    <w:rsid w:val="00050188"/>
    <w:rsid w:val="00054989"/>
    <w:rsid w:val="00060944"/>
    <w:rsid w:val="00060C2A"/>
    <w:rsid w:val="00062B1F"/>
    <w:rsid w:val="00070FD9"/>
    <w:rsid w:val="00071DE9"/>
    <w:rsid w:val="00080E1D"/>
    <w:rsid w:val="0008226E"/>
    <w:rsid w:val="00085F12"/>
    <w:rsid w:val="00093068"/>
    <w:rsid w:val="000A0EA4"/>
    <w:rsid w:val="000A2F8E"/>
    <w:rsid w:val="000A758C"/>
    <w:rsid w:val="000D2294"/>
    <w:rsid w:val="000D4D6B"/>
    <w:rsid w:val="000E6503"/>
    <w:rsid w:val="000E66BC"/>
    <w:rsid w:val="000F0DCC"/>
    <w:rsid w:val="000F5711"/>
    <w:rsid w:val="001023C1"/>
    <w:rsid w:val="0010692A"/>
    <w:rsid w:val="0011046D"/>
    <w:rsid w:val="00112B24"/>
    <w:rsid w:val="0012096A"/>
    <w:rsid w:val="00127BFD"/>
    <w:rsid w:val="00127FB2"/>
    <w:rsid w:val="00136D6A"/>
    <w:rsid w:val="00141E86"/>
    <w:rsid w:val="00142036"/>
    <w:rsid w:val="00143E28"/>
    <w:rsid w:val="0014500B"/>
    <w:rsid w:val="00146413"/>
    <w:rsid w:val="00160B7B"/>
    <w:rsid w:val="001631D3"/>
    <w:rsid w:val="00167D4B"/>
    <w:rsid w:val="0017054D"/>
    <w:rsid w:val="00176278"/>
    <w:rsid w:val="00180533"/>
    <w:rsid w:val="001854DE"/>
    <w:rsid w:val="001A169C"/>
    <w:rsid w:val="001A5F93"/>
    <w:rsid w:val="001A7C41"/>
    <w:rsid w:val="001B1966"/>
    <w:rsid w:val="001B5C20"/>
    <w:rsid w:val="001C0499"/>
    <w:rsid w:val="001C2084"/>
    <w:rsid w:val="001E00C6"/>
    <w:rsid w:val="001E0FEC"/>
    <w:rsid w:val="001E1BFF"/>
    <w:rsid w:val="001F57BA"/>
    <w:rsid w:val="00203969"/>
    <w:rsid w:val="00205B92"/>
    <w:rsid w:val="00211460"/>
    <w:rsid w:val="00212D71"/>
    <w:rsid w:val="00212F2F"/>
    <w:rsid w:val="00213D07"/>
    <w:rsid w:val="00226873"/>
    <w:rsid w:val="00235C16"/>
    <w:rsid w:val="00241427"/>
    <w:rsid w:val="002510B9"/>
    <w:rsid w:val="002528EA"/>
    <w:rsid w:val="0025504E"/>
    <w:rsid w:val="002748D5"/>
    <w:rsid w:val="00277C46"/>
    <w:rsid w:val="002818FC"/>
    <w:rsid w:val="00284538"/>
    <w:rsid w:val="002978B6"/>
    <w:rsid w:val="002A396F"/>
    <w:rsid w:val="002B34AE"/>
    <w:rsid w:val="002B6953"/>
    <w:rsid w:val="002D0BB5"/>
    <w:rsid w:val="002E5FA5"/>
    <w:rsid w:val="002F0069"/>
    <w:rsid w:val="003249E8"/>
    <w:rsid w:val="00336936"/>
    <w:rsid w:val="00342085"/>
    <w:rsid w:val="00342A10"/>
    <w:rsid w:val="00347A5C"/>
    <w:rsid w:val="0035137A"/>
    <w:rsid w:val="00352AA4"/>
    <w:rsid w:val="00353D7C"/>
    <w:rsid w:val="00357480"/>
    <w:rsid w:val="00361C0B"/>
    <w:rsid w:val="00366F94"/>
    <w:rsid w:val="0037021A"/>
    <w:rsid w:val="00382DC1"/>
    <w:rsid w:val="00391FF2"/>
    <w:rsid w:val="003933B3"/>
    <w:rsid w:val="00395C49"/>
    <w:rsid w:val="0039689E"/>
    <w:rsid w:val="003A305E"/>
    <w:rsid w:val="003B0C8D"/>
    <w:rsid w:val="003C1F34"/>
    <w:rsid w:val="003D0530"/>
    <w:rsid w:val="003D2557"/>
    <w:rsid w:val="003D5EE4"/>
    <w:rsid w:val="003E1F9C"/>
    <w:rsid w:val="003E751C"/>
    <w:rsid w:val="003F1FBB"/>
    <w:rsid w:val="003F3185"/>
    <w:rsid w:val="00405F76"/>
    <w:rsid w:val="004103A0"/>
    <w:rsid w:val="00411385"/>
    <w:rsid w:val="00416103"/>
    <w:rsid w:val="0041639E"/>
    <w:rsid w:val="0042161D"/>
    <w:rsid w:val="00426ACD"/>
    <w:rsid w:val="00432061"/>
    <w:rsid w:val="00440963"/>
    <w:rsid w:val="00440DA9"/>
    <w:rsid w:val="004463E6"/>
    <w:rsid w:val="00447A78"/>
    <w:rsid w:val="00452197"/>
    <w:rsid w:val="00456F73"/>
    <w:rsid w:val="0046792B"/>
    <w:rsid w:val="00471073"/>
    <w:rsid w:val="00474E46"/>
    <w:rsid w:val="00475253"/>
    <w:rsid w:val="00487AFF"/>
    <w:rsid w:val="00492C68"/>
    <w:rsid w:val="00493114"/>
    <w:rsid w:val="00495719"/>
    <w:rsid w:val="00496D57"/>
    <w:rsid w:val="004A151A"/>
    <w:rsid w:val="004A1D76"/>
    <w:rsid w:val="004C0C46"/>
    <w:rsid w:val="004C1E83"/>
    <w:rsid w:val="004D00C9"/>
    <w:rsid w:val="004D29FD"/>
    <w:rsid w:val="004D379C"/>
    <w:rsid w:val="004D6094"/>
    <w:rsid w:val="004E491C"/>
    <w:rsid w:val="004F01CF"/>
    <w:rsid w:val="00501085"/>
    <w:rsid w:val="00501255"/>
    <w:rsid w:val="00502209"/>
    <w:rsid w:val="00504277"/>
    <w:rsid w:val="0050659C"/>
    <w:rsid w:val="0051742A"/>
    <w:rsid w:val="00523B56"/>
    <w:rsid w:val="0053144D"/>
    <w:rsid w:val="00534FCB"/>
    <w:rsid w:val="00551FFE"/>
    <w:rsid w:val="0055284A"/>
    <w:rsid w:val="00564020"/>
    <w:rsid w:val="005712A7"/>
    <w:rsid w:val="00574A93"/>
    <w:rsid w:val="00583064"/>
    <w:rsid w:val="005941BD"/>
    <w:rsid w:val="005A1000"/>
    <w:rsid w:val="005A136E"/>
    <w:rsid w:val="005A542A"/>
    <w:rsid w:val="005B63D5"/>
    <w:rsid w:val="005C107D"/>
    <w:rsid w:val="005C1178"/>
    <w:rsid w:val="005C3D7B"/>
    <w:rsid w:val="005D05C3"/>
    <w:rsid w:val="005D1805"/>
    <w:rsid w:val="005D31C5"/>
    <w:rsid w:val="005D73F4"/>
    <w:rsid w:val="005D7BC7"/>
    <w:rsid w:val="005E4647"/>
    <w:rsid w:val="005E7AAA"/>
    <w:rsid w:val="005F2286"/>
    <w:rsid w:val="005F3EB9"/>
    <w:rsid w:val="006131FD"/>
    <w:rsid w:val="00621D97"/>
    <w:rsid w:val="006238E2"/>
    <w:rsid w:val="00642695"/>
    <w:rsid w:val="00651074"/>
    <w:rsid w:val="006540B4"/>
    <w:rsid w:val="00657761"/>
    <w:rsid w:val="00657BE8"/>
    <w:rsid w:val="00661259"/>
    <w:rsid w:val="00663134"/>
    <w:rsid w:val="0066543C"/>
    <w:rsid w:val="006669FA"/>
    <w:rsid w:val="00667981"/>
    <w:rsid w:val="00675D06"/>
    <w:rsid w:val="006840D2"/>
    <w:rsid w:val="00686D3F"/>
    <w:rsid w:val="00696AAF"/>
    <w:rsid w:val="006C7E08"/>
    <w:rsid w:val="006E566D"/>
    <w:rsid w:val="007044FC"/>
    <w:rsid w:val="007069D2"/>
    <w:rsid w:val="00715006"/>
    <w:rsid w:val="0072404B"/>
    <w:rsid w:val="00726FBC"/>
    <w:rsid w:val="007319AF"/>
    <w:rsid w:val="00732580"/>
    <w:rsid w:val="00735D3A"/>
    <w:rsid w:val="007465EC"/>
    <w:rsid w:val="0075197D"/>
    <w:rsid w:val="00753C02"/>
    <w:rsid w:val="00753D3E"/>
    <w:rsid w:val="007608C6"/>
    <w:rsid w:val="00761379"/>
    <w:rsid w:val="00767169"/>
    <w:rsid w:val="0076762D"/>
    <w:rsid w:val="00767B8F"/>
    <w:rsid w:val="0077660F"/>
    <w:rsid w:val="00777CF9"/>
    <w:rsid w:val="00782331"/>
    <w:rsid w:val="00796CBC"/>
    <w:rsid w:val="007A0BE4"/>
    <w:rsid w:val="007A374C"/>
    <w:rsid w:val="007C04CD"/>
    <w:rsid w:val="007C096B"/>
    <w:rsid w:val="007C14D4"/>
    <w:rsid w:val="007D3A54"/>
    <w:rsid w:val="007D6F02"/>
    <w:rsid w:val="007E0236"/>
    <w:rsid w:val="007E3747"/>
    <w:rsid w:val="007E66BD"/>
    <w:rsid w:val="007E7FA4"/>
    <w:rsid w:val="007F0C61"/>
    <w:rsid w:val="007F1BD3"/>
    <w:rsid w:val="007F67D3"/>
    <w:rsid w:val="00802263"/>
    <w:rsid w:val="008059C2"/>
    <w:rsid w:val="0081286D"/>
    <w:rsid w:val="0081359B"/>
    <w:rsid w:val="0082266D"/>
    <w:rsid w:val="00824DF3"/>
    <w:rsid w:val="00831057"/>
    <w:rsid w:val="008328AA"/>
    <w:rsid w:val="00833684"/>
    <w:rsid w:val="00834538"/>
    <w:rsid w:val="0085476F"/>
    <w:rsid w:val="00856390"/>
    <w:rsid w:val="00861BC4"/>
    <w:rsid w:val="00862925"/>
    <w:rsid w:val="00867837"/>
    <w:rsid w:val="00872140"/>
    <w:rsid w:val="0088213C"/>
    <w:rsid w:val="008A30D8"/>
    <w:rsid w:val="008A437E"/>
    <w:rsid w:val="008B4A4F"/>
    <w:rsid w:val="008C0ED5"/>
    <w:rsid w:val="008C36D5"/>
    <w:rsid w:val="008D1F14"/>
    <w:rsid w:val="008D33A3"/>
    <w:rsid w:val="008D38AF"/>
    <w:rsid w:val="008D5832"/>
    <w:rsid w:val="008D59D8"/>
    <w:rsid w:val="008D7B16"/>
    <w:rsid w:val="008F65D0"/>
    <w:rsid w:val="00902F85"/>
    <w:rsid w:val="009035AF"/>
    <w:rsid w:val="00906846"/>
    <w:rsid w:val="00915E84"/>
    <w:rsid w:val="009167E1"/>
    <w:rsid w:val="00923A45"/>
    <w:rsid w:val="00933365"/>
    <w:rsid w:val="00943082"/>
    <w:rsid w:val="009473E1"/>
    <w:rsid w:val="00950844"/>
    <w:rsid w:val="00952BCA"/>
    <w:rsid w:val="0096301A"/>
    <w:rsid w:val="009701DA"/>
    <w:rsid w:val="00972E28"/>
    <w:rsid w:val="00982D50"/>
    <w:rsid w:val="00983EB0"/>
    <w:rsid w:val="0098469B"/>
    <w:rsid w:val="00996403"/>
    <w:rsid w:val="009A07EE"/>
    <w:rsid w:val="009A5E61"/>
    <w:rsid w:val="009B5791"/>
    <w:rsid w:val="009C03BF"/>
    <w:rsid w:val="009C1E6C"/>
    <w:rsid w:val="009C656C"/>
    <w:rsid w:val="009D0AED"/>
    <w:rsid w:val="009D2C15"/>
    <w:rsid w:val="009D2F83"/>
    <w:rsid w:val="009D3243"/>
    <w:rsid w:val="009D7752"/>
    <w:rsid w:val="009E11B4"/>
    <w:rsid w:val="009E187C"/>
    <w:rsid w:val="009E58FD"/>
    <w:rsid w:val="00A10AB5"/>
    <w:rsid w:val="00A13502"/>
    <w:rsid w:val="00A21934"/>
    <w:rsid w:val="00A21DAC"/>
    <w:rsid w:val="00A2288A"/>
    <w:rsid w:val="00A23651"/>
    <w:rsid w:val="00A33F53"/>
    <w:rsid w:val="00A401EF"/>
    <w:rsid w:val="00A43A2D"/>
    <w:rsid w:val="00A43EE3"/>
    <w:rsid w:val="00A462DC"/>
    <w:rsid w:val="00A662AB"/>
    <w:rsid w:val="00A70EC5"/>
    <w:rsid w:val="00A7596B"/>
    <w:rsid w:val="00A8121C"/>
    <w:rsid w:val="00A86994"/>
    <w:rsid w:val="00A878CB"/>
    <w:rsid w:val="00A970DC"/>
    <w:rsid w:val="00AA58A1"/>
    <w:rsid w:val="00AA5F76"/>
    <w:rsid w:val="00AB037C"/>
    <w:rsid w:val="00AC249F"/>
    <w:rsid w:val="00AC754A"/>
    <w:rsid w:val="00AC78B8"/>
    <w:rsid w:val="00AC7EF9"/>
    <w:rsid w:val="00AD0798"/>
    <w:rsid w:val="00AD422B"/>
    <w:rsid w:val="00AD5640"/>
    <w:rsid w:val="00AD7129"/>
    <w:rsid w:val="00AE4DE9"/>
    <w:rsid w:val="00AF0F8F"/>
    <w:rsid w:val="00B020DB"/>
    <w:rsid w:val="00B0463B"/>
    <w:rsid w:val="00B04C55"/>
    <w:rsid w:val="00B077E5"/>
    <w:rsid w:val="00B13554"/>
    <w:rsid w:val="00B205D2"/>
    <w:rsid w:val="00B247DF"/>
    <w:rsid w:val="00B27835"/>
    <w:rsid w:val="00B306C9"/>
    <w:rsid w:val="00B3251C"/>
    <w:rsid w:val="00B34A2D"/>
    <w:rsid w:val="00B351FA"/>
    <w:rsid w:val="00B43C23"/>
    <w:rsid w:val="00B50AE8"/>
    <w:rsid w:val="00B50F68"/>
    <w:rsid w:val="00B54A9F"/>
    <w:rsid w:val="00B608F9"/>
    <w:rsid w:val="00B670D7"/>
    <w:rsid w:val="00B67755"/>
    <w:rsid w:val="00B75449"/>
    <w:rsid w:val="00B7698A"/>
    <w:rsid w:val="00B87ECB"/>
    <w:rsid w:val="00B91E25"/>
    <w:rsid w:val="00BB0C08"/>
    <w:rsid w:val="00BB2C6E"/>
    <w:rsid w:val="00BB739D"/>
    <w:rsid w:val="00BB7DF3"/>
    <w:rsid w:val="00BC0954"/>
    <w:rsid w:val="00BD370B"/>
    <w:rsid w:val="00BE513D"/>
    <w:rsid w:val="00BE583E"/>
    <w:rsid w:val="00BF2A9D"/>
    <w:rsid w:val="00BF4A2A"/>
    <w:rsid w:val="00BF65BD"/>
    <w:rsid w:val="00C02DEE"/>
    <w:rsid w:val="00C237F8"/>
    <w:rsid w:val="00C25A1E"/>
    <w:rsid w:val="00C26850"/>
    <w:rsid w:val="00C3004C"/>
    <w:rsid w:val="00C32DF3"/>
    <w:rsid w:val="00C32FCC"/>
    <w:rsid w:val="00C400A3"/>
    <w:rsid w:val="00C50C86"/>
    <w:rsid w:val="00C54EC9"/>
    <w:rsid w:val="00C5507A"/>
    <w:rsid w:val="00C74DAB"/>
    <w:rsid w:val="00C75259"/>
    <w:rsid w:val="00C86EF2"/>
    <w:rsid w:val="00C87C5E"/>
    <w:rsid w:val="00CA021A"/>
    <w:rsid w:val="00CA173A"/>
    <w:rsid w:val="00CA5EE2"/>
    <w:rsid w:val="00CB19D2"/>
    <w:rsid w:val="00CC0FCE"/>
    <w:rsid w:val="00CC13AE"/>
    <w:rsid w:val="00CC5BC3"/>
    <w:rsid w:val="00CE2752"/>
    <w:rsid w:val="00CE42B9"/>
    <w:rsid w:val="00CE4B99"/>
    <w:rsid w:val="00CF1426"/>
    <w:rsid w:val="00CF4493"/>
    <w:rsid w:val="00D02461"/>
    <w:rsid w:val="00D046FE"/>
    <w:rsid w:val="00D06B00"/>
    <w:rsid w:val="00D10DA9"/>
    <w:rsid w:val="00D17A26"/>
    <w:rsid w:val="00D21E4D"/>
    <w:rsid w:val="00D24C74"/>
    <w:rsid w:val="00D2637D"/>
    <w:rsid w:val="00D311B0"/>
    <w:rsid w:val="00D34614"/>
    <w:rsid w:val="00D354E1"/>
    <w:rsid w:val="00D467DA"/>
    <w:rsid w:val="00D46EC0"/>
    <w:rsid w:val="00D54132"/>
    <w:rsid w:val="00D602A5"/>
    <w:rsid w:val="00D623A5"/>
    <w:rsid w:val="00D67D20"/>
    <w:rsid w:val="00D70ED0"/>
    <w:rsid w:val="00D7421A"/>
    <w:rsid w:val="00D83A62"/>
    <w:rsid w:val="00D87F5A"/>
    <w:rsid w:val="00D91BA5"/>
    <w:rsid w:val="00D936A8"/>
    <w:rsid w:val="00D93E64"/>
    <w:rsid w:val="00D959DA"/>
    <w:rsid w:val="00D97760"/>
    <w:rsid w:val="00D97C48"/>
    <w:rsid w:val="00DA04DD"/>
    <w:rsid w:val="00DA4462"/>
    <w:rsid w:val="00DA5683"/>
    <w:rsid w:val="00DA6909"/>
    <w:rsid w:val="00DB7706"/>
    <w:rsid w:val="00DC1735"/>
    <w:rsid w:val="00DD4C4C"/>
    <w:rsid w:val="00DE1478"/>
    <w:rsid w:val="00DE2A15"/>
    <w:rsid w:val="00DF00FB"/>
    <w:rsid w:val="00DF566A"/>
    <w:rsid w:val="00E01F80"/>
    <w:rsid w:val="00E10E0F"/>
    <w:rsid w:val="00E163D2"/>
    <w:rsid w:val="00E25422"/>
    <w:rsid w:val="00E254FE"/>
    <w:rsid w:val="00E2775E"/>
    <w:rsid w:val="00E34D5B"/>
    <w:rsid w:val="00E36F9F"/>
    <w:rsid w:val="00E4434F"/>
    <w:rsid w:val="00E5638B"/>
    <w:rsid w:val="00E60E77"/>
    <w:rsid w:val="00E63C0D"/>
    <w:rsid w:val="00E66012"/>
    <w:rsid w:val="00E7066D"/>
    <w:rsid w:val="00E8255F"/>
    <w:rsid w:val="00E82D2C"/>
    <w:rsid w:val="00E84CE8"/>
    <w:rsid w:val="00E87E74"/>
    <w:rsid w:val="00E92CAC"/>
    <w:rsid w:val="00EA495C"/>
    <w:rsid w:val="00EC060F"/>
    <w:rsid w:val="00ED0797"/>
    <w:rsid w:val="00ED62E9"/>
    <w:rsid w:val="00EE2E78"/>
    <w:rsid w:val="00EF0BC3"/>
    <w:rsid w:val="00F06930"/>
    <w:rsid w:val="00F11892"/>
    <w:rsid w:val="00F15B1E"/>
    <w:rsid w:val="00F31E6F"/>
    <w:rsid w:val="00F327E5"/>
    <w:rsid w:val="00F467F5"/>
    <w:rsid w:val="00F526D1"/>
    <w:rsid w:val="00F628D4"/>
    <w:rsid w:val="00F715BB"/>
    <w:rsid w:val="00F75A0C"/>
    <w:rsid w:val="00F771C7"/>
    <w:rsid w:val="00F84396"/>
    <w:rsid w:val="00F903A5"/>
    <w:rsid w:val="00F9252C"/>
    <w:rsid w:val="00F933BC"/>
    <w:rsid w:val="00F962B8"/>
    <w:rsid w:val="00FA1FA7"/>
    <w:rsid w:val="00FA59D4"/>
    <w:rsid w:val="00FB3681"/>
    <w:rsid w:val="00FB4AC8"/>
    <w:rsid w:val="00FB5371"/>
    <w:rsid w:val="00FC7497"/>
    <w:rsid w:val="00FD0971"/>
    <w:rsid w:val="00FD29E6"/>
    <w:rsid w:val="00FD3A85"/>
    <w:rsid w:val="00FE107B"/>
    <w:rsid w:val="00FE64BC"/>
    <w:rsid w:val="00FF2A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6B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6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F0C61"/>
    <w:pPr>
      <w:spacing w:after="120" w:line="480" w:lineRule="auto"/>
    </w:pPr>
    <w:rPr>
      <w:lang w:val="x-none"/>
    </w:rPr>
  </w:style>
  <w:style w:type="character" w:customStyle="1" w:styleId="BodyText2Char">
    <w:name w:val="Body Text 2 Char"/>
    <w:basedOn w:val="DefaultParagraphFont"/>
    <w:link w:val="BodyText2"/>
    <w:rsid w:val="007F0C61"/>
    <w:rPr>
      <w:rFonts w:eastAsia="Times New Roman" w:cs="Times New Roman"/>
      <w:szCs w:val="24"/>
      <w:lang w:val="x-none" w:eastAsia="ru-RU"/>
    </w:rPr>
  </w:style>
  <w:style w:type="paragraph" w:styleId="Footer">
    <w:name w:val="footer"/>
    <w:basedOn w:val="Normal"/>
    <w:link w:val="FooterChar"/>
    <w:unhideWhenUsed/>
    <w:rsid w:val="007F0C61"/>
    <w:pPr>
      <w:tabs>
        <w:tab w:val="center" w:pos="4153"/>
        <w:tab w:val="right" w:pos="8306"/>
      </w:tabs>
    </w:pPr>
  </w:style>
  <w:style w:type="character" w:customStyle="1" w:styleId="FooterChar">
    <w:name w:val="Footer Char"/>
    <w:basedOn w:val="DefaultParagraphFont"/>
    <w:link w:val="Footer"/>
    <w:rsid w:val="007F0C61"/>
    <w:rPr>
      <w:rFonts w:eastAsia="Times New Roman" w:cs="Times New Roman"/>
      <w:szCs w:val="24"/>
      <w:lang w:eastAsia="ru-RU"/>
    </w:rPr>
  </w:style>
  <w:style w:type="character" w:styleId="PageNumber">
    <w:name w:val="page number"/>
    <w:basedOn w:val="DefaultParagraphFont"/>
    <w:rsid w:val="007F0C61"/>
  </w:style>
  <w:style w:type="paragraph" w:customStyle="1" w:styleId="ATpamatteksts">
    <w:name w:val="AT pamatteksts"/>
    <w:basedOn w:val="BodyText2"/>
    <w:link w:val="ATpamattekstsChar"/>
    <w:qFormat/>
    <w:rsid w:val="007F0C61"/>
    <w:pPr>
      <w:spacing w:after="0" w:line="276" w:lineRule="auto"/>
      <w:ind w:firstLine="567"/>
      <w:jc w:val="both"/>
    </w:pPr>
  </w:style>
  <w:style w:type="character" w:customStyle="1" w:styleId="ATpamattekstsChar">
    <w:name w:val="AT pamatteksts Char"/>
    <w:basedOn w:val="BodyText2Char"/>
    <w:link w:val="ATpamatteksts"/>
    <w:rsid w:val="007F0C61"/>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7F0C61"/>
    <w:pPr>
      <w:spacing w:line="276" w:lineRule="auto"/>
      <w:jc w:val="center"/>
      <w:outlineLvl w:val="0"/>
    </w:pPr>
    <w:rPr>
      <w:b/>
    </w:rPr>
  </w:style>
  <w:style w:type="character" w:customStyle="1" w:styleId="ATvirsrakstsChar">
    <w:name w:val="AT virsraksts Char"/>
    <w:basedOn w:val="DefaultParagraphFont"/>
    <w:link w:val="ATvirsraksts"/>
    <w:rsid w:val="007F0C61"/>
    <w:rPr>
      <w:rFonts w:eastAsia="Times New Roman" w:cs="Times New Roman"/>
      <w:b/>
      <w:szCs w:val="24"/>
      <w:lang w:eastAsia="ru-RU"/>
    </w:rPr>
  </w:style>
  <w:style w:type="character" w:styleId="CommentReference">
    <w:name w:val="annotation reference"/>
    <w:basedOn w:val="DefaultParagraphFont"/>
    <w:uiPriority w:val="99"/>
    <w:semiHidden/>
    <w:unhideWhenUsed/>
    <w:rsid w:val="007F0C61"/>
    <w:rPr>
      <w:sz w:val="16"/>
      <w:szCs w:val="16"/>
    </w:rPr>
  </w:style>
  <w:style w:type="paragraph" w:styleId="CommentText">
    <w:name w:val="annotation text"/>
    <w:basedOn w:val="Normal"/>
    <w:link w:val="CommentTextChar"/>
    <w:unhideWhenUsed/>
    <w:rsid w:val="007F0C61"/>
    <w:rPr>
      <w:sz w:val="20"/>
      <w:szCs w:val="20"/>
    </w:rPr>
  </w:style>
  <w:style w:type="character" w:customStyle="1" w:styleId="CommentTextChar">
    <w:name w:val="Comment Text Char"/>
    <w:basedOn w:val="DefaultParagraphFont"/>
    <w:link w:val="CommentText"/>
    <w:rsid w:val="007F0C61"/>
    <w:rPr>
      <w:rFonts w:eastAsia="Times New Roman" w:cs="Times New Roman"/>
      <w:sz w:val="20"/>
      <w:szCs w:val="20"/>
      <w:lang w:eastAsia="ru-RU"/>
    </w:rPr>
  </w:style>
  <w:style w:type="character" w:styleId="Hyperlink">
    <w:name w:val="Hyperlink"/>
    <w:basedOn w:val="DefaultParagraphFont"/>
    <w:uiPriority w:val="99"/>
    <w:unhideWhenUsed/>
    <w:rsid w:val="007F0C61"/>
    <w:rPr>
      <w:color w:val="0563C1" w:themeColor="hyperlink"/>
      <w:u w:val="single"/>
    </w:rPr>
  </w:style>
  <w:style w:type="paragraph" w:styleId="BalloonText">
    <w:name w:val="Balloon Text"/>
    <w:basedOn w:val="Normal"/>
    <w:link w:val="BalloonTextChar"/>
    <w:uiPriority w:val="99"/>
    <w:semiHidden/>
    <w:unhideWhenUsed/>
    <w:rsid w:val="007F0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C61"/>
    <w:rPr>
      <w:rFonts w:ascii="Segoe UI" w:eastAsia="Times New Roman" w:hAnsi="Segoe UI" w:cs="Segoe UI"/>
      <w:sz w:val="18"/>
      <w:szCs w:val="18"/>
      <w:lang w:eastAsia="ru-RU"/>
    </w:rPr>
  </w:style>
  <w:style w:type="paragraph" w:styleId="NoSpacing">
    <w:name w:val="No Spacing"/>
    <w:uiPriority w:val="1"/>
    <w:qFormat/>
    <w:rsid w:val="00474E46"/>
    <w:pPr>
      <w:spacing w:after="0" w:line="240" w:lineRule="auto"/>
    </w:pPr>
  </w:style>
  <w:style w:type="paragraph" w:styleId="CommentSubject">
    <w:name w:val="annotation subject"/>
    <w:basedOn w:val="CommentText"/>
    <w:next w:val="CommentText"/>
    <w:link w:val="CommentSubjectChar"/>
    <w:uiPriority w:val="99"/>
    <w:semiHidden/>
    <w:unhideWhenUsed/>
    <w:rsid w:val="0051742A"/>
    <w:rPr>
      <w:b/>
      <w:bCs/>
    </w:rPr>
  </w:style>
  <w:style w:type="character" w:customStyle="1" w:styleId="CommentSubjectChar">
    <w:name w:val="Comment Subject Char"/>
    <w:basedOn w:val="CommentTextChar"/>
    <w:link w:val="CommentSubject"/>
    <w:uiPriority w:val="99"/>
    <w:semiHidden/>
    <w:rsid w:val="0051742A"/>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3974">
      <w:bodyDiv w:val="1"/>
      <w:marLeft w:val="0"/>
      <w:marRight w:val="0"/>
      <w:marTop w:val="0"/>
      <w:marBottom w:val="0"/>
      <w:divBdr>
        <w:top w:val="none" w:sz="0" w:space="0" w:color="auto"/>
        <w:left w:val="none" w:sz="0" w:space="0" w:color="auto"/>
        <w:bottom w:val="none" w:sz="0" w:space="0" w:color="auto"/>
        <w:right w:val="none" w:sz="0" w:space="0" w:color="auto"/>
      </w:divBdr>
    </w:div>
    <w:div w:id="563878783">
      <w:bodyDiv w:val="1"/>
      <w:marLeft w:val="0"/>
      <w:marRight w:val="0"/>
      <w:marTop w:val="0"/>
      <w:marBottom w:val="0"/>
      <w:divBdr>
        <w:top w:val="none" w:sz="0" w:space="0" w:color="auto"/>
        <w:left w:val="none" w:sz="0" w:space="0" w:color="auto"/>
        <w:bottom w:val="none" w:sz="0" w:space="0" w:color="auto"/>
        <w:right w:val="none" w:sz="0" w:space="0" w:color="auto"/>
      </w:divBdr>
    </w:div>
    <w:div w:id="7991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18396</Words>
  <Characters>10487</Characters>
  <Application>Microsoft Office Word</Application>
  <DocSecurity>0</DocSecurity>
  <Lines>87</Lines>
  <Paragraphs>57</Paragraphs>
  <ScaleCrop>false</ScaleCrop>
  <Company/>
  <LinksUpToDate>false</LinksUpToDate>
  <CharactersWithSpaces>28826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2017-09-19T08:32:00Z</dcterms:created>
  <dcterms:modified xsi:type="dcterms:W3CDTF">2017-09-19T08:33:00Z</dcterms:modified>
</cp:coreProperties>
</file>