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C7B" w:rsidRDefault="006E1C7B" w:rsidP="00B012BB">
      <w:pPr>
        <w:spacing w:after="0" w:line="276" w:lineRule="auto"/>
        <w:rPr>
          <w:rFonts w:cs="Times New Roman"/>
          <w:b/>
          <w:bCs/>
          <w:szCs w:val="24"/>
        </w:rPr>
      </w:pPr>
      <w:r w:rsidRPr="005A5D63">
        <w:rPr>
          <w:rFonts w:cs="Times New Roman"/>
          <w:b/>
          <w:bCs/>
          <w:szCs w:val="24"/>
        </w:rPr>
        <w:t>Strīdu par</w:t>
      </w:r>
      <w:r w:rsidRPr="005A5D63">
        <w:rPr>
          <w:rFonts w:cs="Times New Roman"/>
          <w:szCs w:val="24"/>
        </w:rPr>
        <w:t xml:space="preserve"> </w:t>
      </w:r>
      <w:r w:rsidRPr="005A5D63">
        <w:rPr>
          <w:rFonts w:cs="Times New Roman"/>
          <w:b/>
          <w:bCs/>
          <w:szCs w:val="24"/>
        </w:rPr>
        <w:t>prettiesiskas rīcības konstatēšanu kriminālprocesā pakļautība</w:t>
      </w:r>
    </w:p>
    <w:p w:rsidR="00FF5966" w:rsidRDefault="00FF5966" w:rsidP="00B012BB">
      <w:pPr>
        <w:spacing w:after="0" w:line="276" w:lineRule="auto"/>
        <w:jc w:val="center"/>
        <w:rPr>
          <w:rFonts w:eastAsia="Times New Roman" w:cs="Times New Roman"/>
          <w:b/>
          <w:bCs/>
          <w:szCs w:val="24"/>
          <w:lang w:eastAsia="lv-LV"/>
        </w:rPr>
      </w:pPr>
    </w:p>
    <w:p w:rsidR="006E1C7B" w:rsidRPr="005A5D63" w:rsidRDefault="006E1C7B" w:rsidP="00B012BB">
      <w:pPr>
        <w:spacing w:after="0" w:line="276" w:lineRule="auto"/>
        <w:jc w:val="center"/>
        <w:rPr>
          <w:rFonts w:eastAsia="Times New Roman" w:cs="Times New Roman"/>
          <w:b/>
          <w:bCs/>
          <w:szCs w:val="24"/>
          <w:lang w:eastAsia="lv-LV"/>
        </w:rPr>
      </w:pPr>
      <w:r w:rsidRPr="005A5D63">
        <w:rPr>
          <w:rFonts w:eastAsia="Times New Roman" w:cs="Times New Roman"/>
          <w:b/>
          <w:bCs/>
          <w:szCs w:val="24"/>
          <w:lang w:eastAsia="lv-LV"/>
        </w:rPr>
        <w:t>Latvijas Republikas Augstākās tiesas</w:t>
      </w:r>
    </w:p>
    <w:p w:rsidR="006E1C7B" w:rsidRPr="005A5D63" w:rsidRDefault="006E1C7B" w:rsidP="00B012BB">
      <w:pPr>
        <w:spacing w:after="0" w:line="276" w:lineRule="auto"/>
        <w:jc w:val="center"/>
        <w:rPr>
          <w:rFonts w:eastAsia="Times New Roman" w:cs="Times New Roman"/>
          <w:b/>
          <w:bCs/>
          <w:szCs w:val="24"/>
          <w:lang w:eastAsia="lv-LV"/>
        </w:rPr>
      </w:pPr>
      <w:r w:rsidRPr="005A5D63">
        <w:rPr>
          <w:rFonts w:eastAsia="Times New Roman" w:cs="Times New Roman"/>
          <w:b/>
          <w:bCs/>
          <w:szCs w:val="24"/>
          <w:lang w:eastAsia="lv-LV"/>
        </w:rPr>
        <w:t>Civillietu departamenta</w:t>
      </w:r>
    </w:p>
    <w:p w:rsidR="006E1C7B" w:rsidRPr="005A5D63" w:rsidRDefault="006E1C7B" w:rsidP="00B012BB">
      <w:pPr>
        <w:spacing w:after="0" w:line="276" w:lineRule="auto"/>
        <w:jc w:val="center"/>
        <w:rPr>
          <w:rFonts w:eastAsia="Times New Roman" w:cs="Times New Roman"/>
          <w:b/>
          <w:bCs/>
          <w:szCs w:val="24"/>
          <w:lang w:eastAsia="lv-LV"/>
        </w:rPr>
      </w:pPr>
      <w:proofErr w:type="gramStart"/>
      <w:r w:rsidRPr="005A5D63">
        <w:rPr>
          <w:rFonts w:eastAsia="Times New Roman" w:cs="Times New Roman"/>
          <w:b/>
          <w:bCs/>
          <w:szCs w:val="24"/>
          <w:lang w:eastAsia="lv-LV"/>
        </w:rPr>
        <w:t>2017.gada</w:t>
      </w:r>
      <w:proofErr w:type="gramEnd"/>
      <w:r w:rsidRPr="005A5D63">
        <w:rPr>
          <w:rFonts w:eastAsia="Times New Roman" w:cs="Times New Roman"/>
          <w:b/>
          <w:bCs/>
          <w:szCs w:val="24"/>
          <w:lang w:eastAsia="lv-LV"/>
        </w:rPr>
        <w:t xml:space="preserve"> [..]</w:t>
      </w:r>
    </w:p>
    <w:p w:rsidR="006E1C7B" w:rsidRPr="005A5D63" w:rsidRDefault="006E1C7B" w:rsidP="00B012BB">
      <w:pPr>
        <w:spacing w:after="0" w:line="276" w:lineRule="auto"/>
        <w:jc w:val="center"/>
        <w:rPr>
          <w:rFonts w:cs="Times New Roman"/>
          <w:bCs/>
          <w:szCs w:val="24"/>
        </w:rPr>
      </w:pPr>
      <w:r w:rsidRPr="005A5D63">
        <w:rPr>
          <w:rFonts w:eastAsia="Times New Roman" w:cs="Times New Roman"/>
          <w:b/>
          <w:bCs/>
          <w:szCs w:val="24"/>
          <w:lang w:eastAsia="lv-LV"/>
        </w:rPr>
        <w:t>SPRIEDUMS</w:t>
      </w:r>
      <w:r w:rsidRPr="005A5D63">
        <w:rPr>
          <w:rFonts w:cs="Times New Roman"/>
          <w:bCs/>
          <w:szCs w:val="24"/>
        </w:rPr>
        <w:t xml:space="preserve"> </w:t>
      </w:r>
      <w:r w:rsidRPr="005A5D63">
        <w:rPr>
          <w:rStyle w:val="FootnoteReference"/>
          <w:rFonts w:cs="Times New Roman"/>
          <w:bCs/>
          <w:szCs w:val="24"/>
        </w:rPr>
        <w:footnoteReference w:id="1"/>
      </w:r>
    </w:p>
    <w:p w:rsidR="006E1C7B" w:rsidRPr="005A5D63" w:rsidRDefault="006E1C7B" w:rsidP="00B012BB">
      <w:pPr>
        <w:spacing w:after="0" w:line="276" w:lineRule="auto"/>
        <w:jc w:val="center"/>
        <w:rPr>
          <w:rFonts w:eastAsia="Times New Roman" w:cs="Times New Roman"/>
          <w:b/>
          <w:bCs/>
          <w:szCs w:val="24"/>
          <w:lang w:eastAsia="lv-LV"/>
        </w:rPr>
      </w:pPr>
      <w:r w:rsidRPr="005A5D63">
        <w:rPr>
          <w:rFonts w:eastAsia="Times New Roman" w:cs="Times New Roman"/>
          <w:b/>
          <w:bCs/>
          <w:szCs w:val="24"/>
          <w:lang w:eastAsia="lv-LV"/>
        </w:rPr>
        <w:t xml:space="preserve">Lietā Nr.[..] </w:t>
      </w:r>
    </w:p>
    <w:p w:rsidR="006E1C7B" w:rsidRPr="005A5D63" w:rsidRDefault="008D78A6" w:rsidP="00B012BB">
      <w:pPr>
        <w:spacing w:after="0" w:line="276" w:lineRule="auto"/>
        <w:jc w:val="center"/>
        <w:rPr>
          <w:rFonts w:eastAsia="Times New Roman" w:cs="Times New Roman"/>
          <w:b/>
          <w:bCs/>
          <w:szCs w:val="24"/>
          <w:lang w:eastAsia="lv-LV"/>
        </w:rPr>
      </w:pPr>
      <w:r>
        <w:rPr>
          <w:rFonts w:eastAsia="Times New Roman" w:cs="Times New Roman"/>
          <w:b/>
          <w:bCs/>
          <w:szCs w:val="24"/>
          <w:lang w:eastAsia="lv-LV"/>
        </w:rPr>
        <w:t>SKC-[B</w:t>
      </w:r>
      <w:r w:rsidR="006E1C7B" w:rsidRPr="005A5D63">
        <w:rPr>
          <w:rFonts w:eastAsia="Times New Roman" w:cs="Times New Roman"/>
          <w:b/>
          <w:bCs/>
          <w:szCs w:val="24"/>
          <w:lang w:eastAsia="lv-LV"/>
        </w:rPr>
        <w:t>]/2017</w:t>
      </w:r>
    </w:p>
    <w:p w:rsidR="006E1C7B" w:rsidRPr="005A5D63" w:rsidRDefault="006E1C7B" w:rsidP="00B012BB">
      <w:pPr>
        <w:spacing w:after="0" w:line="276" w:lineRule="auto"/>
        <w:rPr>
          <w:rFonts w:eastAsia="Times New Roman" w:cs="Times New Roman"/>
          <w:szCs w:val="24"/>
          <w:lang w:eastAsia="lv-LV"/>
        </w:rPr>
      </w:pPr>
      <w:bookmarkStart w:id="0" w:name="_GoBack"/>
      <w:bookmarkEnd w:id="0"/>
    </w:p>
    <w:p w:rsidR="006E1C7B" w:rsidRPr="005A5D63" w:rsidRDefault="006E1C7B" w:rsidP="00B012BB">
      <w:pPr>
        <w:spacing w:after="0" w:line="276" w:lineRule="auto"/>
        <w:ind w:firstLine="709"/>
        <w:jc w:val="both"/>
        <w:rPr>
          <w:rFonts w:eastAsia="Times New Roman" w:cs="Times New Roman"/>
          <w:szCs w:val="24"/>
          <w:lang w:eastAsia="lv-LV"/>
        </w:rPr>
      </w:pPr>
      <w:r w:rsidRPr="005A5D63">
        <w:rPr>
          <w:rFonts w:eastAsia="Times New Roman" w:cs="Times New Roman"/>
          <w:szCs w:val="24"/>
          <w:lang w:eastAsia="lv-LV"/>
        </w:rPr>
        <w:t>Augstākā tiesa šādā sastāvā:</w:t>
      </w:r>
    </w:p>
    <w:p w:rsidR="006E1C7B" w:rsidRPr="005A5D63" w:rsidRDefault="006E1C7B" w:rsidP="00B012BB">
      <w:pPr>
        <w:spacing w:after="0" w:line="276" w:lineRule="auto"/>
        <w:ind w:firstLine="709"/>
        <w:jc w:val="both"/>
        <w:rPr>
          <w:rFonts w:eastAsia="Times New Roman" w:cs="Times New Roman"/>
          <w:szCs w:val="24"/>
          <w:lang w:eastAsia="lv-LV"/>
        </w:rPr>
      </w:pPr>
      <w:r w:rsidRPr="005A5D63">
        <w:rPr>
          <w:rFonts w:eastAsia="Times New Roman" w:cs="Times New Roman"/>
          <w:szCs w:val="24"/>
          <w:lang w:eastAsia="lv-LV"/>
        </w:rPr>
        <w:t>tiesnese referente Anda Briede,</w:t>
      </w:r>
    </w:p>
    <w:p w:rsidR="006E1C7B" w:rsidRPr="005A5D63" w:rsidRDefault="006E1C7B" w:rsidP="00B012BB">
      <w:pPr>
        <w:spacing w:after="0" w:line="276" w:lineRule="auto"/>
        <w:ind w:firstLine="709"/>
        <w:jc w:val="both"/>
        <w:rPr>
          <w:rFonts w:eastAsia="Times New Roman" w:cs="Times New Roman"/>
          <w:szCs w:val="24"/>
          <w:lang w:eastAsia="lv-LV"/>
        </w:rPr>
      </w:pPr>
      <w:r w:rsidRPr="005A5D63">
        <w:rPr>
          <w:rFonts w:eastAsia="Times New Roman" w:cs="Times New Roman"/>
          <w:szCs w:val="24"/>
          <w:lang w:eastAsia="lv-LV"/>
        </w:rPr>
        <w:t xml:space="preserve">tiesnesis Intars </w:t>
      </w:r>
      <w:proofErr w:type="spellStart"/>
      <w:r w:rsidRPr="005A5D63">
        <w:rPr>
          <w:rFonts w:eastAsia="Times New Roman" w:cs="Times New Roman"/>
          <w:szCs w:val="24"/>
          <w:lang w:eastAsia="lv-LV"/>
        </w:rPr>
        <w:t>Bisters</w:t>
      </w:r>
      <w:proofErr w:type="spellEnd"/>
      <w:r w:rsidRPr="005A5D63">
        <w:rPr>
          <w:rFonts w:eastAsia="Times New Roman" w:cs="Times New Roman"/>
          <w:szCs w:val="24"/>
          <w:lang w:eastAsia="lv-LV"/>
        </w:rPr>
        <w:t>,</w:t>
      </w:r>
    </w:p>
    <w:p w:rsidR="006E1C7B" w:rsidRPr="005A5D63" w:rsidRDefault="006E1C7B" w:rsidP="00B012BB">
      <w:pPr>
        <w:spacing w:after="0" w:line="276" w:lineRule="auto"/>
        <w:ind w:firstLine="709"/>
        <w:jc w:val="both"/>
        <w:rPr>
          <w:rFonts w:eastAsia="Times New Roman" w:cs="Times New Roman"/>
          <w:szCs w:val="24"/>
          <w:lang w:eastAsia="lv-LV"/>
        </w:rPr>
      </w:pPr>
      <w:r w:rsidRPr="005A5D63">
        <w:rPr>
          <w:rFonts w:eastAsia="Times New Roman" w:cs="Times New Roman"/>
          <w:szCs w:val="24"/>
          <w:lang w:eastAsia="lv-LV"/>
        </w:rPr>
        <w:t>tiesnese Zane Pētersone</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09"/>
        <w:jc w:val="both"/>
        <w:rPr>
          <w:rFonts w:eastAsia="Times New Roman" w:cs="Times New Roman"/>
          <w:szCs w:val="24"/>
          <w:lang w:eastAsia="lv-LV"/>
        </w:rPr>
      </w:pPr>
      <w:r w:rsidRPr="005A5D63">
        <w:rPr>
          <w:rFonts w:eastAsia="Times New Roman" w:cs="Times New Roman"/>
          <w:szCs w:val="24"/>
          <w:lang w:eastAsia="lv-LV"/>
        </w:rPr>
        <w:t>izskatīja rakstveida procesā civillietu sakarā ar [pers. A] kasācijas sūdzību par [apelācijas instances tiesas] [datums] spriedumu [pers. A] prasībā pret [pers. B], [pers. C], [pers. D], Latvijas valsti Ģenerālprokuratūras personā un [pers. E] par morālā kaitējuma atlīdzināšanu.</w:t>
      </w:r>
    </w:p>
    <w:p w:rsidR="006E1C7B" w:rsidRPr="005A5D63" w:rsidRDefault="006E1C7B" w:rsidP="00B012BB">
      <w:pPr>
        <w:spacing w:after="0" w:line="276" w:lineRule="auto"/>
        <w:rPr>
          <w:rFonts w:eastAsia="Times New Roman" w:cs="Times New Roman"/>
          <w:szCs w:val="24"/>
          <w:lang w:eastAsia="lv-LV"/>
        </w:rPr>
      </w:pPr>
      <w:r w:rsidRPr="005A5D63">
        <w:rPr>
          <w:rFonts w:eastAsia="Times New Roman" w:cs="Times New Roman"/>
          <w:szCs w:val="24"/>
          <w:lang w:eastAsia="lv-LV"/>
        </w:rPr>
        <w:t> </w:t>
      </w:r>
    </w:p>
    <w:p w:rsidR="006E1C7B" w:rsidRPr="005A5D63" w:rsidRDefault="006E1C7B" w:rsidP="00B012BB">
      <w:pPr>
        <w:spacing w:after="0" w:line="276" w:lineRule="auto"/>
        <w:jc w:val="center"/>
        <w:rPr>
          <w:rFonts w:eastAsia="Times New Roman" w:cs="Times New Roman"/>
          <w:b/>
          <w:szCs w:val="24"/>
          <w:lang w:eastAsia="lv-LV"/>
        </w:rPr>
      </w:pPr>
      <w:r w:rsidRPr="005A5D63">
        <w:rPr>
          <w:rFonts w:eastAsia="Times New Roman" w:cs="Times New Roman"/>
          <w:b/>
          <w:szCs w:val="24"/>
          <w:lang w:eastAsia="lv-LV"/>
        </w:rPr>
        <w:t>Aprakstošā daļa</w:t>
      </w:r>
    </w:p>
    <w:p w:rsidR="006E1C7B" w:rsidRPr="005A5D63" w:rsidRDefault="006E1C7B" w:rsidP="00B012BB">
      <w:pPr>
        <w:spacing w:after="0" w:line="276" w:lineRule="auto"/>
        <w:rPr>
          <w:rFonts w:eastAsia="Times New Roman" w:cs="Times New Roman"/>
          <w:szCs w:val="24"/>
          <w:lang w:eastAsia="lv-LV"/>
        </w:rPr>
      </w:pPr>
      <w:r w:rsidRPr="005A5D63">
        <w:rPr>
          <w:rFonts w:eastAsia="Times New Roman" w:cs="Times New Roman"/>
          <w:szCs w:val="24"/>
          <w:lang w:eastAsia="lv-LV"/>
        </w:rPr>
        <w:tab/>
        <w:t>[..]</w:t>
      </w:r>
    </w:p>
    <w:p w:rsidR="006E1C7B" w:rsidRPr="005A5D63" w:rsidRDefault="006E1C7B" w:rsidP="008D78A6">
      <w:pPr>
        <w:spacing w:after="0" w:line="276" w:lineRule="auto"/>
        <w:jc w:val="center"/>
        <w:rPr>
          <w:rFonts w:eastAsia="Times New Roman" w:cs="Times New Roman"/>
          <w:szCs w:val="24"/>
          <w:lang w:eastAsia="lv-LV"/>
        </w:rPr>
      </w:pPr>
      <w:r w:rsidRPr="005A5D63">
        <w:rPr>
          <w:rFonts w:eastAsia="Times New Roman" w:cs="Times New Roman"/>
          <w:b/>
          <w:bCs/>
          <w:szCs w:val="24"/>
          <w:lang w:eastAsia="lv-LV"/>
        </w:rPr>
        <w:t>Motīvu daļa</w:t>
      </w:r>
    </w:p>
    <w:p w:rsidR="006E1C7B" w:rsidRPr="005A5D63" w:rsidRDefault="006E1C7B" w:rsidP="00B012BB">
      <w:pPr>
        <w:spacing w:after="0" w:line="276" w:lineRule="auto"/>
        <w:ind w:right="2" w:firstLine="709"/>
        <w:jc w:val="both"/>
        <w:rPr>
          <w:rFonts w:eastAsia="Times New Roman" w:cs="Times New Roman"/>
          <w:szCs w:val="24"/>
          <w:lang w:eastAsia="lv-LV"/>
        </w:rPr>
      </w:pPr>
      <w:r w:rsidRPr="005A5D63">
        <w:rPr>
          <w:rFonts w:eastAsia="Times New Roman" w:cs="Times New Roman"/>
          <w:szCs w:val="24"/>
          <w:lang w:eastAsia="lv-LV"/>
        </w:rPr>
        <w:t xml:space="preserve">[7] Pārbaudījusi sprieduma likumību attiecībā uz personu, kas to pārsūdzējusi, un attiecībā uz argumentiem, kas minēti kasācijas sūdzībā, kā to nosaka Civilprocesa likuma </w:t>
      </w:r>
      <w:proofErr w:type="gramStart"/>
      <w:r w:rsidRPr="005A5D63">
        <w:rPr>
          <w:rFonts w:eastAsia="Times New Roman" w:cs="Times New Roman"/>
          <w:szCs w:val="24"/>
          <w:lang w:eastAsia="lv-LV"/>
        </w:rPr>
        <w:t>473.panta</w:t>
      </w:r>
      <w:proofErr w:type="gramEnd"/>
      <w:r w:rsidRPr="005A5D63">
        <w:rPr>
          <w:rFonts w:eastAsia="Times New Roman" w:cs="Times New Roman"/>
          <w:szCs w:val="24"/>
          <w:lang w:eastAsia="lv-LV"/>
        </w:rPr>
        <w:t xml:space="preserve"> pirmā daļa</w:t>
      </w:r>
      <w:r w:rsidR="005A5D63" w:rsidRPr="005A5D63">
        <w:rPr>
          <w:rFonts w:eastAsia="Times New Roman" w:cs="Times New Roman"/>
          <w:szCs w:val="24"/>
          <w:lang w:eastAsia="lv-LV"/>
        </w:rPr>
        <w:t xml:space="preserve">, Augstākā tiesa </w:t>
      </w:r>
      <w:r w:rsidRPr="005A5D63">
        <w:rPr>
          <w:rFonts w:eastAsia="Times New Roman" w:cs="Times New Roman"/>
          <w:szCs w:val="24"/>
          <w:lang w:eastAsia="lv-LV"/>
        </w:rPr>
        <w:t>atzīst, ka spriedums daļā, ar kuru noraidīta prasība pret Latvijas valsti Ģenerālprokuratūras personā atceļams un tiesvedība šajā prasības daļā izbeidzama, bet spriedums pārējā pārsūdzētajā daļā atstājams negrozīts.</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09"/>
        <w:jc w:val="both"/>
        <w:rPr>
          <w:rFonts w:cs="Times New Roman"/>
          <w:szCs w:val="24"/>
        </w:rPr>
      </w:pPr>
      <w:r w:rsidRPr="005A5D63">
        <w:rPr>
          <w:rFonts w:eastAsia="Times New Roman" w:cs="Times New Roman"/>
          <w:szCs w:val="24"/>
          <w:lang w:eastAsia="lv-LV"/>
        </w:rPr>
        <w:t>[8] Kasācijas sūdzībā pareizi norādīts, ka secināj</w:t>
      </w:r>
      <w:r w:rsidR="00C249D3" w:rsidRPr="005A5D63">
        <w:rPr>
          <w:rFonts w:eastAsia="Times New Roman" w:cs="Times New Roman"/>
          <w:szCs w:val="24"/>
          <w:lang w:eastAsia="lv-LV"/>
        </w:rPr>
        <w:t xml:space="preserve">umus par prasības (pret valsti </w:t>
      </w:r>
      <w:r w:rsidRPr="005A5D63">
        <w:rPr>
          <w:rFonts w:cs="Times New Roman"/>
          <w:szCs w:val="24"/>
        </w:rPr>
        <w:t>Ģenerālprokuratūras personā</w:t>
      </w:r>
      <w:r w:rsidRPr="005A5D63">
        <w:rPr>
          <w:rFonts w:eastAsia="Times New Roman" w:cs="Times New Roman"/>
          <w:szCs w:val="24"/>
          <w:lang w:eastAsia="lv-LV"/>
        </w:rPr>
        <w:t>) noraidīšanu apelācijas instances tiesa nepamatoti saistījusi ar Zaudējumu</w:t>
      </w:r>
      <w:r w:rsidR="00177CBB" w:rsidRPr="005A5D63">
        <w:rPr>
          <w:rFonts w:eastAsia="Times New Roman" w:cs="Times New Roman"/>
          <w:szCs w:val="24"/>
          <w:lang w:eastAsia="lv-LV"/>
        </w:rPr>
        <w:t xml:space="preserve"> atlīdzināšanas likumu (likums </w:t>
      </w:r>
      <w:r w:rsidR="002275CE">
        <w:rPr>
          <w:szCs w:val="24"/>
          <w:lang w:eastAsia="lv-LV"/>
        </w:rPr>
        <w:t>„</w:t>
      </w:r>
      <w:r w:rsidRPr="005A5D63">
        <w:rPr>
          <w:rFonts w:cs="Times New Roman"/>
          <w:szCs w:val="24"/>
          <w:shd w:val="clear" w:color="auto" w:fill="FFFFFF"/>
        </w:rPr>
        <w:t>Par izziņas iestādes, prokuratūras vai tiesas nelikumīgas vai nepamatotas rīcības rezultātā nodarīto zaudējumu atlīdzināšanu”).</w:t>
      </w:r>
    </w:p>
    <w:p w:rsidR="006E1C7B" w:rsidRPr="005A5D63" w:rsidRDefault="006E1C7B" w:rsidP="00B012BB">
      <w:pPr>
        <w:spacing w:after="0" w:line="276" w:lineRule="auto"/>
        <w:ind w:firstLine="709"/>
        <w:jc w:val="both"/>
        <w:rPr>
          <w:rFonts w:eastAsia="Times New Roman" w:cs="Times New Roman"/>
          <w:szCs w:val="24"/>
          <w:lang w:eastAsia="lv-LV"/>
        </w:rPr>
      </w:pPr>
      <w:r w:rsidRPr="005A5D63">
        <w:rPr>
          <w:rFonts w:eastAsia="Times New Roman" w:cs="Times New Roman"/>
          <w:szCs w:val="24"/>
          <w:lang w:eastAsia="lv-LV"/>
        </w:rPr>
        <w:t xml:space="preserve">Zaudējumu atlīdzināšanas likums nosaka apmēru un kārtību, kādā tiek atlīdzināti šajā likumā minētie zaudējumi, kas izziņas iestādes, prokuratūras vai tiesas nelikumīgas vai nepamatotas rīcības rezultātā, viņiem pildot dienesta pienākumus, ir nodarīti fiziskajām personām, kā arī kārtību, kādā tiek nodrošinātas šo personu aizskartās sociālās un darba garantijas </w:t>
      </w:r>
      <w:proofErr w:type="gramStart"/>
      <w:r w:rsidRPr="005A5D63">
        <w:rPr>
          <w:rFonts w:eastAsia="Times New Roman" w:cs="Times New Roman"/>
          <w:szCs w:val="24"/>
          <w:lang w:eastAsia="lv-LV"/>
        </w:rPr>
        <w:t>(</w:t>
      </w:r>
      <w:proofErr w:type="gramEnd"/>
      <w:r w:rsidRPr="005A5D63">
        <w:rPr>
          <w:rFonts w:eastAsia="Times New Roman" w:cs="Times New Roman"/>
          <w:szCs w:val="24"/>
          <w:lang w:eastAsia="lv-LV"/>
        </w:rPr>
        <w:t>1.panta pirmā daļa).</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09"/>
        <w:jc w:val="both"/>
        <w:rPr>
          <w:rFonts w:eastAsia="Times New Roman" w:cs="Times New Roman"/>
          <w:szCs w:val="24"/>
          <w:lang w:eastAsia="lv-LV"/>
        </w:rPr>
      </w:pPr>
      <w:r w:rsidRPr="005A5D63">
        <w:rPr>
          <w:rFonts w:eastAsia="Times New Roman" w:cs="Times New Roman"/>
          <w:szCs w:val="24"/>
          <w:lang w:eastAsia="lv-LV"/>
        </w:rPr>
        <w:t xml:space="preserve">Savukārt </w:t>
      </w:r>
      <w:proofErr w:type="gramStart"/>
      <w:r w:rsidRPr="005A5D63">
        <w:rPr>
          <w:rFonts w:eastAsia="Times New Roman" w:cs="Times New Roman"/>
          <w:szCs w:val="24"/>
          <w:lang w:eastAsia="lv-LV"/>
        </w:rPr>
        <w:t>2.pantā</w:t>
      </w:r>
      <w:proofErr w:type="gramEnd"/>
      <w:r w:rsidRPr="005A5D63">
        <w:rPr>
          <w:rFonts w:eastAsia="Times New Roman" w:cs="Times New Roman"/>
          <w:szCs w:val="24"/>
          <w:lang w:eastAsia="lv-LV"/>
        </w:rPr>
        <w:t xml:space="preserve"> noteikts, ka šajā likumā noteikto zaudējumu atlīd</w:t>
      </w:r>
      <w:r w:rsidR="005A5D63">
        <w:rPr>
          <w:rFonts w:eastAsia="Times New Roman" w:cs="Times New Roman"/>
          <w:szCs w:val="24"/>
          <w:lang w:eastAsia="lv-LV"/>
        </w:rPr>
        <w:t>zināšanas tiesiskais pamats ir:</w:t>
      </w:r>
      <w:r w:rsidRPr="005A5D63">
        <w:rPr>
          <w:rFonts w:eastAsia="Times New Roman" w:cs="Times New Roman"/>
          <w:szCs w:val="24"/>
          <w:lang w:eastAsia="lv-LV"/>
        </w:rPr>
        <w:t>1) attaisnojošs tiesas spriedums; 2) krimināllietas izbeigšana personu reabilitējošu apstākļu dēļ; 3) administratīvā aresta atzīšana par nelikumīgu un administratīvās lietvedības izbeigšana.</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09"/>
        <w:jc w:val="both"/>
        <w:rPr>
          <w:rFonts w:eastAsia="Times New Roman" w:cs="Times New Roman"/>
          <w:szCs w:val="24"/>
          <w:lang w:eastAsia="lv-LV"/>
        </w:rPr>
      </w:pPr>
      <w:r w:rsidRPr="005A5D63">
        <w:rPr>
          <w:rFonts w:eastAsia="Times New Roman" w:cs="Times New Roman"/>
          <w:szCs w:val="24"/>
          <w:lang w:eastAsia="lv-LV"/>
        </w:rPr>
        <w:lastRenderedPageBreak/>
        <w:t xml:space="preserve">Minētais likums konkretizē Satversmes </w:t>
      </w:r>
      <w:proofErr w:type="gramStart"/>
      <w:r w:rsidRPr="005A5D63">
        <w:rPr>
          <w:rFonts w:eastAsia="Times New Roman" w:cs="Times New Roman"/>
          <w:szCs w:val="24"/>
          <w:lang w:eastAsia="lv-LV"/>
        </w:rPr>
        <w:t>92.panta</w:t>
      </w:r>
      <w:proofErr w:type="gramEnd"/>
      <w:r w:rsidRPr="005A5D63">
        <w:rPr>
          <w:rFonts w:eastAsia="Times New Roman" w:cs="Times New Roman"/>
          <w:szCs w:val="24"/>
          <w:lang w:eastAsia="lv-LV"/>
        </w:rPr>
        <w:t xml:space="preserve"> trešo teikumu, paredzot atlīdzinājumu šajā likumā noteiktam personu lokam – tām personām, kurām, lai gan tās nav vainīgas noziedzīgā nodarījumā vai administratīvā pārkāpumā, bijusi ierobežota brīvība (nelikumīgi apcietinātas vai aizturētas, nepamatoti notiesātas). Tomēr tā mērķis nav reglamentēt atlīdzināšanas kārtību pilnīgi visos gadījumos, kad personām būtu atlīdzināms valsts institūciju vai amatpersonu nepamatotas rīcības rezultātā nodarītais kaitējums. Likums neattiecas uz personām, kuras neatbilst tā 1., 2. un </w:t>
      </w:r>
      <w:proofErr w:type="gramStart"/>
      <w:r w:rsidRPr="005A5D63">
        <w:rPr>
          <w:rFonts w:eastAsia="Times New Roman" w:cs="Times New Roman"/>
          <w:szCs w:val="24"/>
          <w:lang w:eastAsia="lv-LV"/>
        </w:rPr>
        <w:t>3.pantā</w:t>
      </w:r>
      <w:proofErr w:type="gramEnd"/>
      <w:r w:rsidRPr="005A5D63">
        <w:rPr>
          <w:rFonts w:eastAsia="Times New Roman" w:cs="Times New Roman"/>
          <w:szCs w:val="24"/>
          <w:lang w:eastAsia="lv-LV"/>
        </w:rPr>
        <w:t xml:space="preserve"> paredzētajiem kritērijiem to kopsakarā (</w:t>
      </w:r>
      <w:r w:rsidRPr="005A5D63">
        <w:rPr>
          <w:rFonts w:eastAsia="Times New Roman" w:cs="Times New Roman"/>
          <w:i/>
          <w:iCs/>
          <w:szCs w:val="24"/>
          <w:lang w:eastAsia="lv-LV"/>
        </w:rPr>
        <w:t>sk. Satversmes tiesas 2001.gada</w:t>
      </w:r>
      <w:r w:rsidR="005A5D63">
        <w:rPr>
          <w:rFonts w:eastAsia="Times New Roman" w:cs="Times New Roman"/>
          <w:i/>
          <w:iCs/>
          <w:szCs w:val="24"/>
          <w:lang w:eastAsia="lv-LV"/>
        </w:rPr>
        <w:t xml:space="preserve"> 5.decembra spriedumu lietā Nr.</w:t>
      </w:r>
      <w:r w:rsidRPr="005A5D63">
        <w:rPr>
          <w:rFonts w:eastAsia="Times New Roman" w:cs="Times New Roman"/>
          <w:i/>
          <w:iCs/>
          <w:szCs w:val="24"/>
          <w:lang w:eastAsia="lv-LV"/>
        </w:rPr>
        <w:t>2001-07-0103</w:t>
      </w:r>
      <w:r w:rsidRPr="005A5D63">
        <w:rPr>
          <w:rFonts w:eastAsia="Times New Roman" w:cs="Times New Roman"/>
          <w:szCs w:val="24"/>
          <w:lang w:eastAsia="lv-LV"/>
        </w:rPr>
        <w:t>).</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09"/>
        <w:jc w:val="both"/>
        <w:rPr>
          <w:rFonts w:eastAsia="Times New Roman" w:cs="Times New Roman"/>
          <w:szCs w:val="24"/>
          <w:lang w:eastAsia="lv-LV"/>
        </w:rPr>
      </w:pPr>
      <w:r w:rsidRPr="005A5D63">
        <w:rPr>
          <w:rFonts w:eastAsia="Times New Roman" w:cs="Times New Roman"/>
          <w:szCs w:val="24"/>
          <w:lang w:eastAsia="lv-LV"/>
        </w:rPr>
        <w:t xml:space="preserve">Tādējādi, lai persona saskaņā ar Zaudējumu atlīdzināšanas likumu varētu prasīt zaudējumu atlīdzību (arī atlīdzību par nodarīto morālo kaitējumu), vienlaikus ir jāpastāv gan minētā likuma </w:t>
      </w:r>
      <w:proofErr w:type="gramStart"/>
      <w:r w:rsidRPr="005A5D63">
        <w:rPr>
          <w:rFonts w:eastAsia="Times New Roman" w:cs="Times New Roman"/>
          <w:szCs w:val="24"/>
          <w:lang w:eastAsia="lv-LV"/>
        </w:rPr>
        <w:t>1.panta</w:t>
      </w:r>
      <w:proofErr w:type="gramEnd"/>
      <w:r w:rsidRPr="005A5D63">
        <w:rPr>
          <w:rFonts w:eastAsia="Times New Roman" w:cs="Times New Roman"/>
          <w:szCs w:val="24"/>
          <w:lang w:eastAsia="lv-LV"/>
        </w:rPr>
        <w:t xml:space="preserve"> noteikumiem, gan 2.pantā noteiktajam tiesiskajam pamatam un 3.panta pirmajā daļā noteiktajam gadījumam.</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09"/>
        <w:jc w:val="both"/>
        <w:rPr>
          <w:rFonts w:eastAsia="Times New Roman" w:cs="Times New Roman"/>
          <w:szCs w:val="24"/>
          <w:lang w:eastAsia="lv-LV"/>
        </w:rPr>
      </w:pPr>
      <w:r w:rsidRPr="005A5D63">
        <w:rPr>
          <w:rFonts w:eastAsia="Times New Roman" w:cs="Times New Roman"/>
          <w:szCs w:val="24"/>
          <w:lang w:eastAsia="lv-LV"/>
        </w:rPr>
        <w:t>Tā kā lietā nepastāv iepriekš minētie likumā paredzētie priekšnoteikumi zaudējumu (arī nemantisko) atlīdzināšanai, par ko strīda nav, tiesai nebija nekāda iemesla, arg</w:t>
      </w:r>
      <w:r w:rsidR="007044D6">
        <w:rPr>
          <w:rFonts w:eastAsia="Times New Roman" w:cs="Times New Roman"/>
          <w:szCs w:val="24"/>
          <w:lang w:eastAsia="lv-LV"/>
        </w:rPr>
        <w:t xml:space="preserve">umentējot prasības </w:t>
      </w:r>
      <w:proofErr w:type="spellStart"/>
      <w:r w:rsidR="007044D6">
        <w:rPr>
          <w:rFonts w:eastAsia="Times New Roman" w:cs="Times New Roman"/>
          <w:szCs w:val="24"/>
          <w:lang w:eastAsia="lv-LV"/>
        </w:rPr>
        <w:t>noraidīšanu,</w:t>
      </w:r>
      <w:r w:rsidRPr="005A5D63">
        <w:rPr>
          <w:rFonts w:eastAsia="Times New Roman" w:cs="Times New Roman"/>
          <w:szCs w:val="24"/>
          <w:lang w:eastAsia="lv-LV"/>
        </w:rPr>
        <w:t>atsaukties</w:t>
      </w:r>
      <w:proofErr w:type="spellEnd"/>
      <w:r w:rsidRPr="005A5D63">
        <w:rPr>
          <w:rFonts w:eastAsia="Times New Roman" w:cs="Times New Roman"/>
          <w:szCs w:val="24"/>
          <w:lang w:eastAsia="lv-LV"/>
        </w:rPr>
        <w:t xml:space="preserve"> uz Zaudējumu atlīdzināšanas likuma </w:t>
      </w:r>
      <w:proofErr w:type="gramStart"/>
      <w:r w:rsidRPr="005A5D63">
        <w:rPr>
          <w:rFonts w:eastAsia="Times New Roman" w:cs="Times New Roman"/>
          <w:szCs w:val="24"/>
          <w:lang w:eastAsia="lv-LV"/>
        </w:rPr>
        <w:t>5.panta</w:t>
      </w:r>
      <w:proofErr w:type="gramEnd"/>
      <w:r w:rsidRPr="005A5D63">
        <w:rPr>
          <w:rFonts w:eastAsia="Times New Roman" w:cs="Times New Roman"/>
          <w:szCs w:val="24"/>
          <w:lang w:eastAsia="lv-LV"/>
        </w:rPr>
        <w:t xml:space="preserve"> trešo daļu, kā tas norādīts kasācijas sūdzībā.</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09"/>
        <w:jc w:val="both"/>
        <w:rPr>
          <w:rFonts w:eastAsia="Times New Roman" w:cs="Times New Roman"/>
          <w:szCs w:val="24"/>
          <w:lang w:eastAsia="lv-LV"/>
        </w:rPr>
      </w:pPr>
      <w:r w:rsidRPr="005A5D63">
        <w:rPr>
          <w:rFonts w:eastAsia="Times New Roman" w:cs="Times New Roman"/>
          <w:szCs w:val="24"/>
          <w:lang w:eastAsia="lv-LV"/>
        </w:rPr>
        <w:t xml:space="preserve">[9] Tajā pašā laikā Augstākā tiesa nevar piekrist kasācijas sūdzības iesniedzējam, ka lietā pastāv tāds faktisko apstākļu kopums, kuram juridisko seku ziņā ir piemērojams Civillikuma </w:t>
      </w:r>
      <w:proofErr w:type="gramStart"/>
      <w:r w:rsidRPr="005A5D63">
        <w:rPr>
          <w:rFonts w:eastAsia="Times New Roman" w:cs="Times New Roman"/>
          <w:szCs w:val="24"/>
          <w:lang w:eastAsia="lv-LV"/>
        </w:rPr>
        <w:t>1635.pants</w:t>
      </w:r>
      <w:proofErr w:type="gramEnd"/>
      <w:r w:rsidRPr="005A5D63">
        <w:rPr>
          <w:rFonts w:eastAsia="Times New Roman" w:cs="Times New Roman"/>
          <w:szCs w:val="24"/>
          <w:lang w:eastAsia="lv-LV"/>
        </w:rPr>
        <w:t xml:space="preserve"> un 5.pants, un ka starp prasītāju un atbildētāju lietā (</w:t>
      </w:r>
      <w:r w:rsidRPr="005A5D63">
        <w:rPr>
          <w:rFonts w:cs="Times New Roman"/>
          <w:szCs w:val="24"/>
        </w:rPr>
        <w:t>Ģenerālprokuratūru</w:t>
      </w:r>
      <w:r w:rsidRPr="005A5D63">
        <w:rPr>
          <w:rFonts w:eastAsia="Times New Roman" w:cs="Times New Roman"/>
          <w:szCs w:val="24"/>
          <w:lang w:eastAsia="lv-LV"/>
        </w:rPr>
        <w:t>) pastāv civiltiesiska attiecība.</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09"/>
        <w:jc w:val="both"/>
        <w:rPr>
          <w:rFonts w:eastAsia="Times New Roman" w:cs="Times New Roman"/>
          <w:szCs w:val="24"/>
          <w:lang w:eastAsia="lv-LV"/>
        </w:rPr>
      </w:pPr>
      <w:r w:rsidRPr="005A5D63">
        <w:rPr>
          <w:rFonts w:eastAsia="Times New Roman" w:cs="Times New Roman"/>
          <w:szCs w:val="24"/>
          <w:lang w:eastAsia="lv-LV"/>
        </w:rPr>
        <w:t>[Pers. A] celtā prasība pret Latvijas valsti Ģenerālprokuratūras personā par morālā kaitējuma atlīdzināšanu pamatota ar kriminā</w:t>
      </w:r>
      <w:r w:rsidR="000743B3" w:rsidRPr="005A5D63">
        <w:rPr>
          <w:rFonts w:eastAsia="Times New Roman" w:cs="Times New Roman"/>
          <w:szCs w:val="24"/>
          <w:lang w:eastAsia="lv-LV"/>
        </w:rPr>
        <w:t xml:space="preserve">lprocesu veicošo amatpersonu – [..] </w:t>
      </w:r>
      <w:r w:rsidRPr="005A5D63">
        <w:rPr>
          <w:rFonts w:eastAsia="Times New Roman" w:cs="Times New Roman"/>
          <w:szCs w:val="24"/>
          <w:lang w:eastAsia="lv-LV"/>
        </w:rPr>
        <w:t>rīcību, izsniedzot cietušajiem kriminālprocesa (kurā prasītājs ir apsūdzētais) materiālus. Prasītāja ieskatā, prokuroru rīcība ir prettiesiska, jo ir pārkāptas tiesību normas, kas aizsargā personas privāto dzīvi, kas sevī ietver gan informāciju par personas veselību, gan tiesības uz mājokli, kā arī telekomunikāciju noslēpumu. </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09"/>
        <w:jc w:val="both"/>
        <w:rPr>
          <w:rFonts w:eastAsia="Times New Roman" w:cs="Times New Roman"/>
          <w:szCs w:val="24"/>
          <w:lang w:eastAsia="lv-LV"/>
        </w:rPr>
      </w:pPr>
      <w:r w:rsidRPr="005A5D63">
        <w:rPr>
          <w:rFonts w:eastAsia="Times New Roman" w:cs="Times New Roman"/>
          <w:szCs w:val="24"/>
          <w:lang w:eastAsia="lv-LV"/>
        </w:rPr>
        <w:t>Kā izriet no lietas materiāliem, prasības pieteikumā norādītās [amatpersonu] darbības (cietušajiem krimināllietā izsniegtas ziņas par prasītāja [sensitīviem datiem] un privātās telefonsarunas), ar kurām tiek saistīta valsts atbildība, ir veiktas krimināllietas ietvaros.</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Sūdzības par šāda veida iespējamiem pārkāpumiem izskatāmas Kriminālprocesa likumā noteiktajā kārtībā. Proti, sūdzību par kriminālprocesu veicošās amatpersonas rīcību vai nolēmumu var iesniegt procesā iesaistītā persona, kā arī persona, kuras tiesības vai likumīgās intereses ir aizskartas ar konkrēto rīcību vai nolēmumu (</w:t>
      </w:r>
      <w:proofErr w:type="gramStart"/>
      <w:r w:rsidRPr="005A5D63">
        <w:rPr>
          <w:rFonts w:eastAsia="Times New Roman" w:cs="Times New Roman"/>
          <w:szCs w:val="24"/>
          <w:lang w:eastAsia="lv-LV"/>
        </w:rPr>
        <w:t>336.panta</w:t>
      </w:r>
      <w:proofErr w:type="gramEnd"/>
      <w:r w:rsidRPr="005A5D63">
        <w:rPr>
          <w:rFonts w:eastAsia="Times New Roman" w:cs="Times New Roman"/>
          <w:szCs w:val="24"/>
          <w:lang w:eastAsia="lv-LV"/>
        </w:rPr>
        <w:t xml:space="preserve"> pirmā daļa).</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Sūdzību adresē un iesniedz amatpersonai vai institūcijai, kura ir tiesīga to izlemt, vai arī sūdzību var iesniegt amatpersonai, kuras rīcība vai lēmums tiek pārsūdzēts (</w:t>
      </w:r>
      <w:proofErr w:type="gramStart"/>
      <w:r w:rsidRPr="005A5D63">
        <w:rPr>
          <w:rFonts w:eastAsia="Times New Roman" w:cs="Times New Roman"/>
          <w:szCs w:val="24"/>
          <w:lang w:eastAsia="lv-LV"/>
        </w:rPr>
        <w:t>337.panta</w:t>
      </w:r>
      <w:proofErr w:type="gramEnd"/>
      <w:r w:rsidRPr="005A5D63">
        <w:rPr>
          <w:rFonts w:eastAsia="Times New Roman" w:cs="Times New Roman"/>
          <w:szCs w:val="24"/>
          <w:lang w:eastAsia="lv-LV"/>
        </w:rPr>
        <w:t xml:space="preserve"> pirmā daļa). Sūdzību par izmeklēšanas grupas dalībnieka, procesuālā uzdevuma izpildītāja, eksperta vai revidenta rīcību nodod izlemšanai procesa virzītājam; sūdzību par izmeklētāja vai izmeklētāja tiešā priekšnieka rīcību vai lēmumiem – uzraugošajam prokuroram; sūdzību par prokurora rīcību vai lēmumiem – amatā augstākam prokuroram (</w:t>
      </w:r>
      <w:proofErr w:type="gramStart"/>
      <w:r w:rsidRPr="005A5D63">
        <w:rPr>
          <w:rFonts w:eastAsia="Times New Roman" w:cs="Times New Roman"/>
          <w:szCs w:val="24"/>
          <w:lang w:eastAsia="lv-LV"/>
        </w:rPr>
        <w:t>337.panta</w:t>
      </w:r>
      <w:proofErr w:type="gramEnd"/>
      <w:r w:rsidRPr="005A5D63">
        <w:rPr>
          <w:rFonts w:eastAsia="Times New Roman" w:cs="Times New Roman"/>
          <w:szCs w:val="24"/>
          <w:lang w:eastAsia="lv-LV"/>
        </w:rPr>
        <w:t xml:space="preserve"> otrās daļas 1., 2. un </w:t>
      </w:r>
      <w:r w:rsidRPr="005A5D63">
        <w:rPr>
          <w:rFonts w:eastAsia="Times New Roman" w:cs="Times New Roman"/>
          <w:szCs w:val="24"/>
          <w:lang w:eastAsia="lv-LV"/>
        </w:rPr>
        <w:lastRenderedPageBreak/>
        <w:t>3.punkts). Ja persona ir pārsūdzējusi minēto personu rīcību vai lēmumu un nepiekrīt sūdzības izskatītāja – amatā augstāka prokurora pieņemtajam lēmumam, tā var pārsūdzēt šo lēmumu nākamajam amatā augstākajam prokuroram, kura lēmums pirmstiesas kriminālprocesā nav pārsūdzams (337.panta trešā daļa).</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Personai, kura iesniegusi sūdzību, paziņo par sūdzības izlemšanu un tālākas pārsūdzības iespēju un kārtību. Ja ar pārsūdzēto rīcību vai nolēmumu personai pretlikumīgi nodarīts kaitējums, tai izskaidro tiesības prasīt kaitējuma atlīdzību vai novēršanu un šo tiesību īstenošanas kārtību. Sūdzību un uz to sniegtās atbildes kopiju, kā arī sūdzības pārbaudes materiālus pievieno krimināllietai (</w:t>
      </w:r>
      <w:proofErr w:type="gramStart"/>
      <w:r w:rsidRPr="005A5D63">
        <w:rPr>
          <w:rFonts w:eastAsia="Times New Roman" w:cs="Times New Roman"/>
          <w:szCs w:val="24"/>
          <w:lang w:eastAsia="lv-LV"/>
        </w:rPr>
        <w:t>345.pants</w:t>
      </w:r>
      <w:proofErr w:type="gramEnd"/>
      <w:r w:rsidRPr="005A5D63">
        <w:rPr>
          <w:rFonts w:eastAsia="Times New Roman" w:cs="Times New Roman"/>
          <w:szCs w:val="24"/>
          <w:lang w:eastAsia="lv-LV"/>
        </w:rPr>
        <w:t>). Sūdzības par amatpersonu rīcību un lēmumiem pirmstiesas izmeklēšanā var iesniegt visā pirmstiesas procesa laikā (</w:t>
      </w:r>
      <w:proofErr w:type="gramStart"/>
      <w:r w:rsidRPr="005A5D63">
        <w:rPr>
          <w:rFonts w:eastAsia="Times New Roman" w:cs="Times New Roman"/>
          <w:szCs w:val="24"/>
          <w:lang w:eastAsia="lv-LV"/>
        </w:rPr>
        <w:t>339.panta</w:t>
      </w:r>
      <w:proofErr w:type="gramEnd"/>
      <w:r w:rsidRPr="005A5D63">
        <w:rPr>
          <w:rFonts w:eastAsia="Times New Roman" w:cs="Times New Roman"/>
          <w:szCs w:val="24"/>
          <w:lang w:eastAsia="lv-LV"/>
        </w:rPr>
        <w:t xml:space="preserve"> pirmā daļa).</w:t>
      </w:r>
    </w:p>
    <w:p w:rsidR="006E1C7B" w:rsidRPr="005A5D63" w:rsidRDefault="006E1C7B" w:rsidP="00B012BB">
      <w:pPr>
        <w:spacing w:after="0" w:line="276" w:lineRule="auto"/>
        <w:jc w:val="both"/>
        <w:rPr>
          <w:rFonts w:eastAsia="Times New Roman" w:cs="Times New Roman"/>
          <w:szCs w:val="24"/>
          <w:lang w:eastAsia="lv-LV"/>
        </w:rPr>
      </w:pPr>
      <w:r w:rsidRPr="005A5D63">
        <w:rPr>
          <w:rFonts w:eastAsia="Times New Roman" w:cs="Times New Roman"/>
          <w:szCs w:val="24"/>
          <w:lang w:eastAsia="lv-LV"/>
        </w:rPr>
        <w:t> </w:t>
      </w: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Savukārt pēc krimināllietas nodošanas tiesai tiesa ir tā institūcija, kas izvērtē visas iepriekšējās kriminālprocesa stadijās veiktās procesuālās darbības, arī tādas, kas ierobežo personas pamattiesības (</w:t>
      </w:r>
      <w:r w:rsidRPr="005A5D63">
        <w:rPr>
          <w:rFonts w:eastAsia="Times New Roman" w:cs="Times New Roman"/>
          <w:i/>
          <w:iCs/>
          <w:szCs w:val="24"/>
          <w:lang w:eastAsia="lv-LV"/>
        </w:rPr>
        <w:t xml:space="preserve">sk. Satversmes tiesas </w:t>
      </w:r>
      <w:proofErr w:type="gramStart"/>
      <w:r w:rsidRPr="005A5D63">
        <w:rPr>
          <w:rFonts w:eastAsia="Times New Roman" w:cs="Times New Roman"/>
          <w:i/>
          <w:iCs/>
          <w:szCs w:val="24"/>
          <w:lang w:eastAsia="lv-LV"/>
        </w:rPr>
        <w:t>2004.gada</w:t>
      </w:r>
      <w:proofErr w:type="gramEnd"/>
      <w:r w:rsidRPr="005A5D63">
        <w:rPr>
          <w:rFonts w:eastAsia="Times New Roman" w:cs="Times New Roman"/>
          <w:i/>
          <w:iCs/>
          <w:szCs w:val="24"/>
          <w:lang w:eastAsia="lv-LV"/>
        </w:rPr>
        <w:t xml:space="preserve"> 11.oktobra sprieduma lietā Nr.2004–06–01 20.punktu</w:t>
      </w:r>
      <w:r w:rsidRPr="005A5D63">
        <w:rPr>
          <w:rFonts w:eastAsia="Times New Roman" w:cs="Times New Roman"/>
          <w:szCs w:val="24"/>
          <w:lang w:eastAsia="lv-LV"/>
        </w:rPr>
        <w:t>).</w:t>
      </w: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Tātad personas tiesības un likumīgās intereses kriminālprocesa ietvaros tiek aizsargātas ar Kriminālprocesa likumā noteiktajiem tiesiskajiem līdzekļiem. Attiecība, kas kriminālprocesā veidojas starp valsti un kriminālprocesā iesaistīto personu (šajā gadījumā starp prokuratūru un prasītāju), nav civiltiesiska attiecība.</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 xml:space="preserve">Likums „Par tiesu varu” ir nodalījis tiesas spriešanu civillietās, krimināllietās un administratīvajās lietās (5., 6. un </w:t>
      </w:r>
      <w:proofErr w:type="gramStart"/>
      <w:r w:rsidRPr="005A5D63">
        <w:rPr>
          <w:rFonts w:eastAsia="Times New Roman" w:cs="Times New Roman"/>
          <w:szCs w:val="24"/>
          <w:lang w:eastAsia="lv-LV"/>
        </w:rPr>
        <w:t>7.pants</w:t>
      </w:r>
      <w:proofErr w:type="gramEnd"/>
      <w:r w:rsidRPr="005A5D63">
        <w:rPr>
          <w:rFonts w:eastAsia="Times New Roman" w:cs="Times New Roman"/>
          <w:szCs w:val="24"/>
          <w:lang w:eastAsia="lv-LV"/>
        </w:rPr>
        <w:t>). Tas nozīmē, ka valsts apsūdzības uzturēšanā nevar iejaukties citas nozares tiesas spriešanā, kā arī nevar civilprocesuālā kārtībā vērtēt krimināllietā pārbaudāmos apstākļus, procesuālās un izmeklēšanas darbības.</w:t>
      </w:r>
    </w:p>
    <w:p w:rsidR="006E1C7B" w:rsidRPr="005A5D63" w:rsidRDefault="006E1C7B" w:rsidP="00B012BB">
      <w:pPr>
        <w:spacing w:after="0" w:line="276" w:lineRule="auto"/>
        <w:jc w:val="both"/>
        <w:rPr>
          <w:rFonts w:eastAsia="Times New Roman" w:cs="Times New Roman"/>
          <w:szCs w:val="24"/>
          <w:lang w:eastAsia="lv-LV"/>
        </w:rPr>
      </w:pPr>
      <w:r w:rsidRPr="005A5D63">
        <w:rPr>
          <w:rFonts w:eastAsia="Times New Roman" w:cs="Times New Roman"/>
          <w:szCs w:val="24"/>
          <w:lang w:eastAsia="lv-LV"/>
        </w:rPr>
        <w:t> </w:t>
      </w: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Prasījumus sakarā ar iespējamu morālo kaitējumu kriminālprocesā iesaistītā persona nevar ierosināt civilprocesuālā kārtībā tāpēc vien, ka uzskata, ka viņai radies morāls kaitējums un tajā vainojams viņas norādītais tiesību subjekts, izvirzot par prasības pamatu iespējamos pārkāpumus, kas pārbaudāmi kriminālprocesa ietvaros pirmstiesas izmeklēšanā. Ja tiesā iesniegta civilprasība bez pierādījumiem par prettiesiskas rīcības konstatēšanu kriminālprocesā noteiktajā kārtībā, tad tāds pieteikums nav pakļauts tiesas izskatīšanai. Tiesai, kas skata civiltiesiskus strīdus, nav pienākuma izvērtēt procesa virzītāja vai prokuratūras rīcības tiesiskumu kriminālprocesā (</w:t>
      </w:r>
      <w:r w:rsidRPr="005A5D63">
        <w:rPr>
          <w:rFonts w:eastAsia="Times New Roman" w:cs="Times New Roman"/>
          <w:i/>
          <w:iCs/>
          <w:szCs w:val="24"/>
          <w:lang w:eastAsia="lv-LV"/>
        </w:rPr>
        <w:t xml:space="preserve">sk. Augstākās tiesas </w:t>
      </w:r>
      <w:proofErr w:type="gramStart"/>
      <w:r w:rsidRPr="005A5D63">
        <w:rPr>
          <w:rFonts w:eastAsia="Times New Roman" w:cs="Times New Roman"/>
          <w:i/>
          <w:iCs/>
          <w:szCs w:val="24"/>
          <w:lang w:eastAsia="lv-LV"/>
        </w:rPr>
        <w:t>2010.gada</w:t>
      </w:r>
      <w:proofErr w:type="gramEnd"/>
      <w:r w:rsidRPr="005A5D63">
        <w:rPr>
          <w:rFonts w:eastAsia="Times New Roman" w:cs="Times New Roman"/>
          <w:i/>
          <w:iCs/>
          <w:szCs w:val="24"/>
          <w:lang w:eastAsia="lv-LV"/>
        </w:rPr>
        <w:t xml:space="preserve"> 10.marta lēmumu lietā </w:t>
      </w:r>
      <w:proofErr w:type="spellStart"/>
      <w:r w:rsidRPr="005A5D63">
        <w:rPr>
          <w:rFonts w:eastAsia="Times New Roman" w:cs="Times New Roman"/>
          <w:i/>
          <w:iCs/>
          <w:szCs w:val="24"/>
          <w:lang w:eastAsia="lv-LV"/>
        </w:rPr>
        <w:t>Nr.SKC-599</w:t>
      </w:r>
      <w:proofErr w:type="spellEnd"/>
      <w:r w:rsidRPr="005A5D63">
        <w:rPr>
          <w:rFonts w:eastAsia="Times New Roman" w:cs="Times New Roman"/>
          <w:i/>
          <w:iCs/>
          <w:szCs w:val="24"/>
          <w:lang w:eastAsia="lv-LV"/>
        </w:rPr>
        <w:t>/2010</w:t>
      </w:r>
      <w:r w:rsidRPr="005A5D63">
        <w:rPr>
          <w:rFonts w:eastAsia="Times New Roman" w:cs="Times New Roman"/>
          <w:szCs w:val="24"/>
          <w:lang w:eastAsia="lv-LV"/>
        </w:rPr>
        <w:t>).</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567"/>
        <w:jc w:val="both"/>
        <w:rPr>
          <w:rFonts w:eastAsia="Times New Roman" w:cs="Times New Roman"/>
          <w:szCs w:val="24"/>
          <w:lang w:eastAsia="lv-LV"/>
        </w:rPr>
      </w:pPr>
      <w:r w:rsidRPr="005A5D63">
        <w:rPr>
          <w:rFonts w:eastAsia="Times New Roman" w:cs="Times New Roman"/>
          <w:szCs w:val="24"/>
          <w:lang w:eastAsia="lv-LV"/>
        </w:rPr>
        <w:t>To, ka likums nav paredzējis civilprocesa kārtībā pārbaudīt amatpersonu rīcības tiesiskumu kriminālprocesā, faktiski atzinusi arī apelācijas instances tiesa, pamatojot tiesvedības izbeigšanu prasības daļā pret prokuroriem.</w:t>
      </w:r>
    </w:p>
    <w:p w:rsidR="006E1C7B" w:rsidRPr="005A5D63" w:rsidRDefault="006E1C7B" w:rsidP="00B012BB">
      <w:pPr>
        <w:spacing w:after="0" w:line="276" w:lineRule="auto"/>
        <w:jc w:val="both"/>
        <w:rPr>
          <w:rFonts w:eastAsia="Times New Roman" w:cs="Times New Roman"/>
          <w:szCs w:val="24"/>
          <w:lang w:eastAsia="lv-LV"/>
        </w:rPr>
      </w:pPr>
      <w:r w:rsidRPr="005A5D63">
        <w:rPr>
          <w:rFonts w:eastAsia="Times New Roman" w:cs="Times New Roman"/>
          <w:szCs w:val="24"/>
          <w:lang w:eastAsia="lv-LV"/>
        </w:rPr>
        <w:t> </w:t>
      </w:r>
    </w:p>
    <w:p w:rsidR="006E1C7B" w:rsidRPr="005A5D63" w:rsidRDefault="006E1C7B" w:rsidP="00B012BB">
      <w:pPr>
        <w:spacing w:after="0" w:line="276" w:lineRule="auto"/>
        <w:ind w:firstLine="567"/>
        <w:jc w:val="both"/>
        <w:rPr>
          <w:rFonts w:eastAsia="Times New Roman" w:cs="Times New Roman"/>
          <w:szCs w:val="24"/>
          <w:lang w:eastAsia="lv-LV"/>
        </w:rPr>
      </w:pPr>
      <w:r w:rsidRPr="005A5D63">
        <w:rPr>
          <w:rFonts w:eastAsia="Times New Roman" w:cs="Times New Roman"/>
          <w:szCs w:val="24"/>
          <w:lang w:eastAsia="lv-LV"/>
        </w:rPr>
        <w:t xml:space="preserve">Apgalvojums kasācijas sūdzībā, ka prasītājs nemaz nav lūdzis civilprocesa kārtībā pārbaudīt amatpersonu rīcības tiesiskumu kriminālprocesā, ir nepamatots, jo cilvēktiesību pārkāpumi, uz kuriem ir norādīts prasības pieteikumā kā pamatu morālā kaitējuma atlīdzības piedziņai no valsts, ir nesaraujami saistīti ar procesa virzītāju – prokuroru (atbildētāju lietā) kriminālprocesā veiktajām procesuālajām darbībām. Nepārbaudot šo darbību tiesiskumu, nav iespējams izdarīt secinājumus par prasītāja tiesību aizskāruma esību vai neesību. To apstiprina </w:t>
      </w:r>
      <w:r w:rsidRPr="005A5D63">
        <w:rPr>
          <w:rFonts w:eastAsia="Times New Roman" w:cs="Times New Roman"/>
          <w:szCs w:val="24"/>
          <w:lang w:eastAsia="lv-LV"/>
        </w:rPr>
        <w:lastRenderedPageBreak/>
        <w:t>paša kasācijas sūdzības iesniedzēja apelācijas instances tiesai adresētie pārmetumi par vairāku Kriminālprocesa likuma normu nepareizu iztulkošanu (</w:t>
      </w:r>
      <w:r w:rsidRPr="005A5D63">
        <w:rPr>
          <w:rFonts w:eastAsia="Times New Roman" w:cs="Times New Roman"/>
          <w:i/>
          <w:iCs/>
          <w:szCs w:val="24"/>
          <w:lang w:eastAsia="lv-LV"/>
        </w:rPr>
        <w:t>sk. šī sprieduma 5.3 un 5.4.punktu</w:t>
      </w:r>
      <w:r w:rsidRPr="005A5D63">
        <w:rPr>
          <w:rFonts w:eastAsia="Times New Roman" w:cs="Times New Roman"/>
          <w:szCs w:val="24"/>
          <w:lang w:eastAsia="lv-LV"/>
        </w:rPr>
        <w:t>).</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 xml:space="preserve">[10] Civilprocesa likuma </w:t>
      </w:r>
      <w:proofErr w:type="gramStart"/>
      <w:r w:rsidRPr="005A5D63">
        <w:rPr>
          <w:rFonts w:eastAsia="Times New Roman" w:cs="Times New Roman"/>
          <w:szCs w:val="24"/>
          <w:lang w:eastAsia="lv-LV"/>
        </w:rPr>
        <w:t>223.pantā</w:t>
      </w:r>
      <w:proofErr w:type="gramEnd"/>
      <w:r w:rsidRPr="005A5D63">
        <w:rPr>
          <w:rFonts w:eastAsia="Times New Roman" w:cs="Times New Roman"/>
          <w:szCs w:val="24"/>
          <w:lang w:eastAsia="lv-LV"/>
        </w:rPr>
        <w:t xml:space="preserve"> ir uzskaitīti apstākļi (pamati), kurus konstatējot, tiesai ir pienākums tiesvedību lietā izbeigt bez lietas izskatīšanas pēc būtības, sprieduma taisīšanas un pasludināšanas. Par nenovēršamu šķērsli lietas izskatīšanai pēc būtības šā panta 1.punktā ir noteikts tas, ka lietas izskatīšana nav pakļauta tiesai.</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 xml:space="preserve">Šajā sakarā tiesību doktrīnā atzīts, ka civilprocesuālā kārtībā izskatāmo lietu loku Civilprocesa likuma </w:t>
      </w:r>
      <w:proofErr w:type="gramStart"/>
      <w:r w:rsidRPr="005A5D63">
        <w:rPr>
          <w:rFonts w:eastAsia="Times New Roman" w:cs="Times New Roman"/>
          <w:szCs w:val="24"/>
          <w:lang w:eastAsia="lv-LV"/>
        </w:rPr>
        <w:t>1.pants</w:t>
      </w:r>
      <w:proofErr w:type="gramEnd"/>
      <w:r w:rsidRPr="005A5D63">
        <w:rPr>
          <w:rFonts w:eastAsia="Times New Roman" w:cs="Times New Roman"/>
          <w:szCs w:val="24"/>
          <w:lang w:eastAsia="lv-LV"/>
        </w:rPr>
        <w:t xml:space="preserve"> nosaka ļoti vispārīgā formulējumā – katrai personai ir tiesības uz savu aizskarto vai apstrīdēto civilo tiesību un ar likumu aizsargāto interešu aizsardzību tiesā. Civilo tiesību jēdzienu attīsta un līdz ar to izpratni par tai pakļautajiem strīdiem paplašina noteikumi par lietas pakļautību un piekritību. Civilprocesa likuma </w:t>
      </w:r>
      <w:proofErr w:type="gramStart"/>
      <w:r w:rsidRPr="005A5D63">
        <w:rPr>
          <w:rFonts w:eastAsia="Times New Roman" w:cs="Times New Roman"/>
          <w:szCs w:val="24"/>
          <w:lang w:eastAsia="lv-LV"/>
        </w:rPr>
        <w:t>23.pantā</w:t>
      </w:r>
      <w:proofErr w:type="gramEnd"/>
      <w:r w:rsidRPr="005A5D63">
        <w:rPr>
          <w:rFonts w:eastAsia="Times New Roman" w:cs="Times New Roman"/>
          <w:szCs w:val="24"/>
          <w:lang w:eastAsia="lv-LV"/>
        </w:rPr>
        <w:t xml:space="preserve"> vēlreiz norādīts, ka tiesai pakļauti tieši un tikai civiltiesiskie strīdi. Sabiedriskajās attiecībās var būt arī cita rakstura strīdi, tostarp par iespējamiem tiesību vai interešu aizskārumiem administratīvajās attiecībās vai kriminālprocesa virzības gaitā. Tie nav risināmi civilprocesa kārtībā </w:t>
      </w:r>
      <w:proofErr w:type="gramStart"/>
      <w:r w:rsidRPr="005A5D63">
        <w:rPr>
          <w:rFonts w:eastAsia="Times New Roman" w:cs="Times New Roman"/>
          <w:szCs w:val="24"/>
          <w:lang w:eastAsia="lv-LV"/>
        </w:rPr>
        <w:t>(</w:t>
      </w:r>
      <w:proofErr w:type="gramEnd"/>
      <w:r w:rsidRPr="005A5D63">
        <w:rPr>
          <w:rFonts w:eastAsia="Times New Roman" w:cs="Times New Roman"/>
          <w:i/>
          <w:iCs/>
          <w:szCs w:val="24"/>
          <w:lang w:eastAsia="lv-LV"/>
        </w:rPr>
        <w:t>sk. Civilprocesa likuma komentāri. I daļa. (1.-28.nodaļa).Sagatavojis autoru kolektīvs Prof. K.Torgāna zinātniskajā redakcijā. Rīga: Tiesu namu aģentūra, 2011, 497.lpp</w:t>
      </w:r>
      <w:r w:rsidRPr="005A5D63">
        <w:rPr>
          <w:rFonts w:eastAsia="Times New Roman" w:cs="Times New Roman"/>
          <w:szCs w:val="24"/>
          <w:lang w:eastAsia="lv-LV"/>
        </w:rPr>
        <w:t>.).</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Kā iepriekš jau norādīts, apelācijas instances tiesa pamatoti atzinusi, ka tiesai, kas skata civiltiesiskus strīdus, nav pienākums pārbaudīt procesa virzītāja rīcības tiesiskumu kriminālprocesā. Un, tā kā valsts</w:t>
      </w:r>
      <w:r w:rsidR="00C249D3" w:rsidRPr="005A5D63">
        <w:rPr>
          <w:rFonts w:eastAsia="Times New Roman" w:cs="Times New Roman"/>
          <w:szCs w:val="24"/>
          <w:lang w:eastAsia="lv-LV"/>
        </w:rPr>
        <w:t xml:space="preserve"> (</w:t>
      </w:r>
      <w:r w:rsidR="00C249D3" w:rsidRPr="005A5D63">
        <w:rPr>
          <w:rFonts w:cs="Times New Roman"/>
          <w:szCs w:val="24"/>
        </w:rPr>
        <w:t>Ģenerālprokuratūras personā)</w:t>
      </w:r>
      <w:r w:rsidRPr="005A5D63">
        <w:rPr>
          <w:rFonts w:eastAsia="Times New Roman" w:cs="Times New Roman"/>
          <w:szCs w:val="24"/>
          <w:lang w:eastAsia="lv-LV"/>
        </w:rPr>
        <w:t xml:space="preserve"> atbildība par personai nodarīto kaitējumu iestājas tajā gadījumā, ja tiek konstatēta izziņas izdarītāja (prokurora) prettiesiska rīcība, tad atzīstams, ka arī</w:t>
      </w:r>
      <w:r w:rsidR="00C249D3" w:rsidRPr="005A5D63">
        <w:rPr>
          <w:rFonts w:eastAsia="Times New Roman" w:cs="Times New Roman"/>
          <w:szCs w:val="24"/>
          <w:lang w:eastAsia="lv-LV"/>
        </w:rPr>
        <w:t xml:space="preserve"> prasība pret valsti </w:t>
      </w:r>
      <w:r w:rsidR="00C249D3" w:rsidRPr="005A5D63">
        <w:rPr>
          <w:rFonts w:cs="Times New Roman"/>
          <w:szCs w:val="24"/>
        </w:rPr>
        <w:t>Ģenerālprokuratūras personā</w:t>
      </w:r>
      <w:r w:rsidRPr="005A5D63">
        <w:rPr>
          <w:rFonts w:eastAsia="Times New Roman" w:cs="Times New Roman"/>
          <w:szCs w:val="24"/>
          <w:lang w:eastAsia="lv-LV"/>
        </w:rPr>
        <w:t xml:space="preserve"> par morālā kaitējuma atlīdzināšanu sakarā ar iespējamiem pārkāpumiem kriminālprocesā nav pakļauta izskatīšanai tiesā Civilprocesa likumā noteiktajā kārtībā. Cilvēka tiesību un pamatbrīvību aizsardzības kārtība Latvijā ir regulēta atbilstoši Satversmei un konkrētiem likumiem, tostarp, Kriminālprocesa likumam. Prasītāja atsaukšanās uz Satversmes 92.pantu, Konvencijas 13.pantu, Civillikuma 1635. un 5.pantu, kā arī Fizisko personu datu aizsardzības likuma normām nemaina to, ka konkrētais gadījums nav civilprocesuālā kārtībā izskatāms civiltiesiska rakstura strīds.</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D70010"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[Apelācijas instances tiesa</w:t>
      </w:r>
      <w:r w:rsidR="004D2B38" w:rsidRPr="005A5D63">
        <w:rPr>
          <w:rFonts w:eastAsia="Times New Roman" w:cs="Times New Roman"/>
          <w:szCs w:val="24"/>
          <w:lang w:eastAsia="lv-LV"/>
        </w:rPr>
        <w:t>]</w:t>
      </w:r>
      <w:r w:rsidRPr="005A5D63">
        <w:rPr>
          <w:rFonts w:eastAsia="Times New Roman" w:cs="Times New Roman"/>
          <w:szCs w:val="24"/>
          <w:lang w:eastAsia="lv-LV"/>
        </w:rPr>
        <w:t xml:space="preserve"> </w:t>
      </w:r>
      <w:r w:rsidR="006E1C7B" w:rsidRPr="005A5D63">
        <w:rPr>
          <w:rFonts w:eastAsia="Times New Roman" w:cs="Times New Roman"/>
          <w:szCs w:val="24"/>
          <w:lang w:eastAsia="lv-LV"/>
        </w:rPr>
        <w:t>kā vispārējās jurisdikcijas tiesa, izskatīdama pēc būtības strīdu (prasību daļā pret Latvijas valsti Ģenerālprokuratūras</w:t>
      </w:r>
      <w:proofErr w:type="gramStart"/>
      <w:r w:rsidR="006E1C7B" w:rsidRPr="005A5D63">
        <w:rPr>
          <w:rFonts w:eastAsia="Times New Roman" w:cs="Times New Roman"/>
          <w:szCs w:val="24"/>
          <w:lang w:eastAsia="lv-LV"/>
        </w:rPr>
        <w:t xml:space="preserve">  </w:t>
      </w:r>
      <w:proofErr w:type="gramEnd"/>
      <w:r w:rsidR="006E1C7B" w:rsidRPr="005A5D63">
        <w:rPr>
          <w:rFonts w:eastAsia="Times New Roman" w:cs="Times New Roman"/>
          <w:szCs w:val="24"/>
          <w:lang w:eastAsia="lv-LV"/>
        </w:rPr>
        <w:t>personā), kuram nav civiltiesisks raksturs un kas iepriekš izklāstīto argumentu dēļ tai nav pakļauts, pārkāpusi Civilprocesa likuma 223.panta 1.punktu. Minētais procesuālo tiesību normas pārkāpums novedis pie nelikumīga sprieduma taisīšanas, tādēļ pārsūdzētais spriedums daļā, ar kuru prasība par morālā kaitējuma atlīdzības piedziņu pret Latvi</w:t>
      </w:r>
      <w:r w:rsidR="00EB069A" w:rsidRPr="005A5D63">
        <w:rPr>
          <w:rFonts w:eastAsia="Times New Roman" w:cs="Times New Roman"/>
          <w:szCs w:val="24"/>
          <w:lang w:eastAsia="lv-LV"/>
        </w:rPr>
        <w:t xml:space="preserve">jas valsti Ģenerālprokuratūras </w:t>
      </w:r>
      <w:r w:rsidR="006E1C7B" w:rsidRPr="005A5D63">
        <w:rPr>
          <w:rFonts w:eastAsia="Times New Roman" w:cs="Times New Roman"/>
          <w:szCs w:val="24"/>
          <w:lang w:eastAsia="lv-LV"/>
        </w:rPr>
        <w:t xml:space="preserve">personā noraidīta, atceļams un saskaņā ar Civilprocesa likuma </w:t>
      </w:r>
      <w:proofErr w:type="gramStart"/>
      <w:r w:rsidR="006E1C7B" w:rsidRPr="005A5D63">
        <w:rPr>
          <w:rFonts w:eastAsia="Times New Roman" w:cs="Times New Roman"/>
          <w:szCs w:val="24"/>
          <w:lang w:eastAsia="lv-LV"/>
        </w:rPr>
        <w:t>474.panta</w:t>
      </w:r>
      <w:proofErr w:type="gramEnd"/>
      <w:r w:rsidR="006E1C7B" w:rsidRPr="005A5D63">
        <w:rPr>
          <w:rFonts w:eastAsia="Times New Roman" w:cs="Times New Roman"/>
          <w:szCs w:val="24"/>
          <w:lang w:eastAsia="lv-LV"/>
        </w:rPr>
        <w:t xml:space="preserve"> 3.punktu tiesvedība šajā prasības daļā izbeidzama.</w:t>
      </w:r>
    </w:p>
    <w:p w:rsidR="006E1C7B" w:rsidRPr="005A5D63" w:rsidRDefault="006E1C7B" w:rsidP="00B012BB">
      <w:pPr>
        <w:spacing w:after="0" w:line="276" w:lineRule="auto"/>
        <w:jc w:val="both"/>
        <w:rPr>
          <w:rFonts w:eastAsia="Times New Roman" w:cs="Times New Roman"/>
          <w:szCs w:val="24"/>
          <w:lang w:eastAsia="lv-LV"/>
        </w:rPr>
      </w:pPr>
      <w:r w:rsidRPr="005A5D63">
        <w:rPr>
          <w:rFonts w:eastAsia="Times New Roman" w:cs="Times New Roman"/>
          <w:szCs w:val="24"/>
          <w:lang w:eastAsia="lv-LV"/>
        </w:rPr>
        <w:t> </w:t>
      </w: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 xml:space="preserve">Attiecībā uz kasācijas sūdzības argumentu par to, ka tiesa ir ierobežojusi prasītāja tiesības uz tiesas aizsardzību, Augstākā tiesa norāda, ka tiesības vērsties tiesā nav absolūtas. Ja Satversmes </w:t>
      </w:r>
      <w:proofErr w:type="gramStart"/>
      <w:r w:rsidRPr="005A5D63">
        <w:rPr>
          <w:rFonts w:eastAsia="Times New Roman" w:cs="Times New Roman"/>
          <w:szCs w:val="24"/>
          <w:lang w:eastAsia="lv-LV"/>
        </w:rPr>
        <w:t>92.pantā</w:t>
      </w:r>
      <w:proofErr w:type="gramEnd"/>
      <w:r w:rsidRPr="005A5D63">
        <w:rPr>
          <w:rFonts w:eastAsia="Times New Roman" w:cs="Times New Roman"/>
          <w:szCs w:val="24"/>
          <w:lang w:eastAsia="lv-LV"/>
        </w:rPr>
        <w:t xml:space="preserve"> paredzētajām tiesībām netiktu noteikti ierobežojumi, tas nonāktu pretrunā gan ar Satversmē garantētajām citu personu pamattiesībām, gan arī ar citām pamatlikumā paredzētajām normām. Arī Eiropas Cilvēktiesību tiesa ir norādījusi, ka tiesības uz taisnīgu tiesu </w:t>
      </w:r>
      <w:r w:rsidRPr="005A5D63">
        <w:rPr>
          <w:rFonts w:eastAsia="Times New Roman" w:cs="Times New Roman"/>
          <w:szCs w:val="24"/>
          <w:lang w:eastAsia="lv-LV"/>
        </w:rPr>
        <w:lastRenderedPageBreak/>
        <w:t>var tikt ierobežotas tiktāl, ciktāl tās netiek atņemtas pēc būtības (</w:t>
      </w:r>
      <w:r w:rsidRPr="005A5D63">
        <w:rPr>
          <w:rFonts w:eastAsia="Times New Roman" w:cs="Times New Roman"/>
          <w:i/>
          <w:iCs/>
          <w:szCs w:val="24"/>
          <w:lang w:eastAsia="lv-LV"/>
        </w:rPr>
        <w:t xml:space="preserve">sk. Eiropas Cilvēktiesību tiesas </w:t>
      </w:r>
      <w:proofErr w:type="gramStart"/>
      <w:r w:rsidRPr="005A5D63">
        <w:rPr>
          <w:rFonts w:eastAsia="Times New Roman" w:cs="Times New Roman"/>
          <w:i/>
          <w:iCs/>
          <w:szCs w:val="24"/>
          <w:lang w:eastAsia="lv-LV"/>
        </w:rPr>
        <w:t>1975.gada</w:t>
      </w:r>
      <w:proofErr w:type="gramEnd"/>
      <w:r w:rsidRPr="005A5D63">
        <w:rPr>
          <w:rFonts w:eastAsia="Times New Roman" w:cs="Times New Roman"/>
          <w:i/>
          <w:iCs/>
          <w:szCs w:val="24"/>
          <w:lang w:eastAsia="lv-LV"/>
        </w:rPr>
        <w:t xml:space="preserve"> 21.februāra spriedumu lietā „</w:t>
      </w:r>
      <w:proofErr w:type="spellStart"/>
      <w:r w:rsidRPr="005A5D63">
        <w:rPr>
          <w:rFonts w:eastAsia="Times New Roman" w:cs="Times New Roman"/>
          <w:i/>
          <w:iCs/>
          <w:szCs w:val="24"/>
          <w:lang w:eastAsia="lv-LV"/>
        </w:rPr>
        <w:t>Golder</w:t>
      </w:r>
      <w:proofErr w:type="spellEnd"/>
      <w:r w:rsidRPr="005A5D63">
        <w:rPr>
          <w:rFonts w:eastAsia="Times New Roman" w:cs="Times New Roman"/>
          <w:i/>
          <w:iCs/>
          <w:szCs w:val="24"/>
          <w:lang w:eastAsia="lv-LV"/>
        </w:rPr>
        <w:t xml:space="preserve"> v. </w:t>
      </w:r>
      <w:proofErr w:type="spellStart"/>
      <w:r w:rsidRPr="005A5D63">
        <w:rPr>
          <w:rFonts w:eastAsia="Times New Roman" w:cs="Times New Roman"/>
          <w:i/>
          <w:iCs/>
          <w:szCs w:val="24"/>
          <w:lang w:eastAsia="lv-LV"/>
        </w:rPr>
        <w:t>United</w:t>
      </w:r>
      <w:proofErr w:type="spellEnd"/>
      <w:r w:rsidRPr="005A5D63">
        <w:rPr>
          <w:rFonts w:eastAsia="Times New Roman" w:cs="Times New Roman"/>
          <w:i/>
          <w:iCs/>
          <w:szCs w:val="24"/>
          <w:lang w:eastAsia="lv-LV"/>
        </w:rPr>
        <w:t xml:space="preserve"> </w:t>
      </w:r>
      <w:proofErr w:type="spellStart"/>
      <w:r w:rsidRPr="005A5D63">
        <w:rPr>
          <w:rFonts w:eastAsia="Times New Roman" w:cs="Times New Roman"/>
          <w:i/>
          <w:iCs/>
          <w:szCs w:val="24"/>
          <w:lang w:eastAsia="lv-LV"/>
        </w:rPr>
        <w:t>Kingdom</w:t>
      </w:r>
      <w:proofErr w:type="spellEnd"/>
      <w:r w:rsidRPr="005A5D63">
        <w:rPr>
          <w:rFonts w:eastAsia="Times New Roman" w:cs="Times New Roman"/>
          <w:i/>
          <w:iCs/>
          <w:szCs w:val="24"/>
          <w:lang w:eastAsia="lv-LV"/>
        </w:rPr>
        <w:t xml:space="preserve">” un Satversmes tiesas </w:t>
      </w:r>
      <w:proofErr w:type="gramStart"/>
      <w:r w:rsidRPr="005A5D63">
        <w:rPr>
          <w:rFonts w:eastAsia="Times New Roman" w:cs="Times New Roman"/>
          <w:i/>
          <w:iCs/>
          <w:szCs w:val="24"/>
          <w:lang w:eastAsia="lv-LV"/>
        </w:rPr>
        <w:t>2002.gada</w:t>
      </w:r>
      <w:proofErr w:type="gramEnd"/>
      <w:r w:rsidRPr="005A5D63">
        <w:rPr>
          <w:rFonts w:eastAsia="Times New Roman" w:cs="Times New Roman"/>
          <w:i/>
          <w:iCs/>
          <w:szCs w:val="24"/>
          <w:lang w:eastAsia="lv-LV"/>
        </w:rPr>
        <w:t xml:space="preserve"> 26.novembra spriedumu lietā Nr.2002-09-01</w:t>
      </w:r>
      <w:r w:rsidRPr="005A5D63">
        <w:rPr>
          <w:rFonts w:eastAsia="Times New Roman" w:cs="Times New Roman"/>
          <w:szCs w:val="24"/>
          <w:lang w:eastAsia="lv-LV"/>
        </w:rPr>
        <w:t>). Prasītāja tiesības un likumīgās intereses kriminālprocesa ietvaros var tikt aizsargātas ar Kriminālprocesa likumā noteiktajiem tiesiskajiem līdzekļiem. Civiltiesisko aizsardzības līdzekļu piemērošana attiecībā uz kriminālprocesa virzītāja funkciju kontroli nav paredzēta.</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[11] Pārējā pārsūdzētajā daļā spriedums atstājams negrozīts. Kasācijas sūdzības argumenti, kuros norādīts uz vairāku procesuālo tiesību normu pārkāpumiem (</w:t>
      </w:r>
      <w:r w:rsidRPr="005A5D63">
        <w:rPr>
          <w:rFonts w:eastAsia="Times New Roman" w:cs="Times New Roman"/>
          <w:i/>
          <w:iCs/>
          <w:szCs w:val="24"/>
          <w:lang w:eastAsia="lv-LV"/>
        </w:rPr>
        <w:t>sk. šī sprieduma 5.6.punktu</w:t>
      </w:r>
      <w:r w:rsidRPr="005A5D63">
        <w:rPr>
          <w:rFonts w:eastAsia="Times New Roman" w:cs="Times New Roman"/>
          <w:szCs w:val="24"/>
          <w:lang w:eastAsia="lv-LV"/>
        </w:rPr>
        <w:t>), nav pamats sprieduma atcelšanai daļā, ar kuru noraidīta prasība pret [pers. E] par morālā kaitējuma atlīdzības piedziņu.</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 xml:space="preserve">Kaut arī Civillikuma </w:t>
      </w:r>
      <w:proofErr w:type="gramStart"/>
      <w:r w:rsidRPr="005A5D63">
        <w:rPr>
          <w:rFonts w:eastAsia="Times New Roman" w:cs="Times New Roman"/>
          <w:szCs w:val="24"/>
          <w:lang w:eastAsia="lv-LV"/>
        </w:rPr>
        <w:t>1635.pants</w:t>
      </w:r>
      <w:proofErr w:type="gramEnd"/>
      <w:r w:rsidRPr="005A5D63">
        <w:rPr>
          <w:rFonts w:eastAsia="Times New Roman" w:cs="Times New Roman"/>
          <w:szCs w:val="24"/>
          <w:lang w:eastAsia="lv-LV"/>
        </w:rPr>
        <w:t xml:space="preserve"> piešķir personai tiesības par katru tiesību aizskārumu vērsties tiesā, tomēr tas neatceļ Civilprocesa likuma 93.panta pirmajā daļā noteikto pienākumu prasītājam pierādīt sava prasījuma pamatotību. Prasījuma par morālā kaitējuma atlīdzināšanu pierādāmais pamatfakts ir atbildētāja prettiesiska rīcība – nepamatotas darbības ar prasītāja sensitīvajiem datiem un telefona sarunu ierakstu atšifrējumiem.</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 xml:space="preserve">Apelācijas instances tiesa prasību šajā daļā noraidījusi, jo: 1) nodibinājusi, ka [pers. E] izsniegtie krimināllietas materiāli nav saturējuši prasītāja sensitīvos datus (kasācijas sūdzībā tas netiek apstrīdēts); 2) nav pierādīts, ka prasītāja privātās dzīves noslēpuma (telefona sarunu) publiskošana notikusi </w:t>
      </w:r>
      <w:proofErr w:type="gramStart"/>
      <w:r w:rsidRPr="005A5D63">
        <w:rPr>
          <w:rFonts w:eastAsia="Times New Roman" w:cs="Times New Roman"/>
          <w:szCs w:val="24"/>
          <w:lang w:eastAsia="lv-LV"/>
        </w:rPr>
        <w:t>[</w:t>
      </w:r>
      <w:proofErr w:type="gramEnd"/>
      <w:r w:rsidRPr="005A5D63">
        <w:rPr>
          <w:rFonts w:eastAsia="Times New Roman" w:cs="Times New Roman"/>
          <w:szCs w:val="24"/>
          <w:lang w:eastAsia="lv-LV"/>
        </w:rPr>
        <w:t>pers. E] prettiesiskas rīcības rezultātā.</w:t>
      </w:r>
    </w:p>
    <w:p w:rsidR="006E1C7B" w:rsidRPr="005A5D63" w:rsidRDefault="006E1C7B" w:rsidP="00B012BB">
      <w:pPr>
        <w:spacing w:after="0" w:line="276" w:lineRule="auto"/>
        <w:jc w:val="both"/>
        <w:rPr>
          <w:rFonts w:eastAsia="Times New Roman" w:cs="Times New Roman"/>
          <w:szCs w:val="24"/>
          <w:lang w:eastAsia="lv-LV"/>
        </w:rPr>
      </w:pPr>
      <w:r w:rsidRPr="005A5D63">
        <w:rPr>
          <w:rFonts w:eastAsia="Times New Roman" w:cs="Times New Roman"/>
          <w:szCs w:val="24"/>
          <w:lang w:eastAsia="lv-LV"/>
        </w:rPr>
        <w:t> </w:t>
      </w: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 xml:space="preserve">Augstākajai tiesai nav iemesla minētos tiesas secinājumus apšaubīt, jo tie atbilst lietas faktiskajiem apstākļiem, kas noskaidroti pārsūdzētā sprieduma motīvu daļā atspoguļotajā Civilprocesa likuma </w:t>
      </w:r>
      <w:proofErr w:type="gramStart"/>
      <w:r w:rsidRPr="005A5D63">
        <w:rPr>
          <w:rFonts w:eastAsia="Times New Roman" w:cs="Times New Roman"/>
          <w:szCs w:val="24"/>
          <w:lang w:eastAsia="lv-LV"/>
        </w:rPr>
        <w:t>97.panta</w:t>
      </w:r>
      <w:proofErr w:type="gramEnd"/>
      <w:r w:rsidRPr="005A5D63">
        <w:rPr>
          <w:rFonts w:eastAsia="Times New Roman" w:cs="Times New Roman"/>
          <w:szCs w:val="24"/>
          <w:lang w:eastAsia="lv-LV"/>
        </w:rPr>
        <w:t xml:space="preserve"> prasībām atbilstošajā pierādījumu novērtēšanā.</w:t>
      </w:r>
    </w:p>
    <w:p w:rsidR="006E1C7B" w:rsidRPr="005A5D63" w:rsidRDefault="006E1C7B" w:rsidP="00B012BB">
      <w:pPr>
        <w:spacing w:after="0" w:line="276" w:lineRule="auto"/>
        <w:jc w:val="both"/>
        <w:rPr>
          <w:rFonts w:eastAsia="Times New Roman" w:cs="Times New Roman"/>
          <w:szCs w:val="24"/>
          <w:lang w:eastAsia="lv-LV"/>
        </w:rPr>
      </w:pPr>
      <w:r w:rsidRPr="005A5D63">
        <w:rPr>
          <w:rFonts w:eastAsia="Times New Roman" w:cs="Times New Roman"/>
          <w:szCs w:val="24"/>
          <w:lang w:eastAsia="lv-LV"/>
        </w:rPr>
        <w:t> </w:t>
      </w: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 xml:space="preserve">Lietā nav strīda, ka krimināllietas materiāli [pers. E] izsniegti kā cietušajam pēc izmeklēšanas pabeigšanas kriminālprocesā, kas ir cietušā tiesības (Kriminālprocesa likuma </w:t>
      </w:r>
      <w:proofErr w:type="gramStart"/>
      <w:r w:rsidRPr="005A5D63">
        <w:rPr>
          <w:rFonts w:eastAsia="Times New Roman" w:cs="Times New Roman"/>
          <w:szCs w:val="24"/>
          <w:lang w:eastAsia="lv-LV"/>
        </w:rPr>
        <w:t>98.panta</w:t>
      </w:r>
      <w:proofErr w:type="gramEnd"/>
      <w:r w:rsidRPr="005A5D63">
        <w:rPr>
          <w:rFonts w:eastAsia="Times New Roman" w:cs="Times New Roman"/>
          <w:szCs w:val="24"/>
          <w:lang w:eastAsia="lv-LV"/>
        </w:rPr>
        <w:t xml:space="preserve"> pirmās daļas 8.punkts). Turklāt viņš nav vienīgais cietušais minētajā kriminālprocesā, kuram pēc pirmstiesas izmeklēšanas pabeigšanas materiāli ir izsniegti.</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t xml:space="preserve">Civillietā pieejamie atbildētāja paskaidrojumi par to, ka pēc pirmstiesas izmeklēšanas pabeigšanas viņš atļāvis kādai personai (neidentificētai) iepazīties ar viņam izsniegtajiem krimināllietas materiāliem, uz ko Civilprocesa likuma </w:t>
      </w:r>
      <w:proofErr w:type="gramStart"/>
      <w:r w:rsidRPr="005A5D63">
        <w:rPr>
          <w:rFonts w:eastAsia="Times New Roman" w:cs="Times New Roman"/>
          <w:szCs w:val="24"/>
          <w:lang w:eastAsia="lv-LV"/>
        </w:rPr>
        <w:t>96.panta</w:t>
      </w:r>
      <w:proofErr w:type="gramEnd"/>
      <w:r w:rsidRPr="005A5D63">
        <w:rPr>
          <w:rFonts w:eastAsia="Times New Roman" w:cs="Times New Roman"/>
          <w:szCs w:val="24"/>
          <w:lang w:eastAsia="lv-LV"/>
        </w:rPr>
        <w:t xml:space="preserve"> piektās daļas kontekstā atsaucas kasācijas sūdzības iesniedzējs, Augstākās tiesas ieskatā liecina vien par to, ka vēl kāda persona ar tiem ir iepazinusies, tomēr lietā nav apstiprinājuma, ka tieši minētajam faktam ir cēloniskais sakars ar prasītāja telefona sarunu publiskošanu prasības pieteikumā norādītajos masu komunikāciju līdzekļos. Turklāt jāņem vērā, ka atļauja kādam iepazīties ar materiāliem nav tas pats, kas materiāla nodošana publiskošanai. Nevar noliegt, ka ikvienam, arī [pers. E], jārespektē citas personas tiesības uz privātās dzīves neaizskaramību, kas ir viena no Satversmē un Latvijai saistošajos starptautiskajos aktos garantētajām cilvēktiesībām, taču šādas vispārējas frāzes (nesaistot atbildētāja noteiktas darbības ar konkrētu tiesību normas pārkāpumu un ar iestājušām sekām) nav pietiekams pamats morālā kaitējuma atlīdzības piedziņai no atbildētāja, kā to, noraidot prasību pret [pers. E], secinājusi arī apelācijas instances tiesa.</w:t>
      </w:r>
    </w:p>
    <w:p w:rsidR="006E1C7B" w:rsidRPr="005A5D63" w:rsidRDefault="006E1C7B" w:rsidP="00B012BB">
      <w:pPr>
        <w:spacing w:after="0" w:line="276" w:lineRule="auto"/>
        <w:jc w:val="both"/>
        <w:rPr>
          <w:rFonts w:eastAsia="Times New Roman" w:cs="Times New Roman"/>
          <w:szCs w:val="24"/>
          <w:lang w:eastAsia="lv-LV"/>
        </w:rPr>
      </w:pPr>
    </w:p>
    <w:p w:rsidR="006E1C7B" w:rsidRPr="005A5D63" w:rsidRDefault="006E1C7B" w:rsidP="00B012BB">
      <w:pPr>
        <w:spacing w:after="0" w:line="276" w:lineRule="auto"/>
        <w:ind w:firstLine="720"/>
        <w:jc w:val="both"/>
        <w:rPr>
          <w:rFonts w:eastAsia="Times New Roman" w:cs="Times New Roman"/>
          <w:szCs w:val="24"/>
          <w:lang w:eastAsia="lv-LV"/>
        </w:rPr>
      </w:pPr>
      <w:r w:rsidRPr="005A5D63">
        <w:rPr>
          <w:rFonts w:eastAsia="Times New Roman" w:cs="Times New Roman"/>
          <w:szCs w:val="24"/>
          <w:lang w:eastAsia="lv-LV"/>
        </w:rPr>
        <w:lastRenderedPageBreak/>
        <w:t xml:space="preserve">[12] Civilprocesa likuma </w:t>
      </w:r>
      <w:proofErr w:type="gramStart"/>
      <w:r w:rsidRPr="005A5D63">
        <w:rPr>
          <w:rFonts w:eastAsia="Times New Roman" w:cs="Times New Roman"/>
          <w:szCs w:val="24"/>
          <w:lang w:eastAsia="lv-LV"/>
        </w:rPr>
        <w:t>458.panta</w:t>
      </w:r>
      <w:proofErr w:type="gramEnd"/>
      <w:r w:rsidRPr="005A5D63">
        <w:rPr>
          <w:rFonts w:eastAsia="Times New Roman" w:cs="Times New Roman"/>
          <w:szCs w:val="24"/>
          <w:lang w:eastAsia="lv-LV"/>
        </w:rPr>
        <w:t xml:space="preserve"> otrajā daļā noteikts: „Ja Augstākā tiesa pārsūdzēto tiesas spriedumu pilnīgi vai daļēji atceļ vai groza, drošības nauda atmaksājama. Ja kasācijas sūdzību noraida, drošības naudu neatmaksā.”</w:t>
      </w:r>
    </w:p>
    <w:p w:rsidR="006E1C7B" w:rsidRPr="005A5D63" w:rsidRDefault="006E1C7B" w:rsidP="00B012BB">
      <w:pPr>
        <w:spacing w:after="0" w:line="276" w:lineRule="auto"/>
        <w:jc w:val="both"/>
        <w:rPr>
          <w:rFonts w:eastAsia="Times New Roman" w:cs="Times New Roman"/>
          <w:szCs w:val="24"/>
          <w:lang w:eastAsia="lv-LV"/>
        </w:rPr>
      </w:pPr>
      <w:r w:rsidRPr="005A5D63">
        <w:rPr>
          <w:rFonts w:eastAsia="Times New Roman" w:cs="Times New Roman"/>
          <w:szCs w:val="24"/>
          <w:lang w:eastAsia="lv-LV"/>
        </w:rPr>
        <w:t> </w:t>
      </w:r>
    </w:p>
    <w:p w:rsidR="006E1C7B" w:rsidRPr="005A5D63" w:rsidRDefault="006E1C7B" w:rsidP="00B012BB">
      <w:pPr>
        <w:spacing w:after="0" w:line="276" w:lineRule="auto"/>
        <w:ind w:right="2" w:firstLine="709"/>
        <w:jc w:val="both"/>
        <w:rPr>
          <w:rFonts w:eastAsia="Times New Roman" w:cs="Times New Roman"/>
          <w:szCs w:val="24"/>
          <w:lang w:eastAsia="lv-LV"/>
        </w:rPr>
      </w:pPr>
      <w:r w:rsidRPr="005A5D63">
        <w:rPr>
          <w:rFonts w:eastAsia="Times New Roman" w:cs="Times New Roman"/>
          <w:szCs w:val="24"/>
          <w:lang w:eastAsia="lv-LV"/>
        </w:rPr>
        <w:t>No minētās tiesību normas satura secināms, ka drošības nauda tiek atmaksāta kasācijas sūdzības apmierināšanas gadījumā. Tā kā konkrētajā lietā neviens no kasācijas sūdzības argumentiem (tostarp par Zaudējumu atlīdzināšanas likuma nepareizu piemērošanu) nav pamats sprieduma atcelšanai daļā, Augstākā tiesa uzskata, ka nav pamata drošības naudas atmaksāšanai.</w:t>
      </w:r>
    </w:p>
    <w:p w:rsidR="006E1C7B" w:rsidRPr="005A5D63" w:rsidRDefault="006E1C7B" w:rsidP="00B012BB">
      <w:pPr>
        <w:spacing w:after="0" w:line="276" w:lineRule="auto"/>
        <w:rPr>
          <w:rFonts w:eastAsia="Times New Roman" w:cs="Times New Roman"/>
          <w:szCs w:val="24"/>
          <w:lang w:eastAsia="lv-LV"/>
        </w:rPr>
      </w:pPr>
    </w:p>
    <w:p w:rsidR="006E1C7B" w:rsidRPr="005A5D63" w:rsidRDefault="006E1C7B" w:rsidP="00B012BB">
      <w:pPr>
        <w:spacing w:after="0" w:line="276" w:lineRule="auto"/>
        <w:ind w:right="2"/>
        <w:jc w:val="center"/>
        <w:rPr>
          <w:rFonts w:eastAsia="Times New Roman" w:cs="Times New Roman"/>
          <w:szCs w:val="24"/>
          <w:lang w:eastAsia="lv-LV"/>
        </w:rPr>
      </w:pPr>
      <w:r w:rsidRPr="005A5D63">
        <w:rPr>
          <w:rFonts w:eastAsia="Times New Roman" w:cs="Times New Roman"/>
          <w:b/>
          <w:bCs/>
          <w:szCs w:val="24"/>
          <w:lang w:eastAsia="lv-LV"/>
        </w:rPr>
        <w:t>Rezolutīvā daļa</w:t>
      </w:r>
    </w:p>
    <w:p w:rsidR="006E1C7B" w:rsidRPr="005A5D63" w:rsidRDefault="006E1C7B" w:rsidP="00B012BB">
      <w:pPr>
        <w:spacing w:after="0" w:line="276" w:lineRule="auto"/>
        <w:rPr>
          <w:rFonts w:eastAsia="Times New Roman" w:cs="Times New Roman"/>
          <w:szCs w:val="24"/>
          <w:lang w:eastAsia="lv-LV"/>
        </w:rPr>
      </w:pPr>
    </w:p>
    <w:p w:rsidR="006E1C7B" w:rsidRPr="005A5D63" w:rsidRDefault="006E1C7B" w:rsidP="00B012BB">
      <w:pPr>
        <w:spacing w:after="0" w:line="276" w:lineRule="auto"/>
        <w:ind w:right="2" w:firstLine="709"/>
        <w:jc w:val="both"/>
        <w:rPr>
          <w:rFonts w:eastAsia="Times New Roman" w:cs="Times New Roman"/>
          <w:szCs w:val="24"/>
          <w:lang w:eastAsia="lv-LV"/>
        </w:rPr>
      </w:pPr>
      <w:r w:rsidRPr="005A5D63">
        <w:rPr>
          <w:rFonts w:eastAsia="Times New Roman" w:cs="Times New Roman"/>
          <w:szCs w:val="24"/>
          <w:lang w:eastAsia="lv-LV"/>
        </w:rPr>
        <w:t xml:space="preserve">Pamatojoties uz Civilprocesa likuma </w:t>
      </w:r>
      <w:proofErr w:type="gramStart"/>
      <w:r w:rsidRPr="005A5D63">
        <w:rPr>
          <w:rFonts w:eastAsia="Times New Roman" w:cs="Times New Roman"/>
          <w:szCs w:val="24"/>
          <w:lang w:eastAsia="lv-LV"/>
        </w:rPr>
        <w:t>474.panta</w:t>
      </w:r>
      <w:proofErr w:type="gramEnd"/>
      <w:r w:rsidRPr="005A5D63">
        <w:rPr>
          <w:rFonts w:eastAsia="Times New Roman" w:cs="Times New Roman"/>
          <w:szCs w:val="24"/>
          <w:lang w:eastAsia="lv-LV"/>
        </w:rPr>
        <w:t xml:space="preserve"> 1. un 3.punktu, Augstākā tiesa</w:t>
      </w:r>
    </w:p>
    <w:p w:rsidR="006E1C7B" w:rsidRPr="005A5D63" w:rsidRDefault="006E1C7B" w:rsidP="00B012BB">
      <w:pPr>
        <w:spacing w:after="0" w:line="276" w:lineRule="auto"/>
        <w:rPr>
          <w:rFonts w:eastAsia="Times New Roman" w:cs="Times New Roman"/>
          <w:szCs w:val="24"/>
          <w:lang w:eastAsia="lv-LV"/>
        </w:rPr>
      </w:pPr>
    </w:p>
    <w:p w:rsidR="006E1C7B" w:rsidRPr="005A5D63" w:rsidRDefault="006E1C7B" w:rsidP="00B012BB">
      <w:pPr>
        <w:spacing w:after="0" w:line="276" w:lineRule="auto"/>
        <w:ind w:right="2"/>
        <w:jc w:val="center"/>
        <w:rPr>
          <w:rFonts w:eastAsia="Times New Roman" w:cs="Times New Roman"/>
          <w:szCs w:val="24"/>
          <w:lang w:eastAsia="lv-LV"/>
        </w:rPr>
      </w:pPr>
      <w:r w:rsidRPr="005A5D63">
        <w:rPr>
          <w:rFonts w:eastAsia="Times New Roman" w:cs="Times New Roman"/>
          <w:b/>
          <w:bCs/>
          <w:szCs w:val="24"/>
          <w:lang w:eastAsia="lv-LV"/>
        </w:rPr>
        <w:t>nosprieda</w:t>
      </w:r>
    </w:p>
    <w:p w:rsidR="006E1C7B" w:rsidRPr="005A5D63" w:rsidRDefault="006E1C7B" w:rsidP="00B012BB">
      <w:pPr>
        <w:spacing w:after="0" w:line="276" w:lineRule="auto"/>
        <w:rPr>
          <w:rFonts w:eastAsia="Times New Roman" w:cs="Times New Roman"/>
          <w:szCs w:val="24"/>
          <w:lang w:eastAsia="lv-LV"/>
        </w:rPr>
      </w:pPr>
    </w:p>
    <w:p w:rsidR="006E1C7B" w:rsidRPr="005A5D63" w:rsidRDefault="006E1C7B" w:rsidP="00B012BB">
      <w:pPr>
        <w:spacing w:after="0" w:line="276" w:lineRule="auto"/>
        <w:ind w:right="2" w:firstLine="709"/>
        <w:jc w:val="both"/>
        <w:rPr>
          <w:rFonts w:eastAsia="Times New Roman" w:cs="Times New Roman"/>
          <w:szCs w:val="24"/>
          <w:lang w:eastAsia="lv-LV"/>
        </w:rPr>
      </w:pPr>
      <w:r w:rsidRPr="005A5D63">
        <w:rPr>
          <w:rFonts w:eastAsia="Times New Roman" w:cs="Times New Roman"/>
          <w:szCs w:val="24"/>
          <w:lang w:eastAsia="lv-LV"/>
        </w:rPr>
        <w:t>[apelācijas instances tiesas] [datums] spriedumu daļā, ar kuru noraidīta prasība pret Latvijas valsti Ģenerālprokuratūras personā, atcelt un tiesvedību šajā prasības daļā izbeigt, bet pārējā pārsūdzētajā daļā spriedumu atstāt negrozītu.</w:t>
      </w:r>
    </w:p>
    <w:p w:rsidR="006E1C7B" w:rsidRPr="005A5D63" w:rsidRDefault="006E1C7B" w:rsidP="00B012BB">
      <w:pPr>
        <w:spacing w:after="0" w:line="276" w:lineRule="auto"/>
        <w:ind w:right="2" w:firstLine="709"/>
        <w:jc w:val="both"/>
        <w:rPr>
          <w:rFonts w:eastAsia="Times New Roman" w:cs="Times New Roman"/>
          <w:szCs w:val="24"/>
          <w:lang w:eastAsia="lv-LV"/>
        </w:rPr>
      </w:pPr>
      <w:r w:rsidRPr="005A5D63">
        <w:rPr>
          <w:rFonts w:eastAsia="Times New Roman" w:cs="Times New Roman"/>
          <w:szCs w:val="24"/>
          <w:lang w:eastAsia="lv-LV"/>
        </w:rPr>
        <w:t>Spriedums nav pārsūdzams.</w:t>
      </w:r>
    </w:p>
    <w:p w:rsidR="00177CBB" w:rsidRPr="005A5D63" w:rsidRDefault="00177CBB" w:rsidP="00B012BB">
      <w:pPr>
        <w:spacing w:after="0" w:line="276" w:lineRule="auto"/>
        <w:ind w:right="2" w:firstLine="709"/>
        <w:jc w:val="both"/>
        <w:rPr>
          <w:rFonts w:eastAsia="Times New Roman" w:cs="Times New Roman"/>
          <w:szCs w:val="24"/>
          <w:lang w:eastAsia="lv-LV"/>
        </w:rPr>
      </w:pPr>
    </w:p>
    <w:p w:rsidR="00177CBB" w:rsidRPr="005A5D63" w:rsidRDefault="00177CBB" w:rsidP="00B012BB">
      <w:pPr>
        <w:spacing w:after="0" w:line="276" w:lineRule="auto"/>
        <w:ind w:right="2" w:firstLine="709"/>
        <w:jc w:val="both"/>
        <w:rPr>
          <w:rFonts w:eastAsia="Times New Roman" w:cs="Times New Roman"/>
          <w:szCs w:val="24"/>
          <w:lang w:eastAsia="lv-LV"/>
        </w:rPr>
      </w:pPr>
    </w:p>
    <w:p w:rsidR="00177CBB" w:rsidRPr="005A5D63" w:rsidRDefault="00177CBB" w:rsidP="00177CBB">
      <w:pPr>
        <w:spacing w:line="276" w:lineRule="auto"/>
        <w:jc w:val="center"/>
        <w:rPr>
          <w:b/>
        </w:rPr>
      </w:pPr>
      <w:r w:rsidRPr="005A5D63">
        <w:rPr>
          <w:b/>
        </w:rPr>
        <w:t xml:space="preserve">Tiesību aktu un nolēmumu rādītājs </w:t>
      </w:r>
    </w:p>
    <w:p w:rsidR="009C0685" w:rsidRPr="005A5D63" w:rsidRDefault="009C0685" w:rsidP="00B012BB">
      <w:pPr>
        <w:spacing w:after="0" w:line="276" w:lineRule="auto"/>
        <w:rPr>
          <w:rFonts w:cs="Times New Roman"/>
          <w:szCs w:val="24"/>
        </w:rPr>
      </w:pPr>
    </w:p>
    <w:p w:rsidR="005A5D63" w:rsidRDefault="005A5D63" w:rsidP="000B0D0B">
      <w:pPr>
        <w:spacing w:after="0" w:line="276" w:lineRule="auto"/>
        <w:rPr>
          <w:rFonts w:eastAsia="Times New Roman" w:cs="Times New Roman"/>
          <w:szCs w:val="24"/>
          <w:lang w:eastAsia="lv-LV"/>
        </w:rPr>
      </w:pPr>
      <w:r>
        <w:rPr>
          <w:rFonts w:eastAsia="Times New Roman" w:cs="Times New Roman"/>
          <w:szCs w:val="24"/>
          <w:lang w:eastAsia="lv-LV"/>
        </w:rPr>
        <w:t>Latvijas Republikas Satversme</w:t>
      </w:r>
    </w:p>
    <w:p w:rsidR="005A5D63" w:rsidRPr="005A5D63" w:rsidRDefault="005A5D63" w:rsidP="000B0D0B">
      <w:pPr>
        <w:spacing w:after="0" w:line="276" w:lineRule="auto"/>
        <w:rPr>
          <w:rFonts w:eastAsia="Times New Roman" w:cs="Times New Roman"/>
          <w:i/>
          <w:szCs w:val="24"/>
          <w:lang w:eastAsia="lv-LV"/>
        </w:rPr>
      </w:pPr>
      <w:r w:rsidRPr="005A5D63">
        <w:rPr>
          <w:rStyle w:val="Emphasis"/>
          <w:rFonts w:cs="Times New Roman"/>
          <w:i w:val="0"/>
          <w:color w:val="373737"/>
          <w:szCs w:val="24"/>
          <w:bdr w:val="none" w:sz="0" w:space="0" w:color="auto" w:frame="1"/>
          <w:shd w:val="clear" w:color="auto" w:fill="FEFDF9"/>
        </w:rPr>
        <w:t>(pieņemta 15.02.1922.)</w:t>
      </w:r>
    </w:p>
    <w:p w:rsidR="000B0D0B" w:rsidRPr="005A5D63" w:rsidRDefault="000B0D0B" w:rsidP="000B0D0B">
      <w:pPr>
        <w:spacing w:after="0" w:line="276" w:lineRule="auto"/>
        <w:rPr>
          <w:rFonts w:eastAsia="Times New Roman" w:cs="Times New Roman"/>
          <w:szCs w:val="24"/>
          <w:lang w:eastAsia="lv-LV"/>
        </w:rPr>
      </w:pPr>
      <w:proofErr w:type="gramStart"/>
      <w:r w:rsidRPr="005A5D63">
        <w:rPr>
          <w:rFonts w:eastAsia="Times New Roman" w:cs="Times New Roman"/>
          <w:szCs w:val="24"/>
          <w:lang w:eastAsia="lv-LV"/>
        </w:rPr>
        <w:t>92.pants</w:t>
      </w:r>
      <w:proofErr w:type="gramEnd"/>
    </w:p>
    <w:p w:rsidR="008F5620" w:rsidRPr="005A5D63" w:rsidRDefault="008F5620" w:rsidP="00B012BB">
      <w:pPr>
        <w:spacing w:after="0" w:line="276" w:lineRule="auto"/>
        <w:rPr>
          <w:rFonts w:cs="Times New Roman"/>
          <w:szCs w:val="24"/>
        </w:rPr>
      </w:pPr>
    </w:p>
    <w:p w:rsidR="006E1C7B" w:rsidRDefault="00152F2F" w:rsidP="00B012BB">
      <w:pPr>
        <w:spacing w:after="0" w:line="276" w:lineRule="auto"/>
        <w:rPr>
          <w:rFonts w:cs="Times New Roman"/>
          <w:szCs w:val="24"/>
          <w:shd w:val="clear" w:color="auto" w:fill="FFFFFF"/>
        </w:rPr>
      </w:pPr>
      <w:r w:rsidRPr="005A5D63">
        <w:rPr>
          <w:rFonts w:eastAsia="Times New Roman" w:cs="Times New Roman"/>
          <w:szCs w:val="24"/>
          <w:lang w:eastAsia="lv-LV"/>
        </w:rPr>
        <w:t>Likums</w:t>
      </w:r>
      <w:r w:rsidR="00FF5966">
        <w:rPr>
          <w:rFonts w:cs="Times New Roman"/>
          <w:szCs w:val="24"/>
          <w:shd w:val="clear" w:color="auto" w:fill="FFFFFF"/>
        </w:rPr>
        <w:t xml:space="preserve"> </w:t>
      </w:r>
      <w:r w:rsidR="002275CE">
        <w:rPr>
          <w:szCs w:val="24"/>
          <w:lang w:eastAsia="lv-LV"/>
        </w:rPr>
        <w:t>„</w:t>
      </w:r>
      <w:r w:rsidR="00FF5966" w:rsidRPr="005A5D63">
        <w:rPr>
          <w:rFonts w:cs="Times New Roman"/>
          <w:szCs w:val="24"/>
          <w:shd w:val="clear" w:color="auto" w:fill="FFFFFF"/>
        </w:rPr>
        <w:t>Par izziņas iestādes, prokuratūras vai tiesas nelikumīgas vai nepamatotas rīcības rezultātā nodarīto zaudējumu atlīdzināšanu”</w:t>
      </w:r>
    </w:p>
    <w:p w:rsidR="00FD2592" w:rsidRPr="00FD2592" w:rsidRDefault="00FD2592" w:rsidP="00B012BB">
      <w:pPr>
        <w:spacing w:after="0" w:line="276" w:lineRule="auto"/>
        <w:rPr>
          <w:rFonts w:cs="Times New Roman"/>
          <w:szCs w:val="24"/>
          <w:shd w:val="clear" w:color="auto" w:fill="FFFFFF"/>
        </w:rPr>
      </w:pPr>
      <w:r>
        <w:rPr>
          <w:rFonts w:cs="Times New Roman"/>
          <w:iCs/>
          <w:szCs w:val="24"/>
          <w:shd w:val="clear" w:color="auto" w:fill="FFFFFF"/>
        </w:rPr>
        <w:t>(pieņemts</w:t>
      </w:r>
      <w:r w:rsidRPr="00FD2592">
        <w:rPr>
          <w:rFonts w:cs="Times New Roman"/>
          <w:iCs/>
          <w:szCs w:val="24"/>
          <w:shd w:val="clear" w:color="auto" w:fill="FFFFFF"/>
        </w:rPr>
        <w:t xml:space="preserve"> 28.05.1998.)</w:t>
      </w:r>
    </w:p>
    <w:p w:rsidR="00152F2F" w:rsidRPr="005A5D63" w:rsidRDefault="00152F2F"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1.panta</w:t>
      </w:r>
      <w:proofErr w:type="gramEnd"/>
      <w:r w:rsidRPr="005A5D63">
        <w:rPr>
          <w:rFonts w:eastAsia="Times New Roman" w:cs="Times New Roman"/>
          <w:szCs w:val="24"/>
          <w:lang w:eastAsia="lv-LV"/>
        </w:rPr>
        <w:t xml:space="preserve"> pirmā daļa</w:t>
      </w:r>
      <w:r w:rsidR="00FF5966">
        <w:rPr>
          <w:rFonts w:eastAsia="Times New Roman" w:cs="Times New Roman"/>
          <w:szCs w:val="24"/>
          <w:lang w:eastAsia="lv-LV"/>
        </w:rPr>
        <w:t>,</w:t>
      </w:r>
    </w:p>
    <w:p w:rsidR="00152F2F" w:rsidRPr="005A5D63" w:rsidRDefault="00152F2F" w:rsidP="00152F2F">
      <w:pPr>
        <w:spacing w:after="0" w:line="276" w:lineRule="auto"/>
        <w:rPr>
          <w:rFonts w:eastAsia="Times New Roman" w:cs="Times New Roman"/>
          <w:szCs w:val="24"/>
          <w:lang w:eastAsia="lv-LV"/>
        </w:rPr>
      </w:pPr>
      <w:proofErr w:type="gramStart"/>
      <w:r w:rsidRPr="005A5D63">
        <w:rPr>
          <w:rFonts w:eastAsia="Times New Roman" w:cs="Times New Roman"/>
          <w:szCs w:val="24"/>
          <w:lang w:eastAsia="lv-LV"/>
        </w:rPr>
        <w:t>2.pants</w:t>
      </w:r>
      <w:proofErr w:type="gramEnd"/>
      <w:r w:rsidRPr="005A5D63">
        <w:rPr>
          <w:rFonts w:eastAsia="Times New Roman" w:cs="Times New Roman"/>
          <w:szCs w:val="24"/>
          <w:lang w:eastAsia="lv-LV"/>
        </w:rPr>
        <w:t>,</w:t>
      </w:r>
    </w:p>
    <w:p w:rsidR="00152F2F" w:rsidRPr="005A5D63" w:rsidRDefault="00152F2F" w:rsidP="00152F2F">
      <w:pPr>
        <w:spacing w:after="0" w:line="276" w:lineRule="auto"/>
        <w:rPr>
          <w:rFonts w:eastAsia="Times New Roman" w:cs="Times New Roman"/>
          <w:szCs w:val="24"/>
          <w:lang w:eastAsia="lv-LV"/>
        </w:rPr>
      </w:pPr>
      <w:proofErr w:type="gramStart"/>
      <w:r w:rsidRPr="005A5D63">
        <w:rPr>
          <w:rFonts w:eastAsia="Times New Roman" w:cs="Times New Roman"/>
          <w:szCs w:val="24"/>
          <w:lang w:eastAsia="lv-LV"/>
        </w:rPr>
        <w:t>3.panta</w:t>
      </w:r>
      <w:proofErr w:type="gramEnd"/>
      <w:r w:rsidRPr="005A5D63">
        <w:rPr>
          <w:rFonts w:eastAsia="Times New Roman" w:cs="Times New Roman"/>
          <w:szCs w:val="24"/>
          <w:lang w:eastAsia="lv-LV"/>
        </w:rPr>
        <w:t xml:space="preserve"> pirmā daļa, </w:t>
      </w:r>
    </w:p>
    <w:p w:rsidR="00152F2F" w:rsidRPr="005A5D63" w:rsidRDefault="00152F2F" w:rsidP="00400F1E">
      <w:pPr>
        <w:tabs>
          <w:tab w:val="left" w:pos="4995"/>
        </w:tabs>
        <w:spacing w:after="0" w:line="276" w:lineRule="auto"/>
        <w:rPr>
          <w:rFonts w:eastAsia="Times New Roman" w:cs="Times New Roman"/>
          <w:szCs w:val="24"/>
          <w:lang w:eastAsia="lv-LV"/>
        </w:rPr>
      </w:pPr>
      <w:proofErr w:type="gramStart"/>
      <w:r w:rsidRPr="005A5D63">
        <w:rPr>
          <w:rFonts w:eastAsia="Times New Roman" w:cs="Times New Roman"/>
          <w:szCs w:val="24"/>
          <w:lang w:eastAsia="lv-LV"/>
        </w:rPr>
        <w:t>5.panta</w:t>
      </w:r>
      <w:proofErr w:type="gramEnd"/>
      <w:r w:rsidRPr="005A5D63">
        <w:rPr>
          <w:rFonts w:eastAsia="Times New Roman" w:cs="Times New Roman"/>
          <w:szCs w:val="24"/>
          <w:lang w:eastAsia="lv-LV"/>
        </w:rPr>
        <w:t xml:space="preserve"> trešā daļa</w:t>
      </w:r>
      <w:r w:rsidR="00400F1E">
        <w:rPr>
          <w:rFonts w:eastAsia="Times New Roman" w:cs="Times New Roman"/>
          <w:szCs w:val="24"/>
          <w:lang w:eastAsia="lv-LV"/>
        </w:rPr>
        <w:tab/>
      </w:r>
    </w:p>
    <w:p w:rsidR="00152F2F" w:rsidRPr="005A5D63" w:rsidRDefault="00152F2F" w:rsidP="00152F2F">
      <w:pPr>
        <w:spacing w:after="0" w:line="276" w:lineRule="auto"/>
        <w:rPr>
          <w:rFonts w:cs="Times New Roman"/>
          <w:szCs w:val="24"/>
        </w:rPr>
      </w:pPr>
    </w:p>
    <w:p w:rsidR="004E66AB" w:rsidRDefault="004E66AB" w:rsidP="00152F2F">
      <w:pPr>
        <w:spacing w:after="0" w:line="276" w:lineRule="auto"/>
        <w:jc w:val="both"/>
        <w:rPr>
          <w:rFonts w:eastAsia="Times New Roman" w:cs="Times New Roman"/>
          <w:szCs w:val="24"/>
          <w:lang w:eastAsia="lv-LV"/>
        </w:rPr>
      </w:pPr>
      <w:r w:rsidRPr="005A5D63">
        <w:rPr>
          <w:rFonts w:eastAsia="Times New Roman" w:cs="Times New Roman"/>
          <w:szCs w:val="24"/>
          <w:lang w:eastAsia="lv-LV"/>
        </w:rPr>
        <w:t>Likums „Par tiesu varu”</w:t>
      </w:r>
    </w:p>
    <w:p w:rsidR="00FD2592" w:rsidRPr="00FD2592" w:rsidRDefault="00FD2592" w:rsidP="00152F2F">
      <w:pPr>
        <w:spacing w:after="0" w:line="276" w:lineRule="auto"/>
        <w:jc w:val="both"/>
        <w:rPr>
          <w:rFonts w:eastAsia="Times New Roman" w:cs="Times New Roman"/>
          <w:szCs w:val="24"/>
          <w:lang w:eastAsia="lv-LV"/>
        </w:rPr>
      </w:pPr>
      <w:r w:rsidRPr="00FD2592">
        <w:rPr>
          <w:rFonts w:cs="Times New Roman"/>
          <w:iCs/>
          <w:szCs w:val="24"/>
          <w:shd w:val="clear" w:color="auto" w:fill="FFFFFF"/>
        </w:rPr>
        <w:t>(pieņemts 15.12.1992.)</w:t>
      </w:r>
    </w:p>
    <w:p w:rsidR="00152F2F" w:rsidRPr="005A5D63" w:rsidRDefault="004E66AB"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5.pants</w:t>
      </w:r>
      <w:proofErr w:type="gramEnd"/>
      <w:r w:rsidRPr="005A5D63">
        <w:rPr>
          <w:rFonts w:eastAsia="Times New Roman" w:cs="Times New Roman"/>
          <w:szCs w:val="24"/>
          <w:lang w:eastAsia="lv-LV"/>
        </w:rPr>
        <w:t>,</w:t>
      </w:r>
    </w:p>
    <w:p w:rsidR="004E66AB" w:rsidRPr="005A5D63" w:rsidRDefault="004E66AB" w:rsidP="004E66AB">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6.pants</w:t>
      </w:r>
      <w:proofErr w:type="gramEnd"/>
      <w:r w:rsidRPr="005A5D63">
        <w:rPr>
          <w:rFonts w:eastAsia="Times New Roman" w:cs="Times New Roman"/>
          <w:szCs w:val="24"/>
          <w:lang w:eastAsia="lv-LV"/>
        </w:rPr>
        <w:t>,</w:t>
      </w:r>
    </w:p>
    <w:p w:rsidR="004E66AB" w:rsidRPr="005A5D63" w:rsidRDefault="004E66AB" w:rsidP="004E66AB">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7.pants</w:t>
      </w:r>
      <w:proofErr w:type="gramEnd"/>
    </w:p>
    <w:p w:rsidR="004E66AB" w:rsidRPr="005A5D63" w:rsidRDefault="004E66AB" w:rsidP="00152F2F">
      <w:pPr>
        <w:spacing w:after="0" w:line="276" w:lineRule="auto"/>
        <w:jc w:val="both"/>
        <w:rPr>
          <w:rFonts w:eastAsia="Times New Roman" w:cs="Times New Roman"/>
          <w:szCs w:val="24"/>
          <w:lang w:eastAsia="lv-LV"/>
        </w:rPr>
      </w:pPr>
    </w:p>
    <w:p w:rsidR="000743B3" w:rsidRDefault="000743B3" w:rsidP="00152F2F">
      <w:pPr>
        <w:spacing w:after="0" w:line="276" w:lineRule="auto"/>
        <w:jc w:val="both"/>
        <w:rPr>
          <w:rFonts w:eastAsia="Times New Roman" w:cs="Times New Roman"/>
          <w:szCs w:val="24"/>
          <w:lang w:eastAsia="lv-LV"/>
        </w:rPr>
      </w:pPr>
      <w:r w:rsidRPr="005A5D63">
        <w:rPr>
          <w:rFonts w:eastAsia="Times New Roman" w:cs="Times New Roman"/>
          <w:szCs w:val="24"/>
          <w:lang w:eastAsia="lv-LV"/>
        </w:rPr>
        <w:t>Civillikums</w:t>
      </w:r>
    </w:p>
    <w:p w:rsidR="00FD2592" w:rsidRPr="00FD2592" w:rsidRDefault="00FD2592" w:rsidP="00152F2F">
      <w:pPr>
        <w:spacing w:after="0" w:line="276" w:lineRule="auto"/>
        <w:jc w:val="both"/>
        <w:rPr>
          <w:rFonts w:eastAsia="Times New Roman" w:cs="Times New Roman"/>
          <w:szCs w:val="24"/>
          <w:lang w:eastAsia="lv-LV"/>
        </w:rPr>
      </w:pPr>
      <w:r w:rsidRPr="00FD2592">
        <w:rPr>
          <w:rFonts w:cs="Times New Roman"/>
          <w:iCs/>
          <w:szCs w:val="24"/>
          <w:shd w:val="clear" w:color="auto" w:fill="FFFFFF"/>
        </w:rPr>
        <w:t>(pieņemts 28.01.1937.)</w:t>
      </w:r>
    </w:p>
    <w:p w:rsidR="000743B3" w:rsidRPr="005A5D63" w:rsidRDefault="000743B3"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5.pants</w:t>
      </w:r>
      <w:proofErr w:type="gramEnd"/>
      <w:r w:rsidRPr="005A5D63">
        <w:rPr>
          <w:rFonts w:eastAsia="Times New Roman" w:cs="Times New Roman"/>
          <w:szCs w:val="24"/>
          <w:lang w:eastAsia="lv-LV"/>
        </w:rPr>
        <w:t>,</w:t>
      </w:r>
    </w:p>
    <w:p w:rsidR="000743B3" w:rsidRPr="005A5D63" w:rsidRDefault="000743B3"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lastRenderedPageBreak/>
        <w:t>1635.pants</w:t>
      </w:r>
      <w:proofErr w:type="gramEnd"/>
      <w:r w:rsidRPr="005A5D63">
        <w:rPr>
          <w:rFonts w:eastAsia="Times New Roman" w:cs="Times New Roman"/>
          <w:szCs w:val="24"/>
          <w:lang w:eastAsia="lv-LV"/>
        </w:rPr>
        <w:t xml:space="preserve"> </w:t>
      </w:r>
    </w:p>
    <w:p w:rsidR="008F5620" w:rsidRPr="005A5D63" w:rsidRDefault="008F5620" w:rsidP="00152F2F">
      <w:pPr>
        <w:spacing w:after="0" w:line="276" w:lineRule="auto"/>
        <w:jc w:val="both"/>
        <w:rPr>
          <w:rFonts w:eastAsia="Times New Roman" w:cs="Times New Roman"/>
          <w:szCs w:val="24"/>
          <w:lang w:eastAsia="lv-LV"/>
        </w:rPr>
      </w:pPr>
    </w:p>
    <w:p w:rsidR="000743B3" w:rsidRDefault="000743B3" w:rsidP="00152F2F">
      <w:pPr>
        <w:spacing w:after="0" w:line="276" w:lineRule="auto"/>
        <w:jc w:val="both"/>
        <w:rPr>
          <w:rFonts w:eastAsia="Times New Roman" w:cs="Times New Roman"/>
          <w:szCs w:val="24"/>
          <w:lang w:eastAsia="lv-LV"/>
        </w:rPr>
      </w:pPr>
      <w:r w:rsidRPr="005A5D63">
        <w:rPr>
          <w:rFonts w:eastAsia="Times New Roman" w:cs="Times New Roman"/>
          <w:szCs w:val="24"/>
          <w:lang w:eastAsia="lv-LV"/>
        </w:rPr>
        <w:t xml:space="preserve">Kriminālprocesa likums </w:t>
      </w:r>
    </w:p>
    <w:p w:rsidR="00CE0028" w:rsidRPr="00CE0028" w:rsidRDefault="00CE0028" w:rsidP="00152F2F">
      <w:pPr>
        <w:spacing w:after="0" w:line="276" w:lineRule="auto"/>
        <w:jc w:val="both"/>
        <w:rPr>
          <w:rFonts w:eastAsia="Times New Roman" w:cs="Times New Roman"/>
          <w:szCs w:val="24"/>
          <w:lang w:eastAsia="lv-LV"/>
        </w:rPr>
      </w:pPr>
      <w:r w:rsidRPr="00CE0028">
        <w:rPr>
          <w:rFonts w:cs="Times New Roman"/>
          <w:iCs/>
          <w:szCs w:val="24"/>
          <w:shd w:val="clear" w:color="auto" w:fill="FFFFFF"/>
        </w:rPr>
        <w:t>(pieņemts 21.04.2005.)</w:t>
      </w:r>
    </w:p>
    <w:p w:rsidR="00EB069A" w:rsidRPr="005A5D63" w:rsidRDefault="00EB069A"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98.panta</w:t>
      </w:r>
      <w:proofErr w:type="gramEnd"/>
      <w:r w:rsidRPr="005A5D63">
        <w:rPr>
          <w:rFonts w:eastAsia="Times New Roman" w:cs="Times New Roman"/>
          <w:szCs w:val="24"/>
          <w:lang w:eastAsia="lv-LV"/>
        </w:rPr>
        <w:t xml:space="preserve"> pirmās daļas 8.punkts</w:t>
      </w:r>
    </w:p>
    <w:p w:rsidR="000743B3" w:rsidRPr="005A5D63" w:rsidRDefault="000743B3"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336.panta</w:t>
      </w:r>
      <w:proofErr w:type="gramEnd"/>
      <w:r w:rsidRPr="005A5D63">
        <w:rPr>
          <w:rFonts w:eastAsia="Times New Roman" w:cs="Times New Roman"/>
          <w:szCs w:val="24"/>
          <w:lang w:eastAsia="lv-LV"/>
        </w:rPr>
        <w:t xml:space="preserve"> pirmā daļa,</w:t>
      </w:r>
    </w:p>
    <w:p w:rsidR="000743B3" w:rsidRPr="005A5D63" w:rsidRDefault="000743B3"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337.panta</w:t>
      </w:r>
      <w:proofErr w:type="gramEnd"/>
      <w:r w:rsidRPr="005A5D63">
        <w:rPr>
          <w:rFonts w:eastAsia="Times New Roman" w:cs="Times New Roman"/>
          <w:szCs w:val="24"/>
          <w:lang w:eastAsia="lv-LV"/>
        </w:rPr>
        <w:t xml:space="preserve"> pirmā daļa,</w:t>
      </w:r>
    </w:p>
    <w:p w:rsidR="000743B3" w:rsidRPr="005A5D63" w:rsidRDefault="000743B3"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337.panta</w:t>
      </w:r>
      <w:proofErr w:type="gramEnd"/>
      <w:r w:rsidRPr="005A5D63">
        <w:rPr>
          <w:rFonts w:eastAsia="Times New Roman" w:cs="Times New Roman"/>
          <w:szCs w:val="24"/>
          <w:lang w:eastAsia="lv-LV"/>
        </w:rPr>
        <w:t xml:space="preserve"> otrās daļas 1.punkts,</w:t>
      </w:r>
    </w:p>
    <w:p w:rsidR="000743B3" w:rsidRPr="005A5D63" w:rsidRDefault="000743B3"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337.panta</w:t>
      </w:r>
      <w:proofErr w:type="gramEnd"/>
      <w:r w:rsidRPr="005A5D63">
        <w:rPr>
          <w:rFonts w:eastAsia="Times New Roman" w:cs="Times New Roman"/>
          <w:szCs w:val="24"/>
          <w:lang w:eastAsia="lv-LV"/>
        </w:rPr>
        <w:t xml:space="preserve"> otrās daļas</w:t>
      </w:r>
      <w:r w:rsidR="004E66AB" w:rsidRPr="005A5D63">
        <w:rPr>
          <w:rFonts w:eastAsia="Times New Roman" w:cs="Times New Roman"/>
          <w:szCs w:val="24"/>
          <w:lang w:eastAsia="lv-LV"/>
        </w:rPr>
        <w:t xml:space="preserve"> 2.</w:t>
      </w:r>
      <w:r w:rsidRPr="005A5D63">
        <w:rPr>
          <w:rFonts w:eastAsia="Times New Roman" w:cs="Times New Roman"/>
          <w:szCs w:val="24"/>
          <w:lang w:eastAsia="lv-LV"/>
        </w:rPr>
        <w:t>punkts</w:t>
      </w:r>
      <w:r w:rsidR="00C05954" w:rsidRPr="005A5D63">
        <w:rPr>
          <w:rFonts w:eastAsia="Times New Roman" w:cs="Times New Roman"/>
          <w:szCs w:val="24"/>
          <w:lang w:eastAsia="lv-LV"/>
        </w:rPr>
        <w:t>,</w:t>
      </w:r>
    </w:p>
    <w:p w:rsidR="004E66AB" w:rsidRPr="005A5D63" w:rsidRDefault="004E66AB" w:rsidP="004E66AB">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337.panta</w:t>
      </w:r>
      <w:proofErr w:type="gramEnd"/>
      <w:r w:rsidRPr="005A5D63">
        <w:rPr>
          <w:rFonts w:eastAsia="Times New Roman" w:cs="Times New Roman"/>
          <w:szCs w:val="24"/>
          <w:lang w:eastAsia="lv-LV"/>
        </w:rPr>
        <w:t xml:space="preserve"> otrās daļas 3.punkts,</w:t>
      </w:r>
    </w:p>
    <w:p w:rsidR="000743B3" w:rsidRPr="005A5D63" w:rsidRDefault="000743B3"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337.panta</w:t>
      </w:r>
      <w:proofErr w:type="gramEnd"/>
      <w:r w:rsidRPr="005A5D63">
        <w:rPr>
          <w:rFonts w:eastAsia="Times New Roman" w:cs="Times New Roman"/>
          <w:szCs w:val="24"/>
          <w:lang w:eastAsia="lv-LV"/>
        </w:rPr>
        <w:t xml:space="preserve"> trešā daļa</w:t>
      </w:r>
      <w:r w:rsidR="00CE0028">
        <w:rPr>
          <w:rFonts w:eastAsia="Times New Roman" w:cs="Times New Roman"/>
          <w:szCs w:val="24"/>
          <w:lang w:eastAsia="lv-LV"/>
        </w:rPr>
        <w:t>,</w:t>
      </w:r>
    </w:p>
    <w:p w:rsidR="004E66AB" w:rsidRPr="005A5D63" w:rsidRDefault="004E66AB"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345.pants</w:t>
      </w:r>
      <w:proofErr w:type="gramEnd"/>
      <w:r w:rsidRPr="005A5D63">
        <w:rPr>
          <w:rFonts w:eastAsia="Times New Roman" w:cs="Times New Roman"/>
          <w:szCs w:val="24"/>
          <w:lang w:eastAsia="lv-LV"/>
        </w:rPr>
        <w:t>,</w:t>
      </w:r>
    </w:p>
    <w:p w:rsidR="00C05954" w:rsidRPr="005A5D63" w:rsidRDefault="00C05954"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339.panta</w:t>
      </w:r>
      <w:proofErr w:type="gramEnd"/>
      <w:r w:rsidRPr="005A5D63">
        <w:rPr>
          <w:rFonts w:eastAsia="Times New Roman" w:cs="Times New Roman"/>
          <w:szCs w:val="24"/>
          <w:lang w:eastAsia="lv-LV"/>
        </w:rPr>
        <w:t xml:space="preserve"> pirmā daļa</w:t>
      </w:r>
    </w:p>
    <w:p w:rsidR="008F5620" w:rsidRPr="005A5D63" w:rsidRDefault="008F5620" w:rsidP="00152F2F">
      <w:pPr>
        <w:spacing w:after="0" w:line="276" w:lineRule="auto"/>
        <w:jc w:val="both"/>
        <w:rPr>
          <w:rFonts w:eastAsia="Times New Roman" w:cs="Times New Roman"/>
          <w:szCs w:val="24"/>
          <w:lang w:eastAsia="lv-LV"/>
        </w:rPr>
      </w:pPr>
    </w:p>
    <w:p w:rsidR="008F5620" w:rsidRDefault="008F5620" w:rsidP="00152F2F">
      <w:pPr>
        <w:spacing w:after="0" w:line="276" w:lineRule="auto"/>
        <w:jc w:val="both"/>
        <w:rPr>
          <w:rFonts w:eastAsia="Times New Roman" w:cs="Times New Roman"/>
          <w:szCs w:val="24"/>
          <w:lang w:eastAsia="lv-LV"/>
        </w:rPr>
      </w:pPr>
      <w:r w:rsidRPr="005A5D63">
        <w:rPr>
          <w:rFonts w:eastAsia="Times New Roman" w:cs="Times New Roman"/>
          <w:szCs w:val="24"/>
          <w:lang w:eastAsia="lv-LV"/>
        </w:rPr>
        <w:t>Civilprocesa likums</w:t>
      </w:r>
    </w:p>
    <w:p w:rsidR="00FD2592" w:rsidRPr="00FD2592" w:rsidRDefault="00FD2592" w:rsidP="00152F2F">
      <w:pPr>
        <w:spacing w:after="0" w:line="276" w:lineRule="auto"/>
        <w:jc w:val="both"/>
        <w:rPr>
          <w:rFonts w:eastAsia="Times New Roman" w:cs="Times New Roman"/>
          <w:szCs w:val="24"/>
          <w:lang w:eastAsia="lv-LV"/>
        </w:rPr>
      </w:pPr>
      <w:r w:rsidRPr="00FD2592">
        <w:rPr>
          <w:rFonts w:cs="Times New Roman"/>
          <w:iCs/>
          <w:szCs w:val="24"/>
          <w:shd w:val="clear" w:color="auto" w:fill="FFFFFF"/>
        </w:rPr>
        <w:t>(pieņemts 14.10.1998.)</w:t>
      </w:r>
    </w:p>
    <w:p w:rsidR="008F5620" w:rsidRPr="005A5D63" w:rsidRDefault="008F5620"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1.pants</w:t>
      </w:r>
      <w:proofErr w:type="gramEnd"/>
      <w:r w:rsidRPr="005A5D63">
        <w:rPr>
          <w:rFonts w:eastAsia="Times New Roman" w:cs="Times New Roman"/>
          <w:szCs w:val="24"/>
          <w:lang w:eastAsia="lv-LV"/>
        </w:rPr>
        <w:t>,</w:t>
      </w:r>
    </w:p>
    <w:p w:rsidR="008F5620" w:rsidRPr="005A5D63" w:rsidRDefault="008F5620"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23.pants</w:t>
      </w:r>
      <w:proofErr w:type="gramEnd"/>
      <w:r w:rsidR="00EB069A" w:rsidRPr="005A5D63">
        <w:rPr>
          <w:rFonts w:eastAsia="Times New Roman" w:cs="Times New Roman"/>
          <w:szCs w:val="24"/>
          <w:lang w:eastAsia="lv-LV"/>
        </w:rPr>
        <w:t>,</w:t>
      </w:r>
    </w:p>
    <w:p w:rsidR="00EB069A" w:rsidRPr="005A5D63" w:rsidRDefault="00EB069A"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93.panta</w:t>
      </w:r>
      <w:proofErr w:type="gramEnd"/>
      <w:r w:rsidRPr="005A5D63">
        <w:rPr>
          <w:rFonts w:eastAsia="Times New Roman" w:cs="Times New Roman"/>
          <w:szCs w:val="24"/>
          <w:lang w:eastAsia="lv-LV"/>
        </w:rPr>
        <w:t xml:space="preserve"> pirmā daļa,</w:t>
      </w:r>
    </w:p>
    <w:p w:rsidR="00EB069A" w:rsidRPr="005A5D63" w:rsidRDefault="00EB069A"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96.panta</w:t>
      </w:r>
      <w:proofErr w:type="gramEnd"/>
      <w:r w:rsidRPr="005A5D63">
        <w:rPr>
          <w:rFonts w:eastAsia="Times New Roman" w:cs="Times New Roman"/>
          <w:szCs w:val="24"/>
          <w:lang w:eastAsia="lv-LV"/>
        </w:rPr>
        <w:t xml:space="preserve"> piektā daļa,</w:t>
      </w:r>
    </w:p>
    <w:p w:rsidR="00EB069A" w:rsidRPr="005A5D63" w:rsidRDefault="00EB069A"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97.pants</w:t>
      </w:r>
      <w:proofErr w:type="gramEnd"/>
      <w:r w:rsidRPr="005A5D63">
        <w:rPr>
          <w:rFonts w:eastAsia="Times New Roman" w:cs="Times New Roman"/>
          <w:szCs w:val="24"/>
          <w:lang w:eastAsia="lv-LV"/>
        </w:rPr>
        <w:t>,</w:t>
      </w:r>
    </w:p>
    <w:p w:rsidR="008F5620" w:rsidRPr="005A5D63" w:rsidRDefault="008F5620"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223.pants</w:t>
      </w:r>
      <w:proofErr w:type="gramEnd"/>
      <w:r w:rsidR="00EB069A" w:rsidRPr="005A5D63">
        <w:rPr>
          <w:rFonts w:eastAsia="Times New Roman" w:cs="Times New Roman"/>
          <w:szCs w:val="24"/>
          <w:lang w:eastAsia="lv-LV"/>
        </w:rPr>
        <w:t>,</w:t>
      </w:r>
      <w:r w:rsidRPr="005A5D63">
        <w:rPr>
          <w:rFonts w:eastAsia="Times New Roman" w:cs="Times New Roman"/>
          <w:szCs w:val="24"/>
          <w:lang w:eastAsia="lv-LV"/>
        </w:rPr>
        <w:t xml:space="preserve"> </w:t>
      </w:r>
    </w:p>
    <w:p w:rsidR="008F5620" w:rsidRPr="005A5D63" w:rsidRDefault="008F5620"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223.panta</w:t>
      </w:r>
      <w:proofErr w:type="gramEnd"/>
      <w:r w:rsidRPr="005A5D63">
        <w:rPr>
          <w:rFonts w:eastAsia="Times New Roman" w:cs="Times New Roman"/>
          <w:szCs w:val="24"/>
          <w:lang w:eastAsia="lv-LV"/>
        </w:rPr>
        <w:t xml:space="preserve"> 1.punkts</w:t>
      </w:r>
      <w:r w:rsidR="00EB069A" w:rsidRPr="005A5D63">
        <w:rPr>
          <w:rFonts w:eastAsia="Times New Roman" w:cs="Times New Roman"/>
          <w:szCs w:val="24"/>
          <w:lang w:eastAsia="lv-LV"/>
        </w:rPr>
        <w:t>,</w:t>
      </w:r>
    </w:p>
    <w:p w:rsidR="00964383" w:rsidRPr="005A5D63" w:rsidRDefault="00964383"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458.panta</w:t>
      </w:r>
      <w:proofErr w:type="gramEnd"/>
      <w:r w:rsidRPr="005A5D63">
        <w:rPr>
          <w:rFonts w:eastAsia="Times New Roman" w:cs="Times New Roman"/>
          <w:szCs w:val="24"/>
          <w:lang w:eastAsia="lv-LV"/>
        </w:rPr>
        <w:t xml:space="preserve"> otrā daļa</w:t>
      </w:r>
    </w:p>
    <w:p w:rsidR="00964383" w:rsidRPr="005A5D63" w:rsidRDefault="00964383"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473.panta</w:t>
      </w:r>
      <w:proofErr w:type="gramEnd"/>
      <w:r w:rsidRPr="005A5D63">
        <w:rPr>
          <w:rFonts w:eastAsia="Times New Roman" w:cs="Times New Roman"/>
          <w:szCs w:val="24"/>
          <w:lang w:eastAsia="lv-LV"/>
        </w:rPr>
        <w:t xml:space="preserve"> pirmā daļa</w:t>
      </w:r>
    </w:p>
    <w:p w:rsidR="004E66AB" w:rsidRPr="005A5D63" w:rsidRDefault="00EB069A" w:rsidP="00152F2F">
      <w:pPr>
        <w:spacing w:after="0" w:line="276" w:lineRule="auto"/>
        <w:jc w:val="both"/>
        <w:rPr>
          <w:rFonts w:eastAsia="Times New Roman" w:cs="Times New Roman"/>
          <w:szCs w:val="24"/>
          <w:lang w:eastAsia="lv-LV"/>
        </w:rPr>
      </w:pPr>
      <w:proofErr w:type="gramStart"/>
      <w:r w:rsidRPr="005A5D63">
        <w:rPr>
          <w:rFonts w:eastAsia="Times New Roman" w:cs="Times New Roman"/>
          <w:szCs w:val="24"/>
          <w:lang w:eastAsia="lv-LV"/>
        </w:rPr>
        <w:t>474.panta</w:t>
      </w:r>
      <w:proofErr w:type="gramEnd"/>
      <w:r w:rsidRPr="005A5D63">
        <w:rPr>
          <w:rFonts w:eastAsia="Times New Roman" w:cs="Times New Roman"/>
          <w:szCs w:val="24"/>
          <w:lang w:eastAsia="lv-LV"/>
        </w:rPr>
        <w:t xml:space="preserve"> 3.punkts</w:t>
      </w:r>
    </w:p>
    <w:p w:rsidR="004E66AB" w:rsidRPr="005A5D63" w:rsidRDefault="004E66AB" w:rsidP="00152F2F">
      <w:pPr>
        <w:spacing w:after="0" w:line="276" w:lineRule="auto"/>
        <w:jc w:val="both"/>
        <w:rPr>
          <w:rFonts w:eastAsia="Times New Roman" w:cs="Times New Roman"/>
          <w:szCs w:val="24"/>
          <w:lang w:eastAsia="lv-LV"/>
        </w:rPr>
      </w:pPr>
    </w:p>
    <w:p w:rsidR="00BB4F9A" w:rsidRDefault="00BB4F9A" w:rsidP="000B0D0B">
      <w:pPr>
        <w:spacing w:after="0" w:line="276" w:lineRule="auto"/>
        <w:rPr>
          <w:rFonts w:eastAsia="Times New Roman" w:cs="Times New Roman"/>
          <w:szCs w:val="24"/>
          <w:lang w:eastAsia="lv-LV"/>
        </w:rPr>
      </w:pPr>
      <w:r w:rsidRPr="005A5D63">
        <w:t>Eiropas Cilvēka tiesību un pamatbrīvību aizsardzības konvencija</w:t>
      </w:r>
      <w:r w:rsidRPr="005A5D63">
        <w:rPr>
          <w:rFonts w:eastAsia="Times New Roman" w:cs="Times New Roman"/>
          <w:szCs w:val="24"/>
          <w:lang w:eastAsia="lv-LV"/>
        </w:rPr>
        <w:t xml:space="preserve"> </w:t>
      </w:r>
    </w:p>
    <w:p w:rsidR="002155C1" w:rsidRDefault="002155C1" w:rsidP="000B0D0B">
      <w:pPr>
        <w:spacing w:after="0" w:line="276" w:lineRule="auto"/>
        <w:rPr>
          <w:rFonts w:eastAsia="Times New Roman" w:cs="Times New Roman"/>
          <w:szCs w:val="24"/>
          <w:lang w:eastAsia="lv-LV"/>
        </w:rPr>
      </w:pPr>
      <w:r>
        <w:rPr>
          <w:rFonts w:eastAsia="Times New Roman" w:cs="Times New Roman"/>
          <w:szCs w:val="24"/>
          <w:lang w:eastAsia="lv-LV"/>
        </w:rPr>
        <w:t>(pieņemta 04.11.1950)</w:t>
      </w:r>
    </w:p>
    <w:p w:rsidR="000B0D0B" w:rsidRPr="005A5D63" w:rsidRDefault="000B0D0B" w:rsidP="000B0D0B">
      <w:pPr>
        <w:spacing w:after="0" w:line="276" w:lineRule="auto"/>
        <w:rPr>
          <w:rFonts w:cs="Times New Roman"/>
          <w:szCs w:val="24"/>
        </w:rPr>
      </w:pPr>
      <w:proofErr w:type="gramStart"/>
      <w:r w:rsidRPr="005A5D63">
        <w:rPr>
          <w:rFonts w:eastAsia="Times New Roman" w:cs="Times New Roman"/>
          <w:szCs w:val="24"/>
          <w:lang w:eastAsia="lv-LV"/>
        </w:rPr>
        <w:t>13.pants</w:t>
      </w:r>
      <w:proofErr w:type="gramEnd"/>
    </w:p>
    <w:p w:rsidR="00EB069A" w:rsidRPr="005A5D63" w:rsidRDefault="00EB069A" w:rsidP="00152F2F">
      <w:pPr>
        <w:spacing w:after="0" w:line="276" w:lineRule="auto"/>
        <w:jc w:val="both"/>
        <w:rPr>
          <w:rFonts w:eastAsia="Times New Roman" w:cs="Times New Roman"/>
          <w:szCs w:val="24"/>
          <w:lang w:eastAsia="lv-LV"/>
        </w:rPr>
      </w:pPr>
    </w:p>
    <w:p w:rsidR="000B0D0B" w:rsidRPr="005A5D63" w:rsidRDefault="000B0D0B" w:rsidP="000B0D0B">
      <w:pPr>
        <w:spacing w:after="0" w:line="276" w:lineRule="auto"/>
        <w:jc w:val="both"/>
        <w:rPr>
          <w:rFonts w:eastAsia="Times New Roman" w:cs="Times New Roman"/>
          <w:iCs/>
          <w:szCs w:val="24"/>
          <w:lang w:eastAsia="lv-LV"/>
        </w:rPr>
      </w:pPr>
      <w:r w:rsidRPr="005A5D63">
        <w:rPr>
          <w:rFonts w:eastAsia="Times New Roman" w:cs="Times New Roman"/>
          <w:iCs/>
          <w:szCs w:val="24"/>
          <w:lang w:eastAsia="lv-LV"/>
        </w:rPr>
        <w:t xml:space="preserve">Satversmes tiesas </w:t>
      </w:r>
      <w:proofErr w:type="gramStart"/>
      <w:r w:rsidRPr="005A5D63">
        <w:rPr>
          <w:rFonts w:eastAsia="Times New Roman" w:cs="Times New Roman"/>
          <w:iCs/>
          <w:szCs w:val="24"/>
          <w:lang w:eastAsia="lv-LV"/>
        </w:rPr>
        <w:t>2004.gada</w:t>
      </w:r>
      <w:proofErr w:type="gramEnd"/>
      <w:r w:rsidRPr="005A5D63">
        <w:rPr>
          <w:rFonts w:eastAsia="Times New Roman" w:cs="Times New Roman"/>
          <w:iCs/>
          <w:szCs w:val="24"/>
          <w:lang w:eastAsia="lv-LV"/>
        </w:rPr>
        <w:t xml:space="preserve"> 11.oktobra spriedums lietā Nr.2004–06–01</w:t>
      </w:r>
    </w:p>
    <w:p w:rsidR="000B0D0B" w:rsidRPr="005A5D63" w:rsidRDefault="000B0D0B" w:rsidP="000B0D0B">
      <w:pPr>
        <w:spacing w:after="0" w:line="276" w:lineRule="auto"/>
        <w:jc w:val="both"/>
        <w:rPr>
          <w:rFonts w:eastAsia="Times New Roman" w:cs="Times New Roman"/>
          <w:iCs/>
          <w:szCs w:val="24"/>
          <w:lang w:eastAsia="lv-LV"/>
        </w:rPr>
      </w:pPr>
      <w:bookmarkStart w:id="1" w:name="_Hlk481493274"/>
      <w:r w:rsidRPr="005A5D63">
        <w:rPr>
          <w:rFonts w:eastAsia="Times New Roman" w:cs="Times New Roman"/>
          <w:iCs/>
          <w:szCs w:val="24"/>
          <w:lang w:eastAsia="lv-LV"/>
        </w:rPr>
        <w:t xml:space="preserve">Satversmes tiesas </w:t>
      </w:r>
      <w:proofErr w:type="gramStart"/>
      <w:r w:rsidRPr="005A5D63">
        <w:rPr>
          <w:rFonts w:eastAsia="Times New Roman" w:cs="Times New Roman"/>
          <w:iCs/>
          <w:szCs w:val="24"/>
          <w:lang w:eastAsia="lv-LV"/>
        </w:rPr>
        <w:t>2002.gada</w:t>
      </w:r>
      <w:proofErr w:type="gramEnd"/>
      <w:r w:rsidRPr="005A5D63">
        <w:rPr>
          <w:rFonts w:eastAsia="Times New Roman" w:cs="Times New Roman"/>
          <w:iCs/>
          <w:szCs w:val="24"/>
          <w:lang w:eastAsia="lv-LV"/>
        </w:rPr>
        <w:t xml:space="preserve"> 26.novembra spriedums lietā Nr.2002-09-01</w:t>
      </w:r>
    </w:p>
    <w:bookmarkEnd w:id="1"/>
    <w:p w:rsidR="000B0D0B" w:rsidRPr="005A5D63" w:rsidRDefault="000B0D0B" w:rsidP="000B0D0B">
      <w:pPr>
        <w:spacing w:after="0" w:line="276" w:lineRule="auto"/>
        <w:jc w:val="both"/>
        <w:rPr>
          <w:rFonts w:eastAsia="Times New Roman" w:cs="Times New Roman"/>
          <w:szCs w:val="24"/>
          <w:lang w:eastAsia="lv-LV"/>
        </w:rPr>
      </w:pPr>
      <w:r w:rsidRPr="005A5D63">
        <w:rPr>
          <w:rFonts w:eastAsia="Times New Roman" w:cs="Times New Roman"/>
          <w:iCs/>
          <w:szCs w:val="24"/>
          <w:lang w:eastAsia="lv-LV"/>
        </w:rPr>
        <w:t xml:space="preserve">Satversmes tiesas </w:t>
      </w:r>
      <w:proofErr w:type="gramStart"/>
      <w:r w:rsidRPr="005A5D63">
        <w:rPr>
          <w:rFonts w:eastAsia="Times New Roman" w:cs="Times New Roman"/>
          <w:iCs/>
          <w:szCs w:val="24"/>
          <w:lang w:eastAsia="lv-LV"/>
        </w:rPr>
        <w:t>2001.gada</w:t>
      </w:r>
      <w:proofErr w:type="gramEnd"/>
      <w:r w:rsidRPr="005A5D63">
        <w:rPr>
          <w:rFonts w:eastAsia="Times New Roman" w:cs="Times New Roman"/>
          <w:iCs/>
          <w:szCs w:val="24"/>
          <w:lang w:eastAsia="lv-LV"/>
        </w:rPr>
        <w:t xml:space="preserve"> 5.decembra spriedums lietā Nr.2001-07-0103</w:t>
      </w:r>
    </w:p>
    <w:p w:rsidR="000B0D0B" w:rsidRPr="005A5D63" w:rsidRDefault="000B0D0B" w:rsidP="00152F2F">
      <w:pPr>
        <w:spacing w:after="0" w:line="276" w:lineRule="auto"/>
        <w:jc w:val="both"/>
        <w:rPr>
          <w:rFonts w:eastAsia="Times New Roman" w:cs="Times New Roman"/>
          <w:iCs/>
          <w:szCs w:val="24"/>
          <w:lang w:eastAsia="lv-LV"/>
        </w:rPr>
      </w:pPr>
    </w:p>
    <w:p w:rsidR="00EB069A" w:rsidRDefault="00EB069A" w:rsidP="00152F2F">
      <w:pPr>
        <w:spacing w:after="0" w:line="276" w:lineRule="auto"/>
        <w:jc w:val="both"/>
        <w:rPr>
          <w:color w:val="000000"/>
          <w:sz w:val="27"/>
          <w:szCs w:val="27"/>
        </w:rPr>
      </w:pPr>
      <w:bookmarkStart w:id="2" w:name="_Hlk481491838"/>
      <w:r w:rsidRPr="005A5D63">
        <w:rPr>
          <w:rFonts w:eastAsia="Times New Roman" w:cs="Times New Roman"/>
          <w:iCs/>
          <w:szCs w:val="24"/>
          <w:lang w:eastAsia="lv-LV"/>
        </w:rPr>
        <w:t xml:space="preserve">Eiropas Cilvēktiesību tiesas </w:t>
      </w:r>
      <w:proofErr w:type="gramStart"/>
      <w:r w:rsidRPr="005A5D63">
        <w:rPr>
          <w:rFonts w:eastAsia="Times New Roman" w:cs="Times New Roman"/>
          <w:iCs/>
          <w:szCs w:val="24"/>
          <w:lang w:eastAsia="lv-LV"/>
        </w:rPr>
        <w:t>1975.gada</w:t>
      </w:r>
      <w:proofErr w:type="gramEnd"/>
      <w:r w:rsidRPr="005A5D63">
        <w:rPr>
          <w:rFonts w:eastAsia="Times New Roman" w:cs="Times New Roman"/>
          <w:iCs/>
          <w:szCs w:val="24"/>
          <w:lang w:eastAsia="lv-LV"/>
        </w:rPr>
        <w:t xml:space="preserve"> 21.februāra spriedums lietā</w:t>
      </w:r>
      <w:r w:rsidRPr="005A5D63">
        <w:rPr>
          <w:rFonts w:eastAsia="Times New Roman" w:cs="Times New Roman"/>
          <w:i/>
          <w:iCs/>
          <w:szCs w:val="24"/>
          <w:lang w:eastAsia="lv-LV"/>
        </w:rPr>
        <w:t xml:space="preserve"> „</w:t>
      </w:r>
      <w:proofErr w:type="spellStart"/>
      <w:r w:rsidRPr="005A5D63">
        <w:rPr>
          <w:rFonts w:eastAsia="Times New Roman" w:cs="Times New Roman"/>
          <w:i/>
          <w:iCs/>
          <w:szCs w:val="24"/>
          <w:lang w:eastAsia="lv-LV"/>
        </w:rPr>
        <w:t>Golder</w:t>
      </w:r>
      <w:proofErr w:type="spellEnd"/>
      <w:r w:rsidRPr="005A5D63">
        <w:rPr>
          <w:rFonts w:eastAsia="Times New Roman" w:cs="Times New Roman"/>
          <w:i/>
          <w:iCs/>
          <w:szCs w:val="24"/>
          <w:lang w:eastAsia="lv-LV"/>
        </w:rPr>
        <w:t xml:space="preserve"> v. </w:t>
      </w:r>
      <w:proofErr w:type="spellStart"/>
      <w:r w:rsidRPr="005A5D63">
        <w:rPr>
          <w:rFonts w:eastAsia="Times New Roman" w:cs="Times New Roman"/>
          <w:i/>
          <w:iCs/>
          <w:szCs w:val="24"/>
          <w:lang w:eastAsia="lv-LV"/>
        </w:rPr>
        <w:t>United</w:t>
      </w:r>
      <w:proofErr w:type="spellEnd"/>
      <w:r w:rsidRPr="005A5D63">
        <w:rPr>
          <w:rFonts w:eastAsia="Times New Roman" w:cs="Times New Roman"/>
          <w:i/>
          <w:iCs/>
          <w:szCs w:val="24"/>
          <w:lang w:eastAsia="lv-LV"/>
        </w:rPr>
        <w:t xml:space="preserve"> </w:t>
      </w:r>
      <w:proofErr w:type="spellStart"/>
      <w:r w:rsidRPr="005A5D63">
        <w:rPr>
          <w:rFonts w:eastAsia="Times New Roman" w:cs="Times New Roman"/>
          <w:i/>
          <w:iCs/>
          <w:szCs w:val="24"/>
          <w:lang w:eastAsia="lv-LV"/>
        </w:rPr>
        <w:t>Kingdom</w:t>
      </w:r>
      <w:proofErr w:type="spellEnd"/>
      <w:r w:rsidRPr="005A5D63">
        <w:rPr>
          <w:rFonts w:eastAsia="Times New Roman" w:cs="Times New Roman"/>
          <w:i/>
          <w:iCs/>
          <w:szCs w:val="24"/>
          <w:lang w:eastAsia="lv-LV"/>
        </w:rPr>
        <w:t>”</w:t>
      </w:r>
      <w:r w:rsidR="000B0D0B" w:rsidRPr="005A5D63">
        <w:rPr>
          <w:rFonts w:eastAsia="Times New Roman" w:cs="Times New Roman"/>
          <w:i/>
          <w:iCs/>
          <w:szCs w:val="24"/>
          <w:lang w:eastAsia="lv-LV"/>
        </w:rPr>
        <w:t xml:space="preserve">, </w:t>
      </w:r>
      <w:r w:rsidR="000B0D0B" w:rsidRPr="005A5D63">
        <w:rPr>
          <w:rFonts w:eastAsia="Times New Roman" w:cs="Times New Roman"/>
          <w:iCs/>
          <w:szCs w:val="24"/>
          <w:lang w:eastAsia="lv-LV"/>
        </w:rPr>
        <w:t xml:space="preserve">iesnieguma </w:t>
      </w:r>
      <w:r w:rsidR="000B0D0B" w:rsidRPr="0034793D">
        <w:rPr>
          <w:rFonts w:eastAsia="Times New Roman" w:cs="Times New Roman"/>
          <w:iCs/>
          <w:szCs w:val="24"/>
          <w:lang w:eastAsia="lv-LV"/>
        </w:rPr>
        <w:t>Nr.</w:t>
      </w:r>
      <w:r w:rsidR="00FE6C85" w:rsidRPr="0034793D">
        <w:rPr>
          <w:color w:val="000000"/>
          <w:szCs w:val="24"/>
        </w:rPr>
        <w:t>4451/70</w:t>
      </w:r>
      <w:bookmarkEnd w:id="2"/>
    </w:p>
    <w:p w:rsidR="0034793D" w:rsidRPr="005A5D63" w:rsidRDefault="0034793D" w:rsidP="00152F2F">
      <w:pPr>
        <w:spacing w:after="0" w:line="276" w:lineRule="auto"/>
        <w:jc w:val="both"/>
        <w:rPr>
          <w:rFonts w:eastAsia="Times New Roman" w:cs="Times New Roman"/>
          <w:szCs w:val="24"/>
          <w:lang w:eastAsia="lv-LV"/>
        </w:rPr>
      </w:pPr>
    </w:p>
    <w:p w:rsidR="00BB4F9A" w:rsidRPr="0038069E" w:rsidRDefault="008F5620" w:rsidP="00152F2F">
      <w:pPr>
        <w:spacing w:after="0" w:line="276" w:lineRule="auto"/>
        <w:jc w:val="both"/>
        <w:rPr>
          <w:rFonts w:eastAsia="Times New Roman" w:cs="Times New Roman"/>
          <w:iCs/>
          <w:szCs w:val="24"/>
          <w:lang w:eastAsia="lv-LV"/>
        </w:rPr>
      </w:pPr>
      <w:r w:rsidRPr="005A5D63">
        <w:rPr>
          <w:rFonts w:eastAsia="Times New Roman" w:cs="Times New Roman"/>
          <w:iCs/>
          <w:szCs w:val="24"/>
          <w:lang w:eastAsia="lv-LV"/>
        </w:rPr>
        <w:t xml:space="preserve">Augstākās tiesas </w:t>
      </w:r>
      <w:proofErr w:type="gramStart"/>
      <w:r w:rsidRPr="005A5D63">
        <w:rPr>
          <w:rFonts w:eastAsia="Times New Roman" w:cs="Times New Roman"/>
          <w:iCs/>
          <w:szCs w:val="24"/>
          <w:lang w:eastAsia="lv-LV"/>
        </w:rPr>
        <w:t>2010.gada</w:t>
      </w:r>
      <w:proofErr w:type="gramEnd"/>
      <w:r w:rsidRPr="005A5D63">
        <w:rPr>
          <w:rFonts w:eastAsia="Times New Roman" w:cs="Times New Roman"/>
          <w:iCs/>
          <w:szCs w:val="24"/>
          <w:lang w:eastAsia="lv-LV"/>
        </w:rPr>
        <w:t xml:space="preserve"> 10.marta lēmums lietā </w:t>
      </w:r>
      <w:proofErr w:type="spellStart"/>
      <w:r w:rsidRPr="0038069E">
        <w:rPr>
          <w:rFonts w:eastAsia="Times New Roman" w:cs="Times New Roman"/>
          <w:iCs/>
          <w:szCs w:val="24"/>
          <w:lang w:eastAsia="lv-LV"/>
        </w:rPr>
        <w:t>Nr.SKC-599</w:t>
      </w:r>
      <w:proofErr w:type="spellEnd"/>
      <w:r w:rsidRPr="0038069E">
        <w:rPr>
          <w:rFonts w:eastAsia="Times New Roman" w:cs="Times New Roman"/>
          <w:iCs/>
          <w:szCs w:val="24"/>
          <w:lang w:eastAsia="lv-LV"/>
        </w:rPr>
        <w:t>/2010</w:t>
      </w:r>
      <w:r w:rsidR="000B0D0B" w:rsidRPr="0038069E">
        <w:rPr>
          <w:rFonts w:eastAsia="Times New Roman" w:cs="Times New Roman"/>
          <w:iCs/>
          <w:szCs w:val="24"/>
          <w:lang w:eastAsia="lv-LV"/>
        </w:rPr>
        <w:t xml:space="preserve"> </w:t>
      </w:r>
    </w:p>
    <w:sectPr w:rsidR="00BB4F9A" w:rsidRPr="0038069E" w:rsidSect="005F580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999" w:rsidRDefault="001D7999" w:rsidP="006E1C7B">
      <w:pPr>
        <w:spacing w:after="0" w:line="240" w:lineRule="auto"/>
      </w:pPr>
      <w:r>
        <w:separator/>
      </w:r>
    </w:p>
  </w:endnote>
  <w:endnote w:type="continuationSeparator" w:id="0">
    <w:p w:rsidR="001D7999" w:rsidRDefault="001D7999" w:rsidP="006E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CE" w:rsidRDefault="00CB6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BB" w:rsidRPr="00B012BB" w:rsidRDefault="00B012BB" w:rsidP="00B012BB">
    <w:pPr>
      <w:pStyle w:val="Footer"/>
      <w:jc w:val="center"/>
      <w:rPr>
        <w:szCs w:val="24"/>
      </w:rPr>
    </w:pPr>
    <w:r w:rsidRPr="00B012BB">
      <w:rPr>
        <w:rStyle w:val="PageNumber"/>
        <w:szCs w:val="24"/>
      </w:rPr>
      <w:fldChar w:fldCharType="begin"/>
    </w:r>
    <w:r w:rsidRPr="00B012BB">
      <w:rPr>
        <w:rStyle w:val="PageNumber"/>
        <w:szCs w:val="24"/>
      </w:rPr>
      <w:instrText xml:space="preserve">PAGE  </w:instrText>
    </w:r>
    <w:r w:rsidRPr="00B012BB">
      <w:rPr>
        <w:rStyle w:val="PageNumber"/>
        <w:szCs w:val="24"/>
      </w:rPr>
      <w:fldChar w:fldCharType="separate"/>
    </w:r>
    <w:r w:rsidR="00E20E86">
      <w:rPr>
        <w:rStyle w:val="PageNumber"/>
        <w:noProof/>
        <w:szCs w:val="24"/>
      </w:rPr>
      <w:t>7</w:t>
    </w:r>
    <w:r w:rsidRPr="00B012BB">
      <w:rPr>
        <w:rStyle w:val="PageNumber"/>
        <w:szCs w:val="24"/>
      </w:rPr>
      <w:fldChar w:fldCharType="end"/>
    </w:r>
    <w:r w:rsidRPr="00B012BB">
      <w:rPr>
        <w:rStyle w:val="PageNumber"/>
        <w:szCs w:val="24"/>
      </w:rPr>
      <w:t xml:space="preserve">.lapa no </w:t>
    </w:r>
    <w:r w:rsidRPr="00B012BB">
      <w:fldChar w:fldCharType="begin"/>
    </w:r>
    <w:r w:rsidRPr="00B012BB">
      <w:rPr>
        <w:szCs w:val="24"/>
      </w:rPr>
      <w:instrText xml:space="preserve"> SECTIONPAGES   \* MERGEFORMAT </w:instrText>
    </w:r>
    <w:r w:rsidRPr="00B012BB">
      <w:fldChar w:fldCharType="separate"/>
    </w:r>
    <w:r w:rsidR="00E20E86" w:rsidRPr="00E20E86">
      <w:rPr>
        <w:rStyle w:val="PageNumber"/>
        <w:noProof/>
      </w:rPr>
      <w:t>7</w:t>
    </w:r>
    <w:r w:rsidRPr="00B012BB">
      <w:rPr>
        <w:rStyle w:val="PageNumber"/>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CE" w:rsidRDefault="00CB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999" w:rsidRDefault="001D7999" w:rsidP="006E1C7B">
      <w:pPr>
        <w:spacing w:after="0" w:line="240" w:lineRule="auto"/>
      </w:pPr>
      <w:r>
        <w:separator/>
      </w:r>
    </w:p>
  </w:footnote>
  <w:footnote w:type="continuationSeparator" w:id="0">
    <w:p w:rsidR="001D7999" w:rsidRDefault="001D7999" w:rsidP="006E1C7B">
      <w:pPr>
        <w:spacing w:after="0" w:line="240" w:lineRule="auto"/>
      </w:pPr>
      <w:r>
        <w:continuationSeparator/>
      </w:r>
    </w:p>
  </w:footnote>
  <w:footnote w:id="1">
    <w:p w:rsidR="006E1C7B" w:rsidRDefault="006E1C7B" w:rsidP="006E1C7B">
      <w:pPr>
        <w:pStyle w:val="FootnoteText"/>
        <w:rPr>
          <w:lang w:val="lv-LV"/>
        </w:rPr>
      </w:pPr>
      <w:r>
        <w:rPr>
          <w:rStyle w:val="FootnoteReference"/>
        </w:rPr>
        <w:footnoteRef/>
      </w:r>
      <w:r>
        <w:t xml:space="preserve"> </w:t>
      </w:r>
      <w:r>
        <w:rPr>
          <w:lang w:val="lv-LV"/>
        </w:rPr>
        <w:t xml:space="preserve">Tā kā lietai </w:t>
      </w:r>
      <w:r w:rsidR="00B012BB">
        <w:rPr>
          <w:lang w:val="lv-LV"/>
        </w:rPr>
        <w:t>noteikts</w:t>
      </w:r>
      <w:r>
        <w:rPr>
          <w:lang w:val="lv-LV"/>
        </w:rPr>
        <w:t xml:space="preserve"> slēgtas lietas statuss, šeit publicēti izvilkumi no sprieduma.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CE" w:rsidRDefault="00CB6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CE" w:rsidRDefault="00CB6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CE" w:rsidRDefault="00CB63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7B"/>
    <w:rsid w:val="000743B3"/>
    <w:rsid w:val="000B0D0B"/>
    <w:rsid w:val="00152F2F"/>
    <w:rsid w:val="00177CBB"/>
    <w:rsid w:val="00196FD8"/>
    <w:rsid w:val="001D7999"/>
    <w:rsid w:val="002155C1"/>
    <w:rsid w:val="002275CE"/>
    <w:rsid w:val="002822F5"/>
    <w:rsid w:val="0034793D"/>
    <w:rsid w:val="00375576"/>
    <w:rsid w:val="0038069E"/>
    <w:rsid w:val="00400F1E"/>
    <w:rsid w:val="00447A04"/>
    <w:rsid w:val="004D2B38"/>
    <w:rsid w:val="004E66AB"/>
    <w:rsid w:val="0050089D"/>
    <w:rsid w:val="005A4746"/>
    <w:rsid w:val="005A5D63"/>
    <w:rsid w:val="005F5809"/>
    <w:rsid w:val="00665A9A"/>
    <w:rsid w:val="006B3B84"/>
    <w:rsid w:val="006E1C7B"/>
    <w:rsid w:val="007044D6"/>
    <w:rsid w:val="0074153D"/>
    <w:rsid w:val="007C6D38"/>
    <w:rsid w:val="008222D3"/>
    <w:rsid w:val="008D78A6"/>
    <w:rsid w:val="008F5620"/>
    <w:rsid w:val="0094657E"/>
    <w:rsid w:val="00964383"/>
    <w:rsid w:val="009C0685"/>
    <w:rsid w:val="009C1DB4"/>
    <w:rsid w:val="00A545F7"/>
    <w:rsid w:val="00B012BB"/>
    <w:rsid w:val="00BB4F9A"/>
    <w:rsid w:val="00C05954"/>
    <w:rsid w:val="00C249D3"/>
    <w:rsid w:val="00CB63CE"/>
    <w:rsid w:val="00CE0028"/>
    <w:rsid w:val="00D70010"/>
    <w:rsid w:val="00E20E86"/>
    <w:rsid w:val="00E8081F"/>
    <w:rsid w:val="00EB069A"/>
    <w:rsid w:val="00FD2592"/>
    <w:rsid w:val="00FE6C85"/>
    <w:rsid w:val="00FF59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6D9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1C7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E1C7B"/>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semiHidden/>
    <w:rsid w:val="006E1C7B"/>
    <w:rPr>
      <w:rFonts w:eastAsia="Times New Roman" w:cs="Times New Roman"/>
      <w:sz w:val="20"/>
      <w:szCs w:val="20"/>
      <w:lang w:val="en-GB"/>
    </w:rPr>
  </w:style>
  <w:style w:type="character" w:styleId="FootnoteReference">
    <w:name w:val="footnote reference"/>
    <w:semiHidden/>
    <w:unhideWhenUsed/>
    <w:rsid w:val="006E1C7B"/>
    <w:rPr>
      <w:vertAlign w:val="superscript"/>
    </w:rPr>
  </w:style>
  <w:style w:type="paragraph" w:styleId="Header">
    <w:name w:val="header"/>
    <w:basedOn w:val="Normal"/>
    <w:link w:val="HeaderChar"/>
    <w:uiPriority w:val="99"/>
    <w:unhideWhenUsed/>
    <w:rsid w:val="00B012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12BB"/>
  </w:style>
  <w:style w:type="paragraph" w:styleId="Footer">
    <w:name w:val="footer"/>
    <w:basedOn w:val="Normal"/>
    <w:link w:val="FooterChar"/>
    <w:uiPriority w:val="99"/>
    <w:unhideWhenUsed/>
    <w:rsid w:val="00B012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12BB"/>
  </w:style>
  <w:style w:type="character" w:styleId="PageNumber">
    <w:name w:val="page number"/>
    <w:basedOn w:val="DefaultParagraphFont"/>
    <w:rsid w:val="00B012BB"/>
  </w:style>
  <w:style w:type="character" w:styleId="Emphasis">
    <w:name w:val="Emphasis"/>
    <w:basedOn w:val="DefaultParagraphFont"/>
    <w:uiPriority w:val="20"/>
    <w:qFormat/>
    <w:rsid w:val="005A5D63"/>
    <w:rPr>
      <w:i/>
      <w:iCs/>
    </w:rPr>
  </w:style>
  <w:style w:type="character" w:customStyle="1" w:styleId="apple-converted-space">
    <w:name w:val="apple-converted-space"/>
    <w:basedOn w:val="DefaultParagraphFont"/>
    <w:rsid w:val="00FE6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847563">
      <w:bodyDiv w:val="1"/>
      <w:marLeft w:val="0"/>
      <w:marRight w:val="0"/>
      <w:marTop w:val="0"/>
      <w:marBottom w:val="0"/>
      <w:divBdr>
        <w:top w:val="none" w:sz="0" w:space="0" w:color="auto"/>
        <w:left w:val="none" w:sz="0" w:space="0" w:color="auto"/>
        <w:bottom w:val="none" w:sz="0" w:space="0" w:color="auto"/>
        <w:right w:val="none" w:sz="0" w:space="0" w:color="auto"/>
      </w:divBdr>
      <w:divsChild>
        <w:div w:id="217934352">
          <w:marLeft w:val="0"/>
          <w:marRight w:val="0"/>
          <w:marTop w:val="0"/>
          <w:marBottom w:val="0"/>
          <w:divBdr>
            <w:top w:val="none" w:sz="0" w:space="0" w:color="auto"/>
            <w:left w:val="none" w:sz="0" w:space="0" w:color="auto"/>
            <w:bottom w:val="none" w:sz="0" w:space="0" w:color="auto"/>
            <w:right w:val="none" w:sz="0" w:space="0" w:color="auto"/>
          </w:divBdr>
        </w:div>
        <w:div w:id="219247068">
          <w:marLeft w:val="0"/>
          <w:marRight w:val="0"/>
          <w:marTop w:val="0"/>
          <w:marBottom w:val="0"/>
          <w:divBdr>
            <w:top w:val="none" w:sz="0" w:space="0" w:color="auto"/>
            <w:left w:val="none" w:sz="0" w:space="0" w:color="auto"/>
            <w:bottom w:val="none" w:sz="0" w:space="0" w:color="auto"/>
            <w:right w:val="none" w:sz="0" w:space="0" w:color="auto"/>
          </w:divBdr>
        </w:div>
      </w:divsChild>
    </w:div>
    <w:div w:id="2000644978">
      <w:bodyDiv w:val="1"/>
      <w:marLeft w:val="0"/>
      <w:marRight w:val="0"/>
      <w:marTop w:val="0"/>
      <w:marBottom w:val="0"/>
      <w:divBdr>
        <w:top w:val="none" w:sz="0" w:space="0" w:color="auto"/>
        <w:left w:val="none" w:sz="0" w:space="0" w:color="auto"/>
        <w:bottom w:val="none" w:sz="0" w:space="0" w:color="auto"/>
        <w:right w:val="none" w:sz="0" w:space="0" w:color="auto"/>
      </w:divBdr>
    </w:div>
    <w:div w:id="209335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2648A-F1F1-487B-833B-140C7E63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11464</Words>
  <Characters>6535</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2017-05-17T08:13:00Z</dcterms:created>
  <dcterms:modified xsi:type="dcterms:W3CDTF">2017-06-01T11:03:00Z</dcterms:modified>
</cp:coreProperties>
</file>