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DD5FC" w14:textId="77777777" w:rsidR="0090259F" w:rsidRDefault="0090259F" w:rsidP="00653E62">
      <w:pPr>
        <w:spacing w:line="276" w:lineRule="auto"/>
        <w:jc w:val="both"/>
        <w:rPr>
          <w:rFonts w:ascii="Aptos" w:hAnsi="Aptos"/>
          <w:szCs w:val="22"/>
          <w:lang w:eastAsia="lv-LV"/>
        </w:rPr>
      </w:pPr>
      <w:r>
        <w:rPr>
          <w:b/>
          <w:bCs/>
        </w:rPr>
        <w:t>Tieslietu ministrija kā pārraudzības iestāde, kurā informācijas atklātības jautājumos ir apstrīdama tiesas kā iestādes rīcība</w:t>
      </w:r>
      <w:r>
        <w:rPr>
          <w:rFonts w:ascii="Aptos" w:hAnsi="Aptos"/>
        </w:rPr>
        <w:t xml:space="preserve"> </w:t>
      </w:r>
    </w:p>
    <w:p w14:paraId="4E631975" w14:textId="4C9FE02C" w:rsidR="0090259F" w:rsidRDefault="0090259F" w:rsidP="00653E62">
      <w:pPr>
        <w:spacing w:line="276" w:lineRule="auto"/>
        <w:jc w:val="both"/>
      </w:pPr>
      <w:r>
        <w:t>Likuma „Par tiesu varu” 28.</w:t>
      </w:r>
      <w:r>
        <w:rPr>
          <w:vertAlign w:val="superscript"/>
        </w:rPr>
        <w:t>5</w:t>
      </w:r>
      <w:r>
        <w:t xml:space="preserve">pants tieši paredz, ka informācijas izsniegšanas jautājumu risināšanā tiesa (kā iestāde) ir Tieslietu ministrijas pārraudzībā, tātad likums paredz šādiem strīdiem ārpustiesas izskatīšanas kārtību Tieslietu ministrijā. </w:t>
      </w:r>
    </w:p>
    <w:p w14:paraId="7647DE9C" w14:textId="28A07624" w:rsidR="0090259F" w:rsidRPr="00011547" w:rsidRDefault="00F77BCC" w:rsidP="00653E62">
      <w:pPr>
        <w:spacing w:before="240" w:line="276" w:lineRule="auto"/>
        <w:jc w:val="center"/>
        <w:rPr>
          <w:b/>
        </w:rPr>
      </w:pPr>
      <w:r w:rsidRPr="00011547">
        <w:rPr>
          <w:b/>
        </w:rPr>
        <w:t>Latvijas Republikas Senāt</w:t>
      </w:r>
      <w:r w:rsidR="0090259F">
        <w:rPr>
          <w:b/>
        </w:rPr>
        <w:t>a</w:t>
      </w:r>
      <w:r w:rsidR="0090259F">
        <w:rPr>
          <w:b/>
        </w:rPr>
        <w:br/>
        <w:t xml:space="preserve">Administratīvo lietu departamenta </w:t>
      </w:r>
      <w:r w:rsidR="0090259F">
        <w:rPr>
          <w:b/>
        </w:rPr>
        <w:br/>
        <w:t>2026.gada 3.jūlija</w:t>
      </w:r>
    </w:p>
    <w:p w14:paraId="6DD743CD" w14:textId="77777777" w:rsidR="00F77BCC" w:rsidRDefault="00F77BCC" w:rsidP="00653E62">
      <w:pPr>
        <w:spacing w:line="276" w:lineRule="auto"/>
        <w:jc w:val="center"/>
      </w:pPr>
      <w:r>
        <w:rPr>
          <w:b/>
        </w:rPr>
        <w:t>RĪCĪBAS SĒDES LĒMUMS</w:t>
      </w:r>
    </w:p>
    <w:p w14:paraId="17C39042" w14:textId="1C768D8C" w:rsidR="0090259F" w:rsidRPr="0090259F" w:rsidRDefault="0090259F" w:rsidP="00653E62">
      <w:pPr>
        <w:spacing w:line="276" w:lineRule="auto"/>
        <w:jc w:val="center"/>
        <w:rPr>
          <w:b/>
          <w:bCs/>
        </w:rPr>
      </w:pPr>
      <w:r w:rsidRPr="0090259F">
        <w:rPr>
          <w:b/>
          <w:bCs/>
        </w:rPr>
        <w:t xml:space="preserve">Lieta </w:t>
      </w:r>
      <w:r w:rsidRPr="0090259F">
        <w:rPr>
          <w:b/>
          <w:bCs/>
        </w:rPr>
        <w:t>Nr. </w:t>
      </w:r>
      <w:r w:rsidRPr="0090259F">
        <w:rPr>
          <w:b/>
          <w:bCs/>
          <w:lang w:val="en-US"/>
        </w:rPr>
        <w:t>670008226</w:t>
      </w:r>
      <w:r w:rsidRPr="0090259F">
        <w:rPr>
          <w:b/>
          <w:bCs/>
        </w:rPr>
        <w:t>, SKA-737/2026</w:t>
      </w:r>
      <w:r w:rsidRPr="0090259F">
        <w:rPr>
          <w:b/>
          <w:bCs/>
          <w:lang w:eastAsia="lv-LV"/>
        </w:rPr>
        <w:t xml:space="preserve">  </w:t>
      </w:r>
    </w:p>
    <w:p w14:paraId="7650F680" w14:textId="1E79D15B" w:rsidR="00F77BCC" w:rsidRDefault="0090259F" w:rsidP="00653E62">
      <w:pPr>
        <w:spacing w:line="276" w:lineRule="auto"/>
        <w:jc w:val="center"/>
      </w:pPr>
      <w:r w:rsidRPr="0090259F">
        <w:t xml:space="preserve"> </w:t>
      </w:r>
      <w:hyperlink r:id="rId6" w:history="1">
        <w:r w:rsidRPr="0090259F">
          <w:rPr>
            <w:rStyle w:val="Hyperlink"/>
          </w:rPr>
          <w:t>ECLI:LV:AT:2026:0703.SKA073726.3.L</w:t>
        </w:r>
      </w:hyperlink>
    </w:p>
    <w:p w14:paraId="1B0D73FB" w14:textId="77777777" w:rsidR="00F77BCC" w:rsidRPr="00A50150" w:rsidRDefault="00F77BCC" w:rsidP="00653E62">
      <w:pPr>
        <w:spacing w:line="276" w:lineRule="auto"/>
        <w:ind w:firstLine="720"/>
        <w:jc w:val="both"/>
        <w:rPr>
          <w:rFonts w:asciiTheme="majorBidi" w:hAnsiTheme="majorBidi" w:cstheme="majorBidi"/>
        </w:rPr>
      </w:pPr>
    </w:p>
    <w:p w14:paraId="3411D8D4" w14:textId="5AB305FD" w:rsidR="00F77BCC" w:rsidRDefault="00F77BCC" w:rsidP="00653E62">
      <w:pPr>
        <w:spacing w:line="276" w:lineRule="auto"/>
        <w:ind w:firstLine="720"/>
        <w:jc w:val="both"/>
        <w:rPr>
          <w:rFonts w:asciiTheme="majorBidi" w:hAnsiTheme="majorBidi" w:cstheme="majorBidi"/>
        </w:rPr>
      </w:pPr>
      <w:r w:rsidRPr="003947D3">
        <w:rPr>
          <w:rFonts w:asciiTheme="majorBidi" w:hAnsiTheme="majorBidi" w:cstheme="majorBidi"/>
        </w:rPr>
        <w:t xml:space="preserve">[1] Senātā saņemta </w:t>
      </w:r>
      <w:r>
        <w:rPr>
          <w:rFonts w:asciiTheme="majorBidi" w:hAnsiTheme="majorBidi" w:cstheme="majorBidi"/>
        </w:rPr>
        <w:t xml:space="preserve">pieteicējas </w:t>
      </w:r>
      <w:r w:rsidR="0090259F">
        <w:rPr>
          <w:rFonts w:asciiTheme="majorBidi" w:hAnsiTheme="majorBidi" w:cstheme="majorBidi"/>
        </w:rPr>
        <w:t xml:space="preserve">[pers. A] </w:t>
      </w:r>
      <w:r w:rsidR="005F68BD" w:rsidRPr="005F68BD">
        <w:rPr>
          <w:rFonts w:asciiTheme="majorBidi" w:hAnsiTheme="majorBidi" w:cstheme="majorBidi"/>
        </w:rPr>
        <w:t>(</w:t>
      </w:r>
      <w:r w:rsidR="0090259F">
        <w:rPr>
          <w:rFonts w:asciiTheme="majorBidi" w:hAnsiTheme="majorBidi" w:cstheme="majorBidi"/>
          <w:i/>
          <w:iCs/>
        </w:rPr>
        <w:t>[pers. A]</w:t>
      </w:r>
      <w:r w:rsidR="005F68BD" w:rsidRPr="005F68BD">
        <w:rPr>
          <w:rFonts w:asciiTheme="majorBidi" w:hAnsiTheme="majorBidi" w:cstheme="majorBidi"/>
        </w:rPr>
        <w:t xml:space="preserve">) </w:t>
      </w:r>
      <w:r w:rsidRPr="005F68BD">
        <w:rPr>
          <w:rFonts w:asciiTheme="majorBidi" w:hAnsiTheme="majorBidi" w:cstheme="majorBidi"/>
        </w:rPr>
        <w:t>blakus</w:t>
      </w:r>
      <w:r>
        <w:rPr>
          <w:rFonts w:asciiTheme="majorBidi" w:hAnsiTheme="majorBidi" w:cstheme="majorBidi"/>
        </w:rPr>
        <w:t xml:space="preserve"> sūdzība par Administratīvās rajona tiesas tiesneša 2026.gada 29.maija lēmumu, ar kuru atteikts pieņemt viņas pieteikumu par Rīgas apgabaltiesas atteikumu izsniegt pieteicējai dokumentus par tiesas sastāva no</w:t>
      </w:r>
      <w:r w:rsidR="005632F8">
        <w:rPr>
          <w:rFonts w:asciiTheme="majorBidi" w:hAnsiTheme="majorBidi" w:cstheme="majorBidi"/>
        </w:rPr>
        <w:t>teikšanu</w:t>
      </w:r>
      <w:r>
        <w:rPr>
          <w:rFonts w:asciiTheme="majorBidi" w:hAnsiTheme="majorBidi" w:cstheme="majorBidi"/>
        </w:rPr>
        <w:t xml:space="preserve"> krimināllietā un </w:t>
      </w:r>
      <w:r w:rsidR="0099013D">
        <w:rPr>
          <w:rFonts w:asciiTheme="majorBidi" w:hAnsiTheme="majorBidi" w:cstheme="majorBidi"/>
        </w:rPr>
        <w:t xml:space="preserve">par </w:t>
      </w:r>
      <w:r>
        <w:rPr>
          <w:rFonts w:asciiTheme="majorBidi" w:hAnsiTheme="majorBidi" w:cstheme="majorBidi"/>
        </w:rPr>
        <w:t>pienākuma uzlikšanu Rīgas apgabaltiesai izsniegt pieteicējas pieprasītos dokumentus.</w:t>
      </w:r>
    </w:p>
    <w:p w14:paraId="09A0A219" w14:textId="1BF79D62" w:rsidR="00F77BCC" w:rsidRDefault="00344F9A" w:rsidP="00653E62">
      <w:pPr>
        <w:spacing w:line="276" w:lineRule="auto"/>
        <w:ind w:firstLine="720"/>
        <w:jc w:val="both"/>
        <w:rPr>
          <w:rFonts w:asciiTheme="majorBidi" w:hAnsiTheme="majorBidi" w:cstheme="majorBidi"/>
        </w:rPr>
      </w:pPr>
      <w:r>
        <w:rPr>
          <w:rFonts w:asciiTheme="majorBidi" w:hAnsiTheme="majorBidi" w:cstheme="majorBidi"/>
        </w:rPr>
        <w:t xml:space="preserve">Tiesnesis norādīja, ka </w:t>
      </w:r>
      <w:r w:rsidR="0099013D">
        <w:rPr>
          <w:rFonts w:asciiTheme="majorBidi" w:hAnsiTheme="majorBidi" w:cstheme="majorBidi"/>
        </w:rPr>
        <w:t xml:space="preserve">pieteicējas pieteikums ir par tiesas rīcībā esošu dokumentu pieejamību un </w:t>
      </w:r>
      <w:r>
        <w:rPr>
          <w:rFonts w:asciiTheme="majorBidi" w:hAnsiTheme="majorBidi" w:cstheme="majorBidi"/>
        </w:rPr>
        <w:t>atbilstoši likuma „Par tiesu</w:t>
      </w:r>
      <w:r w:rsidR="00C76B1E">
        <w:rPr>
          <w:rFonts w:asciiTheme="majorBidi" w:hAnsiTheme="majorBidi" w:cstheme="majorBidi"/>
        </w:rPr>
        <w:t xml:space="preserve"> varu</w:t>
      </w:r>
      <w:r>
        <w:rPr>
          <w:rFonts w:asciiTheme="majorBidi" w:hAnsiTheme="majorBidi" w:cstheme="majorBidi"/>
        </w:rPr>
        <w:t xml:space="preserve">” </w:t>
      </w:r>
      <w:r w:rsidRPr="00344F9A">
        <w:rPr>
          <w:rFonts w:asciiTheme="majorBidi" w:hAnsiTheme="majorBidi" w:cstheme="majorBidi"/>
        </w:rPr>
        <w:t>28.</w:t>
      </w:r>
      <w:r w:rsidRPr="00344F9A">
        <w:rPr>
          <w:rFonts w:asciiTheme="majorBidi" w:hAnsiTheme="majorBidi" w:cstheme="majorBidi"/>
          <w:vertAlign w:val="superscript"/>
        </w:rPr>
        <w:t>5</w:t>
      </w:r>
      <w:r w:rsidRPr="00344F9A">
        <w:rPr>
          <w:rFonts w:asciiTheme="majorBidi" w:hAnsiTheme="majorBidi" w:cstheme="majorBidi"/>
        </w:rPr>
        <w:t>pantam tiesas atteikumu izsniegt pieprasīto</w:t>
      </w:r>
      <w:r>
        <w:rPr>
          <w:rFonts w:asciiTheme="majorBidi" w:hAnsiTheme="majorBidi" w:cstheme="majorBidi"/>
        </w:rPr>
        <w:t xml:space="preserve"> </w:t>
      </w:r>
      <w:r w:rsidRPr="00344F9A">
        <w:rPr>
          <w:rFonts w:asciiTheme="majorBidi" w:hAnsiTheme="majorBidi" w:cstheme="majorBidi"/>
        </w:rPr>
        <w:t xml:space="preserve">informāciju </w:t>
      </w:r>
      <w:r>
        <w:rPr>
          <w:rFonts w:asciiTheme="majorBidi" w:hAnsiTheme="majorBidi" w:cstheme="majorBidi"/>
        </w:rPr>
        <w:t xml:space="preserve">vispirms ir jāapstrīd </w:t>
      </w:r>
      <w:r w:rsidRPr="00344F9A">
        <w:rPr>
          <w:rFonts w:asciiTheme="majorBidi" w:hAnsiTheme="majorBidi" w:cstheme="majorBidi"/>
        </w:rPr>
        <w:t>Tieslietu ministrijā.</w:t>
      </w:r>
      <w:r>
        <w:rPr>
          <w:rFonts w:asciiTheme="majorBidi" w:hAnsiTheme="majorBidi" w:cstheme="majorBidi"/>
        </w:rPr>
        <w:t xml:space="preserve"> Tā kā pieteicēja nebija vērsusies Tieslietu ministrijā ar apstrīdēšanas iesniegumu, tiesnesis secināja, ka pieteikuma iesniegšanai nav ievērota </w:t>
      </w:r>
      <w:r w:rsidR="00D70B8F">
        <w:rPr>
          <w:rFonts w:asciiTheme="majorBidi" w:hAnsiTheme="majorBidi" w:cstheme="majorBidi"/>
        </w:rPr>
        <w:t xml:space="preserve">lietas </w:t>
      </w:r>
      <w:r>
        <w:rPr>
          <w:rFonts w:asciiTheme="majorBidi" w:hAnsiTheme="majorBidi" w:cstheme="majorBidi"/>
        </w:rPr>
        <w:t>iepriekšējās ārpustiesas izskatīšanas kārtība</w:t>
      </w:r>
      <w:r w:rsidR="00D70B8F">
        <w:rPr>
          <w:rFonts w:asciiTheme="majorBidi" w:hAnsiTheme="majorBidi" w:cstheme="majorBidi"/>
        </w:rPr>
        <w:t xml:space="preserve"> un tas atbilstoši Administratīvā procesa likuma 191.panta pirmās daļas 5.punktam ir pamats atteikt pieteikuma pieņemšanu.</w:t>
      </w:r>
    </w:p>
    <w:p w14:paraId="7F6D1EAF" w14:textId="77777777" w:rsidR="00D70B8F" w:rsidRDefault="00D70B8F" w:rsidP="00653E62">
      <w:pPr>
        <w:spacing w:line="276" w:lineRule="auto"/>
        <w:ind w:firstLine="720"/>
        <w:jc w:val="both"/>
      </w:pPr>
    </w:p>
    <w:p w14:paraId="6564DFC2" w14:textId="70A6FBBF" w:rsidR="00F77BCC" w:rsidRDefault="00F77BCC" w:rsidP="00653E62">
      <w:pPr>
        <w:spacing w:line="276" w:lineRule="auto"/>
        <w:ind w:firstLine="720"/>
        <w:jc w:val="both"/>
      </w:pPr>
      <w:r>
        <w:t xml:space="preserve">[2] </w:t>
      </w:r>
      <w:r w:rsidR="00D70B8F">
        <w:t>Senatoru kolēģija, izvērtējusi pārsūdzēto tiesneša lēmumu un blakus sūdzības argumentus, turpmāk norādīto apsvērumu dēļ atzīst, ka tiesneša lēmums ir pareizs, savukārt blakus sūdzība ir vērtējama kā acīmredzami nepamatota.</w:t>
      </w:r>
    </w:p>
    <w:p w14:paraId="69E8FFCC" w14:textId="77777777" w:rsidR="00F77BCC" w:rsidRDefault="00F77BCC" w:rsidP="00653E62">
      <w:pPr>
        <w:spacing w:line="276" w:lineRule="auto"/>
        <w:ind w:firstLine="720"/>
        <w:jc w:val="both"/>
      </w:pPr>
    </w:p>
    <w:p w14:paraId="55CFFD33" w14:textId="77777777" w:rsidR="00F33594" w:rsidRDefault="00F77BCC" w:rsidP="00653E62">
      <w:pPr>
        <w:spacing w:line="276" w:lineRule="auto"/>
        <w:ind w:firstLine="720"/>
        <w:jc w:val="both"/>
      </w:pPr>
      <w:r>
        <w:t xml:space="preserve">[3] </w:t>
      </w:r>
      <w:r w:rsidR="005632F8">
        <w:t xml:space="preserve">Pieteicēja bija vērsusies Rīgas apgabaltiesā ar iesniegumiem, lai saņemtu konkrētus dokumentus, kas apliecina </w:t>
      </w:r>
      <w:r w:rsidR="00C76B1E">
        <w:t>krimināl</w:t>
      </w:r>
      <w:r w:rsidR="005632F8">
        <w:t xml:space="preserve">lietu </w:t>
      </w:r>
      <w:r w:rsidR="00157EAE">
        <w:t xml:space="preserve">(kuras izskatīšana tiesā jau ir noslēgusies) </w:t>
      </w:r>
      <w:r w:rsidR="005632F8">
        <w:t>izskat</w:t>
      </w:r>
      <w:r w:rsidR="007D568F">
        <w:t>ījušā</w:t>
      </w:r>
      <w:r w:rsidR="005632F8">
        <w:t xml:space="preserve"> tiesas sastāva noteikšanu</w:t>
      </w:r>
      <w:r w:rsidR="00157EAE">
        <w:t>,</w:t>
      </w:r>
      <w:r w:rsidR="00C76B1E">
        <w:t xml:space="preserve"> </w:t>
      </w:r>
      <w:r w:rsidR="00157EAE">
        <w:t xml:space="preserve">– </w:t>
      </w:r>
      <w:r w:rsidR="007C79D3">
        <w:rPr>
          <w:rFonts w:asciiTheme="majorBidi" w:hAnsiTheme="majorBidi" w:cstheme="majorBidi"/>
        </w:rPr>
        <w:t>tiesas</w:t>
      </w:r>
      <w:r w:rsidR="00157EAE">
        <w:rPr>
          <w:rFonts w:asciiTheme="majorBidi" w:hAnsiTheme="majorBidi" w:cstheme="majorBidi"/>
        </w:rPr>
        <w:t xml:space="preserve"> </w:t>
      </w:r>
      <w:r w:rsidR="007C79D3">
        <w:rPr>
          <w:rFonts w:asciiTheme="majorBidi" w:hAnsiTheme="majorBidi" w:cstheme="majorBidi"/>
        </w:rPr>
        <w:t xml:space="preserve">priekšsēdētāja rīkojumus par lietu sadali un </w:t>
      </w:r>
      <w:r w:rsidR="00C76B1E">
        <w:rPr>
          <w:rFonts w:asciiTheme="majorBidi" w:hAnsiTheme="majorBidi" w:cstheme="majorBidi"/>
        </w:rPr>
        <w:t>konkrētu tiesnešu iekļaušanu vai izslēgšanu no krimināllietu izskatošā tiesas sastāva</w:t>
      </w:r>
      <w:r w:rsidR="005632F8">
        <w:t>. Tā kā pieteicēja uzskata, ka Rīgas apgabaltiesas priekšsēdētāj</w:t>
      </w:r>
      <w:r w:rsidR="007D568F">
        <w:t xml:space="preserve">s nepamatoti atteicies </w:t>
      </w:r>
      <w:r w:rsidR="005632F8">
        <w:t>izsniegt viņai pieprasītos dokumentus, pieteicēja ir vērsusies administratīvajā tiesā ar mērķi panākt atteikuma atzīšanu par prettiesisku un pienākuma uzlikšanu</w:t>
      </w:r>
      <w:r w:rsidR="00C76B1E">
        <w:t xml:space="preserve"> Rīgas apgabaltiesai izsniegt viņai pieprasītos dokumentus. </w:t>
      </w:r>
    </w:p>
    <w:p w14:paraId="09228D82" w14:textId="2DA95FE1" w:rsidR="00F77BCC" w:rsidRDefault="00C76B1E" w:rsidP="00653E62">
      <w:pPr>
        <w:spacing w:line="276" w:lineRule="auto"/>
        <w:ind w:firstLine="720"/>
        <w:jc w:val="both"/>
      </w:pPr>
      <w:r>
        <w:t>Tiesnesis pārsūdzētajā lēmumā pamatoti atzinis, ka šādos apstākļos pieteicējas prasījums pēc būtības ir prasījums par dokumentētas informācijas izsniegšanu</w:t>
      </w:r>
      <w:r w:rsidR="008122EC">
        <w:t>, un tāpēc uz to ir attiecināms Informācijas atklātības likums un likuma „Par tiesu varu” 28.</w:t>
      </w:r>
      <w:r w:rsidR="008122EC" w:rsidRPr="008122EC">
        <w:rPr>
          <w:vertAlign w:val="superscript"/>
        </w:rPr>
        <w:t>5</w:t>
      </w:r>
      <w:r w:rsidR="008122EC">
        <w:t xml:space="preserve">pants. </w:t>
      </w:r>
    </w:p>
    <w:p w14:paraId="61297195" w14:textId="3FA49886" w:rsidR="003947BB" w:rsidRDefault="007C79D3" w:rsidP="00653E62">
      <w:pPr>
        <w:spacing w:line="276" w:lineRule="auto"/>
        <w:ind w:firstLine="720"/>
        <w:jc w:val="both"/>
      </w:pPr>
      <w:r>
        <w:t>Pretēji pieteicējas uzskatam tas, ka pieprasītie dokumenti apliecin</w:t>
      </w:r>
      <w:r w:rsidR="00157EAE">
        <w:t>ot</w:t>
      </w:r>
      <w:r>
        <w:t xml:space="preserve">, kā Rīgas apgabaltiesas vadība ir veikusi lietu sadali un noteikusi konkrētu krimināllietu izskatošo </w:t>
      </w:r>
      <w:r>
        <w:lastRenderedPageBreak/>
        <w:t xml:space="preserve">tiesas sastāvu, neizslēdz Informācijas atklātības likuma piemērošanu šādas informācijas pieprasīšanai. Informācijas atklātības likums vispārīgi attiecas uz jebkuru iestādes rīcībā esošu dokumentētu informāciju (vispārpieejamu vai ierobežotas pieejamības), neatkarīgi no dokumentētās informācijas satura (likuma 2.panta pirmā un otrā daļa). </w:t>
      </w:r>
    </w:p>
    <w:p w14:paraId="55BFC1F7" w14:textId="7912D71F" w:rsidR="003947BB" w:rsidRDefault="00C37704" w:rsidP="00653E62">
      <w:pPr>
        <w:spacing w:line="276" w:lineRule="auto"/>
        <w:ind w:firstLine="720"/>
        <w:jc w:val="both"/>
      </w:pPr>
      <w:r>
        <w:t>Tāpat Informācijas atklātības likuma piemērošanu neizslēdz pieteicējas norāde, kādam nolūkam viņai pieprasītā informācija nepieciešama (pieteicēja argumentē, ka informāciju pieprasījusi, lai varētu pilnvērtīgi īstenot savas tiesības uz taisnīgu tiesu krimināllietā</w:t>
      </w:r>
      <w:r w:rsidR="003B0423">
        <w:t xml:space="preserve">, </w:t>
      </w:r>
      <w:r>
        <w:t>noskaidro</w:t>
      </w:r>
      <w:r w:rsidR="003B0423">
        <w:t>jo</w:t>
      </w:r>
      <w:r>
        <w:t xml:space="preserve">t, vai krimināllieta tika izskatīta likumīgi noteiktā tiesas sastāvā). </w:t>
      </w:r>
      <w:r w:rsidR="003B0423">
        <w:t>Informācijas atklātības likuma piemērošana nav atkarīga no tā, kādam nolūkam persona plāno izmantot pieprasīto informāciju</w:t>
      </w:r>
      <w:r w:rsidR="009F4C54">
        <w:t xml:space="preserve"> (šis apstāklis ir svarīgs, izsverot, vai izsniegt pieprasītājam ierobežotas pieejamības informāciju, nevis izsverot, vai vispār ir piemērojams Informācijas atklātības likums). Tāpēc t</w:t>
      </w:r>
      <w:r w:rsidR="003B0423">
        <w:t>as, ka informācija nepieciešama, lai aizsargātu tiesības uz taisnīgu tiesu kādā lietā, n</w:t>
      </w:r>
      <w:r w:rsidR="00270FC3">
        <w:t>av šķērslis informācijas pieprasīšanai piemērot</w:t>
      </w:r>
      <w:r w:rsidR="003B0423">
        <w:t xml:space="preserve"> Informācijas atklātības likum</w:t>
      </w:r>
      <w:r w:rsidR="003947BB">
        <w:t>u</w:t>
      </w:r>
      <w:r w:rsidR="003B0423">
        <w:t xml:space="preserve">. </w:t>
      </w:r>
    </w:p>
    <w:p w14:paraId="24EDF70D" w14:textId="0D32D284" w:rsidR="007C79D3" w:rsidRDefault="008E14A6" w:rsidP="00653E62">
      <w:pPr>
        <w:spacing w:line="276" w:lineRule="auto"/>
        <w:ind w:firstLine="720"/>
        <w:jc w:val="both"/>
      </w:pPr>
      <w:r>
        <w:t xml:space="preserve">Tiesnesis pareizi atzinis, ka tiesas rīcībā esošas informācijas izsniegšanu </w:t>
      </w:r>
      <w:r w:rsidR="00A63CE5">
        <w:t xml:space="preserve">papildus Informācijas </w:t>
      </w:r>
      <w:r w:rsidR="00A63CE5" w:rsidRPr="00A63CE5">
        <w:t xml:space="preserve">atklātības likuma vispārīgajām normām </w:t>
      </w:r>
      <w:r w:rsidRPr="00A63CE5">
        <w:t>reglamentē arī likuma „Par tiesu varu”</w:t>
      </w:r>
      <w:r w:rsidR="00A63CE5" w:rsidRPr="00A63CE5">
        <w:t xml:space="preserve"> 3.</w:t>
      </w:r>
      <w:r w:rsidR="00A63CE5" w:rsidRPr="00A63CE5">
        <w:rPr>
          <w:vertAlign w:val="superscript"/>
        </w:rPr>
        <w:t>1</w:t>
      </w:r>
      <w:r w:rsidR="00A63CE5" w:rsidRPr="00A63CE5">
        <w:t xml:space="preserve">nodaļa „Informācijas pieejamība”. </w:t>
      </w:r>
      <w:r w:rsidR="00A63CE5">
        <w:t>Savukārt šajā nodaļā iekļautais 28.</w:t>
      </w:r>
      <w:r w:rsidR="00A63CE5" w:rsidRPr="00A63CE5">
        <w:rPr>
          <w:vertAlign w:val="superscript"/>
        </w:rPr>
        <w:t>5</w:t>
      </w:r>
      <w:r w:rsidR="00A63CE5">
        <w:t>pants paredz, ka tiesas atteikumu izsniegt pieprasīto informāciju apstrīd Tieslietu ministrijā</w:t>
      </w:r>
      <w:r w:rsidR="00062A2C">
        <w:t>, un attiecīgi tad, ja personu neapmierina Tieslietu ministrijas lēmums, tālāk var vērsties ar pieteikumu administratīvajā tiesā.</w:t>
      </w:r>
      <w:r w:rsidR="000C391F">
        <w:t xml:space="preserve"> Tas nozīmē, ka privātpersonai, kura vēlas iesniegt pieteikumu administratīvajā tiesā par to, ka tiesa nav izsniegusi tās pieprasīto informāciju, ir jāievēro minētajā normā noteiktā lietas iepriekšējās ārpustiesas izskatīšanas kārtība.</w:t>
      </w:r>
    </w:p>
    <w:p w14:paraId="0C8B752D" w14:textId="77777777" w:rsidR="000C391F" w:rsidRDefault="000C391F" w:rsidP="00653E62">
      <w:pPr>
        <w:spacing w:line="276" w:lineRule="auto"/>
        <w:ind w:firstLine="720"/>
        <w:jc w:val="both"/>
      </w:pPr>
    </w:p>
    <w:p w14:paraId="66038A59" w14:textId="592CDE4B" w:rsidR="003947BB" w:rsidRDefault="000C391F" w:rsidP="00653E62">
      <w:pPr>
        <w:spacing w:line="276" w:lineRule="auto"/>
        <w:ind w:firstLine="720"/>
        <w:jc w:val="both"/>
      </w:pPr>
      <w:r>
        <w:t xml:space="preserve">[4] </w:t>
      </w:r>
      <w:r w:rsidR="003947BB">
        <w:t xml:space="preserve">Nepamatots ir pieteicējas arguments, ka Rīgas apgabaltiesas rīcība nevar būt pakļauta izpildvaras iestādei </w:t>
      </w:r>
      <w:r w:rsidR="00A2089F">
        <w:t xml:space="preserve">– </w:t>
      </w:r>
      <w:r w:rsidR="003947BB">
        <w:t>Tieslietu</w:t>
      </w:r>
      <w:r w:rsidR="00A2089F">
        <w:t xml:space="preserve"> </w:t>
      </w:r>
      <w:r w:rsidR="003947BB">
        <w:t>ministrijai</w:t>
      </w:r>
      <w:r w:rsidR="00A2089F">
        <w:t xml:space="preserve"> un tāpēc pieteicējai nebūtu jāvēršas ar apstrīdēšanas iesniegumu ministrijā.</w:t>
      </w:r>
      <w:r w:rsidR="003947BB">
        <w:t xml:space="preserve"> Konkrētajā lietā ir risināms jautājums par pieteicējas tiesībām piekļūt tiesas rīcībā esošiem dokumentiem</w:t>
      </w:r>
      <w:r w:rsidR="00691354">
        <w:t>, kas attiecas uz lietu, kas jau ir izspriesta un kurā ir stājies spēkā galīgais tiesas nolēmums.</w:t>
      </w:r>
      <w:r w:rsidR="003947BB">
        <w:t xml:space="preserve"> Lemjot par tiesas rīcībā esošas dokumentētas informācijas, kas attiecas uz jau noslēgušos tiesvedības procesu, izsniegšanu, Rīgas apgabaltiesa </w:t>
      </w:r>
      <w:r w:rsidR="00A2089F">
        <w:t xml:space="preserve">nespriež tiesu, bet gan </w:t>
      </w:r>
      <w:r w:rsidR="003947BB">
        <w:t>rīkojas kā iestāde</w:t>
      </w:r>
      <w:r w:rsidR="008A6DF0">
        <w:t>. L</w:t>
      </w:r>
      <w:r w:rsidR="003947BB">
        <w:t>ikuma „Par tiesu varu”</w:t>
      </w:r>
      <w:r w:rsidR="00A2089F">
        <w:t xml:space="preserve"> </w:t>
      </w:r>
      <w:r w:rsidR="003947BB">
        <w:t>28.</w:t>
      </w:r>
      <w:r w:rsidR="003947BB" w:rsidRPr="003947BB">
        <w:rPr>
          <w:vertAlign w:val="superscript"/>
        </w:rPr>
        <w:t>5</w:t>
      </w:r>
      <w:r w:rsidR="003947BB">
        <w:t>pants tieši paredz, ka</w:t>
      </w:r>
      <w:r w:rsidR="00A2089F">
        <w:t xml:space="preserve"> informācijas izsniegšanas jautājumu risināšanā tiesa </w:t>
      </w:r>
      <w:r w:rsidR="00157EAE">
        <w:t xml:space="preserve">(kā iestāde) </w:t>
      </w:r>
      <w:r w:rsidR="00A2089F">
        <w:t>ir Tieslietu ministrijas pārraudzībā.</w:t>
      </w:r>
      <w:r w:rsidR="003947BB">
        <w:t xml:space="preserve"> </w:t>
      </w:r>
      <w:r w:rsidR="00356ED6">
        <w:t xml:space="preserve">Pieteicējas uzmanība vēršama uz to, ka, īstenojot šo pārraudzību, </w:t>
      </w:r>
      <w:r w:rsidR="00157EAE">
        <w:t xml:space="preserve">Tieslietu ministrija varētu </w:t>
      </w:r>
      <w:r w:rsidR="00A2089F">
        <w:t>pārbaud</w:t>
      </w:r>
      <w:r w:rsidR="00157EAE">
        <w:t>īt</w:t>
      </w:r>
      <w:r w:rsidR="00A2089F">
        <w:t xml:space="preserve"> vienīgi t</w:t>
      </w:r>
      <w:r w:rsidR="00157EAE">
        <w:t>o</w:t>
      </w:r>
      <w:r w:rsidR="00A2089F">
        <w:t>, vai Rīgas apgabaltiesa pamatoti atteica informācijas izsniegšanu un vai Rīgas apgabaltiesai ir uzliekams pienākums pieteicējai šo informāciju izsniegt</w:t>
      </w:r>
      <w:r w:rsidR="007D568F">
        <w:t>.</w:t>
      </w:r>
      <w:r w:rsidR="00A2089F">
        <w:t xml:space="preserve"> </w:t>
      </w:r>
      <w:r w:rsidR="00157EAE">
        <w:t>Ne ministrija, ne administratīvā tiesa nevērtētu to, vai konkrētā krimināllietā pieteicējai bija nodrošinātas tiesības uz taisnīgu tiesu – likumīgi izveidotu lietu izskatošo tiesas sastāvu. Tas, vai krimināllietā tika nodrošinātas tiesības uz taisnīgu tiesu, nav administratīvā procesa kārtībā pārbaudāms jautājums.</w:t>
      </w:r>
    </w:p>
    <w:p w14:paraId="0632EA9C" w14:textId="30DF77B6" w:rsidR="000C391F" w:rsidRDefault="000C391F" w:rsidP="00653E62">
      <w:pPr>
        <w:spacing w:line="276" w:lineRule="auto"/>
        <w:ind w:firstLine="720"/>
        <w:jc w:val="both"/>
      </w:pPr>
    </w:p>
    <w:p w14:paraId="139D7B9F" w14:textId="0561A27F" w:rsidR="009B508D" w:rsidRDefault="001C0D94" w:rsidP="00653E62">
      <w:pPr>
        <w:spacing w:line="276" w:lineRule="auto"/>
        <w:ind w:firstLine="720"/>
        <w:jc w:val="both"/>
      </w:pPr>
      <w:r>
        <w:t>[</w:t>
      </w:r>
      <w:r w:rsidR="009230EA">
        <w:t>5</w:t>
      </w:r>
      <w:r>
        <w:t>] Ta</w:t>
      </w:r>
      <w:r w:rsidR="000D23FE">
        <w:t>s</w:t>
      </w:r>
      <w:r>
        <w:t>, ka Rīgas apgabaltiesas atbildēs uz pieteicējas informācijas pieprasījumiem nebija norādes uz Informācijas atklātības likumu</w:t>
      </w:r>
      <w:r w:rsidR="008A6DF0">
        <w:t xml:space="preserve"> un nebija norādīta apstrīdēšanas kārtība (nebija norādīts, ka ar apstrīdēšanas iesniegumu jāvēršas Tieslietu ministrijā), nav iemesls atkāpties no likuma „Par tiesu varu” 28.</w:t>
      </w:r>
      <w:r w:rsidR="008A6DF0" w:rsidRPr="008A6DF0">
        <w:rPr>
          <w:vertAlign w:val="superscript"/>
        </w:rPr>
        <w:t>5</w:t>
      </w:r>
      <w:r w:rsidR="008A6DF0">
        <w:t xml:space="preserve">pantā paredzētās apstrīdēšanas kārtības. </w:t>
      </w:r>
      <w:r w:rsidR="00637BD8">
        <w:t>Tas, kādas tiesību normas piemērojusi iestāde, pats par sevi nenote</w:t>
      </w:r>
      <w:r w:rsidR="000D23FE">
        <w:t>i</w:t>
      </w:r>
      <w:r w:rsidR="00637BD8">
        <w:t xml:space="preserve">c prasījuma un lietas juridisko kvalifikāciju. Ja </w:t>
      </w:r>
      <w:r w:rsidR="00356ED6">
        <w:t xml:space="preserve">administratīvā </w:t>
      </w:r>
      <w:r w:rsidR="00637BD8">
        <w:t xml:space="preserve">tiesa konstatē, ka konkrēts prasījums pēc būtības ir </w:t>
      </w:r>
      <w:r w:rsidR="009B508D">
        <w:t>prasījums par piekļuvi tiesas kā iestādes rīcībā esošai dokumentētai informācijai</w:t>
      </w:r>
      <w:r w:rsidR="00637BD8">
        <w:t xml:space="preserve">, to nevar mainīt tas, ka iestāde </w:t>
      </w:r>
      <w:r w:rsidR="009B508D">
        <w:t xml:space="preserve">atteikumā </w:t>
      </w:r>
      <w:r w:rsidR="00637BD8">
        <w:t>nav atsaukusies uz informācijas pieejamību reglamentēj</w:t>
      </w:r>
      <w:r w:rsidR="00720BF2">
        <w:t>o</w:t>
      </w:r>
      <w:r w:rsidR="00637BD8">
        <w:t xml:space="preserve">šām normām, bet ir atsaukusies uz citu likumu normām. </w:t>
      </w:r>
    </w:p>
    <w:p w14:paraId="4E057658" w14:textId="32C989FF" w:rsidR="00356ED6" w:rsidRDefault="00637BD8" w:rsidP="00653E62">
      <w:pPr>
        <w:spacing w:line="276" w:lineRule="auto"/>
        <w:ind w:firstLine="720"/>
        <w:jc w:val="both"/>
      </w:pPr>
      <w:r>
        <w:t>Tāpat p</w:t>
      </w:r>
      <w:r w:rsidR="008A6DF0">
        <w:t xml:space="preserve">retēji pieteicējas uzskatam tas, ka iestāde (šajā gadījumā – Rīgas apgabaltiesa) </w:t>
      </w:r>
      <w:r w:rsidR="00356ED6">
        <w:t xml:space="preserve">būtu </w:t>
      </w:r>
      <w:r w:rsidR="008A6DF0">
        <w:t xml:space="preserve">kļūdījusies, neizskaidrojot pieteicējai </w:t>
      </w:r>
      <w:r w:rsidR="009B508D">
        <w:t xml:space="preserve">atteikuma </w:t>
      </w:r>
      <w:r w:rsidR="008A6DF0">
        <w:t xml:space="preserve">apstrīdēšanas kārtību, nemaina to, ka likums paredz </w:t>
      </w:r>
      <w:r>
        <w:t xml:space="preserve">konkrētu </w:t>
      </w:r>
      <w:r w:rsidR="008A6DF0">
        <w:t>ārpustiesas izskatīšanas kārtību</w:t>
      </w:r>
      <w:r>
        <w:t xml:space="preserve"> un tātad tā ir jāievēro</w:t>
      </w:r>
      <w:r w:rsidR="008A6DF0">
        <w:t xml:space="preserve">. </w:t>
      </w:r>
      <w:r w:rsidR="007D568F">
        <w:t>Administratīvā procesa likums tādiem gadījumiem, kad iestāde nav izskaidrojusi privātpersonai apstrīdēšanas kārtību (un tātad privātpersonai tā jānoskaidro pašai)</w:t>
      </w:r>
      <w:r w:rsidR="00356ED6">
        <w:t>,</w:t>
      </w:r>
      <w:r w:rsidR="007D568F">
        <w:t xml:space="preserve"> </w:t>
      </w:r>
      <w:r w:rsidR="00356ED6">
        <w:t>paredz</w:t>
      </w:r>
      <w:r w:rsidR="007D568F">
        <w:t xml:space="preserve"> savā ziņā kompensējošu mehānismu – ievērojami garāku apstrīdēšanas termiņu. Proti, tajos gadījumos, kad iestāde nav izskaidrojusi apstrīdēšanas kārtību, apstrīdēšanas iesniegumu var iesniegt gada laikā (Administratīvā procesa likuma 79.panta pirmā daļa)</w:t>
      </w:r>
      <w:r w:rsidR="007D568F" w:rsidRPr="007D568F">
        <w:t>.</w:t>
      </w:r>
      <w:r w:rsidR="007D568F">
        <w:t xml:space="preserve"> </w:t>
      </w:r>
    </w:p>
    <w:p w14:paraId="0D9B666F" w14:textId="1A3713F6" w:rsidR="00F77BCC" w:rsidRDefault="007D568F" w:rsidP="00653E62">
      <w:pPr>
        <w:spacing w:line="276" w:lineRule="auto"/>
        <w:ind w:firstLine="720"/>
        <w:jc w:val="both"/>
      </w:pPr>
      <w:r>
        <w:t xml:space="preserve">Pieteicēja nepamatoti norāda, ka tad, ja iestāde viņai nav izskaidrojusi apstrīdēšanas kārtību, </w:t>
      </w:r>
      <w:r w:rsidR="00637BD8">
        <w:t xml:space="preserve">bet </w:t>
      </w:r>
      <w:r>
        <w:t>no viņas tomēr tiek prasīta apstrīdēšanas kārtības ievērošana,</w:t>
      </w:r>
      <w:r w:rsidR="00637BD8">
        <w:t xml:space="preserve"> pieteicējai tiek liegtas tiesības uz piekļuvi tiesai. Pieteicējai ir tiesības tagad vērsties ar apstrīdēšanas iesniegumu Tieslietu ministrijā un būs iespējas vērsties tiesā pēc tam, kad būs saņemts Tieslietu ministrijas lēmums (ja pieteicēja nebūs ar to apmierināta). Līdz ar to tas, ka no pieteicējas tiek prasīta iepriekšējās ārpustiesas izskatīšanas ievērošana, neatņem pieteicējai iespējas pēc tam par savām tiesībām saņemt pieprasītos dokumentos vērsties tiesā.</w:t>
      </w:r>
    </w:p>
    <w:p w14:paraId="6CA15E6E" w14:textId="6D721958" w:rsidR="00637BD8" w:rsidRDefault="00637BD8" w:rsidP="00653E62">
      <w:pPr>
        <w:spacing w:line="276" w:lineRule="auto"/>
        <w:ind w:firstLine="720"/>
        <w:jc w:val="both"/>
      </w:pPr>
      <w:r>
        <w:t>Pieteicēja savu situāciju nepamatoti salīdzina ar Senāta 2019.gada 18.oktobra lēmumā lietā Nr. SKA-1533/2019</w:t>
      </w:r>
      <w:r w:rsidR="00097F6C">
        <w:t xml:space="preserve">, </w:t>
      </w:r>
      <w:hyperlink r:id="rId7" w:history="1">
        <w:r w:rsidR="00097F6C" w:rsidRPr="00097F6C">
          <w:rPr>
            <w:rStyle w:val="Hyperlink"/>
          </w:rPr>
          <w:t>ECLI:LV:AT:2019:1018.A420255418.13.L</w:t>
        </w:r>
      </w:hyperlink>
      <w:r w:rsidR="00097F6C">
        <w:t>,</w:t>
      </w:r>
      <w:r>
        <w:t xml:space="preserve"> aplūkoto gadījumu, kurā Senāts pieļāva atkāpšanos no prasības strikti ievērot likumā noteikto ārpustiesas izskatīšanas kārtību. Minētā lēmuma 19.punktā ir atklāti specifiskie apstākļi, kas ļāva tajā lietā šādu atkāpi pieļaut. </w:t>
      </w:r>
      <w:r w:rsidR="00356ED6">
        <w:t>Pieteicējas gadījumā šādu apstākļu nav.</w:t>
      </w:r>
    </w:p>
    <w:p w14:paraId="77CB5819" w14:textId="69E511B6" w:rsidR="007C79D3" w:rsidRDefault="007C79D3" w:rsidP="00653E62">
      <w:pPr>
        <w:spacing w:line="276" w:lineRule="auto"/>
        <w:ind w:firstLine="720"/>
        <w:jc w:val="both"/>
      </w:pPr>
    </w:p>
    <w:p w14:paraId="59835A4B" w14:textId="2F26146B" w:rsidR="009230EA" w:rsidRDefault="009230EA" w:rsidP="00653E62">
      <w:pPr>
        <w:spacing w:line="276" w:lineRule="auto"/>
        <w:ind w:firstLine="720"/>
        <w:jc w:val="both"/>
      </w:pPr>
      <w:r>
        <w:t xml:space="preserve">[6] </w:t>
      </w:r>
      <w:r w:rsidR="00E648FA">
        <w:t xml:space="preserve">Pieteicēja citstarp norādījusi, ka konkrēto informācijas pieprasījumu viņa kā kriminālprocesa dalībniece esot iesniegusi Rīgas apgabaltiesai kā </w:t>
      </w:r>
      <w:r w:rsidR="00E648FA" w:rsidRPr="00E648FA">
        <w:t>kriminālprocesuālu pieprasījumu par pieeju krimināllietas materiāliem</w:t>
      </w:r>
      <w:r w:rsidR="00E648FA">
        <w:t xml:space="preserve">. Šajā sakarā pieteicējai paskaidrojams: ja viņa </w:t>
      </w:r>
      <w:r w:rsidR="00D768B1">
        <w:t xml:space="preserve">tiešām </w:t>
      </w:r>
      <w:r w:rsidR="00E648FA">
        <w:t xml:space="preserve">uzstāj, ka </w:t>
      </w:r>
      <w:r w:rsidR="000D6DA3">
        <w:t xml:space="preserve">vēlas, lai viņas </w:t>
      </w:r>
      <w:r w:rsidR="009B508D">
        <w:t xml:space="preserve">lūgumu izsniegt dokumentus </w:t>
      </w:r>
      <w:r w:rsidR="000D6DA3">
        <w:t>vērtē nevi</w:t>
      </w:r>
      <w:r w:rsidR="00E648FA">
        <w:t xml:space="preserve">s </w:t>
      </w:r>
      <w:r w:rsidR="000D6DA3">
        <w:t xml:space="preserve">kā </w:t>
      </w:r>
      <w:r w:rsidR="009B508D">
        <w:t xml:space="preserve">informācijas pieprasījumu </w:t>
      </w:r>
      <w:r w:rsidR="00E648FA">
        <w:t xml:space="preserve">Rīgas apgabaltiesai kā iestādei, kuras rīcībā ir </w:t>
      </w:r>
      <w:r w:rsidR="00D768B1">
        <w:t xml:space="preserve">dokumentēta </w:t>
      </w:r>
      <w:r w:rsidR="00E648FA">
        <w:t xml:space="preserve">informācija saistībā ar jau pabeigtu krimināllietu, bet gan kā tiesai </w:t>
      </w:r>
      <w:r w:rsidR="009B508D">
        <w:t>(</w:t>
      </w:r>
      <w:r w:rsidR="00E648FA">
        <w:t>procesa virzītājam</w:t>
      </w:r>
      <w:r w:rsidR="009B508D">
        <w:t>)</w:t>
      </w:r>
      <w:r w:rsidR="00E648FA">
        <w:t xml:space="preserve"> kriminālprocesa dalībniek</w:t>
      </w:r>
      <w:r w:rsidR="000D6DA3">
        <w:t xml:space="preserve">a </w:t>
      </w:r>
      <w:r w:rsidR="009B508D">
        <w:t xml:space="preserve">kriminālprocesa ietvaros </w:t>
      </w:r>
      <w:r w:rsidR="000D6DA3">
        <w:t>iesniegtu „kriminālprocesuālu pieprasījumu”</w:t>
      </w:r>
      <w:r w:rsidR="00E648FA">
        <w:t xml:space="preserve">, tad </w:t>
      </w:r>
      <w:r w:rsidR="009B508D">
        <w:t xml:space="preserve">konkrētais </w:t>
      </w:r>
      <w:r w:rsidR="00E648FA">
        <w:t>pieteicēj</w:t>
      </w:r>
      <w:r w:rsidR="000D6DA3">
        <w:t>a</w:t>
      </w:r>
      <w:r w:rsidR="00E648FA">
        <w:t>s p</w:t>
      </w:r>
      <w:r w:rsidR="009B508D">
        <w:t>ieteikums</w:t>
      </w:r>
      <w:r w:rsidR="00E648FA">
        <w:t xml:space="preserve"> vispār nebūtu pieļaujams izskatīšanai administratīvā procesa kārtībā. Administratīvā procesa kārtībā nevar pārbaudīt </w:t>
      </w:r>
      <w:r w:rsidR="00D768B1">
        <w:t xml:space="preserve">tiesas rīcību saistībā ar </w:t>
      </w:r>
      <w:r w:rsidR="00E648FA">
        <w:t xml:space="preserve">kriminālprocesa ietvaros </w:t>
      </w:r>
      <w:r w:rsidR="00D768B1">
        <w:t xml:space="preserve">izteiktiem </w:t>
      </w:r>
      <w:r w:rsidR="009B508D">
        <w:t xml:space="preserve">kriminālprocesuāliem </w:t>
      </w:r>
      <w:r w:rsidR="00D768B1">
        <w:t>lūgumiem/procesuāliem pieprasījumiem.</w:t>
      </w:r>
      <w:r w:rsidR="00E648FA">
        <w:t xml:space="preserve">  </w:t>
      </w:r>
    </w:p>
    <w:p w14:paraId="267A2C1D" w14:textId="77777777" w:rsidR="000D6DA3" w:rsidRDefault="000D6DA3" w:rsidP="00653E62">
      <w:pPr>
        <w:spacing w:line="276" w:lineRule="auto"/>
        <w:ind w:firstLine="720"/>
        <w:jc w:val="both"/>
      </w:pPr>
    </w:p>
    <w:p w14:paraId="1DB55843" w14:textId="012BBFC2" w:rsidR="00F77BCC" w:rsidRDefault="00F77BCC" w:rsidP="00653E62">
      <w:pPr>
        <w:spacing w:line="276" w:lineRule="auto"/>
        <w:ind w:firstLine="720"/>
        <w:jc w:val="both"/>
        <w:rPr>
          <w:rFonts w:asciiTheme="majorBidi" w:hAnsiTheme="majorBidi" w:cstheme="majorBidi"/>
        </w:rPr>
      </w:pPr>
      <w:r w:rsidRPr="00A555CC">
        <w:rPr>
          <w:rFonts w:asciiTheme="majorBidi" w:eastAsiaTheme="minorHAnsi" w:hAnsiTheme="majorBidi" w:cstheme="majorBidi"/>
          <w:lang w:eastAsia="en-US"/>
        </w:rPr>
        <w:t>[</w:t>
      </w:r>
      <w:r w:rsidR="009230EA">
        <w:rPr>
          <w:rFonts w:asciiTheme="majorBidi" w:eastAsiaTheme="minorHAnsi" w:hAnsiTheme="majorBidi" w:cstheme="majorBidi"/>
          <w:lang w:eastAsia="en-US"/>
        </w:rPr>
        <w:t>7</w:t>
      </w:r>
      <w:r w:rsidRPr="00A555CC">
        <w:rPr>
          <w:rFonts w:asciiTheme="majorBidi" w:eastAsiaTheme="minorHAnsi" w:hAnsiTheme="majorBidi" w:cstheme="majorBidi"/>
          <w:lang w:eastAsia="en-US"/>
        </w:rPr>
        <w:t>] </w:t>
      </w:r>
      <w:r w:rsidR="00D768B1">
        <w:rPr>
          <w:rFonts w:asciiTheme="majorBidi" w:eastAsiaTheme="minorHAnsi" w:hAnsiTheme="majorBidi" w:cstheme="majorBidi"/>
          <w:lang w:eastAsia="en-US"/>
        </w:rPr>
        <w:t xml:space="preserve">Rezumējot minēto, </w:t>
      </w:r>
      <w:r w:rsidRPr="00A555CC">
        <w:rPr>
          <w:rFonts w:asciiTheme="majorBidi" w:hAnsiTheme="majorBidi" w:cstheme="majorBidi"/>
        </w:rPr>
        <w:t xml:space="preserve">senatoru kolēģija atzīst, ka </w:t>
      </w:r>
      <w:r>
        <w:rPr>
          <w:rFonts w:asciiTheme="majorBidi" w:hAnsiTheme="majorBidi" w:cstheme="majorBidi"/>
        </w:rPr>
        <w:t xml:space="preserve">ir konstatējams </w:t>
      </w:r>
      <w:r w:rsidRPr="00A555CC">
        <w:rPr>
          <w:rFonts w:asciiTheme="majorBidi" w:hAnsiTheme="majorBidi" w:cstheme="majorBidi"/>
        </w:rPr>
        <w:t>Administratīvā procesa likuma 320.</w:t>
      </w:r>
      <w:r w:rsidRPr="00A555CC">
        <w:rPr>
          <w:rFonts w:asciiTheme="majorBidi" w:hAnsiTheme="majorBidi" w:cstheme="majorBidi"/>
          <w:vertAlign w:val="superscript"/>
        </w:rPr>
        <w:t>1</w:t>
      </w:r>
      <w:r w:rsidRPr="00A555CC">
        <w:rPr>
          <w:rFonts w:asciiTheme="majorBidi" w:hAnsiTheme="majorBidi" w:cstheme="majorBidi"/>
        </w:rPr>
        <w:t>pant</w:t>
      </w:r>
      <w:r>
        <w:rPr>
          <w:rFonts w:asciiTheme="majorBidi" w:hAnsiTheme="majorBidi" w:cstheme="majorBidi"/>
        </w:rPr>
        <w:t>ā norādītais</w:t>
      </w:r>
      <w:r w:rsidRPr="00A555CC">
        <w:rPr>
          <w:rFonts w:asciiTheme="majorBidi" w:hAnsiTheme="majorBidi" w:cstheme="majorBidi"/>
        </w:rPr>
        <w:t xml:space="preserve"> pamats atteikt blakus sūdzības izskatīšanu.</w:t>
      </w:r>
    </w:p>
    <w:p w14:paraId="5107D50F" w14:textId="77777777" w:rsidR="00F77BCC" w:rsidRPr="00A50150" w:rsidRDefault="00F77BCC" w:rsidP="00653E62">
      <w:pPr>
        <w:spacing w:line="276" w:lineRule="auto"/>
        <w:ind w:firstLine="720"/>
        <w:jc w:val="both"/>
        <w:rPr>
          <w:rFonts w:asciiTheme="majorBidi" w:hAnsiTheme="majorBidi" w:cstheme="majorBidi"/>
        </w:rPr>
      </w:pPr>
    </w:p>
    <w:p w14:paraId="34858EAB" w14:textId="77777777" w:rsidR="00F77BCC" w:rsidRDefault="00F77BCC" w:rsidP="00653E62">
      <w:pPr>
        <w:spacing w:line="276" w:lineRule="auto"/>
        <w:ind w:firstLine="720"/>
        <w:jc w:val="both"/>
        <w:rPr>
          <w:strike/>
        </w:rPr>
      </w:pPr>
      <w:r w:rsidRPr="00B17B0C">
        <w:t xml:space="preserve">Pamatojoties uz </w:t>
      </w:r>
      <w:r>
        <w:t>Administratīvā procesa likuma 320.</w:t>
      </w:r>
      <w:r w:rsidRPr="009A6A06">
        <w:rPr>
          <w:vertAlign w:val="superscript"/>
        </w:rPr>
        <w:t>1</w:t>
      </w:r>
      <w:r>
        <w:t xml:space="preserve">pantu un </w:t>
      </w:r>
      <w:r w:rsidRPr="006F7E46">
        <w:t xml:space="preserve">338.panta </w:t>
      </w:r>
      <w:r>
        <w:t>astoto daļu</w:t>
      </w:r>
      <w:r w:rsidRPr="00B17B0C">
        <w:t xml:space="preserve">, </w:t>
      </w:r>
      <w:r>
        <w:t>senatoru</w:t>
      </w:r>
      <w:r w:rsidRPr="00B17B0C">
        <w:t xml:space="preserve"> kolēģija</w:t>
      </w:r>
    </w:p>
    <w:p w14:paraId="77F0B53C" w14:textId="77777777" w:rsidR="00F77BCC" w:rsidRDefault="00F77BCC" w:rsidP="00653E62">
      <w:pPr>
        <w:spacing w:line="276" w:lineRule="auto"/>
        <w:rPr>
          <w:b/>
        </w:rPr>
      </w:pPr>
    </w:p>
    <w:p w14:paraId="6865A633" w14:textId="77777777" w:rsidR="00F77BCC" w:rsidRPr="00B17B0C" w:rsidRDefault="00F77BCC" w:rsidP="00653E62">
      <w:pPr>
        <w:spacing w:line="276" w:lineRule="auto"/>
        <w:jc w:val="center"/>
        <w:rPr>
          <w:b/>
        </w:rPr>
      </w:pPr>
      <w:r w:rsidRPr="00B17B0C">
        <w:rPr>
          <w:b/>
        </w:rPr>
        <w:t>nolēma</w:t>
      </w:r>
    </w:p>
    <w:p w14:paraId="1EA5D68F" w14:textId="77777777" w:rsidR="00F77BCC" w:rsidRPr="00B17B0C" w:rsidRDefault="00F77BCC" w:rsidP="00653E62">
      <w:pPr>
        <w:spacing w:line="276" w:lineRule="auto"/>
        <w:jc w:val="center"/>
        <w:rPr>
          <w:b/>
        </w:rPr>
      </w:pPr>
    </w:p>
    <w:p w14:paraId="5B24F23B" w14:textId="47F4C799" w:rsidR="00F77BCC" w:rsidRPr="00B05F0B" w:rsidRDefault="00F77BCC" w:rsidP="00653E62">
      <w:pPr>
        <w:spacing w:line="276" w:lineRule="auto"/>
        <w:ind w:firstLine="720"/>
        <w:jc w:val="both"/>
      </w:pPr>
      <w:r w:rsidRPr="00B05F0B">
        <w:t xml:space="preserve">atteikt izskatīt </w:t>
      </w:r>
      <w:r w:rsidR="0090259F">
        <w:rPr>
          <w:rFonts w:asciiTheme="majorBidi" w:hAnsiTheme="majorBidi" w:cstheme="majorBidi"/>
        </w:rPr>
        <w:t xml:space="preserve">[pers. A] </w:t>
      </w:r>
      <w:r w:rsidR="000146D6" w:rsidRPr="005F68BD">
        <w:rPr>
          <w:rFonts w:asciiTheme="majorBidi" w:hAnsiTheme="majorBidi" w:cstheme="majorBidi"/>
        </w:rPr>
        <w:t>(</w:t>
      </w:r>
      <w:r w:rsidR="0090259F">
        <w:rPr>
          <w:rFonts w:asciiTheme="majorBidi" w:hAnsiTheme="majorBidi" w:cstheme="majorBidi"/>
          <w:i/>
          <w:iCs/>
        </w:rPr>
        <w:t>[pers. A]</w:t>
      </w:r>
      <w:r w:rsidR="000146D6" w:rsidRPr="005F68BD">
        <w:rPr>
          <w:rFonts w:asciiTheme="majorBidi" w:hAnsiTheme="majorBidi" w:cstheme="majorBidi"/>
        </w:rPr>
        <w:t xml:space="preserve">) </w:t>
      </w:r>
      <w:r w:rsidR="00D768B1">
        <w:rPr>
          <w:rFonts w:asciiTheme="majorBidi" w:hAnsiTheme="majorBidi" w:cstheme="majorBidi"/>
        </w:rPr>
        <w:t>blakus sūdzīb</w:t>
      </w:r>
      <w:r w:rsidR="000146D6">
        <w:rPr>
          <w:rFonts w:asciiTheme="majorBidi" w:hAnsiTheme="majorBidi" w:cstheme="majorBidi"/>
        </w:rPr>
        <w:t>u</w:t>
      </w:r>
      <w:r w:rsidR="00D768B1">
        <w:rPr>
          <w:rFonts w:asciiTheme="majorBidi" w:hAnsiTheme="majorBidi" w:cstheme="majorBidi"/>
        </w:rPr>
        <w:t xml:space="preserve"> par Administratīvās rajona tiesas tiesneša 2026.gada 29.maija lēmumu</w:t>
      </w:r>
      <w:r w:rsidRPr="00B05F0B">
        <w:t>.</w:t>
      </w:r>
    </w:p>
    <w:p w14:paraId="336DA9CF" w14:textId="77777777" w:rsidR="00F77BCC" w:rsidRPr="00B05F0B" w:rsidRDefault="00F77BCC" w:rsidP="00653E62">
      <w:pPr>
        <w:spacing w:line="276" w:lineRule="auto"/>
        <w:ind w:firstLine="720"/>
        <w:jc w:val="both"/>
      </w:pPr>
    </w:p>
    <w:p w14:paraId="11184504" w14:textId="77777777" w:rsidR="00F77BCC" w:rsidRPr="00B05F0B" w:rsidRDefault="00F77BCC" w:rsidP="00653E62">
      <w:pPr>
        <w:spacing w:line="276" w:lineRule="auto"/>
        <w:ind w:firstLine="720"/>
        <w:jc w:val="both"/>
      </w:pPr>
      <w:r w:rsidRPr="00B05F0B">
        <w:t>Lēmums nav pārsūdzams.</w:t>
      </w:r>
    </w:p>
    <w:p w14:paraId="6B1C639F" w14:textId="77777777" w:rsidR="00F77BCC" w:rsidRPr="00B05F0B" w:rsidRDefault="00F77BCC" w:rsidP="00653E62">
      <w:pPr>
        <w:spacing w:line="276" w:lineRule="auto"/>
        <w:ind w:firstLine="567"/>
        <w:jc w:val="both"/>
        <w:rPr>
          <w:bCs/>
        </w:rPr>
      </w:pPr>
    </w:p>
    <w:p w14:paraId="3B26BB4E" w14:textId="77777777" w:rsidR="00F77BCC" w:rsidRPr="00B05F0B" w:rsidRDefault="00F77BCC" w:rsidP="00653E62">
      <w:pPr>
        <w:tabs>
          <w:tab w:val="center" w:pos="1276"/>
          <w:tab w:val="center" w:pos="4678"/>
          <w:tab w:val="center" w:pos="8080"/>
        </w:tabs>
        <w:spacing w:line="276" w:lineRule="auto"/>
        <w:jc w:val="both"/>
        <w:rPr>
          <w:color w:val="000000"/>
        </w:rPr>
      </w:pPr>
    </w:p>
    <w:p w14:paraId="57EC7295" w14:textId="77777777" w:rsidR="00F77BCC" w:rsidRPr="00B05F0B" w:rsidRDefault="00F77BCC" w:rsidP="00653E62">
      <w:pPr>
        <w:tabs>
          <w:tab w:val="center" w:pos="1276"/>
          <w:tab w:val="center" w:pos="4678"/>
          <w:tab w:val="center" w:pos="8080"/>
        </w:tabs>
        <w:spacing w:line="276" w:lineRule="auto"/>
        <w:jc w:val="both"/>
        <w:rPr>
          <w:color w:val="000000"/>
        </w:rPr>
      </w:pPr>
    </w:p>
    <w:p w14:paraId="24F49067" w14:textId="77777777" w:rsidR="00F77BCC" w:rsidRPr="00B05F0B" w:rsidRDefault="00F77BCC" w:rsidP="00653E62">
      <w:pPr>
        <w:tabs>
          <w:tab w:val="center" w:pos="1276"/>
          <w:tab w:val="center" w:pos="4678"/>
          <w:tab w:val="center" w:pos="8080"/>
        </w:tabs>
        <w:spacing w:line="276" w:lineRule="auto"/>
        <w:jc w:val="both"/>
        <w:rPr>
          <w:color w:val="000000"/>
        </w:rPr>
      </w:pPr>
    </w:p>
    <w:p w14:paraId="555483D4" w14:textId="77777777" w:rsidR="00F77BCC" w:rsidRPr="00A6596A" w:rsidRDefault="00F77BCC" w:rsidP="00653E62">
      <w:pPr>
        <w:tabs>
          <w:tab w:val="center" w:pos="1276"/>
          <w:tab w:val="center" w:pos="4678"/>
          <w:tab w:val="center" w:pos="8080"/>
        </w:tabs>
        <w:spacing w:line="276" w:lineRule="auto"/>
        <w:jc w:val="both"/>
        <w:rPr>
          <w:color w:val="000000"/>
        </w:rPr>
      </w:pPr>
      <w:r w:rsidRPr="00B05F0B">
        <w:rPr>
          <w:color w:val="000000"/>
        </w:rPr>
        <w:tab/>
      </w:r>
      <w:r w:rsidRPr="0012069F">
        <w:rPr>
          <w:color w:val="000000"/>
        </w:rPr>
        <w:t>Senatore I. Višķere</w:t>
      </w:r>
      <w:r w:rsidRPr="0012069F">
        <w:rPr>
          <w:color w:val="000000"/>
        </w:rPr>
        <w:tab/>
        <w:t>Senator</w:t>
      </w:r>
      <w:r>
        <w:rPr>
          <w:color w:val="000000"/>
        </w:rPr>
        <w:t>s E. Darapoļskis</w:t>
      </w:r>
      <w:r w:rsidRPr="0012069F">
        <w:rPr>
          <w:color w:val="000000"/>
        </w:rPr>
        <w:tab/>
        <w:t>Senator</w:t>
      </w:r>
      <w:r>
        <w:rPr>
          <w:color w:val="000000"/>
        </w:rPr>
        <w:t>e D. Makarova</w:t>
      </w:r>
    </w:p>
    <w:p w14:paraId="26522FA3" w14:textId="77777777" w:rsidR="00F77BCC" w:rsidRDefault="00F77BCC" w:rsidP="00653E62">
      <w:pPr>
        <w:spacing w:line="276" w:lineRule="auto"/>
        <w:ind w:firstLine="567"/>
        <w:jc w:val="both"/>
        <w:rPr>
          <w:color w:val="000000"/>
        </w:rPr>
      </w:pPr>
    </w:p>
    <w:p w14:paraId="39FA4EF7" w14:textId="77777777" w:rsidR="00F77BCC" w:rsidRPr="00B17B0C" w:rsidRDefault="00F77BCC" w:rsidP="00653E62">
      <w:pPr>
        <w:spacing w:line="276" w:lineRule="auto"/>
        <w:ind w:firstLine="567"/>
        <w:jc w:val="both"/>
        <w:rPr>
          <w:color w:val="000000"/>
        </w:rPr>
      </w:pPr>
    </w:p>
    <w:p w14:paraId="52B42FE6" w14:textId="77777777" w:rsidR="00F77BCC" w:rsidRDefault="00F77BCC" w:rsidP="00653E62">
      <w:pPr>
        <w:spacing w:line="276" w:lineRule="auto"/>
        <w:ind w:firstLine="720"/>
        <w:jc w:val="both"/>
        <w:rPr>
          <w:bCs/>
        </w:rPr>
      </w:pPr>
    </w:p>
    <w:p w14:paraId="659E600C" w14:textId="77777777" w:rsidR="00F77BCC" w:rsidRDefault="00F77BCC" w:rsidP="00653E62">
      <w:pPr>
        <w:spacing w:line="276" w:lineRule="auto"/>
        <w:ind w:firstLine="567"/>
        <w:jc w:val="both"/>
        <w:rPr>
          <w:bCs/>
        </w:rPr>
      </w:pPr>
    </w:p>
    <w:p w14:paraId="07D78FDE" w14:textId="77777777" w:rsidR="00F77BCC" w:rsidRDefault="00F77BCC" w:rsidP="00653E62">
      <w:pPr>
        <w:spacing w:line="276" w:lineRule="auto"/>
        <w:ind w:firstLine="567"/>
        <w:jc w:val="both"/>
        <w:rPr>
          <w:bCs/>
        </w:rPr>
      </w:pPr>
    </w:p>
    <w:p w14:paraId="73B6F383" w14:textId="77777777" w:rsidR="00F77BCC" w:rsidRDefault="00F77BCC" w:rsidP="00653E62">
      <w:pPr>
        <w:spacing w:line="276" w:lineRule="auto"/>
        <w:ind w:firstLine="567"/>
        <w:jc w:val="both"/>
        <w:rPr>
          <w:bCs/>
        </w:rPr>
      </w:pPr>
    </w:p>
    <w:p w14:paraId="4CA8EDD0" w14:textId="77777777" w:rsidR="00F77BCC" w:rsidRDefault="00F77BCC" w:rsidP="00653E62">
      <w:pPr>
        <w:spacing w:line="276" w:lineRule="auto"/>
      </w:pPr>
    </w:p>
    <w:p w14:paraId="07B81CE8" w14:textId="77777777" w:rsidR="00F77BCC" w:rsidRDefault="00F77BCC" w:rsidP="00653E62">
      <w:pPr>
        <w:spacing w:line="276" w:lineRule="auto"/>
      </w:pPr>
    </w:p>
    <w:p w14:paraId="34332756" w14:textId="77777777" w:rsidR="003A62BD" w:rsidRDefault="003A62BD" w:rsidP="00653E62">
      <w:pPr>
        <w:spacing w:line="276" w:lineRule="auto"/>
      </w:pPr>
    </w:p>
    <w:sectPr w:rsidR="003A62BD" w:rsidSect="00F77BCC">
      <w:footerReference w:type="default" r:id="rId8"/>
      <w:pgSz w:w="12240" w:h="15840"/>
      <w:pgMar w:top="1134" w:right="170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D18FA" w14:textId="77777777" w:rsidR="005146F6" w:rsidRDefault="005146F6">
      <w:r>
        <w:separator/>
      </w:r>
    </w:p>
  </w:endnote>
  <w:endnote w:type="continuationSeparator" w:id="0">
    <w:p w14:paraId="05856011" w14:textId="77777777" w:rsidR="005146F6" w:rsidRDefault="00514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432D5" w14:textId="5ED36680" w:rsidR="00F77BCC" w:rsidRPr="009F7ACE" w:rsidRDefault="00F77BCC" w:rsidP="009F7ACE">
    <w:pPr>
      <w:pStyle w:val="Footer"/>
      <w:jc w:val="center"/>
      <w:rPr>
        <w:sz w:val="20"/>
        <w:szCs w:val="20"/>
      </w:rPr>
    </w:pPr>
    <w:r>
      <w:rPr>
        <w:rStyle w:val="PageNumber"/>
        <w:rFonts w:eastAsiaTheme="majorEastAsia"/>
        <w:sz w:val="20"/>
        <w:szCs w:val="20"/>
      </w:rPr>
      <w:fldChar w:fldCharType="begin"/>
    </w:r>
    <w:r>
      <w:rPr>
        <w:rStyle w:val="PageNumber"/>
        <w:rFonts w:eastAsiaTheme="majorEastAsia"/>
        <w:sz w:val="20"/>
        <w:szCs w:val="20"/>
      </w:rPr>
      <w:instrText xml:space="preserve">PAGE  </w:instrText>
    </w:r>
    <w:r>
      <w:rPr>
        <w:rStyle w:val="PageNumber"/>
        <w:rFonts w:eastAsiaTheme="majorEastAsia"/>
        <w:sz w:val="20"/>
        <w:szCs w:val="20"/>
      </w:rPr>
      <w:fldChar w:fldCharType="separate"/>
    </w:r>
    <w:r>
      <w:rPr>
        <w:rStyle w:val="PageNumber"/>
        <w:rFonts w:eastAsiaTheme="majorEastAsia"/>
        <w:sz w:val="20"/>
        <w:szCs w:val="20"/>
      </w:rPr>
      <w:t>1</w:t>
    </w:r>
    <w:r>
      <w:rPr>
        <w:rStyle w:val="PageNumber"/>
        <w:rFonts w:eastAsiaTheme="majorEastAsia"/>
        <w:sz w:val="20"/>
        <w:szCs w:val="20"/>
      </w:rPr>
      <w:fldChar w:fldCharType="end"/>
    </w:r>
    <w:r>
      <w:rPr>
        <w:rStyle w:val="PageNumber"/>
        <w:rFonts w:eastAsiaTheme="majorEastAsia"/>
        <w:sz w:val="20"/>
        <w:szCs w:val="20"/>
      </w:rPr>
      <w:t xml:space="preserve"> no </w:t>
    </w:r>
    <w:r>
      <w:rPr>
        <w:rStyle w:val="PageNumber"/>
        <w:rFonts w:eastAsiaTheme="majorEastAsia"/>
        <w:noProof/>
        <w:sz w:val="20"/>
        <w:szCs w:val="20"/>
      </w:rPr>
      <w:fldChar w:fldCharType="begin"/>
    </w:r>
    <w:r>
      <w:rPr>
        <w:rStyle w:val="PageNumber"/>
        <w:rFonts w:eastAsiaTheme="majorEastAsia"/>
        <w:noProof/>
        <w:sz w:val="20"/>
        <w:szCs w:val="20"/>
      </w:rPr>
      <w:instrText xml:space="preserve"> SECTIONPAGES   \* MERGEFORMAT </w:instrText>
    </w:r>
    <w:r>
      <w:rPr>
        <w:rStyle w:val="PageNumber"/>
        <w:rFonts w:eastAsiaTheme="majorEastAsia"/>
        <w:noProof/>
        <w:sz w:val="20"/>
        <w:szCs w:val="20"/>
      </w:rPr>
      <w:fldChar w:fldCharType="separate"/>
    </w:r>
    <w:r w:rsidR="005146F6">
      <w:rPr>
        <w:rStyle w:val="PageNumber"/>
        <w:rFonts w:eastAsiaTheme="majorEastAsia"/>
        <w:noProof/>
        <w:sz w:val="20"/>
        <w:szCs w:val="20"/>
      </w:rPr>
      <w:t>1</w:t>
    </w:r>
    <w:r>
      <w:rPr>
        <w:rStyle w:val="PageNumber"/>
        <w:rFonts w:eastAsiaTheme="majorEastAsia"/>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296F3" w14:textId="77777777" w:rsidR="005146F6" w:rsidRDefault="005146F6">
      <w:r>
        <w:separator/>
      </w:r>
    </w:p>
  </w:footnote>
  <w:footnote w:type="continuationSeparator" w:id="0">
    <w:p w14:paraId="4171239B" w14:textId="77777777" w:rsidR="005146F6" w:rsidRDefault="005146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BCC"/>
    <w:rsid w:val="000008C7"/>
    <w:rsid w:val="000121B3"/>
    <w:rsid w:val="000146D6"/>
    <w:rsid w:val="00031BE1"/>
    <w:rsid w:val="00053640"/>
    <w:rsid w:val="00060452"/>
    <w:rsid w:val="00062A2C"/>
    <w:rsid w:val="00097F6C"/>
    <w:rsid w:val="000C391F"/>
    <w:rsid w:val="000C6A65"/>
    <w:rsid w:val="000D23FE"/>
    <w:rsid w:val="000D272D"/>
    <w:rsid w:val="000D63E5"/>
    <w:rsid w:val="000D6DA3"/>
    <w:rsid w:val="00106854"/>
    <w:rsid w:val="0011642D"/>
    <w:rsid w:val="001206A5"/>
    <w:rsid w:val="0012467B"/>
    <w:rsid w:val="00157EAE"/>
    <w:rsid w:val="00162AF9"/>
    <w:rsid w:val="00165D25"/>
    <w:rsid w:val="00166837"/>
    <w:rsid w:val="00193594"/>
    <w:rsid w:val="001A68A3"/>
    <w:rsid w:val="001B1243"/>
    <w:rsid w:val="001C0D94"/>
    <w:rsid w:val="001E4321"/>
    <w:rsid w:val="002011E0"/>
    <w:rsid w:val="00211EBA"/>
    <w:rsid w:val="00234BF6"/>
    <w:rsid w:val="00246DF3"/>
    <w:rsid w:val="002534AF"/>
    <w:rsid w:val="00270FC3"/>
    <w:rsid w:val="00275CBC"/>
    <w:rsid w:val="0029195F"/>
    <w:rsid w:val="00295B71"/>
    <w:rsid w:val="002D5992"/>
    <w:rsid w:val="002E26DA"/>
    <w:rsid w:val="002F1D3C"/>
    <w:rsid w:val="002F3980"/>
    <w:rsid w:val="00300F40"/>
    <w:rsid w:val="00310A21"/>
    <w:rsid w:val="0034317D"/>
    <w:rsid w:val="00344F9A"/>
    <w:rsid w:val="003458A9"/>
    <w:rsid w:val="00346FCD"/>
    <w:rsid w:val="00350024"/>
    <w:rsid w:val="00356ED6"/>
    <w:rsid w:val="00363A42"/>
    <w:rsid w:val="003947BB"/>
    <w:rsid w:val="00395266"/>
    <w:rsid w:val="00395F9C"/>
    <w:rsid w:val="003A120A"/>
    <w:rsid w:val="003A62BD"/>
    <w:rsid w:val="003B0423"/>
    <w:rsid w:val="003D6D83"/>
    <w:rsid w:val="003E5F7F"/>
    <w:rsid w:val="003E6B73"/>
    <w:rsid w:val="003F562C"/>
    <w:rsid w:val="00440DA6"/>
    <w:rsid w:val="00475691"/>
    <w:rsid w:val="004A1487"/>
    <w:rsid w:val="004A7A55"/>
    <w:rsid w:val="004C7B4C"/>
    <w:rsid w:val="004E4459"/>
    <w:rsid w:val="004F1A61"/>
    <w:rsid w:val="004F6B64"/>
    <w:rsid w:val="00500E3E"/>
    <w:rsid w:val="00502A51"/>
    <w:rsid w:val="005146F6"/>
    <w:rsid w:val="00517B32"/>
    <w:rsid w:val="00534898"/>
    <w:rsid w:val="005632F8"/>
    <w:rsid w:val="00570602"/>
    <w:rsid w:val="005900B5"/>
    <w:rsid w:val="00596D32"/>
    <w:rsid w:val="005B5D12"/>
    <w:rsid w:val="005B70C4"/>
    <w:rsid w:val="005C4766"/>
    <w:rsid w:val="005E3E86"/>
    <w:rsid w:val="005F1857"/>
    <w:rsid w:val="005F26D9"/>
    <w:rsid w:val="005F68BD"/>
    <w:rsid w:val="0061024E"/>
    <w:rsid w:val="00623291"/>
    <w:rsid w:val="00630D27"/>
    <w:rsid w:val="00635EA5"/>
    <w:rsid w:val="00637BD8"/>
    <w:rsid w:val="0064272D"/>
    <w:rsid w:val="00653E62"/>
    <w:rsid w:val="00676866"/>
    <w:rsid w:val="00681355"/>
    <w:rsid w:val="00691354"/>
    <w:rsid w:val="006974F1"/>
    <w:rsid w:val="006B5207"/>
    <w:rsid w:val="006C1816"/>
    <w:rsid w:val="006D38D2"/>
    <w:rsid w:val="006E5DD9"/>
    <w:rsid w:val="006F2B11"/>
    <w:rsid w:val="00720BF2"/>
    <w:rsid w:val="00733DA3"/>
    <w:rsid w:val="00744022"/>
    <w:rsid w:val="007714F2"/>
    <w:rsid w:val="00792B45"/>
    <w:rsid w:val="00793CF5"/>
    <w:rsid w:val="007A7D94"/>
    <w:rsid w:val="007B602D"/>
    <w:rsid w:val="007C5759"/>
    <w:rsid w:val="007C79D3"/>
    <w:rsid w:val="007D4473"/>
    <w:rsid w:val="007D53E6"/>
    <w:rsid w:val="007D568F"/>
    <w:rsid w:val="007F05B1"/>
    <w:rsid w:val="008122EC"/>
    <w:rsid w:val="00831577"/>
    <w:rsid w:val="00835D35"/>
    <w:rsid w:val="00841CFA"/>
    <w:rsid w:val="00846F99"/>
    <w:rsid w:val="0085148D"/>
    <w:rsid w:val="00851C72"/>
    <w:rsid w:val="00875C91"/>
    <w:rsid w:val="0087600F"/>
    <w:rsid w:val="00891284"/>
    <w:rsid w:val="00896635"/>
    <w:rsid w:val="008A56D6"/>
    <w:rsid w:val="008A6DF0"/>
    <w:rsid w:val="008D2107"/>
    <w:rsid w:val="008E14A6"/>
    <w:rsid w:val="008F456D"/>
    <w:rsid w:val="008F50B0"/>
    <w:rsid w:val="008F65ED"/>
    <w:rsid w:val="0090259F"/>
    <w:rsid w:val="00904ED9"/>
    <w:rsid w:val="00905001"/>
    <w:rsid w:val="00905C97"/>
    <w:rsid w:val="00910D4F"/>
    <w:rsid w:val="009230EA"/>
    <w:rsid w:val="00932A7F"/>
    <w:rsid w:val="00932EB8"/>
    <w:rsid w:val="00934B56"/>
    <w:rsid w:val="00937368"/>
    <w:rsid w:val="0095381A"/>
    <w:rsid w:val="009650E4"/>
    <w:rsid w:val="0099013D"/>
    <w:rsid w:val="00991BE2"/>
    <w:rsid w:val="009B508D"/>
    <w:rsid w:val="009C486D"/>
    <w:rsid w:val="009D7F6E"/>
    <w:rsid w:val="009E0962"/>
    <w:rsid w:val="009E65B4"/>
    <w:rsid w:val="009F3BD2"/>
    <w:rsid w:val="009F4C54"/>
    <w:rsid w:val="009F562C"/>
    <w:rsid w:val="00A059D4"/>
    <w:rsid w:val="00A2089F"/>
    <w:rsid w:val="00A4120A"/>
    <w:rsid w:val="00A50BE3"/>
    <w:rsid w:val="00A619C5"/>
    <w:rsid w:val="00A63CE5"/>
    <w:rsid w:val="00A67B56"/>
    <w:rsid w:val="00A70D0B"/>
    <w:rsid w:val="00A734B6"/>
    <w:rsid w:val="00A76D4B"/>
    <w:rsid w:val="00A87800"/>
    <w:rsid w:val="00A90DDC"/>
    <w:rsid w:val="00A92D54"/>
    <w:rsid w:val="00A95D8C"/>
    <w:rsid w:val="00AA3F16"/>
    <w:rsid w:val="00AB46FF"/>
    <w:rsid w:val="00AB61CD"/>
    <w:rsid w:val="00AE084F"/>
    <w:rsid w:val="00AE52C8"/>
    <w:rsid w:val="00AE5E9E"/>
    <w:rsid w:val="00AF0A91"/>
    <w:rsid w:val="00AF1433"/>
    <w:rsid w:val="00B01F04"/>
    <w:rsid w:val="00B02B38"/>
    <w:rsid w:val="00B07A9C"/>
    <w:rsid w:val="00B24F2D"/>
    <w:rsid w:val="00B30710"/>
    <w:rsid w:val="00B46875"/>
    <w:rsid w:val="00B51EB2"/>
    <w:rsid w:val="00B62D1D"/>
    <w:rsid w:val="00B94110"/>
    <w:rsid w:val="00BA1CFC"/>
    <w:rsid w:val="00BA26B9"/>
    <w:rsid w:val="00BD1836"/>
    <w:rsid w:val="00BE1F08"/>
    <w:rsid w:val="00C11543"/>
    <w:rsid w:val="00C1517E"/>
    <w:rsid w:val="00C27114"/>
    <w:rsid w:val="00C31141"/>
    <w:rsid w:val="00C37704"/>
    <w:rsid w:val="00C47E37"/>
    <w:rsid w:val="00C52171"/>
    <w:rsid w:val="00C55D98"/>
    <w:rsid w:val="00C61ACF"/>
    <w:rsid w:val="00C76B1E"/>
    <w:rsid w:val="00CB6D52"/>
    <w:rsid w:val="00CC1958"/>
    <w:rsid w:val="00CC4D35"/>
    <w:rsid w:val="00CD10A9"/>
    <w:rsid w:val="00CD2D32"/>
    <w:rsid w:val="00CD43ED"/>
    <w:rsid w:val="00CF493E"/>
    <w:rsid w:val="00CF571D"/>
    <w:rsid w:val="00D1777D"/>
    <w:rsid w:val="00D243E2"/>
    <w:rsid w:val="00D5112C"/>
    <w:rsid w:val="00D540A4"/>
    <w:rsid w:val="00D709D3"/>
    <w:rsid w:val="00D70B8F"/>
    <w:rsid w:val="00D70E4C"/>
    <w:rsid w:val="00D768B1"/>
    <w:rsid w:val="00D776F9"/>
    <w:rsid w:val="00D813D6"/>
    <w:rsid w:val="00DB2696"/>
    <w:rsid w:val="00DC2A81"/>
    <w:rsid w:val="00DC49D0"/>
    <w:rsid w:val="00DD4ED3"/>
    <w:rsid w:val="00DE09D7"/>
    <w:rsid w:val="00DF4386"/>
    <w:rsid w:val="00E01C3C"/>
    <w:rsid w:val="00E03A29"/>
    <w:rsid w:val="00E05E28"/>
    <w:rsid w:val="00E10C62"/>
    <w:rsid w:val="00E10F6C"/>
    <w:rsid w:val="00E16FDF"/>
    <w:rsid w:val="00E648FA"/>
    <w:rsid w:val="00E6682D"/>
    <w:rsid w:val="00E760B4"/>
    <w:rsid w:val="00EE1B56"/>
    <w:rsid w:val="00EF70C2"/>
    <w:rsid w:val="00EF7A14"/>
    <w:rsid w:val="00F01428"/>
    <w:rsid w:val="00F10A8A"/>
    <w:rsid w:val="00F306FD"/>
    <w:rsid w:val="00F33594"/>
    <w:rsid w:val="00F34FB5"/>
    <w:rsid w:val="00F46594"/>
    <w:rsid w:val="00F70BE8"/>
    <w:rsid w:val="00F73CBD"/>
    <w:rsid w:val="00F77BCC"/>
    <w:rsid w:val="00F82B1E"/>
    <w:rsid w:val="00FC0BB3"/>
    <w:rsid w:val="00FC5578"/>
    <w:rsid w:val="00FE32A3"/>
    <w:rsid w:val="00FE71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078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BCC"/>
    <w:pPr>
      <w:spacing w:after="0" w:line="240" w:lineRule="auto"/>
    </w:pPr>
    <w:rPr>
      <w:rFonts w:eastAsia="Times New Roman" w:cs="Times New Roman"/>
      <w:kern w:val="0"/>
      <w:szCs w:val="24"/>
      <w:lang w:val="lv-LV" w:eastAsia="ru-RU"/>
      <w14:ligatures w14:val="none"/>
    </w:rPr>
  </w:style>
  <w:style w:type="paragraph" w:styleId="Heading1">
    <w:name w:val="heading 1"/>
    <w:basedOn w:val="Normal"/>
    <w:next w:val="Normal"/>
    <w:link w:val="Heading1Char"/>
    <w:uiPriority w:val="9"/>
    <w:qFormat/>
    <w:rsid w:val="00F77B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7B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7BC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7BC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77BC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77BC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7BC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7BC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7BC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BC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7B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7BC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7BC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77BC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77BC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77BC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77BC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77BC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77B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B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BC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BC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77BCC"/>
    <w:pPr>
      <w:spacing w:before="160"/>
      <w:jc w:val="center"/>
    </w:pPr>
    <w:rPr>
      <w:i/>
      <w:iCs/>
      <w:color w:val="404040" w:themeColor="text1" w:themeTint="BF"/>
    </w:rPr>
  </w:style>
  <w:style w:type="character" w:customStyle="1" w:styleId="QuoteChar">
    <w:name w:val="Quote Char"/>
    <w:basedOn w:val="DefaultParagraphFont"/>
    <w:link w:val="Quote"/>
    <w:uiPriority w:val="29"/>
    <w:rsid w:val="00F77BCC"/>
    <w:rPr>
      <w:i/>
      <w:iCs/>
      <w:color w:val="404040" w:themeColor="text1" w:themeTint="BF"/>
    </w:rPr>
  </w:style>
  <w:style w:type="paragraph" w:styleId="ListParagraph">
    <w:name w:val="List Paragraph"/>
    <w:basedOn w:val="Normal"/>
    <w:uiPriority w:val="34"/>
    <w:qFormat/>
    <w:rsid w:val="00F77BCC"/>
    <w:pPr>
      <w:ind w:left="720"/>
      <w:contextualSpacing/>
    </w:pPr>
  </w:style>
  <w:style w:type="character" w:styleId="IntenseEmphasis">
    <w:name w:val="Intense Emphasis"/>
    <w:basedOn w:val="DefaultParagraphFont"/>
    <w:uiPriority w:val="21"/>
    <w:qFormat/>
    <w:rsid w:val="00F77BCC"/>
    <w:rPr>
      <w:i/>
      <w:iCs/>
      <w:color w:val="2F5496" w:themeColor="accent1" w:themeShade="BF"/>
    </w:rPr>
  </w:style>
  <w:style w:type="paragraph" w:styleId="IntenseQuote">
    <w:name w:val="Intense Quote"/>
    <w:basedOn w:val="Normal"/>
    <w:next w:val="Normal"/>
    <w:link w:val="IntenseQuoteChar"/>
    <w:uiPriority w:val="30"/>
    <w:qFormat/>
    <w:rsid w:val="00F77B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7BCC"/>
    <w:rPr>
      <w:i/>
      <w:iCs/>
      <w:color w:val="2F5496" w:themeColor="accent1" w:themeShade="BF"/>
    </w:rPr>
  </w:style>
  <w:style w:type="character" w:styleId="IntenseReference">
    <w:name w:val="Intense Reference"/>
    <w:basedOn w:val="DefaultParagraphFont"/>
    <w:uiPriority w:val="32"/>
    <w:qFormat/>
    <w:rsid w:val="00F77BCC"/>
    <w:rPr>
      <w:b/>
      <w:bCs/>
      <w:smallCaps/>
      <w:color w:val="2F5496" w:themeColor="accent1" w:themeShade="BF"/>
      <w:spacing w:val="5"/>
    </w:rPr>
  </w:style>
  <w:style w:type="paragraph" w:styleId="Header">
    <w:name w:val="header"/>
    <w:basedOn w:val="Normal"/>
    <w:link w:val="HeaderChar"/>
    <w:uiPriority w:val="99"/>
    <w:unhideWhenUsed/>
    <w:rsid w:val="00F77BCC"/>
    <w:pPr>
      <w:tabs>
        <w:tab w:val="center" w:pos="4513"/>
        <w:tab w:val="right" w:pos="9026"/>
      </w:tabs>
    </w:pPr>
  </w:style>
  <w:style w:type="character" w:customStyle="1" w:styleId="HeaderChar">
    <w:name w:val="Header Char"/>
    <w:basedOn w:val="DefaultParagraphFont"/>
    <w:link w:val="Header"/>
    <w:uiPriority w:val="99"/>
    <w:rsid w:val="00F77BCC"/>
    <w:rPr>
      <w:rFonts w:eastAsia="Times New Roman" w:cs="Times New Roman"/>
      <w:kern w:val="0"/>
      <w:szCs w:val="24"/>
      <w:lang w:val="lv-LV" w:eastAsia="ru-RU"/>
      <w14:ligatures w14:val="none"/>
    </w:rPr>
  </w:style>
  <w:style w:type="paragraph" w:styleId="Footer">
    <w:name w:val="footer"/>
    <w:basedOn w:val="Normal"/>
    <w:link w:val="FooterChar"/>
    <w:unhideWhenUsed/>
    <w:rsid w:val="00F77BCC"/>
    <w:pPr>
      <w:tabs>
        <w:tab w:val="center" w:pos="4513"/>
        <w:tab w:val="right" w:pos="9026"/>
      </w:tabs>
    </w:pPr>
  </w:style>
  <w:style w:type="character" w:customStyle="1" w:styleId="FooterChar">
    <w:name w:val="Footer Char"/>
    <w:basedOn w:val="DefaultParagraphFont"/>
    <w:link w:val="Footer"/>
    <w:rsid w:val="00F77BCC"/>
    <w:rPr>
      <w:rFonts w:eastAsia="Times New Roman" w:cs="Times New Roman"/>
      <w:kern w:val="0"/>
      <w:szCs w:val="24"/>
      <w:lang w:val="lv-LV" w:eastAsia="ru-RU"/>
      <w14:ligatures w14:val="none"/>
    </w:rPr>
  </w:style>
  <w:style w:type="character" w:styleId="PageNumber">
    <w:name w:val="page number"/>
    <w:basedOn w:val="DefaultParagraphFont"/>
    <w:semiHidden/>
    <w:unhideWhenUsed/>
    <w:rsid w:val="00F77BCC"/>
  </w:style>
  <w:style w:type="character" w:styleId="CommentReference">
    <w:name w:val="annotation reference"/>
    <w:basedOn w:val="DefaultParagraphFont"/>
    <w:uiPriority w:val="99"/>
    <w:semiHidden/>
    <w:unhideWhenUsed/>
    <w:rsid w:val="003B0423"/>
    <w:rPr>
      <w:sz w:val="16"/>
      <w:szCs w:val="16"/>
    </w:rPr>
  </w:style>
  <w:style w:type="paragraph" w:styleId="CommentText">
    <w:name w:val="annotation text"/>
    <w:basedOn w:val="Normal"/>
    <w:link w:val="CommentTextChar"/>
    <w:uiPriority w:val="99"/>
    <w:unhideWhenUsed/>
    <w:rsid w:val="003B0423"/>
    <w:rPr>
      <w:sz w:val="20"/>
      <w:szCs w:val="20"/>
    </w:rPr>
  </w:style>
  <w:style w:type="character" w:customStyle="1" w:styleId="CommentTextChar">
    <w:name w:val="Comment Text Char"/>
    <w:basedOn w:val="DefaultParagraphFont"/>
    <w:link w:val="CommentText"/>
    <w:uiPriority w:val="99"/>
    <w:rsid w:val="003B0423"/>
    <w:rPr>
      <w:rFonts w:eastAsia="Times New Roman" w:cs="Times New Roman"/>
      <w:kern w:val="0"/>
      <w:sz w:val="20"/>
      <w:szCs w:val="20"/>
      <w:lang w:val="lv-LV" w:eastAsia="ru-RU"/>
      <w14:ligatures w14:val="none"/>
    </w:rPr>
  </w:style>
  <w:style w:type="paragraph" w:styleId="CommentSubject">
    <w:name w:val="annotation subject"/>
    <w:basedOn w:val="CommentText"/>
    <w:next w:val="CommentText"/>
    <w:link w:val="CommentSubjectChar"/>
    <w:uiPriority w:val="99"/>
    <w:semiHidden/>
    <w:unhideWhenUsed/>
    <w:rsid w:val="003B0423"/>
    <w:rPr>
      <w:b/>
      <w:bCs/>
    </w:rPr>
  </w:style>
  <w:style w:type="character" w:customStyle="1" w:styleId="CommentSubjectChar">
    <w:name w:val="Comment Subject Char"/>
    <w:basedOn w:val="CommentTextChar"/>
    <w:link w:val="CommentSubject"/>
    <w:uiPriority w:val="99"/>
    <w:semiHidden/>
    <w:rsid w:val="003B0423"/>
    <w:rPr>
      <w:rFonts w:eastAsia="Times New Roman" w:cs="Times New Roman"/>
      <w:b/>
      <w:bCs/>
      <w:kern w:val="0"/>
      <w:sz w:val="20"/>
      <w:szCs w:val="20"/>
      <w:lang w:val="lv-LV" w:eastAsia="ru-RU"/>
      <w14:ligatures w14:val="none"/>
    </w:rPr>
  </w:style>
  <w:style w:type="paragraph" w:styleId="Revision">
    <w:name w:val="Revision"/>
    <w:hidden/>
    <w:uiPriority w:val="99"/>
    <w:semiHidden/>
    <w:rsid w:val="000D23FE"/>
    <w:pPr>
      <w:spacing w:after="0" w:line="240" w:lineRule="auto"/>
    </w:pPr>
    <w:rPr>
      <w:rFonts w:eastAsia="Times New Roman" w:cs="Times New Roman"/>
      <w:kern w:val="0"/>
      <w:szCs w:val="24"/>
      <w:lang w:val="lv-LV" w:eastAsia="ru-RU"/>
      <w14:ligatures w14:val="none"/>
    </w:rPr>
  </w:style>
  <w:style w:type="character" w:styleId="Hyperlink">
    <w:name w:val="Hyperlink"/>
    <w:basedOn w:val="DefaultParagraphFont"/>
    <w:uiPriority w:val="99"/>
    <w:unhideWhenUsed/>
    <w:rsid w:val="00097F6C"/>
    <w:rPr>
      <w:color w:val="0563C1" w:themeColor="hyperlink"/>
      <w:u w:val="single"/>
    </w:rPr>
  </w:style>
  <w:style w:type="character" w:styleId="UnresolvedMention">
    <w:name w:val="Unresolved Mention"/>
    <w:basedOn w:val="DefaultParagraphFont"/>
    <w:uiPriority w:val="99"/>
    <w:semiHidden/>
    <w:unhideWhenUsed/>
    <w:rsid w:val="00097F6C"/>
    <w:rPr>
      <w:color w:val="605E5C"/>
      <w:shd w:val="clear" w:color="auto" w:fill="E1DFDD"/>
    </w:rPr>
  </w:style>
  <w:style w:type="paragraph" w:customStyle="1" w:styleId="Default">
    <w:name w:val="Default"/>
    <w:rsid w:val="0090259F"/>
    <w:pPr>
      <w:autoSpaceDE w:val="0"/>
      <w:autoSpaceDN w:val="0"/>
      <w:adjustRightInd w:val="0"/>
      <w:spacing w:after="0" w:line="240" w:lineRule="auto"/>
    </w:pPr>
    <w:rPr>
      <w:rFonts w:cs="Times New Roman"/>
      <w:color w:val="000000"/>
      <w:kern w:val="0"/>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gateway.elieta.lv/api/v1/PublicMaterialDownload/1f51ae29-1329-4b0d-9452-b18e89725ee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ateway.elieta.lv/api/v1/PublicMaterialDownload/4b89a169-8b24-440c-af43-02cdc9e2972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6454</Words>
  <Characters>3680</Characters>
  <Application>Microsoft Office Word</Application>
  <DocSecurity>0</DocSecurity>
  <Lines>30</Lines>
  <Paragraphs>20</Paragraphs>
  <ScaleCrop>false</ScaleCrop>
  <Company/>
  <LinksUpToDate>false</LinksUpToDate>
  <CharactersWithSpaces>10114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2026-09-16T07:19:00Z</dcterms:created>
  <dcterms:modified xsi:type="dcterms:W3CDTF">2026-09-16T07:19:00Z</dcterms:modified>
</cp:coreProperties>
</file>