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35AB5" w14:textId="77777777" w:rsidR="0079536D" w:rsidRDefault="0079536D" w:rsidP="001F5456">
      <w:pPr>
        <w:autoSpaceDE w:val="0"/>
        <w:autoSpaceDN w:val="0"/>
        <w:spacing w:line="276" w:lineRule="auto"/>
        <w:jc w:val="both"/>
        <w:rPr>
          <w:rFonts w:ascii="Noto Serif" w:hAnsi="Noto Serif" w:cs="Noto Serif"/>
          <w:b/>
          <w:bCs/>
          <w14:ligatures w14:val="standardContextual"/>
        </w:rPr>
      </w:pPr>
      <w:r>
        <w:rPr>
          <w:b/>
          <w:bCs/>
          <w14:ligatures w14:val="standardContextual"/>
        </w:rPr>
        <w:t>Publiskā iepirkuma ekonomiskais izdevīgums nav tiesas kontroles tvērumā</w:t>
      </w:r>
    </w:p>
    <w:p w14:paraId="147BA42E" w14:textId="77777777" w:rsidR="0079536D" w:rsidRDefault="0079536D" w:rsidP="001F5456">
      <w:pPr>
        <w:autoSpaceDE w:val="0"/>
        <w:autoSpaceDN w:val="0"/>
        <w:spacing w:line="276" w:lineRule="auto"/>
        <w:jc w:val="both"/>
        <w:rPr>
          <w14:ligatures w14:val="standardContextual"/>
        </w:rPr>
      </w:pPr>
      <w:r>
        <w:rPr>
          <w14:ligatures w14:val="standardContextual"/>
        </w:rPr>
        <w:t xml:space="preserve">No Publisko iepirkumu likuma 68.panta izriet, ka personas var sūdzēties par iepirkuma procedūru ar mērķi </w:t>
      </w:r>
      <w:r w:rsidRPr="00BD0BF4">
        <w:rPr>
          <w14:ligatures w14:val="standardContextual"/>
        </w:rPr>
        <w:t>aizsargāt savas individuālās tiesības, un Iepirkumu</w:t>
      </w:r>
      <w:r>
        <w:rPr>
          <w14:ligatures w14:val="standardContextual"/>
        </w:rPr>
        <w:t xml:space="preserve"> uzraudzības biroja un secīgi tiesas kontroles pār iepirkuma procedūru mērķis ir pārbaudīt to, vai iepirkumu procedūrā nav pieļauti pārkāpumi, kas aizskar sūdzību iesniegušās personas individuālās tiesības vai tiesiskās intereses. </w:t>
      </w:r>
    </w:p>
    <w:p w14:paraId="0F1571F3" w14:textId="56E73EBB" w:rsidR="003B2078" w:rsidRDefault="0079536D" w:rsidP="001F5456">
      <w:pPr>
        <w:autoSpaceDE w:val="0"/>
        <w:autoSpaceDN w:val="0"/>
        <w:spacing w:line="276" w:lineRule="auto"/>
        <w:jc w:val="both"/>
        <w:rPr>
          <w14:ligatures w14:val="standardContextual"/>
        </w:rPr>
      </w:pPr>
      <w:r>
        <w:rPr>
          <w14:ligatures w14:val="standardContextual"/>
        </w:rPr>
        <w:t>Privātpersonas uzskats, ka pasūtītājs savu mērķi varētu sasniegt ar no pasūtītāja skatu punkta ekonomiski izdevīgāku iepirkumu, nevar būt pamats iepirkuma nosacījumu atzīšanai par prettiesisku.</w:t>
      </w:r>
    </w:p>
    <w:p w14:paraId="20939C2A" w14:textId="77777777" w:rsidR="0079536D" w:rsidRPr="0079536D" w:rsidRDefault="0079536D" w:rsidP="001F5456">
      <w:pPr>
        <w:autoSpaceDE w:val="0"/>
        <w:autoSpaceDN w:val="0"/>
        <w:spacing w:line="276" w:lineRule="auto"/>
        <w:jc w:val="both"/>
        <w:rPr>
          <w14:ligatures w14:val="standardContextual"/>
        </w:rPr>
      </w:pPr>
    </w:p>
    <w:p w14:paraId="44C14295" w14:textId="68425814" w:rsidR="003B2078" w:rsidRPr="006F15A6" w:rsidRDefault="003B2078" w:rsidP="001F5456">
      <w:pPr>
        <w:spacing w:line="276" w:lineRule="auto"/>
        <w:jc w:val="center"/>
        <w:rPr>
          <w:b/>
        </w:rPr>
      </w:pPr>
      <w:r w:rsidRPr="006F15A6">
        <w:rPr>
          <w:b/>
        </w:rPr>
        <w:t>Latvijas Republikas Senāt</w:t>
      </w:r>
      <w:r w:rsidR="0079536D" w:rsidRPr="006F15A6">
        <w:rPr>
          <w:b/>
        </w:rPr>
        <w:t>a</w:t>
      </w:r>
      <w:r w:rsidR="0079536D" w:rsidRPr="006F15A6">
        <w:rPr>
          <w:b/>
        </w:rPr>
        <w:br/>
        <w:t>Administratīvo lietu departamenta</w:t>
      </w:r>
      <w:r w:rsidR="0079536D" w:rsidRPr="006F15A6">
        <w:rPr>
          <w:b/>
        </w:rPr>
        <w:br/>
        <w:t>2026.gada 10.aprīļa</w:t>
      </w:r>
    </w:p>
    <w:p w14:paraId="452416A9" w14:textId="77777777" w:rsidR="003B2078" w:rsidRPr="006F15A6" w:rsidRDefault="003B2078" w:rsidP="001F5456">
      <w:pPr>
        <w:spacing w:line="276" w:lineRule="auto"/>
        <w:jc w:val="center"/>
        <w:rPr>
          <w:b/>
        </w:rPr>
      </w:pPr>
      <w:r w:rsidRPr="006F15A6">
        <w:rPr>
          <w:b/>
        </w:rPr>
        <w:t>RĪCĪBAS SĒDES LĒMUMS</w:t>
      </w:r>
    </w:p>
    <w:p w14:paraId="35D1B8D7" w14:textId="1E4ED3F1" w:rsidR="006F15A6" w:rsidRPr="006F15A6" w:rsidRDefault="0079536D" w:rsidP="001F5456">
      <w:pPr>
        <w:spacing w:line="276" w:lineRule="auto"/>
        <w:jc w:val="center"/>
        <w:rPr>
          <w:b/>
          <w:bCs/>
        </w:rPr>
      </w:pPr>
      <w:r w:rsidRPr="006F15A6">
        <w:rPr>
          <w:b/>
          <w:bCs/>
        </w:rPr>
        <w:t>Lieta Nr. A420123726</w:t>
      </w:r>
      <w:r w:rsidRPr="006F15A6">
        <w:rPr>
          <w:b/>
          <w:bCs/>
          <w:lang w:eastAsia="lv-LV"/>
        </w:rPr>
        <w:t xml:space="preserve">, </w:t>
      </w:r>
      <w:r w:rsidRPr="006F15A6">
        <w:rPr>
          <w:b/>
          <w:bCs/>
        </w:rPr>
        <w:t>SKA-587/2026</w:t>
      </w:r>
    </w:p>
    <w:p w14:paraId="07FC715A" w14:textId="546B6BFB" w:rsidR="0079536D" w:rsidRPr="006F15A6" w:rsidRDefault="006F15A6" w:rsidP="001F5456">
      <w:pPr>
        <w:spacing w:line="276" w:lineRule="auto"/>
        <w:jc w:val="center"/>
      </w:pPr>
      <w:r w:rsidRPr="006F15A6">
        <w:t xml:space="preserve"> </w:t>
      </w:r>
      <w:hyperlink r:id="rId7" w:history="1">
        <w:r w:rsidRPr="006F15A6">
          <w:rPr>
            <w:rStyle w:val="Hyperlink"/>
          </w:rPr>
          <w:t>ECLI:LV:AT:2026:0410.A420123726.5.L</w:t>
        </w:r>
      </w:hyperlink>
    </w:p>
    <w:p w14:paraId="793879D9" w14:textId="77777777" w:rsidR="003B2078" w:rsidRPr="00D94B64" w:rsidRDefault="003B2078" w:rsidP="001F5456">
      <w:pPr>
        <w:spacing w:line="276" w:lineRule="auto"/>
        <w:ind w:firstLine="720"/>
        <w:jc w:val="both"/>
        <w:rPr>
          <w:rFonts w:asciiTheme="majorBidi" w:hAnsiTheme="majorBidi" w:cstheme="majorBidi"/>
        </w:rPr>
      </w:pPr>
    </w:p>
    <w:p w14:paraId="5ECB6200" w14:textId="5E2993F3" w:rsidR="003B2078" w:rsidRPr="00D94B64" w:rsidRDefault="003B2078" w:rsidP="001F5456">
      <w:pPr>
        <w:spacing w:line="276" w:lineRule="auto"/>
        <w:ind w:firstLine="720"/>
        <w:jc w:val="both"/>
        <w:rPr>
          <w:rFonts w:asciiTheme="majorBidi" w:hAnsiTheme="majorBidi" w:cstheme="majorBidi"/>
        </w:rPr>
      </w:pPr>
      <w:r w:rsidRPr="00D94B64">
        <w:rPr>
          <w:rFonts w:asciiTheme="majorBidi" w:hAnsiTheme="majorBidi" w:cstheme="majorBidi"/>
        </w:rPr>
        <w:t xml:space="preserve">[1] Senātā saņemta pieteicējas </w:t>
      </w:r>
      <w:r w:rsidR="008D18FA" w:rsidRPr="00D94B64">
        <w:rPr>
          <w:rFonts w:asciiTheme="majorBidi" w:hAnsiTheme="majorBidi" w:cstheme="majorBidi"/>
        </w:rPr>
        <w:t xml:space="preserve">– </w:t>
      </w:r>
      <w:r w:rsidRPr="00D94B64">
        <w:rPr>
          <w:rFonts w:asciiTheme="majorBidi" w:hAnsiTheme="majorBidi" w:cstheme="majorBidi"/>
        </w:rPr>
        <w:t>SIA</w:t>
      </w:r>
      <w:r w:rsidR="00FC2210">
        <w:rPr>
          <w:rFonts w:asciiTheme="majorBidi" w:hAnsiTheme="majorBidi" w:cstheme="majorBidi"/>
        </w:rPr>
        <w:t xml:space="preserve"> </w:t>
      </w:r>
      <w:r w:rsidRPr="00D94B64">
        <w:rPr>
          <w:rFonts w:asciiTheme="majorBidi" w:hAnsiTheme="majorBidi" w:cstheme="majorBidi"/>
        </w:rPr>
        <w:t>„</w:t>
      </w:r>
      <w:r w:rsidR="008D18FA" w:rsidRPr="00D94B64">
        <w:rPr>
          <w:rFonts w:asciiTheme="majorBidi" w:hAnsiTheme="majorBidi" w:cstheme="majorBidi"/>
        </w:rPr>
        <w:t>Velve</w:t>
      </w:r>
      <w:r w:rsidRPr="00D94B64">
        <w:rPr>
          <w:rFonts w:asciiTheme="majorBidi" w:hAnsiTheme="majorBidi" w:cstheme="majorBidi"/>
        </w:rPr>
        <w:t>”</w:t>
      </w:r>
      <w:r w:rsidR="008D18FA" w:rsidRPr="00D94B64">
        <w:rPr>
          <w:rFonts w:asciiTheme="majorBidi" w:hAnsiTheme="majorBidi" w:cstheme="majorBidi"/>
        </w:rPr>
        <w:t xml:space="preserve"> –</w:t>
      </w:r>
      <w:r w:rsidRPr="00D94B64">
        <w:rPr>
          <w:rFonts w:asciiTheme="majorBidi" w:hAnsiTheme="majorBidi" w:cstheme="majorBidi"/>
        </w:rPr>
        <w:t xml:space="preserve"> blakus</w:t>
      </w:r>
      <w:r w:rsidR="008D18FA" w:rsidRPr="00D94B64">
        <w:rPr>
          <w:rFonts w:asciiTheme="majorBidi" w:hAnsiTheme="majorBidi" w:cstheme="majorBidi"/>
        </w:rPr>
        <w:t xml:space="preserve"> </w:t>
      </w:r>
      <w:r w:rsidRPr="00D94B64">
        <w:rPr>
          <w:rFonts w:asciiTheme="majorBidi" w:hAnsiTheme="majorBidi" w:cstheme="majorBidi"/>
        </w:rPr>
        <w:t>sūdzība par Administratīvās rajona tiesas 202</w:t>
      </w:r>
      <w:r w:rsidR="008D18FA" w:rsidRPr="00D94B64">
        <w:rPr>
          <w:rFonts w:asciiTheme="majorBidi" w:hAnsiTheme="majorBidi" w:cstheme="majorBidi"/>
        </w:rPr>
        <w:t>6</w:t>
      </w:r>
      <w:r w:rsidRPr="00D94B64">
        <w:rPr>
          <w:rFonts w:asciiTheme="majorBidi" w:hAnsiTheme="majorBidi" w:cstheme="majorBidi"/>
        </w:rPr>
        <w:t xml:space="preserve">.gada </w:t>
      </w:r>
      <w:r w:rsidR="008D18FA" w:rsidRPr="00D94B64">
        <w:rPr>
          <w:rFonts w:asciiTheme="majorBidi" w:hAnsiTheme="majorBidi" w:cstheme="majorBidi"/>
        </w:rPr>
        <w:t>16.marta</w:t>
      </w:r>
      <w:r w:rsidRPr="00D94B64">
        <w:rPr>
          <w:rFonts w:asciiTheme="majorBidi" w:hAnsiTheme="majorBidi" w:cstheme="majorBidi"/>
        </w:rPr>
        <w:t xml:space="preserve"> lēmumu, ar kuru </w:t>
      </w:r>
      <w:r w:rsidR="008D18FA" w:rsidRPr="00D94B64">
        <w:rPr>
          <w:rFonts w:asciiTheme="majorBidi" w:hAnsiTheme="majorBidi" w:cstheme="majorBidi"/>
        </w:rPr>
        <w:t>noraidīts pieteicējas lūgums par Iepirkumu uzraudzības biroja 2026.gada 8.janvāra lēmuma Nr. 4-1.2/26-9 darbības apturēšanu</w:t>
      </w:r>
      <w:r w:rsidRPr="00D94B64">
        <w:rPr>
          <w:rFonts w:asciiTheme="majorBidi" w:hAnsiTheme="majorBidi" w:cstheme="majorBidi"/>
        </w:rPr>
        <w:t>.</w:t>
      </w:r>
      <w:r w:rsidR="008D18FA" w:rsidRPr="00D94B64">
        <w:rPr>
          <w:rFonts w:asciiTheme="majorBidi" w:hAnsiTheme="majorBidi" w:cstheme="majorBidi"/>
        </w:rPr>
        <w:t xml:space="preserve"> Ar minēto biroja lēmumu noraidītas pieteicējas sūdzības par nolikumu pasūtītājas – valsts </w:t>
      </w:r>
      <w:r w:rsidR="00CB35B6">
        <w:rPr>
          <w:rFonts w:asciiTheme="majorBidi" w:hAnsiTheme="majorBidi" w:cstheme="majorBidi"/>
        </w:rPr>
        <w:t xml:space="preserve">akciju sabiedrības </w:t>
      </w:r>
      <w:r w:rsidR="008D18FA" w:rsidRPr="00D94B64">
        <w:rPr>
          <w:rFonts w:asciiTheme="majorBidi" w:hAnsiTheme="majorBidi" w:cstheme="majorBidi"/>
        </w:rPr>
        <w:t>„Valsts nekustamie īpašumi” – rīkotajā atklātajā konkursā „Paula Stradiņa klīniskās universitātes slimnīcas A2 korpusa būvniecības ieceres dokumentācijas izstrāde, būvdarbi un autoruzraudzība” (id. Nr. VNĪ 2025/7/2-7/AK-48) un atļauts pasūtītājai turpināt iepirkuma procedūru un slēgt iepirkuma līgumu.</w:t>
      </w:r>
    </w:p>
    <w:p w14:paraId="3A5ECBDC" w14:textId="45A7BCCD" w:rsidR="008D18FA" w:rsidRPr="00D94B64" w:rsidRDefault="008D18FA" w:rsidP="001F5456">
      <w:pPr>
        <w:spacing w:line="276" w:lineRule="auto"/>
        <w:ind w:firstLine="720"/>
        <w:jc w:val="both"/>
        <w:rPr>
          <w:rFonts w:asciiTheme="majorBidi" w:hAnsiTheme="majorBidi" w:cstheme="majorBidi"/>
        </w:rPr>
      </w:pPr>
      <w:r w:rsidRPr="00D94B64">
        <w:rPr>
          <w:rFonts w:asciiTheme="majorBidi" w:hAnsiTheme="majorBidi" w:cstheme="majorBidi"/>
        </w:rPr>
        <w:t>Administratīvā rajona tiesa</w:t>
      </w:r>
      <w:r w:rsidR="00705D8E" w:rsidRPr="00D94B64">
        <w:rPr>
          <w:rFonts w:asciiTheme="majorBidi" w:hAnsiTheme="majorBidi" w:cstheme="majorBidi"/>
        </w:rPr>
        <w:t xml:space="preserve"> secināja, ka pirmšķietami nav konstatējams </w:t>
      </w:r>
      <w:r w:rsidR="00D558DC" w:rsidRPr="00D94B64">
        <w:rPr>
          <w:rFonts w:asciiTheme="majorBidi" w:hAnsiTheme="majorBidi" w:cstheme="majorBidi"/>
        </w:rPr>
        <w:t xml:space="preserve">strīdus konkursa nolikuma prasību un attiecīgi arī </w:t>
      </w:r>
      <w:r w:rsidR="00705D8E" w:rsidRPr="00D94B64">
        <w:rPr>
          <w:rFonts w:asciiTheme="majorBidi" w:hAnsiTheme="majorBidi" w:cstheme="majorBidi"/>
        </w:rPr>
        <w:t xml:space="preserve">biroja lēmuma prettiesiskums un līdz ar to </w:t>
      </w:r>
      <w:r w:rsidR="00D558DC" w:rsidRPr="00D94B64">
        <w:rPr>
          <w:rFonts w:asciiTheme="majorBidi" w:hAnsiTheme="majorBidi" w:cstheme="majorBidi"/>
        </w:rPr>
        <w:t>atbilstoši Administratīvā procesa likuma 185.</w:t>
      </w:r>
      <w:r w:rsidR="00D558DC" w:rsidRPr="00D94B64">
        <w:rPr>
          <w:rFonts w:asciiTheme="majorBidi" w:hAnsiTheme="majorBidi" w:cstheme="majorBidi"/>
          <w:vertAlign w:val="superscript"/>
        </w:rPr>
        <w:t>1</w:t>
      </w:r>
      <w:r w:rsidR="00D558DC" w:rsidRPr="00D94B64">
        <w:rPr>
          <w:rFonts w:asciiTheme="majorBidi" w:hAnsiTheme="majorBidi" w:cstheme="majorBidi"/>
        </w:rPr>
        <w:t xml:space="preserve">panta otrajai daļai </w:t>
      </w:r>
      <w:r w:rsidR="00705D8E" w:rsidRPr="00D94B64">
        <w:rPr>
          <w:rFonts w:asciiTheme="majorBidi" w:hAnsiTheme="majorBidi" w:cstheme="majorBidi"/>
        </w:rPr>
        <w:t>nav pamata piemērot pagaidu aizsardzību – apturēt biroja lēmuma darbību.</w:t>
      </w:r>
    </w:p>
    <w:p w14:paraId="192FC0BA" w14:textId="77777777" w:rsidR="008D18FA" w:rsidRPr="00D94B64" w:rsidRDefault="008D18FA" w:rsidP="001F5456">
      <w:pPr>
        <w:spacing w:line="276" w:lineRule="auto"/>
        <w:ind w:firstLine="720"/>
        <w:jc w:val="both"/>
        <w:rPr>
          <w:rFonts w:asciiTheme="majorBidi" w:hAnsiTheme="majorBidi" w:cstheme="majorBidi"/>
        </w:rPr>
      </w:pPr>
    </w:p>
    <w:p w14:paraId="0F3975AE" w14:textId="59809319" w:rsidR="003B2078" w:rsidRPr="00D94B64" w:rsidRDefault="003B2078" w:rsidP="001F5456">
      <w:pPr>
        <w:spacing w:line="276" w:lineRule="auto"/>
        <w:ind w:firstLine="720"/>
        <w:jc w:val="both"/>
        <w:rPr>
          <w:rFonts w:asciiTheme="majorBidi" w:hAnsiTheme="majorBidi" w:cstheme="majorBidi"/>
        </w:rPr>
      </w:pPr>
      <w:r w:rsidRPr="00D94B64">
        <w:rPr>
          <w:rFonts w:asciiTheme="majorBidi" w:hAnsiTheme="majorBidi" w:cstheme="majorBidi"/>
        </w:rPr>
        <w:t>[2] Senatoru kolēģija</w:t>
      </w:r>
      <w:r w:rsidR="00DF3719" w:rsidRPr="00D94B64">
        <w:rPr>
          <w:rFonts w:asciiTheme="majorBidi" w:hAnsiTheme="majorBidi" w:cstheme="majorBidi"/>
        </w:rPr>
        <w:t>, izvērtējusi blakus sūdzības argumentus, turpmāk norādīto apsvērumu dēļ atzīst, ka tie nerada pamatu apšaubīt pārsūdzētā tiesas lēmuma pareizību.</w:t>
      </w:r>
      <w:r w:rsidRPr="00D94B64">
        <w:rPr>
          <w:rFonts w:asciiTheme="majorBidi" w:hAnsiTheme="majorBidi" w:cstheme="majorBidi"/>
        </w:rPr>
        <w:t xml:space="preserve"> </w:t>
      </w:r>
    </w:p>
    <w:p w14:paraId="2A6443B8" w14:textId="77777777" w:rsidR="003B2078" w:rsidRPr="00D94B64" w:rsidRDefault="003B2078" w:rsidP="001F5456">
      <w:pPr>
        <w:spacing w:line="276" w:lineRule="auto"/>
        <w:ind w:firstLine="720"/>
        <w:jc w:val="both"/>
        <w:rPr>
          <w:rFonts w:asciiTheme="majorBidi" w:hAnsiTheme="majorBidi" w:cstheme="majorBidi"/>
        </w:rPr>
      </w:pPr>
    </w:p>
    <w:p w14:paraId="496C85DA" w14:textId="3FFD4EE4" w:rsidR="00D44F08" w:rsidRPr="00D94B64" w:rsidRDefault="003B2078" w:rsidP="001F5456">
      <w:pPr>
        <w:spacing w:line="276" w:lineRule="auto"/>
        <w:ind w:firstLine="720"/>
        <w:jc w:val="both"/>
        <w:rPr>
          <w:rFonts w:asciiTheme="majorBidi" w:hAnsiTheme="majorBidi" w:cstheme="majorBidi"/>
        </w:rPr>
      </w:pPr>
      <w:r w:rsidRPr="00D94B64">
        <w:rPr>
          <w:rFonts w:asciiTheme="majorBidi" w:hAnsiTheme="majorBidi" w:cstheme="majorBidi"/>
        </w:rPr>
        <w:t xml:space="preserve">[3] </w:t>
      </w:r>
      <w:r w:rsidR="00D558DC" w:rsidRPr="00D94B64">
        <w:rPr>
          <w:rFonts w:asciiTheme="majorBidi" w:hAnsiTheme="majorBidi" w:cstheme="majorBidi"/>
        </w:rPr>
        <w:t xml:space="preserve">Blakus sūdzībā </w:t>
      </w:r>
      <w:r w:rsidR="00783DB5" w:rsidRPr="00D94B64">
        <w:rPr>
          <w:rFonts w:asciiTheme="majorBidi" w:hAnsiTheme="majorBidi" w:cstheme="majorBidi"/>
        </w:rPr>
        <w:t>apgalvots</w:t>
      </w:r>
      <w:r w:rsidR="00D558DC" w:rsidRPr="00D94B64">
        <w:rPr>
          <w:rFonts w:asciiTheme="majorBidi" w:hAnsiTheme="majorBidi" w:cstheme="majorBidi"/>
        </w:rPr>
        <w:t xml:space="preserve">, ka tiesa nepamatoti ignorējusi Publisko iepirkumu likuma </w:t>
      </w:r>
      <w:r w:rsidR="00783DB5" w:rsidRPr="00D94B64">
        <w:rPr>
          <w:rFonts w:asciiTheme="majorBidi" w:hAnsiTheme="majorBidi" w:cstheme="majorBidi"/>
        </w:rPr>
        <w:t>2.panta 3.punktā noteikto, ka viens no publisko iepirkumu procedūras mērķiem ir pasūtītāja līdzekļu efektīva izmantošana. Pieteicējas ieskatā, minētais ir pamats konkrētajā gadījumā atzīt strīdus konkursa nolikumu par prettiesisku, jo veids, kādā pasūtītāja izvēlējusies iegādāties tai nepieciešamo pakalpojumu slimnīcas A2 korpusa būvniecības pabeigšanai</w:t>
      </w:r>
      <w:r w:rsidR="00A624A9" w:rsidRPr="00D94B64">
        <w:rPr>
          <w:rFonts w:asciiTheme="majorBidi" w:hAnsiTheme="majorBidi" w:cstheme="majorBidi"/>
        </w:rPr>
        <w:t xml:space="preserve">, esot ekonomiski neizdevīgs, nesaimniecisks un radot publisko līdzekļu izšķērdēšanu. Proti, pieteicēja uzskata, ka </w:t>
      </w:r>
      <w:r w:rsidR="003E54FC" w:rsidRPr="00D94B64">
        <w:rPr>
          <w:rFonts w:asciiTheme="majorBidi" w:hAnsiTheme="majorBidi" w:cstheme="majorBidi"/>
        </w:rPr>
        <w:t xml:space="preserve">pasūtītājai būtu ekonomiski izdevīgi vispirms pašai veikt nepabeigtā objekta būvekspertīzi un tā rezultātā pašai konkrēti noteikt, kādi tieši būvdarbi ir nepieciešami, lai pabeigtu iesākto </w:t>
      </w:r>
      <w:r w:rsidR="006110B3" w:rsidRPr="00D94B64">
        <w:rPr>
          <w:rFonts w:asciiTheme="majorBidi" w:hAnsiTheme="majorBidi" w:cstheme="majorBidi"/>
        </w:rPr>
        <w:t xml:space="preserve">slimnīcas A2 korpusa </w:t>
      </w:r>
      <w:r w:rsidR="000B411F" w:rsidRPr="00D94B64">
        <w:rPr>
          <w:rFonts w:asciiTheme="majorBidi" w:hAnsiTheme="majorBidi" w:cstheme="majorBidi"/>
        </w:rPr>
        <w:t>būvniecību. Bet pasūtītāja izvēlējusies iepirkuma mērķi sasniegt, iepērkot pakalpojumu ar „</w:t>
      </w:r>
      <w:r w:rsidR="00A624A9" w:rsidRPr="00D94B64">
        <w:rPr>
          <w:rFonts w:asciiTheme="majorBidi" w:hAnsiTheme="majorBidi" w:cstheme="majorBidi"/>
        </w:rPr>
        <w:t>projektē – būvē”</w:t>
      </w:r>
      <w:r w:rsidR="000B411F" w:rsidRPr="00D94B64">
        <w:rPr>
          <w:rFonts w:asciiTheme="majorBidi" w:hAnsiTheme="majorBidi" w:cstheme="majorBidi"/>
        </w:rPr>
        <w:t xml:space="preserve"> līgumu,</w:t>
      </w:r>
      <w:r w:rsidR="00A624A9" w:rsidRPr="00D94B64">
        <w:rPr>
          <w:rFonts w:asciiTheme="majorBidi" w:hAnsiTheme="majorBidi" w:cstheme="majorBidi"/>
        </w:rPr>
        <w:t xml:space="preserve"> k</w:t>
      </w:r>
      <w:r w:rsidR="000B411F" w:rsidRPr="00D94B64">
        <w:rPr>
          <w:rFonts w:asciiTheme="majorBidi" w:hAnsiTheme="majorBidi" w:cstheme="majorBidi"/>
        </w:rPr>
        <w:t xml:space="preserve">as paredz, ka pakalpojumu sniedzējs pats </w:t>
      </w:r>
      <w:r w:rsidR="00AB7520">
        <w:rPr>
          <w:rFonts w:asciiTheme="majorBidi" w:hAnsiTheme="majorBidi" w:cstheme="majorBidi"/>
        </w:rPr>
        <w:t xml:space="preserve">pārbauda faktisko situāciju ar nepabeigtajiem būvdarbiem un </w:t>
      </w:r>
      <w:r w:rsidR="000B411F" w:rsidRPr="00D94B64">
        <w:rPr>
          <w:rFonts w:asciiTheme="majorBidi" w:hAnsiTheme="majorBidi" w:cstheme="majorBidi"/>
        </w:rPr>
        <w:t xml:space="preserve">izstrādā </w:t>
      </w:r>
      <w:r w:rsidR="00AB7520">
        <w:rPr>
          <w:rFonts w:asciiTheme="majorBidi" w:hAnsiTheme="majorBidi" w:cstheme="majorBidi"/>
        </w:rPr>
        <w:t>savu redzējumu</w:t>
      </w:r>
      <w:r w:rsidR="000B411F" w:rsidRPr="00D94B64">
        <w:rPr>
          <w:rFonts w:asciiTheme="majorBidi" w:hAnsiTheme="majorBidi" w:cstheme="majorBidi"/>
        </w:rPr>
        <w:t xml:space="preserve"> iesāktās būvniecības </w:t>
      </w:r>
      <w:r w:rsidR="000B411F" w:rsidRPr="00D94B64">
        <w:rPr>
          <w:rFonts w:asciiTheme="majorBidi" w:hAnsiTheme="majorBidi" w:cstheme="majorBidi"/>
        </w:rPr>
        <w:lastRenderedPageBreak/>
        <w:t>pabeigšanai</w:t>
      </w:r>
      <w:r w:rsidR="00FC2210">
        <w:rPr>
          <w:rFonts w:asciiTheme="majorBidi" w:hAnsiTheme="majorBidi" w:cstheme="majorBidi"/>
        </w:rPr>
        <w:t>,</w:t>
      </w:r>
      <w:r w:rsidR="000B411F" w:rsidRPr="00D94B64">
        <w:rPr>
          <w:rFonts w:asciiTheme="majorBidi" w:hAnsiTheme="majorBidi" w:cstheme="majorBidi"/>
        </w:rPr>
        <w:t xml:space="preserve"> un tādējādi pats lielā mērā noteic būves pabeigšanai nepieciešamo darbu apjomu</w:t>
      </w:r>
      <w:r w:rsidR="00755741" w:rsidRPr="00D94B64">
        <w:rPr>
          <w:rFonts w:asciiTheme="majorBidi" w:hAnsiTheme="majorBidi" w:cstheme="majorBidi"/>
        </w:rPr>
        <w:t>, kas neapšaubāmi sadārdzināšot pasūtītājai sniegto pakalpojumu</w:t>
      </w:r>
      <w:r w:rsidR="000B411F" w:rsidRPr="00D94B64">
        <w:rPr>
          <w:rFonts w:asciiTheme="majorBidi" w:hAnsiTheme="majorBidi" w:cstheme="majorBidi"/>
        </w:rPr>
        <w:t xml:space="preserve">. </w:t>
      </w:r>
    </w:p>
    <w:p w14:paraId="6339B431" w14:textId="26D2D573" w:rsidR="00D44F08" w:rsidRPr="00D94B64" w:rsidRDefault="000B411F" w:rsidP="001F5456">
      <w:pPr>
        <w:spacing w:line="276" w:lineRule="auto"/>
        <w:ind w:firstLine="720"/>
        <w:jc w:val="both"/>
        <w:rPr>
          <w:rFonts w:asciiTheme="majorBidi" w:hAnsiTheme="majorBidi" w:cstheme="majorBidi"/>
        </w:rPr>
      </w:pPr>
      <w:r w:rsidRPr="00D94B64">
        <w:rPr>
          <w:rFonts w:asciiTheme="majorBidi" w:hAnsiTheme="majorBidi" w:cstheme="majorBidi"/>
        </w:rPr>
        <w:t>No minētā izriet, ka, pieteicējas ieskatā, tiesai bija jāvērtē, vai pasūtītāja sava mērķa sasniegšanai –</w:t>
      </w:r>
      <w:r w:rsidR="009E570D">
        <w:rPr>
          <w:rFonts w:asciiTheme="majorBidi" w:hAnsiTheme="majorBidi" w:cstheme="majorBidi"/>
        </w:rPr>
        <w:t xml:space="preserve"> </w:t>
      </w:r>
      <w:r w:rsidRPr="00D94B64">
        <w:rPr>
          <w:rFonts w:asciiTheme="majorBidi" w:hAnsiTheme="majorBidi" w:cstheme="majorBidi"/>
        </w:rPr>
        <w:t>slimnīcas A2 korpusa būvniecības pabeigšanai – ir izvēlējusies ekonomiski izdevīgāko pakalpojumu iepirkšanas veidu.</w:t>
      </w:r>
      <w:r w:rsidR="00DF0276" w:rsidRPr="00D94B64">
        <w:rPr>
          <w:rFonts w:asciiTheme="majorBidi" w:hAnsiTheme="majorBidi" w:cstheme="majorBidi"/>
        </w:rPr>
        <w:t xml:space="preserve"> </w:t>
      </w:r>
    </w:p>
    <w:p w14:paraId="23E0F941" w14:textId="62F77236" w:rsidR="009E570D" w:rsidRDefault="00DF0276" w:rsidP="001F5456">
      <w:pPr>
        <w:spacing w:line="276" w:lineRule="auto"/>
        <w:ind w:firstLine="720"/>
        <w:jc w:val="both"/>
      </w:pPr>
      <w:r w:rsidRPr="00D94B64">
        <w:rPr>
          <w:rFonts w:asciiTheme="majorBidi" w:hAnsiTheme="majorBidi" w:cstheme="majorBidi"/>
        </w:rPr>
        <w:t xml:space="preserve">Šajā sakarā senatoru kolēģija </w:t>
      </w:r>
      <w:r w:rsidR="00D44F08" w:rsidRPr="00D94B64">
        <w:rPr>
          <w:rFonts w:asciiTheme="majorBidi" w:hAnsiTheme="majorBidi" w:cstheme="majorBidi"/>
        </w:rPr>
        <w:t>uzsver</w:t>
      </w:r>
      <w:r w:rsidRPr="00D94B64">
        <w:rPr>
          <w:rFonts w:asciiTheme="majorBidi" w:hAnsiTheme="majorBidi" w:cstheme="majorBidi"/>
        </w:rPr>
        <w:t xml:space="preserve">, ka Senāta judikatūrā jau atzīts, ka </w:t>
      </w:r>
      <w:r w:rsidR="00D44F08" w:rsidRPr="00D94B64">
        <w:t xml:space="preserve">tas, vai, izvēloties iepirkt konkrētu pakalpojumu, tiks nodrošināta pasūtītāja līdzekļu maksimāli efektīva izlietošana, nav tiesas kompetencē. Tiesas uzdevums nav pārliecināties, ka pasūtītājam konkrētais iepirkums ir ekonomiski </w:t>
      </w:r>
      <w:r w:rsidR="00033350" w:rsidRPr="00D94B64">
        <w:t>izdevīgs</w:t>
      </w:r>
      <w:r w:rsidR="00D44F08" w:rsidRPr="00D94B64">
        <w:t xml:space="preserve"> vai lietderīgs</w:t>
      </w:r>
      <w:r w:rsidR="00033350" w:rsidRPr="00D94B64">
        <w:t>; tiesas uzdevums ir pārliecināties, vai pasūtītājs nav pieļāvis pārkāpumus iepirkuma norisē, kas nepamatoti aizskar iepirkuma procedūrā ieinteresēto personu tiesības</w:t>
      </w:r>
      <w:r w:rsidR="00D44F08" w:rsidRPr="00D94B64">
        <w:t xml:space="preserve"> (</w:t>
      </w:r>
      <w:r w:rsidR="00D44F08" w:rsidRPr="00D94B64">
        <w:rPr>
          <w:i/>
          <w:iCs/>
        </w:rPr>
        <w:t xml:space="preserve">Senāta 2015.gada </w:t>
      </w:r>
      <w:r w:rsidR="00033350" w:rsidRPr="00D94B64">
        <w:rPr>
          <w:i/>
          <w:iCs/>
        </w:rPr>
        <w:t xml:space="preserve">29.maija sprieduma lietā </w:t>
      </w:r>
      <w:r w:rsidR="009E570D">
        <w:rPr>
          <w:i/>
          <w:iCs/>
        </w:rPr>
        <w:t>Nr.</w:t>
      </w:r>
      <w:r w:rsidR="00FC2210">
        <w:rPr>
          <w:i/>
          <w:iCs/>
        </w:rPr>
        <w:t> </w:t>
      </w:r>
      <w:hyperlink r:id="rId8" w:history="1">
        <w:r w:rsidR="00033350" w:rsidRPr="00FC2210">
          <w:rPr>
            <w:rStyle w:val="Hyperlink"/>
            <w:i/>
            <w:iCs/>
          </w:rPr>
          <w:t>SKA-122/2015</w:t>
        </w:r>
      </w:hyperlink>
      <w:r w:rsidR="00033350" w:rsidRPr="00D94B64">
        <w:rPr>
          <w:i/>
          <w:iCs/>
        </w:rPr>
        <w:t>, A420341613, 7.punkts</w:t>
      </w:r>
      <w:r w:rsidR="00033350" w:rsidRPr="00D94B64">
        <w:t>)</w:t>
      </w:r>
      <w:r w:rsidR="00D44F08" w:rsidRPr="00D94B64">
        <w:t xml:space="preserve">. </w:t>
      </w:r>
    </w:p>
    <w:p w14:paraId="5239B91C" w14:textId="77777777" w:rsidR="008C2F57" w:rsidRDefault="002824C0" w:rsidP="001F5456">
      <w:pPr>
        <w:spacing w:line="276" w:lineRule="auto"/>
        <w:ind w:firstLine="720"/>
        <w:jc w:val="both"/>
      </w:pPr>
      <w:r w:rsidRPr="00D94B64">
        <w:t xml:space="preserve">Senatoru kolēģija nesaskata pamatu atkāpties no minētajām judikatūras atziņām. </w:t>
      </w:r>
      <w:r w:rsidR="00023E24" w:rsidRPr="00D94B64">
        <w:t xml:space="preserve">Judikatūrā atzītā </w:t>
      </w:r>
      <w:r w:rsidR="00033350" w:rsidRPr="00D94B64">
        <w:t xml:space="preserve">tiesas kompetence atbilst </w:t>
      </w:r>
      <w:r w:rsidR="00023E24" w:rsidRPr="00D94B64">
        <w:t xml:space="preserve">arī </w:t>
      </w:r>
      <w:r w:rsidR="00033350" w:rsidRPr="00D94B64">
        <w:t xml:space="preserve">tam, kas izriet no Publisko iepirkumu likuma 68.pantā </w:t>
      </w:r>
      <w:r w:rsidR="009A2D28" w:rsidRPr="00D94B64">
        <w:t>paredzētā</w:t>
      </w:r>
      <w:r w:rsidR="00104980" w:rsidRPr="00D94B64">
        <w:t xml:space="preserve">, </w:t>
      </w:r>
      <w:r w:rsidR="009A2D28" w:rsidRPr="00D94B64">
        <w:t xml:space="preserve">kādas personas un par ko </w:t>
      </w:r>
      <w:r w:rsidR="00104980" w:rsidRPr="00D94B64">
        <w:t xml:space="preserve">vispār var sūdzēties </w:t>
      </w:r>
      <w:r w:rsidR="00033350" w:rsidRPr="00D94B64">
        <w:t>Iepirkumu uzraudzības birojā un secīgi tiesā</w:t>
      </w:r>
      <w:r w:rsidR="00104980" w:rsidRPr="00D94B64">
        <w:t xml:space="preserve">. Proti, </w:t>
      </w:r>
      <w:r w:rsidR="009A2D28" w:rsidRPr="00D94B64">
        <w:t xml:space="preserve">minētā panta pirmā daļa noteic, ka sūdzību par iepirkuma procedūru var iesniegt persona, kura ir vai ir bijusi ieinteresēta iegūt tiesības noslēgt iepirkuma līgumu un kura saistībā ar konkrēto iepirkuma procedūru uzskata, ka ir aizskartas tās tiesības vai ir iespējams šo tiesību aizskārums. </w:t>
      </w:r>
      <w:r w:rsidR="006110B3">
        <w:t xml:space="preserve">No šīs tiesību normas izriet, ka </w:t>
      </w:r>
      <w:r w:rsidR="009A2D28" w:rsidRPr="00D94B64">
        <w:t xml:space="preserve">personas var sūdzēties par iepirkuma procedūru ar mērķi aizsargāt </w:t>
      </w:r>
      <w:r w:rsidR="009A2D28" w:rsidRPr="006110B3">
        <w:rPr>
          <w:i/>
          <w:iCs/>
        </w:rPr>
        <w:t>savas individuālās tiesības</w:t>
      </w:r>
      <w:r w:rsidR="009A2D28" w:rsidRPr="00D94B64">
        <w:t xml:space="preserve">, un Iepirkumu uzraudzības biroja un secīgi tiesas kontroles pār iepirkuma procedūru mērķis ir pārbaudīt to, vai iepirkumu procedūrā nav pieļauti pārkāpumi, kas aizskar sūdzību iesniegušās personas </w:t>
      </w:r>
      <w:r w:rsidR="00A6289F" w:rsidRPr="00D94B64">
        <w:t xml:space="preserve">individuālās </w:t>
      </w:r>
      <w:r w:rsidR="009A2D28" w:rsidRPr="00D94B64">
        <w:t>tiesības</w:t>
      </w:r>
      <w:r w:rsidR="00A6289F" w:rsidRPr="00D94B64">
        <w:t xml:space="preserve"> vai tiesiskās intereses</w:t>
      </w:r>
      <w:r w:rsidR="009A2D28" w:rsidRPr="00D94B64">
        <w:t>.</w:t>
      </w:r>
      <w:r w:rsidR="00A6289F" w:rsidRPr="00D94B64">
        <w:t xml:space="preserve"> Neviena tiesību norma neparedz, ka privātpersonas tiesiska interese ir pasūtītāja līdzekļu maksimāli ekonomiski izdevīga izlietošana.</w:t>
      </w:r>
      <w:r w:rsidR="007C0FC7" w:rsidRPr="00D94B64">
        <w:t xml:space="preserve"> </w:t>
      </w:r>
      <w:r w:rsidR="006110B3">
        <w:t xml:space="preserve">Tāpat neviena tiesību norma neparedz, ka publisko iepirkumu lietās būtu pieļaujams tiesā vērsties ar populārsūdzību. </w:t>
      </w:r>
      <w:r w:rsidR="007C0FC7" w:rsidRPr="00D94B64">
        <w:t xml:space="preserve">Līdz ar to </w:t>
      </w:r>
      <w:r w:rsidRPr="00D94B64">
        <w:t xml:space="preserve">lietā, kurā privātpersona sūdzas par iepirkuma procedūru, </w:t>
      </w:r>
      <w:r w:rsidR="007C0FC7" w:rsidRPr="00D94B64">
        <w:t>privātpersonas uzskats, ka pasūtītājs savu mērķi varētu sasniegt ar no pasūtītāja skatu punkta ekonomiski izdevīgāku iepirkumu</w:t>
      </w:r>
      <w:r w:rsidRPr="00D94B64">
        <w:t>, nevar būt pamats iepirkuma nosacījumu atzīšanai par prettiesisku.</w:t>
      </w:r>
      <w:r w:rsidR="00033350" w:rsidRPr="00D94B64">
        <w:t xml:space="preserve"> </w:t>
      </w:r>
    </w:p>
    <w:p w14:paraId="5BF8D2A6" w14:textId="4F2ED1F6" w:rsidR="00D44F08" w:rsidRPr="00D94B64" w:rsidRDefault="00F009FF" w:rsidP="001F5456">
      <w:pPr>
        <w:spacing w:line="276" w:lineRule="auto"/>
        <w:ind w:firstLine="720"/>
        <w:jc w:val="both"/>
      </w:pPr>
      <w:r w:rsidRPr="00D94B64">
        <w:t>Tādējādi blakus sūdzības pārmetums tiesai par Publisko iepirkumu likuma mērķa nodrošināt pasūtītāja līdzekļu efektīvu izmantošanu ignorēšanu ir nepamatots.</w:t>
      </w:r>
    </w:p>
    <w:p w14:paraId="1534B082" w14:textId="77777777" w:rsidR="00023E24" w:rsidRPr="00D94B64" w:rsidRDefault="00023E24" w:rsidP="001F5456">
      <w:pPr>
        <w:spacing w:line="276" w:lineRule="auto"/>
        <w:ind w:firstLine="720"/>
        <w:jc w:val="both"/>
      </w:pPr>
    </w:p>
    <w:p w14:paraId="631210D6" w14:textId="68F74C5C" w:rsidR="000B411F" w:rsidRPr="00D94B64" w:rsidRDefault="00023E24" w:rsidP="001F5456">
      <w:pPr>
        <w:spacing w:line="276" w:lineRule="auto"/>
        <w:ind w:firstLine="720"/>
        <w:jc w:val="both"/>
        <w:rPr>
          <w:rFonts w:asciiTheme="majorBidi" w:hAnsiTheme="majorBidi" w:cstheme="majorBidi"/>
        </w:rPr>
      </w:pPr>
      <w:r w:rsidRPr="00D94B64">
        <w:t xml:space="preserve">[4] Tiesa </w:t>
      </w:r>
      <w:r w:rsidR="008832BE" w:rsidRPr="00D94B64">
        <w:t>pārsūdzētajā lēmumā ir pārbaudījusi</w:t>
      </w:r>
      <w:r w:rsidRPr="00D94B64">
        <w:t xml:space="preserve">, vai </w:t>
      </w:r>
      <w:r w:rsidR="008832BE" w:rsidRPr="00D94B64">
        <w:t>konkursa nolikuma tehniskās specifikācijas noteikumi, kā arī tas</w:t>
      </w:r>
      <w:r w:rsidRPr="00D94B64">
        <w:t xml:space="preserve">, ka pasūtītāja nav izvēlējusies pirms iepirkuma priekšmeta definēšanas veikt būvekspertīzi, </w:t>
      </w:r>
      <w:r w:rsidR="008832BE" w:rsidRPr="00D94B64">
        <w:t xml:space="preserve">rada potenciālo pretendentu tiesību pārkāpumu tādējādi, ka </w:t>
      </w:r>
      <w:r w:rsidRPr="00D94B64">
        <w:t>liedz saprast, kāds ir konkrētā iepirkuma priekšmets.</w:t>
      </w:r>
      <w:r w:rsidR="008832BE" w:rsidRPr="00D94B64">
        <w:t xml:space="preserve"> Tiesa ir </w:t>
      </w:r>
      <w:r w:rsidR="00893442" w:rsidRPr="00D94B64">
        <w:t>secinājusi, ka iepirkuma dokumentācijā izvirzītās prasības norāda uz pietiekami skaidru iepirkuma priekšmetu</w:t>
      </w:r>
      <w:r w:rsidR="006110B3">
        <w:t xml:space="preserve"> un </w:t>
      </w:r>
      <w:r w:rsidR="006110B3" w:rsidRPr="00D94B64">
        <w:t>pasūtītājam nav tiesisku šķēršļu būves pabeigšanai izvēlēties pakalpojumu „projektē – būvē”</w:t>
      </w:r>
      <w:r w:rsidR="00893442" w:rsidRPr="00D94B64">
        <w:t xml:space="preserve">. </w:t>
      </w:r>
      <w:r w:rsidR="00C21789" w:rsidRPr="00D94B64">
        <w:t xml:space="preserve">Kā tiesa pamatoti norādījusi, šāda pakalpojuma būtība ir, ka pašam pakalpojuma sniedzējam ir jāveic esošās situācijas (līdz šim uzbūvētās būves daļas) pārbaude un tālāka projektēšana, salāgojot veicamos darbus ar esošo situāciju. </w:t>
      </w:r>
      <w:r w:rsidR="007371B2" w:rsidRPr="00D94B64">
        <w:t>Tāpēc šāda pakalpojum</w:t>
      </w:r>
      <w:r w:rsidR="002B272E">
        <w:t>a</w:t>
      </w:r>
      <w:r w:rsidR="007371B2" w:rsidRPr="00D94B64">
        <w:t xml:space="preserve"> iepirkšanas gadījumā ir pieļaujams, ka pasūtītāja pati nav konkretizējusi visus būves pabeigšanai nepieciešamos darbus, jo tie būs atkarīgi no pakalpojuma sniedzēja izstrādātā projekta. Vienlaikus k</w:t>
      </w:r>
      <w:r w:rsidR="00C21789" w:rsidRPr="00D94B64">
        <w:t xml:space="preserve">onkursa nolikumā ir skaidri norādīts iepirkuma priekšmets </w:t>
      </w:r>
      <w:r w:rsidR="00A16F02" w:rsidRPr="00D94B64">
        <w:t>–</w:t>
      </w:r>
      <w:r w:rsidR="00C21789" w:rsidRPr="00D94B64">
        <w:t xml:space="preserve"> </w:t>
      </w:r>
      <w:r w:rsidR="00A16F02" w:rsidRPr="00D94B64">
        <w:rPr>
          <w:rFonts w:asciiTheme="majorBidi" w:hAnsiTheme="majorBidi" w:cstheme="majorBidi"/>
        </w:rPr>
        <w:t xml:space="preserve">slimnīcas A2 korpusa būvniecības ieceres dokumentācijas izstrāde, būvdarbi un autoruzraudzība ar mērķi pabeigt konkrētās būves būvniecību, kā arī ir paredzēts, ka pretendentiem piedāvājuma sagatavošanai ir iespējams gan apskatīt esošo situāciju (nepabeigto būvi) dabā, gan iepazīties ar līdz šim īstenotās būvniecības dokumentāciju, tādējādi gūstot priekšstatu par to, kāda ir situācija ar nepabeigto būvi. </w:t>
      </w:r>
      <w:r w:rsidR="007371B2" w:rsidRPr="00D94B64">
        <w:rPr>
          <w:rFonts w:asciiTheme="majorBidi" w:hAnsiTheme="majorBidi" w:cstheme="majorBidi"/>
        </w:rPr>
        <w:t xml:space="preserve">Turklāt </w:t>
      </w:r>
      <w:r w:rsidR="006110B3">
        <w:rPr>
          <w:rFonts w:asciiTheme="majorBidi" w:hAnsiTheme="majorBidi" w:cstheme="majorBidi"/>
        </w:rPr>
        <w:t>t</w:t>
      </w:r>
      <w:r w:rsidR="00A16F02" w:rsidRPr="00D94B64">
        <w:rPr>
          <w:rFonts w:asciiTheme="majorBidi" w:hAnsiTheme="majorBidi" w:cstheme="majorBidi"/>
        </w:rPr>
        <w:t xml:space="preserve">ehniskajā specifikācijā ir </w:t>
      </w:r>
      <w:r w:rsidR="007371B2" w:rsidRPr="00D94B64">
        <w:rPr>
          <w:rFonts w:asciiTheme="majorBidi" w:hAnsiTheme="majorBidi" w:cstheme="majorBidi"/>
        </w:rPr>
        <w:t>izvirzītas konkrētas prasības, kas būs jāievēro, pildot iepirkuma līgumu. Senatoru kolēģijas ieskatā, šādos apstākļos tiesa pamatoti atzinusi, ka konkrēto prasību kopums rada pietiekami skaidru</w:t>
      </w:r>
      <w:r w:rsidR="009E570D">
        <w:rPr>
          <w:rFonts w:asciiTheme="majorBidi" w:hAnsiTheme="majorBidi" w:cstheme="majorBidi"/>
        </w:rPr>
        <w:t xml:space="preserve"> iepirkuma </w:t>
      </w:r>
      <w:r w:rsidR="007371B2" w:rsidRPr="00D94B64">
        <w:rPr>
          <w:rFonts w:asciiTheme="majorBidi" w:hAnsiTheme="majorBidi" w:cstheme="majorBidi"/>
        </w:rPr>
        <w:t xml:space="preserve">priekšmetu. </w:t>
      </w:r>
    </w:p>
    <w:p w14:paraId="2EF94A5C" w14:textId="036C6DD9" w:rsidR="00467A3C" w:rsidRPr="00D94B64" w:rsidRDefault="00467A3C" w:rsidP="001F5456">
      <w:pPr>
        <w:spacing w:line="276" w:lineRule="auto"/>
        <w:ind w:firstLine="720"/>
        <w:jc w:val="both"/>
        <w:rPr>
          <w:rFonts w:asciiTheme="majorBidi" w:hAnsiTheme="majorBidi" w:cstheme="majorBidi"/>
        </w:rPr>
      </w:pPr>
      <w:r w:rsidRPr="00D94B64">
        <w:rPr>
          <w:rFonts w:asciiTheme="majorBidi" w:hAnsiTheme="majorBidi" w:cstheme="majorBidi"/>
        </w:rPr>
        <w:t xml:space="preserve">Blakus sūdzībā norādīts, ka tiesa nepamatoti nav saskatījusi konkursa nosacījumu neatbilstību Civillikuma 1416.pantam, kas noteic, ka saistības priekšmetu, kā arī pašu tās izpildīšanu nevar atstāt vienīgi parādnieka ieskatam. Blakus sūdzībā apgalvots, ka iepirkuma priekšmeta neskaidrība radot situāciju, ka pakalpojuma sniedzējs </w:t>
      </w:r>
      <w:r w:rsidR="00AE5384" w:rsidRPr="00D94B64">
        <w:rPr>
          <w:rFonts w:asciiTheme="majorBidi" w:hAnsiTheme="majorBidi" w:cstheme="majorBidi"/>
        </w:rPr>
        <w:t xml:space="preserve">vienīgais </w:t>
      </w:r>
      <w:r w:rsidRPr="00D94B64">
        <w:rPr>
          <w:rFonts w:asciiTheme="majorBidi" w:hAnsiTheme="majorBidi" w:cstheme="majorBidi"/>
        </w:rPr>
        <w:t>noteiks ar iepirkuma līgumu dibināmās saistības priekšmetu u</w:t>
      </w:r>
      <w:r w:rsidR="00AE5384" w:rsidRPr="00D94B64">
        <w:rPr>
          <w:rFonts w:asciiTheme="majorBidi" w:hAnsiTheme="majorBidi" w:cstheme="majorBidi"/>
        </w:rPr>
        <w:t>n</w:t>
      </w:r>
      <w:r w:rsidRPr="00D94B64">
        <w:rPr>
          <w:rFonts w:asciiTheme="majorBidi" w:hAnsiTheme="majorBidi" w:cstheme="majorBidi"/>
        </w:rPr>
        <w:t xml:space="preserve"> izpildīšanu. Tomēr tas ir tikai pieteicējas subjektīvs uzskats, ka iepirkuma priekšmets nav pietiekami skaidrs. </w:t>
      </w:r>
      <w:r w:rsidR="00AB54CB">
        <w:rPr>
          <w:rFonts w:asciiTheme="majorBidi" w:hAnsiTheme="majorBidi" w:cstheme="majorBidi"/>
        </w:rPr>
        <w:t xml:space="preserve">Kā jau minēts, </w:t>
      </w:r>
      <w:r w:rsidR="009E570D" w:rsidRPr="009E570D">
        <w:rPr>
          <w:rFonts w:asciiTheme="majorBidi" w:hAnsiTheme="majorBidi" w:cstheme="majorBidi"/>
        </w:rPr>
        <w:t>apvienotais projektēšanas un būvdarbu līgums</w:t>
      </w:r>
      <w:r w:rsidR="009E570D">
        <w:rPr>
          <w:rFonts w:asciiTheme="majorBidi" w:hAnsiTheme="majorBidi" w:cstheme="majorBidi"/>
        </w:rPr>
        <w:t xml:space="preserve"> </w:t>
      </w:r>
      <w:r w:rsidRPr="00D94B64">
        <w:rPr>
          <w:rFonts w:asciiTheme="majorBidi" w:hAnsiTheme="majorBidi" w:cstheme="majorBidi"/>
        </w:rPr>
        <w:t>ir vispārīgi pieļaujams pakalpojumu iepirkšanai būvju būvniecībai</w:t>
      </w:r>
      <w:r w:rsidR="00552004">
        <w:rPr>
          <w:rFonts w:asciiTheme="majorBidi" w:hAnsiTheme="majorBidi" w:cstheme="majorBidi"/>
        </w:rPr>
        <w:t>, tostarp, nepabeigtu būvju pabeigšanai</w:t>
      </w:r>
      <w:r w:rsidRPr="00D94B64">
        <w:rPr>
          <w:rFonts w:asciiTheme="majorBidi" w:hAnsiTheme="majorBidi" w:cstheme="majorBidi"/>
        </w:rPr>
        <w:t xml:space="preserve">. </w:t>
      </w:r>
      <w:r w:rsidR="00AD113E" w:rsidRPr="00D94B64">
        <w:rPr>
          <w:rFonts w:asciiTheme="majorBidi" w:hAnsiTheme="majorBidi" w:cstheme="majorBidi"/>
        </w:rPr>
        <w:t xml:space="preserve">Pieteicēja nav norādījusi uz tiesību normām, kas liegtu pasūtītājai izvēlēties šāda veida pakalpojuma iepirkšanu. </w:t>
      </w:r>
      <w:r w:rsidRPr="00D94B64">
        <w:rPr>
          <w:rFonts w:asciiTheme="majorBidi" w:hAnsiTheme="majorBidi" w:cstheme="majorBidi"/>
        </w:rPr>
        <w:t xml:space="preserve">Pasūtītāja konkrētajā gadījumā iepirkuma dokumentācijā ir norādījusi gan </w:t>
      </w:r>
      <w:r w:rsidR="000F087D">
        <w:rPr>
          <w:rFonts w:asciiTheme="majorBidi" w:hAnsiTheme="majorBidi" w:cstheme="majorBidi"/>
        </w:rPr>
        <w:t xml:space="preserve">sasniedzamo mērķi – pabeigta </w:t>
      </w:r>
      <w:r w:rsidR="000F087D" w:rsidRPr="00D94B64">
        <w:rPr>
          <w:rFonts w:asciiTheme="majorBidi" w:hAnsiTheme="majorBidi" w:cstheme="majorBidi"/>
        </w:rPr>
        <w:t>slimnīcas A2 korpusa būvniecība</w:t>
      </w:r>
      <w:r w:rsidR="000F087D">
        <w:rPr>
          <w:rFonts w:asciiTheme="majorBidi" w:hAnsiTheme="majorBidi" w:cstheme="majorBidi"/>
        </w:rPr>
        <w:t>, gan to</w:t>
      </w:r>
      <w:r w:rsidRPr="00D94B64">
        <w:rPr>
          <w:rFonts w:asciiTheme="majorBidi" w:hAnsiTheme="majorBidi" w:cstheme="majorBidi"/>
        </w:rPr>
        <w:t>, ka pakalpojuma sniedzējam jāņem vērā esošā situācija (līdz šim uzbūvētais un tā stāvoklis</w:t>
      </w:r>
      <w:r w:rsidR="000F087D">
        <w:rPr>
          <w:rFonts w:asciiTheme="majorBidi" w:hAnsiTheme="majorBidi" w:cstheme="majorBidi"/>
        </w:rPr>
        <w:t xml:space="preserve"> atbilstoši dabā faktiski konstatējamam un būvniecības dokumentācijai</w:t>
      </w:r>
      <w:r w:rsidRPr="00D94B64">
        <w:rPr>
          <w:rFonts w:asciiTheme="majorBidi" w:hAnsiTheme="majorBidi" w:cstheme="majorBidi"/>
        </w:rPr>
        <w:t xml:space="preserve">), gan tehniskajā specifikācijā izvirzījusi konkrētas prasības. </w:t>
      </w:r>
      <w:r w:rsidRPr="00D94B64">
        <w:t xml:space="preserve">Šādos apstākļos acīmredzami nepamatots ir pieteicējas apgalvojums, ka strīdus konkursa rezultātā saistības priekšmets un saistības izpildīšana ir atstāta vienīgi pakalpojuma sniedzēja ieskatam. </w:t>
      </w:r>
      <w:r w:rsidR="00AD113E" w:rsidRPr="00D94B64">
        <w:t xml:space="preserve">Tāpat nepamatoti ir pārmetumi, ka pasūtītāja nav pielikusi pienācīgas pūles definēt, ko tieši iepirkuma procedūras rezultātā </w:t>
      </w:r>
      <w:r w:rsidR="00CB35B6" w:rsidRPr="00D94B64">
        <w:t xml:space="preserve">tā </w:t>
      </w:r>
      <w:r w:rsidR="00AD113E" w:rsidRPr="00D94B64">
        <w:t>vēlas iepirkt.</w:t>
      </w:r>
    </w:p>
    <w:p w14:paraId="73B080CA" w14:textId="77777777" w:rsidR="007371B2" w:rsidRPr="00D94B64" w:rsidRDefault="007371B2" w:rsidP="001F5456">
      <w:pPr>
        <w:spacing w:line="276" w:lineRule="auto"/>
        <w:ind w:firstLine="720"/>
        <w:jc w:val="both"/>
        <w:rPr>
          <w:rFonts w:asciiTheme="majorBidi" w:hAnsiTheme="majorBidi" w:cstheme="majorBidi"/>
        </w:rPr>
      </w:pPr>
    </w:p>
    <w:p w14:paraId="3B148EEF" w14:textId="3E18C96E" w:rsidR="00C861E0" w:rsidRDefault="00AE5384" w:rsidP="001F5456">
      <w:pPr>
        <w:spacing w:line="276" w:lineRule="auto"/>
        <w:ind w:firstLine="720"/>
        <w:jc w:val="both"/>
        <w:rPr>
          <w:rFonts w:asciiTheme="majorBidi" w:hAnsiTheme="majorBidi" w:cstheme="majorBidi"/>
        </w:rPr>
      </w:pPr>
      <w:r w:rsidRPr="00D94B64">
        <w:rPr>
          <w:rFonts w:asciiTheme="majorBidi" w:hAnsiTheme="majorBidi" w:cstheme="majorBidi"/>
        </w:rPr>
        <w:t>[5] Blakus sūdzībā norādīts, ka iepirkuma priekšmets neesot pietiekami skaidrs tādēļ, ka pasūtītāja neesot iepirkuma dokumentācijā norādījusi pieļaujamo mikrobioloģiskā piesārņojuma (pelējuma) koncentrāciju (mērķa lielumus un robežlielumus)</w:t>
      </w:r>
      <w:r w:rsidR="00A006B3" w:rsidRPr="00D94B64">
        <w:rPr>
          <w:rFonts w:asciiTheme="majorBidi" w:hAnsiTheme="majorBidi" w:cstheme="majorBidi"/>
        </w:rPr>
        <w:t xml:space="preserve">, kas varot novest pie tā, ka potenciālajiem pretendentiem būs atšķirīgs redzējums par to, kādi darbi nepieciešami saistībā ar mikrobioloģisko piesārņojumu. Tomēr senatoru kolēģija secina, ka šis iebildums blakus sūdzībā veidots </w:t>
      </w:r>
      <w:r w:rsidR="006110B3">
        <w:rPr>
          <w:rFonts w:asciiTheme="majorBidi" w:hAnsiTheme="majorBidi" w:cstheme="majorBidi"/>
        </w:rPr>
        <w:t xml:space="preserve">tikai kā </w:t>
      </w:r>
      <w:r w:rsidR="00A006B3" w:rsidRPr="00D94B64">
        <w:rPr>
          <w:rFonts w:asciiTheme="majorBidi" w:hAnsiTheme="majorBidi" w:cstheme="majorBidi"/>
        </w:rPr>
        <w:t>vispārīg</w:t>
      </w:r>
      <w:r w:rsidR="006110B3">
        <w:rPr>
          <w:rFonts w:asciiTheme="majorBidi" w:hAnsiTheme="majorBidi" w:cstheme="majorBidi"/>
        </w:rPr>
        <w:t>s</w:t>
      </w:r>
      <w:r w:rsidR="00A006B3" w:rsidRPr="00D94B64">
        <w:rPr>
          <w:rFonts w:asciiTheme="majorBidi" w:hAnsiTheme="majorBidi" w:cstheme="majorBidi"/>
        </w:rPr>
        <w:t xml:space="preserve"> apgalvojum</w:t>
      </w:r>
      <w:r w:rsidR="006110B3">
        <w:rPr>
          <w:rFonts w:asciiTheme="majorBidi" w:hAnsiTheme="majorBidi" w:cstheme="majorBidi"/>
        </w:rPr>
        <w:t>s</w:t>
      </w:r>
      <w:r w:rsidR="00A006B3" w:rsidRPr="00D94B64">
        <w:rPr>
          <w:rFonts w:asciiTheme="majorBidi" w:hAnsiTheme="majorBidi" w:cstheme="majorBidi"/>
        </w:rPr>
        <w:t xml:space="preserve">. No lietas materiāliem </w:t>
      </w:r>
      <w:r w:rsidR="00FE72EB" w:rsidRPr="00D94B64">
        <w:rPr>
          <w:rFonts w:asciiTheme="majorBidi" w:hAnsiTheme="majorBidi" w:cstheme="majorBidi"/>
        </w:rPr>
        <w:t>izriet</w:t>
      </w:r>
      <w:r w:rsidR="00A006B3" w:rsidRPr="00D94B64">
        <w:rPr>
          <w:rFonts w:asciiTheme="majorBidi" w:hAnsiTheme="majorBidi" w:cstheme="majorBidi"/>
        </w:rPr>
        <w:t xml:space="preserve">, ka </w:t>
      </w:r>
      <w:r w:rsidR="006110B3">
        <w:rPr>
          <w:rFonts w:asciiTheme="majorBidi" w:hAnsiTheme="majorBidi" w:cstheme="majorBidi"/>
        </w:rPr>
        <w:t>t</w:t>
      </w:r>
      <w:r w:rsidR="00A006B3" w:rsidRPr="00D94B64">
        <w:rPr>
          <w:rFonts w:asciiTheme="majorBidi" w:hAnsiTheme="majorBidi" w:cstheme="majorBidi"/>
        </w:rPr>
        <w:t>ehniskā</w:t>
      </w:r>
      <w:r w:rsidR="00EC512D" w:rsidRPr="00D94B64">
        <w:rPr>
          <w:rFonts w:asciiTheme="majorBidi" w:hAnsiTheme="majorBidi" w:cstheme="majorBidi"/>
        </w:rPr>
        <w:t>s</w:t>
      </w:r>
      <w:r w:rsidR="00A006B3" w:rsidRPr="00D94B64">
        <w:rPr>
          <w:rFonts w:asciiTheme="majorBidi" w:hAnsiTheme="majorBidi" w:cstheme="majorBidi"/>
        </w:rPr>
        <w:t xml:space="preserve"> specifikācij</w:t>
      </w:r>
      <w:r w:rsidR="00EC512D" w:rsidRPr="00D94B64">
        <w:rPr>
          <w:rFonts w:asciiTheme="majorBidi" w:hAnsiTheme="majorBidi" w:cstheme="majorBidi"/>
        </w:rPr>
        <w:t xml:space="preserve">as 5.7.punktā ir izvirzītas detalizētas prasības attiecībā uz mikrobioloģisko piesārņojumu un ar to saistītajiem darbiem. Tostarp 5.7.1.1.apakšpunktā ir norādīts, ka </w:t>
      </w:r>
      <w:r w:rsidR="00FE72EB" w:rsidRPr="00D94B64">
        <w:rPr>
          <w:rFonts w:asciiTheme="majorBidi" w:hAnsiTheme="majorBidi" w:cstheme="majorBidi"/>
        </w:rPr>
        <w:t>„</w:t>
      </w:r>
      <w:r w:rsidR="00EC512D" w:rsidRPr="00D94B64">
        <w:rPr>
          <w:rFonts w:asciiTheme="majorBidi" w:hAnsiTheme="majorBidi" w:cstheme="majorBidi"/>
        </w:rPr>
        <w:t xml:space="preserve">pirms būvdarbu uzsākšanas būvprojekta aktualizācijas laikā projektētajam jāiesniedz sadarbībā ar kvalificētu mikrobioloģijas speciālistu izstrādāta bioloģiskā piesārņojuma monitoringa programma, par pamatu ņemot vērā </w:t>
      </w:r>
      <w:r w:rsidR="001F5456">
        <w:rPr>
          <w:rFonts w:asciiTheme="majorBidi" w:hAnsiTheme="majorBidi" w:cstheme="majorBidi"/>
        </w:rPr>
        <w:t xml:space="preserve">[pers. A] </w:t>
      </w:r>
      <w:r w:rsidR="00EC512D" w:rsidRPr="00D94B64">
        <w:rPr>
          <w:rFonts w:asciiTheme="majorBidi" w:hAnsiTheme="majorBidi" w:cstheme="majorBidi"/>
        </w:rPr>
        <w:t>19.03.2025. gada eksperta atzinumu, pielikums Nr. 25”. Savukārt 25.pi</w:t>
      </w:r>
      <w:r w:rsidR="00FE72EB" w:rsidRPr="00D94B64">
        <w:rPr>
          <w:rFonts w:asciiTheme="majorBidi" w:hAnsiTheme="majorBidi" w:cstheme="majorBidi"/>
        </w:rPr>
        <w:t>e</w:t>
      </w:r>
      <w:r w:rsidR="00EC512D" w:rsidRPr="00D94B64">
        <w:rPr>
          <w:rFonts w:asciiTheme="majorBidi" w:hAnsiTheme="majorBidi" w:cstheme="majorBidi"/>
        </w:rPr>
        <w:t>l</w:t>
      </w:r>
      <w:r w:rsidR="00FE72EB" w:rsidRPr="00D94B64">
        <w:rPr>
          <w:rFonts w:asciiTheme="majorBidi" w:hAnsiTheme="majorBidi" w:cstheme="majorBidi"/>
        </w:rPr>
        <w:t>ik</w:t>
      </w:r>
      <w:r w:rsidR="00EC512D" w:rsidRPr="00D94B64">
        <w:rPr>
          <w:rFonts w:asciiTheme="majorBidi" w:hAnsiTheme="majorBidi" w:cstheme="majorBidi"/>
        </w:rPr>
        <w:t xml:space="preserve">umā </w:t>
      </w:r>
      <w:r w:rsidR="00FE72EB" w:rsidRPr="00D94B64">
        <w:rPr>
          <w:rFonts w:asciiTheme="majorBidi" w:hAnsiTheme="majorBidi" w:cstheme="majorBidi"/>
        </w:rPr>
        <w:t>„</w:t>
      </w:r>
      <w:r w:rsidR="001F5456">
        <w:rPr>
          <w:rFonts w:asciiTheme="majorBidi" w:hAnsiTheme="majorBidi" w:cstheme="majorBidi"/>
        </w:rPr>
        <w:t>[pers. A]</w:t>
      </w:r>
      <w:r w:rsidR="00FE72EB" w:rsidRPr="00D94B64">
        <w:rPr>
          <w:rFonts w:asciiTheme="majorBidi" w:hAnsiTheme="majorBidi" w:cstheme="majorBidi"/>
        </w:rPr>
        <w:t xml:space="preserve"> ekspertīze” 3.3.4.0.apakšpunktā norādīti uztriepju paraugu novērtējuma skaidrojumi ar trīs rezultātu intervāliem un attiecīgiem pārbaudīto virsmu novērtējumiem un veicamajiem pasākumiem: 0 līdz 25 KVV/25cm2 </w:t>
      </w:r>
      <w:r w:rsidR="009C7982">
        <w:rPr>
          <w:rFonts w:asciiTheme="majorBidi" w:hAnsiTheme="majorBidi" w:cstheme="majorBidi"/>
        </w:rPr>
        <w:t>– h</w:t>
      </w:r>
      <w:r w:rsidR="00FE72EB" w:rsidRPr="00D94B64">
        <w:rPr>
          <w:rFonts w:asciiTheme="majorBidi" w:hAnsiTheme="majorBidi" w:cstheme="majorBidi"/>
        </w:rPr>
        <w:t>igiēniski</w:t>
      </w:r>
      <w:r w:rsidR="009C7982">
        <w:rPr>
          <w:rFonts w:asciiTheme="majorBidi" w:hAnsiTheme="majorBidi" w:cstheme="majorBidi"/>
        </w:rPr>
        <w:t xml:space="preserve"> </w:t>
      </w:r>
      <w:r w:rsidR="00FE72EB" w:rsidRPr="00D94B64">
        <w:rPr>
          <w:rFonts w:asciiTheme="majorBidi" w:hAnsiTheme="majorBidi" w:cstheme="majorBidi"/>
        </w:rPr>
        <w:t>mikrobioloģiskais stāvoklis tiek vērtēts kā labs vai ļoti labs</w:t>
      </w:r>
      <w:r w:rsidR="009C7982">
        <w:rPr>
          <w:rFonts w:asciiTheme="majorBidi" w:hAnsiTheme="majorBidi" w:cstheme="majorBidi"/>
        </w:rPr>
        <w:t>, n</w:t>
      </w:r>
      <w:r w:rsidR="00FE72EB" w:rsidRPr="00D94B64">
        <w:rPr>
          <w:rFonts w:asciiTheme="majorBidi" w:hAnsiTheme="majorBidi" w:cstheme="majorBidi"/>
        </w:rPr>
        <w:t>av nepieciešama nekāda rīcība; &gt;25 līdz 100 KVV/m2</w:t>
      </w:r>
      <w:r w:rsidR="009C7982">
        <w:rPr>
          <w:rFonts w:asciiTheme="majorBidi" w:hAnsiTheme="majorBidi" w:cstheme="majorBidi"/>
        </w:rPr>
        <w:t xml:space="preserve"> – h</w:t>
      </w:r>
      <w:r w:rsidR="00FE72EB" w:rsidRPr="00D94B64">
        <w:rPr>
          <w:rFonts w:asciiTheme="majorBidi" w:hAnsiTheme="majorBidi" w:cstheme="majorBidi"/>
        </w:rPr>
        <w:t>igiēniski</w:t>
      </w:r>
      <w:r w:rsidR="009C7982">
        <w:rPr>
          <w:rFonts w:asciiTheme="majorBidi" w:hAnsiTheme="majorBidi" w:cstheme="majorBidi"/>
        </w:rPr>
        <w:t xml:space="preserve"> </w:t>
      </w:r>
      <w:r w:rsidR="00FE72EB" w:rsidRPr="00D94B64">
        <w:rPr>
          <w:rFonts w:asciiTheme="majorBidi" w:hAnsiTheme="majorBidi" w:cstheme="majorBidi"/>
        </w:rPr>
        <w:t>mikrobioloģiskais stāvoklis ir tuvu robežvērtībai</w:t>
      </w:r>
      <w:r w:rsidR="009C7982">
        <w:rPr>
          <w:rFonts w:asciiTheme="majorBidi" w:hAnsiTheme="majorBidi" w:cstheme="majorBidi"/>
        </w:rPr>
        <w:t>, a</w:t>
      </w:r>
      <w:r w:rsidR="00FE72EB" w:rsidRPr="00D94B64">
        <w:rPr>
          <w:rFonts w:asciiTheme="majorBidi" w:hAnsiTheme="majorBidi" w:cstheme="majorBidi"/>
        </w:rPr>
        <w:t>trodiet un novērsiet cēloni</w:t>
      </w:r>
      <w:r w:rsidR="009C7982">
        <w:rPr>
          <w:rFonts w:asciiTheme="majorBidi" w:hAnsiTheme="majorBidi" w:cstheme="majorBidi"/>
        </w:rPr>
        <w:t>, š</w:t>
      </w:r>
      <w:r w:rsidR="00FE72EB" w:rsidRPr="00D94B64">
        <w:rPr>
          <w:rFonts w:asciiTheme="majorBidi" w:hAnsiTheme="majorBidi" w:cstheme="majorBidi"/>
        </w:rPr>
        <w:t>ie elementi tuvākajā laikā ir rūpīgi jānotīra vai jānomaina; &gt;100 KVV/m2</w:t>
      </w:r>
      <w:r w:rsidR="009C7982">
        <w:rPr>
          <w:rFonts w:asciiTheme="majorBidi" w:hAnsiTheme="majorBidi" w:cstheme="majorBidi"/>
        </w:rPr>
        <w:t xml:space="preserve"> – h</w:t>
      </w:r>
      <w:r w:rsidR="00FE72EB" w:rsidRPr="00D94B64">
        <w:rPr>
          <w:rFonts w:asciiTheme="majorBidi" w:hAnsiTheme="majorBidi" w:cstheme="majorBidi"/>
        </w:rPr>
        <w:t>igiēniski</w:t>
      </w:r>
      <w:r w:rsidR="009C7982">
        <w:rPr>
          <w:rFonts w:asciiTheme="majorBidi" w:hAnsiTheme="majorBidi" w:cstheme="majorBidi"/>
        </w:rPr>
        <w:t xml:space="preserve"> </w:t>
      </w:r>
      <w:r w:rsidR="00FE72EB" w:rsidRPr="00D94B64">
        <w:rPr>
          <w:rFonts w:asciiTheme="majorBidi" w:hAnsiTheme="majorBidi" w:cstheme="majorBidi"/>
        </w:rPr>
        <w:t>mikrobioloģiskais stāvoklis ir vērtējams kā neatbilstošs</w:t>
      </w:r>
      <w:r w:rsidR="009C7982">
        <w:rPr>
          <w:rFonts w:asciiTheme="majorBidi" w:hAnsiTheme="majorBidi" w:cstheme="majorBidi"/>
        </w:rPr>
        <w:t>, a</w:t>
      </w:r>
      <w:r w:rsidR="00FE72EB" w:rsidRPr="00D94B64">
        <w:rPr>
          <w:rFonts w:asciiTheme="majorBidi" w:hAnsiTheme="majorBidi" w:cstheme="majorBidi"/>
        </w:rPr>
        <w:t>trodiet un novērsiet cēloni</w:t>
      </w:r>
      <w:r w:rsidR="009C7982">
        <w:rPr>
          <w:rFonts w:asciiTheme="majorBidi" w:hAnsiTheme="majorBidi" w:cstheme="majorBidi"/>
        </w:rPr>
        <w:t>, š</w:t>
      </w:r>
      <w:r w:rsidR="00FE72EB" w:rsidRPr="00D94B64">
        <w:rPr>
          <w:rFonts w:asciiTheme="majorBidi" w:hAnsiTheme="majorBidi" w:cstheme="majorBidi"/>
        </w:rPr>
        <w:t>ie elementi rūpīgi jānotīra un, ja nepieciešams, papildus jādezinficē vai jānomaina</w:t>
      </w:r>
      <w:r w:rsidR="009C7982">
        <w:rPr>
          <w:rFonts w:asciiTheme="majorBidi" w:hAnsiTheme="majorBidi" w:cstheme="majorBidi"/>
        </w:rPr>
        <w:t>.</w:t>
      </w:r>
      <w:r w:rsidR="00FE72EB" w:rsidRPr="00D94B64">
        <w:rPr>
          <w:rFonts w:asciiTheme="majorBidi" w:hAnsiTheme="majorBidi" w:cstheme="majorBidi"/>
        </w:rPr>
        <w:t xml:space="preserve"> Blakus sūdzībā nav argumentēts, kāpēc iepriekš minētais nesniedz pietiekamu skaidrību par to, kādus pelējuma koncentrācijas robežlielumus pasūtītājs ir uzdevis ņemt vērā.</w:t>
      </w:r>
    </w:p>
    <w:p w14:paraId="1960FE75" w14:textId="3F933F54" w:rsidR="00D94B64" w:rsidRPr="009149D5" w:rsidRDefault="00552004" w:rsidP="001F5456">
      <w:pPr>
        <w:spacing w:line="276" w:lineRule="auto"/>
        <w:ind w:firstLine="720"/>
        <w:jc w:val="both"/>
        <w:rPr>
          <w:bCs/>
        </w:rPr>
      </w:pPr>
      <w:r w:rsidRPr="009149D5">
        <w:rPr>
          <w:rFonts w:asciiTheme="majorBidi" w:hAnsiTheme="majorBidi" w:cstheme="majorBidi"/>
        </w:rPr>
        <w:t xml:space="preserve">Blakus sūdzībā arī vērsta uzmanība, ka paskaidrojumos Iepirkumu uzraudzības birojam attiecībā uz pagraba zonas demontāžu </w:t>
      </w:r>
      <w:r w:rsidR="00764380" w:rsidRPr="009149D5">
        <w:rPr>
          <w:rFonts w:asciiTheme="majorBidi" w:hAnsiTheme="majorBidi" w:cstheme="majorBidi"/>
        </w:rPr>
        <w:t xml:space="preserve">pasūtītāja </w:t>
      </w:r>
      <w:r w:rsidRPr="009149D5">
        <w:rPr>
          <w:rFonts w:asciiTheme="majorBidi" w:hAnsiTheme="majorBidi" w:cstheme="majorBidi"/>
        </w:rPr>
        <w:t xml:space="preserve">ir pretrunīgi norādījusi, ka </w:t>
      </w:r>
      <w:r w:rsidRPr="009149D5">
        <w:rPr>
          <w:bCs/>
        </w:rPr>
        <w:t>pagraba zonas jādemontē pilnībā, izņemot konstrukcijas ar pierādītu drošību un tīrību, un tādējādi pagraba zonas ir jādemontē pilnībā. Šie pasūtītājas paskaidrojumi liedzot saprast, vai patiešām jādemontē pilnībā visa pagraba zona, vai tomēr ir saglabājama pagraba zonas daļa ar pierādītu drošību un tīrību. Tomēr šajā sakarā senatoru kolēģija norāda, ka pasūtītāja Iepirkumu uzraudzības birojam sniegtajā paskaidrojumā norādītais nav uzskatāms par iepirkuma dokumentācijas prasību</w:t>
      </w:r>
      <w:r w:rsidR="000F087D">
        <w:rPr>
          <w:bCs/>
        </w:rPr>
        <w:t>,</w:t>
      </w:r>
      <w:r w:rsidRPr="009149D5">
        <w:rPr>
          <w:bCs/>
        </w:rPr>
        <w:t xml:space="preserve"> – iepirkuma dokumentāciju veido konkursa nolikums ar tehnisko specifikāciju un tās pielikumiem. Pasūtītājas paskaidrojumā birojam ietverta frāze nemaina iepirkuma dokumentācijā norādīto</w:t>
      </w:r>
      <w:r w:rsidR="009149D5" w:rsidRPr="009149D5">
        <w:rPr>
          <w:bCs/>
        </w:rPr>
        <w:t xml:space="preserve">. Līdz ar to </w:t>
      </w:r>
      <w:r w:rsidR="009149D5">
        <w:rPr>
          <w:bCs/>
        </w:rPr>
        <w:t xml:space="preserve">iepirkuma dokumentācijā izvirzīto </w:t>
      </w:r>
      <w:r w:rsidR="009149D5" w:rsidRPr="009149D5">
        <w:rPr>
          <w:bCs/>
        </w:rPr>
        <w:t>prasību pirmšķietamā prettiesiskuma kontekstā nav izšķirošas nozīmes pasūtītājas paskaidrojumos birojam ietvertai frāzei.</w:t>
      </w:r>
      <w:r w:rsidR="009149D5">
        <w:rPr>
          <w:bCs/>
        </w:rPr>
        <w:t xml:space="preserve"> Savukārt tehniskajā specifikācijā ir skaidri norādīts, ka </w:t>
      </w:r>
      <w:r w:rsidR="00C861E0" w:rsidRPr="00851AE9">
        <w:t>pagraba zonas jādemontē pilnībā, izņemot konstrukcijas ar pierādītu drošību un tīrību</w:t>
      </w:r>
      <w:r w:rsidR="00C861E0">
        <w:t>. Senatoru kolēģijas ieskatā</w:t>
      </w:r>
      <w:r w:rsidR="000F087D">
        <w:t>,</w:t>
      </w:r>
      <w:r w:rsidR="00C861E0">
        <w:t xml:space="preserve"> šāda prasība ir pietiekami skaidra – jādemontē visas pagraba zonas konstrukcijas, izņemot tādas, kurām tiek pierādīta gan drošība, gan tīrība.</w:t>
      </w:r>
    </w:p>
    <w:p w14:paraId="6702C02A" w14:textId="77777777" w:rsidR="009149D5" w:rsidRPr="009149D5" w:rsidRDefault="009149D5" w:rsidP="001F5456">
      <w:pPr>
        <w:spacing w:line="276" w:lineRule="auto"/>
        <w:ind w:firstLine="720"/>
        <w:jc w:val="both"/>
        <w:rPr>
          <w:rFonts w:asciiTheme="majorBidi" w:hAnsiTheme="majorBidi" w:cstheme="majorBidi"/>
        </w:rPr>
      </w:pPr>
    </w:p>
    <w:p w14:paraId="54C0A899" w14:textId="0EF15D66" w:rsidR="00D94B64" w:rsidRPr="00D94B64" w:rsidRDefault="00D94B64" w:rsidP="001F5456">
      <w:pPr>
        <w:spacing w:line="276" w:lineRule="auto"/>
        <w:ind w:firstLine="720"/>
        <w:jc w:val="both"/>
      </w:pPr>
      <w:r w:rsidRPr="009149D5">
        <w:rPr>
          <w:rFonts w:asciiTheme="majorBidi" w:hAnsiTheme="majorBidi" w:cstheme="majorBidi"/>
        </w:rPr>
        <w:t xml:space="preserve">[6] Blakus sūdzībā pārmests, ka </w:t>
      </w:r>
      <w:r w:rsidRPr="009149D5">
        <w:t>Administratīvā rajona tiesa nepamatoti atstājusi bez ievērības faktu, ka iepirkuma dokumentos nav pieejams apliecinājums pasūtītājas tiesībām slēgt strīdus iepirkuma līgumu un apmaksāt veiktos darbus. Pieteicēja vērsusi uzmanību, ka ir publiski zināms, ka projekts tiks finansēts no Eiropas Savienības fondu līdzekļiem, savukārt līgums par</w:t>
      </w:r>
      <w:r w:rsidRPr="00D94B64">
        <w:t xml:space="preserve"> šo līdzekļu piešķiršanu </w:t>
      </w:r>
      <w:r w:rsidR="009C7982">
        <w:t>esot</w:t>
      </w:r>
      <w:r w:rsidRPr="00D94B64">
        <w:t xml:space="preserve"> noslēgts ar </w:t>
      </w:r>
      <w:r w:rsidRPr="00D94B64">
        <w:rPr>
          <w:rFonts w:asciiTheme="majorBidi" w:hAnsiTheme="majorBidi" w:cstheme="majorBidi"/>
        </w:rPr>
        <w:t>Paula Stradiņa klīniskās universitātes slimnīc</w:t>
      </w:r>
      <w:r>
        <w:rPr>
          <w:rFonts w:asciiTheme="majorBidi" w:hAnsiTheme="majorBidi" w:cstheme="majorBidi"/>
        </w:rPr>
        <w:t>u, nevi</w:t>
      </w:r>
      <w:r w:rsidRPr="00D94B64">
        <w:rPr>
          <w:rFonts w:asciiTheme="majorBidi" w:hAnsiTheme="majorBidi" w:cstheme="majorBidi"/>
        </w:rPr>
        <w:t xml:space="preserve">s </w:t>
      </w:r>
      <w:r>
        <w:rPr>
          <w:rFonts w:asciiTheme="majorBidi" w:hAnsiTheme="majorBidi" w:cstheme="majorBidi"/>
        </w:rPr>
        <w:t xml:space="preserve">pasūtītāju. Tomēr šie pieteicējas argumenti nenorāda uz to, ka tiesai būtu vajadzējis par pirmšķietami prettiesisku atzīt Iepirkumu uzraudzības biroja lēmumu. Pieteicēja nav norādījusi tiesību normas, kas paredzētu, ka iepirkuma dokumentācijā pasūtītājam būtu jāpierāda savas tiesības izsludināt konkrētu iepirkumu un spēju samaksāt par iepērkamajiem pakalpojumiem. Arī senatoru kolēģija šādas tiesību normas nekonstatē. Līdz ar to šis arguments nevar būt pamats atzīt, ka tiesai vajadzēja saskatīt iepirkuma dokumentācijā paredzēto nosacījumu </w:t>
      </w:r>
      <w:r w:rsidR="00EB2AA6">
        <w:rPr>
          <w:rFonts w:asciiTheme="majorBidi" w:hAnsiTheme="majorBidi" w:cstheme="majorBidi"/>
        </w:rPr>
        <w:t xml:space="preserve">pirmšķietamu </w:t>
      </w:r>
      <w:r>
        <w:rPr>
          <w:rFonts w:asciiTheme="majorBidi" w:hAnsiTheme="majorBidi" w:cstheme="majorBidi"/>
        </w:rPr>
        <w:t>prettiesiskumu</w:t>
      </w:r>
      <w:r w:rsidR="009C7982">
        <w:rPr>
          <w:rFonts w:asciiTheme="majorBidi" w:hAnsiTheme="majorBidi" w:cstheme="majorBidi"/>
        </w:rPr>
        <w:t xml:space="preserve"> un attiecīgi apturēt biroja lēmuma darbību</w:t>
      </w:r>
      <w:r>
        <w:rPr>
          <w:rFonts w:asciiTheme="majorBidi" w:hAnsiTheme="majorBidi" w:cstheme="majorBidi"/>
        </w:rPr>
        <w:t>.</w:t>
      </w:r>
    </w:p>
    <w:p w14:paraId="436BC573" w14:textId="7E10C8D3" w:rsidR="00D94B64" w:rsidRPr="00D94B64" w:rsidRDefault="00D94B64" w:rsidP="001F5456">
      <w:pPr>
        <w:spacing w:line="276" w:lineRule="auto"/>
        <w:ind w:firstLine="720"/>
        <w:jc w:val="both"/>
        <w:rPr>
          <w:rFonts w:asciiTheme="majorBidi" w:hAnsiTheme="majorBidi" w:cstheme="majorBidi"/>
        </w:rPr>
      </w:pPr>
    </w:p>
    <w:p w14:paraId="7C7DCD47" w14:textId="5C98CA66" w:rsidR="003B2078" w:rsidRPr="00D94B64" w:rsidRDefault="003B2078" w:rsidP="001F5456">
      <w:pPr>
        <w:spacing w:line="276" w:lineRule="auto"/>
        <w:ind w:firstLine="720"/>
        <w:jc w:val="both"/>
        <w:rPr>
          <w:rFonts w:asciiTheme="majorBidi" w:hAnsiTheme="majorBidi" w:cstheme="majorBidi"/>
        </w:rPr>
      </w:pPr>
      <w:r w:rsidRPr="00D94B64">
        <w:rPr>
          <w:rFonts w:asciiTheme="majorBidi" w:eastAsiaTheme="minorHAnsi" w:hAnsiTheme="majorBidi" w:cstheme="majorBidi"/>
          <w:lang w:eastAsia="en-US"/>
        </w:rPr>
        <w:t>[</w:t>
      </w:r>
      <w:r w:rsidR="00D94B64" w:rsidRPr="00D94B64">
        <w:rPr>
          <w:rFonts w:asciiTheme="majorBidi" w:eastAsiaTheme="minorHAnsi" w:hAnsiTheme="majorBidi" w:cstheme="majorBidi"/>
          <w:lang w:eastAsia="en-US"/>
        </w:rPr>
        <w:t>7</w:t>
      </w:r>
      <w:r w:rsidRPr="00D94B64">
        <w:rPr>
          <w:rFonts w:asciiTheme="majorBidi" w:eastAsiaTheme="minorHAnsi" w:hAnsiTheme="majorBidi" w:cstheme="majorBidi"/>
          <w:lang w:eastAsia="en-US"/>
        </w:rPr>
        <w:t xml:space="preserve">] </w:t>
      </w:r>
      <w:r w:rsidRPr="00D94B64">
        <w:rPr>
          <w:rFonts w:asciiTheme="majorBidi" w:hAnsiTheme="majorBidi" w:cstheme="majorBidi"/>
        </w:rPr>
        <w:t>Apkopojot minēto, senatoru kolēģija atzīst, ka blakus sūdzība ir acīmredzami nepamatota</w:t>
      </w:r>
      <w:r w:rsidR="00D94B64">
        <w:rPr>
          <w:rFonts w:asciiTheme="majorBidi" w:hAnsiTheme="majorBidi" w:cstheme="majorBidi"/>
        </w:rPr>
        <w:t>. Tas</w:t>
      </w:r>
      <w:r w:rsidRPr="00D94B64">
        <w:rPr>
          <w:rFonts w:asciiTheme="majorBidi" w:hAnsiTheme="majorBidi" w:cstheme="majorBidi"/>
        </w:rPr>
        <w:t xml:space="preserve"> atbilstoši Administratīvā procesa likuma 320.</w:t>
      </w:r>
      <w:r w:rsidRPr="00D94B64">
        <w:rPr>
          <w:rFonts w:asciiTheme="majorBidi" w:hAnsiTheme="majorBidi" w:cstheme="majorBidi"/>
          <w:vertAlign w:val="superscript"/>
        </w:rPr>
        <w:t>1</w:t>
      </w:r>
      <w:r w:rsidRPr="00D94B64">
        <w:rPr>
          <w:rFonts w:asciiTheme="majorBidi" w:hAnsiTheme="majorBidi" w:cstheme="majorBidi"/>
        </w:rPr>
        <w:t>pantam ir pamats atteikt blakus sūdzības izskatīšanu.</w:t>
      </w:r>
    </w:p>
    <w:p w14:paraId="188291D9" w14:textId="77777777" w:rsidR="00DF3719" w:rsidRPr="00D94B64" w:rsidRDefault="00DF3719" w:rsidP="001F5456">
      <w:pPr>
        <w:spacing w:line="276" w:lineRule="auto"/>
        <w:ind w:firstLine="720"/>
        <w:jc w:val="both"/>
        <w:rPr>
          <w:rFonts w:asciiTheme="majorBidi" w:hAnsiTheme="majorBidi" w:cstheme="majorBidi"/>
        </w:rPr>
      </w:pPr>
    </w:p>
    <w:p w14:paraId="01391FFF" w14:textId="77777777" w:rsidR="003B2078" w:rsidRPr="00D94B64" w:rsidRDefault="003B2078" w:rsidP="001F5456">
      <w:pPr>
        <w:spacing w:line="276" w:lineRule="auto"/>
        <w:ind w:firstLine="720"/>
        <w:jc w:val="both"/>
        <w:rPr>
          <w:strike/>
        </w:rPr>
      </w:pPr>
      <w:r w:rsidRPr="00D94B64">
        <w:t>Pamatojoties uz Administratīvā procesa likuma 320.</w:t>
      </w:r>
      <w:r w:rsidRPr="00D94B64">
        <w:rPr>
          <w:vertAlign w:val="superscript"/>
        </w:rPr>
        <w:t>1</w:t>
      </w:r>
      <w:r w:rsidRPr="00D94B64">
        <w:t>pantu un 338.panta astoto daļu, senatoru kolēģija</w:t>
      </w:r>
    </w:p>
    <w:p w14:paraId="078D2F37" w14:textId="747F9DCD" w:rsidR="003B2078" w:rsidRPr="00D94B64" w:rsidRDefault="003B2078" w:rsidP="001F5456">
      <w:pPr>
        <w:spacing w:line="276" w:lineRule="auto"/>
        <w:jc w:val="center"/>
        <w:rPr>
          <w:b/>
        </w:rPr>
      </w:pPr>
      <w:r w:rsidRPr="00D94B64">
        <w:rPr>
          <w:b/>
        </w:rPr>
        <w:t>nolēma</w:t>
      </w:r>
    </w:p>
    <w:p w14:paraId="4E58FF96" w14:textId="77777777" w:rsidR="003B2078" w:rsidRPr="00D94B64" w:rsidRDefault="003B2078" w:rsidP="001F5456">
      <w:pPr>
        <w:spacing w:line="276" w:lineRule="auto"/>
        <w:ind w:firstLine="567"/>
        <w:jc w:val="both"/>
      </w:pPr>
    </w:p>
    <w:p w14:paraId="47520215" w14:textId="6988893A" w:rsidR="003B2078" w:rsidRDefault="003B2078" w:rsidP="001F5456">
      <w:pPr>
        <w:spacing w:line="276" w:lineRule="auto"/>
        <w:ind w:firstLine="720"/>
        <w:jc w:val="both"/>
      </w:pPr>
      <w:r w:rsidRPr="00D94B64">
        <w:rPr>
          <w:rFonts w:asciiTheme="majorBidi" w:hAnsiTheme="majorBidi" w:cstheme="majorBidi"/>
        </w:rPr>
        <w:t>atteikt izskatīt SIA „</w:t>
      </w:r>
      <w:r w:rsidR="00DF3719" w:rsidRPr="00D94B64">
        <w:rPr>
          <w:rFonts w:asciiTheme="majorBidi" w:hAnsiTheme="majorBidi" w:cstheme="majorBidi"/>
        </w:rPr>
        <w:t>Velve</w:t>
      </w:r>
      <w:r w:rsidRPr="00D94B64">
        <w:rPr>
          <w:rFonts w:asciiTheme="majorBidi" w:hAnsiTheme="majorBidi" w:cstheme="majorBidi"/>
        </w:rPr>
        <w:t>” blakus sūdzību par Administratīvās rajona tiesas 202</w:t>
      </w:r>
      <w:r w:rsidR="00DF3719" w:rsidRPr="00D94B64">
        <w:rPr>
          <w:rFonts w:asciiTheme="majorBidi" w:hAnsiTheme="majorBidi" w:cstheme="majorBidi"/>
        </w:rPr>
        <w:t>6</w:t>
      </w:r>
      <w:r w:rsidRPr="00D94B64">
        <w:rPr>
          <w:rFonts w:asciiTheme="majorBidi" w:hAnsiTheme="majorBidi" w:cstheme="majorBidi"/>
        </w:rPr>
        <w:t xml:space="preserve">.gada </w:t>
      </w:r>
      <w:r w:rsidR="00DF3719" w:rsidRPr="00D94B64">
        <w:rPr>
          <w:rFonts w:asciiTheme="majorBidi" w:hAnsiTheme="majorBidi" w:cstheme="majorBidi"/>
        </w:rPr>
        <w:t>16</w:t>
      </w:r>
      <w:r w:rsidRPr="00D94B64">
        <w:rPr>
          <w:rFonts w:asciiTheme="majorBidi" w:hAnsiTheme="majorBidi" w:cstheme="majorBidi"/>
        </w:rPr>
        <w:t>.</w:t>
      </w:r>
      <w:r w:rsidR="00DF3719" w:rsidRPr="00D94B64">
        <w:rPr>
          <w:rFonts w:asciiTheme="majorBidi" w:hAnsiTheme="majorBidi" w:cstheme="majorBidi"/>
        </w:rPr>
        <w:t>marta</w:t>
      </w:r>
      <w:r w:rsidRPr="00D94B64">
        <w:rPr>
          <w:rFonts w:asciiTheme="majorBidi" w:hAnsiTheme="majorBidi" w:cstheme="majorBidi"/>
        </w:rPr>
        <w:t xml:space="preserve"> lēmumu</w:t>
      </w:r>
      <w:r w:rsidRPr="00D94B64">
        <w:t>.</w:t>
      </w:r>
    </w:p>
    <w:p w14:paraId="0C5B163D" w14:textId="77777777" w:rsidR="005E77F2" w:rsidRDefault="005E77F2" w:rsidP="001F5456">
      <w:pPr>
        <w:spacing w:line="276" w:lineRule="auto"/>
        <w:ind w:firstLine="720"/>
        <w:jc w:val="both"/>
      </w:pPr>
    </w:p>
    <w:p w14:paraId="5AAE4ADB" w14:textId="77777777" w:rsidR="003B2078" w:rsidRDefault="003B2078" w:rsidP="001F5456">
      <w:pPr>
        <w:spacing w:line="276" w:lineRule="auto"/>
        <w:ind w:firstLine="720"/>
        <w:jc w:val="both"/>
      </w:pPr>
      <w:r w:rsidRPr="00D94B64">
        <w:t>Lēmums nav pārsūdzams.</w:t>
      </w:r>
    </w:p>
    <w:p w14:paraId="3FB0D3B7" w14:textId="77777777" w:rsidR="000F087D" w:rsidRPr="00D94B64" w:rsidRDefault="000F087D" w:rsidP="001F5456">
      <w:pPr>
        <w:spacing w:line="276" w:lineRule="auto"/>
        <w:ind w:firstLine="567"/>
        <w:jc w:val="both"/>
      </w:pPr>
    </w:p>
    <w:p w14:paraId="6B7AA24D" w14:textId="77777777" w:rsidR="003B2078" w:rsidRPr="00D94B64" w:rsidRDefault="003B2078" w:rsidP="001F5456">
      <w:pPr>
        <w:spacing w:line="276" w:lineRule="auto"/>
        <w:ind w:firstLine="567"/>
        <w:jc w:val="both"/>
        <w:rPr>
          <w:bCs/>
        </w:rPr>
      </w:pPr>
    </w:p>
    <w:p w14:paraId="5AB14FA5" w14:textId="77777777" w:rsidR="003B2078" w:rsidRPr="00D94B64" w:rsidRDefault="003B2078" w:rsidP="001F5456">
      <w:pPr>
        <w:spacing w:line="276" w:lineRule="auto"/>
        <w:ind w:firstLine="567"/>
        <w:jc w:val="both"/>
        <w:rPr>
          <w:bCs/>
        </w:rPr>
      </w:pPr>
    </w:p>
    <w:p w14:paraId="1949F70A" w14:textId="77777777" w:rsidR="003B2078" w:rsidRPr="00D94B64" w:rsidRDefault="003B2078" w:rsidP="001F5456">
      <w:pPr>
        <w:tabs>
          <w:tab w:val="center" w:pos="1276"/>
          <w:tab w:val="center" w:pos="4678"/>
          <w:tab w:val="center" w:pos="8080"/>
        </w:tabs>
        <w:spacing w:line="276" w:lineRule="auto"/>
        <w:jc w:val="both"/>
        <w:rPr>
          <w:color w:val="000000"/>
        </w:rPr>
      </w:pPr>
    </w:p>
    <w:p w14:paraId="59EB0A43" w14:textId="042293F4" w:rsidR="003A62BD" w:rsidRPr="00D94B64" w:rsidRDefault="003B2078" w:rsidP="001F5456">
      <w:pPr>
        <w:tabs>
          <w:tab w:val="center" w:pos="1276"/>
          <w:tab w:val="center" w:pos="4395"/>
          <w:tab w:val="center" w:pos="8080"/>
        </w:tabs>
        <w:spacing w:line="276" w:lineRule="auto"/>
        <w:jc w:val="both"/>
      </w:pPr>
      <w:r w:rsidRPr="00D94B64">
        <w:rPr>
          <w:color w:val="000000"/>
        </w:rPr>
        <w:tab/>
        <w:t>Senatore I. Višķere</w:t>
      </w:r>
      <w:r w:rsidRPr="00D94B64">
        <w:rPr>
          <w:color w:val="000000"/>
        </w:rPr>
        <w:tab/>
        <w:t>Senators E.</w:t>
      </w:r>
      <w:r w:rsidR="005E77F2">
        <w:rPr>
          <w:color w:val="000000"/>
        </w:rPr>
        <w:t> </w:t>
      </w:r>
      <w:r w:rsidRPr="00D94B64">
        <w:rPr>
          <w:color w:val="000000"/>
        </w:rPr>
        <w:t>Darapoļskis</w:t>
      </w:r>
      <w:r w:rsidRPr="00D94B64">
        <w:rPr>
          <w:color w:val="000000"/>
        </w:rPr>
        <w:tab/>
        <w:t>Senatore D.</w:t>
      </w:r>
      <w:r w:rsidR="005E77F2">
        <w:rPr>
          <w:color w:val="000000"/>
        </w:rPr>
        <w:t> </w:t>
      </w:r>
      <w:r w:rsidRPr="00D94B64">
        <w:rPr>
          <w:color w:val="000000"/>
        </w:rPr>
        <w:t>Makarova</w:t>
      </w:r>
    </w:p>
    <w:sectPr w:rsidR="003A62BD" w:rsidRPr="00D94B64" w:rsidSect="005E77F2">
      <w:footerReference w:type="default" r:id="rId9"/>
      <w:pgSz w:w="11906" w:h="16838" w:code="9"/>
      <w:pgMar w:top="1134" w:right="170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9D652" w14:textId="77777777" w:rsidR="00712E5E" w:rsidRDefault="00712E5E">
      <w:r>
        <w:separator/>
      </w:r>
    </w:p>
  </w:endnote>
  <w:endnote w:type="continuationSeparator" w:id="0">
    <w:p w14:paraId="4FDF8FF4" w14:textId="77777777" w:rsidR="00712E5E" w:rsidRDefault="00712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Noto Serif">
    <w:charset w:val="00"/>
    <w:family w:val="roman"/>
    <w:pitch w:val="variable"/>
    <w:sig w:usb0="E00002FF" w:usb1="500078FF" w:usb2="00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ABE92" w14:textId="0B2BD3AA" w:rsidR="003B2078" w:rsidRPr="009F7ACE" w:rsidRDefault="003B2078" w:rsidP="009F7ACE">
    <w:pPr>
      <w:pStyle w:val="Footer"/>
      <w:jc w:val="center"/>
      <w:rPr>
        <w:sz w:val="20"/>
        <w:szCs w:val="20"/>
      </w:rPr>
    </w:pPr>
    <w:r>
      <w:rPr>
        <w:rStyle w:val="PageNumber"/>
        <w:rFonts w:eastAsiaTheme="majorEastAsia"/>
        <w:sz w:val="20"/>
        <w:szCs w:val="20"/>
      </w:rPr>
      <w:fldChar w:fldCharType="begin"/>
    </w:r>
    <w:r>
      <w:rPr>
        <w:rStyle w:val="PageNumber"/>
        <w:rFonts w:eastAsiaTheme="majorEastAsia"/>
        <w:sz w:val="20"/>
        <w:szCs w:val="20"/>
      </w:rPr>
      <w:instrText xml:space="preserve">PAGE  </w:instrText>
    </w:r>
    <w:r>
      <w:rPr>
        <w:rStyle w:val="PageNumber"/>
        <w:rFonts w:eastAsiaTheme="majorEastAsia"/>
        <w:sz w:val="20"/>
        <w:szCs w:val="20"/>
      </w:rPr>
      <w:fldChar w:fldCharType="separate"/>
    </w:r>
    <w:r>
      <w:rPr>
        <w:rStyle w:val="PageNumber"/>
        <w:rFonts w:eastAsiaTheme="majorEastAsia"/>
        <w:sz w:val="20"/>
        <w:szCs w:val="20"/>
      </w:rPr>
      <w:t>1</w:t>
    </w:r>
    <w:r>
      <w:rPr>
        <w:rStyle w:val="PageNumber"/>
        <w:rFonts w:eastAsiaTheme="majorEastAsia"/>
        <w:sz w:val="20"/>
        <w:szCs w:val="20"/>
      </w:rPr>
      <w:fldChar w:fldCharType="end"/>
    </w:r>
    <w:r>
      <w:rPr>
        <w:rStyle w:val="PageNumber"/>
        <w:rFonts w:eastAsiaTheme="majorEastAsia"/>
        <w:sz w:val="20"/>
        <w:szCs w:val="20"/>
      </w:rPr>
      <w:t xml:space="preserve"> no </w:t>
    </w:r>
    <w:r>
      <w:rPr>
        <w:rStyle w:val="PageNumber"/>
        <w:rFonts w:eastAsiaTheme="majorEastAsia"/>
        <w:noProof/>
        <w:sz w:val="20"/>
        <w:szCs w:val="20"/>
      </w:rPr>
      <w:fldChar w:fldCharType="begin"/>
    </w:r>
    <w:r>
      <w:rPr>
        <w:rStyle w:val="PageNumber"/>
        <w:rFonts w:eastAsiaTheme="majorEastAsia"/>
        <w:noProof/>
        <w:sz w:val="20"/>
        <w:szCs w:val="20"/>
      </w:rPr>
      <w:instrText xml:space="preserve"> SECTIONPAGES   \* MERGEFORMAT </w:instrText>
    </w:r>
    <w:r>
      <w:rPr>
        <w:rStyle w:val="PageNumber"/>
        <w:rFonts w:eastAsiaTheme="majorEastAsia"/>
        <w:noProof/>
        <w:sz w:val="20"/>
        <w:szCs w:val="20"/>
      </w:rPr>
      <w:fldChar w:fldCharType="separate"/>
    </w:r>
    <w:r w:rsidR="00712E5E">
      <w:rPr>
        <w:rStyle w:val="PageNumber"/>
        <w:rFonts w:eastAsiaTheme="majorEastAsia"/>
        <w:noProof/>
        <w:sz w:val="20"/>
        <w:szCs w:val="20"/>
      </w:rPr>
      <w:t>1</w:t>
    </w:r>
    <w:r>
      <w:rPr>
        <w:rStyle w:val="PageNumber"/>
        <w:rFonts w:eastAsiaTheme="majorEastAsia"/>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0E530" w14:textId="77777777" w:rsidR="00712E5E" w:rsidRDefault="00712E5E">
      <w:r>
        <w:separator/>
      </w:r>
    </w:p>
  </w:footnote>
  <w:footnote w:type="continuationSeparator" w:id="0">
    <w:p w14:paraId="7E11AC24" w14:textId="77777777" w:rsidR="00712E5E" w:rsidRDefault="00712E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E80422"/>
    <w:multiLevelType w:val="multilevel"/>
    <w:tmpl w:val="E870C69C"/>
    <w:lvl w:ilvl="0">
      <w:start w:val="5"/>
      <w:numFmt w:val="decimal"/>
      <w:lvlText w:val="%1."/>
      <w:lvlJc w:val="left"/>
      <w:pPr>
        <w:ind w:left="612" w:hanging="612"/>
      </w:pPr>
      <w:rPr>
        <w:rFonts w:hint="default"/>
      </w:rPr>
    </w:lvl>
    <w:lvl w:ilvl="1">
      <w:start w:val="1"/>
      <w:numFmt w:val="decimal"/>
      <w:lvlText w:val="%1.%2."/>
      <w:lvlJc w:val="left"/>
      <w:pPr>
        <w:ind w:left="720" w:hanging="720"/>
      </w:pPr>
      <w:rPr>
        <w:rFonts w:hint="default"/>
        <w:b w:val="0"/>
        <w:bCs/>
        <w:color w:val="auto"/>
      </w:rPr>
    </w:lvl>
    <w:lvl w:ilvl="2">
      <w:start w:val="1"/>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b w:val="0"/>
        <w:bCs w:val="0"/>
        <w:color w:val="auto"/>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946038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078"/>
    <w:rsid w:val="000008C7"/>
    <w:rsid w:val="000121B3"/>
    <w:rsid w:val="00023E24"/>
    <w:rsid w:val="00031BE1"/>
    <w:rsid w:val="00033350"/>
    <w:rsid w:val="00053640"/>
    <w:rsid w:val="00060452"/>
    <w:rsid w:val="000B411F"/>
    <w:rsid w:val="000C6A65"/>
    <w:rsid w:val="000D272D"/>
    <w:rsid w:val="000D63E5"/>
    <w:rsid w:val="000F087D"/>
    <w:rsid w:val="00104980"/>
    <w:rsid w:val="00106854"/>
    <w:rsid w:val="0011642D"/>
    <w:rsid w:val="00117CC9"/>
    <w:rsid w:val="001206A5"/>
    <w:rsid w:val="0012467B"/>
    <w:rsid w:val="00132F0E"/>
    <w:rsid w:val="00137DA0"/>
    <w:rsid w:val="00162AF9"/>
    <w:rsid w:val="00166837"/>
    <w:rsid w:val="00193594"/>
    <w:rsid w:val="001A68A3"/>
    <w:rsid w:val="001B1243"/>
    <w:rsid w:val="001F5456"/>
    <w:rsid w:val="002011E0"/>
    <w:rsid w:val="002041FB"/>
    <w:rsid w:val="00204A23"/>
    <w:rsid w:val="00211EBA"/>
    <w:rsid w:val="00221428"/>
    <w:rsid w:val="00246DF3"/>
    <w:rsid w:val="002534AF"/>
    <w:rsid w:val="00275CBC"/>
    <w:rsid w:val="002824C0"/>
    <w:rsid w:val="0029195F"/>
    <w:rsid w:val="00295B71"/>
    <w:rsid w:val="002B272E"/>
    <w:rsid w:val="002D5992"/>
    <w:rsid w:val="002F1D3C"/>
    <w:rsid w:val="002F3980"/>
    <w:rsid w:val="00310A21"/>
    <w:rsid w:val="003458A9"/>
    <w:rsid w:val="00350024"/>
    <w:rsid w:val="00363A42"/>
    <w:rsid w:val="00395266"/>
    <w:rsid w:val="00395F9C"/>
    <w:rsid w:val="003A120A"/>
    <w:rsid w:val="003A62BD"/>
    <w:rsid w:val="003B2078"/>
    <w:rsid w:val="003B2FDD"/>
    <w:rsid w:val="003D6616"/>
    <w:rsid w:val="003D6D83"/>
    <w:rsid w:val="003E54FC"/>
    <w:rsid w:val="003E5F7F"/>
    <w:rsid w:val="003E6B73"/>
    <w:rsid w:val="003F4FF5"/>
    <w:rsid w:val="003F562C"/>
    <w:rsid w:val="00440DA6"/>
    <w:rsid w:val="004477EE"/>
    <w:rsid w:val="00467A3C"/>
    <w:rsid w:val="004A1487"/>
    <w:rsid w:val="004A664D"/>
    <w:rsid w:val="004A7A55"/>
    <w:rsid w:val="004C7B4C"/>
    <w:rsid w:val="004E4459"/>
    <w:rsid w:val="004F1A61"/>
    <w:rsid w:val="004F6B64"/>
    <w:rsid w:val="00500E3E"/>
    <w:rsid w:val="00502A51"/>
    <w:rsid w:val="00517B32"/>
    <w:rsid w:val="00534898"/>
    <w:rsid w:val="00552004"/>
    <w:rsid w:val="00570602"/>
    <w:rsid w:val="005900B5"/>
    <w:rsid w:val="00596D32"/>
    <w:rsid w:val="005B5D12"/>
    <w:rsid w:val="005B70C4"/>
    <w:rsid w:val="005C4766"/>
    <w:rsid w:val="005E3E86"/>
    <w:rsid w:val="005E77F2"/>
    <w:rsid w:val="005F1857"/>
    <w:rsid w:val="005F26D9"/>
    <w:rsid w:val="00603744"/>
    <w:rsid w:val="0061024E"/>
    <w:rsid w:val="006110B3"/>
    <w:rsid w:val="00623291"/>
    <w:rsid w:val="00630D27"/>
    <w:rsid w:val="00635EA5"/>
    <w:rsid w:val="0064272D"/>
    <w:rsid w:val="00676866"/>
    <w:rsid w:val="00681355"/>
    <w:rsid w:val="006974F1"/>
    <w:rsid w:val="006B5207"/>
    <w:rsid w:val="006C1816"/>
    <w:rsid w:val="006D38D2"/>
    <w:rsid w:val="006E444A"/>
    <w:rsid w:val="006E5DD9"/>
    <w:rsid w:val="006F15A6"/>
    <w:rsid w:val="006F2B11"/>
    <w:rsid w:val="00705D8E"/>
    <w:rsid w:val="00712E5E"/>
    <w:rsid w:val="00716C36"/>
    <w:rsid w:val="0073223D"/>
    <w:rsid w:val="00733DA3"/>
    <w:rsid w:val="007371B2"/>
    <w:rsid w:val="00744022"/>
    <w:rsid w:val="00755741"/>
    <w:rsid w:val="00764380"/>
    <w:rsid w:val="007714F2"/>
    <w:rsid w:val="00783DB5"/>
    <w:rsid w:val="00792B45"/>
    <w:rsid w:val="00793CF5"/>
    <w:rsid w:val="0079536D"/>
    <w:rsid w:val="007B602D"/>
    <w:rsid w:val="007C0FC7"/>
    <w:rsid w:val="007C5759"/>
    <w:rsid w:val="007D4473"/>
    <w:rsid w:val="007D53E6"/>
    <w:rsid w:val="007F05B1"/>
    <w:rsid w:val="008210BA"/>
    <w:rsid w:val="00831577"/>
    <w:rsid w:val="00835D35"/>
    <w:rsid w:val="00841CFA"/>
    <w:rsid w:val="00846F99"/>
    <w:rsid w:val="0085148D"/>
    <w:rsid w:val="00851C72"/>
    <w:rsid w:val="00875C91"/>
    <w:rsid w:val="0087600F"/>
    <w:rsid w:val="008832BE"/>
    <w:rsid w:val="00891284"/>
    <w:rsid w:val="00893442"/>
    <w:rsid w:val="00896635"/>
    <w:rsid w:val="008A56D6"/>
    <w:rsid w:val="008C2F57"/>
    <w:rsid w:val="008C56FA"/>
    <w:rsid w:val="008D18FA"/>
    <w:rsid w:val="008D2107"/>
    <w:rsid w:val="008F456D"/>
    <w:rsid w:val="008F50B0"/>
    <w:rsid w:val="008F65ED"/>
    <w:rsid w:val="00904ED9"/>
    <w:rsid w:val="00905001"/>
    <w:rsid w:val="00905C97"/>
    <w:rsid w:val="00910D4F"/>
    <w:rsid w:val="009149D5"/>
    <w:rsid w:val="00932A7F"/>
    <w:rsid w:val="00932EB8"/>
    <w:rsid w:val="00934B56"/>
    <w:rsid w:val="00937368"/>
    <w:rsid w:val="0095381A"/>
    <w:rsid w:val="009650E4"/>
    <w:rsid w:val="00991BE2"/>
    <w:rsid w:val="009A2D28"/>
    <w:rsid w:val="009C486D"/>
    <w:rsid w:val="009C7982"/>
    <w:rsid w:val="009D7F6E"/>
    <w:rsid w:val="009E0962"/>
    <w:rsid w:val="009E570D"/>
    <w:rsid w:val="009E65B4"/>
    <w:rsid w:val="009F3BD2"/>
    <w:rsid w:val="009F562C"/>
    <w:rsid w:val="00A006B3"/>
    <w:rsid w:val="00A059D4"/>
    <w:rsid w:val="00A16F02"/>
    <w:rsid w:val="00A4120A"/>
    <w:rsid w:val="00A473DF"/>
    <w:rsid w:val="00A50BE3"/>
    <w:rsid w:val="00A55566"/>
    <w:rsid w:val="00A619C5"/>
    <w:rsid w:val="00A624A9"/>
    <w:rsid w:val="00A6289F"/>
    <w:rsid w:val="00A67B56"/>
    <w:rsid w:val="00A70D0B"/>
    <w:rsid w:val="00A734B6"/>
    <w:rsid w:val="00A76D4B"/>
    <w:rsid w:val="00A87800"/>
    <w:rsid w:val="00A90DDC"/>
    <w:rsid w:val="00A92D54"/>
    <w:rsid w:val="00A95D8C"/>
    <w:rsid w:val="00AA3F16"/>
    <w:rsid w:val="00AA45B3"/>
    <w:rsid w:val="00AB46FF"/>
    <w:rsid w:val="00AB54CB"/>
    <w:rsid w:val="00AB61CD"/>
    <w:rsid w:val="00AB7520"/>
    <w:rsid w:val="00AD113E"/>
    <w:rsid w:val="00AE084F"/>
    <w:rsid w:val="00AE52C8"/>
    <w:rsid w:val="00AE5384"/>
    <w:rsid w:val="00AE5E9E"/>
    <w:rsid w:val="00AF0A91"/>
    <w:rsid w:val="00AF1433"/>
    <w:rsid w:val="00B01F04"/>
    <w:rsid w:val="00B07A9C"/>
    <w:rsid w:val="00B13354"/>
    <w:rsid w:val="00B24F2D"/>
    <w:rsid w:val="00B30710"/>
    <w:rsid w:val="00B46875"/>
    <w:rsid w:val="00B62D1D"/>
    <w:rsid w:val="00B94110"/>
    <w:rsid w:val="00BA1CFC"/>
    <w:rsid w:val="00BA26B9"/>
    <w:rsid w:val="00BD0BF4"/>
    <w:rsid w:val="00BD1836"/>
    <w:rsid w:val="00BE1F08"/>
    <w:rsid w:val="00BE5255"/>
    <w:rsid w:val="00C11543"/>
    <w:rsid w:val="00C1517E"/>
    <w:rsid w:val="00C20549"/>
    <w:rsid w:val="00C21789"/>
    <w:rsid w:val="00C27114"/>
    <w:rsid w:val="00C31141"/>
    <w:rsid w:val="00C31BA5"/>
    <w:rsid w:val="00C47E37"/>
    <w:rsid w:val="00C55D98"/>
    <w:rsid w:val="00C61ACF"/>
    <w:rsid w:val="00C861E0"/>
    <w:rsid w:val="00C9219A"/>
    <w:rsid w:val="00CB35B6"/>
    <w:rsid w:val="00CB6D52"/>
    <w:rsid w:val="00CC1958"/>
    <w:rsid w:val="00CC4D35"/>
    <w:rsid w:val="00CD10A9"/>
    <w:rsid w:val="00CD2D32"/>
    <w:rsid w:val="00CD43ED"/>
    <w:rsid w:val="00CF571D"/>
    <w:rsid w:val="00D1777D"/>
    <w:rsid w:val="00D243E2"/>
    <w:rsid w:val="00D44F08"/>
    <w:rsid w:val="00D50AAB"/>
    <w:rsid w:val="00D5112C"/>
    <w:rsid w:val="00D540A4"/>
    <w:rsid w:val="00D558DC"/>
    <w:rsid w:val="00D709D3"/>
    <w:rsid w:val="00D776F9"/>
    <w:rsid w:val="00D813D6"/>
    <w:rsid w:val="00D94B64"/>
    <w:rsid w:val="00DC2A81"/>
    <w:rsid w:val="00DC49D0"/>
    <w:rsid w:val="00DD4ED3"/>
    <w:rsid w:val="00DE09D7"/>
    <w:rsid w:val="00DF0276"/>
    <w:rsid w:val="00DF3719"/>
    <w:rsid w:val="00E01C3C"/>
    <w:rsid w:val="00E02F7C"/>
    <w:rsid w:val="00E03A29"/>
    <w:rsid w:val="00E05E28"/>
    <w:rsid w:val="00E10C62"/>
    <w:rsid w:val="00E10F6C"/>
    <w:rsid w:val="00E16FDF"/>
    <w:rsid w:val="00E17DB5"/>
    <w:rsid w:val="00E6682D"/>
    <w:rsid w:val="00E7588A"/>
    <w:rsid w:val="00E760B4"/>
    <w:rsid w:val="00EB2AA6"/>
    <w:rsid w:val="00EC512D"/>
    <w:rsid w:val="00EE1B56"/>
    <w:rsid w:val="00EF70C2"/>
    <w:rsid w:val="00EF7A14"/>
    <w:rsid w:val="00F009FF"/>
    <w:rsid w:val="00F01428"/>
    <w:rsid w:val="00F306FD"/>
    <w:rsid w:val="00F34FB5"/>
    <w:rsid w:val="00F46594"/>
    <w:rsid w:val="00F47554"/>
    <w:rsid w:val="00F523A7"/>
    <w:rsid w:val="00F67EE5"/>
    <w:rsid w:val="00F70BE8"/>
    <w:rsid w:val="00F73CBD"/>
    <w:rsid w:val="00F82B1E"/>
    <w:rsid w:val="00FC0BB3"/>
    <w:rsid w:val="00FC2210"/>
    <w:rsid w:val="00FC5578"/>
    <w:rsid w:val="00FE32A3"/>
    <w:rsid w:val="00FE72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2331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078"/>
    <w:pPr>
      <w:spacing w:after="0" w:line="240" w:lineRule="auto"/>
    </w:pPr>
    <w:rPr>
      <w:rFonts w:eastAsia="Times New Roman" w:cs="Times New Roman"/>
      <w:kern w:val="0"/>
      <w:szCs w:val="24"/>
      <w:lang w:val="lv-LV" w:eastAsia="ru-RU"/>
      <w14:ligatures w14:val="none"/>
    </w:rPr>
  </w:style>
  <w:style w:type="paragraph" w:styleId="Heading1">
    <w:name w:val="heading 1"/>
    <w:basedOn w:val="Normal"/>
    <w:next w:val="Normal"/>
    <w:link w:val="Heading1Char"/>
    <w:uiPriority w:val="9"/>
    <w:qFormat/>
    <w:rsid w:val="003B20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B20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B2078"/>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B207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B207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B207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B207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B207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B207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207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B207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B207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B207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B207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B207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B207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B207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B207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B207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20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207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207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B2078"/>
    <w:pPr>
      <w:spacing w:before="160"/>
      <w:jc w:val="center"/>
    </w:pPr>
    <w:rPr>
      <w:i/>
      <w:iCs/>
      <w:color w:val="404040" w:themeColor="text1" w:themeTint="BF"/>
    </w:rPr>
  </w:style>
  <w:style w:type="character" w:customStyle="1" w:styleId="QuoteChar">
    <w:name w:val="Quote Char"/>
    <w:basedOn w:val="DefaultParagraphFont"/>
    <w:link w:val="Quote"/>
    <w:uiPriority w:val="29"/>
    <w:rsid w:val="003B2078"/>
    <w:rPr>
      <w:i/>
      <w:iCs/>
      <w:color w:val="404040" w:themeColor="text1" w:themeTint="BF"/>
    </w:rPr>
  </w:style>
  <w:style w:type="paragraph" w:styleId="ListParagraph">
    <w:name w:val="List Paragraph"/>
    <w:aliases w:val="H&amp;P List Paragraph,2,Akapit z listą BS,Bullet 1,Bullet Points,Dot pt,F5 List Paragraph,IFCL - List Paragraph,Indicator Text,List Paragraph Char Char Char,List Paragraph1,List Paragraph12,MAIN CONTENT,Numbered Para 1,OBC Bullet,Strip,List1"/>
    <w:basedOn w:val="Normal"/>
    <w:link w:val="ListParagraphChar"/>
    <w:uiPriority w:val="34"/>
    <w:qFormat/>
    <w:rsid w:val="003B2078"/>
    <w:pPr>
      <w:ind w:left="720"/>
      <w:contextualSpacing/>
    </w:pPr>
  </w:style>
  <w:style w:type="character" w:styleId="IntenseEmphasis">
    <w:name w:val="Intense Emphasis"/>
    <w:basedOn w:val="DefaultParagraphFont"/>
    <w:uiPriority w:val="21"/>
    <w:qFormat/>
    <w:rsid w:val="003B2078"/>
    <w:rPr>
      <w:i/>
      <w:iCs/>
      <w:color w:val="2F5496" w:themeColor="accent1" w:themeShade="BF"/>
    </w:rPr>
  </w:style>
  <w:style w:type="paragraph" w:styleId="IntenseQuote">
    <w:name w:val="Intense Quote"/>
    <w:basedOn w:val="Normal"/>
    <w:next w:val="Normal"/>
    <w:link w:val="IntenseQuoteChar"/>
    <w:uiPriority w:val="30"/>
    <w:qFormat/>
    <w:rsid w:val="003B20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B2078"/>
    <w:rPr>
      <w:i/>
      <w:iCs/>
      <w:color w:val="2F5496" w:themeColor="accent1" w:themeShade="BF"/>
    </w:rPr>
  </w:style>
  <w:style w:type="character" w:styleId="IntenseReference">
    <w:name w:val="Intense Reference"/>
    <w:basedOn w:val="DefaultParagraphFont"/>
    <w:uiPriority w:val="32"/>
    <w:qFormat/>
    <w:rsid w:val="003B2078"/>
    <w:rPr>
      <w:b/>
      <w:bCs/>
      <w:smallCaps/>
      <w:color w:val="2F5496" w:themeColor="accent1" w:themeShade="BF"/>
      <w:spacing w:val="5"/>
    </w:rPr>
  </w:style>
  <w:style w:type="paragraph" w:styleId="Header">
    <w:name w:val="header"/>
    <w:basedOn w:val="Normal"/>
    <w:link w:val="HeaderChar"/>
    <w:uiPriority w:val="99"/>
    <w:unhideWhenUsed/>
    <w:rsid w:val="003B2078"/>
    <w:pPr>
      <w:tabs>
        <w:tab w:val="center" w:pos="4513"/>
        <w:tab w:val="right" w:pos="9026"/>
      </w:tabs>
    </w:pPr>
  </w:style>
  <w:style w:type="character" w:customStyle="1" w:styleId="HeaderChar">
    <w:name w:val="Header Char"/>
    <w:basedOn w:val="DefaultParagraphFont"/>
    <w:link w:val="Header"/>
    <w:uiPriority w:val="99"/>
    <w:rsid w:val="003B2078"/>
    <w:rPr>
      <w:rFonts w:eastAsia="Times New Roman" w:cs="Times New Roman"/>
      <w:kern w:val="0"/>
      <w:szCs w:val="24"/>
      <w:lang w:val="lv-LV" w:eastAsia="ru-RU"/>
      <w14:ligatures w14:val="none"/>
    </w:rPr>
  </w:style>
  <w:style w:type="paragraph" w:styleId="Footer">
    <w:name w:val="footer"/>
    <w:basedOn w:val="Normal"/>
    <w:link w:val="FooterChar"/>
    <w:unhideWhenUsed/>
    <w:rsid w:val="003B2078"/>
    <w:pPr>
      <w:tabs>
        <w:tab w:val="center" w:pos="4513"/>
        <w:tab w:val="right" w:pos="9026"/>
      </w:tabs>
    </w:pPr>
  </w:style>
  <w:style w:type="character" w:customStyle="1" w:styleId="FooterChar">
    <w:name w:val="Footer Char"/>
    <w:basedOn w:val="DefaultParagraphFont"/>
    <w:link w:val="Footer"/>
    <w:rsid w:val="003B2078"/>
    <w:rPr>
      <w:rFonts w:eastAsia="Times New Roman" w:cs="Times New Roman"/>
      <w:kern w:val="0"/>
      <w:szCs w:val="24"/>
      <w:lang w:val="lv-LV" w:eastAsia="ru-RU"/>
      <w14:ligatures w14:val="none"/>
    </w:rPr>
  </w:style>
  <w:style w:type="character" w:styleId="PageNumber">
    <w:name w:val="page number"/>
    <w:basedOn w:val="DefaultParagraphFont"/>
    <w:semiHidden/>
    <w:unhideWhenUsed/>
    <w:rsid w:val="003B2078"/>
  </w:style>
  <w:style w:type="character" w:styleId="Hyperlink">
    <w:name w:val="Hyperlink"/>
    <w:basedOn w:val="DefaultParagraphFont"/>
    <w:uiPriority w:val="99"/>
    <w:unhideWhenUsed/>
    <w:rsid w:val="003B2078"/>
    <w:rPr>
      <w:color w:val="0563C1" w:themeColor="hyperlink"/>
      <w:u w:val="single"/>
    </w:rPr>
  </w:style>
  <w:style w:type="character" w:styleId="UnresolvedMention">
    <w:name w:val="Unresolved Mention"/>
    <w:basedOn w:val="DefaultParagraphFont"/>
    <w:uiPriority w:val="99"/>
    <w:semiHidden/>
    <w:unhideWhenUsed/>
    <w:rsid w:val="009A2D28"/>
    <w:rPr>
      <w:color w:val="605E5C"/>
      <w:shd w:val="clear" w:color="auto" w:fill="E1DFDD"/>
    </w:rPr>
  </w:style>
  <w:style w:type="character" w:customStyle="1" w:styleId="ListParagraphChar">
    <w:name w:val="List Paragraph Char"/>
    <w:aliases w:val="H&amp;P List Paragraph Char,2 Char,Akapit z listą BS Char,Bullet 1 Char,Bullet Points Char,Dot pt Char,F5 List Paragraph Char,IFCL - List Paragraph Char,Indicator Text Char,List Paragraph Char Char Char Char,List Paragraph1 Char"/>
    <w:link w:val="ListParagraph"/>
    <w:uiPriority w:val="34"/>
    <w:qFormat/>
    <w:locked/>
    <w:rsid w:val="00C861E0"/>
    <w:rPr>
      <w:rFonts w:eastAsia="Times New Roman" w:cs="Times New Roman"/>
      <w:kern w:val="0"/>
      <w:szCs w:val="24"/>
      <w:lang w:val="lv-LV" w:eastAsia="ru-RU"/>
      <w14:ligatures w14:val="none"/>
    </w:rPr>
  </w:style>
  <w:style w:type="paragraph" w:styleId="Revision">
    <w:name w:val="Revision"/>
    <w:hidden/>
    <w:uiPriority w:val="99"/>
    <w:semiHidden/>
    <w:rsid w:val="0073223D"/>
    <w:pPr>
      <w:spacing w:after="0" w:line="240" w:lineRule="auto"/>
    </w:pPr>
    <w:rPr>
      <w:rFonts w:eastAsia="Times New Roman" w:cs="Times New Roman"/>
      <w:kern w:val="0"/>
      <w:szCs w:val="24"/>
      <w:lang w:val="lv-LV" w:eastAsia="ru-RU"/>
      <w14:ligatures w14:val="none"/>
    </w:rPr>
  </w:style>
  <w:style w:type="character" w:styleId="CommentReference">
    <w:name w:val="annotation reference"/>
    <w:basedOn w:val="DefaultParagraphFont"/>
    <w:uiPriority w:val="99"/>
    <w:semiHidden/>
    <w:unhideWhenUsed/>
    <w:rsid w:val="00CB35B6"/>
    <w:rPr>
      <w:sz w:val="16"/>
      <w:szCs w:val="16"/>
    </w:rPr>
  </w:style>
  <w:style w:type="paragraph" w:styleId="CommentText">
    <w:name w:val="annotation text"/>
    <w:basedOn w:val="Normal"/>
    <w:link w:val="CommentTextChar"/>
    <w:uiPriority w:val="99"/>
    <w:semiHidden/>
    <w:unhideWhenUsed/>
    <w:rsid w:val="00CB35B6"/>
    <w:rPr>
      <w:sz w:val="20"/>
      <w:szCs w:val="20"/>
    </w:rPr>
  </w:style>
  <w:style w:type="character" w:customStyle="1" w:styleId="CommentTextChar">
    <w:name w:val="Comment Text Char"/>
    <w:basedOn w:val="DefaultParagraphFont"/>
    <w:link w:val="CommentText"/>
    <w:uiPriority w:val="99"/>
    <w:semiHidden/>
    <w:rsid w:val="00CB35B6"/>
    <w:rPr>
      <w:rFonts w:eastAsia="Times New Roman" w:cs="Times New Roman"/>
      <w:kern w:val="0"/>
      <w:sz w:val="20"/>
      <w:szCs w:val="20"/>
      <w:lang w:val="lv-LV" w:eastAsia="ru-RU"/>
      <w14:ligatures w14:val="none"/>
    </w:rPr>
  </w:style>
  <w:style w:type="paragraph" w:styleId="CommentSubject">
    <w:name w:val="annotation subject"/>
    <w:basedOn w:val="CommentText"/>
    <w:next w:val="CommentText"/>
    <w:link w:val="CommentSubjectChar"/>
    <w:uiPriority w:val="99"/>
    <w:semiHidden/>
    <w:unhideWhenUsed/>
    <w:rsid w:val="00CB35B6"/>
    <w:rPr>
      <w:b/>
      <w:bCs/>
    </w:rPr>
  </w:style>
  <w:style w:type="character" w:customStyle="1" w:styleId="CommentSubjectChar">
    <w:name w:val="Comment Subject Char"/>
    <w:basedOn w:val="CommentTextChar"/>
    <w:link w:val="CommentSubject"/>
    <w:uiPriority w:val="99"/>
    <w:semiHidden/>
    <w:rsid w:val="00CB35B6"/>
    <w:rPr>
      <w:rFonts w:eastAsia="Times New Roman" w:cs="Times New Roman"/>
      <w:b/>
      <w:bCs/>
      <w:kern w:val="0"/>
      <w:sz w:val="20"/>
      <w:szCs w:val="20"/>
      <w:lang w:val="lv-LV" w:eastAsia="ru-RU"/>
      <w14:ligatures w14:val="none"/>
    </w:rPr>
  </w:style>
  <w:style w:type="paragraph" w:customStyle="1" w:styleId="Default">
    <w:name w:val="Default"/>
    <w:rsid w:val="006F15A6"/>
    <w:pPr>
      <w:autoSpaceDE w:val="0"/>
      <w:autoSpaceDN w:val="0"/>
      <w:adjustRightInd w:val="0"/>
      <w:spacing w:after="0" w:line="240" w:lineRule="auto"/>
    </w:pPr>
    <w:rPr>
      <w:rFonts w:cs="Times New Roman"/>
      <w:color w:val="000000"/>
      <w:kern w:val="0"/>
      <w:szCs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ateway.elieta.lv/api/v1/PublicMaterialDownload/625bc228-b1cb-426f-955c-1e3e1d2e90c5" TargetMode="External"/><Relationship Id="rId3" Type="http://schemas.openxmlformats.org/officeDocument/2006/relationships/settings" Target="settings.xml"/><Relationship Id="rId7" Type="http://schemas.openxmlformats.org/officeDocument/2006/relationships/hyperlink" Target="https://gateway.elieta.lv/api/v1/PublicMaterialDownload/14f021b8-9174-4278-a8d3-5fc3097cb06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8797</Words>
  <Characters>5015</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2026-09-16T12:33:00Z</dcterms:created>
  <dcterms:modified xsi:type="dcterms:W3CDTF">2026-09-16T13:01:00Z</dcterms:modified>
</cp:coreProperties>
</file>