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6DA48" w14:textId="58D33609" w:rsidR="00447EE6" w:rsidRPr="0096218E" w:rsidRDefault="00677B06" w:rsidP="0096218E">
      <w:pPr>
        <w:spacing w:line="276" w:lineRule="auto"/>
        <w:jc w:val="both"/>
        <w:rPr>
          <w:b/>
          <w:bCs/>
          <w:lang w:eastAsia="lv-LV"/>
        </w:rPr>
      </w:pPr>
      <w:r w:rsidRPr="0096218E">
        <w:rPr>
          <w:b/>
          <w:bCs/>
        </w:rPr>
        <w:t>Atklātā arhitektūras konkursa kā arhitektūras metu konkursa uzvarētāja idejas pielāgošana būvniecības ieceres (būvprojekta) izstrādes laikā</w:t>
      </w:r>
    </w:p>
    <w:p w14:paraId="55E0E475" w14:textId="17A67F70" w:rsidR="00447EE6" w:rsidRPr="0096218E" w:rsidRDefault="00447EE6" w:rsidP="0096218E">
      <w:pPr>
        <w:spacing w:before="240" w:line="276" w:lineRule="auto"/>
        <w:jc w:val="center"/>
        <w:rPr>
          <w:b/>
        </w:rPr>
      </w:pPr>
      <w:r w:rsidRPr="0096218E">
        <w:rPr>
          <w:b/>
        </w:rPr>
        <w:t>Latvijas Republikas Senāt</w:t>
      </w:r>
      <w:r w:rsidR="00677B06" w:rsidRPr="0096218E">
        <w:rPr>
          <w:b/>
        </w:rPr>
        <w:t>a</w:t>
      </w:r>
      <w:r w:rsidR="00677B06" w:rsidRPr="0096218E">
        <w:rPr>
          <w:b/>
        </w:rPr>
        <w:br/>
        <w:t>Administratīvo lietu departamenta</w:t>
      </w:r>
      <w:r w:rsidR="00677B06" w:rsidRPr="0096218E">
        <w:rPr>
          <w:b/>
        </w:rPr>
        <w:br/>
      </w:r>
      <w:r w:rsidR="0096218E" w:rsidRPr="0096218E">
        <w:rPr>
          <w:b/>
        </w:rPr>
        <w:t>2026.gad</w:t>
      </w:r>
      <w:r w:rsidR="00F57D69">
        <w:rPr>
          <w:b/>
        </w:rPr>
        <w:t>a</w:t>
      </w:r>
      <w:r w:rsidR="0096218E" w:rsidRPr="0096218E">
        <w:rPr>
          <w:b/>
        </w:rPr>
        <w:t xml:space="preserve"> </w:t>
      </w:r>
      <w:proofErr w:type="gramStart"/>
      <w:r w:rsidR="0096218E" w:rsidRPr="0096218E">
        <w:rPr>
          <w:b/>
        </w:rPr>
        <w:t>2.jūlija</w:t>
      </w:r>
      <w:proofErr w:type="gramEnd"/>
      <w:r w:rsidR="0096218E" w:rsidRPr="0096218E">
        <w:rPr>
          <w:b/>
        </w:rPr>
        <w:t xml:space="preserve"> </w:t>
      </w:r>
    </w:p>
    <w:p w14:paraId="2FA9305A" w14:textId="77777777" w:rsidR="00447EE6" w:rsidRPr="0096218E" w:rsidRDefault="000E008F" w:rsidP="0096218E">
      <w:pPr>
        <w:spacing w:line="276" w:lineRule="auto"/>
        <w:jc w:val="center"/>
        <w:rPr>
          <w:b/>
        </w:rPr>
      </w:pPr>
      <w:r w:rsidRPr="0096218E">
        <w:rPr>
          <w:b/>
        </w:rPr>
        <w:t>RĪCĪBAS SĒDES LĒMUMS</w:t>
      </w:r>
    </w:p>
    <w:p w14:paraId="0F714B1A" w14:textId="3D9F97D2" w:rsidR="0096218E" w:rsidRPr="0096218E" w:rsidRDefault="0096218E" w:rsidP="0096218E">
      <w:pPr>
        <w:spacing w:line="276" w:lineRule="auto"/>
        <w:jc w:val="center"/>
        <w:rPr>
          <w:b/>
          <w:bCs/>
        </w:rPr>
      </w:pPr>
      <w:r w:rsidRPr="0096218E">
        <w:rPr>
          <w:b/>
          <w:bCs/>
        </w:rPr>
        <w:t>Lieta Nr. </w:t>
      </w:r>
      <w:r w:rsidRPr="0096218E">
        <w:rPr>
          <w:b/>
          <w:bCs/>
          <w:lang w:eastAsia="lv-LV"/>
        </w:rPr>
        <w:t xml:space="preserve">A420132224, </w:t>
      </w:r>
      <w:r w:rsidRPr="0096218E">
        <w:rPr>
          <w:b/>
          <w:bCs/>
        </w:rPr>
        <w:t>SKA-544/2026</w:t>
      </w:r>
    </w:p>
    <w:p w14:paraId="0A9AF660" w14:textId="56814051" w:rsidR="0096218E" w:rsidRPr="0096218E" w:rsidRDefault="0096218E" w:rsidP="0096218E">
      <w:pPr>
        <w:spacing w:line="276" w:lineRule="auto"/>
        <w:jc w:val="center"/>
        <w:rPr>
          <w:bCs/>
        </w:rPr>
      </w:pPr>
      <w:r w:rsidRPr="0096218E">
        <w:t xml:space="preserve"> </w:t>
      </w:r>
      <w:hyperlink r:id="rId7" w:history="1">
        <w:r w:rsidRPr="0096218E">
          <w:rPr>
            <w:rStyle w:val="Hyperlink"/>
          </w:rPr>
          <w:t>ECLI:LV:AT:2026:0702.A420132224.13.L</w:t>
        </w:r>
      </w:hyperlink>
    </w:p>
    <w:p w14:paraId="7C7618B6" w14:textId="77777777" w:rsidR="00411CD0" w:rsidRPr="00F6065D" w:rsidRDefault="00411CD0" w:rsidP="0096218E">
      <w:pPr>
        <w:spacing w:line="276" w:lineRule="auto"/>
        <w:ind w:firstLine="720"/>
        <w:jc w:val="center"/>
      </w:pPr>
    </w:p>
    <w:p w14:paraId="599EFB19" w14:textId="688C5021" w:rsidR="00A50150" w:rsidRPr="00F6065D" w:rsidRDefault="00A50150" w:rsidP="0096218E">
      <w:pPr>
        <w:spacing w:line="276" w:lineRule="auto"/>
        <w:ind w:firstLine="720"/>
        <w:jc w:val="both"/>
        <w:rPr>
          <w:rFonts w:asciiTheme="majorBidi" w:hAnsiTheme="majorBidi" w:cstheme="majorBidi"/>
        </w:rPr>
      </w:pPr>
      <w:r w:rsidRPr="00F6065D">
        <w:rPr>
          <w:rFonts w:asciiTheme="majorBidi" w:hAnsiTheme="majorBidi" w:cstheme="majorBidi"/>
        </w:rPr>
        <w:t>[1] </w:t>
      </w:r>
      <w:proofErr w:type="gramStart"/>
      <w:r w:rsidRPr="00F6065D">
        <w:rPr>
          <w:rFonts w:asciiTheme="majorBidi" w:hAnsiTheme="majorBidi" w:cstheme="majorBidi"/>
        </w:rPr>
        <w:t xml:space="preserve">Senātā saņemta </w:t>
      </w:r>
      <w:r w:rsidR="00F30017" w:rsidRPr="00F6065D">
        <w:rPr>
          <w:rFonts w:asciiTheme="majorBidi" w:hAnsiTheme="majorBidi" w:cstheme="majorBidi"/>
        </w:rPr>
        <w:t>pieteicējas</w:t>
      </w:r>
      <w:proofErr w:type="gramEnd"/>
      <w:r w:rsidR="00F30017" w:rsidRPr="00F6065D">
        <w:rPr>
          <w:rFonts w:asciiTheme="majorBidi" w:hAnsiTheme="majorBidi" w:cstheme="majorBidi"/>
        </w:rPr>
        <w:t xml:space="preserve"> </w:t>
      </w:r>
      <w:r w:rsidR="0096218E">
        <w:rPr>
          <w:rFonts w:asciiTheme="majorBidi" w:hAnsiTheme="majorBidi" w:cstheme="majorBidi"/>
        </w:rPr>
        <w:t xml:space="preserve">[pers. A] </w:t>
      </w:r>
      <w:r w:rsidRPr="00F6065D">
        <w:rPr>
          <w:rFonts w:asciiTheme="majorBidi" w:hAnsiTheme="majorBidi" w:cstheme="majorBidi"/>
        </w:rPr>
        <w:t xml:space="preserve">kasācijas sūdzība par Administratīvās </w:t>
      </w:r>
      <w:r w:rsidR="00970C3C" w:rsidRPr="00F6065D">
        <w:rPr>
          <w:rFonts w:asciiTheme="majorBidi" w:hAnsiTheme="majorBidi" w:cstheme="majorBidi"/>
        </w:rPr>
        <w:t xml:space="preserve">apgabaltiesas </w:t>
      </w:r>
      <w:proofErr w:type="gramStart"/>
      <w:r w:rsidR="00970C3C" w:rsidRPr="00F6065D">
        <w:rPr>
          <w:rFonts w:asciiTheme="majorBidi" w:hAnsiTheme="majorBidi" w:cstheme="majorBidi"/>
        </w:rPr>
        <w:t>2026.gada</w:t>
      </w:r>
      <w:proofErr w:type="gramEnd"/>
      <w:r w:rsidR="00970C3C" w:rsidRPr="00F6065D">
        <w:rPr>
          <w:rFonts w:asciiTheme="majorBidi" w:hAnsiTheme="majorBidi" w:cstheme="majorBidi"/>
        </w:rPr>
        <w:t xml:space="preserve"> 4.februāra spriedumu, ar kuru noraidīts </w:t>
      </w:r>
      <w:r w:rsidR="00D545F5" w:rsidRPr="00F6065D">
        <w:rPr>
          <w:rFonts w:asciiTheme="majorBidi" w:hAnsiTheme="majorBidi" w:cstheme="majorBidi"/>
        </w:rPr>
        <w:t>pieteicējas</w:t>
      </w:r>
      <w:r w:rsidR="00970C3C" w:rsidRPr="00F6065D">
        <w:rPr>
          <w:rFonts w:asciiTheme="majorBidi" w:hAnsiTheme="majorBidi" w:cstheme="majorBidi"/>
        </w:rPr>
        <w:t xml:space="preserve"> pieteikums par Liepājas </w:t>
      </w:r>
      <w:proofErr w:type="spellStart"/>
      <w:r w:rsidR="00970C3C" w:rsidRPr="00F6065D">
        <w:rPr>
          <w:rFonts w:asciiTheme="majorBidi" w:hAnsiTheme="majorBidi" w:cstheme="majorBidi"/>
        </w:rPr>
        <w:t>valstspilsētas</w:t>
      </w:r>
      <w:proofErr w:type="spellEnd"/>
      <w:r w:rsidR="00970C3C" w:rsidRPr="00F6065D">
        <w:rPr>
          <w:rFonts w:asciiTheme="majorBidi" w:hAnsiTheme="majorBidi" w:cstheme="majorBidi"/>
        </w:rPr>
        <w:t xml:space="preserve"> pašvaldības domes 2024.gada 22.februāra lēmuma Nr. 51/2 „Par Liepājas būvvaldes lēmumu (būvatļauju)” (prot. Nr.</w:t>
      </w:r>
      <w:r w:rsidR="00193136">
        <w:rPr>
          <w:rFonts w:asciiTheme="majorBidi" w:hAnsiTheme="majorBidi" w:cstheme="majorBidi"/>
        </w:rPr>
        <w:t> </w:t>
      </w:r>
      <w:r w:rsidR="00970C3C" w:rsidRPr="00F6065D">
        <w:rPr>
          <w:rFonts w:asciiTheme="majorBidi" w:hAnsiTheme="majorBidi" w:cstheme="majorBidi"/>
        </w:rPr>
        <w:t>2, 19.</w:t>
      </w:r>
      <w:r w:rsidR="00193136">
        <w:rPr>
          <w:rFonts w:asciiTheme="majorBidi" w:hAnsiTheme="majorBidi" w:cstheme="majorBidi"/>
        </w:rPr>
        <w:t> </w:t>
      </w:r>
      <w:r w:rsidR="00970C3C" w:rsidRPr="00F6065D">
        <w:rPr>
          <w:rFonts w:asciiTheme="majorBidi" w:hAnsiTheme="majorBidi" w:cstheme="majorBidi"/>
        </w:rPr>
        <w:t xml:space="preserve">§) atcelšanu. </w:t>
      </w:r>
    </w:p>
    <w:p w14:paraId="70E5710E" w14:textId="7A97CC23" w:rsidR="00FC727E" w:rsidRPr="00F6065D" w:rsidRDefault="00F30017" w:rsidP="0096218E">
      <w:pPr>
        <w:spacing w:line="276" w:lineRule="auto"/>
        <w:ind w:firstLine="720"/>
        <w:jc w:val="both"/>
        <w:rPr>
          <w:rFonts w:asciiTheme="majorBidi" w:hAnsiTheme="majorBidi" w:cstheme="majorBidi"/>
        </w:rPr>
      </w:pPr>
      <w:r w:rsidRPr="00F6065D">
        <w:rPr>
          <w:rFonts w:asciiTheme="majorBidi" w:hAnsiTheme="majorBidi" w:cstheme="majorBidi"/>
        </w:rPr>
        <w:t xml:space="preserve">Apgabaltiesa atzina, ka pārsūdzētā būvatļauja ir tiesiska un tā atbilst Liepājas domes </w:t>
      </w:r>
      <w:proofErr w:type="gramStart"/>
      <w:r w:rsidRPr="00F6065D">
        <w:rPr>
          <w:rFonts w:asciiTheme="majorBidi" w:hAnsiTheme="majorBidi" w:cstheme="majorBidi"/>
        </w:rPr>
        <w:t>2012.gada</w:t>
      </w:r>
      <w:proofErr w:type="gramEnd"/>
      <w:r w:rsidRPr="00F6065D">
        <w:rPr>
          <w:rFonts w:asciiTheme="majorBidi" w:hAnsiTheme="majorBidi" w:cstheme="majorBidi"/>
        </w:rPr>
        <w:t xml:space="preserve"> 16.februāra saistošo noteikumu Nr. 8</w:t>
      </w:r>
      <w:r w:rsidR="0007523F" w:rsidRPr="00F6065D">
        <w:rPr>
          <w:rFonts w:asciiTheme="majorBidi" w:hAnsiTheme="majorBidi" w:cstheme="majorBidi"/>
        </w:rPr>
        <w:t xml:space="preserve"> </w:t>
      </w:r>
      <w:r w:rsidRPr="00F6065D">
        <w:rPr>
          <w:rFonts w:asciiTheme="majorBidi" w:hAnsiTheme="majorBidi" w:cstheme="majorBidi"/>
        </w:rPr>
        <w:t>„Liepājas pilsētas teritorijas plānojums” II</w:t>
      </w:r>
      <w:r w:rsidR="00FE6326">
        <w:rPr>
          <w:rFonts w:asciiTheme="majorBidi" w:hAnsiTheme="majorBidi" w:cstheme="majorBidi"/>
        </w:rPr>
        <w:t> </w:t>
      </w:r>
      <w:r w:rsidRPr="00F6065D">
        <w:rPr>
          <w:rFonts w:asciiTheme="majorBidi" w:hAnsiTheme="majorBidi" w:cstheme="majorBidi"/>
        </w:rPr>
        <w:t>daļa</w:t>
      </w:r>
      <w:r w:rsidR="00FC727E" w:rsidRPr="00F6065D">
        <w:rPr>
          <w:rFonts w:asciiTheme="majorBidi" w:hAnsiTheme="majorBidi" w:cstheme="majorBidi"/>
        </w:rPr>
        <w:t>s</w:t>
      </w:r>
      <w:r w:rsidRPr="00F6065D">
        <w:rPr>
          <w:rFonts w:asciiTheme="majorBidi" w:hAnsiTheme="majorBidi" w:cstheme="majorBidi"/>
        </w:rPr>
        <w:t xml:space="preserve"> „Teritorijas izmantošanas un apbūves noteikumi” (turpmāk – Apbūves noteikumi) 48.p</w:t>
      </w:r>
      <w:r w:rsidR="00FC727E" w:rsidRPr="00F6065D">
        <w:rPr>
          <w:rFonts w:asciiTheme="majorBidi" w:hAnsiTheme="majorBidi" w:cstheme="majorBidi"/>
        </w:rPr>
        <w:t>unktam</w:t>
      </w:r>
      <w:r w:rsidRPr="00F6065D">
        <w:rPr>
          <w:rFonts w:asciiTheme="majorBidi" w:hAnsiTheme="majorBidi" w:cstheme="majorBidi"/>
        </w:rPr>
        <w:t xml:space="preserve">, kas paredz iespēju atkāpties no šajos noteikumos noteiktajiem </w:t>
      </w:r>
      <w:r w:rsidR="00304A0F">
        <w:rPr>
          <w:rFonts w:asciiTheme="majorBidi" w:hAnsiTheme="majorBidi" w:cstheme="majorBidi"/>
        </w:rPr>
        <w:t xml:space="preserve">vispārējiem </w:t>
      </w:r>
      <w:r w:rsidRPr="00F6065D">
        <w:rPr>
          <w:rFonts w:asciiTheme="majorBidi" w:hAnsiTheme="majorBidi" w:cstheme="majorBidi"/>
        </w:rPr>
        <w:t>apbūves rādītājiem gadījumos, kad augstvērtīgs arhitektūras risinājums iegūts atklātā arhitektūras konkursā un būvniecības iecere ir atbalstīta, ņemot vērā publiskās apspriešanas rezultātus.</w:t>
      </w:r>
    </w:p>
    <w:p w14:paraId="2212A63C" w14:textId="3A1C9FF0" w:rsidR="00B44311" w:rsidRPr="00F6065D" w:rsidRDefault="00145D0F" w:rsidP="0096218E">
      <w:pPr>
        <w:spacing w:line="276" w:lineRule="auto"/>
        <w:ind w:firstLine="720"/>
        <w:jc w:val="both"/>
        <w:rPr>
          <w:rFonts w:asciiTheme="majorBidi" w:hAnsiTheme="majorBidi" w:cstheme="majorBidi"/>
        </w:rPr>
      </w:pPr>
      <w:r w:rsidRPr="00F6065D">
        <w:rPr>
          <w:rFonts w:asciiTheme="majorBidi" w:hAnsiTheme="majorBidi" w:cstheme="majorBidi"/>
        </w:rPr>
        <w:t xml:space="preserve">Apgabaltiesa secināja, ka </w:t>
      </w:r>
      <w:r w:rsidR="00C76AB6">
        <w:rPr>
          <w:rFonts w:asciiTheme="majorBidi" w:hAnsiTheme="majorBidi" w:cstheme="majorBidi"/>
        </w:rPr>
        <w:t xml:space="preserve">attiecībā uz strīdus būvniecības ieceri izpildās Apbūves noteikumu 48.punktā paredzētie kritēriji, kas ļauj atkāpties no vispārējiem apbūves rādītājiem. Tiesa konstatēja, ka </w:t>
      </w:r>
      <w:r w:rsidRPr="00F6065D">
        <w:rPr>
          <w:rFonts w:asciiTheme="majorBidi" w:hAnsiTheme="majorBidi" w:cstheme="majorBidi"/>
        </w:rPr>
        <w:t xml:space="preserve">būvniecības iecere </w:t>
      </w:r>
      <w:r w:rsidR="0007523F" w:rsidRPr="00F6065D">
        <w:rPr>
          <w:rFonts w:asciiTheme="majorBidi" w:hAnsiTheme="majorBidi" w:cstheme="majorBidi"/>
        </w:rPr>
        <w:t xml:space="preserve">nedaudz </w:t>
      </w:r>
      <w:r w:rsidRPr="00F6065D">
        <w:rPr>
          <w:rFonts w:asciiTheme="majorBidi" w:hAnsiTheme="majorBidi" w:cstheme="majorBidi"/>
        </w:rPr>
        <w:t xml:space="preserve">atšķiras no </w:t>
      </w:r>
      <w:r w:rsidR="00B44311" w:rsidRPr="00F6065D">
        <w:rPr>
          <w:rFonts w:asciiTheme="majorBidi" w:hAnsiTheme="majorBidi" w:cstheme="majorBidi"/>
        </w:rPr>
        <w:t>atklātā arhitektūras konkurs</w:t>
      </w:r>
      <w:r w:rsidR="00685357" w:rsidRPr="00F6065D">
        <w:rPr>
          <w:rFonts w:asciiTheme="majorBidi" w:hAnsiTheme="majorBidi" w:cstheme="majorBidi"/>
        </w:rPr>
        <w:t>a</w:t>
      </w:r>
      <w:r w:rsidR="00B44311" w:rsidRPr="00F6065D">
        <w:rPr>
          <w:rFonts w:asciiTheme="majorBidi" w:hAnsiTheme="majorBidi" w:cstheme="majorBidi"/>
        </w:rPr>
        <w:t xml:space="preserve"> uzvarētāja darbā </w:t>
      </w:r>
      <w:r w:rsidR="0007523F" w:rsidRPr="00F6065D">
        <w:rPr>
          <w:rFonts w:asciiTheme="majorBidi" w:hAnsiTheme="majorBidi" w:cstheme="majorBidi"/>
        </w:rPr>
        <w:t xml:space="preserve">– metā – </w:t>
      </w:r>
      <w:r w:rsidR="00B44311" w:rsidRPr="00F6065D">
        <w:rPr>
          <w:rFonts w:asciiTheme="majorBidi" w:hAnsiTheme="majorBidi" w:cstheme="majorBidi"/>
        </w:rPr>
        <w:t>paredzētā risinājuma (izmaiņas skar būves apjomu</w:t>
      </w:r>
      <w:r w:rsidR="00685357" w:rsidRPr="00F6065D">
        <w:rPr>
          <w:rFonts w:asciiTheme="majorBidi" w:hAnsiTheme="majorBidi" w:cstheme="majorBidi"/>
        </w:rPr>
        <w:t>,</w:t>
      </w:r>
      <w:r w:rsidR="00B44311" w:rsidRPr="00F6065D">
        <w:rPr>
          <w:rFonts w:asciiTheme="majorBidi" w:hAnsiTheme="majorBidi" w:cstheme="majorBidi"/>
        </w:rPr>
        <w:t xml:space="preserve"> augstumu</w:t>
      </w:r>
      <w:r w:rsidR="00685357" w:rsidRPr="00F6065D">
        <w:rPr>
          <w:rFonts w:asciiTheme="majorBidi" w:hAnsiTheme="majorBidi" w:cstheme="majorBidi"/>
        </w:rPr>
        <w:t xml:space="preserve"> un </w:t>
      </w:r>
      <w:proofErr w:type="spellStart"/>
      <w:r w:rsidR="00685357" w:rsidRPr="00F6065D">
        <w:rPr>
          <w:rFonts w:asciiTheme="majorBidi" w:hAnsiTheme="majorBidi" w:cstheme="majorBidi"/>
        </w:rPr>
        <w:t>būvmasu</w:t>
      </w:r>
      <w:proofErr w:type="spellEnd"/>
      <w:r w:rsidR="00B44311" w:rsidRPr="00F6065D">
        <w:rPr>
          <w:rFonts w:asciiTheme="majorBidi" w:hAnsiTheme="majorBidi" w:cstheme="majorBidi"/>
        </w:rPr>
        <w:t>). Tomēr, vērtējot Apbūves noteikumu regulējumu, konkrētā konkursa nolikumu un skaidrojot meta kā arhitektūras risinājuma idejas līmenī būtību, tiesa atzina, ka</w:t>
      </w:r>
      <w:r w:rsidR="00867C1D" w:rsidRPr="00F6065D">
        <w:rPr>
          <w:rFonts w:asciiTheme="majorBidi" w:hAnsiTheme="majorBidi" w:cstheme="majorBidi"/>
        </w:rPr>
        <w:t xml:space="preserve"> konkrēto</w:t>
      </w:r>
      <w:r w:rsidR="00B44311" w:rsidRPr="00F6065D">
        <w:rPr>
          <w:rFonts w:asciiTheme="majorBidi" w:hAnsiTheme="majorBidi" w:cstheme="majorBidi"/>
        </w:rPr>
        <w:t xml:space="preserve"> izmaiņu izdarīšana </w:t>
      </w:r>
      <w:r w:rsidR="007B237D" w:rsidRPr="00F6065D">
        <w:rPr>
          <w:rFonts w:asciiTheme="majorBidi" w:hAnsiTheme="majorBidi" w:cstheme="majorBidi"/>
        </w:rPr>
        <w:t>būvniecības iecerē ir</w:t>
      </w:r>
      <w:r w:rsidR="00FC727E" w:rsidRPr="00F6065D">
        <w:rPr>
          <w:rFonts w:asciiTheme="majorBidi" w:hAnsiTheme="majorBidi" w:cstheme="majorBidi"/>
        </w:rPr>
        <w:t xml:space="preserve"> </w:t>
      </w:r>
      <w:r w:rsidR="00B44311" w:rsidRPr="00F6065D">
        <w:rPr>
          <w:rFonts w:asciiTheme="majorBidi" w:hAnsiTheme="majorBidi" w:cstheme="majorBidi"/>
        </w:rPr>
        <w:t>pieļaujama un tiesiska.</w:t>
      </w:r>
    </w:p>
    <w:p w14:paraId="7971F802" w14:textId="3DFE7737" w:rsidR="00F30017" w:rsidRPr="00F6065D" w:rsidRDefault="00F30017" w:rsidP="0096218E">
      <w:pPr>
        <w:spacing w:line="276" w:lineRule="auto"/>
        <w:jc w:val="both"/>
        <w:rPr>
          <w:rFonts w:asciiTheme="majorBidi" w:hAnsiTheme="majorBidi" w:cstheme="majorBidi"/>
        </w:rPr>
      </w:pPr>
    </w:p>
    <w:p w14:paraId="43446DD7" w14:textId="036CB8A1" w:rsidR="005E6B13" w:rsidRPr="00F6065D" w:rsidRDefault="00F30017" w:rsidP="0096218E">
      <w:pPr>
        <w:spacing w:line="276" w:lineRule="auto"/>
        <w:ind w:firstLine="720"/>
        <w:jc w:val="both"/>
        <w:rPr>
          <w:rFonts w:asciiTheme="majorBidi" w:hAnsiTheme="majorBidi" w:cstheme="majorBidi"/>
        </w:rPr>
      </w:pPr>
      <w:r w:rsidRPr="00F6065D">
        <w:rPr>
          <w:rFonts w:asciiTheme="majorBidi" w:hAnsiTheme="majorBidi" w:cstheme="majorBidi"/>
        </w:rPr>
        <w:t xml:space="preserve">[2] Pieteicēja </w:t>
      </w:r>
      <w:r w:rsidR="00AB134F" w:rsidRPr="00F6065D">
        <w:rPr>
          <w:rFonts w:asciiTheme="majorBidi" w:hAnsiTheme="majorBidi" w:cstheme="majorBidi"/>
        </w:rPr>
        <w:t xml:space="preserve">kasācijas sūdzībā </w:t>
      </w:r>
      <w:r w:rsidR="00304A0F">
        <w:rPr>
          <w:rFonts w:asciiTheme="majorBidi" w:hAnsiTheme="majorBidi" w:cstheme="majorBidi"/>
        </w:rPr>
        <w:t>norāda</w:t>
      </w:r>
      <w:r w:rsidRPr="00F6065D">
        <w:rPr>
          <w:rFonts w:asciiTheme="majorBidi" w:hAnsiTheme="majorBidi" w:cstheme="majorBidi"/>
        </w:rPr>
        <w:t xml:space="preserve">, ka apgabaltiesa </w:t>
      </w:r>
      <w:r w:rsidR="0007523F" w:rsidRPr="00F6065D">
        <w:rPr>
          <w:rFonts w:asciiTheme="majorBidi" w:hAnsiTheme="majorBidi" w:cstheme="majorBidi"/>
        </w:rPr>
        <w:t xml:space="preserve">esot </w:t>
      </w:r>
      <w:r w:rsidRPr="00F6065D">
        <w:rPr>
          <w:rFonts w:asciiTheme="majorBidi" w:hAnsiTheme="majorBidi" w:cstheme="majorBidi"/>
        </w:rPr>
        <w:t xml:space="preserve">kļūdaini interpretējusi Apbūves noteikumu 48.punktu. </w:t>
      </w:r>
      <w:r w:rsidR="0007523F" w:rsidRPr="00F6065D">
        <w:rPr>
          <w:rFonts w:asciiTheme="majorBidi" w:hAnsiTheme="majorBidi" w:cstheme="majorBidi"/>
        </w:rPr>
        <w:t>Š</w:t>
      </w:r>
      <w:r w:rsidR="00304A0F">
        <w:rPr>
          <w:rFonts w:asciiTheme="majorBidi" w:hAnsiTheme="majorBidi" w:cstheme="majorBidi"/>
        </w:rPr>
        <w:t xml:space="preserve">ī argumenta </w:t>
      </w:r>
      <w:r w:rsidR="0007523F" w:rsidRPr="00F6065D">
        <w:rPr>
          <w:rFonts w:asciiTheme="majorBidi" w:hAnsiTheme="majorBidi" w:cstheme="majorBidi"/>
        </w:rPr>
        <w:t xml:space="preserve">pamatā ir pieteicējas uzskats, </w:t>
      </w:r>
      <w:r w:rsidR="008C4AC4" w:rsidRPr="00F6065D">
        <w:rPr>
          <w:rFonts w:asciiTheme="majorBidi" w:hAnsiTheme="majorBidi" w:cstheme="majorBidi"/>
        </w:rPr>
        <w:t>ka</w:t>
      </w:r>
      <w:r w:rsidR="0007523F" w:rsidRPr="00F6065D">
        <w:rPr>
          <w:rFonts w:asciiTheme="majorBidi" w:hAnsiTheme="majorBidi" w:cstheme="majorBidi"/>
        </w:rPr>
        <w:t xml:space="preserve">, piemērojot minēto normu, nav pieļaujams </w:t>
      </w:r>
      <w:r w:rsidR="005E6B13" w:rsidRPr="00F6065D">
        <w:rPr>
          <w:rFonts w:asciiTheme="majorBidi" w:hAnsiTheme="majorBidi" w:cstheme="majorBidi"/>
        </w:rPr>
        <w:t xml:space="preserve">būvniecības ieceres </w:t>
      </w:r>
      <w:r w:rsidR="00DE57F7" w:rsidRPr="00F6065D">
        <w:rPr>
          <w:rFonts w:asciiTheme="majorBidi" w:hAnsiTheme="majorBidi" w:cstheme="majorBidi"/>
        </w:rPr>
        <w:t xml:space="preserve">(būvprojekta) </w:t>
      </w:r>
      <w:r w:rsidR="005E6B13" w:rsidRPr="00F6065D">
        <w:rPr>
          <w:rFonts w:asciiTheme="majorBidi" w:hAnsiTheme="majorBidi" w:cstheme="majorBidi"/>
        </w:rPr>
        <w:t xml:space="preserve">izstrādes laikā </w:t>
      </w:r>
      <w:r w:rsidR="0007523F" w:rsidRPr="00F6065D">
        <w:rPr>
          <w:rFonts w:asciiTheme="majorBidi" w:hAnsiTheme="majorBidi" w:cstheme="majorBidi"/>
        </w:rPr>
        <w:t>mainīt</w:t>
      </w:r>
      <w:r w:rsidR="005E6B13" w:rsidRPr="00F6065D">
        <w:rPr>
          <w:rFonts w:asciiTheme="majorBidi" w:hAnsiTheme="majorBidi" w:cstheme="majorBidi"/>
        </w:rPr>
        <w:t xml:space="preserve"> atklātā arhitektūras konkursa uzvarētāja darbā </w:t>
      </w:r>
      <w:r w:rsidR="003A61AD" w:rsidRPr="00F6065D">
        <w:rPr>
          <w:rFonts w:asciiTheme="majorBidi" w:hAnsiTheme="majorBidi" w:cstheme="majorBidi"/>
        </w:rPr>
        <w:t>paredzētos</w:t>
      </w:r>
      <w:r w:rsidR="005E6B13" w:rsidRPr="00F6065D">
        <w:rPr>
          <w:rFonts w:asciiTheme="majorBidi" w:hAnsiTheme="majorBidi" w:cstheme="majorBidi"/>
        </w:rPr>
        <w:t xml:space="preserve"> apbūves parametr</w:t>
      </w:r>
      <w:r w:rsidR="003A61AD" w:rsidRPr="00F6065D">
        <w:rPr>
          <w:rFonts w:asciiTheme="majorBidi" w:hAnsiTheme="majorBidi" w:cstheme="majorBidi"/>
        </w:rPr>
        <w:t>us</w:t>
      </w:r>
      <w:r w:rsidR="005564BD" w:rsidRPr="00F6065D">
        <w:rPr>
          <w:rFonts w:asciiTheme="majorBidi" w:hAnsiTheme="majorBidi" w:cstheme="majorBidi"/>
        </w:rPr>
        <w:t>.</w:t>
      </w:r>
      <w:r w:rsidR="0007523F" w:rsidRPr="00F6065D">
        <w:rPr>
          <w:rFonts w:asciiTheme="majorBidi" w:hAnsiTheme="majorBidi" w:cstheme="majorBidi"/>
        </w:rPr>
        <w:t xml:space="preserve"> </w:t>
      </w:r>
    </w:p>
    <w:p w14:paraId="2E71F2A7" w14:textId="49CBDBCC" w:rsidR="004A04C2" w:rsidRPr="00F6065D" w:rsidRDefault="002F5C77" w:rsidP="0096218E">
      <w:pPr>
        <w:spacing w:line="276" w:lineRule="auto"/>
        <w:ind w:firstLine="720"/>
        <w:jc w:val="both"/>
        <w:rPr>
          <w:rFonts w:asciiTheme="majorBidi" w:hAnsiTheme="majorBidi" w:cstheme="majorBidi"/>
        </w:rPr>
      </w:pPr>
      <w:r w:rsidRPr="00F6065D">
        <w:rPr>
          <w:rFonts w:asciiTheme="majorBidi" w:hAnsiTheme="majorBidi" w:cstheme="majorBidi"/>
        </w:rPr>
        <w:t xml:space="preserve">Senatoru kolēģija </w:t>
      </w:r>
      <w:r w:rsidR="000A1204" w:rsidRPr="00F6065D">
        <w:rPr>
          <w:rFonts w:asciiTheme="majorBidi" w:hAnsiTheme="majorBidi" w:cstheme="majorBidi"/>
        </w:rPr>
        <w:t xml:space="preserve">pieteicējai </w:t>
      </w:r>
      <w:r w:rsidRPr="00F6065D">
        <w:rPr>
          <w:rFonts w:asciiTheme="majorBidi" w:hAnsiTheme="majorBidi" w:cstheme="majorBidi"/>
        </w:rPr>
        <w:t>nepiekrīt</w:t>
      </w:r>
      <w:r w:rsidR="002B7063" w:rsidRPr="00F6065D">
        <w:rPr>
          <w:rFonts w:asciiTheme="majorBidi" w:hAnsiTheme="majorBidi" w:cstheme="majorBidi"/>
        </w:rPr>
        <w:t xml:space="preserve"> un norāda, ka šāda minētās normas interpretācija neizriet no Apbūves noteikumie</w:t>
      </w:r>
      <w:r w:rsidR="002B0A56" w:rsidRPr="00F6065D">
        <w:rPr>
          <w:rFonts w:asciiTheme="majorBidi" w:hAnsiTheme="majorBidi" w:cstheme="majorBidi"/>
        </w:rPr>
        <w:t>m</w:t>
      </w:r>
      <w:r w:rsidR="004A04C2" w:rsidRPr="00F6065D">
        <w:rPr>
          <w:rFonts w:asciiTheme="majorBidi" w:hAnsiTheme="majorBidi" w:cstheme="majorBidi"/>
        </w:rPr>
        <w:t xml:space="preserve"> un neatbilst atklāta arhitektūras konkursa kā arhitektūras metu konkursa būtībai</w:t>
      </w:r>
      <w:r w:rsidR="00814EC1" w:rsidRPr="00F6065D">
        <w:rPr>
          <w:rFonts w:asciiTheme="majorBidi" w:hAnsiTheme="majorBidi" w:cstheme="majorBidi"/>
        </w:rPr>
        <w:t xml:space="preserve">. Tāpat, kā secinājusi apgabaltiesa, šāds ierobežojums neizriet arī no konkrētā konkursa nolikuma. </w:t>
      </w:r>
    </w:p>
    <w:p w14:paraId="1434AEC1" w14:textId="493171CF" w:rsidR="00304A0F" w:rsidRPr="00F6065D" w:rsidRDefault="00711262" w:rsidP="0096218E">
      <w:pPr>
        <w:spacing w:line="276" w:lineRule="auto"/>
        <w:ind w:firstLine="720"/>
        <w:jc w:val="both"/>
        <w:rPr>
          <w:rFonts w:asciiTheme="majorBidi" w:hAnsiTheme="majorBidi" w:cstheme="majorBidi"/>
        </w:rPr>
      </w:pPr>
      <w:r w:rsidRPr="00F6065D">
        <w:rPr>
          <w:rFonts w:asciiTheme="majorBidi" w:hAnsiTheme="majorBidi" w:cstheme="majorBidi"/>
        </w:rPr>
        <w:t xml:space="preserve">Atbilstoši Apbūves noteikumu </w:t>
      </w:r>
      <w:r w:rsidR="002F5C77" w:rsidRPr="00F6065D">
        <w:rPr>
          <w:rFonts w:asciiTheme="majorBidi" w:hAnsiTheme="majorBidi" w:cstheme="majorBidi"/>
        </w:rPr>
        <w:t>576.punktam atklāta arhitektūras konkursa mērķis ir iegūt iespējami labāko projekta metu arhitektūras un pilsētbūvniecības uzdevuma risinājumiem.</w:t>
      </w:r>
      <w:r w:rsidR="0099708D" w:rsidRPr="00F6065D">
        <w:rPr>
          <w:rFonts w:asciiTheme="majorBidi" w:hAnsiTheme="majorBidi" w:cstheme="majorBidi"/>
        </w:rPr>
        <w:t xml:space="preserve"> Šāds </w:t>
      </w:r>
      <w:r w:rsidR="00340B19" w:rsidRPr="00F6065D">
        <w:rPr>
          <w:rFonts w:asciiTheme="majorBidi" w:hAnsiTheme="majorBidi" w:cstheme="majorBidi"/>
        </w:rPr>
        <w:t xml:space="preserve">attiecīgā </w:t>
      </w:r>
      <w:r w:rsidR="0099708D" w:rsidRPr="00F6065D">
        <w:rPr>
          <w:rFonts w:asciiTheme="majorBidi" w:hAnsiTheme="majorBidi" w:cstheme="majorBidi"/>
        </w:rPr>
        <w:t>konkursa mērķis izriet arī no konkrētā konkursa nolikuma</w:t>
      </w:r>
      <w:r w:rsidR="00C13A40" w:rsidRPr="00F6065D">
        <w:rPr>
          <w:rFonts w:asciiTheme="majorBidi" w:hAnsiTheme="majorBidi" w:cstheme="majorBidi"/>
        </w:rPr>
        <w:t xml:space="preserve">. </w:t>
      </w:r>
      <w:r w:rsidR="00D87E1A" w:rsidRPr="00F6065D">
        <w:rPr>
          <w:rFonts w:asciiTheme="majorBidi" w:hAnsiTheme="majorBidi" w:cstheme="majorBidi"/>
        </w:rPr>
        <w:t>Proti, a</w:t>
      </w:r>
      <w:r w:rsidR="00C13A40" w:rsidRPr="00F6065D">
        <w:rPr>
          <w:rFonts w:asciiTheme="majorBidi" w:hAnsiTheme="majorBidi" w:cstheme="majorBidi"/>
        </w:rPr>
        <w:t xml:space="preserve">tbilstoši nolikuma 2.2.punktam konkursa priekšmets </w:t>
      </w:r>
      <w:r w:rsidR="00D87E1A" w:rsidRPr="00F6065D">
        <w:rPr>
          <w:rFonts w:asciiTheme="majorBidi" w:hAnsiTheme="majorBidi" w:cstheme="majorBidi"/>
        </w:rPr>
        <w:t>bija</w:t>
      </w:r>
      <w:r w:rsidR="00C13A40" w:rsidRPr="00F6065D">
        <w:rPr>
          <w:rFonts w:asciiTheme="majorBidi" w:hAnsiTheme="majorBidi" w:cstheme="majorBidi"/>
        </w:rPr>
        <w:t xml:space="preserve"> arhitektūras projekta idejas priekšlikums, kas parāda labāko arhitektonisko un funkcionālo risinājumu vēsturiskās vannu mājas pārbūves un jaunas multifunkcionālas ēkas iecerei. Priekšlikumā </w:t>
      </w:r>
      <w:r w:rsidR="00D87E1A" w:rsidRPr="00F6065D">
        <w:rPr>
          <w:rFonts w:asciiTheme="majorBidi" w:hAnsiTheme="majorBidi" w:cstheme="majorBidi"/>
        </w:rPr>
        <w:t xml:space="preserve">bija </w:t>
      </w:r>
      <w:r w:rsidR="00C13A40" w:rsidRPr="00F6065D">
        <w:rPr>
          <w:rFonts w:asciiTheme="majorBidi" w:hAnsiTheme="majorBidi" w:cstheme="majorBidi"/>
        </w:rPr>
        <w:t xml:space="preserve">jāietver minētās </w:t>
      </w:r>
      <w:r w:rsidR="00C13A40" w:rsidRPr="00F6065D">
        <w:rPr>
          <w:rFonts w:asciiTheme="majorBidi" w:hAnsiTheme="majorBidi" w:cstheme="majorBidi"/>
        </w:rPr>
        <w:lastRenderedPageBreak/>
        <w:t>ēkas arhitektoniskais un idejas realizācijai nepieciešamā teritorijas labiekārtojuma principiāls risinājums saskaņā ar prasībām priekšlikuma izstrādei.</w:t>
      </w:r>
      <w:r w:rsidR="00304A0F">
        <w:rPr>
          <w:rFonts w:asciiTheme="majorBidi" w:hAnsiTheme="majorBidi" w:cstheme="majorBidi"/>
        </w:rPr>
        <w:t xml:space="preserve"> </w:t>
      </w:r>
      <w:r w:rsidR="00304A0F" w:rsidRPr="00F6065D">
        <w:rPr>
          <w:rFonts w:asciiTheme="majorBidi" w:hAnsiTheme="majorBidi" w:cstheme="majorBidi"/>
        </w:rPr>
        <w:t>Turklāt, kā to spriedumā secinājusi apgabaltiesa (</w:t>
      </w:r>
      <w:r w:rsidR="00304A0F" w:rsidRPr="00F6065D">
        <w:rPr>
          <w:rFonts w:asciiTheme="majorBidi" w:hAnsiTheme="majorBidi" w:cstheme="majorBidi"/>
          <w:i/>
          <w:iCs/>
        </w:rPr>
        <w:t>apgabaltiesas sprieduma 12.punkts</w:t>
      </w:r>
      <w:r w:rsidR="00304A0F" w:rsidRPr="00F6065D">
        <w:rPr>
          <w:rFonts w:asciiTheme="majorBidi" w:hAnsiTheme="majorBidi" w:cstheme="majorBidi"/>
        </w:rPr>
        <w:t>) un kam kasācijas sūdzībā nav iebildusi arī pieteicēja, pašvaldības saskaņotajā konkursa nolikumā prasības konkursa priekšmeta izstrādei bija orientējošas</w:t>
      </w:r>
      <w:r w:rsidR="00C76AB6">
        <w:rPr>
          <w:rFonts w:asciiTheme="majorBidi" w:hAnsiTheme="majorBidi" w:cstheme="majorBidi"/>
        </w:rPr>
        <w:t xml:space="preserve">, – </w:t>
      </w:r>
      <w:r w:rsidR="00304A0F" w:rsidRPr="00F6065D">
        <w:rPr>
          <w:rFonts w:asciiTheme="majorBidi" w:hAnsiTheme="majorBidi" w:cstheme="majorBidi"/>
        </w:rPr>
        <w:t>nolikumā nebija norādīti konkrēti apbūves parametri, no kuriem nebūtu pieļaujams atkāpties.</w:t>
      </w:r>
      <w:r w:rsidR="00C76AB6">
        <w:rPr>
          <w:rFonts w:asciiTheme="majorBidi" w:hAnsiTheme="majorBidi" w:cstheme="majorBidi"/>
        </w:rPr>
        <w:t xml:space="preserve"> Proti, konkrētajā gadījumā konkursa dokumentācijā ietvertās apbūves prasības bija kā vadlīnijas izstrādājamam apbūves konceptam – tā veidolam, arhitektoniskajam risinājumam un funkcionalitātei –, nevis kā reglamentēti apbūves parametri iecerētās būvniecības īstenošanai. </w:t>
      </w:r>
    </w:p>
    <w:p w14:paraId="1DC77C12" w14:textId="3ECD2590" w:rsidR="00F6065D" w:rsidRPr="00F6065D" w:rsidRDefault="000A5B50" w:rsidP="0096218E">
      <w:pPr>
        <w:spacing w:line="276" w:lineRule="auto"/>
        <w:ind w:firstLine="720"/>
        <w:jc w:val="both"/>
        <w:rPr>
          <w:rFonts w:asciiTheme="majorBidi" w:hAnsiTheme="majorBidi" w:cstheme="majorBidi"/>
        </w:rPr>
      </w:pPr>
      <w:r w:rsidRPr="00F6065D">
        <w:rPr>
          <w:rFonts w:asciiTheme="majorBidi" w:hAnsiTheme="majorBidi" w:cstheme="majorBidi"/>
        </w:rPr>
        <w:t>Tādējādi</w:t>
      </w:r>
      <w:r w:rsidR="001037A9" w:rsidRPr="00F6065D">
        <w:rPr>
          <w:rFonts w:asciiTheme="majorBidi" w:hAnsiTheme="majorBidi" w:cstheme="majorBidi"/>
        </w:rPr>
        <w:t xml:space="preserve"> tiesa</w:t>
      </w:r>
      <w:r w:rsidR="00C13A40" w:rsidRPr="00F6065D">
        <w:rPr>
          <w:rFonts w:asciiTheme="majorBidi" w:hAnsiTheme="majorBidi" w:cstheme="majorBidi"/>
        </w:rPr>
        <w:t xml:space="preserve"> </w:t>
      </w:r>
      <w:r w:rsidR="00C76AB6">
        <w:rPr>
          <w:rFonts w:asciiTheme="majorBidi" w:hAnsiTheme="majorBidi" w:cstheme="majorBidi"/>
        </w:rPr>
        <w:t>pamatoti secināja</w:t>
      </w:r>
      <w:r w:rsidR="001037A9" w:rsidRPr="00F6065D">
        <w:rPr>
          <w:rFonts w:asciiTheme="majorBidi" w:hAnsiTheme="majorBidi" w:cstheme="majorBidi"/>
        </w:rPr>
        <w:t xml:space="preserve">, </w:t>
      </w:r>
      <w:r w:rsidR="00C76AB6">
        <w:rPr>
          <w:rFonts w:asciiTheme="majorBidi" w:hAnsiTheme="majorBidi" w:cstheme="majorBidi"/>
        </w:rPr>
        <w:t xml:space="preserve">ka konkrētajā gadījumā </w:t>
      </w:r>
      <w:r w:rsidR="00B21122" w:rsidRPr="00F6065D">
        <w:rPr>
          <w:rFonts w:asciiTheme="majorBidi" w:hAnsiTheme="majorBidi" w:cstheme="majorBidi"/>
        </w:rPr>
        <w:t xml:space="preserve">konkursa mērķis bija atrast labāko ideju funkcionālam, kompozicionālam un arhitektoniskam risinājumam vēsturiskās ēkas pārbūvei par SPA centru ar nepieciešamo teritorijas labiekārtojumu. </w:t>
      </w:r>
      <w:r w:rsidR="00683368" w:rsidRPr="00F6065D">
        <w:rPr>
          <w:rFonts w:asciiTheme="majorBidi" w:hAnsiTheme="majorBidi" w:cstheme="majorBidi"/>
        </w:rPr>
        <w:t xml:space="preserve">Minētais, kā </w:t>
      </w:r>
      <w:r w:rsidR="002F348C" w:rsidRPr="00F6065D">
        <w:rPr>
          <w:rFonts w:asciiTheme="majorBidi" w:hAnsiTheme="majorBidi" w:cstheme="majorBidi"/>
        </w:rPr>
        <w:t xml:space="preserve">pareizi norāda </w:t>
      </w:r>
      <w:r w:rsidR="00683368" w:rsidRPr="00F6065D">
        <w:rPr>
          <w:rFonts w:asciiTheme="majorBidi" w:hAnsiTheme="majorBidi" w:cstheme="majorBidi"/>
        </w:rPr>
        <w:t xml:space="preserve">tiesa, sasaucas arī ar atklātā arhitektūras konkursa kā metu konkursa </w:t>
      </w:r>
      <w:r w:rsidR="003B0117" w:rsidRPr="00F6065D">
        <w:rPr>
          <w:rFonts w:asciiTheme="majorBidi" w:hAnsiTheme="majorBidi" w:cstheme="majorBidi"/>
        </w:rPr>
        <w:t xml:space="preserve">būtību – </w:t>
      </w:r>
      <w:r w:rsidR="002F348C" w:rsidRPr="00F6065D">
        <w:rPr>
          <w:rFonts w:asciiTheme="majorBidi" w:hAnsiTheme="majorBidi" w:cstheme="majorBidi"/>
        </w:rPr>
        <w:t xml:space="preserve">iegūt arhitektūras risinājumu tieši </w:t>
      </w:r>
      <w:r w:rsidR="002F348C" w:rsidRPr="00304A0F">
        <w:rPr>
          <w:rFonts w:asciiTheme="majorBidi" w:hAnsiTheme="majorBidi" w:cstheme="majorBidi"/>
        </w:rPr>
        <w:t>idejas</w:t>
      </w:r>
      <w:r w:rsidR="002F348C" w:rsidRPr="00F6065D">
        <w:rPr>
          <w:rFonts w:asciiTheme="majorBidi" w:hAnsiTheme="majorBidi" w:cstheme="majorBidi"/>
        </w:rPr>
        <w:t xml:space="preserve"> līmenī.</w:t>
      </w:r>
      <w:r w:rsidRPr="00F6065D">
        <w:rPr>
          <w:rFonts w:asciiTheme="majorBidi" w:hAnsiTheme="majorBidi" w:cstheme="majorBidi"/>
        </w:rPr>
        <w:t xml:space="preserve"> </w:t>
      </w:r>
      <w:r w:rsidR="00F6065D" w:rsidRPr="00F6065D">
        <w:rPr>
          <w:rFonts w:asciiTheme="majorBidi" w:hAnsiTheme="majorBidi" w:cstheme="majorBidi"/>
        </w:rPr>
        <w:t xml:space="preserve">Proti, metu konkurss kā tāds kopumā nav vērsts uz galīgā būvniecības risinājuma izstrādi. </w:t>
      </w:r>
      <w:r w:rsidR="003B0117" w:rsidRPr="00F6065D">
        <w:rPr>
          <w:rFonts w:asciiTheme="majorBidi" w:hAnsiTheme="majorBidi" w:cstheme="majorBidi"/>
        </w:rPr>
        <w:t xml:space="preserve">Tāpēc </w:t>
      </w:r>
      <w:r w:rsidRPr="00F6065D">
        <w:rPr>
          <w:rFonts w:asciiTheme="majorBidi" w:hAnsiTheme="majorBidi" w:cstheme="majorBidi"/>
        </w:rPr>
        <w:t xml:space="preserve">atklātā arhitektūras konkursa uzvarētāja </w:t>
      </w:r>
      <w:r w:rsidR="00D87E1A" w:rsidRPr="00F6065D">
        <w:rPr>
          <w:rFonts w:asciiTheme="majorBidi" w:hAnsiTheme="majorBidi" w:cstheme="majorBidi"/>
        </w:rPr>
        <w:t>darbs</w:t>
      </w:r>
      <w:r w:rsidRPr="00F6065D">
        <w:rPr>
          <w:rFonts w:asciiTheme="majorBidi" w:hAnsiTheme="majorBidi" w:cstheme="majorBidi"/>
        </w:rPr>
        <w:t xml:space="preserve"> </w:t>
      </w:r>
      <w:r w:rsidR="007057B5" w:rsidRPr="00F6065D">
        <w:rPr>
          <w:rFonts w:asciiTheme="majorBidi" w:hAnsiTheme="majorBidi" w:cstheme="majorBidi"/>
        </w:rPr>
        <w:t xml:space="preserve">savā būtībā </w:t>
      </w:r>
      <w:r w:rsidR="004863F0" w:rsidRPr="00F6065D">
        <w:rPr>
          <w:rFonts w:asciiTheme="majorBidi" w:hAnsiTheme="majorBidi" w:cstheme="majorBidi"/>
        </w:rPr>
        <w:t xml:space="preserve">pēc tā izstrādes detalizācijas </w:t>
      </w:r>
      <w:r w:rsidRPr="00F6065D">
        <w:rPr>
          <w:rFonts w:asciiTheme="majorBidi" w:hAnsiTheme="majorBidi" w:cstheme="majorBidi"/>
        </w:rPr>
        <w:t>nav pielīdzināms</w:t>
      </w:r>
      <w:r w:rsidR="004863F0" w:rsidRPr="00F6065D">
        <w:rPr>
          <w:rFonts w:asciiTheme="majorBidi" w:hAnsiTheme="majorBidi" w:cstheme="majorBidi"/>
        </w:rPr>
        <w:t xml:space="preserve"> </w:t>
      </w:r>
      <w:r w:rsidR="00340B19" w:rsidRPr="00F6065D">
        <w:rPr>
          <w:rFonts w:asciiTheme="majorBidi" w:hAnsiTheme="majorBidi" w:cstheme="majorBidi"/>
        </w:rPr>
        <w:t>būv</w:t>
      </w:r>
      <w:r w:rsidRPr="00F6065D">
        <w:rPr>
          <w:rFonts w:asciiTheme="majorBidi" w:hAnsiTheme="majorBidi" w:cstheme="majorBidi"/>
        </w:rPr>
        <w:t>projektam</w:t>
      </w:r>
      <w:r w:rsidR="004863F0" w:rsidRPr="00F6065D">
        <w:rPr>
          <w:rFonts w:asciiTheme="majorBidi" w:hAnsiTheme="majorBidi" w:cstheme="majorBidi"/>
        </w:rPr>
        <w:t>.</w:t>
      </w:r>
      <w:r w:rsidR="007057B5" w:rsidRPr="00F6065D">
        <w:rPr>
          <w:rFonts w:asciiTheme="majorBidi" w:hAnsiTheme="majorBidi" w:cstheme="majorBidi"/>
        </w:rPr>
        <w:t xml:space="preserve"> </w:t>
      </w:r>
    </w:p>
    <w:p w14:paraId="5798BEA7" w14:textId="06B1FCE8" w:rsidR="004863F0" w:rsidRPr="00F6065D" w:rsidRDefault="00304A0F" w:rsidP="0096218E">
      <w:pPr>
        <w:spacing w:line="276" w:lineRule="auto"/>
        <w:ind w:firstLine="720"/>
        <w:jc w:val="both"/>
        <w:rPr>
          <w:rFonts w:asciiTheme="majorBidi" w:hAnsiTheme="majorBidi" w:cstheme="majorBidi"/>
        </w:rPr>
      </w:pPr>
      <w:r>
        <w:rPr>
          <w:rFonts w:asciiTheme="majorBidi" w:hAnsiTheme="majorBidi" w:cstheme="majorBidi"/>
        </w:rPr>
        <w:t xml:space="preserve">Ievērojot minēto, </w:t>
      </w:r>
      <w:r w:rsidR="003B0117" w:rsidRPr="00F6065D">
        <w:rPr>
          <w:rFonts w:asciiTheme="majorBidi" w:hAnsiTheme="majorBidi" w:cstheme="majorBidi"/>
        </w:rPr>
        <w:t>tiesa</w:t>
      </w:r>
      <w:r>
        <w:rPr>
          <w:rFonts w:asciiTheme="majorBidi" w:hAnsiTheme="majorBidi" w:cstheme="majorBidi"/>
        </w:rPr>
        <w:t xml:space="preserve"> pamatoti secināja</w:t>
      </w:r>
      <w:r w:rsidR="003B0117" w:rsidRPr="00F6065D">
        <w:rPr>
          <w:rFonts w:asciiTheme="majorBidi" w:hAnsiTheme="majorBidi" w:cstheme="majorBidi"/>
        </w:rPr>
        <w:t>,</w:t>
      </w:r>
      <w:r w:rsidR="003B0117" w:rsidRPr="00F6065D">
        <w:t xml:space="preserve"> </w:t>
      </w:r>
      <w:r>
        <w:t xml:space="preserve">ka </w:t>
      </w:r>
      <w:r w:rsidR="00F6065D" w:rsidRPr="00F6065D">
        <w:t xml:space="preserve">konkrētajā gadījumā </w:t>
      </w:r>
      <w:r w:rsidR="00645E5E" w:rsidRPr="00F6065D">
        <w:t xml:space="preserve">konkursa </w:t>
      </w:r>
      <w:r w:rsidR="003B0117" w:rsidRPr="00F6065D">
        <w:rPr>
          <w:rFonts w:asciiTheme="majorBidi" w:hAnsiTheme="majorBidi" w:cstheme="majorBidi"/>
        </w:rPr>
        <w:t xml:space="preserve">uzvarētāja </w:t>
      </w:r>
      <w:r w:rsidR="00645E5E" w:rsidRPr="00F6065D">
        <w:rPr>
          <w:rFonts w:asciiTheme="majorBidi" w:hAnsiTheme="majorBidi" w:cstheme="majorBidi"/>
        </w:rPr>
        <w:t>metā</w:t>
      </w:r>
      <w:r w:rsidR="003B0117" w:rsidRPr="00F6065D">
        <w:rPr>
          <w:rFonts w:asciiTheme="majorBidi" w:hAnsiTheme="majorBidi" w:cstheme="majorBidi"/>
        </w:rPr>
        <w:t xml:space="preserve"> iekļautās </w:t>
      </w:r>
      <w:r w:rsidR="00645E5E" w:rsidRPr="00F6065D">
        <w:rPr>
          <w:rFonts w:asciiTheme="majorBidi" w:hAnsiTheme="majorBidi" w:cstheme="majorBidi"/>
        </w:rPr>
        <w:t>idejas</w:t>
      </w:r>
      <w:r w:rsidR="003B0117" w:rsidRPr="00F6065D">
        <w:rPr>
          <w:rFonts w:asciiTheme="majorBidi" w:hAnsiTheme="majorBidi" w:cstheme="majorBidi"/>
        </w:rPr>
        <w:t xml:space="preserve"> pielāgošana, lai būvniecības iecer</w:t>
      </w:r>
      <w:r w:rsidR="002C67DB" w:rsidRPr="00F6065D">
        <w:rPr>
          <w:rFonts w:asciiTheme="majorBidi" w:hAnsiTheme="majorBidi" w:cstheme="majorBidi"/>
        </w:rPr>
        <w:t>e</w:t>
      </w:r>
      <w:r w:rsidR="003B0117" w:rsidRPr="00F6065D">
        <w:rPr>
          <w:rFonts w:asciiTheme="majorBidi" w:hAnsiTheme="majorBidi" w:cstheme="majorBidi"/>
        </w:rPr>
        <w:t>i</w:t>
      </w:r>
      <w:r w:rsidR="002C67DB" w:rsidRPr="00F6065D">
        <w:rPr>
          <w:rFonts w:asciiTheme="majorBidi" w:hAnsiTheme="majorBidi" w:cstheme="majorBidi"/>
        </w:rPr>
        <w:t xml:space="preserve"> izstrādātu būvprojektu</w:t>
      </w:r>
      <w:r w:rsidR="003B0117" w:rsidRPr="00F6065D">
        <w:rPr>
          <w:rFonts w:asciiTheme="majorBidi" w:hAnsiTheme="majorBidi" w:cstheme="majorBidi"/>
        </w:rPr>
        <w:t xml:space="preserve">, </w:t>
      </w:r>
      <w:r w:rsidR="00D87E1A" w:rsidRPr="00F6065D">
        <w:rPr>
          <w:rFonts w:asciiTheme="majorBidi" w:hAnsiTheme="majorBidi" w:cstheme="majorBidi"/>
        </w:rPr>
        <w:t xml:space="preserve">ciktāl </w:t>
      </w:r>
      <w:r w:rsidR="00645E5E" w:rsidRPr="00F6065D">
        <w:rPr>
          <w:rFonts w:asciiTheme="majorBidi" w:hAnsiTheme="majorBidi" w:cstheme="majorBidi"/>
        </w:rPr>
        <w:t>tiek</w:t>
      </w:r>
      <w:r w:rsidR="00D87E1A" w:rsidRPr="00F6065D">
        <w:rPr>
          <w:rFonts w:asciiTheme="majorBidi" w:hAnsiTheme="majorBidi" w:cstheme="majorBidi"/>
        </w:rPr>
        <w:t xml:space="preserve"> </w:t>
      </w:r>
      <w:r w:rsidR="00645E5E" w:rsidRPr="00F6065D">
        <w:rPr>
          <w:rFonts w:asciiTheme="majorBidi" w:hAnsiTheme="majorBidi" w:cstheme="majorBidi"/>
        </w:rPr>
        <w:t xml:space="preserve">saglabāts meta </w:t>
      </w:r>
      <w:r w:rsidR="004B75D3" w:rsidRPr="00F6065D">
        <w:rPr>
          <w:rFonts w:asciiTheme="majorBidi" w:hAnsiTheme="majorBidi" w:cstheme="majorBidi"/>
        </w:rPr>
        <w:t xml:space="preserve">konceptuālais </w:t>
      </w:r>
      <w:r w:rsidR="00645E5E" w:rsidRPr="00F6065D">
        <w:rPr>
          <w:rFonts w:asciiTheme="majorBidi" w:hAnsiTheme="majorBidi" w:cstheme="majorBidi"/>
        </w:rPr>
        <w:t xml:space="preserve">arhitektūras risinājums, </w:t>
      </w:r>
      <w:r w:rsidR="003B0117" w:rsidRPr="00F6065D">
        <w:rPr>
          <w:rFonts w:asciiTheme="majorBidi" w:hAnsiTheme="majorBidi" w:cstheme="majorBidi"/>
        </w:rPr>
        <w:t>ir loģiska un tiesību normām atbilstoša būvniecības procesa stadija.</w:t>
      </w:r>
    </w:p>
    <w:p w14:paraId="3CDE103C" w14:textId="77777777" w:rsidR="0049356A" w:rsidRPr="00F6065D" w:rsidRDefault="0049356A" w:rsidP="0096218E">
      <w:pPr>
        <w:spacing w:line="276" w:lineRule="auto"/>
        <w:ind w:firstLine="720"/>
        <w:jc w:val="both"/>
        <w:rPr>
          <w:rFonts w:asciiTheme="majorBidi" w:hAnsiTheme="majorBidi" w:cstheme="majorBidi"/>
        </w:rPr>
      </w:pPr>
    </w:p>
    <w:p w14:paraId="7B426A5B" w14:textId="7902D83D" w:rsidR="0049356A" w:rsidRPr="00F6065D" w:rsidRDefault="0049356A" w:rsidP="0096218E">
      <w:pPr>
        <w:spacing w:line="276" w:lineRule="auto"/>
        <w:ind w:firstLine="720"/>
        <w:jc w:val="both"/>
        <w:rPr>
          <w:rFonts w:asciiTheme="majorBidi" w:hAnsiTheme="majorBidi" w:cstheme="majorBidi"/>
        </w:rPr>
      </w:pPr>
      <w:r w:rsidRPr="00F6065D">
        <w:rPr>
          <w:rFonts w:asciiTheme="majorBidi" w:hAnsiTheme="majorBidi" w:cstheme="majorBidi"/>
        </w:rPr>
        <w:t xml:space="preserve">[3] </w:t>
      </w:r>
      <w:r w:rsidR="007D7CBB" w:rsidRPr="00F6065D">
        <w:rPr>
          <w:rFonts w:asciiTheme="majorBidi" w:hAnsiTheme="majorBidi" w:cstheme="majorBidi"/>
        </w:rPr>
        <w:t>Pieteicēja</w:t>
      </w:r>
      <w:r w:rsidR="000858A1" w:rsidRPr="00F6065D">
        <w:rPr>
          <w:rFonts w:asciiTheme="majorBidi" w:hAnsiTheme="majorBidi" w:cstheme="majorBidi"/>
        </w:rPr>
        <w:t xml:space="preserve"> uzskata, ka tad, ja galīgos apbūves parametrus ir pieļaujams noteikt ārpus arhitektūras konkursa</w:t>
      </w:r>
      <w:r w:rsidR="002F348C" w:rsidRPr="00F6065D">
        <w:rPr>
          <w:rFonts w:asciiTheme="majorBidi" w:hAnsiTheme="majorBidi" w:cstheme="majorBidi"/>
        </w:rPr>
        <w:t xml:space="preserve">, Apbūves noteikumu 48.punktā paredzētā procedūra kļūst formāla. </w:t>
      </w:r>
      <w:r w:rsidR="00DC00E8" w:rsidRPr="00F6065D">
        <w:rPr>
          <w:rFonts w:asciiTheme="majorBidi" w:hAnsiTheme="majorBidi" w:cstheme="majorBidi"/>
        </w:rPr>
        <w:t>Pieteicējas ieskatā šāda pieeja neatbilst Apbūves noteikumu 48.punkta kā izņēmuma no prasības ievērot konkrētās teritorijas apbūves noteikumus</w:t>
      </w:r>
      <w:r w:rsidR="005B09DD" w:rsidRPr="00F6065D">
        <w:rPr>
          <w:rFonts w:asciiTheme="majorBidi" w:hAnsiTheme="majorBidi" w:cstheme="majorBidi"/>
        </w:rPr>
        <w:t xml:space="preserve"> </w:t>
      </w:r>
      <w:r w:rsidR="00DC00E8" w:rsidRPr="00F6065D">
        <w:rPr>
          <w:rFonts w:asciiTheme="majorBidi" w:hAnsiTheme="majorBidi" w:cstheme="majorBidi"/>
        </w:rPr>
        <w:t xml:space="preserve">jēgai un mērķim. </w:t>
      </w:r>
    </w:p>
    <w:p w14:paraId="23E8EC72" w14:textId="7D2E922B" w:rsidR="002F348C" w:rsidRPr="00F6065D" w:rsidRDefault="007307B8" w:rsidP="0096218E">
      <w:pPr>
        <w:spacing w:line="276" w:lineRule="auto"/>
        <w:ind w:firstLine="720"/>
        <w:jc w:val="both"/>
        <w:rPr>
          <w:rFonts w:asciiTheme="majorBidi" w:hAnsiTheme="majorBidi" w:cstheme="majorBidi"/>
        </w:rPr>
      </w:pPr>
      <w:r w:rsidRPr="00F6065D">
        <w:rPr>
          <w:rFonts w:asciiTheme="majorBidi" w:hAnsiTheme="majorBidi" w:cstheme="majorBidi"/>
        </w:rPr>
        <w:t>S</w:t>
      </w:r>
      <w:r w:rsidR="002F348C" w:rsidRPr="00F6065D">
        <w:rPr>
          <w:rFonts w:asciiTheme="majorBidi" w:hAnsiTheme="majorBidi" w:cstheme="majorBidi"/>
        </w:rPr>
        <w:t xml:space="preserve">enatoru kolēģija nesaskata pamatu pieteicējas bažām. </w:t>
      </w:r>
      <w:r w:rsidR="004B75D3" w:rsidRPr="00F6065D">
        <w:rPr>
          <w:rFonts w:asciiTheme="majorBidi" w:hAnsiTheme="majorBidi" w:cstheme="majorBidi"/>
        </w:rPr>
        <w:t>P</w:t>
      </w:r>
      <w:r w:rsidR="002F348C" w:rsidRPr="00F6065D">
        <w:rPr>
          <w:rFonts w:asciiTheme="majorBidi" w:hAnsiTheme="majorBidi" w:cstheme="majorBidi"/>
        </w:rPr>
        <w:t>rojektēšanas process jebkurā gadījumā balstās uz atklātā arhitektūras konkursā izvēlēto projektu – tā vizuālo identitāti, konceptuālajiem arhitektūras risinājumiem, to iekļaušanos konkrētajā teritorijā, konkrētajā gadījumā arī nodrošinot vēsturisko kultūrvēsturisko vērtību saglabāšanu īpašuma attīstībā. Savukārt nepieciešamība būvprojekta izstrādē precizēt</w:t>
      </w:r>
      <w:proofErr w:type="gramStart"/>
      <w:r w:rsidR="002F348C" w:rsidRPr="00F6065D">
        <w:rPr>
          <w:rFonts w:asciiTheme="majorBidi" w:hAnsiTheme="majorBidi" w:cstheme="majorBidi"/>
        </w:rPr>
        <w:t xml:space="preserve"> kādus būvniecības risinājumus var izrietēt gan no konkrētās teritorijas apstākļiem</w:t>
      </w:r>
      <w:proofErr w:type="gramEnd"/>
      <w:r w:rsidR="002F348C" w:rsidRPr="00F6065D">
        <w:rPr>
          <w:rFonts w:asciiTheme="majorBidi" w:hAnsiTheme="majorBidi" w:cstheme="majorBidi"/>
        </w:rPr>
        <w:t xml:space="preserve"> (piemēram, ģeotehniskās izpētes rezultāta), gan tehniskajām iespējām konkrētu risinājumu izmantošanā, gan pasūtītāja saimnieciskiem un finansiāliem apsvērumiem. Tāda pieeja, kas piepras</w:t>
      </w:r>
      <w:r w:rsidR="00151D3D" w:rsidRPr="00F6065D">
        <w:rPr>
          <w:rFonts w:asciiTheme="majorBidi" w:hAnsiTheme="majorBidi" w:cstheme="majorBidi"/>
        </w:rPr>
        <w:t>ītu</w:t>
      </w:r>
      <w:r w:rsidR="002F348C" w:rsidRPr="00F6065D">
        <w:rPr>
          <w:rFonts w:asciiTheme="majorBidi" w:hAnsiTheme="majorBidi" w:cstheme="majorBidi"/>
        </w:rPr>
        <w:t xml:space="preserve"> precīzi un detalizēti paredzēt visus būvniecības risinājumus stadijā, kurā tikai tiek meklēti konceptuāli teritorijas attīstības risinājumi metu konkursā, nebūtu efektīva un neatbilstu šīs stadijas </w:t>
      </w:r>
      <w:r w:rsidR="00151D3D" w:rsidRPr="00F6065D">
        <w:rPr>
          <w:rFonts w:asciiTheme="majorBidi" w:hAnsiTheme="majorBidi" w:cstheme="majorBidi"/>
        </w:rPr>
        <w:t xml:space="preserve">mērķim. </w:t>
      </w:r>
      <w:r w:rsidR="002F348C" w:rsidRPr="00F6065D">
        <w:rPr>
          <w:rFonts w:asciiTheme="majorBidi" w:hAnsiTheme="majorBidi" w:cstheme="majorBidi"/>
        </w:rPr>
        <w:t xml:space="preserve"> </w:t>
      </w:r>
    </w:p>
    <w:p w14:paraId="1D1198E5" w14:textId="0778DB83" w:rsidR="0049356A" w:rsidRPr="00F6065D" w:rsidRDefault="005B09DD" w:rsidP="0096218E">
      <w:pPr>
        <w:spacing w:line="276" w:lineRule="auto"/>
        <w:ind w:firstLine="720"/>
        <w:jc w:val="both"/>
        <w:rPr>
          <w:rFonts w:asciiTheme="majorBidi" w:hAnsiTheme="majorBidi" w:cstheme="majorBidi"/>
        </w:rPr>
      </w:pPr>
      <w:r w:rsidRPr="00F6065D">
        <w:rPr>
          <w:rFonts w:asciiTheme="majorBidi" w:hAnsiTheme="majorBidi" w:cstheme="majorBidi"/>
        </w:rPr>
        <w:t>Tāpēc</w:t>
      </w:r>
      <w:r w:rsidR="0049356A" w:rsidRPr="00F6065D">
        <w:rPr>
          <w:rFonts w:asciiTheme="majorBidi" w:hAnsiTheme="majorBidi" w:cstheme="majorBidi"/>
        </w:rPr>
        <w:t xml:space="preserve"> apgabaltiesa pamatoti pievērsās tam, vai būvniecības iecerē izdarītās izmaiņas saglabā konkursa uzvarētāja darb</w:t>
      </w:r>
      <w:r w:rsidR="00E735B2">
        <w:rPr>
          <w:rFonts w:asciiTheme="majorBidi" w:hAnsiTheme="majorBidi" w:cstheme="majorBidi"/>
        </w:rPr>
        <w:t>ā</w:t>
      </w:r>
      <w:r w:rsidR="0049356A" w:rsidRPr="00F6065D">
        <w:rPr>
          <w:rFonts w:asciiTheme="majorBidi" w:hAnsiTheme="majorBidi" w:cstheme="majorBidi"/>
        </w:rPr>
        <w:t xml:space="preserve"> ieskicētos ēkas funkcionālos, kompozicionālos un arhitektoniskos risinājumus. Tā kā tiesa </w:t>
      </w:r>
      <w:r w:rsidR="006D6D1F" w:rsidRPr="00F6065D">
        <w:rPr>
          <w:rFonts w:asciiTheme="majorBidi" w:hAnsiTheme="majorBidi" w:cstheme="majorBidi"/>
        </w:rPr>
        <w:t xml:space="preserve">nekonstatēja būtiskas </w:t>
      </w:r>
      <w:r w:rsidR="0049356A" w:rsidRPr="00F6065D">
        <w:rPr>
          <w:rFonts w:asciiTheme="majorBidi" w:hAnsiTheme="majorBidi" w:cstheme="majorBidi"/>
        </w:rPr>
        <w:t xml:space="preserve">atkāpes </w:t>
      </w:r>
      <w:r w:rsidR="006D6D1F" w:rsidRPr="00F6065D">
        <w:rPr>
          <w:rFonts w:asciiTheme="majorBidi" w:hAnsiTheme="majorBidi" w:cstheme="majorBidi"/>
        </w:rPr>
        <w:t>no šiem risinājumiem</w:t>
      </w:r>
      <w:r w:rsidR="0049356A" w:rsidRPr="00F6065D">
        <w:rPr>
          <w:rFonts w:asciiTheme="majorBidi" w:hAnsiTheme="majorBidi" w:cstheme="majorBidi"/>
        </w:rPr>
        <w:t xml:space="preserve">, tā atzina izdarītās izmaiņas par tiesiskām. Šiem secinājumiem pieteicēja kasācijas kārtībā nav iebildusi. Pieteicēja vienīgi vispārīgi norāda, ka apgabaltiesa ir kavējusies vērtēt, vai būvvalde, lemjot par būvatļaujas izdošanu, ir pārliecinājusies par būvniecības ieceres atbilstību konkursa nolikumam un uzvarētāja darbam. Tomēr vērtējums par to, vai </w:t>
      </w:r>
      <w:proofErr w:type="gramStart"/>
      <w:r w:rsidR="0049356A" w:rsidRPr="00F6065D">
        <w:rPr>
          <w:rFonts w:asciiTheme="majorBidi" w:hAnsiTheme="majorBidi" w:cstheme="majorBidi"/>
        </w:rPr>
        <w:t>un</w:t>
      </w:r>
      <w:proofErr w:type="gramEnd"/>
      <w:r w:rsidR="0049356A" w:rsidRPr="00F6065D">
        <w:rPr>
          <w:rFonts w:asciiTheme="majorBidi" w:hAnsiTheme="majorBidi" w:cstheme="majorBidi"/>
        </w:rPr>
        <w:t xml:space="preserve"> kādā </w:t>
      </w:r>
      <w:r w:rsidR="0049356A" w:rsidRPr="00F6065D">
        <w:rPr>
          <w:rFonts w:asciiTheme="majorBidi" w:hAnsiTheme="majorBidi" w:cstheme="majorBidi"/>
        </w:rPr>
        <w:lastRenderedPageBreak/>
        <w:t xml:space="preserve">apjomā būvniecības iecerei konkrētajā gadījumā ir pieļaujams atšķirties no uzvarētāja darba, ir vērtējums </w:t>
      </w:r>
      <w:r w:rsidR="004638B6" w:rsidRPr="00F6065D">
        <w:rPr>
          <w:rFonts w:asciiTheme="majorBidi" w:hAnsiTheme="majorBidi" w:cstheme="majorBidi"/>
        </w:rPr>
        <w:t xml:space="preserve">tieši </w:t>
      </w:r>
      <w:r w:rsidR="0049356A" w:rsidRPr="00F6065D">
        <w:rPr>
          <w:rFonts w:asciiTheme="majorBidi" w:hAnsiTheme="majorBidi" w:cstheme="majorBidi"/>
        </w:rPr>
        <w:t xml:space="preserve">par to, kādā formātā būvniecības iecerei ir jāatbilst konkrētā arhitektūras konkursa rezultātam, lai nodrošinātu Apbūves noteikumu 48.punktā paredzētā izņēmuma piemērošanu pēc jēgas. </w:t>
      </w:r>
      <w:r w:rsidR="000858A1" w:rsidRPr="00F6065D">
        <w:rPr>
          <w:rFonts w:asciiTheme="majorBidi" w:hAnsiTheme="majorBidi" w:cstheme="majorBidi"/>
        </w:rPr>
        <w:t xml:space="preserve">Tieši to apgabaltiesa ir vērtējusi. </w:t>
      </w:r>
    </w:p>
    <w:p w14:paraId="4BCFAC66" w14:textId="77777777" w:rsidR="00D84C20" w:rsidRPr="00F6065D" w:rsidRDefault="00D84C20" w:rsidP="0096218E">
      <w:pPr>
        <w:spacing w:line="276" w:lineRule="auto"/>
        <w:ind w:firstLine="720"/>
        <w:jc w:val="both"/>
        <w:rPr>
          <w:rFonts w:asciiTheme="majorBidi" w:hAnsiTheme="majorBidi" w:cstheme="majorBidi"/>
        </w:rPr>
      </w:pPr>
    </w:p>
    <w:p w14:paraId="5FD7A08D" w14:textId="5B88B063" w:rsidR="003D1156" w:rsidRPr="00F6065D" w:rsidRDefault="00D84C20" w:rsidP="0096218E">
      <w:pPr>
        <w:spacing w:line="276" w:lineRule="auto"/>
        <w:ind w:firstLine="720"/>
        <w:jc w:val="both"/>
        <w:rPr>
          <w:rFonts w:asciiTheme="majorBidi" w:hAnsiTheme="majorBidi" w:cstheme="majorBidi"/>
        </w:rPr>
      </w:pPr>
      <w:r w:rsidRPr="00F6065D">
        <w:rPr>
          <w:rFonts w:asciiTheme="majorBidi" w:hAnsiTheme="majorBidi" w:cstheme="majorBidi"/>
        </w:rPr>
        <w:t>[</w:t>
      </w:r>
      <w:r w:rsidR="00CA2A54" w:rsidRPr="00F6065D">
        <w:rPr>
          <w:rFonts w:asciiTheme="majorBidi" w:hAnsiTheme="majorBidi" w:cstheme="majorBidi"/>
        </w:rPr>
        <w:t>4</w:t>
      </w:r>
      <w:r w:rsidRPr="00F6065D">
        <w:rPr>
          <w:rFonts w:asciiTheme="majorBidi" w:hAnsiTheme="majorBidi" w:cstheme="majorBidi"/>
        </w:rPr>
        <w:t xml:space="preserve">] </w:t>
      </w:r>
      <w:r w:rsidR="00752EAC" w:rsidRPr="00F6065D">
        <w:rPr>
          <w:rFonts w:asciiTheme="majorBidi" w:hAnsiTheme="majorBidi" w:cstheme="majorBidi"/>
        </w:rPr>
        <w:t xml:space="preserve">Tāpat arī noraidāmi pieteicējas iebildumi, ka </w:t>
      </w:r>
      <w:r w:rsidR="0049356A" w:rsidRPr="00F6065D">
        <w:rPr>
          <w:rFonts w:asciiTheme="majorBidi" w:hAnsiTheme="majorBidi" w:cstheme="majorBidi"/>
        </w:rPr>
        <w:t xml:space="preserve">apgabaltiesas </w:t>
      </w:r>
      <w:r w:rsidR="00752EAC" w:rsidRPr="00F6065D">
        <w:rPr>
          <w:rFonts w:asciiTheme="majorBidi" w:hAnsiTheme="majorBidi" w:cstheme="majorBidi"/>
        </w:rPr>
        <w:t>spriedumā trūk</w:t>
      </w:r>
      <w:r w:rsidR="007D63E4" w:rsidRPr="00F6065D">
        <w:rPr>
          <w:rFonts w:asciiTheme="majorBidi" w:hAnsiTheme="majorBidi" w:cstheme="majorBidi"/>
        </w:rPr>
        <w:t>st</w:t>
      </w:r>
      <w:r w:rsidR="0064760A" w:rsidRPr="00F6065D">
        <w:rPr>
          <w:rFonts w:asciiTheme="majorBidi" w:hAnsiTheme="majorBidi" w:cstheme="majorBidi"/>
        </w:rPr>
        <w:t>ot</w:t>
      </w:r>
      <w:r w:rsidR="00752EAC" w:rsidRPr="00F6065D">
        <w:rPr>
          <w:rFonts w:asciiTheme="majorBidi" w:hAnsiTheme="majorBidi" w:cstheme="majorBidi"/>
        </w:rPr>
        <w:t xml:space="preserve"> vērtējum</w:t>
      </w:r>
      <w:r w:rsidR="00CE22CD" w:rsidRPr="00F6065D">
        <w:rPr>
          <w:rFonts w:asciiTheme="majorBidi" w:hAnsiTheme="majorBidi" w:cstheme="majorBidi"/>
        </w:rPr>
        <w:t>a</w:t>
      </w:r>
      <w:r w:rsidR="00752EAC" w:rsidRPr="00F6065D">
        <w:rPr>
          <w:rFonts w:asciiTheme="majorBidi" w:hAnsiTheme="majorBidi" w:cstheme="majorBidi"/>
        </w:rPr>
        <w:t xml:space="preserve"> par pārsūdzētās būvatļaujas atbilstību teritorijas plānošanas principiem</w:t>
      </w:r>
      <w:r w:rsidR="00E221E3" w:rsidRPr="00F6065D">
        <w:rPr>
          <w:rFonts w:asciiTheme="majorBidi" w:hAnsiTheme="majorBidi" w:cstheme="majorBidi"/>
        </w:rPr>
        <w:t xml:space="preserve">. Pieteicēja kasācijas sūdzībā nav paskaidrojusi, kādus konkrētus iecerētās būvniecības </w:t>
      </w:r>
      <w:r w:rsidR="007D63E4" w:rsidRPr="00F6065D">
        <w:rPr>
          <w:rFonts w:asciiTheme="majorBidi" w:hAnsiTheme="majorBidi" w:cstheme="majorBidi"/>
        </w:rPr>
        <w:t xml:space="preserve">aspektus apgabaltiesa šajā sakarā nebūtu izvērtējusi un kā attiecīgs vērtējums varētu ietekmēt konkrētās lietas iznākumu. </w:t>
      </w:r>
      <w:r w:rsidR="00E221E3" w:rsidRPr="00F6065D">
        <w:rPr>
          <w:rFonts w:asciiTheme="majorBidi" w:hAnsiTheme="majorBidi" w:cstheme="majorBidi"/>
        </w:rPr>
        <w:t xml:space="preserve">Savukārt attiecībā uz pieteicējas norādīto, </w:t>
      </w:r>
      <w:proofErr w:type="gramStart"/>
      <w:r w:rsidR="00E221E3" w:rsidRPr="00F6065D">
        <w:rPr>
          <w:rFonts w:asciiTheme="majorBidi" w:hAnsiTheme="majorBidi" w:cstheme="majorBidi"/>
        </w:rPr>
        <w:t>ka Apbūves noteikumos kā viena no aizsargājamām interesēm ir</w:t>
      </w:r>
      <w:proofErr w:type="gramEnd"/>
      <w:r w:rsidR="00E221E3" w:rsidRPr="00F6065D">
        <w:rPr>
          <w:rFonts w:asciiTheme="majorBidi" w:hAnsiTheme="majorBidi" w:cstheme="majorBidi"/>
        </w:rPr>
        <w:t xml:space="preserve"> noteikta Liepājas pilsētas vēsturiskā un arhitektoniskā mantojuma saglabāšanas interese, norādāms, ka </w:t>
      </w:r>
      <w:r w:rsidR="0049356A" w:rsidRPr="00F6065D">
        <w:rPr>
          <w:rFonts w:asciiTheme="majorBidi" w:hAnsiTheme="majorBidi" w:cstheme="majorBidi"/>
        </w:rPr>
        <w:t xml:space="preserve">tieši </w:t>
      </w:r>
      <w:r w:rsidR="00E221E3" w:rsidRPr="00F6065D">
        <w:rPr>
          <w:rFonts w:asciiTheme="majorBidi" w:hAnsiTheme="majorBidi" w:cstheme="majorBidi"/>
        </w:rPr>
        <w:t xml:space="preserve">šīs intereses nodrošināšana arī ir </w:t>
      </w:r>
      <w:r w:rsidR="00787E5B" w:rsidRPr="00F6065D">
        <w:rPr>
          <w:rFonts w:asciiTheme="majorBidi" w:hAnsiTheme="majorBidi" w:cstheme="majorBidi"/>
        </w:rPr>
        <w:t>pamatā tam</w:t>
      </w:r>
      <w:r w:rsidR="00E221E3" w:rsidRPr="00F6065D">
        <w:rPr>
          <w:rFonts w:asciiTheme="majorBidi" w:hAnsiTheme="majorBidi" w:cstheme="majorBidi"/>
        </w:rPr>
        <w:t>, kāpēc tika rīkots konkrētais atklātais arhitektūras konkurss</w:t>
      </w:r>
      <w:r w:rsidR="00D26858" w:rsidRPr="00F6065D">
        <w:rPr>
          <w:rFonts w:asciiTheme="majorBidi" w:hAnsiTheme="majorBidi" w:cstheme="majorBidi"/>
        </w:rPr>
        <w:t xml:space="preserve">. </w:t>
      </w:r>
      <w:r w:rsidR="000858A1" w:rsidRPr="00F6065D">
        <w:rPr>
          <w:rFonts w:asciiTheme="majorBidi" w:hAnsiTheme="majorBidi" w:cstheme="majorBidi"/>
        </w:rPr>
        <w:t>Proti, tas tika rīkots ar mērķi iegūt labāko ideju vēsturiskās vannu mājas ēkas atjaunošanai</w:t>
      </w:r>
      <w:r w:rsidR="002C67DB" w:rsidRPr="00F6065D">
        <w:rPr>
          <w:rFonts w:asciiTheme="majorBidi" w:hAnsiTheme="majorBidi" w:cstheme="majorBidi"/>
        </w:rPr>
        <w:t>/saglabāšanai</w:t>
      </w:r>
      <w:r w:rsidR="000858A1" w:rsidRPr="00F6065D">
        <w:rPr>
          <w:rFonts w:asciiTheme="majorBidi" w:hAnsiTheme="majorBidi" w:cstheme="majorBidi"/>
        </w:rPr>
        <w:t xml:space="preserve">. </w:t>
      </w:r>
      <w:r w:rsidR="00A04F85">
        <w:rPr>
          <w:rFonts w:asciiTheme="majorBidi" w:hAnsiTheme="majorBidi" w:cstheme="majorBidi"/>
        </w:rPr>
        <w:t>Strīdus būvniecības iecere ir vērsta uz to, lai saglabātu vēsturiskās vannu mājas kultūrvēsturisko vērtību.</w:t>
      </w:r>
    </w:p>
    <w:p w14:paraId="4E8A0F7F" w14:textId="77777777" w:rsidR="00787E5B" w:rsidRPr="00F6065D" w:rsidRDefault="00787E5B" w:rsidP="0096218E">
      <w:pPr>
        <w:spacing w:line="276" w:lineRule="auto"/>
        <w:ind w:firstLine="720"/>
        <w:jc w:val="both"/>
        <w:rPr>
          <w:rFonts w:asciiTheme="majorBidi" w:hAnsiTheme="majorBidi" w:cstheme="majorBidi"/>
        </w:rPr>
      </w:pPr>
    </w:p>
    <w:p w14:paraId="7427BF55" w14:textId="5D52A857" w:rsidR="00CA2A54" w:rsidRPr="00F6065D" w:rsidRDefault="00787E5B" w:rsidP="0096218E">
      <w:pPr>
        <w:spacing w:line="276" w:lineRule="auto"/>
        <w:ind w:firstLine="720"/>
        <w:jc w:val="both"/>
        <w:rPr>
          <w:rFonts w:asciiTheme="majorBidi" w:hAnsiTheme="majorBidi" w:cstheme="majorBidi"/>
        </w:rPr>
      </w:pPr>
      <w:r w:rsidRPr="00F6065D">
        <w:rPr>
          <w:rFonts w:asciiTheme="majorBidi" w:hAnsiTheme="majorBidi" w:cstheme="majorBidi"/>
        </w:rPr>
        <w:t>[</w:t>
      </w:r>
      <w:r w:rsidR="00CA2A54" w:rsidRPr="00F6065D">
        <w:rPr>
          <w:rFonts w:asciiTheme="majorBidi" w:hAnsiTheme="majorBidi" w:cstheme="majorBidi"/>
        </w:rPr>
        <w:t>5</w:t>
      </w:r>
      <w:r w:rsidRPr="00F6065D">
        <w:rPr>
          <w:rFonts w:asciiTheme="majorBidi" w:hAnsiTheme="majorBidi" w:cstheme="majorBidi"/>
        </w:rPr>
        <w:t xml:space="preserve">] </w:t>
      </w:r>
      <w:r w:rsidR="00A9047D" w:rsidRPr="00F6065D">
        <w:rPr>
          <w:rFonts w:asciiTheme="majorBidi" w:hAnsiTheme="majorBidi" w:cstheme="majorBidi"/>
        </w:rPr>
        <w:t>Pieteicēja kasācijas sūdzībā arī iebilst apgabaltiesas secinājumiem, ka būvniecības ieceres publisk</w:t>
      </w:r>
      <w:r w:rsidR="00A04F85">
        <w:rPr>
          <w:rFonts w:asciiTheme="majorBidi" w:hAnsiTheme="majorBidi" w:cstheme="majorBidi"/>
        </w:rPr>
        <w:t>aj</w:t>
      </w:r>
      <w:r w:rsidR="00A9047D" w:rsidRPr="00F6065D">
        <w:rPr>
          <w:rFonts w:asciiTheme="majorBidi" w:hAnsiTheme="majorBidi" w:cstheme="majorBidi"/>
        </w:rPr>
        <w:t xml:space="preserve">ā apspriešanā nav konstatējams sabiedrības līdzdalības tiesību pārkāpums. </w:t>
      </w:r>
      <w:r w:rsidR="00B16DFE" w:rsidRPr="00F6065D">
        <w:rPr>
          <w:rFonts w:asciiTheme="majorBidi" w:hAnsiTheme="majorBidi" w:cstheme="majorBidi"/>
        </w:rPr>
        <w:t xml:space="preserve"> Pieteicēja </w:t>
      </w:r>
      <w:r w:rsidR="00FF7A31" w:rsidRPr="00F6065D">
        <w:rPr>
          <w:rFonts w:asciiTheme="majorBidi" w:hAnsiTheme="majorBidi" w:cstheme="majorBidi"/>
        </w:rPr>
        <w:t xml:space="preserve">uzskata, ka </w:t>
      </w:r>
      <w:r w:rsidR="00B16DFE" w:rsidRPr="00F6065D">
        <w:rPr>
          <w:rFonts w:asciiTheme="majorBidi" w:hAnsiTheme="majorBidi" w:cstheme="majorBidi"/>
        </w:rPr>
        <w:t xml:space="preserve">no Apbūves noteikumu 48.punkta izriet, ka </w:t>
      </w:r>
      <w:r w:rsidR="009D1D88" w:rsidRPr="00F6065D">
        <w:rPr>
          <w:rFonts w:asciiTheme="majorBidi" w:hAnsiTheme="majorBidi" w:cstheme="majorBidi"/>
        </w:rPr>
        <w:t xml:space="preserve">sabiedriskajā apspriešanā </w:t>
      </w:r>
      <w:r w:rsidR="00B16DFE" w:rsidRPr="00F6065D">
        <w:rPr>
          <w:rFonts w:asciiTheme="majorBidi" w:hAnsiTheme="majorBidi" w:cstheme="majorBidi"/>
        </w:rPr>
        <w:t>sabiedrībai bija jāsaņem pilnvērtīga, salīdzinoša un caurskatāma informācija par: 1)</w:t>
      </w:r>
      <w:r w:rsidR="0054409D" w:rsidRPr="00F6065D">
        <w:rPr>
          <w:rFonts w:asciiTheme="majorBidi" w:hAnsiTheme="majorBidi" w:cstheme="majorBidi"/>
        </w:rPr>
        <w:t> </w:t>
      </w:r>
      <w:r w:rsidR="00B16DFE" w:rsidRPr="00F6065D">
        <w:rPr>
          <w:rFonts w:asciiTheme="majorBidi" w:hAnsiTheme="majorBidi" w:cstheme="majorBidi"/>
        </w:rPr>
        <w:t>arhitektūras konkursa risinājumu, 2) reāli plānoto būvniecības ieceri, 3) at</w:t>
      </w:r>
      <w:r w:rsidR="00E735B2">
        <w:rPr>
          <w:rFonts w:asciiTheme="majorBidi" w:hAnsiTheme="majorBidi" w:cstheme="majorBidi"/>
        </w:rPr>
        <w:t>šķirībām</w:t>
      </w:r>
      <w:r w:rsidR="00B16DFE" w:rsidRPr="00F6065D">
        <w:rPr>
          <w:rFonts w:asciiTheme="majorBidi" w:hAnsiTheme="majorBidi" w:cstheme="majorBidi"/>
        </w:rPr>
        <w:t xml:space="preserve"> starp arhitektūras konkursa risinājumu un reāli plānoto būvniecības ieceri. </w:t>
      </w:r>
    </w:p>
    <w:p w14:paraId="03339AC4" w14:textId="1CA49FAE" w:rsidR="009D1D88" w:rsidRPr="00F6065D" w:rsidRDefault="005C2B2F" w:rsidP="0096218E">
      <w:pPr>
        <w:spacing w:line="276" w:lineRule="auto"/>
        <w:ind w:firstLine="720"/>
        <w:jc w:val="both"/>
        <w:rPr>
          <w:rFonts w:asciiTheme="majorBidi" w:hAnsiTheme="majorBidi" w:cstheme="majorBidi"/>
        </w:rPr>
      </w:pPr>
      <w:r w:rsidRPr="00F6065D">
        <w:rPr>
          <w:rFonts w:asciiTheme="majorBidi" w:hAnsiTheme="majorBidi" w:cstheme="majorBidi"/>
        </w:rPr>
        <w:t>Nenoliedzami s</w:t>
      </w:r>
      <w:r w:rsidR="00B16DFE" w:rsidRPr="00F6065D">
        <w:rPr>
          <w:rFonts w:asciiTheme="majorBidi" w:hAnsiTheme="majorBidi" w:cstheme="majorBidi"/>
        </w:rPr>
        <w:t xml:space="preserve">abiedriskās apspriešanas mērķis ir nodrošināt sabiedrības iesaisti ar konkrētās teritorijas attīstību saistītu lēmumu pieņemšanā. Tāpēc </w:t>
      </w:r>
      <w:r w:rsidRPr="00F6065D">
        <w:rPr>
          <w:rFonts w:asciiTheme="majorBidi" w:hAnsiTheme="majorBidi" w:cstheme="majorBidi"/>
        </w:rPr>
        <w:t xml:space="preserve">senatoru kolēģija piekrīt pieteicējai, ka pilnvērtīga </w:t>
      </w:r>
      <w:r w:rsidR="00B16DFE" w:rsidRPr="00F6065D">
        <w:rPr>
          <w:rFonts w:asciiTheme="majorBidi" w:hAnsiTheme="majorBidi" w:cstheme="majorBidi"/>
        </w:rPr>
        <w:t>sabiedrības līdzdalības tiesību nodrošināšana iespējama vien tad, ja</w:t>
      </w:r>
      <w:r w:rsidR="001671A5" w:rsidRPr="00F6065D">
        <w:rPr>
          <w:rFonts w:asciiTheme="majorBidi" w:hAnsiTheme="majorBidi" w:cstheme="majorBidi"/>
        </w:rPr>
        <w:t xml:space="preserve"> sabiedriskās apspriešanas gaitā</w:t>
      </w:r>
      <w:r w:rsidR="00B16DFE" w:rsidRPr="00F6065D">
        <w:rPr>
          <w:rFonts w:asciiTheme="majorBidi" w:hAnsiTheme="majorBidi" w:cstheme="majorBidi"/>
        </w:rPr>
        <w:t xml:space="preserve"> sabiedrībai tiek sniegta pienācīga informācija par plānoto būvniecību. </w:t>
      </w:r>
      <w:r w:rsidR="00280C36" w:rsidRPr="00F6065D">
        <w:rPr>
          <w:rFonts w:asciiTheme="majorBidi" w:hAnsiTheme="majorBidi" w:cstheme="majorBidi"/>
        </w:rPr>
        <w:t xml:space="preserve">Vienlaikus </w:t>
      </w:r>
      <w:r w:rsidR="00B16DFE" w:rsidRPr="00F6065D">
        <w:rPr>
          <w:rFonts w:asciiTheme="majorBidi" w:hAnsiTheme="majorBidi" w:cstheme="majorBidi"/>
        </w:rPr>
        <w:t xml:space="preserve">senatoru kolēģija piekrīt apgabaltiesas secinājumam, ka no tiesību normām neizriet, ka </w:t>
      </w:r>
      <w:r w:rsidR="001671A5" w:rsidRPr="00F6065D">
        <w:rPr>
          <w:rFonts w:asciiTheme="majorBidi" w:hAnsiTheme="majorBidi" w:cstheme="majorBidi"/>
        </w:rPr>
        <w:t xml:space="preserve">konkrētajā </w:t>
      </w:r>
      <w:r w:rsidR="00B16DFE" w:rsidRPr="00F6065D">
        <w:rPr>
          <w:rFonts w:asciiTheme="majorBidi" w:hAnsiTheme="majorBidi" w:cstheme="majorBidi"/>
        </w:rPr>
        <w:t xml:space="preserve">publiskajā apspriešanā </w:t>
      </w:r>
      <w:r w:rsidR="00EF740C" w:rsidRPr="00F6065D">
        <w:rPr>
          <w:rFonts w:asciiTheme="majorBidi" w:hAnsiTheme="majorBidi" w:cstheme="majorBidi"/>
        </w:rPr>
        <w:t xml:space="preserve">obligāti </w:t>
      </w:r>
      <w:r w:rsidR="00B16DFE" w:rsidRPr="00F6065D">
        <w:rPr>
          <w:rFonts w:asciiTheme="majorBidi" w:hAnsiTheme="majorBidi" w:cstheme="majorBidi"/>
        </w:rPr>
        <w:t xml:space="preserve">bija </w:t>
      </w:r>
      <w:r w:rsidR="00EF740C" w:rsidRPr="00F6065D">
        <w:rPr>
          <w:rFonts w:asciiTheme="majorBidi" w:hAnsiTheme="majorBidi" w:cstheme="majorBidi"/>
        </w:rPr>
        <w:t>sniedzama</w:t>
      </w:r>
      <w:r w:rsidR="00DE57F7" w:rsidRPr="00F6065D">
        <w:rPr>
          <w:rFonts w:asciiTheme="majorBidi" w:hAnsiTheme="majorBidi" w:cstheme="majorBidi"/>
        </w:rPr>
        <w:t xml:space="preserve"> informācija, kādā</w:t>
      </w:r>
      <w:r w:rsidR="00B16DFE" w:rsidRPr="00F6065D">
        <w:rPr>
          <w:rFonts w:asciiTheme="majorBidi" w:hAnsiTheme="majorBidi" w:cstheme="majorBidi"/>
        </w:rPr>
        <w:t xml:space="preserve"> mērā publiskajai apspriešanai nodotā būvniecības iecere atšķiras no atklātā arhitektūras konkursa uzvarētāja darba. Attiecīgi</w:t>
      </w:r>
      <w:r w:rsidR="00DE57F7" w:rsidRPr="00F6065D">
        <w:rPr>
          <w:rFonts w:asciiTheme="majorBidi" w:hAnsiTheme="majorBidi" w:cstheme="majorBidi"/>
        </w:rPr>
        <w:t xml:space="preserve"> </w:t>
      </w:r>
      <w:r w:rsidR="00B16DFE" w:rsidRPr="00F6065D">
        <w:rPr>
          <w:rFonts w:asciiTheme="majorBidi" w:hAnsiTheme="majorBidi" w:cstheme="majorBidi"/>
        </w:rPr>
        <w:t xml:space="preserve">no tiesību normām neizriet, ka šādu norāžu trūkums būtu uzskatāms par sabiedrības līdzdalības tiesību pārkāpumu. </w:t>
      </w:r>
    </w:p>
    <w:p w14:paraId="2A7CE597" w14:textId="73CE1B56" w:rsidR="00AE1EC7" w:rsidRPr="00F6065D" w:rsidRDefault="00B16DFE" w:rsidP="0096218E">
      <w:pPr>
        <w:spacing w:line="276" w:lineRule="auto"/>
        <w:ind w:firstLine="720"/>
        <w:jc w:val="both"/>
        <w:rPr>
          <w:rFonts w:asciiTheme="majorBidi" w:hAnsiTheme="majorBidi" w:cstheme="majorBidi"/>
        </w:rPr>
      </w:pPr>
      <w:r w:rsidRPr="00F6065D">
        <w:rPr>
          <w:rFonts w:asciiTheme="majorBidi" w:hAnsiTheme="majorBidi" w:cstheme="majorBidi"/>
        </w:rPr>
        <w:t>Apbūves noteikumu 48.punktā kā kritērijs minēt</w:t>
      </w:r>
      <w:r w:rsidR="001671A5" w:rsidRPr="00F6065D">
        <w:rPr>
          <w:rFonts w:asciiTheme="majorBidi" w:hAnsiTheme="majorBidi" w:cstheme="majorBidi"/>
        </w:rPr>
        <w:t>ajā normā noteiktā izņēmuma</w:t>
      </w:r>
      <w:r w:rsidRPr="00F6065D">
        <w:rPr>
          <w:rFonts w:asciiTheme="majorBidi" w:hAnsiTheme="majorBidi" w:cstheme="majorBidi"/>
        </w:rPr>
        <w:t xml:space="preserve"> piemērošanai ir noteikts tas, ka </w:t>
      </w:r>
      <w:r w:rsidRPr="00F6065D">
        <w:rPr>
          <w:rFonts w:asciiTheme="majorBidi" w:hAnsiTheme="majorBidi" w:cstheme="majorBidi"/>
          <w:i/>
          <w:iCs/>
        </w:rPr>
        <w:t>būvniecības iecerei</w:t>
      </w:r>
      <w:r w:rsidRPr="00F6065D">
        <w:rPr>
          <w:rFonts w:asciiTheme="majorBidi" w:hAnsiTheme="majorBidi" w:cstheme="majorBidi"/>
        </w:rPr>
        <w:t xml:space="preserve"> ir jābūt atbalstītai, ņemot vērā publiskās apspriešanas rezultātus.</w:t>
      </w:r>
      <w:r w:rsidR="001671A5" w:rsidRPr="00F6065D">
        <w:rPr>
          <w:rFonts w:asciiTheme="majorBidi" w:hAnsiTheme="majorBidi" w:cstheme="majorBidi"/>
        </w:rPr>
        <w:t xml:space="preserve"> </w:t>
      </w:r>
      <w:r w:rsidR="00AE1EC7" w:rsidRPr="00F6065D">
        <w:rPr>
          <w:rFonts w:asciiTheme="majorBidi" w:hAnsiTheme="majorBidi" w:cstheme="majorBidi"/>
        </w:rPr>
        <w:t>Tādējādi, raugoties no sabiedrības līdzdalības tiesību īstenošanas skatupunkta, Apbūves noteikumu 48.punkta</w:t>
      </w:r>
      <w:r w:rsidR="001671A5" w:rsidRPr="00F6065D">
        <w:rPr>
          <w:rFonts w:asciiTheme="majorBidi" w:hAnsiTheme="majorBidi" w:cstheme="majorBidi"/>
        </w:rPr>
        <w:t xml:space="preserve"> piemērošanai ir</w:t>
      </w:r>
      <w:r w:rsidR="00AE1EC7" w:rsidRPr="00F6065D">
        <w:rPr>
          <w:rFonts w:asciiTheme="majorBidi" w:hAnsiTheme="majorBidi" w:cstheme="majorBidi"/>
        </w:rPr>
        <w:t xml:space="preserve"> būtiski, lai sabiedrība pilnvērtīgi tiek informēta tieši par būvniecības ieceri kā konkrētu būvniecības risinājumu kompleksu, kas attiecīgi tiktu īstenots saskaņā ar būvniecību atļaujošo administratīvo aktu</w:t>
      </w:r>
      <w:r w:rsidR="001671A5" w:rsidRPr="00F6065D">
        <w:rPr>
          <w:rFonts w:asciiTheme="majorBidi" w:hAnsiTheme="majorBidi" w:cstheme="majorBidi"/>
        </w:rPr>
        <w:t>, nevis skaidrotas atšķirības starp konkursā izvēlēto arhitektūras ideju un uz tās pamata izstrādāto būvprojektu.</w:t>
      </w:r>
    </w:p>
    <w:p w14:paraId="018CFEE7" w14:textId="2C72AB24" w:rsidR="00B16DFE" w:rsidRPr="00F6065D" w:rsidRDefault="00B16DFE" w:rsidP="0096218E">
      <w:pPr>
        <w:spacing w:line="276" w:lineRule="auto"/>
        <w:ind w:firstLine="720"/>
        <w:jc w:val="both"/>
        <w:rPr>
          <w:rFonts w:asciiTheme="majorBidi" w:hAnsiTheme="majorBidi" w:cstheme="majorBidi"/>
        </w:rPr>
      </w:pPr>
      <w:r w:rsidRPr="00F6065D">
        <w:rPr>
          <w:rFonts w:asciiTheme="majorBidi" w:hAnsiTheme="majorBidi" w:cstheme="majorBidi"/>
        </w:rPr>
        <w:t xml:space="preserve">Izvērtējot sabiedrībai sniegto informāciju par iecerēto būvniecību, apgabaltiesa nekonstatēja, ka sabiedrībai būtu sniegta nepatiesa </w:t>
      </w:r>
      <w:r w:rsidR="007057B5" w:rsidRPr="00F6065D">
        <w:rPr>
          <w:rFonts w:asciiTheme="majorBidi" w:hAnsiTheme="majorBidi" w:cstheme="majorBidi"/>
        </w:rPr>
        <w:t xml:space="preserve">vai nepilnvērtīga </w:t>
      </w:r>
      <w:r w:rsidRPr="00F6065D">
        <w:rPr>
          <w:rFonts w:asciiTheme="majorBidi" w:hAnsiTheme="majorBidi" w:cstheme="majorBidi"/>
        </w:rPr>
        <w:t xml:space="preserve">informācija </w:t>
      </w:r>
      <w:r w:rsidR="00FB4F91" w:rsidRPr="00F6065D">
        <w:rPr>
          <w:rFonts w:asciiTheme="majorBidi" w:hAnsiTheme="majorBidi" w:cstheme="majorBidi"/>
        </w:rPr>
        <w:t xml:space="preserve">tieši </w:t>
      </w:r>
      <w:r w:rsidRPr="00F6065D">
        <w:rPr>
          <w:rFonts w:asciiTheme="majorBidi" w:hAnsiTheme="majorBidi" w:cstheme="majorBidi"/>
        </w:rPr>
        <w:t xml:space="preserve">par </w:t>
      </w:r>
      <w:r w:rsidRPr="00F6065D">
        <w:rPr>
          <w:rFonts w:asciiTheme="majorBidi" w:hAnsiTheme="majorBidi" w:cstheme="majorBidi"/>
        </w:rPr>
        <w:lastRenderedPageBreak/>
        <w:t xml:space="preserve">iecerēto būvniecību. Tieši pretēji – tiesa </w:t>
      </w:r>
      <w:r w:rsidR="00FB4F91" w:rsidRPr="00F6065D">
        <w:rPr>
          <w:rFonts w:asciiTheme="majorBidi" w:hAnsiTheme="majorBidi" w:cstheme="majorBidi"/>
        </w:rPr>
        <w:t>secināja</w:t>
      </w:r>
      <w:r w:rsidRPr="00F6065D">
        <w:rPr>
          <w:rFonts w:asciiTheme="majorBidi" w:hAnsiTheme="majorBidi" w:cstheme="majorBidi"/>
        </w:rPr>
        <w:t>, ka sabiedrībai ir sniegta informācija par būvniecības ieceres būvapjomu, sniegts objekta apraksts un vizualizācijas</w:t>
      </w:r>
      <w:r w:rsidR="007057B5" w:rsidRPr="00F6065D">
        <w:rPr>
          <w:rFonts w:asciiTheme="majorBidi" w:hAnsiTheme="majorBidi" w:cstheme="majorBidi"/>
        </w:rPr>
        <w:t xml:space="preserve"> </w:t>
      </w:r>
      <w:r w:rsidRPr="00F6065D">
        <w:rPr>
          <w:rFonts w:asciiTheme="majorBidi" w:hAnsiTheme="majorBidi" w:cstheme="majorBidi"/>
        </w:rPr>
        <w:t>(</w:t>
      </w:r>
      <w:r w:rsidRPr="00F6065D">
        <w:rPr>
          <w:rFonts w:asciiTheme="majorBidi" w:hAnsiTheme="majorBidi" w:cstheme="majorBidi"/>
          <w:i/>
          <w:iCs/>
        </w:rPr>
        <w:t>apgabaltiesas sprieduma 22.punkts</w:t>
      </w:r>
      <w:r w:rsidRPr="00F6065D">
        <w:rPr>
          <w:rFonts w:asciiTheme="majorBidi" w:hAnsiTheme="majorBidi" w:cstheme="majorBidi"/>
        </w:rPr>
        <w:t xml:space="preserve">). Tātad tiesa ir konstatējusi, ka sabiedrībai tika sniegta </w:t>
      </w:r>
      <w:r w:rsidR="007057B5" w:rsidRPr="00F6065D">
        <w:rPr>
          <w:rFonts w:asciiTheme="majorBidi" w:hAnsiTheme="majorBidi" w:cstheme="majorBidi"/>
        </w:rPr>
        <w:t>pienācīga</w:t>
      </w:r>
      <w:r w:rsidRPr="00F6065D">
        <w:rPr>
          <w:rFonts w:asciiTheme="majorBidi" w:hAnsiTheme="majorBidi" w:cstheme="majorBidi"/>
        </w:rPr>
        <w:t xml:space="preserve"> informācija par to, kādu objektu ar kādiem to raksturojošajiem elementiem ir plānots būvēt. </w:t>
      </w:r>
      <w:r w:rsidR="00EB3483" w:rsidRPr="00F6065D">
        <w:rPr>
          <w:rFonts w:asciiTheme="majorBidi" w:hAnsiTheme="majorBidi" w:cstheme="majorBidi"/>
        </w:rPr>
        <w:t>Šiem apgabaltiesas secinājumiem pieteicēja kasācijas kārtībā nav iebildusi</w:t>
      </w:r>
      <w:r w:rsidR="004638B6" w:rsidRPr="00F6065D">
        <w:rPr>
          <w:rFonts w:asciiTheme="majorBidi" w:hAnsiTheme="majorBidi" w:cstheme="majorBidi"/>
        </w:rPr>
        <w:t xml:space="preserve">. </w:t>
      </w:r>
    </w:p>
    <w:p w14:paraId="26660DDB" w14:textId="77777777" w:rsidR="00D545F5" w:rsidRPr="00F6065D" w:rsidRDefault="00D545F5" w:rsidP="0096218E">
      <w:pPr>
        <w:spacing w:line="276" w:lineRule="auto"/>
        <w:ind w:firstLine="720"/>
        <w:jc w:val="both"/>
        <w:rPr>
          <w:rFonts w:asciiTheme="majorBidi" w:hAnsiTheme="majorBidi" w:cstheme="majorBidi"/>
        </w:rPr>
      </w:pPr>
    </w:p>
    <w:p w14:paraId="5E7E7FDE" w14:textId="1B037C64" w:rsidR="00373C18" w:rsidRPr="00F6065D" w:rsidRDefault="00D545F5" w:rsidP="0096218E">
      <w:pPr>
        <w:shd w:val="clear" w:color="auto" w:fill="FFFFFF"/>
        <w:spacing w:line="276" w:lineRule="auto"/>
        <w:ind w:firstLine="720"/>
        <w:jc w:val="both"/>
        <w:rPr>
          <w:rFonts w:asciiTheme="majorBidi" w:hAnsiTheme="majorBidi" w:cstheme="majorBidi"/>
        </w:rPr>
      </w:pPr>
      <w:r w:rsidRPr="00F6065D">
        <w:rPr>
          <w:rFonts w:asciiTheme="majorBidi" w:hAnsiTheme="majorBidi" w:cstheme="majorBidi"/>
        </w:rPr>
        <w:t>[</w:t>
      </w:r>
      <w:r w:rsidR="00E735B2">
        <w:rPr>
          <w:rFonts w:asciiTheme="majorBidi" w:hAnsiTheme="majorBidi" w:cstheme="majorBidi"/>
        </w:rPr>
        <w:t>6</w:t>
      </w:r>
      <w:r w:rsidRPr="00F6065D">
        <w:rPr>
          <w:rFonts w:asciiTheme="majorBidi" w:hAnsiTheme="majorBidi" w:cstheme="majorBidi"/>
        </w:rPr>
        <w:t xml:space="preserve">] </w:t>
      </w:r>
      <w:r w:rsidR="00C20761" w:rsidRPr="00F6065D">
        <w:rPr>
          <w:rFonts w:asciiTheme="majorBidi" w:hAnsiTheme="majorBidi" w:cstheme="majorBidi"/>
        </w:rPr>
        <w:t xml:space="preserve">Kasācijas sūdzībā arī izteikti iebildumi, ka tiesa ir pārkāpusi </w:t>
      </w:r>
      <w:r w:rsidR="002C67DB" w:rsidRPr="00F6065D">
        <w:rPr>
          <w:rFonts w:asciiTheme="majorBidi" w:hAnsiTheme="majorBidi" w:cstheme="majorBidi"/>
        </w:rPr>
        <w:t xml:space="preserve">savas </w:t>
      </w:r>
      <w:r w:rsidR="00C20761" w:rsidRPr="00F6065D">
        <w:rPr>
          <w:rFonts w:asciiTheme="majorBidi" w:hAnsiTheme="majorBidi" w:cstheme="majorBidi"/>
        </w:rPr>
        <w:t xml:space="preserve">kompetences robežas, proti, </w:t>
      </w:r>
      <w:proofErr w:type="spellStart"/>
      <w:r w:rsidR="00C20761" w:rsidRPr="00F6065D">
        <w:rPr>
          <w:rFonts w:asciiTheme="majorBidi" w:hAnsiTheme="majorBidi" w:cstheme="majorBidi"/>
        </w:rPr>
        <w:t>būv</w:t>
      </w:r>
      <w:r w:rsidR="000A1204" w:rsidRPr="00F6065D">
        <w:rPr>
          <w:rFonts w:asciiTheme="majorBidi" w:hAnsiTheme="majorBidi" w:cstheme="majorBidi"/>
        </w:rPr>
        <w:t>ieceres</w:t>
      </w:r>
      <w:proofErr w:type="spellEnd"/>
      <w:r w:rsidR="00C20761" w:rsidRPr="00F6065D">
        <w:rPr>
          <w:rFonts w:asciiTheme="majorBidi" w:hAnsiTheme="majorBidi" w:cstheme="majorBidi"/>
        </w:rPr>
        <w:t xml:space="preserve"> augstvērtīgumu pamatojusi ar tādu pierādījumu (Konkursa žūrijas komisijas </w:t>
      </w:r>
      <w:proofErr w:type="gramStart"/>
      <w:r w:rsidR="00C20761" w:rsidRPr="00F6065D">
        <w:rPr>
          <w:rFonts w:asciiTheme="majorBidi" w:hAnsiTheme="majorBidi" w:cstheme="majorBidi"/>
        </w:rPr>
        <w:t>2025.gada</w:t>
      </w:r>
      <w:proofErr w:type="gramEnd"/>
      <w:r w:rsidR="00C20761" w:rsidRPr="00F6065D">
        <w:rPr>
          <w:rFonts w:asciiTheme="majorBidi" w:hAnsiTheme="majorBidi" w:cstheme="majorBidi"/>
        </w:rPr>
        <w:t xml:space="preserve"> 27.marta lēmumu), kas pieņemts pēc šajā lietā pārsūdzētās būvatļaujas pieņemšanas. Tomēr pieteicēja kļūdaini izpratusi Administratīvā procesa likuma </w:t>
      </w:r>
      <w:proofErr w:type="gramStart"/>
      <w:r w:rsidR="00C20761" w:rsidRPr="00F6065D">
        <w:rPr>
          <w:rFonts w:asciiTheme="majorBidi" w:hAnsiTheme="majorBidi" w:cstheme="majorBidi"/>
        </w:rPr>
        <w:t>250.panta</w:t>
      </w:r>
      <w:proofErr w:type="gramEnd"/>
      <w:r w:rsidR="00C20761" w:rsidRPr="00F6065D">
        <w:rPr>
          <w:rFonts w:asciiTheme="majorBidi" w:hAnsiTheme="majorBidi" w:cstheme="majorBidi"/>
        </w:rPr>
        <w:t xml:space="preserve"> otrajā daļā noteiktā administratīvā akta pamatojuma maiņas aizlieguma būtību.</w:t>
      </w:r>
    </w:p>
    <w:p w14:paraId="79E577C1" w14:textId="62A6201F" w:rsidR="00C371CE" w:rsidRPr="00F6065D" w:rsidRDefault="008963DF" w:rsidP="0096218E">
      <w:pPr>
        <w:shd w:val="clear" w:color="auto" w:fill="FFFFFF"/>
        <w:spacing w:line="276" w:lineRule="auto"/>
        <w:ind w:firstLine="720"/>
        <w:jc w:val="both"/>
      </w:pPr>
      <w:r w:rsidRPr="00F6065D">
        <w:rPr>
          <w:rFonts w:asciiTheme="majorBidi" w:hAnsiTheme="majorBidi" w:cstheme="majorBidi"/>
        </w:rPr>
        <w:t xml:space="preserve">Senatoru kolēģija paskaidro, ka </w:t>
      </w:r>
      <w:r w:rsidR="00373C18" w:rsidRPr="00F6065D">
        <w:rPr>
          <w:rFonts w:asciiTheme="majorBidi" w:hAnsiTheme="majorBidi" w:cstheme="majorBidi"/>
        </w:rPr>
        <w:t xml:space="preserve">Administratīvā procesa likuma </w:t>
      </w:r>
      <w:proofErr w:type="gramStart"/>
      <w:r w:rsidR="00373C18" w:rsidRPr="00F6065D">
        <w:rPr>
          <w:rFonts w:asciiTheme="majorBidi" w:hAnsiTheme="majorBidi" w:cstheme="majorBidi"/>
        </w:rPr>
        <w:t>250.panta</w:t>
      </w:r>
      <w:proofErr w:type="gramEnd"/>
      <w:r w:rsidR="00373C18" w:rsidRPr="00F6065D">
        <w:rPr>
          <w:rFonts w:asciiTheme="majorBidi" w:hAnsiTheme="majorBidi" w:cstheme="majorBidi"/>
        </w:rPr>
        <w:t xml:space="preserve"> otrā daļa liedz tiesai, konstatējot, ka iestādes lēmumā norādītie apstākļi nevar būt pamats attiecīgo tiesisko seku radīšanai, pašai lemt par to, ka konkrētas tiesiskās sekas tomēr saglabājamas pavisam citu iemeslu dēļ (sal. </w:t>
      </w:r>
      <w:r w:rsidR="00373C18" w:rsidRPr="00F6065D">
        <w:rPr>
          <w:rFonts w:asciiTheme="majorBidi" w:hAnsiTheme="majorBidi" w:cstheme="majorBidi"/>
          <w:i/>
          <w:iCs/>
        </w:rPr>
        <w:t>Senāta 2022.gada 22.decembra sprieduma lietā Nr.</w:t>
      </w:r>
      <w:r w:rsidR="00981929">
        <w:rPr>
          <w:rFonts w:asciiTheme="majorBidi" w:hAnsiTheme="majorBidi" w:cstheme="majorBidi"/>
          <w:i/>
          <w:iCs/>
        </w:rPr>
        <w:t> </w:t>
      </w:r>
      <w:r w:rsidR="00373C18" w:rsidRPr="00F6065D">
        <w:rPr>
          <w:rFonts w:asciiTheme="majorBidi" w:hAnsiTheme="majorBidi" w:cstheme="majorBidi"/>
          <w:i/>
          <w:iCs/>
        </w:rPr>
        <w:t xml:space="preserve">SKA-227/2022, </w:t>
      </w:r>
      <w:hyperlink r:id="rId8" w:history="1">
        <w:r w:rsidR="00373C18" w:rsidRPr="00F6065D">
          <w:rPr>
            <w:rStyle w:val="Hyperlink"/>
            <w:rFonts w:asciiTheme="majorBidi" w:hAnsiTheme="majorBidi" w:cstheme="majorBidi"/>
            <w:i/>
            <w:iCs/>
          </w:rPr>
          <w:t>ECLI:LV:AT:2022:1222.A420157717.17.S</w:t>
        </w:r>
      </w:hyperlink>
      <w:r w:rsidR="00373C18" w:rsidRPr="00F6065D">
        <w:rPr>
          <w:rFonts w:asciiTheme="majorBidi" w:hAnsiTheme="majorBidi" w:cstheme="majorBidi"/>
          <w:i/>
          <w:iCs/>
        </w:rPr>
        <w:t>, 9.punkts</w:t>
      </w:r>
      <w:r w:rsidR="00373C18" w:rsidRPr="00F6065D">
        <w:rPr>
          <w:rFonts w:asciiTheme="majorBidi" w:hAnsiTheme="majorBidi" w:cstheme="majorBidi"/>
        </w:rPr>
        <w:t xml:space="preserve">). Tātad minētā tiesību norma neļauj tiesai, </w:t>
      </w:r>
      <w:r w:rsidR="00373C18" w:rsidRPr="00F6065D">
        <w:t xml:space="preserve">skatot pieteikumu par nelabvēlīga administratīvā akta atcelšanu, pieteicējam nelabvēlīgu spriedumu </w:t>
      </w:r>
      <w:r w:rsidR="000A1204" w:rsidRPr="00F6065D">
        <w:t>balstīt uz</w:t>
      </w:r>
      <w:r w:rsidR="00373C18" w:rsidRPr="00F6065D">
        <w:t xml:space="preserve"> </w:t>
      </w:r>
      <w:r w:rsidR="00404ED2" w:rsidRPr="00F6065D">
        <w:t>citu</w:t>
      </w:r>
      <w:r w:rsidR="000A1204" w:rsidRPr="00F6065D">
        <w:t>, iestādes neminētu pamatu</w:t>
      </w:r>
      <w:r w:rsidR="00373C18" w:rsidRPr="00F6065D">
        <w:t xml:space="preserve"> (sal. </w:t>
      </w:r>
      <w:r w:rsidR="00373C18" w:rsidRPr="00F6065D">
        <w:rPr>
          <w:i/>
          <w:iCs/>
        </w:rPr>
        <w:t xml:space="preserve">Senāta 2025.gada 7.oktobra sprieduma lietā Nr. SKA-383/2025, </w:t>
      </w:r>
      <w:hyperlink r:id="rId9" w:history="1">
        <w:r w:rsidR="00373C18" w:rsidRPr="00F6065D">
          <w:rPr>
            <w:i/>
            <w:iCs/>
            <w:color w:val="0563C1"/>
            <w:u w:val="single"/>
          </w:rPr>
          <w:t>ECLI:LV:AT:2025:1007.A420165122.10.S</w:t>
        </w:r>
      </w:hyperlink>
      <w:r w:rsidR="00373C18" w:rsidRPr="00F6065D">
        <w:rPr>
          <w:i/>
          <w:iCs/>
        </w:rPr>
        <w:t>, 11.punkts</w:t>
      </w:r>
      <w:r w:rsidR="00373C18" w:rsidRPr="00F6065D">
        <w:t xml:space="preserve">). </w:t>
      </w:r>
      <w:r w:rsidRPr="00F6065D">
        <w:t xml:space="preserve">Tiesa to konkrētajā gadījumā </w:t>
      </w:r>
      <w:r w:rsidR="003364CE" w:rsidRPr="00F6065D">
        <w:t xml:space="preserve">arī </w:t>
      </w:r>
      <w:r w:rsidRPr="00F6065D">
        <w:t xml:space="preserve">nav darījusi. </w:t>
      </w:r>
      <w:r w:rsidR="004F32D0" w:rsidRPr="00F6065D">
        <w:t xml:space="preserve">Tiesa, </w:t>
      </w:r>
      <w:r w:rsidR="007B109E" w:rsidRPr="00F6065D">
        <w:t>izskatot lietu pēc būtības, pārbaudīja</w:t>
      </w:r>
      <w:r w:rsidR="004F32D0" w:rsidRPr="00F6065D">
        <w:t>, vai pārsūdzētais – trešajai personai labvēlīgais</w:t>
      </w:r>
      <w:r w:rsidR="007B109E" w:rsidRPr="00F6065D">
        <w:t xml:space="preserve"> –</w:t>
      </w:r>
      <w:r w:rsidR="004F32D0" w:rsidRPr="00F6065D">
        <w:t xml:space="preserve"> administratīvais akts atbilst visiem tā izdošanas priekšnoteikumiem, tostarp skaidrojot, vai</w:t>
      </w:r>
      <w:r w:rsidR="006C1B68" w:rsidRPr="00F6065D">
        <w:t xml:space="preserve"> pārsūdzētās būvatļaujas izdošanā</w:t>
      </w:r>
      <w:r w:rsidR="005A65B7" w:rsidRPr="00F6065D">
        <w:t xml:space="preserve"> </w:t>
      </w:r>
      <w:r w:rsidR="004F32D0" w:rsidRPr="00F6065D">
        <w:t xml:space="preserve">ievērots Apbūves noteikumu 48.punkta piemērošanas priekšnoteikums saistībā ar būvniecības arhitektoniskās kvalitātes prasībām. </w:t>
      </w:r>
      <w:r w:rsidR="002C67DB" w:rsidRPr="00F6065D">
        <w:t>Būv</w:t>
      </w:r>
      <w:r w:rsidR="00E735B2">
        <w:t xml:space="preserve">niecības </w:t>
      </w:r>
      <w:r w:rsidR="002C67DB" w:rsidRPr="00F6065D">
        <w:t xml:space="preserve">ieceres atbilstība arhitektoniskās kvalitātes prasībām bija viens no pamatiem, uz kuriem balstīts pārsūdzētais lēmums. </w:t>
      </w:r>
      <w:r w:rsidR="00245FFE" w:rsidRPr="00F6065D">
        <w:t>Tas, ka tiesa spriedumā</w:t>
      </w:r>
      <w:r w:rsidR="00420478" w:rsidRPr="00F6065D">
        <w:t xml:space="preserve"> </w:t>
      </w:r>
      <w:r w:rsidR="002C67DB" w:rsidRPr="00F6065D">
        <w:t xml:space="preserve">šā apstākļa pārbaudīšanai </w:t>
      </w:r>
      <w:proofErr w:type="spellStart"/>
      <w:r w:rsidR="002C67DB" w:rsidRPr="00F6065D">
        <w:t>citstarp</w:t>
      </w:r>
      <w:proofErr w:type="spellEnd"/>
      <w:r w:rsidR="002C67DB" w:rsidRPr="00F6065D">
        <w:t xml:space="preserve"> </w:t>
      </w:r>
      <w:r w:rsidR="00245FFE" w:rsidRPr="00F6065D">
        <w:t xml:space="preserve">atsaukusies uz žūrijas komisijas </w:t>
      </w:r>
      <w:r w:rsidR="00420478" w:rsidRPr="00F6065D">
        <w:t xml:space="preserve">pēc pārsūdzētās būvatļaujas izdošanas </w:t>
      </w:r>
      <w:r w:rsidR="00B1400C" w:rsidRPr="00F6065D">
        <w:t>pieņemto lēmumu</w:t>
      </w:r>
      <w:r w:rsidR="00245FFE" w:rsidRPr="00F6065D">
        <w:t xml:space="preserve"> par būvniecības</w:t>
      </w:r>
      <w:r w:rsidR="00420478" w:rsidRPr="00F6065D">
        <w:t xml:space="preserve"> gala risinājuma augstvērtīgo arhitektonisko </w:t>
      </w:r>
      <w:r w:rsidR="00245FFE" w:rsidRPr="00F6065D">
        <w:t xml:space="preserve">kvalitāti, nenozīmē, ka </w:t>
      </w:r>
      <w:r w:rsidR="00A04F85">
        <w:t xml:space="preserve">ir </w:t>
      </w:r>
      <w:r w:rsidR="00245FFE" w:rsidRPr="00F6065D">
        <w:t xml:space="preserve">mainīts būvatļaujas izdošanas pamats. </w:t>
      </w:r>
      <w:r w:rsidR="00B1400C" w:rsidRPr="00F6065D">
        <w:t xml:space="preserve">Tiesa vienīgi </w:t>
      </w:r>
      <w:r w:rsidR="00EF740C" w:rsidRPr="00F6065D">
        <w:t xml:space="preserve">ir </w:t>
      </w:r>
      <w:r w:rsidR="00B1400C" w:rsidRPr="00F6065D">
        <w:t xml:space="preserve">izvērtējusi </w:t>
      </w:r>
      <w:r w:rsidR="006C1B68" w:rsidRPr="00F6065D">
        <w:t xml:space="preserve">žūrijas komisijas </w:t>
      </w:r>
      <w:r w:rsidR="0027102C" w:rsidRPr="00F6065D">
        <w:t>vēlāk</w:t>
      </w:r>
      <w:r w:rsidR="00B1400C" w:rsidRPr="00F6065D">
        <w:t xml:space="preserve"> pausto </w:t>
      </w:r>
      <w:r w:rsidR="0027102C" w:rsidRPr="00F6065D">
        <w:t xml:space="preserve">pozīciju </w:t>
      </w:r>
      <w:r w:rsidR="00B1400C" w:rsidRPr="00F6065D">
        <w:t xml:space="preserve">par būvniecības ieceres atbilstību tiesību normu prasībām. </w:t>
      </w:r>
    </w:p>
    <w:p w14:paraId="14A712F7" w14:textId="77777777" w:rsidR="00484183" w:rsidRPr="00F6065D" w:rsidRDefault="00484183" w:rsidP="0096218E">
      <w:pPr>
        <w:shd w:val="clear" w:color="auto" w:fill="FFFFFF"/>
        <w:spacing w:line="276" w:lineRule="auto"/>
        <w:ind w:firstLine="720"/>
        <w:jc w:val="both"/>
      </w:pPr>
    </w:p>
    <w:p w14:paraId="5B0E1D26" w14:textId="752135AB" w:rsidR="00A50150" w:rsidRPr="00F6065D" w:rsidRDefault="00A50150" w:rsidP="0096218E">
      <w:pPr>
        <w:spacing w:line="276" w:lineRule="auto"/>
        <w:ind w:firstLine="720"/>
        <w:jc w:val="both"/>
        <w:rPr>
          <w:rFonts w:asciiTheme="majorBidi" w:hAnsiTheme="majorBidi" w:cstheme="majorBidi"/>
        </w:rPr>
      </w:pPr>
      <w:r w:rsidRPr="00F6065D">
        <w:rPr>
          <w:rFonts w:asciiTheme="majorBidi" w:hAnsiTheme="majorBidi" w:cstheme="majorBidi"/>
        </w:rPr>
        <w:t>[</w:t>
      </w:r>
      <w:r w:rsidR="00E735B2">
        <w:rPr>
          <w:rFonts w:asciiTheme="majorBidi" w:hAnsiTheme="majorBidi" w:cstheme="majorBidi"/>
        </w:rPr>
        <w:t>7</w:t>
      </w:r>
      <w:r w:rsidRPr="00F6065D">
        <w:rPr>
          <w:rFonts w:asciiTheme="majorBidi" w:hAnsiTheme="majorBidi" w:cstheme="majorBidi"/>
        </w:rPr>
        <w:t xml:space="preserve">] Rezumējot minēto, senatoru kolēģija atzīst, ka </w:t>
      </w:r>
      <w:r w:rsidR="008963DF" w:rsidRPr="00F6065D">
        <w:rPr>
          <w:rFonts w:asciiTheme="majorBidi" w:hAnsiTheme="majorBidi" w:cstheme="majorBidi"/>
        </w:rPr>
        <w:t xml:space="preserve">pieteicējas </w:t>
      </w:r>
      <w:r w:rsidRPr="00F6065D">
        <w:rPr>
          <w:rFonts w:asciiTheme="majorBidi" w:hAnsiTheme="majorBidi" w:cstheme="majorBidi"/>
        </w:rPr>
        <w:t xml:space="preserve">kasācijas sūdzībā norādītie apsvērumi nerada šaubas par </w:t>
      </w:r>
      <w:r w:rsidR="008963DF" w:rsidRPr="00F6065D">
        <w:rPr>
          <w:rFonts w:asciiTheme="majorBidi" w:hAnsiTheme="majorBidi" w:cstheme="majorBidi"/>
        </w:rPr>
        <w:t>apelācijas instances tiesas</w:t>
      </w:r>
      <w:r w:rsidRPr="00F6065D">
        <w:rPr>
          <w:rFonts w:asciiTheme="majorBidi" w:hAnsiTheme="majorBidi" w:cstheme="majorBidi"/>
        </w:rPr>
        <w:t xml:space="preserve"> spriedum</w:t>
      </w:r>
      <w:r w:rsidR="00D277EE" w:rsidRPr="00F6065D">
        <w:rPr>
          <w:rFonts w:asciiTheme="majorBidi" w:hAnsiTheme="majorBidi" w:cstheme="majorBidi"/>
        </w:rPr>
        <w:t>ā ietvertā lietas iznākum</w:t>
      </w:r>
      <w:r w:rsidRPr="00F6065D">
        <w:rPr>
          <w:rFonts w:asciiTheme="majorBidi" w:hAnsiTheme="majorBidi" w:cstheme="majorBidi"/>
        </w:rPr>
        <w:t>a tiesiskumu. Izskatāmajai lietai arī nav nozīmes judikatūras veidošanā. Tas ir pamats atteikt ierosināt kasācijas tiesvedību.</w:t>
      </w:r>
    </w:p>
    <w:p w14:paraId="4781153E" w14:textId="77777777" w:rsidR="00A50150" w:rsidRPr="00F6065D" w:rsidRDefault="00A50150" w:rsidP="0096218E">
      <w:pPr>
        <w:spacing w:line="276" w:lineRule="auto"/>
        <w:ind w:firstLine="720"/>
        <w:jc w:val="both"/>
        <w:rPr>
          <w:rFonts w:asciiTheme="majorBidi" w:hAnsiTheme="majorBidi" w:cstheme="majorBidi"/>
        </w:rPr>
      </w:pPr>
    </w:p>
    <w:p w14:paraId="3E18CE94" w14:textId="5C48A629" w:rsidR="00A50150" w:rsidRPr="00F6065D" w:rsidRDefault="00A50150" w:rsidP="0096218E">
      <w:pPr>
        <w:spacing w:line="276" w:lineRule="auto"/>
        <w:ind w:firstLine="720"/>
        <w:jc w:val="both"/>
        <w:rPr>
          <w:rFonts w:asciiTheme="majorBidi" w:hAnsiTheme="majorBidi" w:cstheme="majorBidi"/>
          <w:strike/>
        </w:rPr>
      </w:pPr>
      <w:r w:rsidRPr="00F6065D">
        <w:rPr>
          <w:rFonts w:asciiTheme="majorBidi" w:hAnsiTheme="majorBidi" w:cstheme="majorBidi"/>
        </w:rPr>
        <w:t xml:space="preserve">Pamatojoties uz Administratīvā procesa likuma </w:t>
      </w:r>
      <w:proofErr w:type="gramStart"/>
      <w:r w:rsidRPr="00F6065D">
        <w:rPr>
          <w:rFonts w:asciiTheme="majorBidi" w:hAnsiTheme="majorBidi" w:cstheme="majorBidi"/>
        </w:rPr>
        <w:t>338.panta</w:t>
      </w:r>
      <w:proofErr w:type="gramEnd"/>
      <w:r w:rsidRPr="00F6065D">
        <w:rPr>
          <w:rFonts w:asciiTheme="majorBidi" w:hAnsiTheme="majorBidi" w:cstheme="majorBidi"/>
        </w:rPr>
        <w:t xml:space="preserve"> otro daļu un 338.</w:t>
      </w:r>
      <w:r w:rsidRPr="00F6065D">
        <w:rPr>
          <w:rFonts w:asciiTheme="majorBidi" w:hAnsiTheme="majorBidi" w:cstheme="majorBidi"/>
          <w:vertAlign w:val="superscript"/>
        </w:rPr>
        <w:t>1</w:t>
      </w:r>
      <w:r w:rsidRPr="00F6065D">
        <w:rPr>
          <w:rFonts w:asciiTheme="majorBidi" w:hAnsiTheme="majorBidi" w:cstheme="majorBidi"/>
        </w:rPr>
        <w:t xml:space="preserve">panta </w:t>
      </w:r>
      <w:r w:rsidR="00B90AAD" w:rsidRPr="00F6065D">
        <w:rPr>
          <w:rFonts w:asciiTheme="majorBidi" w:hAnsiTheme="majorBidi" w:cstheme="majorBidi"/>
        </w:rPr>
        <w:t>otrās daļas 2.punktu,</w:t>
      </w:r>
      <w:r w:rsidRPr="00F6065D">
        <w:rPr>
          <w:rFonts w:asciiTheme="majorBidi" w:hAnsiTheme="majorBidi" w:cstheme="majorBidi"/>
        </w:rPr>
        <w:t xml:space="preserve"> senatoru kolēģija</w:t>
      </w:r>
    </w:p>
    <w:p w14:paraId="531C090A" w14:textId="77777777" w:rsidR="00A50150" w:rsidRPr="00F6065D" w:rsidRDefault="00A50150" w:rsidP="0096218E">
      <w:pPr>
        <w:spacing w:line="276" w:lineRule="auto"/>
        <w:jc w:val="center"/>
        <w:rPr>
          <w:b/>
        </w:rPr>
      </w:pPr>
      <w:r w:rsidRPr="00F6065D">
        <w:rPr>
          <w:b/>
        </w:rPr>
        <w:t>nolēma</w:t>
      </w:r>
    </w:p>
    <w:p w14:paraId="7593AF8D" w14:textId="77777777" w:rsidR="00A50150" w:rsidRPr="00F6065D" w:rsidRDefault="00A50150" w:rsidP="0096218E">
      <w:pPr>
        <w:spacing w:line="276" w:lineRule="auto"/>
        <w:jc w:val="center"/>
        <w:rPr>
          <w:b/>
        </w:rPr>
      </w:pPr>
    </w:p>
    <w:p w14:paraId="3DC2BC25" w14:textId="6B8FEFB9" w:rsidR="00A50150" w:rsidRPr="00F6065D" w:rsidRDefault="00A50150" w:rsidP="0096218E">
      <w:pPr>
        <w:spacing w:line="276" w:lineRule="auto"/>
        <w:ind w:firstLine="720"/>
        <w:jc w:val="both"/>
      </w:pPr>
      <w:r w:rsidRPr="00F6065D">
        <w:t xml:space="preserve">atteikt ierosināt kasācijas tiesvedību sakarā ar </w:t>
      </w:r>
      <w:proofErr w:type="gramStart"/>
      <w:r w:rsidR="0096218E">
        <w:rPr>
          <w:rFonts w:asciiTheme="majorBidi" w:hAnsiTheme="majorBidi" w:cstheme="majorBidi"/>
        </w:rPr>
        <w:t>[</w:t>
      </w:r>
      <w:proofErr w:type="gramEnd"/>
      <w:r w:rsidR="0096218E">
        <w:rPr>
          <w:rFonts w:asciiTheme="majorBidi" w:hAnsiTheme="majorBidi" w:cstheme="majorBidi"/>
        </w:rPr>
        <w:t xml:space="preserve">pers. A] </w:t>
      </w:r>
      <w:r w:rsidRPr="00F6065D">
        <w:t xml:space="preserve">kasācijas sūdzību par Administratīvās </w:t>
      </w:r>
      <w:r w:rsidR="00B90AAD" w:rsidRPr="00F6065D">
        <w:t>apgabaltiesas</w:t>
      </w:r>
      <w:r w:rsidRPr="00F6065D">
        <w:t xml:space="preserve"> </w:t>
      </w:r>
      <w:proofErr w:type="gramStart"/>
      <w:r w:rsidR="00B90AAD" w:rsidRPr="00F6065D">
        <w:t>2026.gada</w:t>
      </w:r>
      <w:proofErr w:type="gramEnd"/>
      <w:r w:rsidR="00B90AAD" w:rsidRPr="00F6065D">
        <w:t xml:space="preserve"> 4.februāra</w:t>
      </w:r>
      <w:r w:rsidRPr="00F6065D">
        <w:t xml:space="preserve"> spriedumu.</w:t>
      </w:r>
    </w:p>
    <w:p w14:paraId="62D05F79" w14:textId="77777777" w:rsidR="00A50150" w:rsidRPr="00F6065D" w:rsidRDefault="00A50150" w:rsidP="0096218E">
      <w:pPr>
        <w:spacing w:line="276" w:lineRule="auto"/>
        <w:ind w:firstLine="720"/>
        <w:jc w:val="both"/>
      </w:pPr>
    </w:p>
    <w:p w14:paraId="72CF0342" w14:textId="180A5DCE" w:rsidR="00A50150" w:rsidRPr="00F6065D" w:rsidRDefault="00A50150" w:rsidP="0096218E">
      <w:pPr>
        <w:spacing w:line="276" w:lineRule="auto"/>
        <w:ind w:firstLine="720"/>
        <w:jc w:val="both"/>
      </w:pPr>
      <w:r w:rsidRPr="00F6065D">
        <w:t>Lēmums nav pārsūdzams.</w:t>
      </w:r>
    </w:p>
    <w:p w14:paraId="48E54892" w14:textId="77777777" w:rsidR="00D277EE" w:rsidRPr="00F6065D" w:rsidRDefault="00D277EE" w:rsidP="0096218E">
      <w:pPr>
        <w:spacing w:line="276" w:lineRule="auto"/>
        <w:ind w:firstLine="720"/>
        <w:jc w:val="both"/>
      </w:pPr>
    </w:p>
    <w:p w14:paraId="4B4AAD47" w14:textId="77777777" w:rsidR="00D277EE" w:rsidRPr="00F6065D" w:rsidRDefault="00D277EE" w:rsidP="0096218E">
      <w:pPr>
        <w:spacing w:line="276" w:lineRule="auto"/>
        <w:ind w:firstLine="720"/>
        <w:jc w:val="both"/>
      </w:pPr>
    </w:p>
    <w:p w14:paraId="09A1BA40" w14:textId="77777777" w:rsidR="00E809D7" w:rsidRPr="00F6065D" w:rsidRDefault="00E809D7" w:rsidP="0096218E">
      <w:pPr>
        <w:spacing w:line="276" w:lineRule="auto"/>
        <w:ind w:firstLine="720"/>
        <w:jc w:val="both"/>
      </w:pPr>
    </w:p>
    <w:p w14:paraId="0ABCFC62" w14:textId="77777777" w:rsidR="00A50150" w:rsidRPr="00F6065D" w:rsidRDefault="00A50150" w:rsidP="0096218E">
      <w:pPr>
        <w:tabs>
          <w:tab w:val="center" w:pos="1276"/>
          <w:tab w:val="center" w:pos="4678"/>
          <w:tab w:val="center" w:pos="8080"/>
        </w:tabs>
        <w:spacing w:line="276" w:lineRule="auto"/>
        <w:jc w:val="both"/>
        <w:rPr>
          <w:color w:val="000000"/>
        </w:rPr>
      </w:pPr>
    </w:p>
    <w:p w14:paraId="7B62381C" w14:textId="164457CC" w:rsidR="00A50150" w:rsidRDefault="00A50150" w:rsidP="0096218E">
      <w:pPr>
        <w:tabs>
          <w:tab w:val="center" w:pos="1276"/>
          <w:tab w:val="center" w:pos="4678"/>
          <w:tab w:val="center" w:pos="8080"/>
        </w:tabs>
        <w:spacing w:line="276" w:lineRule="auto"/>
        <w:jc w:val="both"/>
        <w:rPr>
          <w:color w:val="000000"/>
        </w:rPr>
      </w:pPr>
      <w:r w:rsidRPr="00F6065D">
        <w:rPr>
          <w:color w:val="000000"/>
        </w:rPr>
        <w:tab/>
        <w:t xml:space="preserve">Senatore </w:t>
      </w:r>
      <w:r w:rsidR="00B90AAD" w:rsidRPr="00F6065D">
        <w:rPr>
          <w:color w:val="000000"/>
        </w:rPr>
        <w:t>I. Višķere</w:t>
      </w:r>
      <w:r w:rsidRPr="00F6065D">
        <w:rPr>
          <w:color w:val="000000"/>
        </w:rPr>
        <w:tab/>
        <w:t xml:space="preserve">Senatore </w:t>
      </w:r>
      <w:r w:rsidR="00B90AAD" w:rsidRPr="00F6065D">
        <w:rPr>
          <w:color w:val="000000"/>
        </w:rPr>
        <w:t>A. Kovaļevska</w:t>
      </w:r>
      <w:r w:rsidRPr="00F6065D">
        <w:rPr>
          <w:color w:val="000000"/>
        </w:rPr>
        <w:tab/>
        <w:t xml:space="preserve">Senatore </w:t>
      </w:r>
      <w:r w:rsidR="00B90AAD" w:rsidRPr="00F6065D">
        <w:rPr>
          <w:color w:val="000000"/>
        </w:rPr>
        <w:t>D. Makarova</w:t>
      </w:r>
    </w:p>
    <w:p w14:paraId="020F80A3" w14:textId="77777777" w:rsidR="00A50150" w:rsidRPr="00B17B0C" w:rsidRDefault="00A50150" w:rsidP="00A50150">
      <w:pPr>
        <w:spacing w:line="276" w:lineRule="auto"/>
        <w:ind w:firstLine="567"/>
        <w:jc w:val="both"/>
        <w:rPr>
          <w:color w:val="000000"/>
        </w:rPr>
      </w:pPr>
    </w:p>
    <w:p w14:paraId="27C6A770" w14:textId="77777777" w:rsidR="00BF21E2" w:rsidRDefault="00BF21E2" w:rsidP="00CE126D">
      <w:pPr>
        <w:spacing w:line="276" w:lineRule="auto"/>
        <w:ind w:firstLine="720"/>
        <w:jc w:val="both"/>
        <w:rPr>
          <w:bCs/>
        </w:rPr>
      </w:pPr>
    </w:p>
    <w:p w14:paraId="0B122C57" w14:textId="77777777" w:rsidR="00BF21E2" w:rsidRDefault="00BF21E2" w:rsidP="00BF21E2">
      <w:pPr>
        <w:spacing w:line="276" w:lineRule="auto"/>
        <w:ind w:firstLine="567"/>
        <w:jc w:val="both"/>
        <w:rPr>
          <w:bCs/>
        </w:rPr>
      </w:pPr>
    </w:p>
    <w:p w14:paraId="533BB602" w14:textId="77777777" w:rsidR="00273A50" w:rsidRDefault="00273A50" w:rsidP="00BF21E2">
      <w:pPr>
        <w:spacing w:line="276" w:lineRule="auto"/>
        <w:ind w:firstLine="567"/>
        <w:jc w:val="both"/>
        <w:rPr>
          <w:bCs/>
        </w:rPr>
      </w:pPr>
    </w:p>
    <w:p w14:paraId="34C2519B" w14:textId="77777777" w:rsidR="00273A50" w:rsidRDefault="00273A50" w:rsidP="00BF21E2">
      <w:pPr>
        <w:spacing w:line="276" w:lineRule="auto"/>
        <w:ind w:firstLine="567"/>
        <w:jc w:val="both"/>
        <w:rPr>
          <w:bCs/>
        </w:rPr>
      </w:pPr>
    </w:p>
    <w:p w14:paraId="1DC169D9" w14:textId="77777777" w:rsidR="00B54F4B" w:rsidRDefault="00B54F4B"/>
    <w:sectPr w:rsidR="00B54F4B" w:rsidSect="003C0F18">
      <w:footerReference w:type="default" r:id="rId10"/>
      <w:pgSz w:w="12240" w:h="15840"/>
      <w:pgMar w:top="1134" w:right="1701"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E3C1E" w14:textId="77777777" w:rsidR="000F4E02" w:rsidRDefault="000F4E02" w:rsidP="009F7ACE">
      <w:r>
        <w:separator/>
      </w:r>
    </w:p>
  </w:endnote>
  <w:endnote w:type="continuationSeparator" w:id="0">
    <w:p w14:paraId="4DEF4F09" w14:textId="77777777" w:rsidR="000F4E02" w:rsidRDefault="000F4E02" w:rsidP="009F7A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18278" w14:textId="68DAEDD6" w:rsidR="009F7ACE" w:rsidRPr="009F7ACE" w:rsidRDefault="009F7ACE" w:rsidP="009F7ACE">
    <w:pPr>
      <w:pStyle w:val="Footer"/>
      <w:jc w:val="center"/>
      <w:rPr>
        <w:sz w:val="20"/>
        <w:szCs w:val="20"/>
      </w:rPr>
    </w:pPr>
    <w:r>
      <w:rPr>
        <w:rStyle w:val="PageNumber"/>
        <w:sz w:val="20"/>
        <w:szCs w:val="20"/>
      </w:rPr>
      <w:fldChar w:fldCharType="begin"/>
    </w:r>
    <w:r>
      <w:rPr>
        <w:rStyle w:val="PageNumber"/>
        <w:sz w:val="20"/>
        <w:szCs w:val="20"/>
      </w:rPr>
      <w:instrText xml:space="preserve">PAGE  </w:instrText>
    </w:r>
    <w:r>
      <w:rPr>
        <w:rStyle w:val="PageNumber"/>
        <w:sz w:val="20"/>
        <w:szCs w:val="20"/>
      </w:rPr>
      <w:fldChar w:fldCharType="separate"/>
    </w:r>
    <w:r>
      <w:rPr>
        <w:rStyle w:val="PageNumber"/>
        <w:sz w:val="20"/>
        <w:szCs w:val="20"/>
      </w:rPr>
      <w:t>1</w:t>
    </w:r>
    <w:r>
      <w:rPr>
        <w:rStyle w:val="PageNumber"/>
        <w:sz w:val="20"/>
        <w:szCs w:val="20"/>
      </w:rPr>
      <w:fldChar w:fldCharType="end"/>
    </w:r>
    <w:r>
      <w:rPr>
        <w:rStyle w:val="PageNumber"/>
        <w:sz w:val="20"/>
        <w:szCs w:val="20"/>
      </w:rPr>
      <w:t xml:space="preserve"> no </w:t>
    </w:r>
    <w:r>
      <w:rPr>
        <w:rStyle w:val="PageNumber"/>
        <w:noProof/>
        <w:sz w:val="20"/>
        <w:szCs w:val="20"/>
      </w:rPr>
      <w:fldChar w:fldCharType="begin"/>
    </w:r>
    <w:r>
      <w:rPr>
        <w:rStyle w:val="PageNumber"/>
        <w:noProof/>
        <w:sz w:val="20"/>
        <w:szCs w:val="20"/>
      </w:rPr>
      <w:instrText xml:space="preserve"> SECTIONPAGES   \* MERGEFORMAT </w:instrText>
    </w:r>
    <w:r>
      <w:rPr>
        <w:rStyle w:val="PageNumber"/>
        <w:noProof/>
        <w:sz w:val="20"/>
        <w:szCs w:val="20"/>
      </w:rPr>
      <w:fldChar w:fldCharType="separate"/>
    </w:r>
    <w:r w:rsidR="00F57D69">
      <w:rPr>
        <w:rStyle w:val="PageNumber"/>
        <w:noProof/>
        <w:sz w:val="20"/>
        <w:szCs w:val="20"/>
      </w:rPr>
      <w:t>5</w:t>
    </w:r>
    <w:r>
      <w:rPr>
        <w:rStyle w:val="PageNumber"/>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DC1BD" w14:textId="77777777" w:rsidR="000F4E02" w:rsidRDefault="000F4E02" w:rsidP="009F7ACE">
      <w:r>
        <w:separator/>
      </w:r>
    </w:p>
  </w:footnote>
  <w:footnote w:type="continuationSeparator" w:id="0">
    <w:p w14:paraId="5794E486" w14:textId="77777777" w:rsidR="000F4E02" w:rsidRDefault="000F4E02" w:rsidP="009F7A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710C5"/>
    <w:multiLevelType w:val="hybridMultilevel"/>
    <w:tmpl w:val="15F23AEE"/>
    <w:lvl w:ilvl="0" w:tplc="1A1C0CB4">
      <w:start w:val="1"/>
      <w:numFmt w:val="decimal"/>
      <w:pStyle w:val="Heading1"/>
      <w:lvlText w:val="%1."/>
      <w:lvlJc w:val="left"/>
      <w:pPr>
        <w:ind w:left="720" w:hanging="360"/>
      </w:pPr>
    </w:lvl>
    <w:lvl w:ilvl="1" w:tplc="C00402C0">
      <w:start w:val="1"/>
      <w:numFmt w:val="decimal"/>
      <w:isLgl/>
      <w:lvlText w:val="%2.%2."/>
      <w:lvlJc w:val="left"/>
      <w:pPr>
        <w:tabs>
          <w:tab w:val="num" w:pos="1080"/>
        </w:tabs>
        <w:ind w:left="1080" w:hanging="720"/>
      </w:pPr>
      <w:rPr>
        <w:rFonts w:hint="default"/>
      </w:rPr>
    </w:lvl>
    <w:lvl w:ilvl="2" w:tplc="BE647B26">
      <w:numFmt w:val="none"/>
      <w:lvlText w:val=""/>
      <w:lvlJc w:val="left"/>
      <w:pPr>
        <w:tabs>
          <w:tab w:val="num" w:pos="360"/>
        </w:tabs>
      </w:pPr>
    </w:lvl>
    <w:lvl w:ilvl="3" w:tplc="07FEDA18">
      <w:numFmt w:val="none"/>
      <w:lvlText w:val=""/>
      <w:lvlJc w:val="left"/>
      <w:pPr>
        <w:tabs>
          <w:tab w:val="num" w:pos="360"/>
        </w:tabs>
      </w:pPr>
    </w:lvl>
    <w:lvl w:ilvl="4" w:tplc="57DAA7F6">
      <w:numFmt w:val="none"/>
      <w:lvlText w:val=""/>
      <w:lvlJc w:val="left"/>
      <w:pPr>
        <w:tabs>
          <w:tab w:val="num" w:pos="360"/>
        </w:tabs>
      </w:pPr>
    </w:lvl>
    <w:lvl w:ilvl="5" w:tplc="21AAD68E">
      <w:numFmt w:val="none"/>
      <w:lvlText w:val=""/>
      <w:lvlJc w:val="left"/>
      <w:pPr>
        <w:tabs>
          <w:tab w:val="num" w:pos="360"/>
        </w:tabs>
      </w:pPr>
    </w:lvl>
    <w:lvl w:ilvl="6" w:tplc="8F1A3C88">
      <w:numFmt w:val="none"/>
      <w:lvlText w:val=""/>
      <w:lvlJc w:val="left"/>
      <w:pPr>
        <w:tabs>
          <w:tab w:val="num" w:pos="360"/>
        </w:tabs>
      </w:pPr>
    </w:lvl>
    <w:lvl w:ilvl="7" w:tplc="76D6703A">
      <w:numFmt w:val="none"/>
      <w:lvlText w:val=""/>
      <w:lvlJc w:val="left"/>
      <w:pPr>
        <w:tabs>
          <w:tab w:val="num" w:pos="360"/>
        </w:tabs>
      </w:pPr>
    </w:lvl>
    <w:lvl w:ilvl="8" w:tplc="B9DA8042">
      <w:numFmt w:val="none"/>
      <w:lvlText w:val=""/>
      <w:lvlJc w:val="left"/>
      <w:pPr>
        <w:tabs>
          <w:tab w:val="num" w:pos="360"/>
        </w:tabs>
      </w:pPr>
    </w:lvl>
  </w:abstractNum>
  <w:num w:numId="1" w16cid:durableId="20583840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lv-LV" w:vendorID="71" w:dllVersion="512" w:checkStyle="1"/>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EE6"/>
    <w:rsid w:val="00004BF8"/>
    <w:rsid w:val="000335A0"/>
    <w:rsid w:val="00040C59"/>
    <w:rsid w:val="000657A4"/>
    <w:rsid w:val="0007523F"/>
    <w:rsid w:val="000858A1"/>
    <w:rsid w:val="00086976"/>
    <w:rsid w:val="00093086"/>
    <w:rsid w:val="0009668D"/>
    <w:rsid w:val="00096BEA"/>
    <w:rsid w:val="000A1204"/>
    <w:rsid w:val="000A5B50"/>
    <w:rsid w:val="000A65CA"/>
    <w:rsid w:val="000B6552"/>
    <w:rsid w:val="000C29C1"/>
    <w:rsid w:val="000D1A2A"/>
    <w:rsid w:val="000E008F"/>
    <w:rsid w:val="000F4E02"/>
    <w:rsid w:val="00103738"/>
    <w:rsid w:val="001037A9"/>
    <w:rsid w:val="00110994"/>
    <w:rsid w:val="00124028"/>
    <w:rsid w:val="00145D0F"/>
    <w:rsid w:val="00151D3D"/>
    <w:rsid w:val="001535D6"/>
    <w:rsid w:val="001603EA"/>
    <w:rsid w:val="001671A5"/>
    <w:rsid w:val="00173C13"/>
    <w:rsid w:val="00193136"/>
    <w:rsid w:val="00194C45"/>
    <w:rsid w:val="001E323A"/>
    <w:rsid w:val="001F5F68"/>
    <w:rsid w:val="001F7560"/>
    <w:rsid w:val="00200463"/>
    <w:rsid w:val="00215F2A"/>
    <w:rsid w:val="002171FB"/>
    <w:rsid w:val="002305DF"/>
    <w:rsid w:val="002370DE"/>
    <w:rsid w:val="00245FFE"/>
    <w:rsid w:val="002539CB"/>
    <w:rsid w:val="002607B6"/>
    <w:rsid w:val="00263820"/>
    <w:rsid w:val="00265CAA"/>
    <w:rsid w:val="0027102C"/>
    <w:rsid w:val="00273A50"/>
    <w:rsid w:val="00275A13"/>
    <w:rsid w:val="00280C36"/>
    <w:rsid w:val="002811FA"/>
    <w:rsid w:val="00282EA8"/>
    <w:rsid w:val="002B0A56"/>
    <w:rsid w:val="002B7063"/>
    <w:rsid w:val="002C4C27"/>
    <w:rsid w:val="002C67DB"/>
    <w:rsid w:val="002D56E6"/>
    <w:rsid w:val="002D5C9B"/>
    <w:rsid w:val="002E45E3"/>
    <w:rsid w:val="002F348C"/>
    <w:rsid w:val="002F5C77"/>
    <w:rsid w:val="00304A0F"/>
    <w:rsid w:val="00307B8A"/>
    <w:rsid w:val="00335C7D"/>
    <w:rsid w:val="003364CE"/>
    <w:rsid w:val="00340B19"/>
    <w:rsid w:val="0035040C"/>
    <w:rsid w:val="00373C18"/>
    <w:rsid w:val="00382694"/>
    <w:rsid w:val="00386FD1"/>
    <w:rsid w:val="003916D7"/>
    <w:rsid w:val="003928E2"/>
    <w:rsid w:val="00396D23"/>
    <w:rsid w:val="003A18CC"/>
    <w:rsid w:val="003A61AD"/>
    <w:rsid w:val="003A669C"/>
    <w:rsid w:val="003B0117"/>
    <w:rsid w:val="003B7EF7"/>
    <w:rsid w:val="003C0F18"/>
    <w:rsid w:val="003D1156"/>
    <w:rsid w:val="003D5A6A"/>
    <w:rsid w:val="003D6244"/>
    <w:rsid w:val="003D7702"/>
    <w:rsid w:val="003E7B9F"/>
    <w:rsid w:val="0040027E"/>
    <w:rsid w:val="00404ED2"/>
    <w:rsid w:val="00411CD0"/>
    <w:rsid w:val="00416AAF"/>
    <w:rsid w:val="00417953"/>
    <w:rsid w:val="00420478"/>
    <w:rsid w:val="00433FED"/>
    <w:rsid w:val="0043587E"/>
    <w:rsid w:val="00443D0E"/>
    <w:rsid w:val="00447EE6"/>
    <w:rsid w:val="004638B6"/>
    <w:rsid w:val="00466B02"/>
    <w:rsid w:val="00474468"/>
    <w:rsid w:val="00476F7D"/>
    <w:rsid w:val="00482EE3"/>
    <w:rsid w:val="00484183"/>
    <w:rsid w:val="004863F0"/>
    <w:rsid w:val="0049356A"/>
    <w:rsid w:val="004A04C2"/>
    <w:rsid w:val="004B2A94"/>
    <w:rsid w:val="004B75D3"/>
    <w:rsid w:val="004C7CD5"/>
    <w:rsid w:val="004E59D3"/>
    <w:rsid w:val="004F32D0"/>
    <w:rsid w:val="0054409D"/>
    <w:rsid w:val="00547C02"/>
    <w:rsid w:val="00552140"/>
    <w:rsid w:val="005564BD"/>
    <w:rsid w:val="00580E57"/>
    <w:rsid w:val="00581CBA"/>
    <w:rsid w:val="005848E9"/>
    <w:rsid w:val="00593680"/>
    <w:rsid w:val="005970F6"/>
    <w:rsid w:val="005A47BA"/>
    <w:rsid w:val="005A65B7"/>
    <w:rsid w:val="005B09DD"/>
    <w:rsid w:val="005B7097"/>
    <w:rsid w:val="005C2B2F"/>
    <w:rsid w:val="005E6B13"/>
    <w:rsid w:val="005E73BB"/>
    <w:rsid w:val="00606B1C"/>
    <w:rsid w:val="006110C5"/>
    <w:rsid w:val="0061178C"/>
    <w:rsid w:val="00621BEB"/>
    <w:rsid w:val="006235D0"/>
    <w:rsid w:val="006266C1"/>
    <w:rsid w:val="00645E5E"/>
    <w:rsid w:val="0064760A"/>
    <w:rsid w:val="00677B06"/>
    <w:rsid w:val="00683368"/>
    <w:rsid w:val="00685357"/>
    <w:rsid w:val="00685C0B"/>
    <w:rsid w:val="006931EA"/>
    <w:rsid w:val="00693FD7"/>
    <w:rsid w:val="006A2B3F"/>
    <w:rsid w:val="006C1B68"/>
    <w:rsid w:val="006D6D1F"/>
    <w:rsid w:val="006E40A1"/>
    <w:rsid w:val="006E7C58"/>
    <w:rsid w:val="006F034D"/>
    <w:rsid w:val="007057B5"/>
    <w:rsid w:val="00711262"/>
    <w:rsid w:val="00720FDE"/>
    <w:rsid w:val="007307B8"/>
    <w:rsid w:val="00732FD5"/>
    <w:rsid w:val="00752EAC"/>
    <w:rsid w:val="00761E6C"/>
    <w:rsid w:val="00765351"/>
    <w:rsid w:val="00787E5B"/>
    <w:rsid w:val="00791C09"/>
    <w:rsid w:val="007A2E7B"/>
    <w:rsid w:val="007A39C9"/>
    <w:rsid w:val="007B109E"/>
    <w:rsid w:val="007B237D"/>
    <w:rsid w:val="007B2567"/>
    <w:rsid w:val="007B6505"/>
    <w:rsid w:val="007C32C8"/>
    <w:rsid w:val="007D63E4"/>
    <w:rsid w:val="007D7CBB"/>
    <w:rsid w:val="007E31D3"/>
    <w:rsid w:val="007E7A92"/>
    <w:rsid w:val="007F57CA"/>
    <w:rsid w:val="0080665F"/>
    <w:rsid w:val="00814EC1"/>
    <w:rsid w:val="00822BC4"/>
    <w:rsid w:val="008251F2"/>
    <w:rsid w:val="00832CE2"/>
    <w:rsid w:val="008525C7"/>
    <w:rsid w:val="008609B8"/>
    <w:rsid w:val="00867C1D"/>
    <w:rsid w:val="008744A3"/>
    <w:rsid w:val="008774FB"/>
    <w:rsid w:val="00884988"/>
    <w:rsid w:val="00894E9D"/>
    <w:rsid w:val="008963DF"/>
    <w:rsid w:val="008B2F60"/>
    <w:rsid w:val="008B5799"/>
    <w:rsid w:val="008B7956"/>
    <w:rsid w:val="008C4AC4"/>
    <w:rsid w:val="008D5881"/>
    <w:rsid w:val="008E5774"/>
    <w:rsid w:val="008F0317"/>
    <w:rsid w:val="00953B14"/>
    <w:rsid w:val="0096218E"/>
    <w:rsid w:val="0096723F"/>
    <w:rsid w:val="0097076F"/>
    <w:rsid w:val="00970C3C"/>
    <w:rsid w:val="00981929"/>
    <w:rsid w:val="00991078"/>
    <w:rsid w:val="0099708D"/>
    <w:rsid w:val="009A0753"/>
    <w:rsid w:val="009A4AD5"/>
    <w:rsid w:val="009C203B"/>
    <w:rsid w:val="009D1D88"/>
    <w:rsid w:val="009F7ACE"/>
    <w:rsid w:val="00A04F85"/>
    <w:rsid w:val="00A11873"/>
    <w:rsid w:val="00A16446"/>
    <w:rsid w:val="00A37F61"/>
    <w:rsid w:val="00A41E03"/>
    <w:rsid w:val="00A50150"/>
    <w:rsid w:val="00A52175"/>
    <w:rsid w:val="00A66ED7"/>
    <w:rsid w:val="00A734AE"/>
    <w:rsid w:val="00A9047D"/>
    <w:rsid w:val="00A92045"/>
    <w:rsid w:val="00AB134F"/>
    <w:rsid w:val="00AC4783"/>
    <w:rsid w:val="00AE1EC7"/>
    <w:rsid w:val="00B04D50"/>
    <w:rsid w:val="00B1400C"/>
    <w:rsid w:val="00B16DFE"/>
    <w:rsid w:val="00B2023C"/>
    <w:rsid w:val="00B21122"/>
    <w:rsid w:val="00B343CD"/>
    <w:rsid w:val="00B379FF"/>
    <w:rsid w:val="00B44311"/>
    <w:rsid w:val="00B54F4B"/>
    <w:rsid w:val="00B63745"/>
    <w:rsid w:val="00B902DC"/>
    <w:rsid w:val="00B90AAD"/>
    <w:rsid w:val="00BA464C"/>
    <w:rsid w:val="00BF122C"/>
    <w:rsid w:val="00BF21E2"/>
    <w:rsid w:val="00C0612A"/>
    <w:rsid w:val="00C13A40"/>
    <w:rsid w:val="00C1458D"/>
    <w:rsid w:val="00C20761"/>
    <w:rsid w:val="00C36704"/>
    <w:rsid w:val="00C371CE"/>
    <w:rsid w:val="00C5023B"/>
    <w:rsid w:val="00C76AB6"/>
    <w:rsid w:val="00C91C11"/>
    <w:rsid w:val="00C94437"/>
    <w:rsid w:val="00CA0496"/>
    <w:rsid w:val="00CA2A54"/>
    <w:rsid w:val="00CA70A8"/>
    <w:rsid w:val="00CB3DE5"/>
    <w:rsid w:val="00CD3B8A"/>
    <w:rsid w:val="00CD3CB9"/>
    <w:rsid w:val="00CE126D"/>
    <w:rsid w:val="00CE22CD"/>
    <w:rsid w:val="00CF04C4"/>
    <w:rsid w:val="00CF3F03"/>
    <w:rsid w:val="00D05D1F"/>
    <w:rsid w:val="00D1391C"/>
    <w:rsid w:val="00D23A39"/>
    <w:rsid w:val="00D25D87"/>
    <w:rsid w:val="00D26858"/>
    <w:rsid w:val="00D277EE"/>
    <w:rsid w:val="00D46175"/>
    <w:rsid w:val="00D51619"/>
    <w:rsid w:val="00D534AD"/>
    <w:rsid w:val="00D545F5"/>
    <w:rsid w:val="00D5653C"/>
    <w:rsid w:val="00D60D17"/>
    <w:rsid w:val="00D748F9"/>
    <w:rsid w:val="00D74B3C"/>
    <w:rsid w:val="00D84A44"/>
    <w:rsid w:val="00D84C20"/>
    <w:rsid w:val="00D87E1A"/>
    <w:rsid w:val="00DA7247"/>
    <w:rsid w:val="00DC00E8"/>
    <w:rsid w:val="00DC62D6"/>
    <w:rsid w:val="00DE57F7"/>
    <w:rsid w:val="00E01CFF"/>
    <w:rsid w:val="00E13ACB"/>
    <w:rsid w:val="00E14234"/>
    <w:rsid w:val="00E200C9"/>
    <w:rsid w:val="00E221E3"/>
    <w:rsid w:val="00E30ED8"/>
    <w:rsid w:val="00E317A4"/>
    <w:rsid w:val="00E46D5D"/>
    <w:rsid w:val="00E735B2"/>
    <w:rsid w:val="00E744C9"/>
    <w:rsid w:val="00E809D7"/>
    <w:rsid w:val="00E84333"/>
    <w:rsid w:val="00EA4B7F"/>
    <w:rsid w:val="00EA57D4"/>
    <w:rsid w:val="00EB3483"/>
    <w:rsid w:val="00EC7C04"/>
    <w:rsid w:val="00EE6521"/>
    <w:rsid w:val="00EE703C"/>
    <w:rsid w:val="00EE722A"/>
    <w:rsid w:val="00EF0A20"/>
    <w:rsid w:val="00EF3EE9"/>
    <w:rsid w:val="00EF740C"/>
    <w:rsid w:val="00F10F7C"/>
    <w:rsid w:val="00F21FFF"/>
    <w:rsid w:val="00F24E9E"/>
    <w:rsid w:val="00F27433"/>
    <w:rsid w:val="00F30017"/>
    <w:rsid w:val="00F3666A"/>
    <w:rsid w:val="00F36C2F"/>
    <w:rsid w:val="00F42E30"/>
    <w:rsid w:val="00F56D18"/>
    <w:rsid w:val="00F57D69"/>
    <w:rsid w:val="00F6065D"/>
    <w:rsid w:val="00FA49DD"/>
    <w:rsid w:val="00FA5C8D"/>
    <w:rsid w:val="00FB4A9E"/>
    <w:rsid w:val="00FB4F91"/>
    <w:rsid w:val="00FC727E"/>
    <w:rsid w:val="00FE5580"/>
    <w:rsid w:val="00FE6326"/>
    <w:rsid w:val="00FF7A3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882D2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7EE6"/>
    <w:pPr>
      <w:spacing w:after="0" w:line="240" w:lineRule="auto"/>
    </w:pPr>
    <w:rPr>
      <w:rFonts w:eastAsia="Times New Roman" w:cs="Times New Roman"/>
      <w:szCs w:val="24"/>
      <w:lang w:val="lv-LV" w:eastAsia="ru-RU"/>
    </w:rPr>
  </w:style>
  <w:style w:type="paragraph" w:styleId="Heading1">
    <w:name w:val="heading 1"/>
    <w:basedOn w:val="Normal"/>
    <w:next w:val="Normal"/>
    <w:link w:val="Heading1Char"/>
    <w:qFormat/>
    <w:rsid w:val="00447EE6"/>
    <w:pPr>
      <w:keepNext/>
      <w:numPr>
        <w:numId w:val="1"/>
      </w:numPr>
      <w:spacing w:before="240" w:after="240"/>
      <w:jc w:val="center"/>
      <w:outlineLvl w:val="0"/>
    </w:pPr>
    <w:rPr>
      <w:b/>
      <w:bCs/>
      <w:kern w:val="32"/>
      <w:szCs w:val="3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47EE6"/>
    <w:rPr>
      <w:rFonts w:eastAsia="Times New Roman" w:cs="Times New Roman"/>
      <w:b/>
      <w:bCs/>
      <w:kern w:val="32"/>
      <w:szCs w:val="32"/>
      <w:lang w:val="x-none" w:eastAsia="ru-RU"/>
    </w:rPr>
  </w:style>
  <w:style w:type="table" w:styleId="TableGrid">
    <w:name w:val="Table Grid"/>
    <w:basedOn w:val="TableNormal"/>
    <w:rsid w:val="00447EE6"/>
    <w:pPr>
      <w:spacing w:after="0" w:line="240" w:lineRule="auto"/>
    </w:pPr>
    <w:rPr>
      <w:rFonts w:eastAsia="Times New Roman" w:cs="Times New Roman"/>
      <w:sz w:val="20"/>
      <w:szCs w:val="20"/>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47EE6"/>
    <w:pPr>
      <w:spacing w:before="100" w:beforeAutospacing="1" w:after="100" w:afterAutospacing="1"/>
    </w:pPr>
    <w:rPr>
      <w:lang w:eastAsia="lv-LV"/>
    </w:rPr>
  </w:style>
  <w:style w:type="paragraph" w:styleId="Header">
    <w:name w:val="header"/>
    <w:basedOn w:val="Normal"/>
    <w:link w:val="HeaderChar"/>
    <w:uiPriority w:val="99"/>
    <w:unhideWhenUsed/>
    <w:rsid w:val="009F7ACE"/>
    <w:pPr>
      <w:tabs>
        <w:tab w:val="center" w:pos="4513"/>
        <w:tab w:val="right" w:pos="9026"/>
      </w:tabs>
    </w:pPr>
  </w:style>
  <w:style w:type="character" w:customStyle="1" w:styleId="HeaderChar">
    <w:name w:val="Header Char"/>
    <w:basedOn w:val="DefaultParagraphFont"/>
    <w:link w:val="Header"/>
    <w:uiPriority w:val="99"/>
    <w:rsid w:val="009F7ACE"/>
    <w:rPr>
      <w:rFonts w:eastAsia="Times New Roman" w:cs="Times New Roman"/>
      <w:szCs w:val="24"/>
      <w:lang w:val="lv-LV" w:eastAsia="ru-RU"/>
    </w:rPr>
  </w:style>
  <w:style w:type="paragraph" w:styleId="Footer">
    <w:name w:val="footer"/>
    <w:basedOn w:val="Normal"/>
    <w:link w:val="FooterChar"/>
    <w:unhideWhenUsed/>
    <w:rsid w:val="009F7ACE"/>
    <w:pPr>
      <w:tabs>
        <w:tab w:val="center" w:pos="4513"/>
        <w:tab w:val="right" w:pos="9026"/>
      </w:tabs>
    </w:pPr>
  </w:style>
  <w:style w:type="character" w:customStyle="1" w:styleId="FooterChar">
    <w:name w:val="Footer Char"/>
    <w:basedOn w:val="DefaultParagraphFont"/>
    <w:link w:val="Footer"/>
    <w:rsid w:val="009F7ACE"/>
    <w:rPr>
      <w:rFonts w:eastAsia="Times New Roman" w:cs="Times New Roman"/>
      <w:szCs w:val="24"/>
      <w:lang w:val="lv-LV" w:eastAsia="ru-RU"/>
    </w:rPr>
  </w:style>
  <w:style w:type="character" w:styleId="PageNumber">
    <w:name w:val="page number"/>
    <w:basedOn w:val="DefaultParagraphFont"/>
    <w:semiHidden/>
    <w:unhideWhenUsed/>
    <w:rsid w:val="009F7ACE"/>
  </w:style>
  <w:style w:type="character" w:styleId="CommentReference">
    <w:name w:val="annotation reference"/>
    <w:basedOn w:val="DefaultParagraphFont"/>
    <w:uiPriority w:val="99"/>
    <w:semiHidden/>
    <w:unhideWhenUsed/>
    <w:rsid w:val="00EA4B7F"/>
    <w:rPr>
      <w:sz w:val="16"/>
      <w:szCs w:val="16"/>
    </w:rPr>
  </w:style>
  <w:style w:type="paragraph" w:styleId="CommentText">
    <w:name w:val="annotation text"/>
    <w:basedOn w:val="Normal"/>
    <w:link w:val="CommentTextChar"/>
    <w:uiPriority w:val="99"/>
    <w:unhideWhenUsed/>
    <w:rsid w:val="00EA4B7F"/>
    <w:rPr>
      <w:sz w:val="20"/>
      <w:szCs w:val="20"/>
    </w:rPr>
  </w:style>
  <w:style w:type="character" w:customStyle="1" w:styleId="CommentTextChar">
    <w:name w:val="Comment Text Char"/>
    <w:basedOn w:val="DefaultParagraphFont"/>
    <w:link w:val="CommentText"/>
    <w:uiPriority w:val="99"/>
    <w:rsid w:val="00EA4B7F"/>
    <w:rPr>
      <w:rFonts w:eastAsia="Times New Roman" w:cs="Times New Roman"/>
      <w:sz w:val="20"/>
      <w:szCs w:val="20"/>
      <w:lang w:val="lv-LV" w:eastAsia="ru-RU"/>
    </w:rPr>
  </w:style>
  <w:style w:type="paragraph" w:styleId="CommentSubject">
    <w:name w:val="annotation subject"/>
    <w:basedOn w:val="CommentText"/>
    <w:next w:val="CommentText"/>
    <w:link w:val="CommentSubjectChar"/>
    <w:uiPriority w:val="99"/>
    <w:semiHidden/>
    <w:unhideWhenUsed/>
    <w:rsid w:val="00EA4B7F"/>
    <w:rPr>
      <w:b/>
      <w:bCs/>
    </w:rPr>
  </w:style>
  <w:style w:type="character" w:customStyle="1" w:styleId="CommentSubjectChar">
    <w:name w:val="Comment Subject Char"/>
    <w:basedOn w:val="CommentTextChar"/>
    <w:link w:val="CommentSubject"/>
    <w:uiPriority w:val="99"/>
    <w:semiHidden/>
    <w:rsid w:val="00EA4B7F"/>
    <w:rPr>
      <w:rFonts w:eastAsia="Times New Roman" w:cs="Times New Roman"/>
      <w:b/>
      <w:bCs/>
      <w:sz w:val="20"/>
      <w:szCs w:val="20"/>
      <w:lang w:val="lv-LV" w:eastAsia="ru-RU"/>
    </w:rPr>
  </w:style>
  <w:style w:type="character" w:styleId="Hyperlink">
    <w:name w:val="Hyperlink"/>
    <w:basedOn w:val="DefaultParagraphFont"/>
    <w:uiPriority w:val="99"/>
    <w:unhideWhenUsed/>
    <w:rsid w:val="005A65B7"/>
    <w:rPr>
      <w:color w:val="0563C1" w:themeColor="hyperlink"/>
      <w:u w:val="single"/>
    </w:rPr>
  </w:style>
  <w:style w:type="character" w:styleId="UnresolvedMention">
    <w:name w:val="Unresolved Mention"/>
    <w:basedOn w:val="DefaultParagraphFont"/>
    <w:uiPriority w:val="99"/>
    <w:semiHidden/>
    <w:unhideWhenUsed/>
    <w:rsid w:val="005A65B7"/>
    <w:rPr>
      <w:color w:val="605E5C"/>
      <w:shd w:val="clear" w:color="auto" w:fill="E1DFDD"/>
    </w:rPr>
  </w:style>
  <w:style w:type="paragraph" w:styleId="Revision">
    <w:name w:val="Revision"/>
    <w:hidden/>
    <w:uiPriority w:val="99"/>
    <w:semiHidden/>
    <w:rsid w:val="00732FD5"/>
    <w:pPr>
      <w:spacing w:after="0" w:line="240" w:lineRule="auto"/>
    </w:pPr>
    <w:rPr>
      <w:rFonts w:eastAsia="Times New Roman" w:cs="Times New Roman"/>
      <w:szCs w:val="24"/>
      <w:lang w:val="lv-LV" w:eastAsia="ru-RU"/>
    </w:rPr>
  </w:style>
  <w:style w:type="character" w:styleId="FollowedHyperlink">
    <w:name w:val="FollowedHyperlink"/>
    <w:basedOn w:val="DefaultParagraphFont"/>
    <w:uiPriority w:val="99"/>
    <w:semiHidden/>
    <w:unhideWhenUsed/>
    <w:rsid w:val="00981929"/>
    <w:rPr>
      <w:color w:val="954F72" w:themeColor="followedHyperlink"/>
      <w:u w:val="single"/>
    </w:rPr>
  </w:style>
  <w:style w:type="paragraph" w:customStyle="1" w:styleId="Default">
    <w:name w:val="Default"/>
    <w:rsid w:val="0096218E"/>
    <w:pPr>
      <w:autoSpaceDE w:val="0"/>
      <w:autoSpaceDN w:val="0"/>
      <w:adjustRightInd w:val="0"/>
      <w:spacing w:after="0" w:line="240" w:lineRule="auto"/>
    </w:pPr>
    <w:rPr>
      <w:rFonts w:cs="Times New Roman"/>
      <w:color w:val="000000"/>
      <w:szCs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8708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ateway.elieta.lv/api/v1/PublicMaterialDownload/40fcb0cd-9e33-4d09-b53c-255e06a7c4b1" TargetMode="External"/><Relationship Id="rId3" Type="http://schemas.openxmlformats.org/officeDocument/2006/relationships/settings" Target="settings.xml"/><Relationship Id="rId7" Type="http://schemas.openxmlformats.org/officeDocument/2006/relationships/hyperlink" Target="https://gateway.elieta.lv/api/v1/PublicMaterialDownload/01d5f398-d909-4da1-a8bf-6f79195eafa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gateway.elieta.lv/api/v1/PublicMaterialDownload/a429bc2b-8e1e-4403-a076-8905501d633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1995</Words>
  <Characters>11372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2026-09-11T09:08:00Z</dcterms:created>
  <dcterms:modified xsi:type="dcterms:W3CDTF">2026-09-14T05:37:00Z</dcterms:modified>
</cp:coreProperties>
</file>