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94690" w14:textId="77777777" w:rsidR="005B1B42" w:rsidRPr="005B1B42" w:rsidRDefault="005B1B42" w:rsidP="005B1B42">
      <w:pPr>
        <w:spacing w:line="276" w:lineRule="auto"/>
        <w:jc w:val="both"/>
        <w:rPr>
          <w:b/>
          <w:bCs/>
        </w:rPr>
      </w:pPr>
      <w:r w:rsidRPr="005B1B42">
        <w:rPr>
          <w:b/>
          <w:bCs/>
        </w:rPr>
        <w:t>Lietas iznākums, to izskatot no jauna pēc kasācijas instances tiesas sprieduma</w:t>
      </w:r>
    </w:p>
    <w:p w14:paraId="3984C3F3" w14:textId="77777777" w:rsidR="005B1B42" w:rsidRPr="005B1B42" w:rsidRDefault="005B1B42" w:rsidP="005B1B42">
      <w:pPr>
        <w:spacing w:line="276" w:lineRule="auto"/>
        <w:jc w:val="both"/>
      </w:pPr>
      <w:r w:rsidRPr="005B1B42">
        <w:t xml:space="preserve">Tas, ka tiesas gala secinājumi neatšķiras no tiem, kas bija izdarīti apgabaltiesas spriedumā, pirmoreiz izskatot šo lietu, nenozīmē, ka nav ievēroti Senāta norādījumi vai ka spriedums ir nepareizs. Ja lietā atbilstoši procesuālo tiesību normām ir pienācīgi noskaidroti visi būtiskie apstākļi, secinājums var sakrist. </w:t>
      </w:r>
    </w:p>
    <w:p w14:paraId="355E1F9D" w14:textId="77777777" w:rsidR="005B1B42" w:rsidRPr="005B1B42" w:rsidRDefault="005B1B42" w:rsidP="005B1B42">
      <w:pPr>
        <w:spacing w:line="276" w:lineRule="auto"/>
        <w:jc w:val="both"/>
      </w:pPr>
      <w:r w:rsidRPr="005B1B42">
        <w:t>Kasācijas instances tiesa nevar norādīt, kādi konkrēti secinājumi par lietas faktiskajiem apstākļiem ir jāizdara tiesai, kas izskata lietu pēc būtības.</w:t>
      </w:r>
    </w:p>
    <w:p w14:paraId="1169B2CF" w14:textId="77777777" w:rsidR="00C25E77" w:rsidRDefault="00C25E77" w:rsidP="005B1B42">
      <w:pPr>
        <w:spacing w:line="276" w:lineRule="auto"/>
      </w:pPr>
    </w:p>
    <w:p w14:paraId="7E145F5A" w14:textId="77777777" w:rsidR="00C25E77" w:rsidRPr="00C25E77" w:rsidRDefault="00C25E77" w:rsidP="00C25E77">
      <w:pPr>
        <w:spacing w:line="276" w:lineRule="auto"/>
        <w:jc w:val="center"/>
        <w:rPr>
          <w:b/>
        </w:rPr>
      </w:pPr>
      <w:r w:rsidRPr="00C25E77">
        <w:rPr>
          <w:b/>
        </w:rPr>
        <w:t>Latvijas Republikas Senāta</w:t>
      </w:r>
    </w:p>
    <w:p w14:paraId="6E9AF302" w14:textId="77777777" w:rsidR="00C25E77" w:rsidRPr="00C25E77" w:rsidRDefault="00C25E77" w:rsidP="00C25E77">
      <w:pPr>
        <w:spacing w:line="276" w:lineRule="auto"/>
        <w:jc w:val="center"/>
        <w:rPr>
          <w:b/>
        </w:rPr>
      </w:pPr>
      <w:r w:rsidRPr="00C25E77">
        <w:rPr>
          <w:b/>
        </w:rPr>
        <w:t>Administratīvo lietu departamenta</w:t>
      </w:r>
    </w:p>
    <w:p w14:paraId="4969828C" w14:textId="7C5465E3" w:rsidR="00C25E77" w:rsidRPr="00C25E77" w:rsidRDefault="00C25E77" w:rsidP="00C25E77">
      <w:pPr>
        <w:spacing w:line="276" w:lineRule="auto"/>
        <w:jc w:val="center"/>
        <w:rPr>
          <w:b/>
        </w:rPr>
      </w:pPr>
      <w:r w:rsidRPr="00C25E77">
        <w:rPr>
          <w:b/>
        </w:rPr>
        <w:t>202</w:t>
      </w:r>
      <w:r>
        <w:rPr>
          <w:b/>
        </w:rPr>
        <w:t>6</w:t>
      </w:r>
      <w:r w:rsidRPr="00C25E77">
        <w:rPr>
          <w:b/>
        </w:rPr>
        <w:t>.gada [..]</w:t>
      </w:r>
    </w:p>
    <w:p w14:paraId="6FC20135" w14:textId="03B138D8" w:rsidR="00C25E77" w:rsidRPr="00C25E77" w:rsidRDefault="00C25E77" w:rsidP="00C25E77">
      <w:pPr>
        <w:spacing w:line="276" w:lineRule="auto"/>
        <w:jc w:val="center"/>
        <w:rPr>
          <w:b/>
        </w:rPr>
      </w:pPr>
      <w:r w:rsidRPr="00163785">
        <w:rPr>
          <w:b/>
        </w:rPr>
        <w:t>RĪCĪBAS SĒDES LĒMUMS</w:t>
      </w:r>
      <w:r w:rsidR="00F534B4" w:rsidRPr="00F534B4">
        <w:rPr>
          <w:vertAlign w:val="superscript"/>
        </w:rPr>
        <w:footnoteReference w:id="1"/>
      </w:r>
    </w:p>
    <w:p w14:paraId="00B551FB" w14:textId="52B4107C" w:rsidR="00C25E77" w:rsidRPr="00C25E77" w:rsidRDefault="00C25E77" w:rsidP="00C25E77">
      <w:pPr>
        <w:spacing w:line="276" w:lineRule="auto"/>
        <w:jc w:val="center"/>
        <w:rPr>
          <w:b/>
        </w:rPr>
      </w:pPr>
      <w:r w:rsidRPr="00C25E77">
        <w:rPr>
          <w:b/>
        </w:rPr>
        <w:t>Lieta Nr. [..], SKA-[A]/202</w:t>
      </w:r>
      <w:r>
        <w:rPr>
          <w:b/>
        </w:rPr>
        <w:t>6</w:t>
      </w:r>
    </w:p>
    <w:p w14:paraId="4716CA3F" w14:textId="295652E0" w:rsidR="00C25E77" w:rsidRPr="00F534B4" w:rsidRDefault="00C25E77" w:rsidP="00C25E77">
      <w:pPr>
        <w:spacing w:line="276" w:lineRule="auto"/>
        <w:jc w:val="center"/>
      </w:pPr>
      <w:r w:rsidRPr="00F534B4">
        <w:t>ECLI:AT:2026:[..]</w:t>
      </w:r>
    </w:p>
    <w:p w14:paraId="7C4BDB29" w14:textId="77777777" w:rsidR="00C25E77" w:rsidRDefault="00C25E77" w:rsidP="00C25E77">
      <w:pPr>
        <w:spacing w:line="276" w:lineRule="auto"/>
        <w:jc w:val="center"/>
      </w:pPr>
    </w:p>
    <w:p w14:paraId="37770388" w14:textId="77777777" w:rsidR="00A964D9" w:rsidRPr="00163785" w:rsidRDefault="00A964D9" w:rsidP="00CC211B">
      <w:pPr>
        <w:spacing w:line="276" w:lineRule="auto"/>
        <w:jc w:val="both"/>
      </w:pPr>
    </w:p>
    <w:p w14:paraId="37464FBB" w14:textId="2B213851" w:rsidR="00CC211B" w:rsidRDefault="00A964D9" w:rsidP="00CC211B">
      <w:pPr>
        <w:spacing w:line="276" w:lineRule="auto"/>
        <w:ind w:firstLine="709"/>
        <w:jc w:val="both"/>
      </w:pPr>
      <w:r w:rsidRPr="00D61285">
        <w:t>[1]</w:t>
      </w:r>
      <w:r w:rsidR="00FC5A08">
        <w:t xml:space="preserve"> </w:t>
      </w:r>
      <w:r>
        <w:t xml:space="preserve">Senātā saņemta </w:t>
      </w:r>
      <w:r w:rsidR="000A540A">
        <w:t xml:space="preserve">pieteicēju </w:t>
      </w:r>
      <w:r w:rsidR="005B1B42">
        <w:t>[pers. A]</w:t>
      </w:r>
      <w:r w:rsidR="000A540A">
        <w:t xml:space="preserve"> un </w:t>
      </w:r>
      <w:r w:rsidR="005B1B42">
        <w:t>[pers. B]</w:t>
      </w:r>
      <w:r w:rsidR="00C8558D">
        <w:t xml:space="preserve"> kasācijas sūdzība </w:t>
      </w:r>
      <w:r>
        <w:t xml:space="preserve">par </w:t>
      </w:r>
      <w:r w:rsidRPr="002E6F21">
        <w:t>Administratīvā</w:t>
      </w:r>
      <w:r w:rsidR="000C3221">
        <w:t>s</w:t>
      </w:r>
      <w:r w:rsidRPr="002E6F21">
        <w:t xml:space="preserve"> </w:t>
      </w:r>
      <w:r w:rsidR="00746A88">
        <w:t xml:space="preserve">apgabaltiesas </w:t>
      </w:r>
      <w:r w:rsidRPr="002E6F21">
        <w:t>20</w:t>
      </w:r>
      <w:r w:rsidR="00CC211B">
        <w:t>2</w:t>
      </w:r>
      <w:r w:rsidR="00C8558D">
        <w:t>6</w:t>
      </w:r>
      <w:r w:rsidRPr="002E6F21">
        <w:t xml:space="preserve">.gada </w:t>
      </w:r>
      <w:r w:rsidR="005B1B42">
        <w:t>[..]</w:t>
      </w:r>
      <w:r w:rsidRPr="002E6F21">
        <w:t xml:space="preserve"> spriedumu</w:t>
      </w:r>
      <w:r w:rsidR="006F4988">
        <w:t xml:space="preserve"> lietā par </w:t>
      </w:r>
      <w:r w:rsidR="00B02FB6">
        <w:t>labvēlīg</w:t>
      </w:r>
      <w:r w:rsidR="00C8558D">
        <w:t>āk</w:t>
      </w:r>
      <w:r w:rsidR="00B02FB6">
        <w:t>a administratīvā akta izdošanu</w:t>
      </w:r>
      <w:r w:rsidR="00CC211B">
        <w:t xml:space="preserve">, ar kuru </w:t>
      </w:r>
      <w:r w:rsidR="0054351A">
        <w:t xml:space="preserve">no Ārstniecības riska fonda </w:t>
      </w:r>
      <w:r w:rsidR="00CC211B">
        <w:t xml:space="preserve">tiktu izmaksāta atlīdzība </w:t>
      </w:r>
      <w:r w:rsidR="002C1E5B">
        <w:t xml:space="preserve">par </w:t>
      </w:r>
      <w:r w:rsidR="0054351A">
        <w:t>kaitējumu, kas</w:t>
      </w:r>
      <w:r w:rsidR="00DE440F">
        <w:t xml:space="preserve"> </w:t>
      </w:r>
      <w:r w:rsidR="0054351A">
        <w:t xml:space="preserve">radīts </w:t>
      </w:r>
      <w:r w:rsidR="002C1E5B">
        <w:t>paciente</w:t>
      </w:r>
      <w:r w:rsidR="0054351A">
        <w:t>s</w:t>
      </w:r>
      <w:r w:rsidR="002C1E5B">
        <w:t xml:space="preserve"> </w:t>
      </w:r>
      <w:r w:rsidR="005B1B42">
        <w:t>[pers. C]</w:t>
      </w:r>
      <w:r w:rsidR="0054351A">
        <w:t xml:space="preserve"> veselībai</w:t>
      </w:r>
      <w:r w:rsidR="00CC211B">
        <w:t>.</w:t>
      </w:r>
    </w:p>
    <w:p w14:paraId="394CD861" w14:textId="63B454DF" w:rsidR="000A540A" w:rsidRDefault="00CC211B" w:rsidP="00C841D2">
      <w:pPr>
        <w:spacing w:line="276" w:lineRule="auto"/>
        <w:ind w:firstLine="709"/>
        <w:jc w:val="both"/>
      </w:pPr>
      <w:r>
        <w:t xml:space="preserve">Apgabaltiesa </w:t>
      </w:r>
      <w:r w:rsidR="000A540A">
        <w:t xml:space="preserve">noraidīja </w:t>
      </w:r>
      <w:r>
        <w:t xml:space="preserve">pieteikumu, </w:t>
      </w:r>
      <w:r w:rsidR="00F74BFC">
        <w:t>atzīstot, ka</w:t>
      </w:r>
      <w:r w:rsidR="000A540A">
        <w:t xml:space="preserve"> pacientei </w:t>
      </w:r>
      <w:r w:rsidR="000A540A" w:rsidRPr="000A540A">
        <w:t>radušies paliekošie</w:t>
      </w:r>
      <w:r w:rsidR="000A540A">
        <w:t xml:space="preserve"> </w:t>
      </w:r>
      <w:r w:rsidR="000A540A" w:rsidRPr="000A540A">
        <w:t>veselības traucējumi ir tieši saistīti ar viņas pamata saslimšanu</w:t>
      </w:r>
      <w:r w:rsidR="000A540A">
        <w:t xml:space="preserve"> </w:t>
      </w:r>
      <w:r w:rsidR="005B1B42">
        <w:t>[..]</w:t>
      </w:r>
      <w:r w:rsidR="000A540A" w:rsidRPr="000A540A">
        <w:t xml:space="preserve">, nevis </w:t>
      </w:r>
      <w:r w:rsidR="0054351A">
        <w:t xml:space="preserve">ir </w:t>
      </w:r>
      <w:r w:rsidR="000A540A" w:rsidRPr="000A540A">
        <w:t>ārstu</w:t>
      </w:r>
      <w:r w:rsidR="000A540A">
        <w:t xml:space="preserve"> </w:t>
      </w:r>
      <w:r w:rsidR="000A540A" w:rsidRPr="000A540A">
        <w:t xml:space="preserve">nepareizas rīcības rezultāts. </w:t>
      </w:r>
      <w:r w:rsidR="005B1B42">
        <w:t>[..]</w:t>
      </w:r>
    </w:p>
    <w:p w14:paraId="0314F741" w14:textId="77777777" w:rsidR="00C841D2" w:rsidRDefault="00C841D2" w:rsidP="00C841D2">
      <w:pPr>
        <w:spacing w:line="276" w:lineRule="auto"/>
        <w:ind w:firstLine="709"/>
        <w:jc w:val="both"/>
      </w:pPr>
    </w:p>
    <w:p w14:paraId="77D3A8BF" w14:textId="2B69F67D" w:rsidR="00C841D2" w:rsidRDefault="00C841D2" w:rsidP="00C841D2">
      <w:pPr>
        <w:spacing w:line="276" w:lineRule="auto"/>
        <w:ind w:firstLine="709"/>
        <w:jc w:val="both"/>
      </w:pPr>
      <w:r>
        <w:t>[</w:t>
      </w:r>
      <w:r w:rsidR="00EF477C">
        <w:t>2</w:t>
      </w:r>
      <w:r>
        <w:t xml:space="preserve">] Pieteicēji kasācijas sūdzībā norāda, ka apgabaltiesa bija pieprasījusi Veselības inspekcijai iesniegt informāciju </w:t>
      </w:r>
      <w:r w:rsidR="0054351A">
        <w:t xml:space="preserve">par to, cik lielas atlīdzības noteiktas </w:t>
      </w:r>
      <w:r>
        <w:t>līdzīg</w:t>
      </w:r>
      <w:r w:rsidR="0054351A">
        <w:t>os</w:t>
      </w:r>
      <w:r>
        <w:t xml:space="preserve"> </w:t>
      </w:r>
      <w:r w:rsidR="0054351A">
        <w:t>gadījumos</w:t>
      </w:r>
      <w:r>
        <w:t xml:space="preserve">, taču apgabaltiesa neesot šo informāciju izmantojusi. Pieteicēji norāda, ka izskatāmajā gadījumā </w:t>
      </w:r>
      <w:r w:rsidR="0054351A">
        <w:t xml:space="preserve">noteiktā </w:t>
      </w:r>
      <w:r>
        <w:t>atlīdzība ir daudz mazāka nekā līdzīgos gadījumos.</w:t>
      </w:r>
    </w:p>
    <w:p w14:paraId="3B2D9D43" w14:textId="6A69EB1D" w:rsidR="00C841D2" w:rsidRDefault="00C841D2" w:rsidP="00553D91">
      <w:pPr>
        <w:spacing w:line="276" w:lineRule="auto"/>
        <w:ind w:firstLine="709"/>
        <w:jc w:val="both"/>
      </w:pPr>
      <w:r>
        <w:t>Senatoru kolēģija norāda, ka nevar salīdzināt tikai noteik</w:t>
      </w:r>
      <w:r w:rsidR="00A1192C">
        <w:t>ta veida ārstēšanu (kā līdzīgus gadījumus) un rezultātā piešķirtās atlīdzības summas. Salīdzināšana zināmās robežās varētu būt iespējama, ja konstatēt</w:t>
      </w:r>
      <w:r w:rsidR="0054351A">
        <w:t>i</w:t>
      </w:r>
      <w:r w:rsidR="00A1192C">
        <w:t xml:space="preserve"> </w:t>
      </w:r>
      <w:r w:rsidR="0054351A">
        <w:t xml:space="preserve">analoģiski konkrētā gadījuma apstākļi (veselības stāvoklis, saslimšanas izpausmes utt.), </w:t>
      </w:r>
      <w:r w:rsidR="00A1192C">
        <w:t>analoģiska ārstniecība, analoģisks kaitējums, analoģiska cēloņsakarība</w:t>
      </w:r>
      <w:r w:rsidR="00553D91">
        <w:t>. Šajā gadījumā, k</w:t>
      </w:r>
      <w:r w:rsidR="00DE440F">
        <w:t>ā</w:t>
      </w:r>
      <w:r w:rsidR="00553D91">
        <w:t xml:space="preserve"> redzams no apgabaltiesas sprieduma, apgabaltiesa vispār nav konstatējusi, ka pacientei ar ārstniecības personu darbību vai bezdarbību būtu radīts konkrēts novērtējams kaitējums pacientes veselībai. Tātad loģiski atkrīt iespēja salīdzināt izskatāmo gadījumu ar citiem, kuros bija konstatēts ārstniecības radīts kaitējums.</w:t>
      </w:r>
      <w:r w:rsidR="00A61CF0">
        <w:t xml:space="preserve"> </w:t>
      </w:r>
    </w:p>
    <w:p w14:paraId="340FD56F" w14:textId="4B4A05C7" w:rsidR="00A61CF0" w:rsidRDefault="005B1B42" w:rsidP="00553D91">
      <w:pPr>
        <w:spacing w:line="276" w:lineRule="auto"/>
        <w:ind w:firstLine="709"/>
        <w:jc w:val="both"/>
      </w:pPr>
      <w:r>
        <w:t>[..]</w:t>
      </w:r>
    </w:p>
    <w:p w14:paraId="4CF1F2A3" w14:textId="77777777" w:rsidR="005B1B42" w:rsidRDefault="005B1B42" w:rsidP="00553D91">
      <w:pPr>
        <w:spacing w:line="276" w:lineRule="auto"/>
        <w:ind w:firstLine="709"/>
        <w:jc w:val="both"/>
      </w:pPr>
    </w:p>
    <w:p w14:paraId="54E66B59" w14:textId="0E182491" w:rsidR="00A61CF0" w:rsidRDefault="00A61CF0" w:rsidP="00553D91">
      <w:pPr>
        <w:spacing w:line="276" w:lineRule="auto"/>
        <w:ind w:firstLine="709"/>
        <w:jc w:val="both"/>
      </w:pPr>
      <w:r>
        <w:t>[</w:t>
      </w:r>
      <w:r w:rsidR="00EF477C">
        <w:t>3</w:t>
      </w:r>
      <w:r>
        <w:t xml:space="preserve">] </w:t>
      </w:r>
      <w:r w:rsidR="00957C46">
        <w:t xml:space="preserve">Kasācijas sūdzībā tiek argumentēts, ka apgabaltiesa nav izpildījusi Senāta šajā lietā iepriekš </w:t>
      </w:r>
      <w:r w:rsidR="00675729">
        <w:t>sniegtos norādījumus par to, kādi apstākļi lietā jānoskaidro (</w:t>
      </w:r>
      <w:r w:rsidR="00675729" w:rsidRPr="00675729">
        <w:rPr>
          <w:i/>
          <w:iCs/>
        </w:rPr>
        <w:t xml:space="preserve">Senāta 2022.gada 7.marta spriedums lietā Nr. SKA-68/2022, </w:t>
      </w:r>
      <w:hyperlink r:id="rId7" w:history="1">
        <w:r w:rsidR="00675729" w:rsidRPr="00675729">
          <w:rPr>
            <w:rStyle w:val="Hyperlink"/>
            <w:i/>
            <w:iCs/>
          </w:rPr>
          <w:t>ECLI:LV:AT:2022:0307.A420331617.11.S</w:t>
        </w:r>
      </w:hyperlink>
      <w:r w:rsidR="00675729">
        <w:t xml:space="preserve">). </w:t>
      </w:r>
    </w:p>
    <w:p w14:paraId="507E248F" w14:textId="3D6E5B01" w:rsidR="00675729" w:rsidRDefault="00675729" w:rsidP="00553D91">
      <w:pPr>
        <w:spacing w:line="276" w:lineRule="auto"/>
        <w:ind w:firstLine="709"/>
        <w:jc w:val="both"/>
      </w:pPr>
      <w:r>
        <w:lastRenderedPageBreak/>
        <w:t xml:space="preserve">Senatoru kolēģija šādam viedoklim nepiekrīt. Apgabaltiesa, no jauna izskatot lietu, noteikusi tiesas ekspertīzi un pārbaudījusi </w:t>
      </w:r>
      <w:r w:rsidR="00073117">
        <w:t xml:space="preserve">tiesas </w:t>
      </w:r>
      <w:r>
        <w:t>ekspert</w:t>
      </w:r>
      <w:r w:rsidR="00073117">
        <w:t>a</w:t>
      </w:r>
      <w:r>
        <w:t xml:space="preserve"> atzinumu tiesas sēdē, pratinājusi lieciniekus, pārbaudījusi citus pierādījumus un uzklausījusi procesa dalībnieku paskaidrojumus ar mērķi noskaidrot tieši tos apstākļus, ko paredz </w:t>
      </w:r>
      <w:r w:rsidR="00155F62" w:rsidRPr="000A540A">
        <w:t>Ministru kabineta 2013.gada 5.novembra noteikum</w:t>
      </w:r>
      <w:r w:rsidR="00155F62">
        <w:t>i</w:t>
      </w:r>
      <w:r w:rsidR="00155F62" w:rsidRPr="000A540A">
        <w:t xml:space="preserve"> Nr.</w:t>
      </w:r>
      <w:r w:rsidR="00155F62">
        <w:t> </w:t>
      </w:r>
      <w:r w:rsidR="00155F62" w:rsidRPr="000A540A">
        <w:t>1268 „Ārstniecības riska fonda darbības noteikumi”</w:t>
      </w:r>
      <w:r>
        <w:t xml:space="preserve"> un kuru nozīmi uzsvēra Senāts. Apgabaltiesa vērsa izmeklēšanu gan uz to, kāds bija pacientes veselības stāvoklis, saslimšanas aina</w:t>
      </w:r>
      <w:r w:rsidR="00073117">
        <w:t>, kāda bija</w:t>
      </w:r>
      <w:r>
        <w:t xml:space="preserve"> katrā ārstniecības epizodē notikusī ārstniecība (tostarp izvēlētās ārstniecības taktikas pamatotība, ietverot arī Senāta norādīto nepieciešamību izvērtēt konservatīvās ārstēšanas esību un efektu) un iespējami veikto ārstniecības personu darbīb</w:t>
      </w:r>
      <w:r w:rsidR="00DE440F">
        <w:t>u</w:t>
      </w:r>
      <w:r>
        <w:t xml:space="preserve"> un bezdarbīb</w:t>
      </w:r>
      <w:r w:rsidR="00073117">
        <w:t>as</w:t>
      </w:r>
      <w:r>
        <w:t xml:space="preserve"> sekas, ziņas par ārstniecību ārpus konkrētās ārstniecības iestādes pēc katras operācijas. Spriedumā ir atspoguļots iegūto pierādījumu vērtējums.</w:t>
      </w:r>
      <w:r w:rsidR="001A39A4">
        <w:t xml:space="preserve"> Tiesa mērķtiecīgi centusies noskaidrot, kādas ir neveikto darbību (neizmeklēšana ārstu konsīlijā un noteiktu izmeklējumu neveikšana) iespējamās sekas konkrētajā situācijā, un nav varējusi vismaz ar iespējamības pārsvaru apstiprināt pieņēmumu, ka </w:t>
      </w:r>
      <w:r w:rsidR="00073117">
        <w:t xml:space="preserve">šo </w:t>
      </w:r>
      <w:r w:rsidR="001A39A4">
        <w:t>darbību neveikšanai pašai par sevi varēja būt sekas.</w:t>
      </w:r>
      <w:r w:rsidR="00E370D3">
        <w:t xml:space="preserve"> Tas, ka </w:t>
      </w:r>
      <w:r w:rsidR="00073117">
        <w:t xml:space="preserve">gala secinājumi neatšķiras no tiem, kas bija izdarīti </w:t>
      </w:r>
      <w:r w:rsidR="00E370D3">
        <w:t>arī pirmajā apgabaltiesas spriedumā šajā lietā, nenozīmē, ka nav ievēroti Senāta norādījumi vai ka spriedums ir nepareizs</w:t>
      </w:r>
      <w:r w:rsidR="00DE440F">
        <w:t>. J</w:t>
      </w:r>
      <w:r w:rsidR="00E370D3">
        <w:t>a lietā atbilstoši procesuālo tiesību normām ir pienācīgi noskaidroti visi būtiskie apstākļi, secinājums var sakrist, bet šoreiz tas ir pamatots ar pienācīgi veiktu izmeklēšanu.</w:t>
      </w:r>
      <w:r w:rsidR="00A33497">
        <w:t xml:space="preserve"> Kasācijas instances tiesa nevar norādīt, kādi konkrēti secinājumi par lietas faktiskajiem apstākļiem ir jāizdara tiesai, kas izskata lietu pēc būtības.</w:t>
      </w:r>
    </w:p>
    <w:p w14:paraId="56FEBD85" w14:textId="77777777" w:rsidR="00E370D3" w:rsidRDefault="00E370D3" w:rsidP="00553D91">
      <w:pPr>
        <w:spacing w:line="276" w:lineRule="auto"/>
        <w:ind w:firstLine="709"/>
        <w:jc w:val="both"/>
      </w:pPr>
    </w:p>
    <w:p w14:paraId="202B6FEA" w14:textId="00FFF867" w:rsidR="00EB5768" w:rsidRDefault="00E370D3" w:rsidP="005B1B42">
      <w:pPr>
        <w:spacing w:line="276" w:lineRule="auto"/>
        <w:ind w:firstLine="709"/>
        <w:jc w:val="both"/>
      </w:pPr>
      <w:r>
        <w:t>[</w:t>
      </w:r>
      <w:r w:rsidR="00EF477C">
        <w:t>4</w:t>
      </w:r>
      <w:r>
        <w:t xml:space="preserve">] </w:t>
      </w:r>
      <w:r w:rsidR="005B1B42">
        <w:t>[..]</w:t>
      </w:r>
    </w:p>
    <w:p w14:paraId="3BC0669E" w14:textId="77777777" w:rsidR="00EB5768" w:rsidRDefault="00EB5768" w:rsidP="00553D91">
      <w:pPr>
        <w:spacing w:line="276" w:lineRule="auto"/>
        <w:ind w:firstLine="709"/>
        <w:jc w:val="both"/>
      </w:pPr>
    </w:p>
    <w:p w14:paraId="63D8278E" w14:textId="7C983A17" w:rsidR="001A39A4" w:rsidRDefault="00EB5768" w:rsidP="005B1B42">
      <w:pPr>
        <w:spacing w:line="276" w:lineRule="auto"/>
        <w:ind w:firstLine="709"/>
        <w:jc w:val="both"/>
      </w:pPr>
      <w:r>
        <w:t>[</w:t>
      </w:r>
      <w:r w:rsidR="00EF477C">
        <w:t>5</w:t>
      </w:r>
      <w:r>
        <w:t xml:space="preserve">] </w:t>
      </w:r>
      <w:r w:rsidR="005B1B42">
        <w:t>[..]</w:t>
      </w:r>
    </w:p>
    <w:p w14:paraId="0C200DA8" w14:textId="77777777" w:rsidR="00AE121F" w:rsidRDefault="00AE121F" w:rsidP="00553D91">
      <w:pPr>
        <w:spacing w:line="276" w:lineRule="auto"/>
        <w:ind w:firstLine="709"/>
        <w:jc w:val="both"/>
      </w:pPr>
    </w:p>
    <w:p w14:paraId="0C8398A0" w14:textId="5951CA89" w:rsidR="007131C0" w:rsidRDefault="00AE121F" w:rsidP="005B1B42">
      <w:pPr>
        <w:spacing w:line="276" w:lineRule="auto"/>
        <w:ind w:firstLine="709"/>
        <w:jc w:val="both"/>
      </w:pPr>
      <w:r>
        <w:t>[</w:t>
      </w:r>
      <w:r w:rsidR="00EF477C">
        <w:t>6</w:t>
      </w:r>
      <w:r>
        <w:t xml:space="preserve">] </w:t>
      </w:r>
      <w:r w:rsidR="005B1B42">
        <w:t>[..]</w:t>
      </w:r>
    </w:p>
    <w:p w14:paraId="5D823D66" w14:textId="77777777" w:rsidR="00A44909" w:rsidRDefault="00A44909" w:rsidP="00553D91">
      <w:pPr>
        <w:spacing w:line="276" w:lineRule="auto"/>
        <w:ind w:firstLine="709"/>
        <w:jc w:val="both"/>
      </w:pPr>
    </w:p>
    <w:p w14:paraId="1B971001" w14:textId="36E3E7BA" w:rsidR="001A39A4" w:rsidRDefault="00E67B09" w:rsidP="00553D91">
      <w:pPr>
        <w:spacing w:line="276" w:lineRule="auto"/>
        <w:ind w:firstLine="709"/>
        <w:jc w:val="both"/>
      </w:pPr>
      <w:r>
        <w:t>[</w:t>
      </w:r>
      <w:r w:rsidR="00EF477C">
        <w:t>7</w:t>
      </w:r>
      <w:r>
        <w:t xml:space="preserve">] </w:t>
      </w:r>
      <w:r w:rsidR="008771EA">
        <w:t>Pieteicēji uzskata, ka</w:t>
      </w:r>
      <w:r w:rsidR="00BD3317">
        <w:t xml:space="preserve"> </w:t>
      </w:r>
      <w:r w:rsidR="008771EA">
        <w:t>„varbūtēji iespējama” cēloņsakarība starp ārstniecības procesā neveiktajām darbībām un kaitējumu ir pietiekama kaitējuma konstatēšanai un atlīdzības noteikšanai.</w:t>
      </w:r>
    </w:p>
    <w:p w14:paraId="4B478930" w14:textId="28457F4D" w:rsidR="00993E99" w:rsidRDefault="008771EA" w:rsidP="009F26B6">
      <w:pPr>
        <w:spacing w:line="276" w:lineRule="auto"/>
        <w:ind w:firstLine="709"/>
        <w:jc w:val="both"/>
      </w:pPr>
      <w:r>
        <w:t xml:space="preserve">Tam nevar piekrist. </w:t>
      </w:r>
      <w:r w:rsidR="009F26B6">
        <w:t>A</w:t>
      </w:r>
      <w:r>
        <w:t xml:space="preserve">pgabaltiesa </w:t>
      </w:r>
      <w:r w:rsidR="009F26B6" w:rsidRPr="009F26B6">
        <w:t xml:space="preserve">ar augstu ticamības pakāpi </w:t>
      </w:r>
      <w:r w:rsidR="009F26B6">
        <w:t>(</w:t>
      </w:r>
      <w:r w:rsidR="009F26B6" w:rsidRPr="009F26B6">
        <w:rPr>
          <w:i/>
          <w:iCs/>
        </w:rPr>
        <w:t>apgabaltiesas sprieduma 26.punkts</w:t>
      </w:r>
      <w:r w:rsidR="009F26B6">
        <w:t xml:space="preserve">) konstatēja, ka </w:t>
      </w:r>
      <w:r w:rsidR="009F26B6" w:rsidRPr="009F26B6">
        <w:t>ārstniecīb</w:t>
      </w:r>
      <w:r w:rsidR="00DE440F">
        <w:t>as</w:t>
      </w:r>
      <w:r w:rsidR="009F26B6" w:rsidRPr="009F26B6">
        <w:t xml:space="preserve"> personu neveiktās darbības (izmeklējumu neveikšan</w:t>
      </w:r>
      <w:r w:rsidR="009F26B6">
        <w:t>a</w:t>
      </w:r>
      <w:r w:rsidR="009F26B6" w:rsidRPr="009F26B6">
        <w:t>, pacientes nenosūtīšanu uz augstāka līmeņa</w:t>
      </w:r>
      <w:r w:rsidR="009F26B6">
        <w:t xml:space="preserve"> </w:t>
      </w:r>
      <w:r w:rsidR="009F26B6" w:rsidRPr="009F26B6">
        <w:t xml:space="preserve">ārstniecības iestādi jeb </w:t>
      </w:r>
      <w:proofErr w:type="spellStart"/>
      <w:r w:rsidR="009F26B6" w:rsidRPr="009F26B6">
        <w:t>daudzprofila</w:t>
      </w:r>
      <w:proofErr w:type="spellEnd"/>
      <w:r w:rsidR="009F26B6" w:rsidRPr="009F26B6">
        <w:t xml:space="preserve"> stacionāru) neietekmēja </w:t>
      </w:r>
      <w:r w:rsidR="009F26B6">
        <w:t>pacientes</w:t>
      </w:r>
      <w:r w:rsidR="009F26B6" w:rsidRPr="009F26B6">
        <w:t xml:space="preserve"> paredzamo slimības</w:t>
      </w:r>
      <w:r w:rsidR="009F26B6">
        <w:t xml:space="preserve"> </w:t>
      </w:r>
      <w:r w:rsidR="009F26B6" w:rsidRPr="009F26B6">
        <w:t xml:space="preserve">gaitu un ārstniecības procesu saistībā ar nepieciešamību veikt </w:t>
      </w:r>
      <w:r w:rsidR="009F26B6">
        <w:t xml:space="preserve">nākamo operāciju. </w:t>
      </w:r>
      <w:r w:rsidR="00993E99">
        <w:t xml:space="preserve">Arī citās ārstniecības epizodēs radītu kaitējumu apgabaltiesa nekonstatēja. </w:t>
      </w:r>
    </w:p>
    <w:p w14:paraId="56D860AB" w14:textId="1638C507" w:rsidR="008771EA" w:rsidRDefault="00993E99" w:rsidP="009F26B6">
      <w:pPr>
        <w:spacing w:line="276" w:lineRule="auto"/>
        <w:ind w:firstLine="709"/>
        <w:jc w:val="both"/>
      </w:pPr>
      <w:r>
        <w:t xml:space="preserve">Turklāt </w:t>
      </w:r>
      <w:r w:rsidR="008771EA">
        <w:t>Senāts iepriekš šajā lietā nav norādījis uz cēloņsakarības pierādīšanas standartu „varbūtēji iespējams”, bet gan uz iespējamības pārsvaru</w:t>
      </w:r>
      <w:r w:rsidR="009F26B6">
        <w:t>, proti – iespēja, ka cēloņsakarība pastāv, ir lielāka nekā iespēja, ka tā nepastāv (</w:t>
      </w:r>
      <w:r w:rsidR="009F26B6" w:rsidRPr="009F26B6">
        <w:rPr>
          <w:i/>
          <w:iCs/>
        </w:rPr>
        <w:t>Senāta</w:t>
      </w:r>
      <w:r w:rsidR="009F26B6">
        <w:t xml:space="preserve"> </w:t>
      </w:r>
      <w:r w:rsidR="009F26B6" w:rsidRPr="00675729">
        <w:rPr>
          <w:i/>
          <w:iCs/>
        </w:rPr>
        <w:t>2022.gada 7.marta spriedum</w:t>
      </w:r>
      <w:r w:rsidR="009F26B6">
        <w:rPr>
          <w:i/>
          <w:iCs/>
        </w:rPr>
        <w:t>a</w:t>
      </w:r>
      <w:r w:rsidR="009F26B6" w:rsidRPr="00675729">
        <w:rPr>
          <w:i/>
          <w:iCs/>
        </w:rPr>
        <w:t xml:space="preserve"> lietā Nr. SKA-68/2022, </w:t>
      </w:r>
      <w:hyperlink r:id="rId8" w:history="1">
        <w:r w:rsidR="009F26B6" w:rsidRPr="00675729">
          <w:rPr>
            <w:rStyle w:val="Hyperlink"/>
            <w:i/>
            <w:iCs/>
          </w:rPr>
          <w:t>ECLI:LV:AT:2022:0307.A420331617.11.S</w:t>
        </w:r>
      </w:hyperlink>
      <w:r w:rsidR="009F26B6">
        <w:rPr>
          <w:i/>
          <w:iCs/>
        </w:rPr>
        <w:t>, 11.punkts</w:t>
      </w:r>
      <w:r w:rsidR="009F26B6" w:rsidRPr="00DE440F">
        <w:t>).</w:t>
      </w:r>
      <w:r w:rsidR="009F26B6" w:rsidRPr="009F26B6">
        <w:t xml:space="preserve"> </w:t>
      </w:r>
      <w:r w:rsidR="009F26B6">
        <w:t xml:space="preserve">Pieteicēji nekorekti citē Senāta skaidrojumu par pierādīšanas standartu attiecībā uz cēloņsakarību. </w:t>
      </w:r>
    </w:p>
    <w:p w14:paraId="38BA679F" w14:textId="77777777" w:rsidR="009F26B6" w:rsidRDefault="009F26B6" w:rsidP="009F26B6">
      <w:pPr>
        <w:spacing w:line="276" w:lineRule="auto"/>
        <w:ind w:firstLine="709"/>
        <w:jc w:val="both"/>
      </w:pPr>
    </w:p>
    <w:p w14:paraId="6754829A" w14:textId="01C2A001" w:rsidR="009F26B6" w:rsidRDefault="009F26B6" w:rsidP="009F26B6">
      <w:pPr>
        <w:spacing w:line="276" w:lineRule="auto"/>
        <w:ind w:firstLine="709"/>
        <w:jc w:val="both"/>
      </w:pPr>
      <w:r>
        <w:lastRenderedPageBreak/>
        <w:t>[</w:t>
      </w:r>
      <w:r w:rsidR="00EF477C">
        <w:t>8</w:t>
      </w:r>
      <w:r>
        <w:t xml:space="preserve">] </w:t>
      </w:r>
      <w:r w:rsidR="00805C32">
        <w:t>Pieteicēji iebilst tam, ka apgabaltiesa būtībā noraidījusi iestāžu jau atzīto – ka noteiktu darbību neveikšana ārstniecības procesā paildzināja pacientes ciešanas.</w:t>
      </w:r>
    </w:p>
    <w:p w14:paraId="6E1469AE" w14:textId="62B8706F" w:rsidR="00805C32" w:rsidRDefault="00805C32" w:rsidP="00C43B39">
      <w:pPr>
        <w:spacing w:line="276" w:lineRule="auto"/>
        <w:ind w:firstLine="709"/>
        <w:jc w:val="both"/>
      </w:pPr>
      <w:r>
        <w:t xml:space="preserve">Senatoru kolēģija no apgabaltiesas sprieduma secina, ka apgabaltiesa pēc vispusīgas pierādījumu (tostarp no jauna iegūto pierādījumu) pārbaudes tiešām būtībā nav atzinusi par pierādītu iestāžu pieņēmumu, ka pacientei tika paildzinātas ciešanas. Taču tas nav radījis pieteicējiem nelabvēlīgas sekas, jo </w:t>
      </w:r>
      <w:r w:rsidR="00C43B39">
        <w:t xml:space="preserve">jau izdotais administratīvais akts netiek atcelts un atlīdzība tās jau piešķirtajā apmērā netiek skarta. </w:t>
      </w:r>
      <w:r w:rsidR="00BD3317">
        <w:t>Tomēr</w:t>
      </w:r>
      <w:r w:rsidR="00C43B39">
        <w:t xml:space="preserve"> tas nenozīmē, ka apgabaltiesai būtu pamats lemt par papildu atlīdzības noteikšanu, ja reiz tā neatrod tam pamatojumu.</w:t>
      </w:r>
      <w:r w:rsidR="00BD3317">
        <w:t xml:space="preserve"> Iestāžu secinājumi paši par sevi nav pierādījums, to pamatotība tika pārbaudīta, apgabaltiesai veicot visu pierādījumu pārbaudi.</w:t>
      </w:r>
    </w:p>
    <w:p w14:paraId="63B0CBC0" w14:textId="77777777" w:rsidR="00C43B39" w:rsidRDefault="00C43B39" w:rsidP="00C43B39">
      <w:pPr>
        <w:spacing w:line="276" w:lineRule="auto"/>
        <w:ind w:firstLine="709"/>
        <w:jc w:val="both"/>
      </w:pPr>
    </w:p>
    <w:p w14:paraId="096B3504" w14:textId="49C99599" w:rsidR="00752535" w:rsidRDefault="00752535" w:rsidP="00CA226D">
      <w:pPr>
        <w:spacing w:line="276" w:lineRule="auto"/>
        <w:ind w:firstLine="709"/>
        <w:jc w:val="both"/>
      </w:pPr>
      <w:r>
        <w:t>[</w:t>
      </w:r>
      <w:r w:rsidR="00EF477C">
        <w:t>9</w:t>
      </w:r>
      <w:r>
        <w:t>] Ievērojot iepriekš minētos apsvērumus, kasācijas sūdzību argumenti nerada šaubas par apgabaltiesas sprieduma tiesiskumu.</w:t>
      </w:r>
      <w:r w:rsidR="00CA226D">
        <w:t xml:space="preserve"> </w:t>
      </w:r>
      <w:r>
        <w:t>Lietai arī nav nozīmes judikatūras veidošanā.</w:t>
      </w:r>
      <w:r w:rsidR="00CA226D">
        <w:t xml:space="preserve"> Tādēļ kasācijas tiesvedības ierosināšana ir atsakāma.</w:t>
      </w:r>
    </w:p>
    <w:p w14:paraId="15E7C36C" w14:textId="77777777" w:rsidR="00FC5A08" w:rsidRDefault="00FC5A08" w:rsidP="005458A4">
      <w:pPr>
        <w:spacing w:line="276" w:lineRule="auto"/>
        <w:ind w:firstLine="709"/>
        <w:jc w:val="both"/>
      </w:pPr>
    </w:p>
    <w:p w14:paraId="18846508" w14:textId="31174193" w:rsidR="00A964D9" w:rsidRPr="00D61285" w:rsidRDefault="002F5F89" w:rsidP="002F5F89">
      <w:pPr>
        <w:tabs>
          <w:tab w:val="left" w:pos="3119"/>
        </w:tabs>
        <w:spacing w:line="276" w:lineRule="auto"/>
        <w:ind w:firstLine="709"/>
        <w:jc w:val="both"/>
      </w:pPr>
      <w:r w:rsidRPr="00D61285">
        <w:t>Pamatojoties uz Administratīvā procesa likuma 338.panta otro daļu un 338.</w:t>
      </w:r>
      <w:r w:rsidRPr="00D61285">
        <w:rPr>
          <w:vertAlign w:val="superscript"/>
        </w:rPr>
        <w:t>1</w:t>
      </w:r>
      <w:r w:rsidRPr="00D61285">
        <w:t xml:space="preserve">panta </w:t>
      </w:r>
      <w:r>
        <w:t>otrās daļas 2.punktu</w:t>
      </w:r>
      <w:r w:rsidRPr="00D61285">
        <w:t>, senatoru kolēģija</w:t>
      </w:r>
    </w:p>
    <w:p w14:paraId="2A2491B0" w14:textId="77777777" w:rsidR="00A964D9" w:rsidRPr="00D61285" w:rsidRDefault="00A964D9" w:rsidP="00A964D9">
      <w:pPr>
        <w:spacing w:line="276" w:lineRule="auto"/>
        <w:jc w:val="center"/>
        <w:rPr>
          <w:b/>
        </w:rPr>
      </w:pPr>
    </w:p>
    <w:p w14:paraId="57F5E61A" w14:textId="77777777" w:rsidR="00A964D9" w:rsidRPr="00D61285" w:rsidRDefault="00A964D9" w:rsidP="00BE73C1">
      <w:pPr>
        <w:keepNext/>
        <w:spacing w:line="276" w:lineRule="auto"/>
        <w:jc w:val="center"/>
        <w:rPr>
          <w:b/>
        </w:rPr>
      </w:pPr>
      <w:r w:rsidRPr="00D61285">
        <w:rPr>
          <w:b/>
        </w:rPr>
        <w:t>nolēma</w:t>
      </w:r>
    </w:p>
    <w:p w14:paraId="0F895322" w14:textId="77777777" w:rsidR="00A964D9" w:rsidRPr="00D61285" w:rsidRDefault="00A964D9" w:rsidP="00BE73C1">
      <w:pPr>
        <w:keepNext/>
        <w:spacing w:line="276" w:lineRule="auto"/>
        <w:ind w:firstLine="720"/>
        <w:jc w:val="both"/>
      </w:pPr>
    </w:p>
    <w:p w14:paraId="316FB090" w14:textId="530B9684" w:rsidR="009F4D17" w:rsidRDefault="00A964D9" w:rsidP="004A69EF">
      <w:pPr>
        <w:keepNext/>
        <w:spacing w:line="276" w:lineRule="auto"/>
        <w:ind w:firstLine="709"/>
        <w:jc w:val="both"/>
      </w:pPr>
      <w:r>
        <w:t>a</w:t>
      </w:r>
      <w:r w:rsidRPr="00D61285">
        <w:t>tteikt ierosināt kasācijas tiesvedību sakarā ar</w:t>
      </w:r>
      <w:r w:rsidRPr="00907560">
        <w:rPr>
          <w:i/>
          <w:iCs/>
        </w:rPr>
        <w:t xml:space="preserve"> </w:t>
      </w:r>
      <w:r w:rsidR="005B1B42">
        <w:t>[pers. A]</w:t>
      </w:r>
      <w:r w:rsidR="00805345">
        <w:t xml:space="preserve"> un </w:t>
      </w:r>
      <w:r w:rsidR="005B1B42">
        <w:t>[pers. B]</w:t>
      </w:r>
      <w:r w:rsidR="00DD2970">
        <w:t xml:space="preserve"> </w:t>
      </w:r>
      <w:r w:rsidR="004A69EF">
        <w:t>kasācijas sūdzīb</w:t>
      </w:r>
      <w:r w:rsidR="00DD2970">
        <w:t>u</w:t>
      </w:r>
      <w:r w:rsidR="004A69EF">
        <w:t xml:space="preserve"> par </w:t>
      </w:r>
      <w:r w:rsidR="004A69EF" w:rsidRPr="002E6F21">
        <w:t>Administratīvā</w:t>
      </w:r>
      <w:r w:rsidR="004A69EF">
        <w:t>s</w:t>
      </w:r>
      <w:r w:rsidR="004A69EF" w:rsidRPr="002E6F21">
        <w:t xml:space="preserve"> </w:t>
      </w:r>
      <w:r w:rsidR="004A69EF">
        <w:t xml:space="preserve">apgabaltiesas </w:t>
      </w:r>
      <w:r w:rsidR="004A69EF" w:rsidRPr="002E6F21">
        <w:t>202</w:t>
      </w:r>
      <w:r w:rsidR="00CA226D">
        <w:t>6</w:t>
      </w:r>
      <w:r w:rsidR="004A69EF" w:rsidRPr="002E6F21">
        <w:t xml:space="preserve">.gada </w:t>
      </w:r>
      <w:r w:rsidR="005B1B42">
        <w:t>[..]</w:t>
      </w:r>
      <w:r w:rsidR="004A69EF" w:rsidRPr="002E6F21">
        <w:t xml:space="preserve"> spriedumu</w:t>
      </w:r>
      <w:r w:rsidR="004A69EF">
        <w:t>.</w:t>
      </w:r>
    </w:p>
    <w:p w14:paraId="1846A5FD" w14:textId="77777777" w:rsidR="004A69EF" w:rsidRDefault="004A69EF" w:rsidP="004A69EF">
      <w:pPr>
        <w:keepNext/>
        <w:spacing w:line="276" w:lineRule="auto"/>
        <w:ind w:firstLine="709"/>
        <w:jc w:val="both"/>
      </w:pPr>
    </w:p>
    <w:p w14:paraId="169C63AA" w14:textId="77777777" w:rsidR="00A964D9" w:rsidRPr="00D61285" w:rsidRDefault="00A964D9" w:rsidP="006F03D1">
      <w:pPr>
        <w:spacing w:line="276" w:lineRule="auto"/>
        <w:ind w:firstLine="709"/>
        <w:jc w:val="both"/>
      </w:pPr>
      <w:r w:rsidRPr="00D61285">
        <w:t>Lēmums nav pārsūdzams.</w:t>
      </w:r>
    </w:p>
    <w:p w14:paraId="38266514" w14:textId="77777777" w:rsidR="00A964D9" w:rsidRDefault="00A964D9" w:rsidP="00A964D9">
      <w:pPr>
        <w:shd w:val="clear" w:color="auto" w:fill="FFFFFF"/>
        <w:spacing w:line="276" w:lineRule="auto"/>
        <w:rPr>
          <w:b/>
        </w:rPr>
      </w:pPr>
    </w:p>
    <w:p w14:paraId="6FAAA5D0" w14:textId="77777777" w:rsidR="00AD269A" w:rsidRPr="001D546B" w:rsidRDefault="00AD269A" w:rsidP="00A964D9">
      <w:pPr>
        <w:shd w:val="clear" w:color="auto" w:fill="FFFFFF"/>
        <w:spacing w:line="276"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670C7B" w14:paraId="587346EB" w14:textId="77777777" w:rsidTr="00225F6F">
        <w:tc>
          <w:tcPr>
            <w:tcW w:w="2831" w:type="dxa"/>
          </w:tcPr>
          <w:p w14:paraId="511D7F2E" w14:textId="65191F82" w:rsidR="00670C7B" w:rsidRPr="00670C7B" w:rsidRDefault="00670C7B" w:rsidP="00225F6F">
            <w:pPr>
              <w:tabs>
                <w:tab w:val="center" w:pos="1276"/>
                <w:tab w:val="center" w:pos="4678"/>
                <w:tab w:val="center" w:pos="8080"/>
              </w:tabs>
              <w:spacing w:line="276" w:lineRule="auto"/>
              <w:ind w:left="-118"/>
              <w:rPr>
                <w:sz w:val="24"/>
                <w:szCs w:val="24"/>
              </w:rPr>
            </w:pPr>
            <w:bookmarkStart w:id="0" w:name="_Hlk172900127"/>
            <w:r w:rsidRPr="00670C7B">
              <w:rPr>
                <w:sz w:val="24"/>
                <w:szCs w:val="24"/>
              </w:rPr>
              <w:t>Senatore R. Vīduša</w:t>
            </w:r>
          </w:p>
        </w:tc>
        <w:tc>
          <w:tcPr>
            <w:tcW w:w="2831" w:type="dxa"/>
          </w:tcPr>
          <w:p w14:paraId="73A4D868" w14:textId="3EE3070E" w:rsidR="00670C7B" w:rsidRPr="00670C7B" w:rsidRDefault="00670C7B" w:rsidP="00225F6F">
            <w:pPr>
              <w:tabs>
                <w:tab w:val="center" w:pos="1276"/>
                <w:tab w:val="center" w:pos="4678"/>
                <w:tab w:val="center" w:pos="8080"/>
              </w:tabs>
              <w:spacing w:line="276" w:lineRule="auto"/>
              <w:jc w:val="center"/>
              <w:rPr>
                <w:sz w:val="24"/>
                <w:szCs w:val="24"/>
              </w:rPr>
            </w:pPr>
            <w:r w:rsidRPr="00670C7B">
              <w:rPr>
                <w:sz w:val="24"/>
                <w:szCs w:val="24"/>
              </w:rPr>
              <w:t>Senator</w:t>
            </w:r>
            <w:r w:rsidR="00E63F0A">
              <w:rPr>
                <w:sz w:val="24"/>
                <w:szCs w:val="24"/>
              </w:rPr>
              <w:t>e</w:t>
            </w:r>
            <w:r w:rsidRPr="00670C7B">
              <w:rPr>
                <w:sz w:val="24"/>
                <w:szCs w:val="24"/>
              </w:rPr>
              <w:t xml:space="preserve"> </w:t>
            </w:r>
            <w:r w:rsidR="00C8558D">
              <w:rPr>
                <w:sz w:val="24"/>
                <w:szCs w:val="24"/>
              </w:rPr>
              <w:t>Dz.</w:t>
            </w:r>
            <w:r w:rsidR="00FC5A08">
              <w:rPr>
                <w:sz w:val="24"/>
                <w:szCs w:val="24"/>
              </w:rPr>
              <w:t> </w:t>
            </w:r>
            <w:r w:rsidR="00C8558D">
              <w:rPr>
                <w:sz w:val="24"/>
                <w:szCs w:val="24"/>
              </w:rPr>
              <w:t>Amerika</w:t>
            </w:r>
          </w:p>
        </w:tc>
        <w:tc>
          <w:tcPr>
            <w:tcW w:w="2832" w:type="dxa"/>
          </w:tcPr>
          <w:p w14:paraId="160EFFAD" w14:textId="7269F07C" w:rsidR="00670C7B" w:rsidRPr="00670C7B" w:rsidRDefault="00670C7B" w:rsidP="00225F6F">
            <w:pPr>
              <w:tabs>
                <w:tab w:val="center" w:pos="1276"/>
                <w:tab w:val="center" w:pos="4678"/>
                <w:tab w:val="center" w:pos="8080"/>
              </w:tabs>
              <w:spacing w:line="276" w:lineRule="auto"/>
              <w:ind w:right="-112"/>
              <w:jc w:val="right"/>
              <w:rPr>
                <w:sz w:val="24"/>
                <w:szCs w:val="24"/>
              </w:rPr>
            </w:pPr>
            <w:r w:rsidRPr="00670C7B">
              <w:rPr>
                <w:sz w:val="24"/>
                <w:szCs w:val="24"/>
              </w:rPr>
              <w:t>Senator</w:t>
            </w:r>
            <w:r w:rsidR="00C8558D">
              <w:rPr>
                <w:sz w:val="24"/>
                <w:szCs w:val="24"/>
              </w:rPr>
              <w:t>e</w:t>
            </w:r>
            <w:r w:rsidR="00FC5A08">
              <w:rPr>
                <w:sz w:val="24"/>
                <w:szCs w:val="24"/>
              </w:rPr>
              <w:t xml:space="preserve"> </w:t>
            </w:r>
            <w:r w:rsidR="00C8558D">
              <w:rPr>
                <w:sz w:val="24"/>
                <w:szCs w:val="24"/>
              </w:rPr>
              <w:t>L. Slica</w:t>
            </w:r>
          </w:p>
        </w:tc>
      </w:tr>
    </w:tbl>
    <w:p w14:paraId="3400804A" w14:textId="77777777" w:rsidR="00A964D9" w:rsidRPr="001D546B" w:rsidRDefault="00A964D9" w:rsidP="00A964D9">
      <w:pPr>
        <w:spacing w:line="276" w:lineRule="auto"/>
      </w:pPr>
    </w:p>
    <w:bookmarkEnd w:id="0"/>
    <w:p w14:paraId="2C823F0E" w14:textId="77777777" w:rsidR="00A964D9" w:rsidRDefault="00A964D9"/>
    <w:sectPr w:rsidR="00A964D9" w:rsidSect="00A964D9">
      <w:headerReference w:type="even" r:id="rId9"/>
      <w:headerReference w:type="default" r:id="rId10"/>
      <w:footerReference w:type="even" r:id="rId11"/>
      <w:footerReference w:type="default" r:id="rId12"/>
      <w:headerReference w:type="first" r:id="rId13"/>
      <w:footerReference w:type="firs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A85C4" w14:textId="77777777" w:rsidR="00380925" w:rsidRDefault="00380925">
      <w:r>
        <w:separator/>
      </w:r>
    </w:p>
  </w:endnote>
  <w:endnote w:type="continuationSeparator" w:id="0">
    <w:p w14:paraId="36B7F5FA" w14:textId="77777777" w:rsidR="00380925" w:rsidRDefault="0038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2E6D" w14:textId="77777777" w:rsidR="000A540A" w:rsidRDefault="000A54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33285758"/>
      <w:docPartObj>
        <w:docPartGallery w:val="Page Numbers (Bottom of Page)"/>
        <w:docPartUnique/>
      </w:docPartObj>
    </w:sdtPr>
    <w:sdtEndPr/>
    <w:sdtContent>
      <w:sdt>
        <w:sdtPr>
          <w:rPr>
            <w:sz w:val="20"/>
            <w:szCs w:val="20"/>
          </w:rPr>
          <w:id w:val="-1449623365"/>
          <w:docPartObj>
            <w:docPartGallery w:val="Page Numbers (Top of Page)"/>
            <w:docPartUnique/>
          </w:docPartObj>
        </w:sdtPr>
        <w:sdtEndPr/>
        <w:sdtContent>
          <w:p w14:paraId="71A5F7D4" w14:textId="1AEACC1C" w:rsidR="008278B7" w:rsidRPr="00F534B4" w:rsidRDefault="00E77F6D" w:rsidP="00F534B4">
            <w:pPr>
              <w:pStyle w:val="Footer"/>
              <w:jc w:val="center"/>
              <w:rPr>
                <w:sz w:val="20"/>
                <w:szCs w:val="20"/>
              </w:rPr>
            </w:pPr>
            <w:r w:rsidRPr="00670C7B">
              <w:rPr>
                <w:sz w:val="20"/>
                <w:szCs w:val="20"/>
              </w:rPr>
              <w:fldChar w:fldCharType="begin"/>
            </w:r>
            <w:r w:rsidRPr="00670C7B">
              <w:rPr>
                <w:sz w:val="20"/>
                <w:szCs w:val="20"/>
              </w:rPr>
              <w:instrText xml:space="preserve"> PAGE </w:instrText>
            </w:r>
            <w:r w:rsidRPr="00670C7B">
              <w:rPr>
                <w:sz w:val="20"/>
                <w:szCs w:val="20"/>
              </w:rPr>
              <w:fldChar w:fldCharType="separate"/>
            </w:r>
            <w:r w:rsidRPr="00670C7B">
              <w:rPr>
                <w:noProof/>
                <w:sz w:val="20"/>
                <w:szCs w:val="20"/>
              </w:rPr>
              <w:t>2</w:t>
            </w:r>
            <w:r w:rsidRPr="00670C7B">
              <w:rPr>
                <w:sz w:val="20"/>
                <w:szCs w:val="20"/>
              </w:rPr>
              <w:fldChar w:fldCharType="end"/>
            </w:r>
            <w:r w:rsidRPr="00670C7B">
              <w:rPr>
                <w:sz w:val="20"/>
                <w:szCs w:val="20"/>
              </w:rPr>
              <w:t xml:space="preserve"> no </w:t>
            </w:r>
            <w:r w:rsidRPr="00670C7B">
              <w:rPr>
                <w:noProof/>
                <w:sz w:val="20"/>
                <w:szCs w:val="20"/>
              </w:rPr>
              <w:fldChar w:fldCharType="begin"/>
            </w:r>
            <w:r w:rsidRPr="00670C7B">
              <w:rPr>
                <w:noProof/>
                <w:sz w:val="20"/>
                <w:szCs w:val="20"/>
              </w:rPr>
              <w:instrText xml:space="preserve"> NUMPAGES  </w:instrText>
            </w:r>
            <w:r w:rsidRPr="00670C7B">
              <w:rPr>
                <w:noProof/>
                <w:sz w:val="20"/>
                <w:szCs w:val="20"/>
              </w:rPr>
              <w:fldChar w:fldCharType="separate"/>
            </w:r>
            <w:r w:rsidRPr="00670C7B">
              <w:rPr>
                <w:noProof/>
                <w:sz w:val="20"/>
                <w:szCs w:val="20"/>
              </w:rPr>
              <w:t>3</w:t>
            </w:r>
            <w:r w:rsidRPr="00670C7B">
              <w:rPr>
                <w:noProof/>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0D237" w14:textId="77777777" w:rsidR="000A540A" w:rsidRDefault="000A5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AC551" w14:textId="77777777" w:rsidR="00380925" w:rsidRDefault="00380925">
      <w:r>
        <w:separator/>
      </w:r>
    </w:p>
  </w:footnote>
  <w:footnote w:type="continuationSeparator" w:id="0">
    <w:p w14:paraId="797A7F6E" w14:textId="77777777" w:rsidR="00380925" w:rsidRDefault="00380925">
      <w:r>
        <w:continuationSeparator/>
      </w:r>
    </w:p>
  </w:footnote>
  <w:footnote w:id="1">
    <w:p w14:paraId="16749007" w14:textId="34F0F4C4" w:rsidR="00F534B4" w:rsidRDefault="00F534B4">
      <w:pPr>
        <w:pStyle w:val="FootnoteText"/>
      </w:pPr>
      <w:r w:rsidRPr="00F534B4">
        <w:rPr>
          <w:rStyle w:val="FootnoteReference"/>
          <w:vertAlign w:val="superscript"/>
        </w:rPr>
        <w:footnoteRef/>
      </w:r>
      <w:r w:rsidRPr="00F534B4">
        <w:rPr>
          <w:vertAlign w:val="superscript"/>
        </w:rPr>
        <w:t xml:space="preserve"> </w:t>
      </w:r>
      <w:r>
        <w:t>Slēgtas lietas statuss. Publicēti izvilkumi no nolēmuma.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28C9" w14:textId="77777777" w:rsidR="000A540A" w:rsidRDefault="000A54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E927" w14:textId="77777777" w:rsidR="000A540A" w:rsidRDefault="000A54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0B82" w14:textId="77777777" w:rsidR="000A540A" w:rsidRDefault="000A54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4D9"/>
    <w:rsid w:val="000348EE"/>
    <w:rsid w:val="0003532C"/>
    <w:rsid w:val="000428FC"/>
    <w:rsid w:val="00047C19"/>
    <w:rsid w:val="000547E2"/>
    <w:rsid w:val="00061209"/>
    <w:rsid w:val="000651FA"/>
    <w:rsid w:val="000715A1"/>
    <w:rsid w:val="00073117"/>
    <w:rsid w:val="0007610D"/>
    <w:rsid w:val="000878C7"/>
    <w:rsid w:val="00087FD5"/>
    <w:rsid w:val="00094288"/>
    <w:rsid w:val="000A540A"/>
    <w:rsid w:val="000A62F1"/>
    <w:rsid w:val="000B4BAC"/>
    <w:rsid w:val="000B71D6"/>
    <w:rsid w:val="000B71F0"/>
    <w:rsid w:val="000C3221"/>
    <w:rsid w:val="000C4907"/>
    <w:rsid w:val="000C51D1"/>
    <w:rsid w:val="000C5587"/>
    <w:rsid w:val="000C6E4E"/>
    <w:rsid w:val="000E6BFC"/>
    <w:rsid w:val="000E71A6"/>
    <w:rsid w:val="000F783F"/>
    <w:rsid w:val="00100984"/>
    <w:rsid w:val="00103ADA"/>
    <w:rsid w:val="0012448A"/>
    <w:rsid w:val="001360F0"/>
    <w:rsid w:val="00140057"/>
    <w:rsid w:val="00146854"/>
    <w:rsid w:val="00153EAF"/>
    <w:rsid w:val="00155F62"/>
    <w:rsid w:val="00163785"/>
    <w:rsid w:val="00166FD1"/>
    <w:rsid w:val="00167B51"/>
    <w:rsid w:val="001744A3"/>
    <w:rsid w:val="00183444"/>
    <w:rsid w:val="001A39A4"/>
    <w:rsid w:val="001A76DA"/>
    <w:rsid w:val="001E68FB"/>
    <w:rsid w:val="001F0ACE"/>
    <w:rsid w:val="001F10D7"/>
    <w:rsid w:val="001F57B1"/>
    <w:rsid w:val="00202E78"/>
    <w:rsid w:val="00210027"/>
    <w:rsid w:val="00211B27"/>
    <w:rsid w:val="00211E02"/>
    <w:rsid w:val="00212E0C"/>
    <w:rsid w:val="00213113"/>
    <w:rsid w:val="00226353"/>
    <w:rsid w:val="00255DB9"/>
    <w:rsid w:val="00265A80"/>
    <w:rsid w:val="00273488"/>
    <w:rsid w:val="00273490"/>
    <w:rsid w:val="0027663D"/>
    <w:rsid w:val="002A0996"/>
    <w:rsid w:val="002A4A84"/>
    <w:rsid w:val="002B6DCB"/>
    <w:rsid w:val="002C1E5B"/>
    <w:rsid w:val="002C75A8"/>
    <w:rsid w:val="002E33DA"/>
    <w:rsid w:val="002E7DDD"/>
    <w:rsid w:val="002F3387"/>
    <w:rsid w:val="002F4CA6"/>
    <w:rsid w:val="002F5F89"/>
    <w:rsid w:val="00331F09"/>
    <w:rsid w:val="003369E0"/>
    <w:rsid w:val="00341750"/>
    <w:rsid w:val="00350429"/>
    <w:rsid w:val="00362ED4"/>
    <w:rsid w:val="00380925"/>
    <w:rsid w:val="003921C5"/>
    <w:rsid w:val="003A3635"/>
    <w:rsid w:val="003A5BB2"/>
    <w:rsid w:val="003B4A58"/>
    <w:rsid w:val="003C550F"/>
    <w:rsid w:val="003D70D8"/>
    <w:rsid w:val="003F25FC"/>
    <w:rsid w:val="00407873"/>
    <w:rsid w:val="00430C29"/>
    <w:rsid w:val="004556CC"/>
    <w:rsid w:val="004647E2"/>
    <w:rsid w:val="004669AF"/>
    <w:rsid w:val="004959B8"/>
    <w:rsid w:val="004A69EF"/>
    <w:rsid w:val="004B01A4"/>
    <w:rsid w:val="004B3BA2"/>
    <w:rsid w:val="004C0708"/>
    <w:rsid w:val="004D0852"/>
    <w:rsid w:val="004D1153"/>
    <w:rsid w:val="004D4664"/>
    <w:rsid w:val="004D683D"/>
    <w:rsid w:val="004E7D4D"/>
    <w:rsid w:val="004F55D7"/>
    <w:rsid w:val="005126B6"/>
    <w:rsid w:val="005139E6"/>
    <w:rsid w:val="005204DD"/>
    <w:rsid w:val="005226E4"/>
    <w:rsid w:val="005248D8"/>
    <w:rsid w:val="00541F6D"/>
    <w:rsid w:val="0054351A"/>
    <w:rsid w:val="005458A4"/>
    <w:rsid w:val="00550BE4"/>
    <w:rsid w:val="00553D91"/>
    <w:rsid w:val="00553E24"/>
    <w:rsid w:val="00566E2A"/>
    <w:rsid w:val="005678F0"/>
    <w:rsid w:val="00572D1D"/>
    <w:rsid w:val="00592D02"/>
    <w:rsid w:val="005A2C7F"/>
    <w:rsid w:val="005A3FD3"/>
    <w:rsid w:val="005A42E5"/>
    <w:rsid w:val="005B06F7"/>
    <w:rsid w:val="005B1B42"/>
    <w:rsid w:val="005B20F8"/>
    <w:rsid w:val="005C12D9"/>
    <w:rsid w:val="005C556A"/>
    <w:rsid w:val="005C5580"/>
    <w:rsid w:val="005C5AB4"/>
    <w:rsid w:val="005D4A37"/>
    <w:rsid w:val="005D6C3D"/>
    <w:rsid w:val="005E0F42"/>
    <w:rsid w:val="005E676C"/>
    <w:rsid w:val="005E6F4E"/>
    <w:rsid w:val="005F4519"/>
    <w:rsid w:val="005F78D6"/>
    <w:rsid w:val="006003D1"/>
    <w:rsid w:val="00612A70"/>
    <w:rsid w:val="00615C87"/>
    <w:rsid w:val="00620459"/>
    <w:rsid w:val="00625C28"/>
    <w:rsid w:val="006377C0"/>
    <w:rsid w:val="006416F0"/>
    <w:rsid w:val="00647572"/>
    <w:rsid w:val="00661D98"/>
    <w:rsid w:val="006649F4"/>
    <w:rsid w:val="00670C7B"/>
    <w:rsid w:val="00675729"/>
    <w:rsid w:val="00681DBC"/>
    <w:rsid w:val="006D30B0"/>
    <w:rsid w:val="006D719E"/>
    <w:rsid w:val="006E6ED6"/>
    <w:rsid w:val="006F03D1"/>
    <w:rsid w:val="006F1A6B"/>
    <w:rsid w:val="006F30B5"/>
    <w:rsid w:val="006F4988"/>
    <w:rsid w:val="007019E7"/>
    <w:rsid w:val="0070223A"/>
    <w:rsid w:val="00707813"/>
    <w:rsid w:val="007131C0"/>
    <w:rsid w:val="00716C5D"/>
    <w:rsid w:val="00720FF0"/>
    <w:rsid w:val="0073102E"/>
    <w:rsid w:val="007325DE"/>
    <w:rsid w:val="007409D4"/>
    <w:rsid w:val="0074352F"/>
    <w:rsid w:val="00746A88"/>
    <w:rsid w:val="00752535"/>
    <w:rsid w:val="007560B2"/>
    <w:rsid w:val="00790059"/>
    <w:rsid w:val="00791E30"/>
    <w:rsid w:val="0079408D"/>
    <w:rsid w:val="00796746"/>
    <w:rsid w:val="007A2A83"/>
    <w:rsid w:val="007B261A"/>
    <w:rsid w:val="007C115D"/>
    <w:rsid w:val="007D518D"/>
    <w:rsid w:val="007D5A6E"/>
    <w:rsid w:val="007E307F"/>
    <w:rsid w:val="007E4B40"/>
    <w:rsid w:val="007F2C5C"/>
    <w:rsid w:val="00801F7E"/>
    <w:rsid w:val="00802441"/>
    <w:rsid w:val="00805345"/>
    <w:rsid w:val="00805C32"/>
    <w:rsid w:val="0080601E"/>
    <w:rsid w:val="008078BD"/>
    <w:rsid w:val="008116DB"/>
    <w:rsid w:val="00822496"/>
    <w:rsid w:val="008278B7"/>
    <w:rsid w:val="00836E93"/>
    <w:rsid w:val="00837B07"/>
    <w:rsid w:val="00842BD0"/>
    <w:rsid w:val="00852A54"/>
    <w:rsid w:val="00861DFB"/>
    <w:rsid w:val="00867A33"/>
    <w:rsid w:val="00873DBD"/>
    <w:rsid w:val="00874C55"/>
    <w:rsid w:val="00875D39"/>
    <w:rsid w:val="008771EA"/>
    <w:rsid w:val="00893193"/>
    <w:rsid w:val="008A088A"/>
    <w:rsid w:val="008B690E"/>
    <w:rsid w:val="008D2FFB"/>
    <w:rsid w:val="008D334B"/>
    <w:rsid w:val="008D4752"/>
    <w:rsid w:val="008D6B42"/>
    <w:rsid w:val="008E7720"/>
    <w:rsid w:val="008F6DD3"/>
    <w:rsid w:val="00904AC6"/>
    <w:rsid w:val="009214CA"/>
    <w:rsid w:val="0094366F"/>
    <w:rsid w:val="00952103"/>
    <w:rsid w:val="00957C46"/>
    <w:rsid w:val="00975BFA"/>
    <w:rsid w:val="00983A2D"/>
    <w:rsid w:val="00985FCC"/>
    <w:rsid w:val="00991B70"/>
    <w:rsid w:val="00993E99"/>
    <w:rsid w:val="009A4763"/>
    <w:rsid w:val="009A4CEB"/>
    <w:rsid w:val="009D7DEF"/>
    <w:rsid w:val="009E0AD2"/>
    <w:rsid w:val="009E1ED6"/>
    <w:rsid w:val="009E6436"/>
    <w:rsid w:val="009F26B6"/>
    <w:rsid w:val="009F39E7"/>
    <w:rsid w:val="009F47F5"/>
    <w:rsid w:val="009F4D17"/>
    <w:rsid w:val="00A01996"/>
    <w:rsid w:val="00A1192C"/>
    <w:rsid w:val="00A27011"/>
    <w:rsid w:val="00A3166B"/>
    <w:rsid w:val="00A33497"/>
    <w:rsid w:val="00A339B1"/>
    <w:rsid w:val="00A3679F"/>
    <w:rsid w:val="00A44909"/>
    <w:rsid w:val="00A46ED2"/>
    <w:rsid w:val="00A51697"/>
    <w:rsid w:val="00A52CAF"/>
    <w:rsid w:val="00A52F3C"/>
    <w:rsid w:val="00A60A3B"/>
    <w:rsid w:val="00A60F68"/>
    <w:rsid w:val="00A61CF0"/>
    <w:rsid w:val="00A76478"/>
    <w:rsid w:val="00A76DEA"/>
    <w:rsid w:val="00A8397F"/>
    <w:rsid w:val="00A8707D"/>
    <w:rsid w:val="00A91242"/>
    <w:rsid w:val="00A964D9"/>
    <w:rsid w:val="00A97930"/>
    <w:rsid w:val="00AB4A20"/>
    <w:rsid w:val="00AC7442"/>
    <w:rsid w:val="00AD269A"/>
    <w:rsid w:val="00AE11E5"/>
    <w:rsid w:val="00AE121F"/>
    <w:rsid w:val="00B02FB6"/>
    <w:rsid w:val="00B03E1B"/>
    <w:rsid w:val="00B07ED7"/>
    <w:rsid w:val="00B2418C"/>
    <w:rsid w:val="00B272A9"/>
    <w:rsid w:val="00B2770E"/>
    <w:rsid w:val="00B45589"/>
    <w:rsid w:val="00B539E0"/>
    <w:rsid w:val="00B726CD"/>
    <w:rsid w:val="00B7580B"/>
    <w:rsid w:val="00B96500"/>
    <w:rsid w:val="00BA3ECC"/>
    <w:rsid w:val="00BA4AE4"/>
    <w:rsid w:val="00BA52DC"/>
    <w:rsid w:val="00BC7BF7"/>
    <w:rsid w:val="00BD1C4C"/>
    <w:rsid w:val="00BD203C"/>
    <w:rsid w:val="00BD3317"/>
    <w:rsid w:val="00BD457C"/>
    <w:rsid w:val="00BD5C84"/>
    <w:rsid w:val="00BD68EC"/>
    <w:rsid w:val="00BE1852"/>
    <w:rsid w:val="00BE20E5"/>
    <w:rsid w:val="00BE2842"/>
    <w:rsid w:val="00BE73C1"/>
    <w:rsid w:val="00BF3894"/>
    <w:rsid w:val="00BF4A48"/>
    <w:rsid w:val="00C04186"/>
    <w:rsid w:val="00C25E77"/>
    <w:rsid w:val="00C30E82"/>
    <w:rsid w:val="00C40309"/>
    <w:rsid w:val="00C43B39"/>
    <w:rsid w:val="00C4587D"/>
    <w:rsid w:val="00C73888"/>
    <w:rsid w:val="00C75A5E"/>
    <w:rsid w:val="00C77E3F"/>
    <w:rsid w:val="00C841D2"/>
    <w:rsid w:val="00C8558D"/>
    <w:rsid w:val="00C87832"/>
    <w:rsid w:val="00C9046A"/>
    <w:rsid w:val="00C93737"/>
    <w:rsid w:val="00C94A48"/>
    <w:rsid w:val="00CA226D"/>
    <w:rsid w:val="00CA5B2D"/>
    <w:rsid w:val="00CB47AE"/>
    <w:rsid w:val="00CB4BCF"/>
    <w:rsid w:val="00CC211B"/>
    <w:rsid w:val="00CC52DE"/>
    <w:rsid w:val="00CD18DA"/>
    <w:rsid w:val="00CD5ED2"/>
    <w:rsid w:val="00CE08BD"/>
    <w:rsid w:val="00CE6843"/>
    <w:rsid w:val="00CF5F5D"/>
    <w:rsid w:val="00D012E4"/>
    <w:rsid w:val="00D040F7"/>
    <w:rsid w:val="00D16E3E"/>
    <w:rsid w:val="00D17EEA"/>
    <w:rsid w:val="00D229C8"/>
    <w:rsid w:val="00D301ED"/>
    <w:rsid w:val="00D51D06"/>
    <w:rsid w:val="00D51FDE"/>
    <w:rsid w:val="00D61A54"/>
    <w:rsid w:val="00D96328"/>
    <w:rsid w:val="00DA0554"/>
    <w:rsid w:val="00DA6F77"/>
    <w:rsid w:val="00DA73B0"/>
    <w:rsid w:val="00DB1A6B"/>
    <w:rsid w:val="00DD1A10"/>
    <w:rsid w:val="00DD2970"/>
    <w:rsid w:val="00DD46F6"/>
    <w:rsid w:val="00DE417F"/>
    <w:rsid w:val="00DE440F"/>
    <w:rsid w:val="00E11511"/>
    <w:rsid w:val="00E20F44"/>
    <w:rsid w:val="00E2659D"/>
    <w:rsid w:val="00E30118"/>
    <w:rsid w:val="00E31A22"/>
    <w:rsid w:val="00E370D3"/>
    <w:rsid w:val="00E41A30"/>
    <w:rsid w:val="00E44BC9"/>
    <w:rsid w:val="00E44C7C"/>
    <w:rsid w:val="00E540B1"/>
    <w:rsid w:val="00E63F0A"/>
    <w:rsid w:val="00E67B09"/>
    <w:rsid w:val="00E77F6D"/>
    <w:rsid w:val="00E92ED3"/>
    <w:rsid w:val="00EA3C43"/>
    <w:rsid w:val="00EB0653"/>
    <w:rsid w:val="00EB5768"/>
    <w:rsid w:val="00EC35F6"/>
    <w:rsid w:val="00EC64BD"/>
    <w:rsid w:val="00EC74C0"/>
    <w:rsid w:val="00ED3D70"/>
    <w:rsid w:val="00ED6E12"/>
    <w:rsid w:val="00EE161B"/>
    <w:rsid w:val="00EE4846"/>
    <w:rsid w:val="00EF477C"/>
    <w:rsid w:val="00F040E1"/>
    <w:rsid w:val="00F10D1D"/>
    <w:rsid w:val="00F20648"/>
    <w:rsid w:val="00F22965"/>
    <w:rsid w:val="00F27278"/>
    <w:rsid w:val="00F40235"/>
    <w:rsid w:val="00F45AC9"/>
    <w:rsid w:val="00F516EB"/>
    <w:rsid w:val="00F534B4"/>
    <w:rsid w:val="00F56C55"/>
    <w:rsid w:val="00F669BA"/>
    <w:rsid w:val="00F74BFC"/>
    <w:rsid w:val="00F83E49"/>
    <w:rsid w:val="00F840B9"/>
    <w:rsid w:val="00FB2B91"/>
    <w:rsid w:val="00FC5A08"/>
    <w:rsid w:val="00FD006A"/>
    <w:rsid w:val="00FD4703"/>
    <w:rsid w:val="00FD4BD4"/>
    <w:rsid w:val="00FE65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472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4D9"/>
    <w:pPr>
      <w:spacing w:after="0" w:line="240" w:lineRule="auto"/>
    </w:pPr>
    <w:rPr>
      <w:rFonts w:ascii="Times New Roman" w:eastAsia="Times New Roman" w:hAnsi="Times New Roman" w:cs="Times New Roman"/>
      <w:kern w:val="0"/>
      <w:lang w:val="lv-LV" w:eastAsia="ru-RU"/>
      <w14:ligatures w14:val="none"/>
    </w:rPr>
  </w:style>
  <w:style w:type="paragraph" w:styleId="Heading1">
    <w:name w:val="heading 1"/>
    <w:basedOn w:val="Normal"/>
    <w:next w:val="Normal"/>
    <w:link w:val="Heading1Char"/>
    <w:uiPriority w:val="9"/>
    <w:qFormat/>
    <w:rsid w:val="00A964D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A964D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A964D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A964D9"/>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A964D9"/>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A964D9"/>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A964D9"/>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A964D9"/>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A964D9"/>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4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64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64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64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64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6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4D9"/>
    <w:rPr>
      <w:rFonts w:eastAsiaTheme="majorEastAsia" w:cstheme="majorBidi"/>
      <w:color w:val="272727" w:themeColor="text1" w:themeTint="D8"/>
    </w:rPr>
  </w:style>
  <w:style w:type="paragraph" w:styleId="Title">
    <w:name w:val="Title"/>
    <w:basedOn w:val="Normal"/>
    <w:next w:val="Normal"/>
    <w:link w:val="TitleChar"/>
    <w:uiPriority w:val="10"/>
    <w:qFormat/>
    <w:rsid w:val="00A964D9"/>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A96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4D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A96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4D9"/>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A964D9"/>
    <w:rPr>
      <w:i/>
      <w:iCs/>
      <w:color w:val="404040" w:themeColor="text1" w:themeTint="BF"/>
    </w:rPr>
  </w:style>
  <w:style w:type="paragraph" w:styleId="ListParagraph">
    <w:name w:val="List Paragraph"/>
    <w:basedOn w:val="Normal"/>
    <w:uiPriority w:val="34"/>
    <w:qFormat/>
    <w:rsid w:val="00A964D9"/>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A964D9"/>
    <w:rPr>
      <w:i/>
      <w:iCs/>
      <w:color w:val="2F5496" w:themeColor="accent1" w:themeShade="BF"/>
    </w:rPr>
  </w:style>
  <w:style w:type="paragraph" w:styleId="IntenseQuote">
    <w:name w:val="Intense Quote"/>
    <w:basedOn w:val="Normal"/>
    <w:next w:val="Normal"/>
    <w:link w:val="IntenseQuoteChar"/>
    <w:uiPriority w:val="30"/>
    <w:qFormat/>
    <w:rsid w:val="00A964D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A964D9"/>
    <w:rPr>
      <w:i/>
      <w:iCs/>
      <w:color w:val="2F5496" w:themeColor="accent1" w:themeShade="BF"/>
    </w:rPr>
  </w:style>
  <w:style w:type="character" w:styleId="IntenseReference">
    <w:name w:val="Intense Reference"/>
    <w:basedOn w:val="DefaultParagraphFont"/>
    <w:uiPriority w:val="32"/>
    <w:qFormat/>
    <w:rsid w:val="00A964D9"/>
    <w:rPr>
      <w:b/>
      <w:bCs/>
      <w:smallCaps/>
      <w:color w:val="2F5496" w:themeColor="accent1" w:themeShade="BF"/>
      <w:spacing w:val="5"/>
    </w:rPr>
  </w:style>
  <w:style w:type="paragraph" w:styleId="BodyText2">
    <w:name w:val="Body Text 2"/>
    <w:basedOn w:val="Normal"/>
    <w:link w:val="BodyText2Char"/>
    <w:semiHidden/>
    <w:unhideWhenUsed/>
    <w:rsid w:val="00A964D9"/>
    <w:pPr>
      <w:spacing w:after="120" w:line="480" w:lineRule="auto"/>
    </w:pPr>
    <w:rPr>
      <w:lang w:val="x-none"/>
    </w:rPr>
  </w:style>
  <w:style w:type="character" w:customStyle="1" w:styleId="BodyText2Char">
    <w:name w:val="Body Text 2 Char"/>
    <w:basedOn w:val="DefaultParagraphFont"/>
    <w:link w:val="BodyText2"/>
    <w:semiHidden/>
    <w:rsid w:val="00A964D9"/>
    <w:rPr>
      <w:rFonts w:ascii="Times New Roman" w:eastAsia="Times New Roman" w:hAnsi="Times New Roman" w:cs="Times New Roman"/>
      <w:kern w:val="0"/>
      <w:lang w:val="x-none" w:eastAsia="ru-RU"/>
      <w14:ligatures w14:val="none"/>
    </w:rPr>
  </w:style>
  <w:style w:type="table" w:styleId="TableGrid">
    <w:name w:val="Table Grid"/>
    <w:basedOn w:val="TableNormal"/>
    <w:rsid w:val="00A964D9"/>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4D9"/>
    <w:pPr>
      <w:tabs>
        <w:tab w:val="center" w:pos="4153"/>
        <w:tab w:val="right" w:pos="8306"/>
      </w:tabs>
    </w:pPr>
  </w:style>
  <w:style w:type="character" w:customStyle="1" w:styleId="HeaderChar">
    <w:name w:val="Header Char"/>
    <w:basedOn w:val="DefaultParagraphFont"/>
    <w:link w:val="Header"/>
    <w:uiPriority w:val="99"/>
    <w:rsid w:val="00A964D9"/>
    <w:rPr>
      <w:rFonts w:ascii="Times New Roman" w:eastAsia="Times New Roman" w:hAnsi="Times New Roman" w:cs="Times New Roman"/>
      <w:kern w:val="0"/>
      <w:lang w:val="lv-LV" w:eastAsia="ru-RU"/>
      <w14:ligatures w14:val="none"/>
    </w:rPr>
  </w:style>
  <w:style w:type="paragraph" w:styleId="Footer">
    <w:name w:val="footer"/>
    <w:basedOn w:val="Normal"/>
    <w:link w:val="FooterChar"/>
    <w:uiPriority w:val="99"/>
    <w:unhideWhenUsed/>
    <w:rsid w:val="00A964D9"/>
    <w:pPr>
      <w:tabs>
        <w:tab w:val="center" w:pos="4153"/>
        <w:tab w:val="right" w:pos="8306"/>
      </w:tabs>
    </w:pPr>
  </w:style>
  <w:style w:type="character" w:customStyle="1" w:styleId="FooterChar">
    <w:name w:val="Footer Char"/>
    <w:basedOn w:val="DefaultParagraphFont"/>
    <w:link w:val="Footer"/>
    <w:uiPriority w:val="99"/>
    <w:rsid w:val="00A964D9"/>
    <w:rPr>
      <w:rFonts w:ascii="Times New Roman" w:eastAsia="Times New Roman" w:hAnsi="Times New Roman" w:cs="Times New Roman"/>
      <w:kern w:val="0"/>
      <w:lang w:val="lv-LV" w:eastAsia="ru-RU"/>
      <w14:ligatures w14:val="none"/>
    </w:rPr>
  </w:style>
  <w:style w:type="character" w:styleId="Hyperlink">
    <w:name w:val="Hyperlink"/>
    <w:basedOn w:val="DefaultParagraphFont"/>
    <w:uiPriority w:val="99"/>
    <w:unhideWhenUsed/>
    <w:rsid w:val="00A964D9"/>
    <w:rPr>
      <w:color w:val="0563C1" w:themeColor="hyperlink"/>
      <w:u w:val="single"/>
    </w:rPr>
  </w:style>
  <w:style w:type="character" w:styleId="FollowedHyperlink">
    <w:name w:val="FollowedHyperlink"/>
    <w:basedOn w:val="DefaultParagraphFont"/>
    <w:uiPriority w:val="99"/>
    <w:semiHidden/>
    <w:unhideWhenUsed/>
    <w:rsid w:val="00F040E1"/>
    <w:rPr>
      <w:color w:val="954F72" w:themeColor="followedHyperlink"/>
      <w:u w:val="single"/>
    </w:rPr>
  </w:style>
  <w:style w:type="character" w:styleId="UnresolvedMention">
    <w:name w:val="Unresolved Mention"/>
    <w:basedOn w:val="DefaultParagraphFont"/>
    <w:uiPriority w:val="99"/>
    <w:semiHidden/>
    <w:unhideWhenUsed/>
    <w:rsid w:val="00572D1D"/>
    <w:rPr>
      <w:color w:val="605E5C"/>
      <w:shd w:val="clear" w:color="auto" w:fill="E1DFDD"/>
    </w:rPr>
  </w:style>
  <w:style w:type="paragraph" w:styleId="FootnoteText">
    <w:name w:val="footnote text"/>
    <w:basedOn w:val="Normal"/>
    <w:link w:val="FootnoteTextChar"/>
    <w:uiPriority w:val="99"/>
    <w:semiHidden/>
    <w:unhideWhenUsed/>
    <w:rsid w:val="00C25E77"/>
    <w:rPr>
      <w:sz w:val="20"/>
      <w:szCs w:val="20"/>
    </w:rPr>
  </w:style>
  <w:style w:type="character" w:customStyle="1" w:styleId="FootnoteTextChar">
    <w:name w:val="Footnote Text Char"/>
    <w:basedOn w:val="DefaultParagraphFont"/>
    <w:link w:val="FootnoteText"/>
    <w:uiPriority w:val="99"/>
    <w:semiHidden/>
    <w:rsid w:val="00C25E77"/>
    <w:rPr>
      <w:rFonts w:ascii="Times New Roman" w:eastAsia="Times New Roman" w:hAnsi="Times New Roman" w:cs="Times New Roman"/>
      <w:kern w:val="0"/>
      <w:sz w:val="20"/>
      <w:szCs w:val="20"/>
      <w:lang w:val="lv-LV" w:eastAsia="ru-RU"/>
      <w14:ligatures w14:val="none"/>
    </w:rPr>
  </w:style>
  <w:style w:type="character" w:styleId="FootnoteReference">
    <w:name w:val="footnote reference"/>
    <w:basedOn w:val="DefaultParagraphFont"/>
    <w:uiPriority w:val="99"/>
    <w:semiHidden/>
    <w:unhideWhenUsed/>
    <w:rsid w:val="00C25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352226">
      <w:bodyDiv w:val="1"/>
      <w:marLeft w:val="0"/>
      <w:marRight w:val="0"/>
      <w:marTop w:val="0"/>
      <w:marBottom w:val="0"/>
      <w:divBdr>
        <w:top w:val="none" w:sz="0" w:space="0" w:color="auto"/>
        <w:left w:val="none" w:sz="0" w:space="0" w:color="auto"/>
        <w:bottom w:val="none" w:sz="0" w:space="0" w:color="auto"/>
        <w:right w:val="none" w:sz="0" w:space="0" w:color="auto"/>
      </w:divBdr>
      <w:divsChild>
        <w:div w:id="432169073">
          <w:marLeft w:val="0"/>
          <w:marRight w:val="0"/>
          <w:marTop w:val="0"/>
          <w:marBottom w:val="0"/>
          <w:divBdr>
            <w:top w:val="none" w:sz="0" w:space="0" w:color="auto"/>
            <w:left w:val="none" w:sz="0" w:space="0" w:color="auto"/>
            <w:bottom w:val="none" w:sz="0" w:space="0" w:color="auto"/>
            <w:right w:val="none" w:sz="0" w:space="0" w:color="auto"/>
          </w:divBdr>
        </w:div>
      </w:divsChild>
    </w:div>
    <w:div w:id="686711459">
      <w:bodyDiv w:val="1"/>
      <w:marLeft w:val="0"/>
      <w:marRight w:val="0"/>
      <w:marTop w:val="0"/>
      <w:marBottom w:val="0"/>
      <w:divBdr>
        <w:top w:val="none" w:sz="0" w:space="0" w:color="auto"/>
        <w:left w:val="none" w:sz="0" w:space="0" w:color="auto"/>
        <w:bottom w:val="none" w:sz="0" w:space="0" w:color="auto"/>
        <w:right w:val="none" w:sz="0" w:space="0" w:color="auto"/>
      </w:divBdr>
      <w:divsChild>
        <w:div w:id="1263755894">
          <w:marLeft w:val="0"/>
          <w:marRight w:val="0"/>
          <w:marTop w:val="0"/>
          <w:marBottom w:val="0"/>
          <w:divBdr>
            <w:top w:val="none" w:sz="0" w:space="0" w:color="auto"/>
            <w:left w:val="none" w:sz="0" w:space="0" w:color="auto"/>
            <w:bottom w:val="none" w:sz="0" w:space="0" w:color="auto"/>
            <w:right w:val="none" w:sz="0" w:space="0" w:color="auto"/>
          </w:divBdr>
        </w:div>
      </w:divsChild>
    </w:div>
    <w:div w:id="2128113754">
      <w:bodyDiv w:val="1"/>
      <w:marLeft w:val="0"/>
      <w:marRight w:val="0"/>
      <w:marTop w:val="0"/>
      <w:marBottom w:val="0"/>
      <w:divBdr>
        <w:top w:val="none" w:sz="0" w:space="0" w:color="auto"/>
        <w:left w:val="none" w:sz="0" w:space="0" w:color="auto"/>
        <w:bottom w:val="none" w:sz="0" w:space="0" w:color="auto"/>
        <w:right w:val="none" w:sz="0" w:space="0" w:color="auto"/>
      </w:divBdr>
      <w:divsChild>
        <w:div w:id="1924954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f0f50349-bf8d-4977-ad3c-f7a0b3d6cceb"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gateway.elieta.lv/api/v1/PublicMaterialDownload/f0f50349-bf8d-4977-ad3c-f7a0b3d6cceb"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27E45-D727-4BB6-904F-80FBD3F66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1054</Words>
  <Characters>6012</Characters>
  <Application>Microsoft Office Word</Application>
  <DocSecurity>0</DocSecurity>
  <Lines>50</Lines>
  <Paragraphs>14</Paragraphs>
  <ScaleCrop>false</ScaleCrop>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2026-08-17T10:28:00Z</dcterms:created>
  <dcterms:modified xsi:type="dcterms:W3CDTF">2026-08-17T10:28:00Z</dcterms:modified>
</cp:coreProperties>
</file>