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8D2D6" w14:textId="77777777" w:rsidR="00A50739" w:rsidRDefault="00A50739" w:rsidP="00A50739">
      <w:pPr>
        <w:autoSpaceDE w:val="0"/>
        <w:autoSpaceDN w:val="0"/>
        <w:spacing w:line="276" w:lineRule="auto"/>
        <w:rPr>
          <w:b/>
          <w:bCs/>
          <w:color w:val="000000"/>
          <w:lang w:eastAsia="lv-LV"/>
          <w14:ligatures w14:val="standardContextual"/>
        </w:rPr>
      </w:pPr>
      <w:r>
        <w:rPr>
          <w:b/>
          <w:bCs/>
          <w:color w:val="000000"/>
          <w14:ligatures w14:val="standardContextual"/>
        </w:rPr>
        <w:t>Tiesības vērsties tiesā ar populārsūdzību (</w:t>
      </w:r>
      <w:r>
        <w:rPr>
          <w:b/>
          <w:bCs/>
          <w:i/>
          <w:iCs/>
          <w:color w:val="000000"/>
          <w14:ligatures w14:val="standardContextual"/>
        </w:rPr>
        <w:t xml:space="preserve">actio popularis) </w:t>
      </w:r>
      <w:r>
        <w:rPr>
          <w:b/>
          <w:bCs/>
          <w:color w:val="000000"/>
          <w14:ligatures w14:val="standardContextual"/>
        </w:rPr>
        <w:t xml:space="preserve">par trokšņa emisiju </w:t>
      </w:r>
      <w:r>
        <w:rPr>
          <w:b/>
          <w:bCs/>
          <w:i/>
          <w:iCs/>
          <w:color w:val="000000"/>
          <w14:ligatures w14:val="standardContextual"/>
        </w:rPr>
        <w:t> </w:t>
      </w:r>
    </w:p>
    <w:p w14:paraId="1FAD1B36" w14:textId="77777777" w:rsidR="00A50739" w:rsidRDefault="00A50739" w:rsidP="00A50739">
      <w:pPr>
        <w:spacing w:line="276" w:lineRule="auto"/>
        <w:jc w:val="both"/>
        <w:rPr>
          <w14:ligatures w14:val="standardContextual"/>
        </w:rPr>
      </w:pPr>
      <w:r>
        <w:rPr>
          <w14:ligatures w14:val="standardContextual"/>
        </w:rPr>
        <w:t xml:space="preserve">Vides tiesību mērķis ir aizsargāt ikviena tiesības dzīvot labvēlīgā vidē, nevis tikai dabu (floru un faunu), un tālabad Vides aizsardzības likuma 9.pantra trešajā daļā likumdevējs ir izšķīries piešķirt ikvienam sabiedrības loceklim tiesības vērsties tiesā vides aizsardzības nolūkā, pat ja netiek skartas viņa paša subjektīvās tiesības. </w:t>
      </w:r>
    </w:p>
    <w:p w14:paraId="64B6DA48" w14:textId="572516CC" w:rsidR="00447EE6" w:rsidRDefault="00A50739" w:rsidP="00A50739">
      <w:pPr>
        <w:spacing w:line="276" w:lineRule="auto"/>
        <w:jc w:val="both"/>
        <w:rPr>
          <w14:ligatures w14:val="standardContextual"/>
        </w:rPr>
      </w:pPr>
      <w:r>
        <w:rPr>
          <w14:ligatures w14:val="standardContextual"/>
        </w:rPr>
        <w:t>Trokšņa emisija ir vidi ietekmējošs faktors, un trokšņa emisiju ierobežojošie normatīvi ir noteikti, lai nodrošinātu cilvēku dzīvei labvēlīgu vidi. Arī tas ir vides tiesību jautājums, kura dēļ personām ir tiesības vērsties tiesā ar mērķi aizsargāt vispārīgas sabiedrības (neprecizētu personu) intereses dzīvot labvēlīgā vidē.</w:t>
      </w:r>
    </w:p>
    <w:p w14:paraId="015A4514" w14:textId="77777777" w:rsidR="00A50739" w:rsidRPr="00A50739" w:rsidRDefault="00A50739" w:rsidP="00A50739">
      <w:pPr>
        <w:spacing w:line="276" w:lineRule="auto"/>
        <w:jc w:val="both"/>
        <w:rPr>
          <w14:ligatures w14:val="standardContextual"/>
        </w:rPr>
      </w:pPr>
    </w:p>
    <w:p w14:paraId="55E0E475" w14:textId="43C65A3F" w:rsidR="00447EE6" w:rsidRPr="00011547" w:rsidRDefault="00447EE6" w:rsidP="00A50739">
      <w:pPr>
        <w:spacing w:before="120" w:line="276" w:lineRule="auto"/>
        <w:jc w:val="center"/>
        <w:rPr>
          <w:b/>
        </w:rPr>
      </w:pPr>
      <w:r w:rsidRPr="00011547">
        <w:rPr>
          <w:b/>
        </w:rPr>
        <w:t>Latvijas Republikas Senāt</w:t>
      </w:r>
      <w:r w:rsidR="00A50739">
        <w:rPr>
          <w:b/>
        </w:rPr>
        <w:t>a</w:t>
      </w:r>
      <w:r w:rsidR="00A50739">
        <w:rPr>
          <w:b/>
        </w:rPr>
        <w:br/>
        <w:t>Administratīvo lietu departamenta</w:t>
      </w:r>
      <w:r w:rsidR="00A50739">
        <w:rPr>
          <w:b/>
        </w:rPr>
        <w:br/>
        <w:t>2026.gada 23.jūlija</w:t>
      </w:r>
    </w:p>
    <w:p w14:paraId="2FA9305A" w14:textId="77777777" w:rsidR="00447EE6" w:rsidRDefault="000E008F" w:rsidP="00A50739">
      <w:pPr>
        <w:spacing w:line="276" w:lineRule="auto"/>
        <w:jc w:val="center"/>
        <w:rPr>
          <w:b/>
        </w:rPr>
      </w:pPr>
      <w:r>
        <w:rPr>
          <w:b/>
        </w:rPr>
        <w:t>RĪCĪBAS SĒDES LĒMUMS</w:t>
      </w:r>
    </w:p>
    <w:p w14:paraId="30284D5F" w14:textId="353A6B50" w:rsidR="00A50739" w:rsidRPr="00A50739" w:rsidRDefault="00A50739" w:rsidP="00A50739">
      <w:pPr>
        <w:spacing w:line="276" w:lineRule="auto"/>
        <w:jc w:val="center"/>
        <w:rPr>
          <w:b/>
          <w:bCs/>
        </w:rPr>
      </w:pPr>
      <w:r w:rsidRPr="00A50739">
        <w:rPr>
          <w:b/>
          <w:bCs/>
        </w:rPr>
        <w:t xml:space="preserve">Lieta </w:t>
      </w:r>
      <w:r w:rsidRPr="00A50739">
        <w:rPr>
          <w:b/>
          <w:bCs/>
        </w:rPr>
        <w:t>Nr. 670008326, SKA-729/2026</w:t>
      </w:r>
    </w:p>
    <w:p w14:paraId="5233C124" w14:textId="2096B1AE" w:rsidR="00A50739" w:rsidRPr="00A50739" w:rsidRDefault="00A50739" w:rsidP="00A50739">
      <w:pPr>
        <w:spacing w:line="276" w:lineRule="auto"/>
        <w:jc w:val="center"/>
      </w:pPr>
      <w:r>
        <w:t xml:space="preserve"> </w:t>
      </w:r>
      <w:hyperlink r:id="rId7" w:history="1">
        <w:r w:rsidRPr="00A50739">
          <w:rPr>
            <w:rStyle w:val="Hyperlink"/>
          </w:rPr>
          <w:t>ECLI:LV:AT:2026:0723.SKA072926.3.L</w:t>
        </w:r>
      </w:hyperlink>
    </w:p>
    <w:p w14:paraId="34BCCA7C" w14:textId="77777777" w:rsidR="00A50150" w:rsidRPr="00A50150" w:rsidRDefault="00A50150" w:rsidP="00A50739">
      <w:pPr>
        <w:spacing w:line="276" w:lineRule="auto"/>
        <w:jc w:val="both"/>
        <w:rPr>
          <w:rFonts w:asciiTheme="majorBidi" w:hAnsiTheme="majorBidi" w:cstheme="majorBidi"/>
        </w:rPr>
      </w:pPr>
    </w:p>
    <w:p w14:paraId="2142C83A" w14:textId="50C75C68" w:rsidR="004D1DDF" w:rsidRDefault="00A50150" w:rsidP="00A50739">
      <w:pPr>
        <w:spacing w:line="276" w:lineRule="auto"/>
        <w:ind w:firstLine="720"/>
        <w:jc w:val="both"/>
        <w:rPr>
          <w:rFonts w:asciiTheme="majorBidi" w:hAnsiTheme="majorBidi" w:cstheme="majorBidi"/>
        </w:rPr>
      </w:pPr>
      <w:r w:rsidRPr="00A50150">
        <w:rPr>
          <w:rFonts w:asciiTheme="majorBidi" w:hAnsiTheme="majorBidi" w:cstheme="majorBidi"/>
        </w:rPr>
        <w:t>[1]</w:t>
      </w:r>
      <w:r w:rsidR="00630780">
        <w:rPr>
          <w:rFonts w:asciiTheme="majorBidi" w:hAnsiTheme="majorBidi" w:cstheme="majorBidi"/>
        </w:rPr>
        <w:t xml:space="preserve"> </w:t>
      </w:r>
      <w:r w:rsidRPr="00A50150">
        <w:rPr>
          <w:rFonts w:asciiTheme="majorBidi" w:hAnsiTheme="majorBidi" w:cstheme="majorBidi"/>
        </w:rPr>
        <w:t xml:space="preserve">Senātā saņemta </w:t>
      </w:r>
      <w:r w:rsidR="00C61C30">
        <w:rPr>
          <w:rFonts w:asciiTheme="majorBidi" w:hAnsiTheme="majorBidi" w:cstheme="majorBidi"/>
        </w:rPr>
        <w:t>pieteicēj</w:t>
      </w:r>
      <w:r w:rsidR="00BF66EA">
        <w:rPr>
          <w:rFonts w:asciiTheme="majorBidi" w:hAnsiTheme="majorBidi" w:cstheme="majorBidi"/>
        </w:rPr>
        <w:t>u</w:t>
      </w:r>
      <w:r w:rsidR="00C61C30">
        <w:rPr>
          <w:rFonts w:asciiTheme="majorBidi" w:hAnsiTheme="majorBidi" w:cstheme="majorBidi"/>
        </w:rPr>
        <w:t xml:space="preserve"> </w:t>
      </w:r>
      <w:r w:rsidR="00A50739">
        <w:rPr>
          <w:rFonts w:asciiTheme="majorBidi" w:hAnsiTheme="majorBidi" w:cstheme="majorBidi"/>
        </w:rPr>
        <w:t xml:space="preserve">[pers. A] </w:t>
      </w:r>
      <w:r w:rsidR="00BF66EA">
        <w:rPr>
          <w:rFonts w:asciiTheme="majorBidi" w:hAnsiTheme="majorBidi" w:cstheme="majorBidi"/>
        </w:rPr>
        <w:t xml:space="preserve">un </w:t>
      </w:r>
      <w:r w:rsidR="00A50739">
        <w:rPr>
          <w:rFonts w:asciiTheme="majorBidi" w:hAnsiTheme="majorBidi" w:cstheme="majorBidi"/>
        </w:rPr>
        <w:t xml:space="preserve">[pers. B] </w:t>
      </w:r>
      <w:r w:rsidRPr="00A50150">
        <w:rPr>
          <w:rFonts w:asciiTheme="majorBidi" w:hAnsiTheme="majorBidi" w:cstheme="majorBidi"/>
        </w:rPr>
        <w:t xml:space="preserve">blakus sūdzība par Administratīvās </w:t>
      </w:r>
      <w:r w:rsidR="00BF66EA">
        <w:rPr>
          <w:rFonts w:asciiTheme="majorBidi" w:hAnsiTheme="majorBidi" w:cstheme="majorBidi"/>
        </w:rPr>
        <w:t xml:space="preserve">rajona </w:t>
      </w:r>
      <w:r w:rsidR="00630780">
        <w:rPr>
          <w:rFonts w:asciiTheme="majorBidi" w:hAnsiTheme="majorBidi" w:cstheme="majorBidi"/>
        </w:rPr>
        <w:t>tiesas</w:t>
      </w:r>
      <w:r w:rsidRPr="00A50150">
        <w:rPr>
          <w:rFonts w:asciiTheme="majorBidi" w:hAnsiTheme="majorBidi" w:cstheme="majorBidi"/>
        </w:rPr>
        <w:t xml:space="preserve"> </w:t>
      </w:r>
      <w:r w:rsidR="00BF66EA">
        <w:rPr>
          <w:rFonts w:asciiTheme="majorBidi" w:hAnsiTheme="majorBidi" w:cstheme="majorBidi"/>
        </w:rPr>
        <w:t xml:space="preserve">tiesneša </w:t>
      </w:r>
      <w:r w:rsidR="00452ABD">
        <w:rPr>
          <w:rFonts w:asciiTheme="majorBidi" w:hAnsiTheme="majorBidi" w:cstheme="majorBidi"/>
        </w:rPr>
        <w:t>202</w:t>
      </w:r>
      <w:r w:rsidR="00630780">
        <w:rPr>
          <w:rFonts w:asciiTheme="majorBidi" w:hAnsiTheme="majorBidi" w:cstheme="majorBidi"/>
        </w:rPr>
        <w:t>6</w:t>
      </w:r>
      <w:r w:rsidR="00452ABD">
        <w:rPr>
          <w:rFonts w:asciiTheme="majorBidi" w:hAnsiTheme="majorBidi" w:cstheme="majorBidi"/>
        </w:rPr>
        <w:t xml:space="preserve">.gada </w:t>
      </w:r>
      <w:r w:rsidR="00630780">
        <w:rPr>
          <w:rFonts w:asciiTheme="majorBidi" w:hAnsiTheme="majorBidi" w:cstheme="majorBidi"/>
        </w:rPr>
        <w:t>1</w:t>
      </w:r>
      <w:r w:rsidR="00452ABD">
        <w:rPr>
          <w:rFonts w:asciiTheme="majorBidi" w:hAnsiTheme="majorBidi" w:cstheme="majorBidi"/>
        </w:rPr>
        <w:t>.</w:t>
      </w:r>
      <w:r w:rsidR="00BF66EA">
        <w:rPr>
          <w:rFonts w:asciiTheme="majorBidi" w:hAnsiTheme="majorBidi" w:cstheme="majorBidi"/>
        </w:rPr>
        <w:t>jūni</w:t>
      </w:r>
      <w:r w:rsidR="00630780">
        <w:rPr>
          <w:rFonts w:asciiTheme="majorBidi" w:hAnsiTheme="majorBidi" w:cstheme="majorBidi"/>
        </w:rPr>
        <w:t>ja</w:t>
      </w:r>
      <w:r w:rsidRPr="00A50150">
        <w:rPr>
          <w:rFonts w:asciiTheme="majorBidi" w:hAnsiTheme="majorBidi" w:cstheme="majorBidi"/>
        </w:rPr>
        <w:t xml:space="preserve"> lēmumu, ar kuru</w:t>
      </w:r>
      <w:r w:rsidR="00630780">
        <w:rPr>
          <w:rFonts w:asciiTheme="majorBidi" w:hAnsiTheme="majorBidi" w:cstheme="majorBidi"/>
        </w:rPr>
        <w:t xml:space="preserve"> </w:t>
      </w:r>
      <w:r w:rsidR="00BF66EA">
        <w:rPr>
          <w:rFonts w:asciiTheme="majorBidi" w:hAnsiTheme="majorBidi" w:cstheme="majorBidi"/>
        </w:rPr>
        <w:t>atteikts pieņemt pieteikumu</w:t>
      </w:r>
      <w:r w:rsidR="00452ABD">
        <w:rPr>
          <w:rFonts w:asciiTheme="majorBidi" w:hAnsiTheme="majorBidi" w:cstheme="majorBidi"/>
        </w:rPr>
        <w:t xml:space="preserve">, pamatojoties uz Administratīvā procesa likuma </w:t>
      </w:r>
      <w:r w:rsidR="00BF66EA">
        <w:rPr>
          <w:rFonts w:asciiTheme="majorBidi" w:hAnsiTheme="majorBidi" w:cstheme="majorBidi"/>
        </w:rPr>
        <w:t>191</w:t>
      </w:r>
      <w:r w:rsidR="00452ABD">
        <w:rPr>
          <w:rFonts w:asciiTheme="majorBidi" w:hAnsiTheme="majorBidi" w:cstheme="majorBidi"/>
        </w:rPr>
        <w:t xml:space="preserve">.panta </w:t>
      </w:r>
      <w:r w:rsidR="00BF66EA">
        <w:rPr>
          <w:rFonts w:asciiTheme="majorBidi" w:hAnsiTheme="majorBidi" w:cstheme="majorBidi"/>
        </w:rPr>
        <w:t>pirmās daļas 8</w:t>
      </w:r>
      <w:r w:rsidR="00452ABD">
        <w:rPr>
          <w:rFonts w:asciiTheme="majorBidi" w:hAnsiTheme="majorBidi" w:cstheme="majorBidi"/>
        </w:rPr>
        <w:t>.punktu (</w:t>
      </w:r>
      <w:r w:rsidR="00452ABD" w:rsidRPr="00452ABD">
        <w:rPr>
          <w:rFonts w:asciiTheme="majorBidi" w:hAnsiTheme="majorBidi" w:cstheme="majorBidi"/>
        </w:rPr>
        <w:t>pieteikumu iesniegusi persona, kurai nav tiesību iesniegt pieteikumu</w:t>
      </w:r>
      <w:r w:rsidR="00452ABD">
        <w:rPr>
          <w:rFonts w:asciiTheme="majorBidi" w:hAnsiTheme="majorBidi" w:cstheme="majorBidi"/>
        </w:rPr>
        <w:t>)</w:t>
      </w:r>
      <w:r w:rsidRPr="00A50150">
        <w:rPr>
          <w:rFonts w:asciiTheme="majorBidi" w:hAnsiTheme="majorBidi" w:cstheme="majorBidi"/>
        </w:rPr>
        <w:t xml:space="preserve">. </w:t>
      </w:r>
    </w:p>
    <w:p w14:paraId="49B0C0C7" w14:textId="54B6AA84" w:rsidR="00A50150" w:rsidRPr="00A50150" w:rsidRDefault="00BF66EA" w:rsidP="00A50739">
      <w:pPr>
        <w:spacing w:line="276" w:lineRule="auto"/>
        <w:ind w:firstLine="720"/>
        <w:jc w:val="both"/>
        <w:rPr>
          <w:rFonts w:asciiTheme="majorBidi" w:hAnsiTheme="majorBidi" w:cstheme="majorBidi"/>
        </w:rPr>
      </w:pPr>
      <w:r>
        <w:rPr>
          <w:rFonts w:asciiTheme="majorBidi" w:hAnsiTheme="majorBidi" w:cstheme="majorBidi"/>
        </w:rPr>
        <w:t xml:space="preserve">Pieteicēji pārsūdzējuši Rīgas valstspilsētas pašvaldības izpilddirektora 2026.gada 21.maijā izdoto atļauju publiska pasākuma (čempionāts autošosejā) rīkošanai Biķernieku kompleksajā sporta bāzē </w:t>
      </w:r>
      <w:r w:rsidR="00C80217">
        <w:rPr>
          <w:rFonts w:asciiTheme="majorBidi" w:hAnsiTheme="majorBidi" w:cstheme="majorBidi"/>
        </w:rPr>
        <w:t xml:space="preserve">(turpmāk – Biķernieku trase) </w:t>
      </w:r>
      <w:r>
        <w:rPr>
          <w:rFonts w:asciiTheme="majorBidi" w:hAnsiTheme="majorBidi" w:cstheme="majorBidi"/>
        </w:rPr>
        <w:t xml:space="preserve">2026.gada 5.–6.jūnijā. Tiesnesis </w:t>
      </w:r>
      <w:r w:rsidR="00452ABD">
        <w:rPr>
          <w:rFonts w:asciiTheme="majorBidi" w:hAnsiTheme="majorBidi" w:cstheme="majorBidi"/>
        </w:rPr>
        <w:t>atzina, ka pietei</w:t>
      </w:r>
      <w:r>
        <w:rPr>
          <w:rFonts w:asciiTheme="majorBidi" w:hAnsiTheme="majorBidi" w:cstheme="majorBidi"/>
        </w:rPr>
        <w:t>cēji vēlas aizsargāt citu iedzīvotāju intereses dzīvot labvēlīgā vidē</w:t>
      </w:r>
      <w:r w:rsidR="00C80217">
        <w:rPr>
          <w:rFonts w:asciiTheme="majorBidi" w:hAnsiTheme="majorBidi" w:cstheme="majorBidi"/>
        </w:rPr>
        <w:t xml:space="preserve"> un neciest no trokšņa, bet tie varētu </w:t>
      </w:r>
      <w:r>
        <w:rPr>
          <w:rFonts w:asciiTheme="majorBidi" w:hAnsiTheme="majorBidi" w:cstheme="majorBidi"/>
        </w:rPr>
        <w:t>paši pret to var aizsargāties, ja uzskatītu to par nepieciešamu</w:t>
      </w:r>
      <w:r w:rsidR="00C80217">
        <w:rPr>
          <w:rFonts w:asciiTheme="majorBidi" w:hAnsiTheme="majorBidi" w:cstheme="majorBidi"/>
        </w:rPr>
        <w:t>, un pieteicēj</w:t>
      </w:r>
      <w:r w:rsidR="00482243">
        <w:rPr>
          <w:rFonts w:asciiTheme="majorBidi" w:hAnsiTheme="majorBidi" w:cstheme="majorBidi"/>
        </w:rPr>
        <w:t>iem</w:t>
      </w:r>
      <w:r w:rsidR="00C80217">
        <w:rPr>
          <w:rFonts w:asciiTheme="majorBidi" w:hAnsiTheme="majorBidi" w:cstheme="majorBidi"/>
        </w:rPr>
        <w:t xml:space="preserve"> nav tiesību vērsties tiesā, aizsargājot citu personu tiesības dzīvot labvēlīgā vidē. Nav arī </w:t>
      </w:r>
      <w:r w:rsidR="001367B6" w:rsidRPr="00630780">
        <w:rPr>
          <w:rFonts w:asciiTheme="majorBidi" w:hAnsiTheme="majorBidi" w:cstheme="majorBidi"/>
        </w:rPr>
        <w:t>konstatējams</w:t>
      </w:r>
      <w:r w:rsidR="00C80217">
        <w:rPr>
          <w:rFonts w:asciiTheme="majorBidi" w:hAnsiTheme="majorBidi" w:cstheme="majorBidi"/>
        </w:rPr>
        <w:t>, ka paši pieteicēji būtu pakļauti kādai nozīmīgai pasākuma radītai ietekmei.</w:t>
      </w:r>
    </w:p>
    <w:p w14:paraId="1CE061F2" w14:textId="77777777" w:rsidR="00A50150" w:rsidRPr="00A50150" w:rsidRDefault="00A50150" w:rsidP="00A50739">
      <w:pPr>
        <w:spacing w:line="276" w:lineRule="auto"/>
        <w:ind w:firstLine="720"/>
        <w:rPr>
          <w:rFonts w:asciiTheme="majorBidi" w:hAnsiTheme="majorBidi" w:cstheme="majorBidi"/>
        </w:rPr>
      </w:pPr>
    </w:p>
    <w:p w14:paraId="4E9F9D7E" w14:textId="1BB16E6B" w:rsidR="00E030DD" w:rsidRDefault="006178F5" w:rsidP="00A50739">
      <w:pPr>
        <w:spacing w:line="276" w:lineRule="auto"/>
        <w:ind w:firstLine="720"/>
        <w:jc w:val="both"/>
        <w:rPr>
          <w:rFonts w:asciiTheme="majorBidi" w:hAnsiTheme="majorBidi" w:cstheme="majorBidi"/>
        </w:rPr>
      </w:pPr>
      <w:r>
        <w:rPr>
          <w:rFonts w:asciiTheme="majorBidi" w:hAnsiTheme="majorBidi" w:cstheme="majorBidi"/>
        </w:rPr>
        <w:t>[2]</w:t>
      </w:r>
      <w:r w:rsidR="004D1DDF">
        <w:rPr>
          <w:rFonts w:asciiTheme="majorBidi" w:hAnsiTheme="majorBidi" w:cstheme="majorBidi"/>
        </w:rPr>
        <w:t xml:space="preserve"> </w:t>
      </w:r>
      <w:r w:rsidR="00C80217">
        <w:rPr>
          <w:rFonts w:asciiTheme="majorBidi" w:hAnsiTheme="majorBidi" w:cstheme="majorBidi"/>
        </w:rPr>
        <w:t xml:space="preserve">Senatoru kolēģija norāda, ka rajona tiesas tiesneša lēmumā ir ietverta Vides aizsardzības likuma 9.panta trešajai daļai neatbilstoša argumentācija par personu tiesībām vērsties tiesā vides interesēs. </w:t>
      </w:r>
      <w:r w:rsidR="00592B85">
        <w:rPr>
          <w:rFonts w:asciiTheme="majorBidi" w:hAnsiTheme="majorBidi" w:cstheme="majorBidi"/>
        </w:rPr>
        <w:t>T</w:t>
      </w:r>
      <w:r w:rsidR="00C80217">
        <w:rPr>
          <w:rFonts w:asciiTheme="majorBidi" w:hAnsiTheme="majorBidi" w:cstheme="majorBidi"/>
        </w:rPr>
        <w:t xml:space="preserve">iesnesis vispārīgi pareizi norādījis uz </w:t>
      </w:r>
      <w:r w:rsidR="00C80217" w:rsidRPr="00C80217">
        <w:rPr>
          <w:rFonts w:asciiTheme="majorBidi" w:hAnsiTheme="majorBidi" w:cstheme="majorBidi"/>
          <w:i/>
          <w:iCs/>
        </w:rPr>
        <w:t>actio popularis</w:t>
      </w:r>
      <w:r w:rsidR="00C80217">
        <w:rPr>
          <w:rFonts w:asciiTheme="majorBidi" w:hAnsiTheme="majorBidi" w:cstheme="majorBidi"/>
        </w:rPr>
        <w:t xml:space="preserve"> (tiesības vērsties tiesā sabiedrības interesēs) pastāvēšanu vides tiesību jomā, kā to paredz Vides aizsardzības likuma 9.panta trešā daļa, </w:t>
      </w:r>
      <w:r w:rsidR="00592B85">
        <w:rPr>
          <w:rFonts w:asciiTheme="majorBidi" w:hAnsiTheme="majorBidi" w:cstheme="majorBidi"/>
        </w:rPr>
        <w:t xml:space="preserve">taču </w:t>
      </w:r>
      <w:r w:rsidR="00C80217">
        <w:rPr>
          <w:rFonts w:asciiTheme="majorBidi" w:hAnsiTheme="majorBidi" w:cstheme="majorBidi"/>
        </w:rPr>
        <w:t xml:space="preserve">tālāk seko nepareiza argumentācija, ka tas nav attiecināms uz gadījumiem, kad vides normatīvo aktu pārkāpums var skart citas personas, nevis pieteicējus. Vides aizsardzības likuma 9.panta trešajā daļā nav ierobežojuma, ka pieteikumu varētu iesniegt tikai dabas resursu (floras, faunas) aizsardzības interesēs un ka vēršanās tiesā sabiedrības interesēs būtu izslēgta, ja </w:t>
      </w:r>
      <w:r w:rsidR="00E030DD">
        <w:rPr>
          <w:rFonts w:asciiTheme="majorBidi" w:hAnsiTheme="majorBidi" w:cstheme="majorBidi"/>
        </w:rPr>
        <w:t xml:space="preserve">apgalvotais </w:t>
      </w:r>
      <w:r w:rsidR="00C80217">
        <w:rPr>
          <w:rFonts w:asciiTheme="majorBidi" w:hAnsiTheme="majorBidi" w:cstheme="majorBidi"/>
        </w:rPr>
        <w:t>vides normatīvo aktu pār</w:t>
      </w:r>
      <w:r w:rsidR="00E030DD">
        <w:rPr>
          <w:rFonts w:asciiTheme="majorBidi" w:hAnsiTheme="majorBidi" w:cstheme="majorBidi"/>
        </w:rPr>
        <w:t>kāpums aizskar citus iedzīvotājus, kuri paši var aizsargāt savas tiesības. Latvijas Republikas Satversmes 115.pants paredz, ka v</w:t>
      </w:r>
      <w:r w:rsidR="00E030DD" w:rsidRPr="00E030DD">
        <w:rPr>
          <w:rFonts w:asciiTheme="majorBidi" w:hAnsiTheme="majorBidi" w:cstheme="majorBidi"/>
        </w:rPr>
        <w:t>alsts aizsargā ikviena tiesības dzīvot labvēlīgā vidē, sniedzot ziņas par vides stāvokli un rūpējoties par tās saglabāšanu un uzlabošanu.</w:t>
      </w:r>
      <w:r w:rsidR="00E030DD">
        <w:rPr>
          <w:rFonts w:asciiTheme="majorBidi" w:hAnsiTheme="majorBidi" w:cstheme="majorBidi"/>
        </w:rPr>
        <w:t xml:space="preserve"> Tātad vides tiesību mērķis ir aizsargāt ikviena tiesības dzīvot labvēlīgā vidē, </w:t>
      </w:r>
      <w:r w:rsidR="00592B85">
        <w:rPr>
          <w:rFonts w:asciiTheme="majorBidi" w:hAnsiTheme="majorBidi" w:cstheme="majorBidi"/>
        </w:rPr>
        <w:t xml:space="preserve">nevis tikai dabu (floru un faunu), </w:t>
      </w:r>
      <w:r w:rsidR="00E030DD">
        <w:rPr>
          <w:rFonts w:asciiTheme="majorBidi" w:hAnsiTheme="majorBidi" w:cstheme="majorBidi"/>
        </w:rPr>
        <w:t xml:space="preserve">un tālabad Vides aizsardzības likuma 9.pantra trešajā daļā likumdevējs ir izšķīries piešķirt ikvienam </w:t>
      </w:r>
      <w:r w:rsidR="00E030DD">
        <w:rPr>
          <w:rFonts w:asciiTheme="majorBidi" w:hAnsiTheme="majorBidi" w:cstheme="majorBidi"/>
        </w:rPr>
        <w:lastRenderedPageBreak/>
        <w:t>sabiedrības loceklim tiesības vērsties tiesā vides aizsardzības nolūkā, pat ja netiek skartas viņa paša subjektīvās tiesības. Trokšņa emisija ir vidi ietekmējošs faktors, un trokšņa emisiju ierobežojošie normatīvi ir noteikti, lai nodrošinātu cilvēku dzīvei labvēlīgu vidi. Arī tas ir vides tiesību jautājums, kura dēļ personām ir tiesības vērsties tiesā ar mērķi aizsargāt vispārīgas sabiedrības (neprecizētu personu) intereses dzīvot labvēlīgā vidē.</w:t>
      </w:r>
    </w:p>
    <w:p w14:paraId="0F14F1A9" w14:textId="77777777" w:rsidR="00E030DD" w:rsidRDefault="00E030DD" w:rsidP="00A50739">
      <w:pPr>
        <w:spacing w:line="276" w:lineRule="auto"/>
        <w:ind w:firstLine="720"/>
        <w:jc w:val="both"/>
        <w:rPr>
          <w:rFonts w:asciiTheme="majorBidi" w:hAnsiTheme="majorBidi" w:cstheme="majorBidi"/>
        </w:rPr>
      </w:pPr>
    </w:p>
    <w:p w14:paraId="001EE13D" w14:textId="465FE922" w:rsidR="00E030DD" w:rsidRDefault="00E030DD" w:rsidP="00A50739">
      <w:pPr>
        <w:spacing w:line="276" w:lineRule="auto"/>
        <w:ind w:firstLine="720"/>
        <w:jc w:val="both"/>
        <w:rPr>
          <w:rFonts w:asciiTheme="majorBidi" w:hAnsiTheme="majorBidi" w:cstheme="majorBidi"/>
        </w:rPr>
      </w:pPr>
      <w:r>
        <w:rPr>
          <w:rFonts w:asciiTheme="majorBidi" w:hAnsiTheme="majorBidi" w:cstheme="majorBidi"/>
        </w:rPr>
        <w:t>[</w:t>
      </w:r>
      <w:r w:rsidR="00DA7356">
        <w:rPr>
          <w:rFonts w:asciiTheme="majorBidi" w:hAnsiTheme="majorBidi" w:cstheme="majorBidi"/>
        </w:rPr>
        <w:t>3</w:t>
      </w:r>
      <w:r>
        <w:rPr>
          <w:rFonts w:asciiTheme="majorBidi" w:hAnsiTheme="majorBidi" w:cstheme="majorBidi"/>
        </w:rPr>
        <w:t xml:space="preserve">] Taču šajā gadījumā citi apstākļi liek secināt, ka pieteikumu pamatoti atteikts pieņemt. </w:t>
      </w:r>
    </w:p>
    <w:p w14:paraId="0CEDE921" w14:textId="48582668" w:rsidR="00E030DD" w:rsidRDefault="00E030DD" w:rsidP="00A50739">
      <w:pPr>
        <w:spacing w:line="276" w:lineRule="auto"/>
        <w:ind w:firstLine="720"/>
        <w:jc w:val="both"/>
        <w:rPr>
          <w:rFonts w:asciiTheme="majorBidi" w:hAnsiTheme="majorBidi" w:cstheme="majorBidi"/>
        </w:rPr>
      </w:pPr>
      <w:r>
        <w:rPr>
          <w:rFonts w:asciiTheme="majorBidi" w:hAnsiTheme="majorBidi" w:cstheme="majorBidi"/>
        </w:rPr>
        <w:t xml:space="preserve">Pieteicēji nav norādījuši nevienu faktu, kas liktu domāt, ka konkrētā pasākuma rīkošana potenciāli varētu radīt vides trokšņa robežlielumu pārkāpumu. Dati par 2018.–2019.gadu acīmredzami neattiecas uz pieteikto pasākumu. Nav nekādu faktu, kas ļautu </w:t>
      </w:r>
      <w:r w:rsidR="00DA7356">
        <w:rPr>
          <w:rFonts w:asciiTheme="majorBidi" w:hAnsiTheme="majorBidi" w:cstheme="majorBidi"/>
        </w:rPr>
        <w:t>pirms vairākiem gadiem</w:t>
      </w:r>
      <w:r>
        <w:rPr>
          <w:rFonts w:asciiTheme="majorBidi" w:hAnsiTheme="majorBidi" w:cstheme="majorBidi"/>
        </w:rPr>
        <w:t xml:space="preserve"> veiktos mērījumu</w:t>
      </w:r>
      <w:r w:rsidR="00482243">
        <w:rPr>
          <w:rFonts w:asciiTheme="majorBidi" w:hAnsiTheme="majorBidi" w:cstheme="majorBidi"/>
        </w:rPr>
        <w:t>s</w:t>
      </w:r>
      <w:r>
        <w:rPr>
          <w:rFonts w:asciiTheme="majorBidi" w:hAnsiTheme="majorBidi" w:cstheme="majorBidi"/>
        </w:rPr>
        <w:t xml:space="preserve"> </w:t>
      </w:r>
      <w:r w:rsidR="00482243">
        <w:rPr>
          <w:rFonts w:asciiTheme="majorBidi" w:hAnsiTheme="majorBidi" w:cstheme="majorBidi"/>
        </w:rPr>
        <w:t>attiecināt uz</w:t>
      </w:r>
      <w:r>
        <w:rPr>
          <w:rFonts w:asciiTheme="majorBidi" w:hAnsiTheme="majorBidi" w:cstheme="majorBidi"/>
        </w:rPr>
        <w:t xml:space="preserve"> </w:t>
      </w:r>
      <w:r w:rsidR="007C1ED3">
        <w:rPr>
          <w:rFonts w:asciiTheme="majorBidi" w:hAnsiTheme="majorBidi" w:cstheme="majorBidi"/>
        </w:rPr>
        <w:t>pasākumu, kuram izsniegtā atļauja izskatāmajā gadījumā tiek pārsūdzēta.</w:t>
      </w:r>
    </w:p>
    <w:p w14:paraId="7C41C693" w14:textId="4B0C0915" w:rsidR="007C1ED3" w:rsidRDefault="007C1ED3" w:rsidP="00A50739">
      <w:pPr>
        <w:spacing w:line="276" w:lineRule="auto"/>
        <w:ind w:firstLine="720"/>
        <w:jc w:val="both"/>
        <w:rPr>
          <w:rFonts w:asciiTheme="majorBidi" w:hAnsiTheme="majorBidi" w:cstheme="majorBidi"/>
        </w:rPr>
      </w:pPr>
      <w:r>
        <w:rPr>
          <w:rFonts w:asciiTheme="majorBidi" w:hAnsiTheme="majorBidi" w:cstheme="majorBidi"/>
        </w:rPr>
        <w:t>Pārbaudot Biķernieku trases mājaslapā publiskotos trokšņa robežlieluma mērījumus (</w:t>
      </w:r>
      <w:hyperlink r:id="rId8" w:history="1">
        <w:r w:rsidRPr="007C1ED3">
          <w:rPr>
            <w:rStyle w:val="Hyperlink"/>
            <w:rFonts w:asciiTheme="majorBidi" w:hAnsiTheme="majorBidi" w:cstheme="majorBidi"/>
            <w:i/>
            <w:iCs/>
          </w:rPr>
          <w:t>https://www.bksb.lv/index.php/features/par-trasi/skana</w:t>
        </w:r>
      </w:hyperlink>
      <w:r>
        <w:rPr>
          <w:rFonts w:asciiTheme="majorBidi" w:hAnsiTheme="majorBidi" w:cstheme="majorBidi"/>
        </w:rPr>
        <w:t xml:space="preserve">), senatoru kolēģija konstatē, ka neapstiprinās, ka attiecīgajos datumos robežlielumi faktiski būtu pārsniegti, ievērojot Biķernieku trases un tai blakus esošo teritoriju atļauto izmantošanu </w:t>
      </w:r>
      <w:r w:rsidR="002D1F8A">
        <w:rPr>
          <w:rFonts w:asciiTheme="majorBidi" w:hAnsiTheme="majorBidi" w:cstheme="majorBidi"/>
        </w:rPr>
        <w:t>(jauktas apbūves teritorijas</w:t>
      </w:r>
      <w:r w:rsidR="00DA7356">
        <w:rPr>
          <w:rFonts w:asciiTheme="majorBidi" w:hAnsiTheme="majorBidi" w:cstheme="majorBidi"/>
        </w:rPr>
        <w:t xml:space="preserve"> un</w:t>
      </w:r>
      <w:r w:rsidR="002D1F8A">
        <w:rPr>
          <w:rFonts w:asciiTheme="majorBidi" w:hAnsiTheme="majorBidi" w:cstheme="majorBidi"/>
        </w:rPr>
        <w:t xml:space="preserve"> daudzstāvu dzīvojamās apbūves teritorijas atbilstoši zonējumam, kas apstiprināts ar Rīgas </w:t>
      </w:r>
      <w:r w:rsidR="002D1F8A" w:rsidRPr="002D1F8A">
        <w:rPr>
          <w:rFonts w:asciiTheme="majorBidi" w:hAnsiTheme="majorBidi" w:cstheme="majorBidi"/>
        </w:rPr>
        <w:t xml:space="preserve">domes </w:t>
      </w:r>
      <w:r w:rsidR="002D1F8A">
        <w:rPr>
          <w:rFonts w:asciiTheme="majorBidi" w:hAnsiTheme="majorBidi" w:cstheme="majorBidi"/>
        </w:rPr>
        <w:t xml:space="preserve">2021.gada 15.decembra </w:t>
      </w:r>
      <w:r w:rsidR="002D1F8A" w:rsidRPr="002D1F8A">
        <w:rPr>
          <w:rFonts w:asciiTheme="majorBidi" w:hAnsiTheme="majorBidi" w:cstheme="majorBidi"/>
        </w:rPr>
        <w:t>saistošajiem noteikumiem Nr.</w:t>
      </w:r>
      <w:r w:rsidR="002D1F8A">
        <w:rPr>
          <w:rFonts w:asciiTheme="majorBidi" w:hAnsiTheme="majorBidi" w:cstheme="majorBidi"/>
        </w:rPr>
        <w:t> </w:t>
      </w:r>
      <w:r w:rsidR="002D1F8A" w:rsidRPr="002D1F8A">
        <w:rPr>
          <w:rFonts w:asciiTheme="majorBidi" w:hAnsiTheme="majorBidi" w:cstheme="majorBidi"/>
        </w:rPr>
        <w:t xml:space="preserve">103 </w:t>
      </w:r>
      <w:r w:rsidR="002D1F8A">
        <w:rPr>
          <w:rFonts w:asciiTheme="majorBidi" w:hAnsiTheme="majorBidi" w:cstheme="majorBidi"/>
        </w:rPr>
        <w:t>„</w:t>
      </w:r>
      <w:r w:rsidR="002D1F8A" w:rsidRPr="002D1F8A">
        <w:rPr>
          <w:rFonts w:asciiTheme="majorBidi" w:hAnsiTheme="majorBidi" w:cstheme="majorBidi"/>
        </w:rPr>
        <w:t>Rīgas teritorijas izmantošanas un apbūves saistošie noteikumi”</w:t>
      </w:r>
      <w:r w:rsidR="002D1F8A">
        <w:rPr>
          <w:rFonts w:asciiTheme="majorBidi" w:hAnsiTheme="majorBidi" w:cstheme="majorBidi"/>
        </w:rPr>
        <w:t xml:space="preserve">). </w:t>
      </w:r>
      <w:r w:rsidR="002D1F8A" w:rsidRPr="002D1F8A">
        <w:rPr>
          <w:rFonts w:asciiTheme="majorBidi" w:hAnsiTheme="majorBidi" w:cstheme="majorBidi"/>
        </w:rPr>
        <w:t>Ministru kabineta</w:t>
      </w:r>
      <w:r w:rsidR="002D1F8A">
        <w:rPr>
          <w:rFonts w:asciiTheme="majorBidi" w:hAnsiTheme="majorBidi" w:cstheme="majorBidi"/>
        </w:rPr>
        <w:t xml:space="preserve"> </w:t>
      </w:r>
      <w:r w:rsidR="002D1F8A" w:rsidRPr="002D1F8A">
        <w:rPr>
          <w:rFonts w:asciiTheme="majorBidi" w:hAnsiTheme="majorBidi" w:cstheme="majorBidi"/>
        </w:rPr>
        <w:t>2014.gada 7.janvāra</w:t>
      </w:r>
      <w:r w:rsidR="002D1F8A">
        <w:rPr>
          <w:rFonts w:asciiTheme="majorBidi" w:hAnsiTheme="majorBidi" w:cstheme="majorBidi"/>
        </w:rPr>
        <w:t xml:space="preserve"> </w:t>
      </w:r>
      <w:r w:rsidR="002D1F8A" w:rsidRPr="002D1F8A">
        <w:rPr>
          <w:rFonts w:asciiTheme="majorBidi" w:hAnsiTheme="majorBidi" w:cstheme="majorBidi"/>
        </w:rPr>
        <w:t>noteikum</w:t>
      </w:r>
      <w:r w:rsidR="002D1F8A">
        <w:rPr>
          <w:rFonts w:asciiTheme="majorBidi" w:hAnsiTheme="majorBidi" w:cstheme="majorBidi"/>
        </w:rPr>
        <w:t>u</w:t>
      </w:r>
      <w:r w:rsidR="002D1F8A" w:rsidRPr="002D1F8A">
        <w:rPr>
          <w:rFonts w:asciiTheme="majorBidi" w:hAnsiTheme="majorBidi" w:cstheme="majorBidi"/>
        </w:rPr>
        <w:t xml:space="preserve"> Nr.</w:t>
      </w:r>
      <w:r w:rsidR="002D1F8A">
        <w:rPr>
          <w:rFonts w:asciiTheme="majorBidi" w:hAnsiTheme="majorBidi" w:cstheme="majorBidi"/>
        </w:rPr>
        <w:t> </w:t>
      </w:r>
      <w:r w:rsidR="002D1F8A" w:rsidRPr="002D1F8A">
        <w:rPr>
          <w:rFonts w:asciiTheme="majorBidi" w:hAnsiTheme="majorBidi" w:cstheme="majorBidi"/>
        </w:rPr>
        <w:t>16</w:t>
      </w:r>
      <w:r w:rsidR="002D1F8A">
        <w:rPr>
          <w:rFonts w:asciiTheme="majorBidi" w:hAnsiTheme="majorBidi" w:cstheme="majorBidi"/>
        </w:rPr>
        <w:t xml:space="preserve"> „</w:t>
      </w:r>
      <w:r w:rsidR="002D1F8A" w:rsidRPr="002D1F8A">
        <w:rPr>
          <w:rFonts w:asciiTheme="majorBidi" w:hAnsiTheme="majorBidi" w:cstheme="majorBidi"/>
        </w:rPr>
        <w:t>Trokšņa novērtēšanas un pārvaldības kārtība</w:t>
      </w:r>
      <w:r w:rsidR="002D1F8A">
        <w:rPr>
          <w:rFonts w:asciiTheme="majorBidi" w:hAnsiTheme="majorBidi" w:cstheme="majorBidi"/>
        </w:rPr>
        <w:t>” 1.pielikumā noteikts, ka vides trokšņa robežlielums šāda veida apbūves teritorijās ir: 6</w:t>
      </w:r>
      <w:r w:rsidR="00592B85">
        <w:rPr>
          <w:rFonts w:asciiTheme="majorBidi" w:hAnsiTheme="majorBidi" w:cstheme="majorBidi"/>
        </w:rPr>
        <w:t>5</w:t>
      </w:r>
      <w:r w:rsidR="002D1F8A">
        <w:rPr>
          <w:rFonts w:asciiTheme="majorBidi" w:hAnsiTheme="majorBidi" w:cstheme="majorBidi"/>
        </w:rPr>
        <w:t xml:space="preserve"> </w:t>
      </w:r>
      <w:r w:rsidR="00592B85" w:rsidRPr="00592B85">
        <w:rPr>
          <w:rFonts w:asciiTheme="majorBidi" w:hAnsiTheme="majorBidi" w:cstheme="majorBidi"/>
        </w:rPr>
        <w:t>dB(A)</w:t>
      </w:r>
      <w:r w:rsidR="00592B85">
        <w:rPr>
          <w:rFonts w:asciiTheme="majorBidi" w:hAnsiTheme="majorBidi" w:cstheme="majorBidi"/>
        </w:rPr>
        <w:t xml:space="preserve"> dienā un 60 dB(A) vakarā jauktas apbūves teritorijās un 60 dB(A) dienā un 55 dB(A) vakarā daudzstāvu dzīvojamās apbūves teritorijās. Faktiskais trokšņa lielums </w:t>
      </w:r>
      <w:r w:rsidR="00482243">
        <w:rPr>
          <w:rFonts w:asciiTheme="majorBidi" w:hAnsiTheme="majorBidi" w:cstheme="majorBidi"/>
        </w:rPr>
        <w:t xml:space="preserve">Biķernieku trasē </w:t>
      </w:r>
      <w:r w:rsidR="00592B85">
        <w:rPr>
          <w:rFonts w:asciiTheme="majorBidi" w:hAnsiTheme="majorBidi" w:cstheme="majorBidi"/>
        </w:rPr>
        <w:t>bija 58,72 dB(A) dienā un 52,75 dB(A) vakarā 5.jūnijā, 58,27 dB(A) dienā un 53,77 dB(A) vakarā 6.jūnijā. Tātad trokšņa robežlielums netika pārsniegts trasē, un vēl jo mazāk tas varēja būt pārsniegt blakus esošajās teritorijās, kas atrodas attālāk.</w:t>
      </w:r>
    </w:p>
    <w:p w14:paraId="500A4378" w14:textId="0D3717A5" w:rsidR="00592B85" w:rsidRDefault="00592B85" w:rsidP="00A50739">
      <w:pPr>
        <w:spacing w:line="276" w:lineRule="auto"/>
        <w:ind w:firstLine="720"/>
        <w:jc w:val="both"/>
        <w:rPr>
          <w:rFonts w:asciiTheme="majorBidi" w:hAnsiTheme="majorBidi" w:cstheme="majorBidi"/>
        </w:rPr>
      </w:pPr>
      <w:r>
        <w:rPr>
          <w:rFonts w:asciiTheme="majorBidi" w:hAnsiTheme="majorBidi" w:cstheme="majorBidi"/>
        </w:rPr>
        <w:t>Līdz ar to arī faktiskie mērījumi norāda uz to, ka pārsūdzētā atļauja nevarēja radīt kādu konkrētu vides normatīvo aktu pārkāpumu, lai būtu pieļaujama pieteikuma iesniegšana šāda pārkāpuma novēršanas nolūkā.</w:t>
      </w:r>
      <w:r w:rsidR="00DA7356">
        <w:rPr>
          <w:rFonts w:asciiTheme="majorBidi" w:hAnsiTheme="majorBidi" w:cstheme="majorBidi"/>
        </w:rPr>
        <w:t xml:space="preserve"> </w:t>
      </w:r>
    </w:p>
    <w:p w14:paraId="266BC570" w14:textId="77777777" w:rsidR="00592B85" w:rsidRDefault="00592B85" w:rsidP="00A50739">
      <w:pPr>
        <w:spacing w:line="276" w:lineRule="auto"/>
        <w:ind w:firstLine="720"/>
        <w:jc w:val="both"/>
        <w:rPr>
          <w:rFonts w:asciiTheme="majorBidi" w:hAnsiTheme="majorBidi" w:cstheme="majorBidi"/>
        </w:rPr>
      </w:pPr>
    </w:p>
    <w:p w14:paraId="13299B38" w14:textId="52877DCF" w:rsidR="00A50150" w:rsidRDefault="00A50150" w:rsidP="00A50739">
      <w:pPr>
        <w:spacing w:line="276" w:lineRule="auto"/>
        <w:ind w:firstLine="720"/>
        <w:jc w:val="both"/>
        <w:rPr>
          <w:rFonts w:asciiTheme="majorBidi" w:hAnsiTheme="majorBidi" w:cstheme="majorBidi"/>
        </w:rPr>
      </w:pPr>
      <w:r w:rsidRPr="00A50150">
        <w:rPr>
          <w:rFonts w:asciiTheme="majorBidi" w:eastAsiaTheme="minorHAnsi" w:hAnsiTheme="majorBidi" w:cstheme="majorBidi"/>
          <w:lang w:eastAsia="en-US"/>
        </w:rPr>
        <w:t>[</w:t>
      </w:r>
      <w:r w:rsidR="007D7B77">
        <w:rPr>
          <w:rFonts w:asciiTheme="majorBidi" w:eastAsiaTheme="minorHAnsi" w:hAnsiTheme="majorBidi" w:cstheme="majorBidi"/>
          <w:lang w:eastAsia="en-US"/>
        </w:rPr>
        <w:t>3</w:t>
      </w:r>
      <w:r w:rsidRPr="00A50150">
        <w:rPr>
          <w:rFonts w:asciiTheme="majorBidi" w:eastAsiaTheme="minorHAnsi" w:hAnsiTheme="majorBidi" w:cstheme="majorBidi"/>
          <w:lang w:eastAsia="en-US"/>
        </w:rPr>
        <w:t>]</w:t>
      </w:r>
      <w:r w:rsidR="004D1DDF">
        <w:rPr>
          <w:rFonts w:asciiTheme="majorBidi" w:eastAsiaTheme="minorHAnsi" w:hAnsiTheme="majorBidi" w:cstheme="majorBidi"/>
          <w:lang w:eastAsia="en-US"/>
        </w:rPr>
        <w:t xml:space="preserve"> </w:t>
      </w:r>
      <w:r w:rsidR="007D7B77">
        <w:rPr>
          <w:rFonts w:asciiTheme="majorBidi" w:hAnsiTheme="majorBidi" w:cstheme="majorBidi"/>
        </w:rPr>
        <w:t>Senatoru kolēģija secina</w:t>
      </w:r>
      <w:r w:rsidRPr="00A50150">
        <w:rPr>
          <w:rFonts w:asciiTheme="majorBidi" w:hAnsiTheme="majorBidi" w:cstheme="majorBidi"/>
        </w:rPr>
        <w:t xml:space="preserve">, ka </w:t>
      </w:r>
      <w:r w:rsidR="007D7B77">
        <w:rPr>
          <w:rFonts w:asciiTheme="majorBidi" w:hAnsiTheme="majorBidi" w:cstheme="majorBidi"/>
        </w:rPr>
        <w:t>pieteicēj</w:t>
      </w:r>
      <w:r w:rsidR="00482243">
        <w:rPr>
          <w:rFonts w:asciiTheme="majorBidi" w:hAnsiTheme="majorBidi" w:cstheme="majorBidi"/>
        </w:rPr>
        <w:t>u</w:t>
      </w:r>
      <w:r w:rsidRPr="00A50150">
        <w:rPr>
          <w:rFonts w:asciiTheme="majorBidi" w:hAnsiTheme="majorBidi" w:cstheme="majorBidi"/>
        </w:rPr>
        <w:t xml:space="preserve"> blakus sūdzība ir acīmredzami nepamatota, un tas atbilstoši Administratīvā procesa likuma 320.</w:t>
      </w:r>
      <w:r w:rsidRPr="00A50150">
        <w:rPr>
          <w:rFonts w:asciiTheme="majorBidi" w:hAnsiTheme="majorBidi" w:cstheme="majorBidi"/>
          <w:vertAlign w:val="superscript"/>
        </w:rPr>
        <w:t>1</w:t>
      </w:r>
      <w:r w:rsidRPr="00A50150">
        <w:rPr>
          <w:rFonts w:asciiTheme="majorBidi" w:hAnsiTheme="majorBidi" w:cstheme="majorBidi"/>
        </w:rPr>
        <w:t>pantam ir pamats atteikt šīs blakus sūdzības izskatīšanu.</w:t>
      </w:r>
    </w:p>
    <w:p w14:paraId="2FF39C99" w14:textId="77777777" w:rsidR="004F2B2F" w:rsidRDefault="004F2B2F" w:rsidP="00A50739">
      <w:pPr>
        <w:spacing w:line="276" w:lineRule="auto"/>
        <w:ind w:firstLine="720"/>
        <w:jc w:val="both"/>
        <w:rPr>
          <w:rFonts w:asciiTheme="majorBidi" w:hAnsiTheme="majorBidi" w:cstheme="majorBidi"/>
        </w:rPr>
      </w:pPr>
    </w:p>
    <w:p w14:paraId="7DBD9C69" w14:textId="5E5D29F2" w:rsidR="00A50150" w:rsidRDefault="00A50150" w:rsidP="00A50739">
      <w:pPr>
        <w:spacing w:line="276" w:lineRule="auto"/>
        <w:ind w:firstLine="720"/>
        <w:jc w:val="both"/>
        <w:rPr>
          <w:strike/>
        </w:rPr>
      </w:pPr>
      <w:r w:rsidRPr="00B17B0C">
        <w:t xml:space="preserve">Pamatojoties uz </w:t>
      </w:r>
      <w:r>
        <w:t>Administratīvā procesa likuma 320.</w:t>
      </w:r>
      <w:r w:rsidRPr="009A6A06">
        <w:rPr>
          <w:vertAlign w:val="superscript"/>
        </w:rPr>
        <w:t>1</w:t>
      </w:r>
      <w:r>
        <w:t xml:space="preserve">pantu un </w:t>
      </w:r>
      <w:r w:rsidRPr="006F7E46">
        <w:t xml:space="preserve">338.panta </w:t>
      </w:r>
      <w:r>
        <w:t>astoto daļu</w:t>
      </w:r>
      <w:r w:rsidRPr="00B17B0C">
        <w:t xml:space="preserve">, </w:t>
      </w:r>
      <w:r>
        <w:t>senatoru</w:t>
      </w:r>
      <w:r w:rsidRPr="00B17B0C">
        <w:t xml:space="preserve"> kolēģija</w:t>
      </w:r>
    </w:p>
    <w:p w14:paraId="6E266C77" w14:textId="77777777" w:rsidR="00A50150" w:rsidRPr="009A6A06" w:rsidRDefault="00A50150" w:rsidP="00A50739">
      <w:pPr>
        <w:spacing w:line="276" w:lineRule="auto"/>
        <w:ind w:firstLine="567"/>
        <w:jc w:val="both"/>
        <w:rPr>
          <w:strike/>
        </w:rPr>
      </w:pPr>
    </w:p>
    <w:p w14:paraId="531C090A" w14:textId="77777777" w:rsidR="00A50150" w:rsidRPr="00B17B0C" w:rsidRDefault="00A50150" w:rsidP="00A50739">
      <w:pPr>
        <w:spacing w:line="276" w:lineRule="auto"/>
        <w:jc w:val="center"/>
        <w:rPr>
          <w:b/>
        </w:rPr>
      </w:pPr>
      <w:r w:rsidRPr="00B17B0C">
        <w:rPr>
          <w:b/>
        </w:rPr>
        <w:t>nolēma</w:t>
      </w:r>
    </w:p>
    <w:p w14:paraId="7593AF8D" w14:textId="77777777" w:rsidR="00A50150" w:rsidRPr="00B17B0C" w:rsidRDefault="00A50150" w:rsidP="00A50739">
      <w:pPr>
        <w:spacing w:line="276" w:lineRule="auto"/>
        <w:jc w:val="center"/>
        <w:rPr>
          <w:b/>
        </w:rPr>
      </w:pPr>
    </w:p>
    <w:p w14:paraId="1BCEAD05" w14:textId="27CB92AC" w:rsidR="00A50150" w:rsidRDefault="00A50150" w:rsidP="00A50739">
      <w:pPr>
        <w:spacing w:line="276" w:lineRule="auto"/>
        <w:ind w:firstLine="720"/>
        <w:jc w:val="both"/>
      </w:pPr>
      <w:r>
        <w:t xml:space="preserve">atteikt izskatīt </w:t>
      </w:r>
      <w:r w:rsidR="00A50739">
        <w:rPr>
          <w:rFonts w:asciiTheme="majorBidi" w:hAnsiTheme="majorBidi" w:cstheme="majorBidi"/>
        </w:rPr>
        <w:t xml:space="preserve">[pers. A] un [pers. B] </w:t>
      </w:r>
      <w:r>
        <w:t xml:space="preserve">blakus sūdzību par Administratīvās </w:t>
      </w:r>
      <w:r w:rsidR="00DA7356">
        <w:t xml:space="preserve">rajona </w:t>
      </w:r>
      <w:r w:rsidR="004D1DDF">
        <w:t>tiesas</w:t>
      </w:r>
      <w:r w:rsidR="007D7B77">
        <w:t xml:space="preserve"> 202</w:t>
      </w:r>
      <w:r w:rsidR="004D1DDF">
        <w:t>6</w:t>
      </w:r>
      <w:r w:rsidR="007D7B77">
        <w:t xml:space="preserve">.gada </w:t>
      </w:r>
      <w:r w:rsidR="004D1DDF">
        <w:t>1</w:t>
      </w:r>
      <w:r w:rsidR="007D7B77">
        <w:t>.</w:t>
      </w:r>
      <w:r w:rsidR="00DA7356">
        <w:t>jūn</w:t>
      </w:r>
      <w:r w:rsidR="004D1DDF">
        <w:t>ija</w:t>
      </w:r>
      <w:r>
        <w:t xml:space="preserve"> lēmumu.</w:t>
      </w:r>
    </w:p>
    <w:p w14:paraId="62D05F79" w14:textId="77777777" w:rsidR="00A50150" w:rsidRDefault="00A50150" w:rsidP="00A50739">
      <w:pPr>
        <w:spacing w:line="276" w:lineRule="auto"/>
        <w:ind w:firstLine="720"/>
        <w:jc w:val="both"/>
      </w:pPr>
    </w:p>
    <w:p w14:paraId="7B62381C" w14:textId="1C527528" w:rsidR="00A50150" w:rsidRDefault="00A50150" w:rsidP="00A50739">
      <w:pPr>
        <w:spacing w:line="276" w:lineRule="auto"/>
        <w:ind w:firstLine="720"/>
        <w:jc w:val="both"/>
      </w:pPr>
      <w:r>
        <w:t>Lēmums nav pārsūdzams.</w:t>
      </w:r>
    </w:p>
    <w:p w14:paraId="782822D6" w14:textId="77777777" w:rsidR="001B2F01" w:rsidRDefault="001B2F01" w:rsidP="00A50739">
      <w:pPr>
        <w:spacing w:line="276" w:lineRule="auto"/>
        <w:jc w:val="both"/>
      </w:pPr>
    </w:p>
    <w:p w14:paraId="291A5F8D" w14:textId="77777777" w:rsidR="001B2F01" w:rsidRDefault="001B2F01" w:rsidP="00A50739">
      <w:pPr>
        <w:spacing w:line="276" w:lineRule="auto"/>
        <w:jc w:val="both"/>
      </w:pPr>
    </w:p>
    <w:p w14:paraId="03BE8486" w14:textId="77777777" w:rsidR="001B2F01" w:rsidRDefault="001B2F01" w:rsidP="00A50739">
      <w:pPr>
        <w:spacing w:line="276" w:lineRule="auto"/>
        <w:jc w:val="both"/>
      </w:pPr>
    </w:p>
    <w:p w14:paraId="7E18D50E" w14:textId="77777777" w:rsidR="001B2F01" w:rsidRDefault="001B2F01" w:rsidP="00A50739">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2858"/>
        <w:gridCol w:w="2819"/>
      </w:tblGrid>
      <w:tr w:rsidR="001B2F01" w14:paraId="4A4DEA74" w14:textId="77777777" w:rsidTr="001B2F01">
        <w:tc>
          <w:tcPr>
            <w:tcW w:w="2942" w:type="dxa"/>
            <w:vAlign w:val="center"/>
          </w:tcPr>
          <w:p w14:paraId="118F7FD9" w14:textId="5CD5A7CF" w:rsidR="001B2F01" w:rsidRPr="001B2F01" w:rsidRDefault="001B2F01" w:rsidP="00A50739">
            <w:pPr>
              <w:spacing w:line="276" w:lineRule="auto"/>
              <w:rPr>
                <w:sz w:val="24"/>
                <w:szCs w:val="32"/>
              </w:rPr>
            </w:pPr>
            <w:r w:rsidRPr="001B2F01">
              <w:rPr>
                <w:sz w:val="24"/>
                <w:szCs w:val="32"/>
              </w:rPr>
              <w:t>Senator</w:t>
            </w:r>
            <w:r w:rsidR="004D1DDF">
              <w:rPr>
                <w:sz w:val="24"/>
                <w:szCs w:val="32"/>
              </w:rPr>
              <w:t>e</w:t>
            </w:r>
            <w:r w:rsidRPr="001B2F01">
              <w:rPr>
                <w:sz w:val="24"/>
                <w:szCs w:val="32"/>
              </w:rPr>
              <w:t xml:space="preserve"> </w:t>
            </w:r>
            <w:r w:rsidR="004D1DDF">
              <w:rPr>
                <w:sz w:val="24"/>
                <w:szCs w:val="32"/>
              </w:rPr>
              <w:t>R</w:t>
            </w:r>
            <w:r w:rsidRPr="001B2F01">
              <w:rPr>
                <w:sz w:val="24"/>
                <w:szCs w:val="32"/>
              </w:rPr>
              <w:t>.</w:t>
            </w:r>
            <w:r w:rsidR="004D1DDF">
              <w:rPr>
                <w:sz w:val="24"/>
                <w:szCs w:val="32"/>
              </w:rPr>
              <w:t> Vīduša</w:t>
            </w:r>
          </w:p>
        </w:tc>
        <w:tc>
          <w:tcPr>
            <w:tcW w:w="2943" w:type="dxa"/>
            <w:vAlign w:val="center"/>
          </w:tcPr>
          <w:p w14:paraId="49286952" w14:textId="707D6166" w:rsidR="001B2F01" w:rsidRPr="001B2F01" w:rsidRDefault="001B2F01" w:rsidP="00A50739">
            <w:pPr>
              <w:spacing w:line="276" w:lineRule="auto"/>
              <w:jc w:val="center"/>
              <w:rPr>
                <w:sz w:val="24"/>
                <w:szCs w:val="32"/>
              </w:rPr>
            </w:pPr>
            <w:r w:rsidRPr="001B2F01">
              <w:rPr>
                <w:sz w:val="24"/>
                <w:szCs w:val="32"/>
              </w:rPr>
              <w:t>Senator</w:t>
            </w:r>
            <w:r w:rsidR="007D7B77">
              <w:rPr>
                <w:sz w:val="24"/>
                <w:szCs w:val="32"/>
              </w:rPr>
              <w:t xml:space="preserve">e </w:t>
            </w:r>
            <w:r w:rsidR="00DA7356">
              <w:rPr>
                <w:sz w:val="24"/>
                <w:szCs w:val="32"/>
              </w:rPr>
              <w:t>A. Kovaļevska</w:t>
            </w:r>
          </w:p>
        </w:tc>
        <w:tc>
          <w:tcPr>
            <w:tcW w:w="2943" w:type="dxa"/>
            <w:vAlign w:val="center"/>
          </w:tcPr>
          <w:p w14:paraId="2E5D3F30" w14:textId="570DDC83" w:rsidR="001B2F01" w:rsidRPr="001B2F01" w:rsidRDefault="001B2F01" w:rsidP="00A50739">
            <w:pPr>
              <w:spacing w:line="276" w:lineRule="auto"/>
              <w:jc w:val="right"/>
              <w:rPr>
                <w:sz w:val="24"/>
                <w:szCs w:val="32"/>
              </w:rPr>
            </w:pPr>
            <w:r w:rsidRPr="001B2F01">
              <w:rPr>
                <w:sz w:val="24"/>
                <w:szCs w:val="32"/>
              </w:rPr>
              <w:t>Senator</w:t>
            </w:r>
            <w:r w:rsidR="004D1DDF">
              <w:rPr>
                <w:sz w:val="24"/>
                <w:szCs w:val="32"/>
              </w:rPr>
              <w:t>s</w:t>
            </w:r>
            <w:r w:rsidRPr="001B2F01">
              <w:rPr>
                <w:sz w:val="24"/>
                <w:szCs w:val="32"/>
              </w:rPr>
              <w:t xml:space="preserve"> </w:t>
            </w:r>
            <w:r w:rsidR="004D1DDF">
              <w:rPr>
                <w:sz w:val="24"/>
                <w:szCs w:val="32"/>
              </w:rPr>
              <w:t>J</w:t>
            </w:r>
            <w:r w:rsidR="007D7B77">
              <w:rPr>
                <w:sz w:val="24"/>
                <w:szCs w:val="32"/>
              </w:rPr>
              <w:t>.</w:t>
            </w:r>
            <w:r w:rsidR="004D1DDF">
              <w:rPr>
                <w:sz w:val="24"/>
                <w:szCs w:val="32"/>
              </w:rPr>
              <w:t> Pleps</w:t>
            </w:r>
          </w:p>
        </w:tc>
      </w:tr>
    </w:tbl>
    <w:p w14:paraId="020F80A3" w14:textId="77777777" w:rsidR="00A50150" w:rsidRPr="00B17B0C" w:rsidRDefault="00A50150" w:rsidP="00F50CE8">
      <w:pPr>
        <w:spacing w:line="276" w:lineRule="auto"/>
        <w:jc w:val="both"/>
        <w:rPr>
          <w:color w:val="000000"/>
        </w:rPr>
      </w:pPr>
    </w:p>
    <w:sectPr w:rsidR="00A50150" w:rsidRPr="00B17B0C" w:rsidSect="00EC1261">
      <w:footerReference w:type="default" r:id="rId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41B3F" w14:textId="77777777" w:rsidR="003260B3" w:rsidRDefault="003260B3" w:rsidP="009F7ACE">
      <w:r>
        <w:separator/>
      </w:r>
    </w:p>
  </w:endnote>
  <w:endnote w:type="continuationSeparator" w:id="0">
    <w:p w14:paraId="73630DA1" w14:textId="77777777" w:rsidR="003260B3" w:rsidRDefault="003260B3"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76287583"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3260B3">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8EC9" w14:textId="77777777" w:rsidR="003260B3" w:rsidRDefault="003260B3" w:rsidP="009F7ACE">
      <w:r>
        <w:separator/>
      </w:r>
    </w:p>
  </w:footnote>
  <w:footnote w:type="continuationSeparator" w:id="0">
    <w:p w14:paraId="5466639E" w14:textId="77777777" w:rsidR="003260B3" w:rsidRDefault="003260B3"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47A0"/>
    <w:rsid w:val="00093086"/>
    <w:rsid w:val="000976B4"/>
    <w:rsid w:val="000A65CA"/>
    <w:rsid w:val="000E008F"/>
    <w:rsid w:val="000E5FFB"/>
    <w:rsid w:val="000F6ADC"/>
    <w:rsid w:val="001367B6"/>
    <w:rsid w:val="00136A9A"/>
    <w:rsid w:val="00152600"/>
    <w:rsid w:val="00194C45"/>
    <w:rsid w:val="001A33E9"/>
    <w:rsid w:val="001B2F01"/>
    <w:rsid w:val="001E07DE"/>
    <w:rsid w:val="00232F15"/>
    <w:rsid w:val="00273A50"/>
    <w:rsid w:val="002D1F8A"/>
    <w:rsid w:val="00307B8A"/>
    <w:rsid w:val="003260B3"/>
    <w:rsid w:val="0034076F"/>
    <w:rsid w:val="00372702"/>
    <w:rsid w:val="0038523E"/>
    <w:rsid w:val="003928E2"/>
    <w:rsid w:val="003B49E5"/>
    <w:rsid w:val="003D6244"/>
    <w:rsid w:val="003D76B2"/>
    <w:rsid w:val="00411CD0"/>
    <w:rsid w:val="00447EE6"/>
    <w:rsid w:val="00452ABD"/>
    <w:rsid w:val="00477754"/>
    <w:rsid w:val="00481C6F"/>
    <w:rsid w:val="00482243"/>
    <w:rsid w:val="004A7C37"/>
    <w:rsid w:val="004B2A94"/>
    <w:rsid w:val="004D0F9C"/>
    <w:rsid w:val="004D1DDF"/>
    <w:rsid w:val="004F2B2F"/>
    <w:rsid w:val="0050612E"/>
    <w:rsid w:val="00547C02"/>
    <w:rsid w:val="005506B3"/>
    <w:rsid w:val="005776B1"/>
    <w:rsid w:val="00592B85"/>
    <w:rsid w:val="005947AB"/>
    <w:rsid w:val="005F5B95"/>
    <w:rsid w:val="00607D4D"/>
    <w:rsid w:val="006178F5"/>
    <w:rsid w:val="006266C1"/>
    <w:rsid w:val="00630780"/>
    <w:rsid w:val="006E41F9"/>
    <w:rsid w:val="0070682F"/>
    <w:rsid w:val="00724B81"/>
    <w:rsid w:val="00773242"/>
    <w:rsid w:val="00782477"/>
    <w:rsid w:val="007A5D9F"/>
    <w:rsid w:val="007C1540"/>
    <w:rsid w:val="007C1ED3"/>
    <w:rsid w:val="007C32C8"/>
    <w:rsid w:val="007C7584"/>
    <w:rsid w:val="007D3AF8"/>
    <w:rsid w:val="007D7B77"/>
    <w:rsid w:val="007F57CA"/>
    <w:rsid w:val="00871792"/>
    <w:rsid w:val="0087351A"/>
    <w:rsid w:val="008744A3"/>
    <w:rsid w:val="008774FB"/>
    <w:rsid w:val="008C43F1"/>
    <w:rsid w:val="008D46CC"/>
    <w:rsid w:val="008E735E"/>
    <w:rsid w:val="008F0317"/>
    <w:rsid w:val="00972062"/>
    <w:rsid w:val="009A4AD5"/>
    <w:rsid w:val="009F7ACE"/>
    <w:rsid w:val="00A11873"/>
    <w:rsid w:val="00A50150"/>
    <w:rsid w:val="00A50739"/>
    <w:rsid w:val="00A8391E"/>
    <w:rsid w:val="00A91182"/>
    <w:rsid w:val="00A95954"/>
    <w:rsid w:val="00AB43A1"/>
    <w:rsid w:val="00AE49A6"/>
    <w:rsid w:val="00B260BD"/>
    <w:rsid w:val="00B54F4B"/>
    <w:rsid w:val="00B57336"/>
    <w:rsid w:val="00B90F48"/>
    <w:rsid w:val="00BA4254"/>
    <w:rsid w:val="00BB4C76"/>
    <w:rsid w:val="00BC03B6"/>
    <w:rsid w:val="00BD286D"/>
    <w:rsid w:val="00BD3526"/>
    <w:rsid w:val="00BF21E2"/>
    <w:rsid w:val="00BF66EA"/>
    <w:rsid w:val="00C1458D"/>
    <w:rsid w:val="00C21C8B"/>
    <w:rsid w:val="00C25F37"/>
    <w:rsid w:val="00C5023B"/>
    <w:rsid w:val="00C52F4E"/>
    <w:rsid w:val="00C556A3"/>
    <w:rsid w:val="00C563E6"/>
    <w:rsid w:val="00C60C95"/>
    <w:rsid w:val="00C61C30"/>
    <w:rsid w:val="00C80217"/>
    <w:rsid w:val="00C81FD3"/>
    <w:rsid w:val="00CC5F76"/>
    <w:rsid w:val="00CD38BE"/>
    <w:rsid w:val="00CE1023"/>
    <w:rsid w:val="00CE126D"/>
    <w:rsid w:val="00CE79F0"/>
    <w:rsid w:val="00D04558"/>
    <w:rsid w:val="00D25D87"/>
    <w:rsid w:val="00D47B62"/>
    <w:rsid w:val="00D81854"/>
    <w:rsid w:val="00D87BD4"/>
    <w:rsid w:val="00DA7356"/>
    <w:rsid w:val="00DB6305"/>
    <w:rsid w:val="00DC18CF"/>
    <w:rsid w:val="00DD09D6"/>
    <w:rsid w:val="00DE3013"/>
    <w:rsid w:val="00E00F8A"/>
    <w:rsid w:val="00E030DD"/>
    <w:rsid w:val="00E41DA0"/>
    <w:rsid w:val="00E64443"/>
    <w:rsid w:val="00E95C78"/>
    <w:rsid w:val="00EA40AD"/>
    <w:rsid w:val="00EC1261"/>
    <w:rsid w:val="00EE1B21"/>
    <w:rsid w:val="00F02230"/>
    <w:rsid w:val="00F27433"/>
    <w:rsid w:val="00F41C2D"/>
    <w:rsid w:val="00F41EE7"/>
    <w:rsid w:val="00F50CE8"/>
    <w:rsid w:val="00F569ED"/>
    <w:rsid w:val="00F731C3"/>
    <w:rsid w:val="00FA0AB3"/>
    <w:rsid w:val="00FC2B1F"/>
    <w:rsid w:val="00FF78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1367B6"/>
    <w:rPr>
      <w:color w:val="0563C1" w:themeColor="hyperlink"/>
      <w:u w:val="single"/>
    </w:rPr>
  </w:style>
  <w:style w:type="character" w:styleId="UnresolvedMention">
    <w:name w:val="Unresolved Mention"/>
    <w:basedOn w:val="DefaultParagraphFont"/>
    <w:uiPriority w:val="99"/>
    <w:semiHidden/>
    <w:unhideWhenUsed/>
    <w:rsid w:val="001367B6"/>
    <w:rPr>
      <w:color w:val="605E5C"/>
      <w:shd w:val="clear" w:color="auto" w:fill="E1DFDD"/>
    </w:rPr>
  </w:style>
  <w:style w:type="paragraph" w:styleId="Revision">
    <w:name w:val="Revision"/>
    <w:hidden/>
    <w:uiPriority w:val="99"/>
    <w:semiHidden/>
    <w:rsid w:val="003D76B2"/>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3D76B2"/>
    <w:rPr>
      <w:color w:val="954F72" w:themeColor="followedHyperlink"/>
      <w:u w:val="single"/>
    </w:rPr>
  </w:style>
  <w:style w:type="paragraph" w:customStyle="1" w:styleId="Default">
    <w:name w:val="Default"/>
    <w:rsid w:val="00A50739"/>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ksb.lv/index.php/features/par-trasi/skana" TargetMode="External"/><Relationship Id="rId3" Type="http://schemas.openxmlformats.org/officeDocument/2006/relationships/settings" Target="settings.xml"/><Relationship Id="rId7" Type="http://schemas.openxmlformats.org/officeDocument/2006/relationships/hyperlink" Target="https://gateway.elieta.lv/api/v1/PublicMaterialDownload/bd1afd6e-1fcb-4c2a-b176-490258092fa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3954</Words>
  <Characters>2254</Characters>
  <Application>Microsoft Office Word</Application>
  <DocSecurity>0</DocSecurity>
  <Lines>18</Lines>
  <Paragraphs>12</Paragraphs>
  <ScaleCrop>false</ScaleCrop>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2026-07-30T11:32:00Z</dcterms:created>
  <dcterms:modified xsi:type="dcterms:W3CDTF">2026-07-30T11:32:00Z</dcterms:modified>
</cp:coreProperties>
</file>