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E27B" w14:textId="77777777" w:rsidR="003D5521" w:rsidRDefault="003D5521" w:rsidP="00A2415C">
      <w:pPr>
        <w:spacing w:line="276" w:lineRule="auto"/>
        <w:jc w:val="both"/>
        <w:rPr>
          <w:b/>
          <w:bCs/>
          <w:lang w:eastAsia="lv-LV"/>
          <w14:ligatures w14:val="standardContextual"/>
        </w:rPr>
      </w:pPr>
      <w:r>
        <w:rPr>
          <w:b/>
          <w:bCs/>
          <w14:ligatures w14:val="standardContextual"/>
        </w:rPr>
        <w:t>Atbalsts apkures katlu nomaiņai: nolikuma prasība par esošu apkures katlu</w:t>
      </w:r>
    </w:p>
    <w:p w14:paraId="1813EB07" w14:textId="1FE0B230" w:rsidR="003D5521" w:rsidRDefault="003D5521" w:rsidP="00A2415C">
      <w:pPr>
        <w:spacing w:line="276" w:lineRule="auto"/>
        <w:jc w:val="both"/>
        <w:rPr>
          <w14:ligatures w14:val="standardContextual"/>
        </w:rPr>
      </w:pPr>
      <w:r>
        <w:rPr>
          <w14:ligatures w14:val="standardContextual"/>
        </w:rPr>
        <w:t>Projektu iesniegumu konkurss, kurš ir vērsts uz atbalstu esošo apkures katlu nomaiņu, ir arī sasaistīts ar noteiktu nekustamo īpašumu. Tāpēc portatīvās sildierīces (dabasgāzes apkures kamīns), ar kuru nav iespējams apkurināt visu apdzīvojamo platību un kuru var izmantot jebkurā citā vietā, nomaiņu nav pamata atzīt par attiecināmām izmaksām.</w:t>
      </w:r>
    </w:p>
    <w:p w14:paraId="06348BA0" w14:textId="77777777" w:rsidR="00A2415C" w:rsidRPr="003D5521" w:rsidRDefault="00A2415C" w:rsidP="00A2415C">
      <w:pPr>
        <w:spacing w:line="276" w:lineRule="auto"/>
        <w:jc w:val="both"/>
        <w:rPr>
          <w14:ligatures w14:val="standardContextual"/>
        </w:rPr>
      </w:pPr>
    </w:p>
    <w:p w14:paraId="55E0E475" w14:textId="191E0F9F" w:rsidR="00447EE6" w:rsidRPr="00011547" w:rsidRDefault="00447EE6" w:rsidP="00A2415C">
      <w:pPr>
        <w:spacing w:before="120" w:line="276" w:lineRule="auto"/>
        <w:jc w:val="center"/>
        <w:rPr>
          <w:b/>
        </w:rPr>
      </w:pPr>
      <w:r w:rsidRPr="00011547">
        <w:rPr>
          <w:b/>
        </w:rPr>
        <w:t>Latvijas Republikas Senāt</w:t>
      </w:r>
      <w:r w:rsidR="003D5521">
        <w:rPr>
          <w:b/>
        </w:rPr>
        <w:t>a</w:t>
      </w:r>
      <w:r w:rsidR="003D5521">
        <w:rPr>
          <w:b/>
        </w:rPr>
        <w:br/>
        <w:t>Administratīvo lietu departamenta</w:t>
      </w:r>
      <w:r w:rsidR="003D5521">
        <w:rPr>
          <w:b/>
        </w:rPr>
        <w:br/>
        <w:t>2026.gada 14.jūlija</w:t>
      </w:r>
    </w:p>
    <w:p w14:paraId="2FA9305A" w14:textId="77777777" w:rsidR="00447EE6" w:rsidRDefault="000E008F" w:rsidP="00A2415C">
      <w:pPr>
        <w:spacing w:line="276" w:lineRule="auto"/>
        <w:jc w:val="center"/>
        <w:rPr>
          <w:b/>
        </w:rPr>
      </w:pPr>
      <w:r>
        <w:rPr>
          <w:b/>
        </w:rPr>
        <w:t>RĪCĪBAS SĒDES LĒMUMS</w:t>
      </w:r>
    </w:p>
    <w:p w14:paraId="0151C174" w14:textId="482038CF" w:rsidR="00A2415C" w:rsidRPr="00A2415C" w:rsidRDefault="003D5521" w:rsidP="00A2415C">
      <w:pPr>
        <w:spacing w:line="276" w:lineRule="auto"/>
        <w:jc w:val="center"/>
        <w:rPr>
          <w:b/>
          <w:bCs/>
        </w:rPr>
      </w:pPr>
      <w:r w:rsidRPr="003D5521">
        <w:rPr>
          <w:b/>
          <w:bCs/>
        </w:rPr>
        <w:t>Lieta Nr. A420230424, SKA-581/2026</w:t>
      </w:r>
    </w:p>
    <w:p w14:paraId="08B0A9FE" w14:textId="5D3BC479" w:rsidR="00447EE6" w:rsidRPr="00A2415C" w:rsidRDefault="00A2415C" w:rsidP="00A2415C">
      <w:pPr>
        <w:spacing w:line="276" w:lineRule="auto"/>
        <w:jc w:val="center"/>
        <w:rPr>
          <w:b/>
          <w:bCs/>
        </w:rPr>
      </w:pPr>
      <w:hyperlink r:id="rId7" w:history="1">
        <w:r w:rsidRPr="00A2415C">
          <w:rPr>
            <w:rStyle w:val="Hyperlink"/>
          </w:rPr>
          <w:t xml:space="preserve"> ECLI:LV:AT:2026:0714.A420230424.11.L</w:t>
        </w:r>
      </w:hyperlink>
    </w:p>
    <w:p w14:paraId="34BCCA7C" w14:textId="77777777" w:rsidR="00A50150" w:rsidRPr="00A50150" w:rsidRDefault="00A50150" w:rsidP="00A2415C">
      <w:pPr>
        <w:spacing w:line="276" w:lineRule="auto"/>
        <w:jc w:val="both"/>
        <w:rPr>
          <w:rFonts w:asciiTheme="majorBidi" w:hAnsiTheme="majorBidi" w:cstheme="majorBidi"/>
        </w:rPr>
      </w:pPr>
    </w:p>
    <w:p w14:paraId="299D7698" w14:textId="23A32BDF" w:rsidR="00534D69" w:rsidRDefault="00A50150" w:rsidP="00A2415C">
      <w:pPr>
        <w:spacing w:line="276" w:lineRule="auto"/>
        <w:ind w:firstLine="720"/>
        <w:jc w:val="both"/>
        <w:rPr>
          <w:rFonts w:asciiTheme="majorBidi" w:hAnsiTheme="majorBidi" w:cstheme="majorBidi"/>
        </w:rPr>
      </w:pPr>
      <w:r w:rsidRPr="00A50150">
        <w:rPr>
          <w:rFonts w:asciiTheme="majorBidi" w:hAnsiTheme="majorBidi" w:cstheme="majorBidi"/>
        </w:rPr>
        <w:t>[1]</w:t>
      </w:r>
      <w:r w:rsidR="00630780">
        <w:rPr>
          <w:rFonts w:asciiTheme="majorBidi" w:hAnsiTheme="majorBidi" w:cstheme="majorBidi"/>
        </w:rPr>
        <w:t xml:space="preserve"> </w:t>
      </w:r>
      <w:r w:rsidRPr="00A50150">
        <w:rPr>
          <w:rFonts w:asciiTheme="majorBidi" w:hAnsiTheme="majorBidi" w:cstheme="majorBidi"/>
        </w:rPr>
        <w:t xml:space="preserve">Senātā saņemta </w:t>
      </w:r>
      <w:r w:rsidR="00C61C30">
        <w:rPr>
          <w:rFonts w:asciiTheme="majorBidi" w:hAnsiTheme="majorBidi" w:cstheme="majorBidi"/>
        </w:rPr>
        <w:t>pieteicēja</w:t>
      </w:r>
      <w:r w:rsidR="00067CAD">
        <w:rPr>
          <w:rFonts w:asciiTheme="majorBidi" w:hAnsiTheme="majorBidi" w:cstheme="majorBidi"/>
        </w:rPr>
        <w:t xml:space="preserve"> </w:t>
      </w:r>
      <w:r w:rsidR="00A2415C">
        <w:rPr>
          <w:rFonts w:asciiTheme="majorBidi" w:hAnsiTheme="majorBidi" w:cstheme="majorBidi"/>
        </w:rPr>
        <w:t xml:space="preserve">[pers. A] </w:t>
      </w:r>
      <w:r w:rsidR="00067CAD">
        <w:rPr>
          <w:rFonts w:asciiTheme="majorBidi" w:hAnsiTheme="majorBidi" w:cstheme="majorBidi"/>
        </w:rPr>
        <w:t xml:space="preserve">kasācijas </w:t>
      </w:r>
      <w:r w:rsidRPr="00A50150">
        <w:rPr>
          <w:rFonts w:asciiTheme="majorBidi" w:hAnsiTheme="majorBidi" w:cstheme="majorBidi"/>
        </w:rPr>
        <w:t xml:space="preserve">sūdzība par Administratīvās </w:t>
      </w:r>
      <w:r w:rsidR="00630780">
        <w:rPr>
          <w:rFonts w:asciiTheme="majorBidi" w:hAnsiTheme="majorBidi" w:cstheme="majorBidi"/>
        </w:rPr>
        <w:t>apgabaltiesas</w:t>
      </w:r>
      <w:r w:rsidRPr="00A50150">
        <w:rPr>
          <w:rFonts w:asciiTheme="majorBidi" w:hAnsiTheme="majorBidi" w:cstheme="majorBidi"/>
        </w:rPr>
        <w:t xml:space="preserve"> </w:t>
      </w:r>
      <w:r w:rsidR="00452ABD">
        <w:rPr>
          <w:rFonts w:asciiTheme="majorBidi" w:hAnsiTheme="majorBidi" w:cstheme="majorBidi"/>
        </w:rPr>
        <w:t>202</w:t>
      </w:r>
      <w:r w:rsidR="00A32BE9">
        <w:rPr>
          <w:rFonts w:asciiTheme="majorBidi" w:hAnsiTheme="majorBidi" w:cstheme="majorBidi"/>
        </w:rPr>
        <w:t>6</w:t>
      </w:r>
      <w:r w:rsidR="00452ABD">
        <w:rPr>
          <w:rFonts w:asciiTheme="majorBidi" w:hAnsiTheme="majorBidi" w:cstheme="majorBidi"/>
        </w:rPr>
        <w:t xml:space="preserve">.gada </w:t>
      </w:r>
      <w:r w:rsidR="00534D69">
        <w:rPr>
          <w:rFonts w:asciiTheme="majorBidi" w:hAnsiTheme="majorBidi" w:cstheme="majorBidi"/>
        </w:rPr>
        <w:t>2</w:t>
      </w:r>
      <w:r w:rsidR="00A32BE9">
        <w:rPr>
          <w:rFonts w:asciiTheme="majorBidi" w:hAnsiTheme="majorBidi" w:cstheme="majorBidi"/>
        </w:rPr>
        <w:t xml:space="preserve">6.februāra </w:t>
      </w:r>
      <w:r w:rsidR="00067CAD">
        <w:rPr>
          <w:rFonts w:asciiTheme="majorBidi" w:hAnsiTheme="majorBidi" w:cstheme="majorBidi"/>
        </w:rPr>
        <w:t>spriedumu</w:t>
      </w:r>
      <w:r w:rsidRPr="00A50150">
        <w:rPr>
          <w:rFonts w:asciiTheme="majorBidi" w:hAnsiTheme="majorBidi" w:cstheme="majorBidi"/>
        </w:rPr>
        <w:t>, ar kuru</w:t>
      </w:r>
      <w:r w:rsidR="00630780">
        <w:rPr>
          <w:rFonts w:asciiTheme="majorBidi" w:hAnsiTheme="majorBidi" w:cstheme="majorBidi"/>
        </w:rPr>
        <w:t xml:space="preserve"> </w:t>
      </w:r>
      <w:r w:rsidR="00067CAD">
        <w:rPr>
          <w:rFonts w:asciiTheme="majorBidi" w:hAnsiTheme="majorBidi" w:cstheme="majorBidi"/>
        </w:rPr>
        <w:t xml:space="preserve">noraidīts pieteicēja pieteikums </w:t>
      </w:r>
      <w:r w:rsidR="00D46CCF" w:rsidRPr="00D46CCF">
        <w:rPr>
          <w:rFonts w:asciiTheme="majorBidi" w:hAnsiTheme="majorBidi" w:cstheme="majorBidi"/>
        </w:rPr>
        <w:t xml:space="preserve">par pienākuma uzlikšanu </w:t>
      </w:r>
      <w:r w:rsidR="00D40CE9">
        <w:rPr>
          <w:rFonts w:asciiTheme="majorBidi" w:hAnsiTheme="majorBidi" w:cstheme="majorBidi"/>
        </w:rPr>
        <w:t>sabiedrībai ar ierobežotu atbildību</w:t>
      </w:r>
      <w:r w:rsidR="00D46CCF">
        <w:rPr>
          <w:rFonts w:asciiTheme="majorBidi" w:hAnsiTheme="majorBidi" w:cstheme="majorBidi"/>
        </w:rPr>
        <w:t> „</w:t>
      </w:r>
      <w:r w:rsidR="00D46CCF" w:rsidRPr="00D46CCF">
        <w:rPr>
          <w:rFonts w:asciiTheme="majorBidi" w:hAnsiTheme="majorBidi" w:cstheme="majorBidi"/>
        </w:rPr>
        <w:t>Vides investīciju</w:t>
      </w:r>
      <w:r w:rsidR="00D46CCF">
        <w:rPr>
          <w:rFonts w:asciiTheme="majorBidi" w:hAnsiTheme="majorBidi" w:cstheme="majorBidi"/>
        </w:rPr>
        <w:t xml:space="preserve"> </w:t>
      </w:r>
      <w:r w:rsidR="00D46CCF" w:rsidRPr="00D46CCF">
        <w:rPr>
          <w:rFonts w:asciiTheme="majorBidi" w:hAnsiTheme="majorBidi" w:cstheme="majorBidi"/>
        </w:rPr>
        <w:t>fonds”</w:t>
      </w:r>
      <w:r w:rsidR="00876613">
        <w:rPr>
          <w:rFonts w:asciiTheme="majorBidi" w:hAnsiTheme="majorBidi" w:cstheme="majorBidi"/>
        </w:rPr>
        <w:t xml:space="preserve"> (turpmāk – fonds)</w:t>
      </w:r>
      <w:r w:rsidR="00D46CCF" w:rsidRPr="00D46CCF">
        <w:rPr>
          <w:rFonts w:asciiTheme="majorBidi" w:hAnsiTheme="majorBidi" w:cstheme="majorBidi"/>
        </w:rPr>
        <w:t xml:space="preserve"> izdot administratīvo aktu par </w:t>
      </w:r>
      <w:r w:rsidR="00876613" w:rsidRPr="00D46CCF">
        <w:rPr>
          <w:rFonts w:asciiTheme="majorBidi" w:hAnsiTheme="majorBidi" w:cstheme="majorBidi"/>
        </w:rPr>
        <w:t xml:space="preserve">atklātā konkursā </w:t>
      </w:r>
      <w:r w:rsidR="00876613">
        <w:rPr>
          <w:rFonts w:asciiTheme="majorBidi" w:hAnsiTheme="majorBidi" w:cstheme="majorBidi"/>
        </w:rPr>
        <w:t>„</w:t>
      </w:r>
      <w:r w:rsidR="00876613" w:rsidRPr="00D46CCF">
        <w:rPr>
          <w:rFonts w:asciiTheme="majorBidi" w:hAnsiTheme="majorBidi" w:cstheme="majorBidi"/>
        </w:rPr>
        <w:t>Siltumnīcefekta gāzu emisiju</w:t>
      </w:r>
      <w:r w:rsidR="00876613">
        <w:rPr>
          <w:rFonts w:asciiTheme="majorBidi" w:hAnsiTheme="majorBidi" w:cstheme="majorBidi"/>
        </w:rPr>
        <w:t xml:space="preserve"> </w:t>
      </w:r>
      <w:r w:rsidR="00876613" w:rsidRPr="00D46CCF">
        <w:rPr>
          <w:rFonts w:asciiTheme="majorBidi" w:hAnsiTheme="majorBidi" w:cstheme="majorBidi"/>
        </w:rPr>
        <w:t>samazināšana mājsaimniecībās – atbalsts atjaunojamo energoresursu izmantošanai”</w:t>
      </w:r>
      <w:r w:rsidR="00876613">
        <w:rPr>
          <w:rFonts w:asciiTheme="majorBidi" w:hAnsiTheme="majorBidi" w:cstheme="majorBidi"/>
        </w:rPr>
        <w:t xml:space="preserve"> iesniegtā </w:t>
      </w:r>
      <w:r w:rsidR="00D46CCF" w:rsidRPr="00D46CCF">
        <w:rPr>
          <w:rFonts w:asciiTheme="majorBidi" w:hAnsiTheme="majorBidi" w:cstheme="majorBidi"/>
        </w:rPr>
        <w:t xml:space="preserve">projekta </w:t>
      </w:r>
      <w:r w:rsidR="00876613">
        <w:rPr>
          <w:rFonts w:asciiTheme="majorBidi" w:hAnsiTheme="majorBidi" w:cstheme="majorBidi"/>
        </w:rPr>
        <w:t xml:space="preserve">iesnieguma </w:t>
      </w:r>
      <w:r w:rsidR="00D46CCF" w:rsidRPr="00D46CCF">
        <w:rPr>
          <w:rFonts w:asciiTheme="majorBidi" w:hAnsiTheme="majorBidi" w:cstheme="majorBidi"/>
        </w:rPr>
        <w:t>apstiprināšanu un nemantiskā kaitējuma atlīdzināšanu</w:t>
      </w:r>
      <w:r w:rsidR="00534D69">
        <w:rPr>
          <w:rFonts w:asciiTheme="majorBidi" w:hAnsiTheme="majorBidi" w:cstheme="majorBidi"/>
        </w:rPr>
        <w:t xml:space="preserve">. </w:t>
      </w:r>
    </w:p>
    <w:p w14:paraId="06888C60" w14:textId="231E1EC5" w:rsidR="00876613" w:rsidRDefault="00876613" w:rsidP="00A2415C">
      <w:pPr>
        <w:spacing w:line="276" w:lineRule="auto"/>
        <w:ind w:firstLine="720"/>
        <w:jc w:val="both"/>
        <w:rPr>
          <w:rFonts w:asciiTheme="majorBidi" w:hAnsiTheme="majorBidi" w:cstheme="majorBidi"/>
        </w:rPr>
      </w:pPr>
      <w:r>
        <w:rPr>
          <w:rFonts w:asciiTheme="majorBidi" w:hAnsiTheme="majorBidi" w:cstheme="majorBidi"/>
        </w:rPr>
        <w:t>F</w:t>
      </w:r>
      <w:r w:rsidRPr="00876613">
        <w:rPr>
          <w:rFonts w:asciiTheme="majorBidi" w:hAnsiTheme="majorBidi" w:cstheme="majorBidi"/>
        </w:rPr>
        <w:t>ond</w:t>
      </w:r>
      <w:r>
        <w:rPr>
          <w:rFonts w:asciiTheme="majorBidi" w:hAnsiTheme="majorBidi" w:cstheme="majorBidi"/>
        </w:rPr>
        <w:t xml:space="preserve">s </w:t>
      </w:r>
      <w:r w:rsidRPr="00876613">
        <w:rPr>
          <w:rFonts w:asciiTheme="majorBidi" w:hAnsiTheme="majorBidi" w:cstheme="majorBidi"/>
        </w:rPr>
        <w:t>pieteicēja projekta iesniegum</w:t>
      </w:r>
      <w:r>
        <w:rPr>
          <w:rFonts w:asciiTheme="majorBidi" w:hAnsiTheme="majorBidi" w:cstheme="majorBidi"/>
        </w:rPr>
        <w:t>u</w:t>
      </w:r>
      <w:r w:rsidRPr="00876613">
        <w:rPr>
          <w:rFonts w:asciiTheme="majorBidi" w:hAnsiTheme="majorBidi" w:cstheme="majorBidi"/>
        </w:rPr>
        <w:t xml:space="preserve"> </w:t>
      </w:r>
      <w:r>
        <w:rPr>
          <w:rFonts w:asciiTheme="majorBidi" w:hAnsiTheme="majorBidi" w:cstheme="majorBidi"/>
        </w:rPr>
        <w:t xml:space="preserve">bija </w:t>
      </w:r>
      <w:r w:rsidRPr="00876613">
        <w:rPr>
          <w:rFonts w:asciiTheme="majorBidi" w:hAnsiTheme="majorBidi" w:cstheme="majorBidi"/>
        </w:rPr>
        <w:t>noraidī</w:t>
      </w:r>
      <w:r>
        <w:rPr>
          <w:rFonts w:asciiTheme="majorBidi" w:hAnsiTheme="majorBidi" w:cstheme="majorBidi"/>
        </w:rPr>
        <w:t>ji</w:t>
      </w:r>
      <w:r w:rsidRPr="00876613">
        <w:rPr>
          <w:rFonts w:asciiTheme="majorBidi" w:hAnsiTheme="majorBidi" w:cstheme="majorBidi"/>
        </w:rPr>
        <w:t>s</w:t>
      </w:r>
      <w:r>
        <w:rPr>
          <w:rFonts w:asciiTheme="majorBidi" w:hAnsiTheme="majorBidi" w:cstheme="majorBidi"/>
        </w:rPr>
        <w:t xml:space="preserve">, jo </w:t>
      </w:r>
      <w:r w:rsidRPr="00876613">
        <w:rPr>
          <w:rFonts w:asciiTheme="majorBidi" w:hAnsiTheme="majorBidi" w:cstheme="majorBidi"/>
        </w:rPr>
        <w:t>pieteicējs n</w:t>
      </w:r>
      <w:r>
        <w:rPr>
          <w:rFonts w:asciiTheme="majorBidi" w:hAnsiTheme="majorBidi" w:cstheme="majorBidi"/>
        </w:rPr>
        <w:t>ebija</w:t>
      </w:r>
      <w:r w:rsidRPr="00876613">
        <w:rPr>
          <w:rFonts w:asciiTheme="majorBidi" w:hAnsiTheme="majorBidi" w:cstheme="majorBidi"/>
        </w:rPr>
        <w:t xml:space="preserve"> iesniedzis dokumentus, kas</w:t>
      </w:r>
      <w:r>
        <w:rPr>
          <w:rFonts w:asciiTheme="majorBidi" w:hAnsiTheme="majorBidi" w:cstheme="majorBidi"/>
        </w:rPr>
        <w:t xml:space="preserve"> </w:t>
      </w:r>
      <w:r w:rsidRPr="00876613">
        <w:rPr>
          <w:rFonts w:asciiTheme="majorBidi" w:hAnsiTheme="majorBidi" w:cstheme="majorBidi"/>
        </w:rPr>
        <w:t>apliecina fosilā kurināmā patēriņu par pēdējo 12 mēnešu periodu</w:t>
      </w:r>
      <w:r>
        <w:rPr>
          <w:rFonts w:asciiTheme="majorBidi" w:hAnsiTheme="majorBidi" w:cstheme="majorBidi"/>
        </w:rPr>
        <w:t xml:space="preserve"> konkrētajā adresē, turklāt </w:t>
      </w:r>
      <w:r w:rsidRPr="00876613">
        <w:rPr>
          <w:rFonts w:asciiTheme="majorBidi" w:hAnsiTheme="majorBidi" w:cstheme="majorBidi"/>
        </w:rPr>
        <w:t>neti</w:t>
      </w:r>
      <w:r>
        <w:rPr>
          <w:rFonts w:asciiTheme="majorBidi" w:hAnsiTheme="majorBidi" w:cstheme="majorBidi"/>
        </w:rPr>
        <w:t>ka</w:t>
      </w:r>
      <w:r w:rsidRPr="00876613">
        <w:rPr>
          <w:rFonts w:asciiTheme="majorBidi" w:hAnsiTheme="majorBidi" w:cstheme="majorBidi"/>
        </w:rPr>
        <w:t xml:space="preserve"> nomainīts fosilais apkures katls, bet gan dabasgāzes apkures kamīns (gāzes sildītājs)</w:t>
      </w:r>
      <w:r>
        <w:rPr>
          <w:rFonts w:asciiTheme="majorBidi" w:hAnsiTheme="majorBidi" w:cstheme="majorBidi"/>
        </w:rPr>
        <w:t xml:space="preserve">, tādēļ </w:t>
      </w:r>
      <w:r w:rsidRPr="00876613">
        <w:rPr>
          <w:rFonts w:asciiTheme="majorBidi" w:hAnsiTheme="majorBidi" w:cstheme="majorBidi"/>
        </w:rPr>
        <w:t>projekta iesniegumā n</w:t>
      </w:r>
      <w:r>
        <w:rPr>
          <w:rFonts w:asciiTheme="majorBidi" w:hAnsiTheme="majorBidi" w:cstheme="majorBidi"/>
        </w:rPr>
        <w:t>ebija</w:t>
      </w:r>
      <w:r w:rsidRPr="00876613">
        <w:rPr>
          <w:rFonts w:asciiTheme="majorBidi" w:hAnsiTheme="majorBidi" w:cstheme="majorBidi"/>
        </w:rPr>
        <w:t xml:space="preserve"> attiecināmo izmaksu.</w:t>
      </w:r>
    </w:p>
    <w:p w14:paraId="299A4854" w14:textId="0CCA46F2" w:rsidR="00876613" w:rsidRDefault="00876613" w:rsidP="00A2415C">
      <w:pPr>
        <w:spacing w:line="276" w:lineRule="auto"/>
        <w:ind w:firstLine="720"/>
        <w:jc w:val="both"/>
        <w:rPr>
          <w:rFonts w:asciiTheme="majorBidi" w:hAnsiTheme="majorBidi" w:cstheme="majorBidi"/>
        </w:rPr>
      </w:pPr>
      <w:r>
        <w:rPr>
          <w:rFonts w:asciiTheme="majorBidi" w:hAnsiTheme="majorBidi" w:cstheme="majorBidi"/>
        </w:rPr>
        <w:t>Apgabaltiesa atzina, ka projekta iesniegums pamatoti tika noraidīts, un pieteicējam arī nebija pamata tiesiski paļauties uz saziņu ar fondu laikā pirms iesnieguma izskatīšanas, proti, nav konstatējams fonda apsolījums, kas pieteicējam varētu radīt tiesisko paļāvību, ka viņa projekta iesniegums atbilst visiem vērtēšanas kritērijiem.</w:t>
      </w:r>
    </w:p>
    <w:p w14:paraId="640C429D" w14:textId="77777777" w:rsidR="00876613" w:rsidRDefault="00876613" w:rsidP="00A2415C">
      <w:pPr>
        <w:spacing w:line="276" w:lineRule="auto"/>
        <w:ind w:firstLine="720"/>
        <w:jc w:val="both"/>
        <w:rPr>
          <w:rFonts w:asciiTheme="majorBidi" w:hAnsiTheme="majorBidi" w:cstheme="majorBidi"/>
        </w:rPr>
      </w:pPr>
    </w:p>
    <w:p w14:paraId="7C7C8FD2" w14:textId="56138FAF" w:rsidR="00876613" w:rsidRDefault="00876613" w:rsidP="00A2415C">
      <w:pPr>
        <w:spacing w:line="276" w:lineRule="auto"/>
        <w:ind w:firstLine="720"/>
        <w:jc w:val="both"/>
        <w:rPr>
          <w:rFonts w:asciiTheme="majorBidi" w:hAnsiTheme="majorBidi" w:cstheme="majorBidi"/>
        </w:rPr>
      </w:pPr>
      <w:r>
        <w:rPr>
          <w:rFonts w:asciiTheme="majorBidi" w:hAnsiTheme="majorBidi" w:cstheme="majorBidi"/>
        </w:rPr>
        <w:t xml:space="preserve">[2] Kasācijas sūdzībā pieteicējs argumentē, ka </w:t>
      </w:r>
      <w:r w:rsidR="00C86106">
        <w:rPr>
          <w:rFonts w:asciiTheme="majorBidi" w:hAnsiTheme="majorBidi" w:cstheme="majorBidi"/>
        </w:rPr>
        <w:t xml:space="preserve">saziņa ar iestādi pirms projekta iesnieguma izskatīšanas </w:t>
      </w:r>
      <w:r>
        <w:rPr>
          <w:rFonts w:asciiTheme="majorBidi" w:hAnsiTheme="majorBidi" w:cstheme="majorBidi"/>
        </w:rPr>
        <w:t>var</w:t>
      </w:r>
      <w:r w:rsidR="00C86106">
        <w:rPr>
          <w:rFonts w:asciiTheme="majorBidi" w:hAnsiTheme="majorBidi" w:cstheme="majorBidi"/>
        </w:rPr>
        <w:t>ēja</w:t>
      </w:r>
      <w:r>
        <w:rPr>
          <w:rFonts w:asciiTheme="majorBidi" w:hAnsiTheme="majorBidi" w:cstheme="majorBidi"/>
        </w:rPr>
        <w:t xml:space="preserve"> radīt </w:t>
      </w:r>
      <w:r w:rsidR="00C86106">
        <w:rPr>
          <w:rFonts w:asciiTheme="majorBidi" w:hAnsiTheme="majorBidi" w:cstheme="majorBidi"/>
        </w:rPr>
        <w:t>viņam</w:t>
      </w:r>
      <w:r>
        <w:rPr>
          <w:rFonts w:asciiTheme="majorBidi" w:hAnsiTheme="majorBidi" w:cstheme="majorBidi"/>
        </w:rPr>
        <w:t xml:space="preserve"> aizsargājamu tiesisko paļāvību</w:t>
      </w:r>
      <w:r w:rsidR="00C86106">
        <w:rPr>
          <w:rFonts w:asciiTheme="majorBidi" w:hAnsiTheme="majorBidi" w:cstheme="majorBidi"/>
        </w:rPr>
        <w:t>, ka projekts ir atbalstāms</w:t>
      </w:r>
      <w:r>
        <w:rPr>
          <w:rFonts w:asciiTheme="majorBidi" w:hAnsiTheme="majorBidi" w:cstheme="majorBidi"/>
        </w:rPr>
        <w:t>.</w:t>
      </w:r>
    </w:p>
    <w:p w14:paraId="1BC72071" w14:textId="69E5DABD" w:rsidR="00876613" w:rsidRPr="0007559A" w:rsidRDefault="00876613" w:rsidP="00A2415C">
      <w:pPr>
        <w:spacing w:line="276" w:lineRule="auto"/>
        <w:ind w:firstLine="720"/>
        <w:jc w:val="both"/>
        <w:rPr>
          <w:rFonts w:asciiTheme="majorBidi" w:hAnsiTheme="majorBidi" w:cstheme="majorBidi"/>
        </w:rPr>
      </w:pPr>
      <w:r w:rsidRPr="0007559A">
        <w:rPr>
          <w:rFonts w:asciiTheme="majorBidi" w:hAnsiTheme="majorBidi" w:cstheme="majorBidi"/>
        </w:rPr>
        <w:t>Senatoru kolēģija konstatē, ka apgabaltiesa ir vērtējusi šo pieteicēja argumentu un atzinusi, ka konkrētajos apstākļos, ievērojot gan saziņas saturu</w:t>
      </w:r>
      <w:r w:rsidR="003F7387" w:rsidRPr="0007559A">
        <w:rPr>
          <w:rFonts w:asciiTheme="majorBidi" w:hAnsiTheme="majorBidi" w:cstheme="majorBidi"/>
        </w:rPr>
        <w:t xml:space="preserve"> un formu</w:t>
      </w:r>
      <w:r w:rsidRPr="0007559A">
        <w:rPr>
          <w:rFonts w:asciiTheme="majorBidi" w:hAnsiTheme="majorBidi" w:cstheme="majorBidi"/>
        </w:rPr>
        <w:t xml:space="preserve">, gan iestādes publiskoto informāciju </w:t>
      </w:r>
      <w:r w:rsidR="003F7387" w:rsidRPr="0007559A">
        <w:rPr>
          <w:rFonts w:asciiTheme="majorBidi" w:hAnsiTheme="majorBidi" w:cstheme="majorBidi"/>
        </w:rPr>
        <w:t xml:space="preserve">par </w:t>
      </w:r>
      <w:r w:rsidRPr="0007559A">
        <w:rPr>
          <w:rFonts w:asciiTheme="majorBidi" w:hAnsiTheme="majorBidi" w:cstheme="majorBidi"/>
        </w:rPr>
        <w:t xml:space="preserve">atklātā konkursa noteikumiem, </w:t>
      </w:r>
      <w:r w:rsidR="005973C0" w:rsidRPr="0007559A">
        <w:rPr>
          <w:rFonts w:asciiTheme="majorBidi" w:hAnsiTheme="majorBidi" w:cstheme="majorBidi"/>
        </w:rPr>
        <w:t>pieteicēja tiesiskajai paļāvībai nebija pamata un ka pieteicējam bija jārēķinās, ka viņa projekta iesniegums tiks izvērtēts atbilstoši konkursa nolikuma prasībām.</w:t>
      </w:r>
    </w:p>
    <w:p w14:paraId="39E1BDE5" w14:textId="5D2B0E7B" w:rsidR="005973C0" w:rsidRPr="0007559A" w:rsidRDefault="005973C0" w:rsidP="00A2415C">
      <w:pPr>
        <w:spacing w:line="276" w:lineRule="auto"/>
        <w:ind w:firstLine="720"/>
        <w:jc w:val="both"/>
        <w:rPr>
          <w:rFonts w:asciiTheme="majorBidi" w:hAnsiTheme="majorBidi" w:cstheme="majorBidi"/>
        </w:rPr>
      </w:pPr>
      <w:r w:rsidRPr="0007559A">
        <w:rPr>
          <w:rFonts w:asciiTheme="majorBidi" w:hAnsiTheme="majorBidi" w:cstheme="majorBidi"/>
        </w:rPr>
        <w:t xml:space="preserve">Pieteicēja argumentācija nerada par to šaubas. Pat jau izdotu administratīvo aktu noteiktos gadījumos var atcelt, ja izrādās, ka tas ir prettiesisks (Administratīvā procesa likuma 86.pants). Tostarp viens no šādiem gadījumiem, kad administratīvo aktu var atcelt, ir tad, ja administratīvā akta prettiesiskums ir tik acīmredzams, ka akta adresāts to varēja un viņam to vajadzēja apzināties (Administratīvā procesa likuma 86.panta otrās daļas 5.punkts). </w:t>
      </w:r>
      <w:r w:rsidR="00CE3DA1" w:rsidRPr="0007559A">
        <w:rPr>
          <w:rFonts w:asciiTheme="majorBidi" w:hAnsiTheme="majorBidi" w:cstheme="majorBidi"/>
        </w:rPr>
        <w:t xml:space="preserve">Vēl jo mazāk būtu pamats paļauties uz iestādes telefoniski vai elektroniski izteiktiem viedokļiem pirms administratīvā akta izdošanas. </w:t>
      </w:r>
      <w:r w:rsidR="003F7387" w:rsidRPr="0007559A">
        <w:rPr>
          <w:rFonts w:asciiTheme="majorBidi" w:hAnsiTheme="majorBidi" w:cstheme="majorBidi"/>
        </w:rPr>
        <w:t xml:space="preserve">Apgabaltiesa atzina, ka Ministru kabineta 2022.gada 1.marta noteikumu Nr. 150 „Emisijas kvotu </w:t>
      </w:r>
      <w:r w:rsidR="003F7387" w:rsidRPr="0007559A">
        <w:rPr>
          <w:rFonts w:asciiTheme="majorBidi" w:hAnsiTheme="majorBidi" w:cstheme="majorBidi"/>
        </w:rPr>
        <w:lastRenderedPageBreak/>
        <w:t>izsolīšanas instrumenta finansēto projektu atklāta konkursa „Siltumnīcefekta gāzu emisiju samazināšana mājsaimniecībās – atbalsts atjaunojamo energoresursu izmantošanai” nolikums” (turpmāk – noteikumi Nr. 150) 16.1.apakšpunkts paredzē</w:t>
      </w:r>
      <w:r w:rsidR="0007559A" w:rsidRPr="0007559A">
        <w:rPr>
          <w:rFonts w:asciiTheme="majorBidi" w:hAnsiTheme="majorBidi" w:cstheme="majorBidi"/>
        </w:rPr>
        <w:t>ja</w:t>
      </w:r>
      <w:r w:rsidR="003F7387" w:rsidRPr="0007559A">
        <w:rPr>
          <w:rFonts w:asciiTheme="majorBidi" w:hAnsiTheme="majorBidi" w:cstheme="majorBidi"/>
        </w:rPr>
        <w:t xml:space="preserve"> atbalstīt esoša fosilo kurināmo izmantojoša apkures katla nomaiņu, turklāt publiski pieejamā skaidrojošā informācija par konkursa noteikumiem attiecībā uz nomaināmo apkures katlu un apkures patēriņa pierādīšanu bija nepārprotama (</w:t>
      </w:r>
      <w:r w:rsidR="003F7387" w:rsidRPr="0007559A">
        <w:rPr>
          <w:rFonts w:asciiTheme="majorBidi" w:hAnsiTheme="majorBidi" w:cstheme="majorBidi"/>
          <w:i/>
          <w:iCs/>
        </w:rPr>
        <w:t>apgabaltiesas sprieduma 4.5.–4.7.punktā izklāstītā Administratīvās rajona tiesas sprieduma motivācija, kurai apgabaltiesa pievienojusies</w:t>
      </w:r>
      <w:r w:rsidR="003F7387" w:rsidRPr="0007559A">
        <w:rPr>
          <w:rFonts w:asciiTheme="majorBidi" w:hAnsiTheme="majorBidi" w:cstheme="majorBidi"/>
        </w:rPr>
        <w:t xml:space="preserve">). </w:t>
      </w:r>
      <w:r w:rsidR="00CE3DA1" w:rsidRPr="0007559A">
        <w:rPr>
          <w:rFonts w:asciiTheme="majorBidi" w:hAnsiTheme="majorBidi" w:cstheme="majorBidi"/>
        </w:rPr>
        <w:t>Personai nav pamata</w:t>
      </w:r>
      <w:r w:rsidRPr="0007559A">
        <w:rPr>
          <w:rFonts w:asciiTheme="majorBidi" w:hAnsiTheme="majorBidi" w:cstheme="majorBidi"/>
        </w:rPr>
        <w:t xml:space="preserve"> paļauties, ka telefoniska vai elektroniska saziņa ar iestādi, kuras mērķis ir tikai veicināt pareizu projekta iesniegumu iesniegšanu, varētu radīt tiesisko paļāvību apstākļos, kad informācija par konkursa noteikumiem attiecībā uz nomaināmo apkures katlu un apkures patēriņa pierādīšanu bija nepārprotama. </w:t>
      </w:r>
      <w:r w:rsidR="00314176" w:rsidRPr="0007559A">
        <w:rPr>
          <w:rFonts w:asciiTheme="majorBidi" w:hAnsiTheme="majorBidi" w:cstheme="majorBidi"/>
        </w:rPr>
        <w:t>Turklāt i</w:t>
      </w:r>
      <w:r w:rsidR="002146EA" w:rsidRPr="0007559A">
        <w:rPr>
          <w:rFonts w:asciiTheme="majorBidi" w:hAnsiTheme="majorBidi" w:cstheme="majorBidi"/>
        </w:rPr>
        <w:t xml:space="preserve">r skaidrs, ka lēmumu pieņemt </w:t>
      </w:r>
      <w:r w:rsidR="007D2EC6" w:rsidRPr="0007559A">
        <w:rPr>
          <w:rFonts w:asciiTheme="majorBidi" w:hAnsiTheme="majorBidi" w:cstheme="majorBidi"/>
        </w:rPr>
        <w:t xml:space="preserve">un tātad jautājumu par projekta iesnieguma atbilstību saistoši izlemt </w:t>
      </w:r>
      <w:r w:rsidR="002146EA" w:rsidRPr="0007559A">
        <w:rPr>
          <w:rFonts w:asciiTheme="majorBidi" w:hAnsiTheme="majorBidi" w:cstheme="majorBidi"/>
        </w:rPr>
        <w:t xml:space="preserve">var tikai </w:t>
      </w:r>
      <w:r w:rsidR="007D2EC6" w:rsidRPr="0007559A">
        <w:rPr>
          <w:rFonts w:asciiTheme="majorBidi" w:hAnsiTheme="majorBidi" w:cstheme="majorBidi"/>
        </w:rPr>
        <w:t>noteikum</w:t>
      </w:r>
      <w:r w:rsidR="00CE3DA1" w:rsidRPr="0007559A">
        <w:rPr>
          <w:rFonts w:asciiTheme="majorBidi" w:hAnsiTheme="majorBidi" w:cstheme="majorBidi"/>
        </w:rPr>
        <w:t>os</w:t>
      </w:r>
      <w:r w:rsidR="007D2EC6" w:rsidRPr="0007559A">
        <w:rPr>
          <w:rFonts w:asciiTheme="majorBidi" w:hAnsiTheme="majorBidi" w:cstheme="majorBidi"/>
        </w:rPr>
        <w:t xml:space="preserve"> Nr. 150 paredzētajā kārtībā, proti, to dara komisija trīs cilvēku sastāvā. </w:t>
      </w:r>
    </w:p>
    <w:p w14:paraId="0460C04C" w14:textId="27F05F97" w:rsidR="002F3241" w:rsidRPr="0007559A" w:rsidRDefault="002F3241" w:rsidP="00A2415C">
      <w:pPr>
        <w:spacing w:line="276" w:lineRule="auto"/>
        <w:ind w:firstLine="720"/>
        <w:jc w:val="both"/>
        <w:rPr>
          <w:rFonts w:asciiTheme="majorBidi" w:hAnsiTheme="majorBidi" w:cstheme="majorBidi"/>
        </w:rPr>
      </w:pPr>
      <w:r w:rsidRPr="0007559A">
        <w:rPr>
          <w:rFonts w:asciiTheme="majorBidi" w:hAnsiTheme="majorBidi" w:cstheme="majorBidi"/>
        </w:rPr>
        <w:t>Ņemot vērā minēto, nav nozīmes arī pieteicēja iebildumiem pret to, ka pirmās instances tiesa nav pieņēmusi pierādījumus par telefona sarunām. Senatoru kolēģija turklāt norāda, ka kasācijas kārtībā var tikt pārbaudīts tikai apelācijas, nevis pirmās instances tiesas spriedums.</w:t>
      </w:r>
    </w:p>
    <w:p w14:paraId="50CDCF61" w14:textId="77777777" w:rsidR="007D2EC6" w:rsidRPr="0007559A" w:rsidRDefault="007D2EC6" w:rsidP="00A2415C">
      <w:pPr>
        <w:spacing w:line="276" w:lineRule="auto"/>
        <w:ind w:firstLine="720"/>
        <w:jc w:val="both"/>
        <w:rPr>
          <w:rFonts w:asciiTheme="majorBidi" w:hAnsiTheme="majorBidi" w:cstheme="majorBidi"/>
        </w:rPr>
      </w:pPr>
    </w:p>
    <w:p w14:paraId="52FD4715" w14:textId="295DDD17" w:rsidR="007D2EC6" w:rsidRPr="0007559A" w:rsidRDefault="007D2EC6" w:rsidP="00A2415C">
      <w:pPr>
        <w:spacing w:line="276" w:lineRule="auto"/>
        <w:ind w:firstLine="720"/>
        <w:jc w:val="both"/>
        <w:rPr>
          <w:rFonts w:asciiTheme="majorBidi" w:hAnsiTheme="majorBidi" w:cstheme="majorBidi"/>
        </w:rPr>
      </w:pPr>
      <w:r w:rsidRPr="0007559A">
        <w:rPr>
          <w:rFonts w:asciiTheme="majorBidi" w:hAnsiTheme="majorBidi" w:cstheme="majorBidi"/>
        </w:rPr>
        <w:t>[3] Pieteicēj</w:t>
      </w:r>
      <w:r w:rsidR="00CE3DA1" w:rsidRPr="0007559A">
        <w:rPr>
          <w:rFonts w:asciiTheme="majorBidi" w:hAnsiTheme="majorBidi" w:cstheme="majorBidi"/>
        </w:rPr>
        <w:t>a</w:t>
      </w:r>
      <w:r w:rsidRPr="0007559A">
        <w:rPr>
          <w:rFonts w:asciiTheme="majorBidi" w:hAnsiTheme="majorBidi" w:cstheme="majorBidi"/>
        </w:rPr>
        <w:t xml:space="preserve"> argument</w:t>
      </w:r>
      <w:r w:rsidR="00B058A9" w:rsidRPr="0007559A">
        <w:rPr>
          <w:rFonts w:asciiTheme="majorBidi" w:hAnsiTheme="majorBidi" w:cstheme="majorBidi"/>
        </w:rPr>
        <w:t xml:space="preserve">i par </w:t>
      </w:r>
      <w:r w:rsidRPr="0007559A">
        <w:rPr>
          <w:rFonts w:asciiTheme="majorBidi" w:hAnsiTheme="majorBidi" w:cstheme="majorBidi"/>
        </w:rPr>
        <w:t xml:space="preserve">noteikumu Nr. 150 </w:t>
      </w:r>
      <w:r w:rsidR="00B058A9" w:rsidRPr="0007559A">
        <w:rPr>
          <w:rFonts w:asciiTheme="majorBidi" w:hAnsiTheme="majorBidi" w:cstheme="majorBidi"/>
        </w:rPr>
        <w:t xml:space="preserve">16.1.apakšpunktu, kas definē atbalstāmās aktivitātes, un 24.4.apakšpunktu, kurš paredz kurināmā patēriņa pierādīšanu par iepriekšējo periodu, nerada šaubas par apgabaltiesas sprieduma tiesiskumu. </w:t>
      </w:r>
    </w:p>
    <w:p w14:paraId="6DF13D1B" w14:textId="64592C2B" w:rsidR="007D2EC6" w:rsidRPr="0007559A" w:rsidRDefault="007D2EC6" w:rsidP="00A2415C">
      <w:pPr>
        <w:spacing w:line="276" w:lineRule="auto"/>
        <w:ind w:firstLine="720"/>
        <w:jc w:val="both"/>
        <w:rPr>
          <w:rFonts w:asciiTheme="majorBidi" w:hAnsiTheme="majorBidi" w:cstheme="majorBidi"/>
        </w:rPr>
      </w:pPr>
      <w:r w:rsidRPr="0007559A">
        <w:rPr>
          <w:rFonts w:asciiTheme="majorBidi" w:hAnsiTheme="majorBidi" w:cstheme="majorBidi"/>
        </w:rPr>
        <w:t>Tā kā konkurss pats par sevi ir vērsts uz esošo</w:t>
      </w:r>
      <w:r w:rsidR="00B058A9" w:rsidRPr="0007559A">
        <w:rPr>
          <w:rFonts w:asciiTheme="majorBidi" w:hAnsiTheme="majorBidi" w:cstheme="majorBidi"/>
        </w:rPr>
        <w:t xml:space="preserve"> apkures katlu nomaiņu, ir pašsaprotami, ka tas ir arī sasaistīts ar noteiktu nekustamo īpašumu. </w:t>
      </w:r>
      <w:r w:rsidR="00767EAB" w:rsidRPr="0007559A">
        <w:rPr>
          <w:rFonts w:asciiTheme="majorBidi" w:hAnsiTheme="majorBidi" w:cstheme="majorBidi"/>
        </w:rPr>
        <w:t>T</w:t>
      </w:r>
      <w:r w:rsidR="00B058A9" w:rsidRPr="0007559A">
        <w:rPr>
          <w:rFonts w:asciiTheme="majorBidi" w:hAnsiTheme="majorBidi" w:cstheme="majorBidi"/>
        </w:rPr>
        <w:t>ieši tas, ka pieteicējs nebija iecerējis nomainīt esošu apkures katlu, bet portatīv</w:t>
      </w:r>
      <w:r w:rsidR="00767EAB" w:rsidRPr="0007559A">
        <w:rPr>
          <w:rFonts w:asciiTheme="majorBidi" w:hAnsiTheme="majorBidi" w:cstheme="majorBidi"/>
        </w:rPr>
        <w:t xml:space="preserve">u </w:t>
      </w:r>
      <w:r w:rsidR="00B058A9" w:rsidRPr="0007559A">
        <w:rPr>
          <w:rFonts w:asciiTheme="majorBidi" w:hAnsiTheme="majorBidi" w:cstheme="majorBidi"/>
        </w:rPr>
        <w:t>sildierīci, ar kuru nav iespējams apkurināt visu apdzīvojamo platību un kur</w:t>
      </w:r>
      <w:r w:rsidR="00767EAB" w:rsidRPr="0007559A">
        <w:rPr>
          <w:rFonts w:asciiTheme="majorBidi" w:hAnsiTheme="majorBidi" w:cstheme="majorBidi"/>
        </w:rPr>
        <w:t>u</w:t>
      </w:r>
      <w:r w:rsidR="00B058A9" w:rsidRPr="0007559A">
        <w:rPr>
          <w:rFonts w:asciiTheme="majorBidi" w:hAnsiTheme="majorBidi" w:cstheme="majorBidi"/>
        </w:rPr>
        <w:t xml:space="preserve"> varēja izmantot </w:t>
      </w:r>
      <w:r w:rsidR="00767EAB" w:rsidRPr="0007559A">
        <w:rPr>
          <w:rFonts w:asciiTheme="majorBidi" w:hAnsiTheme="majorBidi" w:cstheme="majorBidi"/>
        </w:rPr>
        <w:t xml:space="preserve">jebkurā </w:t>
      </w:r>
      <w:r w:rsidR="00B058A9" w:rsidRPr="0007559A">
        <w:rPr>
          <w:rFonts w:asciiTheme="majorBidi" w:hAnsiTheme="majorBidi" w:cstheme="majorBidi"/>
        </w:rPr>
        <w:t xml:space="preserve">citā </w:t>
      </w:r>
      <w:r w:rsidR="00767EAB" w:rsidRPr="0007559A">
        <w:rPr>
          <w:rFonts w:asciiTheme="majorBidi" w:hAnsiTheme="majorBidi" w:cstheme="majorBidi"/>
        </w:rPr>
        <w:t>vietā</w:t>
      </w:r>
      <w:r w:rsidR="00B058A9" w:rsidRPr="0007559A">
        <w:rPr>
          <w:rFonts w:asciiTheme="majorBidi" w:hAnsiTheme="majorBidi" w:cstheme="majorBidi"/>
        </w:rPr>
        <w:t xml:space="preserve">, arī bija galvenais iemesls projekta iesnieguma noraidīšanai. </w:t>
      </w:r>
      <w:r w:rsidR="003A5895" w:rsidRPr="0007559A">
        <w:rPr>
          <w:rFonts w:asciiTheme="majorBidi" w:hAnsiTheme="majorBidi" w:cstheme="majorBidi"/>
        </w:rPr>
        <w:t>Senatoru kolēģijai nav šaubu par noteikumu Nr. 150 normu pareizu piemērošanu.</w:t>
      </w:r>
    </w:p>
    <w:p w14:paraId="59CCDCD6" w14:textId="77777777" w:rsidR="002F3241" w:rsidRPr="0007559A" w:rsidRDefault="002F3241" w:rsidP="00A2415C">
      <w:pPr>
        <w:spacing w:line="276" w:lineRule="auto"/>
        <w:ind w:firstLine="720"/>
        <w:jc w:val="both"/>
        <w:rPr>
          <w:rFonts w:asciiTheme="majorBidi" w:hAnsiTheme="majorBidi" w:cstheme="majorBidi"/>
        </w:rPr>
      </w:pPr>
    </w:p>
    <w:p w14:paraId="3CFBD631" w14:textId="24AE16D9" w:rsidR="00767EAB" w:rsidRDefault="00767EAB" w:rsidP="00A2415C">
      <w:pPr>
        <w:spacing w:line="276" w:lineRule="auto"/>
        <w:ind w:firstLine="720"/>
        <w:jc w:val="both"/>
        <w:rPr>
          <w:rFonts w:asciiTheme="majorBidi" w:hAnsiTheme="majorBidi" w:cstheme="majorBidi"/>
        </w:rPr>
      </w:pPr>
      <w:r w:rsidRPr="0007559A">
        <w:rPr>
          <w:rFonts w:asciiTheme="majorBidi" w:hAnsiTheme="majorBidi" w:cstheme="majorBidi"/>
        </w:rPr>
        <w:t>[4] Pieteicējs līdz ar kasācijas sūdzību iesniedzis virkni dokumentu. Atbilstoši Administratīvā procesa likuma 325.pantam kasācijas instances tiesas</w:t>
      </w:r>
      <w:r>
        <w:rPr>
          <w:rFonts w:asciiTheme="majorBidi" w:hAnsiTheme="majorBidi" w:cstheme="majorBidi"/>
        </w:rPr>
        <w:t xml:space="preserve"> kompetencē ir pārbaudīt, vai zemākas instances tiesa nav pārkāpusi procesuālo vai materiālo tiesību normas vai pārsniegusi savas kompetences robežas. Tātad kasācijas instances tiesa neizskata lietu pēc būtības</w:t>
      </w:r>
      <w:r w:rsidR="003A5895">
        <w:rPr>
          <w:rFonts w:asciiTheme="majorBidi" w:hAnsiTheme="majorBidi" w:cstheme="majorBidi"/>
        </w:rPr>
        <w:t xml:space="preserve"> un</w:t>
      </w:r>
      <w:r>
        <w:rPr>
          <w:rFonts w:asciiTheme="majorBidi" w:hAnsiTheme="majorBidi" w:cstheme="majorBidi"/>
        </w:rPr>
        <w:t xml:space="preserve"> nepārbauda pierādījumus. Iesniegtie dokumenti nav arī nepieciešami kasācijas sūdzības argumentu izpratnei. Līdz ar to ir atsakāms tos pievienot lietas materiāliem.</w:t>
      </w:r>
    </w:p>
    <w:p w14:paraId="4AD0D9C0" w14:textId="77777777" w:rsidR="00767EAB" w:rsidRDefault="00767EAB" w:rsidP="00A2415C">
      <w:pPr>
        <w:spacing w:line="276" w:lineRule="auto"/>
        <w:ind w:firstLine="720"/>
        <w:jc w:val="both"/>
        <w:rPr>
          <w:rFonts w:asciiTheme="majorBidi" w:hAnsiTheme="majorBidi" w:cstheme="majorBidi"/>
        </w:rPr>
      </w:pPr>
    </w:p>
    <w:p w14:paraId="45612700" w14:textId="513615F0" w:rsidR="00FE4A26" w:rsidRDefault="00A50150" w:rsidP="00A2415C">
      <w:pPr>
        <w:spacing w:line="276" w:lineRule="auto"/>
        <w:ind w:firstLine="720"/>
        <w:jc w:val="both"/>
      </w:pPr>
      <w:r w:rsidRPr="00A50150">
        <w:rPr>
          <w:rFonts w:asciiTheme="majorBidi" w:eastAsiaTheme="minorHAnsi" w:hAnsiTheme="majorBidi" w:cstheme="majorBidi"/>
          <w:lang w:eastAsia="en-US"/>
        </w:rPr>
        <w:t>[</w:t>
      </w:r>
      <w:r w:rsidR="00767EAB">
        <w:rPr>
          <w:rFonts w:asciiTheme="majorBidi" w:eastAsiaTheme="minorHAnsi" w:hAnsiTheme="majorBidi" w:cstheme="majorBidi"/>
          <w:lang w:eastAsia="en-US"/>
        </w:rPr>
        <w:t>5</w:t>
      </w:r>
      <w:r w:rsidRPr="00A50150">
        <w:rPr>
          <w:rFonts w:asciiTheme="majorBidi" w:eastAsiaTheme="minorHAnsi" w:hAnsiTheme="majorBidi" w:cstheme="majorBidi"/>
          <w:lang w:eastAsia="en-US"/>
        </w:rPr>
        <w:t>]</w:t>
      </w:r>
      <w:r w:rsidR="004D1DDF">
        <w:rPr>
          <w:rFonts w:asciiTheme="majorBidi" w:eastAsiaTheme="minorHAnsi" w:hAnsiTheme="majorBidi" w:cstheme="majorBidi"/>
          <w:lang w:eastAsia="en-US"/>
        </w:rPr>
        <w:t xml:space="preserve"> </w:t>
      </w:r>
      <w:r w:rsidR="00FE4A26">
        <w:t>Tā kā pieteicēja argumenti nerada šaubas par pārsūdzētā sprieduma tiesiskumu un izskatāmajai lietai nav arī nozīmes judikatūras veidošanā, kasācijas tiesvedības ierosināšana ir atsakāma.</w:t>
      </w:r>
    </w:p>
    <w:p w14:paraId="3B2217CC" w14:textId="77777777" w:rsidR="00FE4A26" w:rsidRDefault="00FE4A26" w:rsidP="00A2415C">
      <w:pPr>
        <w:spacing w:line="276" w:lineRule="auto"/>
        <w:ind w:firstLine="720"/>
        <w:jc w:val="both"/>
      </w:pPr>
    </w:p>
    <w:p w14:paraId="25F7BD0F" w14:textId="77777777" w:rsidR="00FE4A26" w:rsidRPr="00D61285" w:rsidRDefault="00FE4A26" w:rsidP="00A2415C">
      <w:pPr>
        <w:tabs>
          <w:tab w:val="left" w:pos="3119"/>
        </w:tabs>
        <w:spacing w:line="276" w:lineRule="auto"/>
        <w:ind w:firstLine="720"/>
        <w:jc w:val="both"/>
      </w:pPr>
      <w:r w:rsidRPr="00D61285">
        <w:t>Pamatojoties uz Administratīvā procesa likuma 338.panta otro daļu un 338.</w:t>
      </w:r>
      <w:r w:rsidRPr="00D61285">
        <w:rPr>
          <w:vertAlign w:val="superscript"/>
        </w:rPr>
        <w:t>1</w:t>
      </w:r>
      <w:r w:rsidRPr="00D61285">
        <w:t xml:space="preserve">panta </w:t>
      </w:r>
      <w:r>
        <w:t>otrās daļas 2.punktu</w:t>
      </w:r>
      <w:r w:rsidRPr="00D61285">
        <w:t>, senatoru kolēģija</w:t>
      </w:r>
    </w:p>
    <w:p w14:paraId="6E266C77" w14:textId="2C1CBB06" w:rsidR="00A50150" w:rsidRPr="009A6A06" w:rsidRDefault="00A50150" w:rsidP="00A2415C">
      <w:pPr>
        <w:spacing w:line="276" w:lineRule="auto"/>
        <w:ind w:firstLine="720"/>
        <w:jc w:val="both"/>
        <w:rPr>
          <w:strike/>
        </w:rPr>
      </w:pPr>
    </w:p>
    <w:p w14:paraId="531C090A" w14:textId="77777777" w:rsidR="00A50150" w:rsidRPr="00B17B0C" w:rsidRDefault="00A50150" w:rsidP="00A2415C">
      <w:pPr>
        <w:spacing w:line="276" w:lineRule="auto"/>
        <w:jc w:val="center"/>
        <w:rPr>
          <w:b/>
        </w:rPr>
      </w:pPr>
      <w:r w:rsidRPr="00B17B0C">
        <w:rPr>
          <w:b/>
        </w:rPr>
        <w:t>nolēma</w:t>
      </w:r>
    </w:p>
    <w:p w14:paraId="7593AF8D" w14:textId="77777777" w:rsidR="00A50150" w:rsidRPr="00B17B0C" w:rsidRDefault="00A50150" w:rsidP="00A2415C">
      <w:pPr>
        <w:spacing w:line="276" w:lineRule="auto"/>
        <w:jc w:val="center"/>
        <w:rPr>
          <w:b/>
        </w:rPr>
      </w:pPr>
    </w:p>
    <w:p w14:paraId="6BD1E62D" w14:textId="1FB96A91" w:rsidR="00FE4A26" w:rsidRDefault="00FE4A26" w:rsidP="00A2415C">
      <w:pPr>
        <w:spacing w:line="276" w:lineRule="auto"/>
        <w:ind w:firstLine="720"/>
        <w:jc w:val="both"/>
      </w:pPr>
      <w:r>
        <w:t>a</w:t>
      </w:r>
      <w:r w:rsidRPr="00D61285">
        <w:t>tteikt ierosināt kasācijas tiesvedību sakarā ar</w:t>
      </w:r>
      <w:r w:rsidRPr="00907560">
        <w:rPr>
          <w:i/>
          <w:iCs/>
        </w:rPr>
        <w:t xml:space="preserve"> </w:t>
      </w:r>
      <w:r w:rsidR="00A2415C" w:rsidRPr="00A2415C">
        <w:t>[pers. A]</w:t>
      </w:r>
      <w:r w:rsidR="00A2415C">
        <w:rPr>
          <w:i/>
          <w:iCs/>
        </w:rPr>
        <w:t xml:space="preserve"> </w:t>
      </w:r>
      <w:r>
        <w:t xml:space="preserve">kasācijas sūdzību par </w:t>
      </w:r>
      <w:r w:rsidRPr="002E6F21">
        <w:t>Administratīvā</w:t>
      </w:r>
      <w:r>
        <w:t>s</w:t>
      </w:r>
      <w:r w:rsidRPr="002E6F21">
        <w:t xml:space="preserve"> </w:t>
      </w:r>
      <w:r>
        <w:t xml:space="preserve">apgabaltiesas </w:t>
      </w:r>
      <w:r w:rsidRPr="002E6F21">
        <w:t>202</w:t>
      </w:r>
      <w:r w:rsidR="00607D46">
        <w:t>6</w:t>
      </w:r>
      <w:r w:rsidRPr="002E6F21">
        <w:t xml:space="preserve">.gada </w:t>
      </w:r>
      <w:r w:rsidR="00DD32A9">
        <w:t>2</w:t>
      </w:r>
      <w:r w:rsidR="00607D46">
        <w:t>6</w:t>
      </w:r>
      <w:r w:rsidR="00DD32A9">
        <w:t>.</w:t>
      </w:r>
      <w:r w:rsidR="00607D46">
        <w:t>februā</w:t>
      </w:r>
      <w:r w:rsidR="00DD32A9">
        <w:t>ra</w:t>
      </w:r>
      <w:r w:rsidRPr="002E6F21">
        <w:t xml:space="preserve"> spriedumu</w:t>
      </w:r>
      <w:r w:rsidR="00607D46">
        <w:t>;</w:t>
      </w:r>
    </w:p>
    <w:p w14:paraId="76EC762F" w14:textId="3B56A6AF" w:rsidR="00607D46" w:rsidRDefault="00607D46" w:rsidP="00A2415C">
      <w:pPr>
        <w:spacing w:line="276" w:lineRule="auto"/>
        <w:ind w:firstLine="720"/>
        <w:jc w:val="both"/>
      </w:pPr>
      <w:r>
        <w:t>atteikt pieņemt kasācijas sūdzībai pievienotos dokumentus, izņemot dokumentu par drošības naudas samaksu.</w:t>
      </w:r>
    </w:p>
    <w:p w14:paraId="62D05F79" w14:textId="77777777" w:rsidR="00A50150" w:rsidRDefault="00A50150" w:rsidP="00A2415C">
      <w:pPr>
        <w:spacing w:line="276" w:lineRule="auto"/>
        <w:ind w:firstLine="720"/>
        <w:jc w:val="both"/>
      </w:pPr>
    </w:p>
    <w:p w14:paraId="7B62381C" w14:textId="1C527528" w:rsidR="00A50150" w:rsidRDefault="00A50150" w:rsidP="00A2415C">
      <w:pPr>
        <w:spacing w:line="276" w:lineRule="auto"/>
        <w:ind w:firstLine="720"/>
        <w:jc w:val="both"/>
      </w:pPr>
      <w:r>
        <w:t>Lēmums nav pārsūdzams.</w:t>
      </w:r>
    </w:p>
    <w:p w14:paraId="782822D6" w14:textId="77777777" w:rsidR="001B2F01" w:rsidRDefault="001B2F01" w:rsidP="00A2415C">
      <w:pPr>
        <w:spacing w:line="276" w:lineRule="auto"/>
        <w:jc w:val="both"/>
      </w:pPr>
    </w:p>
    <w:p w14:paraId="291A5F8D" w14:textId="77777777" w:rsidR="001B2F01" w:rsidRDefault="001B2F01" w:rsidP="00A2415C">
      <w:pPr>
        <w:spacing w:line="276" w:lineRule="auto"/>
        <w:jc w:val="both"/>
      </w:pPr>
    </w:p>
    <w:p w14:paraId="03BE8486" w14:textId="77777777" w:rsidR="001B2F01" w:rsidRDefault="001B2F01" w:rsidP="00A2415C">
      <w:pPr>
        <w:spacing w:line="276" w:lineRule="auto"/>
        <w:jc w:val="both"/>
      </w:pPr>
    </w:p>
    <w:p w14:paraId="7E18D50E" w14:textId="77777777" w:rsidR="001B2F01" w:rsidRDefault="001B2F01" w:rsidP="00A2415C">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2858"/>
        <w:gridCol w:w="2819"/>
      </w:tblGrid>
      <w:tr w:rsidR="001B2F01" w14:paraId="4A4DEA74" w14:textId="77777777" w:rsidTr="001B2F01">
        <w:tc>
          <w:tcPr>
            <w:tcW w:w="2942" w:type="dxa"/>
            <w:vAlign w:val="center"/>
          </w:tcPr>
          <w:p w14:paraId="118F7FD9" w14:textId="5CD5A7CF" w:rsidR="001B2F01" w:rsidRPr="001B2F01" w:rsidRDefault="001B2F01" w:rsidP="00A2415C">
            <w:pPr>
              <w:spacing w:line="276" w:lineRule="auto"/>
              <w:rPr>
                <w:sz w:val="24"/>
                <w:szCs w:val="32"/>
              </w:rPr>
            </w:pPr>
            <w:r w:rsidRPr="001B2F01">
              <w:rPr>
                <w:sz w:val="24"/>
                <w:szCs w:val="32"/>
              </w:rPr>
              <w:t>Senator</w:t>
            </w:r>
            <w:r w:rsidR="004D1DDF">
              <w:rPr>
                <w:sz w:val="24"/>
                <w:szCs w:val="32"/>
              </w:rPr>
              <w:t>e</w:t>
            </w:r>
            <w:r w:rsidRPr="001B2F01">
              <w:rPr>
                <w:sz w:val="24"/>
                <w:szCs w:val="32"/>
              </w:rPr>
              <w:t xml:space="preserve"> </w:t>
            </w:r>
            <w:r w:rsidR="004D1DDF">
              <w:rPr>
                <w:sz w:val="24"/>
                <w:szCs w:val="32"/>
              </w:rPr>
              <w:t>R</w:t>
            </w:r>
            <w:r w:rsidRPr="001B2F01">
              <w:rPr>
                <w:sz w:val="24"/>
                <w:szCs w:val="32"/>
              </w:rPr>
              <w:t>.</w:t>
            </w:r>
            <w:r w:rsidR="004D1DDF">
              <w:rPr>
                <w:sz w:val="24"/>
                <w:szCs w:val="32"/>
              </w:rPr>
              <w:t> Vīduša</w:t>
            </w:r>
          </w:p>
        </w:tc>
        <w:tc>
          <w:tcPr>
            <w:tcW w:w="2943" w:type="dxa"/>
            <w:vAlign w:val="center"/>
          </w:tcPr>
          <w:p w14:paraId="49286952" w14:textId="164B5C49" w:rsidR="001B2F01" w:rsidRPr="001B2F01" w:rsidRDefault="001B2F01" w:rsidP="00A2415C">
            <w:pPr>
              <w:spacing w:line="276" w:lineRule="auto"/>
              <w:jc w:val="center"/>
              <w:rPr>
                <w:sz w:val="24"/>
                <w:szCs w:val="32"/>
              </w:rPr>
            </w:pPr>
            <w:r w:rsidRPr="001B2F01">
              <w:rPr>
                <w:sz w:val="24"/>
                <w:szCs w:val="32"/>
              </w:rPr>
              <w:t>Senator</w:t>
            </w:r>
            <w:r w:rsidR="007D7B77">
              <w:rPr>
                <w:sz w:val="24"/>
                <w:szCs w:val="32"/>
              </w:rPr>
              <w:t xml:space="preserve">e </w:t>
            </w:r>
            <w:r w:rsidR="00A32BE9">
              <w:rPr>
                <w:sz w:val="24"/>
                <w:szCs w:val="32"/>
              </w:rPr>
              <w:t>A. Kovaļevska</w:t>
            </w:r>
          </w:p>
        </w:tc>
        <w:tc>
          <w:tcPr>
            <w:tcW w:w="2943" w:type="dxa"/>
            <w:vAlign w:val="center"/>
          </w:tcPr>
          <w:p w14:paraId="2E5D3F30" w14:textId="570DDC83" w:rsidR="001B2F01" w:rsidRPr="001B2F01" w:rsidRDefault="001B2F01" w:rsidP="00A2415C">
            <w:pPr>
              <w:spacing w:line="276" w:lineRule="auto"/>
              <w:jc w:val="right"/>
              <w:rPr>
                <w:sz w:val="24"/>
                <w:szCs w:val="32"/>
              </w:rPr>
            </w:pPr>
            <w:r w:rsidRPr="001B2F01">
              <w:rPr>
                <w:sz w:val="24"/>
                <w:szCs w:val="32"/>
              </w:rPr>
              <w:t>Senator</w:t>
            </w:r>
            <w:r w:rsidR="004D1DDF">
              <w:rPr>
                <w:sz w:val="24"/>
                <w:szCs w:val="32"/>
              </w:rPr>
              <w:t>s</w:t>
            </w:r>
            <w:r w:rsidRPr="001B2F01">
              <w:rPr>
                <w:sz w:val="24"/>
                <w:szCs w:val="32"/>
              </w:rPr>
              <w:t xml:space="preserve"> </w:t>
            </w:r>
            <w:r w:rsidR="004D1DDF">
              <w:rPr>
                <w:sz w:val="24"/>
                <w:szCs w:val="32"/>
              </w:rPr>
              <w:t>J</w:t>
            </w:r>
            <w:r w:rsidR="007D7B77">
              <w:rPr>
                <w:sz w:val="24"/>
                <w:szCs w:val="32"/>
              </w:rPr>
              <w:t>.</w:t>
            </w:r>
            <w:r w:rsidR="004D1DDF">
              <w:rPr>
                <w:sz w:val="24"/>
                <w:szCs w:val="32"/>
              </w:rPr>
              <w:t> Pleps</w:t>
            </w:r>
          </w:p>
        </w:tc>
      </w:tr>
    </w:tbl>
    <w:p w14:paraId="3B4DA945" w14:textId="77777777" w:rsidR="001B2F01" w:rsidRPr="001B2F01" w:rsidRDefault="001B2F01" w:rsidP="001B2F01">
      <w:pPr>
        <w:spacing w:line="276" w:lineRule="auto"/>
        <w:jc w:val="both"/>
      </w:pPr>
    </w:p>
    <w:p w14:paraId="020F80A3" w14:textId="77777777" w:rsidR="00A50150" w:rsidRPr="00B17B0C" w:rsidRDefault="00A50150" w:rsidP="00A50150">
      <w:pPr>
        <w:spacing w:line="276" w:lineRule="auto"/>
        <w:ind w:firstLine="567"/>
        <w:jc w:val="both"/>
        <w:rPr>
          <w:color w:val="000000"/>
        </w:rPr>
      </w:pPr>
    </w:p>
    <w:sectPr w:rsidR="00A50150" w:rsidRPr="00B17B0C" w:rsidSect="00EC1261">
      <w:footerReference w:type="default" r:id="rId8"/>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3411" w14:textId="77777777" w:rsidR="00C4304F" w:rsidRDefault="00C4304F" w:rsidP="009F7ACE">
      <w:r>
        <w:separator/>
      </w:r>
    </w:p>
  </w:endnote>
  <w:endnote w:type="continuationSeparator" w:id="0">
    <w:p w14:paraId="23B79DFF" w14:textId="77777777" w:rsidR="00C4304F" w:rsidRDefault="00C4304F"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2DA9C623"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C4304F">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BA8F2" w14:textId="77777777" w:rsidR="00C4304F" w:rsidRDefault="00C4304F" w:rsidP="009F7ACE">
      <w:r>
        <w:separator/>
      </w:r>
    </w:p>
  </w:footnote>
  <w:footnote w:type="continuationSeparator" w:id="0">
    <w:p w14:paraId="53C47FC9" w14:textId="77777777" w:rsidR="00C4304F" w:rsidRDefault="00C4304F"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47A0"/>
    <w:rsid w:val="00025A01"/>
    <w:rsid w:val="0004010D"/>
    <w:rsid w:val="00065612"/>
    <w:rsid w:val="00067112"/>
    <w:rsid w:val="00067CAD"/>
    <w:rsid w:val="0007559A"/>
    <w:rsid w:val="00093086"/>
    <w:rsid w:val="000976B4"/>
    <w:rsid w:val="000A2359"/>
    <w:rsid w:val="000A65CA"/>
    <w:rsid w:val="000C25D6"/>
    <w:rsid w:val="000D1F3C"/>
    <w:rsid w:val="000E008F"/>
    <w:rsid w:val="000E5FFB"/>
    <w:rsid w:val="000E7930"/>
    <w:rsid w:val="000F6AAA"/>
    <w:rsid w:val="000F6ADC"/>
    <w:rsid w:val="00126E25"/>
    <w:rsid w:val="00136171"/>
    <w:rsid w:val="001367B6"/>
    <w:rsid w:val="00136A9A"/>
    <w:rsid w:val="0014132F"/>
    <w:rsid w:val="00152600"/>
    <w:rsid w:val="00187A0B"/>
    <w:rsid w:val="00194C45"/>
    <w:rsid w:val="001A33E9"/>
    <w:rsid w:val="001A7DBE"/>
    <w:rsid w:val="001B2F01"/>
    <w:rsid w:val="001E07DE"/>
    <w:rsid w:val="002146EA"/>
    <w:rsid w:val="00232F15"/>
    <w:rsid w:val="00240F45"/>
    <w:rsid w:val="00273A50"/>
    <w:rsid w:val="0027528A"/>
    <w:rsid w:val="002F3241"/>
    <w:rsid w:val="00305525"/>
    <w:rsid w:val="00307B8A"/>
    <w:rsid w:val="00314176"/>
    <w:rsid w:val="00322CF3"/>
    <w:rsid w:val="003329CF"/>
    <w:rsid w:val="00354597"/>
    <w:rsid w:val="00372702"/>
    <w:rsid w:val="00373DC8"/>
    <w:rsid w:val="00377C08"/>
    <w:rsid w:val="0038523E"/>
    <w:rsid w:val="003928E2"/>
    <w:rsid w:val="003A5895"/>
    <w:rsid w:val="003B48FC"/>
    <w:rsid w:val="003B49E5"/>
    <w:rsid w:val="003B6484"/>
    <w:rsid w:val="003D5521"/>
    <w:rsid w:val="003D6244"/>
    <w:rsid w:val="003D76B2"/>
    <w:rsid w:val="003E25E0"/>
    <w:rsid w:val="003F7387"/>
    <w:rsid w:val="00411CD0"/>
    <w:rsid w:val="0044568F"/>
    <w:rsid w:val="00447EE6"/>
    <w:rsid w:val="00452ABD"/>
    <w:rsid w:val="00477754"/>
    <w:rsid w:val="00481C6F"/>
    <w:rsid w:val="00492E1E"/>
    <w:rsid w:val="00494EDB"/>
    <w:rsid w:val="004A7C37"/>
    <w:rsid w:val="004B2A94"/>
    <w:rsid w:val="004D0F9C"/>
    <w:rsid w:val="004D1DDF"/>
    <w:rsid w:val="004F2B2F"/>
    <w:rsid w:val="0050612E"/>
    <w:rsid w:val="00534D69"/>
    <w:rsid w:val="00547C02"/>
    <w:rsid w:val="005506B3"/>
    <w:rsid w:val="00575AAE"/>
    <w:rsid w:val="005776B1"/>
    <w:rsid w:val="00586AFB"/>
    <w:rsid w:val="00593C97"/>
    <w:rsid w:val="005947AB"/>
    <w:rsid w:val="00596EF9"/>
    <w:rsid w:val="005973C0"/>
    <w:rsid w:val="005D0C3D"/>
    <w:rsid w:val="00607D46"/>
    <w:rsid w:val="00607D4D"/>
    <w:rsid w:val="006178F5"/>
    <w:rsid w:val="006266C1"/>
    <w:rsid w:val="00630780"/>
    <w:rsid w:val="00640BF1"/>
    <w:rsid w:val="00655995"/>
    <w:rsid w:val="00677BD2"/>
    <w:rsid w:val="006E41F9"/>
    <w:rsid w:val="006E795A"/>
    <w:rsid w:val="006F1CD9"/>
    <w:rsid w:val="0070682F"/>
    <w:rsid w:val="00724B81"/>
    <w:rsid w:val="00724E65"/>
    <w:rsid w:val="007523C9"/>
    <w:rsid w:val="007644B5"/>
    <w:rsid w:val="007671B0"/>
    <w:rsid w:val="00767EAB"/>
    <w:rsid w:val="00773242"/>
    <w:rsid w:val="00782477"/>
    <w:rsid w:val="007A5D9F"/>
    <w:rsid w:val="007C1540"/>
    <w:rsid w:val="007C32C8"/>
    <w:rsid w:val="007C7584"/>
    <w:rsid w:val="007D2EC6"/>
    <w:rsid w:val="007D3AF8"/>
    <w:rsid w:val="007D7B77"/>
    <w:rsid w:val="007F57CA"/>
    <w:rsid w:val="00806068"/>
    <w:rsid w:val="00851FDD"/>
    <w:rsid w:val="008558BD"/>
    <w:rsid w:val="00866FFF"/>
    <w:rsid w:val="0087351A"/>
    <w:rsid w:val="008744A3"/>
    <w:rsid w:val="00876613"/>
    <w:rsid w:val="008774FB"/>
    <w:rsid w:val="008C43F1"/>
    <w:rsid w:val="008D46CC"/>
    <w:rsid w:val="008E735E"/>
    <w:rsid w:val="008F0317"/>
    <w:rsid w:val="00972062"/>
    <w:rsid w:val="009771E3"/>
    <w:rsid w:val="00994413"/>
    <w:rsid w:val="009A4AD5"/>
    <w:rsid w:val="009B2726"/>
    <w:rsid w:val="009B469C"/>
    <w:rsid w:val="009F7ACE"/>
    <w:rsid w:val="00A04405"/>
    <w:rsid w:val="00A11873"/>
    <w:rsid w:val="00A159C3"/>
    <w:rsid w:val="00A2201A"/>
    <w:rsid w:val="00A2415C"/>
    <w:rsid w:val="00A32BE9"/>
    <w:rsid w:val="00A50150"/>
    <w:rsid w:val="00A95954"/>
    <w:rsid w:val="00AA3B8C"/>
    <w:rsid w:val="00AB43A1"/>
    <w:rsid w:val="00AE42AE"/>
    <w:rsid w:val="00AE49A6"/>
    <w:rsid w:val="00B058A9"/>
    <w:rsid w:val="00B2570B"/>
    <w:rsid w:val="00B54F4B"/>
    <w:rsid w:val="00B57336"/>
    <w:rsid w:val="00B71525"/>
    <w:rsid w:val="00B90F48"/>
    <w:rsid w:val="00BB4C76"/>
    <w:rsid w:val="00BB6EA3"/>
    <w:rsid w:val="00BC03B6"/>
    <w:rsid w:val="00BD286D"/>
    <w:rsid w:val="00BD3526"/>
    <w:rsid w:val="00BF21E2"/>
    <w:rsid w:val="00C1458D"/>
    <w:rsid w:val="00C176CF"/>
    <w:rsid w:val="00C25F37"/>
    <w:rsid w:val="00C4304F"/>
    <w:rsid w:val="00C5023B"/>
    <w:rsid w:val="00C52F4E"/>
    <w:rsid w:val="00C556A3"/>
    <w:rsid w:val="00C563E6"/>
    <w:rsid w:val="00C60C95"/>
    <w:rsid w:val="00C61C30"/>
    <w:rsid w:val="00C71204"/>
    <w:rsid w:val="00C8099D"/>
    <w:rsid w:val="00C81FD3"/>
    <w:rsid w:val="00C86106"/>
    <w:rsid w:val="00CA6C20"/>
    <w:rsid w:val="00CC5F76"/>
    <w:rsid w:val="00CC6777"/>
    <w:rsid w:val="00CD1311"/>
    <w:rsid w:val="00CE126D"/>
    <w:rsid w:val="00CE3DA1"/>
    <w:rsid w:val="00CE79F0"/>
    <w:rsid w:val="00CF076B"/>
    <w:rsid w:val="00D0326E"/>
    <w:rsid w:val="00D04558"/>
    <w:rsid w:val="00D215BB"/>
    <w:rsid w:val="00D25D87"/>
    <w:rsid w:val="00D34457"/>
    <w:rsid w:val="00D40CE9"/>
    <w:rsid w:val="00D46CCF"/>
    <w:rsid w:val="00D47B62"/>
    <w:rsid w:val="00D522F4"/>
    <w:rsid w:val="00D81854"/>
    <w:rsid w:val="00D87BD4"/>
    <w:rsid w:val="00D90042"/>
    <w:rsid w:val="00DB6305"/>
    <w:rsid w:val="00DC1114"/>
    <w:rsid w:val="00DC18CF"/>
    <w:rsid w:val="00DD09D6"/>
    <w:rsid w:val="00DD32A9"/>
    <w:rsid w:val="00DE3013"/>
    <w:rsid w:val="00E00F8A"/>
    <w:rsid w:val="00E25F34"/>
    <w:rsid w:val="00E41DA0"/>
    <w:rsid w:val="00E64443"/>
    <w:rsid w:val="00E7214D"/>
    <w:rsid w:val="00E920DD"/>
    <w:rsid w:val="00E95C78"/>
    <w:rsid w:val="00EA40AD"/>
    <w:rsid w:val="00EA76C3"/>
    <w:rsid w:val="00EC1261"/>
    <w:rsid w:val="00EE1B21"/>
    <w:rsid w:val="00F1200A"/>
    <w:rsid w:val="00F27433"/>
    <w:rsid w:val="00F41C2D"/>
    <w:rsid w:val="00F41EE7"/>
    <w:rsid w:val="00F4236F"/>
    <w:rsid w:val="00F459CA"/>
    <w:rsid w:val="00F56934"/>
    <w:rsid w:val="00F569ED"/>
    <w:rsid w:val="00F731C3"/>
    <w:rsid w:val="00FA0AB3"/>
    <w:rsid w:val="00FA0E36"/>
    <w:rsid w:val="00FB1DEC"/>
    <w:rsid w:val="00FC2B1F"/>
    <w:rsid w:val="00FC7262"/>
    <w:rsid w:val="00FD16C0"/>
    <w:rsid w:val="00FE4A26"/>
    <w:rsid w:val="00FF78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1367B6"/>
    <w:rPr>
      <w:color w:val="0563C1" w:themeColor="hyperlink"/>
      <w:u w:val="single"/>
    </w:rPr>
  </w:style>
  <w:style w:type="character" w:styleId="UnresolvedMention">
    <w:name w:val="Unresolved Mention"/>
    <w:basedOn w:val="DefaultParagraphFont"/>
    <w:uiPriority w:val="99"/>
    <w:semiHidden/>
    <w:unhideWhenUsed/>
    <w:rsid w:val="001367B6"/>
    <w:rPr>
      <w:color w:val="605E5C"/>
      <w:shd w:val="clear" w:color="auto" w:fill="E1DFDD"/>
    </w:rPr>
  </w:style>
  <w:style w:type="paragraph" w:styleId="Revision">
    <w:name w:val="Revision"/>
    <w:hidden/>
    <w:uiPriority w:val="99"/>
    <w:semiHidden/>
    <w:rsid w:val="003D76B2"/>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3D76B2"/>
    <w:rPr>
      <w:color w:val="954F72" w:themeColor="followedHyperlink"/>
      <w:u w:val="single"/>
    </w:rPr>
  </w:style>
  <w:style w:type="character" w:styleId="Emphasis">
    <w:name w:val="Emphasis"/>
    <w:basedOn w:val="DefaultParagraphFont"/>
    <w:uiPriority w:val="20"/>
    <w:qFormat/>
    <w:rsid w:val="00314176"/>
    <w:rPr>
      <w:i/>
      <w:iCs/>
    </w:rPr>
  </w:style>
  <w:style w:type="paragraph" w:customStyle="1" w:styleId="Default">
    <w:name w:val="Default"/>
    <w:rsid w:val="00A2415C"/>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2a9adea2-d9d6-439e-8eba-95be84528cd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4122</Words>
  <Characters>2351</Characters>
  <Application>Microsoft Office Word</Application>
  <DocSecurity>0</DocSecurity>
  <Lines>19</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2026-07-29T12:11:00Z</dcterms:created>
  <dcterms:modified xsi:type="dcterms:W3CDTF">2026-07-29T12:11:00Z</dcterms:modified>
</cp:coreProperties>
</file>