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E7AC6" w14:textId="77777777" w:rsidR="00521039" w:rsidRPr="00521039" w:rsidRDefault="00521039" w:rsidP="00521039">
      <w:pPr>
        <w:pStyle w:val="ListParagraph"/>
        <w:spacing w:line="276" w:lineRule="auto"/>
        <w:ind w:left="0"/>
        <w:jc w:val="both"/>
        <w:rPr>
          <w:rFonts w:cs="Times New Roman"/>
          <w:b/>
          <w:bCs/>
          <w:lang w:val="lv-LV"/>
        </w:rPr>
      </w:pPr>
      <w:r w:rsidRPr="00521039">
        <w:rPr>
          <w:rFonts w:cs="Times New Roman"/>
          <w:b/>
          <w:bCs/>
          <w:lang w:val="lv-LV"/>
        </w:rPr>
        <w:t>Medicīniska rakstura piespiedu līdzekļa – ambulatoras ārstēšanas medicīnas iestādē – noteikšana vienlaikus ar brīvības atņemšanas soda noteikšanu</w:t>
      </w:r>
    </w:p>
    <w:p w14:paraId="31D6DCA6" w14:textId="77777777" w:rsidR="00521039" w:rsidRPr="00521039" w:rsidRDefault="00521039" w:rsidP="00521039">
      <w:pPr>
        <w:pStyle w:val="ListParagraph"/>
        <w:spacing w:line="276" w:lineRule="auto"/>
        <w:ind w:left="0"/>
        <w:jc w:val="both"/>
        <w:rPr>
          <w:rFonts w:cs="Times New Roman"/>
          <w:lang w:val="lv-LV"/>
        </w:rPr>
      </w:pPr>
      <w:r w:rsidRPr="00521039">
        <w:rPr>
          <w:rFonts w:cs="Times New Roman"/>
          <w:lang w:val="lv-LV"/>
        </w:rPr>
        <w:t>1. Personai, kura noziedzīgu nodarījumu izdarījusi ierobežotas pieskaitāmības stāvoklī un kurai par to noteikta brīvības atņemšana, tiesa ir tiesīga vienlaikus noteikt medicīniska rakstura piespiedu līdzekli – ambulatoru ārstēšanu medicīnas iestādē. Šāds risinājums pats par sevi nav uzskatāms par dubultās sodīšanas aizlieguma (</w:t>
      </w:r>
      <w:r w:rsidRPr="00521039">
        <w:rPr>
          <w:rFonts w:cs="Times New Roman"/>
          <w:i/>
          <w:iCs/>
          <w:lang w:val="lv-LV"/>
        </w:rPr>
        <w:t xml:space="preserve">ne </w:t>
      </w:r>
      <w:proofErr w:type="spellStart"/>
      <w:r w:rsidRPr="00521039">
        <w:rPr>
          <w:rFonts w:cs="Times New Roman"/>
          <w:i/>
          <w:iCs/>
          <w:lang w:val="lv-LV"/>
        </w:rPr>
        <w:t>bis</w:t>
      </w:r>
      <w:proofErr w:type="spellEnd"/>
      <w:r w:rsidRPr="00521039">
        <w:rPr>
          <w:rFonts w:cs="Times New Roman"/>
          <w:i/>
          <w:iCs/>
          <w:lang w:val="lv-LV"/>
        </w:rPr>
        <w:t xml:space="preserve"> </w:t>
      </w:r>
      <w:proofErr w:type="spellStart"/>
      <w:r w:rsidRPr="00521039">
        <w:rPr>
          <w:rFonts w:cs="Times New Roman"/>
          <w:i/>
          <w:iCs/>
          <w:lang w:val="lv-LV"/>
        </w:rPr>
        <w:t>in</w:t>
      </w:r>
      <w:proofErr w:type="spellEnd"/>
      <w:r w:rsidRPr="00521039">
        <w:rPr>
          <w:rFonts w:cs="Times New Roman"/>
          <w:i/>
          <w:iCs/>
          <w:lang w:val="lv-LV"/>
        </w:rPr>
        <w:t xml:space="preserve"> </w:t>
      </w:r>
      <w:proofErr w:type="spellStart"/>
      <w:r w:rsidRPr="00521039">
        <w:rPr>
          <w:rFonts w:cs="Times New Roman"/>
          <w:i/>
          <w:iCs/>
          <w:lang w:val="lv-LV"/>
        </w:rPr>
        <w:t>idem</w:t>
      </w:r>
      <w:proofErr w:type="spellEnd"/>
      <w:r w:rsidRPr="00521039">
        <w:rPr>
          <w:rFonts w:cs="Times New Roman"/>
          <w:lang w:val="lv-LV"/>
        </w:rPr>
        <w:t>) principa pārkāpumu. Ja nav pamata šo līdzekli grozīt vai atcelt, tā izpilde var turpināties arī pēc brīvības atņemšanas soda izciešanas.</w:t>
      </w:r>
    </w:p>
    <w:p w14:paraId="1ADB92F7" w14:textId="77777777" w:rsidR="00521039" w:rsidRPr="00521039" w:rsidRDefault="00521039" w:rsidP="00521039">
      <w:pPr>
        <w:pStyle w:val="ListParagraph"/>
        <w:spacing w:line="276" w:lineRule="auto"/>
        <w:ind w:left="0"/>
        <w:jc w:val="both"/>
        <w:rPr>
          <w:rFonts w:cs="Times New Roman"/>
          <w:lang w:val="lv-LV"/>
        </w:rPr>
      </w:pPr>
      <w:r w:rsidRPr="00521039">
        <w:rPr>
          <w:rFonts w:cs="Times New Roman"/>
          <w:lang w:val="lv-LV"/>
        </w:rPr>
        <w:t>2. Medicīniska rakstura piespiedu līdzekļa piemērošana nošķirama no kriminālsoda. Ambulatora ārstēšana medicīnas iestādē pēc savas tiesiskās dabas nav kriminālsods, arī tā plašākajā nozīmē, jo tās mērķis ir personas ārstēšana un sabiedrības aizsardzība, nevis personas sodīšana.</w:t>
      </w:r>
    </w:p>
    <w:p w14:paraId="07FBF864" w14:textId="77777777" w:rsidR="00810490" w:rsidRPr="00521039" w:rsidRDefault="00810490" w:rsidP="00810490">
      <w:pPr>
        <w:widowControl w:val="0"/>
        <w:spacing w:line="276" w:lineRule="auto"/>
        <w:jc w:val="right"/>
        <w:rPr>
          <w:rFonts w:asciiTheme="majorBidi" w:hAnsiTheme="majorBidi" w:cstheme="majorBidi"/>
          <w:lang w:val="en-US"/>
        </w:rPr>
      </w:pPr>
    </w:p>
    <w:p w14:paraId="2D754676" w14:textId="71A2D9CA" w:rsidR="00810490" w:rsidRPr="00D42F29" w:rsidRDefault="00810490" w:rsidP="00D42F29">
      <w:pPr>
        <w:spacing w:line="276" w:lineRule="auto"/>
        <w:jc w:val="center"/>
        <w:rPr>
          <w:rFonts w:asciiTheme="majorBidi" w:hAnsiTheme="majorBidi" w:cstheme="majorBidi"/>
          <w:b/>
        </w:rPr>
      </w:pPr>
      <w:r w:rsidRPr="00D42F29">
        <w:rPr>
          <w:rFonts w:asciiTheme="majorBidi" w:hAnsiTheme="majorBidi" w:cstheme="majorBidi"/>
          <w:b/>
        </w:rPr>
        <w:t>Latvijas Republikas Senāt</w:t>
      </w:r>
      <w:r w:rsidR="00D42F29">
        <w:rPr>
          <w:rFonts w:asciiTheme="majorBidi" w:hAnsiTheme="majorBidi" w:cstheme="majorBidi"/>
          <w:b/>
        </w:rPr>
        <w:t>a</w:t>
      </w:r>
    </w:p>
    <w:p w14:paraId="6F184689" w14:textId="3CAFA655" w:rsidR="00D42F29" w:rsidRPr="00D42F29" w:rsidRDefault="00D42F29" w:rsidP="00D42F29">
      <w:pPr>
        <w:spacing w:line="276" w:lineRule="auto"/>
        <w:jc w:val="center"/>
        <w:rPr>
          <w:rFonts w:asciiTheme="majorBidi" w:hAnsiTheme="majorBidi" w:cstheme="majorBidi"/>
          <w:b/>
        </w:rPr>
      </w:pPr>
      <w:r w:rsidRPr="00D42F29">
        <w:rPr>
          <w:rFonts w:asciiTheme="majorBidi" w:hAnsiTheme="majorBidi" w:cstheme="majorBidi"/>
          <w:b/>
        </w:rPr>
        <w:t>Krimināllietu departament</w:t>
      </w:r>
      <w:r>
        <w:rPr>
          <w:rFonts w:asciiTheme="majorBidi" w:hAnsiTheme="majorBidi" w:cstheme="majorBidi"/>
          <w:b/>
        </w:rPr>
        <w:t>a</w:t>
      </w:r>
    </w:p>
    <w:p w14:paraId="26F1E63B" w14:textId="6A243B90" w:rsidR="00D42F29" w:rsidRPr="00D42F29" w:rsidRDefault="00D42F29" w:rsidP="00D42F29">
      <w:pPr>
        <w:spacing w:line="276" w:lineRule="auto"/>
        <w:jc w:val="center"/>
        <w:rPr>
          <w:rFonts w:asciiTheme="majorBidi" w:hAnsiTheme="majorBidi" w:cstheme="majorBidi"/>
          <w:b/>
        </w:rPr>
      </w:pPr>
      <w:r w:rsidRPr="00D42F29">
        <w:rPr>
          <w:rFonts w:asciiTheme="majorBidi" w:hAnsiTheme="majorBidi" w:cstheme="majorBidi"/>
          <w:b/>
        </w:rPr>
        <w:t>2026. gada 30. jūnij</w:t>
      </w:r>
      <w:r>
        <w:rPr>
          <w:rFonts w:asciiTheme="majorBidi" w:hAnsiTheme="majorBidi" w:cstheme="majorBidi"/>
          <w:b/>
        </w:rPr>
        <w:t>a</w:t>
      </w:r>
    </w:p>
    <w:p w14:paraId="071CD5BE" w14:textId="0204224C" w:rsidR="00810490" w:rsidRPr="00D42F29" w:rsidRDefault="00810490" w:rsidP="00D42F29">
      <w:pPr>
        <w:spacing w:line="276" w:lineRule="auto"/>
        <w:jc w:val="center"/>
        <w:rPr>
          <w:rFonts w:asciiTheme="majorBidi" w:hAnsiTheme="majorBidi" w:cstheme="majorBidi"/>
          <w:b/>
        </w:rPr>
      </w:pPr>
      <w:r w:rsidRPr="00D42F29">
        <w:rPr>
          <w:rFonts w:asciiTheme="majorBidi" w:hAnsiTheme="majorBidi" w:cstheme="majorBidi"/>
          <w:b/>
        </w:rPr>
        <w:t>LĒMUMS</w:t>
      </w:r>
    </w:p>
    <w:p w14:paraId="28387A7F" w14:textId="77777777" w:rsidR="00D42F29" w:rsidRDefault="00D42F29" w:rsidP="00D42F29">
      <w:pPr>
        <w:spacing w:line="276" w:lineRule="auto"/>
        <w:jc w:val="center"/>
        <w:rPr>
          <w:rFonts w:asciiTheme="majorBidi" w:hAnsiTheme="majorBidi" w:cstheme="majorBidi"/>
          <w:b/>
        </w:rPr>
      </w:pPr>
      <w:r w:rsidRPr="00D42F29">
        <w:rPr>
          <w:rFonts w:asciiTheme="majorBidi" w:hAnsiTheme="majorBidi" w:cstheme="majorBidi"/>
          <w:b/>
        </w:rPr>
        <w:t>Lieta Nr. 19720473224, SKK</w:t>
      </w:r>
      <w:r w:rsidRPr="00D42F29">
        <w:rPr>
          <w:rFonts w:asciiTheme="majorBidi" w:hAnsiTheme="majorBidi" w:cstheme="majorBidi"/>
          <w:b/>
        </w:rPr>
        <w:noBreakHyphen/>
        <w:t>67/2026</w:t>
      </w:r>
    </w:p>
    <w:p w14:paraId="054B796A" w14:textId="28067778" w:rsidR="00D42F29" w:rsidRPr="00D42F29" w:rsidRDefault="00D42F29" w:rsidP="00D42F29">
      <w:pPr>
        <w:spacing w:line="276" w:lineRule="auto"/>
        <w:jc w:val="center"/>
        <w:rPr>
          <w:rFonts w:asciiTheme="majorBidi" w:hAnsiTheme="majorBidi" w:cstheme="majorBidi"/>
          <w:bCs/>
        </w:rPr>
      </w:pPr>
      <w:hyperlink r:id="rId8" w:history="1">
        <w:r w:rsidRPr="00D42F29">
          <w:rPr>
            <w:rStyle w:val="Hyperlink"/>
            <w:rFonts w:asciiTheme="majorBidi" w:hAnsiTheme="majorBidi" w:cstheme="majorBidi"/>
            <w:bCs/>
          </w:rPr>
          <w:t>ECLI:LV:AT:2026:0630.19720473224.7.L</w:t>
        </w:r>
      </w:hyperlink>
    </w:p>
    <w:p w14:paraId="5EBAE218" w14:textId="77777777" w:rsidR="00810490" w:rsidRPr="003E2E8D" w:rsidRDefault="00810490" w:rsidP="00810490">
      <w:pPr>
        <w:spacing w:line="276" w:lineRule="auto"/>
        <w:jc w:val="center"/>
        <w:rPr>
          <w:rFonts w:asciiTheme="majorBidi" w:hAnsiTheme="majorBidi" w:cstheme="majorBidi"/>
        </w:rPr>
      </w:pPr>
    </w:p>
    <w:p w14:paraId="42809BFE" w14:textId="7B327967" w:rsidR="00810490" w:rsidRPr="003E2E8D" w:rsidRDefault="00810490" w:rsidP="00B27F68">
      <w:pPr>
        <w:spacing w:before="360" w:line="276" w:lineRule="auto"/>
        <w:ind w:firstLine="720"/>
        <w:contextualSpacing/>
        <w:jc w:val="both"/>
        <w:rPr>
          <w:rFonts w:asciiTheme="majorBidi" w:hAnsiTheme="majorBidi" w:cstheme="majorBidi"/>
        </w:rPr>
      </w:pPr>
      <w:r w:rsidRPr="003E2E8D">
        <w:rPr>
          <w:rFonts w:asciiTheme="majorBidi" w:hAnsiTheme="majorBidi" w:cstheme="majorBidi"/>
        </w:rPr>
        <w:t>Senāts šādā sastāvā: senators referents Māris Leja, senatores</w:t>
      </w:r>
      <w:r w:rsidR="00B27F68" w:rsidRPr="003E2E8D">
        <w:rPr>
          <w:rFonts w:asciiTheme="majorBidi" w:hAnsiTheme="majorBidi" w:cstheme="majorBidi"/>
        </w:rPr>
        <w:t xml:space="preserve"> Aija Branta un</w:t>
      </w:r>
      <w:r w:rsidRPr="003E2E8D">
        <w:rPr>
          <w:rFonts w:asciiTheme="majorBidi" w:hAnsiTheme="majorBidi" w:cstheme="majorBidi"/>
        </w:rPr>
        <w:t xml:space="preserve"> Sandra Kaija</w:t>
      </w:r>
    </w:p>
    <w:p w14:paraId="5AED40FB" w14:textId="77777777" w:rsidR="00810490" w:rsidRPr="003E2E8D" w:rsidRDefault="00810490" w:rsidP="00810490">
      <w:pPr>
        <w:spacing w:before="360" w:line="276" w:lineRule="auto"/>
        <w:ind w:firstLine="720"/>
        <w:contextualSpacing/>
        <w:jc w:val="both"/>
        <w:rPr>
          <w:rFonts w:asciiTheme="majorBidi" w:hAnsiTheme="majorBidi" w:cstheme="majorBidi"/>
        </w:rPr>
      </w:pPr>
    </w:p>
    <w:p w14:paraId="5AE2B1A0" w14:textId="3DFC27FE" w:rsidR="00810490" w:rsidRPr="003E2E8D" w:rsidRDefault="00810490" w:rsidP="00810490">
      <w:pPr>
        <w:spacing w:line="276" w:lineRule="auto"/>
        <w:ind w:firstLine="720"/>
        <w:contextualSpacing/>
        <w:jc w:val="both"/>
        <w:rPr>
          <w:rFonts w:asciiTheme="majorBidi" w:hAnsiTheme="majorBidi" w:cstheme="majorBidi"/>
        </w:rPr>
      </w:pPr>
      <w:r w:rsidRPr="003E2E8D">
        <w:rPr>
          <w:rFonts w:asciiTheme="majorBidi" w:hAnsiTheme="majorBidi" w:cstheme="majorBidi"/>
        </w:rPr>
        <w:t xml:space="preserve">rakstveida procesā izskatīja krimināllietu sakarā ar </w:t>
      </w:r>
      <w:r w:rsidRPr="003E2E8D">
        <w:rPr>
          <w:rFonts w:asciiTheme="majorBidi" w:eastAsia="Calibri" w:hAnsiTheme="majorBidi" w:cstheme="majorBidi"/>
        </w:rPr>
        <w:t xml:space="preserve">Rīgas Austrumu prokuratūras prokurora Vladislava Andrejeva kasācijas protestu par Rīgas apgabaltiesas 2025. gada 11. jūnija </w:t>
      </w:r>
      <w:r w:rsidR="00BA171D" w:rsidRPr="003E2E8D">
        <w:rPr>
          <w:rFonts w:asciiTheme="majorBidi" w:eastAsia="Calibri" w:hAnsiTheme="majorBidi" w:cstheme="majorBidi"/>
        </w:rPr>
        <w:t>lēmumu</w:t>
      </w:r>
      <w:r w:rsidRPr="003E2E8D">
        <w:rPr>
          <w:rFonts w:asciiTheme="majorBidi" w:hAnsiTheme="majorBidi" w:cstheme="majorBidi"/>
        </w:rPr>
        <w:t>.</w:t>
      </w:r>
    </w:p>
    <w:p w14:paraId="45C53C2A" w14:textId="77777777" w:rsidR="00810490" w:rsidRPr="003E2E8D" w:rsidRDefault="00810490" w:rsidP="00810490">
      <w:pPr>
        <w:spacing w:before="360" w:after="360" w:line="276" w:lineRule="auto"/>
        <w:jc w:val="center"/>
        <w:rPr>
          <w:rFonts w:asciiTheme="majorBidi" w:hAnsiTheme="majorBidi" w:cstheme="majorBidi"/>
          <w:shd w:val="clear" w:color="auto" w:fill="FFFFFF"/>
        </w:rPr>
      </w:pPr>
      <w:r w:rsidRPr="003E2E8D">
        <w:rPr>
          <w:rFonts w:asciiTheme="majorBidi" w:hAnsiTheme="majorBidi" w:cstheme="majorBidi"/>
          <w:b/>
          <w:shd w:val="clear" w:color="auto" w:fill="FFFFFF"/>
        </w:rPr>
        <w:t>Aprakstošā daļa</w:t>
      </w:r>
    </w:p>
    <w:p w14:paraId="3AA1E675" w14:textId="2329DB4F" w:rsidR="00810490" w:rsidRPr="003E2E8D" w:rsidRDefault="00810490" w:rsidP="00810490">
      <w:pPr>
        <w:widowControl w:val="0"/>
        <w:spacing w:line="276" w:lineRule="auto"/>
        <w:ind w:firstLine="720"/>
        <w:jc w:val="both"/>
        <w:rPr>
          <w:rFonts w:asciiTheme="majorBidi" w:hAnsiTheme="majorBidi" w:cstheme="majorBidi"/>
          <w:shd w:val="clear" w:color="auto" w:fill="FFFFFF"/>
        </w:rPr>
      </w:pPr>
      <w:r w:rsidRPr="003E2E8D">
        <w:rPr>
          <w:rFonts w:asciiTheme="majorBidi" w:hAnsiTheme="majorBidi" w:cstheme="majorBidi"/>
          <w:shd w:val="clear" w:color="auto" w:fill="FFFFFF"/>
        </w:rPr>
        <w:t>[1] Ar Rīgas pilsētas tiesas 2025. gada 12. februāra spriedumu</w:t>
      </w:r>
    </w:p>
    <w:p w14:paraId="7012F01E" w14:textId="70DDAED3" w:rsidR="00810490" w:rsidRPr="003E2E8D" w:rsidRDefault="00D42F29" w:rsidP="00810490">
      <w:pPr>
        <w:widowControl w:val="0"/>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[pers. A]</w:t>
      </w:r>
      <w:r w:rsidR="00810490" w:rsidRPr="003E2E8D">
        <w:rPr>
          <w:rFonts w:asciiTheme="majorBidi" w:hAnsiTheme="majorBidi" w:cstheme="majorBidi"/>
          <w:shd w:val="clear" w:color="auto" w:fill="FFFFFF"/>
        </w:rPr>
        <w:t xml:space="preserve">, personas kods </w:t>
      </w:r>
      <w:r>
        <w:rPr>
          <w:rFonts w:asciiTheme="majorBidi" w:hAnsiTheme="majorBidi" w:cstheme="majorBidi"/>
          <w:shd w:val="clear" w:color="auto" w:fill="FFFFFF"/>
        </w:rPr>
        <w:t>[..]</w:t>
      </w:r>
      <w:r w:rsidR="00810490" w:rsidRPr="003E2E8D">
        <w:rPr>
          <w:rFonts w:asciiTheme="majorBidi" w:hAnsiTheme="majorBidi" w:cstheme="majorBidi"/>
          <w:shd w:val="clear" w:color="auto" w:fill="FFFFFF"/>
        </w:rPr>
        <w:t xml:space="preserve">, </w:t>
      </w:r>
    </w:p>
    <w:p w14:paraId="0EF8FC60" w14:textId="15AEC729" w:rsidR="00810490" w:rsidRPr="003E2E8D" w:rsidRDefault="00810490" w:rsidP="00810490">
      <w:pPr>
        <w:widowControl w:val="0"/>
        <w:spacing w:line="276" w:lineRule="auto"/>
        <w:ind w:firstLine="720"/>
        <w:jc w:val="both"/>
        <w:rPr>
          <w:rFonts w:asciiTheme="majorBidi" w:hAnsiTheme="majorBidi" w:cstheme="majorBidi"/>
          <w:shd w:val="clear" w:color="auto" w:fill="FFFFFF"/>
        </w:rPr>
      </w:pPr>
      <w:r w:rsidRPr="003E2E8D">
        <w:rPr>
          <w:rFonts w:asciiTheme="majorBidi" w:hAnsiTheme="majorBidi" w:cstheme="majorBidi"/>
          <w:shd w:val="clear" w:color="auto" w:fill="FFFFFF"/>
        </w:rPr>
        <w:t>atzīta par vainīgu Krimināllikuma 168.</w:t>
      </w:r>
      <w:r w:rsidRPr="003E2E8D">
        <w:rPr>
          <w:rFonts w:asciiTheme="majorBidi" w:hAnsiTheme="majorBidi" w:cstheme="majorBidi"/>
          <w:shd w:val="clear" w:color="auto" w:fill="FFFFFF"/>
          <w:vertAlign w:val="superscript"/>
        </w:rPr>
        <w:t>1</w:t>
      </w:r>
      <w:r w:rsidRPr="003E2E8D">
        <w:rPr>
          <w:rFonts w:asciiTheme="majorBidi" w:hAnsiTheme="majorBidi" w:cstheme="majorBidi"/>
          <w:shd w:val="clear" w:color="auto" w:fill="FFFFFF"/>
        </w:rPr>
        <w:t> pantā paredzētajā noziedzīgajā nodarījumā (izdarīts 2024. gada 16. maijā) un sodīta ar īslaicīgu brīvības atņemšanu uz 3 mēnešiem;</w:t>
      </w:r>
    </w:p>
    <w:p w14:paraId="060DBE35" w14:textId="3ABDED07" w:rsidR="00810490" w:rsidRPr="003E2E8D" w:rsidRDefault="00810490" w:rsidP="00810490">
      <w:pPr>
        <w:widowControl w:val="0"/>
        <w:spacing w:line="276" w:lineRule="auto"/>
        <w:ind w:firstLine="720"/>
        <w:jc w:val="both"/>
        <w:rPr>
          <w:rFonts w:asciiTheme="majorBidi" w:hAnsiTheme="majorBidi" w:cstheme="majorBidi"/>
          <w:shd w:val="clear" w:color="auto" w:fill="FFFFFF"/>
        </w:rPr>
      </w:pPr>
      <w:r w:rsidRPr="003E2E8D">
        <w:rPr>
          <w:rFonts w:asciiTheme="majorBidi" w:hAnsiTheme="majorBidi" w:cstheme="majorBidi"/>
          <w:shd w:val="clear" w:color="auto" w:fill="FFFFFF"/>
        </w:rPr>
        <w:t>atzīta par vainīgu Krimināllikuma 168.</w:t>
      </w:r>
      <w:r w:rsidRPr="003E2E8D">
        <w:rPr>
          <w:rFonts w:asciiTheme="majorBidi" w:hAnsiTheme="majorBidi" w:cstheme="majorBidi"/>
          <w:shd w:val="clear" w:color="auto" w:fill="FFFFFF"/>
          <w:vertAlign w:val="superscript"/>
        </w:rPr>
        <w:t>1</w:t>
      </w:r>
      <w:r w:rsidRPr="003E2E8D">
        <w:rPr>
          <w:rFonts w:asciiTheme="majorBidi" w:hAnsiTheme="majorBidi" w:cstheme="majorBidi"/>
          <w:shd w:val="clear" w:color="auto" w:fill="FFFFFF"/>
        </w:rPr>
        <w:t> pantā paredzētajā noziedzīgajā nodarījumā (izdarīts 2024. gada 17. jūnijā) un sodīta ar brīvības atņemšanu uz 4 mēnešiem;</w:t>
      </w:r>
    </w:p>
    <w:p w14:paraId="70CF0254" w14:textId="452271BC" w:rsidR="00810490" w:rsidRPr="003E2E8D" w:rsidRDefault="00810490" w:rsidP="00810490">
      <w:pPr>
        <w:widowControl w:val="0"/>
        <w:spacing w:line="276" w:lineRule="auto"/>
        <w:ind w:firstLine="720"/>
        <w:jc w:val="both"/>
        <w:rPr>
          <w:rFonts w:asciiTheme="majorBidi" w:hAnsiTheme="majorBidi" w:cstheme="majorBidi"/>
          <w:shd w:val="clear" w:color="auto" w:fill="FFFFFF"/>
        </w:rPr>
      </w:pPr>
      <w:r w:rsidRPr="003E2E8D">
        <w:rPr>
          <w:rFonts w:asciiTheme="majorBidi" w:hAnsiTheme="majorBidi" w:cstheme="majorBidi"/>
          <w:shd w:val="clear" w:color="auto" w:fill="FFFFFF"/>
        </w:rPr>
        <w:t>atzīta par vainīgu Krimināllikuma 168.</w:t>
      </w:r>
      <w:r w:rsidRPr="003E2E8D">
        <w:rPr>
          <w:rFonts w:asciiTheme="majorBidi" w:hAnsiTheme="majorBidi" w:cstheme="majorBidi"/>
          <w:shd w:val="clear" w:color="auto" w:fill="FFFFFF"/>
          <w:vertAlign w:val="superscript"/>
        </w:rPr>
        <w:t>1</w:t>
      </w:r>
      <w:r w:rsidRPr="003E2E8D">
        <w:rPr>
          <w:rFonts w:asciiTheme="majorBidi" w:hAnsiTheme="majorBidi" w:cstheme="majorBidi"/>
          <w:shd w:val="clear" w:color="auto" w:fill="FFFFFF"/>
        </w:rPr>
        <w:t> pantā paredzētajā noziedzīgajā nodarījumā (izdarīts 2024. gada 18. jūlijā) un sodīta ar brīvības atņemšanu uz 5 mēnešiem.</w:t>
      </w:r>
    </w:p>
    <w:p w14:paraId="7F791D2A" w14:textId="2F7DD3CB" w:rsidR="00810490" w:rsidRPr="003E2E8D" w:rsidRDefault="00810490" w:rsidP="00810490">
      <w:pPr>
        <w:widowControl w:val="0"/>
        <w:spacing w:line="276" w:lineRule="auto"/>
        <w:ind w:firstLine="720"/>
        <w:jc w:val="both"/>
        <w:rPr>
          <w:rFonts w:asciiTheme="majorBidi" w:hAnsiTheme="majorBidi" w:cstheme="majorBidi"/>
          <w:shd w:val="clear" w:color="auto" w:fill="FFFFFF"/>
        </w:rPr>
      </w:pPr>
      <w:r w:rsidRPr="003E2E8D">
        <w:rPr>
          <w:rFonts w:asciiTheme="majorBidi" w:hAnsiTheme="majorBidi" w:cstheme="majorBidi"/>
          <w:shd w:val="clear" w:color="auto" w:fill="FFFFFF"/>
        </w:rPr>
        <w:t xml:space="preserve">Saskaņā ar Krimināllikuma 50. panta pirmo un otro daļu galīgais sods </w:t>
      </w:r>
      <w:r w:rsidR="00D42F29">
        <w:rPr>
          <w:rFonts w:asciiTheme="majorBidi" w:hAnsiTheme="majorBidi" w:cstheme="majorBidi"/>
          <w:shd w:val="clear" w:color="auto" w:fill="FFFFFF"/>
        </w:rPr>
        <w:t>[pers. A]</w:t>
      </w:r>
      <w:r w:rsidRPr="003E2E8D">
        <w:rPr>
          <w:rFonts w:asciiTheme="majorBidi" w:hAnsiTheme="majorBidi" w:cstheme="majorBidi"/>
          <w:shd w:val="clear" w:color="auto" w:fill="FFFFFF"/>
        </w:rPr>
        <w:t xml:space="preserve"> noteikts brīvības atņemšana uz 8 mēnešiem.</w:t>
      </w:r>
    </w:p>
    <w:p w14:paraId="1492F4B1" w14:textId="0AF5816E" w:rsidR="00B0141E" w:rsidRPr="003E2E8D" w:rsidRDefault="00B0141E" w:rsidP="00B0141E">
      <w:pPr>
        <w:widowControl w:val="0"/>
        <w:spacing w:line="276" w:lineRule="auto"/>
        <w:ind w:firstLine="720"/>
        <w:jc w:val="both"/>
        <w:rPr>
          <w:rFonts w:asciiTheme="majorBidi" w:hAnsiTheme="majorBidi" w:cstheme="majorBidi"/>
          <w:shd w:val="clear" w:color="auto" w:fill="FFFFFF"/>
        </w:rPr>
      </w:pPr>
      <w:r w:rsidRPr="003E2E8D">
        <w:rPr>
          <w:rFonts w:asciiTheme="majorBidi" w:hAnsiTheme="majorBidi" w:cstheme="majorBidi"/>
          <w:shd w:val="clear" w:color="auto" w:fill="FFFFFF"/>
        </w:rPr>
        <w:t>Saskaņā ar Krimināllikuma 52. panta ceturto daļu soda termiņā ieskaitīts aizturēšanā un apcietinājumā pavadītais laiks no 2024. gada 24. jūlija līdz 2025. gada 12. februārim.</w:t>
      </w:r>
    </w:p>
    <w:p w14:paraId="59B76B23" w14:textId="52653267" w:rsidR="00B0141E" w:rsidRPr="003E2E8D" w:rsidRDefault="00B0141E" w:rsidP="00B0141E">
      <w:pPr>
        <w:widowControl w:val="0"/>
        <w:spacing w:line="276" w:lineRule="auto"/>
        <w:ind w:firstLine="720"/>
        <w:jc w:val="both"/>
        <w:rPr>
          <w:rFonts w:asciiTheme="majorBidi" w:hAnsiTheme="majorBidi" w:cstheme="majorBidi"/>
          <w:shd w:val="clear" w:color="auto" w:fill="FFFFFF"/>
        </w:rPr>
      </w:pPr>
      <w:r w:rsidRPr="003E2E8D">
        <w:rPr>
          <w:rFonts w:asciiTheme="majorBidi" w:hAnsiTheme="majorBidi" w:cstheme="majorBidi"/>
          <w:shd w:val="clear" w:color="auto" w:fill="FFFFFF"/>
        </w:rPr>
        <w:lastRenderedPageBreak/>
        <w:t>Drošības līdzeklis – apcietinājums – atstāts negrozīts līdz sprieduma spēkā stāšanās dienai.</w:t>
      </w:r>
    </w:p>
    <w:p w14:paraId="446C1615" w14:textId="211D2311" w:rsidR="00810490" w:rsidRPr="003E2E8D" w:rsidRDefault="00D42F29" w:rsidP="00B0141E">
      <w:pPr>
        <w:widowControl w:val="0"/>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[Pers. A]</w:t>
      </w:r>
      <w:r w:rsidR="00810490" w:rsidRPr="003E2E8D">
        <w:rPr>
          <w:rFonts w:asciiTheme="majorBidi" w:hAnsiTheme="majorBidi" w:cstheme="majorBidi"/>
          <w:shd w:val="clear" w:color="auto" w:fill="FFFFFF"/>
        </w:rPr>
        <w:t xml:space="preserve"> noteikts</w:t>
      </w:r>
      <w:r w:rsidR="00B0141E" w:rsidRPr="003E2E8D">
        <w:rPr>
          <w:rFonts w:asciiTheme="majorBidi" w:hAnsiTheme="majorBidi" w:cstheme="majorBidi"/>
          <w:shd w:val="clear" w:color="auto" w:fill="FFFFFF"/>
        </w:rPr>
        <w:t xml:space="preserve"> arī</w:t>
      </w:r>
      <w:r w:rsidR="00810490" w:rsidRPr="003E2E8D">
        <w:rPr>
          <w:rFonts w:asciiTheme="majorBidi" w:hAnsiTheme="majorBidi" w:cstheme="majorBidi"/>
          <w:shd w:val="clear" w:color="auto" w:fill="FFFFFF"/>
        </w:rPr>
        <w:t xml:space="preserve"> medicīniska rakstura piespiedu līdzeklis – ambulatora ārstēšana medicīnas iestādē</w:t>
      </w:r>
      <w:r w:rsidR="00110B86" w:rsidRPr="003E2E8D">
        <w:rPr>
          <w:rFonts w:asciiTheme="majorBidi" w:hAnsiTheme="majorBidi" w:cstheme="majorBidi"/>
          <w:shd w:val="clear" w:color="auto" w:fill="FFFFFF"/>
        </w:rPr>
        <w:t xml:space="preserve"> –</w:t>
      </w:r>
      <w:r w:rsidR="00810490" w:rsidRPr="003E2E8D">
        <w:rPr>
          <w:rFonts w:asciiTheme="majorBidi" w:hAnsiTheme="majorBidi" w:cstheme="majorBidi"/>
          <w:shd w:val="clear" w:color="auto" w:fill="FFFFFF"/>
        </w:rPr>
        <w:t>, nosakot, ka brīvības atņemšanas izciešanas laikā ārstēšana notiek tai piemērotā brīvības atņemšanas vietā.</w:t>
      </w:r>
    </w:p>
    <w:p w14:paraId="121D3A6B" w14:textId="77777777" w:rsidR="00810490" w:rsidRPr="003E2E8D" w:rsidRDefault="00810490" w:rsidP="00810490">
      <w:pPr>
        <w:widowControl w:val="0"/>
        <w:spacing w:line="276" w:lineRule="auto"/>
        <w:jc w:val="both"/>
        <w:rPr>
          <w:rFonts w:asciiTheme="majorBidi" w:hAnsiTheme="majorBidi" w:cstheme="majorBidi"/>
        </w:rPr>
      </w:pPr>
    </w:p>
    <w:p w14:paraId="47FF2985" w14:textId="77777777" w:rsidR="00BA171D" w:rsidRPr="003E2E8D" w:rsidRDefault="00BA171D" w:rsidP="00810490">
      <w:pPr>
        <w:widowControl w:val="0"/>
        <w:spacing w:line="276" w:lineRule="auto"/>
        <w:jc w:val="both"/>
        <w:rPr>
          <w:rFonts w:asciiTheme="majorBidi" w:hAnsiTheme="majorBidi" w:cstheme="majorBidi"/>
          <w:shd w:val="clear" w:color="auto" w:fill="FFFFFF"/>
        </w:rPr>
      </w:pPr>
    </w:p>
    <w:p w14:paraId="6073305F" w14:textId="246AC74F" w:rsidR="00B0141E" w:rsidRPr="003E2E8D" w:rsidRDefault="00810490" w:rsidP="00B0141E">
      <w:pPr>
        <w:widowControl w:val="0"/>
        <w:spacing w:line="276" w:lineRule="auto"/>
        <w:ind w:firstLine="720"/>
        <w:jc w:val="both"/>
        <w:rPr>
          <w:rFonts w:asciiTheme="majorBidi" w:hAnsiTheme="majorBidi" w:cstheme="majorBidi"/>
          <w:shd w:val="clear" w:color="auto" w:fill="FFFFFF"/>
        </w:rPr>
      </w:pPr>
      <w:r w:rsidRPr="003E2E8D">
        <w:rPr>
          <w:rFonts w:asciiTheme="majorBidi" w:hAnsiTheme="majorBidi" w:cstheme="majorBidi"/>
          <w:shd w:val="clear" w:color="auto" w:fill="FFFFFF"/>
        </w:rPr>
        <w:t xml:space="preserve">[2] Ar </w:t>
      </w:r>
      <w:r w:rsidR="00BA171D" w:rsidRPr="003E2E8D">
        <w:rPr>
          <w:rFonts w:asciiTheme="majorBidi" w:hAnsiTheme="majorBidi" w:cstheme="majorBidi"/>
          <w:shd w:val="clear" w:color="auto" w:fill="FFFFFF"/>
        </w:rPr>
        <w:t>Rīgas</w:t>
      </w:r>
      <w:r w:rsidRPr="003E2E8D">
        <w:rPr>
          <w:rFonts w:asciiTheme="majorBidi" w:hAnsiTheme="majorBidi" w:cstheme="majorBidi"/>
          <w:shd w:val="clear" w:color="auto" w:fill="FFFFFF"/>
        </w:rPr>
        <w:t xml:space="preserve"> apgabaltiesas 2025. gada </w:t>
      </w:r>
      <w:r w:rsidR="00BA171D" w:rsidRPr="003E2E8D">
        <w:rPr>
          <w:rFonts w:asciiTheme="majorBidi" w:hAnsiTheme="majorBidi" w:cstheme="majorBidi"/>
          <w:shd w:val="clear" w:color="auto" w:fill="FFFFFF"/>
        </w:rPr>
        <w:t>11. jūnija lēmumu</w:t>
      </w:r>
      <w:r w:rsidRPr="003E2E8D">
        <w:rPr>
          <w:rFonts w:asciiTheme="majorBidi" w:hAnsiTheme="majorBidi" w:cstheme="majorBidi"/>
          <w:shd w:val="clear" w:color="auto" w:fill="FFFFFF"/>
        </w:rPr>
        <w:t>, iztiesājot lietu apelācijas kārtībā sakarā ar apsūdzētā</w:t>
      </w:r>
      <w:r w:rsidR="00744B01" w:rsidRPr="003E2E8D">
        <w:rPr>
          <w:rFonts w:asciiTheme="majorBidi" w:hAnsiTheme="majorBidi" w:cstheme="majorBidi"/>
          <w:shd w:val="clear" w:color="auto" w:fill="FFFFFF"/>
        </w:rPr>
        <w:t>s</w:t>
      </w:r>
      <w:r w:rsidR="00110B86" w:rsidRPr="003E2E8D">
        <w:rPr>
          <w:rFonts w:asciiTheme="majorBidi" w:hAnsiTheme="majorBidi" w:cstheme="majorBidi"/>
          <w:shd w:val="clear" w:color="auto" w:fill="FFFFFF"/>
        </w:rPr>
        <w:t xml:space="preserve"> </w:t>
      </w:r>
      <w:r w:rsidR="00BA171D" w:rsidRPr="003E2E8D">
        <w:rPr>
          <w:rFonts w:asciiTheme="majorBidi" w:hAnsiTheme="majorBidi" w:cstheme="majorBidi"/>
          <w:shd w:val="clear" w:color="auto" w:fill="FFFFFF"/>
        </w:rPr>
        <w:t xml:space="preserve">aizstāvja zvērināta advokāta Jāņa </w:t>
      </w:r>
      <w:proofErr w:type="spellStart"/>
      <w:r w:rsidR="00BA171D" w:rsidRPr="003E2E8D">
        <w:rPr>
          <w:rFonts w:asciiTheme="majorBidi" w:hAnsiTheme="majorBidi" w:cstheme="majorBidi"/>
          <w:shd w:val="clear" w:color="auto" w:fill="FFFFFF"/>
        </w:rPr>
        <w:t>Ernstsona</w:t>
      </w:r>
      <w:proofErr w:type="spellEnd"/>
      <w:r w:rsidR="00BA171D" w:rsidRPr="003E2E8D">
        <w:rPr>
          <w:rFonts w:asciiTheme="majorBidi" w:hAnsiTheme="majorBidi" w:cstheme="majorBidi"/>
          <w:shd w:val="clear" w:color="auto" w:fill="FFFFFF"/>
        </w:rPr>
        <w:t xml:space="preserve"> apelācijas sūdzību</w:t>
      </w:r>
      <w:r w:rsidRPr="003E2E8D">
        <w:rPr>
          <w:rFonts w:asciiTheme="majorBidi" w:hAnsiTheme="majorBidi" w:cstheme="majorBidi"/>
          <w:shd w:val="clear" w:color="auto" w:fill="FFFFFF"/>
        </w:rPr>
        <w:t xml:space="preserve">, </w:t>
      </w:r>
      <w:r w:rsidR="00BA171D" w:rsidRPr="003E2E8D">
        <w:rPr>
          <w:rFonts w:asciiTheme="majorBidi" w:hAnsiTheme="majorBidi" w:cstheme="majorBidi"/>
          <w:shd w:val="clear" w:color="auto" w:fill="FFFFFF"/>
        </w:rPr>
        <w:t>Rīgas pilsētas</w:t>
      </w:r>
      <w:r w:rsidRPr="003E2E8D">
        <w:rPr>
          <w:rFonts w:asciiTheme="majorBidi" w:hAnsiTheme="majorBidi" w:cstheme="majorBidi"/>
          <w:shd w:val="clear" w:color="auto" w:fill="FFFFFF"/>
        </w:rPr>
        <w:t xml:space="preserve"> tiesas </w:t>
      </w:r>
      <w:r w:rsidR="00BA171D" w:rsidRPr="003E2E8D">
        <w:rPr>
          <w:rFonts w:asciiTheme="majorBidi" w:hAnsiTheme="majorBidi" w:cstheme="majorBidi"/>
          <w:shd w:val="clear" w:color="auto" w:fill="FFFFFF"/>
        </w:rPr>
        <w:t>2025. gada 12. februāra</w:t>
      </w:r>
      <w:r w:rsidRPr="003E2E8D">
        <w:rPr>
          <w:rFonts w:asciiTheme="majorBidi" w:hAnsiTheme="majorBidi" w:cstheme="majorBidi"/>
          <w:shd w:val="clear" w:color="auto" w:fill="FFFFFF"/>
        </w:rPr>
        <w:t xml:space="preserve"> spriedums atcelts daļā par </w:t>
      </w:r>
      <w:r w:rsidR="00D42F29">
        <w:rPr>
          <w:rFonts w:asciiTheme="majorBidi" w:hAnsiTheme="majorBidi" w:cstheme="majorBidi"/>
          <w:shd w:val="clear" w:color="auto" w:fill="FFFFFF"/>
        </w:rPr>
        <w:t>[pers. A]</w:t>
      </w:r>
      <w:r w:rsidR="00BA171D" w:rsidRPr="003E2E8D">
        <w:rPr>
          <w:rFonts w:asciiTheme="majorBidi" w:hAnsiTheme="majorBidi" w:cstheme="majorBidi"/>
          <w:shd w:val="clear" w:color="auto" w:fill="FFFFFF"/>
        </w:rPr>
        <w:t xml:space="preserve"> noteikto medicīniska rakstura piespiedu līdzekli – ambulatoru ārstēšanu medicīnas iestād</w:t>
      </w:r>
      <w:r w:rsidR="00B0141E" w:rsidRPr="003E2E8D">
        <w:rPr>
          <w:rFonts w:asciiTheme="majorBidi" w:hAnsiTheme="majorBidi" w:cstheme="majorBidi"/>
          <w:shd w:val="clear" w:color="auto" w:fill="FFFFFF"/>
        </w:rPr>
        <w:t>ē.</w:t>
      </w:r>
    </w:p>
    <w:p w14:paraId="3C8274F0" w14:textId="76FA855E" w:rsidR="00810490" w:rsidRPr="003E2E8D" w:rsidRDefault="00BA171D" w:rsidP="00C72196">
      <w:pPr>
        <w:widowControl w:val="0"/>
        <w:spacing w:line="276" w:lineRule="auto"/>
        <w:ind w:firstLine="720"/>
        <w:jc w:val="both"/>
        <w:rPr>
          <w:rFonts w:asciiTheme="majorBidi" w:hAnsiTheme="majorBidi" w:cstheme="majorBidi"/>
          <w:shd w:val="clear" w:color="auto" w:fill="FFFFFF"/>
        </w:rPr>
      </w:pPr>
      <w:r w:rsidRPr="003E2E8D">
        <w:rPr>
          <w:rFonts w:asciiTheme="majorBidi" w:hAnsiTheme="majorBidi" w:cstheme="majorBidi"/>
          <w:shd w:val="clear" w:color="auto" w:fill="FFFFFF"/>
        </w:rPr>
        <w:t>Pārējā daļā pirmās instances tiesas spriedum</w:t>
      </w:r>
      <w:r w:rsidR="00C72196" w:rsidRPr="003E2E8D">
        <w:rPr>
          <w:rFonts w:asciiTheme="majorBidi" w:hAnsiTheme="majorBidi" w:cstheme="majorBidi"/>
          <w:shd w:val="clear" w:color="auto" w:fill="FFFFFF"/>
        </w:rPr>
        <w:t>s</w:t>
      </w:r>
      <w:r w:rsidRPr="003E2E8D">
        <w:rPr>
          <w:rFonts w:asciiTheme="majorBidi" w:hAnsiTheme="majorBidi" w:cstheme="majorBidi"/>
          <w:shd w:val="clear" w:color="auto" w:fill="FFFFFF"/>
        </w:rPr>
        <w:t xml:space="preserve"> atstāt</w:t>
      </w:r>
      <w:r w:rsidR="00C72196" w:rsidRPr="003E2E8D">
        <w:rPr>
          <w:rFonts w:asciiTheme="majorBidi" w:hAnsiTheme="majorBidi" w:cstheme="majorBidi"/>
          <w:shd w:val="clear" w:color="auto" w:fill="FFFFFF"/>
        </w:rPr>
        <w:t>s</w:t>
      </w:r>
      <w:r w:rsidRPr="003E2E8D">
        <w:rPr>
          <w:rFonts w:asciiTheme="majorBidi" w:hAnsiTheme="majorBidi" w:cstheme="majorBidi"/>
          <w:shd w:val="clear" w:color="auto" w:fill="FFFFFF"/>
        </w:rPr>
        <w:t xml:space="preserve"> negrozīt</w:t>
      </w:r>
      <w:r w:rsidR="00C72196" w:rsidRPr="003E2E8D">
        <w:rPr>
          <w:rFonts w:asciiTheme="majorBidi" w:hAnsiTheme="majorBidi" w:cstheme="majorBidi"/>
          <w:shd w:val="clear" w:color="auto" w:fill="FFFFFF"/>
        </w:rPr>
        <w:t>s</w:t>
      </w:r>
      <w:r w:rsidRPr="003E2E8D">
        <w:rPr>
          <w:rFonts w:asciiTheme="majorBidi" w:hAnsiTheme="majorBidi" w:cstheme="majorBidi"/>
          <w:shd w:val="clear" w:color="auto" w:fill="FFFFFF"/>
        </w:rPr>
        <w:t xml:space="preserve">. </w:t>
      </w:r>
    </w:p>
    <w:p w14:paraId="73CD0163" w14:textId="77777777" w:rsidR="00810490" w:rsidRPr="003E2E8D" w:rsidRDefault="00810490" w:rsidP="00810490">
      <w:pPr>
        <w:widowControl w:val="0"/>
        <w:spacing w:line="276" w:lineRule="auto"/>
        <w:ind w:firstLine="720"/>
        <w:jc w:val="both"/>
        <w:rPr>
          <w:rFonts w:asciiTheme="majorBidi" w:hAnsiTheme="majorBidi" w:cstheme="majorBidi"/>
          <w:shd w:val="clear" w:color="auto" w:fill="FFFFFF"/>
        </w:rPr>
      </w:pPr>
    </w:p>
    <w:p w14:paraId="1ABB29E1" w14:textId="724775FD" w:rsidR="00810490" w:rsidRPr="003E2E8D" w:rsidRDefault="00810490" w:rsidP="00810490">
      <w:pPr>
        <w:widowControl w:val="0"/>
        <w:spacing w:line="276" w:lineRule="auto"/>
        <w:ind w:firstLine="720"/>
        <w:jc w:val="both"/>
        <w:rPr>
          <w:rFonts w:asciiTheme="majorBidi" w:eastAsia="Calibri" w:hAnsiTheme="majorBidi" w:cstheme="majorBidi"/>
          <w:lang w:eastAsia="en-US"/>
        </w:rPr>
      </w:pPr>
      <w:r w:rsidRPr="003E2E8D">
        <w:rPr>
          <w:rFonts w:asciiTheme="majorBidi" w:hAnsiTheme="majorBidi" w:cstheme="majorBidi"/>
          <w:shd w:val="clear" w:color="auto" w:fill="FFFFFF"/>
        </w:rPr>
        <w:t xml:space="preserve">[3] </w:t>
      </w:r>
      <w:r w:rsidRPr="003E2E8D">
        <w:rPr>
          <w:rFonts w:asciiTheme="majorBidi" w:hAnsiTheme="majorBidi" w:cstheme="majorBidi"/>
        </w:rPr>
        <w:t xml:space="preserve">Par </w:t>
      </w:r>
      <w:r w:rsidR="00BA171D" w:rsidRPr="003E2E8D">
        <w:rPr>
          <w:rFonts w:asciiTheme="majorBidi" w:hAnsiTheme="majorBidi" w:cstheme="majorBidi"/>
          <w:shd w:val="clear" w:color="auto" w:fill="FFFFFF"/>
        </w:rPr>
        <w:t>Rīgas apgabaltiesas 2025. gada 11. jūnija lēmumu</w:t>
      </w:r>
      <w:r w:rsidR="00BA171D" w:rsidRPr="003E2E8D">
        <w:rPr>
          <w:rFonts w:asciiTheme="majorBidi" w:hAnsiTheme="majorBidi" w:cstheme="majorBidi"/>
        </w:rPr>
        <w:t xml:space="preserve"> </w:t>
      </w:r>
      <w:r w:rsidR="00BA171D" w:rsidRPr="003E2E8D">
        <w:rPr>
          <w:rFonts w:asciiTheme="majorBidi" w:eastAsia="Calibri" w:hAnsiTheme="majorBidi" w:cstheme="majorBidi"/>
        </w:rPr>
        <w:t>prokurors V. Andrejevs iesniedzis kasācijas protestu</w:t>
      </w:r>
      <w:r w:rsidRPr="003E2E8D">
        <w:rPr>
          <w:rFonts w:asciiTheme="majorBidi" w:hAnsiTheme="majorBidi" w:cstheme="majorBidi"/>
        </w:rPr>
        <w:t xml:space="preserve">, lūdzot </w:t>
      </w:r>
      <w:r w:rsidR="001222FB" w:rsidRPr="003E2E8D">
        <w:rPr>
          <w:rFonts w:asciiTheme="majorBidi" w:hAnsiTheme="majorBidi" w:cstheme="majorBidi"/>
        </w:rPr>
        <w:t xml:space="preserve">apelācijas instances tiesas lēmumu </w:t>
      </w:r>
      <w:r w:rsidR="001222FB" w:rsidRPr="003E2E8D">
        <w:rPr>
          <w:rFonts w:asciiTheme="majorBidi" w:eastAsia="Calibri" w:hAnsiTheme="majorBidi" w:cstheme="majorBidi"/>
          <w:lang w:eastAsia="en-US"/>
        </w:rPr>
        <w:t>atcelt pilnībā un lietu nosūtīt jaunai izskatīšanai Rīgas apgabaltiesā.</w:t>
      </w:r>
    </w:p>
    <w:p w14:paraId="3A26CEF6" w14:textId="78127310" w:rsidR="0039762E" w:rsidRPr="003E2E8D" w:rsidRDefault="0039762E" w:rsidP="0039762E">
      <w:pPr>
        <w:widowControl w:val="0"/>
        <w:spacing w:line="276" w:lineRule="auto"/>
        <w:ind w:firstLine="720"/>
        <w:jc w:val="both"/>
        <w:rPr>
          <w:rFonts w:asciiTheme="majorBidi" w:hAnsiTheme="majorBidi" w:cstheme="majorBidi"/>
        </w:rPr>
      </w:pPr>
      <w:r w:rsidRPr="003E2E8D">
        <w:rPr>
          <w:rFonts w:asciiTheme="majorBidi" w:hAnsiTheme="majorBidi" w:cstheme="majorBidi"/>
        </w:rPr>
        <w:t xml:space="preserve">Kasācijas protests pamatots </w:t>
      </w:r>
      <w:r w:rsidR="00E443E1" w:rsidRPr="003E2E8D">
        <w:rPr>
          <w:rFonts w:asciiTheme="majorBidi" w:hAnsiTheme="majorBidi" w:cstheme="majorBidi"/>
        </w:rPr>
        <w:t xml:space="preserve">ar </w:t>
      </w:r>
      <w:r w:rsidRPr="003E2E8D">
        <w:rPr>
          <w:rFonts w:asciiTheme="majorBidi" w:hAnsiTheme="majorBidi" w:cstheme="majorBidi"/>
        </w:rPr>
        <w:t>šādiem argumentiem.</w:t>
      </w:r>
    </w:p>
    <w:p w14:paraId="7673A50F" w14:textId="7FD01345" w:rsidR="007444C9" w:rsidRPr="003E2E8D" w:rsidRDefault="001222FB" w:rsidP="00E443E1">
      <w:pPr>
        <w:widowControl w:val="0"/>
        <w:spacing w:line="276" w:lineRule="auto"/>
        <w:ind w:firstLine="720"/>
        <w:jc w:val="both"/>
        <w:rPr>
          <w:rFonts w:asciiTheme="majorBidi" w:hAnsiTheme="majorBidi" w:cstheme="majorBidi"/>
        </w:rPr>
      </w:pPr>
      <w:r w:rsidRPr="003E2E8D">
        <w:rPr>
          <w:rFonts w:asciiTheme="majorBidi" w:eastAsia="Calibri" w:hAnsiTheme="majorBidi" w:cstheme="majorBidi"/>
          <w:lang w:eastAsia="en-US"/>
        </w:rPr>
        <w:t>[3.1]</w:t>
      </w:r>
      <w:r w:rsidR="0039762E" w:rsidRPr="003E2E8D">
        <w:rPr>
          <w:rFonts w:asciiTheme="majorBidi" w:eastAsia="Calibri" w:hAnsiTheme="majorBidi" w:cstheme="majorBidi"/>
          <w:lang w:eastAsia="en-US"/>
        </w:rPr>
        <w:t xml:space="preserve"> </w:t>
      </w:r>
      <w:r w:rsidRPr="003E2E8D">
        <w:rPr>
          <w:rFonts w:asciiTheme="majorBidi" w:eastAsia="Calibri" w:hAnsiTheme="majorBidi" w:cstheme="majorBidi"/>
          <w:lang w:eastAsia="en-US"/>
        </w:rPr>
        <w:t xml:space="preserve">Apelācijas instances tiesa </w:t>
      </w:r>
      <w:r w:rsidRPr="003E2E8D">
        <w:rPr>
          <w:rFonts w:asciiTheme="majorBidi" w:hAnsiTheme="majorBidi" w:cstheme="majorBidi"/>
        </w:rPr>
        <w:t>nepamatoti</w:t>
      </w:r>
      <w:r w:rsidR="00C04436" w:rsidRPr="003E2E8D">
        <w:rPr>
          <w:rFonts w:asciiTheme="majorBidi" w:hAnsiTheme="majorBidi" w:cstheme="majorBidi"/>
        </w:rPr>
        <w:t xml:space="preserve"> </w:t>
      </w:r>
      <w:r w:rsidR="00801FF0" w:rsidRPr="003E2E8D">
        <w:rPr>
          <w:rFonts w:asciiTheme="majorBidi" w:hAnsiTheme="majorBidi" w:cstheme="majorBidi"/>
        </w:rPr>
        <w:t>atzinusi</w:t>
      </w:r>
      <w:r w:rsidRPr="003E2E8D">
        <w:rPr>
          <w:rFonts w:asciiTheme="majorBidi" w:hAnsiTheme="majorBidi" w:cstheme="majorBidi"/>
        </w:rPr>
        <w:t xml:space="preserve">, ka pirmās instances tiesa, nosakot </w:t>
      </w:r>
      <w:r w:rsidR="00D42F29">
        <w:rPr>
          <w:rFonts w:asciiTheme="majorBidi" w:hAnsiTheme="majorBidi" w:cstheme="majorBidi"/>
        </w:rPr>
        <w:t>[pers. A]</w:t>
      </w:r>
      <w:r w:rsidRPr="003E2E8D">
        <w:rPr>
          <w:rFonts w:asciiTheme="majorBidi" w:hAnsiTheme="majorBidi" w:cstheme="majorBidi"/>
        </w:rPr>
        <w:t xml:space="preserve"> gan sodu, gan medicīniska rakstura piespiedu līdzekli, pārkāpusi dubultās sodīšanas nepieļaujamības principu</w:t>
      </w:r>
      <w:r w:rsidR="00C04436" w:rsidRPr="003E2E8D">
        <w:rPr>
          <w:rFonts w:asciiTheme="majorBidi" w:hAnsiTheme="majorBidi" w:cstheme="majorBidi"/>
        </w:rPr>
        <w:t>.</w:t>
      </w:r>
      <w:r w:rsidR="00E443E1" w:rsidRPr="003E2E8D">
        <w:rPr>
          <w:rFonts w:asciiTheme="majorBidi" w:hAnsiTheme="majorBidi" w:cstheme="majorBidi"/>
        </w:rPr>
        <w:t xml:space="preserve"> </w:t>
      </w:r>
      <w:r w:rsidR="00801FF0" w:rsidRPr="003E2E8D">
        <w:rPr>
          <w:rFonts w:asciiTheme="majorBidi" w:hAnsiTheme="majorBidi" w:cstheme="majorBidi"/>
        </w:rPr>
        <w:t xml:space="preserve">Šāds viedoklis neatbilst </w:t>
      </w:r>
      <w:r w:rsidR="0039762E" w:rsidRPr="003E2E8D">
        <w:rPr>
          <w:rFonts w:asciiTheme="majorBidi" w:hAnsiTheme="majorBidi" w:cstheme="majorBidi"/>
        </w:rPr>
        <w:t>Kriminālprocesa likuma 514. panta pirmās daļas 6. un 8. punkt</w:t>
      </w:r>
      <w:r w:rsidR="00801FF0" w:rsidRPr="003E2E8D">
        <w:rPr>
          <w:rFonts w:asciiTheme="majorBidi" w:hAnsiTheme="majorBidi" w:cstheme="majorBidi"/>
        </w:rPr>
        <w:t>am. Turklāt medicīniska rakstura piespiedu līdzekļ</w:t>
      </w:r>
      <w:r w:rsidR="00B0141E" w:rsidRPr="003E2E8D">
        <w:rPr>
          <w:rFonts w:asciiTheme="majorBidi" w:hAnsiTheme="majorBidi" w:cstheme="majorBidi"/>
        </w:rPr>
        <w:t>a</w:t>
      </w:r>
      <w:r w:rsidR="00801FF0" w:rsidRPr="003E2E8D">
        <w:rPr>
          <w:rFonts w:asciiTheme="majorBidi" w:hAnsiTheme="majorBidi" w:cstheme="majorBidi"/>
        </w:rPr>
        <w:t xml:space="preserve"> piemērošanas mērķis nav personas sodīšana par kaitīga nodarījuma izdarīšanu.  </w:t>
      </w:r>
    </w:p>
    <w:p w14:paraId="2CFAF41D" w14:textId="7642341A" w:rsidR="00045384" w:rsidRPr="003E2E8D" w:rsidRDefault="00A57B0A" w:rsidP="00E443E1">
      <w:pPr>
        <w:widowControl w:val="0"/>
        <w:spacing w:line="276" w:lineRule="auto"/>
        <w:ind w:firstLine="720"/>
        <w:jc w:val="both"/>
        <w:rPr>
          <w:rFonts w:asciiTheme="majorBidi" w:hAnsiTheme="majorBidi" w:cstheme="majorBidi"/>
        </w:rPr>
      </w:pPr>
      <w:r w:rsidRPr="003E2E8D">
        <w:rPr>
          <w:rFonts w:asciiTheme="majorBidi" w:hAnsiTheme="majorBidi" w:cstheme="majorBidi"/>
        </w:rPr>
        <w:t>[3.</w:t>
      </w:r>
      <w:r w:rsidR="00C04436" w:rsidRPr="003E2E8D">
        <w:rPr>
          <w:rFonts w:asciiTheme="majorBidi" w:hAnsiTheme="majorBidi" w:cstheme="majorBidi"/>
        </w:rPr>
        <w:t>2</w:t>
      </w:r>
      <w:r w:rsidRPr="003E2E8D">
        <w:rPr>
          <w:rFonts w:asciiTheme="majorBidi" w:hAnsiTheme="majorBidi" w:cstheme="majorBidi"/>
        </w:rPr>
        <w:t xml:space="preserve">] Apelācijas instances tiesa nepareizi interpretējusi Krimināllikuma 70. pantu, kļūdaini secinot, ka medicīniska rakstura piespiedu līdzekļa piemērošana </w:t>
      </w:r>
      <w:r w:rsidR="00045384" w:rsidRPr="003E2E8D">
        <w:rPr>
          <w:rFonts w:asciiTheme="majorBidi" w:hAnsiTheme="majorBidi" w:cstheme="majorBidi"/>
        </w:rPr>
        <w:t xml:space="preserve">ierobežoti pieskaitāmai personai </w:t>
      </w:r>
      <w:r w:rsidRPr="003E2E8D">
        <w:rPr>
          <w:rFonts w:asciiTheme="majorBidi" w:hAnsiTheme="majorBidi" w:cstheme="majorBidi"/>
        </w:rPr>
        <w:t>iespējama tikai brīvības atņemšanas izciešanas laikā.</w:t>
      </w:r>
      <w:r w:rsidR="00F05C97" w:rsidRPr="003E2E8D">
        <w:rPr>
          <w:rFonts w:asciiTheme="majorBidi" w:hAnsiTheme="majorBidi" w:cstheme="majorBidi"/>
        </w:rPr>
        <w:t xml:space="preserve"> </w:t>
      </w:r>
    </w:p>
    <w:p w14:paraId="426E5A89" w14:textId="21FE486A" w:rsidR="00C04436" w:rsidRPr="003E2E8D" w:rsidRDefault="00045384" w:rsidP="00045384">
      <w:pPr>
        <w:widowControl w:val="0"/>
        <w:spacing w:line="276" w:lineRule="auto"/>
        <w:ind w:firstLine="720"/>
        <w:jc w:val="both"/>
        <w:rPr>
          <w:rFonts w:asciiTheme="majorBidi" w:hAnsiTheme="majorBidi" w:cstheme="majorBidi"/>
        </w:rPr>
      </w:pPr>
      <w:r w:rsidRPr="003E2E8D">
        <w:rPr>
          <w:rFonts w:asciiTheme="majorBidi" w:hAnsiTheme="majorBidi" w:cstheme="majorBidi"/>
        </w:rPr>
        <w:t xml:space="preserve">Šāds secinājums nav pamatots – </w:t>
      </w:r>
      <w:r w:rsidR="00E443E1" w:rsidRPr="003E2E8D">
        <w:rPr>
          <w:rFonts w:asciiTheme="majorBidi" w:hAnsiTheme="majorBidi" w:cstheme="majorBidi"/>
        </w:rPr>
        <w:t>šā</w:t>
      </w:r>
      <w:r w:rsidR="00F05C97" w:rsidRPr="003E2E8D">
        <w:rPr>
          <w:rFonts w:asciiTheme="majorBidi" w:hAnsiTheme="majorBidi" w:cstheme="majorBidi"/>
        </w:rPr>
        <w:t xml:space="preserve"> piespiedu līdzek</w:t>
      </w:r>
      <w:r w:rsidR="007444C9" w:rsidRPr="003E2E8D">
        <w:rPr>
          <w:rFonts w:asciiTheme="majorBidi" w:hAnsiTheme="majorBidi" w:cstheme="majorBidi"/>
        </w:rPr>
        <w:t>ļ</w:t>
      </w:r>
      <w:r w:rsidR="00E443E1" w:rsidRPr="003E2E8D">
        <w:rPr>
          <w:rFonts w:asciiTheme="majorBidi" w:hAnsiTheme="majorBidi" w:cstheme="majorBidi"/>
        </w:rPr>
        <w:t>a</w:t>
      </w:r>
      <w:r w:rsidR="007444C9" w:rsidRPr="003E2E8D">
        <w:rPr>
          <w:rFonts w:asciiTheme="majorBidi" w:hAnsiTheme="majorBidi" w:cstheme="majorBidi"/>
        </w:rPr>
        <w:t xml:space="preserve"> piemērošana</w:t>
      </w:r>
      <w:r w:rsidR="002F568E" w:rsidRPr="003E2E8D">
        <w:rPr>
          <w:rFonts w:asciiTheme="majorBidi" w:hAnsiTheme="majorBidi" w:cstheme="majorBidi"/>
        </w:rPr>
        <w:t xml:space="preserve"> </w:t>
      </w:r>
      <w:r w:rsidR="00C04436" w:rsidRPr="003E2E8D">
        <w:rPr>
          <w:rFonts w:asciiTheme="majorBidi" w:hAnsiTheme="majorBidi" w:cstheme="majorBidi"/>
        </w:rPr>
        <w:t xml:space="preserve">var tikt turpināta </w:t>
      </w:r>
      <w:r w:rsidR="002F568E" w:rsidRPr="003E2E8D">
        <w:rPr>
          <w:rFonts w:asciiTheme="majorBidi" w:hAnsiTheme="majorBidi" w:cstheme="majorBidi"/>
        </w:rPr>
        <w:t>arī pēc soda izciešana</w:t>
      </w:r>
      <w:r w:rsidR="00C04436" w:rsidRPr="003E2E8D">
        <w:rPr>
          <w:rFonts w:asciiTheme="majorBidi" w:hAnsiTheme="majorBidi" w:cstheme="majorBidi"/>
        </w:rPr>
        <w:t>s,</w:t>
      </w:r>
      <w:r w:rsidR="00F05C97" w:rsidRPr="003E2E8D">
        <w:rPr>
          <w:rFonts w:asciiTheme="majorBidi" w:hAnsiTheme="majorBidi" w:cstheme="majorBidi"/>
        </w:rPr>
        <w:t xml:space="preserve"> </w:t>
      </w:r>
      <w:r w:rsidR="00E443E1" w:rsidRPr="003E2E8D">
        <w:rPr>
          <w:rFonts w:asciiTheme="majorBidi" w:hAnsiTheme="majorBidi" w:cstheme="majorBidi"/>
        </w:rPr>
        <w:t>bet tā</w:t>
      </w:r>
      <w:r w:rsidR="00C04436" w:rsidRPr="003E2E8D">
        <w:rPr>
          <w:rFonts w:asciiTheme="majorBidi" w:hAnsiTheme="majorBidi" w:cstheme="majorBidi"/>
        </w:rPr>
        <w:t xml:space="preserve"> </w:t>
      </w:r>
      <w:r w:rsidR="00E443E1" w:rsidRPr="003E2E8D">
        <w:rPr>
          <w:rFonts w:asciiTheme="majorBidi" w:hAnsiTheme="majorBidi" w:cstheme="majorBidi"/>
        </w:rPr>
        <w:t xml:space="preserve">izpildes </w:t>
      </w:r>
      <w:r w:rsidR="00F05C97" w:rsidRPr="003E2E8D">
        <w:rPr>
          <w:rFonts w:asciiTheme="majorBidi" w:hAnsiTheme="majorBidi" w:cstheme="majorBidi"/>
        </w:rPr>
        <w:t>kontrol</w:t>
      </w:r>
      <w:r w:rsidR="00E443E1" w:rsidRPr="003E2E8D">
        <w:rPr>
          <w:rFonts w:asciiTheme="majorBidi" w:hAnsiTheme="majorBidi" w:cstheme="majorBidi"/>
        </w:rPr>
        <w:t>e</w:t>
      </w:r>
      <w:r w:rsidR="00F05C97" w:rsidRPr="003E2E8D">
        <w:rPr>
          <w:rFonts w:asciiTheme="majorBidi" w:hAnsiTheme="majorBidi" w:cstheme="majorBidi"/>
        </w:rPr>
        <w:t xml:space="preserve"> </w:t>
      </w:r>
      <w:r w:rsidR="00C04436" w:rsidRPr="003E2E8D">
        <w:rPr>
          <w:rFonts w:asciiTheme="majorBidi" w:hAnsiTheme="majorBidi" w:cstheme="majorBidi"/>
        </w:rPr>
        <w:t>veic</w:t>
      </w:r>
      <w:r w:rsidR="00E443E1" w:rsidRPr="003E2E8D">
        <w:rPr>
          <w:rFonts w:asciiTheme="majorBidi" w:hAnsiTheme="majorBidi" w:cstheme="majorBidi"/>
        </w:rPr>
        <w:t>ama</w:t>
      </w:r>
      <w:r w:rsidR="00F05C97" w:rsidRPr="003E2E8D">
        <w:rPr>
          <w:rFonts w:asciiTheme="majorBidi" w:hAnsiTheme="majorBidi" w:cstheme="majorBidi"/>
        </w:rPr>
        <w:t xml:space="preserve"> Kriminālprocesa likuma 607. pantā noteikt</w:t>
      </w:r>
      <w:r w:rsidR="00C04436" w:rsidRPr="003E2E8D">
        <w:rPr>
          <w:rFonts w:asciiTheme="majorBidi" w:hAnsiTheme="majorBidi" w:cstheme="majorBidi"/>
        </w:rPr>
        <w:t>ajā</w:t>
      </w:r>
      <w:r w:rsidR="00F05C97" w:rsidRPr="003E2E8D">
        <w:rPr>
          <w:rFonts w:asciiTheme="majorBidi" w:hAnsiTheme="majorBidi" w:cstheme="majorBidi"/>
        </w:rPr>
        <w:t xml:space="preserve"> kārtīb</w:t>
      </w:r>
      <w:r w:rsidR="00C04436" w:rsidRPr="003E2E8D">
        <w:rPr>
          <w:rFonts w:asciiTheme="majorBidi" w:hAnsiTheme="majorBidi" w:cstheme="majorBidi"/>
        </w:rPr>
        <w:t>ā</w:t>
      </w:r>
      <w:r w:rsidR="00F05C97" w:rsidRPr="003E2E8D">
        <w:rPr>
          <w:rFonts w:asciiTheme="majorBidi" w:hAnsiTheme="majorBidi" w:cstheme="majorBidi"/>
        </w:rPr>
        <w:t>.</w:t>
      </w:r>
      <w:r w:rsidR="00C04436" w:rsidRPr="003E2E8D">
        <w:rPr>
          <w:rFonts w:asciiTheme="majorBidi" w:hAnsiTheme="majorBidi" w:cstheme="majorBidi"/>
        </w:rPr>
        <w:t xml:space="preserve"> Līdz ar to nepamatots ir arī apelācijas instances tiesas viedoklis, ka pirmās instances tiesa nebija tiesīga piespiedu ārstēšanu noteikt uz nenoteiktu laiku.</w:t>
      </w:r>
    </w:p>
    <w:p w14:paraId="0DDC18B9" w14:textId="77777777" w:rsidR="00423977" w:rsidRDefault="00F05C97" w:rsidP="00801FF0">
      <w:pPr>
        <w:widowControl w:val="0"/>
        <w:spacing w:line="276" w:lineRule="auto"/>
        <w:ind w:firstLine="720"/>
        <w:jc w:val="both"/>
        <w:rPr>
          <w:rFonts w:asciiTheme="majorBidi" w:hAnsiTheme="majorBidi" w:cstheme="majorBidi"/>
        </w:rPr>
      </w:pPr>
      <w:r w:rsidRPr="003E2E8D">
        <w:rPr>
          <w:rFonts w:asciiTheme="majorBidi" w:hAnsiTheme="majorBidi" w:cstheme="majorBidi"/>
        </w:rPr>
        <w:t>[3.</w:t>
      </w:r>
      <w:r w:rsidR="00C04436" w:rsidRPr="003E2E8D">
        <w:rPr>
          <w:rFonts w:asciiTheme="majorBidi" w:hAnsiTheme="majorBidi" w:cstheme="majorBidi"/>
        </w:rPr>
        <w:t>3</w:t>
      </w:r>
      <w:r w:rsidRPr="003E2E8D">
        <w:rPr>
          <w:rFonts w:asciiTheme="majorBidi" w:hAnsiTheme="majorBidi" w:cstheme="majorBidi"/>
        </w:rPr>
        <w:t>]</w:t>
      </w:r>
      <w:r w:rsidRPr="003E2E8D">
        <w:rPr>
          <w:rFonts w:asciiTheme="majorBidi" w:hAnsiTheme="majorBidi" w:cstheme="majorBidi"/>
          <w:b/>
          <w:bCs/>
        </w:rPr>
        <w:t xml:space="preserve"> </w:t>
      </w:r>
      <w:r w:rsidRPr="003E2E8D">
        <w:rPr>
          <w:rFonts w:asciiTheme="majorBidi" w:hAnsiTheme="majorBidi" w:cstheme="majorBidi"/>
        </w:rPr>
        <w:t xml:space="preserve">Apelācijas instances tiesa </w:t>
      </w:r>
      <w:r w:rsidR="00B0141E" w:rsidRPr="003E2E8D">
        <w:rPr>
          <w:rFonts w:asciiTheme="majorBidi" w:hAnsiTheme="majorBidi" w:cstheme="majorBidi"/>
        </w:rPr>
        <w:t xml:space="preserve">nepamatoti atzinusi </w:t>
      </w:r>
      <w:r w:rsidRPr="003E2E8D">
        <w:rPr>
          <w:rFonts w:asciiTheme="majorBidi" w:hAnsiTheme="majorBidi" w:cstheme="majorBidi"/>
        </w:rPr>
        <w:t>pirmās instances tiesas spriedumu</w:t>
      </w:r>
      <w:r w:rsidR="00E443E1" w:rsidRPr="003E2E8D">
        <w:rPr>
          <w:rFonts w:asciiTheme="majorBidi" w:hAnsiTheme="majorBidi" w:cstheme="majorBidi"/>
        </w:rPr>
        <w:t xml:space="preserve"> </w:t>
      </w:r>
      <w:r w:rsidRPr="003E2E8D">
        <w:rPr>
          <w:rFonts w:asciiTheme="majorBidi" w:hAnsiTheme="majorBidi" w:cstheme="majorBidi"/>
        </w:rPr>
        <w:t>par pretrunīgu</w:t>
      </w:r>
      <w:r w:rsidR="006F322E">
        <w:rPr>
          <w:rFonts w:asciiTheme="majorBidi" w:hAnsiTheme="majorBidi" w:cstheme="majorBidi"/>
        </w:rPr>
        <w:t>.</w:t>
      </w:r>
      <w:r w:rsidR="00423977">
        <w:rPr>
          <w:rFonts w:asciiTheme="majorBidi" w:hAnsiTheme="majorBidi" w:cstheme="majorBidi"/>
        </w:rPr>
        <w:t xml:space="preserve"> </w:t>
      </w:r>
    </w:p>
    <w:p w14:paraId="23538311" w14:textId="1AD62B19" w:rsidR="00F05C97" w:rsidRPr="003E2E8D" w:rsidRDefault="006F322E" w:rsidP="00172201">
      <w:pPr>
        <w:widowControl w:val="0"/>
        <w:spacing w:line="276" w:lineRule="auto"/>
        <w:ind w:firstLine="720"/>
        <w:jc w:val="both"/>
        <w:rPr>
          <w:rFonts w:asciiTheme="majorBidi" w:hAnsiTheme="majorBidi" w:cstheme="majorBidi"/>
        </w:rPr>
      </w:pPr>
      <w:r>
        <w:rPr>
          <w:rFonts w:asciiTheme="majorBidi" w:hAnsiTheme="majorBidi" w:cstheme="majorBidi"/>
        </w:rPr>
        <w:t>P</w:t>
      </w:r>
      <w:r w:rsidR="00F05C97" w:rsidRPr="003E2E8D">
        <w:rPr>
          <w:rFonts w:asciiTheme="majorBidi" w:hAnsiTheme="majorBidi" w:cstheme="majorBidi"/>
        </w:rPr>
        <w:t>irmās instances tiesa</w:t>
      </w:r>
      <w:r w:rsidR="00205891" w:rsidRPr="003E2E8D">
        <w:rPr>
          <w:rFonts w:asciiTheme="majorBidi" w:hAnsiTheme="majorBidi" w:cstheme="majorBidi"/>
        </w:rPr>
        <w:t>,</w:t>
      </w:r>
      <w:r w:rsidR="00F05C97" w:rsidRPr="003E2E8D">
        <w:rPr>
          <w:rFonts w:asciiTheme="majorBidi" w:hAnsiTheme="majorBidi" w:cstheme="majorBidi"/>
        </w:rPr>
        <w:t xml:space="preserve"> </w:t>
      </w:r>
      <w:r w:rsidR="00045384" w:rsidRPr="003E2E8D">
        <w:rPr>
          <w:rFonts w:asciiTheme="majorBidi" w:hAnsiTheme="majorBidi" w:cstheme="majorBidi"/>
        </w:rPr>
        <w:t xml:space="preserve">sprieduma motīvu daļā </w:t>
      </w:r>
      <w:r w:rsidR="00F05C97" w:rsidRPr="003E2E8D">
        <w:rPr>
          <w:rFonts w:asciiTheme="majorBidi" w:hAnsiTheme="majorBidi" w:cstheme="majorBidi"/>
        </w:rPr>
        <w:t>atsauc</w:t>
      </w:r>
      <w:r w:rsidR="00205891" w:rsidRPr="003E2E8D">
        <w:rPr>
          <w:rFonts w:asciiTheme="majorBidi" w:hAnsiTheme="majorBidi" w:cstheme="majorBidi"/>
        </w:rPr>
        <w:t>oties uz piemērojamo tiesību normu,</w:t>
      </w:r>
      <w:r w:rsidR="00F05C97" w:rsidRPr="003E2E8D">
        <w:rPr>
          <w:rFonts w:asciiTheme="majorBidi" w:hAnsiTheme="majorBidi" w:cstheme="majorBidi"/>
        </w:rPr>
        <w:t xml:space="preserve"> </w:t>
      </w:r>
      <w:r w:rsidR="009161D0" w:rsidRPr="003E2E8D">
        <w:rPr>
          <w:rFonts w:asciiTheme="majorBidi" w:hAnsiTheme="majorBidi" w:cstheme="majorBidi"/>
        </w:rPr>
        <w:t>visti</w:t>
      </w:r>
      <w:r w:rsidR="00205891" w:rsidRPr="003E2E8D">
        <w:rPr>
          <w:rFonts w:asciiTheme="majorBidi" w:hAnsiTheme="majorBidi" w:cstheme="majorBidi"/>
        </w:rPr>
        <w:t>camāk</w:t>
      </w:r>
      <w:r w:rsidR="00E443E1" w:rsidRPr="003E2E8D">
        <w:rPr>
          <w:rFonts w:asciiTheme="majorBidi" w:hAnsiTheme="majorBidi" w:cstheme="majorBidi"/>
        </w:rPr>
        <w:t>,</w:t>
      </w:r>
      <w:r w:rsidR="00205891" w:rsidRPr="003E2E8D">
        <w:rPr>
          <w:rFonts w:asciiTheme="majorBidi" w:hAnsiTheme="majorBidi" w:cstheme="majorBidi"/>
        </w:rPr>
        <w:t xml:space="preserve"> pieļāvusi</w:t>
      </w:r>
      <w:r>
        <w:rPr>
          <w:rFonts w:asciiTheme="majorBidi" w:hAnsiTheme="majorBidi" w:cstheme="majorBidi"/>
        </w:rPr>
        <w:t xml:space="preserve"> vienīgi</w:t>
      </w:r>
      <w:r w:rsidR="00045384" w:rsidRPr="003E2E8D">
        <w:rPr>
          <w:rFonts w:asciiTheme="majorBidi" w:hAnsiTheme="majorBidi" w:cstheme="majorBidi"/>
        </w:rPr>
        <w:t xml:space="preserve"> </w:t>
      </w:r>
      <w:r w:rsidR="00F05C97" w:rsidRPr="003E2E8D">
        <w:rPr>
          <w:rFonts w:asciiTheme="majorBidi" w:hAnsiTheme="majorBidi" w:cstheme="majorBidi"/>
        </w:rPr>
        <w:t>pārrakstīšanās kļūd</w:t>
      </w:r>
      <w:r w:rsidR="00205891" w:rsidRPr="003E2E8D">
        <w:rPr>
          <w:rFonts w:asciiTheme="majorBidi" w:hAnsiTheme="majorBidi" w:cstheme="majorBidi"/>
        </w:rPr>
        <w:t>u</w:t>
      </w:r>
      <w:r w:rsidR="00F05C97" w:rsidRPr="003E2E8D">
        <w:rPr>
          <w:rFonts w:asciiTheme="majorBidi" w:hAnsiTheme="majorBidi" w:cstheme="majorBidi"/>
        </w:rPr>
        <w:t>,</w:t>
      </w:r>
      <w:r w:rsidR="00045384" w:rsidRPr="003E2E8D">
        <w:rPr>
          <w:rFonts w:asciiTheme="majorBidi" w:hAnsiTheme="majorBidi" w:cstheme="majorBidi"/>
        </w:rPr>
        <w:t xml:space="preserve"> jo</w:t>
      </w:r>
      <w:r w:rsidR="002F568E" w:rsidRPr="003E2E8D">
        <w:rPr>
          <w:rFonts w:asciiTheme="majorBidi" w:hAnsiTheme="majorBidi" w:cstheme="majorBidi"/>
        </w:rPr>
        <w:t>: 1)</w:t>
      </w:r>
      <w:r w:rsidR="00172201">
        <w:rPr>
          <w:rFonts w:asciiTheme="majorBidi" w:hAnsiTheme="majorBidi" w:cstheme="majorBidi"/>
        </w:rPr>
        <w:t> </w:t>
      </w:r>
      <w:r w:rsidR="00045384" w:rsidRPr="003E2E8D">
        <w:rPr>
          <w:rFonts w:asciiTheme="majorBidi" w:hAnsiTheme="majorBidi" w:cstheme="majorBidi"/>
        </w:rPr>
        <w:t xml:space="preserve">šajā </w:t>
      </w:r>
      <w:r w:rsidR="00D35D13" w:rsidRPr="003E2E8D">
        <w:rPr>
          <w:rFonts w:asciiTheme="majorBidi" w:hAnsiTheme="majorBidi" w:cstheme="majorBidi"/>
        </w:rPr>
        <w:t xml:space="preserve">sprieduma </w:t>
      </w:r>
      <w:r w:rsidR="00045384" w:rsidRPr="003E2E8D">
        <w:rPr>
          <w:rFonts w:asciiTheme="majorBidi" w:hAnsiTheme="majorBidi" w:cstheme="majorBidi"/>
        </w:rPr>
        <w:t xml:space="preserve">daļā </w:t>
      </w:r>
      <w:r w:rsidR="002F568E" w:rsidRPr="003E2E8D">
        <w:rPr>
          <w:rFonts w:asciiTheme="majorBidi" w:hAnsiTheme="majorBidi" w:cstheme="majorBidi"/>
        </w:rPr>
        <w:t>norādīj</w:t>
      </w:r>
      <w:r w:rsidR="00E443E1" w:rsidRPr="003E2E8D">
        <w:rPr>
          <w:rFonts w:asciiTheme="majorBidi" w:hAnsiTheme="majorBidi" w:cstheme="majorBidi"/>
        </w:rPr>
        <w:t>usi</w:t>
      </w:r>
      <w:r w:rsidR="002F568E" w:rsidRPr="003E2E8D">
        <w:rPr>
          <w:rFonts w:asciiTheme="majorBidi" w:hAnsiTheme="majorBidi" w:cstheme="majorBidi"/>
        </w:rPr>
        <w:t xml:space="preserve"> </w:t>
      </w:r>
      <w:r w:rsidR="00F05C97" w:rsidRPr="003E2E8D">
        <w:rPr>
          <w:rFonts w:asciiTheme="majorBidi" w:hAnsiTheme="majorBidi" w:cstheme="majorBidi"/>
        </w:rPr>
        <w:t>pareiz</w:t>
      </w:r>
      <w:r w:rsidR="00045384" w:rsidRPr="003E2E8D">
        <w:rPr>
          <w:rFonts w:asciiTheme="majorBidi" w:hAnsiTheme="majorBidi" w:cstheme="majorBidi"/>
        </w:rPr>
        <w:t>o</w:t>
      </w:r>
      <w:r w:rsidR="00F05C97" w:rsidRPr="003E2E8D">
        <w:rPr>
          <w:rFonts w:asciiTheme="majorBidi" w:hAnsiTheme="majorBidi" w:cstheme="majorBidi"/>
        </w:rPr>
        <w:t xml:space="preserve"> medicīniska rakstura piespiedu līdzekli</w:t>
      </w:r>
      <w:r w:rsidR="002F568E" w:rsidRPr="003E2E8D">
        <w:rPr>
          <w:rFonts w:asciiTheme="majorBidi" w:hAnsiTheme="majorBidi" w:cstheme="majorBidi"/>
        </w:rPr>
        <w:t>; 2)</w:t>
      </w:r>
      <w:r w:rsidR="00D35D13" w:rsidRPr="003E2E8D">
        <w:rPr>
          <w:rFonts w:asciiTheme="majorBidi" w:hAnsiTheme="majorBidi" w:cstheme="majorBidi"/>
        </w:rPr>
        <w:t> </w:t>
      </w:r>
      <w:r w:rsidR="00801FF0" w:rsidRPr="003E2E8D">
        <w:rPr>
          <w:rFonts w:asciiTheme="majorBidi" w:hAnsiTheme="majorBidi" w:cstheme="majorBidi"/>
        </w:rPr>
        <w:t>sprieduma rezolutīvajā daļā pareizi norādīj</w:t>
      </w:r>
      <w:r w:rsidR="00E443E1" w:rsidRPr="003E2E8D">
        <w:rPr>
          <w:rFonts w:asciiTheme="majorBidi" w:hAnsiTheme="majorBidi" w:cstheme="majorBidi"/>
        </w:rPr>
        <w:t>usi</w:t>
      </w:r>
      <w:r w:rsidR="00801FF0" w:rsidRPr="003E2E8D">
        <w:rPr>
          <w:rFonts w:asciiTheme="majorBidi" w:hAnsiTheme="majorBidi" w:cstheme="majorBidi"/>
        </w:rPr>
        <w:t xml:space="preserve"> gan piemēro</w:t>
      </w:r>
      <w:r w:rsidR="00E443E1" w:rsidRPr="003E2E8D">
        <w:rPr>
          <w:rFonts w:asciiTheme="majorBidi" w:hAnsiTheme="majorBidi" w:cstheme="majorBidi"/>
        </w:rPr>
        <w:t>to</w:t>
      </w:r>
      <w:r w:rsidR="00801FF0" w:rsidRPr="003E2E8D">
        <w:rPr>
          <w:rFonts w:asciiTheme="majorBidi" w:hAnsiTheme="majorBidi" w:cstheme="majorBidi"/>
        </w:rPr>
        <w:t xml:space="preserve"> medicīniska rakstura piespiedu līdzekli, gan atbilstošo tiesību normu.</w:t>
      </w:r>
    </w:p>
    <w:p w14:paraId="19425A68" w14:textId="2D612B90" w:rsidR="00810490" w:rsidRPr="003E2E8D" w:rsidRDefault="00E443E1" w:rsidP="00E443E1">
      <w:pPr>
        <w:shd w:val="clear" w:color="auto" w:fill="FFFFFF"/>
        <w:tabs>
          <w:tab w:val="left" w:pos="1706"/>
          <w:tab w:val="center" w:pos="4419"/>
        </w:tabs>
        <w:spacing w:before="360" w:after="360" w:line="276" w:lineRule="auto"/>
        <w:rPr>
          <w:rFonts w:asciiTheme="majorBidi" w:hAnsiTheme="majorBidi" w:cstheme="majorBidi"/>
        </w:rPr>
      </w:pPr>
      <w:r w:rsidRPr="003E2E8D">
        <w:rPr>
          <w:rFonts w:asciiTheme="majorBidi" w:hAnsiTheme="majorBidi" w:cstheme="majorBidi"/>
          <w:b/>
        </w:rPr>
        <w:tab/>
      </w:r>
      <w:r w:rsidRPr="003E2E8D">
        <w:rPr>
          <w:rFonts w:asciiTheme="majorBidi" w:hAnsiTheme="majorBidi" w:cstheme="majorBidi"/>
          <w:b/>
        </w:rPr>
        <w:tab/>
      </w:r>
      <w:r w:rsidR="00810490" w:rsidRPr="003E2E8D">
        <w:rPr>
          <w:rFonts w:asciiTheme="majorBidi" w:hAnsiTheme="majorBidi" w:cstheme="majorBidi"/>
          <w:b/>
        </w:rPr>
        <w:t>Motīvu daļa</w:t>
      </w:r>
    </w:p>
    <w:p w14:paraId="22E1A8D7" w14:textId="2A9C40CB" w:rsidR="009161D0" w:rsidRPr="003E2E8D" w:rsidRDefault="00810490" w:rsidP="008D5E6F">
      <w:pPr>
        <w:widowControl w:val="0"/>
        <w:spacing w:line="276" w:lineRule="auto"/>
        <w:ind w:firstLine="720"/>
        <w:jc w:val="both"/>
        <w:rPr>
          <w:rFonts w:asciiTheme="majorBidi" w:hAnsiTheme="majorBidi" w:cstheme="majorBidi"/>
        </w:rPr>
      </w:pPr>
      <w:bookmarkStart w:id="0" w:name="_Hlk219742460"/>
      <w:bookmarkStart w:id="1" w:name="_Hlk217834353"/>
      <w:bookmarkStart w:id="2" w:name="_Hlk217841377"/>
      <w:r w:rsidRPr="003E2E8D">
        <w:rPr>
          <w:rFonts w:asciiTheme="majorBidi" w:hAnsiTheme="majorBidi" w:cstheme="majorBidi"/>
        </w:rPr>
        <w:t xml:space="preserve">[4] </w:t>
      </w:r>
      <w:bookmarkStart w:id="3" w:name="_Hlk219781344"/>
      <w:bookmarkEnd w:id="0"/>
      <w:bookmarkEnd w:id="1"/>
      <w:bookmarkEnd w:id="2"/>
      <w:r w:rsidR="00B2414C" w:rsidRPr="003E2E8D">
        <w:rPr>
          <w:rFonts w:asciiTheme="majorBidi" w:hAnsiTheme="majorBidi" w:cstheme="majorBidi"/>
        </w:rPr>
        <w:t xml:space="preserve">Senātam jāatbild uz jautājumu, vai tiesa vienā kriminālprocesā personai, kura noziedzīgu nodarījumu izdarījusi ierobežotas pieskaitāmības stāvoklī, var noteikt gan brīvības atņemšanu, gan medicīniska rakstura piespiedu līdzekli – ambulatoru ārstēšanu </w:t>
      </w:r>
      <w:r w:rsidR="00B2414C" w:rsidRPr="003E2E8D">
        <w:rPr>
          <w:rFonts w:asciiTheme="majorBidi" w:hAnsiTheme="majorBidi" w:cstheme="majorBidi"/>
        </w:rPr>
        <w:lastRenderedPageBreak/>
        <w:t>medicīnas iestādē –, paredzot, ka šā līdzekļa izpilde nepieciešamības gadījumā turpināma arī pēc brīvības atņemšanas izciešanas.</w:t>
      </w:r>
    </w:p>
    <w:p w14:paraId="0D7F52AB" w14:textId="5271CF10" w:rsidR="00E56DA3" w:rsidRPr="003E2E8D" w:rsidRDefault="00561AE5" w:rsidP="00B2414C">
      <w:pPr>
        <w:widowControl w:val="0"/>
        <w:spacing w:line="276" w:lineRule="auto"/>
        <w:ind w:firstLine="720"/>
        <w:jc w:val="both"/>
        <w:rPr>
          <w:rFonts w:asciiTheme="majorBidi" w:hAnsiTheme="majorBidi" w:cstheme="majorBidi"/>
        </w:rPr>
      </w:pPr>
      <w:r w:rsidRPr="003E2E8D">
        <w:rPr>
          <w:rFonts w:asciiTheme="majorBidi" w:hAnsiTheme="majorBidi" w:cstheme="majorBidi"/>
        </w:rPr>
        <w:t>[4.1]</w:t>
      </w:r>
      <w:r w:rsidR="00CA3CAE" w:rsidRPr="003E2E8D">
        <w:rPr>
          <w:rFonts w:asciiTheme="majorBidi" w:hAnsiTheme="majorBidi" w:cstheme="majorBidi"/>
        </w:rPr>
        <w:t xml:space="preserve"> Apelācijas instances tiesa, atceļot pirmās instances tiesas spriedumu daļā par</w:t>
      </w:r>
      <w:r w:rsidR="00C11DDD" w:rsidRPr="003E2E8D">
        <w:rPr>
          <w:rFonts w:asciiTheme="majorBidi" w:hAnsiTheme="majorBidi" w:cstheme="majorBidi"/>
          <w:shd w:val="clear" w:color="auto" w:fill="FFFFFF"/>
        </w:rPr>
        <w:t xml:space="preserve"> medicīniska rakstura piespiedu līdzek</w:t>
      </w:r>
      <w:r w:rsidR="00B2414C" w:rsidRPr="003E2E8D">
        <w:rPr>
          <w:rFonts w:asciiTheme="majorBidi" w:hAnsiTheme="majorBidi" w:cstheme="majorBidi"/>
          <w:shd w:val="clear" w:color="auto" w:fill="FFFFFF"/>
        </w:rPr>
        <w:t>li</w:t>
      </w:r>
      <w:r w:rsidR="003824D7" w:rsidRPr="003E2E8D">
        <w:rPr>
          <w:rFonts w:asciiTheme="majorBidi" w:hAnsiTheme="majorBidi" w:cstheme="majorBidi"/>
          <w:shd w:val="clear" w:color="auto" w:fill="FFFFFF"/>
        </w:rPr>
        <w:t>,</w:t>
      </w:r>
      <w:r w:rsidR="00B2414C" w:rsidRPr="003E2E8D">
        <w:rPr>
          <w:rFonts w:asciiTheme="majorBidi" w:hAnsiTheme="majorBidi" w:cstheme="majorBidi"/>
          <w:shd w:val="clear" w:color="auto" w:fill="FFFFFF"/>
        </w:rPr>
        <w:t xml:space="preserve"> atzinusi, ka </w:t>
      </w:r>
      <w:r w:rsidR="00B2414C" w:rsidRPr="003E2E8D">
        <w:rPr>
          <w:rFonts w:asciiTheme="majorBidi" w:hAnsiTheme="majorBidi" w:cstheme="majorBidi"/>
        </w:rPr>
        <w:t xml:space="preserve">tas </w:t>
      </w:r>
      <w:r w:rsidR="00E56DA3" w:rsidRPr="003E2E8D">
        <w:rPr>
          <w:rFonts w:asciiTheme="majorBidi" w:hAnsiTheme="majorBidi" w:cstheme="majorBidi"/>
        </w:rPr>
        <w:t>ierobežo personas brīvību</w:t>
      </w:r>
      <w:r w:rsidR="00B2414C" w:rsidRPr="003E2E8D">
        <w:rPr>
          <w:rFonts w:asciiTheme="majorBidi" w:hAnsiTheme="majorBidi" w:cstheme="majorBidi"/>
        </w:rPr>
        <w:t xml:space="preserve"> un tādēļ </w:t>
      </w:r>
      <w:r w:rsidR="00E56DA3" w:rsidRPr="003E2E8D">
        <w:rPr>
          <w:rFonts w:asciiTheme="majorBidi" w:hAnsiTheme="majorBidi" w:cstheme="majorBidi"/>
        </w:rPr>
        <w:t>personas piespiedu ārstēšan</w:t>
      </w:r>
      <w:r w:rsidR="00B2414C" w:rsidRPr="003E2E8D">
        <w:rPr>
          <w:rFonts w:asciiTheme="majorBidi" w:hAnsiTheme="majorBidi" w:cstheme="majorBidi"/>
        </w:rPr>
        <w:t>a</w:t>
      </w:r>
      <w:r w:rsidR="00E56DA3" w:rsidRPr="003E2E8D">
        <w:rPr>
          <w:rFonts w:asciiTheme="majorBidi" w:hAnsiTheme="majorBidi" w:cstheme="majorBidi"/>
        </w:rPr>
        <w:t xml:space="preserve"> saistībā ar viņas izdarīto noziedzīgo nodarījumu un veselības stāvokli ir </w:t>
      </w:r>
      <w:r w:rsidR="00B2414C" w:rsidRPr="003E2E8D">
        <w:rPr>
          <w:rFonts w:asciiTheme="majorBidi" w:hAnsiTheme="majorBidi" w:cstheme="majorBidi"/>
        </w:rPr>
        <w:t>atzīstama</w:t>
      </w:r>
      <w:r w:rsidR="00E56DA3" w:rsidRPr="003E2E8D">
        <w:rPr>
          <w:rFonts w:asciiTheme="majorBidi" w:hAnsiTheme="majorBidi" w:cstheme="majorBidi"/>
        </w:rPr>
        <w:t xml:space="preserve"> par sodīšanu plašāk</w:t>
      </w:r>
      <w:r w:rsidR="00EA2FA8" w:rsidRPr="003E2E8D">
        <w:rPr>
          <w:rFonts w:asciiTheme="majorBidi" w:hAnsiTheme="majorBidi" w:cstheme="majorBidi"/>
        </w:rPr>
        <w:t>ajā</w:t>
      </w:r>
      <w:r w:rsidR="00E56DA3" w:rsidRPr="003E2E8D">
        <w:rPr>
          <w:rFonts w:asciiTheme="majorBidi" w:hAnsiTheme="majorBidi" w:cstheme="majorBidi"/>
        </w:rPr>
        <w:t xml:space="preserve"> nozīmē.</w:t>
      </w:r>
    </w:p>
    <w:p w14:paraId="455F1542" w14:textId="6469CD0F" w:rsidR="00E56DA3" w:rsidRPr="003E2E8D" w:rsidRDefault="00F05361" w:rsidP="00F05361">
      <w:pPr>
        <w:widowControl w:val="0"/>
        <w:spacing w:line="276" w:lineRule="auto"/>
        <w:ind w:firstLine="720"/>
        <w:jc w:val="both"/>
        <w:rPr>
          <w:rFonts w:asciiTheme="majorBidi" w:hAnsiTheme="majorBidi" w:cstheme="majorBidi"/>
        </w:rPr>
      </w:pPr>
      <w:r w:rsidRPr="003E2E8D">
        <w:rPr>
          <w:rFonts w:asciiTheme="majorBidi" w:hAnsiTheme="majorBidi" w:cstheme="majorBidi"/>
        </w:rPr>
        <w:t>Turklāt p</w:t>
      </w:r>
      <w:r w:rsidR="00CA3CAE" w:rsidRPr="003E2E8D">
        <w:rPr>
          <w:rFonts w:asciiTheme="majorBidi" w:hAnsiTheme="majorBidi" w:cstheme="majorBidi"/>
        </w:rPr>
        <w:t>irmās instances tiesa</w:t>
      </w:r>
      <w:r w:rsidR="00E443E1" w:rsidRPr="003E2E8D">
        <w:rPr>
          <w:rFonts w:asciiTheme="majorBidi" w:hAnsiTheme="majorBidi" w:cstheme="majorBidi"/>
        </w:rPr>
        <w:t>,</w:t>
      </w:r>
      <w:r w:rsidR="00CA3CAE" w:rsidRPr="003E2E8D">
        <w:rPr>
          <w:rFonts w:asciiTheme="majorBidi" w:hAnsiTheme="majorBidi" w:cstheme="majorBidi"/>
        </w:rPr>
        <w:t xml:space="preserve"> piemēro</w:t>
      </w:r>
      <w:r w:rsidR="003545D9" w:rsidRPr="003E2E8D">
        <w:rPr>
          <w:rFonts w:asciiTheme="majorBidi" w:hAnsiTheme="majorBidi" w:cstheme="majorBidi"/>
        </w:rPr>
        <w:t>jo</w:t>
      </w:r>
      <w:r w:rsidR="00E443E1" w:rsidRPr="003E2E8D">
        <w:rPr>
          <w:rFonts w:asciiTheme="majorBidi" w:hAnsiTheme="majorBidi" w:cstheme="majorBidi"/>
        </w:rPr>
        <w:t xml:space="preserve">t </w:t>
      </w:r>
      <w:r w:rsidR="00D42F29">
        <w:rPr>
          <w:rFonts w:asciiTheme="majorBidi" w:hAnsiTheme="majorBidi" w:cstheme="majorBidi"/>
        </w:rPr>
        <w:t>[pers. A]</w:t>
      </w:r>
      <w:r w:rsidR="003545D9" w:rsidRPr="003E2E8D">
        <w:rPr>
          <w:rFonts w:asciiTheme="majorBidi" w:hAnsiTheme="majorBidi" w:cstheme="majorBidi"/>
        </w:rPr>
        <w:t xml:space="preserve"> ne </w:t>
      </w:r>
      <w:r w:rsidR="00671A5B" w:rsidRPr="003E2E8D">
        <w:rPr>
          <w:rFonts w:asciiTheme="majorBidi" w:hAnsiTheme="majorBidi" w:cstheme="majorBidi"/>
        </w:rPr>
        <w:t>vien</w:t>
      </w:r>
      <w:r w:rsidR="003545D9" w:rsidRPr="003E2E8D">
        <w:rPr>
          <w:rFonts w:asciiTheme="majorBidi" w:hAnsiTheme="majorBidi" w:cstheme="majorBidi"/>
        </w:rPr>
        <w:t xml:space="preserve"> </w:t>
      </w:r>
      <w:r w:rsidR="00CA3CAE" w:rsidRPr="003E2E8D">
        <w:rPr>
          <w:rFonts w:asciiTheme="majorBidi" w:hAnsiTheme="majorBidi" w:cstheme="majorBidi"/>
        </w:rPr>
        <w:t xml:space="preserve">brīvības atņemšanu, </w:t>
      </w:r>
      <w:r w:rsidR="003545D9" w:rsidRPr="003E2E8D">
        <w:rPr>
          <w:rFonts w:asciiTheme="majorBidi" w:hAnsiTheme="majorBidi" w:cstheme="majorBidi"/>
        </w:rPr>
        <w:t>bet arī</w:t>
      </w:r>
      <w:r w:rsidR="00CA3CAE" w:rsidRPr="003E2E8D">
        <w:rPr>
          <w:rFonts w:asciiTheme="majorBidi" w:hAnsiTheme="majorBidi" w:cstheme="majorBidi"/>
        </w:rPr>
        <w:t xml:space="preserve"> medicīniska rakstura piespiedu līdzekli</w:t>
      </w:r>
      <w:r w:rsidR="00EA2FA8" w:rsidRPr="003E2E8D">
        <w:rPr>
          <w:rFonts w:asciiTheme="majorBidi" w:hAnsiTheme="majorBidi" w:cstheme="majorBidi"/>
        </w:rPr>
        <w:t>,</w:t>
      </w:r>
      <w:r w:rsidR="008D5E6F" w:rsidRPr="003E2E8D">
        <w:rPr>
          <w:rFonts w:asciiTheme="majorBidi" w:hAnsiTheme="majorBidi" w:cstheme="majorBidi"/>
        </w:rPr>
        <w:t xml:space="preserve"> </w:t>
      </w:r>
      <w:r w:rsidR="00CA3CAE" w:rsidRPr="003E2E8D">
        <w:rPr>
          <w:rFonts w:asciiTheme="majorBidi" w:hAnsiTheme="majorBidi" w:cstheme="majorBidi"/>
        </w:rPr>
        <w:t>radī</w:t>
      </w:r>
      <w:r w:rsidR="008D5E6F" w:rsidRPr="003E2E8D">
        <w:rPr>
          <w:rFonts w:asciiTheme="majorBidi" w:hAnsiTheme="majorBidi" w:cstheme="majorBidi"/>
        </w:rPr>
        <w:t>jusi</w:t>
      </w:r>
      <w:r w:rsidR="00CA3CAE" w:rsidRPr="003E2E8D">
        <w:rPr>
          <w:rFonts w:asciiTheme="majorBidi" w:hAnsiTheme="majorBidi" w:cstheme="majorBidi"/>
        </w:rPr>
        <w:t xml:space="preserve"> situācij</w:t>
      </w:r>
      <w:r w:rsidR="008D5E6F" w:rsidRPr="003E2E8D">
        <w:rPr>
          <w:rFonts w:asciiTheme="majorBidi" w:hAnsiTheme="majorBidi" w:cstheme="majorBidi"/>
        </w:rPr>
        <w:t>u</w:t>
      </w:r>
      <w:r w:rsidR="00CA3CAE" w:rsidRPr="003E2E8D">
        <w:rPr>
          <w:rFonts w:asciiTheme="majorBidi" w:hAnsiTheme="majorBidi" w:cstheme="majorBidi"/>
        </w:rPr>
        <w:t>, k</w:t>
      </w:r>
      <w:r w:rsidR="008D5E6F" w:rsidRPr="003E2E8D">
        <w:rPr>
          <w:rFonts w:asciiTheme="majorBidi" w:hAnsiTheme="majorBidi" w:cstheme="majorBidi"/>
        </w:rPr>
        <w:t>urā</w:t>
      </w:r>
      <w:r w:rsidR="00CA3CAE" w:rsidRPr="003E2E8D">
        <w:rPr>
          <w:rFonts w:asciiTheme="majorBidi" w:hAnsiTheme="majorBidi" w:cstheme="majorBidi"/>
        </w:rPr>
        <w:t xml:space="preserve"> </w:t>
      </w:r>
      <w:r w:rsidR="00F12A02" w:rsidRPr="003E2E8D">
        <w:rPr>
          <w:rFonts w:asciiTheme="majorBidi" w:hAnsiTheme="majorBidi" w:cstheme="majorBidi"/>
        </w:rPr>
        <w:t>viņa</w:t>
      </w:r>
      <w:r w:rsidR="00CA3CAE" w:rsidRPr="003E2E8D">
        <w:rPr>
          <w:rFonts w:asciiTheme="majorBidi" w:hAnsiTheme="majorBidi" w:cstheme="majorBidi"/>
        </w:rPr>
        <w:t xml:space="preserve"> arī pēc brīvības atņemšanas</w:t>
      </w:r>
      <w:r w:rsidR="00EA2FA8" w:rsidRPr="003E2E8D">
        <w:rPr>
          <w:rFonts w:asciiTheme="majorBidi" w:hAnsiTheme="majorBidi" w:cstheme="majorBidi"/>
        </w:rPr>
        <w:t xml:space="preserve"> izciešanas</w:t>
      </w:r>
      <w:r w:rsidR="00CA3CAE" w:rsidRPr="003E2E8D">
        <w:rPr>
          <w:rFonts w:asciiTheme="majorBidi" w:hAnsiTheme="majorBidi" w:cstheme="majorBidi"/>
        </w:rPr>
        <w:t xml:space="preserve"> tik</w:t>
      </w:r>
      <w:r w:rsidR="00C11DDD" w:rsidRPr="003E2E8D">
        <w:rPr>
          <w:rFonts w:asciiTheme="majorBidi" w:hAnsiTheme="majorBidi" w:cstheme="majorBidi"/>
        </w:rPr>
        <w:t>s</w:t>
      </w:r>
      <w:r w:rsidR="00CA3CAE" w:rsidRPr="003E2E8D">
        <w:rPr>
          <w:rFonts w:asciiTheme="majorBidi" w:hAnsiTheme="majorBidi" w:cstheme="majorBidi"/>
        </w:rPr>
        <w:t xml:space="preserve"> pakļauta piespiedu ārstēšanai, turklāt – uz nenoteikt</w:t>
      </w:r>
      <w:r w:rsidR="00950182" w:rsidRPr="003E2E8D">
        <w:rPr>
          <w:rFonts w:asciiTheme="majorBidi" w:hAnsiTheme="majorBidi" w:cstheme="majorBidi"/>
        </w:rPr>
        <w:t>u</w:t>
      </w:r>
      <w:r w:rsidR="00CA3CAE" w:rsidRPr="003E2E8D">
        <w:rPr>
          <w:rFonts w:asciiTheme="majorBidi" w:hAnsiTheme="majorBidi" w:cstheme="majorBidi"/>
        </w:rPr>
        <w:t xml:space="preserve"> laiku. </w:t>
      </w:r>
      <w:r w:rsidR="00E56DA3" w:rsidRPr="003E2E8D">
        <w:rPr>
          <w:rFonts w:asciiTheme="majorBidi" w:hAnsiTheme="majorBidi" w:cstheme="majorBidi"/>
        </w:rPr>
        <w:t xml:space="preserve">Sodot </w:t>
      </w:r>
      <w:r w:rsidR="00D42F29">
        <w:rPr>
          <w:rFonts w:asciiTheme="majorBidi" w:hAnsiTheme="majorBidi" w:cstheme="majorBidi"/>
        </w:rPr>
        <w:t>[pers. A]</w:t>
      </w:r>
      <w:r w:rsidR="00E56DA3" w:rsidRPr="003E2E8D">
        <w:rPr>
          <w:rFonts w:asciiTheme="majorBidi" w:hAnsiTheme="majorBidi" w:cstheme="majorBidi"/>
        </w:rPr>
        <w:t xml:space="preserve"> ar brīvības atņemšanu un pēc tās izciešanas nosakot pienākumu nenoteiktu laiku turpināt piespiedu ārstēšanos ambulatori, netiek ievērots dubultās sodīšanas nepieļaujamības princips.</w:t>
      </w:r>
    </w:p>
    <w:p w14:paraId="5E7A467D" w14:textId="5E80B136" w:rsidR="00057AB3" w:rsidRPr="003E2E8D" w:rsidRDefault="00057AB3" w:rsidP="00057AB3">
      <w:pPr>
        <w:widowControl w:val="0"/>
        <w:spacing w:line="276" w:lineRule="auto"/>
        <w:ind w:firstLine="720"/>
        <w:jc w:val="both"/>
        <w:rPr>
          <w:rFonts w:asciiTheme="majorBidi" w:hAnsiTheme="majorBidi" w:cstheme="majorBidi"/>
        </w:rPr>
      </w:pPr>
      <w:r w:rsidRPr="003E2E8D">
        <w:rPr>
          <w:rFonts w:asciiTheme="majorBidi" w:hAnsiTheme="majorBidi" w:cstheme="majorBidi"/>
        </w:rPr>
        <w:t>[4.</w:t>
      </w:r>
      <w:r w:rsidR="00F05361" w:rsidRPr="003E2E8D">
        <w:rPr>
          <w:rFonts w:asciiTheme="majorBidi" w:hAnsiTheme="majorBidi" w:cstheme="majorBidi"/>
        </w:rPr>
        <w:t>2</w:t>
      </w:r>
      <w:r w:rsidRPr="003E2E8D">
        <w:rPr>
          <w:rFonts w:asciiTheme="majorBidi" w:hAnsiTheme="majorBidi" w:cstheme="majorBidi"/>
        </w:rPr>
        <w:t xml:space="preserve">] Senāts </w:t>
      </w:r>
      <w:r w:rsidR="00E63A46" w:rsidRPr="003E2E8D">
        <w:rPr>
          <w:rFonts w:asciiTheme="majorBidi" w:hAnsiTheme="majorBidi" w:cstheme="majorBidi"/>
        </w:rPr>
        <w:t>š</w:t>
      </w:r>
      <w:r w:rsidR="00F05361" w:rsidRPr="003E2E8D">
        <w:rPr>
          <w:rFonts w:asciiTheme="majorBidi" w:hAnsiTheme="majorBidi" w:cstheme="majorBidi"/>
        </w:rPr>
        <w:t>ādu</w:t>
      </w:r>
      <w:r w:rsidR="00BB25D4" w:rsidRPr="003E2E8D">
        <w:rPr>
          <w:rFonts w:asciiTheme="majorBidi" w:hAnsiTheme="majorBidi" w:cstheme="majorBidi"/>
        </w:rPr>
        <w:t>s</w:t>
      </w:r>
      <w:r w:rsidR="00E63A46" w:rsidRPr="003E2E8D">
        <w:rPr>
          <w:rFonts w:asciiTheme="majorBidi" w:hAnsiTheme="majorBidi" w:cstheme="majorBidi"/>
        </w:rPr>
        <w:t xml:space="preserve"> apelācijas instances </w:t>
      </w:r>
      <w:r w:rsidRPr="003E2E8D">
        <w:rPr>
          <w:rFonts w:asciiTheme="majorBidi" w:hAnsiTheme="majorBidi" w:cstheme="majorBidi"/>
        </w:rPr>
        <w:t>tiesas atzinumu</w:t>
      </w:r>
      <w:r w:rsidR="00BB25D4" w:rsidRPr="003E2E8D">
        <w:rPr>
          <w:rFonts w:asciiTheme="majorBidi" w:hAnsiTheme="majorBidi" w:cstheme="majorBidi"/>
        </w:rPr>
        <w:t>s</w:t>
      </w:r>
      <w:r w:rsidRPr="003E2E8D">
        <w:rPr>
          <w:rFonts w:asciiTheme="majorBidi" w:hAnsiTheme="majorBidi" w:cstheme="majorBidi"/>
        </w:rPr>
        <w:t xml:space="preserve"> atzīst par kļūdain</w:t>
      </w:r>
      <w:r w:rsidR="00ED494C" w:rsidRPr="003E2E8D">
        <w:rPr>
          <w:rFonts w:asciiTheme="majorBidi" w:hAnsiTheme="majorBidi" w:cstheme="majorBidi"/>
        </w:rPr>
        <w:t>iem</w:t>
      </w:r>
      <w:r w:rsidR="00F05361" w:rsidRPr="003E2E8D">
        <w:rPr>
          <w:rFonts w:asciiTheme="majorBidi" w:hAnsiTheme="majorBidi" w:cstheme="majorBidi"/>
        </w:rPr>
        <w:t>.</w:t>
      </w:r>
    </w:p>
    <w:p w14:paraId="0A9C82B4" w14:textId="314EEE83" w:rsidR="002444BF" w:rsidRPr="003E2E8D" w:rsidRDefault="0071388D" w:rsidP="002444BF">
      <w:pPr>
        <w:widowControl w:val="0"/>
        <w:spacing w:line="276" w:lineRule="auto"/>
        <w:ind w:firstLine="720"/>
        <w:jc w:val="both"/>
        <w:rPr>
          <w:rFonts w:asciiTheme="majorBidi" w:hAnsiTheme="majorBidi" w:cstheme="majorBidi"/>
        </w:rPr>
      </w:pPr>
      <w:r w:rsidRPr="003E2E8D">
        <w:rPr>
          <w:rFonts w:asciiTheme="majorBidi" w:hAnsiTheme="majorBidi" w:cstheme="majorBidi"/>
        </w:rPr>
        <w:t xml:space="preserve">Visupirms apelācijas instances tiesa nav ņēmusi vērā, ka </w:t>
      </w:r>
      <w:r w:rsidRPr="003E2E8D">
        <w:rPr>
          <w:rFonts w:asciiTheme="majorBidi" w:hAnsiTheme="majorBidi" w:cstheme="majorBidi"/>
          <w:i/>
          <w:iCs/>
        </w:rPr>
        <w:t xml:space="preserve">ne </w:t>
      </w:r>
      <w:proofErr w:type="spellStart"/>
      <w:r w:rsidRPr="003E2E8D">
        <w:rPr>
          <w:rFonts w:asciiTheme="majorBidi" w:hAnsiTheme="majorBidi" w:cstheme="majorBidi"/>
          <w:i/>
          <w:iCs/>
        </w:rPr>
        <w:t>bis</w:t>
      </w:r>
      <w:proofErr w:type="spellEnd"/>
      <w:r w:rsidRPr="003E2E8D">
        <w:rPr>
          <w:rFonts w:asciiTheme="majorBidi" w:hAnsiTheme="majorBidi" w:cstheme="majorBidi"/>
          <w:i/>
          <w:iCs/>
        </w:rPr>
        <w:t xml:space="preserve"> </w:t>
      </w:r>
      <w:proofErr w:type="spellStart"/>
      <w:r w:rsidRPr="003E2E8D">
        <w:rPr>
          <w:rFonts w:asciiTheme="majorBidi" w:hAnsiTheme="majorBidi" w:cstheme="majorBidi"/>
          <w:i/>
          <w:iCs/>
        </w:rPr>
        <w:t>in</w:t>
      </w:r>
      <w:proofErr w:type="spellEnd"/>
      <w:r w:rsidRPr="003E2E8D">
        <w:rPr>
          <w:rFonts w:asciiTheme="majorBidi" w:hAnsiTheme="majorBidi" w:cstheme="majorBidi"/>
          <w:i/>
          <w:iCs/>
        </w:rPr>
        <w:t xml:space="preserve"> </w:t>
      </w:r>
      <w:proofErr w:type="spellStart"/>
      <w:r w:rsidRPr="003E2E8D">
        <w:rPr>
          <w:rFonts w:asciiTheme="majorBidi" w:hAnsiTheme="majorBidi" w:cstheme="majorBidi"/>
          <w:i/>
          <w:iCs/>
        </w:rPr>
        <w:t>idem</w:t>
      </w:r>
      <w:proofErr w:type="spellEnd"/>
      <w:r w:rsidRPr="003E2E8D">
        <w:rPr>
          <w:rFonts w:asciiTheme="majorBidi" w:hAnsiTheme="majorBidi" w:cstheme="majorBidi"/>
        </w:rPr>
        <w:t xml:space="preserve"> princips aizliedz personu no jauna tiesāt vai sodīt par nodarījumu, par kuru jau spēkā stājies nolēmums krimināllietā vai administratīvā pārkāpuma lietā (sk. Kriminālprocesa likuma 25.</w:t>
      </w:r>
      <w:r w:rsidR="00D3581B" w:rsidRPr="003E2E8D">
        <w:rPr>
          <w:rFonts w:asciiTheme="majorBidi" w:hAnsiTheme="majorBidi" w:cstheme="majorBidi"/>
        </w:rPr>
        <w:t> </w:t>
      </w:r>
      <w:r w:rsidRPr="003E2E8D">
        <w:rPr>
          <w:rFonts w:asciiTheme="majorBidi" w:hAnsiTheme="majorBidi" w:cstheme="majorBidi"/>
        </w:rPr>
        <w:t xml:space="preserve">pantu). </w:t>
      </w:r>
    </w:p>
    <w:p w14:paraId="04C3108E" w14:textId="617839BA" w:rsidR="00423977" w:rsidRDefault="00423977" w:rsidP="00423977">
      <w:pPr>
        <w:widowControl w:val="0"/>
        <w:spacing w:line="276" w:lineRule="auto"/>
        <w:ind w:firstLine="720"/>
        <w:jc w:val="both"/>
        <w:rPr>
          <w:rFonts w:asciiTheme="majorBidi" w:hAnsiTheme="majorBidi" w:cstheme="majorBidi"/>
        </w:rPr>
      </w:pPr>
      <w:r w:rsidRPr="00423977">
        <w:rPr>
          <w:rFonts w:asciiTheme="majorBidi" w:hAnsiTheme="majorBidi" w:cstheme="majorBidi"/>
        </w:rPr>
        <w:t xml:space="preserve">Izskatāmajā lietā šāda situācija nav konstatēta. Brīvības atņemšana un medicīniska rakstura piespiedu līdzeklis </w:t>
      </w:r>
      <w:r w:rsidR="006A2630">
        <w:rPr>
          <w:rFonts w:asciiTheme="majorBidi" w:hAnsiTheme="majorBidi" w:cstheme="majorBidi"/>
        </w:rPr>
        <w:t>ir piemēroti vienā kriminālprocesā ar vienu nolēmumu.</w:t>
      </w:r>
    </w:p>
    <w:p w14:paraId="7CD0ACF5" w14:textId="3EDB7923" w:rsidR="00423977" w:rsidRPr="00423977" w:rsidRDefault="00423977" w:rsidP="00423977">
      <w:pPr>
        <w:widowControl w:val="0"/>
        <w:spacing w:line="276" w:lineRule="auto"/>
        <w:ind w:firstLine="720"/>
        <w:jc w:val="both"/>
        <w:rPr>
          <w:rFonts w:asciiTheme="majorBidi" w:hAnsiTheme="majorBidi" w:cstheme="majorBidi"/>
        </w:rPr>
      </w:pPr>
      <w:r w:rsidRPr="00423977">
        <w:rPr>
          <w:rFonts w:asciiTheme="majorBidi" w:hAnsiTheme="majorBidi" w:cstheme="majorBidi"/>
        </w:rPr>
        <w:t xml:space="preserve">Šāds tiesiskais risinājums pēc būtības ir pielīdzināms pamatsoda un papildsoda noteikšanai vienā procesā. Līdz ar to </w:t>
      </w:r>
      <w:r>
        <w:rPr>
          <w:rFonts w:asciiTheme="majorBidi" w:hAnsiTheme="majorBidi" w:cstheme="majorBidi"/>
        </w:rPr>
        <w:t xml:space="preserve">šo abu tiesisko seku </w:t>
      </w:r>
      <w:r w:rsidRPr="00423977">
        <w:rPr>
          <w:rFonts w:asciiTheme="majorBidi" w:hAnsiTheme="majorBidi" w:cstheme="majorBidi"/>
        </w:rPr>
        <w:t xml:space="preserve">piemērošana par vienu un to pašu nodarījumu pati par sevi nav uzskatāma par dubultu sodīšanu un nerada </w:t>
      </w:r>
      <w:r w:rsidRPr="00423977">
        <w:rPr>
          <w:rFonts w:asciiTheme="majorBidi" w:hAnsiTheme="majorBidi" w:cstheme="majorBidi"/>
          <w:i/>
          <w:iCs/>
        </w:rPr>
        <w:t xml:space="preserve">ne </w:t>
      </w:r>
      <w:proofErr w:type="spellStart"/>
      <w:r w:rsidRPr="00423977">
        <w:rPr>
          <w:rFonts w:asciiTheme="majorBidi" w:hAnsiTheme="majorBidi" w:cstheme="majorBidi"/>
          <w:i/>
          <w:iCs/>
        </w:rPr>
        <w:t>bis</w:t>
      </w:r>
      <w:proofErr w:type="spellEnd"/>
      <w:r w:rsidRPr="00423977">
        <w:rPr>
          <w:rFonts w:asciiTheme="majorBidi" w:hAnsiTheme="majorBidi" w:cstheme="majorBidi"/>
          <w:i/>
          <w:iCs/>
        </w:rPr>
        <w:t xml:space="preserve"> </w:t>
      </w:r>
      <w:proofErr w:type="spellStart"/>
      <w:r w:rsidRPr="00423977">
        <w:rPr>
          <w:rFonts w:asciiTheme="majorBidi" w:hAnsiTheme="majorBidi" w:cstheme="majorBidi"/>
          <w:i/>
          <w:iCs/>
        </w:rPr>
        <w:t>in</w:t>
      </w:r>
      <w:proofErr w:type="spellEnd"/>
      <w:r w:rsidRPr="00423977">
        <w:rPr>
          <w:rFonts w:asciiTheme="majorBidi" w:hAnsiTheme="majorBidi" w:cstheme="majorBidi"/>
          <w:i/>
          <w:iCs/>
        </w:rPr>
        <w:t xml:space="preserve"> </w:t>
      </w:r>
      <w:proofErr w:type="spellStart"/>
      <w:r w:rsidRPr="00423977">
        <w:rPr>
          <w:rFonts w:asciiTheme="majorBidi" w:hAnsiTheme="majorBidi" w:cstheme="majorBidi"/>
          <w:i/>
          <w:iCs/>
        </w:rPr>
        <w:t>idem</w:t>
      </w:r>
      <w:proofErr w:type="spellEnd"/>
      <w:r w:rsidRPr="00423977">
        <w:rPr>
          <w:rFonts w:asciiTheme="majorBidi" w:hAnsiTheme="majorBidi" w:cstheme="majorBidi"/>
        </w:rPr>
        <w:t xml:space="preserve"> principa pārkāpumu.</w:t>
      </w:r>
    </w:p>
    <w:p w14:paraId="79125BF2" w14:textId="7B4F8082" w:rsidR="00CF0952" w:rsidRPr="003E2E8D" w:rsidRDefault="00306AF6" w:rsidP="00CF0952">
      <w:pPr>
        <w:widowControl w:val="0"/>
        <w:spacing w:line="276" w:lineRule="auto"/>
        <w:ind w:firstLine="720"/>
        <w:jc w:val="both"/>
        <w:rPr>
          <w:rFonts w:asciiTheme="majorBidi" w:hAnsiTheme="majorBidi" w:cstheme="majorBidi"/>
        </w:rPr>
      </w:pPr>
      <w:r w:rsidRPr="003E2E8D">
        <w:rPr>
          <w:rFonts w:asciiTheme="majorBidi" w:hAnsiTheme="majorBidi" w:cstheme="majorBidi"/>
        </w:rPr>
        <w:t>[4.</w:t>
      </w:r>
      <w:r w:rsidR="00F05361" w:rsidRPr="003E2E8D">
        <w:rPr>
          <w:rFonts w:asciiTheme="majorBidi" w:hAnsiTheme="majorBidi" w:cstheme="majorBidi"/>
        </w:rPr>
        <w:t>3</w:t>
      </w:r>
      <w:r w:rsidRPr="003E2E8D">
        <w:rPr>
          <w:rFonts w:asciiTheme="majorBidi" w:hAnsiTheme="majorBidi" w:cstheme="majorBidi"/>
        </w:rPr>
        <w:t>]</w:t>
      </w:r>
      <w:r w:rsidR="00955884" w:rsidRPr="003E2E8D">
        <w:rPr>
          <w:rFonts w:asciiTheme="majorBidi" w:hAnsiTheme="majorBidi" w:cstheme="majorBidi"/>
        </w:rPr>
        <w:t xml:space="preserve"> </w:t>
      </w:r>
      <w:r w:rsidR="00423977">
        <w:rPr>
          <w:rFonts w:asciiTheme="majorBidi" w:hAnsiTheme="majorBidi" w:cstheme="majorBidi"/>
        </w:rPr>
        <w:t xml:space="preserve">Turklāt </w:t>
      </w:r>
      <w:r w:rsidR="00CF0952" w:rsidRPr="003E2E8D">
        <w:rPr>
          <w:rFonts w:asciiTheme="majorBidi" w:hAnsiTheme="majorBidi" w:cstheme="majorBidi"/>
        </w:rPr>
        <w:t xml:space="preserve">Senāts atzīst, ka likums pieļauj personai, kura noziedzīgu nodarījumu izdarījusi ierobežotas pieskaitāmības stāvoklī, vienlaikus noteikt brīvības atņemšanu un medicīniska rakstura piespiedu līdzekli – ambulatoru ārstēšanu medicīnas iestādē –, paredzot, ka šā līdzekļa </w:t>
      </w:r>
      <w:r w:rsidR="00F85366">
        <w:rPr>
          <w:rFonts w:asciiTheme="majorBidi" w:hAnsiTheme="majorBidi" w:cstheme="majorBidi"/>
        </w:rPr>
        <w:t>piemērošana</w:t>
      </w:r>
      <w:r w:rsidR="00CF0952" w:rsidRPr="003E2E8D">
        <w:rPr>
          <w:rFonts w:asciiTheme="majorBidi" w:hAnsiTheme="majorBidi" w:cstheme="majorBidi"/>
        </w:rPr>
        <w:t xml:space="preserve"> var turpināties arī pēc brīvības atņemšanas izciešanas, ja nav pamata to grozīt vai atcelt.</w:t>
      </w:r>
    </w:p>
    <w:p w14:paraId="771A332A" w14:textId="00D2EB35" w:rsidR="00CF0952" w:rsidRPr="003E2E8D" w:rsidRDefault="00CF0952" w:rsidP="00CF0952">
      <w:pPr>
        <w:widowControl w:val="0"/>
        <w:spacing w:line="276" w:lineRule="auto"/>
        <w:ind w:firstLine="720"/>
        <w:jc w:val="both"/>
        <w:rPr>
          <w:rFonts w:asciiTheme="majorBidi" w:hAnsiTheme="majorBidi" w:cstheme="majorBidi"/>
        </w:rPr>
      </w:pPr>
      <w:r w:rsidRPr="003E2E8D">
        <w:rPr>
          <w:rFonts w:asciiTheme="majorBidi" w:hAnsiTheme="majorBidi" w:cstheme="majorBidi"/>
        </w:rPr>
        <w:t xml:space="preserve">Minētais secinājums </w:t>
      </w:r>
      <w:r w:rsidR="00BB25D4" w:rsidRPr="003E2E8D">
        <w:rPr>
          <w:rFonts w:asciiTheme="majorBidi" w:hAnsiTheme="majorBidi" w:cstheme="majorBidi"/>
        </w:rPr>
        <w:t xml:space="preserve">tiek </w:t>
      </w:r>
      <w:r w:rsidRPr="003E2E8D">
        <w:rPr>
          <w:rFonts w:asciiTheme="majorBidi" w:hAnsiTheme="majorBidi" w:cstheme="majorBidi"/>
        </w:rPr>
        <w:t>pamatots ar turpmāk izklāstītajiem apsvērumiem.</w:t>
      </w:r>
    </w:p>
    <w:p w14:paraId="10F62CE7" w14:textId="66420F1E" w:rsidR="00561AE5" w:rsidRPr="003E2E8D" w:rsidRDefault="00306AF6" w:rsidP="00890093">
      <w:pPr>
        <w:widowControl w:val="0"/>
        <w:spacing w:line="276" w:lineRule="auto"/>
        <w:ind w:firstLine="720"/>
        <w:jc w:val="both"/>
        <w:rPr>
          <w:rFonts w:asciiTheme="majorBidi" w:hAnsiTheme="majorBidi" w:cstheme="majorBidi"/>
        </w:rPr>
      </w:pPr>
      <w:r w:rsidRPr="003E2E8D">
        <w:rPr>
          <w:rFonts w:asciiTheme="majorBidi" w:hAnsiTheme="majorBidi" w:cstheme="majorBidi"/>
        </w:rPr>
        <w:t>[4.</w:t>
      </w:r>
      <w:r w:rsidR="00F05361" w:rsidRPr="003E2E8D">
        <w:rPr>
          <w:rFonts w:asciiTheme="majorBidi" w:hAnsiTheme="majorBidi" w:cstheme="majorBidi"/>
        </w:rPr>
        <w:t>3</w:t>
      </w:r>
      <w:r w:rsidRPr="003E2E8D">
        <w:rPr>
          <w:rFonts w:asciiTheme="majorBidi" w:hAnsiTheme="majorBidi" w:cstheme="majorBidi"/>
        </w:rPr>
        <w:t xml:space="preserve">.1] </w:t>
      </w:r>
      <w:r w:rsidR="00561AE5" w:rsidRPr="003E2E8D">
        <w:rPr>
          <w:rFonts w:asciiTheme="majorBidi" w:hAnsiTheme="majorBidi" w:cstheme="majorBidi"/>
        </w:rPr>
        <w:t>Krimināllikuma 14.</w:t>
      </w:r>
      <w:r w:rsidR="00950182" w:rsidRPr="003E2E8D">
        <w:rPr>
          <w:rFonts w:asciiTheme="majorBidi" w:hAnsiTheme="majorBidi" w:cstheme="majorBidi"/>
        </w:rPr>
        <w:t> </w:t>
      </w:r>
      <w:r w:rsidR="00561AE5" w:rsidRPr="003E2E8D">
        <w:rPr>
          <w:rFonts w:asciiTheme="majorBidi" w:hAnsiTheme="majorBidi" w:cstheme="majorBidi"/>
        </w:rPr>
        <w:t>pants noteic: ja persona noziedzīga nodarījuma izdarīšanas laikā psihisko traucējumu vai garīgās atpalicības dēļ nav bijusi spējīga visā pilnībā saprast savu darbību vai to vadīt, tas ir, atradusies ierobežotas pieskaitāmības stāvoklī, tai atkarībā no nodarījuma konkrētajiem apstākļiem tiesa var mīkstināt piespriežamo sodu vai šo personu atbrīvot no soda (panta pirmā daļa). Personai, kura atzīta par ierobežoti pieskaitāmu, tiesa var piemērot šajā likumā noteiktos medicīniska rakstura piespiedu līdzekļus (panta otrā daļa).</w:t>
      </w:r>
    </w:p>
    <w:p w14:paraId="3214BDCE" w14:textId="623AC5F9" w:rsidR="00C11DDD" w:rsidRPr="003E2E8D" w:rsidRDefault="00C11DDD" w:rsidP="00C11DDD">
      <w:pPr>
        <w:widowControl w:val="0"/>
        <w:spacing w:line="276" w:lineRule="auto"/>
        <w:ind w:firstLine="720"/>
        <w:jc w:val="both"/>
        <w:rPr>
          <w:rFonts w:asciiTheme="majorBidi" w:hAnsiTheme="majorBidi" w:cstheme="majorBidi"/>
        </w:rPr>
      </w:pPr>
      <w:r w:rsidRPr="003E2E8D">
        <w:rPr>
          <w:rFonts w:asciiTheme="majorBidi" w:hAnsiTheme="majorBidi" w:cstheme="majorBidi"/>
        </w:rPr>
        <w:t>Krimināllikuma 68.</w:t>
      </w:r>
      <w:r w:rsidR="00950182" w:rsidRPr="003E2E8D">
        <w:rPr>
          <w:rFonts w:asciiTheme="majorBidi" w:hAnsiTheme="majorBidi" w:cstheme="majorBidi"/>
        </w:rPr>
        <w:t> </w:t>
      </w:r>
      <w:r w:rsidRPr="003E2E8D">
        <w:rPr>
          <w:rFonts w:asciiTheme="majorBidi" w:hAnsiTheme="majorBidi" w:cstheme="majorBidi"/>
        </w:rPr>
        <w:t>panta trešā daļa noteic: personām, kuras atzītas par ierobežoti pieskaitāmām, var noteikt ārstēšanu arī tai piemērotās brīvības atņemšanas vietās.</w:t>
      </w:r>
    </w:p>
    <w:p w14:paraId="0802DA0F" w14:textId="2087DADC" w:rsidR="00C11DDD" w:rsidRPr="003E2E8D" w:rsidRDefault="00C11DDD" w:rsidP="00C11DDD">
      <w:pPr>
        <w:widowControl w:val="0"/>
        <w:spacing w:line="276" w:lineRule="auto"/>
        <w:ind w:firstLine="720"/>
        <w:jc w:val="both"/>
        <w:rPr>
          <w:rFonts w:asciiTheme="majorBidi" w:hAnsiTheme="majorBidi" w:cstheme="majorBidi"/>
        </w:rPr>
      </w:pPr>
      <w:r w:rsidRPr="003E2E8D">
        <w:rPr>
          <w:rFonts w:asciiTheme="majorBidi" w:hAnsiTheme="majorBidi" w:cstheme="majorBidi"/>
        </w:rPr>
        <w:t>Krimināllikuma 70. pant</w:t>
      </w:r>
      <w:r w:rsidR="00C04D1A" w:rsidRPr="003E2E8D">
        <w:rPr>
          <w:rFonts w:asciiTheme="majorBidi" w:hAnsiTheme="majorBidi" w:cstheme="majorBidi"/>
        </w:rPr>
        <w:t>s</w:t>
      </w:r>
      <w:r w:rsidRPr="003E2E8D">
        <w:rPr>
          <w:rFonts w:asciiTheme="majorBidi" w:hAnsiTheme="majorBidi" w:cstheme="majorBidi"/>
        </w:rPr>
        <w:t xml:space="preserve"> noteic, ka medicīniska rakstura piespiedu līdzekļus var noteikt arī personām, kas izdarījušas noziedzīgus nodarījumus, būdamas ierobežotas pieskaitāmības stāvoklī. Ja šādu personu notiesā ar brīvības atņemšanu, ārstēšana notiek tai piemērotās brīvības atņemšanas vietās. Ja šādu personu notiesā bez brīvības atņemšanas, tiesa uzliek tai par pienākumu ārstēties psihiatriskajā medicīnas iestādē pēc dzīvesvietas.</w:t>
      </w:r>
    </w:p>
    <w:p w14:paraId="3F5C48BB" w14:textId="3F107A2E" w:rsidR="00706806" w:rsidRPr="003E2E8D" w:rsidRDefault="00706806" w:rsidP="00706806">
      <w:pPr>
        <w:widowControl w:val="0"/>
        <w:spacing w:line="276" w:lineRule="auto"/>
        <w:ind w:firstLine="720"/>
        <w:jc w:val="both"/>
        <w:rPr>
          <w:rFonts w:asciiTheme="majorBidi" w:hAnsiTheme="majorBidi" w:cstheme="majorBidi"/>
        </w:rPr>
      </w:pPr>
      <w:r w:rsidRPr="003E2E8D">
        <w:rPr>
          <w:rFonts w:asciiTheme="majorBidi" w:hAnsiTheme="majorBidi" w:cstheme="majorBidi"/>
        </w:rPr>
        <w:lastRenderedPageBreak/>
        <w:t xml:space="preserve">No </w:t>
      </w:r>
      <w:r w:rsidR="00CF0952" w:rsidRPr="003E2E8D">
        <w:rPr>
          <w:rFonts w:asciiTheme="majorBidi" w:hAnsiTheme="majorBidi" w:cstheme="majorBidi"/>
        </w:rPr>
        <w:t>šīm</w:t>
      </w:r>
      <w:r w:rsidRPr="003E2E8D">
        <w:rPr>
          <w:rFonts w:asciiTheme="majorBidi" w:hAnsiTheme="majorBidi" w:cstheme="majorBidi"/>
        </w:rPr>
        <w:t xml:space="preserve"> normām izriet, ka ierobežoti pieskaitāmai personai vienlaikus var noteikt gan kriminālsodu, gan medicīniska rakstura piespiedu līdzekli. </w:t>
      </w:r>
    </w:p>
    <w:p w14:paraId="239698FC" w14:textId="3C238277" w:rsidR="00CF0952" w:rsidRPr="003E2E8D" w:rsidRDefault="00706806" w:rsidP="00CF0952">
      <w:pPr>
        <w:widowControl w:val="0"/>
        <w:spacing w:line="276" w:lineRule="auto"/>
        <w:ind w:firstLine="720"/>
        <w:jc w:val="both"/>
        <w:rPr>
          <w:rFonts w:asciiTheme="majorBidi" w:hAnsiTheme="majorBidi" w:cstheme="majorBidi"/>
        </w:rPr>
      </w:pPr>
      <w:r w:rsidRPr="003E2E8D">
        <w:rPr>
          <w:rFonts w:asciiTheme="majorBidi" w:hAnsiTheme="majorBidi" w:cstheme="majorBidi"/>
        </w:rPr>
        <w:t>[4.</w:t>
      </w:r>
      <w:r w:rsidR="00F05361" w:rsidRPr="003E2E8D">
        <w:rPr>
          <w:rFonts w:asciiTheme="majorBidi" w:hAnsiTheme="majorBidi" w:cstheme="majorBidi"/>
        </w:rPr>
        <w:t>3</w:t>
      </w:r>
      <w:r w:rsidRPr="003E2E8D">
        <w:rPr>
          <w:rFonts w:asciiTheme="majorBidi" w:hAnsiTheme="majorBidi" w:cstheme="majorBidi"/>
        </w:rPr>
        <w:t xml:space="preserve">.2] </w:t>
      </w:r>
      <w:r w:rsidR="00CF0952" w:rsidRPr="003E2E8D">
        <w:rPr>
          <w:rFonts w:asciiTheme="majorBidi" w:hAnsiTheme="majorBidi" w:cstheme="majorBidi"/>
        </w:rPr>
        <w:t>Jautājums par šā līdzekļa izpildes ilgumu risināms kopsakarā ar normām, kas regulē medicīniska rakstura piespiedu līdzekļa kontroli, grozīšanu un atcelšanu.</w:t>
      </w:r>
    </w:p>
    <w:p w14:paraId="2F427832" w14:textId="77777777" w:rsidR="008C574D" w:rsidRPr="003E2E8D" w:rsidRDefault="008F3B1A" w:rsidP="008C574D">
      <w:pPr>
        <w:widowControl w:val="0"/>
        <w:spacing w:line="276" w:lineRule="auto"/>
        <w:ind w:firstLine="720"/>
        <w:jc w:val="both"/>
        <w:rPr>
          <w:rFonts w:asciiTheme="majorBidi" w:hAnsiTheme="majorBidi" w:cstheme="majorBidi"/>
        </w:rPr>
      </w:pPr>
      <w:r w:rsidRPr="003E2E8D">
        <w:rPr>
          <w:rFonts w:asciiTheme="majorBidi" w:hAnsiTheme="majorBidi" w:cstheme="majorBidi"/>
        </w:rPr>
        <w:t>M</w:t>
      </w:r>
      <w:r w:rsidR="00C37901" w:rsidRPr="003E2E8D">
        <w:rPr>
          <w:rFonts w:asciiTheme="majorBidi" w:hAnsiTheme="majorBidi" w:cstheme="majorBidi"/>
        </w:rPr>
        <w:t>edicīniska rakstura piespiedu līdzekļi netiek noteikti uz iepriekš fiksētu termiņu</w:t>
      </w:r>
      <w:r w:rsidRPr="003E2E8D">
        <w:rPr>
          <w:rFonts w:asciiTheme="majorBidi" w:hAnsiTheme="majorBidi" w:cstheme="majorBidi"/>
        </w:rPr>
        <w:t xml:space="preserve"> (sk. Krimināllikuma 68.–70. pantu)</w:t>
      </w:r>
      <w:r w:rsidR="006B14FD" w:rsidRPr="003E2E8D">
        <w:rPr>
          <w:rFonts w:asciiTheme="majorBidi" w:hAnsiTheme="majorBidi" w:cstheme="majorBidi"/>
        </w:rPr>
        <w:t xml:space="preserve">. </w:t>
      </w:r>
    </w:p>
    <w:p w14:paraId="3E3E290F" w14:textId="0F930A1B" w:rsidR="008C574D" w:rsidRPr="003E2E8D" w:rsidRDefault="008C574D" w:rsidP="008C574D">
      <w:pPr>
        <w:widowControl w:val="0"/>
        <w:spacing w:line="276" w:lineRule="auto"/>
        <w:ind w:firstLine="720"/>
        <w:jc w:val="both"/>
        <w:rPr>
          <w:rFonts w:asciiTheme="majorBidi" w:hAnsiTheme="majorBidi" w:cstheme="majorBidi"/>
        </w:rPr>
      </w:pPr>
      <w:r w:rsidRPr="003E2E8D">
        <w:rPr>
          <w:rFonts w:asciiTheme="majorBidi" w:hAnsiTheme="majorBidi" w:cstheme="majorBidi"/>
        </w:rPr>
        <w:t>Medicīniska rakstura piespiedu līdzekļu pārskatīšanas kārtību nosaka Kriminālprocesa likuma 55.</w:t>
      </w:r>
      <w:r w:rsidR="00172201">
        <w:rPr>
          <w:rFonts w:asciiTheme="majorBidi" w:hAnsiTheme="majorBidi" w:cstheme="majorBidi"/>
        </w:rPr>
        <w:t> </w:t>
      </w:r>
      <w:r w:rsidRPr="003E2E8D">
        <w:rPr>
          <w:rFonts w:asciiTheme="majorBidi" w:hAnsiTheme="majorBidi" w:cstheme="majorBidi"/>
        </w:rPr>
        <w:t xml:space="preserve">nodaļa. </w:t>
      </w:r>
      <w:r w:rsidR="006A2630">
        <w:rPr>
          <w:rFonts w:asciiTheme="majorBidi" w:hAnsiTheme="majorBidi" w:cstheme="majorBidi"/>
        </w:rPr>
        <w:t>Šīs nodaļas</w:t>
      </w:r>
      <w:r w:rsidRPr="003E2E8D">
        <w:rPr>
          <w:rFonts w:asciiTheme="majorBidi" w:hAnsiTheme="majorBidi" w:cstheme="majorBidi"/>
        </w:rPr>
        <w:t xml:space="preserve"> 607. un 608.</w:t>
      </w:r>
      <w:r w:rsidR="00172201">
        <w:rPr>
          <w:rFonts w:asciiTheme="majorBidi" w:hAnsiTheme="majorBidi" w:cstheme="majorBidi"/>
        </w:rPr>
        <w:t> </w:t>
      </w:r>
      <w:r w:rsidRPr="003E2E8D">
        <w:rPr>
          <w:rFonts w:asciiTheme="majorBidi" w:hAnsiTheme="majorBidi" w:cstheme="majorBidi"/>
        </w:rPr>
        <w:t xml:space="preserve">pantā lietotais formulējums </w:t>
      </w:r>
      <w:r w:rsidR="00172201">
        <w:rPr>
          <w:rFonts w:asciiTheme="majorBidi" w:hAnsiTheme="majorBidi" w:cstheme="majorBidi"/>
        </w:rPr>
        <w:t>„</w:t>
      </w:r>
      <w:r w:rsidRPr="003E2E8D">
        <w:rPr>
          <w:rFonts w:asciiTheme="majorBidi" w:hAnsiTheme="majorBidi" w:cstheme="majorBidi"/>
        </w:rPr>
        <w:t>persona, kurai noteikts medicīniska rakstura piespiedu līdzeklis” aptver arī ierobežoti pieskaitām</w:t>
      </w:r>
      <w:r w:rsidR="00C40DE2">
        <w:rPr>
          <w:rFonts w:asciiTheme="majorBidi" w:hAnsiTheme="majorBidi" w:cstheme="majorBidi"/>
        </w:rPr>
        <w:t>u</w:t>
      </w:r>
      <w:r w:rsidRPr="003E2E8D">
        <w:rPr>
          <w:rFonts w:asciiTheme="majorBidi" w:hAnsiTheme="majorBidi" w:cstheme="majorBidi"/>
        </w:rPr>
        <w:t xml:space="preserve"> person</w:t>
      </w:r>
      <w:r w:rsidR="00C40DE2">
        <w:rPr>
          <w:rFonts w:asciiTheme="majorBidi" w:hAnsiTheme="majorBidi" w:cstheme="majorBidi"/>
        </w:rPr>
        <w:t>u</w:t>
      </w:r>
      <w:r w:rsidRPr="003E2E8D">
        <w:rPr>
          <w:rFonts w:asciiTheme="majorBidi" w:hAnsiTheme="majorBidi" w:cstheme="majorBidi"/>
        </w:rPr>
        <w:t>.</w:t>
      </w:r>
    </w:p>
    <w:p w14:paraId="71BA0C5F" w14:textId="3950EAF2" w:rsidR="008C574D" w:rsidRPr="003E2E8D" w:rsidRDefault="008C574D" w:rsidP="008C574D">
      <w:pPr>
        <w:widowControl w:val="0"/>
        <w:spacing w:line="276" w:lineRule="auto"/>
        <w:ind w:firstLine="720"/>
        <w:jc w:val="both"/>
        <w:rPr>
          <w:rFonts w:asciiTheme="majorBidi" w:hAnsiTheme="majorBidi" w:cstheme="majorBidi"/>
        </w:rPr>
      </w:pPr>
      <w:r w:rsidRPr="003E2E8D">
        <w:rPr>
          <w:rFonts w:asciiTheme="majorBidi" w:hAnsiTheme="majorBidi" w:cstheme="majorBidi"/>
        </w:rPr>
        <w:t>Šādu interpretāciju apstiprina arī saprātīga likumdevēja pieņēmums.</w:t>
      </w:r>
    </w:p>
    <w:p w14:paraId="24754CA1" w14:textId="32B46FA9" w:rsidR="006B14FD" w:rsidRDefault="00893538" w:rsidP="006B14FD">
      <w:pPr>
        <w:widowControl w:val="0"/>
        <w:spacing w:line="276" w:lineRule="auto"/>
        <w:ind w:firstLine="720"/>
        <w:jc w:val="both"/>
        <w:rPr>
          <w:rFonts w:asciiTheme="majorBidi" w:hAnsiTheme="majorBidi" w:cstheme="majorBidi"/>
        </w:rPr>
      </w:pPr>
      <w:r w:rsidRPr="003E2E8D">
        <w:rPr>
          <w:rFonts w:asciiTheme="majorBidi" w:hAnsiTheme="majorBidi" w:cstheme="majorBidi"/>
        </w:rPr>
        <w:t>N</w:t>
      </w:r>
      <w:r w:rsidR="00DA3E94" w:rsidRPr="003E2E8D">
        <w:rPr>
          <w:rFonts w:asciiTheme="majorBidi" w:hAnsiTheme="majorBidi" w:cstheme="majorBidi"/>
        </w:rPr>
        <w:t>oskaidrojot likumdevēja gribu, tiek pieņemts, ka likumdevējs ir saprātīgs, proti, pieņemot normu, tam bijis kāds apzināts nolūks un visas normatīvā akta normas izkārtotas pareizā, loģiskā, saskanīgā un pilnīgā sistēmā (</w:t>
      </w:r>
      <w:proofErr w:type="spellStart"/>
      <w:r w:rsidR="00DA3E94" w:rsidRPr="003E2E8D">
        <w:rPr>
          <w:rFonts w:asciiTheme="majorBidi" w:hAnsiTheme="majorBidi" w:cstheme="majorBidi"/>
          <w:i/>
          <w:iCs/>
          <w:spacing w:val="-3"/>
        </w:rPr>
        <w:t>Svārupa</w:t>
      </w:r>
      <w:proofErr w:type="spellEnd"/>
      <w:r w:rsidR="00DA3E94" w:rsidRPr="003E2E8D">
        <w:rPr>
          <w:rFonts w:asciiTheme="majorBidi" w:hAnsiTheme="majorBidi" w:cstheme="majorBidi"/>
          <w:i/>
          <w:iCs/>
          <w:spacing w:val="-3"/>
        </w:rPr>
        <w:t xml:space="preserve"> D. Likumdevēja gribas nozīme un tās skaidrošana. Jurista Vārds, </w:t>
      </w:r>
      <w:r w:rsidR="00F656E4" w:rsidRPr="003E2E8D">
        <w:rPr>
          <w:rFonts w:asciiTheme="majorBidi" w:hAnsiTheme="majorBidi" w:cstheme="majorBidi"/>
          <w:i/>
          <w:iCs/>
          <w:spacing w:val="-3"/>
        </w:rPr>
        <w:t>05.09.2017.</w:t>
      </w:r>
      <w:r w:rsidR="00DA3E94" w:rsidRPr="003E2E8D">
        <w:rPr>
          <w:rFonts w:asciiTheme="majorBidi" w:hAnsiTheme="majorBidi" w:cstheme="majorBidi"/>
          <w:i/>
          <w:iCs/>
          <w:spacing w:val="-3"/>
        </w:rPr>
        <w:t>, Nr.</w:t>
      </w:r>
      <w:r w:rsidR="00F656E4" w:rsidRPr="003E2E8D">
        <w:rPr>
          <w:rFonts w:asciiTheme="majorBidi" w:hAnsiTheme="majorBidi" w:cstheme="majorBidi"/>
          <w:i/>
          <w:iCs/>
          <w:spacing w:val="-3"/>
        </w:rPr>
        <w:t> </w:t>
      </w:r>
      <w:r w:rsidR="00DA3E94" w:rsidRPr="003E2E8D">
        <w:rPr>
          <w:rFonts w:asciiTheme="majorBidi" w:hAnsiTheme="majorBidi" w:cstheme="majorBidi"/>
          <w:i/>
          <w:iCs/>
          <w:spacing w:val="-3"/>
        </w:rPr>
        <w:t>37</w:t>
      </w:r>
      <w:r w:rsidR="00F656E4" w:rsidRPr="003E2E8D">
        <w:rPr>
          <w:rFonts w:asciiTheme="majorBidi" w:hAnsiTheme="majorBidi" w:cstheme="majorBidi"/>
          <w:i/>
          <w:iCs/>
          <w:spacing w:val="-3"/>
        </w:rPr>
        <w:t>(991)</w:t>
      </w:r>
      <w:r w:rsidR="00DA3E94" w:rsidRPr="003E2E8D">
        <w:rPr>
          <w:rFonts w:asciiTheme="majorBidi" w:hAnsiTheme="majorBidi" w:cstheme="majorBidi"/>
        </w:rPr>
        <w:t>)</w:t>
      </w:r>
      <w:r w:rsidR="00677B32" w:rsidRPr="003E2E8D">
        <w:rPr>
          <w:rFonts w:asciiTheme="majorBidi" w:hAnsiTheme="majorBidi" w:cstheme="majorBidi"/>
        </w:rPr>
        <w:t xml:space="preserve">. </w:t>
      </w:r>
      <w:r w:rsidR="006B14FD" w:rsidRPr="003E2E8D">
        <w:rPr>
          <w:rFonts w:asciiTheme="majorBidi" w:hAnsiTheme="majorBidi" w:cstheme="majorBidi"/>
        </w:rPr>
        <w:t xml:space="preserve">Tādēļ nav </w:t>
      </w:r>
      <w:r w:rsidR="00706806" w:rsidRPr="003E2E8D">
        <w:rPr>
          <w:rFonts w:asciiTheme="majorBidi" w:hAnsiTheme="majorBidi" w:cstheme="majorBidi"/>
        </w:rPr>
        <w:t>pamata uzskatīt</w:t>
      </w:r>
      <w:r w:rsidR="006B14FD" w:rsidRPr="003E2E8D">
        <w:rPr>
          <w:rFonts w:asciiTheme="majorBidi" w:hAnsiTheme="majorBidi" w:cstheme="majorBidi"/>
        </w:rPr>
        <w:t>, ka likumdevējs būtu paredzējis medicīniska rakstura piespiedu līdzekļu piemērošanu ierobežoti pieskaitāmām personām, bet nebūtu noteicis to kontroles un pārskatīšanas kārtību.</w:t>
      </w:r>
    </w:p>
    <w:p w14:paraId="0B6F144B" w14:textId="5746CE66" w:rsidR="003E2E8D" w:rsidRPr="003E2E8D" w:rsidRDefault="003E2E8D" w:rsidP="003E2E8D">
      <w:pPr>
        <w:widowControl w:val="0"/>
        <w:spacing w:line="276" w:lineRule="auto"/>
        <w:ind w:firstLine="720"/>
        <w:jc w:val="both"/>
        <w:rPr>
          <w:rFonts w:asciiTheme="majorBidi" w:hAnsiTheme="majorBidi" w:cstheme="majorBidi"/>
        </w:rPr>
      </w:pPr>
      <w:r>
        <w:rPr>
          <w:rFonts w:asciiTheme="majorBidi" w:hAnsiTheme="majorBidi" w:cstheme="majorBidi"/>
        </w:rPr>
        <w:t>Turklāt p</w:t>
      </w:r>
      <w:r w:rsidRPr="003E2E8D">
        <w:rPr>
          <w:rFonts w:asciiTheme="majorBidi" w:hAnsiTheme="majorBidi" w:cstheme="majorBidi"/>
        </w:rPr>
        <w:t>retēja interpretācija novestu pie rezultāta, kas nav savienojams ar medicīniska rakstura piespiedu līdzekļu mērķi. Ja šāda līdzekļa nepieciešamība automātiski izbeigtos līdz ar brīvības atņemšanas soda izciešanu, tiktu apdraudēta gan personas ārstēšanas nepārtrauktība, gan sabiedrības aizsardzība no iespējamiem turpmākiem kaitīgiem nodarījumiem</w:t>
      </w:r>
      <w:r>
        <w:rPr>
          <w:rFonts w:asciiTheme="majorBidi" w:hAnsiTheme="majorBidi" w:cstheme="majorBidi"/>
        </w:rPr>
        <w:t>.</w:t>
      </w:r>
    </w:p>
    <w:p w14:paraId="21C581CB" w14:textId="79FDFCAE" w:rsidR="006B14FD" w:rsidRPr="003E2E8D" w:rsidRDefault="006B14FD" w:rsidP="00F656E4">
      <w:pPr>
        <w:widowControl w:val="0"/>
        <w:spacing w:line="276" w:lineRule="auto"/>
        <w:ind w:firstLine="720"/>
        <w:jc w:val="both"/>
        <w:rPr>
          <w:rFonts w:asciiTheme="majorBidi" w:hAnsiTheme="majorBidi" w:cstheme="majorBidi"/>
          <w:i/>
          <w:iCs/>
        </w:rPr>
      </w:pPr>
      <w:r w:rsidRPr="003E2E8D">
        <w:rPr>
          <w:rFonts w:asciiTheme="majorBidi" w:hAnsiTheme="majorBidi" w:cstheme="majorBidi"/>
        </w:rPr>
        <w:t>Arī tiesu prakses apkopojumā atzīts, ka tad, ja medicīniska rakstura piespiedu līdzeklis noteikts ierobežoti pieskaitāmai personai, jautājums par tā atcelšanu vai grozīšanu izlemjams Kriminālprocesa likuma 55.</w:t>
      </w:r>
      <w:r w:rsidR="00172201">
        <w:rPr>
          <w:rFonts w:asciiTheme="majorBidi" w:hAnsiTheme="majorBidi" w:cstheme="majorBidi"/>
        </w:rPr>
        <w:t> </w:t>
      </w:r>
      <w:r w:rsidRPr="003E2E8D">
        <w:rPr>
          <w:rFonts w:asciiTheme="majorBidi" w:hAnsiTheme="majorBidi" w:cstheme="majorBidi"/>
        </w:rPr>
        <w:t>nodaļā paredzētajā kārtībā (</w:t>
      </w:r>
      <w:r w:rsidR="00F656E4" w:rsidRPr="003E2E8D">
        <w:rPr>
          <w:rFonts w:asciiTheme="majorBidi" w:hAnsiTheme="majorBidi" w:cstheme="majorBidi"/>
          <w:i/>
          <w:iCs/>
        </w:rPr>
        <w:t>Augstākās tiesas</w:t>
      </w:r>
      <w:r w:rsidR="00F656E4" w:rsidRPr="003E2E8D">
        <w:rPr>
          <w:rFonts w:asciiTheme="majorBidi" w:hAnsiTheme="majorBidi" w:cstheme="majorBidi"/>
        </w:rPr>
        <w:t xml:space="preserve"> </w:t>
      </w:r>
      <w:r w:rsidRPr="003E2E8D">
        <w:rPr>
          <w:rFonts w:asciiTheme="majorBidi" w:hAnsiTheme="majorBidi" w:cstheme="majorBidi"/>
          <w:i/>
          <w:iCs/>
        </w:rPr>
        <w:t>tiesu prakses apkopojums „Tiesu prakse kriminālprocesā, nosakot medicīniska rakstura piespiedu līdzekļus”, 2012, secinājumu un rekomendāciju 19.</w:t>
      </w:r>
      <w:r w:rsidR="00172201">
        <w:rPr>
          <w:rFonts w:asciiTheme="majorBidi" w:hAnsiTheme="majorBidi" w:cstheme="majorBidi"/>
          <w:i/>
          <w:iCs/>
        </w:rPr>
        <w:t> </w:t>
      </w:r>
      <w:r w:rsidRPr="003E2E8D">
        <w:rPr>
          <w:rFonts w:asciiTheme="majorBidi" w:hAnsiTheme="majorBidi" w:cstheme="majorBidi"/>
          <w:i/>
          <w:iCs/>
        </w:rPr>
        <w:t>punkts</w:t>
      </w:r>
      <w:r w:rsidR="00F656E4" w:rsidRPr="003E2E8D">
        <w:rPr>
          <w:rFonts w:asciiTheme="majorBidi" w:hAnsiTheme="majorBidi" w:cstheme="majorBidi"/>
          <w:i/>
          <w:iCs/>
        </w:rPr>
        <w:t xml:space="preserve">, pieejams: </w:t>
      </w:r>
      <w:hyperlink r:id="rId9" w:history="1">
        <w:r w:rsidR="00F656E4" w:rsidRPr="003E2E8D">
          <w:rPr>
            <w:rStyle w:val="Hyperlink"/>
            <w:rFonts w:asciiTheme="majorBidi" w:hAnsiTheme="majorBidi" w:cstheme="majorBidi"/>
            <w:i/>
            <w:iCs/>
            <w:color w:val="auto"/>
          </w:rPr>
          <w:t>https://www.at.gov.lv/files/uploads/files/dokumenti/mrpl-tiesu%20prakse.doc</w:t>
        </w:r>
      </w:hyperlink>
      <w:r w:rsidR="00F656E4" w:rsidRPr="003E2E8D">
        <w:rPr>
          <w:rFonts w:asciiTheme="majorBidi" w:hAnsiTheme="majorBidi" w:cstheme="majorBidi"/>
        </w:rPr>
        <w:t>)</w:t>
      </w:r>
      <w:r w:rsidR="00CF0952" w:rsidRPr="003E2E8D">
        <w:rPr>
          <w:rFonts w:asciiTheme="majorBidi" w:hAnsiTheme="majorBidi" w:cstheme="majorBidi"/>
        </w:rPr>
        <w:t>.</w:t>
      </w:r>
    </w:p>
    <w:p w14:paraId="60626C47" w14:textId="2C60348E" w:rsidR="00B44871" w:rsidRPr="003E2E8D" w:rsidRDefault="006B14FD" w:rsidP="006B14FD">
      <w:pPr>
        <w:widowControl w:val="0"/>
        <w:spacing w:line="276" w:lineRule="auto"/>
        <w:ind w:firstLine="720"/>
        <w:jc w:val="both"/>
        <w:rPr>
          <w:rFonts w:asciiTheme="majorBidi" w:hAnsiTheme="majorBidi" w:cstheme="majorBidi"/>
        </w:rPr>
      </w:pPr>
      <w:r w:rsidRPr="003E2E8D">
        <w:rPr>
          <w:rFonts w:asciiTheme="majorBidi" w:hAnsiTheme="majorBidi" w:cstheme="majorBidi"/>
        </w:rPr>
        <w:t>Visbeidzot arī</w:t>
      </w:r>
      <w:r w:rsidRPr="003E2E8D">
        <w:rPr>
          <w:rFonts w:asciiTheme="majorBidi" w:hAnsiTheme="majorBidi" w:cstheme="majorBidi"/>
          <w:b/>
          <w:bCs/>
        </w:rPr>
        <w:t xml:space="preserve"> </w:t>
      </w:r>
      <w:r w:rsidR="00B44871" w:rsidRPr="003E2E8D">
        <w:rPr>
          <w:rFonts w:asciiTheme="majorBidi" w:hAnsiTheme="majorBidi" w:cstheme="majorBidi"/>
          <w:lang w:eastAsia="lv-LV"/>
        </w:rPr>
        <w:t>Senāta judikatūrā atzīts, ka</w:t>
      </w:r>
      <w:r w:rsidR="00CF0952" w:rsidRPr="003E2E8D">
        <w:rPr>
          <w:rFonts w:asciiTheme="majorBidi" w:hAnsiTheme="majorBidi" w:cstheme="majorBidi"/>
          <w:lang w:eastAsia="lv-LV"/>
        </w:rPr>
        <w:t xml:space="preserve">, </w:t>
      </w:r>
      <w:r w:rsidR="00B44871" w:rsidRPr="003E2E8D">
        <w:rPr>
          <w:rFonts w:asciiTheme="majorBidi" w:hAnsiTheme="majorBidi" w:cstheme="majorBidi"/>
          <w:lang w:eastAsia="lv-LV"/>
        </w:rPr>
        <w:t>tulkojot Kriminālprocesa likuma 607. panta pirmo daļu kopā ar Krimināllikuma 69. panta pirmo un otro daļu, secināms, ka medicīniska rakstura piespiedu līdzekļa atcelšanas pamati ir divi: 1)</w:t>
      </w:r>
      <w:r w:rsidR="00172201">
        <w:rPr>
          <w:rFonts w:asciiTheme="majorBidi" w:hAnsiTheme="majorBidi" w:cstheme="majorBidi"/>
          <w:lang w:eastAsia="lv-LV"/>
        </w:rPr>
        <w:t> </w:t>
      </w:r>
      <w:r w:rsidR="00B44871" w:rsidRPr="003E2E8D">
        <w:rPr>
          <w:rFonts w:asciiTheme="majorBidi" w:hAnsiTheme="majorBidi" w:cstheme="majorBidi"/>
          <w:lang w:eastAsia="lv-LV"/>
        </w:rPr>
        <w:t>persona ir izveseļojusies; 2)</w:t>
      </w:r>
      <w:r w:rsidR="00172201">
        <w:rPr>
          <w:rFonts w:asciiTheme="majorBidi" w:hAnsiTheme="majorBidi" w:cstheme="majorBidi"/>
          <w:lang w:eastAsia="lv-LV"/>
        </w:rPr>
        <w:t> </w:t>
      </w:r>
      <w:r w:rsidR="00B44871" w:rsidRPr="003E2E8D">
        <w:rPr>
          <w:rFonts w:asciiTheme="majorBidi" w:hAnsiTheme="majorBidi" w:cstheme="majorBidi"/>
          <w:lang w:eastAsia="lv-LV"/>
        </w:rPr>
        <w:t xml:space="preserve">veselības stāvoklis citādi mainījies tiktāl, ka tā vairs nav bīstama sabiedrībai </w:t>
      </w:r>
      <w:r w:rsidR="00B44871" w:rsidRPr="003E2E8D">
        <w:rPr>
          <w:rFonts w:asciiTheme="majorBidi" w:hAnsiTheme="majorBidi" w:cstheme="majorBidi"/>
        </w:rPr>
        <w:t>(</w:t>
      </w:r>
      <w:r w:rsidR="00B44871" w:rsidRPr="003E2E8D">
        <w:rPr>
          <w:rFonts w:asciiTheme="majorBidi" w:hAnsiTheme="majorBidi" w:cstheme="majorBidi"/>
          <w:i/>
          <w:iCs/>
        </w:rPr>
        <w:t>Senāta 2017. gada lēmuma lietā Nr. </w:t>
      </w:r>
      <w:hyperlink r:id="rId10" w:history="1">
        <w:r w:rsidR="00B44871" w:rsidRPr="003E2E8D">
          <w:rPr>
            <w:rStyle w:val="Hyperlink"/>
            <w:rFonts w:asciiTheme="majorBidi" w:hAnsiTheme="majorBidi" w:cstheme="majorBidi"/>
            <w:i/>
            <w:iCs/>
            <w:color w:val="auto"/>
          </w:rPr>
          <w:t>SKK-[D]/2017</w:t>
        </w:r>
      </w:hyperlink>
      <w:r w:rsidR="00B44871" w:rsidRPr="003E2E8D">
        <w:rPr>
          <w:rFonts w:asciiTheme="majorBidi" w:hAnsiTheme="majorBidi" w:cstheme="majorBidi"/>
          <w:i/>
          <w:iCs/>
        </w:rPr>
        <w:t xml:space="preserve"> 7. punkts. </w:t>
      </w:r>
      <w:r w:rsidR="00B44871" w:rsidRPr="00172201">
        <w:rPr>
          <w:rFonts w:asciiTheme="majorBidi" w:hAnsiTheme="majorBidi" w:cstheme="majorBidi"/>
        </w:rPr>
        <w:t>Slēgtas lietas statuss. Pieejams Augstākās tiesas tīmekļvietnē</w:t>
      </w:r>
      <w:r w:rsidR="00B44871" w:rsidRPr="003E2E8D">
        <w:rPr>
          <w:rFonts w:asciiTheme="majorBidi" w:hAnsiTheme="majorBidi" w:cstheme="majorBidi"/>
        </w:rPr>
        <w:t>).</w:t>
      </w:r>
    </w:p>
    <w:p w14:paraId="3B7DED17" w14:textId="1957A56C" w:rsidR="00CF0952" w:rsidRDefault="00F3150F" w:rsidP="00CF0952">
      <w:pPr>
        <w:widowControl w:val="0"/>
        <w:spacing w:line="276" w:lineRule="auto"/>
        <w:ind w:firstLine="720"/>
        <w:jc w:val="both"/>
        <w:rPr>
          <w:rFonts w:asciiTheme="majorBidi" w:hAnsiTheme="majorBidi" w:cstheme="majorBidi"/>
        </w:rPr>
      </w:pPr>
      <w:r w:rsidRPr="003E2E8D">
        <w:rPr>
          <w:rFonts w:asciiTheme="majorBidi" w:hAnsiTheme="majorBidi" w:cstheme="majorBidi"/>
        </w:rPr>
        <w:t>N</w:t>
      </w:r>
      <w:r w:rsidR="0020113A" w:rsidRPr="003E2E8D">
        <w:rPr>
          <w:rFonts w:asciiTheme="majorBidi" w:hAnsiTheme="majorBidi" w:cstheme="majorBidi"/>
        </w:rPr>
        <w:t>o minēt</w:t>
      </w:r>
      <w:r w:rsidRPr="003E2E8D">
        <w:rPr>
          <w:rFonts w:asciiTheme="majorBidi" w:hAnsiTheme="majorBidi" w:cstheme="majorBidi"/>
        </w:rPr>
        <w:t xml:space="preserve">ā izriet, ka </w:t>
      </w:r>
      <w:r w:rsidR="0020113A" w:rsidRPr="003E2E8D">
        <w:rPr>
          <w:rFonts w:asciiTheme="majorBidi" w:hAnsiTheme="majorBidi" w:cstheme="majorBidi"/>
        </w:rPr>
        <w:t>ambulator</w:t>
      </w:r>
      <w:r w:rsidR="003824D7" w:rsidRPr="003E2E8D">
        <w:rPr>
          <w:rFonts w:asciiTheme="majorBidi" w:hAnsiTheme="majorBidi" w:cstheme="majorBidi"/>
        </w:rPr>
        <w:t>ā</w:t>
      </w:r>
      <w:r w:rsidR="0020113A" w:rsidRPr="003E2E8D">
        <w:rPr>
          <w:rFonts w:asciiTheme="majorBidi" w:hAnsiTheme="majorBidi" w:cstheme="majorBidi"/>
        </w:rPr>
        <w:t>s ārstēšanas izpilde nebeidzas automātiski līdz ar brīvības atņemšanas izciešanu, bet turpinās līdz brīdim, kad likumā noteiktajā kārtībā tiek pieņemts nolēmums par tās grozīšanu vai atcelšanu.</w:t>
      </w:r>
    </w:p>
    <w:p w14:paraId="557CC49E" w14:textId="0982D5A5" w:rsidR="00CF0952" w:rsidRPr="003E2E8D" w:rsidRDefault="00CF0952" w:rsidP="00CF0952">
      <w:pPr>
        <w:widowControl w:val="0"/>
        <w:spacing w:line="276" w:lineRule="auto"/>
        <w:ind w:firstLine="720"/>
        <w:jc w:val="both"/>
        <w:rPr>
          <w:rFonts w:asciiTheme="majorBidi" w:hAnsiTheme="majorBidi" w:cstheme="majorBidi"/>
        </w:rPr>
      </w:pPr>
      <w:r w:rsidRPr="003E2E8D">
        <w:rPr>
          <w:rFonts w:asciiTheme="majorBidi" w:hAnsiTheme="majorBidi" w:cstheme="majorBidi"/>
        </w:rPr>
        <w:t>Ja pēc brīvības atņemšanas soda izciešanas nepieciešams lemt par ārstniecības iestādi, kurā personai turpmāk izpildāms noteiktais medicīniska rakstura piespiedu līdzeklis, jāņem vērā, ka ārstēšanos citā ārstniecības iestādē drīkst uzsākt tikai uz jauna tiesas nolēmuma pamata (Ārstniecības likuma 69.</w:t>
      </w:r>
      <w:r w:rsidRPr="003E2E8D">
        <w:rPr>
          <w:rFonts w:asciiTheme="majorBidi" w:hAnsiTheme="majorBidi" w:cstheme="majorBidi"/>
          <w:vertAlign w:val="superscript"/>
        </w:rPr>
        <w:t>3</w:t>
      </w:r>
      <w:r w:rsidR="00172201">
        <w:rPr>
          <w:rFonts w:asciiTheme="majorBidi" w:hAnsiTheme="majorBidi" w:cstheme="majorBidi"/>
        </w:rPr>
        <w:t> </w:t>
      </w:r>
      <w:r w:rsidRPr="003E2E8D">
        <w:rPr>
          <w:rFonts w:asciiTheme="majorBidi" w:hAnsiTheme="majorBidi" w:cstheme="majorBidi"/>
        </w:rPr>
        <w:t>pants). Šis jautājums izlemjams Kriminālprocesa likuma 650. un 651.</w:t>
      </w:r>
      <w:r w:rsidR="00172201">
        <w:rPr>
          <w:rFonts w:asciiTheme="majorBidi" w:hAnsiTheme="majorBidi" w:cstheme="majorBidi"/>
        </w:rPr>
        <w:t> </w:t>
      </w:r>
      <w:r w:rsidRPr="003E2E8D">
        <w:rPr>
          <w:rFonts w:asciiTheme="majorBidi" w:hAnsiTheme="majorBidi" w:cstheme="majorBidi"/>
        </w:rPr>
        <w:t>pantā noteiktajā kārtībā.</w:t>
      </w:r>
    </w:p>
    <w:p w14:paraId="7DB386BD" w14:textId="61D451E0" w:rsidR="003065F9" w:rsidRPr="003E2E8D" w:rsidRDefault="005E0FFD" w:rsidP="00CF0952">
      <w:pPr>
        <w:widowControl w:val="0"/>
        <w:spacing w:line="276" w:lineRule="auto"/>
        <w:ind w:firstLine="720"/>
        <w:jc w:val="both"/>
        <w:rPr>
          <w:rFonts w:asciiTheme="majorBidi" w:hAnsiTheme="majorBidi" w:cstheme="majorBidi"/>
        </w:rPr>
      </w:pPr>
      <w:r w:rsidRPr="003E2E8D">
        <w:rPr>
          <w:rFonts w:asciiTheme="majorBidi" w:hAnsiTheme="majorBidi" w:cstheme="majorBidi"/>
        </w:rPr>
        <w:lastRenderedPageBreak/>
        <w:t>[4.</w:t>
      </w:r>
      <w:r w:rsidR="00F05361" w:rsidRPr="003E2E8D">
        <w:rPr>
          <w:rFonts w:asciiTheme="majorBidi" w:hAnsiTheme="majorBidi" w:cstheme="majorBidi"/>
        </w:rPr>
        <w:t>4</w:t>
      </w:r>
      <w:r w:rsidRPr="003E2E8D">
        <w:rPr>
          <w:rFonts w:asciiTheme="majorBidi" w:hAnsiTheme="majorBidi" w:cstheme="majorBidi"/>
        </w:rPr>
        <w:t xml:space="preserve">] </w:t>
      </w:r>
      <w:r w:rsidR="00095489" w:rsidRPr="003E2E8D">
        <w:rPr>
          <w:rFonts w:asciiTheme="majorBidi" w:hAnsiTheme="majorBidi" w:cstheme="majorBidi"/>
        </w:rPr>
        <w:t>Apkopojot minēto, Senāts atzīst, ka personai, kura noziedzīgu nodarījumu izdarījusi ierobežotas pieskaitāmības stāvoklī un kurai par to noteikta brīvības atņemšana, tiesa ir tiesīga vienlaikus noteikt</w:t>
      </w:r>
      <w:r w:rsidR="00CF0952" w:rsidRPr="003E2E8D">
        <w:rPr>
          <w:rFonts w:asciiTheme="majorBidi" w:hAnsiTheme="majorBidi" w:cstheme="majorBidi"/>
        </w:rPr>
        <w:t xml:space="preserve"> medicīniska rakstura piespiedu līdzekli – ambulatoru ārstēšanu medicīnas iestādē. Šā līdzekļa izpilde, ja nav pamata to grozīt vai atcelt, var turpināties arī pēc brīvības atņemšanas izciešanas.</w:t>
      </w:r>
    </w:p>
    <w:p w14:paraId="4EBD2684" w14:textId="61EC9BE6" w:rsidR="009E0F3F" w:rsidRPr="003E2E8D" w:rsidRDefault="00CF0952" w:rsidP="009E0F3F">
      <w:pPr>
        <w:widowControl w:val="0"/>
        <w:spacing w:line="276" w:lineRule="auto"/>
        <w:ind w:firstLine="720"/>
        <w:jc w:val="both"/>
        <w:rPr>
          <w:rFonts w:asciiTheme="majorBidi" w:hAnsiTheme="majorBidi" w:cstheme="majorBidi"/>
        </w:rPr>
      </w:pPr>
      <w:r w:rsidRPr="003E2E8D">
        <w:rPr>
          <w:rFonts w:asciiTheme="majorBidi" w:hAnsiTheme="majorBidi" w:cstheme="majorBidi"/>
        </w:rPr>
        <w:t>A</w:t>
      </w:r>
      <w:r w:rsidR="00095489" w:rsidRPr="003E2E8D">
        <w:rPr>
          <w:rFonts w:asciiTheme="majorBidi" w:hAnsiTheme="majorBidi" w:cstheme="majorBidi"/>
        </w:rPr>
        <w:t>pelācijas instances tiesa, nepareizi noskaidrojot Krimināllikuma 14.</w:t>
      </w:r>
      <w:r w:rsidR="00172201">
        <w:rPr>
          <w:rFonts w:asciiTheme="majorBidi" w:hAnsiTheme="majorBidi" w:cstheme="majorBidi"/>
        </w:rPr>
        <w:t> </w:t>
      </w:r>
      <w:r w:rsidR="00095489" w:rsidRPr="003E2E8D">
        <w:rPr>
          <w:rFonts w:asciiTheme="majorBidi" w:hAnsiTheme="majorBidi" w:cstheme="majorBidi"/>
        </w:rPr>
        <w:t>panta otrās daļas, 68.</w:t>
      </w:r>
      <w:r w:rsidR="00172201">
        <w:rPr>
          <w:rFonts w:asciiTheme="majorBidi" w:hAnsiTheme="majorBidi" w:cstheme="majorBidi"/>
        </w:rPr>
        <w:t> </w:t>
      </w:r>
      <w:r w:rsidR="00095489" w:rsidRPr="003E2E8D">
        <w:rPr>
          <w:rFonts w:asciiTheme="majorBidi" w:hAnsiTheme="majorBidi" w:cstheme="majorBidi"/>
        </w:rPr>
        <w:t>panta trešās daļas un 70.</w:t>
      </w:r>
      <w:r w:rsidR="00172201">
        <w:rPr>
          <w:rFonts w:asciiTheme="majorBidi" w:hAnsiTheme="majorBidi" w:cstheme="majorBidi"/>
        </w:rPr>
        <w:t> </w:t>
      </w:r>
      <w:r w:rsidR="00095489" w:rsidRPr="003E2E8D">
        <w:rPr>
          <w:rFonts w:asciiTheme="majorBidi" w:hAnsiTheme="majorBidi" w:cstheme="majorBidi"/>
        </w:rPr>
        <w:t>panta saturu kopsakarā ar Kriminālprocesa likuma 25.</w:t>
      </w:r>
      <w:r w:rsidR="009E0F3F">
        <w:rPr>
          <w:rFonts w:asciiTheme="majorBidi" w:hAnsiTheme="majorBidi" w:cstheme="majorBidi"/>
        </w:rPr>
        <w:t> </w:t>
      </w:r>
      <w:r w:rsidR="00095489" w:rsidRPr="003E2E8D">
        <w:rPr>
          <w:rFonts w:asciiTheme="majorBidi" w:hAnsiTheme="majorBidi" w:cstheme="majorBidi"/>
        </w:rPr>
        <w:t>panta pirmo daļu, 607. un 608.</w:t>
      </w:r>
      <w:r w:rsidR="00172201">
        <w:rPr>
          <w:rFonts w:asciiTheme="majorBidi" w:hAnsiTheme="majorBidi" w:cstheme="majorBidi"/>
        </w:rPr>
        <w:t> </w:t>
      </w:r>
      <w:r w:rsidR="00095489" w:rsidRPr="003E2E8D">
        <w:rPr>
          <w:rFonts w:asciiTheme="majorBidi" w:hAnsiTheme="majorBidi" w:cstheme="majorBidi"/>
        </w:rPr>
        <w:t>pantu</w:t>
      </w:r>
      <w:r w:rsidR="009E0F3F" w:rsidRPr="009E0F3F">
        <w:rPr>
          <w:rFonts w:asciiTheme="majorBidi" w:hAnsiTheme="majorBidi" w:cstheme="majorBidi"/>
        </w:rPr>
        <w:t>, ir nepareizi piemērojusi materiālo un procesuālo tiesību normas, un tas novedis pie nelikumīga nolēmuma.</w:t>
      </w:r>
    </w:p>
    <w:p w14:paraId="05D502FA" w14:textId="7D69C1E7" w:rsidR="003065F9" w:rsidRPr="003E2E8D" w:rsidRDefault="003065F9" w:rsidP="003065F9">
      <w:pPr>
        <w:widowControl w:val="0"/>
        <w:spacing w:line="276" w:lineRule="auto"/>
        <w:ind w:firstLine="720"/>
        <w:jc w:val="both"/>
        <w:rPr>
          <w:rFonts w:asciiTheme="majorBidi" w:hAnsiTheme="majorBidi" w:cstheme="majorBidi"/>
        </w:rPr>
      </w:pPr>
      <w:r w:rsidRPr="003E2E8D">
        <w:rPr>
          <w:rFonts w:asciiTheme="majorBidi" w:hAnsiTheme="majorBidi" w:cstheme="majorBidi"/>
        </w:rPr>
        <w:t>Ievērojot minēto</w:t>
      </w:r>
      <w:r w:rsidR="00671A5B" w:rsidRPr="003E2E8D">
        <w:rPr>
          <w:rFonts w:asciiTheme="majorBidi" w:hAnsiTheme="majorBidi" w:cstheme="majorBidi"/>
        </w:rPr>
        <w:t>,</w:t>
      </w:r>
      <w:r w:rsidRPr="003E2E8D">
        <w:rPr>
          <w:rFonts w:asciiTheme="majorBidi" w:hAnsiTheme="majorBidi" w:cstheme="majorBidi"/>
        </w:rPr>
        <w:t xml:space="preserve"> apelācijas instances tiesas lēmums atceļams daļā</w:t>
      </w:r>
      <w:r w:rsidR="002C737B" w:rsidRPr="003E2E8D">
        <w:rPr>
          <w:rFonts w:asciiTheme="majorBidi" w:hAnsiTheme="majorBidi" w:cstheme="majorBidi"/>
        </w:rPr>
        <w:t xml:space="preserve">, ar kuru </w:t>
      </w:r>
      <w:r w:rsidR="009E0F3F">
        <w:rPr>
          <w:rFonts w:asciiTheme="majorBidi" w:hAnsiTheme="majorBidi" w:cstheme="majorBidi"/>
        </w:rPr>
        <w:t>tā atcēlusi</w:t>
      </w:r>
      <w:r w:rsidR="002C737B" w:rsidRPr="003E2E8D">
        <w:rPr>
          <w:rFonts w:asciiTheme="majorBidi" w:hAnsiTheme="majorBidi" w:cstheme="majorBidi"/>
        </w:rPr>
        <w:t xml:space="preserve"> pirmās instances tiesas spriedum</w:t>
      </w:r>
      <w:r w:rsidR="009E0F3F">
        <w:rPr>
          <w:rFonts w:asciiTheme="majorBidi" w:hAnsiTheme="majorBidi" w:cstheme="majorBidi"/>
        </w:rPr>
        <w:t>u</w:t>
      </w:r>
      <w:r w:rsidRPr="003E2E8D">
        <w:rPr>
          <w:rFonts w:asciiTheme="majorBidi" w:hAnsiTheme="majorBidi" w:cstheme="majorBidi"/>
        </w:rPr>
        <w:t xml:space="preserve"> par </w:t>
      </w:r>
      <w:r w:rsidR="00D42F29">
        <w:rPr>
          <w:rFonts w:asciiTheme="majorBidi" w:hAnsiTheme="majorBidi" w:cstheme="majorBidi"/>
        </w:rPr>
        <w:t>[pers. A]</w:t>
      </w:r>
      <w:r w:rsidRPr="003E2E8D">
        <w:rPr>
          <w:rFonts w:asciiTheme="majorBidi" w:hAnsiTheme="majorBidi" w:cstheme="majorBidi"/>
        </w:rPr>
        <w:t xml:space="preserve"> noteikt</w:t>
      </w:r>
      <w:r w:rsidR="002C737B" w:rsidRPr="003E2E8D">
        <w:rPr>
          <w:rFonts w:asciiTheme="majorBidi" w:hAnsiTheme="majorBidi" w:cstheme="majorBidi"/>
        </w:rPr>
        <w:t>o</w:t>
      </w:r>
      <w:r w:rsidRPr="003E2E8D">
        <w:rPr>
          <w:rFonts w:asciiTheme="majorBidi" w:hAnsiTheme="majorBidi" w:cstheme="majorBidi"/>
        </w:rPr>
        <w:t xml:space="preserve"> medicīniska rakstura piespiedu līdzek</w:t>
      </w:r>
      <w:r w:rsidR="002C737B" w:rsidRPr="003E2E8D">
        <w:rPr>
          <w:rFonts w:asciiTheme="majorBidi" w:hAnsiTheme="majorBidi" w:cstheme="majorBidi"/>
        </w:rPr>
        <w:t>li</w:t>
      </w:r>
      <w:r w:rsidR="00CF0952" w:rsidRPr="003E2E8D">
        <w:rPr>
          <w:rFonts w:asciiTheme="majorBidi" w:hAnsiTheme="majorBidi" w:cstheme="majorBidi"/>
        </w:rPr>
        <w:t>,</w:t>
      </w:r>
      <w:r w:rsidR="002C737B" w:rsidRPr="003E2E8D">
        <w:rPr>
          <w:rFonts w:asciiTheme="majorBidi" w:hAnsiTheme="majorBidi" w:cstheme="majorBidi"/>
        </w:rPr>
        <w:t xml:space="preserve"> </w:t>
      </w:r>
      <w:r w:rsidRPr="003E2E8D">
        <w:rPr>
          <w:rFonts w:asciiTheme="majorBidi" w:hAnsiTheme="majorBidi" w:cstheme="majorBidi"/>
        </w:rPr>
        <w:t xml:space="preserve">un lieta </w:t>
      </w:r>
      <w:r w:rsidR="007C78B0" w:rsidRPr="003E2E8D">
        <w:rPr>
          <w:rFonts w:asciiTheme="majorBidi" w:hAnsiTheme="majorBidi" w:cstheme="majorBidi"/>
        </w:rPr>
        <w:t>šajā</w:t>
      </w:r>
      <w:r w:rsidRPr="003E2E8D">
        <w:rPr>
          <w:rFonts w:asciiTheme="majorBidi" w:hAnsiTheme="majorBidi" w:cstheme="majorBidi"/>
        </w:rPr>
        <w:t xml:space="preserve"> daļā nosūtāma jaunai izskatīšanai apelācijas instances tiesā</w:t>
      </w:r>
      <w:r w:rsidR="00385E30" w:rsidRPr="003E2E8D">
        <w:rPr>
          <w:rFonts w:asciiTheme="majorBidi" w:hAnsiTheme="majorBidi" w:cstheme="majorBidi"/>
        </w:rPr>
        <w:t>.</w:t>
      </w:r>
    </w:p>
    <w:p w14:paraId="166009E4" w14:textId="6E8C0B09" w:rsidR="00415764" w:rsidRPr="00EE4944" w:rsidRDefault="00415764" w:rsidP="00EE4944">
      <w:pPr>
        <w:widowControl w:val="0"/>
        <w:spacing w:line="276" w:lineRule="auto"/>
        <w:ind w:firstLine="720"/>
        <w:jc w:val="both"/>
        <w:rPr>
          <w:rFonts w:asciiTheme="majorBidi" w:hAnsiTheme="majorBidi" w:cstheme="majorBidi"/>
          <w:highlight w:val="yellow"/>
        </w:rPr>
      </w:pPr>
      <w:r w:rsidRPr="00EE4944">
        <w:rPr>
          <w:rFonts w:asciiTheme="majorBidi" w:hAnsiTheme="majorBidi" w:cstheme="majorBidi"/>
        </w:rPr>
        <w:t>[4.</w:t>
      </w:r>
      <w:r w:rsidR="003824D7" w:rsidRPr="00EE4944">
        <w:rPr>
          <w:rFonts w:asciiTheme="majorBidi" w:hAnsiTheme="majorBidi" w:cstheme="majorBidi"/>
        </w:rPr>
        <w:t>5</w:t>
      </w:r>
      <w:r w:rsidRPr="00EE4944">
        <w:rPr>
          <w:rFonts w:asciiTheme="majorBidi" w:hAnsiTheme="majorBidi" w:cstheme="majorBidi"/>
        </w:rPr>
        <w:t xml:space="preserve">] </w:t>
      </w:r>
      <w:r w:rsidR="00B07A08" w:rsidRPr="00EE4944">
        <w:rPr>
          <w:rFonts w:asciiTheme="majorBidi" w:hAnsiTheme="majorBidi" w:cstheme="majorBidi"/>
        </w:rPr>
        <w:t>Papildus Senāts norāda, ka</w:t>
      </w:r>
      <w:r w:rsidR="006E7BAF" w:rsidRPr="00EE4944">
        <w:rPr>
          <w:rFonts w:asciiTheme="majorBidi" w:hAnsiTheme="majorBidi" w:cstheme="majorBidi"/>
        </w:rPr>
        <w:t xml:space="preserve"> </w:t>
      </w:r>
      <w:r w:rsidR="00C612D1" w:rsidRPr="00EE4944">
        <w:rPr>
          <w:rFonts w:asciiTheme="majorBidi" w:hAnsiTheme="majorBidi" w:cstheme="majorBidi"/>
        </w:rPr>
        <w:t>iespējam</w:t>
      </w:r>
      <w:r w:rsidR="00C612D1">
        <w:rPr>
          <w:rFonts w:asciiTheme="majorBidi" w:hAnsiTheme="majorBidi" w:cstheme="majorBidi"/>
        </w:rPr>
        <w:t>ā</w:t>
      </w:r>
      <w:r w:rsidR="00C612D1" w:rsidRPr="00EE4944">
        <w:rPr>
          <w:rFonts w:asciiTheme="majorBidi" w:hAnsiTheme="majorBidi" w:cstheme="majorBidi"/>
        </w:rPr>
        <w:t xml:space="preserve"> neprecizitāte </w:t>
      </w:r>
      <w:r w:rsidR="006E7BAF" w:rsidRPr="00EE4944">
        <w:rPr>
          <w:rFonts w:asciiTheme="majorBidi" w:hAnsiTheme="majorBidi" w:cstheme="majorBidi"/>
        </w:rPr>
        <w:t xml:space="preserve">pirmās instances tiesas </w:t>
      </w:r>
      <w:r w:rsidR="00EE4944" w:rsidRPr="00EE4944">
        <w:rPr>
          <w:rFonts w:asciiTheme="majorBidi" w:hAnsiTheme="majorBidi" w:cstheme="majorBidi"/>
        </w:rPr>
        <w:t>spriedumā</w:t>
      </w:r>
      <w:r w:rsidR="006E7BAF" w:rsidRPr="00EE4944">
        <w:rPr>
          <w:rFonts w:asciiTheme="majorBidi" w:hAnsiTheme="majorBidi" w:cstheme="majorBidi"/>
        </w:rPr>
        <w:t xml:space="preserve">, norādot </w:t>
      </w:r>
      <w:r w:rsidRPr="00EE4944">
        <w:rPr>
          <w:rFonts w:asciiTheme="majorBidi" w:hAnsiTheme="majorBidi" w:cstheme="majorBidi"/>
        </w:rPr>
        <w:t xml:space="preserve">nepareizu </w:t>
      </w:r>
      <w:r w:rsidR="006E7BAF" w:rsidRPr="00EE4944">
        <w:rPr>
          <w:rFonts w:asciiTheme="majorBidi" w:hAnsiTheme="majorBidi" w:cstheme="majorBidi"/>
        </w:rPr>
        <w:t>piemērojamo tiesību normu, pati par sevi nevarēja būt pamats medicīniska rakstura piespiedu līdzekļa atcelšanai</w:t>
      </w:r>
      <w:r w:rsidR="00EE4944" w:rsidRPr="00EE4944">
        <w:rPr>
          <w:rFonts w:asciiTheme="majorBidi" w:hAnsiTheme="majorBidi" w:cstheme="majorBidi"/>
        </w:rPr>
        <w:t>.</w:t>
      </w:r>
    </w:p>
    <w:p w14:paraId="7F0BE02B" w14:textId="38280D1F" w:rsidR="00EE4944" w:rsidRPr="00EE4944" w:rsidRDefault="00EE4944" w:rsidP="00EE4944">
      <w:pPr>
        <w:widowControl w:val="0"/>
        <w:spacing w:line="276" w:lineRule="auto"/>
        <w:ind w:firstLine="720"/>
        <w:jc w:val="both"/>
        <w:rPr>
          <w:rFonts w:asciiTheme="majorBidi" w:hAnsiTheme="majorBidi" w:cstheme="majorBidi"/>
        </w:rPr>
      </w:pPr>
      <w:r w:rsidRPr="00EE4944">
        <w:rPr>
          <w:rFonts w:asciiTheme="majorBidi" w:hAnsiTheme="majorBidi" w:cstheme="majorBidi"/>
        </w:rPr>
        <w:t>Atbilstoši Kriminālprocesa likuma 564.</w:t>
      </w:r>
      <w:r w:rsidR="00172201">
        <w:rPr>
          <w:rFonts w:asciiTheme="majorBidi" w:hAnsiTheme="majorBidi" w:cstheme="majorBidi"/>
        </w:rPr>
        <w:t> </w:t>
      </w:r>
      <w:r w:rsidRPr="00EE4944">
        <w:rPr>
          <w:rFonts w:asciiTheme="majorBidi" w:hAnsiTheme="majorBidi" w:cstheme="majorBidi"/>
        </w:rPr>
        <w:t>panta ceturtajai daļai apelācijas instances tiesa nolēmumā norāda likumus, pēc kuriem tā vadījusies. Tāpēc apelācijas instances tiesai bija jāvērtē, vai konkrētā medicīniska rakstura piespiedu līdzekļa noteikšana ir pamatota pēc būtības</w:t>
      </w:r>
      <w:r>
        <w:rPr>
          <w:rFonts w:asciiTheme="majorBidi" w:hAnsiTheme="majorBidi" w:cstheme="majorBidi"/>
        </w:rPr>
        <w:t>.</w:t>
      </w:r>
    </w:p>
    <w:p w14:paraId="0AEFCE45" w14:textId="6DBF45F1" w:rsidR="007E74CD" w:rsidRDefault="00385E30" w:rsidP="00BB0A3F">
      <w:pPr>
        <w:spacing w:line="276" w:lineRule="auto"/>
        <w:ind w:firstLine="720"/>
        <w:jc w:val="both"/>
        <w:rPr>
          <w:rFonts w:asciiTheme="majorBidi" w:hAnsiTheme="majorBidi" w:cstheme="majorBidi"/>
        </w:rPr>
      </w:pPr>
      <w:r w:rsidRPr="003E2E8D">
        <w:rPr>
          <w:rFonts w:asciiTheme="majorBidi" w:hAnsiTheme="majorBidi" w:cstheme="majorBidi"/>
        </w:rPr>
        <w:t>[4.</w:t>
      </w:r>
      <w:r w:rsidR="003824D7" w:rsidRPr="003E2E8D">
        <w:rPr>
          <w:rFonts w:asciiTheme="majorBidi" w:hAnsiTheme="majorBidi" w:cstheme="majorBidi"/>
        </w:rPr>
        <w:t>6</w:t>
      </w:r>
      <w:r w:rsidRPr="003E2E8D">
        <w:rPr>
          <w:rFonts w:asciiTheme="majorBidi" w:hAnsiTheme="majorBidi" w:cstheme="majorBidi"/>
        </w:rPr>
        <w:t xml:space="preserve">] </w:t>
      </w:r>
      <w:r w:rsidR="00EE7364" w:rsidRPr="00BB0A3F">
        <w:rPr>
          <w:rFonts w:asciiTheme="majorBidi" w:hAnsiTheme="majorBidi" w:cstheme="majorBidi"/>
        </w:rPr>
        <w:t xml:space="preserve">Izskatot lietu no jauna, apelācijas instances tiesai jāvērtē, vai, ievērojot </w:t>
      </w:r>
      <w:r w:rsidR="00D42F29">
        <w:rPr>
          <w:rFonts w:asciiTheme="majorBidi" w:hAnsiTheme="majorBidi" w:cstheme="majorBidi"/>
        </w:rPr>
        <w:t>[pers. A]</w:t>
      </w:r>
      <w:r w:rsidR="00EE7364" w:rsidRPr="00BB0A3F">
        <w:rPr>
          <w:rFonts w:asciiTheme="majorBidi" w:hAnsiTheme="majorBidi" w:cstheme="majorBidi"/>
        </w:rPr>
        <w:t xml:space="preserve">  veselības stāvokli</w:t>
      </w:r>
      <w:r w:rsidR="00BB0A3F" w:rsidRPr="00BB0A3F">
        <w:rPr>
          <w:rFonts w:asciiTheme="majorBidi" w:hAnsiTheme="majorBidi" w:cstheme="majorBidi"/>
        </w:rPr>
        <w:t xml:space="preserve"> lietas atkārtotas izskatīšanas laikā,</w:t>
      </w:r>
      <w:r w:rsidR="00EE7364" w:rsidRPr="00BB0A3F">
        <w:rPr>
          <w:rFonts w:asciiTheme="majorBidi" w:hAnsiTheme="majorBidi" w:cstheme="majorBidi"/>
        </w:rPr>
        <w:t xml:space="preserve"> medicīniska rakstura piespiedu līdzekļa piemērošanai pastāv likumā noteiktais pamats</w:t>
      </w:r>
      <w:r w:rsidR="00392939" w:rsidRPr="00BB0A3F">
        <w:rPr>
          <w:rFonts w:asciiTheme="majorBidi" w:hAnsiTheme="majorBidi" w:cstheme="majorBidi"/>
        </w:rPr>
        <w:t xml:space="preserve"> un vai šāda līdzekļa piemērošana ir nepieciešama un samērīga.</w:t>
      </w:r>
    </w:p>
    <w:p w14:paraId="70155227" w14:textId="77777777" w:rsidR="000B2489" w:rsidRDefault="000B2489" w:rsidP="00394937">
      <w:pPr>
        <w:spacing w:line="276" w:lineRule="auto"/>
        <w:ind w:firstLine="720"/>
        <w:jc w:val="both"/>
        <w:rPr>
          <w:rFonts w:asciiTheme="majorBidi" w:hAnsiTheme="majorBidi" w:cstheme="majorBidi"/>
        </w:rPr>
      </w:pPr>
    </w:p>
    <w:p w14:paraId="43E4C6F0" w14:textId="0AA6A3BA" w:rsidR="001126EC" w:rsidRPr="001126EC" w:rsidRDefault="002444BF" w:rsidP="001126EC">
      <w:pPr>
        <w:spacing w:line="276" w:lineRule="auto"/>
        <w:ind w:firstLine="720"/>
        <w:jc w:val="both"/>
        <w:rPr>
          <w:rFonts w:asciiTheme="majorBidi" w:hAnsiTheme="majorBidi" w:cstheme="majorBidi"/>
        </w:rPr>
      </w:pPr>
      <w:r w:rsidRPr="003E2E8D">
        <w:rPr>
          <w:rFonts w:asciiTheme="majorBidi" w:hAnsiTheme="majorBidi" w:cstheme="majorBidi"/>
        </w:rPr>
        <w:t>[5]</w:t>
      </w:r>
      <w:r w:rsidR="008951BE" w:rsidRPr="008951BE">
        <w:rPr>
          <w:rFonts w:asciiTheme="majorBidi" w:hAnsiTheme="majorBidi" w:cstheme="majorBidi"/>
        </w:rPr>
        <w:t xml:space="preserve"> </w:t>
      </w:r>
      <w:r w:rsidR="001126EC" w:rsidRPr="001126EC">
        <w:rPr>
          <w:rFonts w:asciiTheme="majorBidi" w:hAnsiTheme="majorBidi" w:cstheme="majorBidi"/>
        </w:rPr>
        <w:t xml:space="preserve">Lai gan izskatāmajā lietā dubultās sodīšanas aizlieguma pārkāpums nav konstatējams jau tādēļ vien, ka brīvības atņemšana un medicīniska rakstura piespiedu līdzeklis personai ir piemēroti vienā kriminālprocesā, Senāts </w:t>
      </w:r>
      <w:proofErr w:type="spellStart"/>
      <w:r w:rsidR="001126EC" w:rsidRPr="001126EC">
        <w:rPr>
          <w:rFonts w:asciiTheme="majorBidi" w:hAnsiTheme="majorBidi" w:cstheme="majorBidi"/>
          <w:i/>
          <w:iCs/>
        </w:rPr>
        <w:t>obiter</w:t>
      </w:r>
      <w:proofErr w:type="spellEnd"/>
      <w:r w:rsidR="001126EC" w:rsidRPr="001126EC">
        <w:rPr>
          <w:rFonts w:asciiTheme="majorBidi" w:hAnsiTheme="majorBidi" w:cstheme="majorBidi"/>
          <w:i/>
          <w:iCs/>
        </w:rPr>
        <w:t xml:space="preserve"> </w:t>
      </w:r>
      <w:proofErr w:type="spellStart"/>
      <w:r w:rsidR="001126EC" w:rsidRPr="001126EC">
        <w:rPr>
          <w:rFonts w:asciiTheme="majorBidi" w:hAnsiTheme="majorBidi" w:cstheme="majorBidi"/>
          <w:i/>
          <w:iCs/>
        </w:rPr>
        <w:t>dictum</w:t>
      </w:r>
      <w:proofErr w:type="spellEnd"/>
      <w:r w:rsidR="001126EC" w:rsidRPr="001126EC">
        <w:rPr>
          <w:rFonts w:asciiTheme="majorBidi" w:hAnsiTheme="majorBidi" w:cstheme="majorBidi"/>
        </w:rPr>
        <w:t xml:space="preserve"> atzīst par nepieciešamu norādīt arī to, ka nav pamatots </w:t>
      </w:r>
      <w:r w:rsidR="001126EC">
        <w:rPr>
          <w:rFonts w:asciiTheme="majorBidi" w:hAnsiTheme="majorBidi" w:cstheme="majorBidi"/>
        </w:rPr>
        <w:t xml:space="preserve">arī </w:t>
      </w:r>
      <w:r w:rsidR="001126EC" w:rsidRPr="001126EC">
        <w:rPr>
          <w:rFonts w:asciiTheme="majorBidi" w:hAnsiTheme="majorBidi" w:cstheme="majorBidi"/>
        </w:rPr>
        <w:t>apelācijas instances tiesas atzinums, ka ambulatorā ārstēšana medicīnas iestādē pēc savas tiesiskās dabas ir uzskatāma par sodu plašākā nozīmē.</w:t>
      </w:r>
    </w:p>
    <w:p w14:paraId="1E117739" w14:textId="257C047B" w:rsidR="00686141" w:rsidRPr="00686141" w:rsidRDefault="00686141" w:rsidP="00686141">
      <w:pPr>
        <w:spacing w:line="276" w:lineRule="auto"/>
        <w:ind w:firstLine="720"/>
        <w:jc w:val="both"/>
        <w:rPr>
          <w:rFonts w:asciiTheme="majorBidi" w:hAnsiTheme="majorBidi" w:cstheme="majorBidi"/>
        </w:rPr>
      </w:pPr>
      <w:r w:rsidRPr="00686141">
        <w:rPr>
          <w:rFonts w:asciiTheme="majorBidi" w:hAnsiTheme="majorBidi" w:cstheme="majorBidi"/>
        </w:rPr>
        <w:t xml:space="preserve">Šis apelācijas instances tiesas atzinums ir būtisks tās argumentācijā, tādēļ tā atstāšana bez vērtējuma varētu radīt maldīgu priekšstatu par medicīniska rakstura piespiedu līdzekļu tiesisko dabu un to nošķiršanu no </w:t>
      </w:r>
      <w:r>
        <w:rPr>
          <w:rFonts w:asciiTheme="majorBidi" w:hAnsiTheme="majorBidi" w:cstheme="majorBidi"/>
        </w:rPr>
        <w:t>krimināl</w:t>
      </w:r>
      <w:r w:rsidRPr="00686141">
        <w:rPr>
          <w:rFonts w:asciiTheme="majorBidi" w:hAnsiTheme="majorBidi" w:cstheme="majorBidi"/>
        </w:rPr>
        <w:t>soda.</w:t>
      </w:r>
    </w:p>
    <w:p w14:paraId="71DEE58D" w14:textId="6B004144" w:rsidR="002444BF" w:rsidRPr="003E2E8D" w:rsidRDefault="002444BF" w:rsidP="00172201">
      <w:pPr>
        <w:spacing w:line="276" w:lineRule="auto"/>
        <w:ind w:firstLine="720"/>
        <w:jc w:val="both"/>
        <w:rPr>
          <w:rFonts w:asciiTheme="majorBidi" w:hAnsiTheme="majorBidi" w:cstheme="majorBidi"/>
        </w:rPr>
      </w:pPr>
      <w:r w:rsidRPr="003E2E8D">
        <w:rPr>
          <w:rFonts w:asciiTheme="majorBidi" w:hAnsiTheme="majorBidi" w:cstheme="majorBidi"/>
        </w:rPr>
        <w:t>[5.1] Lai gan, vērtējot, vai konkrēt</w:t>
      </w:r>
      <w:r w:rsidR="00C81A90">
        <w:rPr>
          <w:rFonts w:asciiTheme="majorBidi" w:hAnsiTheme="majorBidi" w:cstheme="majorBidi"/>
        </w:rPr>
        <w:t>ai</w:t>
      </w:r>
      <w:r w:rsidRPr="003E2E8D">
        <w:rPr>
          <w:rFonts w:asciiTheme="majorBidi" w:hAnsiTheme="majorBidi" w:cstheme="majorBidi"/>
        </w:rPr>
        <w:t xml:space="preserve">s valsts piespiedu līdzeklis uzskatāms par sodu </w:t>
      </w:r>
      <w:r w:rsidRPr="003E2E8D">
        <w:rPr>
          <w:rFonts w:asciiTheme="majorBidi" w:hAnsiTheme="majorBidi" w:cstheme="majorBidi"/>
          <w:bCs/>
        </w:rPr>
        <w:t xml:space="preserve">Eiropas Cilvēka tiesību un pamatbrīvību aizsardzības konvencijas (turpmāk – </w:t>
      </w:r>
      <w:r w:rsidRPr="003E2E8D">
        <w:rPr>
          <w:rFonts w:asciiTheme="majorBidi" w:hAnsiTheme="majorBidi" w:cstheme="majorBidi"/>
          <w:noProof/>
        </w:rPr>
        <w:t xml:space="preserve">Konvencija) </w:t>
      </w:r>
      <w:r w:rsidRPr="003E2E8D">
        <w:rPr>
          <w:rFonts w:asciiTheme="majorBidi" w:hAnsiTheme="majorBidi" w:cstheme="majorBidi"/>
        </w:rPr>
        <w:t>7.</w:t>
      </w:r>
      <w:r w:rsidR="00172201">
        <w:rPr>
          <w:rFonts w:asciiTheme="majorBidi" w:hAnsiTheme="majorBidi" w:cstheme="majorBidi"/>
        </w:rPr>
        <w:t> </w:t>
      </w:r>
      <w:r w:rsidRPr="003E2E8D">
        <w:rPr>
          <w:rFonts w:asciiTheme="majorBidi" w:hAnsiTheme="majorBidi" w:cstheme="majorBidi"/>
        </w:rPr>
        <w:t xml:space="preserve">panta izpratnē, nevar aprobežoties ar tā klasifikāciju nacionālajā likumā, tomēr arī </w:t>
      </w:r>
      <w:r w:rsidR="00C81A90">
        <w:rPr>
          <w:rFonts w:asciiTheme="majorBidi" w:hAnsiTheme="majorBidi" w:cstheme="majorBidi"/>
        </w:rPr>
        <w:t>saskaņā ar</w:t>
      </w:r>
      <w:r w:rsidRPr="003E2E8D">
        <w:rPr>
          <w:rFonts w:asciiTheme="majorBidi" w:hAnsiTheme="majorBidi" w:cstheme="majorBidi"/>
        </w:rPr>
        <w:t xml:space="preserve"> Eiropas Cilvēktiesību tiesas judikatūrā nostiprinātajiem kritērijiem ambulatorā ārstēšana medicīnas iestādē nav atzīstama par kriminālsodu.</w:t>
      </w:r>
    </w:p>
    <w:p w14:paraId="1F74E66E" w14:textId="242BC282" w:rsidR="003E2E8D" w:rsidRDefault="002444BF" w:rsidP="002444BF">
      <w:pPr>
        <w:widowControl w:val="0"/>
        <w:spacing w:line="276" w:lineRule="auto"/>
        <w:ind w:firstLine="720"/>
        <w:jc w:val="both"/>
        <w:rPr>
          <w:rFonts w:asciiTheme="majorBidi" w:hAnsiTheme="majorBidi" w:cstheme="majorBidi"/>
          <w:spacing w:val="-4"/>
        </w:rPr>
      </w:pPr>
      <w:r w:rsidRPr="003E2E8D">
        <w:rPr>
          <w:rFonts w:asciiTheme="majorBidi" w:hAnsiTheme="majorBidi" w:cstheme="majorBidi"/>
          <w:noProof/>
        </w:rPr>
        <w:t xml:space="preserve">Saskaņā ar šo judikatūru jēdziens „sods” Konvencijas 7. panta izpratnē savā piemērošanas jomā ir autonoms. Sākumpunkts, vērtējot, vai attiecīgais pasākums ir sods, ir jautājums, vai tas ticis piemērots pēc personas notiesāšanas par „kriminālpārkāpumu”. Citi būtiski faktori ir pasākuma kvalifikācija saskaņā ar nacionālajām tiesībām, tā raksturs un </w:t>
      </w:r>
      <w:r w:rsidRPr="003E2E8D">
        <w:rPr>
          <w:rFonts w:asciiTheme="majorBidi" w:hAnsiTheme="majorBidi" w:cstheme="majorBidi"/>
          <w:noProof/>
        </w:rPr>
        <w:lastRenderedPageBreak/>
        <w:t>mērķis, procedūras, kas saistītas ar tā noteikšanu un īstenošanu, kā arī tā smagums. Tomēr pasākuma smagums pats par sevi nav izšķirošs faktors, jo daudzi preventīvi pasākumi, kas nav sodi, var būtiski ietekmēt attiecīgo personu (</w:t>
      </w:r>
      <w:r w:rsidRPr="003E2E8D">
        <w:rPr>
          <w:rFonts w:asciiTheme="majorBidi" w:hAnsiTheme="majorBidi" w:cstheme="majorBidi"/>
          <w:i/>
          <w:iCs/>
          <w:spacing w:val="-3"/>
        </w:rPr>
        <w:t>Eiropas Cilvēktiesību tiesas 2009.</w:t>
      </w:r>
      <w:r w:rsidR="00172201">
        <w:rPr>
          <w:rFonts w:asciiTheme="majorBidi" w:hAnsiTheme="majorBidi" w:cstheme="majorBidi"/>
          <w:i/>
          <w:iCs/>
          <w:spacing w:val="-3"/>
        </w:rPr>
        <w:t> </w:t>
      </w:r>
      <w:r w:rsidRPr="003E2E8D">
        <w:rPr>
          <w:rFonts w:asciiTheme="majorBidi" w:hAnsiTheme="majorBidi" w:cstheme="majorBidi"/>
          <w:i/>
          <w:iCs/>
          <w:spacing w:val="-3"/>
        </w:rPr>
        <w:t xml:space="preserve">gada 17. decembra sprieduma lietā „M. v. </w:t>
      </w:r>
      <w:proofErr w:type="spellStart"/>
      <w:r w:rsidRPr="003E2E8D">
        <w:rPr>
          <w:rFonts w:asciiTheme="majorBidi" w:hAnsiTheme="majorBidi" w:cstheme="majorBidi"/>
          <w:i/>
          <w:iCs/>
          <w:spacing w:val="-3"/>
        </w:rPr>
        <w:t>Germany</w:t>
      </w:r>
      <w:proofErr w:type="spellEnd"/>
      <w:r w:rsidRPr="003E2E8D">
        <w:rPr>
          <w:rFonts w:asciiTheme="majorBidi" w:hAnsiTheme="majorBidi" w:cstheme="majorBidi"/>
          <w:i/>
          <w:iCs/>
          <w:spacing w:val="-3"/>
        </w:rPr>
        <w:t xml:space="preserve">”, iesnieguma Nr. 19359/04, 120. punkts; </w:t>
      </w:r>
      <w:r w:rsidRPr="003E2E8D">
        <w:rPr>
          <w:rFonts w:asciiTheme="majorBidi" w:hAnsiTheme="majorBidi" w:cstheme="majorBidi"/>
          <w:i/>
          <w:iCs/>
          <w:spacing w:val="-2"/>
        </w:rPr>
        <w:t xml:space="preserve">2011. gada 24. novembra sprieduma lietā „O.H. v. </w:t>
      </w:r>
      <w:proofErr w:type="spellStart"/>
      <w:r w:rsidRPr="003E2E8D">
        <w:rPr>
          <w:rFonts w:asciiTheme="majorBidi" w:hAnsiTheme="majorBidi" w:cstheme="majorBidi"/>
          <w:i/>
          <w:iCs/>
          <w:spacing w:val="-2"/>
        </w:rPr>
        <w:t>Germany</w:t>
      </w:r>
      <w:proofErr w:type="spellEnd"/>
      <w:r w:rsidRPr="003E2E8D">
        <w:rPr>
          <w:rFonts w:asciiTheme="majorBidi" w:hAnsiTheme="majorBidi" w:cstheme="majorBidi"/>
          <w:i/>
          <w:iCs/>
          <w:spacing w:val="-2"/>
        </w:rPr>
        <w:t>”, iesnieguma Nr. 4646/08,</w:t>
      </w:r>
      <w:r w:rsidRPr="003E2E8D">
        <w:rPr>
          <w:rFonts w:asciiTheme="majorBidi" w:hAnsiTheme="majorBidi" w:cstheme="majorBidi"/>
          <w:i/>
          <w:iCs/>
          <w:spacing w:val="-4"/>
        </w:rPr>
        <w:t xml:space="preserve"> 103. punkts</w:t>
      </w:r>
      <w:r w:rsidR="007B04D9">
        <w:rPr>
          <w:rFonts w:asciiTheme="majorBidi" w:hAnsiTheme="majorBidi" w:cstheme="majorBidi"/>
          <w:i/>
          <w:iCs/>
          <w:spacing w:val="-4"/>
        </w:rPr>
        <w:t>;</w:t>
      </w:r>
      <w:r w:rsidRPr="003E2E8D">
        <w:rPr>
          <w:rFonts w:asciiTheme="majorBidi" w:hAnsiTheme="majorBidi" w:cstheme="majorBidi"/>
          <w:i/>
          <w:iCs/>
          <w:spacing w:val="-4"/>
        </w:rPr>
        <w:t xml:space="preserve"> 2018. gada 4.</w:t>
      </w:r>
      <w:r w:rsidR="00172201">
        <w:rPr>
          <w:rFonts w:asciiTheme="majorBidi" w:hAnsiTheme="majorBidi" w:cstheme="majorBidi"/>
          <w:i/>
          <w:iCs/>
          <w:spacing w:val="-4"/>
        </w:rPr>
        <w:t> </w:t>
      </w:r>
      <w:r w:rsidRPr="003E2E8D">
        <w:rPr>
          <w:rFonts w:asciiTheme="majorBidi" w:hAnsiTheme="majorBidi" w:cstheme="majorBidi"/>
          <w:i/>
          <w:iCs/>
          <w:spacing w:val="-4"/>
        </w:rPr>
        <w:t>decembra sprieduma lietā „</w:t>
      </w:r>
      <w:proofErr w:type="spellStart"/>
      <w:r w:rsidRPr="003E2E8D">
        <w:rPr>
          <w:rFonts w:asciiTheme="majorBidi" w:hAnsiTheme="majorBidi" w:cstheme="majorBidi"/>
          <w:i/>
          <w:iCs/>
          <w:spacing w:val="-4"/>
        </w:rPr>
        <w:t>Ilnseher</w:t>
      </w:r>
      <w:proofErr w:type="spellEnd"/>
      <w:r w:rsidRPr="003E2E8D">
        <w:rPr>
          <w:rFonts w:asciiTheme="majorBidi" w:hAnsiTheme="majorBidi" w:cstheme="majorBidi"/>
          <w:i/>
          <w:iCs/>
          <w:spacing w:val="-4"/>
        </w:rPr>
        <w:t xml:space="preserve"> v. </w:t>
      </w:r>
      <w:proofErr w:type="spellStart"/>
      <w:r w:rsidRPr="003E2E8D">
        <w:rPr>
          <w:rFonts w:asciiTheme="majorBidi" w:hAnsiTheme="majorBidi" w:cstheme="majorBidi"/>
          <w:i/>
          <w:iCs/>
          <w:spacing w:val="-4"/>
        </w:rPr>
        <w:t>Germany</w:t>
      </w:r>
      <w:proofErr w:type="spellEnd"/>
      <w:r w:rsidRPr="003E2E8D">
        <w:rPr>
          <w:rFonts w:asciiTheme="majorBidi" w:hAnsiTheme="majorBidi" w:cstheme="majorBidi"/>
          <w:i/>
          <w:iCs/>
          <w:spacing w:val="-4"/>
        </w:rPr>
        <w:t>”, iesnieguma Nr. 10211/12 un 27505/14, 203. punkts</w:t>
      </w:r>
      <w:r w:rsidRPr="003E2E8D">
        <w:rPr>
          <w:rFonts w:asciiTheme="majorBidi" w:hAnsiTheme="majorBidi" w:cstheme="majorBidi"/>
          <w:spacing w:val="-4"/>
        </w:rPr>
        <w:t xml:space="preserve">). </w:t>
      </w:r>
    </w:p>
    <w:p w14:paraId="0F19428B" w14:textId="1C720AD3" w:rsidR="002444BF" w:rsidRPr="003E2E8D" w:rsidRDefault="002444BF" w:rsidP="002444BF">
      <w:pPr>
        <w:widowControl w:val="0"/>
        <w:spacing w:line="276" w:lineRule="auto"/>
        <w:ind w:firstLine="720"/>
        <w:jc w:val="both"/>
        <w:rPr>
          <w:rFonts w:asciiTheme="majorBidi" w:hAnsiTheme="majorBidi" w:cstheme="majorBidi"/>
          <w:spacing w:val="-4"/>
        </w:rPr>
      </w:pPr>
      <w:r w:rsidRPr="003E2E8D">
        <w:rPr>
          <w:rFonts w:asciiTheme="majorBidi" w:hAnsiTheme="majorBidi" w:cstheme="majorBidi"/>
          <w:spacing w:val="-4"/>
        </w:rPr>
        <w:t>Tādēļ pat tas, ka pasākums ir saistīts ar brīvības ierobežošanu, vēl nepadara to par „sodu” Konvencijas 7.</w:t>
      </w:r>
      <w:r w:rsidR="00172201">
        <w:rPr>
          <w:rFonts w:asciiTheme="majorBidi" w:hAnsiTheme="majorBidi" w:cstheme="majorBidi"/>
          <w:spacing w:val="-4"/>
        </w:rPr>
        <w:t> </w:t>
      </w:r>
      <w:r w:rsidRPr="003E2E8D">
        <w:rPr>
          <w:rFonts w:asciiTheme="majorBidi" w:hAnsiTheme="majorBidi" w:cstheme="majorBidi"/>
          <w:spacing w:val="-4"/>
        </w:rPr>
        <w:t xml:space="preserve">panta izpratnē. Turklāt nozīme var būt pasākuma raksturam un mērķim, piemēram, tam, vai tā īstenošanā prevalē ārstniecisks un terapeitisks mērķis, vai represīvs raksturs </w:t>
      </w:r>
      <w:r w:rsidRPr="003E2E8D">
        <w:rPr>
          <w:rFonts w:asciiTheme="majorBidi" w:hAnsiTheme="majorBidi" w:cstheme="majorBidi"/>
          <w:noProof/>
        </w:rPr>
        <w:t xml:space="preserve">(sk. </w:t>
      </w:r>
      <w:r w:rsidRPr="003E2E8D">
        <w:rPr>
          <w:rFonts w:asciiTheme="majorBidi" w:hAnsiTheme="majorBidi" w:cstheme="majorBidi"/>
          <w:i/>
          <w:iCs/>
        </w:rPr>
        <w:t>Eiropas Cilvēktiesību tiesas (Lielās Palātas)</w:t>
      </w:r>
      <w:r w:rsidRPr="003E2E8D">
        <w:rPr>
          <w:rFonts w:asciiTheme="majorBidi" w:hAnsiTheme="majorBidi" w:cstheme="majorBidi"/>
          <w:i/>
          <w:iCs/>
          <w:spacing w:val="-4"/>
        </w:rPr>
        <w:t xml:space="preserve"> 2018. gada 4. decembra</w:t>
      </w:r>
      <w:r w:rsidRPr="003E2E8D">
        <w:rPr>
          <w:rFonts w:asciiTheme="majorBidi" w:hAnsiTheme="majorBidi" w:cstheme="majorBidi"/>
          <w:i/>
          <w:iCs/>
        </w:rPr>
        <w:t xml:space="preserve"> sprieduma lietā</w:t>
      </w:r>
      <w:r w:rsidRPr="003E2E8D">
        <w:rPr>
          <w:rFonts w:asciiTheme="majorBidi" w:hAnsiTheme="majorBidi" w:cstheme="majorBidi"/>
          <w:i/>
          <w:iCs/>
          <w:spacing w:val="-4"/>
        </w:rPr>
        <w:t xml:space="preserve"> „</w:t>
      </w:r>
      <w:proofErr w:type="spellStart"/>
      <w:r w:rsidRPr="003E2E8D">
        <w:rPr>
          <w:rFonts w:asciiTheme="majorBidi" w:hAnsiTheme="majorBidi" w:cstheme="majorBidi"/>
          <w:i/>
          <w:iCs/>
          <w:spacing w:val="-4"/>
        </w:rPr>
        <w:t>Ilnseher</w:t>
      </w:r>
      <w:proofErr w:type="spellEnd"/>
      <w:r w:rsidRPr="003E2E8D">
        <w:rPr>
          <w:rFonts w:asciiTheme="majorBidi" w:hAnsiTheme="majorBidi" w:cstheme="majorBidi"/>
          <w:i/>
          <w:iCs/>
          <w:spacing w:val="-4"/>
        </w:rPr>
        <w:t xml:space="preserve"> v. </w:t>
      </w:r>
      <w:proofErr w:type="spellStart"/>
      <w:r w:rsidRPr="003E2E8D">
        <w:rPr>
          <w:rFonts w:asciiTheme="majorBidi" w:hAnsiTheme="majorBidi" w:cstheme="majorBidi"/>
          <w:i/>
          <w:iCs/>
          <w:spacing w:val="-4"/>
        </w:rPr>
        <w:t>Germany</w:t>
      </w:r>
      <w:proofErr w:type="spellEnd"/>
      <w:r w:rsidRPr="003E2E8D">
        <w:rPr>
          <w:rFonts w:asciiTheme="majorBidi" w:hAnsiTheme="majorBidi" w:cstheme="majorBidi"/>
          <w:i/>
          <w:iCs/>
          <w:spacing w:val="-4"/>
        </w:rPr>
        <w:t>”, iesnieguma Nr. 10211/12 un 27505/14, 222.–228. punktu</w:t>
      </w:r>
      <w:r w:rsidRPr="003E2E8D">
        <w:rPr>
          <w:rFonts w:asciiTheme="majorBidi" w:hAnsiTheme="majorBidi" w:cstheme="majorBidi"/>
          <w:spacing w:val="-4"/>
        </w:rPr>
        <w:t>). Nozīmi var iegūt arī pasākuma izpildes apstākļi attiecīgajā laikposmā. Proti, ja šie apstākļi būtiski mainās, pasākuma sākotnējais vērtējums izņēmuma gadījumos var tikt pārskatīts</w:t>
      </w:r>
      <w:r w:rsidRPr="003E2E8D">
        <w:rPr>
          <w:rFonts w:asciiTheme="majorBidi" w:hAnsiTheme="majorBidi" w:cstheme="majorBidi"/>
          <w:noProof/>
        </w:rPr>
        <w:t xml:space="preserve"> (</w:t>
      </w:r>
      <w:r w:rsidRPr="003E2E8D">
        <w:rPr>
          <w:rFonts w:asciiTheme="majorBidi" w:hAnsiTheme="majorBidi" w:cstheme="majorBidi"/>
          <w:i/>
          <w:iCs/>
        </w:rPr>
        <w:t xml:space="preserve">Turpat, </w:t>
      </w:r>
      <w:r w:rsidRPr="003E2E8D">
        <w:rPr>
          <w:rFonts w:asciiTheme="majorBidi" w:hAnsiTheme="majorBidi" w:cstheme="majorBidi"/>
          <w:i/>
          <w:iCs/>
          <w:spacing w:val="-4"/>
        </w:rPr>
        <w:t>204.</w:t>
      </w:r>
      <w:r w:rsidR="00172201">
        <w:rPr>
          <w:rFonts w:asciiTheme="majorBidi" w:hAnsiTheme="majorBidi" w:cstheme="majorBidi"/>
          <w:i/>
          <w:iCs/>
          <w:spacing w:val="-4"/>
        </w:rPr>
        <w:t> </w:t>
      </w:r>
      <w:r w:rsidRPr="003E2E8D">
        <w:rPr>
          <w:rFonts w:asciiTheme="majorBidi" w:hAnsiTheme="majorBidi" w:cstheme="majorBidi"/>
          <w:i/>
          <w:iCs/>
          <w:spacing w:val="-4"/>
        </w:rPr>
        <w:t>–</w:t>
      </w:r>
      <w:r w:rsidR="00172201">
        <w:rPr>
          <w:rFonts w:asciiTheme="majorBidi" w:hAnsiTheme="majorBidi" w:cstheme="majorBidi"/>
          <w:i/>
          <w:iCs/>
          <w:spacing w:val="-4"/>
        </w:rPr>
        <w:t> </w:t>
      </w:r>
      <w:r w:rsidRPr="003E2E8D">
        <w:rPr>
          <w:rFonts w:asciiTheme="majorBidi" w:hAnsiTheme="majorBidi" w:cstheme="majorBidi"/>
          <w:i/>
          <w:iCs/>
          <w:spacing w:val="-4"/>
        </w:rPr>
        <w:t>209. punkts</w:t>
      </w:r>
      <w:r w:rsidRPr="003E2E8D">
        <w:rPr>
          <w:rFonts w:asciiTheme="majorBidi" w:hAnsiTheme="majorBidi" w:cstheme="majorBidi"/>
          <w:spacing w:val="-4"/>
        </w:rPr>
        <w:t xml:space="preserve">). </w:t>
      </w:r>
    </w:p>
    <w:p w14:paraId="571A8CC3" w14:textId="5EA49D77" w:rsidR="002444BF" w:rsidRPr="003E2E8D" w:rsidRDefault="002444BF" w:rsidP="002444BF">
      <w:pPr>
        <w:widowControl w:val="0"/>
        <w:spacing w:line="276" w:lineRule="auto"/>
        <w:ind w:firstLine="720"/>
        <w:jc w:val="both"/>
        <w:rPr>
          <w:rFonts w:asciiTheme="majorBidi" w:hAnsiTheme="majorBidi" w:cstheme="majorBidi"/>
        </w:rPr>
      </w:pPr>
      <w:r w:rsidRPr="003E2E8D">
        <w:rPr>
          <w:rFonts w:asciiTheme="majorBidi" w:hAnsiTheme="majorBidi" w:cstheme="majorBidi"/>
        </w:rPr>
        <w:t>[5.2] Piemērojot minētos kritērijus, Senāts atzīst, ka ambulatorā ārstēšana medicīnas iestādē neatbilst kriminālsodam raksturīg</w:t>
      </w:r>
      <w:r w:rsidR="00AE2B4B">
        <w:rPr>
          <w:rFonts w:asciiTheme="majorBidi" w:hAnsiTheme="majorBidi" w:cstheme="majorBidi"/>
        </w:rPr>
        <w:t>aj</w:t>
      </w:r>
      <w:r w:rsidRPr="003E2E8D">
        <w:rPr>
          <w:rFonts w:asciiTheme="majorBidi" w:hAnsiTheme="majorBidi" w:cstheme="majorBidi"/>
        </w:rPr>
        <w:t>ām pazīmēm.</w:t>
      </w:r>
    </w:p>
    <w:p w14:paraId="3096EC82" w14:textId="77777777" w:rsidR="002444BF" w:rsidRPr="003E2E8D" w:rsidRDefault="002444BF" w:rsidP="002444BF">
      <w:pPr>
        <w:widowControl w:val="0"/>
        <w:spacing w:line="276" w:lineRule="auto"/>
        <w:ind w:firstLine="720"/>
        <w:jc w:val="both"/>
        <w:rPr>
          <w:rFonts w:asciiTheme="majorBidi" w:hAnsiTheme="majorBidi" w:cstheme="majorBidi"/>
        </w:rPr>
      </w:pPr>
      <w:r w:rsidRPr="003E2E8D">
        <w:rPr>
          <w:rFonts w:asciiTheme="majorBidi" w:hAnsiTheme="majorBidi" w:cstheme="majorBidi"/>
        </w:rPr>
        <w:t xml:space="preserve">Ambulatorā ārstēšana medicīnas iestādē Krimināllikumā nav kvalificēta kā kriminālsods.  </w:t>
      </w:r>
    </w:p>
    <w:p w14:paraId="28FBFEA3" w14:textId="3076C734" w:rsidR="002444BF" w:rsidRPr="003E2E8D" w:rsidRDefault="002444BF" w:rsidP="002444BF">
      <w:pPr>
        <w:widowControl w:val="0"/>
        <w:spacing w:line="276" w:lineRule="auto"/>
        <w:ind w:firstLine="720"/>
        <w:jc w:val="both"/>
        <w:rPr>
          <w:rFonts w:asciiTheme="majorBidi" w:hAnsiTheme="majorBidi" w:cstheme="majorBidi"/>
        </w:rPr>
      </w:pPr>
      <w:r w:rsidRPr="003E2E8D">
        <w:rPr>
          <w:rFonts w:asciiTheme="majorBidi" w:hAnsiTheme="majorBidi" w:cstheme="majorBidi"/>
        </w:rPr>
        <w:t>Lai gan medicīniska rakstura piespiedu līdzekļi, tajā skaitā ambulatorā ārstēšana medicīnas iestādē, tiek piemēroti saistībā ar nodarījumu, kas atbilst noziedzīga nodarījuma pazīmēm, to mērķis nav personas sodīšana, bet gan personas psihiskās veselības atjaunošanās veicināšana un sabiedrības aizsardzība, novēršot jaunu kaitīgu nodarījumu izdarīšanu (</w:t>
      </w:r>
      <w:r w:rsidRPr="003E2E8D">
        <w:rPr>
          <w:rFonts w:asciiTheme="majorBidi" w:hAnsiTheme="majorBidi" w:cstheme="majorBidi"/>
          <w:i/>
          <w:iCs/>
        </w:rPr>
        <w:t>Augstākās tiesas</w:t>
      </w:r>
      <w:r w:rsidRPr="003E2E8D">
        <w:rPr>
          <w:rFonts w:asciiTheme="majorBidi" w:hAnsiTheme="majorBidi" w:cstheme="majorBidi"/>
        </w:rPr>
        <w:t xml:space="preserve"> </w:t>
      </w:r>
      <w:r w:rsidRPr="003E2E8D">
        <w:rPr>
          <w:rFonts w:asciiTheme="majorBidi" w:hAnsiTheme="majorBidi" w:cstheme="majorBidi"/>
          <w:i/>
          <w:iCs/>
        </w:rPr>
        <w:t xml:space="preserve">tiesu prakses apkopojums „Apkopojums par medicīniska rakstura piespiedu līdzekļu piemērošanas problēmjautājumiem Senāta nolēmumos”, 2017–2020, 2021, 4. lpp. </w:t>
      </w:r>
      <w:r w:rsidR="007B04D9">
        <w:rPr>
          <w:rFonts w:asciiTheme="majorBidi" w:hAnsiTheme="majorBidi" w:cstheme="majorBidi"/>
          <w:i/>
          <w:iCs/>
        </w:rPr>
        <w:t>P</w:t>
      </w:r>
      <w:r w:rsidRPr="003E2E8D">
        <w:rPr>
          <w:rFonts w:asciiTheme="majorBidi" w:hAnsiTheme="majorBidi" w:cstheme="majorBidi"/>
          <w:i/>
          <w:iCs/>
        </w:rPr>
        <w:t xml:space="preserve">ieejams: </w:t>
      </w:r>
      <w:hyperlink r:id="rId11" w:history="1">
        <w:r w:rsidRPr="003E2E8D">
          <w:rPr>
            <w:rStyle w:val="Hyperlink"/>
            <w:rFonts w:asciiTheme="majorBidi" w:hAnsiTheme="majorBidi" w:cstheme="majorBidi"/>
            <w:i/>
            <w:iCs/>
            <w:color w:val="auto"/>
          </w:rPr>
          <w:t>https://www.at.gov.lv/files/uploads/files/6_Judikatura/Tiesu_prakses_apkopojumi/2021/Tiesu%20_prakses_apkopojums_piespiedu_med_lidzekli.docx</w:t>
        </w:r>
      </w:hyperlink>
      <w:r w:rsidRPr="003E2E8D">
        <w:rPr>
          <w:rFonts w:asciiTheme="majorBidi" w:hAnsiTheme="majorBidi" w:cstheme="majorBidi"/>
        </w:rPr>
        <w:t xml:space="preserve">). </w:t>
      </w:r>
    </w:p>
    <w:p w14:paraId="66646AA9" w14:textId="0C8DF8CB" w:rsidR="002444BF" w:rsidRPr="003E2E8D" w:rsidRDefault="002444BF" w:rsidP="002444BF">
      <w:pPr>
        <w:widowControl w:val="0"/>
        <w:spacing w:line="276" w:lineRule="auto"/>
        <w:ind w:firstLine="720"/>
        <w:jc w:val="both"/>
        <w:rPr>
          <w:rFonts w:asciiTheme="majorBidi" w:hAnsiTheme="majorBidi" w:cstheme="majorBidi"/>
        </w:rPr>
      </w:pPr>
      <w:r w:rsidRPr="003E2E8D">
        <w:rPr>
          <w:rFonts w:asciiTheme="majorBidi" w:hAnsiTheme="majorBidi" w:cstheme="majorBidi"/>
        </w:rPr>
        <w:t>Ambulatorā ārstēšana medicīnas iestādē neietver arī brīvības atņemšanas elementu. Proti, no Ārstniecības likuma izriet, ka ambulatora ārstēšana medicīnas iestādē notiek ārstniecības iestādē, neievietojot pacientu stacionārā (sk. šā likuma 54.</w:t>
      </w:r>
      <w:r w:rsidR="00172201">
        <w:rPr>
          <w:rFonts w:asciiTheme="majorBidi" w:hAnsiTheme="majorBidi" w:cstheme="majorBidi"/>
        </w:rPr>
        <w:t> </w:t>
      </w:r>
      <w:r w:rsidRPr="003E2E8D">
        <w:rPr>
          <w:rFonts w:asciiTheme="majorBidi" w:hAnsiTheme="majorBidi" w:cstheme="majorBidi"/>
        </w:rPr>
        <w:t>panta otro daļu). Savukārt pat tad, ja personai piemērota brīvības atņemšana un šis medicīniska rakstura piespiedu līdzeklis tiek izpildīts brīvības atņemšanas vietā (sk. Krimināllikuma 68. panta trešo daļu), personas brīvības ierobežojums nav ambulatorās ārstēšanas patstāvīgs elements, bet izriet no cita tiesiska pamata – kriminālsoda piemērošanas. Tādēļ arī pēc sava smaguma ambulatorā ārstēšana medicīnas iestādē neatbilst kriminālsodam.</w:t>
      </w:r>
    </w:p>
    <w:p w14:paraId="00ECA795" w14:textId="72E205F1" w:rsidR="002444BF" w:rsidRDefault="002444BF" w:rsidP="002444BF">
      <w:pPr>
        <w:widowControl w:val="0"/>
        <w:spacing w:line="276" w:lineRule="auto"/>
        <w:ind w:firstLine="720"/>
        <w:jc w:val="both"/>
        <w:rPr>
          <w:rFonts w:asciiTheme="majorBidi" w:hAnsiTheme="majorBidi" w:cstheme="majorBidi"/>
        </w:rPr>
      </w:pPr>
      <w:r w:rsidRPr="003E2E8D">
        <w:rPr>
          <w:rFonts w:asciiTheme="majorBidi" w:hAnsiTheme="majorBidi" w:cstheme="majorBidi"/>
        </w:rPr>
        <w:t>Ievērojot minēto, apelācijas instances tiesa nepamatoti atzinusi, ka ambulatorā ārstēšana medicīnas iestādē ir kriminālsods šā jēdziena plašākajā nozīmē.</w:t>
      </w:r>
    </w:p>
    <w:p w14:paraId="7CFB30B5" w14:textId="77777777" w:rsidR="00C00DDD" w:rsidRDefault="00C00DDD" w:rsidP="002444BF">
      <w:pPr>
        <w:widowControl w:val="0"/>
        <w:spacing w:line="276" w:lineRule="auto"/>
        <w:ind w:firstLine="720"/>
        <w:jc w:val="both"/>
        <w:rPr>
          <w:rFonts w:asciiTheme="majorBidi" w:hAnsiTheme="majorBidi" w:cstheme="majorBidi"/>
        </w:rPr>
      </w:pPr>
    </w:p>
    <w:p w14:paraId="6347E8F2" w14:textId="1929110F" w:rsidR="00B40321" w:rsidRPr="00B40321" w:rsidRDefault="00C00DDD" w:rsidP="00B40321">
      <w:pPr>
        <w:widowControl w:val="0"/>
        <w:spacing w:line="276" w:lineRule="auto"/>
        <w:ind w:firstLine="720"/>
        <w:contextualSpacing/>
        <w:jc w:val="both"/>
        <w:rPr>
          <w:rFonts w:asciiTheme="majorBidi" w:hAnsiTheme="majorBidi" w:cstheme="majorBidi"/>
          <w:shd w:val="clear" w:color="auto" w:fill="FFFFFF"/>
        </w:rPr>
      </w:pPr>
      <w:r>
        <w:rPr>
          <w:rFonts w:asciiTheme="majorBidi" w:hAnsiTheme="majorBidi" w:cstheme="majorBidi"/>
        </w:rPr>
        <w:t xml:space="preserve">[6] </w:t>
      </w:r>
      <w:r w:rsidR="00B40321">
        <w:rPr>
          <w:rFonts w:asciiTheme="majorBidi" w:hAnsiTheme="majorBidi" w:cstheme="majorBidi"/>
        </w:rPr>
        <w:t xml:space="preserve">Saskaņā ar pirmās instances tiesas spriedumu apsūdzētajai </w:t>
      </w:r>
      <w:r w:rsidR="00D42F29">
        <w:rPr>
          <w:rFonts w:asciiTheme="majorBidi" w:hAnsiTheme="majorBidi" w:cstheme="majorBidi"/>
        </w:rPr>
        <w:t>[pers. A]</w:t>
      </w:r>
      <w:r w:rsidR="00B40321">
        <w:rPr>
          <w:rFonts w:asciiTheme="majorBidi" w:hAnsiTheme="majorBidi" w:cstheme="majorBidi"/>
        </w:rPr>
        <w:t xml:space="preserve"> piemērotais </w:t>
      </w:r>
      <w:r w:rsidR="00B40321">
        <w:rPr>
          <w:rFonts w:asciiTheme="majorBidi" w:hAnsiTheme="majorBidi" w:cstheme="majorBidi"/>
          <w:shd w:val="clear" w:color="auto" w:fill="FFFFFF"/>
        </w:rPr>
        <w:t>d</w:t>
      </w:r>
      <w:r w:rsidR="00B40321" w:rsidRPr="003E2E8D">
        <w:rPr>
          <w:rFonts w:asciiTheme="majorBidi" w:hAnsiTheme="majorBidi" w:cstheme="majorBidi"/>
          <w:shd w:val="clear" w:color="auto" w:fill="FFFFFF"/>
        </w:rPr>
        <w:t>rošības līdzeklis – apcietinājums – atstāts negrozīts līdz sprieduma spēkā stāšanās dienai.</w:t>
      </w:r>
    </w:p>
    <w:p w14:paraId="06AEAE93" w14:textId="22796EB9" w:rsidR="00C00DDD" w:rsidRDefault="00C00DDD" w:rsidP="00C00DDD">
      <w:pPr>
        <w:widowControl w:val="0"/>
        <w:spacing w:line="276" w:lineRule="auto"/>
        <w:ind w:firstLine="720"/>
        <w:contextualSpacing/>
        <w:jc w:val="both"/>
        <w:rPr>
          <w:rFonts w:asciiTheme="majorBidi" w:hAnsiTheme="majorBidi" w:cstheme="majorBidi"/>
          <w:shd w:val="clear" w:color="auto" w:fill="FFFFFF"/>
        </w:rPr>
      </w:pPr>
      <w:r>
        <w:rPr>
          <w:rFonts w:asciiTheme="majorBidi" w:hAnsiTheme="majorBidi" w:cstheme="majorBidi"/>
          <w:shd w:val="clear" w:color="auto" w:fill="FFFFFF"/>
        </w:rPr>
        <w:t>No lietas materiāliem izriet, ka 2025. gada 22.</w:t>
      </w:r>
      <w:r w:rsidR="00172201">
        <w:rPr>
          <w:rFonts w:asciiTheme="majorBidi" w:hAnsiTheme="majorBidi" w:cstheme="majorBidi"/>
          <w:shd w:val="clear" w:color="auto" w:fill="FFFFFF"/>
        </w:rPr>
        <w:t> </w:t>
      </w:r>
      <w:r>
        <w:rPr>
          <w:rFonts w:asciiTheme="majorBidi" w:hAnsiTheme="majorBidi" w:cstheme="majorBidi"/>
          <w:shd w:val="clear" w:color="auto" w:fill="FFFFFF"/>
        </w:rPr>
        <w:t xml:space="preserve">oktobrī </w:t>
      </w:r>
      <w:r w:rsidR="00D42F29">
        <w:rPr>
          <w:rFonts w:asciiTheme="majorBidi" w:hAnsiTheme="majorBidi" w:cstheme="majorBidi"/>
          <w:shd w:val="clear" w:color="auto" w:fill="FFFFFF"/>
        </w:rPr>
        <w:t>[pers. A]</w:t>
      </w:r>
      <w:r>
        <w:rPr>
          <w:rFonts w:asciiTheme="majorBidi" w:hAnsiTheme="majorBidi" w:cstheme="majorBidi"/>
          <w:shd w:val="clear" w:color="auto" w:fill="FFFFFF"/>
        </w:rPr>
        <w:t xml:space="preserve"> no ieslodzījuma </w:t>
      </w:r>
      <w:r>
        <w:rPr>
          <w:rFonts w:asciiTheme="majorBidi" w:hAnsiTheme="majorBidi" w:cstheme="majorBidi"/>
          <w:shd w:val="clear" w:color="auto" w:fill="FFFFFF"/>
        </w:rPr>
        <w:lastRenderedPageBreak/>
        <w:t>vietas ir atbrīvota sakarā ar tiesas piespriestā soda izciešanu (</w:t>
      </w:r>
      <w:r w:rsidRPr="00B40321">
        <w:rPr>
          <w:rFonts w:asciiTheme="majorBidi" w:hAnsiTheme="majorBidi" w:cstheme="majorBidi"/>
          <w:i/>
          <w:iCs/>
          <w:shd w:val="clear" w:color="auto" w:fill="FFFFFF"/>
        </w:rPr>
        <w:t>lietas 2. sējuma 87. lapa</w:t>
      </w:r>
      <w:r>
        <w:rPr>
          <w:rFonts w:asciiTheme="majorBidi" w:hAnsiTheme="majorBidi" w:cstheme="majorBidi"/>
          <w:shd w:val="clear" w:color="auto" w:fill="FFFFFF"/>
        </w:rPr>
        <w:t xml:space="preserve">). </w:t>
      </w:r>
    </w:p>
    <w:p w14:paraId="56BD3BFD" w14:textId="17A2D775" w:rsidR="002D6C87" w:rsidRDefault="002D6C87" w:rsidP="00172201">
      <w:pPr>
        <w:shd w:val="clear" w:color="auto" w:fill="FFFFFF"/>
        <w:tabs>
          <w:tab w:val="num" w:pos="720"/>
        </w:tabs>
        <w:spacing w:line="276" w:lineRule="auto"/>
        <w:ind w:firstLine="720"/>
        <w:contextualSpacing/>
        <w:jc w:val="both"/>
        <w:rPr>
          <w:shd w:val="clear" w:color="auto" w:fill="FFFFFF"/>
        </w:rPr>
      </w:pPr>
      <w:r>
        <w:rPr>
          <w:shd w:val="clear" w:color="auto" w:fill="FFFFFF"/>
        </w:rPr>
        <w:t>Senāts atzīst, ka drošības līdzekļa piemērošanai apsūdzētajai šajā kriminālprocesa stadijā nav tiesiska pamata.</w:t>
      </w:r>
    </w:p>
    <w:p w14:paraId="3197A234" w14:textId="77777777" w:rsidR="00172201" w:rsidRPr="00172201" w:rsidRDefault="00172201" w:rsidP="00172201">
      <w:pPr>
        <w:shd w:val="clear" w:color="auto" w:fill="FFFFFF"/>
        <w:tabs>
          <w:tab w:val="num" w:pos="720"/>
        </w:tabs>
        <w:spacing w:line="276" w:lineRule="auto"/>
        <w:ind w:firstLine="720"/>
        <w:contextualSpacing/>
        <w:jc w:val="both"/>
        <w:rPr>
          <w:shd w:val="clear" w:color="auto" w:fill="FFFFFF"/>
        </w:rPr>
      </w:pPr>
    </w:p>
    <w:bookmarkEnd w:id="3"/>
    <w:p w14:paraId="655E2732" w14:textId="539DEA2A" w:rsidR="00810490" w:rsidRDefault="00415764" w:rsidP="00810490">
      <w:pPr>
        <w:shd w:val="clear" w:color="auto" w:fill="FFFFFF"/>
        <w:spacing w:before="360" w:after="360" w:line="276" w:lineRule="auto"/>
        <w:contextualSpacing/>
        <w:jc w:val="center"/>
        <w:rPr>
          <w:rFonts w:asciiTheme="majorBidi" w:hAnsiTheme="majorBidi" w:cstheme="majorBidi"/>
          <w:b/>
        </w:rPr>
      </w:pPr>
      <w:r w:rsidRPr="003E2E8D">
        <w:rPr>
          <w:rFonts w:asciiTheme="majorBidi" w:hAnsiTheme="majorBidi" w:cstheme="majorBidi"/>
          <w:b/>
        </w:rPr>
        <w:t>R</w:t>
      </w:r>
      <w:r w:rsidR="00810490" w:rsidRPr="003E2E8D">
        <w:rPr>
          <w:rFonts w:asciiTheme="majorBidi" w:hAnsiTheme="majorBidi" w:cstheme="majorBidi"/>
          <w:b/>
        </w:rPr>
        <w:t>ezolutīvā daļa</w:t>
      </w:r>
    </w:p>
    <w:p w14:paraId="64E305D5" w14:textId="77777777" w:rsidR="00172201" w:rsidRPr="003E2E8D" w:rsidRDefault="00172201" w:rsidP="00810490">
      <w:pPr>
        <w:shd w:val="clear" w:color="auto" w:fill="FFFFFF"/>
        <w:spacing w:before="360" w:after="360" w:line="276" w:lineRule="auto"/>
        <w:contextualSpacing/>
        <w:jc w:val="center"/>
        <w:rPr>
          <w:rFonts w:asciiTheme="majorBidi" w:hAnsiTheme="majorBidi" w:cstheme="majorBidi"/>
          <w:b/>
        </w:rPr>
      </w:pPr>
    </w:p>
    <w:p w14:paraId="0B8FFD7D" w14:textId="77777777" w:rsidR="00521039" w:rsidRDefault="00810490" w:rsidP="00521039">
      <w:pPr>
        <w:spacing w:line="276" w:lineRule="auto"/>
        <w:ind w:firstLine="720"/>
        <w:contextualSpacing/>
        <w:jc w:val="both"/>
        <w:rPr>
          <w:rFonts w:asciiTheme="majorBidi" w:hAnsiTheme="majorBidi" w:cstheme="majorBidi"/>
        </w:rPr>
      </w:pPr>
      <w:r w:rsidRPr="003E2E8D">
        <w:rPr>
          <w:rFonts w:asciiTheme="majorBidi" w:hAnsiTheme="majorBidi" w:cstheme="majorBidi"/>
        </w:rPr>
        <w:t xml:space="preserve">Pamatojoties uz Kriminālprocesa likuma 585. pantu un 587. panta pirmās daļas </w:t>
      </w:r>
      <w:r w:rsidR="003E2E8D">
        <w:rPr>
          <w:rFonts w:asciiTheme="majorBidi" w:hAnsiTheme="majorBidi" w:cstheme="majorBidi"/>
        </w:rPr>
        <w:t>2</w:t>
      </w:r>
      <w:r w:rsidRPr="003E2E8D">
        <w:rPr>
          <w:rFonts w:asciiTheme="majorBidi" w:hAnsiTheme="majorBidi" w:cstheme="majorBidi"/>
        </w:rPr>
        <w:t>. punktu, Senāts</w:t>
      </w:r>
    </w:p>
    <w:p w14:paraId="449D0C46" w14:textId="77777777" w:rsidR="00521039" w:rsidRDefault="00521039" w:rsidP="00521039">
      <w:pPr>
        <w:spacing w:line="276" w:lineRule="auto"/>
        <w:ind w:firstLine="720"/>
        <w:contextualSpacing/>
        <w:jc w:val="both"/>
        <w:rPr>
          <w:rFonts w:asciiTheme="majorBidi" w:hAnsiTheme="majorBidi" w:cstheme="majorBidi"/>
        </w:rPr>
      </w:pPr>
    </w:p>
    <w:p w14:paraId="4A81C830" w14:textId="464E4AEC" w:rsidR="00810490" w:rsidRPr="00521039" w:rsidRDefault="00521039" w:rsidP="00521039">
      <w:pPr>
        <w:spacing w:line="276" w:lineRule="auto"/>
        <w:contextualSpacing/>
        <w:jc w:val="center"/>
        <w:rPr>
          <w:rFonts w:asciiTheme="majorBidi" w:hAnsiTheme="majorBidi" w:cstheme="majorBidi"/>
          <w:b/>
          <w:bCs/>
        </w:rPr>
      </w:pPr>
      <w:r w:rsidRPr="00521039">
        <w:rPr>
          <w:rFonts w:asciiTheme="majorBidi" w:hAnsiTheme="majorBidi" w:cstheme="majorBidi"/>
          <w:b/>
          <w:bCs/>
        </w:rPr>
        <w:t>n</w:t>
      </w:r>
      <w:r w:rsidR="00810490" w:rsidRPr="00521039">
        <w:rPr>
          <w:rFonts w:asciiTheme="majorBidi" w:hAnsiTheme="majorBidi" w:cstheme="majorBidi"/>
          <w:b/>
          <w:bCs/>
        </w:rPr>
        <w:t>olēma</w:t>
      </w:r>
    </w:p>
    <w:p w14:paraId="6FE9AF3A" w14:textId="77777777" w:rsidR="00810490" w:rsidRPr="003E2E8D" w:rsidRDefault="00810490" w:rsidP="00810490">
      <w:pPr>
        <w:shd w:val="clear" w:color="auto" w:fill="FFFFFF"/>
        <w:spacing w:line="276" w:lineRule="auto"/>
        <w:contextualSpacing/>
        <w:jc w:val="center"/>
        <w:rPr>
          <w:rFonts w:asciiTheme="majorBidi" w:hAnsiTheme="majorBidi" w:cstheme="majorBidi"/>
          <w:b/>
        </w:rPr>
      </w:pPr>
    </w:p>
    <w:p w14:paraId="524E5C13" w14:textId="60227574" w:rsidR="002C737B" w:rsidRPr="003E2E8D" w:rsidRDefault="00810490" w:rsidP="002C737B">
      <w:pPr>
        <w:shd w:val="clear" w:color="auto" w:fill="FFFFFF"/>
        <w:spacing w:line="276" w:lineRule="auto"/>
        <w:contextualSpacing/>
        <w:jc w:val="both"/>
        <w:rPr>
          <w:rFonts w:asciiTheme="majorBidi" w:hAnsiTheme="majorBidi" w:cstheme="majorBidi"/>
        </w:rPr>
      </w:pPr>
      <w:r w:rsidRPr="003E2E8D">
        <w:rPr>
          <w:rFonts w:asciiTheme="majorBidi" w:hAnsiTheme="majorBidi" w:cstheme="majorBidi"/>
        </w:rPr>
        <w:tab/>
      </w:r>
      <w:r w:rsidR="003B156E" w:rsidRPr="003E2E8D">
        <w:rPr>
          <w:rFonts w:asciiTheme="majorBidi" w:hAnsiTheme="majorBidi" w:cstheme="majorBidi"/>
        </w:rPr>
        <w:t>Rīgas apgabaltiesas 2025. gada 11. jūnija lēmumu atcelt daļā, ar kuru</w:t>
      </w:r>
      <w:r w:rsidR="002C737B" w:rsidRPr="003E2E8D">
        <w:rPr>
          <w:rFonts w:asciiTheme="majorBidi" w:hAnsiTheme="majorBidi" w:cstheme="majorBidi"/>
        </w:rPr>
        <w:t xml:space="preserve"> </w:t>
      </w:r>
      <w:r w:rsidR="00385E30" w:rsidRPr="003E2E8D">
        <w:rPr>
          <w:rFonts w:asciiTheme="majorBidi" w:hAnsiTheme="majorBidi" w:cstheme="majorBidi"/>
        </w:rPr>
        <w:t xml:space="preserve">atcelts </w:t>
      </w:r>
      <w:r w:rsidR="002C737B" w:rsidRPr="003E2E8D">
        <w:rPr>
          <w:rFonts w:asciiTheme="majorBidi" w:hAnsiTheme="majorBidi" w:cstheme="majorBidi"/>
        </w:rPr>
        <w:t xml:space="preserve">Rīgas pilsētas tiesas 2025. gada 12. februāra spriedums par </w:t>
      </w:r>
      <w:r w:rsidR="00D42F29">
        <w:rPr>
          <w:rFonts w:asciiTheme="majorBidi" w:hAnsiTheme="majorBidi" w:cstheme="majorBidi"/>
        </w:rPr>
        <w:t>[pers. A]</w:t>
      </w:r>
      <w:r w:rsidR="003B156E" w:rsidRPr="003E2E8D">
        <w:rPr>
          <w:rFonts w:asciiTheme="majorBidi" w:hAnsiTheme="majorBidi" w:cstheme="majorBidi"/>
        </w:rPr>
        <w:t xml:space="preserve"> noteikt</w:t>
      </w:r>
      <w:r w:rsidR="002C737B" w:rsidRPr="003E2E8D">
        <w:rPr>
          <w:rFonts w:asciiTheme="majorBidi" w:hAnsiTheme="majorBidi" w:cstheme="majorBidi"/>
        </w:rPr>
        <w:t>o</w:t>
      </w:r>
      <w:r w:rsidR="003B156E" w:rsidRPr="003E2E8D">
        <w:rPr>
          <w:rFonts w:asciiTheme="majorBidi" w:hAnsiTheme="majorBidi" w:cstheme="majorBidi"/>
        </w:rPr>
        <w:t xml:space="preserve"> medicīniska rakstura piespiedu līdzekli – </w:t>
      </w:r>
      <w:r w:rsidR="002C737B" w:rsidRPr="003E2E8D">
        <w:rPr>
          <w:rFonts w:asciiTheme="majorBidi" w:hAnsiTheme="majorBidi" w:cstheme="majorBidi"/>
        </w:rPr>
        <w:t xml:space="preserve">ambulatoro </w:t>
      </w:r>
      <w:r w:rsidR="003B156E" w:rsidRPr="003E2E8D">
        <w:rPr>
          <w:rFonts w:asciiTheme="majorBidi" w:hAnsiTheme="majorBidi" w:cstheme="majorBidi"/>
        </w:rPr>
        <w:t>ārstēšan</w:t>
      </w:r>
      <w:r w:rsidR="002C737B" w:rsidRPr="003E2E8D">
        <w:rPr>
          <w:rFonts w:asciiTheme="majorBidi" w:hAnsiTheme="majorBidi" w:cstheme="majorBidi"/>
        </w:rPr>
        <w:t>u</w:t>
      </w:r>
      <w:r w:rsidR="003B156E" w:rsidRPr="003E2E8D">
        <w:rPr>
          <w:rFonts w:asciiTheme="majorBidi" w:hAnsiTheme="majorBidi" w:cstheme="majorBidi"/>
        </w:rPr>
        <w:t xml:space="preserve"> </w:t>
      </w:r>
      <w:r w:rsidR="002C737B" w:rsidRPr="003E2E8D">
        <w:rPr>
          <w:rFonts w:asciiTheme="majorBidi" w:hAnsiTheme="majorBidi" w:cstheme="majorBidi"/>
        </w:rPr>
        <w:t>medicīnas iestādē;</w:t>
      </w:r>
    </w:p>
    <w:p w14:paraId="05063EB3" w14:textId="7488AFAE" w:rsidR="002C737B" w:rsidRPr="003E2E8D" w:rsidRDefault="002C737B" w:rsidP="002C737B">
      <w:pPr>
        <w:shd w:val="clear" w:color="auto" w:fill="FFFFFF"/>
        <w:spacing w:line="276" w:lineRule="auto"/>
        <w:ind w:firstLine="720"/>
        <w:contextualSpacing/>
        <w:jc w:val="both"/>
        <w:rPr>
          <w:rFonts w:asciiTheme="majorBidi" w:hAnsiTheme="majorBidi" w:cstheme="majorBidi"/>
        </w:rPr>
      </w:pPr>
      <w:r w:rsidRPr="003E2E8D">
        <w:rPr>
          <w:rFonts w:asciiTheme="majorBidi" w:hAnsiTheme="majorBidi" w:cstheme="majorBidi"/>
        </w:rPr>
        <w:t xml:space="preserve">atceltajā </w:t>
      </w:r>
      <w:r w:rsidR="003B156E" w:rsidRPr="003E2E8D">
        <w:rPr>
          <w:rFonts w:asciiTheme="majorBidi" w:hAnsiTheme="majorBidi" w:cstheme="majorBidi"/>
        </w:rPr>
        <w:t>daļā lietu nosūtīt jaunai izskatīšanai Rīgas apgabaltiesā</w:t>
      </w:r>
      <w:r w:rsidRPr="003E2E8D">
        <w:rPr>
          <w:rFonts w:asciiTheme="majorBidi" w:hAnsiTheme="majorBidi" w:cstheme="majorBidi"/>
        </w:rPr>
        <w:t>;</w:t>
      </w:r>
    </w:p>
    <w:p w14:paraId="3FC4E034" w14:textId="09D65759" w:rsidR="002C737B" w:rsidRPr="003E2E8D" w:rsidRDefault="002C737B" w:rsidP="002C737B">
      <w:pPr>
        <w:shd w:val="clear" w:color="auto" w:fill="FFFFFF"/>
        <w:spacing w:line="276" w:lineRule="auto"/>
        <w:ind w:firstLine="720"/>
        <w:contextualSpacing/>
        <w:jc w:val="both"/>
        <w:rPr>
          <w:rFonts w:asciiTheme="majorBidi" w:hAnsiTheme="majorBidi" w:cstheme="majorBidi"/>
        </w:rPr>
      </w:pPr>
      <w:r w:rsidRPr="003E2E8D">
        <w:rPr>
          <w:rFonts w:asciiTheme="majorBidi" w:hAnsiTheme="majorBidi" w:cstheme="majorBidi"/>
        </w:rPr>
        <w:t>p</w:t>
      </w:r>
      <w:r w:rsidR="003B156E" w:rsidRPr="003E2E8D">
        <w:rPr>
          <w:rFonts w:asciiTheme="majorBidi" w:hAnsiTheme="majorBidi" w:cstheme="majorBidi"/>
        </w:rPr>
        <w:t>ārējā daļā apelācijas instances tiesas lēmumu atstāt negrozītu</w:t>
      </w:r>
      <w:r w:rsidR="00385E30" w:rsidRPr="003E2E8D">
        <w:rPr>
          <w:rFonts w:asciiTheme="majorBidi" w:hAnsiTheme="majorBidi" w:cstheme="majorBidi"/>
        </w:rPr>
        <w:t>.</w:t>
      </w:r>
    </w:p>
    <w:p w14:paraId="10B0167D" w14:textId="77777777" w:rsidR="00725CB0" w:rsidRPr="003E2E8D" w:rsidRDefault="00725CB0" w:rsidP="00BE0717">
      <w:pPr>
        <w:shd w:val="clear" w:color="auto" w:fill="FFFFFF"/>
        <w:spacing w:line="276" w:lineRule="auto"/>
        <w:ind w:firstLine="720"/>
        <w:jc w:val="both"/>
        <w:rPr>
          <w:rFonts w:asciiTheme="majorBidi" w:hAnsiTheme="majorBidi" w:cstheme="majorBidi"/>
          <w:bCs/>
        </w:rPr>
      </w:pPr>
    </w:p>
    <w:p w14:paraId="7F39491C" w14:textId="77777777" w:rsidR="00810490" w:rsidRPr="003E2E8D" w:rsidRDefault="00810490" w:rsidP="00725CB0">
      <w:pPr>
        <w:spacing w:line="276" w:lineRule="auto"/>
        <w:ind w:firstLine="709"/>
        <w:rPr>
          <w:rFonts w:asciiTheme="majorBidi" w:hAnsiTheme="majorBidi" w:cstheme="majorBidi"/>
        </w:rPr>
      </w:pPr>
    </w:p>
    <w:p w14:paraId="087E019F" w14:textId="2500BB68" w:rsidR="006B1995" w:rsidRPr="003E2E8D" w:rsidRDefault="00810490" w:rsidP="00D42F29">
      <w:pPr>
        <w:spacing w:line="276" w:lineRule="auto"/>
        <w:ind w:firstLine="720"/>
        <w:jc w:val="both"/>
        <w:rPr>
          <w:rFonts w:asciiTheme="majorBidi" w:hAnsiTheme="majorBidi" w:cstheme="majorBidi"/>
        </w:rPr>
      </w:pPr>
      <w:r w:rsidRPr="003E2E8D">
        <w:rPr>
          <w:rFonts w:asciiTheme="majorBidi" w:hAnsiTheme="majorBidi" w:cstheme="majorBidi"/>
        </w:rPr>
        <w:t>Lēmums nav pārsūdzams.</w:t>
      </w:r>
    </w:p>
    <w:sectPr w:rsidR="006B1995" w:rsidRPr="003E2E8D" w:rsidSect="00810490">
      <w:footerReference w:type="default" r:id="rId12"/>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F74B4" w14:textId="77777777" w:rsidR="003C5242" w:rsidRDefault="003C5242">
      <w:r>
        <w:separator/>
      </w:r>
    </w:p>
  </w:endnote>
  <w:endnote w:type="continuationSeparator" w:id="0">
    <w:p w14:paraId="7236ADBB" w14:textId="77777777" w:rsidR="003C5242" w:rsidRDefault="003C5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138224"/>
      <w:docPartObj>
        <w:docPartGallery w:val="Page Numbers (Bottom of Page)"/>
        <w:docPartUnique/>
      </w:docPartObj>
    </w:sdtPr>
    <w:sdtEndPr/>
    <w:sdtContent>
      <w:sdt>
        <w:sdtPr>
          <w:id w:val="1728636285"/>
          <w:docPartObj>
            <w:docPartGallery w:val="Page Numbers (Top of Page)"/>
            <w:docPartUnique/>
          </w:docPartObj>
        </w:sdtPr>
        <w:sdtEndPr/>
        <w:sdtContent>
          <w:p w14:paraId="2A587FCC" w14:textId="77777777" w:rsidR="00810490" w:rsidRDefault="00810490">
            <w:pPr>
              <w:pStyle w:val="Footer"/>
              <w:jc w:val="center"/>
            </w:pPr>
            <w:r w:rsidRPr="00D16FC9">
              <w:rPr>
                <w:sz w:val="20"/>
                <w:szCs w:val="20"/>
              </w:rPr>
              <w:fldChar w:fldCharType="begin"/>
            </w:r>
            <w:r w:rsidRPr="00D16FC9">
              <w:rPr>
                <w:sz w:val="20"/>
                <w:szCs w:val="20"/>
              </w:rPr>
              <w:instrText xml:space="preserve"> PAGE </w:instrText>
            </w:r>
            <w:r w:rsidRPr="00D16FC9">
              <w:rPr>
                <w:sz w:val="20"/>
                <w:szCs w:val="20"/>
              </w:rPr>
              <w:fldChar w:fldCharType="separate"/>
            </w:r>
            <w:r w:rsidRPr="00D16FC9">
              <w:rPr>
                <w:noProof/>
                <w:sz w:val="20"/>
                <w:szCs w:val="20"/>
              </w:rPr>
              <w:t>2</w:t>
            </w:r>
            <w:r w:rsidRPr="00D16FC9">
              <w:rPr>
                <w:sz w:val="20"/>
                <w:szCs w:val="20"/>
              </w:rPr>
              <w:fldChar w:fldCharType="end"/>
            </w:r>
            <w:r w:rsidRPr="00D16FC9">
              <w:rPr>
                <w:sz w:val="20"/>
                <w:szCs w:val="20"/>
              </w:rPr>
              <w:t xml:space="preserve"> no </w:t>
            </w:r>
            <w:r w:rsidRPr="00D16FC9">
              <w:rPr>
                <w:sz w:val="20"/>
                <w:szCs w:val="20"/>
              </w:rPr>
              <w:fldChar w:fldCharType="begin"/>
            </w:r>
            <w:r w:rsidRPr="00D16FC9">
              <w:rPr>
                <w:sz w:val="20"/>
                <w:szCs w:val="20"/>
              </w:rPr>
              <w:instrText xml:space="preserve"> NUMPAGES  </w:instrText>
            </w:r>
            <w:r w:rsidRPr="00D16FC9">
              <w:rPr>
                <w:sz w:val="20"/>
                <w:szCs w:val="20"/>
              </w:rPr>
              <w:fldChar w:fldCharType="separate"/>
            </w:r>
            <w:r w:rsidRPr="00D16FC9">
              <w:rPr>
                <w:noProof/>
                <w:sz w:val="20"/>
                <w:szCs w:val="20"/>
              </w:rPr>
              <w:t>2</w:t>
            </w:r>
            <w:r w:rsidRPr="00D16FC9">
              <w:rPr>
                <w:sz w:val="20"/>
                <w:szCs w:val="20"/>
              </w:rPr>
              <w:fldChar w:fldCharType="end"/>
            </w:r>
          </w:p>
        </w:sdtContent>
      </w:sdt>
    </w:sdtContent>
  </w:sdt>
  <w:p w14:paraId="202B79F9" w14:textId="77777777" w:rsidR="00810490" w:rsidRDefault="00810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2C813" w14:textId="77777777" w:rsidR="003C5242" w:rsidRDefault="003C5242">
      <w:r>
        <w:separator/>
      </w:r>
    </w:p>
  </w:footnote>
  <w:footnote w:type="continuationSeparator" w:id="0">
    <w:p w14:paraId="731A51C2" w14:textId="77777777" w:rsidR="003C5242" w:rsidRDefault="003C5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23C46"/>
    <w:multiLevelType w:val="hybridMultilevel"/>
    <w:tmpl w:val="E994785C"/>
    <w:lvl w:ilvl="0" w:tplc="BA784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2D2D9E"/>
    <w:multiLevelType w:val="hybridMultilevel"/>
    <w:tmpl w:val="6C8CD9B6"/>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14901F95"/>
    <w:multiLevelType w:val="multilevel"/>
    <w:tmpl w:val="CC988C0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2.%3."/>
      <w:lvlJc w:val="right"/>
      <w:pPr>
        <w:ind w:left="1440" w:hanging="180"/>
      </w:pPr>
    </w:lvl>
    <w:lvl w:ilvl="3">
      <w:start w:val="1"/>
      <w:numFmt w:val="decimal"/>
      <w:lvlText w:val="%2.%3.%4."/>
      <w:lvlJc w:val="left"/>
      <w:pPr>
        <w:ind w:left="2160" w:hanging="360"/>
      </w:pPr>
    </w:lvl>
    <w:lvl w:ilvl="4">
      <w:start w:val="1"/>
      <w:numFmt w:val="lowerLetter"/>
      <w:lvlText w:val="%2.%3.%4.%5."/>
      <w:lvlJc w:val="left"/>
      <w:pPr>
        <w:ind w:left="2880" w:hanging="360"/>
      </w:pPr>
    </w:lvl>
    <w:lvl w:ilvl="5">
      <w:start w:val="1"/>
      <w:numFmt w:val="lowerRoman"/>
      <w:lvlText w:val="%2.%3.%4.%5.%6."/>
      <w:lvlJc w:val="right"/>
      <w:pPr>
        <w:ind w:left="3600" w:hanging="180"/>
      </w:pPr>
    </w:lvl>
    <w:lvl w:ilvl="6">
      <w:start w:val="1"/>
      <w:numFmt w:val="decimal"/>
      <w:lvlText w:val="%2.%3.%4.%5.%6.%7."/>
      <w:lvlJc w:val="left"/>
      <w:pPr>
        <w:ind w:left="4320" w:hanging="360"/>
      </w:pPr>
    </w:lvl>
    <w:lvl w:ilvl="7">
      <w:start w:val="1"/>
      <w:numFmt w:val="lowerLetter"/>
      <w:lvlText w:val="%2.%3.%4.%5.%6.%7.%8."/>
      <w:lvlJc w:val="left"/>
      <w:pPr>
        <w:ind w:left="5040" w:hanging="360"/>
      </w:pPr>
    </w:lvl>
    <w:lvl w:ilvl="8">
      <w:start w:val="1"/>
      <w:numFmt w:val="lowerRoman"/>
      <w:lvlText w:val="%2.%3.%4.%5.%6.%7.%8.%9."/>
      <w:lvlJc w:val="right"/>
      <w:pPr>
        <w:ind w:left="5760" w:hanging="180"/>
      </w:pPr>
    </w:lvl>
  </w:abstractNum>
  <w:abstractNum w:abstractNumId="3" w15:restartNumberingAfterBreak="0">
    <w:nsid w:val="1A8D36EA"/>
    <w:multiLevelType w:val="hybridMultilevel"/>
    <w:tmpl w:val="51BC2838"/>
    <w:lvl w:ilvl="0" w:tplc="E61666AC">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4" w15:restartNumberingAfterBreak="0">
    <w:nsid w:val="32F10699"/>
    <w:multiLevelType w:val="hybridMultilevel"/>
    <w:tmpl w:val="176620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36365AB"/>
    <w:multiLevelType w:val="hybridMultilevel"/>
    <w:tmpl w:val="E7AEC370"/>
    <w:lvl w:ilvl="0" w:tplc="62DADD4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6CE85537"/>
    <w:multiLevelType w:val="hybridMultilevel"/>
    <w:tmpl w:val="577A3FA2"/>
    <w:lvl w:ilvl="0" w:tplc="04090011">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630624502">
    <w:abstractNumId w:val="0"/>
  </w:num>
  <w:num w:numId="2" w16cid:durableId="2138717068">
    <w:abstractNumId w:val="2"/>
  </w:num>
  <w:num w:numId="3" w16cid:durableId="8227711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1988489">
    <w:abstractNumId w:val="5"/>
  </w:num>
  <w:num w:numId="5" w16cid:durableId="840586693">
    <w:abstractNumId w:val="1"/>
  </w:num>
  <w:num w:numId="6" w16cid:durableId="1453671419">
    <w:abstractNumId w:val="6"/>
  </w:num>
  <w:num w:numId="7" w16cid:durableId="954141077">
    <w:abstractNumId w:val="4"/>
  </w:num>
  <w:num w:numId="8" w16cid:durableId="1409302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490"/>
    <w:rsid w:val="0000267E"/>
    <w:rsid w:val="00024850"/>
    <w:rsid w:val="00045384"/>
    <w:rsid w:val="00057AB3"/>
    <w:rsid w:val="000833F2"/>
    <w:rsid w:val="00095489"/>
    <w:rsid w:val="000B08C4"/>
    <w:rsid w:val="000B2489"/>
    <w:rsid w:val="000F6A2F"/>
    <w:rsid w:val="00102E1B"/>
    <w:rsid w:val="00110B86"/>
    <w:rsid w:val="001126EC"/>
    <w:rsid w:val="001222FB"/>
    <w:rsid w:val="00152C06"/>
    <w:rsid w:val="00166BB3"/>
    <w:rsid w:val="00172201"/>
    <w:rsid w:val="00194DB0"/>
    <w:rsid w:val="001A0C16"/>
    <w:rsid w:val="001D1936"/>
    <w:rsid w:val="001F485C"/>
    <w:rsid w:val="0020113A"/>
    <w:rsid w:val="00205891"/>
    <w:rsid w:val="00235E64"/>
    <w:rsid w:val="002444BF"/>
    <w:rsid w:val="00257257"/>
    <w:rsid w:val="002B0805"/>
    <w:rsid w:val="002C737B"/>
    <w:rsid w:val="002D6C87"/>
    <w:rsid w:val="002F1A92"/>
    <w:rsid w:val="002F205C"/>
    <w:rsid w:val="002F568E"/>
    <w:rsid w:val="003065F9"/>
    <w:rsid w:val="003068C8"/>
    <w:rsid w:val="00306AF6"/>
    <w:rsid w:val="00327EC6"/>
    <w:rsid w:val="00344BBD"/>
    <w:rsid w:val="003520CE"/>
    <w:rsid w:val="003545D9"/>
    <w:rsid w:val="00370E54"/>
    <w:rsid w:val="003824D7"/>
    <w:rsid w:val="00385E30"/>
    <w:rsid w:val="0039047A"/>
    <w:rsid w:val="00392939"/>
    <w:rsid w:val="00394937"/>
    <w:rsid w:val="0039762E"/>
    <w:rsid w:val="003A1211"/>
    <w:rsid w:val="003A1742"/>
    <w:rsid w:val="003A5DA6"/>
    <w:rsid w:val="003A7951"/>
    <w:rsid w:val="003A7BE0"/>
    <w:rsid w:val="003B0A46"/>
    <w:rsid w:val="003B156E"/>
    <w:rsid w:val="003B3B8E"/>
    <w:rsid w:val="003C5242"/>
    <w:rsid w:val="003E2E8D"/>
    <w:rsid w:val="003E52B2"/>
    <w:rsid w:val="00415764"/>
    <w:rsid w:val="004223E1"/>
    <w:rsid w:val="00423977"/>
    <w:rsid w:val="004523DA"/>
    <w:rsid w:val="00455532"/>
    <w:rsid w:val="00456415"/>
    <w:rsid w:val="004A63AC"/>
    <w:rsid w:val="00513149"/>
    <w:rsid w:val="00521039"/>
    <w:rsid w:val="00525C20"/>
    <w:rsid w:val="005369E3"/>
    <w:rsid w:val="00561AE5"/>
    <w:rsid w:val="00582786"/>
    <w:rsid w:val="005A40F9"/>
    <w:rsid w:val="005D5C2C"/>
    <w:rsid w:val="005E0FFD"/>
    <w:rsid w:val="005F0E38"/>
    <w:rsid w:val="006104B3"/>
    <w:rsid w:val="006242DA"/>
    <w:rsid w:val="0064324F"/>
    <w:rsid w:val="00671A5B"/>
    <w:rsid w:val="006756DB"/>
    <w:rsid w:val="00677B32"/>
    <w:rsid w:val="00686141"/>
    <w:rsid w:val="006A2630"/>
    <w:rsid w:val="006B14FD"/>
    <w:rsid w:val="006B1995"/>
    <w:rsid w:val="006C4281"/>
    <w:rsid w:val="006E7BAF"/>
    <w:rsid w:val="006F322E"/>
    <w:rsid w:val="00706806"/>
    <w:rsid w:val="0071388D"/>
    <w:rsid w:val="00725CB0"/>
    <w:rsid w:val="007444C9"/>
    <w:rsid w:val="00744B01"/>
    <w:rsid w:val="0075587F"/>
    <w:rsid w:val="00766338"/>
    <w:rsid w:val="007679FA"/>
    <w:rsid w:val="007717E7"/>
    <w:rsid w:val="007A4F65"/>
    <w:rsid w:val="007A7924"/>
    <w:rsid w:val="007B04D9"/>
    <w:rsid w:val="007C2EC9"/>
    <w:rsid w:val="007C78B0"/>
    <w:rsid w:val="007D2B7A"/>
    <w:rsid w:val="007D4477"/>
    <w:rsid w:val="007D7FB4"/>
    <w:rsid w:val="007E74CD"/>
    <w:rsid w:val="00801FF0"/>
    <w:rsid w:val="00810490"/>
    <w:rsid w:val="008272F2"/>
    <w:rsid w:val="00866DAF"/>
    <w:rsid w:val="00873C9F"/>
    <w:rsid w:val="00877F16"/>
    <w:rsid w:val="00890093"/>
    <w:rsid w:val="00893538"/>
    <w:rsid w:val="008951BE"/>
    <w:rsid w:val="008A26F2"/>
    <w:rsid w:val="008C1D16"/>
    <w:rsid w:val="008C574D"/>
    <w:rsid w:val="008D5E6F"/>
    <w:rsid w:val="008F0791"/>
    <w:rsid w:val="008F3B1A"/>
    <w:rsid w:val="008F7528"/>
    <w:rsid w:val="00900318"/>
    <w:rsid w:val="009032C9"/>
    <w:rsid w:val="009161D0"/>
    <w:rsid w:val="00920BC2"/>
    <w:rsid w:val="00921CBB"/>
    <w:rsid w:val="00941A5D"/>
    <w:rsid w:val="00950182"/>
    <w:rsid w:val="00955884"/>
    <w:rsid w:val="00967E3D"/>
    <w:rsid w:val="0098024E"/>
    <w:rsid w:val="0098272C"/>
    <w:rsid w:val="00995BED"/>
    <w:rsid w:val="009B078A"/>
    <w:rsid w:val="009E0F3F"/>
    <w:rsid w:val="009E69B4"/>
    <w:rsid w:val="009E7BD0"/>
    <w:rsid w:val="009F1F5C"/>
    <w:rsid w:val="00A00775"/>
    <w:rsid w:val="00A1762F"/>
    <w:rsid w:val="00A24DD6"/>
    <w:rsid w:val="00A25BB6"/>
    <w:rsid w:val="00A36D74"/>
    <w:rsid w:val="00A373CD"/>
    <w:rsid w:val="00A5188C"/>
    <w:rsid w:val="00A56BA7"/>
    <w:rsid w:val="00A57B0A"/>
    <w:rsid w:val="00A904BF"/>
    <w:rsid w:val="00AA4578"/>
    <w:rsid w:val="00AA6D1F"/>
    <w:rsid w:val="00AC24BB"/>
    <w:rsid w:val="00AE0A37"/>
    <w:rsid w:val="00AE2B4B"/>
    <w:rsid w:val="00B0141E"/>
    <w:rsid w:val="00B07A08"/>
    <w:rsid w:val="00B2414C"/>
    <w:rsid w:val="00B257EE"/>
    <w:rsid w:val="00B27F68"/>
    <w:rsid w:val="00B328D8"/>
    <w:rsid w:val="00B355F7"/>
    <w:rsid w:val="00B40321"/>
    <w:rsid w:val="00B44871"/>
    <w:rsid w:val="00B57F7C"/>
    <w:rsid w:val="00B60822"/>
    <w:rsid w:val="00B76484"/>
    <w:rsid w:val="00B7686D"/>
    <w:rsid w:val="00BA171D"/>
    <w:rsid w:val="00BB0A3F"/>
    <w:rsid w:val="00BB25D4"/>
    <w:rsid w:val="00BD672C"/>
    <w:rsid w:val="00BE0717"/>
    <w:rsid w:val="00BE327A"/>
    <w:rsid w:val="00BE4A95"/>
    <w:rsid w:val="00BF7522"/>
    <w:rsid w:val="00C00DDD"/>
    <w:rsid w:val="00C04436"/>
    <w:rsid w:val="00C04D1A"/>
    <w:rsid w:val="00C11DDD"/>
    <w:rsid w:val="00C23145"/>
    <w:rsid w:val="00C338FE"/>
    <w:rsid w:val="00C37901"/>
    <w:rsid w:val="00C40DE2"/>
    <w:rsid w:val="00C55956"/>
    <w:rsid w:val="00C612D1"/>
    <w:rsid w:val="00C70898"/>
    <w:rsid w:val="00C72196"/>
    <w:rsid w:val="00C81A90"/>
    <w:rsid w:val="00C916D5"/>
    <w:rsid w:val="00CA3CAE"/>
    <w:rsid w:val="00CF0952"/>
    <w:rsid w:val="00D3581B"/>
    <w:rsid w:val="00D35884"/>
    <w:rsid w:val="00D35D13"/>
    <w:rsid w:val="00D41474"/>
    <w:rsid w:val="00D42F29"/>
    <w:rsid w:val="00D75880"/>
    <w:rsid w:val="00D81AB6"/>
    <w:rsid w:val="00D870D8"/>
    <w:rsid w:val="00D903B6"/>
    <w:rsid w:val="00DA3E94"/>
    <w:rsid w:val="00DC6E26"/>
    <w:rsid w:val="00DD7819"/>
    <w:rsid w:val="00DE6300"/>
    <w:rsid w:val="00E01A70"/>
    <w:rsid w:val="00E20B5B"/>
    <w:rsid w:val="00E260C1"/>
    <w:rsid w:val="00E356F7"/>
    <w:rsid w:val="00E443E1"/>
    <w:rsid w:val="00E56DA3"/>
    <w:rsid w:val="00E63A46"/>
    <w:rsid w:val="00E7225B"/>
    <w:rsid w:val="00E876A7"/>
    <w:rsid w:val="00EA2FA8"/>
    <w:rsid w:val="00EC0E48"/>
    <w:rsid w:val="00ED494C"/>
    <w:rsid w:val="00EE4944"/>
    <w:rsid w:val="00EE7364"/>
    <w:rsid w:val="00EF1420"/>
    <w:rsid w:val="00F02251"/>
    <w:rsid w:val="00F05361"/>
    <w:rsid w:val="00F05C97"/>
    <w:rsid w:val="00F12A02"/>
    <w:rsid w:val="00F21D56"/>
    <w:rsid w:val="00F3150F"/>
    <w:rsid w:val="00F32B0F"/>
    <w:rsid w:val="00F44BFA"/>
    <w:rsid w:val="00F45C02"/>
    <w:rsid w:val="00F573D4"/>
    <w:rsid w:val="00F656E4"/>
    <w:rsid w:val="00F66CCE"/>
    <w:rsid w:val="00F81325"/>
    <w:rsid w:val="00F85366"/>
    <w:rsid w:val="00FB18B4"/>
    <w:rsid w:val="00FD0AF6"/>
    <w:rsid w:val="00FD0B3F"/>
    <w:rsid w:val="00FD317E"/>
    <w:rsid w:val="00FD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842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490"/>
    <w:pPr>
      <w:spacing w:after="0" w:line="240" w:lineRule="auto"/>
    </w:pPr>
    <w:rPr>
      <w:rFonts w:eastAsia="Times New Roman" w:cs="Times New Roman"/>
      <w:kern w:val="0"/>
      <w:szCs w:val="24"/>
      <w:lang w:val="lv-LV" w:eastAsia="ru-RU"/>
      <w14:ligatures w14:val="none"/>
    </w:rPr>
  </w:style>
  <w:style w:type="paragraph" w:styleId="Heading1">
    <w:name w:val="heading 1"/>
    <w:basedOn w:val="Normal"/>
    <w:next w:val="Normal"/>
    <w:link w:val="Heading1Char"/>
    <w:uiPriority w:val="9"/>
    <w:qFormat/>
    <w:rsid w:val="0081049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81049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unhideWhenUsed/>
    <w:qFormat/>
    <w:rsid w:val="0081049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810490"/>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810490"/>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810490"/>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810490"/>
    <w:pPr>
      <w:keepNext/>
      <w:keepLines/>
      <w:spacing w:before="40" w:line="259" w:lineRule="auto"/>
      <w:outlineLvl w:val="6"/>
    </w:pPr>
    <w:rPr>
      <w:rFonts w:asciiTheme="minorHAnsi" w:eastAsiaTheme="majorEastAsia" w:hAnsiTheme="minorHAnsi" w:cstheme="majorBidi"/>
      <w:color w:val="595959" w:themeColor="text1" w:themeTint="A6"/>
      <w:kern w:val="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810490"/>
    <w:pPr>
      <w:keepNext/>
      <w:keepLines/>
      <w:spacing w:line="259" w:lineRule="auto"/>
      <w:outlineLvl w:val="7"/>
    </w:pPr>
    <w:rPr>
      <w:rFonts w:asciiTheme="minorHAnsi" w:eastAsiaTheme="majorEastAsia" w:hAnsiTheme="minorHAnsi" w:cstheme="majorBidi"/>
      <w:i/>
      <w:iCs/>
      <w:color w:val="272727" w:themeColor="text1" w:themeTint="D8"/>
      <w:kern w:val="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810490"/>
    <w:pPr>
      <w:keepNext/>
      <w:keepLines/>
      <w:spacing w:line="259" w:lineRule="auto"/>
      <w:outlineLvl w:val="8"/>
    </w:pPr>
    <w:rPr>
      <w:rFonts w:asciiTheme="minorHAnsi" w:eastAsiaTheme="majorEastAsia" w:hAnsiTheme="minorHAnsi" w:cstheme="majorBidi"/>
      <w:color w:val="272727" w:themeColor="text1" w:themeTint="D8"/>
      <w:kern w:val="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4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04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1049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049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1049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1049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049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049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049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0490"/>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8104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49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81049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10490"/>
    <w:pPr>
      <w:spacing w:before="160" w:after="160" w:line="259" w:lineRule="auto"/>
      <w:jc w:val="center"/>
    </w:pPr>
    <w:rPr>
      <w:rFonts w:eastAsiaTheme="minorHAnsi" w:cstheme="minorBidi"/>
      <w:i/>
      <w:iCs/>
      <w:color w:val="404040" w:themeColor="text1" w:themeTint="BF"/>
      <w:kern w:val="2"/>
      <w:szCs w:val="22"/>
      <w:lang w:val="en-US" w:eastAsia="en-US"/>
      <w14:ligatures w14:val="standardContextual"/>
    </w:rPr>
  </w:style>
  <w:style w:type="character" w:customStyle="1" w:styleId="QuoteChar">
    <w:name w:val="Quote Char"/>
    <w:basedOn w:val="DefaultParagraphFont"/>
    <w:link w:val="Quote"/>
    <w:uiPriority w:val="29"/>
    <w:rsid w:val="00810490"/>
    <w:rPr>
      <w:i/>
      <w:iCs/>
      <w:color w:val="404040" w:themeColor="text1" w:themeTint="BF"/>
    </w:rPr>
  </w:style>
  <w:style w:type="paragraph" w:styleId="ListParagraph">
    <w:name w:val="List Paragraph"/>
    <w:basedOn w:val="Normal"/>
    <w:uiPriority w:val="34"/>
    <w:qFormat/>
    <w:rsid w:val="00810490"/>
    <w:pPr>
      <w:spacing w:after="160" w:line="259" w:lineRule="auto"/>
      <w:ind w:left="720"/>
      <w:contextualSpacing/>
    </w:pPr>
    <w:rPr>
      <w:rFonts w:eastAsiaTheme="minorHAnsi" w:cstheme="minorBidi"/>
      <w:kern w:val="2"/>
      <w:szCs w:val="22"/>
      <w:lang w:val="en-US" w:eastAsia="en-US"/>
      <w14:ligatures w14:val="standardContextual"/>
    </w:rPr>
  </w:style>
  <w:style w:type="character" w:styleId="IntenseEmphasis">
    <w:name w:val="Intense Emphasis"/>
    <w:basedOn w:val="DefaultParagraphFont"/>
    <w:uiPriority w:val="21"/>
    <w:qFormat/>
    <w:rsid w:val="00810490"/>
    <w:rPr>
      <w:i/>
      <w:iCs/>
      <w:color w:val="2F5496" w:themeColor="accent1" w:themeShade="BF"/>
    </w:rPr>
  </w:style>
  <w:style w:type="paragraph" w:styleId="IntenseQuote">
    <w:name w:val="Intense Quote"/>
    <w:basedOn w:val="Normal"/>
    <w:next w:val="Normal"/>
    <w:link w:val="IntenseQuoteChar"/>
    <w:uiPriority w:val="30"/>
    <w:qFormat/>
    <w:rsid w:val="0081049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lang w:val="en-US" w:eastAsia="en-US"/>
      <w14:ligatures w14:val="standardContextual"/>
    </w:rPr>
  </w:style>
  <w:style w:type="character" w:customStyle="1" w:styleId="IntenseQuoteChar">
    <w:name w:val="Intense Quote Char"/>
    <w:basedOn w:val="DefaultParagraphFont"/>
    <w:link w:val="IntenseQuote"/>
    <w:uiPriority w:val="30"/>
    <w:rsid w:val="00810490"/>
    <w:rPr>
      <w:i/>
      <w:iCs/>
      <w:color w:val="2F5496" w:themeColor="accent1" w:themeShade="BF"/>
    </w:rPr>
  </w:style>
  <w:style w:type="character" w:styleId="IntenseReference">
    <w:name w:val="Intense Reference"/>
    <w:basedOn w:val="DefaultParagraphFont"/>
    <w:uiPriority w:val="32"/>
    <w:qFormat/>
    <w:rsid w:val="00810490"/>
    <w:rPr>
      <w:b/>
      <w:bCs/>
      <w:smallCaps/>
      <w:color w:val="2F5496" w:themeColor="accent1" w:themeShade="BF"/>
      <w:spacing w:val="5"/>
    </w:rPr>
  </w:style>
  <w:style w:type="table" w:styleId="TableGrid">
    <w:name w:val="Table Grid"/>
    <w:basedOn w:val="TableNormal"/>
    <w:rsid w:val="00810490"/>
    <w:pPr>
      <w:spacing w:after="0" w:line="240" w:lineRule="auto"/>
    </w:pPr>
    <w:rPr>
      <w:rFonts w:eastAsia="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0490"/>
    <w:pPr>
      <w:tabs>
        <w:tab w:val="center" w:pos="4320"/>
        <w:tab w:val="right" w:pos="8640"/>
      </w:tabs>
    </w:pPr>
  </w:style>
  <w:style w:type="character" w:customStyle="1" w:styleId="HeaderChar">
    <w:name w:val="Header Char"/>
    <w:basedOn w:val="DefaultParagraphFont"/>
    <w:link w:val="Header"/>
    <w:uiPriority w:val="99"/>
    <w:rsid w:val="00810490"/>
    <w:rPr>
      <w:rFonts w:eastAsia="Times New Roman" w:cs="Times New Roman"/>
      <w:kern w:val="0"/>
      <w:szCs w:val="24"/>
      <w:lang w:val="lv-LV" w:eastAsia="ru-RU"/>
      <w14:ligatures w14:val="none"/>
    </w:rPr>
  </w:style>
  <w:style w:type="paragraph" w:styleId="Footer">
    <w:name w:val="footer"/>
    <w:basedOn w:val="Normal"/>
    <w:link w:val="FooterChar"/>
    <w:uiPriority w:val="99"/>
    <w:unhideWhenUsed/>
    <w:rsid w:val="00810490"/>
    <w:pPr>
      <w:tabs>
        <w:tab w:val="center" w:pos="4320"/>
        <w:tab w:val="right" w:pos="8640"/>
      </w:tabs>
    </w:pPr>
  </w:style>
  <w:style w:type="character" w:customStyle="1" w:styleId="FooterChar">
    <w:name w:val="Footer Char"/>
    <w:basedOn w:val="DefaultParagraphFont"/>
    <w:link w:val="Footer"/>
    <w:uiPriority w:val="99"/>
    <w:rsid w:val="00810490"/>
    <w:rPr>
      <w:rFonts w:eastAsia="Times New Roman" w:cs="Times New Roman"/>
      <w:kern w:val="0"/>
      <w:szCs w:val="24"/>
      <w:lang w:val="lv-LV" w:eastAsia="ru-RU"/>
      <w14:ligatures w14:val="none"/>
    </w:rPr>
  </w:style>
  <w:style w:type="character" w:styleId="CommentReference">
    <w:name w:val="annotation reference"/>
    <w:basedOn w:val="DefaultParagraphFont"/>
    <w:uiPriority w:val="99"/>
    <w:semiHidden/>
    <w:unhideWhenUsed/>
    <w:rsid w:val="0039762E"/>
    <w:rPr>
      <w:sz w:val="16"/>
      <w:szCs w:val="16"/>
    </w:rPr>
  </w:style>
  <w:style w:type="paragraph" w:styleId="CommentText">
    <w:name w:val="annotation text"/>
    <w:basedOn w:val="Normal"/>
    <w:link w:val="CommentTextChar"/>
    <w:uiPriority w:val="99"/>
    <w:unhideWhenUsed/>
    <w:rsid w:val="0039762E"/>
    <w:rPr>
      <w:sz w:val="20"/>
      <w:szCs w:val="20"/>
    </w:rPr>
  </w:style>
  <w:style w:type="character" w:customStyle="1" w:styleId="CommentTextChar">
    <w:name w:val="Comment Text Char"/>
    <w:basedOn w:val="DefaultParagraphFont"/>
    <w:link w:val="CommentText"/>
    <w:uiPriority w:val="99"/>
    <w:rsid w:val="0039762E"/>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39762E"/>
    <w:rPr>
      <w:b/>
      <w:bCs/>
    </w:rPr>
  </w:style>
  <w:style w:type="character" w:customStyle="1" w:styleId="CommentSubjectChar">
    <w:name w:val="Comment Subject Char"/>
    <w:basedOn w:val="CommentTextChar"/>
    <w:link w:val="CommentSubject"/>
    <w:uiPriority w:val="99"/>
    <w:semiHidden/>
    <w:rsid w:val="0039762E"/>
    <w:rPr>
      <w:rFonts w:eastAsia="Times New Roman" w:cs="Times New Roman"/>
      <w:b/>
      <w:bCs/>
      <w:kern w:val="0"/>
      <w:sz w:val="20"/>
      <w:szCs w:val="20"/>
      <w:lang w:val="lv-LV" w:eastAsia="ru-RU"/>
      <w14:ligatures w14:val="none"/>
    </w:rPr>
  </w:style>
  <w:style w:type="paragraph" w:styleId="FootnoteText">
    <w:name w:val="footnote text"/>
    <w:aliases w:val="Fußnote"/>
    <w:basedOn w:val="Normal"/>
    <w:link w:val="FootnoteTextChar"/>
    <w:unhideWhenUsed/>
    <w:rsid w:val="0039762E"/>
    <w:rPr>
      <w:sz w:val="20"/>
      <w:szCs w:val="20"/>
      <w:lang w:eastAsia="lv-LV"/>
    </w:rPr>
  </w:style>
  <w:style w:type="character" w:customStyle="1" w:styleId="FootnoteTextChar">
    <w:name w:val="Footnote Text Char"/>
    <w:aliases w:val="Fußnote Char"/>
    <w:basedOn w:val="DefaultParagraphFont"/>
    <w:link w:val="FootnoteText"/>
    <w:rsid w:val="0039762E"/>
    <w:rPr>
      <w:rFonts w:eastAsia="Times New Roman" w:cs="Times New Roman"/>
      <w:kern w:val="0"/>
      <w:sz w:val="20"/>
      <w:szCs w:val="20"/>
      <w:lang w:val="lv-LV" w:eastAsia="lv-LV"/>
      <w14:ligatures w14:val="none"/>
    </w:rPr>
  </w:style>
  <w:style w:type="character" w:styleId="FootnoteReference">
    <w:name w:val="footnote reference"/>
    <w:aliases w:val="Footnote Reference Number,Footnote symbol"/>
    <w:basedOn w:val="DefaultParagraphFont"/>
    <w:uiPriority w:val="99"/>
    <w:unhideWhenUsed/>
    <w:rsid w:val="0039762E"/>
    <w:rPr>
      <w:vertAlign w:val="superscript"/>
    </w:rPr>
  </w:style>
  <w:style w:type="paragraph" w:styleId="NormalWeb">
    <w:name w:val="Normal (Web)"/>
    <w:basedOn w:val="Normal"/>
    <w:uiPriority w:val="99"/>
    <w:semiHidden/>
    <w:unhideWhenUsed/>
    <w:rsid w:val="00A57B0A"/>
  </w:style>
  <w:style w:type="character" w:styleId="Hyperlink">
    <w:name w:val="Hyperlink"/>
    <w:basedOn w:val="DefaultParagraphFont"/>
    <w:uiPriority w:val="99"/>
    <w:unhideWhenUsed/>
    <w:rsid w:val="00F05C97"/>
    <w:rPr>
      <w:color w:val="0563C1" w:themeColor="hyperlink"/>
      <w:u w:val="single"/>
    </w:rPr>
  </w:style>
  <w:style w:type="character" w:styleId="UnresolvedMention">
    <w:name w:val="Unresolved Mention"/>
    <w:basedOn w:val="DefaultParagraphFont"/>
    <w:uiPriority w:val="99"/>
    <w:semiHidden/>
    <w:unhideWhenUsed/>
    <w:rsid w:val="00F05C97"/>
    <w:rPr>
      <w:color w:val="605E5C"/>
      <w:shd w:val="clear" w:color="auto" w:fill="E1DFDD"/>
    </w:rPr>
  </w:style>
  <w:style w:type="character" w:customStyle="1" w:styleId="column01">
    <w:name w:val="column01"/>
    <w:basedOn w:val="DefaultParagraphFont"/>
    <w:rsid w:val="000833F2"/>
  </w:style>
  <w:style w:type="paragraph" w:customStyle="1" w:styleId="ML-3tx-1">
    <w:name w:val="ML-3tx-1"/>
    <w:basedOn w:val="Normal"/>
    <w:link w:val="ML-3tx-1Char"/>
    <w:qFormat/>
    <w:rsid w:val="000833F2"/>
    <w:pPr>
      <w:spacing w:before="120"/>
      <w:jc w:val="both"/>
    </w:pPr>
    <w:rPr>
      <w:spacing w:val="-3"/>
      <w:sz w:val="21"/>
      <w:szCs w:val="21"/>
      <w:lang w:eastAsia="lv-LV"/>
    </w:rPr>
  </w:style>
  <w:style w:type="character" w:customStyle="1" w:styleId="ML-3tx-1Char">
    <w:name w:val="ML-3tx-1 Char"/>
    <w:basedOn w:val="DefaultParagraphFont"/>
    <w:link w:val="ML-3tx-1"/>
    <w:rsid w:val="000833F2"/>
    <w:rPr>
      <w:rFonts w:eastAsia="Times New Roman" w:cs="Times New Roman"/>
      <w:spacing w:val="-3"/>
      <w:kern w:val="0"/>
      <w:sz w:val="21"/>
      <w:szCs w:val="21"/>
      <w:lang w:val="lv-LV" w:eastAsia="lv-LV"/>
      <w14:ligatures w14:val="none"/>
    </w:rPr>
  </w:style>
  <w:style w:type="paragraph" w:customStyle="1" w:styleId="ML-4tx-2">
    <w:name w:val="ML-4tx-2"/>
    <w:basedOn w:val="Normal"/>
    <w:link w:val="ML-4tx-2Char"/>
    <w:qFormat/>
    <w:rsid w:val="00DA3E94"/>
    <w:pPr>
      <w:tabs>
        <w:tab w:val="left" w:pos="851"/>
      </w:tabs>
      <w:spacing w:before="60"/>
      <w:ind w:left="284" w:firstLine="567"/>
      <w:jc w:val="both"/>
    </w:pPr>
    <w:rPr>
      <w:spacing w:val="-3"/>
      <w:sz w:val="21"/>
      <w:szCs w:val="21"/>
      <w:lang w:eastAsia="lv-LV"/>
    </w:rPr>
  </w:style>
  <w:style w:type="character" w:customStyle="1" w:styleId="ML-4tx-2Char">
    <w:name w:val="ML-4tx-2 Char"/>
    <w:basedOn w:val="DefaultParagraphFont"/>
    <w:link w:val="ML-4tx-2"/>
    <w:rsid w:val="00DA3E94"/>
    <w:rPr>
      <w:rFonts w:eastAsia="Times New Roman" w:cs="Times New Roman"/>
      <w:spacing w:val="-3"/>
      <w:kern w:val="0"/>
      <w:sz w:val="21"/>
      <w:szCs w:val="21"/>
      <w:lang w:val="lv-LV" w:eastAsia="lv-LV"/>
      <w14:ligatures w14:val="none"/>
    </w:rPr>
  </w:style>
  <w:style w:type="paragraph" w:styleId="Revision">
    <w:name w:val="Revision"/>
    <w:hidden/>
    <w:uiPriority w:val="99"/>
    <w:semiHidden/>
    <w:rsid w:val="00110B86"/>
    <w:pPr>
      <w:spacing w:after="0" w:line="240" w:lineRule="auto"/>
    </w:pPr>
    <w:rPr>
      <w:rFonts w:eastAsia="Times New Roman" w:cs="Times New Roman"/>
      <w:kern w:val="0"/>
      <w:szCs w:val="24"/>
      <w:lang w:val="lv-LV" w:eastAsia="ru-RU"/>
      <w14:ligatures w14:val="none"/>
    </w:rPr>
  </w:style>
  <w:style w:type="character" w:styleId="FollowedHyperlink">
    <w:name w:val="FollowedHyperlink"/>
    <w:basedOn w:val="DefaultParagraphFont"/>
    <w:uiPriority w:val="99"/>
    <w:semiHidden/>
    <w:unhideWhenUsed/>
    <w:rsid w:val="00D42F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e352758a-9050-4d25-8f62-274769119b2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files/uploads/files/6_Judikatura/Tiesu_prakses_apkopojumi/2021/Tiesu%20_prakses_apkopojums_piespiedu_med_lidzekli.docx" TargetMode="External"/><Relationship Id="rId5" Type="http://schemas.openxmlformats.org/officeDocument/2006/relationships/webSettings" Target="webSettings.xml"/><Relationship Id="rId10" Type="http://schemas.openxmlformats.org/officeDocument/2006/relationships/hyperlink" Target="https://www.at.gov.lv/downloadlawfile/5329" TargetMode="External"/><Relationship Id="rId4" Type="http://schemas.openxmlformats.org/officeDocument/2006/relationships/settings" Target="settings.xml"/><Relationship Id="rId9" Type="http://schemas.openxmlformats.org/officeDocument/2006/relationships/hyperlink" Target="https://www.at.gov.lv/files/uploads/files/dokumenti/mrpl-tiesu%20prakse.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AFBFC-EF30-4028-8E81-7631D3E92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2856</Words>
  <Characters>16284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2026-07-03T11:34:00Z</dcterms:created>
  <dcterms:modified xsi:type="dcterms:W3CDTF">2026-07-09T08:27:00Z</dcterms:modified>
</cp:coreProperties>
</file>