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D4D2" w14:textId="14FAEBE7" w:rsidR="00795185" w:rsidRDefault="00795185" w:rsidP="00A040F0">
      <w:pPr>
        <w:spacing w:line="276" w:lineRule="auto"/>
        <w:jc w:val="both"/>
        <w:rPr>
          <w:b/>
          <w:bCs/>
          <w:color w:val="000000"/>
          <w:lang w:eastAsia="lv-LV"/>
        </w:rPr>
      </w:pPr>
      <w:r>
        <w:rPr>
          <w:b/>
          <w:bCs/>
          <w:lang w:eastAsia="en-US"/>
        </w:rPr>
        <w:t xml:space="preserve">Uzņēmuma galvenās darbības nozīme, vērtējot, vai uzņēmums atbilst finanšu iestādes jēdzienam </w:t>
      </w:r>
      <w:r>
        <w:rPr>
          <w:b/>
          <w:bCs/>
        </w:rPr>
        <w:t>Ministru kabineta 2020.gada 10.novembra noteikumu Nr. 676 „Noteikumi par atbalstu Covid-19 krīzes skartajiem uzņēmumiem apgrozāmo līdzekļu plūsmas nodrošināšanai” 16.7.apakšpunkta izpratnē</w:t>
      </w:r>
    </w:p>
    <w:p w14:paraId="3B9772FA" w14:textId="77777777" w:rsidR="00795185" w:rsidRDefault="00795185" w:rsidP="00A040F0">
      <w:pPr>
        <w:autoSpaceDE w:val="0"/>
        <w:autoSpaceDN w:val="0"/>
        <w:spacing w:line="276" w:lineRule="auto"/>
        <w:jc w:val="both"/>
        <w:rPr>
          <w:color w:val="000000"/>
        </w:rPr>
      </w:pPr>
      <w:r>
        <w:rPr>
          <w:color w:val="000000"/>
        </w:rPr>
        <w:t>Lai uzņēmumu atzītu par finanšu iestādi Eiropas Parlamenta un Padomes 2013.gada 26.jūnija regulas Nr. 575/2013 par prudenciālajām prasībām attiecībā uz kredītiestādēm un ieguldījumu brokeru sabiedrībām, un ar ko groza Regulu (ES) Nr. 648/2012 4.panta 1.punkta 26.apakšpunkta izpratnē, jākonstatē, ka uzņēmuma galvenā darbība ir līdzdalības iegāde vai viena vai vairākas no Eiropas Parlamenta un Padomes 2013.gada 26.jūnija direktīvas 2013/36/ES par piekļuvi kredītiestāžu darbībai un kredītiestāžu un ieguldījumu brokeru sabiedrību prudenciālo uzraudzību, ar ko groza Direktīvu 2002/87/EK un atceļ Direktīvas 2006/48/EK un 2006/49/EK I pielikuma 2. līdz 12.punktā un 15.punktā uzskaitītajām darbībām.</w:t>
      </w:r>
    </w:p>
    <w:p w14:paraId="3DFF666A" w14:textId="09C48DC4" w:rsidR="00795185" w:rsidRDefault="00795185" w:rsidP="00A040F0">
      <w:pPr>
        <w:spacing w:line="276" w:lineRule="auto"/>
        <w:jc w:val="both"/>
        <w:rPr>
          <w:color w:val="000000"/>
        </w:rPr>
      </w:pPr>
      <w:r>
        <w:rPr>
          <w:color w:val="000000"/>
        </w:rPr>
        <w:t>Tādējādi ir svarīgi nošķirt uzņēmuma galveno darbību no jebkuras citas (sekundāras, papildu, palīgdarbības) darbības. Uzņēmums, kas veic vienu vai vairākas no direktīvas 2013/36/ES I pielikuma 2. līdz 12.punktā un 15.punktā uzskaitītajām darbībām tikai kā sekundāru, papildu vai palīgdarbību, netiek uzskatīts par finanšu iestādi saskaņā ar Eiropas Savienības tiesību aktiem, kas piemērojami finanšu darbību veikšanai</w:t>
      </w:r>
      <w:r>
        <w:rPr>
          <w:color w:val="000000"/>
        </w:rPr>
        <w:t>.</w:t>
      </w:r>
    </w:p>
    <w:p w14:paraId="7E3B390D" w14:textId="77777777" w:rsidR="00795185" w:rsidRDefault="00795185" w:rsidP="00A040F0">
      <w:pPr>
        <w:spacing w:line="276" w:lineRule="auto"/>
        <w:rPr>
          <w:rFonts w:asciiTheme="majorBidi" w:eastAsiaTheme="minorEastAsia" w:hAnsiTheme="majorBidi" w:cstheme="majorBidi"/>
          <w:lang w:eastAsia="en-US"/>
        </w:rPr>
      </w:pPr>
    </w:p>
    <w:p w14:paraId="6E73031E" w14:textId="178EA24C" w:rsidR="004F2870" w:rsidRPr="001B099E" w:rsidRDefault="004F2870" w:rsidP="00A040F0">
      <w:pPr>
        <w:spacing w:line="276" w:lineRule="auto"/>
        <w:jc w:val="center"/>
        <w:rPr>
          <w:rFonts w:asciiTheme="majorBidi" w:hAnsiTheme="majorBidi" w:cstheme="majorBidi"/>
          <w:b/>
        </w:rPr>
      </w:pPr>
      <w:r w:rsidRPr="001B099E">
        <w:rPr>
          <w:rFonts w:asciiTheme="majorBidi" w:hAnsiTheme="majorBidi" w:cstheme="majorBidi"/>
          <w:b/>
        </w:rPr>
        <w:t>Latvijas Republikas Senāt</w:t>
      </w:r>
      <w:r w:rsidR="00795185">
        <w:rPr>
          <w:rFonts w:asciiTheme="majorBidi" w:hAnsiTheme="majorBidi" w:cstheme="majorBidi"/>
          <w:b/>
        </w:rPr>
        <w:t>a</w:t>
      </w:r>
      <w:r w:rsidR="00795185">
        <w:rPr>
          <w:rFonts w:asciiTheme="majorBidi" w:hAnsiTheme="majorBidi" w:cstheme="majorBidi"/>
          <w:b/>
        </w:rPr>
        <w:br/>
        <w:t>Administratīvo lietu departamenta</w:t>
      </w:r>
      <w:r w:rsidR="00795185">
        <w:rPr>
          <w:rFonts w:asciiTheme="majorBidi" w:hAnsiTheme="majorBidi" w:cstheme="majorBidi"/>
          <w:b/>
        </w:rPr>
        <w:br/>
        <w:t>2026.gada 4.jūnija</w:t>
      </w:r>
    </w:p>
    <w:p w14:paraId="4D4B7D13" w14:textId="77777777" w:rsidR="004F2870" w:rsidRDefault="004F2870" w:rsidP="00A040F0">
      <w:pPr>
        <w:spacing w:line="276" w:lineRule="auto"/>
        <w:jc w:val="center"/>
        <w:rPr>
          <w:rFonts w:asciiTheme="majorBidi" w:hAnsiTheme="majorBidi" w:cstheme="majorBidi"/>
          <w:b/>
        </w:rPr>
      </w:pPr>
      <w:r w:rsidRPr="001B099E">
        <w:rPr>
          <w:rFonts w:asciiTheme="majorBidi" w:hAnsiTheme="majorBidi" w:cstheme="majorBidi"/>
          <w:b/>
        </w:rPr>
        <w:t>SPRIEDUMS</w:t>
      </w:r>
    </w:p>
    <w:p w14:paraId="71A54BB1" w14:textId="609B4BFD" w:rsidR="00795185" w:rsidRPr="00795185" w:rsidRDefault="00795185" w:rsidP="00A040F0">
      <w:pPr>
        <w:spacing w:line="276" w:lineRule="auto"/>
        <w:jc w:val="center"/>
        <w:rPr>
          <w:rFonts w:asciiTheme="majorBidi" w:eastAsiaTheme="minorEastAsia" w:hAnsiTheme="majorBidi" w:cstheme="majorBidi"/>
          <w:b/>
          <w:bCs/>
          <w:lang w:eastAsia="en-US"/>
        </w:rPr>
      </w:pPr>
      <w:r w:rsidRPr="00795185">
        <w:rPr>
          <w:rFonts w:asciiTheme="majorBidi" w:eastAsiaTheme="minorEastAsia" w:hAnsiTheme="majorBidi" w:cstheme="majorBidi"/>
          <w:b/>
          <w:bCs/>
          <w:lang w:eastAsia="en-US"/>
        </w:rPr>
        <w:t>Lieta Nr.</w:t>
      </w:r>
      <w:r w:rsidRPr="00795185">
        <w:rPr>
          <w:rFonts w:asciiTheme="majorBidi" w:hAnsiTheme="majorBidi" w:cstheme="majorBidi"/>
          <w:b/>
          <w:bCs/>
        </w:rPr>
        <w:t> A420242421</w:t>
      </w:r>
      <w:r w:rsidRPr="00795185">
        <w:rPr>
          <w:rFonts w:asciiTheme="majorBidi" w:eastAsiaTheme="minorEastAsia" w:hAnsiTheme="majorBidi" w:cstheme="majorBidi"/>
          <w:b/>
          <w:bCs/>
          <w:lang w:eastAsia="en-US"/>
        </w:rPr>
        <w:t>, SKA-21/2026</w:t>
      </w:r>
    </w:p>
    <w:p w14:paraId="581FE715" w14:textId="0374F11F" w:rsidR="00795185" w:rsidRPr="00795185" w:rsidRDefault="00795185" w:rsidP="00A040F0">
      <w:pPr>
        <w:spacing w:line="276" w:lineRule="auto"/>
        <w:jc w:val="center"/>
        <w:rPr>
          <w:rFonts w:asciiTheme="majorBidi" w:hAnsiTheme="majorBidi" w:cstheme="majorBidi"/>
          <w:b/>
        </w:rPr>
      </w:pPr>
      <w:r>
        <w:t xml:space="preserve"> </w:t>
      </w:r>
      <w:hyperlink r:id="rId8" w:history="1">
        <w:r w:rsidRPr="00A040F0">
          <w:rPr>
            <w:rStyle w:val="Hyperlink"/>
          </w:rPr>
          <w:t>ECLI:LV:AT:2026:0604.A420242421.22.S</w:t>
        </w:r>
      </w:hyperlink>
    </w:p>
    <w:p w14:paraId="738951AD" w14:textId="77777777" w:rsidR="004F2870" w:rsidRPr="001B099E" w:rsidRDefault="004F2870" w:rsidP="00A040F0">
      <w:pPr>
        <w:spacing w:line="276" w:lineRule="auto"/>
        <w:rPr>
          <w:rFonts w:asciiTheme="majorBidi" w:hAnsiTheme="majorBidi" w:cstheme="majorBidi"/>
        </w:rPr>
      </w:pPr>
    </w:p>
    <w:p w14:paraId="760F4046" w14:textId="77777777" w:rsidR="004F2870" w:rsidRPr="001B099E" w:rsidRDefault="004F2870" w:rsidP="00A040F0">
      <w:pPr>
        <w:spacing w:line="276" w:lineRule="auto"/>
        <w:ind w:firstLine="720"/>
        <w:jc w:val="both"/>
        <w:rPr>
          <w:rFonts w:asciiTheme="majorBidi" w:hAnsiTheme="majorBidi" w:cstheme="majorBidi"/>
        </w:rPr>
      </w:pPr>
      <w:r w:rsidRPr="001B099E">
        <w:rPr>
          <w:rFonts w:asciiTheme="majorBidi" w:hAnsiTheme="majorBidi" w:cstheme="majorBidi"/>
        </w:rPr>
        <w:t xml:space="preserve">Senāts šādā sastāvā: senatore referente Dzintra Amerika, senatores </w:t>
      </w:r>
      <w:r>
        <w:rPr>
          <w:rFonts w:asciiTheme="majorBidi" w:hAnsiTheme="majorBidi" w:cstheme="majorBidi"/>
        </w:rPr>
        <w:t>Vēsma Kakste un Indra Meldere</w:t>
      </w:r>
    </w:p>
    <w:p w14:paraId="4221A2F5" w14:textId="77777777" w:rsidR="004F2870" w:rsidRPr="001B099E" w:rsidRDefault="004F2870" w:rsidP="00A040F0">
      <w:pPr>
        <w:spacing w:line="276" w:lineRule="auto"/>
        <w:ind w:firstLine="720"/>
        <w:jc w:val="both"/>
        <w:rPr>
          <w:rFonts w:asciiTheme="majorBidi" w:hAnsiTheme="majorBidi" w:cstheme="majorBidi"/>
        </w:rPr>
      </w:pPr>
    </w:p>
    <w:p w14:paraId="1F756FA4" w14:textId="77777777" w:rsidR="004F2870" w:rsidRPr="001B099E" w:rsidRDefault="004F2870" w:rsidP="00A040F0">
      <w:pPr>
        <w:spacing w:line="276" w:lineRule="auto"/>
        <w:ind w:firstLine="720"/>
        <w:jc w:val="both"/>
        <w:rPr>
          <w:rFonts w:asciiTheme="majorBidi" w:hAnsiTheme="majorBidi" w:cstheme="majorBidi"/>
        </w:rPr>
      </w:pPr>
      <w:r w:rsidRPr="001B099E">
        <w:rPr>
          <w:rFonts w:asciiTheme="majorBidi" w:hAnsiTheme="majorBidi" w:cstheme="majorBidi"/>
        </w:rPr>
        <w:t xml:space="preserve">rakstveida procesā izskatīja administratīvo lietu, kas ierosināta, </w:t>
      </w:r>
      <w:r w:rsidRPr="001B099E">
        <w:rPr>
          <w:rFonts w:asciiTheme="majorBidi" w:hAnsiTheme="majorBidi" w:cstheme="majorBidi"/>
          <w:lang w:eastAsia="lv-LV"/>
        </w:rPr>
        <w:t>pamatojoties uz SIA „</w:t>
      </w:r>
      <w:r w:rsidRPr="003F41C1">
        <w:rPr>
          <w:rFonts w:asciiTheme="majorBidi" w:hAnsiTheme="majorBidi" w:cstheme="majorBidi"/>
          <w:lang w:eastAsia="lv-LV"/>
        </w:rPr>
        <w:t>ABZ FINANCE</w:t>
      </w:r>
      <w:r w:rsidRPr="001B099E">
        <w:rPr>
          <w:rFonts w:asciiTheme="majorBidi" w:hAnsiTheme="majorBidi" w:cstheme="majorBidi"/>
          <w:lang w:eastAsia="lv-LV"/>
        </w:rPr>
        <w:t>” pieteikumu par</w:t>
      </w:r>
      <w:r>
        <w:rPr>
          <w:rFonts w:asciiTheme="majorBidi" w:hAnsiTheme="majorBidi" w:cstheme="majorBidi"/>
          <w:lang w:eastAsia="lv-LV"/>
        </w:rPr>
        <w:t xml:space="preserve"> labvēlīga administratīvā akta izdošanu</w:t>
      </w:r>
      <w:r w:rsidRPr="001B099E">
        <w:rPr>
          <w:rFonts w:asciiTheme="majorBidi" w:hAnsiTheme="majorBidi" w:cstheme="majorBidi"/>
        </w:rPr>
        <w:t xml:space="preserve">, sakarā ar </w:t>
      </w:r>
      <w:r>
        <w:rPr>
          <w:rFonts w:asciiTheme="majorBidi" w:hAnsiTheme="majorBidi" w:cstheme="majorBidi"/>
          <w:lang w:eastAsia="lv-LV"/>
        </w:rPr>
        <w:t xml:space="preserve">pieteicējas </w:t>
      </w:r>
      <w:r w:rsidRPr="001B099E">
        <w:rPr>
          <w:rFonts w:asciiTheme="majorBidi" w:hAnsiTheme="majorBidi" w:cstheme="majorBidi"/>
        </w:rPr>
        <w:t>kasācijas sūdzību par Administratīvās apgabaltiesas 202</w:t>
      </w:r>
      <w:r>
        <w:rPr>
          <w:rFonts w:asciiTheme="majorBidi" w:hAnsiTheme="majorBidi" w:cstheme="majorBidi"/>
        </w:rPr>
        <w:t>3</w:t>
      </w:r>
      <w:r w:rsidRPr="001B099E">
        <w:rPr>
          <w:rFonts w:asciiTheme="majorBidi" w:hAnsiTheme="majorBidi" w:cstheme="majorBidi"/>
        </w:rPr>
        <w:t xml:space="preserve">.gada </w:t>
      </w:r>
      <w:r>
        <w:rPr>
          <w:rFonts w:asciiTheme="majorBidi" w:hAnsiTheme="majorBidi" w:cstheme="majorBidi"/>
        </w:rPr>
        <w:t>14.decembra</w:t>
      </w:r>
      <w:r w:rsidRPr="001B099E">
        <w:rPr>
          <w:rFonts w:asciiTheme="majorBidi" w:hAnsiTheme="majorBidi" w:cstheme="majorBidi"/>
        </w:rPr>
        <w:t xml:space="preserve"> spriedumu.</w:t>
      </w:r>
    </w:p>
    <w:p w14:paraId="7748A9DC" w14:textId="77777777" w:rsidR="004F2870" w:rsidRPr="001B099E" w:rsidRDefault="004F2870" w:rsidP="00A040F0">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39A96179" w14:textId="77777777" w:rsidR="004F2870" w:rsidRDefault="004F2870" w:rsidP="00A040F0">
      <w:pPr>
        <w:spacing w:line="276" w:lineRule="auto"/>
        <w:ind w:firstLine="567"/>
        <w:jc w:val="both"/>
        <w:rPr>
          <w:rFonts w:asciiTheme="majorBidi" w:hAnsiTheme="majorBidi" w:cstheme="majorBidi"/>
        </w:rPr>
      </w:pPr>
    </w:p>
    <w:p w14:paraId="320D1EDF" w14:textId="77777777" w:rsidR="004F2870" w:rsidRPr="00E72F48" w:rsidRDefault="004F2870" w:rsidP="00A040F0">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 xml:space="preserve">[1] </w:t>
      </w:r>
      <w:r>
        <w:rPr>
          <w:rFonts w:asciiTheme="majorBidi" w:hAnsiTheme="majorBidi" w:cstheme="majorBidi"/>
          <w:lang w:eastAsia="lv-LV"/>
        </w:rPr>
        <w:t xml:space="preserve">Pieteicēja </w:t>
      </w:r>
      <w:r>
        <w:t>–</w:t>
      </w:r>
      <w:r>
        <w:rPr>
          <w:rFonts w:asciiTheme="majorBidi" w:hAnsiTheme="majorBidi" w:cstheme="majorBidi"/>
          <w:lang w:eastAsia="lv-LV"/>
        </w:rPr>
        <w:t xml:space="preserve"> </w:t>
      </w:r>
      <w:r w:rsidRPr="001B099E">
        <w:rPr>
          <w:rFonts w:asciiTheme="majorBidi" w:hAnsiTheme="majorBidi" w:cstheme="majorBidi"/>
          <w:lang w:eastAsia="lv-LV"/>
        </w:rPr>
        <w:t>SIA „</w:t>
      </w:r>
      <w:r w:rsidRPr="003F41C1">
        <w:rPr>
          <w:rFonts w:asciiTheme="majorBidi" w:hAnsiTheme="majorBidi" w:cstheme="majorBidi"/>
          <w:lang w:eastAsia="lv-LV"/>
        </w:rPr>
        <w:t>ABZ FINANCE</w:t>
      </w:r>
      <w:r w:rsidRPr="001B099E">
        <w:rPr>
          <w:rFonts w:asciiTheme="majorBidi" w:hAnsiTheme="majorBidi" w:cstheme="majorBidi"/>
          <w:lang w:eastAsia="lv-LV"/>
        </w:rPr>
        <w:t>”</w:t>
      </w:r>
      <w:r>
        <w:rPr>
          <w:rFonts w:asciiTheme="majorBidi" w:hAnsiTheme="majorBidi" w:cstheme="majorBidi"/>
          <w:lang w:eastAsia="lv-LV"/>
        </w:rPr>
        <w:t xml:space="preserve"> </w:t>
      </w:r>
      <w:r>
        <w:t>–</w:t>
      </w:r>
      <w:r w:rsidRPr="001B099E">
        <w:rPr>
          <w:rFonts w:asciiTheme="majorBidi" w:hAnsiTheme="majorBidi" w:cstheme="majorBidi"/>
          <w:lang w:eastAsia="lv-LV"/>
        </w:rPr>
        <w:t xml:space="preserve"> </w:t>
      </w:r>
      <w:r>
        <w:rPr>
          <w:rFonts w:asciiTheme="majorBidi" w:hAnsiTheme="majorBidi" w:cstheme="majorBidi"/>
          <w:lang w:eastAsia="lv-LV"/>
        </w:rPr>
        <w:t xml:space="preserve">vērsās Valsts ieņēmumu dienestā ar </w:t>
      </w:r>
      <w:r w:rsidRPr="00E72F48">
        <w:rPr>
          <w:rFonts w:asciiTheme="majorBidi" w:hAnsiTheme="majorBidi" w:cstheme="majorBidi"/>
          <w:lang w:eastAsia="lv-LV"/>
        </w:rPr>
        <w:t xml:space="preserve">iesniegumiem, lūdzot piešķirt atbalstu apgrozāmo līdzekļu plūsmas krituma kompensēšanai (turpmāk – atbalsts) par 2021.gada martu, aprīli un maiju. </w:t>
      </w:r>
    </w:p>
    <w:p w14:paraId="3C662887" w14:textId="77777777" w:rsidR="004F2870" w:rsidRDefault="004F2870" w:rsidP="00A040F0">
      <w:pPr>
        <w:spacing w:line="276" w:lineRule="auto"/>
        <w:ind w:firstLine="720"/>
        <w:jc w:val="both"/>
        <w:rPr>
          <w:rFonts w:asciiTheme="majorBidi" w:hAnsiTheme="majorBidi" w:cstheme="majorBidi"/>
          <w:lang w:eastAsia="lv-LV"/>
        </w:rPr>
      </w:pPr>
      <w:r w:rsidRPr="00E72F48">
        <w:rPr>
          <w:rFonts w:asciiTheme="majorBidi" w:hAnsiTheme="majorBidi" w:cstheme="majorBidi"/>
          <w:lang w:eastAsia="lv-LV"/>
        </w:rPr>
        <w:t>Ar Valsts ieņēmumu dienesta 2021.gada 6.jūlija lēmumu Nr. 33.17-6/22.7/7497, 2021.gada 6.septembra lēmumu Nr. 33.17-6/22.10/9314 un lēmumu Nr. 33.17</w:t>
      </w:r>
      <w:r w:rsidRPr="00E72F48">
        <w:rPr>
          <w:rFonts w:asciiTheme="majorBidi" w:hAnsiTheme="majorBidi" w:cstheme="majorBidi"/>
          <w:lang w:eastAsia="lv-LV"/>
        </w:rPr>
        <w:noBreakHyphen/>
        <w:t xml:space="preserve">6/22.10/9313 kā iestādē noslēdzošajiem administratīvajiem aktiem pieteicējai atteikts piešķirt atbalstu. Lēmumos konstatēts, ka pieteicēja ir finanšu iestāde Eiropas Parlamenta un Padomes 2013.gada 26.jūnija direktīvas 2013/36/ES par piekļuvi kredītiestāžu darbībai un kredītiestāžu un ieguldījumu brokeru sabiedrību prudenciālo uzraudzību, ar ko groza Direktīvu 2002/87/EK un atceļ Direktīvas 2006/48/EK un 2006/49/EK (turpmāk – direktīva 2013/36/ES) izpratnē, jo darbojas direktīvas I pielikuma 9.punktā minētajā darbības jomā, proti, konsultē uzņēmumus par kapitāla struktūru, darbības stratēģiju un ar to saistītiem jautājumiem. Līdz ar to saskaņā ar </w:t>
      </w:r>
      <w:r w:rsidRPr="00E72F48">
        <w:rPr>
          <w:rFonts w:asciiTheme="majorBidi" w:hAnsiTheme="majorBidi" w:cstheme="majorBidi"/>
          <w:lang w:eastAsia="lv-LV"/>
        </w:rPr>
        <w:lastRenderedPageBreak/>
        <w:t>Ministru kabineta 2020.gada 10.novembra noteikumu Nr. 676 „Noteikumi par atbalstu Covid-19 krīzes skartajiem uzņēmumiem apgrozāmo līdzekļu plūsmas nodrošināšanai” (turpmāk – Atbalsta noteikumi) 16.7.apakšpunktu, kas paredz, ka atbalstu nepiešķir</w:t>
      </w:r>
      <w:r w:rsidRPr="008C7F85">
        <w:rPr>
          <w:rFonts w:asciiTheme="majorBidi" w:hAnsiTheme="majorBidi" w:cstheme="majorBidi"/>
          <w:lang w:eastAsia="lv-LV"/>
        </w:rPr>
        <w:t xml:space="preserve"> kredītiestādēm un finanšu iestādēm, atbalsts pieteicējai nav piešķirams.</w:t>
      </w:r>
    </w:p>
    <w:p w14:paraId="362DA2E1" w14:textId="77777777" w:rsidR="004F2870" w:rsidRDefault="004F2870" w:rsidP="00A040F0">
      <w:pPr>
        <w:spacing w:line="276" w:lineRule="auto"/>
        <w:ind w:firstLine="720"/>
        <w:jc w:val="both"/>
        <w:rPr>
          <w:rFonts w:asciiTheme="majorBidi" w:hAnsiTheme="majorBidi" w:cstheme="majorBidi"/>
        </w:rPr>
      </w:pPr>
      <w:r w:rsidRPr="001B099E">
        <w:rPr>
          <w:rFonts w:asciiTheme="majorBidi" w:hAnsiTheme="majorBidi" w:cstheme="majorBidi"/>
        </w:rPr>
        <w:t xml:space="preserve">Pieteicēja </w:t>
      </w:r>
      <w:r w:rsidRPr="00AF5CAB">
        <w:rPr>
          <w:lang w:eastAsia="lv-LV"/>
        </w:rPr>
        <w:t xml:space="preserve">uzskatīja, ka tās darbība neatbilst finanšu iestādes jēdzienam, </w:t>
      </w:r>
      <w:r w:rsidRPr="001B099E">
        <w:rPr>
          <w:rFonts w:asciiTheme="majorBidi" w:hAnsiTheme="majorBidi" w:cstheme="majorBidi"/>
        </w:rPr>
        <w:t>un vērsās tiesā</w:t>
      </w:r>
      <w:r>
        <w:rPr>
          <w:rFonts w:asciiTheme="majorBidi" w:hAnsiTheme="majorBidi" w:cstheme="majorBidi"/>
        </w:rPr>
        <w:t xml:space="preserve"> </w:t>
      </w:r>
      <w:r w:rsidRPr="008C7F85">
        <w:rPr>
          <w:rFonts w:asciiTheme="majorBidi" w:hAnsiTheme="majorBidi" w:cstheme="majorBidi"/>
        </w:rPr>
        <w:t>ar pieteikum</w:t>
      </w:r>
      <w:r>
        <w:rPr>
          <w:rFonts w:asciiTheme="majorBidi" w:hAnsiTheme="majorBidi" w:cstheme="majorBidi"/>
        </w:rPr>
        <w:t>iem</w:t>
      </w:r>
      <w:r w:rsidRPr="008C7F85">
        <w:rPr>
          <w:rFonts w:asciiTheme="majorBidi" w:hAnsiTheme="majorBidi" w:cstheme="majorBidi"/>
        </w:rPr>
        <w:t xml:space="preserve"> par labvēlīg</w:t>
      </w:r>
      <w:r>
        <w:rPr>
          <w:rFonts w:asciiTheme="majorBidi" w:hAnsiTheme="majorBidi" w:cstheme="majorBidi"/>
        </w:rPr>
        <w:t>u</w:t>
      </w:r>
      <w:r w:rsidRPr="008C7F85">
        <w:rPr>
          <w:rFonts w:asciiTheme="majorBidi" w:hAnsiTheme="majorBidi" w:cstheme="majorBidi"/>
        </w:rPr>
        <w:t xml:space="preserve"> administratīv</w:t>
      </w:r>
      <w:r>
        <w:rPr>
          <w:rFonts w:asciiTheme="majorBidi" w:hAnsiTheme="majorBidi" w:cstheme="majorBidi"/>
        </w:rPr>
        <w:t>o</w:t>
      </w:r>
      <w:r w:rsidRPr="008C7F85">
        <w:rPr>
          <w:rFonts w:asciiTheme="majorBidi" w:hAnsiTheme="majorBidi" w:cstheme="majorBidi"/>
        </w:rPr>
        <w:t xml:space="preserve"> akt</w:t>
      </w:r>
      <w:r>
        <w:rPr>
          <w:rFonts w:asciiTheme="majorBidi" w:hAnsiTheme="majorBidi" w:cstheme="majorBidi"/>
        </w:rPr>
        <w:t>u, ar kuriem pieteicējai tiktu piešķirts atbalsts par</w:t>
      </w:r>
      <w:r w:rsidRPr="008C7F85">
        <w:rPr>
          <w:rFonts w:asciiTheme="majorBidi" w:hAnsiTheme="majorBidi" w:cstheme="majorBidi"/>
        </w:rPr>
        <w:t xml:space="preserve"> 2021.gada martu, aprīli un maiju</w:t>
      </w:r>
      <w:r>
        <w:rPr>
          <w:rFonts w:asciiTheme="majorBidi" w:hAnsiTheme="majorBidi" w:cstheme="majorBidi"/>
        </w:rPr>
        <w:t>,</w:t>
      </w:r>
      <w:r w:rsidRPr="008C7F85">
        <w:rPr>
          <w:rFonts w:asciiTheme="majorBidi" w:hAnsiTheme="majorBidi" w:cstheme="majorBidi"/>
        </w:rPr>
        <w:t xml:space="preserve"> izdošanu</w:t>
      </w:r>
      <w:r>
        <w:rPr>
          <w:rFonts w:asciiTheme="majorBidi" w:hAnsiTheme="majorBidi" w:cstheme="majorBidi"/>
        </w:rPr>
        <w:t xml:space="preserve">. Administratīvās lietas par visiem trim pieteikumiem apvienotas vienā tiesvedībā. </w:t>
      </w:r>
    </w:p>
    <w:p w14:paraId="0FCE516E"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Apgabaltiesa lūdza pieteicēju precizēt prasījumu, jo atbalsta piešķiršana pārsūdzētā lēmuma atcelšanas gadījumā vairs neesot pieļaujama. Tā rezultātā pieteikuma priekšmets mainīts uz lēmumu atzīšanu par prettiesiskiem.</w:t>
      </w:r>
    </w:p>
    <w:p w14:paraId="7916AB92" w14:textId="77777777" w:rsidR="004F2870" w:rsidRDefault="004F2870" w:rsidP="00A040F0">
      <w:pPr>
        <w:spacing w:line="276" w:lineRule="auto"/>
        <w:ind w:firstLine="720"/>
        <w:jc w:val="both"/>
        <w:rPr>
          <w:rFonts w:asciiTheme="majorBidi" w:hAnsiTheme="majorBidi" w:cstheme="majorBidi"/>
          <w:lang w:eastAsia="lv-LV"/>
        </w:rPr>
      </w:pPr>
    </w:p>
    <w:p w14:paraId="75C0EC3C" w14:textId="77777777" w:rsidR="004F2870" w:rsidRPr="0087698C" w:rsidRDefault="004F2870" w:rsidP="00A040F0">
      <w:pPr>
        <w:spacing w:line="276" w:lineRule="auto"/>
        <w:ind w:firstLine="720"/>
        <w:jc w:val="both"/>
        <w:rPr>
          <w:lang w:eastAsia="lv-LV"/>
        </w:rPr>
      </w:pPr>
      <w:r w:rsidRPr="001B099E">
        <w:rPr>
          <w:rFonts w:asciiTheme="majorBidi" w:hAnsiTheme="majorBidi" w:cstheme="majorBidi"/>
          <w:lang w:eastAsia="lv-LV"/>
        </w:rPr>
        <w:t xml:space="preserve">[2] </w:t>
      </w:r>
      <w:r w:rsidRPr="00BB4C0E">
        <w:rPr>
          <w:lang w:eastAsia="lv-LV"/>
        </w:rPr>
        <w:t>Administratīvā apgabaltiesa pieteikumu</w:t>
      </w:r>
      <w:r>
        <w:rPr>
          <w:lang w:eastAsia="lv-LV"/>
        </w:rPr>
        <w:t xml:space="preserve"> noraidīja</w:t>
      </w:r>
      <w:r w:rsidRPr="00BB4C0E">
        <w:rPr>
          <w:lang w:eastAsia="lv-LV"/>
        </w:rPr>
        <w:t>. Spriedums</w:t>
      </w:r>
      <w:r>
        <w:rPr>
          <w:lang w:eastAsia="lv-LV"/>
        </w:rPr>
        <w:t xml:space="preserve"> </w:t>
      </w:r>
      <w:r w:rsidRPr="00BB4C0E">
        <w:rPr>
          <w:lang w:eastAsia="lv-LV"/>
        </w:rPr>
        <w:t xml:space="preserve">pamatots ar turpmāk minētajiem argumentiem. </w:t>
      </w:r>
    </w:p>
    <w:p w14:paraId="05339EBB"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[2.1] J</w:t>
      </w:r>
      <w:r w:rsidRPr="007E4CC5">
        <w:rPr>
          <w:rFonts w:asciiTheme="majorBidi" w:hAnsiTheme="majorBidi" w:cstheme="majorBidi"/>
        </w:rPr>
        <w:t xml:space="preserve">ēdziena „finanšu iestāde” iztulkošanai </w:t>
      </w:r>
      <w:r>
        <w:rPr>
          <w:rFonts w:asciiTheme="majorBidi" w:hAnsiTheme="majorBidi" w:cstheme="majorBidi"/>
        </w:rPr>
        <w:t xml:space="preserve">jāpiemēro </w:t>
      </w:r>
      <w:r w:rsidRPr="00040527">
        <w:rPr>
          <w:rFonts w:asciiTheme="majorBidi" w:hAnsiTheme="majorBidi" w:cstheme="majorBidi"/>
        </w:rPr>
        <w:t>Eiropas Parlamenta un Padomes 2013.gada 26.jūnija regul</w:t>
      </w:r>
      <w:r>
        <w:rPr>
          <w:rFonts w:asciiTheme="majorBidi" w:hAnsiTheme="majorBidi" w:cstheme="majorBidi"/>
        </w:rPr>
        <w:t>a</w:t>
      </w:r>
      <w:r w:rsidRPr="00040527">
        <w:rPr>
          <w:rFonts w:asciiTheme="majorBidi" w:hAnsiTheme="majorBidi" w:cstheme="majorBidi"/>
        </w:rPr>
        <w:t xml:space="preserve"> Nr.</w:t>
      </w:r>
      <w:r>
        <w:rPr>
          <w:rFonts w:asciiTheme="majorBidi" w:hAnsiTheme="majorBidi" w:cstheme="majorBidi"/>
        </w:rPr>
        <w:t> </w:t>
      </w:r>
      <w:r w:rsidRPr="00040527">
        <w:rPr>
          <w:rFonts w:asciiTheme="majorBidi" w:hAnsiTheme="majorBidi" w:cstheme="majorBidi"/>
        </w:rPr>
        <w:t xml:space="preserve">575/2013 par prudenciālajām prasībām attiecībā uz kredītiestādēm un ieguldījumu brokeru sabiedrībām, un ar ko groza Regulu (ES) </w:t>
      </w:r>
      <w:r w:rsidRPr="00E72F48">
        <w:rPr>
          <w:rFonts w:asciiTheme="majorBidi" w:hAnsiTheme="majorBidi" w:cstheme="majorBidi"/>
        </w:rPr>
        <w:t>Nr. 648/2012 (turpmāk – regula Nr. 575/2013).</w:t>
      </w:r>
    </w:p>
    <w:p w14:paraId="285D12D3"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Atbilstoši regulas Nr.</w:t>
      </w:r>
      <w:r>
        <w:rPr>
          <w:rFonts w:asciiTheme="majorBidi" w:hAnsiTheme="majorBidi" w:cstheme="majorBidi"/>
        </w:rPr>
        <w:t> </w:t>
      </w:r>
      <w:r w:rsidRPr="007E4CC5">
        <w:rPr>
          <w:rFonts w:asciiTheme="majorBidi" w:hAnsiTheme="majorBidi" w:cstheme="majorBidi"/>
        </w:rPr>
        <w:t xml:space="preserve">575/2013 4.panta 1.punkta 26.apakšpunktam finanšu iestāde ir uzņēmums, kas nav iestāde (kredītiestāde vai ieguldījumu brokeru sabiedrība), kuras galvenā darbība ir līdzdalības iegāde vai viena vai vairākas no direktīvas 2013/36/ES </w:t>
      </w:r>
      <w:r>
        <w:rPr>
          <w:rFonts w:asciiTheme="majorBidi" w:hAnsiTheme="majorBidi" w:cstheme="majorBidi"/>
        </w:rPr>
        <w:t>I p</w:t>
      </w:r>
      <w:r w:rsidRPr="007E4CC5">
        <w:rPr>
          <w:rFonts w:asciiTheme="majorBidi" w:hAnsiTheme="majorBidi" w:cstheme="majorBidi"/>
        </w:rPr>
        <w:t xml:space="preserve">ielikuma 2. līdz 12.punktā un 15.punktā uzskaitītajām darbībām. </w:t>
      </w:r>
    </w:p>
    <w:p w14:paraId="15A7E68C"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 xml:space="preserve">Direktīvas 2013/36/ES </w:t>
      </w:r>
      <w:r>
        <w:rPr>
          <w:rFonts w:asciiTheme="majorBidi" w:hAnsiTheme="majorBidi" w:cstheme="majorBidi"/>
        </w:rPr>
        <w:t>I p</w:t>
      </w:r>
      <w:r w:rsidRPr="007E4CC5">
        <w:rPr>
          <w:rFonts w:asciiTheme="majorBidi" w:hAnsiTheme="majorBidi" w:cstheme="majorBidi"/>
        </w:rPr>
        <w:t>ielikuma (darbības, uz kurām attiecas savstarpēja atzīšana) 2. līdz 12.punktā un 15.punktā ietvertas šādas darbības: aizdevums; finanšu noma; maksājumu pakalpojumi; citu maksāšanas līdzekļu izdošana un pārvaldība; garantijas un saistības; tirdzniecība savā vai klienta vārdā ar naudas tirgus instrumentiem, ārvalstu valūtu u.c.; dalība vērtspapīru emisijās un ar šādām emisijām saistīto pakalpojumu sniegšana; uzņēmumu konsultēšana par kapitāla struktūru, darbības stratēģiju un ar to saistītiem jautājumiem un padomi un pakalpojumi saistībā ar uzņēmumu apvienošanu un pirkšanu; starpniecība naudas darījumos; portfeļa pārvaldība un konsultācijas; vērtspapīru glabāšana un administrēšana; elektroniskās naudas emitēšana.</w:t>
      </w:r>
    </w:p>
    <w:p w14:paraId="65443DAF" w14:textId="77777777" w:rsidR="004F2870"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Lietā ir strīds par to, vai uz pieteicēju ir attiecināma direktīvas 2013/36/ES I pielikuma 9.punktā norādītā darbība, proti, vai pieteicēja konsultē uzņēmumus par kapitāla struktūru, darbības stratēģiju un ar to saistītiem jautājumiem.</w:t>
      </w:r>
    </w:p>
    <w:p w14:paraId="05FF3E97"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[2.2] </w:t>
      </w:r>
      <w:r w:rsidRPr="007E4CC5">
        <w:rPr>
          <w:rFonts w:asciiTheme="majorBidi" w:hAnsiTheme="majorBidi" w:cstheme="majorBidi"/>
        </w:rPr>
        <w:t>Pieteicēja apstrīdēšanas iesniegumā un pieteikumā norādījusi, ka tās sniegtie pakalpojumi ietver budžeta plāna un izpildes kontroli, finanšu rādītāju aprēķinus un to koeficientu monitoringu, konsultācijas un aprēķinus par klientu ideju iespējamiem īstenošanas scenārijiem, potenciālo peļņu un zaudējumiem, debitoru un kreditoru monitoringu.</w:t>
      </w:r>
    </w:p>
    <w:p w14:paraId="2C10DC6E"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 xml:space="preserve">Pieteicēja uzskata, ka vērā ņemama Finanšu un kapitāla tirgus komisijas 2022.gada 29.novembra uzziņa, kurā norādīts, ka pieteicēja nav uzskatāma par finanšu iestādi, jo tās pamatdarbība ne formāli, ne arī pēc būtības neatbilst direktīvas 2013/36/ES </w:t>
      </w:r>
      <w:r>
        <w:rPr>
          <w:rFonts w:asciiTheme="majorBidi" w:hAnsiTheme="majorBidi" w:cstheme="majorBidi"/>
        </w:rPr>
        <w:t>I </w:t>
      </w:r>
      <w:r w:rsidRPr="007E4CC5">
        <w:rPr>
          <w:rFonts w:asciiTheme="majorBidi" w:hAnsiTheme="majorBidi" w:cstheme="majorBidi"/>
        </w:rPr>
        <w:t>pielikuma 9.punktā noteiktajai darbībai.</w:t>
      </w:r>
    </w:p>
    <w:p w14:paraId="1DE53CEF"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Tomēr pretēji </w:t>
      </w:r>
      <w:r w:rsidRPr="007E4CC5">
        <w:rPr>
          <w:rFonts w:asciiTheme="majorBidi" w:hAnsiTheme="majorBidi" w:cstheme="majorBidi"/>
        </w:rPr>
        <w:t xml:space="preserve">pieteicējas apgalvojumam Finanšu un kapitāla tirgus komisija ir atteikusies sniegt uzziņu, bet, atbildot uz pieteicējas iesniegumu, ir uzsvērusi, ka sniedz pieteicējai juridiski nesaistošu viedokli. </w:t>
      </w:r>
      <w:r>
        <w:rPr>
          <w:rFonts w:asciiTheme="majorBidi" w:hAnsiTheme="majorBidi" w:cstheme="majorBidi"/>
        </w:rPr>
        <w:t>Turklāt k</w:t>
      </w:r>
      <w:r w:rsidRPr="007E4CC5">
        <w:rPr>
          <w:rFonts w:asciiTheme="majorBidi" w:hAnsiTheme="majorBidi" w:cstheme="majorBidi"/>
        </w:rPr>
        <w:t xml:space="preserve">omisija ir nevis ņēmusi vērā pieteicējas faktiski sniegtos pakalpojumus, bet vadījusies no pieteicējas apgalvojumiem. Līdz ar </w:t>
      </w:r>
      <w:r>
        <w:rPr>
          <w:rFonts w:asciiTheme="majorBidi" w:hAnsiTheme="majorBidi" w:cstheme="majorBidi"/>
        </w:rPr>
        <w:t xml:space="preserve">to </w:t>
      </w:r>
      <w:r w:rsidRPr="007E4CC5">
        <w:rPr>
          <w:rFonts w:asciiTheme="majorBidi" w:hAnsiTheme="majorBidi" w:cstheme="majorBidi"/>
        </w:rPr>
        <w:t>komisijas viedokli</w:t>
      </w:r>
      <w:r>
        <w:rPr>
          <w:rFonts w:asciiTheme="majorBidi" w:hAnsiTheme="majorBidi" w:cstheme="majorBidi"/>
        </w:rPr>
        <w:t>s</w:t>
      </w:r>
      <w:r w:rsidRPr="007E4CC5">
        <w:rPr>
          <w:rFonts w:asciiTheme="majorBidi" w:hAnsiTheme="majorBidi" w:cstheme="majorBidi"/>
        </w:rPr>
        <w:t xml:space="preserve"> nav vērtē</w:t>
      </w:r>
      <w:r>
        <w:rPr>
          <w:rFonts w:asciiTheme="majorBidi" w:hAnsiTheme="majorBidi" w:cstheme="majorBidi"/>
        </w:rPr>
        <w:t>jams</w:t>
      </w:r>
      <w:r w:rsidRPr="007E4CC5">
        <w:rPr>
          <w:rFonts w:asciiTheme="majorBidi" w:hAnsiTheme="majorBidi" w:cstheme="majorBidi"/>
        </w:rPr>
        <w:t xml:space="preserve"> kā pierādījum</w:t>
      </w:r>
      <w:r>
        <w:rPr>
          <w:rFonts w:asciiTheme="majorBidi" w:hAnsiTheme="majorBidi" w:cstheme="majorBidi"/>
        </w:rPr>
        <w:t>s</w:t>
      </w:r>
      <w:r w:rsidRPr="007E4CC5">
        <w:rPr>
          <w:rFonts w:asciiTheme="majorBidi" w:hAnsiTheme="majorBidi" w:cstheme="majorBidi"/>
        </w:rPr>
        <w:t xml:space="preserve"> lietā.</w:t>
      </w:r>
    </w:p>
    <w:p w14:paraId="7E5F4F8C"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[2.3] </w:t>
      </w:r>
      <w:r w:rsidRPr="007E4CC5">
        <w:rPr>
          <w:rFonts w:asciiTheme="majorBidi" w:hAnsiTheme="majorBidi" w:cstheme="majorBidi"/>
        </w:rPr>
        <w:t xml:space="preserve">Lietā nav strīda, ka pieteicējas reģistrētais pamatdarbības veids ir „Konsultēšana komercdarbībā un vadībzinībās” (70.22). </w:t>
      </w:r>
      <w:r>
        <w:rPr>
          <w:rFonts w:asciiTheme="majorBidi" w:hAnsiTheme="majorBidi" w:cstheme="majorBidi"/>
        </w:rPr>
        <w:t xml:space="preserve">Šis </w:t>
      </w:r>
      <w:r w:rsidRPr="007E4CC5">
        <w:rPr>
          <w:rFonts w:asciiTheme="majorBidi" w:hAnsiTheme="majorBidi" w:cstheme="majorBidi"/>
        </w:rPr>
        <w:t>NACE kods ietilpst nodaļas „Centrālo biroju darbība; Konsultēšana komercdarbībā un vadībzinībās” (70) klases „Vadības konsultāciju pakalpojumi” (70.2) apakšgrupā.</w:t>
      </w:r>
    </w:p>
    <w:p w14:paraId="297BACF1" w14:textId="77777777" w:rsidR="004F2870" w:rsidRPr="00E72F48"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Ņemot vērā, ka ar attiecīgo NACE kodu deklarētā darbība var ietvert gan finanšu iestādei raksturīgus pakalpojumus (konsultāciju, norādījumu un operatīvas palīdzības sniegšana tādos vadības jautājumos kā stratēģiskā un organizatoriskā plānošana, uzņēmējdarbības procesa reorganizācija, izmaiņu pārvaldība, izdevumu samazināšana un citos ar finansēm saistītos jautājumos), gan pakalpojumus, kas finanšu iestādei nav raksturīgi, secināms, ka pati par sevi attiecīgā pamatdarbības veida deklarēšana neliecina, ka pieteicēja atbilst finanšu iestādes pazīmēm.</w:t>
      </w:r>
    </w:p>
    <w:p w14:paraId="08A64F6E" w14:textId="77777777" w:rsidR="004F2870"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[2.4] Par pieteicējas atbilstību finanšu iestādes statusam neliecina tās reklamētie pakalpojumi, jo, pirmkārt, uzņēmuma reklamētie pakalpojumi neliecina par faktiski veiktajiem pakalpojumiem konkrētā laika periodā, otrkārt, attiecīgais apraksts pats par</w:t>
      </w:r>
      <w:r w:rsidRPr="007E4CC5">
        <w:rPr>
          <w:rFonts w:asciiTheme="majorBidi" w:hAnsiTheme="majorBidi" w:cstheme="majorBidi"/>
        </w:rPr>
        <w:t xml:space="preserve"> sevi nenorāda, ka pieteicēja sniedz uzņēmumiem konsultācijas tieši jautājumos, kas saistīti ar kapitāla struktūru un darbības stratēģiju</w:t>
      </w:r>
      <w:r>
        <w:rPr>
          <w:rFonts w:asciiTheme="majorBidi" w:hAnsiTheme="majorBidi" w:cstheme="majorBidi"/>
        </w:rPr>
        <w:t>.</w:t>
      </w:r>
    </w:p>
    <w:p w14:paraId="6F41D313"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Ir izvērtējami uzņēmuma faktiski sniegtie pakalpojumi konkrētajā periodā.</w:t>
      </w:r>
      <w:r>
        <w:rPr>
          <w:rFonts w:asciiTheme="majorBidi" w:hAnsiTheme="majorBidi" w:cstheme="majorBidi"/>
        </w:rPr>
        <w:t xml:space="preserve"> </w:t>
      </w:r>
      <w:r w:rsidRPr="004443F8">
        <w:rPr>
          <w:rFonts w:asciiTheme="majorBidi" w:hAnsiTheme="majorBidi" w:cstheme="majorBidi"/>
        </w:rPr>
        <w:t>Tomēr</w:t>
      </w:r>
      <w:r>
        <w:rPr>
          <w:rFonts w:asciiTheme="majorBidi" w:hAnsiTheme="majorBidi" w:cstheme="majorBidi"/>
        </w:rPr>
        <w:t xml:space="preserve"> </w:t>
      </w:r>
      <w:r w:rsidRPr="004443F8">
        <w:rPr>
          <w:rFonts w:asciiTheme="majorBidi" w:hAnsiTheme="majorBidi" w:cstheme="majorBidi"/>
        </w:rPr>
        <w:t>pieteicējas dienestam un tiesai sniegtais</w:t>
      </w:r>
      <w:r>
        <w:rPr>
          <w:rFonts w:asciiTheme="majorBidi" w:hAnsiTheme="majorBidi" w:cstheme="majorBidi"/>
        </w:rPr>
        <w:t xml:space="preserve"> </w:t>
      </w:r>
      <w:r w:rsidRPr="004443F8">
        <w:rPr>
          <w:rFonts w:asciiTheme="majorBidi" w:hAnsiTheme="majorBidi" w:cstheme="majorBidi"/>
        </w:rPr>
        <w:t>pakalpojumu apraksts ir pārāk vispārīgs, lai tos automātiski izslēgtu no finanšu</w:t>
      </w:r>
      <w:r>
        <w:rPr>
          <w:rFonts w:asciiTheme="majorBidi" w:hAnsiTheme="majorBidi" w:cstheme="majorBidi"/>
        </w:rPr>
        <w:t xml:space="preserve"> </w:t>
      </w:r>
      <w:r w:rsidRPr="004443F8">
        <w:rPr>
          <w:rFonts w:asciiTheme="majorBidi" w:hAnsiTheme="majorBidi" w:cstheme="majorBidi"/>
        </w:rPr>
        <w:t>iestādes sniegto pakalpojumu klāsta</w:t>
      </w:r>
      <w:r>
        <w:rPr>
          <w:rFonts w:asciiTheme="majorBidi" w:hAnsiTheme="majorBidi" w:cstheme="majorBidi"/>
        </w:rPr>
        <w:t>.</w:t>
      </w:r>
    </w:p>
    <w:p w14:paraId="4B4B6EDF"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[2.5] P</w:t>
      </w:r>
      <w:r w:rsidRPr="007E4CC5">
        <w:rPr>
          <w:rFonts w:asciiTheme="majorBidi" w:hAnsiTheme="majorBidi" w:cstheme="majorBidi"/>
        </w:rPr>
        <w:t>ieteicēja 2021.gada martā, aprīlī un maijā uzrādījusi darījumus jomā „finansiālā analītika, debitoru, kreditoru analīze”, apgalvojot, ka attiecīgie pakalpojumi neietver uzņēmumu konsultēšanu par kapitāla struktūru, darbības stratēģiju un ar to saistītiem jautājumiem.</w:t>
      </w:r>
    </w:p>
    <w:p w14:paraId="27E93B4D" w14:textId="77777777" w:rsidR="004F2870" w:rsidRPr="00E72F48"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Līgumos ar SIA</w:t>
      </w:r>
      <w:r>
        <w:rPr>
          <w:rFonts w:asciiTheme="majorBidi" w:hAnsiTheme="majorBidi" w:cstheme="majorBidi"/>
        </w:rPr>
        <w:t> </w:t>
      </w:r>
      <w:r w:rsidRPr="007E4CC5">
        <w:rPr>
          <w:rFonts w:asciiTheme="majorBidi" w:hAnsiTheme="majorBidi" w:cstheme="majorBidi"/>
        </w:rPr>
        <w:t>„Dravnieks.lv”, SIA</w:t>
      </w:r>
      <w:r>
        <w:rPr>
          <w:rFonts w:asciiTheme="majorBidi" w:hAnsiTheme="majorBidi" w:cstheme="majorBidi"/>
        </w:rPr>
        <w:t> </w:t>
      </w:r>
      <w:r w:rsidRPr="007E4CC5">
        <w:rPr>
          <w:rFonts w:asciiTheme="majorBidi" w:hAnsiTheme="majorBidi" w:cstheme="majorBidi"/>
        </w:rPr>
        <w:t>„DYKI”, biedrību</w:t>
      </w:r>
      <w:r>
        <w:rPr>
          <w:rFonts w:asciiTheme="majorBidi" w:hAnsiTheme="majorBidi" w:cstheme="majorBidi"/>
        </w:rPr>
        <w:t> </w:t>
      </w:r>
      <w:r w:rsidRPr="007E4CC5">
        <w:rPr>
          <w:rFonts w:asciiTheme="majorBidi" w:hAnsiTheme="majorBidi" w:cstheme="majorBidi"/>
        </w:rPr>
        <w:t>„Mārupes hokeja savienība”, SIA</w:t>
      </w:r>
      <w:r>
        <w:rPr>
          <w:rFonts w:asciiTheme="majorBidi" w:hAnsiTheme="majorBidi" w:cstheme="majorBidi"/>
        </w:rPr>
        <w:t> </w:t>
      </w:r>
      <w:r w:rsidRPr="007E4CC5">
        <w:rPr>
          <w:rFonts w:asciiTheme="majorBidi" w:hAnsiTheme="majorBidi" w:cstheme="majorBidi"/>
        </w:rPr>
        <w:t>„Moskīts”, SIA</w:t>
      </w:r>
      <w:r>
        <w:rPr>
          <w:rFonts w:asciiTheme="majorBidi" w:hAnsiTheme="majorBidi" w:cstheme="majorBidi"/>
        </w:rPr>
        <w:t> </w:t>
      </w:r>
      <w:r w:rsidRPr="007E4CC5">
        <w:rPr>
          <w:rFonts w:asciiTheme="majorBidi" w:hAnsiTheme="majorBidi" w:cstheme="majorBidi"/>
        </w:rPr>
        <w:t>„Ventspils Zobu Tehnika” pieteicēja apņēmusies sniegt šādus pakalpojumus: 1) pārmaksāto nodokļu atgūšanas procesa administrēšana; 2)</w:t>
      </w:r>
      <w:r>
        <w:rPr>
          <w:rFonts w:asciiTheme="majorBidi" w:hAnsiTheme="majorBidi" w:cstheme="majorBidi"/>
        </w:rPr>
        <w:t> </w:t>
      </w:r>
      <w:r w:rsidRPr="007E4CC5">
        <w:rPr>
          <w:rFonts w:asciiTheme="majorBidi" w:hAnsiTheme="majorBidi" w:cstheme="majorBidi"/>
        </w:rPr>
        <w:t xml:space="preserve">pasūtītāja pārstāvēšana Valsts ieņēmumu dienestā; 3) pasūtītāja debitoru un kreditoru </w:t>
      </w:r>
      <w:r w:rsidRPr="00E72F48">
        <w:rPr>
          <w:rFonts w:asciiTheme="majorBidi" w:hAnsiTheme="majorBidi" w:cstheme="majorBidi"/>
        </w:rPr>
        <w:t xml:space="preserve">atskaišu gatavošana, maksājumu secības izvēle, budžeta kontroles atskaišu sagatavošana. Izrakstīti rēķini par pakalpojumu: finanšu analītikas darbi. </w:t>
      </w:r>
    </w:p>
    <w:p w14:paraId="3994CE18" w14:textId="77777777" w:rsidR="004F2870" w:rsidRPr="00E72F48"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Līgumā ar SIA „Baltais” pieteicēja apņēmusies sniegt šādus pakalpojumus: 1) konsultācijas nodokļu jautājumos; 2) pārmaksāto nodokļu atgūšanas procesa administrēšana; 3) pasūtītāja pārstāvēšana Valsts ieņēmumu dienestā; 4) pasūtītāja grāmatvedības procesa uzraudzīšana, analīze un kontrole. Izrakstīti rēķini par pakalpojumu: finanšu analītikas darbi.</w:t>
      </w:r>
    </w:p>
    <w:p w14:paraId="1CB32F62" w14:textId="77777777" w:rsidR="004F2870" w:rsidRPr="00E72F48"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Līgumā ar SIA „PB Finanses” pieteicēja apņēmusies sniegt šādus pakalpojumus: 1) organizatorisku pasākumu kopuma administrēšana pašaizsardzības nodarbību nodrošināšanai; 2) elektronisko failu sagatavju gatavošana gada pārskatu procesos; 3) pasūtītāja klientu debitoru un kreditoru atskaišu gatavošana, maksājumu secības izvēle, budžeta kontroles atskaišu sagatavošana. Izrakstīti rēķini par pakalpojumiem: organizatoriski pasākuma plānošanas darbi (V</w:t>
      </w:r>
      <w:r>
        <w:rPr>
          <w:rFonts w:asciiTheme="majorBidi" w:hAnsiTheme="majorBidi" w:cstheme="majorBidi"/>
        </w:rPr>
        <w:t xml:space="preserve">alsts ieņēmumu dienesta </w:t>
      </w:r>
      <w:r w:rsidRPr="00E72F48">
        <w:rPr>
          <w:rFonts w:asciiTheme="majorBidi" w:hAnsiTheme="majorBidi" w:cstheme="majorBidi"/>
        </w:rPr>
        <w:t>līguma izpilde) un finanšu konsultācijas – LETEX, XCORE un AZERON finansiālā analītika.</w:t>
      </w:r>
    </w:p>
    <w:p w14:paraId="212D9314" w14:textId="77777777" w:rsidR="004F2870" w:rsidRPr="00E72F48"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[2.6] No attiecīgo dokumentu satura nav viennozīmīgi izsecināms sniegto pakalpojumu (finanšu konsultācijas, finanšu analītika) saturs.</w:t>
      </w:r>
    </w:p>
    <w:p w14:paraId="6C701CE3" w14:textId="77777777" w:rsidR="004F2870"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Pieteicēja apstrīdēšanas iesniegumā un pieteikumā paskaidrojusi, ka neveic</w:t>
      </w:r>
      <w:r w:rsidRPr="007E4CC5">
        <w:rPr>
          <w:rFonts w:asciiTheme="majorBidi" w:hAnsiTheme="majorBidi" w:cstheme="majorBidi"/>
        </w:rPr>
        <w:t xml:space="preserve"> klientu kapitāla struktūras analīzi, nekonsultē klientus ieguldījumu jautājumos. Pārsvarā sniedz pakalpojumu „finanšu direktors ārpakalpojumā”, un tieši – budžeta plāna un izpildes kontrole, finanšu rādītāju aprēķināšana, dažādu finanšu rādītāju un koeficientu ievērošana, aprēķinu veikšana un klienta konsultēšana par to, kas notiks vienā vai otrā klienta idejiski iniciētā variantā (kādas būs mērķu sasniegšanas versijas, potenciālie peļņas vai zaudējumu rādījumi). Pieteicēja neiesaka, kā ieguldīt, bet gan izrēķina, kāds būs rezultāts tai situācijai, ko klients vēlas un plāno.</w:t>
      </w:r>
    </w:p>
    <w:p w14:paraId="24111A44"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Jau iepriekš norādīts, </w:t>
      </w:r>
      <w:r w:rsidRPr="007E4CC5">
        <w:rPr>
          <w:rFonts w:asciiTheme="majorBidi" w:hAnsiTheme="majorBidi" w:cstheme="majorBidi"/>
        </w:rPr>
        <w:t xml:space="preserve">ka, izvērtējot pieteicējas sniegto pakalpojumu raksturu, izšķiroša nozīme </w:t>
      </w:r>
      <w:r>
        <w:rPr>
          <w:rFonts w:asciiTheme="majorBidi" w:hAnsiTheme="majorBidi" w:cstheme="majorBidi"/>
        </w:rPr>
        <w:t>nav</w:t>
      </w:r>
      <w:r w:rsidRPr="007E4CC5">
        <w:rPr>
          <w:rFonts w:asciiTheme="majorBidi" w:hAnsiTheme="majorBidi" w:cstheme="majorBidi"/>
        </w:rPr>
        <w:t xml:space="preserve"> piešķirama pieteicējas interneta vietnē piedāvāto (reklamēto) pakalpojumu aprakstam.</w:t>
      </w:r>
      <w:r>
        <w:rPr>
          <w:rFonts w:asciiTheme="majorBidi" w:hAnsiTheme="majorBidi" w:cstheme="majorBidi"/>
        </w:rPr>
        <w:t xml:space="preserve"> </w:t>
      </w:r>
      <w:r w:rsidRPr="007E4CC5">
        <w:rPr>
          <w:rFonts w:asciiTheme="majorBidi" w:hAnsiTheme="majorBidi" w:cstheme="majorBidi"/>
        </w:rPr>
        <w:t xml:space="preserve">Vienlaikus attiecīgā klientiem sniegtā informācija var tikt </w:t>
      </w:r>
      <w:r w:rsidRPr="00E72F48">
        <w:rPr>
          <w:rFonts w:asciiTheme="majorBidi" w:hAnsiTheme="majorBidi" w:cstheme="majorBidi"/>
        </w:rPr>
        <w:t>izmantota, lai atklātu pieteicējas līgumos lietoto jēdzienu saturu.</w:t>
      </w:r>
      <w:r w:rsidRPr="007E4CC5">
        <w:rPr>
          <w:rFonts w:asciiTheme="majorBidi" w:hAnsiTheme="majorBidi" w:cstheme="majorBidi"/>
        </w:rPr>
        <w:t xml:space="preserve"> </w:t>
      </w:r>
    </w:p>
    <w:p w14:paraId="3F296876"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 xml:space="preserve">Pieteicēja interneta vietnē </w:t>
      </w:r>
      <w:r w:rsidRPr="00507CAC">
        <w:rPr>
          <w:rFonts w:asciiTheme="majorBidi" w:hAnsiTheme="majorBidi" w:cstheme="majorBidi"/>
          <w:i/>
          <w:iCs/>
        </w:rPr>
        <w:t>https://www.abzfinance.lv</w:t>
      </w:r>
      <w:r w:rsidRPr="007E4CC5">
        <w:rPr>
          <w:rFonts w:asciiTheme="majorBidi" w:hAnsiTheme="majorBidi" w:cstheme="majorBidi"/>
        </w:rPr>
        <w:t xml:space="preserve"> norādījusi, ka piedāvā klientam piemērotāko risinājumu atbilstoši sniegto pakalpojumu spektram: finanšu direktors ārpakalpojumā; finanšu plānošana; budžetēšana; biznesa konsultācijas; </w:t>
      </w:r>
      <w:r w:rsidRPr="00FD7AC1">
        <w:rPr>
          <w:rFonts w:asciiTheme="majorBidi" w:hAnsiTheme="majorBidi" w:cstheme="majorBidi"/>
          <w:i/>
          <w:iCs/>
        </w:rPr>
        <w:t>start-up</w:t>
      </w:r>
      <w:r w:rsidRPr="007E4CC5">
        <w:rPr>
          <w:rFonts w:asciiTheme="majorBidi" w:hAnsiTheme="majorBidi" w:cstheme="majorBidi"/>
        </w:rPr>
        <w:t xml:space="preserve"> risinājumi.</w:t>
      </w:r>
    </w:p>
    <w:p w14:paraId="329954D4" w14:textId="77777777" w:rsidR="004F2870" w:rsidRDefault="004F2870" w:rsidP="00A040F0">
      <w:pPr>
        <w:spacing w:line="276" w:lineRule="auto"/>
        <w:ind w:firstLine="720"/>
        <w:jc w:val="both"/>
        <w:rPr>
          <w:rFonts w:asciiTheme="majorBidi" w:hAnsiTheme="majorBidi" w:cstheme="majorBidi"/>
        </w:rPr>
      </w:pPr>
      <w:r w:rsidRPr="007E4CC5">
        <w:rPr>
          <w:rFonts w:asciiTheme="majorBidi" w:hAnsiTheme="majorBidi" w:cstheme="majorBidi"/>
        </w:rPr>
        <w:t>Norādīts, ka finanšu direktors ārpakalpojumā: veido un kontrolē uzņēmuma naudas plūsmu; ģenerē budžetu un kontrolē tā izpildi; uzmana uzņēmuma rādītājus; analizē potenciālās iespējas un riskus; koordinē iekšējo un ārējo finansējumu. Attiecībā uz veidiem, kā uzņēmums to organizē, minēts: vienas pieturas aģentūras princips; sadarbības partneri praktiski visās biznesa jomās; kontrole vienās rokās; tikai detalizētai un uzticamai grāmatvedībai ir iespējama ticama un reāla finanšu analītika</w:t>
      </w:r>
      <w:r>
        <w:rPr>
          <w:rFonts w:asciiTheme="majorBidi" w:hAnsiTheme="majorBidi" w:cstheme="majorBidi"/>
        </w:rPr>
        <w:t>.</w:t>
      </w:r>
    </w:p>
    <w:p w14:paraId="3F581A50" w14:textId="77777777" w:rsidR="004F2870" w:rsidRPr="00E72F48"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[2.7] </w:t>
      </w:r>
      <w:r w:rsidRPr="007E4CC5">
        <w:rPr>
          <w:rFonts w:asciiTheme="majorBidi" w:hAnsiTheme="majorBidi" w:cstheme="majorBidi"/>
        </w:rPr>
        <w:t>Ņemot vērā, ka tiek vērtētas kredītiestādēm raksturīgas funkcijas, ko veic citas finanšu iestādes, attiecīgā jēdziena noskaidrošanai var tikt izmantotas arī Eiropas Vērtspapīru un tirgu iestādes (ESMA) Vadlīnijas par konsultāciju jēdziena izpratni Eiropas Parlamenta un Padomes Direktīvā 2014/65/ES (2014.gada 15.maijs) par finanšu instrumentu tirgiem un ar ko groza Direktīvu 2002/92/EK un Direktīvu 2011/61/ES</w:t>
      </w:r>
      <w:r>
        <w:rPr>
          <w:rFonts w:asciiTheme="majorBidi" w:hAnsiTheme="majorBidi" w:cstheme="majorBidi"/>
        </w:rPr>
        <w:t xml:space="preserve"> </w:t>
      </w:r>
      <w:r w:rsidRPr="00E72F48">
        <w:rPr>
          <w:rFonts w:asciiTheme="majorBidi" w:hAnsiTheme="majorBidi" w:cstheme="majorBidi"/>
        </w:rPr>
        <w:t xml:space="preserve">(turpmāk – Eiropas Vērtspapīru un tirgu iestādes vadlīnijas). </w:t>
      </w:r>
    </w:p>
    <w:p w14:paraId="31F64BFA" w14:textId="77777777" w:rsidR="004F2870"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No tām izriet, ka uzņēmumu konsultēšana par kapitāla struktūru, darbības stratēģiju un ar to saistītiem jautājumiem ietilpst pakalpojumā „korporatīvo finanšu konsultācijas” (</w:t>
      </w:r>
      <w:r w:rsidRPr="00E72F48">
        <w:rPr>
          <w:rFonts w:asciiTheme="majorBidi" w:hAnsiTheme="majorBidi" w:cstheme="majorBidi"/>
          <w:i/>
          <w:iCs/>
        </w:rPr>
        <w:t>corporate finance advice</w:t>
      </w:r>
      <w:r w:rsidRPr="00E72F48">
        <w:rPr>
          <w:rFonts w:asciiTheme="majorBidi" w:hAnsiTheme="majorBidi" w:cstheme="majorBidi"/>
        </w:rPr>
        <w:t>). Izvērtējot, vai uzņēmums sniedz šādu</w:t>
      </w:r>
      <w:r w:rsidRPr="007E4CC5">
        <w:rPr>
          <w:rFonts w:asciiTheme="majorBidi" w:hAnsiTheme="majorBidi" w:cstheme="majorBidi"/>
        </w:rPr>
        <w:t xml:space="preserve"> pakalpojumu, pirmkārt, noskaidrojams, vai tam ir informatīvs vai konsultējošs raksturs. Konsultācijai ir raksturīgs padomdevēja tiešs vai netiešs ieteikuma elements. Savukārt informēšana ie</w:t>
      </w:r>
      <w:r>
        <w:rPr>
          <w:rFonts w:asciiTheme="majorBidi" w:hAnsiTheme="majorBidi" w:cstheme="majorBidi"/>
        </w:rPr>
        <w:t>t</w:t>
      </w:r>
      <w:r w:rsidRPr="007E4CC5">
        <w:rPr>
          <w:rFonts w:asciiTheme="majorBidi" w:hAnsiTheme="majorBidi" w:cstheme="majorBidi"/>
        </w:rPr>
        <w:t>ver faktu un skaitļu paziņošanu, proti, vienkārša objektīvas</w:t>
      </w:r>
      <w:r>
        <w:rPr>
          <w:rFonts w:asciiTheme="majorBidi" w:hAnsiTheme="majorBidi" w:cstheme="majorBidi"/>
        </w:rPr>
        <w:t xml:space="preserve"> </w:t>
      </w:r>
      <w:r w:rsidRPr="007E4CC5">
        <w:rPr>
          <w:rFonts w:asciiTheme="majorBidi" w:hAnsiTheme="majorBidi" w:cstheme="majorBidi"/>
        </w:rPr>
        <w:t>informācijas sniegšana, nesniedzot nekādus komentārus, vērtējumu vai ietekmes novērtējumu uz klienta lēmumiem, nav ieteikums.</w:t>
      </w:r>
    </w:p>
    <w:p w14:paraId="50CD7249"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P</w:t>
      </w:r>
      <w:r w:rsidRPr="007E4CC5">
        <w:rPr>
          <w:rFonts w:asciiTheme="majorBidi" w:hAnsiTheme="majorBidi" w:cstheme="majorBidi"/>
        </w:rPr>
        <w:t>ašas pieteicējas paskaidrojumi kopsakarā ar klientiem sniegto pakalpojumu aprakstu ļauj secināt, ka pieteicēja strīdus periodā ir veikusi klientu potenciālo iespēju un risku analīzi, nevis vienkārši snie</w:t>
      </w:r>
      <w:r>
        <w:rPr>
          <w:rFonts w:asciiTheme="majorBidi" w:hAnsiTheme="majorBidi" w:cstheme="majorBidi"/>
        </w:rPr>
        <w:t xml:space="preserve">gusi </w:t>
      </w:r>
      <w:r w:rsidRPr="007E4CC5">
        <w:rPr>
          <w:rFonts w:asciiTheme="majorBidi" w:hAnsiTheme="majorBidi" w:cstheme="majorBidi"/>
        </w:rPr>
        <w:t xml:space="preserve">klientam informāciju, bet </w:t>
      </w:r>
      <w:r>
        <w:rPr>
          <w:rFonts w:asciiTheme="majorBidi" w:hAnsiTheme="majorBidi" w:cstheme="majorBidi"/>
        </w:rPr>
        <w:t xml:space="preserve">gan </w:t>
      </w:r>
      <w:r w:rsidRPr="007E4CC5">
        <w:rPr>
          <w:rFonts w:asciiTheme="majorBidi" w:hAnsiTheme="majorBidi" w:cstheme="majorBidi"/>
        </w:rPr>
        <w:t>izskaidroj</w:t>
      </w:r>
      <w:r>
        <w:rPr>
          <w:rFonts w:asciiTheme="majorBidi" w:hAnsiTheme="majorBidi" w:cstheme="majorBidi"/>
        </w:rPr>
        <w:t>usi</w:t>
      </w:r>
      <w:r w:rsidRPr="007E4CC5">
        <w:rPr>
          <w:rFonts w:asciiTheme="majorBidi" w:hAnsiTheme="majorBidi" w:cstheme="majorBidi"/>
        </w:rPr>
        <w:t xml:space="preserve"> sagaidāmo rezultātu vienā vai citā variantā, proti, ietekmējot klienta lēmumus par tā turpmāko rīcību. Minētais ir uzskatāms par uzņēmumu konsultēšanu par darbības stratēģiju un ar to saistītiem jautājumiem.</w:t>
      </w:r>
    </w:p>
    <w:p w14:paraId="74A64AC2" w14:textId="77777777" w:rsidR="004F2870" w:rsidRDefault="004F2870" w:rsidP="00A040F0">
      <w:pPr>
        <w:spacing w:line="276" w:lineRule="auto"/>
        <w:ind w:firstLine="720"/>
        <w:jc w:val="both"/>
        <w:rPr>
          <w:rFonts w:asciiTheme="majorBidi" w:hAnsiTheme="majorBidi" w:cstheme="majorBidi"/>
        </w:rPr>
      </w:pPr>
    </w:p>
    <w:p w14:paraId="2A8EF86D" w14:textId="77777777" w:rsidR="004F2870" w:rsidRPr="00075BEC" w:rsidRDefault="004F2870" w:rsidP="00A040F0">
      <w:pPr>
        <w:spacing w:line="276" w:lineRule="auto"/>
        <w:ind w:firstLine="720"/>
        <w:jc w:val="both"/>
        <w:rPr>
          <w:rFonts w:asciiTheme="majorBidi" w:hAnsiTheme="majorBidi" w:cstheme="majorBidi"/>
        </w:rPr>
      </w:pPr>
      <w:r w:rsidRPr="00075BEC">
        <w:rPr>
          <w:rFonts w:asciiTheme="majorBidi" w:hAnsiTheme="majorBidi" w:cstheme="majorBidi"/>
        </w:rPr>
        <w:t xml:space="preserve">[3] </w:t>
      </w:r>
      <w:r w:rsidRPr="00075BEC">
        <w:rPr>
          <w:rFonts w:asciiTheme="majorBidi" w:hAnsiTheme="majorBidi" w:cstheme="majorBidi"/>
          <w:lang w:eastAsia="lv-LV"/>
        </w:rPr>
        <w:t xml:space="preserve">Pieteicēja </w:t>
      </w:r>
      <w:r w:rsidRPr="00075BEC">
        <w:rPr>
          <w:rFonts w:asciiTheme="majorBidi" w:hAnsiTheme="majorBidi" w:cstheme="majorBidi"/>
        </w:rPr>
        <w:t>iesniedza kasācijas sūdzību par apgabaltiesas spriedumu, norādot turpmāk minētos argumentus.</w:t>
      </w:r>
    </w:p>
    <w:p w14:paraId="49DD427E" w14:textId="77777777" w:rsidR="004F2870" w:rsidRPr="00075BEC" w:rsidRDefault="004F2870" w:rsidP="00A040F0">
      <w:pPr>
        <w:spacing w:line="276" w:lineRule="auto"/>
        <w:ind w:firstLine="720"/>
        <w:jc w:val="both"/>
        <w:rPr>
          <w:rFonts w:eastAsia="Calibri"/>
        </w:rPr>
      </w:pPr>
      <w:r w:rsidRPr="00075BEC">
        <w:rPr>
          <w:rFonts w:asciiTheme="majorBidi" w:hAnsiTheme="majorBidi" w:cstheme="majorBidi"/>
        </w:rPr>
        <w:t xml:space="preserve">[3.1] </w:t>
      </w:r>
      <w:r>
        <w:rPr>
          <w:rFonts w:eastAsia="Calibri"/>
        </w:rPr>
        <w:t>T</w:t>
      </w:r>
      <w:r w:rsidRPr="00075BEC">
        <w:rPr>
          <w:rFonts w:eastAsia="Calibri"/>
        </w:rPr>
        <w:t>iesa</w:t>
      </w:r>
      <w:r>
        <w:rPr>
          <w:rFonts w:eastAsia="Calibri"/>
        </w:rPr>
        <w:t xml:space="preserve"> </w:t>
      </w:r>
      <w:r w:rsidRPr="00075BEC">
        <w:rPr>
          <w:rFonts w:eastAsia="Calibri"/>
        </w:rPr>
        <w:t xml:space="preserve">secinājusi, ka dienesta </w:t>
      </w:r>
      <w:r>
        <w:rPr>
          <w:rFonts w:eastAsia="Calibri"/>
        </w:rPr>
        <w:t xml:space="preserve">lēmumos </w:t>
      </w:r>
      <w:r w:rsidRPr="00075BEC">
        <w:rPr>
          <w:rFonts w:eastAsia="Calibri"/>
        </w:rPr>
        <w:t>norādītie apstākļi nepierāda dienesta apgalvojumu, ka pieteicēja ir finanšu iestāde. Šādos apstākļos tiesai bija jāatzīst, ka dienests nav pierādījis apstākļus, uz kuriem tas atsaucas lēmumos</w:t>
      </w:r>
      <w:r>
        <w:rPr>
          <w:rFonts w:eastAsia="Calibri"/>
        </w:rPr>
        <w:t>, un tāpēc lēmumi nav tiesiski</w:t>
      </w:r>
      <w:r w:rsidRPr="00075BEC">
        <w:rPr>
          <w:rFonts w:eastAsia="Calibri"/>
        </w:rPr>
        <w:t>.</w:t>
      </w:r>
      <w:r>
        <w:rPr>
          <w:rFonts w:eastAsia="Calibri"/>
        </w:rPr>
        <w:t xml:space="preserve"> Atbilstoši </w:t>
      </w:r>
      <w:r w:rsidRPr="00075BEC">
        <w:rPr>
          <w:rFonts w:eastAsia="Calibri"/>
        </w:rPr>
        <w:t>Administratīvā procesa likuma 150. un 250.pant</w:t>
      </w:r>
      <w:r>
        <w:rPr>
          <w:rFonts w:eastAsia="Calibri"/>
        </w:rPr>
        <w:t>am</w:t>
      </w:r>
      <w:r w:rsidRPr="00075BEC">
        <w:rPr>
          <w:rFonts w:eastAsia="Calibri"/>
        </w:rPr>
        <w:t xml:space="preserve"> tiesai nav pamata ar savu darbību palīdzēt </w:t>
      </w:r>
      <w:r>
        <w:rPr>
          <w:rFonts w:eastAsia="Calibri"/>
        </w:rPr>
        <w:t xml:space="preserve">iestādei un </w:t>
      </w:r>
      <w:r w:rsidRPr="00075BEC">
        <w:rPr>
          <w:rFonts w:eastAsia="Calibri"/>
        </w:rPr>
        <w:t>pildīt pierādīšanas pienākumu valsts interesēs.</w:t>
      </w:r>
      <w:r>
        <w:rPr>
          <w:rFonts w:eastAsia="Calibri"/>
        </w:rPr>
        <w:t xml:space="preserve"> Tiesa to nav ievērojusi. </w:t>
      </w:r>
    </w:p>
    <w:p w14:paraId="484CADE5" w14:textId="77777777" w:rsidR="004F2870" w:rsidRDefault="004F2870" w:rsidP="00A040F0">
      <w:pPr>
        <w:spacing w:line="276" w:lineRule="auto"/>
        <w:ind w:firstLine="720"/>
        <w:jc w:val="both"/>
        <w:rPr>
          <w:rFonts w:eastAsia="Calibri"/>
        </w:rPr>
      </w:pPr>
      <w:r>
        <w:rPr>
          <w:rFonts w:eastAsia="Calibri"/>
        </w:rPr>
        <w:t xml:space="preserve">Ievērojot minēto, tiesa spriedumā nedrīkstēja atsaukties arī uz </w:t>
      </w:r>
      <w:r w:rsidRPr="007E4CC5">
        <w:rPr>
          <w:rFonts w:asciiTheme="majorBidi" w:hAnsiTheme="majorBidi" w:cstheme="majorBidi"/>
        </w:rPr>
        <w:t xml:space="preserve">Eiropas Vērtspapīru un tirgu iestādes </w:t>
      </w:r>
      <w:r>
        <w:rPr>
          <w:rFonts w:asciiTheme="majorBidi" w:hAnsiTheme="majorBidi" w:cstheme="majorBidi"/>
        </w:rPr>
        <w:t>v</w:t>
      </w:r>
      <w:r w:rsidRPr="007E4CC5">
        <w:rPr>
          <w:rFonts w:asciiTheme="majorBidi" w:hAnsiTheme="majorBidi" w:cstheme="majorBidi"/>
        </w:rPr>
        <w:t>adlīnij</w:t>
      </w:r>
      <w:r>
        <w:rPr>
          <w:rFonts w:asciiTheme="majorBidi" w:hAnsiTheme="majorBidi" w:cstheme="majorBidi"/>
        </w:rPr>
        <w:t>ām</w:t>
      </w:r>
      <w:r>
        <w:rPr>
          <w:rFonts w:eastAsia="Calibri"/>
        </w:rPr>
        <w:t xml:space="preserve">, kas ir pierādījums, kuru dienests nav izmantojis administratīvā akta pamatošanā. </w:t>
      </w:r>
    </w:p>
    <w:p w14:paraId="40B80707" w14:textId="77777777" w:rsidR="004F2870" w:rsidRPr="00075BEC" w:rsidRDefault="004F2870" w:rsidP="00A040F0">
      <w:pPr>
        <w:spacing w:line="276" w:lineRule="auto"/>
        <w:ind w:firstLine="720"/>
        <w:jc w:val="both"/>
        <w:rPr>
          <w:rFonts w:eastAsia="Calibri"/>
        </w:rPr>
      </w:pPr>
      <w:r w:rsidRPr="00075BEC">
        <w:rPr>
          <w:rFonts w:eastAsia="Calibri"/>
        </w:rPr>
        <w:t>[</w:t>
      </w:r>
      <w:r>
        <w:rPr>
          <w:rFonts w:eastAsia="Calibri"/>
        </w:rPr>
        <w:t>3.2</w:t>
      </w:r>
      <w:r w:rsidRPr="00075BEC">
        <w:rPr>
          <w:rFonts w:eastAsia="Calibri"/>
        </w:rPr>
        <w:t>] Tiesa divās salīdzināmās situācijās ir rīkojusies atšķirīgi. Proti, tiesa ņēma vērā Eiropas Vērtspapīru un tirgu iestādes vadlīnij</w:t>
      </w:r>
      <w:r>
        <w:rPr>
          <w:rFonts w:eastAsia="Calibri"/>
        </w:rPr>
        <w:t>as</w:t>
      </w:r>
      <w:r w:rsidRPr="00075BEC">
        <w:rPr>
          <w:rFonts w:eastAsia="Calibri"/>
        </w:rPr>
        <w:t>, bet vienlaikus atzina, ka Finanšu un kapitāla tirgus komisijas 2022.gada 29.novembra viedoklis</w:t>
      </w:r>
      <w:r w:rsidRPr="00075BEC">
        <w:t xml:space="preserve"> </w:t>
      </w:r>
      <w:r w:rsidRPr="00075BEC">
        <w:rPr>
          <w:rFonts w:eastAsia="Calibri"/>
        </w:rPr>
        <w:t>kā pierādījums lietā nav vērtējams.</w:t>
      </w:r>
    </w:p>
    <w:p w14:paraId="6EF27367" w14:textId="77777777" w:rsidR="004F2870" w:rsidRPr="00075BEC" w:rsidRDefault="004F2870" w:rsidP="00A040F0">
      <w:pPr>
        <w:spacing w:line="276" w:lineRule="auto"/>
        <w:ind w:firstLine="720"/>
        <w:jc w:val="both"/>
        <w:rPr>
          <w:rFonts w:eastAsia="Calibri"/>
        </w:rPr>
      </w:pPr>
      <w:r w:rsidRPr="00075BEC">
        <w:rPr>
          <w:rFonts w:eastAsia="Calibri"/>
        </w:rPr>
        <w:t xml:space="preserve">Nav skaidrs, kā tiesa nonākusi pie secinājuma, ka </w:t>
      </w:r>
      <w:r>
        <w:rPr>
          <w:rFonts w:eastAsia="Calibri"/>
        </w:rPr>
        <w:t>v</w:t>
      </w:r>
      <w:r w:rsidRPr="00075BEC">
        <w:rPr>
          <w:rFonts w:eastAsia="Calibri"/>
        </w:rPr>
        <w:t xml:space="preserve">ienas iestādes </w:t>
      </w:r>
      <w:r>
        <w:rPr>
          <w:rFonts w:eastAsia="Calibri"/>
        </w:rPr>
        <w:t xml:space="preserve">publicētas </w:t>
      </w:r>
      <w:r w:rsidRPr="00075BEC">
        <w:rPr>
          <w:rFonts w:eastAsia="Calibri"/>
        </w:rPr>
        <w:t>vadlīnij</w:t>
      </w:r>
      <w:r>
        <w:rPr>
          <w:rFonts w:eastAsia="Calibri"/>
        </w:rPr>
        <w:t>as</w:t>
      </w:r>
      <w:r w:rsidRPr="00075BEC">
        <w:rPr>
          <w:rFonts w:eastAsia="Calibri"/>
        </w:rPr>
        <w:t xml:space="preserve"> ir uzskatāmas par pierādījumu lietā, bet citas iestādes viedoklis, kurā atbildēts uz pieteicējas jautājumu</w:t>
      </w:r>
      <w:r>
        <w:rPr>
          <w:rFonts w:eastAsia="Calibri"/>
        </w:rPr>
        <w:t>,</w:t>
      </w:r>
      <w:r w:rsidRPr="00075BEC">
        <w:rPr>
          <w:rFonts w:eastAsia="Calibri"/>
        </w:rPr>
        <w:t xml:space="preserve"> izmantojot tādu pašu situācijas aprakstu, kas tika norādīts gan tiesai, gan dienestam, nav pieļaujams pierādījums. Abās </w:t>
      </w:r>
      <w:r>
        <w:rPr>
          <w:rFonts w:eastAsia="Calibri"/>
        </w:rPr>
        <w:t xml:space="preserve">situācijās </w:t>
      </w:r>
      <w:r w:rsidRPr="00075BEC">
        <w:rPr>
          <w:rFonts w:eastAsia="Calibri"/>
        </w:rPr>
        <w:t xml:space="preserve">iestādes viedoklis nav </w:t>
      </w:r>
      <w:r>
        <w:rPr>
          <w:rFonts w:eastAsia="Calibri"/>
        </w:rPr>
        <w:t xml:space="preserve">balstīts uz </w:t>
      </w:r>
      <w:r w:rsidRPr="00075BEC">
        <w:rPr>
          <w:rFonts w:eastAsia="Calibri"/>
        </w:rPr>
        <w:t>pieteicējas faktiski sniegt</w:t>
      </w:r>
      <w:r>
        <w:rPr>
          <w:rFonts w:eastAsia="Calibri"/>
        </w:rPr>
        <w:t>ajiem</w:t>
      </w:r>
      <w:r w:rsidRPr="00075BEC">
        <w:rPr>
          <w:rFonts w:eastAsia="Calibri"/>
        </w:rPr>
        <w:t xml:space="preserve"> pakalpojum</w:t>
      </w:r>
      <w:r>
        <w:rPr>
          <w:rFonts w:eastAsia="Calibri"/>
        </w:rPr>
        <w:t>iem</w:t>
      </w:r>
      <w:r w:rsidRPr="00075BEC">
        <w:rPr>
          <w:rFonts w:eastAsia="Calibri"/>
        </w:rPr>
        <w:t>, bet gan analizējot tās norādīto informāciju par pakalpojumu sniegšanu.</w:t>
      </w:r>
      <w:r>
        <w:rPr>
          <w:rFonts w:eastAsia="Calibri"/>
        </w:rPr>
        <w:t xml:space="preserve"> </w:t>
      </w:r>
    </w:p>
    <w:p w14:paraId="66422AC8" w14:textId="77777777" w:rsidR="004F2870" w:rsidRPr="00871BF3" w:rsidRDefault="004F2870" w:rsidP="00A040F0">
      <w:pPr>
        <w:spacing w:line="276" w:lineRule="auto"/>
        <w:ind w:firstLine="720"/>
        <w:jc w:val="both"/>
        <w:rPr>
          <w:rFonts w:eastAsia="Calibri"/>
        </w:rPr>
      </w:pPr>
      <w:r w:rsidRPr="00075BEC">
        <w:rPr>
          <w:rFonts w:eastAsia="Calibri"/>
        </w:rPr>
        <w:t>[</w:t>
      </w:r>
      <w:r>
        <w:rPr>
          <w:rFonts w:eastAsia="Calibri"/>
        </w:rPr>
        <w:t>3.3</w:t>
      </w:r>
      <w:r w:rsidRPr="00075BEC">
        <w:rPr>
          <w:rFonts w:eastAsia="Calibri"/>
        </w:rPr>
        <w:t>]</w:t>
      </w:r>
      <w:r>
        <w:rPr>
          <w:rFonts w:eastAsia="Calibri"/>
        </w:rPr>
        <w:t xml:space="preserve"> </w:t>
      </w:r>
      <w:r w:rsidRPr="004311C9">
        <w:rPr>
          <w:rFonts w:eastAsia="Calibri"/>
        </w:rPr>
        <w:t xml:space="preserve">Tiesa, novērtējot pieteicējas iesniegtos līgumus un rēķinus, atzina, ka no tiem nav viennozīmīgi izsecināms sniegto pakalpojumu saturs. Ja tiesa nevar izsecināt sniegtā pakalpojuma saturu no līguma un rēķiniem, tad to </w:t>
      </w:r>
      <w:r>
        <w:rPr>
          <w:rFonts w:eastAsia="Calibri"/>
        </w:rPr>
        <w:t xml:space="preserve">arī </w:t>
      </w:r>
      <w:r w:rsidRPr="004311C9">
        <w:rPr>
          <w:rFonts w:eastAsia="Calibri"/>
        </w:rPr>
        <w:t>nevar izdarīt, analizējot līgumā vai rēķinā iekļauta termina nozīmi</w:t>
      </w:r>
      <w:r>
        <w:rPr>
          <w:rFonts w:eastAsia="Calibri"/>
        </w:rPr>
        <w:t xml:space="preserve"> </w:t>
      </w:r>
      <w:r w:rsidRPr="00075BEC">
        <w:rPr>
          <w:rFonts w:eastAsia="Calibri"/>
        </w:rPr>
        <w:t>Eiropas Vērtspapīru un tirgu iestādes vadlīnijā</w:t>
      </w:r>
      <w:r>
        <w:rPr>
          <w:rFonts w:eastAsia="Calibri"/>
        </w:rPr>
        <w:t>s</w:t>
      </w:r>
      <w:r w:rsidRPr="004311C9">
        <w:rPr>
          <w:rFonts w:eastAsia="Calibri"/>
        </w:rPr>
        <w:t>. Savukārt, ja tiesa no dokumentu satura nespēj izsecināt sniegtā pakalpojuma saturu, jāsecina, ka lietā nav pietiekamu pierādījumu, lai konstatētu iestādes norādīto apstākli.</w:t>
      </w:r>
      <w:r w:rsidRPr="00300312">
        <w:rPr>
          <w:rFonts w:eastAsia="Calibri"/>
          <w:color w:val="70AD47" w:themeColor="accent6"/>
        </w:rPr>
        <w:t xml:space="preserve"> </w:t>
      </w:r>
      <w:r>
        <w:rPr>
          <w:rFonts w:eastAsia="Calibri"/>
        </w:rPr>
        <w:t>Šādā gadījumā tiesai bija jāsecina, ka administratīvie akti nav tiesiski.</w:t>
      </w:r>
    </w:p>
    <w:p w14:paraId="137017F2" w14:textId="77777777" w:rsidR="004F2870" w:rsidRPr="00075BEC" w:rsidRDefault="004F2870" w:rsidP="00A040F0">
      <w:pPr>
        <w:spacing w:line="276" w:lineRule="auto"/>
        <w:ind w:firstLine="720"/>
        <w:jc w:val="both"/>
        <w:rPr>
          <w:rFonts w:eastAsia="Calibri"/>
        </w:rPr>
      </w:pPr>
      <w:r>
        <w:rPr>
          <w:rFonts w:eastAsia="Calibri"/>
        </w:rPr>
        <w:t xml:space="preserve">Jāņem arī </w:t>
      </w:r>
      <w:r w:rsidRPr="00075BEC">
        <w:rPr>
          <w:rFonts w:eastAsia="Calibri"/>
        </w:rPr>
        <w:t xml:space="preserve">vērā, ka </w:t>
      </w:r>
      <w:r>
        <w:rPr>
          <w:rFonts w:eastAsia="Calibri"/>
        </w:rPr>
        <w:t>pieteicēja</w:t>
      </w:r>
      <w:r w:rsidRPr="00075BEC">
        <w:rPr>
          <w:rFonts w:eastAsia="Calibri"/>
        </w:rPr>
        <w:t xml:space="preserve"> nevar</w:t>
      </w:r>
      <w:r>
        <w:rPr>
          <w:rFonts w:eastAsia="Calibri"/>
        </w:rPr>
        <w:t xml:space="preserve"> </w:t>
      </w:r>
      <w:r w:rsidRPr="00075BEC">
        <w:rPr>
          <w:rFonts w:eastAsia="Calibri"/>
        </w:rPr>
        <w:t xml:space="preserve">pierādīt negatīvu faktu ar tiešiem pierādījumiem. </w:t>
      </w:r>
      <w:r>
        <w:rPr>
          <w:rFonts w:eastAsia="Calibri"/>
        </w:rPr>
        <w:t xml:space="preserve">Proti, </w:t>
      </w:r>
      <w:r w:rsidRPr="00075BEC">
        <w:rPr>
          <w:rFonts w:eastAsia="Calibri"/>
        </w:rPr>
        <w:t xml:space="preserve">nevar pierādīt, ka tās darbība neatbilst finanšu iestādes darbībai. </w:t>
      </w:r>
      <w:r>
        <w:rPr>
          <w:rFonts w:eastAsia="Calibri"/>
        </w:rPr>
        <w:t xml:space="preserve">Tieši dienesta uzdevums ir pierādīt, ka </w:t>
      </w:r>
      <w:r w:rsidRPr="00075BEC">
        <w:rPr>
          <w:rFonts w:eastAsia="Calibri"/>
        </w:rPr>
        <w:t>pieteicējas darbība atbilst finanšu iestādei</w:t>
      </w:r>
      <w:r>
        <w:rPr>
          <w:rFonts w:eastAsia="Calibri"/>
        </w:rPr>
        <w:t xml:space="preserve">. </w:t>
      </w:r>
      <w:r w:rsidRPr="00075BEC">
        <w:rPr>
          <w:rFonts w:eastAsia="Calibri"/>
        </w:rPr>
        <w:t xml:space="preserve"> </w:t>
      </w:r>
    </w:p>
    <w:p w14:paraId="4E5357DC" w14:textId="77777777" w:rsidR="004F2870" w:rsidRPr="00075BEC" w:rsidRDefault="004F2870" w:rsidP="00A040F0">
      <w:pPr>
        <w:spacing w:line="276" w:lineRule="auto"/>
        <w:ind w:firstLine="720"/>
        <w:jc w:val="both"/>
        <w:rPr>
          <w:rFonts w:eastAsia="Calibri"/>
        </w:rPr>
      </w:pPr>
      <w:r w:rsidRPr="00E72F48">
        <w:rPr>
          <w:rFonts w:eastAsia="Calibri"/>
        </w:rPr>
        <w:t>[3.4] Pat ja atzītu, ka kāds no pieteicējas darījumiem atbilst finanšu iestādes definīcijai, tad nav pamatots un pierādīts, kādēļ tā būtu uzskatāma par pieteicējas galveno darbību, kas atbilstoši regulas Nr. 575/2013 4.panta 1.punkta 26.apakšpunktam ir</w:t>
      </w:r>
      <w:r w:rsidRPr="00075BEC">
        <w:rPr>
          <w:rFonts w:eastAsia="Calibri"/>
        </w:rPr>
        <w:t xml:space="preserve"> jāpierāda. </w:t>
      </w:r>
      <w:r>
        <w:rPr>
          <w:rFonts w:eastAsia="Calibri"/>
        </w:rPr>
        <w:t>T</w:t>
      </w:r>
      <w:r w:rsidRPr="00075BEC">
        <w:rPr>
          <w:rFonts w:eastAsia="Calibri"/>
        </w:rPr>
        <w:t>iesa</w:t>
      </w:r>
      <w:r>
        <w:rPr>
          <w:rFonts w:eastAsia="Calibri"/>
        </w:rPr>
        <w:t xml:space="preserve"> šo pieteicējas argumentu nav analizējusi</w:t>
      </w:r>
      <w:r w:rsidRPr="00075BEC">
        <w:rPr>
          <w:rFonts w:eastAsia="Calibri"/>
        </w:rPr>
        <w:t>.</w:t>
      </w:r>
    </w:p>
    <w:p w14:paraId="6E5E6E8F" w14:textId="77777777" w:rsidR="004F2870" w:rsidRPr="00075BEC" w:rsidRDefault="004F2870" w:rsidP="00A040F0">
      <w:pPr>
        <w:spacing w:line="276" w:lineRule="auto"/>
        <w:ind w:firstLine="720"/>
        <w:jc w:val="both"/>
        <w:rPr>
          <w:rFonts w:eastAsia="Calibri"/>
        </w:rPr>
      </w:pPr>
      <w:r>
        <w:rPr>
          <w:rFonts w:eastAsia="Calibri"/>
        </w:rPr>
        <w:t>T</w:t>
      </w:r>
      <w:r w:rsidRPr="00075BEC">
        <w:rPr>
          <w:rFonts w:eastAsia="Calibri"/>
        </w:rPr>
        <w:t xml:space="preserve">ikai pieteicējas sagatavotajā rēķinā ar komersantiem </w:t>
      </w:r>
      <w:r>
        <w:rPr>
          <w:rFonts w:eastAsia="Calibri"/>
        </w:rPr>
        <w:t>–</w:t>
      </w:r>
      <w:r w:rsidRPr="00075BEC">
        <w:rPr>
          <w:rFonts w:eastAsia="Calibri"/>
        </w:rPr>
        <w:t xml:space="preserve"> </w:t>
      </w:r>
      <w:r w:rsidRPr="00D041EC">
        <w:rPr>
          <w:rFonts w:eastAsia="Calibri"/>
        </w:rPr>
        <w:t>LETEX, XCORE</w:t>
      </w:r>
      <w:r w:rsidRPr="00075BEC">
        <w:rPr>
          <w:rFonts w:eastAsia="Calibri"/>
        </w:rPr>
        <w:t xml:space="preserve"> </w:t>
      </w:r>
      <w:r>
        <w:rPr>
          <w:rFonts w:eastAsia="Calibri"/>
        </w:rPr>
        <w:t xml:space="preserve">– </w:t>
      </w:r>
      <w:r w:rsidRPr="00075BEC">
        <w:rPr>
          <w:rFonts w:eastAsia="Calibri"/>
        </w:rPr>
        <w:t xml:space="preserve">ir norādīts uz pakalpojumu </w:t>
      </w:r>
      <w:r>
        <w:rPr>
          <w:rFonts w:eastAsia="Calibri"/>
        </w:rPr>
        <w:t>–</w:t>
      </w:r>
      <w:r w:rsidRPr="00075BEC">
        <w:rPr>
          <w:rFonts w:eastAsia="Calibri"/>
        </w:rPr>
        <w:t xml:space="preserve"> finanšu konsultācijas. Pār</w:t>
      </w:r>
      <w:r>
        <w:rPr>
          <w:rFonts w:eastAsia="Calibri"/>
        </w:rPr>
        <w:t>ē</w:t>
      </w:r>
      <w:r w:rsidRPr="00075BEC">
        <w:rPr>
          <w:rFonts w:eastAsia="Calibri"/>
        </w:rPr>
        <w:t>jo</w:t>
      </w:r>
      <w:r>
        <w:rPr>
          <w:rFonts w:eastAsia="Calibri"/>
        </w:rPr>
        <w:t>s</w:t>
      </w:r>
      <w:r w:rsidRPr="00075BEC">
        <w:rPr>
          <w:rFonts w:eastAsia="Calibri"/>
        </w:rPr>
        <w:t xml:space="preserve"> pieteicējas rēķinos</w:t>
      </w:r>
      <w:r>
        <w:rPr>
          <w:rFonts w:eastAsia="Calibri"/>
        </w:rPr>
        <w:t xml:space="preserve"> norādīts </w:t>
      </w:r>
      <w:r w:rsidRPr="00075BEC">
        <w:rPr>
          <w:rFonts w:eastAsia="Calibri"/>
        </w:rPr>
        <w:t>– finanšu analītika.</w:t>
      </w:r>
    </w:p>
    <w:p w14:paraId="37C44369" w14:textId="77777777" w:rsidR="004F2870" w:rsidRPr="00075BEC" w:rsidRDefault="004F2870" w:rsidP="00A040F0">
      <w:pPr>
        <w:spacing w:line="276" w:lineRule="auto"/>
        <w:ind w:firstLine="720"/>
        <w:jc w:val="both"/>
        <w:rPr>
          <w:rFonts w:eastAsia="Calibri"/>
        </w:rPr>
      </w:pPr>
      <w:r w:rsidRPr="00075BEC">
        <w:rPr>
          <w:rFonts w:eastAsia="Calibri"/>
        </w:rPr>
        <w:t>Lietā nav</w:t>
      </w:r>
      <w:r>
        <w:rPr>
          <w:rFonts w:eastAsia="Calibri"/>
        </w:rPr>
        <w:t xml:space="preserve"> pierādīts</w:t>
      </w:r>
      <w:r w:rsidRPr="00075BEC">
        <w:rPr>
          <w:rFonts w:eastAsia="Calibri"/>
        </w:rPr>
        <w:t>, ka finanšu analītika vai finanšu konsultācijas atbilstu tādam pakalpojumam</w:t>
      </w:r>
      <w:r>
        <w:rPr>
          <w:rFonts w:eastAsia="Calibri"/>
        </w:rPr>
        <w:t xml:space="preserve"> kā</w:t>
      </w:r>
      <w:r w:rsidRPr="00075BEC">
        <w:rPr>
          <w:rFonts w:eastAsia="Calibri"/>
        </w:rPr>
        <w:t xml:space="preserve"> uzņēmumu konsultēšan</w:t>
      </w:r>
      <w:r>
        <w:rPr>
          <w:rFonts w:eastAsia="Calibri"/>
        </w:rPr>
        <w:t>a</w:t>
      </w:r>
      <w:r w:rsidRPr="00075BEC">
        <w:rPr>
          <w:rFonts w:eastAsia="Calibri"/>
        </w:rPr>
        <w:t xml:space="preserve"> par kapitāla struktūru, darbības stratēģiju un ar to saistītiem jautājumiem. Līdz ar to tiesa par šādiem pakalpojumiem nevarēja izdarīt secinājumu, ka tie atbilst finanšu iestādes darbībai.</w:t>
      </w:r>
    </w:p>
    <w:p w14:paraId="7F5AD680" w14:textId="77777777" w:rsidR="004F2870" w:rsidRPr="00075BEC" w:rsidRDefault="004F2870" w:rsidP="00A040F0">
      <w:pPr>
        <w:spacing w:line="276" w:lineRule="auto"/>
        <w:ind w:firstLine="720"/>
        <w:jc w:val="both"/>
        <w:rPr>
          <w:rFonts w:eastAsia="Calibri"/>
        </w:rPr>
      </w:pPr>
      <w:r w:rsidRPr="00075BEC">
        <w:rPr>
          <w:rFonts w:eastAsia="Calibri"/>
        </w:rPr>
        <w:t>Tiesa</w:t>
      </w:r>
      <w:r>
        <w:rPr>
          <w:rFonts w:eastAsia="Calibri"/>
        </w:rPr>
        <w:t>,</w:t>
      </w:r>
      <w:r w:rsidRPr="00075BEC">
        <w:rPr>
          <w:rFonts w:eastAsia="Calibri"/>
        </w:rPr>
        <w:t xml:space="preserve"> analizējot Eiropas Vērtspapīru un tirgu iestādes vadlīnijas</w:t>
      </w:r>
      <w:r>
        <w:rPr>
          <w:rFonts w:eastAsia="Calibri"/>
        </w:rPr>
        <w:t>,</w:t>
      </w:r>
      <w:r w:rsidRPr="00075BEC">
        <w:rPr>
          <w:rFonts w:eastAsia="Calibri"/>
        </w:rPr>
        <w:t xml:space="preserve"> ir analizējusi terminu </w:t>
      </w:r>
      <w:r>
        <w:rPr>
          <w:rFonts w:eastAsia="Calibri"/>
        </w:rPr>
        <w:t>–</w:t>
      </w:r>
      <w:r w:rsidRPr="00075BEC">
        <w:rPr>
          <w:rFonts w:eastAsia="Calibri"/>
        </w:rPr>
        <w:t xml:space="preserve"> „korporatīvo finanšu konsultācijas” (</w:t>
      </w:r>
      <w:r w:rsidRPr="00EF7235">
        <w:rPr>
          <w:rFonts w:eastAsia="Calibri"/>
          <w:i/>
          <w:iCs/>
        </w:rPr>
        <w:t>corporate finance advice</w:t>
      </w:r>
      <w:r w:rsidRPr="00075BEC">
        <w:rPr>
          <w:rFonts w:eastAsia="Calibri"/>
        </w:rPr>
        <w:t xml:space="preserve">). </w:t>
      </w:r>
      <w:r>
        <w:rPr>
          <w:rFonts w:eastAsia="Calibri"/>
        </w:rPr>
        <w:t xml:space="preserve">Taču </w:t>
      </w:r>
      <w:r w:rsidRPr="00075BEC">
        <w:rPr>
          <w:rFonts w:eastAsia="Calibri"/>
        </w:rPr>
        <w:t>starp šiem secinājumiem</w:t>
      </w:r>
      <w:r>
        <w:rPr>
          <w:rFonts w:eastAsia="Calibri"/>
        </w:rPr>
        <w:t xml:space="preserve"> nav saskatāms kopsakars</w:t>
      </w:r>
      <w:r w:rsidRPr="00075BEC">
        <w:rPr>
          <w:rFonts w:eastAsia="Calibri"/>
        </w:rPr>
        <w:t xml:space="preserve">. Proti, pieteicējas līgumos vai rēķinos neparādās termini </w:t>
      </w:r>
      <w:r>
        <w:rPr>
          <w:rFonts w:eastAsia="Calibri"/>
        </w:rPr>
        <w:t>–</w:t>
      </w:r>
      <w:r w:rsidRPr="00075BEC">
        <w:rPr>
          <w:rFonts w:eastAsia="Calibri"/>
        </w:rPr>
        <w:t xml:space="preserve"> „korporatīvo finanšu konsultācijas”. Tiesa ir pieņēmusi, ka minētais termins aptver arī pieteicējas norādīto </w:t>
      </w:r>
      <w:r>
        <w:rPr>
          <w:rFonts w:eastAsia="Calibri"/>
        </w:rPr>
        <w:t>–</w:t>
      </w:r>
      <w:r w:rsidRPr="00075BEC">
        <w:rPr>
          <w:rFonts w:eastAsia="Calibri"/>
        </w:rPr>
        <w:t xml:space="preserve"> finanšu konsultācijas, finanšu analītika, bet šāds secinājums neatbilst patiesībai.</w:t>
      </w:r>
    </w:p>
    <w:p w14:paraId="5AE3F804" w14:textId="77777777" w:rsidR="004F2870" w:rsidRPr="00075BEC" w:rsidRDefault="004F2870" w:rsidP="00A040F0">
      <w:pPr>
        <w:spacing w:line="276" w:lineRule="auto"/>
        <w:ind w:firstLine="720"/>
        <w:jc w:val="both"/>
        <w:rPr>
          <w:rFonts w:eastAsia="Calibri"/>
        </w:rPr>
      </w:pPr>
      <w:r w:rsidRPr="00075BEC">
        <w:rPr>
          <w:rFonts w:eastAsia="Calibri"/>
        </w:rPr>
        <w:t>Pirmkārt, nav skaidrs</w:t>
      </w:r>
      <w:r>
        <w:rPr>
          <w:rFonts w:eastAsia="Calibri"/>
        </w:rPr>
        <w:t>,</w:t>
      </w:r>
      <w:r w:rsidRPr="00075BEC">
        <w:rPr>
          <w:rFonts w:eastAsia="Calibri"/>
        </w:rPr>
        <w:t xml:space="preserve"> kādēļ tiesa abus minētos pakalpojumus uzskata par vienādiem un tādiem, kas atbilst terminam </w:t>
      </w:r>
      <w:r>
        <w:rPr>
          <w:rFonts w:eastAsia="Calibri"/>
        </w:rPr>
        <w:t xml:space="preserve">– </w:t>
      </w:r>
      <w:r w:rsidRPr="00075BEC">
        <w:rPr>
          <w:rFonts w:eastAsia="Calibri"/>
        </w:rPr>
        <w:t xml:space="preserve">„korporatīvo finanšu konsultācijas”. Ne velti pakalpojumi ir nosaukti </w:t>
      </w:r>
      <w:r>
        <w:rPr>
          <w:rFonts w:eastAsia="Calibri"/>
        </w:rPr>
        <w:t>dažādi</w:t>
      </w:r>
      <w:r w:rsidRPr="00075BEC">
        <w:rPr>
          <w:rFonts w:eastAsia="Calibri"/>
        </w:rPr>
        <w:t xml:space="preserve">. </w:t>
      </w:r>
      <w:r>
        <w:rPr>
          <w:rFonts w:eastAsia="Calibri"/>
        </w:rPr>
        <w:t>T</w:t>
      </w:r>
      <w:r w:rsidRPr="00075BEC">
        <w:rPr>
          <w:rFonts w:eastAsia="Calibri"/>
        </w:rPr>
        <w:t>iesa nemaz nav mēģinājusi šos pakalpojumus analizēt pēc būtības un noskaidrot to patieso saturu.</w:t>
      </w:r>
    </w:p>
    <w:p w14:paraId="76AE93AE" w14:textId="77777777" w:rsidR="004F2870" w:rsidRPr="00075BEC" w:rsidRDefault="004F2870" w:rsidP="00A040F0">
      <w:pPr>
        <w:spacing w:line="276" w:lineRule="auto"/>
        <w:ind w:firstLine="720"/>
        <w:jc w:val="both"/>
        <w:rPr>
          <w:rFonts w:eastAsia="Calibri"/>
        </w:rPr>
      </w:pPr>
      <w:r w:rsidRPr="00075BEC">
        <w:rPr>
          <w:rFonts w:eastAsia="Calibri"/>
        </w:rPr>
        <w:t>Otrkārt, tiesa spriedum</w:t>
      </w:r>
      <w:r>
        <w:rPr>
          <w:rFonts w:eastAsia="Calibri"/>
        </w:rPr>
        <w:t xml:space="preserve">ā </w:t>
      </w:r>
      <w:r w:rsidRPr="00075BEC">
        <w:rPr>
          <w:rFonts w:eastAsia="Calibri"/>
        </w:rPr>
        <w:t>ir skaidrojusi, k</w:t>
      </w:r>
      <w:r>
        <w:rPr>
          <w:rFonts w:eastAsia="Calibri"/>
        </w:rPr>
        <w:t xml:space="preserve">a </w:t>
      </w:r>
      <w:r w:rsidRPr="00547DBC">
        <w:rPr>
          <w:rFonts w:eastAsia="Calibri"/>
        </w:rPr>
        <w:t xml:space="preserve">konsultācijai ir raksturīgs padomdevēja tiešs vai netiešs ieteikuma elements. </w:t>
      </w:r>
      <w:r w:rsidRPr="00075BEC">
        <w:rPr>
          <w:rFonts w:eastAsia="Calibri"/>
        </w:rPr>
        <w:t>Pieteicēja jau iepriekš skaidroj</w:t>
      </w:r>
      <w:r>
        <w:rPr>
          <w:rFonts w:eastAsia="Calibri"/>
        </w:rPr>
        <w:t>usi</w:t>
      </w:r>
      <w:r w:rsidRPr="00075BEC">
        <w:rPr>
          <w:rFonts w:eastAsia="Calibri"/>
        </w:rPr>
        <w:t xml:space="preserve">, ka tā saviem </w:t>
      </w:r>
      <w:r w:rsidRPr="00E72F48">
        <w:rPr>
          <w:rFonts w:eastAsia="Calibri"/>
        </w:rPr>
        <w:t>klientiem galvenokārt sniedz pakalpojumus, kas ir saistīti tieši ar datu monitoringu. Proti,</w:t>
      </w:r>
      <w:r w:rsidRPr="00075BEC">
        <w:rPr>
          <w:rFonts w:eastAsia="Calibri"/>
        </w:rPr>
        <w:t xml:space="preserve"> klienta finanšu dati tiek analizēti jeb monitorēti un brīdī, kad tie sasniedz kādu zināmu atzīmi, tiek ziņots par to. Tā ir tieši tāda skaitļu un faktu paziņošana</w:t>
      </w:r>
      <w:r>
        <w:rPr>
          <w:rFonts w:eastAsia="Calibri"/>
        </w:rPr>
        <w:t>,</w:t>
      </w:r>
      <w:r w:rsidRPr="00075BEC">
        <w:rPr>
          <w:rFonts w:eastAsia="Calibri"/>
        </w:rPr>
        <w:t xml:space="preserve"> uz ko norāda tiesa</w:t>
      </w:r>
      <w:r>
        <w:rPr>
          <w:rFonts w:eastAsia="Calibri"/>
        </w:rPr>
        <w:t xml:space="preserve"> kā uz tādu, kas neatbilst finanšu iestādes darbībai</w:t>
      </w:r>
      <w:r w:rsidRPr="00075BEC">
        <w:rPr>
          <w:rFonts w:eastAsia="Calibri"/>
        </w:rPr>
        <w:t>. Tālākie secinājumi</w:t>
      </w:r>
      <w:r>
        <w:rPr>
          <w:rFonts w:eastAsia="Calibri"/>
        </w:rPr>
        <w:t>,</w:t>
      </w:r>
      <w:r w:rsidRPr="00075BEC">
        <w:rPr>
          <w:rFonts w:eastAsia="Calibri"/>
        </w:rPr>
        <w:t xml:space="preserve"> kā klientam rīkoties</w:t>
      </w:r>
      <w:r>
        <w:rPr>
          <w:rFonts w:eastAsia="Calibri"/>
        </w:rPr>
        <w:t xml:space="preserve"> un kādu lēmumu pieņemt,</w:t>
      </w:r>
      <w:r w:rsidRPr="00075BEC">
        <w:rPr>
          <w:rFonts w:eastAsia="Calibri"/>
        </w:rPr>
        <w:t xml:space="preserve"> ir </w:t>
      </w:r>
      <w:r>
        <w:rPr>
          <w:rFonts w:eastAsia="Calibri"/>
        </w:rPr>
        <w:t xml:space="preserve">pašu klientu </w:t>
      </w:r>
      <w:r w:rsidRPr="00075BEC">
        <w:rPr>
          <w:rFonts w:eastAsia="Calibri"/>
        </w:rPr>
        <w:t>ziņā, pieteicēja</w:t>
      </w:r>
      <w:r>
        <w:rPr>
          <w:rFonts w:eastAsia="Calibri"/>
        </w:rPr>
        <w:t xml:space="preserve"> par to</w:t>
      </w:r>
      <w:r w:rsidRPr="00075BEC">
        <w:rPr>
          <w:rFonts w:eastAsia="Calibri"/>
        </w:rPr>
        <w:t xml:space="preserve"> nesniedz konsultācijas</w:t>
      </w:r>
      <w:r>
        <w:rPr>
          <w:rFonts w:eastAsia="Calibri"/>
        </w:rPr>
        <w:t xml:space="preserve">. To tiesa </w:t>
      </w:r>
      <w:r w:rsidRPr="00075BEC">
        <w:rPr>
          <w:rFonts w:eastAsia="Calibri"/>
        </w:rPr>
        <w:t xml:space="preserve">nav ņēmusi vērā. Savukārt, ja tiesas ieskatā šāda darbība bija uzskatāma par tādu, kas atbilst finanšu iestādes darbībai, tad tiesa nav pamatojusi, tieši </w:t>
      </w:r>
      <w:r w:rsidRPr="00E72F48">
        <w:rPr>
          <w:rFonts w:eastAsia="Calibri"/>
        </w:rPr>
        <w:t>kurš no pakalpojumiem – finanšu konsultācijas vai finanšu analītika – vai abi un kādēļ būtu uzskatām</w:t>
      </w:r>
      <w:r>
        <w:rPr>
          <w:rFonts w:eastAsia="Calibri"/>
        </w:rPr>
        <w:t>i</w:t>
      </w:r>
      <w:r w:rsidRPr="00E72F48">
        <w:rPr>
          <w:rFonts w:eastAsia="Calibri"/>
        </w:rPr>
        <w:t xml:space="preserve"> par pieteicējas pamatdarbību. Daži pakalpojumi gada laikā nevar tikt uzskatīti par pieteicējas galveno darbību.</w:t>
      </w:r>
    </w:p>
    <w:p w14:paraId="22647F70" w14:textId="77777777" w:rsidR="004F2870" w:rsidRPr="00001D96" w:rsidRDefault="004F2870" w:rsidP="00A040F0">
      <w:pPr>
        <w:spacing w:line="276" w:lineRule="auto"/>
        <w:ind w:firstLine="720"/>
        <w:jc w:val="both"/>
        <w:rPr>
          <w:rFonts w:eastAsia="Calibri"/>
          <w:sz w:val="26"/>
          <w:szCs w:val="26"/>
        </w:rPr>
      </w:pPr>
    </w:p>
    <w:p w14:paraId="04799DAB" w14:textId="77777777" w:rsidR="004F2870" w:rsidRPr="00CB419E" w:rsidRDefault="004F2870" w:rsidP="00A040F0">
      <w:pPr>
        <w:spacing w:line="276" w:lineRule="auto"/>
        <w:ind w:firstLine="720"/>
        <w:jc w:val="both"/>
        <w:rPr>
          <w:rFonts w:asciiTheme="majorBidi" w:hAnsiTheme="majorBidi" w:cstheme="majorBidi"/>
        </w:rPr>
      </w:pPr>
      <w:r w:rsidRPr="00CB419E">
        <w:rPr>
          <w:rFonts w:asciiTheme="majorBidi" w:hAnsiTheme="majorBidi" w:cstheme="majorBidi"/>
        </w:rPr>
        <w:t xml:space="preserve">[4] </w:t>
      </w:r>
      <w:r>
        <w:rPr>
          <w:rFonts w:asciiTheme="majorBidi" w:hAnsiTheme="majorBidi" w:cstheme="majorBidi"/>
        </w:rPr>
        <w:t xml:space="preserve">Valsts ieņēmumu dienests </w:t>
      </w:r>
      <w:r w:rsidRPr="008F5202">
        <w:rPr>
          <w:rFonts w:asciiTheme="majorBidi" w:hAnsiTheme="majorBidi" w:cstheme="majorBidi"/>
        </w:rPr>
        <w:t xml:space="preserve">paskaidrojumos </w:t>
      </w:r>
      <w:r w:rsidRPr="00CB419E">
        <w:rPr>
          <w:rFonts w:asciiTheme="majorBidi" w:hAnsiTheme="majorBidi" w:cstheme="majorBidi"/>
        </w:rPr>
        <w:t xml:space="preserve">par kasācijas sūdzību norāda, ka apgabaltiesas spriedums ir tiesisks. </w:t>
      </w:r>
    </w:p>
    <w:p w14:paraId="48A26284" w14:textId="77777777" w:rsidR="004F2870" w:rsidRPr="00CB419E" w:rsidRDefault="004F2870" w:rsidP="00A040F0">
      <w:pPr>
        <w:pStyle w:val="NormalWeb"/>
        <w:spacing w:before="0" w:beforeAutospacing="0" w:after="0" w:afterAutospacing="0" w:line="276" w:lineRule="auto"/>
        <w:contextualSpacing/>
        <w:rPr>
          <w:rFonts w:asciiTheme="majorBidi" w:hAnsiTheme="majorBidi" w:cstheme="majorBidi"/>
        </w:rPr>
      </w:pPr>
    </w:p>
    <w:p w14:paraId="18AA410A" w14:textId="77777777" w:rsidR="004F2870" w:rsidRPr="00CB419E" w:rsidRDefault="004F2870" w:rsidP="00A040F0">
      <w:pPr>
        <w:pStyle w:val="NormalWeb"/>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68DE35D" w14:textId="77777777" w:rsidR="004F2870" w:rsidRDefault="004F2870" w:rsidP="00A040F0">
      <w:pPr>
        <w:spacing w:line="276" w:lineRule="auto"/>
        <w:ind w:firstLine="720"/>
        <w:jc w:val="both"/>
        <w:rPr>
          <w:rFonts w:asciiTheme="majorBidi" w:hAnsiTheme="majorBidi" w:cstheme="majorBidi"/>
        </w:rPr>
      </w:pPr>
    </w:p>
    <w:p w14:paraId="1C58529C" w14:textId="77777777" w:rsidR="004F2870" w:rsidRPr="000D6E51"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[5] </w:t>
      </w:r>
      <w:r>
        <w:t>Apgabaltiesa ir taisījusi spriedumu par pārsūdzētā lēmuma atzīšanu par prettiesisku, lai gan l</w:t>
      </w:r>
      <w:r w:rsidRPr="003B1F47">
        <w:t>ieta</w:t>
      </w:r>
      <w:r>
        <w:t xml:space="preserve"> sākotnēji</w:t>
      </w:r>
      <w:r w:rsidRPr="003B1F47">
        <w:t xml:space="preserve"> ir ierosināta un pirmās instances tiesā izskatīta par labvēlīga administratīvā akta izdošanu</w:t>
      </w:r>
      <w:r>
        <w:t>. Apgabaltiesa, pamatojot nepieciešamību</w:t>
      </w:r>
      <w:r w:rsidRPr="006E01AD">
        <w:t xml:space="preserve"> </w:t>
      </w:r>
      <w:r w:rsidRPr="00430122">
        <w:t>vēr</w:t>
      </w:r>
      <w:r>
        <w:t xml:space="preserve">tēt </w:t>
      </w:r>
      <w:r w:rsidRPr="00430122">
        <w:t xml:space="preserve">pieteicējas prasījumu kā prasījumu par </w:t>
      </w:r>
      <w:r>
        <w:t xml:space="preserve">pārsūdzētā lēmuma atzīšanu par prettiesisku, ir atsaukusies uz </w:t>
      </w:r>
      <w:r w:rsidRPr="003B1F47">
        <w:t>noteikumu Nr.</w:t>
      </w:r>
      <w:r>
        <w:t> </w:t>
      </w:r>
      <w:r w:rsidRPr="003B1F47">
        <w:t>676 24.punktā noteikto termiņu atbalsta piešķiršanai</w:t>
      </w:r>
      <w:r>
        <w:t xml:space="preserve">. Apgabaltiesa uzskatīja, ka pēc šā termiņa tiesa var </w:t>
      </w:r>
      <w:r w:rsidRPr="003B1F47">
        <w:t>izvērtēt tikai pārsūdzētā lēmuma tiesiskumu</w:t>
      </w:r>
      <w:r>
        <w:t xml:space="preserve">, bet nevar lemt par </w:t>
      </w:r>
      <w:r w:rsidRPr="003B1F47">
        <w:t>labvēlīga administratīvā akta izdošanu.</w:t>
      </w:r>
      <w:r w:rsidRPr="00DB4523">
        <w:t xml:space="preserve"> </w:t>
      </w:r>
    </w:p>
    <w:p w14:paraId="0365ECC3" w14:textId="77777777" w:rsidR="004F2870" w:rsidRPr="0011187C" w:rsidRDefault="004F2870" w:rsidP="00A040F0">
      <w:pPr>
        <w:shd w:val="clear" w:color="auto" w:fill="FFFFFF"/>
        <w:spacing w:line="276" w:lineRule="auto"/>
        <w:ind w:firstLine="720"/>
        <w:jc w:val="both"/>
      </w:pPr>
      <w:r>
        <w:rPr>
          <w:bCs/>
        </w:rPr>
        <w:t>Noteikumu Nr. 676 24.punkts noteic: l</w:t>
      </w:r>
      <w:r w:rsidRPr="00695E07">
        <w:rPr>
          <w:bCs/>
        </w:rPr>
        <w:t xml:space="preserve">ēmumu par atbalsta piešķiršanu pieņem līdz </w:t>
      </w:r>
      <w:r>
        <w:rPr>
          <w:bCs/>
        </w:rPr>
        <w:t>2022</w:t>
      </w:r>
      <w:r w:rsidRPr="00695E07">
        <w:rPr>
          <w:bCs/>
        </w:rPr>
        <w:t>.gada 30.</w:t>
      </w:r>
      <w:r>
        <w:rPr>
          <w:bCs/>
        </w:rPr>
        <w:t>jūnijam</w:t>
      </w:r>
      <w:r w:rsidRPr="00695E07">
        <w:rPr>
          <w:bCs/>
        </w:rPr>
        <w:t xml:space="preserve"> saskaņā ar Eiropas Komisijas 2020.gada 19.marta paziņojumu </w:t>
      </w:r>
      <w:r>
        <w:rPr>
          <w:bCs/>
        </w:rPr>
        <w:t>„</w:t>
      </w:r>
      <w:r w:rsidRPr="00695E07">
        <w:rPr>
          <w:bCs/>
        </w:rPr>
        <w:t>Pagaidu regulējums valsts atbalsta pasākumiem, ar ko atbalsta ekonomiku pašreizējā Covid</w:t>
      </w:r>
      <w:r>
        <w:rPr>
          <w:bCs/>
        </w:rPr>
        <w:noBreakHyphen/>
      </w:r>
      <w:r w:rsidRPr="00695E07">
        <w:rPr>
          <w:bCs/>
        </w:rPr>
        <w:t xml:space="preserve">19 </w:t>
      </w:r>
      <w:r w:rsidRPr="00D62065">
        <w:rPr>
          <w:bCs/>
        </w:rPr>
        <w:t>uzliesmojuma situācijā” (C(2020)1863).</w:t>
      </w:r>
    </w:p>
    <w:p w14:paraId="7838B041" w14:textId="77777777" w:rsidR="004F2870" w:rsidRDefault="004F2870" w:rsidP="00A040F0">
      <w:pPr>
        <w:shd w:val="clear" w:color="auto" w:fill="FFFFFF"/>
        <w:spacing w:line="276" w:lineRule="auto"/>
        <w:ind w:firstLine="720"/>
        <w:jc w:val="both"/>
        <w:rPr>
          <w:bCs/>
        </w:rPr>
      </w:pPr>
      <w:r>
        <w:t xml:space="preserve">Taču Senāts ir atzinis: ņemot vērā </w:t>
      </w:r>
      <w:r w:rsidRPr="00D62065">
        <w:t>Eiropas Savienības Tiesa</w:t>
      </w:r>
      <w:r>
        <w:t>s</w:t>
      </w:r>
      <w:r w:rsidRPr="00D62065">
        <w:t xml:space="preserve"> 2025.gada 3.jūlija spriedum</w:t>
      </w:r>
      <w:r>
        <w:t>ā</w:t>
      </w:r>
      <w:r w:rsidRPr="00D62065">
        <w:t xml:space="preserve"> lietā </w:t>
      </w:r>
      <w:r>
        <w:t>Nr. </w:t>
      </w:r>
      <w:r w:rsidRPr="00D62065">
        <w:t>C-653/23</w:t>
      </w:r>
      <w:r>
        <w:t xml:space="preserve"> atzīto,</w:t>
      </w:r>
      <w:r w:rsidRPr="00880091">
        <w:t xml:space="preserve"> </w:t>
      </w:r>
      <w:r>
        <w:t xml:space="preserve">stājoties spēkā tiesas spriedumam par labvēlīga administratīvā akta – valsts atbalsta piešķiršanu – izdošanu, dienestam nav šķēršļu izpildīt spriedumu un izmaksāt prasīto atbalstu, kaut arī tas tiks izmaksāts pēc </w:t>
      </w:r>
      <w:r>
        <w:rPr>
          <w:bCs/>
        </w:rPr>
        <w:t>2022</w:t>
      </w:r>
      <w:r w:rsidRPr="00695E07">
        <w:rPr>
          <w:bCs/>
        </w:rPr>
        <w:t>.gada 30.</w:t>
      </w:r>
      <w:r>
        <w:rPr>
          <w:bCs/>
        </w:rPr>
        <w:t>jūnija (</w:t>
      </w:r>
      <w:r w:rsidRPr="008C2FCF">
        <w:rPr>
          <w:bCs/>
          <w:i/>
          <w:iCs/>
        </w:rPr>
        <w:t xml:space="preserve">Senāta 2025.gada 24.oktobra sprieduma lietā Nr. SKA-62/2025, </w:t>
      </w:r>
      <w:hyperlink r:id="rId9" w:history="1">
        <w:r w:rsidRPr="009D5136">
          <w:rPr>
            <w:rStyle w:val="Hyperlink"/>
            <w:bCs/>
            <w:i/>
            <w:iCs/>
          </w:rPr>
          <w:t>ECLI:LV:AT:2025:1024.A420229321.12.S</w:t>
        </w:r>
      </w:hyperlink>
      <w:r w:rsidRPr="008C2FCF">
        <w:rPr>
          <w:bCs/>
          <w:i/>
          <w:iCs/>
        </w:rPr>
        <w:t xml:space="preserve">, </w:t>
      </w:r>
      <w:r>
        <w:rPr>
          <w:bCs/>
          <w:i/>
          <w:iCs/>
        </w:rPr>
        <w:t>9</w:t>
      </w:r>
      <w:r w:rsidRPr="008C2FCF">
        <w:rPr>
          <w:bCs/>
          <w:i/>
          <w:iCs/>
        </w:rPr>
        <w:t>.punkts</w:t>
      </w:r>
      <w:r>
        <w:rPr>
          <w:bCs/>
        </w:rPr>
        <w:t>)</w:t>
      </w:r>
      <w:r w:rsidRPr="00A869AD">
        <w:rPr>
          <w:bCs/>
        </w:rPr>
        <w:t>.</w:t>
      </w:r>
      <w:r>
        <w:rPr>
          <w:bCs/>
        </w:rPr>
        <w:t xml:space="preserve"> </w:t>
      </w:r>
    </w:p>
    <w:p w14:paraId="31CEAF64" w14:textId="77777777" w:rsidR="004F2870" w:rsidRDefault="004F2870" w:rsidP="00A040F0">
      <w:pPr>
        <w:shd w:val="clear" w:color="auto" w:fill="FFFFFF"/>
        <w:spacing w:line="276" w:lineRule="auto"/>
        <w:ind w:firstLine="720"/>
        <w:jc w:val="both"/>
      </w:pPr>
      <w:r>
        <w:rPr>
          <w:bCs/>
        </w:rPr>
        <w:t xml:space="preserve">Ievērojot minēto, apgabaltiesa ir nepamatoti atzinusi, ka noteikumu Nr. 676 24.punktā norādītā termiņa iestāšanās ir šķērslis </w:t>
      </w:r>
      <w:r>
        <w:t xml:space="preserve">prasījuma par </w:t>
      </w:r>
      <w:r w:rsidRPr="00430122">
        <w:t>labvēlīga administratīvā akta izdošanu</w:t>
      </w:r>
      <w:r>
        <w:t xml:space="preserve"> izskatīšanai un līdz ar to ir nepamatoti grozījusi pieteikuma priekšmetu. </w:t>
      </w:r>
    </w:p>
    <w:p w14:paraId="612B59E1" w14:textId="77777777" w:rsidR="004F2870" w:rsidRDefault="004F2870" w:rsidP="00A040F0">
      <w:pPr>
        <w:shd w:val="clear" w:color="auto" w:fill="FFFFFF"/>
        <w:spacing w:line="276" w:lineRule="auto"/>
        <w:ind w:firstLine="720"/>
        <w:jc w:val="both"/>
      </w:pPr>
    </w:p>
    <w:p w14:paraId="572402AD" w14:textId="77777777" w:rsidR="004F2870" w:rsidRDefault="004F2870" w:rsidP="00A040F0">
      <w:pPr>
        <w:shd w:val="clear" w:color="auto" w:fill="FFFFFF"/>
        <w:spacing w:line="276" w:lineRule="auto"/>
        <w:ind w:firstLine="720"/>
        <w:jc w:val="both"/>
      </w:pPr>
      <w:r>
        <w:t>[6] Pieteicēja uzskata, ka tiesa nav ievērojusi Administratīvā procesa likuma 150.panta pirmo un otro daļu (</w:t>
      </w:r>
      <w:r w:rsidRPr="00075BEC">
        <w:rPr>
          <w:rFonts w:eastAsia="Calibri"/>
        </w:rPr>
        <w:t>noteic, ka iestādei jāpierāda tie apstākļi, uz kuriem tā atsaucas kā uz savu iebildumu pamatojumu</w:t>
      </w:r>
      <w:r>
        <w:rPr>
          <w:rFonts w:eastAsia="Calibri"/>
        </w:rPr>
        <w:t xml:space="preserve">, un ka </w:t>
      </w:r>
      <w:r w:rsidRPr="00075BEC">
        <w:rPr>
          <w:rFonts w:eastAsia="Calibri"/>
        </w:rPr>
        <w:t>iestāde var atsaukties tikai uz tiem pamatojumiem, kuri minēti administratīvajā aktā</w:t>
      </w:r>
      <w:r>
        <w:t>) un 250.panta otro daļu (noteic, ka t</w:t>
      </w:r>
      <w:r w:rsidRPr="0087674C">
        <w:t>iesa, vērtējot administratīvā akta tiesiskumu, spriedumā ņem vērā tikai to pamatojumu, ko iestāde ietvērusi administratīvajā aktā. Minētais ierobežojums neattiecas uz lietām, kurās prasījums ir labvēlīga administratīvā akta izdošana</w:t>
      </w:r>
      <w:r>
        <w:t xml:space="preserve">). Pieteicēja norāda, ka tiesa ir pildījusi pierādīšanas pienākumu iestādes vietā, jo ir vērtējusi apstākļus, kurus nav vērtējis dienests pārsūdzētajā lēmumā. Pieteicējas ieskatā, ja tiesa ir secinājusi, ka dienesta norādītie </w:t>
      </w:r>
      <w:r w:rsidRPr="00075BEC">
        <w:rPr>
          <w:rFonts w:eastAsia="Calibri"/>
        </w:rPr>
        <w:t>apstākļi nepierāda dienesta apgalvojumu, ka pieteicēja ir finanšu iestāde</w:t>
      </w:r>
      <w:r>
        <w:rPr>
          <w:rFonts w:eastAsia="Calibri"/>
        </w:rPr>
        <w:t xml:space="preserve">, tiesai lēmums bija jāatzīst par prettiesisku. </w:t>
      </w:r>
    </w:p>
    <w:p w14:paraId="1B877CF1" w14:textId="77777777" w:rsidR="004F2870" w:rsidRDefault="004F2870" w:rsidP="00A040F0">
      <w:pPr>
        <w:shd w:val="clear" w:color="auto" w:fill="FFFFFF"/>
        <w:spacing w:line="276" w:lineRule="auto"/>
        <w:ind w:firstLine="720"/>
        <w:jc w:val="both"/>
      </w:pPr>
      <w:r>
        <w:t xml:space="preserve">Senāts minētajam nepiekrīt. Pirmkārt, 250.panta otrās daļas otrais teikums tieši noteic, ka ierobežojums </w:t>
      </w:r>
      <w:r w:rsidRPr="004472D5">
        <w:t>ņem</w:t>
      </w:r>
      <w:r>
        <w:t>t</w:t>
      </w:r>
      <w:r w:rsidRPr="004472D5">
        <w:t xml:space="preserve"> vērā tikai to pamatojumu, ko iestāde ietvērusi administratīvajā aktā</w:t>
      </w:r>
      <w:r>
        <w:t>,</w:t>
      </w:r>
      <w:r w:rsidRPr="004472D5">
        <w:t xml:space="preserve"> </w:t>
      </w:r>
      <w:r w:rsidRPr="008868D4">
        <w:t>neattiecas uz lietām, kurās prasījums ir labvēlīga administratīvā akta izdošana.</w:t>
      </w:r>
      <w:r>
        <w:t xml:space="preserve"> Otrkārt, jāņem vērā, ka administratīvā akta pamatojums ir tas, ka pieteicēja ir finanšu iestāde, jo </w:t>
      </w:r>
      <w:r w:rsidRPr="00075BEC">
        <w:rPr>
          <w:rFonts w:eastAsia="Calibri"/>
        </w:rPr>
        <w:t>tā sniedz konsultācijas uzņēmumiem par kapitāla struktūru, darbības stratēģiju un ar to saistītiem jautājumiem.</w:t>
      </w:r>
      <w:r>
        <w:rPr>
          <w:rFonts w:eastAsia="Calibri"/>
        </w:rPr>
        <w:t xml:space="preserve"> Savukārt izvērtējums par to, vai pieteicēja veic darbības, kuras atbilst minētajam, ir jautājums par konkrētā apstākļa pierādīšanu. Tiesa nav ierobežota to pārbaudīt, vērtējot arī tādus pierādījumus, kurus nav novērtējis dienests pārsūdzētajā lēmumā (sal. </w:t>
      </w:r>
      <w:r w:rsidRPr="00A71AAE">
        <w:rPr>
          <w:rFonts w:eastAsia="Calibri"/>
          <w:i/>
          <w:iCs/>
        </w:rPr>
        <w:t>Senāta 2012.gada 9.novembra sprieduma lietā Nr. SKA</w:t>
      </w:r>
      <w:r w:rsidRPr="00A71AAE">
        <w:rPr>
          <w:rFonts w:eastAsia="Calibri"/>
          <w:i/>
          <w:iCs/>
        </w:rPr>
        <w:noBreakHyphen/>
        <w:t xml:space="preserve">443/2012, </w:t>
      </w:r>
      <w:hyperlink r:id="rId10" w:history="1">
        <w:r w:rsidRPr="009C17BC">
          <w:rPr>
            <w:rStyle w:val="Hyperlink"/>
            <w:rFonts w:eastAsia="Calibri"/>
            <w:i/>
            <w:iCs/>
          </w:rPr>
          <w:t>A42643408</w:t>
        </w:r>
      </w:hyperlink>
      <w:r w:rsidRPr="00A71AAE">
        <w:rPr>
          <w:rFonts w:eastAsia="Calibri"/>
          <w:i/>
          <w:iCs/>
        </w:rPr>
        <w:t>, 10.punkts</w:t>
      </w:r>
      <w:r>
        <w:rPr>
          <w:rFonts w:eastAsia="Calibri"/>
        </w:rPr>
        <w:t xml:space="preserve">). </w:t>
      </w:r>
      <w:r>
        <w:t>Ievērojot minēto, pieteicēja arī nepamatoti iebilst, ka t</w:t>
      </w:r>
      <w:r w:rsidRPr="006511CB">
        <w:t xml:space="preserve">iesa </w:t>
      </w:r>
      <w:r>
        <w:t xml:space="preserve">nevarēja </w:t>
      </w:r>
      <w:r w:rsidRPr="006511CB">
        <w:t>atsauk</w:t>
      </w:r>
      <w:r>
        <w:t>ties</w:t>
      </w:r>
      <w:r w:rsidRPr="006511CB">
        <w:t xml:space="preserve"> uz Eiropas Vērtspapīru un tirgu iestādes </w:t>
      </w:r>
      <w:r>
        <w:t>v</w:t>
      </w:r>
      <w:r w:rsidRPr="006511CB">
        <w:t>adlīnij</w:t>
      </w:r>
      <w:r>
        <w:t xml:space="preserve">ām, jo uz tām nav atsaucies dienests. </w:t>
      </w:r>
    </w:p>
    <w:p w14:paraId="37D0F814" w14:textId="77777777" w:rsidR="004F2870" w:rsidRDefault="004F2870" w:rsidP="00A040F0">
      <w:pPr>
        <w:shd w:val="clear" w:color="auto" w:fill="FFFFFF"/>
        <w:spacing w:line="276" w:lineRule="auto"/>
        <w:ind w:firstLine="720"/>
        <w:jc w:val="both"/>
        <w:rPr>
          <w:rFonts w:asciiTheme="majorBidi" w:hAnsiTheme="majorBidi" w:cstheme="majorBidi"/>
        </w:rPr>
      </w:pPr>
    </w:p>
    <w:p w14:paraId="66C9D887" w14:textId="77777777" w:rsidR="004F2870" w:rsidRDefault="004F2870" w:rsidP="00A040F0">
      <w:pPr>
        <w:shd w:val="clear" w:color="auto" w:fill="FFFFFF"/>
        <w:spacing w:line="276" w:lineRule="auto"/>
        <w:ind w:firstLine="720"/>
        <w:jc w:val="both"/>
        <w:rPr>
          <w:rFonts w:eastAsia="Calibri"/>
        </w:rPr>
      </w:pPr>
      <w:r>
        <w:rPr>
          <w:rFonts w:asciiTheme="majorBidi" w:hAnsiTheme="majorBidi" w:cstheme="majorBidi"/>
        </w:rPr>
        <w:t>[7] N</w:t>
      </w:r>
      <w:r>
        <w:t xml:space="preserve">evar arī piekrist pieteicējai, ka tiesa </w:t>
      </w:r>
      <w:r w:rsidRPr="00075BEC">
        <w:rPr>
          <w:rFonts w:eastAsia="Calibri"/>
        </w:rPr>
        <w:t xml:space="preserve">divās salīdzināmās situācijās ir rīkojusies atšķirīgi. Proti, </w:t>
      </w:r>
      <w:r>
        <w:rPr>
          <w:rFonts w:eastAsia="Calibri"/>
        </w:rPr>
        <w:t xml:space="preserve">ir ņēmusi </w:t>
      </w:r>
      <w:r w:rsidRPr="00075BEC">
        <w:rPr>
          <w:rFonts w:eastAsia="Calibri"/>
        </w:rPr>
        <w:t>vērā un pamatoj</w:t>
      </w:r>
      <w:r>
        <w:rPr>
          <w:rFonts w:eastAsia="Calibri"/>
        </w:rPr>
        <w:t>usi</w:t>
      </w:r>
      <w:r w:rsidRPr="00075BEC">
        <w:rPr>
          <w:rFonts w:eastAsia="Calibri"/>
        </w:rPr>
        <w:t xml:space="preserve"> savu spriedumu ar Eiropas Vērtspapīru un tirgu iestādes vadlīnijām, bet vienlaikus atzin</w:t>
      </w:r>
      <w:r>
        <w:rPr>
          <w:rFonts w:eastAsia="Calibri"/>
        </w:rPr>
        <w:t>usi</w:t>
      </w:r>
      <w:r w:rsidRPr="00075BEC">
        <w:rPr>
          <w:rFonts w:eastAsia="Calibri"/>
        </w:rPr>
        <w:t>, ka Finanšu un kapitāla tirgus komisijas 2022.gada 29.novembra viedoklis</w:t>
      </w:r>
      <w:r w:rsidRPr="00075BEC">
        <w:t xml:space="preserve"> </w:t>
      </w:r>
      <w:r w:rsidRPr="00075BEC">
        <w:rPr>
          <w:rFonts w:eastAsia="Calibri"/>
        </w:rPr>
        <w:t>kā pierādījums lietā nav vērtējams</w:t>
      </w:r>
      <w:r>
        <w:rPr>
          <w:rFonts w:eastAsia="Calibri"/>
        </w:rPr>
        <w:t xml:space="preserve">. </w:t>
      </w:r>
    </w:p>
    <w:p w14:paraId="688494E6" w14:textId="77777777" w:rsidR="004F2870" w:rsidRDefault="004F2870" w:rsidP="00A040F0">
      <w:pPr>
        <w:shd w:val="clear" w:color="auto" w:fill="FFFFFF"/>
        <w:spacing w:line="276" w:lineRule="auto"/>
        <w:ind w:firstLine="720"/>
        <w:jc w:val="both"/>
        <w:rPr>
          <w:rFonts w:eastAsia="Calibri"/>
        </w:rPr>
      </w:pPr>
      <w:r w:rsidRPr="00075BEC">
        <w:rPr>
          <w:rFonts w:eastAsia="Calibri"/>
        </w:rPr>
        <w:t>Eiropas Vērtspapīru un tirgu iestādes vadlīnij</w:t>
      </w:r>
      <w:r>
        <w:rPr>
          <w:rFonts w:eastAsia="Calibri"/>
        </w:rPr>
        <w:t xml:space="preserve">as, lai arī juridiski nav saistošas, tomēr ir avots, kas palīdz interpretēt tiesību normas, savukārt </w:t>
      </w:r>
      <w:r w:rsidRPr="00075BEC">
        <w:rPr>
          <w:rFonts w:eastAsia="Calibri"/>
        </w:rPr>
        <w:t>Finanšu un kapitāla tirgus komisijas 2022.gada 29.novembra viedoklis</w:t>
      </w:r>
      <w:r>
        <w:rPr>
          <w:rFonts w:eastAsia="Calibri"/>
        </w:rPr>
        <w:t xml:space="preserve"> ir iestādes faktu novērtējums un tiesību normu piemērošana tieši attiecībā uz pieteicējas situāciju, kurš tiesai nav saistošs.</w:t>
      </w:r>
    </w:p>
    <w:p w14:paraId="41511DF0" w14:textId="77777777" w:rsidR="004F2870" w:rsidRDefault="004F2870" w:rsidP="00A040F0">
      <w:pPr>
        <w:shd w:val="clear" w:color="auto" w:fill="FFFFFF"/>
        <w:spacing w:line="276" w:lineRule="auto"/>
        <w:ind w:firstLine="720"/>
        <w:jc w:val="both"/>
        <w:rPr>
          <w:rFonts w:eastAsia="Calibri"/>
        </w:rPr>
      </w:pPr>
    </w:p>
    <w:p w14:paraId="5FF6469E" w14:textId="77777777" w:rsidR="004F2870" w:rsidRDefault="004F2870" w:rsidP="00A040F0">
      <w:pPr>
        <w:spacing w:line="276" w:lineRule="auto"/>
        <w:ind w:firstLine="720"/>
        <w:jc w:val="both"/>
        <w:rPr>
          <w:rFonts w:asciiTheme="majorBidi" w:hAnsiTheme="majorBidi" w:cstheme="majorBidi"/>
        </w:rPr>
      </w:pPr>
      <w:r>
        <w:rPr>
          <w:rFonts w:eastAsia="Calibri"/>
        </w:rPr>
        <w:t xml:space="preserve">[8] </w:t>
      </w:r>
      <w:r>
        <w:rPr>
          <w:rFonts w:asciiTheme="majorBidi" w:hAnsiTheme="majorBidi" w:cstheme="majorBidi"/>
        </w:rPr>
        <w:t xml:space="preserve">Vienlaikus Senāts atzīst par pamatotu pieteicējas iebildumu, ka tiesa nav pienācīgi pamatojusi, kāpēc pieteicējas darbība atbilst finanšu iestādes jēdzienam. </w:t>
      </w:r>
    </w:p>
    <w:p w14:paraId="060011B7" w14:textId="77777777" w:rsidR="004F2870" w:rsidRDefault="004F2870" w:rsidP="00A040F0">
      <w:pPr>
        <w:spacing w:line="276" w:lineRule="auto"/>
        <w:ind w:firstLine="720"/>
        <w:jc w:val="both"/>
        <w:rPr>
          <w:rFonts w:asciiTheme="majorBidi" w:hAnsiTheme="majorBidi" w:cstheme="majorBidi"/>
        </w:rPr>
      </w:pPr>
      <w:r>
        <w:rPr>
          <w:rFonts w:asciiTheme="majorBidi" w:hAnsiTheme="majorBidi" w:cstheme="majorBidi"/>
        </w:rPr>
        <w:t xml:space="preserve">Senāts vērš uzmanību uz pašas tiesas definēto strīdus jautājumu lietā, proti, tiesai bija jānoskaidro, vai </w:t>
      </w:r>
      <w:r w:rsidRPr="00132172">
        <w:rPr>
          <w:rFonts w:asciiTheme="majorBidi" w:hAnsiTheme="majorBidi" w:cstheme="majorBidi"/>
        </w:rPr>
        <w:t xml:space="preserve">pieteicēja konsultē uzņēmumus </w:t>
      </w:r>
      <w:r w:rsidRPr="00741A77">
        <w:rPr>
          <w:rFonts w:asciiTheme="majorBidi" w:hAnsiTheme="majorBidi" w:cstheme="majorBidi"/>
          <w:i/>
          <w:iCs/>
        </w:rPr>
        <w:t>par kapitāla struktūru, darbības stratēģiju un ar to saistītiem jautājumiem</w:t>
      </w:r>
      <w:r w:rsidRPr="00132172">
        <w:rPr>
          <w:rFonts w:asciiTheme="majorBidi" w:hAnsiTheme="majorBidi" w:cstheme="majorBidi"/>
        </w:rPr>
        <w:t>.</w:t>
      </w:r>
    </w:p>
    <w:p w14:paraId="4BB445B0" w14:textId="77777777" w:rsidR="004F2870" w:rsidRDefault="004F2870" w:rsidP="00A040F0">
      <w:pPr>
        <w:spacing w:line="276" w:lineRule="auto"/>
        <w:ind w:firstLine="720"/>
        <w:jc w:val="both"/>
        <w:rPr>
          <w:rFonts w:eastAsia="Calibri"/>
        </w:rPr>
      </w:pPr>
      <w:r>
        <w:rPr>
          <w:rFonts w:asciiTheme="majorBidi" w:hAnsiTheme="majorBidi" w:cstheme="majorBidi"/>
        </w:rPr>
        <w:t xml:space="preserve">Pieteicēja pamatoti norāda, ka ir izrakstījusi rēķinus gan par finanšu konsultācijām, gan finanšu analītiku, bet no sprieduma nav skaidrs, kā tiesa ir novērtējusi katru no šiem pakalpojumiem, kāpēc tie abi ir atzīti par tādiem, kas uzskatāmi par </w:t>
      </w:r>
      <w:r w:rsidRPr="007E4CC5">
        <w:rPr>
          <w:rFonts w:asciiTheme="majorBidi" w:hAnsiTheme="majorBidi" w:cstheme="majorBidi"/>
        </w:rPr>
        <w:t>uzņēmumu konsultēšan</w:t>
      </w:r>
      <w:r>
        <w:rPr>
          <w:rFonts w:asciiTheme="majorBidi" w:hAnsiTheme="majorBidi" w:cstheme="majorBidi"/>
        </w:rPr>
        <w:t>u</w:t>
      </w:r>
      <w:r w:rsidRPr="007E4CC5">
        <w:rPr>
          <w:rFonts w:asciiTheme="majorBidi" w:hAnsiTheme="majorBidi" w:cstheme="majorBidi"/>
        </w:rPr>
        <w:t xml:space="preserve"> par kapitāla struktūru, darbības stratēģiju un ar to saistītiem jautājumiem</w:t>
      </w:r>
      <w:r>
        <w:rPr>
          <w:rFonts w:asciiTheme="majorBidi" w:hAnsiTheme="majorBidi" w:cstheme="majorBidi"/>
        </w:rPr>
        <w:t>. Senāts konstatē, ka tiesa spriedumā vien ir uzskaitījusi pieteicējas ar darījumu partneriem noslēgtajos līgumos norādītos pakalpojumus, kā arī izrakstītajos rēķinos definēto sniegto pakalpojumu, vienlaikus nenovērtējot, vai tie atbilst pakalpojumam – konsultācijas par kapitāla struktūru, darbības stratēģiju un ar to saistītiem jautājumiem. Tiesa faktiski ir novirzījusies no šā jautājuma</w:t>
      </w:r>
      <w:r w:rsidRPr="001D06CA">
        <w:rPr>
          <w:rFonts w:asciiTheme="majorBidi" w:hAnsiTheme="majorBidi" w:cstheme="majorBidi"/>
        </w:rPr>
        <w:t xml:space="preserve"> </w:t>
      </w:r>
      <w:r>
        <w:rPr>
          <w:rFonts w:asciiTheme="majorBidi" w:hAnsiTheme="majorBidi" w:cstheme="majorBidi"/>
        </w:rPr>
        <w:t xml:space="preserve">pārbaudes, uzreiz pārejot pie konsultāciju jēdziena kā tāda noskaidrošanas, proti, vai ir notikusi tikai informēšana vai tomēr arī konsultēšana. Turklāt saistībā ar šo tiesas vērtējumu jāpiekrīt arī pieteicējai, ka tiesa nav pamatojusi, kāpēc tā uzskata, ka jēdziens </w:t>
      </w:r>
      <w:r w:rsidRPr="00075BEC">
        <w:rPr>
          <w:rFonts w:eastAsia="Calibri"/>
        </w:rPr>
        <w:t>„korporatīvo finanšu konsultācijas”</w:t>
      </w:r>
      <w:r>
        <w:rPr>
          <w:rFonts w:eastAsia="Calibri"/>
        </w:rPr>
        <w:t xml:space="preserve"> aptver pieteicējas rēķinos norādītos pakalpojumus – finanšu konsultācijas un finanšu analītika, ja jēdzieni atšķiras. No sprieduma nav skaidrs, kādā jomā pieteicēja sniegusi konsultācijas, kā arī trūkst pamatojuma tam, kāpēc tās uzskatāmas par finanšu iestādes darbībai atbilstošām konsultācijām. </w:t>
      </w:r>
    </w:p>
    <w:p w14:paraId="5DE25138" w14:textId="77777777" w:rsidR="004F2870" w:rsidRDefault="004F2870" w:rsidP="00A040F0">
      <w:pPr>
        <w:spacing w:line="276" w:lineRule="auto"/>
        <w:ind w:firstLine="720"/>
        <w:jc w:val="both"/>
        <w:rPr>
          <w:rFonts w:eastAsia="Calibri"/>
        </w:rPr>
      </w:pPr>
    </w:p>
    <w:p w14:paraId="4E52BAD8" w14:textId="77777777" w:rsidR="004F2870" w:rsidRPr="00E72F48" w:rsidRDefault="004F2870" w:rsidP="00A040F0">
      <w:pPr>
        <w:spacing w:line="276" w:lineRule="auto"/>
        <w:ind w:firstLine="720"/>
        <w:jc w:val="both"/>
        <w:rPr>
          <w:rFonts w:eastAsia="Calibri"/>
        </w:rPr>
      </w:pPr>
      <w:r>
        <w:rPr>
          <w:rFonts w:eastAsia="Calibri"/>
        </w:rPr>
        <w:t xml:space="preserve">[9] Papildus jāatzīmē, ka no sprieduma izriet tiesas secinājums, ka, lai izvērtētu, </w:t>
      </w:r>
      <w:r w:rsidRPr="00E72F48">
        <w:rPr>
          <w:rFonts w:eastAsia="Calibri"/>
        </w:rPr>
        <w:t xml:space="preserve">vai pieteicējas darbība atbilst finanšu iestādes jēdzienam, jāvērtē, vai pieteicēja klientiem datus tikai paziņo vai arī sniedz ieteikumus par to, kā rīkoties. Taču tiesa pieteicējas paskaidrojumus par tās darbību ir novērtējusi tikai daļēji. Pieteicēja kasācijas sūdzībā pamatoti vērš uzmanību uz saviem tiesvedības procesa gaitā sniegtajiem paskaidrojumiem par to, ka pieteicēja monitorē klientu datus un brīdī, kad tie sasniedz kādu zināmu atzīmi, ziņo klientiem. Tiesa nav norādījusi, kāpēc šiem paskaidrojumiem nav nozīmes. Faktiski, secinot, ka pieteicēja sniedz tādas konsultācijas, kas atbilst finanšu iestādes darbībai, jo pieteicēja sniedz klientiem ieteikumus, tiesa ir atsaukusies tikai uz to pieteicējas paskaidrojumu daļu, kas apstiprina tiesas secinājumus, tādējādi pārkāpjot Administratīvā procesa likuma 154.panta pirmo un trešo daļu. </w:t>
      </w:r>
    </w:p>
    <w:p w14:paraId="56D6C0B7" w14:textId="77777777" w:rsidR="004F2870" w:rsidRPr="00E72F48" w:rsidRDefault="004F2870" w:rsidP="00A040F0">
      <w:pPr>
        <w:spacing w:line="276" w:lineRule="auto"/>
        <w:ind w:firstLine="720"/>
        <w:jc w:val="both"/>
        <w:rPr>
          <w:rFonts w:eastAsia="Calibri"/>
        </w:rPr>
      </w:pPr>
    </w:p>
    <w:p w14:paraId="07AC1AEE" w14:textId="77777777" w:rsidR="004F2870" w:rsidRPr="00E72F48" w:rsidRDefault="004F2870" w:rsidP="00A040F0">
      <w:pPr>
        <w:spacing w:line="276" w:lineRule="auto"/>
        <w:ind w:firstLine="720"/>
        <w:jc w:val="both"/>
        <w:rPr>
          <w:rFonts w:asciiTheme="majorBidi" w:hAnsiTheme="majorBidi" w:cstheme="majorBidi"/>
        </w:rPr>
      </w:pPr>
      <w:r w:rsidRPr="00E72F48">
        <w:rPr>
          <w:rFonts w:eastAsia="Calibri"/>
        </w:rPr>
        <w:t xml:space="preserve">[10] Kopsakarā ar iepriekš minēto būtisks ir arī pieteicējas arguments, ka </w:t>
      </w:r>
      <w:r w:rsidRPr="00E72F48">
        <w:rPr>
          <w:rFonts w:asciiTheme="majorBidi" w:hAnsiTheme="majorBidi" w:cstheme="majorBidi"/>
        </w:rPr>
        <w:t>tiesa nav novērtējusi, vai darbība, kas tiesas ieskatā atbilst finanšu iestādes jēdzienam, ir pieteicējas galvenā darbība.</w:t>
      </w:r>
    </w:p>
    <w:p w14:paraId="7091C5E5" w14:textId="77777777" w:rsidR="004F2870" w:rsidRDefault="004F2870" w:rsidP="00A040F0">
      <w:pPr>
        <w:spacing w:line="276" w:lineRule="auto"/>
        <w:ind w:firstLine="720"/>
        <w:jc w:val="both"/>
        <w:rPr>
          <w:rFonts w:asciiTheme="majorBidi" w:hAnsiTheme="majorBidi" w:cstheme="majorBidi"/>
        </w:rPr>
      </w:pPr>
      <w:r w:rsidRPr="00E72F48">
        <w:rPr>
          <w:rFonts w:asciiTheme="majorBidi" w:hAnsiTheme="majorBidi" w:cstheme="majorBidi"/>
        </w:rPr>
        <w:t xml:space="preserve">Lai pieteicēju atzītu par finanšu iestādi regulas Nr. 575/2013 4.panta 1.punkta 26.apakšpunkta izpratnē, jākonstatē, ka pieteicējas galvenā darbība ir līdzdalības iegāde vai viena vai vairākas no direktīvas 2013/36/ES I pielikuma 2. līdz 12.punktā un 15.punktā uzskaitītajām darbībām. Tas ir atzīts arī </w:t>
      </w:r>
      <w:hyperlink r:id="rId11" w:history="1">
        <w:r w:rsidRPr="00E72F48">
          <w:rPr>
            <w:rStyle w:val="Hyperlink"/>
            <w:rFonts w:asciiTheme="majorBidi" w:hAnsiTheme="majorBidi" w:cstheme="majorBidi"/>
          </w:rPr>
          <w:t>Eiropas Komisijas 2023.gada 17.maija atzinumā lietā Nr. A420210321</w:t>
        </w:r>
      </w:hyperlink>
      <w:r>
        <w:rPr>
          <w:rFonts w:asciiTheme="majorBidi" w:hAnsiTheme="majorBidi" w:cstheme="majorBidi"/>
        </w:rPr>
        <w:t xml:space="preserve">, kur Eiropas Komisija ir interpretējusi </w:t>
      </w:r>
      <w:r w:rsidRPr="007E4CC5">
        <w:rPr>
          <w:rFonts w:asciiTheme="majorBidi" w:hAnsiTheme="majorBidi" w:cstheme="majorBidi"/>
        </w:rPr>
        <w:t>regulas Nr.</w:t>
      </w:r>
      <w:r>
        <w:rPr>
          <w:rFonts w:asciiTheme="majorBidi" w:hAnsiTheme="majorBidi" w:cstheme="majorBidi"/>
        </w:rPr>
        <w:t> </w:t>
      </w:r>
      <w:r w:rsidRPr="007E4CC5">
        <w:rPr>
          <w:rFonts w:asciiTheme="majorBidi" w:hAnsiTheme="majorBidi" w:cstheme="majorBidi"/>
        </w:rPr>
        <w:t>575/2013 4.panta 1.punkta 26.apakšpunkt</w:t>
      </w:r>
      <w:r>
        <w:rPr>
          <w:rFonts w:asciiTheme="majorBidi" w:hAnsiTheme="majorBidi" w:cstheme="majorBidi"/>
        </w:rPr>
        <w:t xml:space="preserve">ā finanšu iestādes jēdzienu. Atzinumā norādīts, ka ir svarīgi nošķirt galveno darbību no </w:t>
      </w:r>
      <w:r w:rsidRPr="00BE5321">
        <w:rPr>
          <w:rFonts w:asciiTheme="majorBidi" w:hAnsiTheme="majorBidi" w:cstheme="majorBidi"/>
        </w:rPr>
        <w:t xml:space="preserve">jebkuras citas (sekundāras, papildu, palīgdarbības) darbības. Uzņēmums, kas veic vienu vai vairākas no </w:t>
      </w:r>
      <w:r>
        <w:rPr>
          <w:rFonts w:asciiTheme="majorBidi" w:hAnsiTheme="majorBidi" w:cstheme="majorBidi"/>
        </w:rPr>
        <w:t>d</w:t>
      </w:r>
      <w:r w:rsidRPr="00BE5321">
        <w:rPr>
          <w:rFonts w:asciiTheme="majorBidi" w:hAnsiTheme="majorBidi" w:cstheme="majorBidi"/>
        </w:rPr>
        <w:t>irektīvas 2013/36/ES I</w:t>
      </w:r>
      <w:r>
        <w:rPr>
          <w:rFonts w:asciiTheme="majorBidi" w:hAnsiTheme="majorBidi" w:cstheme="majorBidi"/>
        </w:rPr>
        <w:t> </w:t>
      </w:r>
      <w:r w:rsidRPr="00BE5321">
        <w:rPr>
          <w:rFonts w:asciiTheme="majorBidi" w:hAnsiTheme="majorBidi" w:cstheme="majorBidi"/>
        </w:rPr>
        <w:t>pielikuma 2.</w:t>
      </w:r>
      <w:r>
        <w:rPr>
          <w:rFonts w:asciiTheme="majorBidi" w:hAnsiTheme="majorBidi" w:cstheme="majorBidi"/>
        </w:rPr>
        <w:t xml:space="preserve"> līdz </w:t>
      </w:r>
      <w:r w:rsidRPr="00BE5321">
        <w:rPr>
          <w:rFonts w:asciiTheme="majorBidi" w:hAnsiTheme="majorBidi" w:cstheme="majorBidi"/>
        </w:rPr>
        <w:t>12.punktā un 15.punktā uzskaitītajām darbībām tikai kā sekundāru, papildu vai palīgdarbību, netiek uzskatīts par finanšu iestādi saskaņā ar Savienības tiesību aktiem, kas piemērojami finanšu darbību veikšanai</w:t>
      </w:r>
      <w:r>
        <w:rPr>
          <w:rFonts w:asciiTheme="majorBidi" w:hAnsiTheme="majorBidi" w:cstheme="majorBidi"/>
        </w:rPr>
        <w:t xml:space="preserve"> (</w:t>
      </w:r>
      <w:r w:rsidRPr="00BE5321">
        <w:rPr>
          <w:rFonts w:asciiTheme="majorBidi" w:hAnsiTheme="majorBidi" w:cstheme="majorBidi"/>
          <w:i/>
          <w:iCs/>
        </w:rPr>
        <w:t>atzinuma 21.punkts</w:t>
      </w:r>
      <w:r>
        <w:rPr>
          <w:rFonts w:asciiTheme="majorBidi" w:hAnsiTheme="majorBidi" w:cstheme="majorBidi"/>
        </w:rPr>
        <w:t xml:space="preserve">). </w:t>
      </w:r>
    </w:p>
    <w:p w14:paraId="2361CD31" w14:textId="77777777" w:rsidR="004F2870" w:rsidRDefault="004F2870" w:rsidP="00A040F0">
      <w:pPr>
        <w:spacing w:line="276" w:lineRule="auto"/>
        <w:ind w:firstLine="720"/>
        <w:jc w:val="both"/>
        <w:rPr>
          <w:rFonts w:eastAsia="Calibri"/>
        </w:rPr>
      </w:pPr>
      <w:r>
        <w:rPr>
          <w:rFonts w:eastAsia="Calibri"/>
        </w:rPr>
        <w:t xml:space="preserve">Spriedumā šāds izvērtējums nav sniegts. Kā tas jau konstatēts tiesas spriedumā un kā to norāda arī pieteicēja kasācijas sūdzībā, pieteicēja izrakstījusi rēķinus par dažādiem pakalpojumiem, arī līgumos, pieteicējas paskaidrojumos un pieteicējas interneta vietnē norādīts uz dažādiem pakalpojumiem. Tā kā tiesa spriedumā nav sniegusi skaidru un pierādījumos balstītu novērtējumu par pieteicējas sniegtajiem pakalpojumiem, iztrūkst arī pārliecinoša secinājuma par to, ka pieteicējas galvenā darbība ir tāda, kas atbilst finanšu iestādes jēdzienam. </w:t>
      </w:r>
    </w:p>
    <w:p w14:paraId="7A0992F6" w14:textId="77777777" w:rsidR="004F2870" w:rsidRDefault="004F2870" w:rsidP="00A040F0">
      <w:pPr>
        <w:spacing w:line="276" w:lineRule="auto"/>
        <w:jc w:val="both"/>
        <w:rPr>
          <w:rFonts w:eastAsia="Calibri"/>
        </w:rPr>
      </w:pPr>
    </w:p>
    <w:p w14:paraId="5C57D01E" w14:textId="77777777" w:rsidR="004F2870" w:rsidRDefault="004F2870" w:rsidP="00A040F0">
      <w:pPr>
        <w:spacing w:line="276" w:lineRule="auto"/>
        <w:ind w:firstLine="720"/>
        <w:jc w:val="both"/>
        <w:rPr>
          <w:rFonts w:eastAsia="Calibri"/>
        </w:rPr>
      </w:pPr>
      <w:r>
        <w:rPr>
          <w:rFonts w:eastAsia="Calibri"/>
        </w:rPr>
        <w:t xml:space="preserve">[11] </w:t>
      </w:r>
      <w:r>
        <w:rPr>
          <w:rFonts w:asciiTheme="majorBidi" w:hAnsiTheme="majorBidi" w:cstheme="majorBidi"/>
        </w:rPr>
        <w:t xml:space="preserve">Ievērojot visu minēto, tiesas spriedums ir atceļams un lieta </w:t>
      </w:r>
      <w:r w:rsidRPr="006C7845">
        <w:rPr>
          <w:rFonts w:eastAsia="Calibri"/>
        </w:rPr>
        <w:t>nododama jaunai izskatīšanai Administratīvajai apgabaltiesai.</w:t>
      </w:r>
    </w:p>
    <w:p w14:paraId="2FD7E657" w14:textId="77777777" w:rsidR="004F2870" w:rsidRPr="00BF0DD3" w:rsidRDefault="004F2870" w:rsidP="00A040F0">
      <w:pPr>
        <w:spacing w:line="276" w:lineRule="auto"/>
        <w:rPr>
          <w:rFonts w:asciiTheme="majorBidi" w:hAnsiTheme="majorBidi" w:cstheme="majorBidi"/>
          <w:bCs/>
        </w:rPr>
      </w:pPr>
    </w:p>
    <w:p w14:paraId="08AC7079" w14:textId="77777777" w:rsidR="004F2870" w:rsidRPr="001B099E" w:rsidRDefault="004F2870" w:rsidP="00A040F0">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5A6395C4" w14:textId="77777777" w:rsidR="004F2870" w:rsidRPr="00D57B9C" w:rsidRDefault="004F2870" w:rsidP="00A040F0">
      <w:pPr>
        <w:spacing w:line="276" w:lineRule="auto"/>
        <w:ind w:firstLine="567"/>
        <w:jc w:val="both"/>
        <w:rPr>
          <w:rFonts w:asciiTheme="majorBidi" w:hAnsiTheme="majorBidi" w:cstheme="majorBidi"/>
          <w:bCs/>
          <w:spacing w:val="70"/>
        </w:rPr>
      </w:pPr>
    </w:p>
    <w:p w14:paraId="397568CE" w14:textId="77777777" w:rsidR="004F2870" w:rsidRPr="000909D1" w:rsidRDefault="004F2870" w:rsidP="00A040F0">
      <w:pPr>
        <w:spacing w:line="276" w:lineRule="auto"/>
        <w:ind w:firstLine="720"/>
        <w:jc w:val="both"/>
        <w:rPr>
          <w:rFonts w:asciiTheme="majorBidi" w:hAnsiTheme="majorBidi" w:cstheme="majorBidi"/>
        </w:rPr>
      </w:pPr>
      <w:r w:rsidRPr="000909D1">
        <w:rPr>
          <w:rFonts w:asciiTheme="majorBidi" w:hAnsiTheme="majorBidi" w:cstheme="majorBidi"/>
        </w:rPr>
        <w:t xml:space="preserve">Pamatojoties uz </w:t>
      </w:r>
      <w:r w:rsidRPr="000909D1">
        <w:rPr>
          <w:rFonts w:asciiTheme="majorBidi" w:eastAsiaTheme="minorHAnsi" w:hAnsiTheme="majorBidi" w:cstheme="majorBidi"/>
          <w:lang w:eastAsia="en-US"/>
        </w:rPr>
        <w:t>Administratīvā procesa likuma</w:t>
      </w:r>
      <w:r w:rsidRPr="000909D1">
        <w:rPr>
          <w:rFonts w:asciiTheme="majorBidi" w:hAnsiTheme="majorBidi" w:cstheme="majorBidi"/>
        </w:rPr>
        <w:t xml:space="preserve"> </w:t>
      </w:r>
      <w:r w:rsidRPr="009D0400">
        <w:rPr>
          <w:rFonts w:asciiTheme="majorBidi" w:hAnsiTheme="majorBidi" w:cstheme="majorBidi"/>
        </w:rPr>
        <w:t>129.</w:t>
      </w:r>
      <w:r w:rsidRPr="004C32E2">
        <w:rPr>
          <w:rFonts w:asciiTheme="majorBidi" w:hAnsiTheme="majorBidi" w:cstheme="majorBidi"/>
          <w:vertAlign w:val="superscript"/>
        </w:rPr>
        <w:t>1</w:t>
      </w:r>
      <w:r w:rsidRPr="009D0400">
        <w:rPr>
          <w:rFonts w:asciiTheme="majorBidi" w:hAnsiTheme="majorBidi" w:cstheme="majorBidi"/>
        </w:rPr>
        <w:t>panta pirmās daļas 1.punktu</w:t>
      </w:r>
      <w:r>
        <w:rPr>
          <w:rFonts w:asciiTheme="majorBidi" w:hAnsiTheme="majorBidi" w:cstheme="majorBidi"/>
        </w:rPr>
        <w:t xml:space="preserve">, </w:t>
      </w:r>
      <w:r w:rsidRPr="000909D1">
        <w:rPr>
          <w:rFonts w:asciiTheme="majorBidi" w:hAnsiTheme="majorBidi" w:cstheme="majorBidi"/>
        </w:rPr>
        <w:t>348.panta pirmās daļas 2.punktu un 351.pantu, Senāts</w:t>
      </w:r>
    </w:p>
    <w:p w14:paraId="68427030" w14:textId="77777777" w:rsidR="004F2870" w:rsidRDefault="004F2870" w:rsidP="00A040F0">
      <w:pPr>
        <w:spacing w:line="276" w:lineRule="auto"/>
        <w:jc w:val="center"/>
        <w:rPr>
          <w:rFonts w:asciiTheme="majorBidi" w:hAnsiTheme="majorBidi" w:cstheme="majorBidi"/>
          <w:b/>
        </w:rPr>
      </w:pPr>
    </w:p>
    <w:p w14:paraId="57D6DAF8" w14:textId="77777777" w:rsidR="004F2870" w:rsidRPr="000909D1" w:rsidRDefault="004F2870" w:rsidP="00A040F0">
      <w:pPr>
        <w:spacing w:line="276" w:lineRule="auto"/>
        <w:jc w:val="center"/>
        <w:rPr>
          <w:rFonts w:asciiTheme="majorBidi" w:hAnsiTheme="majorBidi" w:cstheme="majorBidi"/>
          <w:b/>
        </w:rPr>
      </w:pPr>
      <w:r w:rsidRPr="000909D1">
        <w:rPr>
          <w:rFonts w:asciiTheme="majorBidi" w:hAnsiTheme="majorBidi" w:cstheme="majorBidi"/>
          <w:b/>
        </w:rPr>
        <w:t>nosprieda</w:t>
      </w:r>
    </w:p>
    <w:p w14:paraId="689B4DC2" w14:textId="77777777" w:rsidR="004F2870" w:rsidRPr="000909D1" w:rsidRDefault="004F2870" w:rsidP="00A040F0">
      <w:pPr>
        <w:spacing w:line="276" w:lineRule="auto"/>
        <w:ind w:firstLine="567"/>
        <w:jc w:val="center"/>
        <w:rPr>
          <w:rFonts w:asciiTheme="majorBidi" w:hAnsiTheme="majorBidi" w:cstheme="majorBidi"/>
          <w:b/>
        </w:rPr>
      </w:pPr>
    </w:p>
    <w:p w14:paraId="2902FA5F" w14:textId="77777777" w:rsidR="004F2870" w:rsidRDefault="004F2870" w:rsidP="00A040F0">
      <w:pPr>
        <w:spacing w:line="276" w:lineRule="auto"/>
        <w:ind w:firstLine="720"/>
        <w:jc w:val="both"/>
        <w:rPr>
          <w:rFonts w:asciiTheme="majorBidi" w:hAnsiTheme="majorBidi" w:cstheme="majorBidi"/>
        </w:rPr>
      </w:pPr>
      <w:r w:rsidRPr="000909D1">
        <w:rPr>
          <w:rFonts w:asciiTheme="majorBidi" w:hAnsiTheme="majorBidi" w:cstheme="majorBidi"/>
        </w:rPr>
        <w:t xml:space="preserve">atcelt Administratīvās apgabaltiesas 2023.gada 14.decembra spriedumu un </w:t>
      </w:r>
      <w:r w:rsidRPr="000909D1">
        <w:rPr>
          <w:rFonts w:asciiTheme="majorBidi" w:hAnsiTheme="majorBidi" w:cstheme="majorBidi"/>
          <w:shd w:val="clear" w:color="auto" w:fill="FFFFFF"/>
        </w:rPr>
        <w:t xml:space="preserve">nosūtīt lietu jaunai izskatīšanai </w:t>
      </w:r>
      <w:r w:rsidRPr="000909D1">
        <w:rPr>
          <w:rFonts w:asciiTheme="majorBidi" w:hAnsiTheme="majorBidi" w:cstheme="majorBidi"/>
        </w:rPr>
        <w:t>Administratīvajai apgabaltiesai</w:t>
      </w:r>
      <w:r>
        <w:rPr>
          <w:rFonts w:asciiTheme="majorBidi" w:hAnsiTheme="majorBidi" w:cstheme="majorBidi"/>
        </w:rPr>
        <w:t>;</w:t>
      </w:r>
    </w:p>
    <w:p w14:paraId="724BE1C1" w14:textId="77777777" w:rsidR="004F2870" w:rsidRPr="000909D1" w:rsidRDefault="004F2870" w:rsidP="00A040F0">
      <w:pPr>
        <w:spacing w:line="276" w:lineRule="auto"/>
        <w:ind w:firstLine="720"/>
        <w:jc w:val="both"/>
      </w:pPr>
      <w:r w:rsidRPr="00BA10EA">
        <w:rPr>
          <w:bCs/>
        </w:rPr>
        <w:t xml:space="preserve">atmaksāt </w:t>
      </w:r>
      <w:r>
        <w:rPr>
          <w:bCs/>
        </w:rPr>
        <w:t xml:space="preserve">SIA „ECONOME” </w:t>
      </w:r>
      <w:r>
        <w:rPr>
          <w:rFonts w:asciiTheme="majorBidi" w:hAnsiTheme="majorBidi" w:cstheme="majorBidi"/>
          <w:lang w:eastAsia="lv-LV"/>
        </w:rPr>
        <w:t xml:space="preserve">par </w:t>
      </w:r>
      <w:r w:rsidRPr="001B099E">
        <w:rPr>
          <w:rFonts w:asciiTheme="majorBidi" w:hAnsiTheme="majorBidi" w:cstheme="majorBidi"/>
          <w:lang w:eastAsia="lv-LV"/>
        </w:rPr>
        <w:t>SIA „</w:t>
      </w:r>
      <w:r w:rsidRPr="003F41C1">
        <w:rPr>
          <w:rFonts w:asciiTheme="majorBidi" w:hAnsiTheme="majorBidi" w:cstheme="majorBidi"/>
          <w:lang w:eastAsia="lv-LV"/>
        </w:rPr>
        <w:t>ABZ FINANCE</w:t>
      </w:r>
      <w:r w:rsidRPr="001B099E">
        <w:rPr>
          <w:rFonts w:asciiTheme="majorBidi" w:hAnsiTheme="majorBidi" w:cstheme="majorBidi"/>
          <w:lang w:eastAsia="lv-LV"/>
        </w:rPr>
        <w:t>”</w:t>
      </w:r>
      <w:r>
        <w:rPr>
          <w:rFonts w:asciiTheme="majorBidi" w:hAnsiTheme="majorBidi" w:cstheme="majorBidi"/>
          <w:lang w:eastAsia="lv-LV"/>
        </w:rPr>
        <w:t xml:space="preserve"> </w:t>
      </w:r>
      <w:r w:rsidRPr="00BA10EA">
        <w:t>kasācijas sūdzību samaksāto drošības naudu 70 </w:t>
      </w:r>
      <w:r w:rsidRPr="00BA10EA">
        <w:rPr>
          <w:i/>
          <w:iCs/>
        </w:rPr>
        <w:t>euro</w:t>
      </w:r>
      <w:r w:rsidRPr="00BA10EA">
        <w:t>.</w:t>
      </w:r>
      <w:r w:rsidRPr="00BA10EA">
        <w:rPr>
          <w:rFonts w:asciiTheme="majorBidi" w:hAnsiTheme="majorBidi" w:cstheme="majorBidi"/>
        </w:rPr>
        <w:t xml:space="preserve"> </w:t>
      </w:r>
    </w:p>
    <w:p w14:paraId="6420A1BF" w14:textId="77777777" w:rsidR="004F2870" w:rsidRPr="000909D1" w:rsidRDefault="004F2870" w:rsidP="00A040F0">
      <w:pPr>
        <w:spacing w:line="276" w:lineRule="auto"/>
        <w:ind w:firstLine="567"/>
        <w:jc w:val="both"/>
        <w:rPr>
          <w:rFonts w:asciiTheme="majorBidi" w:hAnsiTheme="majorBidi" w:cstheme="majorBidi"/>
        </w:rPr>
      </w:pPr>
    </w:p>
    <w:p w14:paraId="2FB4D0D5" w14:textId="205ADA7E" w:rsidR="00854076" w:rsidRPr="00A040F0" w:rsidRDefault="004F2870" w:rsidP="00A040F0">
      <w:pPr>
        <w:spacing w:line="276" w:lineRule="auto"/>
        <w:ind w:firstLine="720"/>
        <w:jc w:val="both"/>
        <w:rPr>
          <w:rFonts w:asciiTheme="majorBidi" w:hAnsiTheme="majorBidi" w:cstheme="majorBidi"/>
        </w:rPr>
      </w:pPr>
      <w:r w:rsidRPr="000909D1">
        <w:rPr>
          <w:rFonts w:asciiTheme="majorBidi" w:hAnsiTheme="majorBidi" w:cstheme="majorBidi"/>
        </w:rPr>
        <w:t>Spriedums nav pārsūdzams.</w:t>
      </w:r>
    </w:p>
    <w:sectPr w:rsidR="00854076" w:rsidRPr="00A040F0" w:rsidSect="00267671">
      <w:footerReference w:type="default" r:id="rId12"/>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67C6" w14:textId="77777777" w:rsidR="002926FC" w:rsidRDefault="002926FC">
      <w:r>
        <w:separator/>
      </w:r>
    </w:p>
  </w:endnote>
  <w:endnote w:type="continuationSeparator" w:id="0">
    <w:p w14:paraId="1C79693D" w14:textId="77777777" w:rsidR="002926FC" w:rsidRDefault="0029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437941D6"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2926FC">
      <w:rPr>
        <w:rStyle w:val="PageNumber"/>
        <w:noProof/>
        <w:sz w:val="20"/>
        <w:szCs w:val="20"/>
      </w:rPr>
      <w:t>1</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819B" w14:textId="77777777" w:rsidR="002926FC" w:rsidRDefault="002926FC">
      <w:r>
        <w:separator/>
      </w:r>
    </w:p>
  </w:footnote>
  <w:footnote w:type="continuationSeparator" w:id="0">
    <w:p w14:paraId="12A5CAFE" w14:textId="77777777" w:rsidR="002926FC" w:rsidRDefault="00292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3"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517187">
    <w:abstractNumId w:val="5"/>
  </w:num>
  <w:num w:numId="2" w16cid:durableId="1996100597">
    <w:abstractNumId w:val="0"/>
  </w:num>
  <w:num w:numId="3" w16cid:durableId="576860809">
    <w:abstractNumId w:val="3"/>
  </w:num>
  <w:num w:numId="4" w16cid:durableId="615915430">
    <w:abstractNumId w:val="4"/>
  </w:num>
  <w:num w:numId="5" w16cid:durableId="42603283">
    <w:abstractNumId w:val="2"/>
  </w:num>
  <w:num w:numId="6" w16cid:durableId="142862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1D96"/>
    <w:rsid w:val="00002A64"/>
    <w:rsid w:val="00002BEB"/>
    <w:rsid w:val="00003AF4"/>
    <w:rsid w:val="0000422B"/>
    <w:rsid w:val="00004579"/>
    <w:rsid w:val="0000467D"/>
    <w:rsid w:val="00004D75"/>
    <w:rsid w:val="00005AD7"/>
    <w:rsid w:val="00005D23"/>
    <w:rsid w:val="0000638F"/>
    <w:rsid w:val="00006A1C"/>
    <w:rsid w:val="000101C4"/>
    <w:rsid w:val="00012562"/>
    <w:rsid w:val="00012ED4"/>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1417"/>
    <w:rsid w:val="000218C4"/>
    <w:rsid w:val="0002194F"/>
    <w:rsid w:val="00021E3D"/>
    <w:rsid w:val="00022026"/>
    <w:rsid w:val="00022863"/>
    <w:rsid w:val="00024ABE"/>
    <w:rsid w:val="00024BB3"/>
    <w:rsid w:val="00024DD9"/>
    <w:rsid w:val="0002573F"/>
    <w:rsid w:val="000269C3"/>
    <w:rsid w:val="0002713D"/>
    <w:rsid w:val="000272ED"/>
    <w:rsid w:val="000302A5"/>
    <w:rsid w:val="00030969"/>
    <w:rsid w:val="000309D3"/>
    <w:rsid w:val="00030E09"/>
    <w:rsid w:val="000311B5"/>
    <w:rsid w:val="00031435"/>
    <w:rsid w:val="000320D8"/>
    <w:rsid w:val="000321F3"/>
    <w:rsid w:val="00032432"/>
    <w:rsid w:val="00032B6B"/>
    <w:rsid w:val="00033FB3"/>
    <w:rsid w:val="00034479"/>
    <w:rsid w:val="00034E84"/>
    <w:rsid w:val="00035533"/>
    <w:rsid w:val="00036046"/>
    <w:rsid w:val="00036541"/>
    <w:rsid w:val="000372D5"/>
    <w:rsid w:val="00037791"/>
    <w:rsid w:val="00040527"/>
    <w:rsid w:val="00040542"/>
    <w:rsid w:val="00040613"/>
    <w:rsid w:val="00040CF0"/>
    <w:rsid w:val="00040E64"/>
    <w:rsid w:val="0004121D"/>
    <w:rsid w:val="00041837"/>
    <w:rsid w:val="00042261"/>
    <w:rsid w:val="00042395"/>
    <w:rsid w:val="0004304A"/>
    <w:rsid w:val="00043420"/>
    <w:rsid w:val="00043C87"/>
    <w:rsid w:val="00043D51"/>
    <w:rsid w:val="00043F96"/>
    <w:rsid w:val="00044B83"/>
    <w:rsid w:val="00044E17"/>
    <w:rsid w:val="000450FC"/>
    <w:rsid w:val="000453D8"/>
    <w:rsid w:val="00045409"/>
    <w:rsid w:val="00045DD8"/>
    <w:rsid w:val="0004617F"/>
    <w:rsid w:val="0004631B"/>
    <w:rsid w:val="00046DC2"/>
    <w:rsid w:val="0005104F"/>
    <w:rsid w:val="0005154D"/>
    <w:rsid w:val="0005182E"/>
    <w:rsid w:val="00051D04"/>
    <w:rsid w:val="00051F4D"/>
    <w:rsid w:val="00052108"/>
    <w:rsid w:val="000526B8"/>
    <w:rsid w:val="0005417C"/>
    <w:rsid w:val="00054D53"/>
    <w:rsid w:val="00055188"/>
    <w:rsid w:val="00056682"/>
    <w:rsid w:val="00056AB9"/>
    <w:rsid w:val="00057694"/>
    <w:rsid w:val="00057E4B"/>
    <w:rsid w:val="00060A90"/>
    <w:rsid w:val="00060DA7"/>
    <w:rsid w:val="00061720"/>
    <w:rsid w:val="00062313"/>
    <w:rsid w:val="00062EEA"/>
    <w:rsid w:val="00062F6B"/>
    <w:rsid w:val="000631F5"/>
    <w:rsid w:val="00063339"/>
    <w:rsid w:val="00063606"/>
    <w:rsid w:val="000637E6"/>
    <w:rsid w:val="00063849"/>
    <w:rsid w:val="00063A74"/>
    <w:rsid w:val="0006415C"/>
    <w:rsid w:val="000646AB"/>
    <w:rsid w:val="00064717"/>
    <w:rsid w:val="00064C1E"/>
    <w:rsid w:val="00064C88"/>
    <w:rsid w:val="00065129"/>
    <w:rsid w:val="00065BCB"/>
    <w:rsid w:val="00065EF9"/>
    <w:rsid w:val="000663E0"/>
    <w:rsid w:val="00066687"/>
    <w:rsid w:val="000666AE"/>
    <w:rsid w:val="00066D1A"/>
    <w:rsid w:val="00066FD9"/>
    <w:rsid w:val="00067466"/>
    <w:rsid w:val="00067F76"/>
    <w:rsid w:val="000703B0"/>
    <w:rsid w:val="000708D8"/>
    <w:rsid w:val="00070BB8"/>
    <w:rsid w:val="000712B0"/>
    <w:rsid w:val="0007151A"/>
    <w:rsid w:val="0007224F"/>
    <w:rsid w:val="000726F9"/>
    <w:rsid w:val="000729E1"/>
    <w:rsid w:val="00072DFD"/>
    <w:rsid w:val="00072F8A"/>
    <w:rsid w:val="000732B7"/>
    <w:rsid w:val="00073641"/>
    <w:rsid w:val="00073EBF"/>
    <w:rsid w:val="0007479A"/>
    <w:rsid w:val="00074F01"/>
    <w:rsid w:val="00074F2C"/>
    <w:rsid w:val="0007506D"/>
    <w:rsid w:val="000750F0"/>
    <w:rsid w:val="00075A0B"/>
    <w:rsid w:val="00075BEC"/>
    <w:rsid w:val="0007615A"/>
    <w:rsid w:val="00077D61"/>
    <w:rsid w:val="00077E6B"/>
    <w:rsid w:val="00077FF3"/>
    <w:rsid w:val="0008017B"/>
    <w:rsid w:val="00080FE0"/>
    <w:rsid w:val="00081262"/>
    <w:rsid w:val="000813C8"/>
    <w:rsid w:val="000816FC"/>
    <w:rsid w:val="0008181A"/>
    <w:rsid w:val="00081B49"/>
    <w:rsid w:val="00082A51"/>
    <w:rsid w:val="00082A77"/>
    <w:rsid w:val="000845F5"/>
    <w:rsid w:val="00084690"/>
    <w:rsid w:val="0008472E"/>
    <w:rsid w:val="000857B6"/>
    <w:rsid w:val="000859AC"/>
    <w:rsid w:val="000863F5"/>
    <w:rsid w:val="000866EB"/>
    <w:rsid w:val="00087A22"/>
    <w:rsid w:val="00087DC1"/>
    <w:rsid w:val="00090536"/>
    <w:rsid w:val="000909D1"/>
    <w:rsid w:val="000918FA"/>
    <w:rsid w:val="00091E5D"/>
    <w:rsid w:val="0009201E"/>
    <w:rsid w:val="00092264"/>
    <w:rsid w:val="00092677"/>
    <w:rsid w:val="00092D47"/>
    <w:rsid w:val="000934E7"/>
    <w:rsid w:val="000938B0"/>
    <w:rsid w:val="0009390E"/>
    <w:rsid w:val="000943E5"/>
    <w:rsid w:val="000952FC"/>
    <w:rsid w:val="0009596D"/>
    <w:rsid w:val="00096131"/>
    <w:rsid w:val="00096E26"/>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0E"/>
    <w:rsid w:val="000A6D3E"/>
    <w:rsid w:val="000A7911"/>
    <w:rsid w:val="000A7C6F"/>
    <w:rsid w:val="000B0831"/>
    <w:rsid w:val="000B16CA"/>
    <w:rsid w:val="000B1D39"/>
    <w:rsid w:val="000B21D6"/>
    <w:rsid w:val="000B2775"/>
    <w:rsid w:val="000B3FE5"/>
    <w:rsid w:val="000B4220"/>
    <w:rsid w:val="000B428A"/>
    <w:rsid w:val="000B480F"/>
    <w:rsid w:val="000B53DC"/>
    <w:rsid w:val="000B5510"/>
    <w:rsid w:val="000B6392"/>
    <w:rsid w:val="000B6977"/>
    <w:rsid w:val="000B6A76"/>
    <w:rsid w:val="000C060F"/>
    <w:rsid w:val="000C07A6"/>
    <w:rsid w:val="000C1C2E"/>
    <w:rsid w:val="000C1F9B"/>
    <w:rsid w:val="000C2060"/>
    <w:rsid w:val="000C2161"/>
    <w:rsid w:val="000C2349"/>
    <w:rsid w:val="000C34CC"/>
    <w:rsid w:val="000C3A14"/>
    <w:rsid w:val="000C3BD0"/>
    <w:rsid w:val="000C48AA"/>
    <w:rsid w:val="000C5028"/>
    <w:rsid w:val="000C5314"/>
    <w:rsid w:val="000D0216"/>
    <w:rsid w:val="000D0448"/>
    <w:rsid w:val="000D0A29"/>
    <w:rsid w:val="000D1295"/>
    <w:rsid w:val="000D1343"/>
    <w:rsid w:val="000D215A"/>
    <w:rsid w:val="000D25D2"/>
    <w:rsid w:val="000D2D90"/>
    <w:rsid w:val="000D3A12"/>
    <w:rsid w:val="000D4226"/>
    <w:rsid w:val="000D4377"/>
    <w:rsid w:val="000D4693"/>
    <w:rsid w:val="000D4CC2"/>
    <w:rsid w:val="000D58AC"/>
    <w:rsid w:val="000D6E51"/>
    <w:rsid w:val="000D706F"/>
    <w:rsid w:val="000D778E"/>
    <w:rsid w:val="000E00F1"/>
    <w:rsid w:val="000E02BD"/>
    <w:rsid w:val="000E143D"/>
    <w:rsid w:val="000E1923"/>
    <w:rsid w:val="000E2634"/>
    <w:rsid w:val="000E307B"/>
    <w:rsid w:val="000E36B3"/>
    <w:rsid w:val="000E375B"/>
    <w:rsid w:val="000E3796"/>
    <w:rsid w:val="000E37AF"/>
    <w:rsid w:val="000E3C98"/>
    <w:rsid w:val="000E3D79"/>
    <w:rsid w:val="000E45EA"/>
    <w:rsid w:val="000E4679"/>
    <w:rsid w:val="000E4923"/>
    <w:rsid w:val="000E4AAC"/>
    <w:rsid w:val="000E58DF"/>
    <w:rsid w:val="000E5F35"/>
    <w:rsid w:val="000E60BB"/>
    <w:rsid w:val="000E60FF"/>
    <w:rsid w:val="000E653E"/>
    <w:rsid w:val="000E7AF8"/>
    <w:rsid w:val="000F10C1"/>
    <w:rsid w:val="000F14C0"/>
    <w:rsid w:val="000F160A"/>
    <w:rsid w:val="000F2908"/>
    <w:rsid w:val="000F2DEA"/>
    <w:rsid w:val="000F3447"/>
    <w:rsid w:val="000F48F3"/>
    <w:rsid w:val="000F497D"/>
    <w:rsid w:val="000F5B95"/>
    <w:rsid w:val="000F5D14"/>
    <w:rsid w:val="000F62C8"/>
    <w:rsid w:val="000F6403"/>
    <w:rsid w:val="000F6E0E"/>
    <w:rsid w:val="000F76C5"/>
    <w:rsid w:val="000F7E05"/>
    <w:rsid w:val="000F7FE6"/>
    <w:rsid w:val="00100505"/>
    <w:rsid w:val="00100ACA"/>
    <w:rsid w:val="001012BE"/>
    <w:rsid w:val="001014DE"/>
    <w:rsid w:val="00101853"/>
    <w:rsid w:val="001019C1"/>
    <w:rsid w:val="00101A99"/>
    <w:rsid w:val="00101FC4"/>
    <w:rsid w:val="00102297"/>
    <w:rsid w:val="001027CC"/>
    <w:rsid w:val="00102B01"/>
    <w:rsid w:val="001033C7"/>
    <w:rsid w:val="001037E0"/>
    <w:rsid w:val="00103829"/>
    <w:rsid w:val="001042AA"/>
    <w:rsid w:val="00104404"/>
    <w:rsid w:val="00105502"/>
    <w:rsid w:val="001056CE"/>
    <w:rsid w:val="0010577E"/>
    <w:rsid w:val="001065A1"/>
    <w:rsid w:val="00106E5A"/>
    <w:rsid w:val="001105EC"/>
    <w:rsid w:val="00110B52"/>
    <w:rsid w:val="00110BA6"/>
    <w:rsid w:val="00111FDD"/>
    <w:rsid w:val="00112113"/>
    <w:rsid w:val="001123CC"/>
    <w:rsid w:val="00113683"/>
    <w:rsid w:val="00113B25"/>
    <w:rsid w:val="00114235"/>
    <w:rsid w:val="00114435"/>
    <w:rsid w:val="001157DB"/>
    <w:rsid w:val="001157F5"/>
    <w:rsid w:val="00115D47"/>
    <w:rsid w:val="0011734C"/>
    <w:rsid w:val="001173AD"/>
    <w:rsid w:val="00120807"/>
    <w:rsid w:val="0012082A"/>
    <w:rsid w:val="00120F90"/>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172"/>
    <w:rsid w:val="001322EF"/>
    <w:rsid w:val="00132804"/>
    <w:rsid w:val="001349B2"/>
    <w:rsid w:val="0013559E"/>
    <w:rsid w:val="00135674"/>
    <w:rsid w:val="00135C3F"/>
    <w:rsid w:val="0013675C"/>
    <w:rsid w:val="00136CBF"/>
    <w:rsid w:val="00136CE3"/>
    <w:rsid w:val="00137983"/>
    <w:rsid w:val="0014117F"/>
    <w:rsid w:val="0014139F"/>
    <w:rsid w:val="001417A1"/>
    <w:rsid w:val="0014257D"/>
    <w:rsid w:val="00142B30"/>
    <w:rsid w:val="00142BC9"/>
    <w:rsid w:val="00142C4C"/>
    <w:rsid w:val="00144873"/>
    <w:rsid w:val="00145D6D"/>
    <w:rsid w:val="001460EF"/>
    <w:rsid w:val="00146730"/>
    <w:rsid w:val="001469E1"/>
    <w:rsid w:val="00146ED3"/>
    <w:rsid w:val="00147F20"/>
    <w:rsid w:val="00150039"/>
    <w:rsid w:val="001501BA"/>
    <w:rsid w:val="001501DC"/>
    <w:rsid w:val="001502CF"/>
    <w:rsid w:val="001516F3"/>
    <w:rsid w:val="00151E4A"/>
    <w:rsid w:val="00151FD3"/>
    <w:rsid w:val="00152831"/>
    <w:rsid w:val="0015284D"/>
    <w:rsid w:val="00152CAF"/>
    <w:rsid w:val="00152CCA"/>
    <w:rsid w:val="00152EC9"/>
    <w:rsid w:val="00153E9D"/>
    <w:rsid w:val="00154CA2"/>
    <w:rsid w:val="00155056"/>
    <w:rsid w:val="001550B0"/>
    <w:rsid w:val="001551A8"/>
    <w:rsid w:val="00155886"/>
    <w:rsid w:val="00157627"/>
    <w:rsid w:val="00157AF7"/>
    <w:rsid w:val="001602DF"/>
    <w:rsid w:val="001607FC"/>
    <w:rsid w:val="00161218"/>
    <w:rsid w:val="00161D51"/>
    <w:rsid w:val="00162149"/>
    <w:rsid w:val="00162695"/>
    <w:rsid w:val="00162CA2"/>
    <w:rsid w:val="001630CC"/>
    <w:rsid w:val="00163598"/>
    <w:rsid w:val="001638ED"/>
    <w:rsid w:val="00163FC2"/>
    <w:rsid w:val="0016469F"/>
    <w:rsid w:val="0016489C"/>
    <w:rsid w:val="00167275"/>
    <w:rsid w:val="00167300"/>
    <w:rsid w:val="00167733"/>
    <w:rsid w:val="00167F90"/>
    <w:rsid w:val="0017003D"/>
    <w:rsid w:val="00170D52"/>
    <w:rsid w:val="00171535"/>
    <w:rsid w:val="001721B1"/>
    <w:rsid w:val="00172C66"/>
    <w:rsid w:val="001733FC"/>
    <w:rsid w:val="0017505D"/>
    <w:rsid w:val="00175A6F"/>
    <w:rsid w:val="001768E9"/>
    <w:rsid w:val="00177335"/>
    <w:rsid w:val="00177557"/>
    <w:rsid w:val="00177666"/>
    <w:rsid w:val="00177791"/>
    <w:rsid w:val="001777D8"/>
    <w:rsid w:val="00180258"/>
    <w:rsid w:val="00180611"/>
    <w:rsid w:val="00182608"/>
    <w:rsid w:val="0018312B"/>
    <w:rsid w:val="00183F62"/>
    <w:rsid w:val="0018404B"/>
    <w:rsid w:val="00185272"/>
    <w:rsid w:val="00186293"/>
    <w:rsid w:val="00186867"/>
    <w:rsid w:val="00186DC9"/>
    <w:rsid w:val="00186F5C"/>
    <w:rsid w:val="00187A8A"/>
    <w:rsid w:val="00190200"/>
    <w:rsid w:val="00190599"/>
    <w:rsid w:val="001909DB"/>
    <w:rsid w:val="00191180"/>
    <w:rsid w:val="00191A80"/>
    <w:rsid w:val="00192047"/>
    <w:rsid w:val="00192652"/>
    <w:rsid w:val="001927B2"/>
    <w:rsid w:val="00192FDC"/>
    <w:rsid w:val="001938F1"/>
    <w:rsid w:val="00193F34"/>
    <w:rsid w:val="0019538D"/>
    <w:rsid w:val="001954A2"/>
    <w:rsid w:val="00195B76"/>
    <w:rsid w:val="00195C47"/>
    <w:rsid w:val="0019632D"/>
    <w:rsid w:val="001967FE"/>
    <w:rsid w:val="00196A91"/>
    <w:rsid w:val="00196DC7"/>
    <w:rsid w:val="00197530"/>
    <w:rsid w:val="00197906"/>
    <w:rsid w:val="00197E11"/>
    <w:rsid w:val="001A020E"/>
    <w:rsid w:val="001A029C"/>
    <w:rsid w:val="001A09AE"/>
    <w:rsid w:val="001A0ACD"/>
    <w:rsid w:val="001A1090"/>
    <w:rsid w:val="001A11DC"/>
    <w:rsid w:val="001A1AF8"/>
    <w:rsid w:val="001A1DE0"/>
    <w:rsid w:val="001A26A8"/>
    <w:rsid w:val="001A2A62"/>
    <w:rsid w:val="001A2B0A"/>
    <w:rsid w:val="001A2F18"/>
    <w:rsid w:val="001A2FB7"/>
    <w:rsid w:val="001A364A"/>
    <w:rsid w:val="001A4FA1"/>
    <w:rsid w:val="001A6552"/>
    <w:rsid w:val="001A7097"/>
    <w:rsid w:val="001A7578"/>
    <w:rsid w:val="001B00D0"/>
    <w:rsid w:val="001B01D6"/>
    <w:rsid w:val="001B07FA"/>
    <w:rsid w:val="001B099E"/>
    <w:rsid w:val="001B10C5"/>
    <w:rsid w:val="001B1907"/>
    <w:rsid w:val="001B2BA2"/>
    <w:rsid w:val="001B31F5"/>
    <w:rsid w:val="001B3A96"/>
    <w:rsid w:val="001B3F95"/>
    <w:rsid w:val="001B4147"/>
    <w:rsid w:val="001B47D8"/>
    <w:rsid w:val="001B4C6C"/>
    <w:rsid w:val="001B5AB6"/>
    <w:rsid w:val="001B6173"/>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6CA"/>
    <w:rsid w:val="001D0DA5"/>
    <w:rsid w:val="001D2850"/>
    <w:rsid w:val="001D2E32"/>
    <w:rsid w:val="001D350F"/>
    <w:rsid w:val="001D407A"/>
    <w:rsid w:val="001D516F"/>
    <w:rsid w:val="001D5608"/>
    <w:rsid w:val="001D6173"/>
    <w:rsid w:val="001D6F3D"/>
    <w:rsid w:val="001D7DC6"/>
    <w:rsid w:val="001E0802"/>
    <w:rsid w:val="001E0A6C"/>
    <w:rsid w:val="001E18BF"/>
    <w:rsid w:val="001E2EC3"/>
    <w:rsid w:val="001E3BA4"/>
    <w:rsid w:val="001E48F4"/>
    <w:rsid w:val="001E4A89"/>
    <w:rsid w:val="001E5220"/>
    <w:rsid w:val="001E5334"/>
    <w:rsid w:val="001E5BB3"/>
    <w:rsid w:val="001E61AB"/>
    <w:rsid w:val="001E6356"/>
    <w:rsid w:val="001F029F"/>
    <w:rsid w:val="001F0720"/>
    <w:rsid w:val="001F108E"/>
    <w:rsid w:val="001F10C7"/>
    <w:rsid w:val="001F1587"/>
    <w:rsid w:val="001F3577"/>
    <w:rsid w:val="001F361A"/>
    <w:rsid w:val="001F3BB3"/>
    <w:rsid w:val="001F3DAB"/>
    <w:rsid w:val="001F412C"/>
    <w:rsid w:val="001F4623"/>
    <w:rsid w:val="001F5427"/>
    <w:rsid w:val="001F566B"/>
    <w:rsid w:val="001F5DC9"/>
    <w:rsid w:val="001F61B4"/>
    <w:rsid w:val="001F64C0"/>
    <w:rsid w:val="001F66DC"/>
    <w:rsid w:val="001F69BC"/>
    <w:rsid w:val="001F6DB8"/>
    <w:rsid w:val="001F7246"/>
    <w:rsid w:val="001F7B15"/>
    <w:rsid w:val="001F7BC3"/>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727"/>
    <w:rsid w:val="002058A1"/>
    <w:rsid w:val="00205E37"/>
    <w:rsid w:val="00206220"/>
    <w:rsid w:val="002063B3"/>
    <w:rsid w:val="0020653D"/>
    <w:rsid w:val="0020696B"/>
    <w:rsid w:val="00206AA3"/>
    <w:rsid w:val="00206C73"/>
    <w:rsid w:val="00206FC2"/>
    <w:rsid w:val="00207074"/>
    <w:rsid w:val="00207F44"/>
    <w:rsid w:val="002102B0"/>
    <w:rsid w:val="00210781"/>
    <w:rsid w:val="0021217F"/>
    <w:rsid w:val="002121F8"/>
    <w:rsid w:val="00212509"/>
    <w:rsid w:val="00212CBA"/>
    <w:rsid w:val="00213685"/>
    <w:rsid w:val="00214268"/>
    <w:rsid w:val="002144A1"/>
    <w:rsid w:val="002145B9"/>
    <w:rsid w:val="002145C1"/>
    <w:rsid w:val="002159CA"/>
    <w:rsid w:val="002166B0"/>
    <w:rsid w:val="00216D85"/>
    <w:rsid w:val="0021783C"/>
    <w:rsid w:val="00220350"/>
    <w:rsid w:val="00220635"/>
    <w:rsid w:val="0022063F"/>
    <w:rsid w:val="00220A33"/>
    <w:rsid w:val="00221156"/>
    <w:rsid w:val="002227BC"/>
    <w:rsid w:val="00222DE7"/>
    <w:rsid w:val="0022322B"/>
    <w:rsid w:val="00223DE1"/>
    <w:rsid w:val="00224304"/>
    <w:rsid w:val="00224343"/>
    <w:rsid w:val="00224D9A"/>
    <w:rsid w:val="00225108"/>
    <w:rsid w:val="002252DB"/>
    <w:rsid w:val="002253D6"/>
    <w:rsid w:val="002253DA"/>
    <w:rsid w:val="00225F0B"/>
    <w:rsid w:val="00226D0B"/>
    <w:rsid w:val="00227213"/>
    <w:rsid w:val="0022729B"/>
    <w:rsid w:val="00227345"/>
    <w:rsid w:val="00227C2B"/>
    <w:rsid w:val="00230D3F"/>
    <w:rsid w:val="00231A84"/>
    <w:rsid w:val="00232231"/>
    <w:rsid w:val="0023297C"/>
    <w:rsid w:val="00232D7B"/>
    <w:rsid w:val="00233BA8"/>
    <w:rsid w:val="00233E8D"/>
    <w:rsid w:val="0023557F"/>
    <w:rsid w:val="00235A43"/>
    <w:rsid w:val="00235BDD"/>
    <w:rsid w:val="00236710"/>
    <w:rsid w:val="002370C6"/>
    <w:rsid w:val="0023738E"/>
    <w:rsid w:val="00237407"/>
    <w:rsid w:val="00237D9A"/>
    <w:rsid w:val="002405DF"/>
    <w:rsid w:val="00240E95"/>
    <w:rsid w:val="00241031"/>
    <w:rsid w:val="002412F1"/>
    <w:rsid w:val="002424E6"/>
    <w:rsid w:val="00242593"/>
    <w:rsid w:val="00242A11"/>
    <w:rsid w:val="00242D65"/>
    <w:rsid w:val="002437CE"/>
    <w:rsid w:val="002439F4"/>
    <w:rsid w:val="00244083"/>
    <w:rsid w:val="00244946"/>
    <w:rsid w:val="00244F8C"/>
    <w:rsid w:val="002457D8"/>
    <w:rsid w:val="00246BB5"/>
    <w:rsid w:val="0024708F"/>
    <w:rsid w:val="00247247"/>
    <w:rsid w:val="00247C9A"/>
    <w:rsid w:val="00250457"/>
    <w:rsid w:val="0025095A"/>
    <w:rsid w:val="00251A2F"/>
    <w:rsid w:val="00251AEE"/>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C3C"/>
    <w:rsid w:val="002625AA"/>
    <w:rsid w:val="002627ED"/>
    <w:rsid w:val="00262E21"/>
    <w:rsid w:val="00262EF2"/>
    <w:rsid w:val="002635D2"/>
    <w:rsid w:val="00265D78"/>
    <w:rsid w:val="00265EBA"/>
    <w:rsid w:val="0026654A"/>
    <w:rsid w:val="00266F14"/>
    <w:rsid w:val="0026742F"/>
    <w:rsid w:val="002674AA"/>
    <w:rsid w:val="00267671"/>
    <w:rsid w:val="0026768A"/>
    <w:rsid w:val="00270832"/>
    <w:rsid w:val="002709F5"/>
    <w:rsid w:val="00270E6D"/>
    <w:rsid w:val="00271221"/>
    <w:rsid w:val="0027196C"/>
    <w:rsid w:val="00272B3E"/>
    <w:rsid w:val="00273051"/>
    <w:rsid w:val="00273A6A"/>
    <w:rsid w:val="00273BFD"/>
    <w:rsid w:val="00274550"/>
    <w:rsid w:val="00274875"/>
    <w:rsid w:val="002749ED"/>
    <w:rsid w:val="00275203"/>
    <w:rsid w:val="0027598B"/>
    <w:rsid w:val="0027671E"/>
    <w:rsid w:val="002774C0"/>
    <w:rsid w:val="002778A9"/>
    <w:rsid w:val="00277B60"/>
    <w:rsid w:val="00277CED"/>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23E7"/>
    <w:rsid w:val="0029263A"/>
    <w:rsid w:val="002926FC"/>
    <w:rsid w:val="00292AE2"/>
    <w:rsid w:val="00293066"/>
    <w:rsid w:val="00293403"/>
    <w:rsid w:val="002939FD"/>
    <w:rsid w:val="00294046"/>
    <w:rsid w:val="00294BEC"/>
    <w:rsid w:val="00294E25"/>
    <w:rsid w:val="002957A9"/>
    <w:rsid w:val="00295955"/>
    <w:rsid w:val="002961F8"/>
    <w:rsid w:val="00296CAB"/>
    <w:rsid w:val="002A01CD"/>
    <w:rsid w:val="002A05C3"/>
    <w:rsid w:val="002A097E"/>
    <w:rsid w:val="002A1671"/>
    <w:rsid w:val="002A2495"/>
    <w:rsid w:val="002A2639"/>
    <w:rsid w:val="002A2E1D"/>
    <w:rsid w:val="002A3174"/>
    <w:rsid w:val="002A561F"/>
    <w:rsid w:val="002A5637"/>
    <w:rsid w:val="002A6070"/>
    <w:rsid w:val="002A7A2D"/>
    <w:rsid w:val="002B01AA"/>
    <w:rsid w:val="002B0558"/>
    <w:rsid w:val="002B0978"/>
    <w:rsid w:val="002B0C4E"/>
    <w:rsid w:val="002B0F2F"/>
    <w:rsid w:val="002B0FA0"/>
    <w:rsid w:val="002B1064"/>
    <w:rsid w:val="002B18E1"/>
    <w:rsid w:val="002B1D39"/>
    <w:rsid w:val="002B1DCE"/>
    <w:rsid w:val="002B25DC"/>
    <w:rsid w:val="002B32DA"/>
    <w:rsid w:val="002B3E47"/>
    <w:rsid w:val="002B463D"/>
    <w:rsid w:val="002B47FF"/>
    <w:rsid w:val="002B4D17"/>
    <w:rsid w:val="002B5482"/>
    <w:rsid w:val="002B5A5C"/>
    <w:rsid w:val="002B6BC9"/>
    <w:rsid w:val="002B6D9A"/>
    <w:rsid w:val="002B7FEF"/>
    <w:rsid w:val="002C0CE6"/>
    <w:rsid w:val="002C12FA"/>
    <w:rsid w:val="002C2D5D"/>
    <w:rsid w:val="002C3184"/>
    <w:rsid w:val="002C5865"/>
    <w:rsid w:val="002C6019"/>
    <w:rsid w:val="002C628E"/>
    <w:rsid w:val="002C642D"/>
    <w:rsid w:val="002C7B84"/>
    <w:rsid w:val="002C7FA1"/>
    <w:rsid w:val="002D093C"/>
    <w:rsid w:val="002D09DD"/>
    <w:rsid w:val="002D1C65"/>
    <w:rsid w:val="002D1E03"/>
    <w:rsid w:val="002D2221"/>
    <w:rsid w:val="002D27C9"/>
    <w:rsid w:val="002D2A0B"/>
    <w:rsid w:val="002D3C01"/>
    <w:rsid w:val="002D41DC"/>
    <w:rsid w:val="002D4369"/>
    <w:rsid w:val="002D5478"/>
    <w:rsid w:val="002D5517"/>
    <w:rsid w:val="002D56C3"/>
    <w:rsid w:val="002D58B2"/>
    <w:rsid w:val="002D59B7"/>
    <w:rsid w:val="002D6612"/>
    <w:rsid w:val="002D6701"/>
    <w:rsid w:val="002D69C2"/>
    <w:rsid w:val="002D757F"/>
    <w:rsid w:val="002D7E3B"/>
    <w:rsid w:val="002E09DA"/>
    <w:rsid w:val="002E0B0F"/>
    <w:rsid w:val="002E106F"/>
    <w:rsid w:val="002E1117"/>
    <w:rsid w:val="002E11F1"/>
    <w:rsid w:val="002E224B"/>
    <w:rsid w:val="002E28BA"/>
    <w:rsid w:val="002E2A38"/>
    <w:rsid w:val="002E2D22"/>
    <w:rsid w:val="002E2FC3"/>
    <w:rsid w:val="002E308C"/>
    <w:rsid w:val="002E36AE"/>
    <w:rsid w:val="002E39FB"/>
    <w:rsid w:val="002E4754"/>
    <w:rsid w:val="002E53DB"/>
    <w:rsid w:val="002E5A22"/>
    <w:rsid w:val="002E5AB3"/>
    <w:rsid w:val="002E5F80"/>
    <w:rsid w:val="002E619A"/>
    <w:rsid w:val="002E6931"/>
    <w:rsid w:val="002E6DDB"/>
    <w:rsid w:val="002E6F29"/>
    <w:rsid w:val="002E7C0A"/>
    <w:rsid w:val="002E7F6E"/>
    <w:rsid w:val="002F0B45"/>
    <w:rsid w:val="002F1C4C"/>
    <w:rsid w:val="002F1E63"/>
    <w:rsid w:val="002F2CDF"/>
    <w:rsid w:val="002F2E21"/>
    <w:rsid w:val="002F3D74"/>
    <w:rsid w:val="002F54B2"/>
    <w:rsid w:val="002F65E6"/>
    <w:rsid w:val="002F660B"/>
    <w:rsid w:val="002F6729"/>
    <w:rsid w:val="002F6A61"/>
    <w:rsid w:val="002F6D81"/>
    <w:rsid w:val="002F6E2F"/>
    <w:rsid w:val="002F708F"/>
    <w:rsid w:val="002F7CDF"/>
    <w:rsid w:val="00300312"/>
    <w:rsid w:val="003003CE"/>
    <w:rsid w:val="0030304C"/>
    <w:rsid w:val="00303806"/>
    <w:rsid w:val="00304193"/>
    <w:rsid w:val="00304253"/>
    <w:rsid w:val="00305163"/>
    <w:rsid w:val="00305CE7"/>
    <w:rsid w:val="00306049"/>
    <w:rsid w:val="0030612E"/>
    <w:rsid w:val="003062F9"/>
    <w:rsid w:val="00306BC4"/>
    <w:rsid w:val="00307FEB"/>
    <w:rsid w:val="003103B8"/>
    <w:rsid w:val="00310422"/>
    <w:rsid w:val="003105E4"/>
    <w:rsid w:val="003118E3"/>
    <w:rsid w:val="00311F36"/>
    <w:rsid w:val="00312112"/>
    <w:rsid w:val="00312213"/>
    <w:rsid w:val="00312679"/>
    <w:rsid w:val="0031331E"/>
    <w:rsid w:val="00313F0F"/>
    <w:rsid w:val="00314448"/>
    <w:rsid w:val="00314767"/>
    <w:rsid w:val="00314F38"/>
    <w:rsid w:val="00315A18"/>
    <w:rsid w:val="00315DB9"/>
    <w:rsid w:val="0031650E"/>
    <w:rsid w:val="00316577"/>
    <w:rsid w:val="00316921"/>
    <w:rsid w:val="003169DB"/>
    <w:rsid w:val="00316E2A"/>
    <w:rsid w:val="00317291"/>
    <w:rsid w:val="00317C18"/>
    <w:rsid w:val="003200DF"/>
    <w:rsid w:val="00320214"/>
    <w:rsid w:val="0032091E"/>
    <w:rsid w:val="0032187F"/>
    <w:rsid w:val="003231F6"/>
    <w:rsid w:val="00323251"/>
    <w:rsid w:val="003237A9"/>
    <w:rsid w:val="00324166"/>
    <w:rsid w:val="00324BB8"/>
    <w:rsid w:val="00326727"/>
    <w:rsid w:val="00327F1D"/>
    <w:rsid w:val="00327F2F"/>
    <w:rsid w:val="003308B6"/>
    <w:rsid w:val="0033091D"/>
    <w:rsid w:val="003314E5"/>
    <w:rsid w:val="00331A3E"/>
    <w:rsid w:val="00331AEE"/>
    <w:rsid w:val="00332074"/>
    <w:rsid w:val="00332C3A"/>
    <w:rsid w:val="00333F55"/>
    <w:rsid w:val="003349E9"/>
    <w:rsid w:val="003360D5"/>
    <w:rsid w:val="00336463"/>
    <w:rsid w:val="00336A1C"/>
    <w:rsid w:val="00336D59"/>
    <w:rsid w:val="00336E02"/>
    <w:rsid w:val="0033729C"/>
    <w:rsid w:val="00337FA2"/>
    <w:rsid w:val="003405EB"/>
    <w:rsid w:val="003417CC"/>
    <w:rsid w:val="00341AE7"/>
    <w:rsid w:val="0034214B"/>
    <w:rsid w:val="00342470"/>
    <w:rsid w:val="0034265C"/>
    <w:rsid w:val="00342DA9"/>
    <w:rsid w:val="003445F6"/>
    <w:rsid w:val="00344D58"/>
    <w:rsid w:val="003451A6"/>
    <w:rsid w:val="00345B38"/>
    <w:rsid w:val="00345BB3"/>
    <w:rsid w:val="003467DE"/>
    <w:rsid w:val="00347542"/>
    <w:rsid w:val="00347803"/>
    <w:rsid w:val="00347C77"/>
    <w:rsid w:val="00350116"/>
    <w:rsid w:val="003501F9"/>
    <w:rsid w:val="00350398"/>
    <w:rsid w:val="00351F4F"/>
    <w:rsid w:val="00352BED"/>
    <w:rsid w:val="003531D1"/>
    <w:rsid w:val="00353497"/>
    <w:rsid w:val="00353B96"/>
    <w:rsid w:val="00353C0C"/>
    <w:rsid w:val="003545CB"/>
    <w:rsid w:val="00355167"/>
    <w:rsid w:val="00356131"/>
    <w:rsid w:val="003570E4"/>
    <w:rsid w:val="00357245"/>
    <w:rsid w:val="00357D61"/>
    <w:rsid w:val="003615FC"/>
    <w:rsid w:val="003625F5"/>
    <w:rsid w:val="00363371"/>
    <w:rsid w:val="00363A10"/>
    <w:rsid w:val="00364DEB"/>
    <w:rsid w:val="003666FC"/>
    <w:rsid w:val="00366B5A"/>
    <w:rsid w:val="00366BDF"/>
    <w:rsid w:val="003676CF"/>
    <w:rsid w:val="00367AB0"/>
    <w:rsid w:val="00367B36"/>
    <w:rsid w:val="00367F3F"/>
    <w:rsid w:val="00370E88"/>
    <w:rsid w:val="00370F6C"/>
    <w:rsid w:val="003714EC"/>
    <w:rsid w:val="0037251B"/>
    <w:rsid w:val="003727A4"/>
    <w:rsid w:val="00373887"/>
    <w:rsid w:val="00373A55"/>
    <w:rsid w:val="00373A93"/>
    <w:rsid w:val="00374617"/>
    <w:rsid w:val="003751B9"/>
    <w:rsid w:val="00375DF7"/>
    <w:rsid w:val="003765CE"/>
    <w:rsid w:val="0037662C"/>
    <w:rsid w:val="003766E2"/>
    <w:rsid w:val="003766EE"/>
    <w:rsid w:val="00376733"/>
    <w:rsid w:val="00376AA4"/>
    <w:rsid w:val="00376B47"/>
    <w:rsid w:val="00380919"/>
    <w:rsid w:val="0038109A"/>
    <w:rsid w:val="003813D2"/>
    <w:rsid w:val="00381A4B"/>
    <w:rsid w:val="003824E3"/>
    <w:rsid w:val="003828A3"/>
    <w:rsid w:val="00382997"/>
    <w:rsid w:val="003835B7"/>
    <w:rsid w:val="00383B8A"/>
    <w:rsid w:val="00383C20"/>
    <w:rsid w:val="0038430F"/>
    <w:rsid w:val="003845DD"/>
    <w:rsid w:val="00385917"/>
    <w:rsid w:val="0038672F"/>
    <w:rsid w:val="00386CED"/>
    <w:rsid w:val="00386F09"/>
    <w:rsid w:val="00387082"/>
    <w:rsid w:val="0038751B"/>
    <w:rsid w:val="003876EF"/>
    <w:rsid w:val="00387859"/>
    <w:rsid w:val="00387EE3"/>
    <w:rsid w:val="00390923"/>
    <w:rsid w:val="00390F43"/>
    <w:rsid w:val="003925F1"/>
    <w:rsid w:val="0039269D"/>
    <w:rsid w:val="00393434"/>
    <w:rsid w:val="00394338"/>
    <w:rsid w:val="003945DC"/>
    <w:rsid w:val="00395073"/>
    <w:rsid w:val="00397A14"/>
    <w:rsid w:val="003A0677"/>
    <w:rsid w:val="003A0E6D"/>
    <w:rsid w:val="003A2AF1"/>
    <w:rsid w:val="003A2F99"/>
    <w:rsid w:val="003A4C7F"/>
    <w:rsid w:val="003A4FBF"/>
    <w:rsid w:val="003A5234"/>
    <w:rsid w:val="003A541B"/>
    <w:rsid w:val="003A6C15"/>
    <w:rsid w:val="003A76C8"/>
    <w:rsid w:val="003A7F4E"/>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8D5"/>
    <w:rsid w:val="003B49F9"/>
    <w:rsid w:val="003B4D4A"/>
    <w:rsid w:val="003B6509"/>
    <w:rsid w:val="003B6F78"/>
    <w:rsid w:val="003B751C"/>
    <w:rsid w:val="003B7AD1"/>
    <w:rsid w:val="003B7CBA"/>
    <w:rsid w:val="003C053A"/>
    <w:rsid w:val="003C0621"/>
    <w:rsid w:val="003C14E2"/>
    <w:rsid w:val="003C1C9A"/>
    <w:rsid w:val="003C239A"/>
    <w:rsid w:val="003C246E"/>
    <w:rsid w:val="003C2A07"/>
    <w:rsid w:val="003C2C29"/>
    <w:rsid w:val="003C4066"/>
    <w:rsid w:val="003C41F2"/>
    <w:rsid w:val="003C45E4"/>
    <w:rsid w:val="003C59F1"/>
    <w:rsid w:val="003C5BBC"/>
    <w:rsid w:val="003C5CF9"/>
    <w:rsid w:val="003C5DFD"/>
    <w:rsid w:val="003C6CD6"/>
    <w:rsid w:val="003C73C9"/>
    <w:rsid w:val="003C74A7"/>
    <w:rsid w:val="003D0AB1"/>
    <w:rsid w:val="003D1D62"/>
    <w:rsid w:val="003D2965"/>
    <w:rsid w:val="003D37A3"/>
    <w:rsid w:val="003D3E14"/>
    <w:rsid w:val="003D509D"/>
    <w:rsid w:val="003D62D2"/>
    <w:rsid w:val="003D6988"/>
    <w:rsid w:val="003D708E"/>
    <w:rsid w:val="003D731D"/>
    <w:rsid w:val="003D782B"/>
    <w:rsid w:val="003D7B40"/>
    <w:rsid w:val="003E00C9"/>
    <w:rsid w:val="003E164B"/>
    <w:rsid w:val="003E2858"/>
    <w:rsid w:val="003E2FF9"/>
    <w:rsid w:val="003E32AE"/>
    <w:rsid w:val="003E36E4"/>
    <w:rsid w:val="003E3A47"/>
    <w:rsid w:val="003E42DA"/>
    <w:rsid w:val="003E5250"/>
    <w:rsid w:val="003E5462"/>
    <w:rsid w:val="003E5898"/>
    <w:rsid w:val="003E59DC"/>
    <w:rsid w:val="003E5E67"/>
    <w:rsid w:val="003E5F8A"/>
    <w:rsid w:val="003E6832"/>
    <w:rsid w:val="003E6D82"/>
    <w:rsid w:val="003E703A"/>
    <w:rsid w:val="003E7750"/>
    <w:rsid w:val="003E7C4A"/>
    <w:rsid w:val="003F052F"/>
    <w:rsid w:val="003F09AA"/>
    <w:rsid w:val="003F09D3"/>
    <w:rsid w:val="003F10B7"/>
    <w:rsid w:val="003F1F10"/>
    <w:rsid w:val="003F2B01"/>
    <w:rsid w:val="003F2DB7"/>
    <w:rsid w:val="003F41C1"/>
    <w:rsid w:val="003F4639"/>
    <w:rsid w:val="003F58AA"/>
    <w:rsid w:val="003F66B5"/>
    <w:rsid w:val="003F67E1"/>
    <w:rsid w:val="003F6CA8"/>
    <w:rsid w:val="003F77D2"/>
    <w:rsid w:val="004003AF"/>
    <w:rsid w:val="004003DB"/>
    <w:rsid w:val="0040154D"/>
    <w:rsid w:val="00401B75"/>
    <w:rsid w:val="00402065"/>
    <w:rsid w:val="00402630"/>
    <w:rsid w:val="00402E18"/>
    <w:rsid w:val="00403529"/>
    <w:rsid w:val="00403E21"/>
    <w:rsid w:val="00403EED"/>
    <w:rsid w:val="004044D7"/>
    <w:rsid w:val="00404A47"/>
    <w:rsid w:val="00406612"/>
    <w:rsid w:val="004066C9"/>
    <w:rsid w:val="004067AC"/>
    <w:rsid w:val="004068DA"/>
    <w:rsid w:val="00406ACB"/>
    <w:rsid w:val="00407AAA"/>
    <w:rsid w:val="00410058"/>
    <w:rsid w:val="00410347"/>
    <w:rsid w:val="00410955"/>
    <w:rsid w:val="0041096F"/>
    <w:rsid w:val="00410A02"/>
    <w:rsid w:val="004111DC"/>
    <w:rsid w:val="00412555"/>
    <w:rsid w:val="004125CB"/>
    <w:rsid w:val="00412AC4"/>
    <w:rsid w:val="00412BFA"/>
    <w:rsid w:val="00413535"/>
    <w:rsid w:val="00413A8B"/>
    <w:rsid w:val="00413AB6"/>
    <w:rsid w:val="00413CA8"/>
    <w:rsid w:val="00414C8B"/>
    <w:rsid w:val="004154DC"/>
    <w:rsid w:val="0041663E"/>
    <w:rsid w:val="004166CD"/>
    <w:rsid w:val="004168BB"/>
    <w:rsid w:val="00416B11"/>
    <w:rsid w:val="00417182"/>
    <w:rsid w:val="00417846"/>
    <w:rsid w:val="00417DFA"/>
    <w:rsid w:val="004211B0"/>
    <w:rsid w:val="004213B4"/>
    <w:rsid w:val="00421A9F"/>
    <w:rsid w:val="0042206D"/>
    <w:rsid w:val="00422F4C"/>
    <w:rsid w:val="00423008"/>
    <w:rsid w:val="004233BE"/>
    <w:rsid w:val="0042341E"/>
    <w:rsid w:val="004234D7"/>
    <w:rsid w:val="00423DFF"/>
    <w:rsid w:val="00423F26"/>
    <w:rsid w:val="00424066"/>
    <w:rsid w:val="00424121"/>
    <w:rsid w:val="004244E0"/>
    <w:rsid w:val="0042465B"/>
    <w:rsid w:val="004250E9"/>
    <w:rsid w:val="00425DCF"/>
    <w:rsid w:val="00426170"/>
    <w:rsid w:val="004272F6"/>
    <w:rsid w:val="00427371"/>
    <w:rsid w:val="00427483"/>
    <w:rsid w:val="00427CC5"/>
    <w:rsid w:val="0043003F"/>
    <w:rsid w:val="00430DA8"/>
    <w:rsid w:val="00430F7B"/>
    <w:rsid w:val="00431087"/>
    <w:rsid w:val="004311C9"/>
    <w:rsid w:val="00431819"/>
    <w:rsid w:val="00432552"/>
    <w:rsid w:val="00432565"/>
    <w:rsid w:val="004337B7"/>
    <w:rsid w:val="00434917"/>
    <w:rsid w:val="00434F9E"/>
    <w:rsid w:val="004366DE"/>
    <w:rsid w:val="00436996"/>
    <w:rsid w:val="00436B04"/>
    <w:rsid w:val="00437B15"/>
    <w:rsid w:val="004405DD"/>
    <w:rsid w:val="00440A35"/>
    <w:rsid w:val="00440CF1"/>
    <w:rsid w:val="00441663"/>
    <w:rsid w:val="00441BDA"/>
    <w:rsid w:val="00442184"/>
    <w:rsid w:val="004421DF"/>
    <w:rsid w:val="00442DB8"/>
    <w:rsid w:val="00443BC0"/>
    <w:rsid w:val="004443F8"/>
    <w:rsid w:val="00444996"/>
    <w:rsid w:val="00445736"/>
    <w:rsid w:val="00445784"/>
    <w:rsid w:val="004472D5"/>
    <w:rsid w:val="004476E3"/>
    <w:rsid w:val="00451430"/>
    <w:rsid w:val="004516F4"/>
    <w:rsid w:val="00452A8C"/>
    <w:rsid w:val="00453284"/>
    <w:rsid w:val="004538FB"/>
    <w:rsid w:val="00453C7A"/>
    <w:rsid w:val="0045405B"/>
    <w:rsid w:val="00455857"/>
    <w:rsid w:val="004564BD"/>
    <w:rsid w:val="00456B5D"/>
    <w:rsid w:val="00456DBA"/>
    <w:rsid w:val="004573CB"/>
    <w:rsid w:val="00457A8E"/>
    <w:rsid w:val="00457FEC"/>
    <w:rsid w:val="004601FA"/>
    <w:rsid w:val="00460494"/>
    <w:rsid w:val="00460AA2"/>
    <w:rsid w:val="00461DAF"/>
    <w:rsid w:val="00461F74"/>
    <w:rsid w:val="00462047"/>
    <w:rsid w:val="004623C2"/>
    <w:rsid w:val="00462989"/>
    <w:rsid w:val="00462E75"/>
    <w:rsid w:val="00463224"/>
    <w:rsid w:val="004637CB"/>
    <w:rsid w:val="00463895"/>
    <w:rsid w:val="00464FBC"/>
    <w:rsid w:val="00465624"/>
    <w:rsid w:val="00466215"/>
    <w:rsid w:val="00467135"/>
    <w:rsid w:val="004704BB"/>
    <w:rsid w:val="00470B71"/>
    <w:rsid w:val="00470EA8"/>
    <w:rsid w:val="00470F13"/>
    <w:rsid w:val="00471378"/>
    <w:rsid w:val="00471770"/>
    <w:rsid w:val="00473350"/>
    <w:rsid w:val="004738D0"/>
    <w:rsid w:val="00473A64"/>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369"/>
    <w:rsid w:val="00483E3A"/>
    <w:rsid w:val="004846C8"/>
    <w:rsid w:val="004848C6"/>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BE0"/>
    <w:rsid w:val="00496375"/>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591"/>
    <w:rsid w:val="004A69E1"/>
    <w:rsid w:val="004A6E3B"/>
    <w:rsid w:val="004A75B3"/>
    <w:rsid w:val="004A7909"/>
    <w:rsid w:val="004B144C"/>
    <w:rsid w:val="004B17D5"/>
    <w:rsid w:val="004B2F88"/>
    <w:rsid w:val="004B4615"/>
    <w:rsid w:val="004B4D52"/>
    <w:rsid w:val="004B515C"/>
    <w:rsid w:val="004B5DDC"/>
    <w:rsid w:val="004B5EBE"/>
    <w:rsid w:val="004B61D4"/>
    <w:rsid w:val="004B68E9"/>
    <w:rsid w:val="004B70CA"/>
    <w:rsid w:val="004B7869"/>
    <w:rsid w:val="004B7AA5"/>
    <w:rsid w:val="004B7AB7"/>
    <w:rsid w:val="004C09B3"/>
    <w:rsid w:val="004C0A5F"/>
    <w:rsid w:val="004C1825"/>
    <w:rsid w:val="004C1D59"/>
    <w:rsid w:val="004C1E00"/>
    <w:rsid w:val="004C2A24"/>
    <w:rsid w:val="004C2DF0"/>
    <w:rsid w:val="004C3C88"/>
    <w:rsid w:val="004C4820"/>
    <w:rsid w:val="004C494A"/>
    <w:rsid w:val="004C53CA"/>
    <w:rsid w:val="004C5F71"/>
    <w:rsid w:val="004C6142"/>
    <w:rsid w:val="004C784B"/>
    <w:rsid w:val="004C7F84"/>
    <w:rsid w:val="004D0D39"/>
    <w:rsid w:val="004D0F91"/>
    <w:rsid w:val="004D12E6"/>
    <w:rsid w:val="004D19B6"/>
    <w:rsid w:val="004D1F76"/>
    <w:rsid w:val="004D22B5"/>
    <w:rsid w:val="004D293D"/>
    <w:rsid w:val="004D5CA7"/>
    <w:rsid w:val="004D6529"/>
    <w:rsid w:val="004D6636"/>
    <w:rsid w:val="004D6818"/>
    <w:rsid w:val="004E011A"/>
    <w:rsid w:val="004E03FF"/>
    <w:rsid w:val="004E0627"/>
    <w:rsid w:val="004E0684"/>
    <w:rsid w:val="004E18D0"/>
    <w:rsid w:val="004E1A92"/>
    <w:rsid w:val="004E1B54"/>
    <w:rsid w:val="004E1BB6"/>
    <w:rsid w:val="004E1BEC"/>
    <w:rsid w:val="004E2222"/>
    <w:rsid w:val="004E2252"/>
    <w:rsid w:val="004E2255"/>
    <w:rsid w:val="004E23E7"/>
    <w:rsid w:val="004E298C"/>
    <w:rsid w:val="004E2A11"/>
    <w:rsid w:val="004E37A0"/>
    <w:rsid w:val="004E3AF3"/>
    <w:rsid w:val="004E427E"/>
    <w:rsid w:val="004E43F9"/>
    <w:rsid w:val="004E4CA5"/>
    <w:rsid w:val="004E4E97"/>
    <w:rsid w:val="004E5895"/>
    <w:rsid w:val="004E5907"/>
    <w:rsid w:val="004E5CF6"/>
    <w:rsid w:val="004E6018"/>
    <w:rsid w:val="004E6F72"/>
    <w:rsid w:val="004E7547"/>
    <w:rsid w:val="004E79CC"/>
    <w:rsid w:val="004E7A82"/>
    <w:rsid w:val="004E7F77"/>
    <w:rsid w:val="004F04E3"/>
    <w:rsid w:val="004F09B4"/>
    <w:rsid w:val="004F170F"/>
    <w:rsid w:val="004F2565"/>
    <w:rsid w:val="004F2870"/>
    <w:rsid w:val="004F6BB7"/>
    <w:rsid w:val="005001A5"/>
    <w:rsid w:val="00500275"/>
    <w:rsid w:val="00500799"/>
    <w:rsid w:val="00500BBA"/>
    <w:rsid w:val="0050137A"/>
    <w:rsid w:val="00502288"/>
    <w:rsid w:val="00502AA8"/>
    <w:rsid w:val="00502F16"/>
    <w:rsid w:val="005040DD"/>
    <w:rsid w:val="00506B40"/>
    <w:rsid w:val="00506FFB"/>
    <w:rsid w:val="0050771E"/>
    <w:rsid w:val="00507726"/>
    <w:rsid w:val="00507758"/>
    <w:rsid w:val="00507CAC"/>
    <w:rsid w:val="00507D24"/>
    <w:rsid w:val="00510471"/>
    <w:rsid w:val="005105F8"/>
    <w:rsid w:val="005112D5"/>
    <w:rsid w:val="00511CEE"/>
    <w:rsid w:val="00511FDD"/>
    <w:rsid w:val="0051236C"/>
    <w:rsid w:val="005128CE"/>
    <w:rsid w:val="00512F53"/>
    <w:rsid w:val="005144D2"/>
    <w:rsid w:val="0051506E"/>
    <w:rsid w:val="00515B61"/>
    <w:rsid w:val="00515BE7"/>
    <w:rsid w:val="00515E74"/>
    <w:rsid w:val="00516792"/>
    <w:rsid w:val="00517318"/>
    <w:rsid w:val="00517B62"/>
    <w:rsid w:val="0052192A"/>
    <w:rsid w:val="00521D2E"/>
    <w:rsid w:val="0052214C"/>
    <w:rsid w:val="00522235"/>
    <w:rsid w:val="00522A9A"/>
    <w:rsid w:val="00522BAC"/>
    <w:rsid w:val="00524623"/>
    <w:rsid w:val="005249A4"/>
    <w:rsid w:val="00524CBB"/>
    <w:rsid w:val="00524FB8"/>
    <w:rsid w:val="00525150"/>
    <w:rsid w:val="00525E00"/>
    <w:rsid w:val="0052610C"/>
    <w:rsid w:val="005269A2"/>
    <w:rsid w:val="00526F18"/>
    <w:rsid w:val="00526F72"/>
    <w:rsid w:val="005275BF"/>
    <w:rsid w:val="00530806"/>
    <w:rsid w:val="0053082F"/>
    <w:rsid w:val="00530ABC"/>
    <w:rsid w:val="00531834"/>
    <w:rsid w:val="00531C1B"/>
    <w:rsid w:val="00531CB2"/>
    <w:rsid w:val="00531E52"/>
    <w:rsid w:val="0053227D"/>
    <w:rsid w:val="0053244C"/>
    <w:rsid w:val="0053274E"/>
    <w:rsid w:val="00534BFE"/>
    <w:rsid w:val="0053562C"/>
    <w:rsid w:val="0053719E"/>
    <w:rsid w:val="00537D28"/>
    <w:rsid w:val="005403C1"/>
    <w:rsid w:val="005404D9"/>
    <w:rsid w:val="0054074D"/>
    <w:rsid w:val="00540959"/>
    <w:rsid w:val="00540DA9"/>
    <w:rsid w:val="00542844"/>
    <w:rsid w:val="00543646"/>
    <w:rsid w:val="00543648"/>
    <w:rsid w:val="00543A65"/>
    <w:rsid w:val="00543B72"/>
    <w:rsid w:val="00544106"/>
    <w:rsid w:val="005442AA"/>
    <w:rsid w:val="00544A67"/>
    <w:rsid w:val="005450C9"/>
    <w:rsid w:val="005454DD"/>
    <w:rsid w:val="00545812"/>
    <w:rsid w:val="00545B7F"/>
    <w:rsid w:val="0054774F"/>
    <w:rsid w:val="00547817"/>
    <w:rsid w:val="00547C59"/>
    <w:rsid w:val="00547DBC"/>
    <w:rsid w:val="005504DC"/>
    <w:rsid w:val="00550775"/>
    <w:rsid w:val="00550F06"/>
    <w:rsid w:val="00551323"/>
    <w:rsid w:val="00551568"/>
    <w:rsid w:val="0055216F"/>
    <w:rsid w:val="00552B0D"/>
    <w:rsid w:val="00553414"/>
    <w:rsid w:val="00553AC8"/>
    <w:rsid w:val="00553C31"/>
    <w:rsid w:val="005543BC"/>
    <w:rsid w:val="00554A64"/>
    <w:rsid w:val="00554E57"/>
    <w:rsid w:val="0055673D"/>
    <w:rsid w:val="00556A8E"/>
    <w:rsid w:val="00556BE8"/>
    <w:rsid w:val="00557E28"/>
    <w:rsid w:val="0056008A"/>
    <w:rsid w:val="00560829"/>
    <w:rsid w:val="00560FC7"/>
    <w:rsid w:val="00561B7F"/>
    <w:rsid w:val="00561F86"/>
    <w:rsid w:val="0056286D"/>
    <w:rsid w:val="00562F51"/>
    <w:rsid w:val="00562FDE"/>
    <w:rsid w:val="005636DF"/>
    <w:rsid w:val="0056437F"/>
    <w:rsid w:val="0056496C"/>
    <w:rsid w:val="00565151"/>
    <w:rsid w:val="00565E02"/>
    <w:rsid w:val="00566D0C"/>
    <w:rsid w:val="00566FAA"/>
    <w:rsid w:val="005671AD"/>
    <w:rsid w:val="005679A1"/>
    <w:rsid w:val="00567E5F"/>
    <w:rsid w:val="00567F7A"/>
    <w:rsid w:val="005708D3"/>
    <w:rsid w:val="00571069"/>
    <w:rsid w:val="005713F9"/>
    <w:rsid w:val="005725D0"/>
    <w:rsid w:val="00573522"/>
    <w:rsid w:val="00574295"/>
    <w:rsid w:val="00574524"/>
    <w:rsid w:val="005756C8"/>
    <w:rsid w:val="00575B96"/>
    <w:rsid w:val="00575DBE"/>
    <w:rsid w:val="005773F5"/>
    <w:rsid w:val="00580239"/>
    <w:rsid w:val="00580860"/>
    <w:rsid w:val="00580B4D"/>
    <w:rsid w:val="00580EDE"/>
    <w:rsid w:val="00581706"/>
    <w:rsid w:val="00581CB7"/>
    <w:rsid w:val="0058236A"/>
    <w:rsid w:val="0058258F"/>
    <w:rsid w:val="00582BDD"/>
    <w:rsid w:val="00584593"/>
    <w:rsid w:val="00584D70"/>
    <w:rsid w:val="00584FA8"/>
    <w:rsid w:val="00585479"/>
    <w:rsid w:val="00585638"/>
    <w:rsid w:val="005856BD"/>
    <w:rsid w:val="0058574F"/>
    <w:rsid w:val="00585A44"/>
    <w:rsid w:val="00585B16"/>
    <w:rsid w:val="00585EDC"/>
    <w:rsid w:val="00587C22"/>
    <w:rsid w:val="00587ECD"/>
    <w:rsid w:val="0059054B"/>
    <w:rsid w:val="00590A29"/>
    <w:rsid w:val="00591513"/>
    <w:rsid w:val="00591534"/>
    <w:rsid w:val="0059164D"/>
    <w:rsid w:val="00591C2F"/>
    <w:rsid w:val="00592C13"/>
    <w:rsid w:val="00592D78"/>
    <w:rsid w:val="0059307C"/>
    <w:rsid w:val="005933E5"/>
    <w:rsid w:val="00593419"/>
    <w:rsid w:val="00594391"/>
    <w:rsid w:val="00594557"/>
    <w:rsid w:val="00594B6C"/>
    <w:rsid w:val="00595EB5"/>
    <w:rsid w:val="00596127"/>
    <w:rsid w:val="00596BE6"/>
    <w:rsid w:val="0059723D"/>
    <w:rsid w:val="00597A71"/>
    <w:rsid w:val="00597CC0"/>
    <w:rsid w:val="005A0642"/>
    <w:rsid w:val="005A0890"/>
    <w:rsid w:val="005A09DE"/>
    <w:rsid w:val="005A1337"/>
    <w:rsid w:val="005A16A1"/>
    <w:rsid w:val="005A1D86"/>
    <w:rsid w:val="005A2BD1"/>
    <w:rsid w:val="005A3688"/>
    <w:rsid w:val="005A3B09"/>
    <w:rsid w:val="005A3FA6"/>
    <w:rsid w:val="005A5D45"/>
    <w:rsid w:val="005A5E04"/>
    <w:rsid w:val="005A5F69"/>
    <w:rsid w:val="005A6790"/>
    <w:rsid w:val="005B0E1D"/>
    <w:rsid w:val="005B168A"/>
    <w:rsid w:val="005B16BF"/>
    <w:rsid w:val="005B2188"/>
    <w:rsid w:val="005B22D9"/>
    <w:rsid w:val="005B25AB"/>
    <w:rsid w:val="005B26B3"/>
    <w:rsid w:val="005B27F9"/>
    <w:rsid w:val="005B29A5"/>
    <w:rsid w:val="005B32C6"/>
    <w:rsid w:val="005B3984"/>
    <w:rsid w:val="005B4051"/>
    <w:rsid w:val="005B424D"/>
    <w:rsid w:val="005B478E"/>
    <w:rsid w:val="005B4A2D"/>
    <w:rsid w:val="005B4B9F"/>
    <w:rsid w:val="005B4C8F"/>
    <w:rsid w:val="005B4F02"/>
    <w:rsid w:val="005B5001"/>
    <w:rsid w:val="005B5555"/>
    <w:rsid w:val="005B5A0D"/>
    <w:rsid w:val="005B5B89"/>
    <w:rsid w:val="005B614D"/>
    <w:rsid w:val="005B626D"/>
    <w:rsid w:val="005B6321"/>
    <w:rsid w:val="005B647A"/>
    <w:rsid w:val="005B682F"/>
    <w:rsid w:val="005B6832"/>
    <w:rsid w:val="005B6E5E"/>
    <w:rsid w:val="005B74F3"/>
    <w:rsid w:val="005C05FF"/>
    <w:rsid w:val="005C085F"/>
    <w:rsid w:val="005C18F2"/>
    <w:rsid w:val="005C1F9E"/>
    <w:rsid w:val="005C2CAF"/>
    <w:rsid w:val="005C44C9"/>
    <w:rsid w:val="005C467F"/>
    <w:rsid w:val="005C4785"/>
    <w:rsid w:val="005C4860"/>
    <w:rsid w:val="005C4D64"/>
    <w:rsid w:val="005C539E"/>
    <w:rsid w:val="005C546A"/>
    <w:rsid w:val="005C548D"/>
    <w:rsid w:val="005C5883"/>
    <w:rsid w:val="005C5E13"/>
    <w:rsid w:val="005C6CE2"/>
    <w:rsid w:val="005C72FD"/>
    <w:rsid w:val="005C79E8"/>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26FE"/>
    <w:rsid w:val="005E2E0A"/>
    <w:rsid w:val="005E358F"/>
    <w:rsid w:val="005E36E4"/>
    <w:rsid w:val="005E4265"/>
    <w:rsid w:val="005E4B47"/>
    <w:rsid w:val="005E5554"/>
    <w:rsid w:val="005E561E"/>
    <w:rsid w:val="005E5FA5"/>
    <w:rsid w:val="005E63C2"/>
    <w:rsid w:val="005E6813"/>
    <w:rsid w:val="005E7689"/>
    <w:rsid w:val="005F00BD"/>
    <w:rsid w:val="005F0F66"/>
    <w:rsid w:val="005F106A"/>
    <w:rsid w:val="005F1B15"/>
    <w:rsid w:val="005F2C84"/>
    <w:rsid w:val="005F31D0"/>
    <w:rsid w:val="005F3924"/>
    <w:rsid w:val="005F4213"/>
    <w:rsid w:val="005F478D"/>
    <w:rsid w:val="005F5648"/>
    <w:rsid w:val="005F56AB"/>
    <w:rsid w:val="005F5CA1"/>
    <w:rsid w:val="005F697F"/>
    <w:rsid w:val="005F6E89"/>
    <w:rsid w:val="0060014D"/>
    <w:rsid w:val="00600F50"/>
    <w:rsid w:val="00601FE5"/>
    <w:rsid w:val="006021B8"/>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47D4"/>
    <w:rsid w:val="00614C8F"/>
    <w:rsid w:val="00614F31"/>
    <w:rsid w:val="0061555F"/>
    <w:rsid w:val="00615CD6"/>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6E"/>
    <w:rsid w:val="00623BF9"/>
    <w:rsid w:val="0062469E"/>
    <w:rsid w:val="006246E2"/>
    <w:rsid w:val="006264AE"/>
    <w:rsid w:val="00626559"/>
    <w:rsid w:val="0062717E"/>
    <w:rsid w:val="00630A9B"/>
    <w:rsid w:val="00630ADA"/>
    <w:rsid w:val="00631454"/>
    <w:rsid w:val="006322F8"/>
    <w:rsid w:val="006340C3"/>
    <w:rsid w:val="00634147"/>
    <w:rsid w:val="00634222"/>
    <w:rsid w:val="0063478E"/>
    <w:rsid w:val="00634E56"/>
    <w:rsid w:val="00635495"/>
    <w:rsid w:val="00635758"/>
    <w:rsid w:val="0063582D"/>
    <w:rsid w:val="00636281"/>
    <w:rsid w:val="00636303"/>
    <w:rsid w:val="00637482"/>
    <w:rsid w:val="006375E5"/>
    <w:rsid w:val="00637FDF"/>
    <w:rsid w:val="0064007B"/>
    <w:rsid w:val="0064095E"/>
    <w:rsid w:val="00640AA1"/>
    <w:rsid w:val="00641188"/>
    <w:rsid w:val="006411DC"/>
    <w:rsid w:val="0064225C"/>
    <w:rsid w:val="006422FC"/>
    <w:rsid w:val="006439E1"/>
    <w:rsid w:val="00643B2E"/>
    <w:rsid w:val="00643F0D"/>
    <w:rsid w:val="006443ED"/>
    <w:rsid w:val="00644C89"/>
    <w:rsid w:val="0064536C"/>
    <w:rsid w:val="00645FDF"/>
    <w:rsid w:val="00646288"/>
    <w:rsid w:val="006465C0"/>
    <w:rsid w:val="00647139"/>
    <w:rsid w:val="00647A7A"/>
    <w:rsid w:val="00650562"/>
    <w:rsid w:val="006511CB"/>
    <w:rsid w:val="006513A4"/>
    <w:rsid w:val="00651763"/>
    <w:rsid w:val="00651969"/>
    <w:rsid w:val="00651A42"/>
    <w:rsid w:val="00651B38"/>
    <w:rsid w:val="00652441"/>
    <w:rsid w:val="00652EAF"/>
    <w:rsid w:val="00653100"/>
    <w:rsid w:val="00653B7D"/>
    <w:rsid w:val="0065407A"/>
    <w:rsid w:val="00654FAA"/>
    <w:rsid w:val="00654FDF"/>
    <w:rsid w:val="00655AFE"/>
    <w:rsid w:val="00656A24"/>
    <w:rsid w:val="00656F01"/>
    <w:rsid w:val="00657420"/>
    <w:rsid w:val="00657601"/>
    <w:rsid w:val="006605B1"/>
    <w:rsid w:val="0066096B"/>
    <w:rsid w:val="006617E4"/>
    <w:rsid w:val="00661B45"/>
    <w:rsid w:val="00664CCC"/>
    <w:rsid w:val="00665807"/>
    <w:rsid w:val="00665B4B"/>
    <w:rsid w:val="00666560"/>
    <w:rsid w:val="0066692C"/>
    <w:rsid w:val="00666FA4"/>
    <w:rsid w:val="006671DD"/>
    <w:rsid w:val="0066764F"/>
    <w:rsid w:val="00667B42"/>
    <w:rsid w:val="00670163"/>
    <w:rsid w:val="006707ED"/>
    <w:rsid w:val="00670892"/>
    <w:rsid w:val="00670BE5"/>
    <w:rsid w:val="006734F9"/>
    <w:rsid w:val="0067382A"/>
    <w:rsid w:val="00673CD9"/>
    <w:rsid w:val="00673E92"/>
    <w:rsid w:val="006743C7"/>
    <w:rsid w:val="0067479A"/>
    <w:rsid w:val="00675284"/>
    <w:rsid w:val="00675DC9"/>
    <w:rsid w:val="00675DDB"/>
    <w:rsid w:val="00675F7D"/>
    <w:rsid w:val="00676024"/>
    <w:rsid w:val="006764C9"/>
    <w:rsid w:val="00676C3B"/>
    <w:rsid w:val="006776FA"/>
    <w:rsid w:val="006805ED"/>
    <w:rsid w:val="006817A3"/>
    <w:rsid w:val="00681C7A"/>
    <w:rsid w:val="00682127"/>
    <w:rsid w:val="00683028"/>
    <w:rsid w:val="00684993"/>
    <w:rsid w:val="00685347"/>
    <w:rsid w:val="00685D3D"/>
    <w:rsid w:val="006862BB"/>
    <w:rsid w:val="006866BF"/>
    <w:rsid w:val="00686A09"/>
    <w:rsid w:val="00686D38"/>
    <w:rsid w:val="00687B97"/>
    <w:rsid w:val="00687FD5"/>
    <w:rsid w:val="0069083A"/>
    <w:rsid w:val="00690B2A"/>
    <w:rsid w:val="006911DA"/>
    <w:rsid w:val="006912B0"/>
    <w:rsid w:val="0069180A"/>
    <w:rsid w:val="006920D2"/>
    <w:rsid w:val="00692500"/>
    <w:rsid w:val="00693438"/>
    <w:rsid w:val="006942FD"/>
    <w:rsid w:val="00694B46"/>
    <w:rsid w:val="006955A3"/>
    <w:rsid w:val="0069650D"/>
    <w:rsid w:val="006970CD"/>
    <w:rsid w:val="00697737"/>
    <w:rsid w:val="0069787A"/>
    <w:rsid w:val="006979BE"/>
    <w:rsid w:val="006A0BE0"/>
    <w:rsid w:val="006A0E57"/>
    <w:rsid w:val="006A11DE"/>
    <w:rsid w:val="006A14CC"/>
    <w:rsid w:val="006A14FB"/>
    <w:rsid w:val="006A14FC"/>
    <w:rsid w:val="006A29AA"/>
    <w:rsid w:val="006A36E5"/>
    <w:rsid w:val="006A6AB7"/>
    <w:rsid w:val="006A712A"/>
    <w:rsid w:val="006A7583"/>
    <w:rsid w:val="006B0477"/>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C046E"/>
    <w:rsid w:val="006C123F"/>
    <w:rsid w:val="006C1255"/>
    <w:rsid w:val="006C12A6"/>
    <w:rsid w:val="006C1371"/>
    <w:rsid w:val="006C1CD9"/>
    <w:rsid w:val="006C366A"/>
    <w:rsid w:val="006C4900"/>
    <w:rsid w:val="006C5184"/>
    <w:rsid w:val="006C5D57"/>
    <w:rsid w:val="006C5EC8"/>
    <w:rsid w:val="006C612F"/>
    <w:rsid w:val="006C64BE"/>
    <w:rsid w:val="006C731B"/>
    <w:rsid w:val="006C7845"/>
    <w:rsid w:val="006D0B20"/>
    <w:rsid w:val="006D0BD3"/>
    <w:rsid w:val="006D19B1"/>
    <w:rsid w:val="006D1CD8"/>
    <w:rsid w:val="006D23A3"/>
    <w:rsid w:val="006D24D1"/>
    <w:rsid w:val="006D2762"/>
    <w:rsid w:val="006D2B13"/>
    <w:rsid w:val="006D309E"/>
    <w:rsid w:val="006D3316"/>
    <w:rsid w:val="006D34D7"/>
    <w:rsid w:val="006D3A9F"/>
    <w:rsid w:val="006D3FBF"/>
    <w:rsid w:val="006D464B"/>
    <w:rsid w:val="006D48F5"/>
    <w:rsid w:val="006D4D8E"/>
    <w:rsid w:val="006D511B"/>
    <w:rsid w:val="006D5281"/>
    <w:rsid w:val="006D6209"/>
    <w:rsid w:val="006D67D4"/>
    <w:rsid w:val="006D684A"/>
    <w:rsid w:val="006D7EDE"/>
    <w:rsid w:val="006E0ADE"/>
    <w:rsid w:val="006E0D55"/>
    <w:rsid w:val="006E1BAD"/>
    <w:rsid w:val="006E22A3"/>
    <w:rsid w:val="006E27F2"/>
    <w:rsid w:val="006E2CE8"/>
    <w:rsid w:val="006E322B"/>
    <w:rsid w:val="006E4004"/>
    <w:rsid w:val="006E45EC"/>
    <w:rsid w:val="006E46A7"/>
    <w:rsid w:val="006E4D9B"/>
    <w:rsid w:val="006E500A"/>
    <w:rsid w:val="006E6256"/>
    <w:rsid w:val="006E6E2C"/>
    <w:rsid w:val="006E7EFD"/>
    <w:rsid w:val="006F0005"/>
    <w:rsid w:val="006F11D3"/>
    <w:rsid w:val="006F3416"/>
    <w:rsid w:val="006F342C"/>
    <w:rsid w:val="006F3506"/>
    <w:rsid w:val="006F4CC5"/>
    <w:rsid w:val="006F5F0B"/>
    <w:rsid w:val="006F6F60"/>
    <w:rsid w:val="006F7065"/>
    <w:rsid w:val="006F792E"/>
    <w:rsid w:val="006F7A4B"/>
    <w:rsid w:val="006F7FAE"/>
    <w:rsid w:val="007004D5"/>
    <w:rsid w:val="007005D6"/>
    <w:rsid w:val="0070070A"/>
    <w:rsid w:val="00700C91"/>
    <w:rsid w:val="00701019"/>
    <w:rsid w:val="007017A6"/>
    <w:rsid w:val="0070196E"/>
    <w:rsid w:val="007019BD"/>
    <w:rsid w:val="0070361B"/>
    <w:rsid w:val="00703D38"/>
    <w:rsid w:val="007041C1"/>
    <w:rsid w:val="0070439B"/>
    <w:rsid w:val="00704DED"/>
    <w:rsid w:val="007051AB"/>
    <w:rsid w:val="007059C5"/>
    <w:rsid w:val="00705DEB"/>
    <w:rsid w:val="007064BC"/>
    <w:rsid w:val="0070670E"/>
    <w:rsid w:val="00707222"/>
    <w:rsid w:val="007073A5"/>
    <w:rsid w:val="007103EB"/>
    <w:rsid w:val="00710510"/>
    <w:rsid w:val="00711F89"/>
    <w:rsid w:val="007122E0"/>
    <w:rsid w:val="00712FBE"/>
    <w:rsid w:val="007143E7"/>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7882"/>
    <w:rsid w:val="00727D4A"/>
    <w:rsid w:val="007303EE"/>
    <w:rsid w:val="00731455"/>
    <w:rsid w:val="0073189D"/>
    <w:rsid w:val="007324A8"/>
    <w:rsid w:val="00733777"/>
    <w:rsid w:val="0073398D"/>
    <w:rsid w:val="00733C5F"/>
    <w:rsid w:val="00734190"/>
    <w:rsid w:val="007356BE"/>
    <w:rsid w:val="007358B0"/>
    <w:rsid w:val="00735ED4"/>
    <w:rsid w:val="007362B3"/>
    <w:rsid w:val="00736364"/>
    <w:rsid w:val="00736723"/>
    <w:rsid w:val="00737153"/>
    <w:rsid w:val="00737919"/>
    <w:rsid w:val="00737DB3"/>
    <w:rsid w:val="00737F6F"/>
    <w:rsid w:val="007402F5"/>
    <w:rsid w:val="0074045E"/>
    <w:rsid w:val="007411AC"/>
    <w:rsid w:val="007411B2"/>
    <w:rsid w:val="0074122D"/>
    <w:rsid w:val="00741A77"/>
    <w:rsid w:val="00741BFD"/>
    <w:rsid w:val="0074217A"/>
    <w:rsid w:val="007421BE"/>
    <w:rsid w:val="00742C42"/>
    <w:rsid w:val="00743262"/>
    <w:rsid w:val="00743429"/>
    <w:rsid w:val="00743686"/>
    <w:rsid w:val="00743953"/>
    <w:rsid w:val="007441A7"/>
    <w:rsid w:val="00744AC7"/>
    <w:rsid w:val="00745002"/>
    <w:rsid w:val="0074515A"/>
    <w:rsid w:val="00745F36"/>
    <w:rsid w:val="00746821"/>
    <w:rsid w:val="00746D74"/>
    <w:rsid w:val="0075115C"/>
    <w:rsid w:val="00751647"/>
    <w:rsid w:val="007516CB"/>
    <w:rsid w:val="007523E9"/>
    <w:rsid w:val="007524D1"/>
    <w:rsid w:val="0075283A"/>
    <w:rsid w:val="00752BE0"/>
    <w:rsid w:val="00753C9B"/>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4666"/>
    <w:rsid w:val="007653A5"/>
    <w:rsid w:val="00765E75"/>
    <w:rsid w:val="00766094"/>
    <w:rsid w:val="007662E3"/>
    <w:rsid w:val="007669E2"/>
    <w:rsid w:val="00767213"/>
    <w:rsid w:val="00767A55"/>
    <w:rsid w:val="00767C82"/>
    <w:rsid w:val="00767C92"/>
    <w:rsid w:val="00770026"/>
    <w:rsid w:val="00770CEB"/>
    <w:rsid w:val="00770D00"/>
    <w:rsid w:val="007716F1"/>
    <w:rsid w:val="0077182B"/>
    <w:rsid w:val="0077222A"/>
    <w:rsid w:val="00772493"/>
    <w:rsid w:val="007724B2"/>
    <w:rsid w:val="0077361A"/>
    <w:rsid w:val="0077375F"/>
    <w:rsid w:val="00774287"/>
    <w:rsid w:val="0077489F"/>
    <w:rsid w:val="00775164"/>
    <w:rsid w:val="00775CC9"/>
    <w:rsid w:val="00775DB7"/>
    <w:rsid w:val="007761A4"/>
    <w:rsid w:val="00776502"/>
    <w:rsid w:val="00776A4E"/>
    <w:rsid w:val="00776B53"/>
    <w:rsid w:val="007779AD"/>
    <w:rsid w:val="00780741"/>
    <w:rsid w:val="00780E44"/>
    <w:rsid w:val="00781490"/>
    <w:rsid w:val="00781562"/>
    <w:rsid w:val="00781EC8"/>
    <w:rsid w:val="007821C6"/>
    <w:rsid w:val="0078329B"/>
    <w:rsid w:val="007837F7"/>
    <w:rsid w:val="0078386D"/>
    <w:rsid w:val="007857AD"/>
    <w:rsid w:val="00786523"/>
    <w:rsid w:val="007866E5"/>
    <w:rsid w:val="00786B61"/>
    <w:rsid w:val="00787176"/>
    <w:rsid w:val="007877D9"/>
    <w:rsid w:val="00787B5F"/>
    <w:rsid w:val="0079078E"/>
    <w:rsid w:val="00790C52"/>
    <w:rsid w:val="00791109"/>
    <w:rsid w:val="007912D6"/>
    <w:rsid w:val="0079194A"/>
    <w:rsid w:val="007929EC"/>
    <w:rsid w:val="00792C5B"/>
    <w:rsid w:val="00793855"/>
    <w:rsid w:val="007945CC"/>
    <w:rsid w:val="00795185"/>
    <w:rsid w:val="00795AD5"/>
    <w:rsid w:val="00796405"/>
    <w:rsid w:val="007967E0"/>
    <w:rsid w:val="00797A08"/>
    <w:rsid w:val="007A0BEF"/>
    <w:rsid w:val="007A0FAE"/>
    <w:rsid w:val="007A161C"/>
    <w:rsid w:val="007A1B47"/>
    <w:rsid w:val="007A2896"/>
    <w:rsid w:val="007A28BE"/>
    <w:rsid w:val="007A2EE3"/>
    <w:rsid w:val="007A50D4"/>
    <w:rsid w:val="007A5395"/>
    <w:rsid w:val="007A5744"/>
    <w:rsid w:val="007A6244"/>
    <w:rsid w:val="007A6741"/>
    <w:rsid w:val="007A7355"/>
    <w:rsid w:val="007A7CB4"/>
    <w:rsid w:val="007A7E72"/>
    <w:rsid w:val="007B0319"/>
    <w:rsid w:val="007B091A"/>
    <w:rsid w:val="007B183C"/>
    <w:rsid w:val="007B1F14"/>
    <w:rsid w:val="007B21A4"/>
    <w:rsid w:val="007B21EB"/>
    <w:rsid w:val="007B259D"/>
    <w:rsid w:val="007B2EDA"/>
    <w:rsid w:val="007B44C1"/>
    <w:rsid w:val="007B470A"/>
    <w:rsid w:val="007B4C29"/>
    <w:rsid w:val="007B6403"/>
    <w:rsid w:val="007B68B4"/>
    <w:rsid w:val="007B6F86"/>
    <w:rsid w:val="007B75B6"/>
    <w:rsid w:val="007C043E"/>
    <w:rsid w:val="007C04A5"/>
    <w:rsid w:val="007C062B"/>
    <w:rsid w:val="007C1E38"/>
    <w:rsid w:val="007C2081"/>
    <w:rsid w:val="007C2DD3"/>
    <w:rsid w:val="007C39B4"/>
    <w:rsid w:val="007C3A9F"/>
    <w:rsid w:val="007C4F6C"/>
    <w:rsid w:val="007C577F"/>
    <w:rsid w:val="007C57E9"/>
    <w:rsid w:val="007C7981"/>
    <w:rsid w:val="007C79D1"/>
    <w:rsid w:val="007C7F50"/>
    <w:rsid w:val="007D0624"/>
    <w:rsid w:val="007D06F8"/>
    <w:rsid w:val="007D112F"/>
    <w:rsid w:val="007D2064"/>
    <w:rsid w:val="007D2B35"/>
    <w:rsid w:val="007D42D0"/>
    <w:rsid w:val="007D439A"/>
    <w:rsid w:val="007D4EB4"/>
    <w:rsid w:val="007D7829"/>
    <w:rsid w:val="007E010B"/>
    <w:rsid w:val="007E0FEA"/>
    <w:rsid w:val="007E1A48"/>
    <w:rsid w:val="007E31FD"/>
    <w:rsid w:val="007E34EB"/>
    <w:rsid w:val="007E3D8E"/>
    <w:rsid w:val="007E48BD"/>
    <w:rsid w:val="007E4CC5"/>
    <w:rsid w:val="007E6471"/>
    <w:rsid w:val="007E657B"/>
    <w:rsid w:val="007E79BD"/>
    <w:rsid w:val="007F0382"/>
    <w:rsid w:val="007F06F2"/>
    <w:rsid w:val="007F0B64"/>
    <w:rsid w:val="007F0BE1"/>
    <w:rsid w:val="007F0D38"/>
    <w:rsid w:val="007F20D2"/>
    <w:rsid w:val="007F276E"/>
    <w:rsid w:val="007F2F25"/>
    <w:rsid w:val="007F3B6F"/>
    <w:rsid w:val="007F3D1A"/>
    <w:rsid w:val="007F5708"/>
    <w:rsid w:val="007F6367"/>
    <w:rsid w:val="007F66B0"/>
    <w:rsid w:val="007F68CA"/>
    <w:rsid w:val="007F6B65"/>
    <w:rsid w:val="007F7850"/>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71E3"/>
    <w:rsid w:val="00807CCA"/>
    <w:rsid w:val="00810254"/>
    <w:rsid w:val="00811555"/>
    <w:rsid w:val="00811B49"/>
    <w:rsid w:val="00811BB4"/>
    <w:rsid w:val="00811C73"/>
    <w:rsid w:val="00814357"/>
    <w:rsid w:val="008144B6"/>
    <w:rsid w:val="00814D32"/>
    <w:rsid w:val="00816131"/>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632F"/>
    <w:rsid w:val="008268B7"/>
    <w:rsid w:val="00827757"/>
    <w:rsid w:val="0082786C"/>
    <w:rsid w:val="00830427"/>
    <w:rsid w:val="008304CB"/>
    <w:rsid w:val="00831E0D"/>
    <w:rsid w:val="008329EA"/>
    <w:rsid w:val="00833232"/>
    <w:rsid w:val="0083522C"/>
    <w:rsid w:val="008355B5"/>
    <w:rsid w:val="0083652A"/>
    <w:rsid w:val="008401D7"/>
    <w:rsid w:val="00840747"/>
    <w:rsid w:val="0084167C"/>
    <w:rsid w:val="00841D04"/>
    <w:rsid w:val="00842101"/>
    <w:rsid w:val="00843039"/>
    <w:rsid w:val="008460E5"/>
    <w:rsid w:val="008474E8"/>
    <w:rsid w:val="0085004A"/>
    <w:rsid w:val="00850055"/>
    <w:rsid w:val="008508E2"/>
    <w:rsid w:val="00850A3F"/>
    <w:rsid w:val="008522C5"/>
    <w:rsid w:val="008528DD"/>
    <w:rsid w:val="0085382D"/>
    <w:rsid w:val="008539AA"/>
    <w:rsid w:val="00854003"/>
    <w:rsid w:val="00854076"/>
    <w:rsid w:val="0085454A"/>
    <w:rsid w:val="008549CC"/>
    <w:rsid w:val="00854EEC"/>
    <w:rsid w:val="00855E37"/>
    <w:rsid w:val="00856442"/>
    <w:rsid w:val="008568FE"/>
    <w:rsid w:val="00857146"/>
    <w:rsid w:val="008573C3"/>
    <w:rsid w:val="00860464"/>
    <w:rsid w:val="0086058D"/>
    <w:rsid w:val="00860FA4"/>
    <w:rsid w:val="00861FBF"/>
    <w:rsid w:val="00863002"/>
    <w:rsid w:val="00863F75"/>
    <w:rsid w:val="00864485"/>
    <w:rsid w:val="00864AD7"/>
    <w:rsid w:val="00864E9F"/>
    <w:rsid w:val="00865514"/>
    <w:rsid w:val="00865AA8"/>
    <w:rsid w:val="008662AE"/>
    <w:rsid w:val="00866395"/>
    <w:rsid w:val="0086649E"/>
    <w:rsid w:val="0086753E"/>
    <w:rsid w:val="00867B6E"/>
    <w:rsid w:val="00867E65"/>
    <w:rsid w:val="008705B4"/>
    <w:rsid w:val="008709C3"/>
    <w:rsid w:val="00870A53"/>
    <w:rsid w:val="00871BF3"/>
    <w:rsid w:val="0087330A"/>
    <w:rsid w:val="00873645"/>
    <w:rsid w:val="00874350"/>
    <w:rsid w:val="0087443B"/>
    <w:rsid w:val="008749B7"/>
    <w:rsid w:val="00874AE9"/>
    <w:rsid w:val="00874C00"/>
    <w:rsid w:val="00874F7B"/>
    <w:rsid w:val="00875B90"/>
    <w:rsid w:val="0087614D"/>
    <w:rsid w:val="00876477"/>
    <w:rsid w:val="0087647C"/>
    <w:rsid w:val="0087674C"/>
    <w:rsid w:val="0087698C"/>
    <w:rsid w:val="00877132"/>
    <w:rsid w:val="008771CB"/>
    <w:rsid w:val="00877485"/>
    <w:rsid w:val="0088041A"/>
    <w:rsid w:val="008817AE"/>
    <w:rsid w:val="008824F1"/>
    <w:rsid w:val="008827D9"/>
    <w:rsid w:val="00882C12"/>
    <w:rsid w:val="00882E9A"/>
    <w:rsid w:val="00882FD5"/>
    <w:rsid w:val="00882FEA"/>
    <w:rsid w:val="0088460A"/>
    <w:rsid w:val="0088474B"/>
    <w:rsid w:val="00884999"/>
    <w:rsid w:val="008852A3"/>
    <w:rsid w:val="008868D4"/>
    <w:rsid w:val="00886E61"/>
    <w:rsid w:val="008879EA"/>
    <w:rsid w:val="00887ABD"/>
    <w:rsid w:val="00890256"/>
    <w:rsid w:val="00890EB7"/>
    <w:rsid w:val="00891064"/>
    <w:rsid w:val="00891E56"/>
    <w:rsid w:val="00891ECE"/>
    <w:rsid w:val="0089202C"/>
    <w:rsid w:val="008924F1"/>
    <w:rsid w:val="00893176"/>
    <w:rsid w:val="00896FB4"/>
    <w:rsid w:val="008A008B"/>
    <w:rsid w:val="008A0FC4"/>
    <w:rsid w:val="008A1E1B"/>
    <w:rsid w:val="008A24F4"/>
    <w:rsid w:val="008A255F"/>
    <w:rsid w:val="008A2EC0"/>
    <w:rsid w:val="008A351F"/>
    <w:rsid w:val="008A359B"/>
    <w:rsid w:val="008A410C"/>
    <w:rsid w:val="008A478A"/>
    <w:rsid w:val="008A5267"/>
    <w:rsid w:val="008A565C"/>
    <w:rsid w:val="008A6914"/>
    <w:rsid w:val="008A75A0"/>
    <w:rsid w:val="008B07DA"/>
    <w:rsid w:val="008B1376"/>
    <w:rsid w:val="008B1671"/>
    <w:rsid w:val="008B2121"/>
    <w:rsid w:val="008B2874"/>
    <w:rsid w:val="008B2DC8"/>
    <w:rsid w:val="008B30F3"/>
    <w:rsid w:val="008B350C"/>
    <w:rsid w:val="008B49CF"/>
    <w:rsid w:val="008B4C3A"/>
    <w:rsid w:val="008B4CB4"/>
    <w:rsid w:val="008B545C"/>
    <w:rsid w:val="008B618C"/>
    <w:rsid w:val="008B6408"/>
    <w:rsid w:val="008B710E"/>
    <w:rsid w:val="008B73B8"/>
    <w:rsid w:val="008B7D8F"/>
    <w:rsid w:val="008C05AB"/>
    <w:rsid w:val="008C0BA4"/>
    <w:rsid w:val="008C2227"/>
    <w:rsid w:val="008C23FB"/>
    <w:rsid w:val="008C3B69"/>
    <w:rsid w:val="008C3BEA"/>
    <w:rsid w:val="008C3EB7"/>
    <w:rsid w:val="008C4444"/>
    <w:rsid w:val="008C446C"/>
    <w:rsid w:val="008C4938"/>
    <w:rsid w:val="008C690A"/>
    <w:rsid w:val="008C6A0A"/>
    <w:rsid w:val="008C7868"/>
    <w:rsid w:val="008C79EE"/>
    <w:rsid w:val="008C7A72"/>
    <w:rsid w:val="008C7AA8"/>
    <w:rsid w:val="008C7F85"/>
    <w:rsid w:val="008D0418"/>
    <w:rsid w:val="008D0595"/>
    <w:rsid w:val="008D0777"/>
    <w:rsid w:val="008D07C4"/>
    <w:rsid w:val="008D0C25"/>
    <w:rsid w:val="008D29FD"/>
    <w:rsid w:val="008D2D2C"/>
    <w:rsid w:val="008D2EE9"/>
    <w:rsid w:val="008D3A75"/>
    <w:rsid w:val="008D3B53"/>
    <w:rsid w:val="008D557B"/>
    <w:rsid w:val="008D66F2"/>
    <w:rsid w:val="008D6C57"/>
    <w:rsid w:val="008D71E4"/>
    <w:rsid w:val="008E0193"/>
    <w:rsid w:val="008E1485"/>
    <w:rsid w:val="008E2681"/>
    <w:rsid w:val="008E322A"/>
    <w:rsid w:val="008E323C"/>
    <w:rsid w:val="008E3C9A"/>
    <w:rsid w:val="008E40A1"/>
    <w:rsid w:val="008E46E4"/>
    <w:rsid w:val="008E4EDF"/>
    <w:rsid w:val="008E6222"/>
    <w:rsid w:val="008E6CEF"/>
    <w:rsid w:val="008F004D"/>
    <w:rsid w:val="008F13E8"/>
    <w:rsid w:val="008F143F"/>
    <w:rsid w:val="008F15FE"/>
    <w:rsid w:val="008F1780"/>
    <w:rsid w:val="008F1DE1"/>
    <w:rsid w:val="008F22C5"/>
    <w:rsid w:val="008F2311"/>
    <w:rsid w:val="008F2924"/>
    <w:rsid w:val="008F2B48"/>
    <w:rsid w:val="008F314C"/>
    <w:rsid w:val="008F336F"/>
    <w:rsid w:val="008F33EF"/>
    <w:rsid w:val="008F3B8E"/>
    <w:rsid w:val="008F4391"/>
    <w:rsid w:val="008F5202"/>
    <w:rsid w:val="008F575B"/>
    <w:rsid w:val="008F57AF"/>
    <w:rsid w:val="008F5800"/>
    <w:rsid w:val="008F5884"/>
    <w:rsid w:val="008F5A82"/>
    <w:rsid w:val="008F72CD"/>
    <w:rsid w:val="008F77C4"/>
    <w:rsid w:val="009010B1"/>
    <w:rsid w:val="009011AD"/>
    <w:rsid w:val="00901655"/>
    <w:rsid w:val="00901991"/>
    <w:rsid w:val="009022F4"/>
    <w:rsid w:val="00902868"/>
    <w:rsid w:val="00902D67"/>
    <w:rsid w:val="00903E07"/>
    <w:rsid w:val="0090410F"/>
    <w:rsid w:val="00904813"/>
    <w:rsid w:val="00904DD6"/>
    <w:rsid w:val="00905339"/>
    <w:rsid w:val="00905E86"/>
    <w:rsid w:val="00906366"/>
    <w:rsid w:val="00906B30"/>
    <w:rsid w:val="00906E41"/>
    <w:rsid w:val="00907631"/>
    <w:rsid w:val="009107F9"/>
    <w:rsid w:val="00910D87"/>
    <w:rsid w:val="009112CB"/>
    <w:rsid w:val="00911B9E"/>
    <w:rsid w:val="00911C0C"/>
    <w:rsid w:val="00911E0D"/>
    <w:rsid w:val="0091201E"/>
    <w:rsid w:val="00913154"/>
    <w:rsid w:val="0091386A"/>
    <w:rsid w:val="009141E7"/>
    <w:rsid w:val="0091434E"/>
    <w:rsid w:val="00914B3F"/>
    <w:rsid w:val="00916354"/>
    <w:rsid w:val="00916783"/>
    <w:rsid w:val="00916ED0"/>
    <w:rsid w:val="009179F9"/>
    <w:rsid w:val="009206C6"/>
    <w:rsid w:val="00920C99"/>
    <w:rsid w:val="00920D4C"/>
    <w:rsid w:val="00921145"/>
    <w:rsid w:val="009212E2"/>
    <w:rsid w:val="009217FD"/>
    <w:rsid w:val="009221ED"/>
    <w:rsid w:val="00922D60"/>
    <w:rsid w:val="0092314A"/>
    <w:rsid w:val="00923745"/>
    <w:rsid w:val="00923B30"/>
    <w:rsid w:val="00925698"/>
    <w:rsid w:val="009256B7"/>
    <w:rsid w:val="00926F1D"/>
    <w:rsid w:val="0093017B"/>
    <w:rsid w:val="00930BA8"/>
    <w:rsid w:val="0093104E"/>
    <w:rsid w:val="009313F4"/>
    <w:rsid w:val="009319F0"/>
    <w:rsid w:val="00931B58"/>
    <w:rsid w:val="00931D62"/>
    <w:rsid w:val="00932354"/>
    <w:rsid w:val="00932DE5"/>
    <w:rsid w:val="0093332C"/>
    <w:rsid w:val="009334BC"/>
    <w:rsid w:val="009339F9"/>
    <w:rsid w:val="009340E4"/>
    <w:rsid w:val="009348C6"/>
    <w:rsid w:val="00934939"/>
    <w:rsid w:val="00935F35"/>
    <w:rsid w:val="00936C30"/>
    <w:rsid w:val="00936DCF"/>
    <w:rsid w:val="00937CD2"/>
    <w:rsid w:val="009404A2"/>
    <w:rsid w:val="00940F51"/>
    <w:rsid w:val="00941AF7"/>
    <w:rsid w:val="00941B98"/>
    <w:rsid w:val="009421D5"/>
    <w:rsid w:val="00943563"/>
    <w:rsid w:val="00943AD6"/>
    <w:rsid w:val="00943DB1"/>
    <w:rsid w:val="0094503C"/>
    <w:rsid w:val="00945089"/>
    <w:rsid w:val="009450DC"/>
    <w:rsid w:val="0094591D"/>
    <w:rsid w:val="00945E2E"/>
    <w:rsid w:val="00945FC0"/>
    <w:rsid w:val="00946119"/>
    <w:rsid w:val="00946198"/>
    <w:rsid w:val="00946C22"/>
    <w:rsid w:val="009503C0"/>
    <w:rsid w:val="009504E8"/>
    <w:rsid w:val="0095079E"/>
    <w:rsid w:val="00950A82"/>
    <w:rsid w:val="00950AD1"/>
    <w:rsid w:val="00950BB1"/>
    <w:rsid w:val="00952DE2"/>
    <w:rsid w:val="00953CCD"/>
    <w:rsid w:val="0095436E"/>
    <w:rsid w:val="00954786"/>
    <w:rsid w:val="00954CDD"/>
    <w:rsid w:val="00955053"/>
    <w:rsid w:val="00955AB0"/>
    <w:rsid w:val="009560DF"/>
    <w:rsid w:val="009569BC"/>
    <w:rsid w:val="009601DA"/>
    <w:rsid w:val="00961EE2"/>
    <w:rsid w:val="00961EEE"/>
    <w:rsid w:val="009623FE"/>
    <w:rsid w:val="009626E5"/>
    <w:rsid w:val="00962996"/>
    <w:rsid w:val="00962A45"/>
    <w:rsid w:val="0096323C"/>
    <w:rsid w:val="009639DF"/>
    <w:rsid w:val="0096520E"/>
    <w:rsid w:val="009653E6"/>
    <w:rsid w:val="009659E5"/>
    <w:rsid w:val="00966340"/>
    <w:rsid w:val="00967138"/>
    <w:rsid w:val="00967A77"/>
    <w:rsid w:val="00967E33"/>
    <w:rsid w:val="009707B5"/>
    <w:rsid w:val="00971850"/>
    <w:rsid w:val="00971C34"/>
    <w:rsid w:val="00971D1E"/>
    <w:rsid w:val="00973BE2"/>
    <w:rsid w:val="00974003"/>
    <w:rsid w:val="0097499A"/>
    <w:rsid w:val="009750EA"/>
    <w:rsid w:val="00975D5C"/>
    <w:rsid w:val="009764E1"/>
    <w:rsid w:val="009809C0"/>
    <w:rsid w:val="00980C9B"/>
    <w:rsid w:val="009811A6"/>
    <w:rsid w:val="00981A40"/>
    <w:rsid w:val="00982ABF"/>
    <w:rsid w:val="00982C9E"/>
    <w:rsid w:val="00983336"/>
    <w:rsid w:val="00983DD8"/>
    <w:rsid w:val="009840B9"/>
    <w:rsid w:val="00984327"/>
    <w:rsid w:val="00984BAE"/>
    <w:rsid w:val="00984BF6"/>
    <w:rsid w:val="009854F7"/>
    <w:rsid w:val="0098556B"/>
    <w:rsid w:val="00985583"/>
    <w:rsid w:val="00985C66"/>
    <w:rsid w:val="0098651B"/>
    <w:rsid w:val="0098676A"/>
    <w:rsid w:val="00986CDE"/>
    <w:rsid w:val="00986F56"/>
    <w:rsid w:val="00987947"/>
    <w:rsid w:val="00990999"/>
    <w:rsid w:val="00990CD6"/>
    <w:rsid w:val="00991583"/>
    <w:rsid w:val="00991751"/>
    <w:rsid w:val="00991A0C"/>
    <w:rsid w:val="00991E30"/>
    <w:rsid w:val="00991F82"/>
    <w:rsid w:val="009929D2"/>
    <w:rsid w:val="00993151"/>
    <w:rsid w:val="00993F2A"/>
    <w:rsid w:val="0099471A"/>
    <w:rsid w:val="009958D6"/>
    <w:rsid w:val="009958E2"/>
    <w:rsid w:val="00995BF1"/>
    <w:rsid w:val="00995E63"/>
    <w:rsid w:val="009A09A2"/>
    <w:rsid w:val="009A0E81"/>
    <w:rsid w:val="009A208B"/>
    <w:rsid w:val="009A24F7"/>
    <w:rsid w:val="009A2926"/>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A8F"/>
    <w:rsid w:val="009B4CE6"/>
    <w:rsid w:val="009B4CE9"/>
    <w:rsid w:val="009B4E33"/>
    <w:rsid w:val="009B53A1"/>
    <w:rsid w:val="009B5D83"/>
    <w:rsid w:val="009B6299"/>
    <w:rsid w:val="009B6318"/>
    <w:rsid w:val="009B6D37"/>
    <w:rsid w:val="009B77AF"/>
    <w:rsid w:val="009C04EB"/>
    <w:rsid w:val="009C0CFF"/>
    <w:rsid w:val="009C1656"/>
    <w:rsid w:val="009C17BC"/>
    <w:rsid w:val="009C1802"/>
    <w:rsid w:val="009C189B"/>
    <w:rsid w:val="009C242A"/>
    <w:rsid w:val="009C2D13"/>
    <w:rsid w:val="009C49BE"/>
    <w:rsid w:val="009C4B53"/>
    <w:rsid w:val="009C61E6"/>
    <w:rsid w:val="009C682E"/>
    <w:rsid w:val="009C6863"/>
    <w:rsid w:val="009D00E0"/>
    <w:rsid w:val="009D0EAA"/>
    <w:rsid w:val="009D220F"/>
    <w:rsid w:val="009D22A6"/>
    <w:rsid w:val="009D2ABA"/>
    <w:rsid w:val="009D2EB8"/>
    <w:rsid w:val="009D35EC"/>
    <w:rsid w:val="009D3BFB"/>
    <w:rsid w:val="009D3C84"/>
    <w:rsid w:val="009D3EB7"/>
    <w:rsid w:val="009D58A8"/>
    <w:rsid w:val="009D63E5"/>
    <w:rsid w:val="009D69FB"/>
    <w:rsid w:val="009D77A4"/>
    <w:rsid w:val="009E16EB"/>
    <w:rsid w:val="009E17A0"/>
    <w:rsid w:val="009E2FFF"/>
    <w:rsid w:val="009E3075"/>
    <w:rsid w:val="009E376B"/>
    <w:rsid w:val="009E395B"/>
    <w:rsid w:val="009E44C5"/>
    <w:rsid w:val="009E5094"/>
    <w:rsid w:val="009E5932"/>
    <w:rsid w:val="009E5D34"/>
    <w:rsid w:val="009E656A"/>
    <w:rsid w:val="009E7393"/>
    <w:rsid w:val="009E74C2"/>
    <w:rsid w:val="009E7874"/>
    <w:rsid w:val="009F01A4"/>
    <w:rsid w:val="009F02D0"/>
    <w:rsid w:val="009F1170"/>
    <w:rsid w:val="009F2CA3"/>
    <w:rsid w:val="009F3E50"/>
    <w:rsid w:val="009F3F1E"/>
    <w:rsid w:val="009F4252"/>
    <w:rsid w:val="009F42FF"/>
    <w:rsid w:val="009F4462"/>
    <w:rsid w:val="009F4F75"/>
    <w:rsid w:val="009F5A97"/>
    <w:rsid w:val="009F5D14"/>
    <w:rsid w:val="009F6270"/>
    <w:rsid w:val="009F665B"/>
    <w:rsid w:val="009F6BD8"/>
    <w:rsid w:val="00A00A01"/>
    <w:rsid w:val="00A019B5"/>
    <w:rsid w:val="00A01D40"/>
    <w:rsid w:val="00A01DF4"/>
    <w:rsid w:val="00A02EC4"/>
    <w:rsid w:val="00A0307D"/>
    <w:rsid w:val="00A030F5"/>
    <w:rsid w:val="00A040F0"/>
    <w:rsid w:val="00A04163"/>
    <w:rsid w:val="00A05524"/>
    <w:rsid w:val="00A0617E"/>
    <w:rsid w:val="00A06976"/>
    <w:rsid w:val="00A06AA0"/>
    <w:rsid w:val="00A07713"/>
    <w:rsid w:val="00A101A3"/>
    <w:rsid w:val="00A10F39"/>
    <w:rsid w:val="00A10F9A"/>
    <w:rsid w:val="00A11275"/>
    <w:rsid w:val="00A11A60"/>
    <w:rsid w:val="00A13108"/>
    <w:rsid w:val="00A134C8"/>
    <w:rsid w:val="00A13E8D"/>
    <w:rsid w:val="00A14418"/>
    <w:rsid w:val="00A14A96"/>
    <w:rsid w:val="00A14DC5"/>
    <w:rsid w:val="00A15473"/>
    <w:rsid w:val="00A1549E"/>
    <w:rsid w:val="00A15807"/>
    <w:rsid w:val="00A15BE7"/>
    <w:rsid w:val="00A15DBA"/>
    <w:rsid w:val="00A16B74"/>
    <w:rsid w:val="00A17146"/>
    <w:rsid w:val="00A206EA"/>
    <w:rsid w:val="00A21354"/>
    <w:rsid w:val="00A23442"/>
    <w:rsid w:val="00A23470"/>
    <w:rsid w:val="00A236BE"/>
    <w:rsid w:val="00A242BC"/>
    <w:rsid w:val="00A24630"/>
    <w:rsid w:val="00A247D0"/>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6E7"/>
    <w:rsid w:val="00A36832"/>
    <w:rsid w:val="00A36853"/>
    <w:rsid w:val="00A36B65"/>
    <w:rsid w:val="00A37805"/>
    <w:rsid w:val="00A4061D"/>
    <w:rsid w:val="00A40AF4"/>
    <w:rsid w:val="00A40D77"/>
    <w:rsid w:val="00A41670"/>
    <w:rsid w:val="00A418F8"/>
    <w:rsid w:val="00A41C41"/>
    <w:rsid w:val="00A427C3"/>
    <w:rsid w:val="00A42D7D"/>
    <w:rsid w:val="00A42F5F"/>
    <w:rsid w:val="00A433F1"/>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129D"/>
    <w:rsid w:val="00A513F4"/>
    <w:rsid w:val="00A51B4D"/>
    <w:rsid w:val="00A51D24"/>
    <w:rsid w:val="00A52BBE"/>
    <w:rsid w:val="00A52F67"/>
    <w:rsid w:val="00A53A97"/>
    <w:rsid w:val="00A53E08"/>
    <w:rsid w:val="00A53EEB"/>
    <w:rsid w:val="00A54D9A"/>
    <w:rsid w:val="00A556C0"/>
    <w:rsid w:val="00A5588A"/>
    <w:rsid w:val="00A56556"/>
    <w:rsid w:val="00A56575"/>
    <w:rsid w:val="00A56982"/>
    <w:rsid w:val="00A57393"/>
    <w:rsid w:val="00A578A9"/>
    <w:rsid w:val="00A60B1D"/>
    <w:rsid w:val="00A60D55"/>
    <w:rsid w:val="00A614C7"/>
    <w:rsid w:val="00A61A7E"/>
    <w:rsid w:val="00A6299B"/>
    <w:rsid w:val="00A62A16"/>
    <w:rsid w:val="00A6343C"/>
    <w:rsid w:val="00A63E8D"/>
    <w:rsid w:val="00A64604"/>
    <w:rsid w:val="00A64C6F"/>
    <w:rsid w:val="00A65182"/>
    <w:rsid w:val="00A65680"/>
    <w:rsid w:val="00A65809"/>
    <w:rsid w:val="00A6589A"/>
    <w:rsid w:val="00A65AE4"/>
    <w:rsid w:val="00A666D7"/>
    <w:rsid w:val="00A66CB8"/>
    <w:rsid w:val="00A716B7"/>
    <w:rsid w:val="00A71919"/>
    <w:rsid w:val="00A71AAE"/>
    <w:rsid w:val="00A71CFE"/>
    <w:rsid w:val="00A71D95"/>
    <w:rsid w:val="00A71EB3"/>
    <w:rsid w:val="00A74481"/>
    <w:rsid w:val="00A745CA"/>
    <w:rsid w:val="00A74D09"/>
    <w:rsid w:val="00A74F40"/>
    <w:rsid w:val="00A75836"/>
    <w:rsid w:val="00A75D90"/>
    <w:rsid w:val="00A76B89"/>
    <w:rsid w:val="00A77421"/>
    <w:rsid w:val="00A7782E"/>
    <w:rsid w:val="00A77994"/>
    <w:rsid w:val="00A77AC6"/>
    <w:rsid w:val="00A806F6"/>
    <w:rsid w:val="00A80AD4"/>
    <w:rsid w:val="00A80F1B"/>
    <w:rsid w:val="00A81570"/>
    <w:rsid w:val="00A82548"/>
    <w:rsid w:val="00A829D2"/>
    <w:rsid w:val="00A82BAE"/>
    <w:rsid w:val="00A83060"/>
    <w:rsid w:val="00A83A11"/>
    <w:rsid w:val="00A844B6"/>
    <w:rsid w:val="00A84BF2"/>
    <w:rsid w:val="00A84F0F"/>
    <w:rsid w:val="00A850F1"/>
    <w:rsid w:val="00A8648D"/>
    <w:rsid w:val="00A8695F"/>
    <w:rsid w:val="00A86B87"/>
    <w:rsid w:val="00A86EA9"/>
    <w:rsid w:val="00A905D8"/>
    <w:rsid w:val="00A909E0"/>
    <w:rsid w:val="00A9115C"/>
    <w:rsid w:val="00A922D2"/>
    <w:rsid w:val="00A9235A"/>
    <w:rsid w:val="00A9366D"/>
    <w:rsid w:val="00A93971"/>
    <w:rsid w:val="00A93D60"/>
    <w:rsid w:val="00A94213"/>
    <w:rsid w:val="00A94629"/>
    <w:rsid w:val="00A9476F"/>
    <w:rsid w:val="00A95B3C"/>
    <w:rsid w:val="00A96244"/>
    <w:rsid w:val="00A96264"/>
    <w:rsid w:val="00A97668"/>
    <w:rsid w:val="00A97869"/>
    <w:rsid w:val="00AA092E"/>
    <w:rsid w:val="00AA113B"/>
    <w:rsid w:val="00AA1F3C"/>
    <w:rsid w:val="00AA2C53"/>
    <w:rsid w:val="00AA3D47"/>
    <w:rsid w:val="00AA4C3A"/>
    <w:rsid w:val="00AA5044"/>
    <w:rsid w:val="00AA53AE"/>
    <w:rsid w:val="00AA54DA"/>
    <w:rsid w:val="00AA5F1E"/>
    <w:rsid w:val="00AA61ED"/>
    <w:rsid w:val="00AA6C35"/>
    <w:rsid w:val="00AA74F9"/>
    <w:rsid w:val="00AA766B"/>
    <w:rsid w:val="00AA7E4E"/>
    <w:rsid w:val="00AB00D7"/>
    <w:rsid w:val="00AB0106"/>
    <w:rsid w:val="00AB07ED"/>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00F"/>
    <w:rsid w:val="00AC12F8"/>
    <w:rsid w:val="00AC18A2"/>
    <w:rsid w:val="00AC1E93"/>
    <w:rsid w:val="00AC1EF7"/>
    <w:rsid w:val="00AC20F3"/>
    <w:rsid w:val="00AC36BF"/>
    <w:rsid w:val="00AC38FE"/>
    <w:rsid w:val="00AC64FE"/>
    <w:rsid w:val="00AC65D5"/>
    <w:rsid w:val="00AC6DD3"/>
    <w:rsid w:val="00AC6F96"/>
    <w:rsid w:val="00AC7314"/>
    <w:rsid w:val="00AC7E26"/>
    <w:rsid w:val="00AD021C"/>
    <w:rsid w:val="00AD05B0"/>
    <w:rsid w:val="00AD184C"/>
    <w:rsid w:val="00AD29FE"/>
    <w:rsid w:val="00AD350E"/>
    <w:rsid w:val="00AD3E10"/>
    <w:rsid w:val="00AD4008"/>
    <w:rsid w:val="00AD4BE6"/>
    <w:rsid w:val="00AD50A0"/>
    <w:rsid w:val="00AD70B2"/>
    <w:rsid w:val="00AD75A7"/>
    <w:rsid w:val="00AD7660"/>
    <w:rsid w:val="00AD7C45"/>
    <w:rsid w:val="00AD7C8E"/>
    <w:rsid w:val="00AE1D4A"/>
    <w:rsid w:val="00AE23E2"/>
    <w:rsid w:val="00AE29A5"/>
    <w:rsid w:val="00AE2EC8"/>
    <w:rsid w:val="00AE351E"/>
    <w:rsid w:val="00AE3E4B"/>
    <w:rsid w:val="00AE41DD"/>
    <w:rsid w:val="00AE4453"/>
    <w:rsid w:val="00AE4B8C"/>
    <w:rsid w:val="00AE58BB"/>
    <w:rsid w:val="00AE5D45"/>
    <w:rsid w:val="00AE76EA"/>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36E"/>
    <w:rsid w:val="00AF7E46"/>
    <w:rsid w:val="00B00371"/>
    <w:rsid w:val="00B0074A"/>
    <w:rsid w:val="00B028EB"/>
    <w:rsid w:val="00B0363F"/>
    <w:rsid w:val="00B03A46"/>
    <w:rsid w:val="00B0408C"/>
    <w:rsid w:val="00B04AAF"/>
    <w:rsid w:val="00B04D8D"/>
    <w:rsid w:val="00B04EC7"/>
    <w:rsid w:val="00B05D1E"/>
    <w:rsid w:val="00B06EF2"/>
    <w:rsid w:val="00B071BB"/>
    <w:rsid w:val="00B103B4"/>
    <w:rsid w:val="00B10702"/>
    <w:rsid w:val="00B10A7D"/>
    <w:rsid w:val="00B10A86"/>
    <w:rsid w:val="00B113EF"/>
    <w:rsid w:val="00B11573"/>
    <w:rsid w:val="00B11723"/>
    <w:rsid w:val="00B11F59"/>
    <w:rsid w:val="00B1216D"/>
    <w:rsid w:val="00B12415"/>
    <w:rsid w:val="00B12D85"/>
    <w:rsid w:val="00B13302"/>
    <w:rsid w:val="00B137C3"/>
    <w:rsid w:val="00B13922"/>
    <w:rsid w:val="00B143CE"/>
    <w:rsid w:val="00B15472"/>
    <w:rsid w:val="00B1548C"/>
    <w:rsid w:val="00B15503"/>
    <w:rsid w:val="00B165B0"/>
    <w:rsid w:val="00B16941"/>
    <w:rsid w:val="00B169D6"/>
    <w:rsid w:val="00B17067"/>
    <w:rsid w:val="00B17A57"/>
    <w:rsid w:val="00B17D30"/>
    <w:rsid w:val="00B201F0"/>
    <w:rsid w:val="00B20B1E"/>
    <w:rsid w:val="00B20BF4"/>
    <w:rsid w:val="00B2239B"/>
    <w:rsid w:val="00B23547"/>
    <w:rsid w:val="00B238C9"/>
    <w:rsid w:val="00B23D98"/>
    <w:rsid w:val="00B2414E"/>
    <w:rsid w:val="00B2471C"/>
    <w:rsid w:val="00B247D3"/>
    <w:rsid w:val="00B25F6E"/>
    <w:rsid w:val="00B25F82"/>
    <w:rsid w:val="00B265B6"/>
    <w:rsid w:val="00B2685F"/>
    <w:rsid w:val="00B268E3"/>
    <w:rsid w:val="00B26D51"/>
    <w:rsid w:val="00B26FBB"/>
    <w:rsid w:val="00B2777B"/>
    <w:rsid w:val="00B31012"/>
    <w:rsid w:val="00B321B1"/>
    <w:rsid w:val="00B32D54"/>
    <w:rsid w:val="00B32E53"/>
    <w:rsid w:val="00B3352C"/>
    <w:rsid w:val="00B335D4"/>
    <w:rsid w:val="00B342B7"/>
    <w:rsid w:val="00B34D2C"/>
    <w:rsid w:val="00B35105"/>
    <w:rsid w:val="00B354C0"/>
    <w:rsid w:val="00B35B07"/>
    <w:rsid w:val="00B360A5"/>
    <w:rsid w:val="00B36516"/>
    <w:rsid w:val="00B36BF6"/>
    <w:rsid w:val="00B37235"/>
    <w:rsid w:val="00B372B0"/>
    <w:rsid w:val="00B37467"/>
    <w:rsid w:val="00B37BD7"/>
    <w:rsid w:val="00B37FB0"/>
    <w:rsid w:val="00B400A9"/>
    <w:rsid w:val="00B40115"/>
    <w:rsid w:val="00B405A0"/>
    <w:rsid w:val="00B40A65"/>
    <w:rsid w:val="00B40A92"/>
    <w:rsid w:val="00B41A9F"/>
    <w:rsid w:val="00B41CBA"/>
    <w:rsid w:val="00B4292F"/>
    <w:rsid w:val="00B42A84"/>
    <w:rsid w:val="00B4304E"/>
    <w:rsid w:val="00B43FAA"/>
    <w:rsid w:val="00B43FD8"/>
    <w:rsid w:val="00B45E8A"/>
    <w:rsid w:val="00B46572"/>
    <w:rsid w:val="00B473F5"/>
    <w:rsid w:val="00B475E0"/>
    <w:rsid w:val="00B51DB5"/>
    <w:rsid w:val="00B51ED6"/>
    <w:rsid w:val="00B52670"/>
    <w:rsid w:val="00B53B54"/>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50E9"/>
    <w:rsid w:val="00B657F1"/>
    <w:rsid w:val="00B658E1"/>
    <w:rsid w:val="00B659B8"/>
    <w:rsid w:val="00B659E4"/>
    <w:rsid w:val="00B66406"/>
    <w:rsid w:val="00B66710"/>
    <w:rsid w:val="00B66B8E"/>
    <w:rsid w:val="00B6725D"/>
    <w:rsid w:val="00B67368"/>
    <w:rsid w:val="00B67453"/>
    <w:rsid w:val="00B67E15"/>
    <w:rsid w:val="00B67E2C"/>
    <w:rsid w:val="00B7012E"/>
    <w:rsid w:val="00B7050B"/>
    <w:rsid w:val="00B71036"/>
    <w:rsid w:val="00B71ACC"/>
    <w:rsid w:val="00B71FA9"/>
    <w:rsid w:val="00B72233"/>
    <w:rsid w:val="00B72491"/>
    <w:rsid w:val="00B7273F"/>
    <w:rsid w:val="00B727B0"/>
    <w:rsid w:val="00B7289C"/>
    <w:rsid w:val="00B72F5C"/>
    <w:rsid w:val="00B73DE0"/>
    <w:rsid w:val="00B7403C"/>
    <w:rsid w:val="00B74B32"/>
    <w:rsid w:val="00B74E19"/>
    <w:rsid w:val="00B75EA3"/>
    <w:rsid w:val="00B75F5B"/>
    <w:rsid w:val="00B7630B"/>
    <w:rsid w:val="00B774F8"/>
    <w:rsid w:val="00B77E9F"/>
    <w:rsid w:val="00B77FFC"/>
    <w:rsid w:val="00B827D8"/>
    <w:rsid w:val="00B828B9"/>
    <w:rsid w:val="00B82EB1"/>
    <w:rsid w:val="00B8384C"/>
    <w:rsid w:val="00B83CD1"/>
    <w:rsid w:val="00B83F1E"/>
    <w:rsid w:val="00B84D9A"/>
    <w:rsid w:val="00B85593"/>
    <w:rsid w:val="00B85ACB"/>
    <w:rsid w:val="00B85CDA"/>
    <w:rsid w:val="00B86880"/>
    <w:rsid w:val="00B87123"/>
    <w:rsid w:val="00B874EB"/>
    <w:rsid w:val="00B87CD5"/>
    <w:rsid w:val="00B9000A"/>
    <w:rsid w:val="00B902A0"/>
    <w:rsid w:val="00B906B5"/>
    <w:rsid w:val="00B90B07"/>
    <w:rsid w:val="00B90E13"/>
    <w:rsid w:val="00B912E2"/>
    <w:rsid w:val="00B92839"/>
    <w:rsid w:val="00B93F06"/>
    <w:rsid w:val="00B94182"/>
    <w:rsid w:val="00B95197"/>
    <w:rsid w:val="00B9551D"/>
    <w:rsid w:val="00B95E4A"/>
    <w:rsid w:val="00B96283"/>
    <w:rsid w:val="00B96915"/>
    <w:rsid w:val="00B9709E"/>
    <w:rsid w:val="00B971EC"/>
    <w:rsid w:val="00B97C59"/>
    <w:rsid w:val="00BA02A7"/>
    <w:rsid w:val="00BA078D"/>
    <w:rsid w:val="00BA1934"/>
    <w:rsid w:val="00BA1DF5"/>
    <w:rsid w:val="00BA1EE2"/>
    <w:rsid w:val="00BA2363"/>
    <w:rsid w:val="00BA2B35"/>
    <w:rsid w:val="00BA386C"/>
    <w:rsid w:val="00BA391D"/>
    <w:rsid w:val="00BA445E"/>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70E"/>
    <w:rsid w:val="00BB3E09"/>
    <w:rsid w:val="00BB5955"/>
    <w:rsid w:val="00BB5E8D"/>
    <w:rsid w:val="00BB6061"/>
    <w:rsid w:val="00BB65E4"/>
    <w:rsid w:val="00BB66CA"/>
    <w:rsid w:val="00BB68A1"/>
    <w:rsid w:val="00BB7086"/>
    <w:rsid w:val="00BB7595"/>
    <w:rsid w:val="00BC0B62"/>
    <w:rsid w:val="00BC0EE3"/>
    <w:rsid w:val="00BC230C"/>
    <w:rsid w:val="00BC27AD"/>
    <w:rsid w:val="00BC3420"/>
    <w:rsid w:val="00BC48B6"/>
    <w:rsid w:val="00BC4CF7"/>
    <w:rsid w:val="00BC5B7B"/>
    <w:rsid w:val="00BC5E0B"/>
    <w:rsid w:val="00BC6891"/>
    <w:rsid w:val="00BC6E07"/>
    <w:rsid w:val="00BC6E90"/>
    <w:rsid w:val="00BC7580"/>
    <w:rsid w:val="00BC7606"/>
    <w:rsid w:val="00BD1669"/>
    <w:rsid w:val="00BD2123"/>
    <w:rsid w:val="00BD3612"/>
    <w:rsid w:val="00BD411D"/>
    <w:rsid w:val="00BD4A28"/>
    <w:rsid w:val="00BD543E"/>
    <w:rsid w:val="00BD54E5"/>
    <w:rsid w:val="00BD60FB"/>
    <w:rsid w:val="00BD698E"/>
    <w:rsid w:val="00BD6C2F"/>
    <w:rsid w:val="00BD7C65"/>
    <w:rsid w:val="00BE0CD6"/>
    <w:rsid w:val="00BE1460"/>
    <w:rsid w:val="00BE21BF"/>
    <w:rsid w:val="00BE245E"/>
    <w:rsid w:val="00BE26F3"/>
    <w:rsid w:val="00BE2732"/>
    <w:rsid w:val="00BE3D0F"/>
    <w:rsid w:val="00BE5321"/>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9AD"/>
    <w:rsid w:val="00BF5AC5"/>
    <w:rsid w:val="00BF6595"/>
    <w:rsid w:val="00BF6A93"/>
    <w:rsid w:val="00BF6B8C"/>
    <w:rsid w:val="00BF6D78"/>
    <w:rsid w:val="00BF752B"/>
    <w:rsid w:val="00C0083D"/>
    <w:rsid w:val="00C0199E"/>
    <w:rsid w:val="00C01E01"/>
    <w:rsid w:val="00C02473"/>
    <w:rsid w:val="00C02A41"/>
    <w:rsid w:val="00C02D4F"/>
    <w:rsid w:val="00C03210"/>
    <w:rsid w:val="00C03385"/>
    <w:rsid w:val="00C033D8"/>
    <w:rsid w:val="00C038FE"/>
    <w:rsid w:val="00C042D4"/>
    <w:rsid w:val="00C04E8C"/>
    <w:rsid w:val="00C051C5"/>
    <w:rsid w:val="00C053F1"/>
    <w:rsid w:val="00C0542B"/>
    <w:rsid w:val="00C05F0B"/>
    <w:rsid w:val="00C06892"/>
    <w:rsid w:val="00C06ABC"/>
    <w:rsid w:val="00C071E0"/>
    <w:rsid w:val="00C104E7"/>
    <w:rsid w:val="00C10A03"/>
    <w:rsid w:val="00C10B2E"/>
    <w:rsid w:val="00C112F6"/>
    <w:rsid w:val="00C11525"/>
    <w:rsid w:val="00C1215D"/>
    <w:rsid w:val="00C135C4"/>
    <w:rsid w:val="00C142DA"/>
    <w:rsid w:val="00C14794"/>
    <w:rsid w:val="00C15675"/>
    <w:rsid w:val="00C159CE"/>
    <w:rsid w:val="00C15ABE"/>
    <w:rsid w:val="00C160EB"/>
    <w:rsid w:val="00C1788A"/>
    <w:rsid w:val="00C20DE1"/>
    <w:rsid w:val="00C211BD"/>
    <w:rsid w:val="00C21590"/>
    <w:rsid w:val="00C217A4"/>
    <w:rsid w:val="00C21A45"/>
    <w:rsid w:val="00C22253"/>
    <w:rsid w:val="00C2239E"/>
    <w:rsid w:val="00C235AA"/>
    <w:rsid w:val="00C24706"/>
    <w:rsid w:val="00C24CF9"/>
    <w:rsid w:val="00C24D6A"/>
    <w:rsid w:val="00C24FF8"/>
    <w:rsid w:val="00C2556A"/>
    <w:rsid w:val="00C2649B"/>
    <w:rsid w:val="00C26BA7"/>
    <w:rsid w:val="00C279E3"/>
    <w:rsid w:val="00C300CD"/>
    <w:rsid w:val="00C3070C"/>
    <w:rsid w:val="00C30746"/>
    <w:rsid w:val="00C31F5B"/>
    <w:rsid w:val="00C33476"/>
    <w:rsid w:val="00C33D9A"/>
    <w:rsid w:val="00C33F04"/>
    <w:rsid w:val="00C3561D"/>
    <w:rsid w:val="00C35F67"/>
    <w:rsid w:val="00C3630C"/>
    <w:rsid w:val="00C36EA6"/>
    <w:rsid w:val="00C37A69"/>
    <w:rsid w:val="00C403C4"/>
    <w:rsid w:val="00C4046F"/>
    <w:rsid w:val="00C40646"/>
    <w:rsid w:val="00C40C5A"/>
    <w:rsid w:val="00C40C89"/>
    <w:rsid w:val="00C40F43"/>
    <w:rsid w:val="00C4161B"/>
    <w:rsid w:val="00C41EDC"/>
    <w:rsid w:val="00C421DB"/>
    <w:rsid w:val="00C423CF"/>
    <w:rsid w:val="00C423D9"/>
    <w:rsid w:val="00C42ABF"/>
    <w:rsid w:val="00C42C6D"/>
    <w:rsid w:val="00C42D4F"/>
    <w:rsid w:val="00C4330D"/>
    <w:rsid w:val="00C44739"/>
    <w:rsid w:val="00C44E92"/>
    <w:rsid w:val="00C45734"/>
    <w:rsid w:val="00C47059"/>
    <w:rsid w:val="00C471BE"/>
    <w:rsid w:val="00C501F4"/>
    <w:rsid w:val="00C52264"/>
    <w:rsid w:val="00C531F7"/>
    <w:rsid w:val="00C535E9"/>
    <w:rsid w:val="00C5371F"/>
    <w:rsid w:val="00C54CEF"/>
    <w:rsid w:val="00C55A7C"/>
    <w:rsid w:val="00C56280"/>
    <w:rsid w:val="00C56F34"/>
    <w:rsid w:val="00C5700D"/>
    <w:rsid w:val="00C579FF"/>
    <w:rsid w:val="00C57C3A"/>
    <w:rsid w:val="00C60878"/>
    <w:rsid w:val="00C61020"/>
    <w:rsid w:val="00C61565"/>
    <w:rsid w:val="00C61DB6"/>
    <w:rsid w:val="00C628B1"/>
    <w:rsid w:val="00C62DC6"/>
    <w:rsid w:val="00C6309A"/>
    <w:rsid w:val="00C63260"/>
    <w:rsid w:val="00C63EF9"/>
    <w:rsid w:val="00C64013"/>
    <w:rsid w:val="00C64739"/>
    <w:rsid w:val="00C654CE"/>
    <w:rsid w:val="00C65745"/>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3FCF"/>
    <w:rsid w:val="00C740D4"/>
    <w:rsid w:val="00C743C9"/>
    <w:rsid w:val="00C749E7"/>
    <w:rsid w:val="00C75069"/>
    <w:rsid w:val="00C75715"/>
    <w:rsid w:val="00C75F4D"/>
    <w:rsid w:val="00C76238"/>
    <w:rsid w:val="00C76B3D"/>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4FD"/>
    <w:rsid w:val="00C94097"/>
    <w:rsid w:val="00C9464D"/>
    <w:rsid w:val="00C946EE"/>
    <w:rsid w:val="00C95744"/>
    <w:rsid w:val="00C95CF4"/>
    <w:rsid w:val="00C96479"/>
    <w:rsid w:val="00C96EBD"/>
    <w:rsid w:val="00C97757"/>
    <w:rsid w:val="00CA0AAE"/>
    <w:rsid w:val="00CA0D37"/>
    <w:rsid w:val="00CA15BA"/>
    <w:rsid w:val="00CA1A34"/>
    <w:rsid w:val="00CA2117"/>
    <w:rsid w:val="00CA2244"/>
    <w:rsid w:val="00CA2716"/>
    <w:rsid w:val="00CA2E81"/>
    <w:rsid w:val="00CA311F"/>
    <w:rsid w:val="00CA3910"/>
    <w:rsid w:val="00CA47BD"/>
    <w:rsid w:val="00CA4952"/>
    <w:rsid w:val="00CA579F"/>
    <w:rsid w:val="00CA57B2"/>
    <w:rsid w:val="00CA5ED5"/>
    <w:rsid w:val="00CA6544"/>
    <w:rsid w:val="00CA6FA2"/>
    <w:rsid w:val="00CA7574"/>
    <w:rsid w:val="00CA764B"/>
    <w:rsid w:val="00CB053F"/>
    <w:rsid w:val="00CB08D4"/>
    <w:rsid w:val="00CB0A9B"/>
    <w:rsid w:val="00CB11FD"/>
    <w:rsid w:val="00CB1CB5"/>
    <w:rsid w:val="00CB26D2"/>
    <w:rsid w:val="00CB2B4D"/>
    <w:rsid w:val="00CB2CC4"/>
    <w:rsid w:val="00CB34D6"/>
    <w:rsid w:val="00CB3B76"/>
    <w:rsid w:val="00CB419E"/>
    <w:rsid w:val="00CB4F7C"/>
    <w:rsid w:val="00CB4FF7"/>
    <w:rsid w:val="00CB544B"/>
    <w:rsid w:val="00CB582B"/>
    <w:rsid w:val="00CB5A5B"/>
    <w:rsid w:val="00CB6DEF"/>
    <w:rsid w:val="00CB7593"/>
    <w:rsid w:val="00CB77F1"/>
    <w:rsid w:val="00CC0A2A"/>
    <w:rsid w:val="00CC1386"/>
    <w:rsid w:val="00CC1E3B"/>
    <w:rsid w:val="00CC2358"/>
    <w:rsid w:val="00CC2387"/>
    <w:rsid w:val="00CC266C"/>
    <w:rsid w:val="00CC2BBF"/>
    <w:rsid w:val="00CC2EC0"/>
    <w:rsid w:val="00CC37E4"/>
    <w:rsid w:val="00CC3F06"/>
    <w:rsid w:val="00CC404C"/>
    <w:rsid w:val="00CC445D"/>
    <w:rsid w:val="00CC4474"/>
    <w:rsid w:val="00CC4BCD"/>
    <w:rsid w:val="00CC6013"/>
    <w:rsid w:val="00CC6981"/>
    <w:rsid w:val="00CC6C84"/>
    <w:rsid w:val="00CC6F74"/>
    <w:rsid w:val="00CC75A1"/>
    <w:rsid w:val="00CD0187"/>
    <w:rsid w:val="00CD0249"/>
    <w:rsid w:val="00CD05D0"/>
    <w:rsid w:val="00CD0B70"/>
    <w:rsid w:val="00CD0D57"/>
    <w:rsid w:val="00CD1DAD"/>
    <w:rsid w:val="00CD2344"/>
    <w:rsid w:val="00CD4C7E"/>
    <w:rsid w:val="00CD4E81"/>
    <w:rsid w:val="00CD53F8"/>
    <w:rsid w:val="00CD59D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5445"/>
    <w:rsid w:val="00CE62BD"/>
    <w:rsid w:val="00CE6A8C"/>
    <w:rsid w:val="00CE72C9"/>
    <w:rsid w:val="00CE7F3C"/>
    <w:rsid w:val="00CF1911"/>
    <w:rsid w:val="00CF2547"/>
    <w:rsid w:val="00CF33C2"/>
    <w:rsid w:val="00CF366C"/>
    <w:rsid w:val="00CF3871"/>
    <w:rsid w:val="00CF4D13"/>
    <w:rsid w:val="00CF5621"/>
    <w:rsid w:val="00CF5B73"/>
    <w:rsid w:val="00CF5CA2"/>
    <w:rsid w:val="00CF6274"/>
    <w:rsid w:val="00CF649A"/>
    <w:rsid w:val="00CF69FD"/>
    <w:rsid w:val="00CF71A5"/>
    <w:rsid w:val="00CF767E"/>
    <w:rsid w:val="00CF76A7"/>
    <w:rsid w:val="00D00737"/>
    <w:rsid w:val="00D00AE6"/>
    <w:rsid w:val="00D01415"/>
    <w:rsid w:val="00D01D9F"/>
    <w:rsid w:val="00D02159"/>
    <w:rsid w:val="00D02613"/>
    <w:rsid w:val="00D027D4"/>
    <w:rsid w:val="00D02B35"/>
    <w:rsid w:val="00D03EC0"/>
    <w:rsid w:val="00D03F90"/>
    <w:rsid w:val="00D041BE"/>
    <w:rsid w:val="00D041EC"/>
    <w:rsid w:val="00D0605E"/>
    <w:rsid w:val="00D06D8B"/>
    <w:rsid w:val="00D1026E"/>
    <w:rsid w:val="00D107D3"/>
    <w:rsid w:val="00D115E4"/>
    <w:rsid w:val="00D1207B"/>
    <w:rsid w:val="00D121A6"/>
    <w:rsid w:val="00D12618"/>
    <w:rsid w:val="00D128C0"/>
    <w:rsid w:val="00D132EB"/>
    <w:rsid w:val="00D145EA"/>
    <w:rsid w:val="00D14655"/>
    <w:rsid w:val="00D14F18"/>
    <w:rsid w:val="00D15091"/>
    <w:rsid w:val="00D1509F"/>
    <w:rsid w:val="00D15C87"/>
    <w:rsid w:val="00D15FC1"/>
    <w:rsid w:val="00D16811"/>
    <w:rsid w:val="00D17E68"/>
    <w:rsid w:val="00D17FFC"/>
    <w:rsid w:val="00D2097C"/>
    <w:rsid w:val="00D20A29"/>
    <w:rsid w:val="00D21CBC"/>
    <w:rsid w:val="00D21DFF"/>
    <w:rsid w:val="00D22096"/>
    <w:rsid w:val="00D222FA"/>
    <w:rsid w:val="00D222FC"/>
    <w:rsid w:val="00D22429"/>
    <w:rsid w:val="00D2268B"/>
    <w:rsid w:val="00D230BC"/>
    <w:rsid w:val="00D2399F"/>
    <w:rsid w:val="00D23BCD"/>
    <w:rsid w:val="00D250F9"/>
    <w:rsid w:val="00D25212"/>
    <w:rsid w:val="00D25C27"/>
    <w:rsid w:val="00D25C5F"/>
    <w:rsid w:val="00D25D83"/>
    <w:rsid w:val="00D25DB7"/>
    <w:rsid w:val="00D269DD"/>
    <w:rsid w:val="00D2738B"/>
    <w:rsid w:val="00D27AF5"/>
    <w:rsid w:val="00D30A16"/>
    <w:rsid w:val="00D30CDB"/>
    <w:rsid w:val="00D30FA5"/>
    <w:rsid w:val="00D316EB"/>
    <w:rsid w:val="00D31A74"/>
    <w:rsid w:val="00D31D08"/>
    <w:rsid w:val="00D31D29"/>
    <w:rsid w:val="00D31F31"/>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63A"/>
    <w:rsid w:val="00D449B4"/>
    <w:rsid w:val="00D4510A"/>
    <w:rsid w:val="00D45A69"/>
    <w:rsid w:val="00D46205"/>
    <w:rsid w:val="00D46B1B"/>
    <w:rsid w:val="00D46B72"/>
    <w:rsid w:val="00D46CED"/>
    <w:rsid w:val="00D474D7"/>
    <w:rsid w:val="00D50131"/>
    <w:rsid w:val="00D51660"/>
    <w:rsid w:val="00D51CB0"/>
    <w:rsid w:val="00D520FA"/>
    <w:rsid w:val="00D5283B"/>
    <w:rsid w:val="00D53ABC"/>
    <w:rsid w:val="00D53FBE"/>
    <w:rsid w:val="00D54640"/>
    <w:rsid w:val="00D548A2"/>
    <w:rsid w:val="00D54AFA"/>
    <w:rsid w:val="00D54BD1"/>
    <w:rsid w:val="00D55627"/>
    <w:rsid w:val="00D5567A"/>
    <w:rsid w:val="00D556EE"/>
    <w:rsid w:val="00D55C0D"/>
    <w:rsid w:val="00D56372"/>
    <w:rsid w:val="00D56B6C"/>
    <w:rsid w:val="00D57765"/>
    <w:rsid w:val="00D57926"/>
    <w:rsid w:val="00D57B9C"/>
    <w:rsid w:val="00D60A0A"/>
    <w:rsid w:val="00D60EA0"/>
    <w:rsid w:val="00D61040"/>
    <w:rsid w:val="00D6129D"/>
    <w:rsid w:val="00D613E7"/>
    <w:rsid w:val="00D61AA6"/>
    <w:rsid w:val="00D61CCC"/>
    <w:rsid w:val="00D6232A"/>
    <w:rsid w:val="00D62FDD"/>
    <w:rsid w:val="00D6387C"/>
    <w:rsid w:val="00D655B0"/>
    <w:rsid w:val="00D65788"/>
    <w:rsid w:val="00D65D36"/>
    <w:rsid w:val="00D6621F"/>
    <w:rsid w:val="00D66272"/>
    <w:rsid w:val="00D66485"/>
    <w:rsid w:val="00D66631"/>
    <w:rsid w:val="00D66B9D"/>
    <w:rsid w:val="00D677B8"/>
    <w:rsid w:val="00D6790D"/>
    <w:rsid w:val="00D67977"/>
    <w:rsid w:val="00D67D93"/>
    <w:rsid w:val="00D70BBE"/>
    <w:rsid w:val="00D70D52"/>
    <w:rsid w:val="00D71B02"/>
    <w:rsid w:val="00D72744"/>
    <w:rsid w:val="00D73BF8"/>
    <w:rsid w:val="00D747F0"/>
    <w:rsid w:val="00D76D62"/>
    <w:rsid w:val="00D77D75"/>
    <w:rsid w:val="00D80C23"/>
    <w:rsid w:val="00D81182"/>
    <w:rsid w:val="00D81F3B"/>
    <w:rsid w:val="00D83118"/>
    <w:rsid w:val="00D838FE"/>
    <w:rsid w:val="00D83F8B"/>
    <w:rsid w:val="00D8579C"/>
    <w:rsid w:val="00D86C54"/>
    <w:rsid w:val="00D86C67"/>
    <w:rsid w:val="00D86E44"/>
    <w:rsid w:val="00D86E98"/>
    <w:rsid w:val="00D90242"/>
    <w:rsid w:val="00D90455"/>
    <w:rsid w:val="00D91008"/>
    <w:rsid w:val="00D91101"/>
    <w:rsid w:val="00D923B7"/>
    <w:rsid w:val="00D92435"/>
    <w:rsid w:val="00D924C2"/>
    <w:rsid w:val="00D924D6"/>
    <w:rsid w:val="00D93E46"/>
    <w:rsid w:val="00D940FA"/>
    <w:rsid w:val="00D946A6"/>
    <w:rsid w:val="00D948DD"/>
    <w:rsid w:val="00D94BB7"/>
    <w:rsid w:val="00D9518A"/>
    <w:rsid w:val="00D958BC"/>
    <w:rsid w:val="00D95F8D"/>
    <w:rsid w:val="00D9742F"/>
    <w:rsid w:val="00D97C32"/>
    <w:rsid w:val="00D97D11"/>
    <w:rsid w:val="00DA0639"/>
    <w:rsid w:val="00DA0907"/>
    <w:rsid w:val="00DA1C1C"/>
    <w:rsid w:val="00DA1C59"/>
    <w:rsid w:val="00DA1D22"/>
    <w:rsid w:val="00DA2204"/>
    <w:rsid w:val="00DA227D"/>
    <w:rsid w:val="00DA2590"/>
    <w:rsid w:val="00DA27F2"/>
    <w:rsid w:val="00DA3A48"/>
    <w:rsid w:val="00DA3D3E"/>
    <w:rsid w:val="00DA4358"/>
    <w:rsid w:val="00DA49CF"/>
    <w:rsid w:val="00DA5493"/>
    <w:rsid w:val="00DA632E"/>
    <w:rsid w:val="00DA6396"/>
    <w:rsid w:val="00DA6CFB"/>
    <w:rsid w:val="00DA7381"/>
    <w:rsid w:val="00DA7AAE"/>
    <w:rsid w:val="00DA7D40"/>
    <w:rsid w:val="00DA7E89"/>
    <w:rsid w:val="00DB00E9"/>
    <w:rsid w:val="00DB1558"/>
    <w:rsid w:val="00DB1E46"/>
    <w:rsid w:val="00DB284A"/>
    <w:rsid w:val="00DB34BF"/>
    <w:rsid w:val="00DB350E"/>
    <w:rsid w:val="00DB389F"/>
    <w:rsid w:val="00DB3E92"/>
    <w:rsid w:val="00DB3F68"/>
    <w:rsid w:val="00DB4064"/>
    <w:rsid w:val="00DB4479"/>
    <w:rsid w:val="00DB4747"/>
    <w:rsid w:val="00DB4C7D"/>
    <w:rsid w:val="00DB5448"/>
    <w:rsid w:val="00DB731C"/>
    <w:rsid w:val="00DC0767"/>
    <w:rsid w:val="00DC09E1"/>
    <w:rsid w:val="00DC1181"/>
    <w:rsid w:val="00DC13BD"/>
    <w:rsid w:val="00DC1513"/>
    <w:rsid w:val="00DC2D1D"/>
    <w:rsid w:val="00DC2D8A"/>
    <w:rsid w:val="00DC3C26"/>
    <w:rsid w:val="00DC514C"/>
    <w:rsid w:val="00DC5A16"/>
    <w:rsid w:val="00DC6717"/>
    <w:rsid w:val="00DC6F62"/>
    <w:rsid w:val="00DD015A"/>
    <w:rsid w:val="00DD08E6"/>
    <w:rsid w:val="00DD1321"/>
    <w:rsid w:val="00DD19C2"/>
    <w:rsid w:val="00DD2D78"/>
    <w:rsid w:val="00DD2F79"/>
    <w:rsid w:val="00DD30F2"/>
    <w:rsid w:val="00DD351F"/>
    <w:rsid w:val="00DD3E67"/>
    <w:rsid w:val="00DD3FCC"/>
    <w:rsid w:val="00DD44C6"/>
    <w:rsid w:val="00DD45AD"/>
    <w:rsid w:val="00DD4AF7"/>
    <w:rsid w:val="00DD4FCE"/>
    <w:rsid w:val="00DD55D2"/>
    <w:rsid w:val="00DD59AC"/>
    <w:rsid w:val="00DD6326"/>
    <w:rsid w:val="00DD6D64"/>
    <w:rsid w:val="00DD7A8F"/>
    <w:rsid w:val="00DE0BD4"/>
    <w:rsid w:val="00DE0E1F"/>
    <w:rsid w:val="00DE0E76"/>
    <w:rsid w:val="00DE1154"/>
    <w:rsid w:val="00DE228E"/>
    <w:rsid w:val="00DE38F7"/>
    <w:rsid w:val="00DE3CDA"/>
    <w:rsid w:val="00DE42D7"/>
    <w:rsid w:val="00DE56E9"/>
    <w:rsid w:val="00DE62F5"/>
    <w:rsid w:val="00DE6D83"/>
    <w:rsid w:val="00DE6F77"/>
    <w:rsid w:val="00DE7CE2"/>
    <w:rsid w:val="00DF03BB"/>
    <w:rsid w:val="00DF0B95"/>
    <w:rsid w:val="00DF1018"/>
    <w:rsid w:val="00DF1F34"/>
    <w:rsid w:val="00DF1F71"/>
    <w:rsid w:val="00DF21CF"/>
    <w:rsid w:val="00DF2D67"/>
    <w:rsid w:val="00DF363C"/>
    <w:rsid w:val="00DF3A96"/>
    <w:rsid w:val="00DF4871"/>
    <w:rsid w:val="00DF51A7"/>
    <w:rsid w:val="00DF527E"/>
    <w:rsid w:val="00DF5B7C"/>
    <w:rsid w:val="00DF5C8C"/>
    <w:rsid w:val="00DF5CE2"/>
    <w:rsid w:val="00DF5D9E"/>
    <w:rsid w:val="00DF665A"/>
    <w:rsid w:val="00DF6BD6"/>
    <w:rsid w:val="00DF7360"/>
    <w:rsid w:val="00DF7622"/>
    <w:rsid w:val="00DF7A64"/>
    <w:rsid w:val="00DF7FB8"/>
    <w:rsid w:val="00E00168"/>
    <w:rsid w:val="00E00C52"/>
    <w:rsid w:val="00E00F51"/>
    <w:rsid w:val="00E0111E"/>
    <w:rsid w:val="00E0132C"/>
    <w:rsid w:val="00E0197F"/>
    <w:rsid w:val="00E021FE"/>
    <w:rsid w:val="00E02A94"/>
    <w:rsid w:val="00E02F53"/>
    <w:rsid w:val="00E032CA"/>
    <w:rsid w:val="00E056C0"/>
    <w:rsid w:val="00E05801"/>
    <w:rsid w:val="00E05CB7"/>
    <w:rsid w:val="00E05E12"/>
    <w:rsid w:val="00E0612C"/>
    <w:rsid w:val="00E061D3"/>
    <w:rsid w:val="00E0671B"/>
    <w:rsid w:val="00E07093"/>
    <w:rsid w:val="00E073B7"/>
    <w:rsid w:val="00E0792F"/>
    <w:rsid w:val="00E107EC"/>
    <w:rsid w:val="00E10B57"/>
    <w:rsid w:val="00E114EF"/>
    <w:rsid w:val="00E11DE9"/>
    <w:rsid w:val="00E12210"/>
    <w:rsid w:val="00E13F92"/>
    <w:rsid w:val="00E15D08"/>
    <w:rsid w:val="00E15D30"/>
    <w:rsid w:val="00E16A2C"/>
    <w:rsid w:val="00E1778F"/>
    <w:rsid w:val="00E17FE4"/>
    <w:rsid w:val="00E2000F"/>
    <w:rsid w:val="00E20D15"/>
    <w:rsid w:val="00E20F4A"/>
    <w:rsid w:val="00E2139A"/>
    <w:rsid w:val="00E2290A"/>
    <w:rsid w:val="00E22E83"/>
    <w:rsid w:val="00E23B74"/>
    <w:rsid w:val="00E255D0"/>
    <w:rsid w:val="00E255D2"/>
    <w:rsid w:val="00E25A53"/>
    <w:rsid w:val="00E25D4C"/>
    <w:rsid w:val="00E26CA8"/>
    <w:rsid w:val="00E26D21"/>
    <w:rsid w:val="00E27851"/>
    <w:rsid w:val="00E30036"/>
    <w:rsid w:val="00E30F95"/>
    <w:rsid w:val="00E31519"/>
    <w:rsid w:val="00E33073"/>
    <w:rsid w:val="00E331EE"/>
    <w:rsid w:val="00E33F0B"/>
    <w:rsid w:val="00E33FB2"/>
    <w:rsid w:val="00E34651"/>
    <w:rsid w:val="00E34A9F"/>
    <w:rsid w:val="00E34C2A"/>
    <w:rsid w:val="00E355EE"/>
    <w:rsid w:val="00E35C01"/>
    <w:rsid w:val="00E35D96"/>
    <w:rsid w:val="00E35E25"/>
    <w:rsid w:val="00E36748"/>
    <w:rsid w:val="00E369A3"/>
    <w:rsid w:val="00E36CB7"/>
    <w:rsid w:val="00E36D3F"/>
    <w:rsid w:val="00E36E5B"/>
    <w:rsid w:val="00E36FC9"/>
    <w:rsid w:val="00E37809"/>
    <w:rsid w:val="00E37832"/>
    <w:rsid w:val="00E378CD"/>
    <w:rsid w:val="00E37B6D"/>
    <w:rsid w:val="00E37C99"/>
    <w:rsid w:val="00E40DE8"/>
    <w:rsid w:val="00E41864"/>
    <w:rsid w:val="00E41D23"/>
    <w:rsid w:val="00E420A4"/>
    <w:rsid w:val="00E421AA"/>
    <w:rsid w:val="00E42842"/>
    <w:rsid w:val="00E433AC"/>
    <w:rsid w:val="00E43B5B"/>
    <w:rsid w:val="00E44042"/>
    <w:rsid w:val="00E4430F"/>
    <w:rsid w:val="00E45AEB"/>
    <w:rsid w:val="00E46A3F"/>
    <w:rsid w:val="00E46FC0"/>
    <w:rsid w:val="00E47080"/>
    <w:rsid w:val="00E47182"/>
    <w:rsid w:val="00E47DDE"/>
    <w:rsid w:val="00E47E6B"/>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68E3"/>
    <w:rsid w:val="00E57866"/>
    <w:rsid w:val="00E605CC"/>
    <w:rsid w:val="00E60D33"/>
    <w:rsid w:val="00E61785"/>
    <w:rsid w:val="00E622A2"/>
    <w:rsid w:val="00E62587"/>
    <w:rsid w:val="00E636FE"/>
    <w:rsid w:val="00E6373B"/>
    <w:rsid w:val="00E63DA0"/>
    <w:rsid w:val="00E64AC6"/>
    <w:rsid w:val="00E65F22"/>
    <w:rsid w:val="00E66693"/>
    <w:rsid w:val="00E66D39"/>
    <w:rsid w:val="00E670E3"/>
    <w:rsid w:val="00E6790B"/>
    <w:rsid w:val="00E701E6"/>
    <w:rsid w:val="00E7044A"/>
    <w:rsid w:val="00E70C98"/>
    <w:rsid w:val="00E714D6"/>
    <w:rsid w:val="00E715D0"/>
    <w:rsid w:val="00E71A62"/>
    <w:rsid w:val="00E71E3A"/>
    <w:rsid w:val="00E72579"/>
    <w:rsid w:val="00E72CFD"/>
    <w:rsid w:val="00E72F48"/>
    <w:rsid w:val="00E7303B"/>
    <w:rsid w:val="00E730EC"/>
    <w:rsid w:val="00E734DA"/>
    <w:rsid w:val="00E736C3"/>
    <w:rsid w:val="00E73F7A"/>
    <w:rsid w:val="00E748D2"/>
    <w:rsid w:val="00E74F7E"/>
    <w:rsid w:val="00E75181"/>
    <w:rsid w:val="00E75E15"/>
    <w:rsid w:val="00E75EA7"/>
    <w:rsid w:val="00E7644C"/>
    <w:rsid w:val="00E764D8"/>
    <w:rsid w:val="00E771F6"/>
    <w:rsid w:val="00E77560"/>
    <w:rsid w:val="00E77DE1"/>
    <w:rsid w:val="00E804C7"/>
    <w:rsid w:val="00E81471"/>
    <w:rsid w:val="00E823F1"/>
    <w:rsid w:val="00E82409"/>
    <w:rsid w:val="00E82605"/>
    <w:rsid w:val="00E82860"/>
    <w:rsid w:val="00E828E4"/>
    <w:rsid w:val="00E82CE4"/>
    <w:rsid w:val="00E830EB"/>
    <w:rsid w:val="00E833D0"/>
    <w:rsid w:val="00E83C80"/>
    <w:rsid w:val="00E83D03"/>
    <w:rsid w:val="00E8404C"/>
    <w:rsid w:val="00E84FB6"/>
    <w:rsid w:val="00E8507D"/>
    <w:rsid w:val="00E85D94"/>
    <w:rsid w:val="00E860B7"/>
    <w:rsid w:val="00E86A92"/>
    <w:rsid w:val="00E86CCE"/>
    <w:rsid w:val="00E87639"/>
    <w:rsid w:val="00E903B9"/>
    <w:rsid w:val="00E90554"/>
    <w:rsid w:val="00E905B0"/>
    <w:rsid w:val="00E907CE"/>
    <w:rsid w:val="00E9204A"/>
    <w:rsid w:val="00E92F8F"/>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8A1"/>
    <w:rsid w:val="00EA3E25"/>
    <w:rsid w:val="00EA46D1"/>
    <w:rsid w:val="00EA563A"/>
    <w:rsid w:val="00EA675E"/>
    <w:rsid w:val="00EB0043"/>
    <w:rsid w:val="00EB04F2"/>
    <w:rsid w:val="00EB2161"/>
    <w:rsid w:val="00EB231D"/>
    <w:rsid w:val="00EB26F4"/>
    <w:rsid w:val="00EB287F"/>
    <w:rsid w:val="00EB2EE3"/>
    <w:rsid w:val="00EB3BF6"/>
    <w:rsid w:val="00EB3C3F"/>
    <w:rsid w:val="00EB513B"/>
    <w:rsid w:val="00EB5D61"/>
    <w:rsid w:val="00EB6002"/>
    <w:rsid w:val="00EB63FC"/>
    <w:rsid w:val="00EB77FA"/>
    <w:rsid w:val="00EC1895"/>
    <w:rsid w:val="00EC1F2E"/>
    <w:rsid w:val="00EC2395"/>
    <w:rsid w:val="00EC299E"/>
    <w:rsid w:val="00EC3008"/>
    <w:rsid w:val="00EC326A"/>
    <w:rsid w:val="00EC413A"/>
    <w:rsid w:val="00EC46E8"/>
    <w:rsid w:val="00EC5A28"/>
    <w:rsid w:val="00EC5F09"/>
    <w:rsid w:val="00EC617D"/>
    <w:rsid w:val="00EC65AE"/>
    <w:rsid w:val="00EC671A"/>
    <w:rsid w:val="00ED064B"/>
    <w:rsid w:val="00ED0D4B"/>
    <w:rsid w:val="00ED0EA4"/>
    <w:rsid w:val="00ED19BE"/>
    <w:rsid w:val="00ED1B8C"/>
    <w:rsid w:val="00ED202B"/>
    <w:rsid w:val="00ED2F1E"/>
    <w:rsid w:val="00ED3295"/>
    <w:rsid w:val="00ED32C8"/>
    <w:rsid w:val="00ED33F0"/>
    <w:rsid w:val="00ED37AE"/>
    <w:rsid w:val="00ED4001"/>
    <w:rsid w:val="00ED6401"/>
    <w:rsid w:val="00ED754D"/>
    <w:rsid w:val="00ED757A"/>
    <w:rsid w:val="00ED7838"/>
    <w:rsid w:val="00EE03BF"/>
    <w:rsid w:val="00EE1026"/>
    <w:rsid w:val="00EE1253"/>
    <w:rsid w:val="00EE12E1"/>
    <w:rsid w:val="00EE1BED"/>
    <w:rsid w:val="00EE32CD"/>
    <w:rsid w:val="00EE32EF"/>
    <w:rsid w:val="00EE3DFC"/>
    <w:rsid w:val="00EE4096"/>
    <w:rsid w:val="00EE4FB2"/>
    <w:rsid w:val="00EE50BF"/>
    <w:rsid w:val="00EE5327"/>
    <w:rsid w:val="00EE66DD"/>
    <w:rsid w:val="00EE6F2C"/>
    <w:rsid w:val="00EE7741"/>
    <w:rsid w:val="00EF06BC"/>
    <w:rsid w:val="00EF097E"/>
    <w:rsid w:val="00EF0B94"/>
    <w:rsid w:val="00EF1634"/>
    <w:rsid w:val="00EF176E"/>
    <w:rsid w:val="00EF1995"/>
    <w:rsid w:val="00EF1FD7"/>
    <w:rsid w:val="00EF243A"/>
    <w:rsid w:val="00EF2C66"/>
    <w:rsid w:val="00EF30B0"/>
    <w:rsid w:val="00EF34C5"/>
    <w:rsid w:val="00EF4B15"/>
    <w:rsid w:val="00EF542C"/>
    <w:rsid w:val="00EF58B6"/>
    <w:rsid w:val="00EF6276"/>
    <w:rsid w:val="00EF643A"/>
    <w:rsid w:val="00EF6CC7"/>
    <w:rsid w:val="00EF6D22"/>
    <w:rsid w:val="00EF6EE6"/>
    <w:rsid w:val="00EF7235"/>
    <w:rsid w:val="00EF7241"/>
    <w:rsid w:val="00EF78D0"/>
    <w:rsid w:val="00EF7BA7"/>
    <w:rsid w:val="00EF7CFA"/>
    <w:rsid w:val="00EF7E4D"/>
    <w:rsid w:val="00F00AB5"/>
    <w:rsid w:val="00F00D55"/>
    <w:rsid w:val="00F010ED"/>
    <w:rsid w:val="00F02830"/>
    <w:rsid w:val="00F02A35"/>
    <w:rsid w:val="00F02DBD"/>
    <w:rsid w:val="00F04579"/>
    <w:rsid w:val="00F04665"/>
    <w:rsid w:val="00F04E57"/>
    <w:rsid w:val="00F07258"/>
    <w:rsid w:val="00F109B0"/>
    <w:rsid w:val="00F10ABB"/>
    <w:rsid w:val="00F10B46"/>
    <w:rsid w:val="00F11000"/>
    <w:rsid w:val="00F115C8"/>
    <w:rsid w:val="00F116E6"/>
    <w:rsid w:val="00F11FDC"/>
    <w:rsid w:val="00F12539"/>
    <w:rsid w:val="00F141FF"/>
    <w:rsid w:val="00F14546"/>
    <w:rsid w:val="00F14EFB"/>
    <w:rsid w:val="00F1683E"/>
    <w:rsid w:val="00F17473"/>
    <w:rsid w:val="00F17725"/>
    <w:rsid w:val="00F2055B"/>
    <w:rsid w:val="00F2192E"/>
    <w:rsid w:val="00F22847"/>
    <w:rsid w:val="00F23081"/>
    <w:rsid w:val="00F23861"/>
    <w:rsid w:val="00F239E6"/>
    <w:rsid w:val="00F243DC"/>
    <w:rsid w:val="00F24CA6"/>
    <w:rsid w:val="00F2511E"/>
    <w:rsid w:val="00F26A5F"/>
    <w:rsid w:val="00F26AD3"/>
    <w:rsid w:val="00F26D01"/>
    <w:rsid w:val="00F27153"/>
    <w:rsid w:val="00F301B5"/>
    <w:rsid w:val="00F310BE"/>
    <w:rsid w:val="00F319D8"/>
    <w:rsid w:val="00F32106"/>
    <w:rsid w:val="00F32334"/>
    <w:rsid w:val="00F328BF"/>
    <w:rsid w:val="00F3308D"/>
    <w:rsid w:val="00F339A4"/>
    <w:rsid w:val="00F33AC8"/>
    <w:rsid w:val="00F34319"/>
    <w:rsid w:val="00F34438"/>
    <w:rsid w:val="00F3446A"/>
    <w:rsid w:val="00F34472"/>
    <w:rsid w:val="00F3533E"/>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BD3"/>
    <w:rsid w:val="00F42D33"/>
    <w:rsid w:val="00F42D7E"/>
    <w:rsid w:val="00F42FC3"/>
    <w:rsid w:val="00F44AB2"/>
    <w:rsid w:val="00F45458"/>
    <w:rsid w:val="00F45608"/>
    <w:rsid w:val="00F458A7"/>
    <w:rsid w:val="00F45B4D"/>
    <w:rsid w:val="00F45B79"/>
    <w:rsid w:val="00F45D4E"/>
    <w:rsid w:val="00F45E50"/>
    <w:rsid w:val="00F473CD"/>
    <w:rsid w:val="00F47614"/>
    <w:rsid w:val="00F47942"/>
    <w:rsid w:val="00F5001F"/>
    <w:rsid w:val="00F5092C"/>
    <w:rsid w:val="00F50F2A"/>
    <w:rsid w:val="00F51D00"/>
    <w:rsid w:val="00F52DA0"/>
    <w:rsid w:val="00F532F7"/>
    <w:rsid w:val="00F542DA"/>
    <w:rsid w:val="00F543BD"/>
    <w:rsid w:val="00F546A2"/>
    <w:rsid w:val="00F55AEE"/>
    <w:rsid w:val="00F56D96"/>
    <w:rsid w:val="00F56DF4"/>
    <w:rsid w:val="00F572C2"/>
    <w:rsid w:val="00F5761E"/>
    <w:rsid w:val="00F57996"/>
    <w:rsid w:val="00F57C02"/>
    <w:rsid w:val="00F6014A"/>
    <w:rsid w:val="00F607E2"/>
    <w:rsid w:val="00F60A19"/>
    <w:rsid w:val="00F62096"/>
    <w:rsid w:val="00F621BD"/>
    <w:rsid w:val="00F623FE"/>
    <w:rsid w:val="00F6244E"/>
    <w:rsid w:val="00F626DE"/>
    <w:rsid w:val="00F63926"/>
    <w:rsid w:val="00F63ACE"/>
    <w:rsid w:val="00F641A3"/>
    <w:rsid w:val="00F64E8F"/>
    <w:rsid w:val="00F64F90"/>
    <w:rsid w:val="00F654AB"/>
    <w:rsid w:val="00F655FC"/>
    <w:rsid w:val="00F658F6"/>
    <w:rsid w:val="00F65AB0"/>
    <w:rsid w:val="00F660EF"/>
    <w:rsid w:val="00F6627A"/>
    <w:rsid w:val="00F66318"/>
    <w:rsid w:val="00F668CA"/>
    <w:rsid w:val="00F668EE"/>
    <w:rsid w:val="00F6798E"/>
    <w:rsid w:val="00F67F7B"/>
    <w:rsid w:val="00F70771"/>
    <w:rsid w:val="00F710BA"/>
    <w:rsid w:val="00F7138B"/>
    <w:rsid w:val="00F71BC2"/>
    <w:rsid w:val="00F71EC1"/>
    <w:rsid w:val="00F72C4A"/>
    <w:rsid w:val="00F74589"/>
    <w:rsid w:val="00F74C4E"/>
    <w:rsid w:val="00F7578C"/>
    <w:rsid w:val="00F75863"/>
    <w:rsid w:val="00F75A7D"/>
    <w:rsid w:val="00F76D07"/>
    <w:rsid w:val="00F770EE"/>
    <w:rsid w:val="00F77F07"/>
    <w:rsid w:val="00F80533"/>
    <w:rsid w:val="00F80DE0"/>
    <w:rsid w:val="00F80F90"/>
    <w:rsid w:val="00F8127B"/>
    <w:rsid w:val="00F81A6C"/>
    <w:rsid w:val="00F81CEF"/>
    <w:rsid w:val="00F82543"/>
    <w:rsid w:val="00F828A8"/>
    <w:rsid w:val="00F83828"/>
    <w:rsid w:val="00F8406B"/>
    <w:rsid w:val="00F84177"/>
    <w:rsid w:val="00F84FBC"/>
    <w:rsid w:val="00F855C7"/>
    <w:rsid w:val="00F85B41"/>
    <w:rsid w:val="00F86ACE"/>
    <w:rsid w:val="00F86F05"/>
    <w:rsid w:val="00F87C18"/>
    <w:rsid w:val="00F87C37"/>
    <w:rsid w:val="00F87CC0"/>
    <w:rsid w:val="00F87F3D"/>
    <w:rsid w:val="00F90B1B"/>
    <w:rsid w:val="00F91A4F"/>
    <w:rsid w:val="00F91C50"/>
    <w:rsid w:val="00F91F92"/>
    <w:rsid w:val="00F92D16"/>
    <w:rsid w:val="00F93072"/>
    <w:rsid w:val="00F93497"/>
    <w:rsid w:val="00F93CC5"/>
    <w:rsid w:val="00F94F46"/>
    <w:rsid w:val="00F95D92"/>
    <w:rsid w:val="00F96C1B"/>
    <w:rsid w:val="00F97B40"/>
    <w:rsid w:val="00F97E1E"/>
    <w:rsid w:val="00FA02BF"/>
    <w:rsid w:val="00FA0FF2"/>
    <w:rsid w:val="00FA17A2"/>
    <w:rsid w:val="00FA1A19"/>
    <w:rsid w:val="00FA28EF"/>
    <w:rsid w:val="00FA2E34"/>
    <w:rsid w:val="00FA343E"/>
    <w:rsid w:val="00FA3655"/>
    <w:rsid w:val="00FA44CB"/>
    <w:rsid w:val="00FA4E18"/>
    <w:rsid w:val="00FA5B18"/>
    <w:rsid w:val="00FA7082"/>
    <w:rsid w:val="00FA7218"/>
    <w:rsid w:val="00FA72B1"/>
    <w:rsid w:val="00FA72E4"/>
    <w:rsid w:val="00FA777F"/>
    <w:rsid w:val="00FA77ED"/>
    <w:rsid w:val="00FA7A17"/>
    <w:rsid w:val="00FA7C18"/>
    <w:rsid w:val="00FB001B"/>
    <w:rsid w:val="00FB073F"/>
    <w:rsid w:val="00FB1079"/>
    <w:rsid w:val="00FB1587"/>
    <w:rsid w:val="00FB1787"/>
    <w:rsid w:val="00FB2097"/>
    <w:rsid w:val="00FB23A1"/>
    <w:rsid w:val="00FB2E60"/>
    <w:rsid w:val="00FB328B"/>
    <w:rsid w:val="00FB3989"/>
    <w:rsid w:val="00FB4CD9"/>
    <w:rsid w:val="00FB5477"/>
    <w:rsid w:val="00FB67A2"/>
    <w:rsid w:val="00FB6B40"/>
    <w:rsid w:val="00FB72CE"/>
    <w:rsid w:val="00FB7794"/>
    <w:rsid w:val="00FC0320"/>
    <w:rsid w:val="00FC0A73"/>
    <w:rsid w:val="00FC0AC8"/>
    <w:rsid w:val="00FC10CD"/>
    <w:rsid w:val="00FC1212"/>
    <w:rsid w:val="00FC1994"/>
    <w:rsid w:val="00FC19E9"/>
    <w:rsid w:val="00FC2B60"/>
    <w:rsid w:val="00FC3489"/>
    <w:rsid w:val="00FC3BA0"/>
    <w:rsid w:val="00FC46E7"/>
    <w:rsid w:val="00FC4984"/>
    <w:rsid w:val="00FC49B5"/>
    <w:rsid w:val="00FC4EC6"/>
    <w:rsid w:val="00FC60A9"/>
    <w:rsid w:val="00FC6590"/>
    <w:rsid w:val="00FC666B"/>
    <w:rsid w:val="00FC6AC8"/>
    <w:rsid w:val="00FC7C71"/>
    <w:rsid w:val="00FC7D60"/>
    <w:rsid w:val="00FD1578"/>
    <w:rsid w:val="00FD1589"/>
    <w:rsid w:val="00FD1C3D"/>
    <w:rsid w:val="00FD1FEA"/>
    <w:rsid w:val="00FD296C"/>
    <w:rsid w:val="00FD3012"/>
    <w:rsid w:val="00FD310A"/>
    <w:rsid w:val="00FD33D8"/>
    <w:rsid w:val="00FD340F"/>
    <w:rsid w:val="00FD3753"/>
    <w:rsid w:val="00FD3C7F"/>
    <w:rsid w:val="00FD495A"/>
    <w:rsid w:val="00FD526D"/>
    <w:rsid w:val="00FD5981"/>
    <w:rsid w:val="00FD5E8A"/>
    <w:rsid w:val="00FD6306"/>
    <w:rsid w:val="00FD71DA"/>
    <w:rsid w:val="00FD7323"/>
    <w:rsid w:val="00FD763C"/>
    <w:rsid w:val="00FD7AC1"/>
    <w:rsid w:val="00FD7CF7"/>
    <w:rsid w:val="00FD7E44"/>
    <w:rsid w:val="00FE073C"/>
    <w:rsid w:val="00FE2953"/>
    <w:rsid w:val="00FE2A27"/>
    <w:rsid w:val="00FE310F"/>
    <w:rsid w:val="00FE3F97"/>
    <w:rsid w:val="00FE43E5"/>
    <w:rsid w:val="00FE47B3"/>
    <w:rsid w:val="00FE5477"/>
    <w:rsid w:val="00FE57B0"/>
    <w:rsid w:val="00FE64F3"/>
    <w:rsid w:val="00FE6A13"/>
    <w:rsid w:val="00FE6B30"/>
    <w:rsid w:val="00FE77DC"/>
    <w:rsid w:val="00FE7AD4"/>
    <w:rsid w:val="00FF0A41"/>
    <w:rsid w:val="00FF1693"/>
    <w:rsid w:val="00FF17E7"/>
    <w:rsid w:val="00FF1F45"/>
    <w:rsid w:val="00FF1FA2"/>
    <w:rsid w:val="00FF23AA"/>
    <w:rsid w:val="00FF27BE"/>
    <w:rsid w:val="00FF2D97"/>
    <w:rsid w:val="00FF3070"/>
    <w:rsid w:val="00FF3113"/>
    <w:rsid w:val="00FF315C"/>
    <w:rsid w:val="00FF6561"/>
    <w:rsid w:val="00FF666D"/>
    <w:rsid w:val="00FF7440"/>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795185"/>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30c7e51-021d-4693-adc4-5390b1c199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ition-policy.ec.europa.eu/document/download/4dfa3830-4463-4d69-8222-9ef311a06fe1_en?filename=2023_Opinion_RFO_36_Redacted_en.pdf" TargetMode="External"/><Relationship Id="rId5" Type="http://schemas.openxmlformats.org/officeDocument/2006/relationships/webSettings" Target="webSettings.xml"/><Relationship Id="rId10" Type="http://schemas.openxmlformats.org/officeDocument/2006/relationships/hyperlink" Target="https://gateway.elieta.lv/api/v1/PublicMaterialDownload/52a76f9f-db1c-457d-b2cf-53f10779df7a" TargetMode="External"/><Relationship Id="rId4" Type="http://schemas.openxmlformats.org/officeDocument/2006/relationships/settings" Target="settings.xml"/><Relationship Id="rId9" Type="http://schemas.openxmlformats.org/officeDocument/2006/relationships/hyperlink" Target="https://gateway.elieta.lv/api/v1/PublicMaterialDownload/735e2d43-f5c7-42b4-bb89-28fc87273a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3BEB-2ED6-4B9C-B798-0718BC36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17652</Words>
  <Characters>10063</Characters>
  <Application>Microsoft Office Word</Application>
  <DocSecurity>0</DocSecurity>
  <Lines>83</Lines>
  <Paragraphs>55</Paragraphs>
  <ScaleCrop>false</ScaleCrop>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2026-06-29T16:12:00Z</dcterms:created>
  <dcterms:modified xsi:type="dcterms:W3CDTF">2026-06-29T16:12:00Z</dcterms:modified>
</cp:coreProperties>
</file>