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ED4D2" w14:textId="14FAEBE7" w:rsidR="00795185" w:rsidRDefault="00795185" w:rsidP="00A040F0">
      <w:pPr>
        <w:spacing w:line="276" w:lineRule="auto"/>
        <w:jc w:val="both"/>
        <w:rPr>
          <w:b/>
          <w:bCs/>
          <w:color w:val="000000"/>
          <w:lang w:eastAsia="lv-LV"/>
        </w:rPr>
      </w:pPr>
      <w:r>
        <w:rPr>
          <w:b/>
          <w:bCs/>
          <w:lang w:eastAsia="en-US"/>
        </w:rPr>
        <w:t xml:space="preserve">Uzņēmuma galvenās darbības nozīme, vērtējot, vai uzņēmums atbilst finanšu iestādes jēdzienam </w:t>
      </w:r>
      <w:r>
        <w:rPr>
          <w:b/>
          <w:bCs/>
        </w:rPr>
        <w:t>Ministru kabineta 2020.gada 10.novembra noteikumu Nr. 676 „Noteikumi par atbalstu Covid-19 krīzes skartajiem uzņēmumiem apgrozāmo līdzekļu plūsmas nodrošināšanai” 16.7.apakšpunkta izpratnē</w:t>
      </w:r>
    </w:p>
    <w:p w14:paraId="3B9772FA" w14:textId="77777777" w:rsidR="00795185" w:rsidRDefault="00795185" w:rsidP="00A040F0">
      <w:pPr>
        <w:autoSpaceDE w:val="0"/>
        <w:autoSpaceDN w:val="0"/>
        <w:spacing w:line="276" w:lineRule="auto"/>
        <w:jc w:val="both"/>
        <w:rPr>
          <w:color w:val="000000"/>
        </w:rPr>
      </w:pPr>
      <w:r>
        <w:rPr>
          <w:color w:val="000000"/>
        </w:rPr>
        <w:t>Lai uzņēmumu atzītu par finanšu iestādi Eiropas Parlamenta un Padomes 2013.gada 26.jūnija regulas Nr. 575/2013 par prudenciālajām prasībām attiecībā uz kredītiestādēm un ieguldījumu brokeru sabiedrībām, un ar ko groza Regulu (ES) Nr. 648/2012 4.panta 1.punkta 26.apakšpunkta izpratnē, jākonstatē, ka uzņēmuma galvenā darbība ir līdzdalības iegāde vai viena vai vairākas no Eiropas Parlamenta un Padomes 2013.gada 26.jūnija direktīvas 2013/36/ES par piekļuvi kredītiestāžu darbībai un kredītiestāžu un ieguldījumu brokeru sabiedrību prudenciālo uzraudzību, ar ko groza Direktīvu 2002/87/EK un atceļ Direktīvas 2006/48/EK un 2006/49/EK I pielikuma 2. līdz 12.punktā un 15.punktā uzskaitītajām darbībām.</w:t>
      </w:r>
    </w:p>
    <w:p w14:paraId="3DFF666A" w14:textId="09C48DC4" w:rsidR="00795185" w:rsidRDefault="00795185" w:rsidP="00A040F0">
      <w:pPr>
        <w:spacing w:line="276" w:lineRule="auto"/>
        <w:jc w:val="both"/>
        <w:rPr>
          <w:color w:val="000000"/>
        </w:rPr>
      </w:pPr>
      <w:r>
        <w:rPr>
          <w:color w:val="000000"/>
        </w:rPr>
        <w:t>Tādējādi ir svarīgi nošķirt uzņēmuma galveno darbību no jebkuras citas (sekundāras, papildu, palīgdarbības) darbības. Uzņēmums, kas veic vienu vai vairākas no direktīvas 2013/36/ES I pielikuma 2. līdz 12.punktā un 15.punktā uzskaitītajām darbībām tikai kā sekundāru, papildu vai palīgdarbību, netiek uzskatīts par finanšu iestādi saskaņā ar Eiropas Savienības tiesību aktiem, kas piemērojami finanšu darbību veikšanai</w:t>
      </w:r>
      <w:r>
        <w:rPr>
          <w:color w:val="000000"/>
        </w:rPr>
        <w:t>.</w:t>
      </w:r>
    </w:p>
    <w:p w14:paraId="7E3B390D" w14:textId="77777777" w:rsidR="00795185" w:rsidRDefault="00795185" w:rsidP="00A040F0">
      <w:pPr>
        <w:spacing w:line="276" w:lineRule="auto"/>
        <w:rPr>
          <w:rFonts w:asciiTheme="majorBidi" w:eastAsiaTheme="minorEastAsia" w:hAnsiTheme="majorBidi" w:cstheme="majorBidi"/>
          <w:lang w:eastAsia="en-US"/>
        </w:rPr>
      </w:pPr>
    </w:p>
    <w:p w14:paraId="6E73031E" w14:textId="178EA24C" w:rsidR="004F2870" w:rsidRPr="001B099E" w:rsidRDefault="004F2870" w:rsidP="00A040F0">
      <w:pPr>
        <w:spacing w:line="276" w:lineRule="auto"/>
        <w:jc w:val="center"/>
        <w:rPr>
          <w:rFonts w:asciiTheme="majorBidi" w:hAnsiTheme="majorBidi" w:cstheme="majorBidi"/>
          <w:b/>
        </w:rPr>
      </w:pPr>
      <w:r w:rsidRPr="001B099E">
        <w:rPr>
          <w:rFonts w:asciiTheme="majorBidi" w:hAnsiTheme="majorBidi" w:cstheme="majorBidi"/>
          <w:b/>
        </w:rPr>
        <w:t>Latvijas Republikas Senāt</w:t>
      </w:r>
      <w:r w:rsidR="00795185">
        <w:rPr>
          <w:rFonts w:asciiTheme="majorBidi" w:hAnsiTheme="majorBidi" w:cstheme="majorBidi"/>
          <w:b/>
        </w:rPr>
        <w:t>a</w:t>
      </w:r>
      <w:r w:rsidR="00795185">
        <w:rPr>
          <w:rFonts w:asciiTheme="majorBidi" w:hAnsiTheme="majorBidi" w:cstheme="majorBidi"/>
          <w:b/>
        </w:rPr>
        <w:br/>
        <w:t>Administratīvo lietu departamenta</w:t>
      </w:r>
      <w:r w:rsidR="00795185">
        <w:rPr>
          <w:rFonts w:asciiTheme="majorBidi" w:hAnsiTheme="majorBidi" w:cstheme="majorBidi"/>
          <w:b/>
        </w:rPr>
        <w:br/>
        <w:t>2026.gada 4.jūnija</w:t>
      </w:r>
    </w:p>
    <w:p w14:paraId="4D4B7D13" w14:textId="77777777" w:rsidR="004F2870" w:rsidRDefault="004F2870" w:rsidP="00A040F0">
      <w:pPr>
        <w:spacing w:line="276" w:lineRule="auto"/>
        <w:jc w:val="center"/>
        <w:rPr>
          <w:rFonts w:asciiTheme="majorBidi" w:hAnsiTheme="majorBidi" w:cstheme="majorBidi"/>
          <w:b/>
        </w:rPr>
      </w:pPr>
      <w:r w:rsidRPr="001B099E">
        <w:rPr>
          <w:rFonts w:asciiTheme="majorBidi" w:hAnsiTheme="majorBidi" w:cstheme="majorBidi"/>
          <w:b/>
        </w:rPr>
        <w:t>SPRIEDUMS</w:t>
      </w:r>
    </w:p>
    <w:p w14:paraId="71A54BB1" w14:textId="609B4BFD" w:rsidR="00795185" w:rsidRPr="00795185" w:rsidRDefault="00795185" w:rsidP="00A040F0">
      <w:pPr>
        <w:spacing w:line="276" w:lineRule="auto"/>
        <w:jc w:val="center"/>
        <w:rPr>
          <w:rFonts w:asciiTheme="majorBidi" w:eastAsiaTheme="minorEastAsia" w:hAnsiTheme="majorBidi" w:cstheme="majorBidi"/>
          <w:b/>
          <w:bCs/>
          <w:lang w:eastAsia="en-US"/>
        </w:rPr>
      </w:pPr>
      <w:r w:rsidRPr="00795185">
        <w:rPr>
          <w:rFonts w:asciiTheme="majorBidi" w:eastAsiaTheme="minorEastAsia" w:hAnsiTheme="majorBidi" w:cstheme="majorBidi"/>
          <w:b/>
          <w:bCs/>
          <w:lang w:eastAsia="en-US"/>
        </w:rPr>
        <w:t>Lieta Nr.</w:t>
      </w:r>
      <w:r w:rsidRPr="00795185">
        <w:rPr>
          <w:rFonts w:asciiTheme="majorBidi" w:hAnsiTheme="majorBidi" w:cstheme="majorBidi"/>
          <w:b/>
          <w:bCs/>
        </w:rPr>
        <w:t> A420242421</w:t>
      </w:r>
      <w:r w:rsidRPr="00795185">
        <w:rPr>
          <w:rFonts w:asciiTheme="majorBidi" w:eastAsiaTheme="minorEastAsia" w:hAnsiTheme="majorBidi" w:cstheme="majorBidi"/>
          <w:b/>
          <w:bCs/>
          <w:lang w:eastAsia="en-US"/>
        </w:rPr>
        <w:t>, SKA-21/2026</w:t>
      </w:r>
    </w:p>
    <w:p w14:paraId="581FE715" w14:textId="0374F11F" w:rsidR="00795185" w:rsidRPr="00795185" w:rsidRDefault="00795185" w:rsidP="00A040F0">
      <w:pPr>
        <w:spacing w:line="276" w:lineRule="auto"/>
        <w:jc w:val="center"/>
        <w:rPr>
          <w:rFonts w:asciiTheme="majorBidi" w:hAnsiTheme="majorBidi" w:cstheme="majorBidi"/>
          <w:b/>
        </w:rPr>
      </w:pPr>
      <w:r>
        <w:t xml:space="preserve"> </w:t>
      </w:r>
      <w:hyperlink r:id="rId8" w:history="1">
        <w:r w:rsidRPr="00A040F0">
          <w:rPr>
            <w:rStyle w:val="Hyperlink"/>
          </w:rPr>
          <w:t>ECLI:LV:AT:2026:0604.A420242421.22.S</w:t>
        </w:r>
      </w:hyperlink>
    </w:p>
    <w:p w14:paraId="738951AD" w14:textId="77777777" w:rsidR="004F2870" w:rsidRPr="001B099E" w:rsidRDefault="004F2870" w:rsidP="00A040F0">
      <w:pPr>
        <w:spacing w:line="276" w:lineRule="auto"/>
        <w:rPr>
          <w:rFonts w:asciiTheme="majorBidi" w:hAnsiTheme="majorBidi" w:cstheme="majorBidi"/>
        </w:rPr>
      </w:pPr>
    </w:p>
    <w:p w14:paraId="760F4046" w14:textId="77777777" w:rsidR="004F2870" w:rsidRPr="001B099E" w:rsidRDefault="004F2870" w:rsidP="00A040F0">
      <w:pPr>
        <w:spacing w:line="276" w:lineRule="auto"/>
        <w:ind w:firstLine="720"/>
        <w:jc w:val="both"/>
        <w:rPr>
          <w:rFonts w:asciiTheme="majorBidi" w:hAnsiTheme="majorBidi" w:cstheme="majorBidi"/>
        </w:rPr>
      </w:pPr>
      <w:r w:rsidRPr="001B099E">
        <w:rPr>
          <w:rFonts w:asciiTheme="majorBidi" w:hAnsiTheme="majorBidi" w:cstheme="majorBidi"/>
        </w:rPr>
        <w:t xml:space="preserve">Senāts šādā sastāvā: senatore referente Dzintra Amerika, senatores </w:t>
      </w:r>
      <w:r>
        <w:rPr>
          <w:rFonts w:asciiTheme="majorBidi" w:hAnsiTheme="majorBidi" w:cstheme="majorBidi"/>
        </w:rPr>
        <w:t>Vēsma Kakste un Indra Meldere</w:t>
      </w:r>
    </w:p>
    <w:p w14:paraId="4221A2F5" w14:textId="77777777" w:rsidR="004F2870" w:rsidRPr="001B099E" w:rsidRDefault="004F2870" w:rsidP="00A040F0">
      <w:pPr>
        <w:spacing w:line="276" w:lineRule="auto"/>
        <w:ind w:firstLine="720"/>
        <w:jc w:val="both"/>
        <w:rPr>
          <w:rFonts w:asciiTheme="majorBidi" w:hAnsiTheme="majorBidi" w:cstheme="majorBidi"/>
        </w:rPr>
      </w:pPr>
    </w:p>
    <w:p w14:paraId="1F756FA4" w14:textId="77777777" w:rsidR="004F2870" w:rsidRPr="001B099E" w:rsidRDefault="004F2870" w:rsidP="00A040F0">
      <w:pPr>
        <w:spacing w:line="276" w:lineRule="auto"/>
        <w:ind w:firstLine="720"/>
        <w:jc w:val="both"/>
        <w:rPr>
          <w:rFonts w:asciiTheme="majorBidi" w:hAnsiTheme="majorBidi" w:cstheme="majorBidi"/>
        </w:rPr>
      </w:pPr>
      <w:r w:rsidRPr="001B099E">
        <w:rPr>
          <w:rFonts w:asciiTheme="majorBidi" w:hAnsiTheme="majorBidi" w:cstheme="majorBidi"/>
        </w:rPr>
        <w:t xml:space="preserve">rakstveida procesā izskatīja administratīvo lietu, kas ierosināta, </w:t>
      </w:r>
      <w:r w:rsidRPr="001B099E">
        <w:rPr>
          <w:rFonts w:asciiTheme="majorBidi" w:hAnsiTheme="majorBidi" w:cstheme="majorBidi"/>
          <w:lang w:eastAsia="lv-LV"/>
        </w:rPr>
        <w:t>pamatojoties uz SIA „</w:t>
      </w:r>
      <w:r w:rsidRPr="003F41C1">
        <w:rPr>
          <w:rFonts w:asciiTheme="majorBidi" w:hAnsiTheme="majorBidi" w:cstheme="majorBidi"/>
          <w:lang w:eastAsia="lv-LV"/>
        </w:rPr>
        <w:t>ABZ FINANCE</w:t>
      </w:r>
      <w:r w:rsidRPr="001B099E">
        <w:rPr>
          <w:rFonts w:asciiTheme="majorBidi" w:hAnsiTheme="majorBidi" w:cstheme="majorBidi"/>
          <w:lang w:eastAsia="lv-LV"/>
        </w:rPr>
        <w:t>” pieteikumu par</w:t>
      </w:r>
      <w:r>
        <w:rPr>
          <w:rFonts w:asciiTheme="majorBidi" w:hAnsiTheme="majorBidi" w:cstheme="majorBidi"/>
          <w:lang w:eastAsia="lv-LV"/>
        </w:rPr>
        <w:t xml:space="preserve"> labvēlīga administratīvā akta izdošanu</w:t>
      </w:r>
      <w:r w:rsidRPr="001B099E">
        <w:rPr>
          <w:rFonts w:asciiTheme="majorBidi" w:hAnsiTheme="majorBidi" w:cstheme="majorBidi"/>
        </w:rPr>
        <w:t xml:space="preserve">, sakarā ar </w:t>
      </w:r>
      <w:r>
        <w:rPr>
          <w:rFonts w:asciiTheme="majorBidi" w:hAnsiTheme="majorBidi" w:cstheme="majorBidi"/>
          <w:lang w:eastAsia="lv-LV"/>
        </w:rPr>
        <w:t xml:space="preserve">pieteicējas </w:t>
      </w:r>
      <w:r w:rsidRPr="001B099E">
        <w:rPr>
          <w:rFonts w:asciiTheme="majorBidi" w:hAnsiTheme="majorBidi" w:cstheme="majorBidi"/>
        </w:rPr>
        <w:t>kasācijas sūdzību par Administratīvās apgabaltiesas 202</w:t>
      </w:r>
      <w:r>
        <w:rPr>
          <w:rFonts w:asciiTheme="majorBidi" w:hAnsiTheme="majorBidi" w:cstheme="majorBidi"/>
        </w:rPr>
        <w:t>3</w:t>
      </w:r>
      <w:r w:rsidRPr="001B099E">
        <w:rPr>
          <w:rFonts w:asciiTheme="majorBidi" w:hAnsiTheme="majorBidi" w:cstheme="majorBidi"/>
        </w:rPr>
        <w:t xml:space="preserve">.gada </w:t>
      </w:r>
      <w:r>
        <w:rPr>
          <w:rFonts w:asciiTheme="majorBidi" w:hAnsiTheme="majorBidi" w:cstheme="majorBidi"/>
        </w:rPr>
        <w:t>14.decembra</w:t>
      </w:r>
      <w:r w:rsidRPr="001B099E">
        <w:rPr>
          <w:rFonts w:asciiTheme="majorBidi" w:hAnsiTheme="majorBidi" w:cstheme="majorBidi"/>
        </w:rPr>
        <w:t xml:space="preserve"> spriedumu.</w:t>
      </w:r>
    </w:p>
    <w:p w14:paraId="7748A9DC" w14:textId="77777777" w:rsidR="004F2870" w:rsidRPr="001B099E" w:rsidRDefault="004F2870" w:rsidP="00A040F0">
      <w:pPr>
        <w:spacing w:line="276" w:lineRule="auto"/>
        <w:jc w:val="center"/>
        <w:rPr>
          <w:rFonts w:asciiTheme="majorBidi" w:hAnsiTheme="majorBidi" w:cstheme="majorBidi"/>
          <w:b/>
          <w:bCs/>
        </w:rPr>
      </w:pPr>
      <w:r w:rsidRPr="001B099E">
        <w:rPr>
          <w:rFonts w:asciiTheme="majorBidi" w:hAnsiTheme="majorBidi" w:cstheme="majorBidi"/>
          <w:b/>
          <w:bCs/>
        </w:rPr>
        <w:t>Aprakstošā daļa</w:t>
      </w:r>
    </w:p>
    <w:p w14:paraId="39A96179" w14:textId="77777777" w:rsidR="004F2870" w:rsidRDefault="004F2870" w:rsidP="00A040F0">
      <w:pPr>
        <w:spacing w:line="276" w:lineRule="auto"/>
        <w:ind w:firstLine="567"/>
        <w:jc w:val="both"/>
        <w:rPr>
          <w:rFonts w:asciiTheme="majorBidi" w:hAnsiTheme="majorBidi" w:cstheme="majorBidi"/>
        </w:rPr>
      </w:pPr>
    </w:p>
    <w:p w14:paraId="320D1EDF" w14:textId="77777777" w:rsidR="004F2870" w:rsidRPr="00E72F48" w:rsidRDefault="004F2870" w:rsidP="00A040F0">
      <w:pPr>
        <w:spacing w:line="276" w:lineRule="auto"/>
        <w:ind w:firstLine="720"/>
        <w:jc w:val="both"/>
        <w:rPr>
          <w:rFonts w:asciiTheme="majorBidi" w:hAnsiTheme="majorBidi" w:cstheme="majorBidi"/>
          <w:lang w:eastAsia="lv-LV"/>
        </w:rPr>
      </w:pPr>
      <w:r w:rsidRPr="001B099E">
        <w:rPr>
          <w:rFonts w:asciiTheme="majorBidi" w:hAnsiTheme="majorBidi" w:cstheme="majorBidi"/>
          <w:lang w:eastAsia="lv-LV"/>
        </w:rPr>
        <w:t xml:space="preserve">[1] </w:t>
      </w:r>
      <w:r>
        <w:rPr>
          <w:rFonts w:asciiTheme="majorBidi" w:hAnsiTheme="majorBidi" w:cstheme="majorBidi"/>
          <w:lang w:eastAsia="lv-LV"/>
        </w:rPr>
        <w:t xml:space="preserve">Pieteicēja </w:t>
      </w:r>
      <w:r>
        <w:t>–</w:t>
      </w:r>
      <w:r>
        <w:rPr>
          <w:rFonts w:asciiTheme="majorBidi" w:hAnsiTheme="majorBidi" w:cstheme="majorBidi"/>
          <w:lang w:eastAsia="lv-LV"/>
        </w:rPr>
        <w:t xml:space="preserve"> </w:t>
      </w:r>
      <w:r w:rsidRPr="001B099E">
        <w:rPr>
          <w:rFonts w:asciiTheme="majorBidi" w:hAnsiTheme="majorBidi" w:cstheme="majorBidi"/>
          <w:lang w:eastAsia="lv-LV"/>
        </w:rPr>
        <w:t>SIA „</w:t>
      </w:r>
      <w:r w:rsidRPr="003F41C1">
        <w:rPr>
          <w:rFonts w:asciiTheme="majorBidi" w:hAnsiTheme="majorBidi" w:cstheme="majorBidi"/>
          <w:lang w:eastAsia="lv-LV"/>
        </w:rPr>
        <w:t>ABZ FINANCE</w:t>
      </w:r>
      <w:r w:rsidRPr="001B099E">
        <w:rPr>
          <w:rFonts w:asciiTheme="majorBidi" w:hAnsiTheme="majorBidi" w:cstheme="majorBidi"/>
          <w:lang w:eastAsia="lv-LV"/>
        </w:rPr>
        <w:t>”</w:t>
      </w:r>
      <w:r>
        <w:rPr>
          <w:rFonts w:asciiTheme="majorBidi" w:hAnsiTheme="majorBidi" w:cstheme="majorBidi"/>
          <w:lang w:eastAsia="lv-LV"/>
        </w:rPr>
        <w:t xml:space="preserve"> </w:t>
      </w:r>
      <w:r>
        <w:t>–</w:t>
      </w:r>
      <w:r w:rsidRPr="001B099E">
        <w:rPr>
          <w:rFonts w:asciiTheme="majorBidi" w:hAnsiTheme="majorBidi" w:cstheme="majorBidi"/>
          <w:lang w:eastAsia="lv-LV"/>
        </w:rPr>
        <w:t xml:space="preserve"> </w:t>
      </w:r>
      <w:r>
        <w:rPr>
          <w:rFonts w:asciiTheme="majorBidi" w:hAnsiTheme="majorBidi" w:cstheme="majorBidi"/>
          <w:lang w:eastAsia="lv-LV"/>
        </w:rPr>
        <w:t xml:space="preserve">vērsās Valsts ieņēmumu dienestā ar </w:t>
      </w:r>
      <w:r w:rsidRPr="00E72F48">
        <w:rPr>
          <w:rFonts w:asciiTheme="majorBidi" w:hAnsiTheme="majorBidi" w:cstheme="majorBidi"/>
          <w:lang w:eastAsia="lv-LV"/>
        </w:rPr>
        <w:t xml:space="preserve">iesniegumiem, lūdzot piešķirt atbalstu apgrozāmo līdzekļu plūsmas krituma kompensēšanai (turpmāk – atbalsts) par 2021.gada martu, aprīli un maiju. </w:t>
      </w:r>
    </w:p>
    <w:p w14:paraId="3C662887" w14:textId="77777777" w:rsidR="004F2870" w:rsidRDefault="004F2870" w:rsidP="00A040F0">
      <w:pPr>
        <w:spacing w:line="276" w:lineRule="auto"/>
        <w:ind w:firstLine="720"/>
        <w:jc w:val="both"/>
        <w:rPr>
          <w:rFonts w:asciiTheme="majorBidi" w:hAnsiTheme="majorBidi" w:cstheme="majorBidi"/>
          <w:lang w:eastAsia="lv-LV"/>
        </w:rPr>
      </w:pPr>
      <w:r w:rsidRPr="00E72F48">
        <w:rPr>
          <w:rFonts w:asciiTheme="majorBidi" w:hAnsiTheme="majorBidi" w:cstheme="majorBidi"/>
          <w:lang w:eastAsia="lv-LV"/>
        </w:rPr>
        <w:t>Ar Valsts ieņēmumu dienesta 2021.gada 6.jūlija lēmumu Nr. 33.17-6/22.7/7497, 2021.gada 6.septembra lēmumu Nr. 33.17-6/22.10/9314 un lēmumu Nr. 33.17</w:t>
      </w:r>
      <w:r w:rsidRPr="00E72F48">
        <w:rPr>
          <w:rFonts w:asciiTheme="majorBidi" w:hAnsiTheme="majorBidi" w:cstheme="majorBidi"/>
          <w:lang w:eastAsia="lv-LV"/>
        </w:rPr>
        <w:noBreakHyphen/>
        <w:t xml:space="preserve">6/22.10/9313 kā iestādē noslēdzošajiem administratīvajiem aktiem pieteicējai atteikts piešķirt atbalstu. Lēmumos konstatēts, ka pieteicēja ir finanšu iestāde Eiropas Parlamenta un Padomes 2013.gada 26.jūnija direktīvas 2013/36/ES par piekļuvi kredītiestāžu darbībai un kredītiestāžu un ieguldījumu brokeru sabiedrību prudenciālo uzraudzību, ar ko groza Direktīvu 2002/87/EK un atceļ Direktīvas 2006/48/EK un 2006/49/EK (turpmāk – direktīva 2013/36/ES) izpratnē, jo darbojas direktīvas I pielikuma 9.punktā minētajā darbības jomā, proti, konsultē uzņēmumus par kapitāla struktūru, darbības stratēģiju un ar to saistītiem jautājumiem. Līdz ar to saskaņā ar </w:t>
      </w:r>
      <w:r w:rsidRPr="00E72F48">
        <w:rPr>
          <w:rFonts w:asciiTheme="majorBidi" w:hAnsiTheme="majorBidi" w:cstheme="majorBidi"/>
          <w:lang w:eastAsia="lv-LV"/>
        </w:rPr>
        <w:lastRenderedPageBreak/>
        <w:t>Ministru kabineta 2020.gada 10.novembra noteikumu Nr. 676 „Noteikumi par atbalstu Covid-19 krīzes skartajiem uzņēmumiem apgrozāmo līdzekļu plūsmas nodrošināšanai” (turpmāk – Atbalsta noteikumi) 16.7.apakšpunktu, kas paredz, ka atbalstu nepiešķir</w:t>
      </w:r>
      <w:r w:rsidRPr="008C7F85">
        <w:rPr>
          <w:rFonts w:asciiTheme="majorBidi" w:hAnsiTheme="majorBidi" w:cstheme="majorBidi"/>
          <w:lang w:eastAsia="lv-LV"/>
        </w:rPr>
        <w:t xml:space="preserve"> kredītiestādēm un finanšu iestādēm, atbalsts pieteicējai nav piešķirams.</w:t>
      </w:r>
    </w:p>
    <w:p w14:paraId="362DA2E1" w14:textId="77777777" w:rsidR="004F2870" w:rsidRDefault="004F2870" w:rsidP="00A040F0">
      <w:pPr>
        <w:spacing w:line="276" w:lineRule="auto"/>
        <w:ind w:firstLine="720"/>
        <w:jc w:val="both"/>
        <w:rPr>
          <w:rFonts w:asciiTheme="majorBidi" w:hAnsiTheme="majorBidi" w:cstheme="majorBidi"/>
        </w:rPr>
      </w:pPr>
      <w:r w:rsidRPr="001B099E">
        <w:rPr>
          <w:rFonts w:asciiTheme="majorBidi" w:hAnsiTheme="majorBidi" w:cstheme="majorBidi"/>
        </w:rPr>
        <w:t xml:space="preserve">Pieteicēja </w:t>
      </w:r>
      <w:r w:rsidRPr="00AF5CAB">
        <w:rPr>
          <w:lang w:eastAsia="lv-LV"/>
        </w:rPr>
        <w:t xml:space="preserve">uzskatīja, ka tās darbība neatbilst finanšu iestādes jēdzienam, </w:t>
      </w:r>
      <w:r w:rsidRPr="001B099E">
        <w:rPr>
          <w:rFonts w:asciiTheme="majorBidi" w:hAnsiTheme="majorBidi" w:cstheme="majorBidi"/>
        </w:rPr>
        <w:t>un vērsās tiesā</w:t>
      </w:r>
      <w:r>
        <w:rPr>
          <w:rFonts w:asciiTheme="majorBidi" w:hAnsiTheme="majorBidi" w:cstheme="majorBidi"/>
        </w:rPr>
        <w:t xml:space="preserve"> </w:t>
      </w:r>
      <w:r w:rsidRPr="008C7F85">
        <w:rPr>
          <w:rFonts w:asciiTheme="majorBidi" w:hAnsiTheme="majorBidi" w:cstheme="majorBidi"/>
        </w:rPr>
        <w:t>ar pieteikum</w:t>
      </w:r>
      <w:r>
        <w:rPr>
          <w:rFonts w:asciiTheme="majorBidi" w:hAnsiTheme="majorBidi" w:cstheme="majorBidi"/>
        </w:rPr>
        <w:t>iem</w:t>
      </w:r>
      <w:r w:rsidRPr="008C7F85">
        <w:rPr>
          <w:rFonts w:asciiTheme="majorBidi" w:hAnsiTheme="majorBidi" w:cstheme="majorBidi"/>
        </w:rPr>
        <w:t xml:space="preserve"> par labvēlīg</w:t>
      </w:r>
      <w:r>
        <w:rPr>
          <w:rFonts w:asciiTheme="majorBidi" w:hAnsiTheme="majorBidi" w:cstheme="majorBidi"/>
        </w:rPr>
        <w:t>u</w:t>
      </w:r>
      <w:r w:rsidRPr="008C7F85">
        <w:rPr>
          <w:rFonts w:asciiTheme="majorBidi" w:hAnsiTheme="majorBidi" w:cstheme="majorBidi"/>
        </w:rPr>
        <w:t xml:space="preserve"> administratīv</w:t>
      </w:r>
      <w:r>
        <w:rPr>
          <w:rFonts w:asciiTheme="majorBidi" w:hAnsiTheme="majorBidi" w:cstheme="majorBidi"/>
        </w:rPr>
        <w:t>o</w:t>
      </w:r>
      <w:r w:rsidRPr="008C7F85">
        <w:rPr>
          <w:rFonts w:asciiTheme="majorBidi" w:hAnsiTheme="majorBidi" w:cstheme="majorBidi"/>
        </w:rPr>
        <w:t xml:space="preserve"> akt</w:t>
      </w:r>
      <w:r>
        <w:rPr>
          <w:rFonts w:asciiTheme="majorBidi" w:hAnsiTheme="majorBidi" w:cstheme="majorBidi"/>
        </w:rPr>
        <w:t>u, ar kuriem pieteicējai tiktu piešķirts atbalsts par</w:t>
      </w:r>
      <w:r w:rsidRPr="008C7F85">
        <w:rPr>
          <w:rFonts w:asciiTheme="majorBidi" w:hAnsiTheme="majorBidi" w:cstheme="majorBidi"/>
        </w:rPr>
        <w:t xml:space="preserve"> 2021.gada martu, aprīli un maiju</w:t>
      </w:r>
      <w:r>
        <w:rPr>
          <w:rFonts w:asciiTheme="majorBidi" w:hAnsiTheme="majorBidi" w:cstheme="majorBidi"/>
        </w:rPr>
        <w:t>,</w:t>
      </w:r>
      <w:r w:rsidRPr="008C7F85">
        <w:rPr>
          <w:rFonts w:asciiTheme="majorBidi" w:hAnsiTheme="majorBidi" w:cstheme="majorBidi"/>
        </w:rPr>
        <w:t xml:space="preserve"> izdošanu</w:t>
      </w:r>
      <w:r>
        <w:rPr>
          <w:rFonts w:asciiTheme="majorBidi" w:hAnsiTheme="majorBidi" w:cstheme="majorBidi"/>
        </w:rPr>
        <w:t xml:space="preserve">. Administratīvās lietas par visiem trim pieteikumiem apvienotas vienā tiesvedībā. </w:t>
      </w:r>
    </w:p>
    <w:p w14:paraId="0FCE516E" w14:textId="77777777" w:rsidR="004F2870" w:rsidRDefault="004F2870" w:rsidP="00A040F0">
      <w:pPr>
        <w:spacing w:line="276" w:lineRule="auto"/>
        <w:ind w:firstLine="720"/>
        <w:jc w:val="both"/>
        <w:rPr>
          <w:rFonts w:asciiTheme="majorBidi" w:hAnsiTheme="majorBidi" w:cstheme="majorBidi"/>
        </w:rPr>
      </w:pPr>
      <w:r>
        <w:rPr>
          <w:rFonts w:asciiTheme="majorBidi" w:hAnsiTheme="majorBidi" w:cstheme="majorBidi"/>
        </w:rPr>
        <w:t>Apgabaltiesa lūdza pieteicēju precizēt prasījumu, jo atbalsta piešķiršana pārsūdzētā lēmuma atcelšanas gadījumā vairs neesot pieļaujama. Tā rezultātā pieteikuma priekšmets mainīts uz lēmumu atzīšanu par prettiesiskiem.</w:t>
      </w:r>
    </w:p>
    <w:p w14:paraId="7916AB92" w14:textId="77777777" w:rsidR="004F2870" w:rsidRDefault="004F2870" w:rsidP="00A040F0">
      <w:pPr>
        <w:spacing w:line="276" w:lineRule="auto"/>
        <w:ind w:firstLine="720"/>
        <w:jc w:val="both"/>
        <w:rPr>
          <w:rFonts w:asciiTheme="majorBidi" w:hAnsiTheme="majorBidi" w:cstheme="majorBidi"/>
          <w:lang w:eastAsia="lv-LV"/>
        </w:rPr>
      </w:pPr>
    </w:p>
    <w:p w14:paraId="75C0EC3C" w14:textId="77777777" w:rsidR="004F2870" w:rsidRPr="0087698C" w:rsidRDefault="004F2870" w:rsidP="00A040F0">
      <w:pPr>
        <w:spacing w:line="276" w:lineRule="auto"/>
        <w:ind w:firstLine="720"/>
        <w:jc w:val="both"/>
        <w:rPr>
          <w:lang w:eastAsia="lv-LV"/>
        </w:rPr>
      </w:pPr>
      <w:r w:rsidRPr="001B099E">
        <w:rPr>
          <w:rFonts w:asciiTheme="majorBidi" w:hAnsiTheme="majorBidi" w:cstheme="majorBidi"/>
          <w:lang w:eastAsia="lv-LV"/>
        </w:rPr>
        <w:t xml:space="preserve">[2] </w:t>
      </w:r>
      <w:r w:rsidRPr="00BB4C0E">
        <w:rPr>
          <w:lang w:eastAsia="lv-LV"/>
        </w:rPr>
        <w:t>Administratīvā apgabaltiesa pieteikumu</w:t>
      </w:r>
      <w:r>
        <w:rPr>
          <w:lang w:eastAsia="lv-LV"/>
        </w:rPr>
        <w:t xml:space="preserve"> noraidīja</w:t>
      </w:r>
      <w:r w:rsidRPr="00BB4C0E">
        <w:rPr>
          <w:lang w:eastAsia="lv-LV"/>
        </w:rPr>
        <w:t>. Spriedums</w:t>
      </w:r>
      <w:r>
        <w:rPr>
          <w:lang w:eastAsia="lv-LV"/>
        </w:rPr>
        <w:t xml:space="preserve"> </w:t>
      </w:r>
      <w:r w:rsidRPr="00BB4C0E">
        <w:rPr>
          <w:lang w:eastAsia="lv-LV"/>
        </w:rPr>
        <w:t xml:space="preserve">pamatots ar turpmāk minētajiem argumentiem. </w:t>
      </w:r>
    </w:p>
    <w:p w14:paraId="05339EBB" w14:textId="77777777" w:rsidR="004F2870" w:rsidRDefault="004F2870" w:rsidP="00A040F0">
      <w:pPr>
        <w:spacing w:line="276" w:lineRule="auto"/>
        <w:ind w:firstLine="720"/>
        <w:jc w:val="both"/>
        <w:rPr>
          <w:rFonts w:asciiTheme="majorBidi" w:hAnsiTheme="majorBidi" w:cstheme="majorBidi"/>
        </w:rPr>
      </w:pPr>
      <w:r>
        <w:rPr>
          <w:rFonts w:asciiTheme="majorBidi" w:hAnsiTheme="majorBidi" w:cstheme="majorBidi"/>
        </w:rPr>
        <w:t>[2.1] J</w:t>
      </w:r>
      <w:r w:rsidRPr="007E4CC5">
        <w:rPr>
          <w:rFonts w:asciiTheme="majorBidi" w:hAnsiTheme="majorBidi" w:cstheme="majorBidi"/>
        </w:rPr>
        <w:t xml:space="preserve">ēdziena „finanšu iestāde” iztulkošanai </w:t>
      </w:r>
      <w:r>
        <w:rPr>
          <w:rFonts w:asciiTheme="majorBidi" w:hAnsiTheme="majorBidi" w:cstheme="majorBidi"/>
        </w:rPr>
        <w:t xml:space="preserve">jāpiemēro </w:t>
      </w:r>
      <w:r w:rsidRPr="00040527">
        <w:rPr>
          <w:rFonts w:asciiTheme="majorBidi" w:hAnsiTheme="majorBidi" w:cstheme="majorBidi"/>
        </w:rPr>
        <w:t>Eiropas Parlamenta un Padomes 2013.gada 26.jūnija regul</w:t>
      </w:r>
      <w:r>
        <w:rPr>
          <w:rFonts w:asciiTheme="majorBidi" w:hAnsiTheme="majorBidi" w:cstheme="majorBidi"/>
        </w:rPr>
        <w:t>a</w:t>
      </w:r>
      <w:r w:rsidRPr="00040527">
        <w:rPr>
          <w:rFonts w:asciiTheme="majorBidi" w:hAnsiTheme="majorBidi" w:cstheme="majorBidi"/>
        </w:rPr>
        <w:t xml:space="preserve"> Nr.</w:t>
      </w:r>
      <w:r>
        <w:rPr>
          <w:rFonts w:asciiTheme="majorBidi" w:hAnsiTheme="majorBidi" w:cstheme="majorBidi"/>
        </w:rPr>
        <w:t> </w:t>
      </w:r>
      <w:r w:rsidRPr="00040527">
        <w:rPr>
          <w:rFonts w:asciiTheme="majorBidi" w:hAnsiTheme="majorBidi" w:cstheme="majorBidi"/>
        </w:rPr>
        <w:t xml:space="preserve">575/2013 par prudenciālajām prasībām attiecībā uz kredītiestādēm un ieguldījumu brokeru sabiedrībām, un ar ko groza Regulu (ES) </w:t>
      </w:r>
      <w:r w:rsidRPr="00E72F48">
        <w:rPr>
          <w:rFonts w:asciiTheme="majorBidi" w:hAnsiTheme="majorBidi" w:cstheme="majorBidi"/>
        </w:rPr>
        <w:t>Nr. 648/2012 (turpmāk – regula Nr. 575/2013).</w:t>
      </w:r>
    </w:p>
    <w:p w14:paraId="285D12D3" w14:textId="77777777" w:rsidR="004F2870" w:rsidRDefault="004F2870" w:rsidP="00A040F0">
      <w:pPr>
        <w:spacing w:line="276" w:lineRule="auto"/>
        <w:ind w:firstLine="720"/>
        <w:jc w:val="both"/>
        <w:rPr>
          <w:rFonts w:asciiTheme="majorBidi" w:hAnsiTheme="majorBidi" w:cstheme="majorBidi"/>
        </w:rPr>
      </w:pPr>
      <w:r w:rsidRPr="007E4CC5">
        <w:rPr>
          <w:rFonts w:asciiTheme="majorBidi" w:hAnsiTheme="majorBidi" w:cstheme="majorBidi"/>
        </w:rPr>
        <w:t>Atbilstoši regulas Nr.</w:t>
      </w:r>
      <w:r>
        <w:rPr>
          <w:rFonts w:asciiTheme="majorBidi" w:hAnsiTheme="majorBidi" w:cstheme="majorBidi"/>
        </w:rPr>
        <w:t> </w:t>
      </w:r>
      <w:r w:rsidRPr="007E4CC5">
        <w:rPr>
          <w:rFonts w:asciiTheme="majorBidi" w:hAnsiTheme="majorBidi" w:cstheme="majorBidi"/>
        </w:rPr>
        <w:t xml:space="preserve">575/2013 4.panta 1.punkta 26.apakšpunktam finanšu iestāde ir uzņēmums, kas nav iestāde (kredītiestāde vai ieguldījumu brokeru sabiedrība), kuras galvenā darbība ir līdzdalības iegāde vai viena vai vairākas no direktīvas 2013/36/ES </w:t>
      </w:r>
      <w:r>
        <w:rPr>
          <w:rFonts w:asciiTheme="majorBidi" w:hAnsiTheme="majorBidi" w:cstheme="majorBidi"/>
        </w:rPr>
        <w:t>I p</w:t>
      </w:r>
      <w:r w:rsidRPr="007E4CC5">
        <w:rPr>
          <w:rFonts w:asciiTheme="majorBidi" w:hAnsiTheme="majorBidi" w:cstheme="majorBidi"/>
        </w:rPr>
        <w:t xml:space="preserve">ielikuma 2. līdz 12.punktā un 15.punktā uzskaitītajām darbībām. </w:t>
      </w:r>
    </w:p>
    <w:p w14:paraId="15A7E68C" w14:textId="77777777" w:rsidR="004F2870" w:rsidRDefault="004F2870" w:rsidP="00A040F0">
      <w:pPr>
        <w:spacing w:line="276" w:lineRule="auto"/>
        <w:ind w:firstLine="720"/>
        <w:jc w:val="both"/>
        <w:rPr>
          <w:rFonts w:asciiTheme="majorBidi" w:hAnsiTheme="majorBidi" w:cstheme="majorBidi"/>
        </w:rPr>
      </w:pPr>
      <w:r w:rsidRPr="007E4CC5">
        <w:rPr>
          <w:rFonts w:asciiTheme="majorBidi" w:hAnsiTheme="majorBidi" w:cstheme="majorBidi"/>
        </w:rPr>
        <w:t xml:space="preserve">Direktīvas 2013/36/ES </w:t>
      </w:r>
      <w:r>
        <w:rPr>
          <w:rFonts w:asciiTheme="majorBidi" w:hAnsiTheme="majorBidi" w:cstheme="majorBidi"/>
        </w:rPr>
        <w:t>I p</w:t>
      </w:r>
      <w:r w:rsidRPr="007E4CC5">
        <w:rPr>
          <w:rFonts w:asciiTheme="majorBidi" w:hAnsiTheme="majorBidi" w:cstheme="majorBidi"/>
        </w:rPr>
        <w:t>ielikuma (darbības, uz kurām attiecas savstarpēja atzīšana) 2. līdz 12.punktā un 15.punktā ietvertas šādas darbības: aizdevums; finanšu noma; maksājumu pakalpojumi; citu maksāšanas līdzekļu izdošana un pārvaldība; garantijas un saistības; tirdzniecība savā vai klienta vārdā ar naudas tirgus instrumentiem, ārvalstu valūtu u.c.; dalība vērtspapīru emisijās un ar šādām emisijām saistīto pakalpojumu sniegšana; uzņēmumu konsultēšana par kapitāla struktūru, darbības stratēģiju un ar to saistītiem jautājumiem un padomi un pakalpojumi saistībā ar uzņēmumu apvienošanu un pirkšanu; starpniecība naudas darījumos; portfeļa pārvaldība un konsultācijas; vērtspapīru glabāšana un administrēšana; elektroniskās naudas emitēšana.</w:t>
      </w:r>
    </w:p>
    <w:p w14:paraId="65443DAF" w14:textId="77777777" w:rsidR="004F2870" w:rsidRDefault="004F2870" w:rsidP="00A040F0">
      <w:pPr>
        <w:spacing w:line="276" w:lineRule="auto"/>
        <w:ind w:firstLine="720"/>
        <w:jc w:val="both"/>
        <w:rPr>
          <w:rFonts w:asciiTheme="majorBidi" w:hAnsiTheme="majorBidi" w:cstheme="majorBidi"/>
        </w:rPr>
      </w:pPr>
      <w:r w:rsidRPr="00E72F48">
        <w:rPr>
          <w:rFonts w:asciiTheme="majorBidi" w:hAnsiTheme="majorBidi" w:cstheme="majorBidi"/>
        </w:rPr>
        <w:t>Lietā ir strīds par to, vai uz pieteicēju ir attiecināma direktīvas 2013/36/ES I pielikuma 9.punktā norādītā darbība, proti, vai pieteicēja konsultē uzņēmumus par kapitāla struktūru, darbības stratēģiju un ar to saistītiem jautājumiem.</w:t>
      </w:r>
    </w:p>
    <w:p w14:paraId="05FF3E97" w14:textId="77777777" w:rsidR="004F2870" w:rsidRDefault="004F2870" w:rsidP="00A040F0">
      <w:pPr>
        <w:spacing w:line="276" w:lineRule="auto"/>
        <w:ind w:firstLine="720"/>
        <w:jc w:val="both"/>
        <w:rPr>
          <w:rFonts w:asciiTheme="majorBidi" w:hAnsiTheme="majorBidi" w:cstheme="majorBidi"/>
        </w:rPr>
      </w:pPr>
      <w:r>
        <w:rPr>
          <w:rFonts w:asciiTheme="majorBidi" w:hAnsiTheme="majorBidi" w:cstheme="majorBidi"/>
        </w:rPr>
        <w:t xml:space="preserve">[2.2] </w:t>
      </w:r>
      <w:r w:rsidRPr="007E4CC5">
        <w:rPr>
          <w:rFonts w:asciiTheme="majorBidi" w:hAnsiTheme="majorBidi" w:cstheme="majorBidi"/>
        </w:rPr>
        <w:t>Pieteicēja apstrīdēšanas iesniegumā un pieteikumā norādījusi, ka tās sniegtie pakalpojumi ietver budžeta plāna un izpildes kontroli, finanšu rādītāju aprēķinus un to koeficientu monitoringu, konsultācijas un aprēķinus par klientu ideju iespējamiem īstenošanas scenārijiem, potenciālo peļņu un zaudējumiem, debitoru un kreditoru monitoringu.</w:t>
      </w:r>
    </w:p>
    <w:p w14:paraId="2C10DC6E" w14:textId="77777777" w:rsidR="004F2870" w:rsidRDefault="004F2870" w:rsidP="00A040F0">
      <w:pPr>
        <w:spacing w:line="276" w:lineRule="auto"/>
        <w:ind w:firstLine="720"/>
        <w:jc w:val="both"/>
        <w:rPr>
          <w:rFonts w:asciiTheme="majorBidi" w:hAnsiTheme="majorBidi" w:cstheme="majorBidi"/>
        </w:rPr>
      </w:pPr>
      <w:r w:rsidRPr="007E4CC5">
        <w:rPr>
          <w:rFonts w:asciiTheme="majorBidi" w:hAnsiTheme="majorBidi" w:cstheme="majorBidi"/>
        </w:rPr>
        <w:t xml:space="preserve">Pieteicēja uzskata, ka vērā ņemama Finanšu un kapitāla tirgus komisijas 2022.gada 29.novembra uzziņa, kurā norādīts, ka pieteicēja nav uzskatāma par finanšu iestādi, jo tās pamatdarbība ne formāli, ne arī pēc būtības neatbilst direktīvas 2013/36/ES </w:t>
      </w:r>
      <w:r>
        <w:rPr>
          <w:rFonts w:asciiTheme="majorBidi" w:hAnsiTheme="majorBidi" w:cstheme="majorBidi"/>
        </w:rPr>
        <w:t>I </w:t>
      </w:r>
      <w:r w:rsidRPr="007E4CC5">
        <w:rPr>
          <w:rFonts w:asciiTheme="majorBidi" w:hAnsiTheme="majorBidi" w:cstheme="majorBidi"/>
        </w:rPr>
        <w:t>pielikuma 9.punktā noteiktajai darbībai.</w:t>
      </w:r>
    </w:p>
    <w:p w14:paraId="1DE53CEF" w14:textId="77777777" w:rsidR="004F2870" w:rsidRDefault="004F2870" w:rsidP="00A040F0">
      <w:pPr>
        <w:spacing w:line="276" w:lineRule="auto"/>
        <w:ind w:firstLine="720"/>
        <w:jc w:val="both"/>
        <w:rPr>
          <w:rFonts w:asciiTheme="majorBidi" w:hAnsiTheme="majorBidi" w:cstheme="majorBidi"/>
        </w:rPr>
      </w:pPr>
      <w:r>
        <w:rPr>
          <w:rFonts w:asciiTheme="majorBidi" w:hAnsiTheme="majorBidi" w:cstheme="majorBidi"/>
        </w:rPr>
        <w:t xml:space="preserve">Tomēr pretēji </w:t>
      </w:r>
      <w:r w:rsidRPr="007E4CC5">
        <w:rPr>
          <w:rFonts w:asciiTheme="majorBidi" w:hAnsiTheme="majorBidi" w:cstheme="majorBidi"/>
        </w:rPr>
        <w:t xml:space="preserve">pieteicējas apgalvojumam Finanšu un kapitāla tirgus komisija ir atteikusies sniegt uzziņu, bet, atbildot uz pieteicējas iesniegumu, ir uzsvērusi, ka sniedz pieteicējai juridiski nesaistošu viedokli. </w:t>
      </w:r>
      <w:r>
        <w:rPr>
          <w:rFonts w:asciiTheme="majorBidi" w:hAnsiTheme="majorBidi" w:cstheme="majorBidi"/>
        </w:rPr>
        <w:t>Turklāt k</w:t>
      </w:r>
      <w:r w:rsidRPr="007E4CC5">
        <w:rPr>
          <w:rFonts w:asciiTheme="majorBidi" w:hAnsiTheme="majorBidi" w:cstheme="majorBidi"/>
        </w:rPr>
        <w:t xml:space="preserve">omisija ir nevis ņēmusi vērā pieteicējas faktiski sniegtos pakalpojumus, bet vadījusies no pieteicējas apgalvojumiem. Līdz ar </w:t>
      </w:r>
      <w:r>
        <w:rPr>
          <w:rFonts w:asciiTheme="majorBidi" w:hAnsiTheme="majorBidi" w:cstheme="majorBidi"/>
        </w:rPr>
        <w:t xml:space="preserve">to </w:t>
      </w:r>
      <w:r w:rsidRPr="007E4CC5">
        <w:rPr>
          <w:rFonts w:asciiTheme="majorBidi" w:hAnsiTheme="majorBidi" w:cstheme="majorBidi"/>
        </w:rPr>
        <w:t>komisijas viedokli</w:t>
      </w:r>
      <w:r>
        <w:rPr>
          <w:rFonts w:asciiTheme="majorBidi" w:hAnsiTheme="majorBidi" w:cstheme="majorBidi"/>
        </w:rPr>
        <w:t>s</w:t>
      </w:r>
      <w:r w:rsidRPr="007E4CC5">
        <w:rPr>
          <w:rFonts w:asciiTheme="majorBidi" w:hAnsiTheme="majorBidi" w:cstheme="majorBidi"/>
        </w:rPr>
        <w:t xml:space="preserve"> nav vērtē</w:t>
      </w:r>
      <w:r>
        <w:rPr>
          <w:rFonts w:asciiTheme="majorBidi" w:hAnsiTheme="majorBidi" w:cstheme="majorBidi"/>
        </w:rPr>
        <w:t>jams</w:t>
      </w:r>
      <w:r w:rsidRPr="007E4CC5">
        <w:rPr>
          <w:rFonts w:asciiTheme="majorBidi" w:hAnsiTheme="majorBidi" w:cstheme="majorBidi"/>
        </w:rPr>
        <w:t xml:space="preserve"> kā pierādījum</w:t>
      </w:r>
      <w:r>
        <w:rPr>
          <w:rFonts w:asciiTheme="majorBidi" w:hAnsiTheme="majorBidi" w:cstheme="majorBidi"/>
        </w:rPr>
        <w:t>s</w:t>
      </w:r>
      <w:r w:rsidRPr="007E4CC5">
        <w:rPr>
          <w:rFonts w:asciiTheme="majorBidi" w:hAnsiTheme="majorBidi" w:cstheme="majorBidi"/>
        </w:rPr>
        <w:t xml:space="preserve"> lietā.</w:t>
      </w:r>
    </w:p>
    <w:p w14:paraId="7E5F4F8C" w14:textId="77777777" w:rsidR="004F2870" w:rsidRDefault="004F2870" w:rsidP="00A040F0">
      <w:pPr>
        <w:spacing w:line="276" w:lineRule="auto"/>
        <w:ind w:firstLine="720"/>
        <w:jc w:val="both"/>
        <w:rPr>
          <w:rFonts w:asciiTheme="majorBidi" w:hAnsiTheme="majorBidi" w:cstheme="majorBidi"/>
        </w:rPr>
      </w:pPr>
      <w:r>
        <w:rPr>
          <w:rFonts w:asciiTheme="majorBidi" w:hAnsiTheme="majorBidi" w:cstheme="majorBidi"/>
        </w:rPr>
        <w:t xml:space="preserve">[2.3] </w:t>
      </w:r>
      <w:r w:rsidRPr="007E4CC5">
        <w:rPr>
          <w:rFonts w:asciiTheme="majorBidi" w:hAnsiTheme="majorBidi" w:cstheme="majorBidi"/>
        </w:rPr>
        <w:t xml:space="preserve">Lietā nav strīda, ka pieteicējas reģistrētais pamatdarbības veids ir „Konsultēšana komercdarbībā un vadībzinībās” (70.22). </w:t>
      </w:r>
      <w:r>
        <w:rPr>
          <w:rFonts w:asciiTheme="majorBidi" w:hAnsiTheme="majorBidi" w:cstheme="majorBidi"/>
        </w:rPr>
        <w:t xml:space="preserve">Šis </w:t>
      </w:r>
      <w:r w:rsidRPr="007E4CC5">
        <w:rPr>
          <w:rFonts w:asciiTheme="majorBidi" w:hAnsiTheme="majorBidi" w:cstheme="majorBidi"/>
        </w:rPr>
        <w:t>NACE kods ietilpst nodaļas „Centrālo biroju darbība; Konsultēšana komercdarbībā un vadībzinībās” (70) klases „Vadības konsultāciju pakalpojumi” (70.2) apakšgrupā.</w:t>
      </w:r>
    </w:p>
    <w:p w14:paraId="297BACF1" w14:textId="77777777" w:rsidR="004F2870" w:rsidRPr="00E72F48" w:rsidRDefault="004F2870" w:rsidP="00A040F0">
      <w:pPr>
        <w:spacing w:line="276" w:lineRule="auto"/>
        <w:ind w:firstLine="720"/>
        <w:jc w:val="both"/>
        <w:rPr>
          <w:rFonts w:asciiTheme="majorBidi" w:hAnsiTheme="majorBidi" w:cstheme="majorBidi"/>
        </w:rPr>
      </w:pPr>
      <w:r w:rsidRPr="00E72F48">
        <w:rPr>
          <w:rFonts w:asciiTheme="majorBidi" w:hAnsiTheme="majorBidi" w:cstheme="majorBidi"/>
        </w:rPr>
        <w:t>Ņemot vērā, ka ar attiecīgo NACE kodu deklarētā darbība var ietvert gan finanšu iestādei raksturīgus pakalpojumus (konsultāciju, norādījumu un operatīvas palīdzības sniegšana tādos vadības jautājumos kā stratēģiskā un organizatoriskā plānošana, uzņēmējdarbības procesa reorganizācija, izmaiņu pārvaldība, izdevumu samazināšana un citos ar finansēm saistītos jautājumos), gan pakalpojumus, kas finanšu iestādei nav raksturīgi, secināms, ka pati par sevi attiecīgā pamatdarbības veida deklarēšana neliecina, ka pieteicēja atbilst finanšu iestādes pazīmēm.</w:t>
      </w:r>
    </w:p>
    <w:p w14:paraId="08A64F6E" w14:textId="77777777" w:rsidR="004F2870" w:rsidRDefault="004F2870" w:rsidP="00A040F0">
      <w:pPr>
        <w:spacing w:line="276" w:lineRule="auto"/>
        <w:ind w:firstLine="720"/>
        <w:jc w:val="both"/>
        <w:rPr>
          <w:rFonts w:asciiTheme="majorBidi" w:hAnsiTheme="majorBidi" w:cstheme="majorBidi"/>
        </w:rPr>
      </w:pPr>
      <w:r w:rsidRPr="00E72F48">
        <w:rPr>
          <w:rFonts w:asciiTheme="majorBidi" w:hAnsiTheme="majorBidi" w:cstheme="majorBidi"/>
        </w:rPr>
        <w:t>[2.4] Par pieteicējas atbilstību finanšu iestādes statusam neliecina tās reklamētie pakalpojumi, jo, pirmkārt, uzņēmuma reklamētie pakalpojumi neliecina par faktiski veiktajiem pakalpojumiem konkrētā laika periodā, otrkārt, attiecīgais apraksts pats par</w:t>
      </w:r>
      <w:r w:rsidRPr="007E4CC5">
        <w:rPr>
          <w:rFonts w:asciiTheme="majorBidi" w:hAnsiTheme="majorBidi" w:cstheme="majorBidi"/>
        </w:rPr>
        <w:t xml:space="preserve"> sevi nenorāda, ka pieteicēja sniedz uzņēmumiem konsultācijas tieši jautājumos, kas saistīti ar kapitāla struktūru un darbības stratēģiju</w:t>
      </w:r>
      <w:r>
        <w:rPr>
          <w:rFonts w:asciiTheme="majorBidi" w:hAnsiTheme="majorBidi" w:cstheme="majorBidi"/>
        </w:rPr>
        <w:t>.</w:t>
      </w:r>
    </w:p>
    <w:p w14:paraId="6F41D313" w14:textId="77777777" w:rsidR="004F2870" w:rsidRDefault="004F2870" w:rsidP="00A040F0">
      <w:pPr>
        <w:spacing w:line="276" w:lineRule="auto"/>
        <w:ind w:firstLine="720"/>
        <w:jc w:val="both"/>
        <w:rPr>
          <w:rFonts w:asciiTheme="majorBidi" w:hAnsiTheme="majorBidi" w:cstheme="majorBidi"/>
        </w:rPr>
      </w:pPr>
      <w:r w:rsidRPr="007E4CC5">
        <w:rPr>
          <w:rFonts w:asciiTheme="majorBidi" w:hAnsiTheme="majorBidi" w:cstheme="majorBidi"/>
        </w:rPr>
        <w:t>Ir izvērtējami uzņēmuma faktiski sniegtie pakalpojumi konkrētajā periodā.</w:t>
      </w:r>
      <w:r>
        <w:rPr>
          <w:rFonts w:asciiTheme="majorBidi" w:hAnsiTheme="majorBidi" w:cstheme="majorBidi"/>
        </w:rPr>
        <w:t xml:space="preserve"> </w:t>
      </w:r>
      <w:r w:rsidRPr="004443F8">
        <w:rPr>
          <w:rFonts w:asciiTheme="majorBidi" w:hAnsiTheme="majorBidi" w:cstheme="majorBidi"/>
        </w:rPr>
        <w:t>Tomēr</w:t>
      </w:r>
      <w:r>
        <w:rPr>
          <w:rFonts w:asciiTheme="majorBidi" w:hAnsiTheme="majorBidi" w:cstheme="majorBidi"/>
        </w:rPr>
        <w:t xml:space="preserve"> </w:t>
      </w:r>
      <w:r w:rsidRPr="004443F8">
        <w:rPr>
          <w:rFonts w:asciiTheme="majorBidi" w:hAnsiTheme="majorBidi" w:cstheme="majorBidi"/>
        </w:rPr>
        <w:t>pieteicējas dienestam un tiesai sniegtais</w:t>
      </w:r>
      <w:r>
        <w:rPr>
          <w:rFonts w:asciiTheme="majorBidi" w:hAnsiTheme="majorBidi" w:cstheme="majorBidi"/>
        </w:rPr>
        <w:t xml:space="preserve"> </w:t>
      </w:r>
      <w:r w:rsidRPr="004443F8">
        <w:rPr>
          <w:rFonts w:asciiTheme="majorBidi" w:hAnsiTheme="majorBidi" w:cstheme="majorBidi"/>
        </w:rPr>
        <w:t>pakalpojumu apraksts ir pārāk vispārīgs, lai tos automātiski izslēgtu no finanšu</w:t>
      </w:r>
      <w:r>
        <w:rPr>
          <w:rFonts w:asciiTheme="majorBidi" w:hAnsiTheme="majorBidi" w:cstheme="majorBidi"/>
        </w:rPr>
        <w:t xml:space="preserve"> </w:t>
      </w:r>
      <w:r w:rsidRPr="004443F8">
        <w:rPr>
          <w:rFonts w:asciiTheme="majorBidi" w:hAnsiTheme="majorBidi" w:cstheme="majorBidi"/>
        </w:rPr>
        <w:t>iestādes sniegto pakalpojumu klāsta</w:t>
      </w:r>
      <w:r>
        <w:rPr>
          <w:rFonts w:asciiTheme="majorBidi" w:hAnsiTheme="majorBidi" w:cstheme="majorBidi"/>
        </w:rPr>
        <w:t>.</w:t>
      </w:r>
    </w:p>
    <w:p w14:paraId="4B4B6EDF" w14:textId="77777777" w:rsidR="004F2870" w:rsidRDefault="004F2870" w:rsidP="00A040F0">
      <w:pPr>
        <w:spacing w:line="276" w:lineRule="auto"/>
        <w:ind w:firstLine="720"/>
        <w:jc w:val="both"/>
        <w:rPr>
          <w:rFonts w:asciiTheme="majorBidi" w:hAnsiTheme="majorBidi" w:cstheme="majorBidi"/>
        </w:rPr>
      </w:pPr>
      <w:r>
        <w:rPr>
          <w:rFonts w:asciiTheme="majorBidi" w:hAnsiTheme="majorBidi" w:cstheme="majorBidi"/>
        </w:rPr>
        <w:t>[2.5] P</w:t>
      </w:r>
      <w:r w:rsidRPr="007E4CC5">
        <w:rPr>
          <w:rFonts w:asciiTheme="majorBidi" w:hAnsiTheme="majorBidi" w:cstheme="majorBidi"/>
        </w:rPr>
        <w:t>ieteicēja 2021.gada martā, aprīlī un maijā uzrādījusi darījumus jomā „finansiālā analītika, debitoru, kreditoru analīze”, apgalvojot, ka attiecīgie pakalpojumi neietver uzņēmumu konsultēšanu par kapitāla struktūru, darbības stratēģiju un ar to saistītiem jautājumiem.</w:t>
      </w:r>
    </w:p>
    <w:p w14:paraId="27E93B4D" w14:textId="77777777" w:rsidR="004F2870" w:rsidRPr="00E72F48" w:rsidRDefault="004F2870" w:rsidP="00A040F0">
      <w:pPr>
        <w:spacing w:line="276" w:lineRule="auto"/>
        <w:ind w:firstLine="720"/>
        <w:jc w:val="both"/>
        <w:rPr>
          <w:rFonts w:asciiTheme="majorBidi" w:hAnsiTheme="majorBidi" w:cstheme="majorBidi"/>
        </w:rPr>
      </w:pPr>
      <w:r w:rsidRPr="007E4CC5">
        <w:rPr>
          <w:rFonts w:asciiTheme="majorBidi" w:hAnsiTheme="majorBidi" w:cstheme="majorBidi"/>
        </w:rPr>
        <w:t>Līgumos ar SIA</w:t>
      </w:r>
      <w:r>
        <w:rPr>
          <w:rFonts w:asciiTheme="majorBidi" w:hAnsiTheme="majorBidi" w:cstheme="majorBidi"/>
        </w:rPr>
        <w:t> </w:t>
      </w:r>
      <w:r w:rsidRPr="007E4CC5">
        <w:rPr>
          <w:rFonts w:asciiTheme="majorBidi" w:hAnsiTheme="majorBidi" w:cstheme="majorBidi"/>
        </w:rPr>
        <w:t>„Dravnieks.lv”, SIA</w:t>
      </w:r>
      <w:r>
        <w:rPr>
          <w:rFonts w:asciiTheme="majorBidi" w:hAnsiTheme="majorBidi" w:cstheme="majorBidi"/>
        </w:rPr>
        <w:t> </w:t>
      </w:r>
      <w:r w:rsidRPr="007E4CC5">
        <w:rPr>
          <w:rFonts w:asciiTheme="majorBidi" w:hAnsiTheme="majorBidi" w:cstheme="majorBidi"/>
        </w:rPr>
        <w:t>„DYKI”, biedrību</w:t>
      </w:r>
      <w:r>
        <w:rPr>
          <w:rFonts w:asciiTheme="majorBidi" w:hAnsiTheme="majorBidi" w:cstheme="majorBidi"/>
        </w:rPr>
        <w:t> </w:t>
      </w:r>
      <w:r w:rsidRPr="007E4CC5">
        <w:rPr>
          <w:rFonts w:asciiTheme="majorBidi" w:hAnsiTheme="majorBidi" w:cstheme="majorBidi"/>
        </w:rPr>
        <w:t>„Mārupes hokeja savienība”, SIA</w:t>
      </w:r>
      <w:r>
        <w:rPr>
          <w:rFonts w:asciiTheme="majorBidi" w:hAnsiTheme="majorBidi" w:cstheme="majorBidi"/>
        </w:rPr>
        <w:t> </w:t>
      </w:r>
      <w:r w:rsidRPr="007E4CC5">
        <w:rPr>
          <w:rFonts w:asciiTheme="majorBidi" w:hAnsiTheme="majorBidi" w:cstheme="majorBidi"/>
        </w:rPr>
        <w:t>„Moskīts”, SIA</w:t>
      </w:r>
      <w:r>
        <w:rPr>
          <w:rFonts w:asciiTheme="majorBidi" w:hAnsiTheme="majorBidi" w:cstheme="majorBidi"/>
        </w:rPr>
        <w:t> </w:t>
      </w:r>
      <w:r w:rsidRPr="007E4CC5">
        <w:rPr>
          <w:rFonts w:asciiTheme="majorBidi" w:hAnsiTheme="majorBidi" w:cstheme="majorBidi"/>
        </w:rPr>
        <w:t>„Ventspils Zobu Tehnika” pieteicēja apņēmusies sniegt šādus pakalpojumus: 1) pārmaksāto nodokļu atgūšanas procesa administrēšana; 2)</w:t>
      </w:r>
      <w:r>
        <w:rPr>
          <w:rFonts w:asciiTheme="majorBidi" w:hAnsiTheme="majorBidi" w:cstheme="majorBidi"/>
        </w:rPr>
        <w:t> </w:t>
      </w:r>
      <w:r w:rsidRPr="007E4CC5">
        <w:rPr>
          <w:rFonts w:asciiTheme="majorBidi" w:hAnsiTheme="majorBidi" w:cstheme="majorBidi"/>
        </w:rPr>
        <w:t xml:space="preserve">pasūtītāja pārstāvēšana Valsts ieņēmumu dienestā; 3) pasūtītāja debitoru un kreditoru </w:t>
      </w:r>
      <w:r w:rsidRPr="00E72F48">
        <w:rPr>
          <w:rFonts w:asciiTheme="majorBidi" w:hAnsiTheme="majorBidi" w:cstheme="majorBidi"/>
        </w:rPr>
        <w:t xml:space="preserve">atskaišu gatavošana, maksājumu secības izvēle, budžeta kontroles atskaišu sagatavošana. Izrakstīti rēķini par pakalpojumu: finanšu analītikas darbi. </w:t>
      </w:r>
    </w:p>
    <w:p w14:paraId="3994CE18" w14:textId="77777777" w:rsidR="004F2870" w:rsidRPr="00E72F48" w:rsidRDefault="004F2870" w:rsidP="00A040F0">
      <w:pPr>
        <w:spacing w:line="276" w:lineRule="auto"/>
        <w:ind w:firstLine="720"/>
        <w:jc w:val="both"/>
        <w:rPr>
          <w:rFonts w:asciiTheme="majorBidi" w:hAnsiTheme="majorBidi" w:cstheme="majorBidi"/>
        </w:rPr>
      </w:pPr>
      <w:r w:rsidRPr="00E72F48">
        <w:rPr>
          <w:rFonts w:asciiTheme="majorBidi" w:hAnsiTheme="majorBidi" w:cstheme="majorBidi"/>
        </w:rPr>
        <w:t>Līgumā ar SIA „Baltais” pieteicēja apņēmusies sniegt šādus pakalpojumus: 1) konsultācijas nodokļu jautājumos; 2) pārmaksāto nodokļu atgūšanas procesa administrēšana; 3) pasūtītāja pārstāvēšana Valsts ieņēmumu dienestā; 4) pasūtītāja grāmatvedības procesa uzraudzīšana, analīze un kontrole. Izrakstīti rēķini par pakalpojumu: finanšu analītikas darbi.</w:t>
      </w:r>
    </w:p>
    <w:p w14:paraId="1CB32F62" w14:textId="77777777" w:rsidR="004F2870" w:rsidRPr="00E72F48" w:rsidRDefault="004F2870" w:rsidP="00A040F0">
      <w:pPr>
        <w:spacing w:line="276" w:lineRule="auto"/>
        <w:ind w:firstLine="720"/>
        <w:jc w:val="both"/>
        <w:rPr>
          <w:rFonts w:asciiTheme="majorBidi" w:hAnsiTheme="majorBidi" w:cstheme="majorBidi"/>
        </w:rPr>
      </w:pPr>
      <w:r w:rsidRPr="00E72F48">
        <w:rPr>
          <w:rFonts w:asciiTheme="majorBidi" w:hAnsiTheme="majorBidi" w:cstheme="majorBidi"/>
        </w:rPr>
        <w:t>Līgumā ar SIA „PB Finanses” pieteicēja apņēmusies sniegt šādus pakalpojumus: 1) organizatorisku pasākumu kopuma administrēšana pašaizsardzības nodarbību nodrošināšanai; 2) elektronisko failu sagatavju gatavošana gada pārskatu procesos; 3) pasūtītāja klientu debitoru un kreditoru atskaišu gatavošana, maksājumu secības izvēle, budžeta kontroles atskaišu sagatavošana. Izrakstīti rēķini par pakalpojumiem: organizatoriski pasākuma plānošanas darbi (V</w:t>
      </w:r>
      <w:r>
        <w:rPr>
          <w:rFonts w:asciiTheme="majorBidi" w:hAnsiTheme="majorBidi" w:cstheme="majorBidi"/>
        </w:rPr>
        <w:t xml:space="preserve">alsts ieņēmumu dienesta </w:t>
      </w:r>
      <w:r w:rsidRPr="00E72F48">
        <w:rPr>
          <w:rFonts w:asciiTheme="majorBidi" w:hAnsiTheme="majorBidi" w:cstheme="majorBidi"/>
        </w:rPr>
        <w:t>līguma izpilde) un finanšu konsultācijas – LETEX, XCORE un AZERON finansiālā analītika.</w:t>
      </w:r>
    </w:p>
    <w:p w14:paraId="212D9314" w14:textId="77777777" w:rsidR="004F2870" w:rsidRPr="00E72F48" w:rsidRDefault="004F2870" w:rsidP="00A040F0">
      <w:pPr>
        <w:spacing w:line="276" w:lineRule="auto"/>
        <w:ind w:firstLine="720"/>
        <w:jc w:val="both"/>
        <w:rPr>
          <w:rFonts w:asciiTheme="majorBidi" w:hAnsiTheme="majorBidi" w:cstheme="majorBidi"/>
        </w:rPr>
      </w:pPr>
      <w:r w:rsidRPr="00E72F48">
        <w:rPr>
          <w:rFonts w:asciiTheme="majorBidi" w:hAnsiTheme="majorBidi" w:cstheme="majorBidi"/>
        </w:rPr>
        <w:t>[2.6] No attiecīgo dokumentu satura nav viennozīmīgi izsecināms sniegto pakalpojumu (finanšu konsultācijas, finanšu analītika) saturs.</w:t>
      </w:r>
    </w:p>
    <w:p w14:paraId="6C701CE3" w14:textId="77777777" w:rsidR="004F2870" w:rsidRDefault="004F2870" w:rsidP="00A040F0">
      <w:pPr>
        <w:spacing w:line="276" w:lineRule="auto"/>
        <w:ind w:firstLine="720"/>
        <w:jc w:val="both"/>
        <w:rPr>
          <w:rFonts w:asciiTheme="majorBidi" w:hAnsiTheme="majorBidi" w:cstheme="majorBidi"/>
        </w:rPr>
      </w:pPr>
      <w:r w:rsidRPr="00E72F48">
        <w:rPr>
          <w:rFonts w:asciiTheme="majorBidi" w:hAnsiTheme="majorBidi" w:cstheme="majorBidi"/>
        </w:rPr>
        <w:t>Pieteicēja apstrīdēšanas iesniegumā un pieteikumā paskaidrojusi, ka neveic</w:t>
      </w:r>
      <w:r w:rsidRPr="007E4CC5">
        <w:rPr>
          <w:rFonts w:asciiTheme="majorBidi" w:hAnsiTheme="majorBidi" w:cstheme="majorBidi"/>
        </w:rPr>
        <w:t xml:space="preserve"> klientu kapitāla struktūras analīzi, nekonsultē klientus ieguldījumu jautājumos. Pārsvarā sniedz pakalpojumu „finanšu direktors ārpakalpojumā”, un tieši – budžeta plāna un izpildes kontrole, finanšu rādītāju aprēķināšana, dažādu finanšu rādītāju un koeficientu ievērošana, aprēķinu veikšana un klienta konsultēšana par to, kas notiks vienā vai otrā klienta idejiski iniciētā variantā (kādas būs mērķu sasniegšanas versijas, potenciālie peļņas vai zaudējumu rādījumi). Pieteicēja neiesaka, kā ieguldīt, bet gan izrēķina, kāds būs rezultāts tai situācijai, ko klients vēlas un plāno.</w:t>
      </w:r>
    </w:p>
    <w:p w14:paraId="24111A44" w14:textId="77777777" w:rsidR="004F2870" w:rsidRDefault="004F2870" w:rsidP="00A040F0">
      <w:pPr>
        <w:spacing w:line="276" w:lineRule="auto"/>
        <w:ind w:firstLine="720"/>
        <w:jc w:val="both"/>
        <w:rPr>
          <w:rFonts w:asciiTheme="majorBidi" w:hAnsiTheme="majorBidi" w:cstheme="majorBidi"/>
        </w:rPr>
      </w:pPr>
      <w:r>
        <w:rPr>
          <w:rFonts w:asciiTheme="majorBidi" w:hAnsiTheme="majorBidi" w:cstheme="majorBidi"/>
        </w:rPr>
        <w:t xml:space="preserve">Jau iepriekš norādīts, </w:t>
      </w:r>
      <w:r w:rsidRPr="007E4CC5">
        <w:rPr>
          <w:rFonts w:asciiTheme="majorBidi" w:hAnsiTheme="majorBidi" w:cstheme="majorBidi"/>
        </w:rPr>
        <w:t xml:space="preserve">ka, izvērtējot pieteicējas sniegto pakalpojumu raksturu, izšķiroša nozīme </w:t>
      </w:r>
      <w:r>
        <w:rPr>
          <w:rFonts w:asciiTheme="majorBidi" w:hAnsiTheme="majorBidi" w:cstheme="majorBidi"/>
        </w:rPr>
        <w:t>nav</w:t>
      </w:r>
      <w:r w:rsidRPr="007E4CC5">
        <w:rPr>
          <w:rFonts w:asciiTheme="majorBidi" w:hAnsiTheme="majorBidi" w:cstheme="majorBidi"/>
        </w:rPr>
        <w:t xml:space="preserve"> piešķirama pieteicējas interneta vietnē piedāvāto (reklamēto) pakalpojumu aprakstam.</w:t>
      </w:r>
      <w:r>
        <w:rPr>
          <w:rFonts w:asciiTheme="majorBidi" w:hAnsiTheme="majorBidi" w:cstheme="majorBidi"/>
        </w:rPr>
        <w:t xml:space="preserve"> </w:t>
      </w:r>
      <w:r w:rsidRPr="007E4CC5">
        <w:rPr>
          <w:rFonts w:asciiTheme="majorBidi" w:hAnsiTheme="majorBidi" w:cstheme="majorBidi"/>
        </w:rPr>
        <w:t xml:space="preserve">Vienlaikus attiecīgā klientiem sniegtā informācija var tikt </w:t>
      </w:r>
      <w:r w:rsidRPr="00E72F48">
        <w:rPr>
          <w:rFonts w:asciiTheme="majorBidi" w:hAnsiTheme="majorBidi" w:cstheme="majorBidi"/>
        </w:rPr>
        <w:t>izmantota, lai atklātu pieteicējas līgumos lietoto jēdzienu saturu.</w:t>
      </w:r>
      <w:r w:rsidRPr="007E4CC5">
        <w:rPr>
          <w:rFonts w:asciiTheme="majorBidi" w:hAnsiTheme="majorBidi" w:cstheme="majorBidi"/>
        </w:rPr>
        <w:t xml:space="preserve"> </w:t>
      </w:r>
    </w:p>
    <w:p w14:paraId="3F296876" w14:textId="77777777" w:rsidR="004F2870" w:rsidRDefault="004F2870" w:rsidP="00A040F0">
      <w:pPr>
        <w:spacing w:line="276" w:lineRule="auto"/>
        <w:ind w:firstLine="720"/>
        <w:jc w:val="both"/>
        <w:rPr>
          <w:rFonts w:asciiTheme="majorBidi" w:hAnsiTheme="majorBidi" w:cstheme="majorBidi"/>
        </w:rPr>
      </w:pPr>
      <w:r w:rsidRPr="007E4CC5">
        <w:rPr>
          <w:rFonts w:asciiTheme="majorBidi" w:hAnsiTheme="majorBidi" w:cstheme="majorBidi"/>
        </w:rPr>
        <w:t xml:space="preserve">Pieteicēja interneta vietnē </w:t>
      </w:r>
      <w:r w:rsidRPr="00507CAC">
        <w:rPr>
          <w:rFonts w:asciiTheme="majorBidi" w:hAnsiTheme="majorBidi" w:cstheme="majorBidi"/>
          <w:i/>
          <w:iCs/>
        </w:rPr>
        <w:t>https://www.abzfinance.lv</w:t>
      </w:r>
      <w:r w:rsidRPr="007E4CC5">
        <w:rPr>
          <w:rFonts w:asciiTheme="majorBidi" w:hAnsiTheme="majorBidi" w:cstheme="majorBidi"/>
        </w:rPr>
        <w:t xml:space="preserve"> norādījusi, ka piedāvā klientam piemērotāko risinājumu atbilstoši sniegto pakalpojumu spektram: finanšu direktors ārpakalpojumā; finanšu plānošana; budžetēšana; biznesa konsultācijas; </w:t>
      </w:r>
      <w:r w:rsidRPr="00FD7AC1">
        <w:rPr>
          <w:rFonts w:asciiTheme="majorBidi" w:hAnsiTheme="majorBidi" w:cstheme="majorBidi"/>
          <w:i/>
          <w:iCs/>
        </w:rPr>
        <w:t>start-up</w:t>
      </w:r>
      <w:r w:rsidRPr="007E4CC5">
        <w:rPr>
          <w:rFonts w:asciiTheme="majorBidi" w:hAnsiTheme="majorBidi" w:cstheme="majorBidi"/>
        </w:rPr>
        <w:t xml:space="preserve"> risinājumi.</w:t>
      </w:r>
    </w:p>
    <w:p w14:paraId="329954D4" w14:textId="77777777" w:rsidR="004F2870" w:rsidRDefault="004F2870" w:rsidP="00A040F0">
      <w:pPr>
        <w:spacing w:line="276" w:lineRule="auto"/>
        <w:ind w:firstLine="720"/>
        <w:jc w:val="both"/>
        <w:rPr>
          <w:rFonts w:asciiTheme="majorBidi" w:hAnsiTheme="majorBidi" w:cstheme="majorBidi"/>
        </w:rPr>
      </w:pPr>
      <w:r w:rsidRPr="007E4CC5">
        <w:rPr>
          <w:rFonts w:asciiTheme="majorBidi" w:hAnsiTheme="majorBidi" w:cstheme="majorBidi"/>
        </w:rPr>
        <w:t>Norādīts, ka finanšu direktors ārpakalpojumā: veido un kontrolē uzņēmuma naudas plūsmu; ģenerē budžetu un kontrolē tā izpildi; uzmana uzņēmuma rādītājus; analizē potenciālās iespējas un riskus; koordinē iekšējo un ārējo finansējumu. Attiecībā uz veidiem, kā uzņēmums to organizē, minēts: vienas pieturas aģentūras princips; sadarbības partneri praktiski visās biznesa jomās; kontrole vienās rokās; tikai detalizētai un uzticamai grāmatvedībai ir iespējama ticama un reāla finanšu analītika</w:t>
      </w:r>
      <w:r>
        <w:rPr>
          <w:rFonts w:asciiTheme="majorBidi" w:hAnsiTheme="majorBidi" w:cstheme="majorBidi"/>
        </w:rPr>
        <w:t>.</w:t>
      </w:r>
    </w:p>
    <w:p w14:paraId="3F581A50" w14:textId="77777777" w:rsidR="004F2870" w:rsidRPr="00E72F48" w:rsidRDefault="004F2870" w:rsidP="00A040F0">
      <w:pPr>
        <w:spacing w:line="276" w:lineRule="auto"/>
        <w:ind w:firstLine="720"/>
        <w:jc w:val="both"/>
        <w:rPr>
          <w:rFonts w:asciiTheme="majorBidi" w:hAnsiTheme="majorBidi" w:cstheme="majorBidi"/>
        </w:rPr>
      </w:pPr>
      <w:r>
        <w:rPr>
          <w:rFonts w:asciiTheme="majorBidi" w:hAnsiTheme="majorBidi" w:cstheme="majorBidi"/>
        </w:rPr>
        <w:t xml:space="preserve">[2.7] </w:t>
      </w:r>
      <w:r w:rsidRPr="007E4CC5">
        <w:rPr>
          <w:rFonts w:asciiTheme="majorBidi" w:hAnsiTheme="majorBidi" w:cstheme="majorBidi"/>
        </w:rPr>
        <w:t>Ņemot vērā, ka tiek vērtētas kredītiestādēm raksturīgas funkcijas, ko veic citas finanšu iestādes, attiecīgā jēdziena noskaidrošanai var tikt izmantotas arī Eiropas Vērtspapīru un tirgu iestādes (ESMA) Vadlīnijas par konsultāciju jēdziena izpratni Eiropas Parlamenta un Padomes Direktīvā 2014/65/ES (2014.gada 15.maijs) par finanšu instrumentu tirgiem un ar ko groza Direktīvu 2002/92/EK un Direktīvu 2011/61/ES</w:t>
      </w:r>
      <w:r>
        <w:rPr>
          <w:rFonts w:asciiTheme="majorBidi" w:hAnsiTheme="majorBidi" w:cstheme="majorBidi"/>
        </w:rPr>
        <w:t xml:space="preserve"> </w:t>
      </w:r>
      <w:r w:rsidRPr="00E72F48">
        <w:rPr>
          <w:rFonts w:asciiTheme="majorBidi" w:hAnsiTheme="majorBidi" w:cstheme="majorBidi"/>
        </w:rPr>
        <w:t xml:space="preserve">(turpmāk – Eiropas Vērtspapīru un tirgu iestādes vadlīnijas). </w:t>
      </w:r>
    </w:p>
    <w:p w14:paraId="31F64BFA" w14:textId="77777777" w:rsidR="004F2870" w:rsidRDefault="004F2870" w:rsidP="00A040F0">
      <w:pPr>
        <w:spacing w:line="276" w:lineRule="auto"/>
        <w:ind w:firstLine="720"/>
        <w:jc w:val="both"/>
        <w:rPr>
          <w:rFonts w:asciiTheme="majorBidi" w:hAnsiTheme="majorBidi" w:cstheme="majorBidi"/>
        </w:rPr>
      </w:pPr>
      <w:r w:rsidRPr="00E72F48">
        <w:rPr>
          <w:rFonts w:asciiTheme="majorBidi" w:hAnsiTheme="majorBidi" w:cstheme="majorBidi"/>
        </w:rPr>
        <w:t>No tām izriet, ka uzņēmumu konsultēšana par kapitāla struktūru, darbības stratēģiju un ar to saistītiem jautājumiem ietilpst pakalpojumā „korporatīvo finanšu konsultācijas” (</w:t>
      </w:r>
      <w:r w:rsidRPr="00E72F48">
        <w:rPr>
          <w:rFonts w:asciiTheme="majorBidi" w:hAnsiTheme="majorBidi" w:cstheme="majorBidi"/>
          <w:i/>
          <w:iCs/>
        </w:rPr>
        <w:t>corporate finance advice</w:t>
      </w:r>
      <w:r w:rsidRPr="00E72F48">
        <w:rPr>
          <w:rFonts w:asciiTheme="majorBidi" w:hAnsiTheme="majorBidi" w:cstheme="majorBidi"/>
        </w:rPr>
        <w:t>). Izvērtējot, vai uzņēmums sniedz šādu</w:t>
      </w:r>
      <w:r w:rsidRPr="007E4CC5">
        <w:rPr>
          <w:rFonts w:asciiTheme="majorBidi" w:hAnsiTheme="majorBidi" w:cstheme="majorBidi"/>
        </w:rPr>
        <w:t xml:space="preserve"> pakalpojumu, pirmkārt, noskaidrojams, vai tam ir informatīvs vai konsultējošs raksturs. Konsultācijai ir raksturīgs padomdevēja tiešs vai netiešs ieteikuma elements. Savukārt informēšana ie</w:t>
      </w:r>
      <w:r>
        <w:rPr>
          <w:rFonts w:asciiTheme="majorBidi" w:hAnsiTheme="majorBidi" w:cstheme="majorBidi"/>
        </w:rPr>
        <w:t>t</w:t>
      </w:r>
      <w:r w:rsidRPr="007E4CC5">
        <w:rPr>
          <w:rFonts w:asciiTheme="majorBidi" w:hAnsiTheme="majorBidi" w:cstheme="majorBidi"/>
        </w:rPr>
        <w:t>ver faktu un skaitļu paziņošanu, proti, vienkārša objektīvas</w:t>
      </w:r>
      <w:r>
        <w:rPr>
          <w:rFonts w:asciiTheme="majorBidi" w:hAnsiTheme="majorBidi" w:cstheme="majorBidi"/>
        </w:rPr>
        <w:t xml:space="preserve"> </w:t>
      </w:r>
      <w:r w:rsidRPr="007E4CC5">
        <w:rPr>
          <w:rFonts w:asciiTheme="majorBidi" w:hAnsiTheme="majorBidi" w:cstheme="majorBidi"/>
        </w:rPr>
        <w:t>informācijas sniegšana, nesniedzot nekādus komentārus, vērtējumu vai ietekmes novērtējumu uz klienta lēmumiem, nav ieteikums.</w:t>
      </w:r>
    </w:p>
    <w:p w14:paraId="50CD7249" w14:textId="77777777" w:rsidR="004F2870" w:rsidRDefault="004F2870" w:rsidP="00A040F0">
      <w:pPr>
        <w:spacing w:line="276" w:lineRule="auto"/>
        <w:ind w:firstLine="720"/>
        <w:jc w:val="both"/>
        <w:rPr>
          <w:rFonts w:asciiTheme="majorBidi" w:hAnsiTheme="majorBidi" w:cstheme="majorBidi"/>
        </w:rPr>
      </w:pPr>
      <w:r>
        <w:rPr>
          <w:rFonts w:asciiTheme="majorBidi" w:hAnsiTheme="majorBidi" w:cstheme="majorBidi"/>
        </w:rPr>
        <w:t>P</w:t>
      </w:r>
      <w:r w:rsidRPr="007E4CC5">
        <w:rPr>
          <w:rFonts w:asciiTheme="majorBidi" w:hAnsiTheme="majorBidi" w:cstheme="majorBidi"/>
        </w:rPr>
        <w:t>ašas pieteicējas paskaidrojumi kopsakarā ar klientiem sniegto pakalpojumu aprakstu ļauj secināt, ka pieteicēja strīdus periodā ir veikusi klientu potenciālo iespēju un risku analīzi, nevis vienkārši snie</w:t>
      </w:r>
      <w:r>
        <w:rPr>
          <w:rFonts w:asciiTheme="majorBidi" w:hAnsiTheme="majorBidi" w:cstheme="majorBidi"/>
        </w:rPr>
        <w:t xml:space="preserve">gusi </w:t>
      </w:r>
      <w:r w:rsidRPr="007E4CC5">
        <w:rPr>
          <w:rFonts w:asciiTheme="majorBidi" w:hAnsiTheme="majorBidi" w:cstheme="majorBidi"/>
        </w:rPr>
        <w:t xml:space="preserve">klientam informāciju, bet </w:t>
      </w:r>
      <w:r>
        <w:rPr>
          <w:rFonts w:asciiTheme="majorBidi" w:hAnsiTheme="majorBidi" w:cstheme="majorBidi"/>
        </w:rPr>
        <w:t xml:space="preserve">gan </w:t>
      </w:r>
      <w:r w:rsidRPr="007E4CC5">
        <w:rPr>
          <w:rFonts w:asciiTheme="majorBidi" w:hAnsiTheme="majorBidi" w:cstheme="majorBidi"/>
        </w:rPr>
        <w:t>izskaidroj</w:t>
      </w:r>
      <w:r>
        <w:rPr>
          <w:rFonts w:asciiTheme="majorBidi" w:hAnsiTheme="majorBidi" w:cstheme="majorBidi"/>
        </w:rPr>
        <w:t>usi</w:t>
      </w:r>
      <w:r w:rsidRPr="007E4CC5">
        <w:rPr>
          <w:rFonts w:asciiTheme="majorBidi" w:hAnsiTheme="majorBidi" w:cstheme="majorBidi"/>
        </w:rPr>
        <w:t xml:space="preserve"> sagaidāmo rezultātu vienā vai citā variantā, proti, ietekmējot klienta lēmumus par tā turpmāko rīcību. Minētais ir uzskatāms par uzņēmumu konsultēšanu par darbības stratēģiju un ar to saistītiem jautājumiem.</w:t>
      </w:r>
    </w:p>
    <w:p w14:paraId="74A64AC2" w14:textId="77777777" w:rsidR="004F2870" w:rsidRDefault="004F2870" w:rsidP="00A040F0">
      <w:pPr>
        <w:spacing w:line="276" w:lineRule="auto"/>
        <w:ind w:firstLine="720"/>
        <w:jc w:val="both"/>
        <w:rPr>
          <w:rFonts w:asciiTheme="majorBidi" w:hAnsiTheme="majorBidi" w:cstheme="majorBidi"/>
        </w:rPr>
      </w:pPr>
    </w:p>
    <w:p w14:paraId="2A8EF86D" w14:textId="77777777" w:rsidR="004F2870" w:rsidRPr="00075BEC" w:rsidRDefault="004F2870" w:rsidP="00A040F0">
      <w:pPr>
        <w:spacing w:line="276" w:lineRule="auto"/>
        <w:ind w:firstLine="720"/>
        <w:jc w:val="both"/>
        <w:rPr>
          <w:rFonts w:asciiTheme="majorBidi" w:hAnsiTheme="majorBidi" w:cstheme="majorBidi"/>
        </w:rPr>
      </w:pPr>
      <w:r w:rsidRPr="00075BEC">
        <w:rPr>
          <w:rFonts w:asciiTheme="majorBidi" w:hAnsiTheme="majorBidi" w:cstheme="majorBidi"/>
        </w:rPr>
        <w:t xml:space="preserve">[3] </w:t>
      </w:r>
      <w:r w:rsidRPr="00075BEC">
        <w:rPr>
          <w:rFonts w:asciiTheme="majorBidi" w:hAnsiTheme="majorBidi" w:cstheme="majorBidi"/>
          <w:lang w:eastAsia="lv-LV"/>
        </w:rPr>
        <w:t xml:space="preserve">Pieteicēja </w:t>
      </w:r>
      <w:r w:rsidRPr="00075BEC">
        <w:rPr>
          <w:rFonts w:asciiTheme="majorBidi" w:hAnsiTheme="majorBidi" w:cstheme="majorBidi"/>
        </w:rPr>
        <w:t>iesniedza kasācijas sūdzību par apgabaltiesas spriedumu, norādot turpmāk minētos argumentus.</w:t>
      </w:r>
    </w:p>
    <w:p w14:paraId="49DD427E" w14:textId="77777777" w:rsidR="004F2870" w:rsidRPr="00075BEC" w:rsidRDefault="004F2870" w:rsidP="00A040F0">
      <w:pPr>
        <w:spacing w:line="276" w:lineRule="auto"/>
        <w:ind w:firstLine="720"/>
        <w:jc w:val="both"/>
        <w:rPr>
          <w:rFonts w:eastAsia="Calibri"/>
        </w:rPr>
      </w:pPr>
      <w:r w:rsidRPr="00075BEC">
        <w:rPr>
          <w:rFonts w:asciiTheme="majorBidi" w:hAnsiTheme="majorBidi" w:cstheme="majorBidi"/>
        </w:rPr>
        <w:t xml:space="preserve">[3.1] </w:t>
      </w:r>
      <w:r>
        <w:rPr>
          <w:rFonts w:eastAsia="Calibri"/>
        </w:rPr>
        <w:t>T</w:t>
      </w:r>
      <w:r w:rsidRPr="00075BEC">
        <w:rPr>
          <w:rFonts w:eastAsia="Calibri"/>
        </w:rPr>
        <w:t>iesa</w:t>
      </w:r>
      <w:r>
        <w:rPr>
          <w:rFonts w:eastAsia="Calibri"/>
        </w:rPr>
        <w:t xml:space="preserve"> </w:t>
      </w:r>
      <w:r w:rsidRPr="00075BEC">
        <w:rPr>
          <w:rFonts w:eastAsia="Calibri"/>
        </w:rPr>
        <w:t xml:space="preserve">secinājusi, ka dienesta </w:t>
      </w:r>
      <w:r>
        <w:rPr>
          <w:rFonts w:eastAsia="Calibri"/>
        </w:rPr>
        <w:t xml:space="preserve">lēmumos </w:t>
      </w:r>
      <w:r w:rsidRPr="00075BEC">
        <w:rPr>
          <w:rFonts w:eastAsia="Calibri"/>
        </w:rPr>
        <w:t>norādītie apstākļi nepierāda dienesta apgalvojumu, ka pieteicēja ir finanšu iestāde. Šādos apstākļos tiesai bija jāatzīst, ka dienests nav pierādījis apstākļus, uz kuriem tas atsaucas lēmumos</w:t>
      </w:r>
      <w:r>
        <w:rPr>
          <w:rFonts w:eastAsia="Calibri"/>
        </w:rPr>
        <w:t>, un tāpēc lēmumi nav tiesiski</w:t>
      </w:r>
      <w:r w:rsidRPr="00075BEC">
        <w:rPr>
          <w:rFonts w:eastAsia="Calibri"/>
        </w:rPr>
        <w:t>.</w:t>
      </w:r>
      <w:r>
        <w:rPr>
          <w:rFonts w:eastAsia="Calibri"/>
        </w:rPr>
        <w:t xml:space="preserve"> Atbilstoši </w:t>
      </w:r>
      <w:r w:rsidRPr="00075BEC">
        <w:rPr>
          <w:rFonts w:eastAsia="Calibri"/>
        </w:rPr>
        <w:t>Administratīvā procesa likuma 150. un 250.pant</w:t>
      </w:r>
      <w:r>
        <w:rPr>
          <w:rFonts w:eastAsia="Calibri"/>
        </w:rPr>
        <w:t>am</w:t>
      </w:r>
      <w:r w:rsidRPr="00075BEC">
        <w:rPr>
          <w:rFonts w:eastAsia="Calibri"/>
        </w:rPr>
        <w:t xml:space="preserve"> tiesai nav pamata ar savu darbību palīdzēt </w:t>
      </w:r>
      <w:r>
        <w:rPr>
          <w:rFonts w:eastAsia="Calibri"/>
        </w:rPr>
        <w:t xml:space="preserve">iestādei un </w:t>
      </w:r>
      <w:r w:rsidRPr="00075BEC">
        <w:rPr>
          <w:rFonts w:eastAsia="Calibri"/>
        </w:rPr>
        <w:t>pildīt pierādīšanas pienākumu valsts interesēs.</w:t>
      </w:r>
      <w:r>
        <w:rPr>
          <w:rFonts w:eastAsia="Calibri"/>
        </w:rPr>
        <w:t xml:space="preserve"> Tiesa to nav ievērojusi. </w:t>
      </w:r>
    </w:p>
    <w:p w14:paraId="484CADE5" w14:textId="77777777" w:rsidR="004F2870" w:rsidRDefault="004F2870" w:rsidP="00A040F0">
      <w:pPr>
        <w:spacing w:line="276" w:lineRule="auto"/>
        <w:ind w:firstLine="720"/>
        <w:jc w:val="both"/>
        <w:rPr>
          <w:rFonts w:eastAsia="Calibri"/>
        </w:rPr>
      </w:pPr>
      <w:r>
        <w:rPr>
          <w:rFonts w:eastAsia="Calibri"/>
        </w:rPr>
        <w:t xml:space="preserve">Ievērojot minēto, tiesa spriedumā nedrīkstēja atsaukties arī uz </w:t>
      </w:r>
      <w:r w:rsidRPr="007E4CC5">
        <w:rPr>
          <w:rFonts w:asciiTheme="majorBidi" w:hAnsiTheme="majorBidi" w:cstheme="majorBidi"/>
        </w:rPr>
        <w:t xml:space="preserve">Eiropas Vērtspapīru un tirgu iestādes </w:t>
      </w:r>
      <w:r>
        <w:rPr>
          <w:rFonts w:asciiTheme="majorBidi" w:hAnsiTheme="majorBidi" w:cstheme="majorBidi"/>
        </w:rPr>
        <w:t>v</w:t>
      </w:r>
      <w:r w:rsidRPr="007E4CC5">
        <w:rPr>
          <w:rFonts w:asciiTheme="majorBidi" w:hAnsiTheme="majorBidi" w:cstheme="majorBidi"/>
        </w:rPr>
        <w:t>adlīnij</w:t>
      </w:r>
      <w:r>
        <w:rPr>
          <w:rFonts w:asciiTheme="majorBidi" w:hAnsiTheme="majorBidi" w:cstheme="majorBidi"/>
        </w:rPr>
        <w:t>ām</w:t>
      </w:r>
      <w:r>
        <w:rPr>
          <w:rFonts w:eastAsia="Calibri"/>
        </w:rPr>
        <w:t xml:space="preserve">, kas ir pierādījums, kuru dienests nav izmantojis administratīvā akta pamatošanā. </w:t>
      </w:r>
    </w:p>
    <w:p w14:paraId="40B80707" w14:textId="77777777" w:rsidR="004F2870" w:rsidRPr="00075BEC" w:rsidRDefault="004F2870" w:rsidP="00A040F0">
      <w:pPr>
        <w:spacing w:line="276" w:lineRule="auto"/>
        <w:ind w:firstLine="720"/>
        <w:jc w:val="both"/>
        <w:rPr>
          <w:rFonts w:eastAsia="Calibri"/>
        </w:rPr>
      </w:pPr>
      <w:r w:rsidRPr="00075BEC">
        <w:rPr>
          <w:rFonts w:eastAsia="Calibri"/>
        </w:rPr>
        <w:t>[</w:t>
      </w:r>
      <w:r>
        <w:rPr>
          <w:rFonts w:eastAsia="Calibri"/>
        </w:rPr>
        <w:t>3.2</w:t>
      </w:r>
      <w:r w:rsidRPr="00075BEC">
        <w:rPr>
          <w:rFonts w:eastAsia="Calibri"/>
        </w:rPr>
        <w:t>] Tiesa divās salīdzināmās situācijās ir rīkojusies atšķirīgi. Proti, tiesa ņēma vērā Eiropas Vērtspapīru un tirgu iestādes vadlīnij</w:t>
      </w:r>
      <w:r>
        <w:rPr>
          <w:rFonts w:eastAsia="Calibri"/>
        </w:rPr>
        <w:t>as</w:t>
      </w:r>
      <w:r w:rsidRPr="00075BEC">
        <w:rPr>
          <w:rFonts w:eastAsia="Calibri"/>
        </w:rPr>
        <w:t>, bet vienlaikus atzina, ka Finanšu un kapitāla tirgus komisijas 2022.gada 29.novembra viedoklis</w:t>
      </w:r>
      <w:r w:rsidRPr="00075BEC">
        <w:t xml:space="preserve"> </w:t>
      </w:r>
      <w:r w:rsidRPr="00075BEC">
        <w:rPr>
          <w:rFonts w:eastAsia="Calibri"/>
        </w:rPr>
        <w:t>kā pierādījums lietā nav vērtējams.</w:t>
      </w:r>
    </w:p>
    <w:p w14:paraId="6EF27367" w14:textId="77777777" w:rsidR="004F2870" w:rsidRPr="00075BEC" w:rsidRDefault="004F2870" w:rsidP="00A040F0">
      <w:pPr>
        <w:spacing w:line="276" w:lineRule="auto"/>
        <w:ind w:firstLine="720"/>
        <w:jc w:val="both"/>
        <w:rPr>
          <w:rFonts w:eastAsia="Calibri"/>
        </w:rPr>
      </w:pPr>
      <w:r w:rsidRPr="00075BEC">
        <w:rPr>
          <w:rFonts w:eastAsia="Calibri"/>
        </w:rPr>
        <w:t xml:space="preserve">Nav skaidrs, kā tiesa nonākusi pie secinājuma, ka </w:t>
      </w:r>
      <w:r>
        <w:rPr>
          <w:rFonts w:eastAsia="Calibri"/>
        </w:rPr>
        <w:t>v</w:t>
      </w:r>
      <w:r w:rsidRPr="00075BEC">
        <w:rPr>
          <w:rFonts w:eastAsia="Calibri"/>
        </w:rPr>
        <w:t xml:space="preserve">ienas iestādes </w:t>
      </w:r>
      <w:r>
        <w:rPr>
          <w:rFonts w:eastAsia="Calibri"/>
        </w:rPr>
        <w:t xml:space="preserve">publicētas </w:t>
      </w:r>
      <w:r w:rsidRPr="00075BEC">
        <w:rPr>
          <w:rFonts w:eastAsia="Calibri"/>
        </w:rPr>
        <w:t>vadlīnij</w:t>
      </w:r>
      <w:r>
        <w:rPr>
          <w:rFonts w:eastAsia="Calibri"/>
        </w:rPr>
        <w:t>as</w:t>
      </w:r>
      <w:r w:rsidRPr="00075BEC">
        <w:rPr>
          <w:rFonts w:eastAsia="Calibri"/>
        </w:rPr>
        <w:t xml:space="preserve"> ir uzskatāmas par pierādījumu lietā, bet citas iestādes viedoklis, kurā atbildēts uz pieteicējas jautājumu</w:t>
      </w:r>
      <w:r>
        <w:rPr>
          <w:rFonts w:eastAsia="Calibri"/>
        </w:rPr>
        <w:t>,</w:t>
      </w:r>
      <w:r w:rsidRPr="00075BEC">
        <w:rPr>
          <w:rFonts w:eastAsia="Calibri"/>
        </w:rPr>
        <w:t xml:space="preserve"> izmantojot tādu pašu situācijas aprakstu, kas tika norādīts gan tiesai, gan dienestam, nav pieļaujams pierādījums. Abās </w:t>
      </w:r>
      <w:r>
        <w:rPr>
          <w:rFonts w:eastAsia="Calibri"/>
        </w:rPr>
        <w:t xml:space="preserve">situācijās </w:t>
      </w:r>
      <w:r w:rsidRPr="00075BEC">
        <w:rPr>
          <w:rFonts w:eastAsia="Calibri"/>
        </w:rPr>
        <w:t xml:space="preserve">iestādes viedoklis nav </w:t>
      </w:r>
      <w:r>
        <w:rPr>
          <w:rFonts w:eastAsia="Calibri"/>
        </w:rPr>
        <w:t xml:space="preserve">balstīts uz </w:t>
      </w:r>
      <w:r w:rsidRPr="00075BEC">
        <w:rPr>
          <w:rFonts w:eastAsia="Calibri"/>
        </w:rPr>
        <w:t>pieteicējas faktiski sniegt</w:t>
      </w:r>
      <w:r>
        <w:rPr>
          <w:rFonts w:eastAsia="Calibri"/>
        </w:rPr>
        <w:t>ajiem</w:t>
      </w:r>
      <w:r w:rsidRPr="00075BEC">
        <w:rPr>
          <w:rFonts w:eastAsia="Calibri"/>
        </w:rPr>
        <w:t xml:space="preserve"> pakalpojum</w:t>
      </w:r>
      <w:r>
        <w:rPr>
          <w:rFonts w:eastAsia="Calibri"/>
        </w:rPr>
        <w:t>iem</w:t>
      </w:r>
      <w:r w:rsidRPr="00075BEC">
        <w:rPr>
          <w:rFonts w:eastAsia="Calibri"/>
        </w:rPr>
        <w:t>, bet gan analizējot tās norādīto informāciju par pakalpojumu sniegšanu.</w:t>
      </w:r>
      <w:r>
        <w:rPr>
          <w:rFonts w:eastAsia="Calibri"/>
        </w:rPr>
        <w:t xml:space="preserve"> </w:t>
      </w:r>
    </w:p>
    <w:p w14:paraId="66422AC8" w14:textId="77777777" w:rsidR="004F2870" w:rsidRPr="00871BF3" w:rsidRDefault="004F2870" w:rsidP="00A040F0">
      <w:pPr>
        <w:spacing w:line="276" w:lineRule="auto"/>
        <w:ind w:firstLine="720"/>
        <w:jc w:val="both"/>
        <w:rPr>
          <w:rFonts w:eastAsia="Calibri"/>
        </w:rPr>
      </w:pPr>
      <w:r w:rsidRPr="00075BEC">
        <w:rPr>
          <w:rFonts w:eastAsia="Calibri"/>
        </w:rPr>
        <w:t>[</w:t>
      </w:r>
      <w:r>
        <w:rPr>
          <w:rFonts w:eastAsia="Calibri"/>
        </w:rPr>
        <w:t>3.3</w:t>
      </w:r>
      <w:r w:rsidRPr="00075BEC">
        <w:rPr>
          <w:rFonts w:eastAsia="Calibri"/>
        </w:rPr>
        <w:t>]</w:t>
      </w:r>
      <w:r>
        <w:rPr>
          <w:rFonts w:eastAsia="Calibri"/>
        </w:rPr>
        <w:t xml:space="preserve"> </w:t>
      </w:r>
      <w:r w:rsidRPr="004311C9">
        <w:rPr>
          <w:rFonts w:eastAsia="Calibri"/>
        </w:rPr>
        <w:t xml:space="preserve">Tiesa, novērtējot pieteicējas iesniegtos līgumus un rēķinus, atzina, ka no tiem nav viennozīmīgi izsecināms sniegto pakalpojumu saturs. Ja tiesa nevar izsecināt sniegtā pakalpojuma saturu no līguma un rēķiniem, tad to </w:t>
      </w:r>
      <w:r>
        <w:rPr>
          <w:rFonts w:eastAsia="Calibri"/>
        </w:rPr>
        <w:t xml:space="preserve">arī </w:t>
      </w:r>
      <w:r w:rsidRPr="004311C9">
        <w:rPr>
          <w:rFonts w:eastAsia="Calibri"/>
        </w:rPr>
        <w:t>nevar izdarīt, analizējot līgumā vai rēķinā iekļauta termina nozīmi</w:t>
      </w:r>
      <w:r>
        <w:rPr>
          <w:rFonts w:eastAsia="Calibri"/>
        </w:rPr>
        <w:t xml:space="preserve"> </w:t>
      </w:r>
      <w:r w:rsidRPr="00075BEC">
        <w:rPr>
          <w:rFonts w:eastAsia="Calibri"/>
        </w:rPr>
        <w:t>Eiropas Vērtspapīru un tirgu iestādes vadlīnijā</w:t>
      </w:r>
      <w:r>
        <w:rPr>
          <w:rFonts w:eastAsia="Calibri"/>
        </w:rPr>
        <w:t>s</w:t>
      </w:r>
      <w:r w:rsidRPr="004311C9">
        <w:rPr>
          <w:rFonts w:eastAsia="Calibri"/>
        </w:rPr>
        <w:t>. Savukārt, ja tiesa no dokumentu satura nespēj izsecināt sniegtā pakalpojuma saturu, jāsecina, ka lietā nav pietiekamu pierādījumu, lai konstatētu iestādes norādīto apstākli.</w:t>
      </w:r>
      <w:r w:rsidRPr="00300312">
        <w:rPr>
          <w:rFonts w:eastAsia="Calibri"/>
          <w:color w:val="70AD47" w:themeColor="accent6"/>
        </w:rPr>
        <w:t xml:space="preserve"> </w:t>
      </w:r>
      <w:r>
        <w:rPr>
          <w:rFonts w:eastAsia="Calibri"/>
        </w:rPr>
        <w:t>Šādā gadījumā tiesai bija jāsecina, ka administratīvie akti nav tiesiski.</w:t>
      </w:r>
    </w:p>
    <w:p w14:paraId="137017F2" w14:textId="77777777" w:rsidR="004F2870" w:rsidRPr="00075BEC" w:rsidRDefault="004F2870" w:rsidP="00A040F0">
      <w:pPr>
        <w:spacing w:line="276" w:lineRule="auto"/>
        <w:ind w:firstLine="720"/>
        <w:jc w:val="both"/>
        <w:rPr>
          <w:rFonts w:eastAsia="Calibri"/>
        </w:rPr>
      </w:pPr>
      <w:r>
        <w:rPr>
          <w:rFonts w:eastAsia="Calibri"/>
        </w:rPr>
        <w:t xml:space="preserve">Jāņem arī </w:t>
      </w:r>
      <w:r w:rsidRPr="00075BEC">
        <w:rPr>
          <w:rFonts w:eastAsia="Calibri"/>
        </w:rPr>
        <w:t xml:space="preserve">vērā, ka </w:t>
      </w:r>
      <w:r>
        <w:rPr>
          <w:rFonts w:eastAsia="Calibri"/>
        </w:rPr>
        <w:t>pieteicēja</w:t>
      </w:r>
      <w:r w:rsidRPr="00075BEC">
        <w:rPr>
          <w:rFonts w:eastAsia="Calibri"/>
        </w:rPr>
        <w:t xml:space="preserve"> nevar</w:t>
      </w:r>
      <w:r>
        <w:rPr>
          <w:rFonts w:eastAsia="Calibri"/>
        </w:rPr>
        <w:t xml:space="preserve"> </w:t>
      </w:r>
      <w:r w:rsidRPr="00075BEC">
        <w:rPr>
          <w:rFonts w:eastAsia="Calibri"/>
        </w:rPr>
        <w:t xml:space="preserve">pierādīt negatīvu faktu ar tiešiem pierādījumiem. </w:t>
      </w:r>
      <w:r>
        <w:rPr>
          <w:rFonts w:eastAsia="Calibri"/>
        </w:rPr>
        <w:t xml:space="preserve">Proti, </w:t>
      </w:r>
      <w:r w:rsidRPr="00075BEC">
        <w:rPr>
          <w:rFonts w:eastAsia="Calibri"/>
        </w:rPr>
        <w:t xml:space="preserve">nevar pierādīt, ka tās darbība neatbilst finanšu iestādes darbībai. </w:t>
      </w:r>
      <w:r>
        <w:rPr>
          <w:rFonts w:eastAsia="Calibri"/>
        </w:rPr>
        <w:t xml:space="preserve">Tieši dienesta uzdevums ir pierādīt, ka </w:t>
      </w:r>
      <w:r w:rsidRPr="00075BEC">
        <w:rPr>
          <w:rFonts w:eastAsia="Calibri"/>
        </w:rPr>
        <w:t>pieteicējas darbība atbilst finanšu iestādei</w:t>
      </w:r>
      <w:r>
        <w:rPr>
          <w:rFonts w:eastAsia="Calibri"/>
        </w:rPr>
        <w:t xml:space="preserve">. </w:t>
      </w:r>
      <w:r w:rsidRPr="00075BEC">
        <w:rPr>
          <w:rFonts w:eastAsia="Calibri"/>
        </w:rPr>
        <w:t xml:space="preserve"> </w:t>
      </w:r>
    </w:p>
    <w:p w14:paraId="4E5357DC" w14:textId="77777777" w:rsidR="004F2870" w:rsidRPr="00075BEC" w:rsidRDefault="004F2870" w:rsidP="00A040F0">
      <w:pPr>
        <w:spacing w:line="276" w:lineRule="auto"/>
        <w:ind w:firstLine="720"/>
        <w:jc w:val="both"/>
        <w:rPr>
          <w:rFonts w:eastAsia="Calibri"/>
        </w:rPr>
      </w:pPr>
      <w:r w:rsidRPr="00E72F48">
        <w:rPr>
          <w:rFonts w:eastAsia="Calibri"/>
        </w:rPr>
        <w:t>[3.4] Pat ja atzītu, ka kāds no pieteicējas darījumiem atbilst finanšu iestādes definīcijai, tad nav pamatots un pierādīts, kādēļ tā būtu uzskatāma par pieteicējas galveno darbību, kas atbilstoši regulas Nr. 575/2013 4.panta 1.punkta 26.apakšpunktam ir</w:t>
      </w:r>
      <w:r w:rsidRPr="00075BEC">
        <w:rPr>
          <w:rFonts w:eastAsia="Calibri"/>
        </w:rPr>
        <w:t xml:space="preserve"> jāpierāda. </w:t>
      </w:r>
      <w:r>
        <w:rPr>
          <w:rFonts w:eastAsia="Calibri"/>
        </w:rPr>
        <w:t>T</w:t>
      </w:r>
      <w:r w:rsidRPr="00075BEC">
        <w:rPr>
          <w:rFonts w:eastAsia="Calibri"/>
        </w:rPr>
        <w:t>iesa</w:t>
      </w:r>
      <w:r>
        <w:rPr>
          <w:rFonts w:eastAsia="Calibri"/>
        </w:rPr>
        <w:t xml:space="preserve"> šo pieteicējas argumentu nav analizējusi</w:t>
      </w:r>
      <w:r w:rsidRPr="00075BEC">
        <w:rPr>
          <w:rFonts w:eastAsia="Calibri"/>
        </w:rPr>
        <w:t>.</w:t>
      </w:r>
    </w:p>
    <w:p w14:paraId="6E5E6E8F" w14:textId="77777777" w:rsidR="004F2870" w:rsidRPr="00075BEC" w:rsidRDefault="004F2870" w:rsidP="00A040F0">
      <w:pPr>
        <w:spacing w:line="276" w:lineRule="auto"/>
        <w:ind w:firstLine="720"/>
        <w:jc w:val="both"/>
        <w:rPr>
          <w:rFonts w:eastAsia="Calibri"/>
        </w:rPr>
      </w:pPr>
      <w:r>
        <w:rPr>
          <w:rFonts w:eastAsia="Calibri"/>
        </w:rPr>
        <w:t>T</w:t>
      </w:r>
      <w:r w:rsidRPr="00075BEC">
        <w:rPr>
          <w:rFonts w:eastAsia="Calibri"/>
        </w:rPr>
        <w:t xml:space="preserve">ikai pieteicējas sagatavotajā rēķinā ar komersantiem </w:t>
      </w:r>
      <w:r>
        <w:rPr>
          <w:rFonts w:eastAsia="Calibri"/>
        </w:rPr>
        <w:t>–</w:t>
      </w:r>
      <w:r w:rsidRPr="00075BEC">
        <w:rPr>
          <w:rFonts w:eastAsia="Calibri"/>
        </w:rPr>
        <w:t xml:space="preserve"> </w:t>
      </w:r>
      <w:r w:rsidRPr="00D041EC">
        <w:rPr>
          <w:rFonts w:eastAsia="Calibri"/>
        </w:rPr>
        <w:t>LETEX, XCORE</w:t>
      </w:r>
      <w:r w:rsidRPr="00075BEC">
        <w:rPr>
          <w:rFonts w:eastAsia="Calibri"/>
        </w:rPr>
        <w:t xml:space="preserve"> </w:t>
      </w:r>
      <w:r>
        <w:rPr>
          <w:rFonts w:eastAsia="Calibri"/>
        </w:rPr>
        <w:t xml:space="preserve">– </w:t>
      </w:r>
      <w:r w:rsidRPr="00075BEC">
        <w:rPr>
          <w:rFonts w:eastAsia="Calibri"/>
        </w:rPr>
        <w:t xml:space="preserve">ir norādīts uz pakalpojumu </w:t>
      </w:r>
      <w:r>
        <w:rPr>
          <w:rFonts w:eastAsia="Calibri"/>
        </w:rPr>
        <w:t>–</w:t>
      </w:r>
      <w:r w:rsidRPr="00075BEC">
        <w:rPr>
          <w:rFonts w:eastAsia="Calibri"/>
        </w:rPr>
        <w:t xml:space="preserve"> finanšu konsultācijas. Pār</w:t>
      </w:r>
      <w:r>
        <w:rPr>
          <w:rFonts w:eastAsia="Calibri"/>
        </w:rPr>
        <w:t>ē</w:t>
      </w:r>
      <w:r w:rsidRPr="00075BEC">
        <w:rPr>
          <w:rFonts w:eastAsia="Calibri"/>
        </w:rPr>
        <w:t>jo</w:t>
      </w:r>
      <w:r>
        <w:rPr>
          <w:rFonts w:eastAsia="Calibri"/>
        </w:rPr>
        <w:t>s</w:t>
      </w:r>
      <w:r w:rsidRPr="00075BEC">
        <w:rPr>
          <w:rFonts w:eastAsia="Calibri"/>
        </w:rPr>
        <w:t xml:space="preserve"> pieteicējas rēķinos</w:t>
      </w:r>
      <w:r>
        <w:rPr>
          <w:rFonts w:eastAsia="Calibri"/>
        </w:rPr>
        <w:t xml:space="preserve"> norādīts </w:t>
      </w:r>
      <w:r w:rsidRPr="00075BEC">
        <w:rPr>
          <w:rFonts w:eastAsia="Calibri"/>
        </w:rPr>
        <w:t>– finanšu analītika.</w:t>
      </w:r>
    </w:p>
    <w:p w14:paraId="37C44369" w14:textId="77777777" w:rsidR="004F2870" w:rsidRPr="00075BEC" w:rsidRDefault="004F2870" w:rsidP="00A040F0">
      <w:pPr>
        <w:spacing w:line="276" w:lineRule="auto"/>
        <w:ind w:firstLine="720"/>
        <w:jc w:val="both"/>
        <w:rPr>
          <w:rFonts w:eastAsia="Calibri"/>
        </w:rPr>
      </w:pPr>
      <w:r w:rsidRPr="00075BEC">
        <w:rPr>
          <w:rFonts w:eastAsia="Calibri"/>
        </w:rPr>
        <w:t>Lietā nav</w:t>
      </w:r>
      <w:r>
        <w:rPr>
          <w:rFonts w:eastAsia="Calibri"/>
        </w:rPr>
        <w:t xml:space="preserve"> pierādīts</w:t>
      </w:r>
      <w:r w:rsidRPr="00075BEC">
        <w:rPr>
          <w:rFonts w:eastAsia="Calibri"/>
        </w:rPr>
        <w:t>, ka finanšu analītika vai finanšu konsultācijas atbilstu tādam pakalpojumam</w:t>
      </w:r>
      <w:r>
        <w:rPr>
          <w:rFonts w:eastAsia="Calibri"/>
        </w:rPr>
        <w:t xml:space="preserve"> kā</w:t>
      </w:r>
      <w:r w:rsidRPr="00075BEC">
        <w:rPr>
          <w:rFonts w:eastAsia="Calibri"/>
        </w:rPr>
        <w:t xml:space="preserve"> uzņēmumu konsultēšan</w:t>
      </w:r>
      <w:r>
        <w:rPr>
          <w:rFonts w:eastAsia="Calibri"/>
        </w:rPr>
        <w:t>a</w:t>
      </w:r>
      <w:r w:rsidRPr="00075BEC">
        <w:rPr>
          <w:rFonts w:eastAsia="Calibri"/>
        </w:rPr>
        <w:t xml:space="preserve"> par kapitāla struktūru, darbības stratēģiju un ar to saistītiem jautājumiem. Līdz ar to tiesa par šādiem pakalpojumiem nevarēja izdarīt secinājumu, ka tie atbilst finanšu iestādes darbībai.</w:t>
      </w:r>
    </w:p>
    <w:p w14:paraId="7F5AD680" w14:textId="77777777" w:rsidR="004F2870" w:rsidRPr="00075BEC" w:rsidRDefault="004F2870" w:rsidP="00A040F0">
      <w:pPr>
        <w:spacing w:line="276" w:lineRule="auto"/>
        <w:ind w:firstLine="720"/>
        <w:jc w:val="both"/>
        <w:rPr>
          <w:rFonts w:eastAsia="Calibri"/>
        </w:rPr>
      </w:pPr>
      <w:r w:rsidRPr="00075BEC">
        <w:rPr>
          <w:rFonts w:eastAsia="Calibri"/>
        </w:rPr>
        <w:t>Tiesa</w:t>
      </w:r>
      <w:r>
        <w:rPr>
          <w:rFonts w:eastAsia="Calibri"/>
        </w:rPr>
        <w:t>,</w:t>
      </w:r>
      <w:r w:rsidRPr="00075BEC">
        <w:rPr>
          <w:rFonts w:eastAsia="Calibri"/>
        </w:rPr>
        <w:t xml:space="preserve"> analizējot Eiropas Vērtspapīru un tirgu iestādes vadlīnijas</w:t>
      </w:r>
      <w:r>
        <w:rPr>
          <w:rFonts w:eastAsia="Calibri"/>
        </w:rPr>
        <w:t>,</w:t>
      </w:r>
      <w:r w:rsidRPr="00075BEC">
        <w:rPr>
          <w:rFonts w:eastAsia="Calibri"/>
        </w:rPr>
        <w:t xml:space="preserve"> ir analizējusi terminu </w:t>
      </w:r>
      <w:r>
        <w:rPr>
          <w:rFonts w:eastAsia="Calibri"/>
        </w:rPr>
        <w:t>–</w:t>
      </w:r>
      <w:r w:rsidRPr="00075BEC">
        <w:rPr>
          <w:rFonts w:eastAsia="Calibri"/>
        </w:rPr>
        <w:t xml:space="preserve"> „korporatīvo finanšu konsultācijas” (</w:t>
      </w:r>
      <w:r w:rsidRPr="00EF7235">
        <w:rPr>
          <w:rFonts w:eastAsia="Calibri"/>
          <w:i/>
          <w:iCs/>
        </w:rPr>
        <w:t>corporate finance advice</w:t>
      </w:r>
      <w:r w:rsidRPr="00075BEC">
        <w:rPr>
          <w:rFonts w:eastAsia="Calibri"/>
        </w:rPr>
        <w:t xml:space="preserve">). </w:t>
      </w:r>
      <w:r>
        <w:rPr>
          <w:rFonts w:eastAsia="Calibri"/>
        </w:rPr>
        <w:t xml:space="preserve">Taču </w:t>
      </w:r>
      <w:r w:rsidRPr="00075BEC">
        <w:rPr>
          <w:rFonts w:eastAsia="Calibri"/>
        </w:rPr>
        <w:t>starp šiem secinājumiem</w:t>
      </w:r>
      <w:r>
        <w:rPr>
          <w:rFonts w:eastAsia="Calibri"/>
        </w:rPr>
        <w:t xml:space="preserve"> nav saskatāms kopsakars</w:t>
      </w:r>
      <w:r w:rsidRPr="00075BEC">
        <w:rPr>
          <w:rFonts w:eastAsia="Calibri"/>
        </w:rPr>
        <w:t xml:space="preserve">. Proti, pieteicējas līgumos vai rēķinos neparādās termini </w:t>
      </w:r>
      <w:r>
        <w:rPr>
          <w:rFonts w:eastAsia="Calibri"/>
        </w:rPr>
        <w:t>–</w:t>
      </w:r>
      <w:r w:rsidRPr="00075BEC">
        <w:rPr>
          <w:rFonts w:eastAsia="Calibri"/>
        </w:rPr>
        <w:t xml:space="preserve"> „korporatīvo finanšu konsultācijas”. Tiesa ir pieņēmusi, ka minētais termins aptver arī pieteicējas norādīto </w:t>
      </w:r>
      <w:r>
        <w:rPr>
          <w:rFonts w:eastAsia="Calibri"/>
        </w:rPr>
        <w:t>–</w:t>
      </w:r>
      <w:r w:rsidRPr="00075BEC">
        <w:rPr>
          <w:rFonts w:eastAsia="Calibri"/>
        </w:rPr>
        <w:t xml:space="preserve"> finanšu konsultācijas, finanšu analītika, bet šāds secinājums neatbilst patiesībai.</w:t>
      </w:r>
    </w:p>
    <w:p w14:paraId="5AE3F804" w14:textId="77777777" w:rsidR="004F2870" w:rsidRPr="00075BEC" w:rsidRDefault="004F2870" w:rsidP="00A040F0">
      <w:pPr>
        <w:spacing w:line="276" w:lineRule="auto"/>
        <w:ind w:firstLine="720"/>
        <w:jc w:val="both"/>
        <w:rPr>
          <w:rFonts w:eastAsia="Calibri"/>
        </w:rPr>
      </w:pPr>
      <w:r w:rsidRPr="00075BEC">
        <w:rPr>
          <w:rFonts w:eastAsia="Calibri"/>
        </w:rPr>
        <w:t>Pirmkārt, nav skaidrs</w:t>
      </w:r>
      <w:r>
        <w:rPr>
          <w:rFonts w:eastAsia="Calibri"/>
        </w:rPr>
        <w:t>,</w:t>
      </w:r>
      <w:r w:rsidRPr="00075BEC">
        <w:rPr>
          <w:rFonts w:eastAsia="Calibri"/>
        </w:rPr>
        <w:t xml:space="preserve"> kādēļ tiesa abus minētos pakalpojumus uzskata par vienādiem un tādiem, kas atbilst terminam </w:t>
      </w:r>
      <w:r>
        <w:rPr>
          <w:rFonts w:eastAsia="Calibri"/>
        </w:rPr>
        <w:t xml:space="preserve">– </w:t>
      </w:r>
      <w:r w:rsidRPr="00075BEC">
        <w:rPr>
          <w:rFonts w:eastAsia="Calibri"/>
        </w:rPr>
        <w:t xml:space="preserve">„korporatīvo finanšu konsultācijas”. Ne velti pakalpojumi ir nosaukti </w:t>
      </w:r>
      <w:r>
        <w:rPr>
          <w:rFonts w:eastAsia="Calibri"/>
        </w:rPr>
        <w:t>dažādi</w:t>
      </w:r>
      <w:r w:rsidRPr="00075BEC">
        <w:rPr>
          <w:rFonts w:eastAsia="Calibri"/>
        </w:rPr>
        <w:t xml:space="preserve">. </w:t>
      </w:r>
      <w:r>
        <w:rPr>
          <w:rFonts w:eastAsia="Calibri"/>
        </w:rPr>
        <w:t>T</w:t>
      </w:r>
      <w:r w:rsidRPr="00075BEC">
        <w:rPr>
          <w:rFonts w:eastAsia="Calibri"/>
        </w:rPr>
        <w:t>iesa nemaz nav mēģinājusi šos pakalpojumus analizēt pēc būtības un noskaidrot to patieso saturu.</w:t>
      </w:r>
    </w:p>
    <w:p w14:paraId="76AE93AE" w14:textId="77777777" w:rsidR="004F2870" w:rsidRPr="00075BEC" w:rsidRDefault="004F2870" w:rsidP="00A040F0">
      <w:pPr>
        <w:spacing w:line="276" w:lineRule="auto"/>
        <w:ind w:firstLine="720"/>
        <w:jc w:val="both"/>
        <w:rPr>
          <w:rFonts w:eastAsia="Calibri"/>
        </w:rPr>
      </w:pPr>
      <w:r w:rsidRPr="00075BEC">
        <w:rPr>
          <w:rFonts w:eastAsia="Calibri"/>
        </w:rPr>
        <w:t>Otrkārt, tiesa spriedum</w:t>
      </w:r>
      <w:r>
        <w:rPr>
          <w:rFonts w:eastAsia="Calibri"/>
        </w:rPr>
        <w:t xml:space="preserve">ā </w:t>
      </w:r>
      <w:r w:rsidRPr="00075BEC">
        <w:rPr>
          <w:rFonts w:eastAsia="Calibri"/>
        </w:rPr>
        <w:t>ir skaidrojusi, k</w:t>
      </w:r>
      <w:r>
        <w:rPr>
          <w:rFonts w:eastAsia="Calibri"/>
        </w:rPr>
        <w:t xml:space="preserve">a </w:t>
      </w:r>
      <w:r w:rsidRPr="00547DBC">
        <w:rPr>
          <w:rFonts w:eastAsia="Calibri"/>
        </w:rPr>
        <w:t xml:space="preserve">konsultācijai ir raksturīgs padomdevēja tiešs vai netiešs ieteikuma elements. </w:t>
      </w:r>
      <w:r w:rsidRPr="00075BEC">
        <w:rPr>
          <w:rFonts w:eastAsia="Calibri"/>
        </w:rPr>
        <w:t>Pieteicēja jau iepriekš skaidroj</w:t>
      </w:r>
      <w:r>
        <w:rPr>
          <w:rFonts w:eastAsia="Calibri"/>
        </w:rPr>
        <w:t>usi</w:t>
      </w:r>
      <w:r w:rsidRPr="00075BEC">
        <w:rPr>
          <w:rFonts w:eastAsia="Calibri"/>
        </w:rPr>
        <w:t xml:space="preserve">, ka tā saviem </w:t>
      </w:r>
      <w:r w:rsidRPr="00E72F48">
        <w:rPr>
          <w:rFonts w:eastAsia="Calibri"/>
        </w:rPr>
        <w:t>klientiem galvenokārt sniedz pakalpojumus, kas ir saistīti tieši ar datu monitoringu. Proti,</w:t>
      </w:r>
      <w:r w:rsidRPr="00075BEC">
        <w:rPr>
          <w:rFonts w:eastAsia="Calibri"/>
        </w:rPr>
        <w:t xml:space="preserve"> klienta finanšu dati tiek analizēti jeb monitorēti un brīdī, kad tie sasniedz kādu zināmu atzīmi, tiek ziņots par to. Tā ir tieši tāda skaitļu un faktu paziņošana</w:t>
      </w:r>
      <w:r>
        <w:rPr>
          <w:rFonts w:eastAsia="Calibri"/>
        </w:rPr>
        <w:t>,</w:t>
      </w:r>
      <w:r w:rsidRPr="00075BEC">
        <w:rPr>
          <w:rFonts w:eastAsia="Calibri"/>
        </w:rPr>
        <w:t xml:space="preserve"> uz ko norāda tiesa</w:t>
      </w:r>
      <w:r>
        <w:rPr>
          <w:rFonts w:eastAsia="Calibri"/>
        </w:rPr>
        <w:t xml:space="preserve"> kā uz tādu, kas neatbilst finanšu iestādes darbībai</w:t>
      </w:r>
      <w:r w:rsidRPr="00075BEC">
        <w:rPr>
          <w:rFonts w:eastAsia="Calibri"/>
        </w:rPr>
        <w:t>. Tālākie secinājumi</w:t>
      </w:r>
      <w:r>
        <w:rPr>
          <w:rFonts w:eastAsia="Calibri"/>
        </w:rPr>
        <w:t>,</w:t>
      </w:r>
      <w:r w:rsidRPr="00075BEC">
        <w:rPr>
          <w:rFonts w:eastAsia="Calibri"/>
        </w:rPr>
        <w:t xml:space="preserve"> kā klientam rīkoties</w:t>
      </w:r>
      <w:r>
        <w:rPr>
          <w:rFonts w:eastAsia="Calibri"/>
        </w:rPr>
        <w:t xml:space="preserve"> un kādu lēmumu pieņemt,</w:t>
      </w:r>
      <w:r w:rsidRPr="00075BEC">
        <w:rPr>
          <w:rFonts w:eastAsia="Calibri"/>
        </w:rPr>
        <w:t xml:space="preserve"> ir </w:t>
      </w:r>
      <w:r>
        <w:rPr>
          <w:rFonts w:eastAsia="Calibri"/>
        </w:rPr>
        <w:t xml:space="preserve">pašu klientu </w:t>
      </w:r>
      <w:r w:rsidRPr="00075BEC">
        <w:rPr>
          <w:rFonts w:eastAsia="Calibri"/>
        </w:rPr>
        <w:t>ziņā, pieteicēja</w:t>
      </w:r>
      <w:r>
        <w:rPr>
          <w:rFonts w:eastAsia="Calibri"/>
        </w:rPr>
        <w:t xml:space="preserve"> par to</w:t>
      </w:r>
      <w:r w:rsidRPr="00075BEC">
        <w:rPr>
          <w:rFonts w:eastAsia="Calibri"/>
        </w:rPr>
        <w:t xml:space="preserve"> nesniedz konsultācijas</w:t>
      </w:r>
      <w:r>
        <w:rPr>
          <w:rFonts w:eastAsia="Calibri"/>
        </w:rPr>
        <w:t xml:space="preserve">. To tiesa </w:t>
      </w:r>
      <w:r w:rsidRPr="00075BEC">
        <w:rPr>
          <w:rFonts w:eastAsia="Calibri"/>
        </w:rPr>
        <w:t xml:space="preserve">nav ņēmusi vērā. Savukārt, ja tiesas ieskatā šāda darbība bija uzskatāma par tādu, kas atbilst finanšu iestādes darbībai, tad tiesa nav pamatojusi, tieši </w:t>
      </w:r>
      <w:r w:rsidRPr="00E72F48">
        <w:rPr>
          <w:rFonts w:eastAsia="Calibri"/>
        </w:rPr>
        <w:t>kurš no pakalpojumiem – finanšu konsultācijas vai finanšu analītika – vai abi un kādēļ būtu uzskatām</w:t>
      </w:r>
      <w:r>
        <w:rPr>
          <w:rFonts w:eastAsia="Calibri"/>
        </w:rPr>
        <w:t>i</w:t>
      </w:r>
      <w:r w:rsidRPr="00E72F48">
        <w:rPr>
          <w:rFonts w:eastAsia="Calibri"/>
        </w:rPr>
        <w:t xml:space="preserve"> par pieteicējas pamatdarbību. Daži pakalpojumi gada laikā nevar tikt uzskatīti par pieteicējas galveno darbību.</w:t>
      </w:r>
    </w:p>
    <w:p w14:paraId="22647F70" w14:textId="77777777" w:rsidR="004F2870" w:rsidRPr="00001D96" w:rsidRDefault="004F2870" w:rsidP="00A040F0">
      <w:pPr>
        <w:spacing w:line="276" w:lineRule="auto"/>
        <w:ind w:firstLine="720"/>
        <w:jc w:val="both"/>
        <w:rPr>
          <w:rFonts w:eastAsia="Calibri"/>
          <w:sz w:val="26"/>
          <w:szCs w:val="26"/>
        </w:rPr>
      </w:pPr>
    </w:p>
    <w:p w14:paraId="04799DAB" w14:textId="77777777" w:rsidR="004F2870" w:rsidRPr="00CB419E" w:rsidRDefault="004F2870" w:rsidP="00A040F0">
      <w:pPr>
        <w:spacing w:line="276" w:lineRule="auto"/>
        <w:ind w:firstLine="720"/>
        <w:jc w:val="both"/>
        <w:rPr>
          <w:rFonts w:asciiTheme="majorBidi" w:hAnsiTheme="majorBidi" w:cstheme="majorBidi"/>
        </w:rPr>
      </w:pPr>
      <w:r w:rsidRPr="00CB419E">
        <w:rPr>
          <w:rFonts w:asciiTheme="majorBidi" w:hAnsiTheme="majorBidi" w:cstheme="majorBidi"/>
        </w:rPr>
        <w:t xml:space="preserve">[4] </w:t>
      </w:r>
      <w:r>
        <w:rPr>
          <w:rFonts w:asciiTheme="majorBidi" w:hAnsiTheme="majorBidi" w:cstheme="majorBidi"/>
        </w:rPr>
        <w:t xml:space="preserve">Valsts ieņēmumu dienests </w:t>
      </w:r>
      <w:r w:rsidRPr="008F5202">
        <w:rPr>
          <w:rFonts w:asciiTheme="majorBidi" w:hAnsiTheme="majorBidi" w:cstheme="majorBidi"/>
        </w:rPr>
        <w:t xml:space="preserve">paskaidrojumos </w:t>
      </w:r>
      <w:r w:rsidRPr="00CB419E">
        <w:rPr>
          <w:rFonts w:asciiTheme="majorBidi" w:hAnsiTheme="majorBidi" w:cstheme="majorBidi"/>
        </w:rPr>
        <w:t xml:space="preserve">par kasācijas sūdzību norāda, ka apgabaltiesas spriedums ir tiesisks. </w:t>
      </w:r>
    </w:p>
    <w:p w14:paraId="48A26284" w14:textId="77777777" w:rsidR="004F2870" w:rsidRPr="00CB419E" w:rsidRDefault="004F2870" w:rsidP="00A040F0">
      <w:pPr>
        <w:pStyle w:val="NormalWeb"/>
        <w:spacing w:before="0" w:beforeAutospacing="0" w:after="0" w:afterAutospacing="0" w:line="276" w:lineRule="auto"/>
        <w:contextualSpacing/>
        <w:rPr>
          <w:rFonts w:asciiTheme="majorBidi" w:hAnsiTheme="majorBidi" w:cstheme="majorBidi"/>
        </w:rPr>
      </w:pPr>
    </w:p>
    <w:p w14:paraId="18AA410A" w14:textId="77777777" w:rsidR="004F2870" w:rsidRPr="00CB419E" w:rsidRDefault="004F2870" w:rsidP="00A040F0">
      <w:pPr>
        <w:pStyle w:val="NormalWeb"/>
        <w:spacing w:before="0" w:beforeAutospacing="0" w:after="0" w:afterAutospacing="0" w:line="276" w:lineRule="auto"/>
        <w:contextualSpacing/>
        <w:jc w:val="center"/>
        <w:rPr>
          <w:rFonts w:asciiTheme="majorBidi" w:hAnsiTheme="majorBidi" w:cstheme="majorBidi"/>
          <w:b/>
          <w:bCs/>
        </w:rPr>
      </w:pPr>
      <w:r w:rsidRPr="00CB419E">
        <w:rPr>
          <w:rFonts w:asciiTheme="majorBidi" w:hAnsiTheme="majorBidi" w:cstheme="majorBidi"/>
          <w:b/>
          <w:bCs/>
        </w:rPr>
        <w:t>Motīvu daļa</w:t>
      </w:r>
    </w:p>
    <w:p w14:paraId="568DE35D" w14:textId="77777777" w:rsidR="004F2870" w:rsidRDefault="004F2870" w:rsidP="00A040F0">
      <w:pPr>
        <w:spacing w:line="276" w:lineRule="auto"/>
        <w:ind w:firstLine="720"/>
        <w:jc w:val="both"/>
        <w:rPr>
          <w:rFonts w:asciiTheme="majorBidi" w:hAnsiTheme="majorBidi" w:cstheme="majorBidi"/>
        </w:rPr>
      </w:pPr>
    </w:p>
    <w:p w14:paraId="1C58529C" w14:textId="77777777" w:rsidR="004F2870" w:rsidRPr="000D6E51" w:rsidRDefault="004F2870" w:rsidP="00A040F0">
      <w:pPr>
        <w:spacing w:line="276" w:lineRule="auto"/>
        <w:ind w:firstLine="720"/>
        <w:jc w:val="both"/>
        <w:rPr>
          <w:rFonts w:asciiTheme="majorBidi" w:hAnsiTheme="majorBidi" w:cstheme="majorBidi"/>
        </w:rPr>
      </w:pPr>
      <w:r>
        <w:rPr>
          <w:rFonts w:asciiTheme="majorBidi" w:hAnsiTheme="majorBidi" w:cstheme="majorBidi"/>
        </w:rPr>
        <w:t xml:space="preserve">[5] </w:t>
      </w:r>
      <w:r>
        <w:t>Apgabaltiesa ir taisījusi spriedumu par pārsūdzētā lēmuma atzīšanu par prettiesisku, lai gan l</w:t>
      </w:r>
      <w:r w:rsidRPr="003B1F47">
        <w:t>ieta</w:t>
      </w:r>
      <w:r>
        <w:t xml:space="preserve"> sākotnēji</w:t>
      </w:r>
      <w:r w:rsidRPr="003B1F47">
        <w:t xml:space="preserve"> ir ierosināta un pirmās instances tiesā izskatīta par labvēlīga administratīvā akta izdošanu</w:t>
      </w:r>
      <w:r>
        <w:t>. Apgabaltiesa, pamatojot nepieciešamību</w:t>
      </w:r>
      <w:r w:rsidRPr="006E01AD">
        <w:t xml:space="preserve"> </w:t>
      </w:r>
      <w:r w:rsidRPr="00430122">
        <w:t>vēr</w:t>
      </w:r>
      <w:r>
        <w:t xml:space="preserve">tēt </w:t>
      </w:r>
      <w:r w:rsidRPr="00430122">
        <w:t xml:space="preserve">pieteicējas prasījumu kā prasījumu par </w:t>
      </w:r>
      <w:r>
        <w:t xml:space="preserve">pārsūdzētā lēmuma atzīšanu par prettiesisku, ir atsaukusies uz </w:t>
      </w:r>
      <w:r w:rsidRPr="003B1F47">
        <w:t>noteikumu Nr.</w:t>
      </w:r>
      <w:r>
        <w:t> </w:t>
      </w:r>
      <w:r w:rsidRPr="003B1F47">
        <w:t>676 24.punktā noteikto termiņu atbalsta piešķiršanai</w:t>
      </w:r>
      <w:r>
        <w:t xml:space="preserve">. Apgabaltiesa uzskatīja, ka pēc šā termiņa tiesa var </w:t>
      </w:r>
      <w:r w:rsidRPr="003B1F47">
        <w:t>izvērtēt tikai pārsūdzētā lēmuma tiesiskumu</w:t>
      </w:r>
      <w:r>
        <w:t xml:space="preserve">, bet nevar lemt par </w:t>
      </w:r>
      <w:r w:rsidRPr="003B1F47">
        <w:t>labvēlīga administratīvā akta izdošanu.</w:t>
      </w:r>
      <w:r w:rsidRPr="00DB4523">
        <w:t xml:space="preserve"> </w:t>
      </w:r>
    </w:p>
    <w:p w14:paraId="0365ECC3" w14:textId="77777777" w:rsidR="004F2870" w:rsidRPr="0011187C" w:rsidRDefault="004F2870" w:rsidP="00A040F0">
      <w:pPr>
        <w:shd w:val="clear" w:color="auto" w:fill="FFFFFF"/>
        <w:spacing w:line="276" w:lineRule="auto"/>
        <w:ind w:firstLine="720"/>
        <w:jc w:val="both"/>
      </w:pPr>
      <w:r>
        <w:rPr>
          <w:bCs/>
        </w:rPr>
        <w:t>Noteikumu Nr. 676 24.punkts noteic: l</w:t>
      </w:r>
      <w:r w:rsidRPr="00695E07">
        <w:rPr>
          <w:bCs/>
        </w:rPr>
        <w:t xml:space="preserve">ēmumu par atbalsta piešķiršanu pieņem līdz </w:t>
      </w:r>
      <w:r>
        <w:rPr>
          <w:bCs/>
        </w:rPr>
        <w:t>2022</w:t>
      </w:r>
      <w:r w:rsidRPr="00695E07">
        <w:rPr>
          <w:bCs/>
        </w:rPr>
        <w:t>.gada 30.</w:t>
      </w:r>
      <w:r>
        <w:rPr>
          <w:bCs/>
        </w:rPr>
        <w:t>jūnijam</w:t>
      </w:r>
      <w:r w:rsidRPr="00695E07">
        <w:rPr>
          <w:bCs/>
        </w:rPr>
        <w:t xml:space="preserve"> saskaņā ar Eiropas Komisijas 2020.gada 19.marta paziņojumu </w:t>
      </w:r>
      <w:r>
        <w:rPr>
          <w:bCs/>
        </w:rPr>
        <w:t>„</w:t>
      </w:r>
      <w:r w:rsidRPr="00695E07">
        <w:rPr>
          <w:bCs/>
        </w:rPr>
        <w:t>Pagaidu regulējums valsts atbalsta pasākumiem, ar ko atbalsta ekonomiku pašreizējā Covid</w:t>
      </w:r>
      <w:r>
        <w:rPr>
          <w:bCs/>
        </w:rPr>
        <w:noBreakHyphen/>
      </w:r>
      <w:r w:rsidRPr="00695E07">
        <w:rPr>
          <w:bCs/>
        </w:rPr>
        <w:t xml:space="preserve">19 </w:t>
      </w:r>
      <w:r w:rsidRPr="00D62065">
        <w:rPr>
          <w:bCs/>
        </w:rPr>
        <w:t>uzliesmojuma situācijā” (C(2020)1863).</w:t>
      </w:r>
    </w:p>
    <w:p w14:paraId="7838B041" w14:textId="77777777" w:rsidR="004F2870" w:rsidRDefault="004F2870" w:rsidP="00A040F0">
      <w:pPr>
        <w:shd w:val="clear" w:color="auto" w:fill="FFFFFF"/>
        <w:spacing w:line="276" w:lineRule="auto"/>
        <w:ind w:firstLine="720"/>
        <w:jc w:val="both"/>
        <w:rPr>
          <w:bCs/>
        </w:rPr>
      </w:pPr>
      <w:r>
        <w:t xml:space="preserve">Taču Senāts ir atzinis: ņemot vērā </w:t>
      </w:r>
      <w:r w:rsidRPr="00D62065">
        <w:t>Eiropas Savienības Tiesa</w:t>
      </w:r>
      <w:r>
        <w:t>s</w:t>
      </w:r>
      <w:r w:rsidRPr="00D62065">
        <w:t xml:space="preserve"> 2025.gada 3.jūlija spriedum</w:t>
      </w:r>
      <w:r>
        <w:t>ā</w:t>
      </w:r>
      <w:r w:rsidRPr="00D62065">
        <w:t xml:space="preserve"> lietā </w:t>
      </w:r>
      <w:r>
        <w:t>Nr. </w:t>
      </w:r>
      <w:r w:rsidRPr="00D62065">
        <w:t>C-653/23</w:t>
      </w:r>
      <w:r>
        <w:t xml:space="preserve"> atzīto,</w:t>
      </w:r>
      <w:r w:rsidRPr="00880091">
        <w:t xml:space="preserve"> </w:t>
      </w:r>
      <w:r>
        <w:t xml:space="preserve">stājoties spēkā tiesas spriedumam par labvēlīga administratīvā akta – valsts atbalsta piešķiršanu – izdošanu, dienestam nav šķēršļu izpildīt spriedumu un izmaksāt prasīto atbalstu, kaut arī tas tiks izmaksāts pēc </w:t>
      </w:r>
      <w:r>
        <w:rPr>
          <w:bCs/>
        </w:rPr>
        <w:t>2022</w:t>
      </w:r>
      <w:r w:rsidRPr="00695E07">
        <w:rPr>
          <w:bCs/>
        </w:rPr>
        <w:t>.gada 30.</w:t>
      </w:r>
      <w:r>
        <w:rPr>
          <w:bCs/>
        </w:rPr>
        <w:t>jūnija (</w:t>
      </w:r>
      <w:r w:rsidRPr="008C2FCF">
        <w:rPr>
          <w:bCs/>
          <w:i/>
          <w:iCs/>
        </w:rPr>
        <w:t xml:space="preserve">Senāta 2025.gada 24.oktobra sprieduma lietā Nr. SKA-62/2025, </w:t>
      </w:r>
      <w:hyperlink r:id="rId9" w:history="1">
        <w:r w:rsidRPr="009D5136">
          <w:rPr>
            <w:rStyle w:val="Hyperlink"/>
            <w:bCs/>
            <w:i/>
            <w:iCs/>
          </w:rPr>
          <w:t>ECLI:LV:AT:2025:1024.A420229321.12.S</w:t>
        </w:r>
      </w:hyperlink>
      <w:r w:rsidRPr="008C2FCF">
        <w:rPr>
          <w:bCs/>
          <w:i/>
          <w:iCs/>
        </w:rPr>
        <w:t xml:space="preserve">, </w:t>
      </w:r>
      <w:r>
        <w:rPr>
          <w:bCs/>
          <w:i/>
          <w:iCs/>
        </w:rPr>
        <w:t>9</w:t>
      </w:r>
      <w:r w:rsidRPr="008C2FCF">
        <w:rPr>
          <w:bCs/>
          <w:i/>
          <w:iCs/>
        </w:rPr>
        <w:t>.punkts</w:t>
      </w:r>
      <w:r>
        <w:rPr>
          <w:bCs/>
        </w:rPr>
        <w:t>)</w:t>
      </w:r>
      <w:r w:rsidRPr="00A869AD">
        <w:rPr>
          <w:bCs/>
        </w:rPr>
        <w:t>.</w:t>
      </w:r>
      <w:r>
        <w:rPr>
          <w:bCs/>
        </w:rPr>
        <w:t xml:space="preserve"> </w:t>
      </w:r>
    </w:p>
    <w:p w14:paraId="31CEAF64" w14:textId="77777777" w:rsidR="004F2870" w:rsidRDefault="004F2870" w:rsidP="00A040F0">
      <w:pPr>
        <w:shd w:val="clear" w:color="auto" w:fill="FFFFFF"/>
        <w:spacing w:line="276" w:lineRule="auto"/>
        <w:ind w:firstLine="720"/>
        <w:jc w:val="both"/>
      </w:pPr>
      <w:r>
        <w:rPr>
          <w:bCs/>
        </w:rPr>
        <w:t xml:space="preserve">Ievērojot minēto, apgabaltiesa ir nepamatoti atzinusi, ka noteikumu Nr. 676 24.punktā norādītā termiņa iestāšanās ir šķērslis </w:t>
      </w:r>
      <w:r>
        <w:t xml:space="preserve">prasījuma par </w:t>
      </w:r>
      <w:r w:rsidRPr="00430122">
        <w:t>labvēlīga administratīvā akta izdošanu</w:t>
      </w:r>
      <w:r>
        <w:t xml:space="preserve"> izskatīšanai un līdz ar to ir nepamatoti grozījusi pieteikuma priekšmetu. </w:t>
      </w:r>
    </w:p>
    <w:p w14:paraId="612B59E1" w14:textId="77777777" w:rsidR="004F2870" w:rsidRDefault="004F2870" w:rsidP="00A040F0">
      <w:pPr>
        <w:shd w:val="clear" w:color="auto" w:fill="FFFFFF"/>
        <w:spacing w:line="276" w:lineRule="auto"/>
        <w:ind w:firstLine="720"/>
        <w:jc w:val="both"/>
      </w:pPr>
    </w:p>
    <w:p w14:paraId="572402AD" w14:textId="77777777" w:rsidR="004F2870" w:rsidRDefault="004F2870" w:rsidP="00A040F0">
      <w:pPr>
        <w:shd w:val="clear" w:color="auto" w:fill="FFFFFF"/>
        <w:spacing w:line="276" w:lineRule="auto"/>
        <w:ind w:firstLine="720"/>
        <w:jc w:val="both"/>
      </w:pPr>
      <w:r>
        <w:t>[6] Pieteicēja uzskata, ka tiesa nav ievērojusi Administratīvā procesa likuma 150.panta pirmo un otro daļu (</w:t>
      </w:r>
      <w:r w:rsidRPr="00075BEC">
        <w:rPr>
          <w:rFonts w:eastAsia="Calibri"/>
        </w:rPr>
        <w:t>noteic, ka iestādei jāpierāda tie apstākļi, uz kuriem tā atsaucas kā uz savu iebildumu pamatojumu</w:t>
      </w:r>
      <w:r>
        <w:rPr>
          <w:rFonts w:eastAsia="Calibri"/>
        </w:rPr>
        <w:t xml:space="preserve">, un ka </w:t>
      </w:r>
      <w:r w:rsidRPr="00075BEC">
        <w:rPr>
          <w:rFonts w:eastAsia="Calibri"/>
        </w:rPr>
        <w:t>iestāde var atsaukties tikai uz tiem pamatojumiem, kuri minēti administratīvajā aktā</w:t>
      </w:r>
      <w:r>
        <w:t>) un 250.panta otro daļu (noteic, ka t</w:t>
      </w:r>
      <w:r w:rsidRPr="0087674C">
        <w:t>iesa, vērtējot administratīvā akta tiesiskumu, spriedumā ņem vērā tikai to pamatojumu, ko iestāde ietvērusi administratīvajā aktā. Minētais ierobežojums neattiecas uz lietām, kurās prasījums ir labvēlīga administratīvā akta izdošana</w:t>
      </w:r>
      <w:r>
        <w:t xml:space="preserve">). Pieteicēja norāda, ka tiesa ir pildījusi pierādīšanas pienākumu iestādes vietā, jo ir vērtējusi apstākļus, kurus nav vērtējis dienests pārsūdzētajā lēmumā. Pieteicējas ieskatā, ja tiesa ir secinājusi, ka dienesta norādītie </w:t>
      </w:r>
      <w:r w:rsidRPr="00075BEC">
        <w:rPr>
          <w:rFonts w:eastAsia="Calibri"/>
        </w:rPr>
        <w:t>apstākļi nepierāda dienesta apgalvojumu, ka pieteicēja ir finanšu iestāde</w:t>
      </w:r>
      <w:r>
        <w:rPr>
          <w:rFonts w:eastAsia="Calibri"/>
        </w:rPr>
        <w:t xml:space="preserve">, tiesai lēmums bija jāatzīst par prettiesisku. </w:t>
      </w:r>
    </w:p>
    <w:p w14:paraId="1B877CF1" w14:textId="77777777" w:rsidR="004F2870" w:rsidRDefault="004F2870" w:rsidP="00A040F0">
      <w:pPr>
        <w:shd w:val="clear" w:color="auto" w:fill="FFFFFF"/>
        <w:spacing w:line="276" w:lineRule="auto"/>
        <w:ind w:firstLine="720"/>
        <w:jc w:val="both"/>
      </w:pPr>
      <w:r>
        <w:t xml:space="preserve">Senāts minētajam nepiekrīt. Pirmkārt, 250.panta otrās daļas otrais teikums tieši noteic, ka ierobežojums </w:t>
      </w:r>
      <w:r w:rsidRPr="004472D5">
        <w:t>ņem</w:t>
      </w:r>
      <w:r>
        <w:t>t</w:t>
      </w:r>
      <w:r w:rsidRPr="004472D5">
        <w:t xml:space="preserve"> vērā tikai to pamatojumu, ko iestāde ietvērusi administratīvajā aktā</w:t>
      </w:r>
      <w:r>
        <w:t>,</w:t>
      </w:r>
      <w:r w:rsidRPr="004472D5">
        <w:t xml:space="preserve"> </w:t>
      </w:r>
      <w:r w:rsidRPr="008868D4">
        <w:t>neattiecas uz lietām, kurās prasījums ir labvēlīga administratīvā akta izdošana.</w:t>
      </w:r>
      <w:r>
        <w:t xml:space="preserve"> Otrkārt, jāņem vērā, ka administratīvā akta pamatojums ir tas, ka pieteicēja ir finanšu iestāde, jo </w:t>
      </w:r>
      <w:r w:rsidRPr="00075BEC">
        <w:rPr>
          <w:rFonts w:eastAsia="Calibri"/>
        </w:rPr>
        <w:t>tā sniedz konsultācijas uzņēmumiem par kapitāla struktūru, darbības stratēģiju un ar to saistītiem jautājumiem.</w:t>
      </w:r>
      <w:r>
        <w:rPr>
          <w:rFonts w:eastAsia="Calibri"/>
        </w:rPr>
        <w:t xml:space="preserve"> Savukārt izvērtējums par to, vai pieteicēja veic darbības, kuras atbilst minētajam, ir jautājums par konkrētā apstākļa pierādīšanu. Tiesa nav ierobežota to pārbaudīt, vērtējot arī tādus pierādījumus, kurus nav novērtējis dienests pārsūdzētajā lēmumā (sal. </w:t>
      </w:r>
      <w:r w:rsidRPr="00A71AAE">
        <w:rPr>
          <w:rFonts w:eastAsia="Calibri"/>
          <w:i/>
          <w:iCs/>
        </w:rPr>
        <w:t>Senāta 2012.gada 9.novembra sprieduma lietā Nr. SKA</w:t>
      </w:r>
      <w:r w:rsidRPr="00A71AAE">
        <w:rPr>
          <w:rFonts w:eastAsia="Calibri"/>
          <w:i/>
          <w:iCs/>
        </w:rPr>
        <w:noBreakHyphen/>
        <w:t xml:space="preserve">443/2012, </w:t>
      </w:r>
      <w:hyperlink r:id="rId10" w:history="1">
        <w:r w:rsidRPr="009C17BC">
          <w:rPr>
            <w:rStyle w:val="Hyperlink"/>
            <w:rFonts w:eastAsia="Calibri"/>
            <w:i/>
            <w:iCs/>
          </w:rPr>
          <w:t>A42643408</w:t>
        </w:r>
      </w:hyperlink>
      <w:r w:rsidRPr="00A71AAE">
        <w:rPr>
          <w:rFonts w:eastAsia="Calibri"/>
          <w:i/>
          <w:iCs/>
        </w:rPr>
        <w:t>, 10.punkts</w:t>
      </w:r>
      <w:r>
        <w:rPr>
          <w:rFonts w:eastAsia="Calibri"/>
        </w:rPr>
        <w:t xml:space="preserve">). </w:t>
      </w:r>
      <w:r>
        <w:t>Ievērojot minēto, pieteicēja arī nepamatoti iebilst, ka t</w:t>
      </w:r>
      <w:r w:rsidRPr="006511CB">
        <w:t xml:space="preserve">iesa </w:t>
      </w:r>
      <w:r>
        <w:t xml:space="preserve">nevarēja </w:t>
      </w:r>
      <w:r w:rsidRPr="006511CB">
        <w:t>atsauk</w:t>
      </w:r>
      <w:r>
        <w:t>ties</w:t>
      </w:r>
      <w:r w:rsidRPr="006511CB">
        <w:t xml:space="preserve"> uz Eiropas Vērtspapīru un tirgu iestādes </w:t>
      </w:r>
      <w:r>
        <w:t>v</w:t>
      </w:r>
      <w:r w:rsidRPr="006511CB">
        <w:t>adlīnij</w:t>
      </w:r>
      <w:r>
        <w:t xml:space="preserve">ām, jo uz tām nav atsaucies dienests. </w:t>
      </w:r>
    </w:p>
    <w:p w14:paraId="37D0F814" w14:textId="77777777" w:rsidR="004F2870" w:rsidRDefault="004F2870" w:rsidP="00A040F0">
      <w:pPr>
        <w:shd w:val="clear" w:color="auto" w:fill="FFFFFF"/>
        <w:spacing w:line="276" w:lineRule="auto"/>
        <w:ind w:firstLine="720"/>
        <w:jc w:val="both"/>
        <w:rPr>
          <w:rFonts w:asciiTheme="majorBidi" w:hAnsiTheme="majorBidi" w:cstheme="majorBidi"/>
        </w:rPr>
      </w:pPr>
    </w:p>
    <w:p w14:paraId="66C9D887" w14:textId="77777777" w:rsidR="004F2870" w:rsidRDefault="004F2870" w:rsidP="00A040F0">
      <w:pPr>
        <w:shd w:val="clear" w:color="auto" w:fill="FFFFFF"/>
        <w:spacing w:line="276" w:lineRule="auto"/>
        <w:ind w:firstLine="720"/>
        <w:jc w:val="both"/>
        <w:rPr>
          <w:rFonts w:eastAsia="Calibri"/>
        </w:rPr>
      </w:pPr>
      <w:r>
        <w:rPr>
          <w:rFonts w:asciiTheme="majorBidi" w:hAnsiTheme="majorBidi" w:cstheme="majorBidi"/>
        </w:rPr>
        <w:t>[7] N</w:t>
      </w:r>
      <w:r>
        <w:t xml:space="preserve">evar arī piekrist pieteicējai, ka tiesa </w:t>
      </w:r>
      <w:r w:rsidRPr="00075BEC">
        <w:rPr>
          <w:rFonts w:eastAsia="Calibri"/>
        </w:rPr>
        <w:t xml:space="preserve">divās salīdzināmās situācijās ir rīkojusies atšķirīgi. Proti, </w:t>
      </w:r>
      <w:r>
        <w:rPr>
          <w:rFonts w:eastAsia="Calibri"/>
        </w:rPr>
        <w:t xml:space="preserve">ir ņēmusi </w:t>
      </w:r>
      <w:r w:rsidRPr="00075BEC">
        <w:rPr>
          <w:rFonts w:eastAsia="Calibri"/>
        </w:rPr>
        <w:t>vērā un pamatoj</w:t>
      </w:r>
      <w:r>
        <w:rPr>
          <w:rFonts w:eastAsia="Calibri"/>
        </w:rPr>
        <w:t>usi</w:t>
      </w:r>
      <w:r w:rsidRPr="00075BEC">
        <w:rPr>
          <w:rFonts w:eastAsia="Calibri"/>
        </w:rPr>
        <w:t xml:space="preserve"> savu spriedumu ar Eiropas Vērtspapīru un tirgu iestādes vadlīnijām, bet vienlaikus atzin</w:t>
      </w:r>
      <w:r>
        <w:rPr>
          <w:rFonts w:eastAsia="Calibri"/>
        </w:rPr>
        <w:t>usi</w:t>
      </w:r>
      <w:r w:rsidRPr="00075BEC">
        <w:rPr>
          <w:rFonts w:eastAsia="Calibri"/>
        </w:rPr>
        <w:t>, ka Finanšu un kapitāla tirgus komisijas 2022.gada 29.novembra viedoklis</w:t>
      </w:r>
      <w:r w:rsidRPr="00075BEC">
        <w:t xml:space="preserve"> </w:t>
      </w:r>
      <w:r w:rsidRPr="00075BEC">
        <w:rPr>
          <w:rFonts w:eastAsia="Calibri"/>
        </w:rPr>
        <w:t>kā pierādījums lietā nav vērtējams</w:t>
      </w:r>
      <w:r>
        <w:rPr>
          <w:rFonts w:eastAsia="Calibri"/>
        </w:rPr>
        <w:t xml:space="preserve">. </w:t>
      </w:r>
    </w:p>
    <w:p w14:paraId="688494E6" w14:textId="77777777" w:rsidR="004F2870" w:rsidRDefault="004F2870" w:rsidP="00A040F0">
      <w:pPr>
        <w:shd w:val="clear" w:color="auto" w:fill="FFFFFF"/>
        <w:spacing w:line="276" w:lineRule="auto"/>
        <w:ind w:firstLine="720"/>
        <w:jc w:val="both"/>
        <w:rPr>
          <w:rFonts w:eastAsia="Calibri"/>
        </w:rPr>
      </w:pPr>
      <w:r w:rsidRPr="00075BEC">
        <w:rPr>
          <w:rFonts w:eastAsia="Calibri"/>
        </w:rPr>
        <w:t>Eiropas Vērtspapīru un tirgu iestādes vadlīnij</w:t>
      </w:r>
      <w:r>
        <w:rPr>
          <w:rFonts w:eastAsia="Calibri"/>
        </w:rPr>
        <w:t xml:space="preserve">as, lai arī juridiski nav saistošas, tomēr ir avots, kas palīdz interpretēt tiesību normas, savukārt </w:t>
      </w:r>
      <w:r w:rsidRPr="00075BEC">
        <w:rPr>
          <w:rFonts w:eastAsia="Calibri"/>
        </w:rPr>
        <w:t>Finanšu un kapitāla tirgus komisijas 2022.gada 29.novembra viedoklis</w:t>
      </w:r>
      <w:r>
        <w:rPr>
          <w:rFonts w:eastAsia="Calibri"/>
        </w:rPr>
        <w:t xml:space="preserve"> ir iestādes faktu novērtējums un tiesību normu piemērošana tieši attiecībā uz pieteicējas situāciju, kurš tiesai nav saistošs.</w:t>
      </w:r>
    </w:p>
    <w:p w14:paraId="41511DF0" w14:textId="77777777" w:rsidR="004F2870" w:rsidRDefault="004F2870" w:rsidP="00A040F0">
      <w:pPr>
        <w:shd w:val="clear" w:color="auto" w:fill="FFFFFF"/>
        <w:spacing w:line="276" w:lineRule="auto"/>
        <w:ind w:firstLine="720"/>
        <w:jc w:val="both"/>
        <w:rPr>
          <w:rFonts w:eastAsia="Calibri"/>
        </w:rPr>
      </w:pPr>
    </w:p>
    <w:p w14:paraId="5FF6469E" w14:textId="77777777" w:rsidR="004F2870" w:rsidRDefault="004F2870" w:rsidP="00A040F0">
      <w:pPr>
        <w:spacing w:line="276" w:lineRule="auto"/>
        <w:ind w:firstLine="720"/>
        <w:jc w:val="both"/>
        <w:rPr>
          <w:rFonts w:asciiTheme="majorBidi" w:hAnsiTheme="majorBidi" w:cstheme="majorBidi"/>
        </w:rPr>
      </w:pPr>
      <w:r>
        <w:rPr>
          <w:rFonts w:eastAsia="Calibri"/>
        </w:rPr>
        <w:t xml:space="preserve">[8] </w:t>
      </w:r>
      <w:r>
        <w:rPr>
          <w:rFonts w:asciiTheme="majorBidi" w:hAnsiTheme="majorBidi" w:cstheme="majorBidi"/>
        </w:rPr>
        <w:t xml:space="preserve">Vienlaikus Senāts atzīst par pamatotu pieteicējas iebildumu, ka tiesa nav pienācīgi pamatojusi, kāpēc pieteicējas darbība atbilst finanšu iestādes jēdzienam. </w:t>
      </w:r>
    </w:p>
    <w:p w14:paraId="060011B7" w14:textId="77777777" w:rsidR="004F2870" w:rsidRDefault="004F2870" w:rsidP="00A040F0">
      <w:pPr>
        <w:spacing w:line="276" w:lineRule="auto"/>
        <w:ind w:firstLine="720"/>
        <w:jc w:val="both"/>
        <w:rPr>
          <w:rFonts w:asciiTheme="majorBidi" w:hAnsiTheme="majorBidi" w:cstheme="majorBidi"/>
        </w:rPr>
      </w:pPr>
      <w:r>
        <w:rPr>
          <w:rFonts w:asciiTheme="majorBidi" w:hAnsiTheme="majorBidi" w:cstheme="majorBidi"/>
        </w:rPr>
        <w:t xml:space="preserve">Senāts vērš uzmanību uz pašas tiesas definēto strīdus jautājumu lietā, proti, tiesai bija jānoskaidro, vai </w:t>
      </w:r>
      <w:r w:rsidRPr="00132172">
        <w:rPr>
          <w:rFonts w:asciiTheme="majorBidi" w:hAnsiTheme="majorBidi" w:cstheme="majorBidi"/>
        </w:rPr>
        <w:t xml:space="preserve">pieteicēja konsultē uzņēmumus </w:t>
      </w:r>
      <w:r w:rsidRPr="00741A77">
        <w:rPr>
          <w:rFonts w:asciiTheme="majorBidi" w:hAnsiTheme="majorBidi" w:cstheme="majorBidi"/>
          <w:i/>
          <w:iCs/>
        </w:rPr>
        <w:t>par kapitāla struktūru, darbības stratēģiju un ar to saistītiem jautājumiem</w:t>
      </w:r>
      <w:r w:rsidRPr="00132172">
        <w:rPr>
          <w:rFonts w:asciiTheme="majorBidi" w:hAnsiTheme="majorBidi" w:cstheme="majorBidi"/>
        </w:rPr>
        <w:t>.</w:t>
      </w:r>
    </w:p>
    <w:p w14:paraId="4BB445B0" w14:textId="77777777" w:rsidR="004F2870" w:rsidRDefault="004F2870" w:rsidP="00A040F0">
      <w:pPr>
        <w:spacing w:line="276" w:lineRule="auto"/>
        <w:ind w:firstLine="720"/>
        <w:jc w:val="both"/>
        <w:rPr>
          <w:rFonts w:eastAsia="Calibri"/>
        </w:rPr>
      </w:pPr>
      <w:r>
        <w:rPr>
          <w:rFonts w:asciiTheme="majorBidi" w:hAnsiTheme="majorBidi" w:cstheme="majorBidi"/>
        </w:rPr>
        <w:t xml:space="preserve">Pieteicēja pamatoti norāda, ka ir izrakstījusi rēķinus gan par finanšu konsultācijām, gan finanšu analītiku, bet no sprieduma nav skaidrs, kā tiesa ir novērtējusi katru no šiem pakalpojumiem, kāpēc tie abi ir atzīti par tādiem, kas uzskatāmi par </w:t>
      </w:r>
      <w:r w:rsidRPr="007E4CC5">
        <w:rPr>
          <w:rFonts w:asciiTheme="majorBidi" w:hAnsiTheme="majorBidi" w:cstheme="majorBidi"/>
        </w:rPr>
        <w:t>uzņēmumu konsultēšan</w:t>
      </w:r>
      <w:r>
        <w:rPr>
          <w:rFonts w:asciiTheme="majorBidi" w:hAnsiTheme="majorBidi" w:cstheme="majorBidi"/>
        </w:rPr>
        <w:t>u</w:t>
      </w:r>
      <w:r w:rsidRPr="007E4CC5">
        <w:rPr>
          <w:rFonts w:asciiTheme="majorBidi" w:hAnsiTheme="majorBidi" w:cstheme="majorBidi"/>
        </w:rPr>
        <w:t xml:space="preserve"> par kapitāla struktūru, darbības stratēģiju un ar to saistītiem jautājumiem</w:t>
      </w:r>
      <w:r>
        <w:rPr>
          <w:rFonts w:asciiTheme="majorBidi" w:hAnsiTheme="majorBidi" w:cstheme="majorBidi"/>
        </w:rPr>
        <w:t>. Senāts konstatē, ka tiesa spriedumā vien ir uzskaitījusi pieteicējas ar darījumu partneriem noslēgtajos līgumos norādītos pakalpojumus, kā arī izrakstītajos rēķinos definēto sniegto pakalpojumu, vienlaikus nenovērtējot, vai tie atbilst pakalpojumam – konsultācijas par kapitāla struktūru, darbības stratēģiju un ar to saistītiem jautājumiem. Tiesa faktiski ir novirzījusies no šā jautājuma</w:t>
      </w:r>
      <w:r w:rsidRPr="001D06CA">
        <w:rPr>
          <w:rFonts w:asciiTheme="majorBidi" w:hAnsiTheme="majorBidi" w:cstheme="majorBidi"/>
        </w:rPr>
        <w:t xml:space="preserve"> </w:t>
      </w:r>
      <w:r>
        <w:rPr>
          <w:rFonts w:asciiTheme="majorBidi" w:hAnsiTheme="majorBidi" w:cstheme="majorBidi"/>
        </w:rPr>
        <w:t xml:space="preserve">pārbaudes, uzreiz pārejot pie konsultāciju jēdziena kā tāda noskaidrošanas, proti, vai ir notikusi tikai informēšana vai tomēr arī konsultēšana. Turklāt saistībā ar šo tiesas vērtējumu jāpiekrīt arī pieteicējai, ka tiesa nav pamatojusi, kāpēc tā uzskata, ka jēdziens </w:t>
      </w:r>
      <w:r w:rsidRPr="00075BEC">
        <w:rPr>
          <w:rFonts w:eastAsia="Calibri"/>
        </w:rPr>
        <w:t>„korporatīvo finanšu konsultācijas”</w:t>
      </w:r>
      <w:r>
        <w:rPr>
          <w:rFonts w:eastAsia="Calibri"/>
        </w:rPr>
        <w:t xml:space="preserve"> aptver pieteicējas rēķinos norādītos pakalpojumus – finanšu konsultācijas un finanšu analītika, ja jēdzieni atšķiras. No sprieduma nav skaidrs, kādā jomā pieteicēja sniegusi konsultācijas, kā arī trūkst pamatojuma tam, kāpēc tās uzskatāmas par finanšu iestādes darbībai atbilstošām konsultācijām. </w:t>
      </w:r>
    </w:p>
    <w:p w14:paraId="5DE25138" w14:textId="77777777" w:rsidR="004F2870" w:rsidRDefault="004F2870" w:rsidP="00A040F0">
      <w:pPr>
        <w:spacing w:line="276" w:lineRule="auto"/>
        <w:ind w:firstLine="720"/>
        <w:jc w:val="both"/>
        <w:rPr>
          <w:rFonts w:eastAsia="Calibri"/>
        </w:rPr>
      </w:pPr>
    </w:p>
    <w:p w14:paraId="4E52BAD8" w14:textId="77777777" w:rsidR="004F2870" w:rsidRPr="00E72F48" w:rsidRDefault="004F2870" w:rsidP="00A040F0">
      <w:pPr>
        <w:spacing w:line="276" w:lineRule="auto"/>
        <w:ind w:firstLine="720"/>
        <w:jc w:val="both"/>
        <w:rPr>
          <w:rFonts w:eastAsia="Calibri"/>
        </w:rPr>
      </w:pPr>
      <w:r>
        <w:rPr>
          <w:rFonts w:eastAsia="Calibri"/>
        </w:rPr>
        <w:t xml:space="preserve">[9] Papildus jāatzīmē, ka no sprieduma izriet tiesas secinājums, ka, lai izvērtētu, </w:t>
      </w:r>
      <w:r w:rsidRPr="00E72F48">
        <w:rPr>
          <w:rFonts w:eastAsia="Calibri"/>
        </w:rPr>
        <w:t xml:space="preserve">vai pieteicējas darbība atbilst finanšu iestādes jēdzienam, jāvērtē, vai pieteicēja klientiem datus tikai paziņo vai arī sniedz ieteikumus par to, kā rīkoties. Taču tiesa pieteicējas paskaidrojumus par tās darbību ir novērtējusi tikai daļēji. Pieteicēja kasācijas sūdzībā pamatoti vērš uzmanību uz saviem tiesvedības procesa gaitā sniegtajiem paskaidrojumiem par to, ka pieteicēja monitorē klientu datus un brīdī, kad tie sasniedz kādu zināmu atzīmi, ziņo klientiem. Tiesa nav norādījusi, kāpēc šiem paskaidrojumiem nav nozīmes. Faktiski, secinot, ka pieteicēja sniedz tādas konsultācijas, kas atbilst finanšu iestādes darbībai, jo pieteicēja sniedz klientiem ieteikumus, tiesa ir atsaukusies tikai uz to pieteicējas paskaidrojumu daļu, kas apstiprina tiesas secinājumus, tādējādi pārkāpjot Administratīvā procesa likuma 154.panta pirmo un trešo daļu. </w:t>
      </w:r>
    </w:p>
    <w:p w14:paraId="56D6C0B7" w14:textId="77777777" w:rsidR="004F2870" w:rsidRPr="00E72F48" w:rsidRDefault="004F2870" w:rsidP="00A040F0">
      <w:pPr>
        <w:spacing w:line="276" w:lineRule="auto"/>
        <w:ind w:firstLine="720"/>
        <w:jc w:val="both"/>
        <w:rPr>
          <w:rFonts w:eastAsia="Calibri"/>
        </w:rPr>
      </w:pPr>
    </w:p>
    <w:p w14:paraId="07AC1AEE" w14:textId="77777777" w:rsidR="004F2870" w:rsidRPr="00E72F48" w:rsidRDefault="004F2870" w:rsidP="00A040F0">
      <w:pPr>
        <w:spacing w:line="276" w:lineRule="auto"/>
        <w:ind w:firstLine="720"/>
        <w:jc w:val="both"/>
        <w:rPr>
          <w:rFonts w:asciiTheme="majorBidi" w:hAnsiTheme="majorBidi" w:cstheme="majorBidi"/>
        </w:rPr>
      </w:pPr>
      <w:r w:rsidRPr="00E72F48">
        <w:rPr>
          <w:rFonts w:eastAsia="Calibri"/>
        </w:rPr>
        <w:t xml:space="preserve">[10] Kopsakarā ar iepriekš minēto būtisks ir arī pieteicējas arguments, ka </w:t>
      </w:r>
      <w:r w:rsidRPr="00E72F48">
        <w:rPr>
          <w:rFonts w:asciiTheme="majorBidi" w:hAnsiTheme="majorBidi" w:cstheme="majorBidi"/>
        </w:rPr>
        <w:t>tiesa nav novērtējusi, vai darbība, kas tiesas ieskatā atbilst finanšu iestādes jēdzienam, ir pieteicējas galvenā darbība.</w:t>
      </w:r>
    </w:p>
    <w:p w14:paraId="7091C5E5" w14:textId="77777777" w:rsidR="004F2870" w:rsidRDefault="004F2870" w:rsidP="00A040F0">
      <w:pPr>
        <w:spacing w:line="276" w:lineRule="auto"/>
        <w:ind w:firstLine="720"/>
        <w:jc w:val="both"/>
        <w:rPr>
          <w:rFonts w:asciiTheme="majorBidi" w:hAnsiTheme="majorBidi" w:cstheme="majorBidi"/>
        </w:rPr>
      </w:pPr>
      <w:r w:rsidRPr="00E72F48">
        <w:rPr>
          <w:rFonts w:asciiTheme="majorBidi" w:hAnsiTheme="majorBidi" w:cstheme="majorBidi"/>
        </w:rPr>
        <w:t xml:space="preserve">Lai pieteicēju atzītu par finanšu iestādi regulas Nr. 575/2013 4.panta 1.punkta 26.apakšpunkta izpratnē, jākonstatē, ka pieteicējas galvenā darbība ir līdzdalības iegāde vai viena vai vairākas no direktīvas 2013/36/ES I pielikuma 2. līdz 12.punktā un 15.punktā uzskaitītajām darbībām. Tas ir atzīts arī </w:t>
      </w:r>
      <w:hyperlink r:id="rId11" w:history="1">
        <w:r w:rsidRPr="00E72F48">
          <w:rPr>
            <w:rStyle w:val="Hyperlink"/>
            <w:rFonts w:asciiTheme="majorBidi" w:hAnsiTheme="majorBidi" w:cstheme="majorBidi"/>
          </w:rPr>
          <w:t>Eiropas Komisijas 2023.gada 17.maija atzinumā lietā Nr. A420210321</w:t>
        </w:r>
      </w:hyperlink>
      <w:r>
        <w:rPr>
          <w:rFonts w:asciiTheme="majorBidi" w:hAnsiTheme="majorBidi" w:cstheme="majorBidi"/>
        </w:rPr>
        <w:t xml:space="preserve">, kur Eiropas Komisija ir interpretējusi </w:t>
      </w:r>
      <w:r w:rsidRPr="007E4CC5">
        <w:rPr>
          <w:rFonts w:asciiTheme="majorBidi" w:hAnsiTheme="majorBidi" w:cstheme="majorBidi"/>
        </w:rPr>
        <w:t>regulas Nr.</w:t>
      </w:r>
      <w:r>
        <w:rPr>
          <w:rFonts w:asciiTheme="majorBidi" w:hAnsiTheme="majorBidi" w:cstheme="majorBidi"/>
        </w:rPr>
        <w:t> </w:t>
      </w:r>
      <w:r w:rsidRPr="007E4CC5">
        <w:rPr>
          <w:rFonts w:asciiTheme="majorBidi" w:hAnsiTheme="majorBidi" w:cstheme="majorBidi"/>
        </w:rPr>
        <w:t>575/2013 4.panta 1.punkta 26.apakšpunkt</w:t>
      </w:r>
      <w:r>
        <w:rPr>
          <w:rFonts w:asciiTheme="majorBidi" w:hAnsiTheme="majorBidi" w:cstheme="majorBidi"/>
        </w:rPr>
        <w:t xml:space="preserve">ā finanšu iestādes jēdzienu. Atzinumā norādīts, ka ir svarīgi nošķirt galveno darbību no </w:t>
      </w:r>
      <w:r w:rsidRPr="00BE5321">
        <w:rPr>
          <w:rFonts w:asciiTheme="majorBidi" w:hAnsiTheme="majorBidi" w:cstheme="majorBidi"/>
        </w:rPr>
        <w:t xml:space="preserve">jebkuras citas (sekundāras, papildu, palīgdarbības) darbības. Uzņēmums, kas veic vienu vai vairākas no </w:t>
      </w:r>
      <w:r>
        <w:rPr>
          <w:rFonts w:asciiTheme="majorBidi" w:hAnsiTheme="majorBidi" w:cstheme="majorBidi"/>
        </w:rPr>
        <w:t>d</w:t>
      </w:r>
      <w:r w:rsidRPr="00BE5321">
        <w:rPr>
          <w:rFonts w:asciiTheme="majorBidi" w:hAnsiTheme="majorBidi" w:cstheme="majorBidi"/>
        </w:rPr>
        <w:t>irektīvas 2013/36/ES I</w:t>
      </w:r>
      <w:r>
        <w:rPr>
          <w:rFonts w:asciiTheme="majorBidi" w:hAnsiTheme="majorBidi" w:cstheme="majorBidi"/>
        </w:rPr>
        <w:t> </w:t>
      </w:r>
      <w:r w:rsidRPr="00BE5321">
        <w:rPr>
          <w:rFonts w:asciiTheme="majorBidi" w:hAnsiTheme="majorBidi" w:cstheme="majorBidi"/>
        </w:rPr>
        <w:t>pielikuma 2.</w:t>
      </w:r>
      <w:r>
        <w:rPr>
          <w:rFonts w:asciiTheme="majorBidi" w:hAnsiTheme="majorBidi" w:cstheme="majorBidi"/>
        </w:rPr>
        <w:t xml:space="preserve"> līdz </w:t>
      </w:r>
      <w:r w:rsidRPr="00BE5321">
        <w:rPr>
          <w:rFonts w:asciiTheme="majorBidi" w:hAnsiTheme="majorBidi" w:cstheme="majorBidi"/>
        </w:rPr>
        <w:t>12.punktā un 15.punktā uzskaitītajām darbībām tikai kā sekundāru, papildu vai palīgdarbību, netiek uzskatīts par finanšu iestādi saskaņā ar Savienības tiesību aktiem, kas piemērojami finanšu darbību veikšanai</w:t>
      </w:r>
      <w:r>
        <w:rPr>
          <w:rFonts w:asciiTheme="majorBidi" w:hAnsiTheme="majorBidi" w:cstheme="majorBidi"/>
        </w:rPr>
        <w:t xml:space="preserve"> (</w:t>
      </w:r>
      <w:r w:rsidRPr="00BE5321">
        <w:rPr>
          <w:rFonts w:asciiTheme="majorBidi" w:hAnsiTheme="majorBidi" w:cstheme="majorBidi"/>
          <w:i/>
          <w:iCs/>
        </w:rPr>
        <w:t>atzinuma 21.punkts</w:t>
      </w:r>
      <w:r>
        <w:rPr>
          <w:rFonts w:asciiTheme="majorBidi" w:hAnsiTheme="majorBidi" w:cstheme="majorBidi"/>
        </w:rPr>
        <w:t xml:space="preserve">). </w:t>
      </w:r>
    </w:p>
    <w:p w14:paraId="2361CD31" w14:textId="77777777" w:rsidR="004F2870" w:rsidRDefault="004F2870" w:rsidP="00A040F0">
      <w:pPr>
        <w:spacing w:line="276" w:lineRule="auto"/>
        <w:ind w:firstLine="720"/>
        <w:jc w:val="both"/>
        <w:rPr>
          <w:rFonts w:eastAsia="Calibri"/>
        </w:rPr>
      </w:pPr>
      <w:r>
        <w:rPr>
          <w:rFonts w:eastAsia="Calibri"/>
        </w:rPr>
        <w:t xml:space="preserve">Spriedumā šāds izvērtējums nav sniegts. Kā tas jau konstatēts tiesas spriedumā un kā to norāda arī pieteicēja kasācijas sūdzībā, pieteicēja izrakstījusi rēķinus par dažādiem pakalpojumiem, arī līgumos, pieteicējas paskaidrojumos un pieteicējas interneta vietnē norādīts uz dažādiem pakalpojumiem. Tā kā tiesa spriedumā nav sniegusi skaidru un pierādījumos balstītu novērtējumu par pieteicējas sniegtajiem pakalpojumiem, iztrūkst arī pārliecinoša secinājuma par to, ka pieteicējas galvenā darbība ir tāda, kas atbilst finanšu iestādes jēdzienam. </w:t>
      </w:r>
    </w:p>
    <w:p w14:paraId="7A0992F6" w14:textId="77777777" w:rsidR="004F2870" w:rsidRDefault="004F2870" w:rsidP="00A040F0">
      <w:pPr>
        <w:spacing w:line="276" w:lineRule="auto"/>
        <w:jc w:val="both"/>
        <w:rPr>
          <w:rFonts w:eastAsia="Calibri"/>
        </w:rPr>
      </w:pPr>
    </w:p>
    <w:p w14:paraId="5C57D01E" w14:textId="77777777" w:rsidR="004F2870" w:rsidRDefault="004F2870" w:rsidP="00A040F0">
      <w:pPr>
        <w:spacing w:line="276" w:lineRule="auto"/>
        <w:ind w:firstLine="720"/>
        <w:jc w:val="both"/>
        <w:rPr>
          <w:rFonts w:eastAsia="Calibri"/>
        </w:rPr>
      </w:pPr>
      <w:r>
        <w:rPr>
          <w:rFonts w:eastAsia="Calibri"/>
        </w:rPr>
        <w:t xml:space="preserve">[11] </w:t>
      </w:r>
      <w:r>
        <w:rPr>
          <w:rFonts w:asciiTheme="majorBidi" w:hAnsiTheme="majorBidi" w:cstheme="majorBidi"/>
        </w:rPr>
        <w:t xml:space="preserve">Ievērojot visu minēto, tiesas spriedums ir atceļams un lieta </w:t>
      </w:r>
      <w:r w:rsidRPr="006C7845">
        <w:rPr>
          <w:rFonts w:eastAsia="Calibri"/>
        </w:rPr>
        <w:t>nododama jaunai izskatīšanai Administratīvajai apgabaltiesai.</w:t>
      </w:r>
    </w:p>
    <w:p w14:paraId="2FD7E657" w14:textId="77777777" w:rsidR="004F2870" w:rsidRPr="00BF0DD3" w:rsidRDefault="004F2870" w:rsidP="00A040F0">
      <w:pPr>
        <w:spacing w:line="276" w:lineRule="auto"/>
        <w:rPr>
          <w:rFonts w:asciiTheme="majorBidi" w:hAnsiTheme="majorBidi" w:cstheme="majorBidi"/>
          <w:bCs/>
        </w:rPr>
      </w:pPr>
    </w:p>
    <w:p w14:paraId="08AC7079" w14:textId="77777777" w:rsidR="004F2870" w:rsidRPr="001B099E" w:rsidRDefault="004F2870" w:rsidP="00A040F0">
      <w:pPr>
        <w:spacing w:line="276" w:lineRule="auto"/>
        <w:jc w:val="center"/>
        <w:rPr>
          <w:rFonts w:asciiTheme="majorBidi" w:hAnsiTheme="majorBidi" w:cstheme="majorBidi"/>
          <w:b/>
        </w:rPr>
      </w:pPr>
      <w:r w:rsidRPr="001B099E">
        <w:rPr>
          <w:rFonts w:asciiTheme="majorBidi" w:hAnsiTheme="majorBidi" w:cstheme="majorBidi"/>
          <w:b/>
        </w:rPr>
        <w:t>Rezolutīvā daļa</w:t>
      </w:r>
    </w:p>
    <w:p w14:paraId="5A6395C4" w14:textId="77777777" w:rsidR="004F2870" w:rsidRPr="00D57B9C" w:rsidRDefault="004F2870" w:rsidP="00A040F0">
      <w:pPr>
        <w:spacing w:line="276" w:lineRule="auto"/>
        <w:ind w:firstLine="567"/>
        <w:jc w:val="both"/>
        <w:rPr>
          <w:rFonts w:asciiTheme="majorBidi" w:hAnsiTheme="majorBidi" w:cstheme="majorBidi"/>
          <w:bCs/>
          <w:spacing w:val="70"/>
        </w:rPr>
      </w:pPr>
    </w:p>
    <w:p w14:paraId="397568CE" w14:textId="77777777" w:rsidR="004F2870" w:rsidRPr="000909D1" w:rsidRDefault="004F2870" w:rsidP="00A040F0">
      <w:pPr>
        <w:spacing w:line="276" w:lineRule="auto"/>
        <w:ind w:firstLine="720"/>
        <w:jc w:val="both"/>
        <w:rPr>
          <w:rFonts w:asciiTheme="majorBidi" w:hAnsiTheme="majorBidi" w:cstheme="majorBidi"/>
        </w:rPr>
      </w:pPr>
      <w:r w:rsidRPr="000909D1">
        <w:rPr>
          <w:rFonts w:asciiTheme="majorBidi" w:hAnsiTheme="majorBidi" w:cstheme="majorBidi"/>
        </w:rPr>
        <w:t xml:space="preserve">Pamatojoties uz </w:t>
      </w:r>
      <w:r w:rsidRPr="000909D1">
        <w:rPr>
          <w:rFonts w:asciiTheme="majorBidi" w:eastAsiaTheme="minorHAnsi" w:hAnsiTheme="majorBidi" w:cstheme="majorBidi"/>
          <w:lang w:eastAsia="en-US"/>
        </w:rPr>
        <w:t>Administratīvā procesa likuma</w:t>
      </w:r>
      <w:r w:rsidRPr="000909D1">
        <w:rPr>
          <w:rFonts w:asciiTheme="majorBidi" w:hAnsiTheme="majorBidi" w:cstheme="majorBidi"/>
        </w:rPr>
        <w:t xml:space="preserve"> </w:t>
      </w:r>
      <w:r w:rsidRPr="009D0400">
        <w:rPr>
          <w:rFonts w:asciiTheme="majorBidi" w:hAnsiTheme="majorBidi" w:cstheme="majorBidi"/>
        </w:rPr>
        <w:t>129.</w:t>
      </w:r>
      <w:r w:rsidRPr="004C32E2">
        <w:rPr>
          <w:rFonts w:asciiTheme="majorBidi" w:hAnsiTheme="majorBidi" w:cstheme="majorBidi"/>
          <w:vertAlign w:val="superscript"/>
        </w:rPr>
        <w:t>1</w:t>
      </w:r>
      <w:r w:rsidRPr="009D0400">
        <w:rPr>
          <w:rFonts w:asciiTheme="majorBidi" w:hAnsiTheme="majorBidi" w:cstheme="majorBidi"/>
        </w:rPr>
        <w:t>panta pirmās daļas 1.punktu</w:t>
      </w:r>
      <w:r>
        <w:rPr>
          <w:rFonts w:asciiTheme="majorBidi" w:hAnsiTheme="majorBidi" w:cstheme="majorBidi"/>
        </w:rPr>
        <w:t xml:space="preserve">, </w:t>
      </w:r>
      <w:r w:rsidRPr="000909D1">
        <w:rPr>
          <w:rFonts w:asciiTheme="majorBidi" w:hAnsiTheme="majorBidi" w:cstheme="majorBidi"/>
        </w:rPr>
        <w:t>348.panta pirmās daļas 2.punktu un 351.pantu, Senāts</w:t>
      </w:r>
    </w:p>
    <w:p w14:paraId="68427030" w14:textId="77777777" w:rsidR="004F2870" w:rsidRDefault="004F2870" w:rsidP="00A040F0">
      <w:pPr>
        <w:spacing w:line="276" w:lineRule="auto"/>
        <w:jc w:val="center"/>
        <w:rPr>
          <w:rFonts w:asciiTheme="majorBidi" w:hAnsiTheme="majorBidi" w:cstheme="majorBidi"/>
          <w:b/>
        </w:rPr>
      </w:pPr>
    </w:p>
    <w:p w14:paraId="57D6DAF8" w14:textId="77777777" w:rsidR="004F2870" w:rsidRPr="000909D1" w:rsidRDefault="004F2870" w:rsidP="00A040F0">
      <w:pPr>
        <w:spacing w:line="276" w:lineRule="auto"/>
        <w:jc w:val="center"/>
        <w:rPr>
          <w:rFonts w:asciiTheme="majorBidi" w:hAnsiTheme="majorBidi" w:cstheme="majorBidi"/>
          <w:b/>
        </w:rPr>
      </w:pPr>
      <w:r w:rsidRPr="000909D1">
        <w:rPr>
          <w:rFonts w:asciiTheme="majorBidi" w:hAnsiTheme="majorBidi" w:cstheme="majorBidi"/>
          <w:b/>
        </w:rPr>
        <w:t>nosprieda</w:t>
      </w:r>
    </w:p>
    <w:p w14:paraId="689B4DC2" w14:textId="77777777" w:rsidR="004F2870" w:rsidRPr="000909D1" w:rsidRDefault="004F2870" w:rsidP="00A040F0">
      <w:pPr>
        <w:spacing w:line="276" w:lineRule="auto"/>
        <w:ind w:firstLine="567"/>
        <w:jc w:val="center"/>
        <w:rPr>
          <w:rFonts w:asciiTheme="majorBidi" w:hAnsiTheme="majorBidi" w:cstheme="majorBidi"/>
          <w:b/>
        </w:rPr>
      </w:pPr>
    </w:p>
    <w:p w14:paraId="2902FA5F" w14:textId="77777777" w:rsidR="004F2870" w:rsidRDefault="004F2870" w:rsidP="00A040F0">
      <w:pPr>
        <w:spacing w:line="276" w:lineRule="auto"/>
        <w:ind w:firstLine="720"/>
        <w:jc w:val="both"/>
        <w:rPr>
          <w:rFonts w:asciiTheme="majorBidi" w:hAnsiTheme="majorBidi" w:cstheme="majorBidi"/>
        </w:rPr>
      </w:pPr>
      <w:r w:rsidRPr="000909D1">
        <w:rPr>
          <w:rFonts w:asciiTheme="majorBidi" w:hAnsiTheme="majorBidi" w:cstheme="majorBidi"/>
        </w:rPr>
        <w:t xml:space="preserve">atcelt Administratīvās apgabaltiesas 2023.gada 14.decembra spriedumu un </w:t>
      </w:r>
      <w:r w:rsidRPr="000909D1">
        <w:rPr>
          <w:rFonts w:asciiTheme="majorBidi" w:hAnsiTheme="majorBidi" w:cstheme="majorBidi"/>
          <w:shd w:val="clear" w:color="auto" w:fill="FFFFFF"/>
        </w:rPr>
        <w:t xml:space="preserve">nosūtīt lietu jaunai izskatīšanai </w:t>
      </w:r>
      <w:r w:rsidRPr="000909D1">
        <w:rPr>
          <w:rFonts w:asciiTheme="majorBidi" w:hAnsiTheme="majorBidi" w:cstheme="majorBidi"/>
        </w:rPr>
        <w:t>Administratīvajai apgabaltiesai</w:t>
      </w:r>
      <w:r>
        <w:rPr>
          <w:rFonts w:asciiTheme="majorBidi" w:hAnsiTheme="majorBidi" w:cstheme="majorBidi"/>
        </w:rPr>
        <w:t>;</w:t>
      </w:r>
    </w:p>
    <w:p w14:paraId="724BE1C1" w14:textId="77777777" w:rsidR="004F2870" w:rsidRPr="000909D1" w:rsidRDefault="004F2870" w:rsidP="00A040F0">
      <w:pPr>
        <w:spacing w:line="276" w:lineRule="auto"/>
        <w:ind w:firstLine="720"/>
        <w:jc w:val="both"/>
      </w:pPr>
      <w:r w:rsidRPr="00BA10EA">
        <w:rPr>
          <w:bCs/>
        </w:rPr>
        <w:t xml:space="preserve">atmaksāt </w:t>
      </w:r>
      <w:r>
        <w:rPr>
          <w:bCs/>
        </w:rPr>
        <w:t xml:space="preserve">SIA „ECONOME” </w:t>
      </w:r>
      <w:r>
        <w:rPr>
          <w:rFonts w:asciiTheme="majorBidi" w:hAnsiTheme="majorBidi" w:cstheme="majorBidi"/>
          <w:lang w:eastAsia="lv-LV"/>
        </w:rPr>
        <w:t xml:space="preserve">par </w:t>
      </w:r>
      <w:r w:rsidRPr="001B099E">
        <w:rPr>
          <w:rFonts w:asciiTheme="majorBidi" w:hAnsiTheme="majorBidi" w:cstheme="majorBidi"/>
          <w:lang w:eastAsia="lv-LV"/>
        </w:rPr>
        <w:t>SIA „</w:t>
      </w:r>
      <w:r w:rsidRPr="003F41C1">
        <w:rPr>
          <w:rFonts w:asciiTheme="majorBidi" w:hAnsiTheme="majorBidi" w:cstheme="majorBidi"/>
          <w:lang w:eastAsia="lv-LV"/>
        </w:rPr>
        <w:t>ABZ FINANCE</w:t>
      </w:r>
      <w:r w:rsidRPr="001B099E">
        <w:rPr>
          <w:rFonts w:asciiTheme="majorBidi" w:hAnsiTheme="majorBidi" w:cstheme="majorBidi"/>
          <w:lang w:eastAsia="lv-LV"/>
        </w:rPr>
        <w:t>”</w:t>
      </w:r>
      <w:r>
        <w:rPr>
          <w:rFonts w:asciiTheme="majorBidi" w:hAnsiTheme="majorBidi" w:cstheme="majorBidi"/>
          <w:lang w:eastAsia="lv-LV"/>
        </w:rPr>
        <w:t xml:space="preserve"> </w:t>
      </w:r>
      <w:r w:rsidRPr="00BA10EA">
        <w:t>kasācijas sūdzību samaksāto drošības naudu 70 </w:t>
      </w:r>
      <w:r w:rsidRPr="00BA10EA">
        <w:rPr>
          <w:i/>
          <w:iCs/>
        </w:rPr>
        <w:t>euro</w:t>
      </w:r>
      <w:r w:rsidRPr="00BA10EA">
        <w:t>.</w:t>
      </w:r>
      <w:r w:rsidRPr="00BA10EA">
        <w:rPr>
          <w:rFonts w:asciiTheme="majorBidi" w:hAnsiTheme="majorBidi" w:cstheme="majorBidi"/>
        </w:rPr>
        <w:t xml:space="preserve"> </w:t>
      </w:r>
    </w:p>
    <w:p w14:paraId="6420A1BF" w14:textId="77777777" w:rsidR="004F2870" w:rsidRPr="000909D1" w:rsidRDefault="004F2870" w:rsidP="00A040F0">
      <w:pPr>
        <w:spacing w:line="276" w:lineRule="auto"/>
        <w:ind w:firstLine="567"/>
        <w:jc w:val="both"/>
        <w:rPr>
          <w:rFonts w:asciiTheme="majorBidi" w:hAnsiTheme="majorBidi" w:cstheme="majorBidi"/>
        </w:rPr>
      </w:pPr>
    </w:p>
    <w:p w14:paraId="2FB4D0D5" w14:textId="205ADA7E" w:rsidR="00854076" w:rsidRPr="00A040F0" w:rsidRDefault="004F2870" w:rsidP="00A040F0">
      <w:pPr>
        <w:spacing w:line="276" w:lineRule="auto"/>
        <w:ind w:firstLine="720"/>
        <w:jc w:val="both"/>
        <w:rPr>
          <w:rFonts w:asciiTheme="majorBidi" w:hAnsiTheme="majorBidi" w:cstheme="majorBidi"/>
        </w:rPr>
      </w:pPr>
      <w:r w:rsidRPr="000909D1">
        <w:rPr>
          <w:rFonts w:asciiTheme="majorBidi" w:hAnsiTheme="majorBidi" w:cstheme="majorBidi"/>
        </w:rPr>
        <w:t>Spriedums nav pārsūdzams.</w:t>
      </w:r>
    </w:p>
    <w:sectPr w:rsidR="00854076" w:rsidRPr="00A040F0" w:rsidSect="00267671">
      <w:footerReference w:type="default" r:id="rId12"/>
      <w:pgSz w:w="11906" w:h="16838"/>
      <w:pgMar w:top="567"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867C6" w14:textId="77777777" w:rsidR="002926FC" w:rsidRDefault="002926FC">
      <w:r>
        <w:separator/>
      </w:r>
    </w:p>
  </w:endnote>
  <w:endnote w:type="continuationSeparator" w:id="0">
    <w:p w14:paraId="1C79693D" w14:textId="77777777" w:rsidR="002926FC" w:rsidRDefault="00292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FCFA" w14:textId="437941D6" w:rsidR="00E33F0B" w:rsidRPr="00821164" w:rsidRDefault="00E33F0B" w:rsidP="00646288">
    <w:pPr>
      <w:pStyle w:val="Footer"/>
      <w:tabs>
        <w:tab w:val="clear" w:pos="4153"/>
        <w:tab w:val="clear" w:pos="8306"/>
      </w:tabs>
      <w:jc w:val="center"/>
      <w:rPr>
        <w:sz w:val="20"/>
        <w:szCs w:val="20"/>
      </w:rPr>
    </w:pPr>
    <w:r w:rsidRPr="00821164">
      <w:rPr>
        <w:rStyle w:val="PageNumber"/>
        <w:sz w:val="20"/>
        <w:szCs w:val="20"/>
      </w:rPr>
      <w:fldChar w:fldCharType="begin"/>
    </w:r>
    <w:r w:rsidRPr="00821164">
      <w:rPr>
        <w:rStyle w:val="PageNumber"/>
        <w:sz w:val="20"/>
        <w:szCs w:val="20"/>
      </w:rPr>
      <w:instrText xml:space="preserve">PAGE  </w:instrText>
    </w:r>
    <w:r w:rsidRPr="00821164">
      <w:rPr>
        <w:rStyle w:val="PageNumber"/>
        <w:sz w:val="20"/>
        <w:szCs w:val="20"/>
      </w:rPr>
      <w:fldChar w:fldCharType="separate"/>
    </w:r>
    <w:r w:rsidR="00821164">
      <w:rPr>
        <w:rStyle w:val="PageNumber"/>
        <w:noProof/>
        <w:sz w:val="20"/>
        <w:szCs w:val="20"/>
      </w:rPr>
      <w:t>18</w:t>
    </w:r>
    <w:r w:rsidRPr="00821164">
      <w:rPr>
        <w:rStyle w:val="PageNumber"/>
        <w:sz w:val="20"/>
        <w:szCs w:val="20"/>
      </w:rPr>
      <w:fldChar w:fldCharType="end"/>
    </w:r>
    <w:r w:rsidRPr="00821164">
      <w:rPr>
        <w:rStyle w:val="PageNumber"/>
        <w:sz w:val="20"/>
        <w:szCs w:val="20"/>
      </w:rPr>
      <w:t xml:space="preserve"> no </w:t>
    </w:r>
    <w:r w:rsidRPr="00821164">
      <w:rPr>
        <w:rStyle w:val="PageNumber"/>
        <w:noProof/>
        <w:sz w:val="20"/>
        <w:szCs w:val="20"/>
      </w:rPr>
      <w:fldChar w:fldCharType="begin"/>
    </w:r>
    <w:r w:rsidRPr="00821164">
      <w:rPr>
        <w:rStyle w:val="PageNumber"/>
        <w:noProof/>
        <w:sz w:val="20"/>
        <w:szCs w:val="20"/>
      </w:rPr>
      <w:instrText xml:space="preserve"> SECTIONPAGES   \* MERGEFORMAT </w:instrText>
    </w:r>
    <w:r w:rsidRPr="00821164">
      <w:rPr>
        <w:rStyle w:val="PageNumber"/>
        <w:noProof/>
        <w:sz w:val="20"/>
        <w:szCs w:val="20"/>
      </w:rPr>
      <w:fldChar w:fldCharType="separate"/>
    </w:r>
    <w:r w:rsidR="002926FC">
      <w:rPr>
        <w:rStyle w:val="PageNumber"/>
        <w:noProof/>
        <w:sz w:val="20"/>
        <w:szCs w:val="20"/>
      </w:rPr>
      <w:t>1</w:t>
    </w:r>
    <w:r w:rsidRPr="0082116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3819B" w14:textId="77777777" w:rsidR="002926FC" w:rsidRDefault="002926FC">
      <w:r>
        <w:separator/>
      </w:r>
    </w:p>
  </w:footnote>
  <w:footnote w:type="continuationSeparator" w:id="0">
    <w:p w14:paraId="12A5CAFE" w14:textId="77777777" w:rsidR="002926FC" w:rsidRDefault="002926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ED65CD9"/>
    <w:multiLevelType w:val="hybridMultilevel"/>
    <w:tmpl w:val="5F96624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44D0F57"/>
    <w:multiLevelType w:val="hybridMultilevel"/>
    <w:tmpl w:val="594655B0"/>
    <w:lvl w:ilvl="0" w:tplc="DB3E9A02">
      <w:start w:val="1"/>
      <w:numFmt w:val="lowerLetter"/>
      <w:lvlText w:val="%1)"/>
      <w:lvlJc w:val="left"/>
      <w:pPr>
        <w:ind w:left="1020" w:hanging="360"/>
      </w:pPr>
    </w:lvl>
    <w:lvl w:ilvl="1" w:tplc="DEFC2960">
      <w:start w:val="1"/>
      <w:numFmt w:val="lowerLetter"/>
      <w:lvlText w:val="%2)"/>
      <w:lvlJc w:val="left"/>
      <w:pPr>
        <w:ind w:left="1020" w:hanging="360"/>
      </w:pPr>
    </w:lvl>
    <w:lvl w:ilvl="2" w:tplc="B2ECAF0E">
      <w:start w:val="1"/>
      <w:numFmt w:val="lowerLetter"/>
      <w:lvlText w:val="%3)"/>
      <w:lvlJc w:val="left"/>
      <w:pPr>
        <w:ind w:left="1020" w:hanging="360"/>
      </w:pPr>
    </w:lvl>
    <w:lvl w:ilvl="3" w:tplc="54EC670E">
      <w:start w:val="1"/>
      <w:numFmt w:val="lowerLetter"/>
      <w:lvlText w:val="%4)"/>
      <w:lvlJc w:val="left"/>
      <w:pPr>
        <w:ind w:left="1020" w:hanging="360"/>
      </w:pPr>
    </w:lvl>
    <w:lvl w:ilvl="4" w:tplc="0F9C5478">
      <w:start w:val="1"/>
      <w:numFmt w:val="lowerLetter"/>
      <w:lvlText w:val="%5)"/>
      <w:lvlJc w:val="left"/>
      <w:pPr>
        <w:ind w:left="1020" w:hanging="360"/>
      </w:pPr>
    </w:lvl>
    <w:lvl w:ilvl="5" w:tplc="FAB6BCFE">
      <w:start w:val="1"/>
      <w:numFmt w:val="lowerLetter"/>
      <w:lvlText w:val="%6)"/>
      <w:lvlJc w:val="left"/>
      <w:pPr>
        <w:ind w:left="1020" w:hanging="360"/>
      </w:pPr>
    </w:lvl>
    <w:lvl w:ilvl="6" w:tplc="FFF04DC2">
      <w:start w:val="1"/>
      <w:numFmt w:val="lowerLetter"/>
      <w:lvlText w:val="%7)"/>
      <w:lvlJc w:val="left"/>
      <w:pPr>
        <w:ind w:left="1020" w:hanging="360"/>
      </w:pPr>
    </w:lvl>
    <w:lvl w:ilvl="7" w:tplc="89142BDE">
      <w:start w:val="1"/>
      <w:numFmt w:val="lowerLetter"/>
      <w:lvlText w:val="%8)"/>
      <w:lvlJc w:val="left"/>
      <w:pPr>
        <w:ind w:left="1020" w:hanging="360"/>
      </w:pPr>
    </w:lvl>
    <w:lvl w:ilvl="8" w:tplc="2856EE50">
      <w:start w:val="1"/>
      <w:numFmt w:val="lowerLetter"/>
      <w:lvlText w:val="%9)"/>
      <w:lvlJc w:val="left"/>
      <w:pPr>
        <w:ind w:left="1020" w:hanging="360"/>
      </w:pPr>
    </w:lvl>
  </w:abstractNum>
  <w:abstractNum w:abstractNumId="3" w15:restartNumberingAfterBreak="0">
    <w:nsid w:val="28D07EBC"/>
    <w:multiLevelType w:val="hybridMultilevel"/>
    <w:tmpl w:val="3B686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2759A"/>
    <w:multiLevelType w:val="hybridMultilevel"/>
    <w:tmpl w:val="B9BAA8AC"/>
    <w:lvl w:ilvl="0" w:tplc="7BC01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18517187">
    <w:abstractNumId w:val="5"/>
  </w:num>
  <w:num w:numId="2" w16cid:durableId="1996100597">
    <w:abstractNumId w:val="0"/>
  </w:num>
  <w:num w:numId="3" w16cid:durableId="576860809">
    <w:abstractNumId w:val="3"/>
  </w:num>
  <w:num w:numId="4" w16cid:durableId="615915430">
    <w:abstractNumId w:val="4"/>
  </w:num>
  <w:num w:numId="5" w16cid:durableId="42603283">
    <w:abstractNumId w:val="2"/>
  </w:num>
  <w:num w:numId="6" w16cid:durableId="1428624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1952"/>
    <w:rsid w:val="00001D96"/>
    <w:rsid w:val="00002A64"/>
    <w:rsid w:val="00002BEB"/>
    <w:rsid w:val="00003AF4"/>
    <w:rsid w:val="0000422B"/>
    <w:rsid w:val="00004579"/>
    <w:rsid w:val="0000467D"/>
    <w:rsid w:val="00004D75"/>
    <w:rsid w:val="00005AD7"/>
    <w:rsid w:val="00005D23"/>
    <w:rsid w:val="0000638F"/>
    <w:rsid w:val="00006A1C"/>
    <w:rsid w:val="000101C4"/>
    <w:rsid w:val="00012562"/>
    <w:rsid w:val="00012ED4"/>
    <w:rsid w:val="00013576"/>
    <w:rsid w:val="000136C8"/>
    <w:rsid w:val="00013AF6"/>
    <w:rsid w:val="00013C85"/>
    <w:rsid w:val="00013FBD"/>
    <w:rsid w:val="000150A3"/>
    <w:rsid w:val="000154E7"/>
    <w:rsid w:val="00015DCA"/>
    <w:rsid w:val="00015DDA"/>
    <w:rsid w:val="00016BD0"/>
    <w:rsid w:val="000171C8"/>
    <w:rsid w:val="0001745F"/>
    <w:rsid w:val="00017D60"/>
    <w:rsid w:val="00020946"/>
    <w:rsid w:val="00021417"/>
    <w:rsid w:val="000218C4"/>
    <w:rsid w:val="0002194F"/>
    <w:rsid w:val="00021E3D"/>
    <w:rsid w:val="00022026"/>
    <w:rsid w:val="00022863"/>
    <w:rsid w:val="00024ABE"/>
    <w:rsid w:val="00024BB3"/>
    <w:rsid w:val="00024DD9"/>
    <w:rsid w:val="0002573F"/>
    <w:rsid w:val="000269C3"/>
    <w:rsid w:val="0002713D"/>
    <w:rsid w:val="000272ED"/>
    <w:rsid w:val="000302A5"/>
    <w:rsid w:val="00030969"/>
    <w:rsid w:val="000309D3"/>
    <w:rsid w:val="00030E09"/>
    <w:rsid w:val="000311B5"/>
    <w:rsid w:val="00031435"/>
    <w:rsid w:val="000320D8"/>
    <w:rsid w:val="000321F3"/>
    <w:rsid w:val="00032432"/>
    <w:rsid w:val="00032B6B"/>
    <w:rsid w:val="00033FB3"/>
    <w:rsid w:val="00034479"/>
    <w:rsid w:val="00034E84"/>
    <w:rsid w:val="00035533"/>
    <w:rsid w:val="00036046"/>
    <w:rsid w:val="00036541"/>
    <w:rsid w:val="000372D5"/>
    <w:rsid w:val="00037791"/>
    <w:rsid w:val="00040527"/>
    <w:rsid w:val="00040542"/>
    <w:rsid w:val="00040613"/>
    <w:rsid w:val="00040CF0"/>
    <w:rsid w:val="00040E64"/>
    <w:rsid w:val="0004121D"/>
    <w:rsid w:val="00041837"/>
    <w:rsid w:val="00042261"/>
    <w:rsid w:val="00042395"/>
    <w:rsid w:val="0004304A"/>
    <w:rsid w:val="00043420"/>
    <w:rsid w:val="00043C87"/>
    <w:rsid w:val="00043D51"/>
    <w:rsid w:val="00043F96"/>
    <w:rsid w:val="00044B83"/>
    <w:rsid w:val="00044E17"/>
    <w:rsid w:val="000450FC"/>
    <w:rsid w:val="000453D8"/>
    <w:rsid w:val="00045409"/>
    <w:rsid w:val="00045DD8"/>
    <w:rsid w:val="0004617F"/>
    <w:rsid w:val="0004631B"/>
    <w:rsid w:val="00046DC2"/>
    <w:rsid w:val="0005104F"/>
    <w:rsid w:val="0005154D"/>
    <w:rsid w:val="0005182E"/>
    <w:rsid w:val="00051D04"/>
    <w:rsid w:val="00051F4D"/>
    <w:rsid w:val="00052108"/>
    <w:rsid w:val="000526B8"/>
    <w:rsid w:val="0005417C"/>
    <w:rsid w:val="00054D53"/>
    <w:rsid w:val="00055188"/>
    <w:rsid w:val="00056682"/>
    <w:rsid w:val="00056AB9"/>
    <w:rsid w:val="00057694"/>
    <w:rsid w:val="00057E4B"/>
    <w:rsid w:val="00060A90"/>
    <w:rsid w:val="00060DA7"/>
    <w:rsid w:val="00061720"/>
    <w:rsid w:val="00062313"/>
    <w:rsid w:val="00062EEA"/>
    <w:rsid w:val="00062F6B"/>
    <w:rsid w:val="000631F5"/>
    <w:rsid w:val="00063339"/>
    <w:rsid w:val="00063606"/>
    <w:rsid w:val="000637E6"/>
    <w:rsid w:val="00063849"/>
    <w:rsid w:val="00063A74"/>
    <w:rsid w:val="0006415C"/>
    <w:rsid w:val="000646AB"/>
    <w:rsid w:val="00064717"/>
    <w:rsid w:val="00064C1E"/>
    <w:rsid w:val="00064C88"/>
    <w:rsid w:val="00065129"/>
    <w:rsid w:val="00065BCB"/>
    <w:rsid w:val="00065EF9"/>
    <w:rsid w:val="000663E0"/>
    <w:rsid w:val="00066687"/>
    <w:rsid w:val="000666AE"/>
    <w:rsid w:val="00066D1A"/>
    <w:rsid w:val="00066FD9"/>
    <w:rsid w:val="00067466"/>
    <w:rsid w:val="00067F76"/>
    <w:rsid w:val="000703B0"/>
    <w:rsid w:val="000708D8"/>
    <w:rsid w:val="00070BB8"/>
    <w:rsid w:val="000712B0"/>
    <w:rsid w:val="0007151A"/>
    <w:rsid w:val="0007224F"/>
    <w:rsid w:val="000726F9"/>
    <w:rsid w:val="000729E1"/>
    <w:rsid w:val="00072DFD"/>
    <w:rsid w:val="00072F8A"/>
    <w:rsid w:val="000732B7"/>
    <w:rsid w:val="00073641"/>
    <w:rsid w:val="00073EBF"/>
    <w:rsid w:val="0007479A"/>
    <w:rsid w:val="00074F01"/>
    <w:rsid w:val="00074F2C"/>
    <w:rsid w:val="0007506D"/>
    <w:rsid w:val="000750F0"/>
    <w:rsid w:val="00075A0B"/>
    <w:rsid w:val="00075BEC"/>
    <w:rsid w:val="0007615A"/>
    <w:rsid w:val="00077D61"/>
    <w:rsid w:val="00077E6B"/>
    <w:rsid w:val="00077FF3"/>
    <w:rsid w:val="0008017B"/>
    <w:rsid w:val="00080FE0"/>
    <w:rsid w:val="00081262"/>
    <w:rsid w:val="000813C8"/>
    <w:rsid w:val="000816FC"/>
    <w:rsid w:val="0008181A"/>
    <w:rsid w:val="00081B49"/>
    <w:rsid w:val="00082A51"/>
    <w:rsid w:val="00082A77"/>
    <w:rsid w:val="000845F5"/>
    <w:rsid w:val="00084690"/>
    <w:rsid w:val="0008472E"/>
    <w:rsid w:val="000857B6"/>
    <w:rsid w:val="000859AC"/>
    <w:rsid w:val="000863F5"/>
    <w:rsid w:val="000866EB"/>
    <w:rsid w:val="00087A22"/>
    <w:rsid w:val="00087DC1"/>
    <w:rsid w:val="00090536"/>
    <w:rsid w:val="000909D1"/>
    <w:rsid w:val="000918FA"/>
    <w:rsid w:val="00091E5D"/>
    <w:rsid w:val="0009201E"/>
    <w:rsid w:val="00092264"/>
    <w:rsid w:val="00092677"/>
    <w:rsid w:val="00092D47"/>
    <w:rsid w:val="000934E7"/>
    <w:rsid w:val="000938B0"/>
    <w:rsid w:val="0009390E"/>
    <w:rsid w:val="000943E5"/>
    <w:rsid w:val="000952FC"/>
    <w:rsid w:val="0009596D"/>
    <w:rsid w:val="00096131"/>
    <w:rsid w:val="00096E26"/>
    <w:rsid w:val="000A0081"/>
    <w:rsid w:val="000A0BDC"/>
    <w:rsid w:val="000A1304"/>
    <w:rsid w:val="000A164F"/>
    <w:rsid w:val="000A2D2D"/>
    <w:rsid w:val="000A2E46"/>
    <w:rsid w:val="000A3639"/>
    <w:rsid w:val="000A3654"/>
    <w:rsid w:val="000A39FB"/>
    <w:rsid w:val="000A465B"/>
    <w:rsid w:val="000A4FD7"/>
    <w:rsid w:val="000A5019"/>
    <w:rsid w:val="000A53A6"/>
    <w:rsid w:val="000A5520"/>
    <w:rsid w:val="000A5842"/>
    <w:rsid w:val="000A605E"/>
    <w:rsid w:val="000A608C"/>
    <w:rsid w:val="000A60AA"/>
    <w:rsid w:val="000A6467"/>
    <w:rsid w:val="000A6B21"/>
    <w:rsid w:val="000A6C0A"/>
    <w:rsid w:val="000A6D0E"/>
    <w:rsid w:val="000A6D3E"/>
    <w:rsid w:val="000A7911"/>
    <w:rsid w:val="000A7C6F"/>
    <w:rsid w:val="000B0831"/>
    <w:rsid w:val="000B16CA"/>
    <w:rsid w:val="000B1D39"/>
    <w:rsid w:val="000B21D6"/>
    <w:rsid w:val="000B2775"/>
    <w:rsid w:val="000B3FE5"/>
    <w:rsid w:val="000B4220"/>
    <w:rsid w:val="000B428A"/>
    <w:rsid w:val="000B480F"/>
    <w:rsid w:val="000B53DC"/>
    <w:rsid w:val="000B5510"/>
    <w:rsid w:val="000B6392"/>
    <w:rsid w:val="000B6977"/>
    <w:rsid w:val="000B6A76"/>
    <w:rsid w:val="000C060F"/>
    <w:rsid w:val="000C07A6"/>
    <w:rsid w:val="000C1C2E"/>
    <w:rsid w:val="000C1F9B"/>
    <w:rsid w:val="000C2060"/>
    <w:rsid w:val="000C2161"/>
    <w:rsid w:val="000C2349"/>
    <w:rsid w:val="000C34CC"/>
    <w:rsid w:val="000C3A14"/>
    <w:rsid w:val="000C3BD0"/>
    <w:rsid w:val="000C48AA"/>
    <w:rsid w:val="000C5028"/>
    <w:rsid w:val="000C5314"/>
    <w:rsid w:val="000D0216"/>
    <w:rsid w:val="000D0448"/>
    <w:rsid w:val="000D0A29"/>
    <w:rsid w:val="000D1295"/>
    <w:rsid w:val="000D1343"/>
    <w:rsid w:val="000D215A"/>
    <w:rsid w:val="000D25D2"/>
    <w:rsid w:val="000D2D90"/>
    <w:rsid w:val="000D3A12"/>
    <w:rsid w:val="000D4226"/>
    <w:rsid w:val="000D4377"/>
    <w:rsid w:val="000D4693"/>
    <w:rsid w:val="000D4CC2"/>
    <w:rsid w:val="000D58AC"/>
    <w:rsid w:val="000D6E51"/>
    <w:rsid w:val="000D706F"/>
    <w:rsid w:val="000D778E"/>
    <w:rsid w:val="000E00F1"/>
    <w:rsid w:val="000E02BD"/>
    <w:rsid w:val="000E143D"/>
    <w:rsid w:val="000E1923"/>
    <w:rsid w:val="000E2634"/>
    <w:rsid w:val="000E307B"/>
    <w:rsid w:val="000E36B3"/>
    <w:rsid w:val="000E375B"/>
    <w:rsid w:val="000E3796"/>
    <w:rsid w:val="000E37AF"/>
    <w:rsid w:val="000E3C98"/>
    <w:rsid w:val="000E3D79"/>
    <w:rsid w:val="000E45EA"/>
    <w:rsid w:val="000E4679"/>
    <w:rsid w:val="000E4923"/>
    <w:rsid w:val="000E4AAC"/>
    <w:rsid w:val="000E58DF"/>
    <w:rsid w:val="000E5F35"/>
    <w:rsid w:val="000E60BB"/>
    <w:rsid w:val="000E60FF"/>
    <w:rsid w:val="000E653E"/>
    <w:rsid w:val="000E7AF8"/>
    <w:rsid w:val="000F10C1"/>
    <w:rsid w:val="000F14C0"/>
    <w:rsid w:val="000F160A"/>
    <w:rsid w:val="000F2908"/>
    <w:rsid w:val="000F2DEA"/>
    <w:rsid w:val="000F3447"/>
    <w:rsid w:val="000F48F3"/>
    <w:rsid w:val="000F497D"/>
    <w:rsid w:val="000F5B95"/>
    <w:rsid w:val="000F5D14"/>
    <w:rsid w:val="000F62C8"/>
    <w:rsid w:val="000F6403"/>
    <w:rsid w:val="000F6E0E"/>
    <w:rsid w:val="000F76C5"/>
    <w:rsid w:val="000F7E05"/>
    <w:rsid w:val="000F7FE6"/>
    <w:rsid w:val="00100505"/>
    <w:rsid w:val="00100ACA"/>
    <w:rsid w:val="001012BE"/>
    <w:rsid w:val="001014DE"/>
    <w:rsid w:val="00101853"/>
    <w:rsid w:val="001019C1"/>
    <w:rsid w:val="00101A99"/>
    <w:rsid w:val="00101FC4"/>
    <w:rsid w:val="00102297"/>
    <w:rsid w:val="001027CC"/>
    <w:rsid w:val="00102B01"/>
    <w:rsid w:val="001033C7"/>
    <w:rsid w:val="001037E0"/>
    <w:rsid w:val="00103829"/>
    <w:rsid w:val="001042AA"/>
    <w:rsid w:val="00104404"/>
    <w:rsid w:val="00105502"/>
    <w:rsid w:val="001056CE"/>
    <w:rsid w:val="0010577E"/>
    <w:rsid w:val="001065A1"/>
    <w:rsid w:val="00106E5A"/>
    <w:rsid w:val="001105EC"/>
    <w:rsid w:val="00110B52"/>
    <w:rsid w:val="00110BA6"/>
    <w:rsid w:val="00111FDD"/>
    <w:rsid w:val="00112113"/>
    <w:rsid w:val="001123CC"/>
    <w:rsid w:val="00113683"/>
    <w:rsid w:val="00113B25"/>
    <w:rsid w:val="00114235"/>
    <w:rsid w:val="00114435"/>
    <w:rsid w:val="001157DB"/>
    <w:rsid w:val="001157F5"/>
    <w:rsid w:val="00115D47"/>
    <w:rsid w:val="0011734C"/>
    <w:rsid w:val="001173AD"/>
    <w:rsid w:val="00120807"/>
    <w:rsid w:val="0012082A"/>
    <w:rsid w:val="00120F90"/>
    <w:rsid w:val="00121C25"/>
    <w:rsid w:val="001225D0"/>
    <w:rsid w:val="00123011"/>
    <w:rsid w:val="001230FB"/>
    <w:rsid w:val="001233D0"/>
    <w:rsid w:val="00123702"/>
    <w:rsid w:val="0012427B"/>
    <w:rsid w:val="00125A46"/>
    <w:rsid w:val="00125C26"/>
    <w:rsid w:val="00126A52"/>
    <w:rsid w:val="00127202"/>
    <w:rsid w:val="0012759F"/>
    <w:rsid w:val="001277BC"/>
    <w:rsid w:val="001302D3"/>
    <w:rsid w:val="0013081B"/>
    <w:rsid w:val="00130E93"/>
    <w:rsid w:val="00130FE2"/>
    <w:rsid w:val="00132172"/>
    <w:rsid w:val="001322EF"/>
    <w:rsid w:val="00132804"/>
    <w:rsid w:val="001349B2"/>
    <w:rsid w:val="0013559E"/>
    <w:rsid w:val="00135674"/>
    <w:rsid w:val="00135C3F"/>
    <w:rsid w:val="0013675C"/>
    <w:rsid w:val="00136CBF"/>
    <w:rsid w:val="00136CE3"/>
    <w:rsid w:val="00137983"/>
    <w:rsid w:val="0014117F"/>
    <w:rsid w:val="0014139F"/>
    <w:rsid w:val="001417A1"/>
    <w:rsid w:val="0014257D"/>
    <w:rsid w:val="00142B30"/>
    <w:rsid w:val="00142BC9"/>
    <w:rsid w:val="00142C4C"/>
    <w:rsid w:val="00144873"/>
    <w:rsid w:val="00145D6D"/>
    <w:rsid w:val="001460EF"/>
    <w:rsid w:val="00146730"/>
    <w:rsid w:val="001469E1"/>
    <w:rsid w:val="00146ED3"/>
    <w:rsid w:val="00147F20"/>
    <w:rsid w:val="00150039"/>
    <w:rsid w:val="001501BA"/>
    <w:rsid w:val="001501DC"/>
    <w:rsid w:val="001502CF"/>
    <w:rsid w:val="001516F3"/>
    <w:rsid w:val="00151E4A"/>
    <w:rsid w:val="00151FD3"/>
    <w:rsid w:val="00152831"/>
    <w:rsid w:val="0015284D"/>
    <w:rsid w:val="00152CAF"/>
    <w:rsid w:val="00152CCA"/>
    <w:rsid w:val="00152EC9"/>
    <w:rsid w:val="00153E9D"/>
    <w:rsid w:val="00154CA2"/>
    <w:rsid w:val="00155056"/>
    <w:rsid w:val="001550B0"/>
    <w:rsid w:val="001551A8"/>
    <w:rsid w:val="00155886"/>
    <w:rsid w:val="00157627"/>
    <w:rsid w:val="00157AF7"/>
    <w:rsid w:val="001602DF"/>
    <w:rsid w:val="001607FC"/>
    <w:rsid w:val="00161218"/>
    <w:rsid w:val="00161D51"/>
    <w:rsid w:val="00162149"/>
    <w:rsid w:val="00162695"/>
    <w:rsid w:val="00162CA2"/>
    <w:rsid w:val="001630CC"/>
    <w:rsid w:val="00163598"/>
    <w:rsid w:val="001638ED"/>
    <w:rsid w:val="00163FC2"/>
    <w:rsid w:val="0016469F"/>
    <w:rsid w:val="0016489C"/>
    <w:rsid w:val="00167275"/>
    <w:rsid w:val="00167300"/>
    <w:rsid w:val="00167733"/>
    <w:rsid w:val="00167F90"/>
    <w:rsid w:val="0017003D"/>
    <w:rsid w:val="00170D52"/>
    <w:rsid w:val="00171535"/>
    <w:rsid w:val="001721B1"/>
    <w:rsid w:val="00172C66"/>
    <w:rsid w:val="001733FC"/>
    <w:rsid w:val="0017505D"/>
    <w:rsid w:val="00175A6F"/>
    <w:rsid w:val="001768E9"/>
    <w:rsid w:val="00177335"/>
    <w:rsid w:val="00177557"/>
    <w:rsid w:val="00177666"/>
    <w:rsid w:val="00177791"/>
    <w:rsid w:val="001777D8"/>
    <w:rsid w:val="00180258"/>
    <w:rsid w:val="00180611"/>
    <w:rsid w:val="00182608"/>
    <w:rsid w:val="0018312B"/>
    <w:rsid w:val="00183F62"/>
    <w:rsid w:val="0018404B"/>
    <w:rsid w:val="00185272"/>
    <w:rsid w:val="00186293"/>
    <w:rsid w:val="00186867"/>
    <w:rsid w:val="00186DC9"/>
    <w:rsid w:val="00186F5C"/>
    <w:rsid w:val="00187A8A"/>
    <w:rsid w:val="00190200"/>
    <w:rsid w:val="00190599"/>
    <w:rsid w:val="001909DB"/>
    <w:rsid w:val="00191180"/>
    <w:rsid w:val="00191A80"/>
    <w:rsid w:val="00192047"/>
    <w:rsid w:val="00192652"/>
    <w:rsid w:val="001927B2"/>
    <w:rsid w:val="00192FDC"/>
    <w:rsid w:val="001938F1"/>
    <w:rsid w:val="00193F34"/>
    <w:rsid w:val="0019538D"/>
    <w:rsid w:val="001954A2"/>
    <w:rsid w:val="00195B76"/>
    <w:rsid w:val="00195C47"/>
    <w:rsid w:val="0019632D"/>
    <w:rsid w:val="001967FE"/>
    <w:rsid w:val="00196A91"/>
    <w:rsid w:val="00196DC7"/>
    <w:rsid w:val="00197530"/>
    <w:rsid w:val="00197906"/>
    <w:rsid w:val="00197E11"/>
    <w:rsid w:val="001A020E"/>
    <w:rsid w:val="001A029C"/>
    <w:rsid w:val="001A09AE"/>
    <w:rsid w:val="001A0ACD"/>
    <w:rsid w:val="001A1090"/>
    <w:rsid w:val="001A11DC"/>
    <w:rsid w:val="001A1AF8"/>
    <w:rsid w:val="001A1DE0"/>
    <w:rsid w:val="001A26A8"/>
    <w:rsid w:val="001A2A62"/>
    <w:rsid w:val="001A2B0A"/>
    <w:rsid w:val="001A2F18"/>
    <w:rsid w:val="001A2FB7"/>
    <w:rsid w:val="001A364A"/>
    <w:rsid w:val="001A4FA1"/>
    <w:rsid w:val="001A6552"/>
    <w:rsid w:val="001A7097"/>
    <w:rsid w:val="001A7578"/>
    <w:rsid w:val="001B00D0"/>
    <w:rsid w:val="001B01D6"/>
    <w:rsid w:val="001B07FA"/>
    <w:rsid w:val="001B099E"/>
    <w:rsid w:val="001B10C5"/>
    <w:rsid w:val="001B1907"/>
    <w:rsid w:val="001B2BA2"/>
    <w:rsid w:val="001B31F5"/>
    <w:rsid w:val="001B3A96"/>
    <w:rsid w:val="001B3F95"/>
    <w:rsid w:val="001B4147"/>
    <w:rsid w:val="001B47D8"/>
    <w:rsid w:val="001B4C6C"/>
    <w:rsid w:val="001B5AB6"/>
    <w:rsid w:val="001B6173"/>
    <w:rsid w:val="001B6845"/>
    <w:rsid w:val="001B701F"/>
    <w:rsid w:val="001B7758"/>
    <w:rsid w:val="001B7A9D"/>
    <w:rsid w:val="001B7CEA"/>
    <w:rsid w:val="001C002F"/>
    <w:rsid w:val="001C16FF"/>
    <w:rsid w:val="001C17DD"/>
    <w:rsid w:val="001C1ECB"/>
    <w:rsid w:val="001C24EC"/>
    <w:rsid w:val="001C2590"/>
    <w:rsid w:val="001C2CDC"/>
    <w:rsid w:val="001C3168"/>
    <w:rsid w:val="001C3238"/>
    <w:rsid w:val="001C33EB"/>
    <w:rsid w:val="001C4109"/>
    <w:rsid w:val="001C41DF"/>
    <w:rsid w:val="001C4F39"/>
    <w:rsid w:val="001C58FB"/>
    <w:rsid w:val="001C5AA2"/>
    <w:rsid w:val="001C5ABB"/>
    <w:rsid w:val="001C63A3"/>
    <w:rsid w:val="001C6853"/>
    <w:rsid w:val="001C6903"/>
    <w:rsid w:val="001C6D79"/>
    <w:rsid w:val="001C7051"/>
    <w:rsid w:val="001C7D06"/>
    <w:rsid w:val="001C7D43"/>
    <w:rsid w:val="001D0120"/>
    <w:rsid w:val="001D018F"/>
    <w:rsid w:val="001D06CA"/>
    <w:rsid w:val="001D0DA5"/>
    <w:rsid w:val="001D2850"/>
    <w:rsid w:val="001D2E32"/>
    <w:rsid w:val="001D350F"/>
    <w:rsid w:val="001D407A"/>
    <w:rsid w:val="001D516F"/>
    <w:rsid w:val="001D5608"/>
    <w:rsid w:val="001D6173"/>
    <w:rsid w:val="001D6F3D"/>
    <w:rsid w:val="001D7DC6"/>
    <w:rsid w:val="001E0802"/>
    <w:rsid w:val="001E0A6C"/>
    <w:rsid w:val="001E18BF"/>
    <w:rsid w:val="001E2EC3"/>
    <w:rsid w:val="001E3BA4"/>
    <w:rsid w:val="001E48F4"/>
    <w:rsid w:val="001E4A89"/>
    <w:rsid w:val="001E5220"/>
    <w:rsid w:val="001E5334"/>
    <w:rsid w:val="001E5BB3"/>
    <w:rsid w:val="001E61AB"/>
    <w:rsid w:val="001E6356"/>
    <w:rsid w:val="001F029F"/>
    <w:rsid w:val="001F0720"/>
    <w:rsid w:val="001F108E"/>
    <w:rsid w:val="001F10C7"/>
    <w:rsid w:val="001F1587"/>
    <w:rsid w:val="001F3577"/>
    <w:rsid w:val="001F361A"/>
    <w:rsid w:val="001F3BB3"/>
    <w:rsid w:val="001F3DAB"/>
    <w:rsid w:val="001F412C"/>
    <w:rsid w:val="001F4623"/>
    <w:rsid w:val="001F5427"/>
    <w:rsid w:val="001F566B"/>
    <w:rsid w:val="001F5DC9"/>
    <w:rsid w:val="001F61B4"/>
    <w:rsid w:val="001F64C0"/>
    <w:rsid w:val="001F66DC"/>
    <w:rsid w:val="001F69BC"/>
    <w:rsid w:val="001F6DB8"/>
    <w:rsid w:val="001F7246"/>
    <w:rsid w:val="001F7B15"/>
    <w:rsid w:val="001F7BC3"/>
    <w:rsid w:val="002004F7"/>
    <w:rsid w:val="0020057E"/>
    <w:rsid w:val="00201369"/>
    <w:rsid w:val="00201584"/>
    <w:rsid w:val="00201792"/>
    <w:rsid w:val="00202449"/>
    <w:rsid w:val="00202594"/>
    <w:rsid w:val="00202BB9"/>
    <w:rsid w:val="002032A8"/>
    <w:rsid w:val="002034D4"/>
    <w:rsid w:val="00203651"/>
    <w:rsid w:val="00203AAA"/>
    <w:rsid w:val="00204C61"/>
    <w:rsid w:val="00204DF2"/>
    <w:rsid w:val="00205727"/>
    <w:rsid w:val="002058A1"/>
    <w:rsid w:val="00205E37"/>
    <w:rsid w:val="00206220"/>
    <w:rsid w:val="002063B3"/>
    <w:rsid w:val="0020653D"/>
    <w:rsid w:val="0020696B"/>
    <w:rsid w:val="00206AA3"/>
    <w:rsid w:val="00206C73"/>
    <w:rsid w:val="00206FC2"/>
    <w:rsid w:val="00207074"/>
    <w:rsid w:val="00207F44"/>
    <w:rsid w:val="002102B0"/>
    <w:rsid w:val="00210781"/>
    <w:rsid w:val="0021217F"/>
    <w:rsid w:val="002121F8"/>
    <w:rsid w:val="00212509"/>
    <w:rsid w:val="00212CBA"/>
    <w:rsid w:val="00213685"/>
    <w:rsid w:val="00214268"/>
    <w:rsid w:val="002144A1"/>
    <w:rsid w:val="002145B9"/>
    <w:rsid w:val="002145C1"/>
    <w:rsid w:val="002159CA"/>
    <w:rsid w:val="002166B0"/>
    <w:rsid w:val="00216D85"/>
    <w:rsid w:val="0021783C"/>
    <w:rsid w:val="00220350"/>
    <w:rsid w:val="00220635"/>
    <w:rsid w:val="0022063F"/>
    <w:rsid w:val="00220A33"/>
    <w:rsid w:val="00221156"/>
    <w:rsid w:val="002227BC"/>
    <w:rsid w:val="00222DE7"/>
    <w:rsid w:val="0022322B"/>
    <w:rsid w:val="00223DE1"/>
    <w:rsid w:val="00224304"/>
    <w:rsid w:val="00224343"/>
    <w:rsid w:val="00224D9A"/>
    <w:rsid w:val="00225108"/>
    <w:rsid w:val="002252DB"/>
    <w:rsid w:val="002253D6"/>
    <w:rsid w:val="002253DA"/>
    <w:rsid w:val="00225F0B"/>
    <w:rsid w:val="00226D0B"/>
    <w:rsid w:val="00227213"/>
    <w:rsid w:val="0022729B"/>
    <w:rsid w:val="00227345"/>
    <w:rsid w:val="00227C2B"/>
    <w:rsid w:val="00230D3F"/>
    <w:rsid w:val="00231A84"/>
    <w:rsid w:val="00232231"/>
    <w:rsid w:val="0023297C"/>
    <w:rsid w:val="00232D7B"/>
    <w:rsid w:val="00233BA8"/>
    <w:rsid w:val="00233E8D"/>
    <w:rsid w:val="0023557F"/>
    <w:rsid w:val="00235A43"/>
    <w:rsid w:val="00235BDD"/>
    <w:rsid w:val="00236710"/>
    <w:rsid w:val="002370C6"/>
    <w:rsid w:val="0023738E"/>
    <w:rsid w:val="00237407"/>
    <w:rsid w:val="00237D9A"/>
    <w:rsid w:val="002405DF"/>
    <w:rsid w:val="00240E95"/>
    <w:rsid w:val="00241031"/>
    <w:rsid w:val="002412F1"/>
    <w:rsid w:val="002424E6"/>
    <w:rsid w:val="00242593"/>
    <w:rsid w:val="00242A11"/>
    <w:rsid w:val="00242D65"/>
    <w:rsid w:val="002437CE"/>
    <w:rsid w:val="002439F4"/>
    <w:rsid w:val="00244083"/>
    <w:rsid w:val="00244946"/>
    <w:rsid w:val="00244F8C"/>
    <w:rsid w:val="002457D8"/>
    <w:rsid w:val="00246BB5"/>
    <w:rsid w:val="0024708F"/>
    <w:rsid w:val="00247247"/>
    <w:rsid w:val="00247C9A"/>
    <w:rsid w:val="00250457"/>
    <w:rsid w:val="0025095A"/>
    <w:rsid w:val="00251A2F"/>
    <w:rsid w:val="00251AEE"/>
    <w:rsid w:val="002521F8"/>
    <w:rsid w:val="00252282"/>
    <w:rsid w:val="0025258B"/>
    <w:rsid w:val="0025278C"/>
    <w:rsid w:val="0025347C"/>
    <w:rsid w:val="0025357C"/>
    <w:rsid w:val="00253626"/>
    <w:rsid w:val="002536E6"/>
    <w:rsid w:val="00253A2D"/>
    <w:rsid w:val="00253E76"/>
    <w:rsid w:val="002542F3"/>
    <w:rsid w:val="00254457"/>
    <w:rsid w:val="00254A1B"/>
    <w:rsid w:val="00255262"/>
    <w:rsid w:val="00255628"/>
    <w:rsid w:val="00255A27"/>
    <w:rsid w:val="00255A58"/>
    <w:rsid w:val="00256E77"/>
    <w:rsid w:val="00256F41"/>
    <w:rsid w:val="0025741D"/>
    <w:rsid w:val="00257D63"/>
    <w:rsid w:val="0026012D"/>
    <w:rsid w:val="00260261"/>
    <w:rsid w:val="00260332"/>
    <w:rsid w:val="0026051E"/>
    <w:rsid w:val="00260C4D"/>
    <w:rsid w:val="0026132C"/>
    <w:rsid w:val="00261C3C"/>
    <w:rsid w:val="002625AA"/>
    <w:rsid w:val="002627ED"/>
    <w:rsid w:val="00262E21"/>
    <w:rsid w:val="00262EF2"/>
    <w:rsid w:val="002635D2"/>
    <w:rsid w:val="00265D78"/>
    <w:rsid w:val="00265EBA"/>
    <w:rsid w:val="0026654A"/>
    <w:rsid w:val="00266F14"/>
    <w:rsid w:val="0026742F"/>
    <w:rsid w:val="002674AA"/>
    <w:rsid w:val="00267671"/>
    <w:rsid w:val="0026768A"/>
    <w:rsid w:val="00270832"/>
    <w:rsid w:val="002709F5"/>
    <w:rsid w:val="00270E6D"/>
    <w:rsid w:val="00271221"/>
    <w:rsid w:val="0027196C"/>
    <w:rsid w:val="00272B3E"/>
    <w:rsid w:val="00273051"/>
    <w:rsid w:val="00273A6A"/>
    <w:rsid w:val="00273BFD"/>
    <w:rsid w:val="00274550"/>
    <w:rsid w:val="00274875"/>
    <w:rsid w:val="002749ED"/>
    <w:rsid w:val="00275203"/>
    <w:rsid w:val="0027598B"/>
    <w:rsid w:val="0027671E"/>
    <w:rsid w:val="002774C0"/>
    <w:rsid w:val="002778A9"/>
    <w:rsid w:val="00277B60"/>
    <w:rsid w:val="00277CED"/>
    <w:rsid w:val="002802DA"/>
    <w:rsid w:val="00280842"/>
    <w:rsid w:val="00280973"/>
    <w:rsid w:val="0028157B"/>
    <w:rsid w:val="002815BF"/>
    <w:rsid w:val="00281E18"/>
    <w:rsid w:val="00282571"/>
    <w:rsid w:val="0028258C"/>
    <w:rsid w:val="00283939"/>
    <w:rsid w:val="002851EB"/>
    <w:rsid w:val="00285263"/>
    <w:rsid w:val="002854AF"/>
    <w:rsid w:val="00285DEF"/>
    <w:rsid w:val="00287055"/>
    <w:rsid w:val="00287BF1"/>
    <w:rsid w:val="002923E7"/>
    <w:rsid w:val="0029263A"/>
    <w:rsid w:val="002926FC"/>
    <w:rsid w:val="00292AE2"/>
    <w:rsid w:val="00293066"/>
    <w:rsid w:val="00293403"/>
    <w:rsid w:val="002939FD"/>
    <w:rsid w:val="00294046"/>
    <w:rsid w:val="00294BEC"/>
    <w:rsid w:val="00294E25"/>
    <w:rsid w:val="002957A9"/>
    <w:rsid w:val="00295955"/>
    <w:rsid w:val="002961F8"/>
    <w:rsid w:val="00296CAB"/>
    <w:rsid w:val="002A01CD"/>
    <w:rsid w:val="002A05C3"/>
    <w:rsid w:val="002A097E"/>
    <w:rsid w:val="002A1671"/>
    <w:rsid w:val="002A2495"/>
    <w:rsid w:val="002A2639"/>
    <w:rsid w:val="002A2E1D"/>
    <w:rsid w:val="002A3174"/>
    <w:rsid w:val="002A561F"/>
    <w:rsid w:val="002A5637"/>
    <w:rsid w:val="002A6070"/>
    <w:rsid w:val="002A7A2D"/>
    <w:rsid w:val="002B01AA"/>
    <w:rsid w:val="002B0558"/>
    <w:rsid w:val="002B0978"/>
    <w:rsid w:val="002B0C4E"/>
    <w:rsid w:val="002B0F2F"/>
    <w:rsid w:val="002B0FA0"/>
    <w:rsid w:val="002B1064"/>
    <w:rsid w:val="002B18E1"/>
    <w:rsid w:val="002B1D39"/>
    <w:rsid w:val="002B1DCE"/>
    <w:rsid w:val="002B25DC"/>
    <w:rsid w:val="002B32DA"/>
    <w:rsid w:val="002B3E47"/>
    <w:rsid w:val="002B463D"/>
    <w:rsid w:val="002B47FF"/>
    <w:rsid w:val="002B4D17"/>
    <w:rsid w:val="002B5482"/>
    <w:rsid w:val="002B5A5C"/>
    <w:rsid w:val="002B6BC9"/>
    <w:rsid w:val="002B6D9A"/>
    <w:rsid w:val="002B7FEF"/>
    <w:rsid w:val="002C0CE6"/>
    <w:rsid w:val="002C12FA"/>
    <w:rsid w:val="002C2D5D"/>
    <w:rsid w:val="002C3184"/>
    <w:rsid w:val="002C5865"/>
    <w:rsid w:val="002C6019"/>
    <w:rsid w:val="002C628E"/>
    <w:rsid w:val="002C642D"/>
    <w:rsid w:val="002C7B84"/>
    <w:rsid w:val="002C7FA1"/>
    <w:rsid w:val="002D093C"/>
    <w:rsid w:val="002D09DD"/>
    <w:rsid w:val="002D1C65"/>
    <w:rsid w:val="002D1E03"/>
    <w:rsid w:val="002D2221"/>
    <w:rsid w:val="002D27C9"/>
    <w:rsid w:val="002D2A0B"/>
    <w:rsid w:val="002D3C01"/>
    <w:rsid w:val="002D41DC"/>
    <w:rsid w:val="002D4369"/>
    <w:rsid w:val="002D5478"/>
    <w:rsid w:val="002D5517"/>
    <w:rsid w:val="002D56C3"/>
    <w:rsid w:val="002D58B2"/>
    <w:rsid w:val="002D59B7"/>
    <w:rsid w:val="002D6612"/>
    <w:rsid w:val="002D6701"/>
    <w:rsid w:val="002D69C2"/>
    <w:rsid w:val="002D757F"/>
    <w:rsid w:val="002D7E3B"/>
    <w:rsid w:val="002E09DA"/>
    <w:rsid w:val="002E0B0F"/>
    <w:rsid w:val="002E106F"/>
    <w:rsid w:val="002E1117"/>
    <w:rsid w:val="002E11F1"/>
    <w:rsid w:val="002E224B"/>
    <w:rsid w:val="002E28BA"/>
    <w:rsid w:val="002E2A38"/>
    <w:rsid w:val="002E2D22"/>
    <w:rsid w:val="002E2FC3"/>
    <w:rsid w:val="002E308C"/>
    <w:rsid w:val="002E36AE"/>
    <w:rsid w:val="002E39FB"/>
    <w:rsid w:val="002E4754"/>
    <w:rsid w:val="002E53DB"/>
    <w:rsid w:val="002E5A22"/>
    <w:rsid w:val="002E5AB3"/>
    <w:rsid w:val="002E5F80"/>
    <w:rsid w:val="002E619A"/>
    <w:rsid w:val="002E6931"/>
    <w:rsid w:val="002E6DDB"/>
    <w:rsid w:val="002E6F29"/>
    <w:rsid w:val="002E7C0A"/>
    <w:rsid w:val="002E7F6E"/>
    <w:rsid w:val="002F0B45"/>
    <w:rsid w:val="002F1C4C"/>
    <w:rsid w:val="002F1E63"/>
    <w:rsid w:val="002F2CDF"/>
    <w:rsid w:val="002F2E21"/>
    <w:rsid w:val="002F3D74"/>
    <w:rsid w:val="002F54B2"/>
    <w:rsid w:val="002F65E6"/>
    <w:rsid w:val="002F660B"/>
    <w:rsid w:val="002F6729"/>
    <w:rsid w:val="002F6A61"/>
    <w:rsid w:val="002F6D81"/>
    <w:rsid w:val="002F6E2F"/>
    <w:rsid w:val="002F708F"/>
    <w:rsid w:val="002F7CDF"/>
    <w:rsid w:val="00300312"/>
    <w:rsid w:val="003003CE"/>
    <w:rsid w:val="0030304C"/>
    <w:rsid w:val="00303806"/>
    <w:rsid w:val="00304193"/>
    <w:rsid w:val="00304253"/>
    <w:rsid w:val="00305163"/>
    <w:rsid w:val="00305CE7"/>
    <w:rsid w:val="00306049"/>
    <w:rsid w:val="0030612E"/>
    <w:rsid w:val="003062F9"/>
    <w:rsid w:val="00306BC4"/>
    <w:rsid w:val="00307FEB"/>
    <w:rsid w:val="003103B8"/>
    <w:rsid w:val="00310422"/>
    <w:rsid w:val="003105E4"/>
    <w:rsid w:val="003118E3"/>
    <w:rsid w:val="00311F36"/>
    <w:rsid w:val="00312112"/>
    <w:rsid w:val="00312213"/>
    <w:rsid w:val="00312679"/>
    <w:rsid w:val="0031331E"/>
    <w:rsid w:val="00313F0F"/>
    <w:rsid w:val="00314448"/>
    <w:rsid w:val="00314767"/>
    <w:rsid w:val="00314F38"/>
    <w:rsid w:val="00315A18"/>
    <w:rsid w:val="00315DB9"/>
    <w:rsid w:val="0031650E"/>
    <w:rsid w:val="00316577"/>
    <w:rsid w:val="00316921"/>
    <w:rsid w:val="003169DB"/>
    <w:rsid w:val="00316E2A"/>
    <w:rsid w:val="00317291"/>
    <w:rsid w:val="00317C18"/>
    <w:rsid w:val="003200DF"/>
    <w:rsid w:val="00320214"/>
    <w:rsid w:val="0032091E"/>
    <w:rsid w:val="0032187F"/>
    <w:rsid w:val="003231F6"/>
    <w:rsid w:val="00323251"/>
    <w:rsid w:val="003237A9"/>
    <w:rsid w:val="00324166"/>
    <w:rsid w:val="00324BB8"/>
    <w:rsid w:val="00326727"/>
    <w:rsid w:val="00327F1D"/>
    <w:rsid w:val="00327F2F"/>
    <w:rsid w:val="003308B6"/>
    <w:rsid w:val="0033091D"/>
    <w:rsid w:val="003314E5"/>
    <w:rsid w:val="00331A3E"/>
    <w:rsid w:val="00331AEE"/>
    <w:rsid w:val="00332074"/>
    <w:rsid w:val="00332C3A"/>
    <w:rsid w:val="00333F55"/>
    <w:rsid w:val="003349E9"/>
    <w:rsid w:val="003360D5"/>
    <w:rsid w:val="00336463"/>
    <w:rsid w:val="00336A1C"/>
    <w:rsid w:val="00336D59"/>
    <w:rsid w:val="00336E02"/>
    <w:rsid w:val="0033729C"/>
    <w:rsid w:val="00337FA2"/>
    <w:rsid w:val="003405EB"/>
    <w:rsid w:val="003417CC"/>
    <w:rsid w:val="00341AE7"/>
    <w:rsid w:val="0034214B"/>
    <w:rsid w:val="00342470"/>
    <w:rsid w:val="0034265C"/>
    <w:rsid w:val="00342DA9"/>
    <w:rsid w:val="003445F6"/>
    <w:rsid w:val="00344D58"/>
    <w:rsid w:val="003451A6"/>
    <w:rsid w:val="00345B38"/>
    <w:rsid w:val="00345BB3"/>
    <w:rsid w:val="003467DE"/>
    <w:rsid w:val="00347542"/>
    <w:rsid w:val="00347803"/>
    <w:rsid w:val="00347C77"/>
    <w:rsid w:val="00350116"/>
    <w:rsid w:val="003501F9"/>
    <w:rsid w:val="00350398"/>
    <w:rsid w:val="00351F4F"/>
    <w:rsid w:val="00352BED"/>
    <w:rsid w:val="003531D1"/>
    <w:rsid w:val="00353497"/>
    <w:rsid w:val="00353B96"/>
    <w:rsid w:val="00353C0C"/>
    <w:rsid w:val="003545CB"/>
    <w:rsid w:val="00355167"/>
    <w:rsid w:val="00356131"/>
    <w:rsid w:val="003570E4"/>
    <w:rsid w:val="00357245"/>
    <w:rsid w:val="00357D61"/>
    <w:rsid w:val="003615FC"/>
    <w:rsid w:val="003625F5"/>
    <w:rsid w:val="00363371"/>
    <w:rsid w:val="00363A10"/>
    <w:rsid w:val="00364DEB"/>
    <w:rsid w:val="003666FC"/>
    <w:rsid w:val="00366B5A"/>
    <w:rsid w:val="00366BDF"/>
    <w:rsid w:val="003676CF"/>
    <w:rsid w:val="00367AB0"/>
    <w:rsid w:val="00367B36"/>
    <w:rsid w:val="00367F3F"/>
    <w:rsid w:val="00370E88"/>
    <w:rsid w:val="00370F6C"/>
    <w:rsid w:val="003714EC"/>
    <w:rsid w:val="0037251B"/>
    <w:rsid w:val="003727A4"/>
    <w:rsid w:val="00373887"/>
    <w:rsid w:val="00373A55"/>
    <w:rsid w:val="00373A93"/>
    <w:rsid w:val="00374617"/>
    <w:rsid w:val="003751B9"/>
    <w:rsid w:val="00375DF7"/>
    <w:rsid w:val="003765CE"/>
    <w:rsid w:val="0037662C"/>
    <w:rsid w:val="003766E2"/>
    <w:rsid w:val="003766EE"/>
    <w:rsid w:val="00376733"/>
    <w:rsid w:val="00376AA4"/>
    <w:rsid w:val="00376B47"/>
    <w:rsid w:val="00380919"/>
    <w:rsid w:val="0038109A"/>
    <w:rsid w:val="003813D2"/>
    <w:rsid w:val="00381A4B"/>
    <w:rsid w:val="003824E3"/>
    <w:rsid w:val="003828A3"/>
    <w:rsid w:val="00382997"/>
    <w:rsid w:val="003835B7"/>
    <w:rsid w:val="00383B8A"/>
    <w:rsid w:val="00383C20"/>
    <w:rsid w:val="0038430F"/>
    <w:rsid w:val="003845DD"/>
    <w:rsid w:val="00385917"/>
    <w:rsid w:val="0038672F"/>
    <w:rsid w:val="00386CED"/>
    <w:rsid w:val="00386F09"/>
    <w:rsid w:val="00387082"/>
    <w:rsid w:val="0038751B"/>
    <w:rsid w:val="003876EF"/>
    <w:rsid w:val="00387859"/>
    <w:rsid w:val="00387EE3"/>
    <w:rsid w:val="00390923"/>
    <w:rsid w:val="00390F43"/>
    <w:rsid w:val="003925F1"/>
    <w:rsid w:val="0039269D"/>
    <w:rsid w:val="00393434"/>
    <w:rsid w:val="00394338"/>
    <w:rsid w:val="003945DC"/>
    <w:rsid w:val="00395073"/>
    <w:rsid w:val="00397A14"/>
    <w:rsid w:val="003A0677"/>
    <w:rsid w:val="003A0E6D"/>
    <w:rsid w:val="003A2AF1"/>
    <w:rsid w:val="003A2F99"/>
    <w:rsid w:val="003A4C7F"/>
    <w:rsid w:val="003A4FBF"/>
    <w:rsid w:val="003A5234"/>
    <w:rsid w:val="003A541B"/>
    <w:rsid w:val="003A6C15"/>
    <w:rsid w:val="003A76C8"/>
    <w:rsid w:val="003A7F4E"/>
    <w:rsid w:val="003A7FE7"/>
    <w:rsid w:val="003B01B8"/>
    <w:rsid w:val="003B1C52"/>
    <w:rsid w:val="003B1ED6"/>
    <w:rsid w:val="003B2514"/>
    <w:rsid w:val="003B279C"/>
    <w:rsid w:val="003B2DDA"/>
    <w:rsid w:val="003B2E66"/>
    <w:rsid w:val="003B333E"/>
    <w:rsid w:val="003B3541"/>
    <w:rsid w:val="003B3DFA"/>
    <w:rsid w:val="003B4109"/>
    <w:rsid w:val="003B43F8"/>
    <w:rsid w:val="003B47F2"/>
    <w:rsid w:val="003B48D5"/>
    <w:rsid w:val="003B49F9"/>
    <w:rsid w:val="003B4D4A"/>
    <w:rsid w:val="003B6509"/>
    <w:rsid w:val="003B6F78"/>
    <w:rsid w:val="003B751C"/>
    <w:rsid w:val="003B7AD1"/>
    <w:rsid w:val="003B7CBA"/>
    <w:rsid w:val="003C053A"/>
    <w:rsid w:val="003C0621"/>
    <w:rsid w:val="003C14E2"/>
    <w:rsid w:val="003C1C9A"/>
    <w:rsid w:val="003C239A"/>
    <w:rsid w:val="003C246E"/>
    <w:rsid w:val="003C2A07"/>
    <w:rsid w:val="003C2C29"/>
    <w:rsid w:val="003C4066"/>
    <w:rsid w:val="003C41F2"/>
    <w:rsid w:val="003C45E4"/>
    <w:rsid w:val="003C59F1"/>
    <w:rsid w:val="003C5BBC"/>
    <w:rsid w:val="003C5CF9"/>
    <w:rsid w:val="003C5DFD"/>
    <w:rsid w:val="003C6CD6"/>
    <w:rsid w:val="003C73C9"/>
    <w:rsid w:val="003C74A7"/>
    <w:rsid w:val="003D0AB1"/>
    <w:rsid w:val="003D1D62"/>
    <w:rsid w:val="003D2965"/>
    <w:rsid w:val="003D37A3"/>
    <w:rsid w:val="003D3E14"/>
    <w:rsid w:val="003D509D"/>
    <w:rsid w:val="003D62D2"/>
    <w:rsid w:val="003D6988"/>
    <w:rsid w:val="003D708E"/>
    <w:rsid w:val="003D731D"/>
    <w:rsid w:val="003D782B"/>
    <w:rsid w:val="003D7B40"/>
    <w:rsid w:val="003E00C9"/>
    <w:rsid w:val="003E164B"/>
    <w:rsid w:val="003E2858"/>
    <w:rsid w:val="003E2FF9"/>
    <w:rsid w:val="003E32AE"/>
    <w:rsid w:val="003E36E4"/>
    <w:rsid w:val="003E3A47"/>
    <w:rsid w:val="003E42DA"/>
    <w:rsid w:val="003E5250"/>
    <w:rsid w:val="003E5462"/>
    <w:rsid w:val="003E5898"/>
    <w:rsid w:val="003E59DC"/>
    <w:rsid w:val="003E5E67"/>
    <w:rsid w:val="003E5F8A"/>
    <w:rsid w:val="003E6832"/>
    <w:rsid w:val="003E6D82"/>
    <w:rsid w:val="003E703A"/>
    <w:rsid w:val="003E7750"/>
    <w:rsid w:val="003E7C4A"/>
    <w:rsid w:val="003F052F"/>
    <w:rsid w:val="003F09AA"/>
    <w:rsid w:val="003F09D3"/>
    <w:rsid w:val="003F10B7"/>
    <w:rsid w:val="003F1F10"/>
    <w:rsid w:val="003F2B01"/>
    <w:rsid w:val="003F2DB7"/>
    <w:rsid w:val="003F41C1"/>
    <w:rsid w:val="003F4639"/>
    <w:rsid w:val="003F58AA"/>
    <w:rsid w:val="003F66B5"/>
    <w:rsid w:val="003F67E1"/>
    <w:rsid w:val="003F6CA8"/>
    <w:rsid w:val="003F77D2"/>
    <w:rsid w:val="004003AF"/>
    <w:rsid w:val="004003DB"/>
    <w:rsid w:val="0040154D"/>
    <w:rsid w:val="00401B75"/>
    <w:rsid w:val="00402065"/>
    <w:rsid w:val="00402630"/>
    <w:rsid w:val="00402E18"/>
    <w:rsid w:val="00403529"/>
    <w:rsid w:val="00403E21"/>
    <w:rsid w:val="00403EED"/>
    <w:rsid w:val="004044D7"/>
    <w:rsid w:val="00404A47"/>
    <w:rsid w:val="00406612"/>
    <w:rsid w:val="004066C9"/>
    <w:rsid w:val="004067AC"/>
    <w:rsid w:val="004068DA"/>
    <w:rsid w:val="00406ACB"/>
    <w:rsid w:val="00407AAA"/>
    <w:rsid w:val="00410058"/>
    <w:rsid w:val="00410347"/>
    <w:rsid w:val="00410955"/>
    <w:rsid w:val="0041096F"/>
    <w:rsid w:val="00410A02"/>
    <w:rsid w:val="004111DC"/>
    <w:rsid w:val="00412555"/>
    <w:rsid w:val="004125CB"/>
    <w:rsid w:val="00412AC4"/>
    <w:rsid w:val="00412BFA"/>
    <w:rsid w:val="00413535"/>
    <w:rsid w:val="00413A8B"/>
    <w:rsid w:val="00413AB6"/>
    <w:rsid w:val="00413CA8"/>
    <w:rsid w:val="00414C8B"/>
    <w:rsid w:val="004154DC"/>
    <w:rsid w:val="0041663E"/>
    <w:rsid w:val="004166CD"/>
    <w:rsid w:val="004168BB"/>
    <w:rsid w:val="00416B11"/>
    <w:rsid w:val="00417182"/>
    <w:rsid w:val="00417846"/>
    <w:rsid w:val="00417DFA"/>
    <w:rsid w:val="004211B0"/>
    <w:rsid w:val="004213B4"/>
    <w:rsid w:val="00421A9F"/>
    <w:rsid w:val="0042206D"/>
    <w:rsid w:val="00422F4C"/>
    <w:rsid w:val="00423008"/>
    <w:rsid w:val="004233BE"/>
    <w:rsid w:val="0042341E"/>
    <w:rsid w:val="004234D7"/>
    <w:rsid w:val="00423DFF"/>
    <w:rsid w:val="00423F26"/>
    <w:rsid w:val="00424066"/>
    <w:rsid w:val="00424121"/>
    <w:rsid w:val="004244E0"/>
    <w:rsid w:val="0042465B"/>
    <w:rsid w:val="004250E9"/>
    <w:rsid w:val="00425DCF"/>
    <w:rsid w:val="00426170"/>
    <w:rsid w:val="004272F6"/>
    <w:rsid w:val="00427371"/>
    <w:rsid w:val="00427483"/>
    <w:rsid w:val="00427CC5"/>
    <w:rsid w:val="0043003F"/>
    <w:rsid w:val="00430DA8"/>
    <w:rsid w:val="00430F7B"/>
    <w:rsid w:val="00431087"/>
    <w:rsid w:val="004311C9"/>
    <w:rsid w:val="00431819"/>
    <w:rsid w:val="00432552"/>
    <w:rsid w:val="00432565"/>
    <w:rsid w:val="004337B7"/>
    <w:rsid w:val="00434917"/>
    <w:rsid w:val="00434F9E"/>
    <w:rsid w:val="004366DE"/>
    <w:rsid w:val="00436996"/>
    <w:rsid w:val="00436B04"/>
    <w:rsid w:val="00437B15"/>
    <w:rsid w:val="004405DD"/>
    <w:rsid w:val="00440A35"/>
    <w:rsid w:val="00440CF1"/>
    <w:rsid w:val="00441663"/>
    <w:rsid w:val="00441BDA"/>
    <w:rsid w:val="00442184"/>
    <w:rsid w:val="004421DF"/>
    <w:rsid w:val="00442DB8"/>
    <w:rsid w:val="00443BC0"/>
    <w:rsid w:val="004443F8"/>
    <w:rsid w:val="00444996"/>
    <w:rsid w:val="00445736"/>
    <w:rsid w:val="00445784"/>
    <w:rsid w:val="004472D5"/>
    <w:rsid w:val="004476E3"/>
    <w:rsid w:val="00451430"/>
    <w:rsid w:val="004516F4"/>
    <w:rsid w:val="00452A8C"/>
    <w:rsid w:val="00453284"/>
    <w:rsid w:val="004538FB"/>
    <w:rsid w:val="00453C7A"/>
    <w:rsid w:val="0045405B"/>
    <w:rsid w:val="00455857"/>
    <w:rsid w:val="004564BD"/>
    <w:rsid w:val="00456B5D"/>
    <w:rsid w:val="00456DBA"/>
    <w:rsid w:val="004573CB"/>
    <w:rsid w:val="00457A8E"/>
    <w:rsid w:val="00457FEC"/>
    <w:rsid w:val="004601FA"/>
    <w:rsid w:val="00460494"/>
    <w:rsid w:val="00460AA2"/>
    <w:rsid w:val="00461DAF"/>
    <w:rsid w:val="00461F74"/>
    <w:rsid w:val="00462047"/>
    <w:rsid w:val="004623C2"/>
    <w:rsid w:val="00462989"/>
    <w:rsid w:val="00462E75"/>
    <w:rsid w:val="00463224"/>
    <w:rsid w:val="004637CB"/>
    <w:rsid w:val="00463895"/>
    <w:rsid w:val="00464FBC"/>
    <w:rsid w:val="00465624"/>
    <w:rsid w:val="00466215"/>
    <w:rsid w:val="00467135"/>
    <w:rsid w:val="004704BB"/>
    <w:rsid w:val="00470B71"/>
    <w:rsid w:val="00470EA8"/>
    <w:rsid w:val="00470F13"/>
    <w:rsid w:val="00471378"/>
    <w:rsid w:val="00471770"/>
    <w:rsid w:val="00473350"/>
    <w:rsid w:val="004738D0"/>
    <w:rsid w:val="00473A64"/>
    <w:rsid w:val="00473E32"/>
    <w:rsid w:val="004742B2"/>
    <w:rsid w:val="00474473"/>
    <w:rsid w:val="0047557E"/>
    <w:rsid w:val="00475CAA"/>
    <w:rsid w:val="00475CEE"/>
    <w:rsid w:val="00475DF9"/>
    <w:rsid w:val="0047682F"/>
    <w:rsid w:val="0047735B"/>
    <w:rsid w:val="004774F7"/>
    <w:rsid w:val="00480138"/>
    <w:rsid w:val="004810C4"/>
    <w:rsid w:val="00481A05"/>
    <w:rsid w:val="004824F3"/>
    <w:rsid w:val="0048285A"/>
    <w:rsid w:val="00482C30"/>
    <w:rsid w:val="00483369"/>
    <w:rsid w:val="00483E3A"/>
    <w:rsid w:val="004846C8"/>
    <w:rsid w:val="004848C6"/>
    <w:rsid w:val="00484A2C"/>
    <w:rsid w:val="00484AD2"/>
    <w:rsid w:val="00484C3C"/>
    <w:rsid w:val="00484ECB"/>
    <w:rsid w:val="0048552D"/>
    <w:rsid w:val="00486936"/>
    <w:rsid w:val="00486B23"/>
    <w:rsid w:val="004900DE"/>
    <w:rsid w:val="004905B6"/>
    <w:rsid w:val="00490F7E"/>
    <w:rsid w:val="00491048"/>
    <w:rsid w:val="00491506"/>
    <w:rsid w:val="004919F0"/>
    <w:rsid w:val="00491CBC"/>
    <w:rsid w:val="0049268E"/>
    <w:rsid w:val="00492EDB"/>
    <w:rsid w:val="00494BE0"/>
    <w:rsid w:val="00496375"/>
    <w:rsid w:val="00496C32"/>
    <w:rsid w:val="00497FBB"/>
    <w:rsid w:val="004A0FFB"/>
    <w:rsid w:val="004A10B0"/>
    <w:rsid w:val="004A10DF"/>
    <w:rsid w:val="004A119F"/>
    <w:rsid w:val="004A17D1"/>
    <w:rsid w:val="004A1C63"/>
    <w:rsid w:val="004A1E8D"/>
    <w:rsid w:val="004A27B2"/>
    <w:rsid w:val="004A27B7"/>
    <w:rsid w:val="004A360E"/>
    <w:rsid w:val="004A4A69"/>
    <w:rsid w:val="004A4F91"/>
    <w:rsid w:val="004A56BB"/>
    <w:rsid w:val="004A59CF"/>
    <w:rsid w:val="004A5BE0"/>
    <w:rsid w:val="004A5EFA"/>
    <w:rsid w:val="004A62DE"/>
    <w:rsid w:val="004A6591"/>
    <w:rsid w:val="004A69E1"/>
    <w:rsid w:val="004A6E3B"/>
    <w:rsid w:val="004A75B3"/>
    <w:rsid w:val="004A7909"/>
    <w:rsid w:val="004B144C"/>
    <w:rsid w:val="004B17D5"/>
    <w:rsid w:val="004B2F88"/>
    <w:rsid w:val="004B4615"/>
    <w:rsid w:val="004B4D52"/>
    <w:rsid w:val="004B515C"/>
    <w:rsid w:val="004B5DDC"/>
    <w:rsid w:val="004B5EBE"/>
    <w:rsid w:val="004B61D4"/>
    <w:rsid w:val="004B68E9"/>
    <w:rsid w:val="004B70CA"/>
    <w:rsid w:val="004B7869"/>
    <w:rsid w:val="004B7AA5"/>
    <w:rsid w:val="004B7AB7"/>
    <w:rsid w:val="004C09B3"/>
    <w:rsid w:val="004C0A5F"/>
    <w:rsid w:val="004C1825"/>
    <w:rsid w:val="004C1D59"/>
    <w:rsid w:val="004C1E00"/>
    <w:rsid w:val="004C2A24"/>
    <w:rsid w:val="004C2DF0"/>
    <w:rsid w:val="004C3C88"/>
    <w:rsid w:val="004C4820"/>
    <w:rsid w:val="004C494A"/>
    <w:rsid w:val="004C53CA"/>
    <w:rsid w:val="004C5F71"/>
    <w:rsid w:val="004C6142"/>
    <w:rsid w:val="004C784B"/>
    <w:rsid w:val="004C7F84"/>
    <w:rsid w:val="004D0D39"/>
    <w:rsid w:val="004D0F91"/>
    <w:rsid w:val="004D12E6"/>
    <w:rsid w:val="004D19B6"/>
    <w:rsid w:val="004D1F76"/>
    <w:rsid w:val="004D22B5"/>
    <w:rsid w:val="004D293D"/>
    <w:rsid w:val="004D5CA7"/>
    <w:rsid w:val="004D6529"/>
    <w:rsid w:val="004D6636"/>
    <w:rsid w:val="004D6818"/>
    <w:rsid w:val="004E011A"/>
    <w:rsid w:val="004E03FF"/>
    <w:rsid w:val="004E0627"/>
    <w:rsid w:val="004E0684"/>
    <w:rsid w:val="004E18D0"/>
    <w:rsid w:val="004E1A92"/>
    <w:rsid w:val="004E1B54"/>
    <w:rsid w:val="004E1BB6"/>
    <w:rsid w:val="004E1BEC"/>
    <w:rsid w:val="004E2222"/>
    <w:rsid w:val="004E2252"/>
    <w:rsid w:val="004E2255"/>
    <w:rsid w:val="004E23E7"/>
    <w:rsid w:val="004E298C"/>
    <w:rsid w:val="004E2A11"/>
    <w:rsid w:val="004E37A0"/>
    <w:rsid w:val="004E3AF3"/>
    <w:rsid w:val="004E427E"/>
    <w:rsid w:val="004E43F9"/>
    <w:rsid w:val="004E4CA5"/>
    <w:rsid w:val="004E4E97"/>
    <w:rsid w:val="004E5895"/>
    <w:rsid w:val="004E5907"/>
    <w:rsid w:val="004E5CF6"/>
    <w:rsid w:val="004E6018"/>
    <w:rsid w:val="004E6F72"/>
    <w:rsid w:val="004E7547"/>
    <w:rsid w:val="004E79CC"/>
    <w:rsid w:val="004E7A82"/>
    <w:rsid w:val="004E7F77"/>
    <w:rsid w:val="004F04E3"/>
    <w:rsid w:val="004F09B4"/>
    <w:rsid w:val="004F170F"/>
    <w:rsid w:val="004F2565"/>
    <w:rsid w:val="004F2870"/>
    <w:rsid w:val="004F6BB7"/>
    <w:rsid w:val="005001A5"/>
    <w:rsid w:val="00500275"/>
    <w:rsid w:val="00500799"/>
    <w:rsid w:val="00500BBA"/>
    <w:rsid w:val="0050137A"/>
    <w:rsid w:val="00502288"/>
    <w:rsid w:val="00502AA8"/>
    <w:rsid w:val="00502F16"/>
    <w:rsid w:val="005040DD"/>
    <w:rsid w:val="00506B40"/>
    <w:rsid w:val="00506FFB"/>
    <w:rsid w:val="0050771E"/>
    <w:rsid w:val="00507726"/>
    <w:rsid w:val="00507758"/>
    <w:rsid w:val="00507CAC"/>
    <w:rsid w:val="00507D24"/>
    <w:rsid w:val="00510471"/>
    <w:rsid w:val="005105F8"/>
    <w:rsid w:val="005112D5"/>
    <w:rsid w:val="00511CEE"/>
    <w:rsid w:val="00511FDD"/>
    <w:rsid w:val="0051236C"/>
    <w:rsid w:val="005128CE"/>
    <w:rsid w:val="00512F53"/>
    <w:rsid w:val="005144D2"/>
    <w:rsid w:val="0051506E"/>
    <w:rsid w:val="00515B61"/>
    <w:rsid w:val="00515BE7"/>
    <w:rsid w:val="00515E74"/>
    <w:rsid w:val="00516792"/>
    <w:rsid w:val="00517318"/>
    <w:rsid w:val="00517B62"/>
    <w:rsid w:val="0052192A"/>
    <w:rsid w:val="00521D2E"/>
    <w:rsid w:val="0052214C"/>
    <w:rsid w:val="00522235"/>
    <w:rsid w:val="00522A9A"/>
    <w:rsid w:val="00522BAC"/>
    <w:rsid w:val="00524623"/>
    <w:rsid w:val="005249A4"/>
    <w:rsid w:val="00524CBB"/>
    <w:rsid w:val="00524FB8"/>
    <w:rsid w:val="00525150"/>
    <w:rsid w:val="00525E00"/>
    <w:rsid w:val="0052610C"/>
    <w:rsid w:val="005269A2"/>
    <w:rsid w:val="00526F18"/>
    <w:rsid w:val="00526F72"/>
    <w:rsid w:val="005275BF"/>
    <w:rsid w:val="00530806"/>
    <w:rsid w:val="0053082F"/>
    <w:rsid w:val="00530ABC"/>
    <w:rsid w:val="00531834"/>
    <w:rsid w:val="00531C1B"/>
    <w:rsid w:val="00531CB2"/>
    <w:rsid w:val="00531E52"/>
    <w:rsid w:val="0053227D"/>
    <w:rsid w:val="0053244C"/>
    <w:rsid w:val="0053274E"/>
    <w:rsid w:val="00534BFE"/>
    <w:rsid w:val="0053562C"/>
    <w:rsid w:val="0053719E"/>
    <w:rsid w:val="00537D28"/>
    <w:rsid w:val="005403C1"/>
    <w:rsid w:val="005404D9"/>
    <w:rsid w:val="0054074D"/>
    <w:rsid w:val="00540959"/>
    <w:rsid w:val="00540DA9"/>
    <w:rsid w:val="00542844"/>
    <w:rsid w:val="00543646"/>
    <w:rsid w:val="00543648"/>
    <w:rsid w:val="00543A65"/>
    <w:rsid w:val="00543B72"/>
    <w:rsid w:val="00544106"/>
    <w:rsid w:val="005442AA"/>
    <w:rsid w:val="00544A67"/>
    <w:rsid w:val="005450C9"/>
    <w:rsid w:val="005454DD"/>
    <w:rsid w:val="00545812"/>
    <w:rsid w:val="00545B7F"/>
    <w:rsid w:val="0054774F"/>
    <w:rsid w:val="00547817"/>
    <w:rsid w:val="00547C59"/>
    <w:rsid w:val="00547DBC"/>
    <w:rsid w:val="005504DC"/>
    <w:rsid w:val="00550775"/>
    <w:rsid w:val="00550F06"/>
    <w:rsid w:val="00551323"/>
    <w:rsid w:val="00551568"/>
    <w:rsid w:val="0055216F"/>
    <w:rsid w:val="00552B0D"/>
    <w:rsid w:val="00553414"/>
    <w:rsid w:val="00553AC8"/>
    <w:rsid w:val="00553C31"/>
    <w:rsid w:val="005543BC"/>
    <w:rsid w:val="00554A64"/>
    <w:rsid w:val="00554E57"/>
    <w:rsid w:val="0055673D"/>
    <w:rsid w:val="00556A8E"/>
    <w:rsid w:val="00556BE8"/>
    <w:rsid w:val="00557E28"/>
    <w:rsid w:val="0056008A"/>
    <w:rsid w:val="00560829"/>
    <w:rsid w:val="00560FC7"/>
    <w:rsid w:val="00561B7F"/>
    <w:rsid w:val="00561F86"/>
    <w:rsid w:val="0056286D"/>
    <w:rsid w:val="00562F51"/>
    <w:rsid w:val="00562FDE"/>
    <w:rsid w:val="005636DF"/>
    <w:rsid w:val="0056437F"/>
    <w:rsid w:val="0056496C"/>
    <w:rsid w:val="00565151"/>
    <w:rsid w:val="00565E02"/>
    <w:rsid w:val="00566D0C"/>
    <w:rsid w:val="00566FAA"/>
    <w:rsid w:val="005671AD"/>
    <w:rsid w:val="005679A1"/>
    <w:rsid w:val="00567E5F"/>
    <w:rsid w:val="00567F7A"/>
    <w:rsid w:val="005708D3"/>
    <w:rsid w:val="00571069"/>
    <w:rsid w:val="005713F9"/>
    <w:rsid w:val="005725D0"/>
    <w:rsid w:val="00573522"/>
    <w:rsid w:val="00574295"/>
    <w:rsid w:val="00574524"/>
    <w:rsid w:val="005756C8"/>
    <w:rsid w:val="00575B96"/>
    <w:rsid w:val="00575DBE"/>
    <w:rsid w:val="005773F5"/>
    <w:rsid w:val="00580239"/>
    <w:rsid w:val="00580860"/>
    <w:rsid w:val="00580B4D"/>
    <w:rsid w:val="00580EDE"/>
    <w:rsid w:val="00581706"/>
    <w:rsid w:val="00581CB7"/>
    <w:rsid w:val="0058236A"/>
    <w:rsid w:val="0058258F"/>
    <w:rsid w:val="00582BDD"/>
    <w:rsid w:val="00584593"/>
    <w:rsid w:val="00584D70"/>
    <w:rsid w:val="00584FA8"/>
    <w:rsid w:val="00585479"/>
    <w:rsid w:val="00585638"/>
    <w:rsid w:val="005856BD"/>
    <w:rsid w:val="0058574F"/>
    <w:rsid w:val="00585A44"/>
    <w:rsid w:val="00585B16"/>
    <w:rsid w:val="00585EDC"/>
    <w:rsid w:val="00587C22"/>
    <w:rsid w:val="00587ECD"/>
    <w:rsid w:val="0059054B"/>
    <w:rsid w:val="00590A29"/>
    <w:rsid w:val="00591513"/>
    <w:rsid w:val="00591534"/>
    <w:rsid w:val="0059164D"/>
    <w:rsid w:val="00591C2F"/>
    <w:rsid w:val="00592C13"/>
    <w:rsid w:val="00592D78"/>
    <w:rsid w:val="0059307C"/>
    <w:rsid w:val="005933E5"/>
    <w:rsid w:val="00593419"/>
    <w:rsid w:val="00594391"/>
    <w:rsid w:val="00594557"/>
    <w:rsid w:val="00594B6C"/>
    <w:rsid w:val="00595EB5"/>
    <w:rsid w:val="00596127"/>
    <w:rsid w:val="00596BE6"/>
    <w:rsid w:val="0059723D"/>
    <w:rsid w:val="00597A71"/>
    <w:rsid w:val="00597CC0"/>
    <w:rsid w:val="005A0642"/>
    <w:rsid w:val="005A0890"/>
    <w:rsid w:val="005A09DE"/>
    <w:rsid w:val="005A1337"/>
    <w:rsid w:val="005A16A1"/>
    <w:rsid w:val="005A1D86"/>
    <w:rsid w:val="005A2BD1"/>
    <w:rsid w:val="005A3688"/>
    <w:rsid w:val="005A3B09"/>
    <w:rsid w:val="005A3FA6"/>
    <w:rsid w:val="005A5D45"/>
    <w:rsid w:val="005A5E04"/>
    <w:rsid w:val="005A5F69"/>
    <w:rsid w:val="005A6790"/>
    <w:rsid w:val="005B0E1D"/>
    <w:rsid w:val="005B168A"/>
    <w:rsid w:val="005B16BF"/>
    <w:rsid w:val="005B2188"/>
    <w:rsid w:val="005B22D9"/>
    <w:rsid w:val="005B25AB"/>
    <w:rsid w:val="005B26B3"/>
    <w:rsid w:val="005B27F9"/>
    <w:rsid w:val="005B29A5"/>
    <w:rsid w:val="005B32C6"/>
    <w:rsid w:val="005B3984"/>
    <w:rsid w:val="005B4051"/>
    <w:rsid w:val="005B424D"/>
    <w:rsid w:val="005B478E"/>
    <w:rsid w:val="005B4A2D"/>
    <w:rsid w:val="005B4B9F"/>
    <w:rsid w:val="005B4C8F"/>
    <w:rsid w:val="005B4F02"/>
    <w:rsid w:val="005B5001"/>
    <w:rsid w:val="005B5555"/>
    <w:rsid w:val="005B5A0D"/>
    <w:rsid w:val="005B5B89"/>
    <w:rsid w:val="005B614D"/>
    <w:rsid w:val="005B626D"/>
    <w:rsid w:val="005B6321"/>
    <w:rsid w:val="005B647A"/>
    <w:rsid w:val="005B682F"/>
    <w:rsid w:val="005B6832"/>
    <w:rsid w:val="005B6E5E"/>
    <w:rsid w:val="005B74F3"/>
    <w:rsid w:val="005C05FF"/>
    <w:rsid w:val="005C085F"/>
    <w:rsid w:val="005C18F2"/>
    <w:rsid w:val="005C1F9E"/>
    <w:rsid w:val="005C2CAF"/>
    <w:rsid w:val="005C44C9"/>
    <w:rsid w:val="005C467F"/>
    <w:rsid w:val="005C4785"/>
    <w:rsid w:val="005C4860"/>
    <w:rsid w:val="005C4D64"/>
    <w:rsid w:val="005C539E"/>
    <w:rsid w:val="005C546A"/>
    <w:rsid w:val="005C548D"/>
    <w:rsid w:val="005C5883"/>
    <w:rsid w:val="005C5E13"/>
    <w:rsid w:val="005C6CE2"/>
    <w:rsid w:val="005C72FD"/>
    <w:rsid w:val="005C79E8"/>
    <w:rsid w:val="005D0392"/>
    <w:rsid w:val="005D0649"/>
    <w:rsid w:val="005D0851"/>
    <w:rsid w:val="005D0A96"/>
    <w:rsid w:val="005D2865"/>
    <w:rsid w:val="005D36A5"/>
    <w:rsid w:val="005D38B1"/>
    <w:rsid w:val="005D4077"/>
    <w:rsid w:val="005D435B"/>
    <w:rsid w:val="005D4C76"/>
    <w:rsid w:val="005D6089"/>
    <w:rsid w:val="005D636C"/>
    <w:rsid w:val="005D75CC"/>
    <w:rsid w:val="005D7E98"/>
    <w:rsid w:val="005E066A"/>
    <w:rsid w:val="005E26FE"/>
    <w:rsid w:val="005E2E0A"/>
    <w:rsid w:val="005E358F"/>
    <w:rsid w:val="005E36E4"/>
    <w:rsid w:val="005E4265"/>
    <w:rsid w:val="005E4B47"/>
    <w:rsid w:val="005E5554"/>
    <w:rsid w:val="005E561E"/>
    <w:rsid w:val="005E5FA5"/>
    <w:rsid w:val="005E63C2"/>
    <w:rsid w:val="005E6813"/>
    <w:rsid w:val="005E7689"/>
    <w:rsid w:val="005F00BD"/>
    <w:rsid w:val="005F0F66"/>
    <w:rsid w:val="005F106A"/>
    <w:rsid w:val="005F1B15"/>
    <w:rsid w:val="005F2C84"/>
    <w:rsid w:val="005F31D0"/>
    <w:rsid w:val="005F3924"/>
    <w:rsid w:val="005F4213"/>
    <w:rsid w:val="005F478D"/>
    <w:rsid w:val="005F5648"/>
    <w:rsid w:val="005F56AB"/>
    <w:rsid w:val="005F5CA1"/>
    <w:rsid w:val="005F697F"/>
    <w:rsid w:val="005F6E89"/>
    <w:rsid w:val="0060014D"/>
    <w:rsid w:val="00600F50"/>
    <w:rsid w:val="00601FE5"/>
    <w:rsid w:val="006021B8"/>
    <w:rsid w:val="0060374C"/>
    <w:rsid w:val="00604345"/>
    <w:rsid w:val="006063C7"/>
    <w:rsid w:val="00606BC3"/>
    <w:rsid w:val="00607614"/>
    <w:rsid w:val="00607BD2"/>
    <w:rsid w:val="0061143D"/>
    <w:rsid w:val="00611490"/>
    <w:rsid w:val="006114F9"/>
    <w:rsid w:val="00611820"/>
    <w:rsid w:val="00611AF7"/>
    <w:rsid w:val="00611B2E"/>
    <w:rsid w:val="00611F4D"/>
    <w:rsid w:val="00612284"/>
    <w:rsid w:val="00612753"/>
    <w:rsid w:val="006127FF"/>
    <w:rsid w:val="0061290E"/>
    <w:rsid w:val="00612EA6"/>
    <w:rsid w:val="00613609"/>
    <w:rsid w:val="00613A49"/>
    <w:rsid w:val="006147D4"/>
    <w:rsid w:val="00614C8F"/>
    <w:rsid w:val="00614F31"/>
    <w:rsid w:val="0061555F"/>
    <w:rsid w:val="00615CD6"/>
    <w:rsid w:val="00615D3C"/>
    <w:rsid w:val="00615E62"/>
    <w:rsid w:val="00616470"/>
    <w:rsid w:val="006178F5"/>
    <w:rsid w:val="006200C1"/>
    <w:rsid w:val="006200D7"/>
    <w:rsid w:val="00620189"/>
    <w:rsid w:val="00620566"/>
    <w:rsid w:val="0062077E"/>
    <w:rsid w:val="00620ACD"/>
    <w:rsid w:val="006226F9"/>
    <w:rsid w:val="00622A1C"/>
    <w:rsid w:val="00623043"/>
    <w:rsid w:val="00623118"/>
    <w:rsid w:val="00623B1A"/>
    <w:rsid w:val="00623B6E"/>
    <w:rsid w:val="00623BF9"/>
    <w:rsid w:val="0062469E"/>
    <w:rsid w:val="006246E2"/>
    <w:rsid w:val="006264AE"/>
    <w:rsid w:val="00626559"/>
    <w:rsid w:val="0062717E"/>
    <w:rsid w:val="00630A9B"/>
    <w:rsid w:val="00630ADA"/>
    <w:rsid w:val="00631454"/>
    <w:rsid w:val="006322F8"/>
    <w:rsid w:val="006340C3"/>
    <w:rsid w:val="00634147"/>
    <w:rsid w:val="00634222"/>
    <w:rsid w:val="0063478E"/>
    <w:rsid w:val="00634E56"/>
    <w:rsid w:val="00635495"/>
    <w:rsid w:val="00635758"/>
    <w:rsid w:val="0063582D"/>
    <w:rsid w:val="00636281"/>
    <w:rsid w:val="00636303"/>
    <w:rsid w:val="00637482"/>
    <w:rsid w:val="006375E5"/>
    <w:rsid w:val="00637FDF"/>
    <w:rsid w:val="0064007B"/>
    <w:rsid w:val="0064095E"/>
    <w:rsid w:val="00640AA1"/>
    <w:rsid w:val="00641188"/>
    <w:rsid w:val="006411DC"/>
    <w:rsid w:val="0064225C"/>
    <w:rsid w:val="006422FC"/>
    <w:rsid w:val="006439E1"/>
    <w:rsid w:val="00643B2E"/>
    <w:rsid w:val="00643F0D"/>
    <w:rsid w:val="006443ED"/>
    <w:rsid w:val="00644C89"/>
    <w:rsid w:val="0064536C"/>
    <w:rsid w:val="00645FDF"/>
    <w:rsid w:val="00646288"/>
    <w:rsid w:val="006465C0"/>
    <w:rsid w:val="00647139"/>
    <w:rsid w:val="00647A7A"/>
    <w:rsid w:val="00650562"/>
    <w:rsid w:val="006511CB"/>
    <w:rsid w:val="006513A4"/>
    <w:rsid w:val="00651763"/>
    <w:rsid w:val="00651969"/>
    <w:rsid w:val="00651A42"/>
    <w:rsid w:val="00651B38"/>
    <w:rsid w:val="00652441"/>
    <w:rsid w:val="00652EAF"/>
    <w:rsid w:val="00653100"/>
    <w:rsid w:val="00653B7D"/>
    <w:rsid w:val="0065407A"/>
    <w:rsid w:val="00654FAA"/>
    <w:rsid w:val="00654FDF"/>
    <w:rsid w:val="00655AFE"/>
    <w:rsid w:val="00656A24"/>
    <w:rsid w:val="00656F01"/>
    <w:rsid w:val="00657420"/>
    <w:rsid w:val="00657601"/>
    <w:rsid w:val="006605B1"/>
    <w:rsid w:val="0066096B"/>
    <w:rsid w:val="006617E4"/>
    <w:rsid w:val="00661B45"/>
    <w:rsid w:val="00664CCC"/>
    <w:rsid w:val="00665807"/>
    <w:rsid w:val="00665B4B"/>
    <w:rsid w:val="00666560"/>
    <w:rsid w:val="0066692C"/>
    <w:rsid w:val="00666FA4"/>
    <w:rsid w:val="006671DD"/>
    <w:rsid w:val="0066764F"/>
    <w:rsid w:val="00667B42"/>
    <w:rsid w:val="00670163"/>
    <w:rsid w:val="006707ED"/>
    <w:rsid w:val="00670892"/>
    <w:rsid w:val="00670BE5"/>
    <w:rsid w:val="006734F9"/>
    <w:rsid w:val="0067382A"/>
    <w:rsid w:val="00673CD9"/>
    <w:rsid w:val="00673E92"/>
    <w:rsid w:val="006743C7"/>
    <w:rsid w:val="0067479A"/>
    <w:rsid w:val="00675284"/>
    <w:rsid w:val="00675DC9"/>
    <w:rsid w:val="00675DDB"/>
    <w:rsid w:val="00675F7D"/>
    <w:rsid w:val="00676024"/>
    <w:rsid w:val="006764C9"/>
    <w:rsid w:val="00676C3B"/>
    <w:rsid w:val="006776FA"/>
    <w:rsid w:val="006805ED"/>
    <w:rsid w:val="006817A3"/>
    <w:rsid w:val="00681C7A"/>
    <w:rsid w:val="00682127"/>
    <w:rsid w:val="00683028"/>
    <w:rsid w:val="00684993"/>
    <w:rsid w:val="00685347"/>
    <w:rsid w:val="00685D3D"/>
    <w:rsid w:val="006862BB"/>
    <w:rsid w:val="006866BF"/>
    <w:rsid w:val="00686A09"/>
    <w:rsid w:val="00686D38"/>
    <w:rsid w:val="00687B97"/>
    <w:rsid w:val="00687FD5"/>
    <w:rsid w:val="0069083A"/>
    <w:rsid w:val="00690B2A"/>
    <w:rsid w:val="006911DA"/>
    <w:rsid w:val="006912B0"/>
    <w:rsid w:val="0069180A"/>
    <w:rsid w:val="006920D2"/>
    <w:rsid w:val="00692500"/>
    <w:rsid w:val="00693438"/>
    <w:rsid w:val="006942FD"/>
    <w:rsid w:val="00694B46"/>
    <w:rsid w:val="006955A3"/>
    <w:rsid w:val="0069650D"/>
    <w:rsid w:val="006970CD"/>
    <w:rsid w:val="00697737"/>
    <w:rsid w:val="0069787A"/>
    <w:rsid w:val="006979BE"/>
    <w:rsid w:val="006A0BE0"/>
    <w:rsid w:val="006A0E57"/>
    <w:rsid w:val="006A11DE"/>
    <w:rsid w:val="006A14CC"/>
    <w:rsid w:val="006A14FB"/>
    <w:rsid w:val="006A14FC"/>
    <w:rsid w:val="006A29AA"/>
    <w:rsid w:val="006A36E5"/>
    <w:rsid w:val="006A6AB7"/>
    <w:rsid w:val="006A712A"/>
    <w:rsid w:val="006A7583"/>
    <w:rsid w:val="006B0477"/>
    <w:rsid w:val="006B14CD"/>
    <w:rsid w:val="006B1514"/>
    <w:rsid w:val="006B1C41"/>
    <w:rsid w:val="006B1EF9"/>
    <w:rsid w:val="006B22C4"/>
    <w:rsid w:val="006B29AC"/>
    <w:rsid w:val="006B2ADB"/>
    <w:rsid w:val="006B2B43"/>
    <w:rsid w:val="006B2F50"/>
    <w:rsid w:val="006B339C"/>
    <w:rsid w:val="006B3BCD"/>
    <w:rsid w:val="006B48E8"/>
    <w:rsid w:val="006B61E6"/>
    <w:rsid w:val="006B6A36"/>
    <w:rsid w:val="006B7048"/>
    <w:rsid w:val="006B75AE"/>
    <w:rsid w:val="006B7C5E"/>
    <w:rsid w:val="006C046E"/>
    <w:rsid w:val="006C123F"/>
    <w:rsid w:val="006C1255"/>
    <w:rsid w:val="006C12A6"/>
    <w:rsid w:val="006C1371"/>
    <w:rsid w:val="006C1CD9"/>
    <w:rsid w:val="006C366A"/>
    <w:rsid w:val="006C4900"/>
    <w:rsid w:val="006C5184"/>
    <w:rsid w:val="006C5D57"/>
    <w:rsid w:val="006C5EC8"/>
    <w:rsid w:val="006C612F"/>
    <w:rsid w:val="006C64BE"/>
    <w:rsid w:val="006C731B"/>
    <w:rsid w:val="006C7845"/>
    <w:rsid w:val="006D0B20"/>
    <w:rsid w:val="006D0BD3"/>
    <w:rsid w:val="006D19B1"/>
    <w:rsid w:val="006D1CD8"/>
    <w:rsid w:val="006D23A3"/>
    <w:rsid w:val="006D24D1"/>
    <w:rsid w:val="006D2762"/>
    <w:rsid w:val="006D2B13"/>
    <w:rsid w:val="006D309E"/>
    <w:rsid w:val="006D3316"/>
    <w:rsid w:val="006D34D7"/>
    <w:rsid w:val="006D3A9F"/>
    <w:rsid w:val="006D3FBF"/>
    <w:rsid w:val="006D464B"/>
    <w:rsid w:val="006D48F5"/>
    <w:rsid w:val="006D4D8E"/>
    <w:rsid w:val="006D511B"/>
    <w:rsid w:val="006D5281"/>
    <w:rsid w:val="006D6209"/>
    <w:rsid w:val="006D67D4"/>
    <w:rsid w:val="006D684A"/>
    <w:rsid w:val="006D7EDE"/>
    <w:rsid w:val="006E0ADE"/>
    <w:rsid w:val="006E0D55"/>
    <w:rsid w:val="006E1BAD"/>
    <w:rsid w:val="006E22A3"/>
    <w:rsid w:val="006E27F2"/>
    <w:rsid w:val="006E2CE8"/>
    <w:rsid w:val="006E322B"/>
    <w:rsid w:val="006E4004"/>
    <w:rsid w:val="006E45EC"/>
    <w:rsid w:val="006E46A7"/>
    <w:rsid w:val="006E4D9B"/>
    <w:rsid w:val="006E500A"/>
    <w:rsid w:val="006E6256"/>
    <w:rsid w:val="006E6E2C"/>
    <w:rsid w:val="006E7EFD"/>
    <w:rsid w:val="006F0005"/>
    <w:rsid w:val="006F11D3"/>
    <w:rsid w:val="006F3416"/>
    <w:rsid w:val="006F342C"/>
    <w:rsid w:val="006F3506"/>
    <w:rsid w:val="006F4CC5"/>
    <w:rsid w:val="006F5F0B"/>
    <w:rsid w:val="006F6F60"/>
    <w:rsid w:val="006F7065"/>
    <w:rsid w:val="006F792E"/>
    <w:rsid w:val="006F7A4B"/>
    <w:rsid w:val="006F7FAE"/>
    <w:rsid w:val="007004D5"/>
    <w:rsid w:val="007005D6"/>
    <w:rsid w:val="0070070A"/>
    <w:rsid w:val="00700C91"/>
    <w:rsid w:val="00701019"/>
    <w:rsid w:val="007017A6"/>
    <w:rsid w:val="0070196E"/>
    <w:rsid w:val="007019BD"/>
    <w:rsid w:val="0070361B"/>
    <w:rsid w:val="00703D38"/>
    <w:rsid w:val="007041C1"/>
    <w:rsid w:val="0070439B"/>
    <w:rsid w:val="00704DED"/>
    <w:rsid w:val="007051AB"/>
    <w:rsid w:val="007059C5"/>
    <w:rsid w:val="00705DEB"/>
    <w:rsid w:val="007064BC"/>
    <w:rsid w:val="0070670E"/>
    <w:rsid w:val="00707222"/>
    <w:rsid w:val="007073A5"/>
    <w:rsid w:val="007103EB"/>
    <w:rsid w:val="00710510"/>
    <w:rsid w:val="00711F89"/>
    <w:rsid w:val="007122E0"/>
    <w:rsid w:val="00712FBE"/>
    <w:rsid w:val="007143E7"/>
    <w:rsid w:val="00714EF7"/>
    <w:rsid w:val="00714FE7"/>
    <w:rsid w:val="00715505"/>
    <w:rsid w:val="007159C4"/>
    <w:rsid w:val="00715EB6"/>
    <w:rsid w:val="0071614E"/>
    <w:rsid w:val="0071725C"/>
    <w:rsid w:val="007176FA"/>
    <w:rsid w:val="007177ED"/>
    <w:rsid w:val="00720395"/>
    <w:rsid w:val="00720CCD"/>
    <w:rsid w:val="00721A96"/>
    <w:rsid w:val="00722B43"/>
    <w:rsid w:val="00723B6E"/>
    <w:rsid w:val="00723F1E"/>
    <w:rsid w:val="007246E1"/>
    <w:rsid w:val="007254F7"/>
    <w:rsid w:val="00725BE1"/>
    <w:rsid w:val="00727882"/>
    <w:rsid w:val="00727D4A"/>
    <w:rsid w:val="007303EE"/>
    <w:rsid w:val="00731455"/>
    <w:rsid w:val="0073189D"/>
    <w:rsid w:val="007324A8"/>
    <w:rsid w:val="00733777"/>
    <w:rsid w:val="0073398D"/>
    <w:rsid w:val="00733C5F"/>
    <w:rsid w:val="00734190"/>
    <w:rsid w:val="007356BE"/>
    <w:rsid w:val="007358B0"/>
    <w:rsid w:val="00735ED4"/>
    <w:rsid w:val="007362B3"/>
    <w:rsid w:val="00736364"/>
    <w:rsid w:val="00736723"/>
    <w:rsid w:val="00737153"/>
    <w:rsid w:val="00737919"/>
    <w:rsid w:val="00737DB3"/>
    <w:rsid w:val="00737F6F"/>
    <w:rsid w:val="007402F5"/>
    <w:rsid w:val="0074045E"/>
    <w:rsid w:val="007411AC"/>
    <w:rsid w:val="007411B2"/>
    <w:rsid w:val="0074122D"/>
    <w:rsid w:val="00741A77"/>
    <w:rsid w:val="00741BFD"/>
    <w:rsid w:val="0074217A"/>
    <w:rsid w:val="007421BE"/>
    <w:rsid w:val="00742C42"/>
    <w:rsid w:val="00743262"/>
    <w:rsid w:val="00743429"/>
    <w:rsid w:val="00743686"/>
    <w:rsid w:val="00743953"/>
    <w:rsid w:val="007441A7"/>
    <w:rsid w:val="00744AC7"/>
    <w:rsid w:val="00745002"/>
    <w:rsid w:val="0074515A"/>
    <w:rsid w:val="00745F36"/>
    <w:rsid w:val="00746821"/>
    <w:rsid w:val="00746D74"/>
    <w:rsid w:val="0075115C"/>
    <w:rsid w:val="00751647"/>
    <w:rsid w:val="007516CB"/>
    <w:rsid w:val="007523E9"/>
    <w:rsid w:val="007524D1"/>
    <w:rsid w:val="0075283A"/>
    <w:rsid w:val="00752BE0"/>
    <w:rsid w:val="00753C9B"/>
    <w:rsid w:val="0075449E"/>
    <w:rsid w:val="00754825"/>
    <w:rsid w:val="007548CC"/>
    <w:rsid w:val="00755BD6"/>
    <w:rsid w:val="007563CF"/>
    <w:rsid w:val="00760732"/>
    <w:rsid w:val="00760810"/>
    <w:rsid w:val="00760DFC"/>
    <w:rsid w:val="00761299"/>
    <w:rsid w:val="00761C68"/>
    <w:rsid w:val="007628E4"/>
    <w:rsid w:val="00763589"/>
    <w:rsid w:val="007637CA"/>
    <w:rsid w:val="00763CBE"/>
    <w:rsid w:val="00764666"/>
    <w:rsid w:val="007653A5"/>
    <w:rsid w:val="00765E75"/>
    <w:rsid w:val="00766094"/>
    <w:rsid w:val="007662E3"/>
    <w:rsid w:val="007669E2"/>
    <w:rsid w:val="00767213"/>
    <w:rsid w:val="00767A55"/>
    <w:rsid w:val="00767C82"/>
    <w:rsid w:val="00767C92"/>
    <w:rsid w:val="00770026"/>
    <w:rsid w:val="00770CEB"/>
    <w:rsid w:val="00770D00"/>
    <w:rsid w:val="007716F1"/>
    <w:rsid w:val="0077182B"/>
    <w:rsid w:val="0077222A"/>
    <w:rsid w:val="00772493"/>
    <w:rsid w:val="007724B2"/>
    <w:rsid w:val="0077361A"/>
    <w:rsid w:val="0077375F"/>
    <w:rsid w:val="00774287"/>
    <w:rsid w:val="0077489F"/>
    <w:rsid w:val="00775164"/>
    <w:rsid w:val="00775CC9"/>
    <w:rsid w:val="00775DB7"/>
    <w:rsid w:val="007761A4"/>
    <w:rsid w:val="00776502"/>
    <w:rsid w:val="00776A4E"/>
    <w:rsid w:val="00776B53"/>
    <w:rsid w:val="007779AD"/>
    <w:rsid w:val="00780741"/>
    <w:rsid w:val="00780E44"/>
    <w:rsid w:val="00781490"/>
    <w:rsid w:val="00781562"/>
    <w:rsid w:val="00781EC8"/>
    <w:rsid w:val="007821C6"/>
    <w:rsid w:val="0078329B"/>
    <w:rsid w:val="007837F7"/>
    <w:rsid w:val="0078386D"/>
    <w:rsid w:val="007857AD"/>
    <w:rsid w:val="00786523"/>
    <w:rsid w:val="007866E5"/>
    <w:rsid w:val="00786B61"/>
    <w:rsid w:val="00787176"/>
    <w:rsid w:val="007877D9"/>
    <w:rsid w:val="00787B5F"/>
    <w:rsid w:val="0079078E"/>
    <w:rsid w:val="00790C52"/>
    <w:rsid w:val="00791109"/>
    <w:rsid w:val="007912D6"/>
    <w:rsid w:val="0079194A"/>
    <w:rsid w:val="007929EC"/>
    <w:rsid w:val="00792C5B"/>
    <w:rsid w:val="00793855"/>
    <w:rsid w:val="007945CC"/>
    <w:rsid w:val="00795185"/>
    <w:rsid w:val="00795AD5"/>
    <w:rsid w:val="00796405"/>
    <w:rsid w:val="007967E0"/>
    <w:rsid w:val="00797A08"/>
    <w:rsid w:val="007A0BEF"/>
    <w:rsid w:val="007A0FAE"/>
    <w:rsid w:val="007A161C"/>
    <w:rsid w:val="007A1B47"/>
    <w:rsid w:val="007A2896"/>
    <w:rsid w:val="007A28BE"/>
    <w:rsid w:val="007A2EE3"/>
    <w:rsid w:val="007A50D4"/>
    <w:rsid w:val="007A5395"/>
    <w:rsid w:val="007A5744"/>
    <w:rsid w:val="007A6244"/>
    <w:rsid w:val="007A6741"/>
    <w:rsid w:val="007A7355"/>
    <w:rsid w:val="007A7CB4"/>
    <w:rsid w:val="007A7E72"/>
    <w:rsid w:val="007B0319"/>
    <w:rsid w:val="007B091A"/>
    <w:rsid w:val="007B183C"/>
    <w:rsid w:val="007B1F14"/>
    <w:rsid w:val="007B21A4"/>
    <w:rsid w:val="007B21EB"/>
    <w:rsid w:val="007B259D"/>
    <w:rsid w:val="007B2EDA"/>
    <w:rsid w:val="007B44C1"/>
    <w:rsid w:val="007B470A"/>
    <w:rsid w:val="007B4C29"/>
    <w:rsid w:val="007B6403"/>
    <w:rsid w:val="007B68B4"/>
    <w:rsid w:val="007B6F86"/>
    <w:rsid w:val="007B75B6"/>
    <w:rsid w:val="007C043E"/>
    <w:rsid w:val="007C04A5"/>
    <w:rsid w:val="007C062B"/>
    <w:rsid w:val="007C1E38"/>
    <w:rsid w:val="007C2081"/>
    <w:rsid w:val="007C2DD3"/>
    <w:rsid w:val="007C39B4"/>
    <w:rsid w:val="007C3A9F"/>
    <w:rsid w:val="007C4F6C"/>
    <w:rsid w:val="007C577F"/>
    <w:rsid w:val="007C57E9"/>
    <w:rsid w:val="007C7981"/>
    <w:rsid w:val="007C79D1"/>
    <w:rsid w:val="007C7F50"/>
    <w:rsid w:val="007D0624"/>
    <w:rsid w:val="007D06F8"/>
    <w:rsid w:val="007D112F"/>
    <w:rsid w:val="007D2064"/>
    <w:rsid w:val="007D2B35"/>
    <w:rsid w:val="007D42D0"/>
    <w:rsid w:val="007D439A"/>
    <w:rsid w:val="007D4EB4"/>
    <w:rsid w:val="007D7829"/>
    <w:rsid w:val="007E010B"/>
    <w:rsid w:val="007E0FEA"/>
    <w:rsid w:val="007E1A48"/>
    <w:rsid w:val="007E31FD"/>
    <w:rsid w:val="007E34EB"/>
    <w:rsid w:val="007E3D8E"/>
    <w:rsid w:val="007E48BD"/>
    <w:rsid w:val="007E4CC5"/>
    <w:rsid w:val="007E6471"/>
    <w:rsid w:val="007E657B"/>
    <w:rsid w:val="007E79BD"/>
    <w:rsid w:val="007F0382"/>
    <w:rsid w:val="007F06F2"/>
    <w:rsid w:val="007F0B64"/>
    <w:rsid w:val="007F0BE1"/>
    <w:rsid w:val="007F0D38"/>
    <w:rsid w:val="007F20D2"/>
    <w:rsid w:val="007F276E"/>
    <w:rsid w:val="007F2F25"/>
    <w:rsid w:val="007F3B6F"/>
    <w:rsid w:val="007F3D1A"/>
    <w:rsid w:val="007F5708"/>
    <w:rsid w:val="007F6367"/>
    <w:rsid w:val="007F66B0"/>
    <w:rsid w:val="007F68CA"/>
    <w:rsid w:val="007F6B65"/>
    <w:rsid w:val="007F7850"/>
    <w:rsid w:val="007F7F52"/>
    <w:rsid w:val="0080069C"/>
    <w:rsid w:val="008015BC"/>
    <w:rsid w:val="008015EB"/>
    <w:rsid w:val="00801ACA"/>
    <w:rsid w:val="0080204F"/>
    <w:rsid w:val="00802873"/>
    <w:rsid w:val="00802DB7"/>
    <w:rsid w:val="0080318A"/>
    <w:rsid w:val="008034BB"/>
    <w:rsid w:val="0080354E"/>
    <w:rsid w:val="00803815"/>
    <w:rsid w:val="00803E1F"/>
    <w:rsid w:val="00804EFA"/>
    <w:rsid w:val="008071E3"/>
    <w:rsid w:val="00807CCA"/>
    <w:rsid w:val="00810254"/>
    <w:rsid w:val="00811555"/>
    <w:rsid w:val="00811B49"/>
    <w:rsid w:val="00811BB4"/>
    <w:rsid w:val="00811C73"/>
    <w:rsid w:val="00814357"/>
    <w:rsid w:val="008144B6"/>
    <w:rsid w:val="00814D32"/>
    <w:rsid w:val="00816131"/>
    <w:rsid w:val="00816852"/>
    <w:rsid w:val="008169AA"/>
    <w:rsid w:val="00816E5E"/>
    <w:rsid w:val="00817924"/>
    <w:rsid w:val="00820B62"/>
    <w:rsid w:val="00820BCD"/>
    <w:rsid w:val="00820C7A"/>
    <w:rsid w:val="00821164"/>
    <w:rsid w:val="00821912"/>
    <w:rsid w:val="008220AA"/>
    <w:rsid w:val="008221FD"/>
    <w:rsid w:val="00822420"/>
    <w:rsid w:val="0082275B"/>
    <w:rsid w:val="00822B3F"/>
    <w:rsid w:val="0082306D"/>
    <w:rsid w:val="008234C8"/>
    <w:rsid w:val="00823BB8"/>
    <w:rsid w:val="00823E3F"/>
    <w:rsid w:val="0082632F"/>
    <w:rsid w:val="008268B7"/>
    <w:rsid w:val="00827757"/>
    <w:rsid w:val="0082786C"/>
    <w:rsid w:val="00830427"/>
    <w:rsid w:val="008304CB"/>
    <w:rsid w:val="00831E0D"/>
    <w:rsid w:val="008329EA"/>
    <w:rsid w:val="00833232"/>
    <w:rsid w:val="0083522C"/>
    <w:rsid w:val="008355B5"/>
    <w:rsid w:val="0083652A"/>
    <w:rsid w:val="008401D7"/>
    <w:rsid w:val="00840747"/>
    <w:rsid w:val="0084167C"/>
    <w:rsid w:val="00841D04"/>
    <w:rsid w:val="00842101"/>
    <w:rsid w:val="00843039"/>
    <w:rsid w:val="008460E5"/>
    <w:rsid w:val="008474E8"/>
    <w:rsid w:val="0085004A"/>
    <w:rsid w:val="00850055"/>
    <w:rsid w:val="008508E2"/>
    <w:rsid w:val="00850A3F"/>
    <w:rsid w:val="008522C5"/>
    <w:rsid w:val="008528DD"/>
    <w:rsid w:val="0085382D"/>
    <w:rsid w:val="008539AA"/>
    <w:rsid w:val="00854003"/>
    <w:rsid w:val="00854076"/>
    <w:rsid w:val="0085454A"/>
    <w:rsid w:val="008549CC"/>
    <w:rsid w:val="00854EEC"/>
    <w:rsid w:val="00855E37"/>
    <w:rsid w:val="00856442"/>
    <w:rsid w:val="008568FE"/>
    <w:rsid w:val="00857146"/>
    <w:rsid w:val="008573C3"/>
    <w:rsid w:val="00860464"/>
    <w:rsid w:val="0086058D"/>
    <w:rsid w:val="00860FA4"/>
    <w:rsid w:val="00861FBF"/>
    <w:rsid w:val="00863002"/>
    <w:rsid w:val="00863F75"/>
    <w:rsid w:val="00864485"/>
    <w:rsid w:val="00864AD7"/>
    <w:rsid w:val="00864E9F"/>
    <w:rsid w:val="00865514"/>
    <w:rsid w:val="00865AA8"/>
    <w:rsid w:val="008662AE"/>
    <w:rsid w:val="00866395"/>
    <w:rsid w:val="0086649E"/>
    <w:rsid w:val="0086753E"/>
    <w:rsid w:val="00867B6E"/>
    <w:rsid w:val="00867E65"/>
    <w:rsid w:val="008705B4"/>
    <w:rsid w:val="008709C3"/>
    <w:rsid w:val="00870A53"/>
    <w:rsid w:val="00871BF3"/>
    <w:rsid w:val="0087330A"/>
    <w:rsid w:val="00873645"/>
    <w:rsid w:val="00874350"/>
    <w:rsid w:val="0087443B"/>
    <w:rsid w:val="008749B7"/>
    <w:rsid w:val="00874AE9"/>
    <w:rsid w:val="00874C00"/>
    <w:rsid w:val="00874F7B"/>
    <w:rsid w:val="00875B90"/>
    <w:rsid w:val="0087614D"/>
    <w:rsid w:val="00876477"/>
    <w:rsid w:val="0087647C"/>
    <w:rsid w:val="0087674C"/>
    <w:rsid w:val="0087698C"/>
    <w:rsid w:val="00877132"/>
    <w:rsid w:val="008771CB"/>
    <w:rsid w:val="00877485"/>
    <w:rsid w:val="0088041A"/>
    <w:rsid w:val="008817AE"/>
    <w:rsid w:val="008824F1"/>
    <w:rsid w:val="008827D9"/>
    <w:rsid w:val="00882C12"/>
    <w:rsid w:val="00882E9A"/>
    <w:rsid w:val="00882FD5"/>
    <w:rsid w:val="00882FEA"/>
    <w:rsid w:val="0088460A"/>
    <w:rsid w:val="0088474B"/>
    <w:rsid w:val="00884999"/>
    <w:rsid w:val="008852A3"/>
    <w:rsid w:val="008868D4"/>
    <w:rsid w:val="00886E61"/>
    <w:rsid w:val="008879EA"/>
    <w:rsid w:val="00887ABD"/>
    <w:rsid w:val="00890256"/>
    <w:rsid w:val="00890EB7"/>
    <w:rsid w:val="00891064"/>
    <w:rsid w:val="00891E56"/>
    <w:rsid w:val="00891ECE"/>
    <w:rsid w:val="0089202C"/>
    <w:rsid w:val="008924F1"/>
    <w:rsid w:val="00893176"/>
    <w:rsid w:val="00896FB4"/>
    <w:rsid w:val="008A008B"/>
    <w:rsid w:val="008A0FC4"/>
    <w:rsid w:val="008A1E1B"/>
    <w:rsid w:val="008A24F4"/>
    <w:rsid w:val="008A255F"/>
    <w:rsid w:val="008A2EC0"/>
    <w:rsid w:val="008A351F"/>
    <w:rsid w:val="008A359B"/>
    <w:rsid w:val="008A410C"/>
    <w:rsid w:val="008A478A"/>
    <w:rsid w:val="008A5267"/>
    <w:rsid w:val="008A565C"/>
    <w:rsid w:val="008A6914"/>
    <w:rsid w:val="008A75A0"/>
    <w:rsid w:val="008B07DA"/>
    <w:rsid w:val="008B1376"/>
    <w:rsid w:val="008B1671"/>
    <w:rsid w:val="008B2121"/>
    <w:rsid w:val="008B2874"/>
    <w:rsid w:val="008B2DC8"/>
    <w:rsid w:val="008B30F3"/>
    <w:rsid w:val="008B350C"/>
    <w:rsid w:val="008B49CF"/>
    <w:rsid w:val="008B4C3A"/>
    <w:rsid w:val="008B4CB4"/>
    <w:rsid w:val="008B545C"/>
    <w:rsid w:val="008B618C"/>
    <w:rsid w:val="008B6408"/>
    <w:rsid w:val="008B710E"/>
    <w:rsid w:val="008B73B8"/>
    <w:rsid w:val="008B7D8F"/>
    <w:rsid w:val="008C05AB"/>
    <w:rsid w:val="008C0BA4"/>
    <w:rsid w:val="008C2227"/>
    <w:rsid w:val="008C23FB"/>
    <w:rsid w:val="008C3B69"/>
    <w:rsid w:val="008C3BEA"/>
    <w:rsid w:val="008C3EB7"/>
    <w:rsid w:val="008C4444"/>
    <w:rsid w:val="008C446C"/>
    <w:rsid w:val="008C4938"/>
    <w:rsid w:val="008C690A"/>
    <w:rsid w:val="008C6A0A"/>
    <w:rsid w:val="008C7868"/>
    <w:rsid w:val="008C79EE"/>
    <w:rsid w:val="008C7A72"/>
    <w:rsid w:val="008C7AA8"/>
    <w:rsid w:val="008C7F85"/>
    <w:rsid w:val="008D0418"/>
    <w:rsid w:val="008D0595"/>
    <w:rsid w:val="008D0777"/>
    <w:rsid w:val="008D07C4"/>
    <w:rsid w:val="008D0C25"/>
    <w:rsid w:val="008D29FD"/>
    <w:rsid w:val="008D2D2C"/>
    <w:rsid w:val="008D2EE9"/>
    <w:rsid w:val="008D3A75"/>
    <w:rsid w:val="008D3B53"/>
    <w:rsid w:val="008D557B"/>
    <w:rsid w:val="008D66F2"/>
    <w:rsid w:val="008D6C57"/>
    <w:rsid w:val="008D71E4"/>
    <w:rsid w:val="008E0193"/>
    <w:rsid w:val="008E1485"/>
    <w:rsid w:val="008E2681"/>
    <w:rsid w:val="008E322A"/>
    <w:rsid w:val="008E323C"/>
    <w:rsid w:val="008E3C9A"/>
    <w:rsid w:val="008E40A1"/>
    <w:rsid w:val="008E46E4"/>
    <w:rsid w:val="008E4EDF"/>
    <w:rsid w:val="008E6222"/>
    <w:rsid w:val="008E6CEF"/>
    <w:rsid w:val="008F004D"/>
    <w:rsid w:val="008F13E8"/>
    <w:rsid w:val="008F143F"/>
    <w:rsid w:val="008F15FE"/>
    <w:rsid w:val="008F1780"/>
    <w:rsid w:val="008F1DE1"/>
    <w:rsid w:val="008F22C5"/>
    <w:rsid w:val="008F2311"/>
    <w:rsid w:val="008F2924"/>
    <w:rsid w:val="008F2B48"/>
    <w:rsid w:val="008F314C"/>
    <w:rsid w:val="008F336F"/>
    <w:rsid w:val="008F33EF"/>
    <w:rsid w:val="008F3B8E"/>
    <w:rsid w:val="008F4391"/>
    <w:rsid w:val="008F5202"/>
    <w:rsid w:val="008F575B"/>
    <w:rsid w:val="008F57AF"/>
    <w:rsid w:val="008F5800"/>
    <w:rsid w:val="008F5884"/>
    <w:rsid w:val="008F5A82"/>
    <w:rsid w:val="008F72CD"/>
    <w:rsid w:val="008F77C4"/>
    <w:rsid w:val="009010B1"/>
    <w:rsid w:val="009011AD"/>
    <w:rsid w:val="00901655"/>
    <w:rsid w:val="00901991"/>
    <w:rsid w:val="009022F4"/>
    <w:rsid w:val="00902868"/>
    <w:rsid w:val="00902D67"/>
    <w:rsid w:val="00903E07"/>
    <w:rsid w:val="0090410F"/>
    <w:rsid w:val="00904813"/>
    <w:rsid w:val="00904DD6"/>
    <w:rsid w:val="00905339"/>
    <w:rsid w:val="00905E86"/>
    <w:rsid w:val="00906366"/>
    <w:rsid w:val="00906B30"/>
    <w:rsid w:val="00906E41"/>
    <w:rsid w:val="00907631"/>
    <w:rsid w:val="009107F9"/>
    <w:rsid w:val="00910D87"/>
    <w:rsid w:val="009112CB"/>
    <w:rsid w:val="00911B9E"/>
    <w:rsid w:val="00911C0C"/>
    <w:rsid w:val="00911E0D"/>
    <w:rsid w:val="0091201E"/>
    <w:rsid w:val="00913154"/>
    <w:rsid w:val="0091386A"/>
    <w:rsid w:val="009141E7"/>
    <w:rsid w:val="0091434E"/>
    <w:rsid w:val="00914B3F"/>
    <w:rsid w:val="00916354"/>
    <w:rsid w:val="00916783"/>
    <w:rsid w:val="00916ED0"/>
    <w:rsid w:val="009179F9"/>
    <w:rsid w:val="009206C6"/>
    <w:rsid w:val="00920C99"/>
    <w:rsid w:val="00920D4C"/>
    <w:rsid w:val="00921145"/>
    <w:rsid w:val="009212E2"/>
    <w:rsid w:val="009217FD"/>
    <w:rsid w:val="009221ED"/>
    <w:rsid w:val="00922D60"/>
    <w:rsid w:val="0092314A"/>
    <w:rsid w:val="00923745"/>
    <w:rsid w:val="00923B30"/>
    <w:rsid w:val="00925698"/>
    <w:rsid w:val="009256B7"/>
    <w:rsid w:val="00926F1D"/>
    <w:rsid w:val="0093017B"/>
    <w:rsid w:val="00930BA8"/>
    <w:rsid w:val="0093104E"/>
    <w:rsid w:val="009313F4"/>
    <w:rsid w:val="009319F0"/>
    <w:rsid w:val="00931B58"/>
    <w:rsid w:val="00931D62"/>
    <w:rsid w:val="00932354"/>
    <w:rsid w:val="00932DE5"/>
    <w:rsid w:val="0093332C"/>
    <w:rsid w:val="009334BC"/>
    <w:rsid w:val="009339F9"/>
    <w:rsid w:val="009340E4"/>
    <w:rsid w:val="009348C6"/>
    <w:rsid w:val="00934939"/>
    <w:rsid w:val="00935F35"/>
    <w:rsid w:val="00936C30"/>
    <w:rsid w:val="00936DCF"/>
    <w:rsid w:val="00937CD2"/>
    <w:rsid w:val="009404A2"/>
    <w:rsid w:val="00940F51"/>
    <w:rsid w:val="00941AF7"/>
    <w:rsid w:val="00941B98"/>
    <w:rsid w:val="009421D5"/>
    <w:rsid w:val="00943563"/>
    <w:rsid w:val="00943AD6"/>
    <w:rsid w:val="00943DB1"/>
    <w:rsid w:val="0094503C"/>
    <w:rsid w:val="00945089"/>
    <w:rsid w:val="009450DC"/>
    <w:rsid w:val="0094591D"/>
    <w:rsid w:val="00945E2E"/>
    <w:rsid w:val="00945FC0"/>
    <w:rsid w:val="00946119"/>
    <w:rsid w:val="00946198"/>
    <w:rsid w:val="00946C22"/>
    <w:rsid w:val="009503C0"/>
    <w:rsid w:val="009504E8"/>
    <w:rsid w:val="0095079E"/>
    <w:rsid w:val="00950A82"/>
    <w:rsid w:val="00950AD1"/>
    <w:rsid w:val="00950BB1"/>
    <w:rsid w:val="00952DE2"/>
    <w:rsid w:val="00953CCD"/>
    <w:rsid w:val="0095436E"/>
    <w:rsid w:val="00954786"/>
    <w:rsid w:val="00954CDD"/>
    <w:rsid w:val="00955053"/>
    <w:rsid w:val="00955AB0"/>
    <w:rsid w:val="009560DF"/>
    <w:rsid w:val="009569BC"/>
    <w:rsid w:val="009601DA"/>
    <w:rsid w:val="00961EE2"/>
    <w:rsid w:val="00961EEE"/>
    <w:rsid w:val="009623FE"/>
    <w:rsid w:val="009626E5"/>
    <w:rsid w:val="00962996"/>
    <w:rsid w:val="00962A45"/>
    <w:rsid w:val="0096323C"/>
    <w:rsid w:val="009639DF"/>
    <w:rsid w:val="0096520E"/>
    <w:rsid w:val="009653E6"/>
    <w:rsid w:val="009659E5"/>
    <w:rsid w:val="00966340"/>
    <w:rsid w:val="00967138"/>
    <w:rsid w:val="00967A77"/>
    <w:rsid w:val="00967E33"/>
    <w:rsid w:val="009707B5"/>
    <w:rsid w:val="00971850"/>
    <w:rsid w:val="00971C34"/>
    <w:rsid w:val="00971D1E"/>
    <w:rsid w:val="00973BE2"/>
    <w:rsid w:val="00974003"/>
    <w:rsid w:val="0097499A"/>
    <w:rsid w:val="009750EA"/>
    <w:rsid w:val="00975D5C"/>
    <w:rsid w:val="009764E1"/>
    <w:rsid w:val="009809C0"/>
    <w:rsid w:val="00980C9B"/>
    <w:rsid w:val="009811A6"/>
    <w:rsid w:val="00981A40"/>
    <w:rsid w:val="00982ABF"/>
    <w:rsid w:val="00982C9E"/>
    <w:rsid w:val="00983336"/>
    <w:rsid w:val="00983DD8"/>
    <w:rsid w:val="009840B9"/>
    <w:rsid w:val="00984327"/>
    <w:rsid w:val="00984BAE"/>
    <w:rsid w:val="00984BF6"/>
    <w:rsid w:val="009854F7"/>
    <w:rsid w:val="0098556B"/>
    <w:rsid w:val="00985583"/>
    <w:rsid w:val="00985C66"/>
    <w:rsid w:val="0098651B"/>
    <w:rsid w:val="0098676A"/>
    <w:rsid w:val="00986CDE"/>
    <w:rsid w:val="00986F56"/>
    <w:rsid w:val="00987947"/>
    <w:rsid w:val="00990999"/>
    <w:rsid w:val="00990CD6"/>
    <w:rsid w:val="00991583"/>
    <w:rsid w:val="00991751"/>
    <w:rsid w:val="00991A0C"/>
    <w:rsid w:val="00991E30"/>
    <w:rsid w:val="00991F82"/>
    <w:rsid w:val="009929D2"/>
    <w:rsid w:val="00993151"/>
    <w:rsid w:val="00993F2A"/>
    <w:rsid w:val="0099471A"/>
    <w:rsid w:val="009958D6"/>
    <w:rsid w:val="009958E2"/>
    <w:rsid w:val="00995BF1"/>
    <w:rsid w:val="00995E63"/>
    <w:rsid w:val="009A09A2"/>
    <w:rsid w:val="009A0E81"/>
    <w:rsid w:val="009A208B"/>
    <w:rsid w:val="009A24F7"/>
    <w:rsid w:val="009A2926"/>
    <w:rsid w:val="009A36EB"/>
    <w:rsid w:val="009A4241"/>
    <w:rsid w:val="009A4640"/>
    <w:rsid w:val="009A47FF"/>
    <w:rsid w:val="009A514C"/>
    <w:rsid w:val="009A5ECB"/>
    <w:rsid w:val="009A61C3"/>
    <w:rsid w:val="009A657A"/>
    <w:rsid w:val="009A6D73"/>
    <w:rsid w:val="009B237F"/>
    <w:rsid w:val="009B338A"/>
    <w:rsid w:val="009B3775"/>
    <w:rsid w:val="009B385B"/>
    <w:rsid w:val="009B42E8"/>
    <w:rsid w:val="009B4A8F"/>
    <w:rsid w:val="009B4CE6"/>
    <w:rsid w:val="009B4CE9"/>
    <w:rsid w:val="009B4E33"/>
    <w:rsid w:val="009B53A1"/>
    <w:rsid w:val="009B5D83"/>
    <w:rsid w:val="009B6299"/>
    <w:rsid w:val="009B6318"/>
    <w:rsid w:val="009B6D37"/>
    <w:rsid w:val="009B77AF"/>
    <w:rsid w:val="009C04EB"/>
    <w:rsid w:val="009C0CFF"/>
    <w:rsid w:val="009C1656"/>
    <w:rsid w:val="009C17BC"/>
    <w:rsid w:val="009C1802"/>
    <w:rsid w:val="009C189B"/>
    <w:rsid w:val="009C242A"/>
    <w:rsid w:val="009C2D13"/>
    <w:rsid w:val="009C49BE"/>
    <w:rsid w:val="009C4B53"/>
    <w:rsid w:val="009C61E6"/>
    <w:rsid w:val="009C682E"/>
    <w:rsid w:val="009C6863"/>
    <w:rsid w:val="009D00E0"/>
    <w:rsid w:val="009D0EAA"/>
    <w:rsid w:val="009D220F"/>
    <w:rsid w:val="009D22A6"/>
    <w:rsid w:val="009D2ABA"/>
    <w:rsid w:val="009D2EB8"/>
    <w:rsid w:val="009D35EC"/>
    <w:rsid w:val="009D3BFB"/>
    <w:rsid w:val="009D3C84"/>
    <w:rsid w:val="009D3EB7"/>
    <w:rsid w:val="009D58A8"/>
    <w:rsid w:val="009D63E5"/>
    <w:rsid w:val="009D69FB"/>
    <w:rsid w:val="009D77A4"/>
    <w:rsid w:val="009E16EB"/>
    <w:rsid w:val="009E17A0"/>
    <w:rsid w:val="009E2FFF"/>
    <w:rsid w:val="009E3075"/>
    <w:rsid w:val="009E376B"/>
    <w:rsid w:val="009E395B"/>
    <w:rsid w:val="009E44C5"/>
    <w:rsid w:val="009E5094"/>
    <w:rsid w:val="009E5932"/>
    <w:rsid w:val="009E5D34"/>
    <w:rsid w:val="009E656A"/>
    <w:rsid w:val="009E7393"/>
    <w:rsid w:val="009E74C2"/>
    <w:rsid w:val="009E7874"/>
    <w:rsid w:val="009F01A4"/>
    <w:rsid w:val="009F02D0"/>
    <w:rsid w:val="009F1170"/>
    <w:rsid w:val="009F2CA3"/>
    <w:rsid w:val="009F3E50"/>
    <w:rsid w:val="009F3F1E"/>
    <w:rsid w:val="009F4252"/>
    <w:rsid w:val="009F42FF"/>
    <w:rsid w:val="009F4462"/>
    <w:rsid w:val="009F4F75"/>
    <w:rsid w:val="009F5A97"/>
    <w:rsid w:val="009F5D14"/>
    <w:rsid w:val="009F6270"/>
    <w:rsid w:val="009F665B"/>
    <w:rsid w:val="009F6BD8"/>
    <w:rsid w:val="00A00A01"/>
    <w:rsid w:val="00A019B5"/>
    <w:rsid w:val="00A01D40"/>
    <w:rsid w:val="00A01DF4"/>
    <w:rsid w:val="00A02EC4"/>
    <w:rsid w:val="00A0307D"/>
    <w:rsid w:val="00A030F5"/>
    <w:rsid w:val="00A040F0"/>
    <w:rsid w:val="00A04163"/>
    <w:rsid w:val="00A05524"/>
    <w:rsid w:val="00A0617E"/>
    <w:rsid w:val="00A06976"/>
    <w:rsid w:val="00A06AA0"/>
    <w:rsid w:val="00A07713"/>
    <w:rsid w:val="00A101A3"/>
    <w:rsid w:val="00A10F39"/>
    <w:rsid w:val="00A10F9A"/>
    <w:rsid w:val="00A11275"/>
    <w:rsid w:val="00A11A60"/>
    <w:rsid w:val="00A13108"/>
    <w:rsid w:val="00A134C8"/>
    <w:rsid w:val="00A13E8D"/>
    <w:rsid w:val="00A14418"/>
    <w:rsid w:val="00A14A96"/>
    <w:rsid w:val="00A14DC5"/>
    <w:rsid w:val="00A15473"/>
    <w:rsid w:val="00A1549E"/>
    <w:rsid w:val="00A15807"/>
    <w:rsid w:val="00A15BE7"/>
    <w:rsid w:val="00A15DBA"/>
    <w:rsid w:val="00A16B74"/>
    <w:rsid w:val="00A17146"/>
    <w:rsid w:val="00A206EA"/>
    <w:rsid w:val="00A21354"/>
    <w:rsid w:val="00A23442"/>
    <w:rsid w:val="00A23470"/>
    <w:rsid w:val="00A236BE"/>
    <w:rsid w:val="00A242BC"/>
    <w:rsid w:val="00A24630"/>
    <w:rsid w:val="00A247D0"/>
    <w:rsid w:val="00A24F2C"/>
    <w:rsid w:val="00A26026"/>
    <w:rsid w:val="00A2676B"/>
    <w:rsid w:val="00A269E8"/>
    <w:rsid w:val="00A26B08"/>
    <w:rsid w:val="00A272A9"/>
    <w:rsid w:val="00A27567"/>
    <w:rsid w:val="00A306D7"/>
    <w:rsid w:val="00A30A84"/>
    <w:rsid w:val="00A30C46"/>
    <w:rsid w:val="00A3166C"/>
    <w:rsid w:val="00A31FBB"/>
    <w:rsid w:val="00A32C43"/>
    <w:rsid w:val="00A33212"/>
    <w:rsid w:val="00A332D5"/>
    <w:rsid w:val="00A33393"/>
    <w:rsid w:val="00A34D1D"/>
    <w:rsid w:val="00A35105"/>
    <w:rsid w:val="00A35900"/>
    <w:rsid w:val="00A35AFF"/>
    <w:rsid w:val="00A36408"/>
    <w:rsid w:val="00A366E7"/>
    <w:rsid w:val="00A36832"/>
    <w:rsid w:val="00A36853"/>
    <w:rsid w:val="00A36B65"/>
    <w:rsid w:val="00A37805"/>
    <w:rsid w:val="00A4061D"/>
    <w:rsid w:val="00A40AF4"/>
    <w:rsid w:val="00A40D77"/>
    <w:rsid w:val="00A41670"/>
    <w:rsid w:val="00A418F8"/>
    <w:rsid w:val="00A41C41"/>
    <w:rsid w:val="00A427C3"/>
    <w:rsid w:val="00A42D7D"/>
    <w:rsid w:val="00A42F5F"/>
    <w:rsid w:val="00A433F1"/>
    <w:rsid w:val="00A439C5"/>
    <w:rsid w:val="00A43AE2"/>
    <w:rsid w:val="00A43EBB"/>
    <w:rsid w:val="00A4446C"/>
    <w:rsid w:val="00A4473F"/>
    <w:rsid w:val="00A44860"/>
    <w:rsid w:val="00A45534"/>
    <w:rsid w:val="00A455F1"/>
    <w:rsid w:val="00A455F4"/>
    <w:rsid w:val="00A459C5"/>
    <w:rsid w:val="00A46203"/>
    <w:rsid w:val="00A47220"/>
    <w:rsid w:val="00A474E3"/>
    <w:rsid w:val="00A5001A"/>
    <w:rsid w:val="00A506F8"/>
    <w:rsid w:val="00A50B22"/>
    <w:rsid w:val="00A50B5F"/>
    <w:rsid w:val="00A50DD3"/>
    <w:rsid w:val="00A5129D"/>
    <w:rsid w:val="00A513F4"/>
    <w:rsid w:val="00A51B4D"/>
    <w:rsid w:val="00A51D24"/>
    <w:rsid w:val="00A52BBE"/>
    <w:rsid w:val="00A52F67"/>
    <w:rsid w:val="00A53A97"/>
    <w:rsid w:val="00A53E08"/>
    <w:rsid w:val="00A53EEB"/>
    <w:rsid w:val="00A54D9A"/>
    <w:rsid w:val="00A556C0"/>
    <w:rsid w:val="00A5588A"/>
    <w:rsid w:val="00A56556"/>
    <w:rsid w:val="00A56575"/>
    <w:rsid w:val="00A56982"/>
    <w:rsid w:val="00A57393"/>
    <w:rsid w:val="00A578A9"/>
    <w:rsid w:val="00A60B1D"/>
    <w:rsid w:val="00A60D55"/>
    <w:rsid w:val="00A614C7"/>
    <w:rsid w:val="00A61A7E"/>
    <w:rsid w:val="00A6299B"/>
    <w:rsid w:val="00A62A16"/>
    <w:rsid w:val="00A6343C"/>
    <w:rsid w:val="00A63E8D"/>
    <w:rsid w:val="00A64604"/>
    <w:rsid w:val="00A64C6F"/>
    <w:rsid w:val="00A65182"/>
    <w:rsid w:val="00A65680"/>
    <w:rsid w:val="00A65809"/>
    <w:rsid w:val="00A6589A"/>
    <w:rsid w:val="00A65AE4"/>
    <w:rsid w:val="00A666D7"/>
    <w:rsid w:val="00A66CB8"/>
    <w:rsid w:val="00A716B7"/>
    <w:rsid w:val="00A71919"/>
    <w:rsid w:val="00A71AAE"/>
    <w:rsid w:val="00A71CFE"/>
    <w:rsid w:val="00A71D95"/>
    <w:rsid w:val="00A71EB3"/>
    <w:rsid w:val="00A74481"/>
    <w:rsid w:val="00A745CA"/>
    <w:rsid w:val="00A74D09"/>
    <w:rsid w:val="00A74F40"/>
    <w:rsid w:val="00A75836"/>
    <w:rsid w:val="00A75D90"/>
    <w:rsid w:val="00A76B89"/>
    <w:rsid w:val="00A77421"/>
    <w:rsid w:val="00A7782E"/>
    <w:rsid w:val="00A77994"/>
    <w:rsid w:val="00A77AC6"/>
    <w:rsid w:val="00A806F6"/>
    <w:rsid w:val="00A80AD4"/>
    <w:rsid w:val="00A80F1B"/>
    <w:rsid w:val="00A81570"/>
    <w:rsid w:val="00A82548"/>
    <w:rsid w:val="00A829D2"/>
    <w:rsid w:val="00A82BAE"/>
    <w:rsid w:val="00A83060"/>
    <w:rsid w:val="00A83A11"/>
    <w:rsid w:val="00A844B6"/>
    <w:rsid w:val="00A84BF2"/>
    <w:rsid w:val="00A84F0F"/>
    <w:rsid w:val="00A850F1"/>
    <w:rsid w:val="00A8648D"/>
    <w:rsid w:val="00A8695F"/>
    <w:rsid w:val="00A86B87"/>
    <w:rsid w:val="00A86EA9"/>
    <w:rsid w:val="00A905D8"/>
    <w:rsid w:val="00A909E0"/>
    <w:rsid w:val="00A9115C"/>
    <w:rsid w:val="00A922D2"/>
    <w:rsid w:val="00A9235A"/>
    <w:rsid w:val="00A9366D"/>
    <w:rsid w:val="00A93971"/>
    <w:rsid w:val="00A93D60"/>
    <w:rsid w:val="00A94213"/>
    <w:rsid w:val="00A94629"/>
    <w:rsid w:val="00A9476F"/>
    <w:rsid w:val="00A95B3C"/>
    <w:rsid w:val="00A96244"/>
    <w:rsid w:val="00A96264"/>
    <w:rsid w:val="00A97668"/>
    <w:rsid w:val="00A97869"/>
    <w:rsid w:val="00AA092E"/>
    <w:rsid w:val="00AA113B"/>
    <w:rsid w:val="00AA1F3C"/>
    <w:rsid w:val="00AA2C53"/>
    <w:rsid w:val="00AA3D47"/>
    <w:rsid w:val="00AA4C3A"/>
    <w:rsid w:val="00AA5044"/>
    <w:rsid w:val="00AA53AE"/>
    <w:rsid w:val="00AA54DA"/>
    <w:rsid w:val="00AA5F1E"/>
    <w:rsid w:val="00AA61ED"/>
    <w:rsid w:val="00AA6C35"/>
    <w:rsid w:val="00AA74F9"/>
    <w:rsid w:val="00AA766B"/>
    <w:rsid w:val="00AA7E4E"/>
    <w:rsid w:val="00AB00D7"/>
    <w:rsid w:val="00AB0106"/>
    <w:rsid w:val="00AB07ED"/>
    <w:rsid w:val="00AB33AB"/>
    <w:rsid w:val="00AB4F85"/>
    <w:rsid w:val="00AB513D"/>
    <w:rsid w:val="00AB52CB"/>
    <w:rsid w:val="00AB5360"/>
    <w:rsid w:val="00AB5564"/>
    <w:rsid w:val="00AB5A0B"/>
    <w:rsid w:val="00AB5F6C"/>
    <w:rsid w:val="00AB606E"/>
    <w:rsid w:val="00AB6ACF"/>
    <w:rsid w:val="00AB6D42"/>
    <w:rsid w:val="00AB7130"/>
    <w:rsid w:val="00AB7A97"/>
    <w:rsid w:val="00AC06E6"/>
    <w:rsid w:val="00AC0AD0"/>
    <w:rsid w:val="00AC100F"/>
    <w:rsid w:val="00AC12F8"/>
    <w:rsid w:val="00AC18A2"/>
    <w:rsid w:val="00AC1E93"/>
    <w:rsid w:val="00AC1EF7"/>
    <w:rsid w:val="00AC20F3"/>
    <w:rsid w:val="00AC36BF"/>
    <w:rsid w:val="00AC38FE"/>
    <w:rsid w:val="00AC64FE"/>
    <w:rsid w:val="00AC65D5"/>
    <w:rsid w:val="00AC6DD3"/>
    <w:rsid w:val="00AC6F96"/>
    <w:rsid w:val="00AC7314"/>
    <w:rsid w:val="00AC7E26"/>
    <w:rsid w:val="00AD021C"/>
    <w:rsid w:val="00AD05B0"/>
    <w:rsid w:val="00AD184C"/>
    <w:rsid w:val="00AD29FE"/>
    <w:rsid w:val="00AD350E"/>
    <w:rsid w:val="00AD3E10"/>
    <w:rsid w:val="00AD4008"/>
    <w:rsid w:val="00AD4BE6"/>
    <w:rsid w:val="00AD50A0"/>
    <w:rsid w:val="00AD70B2"/>
    <w:rsid w:val="00AD75A7"/>
    <w:rsid w:val="00AD7660"/>
    <w:rsid w:val="00AD7C45"/>
    <w:rsid w:val="00AD7C8E"/>
    <w:rsid w:val="00AE1D4A"/>
    <w:rsid w:val="00AE23E2"/>
    <w:rsid w:val="00AE29A5"/>
    <w:rsid w:val="00AE2EC8"/>
    <w:rsid w:val="00AE351E"/>
    <w:rsid w:val="00AE3E4B"/>
    <w:rsid w:val="00AE41DD"/>
    <w:rsid w:val="00AE4453"/>
    <w:rsid w:val="00AE4B8C"/>
    <w:rsid w:val="00AE58BB"/>
    <w:rsid w:val="00AE5D45"/>
    <w:rsid w:val="00AE76EA"/>
    <w:rsid w:val="00AF004E"/>
    <w:rsid w:val="00AF0377"/>
    <w:rsid w:val="00AF0791"/>
    <w:rsid w:val="00AF0BAD"/>
    <w:rsid w:val="00AF0C31"/>
    <w:rsid w:val="00AF1E4B"/>
    <w:rsid w:val="00AF1FB7"/>
    <w:rsid w:val="00AF2A87"/>
    <w:rsid w:val="00AF2F38"/>
    <w:rsid w:val="00AF3080"/>
    <w:rsid w:val="00AF348A"/>
    <w:rsid w:val="00AF3B57"/>
    <w:rsid w:val="00AF44DD"/>
    <w:rsid w:val="00AF4C3C"/>
    <w:rsid w:val="00AF5613"/>
    <w:rsid w:val="00AF67B6"/>
    <w:rsid w:val="00AF691B"/>
    <w:rsid w:val="00AF6BD0"/>
    <w:rsid w:val="00AF736E"/>
    <w:rsid w:val="00AF7E46"/>
    <w:rsid w:val="00B00371"/>
    <w:rsid w:val="00B0074A"/>
    <w:rsid w:val="00B028EB"/>
    <w:rsid w:val="00B0363F"/>
    <w:rsid w:val="00B03A46"/>
    <w:rsid w:val="00B0408C"/>
    <w:rsid w:val="00B04AAF"/>
    <w:rsid w:val="00B04D8D"/>
    <w:rsid w:val="00B04EC7"/>
    <w:rsid w:val="00B05D1E"/>
    <w:rsid w:val="00B06EF2"/>
    <w:rsid w:val="00B071BB"/>
    <w:rsid w:val="00B103B4"/>
    <w:rsid w:val="00B10702"/>
    <w:rsid w:val="00B10A7D"/>
    <w:rsid w:val="00B10A86"/>
    <w:rsid w:val="00B113EF"/>
    <w:rsid w:val="00B11573"/>
    <w:rsid w:val="00B11723"/>
    <w:rsid w:val="00B11F59"/>
    <w:rsid w:val="00B1216D"/>
    <w:rsid w:val="00B12415"/>
    <w:rsid w:val="00B12D85"/>
    <w:rsid w:val="00B13302"/>
    <w:rsid w:val="00B137C3"/>
    <w:rsid w:val="00B13922"/>
    <w:rsid w:val="00B143CE"/>
    <w:rsid w:val="00B15472"/>
    <w:rsid w:val="00B1548C"/>
    <w:rsid w:val="00B15503"/>
    <w:rsid w:val="00B165B0"/>
    <w:rsid w:val="00B16941"/>
    <w:rsid w:val="00B169D6"/>
    <w:rsid w:val="00B17067"/>
    <w:rsid w:val="00B17A57"/>
    <w:rsid w:val="00B17D30"/>
    <w:rsid w:val="00B201F0"/>
    <w:rsid w:val="00B20B1E"/>
    <w:rsid w:val="00B20BF4"/>
    <w:rsid w:val="00B2239B"/>
    <w:rsid w:val="00B23547"/>
    <w:rsid w:val="00B238C9"/>
    <w:rsid w:val="00B23D98"/>
    <w:rsid w:val="00B2414E"/>
    <w:rsid w:val="00B2471C"/>
    <w:rsid w:val="00B247D3"/>
    <w:rsid w:val="00B25F6E"/>
    <w:rsid w:val="00B25F82"/>
    <w:rsid w:val="00B265B6"/>
    <w:rsid w:val="00B2685F"/>
    <w:rsid w:val="00B268E3"/>
    <w:rsid w:val="00B26D51"/>
    <w:rsid w:val="00B26FBB"/>
    <w:rsid w:val="00B2777B"/>
    <w:rsid w:val="00B31012"/>
    <w:rsid w:val="00B321B1"/>
    <w:rsid w:val="00B32D54"/>
    <w:rsid w:val="00B32E53"/>
    <w:rsid w:val="00B3352C"/>
    <w:rsid w:val="00B335D4"/>
    <w:rsid w:val="00B342B7"/>
    <w:rsid w:val="00B34D2C"/>
    <w:rsid w:val="00B35105"/>
    <w:rsid w:val="00B354C0"/>
    <w:rsid w:val="00B35B07"/>
    <w:rsid w:val="00B360A5"/>
    <w:rsid w:val="00B36516"/>
    <w:rsid w:val="00B36BF6"/>
    <w:rsid w:val="00B37235"/>
    <w:rsid w:val="00B372B0"/>
    <w:rsid w:val="00B37467"/>
    <w:rsid w:val="00B37BD7"/>
    <w:rsid w:val="00B37FB0"/>
    <w:rsid w:val="00B400A9"/>
    <w:rsid w:val="00B40115"/>
    <w:rsid w:val="00B405A0"/>
    <w:rsid w:val="00B40A65"/>
    <w:rsid w:val="00B40A92"/>
    <w:rsid w:val="00B41A9F"/>
    <w:rsid w:val="00B41CBA"/>
    <w:rsid w:val="00B4292F"/>
    <w:rsid w:val="00B42A84"/>
    <w:rsid w:val="00B4304E"/>
    <w:rsid w:val="00B43FAA"/>
    <w:rsid w:val="00B43FD8"/>
    <w:rsid w:val="00B45E8A"/>
    <w:rsid w:val="00B46572"/>
    <w:rsid w:val="00B473F5"/>
    <w:rsid w:val="00B475E0"/>
    <w:rsid w:val="00B51DB5"/>
    <w:rsid w:val="00B51ED6"/>
    <w:rsid w:val="00B52670"/>
    <w:rsid w:val="00B53B54"/>
    <w:rsid w:val="00B545A7"/>
    <w:rsid w:val="00B5485C"/>
    <w:rsid w:val="00B555D1"/>
    <w:rsid w:val="00B55D0D"/>
    <w:rsid w:val="00B56707"/>
    <w:rsid w:val="00B573E8"/>
    <w:rsid w:val="00B578F7"/>
    <w:rsid w:val="00B57BD5"/>
    <w:rsid w:val="00B6042C"/>
    <w:rsid w:val="00B6063A"/>
    <w:rsid w:val="00B60F6A"/>
    <w:rsid w:val="00B61588"/>
    <w:rsid w:val="00B615ED"/>
    <w:rsid w:val="00B617B4"/>
    <w:rsid w:val="00B6193F"/>
    <w:rsid w:val="00B61F63"/>
    <w:rsid w:val="00B62769"/>
    <w:rsid w:val="00B62E4F"/>
    <w:rsid w:val="00B63058"/>
    <w:rsid w:val="00B63060"/>
    <w:rsid w:val="00B633F7"/>
    <w:rsid w:val="00B63DF0"/>
    <w:rsid w:val="00B64207"/>
    <w:rsid w:val="00B648C1"/>
    <w:rsid w:val="00B64987"/>
    <w:rsid w:val="00B650E9"/>
    <w:rsid w:val="00B657F1"/>
    <w:rsid w:val="00B658E1"/>
    <w:rsid w:val="00B659B8"/>
    <w:rsid w:val="00B659E4"/>
    <w:rsid w:val="00B66406"/>
    <w:rsid w:val="00B66710"/>
    <w:rsid w:val="00B66B8E"/>
    <w:rsid w:val="00B6725D"/>
    <w:rsid w:val="00B67368"/>
    <w:rsid w:val="00B67453"/>
    <w:rsid w:val="00B67E15"/>
    <w:rsid w:val="00B67E2C"/>
    <w:rsid w:val="00B7012E"/>
    <w:rsid w:val="00B7050B"/>
    <w:rsid w:val="00B71036"/>
    <w:rsid w:val="00B71ACC"/>
    <w:rsid w:val="00B71FA9"/>
    <w:rsid w:val="00B72233"/>
    <w:rsid w:val="00B72491"/>
    <w:rsid w:val="00B7273F"/>
    <w:rsid w:val="00B727B0"/>
    <w:rsid w:val="00B7289C"/>
    <w:rsid w:val="00B72F5C"/>
    <w:rsid w:val="00B73DE0"/>
    <w:rsid w:val="00B7403C"/>
    <w:rsid w:val="00B74B32"/>
    <w:rsid w:val="00B74E19"/>
    <w:rsid w:val="00B75EA3"/>
    <w:rsid w:val="00B75F5B"/>
    <w:rsid w:val="00B7630B"/>
    <w:rsid w:val="00B774F8"/>
    <w:rsid w:val="00B77E9F"/>
    <w:rsid w:val="00B77FFC"/>
    <w:rsid w:val="00B827D8"/>
    <w:rsid w:val="00B828B9"/>
    <w:rsid w:val="00B82EB1"/>
    <w:rsid w:val="00B8384C"/>
    <w:rsid w:val="00B83CD1"/>
    <w:rsid w:val="00B83F1E"/>
    <w:rsid w:val="00B84D9A"/>
    <w:rsid w:val="00B85593"/>
    <w:rsid w:val="00B85ACB"/>
    <w:rsid w:val="00B85CDA"/>
    <w:rsid w:val="00B86880"/>
    <w:rsid w:val="00B87123"/>
    <w:rsid w:val="00B874EB"/>
    <w:rsid w:val="00B87CD5"/>
    <w:rsid w:val="00B9000A"/>
    <w:rsid w:val="00B902A0"/>
    <w:rsid w:val="00B906B5"/>
    <w:rsid w:val="00B90B07"/>
    <w:rsid w:val="00B90E13"/>
    <w:rsid w:val="00B912E2"/>
    <w:rsid w:val="00B92839"/>
    <w:rsid w:val="00B93F06"/>
    <w:rsid w:val="00B94182"/>
    <w:rsid w:val="00B95197"/>
    <w:rsid w:val="00B9551D"/>
    <w:rsid w:val="00B95E4A"/>
    <w:rsid w:val="00B96283"/>
    <w:rsid w:val="00B96915"/>
    <w:rsid w:val="00B9709E"/>
    <w:rsid w:val="00B971EC"/>
    <w:rsid w:val="00B97C59"/>
    <w:rsid w:val="00BA02A7"/>
    <w:rsid w:val="00BA078D"/>
    <w:rsid w:val="00BA1934"/>
    <w:rsid w:val="00BA1DF5"/>
    <w:rsid w:val="00BA1EE2"/>
    <w:rsid w:val="00BA2363"/>
    <w:rsid w:val="00BA2B35"/>
    <w:rsid w:val="00BA386C"/>
    <w:rsid w:val="00BA391D"/>
    <w:rsid w:val="00BA445E"/>
    <w:rsid w:val="00BA6283"/>
    <w:rsid w:val="00BA6986"/>
    <w:rsid w:val="00BA7016"/>
    <w:rsid w:val="00BA7FD3"/>
    <w:rsid w:val="00BB020C"/>
    <w:rsid w:val="00BB05CD"/>
    <w:rsid w:val="00BB0BBA"/>
    <w:rsid w:val="00BB1161"/>
    <w:rsid w:val="00BB1F78"/>
    <w:rsid w:val="00BB2543"/>
    <w:rsid w:val="00BB26C2"/>
    <w:rsid w:val="00BB2862"/>
    <w:rsid w:val="00BB2A98"/>
    <w:rsid w:val="00BB3127"/>
    <w:rsid w:val="00BB370E"/>
    <w:rsid w:val="00BB3E09"/>
    <w:rsid w:val="00BB5955"/>
    <w:rsid w:val="00BB5E8D"/>
    <w:rsid w:val="00BB6061"/>
    <w:rsid w:val="00BB65E4"/>
    <w:rsid w:val="00BB66CA"/>
    <w:rsid w:val="00BB68A1"/>
    <w:rsid w:val="00BB7086"/>
    <w:rsid w:val="00BB7595"/>
    <w:rsid w:val="00BC0B62"/>
    <w:rsid w:val="00BC0EE3"/>
    <w:rsid w:val="00BC230C"/>
    <w:rsid w:val="00BC27AD"/>
    <w:rsid w:val="00BC3420"/>
    <w:rsid w:val="00BC48B6"/>
    <w:rsid w:val="00BC4CF7"/>
    <w:rsid w:val="00BC5B7B"/>
    <w:rsid w:val="00BC5E0B"/>
    <w:rsid w:val="00BC6891"/>
    <w:rsid w:val="00BC6E07"/>
    <w:rsid w:val="00BC6E90"/>
    <w:rsid w:val="00BC7580"/>
    <w:rsid w:val="00BC7606"/>
    <w:rsid w:val="00BD1669"/>
    <w:rsid w:val="00BD2123"/>
    <w:rsid w:val="00BD3612"/>
    <w:rsid w:val="00BD411D"/>
    <w:rsid w:val="00BD4A28"/>
    <w:rsid w:val="00BD543E"/>
    <w:rsid w:val="00BD54E5"/>
    <w:rsid w:val="00BD60FB"/>
    <w:rsid w:val="00BD698E"/>
    <w:rsid w:val="00BD6C2F"/>
    <w:rsid w:val="00BD7C65"/>
    <w:rsid w:val="00BE0CD6"/>
    <w:rsid w:val="00BE1460"/>
    <w:rsid w:val="00BE21BF"/>
    <w:rsid w:val="00BE245E"/>
    <w:rsid w:val="00BE26F3"/>
    <w:rsid w:val="00BE2732"/>
    <w:rsid w:val="00BE3D0F"/>
    <w:rsid w:val="00BE5321"/>
    <w:rsid w:val="00BE5520"/>
    <w:rsid w:val="00BE5A2E"/>
    <w:rsid w:val="00BE5E78"/>
    <w:rsid w:val="00BE6B7D"/>
    <w:rsid w:val="00BE76FB"/>
    <w:rsid w:val="00BE7CEC"/>
    <w:rsid w:val="00BF05EE"/>
    <w:rsid w:val="00BF0B37"/>
    <w:rsid w:val="00BF0C68"/>
    <w:rsid w:val="00BF0DD3"/>
    <w:rsid w:val="00BF2D96"/>
    <w:rsid w:val="00BF2EBC"/>
    <w:rsid w:val="00BF2FC3"/>
    <w:rsid w:val="00BF4AE9"/>
    <w:rsid w:val="00BF4B8D"/>
    <w:rsid w:val="00BF4BDD"/>
    <w:rsid w:val="00BF4E40"/>
    <w:rsid w:val="00BF59AD"/>
    <w:rsid w:val="00BF5AC5"/>
    <w:rsid w:val="00BF6595"/>
    <w:rsid w:val="00BF6A93"/>
    <w:rsid w:val="00BF6B8C"/>
    <w:rsid w:val="00BF6D78"/>
    <w:rsid w:val="00BF752B"/>
    <w:rsid w:val="00C0083D"/>
    <w:rsid w:val="00C0199E"/>
    <w:rsid w:val="00C01E01"/>
    <w:rsid w:val="00C02473"/>
    <w:rsid w:val="00C02A41"/>
    <w:rsid w:val="00C02D4F"/>
    <w:rsid w:val="00C03210"/>
    <w:rsid w:val="00C03385"/>
    <w:rsid w:val="00C033D8"/>
    <w:rsid w:val="00C038FE"/>
    <w:rsid w:val="00C042D4"/>
    <w:rsid w:val="00C04E8C"/>
    <w:rsid w:val="00C051C5"/>
    <w:rsid w:val="00C053F1"/>
    <w:rsid w:val="00C0542B"/>
    <w:rsid w:val="00C05F0B"/>
    <w:rsid w:val="00C06892"/>
    <w:rsid w:val="00C06ABC"/>
    <w:rsid w:val="00C071E0"/>
    <w:rsid w:val="00C104E7"/>
    <w:rsid w:val="00C10A03"/>
    <w:rsid w:val="00C10B2E"/>
    <w:rsid w:val="00C112F6"/>
    <w:rsid w:val="00C11525"/>
    <w:rsid w:val="00C1215D"/>
    <w:rsid w:val="00C135C4"/>
    <w:rsid w:val="00C142DA"/>
    <w:rsid w:val="00C14794"/>
    <w:rsid w:val="00C15675"/>
    <w:rsid w:val="00C159CE"/>
    <w:rsid w:val="00C15ABE"/>
    <w:rsid w:val="00C160EB"/>
    <w:rsid w:val="00C1788A"/>
    <w:rsid w:val="00C20DE1"/>
    <w:rsid w:val="00C211BD"/>
    <w:rsid w:val="00C21590"/>
    <w:rsid w:val="00C217A4"/>
    <w:rsid w:val="00C21A45"/>
    <w:rsid w:val="00C22253"/>
    <w:rsid w:val="00C2239E"/>
    <w:rsid w:val="00C235AA"/>
    <w:rsid w:val="00C24706"/>
    <w:rsid w:val="00C24CF9"/>
    <w:rsid w:val="00C24D6A"/>
    <w:rsid w:val="00C24FF8"/>
    <w:rsid w:val="00C2556A"/>
    <w:rsid w:val="00C2649B"/>
    <w:rsid w:val="00C26BA7"/>
    <w:rsid w:val="00C279E3"/>
    <w:rsid w:val="00C300CD"/>
    <w:rsid w:val="00C3070C"/>
    <w:rsid w:val="00C30746"/>
    <w:rsid w:val="00C31F5B"/>
    <w:rsid w:val="00C33476"/>
    <w:rsid w:val="00C33D9A"/>
    <w:rsid w:val="00C33F04"/>
    <w:rsid w:val="00C3561D"/>
    <w:rsid w:val="00C35F67"/>
    <w:rsid w:val="00C3630C"/>
    <w:rsid w:val="00C36EA6"/>
    <w:rsid w:val="00C37A69"/>
    <w:rsid w:val="00C403C4"/>
    <w:rsid w:val="00C4046F"/>
    <w:rsid w:val="00C40646"/>
    <w:rsid w:val="00C40C5A"/>
    <w:rsid w:val="00C40C89"/>
    <w:rsid w:val="00C40F43"/>
    <w:rsid w:val="00C4161B"/>
    <w:rsid w:val="00C41EDC"/>
    <w:rsid w:val="00C421DB"/>
    <w:rsid w:val="00C423CF"/>
    <w:rsid w:val="00C423D9"/>
    <w:rsid w:val="00C42ABF"/>
    <w:rsid w:val="00C42C6D"/>
    <w:rsid w:val="00C42D4F"/>
    <w:rsid w:val="00C4330D"/>
    <w:rsid w:val="00C44739"/>
    <w:rsid w:val="00C44E92"/>
    <w:rsid w:val="00C45734"/>
    <w:rsid w:val="00C47059"/>
    <w:rsid w:val="00C471BE"/>
    <w:rsid w:val="00C501F4"/>
    <w:rsid w:val="00C52264"/>
    <w:rsid w:val="00C531F7"/>
    <w:rsid w:val="00C535E9"/>
    <w:rsid w:val="00C5371F"/>
    <w:rsid w:val="00C54CEF"/>
    <w:rsid w:val="00C55A7C"/>
    <w:rsid w:val="00C56280"/>
    <w:rsid w:val="00C56F34"/>
    <w:rsid w:val="00C5700D"/>
    <w:rsid w:val="00C579FF"/>
    <w:rsid w:val="00C57C3A"/>
    <w:rsid w:val="00C60878"/>
    <w:rsid w:val="00C61020"/>
    <w:rsid w:val="00C61565"/>
    <w:rsid w:val="00C61DB6"/>
    <w:rsid w:val="00C628B1"/>
    <w:rsid w:val="00C62DC6"/>
    <w:rsid w:val="00C6309A"/>
    <w:rsid w:val="00C63260"/>
    <w:rsid w:val="00C63EF9"/>
    <w:rsid w:val="00C64013"/>
    <w:rsid w:val="00C64739"/>
    <w:rsid w:val="00C654CE"/>
    <w:rsid w:val="00C65745"/>
    <w:rsid w:val="00C661CF"/>
    <w:rsid w:val="00C66598"/>
    <w:rsid w:val="00C66749"/>
    <w:rsid w:val="00C6712D"/>
    <w:rsid w:val="00C675B0"/>
    <w:rsid w:val="00C67A75"/>
    <w:rsid w:val="00C67BCE"/>
    <w:rsid w:val="00C70696"/>
    <w:rsid w:val="00C70C51"/>
    <w:rsid w:val="00C7109B"/>
    <w:rsid w:val="00C710D1"/>
    <w:rsid w:val="00C71A1D"/>
    <w:rsid w:val="00C725E6"/>
    <w:rsid w:val="00C72857"/>
    <w:rsid w:val="00C731E9"/>
    <w:rsid w:val="00C7399E"/>
    <w:rsid w:val="00C73FCF"/>
    <w:rsid w:val="00C740D4"/>
    <w:rsid w:val="00C743C9"/>
    <w:rsid w:val="00C749E7"/>
    <w:rsid w:val="00C75069"/>
    <w:rsid w:val="00C75715"/>
    <w:rsid w:val="00C75F4D"/>
    <w:rsid w:val="00C76238"/>
    <w:rsid w:val="00C76B3D"/>
    <w:rsid w:val="00C775AA"/>
    <w:rsid w:val="00C77A8A"/>
    <w:rsid w:val="00C80508"/>
    <w:rsid w:val="00C813B6"/>
    <w:rsid w:val="00C8187C"/>
    <w:rsid w:val="00C818D7"/>
    <w:rsid w:val="00C821C7"/>
    <w:rsid w:val="00C824AD"/>
    <w:rsid w:val="00C82563"/>
    <w:rsid w:val="00C855C0"/>
    <w:rsid w:val="00C86DDA"/>
    <w:rsid w:val="00C8763D"/>
    <w:rsid w:val="00C87ABB"/>
    <w:rsid w:val="00C87D32"/>
    <w:rsid w:val="00C90385"/>
    <w:rsid w:val="00C90584"/>
    <w:rsid w:val="00C90635"/>
    <w:rsid w:val="00C90D80"/>
    <w:rsid w:val="00C9126D"/>
    <w:rsid w:val="00C91458"/>
    <w:rsid w:val="00C924FD"/>
    <w:rsid w:val="00C94097"/>
    <w:rsid w:val="00C9464D"/>
    <w:rsid w:val="00C946EE"/>
    <w:rsid w:val="00C95744"/>
    <w:rsid w:val="00C95CF4"/>
    <w:rsid w:val="00C96479"/>
    <w:rsid w:val="00C96EBD"/>
    <w:rsid w:val="00C97757"/>
    <w:rsid w:val="00CA0AAE"/>
    <w:rsid w:val="00CA0D37"/>
    <w:rsid w:val="00CA15BA"/>
    <w:rsid w:val="00CA1A34"/>
    <w:rsid w:val="00CA2117"/>
    <w:rsid w:val="00CA2244"/>
    <w:rsid w:val="00CA2716"/>
    <w:rsid w:val="00CA2E81"/>
    <w:rsid w:val="00CA311F"/>
    <w:rsid w:val="00CA3910"/>
    <w:rsid w:val="00CA47BD"/>
    <w:rsid w:val="00CA4952"/>
    <w:rsid w:val="00CA579F"/>
    <w:rsid w:val="00CA57B2"/>
    <w:rsid w:val="00CA5ED5"/>
    <w:rsid w:val="00CA6544"/>
    <w:rsid w:val="00CA6FA2"/>
    <w:rsid w:val="00CA7574"/>
    <w:rsid w:val="00CA764B"/>
    <w:rsid w:val="00CB053F"/>
    <w:rsid w:val="00CB08D4"/>
    <w:rsid w:val="00CB0A9B"/>
    <w:rsid w:val="00CB11FD"/>
    <w:rsid w:val="00CB1CB5"/>
    <w:rsid w:val="00CB26D2"/>
    <w:rsid w:val="00CB2B4D"/>
    <w:rsid w:val="00CB2CC4"/>
    <w:rsid w:val="00CB34D6"/>
    <w:rsid w:val="00CB3B76"/>
    <w:rsid w:val="00CB419E"/>
    <w:rsid w:val="00CB4F7C"/>
    <w:rsid w:val="00CB4FF7"/>
    <w:rsid w:val="00CB544B"/>
    <w:rsid w:val="00CB582B"/>
    <w:rsid w:val="00CB5A5B"/>
    <w:rsid w:val="00CB6DEF"/>
    <w:rsid w:val="00CB7593"/>
    <w:rsid w:val="00CB77F1"/>
    <w:rsid w:val="00CC0A2A"/>
    <w:rsid w:val="00CC1386"/>
    <w:rsid w:val="00CC1E3B"/>
    <w:rsid w:val="00CC2358"/>
    <w:rsid w:val="00CC2387"/>
    <w:rsid w:val="00CC266C"/>
    <w:rsid w:val="00CC2BBF"/>
    <w:rsid w:val="00CC2EC0"/>
    <w:rsid w:val="00CC37E4"/>
    <w:rsid w:val="00CC3F06"/>
    <w:rsid w:val="00CC404C"/>
    <w:rsid w:val="00CC445D"/>
    <w:rsid w:val="00CC4474"/>
    <w:rsid w:val="00CC4BCD"/>
    <w:rsid w:val="00CC6013"/>
    <w:rsid w:val="00CC6981"/>
    <w:rsid w:val="00CC6C84"/>
    <w:rsid w:val="00CC6F74"/>
    <w:rsid w:val="00CC75A1"/>
    <w:rsid w:val="00CD0187"/>
    <w:rsid w:val="00CD0249"/>
    <w:rsid w:val="00CD05D0"/>
    <w:rsid w:val="00CD0B70"/>
    <w:rsid w:val="00CD0D57"/>
    <w:rsid w:val="00CD1DAD"/>
    <w:rsid w:val="00CD2344"/>
    <w:rsid w:val="00CD4C7E"/>
    <w:rsid w:val="00CD4E81"/>
    <w:rsid w:val="00CD53F8"/>
    <w:rsid w:val="00CD59D1"/>
    <w:rsid w:val="00CD5D60"/>
    <w:rsid w:val="00CD6C32"/>
    <w:rsid w:val="00CD6DEC"/>
    <w:rsid w:val="00CD77C5"/>
    <w:rsid w:val="00CE0E60"/>
    <w:rsid w:val="00CE1C31"/>
    <w:rsid w:val="00CE2C8E"/>
    <w:rsid w:val="00CE304C"/>
    <w:rsid w:val="00CE316F"/>
    <w:rsid w:val="00CE3370"/>
    <w:rsid w:val="00CE3C11"/>
    <w:rsid w:val="00CE4804"/>
    <w:rsid w:val="00CE48E5"/>
    <w:rsid w:val="00CE493B"/>
    <w:rsid w:val="00CE4B7D"/>
    <w:rsid w:val="00CE5445"/>
    <w:rsid w:val="00CE62BD"/>
    <w:rsid w:val="00CE6A8C"/>
    <w:rsid w:val="00CE72C9"/>
    <w:rsid w:val="00CE7F3C"/>
    <w:rsid w:val="00CF1911"/>
    <w:rsid w:val="00CF2547"/>
    <w:rsid w:val="00CF33C2"/>
    <w:rsid w:val="00CF366C"/>
    <w:rsid w:val="00CF3871"/>
    <w:rsid w:val="00CF4D13"/>
    <w:rsid w:val="00CF5621"/>
    <w:rsid w:val="00CF5B73"/>
    <w:rsid w:val="00CF5CA2"/>
    <w:rsid w:val="00CF6274"/>
    <w:rsid w:val="00CF649A"/>
    <w:rsid w:val="00CF69FD"/>
    <w:rsid w:val="00CF71A5"/>
    <w:rsid w:val="00CF767E"/>
    <w:rsid w:val="00CF76A7"/>
    <w:rsid w:val="00D00737"/>
    <w:rsid w:val="00D00AE6"/>
    <w:rsid w:val="00D01415"/>
    <w:rsid w:val="00D01D9F"/>
    <w:rsid w:val="00D02159"/>
    <w:rsid w:val="00D02613"/>
    <w:rsid w:val="00D027D4"/>
    <w:rsid w:val="00D02B35"/>
    <w:rsid w:val="00D03EC0"/>
    <w:rsid w:val="00D03F90"/>
    <w:rsid w:val="00D041BE"/>
    <w:rsid w:val="00D041EC"/>
    <w:rsid w:val="00D0605E"/>
    <w:rsid w:val="00D06D8B"/>
    <w:rsid w:val="00D1026E"/>
    <w:rsid w:val="00D107D3"/>
    <w:rsid w:val="00D115E4"/>
    <w:rsid w:val="00D1207B"/>
    <w:rsid w:val="00D121A6"/>
    <w:rsid w:val="00D12618"/>
    <w:rsid w:val="00D128C0"/>
    <w:rsid w:val="00D132EB"/>
    <w:rsid w:val="00D145EA"/>
    <w:rsid w:val="00D14655"/>
    <w:rsid w:val="00D14F18"/>
    <w:rsid w:val="00D15091"/>
    <w:rsid w:val="00D1509F"/>
    <w:rsid w:val="00D15C87"/>
    <w:rsid w:val="00D15FC1"/>
    <w:rsid w:val="00D16811"/>
    <w:rsid w:val="00D17E68"/>
    <w:rsid w:val="00D17FFC"/>
    <w:rsid w:val="00D2097C"/>
    <w:rsid w:val="00D20A29"/>
    <w:rsid w:val="00D21CBC"/>
    <w:rsid w:val="00D21DFF"/>
    <w:rsid w:val="00D22096"/>
    <w:rsid w:val="00D222FA"/>
    <w:rsid w:val="00D222FC"/>
    <w:rsid w:val="00D22429"/>
    <w:rsid w:val="00D2268B"/>
    <w:rsid w:val="00D230BC"/>
    <w:rsid w:val="00D2399F"/>
    <w:rsid w:val="00D23BCD"/>
    <w:rsid w:val="00D250F9"/>
    <w:rsid w:val="00D25212"/>
    <w:rsid w:val="00D25C27"/>
    <w:rsid w:val="00D25C5F"/>
    <w:rsid w:val="00D25D83"/>
    <w:rsid w:val="00D25DB7"/>
    <w:rsid w:val="00D269DD"/>
    <w:rsid w:val="00D2738B"/>
    <w:rsid w:val="00D27AF5"/>
    <w:rsid w:val="00D30A16"/>
    <w:rsid w:val="00D30CDB"/>
    <w:rsid w:val="00D30FA5"/>
    <w:rsid w:val="00D316EB"/>
    <w:rsid w:val="00D31A74"/>
    <w:rsid w:val="00D31D08"/>
    <w:rsid w:val="00D31D29"/>
    <w:rsid w:val="00D31F31"/>
    <w:rsid w:val="00D33C7A"/>
    <w:rsid w:val="00D340FC"/>
    <w:rsid w:val="00D346BF"/>
    <w:rsid w:val="00D34A90"/>
    <w:rsid w:val="00D34B73"/>
    <w:rsid w:val="00D34BE8"/>
    <w:rsid w:val="00D36351"/>
    <w:rsid w:val="00D36EF1"/>
    <w:rsid w:val="00D37A2C"/>
    <w:rsid w:val="00D4037D"/>
    <w:rsid w:val="00D40484"/>
    <w:rsid w:val="00D404DD"/>
    <w:rsid w:val="00D41D92"/>
    <w:rsid w:val="00D42FC9"/>
    <w:rsid w:val="00D43B6A"/>
    <w:rsid w:val="00D4463A"/>
    <w:rsid w:val="00D449B4"/>
    <w:rsid w:val="00D4510A"/>
    <w:rsid w:val="00D45A69"/>
    <w:rsid w:val="00D46205"/>
    <w:rsid w:val="00D46B1B"/>
    <w:rsid w:val="00D46B72"/>
    <w:rsid w:val="00D46CED"/>
    <w:rsid w:val="00D474D7"/>
    <w:rsid w:val="00D50131"/>
    <w:rsid w:val="00D51660"/>
    <w:rsid w:val="00D51CB0"/>
    <w:rsid w:val="00D520FA"/>
    <w:rsid w:val="00D5283B"/>
    <w:rsid w:val="00D53ABC"/>
    <w:rsid w:val="00D53FBE"/>
    <w:rsid w:val="00D54640"/>
    <w:rsid w:val="00D548A2"/>
    <w:rsid w:val="00D54AFA"/>
    <w:rsid w:val="00D54BD1"/>
    <w:rsid w:val="00D55627"/>
    <w:rsid w:val="00D5567A"/>
    <w:rsid w:val="00D556EE"/>
    <w:rsid w:val="00D55C0D"/>
    <w:rsid w:val="00D56372"/>
    <w:rsid w:val="00D56B6C"/>
    <w:rsid w:val="00D57765"/>
    <w:rsid w:val="00D57926"/>
    <w:rsid w:val="00D57B9C"/>
    <w:rsid w:val="00D60A0A"/>
    <w:rsid w:val="00D60EA0"/>
    <w:rsid w:val="00D61040"/>
    <w:rsid w:val="00D6129D"/>
    <w:rsid w:val="00D613E7"/>
    <w:rsid w:val="00D61AA6"/>
    <w:rsid w:val="00D61CCC"/>
    <w:rsid w:val="00D6232A"/>
    <w:rsid w:val="00D62FDD"/>
    <w:rsid w:val="00D6387C"/>
    <w:rsid w:val="00D655B0"/>
    <w:rsid w:val="00D65788"/>
    <w:rsid w:val="00D65D36"/>
    <w:rsid w:val="00D6621F"/>
    <w:rsid w:val="00D66272"/>
    <w:rsid w:val="00D66485"/>
    <w:rsid w:val="00D66631"/>
    <w:rsid w:val="00D66B9D"/>
    <w:rsid w:val="00D677B8"/>
    <w:rsid w:val="00D6790D"/>
    <w:rsid w:val="00D67977"/>
    <w:rsid w:val="00D67D93"/>
    <w:rsid w:val="00D70BBE"/>
    <w:rsid w:val="00D70D52"/>
    <w:rsid w:val="00D71B02"/>
    <w:rsid w:val="00D72744"/>
    <w:rsid w:val="00D73BF8"/>
    <w:rsid w:val="00D747F0"/>
    <w:rsid w:val="00D76D62"/>
    <w:rsid w:val="00D77D75"/>
    <w:rsid w:val="00D80C23"/>
    <w:rsid w:val="00D81182"/>
    <w:rsid w:val="00D81F3B"/>
    <w:rsid w:val="00D83118"/>
    <w:rsid w:val="00D838FE"/>
    <w:rsid w:val="00D83F8B"/>
    <w:rsid w:val="00D8579C"/>
    <w:rsid w:val="00D86C54"/>
    <w:rsid w:val="00D86C67"/>
    <w:rsid w:val="00D86E44"/>
    <w:rsid w:val="00D86E98"/>
    <w:rsid w:val="00D90242"/>
    <w:rsid w:val="00D90455"/>
    <w:rsid w:val="00D91008"/>
    <w:rsid w:val="00D91101"/>
    <w:rsid w:val="00D923B7"/>
    <w:rsid w:val="00D92435"/>
    <w:rsid w:val="00D924C2"/>
    <w:rsid w:val="00D924D6"/>
    <w:rsid w:val="00D93E46"/>
    <w:rsid w:val="00D940FA"/>
    <w:rsid w:val="00D946A6"/>
    <w:rsid w:val="00D948DD"/>
    <w:rsid w:val="00D94BB7"/>
    <w:rsid w:val="00D9518A"/>
    <w:rsid w:val="00D958BC"/>
    <w:rsid w:val="00D95F8D"/>
    <w:rsid w:val="00D9742F"/>
    <w:rsid w:val="00D97C32"/>
    <w:rsid w:val="00D97D11"/>
    <w:rsid w:val="00DA0639"/>
    <w:rsid w:val="00DA0907"/>
    <w:rsid w:val="00DA1C1C"/>
    <w:rsid w:val="00DA1C59"/>
    <w:rsid w:val="00DA1D22"/>
    <w:rsid w:val="00DA2204"/>
    <w:rsid w:val="00DA227D"/>
    <w:rsid w:val="00DA2590"/>
    <w:rsid w:val="00DA27F2"/>
    <w:rsid w:val="00DA3A48"/>
    <w:rsid w:val="00DA3D3E"/>
    <w:rsid w:val="00DA4358"/>
    <w:rsid w:val="00DA49CF"/>
    <w:rsid w:val="00DA5493"/>
    <w:rsid w:val="00DA632E"/>
    <w:rsid w:val="00DA6396"/>
    <w:rsid w:val="00DA6CFB"/>
    <w:rsid w:val="00DA7381"/>
    <w:rsid w:val="00DA7AAE"/>
    <w:rsid w:val="00DA7D40"/>
    <w:rsid w:val="00DA7E89"/>
    <w:rsid w:val="00DB00E9"/>
    <w:rsid w:val="00DB1558"/>
    <w:rsid w:val="00DB1E46"/>
    <w:rsid w:val="00DB284A"/>
    <w:rsid w:val="00DB34BF"/>
    <w:rsid w:val="00DB350E"/>
    <w:rsid w:val="00DB389F"/>
    <w:rsid w:val="00DB3E92"/>
    <w:rsid w:val="00DB3F68"/>
    <w:rsid w:val="00DB4064"/>
    <w:rsid w:val="00DB4479"/>
    <w:rsid w:val="00DB4747"/>
    <w:rsid w:val="00DB4C7D"/>
    <w:rsid w:val="00DB5448"/>
    <w:rsid w:val="00DB731C"/>
    <w:rsid w:val="00DC0767"/>
    <w:rsid w:val="00DC09E1"/>
    <w:rsid w:val="00DC1181"/>
    <w:rsid w:val="00DC13BD"/>
    <w:rsid w:val="00DC1513"/>
    <w:rsid w:val="00DC2D1D"/>
    <w:rsid w:val="00DC2D8A"/>
    <w:rsid w:val="00DC3C26"/>
    <w:rsid w:val="00DC514C"/>
    <w:rsid w:val="00DC5A16"/>
    <w:rsid w:val="00DC6717"/>
    <w:rsid w:val="00DC6F62"/>
    <w:rsid w:val="00DD015A"/>
    <w:rsid w:val="00DD08E6"/>
    <w:rsid w:val="00DD1321"/>
    <w:rsid w:val="00DD19C2"/>
    <w:rsid w:val="00DD2D78"/>
    <w:rsid w:val="00DD2F79"/>
    <w:rsid w:val="00DD30F2"/>
    <w:rsid w:val="00DD351F"/>
    <w:rsid w:val="00DD3E67"/>
    <w:rsid w:val="00DD3FCC"/>
    <w:rsid w:val="00DD44C6"/>
    <w:rsid w:val="00DD45AD"/>
    <w:rsid w:val="00DD4AF7"/>
    <w:rsid w:val="00DD4FCE"/>
    <w:rsid w:val="00DD55D2"/>
    <w:rsid w:val="00DD59AC"/>
    <w:rsid w:val="00DD6326"/>
    <w:rsid w:val="00DD6D64"/>
    <w:rsid w:val="00DD7A8F"/>
    <w:rsid w:val="00DE0BD4"/>
    <w:rsid w:val="00DE0E1F"/>
    <w:rsid w:val="00DE0E76"/>
    <w:rsid w:val="00DE1154"/>
    <w:rsid w:val="00DE228E"/>
    <w:rsid w:val="00DE38F7"/>
    <w:rsid w:val="00DE3CDA"/>
    <w:rsid w:val="00DE42D7"/>
    <w:rsid w:val="00DE56E9"/>
    <w:rsid w:val="00DE62F5"/>
    <w:rsid w:val="00DE6D83"/>
    <w:rsid w:val="00DE6F77"/>
    <w:rsid w:val="00DE7CE2"/>
    <w:rsid w:val="00DF03BB"/>
    <w:rsid w:val="00DF0B95"/>
    <w:rsid w:val="00DF1018"/>
    <w:rsid w:val="00DF1F34"/>
    <w:rsid w:val="00DF1F71"/>
    <w:rsid w:val="00DF21CF"/>
    <w:rsid w:val="00DF2D67"/>
    <w:rsid w:val="00DF363C"/>
    <w:rsid w:val="00DF3A96"/>
    <w:rsid w:val="00DF4871"/>
    <w:rsid w:val="00DF51A7"/>
    <w:rsid w:val="00DF527E"/>
    <w:rsid w:val="00DF5B7C"/>
    <w:rsid w:val="00DF5C8C"/>
    <w:rsid w:val="00DF5CE2"/>
    <w:rsid w:val="00DF5D9E"/>
    <w:rsid w:val="00DF665A"/>
    <w:rsid w:val="00DF6BD6"/>
    <w:rsid w:val="00DF7360"/>
    <w:rsid w:val="00DF7622"/>
    <w:rsid w:val="00DF7A64"/>
    <w:rsid w:val="00DF7FB8"/>
    <w:rsid w:val="00E00168"/>
    <w:rsid w:val="00E00C52"/>
    <w:rsid w:val="00E00F51"/>
    <w:rsid w:val="00E0111E"/>
    <w:rsid w:val="00E0132C"/>
    <w:rsid w:val="00E0197F"/>
    <w:rsid w:val="00E021FE"/>
    <w:rsid w:val="00E02A94"/>
    <w:rsid w:val="00E02F53"/>
    <w:rsid w:val="00E032CA"/>
    <w:rsid w:val="00E056C0"/>
    <w:rsid w:val="00E05801"/>
    <w:rsid w:val="00E05CB7"/>
    <w:rsid w:val="00E05E12"/>
    <w:rsid w:val="00E0612C"/>
    <w:rsid w:val="00E061D3"/>
    <w:rsid w:val="00E0671B"/>
    <w:rsid w:val="00E07093"/>
    <w:rsid w:val="00E073B7"/>
    <w:rsid w:val="00E0792F"/>
    <w:rsid w:val="00E107EC"/>
    <w:rsid w:val="00E10B57"/>
    <w:rsid w:val="00E114EF"/>
    <w:rsid w:val="00E11DE9"/>
    <w:rsid w:val="00E12210"/>
    <w:rsid w:val="00E13F92"/>
    <w:rsid w:val="00E15D08"/>
    <w:rsid w:val="00E15D30"/>
    <w:rsid w:val="00E16A2C"/>
    <w:rsid w:val="00E1778F"/>
    <w:rsid w:val="00E17FE4"/>
    <w:rsid w:val="00E2000F"/>
    <w:rsid w:val="00E20D15"/>
    <w:rsid w:val="00E20F4A"/>
    <w:rsid w:val="00E2139A"/>
    <w:rsid w:val="00E2290A"/>
    <w:rsid w:val="00E22E83"/>
    <w:rsid w:val="00E23B74"/>
    <w:rsid w:val="00E255D0"/>
    <w:rsid w:val="00E255D2"/>
    <w:rsid w:val="00E25A53"/>
    <w:rsid w:val="00E25D4C"/>
    <w:rsid w:val="00E26CA8"/>
    <w:rsid w:val="00E26D21"/>
    <w:rsid w:val="00E27851"/>
    <w:rsid w:val="00E30036"/>
    <w:rsid w:val="00E30F95"/>
    <w:rsid w:val="00E31519"/>
    <w:rsid w:val="00E33073"/>
    <w:rsid w:val="00E331EE"/>
    <w:rsid w:val="00E33F0B"/>
    <w:rsid w:val="00E33FB2"/>
    <w:rsid w:val="00E34651"/>
    <w:rsid w:val="00E34A9F"/>
    <w:rsid w:val="00E34C2A"/>
    <w:rsid w:val="00E355EE"/>
    <w:rsid w:val="00E35C01"/>
    <w:rsid w:val="00E35D96"/>
    <w:rsid w:val="00E35E25"/>
    <w:rsid w:val="00E36748"/>
    <w:rsid w:val="00E369A3"/>
    <w:rsid w:val="00E36CB7"/>
    <w:rsid w:val="00E36D3F"/>
    <w:rsid w:val="00E36E5B"/>
    <w:rsid w:val="00E36FC9"/>
    <w:rsid w:val="00E37809"/>
    <w:rsid w:val="00E37832"/>
    <w:rsid w:val="00E378CD"/>
    <w:rsid w:val="00E37B6D"/>
    <w:rsid w:val="00E37C99"/>
    <w:rsid w:val="00E40DE8"/>
    <w:rsid w:val="00E41864"/>
    <w:rsid w:val="00E41D23"/>
    <w:rsid w:val="00E420A4"/>
    <w:rsid w:val="00E421AA"/>
    <w:rsid w:val="00E42842"/>
    <w:rsid w:val="00E433AC"/>
    <w:rsid w:val="00E43B5B"/>
    <w:rsid w:val="00E44042"/>
    <w:rsid w:val="00E4430F"/>
    <w:rsid w:val="00E45AEB"/>
    <w:rsid w:val="00E46A3F"/>
    <w:rsid w:val="00E46FC0"/>
    <w:rsid w:val="00E47080"/>
    <w:rsid w:val="00E47182"/>
    <w:rsid w:val="00E47DDE"/>
    <w:rsid w:val="00E47E6B"/>
    <w:rsid w:val="00E502A4"/>
    <w:rsid w:val="00E503EB"/>
    <w:rsid w:val="00E5092B"/>
    <w:rsid w:val="00E50E55"/>
    <w:rsid w:val="00E51404"/>
    <w:rsid w:val="00E51CF8"/>
    <w:rsid w:val="00E51F84"/>
    <w:rsid w:val="00E52C93"/>
    <w:rsid w:val="00E52E41"/>
    <w:rsid w:val="00E5363C"/>
    <w:rsid w:val="00E53842"/>
    <w:rsid w:val="00E54A82"/>
    <w:rsid w:val="00E54C05"/>
    <w:rsid w:val="00E553F1"/>
    <w:rsid w:val="00E55C65"/>
    <w:rsid w:val="00E55F24"/>
    <w:rsid w:val="00E56044"/>
    <w:rsid w:val="00E568E3"/>
    <w:rsid w:val="00E57866"/>
    <w:rsid w:val="00E605CC"/>
    <w:rsid w:val="00E60D33"/>
    <w:rsid w:val="00E61785"/>
    <w:rsid w:val="00E622A2"/>
    <w:rsid w:val="00E62587"/>
    <w:rsid w:val="00E636FE"/>
    <w:rsid w:val="00E6373B"/>
    <w:rsid w:val="00E63DA0"/>
    <w:rsid w:val="00E64AC6"/>
    <w:rsid w:val="00E65F22"/>
    <w:rsid w:val="00E66693"/>
    <w:rsid w:val="00E66D39"/>
    <w:rsid w:val="00E670E3"/>
    <w:rsid w:val="00E6790B"/>
    <w:rsid w:val="00E701E6"/>
    <w:rsid w:val="00E7044A"/>
    <w:rsid w:val="00E70C98"/>
    <w:rsid w:val="00E714D6"/>
    <w:rsid w:val="00E715D0"/>
    <w:rsid w:val="00E71A62"/>
    <w:rsid w:val="00E71E3A"/>
    <w:rsid w:val="00E72579"/>
    <w:rsid w:val="00E72CFD"/>
    <w:rsid w:val="00E72F48"/>
    <w:rsid w:val="00E7303B"/>
    <w:rsid w:val="00E730EC"/>
    <w:rsid w:val="00E734DA"/>
    <w:rsid w:val="00E736C3"/>
    <w:rsid w:val="00E73F7A"/>
    <w:rsid w:val="00E748D2"/>
    <w:rsid w:val="00E74F7E"/>
    <w:rsid w:val="00E75181"/>
    <w:rsid w:val="00E75E15"/>
    <w:rsid w:val="00E75EA7"/>
    <w:rsid w:val="00E7644C"/>
    <w:rsid w:val="00E764D8"/>
    <w:rsid w:val="00E771F6"/>
    <w:rsid w:val="00E77560"/>
    <w:rsid w:val="00E77DE1"/>
    <w:rsid w:val="00E804C7"/>
    <w:rsid w:val="00E81471"/>
    <w:rsid w:val="00E823F1"/>
    <w:rsid w:val="00E82409"/>
    <w:rsid w:val="00E82605"/>
    <w:rsid w:val="00E82860"/>
    <w:rsid w:val="00E828E4"/>
    <w:rsid w:val="00E82CE4"/>
    <w:rsid w:val="00E830EB"/>
    <w:rsid w:val="00E833D0"/>
    <w:rsid w:val="00E83C80"/>
    <w:rsid w:val="00E83D03"/>
    <w:rsid w:val="00E8404C"/>
    <w:rsid w:val="00E84FB6"/>
    <w:rsid w:val="00E8507D"/>
    <w:rsid w:val="00E85D94"/>
    <w:rsid w:val="00E860B7"/>
    <w:rsid w:val="00E86A92"/>
    <w:rsid w:val="00E86CCE"/>
    <w:rsid w:val="00E87639"/>
    <w:rsid w:val="00E903B9"/>
    <w:rsid w:val="00E90554"/>
    <w:rsid w:val="00E905B0"/>
    <w:rsid w:val="00E907CE"/>
    <w:rsid w:val="00E9204A"/>
    <w:rsid w:val="00E92F8F"/>
    <w:rsid w:val="00E935ED"/>
    <w:rsid w:val="00E93D70"/>
    <w:rsid w:val="00E942D7"/>
    <w:rsid w:val="00E94682"/>
    <w:rsid w:val="00E94C28"/>
    <w:rsid w:val="00E94F87"/>
    <w:rsid w:val="00E95FC7"/>
    <w:rsid w:val="00E97533"/>
    <w:rsid w:val="00E9771D"/>
    <w:rsid w:val="00E979C9"/>
    <w:rsid w:val="00EA0771"/>
    <w:rsid w:val="00EA08B4"/>
    <w:rsid w:val="00EA0CC5"/>
    <w:rsid w:val="00EA142D"/>
    <w:rsid w:val="00EA239E"/>
    <w:rsid w:val="00EA38A1"/>
    <w:rsid w:val="00EA3E25"/>
    <w:rsid w:val="00EA46D1"/>
    <w:rsid w:val="00EA563A"/>
    <w:rsid w:val="00EA675E"/>
    <w:rsid w:val="00EB0043"/>
    <w:rsid w:val="00EB04F2"/>
    <w:rsid w:val="00EB2161"/>
    <w:rsid w:val="00EB231D"/>
    <w:rsid w:val="00EB26F4"/>
    <w:rsid w:val="00EB287F"/>
    <w:rsid w:val="00EB2EE3"/>
    <w:rsid w:val="00EB3BF6"/>
    <w:rsid w:val="00EB3C3F"/>
    <w:rsid w:val="00EB513B"/>
    <w:rsid w:val="00EB5D61"/>
    <w:rsid w:val="00EB6002"/>
    <w:rsid w:val="00EB63FC"/>
    <w:rsid w:val="00EB77FA"/>
    <w:rsid w:val="00EC1895"/>
    <w:rsid w:val="00EC1F2E"/>
    <w:rsid w:val="00EC2395"/>
    <w:rsid w:val="00EC299E"/>
    <w:rsid w:val="00EC3008"/>
    <w:rsid w:val="00EC326A"/>
    <w:rsid w:val="00EC413A"/>
    <w:rsid w:val="00EC46E8"/>
    <w:rsid w:val="00EC5A28"/>
    <w:rsid w:val="00EC5F09"/>
    <w:rsid w:val="00EC617D"/>
    <w:rsid w:val="00EC65AE"/>
    <w:rsid w:val="00EC671A"/>
    <w:rsid w:val="00ED064B"/>
    <w:rsid w:val="00ED0D4B"/>
    <w:rsid w:val="00ED0EA4"/>
    <w:rsid w:val="00ED19BE"/>
    <w:rsid w:val="00ED1B8C"/>
    <w:rsid w:val="00ED202B"/>
    <w:rsid w:val="00ED2F1E"/>
    <w:rsid w:val="00ED3295"/>
    <w:rsid w:val="00ED32C8"/>
    <w:rsid w:val="00ED33F0"/>
    <w:rsid w:val="00ED37AE"/>
    <w:rsid w:val="00ED4001"/>
    <w:rsid w:val="00ED6401"/>
    <w:rsid w:val="00ED754D"/>
    <w:rsid w:val="00ED757A"/>
    <w:rsid w:val="00ED7838"/>
    <w:rsid w:val="00EE03BF"/>
    <w:rsid w:val="00EE1026"/>
    <w:rsid w:val="00EE1253"/>
    <w:rsid w:val="00EE12E1"/>
    <w:rsid w:val="00EE1BED"/>
    <w:rsid w:val="00EE32CD"/>
    <w:rsid w:val="00EE32EF"/>
    <w:rsid w:val="00EE3DFC"/>
    <w:rsid w:val="00EE4096"/>
    <w:rsid w:val="00EE4FB2"/>
    <w:rsid w:val="00EE50BF"/>
    <w:rsid w:val="00EE5327"/>
    <w:rsid w:val="00EE66DD"/>
    <w:rsid w:val="00EE6F2C"/>
    <w:rsid w:val="00EE7741"/>
    <w:rsid w:val="00EF06BC"/>
    <w:rsid w:val="00EF097E"/>
    <w:rsid w:val="00EF0B94"/>
    <w:rsid w:val="00EF1634"/>
    <w:rsid w:val="00EF176E"/>
    <w:rsid w:val="00EF1995"/>
    <w:rsid w:val="00EF1FD7"/>
    <w:rsid w:val="00EF243A"/>
    <w:rsid w:val="00EF2C66"/>
    <w:rsid w:val="00EF30B0"/>
    <w:rsid w:val="00EF34C5"/>
    <w:rsid w:val="00EF4B15"/>
    <w:rsid w:val="00EF542C"/>
    <w:rsid w:val="00EF58B6"/>
    <w:rsid w:val="00EF6276"/>
    <w:rsid w:val="00EF643A"/>
    <w:rsid w:val="00EF6CC7"/>
    <w:rsid w:val="00EF6D22"/>
    <w:rsid w:val="00EF6EE6"/>
    <w:rsid w:val="00EF7235"/>
    <w:rsid w:val="00EF7241"/>
    <w:rsid w:val="00EF78D0"/>
    <w:rsid w:val="00EF7BA7"/>
    <w:rsid w:val="00EF7CFA"/>
    <w:rsid w:val="00EF7E4D"/>
    <w:rsid w:val="00F00AB5"/>
    <w:rsid w:val="00F00D55"/>
    <w:rsid w:val="00F010ED"/>
    <w:rsid w:val="00F02830"/>
    <w:rsid w:val="00F02A35"/>
    <w:rsid w:val="00F02DBD"/>
    <w:rsid w:val="00F04579"/>
    <w:rsid w:val="00F04665"/>
    <w:rsid w:val="00F04E57"/>
    <w:rsid w:val="00F07258"/>
    <w:rsid w:val="00F109B0"/>
    <w:rsid w:val="00F10ABB"/>
    <w:rsid w:val="00F10B46"/>
    <w:rsid w:val="00F11000"/>
    <w:rsid w:val="00F115C8"/>
    <w:rsid w:val="00F116E6"/>
    <w:rsid w:val="00F11FDC"/>
    <w:rsid w:val="00F12539"/>
    <w:rsid w:val="00F141FF"/>
    <w:rsid w:val="00F14546"/>
    <w:rsid w:val="00F14EFB"/>
    <w:rsid w:val="00F1683E"/>
    <w:rsid w:val="00F17473"/>
    <w:rsid w:val="00F17725"/>
    <w:rsid w:val="00F2055B"/>
    <w:rsid w:val="00F2192E"/>
    <w:rsid w:val="00F22847"/>
    <w:rsid w:val="00F23081"/>
    <w:rsid w:val="00F23861"/>
    <w:rsid w:val="00F239E6"/>
    <w:rsid w:val="00F243DC"/>
    <w:rsid w:val="00F24CA6"/>
    <w:rsid w:val="00F2511E"/>
    <w:rsid w:val="00F26A5F"/>
    <w:rsid w:val="00F26AD3"/>
    <w:rsid w:val="00F26D01"/>
    <w:rsid w:val="00F27153"/>
    <w:rsid w:val="00F301B5"/>
    <w:rsid w:val="00F310BE"/>
    <w:rsid w:val="00F319D8"/>
    <w:rsid w:val="00F32106"/>
    <w:rsid w:val="00F32334"/>
    <w:rsid w:val="00F328BF"/>
    <w:rsid w:val="00F3308D"/>
    <w:rsid w:val="00F339A4"/>
    <w:rsid w:val="00F33AC8"/>
    <w:rsid w:val="00F34319"/>
    <w:rsid w:val="00F34438"/>
    <w:rsid w:val="00F3446A"/>
    <w:rsid w:val="00F34472"/>
    <w:rsid w:val="00F3533E"/>
    <w:rsid w:val="00F355EF"/>
    <w:rsid w:val="00F36262"/>
    <w:rsid w:val="00F365E7"/>
    <w:rsid w:val="00F36748"/>
    <w:rsid w:val="00F36D8E"/>
    <w:rsid w:val="00F37052"/>
    <w:rsid w:val="00F4009C"/>
    <w:rsid w:val="00F4055A"/>
    <w:rsid w:val="00F4095D"/>
    <w:rsid w:val="00F41A43"/>
    <w:rsid w:val="00F41C1E"/>
    <w:rsid w:val="00F41D19"/>
    <w:rsid w:val="00F421C8"/>
    <w:rsid w:val="00F421D6"/>
    <w:rsid w:val="00F427DC"/>
    <w:rsid w:val="00F42BD3"/>
    <w:rsid w:val="00F42D33"/>
    <w:rsid w:val="00F42D7E"/>
    <w:rsid w:val="00F42FC3"/>
    <w:rsid w:val="00F44AB2"/>
    <w:rsid w:val="00F45458"/>
    <w:rsid w:val="00F45608"/>
    <w:rsid w:val="00F458A7"/>
    <w:rsid w:val="00F45B4D"/>
    <w:rsid w:val="00F45B79"/>
    <w:rsid w:val="00F45D4E"/>
    <w:rsid w:val="00F45E50"/>
    <w:rsid w:val="00F473CD"/>
    <w:rsid w:val="00F47614"/>
    <w:rsid w:val="00F47942"/>
    <w:rsid w:val="00F5001F"/>
    <w:rsid w:val="00F5092C"/>
    <w:rsid w:val="00F50F2A"/>
    <w:rsid w:val="00F51D00"/>
    <w:rsid w:val="00F52DA0"/>
    <w:rsid w:val="00F532F7"/>
    <w:rsid w:val="00F542DA"/>
    <w:rsid w:val="00F543BD"/>
    <w:rsid w:val="00F546A2"/>
    <w:rsid w:val="00F55AEE"/>
    <w:rsid w:val="00F56D96"/>
    <w:rsid w:val="00F56DF4"/>
    <w:rsid w:val="00F572C2"/>
    <w:rsid w:val="00F5761E"/>
    <w:rsid w:val="00F57996"/>
    <w:rsid w:val="00F57C02"/>
    <w:rsid w:val="00F6014A"/>
    <w:rsid w:val="00F607E2"/>
    <w:rsid w:val="00F60A19"/>
    <w:rsid w:val="00F62096"/>
    <w:rsid w:val="00F621BD"/>
    <w:rsid w:val="00F623FE"/>
    <w:rsid w:val="00F6244E"/>
    <w:rsid w:val="00F626DE"/>
    <w:rsid w:val="00F63926"/>
    <w:rsid w:val="00F63ACE"/>
    <w:rsid w:val="00F641A3"/>
    <w:rsid w:val="00F64E8F"/>
    <w:rsid w:val="00F64F90"/>
    <w:rsid w:val="00F654AB"/>
    <w:rsid w:val="00F655FC"/>
    <w:rsid w:val="00F658F6"/>
    <w:rsid w:val="00F65AB0"/>
    <w:rsid w:val="00F660EF"/>
    <w:rsid w:val="00F6627A"/>
    <w:rsid w:val="00F66318"/>
    <w:rsid w:val="00F668CA"/>
    <w:rsid w:val="00F668EE"/>
    <w:rsid w:val="00F6798E"/>
    <w:rsid w:val="00F67F7B"/>
    <w:rsid w:val="00F70771"/>
    <w:rsid w:val="00F710BA"/>
    <w:rsid w:val="00F7138B"/>
    <w:rsid w:val="00F71BC2"/>
    <w:rsid w:val="00F71EC1"/>
    <w:rsid w:val="00F72C4A"/>
    <w:rsid w:val="00F74589"/>
    <w:rsid w:val="00F74C4E"/>
    <w:rsid w:val="00F7578C"/>
    <w:rsid w:val="00F75863"/>
    <w:rsid w:val="00F75A7D"/>
    <w:rsid w:val="00F76D07"/>
    <w:rsid w:val="00F770EE"/>
    <w:rsid w:val="00F77F07"/>
    <w:rsid w:val="00F80533"/>
    <w:rsid w:val="00F80DE0"/>
    <w:rsid w:val="00F80F90"/>
    <w:rsid w:val="00F8127B"/>
    <w:rsid w:val="00F81A6C"/>
    <w:rsid w:val="00F81CEF"/>
    <w:rsid w:val="00F82543"/>
    <w:rsid w:val="00F828A8"/>
    <w:rsid w:val="00F83828"/>
    <w:rsid w:val="00F8406B"/>
    <w:rsid w:val="00F84177"/>
    <w:rsid w:val="00F84FBC"/>
    <w:rsid w:val="00F855C7"/>
    <w:rsid w:val="00F85B41"/>
    <w:rsid w:val="00F86ACE"/>
    <w:rsid w:val="00F86F05"/>
    <w:rsid w:val="00F87C18"/>
    <w:rsid w:val="00F87C37"/>
    <w:rsid w:val="00F87CC0"/>
    <w:rsid w:val="00F87F3D"/>
    <w:rsid w:val="00F90B1B"/>
    <w:rsid w:val="00F91A4F"/>
    <w:rsid w:val="00F91C50"/>
    <w:rsid w:val="00F91F92"/>
    <w:rsid w:val="00F92D16"/>
    <w:rsid w:val="00F93072"/>
    <w:rsid w:val="00F93497"/>
    <w:rsid w:val="00F93CC5"/>
    <w:rsid w:val="00F94F46"/>
    <w:rsid w:val="00F95D92"/>
    <w:rsid w:val="00F96C1B"/>
    <w:rsid w:val="00F97B40"/>
    <w:rsid w:val="00F97E1E"/>
    <w:rsid w:val="00FA02BF"/>
    <w:rsid w:val="00FA0FF2"/>
    <w:rsid w:val="00FA17A2"/>
    <w:rsid w:val="00FA1A19"/>
    <w:rsid w:val="00FA28EF"/>
    <w:rsid w:val="00FA2E34"/>
    <w:rsid w:val="00FA343E"/>
    <w:rsid w:val="00FA3655"/>
    <w:rsid w:val="00FA44CB"/>
    <w:rsid w:val="00FA4E18"/>
    <w:rsid w:val="00FA5B18"/>
    <w:rsid w:val="00FA7082"/>
    <w:rsid w:val="00FA7218"/>
    <w:rsid w:val="00FA72B1"/>
    <w:rsid w:val="00FA72E4"/>
    <w:rsid w:val="00FA777F"/>
    <w:rsid w:val="00FA77ED"/>
    <w:rsid w:val="00FA7A17"/>
    <w:rsid w:val="00FA7C18"/>
    <w:rsid w:val="00FB001B"/>
    <w:rsid w:val="00FB073F"/>
    <w:rsid w:val="00FB1079"/>
    <w:rsid w:val="00FB1587"/>
    <w:rsid w:val="00FB1787"/>
    <w:rsid w:val="00FB2097"/>
    <w:rsid w:val="00FB23A1"/>
    <w:rsid w:val="00FB2E60"/>
    <w:rsid w:val="00FB328B"/>
    <w:rsid w:val="00FB3989"/>
    <w:rsid w:val="00FB4CD9"/>
    <w:rsid w:val="00FB5477"/>
    <w:rsid w:val="00FB67A2"/>
    <w:rsid w:val="00FB6B40"/>
    <w:rsid w:val="00FB72CE"/>
    <w:rsid w:val="00FB7794"/>
    <w:rsid w:val="00FC0320"/>
    <w:rsid w:val="00FC0A73"/>
    <w:rsid w:val="00FC0AC8"/>
    <w:rsid w:val="00FC10CD"/>
    <w:rsid w:val="00FC1212"/>
    <w:rsid w:val="00FC1994"/>
    <w:rsid w:val="00FC19E9"/>
    <w:rsid w:val="00FC2B60"/>
    <w:rsid w:val="00FC3489"/>
    <w:rsid w:val="00FC3BA0"/>
    <w:rsid w:val="00FC46E7"/>
    <w:rsid w:val="00FC4984"/>
    <w:rsid w:val="00FC49B5"/>
    <w:rsid w:val="00FC4EC6"/>
    <w:rsid w:val="00FC60A9"/>
    <w:rsid w:val="00FC6590"/>
    <w:rsid w:val="00FC666B"/>
    <w:rsid w:val="00FC6AC8"/>
    <w:rsid w:val="00FC7C71"/>
    <w:rsid w:val="00FC7D60"/>
    <w:rsid w:val="00FD1578"/>
    <w:rsid w:val="00FD1589"/>
    <w:rsid w:val="00FD1C3D"/>
    <w:rsid w:val="00FD1FEA"/>
    <w:rsid w:val="00FD296C"/>
    <w:rsid w:val="00FD3012"/>
    <w:rsid w:val="00FD310A"/>
    <w:rsid w:val="00FD33D8"/>
    <w:rsid w:val="00FD340F"/>
    <w:rsid w:val="00FD3753"/>
    <w:rsid w:val="00FD3C7F"/>
    <w:rsid w:val="00FD495A"/>
    <w:rsid w:val="00FD526D"/>
    <w:rsid w:val="00FD5981"/>
    <w:rsid w:val="00FD5E8A"/>
    <w:rsid w:val="00FD6306"/>
    <w:rsid w:val="00FD71DA"/>
    <w:rsid w:val="00FD7323"/>
    <w:rsid w:val="00FD763C"/>
    <w:rsid w:val="00FD7AC1"/>
    <w:rsid w:val="00FD7CF7"/>
    <w:rsid w:val="00FD7E44"/>
    <w:rsid w:val="00FE073C"/>
    <w:rsid w:val="00FE2953"/>
    <w:rsid w:val="00FE2A27"/>
    <w:rsid w:val="00FE310F"/>
    <w:rsid w:val="00FE3F97"/>
    <w:rsid w:val="00FE43E5"/>
    <w:rsid w:val="00FE47B3"/>
    <w:rsid w:val="00FE5477"/>
    <w:rsid w:val="00FE57B0"/>
    <w:rsid w:val="00FE64F3"/>
    <w:rsid w:val="00FE6A13"/>
    <w:rsid w:val="00FE6B30"/>
    <w:rsid w:val="00FE77DC"/>
    <w:rsid w:val="00FE7AD4"/>
    <w:rsid w:val="00FF0A41"/>
    <w:rsid w:val="00FF1693"/>
    <w:rsid w:val="00FF17E7"/>
    <w:rsid w:val="00FF1F45"/>
    <w:rsid w:val="00FF1FA2"/>
    <w:rsid w:val="00FF23AA"/>
    <w:rsid w:val="00FF27BE"/>
    <w:rsid w:val="00FF2D97"/>
    <w:rsid w:val="00FF3070"/>
    <w:rsid w:val="00FF3113"/>
    <w:rsid w:val="00FF315C"/>
    <w:rsid w:val="00FF6561"/>
    <w:rsid w:val="00FF666D"/>
    <w:rsid w:val="00FF7440"/>
    <w:rsid w:val="00FF7996"/>
    <w:rsid w:val="00FF7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75"/>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character" w:customStyle="1" w:styleId="UnresolvedMention1">
    <w:name w:val="Unresolved Mention1"/>
    <w:basedOn w:val="DefaultParagraphFont"/>
    <w:uiPriority w:val="99"/>
    <w:semiHidden/>
    <w:unhideWhenUsed/>
    <w:rsid w:val="00554A64"/>
    <w:rPr>
      <w:color w:val="605E5C"/>
      <w:shd w:val="clear" w:color="auto" w:fill="E1DFDD"/>
    </w:rPr>
  </w:style>
  <w:style w:type="paragraph" w:styleId="Revision">
    <w:name w:val="Revision"/>
    <w:hidden/>
    <w:uiPriority w:val="99"/>
    <w:semiHidden/>
    <w:rsid w:val="00E82CE4"/>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821164"/>
    <w:pPr>
      <w:tabs>
        <w:tab w:val="center" w:pos="4153"/>
        <w:tab w:val="right" w:pos="8306"/>
      </w:tabs>
    </w:pPr>
  </w:style>
  <w:style w:type="character" w:customStyle="1" w:styleId="HeaderChar">
    <w:name w:val="Header Char"/>
    <w:basedOn w:val="DefaultParagraphFont"/>
    <w:link w:val="Header"/>
    <w:uiPriority w:val="99"/>
    <w:rsid w:val="00821164"/>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673CD9"/>
    <w:rPr>
      <w:color w:val="605E5C"/>
      <w:shd w:val="clear" w:color="auto" w:fill="E1DFDD"/>
    </w:rPr>
  </w:style>
  <w:style w:type="paragraph" w:customStyle="1" w:styleId="Default">
    <w:name w:val="Default"/>
    <w:rsid w:val="00795185"/>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194080865">
      <w:bodyDiv w:val="1"/>
      <w:marLeft w:val="0"/>
      <w:marRight w:val="0"/>
      <w:marTop w:val="0"/>
      <w:marBottom w:val="0"/>
      <w:divBdr>
        <w:top w:val="none" w:sz="0" w:space="0" w:color="auto"/>
        <w:left w:val="none" w:sz="0" w:space="0" w:color="auto"/>
        <w:bottom w:val="none" w:sz="0" w:space="0" w:color="auto"/>
        <w:right w:val="none" w:sz="0" w:space="0" w:color="auto"/>
      </w:divBdr>
    </w:div>
    <w:div w:id="328599434">
      <w:bodyDiv w:val="1"/>
      <w:marLeft w:val="0"/>
      <w:marRight w:val="0"/>
      <w:marTop w:val="0"/>
      <w:marBottom w:val="0"/>
      <w:divBdr>
        <w:top w:val="none" w:sz="0" w:space="0" w:color="auto"/>
        <w:left w:val="none" w:sz="0" w:space="0" w:color="auto"/>
        <w:bottom w:val="none" w:sz="0" w:space="0" w:color="auto"/>
        <w:right w:val="none" w:sz="0" w:space="0" w:color="auto"/>
      </w:divBdr>
    </w:div>
    <w:div w:id="345791009">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69733056">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397585099">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562401101">
      <w:bodyDiv w:val="1"/>
      <w:marLeft w:val="0"/>
      <w:marRight w:val="0"/>
      <w:marTop w:val="0"/>
      <w:marBottom w:val="0"/>
      <w:divBdr>
        <w:top w:val="none" w:sz="0" w:space="0" w:color="auto"/>
        <w:left w:val="none" w:sz="0" w:space="0" w:color="auto"/>
        <w:bottom w:val="none" w:sz="0" w:space="0" w:color="auto"/>
        <w:right w:val="none" w:sz="0" w:space="0" w:color="auto"/>
      </w:divBdr>
    </w:div>
    <w:div w:id="1581713296">
      <w:bodyDiv w:val="1"/>
      <w:marLeft w:val="0"/>
      <w:marRight w:val="0"/>
      <w:marTop w:val="0"/>
      <w:marBottom w:val="0"/>
      <w:divBdr>
        <w:top w:val="none" w:sz="0" w:space="0" w:color="auto"/>
        <w:left w:val="none" w:sz="0" w:space="0" w:color="auto"/>
        <w:bottom w:val="none" w:sz="0" w:space="0" w:color="auto"/>
        <w:right w:val="none" w:sz="0" w:space="0" w:color="auto"/>
      </w:divBdr>
    </w:div>
    <w:div w:id="1584683522">
      <w:bodyDiv w:val="1"/>
      <w:marLeft w:val="0"/>
      <w:marRight w:val="0"/>
      <w:marTop w:val="0"/>
      <w:marBottom w:val="0"/>
      <w:divBdr>
        <w:top w:val="none" w:sz="0" w:space="0" w:color="auto"/>
        <w:left w:val="none" w:sz="0" w:space="0" w:color="auto"/>
        <w:bottom w:val="none" w:sz="0" w:space="0" w:color="auto"/>
        <w:right w:val="none" w:sz="0" w:space="0" w:color="auto"/>
      </w:divBdr>
    </w:div>
    <w:div w:id="1620379385">
      <w:bodyDiv w:val="1"/>
      <w:marLeft w:val="0"/>
      <w:marRight w:val="0"/>
      <w:marTop w:val="0"/>
      <w:marBottom w:val="0"/>
      <w:divBdr>
        <w:top w:val="none" w:sz="0" w:space="0" w:color="auto"/>
        <w:left w:val="none" w:sz="0" w:space="0" w:color="auto"/>
        <w:bottom w:val="none" w:sz="0" w:space="0" w:color="auto"/>
        <w:right w:val="none" w:sz="0" w:space="0" w:color="auto"/>
      </w:divBdr>
    </w:div>
    <w:div w:id="1775439351">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787460282">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45824814">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15566432">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130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30c7e51-021d-4693-adc4-5390b1c199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etition-policy.ec.europa.eu/document/download/4dfa3830-4463-4d69-8222-9ef311a06fe1_en?filename=2023_Opinion_RFO_36_Redacted_en.pdf" TargetMode="External"/><Relationship Id="rId5" Type="http://schemas.openxmlformats.org/officeDocument/2006/relationships/webSettings" Target="webSettings.xml"/><Relationship Id="rId10" Type="http://schemas.openxmlformats.org/officeDocument/2006/relationships/hyperlink" Target="https://gateway.elieta.lv/api/v1/PublicMaterialDownload/52a76f9f-db1c-457d-b2cf-53f10779df7a" TargetMode="External"/><Relationship Id="rId4" Type="http://schemas.openxmlformats.org/officeDocument/2006/relationships/settings" Target="settings.xml"/><Relationship Id="rId9" Type="http://schemas.openxmlformats.org/officeDocument/2006/relationships/hyperlink" Target="https://gateway.elieta.lv/api/v1/PublicMaterialDownload/735e2d43-f5c7-42b4-bb89-28fc87273a7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03BEB-2ED6-4B9C-B798-0718BC36F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17652</Words>
  <Characters>10063</Characters>
  <Application>Microsoft Office Word</Application>
  <DocSecurity>0</DocSecurity>
  <Lines>83</Lines>
  <Paragraphs>55</Paragraphs>
  <ScaleCrop>false</ScaleCrop>
  <Company/>
  <LinksUpToDate>false</LinksUpToDate>
  <CharactersWithSpaces>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2026-06-29T16:12:00Z</dcterms:created>
  <dcterms:modified xsi:type="dcterms:W3CDTF">2026-06-29T16:12:00Z</dcterms:modified>
</cp:coreProperties>
</file>