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2D0C2" w14:textId="4551D63F" w:rsidR="001045F2" w:rsidRPr="00257477" w:rsidRDefault="00257477" w:rsidP="00257477">
      <w:pPr>
        <w:pBdr>
          <w:top w:val="nil"/>
          <w:left w:val="nil"/>
          <w:bottom w:val="nil"/>
          <w:right w:val="nil"/>
          <w:between w:val="nil"/>
        </w:pBdr>
        <w:spacing w:line="276" w:lineRule="auto"/>
        <w:jc w:val="both"/>
        <w:rPr>
          <w:rFonts w:asciiTheme="majorBidi" w:hAnsiTheme="majorBidi" w:cstheme="majorBidi"/>
          <w:b/>
          <w:bCs/>
          <w:kern w:val="2"/>
        </w:rPr>
      </w:pPr>
      <w:r w:rsidRPr="00257477">
        <w:rPr>
          <w:rFonts w:asciiTheme="majorBidi" w:hAnsiTheme="majorBidi" w:cstheme="majorBidi"/>
          <w:b/>
          <w:bCs/>
          <w:kern w:val="2"/>
        </w:rPr>
        <w:t>Prasība par izmaksātā Eiropas Savienības fondu atbalsta finansējuma piedziņu, kas pamatota ar neatbilstību – projekta iesniegumā norādīto rādītāju</w:t>
      </w:r>
      <w:r w:rsidRPr="00257477">
        <w:rPr>
          <w:rFonts w:asciiTheme="majorBidi" w:hAnsiTheme="majorBidi" w:cstheme="majorBidi"/>
          <w:b/>
          <w:bCs/>
          <w:kern w:val="2"/>
        </w:rPr>
        <w:t xml:space="preserve"> nesasniegšanu</w:t>
      </w:r>
    </w:p>
    <w:p w14:paraId="2D451E57" w14:textId="77777777" w:rsidR="00257477" w:rsidRPr="00257477" w:rsidRDefault="00257477" w:rsidP="00257477">
      <w:pPr>
        <w:spacing w:line="276" w:lineRule="auto"/>
        <w:jc w:val="both"/>
        <w:rPr>
          <w:rFonts w:asciiTheme="majorBidi" w:hAnsiTheme="majorBidi" w:cstheme="majorBidi"/>
          <w:kern w:val="2"/>
        </w:rPr>
      </w:pPr>
      <w:r w:rsidRPr="00257477">
        <w:rPr>
          <w:rFonts w:asciiTheme="majorBidi" w:hAnsiTheme="majorBidi" w:cstheme="majorBidi"/>
          <w:kern w:val="2"/>
        </w:rPr>
        <w:t>Izvērtējot prasību par izmaksātā Eiropas Savienības fondu atbalsta finansējuma piedziņu, neatbilstība projekta iesniegumā norādītajiem rādītājiem nav saistāma ar atbalsta saņēmēja vainu attiecīgā projekta mērķu – gan kvalitatīvo, gan kvantitatīvo – nesasniegšanā. Nav tiesiskas nozīmes attaisnojumiem, kas projekta mērķu nesasniegšanu pamato ar ārējiem faktoriem.</w:t>
      </w:r>
    </w:p>
    <w:p w14:paraId="45540408" w14:textId="557E2F36" w:rsidR="00257477" w:rsidRPr="00257477" w:rsidRDefault="00257477" w:rsidP="00257477">
      <w:pPr>
        <w:spacing w:line="276" w:lineRule="auto"/>
        <w:jc w:val="both"/>
        <w:rPr>
          <w:rFonts w:asciiTheme="majorBidi" w:hAnsiTheme="majorBidi" w:cstheme="majorBidi"/>
          <w:kern w:val="2"/>
        </w:rPr>
      </w:pPr>
      <w:r w:rsidRPr="00257477">
        <w:rPr>
          <w:rFonts w:asciiTheme="majorBidi" w:hAnsiTheme="majorBidi" w:cstheme="majorBidi"/>
          <w:kern w:val="2"/>
        </w:rPr>
        <w:t xml:space="preserve">Ja atbalsta saņēmējs nav īstenojis tam prasīto darbības minimālo apjomu, saņemtais finansējums, kas piešķirts no Eiropas Savienības fondu līdzekļiem kā </w:t>
      </w:r>
      <w:proofErr w:type="spellStart"/>
      <w:r w:rsidRPr="00257477">
        <w:rPr>
          <w:rFonts w:asciiTheme="majorBidi" w:hAnsiTheme="majorBidi" w:cstheme="majorBidi"/>
          <w:kern w:val="2"/>
        </w:rPr>
        <w:t>pretizpildījums</w:t>
      </w:r>
      <w:proofErr w:type="spellEnd"/>
      <w:r w:rsidRPr="00257477">
        <w:rPr>
          <w:rFonts w:asciiTheme="majorBidi" w:hAnsiTheme="majorBidi" w:cstheme="majorBidi"/>
          <w:kern w:val="2"/>
        </w:rPr>
        <w:t xml:space="preserve"> par šā minimālā apjoma īstenošanu, ko pats atbalsta saņēmējs uzņēmies, var tikt atzīts par izmaksātu nepamatoti.</w:t>
      </w:r>
      <w:r w:rsidRPr="00257477">
        <w:rPr>
          <w:rFonts w:asciiTheme="majorBidi" w:hAnsiTheme="majorBidi" w:cstheme="majorBidi"/>
          <w:kern w:val="2"/>
        </w:rPr>
        <w:t>’</w:t>
      </w:r>
    </w:p>
    <w:p w14:paraId="679C0A4B" w14:textId="77777777" w:rsidR="00257477" w:rsidRPr="00257477" w:rsidRDefault="00257477" w:rsidP="00257477">
      <w:pPr>
        <w:spacing w:line="276" w:lineRule="auto"/>
        <w:jc w:val="both"/>
        <w:rPr>
          <w:rFonts w:asciiTheme="majorBidi" w:hAnsiTheme="majorBidi" w:cstheme="majorBidi"/>
          <w:kern w:val="2"/>
        </w:rPr>
      </w:pPr>
    </w:p>
    <w:p w14:paraId="5112AA13" w14:textId="18B5EBED" w:rsidR="00257477" w:rsidRDefault="00257477" w:rsidP="00257477">
      <w:pPr>
        <w:spacing w:line="276" w:lineRule="auto"/>
        <w:jc w:val="both"/>
        <w:rPr>
          <w:rFonts w:asciiTheme="majorBidi" w:hAnsiTheme="majorBidi" w:cstheme="majorBidi"/>
          <w:b/>
          <w:bCs/>
          <w:kern w:val="2"/>
        </w:rPr>
      </w:pPr>
      <w:r w:rsidRPr="00257477">
        <w:rPr>
          <w:rFonts w:asciiTheme="majorBidi" w:hAnsiTheme="majorBidi" w:cstheme="majorBidi"/>
          <w:b/>
          <w:bCs/>
          <w:kern w:val="2"/>
        </w:rPr>
        <w:t xml:space="preserve">Strīdā par izmaksātā Eiropas Savienības fondu atbalsta finansējuma piedziņu piemērojamais </w:t>
      </w:r>
      <w:r w:rsidR="00961B67">
        <w:rPr>
          <w:rFonts w:asciiTheme="majorBidi" w:hAnsiTheme="majorBidi" w:cstheme="majorBidi"/>
          <w:b/>
          <w:bCs/>
          <w:kern w:val="2"/>
        </w:rPr>
        <w:t>regulējums</w:t>
      </w:r>
    </w:p>
    <w:p w14:paraId="0FBE64AD" w14:textId="77777777" w:rsidR="00257477" w:rsidRPr="00257477" w:rsidRDefault="00257477" w:rsidP="00257477">
      <w:pPr>
        <w:spacing w:line="276" w:lineRule="auto"/>
        <w:jc w:val="both"/>
        <w:rPr>
          <w:rFonts w:asciiTheme="majorBidi" w:hAnsiTheme="majorBidi" w:cstheme="majorBidi"/>
          <w:b/>
          <w:bCs/>
          <w:kern w:val="2"/>
        </w:rPr>
      </w:pPr>
    </w:p>
    <w:p w14:paraId="401F8B27" w14:textId="74508BDE" w:rsidR="001045F2" w:rsidRPr="00257477" w:rsidRDefault="009E4691" w:rsidP="00257477">
      <w:pPr>
        <w:spacing w:line="276" w:lineRule="auto"/>
        <w:jc w:val="center"/>
        <w:rPr>
          <w:rFonts w:asciiTheme="majorBidi" w:hAnsiTheme="majorBidi" w:cstheme="majorBidi"/>
          <w:b/>
        </w:rPr>
      </w:pPr>
      <w:r w:rsidRPr="00257477">
        <w:rPr>
          <w:rFonts w:asciiTheme="majorBidi" w:hAnsiTheme="majorBidi" w:cstheme="majorBidi"/>
          <w:b/>
        </w:rPr>
        <w:t>Latvijas Republikas Senāt</w:t>
      </w:r>
      <w:r w:rsidR="00252D3E" w:rsidRPr="00257477">
        <w:rPr>
          <w:rFonts w:asciiTheme="majorBidi" w:hAnsiTheme="majorBidi" w:cstheme="majorBidi"/>
          <w:b/>
        </w:rPr>
        <w:t>a</w:t>
      </w:r>
    </w:p>
    <w:p w14:paraId="3BFED3D2" w14:textId="1AB41584" w:rsidR="00252D3E" w:rsidRPr="00257477" w:rsidRDefault="00252D3E" w:rsidP="00257477">
      <w:pPr>
        <w:spacing w:line="276" w:lineRule="auto"/>
        <w:jc w:val="center"/>
        <w:rPr>
          <w:rFonts w:asciiTheme="majorBidi" w:hAnsiTheme="majorBidi" w:cstheme="majorBidi"/>
          <w:b/>
        </w:rPr>
      </w:pPr>
      <w:r w:rsidRPr="00257477">
        <w:rPr>
          <w:rFonts w:asciiTheme="majorBidi" w:hAnsiTheme="majorBidi" w:cstheme="majorBidi"/>
          <w:b/>
        </w:rPr>
        <w:t>Civillietu departamenta</w:t>
      </w:r>
    </w:p>
    <w:p w14:paraId="5F8819FA" w14:textId="1E8CA94E" w:rsidR="00252D3E" w:rsidRPr="00257477" w:rsidRDefault="00252D3E" w:rsidP="00257477">
      <w:pPr>
        <w:spacing w:line="276" w:lineRule="auto"/>
        <w:jc w:val="center"/>
        <w:rPr>
          <w:rFonts w:asciiTheme="majorBidi" w:hAnsiTheme="majorBidi" w:cstheme="majorBidi"/>
          <w:b/>
          <w:bCs/>
        </w:rPr>
      </w:pPr>
      <w:r w:rsidRPr="00257477">
        <w:rPr>
          <w:rFonts w:asciiTheme="majorBidi" w:hAnsiTheme="majorBidi" w:cstheme="majorBidi"/>
          <w:b/>
          <w:bCs/>
        </w:rPr>
        <w:t>2026. gada 15. aprīļa</w:t>
      </w:r>
    </w:p>
    <w:p w14:paraId="152A2792" w14:textId="77777777" w:rsidR="001045F2" w:rsidRPr="00257477" w:rsidRDefault="009E4691" w:rsidP="00257477">
      <w:pPr>
        <w:spacing w:line="276" w:lineRule="auto"/>
        <w:jc w:val="center"/>
        <w:rPr>
          <w:rFonts w:asciiTheme="majorBidi" w:hAnsiTheme="majorBidi" w:cstheme="majorBidi"/>
          <w:b/>
        </w:rPr>
      </w:pPr>
      <w:r w:rsidRPr="00257477">
        <w:rPr>
          <w:rFonts w:asciiTheme="majorBidi" w:hAnsiTheme="majorBidi" w:cstheme="majorBidi"/>
          <w:b/>
        </w:rPr>
        <w:t>SPRIEDUMS</w:t>
      </w:r>
    </w:p>
    <w:p w14:paraId="404F316F" w14:textId="77777777" w:rsidR="00252D3E" w:rsidRPr="00257477" w:rsidRDefault="00252D3E" w:rsidP="00257477">
      <w:pPr>
        <w:spacing w:line="276" w:lineRule="auto"/>
        <w:jc w:val="center"/>
        <w:rPr>
          <w:rFonts w:asciiTheme="majorBidi" w:hAnsiTheme="majorBidi" w:cstheme="majorBidi"/>
          <w:b/>
          <w:bCs/>
        </w:rPr>
      </w:pPr>
      <w:r w:rsidRPr="00257477">
        <w:rPr>
          <w:rFonts w:asciiTheme="majorBidi" w:hAnsiTheme="majorBidi" w:cstheme="majorBidi"/>
          <w:b/>
          <w:bCs/>
        </w:rPr>
        <w:t>Lieta Nr. C68404421, SKC-5/2026</w:t>
      </w:r>
    </w:p>
    <w:p w14:paraId="6DF96338" w14:textId="7FCE93DB" w:rsidR="001045F2" w:rsidRPr="00257477" w:rsidRDefault="00A64726" w:rsidP="00257477">
      <w:pPr>
        <w:spacing w:line="276" w:lineRule="auto"/>
        <w:jc w:val="center"/>
        <w:rPr>
          <w:rFonts w:asciiTheme="majorBidi" w:hAnsiTheme="majorBidi" w:cstheme="majorBidi"/>
        </w:rPr>
      </w:pPr>
      <w:hyperlink r:id="rId8" w:history="1">
        <w:r w:rsidRPr="00257477">
          <w:rPr>
            <w:rStyle w:val="Hyperlink"/>
            <w:rFonts w:asciiTheme="majorBidi" w:hAnsiTheme="majorBidi" w:cstheme="majorBidi"/>
          </w:rPr>
          <w:t>ECLI:LV:AT:2026:0415.C68404421.13.S</w:t>
        </w:r>
      </w:hyperlink>
    </w:p>
    <w:p w14:paraId="003FCA99" w14:textId="77777777" w:rsidR="00252D3E" w:rsidRPr="00257477" w:rsidRDefault="00252D3E" w:rsidP="00257477">
      <w:pPr>
        <w:spacing w:line="276" w:lineRule="auto"/>
        <w:jc w:val="center"/>
        <w:rPr>
          <w:rFonts w:asciiTheme="majorBidi" w:hAnsiTheme="majorBidi" w:cstheme="majorBidi"/>
        </w:rPr>
      </w:pPr>
    </w:p>
    <w:p w14:paraId="13604718" w14:textId="757B7C45" w:rsidR="001045F2" w:rsidRPr="00257477" w:rsidRDefault="009E4691" w:rsidP="00257477">
      <w:pPr>
        <w:spacing w:line="276" w:lineRule="auto"/>
        <w:ind w:firstLine="709"/>
        <w:jc w:val="both"/>
        <w:rPr>
          <w:rFonts w:asciiTheme="majorBidi" w:hAnsiTheme="majorBidi" w:cstheme="majorBidi"/>
        </w:rPr>
      </w:pPr>
      <w:r w:rsidRPr="00257477">
        <w:rPr>
          <w:rFonts w:asciiTheme="majorBidi" w:hAnsiTheme="majorBidi" w:cstheme="majorBidi"/>
        </w:rPr>
        <w:t>Senāts šādā sastāvā: senator</w:t>
      </w:r>
      <w:r w:rsidR="0020371C" w:rsidRPr="00257477">
        <w:rPr>
          <w:rFonts w:asciiTheme="majorBidi" w:hAnsiTheme="majorBidi" w:cstheme="majorBidi"/>
        </w:rPr>
        <w:t>s</w:t>
      </w:r>
      <w:r w:rsidRPr="00257477">
        <w:rPr>
          <w:rFonts w:asciiTheme="majorBidi" w:hAnsiTheme="majorBidi" w:cstheme="majorBidi"/>
        </w:rPr>
        <w:t xml:space="preserve"> referent</w:t>
      </w:r>
      <w:r w:rsidR="0020371C" w:rsidRPr="00257477">
        <w:rPr>
          <w:rFonts w:asciiTheme="majorBidi" w:hAnsiTheme="majorBidi" w:cstheme="majorBidi"/>
        </w:rPr>
        <w:t>s Normunds Salenieks</w:t>
      </w:r>
      <w:r w:rsidRPr="00257477">
        <w:rPr>
          <w:rFonts w:asciiTheme="majorBidi" w:hAnsiTheme="majorBidi" w:cstheme="majorBidi"/>
        </w:rPr>
        <w:t xml:space="preserve">, senatori Kaspars Balodis un Marika Senkāne </w:t>
      </w:r>
    </w:p>
    <w:p w14:paraId="6F941EFC" w14:textId="77777777" w:rsidR="001045F2" w:rsidRPr="00257477" w:rsidRDefault="001045F2" w:rsidP="00257477">
      <w:pPr>
        <w:spacing w:line="276" w:lineRule="auto"/>
        <w:ind w:firstLine="709"/>
        <w:jc w:val="both"/>
        <w:rPr>
          <w:rFonts w:asciiTheme="majorBidi" w:hAnsiTheme="majorBidi" w:cstheme="majorBidi"/>
        </w:rPr>
      </w:pPr>
    </w:p>
    <w:p w14:paraId="20759D63" w14:textId="151F7DB4" w:rsidR="001045F2" w:rsidRPr="00257477" w:rsidRDefault="009E4691" w:rsidP="00257477">
      <w:pPr>
        <w:spacing w:line="276" w:lineRule="auto"/>
        <w:ind w:firstLine="709"/>
        <w:jc w:val="both"/>
        <w:rPr>
          <w:rFonts w:asciiTheme="majorBidi" w:hAnsiTheme="majorBidi" w:cstheme="majorBidi"/>
        </w:rPr>
      </w:pPr>
      <w:r w:rsidRPr="00257477">
        <w:rPr>
          <w:rFonts w:asciiTheme="majorBidi" w:hAnsiTheme="majorBidi" w:cstheme="majorBidi"/>
        </w:rPr>
        <w:t>rakstveida procesā</w:t>
      </w:r>
      <w:r w:rsidR="00A825BF" w:rsidRPr="00257477">
        <w:rPr>
          <w:rFonts w:asciiTheme="majorBidi" w:hAnsiTheme="majorBidi" w:cstheme="majorBidi"/>
        </w:rPr>
        <w:t xml:space="preserve"> izskatīja</w:t>
      </w:r>
      <w:r w:rsidRPr="00257477">
        <w:rPr>
          <w:rFonts w:asciiTheme="majorBidi" w:hAnsiTheme="majorBidi" w:cstheme="majorBidi"/>
        </w:rPr>
        <w:t xml:space="preserve"> </w:t>
      </w:r>
      <w:r w:rsidR="0020371C" w:rsidRPr="00257477">
        <w:rPr>
          <w:rFonts w:asciiTheme="majorBidi" w:hAnsiTheme="majorBidi" w:cstheme="majorBidi"/>
        </w:rPr>
        <w:t>civillietu Latvijas Investīciju un attīstības aģentūras prasībā pret SIA</w:t>
      </w:r>
      <w:r w:rsidR="00D122A4" w:rsidRPr="00257477">
        <w:rPr>
          <w:rFonts w:asciiTheme="majorBidi" w:hAnsiTheme="majorBidi" w:cstheme="majorBidi"/>
        </w:rPr>
        <w:t> </w:t>
      </w:r>
      <w:r w:rsidR="0020371C" w:rsidRPr="00257477">
        <w:rPr>
          <w:rFonts w:asciiTheme="majorBidi" w:hAnsiTheme="majorBidi" w:cstheme="majorBidi"/>
        </w:rPr>
        <w:t xml:space="preserve">„THERMEKO” par izmaksātā atbalsta finansējuma un nokavējuma procentu piedziņu sakarā ar </w:t>
      </w:r>
      <w:r w:rsidRPr="00257477">
        <w:rPr>
          <w:rFonts w:asciiTheme="majorBidi" w:hAnsiTheme="majorBidi" w:cstheme="majorBidi"/>
        </w:rPr>
        <w:t xml:space="preserve">Latvijas Investīciju un attīstības aģentūras kasācijas sūdzību par </w:t>
      </w:r>
      <w:bookmarkStart w:id="0" w:name="_Hlk146120533"/>
      <w:r w:rsidRPr="00257477">
        <w:rPr>
          <w:rFonts w:asciiTheme="majorBidi" w:hAnsiTheme="majorBidi" w:cstheme="majorBidi"/>
        </w:rPr>
        <w:t>Rīgas apgabaltiesas 2023.</w:t>
      </w:r>
      <w:r w:rsidR="0020371C" w:rsidRPr="00257477">
        <w:rPr>
          <w:rFonts w:asciiTheme="majorBidi" w:hAnsiTheme="majorBidi" w:cstheme="majorBidi"/>
        </w:rPr>
        <w:t> </w:t>
      </w:r>
      <w:r w:rsidRPr="00257477">
        <w:rPr>
          <w:rFonts w:asciiTheme="majorBidi" w:hAnsiTheme="majorBidi" w:cstheme="majorBidi"/>
        </w:rPr>
        <w:t>gada 28.</w:t>
      </w:r>
      <w:r w:rsidR="0020371C" w:rsidRPr="00257477">
        <w:rPr>
          <w:rFonts w:asciiTheme="majorBidi" w:hAnsiTheme="majorBidi" w:cstheme="majorBidi"/>
        </w:rPr>
        <w:t> </w:t>
      </w:r>
      <w:r w:rsidRPr="00257477">
        <w:rPr>
          <w:rFonts w:asciiTheme="majorBidi" w:hAnsiTheme="majorBidi" w:cstheme="majorBidi"/>
        </w:rPr>
        <w:t>aprīļa spriedumu</w:t>
      </w:r>
      <w:bookmarkEnd w:id="0"/>
      <w:r w:rsidRPr="00257477">
        <w:rPr>
          <w:rFonts w:asciiTheme="majorBidi" w:hAnsiTheme="majorBidi" w:cstheme="majorBidi"/>
        </w:rPr>
        <w:t>.</w:t>
      </w:r>
    </w:p>
    <w:p w14:paraId="5B23B1E9" w14:textId="77777777" w:rsidR="001045F2" w:rsidRPr="00257477" w:rsidRDefault="001045F2" w:rsidP="00257477">
      <w:pPr>
        <w:spacing w:line="276" w:lineRule="auto"/>
        <w:ind w:firstLine="709"/>
        <w:jc w:val="both"/>
        <w:rPr>
          <w:rFonts w:asciiTheme="majorBidi" w:hAnsiTheme="majorBidi" w:cstheme="majorBidi"/>
        </w:rPr>
      </w:pPr>
    </w:p>
    <w:p w14:paraId="036D1469" w14:textId="77777777" w:rsidR="001045F2" w:rsidRPr="00257477" w:rsidRDefault="009E4691" w:rsidP="00257477">
      <w:pPr>
        <w:spacing w:line="276" w:lineRule="auto"/>
        <w:jc w:val="center"/>
        <w:rPr>
          <w:rFonts w:asciiTheme="majorBidi" w:hAnsiTheme="majorBidi" w:cstheme="majorBidi"/>
          <w:b/>
        </w:rPr>
      </w:pPr>
      <w:r w:rsidRPr="00257477">
        <w:rPr>
          <w:rFonts w:asciiTheme="majorBidi" w:hAnsiTheme="majorBidi" w:cstheme="majorBidi"/>
          <w:b/>
        </w:rPr>
        <w:t>Aprakstošā daļa</w:t>
      </w:r>
    </w:p>
    <w:p w14:paraId="0AB4AEAE" w14:textId="77777777" w:rsidR="001045F2" w:rsidRPr="00257477" w:rsidRDefault="001045F2" w:rsidP="00257477">
      <w:pPr>
        <w:spacing w:line="276" w:lineRule="auto"/>
        <w:jc w:val="center"/>
        <w:rPr>
          <w:rFonts w:asciiTheme="majorBidi" w:hAnsiTheme="majorBidi" w:cstheme="majorBidi"/>
          <w:b/>
        </w:rPr>
      </w:pPr>
    </w:p>
    <w:p w14:paraId="509DF4F8" w14:textId="4231D995" w:rsidR="001045F2" w:rsidRPr="00257477" w:rsidRDefault="009E4691" w:rsidP="00257477">
      <w:pPr>
        <w:spacing w:line="276" w:lineRule="auto"/>
        <w:ind w:firstLine="720"/>
        <w:jc w:val="both"/>
        <w:rPr>
          <w:rFonts w:asciiTheme="majorBidi" w:hAnsiTheme="majorBidi" w:cstheme="majorBidi"/>
        </w:rPr>
      </w:pPr>
      <w:r w:rsidRPr="00257477">
        <w:rPr>
          <w:rFonts w:asciiTheme="majorBidi" w:hAnsiTheme="majorBidi" w:cstheme="majorBidi"/>
        </w:rPr>
        <w:t>[1] </w:t>
      </w:r>
      <w:r w:rsidRPr="00257477">
        <w:rPr>
          <w:rFonts w:asciiTheme="majorBidi" w:hAnsiTheme="majorBidi" w:cstheme="majorBidi"/>
          <w:bCs/>
        </w:rPr>
        <w:t>Latvijas Investīciju un attīstības aģentūra</w:t>
      </w:r>
      <w:r w:rsidRPr="00257477">
        <w:rPr>
          <w:rFonts w:asciiTheme="majorBidi" w:hAnsiTheme="majorBidi" w:cstheme="majorBidi"/>
        </w:rPr>
        <w:t xml:space="preserve"> cēl</w:t>
      </w:r>
      <w:r w:rsidR="0020371C" w:rsidRPr="00257477">
        <w:rPr>
          <w:rFonts w:asciiTheme="majorBidi" w:hAnsiTheme="majorBidi" w:cstheme="majorBidi"/>
        </w:rPr>
        <w:t>usi</w:t>
      </w:r>
      <w:r w:rsidRPr="00257477">
        <w:rPr>
          <w:rFonts w:asciiTheme="majorBidi" w:hAnsiTheme="majorBidi" w:cstheme="majorBidi"/>
        </w:rPr>
        <w:t xml:space="preserve"> tiesā prasību pret SIA „</w:t>
      </w:r>
      <w:r w:rsidR="0020371C" w:rsidRPr="00257477">
        <w:rPr>
          <w:rFonts w:asciiTheme="majorBidi" w:hAnsiTheme="majorBidi" w:cstheme="majorBidi"/>
        </w:rPr>
        <w:t>THERMEKO</w:t>
      </w:r>
      <w:r w:rsidRPr="00257477">
        <w:rPr>
          <w:rFonts w:asciiTheme="majorBidi" w:hAnsiTheme="majorBidi" w:cstheme="majorBidi"/>
        </w:rPr>
        <w:t>”, lūdzot:</w:t>
      </w:r>
    </w:p>
    <w:p w14:paraId="56CBAAEE" w14:textId="6307A63C" w:rsidR="001045F2" w:rsidRPr="00257477" w:rsidRDefault="009E4691" w:rsidP="00257477">
      <w:pPr>
        <w:spacing w:line="276" w:lineRule="auto"/>
        <w:ind w:firstLine="720"/>
        <w:jc w:val="both"/>
        <w:rPr>
          <w:rFonts w:asciiTheme="majorBidi" w:hAnsiTheme="majorBidi" w:cstheme="majorBidi"/>
        </w:rPr>
      </w:pPr>
      <w:r w:rsidRPr="00257477">
        <w:rPr>
          <w:rFonts w:asciiTheme="majorBidi" w:hAnsiTheme="majorBidi" w:cstheme="majorBidi"/>
        </w:rPr>
        <w:t xml:space="preserve">1) </w:t>
      </w:r>
      <w:r w:rsidRPr="00257477">
        <w:rPr>
          <w:rFonts w:asciiTheme="majorBidi" w:hAnsiTheme="majorBidi" w:cstheme="majorBidi"/>
          <w:bCs/>
        </w:rPr>
        <w:t>piedzīt no atbildētājas prasītājas labā</w:t>
      </w:r>
      <w:r w:rsidRPr="00257477">
        <w:rPr>
          <w:rFonts w:asciiTheme="majorBidi" w:hAnsiTheme="majorBidi" w:cstheme="majorBidi"/>
        </w:rPr>
        <w:t xml:space="preserve"> neatbilstoši veiktos izdevumus 110 626,72 </w:t>
      </w:r>
      <w:proofErr w:type="spellStart"/>
      <w:r w:rsidR="0020371C" w:rsidRPr="00257477">
        <w:rPr>
          <w:rFonts w:asciiTheme="majorBidi" w:hAnsiTheme="majorBidi" w:cstheme="majorBidi"/>
          <w:i/>
          <w:iCs/>
        </w:rPr>
        <w:t>euro</w:t>
      </w:r>
      <w:proofErr w:type="spellEnd"/>
      <w:r w:rsidR="0020371C" w:rsidRPr="00257477">
        <w:rPr>
          <w:rFonts w:asciiTheme="majorBidi" w:hAnsiTheme="majorBidi" w:cstheme="majorBidi"/>
        </w:rPr>
        <w:t xml:space="preserve"> </w:t>
      </w:r>
      <w:r w:rsidRPr="00257477">
        <w:rPr>
          <w:rFonts w:asciiTheme="majorBidi" w:hAnsiTheme="majorBidi" w:cstheme="majorBidi"/>
        </w:rPr>
        <w:t>un nokavējuma procentus 32 603,06 </w:t>
      </w:r>
      <w:proofErr w:type="spellStart"/>
      <w:r w:rsidR="0020371C" w:rsidRPr="00257477">
        <w:rPr>
          <w:rFonts w:asciiTheme="majorBidi" w:hAnsiTheme="majorBidi" w:cstheme="majorBidi"/>
          <w:i/>
          <w:iCs/>
        </w:rPr>
        <w:t>euro</w:t>
      </w:r>
      <w:proofErr w:type="spellEnd"/>
      <w:r w:rsidRPr="00257477">
        <w:rPr>
          <w:rFonts w:asciiTheme="majorBidi" w:hAnsiTheme="majorBidi" w:cstheme="majorBidi"/>
        </w:rPr>
        <w:t>, kopā 143 229,78 </w:t>
      </w:r>
      <w:proofErr w:type="spellStart"/>
      <w:r w:rsidR="0020371C" w:rsidRPr="00257477">
        <w:rPr>
          <w:rFonts w:asciiTheme="majorBidi" w:hAnsiTheme="majorBidi" w:cstheme="majorBidi"/>
          <w:i/>
          <w:iCs/>
        </w:rPr>
        <w:t>euro</w:t>
      </w:r>
      <w:proofErr w:type="spellEnd"/>
      <w:r w:rsidRPr="00257477">
        <w:rPr>
          <w:rFonts w:asciiTheme="majorBidi" w:hAnsiTheme="majorBidi" w:cstheme="majorBidi"/>
        </w:rPr>
        <w:t>;</w:t>
      </w:r>
    </w:p>
    <w:p w14:paraId="5E694852" w14:textId="77777777" w:rsidR="001045F2" w:rsidRPr="00257477" w:rsidRDefault="009E4691" w:rsidP="00257477">
      <w:pPr>
        <w:spacing w:line="276" w:lineRule="auto"/>
        <w:ind w:firstLine="720"/>
        <w:jc w:val="both"/>
        <w:rPr>
          <w:rFonts w:asciiTheme="majorBidi" w:hAnsiTheme="majorBidi" w:cstheme="majorBidi"/>
        </w:rPr>
      </w:pPr>
      <w:r w:rsidRPr="00257477">
        <w:rPr>
          <w:rFonts w:asciiTheme="majorBidi" w:hAnsiTheme="majorBidi" w:cstheme="majorBidi"/>
          <w:bCs/>
        </w:rPr>
        <w:t>2)</w:t>
      </w:r>
      <w:r w:rsidRPr="00257477">
        <w:rPr>
          <w:rFonts w:asciiTheme="majorBidi" w:hAnsiTheme="majorBidi" w:cstheme="majorBidi"/>
        </w:rPr>
        <w:t xml:space="preserve"> noteikt prasītājai tiesības par laiku līdz sprieduma izpildei saņemt no atbildētājas līgumiskos nokavējuma procentus 0,1 % no neatmaksātās neatbilstoši veikto izdevumu summas par katru nokavēto maksājuma dienu.</w:t>
      </w:r>
    </w:p>
    <w:p w14:paraId="08086628" w14:textId="77777777" w:rsidR="001045F2" w:rsidRPr="00257477" w:rsidRDefault="009E4691" w:rsidP="00257477">
      <w:pPr>
        <w:spacing w:line="276" w:lineRule="auto"/>
        <w:ind w:firstLine="720"/>
        <w:jc w:val="both"/>
        <w:rPr>
          <w:rFonts w:asciiTheme="majorBidi" w:hAnsiTheme="majorBidi" w:cstheme="majorBidi"/>
        </w:rPr>
      </w:pPr>
      <w:r w:rsidRPr="00257477">
        <w:rPr>
          <w:rFonts w:asciiTheme="majorBidi" w:hAnsiTheme="majorBidi" w:cstheme="majorBidi"/>
        </w:rPr>
        <w:t>Prasības pieteikumā norādīti šādi apstākļi.</w:t>
      </w:r>
    </w:p>
    <w:p w14:paraId="4543C361" w14:textId="5B3E87C2" w:rsidR="001045F2" w:rsidRPr="00257477" w:rsidRDefault="009E4691" w:rsidP="00257477">
      <w:pPr>
        <w:spacing w:line="276" w:lineRule="auto"/>
        <w:ind w:firstLine="720"/>
        <w:jc w:val="both"/>
        <w:rPr>
          <w:rFonts w:asciiTheme="majorBidi" w:hAnsiTheme="majorBidi" w:cstheme="majorBidi"/>
        </w:rPr>
      </w:pPr>
      <w:r w:rsidRPr="00257477">
        <w:rPr>
          <w:rFonts w:asciiTheme="majorBidi" w:hAnsiTheme="majorBidi" w:cstheme="majorBidi"/>
        </w:rPr>
        <w:t>[1.1] </w:t>
      </w:r>
      <w:r w:rsidR="0020371C" w:rsidRPr="00257477">
        <w:rPr>
          <w:rFonts w:asciiTheme="majorBidi" w:hAnsiTheme="majorBidi" w:cstheme="majorBidi"/>
        </w:rPr>
        <w:t xml:space="preserve">Latvijas Investīciju un attīstības aģentūra </w:t>
      </w:r>
      <w:r w:rsidRPr="00257477">
        <w:rPr>
          <w:rFonts w:asciiTheme="majorBidi" w:hAnsiTheme="majorBidi" w:cstheme="majorBidi"/>
        </w:rPr>
        <w:t>un SIA</w:t>
      </w:r>
      <w:r w:rsidR="00E06F33" w:rsidRPr="00257477">
        <w:rPr>
          <w:rFonts w:asciiTheme="majorBidi" w:hAnsiTheme="majorBidi" w:cstheme="majorBidi"/>
        </w:rPr>
        <w:t> </w:t>
      </w:r>
      <w:r w:rsidRPr="00257477">
        <w:rPr>
          <w:rFonts w:asciiTheme="majorBidi" w:hAnsiTheme="majorBidi" w:cstheme="majorBidi"/>
        </w:rPr>
        <w:t>„</w:t>
      </w:r>
      <w:r w:rsidR="0020371C" w:rsidRPr="00257477">
        <w:rPr>
          <w:rFonts w:asciiTheme="majorBidi" w:hAnsiTheme="majorBidi" w:cstheme="majorBidi"/>
        </w:rPr>
        <w:t>THERMEKO</w:t>
      </w:r>
      <w:r w:rsidRPr="00257477">
        <w:rPr>
          <w:rFonts w:asciiTheme="majorBidi" w:hAnsiTheme="majorBidi" w:cstheme="majorBidi"/>
        </w:rPr>
        <w:t>” 2010.</w:t>
      </w:r>
      <w:r w:rsidR="00D65756" w:rsidRPr="00257477">
        <w:rPr>
          <w:rFonts w:asciiTheme="majorBidi" w:hAnsiTheme="majorBidi" w:cstheme="majorBidi"/>
        </w:rPr>
        <w:t> </w:t>
      </w:r>
      <w:r w:rsidRPr="00257477">
        <w:rPr>
          <w:rFonts w:asciiTheme="majorBidi" w:hAnsiTheme="majorBidi" w:cstheme="majorBidi"/>
        </w:rPr>
        <w:t>gada 23.</w:t>
      </w:r>
      <w:r w:rsidR="00D65756" w:rsidRPr="00257477">
        <w:rPr>
          <w:rFonts w:asciiTheme="majorBidi" w:hAnsiTheme="majorBidi" w:cstheme="majorBidi"/>
        </w:rPr>
        <w:t> </w:t>
      </w:r>
      <w:r w:rsidRPr="00257477">
        <w:rPr>
          <w:rFonts w:asciiTheme="majorBidi" w:hAnsiTheme="majorBidi" w:cstheme="majorBidi"/>
        </w:rPr>
        <w:t>martā noslēdza līgumu par projekta „Jauna siltumizolācijas materiāla ražošanas bāzes izveide” īstenošanu (turpmāk</w:t>
      </w:r>
      <w:r w:rsidR="00D65756" w:rsidRPr="00257477">
        <w:rPr>
          <w:rFonts w:asciiTheme="majorBidi" w:hAnsiTheme="majorBidi" w:cstheme="majorBidi"/>
        </w:rPr>
        <w:t xml:space="preserve"> attiecīgi</w:t>
      </w:r>
      <w:r w:rsidRPr="00257477">
        <w:rPr>
          <w:rFonts w:asciiTheme="majorBidi" w:hAnsiTheme="majorBidi" w:cstheme="majorBidi"/>
        </w:rPr>
        <w:t xml:space="preserve"> – līgums Nr. 1 un projekts Nr. 1) darbības programmas „Uzņēmējdarbība un inovācijas” papildinājuma aktivitātes „Atbalsts ieguldījumiem mikro, maziem un vidējiem komersantiem īpaši atbalstāmajās teritorijās”</w:t>
      </w:r>
      <w:r w:rsidR="00D65756" w:rsidRPr="00257477">
        <w:rPr>
          <w:rFonts w:asciiTheme="majorBidi" w:hAnsiTheme="majorBidi" w:cstheme="majorBidi"/>
        </w:rPr>
        <w:t xml:space="preserve"> </w:t>
      </w:r>
      <w:r w:rsidRPr="00257477">
        <w:rPr>
          <w:rFonts w:asciiTheme="majorBidi" w:hAnsiTheme="majorBidi" w:cstheme="majorBidi"/>
        </w:rPr>
        <w:t>ietvaros.</w:t>
      </w:r>
    </w:p>
    <w:p w14:paraId="53AB3894" w14:textId="7965CCD6" w:rsidR="001045F2" w:rsidRPr="00257477" w:rsidRDefault="009E4691" w:rsidP="00257477">
      <w:pPr>
        <w:spacing w:line="276" w:lineRule="auto"/>
        <w:ind w:firstLine="720"/>
        <w:jc w:val="both"/>
        <w:rPr>
          <w:rFonts w:asciiTheme="majorBidi" w:hAnsiTheme="majorBidi" w:cstheme="majorBidi"/>
        </w:rPr>
      </w:pPr>
      <w:r w:rsidRPr="00257477">
        <w:rPr>
          <w:rFonts w:asciiTheme="majorBidi" w:hAnsiTheme="majorBidi" w:cstheme="majorBidi"/>
        </w:rPr>
        <w:lastRenderedPageBreak/>
        <w:t>Atbilstoši projekta iesnieguma 2.4.</w:t>
      </w:r>
      <w:r w:rsidR="00D65756" w:rsidRPr="00257477">
        <w:rPr>
          <w:rFonts w:asciiTheme="majorBidi" w:hAnsiTheme="majorBidi" w:cstheme="majorBidi"/>
        </w:rPr>
        <w:t> </w:t>
      </w:r>
      <w:r w:rsidRPr="00257477">
        <w:rPr>
          <w:rFonts w:asciiTheme="majorBidi" w:hAnsiTheme="majorBidi" w:cstheme="majorBidi"/>
        </w:rPr>
        <w:t xml:space="preserve">sadaļai „Projekta apraksts un projekta mērķis” </w:t>
      </w:r>
      <w:r w:rsidR="00B02E0E" w:rsidRPr="00257477">
        <w:rPr>
          <w:rFonts w:asciiTheme="majorBidi" w:hAnsiTheme="majorBidi" w:cstheme="majorBidi"/>
        </w:rPr>
        <w:t xml:space="preserve">atbildētāja ar </w:t>
      </w:r>
      <w:r w:rsidRPr="00257477">
        <w:rPr>
          <w:rFonts w:asciiTheme="majorBidi" w:hAnsiTheme="majorBidi" w:cstheme="majorBidi"/>
        </w:rPr>
        <w:t>projekt</w:t>
      </w:r>
      <w:r w:rsidR="00B02E0E" w:rsidRPr="00257477">
        <w:rPr>
          <w:rFonts w:asciiTheme="majorBidi" w:hAnsiTheme="majorBidi" w:cstheme="majorBidi"/>
        </w:rPr>
        <w:t>u</w:t>
      </w:r>
      <w:r w:rsidRPr="00257477">
        <w:rPr>
          <w:rFonts w:asciiTheme="majorBidi" w:hAnsiTheme="majorBidi" w:cstheme="majorBidi"/>
        </w:rPr>
        <w:t xml:space="preserve"> </w:t>
      </w:r>
      <w:r w:rsidR="00D65756" w:rsidRPr="00257477">
        <w:rPr>
          <w:rFonts w:asciiTheme="majorBidi" w:hAnsiTheme="majorBidi" w:cstheme="majorBidi"/>
        </w:rPr>
        <w:t xml:space="preserve">Nr. 1 </w:t>
      </w:r>
      <w:r w:rsidRPr="00257477">
        <w:rPr>
          <w:rFonts w:asciiTheme="majorBidi" w:hAnsiTheme="majorBidi" w:cstheme="majorBidi"/>
        </w:rPr>
        <w:t xml:space="preserve">plānoja ieviest ražošanā jaunu produktu – siltumizolācijas materiālu </w:t>
      </w:r>
      <w:r w:rsidR="00394BFF" w:rsidRPr="00257477">
        <w:rPr>
          <w:rFonts w:asciiTheme="majorBidi" w:hAnsiTheme="majorBidi" w:cstheme="majorBidi"/>
        </w:rPr>
        <w:t>„</w:t>
      </w:r>
      <w:proofErr w:type="spellStart"/>
      <w:r w:rsidR="00394BFF" w:rsidRPr="00257477">
        <w:rPr>
          <w:rFonts w:asciiTheme="majorBidi" w:hAnsiTheme="majorBidi" w:cstheme="majorBidi"/>
        </w:rPr>
        <w:t>Penoisol</w:t>
      </w:r>
      <w:proofErr w:type="spellEnd"/>
      <w:r w:rsidR="00394BFF" w:rsidRPr="00257477">
        <w:rPr>
          <w:rFonts w:asciiTheme="majorBidi" w:hAnsiTheme="majorBidi" w:cstheme="majorBidi"/>
        </w:rPr>
        <w:t xml:space="preserve">” </w:t>
      </w:r>
      <w:r w:rsidRPr="00257477">
        <w:rPr>
          <w:rFonts w:asciiTheme="majorBidi" w:hAnsiTheme="majorBidi" w:cstheme="majorBidi"/>
        </w:rPr>
        <w:t xml:space="preserve">(tā kā šis produkts vēlāk tika pārdēvēts par </w:t>
      </w:r>
      <w:r w:rsidR="00394BFF" w:rsidRPr="00257477">
        <w:rPr>
          <w:rFonts w:asciiTheme="majorBidi" w:hAnsiTheme="majorBidi" w:cstheme="majorBidi"/>
        </w:rPr>
        <w:t>„</w:t>
      </w:r>
      <w:proofErr w:type="spellStart"/>
      <w:r w:rsidR="00394BFF" w:rsidRPr="00257477">
        <w:rPr>
          <w:rFonts w:asciiTheme="majorBidi" w:hAnsiTheme="majorBidi" w:cstheme="majorBidi"/>
        </w:rPr>
        <w:t>Izoprok</w:t>
      </w:r>
      <w:proofErr w:type="spellEnd"/>
      <w:r w:rsidR="00394BFF" w:rsidRPr="00257477">
        <w:rPr>
          <w:rFonts w:asciiTheme="majorBidi" w:hAnsiTheme="majorBidi" w:cstheme="majorBidi"/>
        </w:rPr>
        <w:t>”</w:t>
      </w:r>
      <w:r w:rsidRPr="00257477">
        <w:rPr>
          <w:rFonts w:asciiTheme="majorBidi" w:hAnsiTheme="majorBidi" w:cstheme="majorBidi"/>
        </w:rPr>
        <w:t xml:space="preserve">, turpmāk – </w:t>
      </w:r>
      <w:r w:rsidR="00394BFF" w:rsidRPr="00257477">
        <w:rPr>
          <w:rFonts w:asciiTheme="majorBidi" w:hAnsiTheme="majorBidi" w:cstheme="majorBidi"/>
        </w:rPr>
        <w:t>„</w:t>
      </w:r>
      <w:proofErr w:type="spellStart"/>
      <w:r w:rsidR="00394BFF" w:rsidRPr="00257477">
        <w:rPr>
          <w:rFonts w:asciiTheme="majorBidi" w:hAnsiTheme="majorBidi" w:cstheme="majorBidi"/>
        </w:rPr>
        <w:t>Izoprok</w:t>
      </w:r>
      <w:proofErr w:type="spellEnd"/>
      <w:r w:rsidR="00394BFF" w:rsidRPr="00257477">
        <w:rPr>
          <w:rFonts w:asciiTheme="majorBidi" w:hAnsiTheme="majorBidi" w:cstheme="majorBidi"/>
        </w:rPr>
        <w:t>”</w:t>
      </w:r>
      <w:r w:rsidRPr="00257477">
        <w:rPr>
          <w:rFonts w:asciiTheme="majorBidi" w:hAnsiTheme="majorBidi" w:cstheme="majorBidi"/>
        </w:rPr>
        <w:t>), kas paredzēts ēku siltināšanai.</w:t>
      </w:r>
    </w:p>
    <w:p w14:paraId="6AA66586" w14:textId="36B736F0" w:rsidR="001045F2" w:rsidRPr="00257477" w:rsidRDefault="009E4691" w:rsidP="00257477">
      <w:pPr>
        <w:spacing w:line="276" w:lineRule="auto"/>
        <w:ind w:firstLine="720"/>
        <w:jc w:val="both"/>
        <w:rPr>
          <w:rFonts w:asciiTheme="majorBidi" w:hAnsiTheme="majorBidi" w:cstheme="majorBidi"/>
        </w:rPr>
      </w:pPr>
      <w:r w:rsidRPr="00257477">
        <w:rPr>
          <w:rFonts w:asciiTheme="majorBidi" w:hAnsiTheme="majorBidi" w:cstheme="majorBidi"/>
        </w:rPr>
        <w:t>Pēc projekta Nr.</w:t>
      </w:r>
      <w:r w:rsidR="00D65756" w:rsidRPr="00257477">
        <w:rPr>
          <w:rFonts w:asciiTheme="majorBidi" w:hAnsiTheme="majorBidi" w:cstheme="majorBidi"/>
        </w:rPr>
        <w:t> </w:t>
      </w:r>
      <w:r w:rsidRPr="00257477">
        <w:rPr>
          <w:rFonts w:asciiTheme="majorBidi" w:hAnsiTheme="majorBidi" w:cstheme="majorBidi"/>
        </w:rPr>
        <w:t xml:space="preserve">1 īstenošanas apgrozījums no jaunā produkta </w:t>
      </w:r>
      <w:r w:rsidR="00394BFF" w:rsidRPr="00257477">
        <w:rPr>
          <w:rFonts w:asciiTheme="majorBidi" w:hAnsiTheme="majorBidi" w:cstheme="majorBidi"/>
        </w:rPr>
        <w:t>„</w:t>
      </w:r>
      <w:proofErr w:type="spellStart"/>
      <w:r w:rsidR="00394BFF" w:rsidRPr="00257477">
        <w:rPr>
          <w:rFonts w:asciiTheme="majorBidi" w:hAnsiTheme="majorBidi" w:cstheme="majorBidi"/>
        </w:rPr>
        <w:t>Izoprok</w:t>
      </w:r>
      <w:proofErr w:type="spellEnd"/>
      <w:r w:rsidR="00394BFF" w:rsidRPr="00257477">
        <w:rPr>
          <w:rFonts w:asciiTheme="majorBidi" w:hAnsiTheme="majorBidi" w:cstheme="majorBidi"/>
        </w:rPr>
        <w:t>”</w:t>
      </w:r>
      <w:r w:rsidRPr="00257477">
        <w:rPr>
          <w:rFonts w:asciiTheme="majorBidi" w:hAnsiTheme="majorBidi" w:cstheme="majorBidi"/>
        </w:rPr>
        <w:t xml:space="preserve"> realizācijas pirmajā gadā bija paredzēts 350</w:t>
      </w:r>
      <w:r w:rsidR="00E06F33" w:rsidRPr="00257477">
        <w:rPr>
          <w:rFonts w:asciiTheme="majorBidi" w:hAnsiTheme="majorBidi" w:cstheme="majorBidi"/>
        </w:rPr>
        <w:t> </w:t>
      </w:r>
      <w:r w:rsidRPr="00257477">
        <w:rPr>
          <w:rFonts w:asciiTheme="majorBidi" w:hAnsiTheme="majorBidi" w:cstheme="majorBidi"/>
        </w:rPr>
        <w:t>000</w:t>
      </w:r>
      <w:r w:rsidR="00E06F33" w:rsidRPr="00257477">
        <w:rPr>
          <w:rFonts w:asciiTheme="majorBidi" w:hAnsiTheme="majorBidi" w:cstheme="majorBidi"/>
        </w:rPr>
        <w:t> </w:t>
      </w:r>
      <w:r w:rsidR="00EA288C" w:rsidRPr="00257477">
        <w:rPr>
          <w:rFonts w:asciiTheme="majorBidi" w:hAnsiTheme="majorBidi" w:cstheme="majorBidi"/>
        </w:rPr>
        <w:t>latu</w:t>
      </w:r>
      <w:r w:rsidRPr="00257477">
        <w:rPr>
          <w:rFonts w:asciiTheme="majorBidi" w:hAnsiTheme="majorBidi" w:cstheme="majorBidi"/>
        </w:rPr>
        <w:t xml:space="preserve"> jeb 498 005,13</w:t>
      </w:r>
      <w:r w:rsidR="00E06F33" w:rsidRPr="00257477">
        <w:rPr>
          <w:rFonts w:asciiTheme="majorBidi" w:hAnsiTheme="majorBidi" w:cstheme="majorBidi"/>
        </w:rPr>
        <w:t> </w:t>
      </w:r>
      <w:proofErr w:type="spellStart"/>
      <w:r w:rsidR="0020371C" w:rsidRPr="00257477">
        <w:rPr>
          <w:rFonts w:asciiTheme="majorBidi" w:hAnsiTheme="majorBidi" w:cstheme="majorBidi"/>
          <w:i/>
          <w:iCs/>
        </w:rPr>
        <w:t>euro</w:t>
      </w:r>
      <w:proofErr w:type="spellEnd"/>
      <w:r w:rsidRPr="00257477">
        <w:rPr>
          <w:rFonts w:asciiTheme="majorBidi" w:hAnsiTheme="majorBidi" w:cstheme="majorBidi"/>
        </w:rPr>
        <w:t xml:space="preserve"> un otrajā gadā – 1 450 000 </w:t>
      </w:r>
      <w:r w:rsidR="00EA288C" w:rsidRPr="00257477">
        <w:rPr>
          <w:rFonts w:asciiTheme="majorBidi" w:hAnsiTheme="majorBidi" w:cstheme="majorBidi"/>
        </w:rPr>
        <w:t>latu</w:t>
      </w:r>
      <w:r w:rsidRPr="00257477">
        <w:rPr>
          <w:rFonts w:asciiTheme="majorBidi" w:hAnsiTheme="majorBidi" w:cstheme="majorBidi"/>
        </w:rPr>
        <w:t xml:space="preserve"> jeb 2 063 164,12 </w:t>
      </w:r>
      <w:proofErr w:type="spellStart"/>
      <w:r w:rsidR="00976997" w:rsidRPr="00257477">
        <w:rPr>
          <w:rFonts w:asciiTheme="majorBidi" w:hAnsiTheme="majorBidi" w:cstheme="majorBidi"/>
          <w:i/>
          <w:iCs/>
        </w:rPr>
        <w:t>euro</w:t>
      </w:r>
      <w:proofErr w:type="spellEnd"/>
      <w:r w:rsidRPr="00257477">
        <w:rPr>
          <w:rFonts w:asciiTheme="majorBidi" w:hAnsiTheme="majorBidi" w:cstheme="majorBidi"/>
        </w:rPr>
        <w:t>.</w:t>
      </w:r>
    </w:p>
    <w:p w14:paraId="0C91A4C4" w14:textId="65508CB6" w:rsidR="001045F2" w:rsidRPr="00257477" w:rsidRDefault="009E4691" w:rsidP="00257477">
      <w:pPr>
        <w:spacing w:line="276" w:lineRule="auto"/>
        <w:ind w:firstLine="720"/>
        <w:jc w:val="both"/>
        <w:rPr>
          <w:rFonts w:asciiTheme="majorBidi" w:hAnsiTheme="majorBidi" w:cstheme="majorBidi"/>
        </w:rPr>
      </w:pPr>
      <w:r w:rsidRPr="00257477">
        <w:rPr>
          <w:rFonts w:asciiTheme="majorBidi" w:hAnsiTheme="majorBidi" w:cstheme="majorBidi"/>
        </w:rPr>
        <w:t>Projekta</w:t>
      </w:r>
      <w:r w:rsidR="00D65756" w:rsidRPr="00257477">
        <w:rPr>
          <w:rFonts w:asciiTheme="majorBidi" w:hAnsiTheme="majorBidi" w:cstheme="majorBidi"/>
        </w:rPr>
        <w:t xml:space="preserve"> Nr. 1</w:t>
      </w:r>
      <w:r w:rsidRPr="00257477">
        <w:rPr>
          <w:rFonts w:asciiTheme="majorBidi" w:hAnsiTheme="majorBidi" w:cstheme="majorBidi"/>
        </w:rPr>
        <w:t xml:space="preserve"> ietvaros atbildētāja jaunā produkta ražošanai </w:t>
      </w:r>
      <w:r w:rsidR="00394BFF" w:rsidRPr="00257477">
        <w:rPr>
          <w:rFonts w:asciiTheme="majorBidi" w:hAnsiTheme="majorBidi" w:cstheme="majorBidi"/>
        </w:rPr>
        <w:t xml:space="preserve">iegādājās </w:t>
      </w:r>
      <w:r w:rsidRPr="00257477">
        <w:rPr>
          <w:rFonts w:asciiTheme="majorBidi" w:hAnsiTheme="majorBidi" w:cstheme="majorBidi"/>
        </w:rPr>
        <w:t>nepieciešamās tehnoloģiskās iekārtas. Izvērtējusi atbildētājas iesniegtos dokumentus, prasītāja 2016.</w:t>
      </w:r>
      <w:r w:rsidR="00D65756" w:rsidRPr="00257477">
        <w:rPr>
          <w:rFonts w:asciiTheme="majorBidi" w:hAnsiTheme="majorBidi" w:cstheme="majorBidi"/>
        </w:rPr>
        <w:t> </w:t>
      </w:r>
      <w:r w:rsidRPr="00257477">
        <w:rPr>
          <w:rFonts w:asciiTheme="majorBidi" w:hAnsiTheme="majorBidi" w:cstheme="majorBidi"/>
        </w:rPr>
        <w:t>gada 31.</w:t>
      </w:r>
      <w:r w:rsidR="00D65756" w:rsidRPr="00257477">
        <w:rPr>
          <w:rFonts w:asciiTheme="majorBidi" w:hAnsiTheme="majorBidi" w:cstheme="majorBidi"/>
        </w:rPr>
        <w:t> </w:t>
      </w:r>
      <w:r w:rsidRPr="00257477">
        <w:rPr>
          <w:rFonts w:asciiTheme="majorBidi" w:hAnsiTheme="majorBidi" w:cstheme="majorBidi"/>
        </w:rPr>
        <w:t>martā izmaksāja atbalsta finansējumu 204 583,35</w:t>
      </w:r>
      <w:r w:rsidR="00E06F33" w:rsidRPr="00257477">
        <w:rPr>
          <w:rFonts w:asciiTheme="majorBidi" w:hAnsiTheme="majorBidi" w:cstheme="majorBidi"/>
        </w:rPr>
        <w:t> </w:t>
      </w:r>
      <w:proofErr w:type="spellStart"/>
      <w:r w:rsidR="00976997" w:rsidRPr="00257477">
        <w:rPr>
          <w:rFonts w:asciiTheme="majorBidi" w:hAnsiTheme="majorBidi" w:cstheme="majorBidi"/>
          <w:i/>
          <w:iCs/>
        </w:rPr>
        <w:t>euro</w:t>
      </w:r>
      <w:proofErr w:type="spellEnd"/>
      <w:r w:rsidRPr="00257477">
        <w:rPr>
          <w:rFonts w:asciiTheme="majorBidi" w:hAnsiTheme="majorBidi" w:cstheme="majorBidi"/>
        </w:rPr>
        <w:t xml:space="preserve">. </w:t>
      </w:r>
    </w:p>
    <w:p w14:paraId="4A6AB9EF" w14:textId="51D717B9" w:rsidR="001045F2" w:rsidRPr="00257477" w:rsidRDefault="009E4691" w:rsidP="00257477">
      <w:pPr>
        <w:spacing w:line="276" w:lineRule="auto"/>
        <w:ind w:firstLine="720"/>
        <w:jc w:val="both"/>
        <w:rPr>
          <w:rFonts w:asciiTheme="majorBidi" w:hAnsiTheme="majorBidi" w:cstheme="majorBidi"/>
        </w:rPr>
      </w:pPr>
      <w:r w:rsidRPr="00257477">
        <w:rPr>
          <w:rFonts w:asciiTheme="majorBidi" w:hAnsiTheme="majorBidi" w:cstheme="majorBidi"/>
        </w:rPr>
        <w:t>[1.2] </w:t>
      </w:r>
      <w:r w:rsidR="0020371C" w:rsidRPr="00257477">
        <w:rPr>
          <w:rFonts w:asciiTheme="majorBidi" w:hAnsiTheme="majorBidi" w:cstheme="majorBidi"/>
        </w:rPr>
        <w:t xml:space="preserve">Latvijas Investīciju un attīstības aģentūra </w:t>
      </w:r>
      <w:r w:rsidRPr="00257477">
        <w:rPr>
          <w:rFonts w:asciiTheme="majorBidi" w:hAnsiTheme="majorBidi" w:cstheme="majorBidi"/>
        </w:rPr>
        <w:t>un SIA</w:t>
      </w:r>
      <w:r w:rsidR="00E06F33" w:rsidRPr="00257477">
        <w:rPr>
          <w:rFonts w:asciiTheme="majorBidi" w:hAnsiTheme="majorBidi" w:cstheme="majorBidi"/>
        </w:rPr>
        <w:t> </w:t>
      </w:r>
      <w:r w:rsidRPr="00257477">
        <w:rPr>
          <w:rFonts w:asciiTheme="majorBidi" w:hAnsiTheme="majorBidi" w:cstheme="majorBidi"/>
        </w:rPr>
        <w:t>„</w:t>
      </w:r>
      <w:r w:rsidR="0020371C" w:rsidRPr="00257477">
        <w:rPr>
          <w:rFonts w:asciiTheme="majorBidi" w:hAnsiTheme="majorBidi" w:cstheme="majorBidi"/>
        </w:rPr>
        <w:t>THERMEKO</w:t>
      </w:r>
      <w:r w:rsidRPr="00257477">
        <w:rPr>
          <w:rFonts w:asciiTheme="majorBidi" w:hAnsiTheme="majorBidi" w:cstheme="majorBidi"/>
        </w:rPr>
        <w:t>” 2014.</w:t>
      </w:r>
      <w:r w:rsidR="00D65756" w:rsidRPr="00257477">
        <w:rPr>
          <w:rFonts w:asciiTheme="majorBidi" w:hAnsiTheme="majorBidi" w:cstheme="majorBidi"/>
        </w:rPr>
        <w:t> </w:t>
      </w:r>
      <w:r w:rsidRPr="00257477">
        <w:rPr>
          <w:rFonts w:asciiTheme="majorBidi" w:hAnsiTheme="majorBidi" w:cstheme="majorBidi"/>
        </w:rPr>
        <w:t>gada 19.</w:t>
      </w:r>
      <w:r w:rsidR="00E06F33" w:rsidRPr="00257477">
        <w:rPr>
          <w:rFonts w:asciiTheme="majorBidi" w:hAnsiTheme="majorBidi" w:cstheme="majorBidi"/>
        </w:rPr>
        <w:t> </w:t>
      </w:r>
      <w:r w:rsidRPr="00257477">
        <w:rPr>
          <w:rFonts w:asciiTheme="majorBidi" w:hAnsiTheme="majorBidi" w:cstheme="majorBidi"/>
        </w:rPr>
        <w:t>septembrī noslēdza līgumu par projekta „Jaunā inovatīvā siltumizolācijas ražošana” īstenošanu (turpmāk</w:t>
      </w:r>
      <w:r w:rsidR="00D65756" w:rsidRPr="00257477">
        <w:rPr>
          <w:rFonts w:asciiTheme="majorBidi" w:hAnsiTheme="majorBidi" w:cstheme="majorBidi"/>
        </w:rPr>
        <w:t xml:space="preserve"> attiecīgi</w:t>
      </w:r>
      <w:r w:rsidRPr="00257477">
        <w:rPr>
          <w:rFonts w:asciiTheme="majorBidi" w:hAnsiTheme="majorBidi" w:cstheme="majorBidi"/>
        </w:rPr>
        <w:t xml:space="preserve"> – līgums Nr. 2 un projekts Nr. 2) darbības programmas „Uzņēmējdarbība un inovācijas” papildinājuma 2.1.2.4.</w:t>
      </w:r>
      <w:r w:rsidR="00CB377C" w:rsidRPr="00257477">
        <w:rPr>
          <w:rFonts w:asciiTheme="majorBidi" w:hAnsiTheme="majorBidi" w:cstheme="majorBidi"/>
        </w:rPr>
        <w:t> </w:t>
      </w:r>
      <w:r w:rsidRPr="00257477">
        <w:rPr>
          <w:rFonts w:asciiTheme="majorBidi" w:hAnsiTheme="majorBidi" w:cstheme="majorBidi"/>
        </w:rPr>
        <w:t>aktivitātes „Augstas pievienotās vērtības investīcijas” ceturtās kārtas ietvaros.</w:t>
      </w:r>
    </w:p>
    <w:p w14:paraId="7B6BF1A5" w14:textId="39B6AA64" w:rsidR="001045F2" w:rsidRPr="00257477" w:rsidRDefault="009E4691" w:rsidP="00257477">
      <w:pPr>
        <w:spacing w:line="276" w:lineRule="auto"/>
        <w:ind w:firstLine="720"/>
        <w:jc w:val="both"/>
        <w:rPr>
          <w:rFonts w:asciiTheme="majorBidi" w:hAnsiTheme="majorBidi" w:cstheme="majorBidi"/>
        </w:rPr>
      </w:pPr>
      <w:r w:rsidRPr="00257477">
        <w:rPr>
          <w:rFonts w:asciiTheme="majorBidi" w:hAnsiTheme="majorBidi" w:cstheme="majorBidi"/>
        </w:rPr>
        <w:t>Projekt</w:t>
      </w:r>
      <w:r w:rsidR="00D65756" w:rsidRPr="00257477">
        <w:rPr>
          <w:rFonts w:asciiTheme="majorBidi" w:hAnsiTheme="majorBidi" w:cstheme="majorBidi"/>
        </w:rPr>
        <w:t>ā Nr. 2</w:t>
      </w:r>
      <w:r w:rsidRPr="00257477">
        <w:rPr>
          <w:rFonts w:asciiTheme="majorBidi" w:hAnsiTheme="majorBidi" w:cstheme="majorBidi"/>
        </w:rPr>
        <w:t xml:space="preserve"> atbildētāja plānoja ieviest ražošanā jaunu produktu – inovatīvu siltumizolācijas materiālu </w:t>
      </w:r>
      <w:r w:rsidR="00394BFF" w:rsidRPr="00257477">
        <w:rPr>
          <w:rFonts w:asciiTheme="majorBidi" w:hAnsiTheme="majorBidi" w:cstheme="majorBidi"/>
        </w:rPr>
        <w:t>„</w:t>
      </w:r>
      <w:proofErr w:type="spellStart"/>
      <w:r w:rsidR="00394BFF" w:rsidRPr="00257477">
        <w:rPr>
          <w:rFonts w:asciiTheme="majorBidi" w:hAnsiTheme="majorBidi" w:cstheme="majorBidi"/>
        </w:rPr>
        <w:t>Isopearl</w:t>
      </w:r>
      <w:proofErr w:type="spellEnd"/>
      <w:r w:rsidR="00394BFF" w:rsidRPr="00257477">
        <w:rPr>
          <w:rFonts w:asciiTheme="majorBidi" w:hAnsiTheme="majorBidi" w:cstheme="majorBidi"/>
        </w:rPr>
        <w:t>”</w:t>
      </w:r>
      <w:r w:rsidRPr="00257477">
        <w:rPr>
          <w:rFonts w:asciiTheme="majorBidi" w:hAnsiTheme="majorBidi" w:cstheme="majorBidi"/>
        </w:rPr>
        <w:t xml:space="preserve">, kas paredzēts ēku siltināšanai, kā sastāvdaļu izmantojot atbildētājas jau ražoto </w:t>
      </w:r>
      <w:r w:rsidR="00394BFF" w:rsidRPr="00257477">
        <w:rPr>
          <w:rFonts w:asciiTheme="majorBidi" w:hAnsiTheme="majorBidi" w:cstheme="majorBidi"/>
        </w:rPr>
        <w:t>„</w:t>
      </w:r>
      <w:proofErr w:type="spellStart"/>
      <w:r w:rsidR="00394BFF" w:rsidRPr="00257477">
        <w:rPr>
          <w:rFonts w:asciiTheme="majorBidi" w:hAnsiTheme="majorBidi" w:cstheme="majorBidi"/>
        </w:rPr>
        <w:t>Izoprok</w:t>
      </w:r>
      <w:proofErr w:type="spellEnd"/>
      <w:r w:rsidR="00394BFF" w:rsidRPr="00257477">
        <w:rPr>
          <w:rFonts w:asciiTheme="majorBidi" w:hAnsiTheme="majorBidi" w:cstheme="majorBidi"/>
        </w:rPr>
        <w:t xml:space="preserve">” </w:t>
      </w:r>
      <w:r w:rsidRPr="00257477">
        <w:rPr>
          <w:rFonts w:asciiTheme="majorBidi" w:hAnsiTheme="majorBidi" w:cstheme="majorBidi"/>
        </w:rPr>
        <w:t>materiālu.</w:t>
      </w:r>
    </w:p>
    <w:p w14:paraId="77222F63" w14:textId="0BF5B9ED" w:rsidR="001045F2" w:rsidRPr="00257477" w:rsidRDefault="009E4691" w:rsidP="00257477">
      <w:pPr>
        <w:spacing w:line="276" w:lineRule="auto"/>
        <w:ind w:firstLine="720"/>
        <w:jc w:val="both"/>
        <w:rPr>
          <w:rFonts w:asciiTheme="majorBidi" w:hAnsiTheme="majorBidi" w:cstheme="majorBidi"/>
        </w:rPr>
      </w:pPr>
      <w:r w:rsidRPr="00257477">
        <w:rPr>
          <w:rFonts w:asciiTheme="majorBidi" w:hAnsiTheme="majorBidi" w:cstheme="majorBidi"/>
        </w:rPr>
        <w:t>Atbilstoši projekta Nr.</w:t>
      </w:r>
      <w:r w:rsidR="00D65756" w:rsidRPr="00257477">
        <w:rPr>
          <w:rFonts w:asciiTheme="majorBidi" w:hAnsiTheme="majorBidi" w:cstheme="majorBidi"/>
        </w:rPr>
        <w:t> </w:t>
      </w:r>
      <w:r w:rsidRPr="00257477">
        <w:rPr>
          <w:rFonts w:asciiTheme="majorBidi" w:hAnsiTheme="majorBidi" w:cstheme="majorBidi"/>
        </w:rPr>
        <w:t>2 iesniegumam pievienotā biznesa plāna 6.3.</w:t>
      </w:r>
      <w:r w:rsidR="00D65756" w:rsidRPr="00257477">
        <w:rPr>
          <w:rFonts w:asciiTheme="majorBidi" w:hAnsiTheme="majorBidi" w:cstheme="majorBidi"/>
        </w:rPr>
        <w:t> </w:t>
      </w:r>
      <w:r w:rsidRPr="00257477">
        <w:rPr>
          <w:rFonts w:asciiTheme="majorBidi" w:hAnsiTheme="majorBidi" w:cstheme="majorBidi"/>
        </w:rPr>
        <w:t xml:space="preserve">sadaļai projektā bija paredzēts apgrozījums no jaunā produkta </w:t>
      </w:r>
      <w:r w:rsidR="00514821" w:rsidRPr="00257477">
        <w:rPr>
          <w:rFonts w:asciiTheme="majorBidi" w:hAnsiTheme="majorBidi" w:cstheme="majorBidi"/>
        </w:rPr>
        <w:t>„</w:t>
      </w:r>
      <w:proofErr w:type="spellStart"/>
      <w:r w:rsidR="00514821" w:rsidRPr="00257477">
        <w:rPr>
          <w:rFonts w:asciiTheme="majorBidi" w:hAnsiTheme="majorBidi" w:cstheme="majorBidi"/>
        </w:rPr>
        <w:t>Isopearl</w:t>
      </w:r>
      <w:proofErr w:type="spellEnd"/>
      <w:r w:rsidR="00514821" w:rsidRPr="00257477">
        <w:rPr>
          <w:rFonts w:asciiTheme="majorBidi" w:hAnsiTheme="majorBidi" w:cstheme="majorBidi"/>
        </w:rPr>
        <w:t>”</w:t>
      </w:r>
      <w:r w:rsidRPr="00257477">
        <w:rPr>
          <w:rFonts w:asciiTheme="majorBidi" w:hAnsiTheme="majorBidi" w:cstheme="majorBidi"/>
        </w:rPr>
        <w:t xml:space="preserve"> realizācijas pirmajā gadā pēc projekta īstenošanas 942</w:t>
      </w:r>
      <w:r w:rsidR="00E06F33" w:rsidRPr="00257477">
        <w:rPr>
          <w:rFonts w:asciiTheme="majorBidi" w:hAnsiTheme="majorBidi" w:cstheme="majorBidi"/>
        </w:rPr>
        <w:t> </w:t>
      </w:r>
      <w:r w:rsidRPr="00257477">
        <w:rPr>
          <w:rFonts w:asciiTheme="majorBidi" w:hAnsiTheme="majorBidi" w:cstheme="majorBidi"/>
        </w:rPr>
        <w:t>480</w:t>
      </w:r>
      <w:r w:rsidR="00E06F33" w:rsidRPr="00257477">
        <w:rPr>
          <w:rFonts w:asciiTheme="majorBidi" w:hAnsiTheme="majorBidi" w:cstheme="majorBidi"/>
        </w:rPr>
        <w:t> </w:t>
      </w:r>
      <w:proofErr w:type="spellStart"/>
      <w:r w:rsidR="00976997" w:rsidRPr="00257477">
        <w:rPr>
          <w:rFonts w:asciiTheme="majorBidi" w:hAnsiTheme="majorBidi" w:cstheme="majorBidi"/>
          <w:i/>
          <w:iCs/>
        </w:rPr>
        <w:t>euro</w:t>
      </w:r>
      <w:proofErr w:type="spellEnd"/>
      <w:r w:rsidRPr="00257477">
        <w:rPr>
          <w:rFonts w:asciiTheme="majorBidi" w:hAnsiTheme="majorBidi" w:cstheme="majorBidi"/>
        </w:rPr>
        <w:t xml:space="preserve"> un otrajā gadā – 1 283</w:t>
      </w:r>
      <w:r w:rsidR="00E06F33" w:rsidRPr="00257477">
        <w:rPr>
          <w:rFonts w:asciiTheme="majorBidi" w:hAnsiTheme="majorBidi" w:cstheme="majorBidi"/>
        </w:rPr>
        <w:t> </w:t>
      </w:r>
      <w:r w:rsidRPr="00257477">
        <w:rPr>
          <w:rFonts w:asciiTheme="majorBidi" w:hAnsiTheme="majorBidi" w:cstheme="majorBidi"/>
        </w:rPr>
        <w:t>040</w:t>
      </w:r>
      <w:r w:rsidR="00E06F33" w:rsidRPr="00257477">
        <w:rPr>
          <w:rFonts w:asciiTheme="majorBidi" w:hAnsiTheme="majorBidi" w:cstheme="majorBidi"/>
        </w:rPr>
        <w:t> </w:t>
      </w:r>
      <w:proofErr w:type="spellStart"/>
      <w:r w:rsidR="00976997" w:rsidRPr="00257477">
        <w:rPr>
          <w:rFonts w:asciiTheme="majorBidi" w:hAnsiTheme="majorBidi" w:cstheme="majorBidi"/>
          <w:i/>
          <w:iCs/>
        </w:rPr>
        <w:t>euro</w:t>
      </w:r>
      <w:proofErr w:type="spellEnd"/>
      <w:r w:rsidR="00B02E0E" w:rsidRPr="00257477">
        <w:rPr>
          <w:rFonts w:asciiTheme="majorBidi" w:hAnsiTheme="majorBidi" w:cstheme="majorBidi"/>
          <w:i/>
          <w:iCs/>
        </w:rPr>
        <w:t xml:space="preserve"> </w:t>
      </w:r>
      <w:r w:rsidR="00B02E0E" w:rsidRPr="00257477">
        <w:rPr>
          <w:rFonts w:asciiTheme="majorBidi" w:hAnsiTheme="majorBidi" w:cstheme="majorBidi"/>
        </w:rPr>
        <w:t>apmērā</w:t>
      </w:r>
      <w:r w:rsidRPr="00257477">
        <w:rPr>
          <w:rFonts w:asciiTheme="majorBidi" w:hAnsiTheme="majorBidi" w:cstheme="majorBidi"/>
        </w:rPr>
        <w:t>. Pēc projekta realizēšanas tika plānots eksportēt vismaz 5000</w:t>
      </w:r>
      <w:r w:rsidR="00D65756" w:rsidRPr="00257477">
        <w:rPr>
          <w:rFonts w:asciiTheme="majorBidi" w:hAnsiTheme="majorBidi" w:cstheme="majorBidi"/>
        </w:rPr>
        <w:t> </w:t>
      </w:r>
      <w:r w:rsidRPr="00257477">
        <w:rPr>
          <w:rFonts w:asciiTheme="majorBidi" w:hAnsiTheme="majorBidi" w:cstheme="majorBidi"/>
        </w:rPr>
        <w:t>m</w:t>
      </w:r>
      <w:r w:rsidRPr="00257477">
        <w:rPr>
          <w:rFonts w:asciiTheme="majorBidi" w:hAnsiTheme="majorBidi" w:cstheme="majorBidi"/>
          <w:vertAlign w:val="superscript"/>
        </w:rPr>
        <w:t>3</w:t>
      </w:r>
      <w:r w:rsidRPr="00257477">
        <w:rPr>
          <w:rFonts w:asciiTheme="majorBidi" w:hAnsiTheme="majorBidi" w:cstheme="majorBidi"/>
        </w:rPr>
        <w:t xml:space="preserve"> produkcijas gadā, veidojot 30–50 % no kopējā uzņēmuma apgrozījuma</w:t>
      </w:r>
      <w:r w:rsidR="00514821" w:rsidRPr="00257477">
        <w:rPr>
          <w:rFonts w:asciiTheme="majorBidi" w:hAnsiTheme="majorBidi" w:cstheme="majorBidi"/>
        </w:rPr>
        <w:t>.</w:t>
      </w:r>
      <w:r w:rsidRPr="00257477">
        <w:rPr>
          <w:rFonts w:asciiTheme="majorBidi" w:hAnsiTheme="majorBidi" w:cstheme="majorBidi"/>
        </w:rPr>
        <w:t xml:space="preserve"> </w:t>
      </w:r>
      <w:r w:rsidR="00514821" w:rsidRPr="00257477">
        <w:rPr>
          <w:rFonts w:asciiTheme="majorBidi" w:hAnsiTheme="majorBidi" w:cstheme="majorBidi"/>
        </w:rPr>
        <w:t xml:space="preserve">Šim nolūkam ražotnē bija paredzēts nodarbināt </w:t>
      </w:r>
      <w:r w:rsidRPr="00257477">
        <w:rPr>
          <w:rFonts w:asciiTheme="majorBidi" w:hAnsiTheme="majorBidi" w:cstheme="majorBidi"/>
        </w:rPr>
        <w:t>trīs darbiniekus.</w:t>
      </w:r>
    </w:p>
    <w:p w14:paraId="7580F142" w14:textId="4F2E9B72" w:rsidR="001045F2" w:rsidRPr="00257477" w:rsidRDefault="00514821" w:rsidP="00257477">
      <w:pPr>
        <w:spacing w:line="276" w:lineRule="auto"/>
        <w:ind w:firstLine="720"/>
        <w:jc w:val="both"/>
        <w:rPr>
          <w:rFonts w:asciiTheme="majorBidi" w:hAnsiTheme="majorBidi" w:cstheme="majorBidi"/>
        </w:rPr>
      </w:pPr>
      <w:r w:rsidRPr="00257477">
        <w:rPr>
          <w:rFonts w:asciiTheme="majorBidi" w:hAnsiTheme="majorBidi" w:cstheme="majorBidi"/>
        </w:rPr>
        <w:t>Lai ī</w:t>
      </w:r>
      <w:r w:rsidR="00D65756" w:rsidRPr="00257477">
        <w:rPr>
          <w:rFonts w:asciiTheme="majorBidi" w:hAnsiTheme="majorBidi" w:cstheme="majorBidi"/>
        </w:rPr>
        <w:t>steno</w:t>
      </w:r>
      <w:r w:rsidRPr="00257477">
        <w:rPr>
          <w:rFonts w:asciiTheme="majorBidi" w:hAnsiTheme="majorBidi" w:cstheme="majorBidi"/>
        </w:rPr>
        <w:t>tu</w:t>
      </w:r>
      <w:r w:rsidR="00D65756" w:rsidRPr="00257477">
        <w:rPr>
          <w:rFonts w:asciiTheme="majorBidi" w:hAnsiTheme="majorBidi" w:cstheme="majorBidi"/>
        </w:rPr>
        <w:t xml:space="preserve"> projektu Nr. 2, atbildētāja jaunā produkta ražošanai </w:t>
      </w:r>
      <w:r w:rsidRPr="00257477">
        <w:rPr>
          <w:rFonts w:asciiTheme="majorBidi" w:hAnsiTheme="majorBidi" w:cstheme="majorBidi"/>
        </w:rPr>
        <w:t xml:space="preserve">iegādājās </w:t>
      </w:r>
      <w:r w:rsidR="00D65756" w:rsidRPr="00257477">
        <w:rPr>
          <w:rFonts w:asciiTheme="majorBidi" w:hAnsiTheme="majorBidi" w:cstheme="majorBidi"/>
        </w:rPr>
        <w:t>nepieciešamās tehnoloģiskās iekārtas. Izvērtējusi atbildētājas iesniegtos dokumentus, prasītāja 2015. gada 9.</w:t>
      </w:r>
      <w:r w:rsidR="00E06F33" w:rsidRPr="00257477">
        <w:rPr>
          <w:rFonts w:asciiTheme="majorBidi" w:hAnsiTheme="majorBidi" w:cstheme="majorBidi"/>
        </w:rPr>
        <w:t> </w:t>
      </w:r>
      <w:r w:rsidR="00D65756" w:rsidRPr="00257477">
        <w:rPr>
          <w:rFonts w:asciiTheme="majorBidi" w:hAnsiTheme="majorBidi" w:cstheme="majorBidi"/>
        </w:rPr>
        <w:t xml:space="preserve">februāra vēstulē atbildētāju </w:t>
      </w:r>
      <w:r w:rsidRPr="00257477">
        <w:rPr>
          <w:rFonts w:asciiTheme="majorBidi" w:hAnsiTheme="majorBidi" w:cstheme="majorBidi"/>
        </w:rPr>
        <w:t xml:space="preserve">informēja </w:t>
      </w:r>
      <w:r w:rsidR="00D65756" w:rsidRPr="00257477">
        <w:rPr>
          <w:rFonts w:asciiTheme="majorBidi" w:hAnsiTheme="majorBidi" w:cstheme="majorBidi"/>
        </w:rPr>
        <w:t>par atbalsta finansējuma 237 923,56 </w:t>
      </w:r>
      <w:proofErr w:type="spellStart"/>
      <w:r w:rsidR="00976997" w:rsidRPr="00257477">
        <w:rPr>
          <w:rFonts w:asciiTheme="majorBidi" w:hAnsiTheme="majorBidi" w:cstheme="majorBidi"/>
          <w:i/>
          <w:iCs/>
        </w:rPr>
        <w:t>euro</w:t>
      </w:r>
      <w:proofErr w:type="spellEnd"/>
      <w:r w:rsidR="00976997" w:rsidRPr="00257477">
        <w:rPr>
          <w:rFonts w:asciiTheme="majorBidi" w:hAnsiTheme="majorBidi" w:cstheme="majorBidi"/>
        </w:rPr>
        <w:t xml:space="preserve"> </w:t>
      </w:r>
      <w:r w:rsidR="00D65756" w:rsidRPr="00257477">
        <w:rPr>
          <w:rFonts w:asciiTheme="majorBidi" w:hAnsiTheme="majorBidi" w:cstheme="majorBidi"/>
        </w:rPr>
        <w:t xml:space="preserve">apstiprināšanu. </w:t>
      </w:r>
      <w:r w:rsidR="00B02E0E" w:rsidRPr="00257477">
        <w:rPr>
          <w:rFonts w:asciiTheme="majorBidi" w:hAnsiTheme="majorBidi" w:cstheme="majorBidi"/>
        </w:rPr>
        <w:t>Atbalsta f</w:t>
      </w:r>
      <w:r w:rsidR="00D65756" w:rsidRPr="00257477">
        <w:rPr>
          <w:rFonts w:asciiTheme="majorBidi" w:hAnsiTheme="majorBidi" w:cstheme="majorBidi"/>
        </w:rPr>
        <w:t>inansējums tika izmaksāts līdz 2016. gada 12. februārim.</w:t>
      </w:r>
    </w:p>
    <w:p w14:paraId="6EB45A66" w14:textId="02EB05E1" w:rsidR="001045F2" w:rsidRPr="00257477" w:rsidRDefault="009E4691" w:rsidP="00257477">
      <w:pPr>
        <w:spacing w:line="276" w:lineRule="auto"/>
        <w:ind w:firstLine="720"/>
        <w:jc w:val="both"/>
        <w:rPr>
          <w:rFonts w:asciiTheme="majorBidi" w:hAnsiTheme="majorBidi" w:cstheme="majorBidi"/>
        </w:rPr>
      </w:pPr>
      <w:r w:rsidRPr="00257477">
        <w:rPr>
          <w:rFonts w:asciiTheme="majorBidi" w:hAnsiTheme="majorBidi" w:cstheme="majorBidi"/>
        </w:rPr>
        <w:t>[1.3] Atbilstoši līguma Nr. 1 atbalsta finansējuma saņemšanas nosacījumu 4.1.1. un 4.1.2.</w:t>
      </w:r>
      <w:r w:rsidR="00D65756" w:rsidRPr="00257477">
        <w:rPr>
          <w:rFonts w:asciiTheme="majorBidi" w:hAnsiTheme="majorBidi" w:cstheme="majorBidi"/>
        </w:rPr>
        <w:t> </w:t>
      </w:r>
      <w:r w:rsidRPr="00257477">
        <w:rPr>
          <w:rFonts w:asciiTheme="majorBidi" w:hAnsiTheme="majorBidi" w:cstheme="majorBidi"/>
        </w:rPr>
        <w:t>apakšpunktā un līguma Nr.</w:t>
      </w:r>
      <w:r w:rsidR="00D65756" w:rsidRPr="00257477">
        <w:rPr>
          <w:rFonts w:asciiTheme="majorBidi" w:hAnsiTheme="majorBidi" w:cstheme="majorBidi"/>
        </w:rPr>
        <w:t> </w:t>
      </w:r>
      <w:r w:rsidRPr="00257477">
        <w:rPr>
          <w:rFonts w:asciiTheme="majorBidi" w:hAnsiTheme="majorBidi" w:cstheme="majorBidi"/>
        </w:rPr>
        <w:t>2 atbalsta finansējuma saņemšanas nosacījumu 1.24.</w:t>
      </w:r>
      <w:r w:rsidR="00E06F33" w:rsidRPr="00257477">
        <w:rPr>
          <w:rFonts w:asciiTheme="majorBidi" w:hAnsiTheme="majorBidi" w:cstheme="majorBidi"/>
        </w:rPr>
        <w:t> </w:t>
      </w:r>
      <w:r w:rsidRPr="00257477">
        <w:rPr>
          <w:rFonts w:asciiTheme="majorBidi" w:hAnsiTheme="majorBidi" w:cstheme="majorBidi"/>
        </w:rPr>
        <w:t>punktā un 4.1.5.</w:t>
      </w:r>
      <w:r w:rsidR="00D65756" w:rsidRPr="00257477">
        <w:rPr>
          <w:rFonts w:asciiTheme="majorBidi" w:hAnsiTheme="majorBidi" w:cstheme="majorBidi"/>
        </w:rPr>
        <w:t> </w:t>
      </w:r>
      <w:r w:rsidRPr="00257477">
        <w:rPr>
          <w:rFonts w:asciiTheme="majorBidi" w:hAnsiTheme="majorBidi" w:cstheme="majorBidi"/>
        </w:rPr>
        <w:t xml:space="preserve">apakšpunktā noteiktajam projektu Nr. 1 un Nr. 2 uzraudzības periods ir trīs gadi pēc pēdējā atbalsta finansējuma maksājuma </w:t>
      </w:r>
      <w:r w:rsidR="00B02E0E" w:rsidRPr="00257477">
        <w:rPr>
          <w:rFonts w:asciiTheme="majorBidi" w:hAnsiTheme="majorBidi" w:cstheme="majorBidi"/>
        </w:rPr>
        <w:t>izdarīšanas</w:t>
      </w:r>
      <w:r w:rsidRPr="00257477">
        <w:rPr>
          <w:rFonts w:asciiTheme="majorBidi" w:hAnsiTheme="majorBidi" w:cstheme="majorBidi"/>
        </w:rPr>
        <w:t xml:space="preserve">. </w:t>
      </w:r>
      <w:r w:rsidR="00D65756" w:rsidRPr="00257477">
        <w:rPr>
          <w:rFonts w:asciiTheme="majorBidi" w:hAnsiTheme="majorBidi" w:cstheme="majorBidi"/>
        </w:rPr>
        <w:t xml:space="preserve">Šajā periodā </w:t>
      </w:r>
      <w:r w:rsidRPr="00257477">
        <w:rPr>
          <w:rFonts w:asciiTheme="majorBidi" w:hAnsiTheme="majorBidi" w:cstheme="majorBidi"/>
        </w:rPr>
        <w:t>prasītāja izvērtē atbildētājas saimnieciskās darbības rādītājus un veic pārbaudes abu projektu īstenošanas vietā, lai pārliecinātos, ka atbildētāja ievēro līgumu un normatīvo aktu prasības.</w:t>
      </w:r>
    </w:p>
    <w:p w14:paraId="17FCEAC7" w14:textId="15C25BCF" w:rsidR="001045F2" w:rsidRPr="00257477" w:rsidRDefault="009E4691" w:rsidP="00257477">
      <w:pPr>
        <w:spacing w:line="276" w:lineRule="auto"/>
        <w:ind w:firstLine="720"/>
        <w:jc w:val="both"/>
        <w:rPr>
          <w:rFonts w:asciiTheme="majorBidi" w:hAnsiTheme="majorBidi" w:cstheme="majorBidi"/>
        </w:rPr>
      </w:pPr>
      <w:r w:rsidRPr="00257477">
        <w:rPr>
          <w:rFonts w:asciiTheme="majorBidi" w:hAnsiTheme="majorBidi" w:cstheme="majorBidi"/>
        </w:rPr>
        <w:t>Tādējādi projekta Nr. 1 uzraudzība tika veikta līdz 2019.</w:t>
      </w:r>
      <w:r w:rsidR="00D65756" w:rsidRPr="00257477">
        <w:rPr>
          <w:rFonts w:asciiTheme="majorBidi" w:hAnsiTheme="majorBidi" w:cstheme="majorBidi"/>
        </w:rPr>
        <w:t> </w:t>
      </w:r>
      <w:r w:rsidRPr="00257477">
        <w:rPr>
          <w:rFonts w:asciiTheme="majorBidi" w:hAnsiTheme="majorBidi" w:cstheme="majorBidi"/>
        </w:rPr>
        <w:t>gada 31.</w:t>
      </w:r>
      <w:r w:rsidR="00D65756" w:rsidRPr="00257477">
        <w:rPr>
          <w:rFonts w:asciiTheme="majorBidi" w:hAnsiTheme="majorBidi" w:cstheme="majorBidi"/>
        </w:rPr>
        <w:t> </w:t>
      </w:r>
      <w:r w:rsidRPr="00257477">
        <w:rPr>
          <w:rFonts w:asciiTheme="majorBidi" w:hAnsiTheme="majorBidi" w:cstheme="majorBidi"/>
        </w:rPr>
        <w:t>martam</w:t>
      </w:r>
      <w:r w:rsidR="00B02E0E" w:rsidRPr="00257477">
        <w:rPr>
          <w:rFonts w:asciiTheme="majorBidi" w:hAnsiTheme="majorBidi" w:cstheme="majorBidi"/>
        </w:rPr>
        <w:t xml:space="preserve">, bet </w:t>
      </w:r>
      <w:r w:rsidRPr="00257477">
        <w:rPr>
          <w:rFonts w:asciiTheme="majorBidi" w:hAnsiTheme="majorBidi" w:cstheme="majorBidi"/>
        </w:rPr>
        <w:t>projekta Nr.</w:t>
      </w:r>
      <w:r w:rsidR="00CB377C" w:rsidRPr="00257477">
        <w:rPr>
          <w:rFonts w:asciiTheme="majorBidi" w:hAnsiTheme="majorBidi" w:cstheme="majorBidi"/>
        </w:rPr>
        <w:t> </w:t>
      </w:r>
      <w:r w:rsidRPr="00257477">
        <w:rPr>
          <w:rFonts w:asciiTheme="majorBidi" w:hAnsiTheme="majorBidi" w:cstheme="majorBidi"/>
        </w:rPr>
        <w:t>2 uzraudzība – līdz 2019.</w:t>
      </w:r>
      <w:r w:rsidR="00CB377C" w:rsidRPr="00257477">
        <w:rPr>
          <w:rFonts w:asciiTheme="majorBidi" w:hAnsiTheme="majorBidi" w:cstheme="majorBidi"/>
        </w:rPr>
        <w:t> </w:t>
      </w:r>
      <w:r w:rsidRPr="00257477">
        <w:rPr>
          <w:rFonts w:asciiTheme="majorBidi" w:hAnsiTheme="majorBidi" w:cstheme="majorBidi"/>
        </w:rPr>
        <w:t>gada 12.</w:t>
      </w:r>
      <w:r w:rsidR="00D65756" w:rsidRPr="00257477">
        <w:rPr>
          <w:rFonts w:asciiTheme="majorBidi" w:hAnsiTheme="majorBidi" w:cstheme="majorBidi"/>
        </w:rPr>
        <w:t> </w:t>
      </w:r>
      <w:r w:rsidRPr="00257477">
        <w:rPr>
          <w:rFonts w:asciiTheme="majorBidi" w:hAnsiTheme="majorBidi" w:cstheme="majorBidi"/>
        </w:rPr>
        <w:t>februārim.</w:t>
      </w:r>
    </w:p>
    <w:p w14:paraId="5CC7812C" w14:textId="3D5B60C3" w:rsidR="001045F2" w:rsidRPr="00257477" w:rsidRDefault="009E4691" w:rsidP="00257477">
      <w:pPr>
        <w:spacing w:line="276" w:lineRule="auto"/>
        <w:ind w:firstLine="720"/>
        <w:jc w:val="both"/>
        <w:rPr>
          <w:rFonts w:asciiTheme="majorBidi" w:hAnsiTheme="majorBidi" w:cstheme="majorBidi"/>
        </w:rPr>
      </w:pPr>
      <w:r w:rsidRPr="00257477">
        <w:rPr>
          <w:rFonts w:asciiTheme="majorBidi" w:hAnsiTheme="majorBidi" w:cstheme="majorBidi"/>
        </w:rPr>
        <w:t>[1.4] Prasītāja 2017.</w:t>
      </w:r>
      <w:r w:rsidR="00E06F33" w:rsidRPr="00257477">
        <w:rPr>
          <w:rFonts w:asciiTheme="majorBidi" w:hAnsiTheme="majorBidi" w:cstheme="majorBidi"/>
        </w:rPr>
        <w:t> </w:t>
      </w:r>
      <w:r w:rsidRPr="00257477">
        <w:rPr>
          <w:rFonts w:asciiTheme="majorBidi" w:hAnsiTheme="majorBidi" w:cstheme="majorBidi"/>
        </w:rPr>
        <w:t>gada 21.</w:t>
      </w:r>
      <w:r w:rsidR="00E06F33" w:rsidRPr="00257477">
        <w:rPr>
          <w:rFonts w:asciiTheme="majorBidi" w:hAnsiTheme="majorBidi" w:cstheme="majorBidi"/>
        </w:rPr>
        <w:t> </w:t>
      </w:r>
      <w:r w:rsidRPr="00257477">
        <w:rPr>
          <w:rFonts w:asciiTheme="majorBidi" w:hAnsiTheme="majorBidi" w:cstheme="majorBidi"/>
        </w:rPr>
        <w:t>jūnijā un 2019.</w:t>
      </w:r>
      <w:r w:rsidR="00D65756" w:rsidRPr="00257477">
        <w:rPr>
          <w:rFonts w:asciiTheme="majorBidi" w:hAnsiTheme="majorBidi" w:cstheme="majorBidi"/>
        </w:rPr>
        <w:t> </w:t>
      </w:r>
      <w:r w:rsidRPr="00257477">
        <w:rPr>
          <w:rFonts w:asciiTheme="majorBidi" w:hAnsiTheme="majorBidi" w:cstheme="majorBidi"/>
        </w:rPr>
        <w:t>gada 11.</w:t>
      </w:r>
      <w:r w:rsidR="00E06F33" w:rsidRPr="00257477">
        <w:rPr>
          <w:rFonts w:asciiTheme="majorBidi" w:hAnsiTheme="majorBidi" w:cstheme="majorBidi"/>
        </w:rPr>
        <w:t> </w:t>
      </w:r>
      <w:r w:rsidRPr="00257477">
        <w:rPr>
          <w:rFonts w:asciiTheme="majorBidi" w:hAnsiTheme="majorBidi" w:cstheme="majorBidi"/>
        </w:rPr>
        <w:t xml:space="preserve">februārī, veicot uzraudzību projektu īstenošanas vietā, konstatēja </w:t>
      </w:r>
      <w:r w:rsidR="00B02E0E" w:rsidRPr="00257477">
        <w:rPr>
          <w:rFonts w:asciiTheme="majorBidi" w:hAnsiTheme="majorBidi" w:cstheme="majorBidi"/>
        </w:rPr>
        <w:t xml:space="preserve">šādas </w:t>
      </w:r>
      <w:r w:rsidRPr="00257477">
        <w:rPr>
          <w:rFonts w:asciiTheme="majorBidi" w:hAnsiTheme="majorBidi" w:cstheme="majorBidi"/>
        </w:rPr>
        <w:t>atkāpes:</w:t>
      </w:r>
    </w:p>
    <w:p w14:paraId="6CB36D9E" w14:textId="71B3467B" w:rsidR="001045F2" w:rsidRPr="00257477" w:rsidRDefault="009E4691" w:rsidP="00257477">
      <w:pPr>
        <w:spacing w:line="276" w:lineRule="auto"/>
        <w:ind w:firstLine="720"/>
        <w:jc w:val="both"/>
        <w:rPr>
          <w:rFonts w:asciiTheme="majorBidi" w:hAnsiTheme="majorBidi" w:cstheme="majorBidi"/>
        </w:rPr>
      </w:pPr>
      <w:r w:rsidRPr="00257477">
        <w:rPr>
          <w:rFonts w:asciiTheme="majorBidi" w:hAnsiTheme="majorBidi" w:cstheme="majorBidi"/>
        </w:rPr>
        <w:t xml:space="preserve">1) projektā Nr. 1 faktiskais apgrozījums no </w:t>
      </w:r>
      <w:r w:rsidR="00514821" w:rsidRPr="00257477">
        <w:rPr>
          <w:rFonts w:asciiTheme="majorBidi" w:hAnsiTheme="majorBidi" w:cstheme="majorBidi"/>
        </w:rPr>
        <w:t>„</w:t>
      </w:r>
      <w:proofErr w:type="spellStart"/>
      <w:r w:rsidR="00514821" w:rsidRPr="00257477">
        <w:rPr>
          <w:rFonts w:asciiTheme="majorBidi" w:hAnsiTheme="majorBidi" w:cstheme="majorBidi"/>
        </w:rPr>
        <w:t>Izoprok</w:t>
      </w:r>
      <w:proofErr w:type="spellEnd"/>
      <w:r w:rsidR="00514821" w:rsidRPr="00257477">
        <w:rPr>
          <w:rFonts w:asciiTheme="majorBidi" w:hAnsiTheme="majorBidi" w:cstheme="majorBidi"/>
        </w:rPr>
        <w:t xml:space="preserve">” </w:t>
      </w:r>
      <w:r w:rsidRPr="00257477">
        <w:rPr>
          <w:rFonts w:asciiTheme="majorBidi" w:hAnsiTheme="majorBidi" w:cstheme="majorBidi"/>
        </w:rPr>
        <w:t>realizācijas 2017.</w:t>
      </w:r>
      <w:r w:rsidR="00D65756" w:rsidRPr="00257477">
        <w:rPr>
          <w:rFonts w:asciiTheme="majorBidi" w:hAnsiTheme="majorBidi" w:cstheme="majorBidi"/>
        </w:rPr>
        <w:t> </w:t>
      </w:r>
      <w:r w:rsidRPr="00257477">
        <w:rPr>
          <w:rFonts w:asciiTheme="majorBidi" w:hAnsiTheme="majorBidi" w:cstheme="majorBidi"/>
        </w:rPr>
        <w:t>gadā (pirmais pilnais gads pēc projekta pabeigšanas) bija 19</w:t>
      </w:r>
      <w:r w:rsidR="00E06F33" w:rsidRPr="00257477">
        <w:rPr>
          <w:rFonts w:asciiTheme="majorBidi" w:hAnsiTheme="majorBidi" w:cstheme="majorBidi"/>
        </w:rPr>
        <w:t> </w:t>
      </w:r>
      <w:r w:rsidRPr="00257477">
        <w:rPr>
          <w:rFonts w:asciiTheme="majorBidi" w:hAnsiTheme="majorBidi" w:cstheme="majorBidi"/>
        </w:rPr>
        <w:t>442,29</w:t>
      </w:r>
      <w:r w:rsidR="00E06F33" w:rsidRPr="00257477">
        <w:rPr>
          <w:rFonts w:asciiTheme="majorBidi" w:hAnsiTheme="majorBidi" w:cstheme="majorBidi"/>
        </w:rPr>
        <w:t> </w:t>
      </w:r>
      <w:proofErr w:type="spellStart"/>
      <w:r w:rsidR="00976997" w:rsidRPr="00257477">
        <w:rPr>
          <w:rFonts w:asciiTheme="majorBidi" w:hAnsiTheme="majorBidi" w:cstheme="majorBidi"/>
          <w:i/>
          <w:iCs/>
        </w:rPr>
        <w:t>euro</w:t>
      </w:r>
      <w:proofErr w:type="spellEnd"/>
      <w:r w:rsidRPr="00257477">
        <w:rPr>
          <w:rFonts w:asciiTheme="majorBidi" w:hAnsiTheme="majorBidi" w:cstheme="majorBidi"/>
        </w:rPr>
        <w:t xml:space="preserve"> jeb 3,9 % no projektā paredzētā un 2018.</w:t>
      </w:r>
      <w:r w:rsidR="00D65756" w:rsidRPr="00257477">
        <w:rPr>
          <w:rFonts w:asciiTheme="majorBidi" w:hAnsiTheme="majorBidi" w:cstheme="majorBidi"/>
        </w:rPr>
        <w:t> </w:t>
      </w:r>
      <w:r w:rsidRPr="00257477">
        <w:rPr>
          <w:rFonts w:asciiTheme="majorBidi" w:hAnsiTheme="majorBidi" w:cstheme="majorBidi"/>
        </w:rPr>
        <w:t>gadā – 6318</w:t>
      </w:r>
      <w:r w:rsidR="00E06F33" w:rsidRPr="00257477">
        <w:rPr>
          <w:rFonts w:asciiTheme="majorBidi" w:hAnsiTheme="majorBidi" w:cstheme="majorBidi"/>
        </w:rPr>
        <w:t> </w:t>
      </w:r>
      <w:proofErr w:type="spellStart"/>
      <w:r w:rsidR="00976997" w:rsidRPr="00257477">
        <w:rPr>
          <w:rFonts w:asciiTheme="majorBidi" w:hAnsiTheme="majorBidi" w:cstheme="majorBidi"/>
          <w:i/>
          <w:iCs/>
        </w:rPr>
        <w:t>euro</w:t>
      </w:r>
      <w:proofErr w:type="spellEnd"/>
      <w:r w:rsidRPr="00257477">
        <w:rPr>
          <w:rFonts w:asciiTheme="majorBidi" w:hAnsiTheme="majorBidi" w:cstheme="majorBidi"/>
        </w:rPr>
        <w:t xml:space="preserve"> jeb 0,31</w:t>
      </w:r>
      <w:r w:rsidR="00CB377C" w:rsidRPr="00257477">
        <w:rPr>
          <w:rFonts w:asciiTheme="majorBidi" w:hAnsiTheme="majorBidi" w:cstheme="majorBidi"/>
        </w:rPr>
        <w:t> </w:t>
      </w:r>
      <w:r w:rsidRPr="00257477">
        <w:rPr>
          <w:rFonts w:asciiTheme="majorBidi" w:hAnsiTheme="majorBidi" w:cstheme="majorBidi"/>
        </w:rPr>
        <w:t xml:space="preserve">% no projektā paredzētā; </w:t>
      </w:r>
    </w:p>
    <w:p w14:paraId="3A81312C" w14:textId="05A3DB17" w:rsidR="001045F2" w:rsidRPr="00257477" w:rsidRDefault="009E4691" w:rsidP="00257477">
      <w:pPr>
        <w:spacing w:line="276" w:lineRule="auto"/>
        <w:ind w:firstLine="720"/>
        <w:jc w:val="both"/>
        <w:rPr>
          <w:rFonts w:asciiTheme="majorBidi" w:hAnsiTheme="majorBidi" w:cstheme="majorBidi"/>
        </w:rPr>
      </w:pPr>
      <w:r w:rsidRPr="00257477">
        <w:rPr>
          <w:rFonts w:asciiTheme="majorBidi" w:hAnsiTheme="majorBidi" w:cstheme="majorBidi"/>
        </w:rPr>
        <w:t xml:space="preserve">2) projektā Nr. 2 faktiskais apgrozījums no </w:t>
      </w:r>
      <w:r w:rsidR="00514821" w:rsidRPr="00257477">
        <w:rPr>
          <w:rFonts w:asciiTheme="majorBidi" w:hAnsiTheme="majorBidi" w:cstheme="majorBidi"/>
        </w:rPr>
        <w:t>„</w:t>
      </w:r>
      <w:proofErr w:type="spellStart"/>
      <w:r w:rsidR="00514821" w:rsidRPr="00257477">
        <w:rPr>
          <w:rFonts w:asciiTheme="majorBidi" w:hAnsiTheme="majorBidi" w:cstheme="majorBidi"/>
        </w:rPr>
        <w:t>Isopearl</w:t>
      </w:r>
      <w:proofErr w:type="spellEnd"/>
      <w:r w:rsidR="00514821" w:rsidRPr="00257477">
        <w:rPr>
          <w:rFonts w:asciiTheme="majorBidi" w:hAnsiTheme="majorBidi" w:cstheme="majorBidi"/>
        </w:rPr>
        <w:t>”</w:t>
      </w:r>
      <w:r w:rsidRPr="00257477">
        <w:rPr>
          <w:rFonts w:asciiTheme="majorBidi" w:hAnsiTheme="majorBidi" w:cstheme="majorBidi"/>
        </w:rPr>
        <w:t xml:space="preserve"> realizācijas 2017.</w:t>
      </w:r>
      <w:r w:rsidR="00D65756" w:rsidRPr="00257477">
        <w:rPr>
          <w:rFonts w:asciiTheme="majorBidi" w:hAnsiTheme="majorBidi" w:cstheme="majorBidi"/>
        </w:rPr>
        <w:t> </w:t>
      </w:r>
      <w:r w:rsidRPr="00257477">
        <w:rPr>
          <w:rFonts w:asciiTheme="majorBidi" w:hAnsiTheme="majorBidi" w:cstheme="majorBidi"/>
        </w:rPr>
        <w:t>gadā (pirmais pilnais gads pēc projekta pabeigšanas) bija 37</w:t>
      </w:r>
      <w:r w:rsidR="00E06F33" w:rsidRPr="00257477">
        <w:rPr>
          <w:rFonts w:asciiTheme="majorBidi" w:hAnsiTheme="majorBidi" w:cstheme="majorBidi"/>
        </w:rPr>
        <w:t> </w:t>
      </w:r>
      <w:r w:rsidRPr="00257477">
        <w:rPr>
          <w:rFonts w:asciiTheme="majorBidi" w:hAnsiTheme="majorBidi" w:cstheme="majorBidi"/>
        </w:rPr>
        <w:t>833,27</w:t>
      </w:r>
      <w:r w:rsidR="00E06F33" w:rsidRPr="00257477">
        <w:rPr>
          <w:rFonts w:asciiTheme="majorBidi" w:hAnsiTheme="majorBidi" w:cstheme="majorBidi"/>
        </w:rPr>
        <w:t> </w:t>
      </w:r>
      <w:proofErr w:type="spellStart"/>
      <w:r w:rsidR="00976997" w:rsidRPr="00257477">
        <w:rPr>
          <w:rFonts w:asciiTheme="majorBidi" w:hAnsiTheme="majorBidi" w:cstheme="majorBidi"/>
          <w:i/>
          <w:iCs/>
        </w:rPr>
        <w:t>euro</w:t>
      </w:r>
      <w:proofErr w:type="spellEnd"/>
      <w:r w:rsidRPr="00257477">
        <w:rPr>
          <w:rFonts w:asciiTheme="majorBidi" w:hAnsiTheme="majorBidi" w:cstheme="majorBidi"/>
        </w:rPr>
        <w:t xml:space="preserve"> jeb 4,01</w:t>
      </w:r>
      <w:r w:rsidR="00E06F33" w:rsidRPr="00257477">
        <w:rPr>
          <w:rFonts w:asciiTheme="majorBidi" w:hAnsiTheme="majorBidi" w:cstheme="majorBidi"/>
        </w:rPr>
        <w:t> </w:t>
      </w:r>
      <w:r w:rsidRPr="00257477">
        <w:rPr>
          <w:rFonts w:asciiTheme="majorBidi" w:hAnsiTheme="majorBidi" w:cstheme="majorBidi"/>
        </w:rPr>
        <w:t>% no projektā paredzētā un 2018.</w:t>
      </w:r>
      <w:r w:rsidR="00D65756" w:rsidRPr="00257477">
        <w:rPr>
          <w:rFonts w:asciiTheme="majorBidi" w:hAnsiTheme="majorBidi" w:cstheme="majorBidi"/>
        </w:rPr>
        <w:t> </w:t>
      </w:r>
      <w:r w:rsidRPr="00257477">
        <w:rPr>
          <w:rFonts w:asciiTheme="majorBidi" w:hAnsiTheme="majorBidi" w:cstheme="majorBidi"/>
        </w:rPr>
        <w:t>gadā – 4107</w:t>
      </w:r>
      <w:r w:rsidR="00E06F33" w:rsidRPr="00257477">
        <w:rPr>
          <w:rFonts w:asciiTheme="majorBidi" w:hAnsiTheme="majorBidi" w:cstheme="majorBidi"/>
        </w:rPr>
        <w:t> </w:t>
      </w:r>
      <w:proofErr w:type="spellStart"/>
      <w:r w:rsidR="00976997" w:rsidRPr="00257477">
        <w:rPr>
          <w:rFonts w:asciiTheme="majorBidi" w:hAnsiTheme="majorBidi" w:cstheme="majorBidi"/>
          <w:i/>
          <w:iCs/>
        </w:rPr>
        <w:t>euro</w:t>
      </w:r>
      <w:proofErr w:type="spellEnd"/>
      <w:r w:rsidRPr="00257477">
        <w:rPr>
          <w:rFonts w:asciiTheme="majorBidi" w:hAnsiTheme="majorBidi" w:cstheme="majorBidi"/>
        </w:rPr>
        <w:t xml:space="preserve"> jeb 0,32</w:t>
      </w:r>
      <w:r w:rsidR="00E06F33" w:rsidRPr="00257477">
        <w:rPr>
          <w:rFonts w:asciiTheme="majorBidi" w:hAnsiTheme="majorBidi" w:cstheme="majorBidi"/>
        </w:rPr>
        <w:t> </w:t>
      </w:r>
      <w:r w:rsidRPr="00257477">
        <w:rPr>
          <w:rFonts w:asciiTheme="majorBidi" w:hAnsiTheme="majorBidi" w:cstheme="majorBidi"/>
        </w:rPr>
        <w:t xml:space="preserve">% no </w:t>
      </w:r>
      <w:r w:rsidR="00B02E0E" w:rsidRPr="00257477">
        <w:rPr>
          <w:rFonts w:asciiTheme="majorBidi" w:hAnsiTheme="majorBidi" w:cstheme="majorBidi"/>
        </w:rPr>
        <w:t xml:space="preserve">projektā </w:t>
      </w:r>
      <w:r w:rsidRPr="00257477">
        <w:rPr>
          <w:rFonts w:asciiTheme="majorBidi" w:hAnsiTheme="majorBidi" w:cstheme="majorBidi"/>
        </w:rPr>
        <w:t xml:space="preserve">paredzētā; </w:t>
      </w:r>
    </w:p>
    <w:p w14:paraId="094838AF" w14:textId="7A18C550" w:rsidR="001045F2" w:rsidRPr="00257477" w:rsidRDefault="009E4691" w:rsidP="00257477">
      <w:pPr>
        <w:spacing w:line="276" w:lineRule="auto"/>
        <w:ind w:firstLine="720"/>
        <w:jc w:val="both"/>
        <w:rPr>
          <w:rFonts w:asciiTheme="majorBidi" w:hAnsiTheme="majorBidi" w:cstheme="majorBidi"/>
        </w:rPr>
      </w:pPr>
      <w:r w:rsidRPr="00257477">
        <w:rPr>
          <w:rFonts w:asciiTheme="majorBidi" w:hAnsiTheme="majorBidi" w:cstheme="majorBidi"/>
        </w:rPr>
        <w:lastRenderedPageBreak/>
        <w:t>3) atbildētāja 2016.</w:t>
      </w:r>
      <w:r w:rsidR="00D65756" w:rsidRPr="00257477">
        <w:rPr>
          <w:rFonts w:asciiTheme="majorBidi" w:hAnsiTheme="majorBidi" w:cstheme="majorBidi"/>
        </w:rPr>
        <w:t> </w:t>
      </w:r>
      <w:r w:rsidRPr="00257477">
        <w:rPr>
          <w:rFonts w:asciiTheme="majorBidi" w:hAnsiTheme="majorBidi" w:cstheme="majorBidi"/>
        </w:rPr>
        <w:t xml:space="preserve">gadā veica </w:t>
      </w:r>
      <w:r w:rsidR="00514821" w:rsidRPr="00257477">
        <w:rPr>
          <w:rFonts w:asciiTheme="majorBidi" w:hAnsiTheme="majorBidi" w:cstheme="majorBidi"/>
        </w:rPr>
        <w:t>„</w:t>
      </w:r>
      <w:proofErr w:type="spellStart"/>
      <w:r w:rsidR="00514821" w:rsidRPr="00257477">
        <w:rPr>
          <w:rFonts w:asciiTheme="majorBidi" w:hAnsiTheme="majorBidi" w:cstheme="majorBidi"/>
        </w:rPr>
        <w:t>Isopearl</w:t>
      </w:r>
      <w:proofErr w:type="spellEnd"/>
      <w:r w:rsidR="00514821" w:rsidRPr="00257477">
        <w:rPr>
          <w:rFonts w:asciiTheme="majorBidi" w:hAnsiTheme="majorBidi" w:cstheme="majorBidi"/>
        </w:rPr>
        <w:t xml:space="preserve">” </w:t>
      </w:r>
      <w:r w:rsidRPr="00257477">
        <w:rPr>
          <w:rFonts w:asciiTheme="majorBidi" w:hAnsiTheme="majorBidi" w:cstheme="majorBidi"/>
        </w:rPr>
        <w:t>eksporta darījumus par kopsummu 4290 </w:t>
      </w:r>
      <w:proofErr w:type="spellStart"/>
      <w:r w:rsidR="00976997" w:rsidRPr="00257477">
        <w:rPr>
          <w:rFonts w:asciiTheme="majorBidi" w:hAnsiTheme="majorBidi" w:cstheme="majorBidi"/>
          <w:i/>
          <w:iCs/>
        </w:rPr>
        <w:t>euro</w:t>
      </w:r>
      <w:proofErr w:type="spellEnd"/>
      <w:r w:rsidRPr="00257477">
        <w:rPr>
          <w:rFonts w:asciiTheme="majorBidi" w:hAnsiTheme="majorBidi" w:cstheme="majorBidi"/>
        </w:rPr>
        <w:t>, bet 2017.–2019.</w:t>
      </w:r>
      <w:r w:rsidR="00D65756" w:rsidRPr="00257477">
        <w:rPr>
          <w:rFonts w:asciiTheme="majorBidi" w:hAnsiTheme="majorBidi" w:cstheme="majorBidi"/>
        </w:rPr>
        <w:t> </w:t>
      </w:r>
      <w:r w:rsidRPr="00257477">
        <w:rPr>
          <w:rFonts w:asciiTheme="majorBidi" w:hAnsiTheme="majorBidi" w:cstheme="majorBidi"/>
        </w:rPr>
        <w:t xml:space="preserve">gadā līdz </w:t>
      </w:r>
      <w:proofErr w:type="spellStart"/>
      <w:r w:rsidRPr="00257477">
        <w:rPr>
          <w:rFonts w:asciiTheme="majorBidi" w:hAnsiTheme="majorBidi" w:cstheme="majorBidi"/>
        </w:rPr>
        <w:t>pēcuzraudzības</w:t>
      </w:r>
      <w:proofErr w:type="spellEnd"/>
      <w:r w:rsidRPr="00257477">
        <w:rPr>
          <w:rFonts w:asciiTheme="majorBidi" w:hAnsiTheme="majorBidi" w:cstheme="majorBidi"/>
        </w:rPr>
        <w:t xml:space="preserve"> perioda beigām eksporta darījumi n</w:t>
      </w:r>
      <w:r w:rsidR="00D65756" w:rsidRPr="00257477">
        <w:rPr>
          <w:rFonts w:asciiTheme="majorBidi" w:hAnsiTheme="majorBidi" w:cstheme="majorBidi"/>
        </w:rPr>
        <w:t>etika</w:t>
      </w:r>
      <w:r w:rsidRPr="00257477">
        <w:rPr>
          <w:rFonts w:asciiTheme="majorBidi" w:hAnsiTheme="majorBidi" w:cstheme="majorBidi"/>
        </w:rPr>
        <w:t xml:space="preserve"> veikti</w:t>
      </w:r>
      <w:r w:rsidR="00B02E0E" w:rsidRPr="00257477">
        <w:rPr>
          <w:rFonts w:asciiTheme="majorBidi" w:hAnsiTheme="majorBidi" w:cstheme="majorBidi"/>
        </w:rPr>
        <w:t xml:space="preserve">, kas savukārt </w:t>
      </w:r>
      <w:r w:rsidRPr="00257477">
        <w:rPr>
          <w:rFonts w:asciiTheme="majorBidi" w:hAnsiTheme="majorBidi" w:cstheme="majorBidi"/>
        </w:rPr>
        <w:t>neatbilst projekt</w:t>
      </w:r>
      <w:r w:rsidR="00B02E0E" w:rsidRPr="00257477">
        <w:rPr>
          <w:rFonts w:asciiTheme="majorBidi" w:hAnsiTheme="majorBidi" w:cstheme="majorBidi"/>
        </w:rPr>
        <w:t>a</w:t>
      </w:r>
      <w:r w:rsidRPr="00257477">
        <w:rPr>
          <w:rFonts w:asciiTheme="majorBidi" w:hAnsiTheme="majorBidi" w:cstheme="majorBidi"/>
        </w:rPr>
        <w:t xml:space="preserve"> Nr.</w:t>
      </w:r>
      <w:r w:rsidR="00D65756" w:rsidRPr="00257477">
        <w:rPr>
          <w:rFonts w:asciiTheme="majorBidi" w:hAnsiTheme="majorBidi" w:cstheme="majorBidi"/>
        </w:rPr>
        <w:t> </w:t>
      </w:r>
      <w:r w:rsidRPr="00257477">
        <w:rPr>
          <w:rFonts w:asciiTheme="majorBidi" w:hAnsiTheme="majorBidi" w:cstheme="majorBidi"/>
        </w:rPr>
        <w:t xml:space="preserve">2 </w:t>
      </w:r>
      <w:r w:rsidR="00B02E0E" w:rsidRPr="00257477">
        <w:rPr>
          <w:rFonts w:asciiTheme="majorBidi" w:hAnsiTheme="majorBidi" w:cstheme="majorBidi"/>
        </w:rPr>
        <w:t xml:space="preserve">noteikumiem par </w:t>
      </w:r>
      <w:r w:rsidRPr="00257477">
        <w:rPr>
          <w:rFonts w:asciiTheme="majorBidi" w:hAnsiTheme="majorBidi" w:cstheme="majorBidi"/>
        </w:rPr>
        <w:t>paredzēt</w:t>
      </w:r>
      <w:r w:rsidR="00B02E0E" w:rsidRPr="00257477">
        <w:rPr>
          <w:rFonts w:asciiTheme="majorBidi" w:hAnsiTheme="majorBidi" w:cstheme="majorBidi"/>
        </w:rPr>
        <w:t>o</w:t>
      </w:r>
      <w:r w:rsidRPr="00257477">
        <w:rPr>
          <w:rFonts w:asciiTheme="majorBidi" w:hAnsiTheme="majorBidi" w:cstheme="majorBidi"/>
        </w:rPr>
        <w:t xml:space="preserve"> eksporta darījumu apjom</w:t>
      </w:r>
      <w:r w:rsidR="00B02E0E" w:rsidRPr="00257477">
        <w:rPr>
          <w:rFonts w:asciiTheme="majorBidi" w:hAnsiTheme="majorBidi" w:cstheme="majorBidi"/>
        </w:rPr>
        <w:t>u</w:t>
      </w:r>
      <w:r w:rsidRPr="00257477">
        <w:rPr>
          <w:rFonts w:asciiTheme="majorBidi" w:hAnsiTheme="majorBidi" w:cstheme="majorBidi"/>
        </w:rPr>
        <w:t>;</w:t>
      </w:r>
    </w:p>
    <w:p w14:paraId="32B340EE" w14:textId="48CBD5FE" w:rsidR="001045F2" w:rsidRPr="00257477" w:rsidRDefault="009E4691" w:rsidP="00257477">
      <w:pPr>
        <w:spacing w:line="276" w:lineRule="auto"/>
        <w:ind w:firstLine="720"/>
        <w:jc w:val="both"/>
        <w:rPr>
          <w:rFonts w:asciiTheme="majorBidi" w:hAnsiTheme="majorBidi" w:cstheme="majorBidi"/>
        </w:rPr>
      </w:pPr>
      <w:r w:rsidRPr="00257477">
        <w:rPr>
          <w:rFonts w:asciiTheme="majorBidi" w:hAnsiTheme="majorBidi" w:cstheme="majorBidi"/>
        </w:rPr>
        <w:t>4) kopš 2017.</w:t>
      </w:r>
      <w:r w:rsidR="00D65756" w:rsidRPr="00257477">
        <w:rPr>
          <w:rFonts w:asciiTheme="majorBidi" w:hAnsiTheme="majorBidi" w:cstheme="majorBidi"/>
        </w:rPr>
        <w:t> </w:t>
      </w:r>
      <w:r w:rsidRPr="00257477">
        <w:rPr>
          <w:rFonts w:asciiTheme="majorBidi" w:hAnsiTheme="majorBidi" w:cstheme="majorBidi"/>
        </w:rPr>
        <w:t xml:space="preserve">gada abu projektu īstenošanas vietā </w:t>
      </w:r>
      <w:r w:rsidR="00B02E0E" w:rsidRPr="00257477">
        <w:rPr>
          <w:rFonts w:asciiTheme="majorBidi" w:hAnsiTheme="majorBidi" w:cstheme="majorBidi"/>
        </w:rPr>
        <w:t xml:space="preserve">nav nodarbināts </w:t>
      </w:r>
      <w:r w:rsidRPr="00257477">
        <w:rPr>
          <w:rFonts w:asciiTheme="majorBidi" w:hAnsiTheme="majorBidi" w:cstheme="majorBidi"/>
        </w:rPr>
        <w:t>neviens darbinieks.</w:t>
      </w:r>
    </w:p>
    <w:p w14:paraId="13229D19" w14:textId="7A7B6518" w:rsidR="001045F2" w:rsidRPr="00257477" w:rsidRDefault="009E4691" w:rsidP="00257477">
      <w:pPr>
        <w:spacing w:line="276" w:lineRule="auto"/>
        <w:ind w:firstLine="720"/>
        <w:jc w:val="both"/>
        <w:rPr>
          <w:rFonts w:asciiTheme="majorBidi" w:hAnsiTheme="majorBidi" w:cstheme="majorBidi"/>
        </w:rPr>
      </w:pPr>
      <w:r w:rsidRPr="00257477">
        <w:rPr>
          <w:rFonts w:asciiTheme="majorBidi" w:hAnsiTheme="majorBidi" w:cstheme="majorBidi"/>
        </w:rPr>
        <w:t>[1.5] Atbildētājai 2019.</w:t>
      </w:r>
      <w:r w:rsidR="00D65756" w:rsidRPr="00257477">
        <w:rPr>
          <w:rFonts w:asciiTheme="majorBidi" w:hAnsiTheme="majorBidi" w:cstheme="majorBidi"/>
        </w:rPr>
        <w:t> </w:t>
      </w:r>
      <w:r w:rsidRPr="00257477">
        <w:rPr>
          <w:rFonts w:asciiTheme="majorBidi" w:hAnsiTheme="majorBidi" w:cstheme="majorBidi"/>
        </w:rPr>
        <w:t>gada 12.</w:t>
      </w:r>
      <w:r w:rsidR="00CB377C" w:rsidRPr="00257477">
        <w:rPr>
          <w:rFonts w:asciiTheme="majorBidi" w:hAnsiTheme="majorBidi" w:cstheme="majorBidi"/>
        </w:rPr>
        <w:t> </w:t>
      </w:r>
      <w:r w:rsidRPr="00257477">
        <w:rPr>
          <w:rFonts w:asciiTheme="majorBidi" w:hAnsiTheme="majorBidi" w:cstheme="majorBidi"/>
        </w:rPr>
        <w:t xml:space="preserve">februārī tika nosūtīts pārbaudes ziņojums ar lūgumu sniegt </w:t>
      </w:r>
      <w:r w:rsidR="009104EA" w:rsidRPr="00257477">
        <w:rPr>
          <w:rFonts w:asciiTheme="majorBidi" w:hAnsiTheme="majorBidi" w:cstheme="majorBidi"/>
        </w:rPr>
        <w:t>pa</w:t>
      </w:r>
      <w:r w:rsidRPr="00257477">
        <w:rPr>
          <w:rFonts w:asciiTheme="majorBidi" w:hAnsiTheme="majorBidi" w:cstheme="majorBidi"/>
        </w:rPr>
        <w:t>skaidrojumu par projektos konstatētajām atkāpēm</w:t>
      </w:r>
      <w:r w:rsidR="009104EA" w:rsidRPr="00257477">
        <w:rPr>
          <w:rFonts w:asciiTheme="majorBidi" w:hAnsiTheme="majorBidi" w:cstheme="majorBidi"/>
        </w:rPr>
        <w:t>.</w:t>
      </w:r>
      <w:r w:rsidR="00FC2173" w:rsidRPr="00257477">
        <w:rPr>
          <w:rFonts w:asciiTheme="majorBidi" w:hAnsiTheme="majorBidi" w:cstheme="majorBidi"/>
        </w:rPr>
        <w:t xml:space="preserve"> </w:t>
      </w:r>
      <w:r w:rsidR="006D6745" w:rsidRPr="00257477">
        <w:rPr>
          <w:rFonts w:asciiTheme="majorBidi" w:hAnsiTheme="majorBidi" w:cstheme="majorBidi"/>
        </w:rPr>
        <w:t xml:space="preserve">Atbildētāja </w:t>
      </w:r>
      <w:r w:rsidRPr="00257477">
        <w:rPr>
          <w:rFonts w:asciiTheme="majorBidi" w:hAnsiTheme="majorBidi" w:cstheme="majorBidi"/>
        </w:rPr>
        <w:t>2019.</w:t>
      </w:r>
      <w:r w:rsidR="00FC2173" w:rsidRPr="00257477">
        <w:rPr>
          <w:rFonts w:asciiTheme="majorBidi" w:hAnsiTheme="majorBidi" w:cstheme="majorBidi"/>
        </w:rPr>
        <w:t> </w:t>
      </w:r>
      <w:r w:rsidRPr="00257477">
        <w:rPr>
          <w:rFonts w:asciiTheme="majorBidi" w:hAnsiTheme="majorBidi" w:cstheme="majorBidi"/>
        </w:rPr>
        <w:t>gada 11.</w:t>
      </w:r>
      <w:r w:rsidR="00FC2173" w:rsidRPr="00257477">
        <w:rPr>
          <w:rFonts w:asciiTheme="majorBidi" w:hAnsiTheme="majorBidi" w:cstheme="majorBidi"/>
        </w:rPr>
        <w:t> </w:t>
      </w:r>
      <w:r w:rsidRPr="00257477">
        <w:rPr>
          <w:rFonts w:asciiTheme="majorBidi" w:hAnsiTheme="majorBidi" w:cstheme="majorBidi"/>
        </w:rPr>
        <w:t>marta un 25.</w:t>
      </w:r>
      <w:r w:rsidR="00FC2173" w:rsidRPr="00257477">
        <w:rPr>
          <w:rFonts w:asciiTheme="majorBidi" w:hAnsiTheme="majorBidi" w:cstheme="majorBidi"/>
        </w:rPr>
        <w:t> </w:t>
      </w:r>
      <w:r w:rsidRPr="00257477">
        <w:rPr>
          <w:rFonts w:asciiTheme="majorBidi" w:hAnsiTheme="majorBidi" w:cstheme="majorBidi"/>
        </w:rPr>
        <w:t xml:space="preserve">marta </w:t>
      </w:r>
      <w:r w:rsidR="009104EA" w:rsidRPr="00257477">
        <w:rPr>
          <w:rFonts w:asciiTheme="majorBidi" w:hAnsiTheme="majorBidi" w:cstheme="majorBidi"/>
        </w:rPr>
        <w:t xml:space="preserve">atbildes </w:t>
      </w:r>
      <w:r w:rsidRPr="00257477">
        <w:rPr>
          <w:rFonts w:asciiTheme="majorBidi" w:hAnsiTheme="majorBidi" w:cstheme="majorBidi"/>
        </w:rPr>
        <w:t xml:space="preserve">vēstulē </w:t>
      </w:r>
      <w:r w:rsidR="009104EA" w:rsidRPr="00257477">
        <w:rPr>
          <w:rFonts w:asciiTheme="majorBidi" w:hAnsiTheme="majorBidi" w:cstheme="majorBidi"/>
        </w:rPr>
        <w:t xml:space="preserve">par </w:t>
      </w:r>
      <w:r w:rsidRPr="00257477">
        <w:rPr>
          <w:rFonts w:asciiTheme="majorBidi" w:hAnsiTheme="majorBidi" w:cstheme="majorBidi"/>
        </w:rPr>
        <w:t xml:space="preserve">projektos paredzētās saimnieciskās darbības rādītāju nesasniegšanas </w:t>
      </w:r>
      <w:r w:rsidR="009104EA" w:rsidRPr="00257477">
        <w:rPr>
          <w:rFonts w:asciiTheme="majorBidi" w:hAnsiTheme="majorBidi" w:cstheme="majorBidi"/>
        </w:rPr>
        <w:t xml:space="preserve">iemesliem sniedza šādu </w:t>
      </w:r>
      <w:r w:rsidRPr="00257477">
        <w:rPr>
          <w:rFonts w:asciiTheme="majorBidi" w:hAnsiTheme="majorBidi" w:cstheme="majorBidi"/>
        </w:rPr>
        <w:t>skaidrojumu:</w:t>
      </w:r>
    </w:p>
    <w:p w14:paraId="31F181B4" w14:textId="03390686" w:rsidR="001045F2" w:rsidRPr="00257477" w:rsidRDefault="009E4691" w:rsidP="00257477">
      <w:pPr>
        <w:spacing w:line="276" w:lineRule="auto"/>
        <w:ind w:firstLine="720"/>
        <w:jc w:val="both"/>
        <w:rPr>
          <w:rFonts w:asciiTheme="majorBidi" w:hAnsiTheme="majorBidi" w:cstheme="majorBidi"/>
        </w:rPr>
      </w:pPr>
      <w:r w:rsidRPr="00257477">
        <w:rPr>
          <w:rFonts w:asciiTheme="majorBidi" w:hAnsiTheme="majorBidi" w:cstheme="majorBidi"/>
        </w:rPr>
        <w:t xml:space="preserve">1) ļoti striktas Centrālās finanšu un līgumu aģentūras un </w:t>
      </w:r>
      <w:r w:rsidR="00F73ADC" w:rsidRPr="00257477">
        <w:rPr>
          <w:rFonts w:asciiTheme="majorBidi" w:hAnsiTheme="majorBidi" w:cstheme="majorBidi"/>
        </w:rPr>
        <w:t>akciju sabiedrības </w:t>
      </w:r>
      <w:r w:rsidRPr="00257477">
        <w:rPr>
          <w:rFonts w:asciiTheme="majorBidi" w:hAnsiTheme="majorBidi" w:cstheme="majorBidi"/>
        </w:rPr>
        <w:t xml:space="preserve">„Attīstības finanšu institūcija </w:t>
      </w:r>
      <w:proofErr w:type="spellStart"/>
      <w:r w:rsidRPr="00257477">
        <w:rPr>
          <w:rFonts w:asciiTheme="majorBidi" w:hAnsiTheme="majorBidi" w:cstheme="majorBidi"/>
        </w:rPr>
        <w:t>Altum</w:t>
      </w:r>
      <w:proofErr w:type="spellEnd"/>
      <w:r w:rsidRPr="00257477">
        <w:rPr>
          <w:rFonts w:asciiTheme="majorBidi" w:hAnsiTheme="majorBidi" w:cstheme="majorBidi"/>
        </w:rPr>
        <w:t>” tehniskās prasības tehniskai dokumentācijai;</w:t>
      </w:r>
    </w:p>
    <w:p w14:paraId="1909A405" w14:textId="77777777" w:rsidR="001045F2" w:rsidRPr="00257477" w:rsidRDefault="009E4691" w:rsidP="00257477">
      <w:pPr>
        <w:spacing w:line="276" w:lineRule="auto"/>
        <w:ind w:firstLine="720"/>
        <w:jc w:val="both"/>
        <w:rPr>
          <w:rFonts w:asciiTheme="majorBidi" w:hAnsiTheme="majorBidi" w:cstheme="majorBidi"/>
        </w:rPr>
      </w:pPr>
      <w:r w:rsidRPr="00257477">
        <w:rPr>
          <w:rFonts w:asciiTheme="majorBidi" w:hAnsiTheme="majorBidi" w:cstheme="majorBidi"/>
        </w:rPr>
        <w:t>2) būvniecības izmaksu pieaugums;</w:t>
      </w:r>
    </w:p>
    <w:p w14:paraId="21E60E30" w14:textId="610B3177" w:rsidR="001045F2" w:rsidRPr="00257477" w:rsidRDefault="009E4691" w:rsidP="00257477">
      <w:pPr>
        <w:spacing w:line="276" w:lineRule="auto"/>
        <w:ind w:firstLine="720"/>
        <w:jc w:val="both"/>
        <w:rPr>
          <w:rFonts w:asciiTheme="majorBidi" w:hAnsiTheme="majorBidi" w:cstheme="majorBidi"/>
        </w:rPr>
      </w:pPr>
      <w:r w:rsidRPr="00257477">
        <w:rPr>
          <w:rFonts w:asciiTheme="majorBidi" w:hAnsiTheme="majorBidi" w:cstheme="majorBidi"/>
        </w:rPr>
        <w:t>3) nav pabeigta ETA sertifikāta iegūšana (apliecinājums materiāla atbilstībai būvniecības prasībām, analogs CE (</w:t>
      </w:r>
      <w:proofErr w:type="spellStart"/>
      <w:r w:rsidR="00FD6DBC" w:rsidRPr="00257477">
        <w:rPr>
          <w:rFonts w:asciiTheme="majorBidi" w:hAnsiTheme="majorBidi" w:cstheme="majorBidi"/>
          <w:i/>
        </w:rPr>
        <w:t>Conformité</w:t>
      </w:r>
      <w:proofErr w:type="spellEnd"/>
      <w:r w:rsidR="00FD6DBC" w:rsidRPr="00257477">
        <w:rPr>
          <w:rFonts w:asciiTheme="majorBidi" w:hAnsiTheme="majorBidi" w:cstheme="majorBidi"/>
          <w:i/>
        </w:rPr>
        <w:t xml:space="preserve"> </w:t>
      </w:r>
      <w:proofErr w:type="spellStart"/>
      <w:r w:rsidR="00FD6DBC" w:rsidRPr="00257477">
        <w:rPr>
          <w:rFonts w:asciiTheme="majorBidi" w:hAnsiTheme="majorBidi" w:cstheme="majorBidi"/>
          <w:i/>
        </w:rPr>
        <w:t>Européenne</w:t>
      </w:r>
      <w:proofErr w:type="spellEnd"/>
      <w:r w:rsidRPr="00257477">
        <w:rPr>
          <w:rFonts w:asciiTheme="majorBidi" w:hAnsiTheme="majorBidi" w:cstheme="majorBidi"/>
        </w:rPr>
        <w:t>) sertifikātam).</w:t>
      </w:r>
    </w:p>
    <w:p w14:paraId="11BB0E06" w14:textId="0821D600" w:rsidR="001045F2" w:rsidRPr="00257477" w:rsidRDefault="00FC2173" w:rsidP="00257477">
      <w:pPr>
        <w:spacing w:line="276" w:lineRule="auto"/>
        <w:ind w:firstLine="720"/>
        <w:jc w:val="both"/>
        <w:rPr>
          <w:rFonts w:asciiTheme="majorBidi" w:hAnsiTheme="majorBidi" w:cstheme="majorBidi"/>
        </w:rPr>
      </w:pPr>
      <w:r w:rsidRPr="00257477">
        <w:rPr>
          <w:rFonts w:asciiTheme="majorBidi" w:hAnsiTheme="majorBidi" w:cstheme="majorBidi"/>
        </w:rPr>
        <w:t>Tāpat atbildētāja vērsa uzmanību uz centieniem uzlabot saimniecisko darbību, rast jaunus noieta tirgus, jaunu pielietojumu saviem produktiem, darbīb</w:t>
      </w:r>
      <w:r w:rsidR="00B02E0E" w:rsidRPr="00257477">
        <w:rPr>
          <w:rFonts w:asciiTheme="majorBidi" w:hAnsiTheme="majorBidi" w:cstheme="majorBidi"/>
        </w:rPr>
        <w:t>ām</w:t>
      </w:r>
      <w:r w:rsidRPr="00257477">
        <w:rPr>
          <w:rFonts w:asciiTheme="majorBidi" w:hAnsiTheme="majorBidi" w:cstheme="majorBidi"/>
        </w:rPr>
        <w:t xml:space="preserve"> ETA sertifikāta saņemšanai un citiem apstākļiem. </w:t>
      </w:r>
    </w:p>
    <w:p w14:paraId="5015B3B3" w14:textId="541D7157" w:rsidR="001045F2" w:rsidRPr="00257477" w:rsidRDefault="009E4691" w:rsidP="00257477">
      <w:pPr>
        <w:spacing w:line="276" w:lineRule="auto"/>
        <w:ind w:firstLine="720"/>
        <w:jc w:val="both"/>
        <w:rPr>
          <w:rFonts w:asciiTheme="majorBidi" w:hAnsiTheme="majorBidi" w:cstheme="majorBidi"/>
        </w:rPr>
      </w:pPr>
      <w:r w:rsidRPr="00257477">
        <w:rPr>
          <w:rFonts w:asciiTheme="majorBidi" w:hAnsiTheme="majorBidi" w:cstheme="majorBidi"/>
        </w:rPr>
        <w:t>[1.6]</w:t>
      </w:r>
      <w:r w:rsidR="00E06F33" w:rsidRPr="00257477">
        <w:rPr>
          <w:rFonts w:asciiTheme="majorBidi" w:hAnsiTheme="majorBidi" w:cstheme="majorBidi"/>
        </w:rPr>
        <w:t> </w:t>
      </w:r>
      <w:r w:rsidRPr="00257477">
        <w:rPr>
          <w:rFonts w:asciiTheme="majorBidi" w:hAnsiTheme="majorBidi" w:cstheme="majorBidi"/>
        </w:rPr>
        <w:t>Finansējuma saņēmējam ir pienākums nodrošināt projekta īstenošanu atbilstoši civiltiesiskā līguma noteikumiem. Saskaņā ar līguma Nr. 1</w:t>
      </w:r>
      <w:r w:rsidR="00E06F33" w:rsidRPr="00257477">
        <w:rPr>
          <w:rFonts w:asciiTheme="majorBidi" w:hAnsiTheme="majorBidi" w:cstheme="majorBidi"/>
        </w:rPr>
        <w:t xml:space="preserve"> </w:t>
      </w:r>
      <w:r w:rsidRPr="00257477">
        <w:rPr>
          <w:rFonts w:asciiTheme="majorBidi" w:hAnsiTheme="majorBidi" w:cstheme="majorBidi"/>
        </w:rPr>
        <w:t>5.</w:t>
      </w:r>
      <w:r w:rsidR="00FC2173" w:rsidRPr="00257477">
        <w:rPr>
          <w:rFonts w:asciiTheme="majorBidi" w:hAnsiTheme="majorBidi" w:cstheme="majorBidi"/>
        </w:rPr>
        <w:t> </w:t>
      </w:r>
      <w:r w:rsidRPr="00257477">
        <w:rPr>
          <w:rFonts w:asciiTheme="majorBidi" w:hAnsiTheme="majorBidi" w:cstheme="majorBidi"/>
        </w:rPr>
        <w:t>punktu un līguma Nr. 2</w:t>
      </w:r>
      <w:r w:rsidR="00E06F33" w:rsidRPr="00257477">
        <w:rPr>
          <w:rFonts w:asciiTheme="majorBidi" w:hAnsiTheme="majorBidi" w:cstheme="majorBidi"/>
        </w:rPr>
        <w:t xml:space="preserve"> </w:t>
      </w:r>
      <w:r w:rsidRPr="00257477">
        <w:rPr>
          <w:rFonts w:asciiTheme="majorBidi" w:hAnsiTheme="majorBidi" w:cstheme="majorBidi"/>
        </w:rPr>
        <w:t>6.</w:t>
      </w:r>
      <w:r w:rsidR="00FC2173" w:rsidRPr="00257477">
        <w:rPr>
          <w:rFonts w:asciiTheme="majorBidi" w:hAnsiTheme="majorBidi" w:cstheme="majorBidi"/>
        </w:rPr>
        <w:t> </w:t>
      </w:r>
      <w:r w:rsidRPr="00257477">
        <w:rPr>
          <w:rFonts w:asciiTheme="majorBidi" w:hAnsiTheme="majorBidi" w:cstheme="majorBidi"/>
        </w:rPr>
        <w:t xml:space="preserve">punktu līgums sastāv no </w:t>
      </w:r>
      <w:r w:rsidR="00A00AC3" w:rsidRPr="00257477">
        <w:rPr>
          <w:rFonts w:asciiTheme="majorBidi" w:hAnsiTheme="majorBidi" w:cstheme="majorBidi"/>
        </w:rPr>
        <w:t>l</w:t>
      </w:r>
      <w:r w:rsidRPr="00257477">
        <w:rPr>
          <w:rFonts w:asciiTheme="majorBidi" w:hAnsiTheme="majorBidi" w:cstheme="majorBidi"/>
        </w:rPr>
        <w:t xml:space="preserve">īguma individuālās daļas un </w:t>
      </w:r>
      <w:r w:rsidR="00A00AC3" w:rsidRPr="00257477">
        <w:rPr>
          <w:rFonts w:asciiTheme="majorBidi" w:hAnsiTheme="majorBidi" w:cstheme="majorBidi"/>
        </w:rPr>
        <w:t>a</w:t>
      </w:r>
      <w:r w:rsidRPr="00257477">
        <w:rPr>
          <w:rFonts w:asciiTheme="majorBidi" w:hAnsiTheme="majorBidi" w:cstheme="majorBidi"/>
        </w:rPr>
        <w:t>tbalsta finansējuma saņemšanas nosacījumiem.</w:t>
      </w:r>
    </w:p>
    <w:p w14:paraId="6B9BCAB8" w14:textId="3DBBEFB6" w:rsidR="001045F2" w:rsidRPr="00257477" w:rsidRDefault="009E4691" w:rsidP="00257477">
      <w:pPr>
        <w:spacing w:line="276" w:lineRule="auto"/>
        <w:ind w:firstLine="720"/>
        <w:jc w:val="both"/>
        <w:rPr>
          <w:rFonts w:asciiTheme="majorBidi" w:hAnsiTheme="majorBidi" w:cstheme="majorBidi"/>
        </w:rPr>
      </w:pPr>
      <w:r w:rsidRPr="00257477">
        <w:rPr>
          <w:rFonts w:asciiTheme="majorBidi" w:hAnsiTheme="majorBidi" w:cstheme="majorBidi"/>
        </w:rPr>
        <w:t>[1.6.1]</w:t>
      </w:r>
      <w:r w:rsidR="00E06F33" w:rsidRPr="00257477">
        <w:rPr>
          <w:rFonts w:asciiTheme="majorBidi" w:hAnsiTheme="majorBidi" w:cstheme="majorBidi"/>
        </w:rPr>
        <w:t> </w:t>
      </w:r>
      <w:r w:rsidRPr="00257477">
        <w:rPr>
          <w:rFonts w:asciiTheme="majorBidi" w:hAnsiTheme="majorBidi" w:cstheme="majorBidi"/>
        </w:rPr>
        <w:t>Saskaņā ar līguma Nr.</w:t>
      </w:r>
      <w:r w:rsidR="00A00AC3" w:rsidRPr="00257477">
        <w:rPr>
          <w:rFonts w:asciiTheme="majorBidi" w:hAnsiTheme="majorBidi" w:cstheme="majorBidi"/>
        </w:rPr>
        <w:t> </w:t>
      </w:r>
      <w:r w:rsidRPr="00257477">
        <w:rPr>
          <w:rFonts w:asciiTheme="majorBidi" w:hAnsiTheme="majorBidi" w:cstheme="majorBidi"/>
        </w:rPr>
        <w:t>1 7.</w:t>
      </w:r>
      <w:r w:rsidR="00A00AC3" w:rsidRPr="00257477">
        <w:rPr>
          <w:rFonts w:asciiTheme="majorBidi" w:hAnsiTheme="majorBidi" w:cstheme="majorBidi"/>
        </w:rPr>
        <w:t> </w:t>
      </w:r>
      <w:r w:rsidRPr="00257477">
        <w:rPr>
          <w:rFonts w:asciiTheme="majorBidi" w:hAnsiTheme="majorBidi" w:cstheme="majorBidi"/>
        </w:rPr>
        <w:t>punktu un līguma Nr.</w:t>
      </w:r>
      <w:r w:rsidR="00CB377C" w:rsidRPr="00257477">
        <w:rPr>
          <w:rFonts w:asciiTheme="majorBidi" w:hAnsiTheme="majorBidi" w:cstheme="majorBidi"/>
        </w:rPr>
        <w:t> </w:t>
      </w:r>
      <w:r w:rsidRPr="00257477">
        <w:rPr>
          <w:rFonts w:asciiTheme="majorBidi" w:hAnsiTheme="majorBidi" w:cstheme="majorBidi"/>
        </w:rPr>
        <w:t>2 8.</w:t>
      </w:r>
      <w:r w:rsidR="00A00AC3" w:rsidRPr="00257477">
        <w:rPr>
          <w:rFonts w:asciiTheme="majorBidi" w:hAnsiTheme="majorBidi" w:cstheme="majorBidi"/>
        </w:rPr>
        <w:t> </w:t>
      </w:r>
      <w:r w:rsidRPr="00257477">
        <w:rPr>
          <w:rFonts w:asciiTheme="majorBidi" w:hAnsiTheme="majorBidi" w:cstheme="majorBidi"/>
        </w:rPr>
        <w:t>punktu projekta iesniegums ar tā pielikumiem ir attiecīgā projekta sastāvdaļa. Savukārt līguma Nr. 1 un Nr. 2 priekšmets pēc būtības ir attiecīgā projekta īstenošanas kārtība un nosacījumi, kurus izpildot atbildētājai rodas tiesības saņemt un paturēt atbalsta finansējumu.</w:t>
      </w:r>
    </w:p>
    <w:p w14:paraId="52BCD5E0" w14:textId="66F3F7ED" w:rsidR="001045F2" w:rsidRPr="00257477" w:rsidRDefault="009E4691" w:rsidP="00257477">
      <w:pPr>
        <w:spacing w:line="276" w:lineRule="auto"/>
        <w:ind w:firstLine="720"/>
        <w:jc w:val="both"/>
        <w:rPr>
          <w:rFonts w:asciiTheme="majorBidi" w:hAnsiTheme="majorBidi" w:cstheme="majorBidi"/>
        </w:rPr>
      </w:pPr>
      <w:r w:rsidRPr="00257477">
        <w:rPr>
          <w:rFonts w:asciiTheme="majorBidi" w:hAnsiTheme="majorBidi" w:cstheme="majorBidi"/>
        </w:rPr>
        <w:t>[1.6.2]</w:t>
      </w:r>
      <w:r w:rsidR="005A5BE7" w:rsidRPr="00257477">
        <w:rPr>
          <w:rFonts w:asciiTheme="majorBidi" w:hAnsiTheme="majorBidi" w:cstheme="majorBidi"/>
        </w:rPr>
        <w:t> </w:t>
      </w:r>
      <w:r w:rsidRPr="00257477">
        <w:rPr>
          <w:rFonts w:asciiTheme="majorBidi" w:hAnsiTheme="majorBidi" w:cstheme="majorBidi"/>
        </w:rPr>
        <w:t xml:space="preserve">Līguma Nr. 1 </w:t>
      </w:r>
      <w:r w:rsidR="00A00AC3" w:rsidRPr="00257477">
        <w:rPr>
          <w:rFonts w:asciiTheme="majorBidi" w:hAnsiTheme="majorBidi" w:cstheme="majorBidi"/>
        </w:rPr>
        <w:t>a</w:t>
      </w:r>
      <w:r w:rsidRPr="00257477">
        <w:rPr>
          <w:rFonts w:asciiTheme="majorBidi" w:hAnsiTheme="majorBidi" w:cstheme="majorBidi"/>
        </w:rPr>
        <w:t>tbalsta finansējuma saņemšanas nosacījumu (turpmāk – nosacījumi) 3.1.1.</w:t>
      </w:r>
      <w:r w:rsidR="00A00AC3" w:rsidRPr="00257477">
        <w:rPr>
          <w:rFonts w:asciiTheme="majorBidi" w:hAnsiTheme="majorBidi" w:cstheme="majorBidi"/>
        </w:rPr>
        <w:t> </w:t>
      </w:r>
      <w:r w:rsidRPr="00257477">
        <w:rPr>
          <w:rFonts w:asciiTheme="majorBidi" w:hAnsiTheme="majorBidi" w:cstheme="majorBidi"/>
        </w:rPr>
        <w:t xml:space="preserve">apakšpunkts </w:t>
      </w:r>
      <w:r w:rsidR="00654860" w:rsidRPr="00257477">
        <w:rPr>
          <w:rFonts w:asciiTheme="majorBidi" w:hAnsiTheme="majorBidi" w:cstheme="majorBidi"/>
        </w:rPr>
        <w:t>nosaka</w:t>
      </w:r>
      <w:r w:rsidRPr="00257477">
        <w:rPr>
          <w:rFonts w:asciiTheme="majorBidi" w:hAnsiTheme="majorBidi" w:cstheme="majorBidi"/>
        </w:rPr>
        <w:t xml:space="preserve"> atbildētājas pienākumu kvalitatīvi īstenot attiecīgo projektu (izmantot tādas profesionāli atzītas vai attiecīgajā nozarē vispārpieņemtas darbības metodes, paņēmienus un praksi, kas nodrošina tā īstenošanu augstā kvalitātē, noteiktajos termiņos un atbilstoši projektā noteiktajam, sasniedzot projekta mērķus). </w:t>
      </w:r>
    </w:p>
    <w:p w14:paraId="3165D4E8" w14:textId="740A69A9" w:rsidR="001045F2" w:rsidRPr="00257477" w:rsidRDefault="009E4691" w:rsidP="00257477">
      <w:pPr>
        <w:spacing w:line="276" w:lineRule="auto"/>
        <w:ind w:firstLine="720"/>
        <w:jc w:val="both"/>
        <w:rPr>
          <w:rFonts w:asciiTheme="majorBidi" w:hAnsiTheme="majorBidi" w:cstheme="majorBidi"/>
        </w:rPr>
      </w:pPr>
      <w:r w:rsidRPr="00257477">
        <w:rPr>
          <w:rFonts w:asciiTheme="majorBidi" w:hAnsiTheme="majorBidi" w:cstheme="majorBidi"/>
        </w:rPr>
        <w:t>Līguma Nr. 2 nosacījumu 3.1.2.</w:t>
      </w:r>
      <w:r w:rsidR="00CB377C" w:rsidRPr="00257477">
        <w:rPr>
          <w:rFonts w:asciiTheme="majorBidi" w:hAnsiTheme="majorBidi" w:cstheme="majorBidi"/>
        </w:rPr>
        <w:t> </w:t>
      </w:r>
      <w:r w:rsidRPr="00257477">
        <w:rPr>
          <w:rFonts w:asciiTheme="majorBidi" w:hAnsiTheme="majorBidi" w:cstheme="majorBidi"/>
        </w:rPr>
        <w:t xml:space="preserve">apakšpunkts </w:t>
      </w:r>
      <w:r w:rsidR="00654860" w:rsidRPr="00257477">
        <w:rPr>
          <w:rFonts w:asciiTheme="majorBidi" w:hAnsiTheme="majorBidi" w:cstheme="majorBidi"/>
        </w:rPr>
        <w:t>nosaka</w:t>
      </w:r>
      <w:r w:rsidRPr="00257477">
        <w:rPr>
          <w:rFonts w:asciiTheme="majorBidi" w:hAnsiTheme="majorBidi" w:cstheme="majorBidi"/>
        </w:rPr>
        <w:t xml:space="preserve"> atbildētājas pienākumu kvalitatīvi īstenot attiecīgo projektu un nodrošināt tā ilgtspēju (izmantot tādas profesionāli atzītas vai attiecīgajā nozarē vispārpieņemtas darbības metodes, paņēmienus un praksi, kas nodrošina tā īstenošanu augstā kvalitātē, noteiktajos termiņos un atbilstoši projektā noteiktajam, sasniedzot projektā paredzētos finanšu rādītājus un mērķus). </w:t>
      </w:r>
    </w:p>
    <w:p w14:paraId="2AA59CA7" w14:textId="23A6FACC" w:rsidR="001045F2" w:rsidRPr="00257477" w:rsidRDefault="009E4691" w:rsidP="00257477">
      <w:pPr>
        <w:spacing w:line="276" w:lineRule="auto"/>
        <w:ind w:firstLine="720"/>
        <w:jc w:val="both"/>
        <w:rPr>
          <w:rFonts w:asciiTheme="majorBidi" w:hAnsiTheme="majorBidi" w:cstheme="majorBidi"/>
        </w:rPr>
      </w:pPr>
      <w:r w:rsidRPr="00257477">
        <w:rPr>
          <w:rFonts w:asciiTheme="majorBidi" w:hAnsiTheme="majorBidi" w:cstheme="majorBidi"/>
        </w:rPr>
        <w:t>[1.6.3]</w:t>
      </w:r>
      <w:r w:rsidR="005A5BE7" w:rsidRPr="00257477">
        <w:rPr>
          <w:rFonts w:asciiTheme="majorBidi" w:hAnsiTheme="majorBidi" w:cstheme="majorBidi"/>
        </w:rPr>
        <w:t> </w:t>
      </w:r>
      <w:r w:rsidRPr="00257477">
        <w:rPr>
          <w:rFonts w:asciiTheme="majorBidi" w:hAnsiTheme="majorBidi" w:cstheme="majorBidi"/>
        </w:rPr>
        <w:t>Atbilstoši līguma Nr. 1 nosacījumu 18.7.</w:t>
      </w:r>
      <w:r w:rsidR="00A00AC3" w:rsidRPr="00257477">
        <w:rPr>
          <w:rFonts w:asciiTheme="majorBidi" w:hAnsiTheme="majorBidi" w:cstheme="majorBidi"/>
        </w:rPr>
        <w:t> </w:t>
      </w:r>
      <w:r w:rsidRPr="00257477">
        <w:rPr>
          <w:rFonts w:asciiTheme="majorBidi" w:hAnsiTheme="majorBidi" w:cstheme="majorBidi"/>
        </w:rPr>
        <w:t>punktam un līguma Nr. 2</w:t>
      </w:r>
      <w:r w:rsidR="005A5BE7" w:rsidRPr="00257477">
        <w:rPr>
          <w:rFonts w:asciiTheme="majorBidi" w:hAnsiTheme="majorBidi" w:cstheme="majorBidi"/>
        </w:rPr>
        <w:t xml:space="preserve"> </w:t>
      </w:r>
      <w:r w:rsidRPr="00257477">
        <w:rPr>
          <w:rFonts w:asciiTheme="majorBidi" w:hAnsiTheme="majorBidi" w:cstheme="majorBidi"/>
        </w:rPr>
        <w:t>nosacījumu 17.1.</w:t>
      </w:r>
      <w:r w:rsidR="00A00AC3" w:rsidRPr="00257477">
        <w:rPr>
          <w:rFonts w:asciiTheme="majorBidi" w:hAnsiTheme="majorBidi" w:cstheme="majorBidi"/>
        </w:rPr>
        <w:t> </w:t>
      </w:r>
      <w:r w:rsidRPr="00257477">
        <w:rPr>
          <w:rFonts w:asciiTheme="majorBidi" w:hAnsiTheme="majorBidi" w:cstheme="majorBidi"/>
        </w:rPr>
        <w:t>punktam par attiecīgā līguma noteikumu daļēju vai pilnīgu neizpildīšanu puses uzņemas atbildību saskaņā ar līguma, Civillikuma un citu normatīvo aktu prasībām.</w:t>
      </w:r>
    </w:p>
    <w:p w14:paraId="2E777A60" w14:textId="1094CAE6" w:rsidR="001045F2" w:rsidRPr="00257477" w:rsidRDefault="009E4691" w:rsidP="00257477">
      <w:pPr>
        <w:spacing w:line="276" w:lineRule="auto"/>
        <w:ind w:firstLine="720"/>
        <w:jc w:val="both"/>
        <w:rPr>
          <w:rFonts w:asciiTheme="majorBidi" w:hAnsiTheme="majorBidi" w:cstheme="majorBidi"/>
        </w:rPr>
      </w:pPr>
      <w:r w:rsidRPr="00257477">
        <w:rPr>
          <w:rFonts w:asciiTheme="majorBidi" w:hAnsiTheme="majorBidi" w:cstheme="majorBidi"/>
        </w:rPr>
        <w:t>Ministru kabineta 2010.</w:t>
      </w:r>
      <w:r w:rsidR="00A00AC3" w:rsidRPr="00257477">
        <w:rPr>
          <w:rFonts w:asciiTheme="majorBidi" w:hAnsiTheme="majorBidi" w:cstheme="majorBidi"/>
        </w:rPr>
        <w:t> </w:t>
      </w:r>
      <w:r w:rsidRPr="00257477">
        <w:rPr>
          <w:rFonts w:asciiTheme="majorBidi" w:hAnsiTheme="majorBidi" w:cstheme="majorBidi"/>
        </w:rPr>
        <w:t>gada 10.</w:t>
      </w:r>
      <w:r w:rsidR="00A00AC3" w:rsidRPr="00257477">
        <w:rPr>
          <w:rFonts w:asciiTheme="majorBidi" w:hAnsiTheme="majorBidi" w:cstheme="majorBidi"/>
        </w:rPr>
        <w:t> </w:t>
      </w:r>
      <w:r w:rsidRPr="00257477">
        <w:rPr>
          <w:rFonts w:asciiTheme="majorBidi" w:hAnsiTheme="majorBidi" w:cstheme="majorBidi"/>
        </w:rPr>
        <w:t>augusta noteikumu Nr. 740 „Kārtība, kādā ziņo par Eiropas Savienības struktūrfondu un Kohēzijas fonda ieviešanā konstatētajām neatbilstībām, pieņem pārvaldes lēmumu par piešķirtā finansējuma izlietojumu un atgūst neatbilstošos izdevumus” (turpmāk – MK noteikumi Nr. 740) 6.</w:t>
      </w:r>
      <w:r w:rsidR="00A00AC3" w:rsidRPr="00257477">
        <w:rPr>
          <w:rFonts w:asciiTheme="majorBidi" w:hAnsiTheme="majorBidi" w:cstheme="majorBidi"/>
        </w:rPr>
        <w:t> </w:t>
      </w:r>
      <w:r w:rsidRPr="00257477">
        <w:rPr>
          <w:rFonts w:asciiTheme="majorBidi" w:hAnsiTheme="majorBidi" w:cstheme="majorBidi"/>
        </w:rPr>
        <w:t>punkts no</w:t>
      </w:r>
      <w:r w:rsidR="00A063A1" w:rsidRPr="00257477">
        <w:rPr>
          <w:rFonts w:asciiTheme="majorBidi" w:hAnsiTheme="majorBidi" w:cstheme="majorBidi"/>
        </w:rPr>
        <w:t>teic</w:t>
      </w:r>
      <w:r w:rsidRPr="00257477">
        <w:rPr>
          <w:rFonts w:asciiTheme="majorBidi" w:hAnsiTheme="majorBidi" w:cstheme="majorBidi"/>
        </w:rPr>
        <w:t xml:space="preserve">, ka līgumslēdzējs (prasītāja), ņemot vērā tā rīcībā esošo informāciju, pieņem lēmumu par </w:t>
      </w:r>
      <w:r w:rsidRPr="00257477">
        <w:rPr>
          <w:rFonts w:asciiTheme="majorBidi" w:hAnsiTheme="majorBidi" w:cstheme="majorBidi"/>
        </w:rPr>
        <w:lastRenderedPageBreak/>
        <w:t>neatbilstības konstatēšanu. Ja līgumslēdzējs, pieņemot minēto lēmumu, konstatē, ka neatbilstoši veikto izdevumu summu nav iespējams konkrēti noteikt vai būtu nesamērīgi samazināt projekta attiecināmo izmaksu summu par visu izdevumu summu, kas neatbilst normatīvo aktu un civiltiesiskā līguma par projekta īstenošanu nosacījumiem, līgumslēdzējs saskaņā ar vadošās iestādes izstrādātajām vadlīnijām par finanšu korekciju piemērošanu piemēro proporcionālo finanšu korekciju.</w:t>
      </w:r>
    </w:p>
    <w:p w14:paraId="389E8832" w14:textId="675CECAE" w:rsidR="001045F2" w:rsidRPr="00257477" w:rsidRDefault="009E4691" w:rsidP="00257477">
      <w:pPr>
        <w:spacing w:line="276" w:lineRule="auto"/>
        <w:ind w:firstLine="720"/>
        <w:jc w:val="both"/>
        <w:rPr>
          <w:rFonts w:asciiTheme="majorBidi" w:hAnsiTheme="majorBidi" w:cstheme="majorBidi"/>
        </w:rPr>
      </w:pPr>
      <w:r w:rsidRPr="00257477">
        <w:rPr>
          <w:rFonts w:asciiTheme="majorBidi" w:hAnsiTheme="majorBidi" w:cstheme="majorBidi"/>
        </w:rPr>
        <w:t xml:space="preserve">Atbilstoši MK noteikumu Nr. 740 </w:t>
      </w:r>
      <w:r w:rsidR="00A00AC3" w:rsidRPr="00257477">
        <w:rPr>
          <w:rFonts w:asciiTheme="majorBidi" w:hAnsiTheme="majorBidi" w:cstheme="majorBidi"/>
        </w:rPr>
        <w:t xml:space="preserve">2. punkta </w:t>
      </w:r>
      <w:r w:rsidRPr="00257477">
        <w:rPr>
          <w:rFonts w:asciiTheme="majorBidi" w:hAnsiTheme="majorBidi" w:cstheme="majorBidi"/>
        </w:rPr>
        <w:t>2.1.</w:t>
      </w:r>
      <w:r w:rsidR="00A00AC3" w:rsidRPr="00257477">
        <w:rPr>
          <w:rFonts w:asciiTheme="majorBidi" w:hAnsiTheme="majorBidi" w:cstheme="majorBidi"/>
        </w:rPr>
        <w:t> </w:t>
      </w:r>
      <w:r w:rsidRPr="00257477">
        <w:rPr>
          <w:rFonts w:asciiTheme="majorBidi" w:hAnsiTheme="majorBidi" w:cstheme="majorBidi"/>
        </w:rPr>
        <w:t xml:space="preserve">apakšpunktam jebkurš Eiropas Savienības fondu vadību reglamentējošā Latvijas Republikas vai Eiropas Savienības tiesību akta pārkāpums, kas atbilst </w:t>
      </w:r>
      <w:r w:rsidRPr="00257477">
        <w:rPr>
          <w:rFonts w:asciiTheme="majorBidi" w:hAnsiTheme="majorBidi" w:cstheme="majorBidi"/>
          <w:shd w:val="clear" w:color="auto" w:fill="FFFFFF"/>
        </w:rPr>
        <w:t>Padomes 2006.</w:t>
      </w:r>
      <w:r w:rsidR="00A00AC3" w:rsidRPr="00257477">
        <w:rPr>
          <w:rFonts w:asciiTheme="majorBidi" w:hAnsiTheme="majorBidi" w:cstheme="majorBidi"/>
          <w:shd w:val="clear" w:color="auto" w:fill="FFFFFF"/>
        </w:rPr>
        <w:t> </w:t>
      </w:r>
      <w:r w:rsidRPr="00257477">
        <w:rPr>
          <w:rFonts w:asciiTheme="majorBidi" w:hAnsiTheme="majorBidi" w:cstheme="majorBidi"/>
          <w:shd w:val="clear" w:color="auto" w:fill="FFFFFF"/>
        </w:rPr>
        <w:t>gada 11.</w:t>
      </w:r>
      <w:r w:rsidR="00A00AC3" w:rsidRPr="00257477">
        <w:rPr>
          <w:rFonts w:asciiTheme="majorBidi" w:hAnsiTheme="majorBidi" w:cstheme="majorBidi"/>
          <w:shd w:val="clear" w:color="auto" w:fill="FFFFFF"/>
        </w:rPr>
        <w:t> </w:t>
      </w:r>
      <w:r w:rsidRPr="00257477">
        <w:rPr>
          <w:rFonts w:asciiTheme="majorBidi" w:hAnsiTheme="majorBidi" w:cstheme="majorBidi"/>
          <w:shd w:val="clear" w:color="auto" w:fill="FFFFFF"/>
        </w:rPr>
        <w:t>jūlija Regulas Nr. 1083/2006, ar ko paredz vispārīgus noteikumus par Eiropas Reģionālās attīstības fondu, Eiropas Sociālo fondu un Kohēzijas fondu un atceļ Regulu (EK) Nr. 1260/1999</w:t>
      </w:r>
      <w:r w:rsidR="00A074CF" w:rsidRPr="00257477">
        <w:rPr>
          <w:rFonts w:asciiTheme="majorBidi" w:hAnsiTheme="majorBidi" w:cstheme="majorBidi"/>
          <w:shd w:val="clear" w:color="auto" w:fill="FFFFFF"/>
        </w:rPr>
        <w:t>,</w:t>
      </w:r>
      <w:r w:rsidRPr="00257477">
        <w:rPr>
          <w:rFonts w:asciiTheme="majorBidi" w:hAnsiTheme="majorBidi" w:cstheme="majorBidi"/>
        </w:rPr>
        <w:t xml:space="preserve"> (turpmāk – Regula</w:t>
      </w:r>
      <w:r w:rsidR="00C31ED0" w:rsidRPr="00257477">
        <w:rPr>
          <w:rFonts w:asciiTheme="majorBidi" w:hAnsiTheme="majorBidi" w:cstheme="majorBidi"/>
        </w:rPr>
        <w:t xml:space="preserve"> Nr. </w:t>
      </w:r>
      <w:r w:rsidRPr="00257477">
        <w:rPr>
          <w:rFonts w:asciiTheme="majorBidi" w:hAnsiTheme="majorBidi" w:cstheme="majorBidi"/>
        </w:rPr>
        <w:t>1083/2006) 2.</w:t>
      </w:r>
      <w:r w:rsidR="009D425C" w:rsidRPr="00257477">
        <w:rPr>
          <w:rFonts w:asciiTheme="majorBidi" w:hAnsiTheme="majorBidi" w:cstheme="majorBidi"/>
        </w:rPr>
        <w:t> </w:t>
      </w:r>
      <w:r w:rsidRPr="00257477">
        <w:rPr>
          <w:rFonts w:asciiTheme="majorBidi" w:hAnsiTheme="majorBidi" w:cstheme="majorBidi"/>
        </w:rPr>
        <w:t>panta 7.</w:t>
      </w:r>
      <w:r w:rsidR="009D425C" w:rsidRPr="00257477">
        <w:rPr>
          <w:rFonts w:asciiTheme="majorBidi" w:hAnsiTheme="majorBidi" w:cstheme="majorBidi"/>
        </w:rPr>
        <w:t> </w:t>
      </w:r>
      <w:r w:rsidRPr="00257477">
        <w:rPr>
          <w:rFonts w:asciiTheme="majorBidi" w:hAnsiTheme="majorBidi" w:cstheme="majorBidi"/>
        </w:rPr>
        <w:t>punktam, ir neatbilstība</w:t>
      </w:r>
      <w:r w:rsidR="009D425C" w:rsidRPr="00257477">
        <w:rPr>
          <w:rFonts w:asciiTheme="majorBidi" w:hAnsiTheme="majorBidi" w:cstheme="majorBidi"/>
        </w:rPr>
        <w:t>.</w:t>
      </w:r>
    </w:p>
    <w:p w14:paraId="6D4AB911" w14:textId="133DDA86" w:rsidR="001045F2" w:rsidRPr="00257477" w:rsidRDefault="00A063A1" w:rsidP="00257477">
      <w:pPr>
        <w:spacing w:line="276" w:lineRule="auto"/>
        <w:ind w:firstLine="720"/>
        <w:jc w:val="both"/>
        <w:rPr>
          <w:rFonts w:asciiTheme="majorBidi" w:hAnsiTheme="majorBidi" w:cstheme="majorBidi"/>
        </w:rPr>
      </w:pPr>
      <w:r w:rsidRPr="00257477">
        <w:rPr>
          <w:rFonts w:asciiTheme="majorBidi" w:hAnsiTheme="majorBidi" w:cstheme="majorBidi"/>
        </w:rPr>
        <w:t>Latvijas Republikas Finanšu ministrij</w:t>
      </w:r>
      <w:r w:rsidR="009D425C" w:rsidRPr="00257477">
        <w:rPr>
          <w:rFonts w:asciiTheme="majorBidi" w:hAnsiTheme="majorBidi" w:cstheme="majorBidi"/>
        </w:rPr>
        <w:t>a kā vadošā iestāde</w:t>
      </w:r>
      <w:r w:rsidRPr="00257477">
        <w:rPr>
          <w:rFonts w:asciiTheme="majorBidi" w:hAnsiTheme="majorBidi" w:cstheme="majorBidi"/>
        </w:rPr>
        <w:t xml:space="preserve"> 2014.</w:t>
      </w:r>
      <w:r w:rsidR="009D425C" w:rsidRPr="00257477">
        <w:rPr>
          <w:rFonts w:asciiTheme="majorBidi" w:hAnsiTheme="majorBidi" w:cstheme="majorBidi"/>
        </w:rPr>
        <w:t> </w:t>
      </w:r>
      <w:r w:rsidRPr="00257477">
        <w:rPr>
          <w:rFonts w:asciiTheme="majorBidi" w:hAnsiTheme="majorBidi" w:cstheme="majorBidi"/>
        </w:rPr>
        <w:t>gada 18.</w:t>
      </w:r>
      <w:r w:rsidR="009D425C" w:rsidRPr="00257477">
        <w:rPr>
          <w:rFonts w:asciiTheme="majorBidi" w:hAnsiTheme="majorBidi" w:cstheme="majorBidi"/>
        </w:rPr>
        <w:t> </w:t>
      </w:r>
      <w:r w:rsidRPr="00257477">
        <w:rPr>
          <w:rFonts w:asciiTheme="majorBidi" w:hAnsiTheme="majorBidi" w:cstheme="majorBidi"/>
        </w:rPr>
        <w:t xml:space="preserve">jūlijā </w:t>
      </w:r>
      <w:r w:rsidR="009D425C" w:rsidRPr="00257477">
        <w:rPr>
          <w:rFonts w:asciiTheme="majorBidi" w:hAnsiTheme="majorBidi" w:cstheme="majorBidi"/>
        </w:rPr>
        <w:t>apstiprinājusi</w:t>
      </w:r>
      <w:r w:rsidRPr="00257477">
        <w:rPr>
          <w:rFonts w:asciiTheme="majorBidi" w:hAnsiTheme="majorBidi" w:cstheme="majorBidi"/>
        </w:rPr>
        <w:t xml:space="preserve"> „Vadlīnijas par finanšu korekciju piemērošanu Eiropas Savienības struktūrfondu, Kohēzijas fonda, Eiropas Ekonomikas zonas finanšu instrumenta, Norvēģijas finanšu instrumenta, Latvijas un Šveices sadarbības programmas finansētajos projektos” (turpmāk – vadlīnijas).</w:t>
      </w:r>
      <w:r w:rsidR="009D425C" w:rsidRPr="00257477">
        <w:rPr>
          <w:rFonts w:asciiTheme="majorBidi" w:hAnsiTheme="majorBidi" w:cstheme="majorBidi"/>
        </w:rPr>
        <w:t xml:space="preserve"> </w:t>
      </w:r>
      <w:r w:rsidRPr="00257477">
        <w:rPr>
          <w:rFonts w:asciiTheme="majorBidi" w:hAnsiTheme="majorBidi" w:cstheme="majorBidi"/>
        </w:rPr>
        <w:t>Vadlīniju 1.4.</w:t>
      </w:r>
      <w:r w:rsidR="009D425C" w:rsidRPr="00257477">
        <w:rPr>
          <w:rFonts w:asciiTheme="majorBidi" w:hAnsiTheme="majorBidi" w:cstheme="majorBidi"/>
        </w:rPr>
        <w:t> </w:t>
      </w:r>
      <w:r w:rsidRPr="00257477">
        <w:rPr>
          <w:rFonts w:asciiTheme="majorBidi" w:hAnsiTheme="majorBidi" w:cstheme="majorBidi"/>
        </w:rPr>
        <w:t>punktā noteikts, ka gadījumos, kad neatbilstoši veikto izdevumu summu nav iespējams konkrēti noteikt vai būtu nesamērīgi samazināt projekta attiecināmo izmaksu summu par visu izdevumu summu, kas neatbilst normatīvo aktu un civiltiesiskā līguma par projekta īstenošanu nosacījumiem, piemēro proporcionālo finanšu korekciju saskaņā ar vadlīniju 2.</w:t>
      </w:r>
      <w:r w:rsidR="00FD6DBC" w:rsidRPr="00257477">
        <w:rPr>
          <w:rFonts w:asciiTheme="majorBidi" w:hAnsiTheme="majorBidi" w:cstheme="majorBidi"/>
        </w:rPr>
        <w:t> </w:t>
      </w:r>
      <w:r w:rsidRPr="00257477">
        <w:rPr>
          <w:rFonts w:asciiTheme="majorBidi" w:hAnsiTheme="majorBidi" w:cstheme="majorBidi"/>
        </w:rPr>
        <w:t>pielikumā iekļautajiem vispārīgajiem principiem. Savukārt vadlīniju 1.5.</w:t>
      </w:r>
      <w:r w:rsidR="00FD6DBC" w:rsidRPr="00257477">
        <w:rPr>
          <w:rFonts w:asciiTheme="majorBidi" w:hAnsiTheme="majorBidi" w:cstheme="majorBidi"/>
        </w:rPr>
        <w:t> </w:t>
      </w:r>
      <w:r w:rsidRPr="00257477">
        <w:rPr>
          <w:rFonts w:asciiTheme="majorBidi" w:hAnsiTheme="majorBidi" w:cstheme="majorBidi"/>
        </w:rPr>
        <w:t>punktā noteikts, ka finanšu korekciju piemēro projekta attiecināmajām izmaksām.</w:t>
      </w:r>
    </w:p>
    <w:p w14:paraId="66AABB88" w14:textId="4B5FE00C" w:rsidR="001045F2" w:rsidRPr="00257477" w:rsidRDefault="009E4691" w:rsidP="00257477">
      <w:pPr>
        <w:spacing w:line="276" w:lineRule="auto"/>
        <w:ind w:firstLine="720"/>
        <w:jc w:val="both"/>
        <w:rPr>
          <w:rFonts w:asciiTheme="majorBidi" w:hAnsiTheme="majorBidi" w:cstheme="majorBidi"/>
        </w:rPr>
      </w:pPr>
      <w:r w:rsidRPr="00257477">
        <w:rPr>
          <w:rFonts w:asciiTheme="majorBidi" w:hAnsiTheme="majorBidi" w:cstheme="majorBidi"/>
        </w:rPr>
        <w:t>[1.7] Atbildētājas saistības neaprobežojas tikai ar iekārtu iegādi un to uzstādīšanu. Būtisks nosacījums sekmīgai projektu realizācijai un līgumsaistību izpildei ir projekta Nr. 1 iesniegumā ietverto rādītāju un projekta Nr. 2 biznesa plānā izvirzīto rādītāju  sasniegšana.</w:t>
      </w:r>
    </w:p>
    <w:p w14:paraId="3EE94213" w14:textId="179A36DD" w:rsidR="001045F2" w:rsidRPr="00257477" w:rsidRDefault="009E4691" w:rsidP="00257477">
      <w:pPr>
        <w:spacing w:line="276" w:lineRule="auto"/>
        <w:ind w:firstLine="720"/>
        <w:jc w:val="both"/>
        <w:rPr>
          <w:rFonts w:asciiTheme="majorBidi" w:hAnsiTheme="majorBidi" w:cstheme="majorBidi"/>
        </w:rPr>
      </w:pPr>
      <w:r w:rsidRPr="00257477">
        <w:rPr>
          <w:rFonts w:asciiTheme="majorBidi" w:hAnsiTheme="majorBidi" w:cstheme="majorBidi"/>
        </w:rPr>
        <w:t>Projekta Nr. 1 iesniegumā un projekta Nr.</w:t>
      </w:r>
      <w:r w:rsidR="00CB377C" w:rsidRPr="00257477">
        <w:rPr>
          <w:rFonts w:asciiTheme="majorBidi" w:hAnsiTheme="majorBidi" w:cstheme="majorBidi"/>
        </w:rPr>
        <w:t> </w:t>
      </w:r>
      <w:r w:rsidRPr="00257477">
        <w:rPr>
          <w:rFonts w:asciiTheme="majorBidi" w:hAnsiTheme="majorBidi" w:cstheme="majorBidi"/>
        </w:rPr>
        <w:t>2 biznesa plānā ietvertos rezultatīvos rādītājus atbildētāja ir sasniegusi daļēji.</w:t>
      </w:r>
    </w:p>
    <w:p w14:paraId="15989B70" w14:textId="6B03D603" w:rsidR="001045F2" w:rsidRPr="00257477" w:rsidRDefault="009E4691" w:rsidP="00257477">
      <w:pPr>
        <w:spacing w:line="276" w:lineRule="auto"/>
        <w:ind w:firstLine="720"/>
        <w:jc w:val="both"/>
        <w:rPr>
          <w:rFonts w:asciiTheme="majorBidi" w:hAnsiTheme="majorBidi" w:cstheme="majorBidi"/>
        </w:rPr>
      </w:pPr>
      <w:r w:rsidRPr="00257477">
        <w:rPr>
          <w:rFonts w:asciiTheme="majorBidi" w:hAnsiTheme="majorBidi" w:cstheme="majorBidi"/>
        </w:rPr>
        <w:t xml:space="preserve">Abu projektu uzraudzības laikā atbildētāja daļēji ir spējusi nodrošināt saimniecisko darbību ar projektu ietvaros iegādātajām iekārtām attiecīgajā projektā paredzētajā apjomā. Projektā Nr. 1 faktiskais apgrozījums no </w:t>
      </w:r>
      <w:r w:rsidR="00F73ADC" w:rsidRPr="00257477">
        <w:rPr>
          <w:rFonts w:asciiTheme="majorBidi" w:hAnsiTheme="majorBidi" w:cstheme="majorBidi"/>
        </w:rPr>
        <w:t>„</w:t>
      </w:r>
      <w:proofErr w:type="spellStart"/>
      <w:r w:rsidR="00F73ADC" w:rsidRPr="00257477">
        <w:rPr>
          <w:rFonts w:asciiTheme="majorBidi" w:hAnsiTheme="majorBidi" w:cstheme="majorBidi"/>
        </w:rPr>
        <w:t>Izoprok</w:t>
      </w:r>
      <w:proofErr w:type="spellEnd"/>
      <w:r w:rsidR="00F73ADC" w:rsidRPr="00257477">
        <w:rPr>
          <w:rFonts w:asciiTheme="majorBidi" w:hAnsiTheme="majorBidi" w:cstheme="majorBidi"/>
        </w:rPr>
        <w:t xml:space="preserve">” </w:t>
      </w:r>
      <w:r w:rsidRPr="00257477">
        <w:rPr>
          <w:rFonts w:asciiTheme="majorBidi" w:hAnsiTheme="majorBidi" w:cstheme="majorBidi"/>
        </w:rPr>
        <w:t>realizācijas 2017.</w:t>
      </w:r>
      <w:r w:rsidR="00405140" w:rsidRPr="00257477">
        <w:rPr>
          <w:rFonts w:asciiTheme="majorBidi" w:hAnsiTheme="majorBidi" w:cstheme="majorBidi"/>
        </w:rPr>
        <w:t> </w:t>
      </w:r>
      <w:r w:rsidRPr="00257477">
        <w:rPr>
          <w:rFonts w:asciiTheme="majorBidi" w:hAnsiTheme="majorBidi" w:cstheme="majorBidi"/>
        </w:rPr>
        <w:t>gadā bija 3,9 % no paredzētā un 2018.</w:t>
      </w:r>
      <w:r w:rsidR="00CB377C" w:rsidRPr="00257477">
        <w:rPr>
          <w:rFonts w:asciiTheme="majorBidi" w:hAnsiTheme="majorBidi" w:cstheme="majorBidi"/>
        </w:rPr>
        <w:t> </w:t>
      </w:r>
      <w:r w:rsidRPr="00257477">
        <w:rPr>
          <w:rFonts w:asciiTheme="majorBidi" w:hAnsiTheme="majorBidi" w:cstheme="majorBidi"/>
        </w:rPr>
        <w:t>gadā</w:t>
      </w:r>
      <w:r w:rsidR="00CB377C" w:rsidRPr="00257477">
        <w:rPr>
          <w:rFonts w:asciiTheme="majorBidi" w:hAnsiTheme="majorBidi" w:cstheme="majorBidi"/>
        </w:rPr>
        <w:t xml:space="preserve"> – </w:t>
      </w:r>
      <w:r w:rsidRPr="00257477">
        <w:rPr>
          <w:rFonts w:asciiTheme="majorBidi" w:hAnsiTheme="majorBidi" w:cstheme="majorBidi"/>
        </w:rPr>
        <w:t xml:space="preserve">0,31 % no paredzētā. Projektā Nr. 2 faktiskais apgrozījums no </w:t>
      </w:r>
      <w:r w:rsidR="00F73ADC" w:rsidRPr="00257477">
        <w:rPr>
          <w:rFonts w:asciiTheme="majorBidi" w:hAnsiTheme="majorBidi" w:cstheme="majorBidi"/>
        </w:rPr>
        <w:t>„</w:t>
      </w:r>
      <w:proofErr w:type="spellStart"/>
      <w:r w:rsidR="00F73ADC" w:rsidRPr="00257477">
        <w:rPr>
          <w:rFonts w:asciiTheme="majorBidi" w:hAnsiTheme="majorBidi" w:cstheme="majorBidi"/>
        </w:rPr>
        <w:t>Isopearl</w:t>
      </w:r>
      <w:proofErr w:type="spellEnd"/>
      <w:r w:rsidR="00F73ADC" w:rsidRPr="00257477">
        <w:rPr>
          <w:rFonts w:asciiTheme="majorBidi" w:hAnsiTheme="majorBidi" w:cstheme="majorBidi"/>
        </w:rPr>
        <w:t xml:space="preserve">” </w:t>
      </w:r>
      <w:r w:rsidRPr="00257477">
        <w:rPr>
          <w:rFonts w:asciiTheme="majorBidi" w:hAnsiTheme="majorBidi" w:cstheme="majorBidi"/>
        </w:rPr>
        <w:t>realizācijas 2017.</w:t>
      </w:r>
      <w:r w:rsidR="00CB377C" w:rsidRPr="00257477">
        <w:rPr>
          <w:rFonts w:asciiTheme="majorBidi" w:hAnsiTheme="majorBidi" w:cstheme="majorBidi"/>
        </w:rPr>
        <w:t> </w:t>
      </w:r>
      <w:r w:rsidRPr="00257477">
        <w:rPr>
          <w:rFonts w:asciiTheme="majorBidi" w:hAnsiTheme="majorBidi" w:cstheme="majorBidi"/>
        </w:rPr>
        <w:t>gadā bija 4,01</w:t>
      </w:r>
      <w:r w:rsidR="005A5BE7" w:rsidRPr="00257477">
        <w:rPr>
          <w:rFonts w:asciiTheme="majorBidi" w:hAnsiTheme="majorBidi" w:cstheme="majorBidi"/>
        </w:rPr>
        <w:t> </w:t>
      </w:r>
      <w:r w:rsidRPr="00257477">
        <w:rPr>
          <w:rFonts w:asciiTheme="majorBidi" w:hAnsiTheme="majorBidi" w:cstheme="majorBidi"/>
        </w:rPr>
        <w:t>% no paredzētā un 2018.</w:t>
      </w:r>
      <w:r w:rsidR="00405140" w:rsidRPr="00257477">
        <w:rPr>
          <w:rFonts w:asciiTheme="majorBidi" w:hAnsiTheme="majorBidi" w:cstheme="majorBidi"/>
        </w:rPr>
        <w:t> </w:t>
      </w:r>
      <w:r w:rsidRPr="00257477">
        <w:rPr>
          <w:rFonts w:asciiTheme="majorBidi" w:hAnsiTheme="majorBidi" w:cstheme="majorBidi"/>
        </w:rPr>
        <w:t>gadā – 0,32</w:t>
      </w:r>
      <w:r w:rsidR="005A5BE7" w:rsidRPr="00257477">
        <w:rPr>
          <w:rFonts w:asciiTheme="majorBidi" w:hAnsiTheme="majorBidi" w:cstheme="majorBidi"/>
        </w:rPr>
        <w:t> </w:t>
      </w:r>
      <w:r w:rsidRPr="00257477">
        <w:rPr>
          <w:rFonts w:asciiTheme="majorBidi" w:hAnsiTheme="majorBidi" w:cstheme="majorBidi"/>
        </w:rPr>
        <w:t>% no projekt</w:t>
      </w:r>
      <w:r w:rsidR="00A063A1" w:rsidRPr="00257477">
        <w:rPr>
          <w:rFonts w:asciiTheme="majorBidi" w:hAnsiTheme="majorBidi" w:cstheme="majorBidi"/>
        </w:rPr>
        <w:t>ā</w:t>
      </w:r>
      <w:r w:rsidRPr="00257477">
        <w:rPr>
          <w:rFonts w:asciiTheme="majorBidi" w:hAnsiTheme="majorBidi" w:cstheme="majorBidi"/>
        </w:rPr>
        <w:t xml:space="preserve"> paredzētā. Atbildētāja 2016.</w:t>
      </w:r>
      <w:r w:rsidR="00405140" w:rsidRPr="00257477">
        <w:rPr>
          <w:rFonts w:asciiTheme="majorBidi" w:hAnsiTheme="majorBidi" w:cstheme="majorBidi"/>
        </w:rPr>
        <w:t> </w:t>
      </w:r>
      <w:r w:rsidRPr="00257477">
        <w:rPr>
          <w:rFonts w:asciiTheme="majorBidi" w:hAnsiTheme="majorBidi" w:cstheme="majorBidi"/>
        </w:rPr>
        <w:t xml:space="preserve">gadā veica </w:t>
      </w:r>
      <w:r w:rsidR="00F73ADC" w:rsidRPr="00257477">
        <w:rPr>
          <w:rFonts w:asciiTheme="majorBidi" w:hAnsiTheme="majorBidi" w:cstheme="majorBidi"/>
        </w:rPr>
        <w:t>„</w:t>
      </w:r>
      <w:proofErr w:type="spellStart"/>
      <w:r w:rsidR="00F73ADC" w:rsidRPr="00257477">
        <w:rPr>
          <w:rFonts w:asciiTheme="majorBidi" w:hAnsiTheme="majorBidi" w:cstheme="majorBidi"/>
        </w:rPr>
        <w:t>Isopearl</w:t>
      </w:r>
      <w:proofErr w:type="spellEnd"/>
      <w:r w:rsidR="00F73ADC" w:rsidRPr="00257477">
        <w:rPr>
          <w:rFonts w:asciiTheme="majorBidi" w:hAnsiTheme="majorBidi" w:cstheme="majorBidi"/>
        </w:rPr>
        <w:t xml:space="preserve">” </w:t>
      </w:r>
      <w:r w:rsidRPr="00257477">
        <w:rPr>
          <w:rFonts w:asciiTheme="majorBidi" w:hAnsiTheme="majorBidi" w:cstheme="majorBidi"/>
        </w:rPr>
        <w:t>eksporta darījumus par kopsummu 4290 </w:t>
      </w:r>
      <w:proofErr w:type="spellStart"/>
      <w:r w:rsidR="00976997" w:rsidRPr="00257477">
        <w:rPr>
          <w:rFonts w:asciiTheme="majorBidi" w:hAnsiTheme="majorBidi" w:cstheme="majorBidi"/>
          <w:i/>
          <w:iCs/>
        </w:rPr>
        <w:t>euro</w:t>
      </w:r>
      <w:proofErr w:type="spellEnd"/>
      <w:r w:rsidRPr="00257477">
        <w:rPr>
          <w:rFonts w:asciiTheme="majorBidi" w:hAnsiTheme="majorBidi" w:cstheme="majorBidi"/>
        </w:rPr>
        <w:t>, bet 2017. un 2018.</w:t>
      </w:r>
      <w:r w:rsidR="00405140" w:rsidRPr="00257477">
        <w:rPr>
          <w:rFonts w:asciiTheme="majorBidi" w:hAnsiTheme="majorBidi" w:cstheme="majorBidi"/>
        </w:rPr>
        <w:t> </w:t>
      </w:r>
      <w:r w:rsidRPr="00257477">
        <w:rPr>
          <w:rFonts w:asciiTheme="majorBidi" w:hAnsiTheme="majorBidi" w:cstheme="majorBidi"/>
        </w:rPr>
        <w:t xml:space="preserve">gadā </w:t>
      </w:r>
      <w:r w:rsidR="00405140" w:rsidRPr="00257477">
        <w:rPr>
          <w:rFonts w:asciiTheme="majorBidi" w:hAnsiTheme="majorBidi" w:cstheme="majorBidi"/>
        </w:rPr>
        <w:t xml:space="preserve">eksporta darījumi </w:t>
      </w:r>
      <w:r w:rsidRPr="00257477">
        <w:rPr>
          <w:rFonts w:asciiTheme="majorBidi" w:hAnsiTheme="majorBidi" w:cstheme="majorBidi"/>
        </w:rPr>
        <w:t>n</w:t>
      </w:r>
      <w:r w:rsidR="00A063A1" w:rsidRPr="00257477">
        <w:rPr>
          <w:rFonts w:asciiTheme="majorBidi" w:hAnsiTheme="majorBidi" w:cstheme="majorBidi"/>
        </w:rPr>
        <w:t xml:space="preserve">etika </w:t>
      </w:r>
      <w:r w:rsidRPr="00257477">
        <w:rPr>
          <w:rFonts w:asciiTheme="majorBidi" w:hAnsiTheme="majorBidi" w:cstheme="majorBidi"/>
        </w:rPr>
        <w:t>veikti.</w:t>
      </w:r>
    </w:p>
    <w:p w14:paraId="1A8FC492" w14:textId="1474F7C2" w:rsidR="001045F2" w:rsidRPr="00257477" w:rsidRDefault="009E4691" w:rsidP="00257477">
      <w:pPr>
        <w:spacing w:line="276" w:lineRule="auto"/>
        <w:ind w:firstLine="720"/>
        <w:jc w:val="both"/>
        <w:rPr>
          <w:rFonts w:asciiTheme="majorBidi" w:hAnsiTheme="majorBidi" w:cstheme="majorBidi"/>
        </w:rPr>
      </w:pPr>
      <w:r w:rsidRPr="00257477">
        <w:rPr>
          <w:rFonts w:asciiTheme="majorBidi" w:hAnsiTheme="majorBidi" w:cstheme="majorBidi"/>
        </w:rPr>
        <w:t>Līdz ar to atbildētāja nav izpildījusi līguma Nr. 1 nosacījumu 3.1.1.</w:t>
      </w:r>
      <w:r w:rsidR="00405140" w:rsidRPr="00257477">
        <w:rPr>
          <w:rFonts w:asciiTheme="majorBidi" w:hAnsiTheme="majorBidi" w:cstheme="majorBidi"/>
        </w:rPr>
        <w:t> </w:t>
      </w:r>
      <w:r w:rsidRPr="00257477">
        <w:rPr>
          <w:rFonts w:asciiTheme="majorBidi" w:hAnsiTheme="majorBidi" w:cstheme="majorBidi"/>
        </w:rPr>
        <w:t>apakšpunktā un līguma Nr. 2 nosacījumu 3.1.2.</w:t>
      </w:r>
      <w:r w:rsidR="00405140" w:rsidRPr="00257477">
        <w:rPr>
          <w:rFonts w:asciiTheme="majorBidi" w:hAnsiTheme="majorBidi" w:cstheme="majorBidi"/>
        </w:rPr>
        <w:t> </w:t>
      </w:r>
      <w:r w:rsidRPr="00257477">
        <w:rPr>
          <w:rFonts w:asciiTheme="majorBidi" w:hAnsiTheme="majorBidi" w:cstheme="majorBidi"/>
        </w:rPr>
        <w:t>apakšpunktā paredzēto pienākumu kvalitatīvi īstenot attiecīgo projektu.</w:t>
      </w:r>
    </w:p>
    <w:p w14:paraId="1874E750" w14:textId="7BECF3FE" w:rsidR="001045F2" w:rsidRPr="00257477" w:rsidRDefault="009E4691" w:rsidP="00257477">
      <w:pPr>
        <w:spacing w:line="276" w:lineRule="auto"/>
        <w:ind w:firstLine="720"/>
        <w:jc w:val="both"/>
        <w:rPr>
          <w:rFonts w:asciiTheme="majorBidi" w:hAnsiTheme="majorBidi" w:cstheme="majorBidi"/>
        </w:rPr>
      </w:pPr>
      <w:r w:rsidRPr="00257477">
        <w:rPr>
          <w:rFonts w:asciiTheme="majorBidi" w:hAnsiTheme="majorBidi" w:cstheme="majorBidi"/>
        </w:rPr>
        <w:t>[1.8]</w:t>
      </w:r>
      <w:r w:rsidR="005A5BE7" w:rsidRPr="00257477">
        <w:rPr>
          <w:rFonts w:asciiTheme="majorBidi" w:hAnsiTheme="majorBidi" w:cstheme="majorBidi"/>
        </w:rPr>
        <w:t> </w:t>
      </w:r>
      <w:r w:rsidRPr="00257477">
        <w:rPr>
          <w:rFonts w:asciiTheme="majorBidi" w:hAnsiTheme="majorBidi" w:cstheme="majorBidi"/>
        </w:rPr>
        <w:t>Abu projektu uzraudzības periods, kurā bija jāsasniedz noteikti finanšu r</w:t>
      </w:r>
      <w:r w:rsidR="00F73ADC" w:rsidRPr="00257477">
        <w:rPr>
          <w:rFonts w:asciiTheme="majorBidi" w:hAnsiTheme="majorBidi" w:cstheme="majorBidi"/>
        </w:rPr>
        <w:t>ā</w:t>
      </w:r>
      <w:r w:rsidRPr="00257477">
        <w:rPr>
          <w:rFonts w:asciiTheme="majorBidi" w:hAnsiTheme="majorBidi" w:cstheme="majorBidi"/>
        </w:rPr>
        <w:t>dītāji, ir noslēdzies, un normatīvie akti neparedz iespēju pagarināt projektu uzraudzības periodu un iespēju atbildētājai pilnībā paturēt atbalsta finansējumu.</w:t>
      </w:r>
    </w:p>
    <w:p w14:paraId="57DAAC79" w14:textId="02FF576A" w:rsidR="001045F2" w:rsidRPr="00257477" w:rsidRDefault="009E4691" w:rsidP="00257477">
      <w:pPr>
        <w:spacing w:line="276" w:lineRule="auto"/>
        <w:ind w:firstLine="720"/>
        <w:jc w:val="both"/>
        <w:rPr>
          <w:rFonts w:asciiTheme="majorBidi" w:hAnsiTheme="majorBidi" w:cstheme="majorBidi"/>
        </w:rPr>
      </w:pPr>
      <w:r w:rsidRPr="00257477">
        <w:rPr>
          <w:rFonts w:asciiTheme="majorBidi" w:hAnsiTheme="majorBidi" w:cstheme="majorBidi"/>
        </w:rPr>
        <w:t xml:space="preserve">Abu projektu mērķis – ieviest ražošanā jaunus produktus – ir īstenots, bet uzraudzības perioda pirmajā un otrajā gadā sasniegtais apgrozījums no jauno produktu realizācijas nav sasniedzis izvirzītos rezultatīvos rādītājus (plānoto apgrozījuma un </w:t>
      </w:r>
      <w:r w:rsidRPr="00257477">
        <w:rPr>
          <w:rFonts w:asciiTheme="majorBidi" w:hAnsiTheme="majorBidi" w:cstheme="majorBidi"/>
        </w:rPr>
        <w:lastRenderedPageBreak/>
        <w:t xml:space="preserve">eksporta darījumu apmēru). Projektu īstenošanu ietekmējuši ārēji apstākļi, </w:t>
      </w:r>
      <w:r w:rsidR="009104EA" w:rsidRPr="00257477">
        <w:rPr>
          <w:rFonts w:asciiTheme="majorBidi" w:hAnsiTheme="majorBidi" w:cstheme="majorBidi"/>
        </w:rPr>
        <w:t xml:space="preserve">uz ko </w:t>
      </w:r>
      <w:r w:rsidRPr="00257477">
        <w:rPr>
          <w:rFonts w:asciiTheme="majorBidi" w:hAnsiTheme="majorBidi" w:cstheme="majorBidi"/>
        </w:rPr>
        <w:t xml:space="preserve">atbildētāja </w:t>
      </w:r>
      <w:r w:rsidR="009104EA" w:rsidRPr="00257477">
        <w:rPr>
          <w:rFonts w:asciiTheme="majorBidi" w:hAnsiTheme="majorBidi" w:cstheme="majorBidi"/>
        </w:rPr>
        <w:t xml:space="preserve">norādījusi </w:t>
      </w:r>
      <w:r w:rsidRPr="00257477">
        <w:rPr>
          <w:rFonts w:asciiTheme="majorBidi" w:hAnsiTheme="majorBidi" w:cstheme="majorBidi"/>
        </w:rPr>
        <w:t xml:space="preserve">savos </w:t>
      </w:r>
      <w:r w:rsidR="009104EA" w:rsidRPr="00257477">
        <w:rPr>
          <w:rFonts w:asciiTheme="majorBidi" w:hAnsiTheme="majorBidi" w:cstheme="majorBidi"/>
        </w:rPr>
        <w:t>pa</w:t>
      </w:r>
      <w:r w:rsidRPr="00257477">
        <w:rPr>
          <w:rFonts w:asciiTheme="majorBidi" w:hAnsiTheme="majorBidi" w:cstheme="majorBidi"/>
        </w:rPr>
        <w:t xml:space="preserve">skaidrojumos. </w:t>
      </w:r>
    </w:p>
    <w:p w14:paraId="4D6D0984" w14:textId="0D526E1B" w:rsidR="001045F2" w:rsidRPr="00257477" w:rsidRDefault="00405140" w:rsidP="00257477">
      <w:pPr>
        <w:spacing w:line="276" w:lineRule="auto"/>
        <w:ind w:firstLine="720"/>
        <w:jc w:val="both"/>
        <w:rPr>
          <w:rFonts w:asciiTheme="majorBidi" w:hAnsiTheme="majorBidi" w:cstheme="majorBidi"/>
        </w:rPr>
      </w:pPr>
      <w:r w:rsidRPr="00257477">
        <w:rPr>
          <w:rFonts w:asciiTheme="majorBidi" w:hAnsiTheme="majorBidi" w:cstheme="majorBidi"/>
        </w:rPr>
        <w:t>Ievērojot atbildētāj</w:t>
      </w:r>
      <w:r w:rsidR="00E4617D" w:rsidRPr="00257477">
        <w:rPr>
          <w:rFonts w:asciiTheme="majorBidi" w:hAnsiTheme="majorBidi" w:cstheme="majorBidi"/>
        </w:rPr>
        <w:t>a</w:t>
      </w:r>
      <w:r w:rsidRPr="00257477">
        <w:rPr>
          <w:rFonts w:asciiTheme="majorBidi" w:hAnsiTheme="majorBidi" w:cstheme="majorBidi"/>
        </w:rPr>
        <w:t>s centienus uzlabot saimniecisko darbību, būtu nesamērīgi samazināt projekta attiecināmo izmaksu summu par visu izdevumu summu. Tādēļ ir piemērojams vadlīniju 2. pielikuma 6. punkta „b”</w:t>
      </w:r>
      <w:r w:rsidR="005A5BE7" w:rsidRPr="00257477">
        <w:rPr>
          <w:rFonts w:asciiTheme="majorBidi" w:hAnsiTheme="majorBidi" w:cstheme="majorBidi"/>
        </w:rPr>
        <w:t> </w:t>
      </w:r>
      <w:r w:rsidRPr="00257477">
        <w:rPr>
          <w:rFonts w:asciiTheme="majorBidi" w:hAnsiTheme="majorBidi" w:cstheme="majorBidi"/>
        </w:rPr>
        <w:t>apakšpunkts, kas paredz finanšu korekcijas piemērošanu, ja projekta mērķis kopumā tiek sasniegts, bet iznākuma un rezultatīvie rādītāji tiek sasniegti tikai daļēji, kā rezultātā jāvērtē nesasniegto rādītāju būtiskums un ietekme uz projekta mērķa sasniegšanu. Ja novirze ir 25</w:t>
      </w:r>
      <w:r w:rsidR="00CB377C" w:rsidRPr="00257477">
        <w:rPr>
          <w:rFonts w:asciiTheme="majorBidi" w:hAnsiTheme="majorBidi" w:cstheme="majorBidi"/>
        </w:rPr>
        <w:t> </w:t>
      </w:r>
      <w:r w:rsidRPr="00257477">
        <w:rPr>
          <w:rFonts w:asciiTheme="majorBidi" w:hAnsiTheme="majorBidi" w:cstheme="majorBidi"/>
        </w:rPr>
        <w:t>% un vairāk, kā tas ir attiecībā uz abu projektu faktiskajiem rādītājiem, finanšu korekcija tiek piemērota 25 % apmērā.</w:t>
      </w:r>
    </w:p>
    <w:p w14:paraId="4EA2D1A0" w14:textId="3D9D4448" w:rsidR="001045F2" w:rsidRPr="00257477" w:rsidRDefault="00405140" w:rsidP="00257477">
      <w:pPr>
        <w:spacing w:line="276" w:lineRule="auto"/>
        <w:ind w:firstLine="720"/>
        <w:jc w:val="both"/>
        <w:rPr>
          <w:rFonts w:asciiTheme="majorBidi" w:hAnsiTheme="majorBidi" w:cstheme="majorBidi"/>
        </w:rPr>
      </w:pPr>
      <w:r w:rsidRPr="00257477">
        <w:rPr>
          <w:rFonts w:asciiTheme="majorBidi" w:hAnsiTheme="majorBidi" w:cstheme="majorBidi"/>
        </w:rPr>
        <w:t>Līdz ar to projektam Nr.</w:t>
      </w:r>
      <w:r w:rsidR="005A5BE7" w:rsidRPr="00257477">
        <w:rPr>
          <w:rFonts w:asciiTheme="majorBidi" w:hAnsiTheme="majorBidi" w:cstheme="majorBidi"/>
        </w:rPr>
        <w:t> </w:t>
      </w:r>
      <w:r w:rsidRPr="00257477">
        <w:rPr>
          <w:rFonts w:asciiTheme="majorBidi" w:hAnsiTheme="majorBidi" w:cstheme="majorBidi"/>
        </w:rPr>
        <w:t>1 finanšu korekcija 25</w:t>
      </w:r>
      <w:r w:rsidR="00CB377C" w:rsidRPr="00257477">
        <w:rPr>
          <w:rFonts w:asciiTheme="majorBidi" w:hAnsiTheme="majorBidi" w:cstheme="majorBidi"/>
        </w:rPr>
        <w:t> </w:t>
      </w:r>
      <w:r w:rsidRPr="00257477">
        <w:rPr>
          <w:rFonts w:asciiTheme="majorBidi" w:hAnsiTheme="majorBidi" w:cstheme="majorBidi"/>
        </w:rPr>
        <w:t>% no attiecināmajām izmaksām (409 166,71</w:t>
      </w:r>
      <w:r w:rsidR="005A5BE7" w:rsidRPr="00257477">
        <w:rPr>
          <w:rFonts w:asciiTheme="majorBidi" w:hAnsiTheme="majorBidi" w:cstheme="majorBidi"/>
        </w:rPr>
        <w:t> </w:t>
      </w:r>
      <w:proofErr w:type="spellStart"/>
      <w:r w:rsidR="00976997" w:rsidRPr="00257477">
        <w:rPr>
          <w:rFonts w:asciiTheme="majorBidi" w:hAnsiTheme="majorBidi" w:cstheme="majorBidi"/>
          <w:i/>
          <w:iCs/>
        </w:rPr>
        <w:t>euro</w:t>
      </w:r>
      <w:proofErr w:type="spellEnd"/>
      <w:r w:rsidRPr="00257477">
        <w:rPr>
          <w:rFonts w:asciiTheme="majorBidi" w:hAnsiTheme="majorBidi" w:cstheme="majorBidi"/>
        </w:rPr>
        <w:t>) ir 102 291,67 </w:t>
      </w:r>
      <w:proofErr w:type="spellStart"/>
      <w:r w:rsidR="00976997" w:rsidRPr="00257477">
        <w:rPr>
          <w:rFonts w:asciiTheme="majorBidi" w:hAnsiTheme="majorBidi" w:cstheme="majorBidi"/>
          <w:i/>
          <w:iCs/>
        </w:rPr>
        <w:t>euro</w:t>
      </w:r>
      <w:proofErr w:type="spellEnd"/>
      <w:r w:rsidRPr="00257477">
        <w:rPr>
          <w:rFonts w:asciiTheme="majorBidi" w:hAnsiTheme="majorBidi" w:cstheme="majorBidi"/>
        </w:rPr>
        <w:t>, bet, ņemot vērā attiecināmajām izmaksām piemērojamo atbalsta finansējuma intensitāti 50 %, atbildētājas atmaksājamais atbalsta finansējums ir 51 145,83 </w:t>
      </w:r>
      <w:proofErr w:type="spellStart"/>
      <w:r w:rsidR="00976997" w:rsidRPr="00257477">
        <w:rPr>
          <w:rFonts w:asciiTheme="majorBidi" w:hAnsiTheme="majorBidi" w:cstheme="majorBidi"/>
          <w:i/>
          <w:iCs/>
        </w:rPr>
        <w:t>euro</w:t>
      </w:r>
      <w:proofErr w:type="spellEnd"/>
      <w:r w:rsidRPr="00257477">
        <w:rPr>
          <w:rFonts w:asciiTheme="majorBidi" w:hAnsiTheme="majorBidi" w:cstheme="majorBidi"/>
        </w:rPr>
        <w:t>. Savukārt projektam Nr. 2 finanšu korekcija 25 % no attiecināmajām izmaksām ilgtermiņa ieguldījumu iegādei (526 450 </w:t>
      </w:r>
      <w:proofErr w:type="spellStart"/>
      <w:r w:rsidR="00976997" w:rsidRPr="00257477">
        <w:rPr>
          <w:rFonts w:asciiTheme="majorBidi" w:hAnsiTheme="majorBidi" w:cstheme="majorBidi"/>
          <w:i/>
          <w:iCs/>
        </w:rPr>
        <w:t>euro</w:t>
      </w:r>
      <w:proofErr w:type="spellEnd"/>
      <w:r w:rsidRPr="00257477">
        <w:rPr>
          <w:rFonts w:asciiTheme="majorBidi" w:hAnsiTheme="majorBidi" w:cstheme="majorBidi"/>
        </w:rPr>
        <w:t>) ir 131 612,50</w:t>
      </w:r>
      <w:r w:rsidR="00A063A1" w:rsidRPr="00257477">
        <w:rPr>
          <w:rFonts w:asciiTheme="majorBidi" w:hAnsiTheme="majorBidi" w:cstheme="majorBidi"/>
        </w:rPr>
        <w:t> </w:t>
      </w:r>
      <w:proofErr w:type="spellStart"/>
      <w:r w:rsidR="00976997" w:rsidRPr="00257477">
        <w:rPr>
          <w:rFonts w:asciiTheme="majorBidi" w:hAnsiTheme="majorBidi" w:cstheme="majorBidi"/>
          <w:i/>
          <w:iCs/>
        </w:rPr>
        <w:t>euro</w:t>
      </w:r>
      <w:proofErr w:type="spellEnd"/>
      <w:r w:rsidRPr="00257477">
        <w:rPr>
          <w:rFonts w:asciiTheme="majorBidi" w:hAnsiTheme="majorBidi" w:cstheme="majorBidi"/>
        </w:rPr>
        <w:t>, bet, ņemot vērā attiecināmajām izmaksām piemērojamo atbalsta finansējuma intensitāti 45 %, atbildētājas atmaksājamais atbalsta finansējums ir 59 225,62</w:t>
      </w:r>
      <w:r w:rsidR="00A063A1" w:rsidRPr="00257477">
        <w:rPr>
          <w:rFonts w:asciiTheme="majorBidi" w:hAnsiTheme="majorBidi" w:cstheme="majorBidi"/>
        </w:rPr>
        <w:t> </w:t>
      </w:r>
      <w:proofErr w:type="spellStart"/>
      <w:r w:rsidR="00976997" w:rsidRPr="00257477">
        <w:rPr>
          <w:rFonts w:asciiTheme="majorBidi" w:hAnsiTheme="majorBidi" w:cstheme="majorBidi"/>
          <w:i/>
          <w:iCs/>
        </w:rPr>
        <w:t>euro</w:t>
      </w:r>
      <w:proofErr w:type="spellEnd"/>
      <w:r w:rsidRPr="00257477">
        <w:rPr>
          <w:rFonts w:asciiTheme="majorBidi" w:hAnsiTheme="majorBidi" w:cstheme="majorBidi"/>
        </w:rPr>
        <w:t>.</w:t>
      </w:r>
      <w:r w:rsidR="005A5BE7" w:rsidRPr="00257477">
        <w:rPr>
          <w:rFonts w:asciiTheme="majorBidi" w:hAnsiTheme="majorBidi" w:cstheme="majorBidi"/>
        </w:rPr>
        <w:t xml:space="preserve"> </w:t>
      </w:r>
      <w:r w:rsidRPr="00257477">
        <w:rPr>
          <w:rFonts w:asciiTheme="majorBidi" w:hAnsiTheme="majorBidi" w:cstheme="majorBidi"/>
        </w:rPr>
        <w:t>Savukārt finanšu korekcija 25 % no attiecināmajām izmaksām kredītiestādes garantijas izmaksu segšanai (1021,06</w:t>
      </w:r>
      <w:r w:rsidR="005A5BE7" w:rsidRPr="00257477">
        <w:rPr>
          <w:rFonts w:asciiTheme="majorBidi" w:hAnsiTheme="majorBidi" w:cstheme="majorBidi"/>
        </w:rPr>
        <w:t> </w:t>
      </w:r>
      <w:proofErr w:type="spellStart"/>
      <w:r w:rsidR="00976997" w:rsidRPr="00257477">
        <w:rPr>
          <w:rFonts w:asciiTheme="majorBidi" w:hAnsiTheme="majorBidi" w:cstheme="majorBidi"/>
          <w:i/>
          <w:iCs/>
        </w:rPr>
        <w:t>euro</w:t>
      </w:r>
      <w:proofErr w:type="spellEnd"/>
      <w:r w:rsidRPr="00257477">
        <w:rPr>
          <w:rFonts w:asciiTheme="majorBidi" w:hAnsiTheme="majorBidi" w:cstheme="majorBidi"/>
        </w:rPr>
        <w:t>) ir 255,27</w:t>
      </w:r>
      <w:r w:rsidR="005A5BE7" w:rsidRPr="00257477">
        <w:rPr>
          <w:rFonts w:asciiTheme="majorBidi" w:hAnsiTheme="majorBidi" w:cstheme="majorBidi"/>
        </w:rPr>
        <w:t> </w:t>
      </w:r>
      <w:proofErr w:type="spellStart"/>
      <w:r w:rsidR="00976997" w:rsidRPr="00257477">
        <w:rPr>
          <w:rFonts w:asciiTheme="majorBidi" w:hAnsiTheme="majorBidi" w:cstheme="majorBidi"/>
          <w:i/>
          <w:iCs/>
        </w:rPr>
        <w:t>euro</w:t>
      </w:r>
      <w:proofErr w:type="spellEnd"/>
      <w:r w:rsidRPr="00257477">
        <w:rPr>
          <w:rFonts w:asciiTheme="majorBidi" w:hAnsiTheme="majorBidi" w:cstheme="majorBidi"/>
        </w:rPr>
        <w:t xml:space="preserve"> (atbalsta finansējuma intensitāte 100 %). Tādējādi atbildētājas kopējais atmaksājamais atbalsta finansējums projektā Nr. 2 ir 59 480,88</w:t>
      </w:r>
      <w:r w:rsidR="005A5BE7" w:rsidRPr="00257477">
        <w:rPr>
          <w:rFonts w:asciiTheme="majorBidi" w:hAnsiTheme="majorBidi" w:cstheme="majorBidi"/>
        </w:rPr>
        <w:t> </w:t>
      </w:r>
      <w:proofErr w:type="spellStart"/>
      <w:r w:rsidR="00976997" w:rsidRPr="00257477">
        <w:rPr>
          <w:rFonts w:asciiTheme="majorBidi" w:hAnsiTheme="majorBidi" w:cstheme="majorBidi"/>
          <w:i/>
          <w:iCs/>
        </w:rPr>
        <w:t>euro</w:t>
      </w:r>
      <w:proofErr w:type="spellEnd"/>
      <w:r w:rsidRPr="00257477">
        <w:rPr>
          <w:rFonts w:asciiTheme="majorBidi" w:hAnsiTheme="majorBidi" w:cstheme="majorBidi"/>
        </w:rPr>
        <w:t>.</w:t>
      </w:r>
    </w:p>
    <w:p w14:paraId="5750C6A8" w14:textId="2C000AF1" w:rsidR="001045F2" w:rsidRPr="00257477" w:rsidRDefault="009E4691" w:rsidP="00257477">
      <w:pPr>
        <w:spacing w:line="276" w:lineRule="auto"/>
        <w:ind w:firstLine="720"/>
        <w:jc w:val="both"/>
        <w:rPr>
          <w:rFonts w:asciiTheme="majorBidi" w:hAnsiTheme="majorBidi" w:cstheme="majorBidi"/>
        </w:rPr>
      </w:pPr>
      <w:r w:rsidRPr="00257477">
        <w:rPr>
          <w:rFonts w:asciiTheme="majorBidi" w:hAnsiTheme="majorBidi" w:cstheme="majorBidi"/>
        </w:rPr>
        <w:t>[1.9]</w:t>
      </w:r>
      <w:r w:rsidR="005A5BE7" w:rsidRPr="00257477">
        <w:rPr>
          <w:rFonts w:asciiTheme="majorBidi" w:hAnsiTheme="majorBidi" w:cstheme="majorBidi"/>
        </w:rPr>
        <w:t> </w:t>
      </w:r>
      <w:r w:rsidRPr="00257477">
        <w:rPr>
          <w:rFonts w:asciiTheme="majorBidi" w:hAnsiTheme="majorBidi" w:cstheme="majorBidi"/>
        </w:rPr>
        <w:t>Pamatojoties uz līguma Nr. 1 nosacījumu 4.2.3. un 3.1.20.</w:t>
      </w:r>
      <w:r w:rsidR="00405140" w:rsidRPr="00257477">
        <w:rPr>
          <w:rFonts w:asciiTheme="majorBidi" w:hAnsiTheme="majorBidi" w:cstheme="majorBidi"/>
        </w:rPr>
        <w:t> </w:t>
      </w:r>
      <w:r w:rsidRPr="00257477">
        <w:rPr>
          <w:rFonts w:asciiTheme="majorBidi" w:hAnsiTheme="majorBidi" w:cstheme="majorBidi"/>
        </w:rPr>
        <w:t>apakšpunktu un līguma Nr. 2 nosacījumu 4.2.5. un 3.1.16.</w:t>
      </w:r>
      <w:r w:rsidR="00405140" w:rsidRPr="00257477">
        <w:rPr>
          <w:rFonts w:asciiTheme="majorBidi" w:hAnsiTheme="majorBidi" w:cstheme="majorBidi"/>
        </w:rPr>
        <w:t> </w:t>
      </w:r>
      <w:r w:rsidRPr="00257477">
        <w:rPr>
          <w:rFonts w:asciiTheme="majorBidi" w:hAnsiTheme="majorBidi" w:cstheme="majorBidi"/>
        </w:rPr>
        <w:t>apakšpunktu, prasītājai ir tiesības atgūt no atbildētājas pārmaksāto vai nepamatoti samaksāto atbalsta finansējumu, ja ir notikusi atbalsta finansējuma pārmaksa vai nepamatota izmaksa, savukārt atbildētājai ir pienākums veikt atmaksu prasītājai 10 darba dienu laikā pēc attiecīga pieprasījuma saņemšanas vai vienoties ar prasītāju par neatbilstoši veikto izdevumu atmaksas grafiku.</w:t>
      </w:r>
    </w:p>
    <w:p w14:paraId="50E20B93" w14:textId="3C0879FD" w:rsidR="001045F2" w:rsidRPr="00257477" w:rsidRDefault="009E4691" w:rsidP="00257477">
      <w:pPr>
        <w:spacing w:line="276" w:lineRule="auto"/>
        <w:ind w:firstLine="720"/>
        <w:jc w:val="both"/>
        <w:rPr>
          <w:rFonts w:asciiTheme="majorBidi" w:hAnsiTheme="majorBidi" w:cstheme="majorBidi"/>
        </w:rPr>
      </w:pPr>
      <w:r w:rsidRPr="00257477">
        <w:rPr>
          <w:rFonts w:asciiTheme="majorBidi" w:hAnsiTheme="majorBidi" w:cstheme="majorBidi"/>
        </w:rPr>
        <w:t>Prasītāja 2020.</w:t>
      </w:r>
      <w:r w:rsidR="00CB377C" w:rsidRPr="00257477">
        <w:rPr>
          <w:rFonts w:asciiTheme="majorBidi" w:hAnsiTheme="majorBidi" w:cstheme="majorBidi"/>
        </w:rPr>
        <w:t> </w:t>
      </w:r>
      <w:r w:rsidRPr="00257477">
        <w:rPr>
          <w:rFonts w:asciiTheme="majorBidi" w:hAnsiTheme="majorBidi" w:cstheme="majorBidi"/>
        </w:rPr>
        <w:t>gada 2.</w:t>
      </w:r>
      <w:r w:rsidR="00CB377C" w:rsidRPr="00257477">
        <w:rPr>
          <w:rFonts w:asciiTheme="majorBidi" w:hAnsiTheme="majorBidi" w:cstheme="majorBidi"/>
        </w:rPr>
        <w:t> </w:t>
      </w:r>
      <w:r w:rsidRPr="00257477">
        <w:rPr>
          <w:rFonts w:asciiTheme="majorBidi" w:hAnsiTheme="majorBidi" w:cstheme="majorBidi"/>
        </w:rPr>
        <w:t xml:space="preserve">aprīlī nosūtīja atbildētājai vēstuli „Par finanšu korekcijas piemērošanu”, </w:t>
      </w:r>
      <w:r w:rsidR="00642420" w:rsidRPr="00257477">
        <w:rPr>
          <w:rFonts w:asciiTheme="majorBidi" w:hAnsiTheme="majorBidi" w:cstheme="majorBidi"/>
        </w:rPr>
        <w:t xml:space="preserve">kurā </w:t>
      </w:r>
      <w:r w:rsidRPr="00257477">
        <w:rPr>
          <w:rFonts w:asciiTheme="majorBidi" w:hAnsiTheme="majorBidi" w:cstheme="majorBidi"/>
        </w:rPr>
        <w:t>lūdz 60 darba dienu laikā no vēstules saņemšanas dienas atmaksāt prasītājai projekta Nr. 1 ietvaros neatbilstoši veiktos izdevumus 51 145,83 </w:t>
      </w:r>
      <w:proofErr w:type="spellStart"/>
      <w:r w:rsidR="00976997" w:rsidRPr="00257477">
        <w:rPr>
          <w:rFonts w:asciiTheme="majorBidi" w:hAnsiTheme="majorBidi" w:cstheme="majorBidi"/>
          <w:i/>
          <w:iCs/>
        </w:rPr>
        <w:t>euro</w:t>
      </w:r>
      <w:proofErr w:type="spellEnd"/>
      <w:r w:rsidRPr="00257477">
        <w:rPr>
          <w:rFonts w:asciiTheme="majorBidi" w:hAnsiTheme="majorBidi" w:cstheme="majorBidi"/>
        </w:rPr>
        <w:t xml:space="preserve"> un projekta Nr. 2 ietvaros neatbilstoši veiktos izdevumus 59 480,89 </w:t>
      </w:r>
      <w:proofErr w:type="spellStart"/>
      <w:r w:rsidR="00976997" w:rsidRPr="00257477">
        <w:rPr>
          <w:rFonts w:asciiTheme="majorBidi" w:hAnsiTheme="majorBidi" w:cstheme="majorBidi"/>
          <w:i/>
          <w:iCs/>
        </w:rPr>
        <w:t>euro</w:t>
      </w:r>
      <w:proofErr w:type="spellEnd"/>
      <w:r w:rsidRPr="00257477">
        <w:rPr>
          <w:rFonts w:asciiTheme="majorBidi" w:hAnsiTheme="majorBidi" w:cstheme="majorBidi"/>
        </w:rPr>
        <w:t>, kopā 110 626,72 </w:t>
      </w:r>
      <w:proofErr w:type="spellStart"/>
      <w:r w:rsidR="00976997" w:rsidRPr="00257477">
        <w:rPr>
          <w:rFonts w:asciiTheme="majorBidi" w:hAnsiTheme="majorBidi" w:cstheme="majorBidi"/>
          <w:i/>
          <w:iCs/>
        </w:rPr>
        <w:t>euro</w:t>
      </w:r>
      <w:proofErr w:type="spellEnd"/>
      <w:r w:rsidRPr="00257477">
        <w:rPr>
          <w:rFonts w:asciiTheme="majorBidi" w:hAnsiTheme="majorBidi" w:cstheme="majorBidi"/>
        </w:rPr>
        <w:t xml:space="preserve"> vai piedāvāt neatbilstoši veikto izdevumu atmaksas kalendāro grafiku.</w:t>
      </w:r>
    </w:p>
    <w:p w14:paraId="0AE2D980" w14:textId="3E39EAC3" w:rsidR="001045F2" w:rsidRPr="00257477" w:rsidRDefault="009E4691" w:rsidP="00257477">
      <w:pPr>
        <w:spacing w:line="276" w:lineRule="auto"/>
        <w:ind w:firstLine="720"/>
        <w:jc w:val="both"/>
        <w:rPr>
          <w:rFonts w:asciiTheme="majorBidi" w:hAnsiTheme="majorBidi" w:cstheme="majorBidi"/>
        </w:rPr>
      </w:pPr>
      <w:r w:rsidRPr="00257477">
        <w:rPr>
          <w:rFonts w:asciiTheme="majorBidi" w:hAnsiTheme="majorBidi" w:cstheme="majorBidi"/>
        </w:rPr>
        <w:t>Atbildētāja noteiktajā termiņā neatbilstoši veiktos izdevumus</w:t>
      </w:r>
      <w:r w:rsidR="00642420" w:rsidRPr="00257477">
        <w:rPr>
          <w:rFonts w:asciiTheme="majorBidi" w:hAnsiTheme="majorBidi" w:cstheme="majorBidi"/>
        </w:rPr>
        <w:t xml:space="preserve"> nav atmaksājusi</w:t>
      </w:r>
      <w:r w:rsidRPr="00257477">
        <w:rPr>
          <w:rFonts w:asciiTheme="majorBidi" w:hAnsiTheme="majorBidi" w:cstheme="majorBidi"/>
        </w:rPr>
        <w:t>, nav iesniegusi atmaksas kalendāro grafiku vai iebildumus, tādēļ ir pamats piedzīt no atbildētājas prasītājas labā neatbilstoši veiktos izdevumus 110 626,72</w:t>
      </w:r>
      <w:r w:rsidR="005A5BE7" w:rsidRPr="00257477">
        <w:rPr>
          <w:rFonts w:asciiTheme="majorBidi" w:hAnsiTheme="majorBidi" w:cstheme="majorBidi"/>
        </w:rPr>
        <w:t> </w:t>
      </w:r>
      <w:proofErr w:type="spellStart"/>
      <w:r w:rsidR="00976997" w:rsidRPr="00257477">
        <w:rPr>
          <w:rFonts w:asciiTheme="majorBidi" w:hAnsiTheme="majorBidi" w:cstheme="majorBidi"/>
          <w:i/>
          <w:iCs/>
        </w:rPr>
        <w:t>euro</w:t>
      </w:r>
      <w:proofErr w:type="spellEnd"/>
      <w:r w:rsidRPr="00257477">
        <w:rPr>
          <w:rFonts w:asciiTheme="majorBidi" w:hAnsiTheme="majorBidi" w:cstheme="majorBidi"/>
        </w:rPr>
        <w:t>.</w:t>
      </w:r>
    </w:p>
    <w:p w14:paraId="3BBEC7D6" w14:textId="52481369" w:rsidR="001045F2" w:rsidRPr="00257477" w:rsidRDefault="009E4691" w:rsidP="00257477">
      <w:pPr>
        <w:spacing w:line="276" w:lineRule="auto"/>
        <w:ind w:firstLine="720"/>
        <w:jc w:val="both"/>
        <w:rPr>
          <w:rFonts w:asciiTheme="majorBidi" w:hAnsiTheme="majorBidi" w:cstheme="majorBidi"/>
        </w:rPr>
      </w:pPr>
      <w:r w:rsidRPr="00257477">
        <w:rPr>
          <w:rFonts w:asciiTheme="majorBidi" w:hAnsiTheme="majorBidi" w:cstheme="majorBidi"/>
        </w:rPr>
        <w:t>[1.10] Saskaņā ar līgum</w:t>
      </w:r>
      <w:r w:rsidR="00405140" w:rsidRPr="00257477">
        <w:rPr>
          <w:rFonts w:asciiTheme="majorBidi" w:hAnsiTheme="majorBidi" w:cstheme="majorBidi"/>
        </w:rPr>
        <w:t>a Nr. 1</w:t>
      </w:r>
      <w:r w:rsidRPr="00257477">
        <w:rPr>
          <w:rFonts w:asciiTheme="majorBidi" w:hAnsiTheme="majorBidi" w:cstheme="majorBidi"/>
        </w:rPr>
        <w:t xml:space="preserve"> nosacījumu</w:t>
      </w:r>
      <w:r w:rsidR="00405140" w:rsidRPr="00257477">
        <w:rPr>
          <w:rFonts w:asciiTheme="majorBidi" w:hAnsiTheme="majorBidi" w:cstheme="majorBidi"/>
        </w:rPr>
        <w:t xml:space="preserve"> 18.2. punktu un līguma Nr. 2 nosacījumu</w:t>
      </w:r>
      <w:r w:rsidRPr="00257477">
        <w:rPr>
          <w:rFonts w:asciiTheme="majorBidi" w:hAnsiTheme="majorBidi" w:cstheme="majorBidi"/>
        </w:rPr>
        <w:t xml:space="preserve"> 17.3.</w:t>
      </w:r>
      <w:r w:rsidR="00405140" w:rsidRPr="00257477">
        <w:rPr>
          <w:rFonts w:asciiTheme="majorBidi" w:hAnsiTheme="majorBidi" w:cstheme="majorBidi"/>
        </w:rPr>
        <w:t> </w:t>
      </w:r>
      <w:r w:rsidRPr="00257477">
        <w:rPr>
          <w:rFonts w:asciiTheme="majorBidi" w:hAnsiTheme="majorBidi" w:cstheme="majorBidi"/>
        </w:rPr>
        <w:t xml:space="preserve">punktu neatbilstoši veikto izdevumu atmaksāšanas kavējuma gadījumā prasītāja var lemt </w:t>
      </w:r>
      <w:r w:rsidR="00642420" w:rsidRPr="00257477">
        <w:rPr>
          <w:rFonts w:asciiTheme="majorBidi" w:hAnsiTheme="majorBidi" w:cstheme="majorBidi"/>
        </w:rPr>
        <w:t xml:space="preserve">atbildētājai piemērot </w:t>
      </w:r>
      <w:r w:rsidRPr="00257477">
        <w:rPr>
          <w:rFonts w:asciiTheme="majorBidi" w:hAnsiTheme="majorBidi" w:cstheme="majorBidi"/>
        </w:rPr>
        <w:t>nokavējuma procentu</w:t>
      </w:r>
      <w:r w:rsidR="00642420" w:rsidRPr="00257477">
        <w:rPr>
          <w:rFonts w:asciiTheme="majorBidi" w:hAnsiTheme="majorBidi" w:cstheme="majorBidi"/>
        </w:rPr>
        <w:t>s –</w:t>
      </w:r>
      <w:r w:rsidRPr="00257477">
        <w:rPr>
          <w:rFonts w:asciiTheme="majorBidi" w:hAnsiTheme="majorBidi" w:cstheme="majorBidi"/>
        </w:rPr>
        <w:t xml:space="preserve"> 0,1 % apmērā no neatmaksātās summas par katru nokavēto maksājuma dienu</w:t>
      </w:r>
      <w:r w:rsidR="00642420" w:rsidRPr="00257477">
        <w:rPr>
          <w:rFonts w:asciiTheme="majorBidi" w:hAnsiTheme="majorBidi" w:cstheme="majorBidi"/>
        </w:rPr>
        <w:t>.</w:t>
      </w:r>
      <w:r w:rsidRPr="00257477">
        <w:rPr>
          <w:rFonts w:asciiTheme="majorBidi" w:hAnsiTheme="majorBidi" w:cstheme="majorBidi"/>
        </w:rPr>
        <w:t xml:space="preserve"> </w:t>
      </w:r>
    </w:p>
    <w:p w14:paraId="21052965" w14:textId="750A4499" w:rsidR="001045F2" w:rsidRPr="00257477" w:rsidRDefault="009E4691" w:rsidP="00257477">
      <w:pPr>
        <w:spacing w:line="276" w:lineRule="auto"/>
        <w:ind w:firstLine="720"/>
        <w:jc w:val="both"/>
        <w:rPr>
          <w:rFonts w:asciiTheme="majorBidi" w:hAnsiTheme="majorBidi" w:cstheme="majorBidi"/>
        </w:rPr>
      </w:pPr>
      <w:r w:rsidRPr="00257477">
        <w:rPr>
          <w:rFonts w:asciiTheme="majorBidi" w:hAnsiTheme="majorBidi" w:cstheme="majorBidi"/>
        </w:rPr>
        <w:t>Tā kā neatbilstoši veiktie izdevumi nav atmaksāti, atbildētājai par samaksas kavējumu jāmaksā nokavējuma procenti 32</w:t>
      </w:r>
      <w:r w:rsidR="00CB377C" w:rsidRPr="00257477">
        <w:rPr>
          <w:rFonts w:asciiTheme="majorBidi" w:hAnsiTheme="majorBidi" w:cstheme="majorBidi"/>
        </w:rPr>
        <w:t> </w:t>
      </w:r>
      <w:r w:rsidRPr="00257477">
        <w:rPr>
          <w:rFonts w:asciiTheme="majorBidi" w:hAnsiTheme="majorBidi" w:cstheme="majorBidi"/>
        </w:rPr>
        <w:t>603,06</w:t>
      </w:r>
      <w:r w:rsidR="005A5BE7" w:rsidRPr="00257477">
        <w:rPr>
          <w:rFonts w:asciiTheme="majorBidi" w:hAnsiTheme="majorBidi" w:cstheme="majorBidi"/>
        </w:rPr>
        <w:t> </w:t>
      </w:r>
      <w:proofErr w:type="spellStart"/>
      <w:r w:rsidR="00976997" w:rsidRPr="00257477">
        <w:rPr>
          <w:rFonts w:asciiTheme="majorBidi" w:hAnsiTheme="majorBidi" w:cstheme="majorBidi"/>
          <w:i/>
          <w:iCs/>
        </w:rPr>
        <w:t>euro</w:t>
      </w:r>
      <w:proofErr w:type="spellEnd"/>
      <w:r w:rsidRPr="00257477">
        <w:rPr>
          <w:rFonts w:asciiTheme="majorBidi" w:hAnsiTheme="majorBidi" w:cstheme="majorBidi"/>
        </w:rPr>
        <w:t>.</w:t>
      </w:r>
    </w:p>
    <w:p w14:paraId="5E11DA90" w14:textId="37F94AE2" w:rsidR="001045F2" w:rsidRPr="00257477" w:rsidRDefault="009E4691" w:rsidP="00257477">
      <w:pPr>
        <w:spacing w:line="276" w:lineRule="auto"/>
        <w:ind w:firstLine="720"/>
        <w:jc w:val="both"/>
        <w:rPr>
          <w:rFonts w:asciiTheme="majorBidi" w:hAnsiTheme="majorBidi" w:cstheme="majorBidi"/>
        </w:rPr>
      </w:pPr>
      <w:r w:rsidRPr="00257477">
        <w:rPr>
          <w:rFonts w:asciiTheme="majorBidi" w:hAnsiTheme="majorBidi" w:cstheme="majorBidi"/>
        </w:rPr>
        <w:t>[1.11] Prasība pamatota ar Eiropas Savienības struktūrfondu un Kohēzijas fonda vadības likuma 15.</w:t>
      </w:r>
      <w:r w:rsidR="00405140" w:rsidRPr="00257477">
        <w:rPr>
          <w:rFonts w:asciiTheme="majorBidi" w:hAnsiTheme="majorBidi" w:cstheme="majorBidi"/>
        </w:rPr>
        <w:t> </w:t>
      </w:r>
      <w:r w:rsidRPr="00257477">
        <w:rPr>
          <w:rFonts w:asciiTheme="majorBidi" w:hAnsiTheme="majorBidi" w:cstheme="majorBidi"/>
        </w:rPr>
        <w:t>panta otrās daļas 1.</w:t>
      </w:r>
      <w:r w:rsidR="00405140" w:rsidRPr="00257477">
        <w:rPr>
          <w:rFonts w:asciiTheme="majorBidi" w:hAnsiTheme="majorBidi" w:cstheme="majorBidi"/>
        </w:rPr>
        <w:t> </w:t>
      </w:r>
      <w:r w:rsidRPr="00257477">
        <w:rPr>
          <w:rFonts w:asciiTheme="majorBidi" w:hAnsiTheme="majorBidi" w:cstheme="majorBidi"/>
        </w:rPr>
        <w:t>punktu, Ministru kabineta 2009.</w:t>
      </w:r>
      <w:r w:rsidR="00405140" w:rsidRPr="00257477">
        <w:rPr>
          <w:rFonts w:asciiTheme="majorBidi" w:hAnsiTheme="majorBidi" w:cstheme="majorBidi"/>
        </w:rPr>
        <w:t> </w:t>
      </w:r>
      <w:r w:rsidRPr="00257477">
        <w:rPr>
          <w:rFonts w:asciiTheme="majorBidi" w:hAnsiTheme="majorBidi" w:cstheme="majorBidi"/>
        </w:rPr>
        <w:t>gada 24.</w:t>
      </w:r>
      <w:r w:rsidR="00405140" w:rsidRPr="00257477">
        <w:rPr>
          <w:rFonts w:asciiTheme="majorBidi" w:hAnsiTheme="majorBidi" w:cstheme="majorBidi"/>
        </w:rPr>
        <w:t xml:space="preserve"> </w:t>
      </w:r>
      <w:r w:rsidRPr="00257477">
        <w:rPr>
          <w:rFonts w:asciiTheme="majorBidi" w:hAnsiTheme="majorBidi" w:cstheme="majorBidi"/>
        </w:rPr>
        <w:t>februāra noteikumu Nr. 197 „Noteikumi par darbības programmas „Uzņēmējdarbība un inovācijas” papildinājuma 2.3.2.2.1.</w:t>
      </w:r>
      <w:r w:rsidR="00405140" w:rsidRPr="00257477">
        <w:rPr>
          <w:rFonts w:asciiTheme="majorBidi" w:hAnsiTheme="majorBidi" w:cstheme="majorBidi"/>
        </w:rPr>
        <w:t> </w:t>
      </w:r>
      <w:proofErr w:type="spellStart"/>
      <w:r w:rsidRPr="00257477">
        <w:rPr>
          <w:rFonts w:asciiTheme="majorBidi" w:hAnsiTheme="majorBidi" w:cstheme="majorBidi"/>
        </w:rPr>
        <w:t>apakšaktivitāti</w:t>
      </w:r>
      <w:proofErr w:type="spellEnd"/>
      <w:r w:rsidRPr="00257477">
        <w:rPr>
          <w:rFonts w:asciiTheme="majorBidi" w:hAnsiTheme="majorBidi" w:cstheme="majorBidi"/>
        </w:rPr>
        <w:t xml:space="preserve"> „Atbalsts ieguldījumiem mikro, maziem un vidējiem komersantiem īpaši atbalstāmajās teritorijās””</w:t>
      </w:r>
      <w:r w:rsidR="004B7511" w:rsidRPr="00257477">
        <w:rPr>
          <w:rFonts w:asciiTheme="majorBidi" w:hAnsiTheme="majorBidi" w:cstheme="majorBidi"/>
        </w:rPr>
        <w:t xml:space="preserve"> (turpmāk – MK </w:t>
      </w:r>
      <w:r w:rsidR="004B7511" w:rsidRPr="00257477">
        <w:rPr>
          <w:rFonts w:asciiTheme="majorBidi" w:hAnsiTheme="majorBidi" w:cstheme="majorBidi"/>
        </w:rPr>
        <w:lastRenderedPageBreak/>
        <w:t xml:space="preserve">noteikumi Nr. 197) </w:t>
      </w:r>
      <w:r w:rsidRPr="00257477">
        <w:rPr>
          <w:rFonts w:asciiTheme="majorBidi" w:hAnsiTheme="majorBidi" w:cstheme="majorBidi"/>
        </w:rPr>
        <w:t>3.</w:t>
      </w:r>
      <w:r w:rsidR="004B7511" w:rsidRPr="00257477">
        <w:rPr>
          <w:rFonts w:asciiTheme="majorBidi" w:hAnsiTheme="majorBidi" w:cstheme="majorBidi"/>
        </w:rPr>
        <w:t> </w:t>
      </w:r>
      <w:r w:rsidRPr="00257477">
        <w:rPr>
          <w:rFonts w:asciiTheme="majorBidi" w:hAnsiTheme="majorBidi" w:cstheme="majorBidi"/>
        </w:rPr>
        <w:t xml:space="preserve">punktu, </w:t>
      </w:r>
      <w:r w:rsidR="004B7511" w:rsidRPr="00257477">
        <w:rPr>
          <w:rFonts w:asciiTheme="majorBidi" w:hAnsiTheme="majorBidi" w:cstheme="majorBidi"/>
        </w:rPr>
        <w:t xml:space="preserve">Ministru kabineta </w:t>
      </w:r>
      <w:r w:rsidRPr="00257477">
        <w:rPr>
          <w:rFonts w:asciiTheme="majorBidi" w:hAnsiTheme="majorBidi" w:cstheme="majorBidi"/>
        </w:rPr>
        <w:t>2011.</w:t>
      </w:r>
      <w:r w:rsidR="004B7511" w:rsidRPr="00257477">
        <w:rPr>
          <w:rFonts w:asciiTheme="majorBidi" w:hAnsiTheme="majorBidi" w:cstheme="majorBidi"/>
        </w:rPr>
        <w:t> </w:t>
      </w:r>
      <w:r w:rsidRPr="00257477">
        <w:rPr>
          <w:rFonts w:asciiTheme="majorBidi" w:hAnsiTheme="majorBidi" w:cstheme="majorBidi"/>
        </w:rPr>
        <w:t>gada 19.</w:t>
      </w:r>
      <w:r w:rsidR="004B7511" w:rsidRPr="00257477">
        <w:rPr>
          <w:rFonts w:asciiTheme="majorBidi" w:hAnsiTheme="majorBidi" w:cstheme="majorBidi"/>
        </w:rPr>
        <w:t> </w:t>
      </w:r>
      <w:r w:rsidRPr="00257477">
        <w:rPr>
          <w:rFonts w:asciiTheme="majorBidi" w:hAnsiTheme="majorBidi" w:cstheme="majorBidi"/>
        </w:rPr>
        <w:t>oktobra noteikumu Nr.</w:t>
      </w:r>
      <w:r w:rsidR="004B7511" w:rsidRPr="00257477">
        <w:rPr>
          <w:rFonts w:asciiTheme="majorBidi" w:hAnsiTheme="majorBidi" w:cstheme="majorBidi"/>
        </w:rPr>
        <w:t> </w:t>
      </w:r>
      <w:r w:rsidRPr="00257477">
        <w:rPr>
          <w:rFonts w:asciiTheme="majorBidi" w:hAnsiTheme="majorBidi" w:cstheme="majorBidi"/>
        </w:rPr>
        <w:t>817 „Noteikumi par darbības programmas „Uzņēmējdarbība un inovācijas” papildinājuma 2.1.2.4.</w:t>
      </w:r>
      <w:r w:rsidR="004B7511" w:rsidRPr="00257477">
        <w:rPr>
          <w:rFonts w:asciiTheme="majorBidi" w:hAnsiTheme="majorBidi" w:cstheme="majorBidi"/>
        </w:rPr>
        <w:t> </w:t>
      </w:r>
      <w:r w:rsidRPr="00257477">
        <w:rPr>
          <w:rFonts w:asciiTheme="majorBidi" w:hAnsiTheme="majorBidi" w:cstheme="majorBidi"/>
        </w:rPr>
        <w:t>aktivitātes „Augstas pievienotās vērtības investīcijas” projektu iesniegumu atlases otro un turpmākajām kārtām” (turpmāk</w:t>
      </w:r>
      <w:r w:rsidR="004B7511" w:rsidRPr="00257477">
        <w:rPr>
          <w:rFonts w:asciiTheme="majorBidi" w:hAnsiTheme="majorBidi" w:cstheme="majorBidi"/>
        </w:rPr>
        <w:t xml:space="preserve"> – </w:t>
      </w:r>
      <w:r w:rsidRPr="00257477">
        <w:rPr>
          <w:rFonts w:asciiTheme="majorBidi" w:hAnsiTheme="majorBidi" w:cstheme="majorBidi"/>
        </w:rPr>
        <w:t>MK noteikumi Nr. 817) 3.</w:t>
      </w:r>
      <w:r w:rsidR="004B7511" w:rsidRPr="00257477">
        <w:rPr>
          <w:rFonts w:asciiTheme="majorBidi" w:hAnsiTheme="majorBidi" w:cstheme="majorBidi"/>
        </w:rPr>
        <w:t> punktu un</w:t>
      </w:r>
      <w:r w:rsidRPr="00257477">
        <w:rPr>
          <w:rFonts w:asciiTheme="majorBidi" w:hAnsiTheme="majorBidi" w:cstheme="majorBidi"/>
        </w:rPr>
        <w:t xml:space="preserve"> 13.2.1.</w:t>
      </w:r>
      <w:r w:rsidR="004B7511" w:rsidRPr="00257477">
        <w:rPr>
          <w:rFonts w:asciiTheme="majorBidi" w:hAnsiTheme="majorBidi" w:cstheme="majorBidi"/>
        </w:rPr>
        <w:t> apakš</w:t>
      </w:r>
      <w:r w:rsidRPr="00257477">
        <w:rPr>
          <w:rFonts w:asciiTheme="majorBidi" w:hAnsiTheme="majorBidi" w:cstheme="majorBidi"/>
        </w:rPr>
        <w:t>punktu, MK noteikumu Nr. 740 2.1.</w:t>
      </w:r>
      <w:r w:rsidR="004B7511" w:rsidRPr="00257477">
        <w:rPr>
          <w:rFonts w:asciiTheme="majorBidi" w:hAnsiTheme="majorBidi" w:cstheme="majorBidi"/>
        </w:rPr>
        <w:t> apakšpunktu un</w:t>
      </w:r>
      <w:r w:rsidRPr="00257477">
        <w:rPr>
          <w:rFonts w:asciiTheme="majorBidi" w:hAnsiTheme="majorBidi" w:cstheme="majorBidi"/>
        </w:rPr>
        <w:t xml:space="preserve"> 6.</w:t>
      </w:r>
      <w:r w:rsidR="004B7511" w:rsidRPr="00257477">
        <w:rPr>
          <w:rFonts w:asciiTheme="majorBidi" w:hAnsiTheme="majorBidi" w:cstheme="majorBidi"/>
        </w:rPr>
        <w:t> </w:t>
      </w:r>
      <w:r w:rsidRPr="00257477">
        <w:rPr>
          <w:rFonts w:asciiTheme="majorBidi" w:hAnsiTheme="majorBidi" w:cstheme="majorBidi"/>
        </w:rPr>
        <w:t xml:space="preserve">punktu, </w:t>
      </w:r>
      <w:r w:rsidR="003C7CB2" w:rsidRPr="00257477">
        <w:rPr>
          <w:rFonts w:asciiTheme="majorBidi" w:hAnsiTheme="majorBidi" w:cstheme="majorBidi"/>
        </w:rPr>
        <w:t xml:space="preserve">kā arī </w:t>
      </w:r>
      <w:r w:rsidRPr="00257477">
        <w:rPr>
          <w:rFonts w:asciiTheme="majorBidi" w:hAnsiTheme="majorBidi" w:cstheme="majorBidi"/>
        </w:rPr>
        <w:t>Civillikuma 1587.</w:t>
      </w:r>
      <w:r w:rsidR="004B7511" w:rsidRPr="00257477">
        <w:rPr>
          <w:rFonts w:asciiTheme="majorBidi" w:hAnsiTheme="majorBidi" w:cstheme="majorBidi"/>
        </w:rPr>
        <w:t> </w:t>
      </w:r>
      <w:r w:rsidRPr="00257477">
        <w:rPr>
          <w:rFonts w:asciiTheme="majorBidi" w:hAnsiTheme="majorBidi" w:cstheme="majorBidi"/>
        </w:rPr>
        <w:t>pantu, 1652.</w:t>
      </w:r>
      <w:r w:rsidR="004B7511" w:rsidRPr="00257477">
        <w:rPr>
          <w:rFonts w:asciiTheme="majorBidi" w:hAnsiTheme="majorBidi" w:cstheme="majorBidi"/>
        </w:rPr>
        <w:t> </w:t>
      </w:r>
      <w:r w:rsidRPr="00257477">
        <w:rPr>
          <w:rFonts w:asciiTheme="majorBidi" w:hAnsiTheme="majorBidi" w:cstheme="majorBidi"/>
        </w:rPr>
        <w:t>panta pirmās daļas 3.</w:t>
      </w:r>
      <w:r w:rsidR="003C7CB2" w:rsidRPr="00257477">
        <w:rPr>
          <w:rFonts w:asciiTheme="majorBidi" w:hAnsiTheme="majorBidi" w:cstheme="majorBidi"/>
        </w:rPr>
        <w:t> </w:t>
      </w:r>
      <w:r w:rsidRPr="00257477">
        <w:rPr>
          <w:rFonts w:asciiTheme="majorBidi" w:hAnsiTheme="majorBidi" w:cstheme="majorBidi"/>
        </w:rPr>
        <w:t>punktu, 1756., 1764. un 1765.</w:t>
      </w:r>
      <w:r w:rsidR="004B7511" w:rsidRPr="00257477">
        <w:rPr>
          <w:rFonts w:asciiTheme="majorBidi" w:hAnsiTheme="majorBidi" w:cstheme="majorBidi"/>
        </w:rPr>
        <w:t> </w:t>
      </w:r>
      <w:r w:rsidRPr="00257477">
        <w:rPr>
          <w:rFonts w:asciiTheme="majorBidi" w:hAnsiTheme="majorBidi" w:cstheme="majorBidi"/>
        </w:rPr>
        <w:t xml:space="preserve">pantu. </w:t>
      </w:r>
    </w:p>
    <w:p w14:paraId="6DFA9C1A" w14:textId="77777777" w:rsidR="001045F2" w:rsidRPr="00257477" w:rsidRDefault="001045F2" w:rsidP="00257477">
      <w:pPr>
        <w:spacing w:line="276" w:lineRule="auto"/>
        <w:ind w:firstLine="720"/>
        <w:jc w:val="both"/>
        <w:rPr>
          <w:rFonts w:asciiTheme="majorBidi" w:hAnsiTheme="majorBidi" w:cstheme="majorBidi"/>
        </w:rPr>
      </w:pPr>
    </w:p>
    <w:p w14:paraId="651CB0DB" w14:textId="3A9B0037" w:rsidR="003C7CB2" w:rsidRPr="00257477" w:rsidRDefault="009E4691" w:rsidP="00257477">
      <w:pPr>
        <w:spacing w:line="276" w:lineRule="auto"/>
        <w:ind w:firstLine="720"/>
        <w:jc w:val="both"/>
        <w:rPr>
          <w:rFonts w:asciiTheme="majorBidi" w:hAnsiTheme="majorBidi" w:cstheme="majorBidi"/>
          <w:bCs/>
        </w:rPr>
      </w:pPr>
      <w:r w:rsidRPr="00257477">
        <w:rPr>
          <w:rFonts w:asciiTheme="majorBidi" w:hAnsiTheme="majorBidi" w:cstheme="majorBidi"/>
        </w:rPr>
        <w:t>[</w:t>
      </w:r>
      <w:r w:rsidR="003C7CB2" w:rsidRPr="00257477">
        <w:rPr>
          <w:rFonts w:asciiTheme="majorBidi" w:hAnsiTheme="majorBidi" w:cstheme="majorBidi"/>
        </w:rPr>
        <w:t>2</w:t>
      </w:r>
      <w:r w:rsidRPr="00257477">
        <w:rPr>
          <w:rFonts w:asciiTheme="majorBidi" w:hAnsiTheme="majorBidi" w:cstheme="majorBidi"/>
        </w:rPr>
        <w:t>] </w:t>
      </w:r>
      <w:r w:rsidRPr="00257477">
        <w:rPr>
          <w:rFonts w:asciiTheme="majorBidi" w:hAnsiTheme="majorBidi" w:cstheme="majorBidi"/>
          <w:bCs/>
        </w:rPr>
        <w:t>Ar Rīgas pilsētas Pārdaugavas tiesas 2022.</w:t>
      </w:r>
      <w:r w:rsidR="003C7CB2" w:rsidRPr="00257477">
        <w:rPr>
          <w:rFonts w:asciiTheme="majorBidi" w:hAnsiTheme="majorBidi" w:cstheme="majorBidi"/>
          <w:bCs/>
        </w:rPr>
        <w:t> </w:t>
      </w:r>
      <w:r w:rsidRPr="00257477">
        <w:rPr>
          <w:rFonts w:asciiTheme="majorBidi" w:hAnsiTheme="majorBidi" w:cstheme="majorBidi"/>
          <w:bCs/>
        </w:rPr>
        <w:t>gada 7.</w:t>
      </w:r>
      <w:r w:rsidR="00CB377C" w:rsidRPr="00257477">
        <w:rPr>
          <w:rFonts w:asciiTheme="majorBidi" w:hAnsiTheme="majorBidi" w:cstheme="majorBidi"/>
          <w:bCs/>
        </w:rPr>
        <w:t> </w:t>
      </w:r>
      <w:r w:rsidRPr="00257477">
        <w:rPr>
          <w:rFonts w:asciiTheme="majorBidi" w:hAnsiTheme="majorBidi" w:cstheme="majorBidi"/>
          <w:bCs/>
        </w:rPr>
        <w:t xml:space="preserve">janvāra spriedumu prasība apmierināta. </w:t>
      </w:r>
    </w:p>
    <w:p w14:paraId="245D404A" w14:textId="77777777" w:rsidR="003C7CB2" w:rsidRPr="00257477" w:rsidRDefault="003C7CB2" w:rsidP="00257477">
      <w:pPr>
        <w:spacing w:line="276" w:lineRule="auto"/>
        <w:ind w:firstLine="720"/>
        <w:jc w:val="both"/>
        <w:rPr>
          <w:rFonts w:asciiTheme="majorBidi" w:hAnsiTheme="majorBidi" w:cstheme="majorBidi"/>
        </w:rPr>
      </w:pPr>
    </w:p>
    <w:p w14:paraId="6FB5E1CD" w14:textId="0606C40F" w:rsidR="001045F2" w:rsidRPr="00257477" w:rsidRDefault="009E4691" w:rsidP="00257477">
      <w:pPr>
        <w:spacing w:line="276" w:lineRule="auto"/>
        <w:ind w:firstLine="720"/>
        <w:jc w:val="both"/>
        <w:rPr>
          <w:rFonts w:asciiTheme="majorBidi" w:hAnsiTheme="majorBidi" w:cstheme="majorBidi"/>
          <w:bCs/>
        </w:rPr>
      </w:pPr>
      <w:r w:rsidRPr="00257477">
        <w:rPr>
          <w:rFonts w:asciiTheme="majorBidi" w:hAnsiTheme="majorBidi" w:cstheme="majorBidi"/>
        </w:rPr>
        <w:t>[</w:t>
      </w:r>
      <w:r w:rsidR="003C7CB2" w:rsidRPr="00257477">
        <w:rPr>
          <w:rFonts w:asciiTheme="majorBidi" w:hAnsiTheme="majorBidi" w:cstheme="majorBidi"/>
        </w:rPr>
        <w:t>3</w:t>
      </w:r>
      <w:r w:rsidRPr="00257477">
        <w:rPr>
          <w:rFonts w:asciiTheme="majorBidi" w:hAnsiTheme="majorBidi" w:cstheme="majorBidi"/>
        </w:rPr>
        <w:t>]</w:t>
      </w:r>
      <w:r w:rsidRPr="00257477">
        <w:rPr>
          <w:rFonts w:asciiTheme="majorBidi" w:hAnsiTheme="majorBidi" w:cstheme="majorBidi"/>
          <w:bCs/>
        </w:rPr>
        <w:t> </w:t>
      </w:r>
      <w:r w:rsidR="003C7CB2" w:rsidRPr="00257477">
        <w:rPr>
          <w:rFonts w:asciiTheme="majorBidi" w:hAnsiTheme="majorBidi" w:cstheme="majorBidi"/>
          <w:bCs/>
        </w:rPr>
        <w:t>Izskatījusi lietu sakarā ar atbildētājas apelācijas sūdzību,</w:t>
      </w:r>
      <w:r w:rsidRPr="00257477">
        <w:rPr>
          <w:rFonts w:asciiTheme="majorBidi" w:hAnsiTheme="majorBidi" w:cstheme="majorBidi"/>
        </w:rPr>
        <w:t xml:space="preserve"> Rīgas apgabaltiesa</w:t>
      </w:r>
      <w:r w:rsidR="003C7CB2" w:rsidRPr="00257477">
        <w:rPr>
          <w:rFonts w:asciiTheme="majorBidi" w:hAnsiTheme="majorBidi" w:cstheme="majorBidi"/>
        </w:rPr>
        <w:t xml:space="preserve"> ar</w:t>
      </w:r>
      <w:r w:rsidRPr="00257477">
        <w:rPr>
          <w:rFonts w:asciiTheme="majorBidi" w:hAnsiTheme="majorBidi" w:cstheme="majorBidi"/>
        </w:rPr>
        <w:t xml:space="preserve"> 2023.</w:t>
      </w:r>
      <w:r w:rsidR="00CB377C" w:rsidRPr="00257477">
        <w:rPr>
          <w:rFonts w:asciiTheme="majorBidi" w:hAnsiTheme="majorBidi" w:cstheme="majorBidi"/>
        </w:rPr>
        <w:t> </w:t>
      </w:r>
      <w:r w:rsidRPr="00257477">
        <w:rPr>
          <w:rFonts w:asciiTheme="majorBidi" w:hAnsiTheme="majorBidi" w:cstheme="majorBidi"/>
        </w:rPr>
        <w:t>gada 28.</w:t>
      </w:r>
      <w:r w:rsidR="003C7CB2" w:rsidRPr="00257477">
        <w:rPr>
          <w:rFonts w:asciiTheme="majorBidi" w:hAnsiTheme="majorBidi" w:cstheme="majorBidi"/>
        </w:rPr>
        <w:t> </w:t>
      </w:r>
      <w:r w:rsidRPr="00257477">
        <w:rPr>
          <w:rFonts w:asciiTheme="majorBidi" w:hAnsiTheme="majorBidi" w:cstheme="majorBidi"/>
        </w:rPr>
        <w:t>aprīļa spriedumu prasīb</w:t>
      </w:r>
      <w:r w:rsidR="003C7CB2" w:rsidRPr="00257477">
        <w:rPr>
          <w:rFonts w:asciiTheme="majorBidi" w:hAnsiTheme="majorBidi" w:cstheme="majorBidi"/>
        </w:rPr>
        <w:t xml:space="preserve">u noraidīja. </w:t>
      </w:r>
      <w:r w:rsidRPr="00257477">
        <w:rPr>
          <w:rFonts w:asciiTheme="majorBidi" w:hAnsiTheme="majorBidi" w:cstheme="majorBidi"/>
        </w:rPr>
        <w:t xml:space="preserve"> </w:t>
      </w:r>
    </w:p>
    <w:p w14:paraId="2FA46A10" w14:textId="570D2172" w:rsidR="001045F2" w:rsidRPr="00257477" w:rsidRDefault="009E4691" w:rsidP="00257477">
      <w:pPr>
        <w:spacing w:line="276" w:lineRule="auto"/>
        <w:ind w:firstLine="720"/>
        <w:jc w:val="both"/>
        <w:rPr>
          <w:rFonts w:asciiTheme="majorBidi" w:hAnsiTheme="majorBidi" w:cstheme="majorBidi"/>
        </w:rPr>
      </w:pPr>
      <w:r w:rsidRPr="00257477">
        <w:rPr>
          <w:rFonts w:asciiTheme="majorBidi" w:hAnsiTheme="majorBidi" w:cstheme="majorBidi"/>
        </w:rPr>
        <w:t>Spriedums pamatots ar šādiem</w:t>
      </w:r>
      <w:r w:rsidR="003C7CB2" w:rsidRPr="00257477">
        <w:rPr>
          <w:rFonts w:asciiTheme="majorBidi" w:hAnsiTheme="majorBidi" w:cstheme="majorBidi"/>
        </w:rPr>
        <w:t xml:space="preserve"> </w:t>
      </w:r>
      <w:r w:rsidR="00D122A4" w:rsidRPr="00257477">
        <w:rPr>
          <w:rFonts w:asciiTheme="majorBidi" w:hAnsiTheme="majorBidi" w:cstheme="majorBidi"/>
        </w:rPr>
        <w:t>motīviem</w:t>
      </w:r>
      <w:r w:rsidRPr="00257477">
        <w:rPr>
          <w:rFonts w:asciiTheme="majorBidi" w:hAnsiTheme="majorBidi" w:cstheme="majorBidi"/>
        </w:rPr>
        <w:t>.</w:t>
      </w:r>
    </w:p>
    <w:p w14:paraId="11468DA8" w14:textId="7DA73C02" w:rsidR="001045F2" w:rsidRPr="00257477" w:rsidRDefault="009E4691" w:rsidP="00257477">
      <w:pPr>
        <w:spacing w:line="276" w:lineRule="auto"/>
        <w:ind w:firstLine="720"/>
        <w:jc w:val="both"/>
        <w:rPr>
          <w:rFonts w:asciiTheme="majorBidi" w:hAnsiTheme="majorBidi" w:cstheme="majorBidi"/>
        </w:rPr>
      </w:pPr>
      <w:r w:rsidRPr="00257477">
        <w:rPr>
          <w:rFonts w:asciiTheme="majorBidi" w:hAnsiTheme="majorBidi" w:cstheme="majorBidi"/>
        </w:rPr>
        <w:t>[</w:t>
      </w:r>
      <w:r w:rsidR="000E1CB4" w:rsidRPr="00257477">
        <w:rPr>
          <w:rFonts w:asciiTheme="majorBidi" w:hAnsiTheme="majorBidi" w:cstheme="majorBidi"/>
        </w:rPr>
        <w:t>3</w:t>
      </w:r>
      <w:r w:rsidRPr="00257477">
        <w:rPr>
          <w:rFonts w:asciiTheme="majorBidi" w:hAnsiTheme="majorBidi" w:cstheme="majorBidi"/>
        </w:rPr>
        <w:t>.1]</w:t>
      </w:r>
      <w:r w:rsidR="005A5BE7" w:rsidRPr="00257477">
        <w:rPr>
          <w:rFonts w:asciiTheme="majorBidi" w:hAnsiTheme="majorBidi" w:cstheme="majorBidi"/>
        </w:rPr>
        <w:t> </w:t>
      </w:r>
      <w:r w:rsidRPr="00257477">
        <w:rPr>
          <w:rFonts w:asciiTheme="majorBidi" w:hAnsiTheme="majorBidi" w:cstheme="majorBidi"/>
        </w:rPr>
        <w:t>Lietā nav strīda</w:t>
      </w:r>
      <w:r w:rsidR="003C7CB2" w:rsidRPr="00257477">
        <w:rPr>
          <w:rFonts w:asciiTheme="majorBidi" w:hAnsiTheme="majorBidi" w:cstheme="majorBidi"/>
        </w:rPr>
        <w:t xml:space="preserve">, ka </w:t>
      </w:r>
      <w:r w:rsidRPr="00257477">
        <w:rPr>
          <w:rFonts w:asciiTheme="majorBidi" w:hAnsiTheme="majorBidi" w:cstheme="majorBidi"/>
        </w:rPr>
        <w:t>2010.</w:t>
      </w:r>
      <w:r w:rsidR="003C7CB2" w:rsidRPr="00257477">
        <w:rPr>
          <w:rFonts w:asciiTheme="majorBidi" w:hAnsiTheme="majorBidi" w:cstheme="majorBidi"/>
        </w:rPr>
        <w:t> </w:t>
      </w:r>
      <w:r w:rsidRPr="00257477">
        <w:rPr>
          <w:rFonts w:asciiTheme="majorBidi" w:hAnsiTheme="majorBidi" w:cstheme="majorBidi"/>
        </w:rPr>
        <w:t>gada 23.</w:t>
      </w:r>
      <w:r w:rsidR="003C7CB2" w:rsidRPr="00257477">
        <w:rPr>
          <w:rFonts w:asciiTheme="majorBidi" w:hAnsiTheme="majorBidi" w:cstheme="majorBidi"/>
        </w:rPr>
        <w:t> </w:t>
      </w:r>
      <w:r w:rsidRPr="00257477">
        <w:rPr>
          <w:rFonts w:asciiTheme="majorBidi" w:hAnsiTheme="majorBidi" w:cstheme="majorBidi"/>
        </w:rPr>
        <w:t>martā puses noslēdza līgumu Nr. 1</w:t>
      </w:r>
      <w:r w:rsidR="003C7CB2" w:rsidRPr="00257477">
        <w:rPr>
          <w:rFonts w:asciiTheme="majorBidi" w:hAnsiTheme="majorBidi" w:cstheme="majorBidi"/>
        </w:rPr>
        <w:t>.</w:t>
      </w:r>
      <w:r w:rsidRPr="00257477">
        <w:rPr>
          <w:rFonts w:asciiTheme="majorBidi" w:hAnsiTheme="majorBidi" w:cstheme="majorBidi"/>
        </w:rPr>
        <w:t xml:space="preserve"> Projekta </w:t>
      </w:r>
      <w:r w:rsidR="003C7CB2" w:rsidRPr="00257477">
        <w:rPr>
          <w:rFonts w:asciiTheme="majorBidi" w:hAnsiTheme="majorBidi" w:cstheme="majorBidi"/>
        </w:rPr>
        <w:t xml:space="preserve">Nr. 1 </w:t>
      </w:r>
      <w:r w:rsidRPr="00257477">
        <w:rPr>
          <w:rFonts w:asciiTheme="majorBidi" w:hAnsiTheme="majorBidi" w:cstheme="majorBidi"/>
        </w:rPr>
        <w:t>īstenošanas periods, tai skaitā ar minētā līguma grozījumiem</w:t>
      </w:r>
      <w:r w:rsidR="003C7CB2" w:rsidRPr="00257477">
        <w:rPr>
          <w:rFonts w:asciiTheme="majorBidi" w:hAnsiTheme="majorBidi" w:cstheme="majorBidi"/>
        </w:rPr>
        <w:t>,</w:t>
      </w:r>
      <w:r w:rsidRPr="00257477">
        <w:rPr>
          <w:rFonts w:asciiTheme="majorBidi" w:hAnsiTheme="majorBidi" w:cstheme="majorBidi"/>
        </w:rPr>
        <w:t xml:space="preserve"> tika noteikts no 2010.</w:t>
      </w:r>
      <w:r w:rsidR="00CB377C" w:rsidRPr="00257477">
        <w:rPr>
          <w:rFonts w:asciiTheme="majorBidi" w:hAnsiTheme="majorBidi" w:cstheme="majorBidi"/>
        </w:rPr>
        <w:t> </w:t>
      </w:r>
      <w:r w:rsidRPr="00257477">
        <w:rPr>
          <w:rFonts w:asciiTheme="majorBidi" w:hAnsiTheme="majorBidi" w:cstheme="majorBidi"/>
        </w:rPr>
        <w:t>gada 23.</w:t>
      </w:r>
      <w:r w:rsidR="00CB377C" w:rsidRPr="00257477">
        <w:rPr>
          <w:rFonts w:asciiTheme="majorBidi" w:hAnsiTheme="majorBidi" w:cstheme="majorBidi"/>
        </w:rPr>
        <w:t> </w:t>
      </w:r>
      <w:r w:rsidRPr="00257477">
        <w:rPr>
          <w:rFonts w:asciiTheme="majorBidi" w:hAnsiTheme="majorBidi" w:cstheme="majorBidi"/>
        </w:rPr>
        <w:t>marta līdz 2011.</w:t>
      </w:r>
      <w:r w:rsidR="00CB377C" w:rsidRPr="00257477">
        <w:rPr>
          <w:rFonts w:asciiTheme="majorBidi" w:hAnsiTheme="majorBidi" w:cstheme="majorBidi"/>
        </w:rPr>
        <w:t> </w:t>
      </w:r>
      <w:r w:rsidRPr="00257477">
        <w:rPr>
          <w:rFonts w:asciiTheme="majorBidi" w:hAnsiTheme="majorBidi" w:cstheme="majorBidi"/>
        </w:rPr>
        <w:t>gada 19.</w:t>
      </w:r>
      <w:r w:rsidR="003C7CB2" w:rsidRPr="00257477">
        <w:rPr>
          <w:rFonts w:asciiTheme="majorBidi" w:hAnsiTheme="majorBidi" w:cstheme="majorBidi"/>
        </w:rPr>
        <w:t> </w:t>
      </w:r>
      <w:r w:rsidRPr="00257477">
        <w:rPr>
          <w:rFonts w:asciiTheme="majorBidi" w:hAnsiTheme="majorBidi" w:cstheme="majorBidi"/>
        </w:rPr>
        <w:t>septembrim.</w:t>
      </w:r>
    </w:p>
    <w:p w14:paraId="71AE95BD" w14:textId="617EC96D" w:rsidR="001045F2" w:rsidRPr="00257477" w:rsidRDefault="003C7CB2" w:rsidP="00257477">
      <w:pPr>
        <w:spacing w:line="276" w:lineRule="auto"/>
        <w:ind w:firstLine="720"/>
        <w:jc w:val="both"/>
        <w:rPr>
          <w:rFonts w:asciiTheme="majorBidi" w:hAnsiTheme="majorBidi" w:cstheme="majorBidi"/>
        </w:rPr>
      </w:pPr>
      <w:r w:rsidRPr="00257477">
        <w:rPr>
          <w:rFonts w:asciiTheme="majorBidi" w:hAnsiTheme="majorBidi" w:cstheme="majorBidi"/>
        </w:rPr>
        <w:t xml:space="preserve">Projekta </w:t>
      </w:r>
      <w:r w:rsidR="00BC64E4" w:rsidRPr="00257477">
        <w:rPr>
          <w:rFonts w:asciiTheme="majorBidi" w:hAnsiTheme="majorBidi" w:cstheme="majorBidi"/>
        </w:rPr>
        <w:t xml:space="preserve">Nr. 1 </w:t>
      </w:r>
      <w:r w:rsidRPr="00257477">
        <w:rPr>
          <w:rFonts w:asciiTheme="majorBidi" w:hAnsiTheme="majorBidi" w:cstheme="majorBidi"/>
        </w:rPr>
        <w:t xml:space="preserve">ietvaros atbildētāja plānoja ieviest ražošanā ēku siltumizolācijas materiālu </w:t>
      </w:r>
      <w:r w:rsidR="00642420" w:rsidRPr="00257477">
        <w:rPr>
          <w:rFonts w:asciiTheme="majorBidi" w:hAnsiTheme="majorBidi" w:cstheme="majorBidi"/>
        </w:rPr>
        <w:t>„</w:t>
      </w:r>
      <w:proofErr w:type="spellStart"/>
      <w:r w:rsidR="00642420" w:rsidRPr="00257477">
        <w:rPr>
          <w:rFonts w:asciiTheme="majorBidi" w:hAnsiTheme="majorBidi" w:cstheme="majorBidi"/>
        </w:rPr>
        <w:t>Izoprok</w:t>
      </w:r>
      <w:proofErr w:type="spellEnd"/>
      <w:r w:rsidR="00642420" w:rsidRPr="00257477">
        <w:rPr>
          <w:rFonts w:asciiTheme="majorBidi" w:hAnsiTheme="majorBidi" w:cstheme="majorBidi"/>
        </w:rPr>
        <w:t>”</w:t>
      </w:r>
      <w:r w:rsidRPr="00257477">
        <w:rPr>
          <w:rFonts w:asciiTheme="majorBidi" w:hAnsiTheme="majorBidi" w:cstheme="majorBidi"/>
        </w:rPr>
        <w:t>, paredzot minētā produkta apgrozījumu pirmajā gadā pēc projekta īstenošanas 498 005,13 </w:t>
      </w:r>
      <w:proofErr w:type="spellStart"/>
      <w:r w:rsidR="00976997" w:rsidRPr="00257477">
        <w:rPr>
          <w:rFonts w:asciiTheme="majorBidi" w:hAnsiTheme="majorBidi" w:cstheme="majorBidi"/>
          <w:i/>
          <w:iCs/>
        </w:rPr>
        <w:t>euro</w:t>
      </w:r>
      <w:proofErr w:type="spellEnd"/>
      <w:r w:rsidRPr="00257477">
        <w:rPr>
          <w:rFonts w:asciiTheme="majorBidi" w:hAnsiTheme="majorBidi" w:cstheme="majorBidi"/>
        </w:rPr>
        <w:t>, bet otrajā gadā – 2</w:t>
      </w:r>
      <w:r w:rsidR="00CB377C" w:rsidRPr="00257477">
        <w:rPr>
          <w:rFonts w:asciiTheme="majorBidi" w:hAnsiTheme="majorBidi" w:cstheme="majorBidi"/>
        </w:rPr>
        <w:t> </w:t>
      </w:r>
      <w:r w:rsidRPr="00257477">
        <w:rPr>
          <w:rFonts w:asciiTheme="majorBidi" w:hAnsiTheme="majorBidi" w:cstheme="majorBidi"/>
        </w:rPr>
        <w:t>063</w:t>
      </w:r>
      <w:r w:rsidR="00CB377C" w:rsidRPr="00257477">
        <w:rPr>
          <w:rFonts w:asciiTheme="majorBidi" w:hAnsiTheme="majorBidi" w:cstheme="majorBidi"/>
        </w:rPr>
        <w:t> </w:t>
      </w:r>
      <w:r w:rsidRPr="00257477">
        <w:rPr>
          <w:rFonts w:asciiTheme="majorBidi" w:hAnsiTheme="majorBidi" w:cstheme="majorBidi"/>
        </w:rPr>
        <w:t>164,12</w:t>
      </w:r>
      <w:r w:rsidR="005A5BE7" w:rsidRPr="00257477">
        <w:rPr>
          <w:rFonts w:asciiTheme="majorBidi" w:hAnsiTheme="majorBidi" w:cstheme="majorBidi"/>
        </w:rPr>
        <w:t> </w:t>
      </w:r>
      <w:proofErr w:type="spellStart"/>
      <w:r w:rsidR="00976997" w:rsidRPr="00257477">
        <w:rPr>
          <w:rFonts w:asciiTheme="majorBidi" w:hAnsiTheme="majorBidi" w:cstheme="majorBidi"/>
          <w:i/>
          <w:iCs/>
        </w:rPr>
        <w:t>euro</w:t>
      </w:r>
      <w:proofErr w:type="spellEnd"/>
      <w:r w:rsidR="00DF2145" w:rsidRPr="00257477">
        <w:rPr>
          <w:rFonts w:asciiTheme="majorBidi" w:hAnsiTheme="majorBidi" w:cstheme="majorBidi"/>
          <w:i/>
          <w:iCs/>
        </w:rPr>
        <w:t xml:space="preserve"> </w:t>
      </w:r>
      <w:r w:rsidR="00DF2145" w:rsidRPr="00257477">
        <w:rPr>
          <w:rFonts w:asciiTheme="majorBidi" w:hAnsiTheme="majorBidi" w:cstheme="majorBidi"/>
        </w:rPr>
        <w:t>apmērā</w:t>
      </w:r>
      <w:r w:rsidRPr="00257477">
        <w:rPr>
          <w:rFonts w:asciiTheme="majorBidi" w:hAnsiTheme="majorBidi" w:cstheme="majorBidi"/>
        </w:rPr>
        <w:t>. Atbalsta finansējums 204</w:t>
      </w:r>
      <w:r w:rsidR="00CB377C" w:rsidRPr="00257477">
        <w:rPr>
          <w:rFonts w:asciiTheme="majorBidi" w:hAnsiTheme="majorBidi" w:cstheme="majorBidi"/>
        </w:rPr>
        <w:t> </w:t>
      </w:r>
      <w:r w:rsidRPr="00257477">
        <w:rPr>
          <w:rFonts w:asciiTheme="majorBidi" w:hAnsiTheme="majorBidi" w:cstheme="majorBidi"/>
        </w:rPr>
        <w:t>583,35</w:t>
      </w:r>
      <w:r w:rsidR="005A5BE7" w:rsidRPr="00257477">
        <w:rPr>
          <w:rFonts w:asciiTheme="majorBidi" w:hAnsiTheme="majorBidi" w:cstheme="majorBidi"/>
        </w:rPr>
        <w:t> </w:t>
      </w:r>
      <w:proofErr w:type="spellStart"/>
      <w:r w:rsidR="00976997" w:rsidRPr="00257477">
        <w:rPr>
          <w:rFonts w:asciiTheme="majorBidi" w:hAnsiTheme="majorBidi" w:cstheme="majorBidi"/>
          <w:i/>
          <w:iCs/>
        </w:rPr>
        <w:t>euro</w:t>
      </w:r>
      <w:proofErr w:type="spellEnd"/>
      <w:r w:rsidRPr="00257477">
        <w:rPr>
          <w:rFonts w:asciiTheme="majorBidi" w:hAnsiTheme="majorBidi" w:cstheme="majorBidi"/>
        </w:rPr>
        <w:t xml:space="preserve"> atbildētājai izmaksāts 2016. gada 31. martā. </w:t>
      </w:r>
    </w:p>
    <w:p w14:paraId="51B36FAA" w14:textId="4A1B06F5" w:rsidR="001045F2" w:rsidRPr="00257477" w:rsidRDefault="00DF2145" w:rsidP="00257477">
      <w:pPr>
        <w:spacing w:line="276" w:lineRule="auto"/>
        <w:ind w:firstLine="720"/>
        <w:jc w:val="both"/>
        <w:rPr>
          <w:rFonts w:asciiTheme="majorBidi" w:hAnsiTheme="majorBidi" w:cstheme="majorBidi"/>
        </w:rPr>
      </w:pPr>
      <w:r w:rsidRPr="00257477">
        <w:rPr>
          <w:rFonts w:asciiTheme="majorBidi" w:hAnsiTheme="majorBidi" w:cstheme="majorBidi"/>
        </w:rPr>
        <w:t>L</w:t>
      </w:r>
      <w:r w:rsidR="003C7CB2" w:rsidRPr="00257477">
        <w:rPr>
          <w:rFonts w:asciiTheme="majorBidi" w:hAnsiTheme="majorBidi" w:cstheme="majorBidi"/>
        </w:rPr>
        <w:t>ietā nepastāv strīds</w:t>
      </w:r>
      <w:r w:rsidR="00BC64E4" w:rsidRPr="00257477">
        <w:rPr>
          <w:rFonts w:asciiTheme="majorBidi" w:hAnsiTheme="majorBidi" w:cstheme="majorBidi"/>
        </w:rPr>
        <w:t xml:space="preserve">, ka </w:t>
      </w:r>
      <w:r w:rsidR="003C7CB2" w:rsidRPr="00257477">
        <w:rPr>
          <w:rFonts w:asciiTheme="majorBidi" w:hAnsiTheme="majorBidi" w:cstheme="majorBidi"/>
        </w:rPr>
        <w:t>2014.</w:t>
      </w:r>
      <w:r w:rsidR="00CB377C" w:rsidRPr="00257477">
        <w:rPr>
          <w:rFonts w:asciiTheme="majorBidi" w:hAnsiTheme="majorBidi" w:cstheme="majorBidi"/>
        </w:rPr>
        <w:t> </w:t>
      </w:r>
      <w:r w:rsidR="003C7CB2" w:rsidRPr="00257477">
        <w:rPr>
          <w:rFonts w:asciiTheme="majorBidi" w:hAnsiTheme="majorBidi" w:cstheme="majorBidi"/>
        </w:rPr>
        <w:t>gada 19.</w:t>
      </w:r>
      <w:r w:rsidR="00BC64E4" w:rsidRPr="00257477">
        <w:rPr>
          <w:rFonts w:asciiTheme="majorBidi" w:hAnsiTheme="majorBidi" w:cstheme="majorBidi"/>
        </w:rPr>
        <w:t> </w:t>
      </w:r>
      <w:r w:rsidR="003C7CB2" w:rsidRPr="00257477">
        <w:rPr>
          <w:rFonts w:asciiTheme="majorBidi" w:hAnsiTheme="majorBidi" w:cstheme="majorBidi"/>
        </w:rPr>
        <w:t>septembrī puses noslēdza līgumu Nr.</w:t>
      </w:r>
      <w:r w:rsidR="00BC64E4" w:rsidRPr="00257477">
        <w:rPr>
          <w:rFonts w:asciiTheme="majorBidi" w:hAnsiTheme="majorBidi" w:cstheme="majorBidi"/>
        </w:rPr>
        <w:t> </w:t>
      </w:r>
      <w:r w:rsidR="003C7CB2" w:rsidRPr="00257477">
        <w:rPr>
          <w:rFonts w:asciiTheme="majorBidi" w:hAnsiTheme="majorBidi" w:cstheme="majorBidi"/>
        </w:rPr>
        <w:t>2</w:t>
      </w:r>
      <w:r w:rsidR="000114A9" w:rsidRPr="00257477">
        <w:rPr>
          <w:rFonts w:asciiTheme="majorBidi" w:hAnsiTheme="majorBidi" w:cstheme="majorBidi"/>
        </w:rPr>
        <w:t>. P</w:t>
      </w:r>
      <w:r w:rsidR="003C7CB2" w:rsidRPr="00257477">
        <w:rPr>
          <w:rFonts w:asciiTheme="majorBidi" w:hAnsiTheme="majorBidi" w:cstheme="majorBidi"/>
        </w:rPr>
        <w:t xml:space="preserve">rojekta </w:t>
      </w:r>
      <w:r w:rsidR="00BC64E4" w:rsidRPr="00257477">
        <w:rPr>
          <w:rFonts w:asciiTheme="majorBidi" w:hAnsiTheme="majorBidi" w:cstheme="majorBidi"/>
        </w:rPr>
        <w:t xml:space="preserve">Nr. 2 </w:t>
      </w:r>
      <w:r w:rsidR="003C7CB2" w:rsidRPr="00257477">
        <w:rPr>
          <w:rFonts w:asciiTheme="majorBidi" w:hAnsiTheme="majorBidi" w:cstheme="majorBidi"/>
        </w:rPr>
        <w:t>īstenošanas periods noteikts no 2014.</w:t>
      </w:r>
      <w:r w:rsidR="00BC64E4" w:rsidRPr="00257477">
        <w:rPr>
          <w:rFonts w:asciiTheme="majorBidi" w:hAnsiTheme="majorBidi" w:cstheme="majorBidi"/>
        </w:rPr>
        <w:t> </w:t>
      </w:r>
      <w:r w:rsidR="003C7CB2" w:rsidRPr="00257477">
        <w:rPr>
          <w:rFonts w:asciiTheme="majorBidi" w:hAnsiTheme="majorBidi" w:cstheme="majorBidi"/>
        </w:rPr>
        <w:t>gada 19.</w:t>
      </w:r>
      <w:r w:rsidR="00CB377C" w:rsidRPr="00257477">
        <w:rPr>
          <w:rFonts w:asciiTheme="majorBidi" w:hAnsiTheme="majorBidi" w:cstheme="majorBidi"/>
        </w:rPr>
        <w:t> </w:t>
      </w:r>
      <w:r w:rsidR="003C7CB2" w:rsidRPr="00257477">
        <w:rPr>
          <w:rFonts w:asciiTheme="majorBidi" w:hAnsiTheme="majorBidi" w:cstheme="majorBidi"/>
        </w:rPr>
        <w:t>septembra līdz 2015.</w:t>
      </w:r>
      <w:r w:rsidR="00BC64E4" w:rsidRPr="00257477">
        <w:rPr>
          <w:rFonts w:asciiTheme="majorBidi" w:hAnsiTheme="majorBidi" w:cstheme="majorBidi"/>
        </w:rPr>
        <w:t> </w:t>
      </w:r>
      <w:r w:rsidR="003C7CB2" w:rsidRPr="00257477">
        <w:rPr>
          <w:rFonts w:asciiTheme="majorBidi" w:hAnsiTheme="majorBidi" w:cstheme="majorBidi"/>
        </w:rPr>
        <w:t>gada 15.</w:t>
      </w:r>
      <w:r w:rsidR="00BC64E4" w:rsidRPr="00257477">
        <w:rPr>
          <w:rFonts w:asciiTheme="majorBidi" w:hAnsiTheme="majorBidi" w:cstheme="majorBidi"/>
        </w:rPr>
        <w:t> </w:t>
      </w:r>
      <w:r w:rsidR="003C7CB2" w:rsidRPr="00257477">
        <w:rPr>
          <w:rFonts w:asciiTheme="majorBidi" w:hAnsiTheme="majorBidi" w:cstheme="majorBidi"/>
        </w:rPr>
        <w:t>novembrim.</w:t>
      </w:r>
    </w:p>
    <w:p w14:paraId="31EF059A" w14:textId="36705630" w:rsidR="001045F2" w:rsidRPr="00257477" w:rsidRDefault="00BC64E4" w:rsidP="00257477">
      <w:pPr>
        <w:spacing w:line="276" w:lineRule="auto"/>
        <w:ind w:firstLine="720"/>
        <w:jc w:val="both"/>
        <w:rPr>
          <w:rFonts w:asciiTheme="majorBidi" w:hAnsiTheme="majorBidi" w:cstheme="majorBidi"/>
        </w:rPr>
      </w:pPr>
      <w:r w:rsidRPr="00257477">
        <w:rPr>
          <w:rFonts w:asciiTheme="majorBidi" w:hAnsiTheme="majorBidi" w:cstheme="majorBidi"/>
        </w:rPr>
        <w:t xml:space="preserve">Projekta Nr. 2 ietvaros atbildētāja plānoja ieviest ražošanā inovatīvu ēku siltumizolācijas materiālu </w:t>
      </w:r>
      <w:r w:rsidR="00642420" w:rsidRPr="00257477">
        <w:rPr>
          <w:rFonts w:asciiTheme="majorBidi" w:hAnsiTheme="majorBidi" w:cstheme="majorBidi"/>
        </w:rPr>
        <w:t>„</w:t>
      </w:r>
      <w:proofErr w:type="spellStart"/>
      <w:r w:rsidR="00642420" w:rsidRPr="00257477">
        <w:rPr>
          <w:rFonts w:asciiTheme="majorBidi" w:hAnsiTheme="majorBidi" w:cstheme="majorBidi"/>
        </w:rPr>
        <w:t>Isopearl</w:t>
      </w:r>
      <w:proofErr w:type="spellEnd"/>
      <w:r w:rsidR="00642420" w:rsidRPr="00257477">
        <w:rPr>
          <w:rFonts w:asciiTheme="majorBidi" w:hAnsiTheme="majorBidi" w:cstheme="majorBidi"/>
        </w:rPr>
        <w:t>”</w:t>
      </w:r>
      <w:r w:rsidRPr="00257477">
        <w:rPr>
          <w:rFonts w:asciiTheme="majorBidi" w:hAnsiTheme="majorBidi" w:cstheme="majorBidi"/>
        </w:rPr>
        <w:t xml:space="preserve">, kā sastāvdaļu izmantojot jau ražoto </w:t>
      </w:r>
      <w:r w:rsidR="00726059" w:rsidRPr="00257477">
        <w:rPr>
          <w:rFonts w:asciiTheme="majorBidi" w:hAnsiTheme="majorBidi" w:cstheme="majorBidi"/>
        </w:rPr>
        <w:t>„</w:t>
      </w:r>
      <w:proofErr w:type="spellStart"/>
      <w:r w:rsidR="00726059" w:rsidRPr="00257477">
        <w:rPr>
          <w:rFonts w:asciiTheme="majorBidi" w:hAnsiTheme="majorBidi" w:cstheme="majorBidi"/>
        </w:rPr>
        <w:t>Izoprok</w:t>
      </w:r>
      <w:proofErr w:type="spellEnd"/>
      <w:r w:rsidR="00726059" w:rsidRPr="00257477">
        <w:rPr>
          <w:rFonts w:asciiTheme="majorBidi" w:hAnsiTheme="majorBidi" w:cstheme="majorBidi"/>
        </w:rPr>
        <w:t xml:space="preserve">” </w:t>
      </w:r>
      <w:r w:rsidRPr="00257477">
        <w:rPr>
          <w:rFonts w:asciiTheme="majorBidi" w:hAnsiTheme="majorBidi" w:cstheme="majorBidi"/>
        </w:rPr>
        <w:t>materiālu</w:t>
      </w:r>
      <w:r w:rsidR="00726059" w:rsidRPr="00257477">
        <w:rPr>
          <w:rFonts w:asciiTheme="majorBidi" w:hAnsiTheme="majorBidi" w:cstheme="majorBidi"/>
        </w:rPr>
        <w:t>.</w:t>
      </w:r>
      <w:r w:rsidRPr="00257477">
        <w:rPr>
          <w:rFonts w:asciiTheme="majorBidi" w:hAnsiTheme="majorBidi" w:cstheme="majorBidi"/>
        </w:rPr>
        <w:t xml:space="preserve"> </w:t>
      </w:r>
      <w:r w:rsidR="00726059" w:rsidRPr="00257477">
        <w:rPr>
          <w:rFonts w:asciiTheme="majorBidi" w:hAnsiTheme="majorBidi" w:cstheme="majorBidi"/>
        </w:rPr>
        <w:t xml:space="preserve">Minētā </w:t>
      </w:r>
      <w:r w:rsidRPr="00257477">
        <w:rPr>
          <w:rFonts w:asciiTheme="majorBidi" w:hAnsiTheme="majorBidi" w:cstheme="majorBidi"/>
        </w:rPr>
        <w:t xml:space="preserve">produkta </w:t>
      </w:r>
      <w:r w:rsidR="00726059" w:rsidRPr="00257477">
        <w:rPr>
          <w:rFonts w:asciiTheme="majorBidi" w:hAnsiTheme="majorBidi" w:cstheme="majorBidi"/>
        </w:rPr>
        <w:t xml:space="preserve">apgrozījums </w:t>
      </w:r>
      <w:r w:rsidRPr="00257477">
        <w:rPr>
          <w:rFonts w:asciiTheme="majorBidi" w:hAnsiTheme="majorBidi" w:cstheme="majorBidi"/>
        </w:rPr>
        <w:t xml:space="preserve">pirmajā gadā pēc projekta īstenošanas </w:t>
      </w:r>
      <w:r w:rsidR="00726059" w:rsidRPr="00257477">
        <w:rPr>
          <w:rFonts w:asciiTheme="majorBidi" w:hAnsiTheme="majorBidi" w:cstheme="majorBidi"/>
        </w:rPr>
        <w:t xml:space="preserve">bija paredzēts </w:t>
      </w:r>
      <w:r w:rsidRPr="00257477">
        <w:rPr>
          <w:rFonts w:asciiTheme="majorBidi" w:hAnsiTheme="majorBidi" w:cstheme="majorBidi"/>
        </w:rPr>
        <w:t>942</w:t>
      </w:r>
      <w:r w:rsidR="005A5BE7" w:rsidRPr="00257477">
        <w:rPr>
          <w:rFonts w:asciiTheme="majorBidi" w:hAnsiTheme="majorBidi" w:cstheme="majorBidi"/>
        </w:rPr>
        <w:t> </w:t>
      </w:r>
      <w:r w:rsidRPr="00257477">
        <w:rPr>
          <w:rFonts w:asciiTheme="majorBidi" w:hAnsiTheme="majorBidi" w:cstheme="majorBidi"/>
        </w:rPr>
        <w:t>480</w:t>
      </w:r>
      <w:r w:rsidR="005A5BE7" w:rsidRPr="00257477">
        <w:rPr>
          <w:rFonts w:asciiTheme="majorBidi" w:hAnsiTheme="majorBidi" w:cstheme="majorBidi"/>
        </w:rPr>
        <w:t> </w:t>
      </w:r>
      <w:proofErr w:type="spellStart"/>
      <w:r w:rsidR="00976997" w:rsidRPr="00257477">
        <w:rPr>
          <w:rFonts w:asciiTheme="majorBidi" w:hAnsiTheme="majorBidi" w:cstheme="majorBidi"/>
          <w:i/>
          <w:iCs/>
        </w:rPr>
        <w:t>euro</w:t>
      </w:r>
      <w:proofErr w:type="spellEnd"/>
      <w:r w:rsidRPr="00257477">
        <w:rPr>
          <w:rFonts w:asciiTheme="majorBidi" w:hAnsiTheme="majorBidi" w:cstheme="majorBidi"/>
        </w:rPr>
        <w:t>, bet otrajā gadā – 1</w:t>
      </w:r>
      <w:r w:rsidR="00CB377C" w:rsidRPr="00257477">
        <w:rPr>
          <w:rFonts w:asciiTheme="majorBidi" w:hAnsiTheme="majorBidi" w:cstheme="majorBidi"/>
        </w:rPr>
        <w:t> </w:t>
      </w:r>
      <w:r w:rsidRPr="00257477">
        <w:rPr>
          <w:rFonts w:asciiTheme="majorBidi" w:hAnsiTheme="majorBidi" w:cstheme="majorBidi"/>
        </w:rPr>
        <w:t>283</w:t>
      </w:r>
      <w:r w:rsidR="005A5BE7" w:rsidRPr="00257477">
        <w:rPr>
          <w:rFonts w:asciiTheme="majorBidi" w:hAnsiTheme="majorBidi" w:cstheme="majorBidi"/>
        </w:rPr>
        <w:t> </w:t>
      </w:r>
      <w:r w:rsidRPr="00257477">
        <w:rPr>
          <w:rFonts w:asciiTheme="majorBidi" w:hAnsiTheme="majorBidi" w:cstheme="majorBidi"/>
        </w:rPr>
        <w:t>040</w:t>
      </w:r>
      <w:r w:rsidR="005A5BE7" w:rsidRPr="00257477">
        <w:rPr>
          <w:rFonts w:asciiTheme="majorBidi" w:hAnsiTheme="majorBidi" w:cstheme="majorBidi"/>
        </w:rPr>
        <w:t> </w:t>
      </w:r>
      <w:proofErr w:type="spellStart"/>
      <w:r w:rsidR="00976997" w:rsidRPr="00257477">
        <w:rPr>
          <w:rFonts w:asciiTheme="majorBidi" w:hAnsiTheme="majorBidi" w:cstheme="majorBidi"/>
          <w:i/>
          <w:iCs/>
        </w:rPr>
        <w:t>euro</w:t>
      </w:r>
      <w:proofErr w:type="spellEnd"/>
      <w:r w:rsidR="00DF2145" w:rsidRPr="00257477">
        <w:rPr>
          <w:rFonts w:asciiTheme="majorBidi" w:hAnsiTheme="majorBidi" w:cstheme="majorBidi"/>
          <w:i/>
          <w:iCs/>
        </w:rPr>
        <w:t xml:space="preserve"> </w:t>
      </w:r>
      <w:r w:rsidR="00DF2145" w:rsidRPr="00257477">
        <w:rPr>
          <w:rFonts w:asciiTheme="majorBidi" w:hAnsiTheme="majorBidi" w:cstheme="majorBidi"/>
        </w:rPr>
        <w:t>apmērā</w:t>
      </w:r>
      <w:r w:rsidRPr="00257477">
        <w:rPr>
          <w:rFonts w:asciiTheme="majorBidi" w:hAnsiTheme="majorBidi" w:cstheme="majorBidi"/>
        </w:rPr>
        <w:t>. Pēc projekta realizēšanas eksporta tirgos tika plānots pārdot vismaz 5000</w:t>
      </w:r>
      <w:r w:rsidR="00CB377C" w:rsidRPr="00257477">
        <w:rPr>
          <w:rFonts w:asciiTheme="majorBidi" w:hAnsiTheme="majorBidi" w:cstheme="majorBidi"/>
        </w:rPr>
        <w:t> </w:t>
      </w:r>
      <w:r w:rsidRPr="00257477">
        <w:rPr>
          <w:rFonts w:asciiTheme="majorBidi" w:hAnsiTheme="majorBidi" w:cstheme="majorBidi"/>
        </w:rPr>
        <w:t>m</w:t>
      </w:r>
      <w:r w:rsidRPr="00257477">
        <w:rPr>
          <w:rFonts w:asciiTheme="majorBidi" w:hAnsiTheme="majorBidi" w:cstheme="majorBidi"/>
          <w:vertAlign w:val="superscript"/>
        </w:rPr>
        <w:t>3</w:t>
      </w:r>
      <w:r w:rsidRPr="00257477">
        <w:rPr>
          <w:rFonts w:asciiTheme="majorBidi" w:hAnsiTheme="majorBidi" w:cstheme="majorBidi"/>
        </w:rPr>
        <w:t xml:space="preserve"> produkcijas gadā, veidojot 30–50 % no kopējā uzņēmuma apgrozījuma, bet </w:t>
      </w:r>
      <w:r w:rsidR="00726059" w:rsidRPr="00257477">
        <w:rPr>
          <w:rFonts w:asciiTheme="majorBidi" w:hAnsiTheme="majorBidi" w:cstheme="majorBidi"/>
        </w:rPr>
        <w:t>„</w:t>
      </w:r>
      <w:proofErr w:type="spellStart"/>
      <w:r w:rsidR="00726059" w:rsidRPr="00257477">
        <w:rPr>
          <w:rFonts w:asciiTheme="majorBidi" w:hAnsiTheme="majorBidi" w:cstheme="majorBidi"/>
        </w:rPr>
        <w:t>Isopearl</w:t>
      </w:r>
      <w:proofErr w:type="spellEnd"/>
      <w:r w:rsidR="00726059" w:rsidRPr="00257477">
        <w:rPr>
          <w:rFonts w:asciiTheme="majorBidi" w:hAnsiTheme="majorBidi" w:cstheme="majorBidi"/>
        </w:rPr>
        <w:t xml:space="preserve">” </w:t>
      </w:r>
      <w:r w:rsidRPr="00257477">
        <w:rPr>
          <w:rFonts w:asciiTheme="majorBidi" w:hAnsiTheme="majorBidi" w:cstheme="majorBidi"/>
        </w:rPr>
        <w:t>ražotnē bija plānots nodarbināt trīs darbiniekus. Atbalsta finansējums 237</w:t>
      </w:r>
      <w:r w:rsidR="00CB377C" w:rsidRPr="00257477">
        <w:rPr>
          <w:rFonts w:asciiTheme="majorBidi" w:hAnsiTheme="majorBidi" w:cstheme="majorBidi"/>
        </w:rPr>
        <w:t> </w:t>
      </w:r>
      <w:r w:rsidRPr="00257477">
        <w:rPr>
          <w:rFonts w:asciiTheme="majorBidi" w:hAnsiTheme="majorBidi" w:cstheme="majorBidi"/>
        </w:rPr>
        <w:t>923,56</w:t>
      </w:r>
      <w:r w:rsidR="005A5BE7" w:rsidRPr="00257477">
        <w:rPr>
          <w:rFonts w:asciiTheme="majorBidi" w:hAnsiTheme="majorBidi" w:cstheme="majorBidi"/>
        </w:rPr>
        <w:t> </w:t>
      </w:r>
      <w:proofErr w:type="spellStart"/>
      <w:r w:rsidR="00976997" w:rsidRPr="00257477">
        <w:rPr>
          <w:rFonts w:asciiTheme="majorBidi" w:hAnsiTheme="majorBidi" w:cstheme="majorBidi"/>
          <w:i/>
          <w:iCs/>
        </w:rPr>
        <w:t>euro</w:t>
      </w:r>
      <w:proofErr w:type="spellEnd"/>
      <w:r w:rsidR="00976997" w:rsidRPr="00257477">
        <w:rPr>
          <w:rFonts w:asciiTheme="majorBidi" w:hAnsiTheme="majorBidi" w:cstheme="majorBidi"/>
        </w:rPr>
        <w:t xml:space="preserve"> </w:t>
      </w:r>
      <w:r w:rsidRPr="00257477">
        <w:rPr>
          <w:rFonts w:asciiTheme="majorBidi" w:hAnsiTheme="majorBidi" w:cstheme="majorBidi"/>
        </w:rPr>
        <w:t>atbildētājai tika izmaksāts līdz 2016. gada 12. februārim.</w:t>
      </w:r>
    </w:p>
    <w:p w14:paraId="39B6C468" w14:textId="74347BC9" w:rsidR="001045F2" w:rsidRPr="00257477" w:rsidRDefault="00DF2145" w:rsidP="00257477">
      <w:pPr>
        <w:spacing w:line="276" w:lineRule="auto"/>
        <w:ind w:firstLine="720"/>
        <w:jc w:val="both"/>
        <w:rPr>
          <w:rFonts w:asciiTheme="majorBidi" w:hAnsiTheme="majorBidi" w:cstheme="majorBidi"/>
        </w:rPr>
      </w:pPr>
      <w:r w:rsidRPr="00257477">
        <w:rPr>
          <w:rFonts w:asciiTheme="majorBidi" w:hAnsiTheme="majorBidi" w:cstheme="majorBidi"/>
        </w:rPr>
        <w:t>L</w:t>
      </w:r>
      <w:r w:rsidR="00E7712F" w:rsidRPr="00257477">
        <w:rPr>
          <w:rFonts w:asciiTheme="majorBidi" w:hAnsiTheme="majorBidi" w:cstheme="majorBidi"/>
        </w:rPr>
        <w:t xml:space="preserve">ietā nav strīda, ka pirmās instances tiesa, </w:t>
      </w:r>
      <w:r w:rsidR="006F1390" w:rsidRPr="00257477">
        <w:rPr>
          <w:rFonts w:asciiTheme="majorBidi" w:hAnsiTheme="majorBidi" w:cstheme="majorBidi"/>
        </w:rPr>
        <w:t xml:space="preserve">vērtējot </w:t>
      </w:r>
      <w:r w:rsidR="00E7712F" w:rsidRPr="00257477">
        <w:rPr>
          <w:rFonts w:asciiTheme="majorBidi" w:hAnsiTheme="majorBidi" w:cstheme="majorBidi"/>
        </w:rPr>
        <w:t>projekt</w:t>
      </w:r>
      <w:r w:rsidR="006F1390" w:rsidRPr="00257477">
        <w:rPr>
          <w:rFonts w:asciiTheme="majorBidi" w:hAnsiTheme="majorBidi" w:cstheme="majorBidi"/>
        </w:rPr>
        <w:t>a</w:t>
      </w:r>
      <w:r w:rsidR="00E7712F" w:rsidRPr="00257477">
        <w:rPr>
          <w:rFonts w:asciiTheme="majorBidi" w:hAnsiTheme="majorBidi" w:cstheme="majorBidi"/>
        </w:rPr>
        <w:t xml:space="preserve"> Nr.</w:t>
      </w:r>
      <w:r w:rsidR="006F1390" w:rsidRPr="00257477">
        <w:rPr>
          <w:rFonts w:asciiTheme="majorBidi" w:hAnsiTheme="majorBidi" w:cstheme="majorBidi"/>
        </w:rPr>
        <w:t> </w:t>
      </w:r>
      <w:r w:rsidR="00E7712F" w:rsidRPr="00257477">
        <w:rPr>
          <w:rFonts w:asciiTheme="majorBidi" w:hAnsiTheme="majorBidi" w:cstheme="majorBidi"/>
        </w:rPr>
        <w:t xml:space="preserve">1 finansējuma izmaksāšanas </w:t>
      </w:r>
      <w:r w:rsidR="006F1390" w:rsidRPr="00257477">
        <w:rPr>
          <w:rFonts w:asciiTheme="majorBidi" w:hAnsiTheme="majorBidi" w:cstheme="majorBidi"/>
        </w:rPr>
        <w:t>aizkavēšanās iemeslus</w:t>
      </w:r>
      <w:r w:rsidR="00E7712F" w:rsidRPr="00257477">
        <w:rPr>
          <w:rFonts w:asciiTheme="majorBidi" w:hAnsiTheme="majorBidi" w:cstheme="majorBidi"/>
        </w:rPr>
        <w:t>, savus secinājumus pamatojusi ar tādiem dokumentiem, kas nav pievienoti lietas materiāliem, uz ko apelācijas instances tiesas sēdē tika vērsta lietas dalībnieku uzmanība.</w:t>
      </w:r>
    </w:p>
    <w:p w14:paraId="33998CFE" w14:textId="57BF9AD9" w:rsidR="001045F2" w:rsidRPr="00257477" w:rsidRDefault="009E4691" w:rsidP="00257477">
      <w:pPr>
        <w:spacing w:line="276" w:lineRule="auto"/>
        <w:ind w:firstLine="720"/>
        <w:jc w:val="both"/>
        <w:rPr>
          <w:rFonts w:asciiTheme="majorBidi" w:hAnsiTheme="majorBidi" w:cstheme="majorBidi"/>
        </w:rPr>
      </w:pPr>
      <w:r w:rsidRPr="00257477">
        <w:rPr>
          <w:rFonts w:asciiTheme="majorBidi" w:hAnsiTheme="majorBidi" w:cstheme="majorBidi"/>
        </w:rPr>
        <w:t>[</w:t>
      </w:r>
      <w:r w:rsidR="000E1CB4" w:rsidRPr="00257477">
        <w:rPr>
          <w:rFonts w:asciiTheme="majorBidi" w:hAnsiTheme="majorBidi" w:cstheme="majorBidi"/>
        </w:rPr>
        <w:t>3</w:t>
      </w:r>
      <w:r w:rsidRPr="00257477">
        <w:rPr>
          <w:rFonts w:asciiTheme="majorBidi" w:hAnsiTheme="majorBidi" w:cstheme="majorBidi"/>
        </w:rPr>
        <w:t>.</w:t>
      </w:r>
      <w:r w:rsidR="000E1CB4" w:rsidRPr="00257477">
        <w:rPr>
          <w:rFonts w:asciiTheme="majorBidi" w:hAnsiTheme="majorBidi" w:cstheme="majorBidi"/>
        </w:rPr>
        <w:t>2</w:t>
      </w:r>
      <w:r w:rsidRPr="00257477">
        <w:rPr>
          <w:rFonts w:asciiTheme="majorBidi" w:hAnsiTheme="majorBidi" w:cstheme="majorBidi"/>
        </w:rPr>
        <w:t>]</w:t>
      </w:r>
      <w:r w:rsidR="005A5BE7" w:rsidRPr="00257477">
        <w:rPr>
          <w:rFonts w:asciiTheme="majorBidi" w:hAnsiTheme="majorBidi" w:cstheme="majorBidi"/>
        </w:rPr>
        <w:t> </w:t>
      </w:r>
      <w:r w:rsidRPr="00257477">
        <w:rPr>
          <w:rFonts w:asciiTheme="majorBidi" w:hAnsiTheme="majorBidi" w:cstheme="majorBidi"/>
        </w:rPr>
        <w:t xml:space="preserve">Lietā </w:t>
      </w:r>
      <w:r w:rsidR="00726059" w:rsidRPr="00257477">
        <w:rPr>
          <w:rFonts w:asciiTheme="majorBidi" w:hAnsiTheme="majorBidi" w:cstheme="majorBidi"/>
        </w:rPr>
        <w:t xml:space="preserve">pastāv </w:t>
      </w:r>
      <w:r w:rsidRPr="00257477">
        <w:rPr>
          <w:rFonts w:asciiTheme="majorBidi" w:hAnsiTheme="majorBidi" w:cstheme="majorBidi"/>
        </w:rPr>
        <w:t>strīds, vai apstākļos, kad atbildētāja ir sasniegusi projektu mērķi un daļēji sasniegusi</w:t>
      </w:r>
      <w:r w:rsidR="00E4617D" w:rsidRPr="00257477">
        <w:rPr>
          <w:rFonts w:asciiTheme="majorBidi" w:hAnsiTheme="majorBidi" w:cstheme="majorBidi"/>
        </w:rPr>
        <w:t xml:space="preserve"> arī</w:t>
      </w:r>
      <w:r w:rsidRPr="00257477">
        <w:rPr>
          <w:rFonts w:asciiTheme="majorBidi" w:hAnsiTheme="majorBidi" w:cstheme="majorBidi"/>
        </w:rPr>
        <w:t xml:space="preserve"> projektu rezultatīvos rādītājus, </w:t>
      </w:r>
      <w:r w:rsidR="00E4617D" w:rsidRPr="00257477">
        <w:rPr>
          <w:rFonts w:asciiTheme="majorBidi" w:hAnsiTheme="majorBidi" w:cstheme="majorBidi"/>
        </w:rPr>
        <w:t>tai</w:t>
      </w:r>
      <w:r w:rsidRPr="00257477">
        <w:rPr>
          <w:rFonts w:asciiTheme="majorBidi" w:hAnsiTheme="majorBidi" w:cstheme="majorBidi"/>
        </w:rPr>
        <w:t xml:space="preserve"> ir pienākums atmaksāt prasītājai daļu no izmaksātā atbalsta finansējuma kā neatbilstoši veiktos izdevumus.</w:t>
      </w:r>
    </w:p>
    <w:p w14:paraId="24C2C37E" w14:textId="7455A4A2" w:rsidR="001045F2" w:rsidRPr="00257477" w:rsidRDefault="009E4691" w:rsidP="00257477">
      <w:pPr>
        <w:spacing w:line="276" w:lineRule="auto"/>
        <w:ind w:firstLine="720"/>
        <w:jc w:val="both"/>
        <w:rPr>
          <w:rFonts w:asciiTheme="majorBidi" w:hAnsiTheme="majorBidi" w:cstheme="majorBidi"/>
        </w:rPr>
      </w:pPr>
      <w:r w:rsidRPr="00257477">
        <w:rPr>
          <w:rFonts w:asciiTheme="majorBidi" w:hAnsiTheme="majorBidi" w:cstheme="majorBidi"/>
        </w:rPr>
        <w:t>[</w:t>
      </w:r>
      <w:r w:rsidR="000E1CB4" w:rsidRPr="00257477">
        <w:rPr>
          <w:rFonts w:asciiTheme="majorBidi" w:hAnsiTheme="majorBidi" w:cstheme="majorBidi"/>
        </w:rPr>
        <w:t>3</w:t>
      </w:r>
      <w:r w:rsidRPr="00257477">
        <w:rPr>
          <w:rFonts w:asciiTheme="majorBidi" w:hAnsiTheme="majorBidi" w:cstheme="majorBidi"/>
        </w:rPr>
        <w:t>.</w:t>
      </w:r>
      <w:r w:rsidR="000E1CB4" w:rsidRPr="00257477">
        <w:rPr>
          <w:rFonts w:asciiTheme="majorBidi" w:hAnsiTheme="majorBidi" w:cstheme="majorBidi"/>
        </w:rPr>
        <w:t>2</w:t>
      </w:r>
      <w:r w:rsidRPr="00257477">
        <w:rPr>
          <w:rFonts w:asciiTheme="majorBidi" w:hAnsiTheme="majorBidi" w:cstheme="majorBidi"/>
        </w:rPr>
        <w:t>.1]</w:t>
      </w:r>
      <w:r w:rsidR="005A5BE7" w:rsidRPr="00257477">
        <w:rPr>
          <w:rFonts w:asciiTheme="majorBidi" w:hAnsiTheme="majorBidi" w:cstheme="majorBidi"/>
        </w:rPr>
        <w:t> </w:t>
      </w:r>
      <w:r w:rsidRPr="00257477">
        <w:rPr>
          <w:rFonts w:asciiTheme="majorBidi" w:hAnsiTheme="majorBidi" w:cstheme="majorBidi"/>
        </w:rPr>
        <w:t>Līguma Nr. 1 nosacījumu 3.1.1.</w:t>
      </w:r>
      <w:r w:rsidR="000E1CB4" w:rsidRPr="00257477">
        <w:rPr>
          <w:rFonts w:asciiTheme="majorBidi" w:hAnsiTheme="majorBidi" w:cstheme="majorBidi"/>
        </w:rPr>
        <w:t> </w:t>
      </w:r>
      <w:r w:rsidRPr="00257477">
        <w:rPr>
          <w:rFonts w:asciiTheme="majorBidi" w:hAnsiTheme="majorBidi" w:cstheme="majorBidi"/>
        </w:rPr>
        <w:t>punktā un līguma Nr. 2 nosacījumu 3.1.2.</w:t>
      </w:r>
      <w:r w:rsidR="000E1CB4" w:rsidRPr="00257477">
        <w:rPr>
          <w:rFonts w:asciiTheme="majorBidi" w:hAnsiTheme="majorBidi" w:cstheme="majorBidi"/>
        </w:rPr>
        <w:t> </w:t>
      </w:r>
      <w:r w:rsidRPr="00257477">
        <w:rPr>
          <w:rFonts w:asciiTheme="majorBidi" w:hAnsiTheme="majorBidi" w:cstheme="majorBidi"/>
        </w:rPr>
        <w:t>punktā paredzēts atbildētājas pienākums kvalitatīvi īstenot attiecīgo projektu.</w:t>
      </w:r>
    </w:p>
    <w:p w14:paraId="4C080878" w14:textId="679D27A6" w:rsidR="001045F2" w:rsidRPr="00257477" w:rsidRDefault="009E4691" w:rsidP="00257477">
      <w:pPr>
        <w:spacing w:line="276" w:lineRule="auto"/>
        <w:ind w:firstLine="720"/>
        <w:jc w:val="both"/>
        <w:rPr>
          <w:rFonts w:asciiTheme="majorBidi" w:hAnsiTheme="majorBidi" w:cstheme="majorBidi"/>
        </w:rPr>
      </w:pPr>
      <w:r w:rsidRPr="00257477">
        <w:rPr>
          <w:rFonts w:asciiTheme="majorBidi" w:hAnsiTheme="majorBidi" w:cstheme="majorBidi"/>
        </w:rPr>
        <w:t>Projektu Nr. 1 prasītāja uzraudzīja līdz 2019.</w:t>
      </w:r>
      <w:r w:rsidR="000E1CB4" w:rsidRPr="00257477">
        <w:rPr>
          <w:rFonts w:asciiTheme="majorBidi" w:hAnsiTheme="majorBidi" w:cstheme="majorBidi"/>
        </w:rPr>
        <w:t> </w:t>
      </w:r>
      <w:r w:rsidRPr="00257477">
        <w:rPr>
          <w:rFonts w:asciiTheme="majorBidi" w:hAnsiTheme="majorBidi" w:cstheme="majorBidi"/>
        </w:rPr>
        <w:t>gada 31.</w:t>
      </w:r>
      <w:r w:rsidR="000E1CB4" w:rsidRPr="00257477">
        <w:rPr>
          <w:rFonts w:asciiTheme="majorBidi" w:hAnsiTheme="majorBidi" w:cstheme="majorBidi"/>
        </w:rPr>
        <w:t> </w:t>
      </w:r>
      <w:r w:rsidRPr="00257477">
        <w:rPr>
          <w:rFonts w:asciiTheme="majorBidi" w:hAnsiTheme="majorBidi" w:cstheme="majorBidi"/>
        </w:rPr>
        <w:t>martam (trīs gadus pēc pēdējā atbalsta finansējuma maksājuma veikšanas), pamatojoties uz līguma Nr. 1</w:t>
      </w:r>
      <w:r w:rsidR="005A5BE7" w:rsidRPr="00257477">
        <w:rPr>
          <w:rFonts w:asciiTheme="majorBidi" w:hAnsiTheme="majorBidi" w:cstheme="majorBidi"/>
        </w:rPr>
        <w:t xml:space="preserve"> </w:t>
      </w:r>
      <w:r w:rsidRPr="00257477">
        <w:rPr>
          <w:rFonts w:asciiTheme="majorBidi" w:hAnsiTheme="majorBidi" w:cstheme="majorBidi"/>
        </w:rPr>
        <w:t>nosacījumu 4.1.1. un 4.1.2.</w:t>
      </w:r>
      <w:r w:rsidR="00CB377C" w:rsidRPr="00257477">
        <w:rPr>
          <w:rFonts w:asciiTheme="majorBidi" w:hAnsiTheme="majorBidi" w:cstheme="majorBidi"/>
        </w:rPr>
        <w:t> </w:t>
      </w:r>
      <w:r w:rsidRPr="00257477">
        <w:rPr>
          <w:rFonts w:asciiTheme="majorBidi" w:hAnsiTheme="majorBidi" w:cstheme="majorBidi"/>
        </w:rPr>
        <w:t>apakšpunktu.</w:t>
      </w:r>
      <w:r w:rsidR="000E1CB4" w:rsidRPr="00257477">
        <w:rPr>
          <w:rFonts w:asciiTheme="majorBidi" w:hAnsiTheme="majorBidi" w:cstheme="majorBidi"/>
        </w:rPr>
        <w:t xml:space="preserve"> </w:t>
      </w:r>
      <w:r w:rsidRPr="00257477">
        <w:rPr>
          <w:rFonts w:asciiTheme="majorBidi" w:hAnsiTheme="majorBidi" w:cstheme="majorBidi"/>
        </w:rPr>
        <w:t>Projektu Nr.</w:t>
      </w:r>
      <w:r w:rsidR="00CB377C" w:rsidRPr="00257477">
        <w:rPr>
          <w:rFonts w:asciiTheme="majorBidi" w:hAnsiTheme="majorBidi" w:cstheme="majorBidi"/>
        </w:rPr>
        <w:t> </w:t>
      </w:r>
      <w:r w:rsidRPr="00257477">
        <w:rPr>
          <w:rFonts w:asciiTheme="majorBidi" w:hAnsiTheme="majorBidi" w:cstheme="majorBidi"/>
        </w:rPr>
        <w:t>2 prasītāja uzraudzīja līdz 2019.</w:t>
      </w:r>
      <w:r w:rsidR="000E1CB4" w:rsidRPr="00257477">
        <w:rPr>
          <w:rFonts w:asciiTheme="majorBidi" w:hAnsiTheme="majorBidi" w:cstheme="majorBidi"/>
        </w:rPr>
        <w:t> </w:t>
      </w:r>
      <w:r w:rsidRPr="00257477">
        <w:rPr>
          <w:rFonts w:asciiTheme="majorBidi" w:hAnsiTheme="majorBidi" w:cstheme="majorBidi"/>
        </w:rPr>
        <w:t>gada 12.</w:t>
      </w:r>
      <w:r w:rsidR="000E1CB4" w:rsidRPr="00257477">
        <w:rPr>
          <w:rFonts w:asciiTheme="majorBidi" w:hAnsiTheme="majorBidi" w:cstheme="majorBidi"/>
        </w:rPr>
        <w:t> </w:t>
      </w:r>
      <w:r w:rsidRPr="00257477">
        <w:rPr>
          <w:rFonts w:asciiTheme="majorBidi" w:hAnsiTheme="majorBidi" w:cstheme="majorBidi"/>
        </w:rPr>
        <w:t>februārim (trīs gadus pēc pēdējā atbalsta finansējuma maksājuma veikšanas), pamatojoties uz līguma Nr. 2</w:t>
      </w:r>
      <w:r w:rsidR="005A5BE7" w:rsidRPr="00257477">
        <w:rPr>
          <w:rFonts w:asciiTheme="majorBidi" w:hAnsiTheme="majorBidi" w:cstheme="majorBidi"/>
        </w:rPr>
        <w:t xml:space="preserve"> </w:t>
      </w:r>
      <w:r w:rsidRPr="00257477">
        <w:rPr>
          <w:rFonts w:asciiTheme="majorBidi" w:hAnsiTheme="majorBidi" w:cstheme="majorBidi"/>
        </w:rPr>
        <w:t>nosacījumu 1.24. un 4.1.5.</w:t>
      </w:r>
      <w:r w:rsidR="000E1CB4" w:rsidRPr="00257477">
        <w:rPr>
          <w:rFonts w:asciiTheme="majorBidi" w:hAnsiTheme="majorBidi" w:cstheme="majorBidi"/>
        </w:rPr>
        <w:t> </w:t>
      </w:r>
      <w:r w:rsidRPr="00257477">
        <w:rPr>
          <w:rFonts w:asciiTheme="majorBidi" w:hAnsiTheme="majorBidi" w:cstheme="majorBidi"/>
        </w:rPr>
        <w:t>punktu.</w:t>
      </w:r>
    </w:p>
    <w:p w14:paraId="6B39CB11" w14:textId="4A200653" w:rsidR="001045F2" w:rsidRPr="00257477" w:rsidRDefault="000E1CB4" w:rsidP="00257477">
      <w:pPr>
        <w:spacing w:line="276" w:lineRule="auto"/>
        <w:ind w:firstLine="720"/>
        <w:jc w:val="both"/>
        <w:rPr>
          <w:rFonts w:asciiTheme="majorBidi" w:hAnsiTheme="majorBidi" w:cstheme="majorBidi"/>
        </w:rPr>
      </w:pPr>
      <w:r w:rsidRPr="00257477">
        <w:rPr>
          <w:rFonts w:asciiTheme="majorBidi" w:hAnsiTheme="majorBidi" w:cstheme="majorBidi"/>
        </w:rPr>
        <w:lastRenderedPageBreak/>
        <w:t>No prasītājas 2020. gada 2. septembra vēstules par finanšu korekcijas piemērošanu izriet, ka prasītāja no 2017. gada 21.</w:t>
      </w:r>
      <w:r w:rsidR="00CB377C" w:rsidRPr="00257477">
        <w:rPr>
          <w:rFonts w:asciiTheme="majorBidi" w:hAnsiTheme="majorBidi" w:cstheme="majorBidi"/>
        </w:rPr>
        <w:t> </w:t>
      </w:r>
      <w:r w:rsidRPr="00257477">
        <w:rPr>
          <w:rFonts w:asciiTheme="majorBidi" w:hAnsiTheme="majorBidi" w:cstheme="majorBidi"/>
        </w:rPr>
        <w:t>jūnija līdz 2019.</w:t>
      </w:r>
      <w:r w:rsidR="00CB377C" w:rsidRPr="00257477">
        <w:rPr>
          <w:rFonts w:asciiTheme="majorBidi" w:hAnsiTheme="majorBidi" w:cstheme="majorBidi"/>
        </w:rPr>
        <w:t> </w:t>
      </w:r>
      <w:r w:rsidRPr="00257477">
        <w:rPr>
          <w:rFonts w:asciiTheme="majorBidi" w:hAnsiTheme="majorBidi" w:cstheme="majorBidi"/>
        </w:rPr>
        <w:t>gada 11. februārim uzraudzīja projektus to īstenošanas vietā.</w:t>
      </w:r>
    </w:p>
    <w:p w14:paraId="52C6E897" w14:textId="24D5FC1A" w:rsidR="001045F2" w:rsidRPr="00257477" w:rsidRDefault="000E1CB4" w:rsidP="00257477">
      <w:pPr>
        <w:spacing w:line="276" w:lineRule="auto"/>
        <w:ind w:firstLine="720"/>
        <w:jc w:val="both"/>
        <w:rPr>
          <w:rFonts w:asciiTheme="majorBidi" w:hAnsiTheme="majorBidi" w:cstheme="majorBidi"/>
        </w:rPr>
      </w:pPr>
      <w:r w:rsidRPr="00257477">
        <w:rPr>
          <w:rFonts w:asciiTheme="majorBidi" w:hAnsiTheme="majorBidi" w:cstheme="majorBidi"/>
        </w:rPr>
        <w:t xml:space="preserve">Abu projektu uzraudzības rezultātā tika konstatētas šā spriedumā 1.4. un 1.7. punktā norādītās neatbilstības, par ko atbildētājai prasītājas ieskatā </w:t>
      </w:r>
      <w:r w:rsidR="00DF2145" w:rsidRPr="00257477">
        <w:rPr>
          <w:rFonts w:asciiTheme="majorBidi" w:hAnsiTheme="majorBidi" w:cstheme="majorBidi"/>
        </w:rPr>
        <w:t>ir piemērojama</w:t>
      </w:r>
      <w:r w:rsidRPr="00257477">
        <w:rPr>
          <w:rFonts w:asciiTheme="majorBidi" w:hAnsiTheme="majorBidi" w:cstheme="majorBidi"/>
        </w:rPr>
        <w:t xml:space="preserve"> atbildība saskaņā ar līguma Nr. 1 nosacījumu 18.7. punktu un līguma Nr. 2 nosacījumu 17.2. punktu un atbilstoši vadlīnijām piemērojama finanšu korekcija 25 % apmērā no attiecināmajām izmaksām. Tomēr, ievērojot, ka vadlīnijas kā prasītājas iekšējs normatīvs akts ir saistošas tikai to piemērotājam, izskatot lietu, piemērojami normatīvie akti. </w:t>
      </w:r>
    </w:p>
    <w:p w14:paraId="33D5CE62" w14:textId="684186D7" w:rsidR="001045F2" w:rsidRPr="00257477" w:rsidRDefault="009E4691" w:rsidP="00257477">
      <w:pPr>
        <w:spacing w:line="276" w:lineRule="auto"/>
        <w:ind w:firstLine="720"/>
        <w:jc w:val="both"/>
        <w:rPr>
          <w:rFonts w:asciiTheme="majorBidi" w:hAnsiTheme="majorBidi" w:cstheme="majorBidi"/>
        </w:rPr>
      </w:pPr>
      <w:r w:rsidRPr="00257477">
        <w:rPr>
          <w:rFonts w:asciiTheme="majorBidi" w:hAnsiTheme="majorBidi" w:cstheme="majorBidi"/>
        </w:rPr>
        <w:t>[</w:t>
      </w:r>
      <w:r w:rsidR="000E1CB4" w:rsidRPr="00257477">
        <w:rPr>
          <w:rFonts w:asciiTheme="majorBidi" w:hAnsiTheme="majorBidi" w:cstheme="majorBidi"/>
        </w:rPr>
        <w:t>3</w:t>
      </w:r>
      <w:r w:rsidRPr="00257477">
        <w:rPr>
          <w:rFonts w:asciiTheme="majorBidi" w:hAnsiTheme="majorBidi" w:cstheme="majorBidi"/>
        </w:rPr>
        <w:t>.</w:t>
      </w:r>
      <w:r w:rsidR="000E1CB4" w:rsidRPr="00257477">
        <w:rPr>
          <w:rFonts w:asciiTheme="majorBidi" w:hAnsiTheme="majorBidi" w:cstheme="majorBidi"/>
        </w:rPr>
        <w:t>2</w:t>
      </w:r>
      <w:r w:rsidRPr="00257477">
        <w:rPr>
          <w:rFonts w:asciiTheme="majorBidi" w:hAnsiTheme="majorBidi" w:cstheme="majorBidi"/>
        </w:rPr>
        <w:t>.2] Laikā, kad tika noslēgts līgums Nr.</w:t>
      </w:r>
      <w:r w:rsidR="00CB377C" w:rsidRPr="00257477">
        <w:rPr>
          <w:rFonts w:asciiTheme="majorBidi" w:hAnsiTheme="majorBidi" w:cstheme="majorBidi"/>
        </w:rPr>
        <w:t> </w:t>
      </w:r>
      <w:r w:rsidRPr="00257477">
        <w:rPr>
          <w:rFonts w:asciiTheme="majorBidi" w:hAnsiTheme="majorBidi" w:cstheme="majorBidi"/>
        </w:rPr>
        <w:t>1, bija spēkā M</w:t>
      </w:r>
      <w:r w:rsidR="000E1CB4" w:rsidRPr="00257477">
        <w:rPr>
          <w:rFonts w:asciiTheme="majorBidi" w:hAnsiTheme="majorBidi" w:cstheme="majorBidi"/>
        </w:rPr>
        <w:t>inistru kabineta</w:t>
      </w:r>
      <w:r w:rsidRPr="00257477">
        <w:rPr>
          <w:rFonts w:asciiTheme="majorBidi" w:hAnsiTheme="majorBidi" w:cstheme="majorBidi"/>
        </w:rPr>
        <w:t xml:space="preserve"> 2007.</w:t>
      </w:r>
      <w:r w:rsidR="000E1CB4" w:rsidRPr="00257477">
        <w:rPr>
          <w:rFonts w:asciiTheme="majorBidi" w:hAnsiTheme="majorBidi" w:cstheme="majorBidi"/>
        </w:rPr>
        <w:t> </w:t>
      </w:r>
      <w:r w:rsidRPr="00257477">
        <w:rPr>
          <w:rFonts w:asciiTheme="majorBidi" w:hAnsiTheme="majorBidi" w:cstheme="majorBidi"/>
        </w:rPr>
        <w:t>gada 17.</w:t>
      </w:r>
      <w:r w:rsidR="000E1CB4" w:rsidRPr="00257477">
        <w:rPr>
          <w:rFonts w:asciiTheme="majorBidi" w:hAnsiTheme="majorBidi" w:cstheme="majorBidi"/>
        </w:rPr>
        <w:t> </w:t>
      </w:r>
      <w:r w:rsidRPr="00257477">
        <w:rPr>
          <w:rFonts w:asciiTheme="majorBidi" w:hAnsiTheme="majorBidi" w:cstheme="majorBidi"/>
        </w:rPr>
        <w:t>jūlija noteikumi Nr. 500 „Kārtība, kādā ziņo par Eiropas Savienības struktūrfondu un Kohēzijas fonda ieviešanā konstatētajām neatbilstībām, pieņem pārvaldes lēmumu par piešķirtā finansējuma izlietojumu un atgūst neatbilstošos izdevumus”, kas zaudēja spēku 2010.</w:t>
      </w:r>
      <w:r w:rsidR="000E1CB4" w:rsidRPr="00257477">
        <w:rPr>
          <w:rFonts w:asciiTheme="majorBidi" w:hAnsiTheme="majorBidi" w:cstheme="majorBidi"/>
        </w:rPr>
        <w:t> </w:t>
      </w:r>
      <w:r w:rsidRPr="00257477">
        <w:rPr>
          <w:rFonts w:asciiTheme="majorBidi" w:hAnsiTheme="majorBidi" w:cstheme="majorBidi"/>
        </w:rPr>
        <w:t>gada 14.</w:t>
      </w:r>
      <w:r w:rsidR="000E1CB4" w:rsidRPr="00257477">
        <w:rPr>
          <w:rFonts w:asciiTheme="majorBidi" w:hAnsiTheme="majorBidi" w:cstheme="majorBidi"/>
        </w:rPr>
        <w:t> </w:t>
      </w:r>
      <w:r w:rsidRPr="00257477">
        <w:rPr>
          <w:rFonts w:asciiTheme="majorBidi" w:hAnsiTheme="majorBidi" w:cstheme="majorBidi"/>
        </w:rPr>
        <w:t>augustā, stājoties spēkā MK noteikumiem Nr. 74</w:t>
      </w:r>
      <w:r w:rsidR="000E1CB4" w:rsidRPr="00257477">
        <w:rPr>
          <w:rFonts w:asciiTheme="majorBidi" w:hAnsiTheme="majorBidi" w:cstheme="majorBidi"/>
        </w:rPr>
        <w:t>0, kas savukārt</w:t>
      </w:r>
      <w:r w:rsidRPr="00257477">
        <w:rPr>
          <w:rFonts w:asciiTheme="majorBidi" w:hAnsiTheme="majorBidi" w:cstheme="majorBidi"/>
        </w:rPr>
        <w:t xml:space="preserve"> bija spēkā arī līguma Nr.</w:t>
      </w:r>
      <w:r w:rsidR="00CB377C" w:rsidRPr="00257477">
        <w:rPr>
          <w:rFonts w:asciiTheme="majorBidi" w:hAnsiTheme="majorBidi" w:cstheme="majorBidi"/>
        </w:rPr>
        <w:t> </w:t>
      </w:r>
      <w:r w:rsidRPr="00257477">
        <w:rPr>
          <w:rFonts w:asciiTheme="majorBidi" w:hAnsiTheme="majorBidi" w:cstheme="majorBidi"/>
        </w:rPr>
        <w:t xml:space="preserve">2 noslēgšanas laikā. </w:t>
      </w:r>
    </w:p>
    <w:p w14:paraId="2CABF8B6" w14:textId="0CCD9461" w:rsidR="001045F2" w:rsidRPr="00257477" w:rsidRDefault="009E4691" w:rsidP="00257477">
      <w:pPr>
        <w:spacing w:line="276" w:lineRule="auto"/>
        <w:ind w:firstLine="720"/>
        <w:jc w:val="both"/>
        <w:rPr>
          <w:rFonts w:asciiTheme="majorBidi" w:hAnsiTheme="majorBidi" w:cstheme="majorBidi"/>
        </w:rPr>
      </w:pPr>
      <w:r w:rsidRPr="00257477">
        <w:rPr>
          <w:rFonts w:asciiTheme="majorBidi" w:hAnsiTheme="majorBidi" w:cstheme="majorBidi"/>
        </w:rPr>
        <w:t>Prasītāja neatbilstību pamato ar MK noteikumu Nr. 740 2.1.</w:t>
      </w:r>
      <w:r w:rsidR="005F7DBD" w:rsidRPr="00257477">
        <w:rPr>
          <w:rFonts w:asciiTheme="majorBidi" w:hAnsiTheme="majorBidi" w:cstheme="majorBidi"/>
        </w:rPr>
        <w:t> </w:t>
      </w:r>
      <w:r w:rsidRPr="00257477">
        <w:rPr>
          <w:rFonts w:asciiTheme="majorBidi" w:hAnsiTheme="majorBidi" w:cstheme="majorBidi"/>
        </w:rPr>
        <w:t>punktu</w:t>
      </w:r>
      <w:r w:rsidR="0015732C" w:rsidRPr="00257477">
        <w:rPr>
          <w:rFonts w:asciiTheme="majorBidi" w:hAnsiTheme="majorBidi" w:cstheme="majorBidi"/>
        </w:rPr>
        <w:t xml:space="preserve"> kopsakarā ar Regulas</w:t>
      </w:r>
      <w:r w:rsidR="00C31ED0" w:rsidRPr="00257477">
        <w:rPr>
          <w:rFonts w:asciiTheme="majorBidi" w:hAnsiTheme="majorBidi" w:cstheme="majorBidi"/>
        </w:rPr>
        <w:t xml:space="preserve"> Nr. </w:t>
      </w:r>
      <w:r w:rsidR="0015732C" w:rsidRPr="00257477">
        <w:rPr>
          <w:rFonts w:asciiTheme="majorBidi" w:hAnsiTheme="majorBidi" w:cstheme="majorBidi"/>
        </w:rPr>
        <w:t>1083/2006 2. panta 7. punktu, finanšu korekcijas apmēru pamatojot ar</w:t>
      </w:r>
      <w:r w:rsidR="005A5BE7" w:rsidRPr="00257477">
        <w:rPr>
          <w:rFonts w:asciiTheme="majorBidi" w:hAnsiTheme="majorBidi" w:cstheme="majorBidi"/>
        </w:rPr>
        <w:t xml:space="preserve"> </w:t>
      </w:r>
      <w:r w:rsidRPr="00257477">
        <w:rPr>
          <w:rFonts w:asciiTheme="majorBidi" w:hAnsiTheme="majorBidi" w:cstheme="majorBidi"/>
        </w:rPr>
        <w:t>MK noteikumu Nr.</w:t>
      </w:r>
      <w:r w:rsidR="0015732C" w:rsidRPr="00257477">
        <w:rPr>
          <w:rFonts w:asciiTheme="majorBidi" w:hAnsiTheme="majorBidi" w:cstheme="majorBidi"/>
        </w:rPr>
        <w:t> </w:t>
      </w:r>
      <w:r w:rsidRPr="00257477">
        <w:rPr>
          <w:rFonts w:asciiTheme="majorBidi" w:hAnsiTheme="majorBidi" w:cstheme="majorBidi"/>
        </w:rPr>
        <w:t>740 6.</w:t>
      </w:r>
      <w:r w:rsidR="0015732C" w:rsidRPr="00257477">
        <w:rPr>
          <w:rFonts w:asciiTheme="majorBidi" w:hAnsiTheme="majorBidi" w:cstheme="majorBidi"/>
        </w:rPr>
        <w:t> </w:t>
      </w:r>
      <w:r w:rsidRPr="00257477">
        <w:rPr>
          <w:rFonts w:asciiTheme="majorBidi" w:hAnsiTheme="majorBidi" w:cstheme="majorBidi"/>
        </w:rPr>
        <w:t>punkt</w:t>
      </w:r>
      <w:r w:rsidR="0015732C" w:rsidRPr="00257477">
        <w:rPr>
          <w:rFonts w:asciiTheme="majorBidi" w:hAnsiTheme="majorBidi" w:cstheme="majorBidi"/>
        </w:rPr>
        <w:t xml:space="preserve">u. </w:t>
      </w:r>
      <w:r w:rsidRPr="00257477">
        <w:rPr>
          <w:rFonts w:asciiTheme="majorBidi" w:hAnsiTheme="majorBidi" w:cstheme="majorBidi"/>
        </w:rPr>
        <w:t xml:space="preserve"> </w:t>
      </w:r>
    </w:p>
    <w:p w14:paraId="5C711D94" w14:textId="2298654C" w:rsidR="001045F2" w:rsidRPr="00257477" w:rsidRDefault="009E4691" w:rsidP="00257477">
      <w:pPr>
        <w:spacing w:line="276" w:lineRule="auto"/>
        <w:ind w:firstLine="720"/>
        <w:jc w:val="both"/>
        <w:rPr>
          <w:rFonts w:asciiTheme="majorBidi" w:hAnsiTheme="majorBidi" w:cstheme="majorBidi"/>
        </w:rPr>
      </w:pPr>
      <w:r w:rsidRPr="00257477">
        <w:rPr>
          <w:rFonts w:asciiTheme="majorBidi" w:hAnsiTheme="majorBidi" w:cstheme="majorBidi"/>
        </w:rPr>
        <w:t>[</w:t>
      </w:r>
      <w:r w:rsidR="0015732C" w:rsidRPr="00257477">
        <w:rPr>
          <w:rFonts w:asciiTheme="majorBidi" w:hAnsiTheme="majorBidi" w:cstheme="majorBidi"/>
        </w:rPr>
        <w:t>3.2.</w:t>
      </w:r>
      <w:r w:rsidRPr="00257477">
        <w:rPr>
          <w:rFonts w:asciiTheme="majorBidi" w:hAnsiTheme="majorBidi" w:cstheme="majorBidi"/>
        </w:rPr>
        <w:t>3]</w:t>
      </w:r>
      <w:r w:rsidR="005A5BE7" w:rsidRPr="00257477">
        <w:rPr>
          <w:rFonts w:asciiTheme="majorBidi" w:hAnsiTheme="majorBidi" w:cstheme="majorBidi"/>
        </w:rPr>
        <w:t> </w:t>
      </w:r>
      <w:r w:rsidRPr="00257477">
        <w:rPr>
          <w:rFonts w:asciiTheme="majorBidi" w:hAnsiTheme="majorBidi" w:cstheme="majorBidi"/>
        </w:rPr>
        <w:t>Projekts Nr.</w:t>
      </w:r>
      <w:r w:rsidR="0015732C" w:rsidRPr="00257477">
        <w:rPr>
          <w:rFonts w:asciiTheme="majorBidi" w:hAnsiTheme="majorBidi" w:cstheme="majorBidi"/>
        </w:rPr>
        <w:t> </w:t>
      </w:r>
      <w:r w:rsidRPr="00257477">
        <w:rPr>
          <w:rFonts w:asciiTheme="majorBidi" w:hAnsiTheme="majorBidi" w:cstheme="majorBidi"/>
        </w:rPr>
        <w:t>1 īstenots 2011.</w:t>
      </w:r>
      <w:r w:rsidR="0015732C" w:rsidRPr="00257477">
        <w:rPr>
          <w:rFonts w:asciiTheme="majorBidi" w:hAnsiTheme="majorBidi" w:cstheme="majorBidi"/>
        </w:rPr>
        <w:t> </w:t>
      </w:r>
      <w:r w:rsidRPr="00257477">
        <w:rPr>
          <w:rFonts w:asciiTheme="majorBidi" w:hAnsiTheme="majorBidi" w:cstheme="majorBidi"/>
        </w:rPr>
        <w:t>gada 20.</w:t>
      </w:r>
      <w:r w:rsidR="0015732C" w:rsidRPr="00257477">
        <w:rPr>
          <w:rFonts w:asciiTheme="majorBidi" w:hAnsiTheme="majorBidi" w:cstheme="majorBidi"/>
        </w:rPr>
        <w:t> </w:t>
      </w:r>
      <w:r w:rsidRPr="00257477">
        <w:rPr>
          <w:rFonts w:asciiTheme="majorBidi" w:hAnsiTheme="majorBidi" w:cstheme="majorBidi"/>
        </w:rPr>
        <w:t>oktobrī ar atbildētājas noslēguma pārskata iesniegšanu prasītājai, bet projekts Nr.</w:t>
      </w:r>
      <w:r w:rsidR="00CB377C" w:rsidRPr="00257477">
        <w:rPr>
          <w:rFonts w:asciiTheme="majorBidi" w:hAnsiTheme="majorBidi" w:cstheme="majorBidi"/>
        </w:rPr>
        <w:t> </w:t>
      </w:r>
      <w:r w:rsidRPr="00257477">
        <w:rPr>
          <w:rFonts w:asciiTheme="majorBidi" w:hAnsiTheme="majorBidi" w:cstheme="majorBidi"/>
        </w:rPr>
        <w:t>2 – 2015.</w:t>
      </w:r>
      <w:r w:rsidR="00CB377C" w:rsidRPr="00257477">
        <w:rPr>
          <w:rFonts w:asciiTheme="majorBidi" w:hAnsiTheme="majorBidi" w:cstheme="majorBidi"/>
        </w:rPr>
        <w:t> </w:t>
      </w:r>
      <w:r w:rsidRPr="00257477">
        <w:rPr>
          <w:rFonts w:asciiTheme="majorBidi" w:hAnsiTheme="majorBidi" w:cstheme="majorBidi"/>
        </w:rPr>
        <w:t>gada 15.</w:t>
      </w:r>
      <w:r w:rsidR="00CB377C" w:rsidRPr="00257477">
        <w:rPr>
          <w:rFonts w:asciiTheme="majorBidi" w:hAnsiTheme="majorBidi" w:cstheme="majorBidi"/>
        </w:rPr>
        <w:t> </w:t>
      </w:r>
      <w:r w:rsidRPr="00257477">
        <w:rPr>
          <w:rFonts w:asciiTheme="majorBidi" w:hAnsiTheme="majorBidi" w:cstheme="majorBidi"/>
        </w:rPr>
        <w:t xml:space="preserve">novembrī. Likumā nav noteikts konkrēts termiņš, kādā prasītājai jāpieņem lēmums par atbalsta finansējuma izmaksu. </w:t>
      </w:r>
      <w:r w:rsidR="0015732C" w:rsidRPr="00257477">
        <w:rPr>
          <w:rFonts w:asciiTheme="majorBidi" w:hAnsiTheme="majorBidi" w:cstheme="majorBidi"/>
        </w:rPr>
        <w:t xml:space="preserve">Saistībā ar </w:t>
      </w:r>
      <w:r w:rsidR="00726059" w:rsidRPr="00257477">
        <w:rPr>
          <w:rFonts w:asciiTheme="majorBidi" w:hAnsiTheme="majorBidi" w:cstheme="majorBidi"/>
        </w:rPr>
        <w:t>p</w:t>
      </w:r>
      <w:r w:rsidR="0015732C" w:rsidRPr="00257477">
        <w:rPr>
          <w:rFonts w:asciiTheme="majorBidi" w:hAnsiTheme="majorBidi" w:cstheme="majorBidi"/>
        </w:rPr>
        <w:t>rojektu Nr. 1 p</w:t>
      </w:r>
      <w:r w:rsidRPr="00257477">
        <w:rPr>
          <w:rFonts w:asciiTheme="majorBidi" w:hAnsiTheme="majorBidi" w:cstheme="majorBidi"/>
        </w:rPr>
        <w:t>ēdējais atbalsta finansējuma maksājums atbildētājai izmaksāts 2016.</w:t>
      </w:r>
      <w:r w:rsidR="0015732C" w:rsidRPr="00257477">
        <w:rPr>
          <w:rFonts w:asciiTheme="majorBidi" w:hAnsiTheme="majorBidi" w:cstheme="majorBidi"/>
        </w:rPr>
        <w:t> </w:t>
      </w:r>
      <w:r w:rsidRPr="00257477">
        <w:rPr>
          <w:rFonts w:asciiTheme="majorBidi" w:hAnsiTheme="majorBidi" w:cstheme="majorBidi"/>
        </w:rPr>
        <w:t>gada 31.</w:t>
      </w:r>
      <w:r w:rsidR="0015732C" w:rsidRPr="00257477">
        <w:rPr>
          <w:rFonts w:asciiTheme="majorBidi" w:hAnsiTheme="majorBidi" w:cstheme="majorBidi"/>
        </w:rPr>
        <w:t> </w:t>
      </w:r>
      <w:r w:rsidRPr="00257477">
        <w:rPr>
          <w:rFonts w:asciiTheme="majorBidi" w:hAnsiTheme="majorBidi" w:cstheme="majorBidi"/>
        </w:rPr>
        <w:t>martā.</w:t>
      </w:r>
    </w:p>
    <w:p w14:paraId="6902C3B9" w14:textId="4CB66098" w:rsidR="001045F2" w:rsidRPr="00257477" w:rsidRDefault="0015732C" w:rsidP="00257477">
      <w:pPr>
        <w:spacing w:line="276" w:lineRule="auto"/>
        <w:ind w:firstLine="720"/>
        <w:jc w:val="both"/>
        <w:rPr>
          <w:rFonts w:asciiTheme="majorBidi" w:hAnsiTheme="majorBidi" w:cstheme="majorBidi"/>
        </w:rPr>
      </w:pPr>
      <w:r w:rsidRPr="00257477">
        <w:rPr>
          <w:rFonts w:asciiTheme="majorBidi" w:hAnsiTheme="majorBidi" w:cstheme="majorBidi"/>
        </w:rPr>
        <w:t xml:space="preserve">Atbildētāja 2019. gada 11. marta vēstulē projektu </w:t>
      </w:r>
      <w:proofErr w:type="spellStart"/>
      <w:r w:rsidRPr="00257477">
        <w:rPr>
          <w:rFonts w:asciiTheme="majorBidi" w:hAnsiTheme="majorBidi" w:cstheme="majorBidi"/>
        </w:rPr>
        <w:t>pēcuzraudzības</w:t>
      </w:r>
      <w:proofErr w:type="spellEnd"/>
      <w:r w:rsidRPr="00257477">
        <w:rPr>
          <w:rFonts w:asciiTheme="majorBidi" w:hAnsiTheme="majorBidi" w:cstheme="majorBidi"/>
        </w:rPr>
        <w:t xml:space="preserve"> periodā skaidrojusi, kāpēc 2017. un 2018. gadā nav sasniegts kopējais plānotais neto apgrozījums, tai skaitā norādījusi, kādu ārējo faktoru ietekmē nav izdevies sasniegt plānoto apgrozījumu. Tāpat atbildētāja 2019. gada 25. martā sniegusi prasītājai papildu paskaidrojumus par projektiem. Neskatoties uz minēto, prasītāja piemērojusi finanšu korekciju 25 % no attiecināmajām izmaksām. Tomēr no lietas materiāliem un prasītājas paskaidrojumiem apelācijas instances tiesas sēdē neizriet pamatojums un </w:t>
      </w:r>
      <w:proofErr w:type="spellStart"/>
      <w:r w:rsidRPr="00257477">
        <w:rPr>
          <w:rFonts w:asciiTheme="majorBidi" w:hAnsiTheme="majorBidi" w:cstheme="majorBidi"/>
        </w:rPr>
        <w:t>izvērtējums</w:t>
      </w:r>
      <w:proofErr w:type="spellEnd"/>
      <w:r w:rsidRPr="00257477">
        <w:rPr>
          <w:rFonts w:asciiTheme="majorBidi" w:hAnsiTheme="majorBidi" w:cstheme="majorBidi"/>
        </w:rPr>
        <w:t xml:space="preserve"> finanšu korekcijas piemērošanai. </w:t>
      </w:r>
    </w:p>
    <w:p w14:paraId="2A1B7417" w14:textId="4323EA44" w:rsidR="001045F2" w:rsidRPr="00257477" w:rsidRDefault="009E4691" w:rsidP="00257477">
      <w:pPr>
        <w:spacing w:line="276" w:lineRule="auto"/>
        <w:ind w:firstLine="720"/>
        <w:jc w:val="both"/>
        <w:rPr>
          <w:rFonts w:asciiTheme="majorBidi" w:hAnsiTheme="majorBidi" w:cstheme="majorBidi"/>
        </w:rPr>
      </w:pPr>
      <w:r w:rsidRPr="00257477">
        <w:rPr>
          <w:rFonts w:asciiTheme="majorBidi" w:hAnsiTheme="majorBidi" w:cstheme="majorBidi"/>
        </w:rPr>
        <w:t xml:space="preserve">Nav strīda, ka atbildētāja ir saņēmusi finansējumu abu projektu īstenošanai, no tā savukārt secināms, ka </w:t>
      </w:r>
      <w:r w:rsidR="0015732C" w:rsidRPr="00257477">
        <w:rPr>
          <w:rFonts w:asciiTheme="majorBidi" w:hAnsiTheme="majorBidi" w:cstheme="majorBidi"/>
        </w:rPr>
        <w:t xml:space="preserve">abi </w:t>
      </w:r>
      <w:r w:rsidRPr="00257477">
        <w:rPr>
          <w:rFonts w:asciiTheme="majorBidi" w:hAnsiTheme="majorBidi" w:cstheme="majorBidi"/>
        </w:rPr>
        <w:t>līgumi ir izpildīti atbilstoši to no</w:t>
      </w:r>
      <w:r w:rsidR="0015732C" w:rsidRPr="00257477">
        <w:rPr>
          <w:rFonts w:asciiTheme="majorBidi" w:hAnsiTheme="majorBidi" w:cstheme="majorBidi"/>
        </w:rPr>
        <w:t>teikumiem</w:t>
      </w:r>
      <w:r w:rsidRPr="00257477">
        <w:rPr>
          <w:rFonts w:asciiTheme="majorBidi" w:hAnsiTheme="majorBidi" w:cstheme="majorBidi"/>
        </w:rPr>
        <w:t>. Minēto apstiprina prasītājas 2016.</w:t>
      </w:r>
      <w:r w:rsidR="0015732C" w:rsidRPr="00257477">
        <w:rPr>
          <w:rFonts w:asciiTheme="majorBidi" w:hAnsiTheme="majorBidi" w:cstheme="majorBidi"/>
        </w:rPr>
        <w:t> </w:t>
      </w:r>
      <w:r w:rsidRPr="00257477">
        <w:rPr>
          <w:rFonts w:asciiTheme="majorBidi" w:hAnsiTheme="majorBidi" w:cstheme="majorBidi"/>
        </w:rPr>
        <w:t>gada 30.</w:t>
      </w:r>
      <w:r w:rsidR="0015732C" w:rsidRPr="00257477">
        <w:rPr>
          <w:rFonts w:asciiTheme="majorBidi" w:hAnsiTheme="majorBidi" w:cstheme="majorBidi"/>
        </w:rPr>
        <w:t> </w:t>
      </w:r>
      <w:r w:rsidRPr="00257477">
        <w:rPr>
          <w:rFonts w:asciiTheme="majorBidi" w:hAnsiTheme="majorBidi" w:cstheme="majorBidi"/>
        </w:rPr>
        <w:t>marta vēstule par līguma Nr.</w:t>
      </w:r>
      <w:r w:rsidR="0015732C" w:rsidRPr="00257477">
        <w:rPr>
          <w:rFonts w:asciiTheme="majorBidi" w:hAnsiTheme="majorBidi" w:cstheme="majorBidi"/>
        </w:rPr>
        <w:t> </w:t>
      </w:r>
      <w:r w:rsidRPr="00257477">
        <w:rPr>
          <w:rFonts w:asciiTheme="majorBidi" w:hAnsiTheme="majorBidi" w:cstheme="majorBidi"/>
        </w:rPr>
        <w:t>1 atjaunošanu un atbalsta finansējuma izmaksu projektam Nr.</w:t>
      </w:r>
      <w:r w:rsidR="0015732C" w:rsidRPr="00257477">
        <w:rPr>
          <w:rFonts w:asciiTheme="majorBidi" w:hAnsiTheme="majorBidi" w:cstheme="majorBidi"/>
        </w:rPr>
        <w:t> </w:t>
      </w:r>
      <w:r w:rsidRPr="00257477">
        <w:rPr>
          <w:rFonts w:asciiTheme="majorBidi" w:hAnsiTheme="majorBidi" w:cstheme="majorBidi"/>
        </w:rPr>
        <w:t>1 un prasītājas 2016.</w:t>
      </w:r>
      <w:r w:rsidR="0015732C" w:rsidRPr="00257477">
        <w:rPr>
          <w:rFonts w:asciiTheme="majorBidi" w:hAnsiTheme="majorBidi" w:cstheme="majorBidi"/>
        </w:rPr>
        <w:t> </w:t>
      </w:r>
      <w:r w:rsidRPr="00257477">
        <w:rPr>
          <w:rFonts w:asciiTheme="majorBidi" w:hAnsiTheme="majorBidi" w:cstheme="majorBidi"/>
        </w:rPr>
        <w:t>gada 9.</w:t>
      </w:r>
      <w:r w:rsidR="0015732C" w:rsidRPr="00257477">
        <w:rPr>
          <w:rFonts w:asciiTheme="majorBidi" w:hAnsiTheme="majorBidi" w:cstheme="majorBidi"/>
        </w:rPr>
        <w:t> </w:t>
      </w:r>
      <w:r w:rsidRPr="00257477">
        <w:rPr>
          <w:rFonts w:asciiTheme="majorBidi" w:hAnsiTheme="majorBidi" w:cstheme="majorBidi"/>
        </w:rPr>
        <w:t>februāra vēstule par atbalsta finansējuma izmaksu projektam Nr.</w:t>
      </w:r>
      <w:r w:rsidR="00CB377C" w:rsidRPr="00257477">
        <w:rPr>
          <w:rFonts w:asciiTheme="majorBidi" w:hAnsiTheme="majorBidi" w:cstheme="majorBidi"/>
        </w:rPr>
        <w:t> </w:t>
      </w:r>
      <w:r w:rsidRPr="00257477">
        <w:rPr>
          <w:rFonts w:asciiTheme="majorBidi" w:hAnsiTheme="majorBidi" w:cstheme="majorBidi"/>
        </w:rPr>
        <w:t xml:space="preserve">2. </w:t>
      </w:r>
    </w:p>
    <w:p w14:paraId="4565A915" w14:textId="0EFA8ACD" w:rsidR="001045F2" w:rsidRPr="00257477" w:rsidRDefault="009E4691" w:rsidP="00257477">
      <w:pPr>
        <w:spacing w:line="276" w:lineRule="auto"/>
        <w:ind w:firstLine="720"/>
        <w:jc w:val="both"/>
        <w:rPr>
          <w:rFonts w:asciiTheme="majorBidi" w:hAnsiTheme="majorBidi" w:cstheme="majorBidi"/>
        </w:rPr>
      </w:pPr>
      <w:r w:rsidRPr="00257477">
        <w:rPr>
          <w:rFonts w:asciiTheme="majorBidi" w:hAnsiTheme="majorBidi" w:cstheme="majorBidi"/>
        </w:rPr>
        <w:t xml:space="preserve">Ievērojot, ka atbildētāja ir </w:t>
      </w:r>
      <w:r w:rsidR="00E4617D" w:rsidRPr="00257477">
        <w:rPr>
          <w:rFonts w:asciiTheme="majorBidi" w:hAnsiTheme="majorBidi" w:cstheme="majorBidi"/>
        </w:rPr>
        <w:t>sasniegusi</w:t>
      </w:r>
      <w:r w:rsidRPr="00257477">
        <w:rPr>
          <w:rFonts w:asciiTheme="majorBidi" w:hAnsiTheme="majorBidi" w:cstheme="majorBidi"/>
        </w:rPr>
        <w:t xml:space="preserve"> abu projektu mērķi – to īstenošanas rezultātā </w:t>
      </w:r>
      <w:r w:rsidR="00DF2145" w:rsidRPr="00257477">
        <w:rPr>
          <w:rFonts w:asciiTheme="majorBidi" w:hAnsiTheme="majorBidi" w:cstheme="majorBidi"/>
        </w:rPr>
        <w:t>tika radīti</w:t>
      </w:r>
      <w:r w:rsidRPr="00257477">
        <w:rPr>
          <w:rFonts w:asciiTheme="majorBidi" w:hAnsiTheme="majorBidi" w:cstheme="majorBidi"/>
        </w:rPr>
        <w:t xml:space="preserve"> inovatīv</w:t>
      </w:r>
      <w:r w:rsidR="00DF2145" w:rsidRPr="00257477">
        <w:rPr>
          <w:rFonts w:asciiTheme="majorBidi" w:hAnsiTheme="majorBidi" w:cstheme="majorBidi"/>
        </w:rPr>
        <w:t>i</w:t>
      </w:r>
      <w:r w:rsidRPr="00257477">
        <w:rPr>
          <w:rFonts w:asciiTheme="majorBidi" w:hAnsiTheme="majorBidi" w:cstheme="majorBidi"/>
        </w:rPr>
        <w:t xml:space="preserve"> produkt</w:t>
      </w:r>
      <w:r w:rsidR="00DF2145" w:rsidRPr="00257477">
        <w:rPr>
          <w:rFonts w:asciiTheme="majorBidi" w:hAnsiTheme="majorBidi" w:cstheme="majorBidi"/>
        </w:rPr>
        <w:t>i</w:t>
      </w:r>
      <w:r w:rsidRPr="00257477">
        <w:rPr>
          <w:rFonts w:asciiTheme="majorBidi" w:hAnsiTheme="majorBidi" w:cstheme="majorBidi"/>
        </w:rPr>
        <w:t xml:space="preserve"> – siltumizolācijas materiāla bāze </w:t>
      </w:r>
      <w:r w:rsidR="00726059" w:rsidRPr="00257477">
        <w:rPr>
          <w:rFonts w:asciiTheme="majorBidi" w:hAnsiTheme="majorBidi" w:cstheme="majorBidi"/>
        </w:rPr>
        <w:t>„</w:t>
      </w:r>
      <w:proofErr w:type="spellStart"/>
      <w:r w:rsidR="00726059" w:rsidRPr="00257477">
        <w:rPr>
          <w:rFonts w:asciiTheme="majorBidi" w:hAnsiTheme="majorBidi" w:cstheme="majorBidi"/>
        </w:rPr>
        <w:t>Izoprok</w:t>
      </w:r>
      <w:proofErr w:type="spellEnd"/>
      <w:r w:rsidR="00726059" w:rsidRPr="00257477">
        <w:rPr>
          <w:rFonts w:asciiTheme="majorBidi" w:hAnsiTheme="majorBidi" w:cstheme="majorBidi"/>
        </w:rPr>
        <w:t xml:space="preserve">” </w:t>
      </w:r>
      <w:r w:rsidRPr="00257477">
        <w:rPr>
          <w:rFonts w:asciiTheme="majorBidi" w:hAnsiTheme="majorBidi" w:cstheme="majorBidi"/>
        </w:rPr>
        <w:t xml:space="preserve">un siltumizolācijas materiāls </w:t>
      </w:r>
      <w:r w:rsidR="00726059" w:rsidRPr="00257477">
        <w:rPr>
          <w:rFonts w:asciiTheme="majorBidi" w:hAnsiTheme="majorBidi" w:cstheme="majorBidi"/>
        </w:rPr>
        <w:t>„</w:t>
      </w:r>
      <w:proofErr w:type="spellStart"/>
      <w:r w:rsidR="00726059" w:rsidRPr="00257477">
        <w:rPr>
          <w:rFonts w:asciiTheme="majorBidi" w:hAnsiTheme="majorBidi" w:cstheme="majorBidi"/>
        </w:rPr>
        <w:t>Isopearl</w:t>
      </w:r>
      <w:proofErr w:type="spellEnd"/>
      <w:r w:rsidR="00726059" w:rsidRPr="00257477">
        <w:rPr>
          <w:rFonts w:asciiTheme="majorBidi" w:hAnsiTheme="majorBidi" w:cstheme="majorBidi"/>
        </w:rPr>
        <w:t>”</w:t>
      </w:r>
      <w:r w:rsidR="00D57E68" w:rsidRPr="00257477">
        <w:rPr>
          <w:rFonts w:asciiTheme="majorBidi" w:hAnsiTheme="majorBidi" w:cstheme="majorBidi"/>
        </w:rPr>
        <w:t xml:space="preserve"> </w:t>
      </w:r>
      <w:r w:rsidR="00726059" w:rsidRPr="00257477">
        <w:rPr>
          <w:rFonts w:asciiTheme="majorBidi" w:hAnsiTheme="majorBidi" w:cstheme="majorBidi"/>
        </w:rPr>
        <w:t xml:space="preserve">– </w:t>
      </w:r>
      <w:r w:rsidRPr="00257477">
        <w:rPr>
          <w:rFonts w:asciiTheme="majorBidi" w:hAnsiTheme="majorBidi" w:cstheme="majorBidi"/>
        </w:rPr>
        <w:t xml:space="preserve">un prasītāja, izmaksājot atbildētājai atbalsta finansējumu, faktiski ir atzinusi, ka abi līgumi ir izpildīti, nav samērīgi atprasīt atbalsta finansējuma daļu tā apstākļa dēļ, ka atbildētāja nav sasniegusi plānoto peļņas apjomu inovatīvam produktam. </w:t>
      </w:r>
      <w:r w:rsidR="00DF2145" w:rsidRPr="00257477">
        <w:rPr>
          <w:rFonts w:asciiTheme="majorBidi" w:hAnsiTheme="majorBidi" w:cstheme="majorBidi"/>
        </w:rPr>
        <w:t xml:space="preserve">No </w:t>
      </w:r>
      <w:r w:rsidRPr="00257477">
        <w:rPr>
          <w:rFonts w:asciiTheme="majorBidi" w:hAnsiTheme="majorBidi" w:cstheme="majorBidi"/>
        </w:rPr>
        <w:t xml:space="preserve">dzīvē gūtiem novērojumiem </w:t>
      </w:r>
      <w:r w:rsidR="00DF2145" w:rsidRPr="00257477">
        <w:rPr>
          <w:rFonts w:asciiTheme="majorBidi" w:hAnsiTheme="majorBidi" w:cstheme="majorBidi"/>
        </w:rPr>
        <w:t>izriet</w:t>
      </w:r>
      <w:r w:rsidRPr="00257477">
        <w:rPr>
          <w:rFonts w:asciiTheme="majorBidi" w:hAnsiTheme="majorBidi" w:cstheme="majorBidi"/>
        </w:rPr>
        <w:t>, ka uzņēmumam nav iespējams paredzēt plānoto peļņu no produkta pārdošanas četrus vai vairāk gadus pēc projekta īstenošanas, jo uzņēmējdarbība ir atkarīga ne tikai no paša uzņēmuma darbībām, bet arī no ārējiem faktoriem.</w:t>
      </w:r>
      <w:r w:rsidR="000D478B" w:rsidRPr="00257477">
        <w:rPr>
          <w:rFonts w:asciiTheme="majorBidi" w:hAnsiTheme="majorBidi" w:cstheme="majorBidi"/>
        </w:rPr>
        <w:t xml:space="preserve"> </w:t>
      </w:r>
      <w:r w:rsidRPr="00257477">
        <w:rPr>
          <w:rFonts w:asciiTheme="majorBidi" w:hAnsiTheme="majorBidi" w:cstheme="majorBidi"/>
        </w:rPr>
        <w:t xml:space="preserve">Prasītāja pirms atbalsta finansējuma izmaksas ir izvērtējusi atbalsta finansējuma piešķiršanas pamatotību, savukārt atbildētāja atbalsta finansējumu ir </w:t>
      </w:r>
      <w:r w:rsidRPr="00257477">
        <w:rPr>
          <w:rFonts w:asciiTheme="majorBidi" w:hAnsiTheme="majorBidi" w:cstheme="majorBidi"/>
        </w:rPr>
        <w:lastRenderedPageBreak/>
        <w:t xml:space="preserve">izmantojusi, lai sasniegtu projektos norādīto mērķi. Tādējādi apstākļos, kad projektu mērķis ir sasniegts, </w:t>
      </w:r>
      <w:r w:rsidR="00DF2145" w:rsidRPr="00257477">
        <w:rPr>
          <w:rFonts w:asciiTheme="majorBidi" w:hAnsiTheme="majorBidi" w:cstheme="majorBidi"/>
        </w:rPr>
        <w:t>finanšu korekcijas piemērošanai nav pamata.</w:t>
      </w:r>
    </w:p>
    <w:p w14:paraId="681451CF" w14:textId="28FD5896" w:rsidR="001045F2" w:rsidRPr="00257477" w:rsidRDefault="009E4691" w:rsidP="00257477">
      <w:pPr>
        <w:spacing w:line="276" w:lineRule="auto"/>
        <w:ind w:firstLine="720"/>
        <w:jc w:val="both"/>
        <w:rPr>
          <w:rFonts w:asciiTheme="majorBidi" w:hAnsiTheme="majorBidi" w:cstheme="majorBidi"/>
        </w:rPr>
      </w:pPr>
      <w:r w:rsidRPr="00257477">
        <w:rPr>
          <w:rFonts w:asciiTheme="majorBidi" w:hAnsiTheme="majorBidi" w:cstheme="majorBidi"/>
        </w:rPr>
        <w:t xml:space="preserve">Tāpat jāņem vērā, ka atbildētājas ražotais projekts ir inovatīvs, kas savukārt var nozīmēt, ka no šī produkta var neizdoties gūt peļņu uzreiz vai sākotnēji plānotajos termiņos, </w:t>
      </w:r>
      <w:r w:rsidR="000D478B" w:rsidRPr="00257477">
        <w:rPr>
          <w:rFonts w:asciiTheme="majorBidi" w:hAnsiTheme="majorBidi" w:cstheme="majorBidi"/>
        </w:rPr>
        <w:t>turklāt ir vispārzināms</w:t>
      </w:r>
      <w:r w:rsidRPr="00257477">
        <w:rPr>
          <w:rFonts w:asciiTheme="majorBidi" w:hAnsiTheme="majorBidi" w:cstheme="majorBidi"/>
        </w:rPr>
        <w:t>, ka</w:t>
      </w:r>
      <w:r w:rsidR="00E4617D" w:rsidRPr="00257477">
        <w:rPr>
          <w:rFonts w:asciiTheme="majorBidi" w:hAnsiTheme="majorBidi" w:cstheme="majorBidi"/>
        </w:rPr>
        <w:t>,</w:t>
      </w:r>
      <w:r w:rsidRPr="00257477">
        <w:rPr>
          <w:rFonts w:asciiTheme="majorBidi" w:hAnsiTheme="majorBidi" w:cstheme="majorBidi"/>
        </w:rPr>
        <w:t xml:space="preserve"> sākot ar 2020.</w:t>
      </w:r>
      <w:r w:rsidR="000D478B" w:rsidRPr="00257477">
        <w:rPr>
          <w:rFonts w:asciiTheme="majorBidi" w:hAnsiTheme="majorBidi" w:cstheme="majorBidi"/>
        </w:rPr>
        <w:t> </w:t>
      </w:r>
      <w:r w:rsidRPr="00257477">
        <w:rPr>
          <w:rFonts w:asciiTheme="majorBidi" w:hAnsiTheme="majorBidi" w:cstheme="majorBidi"/>
        </w:rPr>
        <w:t>gada pavasari</w:t>
      </w:r>
      <w:r w:rsidR="00E4617D" w:rsidRPr="00257477">
        <w:rPr>
          <w:rFonts w:asciiTheme="majorBidi" w:hAnsiTheme="majorBidi" w:cstheme="majorBidi"/>
        </w:rPr>
        <w:t>,</w:t>
      </w:r>
      <w:r w:rsidRPr="00257477">
        <w:rPr>
          <w:rFonts w:asciiTheme="majorBidi" w:hAnsiTheme="majorBidi" w:cstheme="majorBidi"/>
        </w:rPr>
        <w:t xml:space="preserve"> uzņēmējdarbība tika ievērojami apgrūtināta saistībā ar koronavīrusa Covid-19 izplatības ierobežošanas pasākumiem.</w:t>
      </w:r>
    </w:p>
    <w:p w14:paraId="6E936177" w14:textId="3EBFDFE9" w:rsidR="001045F2" w:rsidRPr="00257477" w:rsidRDefault="009E4691" w:rsidP="00257477">
      <w:pPr>
        <w:spacing w:line="276" w:lineRule="auto"/>
        <w:ind w:firstLine="720"/>
        <w:jc w:val="both"/>
        <w:rPr>
          <w:rFonts w:asciiTheme="majorBidi" w:hAnsiTheme="majorBidi" w:cstheme="majorBidi"/>
        </w:rPr>
      </w:pPr>
      <w:r w:rsidRPr="00257477">
        <w:rPr>
          <w:rFonts w:asciiTheme="majorBidi" w:hAnsiTheme="majorBidi" w:cstheme="majorBidi"/>
        </w:rPr>
        <w:t xml:space="preserve">Ņemot vērā minēto, atzīstams, ka nav pamata uzskatīt, ka atbildētāja nav izpildījusi </w:t>
      </w:r>
      <w:r w:rsidR="000D478B" w:rsidRPr="00257477">
        <w:rPr>
          <w:rFonts w:asciiTheme="majorBidi" w:hAnsiTheme="majorBidi" w:cstheme="majorBidi"/>
        </w:rPr>
        <w:t xml:space="preserve">abu </w:t>
      </w:r>
      <w:r w:rsidRPr="00257477">
        <w:rPr>
          <w:rFonts w:asciiTheme="majorBidi" w:hAnsiTheme="majorBidi" w:cstheme="majorBidi"/>
        </w:rPr>
        <w:t>līgumu prasības. Prasītājas projektu novērtējums ir formāls, jo bez ievērības ir atstāts apstāklis, ka atbildētāja prognozes par projekta īstenošanas rezultātā tapušā inovatīvā produkta apgrozījumu faktiski bija attiecināmas uz īsāku termiņu, t.</w:t>
      </w:r>
      <w:r w:rsidR="000D478B" w:rsidRPr="00257477">
        <w:rPr>
          <w:rFonts w:asciiTheme="majorBidi" w:hAnsiTheme="majorBidi" w:cstheme="majorBidi"/>
        </w:rPr>
        <w:t> </w:t>
      </w:r>
      <w:r w:rsidRPr="00257477">
        <w:rPr>
          <w:rFonts w:asciiTheme="majorBidi" w:hAnsiTheme="majorBidi" w:cstheme="majorBidi"/>
        </w:rPr>
        <w:t>i.</w:t>
      </w:r>
      <w:r w:rsidR="000D478B" w:rsidRPr="00257477">
        <w:rPr>
          <w:rFonts w:asciiTheme="majorBidi" w:hAnsiTheme="majorBidi" w:cstheme="majorBidi"/>
        </w:rPr>
        <w:t>, uz</w:t>
      </w:r>
      <w:r w:rsidRPr="00257477">
        <w:rPr>
          <w:rFonts w:asciiTheme="majorBidi" w:hAnsiTheme="majorBidi" w:cstheme="majorBidi"/>
        </w:rPr>
        <w:t xml:space="preserve"> </w:t>
      </w:r>
      <w:r w:rsidR="00F215F9" w:rsidRPr="00257477">
        <w:rPr>
          <w:rFonts w:asciiTheme="majorBidi" w:hAnsiTheme="majorBidi" w:cstheme="majorBidi"/>
        </w:rPr>
        <w:t>trīs četriem</w:t>
      </w:r>
      <w:r w:rsidRPr="00257477">
        <w:rPr>
          <w:rFonts w:asciiTheme="majorBidi" w:hAnsiTheme="majorBidi" w:cstheme="majorBidi"/>
        </w:rPr>
        <w:t xml:space="preserve"> gadi</w:t>
      </w:r>
      <w:r w:rsidR="000D478B" w:rsidRPr="00257477">
        <w:rPr>
          <w:rFonts w:asciiTheme="majorBidi" w:hAnsiTheme="majorBidi" w:cstheme="majorBidi"/>
        </w:rPr>
        <w:t>em un</w:t>
      </w:r>
      <w:r w:rsidRPr="00257477">
        <w:rPr>
          <w:rFonts w:asciiTheme="majorBidi" w:hAnsiTheme="majorBidi" w:cstheme="majorBidi"/>
        </w:rPr>
        <w:t xml:space="preserve"> nevis </w:t>
      </w:r>
      <w:r w:rsidR="00F215F9" w:rsidRPr="00257477">
        <w:rPr>
          <w:rFonts w:asciiTheme="majorBidi" w:hAnsiTheme="majorBidi" w:cstheme="majorBidi"/>
        </w:rPr>
        <w:t>septiņiem astoņiem</w:t>
      </w:r>
      <w:r w:rsidRPr="00257477">
        <w:rPr>
          <w:rFonts w:asciiTheme="majorBidi" w:hAnsiTheme="majorBidi" w:cstheme="majorBidi"/>
        </w:rPr>
        <w:t xml:space="preserve"> gadi</w:t>
      </w:r>
      <w:r w:rsidR="000D478B" w:rsidRPr="00257477">
        <w:rPr>
          <w:rFonts w:asciiTheme="majorBidi" w:hAnsiTheme="majorBidi" w:cstheme="majorBidi"/>
        </w:rPr>
        <w:t>em</w:t>
      </w:r>
      <w:r w:rsidRPr="00257477">
        <w:rPr>
          <w:rFonts w:asciiTheme="majorBidi" w:hAnsiTheme="majorBidi" w:cstheme="majorBidi"/>
        </w:rPr>
        <w:t>.</w:t>
      </w:r>
    </w:p>
    <w:p w14:paraId="06BEEF75" w14:textId="09B5A603" w:rsidR="001045F2" w:rsidRPr="00257477" w:rsidRDefault="009E4691" w:rsidP="00257477">
      <w:pPr>
        <w:spacing w:line="276" w:lineRule="auto"/>
        <w:ind w:firstLine="720"/>
        <w:jc w:val="both"/>
        <w:rPr>
          <w:rFonts w:asciiTheme="majorBidi" w:hAnsiTheme="majorBidi" w:cstheme="majorBidi"/>
        </w:rPr>
      </w:pPr>
      <w:r w:rsidRPr="00257477">
        <w:rPr>
          <w:rFonts w:asciiTheme="majorBidi" w:hAnsiTheme="majorBidi" w:cstheme="majorBidi"/>
        </w:rPr>
        <w:t>Konkrētajā gadījumā, kad kopējais projekt</w:t>
      </w:r>
      <w:r w:rsidR="000D478B" w:rsidRPr="00257477">
        <w:rPr>
          <w:rFonts w:asciiTheme="majorBidi" w:hAnsiTheme="majorBidi" w:cstheme="majorBidi"/>
        </w:rPr>
        <w:t>u</w:t>
      </w:r>
      <w:r w:rsidRPr="00257477">
        <w:rPr>
          <w:rFonts w:asciiTheme="majorBidi" w:hAnsiTheme="majorBidi" w:cstheme="majorBidi"/>
        </w:rPr>
        <w:t xml:space="preserve"> mērķis ir sasniegts, par ko lietā nav strīda, bet atbildētājai nav izdevies sasniegt peļņu sākotnēji plānotajā apmērā, atzīstams, ka no atbildētājas nav taisnīgi pieprasīt atmaksāt saņemtā atbalsta finansējuma daļu. </w:t>
      </w:r>
      <w:r w:rsidR="00F215F9" w:rsidRPr="00257477">
        <w:rPr>
          <w:rFonts w:asciiTheme="majorBidi" w:hAnsiTheme="majorBidi" w:cstheme="majorBidi"/>
        </w:rPr>
        <w:t>Jo</w:t>
      </w:r>
      <w:r w:rsidRPr="00257477">
        <w:rPr>
          <w:rFonts w:asciiTheme="majorBidi" w:hAnsiTheme="majorBidi" w:cstheme="majorBidi"/>
        </w:rPr>
        <w:t xml:space="preserve"> projektu mērķis ir sasniegts – </w:t>
      </w:r>
      <w:r w:rsidR="000D478B" w:rsidRPr="00257477">
        <w:rPr>
          <w:rFonts w:asciiTheme="majorBidi" w:hAnsiTheme="majorBidi" w:cstheme="majorBidi"/>
        </w:rPr>
        <w:t xml:space="preserve">ir uzsākta </w:t>
      </w:r>
      <w:r w:rsidRPr="00257477">
        <w:rPr>
          <w:rFonts w:asciiTheme="majorBidi" w:hAnsiTheme="majorBidi" w:cstheme="majorBidi"/>
        </w:rPr>
        <w:t>inovatīva produkta ražošan</w:t>
      </w:r>
      <w:r w:rsidR="000D478B" w:rsidRPr="00257477">
        <w:rPr>
          <w:rFonts w:asciiTheme="majorBidi" w:hAnsiTheme="majorBidi" w:cstheme="majorBidi"/>
        </w:rPr>
        <w:t>a un tas tiek</w:t>
      </w:r>
      <w:r w:rsidRPr="00257477">
        <w:rPr>
          <w:rFonts w:asciiTheme="majorBidi" w:hAnsiTheme="majorBidi" w:cstheme="majorBidi"/>
        </w:rPr>
        <w:t xml:space="preserve"> ražots. Projekti nav izpildīti tikai daļā par prognozējamās peļņas apmēra sasniegšanu, ko savukārt ietekmē dažādi ārējie faktori. </w:t>
      </w:r>
    </w:p>
    <w:p w14:paraId="4F4D2711" w14:textId="76A946A3" w:rsidR="0009485D" w:rsidRPr="00257477" w:rsidRDefault="0009485D" w:rsidP="00257477">
      <w:pPr>
        <w:spacing w:line="276" w:lineRule="auto"/>
        <w:ind w:firstLine="720"/>
        <w:jc w:val="both"/>
        <w:rPr>
          <w:rFonts w:asciiTheme="majorBidi" w:hAnsiTheme="majorBidi" w:cstheme="majorBidi"/>
        </w:rPr>
      </w:pPr>
      <w:r w:rsidRPr="00257477">
        <w:rPr>
          <w:rFonts w:asciiTheme="majorBidi" w:hAnsiTheme="majorBidi" w:cstheme="majorBidi"/>
        </w:rPr>
        <w:t>[3.3]</w:t>
      </w:r>
      <w:r w:rsidR="005A5BE7" w:rsidRPr="00257477">
        <w:rPr>
          <w:rFonts w:asciiTheme="majorBidi" w:hAnsiTheme="majorBidi" w:cstheme="majorBidi"/>
        </w:rPr>
        <w:t> </w:t>
      </w:r>
      <w:r w:rsidRPr="00257477">
        <w:rPr>
          <w:rFonts w:asciiTheme="majorBidi" w:hAnsiTheme="majorBidi" w:cstheme="majorBidi"/>
        </w:rPr>
        <w:t xml:space="preserve">Ņemot vērā minēto un vadoties no taisnīguma principa, atzīstams, ka prasība par izmaksātā atbalsta finansējuma daļas atmaksu ir noraidāma. </w:t>
      </w:r>
    </w:p>
    <w:p w14:paraId="65F521C9" w14:textId="786B8152" w:rsidR="001045F2" w:rsidRPr="00257477" w:rsidRDefault="0009485D" w:rsidP="00257477">
      <w:pPr>
        <w:spacing w:line="276" w:lineRule="auto"/>
        <w:ind w:firstLine="720"/>
        <w:jc w:val="both"/>
        <w:rPr>
          <w:rFonts w:asciiTheme="majorBidi" w:hAnsiTheme="majorBidi" w:cstheme="majorBidi"/>
        </w:rPr>
      </w:pPr>
      <w:r w:rsidRPr="00257477">
        <w:rPr>
          <w:rFonts w:asciiTheme="majorBidi" w:hAnsiTheme="majorBidi" w:cstheme="majorBidi"/>
        </w:rPr>
        <w:t xml:space="preserve">Līdz ar to prasība ir noraidāma arī daļā par nokavējuma procentu piedziņu. </w:t>
      </w:r>
    </w:p>
    <w:p w14:paraId="205E4166" w14:textId="77777777" w:rsidR="001045F2" w:rsidRPr="00257477" w:rsidRDefault="001045F2" w:rsidP="00257477">
      <w:pPr>
        <w:shd w:val="clear" w:color="auto" w:fill="FFFFFF"/>
        <w:spacing w:line="276" w:lineRule="auto"/>
        <w:ind w:firstLine="720"/>
        <w:jc w:val="both"/>
        <w:rPr>
          <w:rFonts w:asciiTheme="majorBidi" w:hAnsiTheme="majorBidi" w:cstheme="majorBidi"/>
        </w:rPr>
      </w:pPr>
    </w:p>
    <w:p w14:paraId="62A06D92" w14:textId="0BFF1F03" w:rsidR="0009485D" w:rsidRPr="00257477" w:rsidRDefault="0009485D" w:rsidP="00257477">
      <w:pPr>
        <w:spacing w:line="276" w:lineRule="auto"/>
        <w:ind w:firstLine="720"/>
        <w:jc w:val="both"/>
        <w:rPr>
          <w:rFonts w:asciiTheme="majorBidi" w:hAnsiTheme="majorBidi" w:cstheme="majorBidi"/>
          <w:lang w:eastAsia="en-US"/>
        </w:rPr>
      </w:pPr>
      <w:r w:rsidRPr="00257477">
        <w:rPr>
          <w:rFonts w:asciiTheme="majorBidi" w:hAnsiTheme="majorBidi" w:cstheme="majorBidi"/>
          <w:lang w:eastAsia="en-US"/>
        </w:rPr>
        <w:t>[4] Par minēto spriedumu prasītāja iesniedza kasācijas sūdzību, kurā lūdz</w:t>
      </w:r>
      <w:r w:rsidR="00B274EE" w:rsidRPr="00257477">
        <w:rPr>
          <w:rFonts w:asciiTheme="majorBidi" w:hAnsiTheme="majorBidi" w:cstheme="majorBidi"/>
          <w:lang w:eastAsia="en-US"/>
        </w:rPr>
        <w:t>a</w:t>
      </w:r>
      <w:r w:rsidRPr="00257477">
        <w:rPr>
          <w:rFonts w:asciiTheme="majorBidi" w:hAnsiTheme="majorBidi" w:cstheme="majorBidi"/>
          <w:lang w:eastAsia="en-US"/>
        </w:rPr>
        <w:t xml:space="preserve"> </w:t>
      </w:r>
      <w:r w:rsidR="00B274EE" w:rsidRPr="00257477">
        <w:rPr>
          <w:rFonts w:asciiTheme="majorBidi" w:hAnsiTheme="majorBidi" w:cstheme="majorBidi"/>
          <w:lang w:eastAsia="en-US"/>
        </w:rPr>
        <w:t xml:space="preserve">apelācijas instances tiesas </w:t>
      </w:r>
      <w:r w:rsidRPr="00257477">
        <w:rPr>
          <w:rFonts w:asciiTheme="majorBidi" w:hAnsiTheme="majorBidi" w:cstheme="majorBidi"/>
          <w:lang w:eastAsia="en-US"/>
        </w:rPr>
        <w:t>spriedumu atcelt un nodot lietu jaunai izskatīšanai apelācijas instances tiesā.</w:t>
      </w:r>
    </w:p>
    <w:p w14:paraId="3F986257" w14:textId="77777777" w:rsidR="0009485D" w:rsidRPr="00257477" w:rsidRDefault="0009485D" w:rsidP="00257477">
      <w:pPr>
        <w:spacing w:line="276" w:lineRule="auto"/>
        <w:ind w:firstLine="720"/>
        <w:jc w:val="both"/>
        <w:rPr>
          <w:rFonts w:asciiTheme="majorBidi" w:hAnsiTheme="majorBidi" w:cstheme="majorBidi"/>
          <w:lang w:eastAsia="en-US"/>
        </w:rPr>
      </w:pPr>
      <w:r w:rsidRPr="00257477">
        <w:rPr>
          <w:rFonts w:asciiTheme="majorBidi" w:hAnsiTheme="majorBidi" w:cstheme="majorBidi"/>
          <w:lang w:eastAsia="en-US"/>
        </w:rPr>
        <w:t xml:space="preserve">Kasācijas sūdzība pamatota ar šādiem argumentiem. </w:t>
      </w:r>
    </w:p>
    <w:p w14:paraId="1E18D7E6" w14:textId="7CE6777A" w:rsidR="001045F2" w:rsidRPr="00257477" w:rsidRDefault="009E4691" w:rsidP="00257477">
      <w:pPr>
        <w:spacing w:line="276" w:lineRule="auto"/>
        <w:ind w:firstLine="720"/>
        <w:jc w:val="both"/>
        <w:rPr>
          <w:rFonts w:asciiTheme="majorBidi" w:hAnsiTheme="majorBidi" w:cstheme="majorBidi"/>
        </w:rPr>
      </w:pPr>
      <w:r w:rsidRPr="00257477">
        <w:rPr>
          <w:rFonts w:asciiTheme="majorBidi" w:hAnsiTheme="majorBidi" w:cstheme="majorBidi"/>
        </w:rPr>
        <w:t>[</w:t>
      </w:r>
      <w:r w:rsidR="0009485D" w:rsidRPr="00257477">
        <w:rPr>
          <w:rFonts w:asciiTheme="majorBidi" w:hAnsiTheme="majorBidi" w:cstheme="majorBidi"/>
        </w:rPr>
        <w:t>4</w:t>
      </w:r>
      <w:r w:rsidRPr="00257477">
        <w:rPr>
          <w:rFonts w:asciiTheme="majorBidi" w:hAnsiTheme="majorBidi" w:cstheme="majorBidi"/>
        </w:rPr>
        <w:t xml:space="preserve">.1] Tiesa kļūdaini </w:t>
      </w:r>
      <w:r w:rsidR="0009485D" w:rsidRPr="00257477">
        <w:rPr>
          <w:rFonts w:asciiTheme="majorBidi" w:hAnsiTheme="majorBidi" w:cstheme="majorBidi"/>
        </w:rPr>
        <w:t xml:space="preserve">iztulkojusi </w:t>
      </w:r>
      <w:r w:rsidRPr="00257477">
        <w:rPr>
          <w:rFonts w:asciiTheme="majorBidi" w:hAnsiTheme="majorBidi" w:cstheme="majorBidi"/>
        </w:rPr>
        <w:t xml:space="preserve">tiesību normas un prasītājas viedokli par projektu mērķa sasniegšanu. </w:t>
      </w:r>
    </w:p>
    <w:p w14:paraId="3A1F4DD3" w14:textId="4601811E" w:rsidR="001045F2" w:rsidRPr="00257477" w:rsidRDefault="009E4691" w:rsidP="00257477">
      <w:pPr>
        <w:pStyle w:val="Default"/>
        <w:spacing w:line="276" w:lineRule="auto"/>
        <w:ind w:firstLine="720"/>
        <w:jc w:val="both"/>
        <w:rPr>
          <w:rFonts w:asciiTheme="majorBidi" w:hAnsiTheme="majorBidi" w:cstheme="majorBidi"/>
          <w:color w:val="auto"/>
        </w:rPr>
      </w:pPr>
      <w:r w:rsidRPr="00257477">
        <w:rPr>
          <w:rFonts w:asciiTheme="majorBidi" w:hAnsiTheme="majorBidi" w:cstheme="majorBidi"/>
          <w:color w:val="auto"/>
        </w:rPr>
        <w:t>[</w:t>
      </w:r>
      <w:r w:rsidR="0009485D" w:rsidRPr="00257477">
        <w:rPr>
          <w:rFonts w:asciiTheme="majorBidi" w:hAnsiTheme="majorBidi" w:cstheme="majorBidi"/>
          <w:color w:val="auto"/>
        </w:rPr>
        <w:t>4</w:t>
      </w:r>
      <w:r w:rsidRPr="00257477">
        <w:rPr>
          <w:rFonts w:asciiTheme="majorBidi" w:hAnsiTheme="majorBidi" w:cstheme="majorBidi"/>
          <w:color w:val="auto"/>
        </w:rPr>
        <w:t>.1.1]</w:t>
      </w:r>
      <w:r w:rsidR="005A5BE7" w:rsidRPr="00257477">
        <w:rPr>
          <w:rFonts w:asciiTheme="majorBidi" w:hAnsiTheme="majorBidi" w:cstheme="majorBidi"/>
          <w:color w:val="auto"/>
        </w:rPr>
        <w:t> </w:t>
      </w:r>
      <w:r w:rsidRPr="00257477">
        <w:rPr>
          <w:rFonts w:asciiTheme="majorBidi" w:hAnsiTheme="majorBidi" w:cstheme="majorBidi"/>
          <w:color w:val="auto"/>
        </w:rPr>
        <w:t xml:space="preserve">Prasītājas pārstāve apelācijas tiesas sēdē </w:t>
      </w:r>
      <w:r w:rsidR="00F215F9" w:rsidRPr="00257477">
        <w:rPr>
          <w:rFonts w:asciiTheme="majorBidi" w:hAnsiTheme="majorBidi" w:cstheme="majorBidi"/>
          <w:color w:val="auto"/>
        </w:rPr>
        <w:t>atzinusi</w:t>
      </w:r>
      <w:r w:rsidRPr="00257477">
        <w:rPr>
          <w:rFonts w:asciiTheme="majorBidi" w:hAnsiTheme="majorBidi" w:cstheme="majorBidi"/>
          <w:color w:val="auto"/>
        </w:rPr>
        <w:t>, ka projekta mērķis ir sasniegts daļēji. Proti, p</w:t>
      </w:r>
      <w:r w:rsidRPr="00257477">
        <w:rPr>
          <w:rFonts w:asciiTheme="majorBidi" w:hAnsiTheme="majorBidi" w:cstheme="majorBidi"/>
          <w:iCs/>
          <w:color w:val="auto"/>
        </w:rPr>
        <w:t>rojekta mērķis – iegādāties iekārtas un ražot produktu – ir sasniegts, bet nav sasniegti mērķi, kas saist</w:t>
      </w:r>
      <w:r w:rsidR="00B274EE" w:rsidRPr="00257477">
        <w:rPr>
          <w:rFonts w:asciiTheme="majorBidi" w:hAnsiTheme="majorBidi" w:cstheme="majorBidi"/>
          <w:iCs/>
          <w:color w:val="auto"/>
        </w:rPr>
        <w:t xml:space="preserve">īti </w:t>
      </w:r>
      <w:r w:rsidRPr="00257477">
        <w:rPr>
          <w:rFonts w:asciiTheme="majorBidi" w:hAnsiTheme="majorBidi" w:cstheme="majorBidi"/>
          <w:iCs/>
          <w:color w:val="auto"/>
        </w:rPr>
        <w:t>ar produkcijas eksportu un peļņas rādītājiem</w:t>
      </w:r>
      <w:r w:rsidRPr="00257477">
        <w:rPr>
          <w:rFonts w:asciiTheme="majorBidi" w:hAnsiTheme="majorBidi" w:cstheme="majorBidi"/>
          <w:color w:val="auto"/>
        </w:rPr>
        <w:t xml:space="preserve">. No prasības pieteikuma, paskaidrojumiem par apelācijas sūdzību un tiesas sēžu </w:t>
      </w:r>
      <w:r w:rsidR="0009485D" w:rsidRPr="00257477">
        <w:rPr>
          <w:rFonts w:asciiTheme="majorBidi" w:hAnsiTheme="majorBidi" w:cstheme="majorBidi"/>
          <w:color w:val="auto"/>
        </w:rPr>
        <w:t xml:space="preserve">skaņu </w:t>
      </w:r>
      <w:r w:rsidRPr="00257477">
        <w:rPr>
          <w:rFonts w:asciiTheme="majorBidi" w:hAnsiTheme="majorBidi" w:cstheme="majorBidi"/>
          <w:color w:val="auto"/>
        </w:rPr>
        <w:t>ierakstiem izriet, ka starp pusēm ir strīds par atbildētājas pienākumu nodrošināt projektos paredzēto rezultatīvo r</w:t>
      </w:r>
      <w:r w:rsidR="00F215F9" w:rsidRPr="00257477">
        <w:rPr>
          <w:rFonts w:asciiTheme="majorBidi" w:hAnsiTheme="majorBidi" w:cstheme="majorBidi"/>
          <w:color w:val="auto"/>
        </w:rPr>
        <w:t>ā</w:t>
      </w:r>
      <w:r w:rsidRPr="00257477">
        <w:rPr>
          <w:rFonts w:asciiTheme="majorBidi" w:hAnsiTheme="majorBidi" w:cstheme="majorBidi"/>
          <w:color w:val="auto"/>
        </w:rPr>
        <w:t>dītāju izpildi.</w:t>
      </w:r>
    </w:p>
    <w:p w14:paraId="5DF96520" w14:textId="568085F8" w:rsidR="001045F2" w:rsidRPr="00257477" w:rsidRDefault="009E4691" w:rsidP="00257477">
      <w:pPr>
        <w:pStyle w:val="Default"/>
        <w:spacing w:line="276" w:lineRule="auto"/>
        <w:ind w:firstLine="720"/>
        <w:jc w:val="both"/>
        <w:rPr>
          <w:rFonts w:asciiTheme="majorBidi" w:hAnsiTheme="majorBidi" w:cstheme="majorBidi"/>
          <w:color w:val="auto"/>
        </w:rPr>
      </w:pPr>
      <w:r w:rsidRPr="00257477">
        <w:rPr>
          <w:rFonts w:asciiTheme="majorBidi" w:hAnsiTheme="majorBidi" w:cstheme="majorBidi"/>
          <w:color w:val="auto"/>
        </w:rPr>
        <w:t xml:space="preserve">Tādējādi tiesa nepamatoti </w:t>
      </w:r>
      <w:r w:rsidR="00B274EE" w:rsidRPr="00257477">
        <w:rPr>
          <w:rFonts w:asciiTheme="majorBidi" w:hAnsiTheme="majorBidi" w:cstheme="majorBidi"/>
          <w:color w:val="auto"/>
        </w:rPr>
        <w:t>atzinusi</w:t>
      </w:r>
      <w:r w:rsidRPr="00257477">
        <w:rPr>
          <w:rFonts w:asciiTheme="majorBidi" w:hAnsiTheme="majorBidi" w:cstheme="majorBidi"/>
          <w:color w:val="auto"/>
        </w:rPr>
        <w:t>, ka starp pusēm nepastāv strīds par projekta mērķa sasniegšanu.</w:t>
      </w:r>
    </w:p>
    <w:p w14:paraId="57186ED8" w14:textId="250F66C6" w:rsidR="001045F2" w:rsidRPr="00257477" w:rsidRDefault="009E4691" w:rsidP="00257477">
      <w:pPr>
        <w:pStyle w:val="Default"/>
        <w:spacing w:line="276" w:lineRule="auto"/>
        <w:ind w:firstLine="720"/>
        <w:jc w:val="both"/>
        <w:rPr>
          <w:rFonts w:asciiTheme="majorBidi" w:hAnsiTheme="majorBidi" w:cstheme="majorBidi"/>
          <w:color w:val="auto"/>
        </w:rPr>
      </w:pPr>
      <w:r w:rsidRPr="00257477">
        <w:rPr>
          <w:rFonts w:asciiTheme="majorBidi" w:hAnsiTheme="majorBidi" w:cstheme="majorBidi"/>
          <w:color w:val="auto"/>
        </w:rPr>
        <w:t>[</w:t>
      </w:r>
      <w:r w:rsidR="0009485D" w:rsidRPr="00257477">
        <w:rPr>
          <w:rFonts w:asciiTheme="majorBidi" w:hAnsiTheme="majorBidi" w:cstheme="majorBidi"/>
          <w:color w:val="auto"/>
        </w:rPr>
        <w:t>4</w:t>
      </w:r>
      <w:r w:rsidRPr="00257477">
        <w:rPr>
          <w:rFonts w:asciiTheme="majorBidi" w:hAnsiTheme="majorBidi" w:cstheme="majorBidi"/>
          <w:color w:val="auto"/>
        </w:rPr>
        <w:t>.1.2] Prasītājas pienākums piemērot finanšu korekciju izriet no MK noteikumu Nr.</w:t>
      </w:r>
      <w:r w:rsidR="0009485D" w:rsidRPr="00257477">
        <w:rPr>
          <w:rFonts w:asciiTheme="majorBidi" w:hAnsiTheme="majorBidi" w:cstheme="majorBidi"/>
          <w:color w:val="auto"/>
        </w:rPr>
        <w:t> </w:t>
      </w:r>
      <w:r w:rsidRPr="00257477">
        <w:rPr>
          <w:rFonts w:asciiTheme="majorBidi" w:hAnsiTheme="majorBidi" w:cstheme="majorBidi"/>
          <w:color w:val="auto"/>
        </w:rPr>
        <w:t>740 2.1. apakšpunkta</w:t>
      </w:r>
      <w:r w:rsidR="0009485D" w:rsidRPr="00257477">
        <w:rPr>
          <w:rFonts w:asciiTheme="majorBidi" w:hAnsiTheme="majorBidi" w:cstheme="majorBidi"/>
          <w:color w:val="auto"/>
        </w:rPr>
        <w:t xml:space="preserve"> kopsakarā </w:t>
      </w:r>
      <w:r w:rsidR="00F215F9" w:rsidRPr="00257477">
        <w:rPr>
          <w:rFonts w:asciiTheme="majorBidi" w:hAnsiTheme="majorBidi" w:cstheme="majorBidi"/>
          <w:color w:val="auto"/>
        </w:rPr>
        <w:t xml:space="preserve">ar </w:t>
      </w:r>
      <w:r w:rsidRPr="00257477">
        <w:rPr>
          <w:rFonts w:asciiTheme="majorBidi" w:hAnsiTheme="majorBidi" w:cstheme="majorBidi"/>
          <w:color w:val="auto"/>
        </w:rPr>
        <w:t>Regulas</w:t>
      </w:r>
      <w:r w:rsidR="00C31ED0" w:rsidRPr="00257477">
        <w:rPr>
          <w:rFonts w:asciiTheme="majorBidi" w:hAnsiTheme="majorBidi" w:cstheme="majorBidi"/>
          <w:color w:val="auto"/>
        </w:rPr>
        <w:t xml:space="preserve"> Nr. </w:t>
      </w:r>
      <w:r w:rsidRPr="00257477">
        <w:rPr>
          <w:rFonts w:asciiTheme="majorBidi" w:hAnsiTheme="majorBidi" w:cstheme="majorBidi"/>
          <w:color w:val="auto"/>
        </w:rPr>
        <w:t>1083/2006 2.</w:t>
      </w:r>
      <w:r w:rsidR="0009485D" w:rsidRPr="00257477">
        <w:rPr>
          <w:rFonts w:asciiTheme="majorBidi" w:hAnsiTheme="majorBidi" w:cstheme="majorBidi"/>
          <w:color w:val="auto"/>
        </w:rPr>
        <w:t> </w:t>
      </w:r>
      <w:r w:rsidRPr="00257477">
        <w:rPr>
          <w:rFonts w:asciiTheme="majorBidi" w:hAnsiTheme="majorBidi" w:cstheme="majorBidi"/>
          <w:color w:val="auto"/>
        </w:rPr>
        <w:t>panta 7.</w:t>
      </w:r>
      <w:r w:rsidR="0009485D" w:rsidRPr="00257477">
        <w:rPr>
          <w:rFonts w:asciiTheme="majorBidi" w:hAnsiTheme="majorBidi" w:cstheme="majorBidi"/>
          <w:color w:val="auto"/>
        </w:rPr>
        <w:t> </w:t>
      </w:r>
      <w:r w:rsidRPr="00257477">
        <w:rPr>
          <w:rFonts w:asciiTheme="majorBidi" w:hAnsiTheme="majorBidi" w:cstheme="majorBidi"/>
          <w:color w:val="auto"/>
        </w:rPr>
        <w:t>punkt</w:t>
      </w:r>
      <w:r w:rsidR="0009485D" w:rsidRPr="00257477">
        <w:rPr>
          <w:rFonts w:asciiTheme="majorBidi" w:hAnsiTheme="majorBidi" w:cstheme="majorBidi"/>
          <w:color w:val="auto"/>
        </w:rPr>
        <w:t xml:space="preserve">u un 98. pantu, jo ir konstatējama neatbilstība. </w:t>
      </w:r>
      <w:r w:rsidRPr="00257477">
        <w:rPr>
          <w:rFonts w:asciiTheme="majorBidi" w:hAnsiTheme="majorBidi" w:cstheme="majorBidi"/>
          <w:color w:val="auto"/>
        </w:rPr>
        <w:t xml:space="preserve">Līdz ar to šajā gadījumā </w:t>
      </w:r>
      <w:r w:rsidR="0009485D" w:rsidRPr="00257477">
        <w:rPr>
          <w:rFonts w:asciiTheme="majorBidi" w:hAnsiTheme="majorBidi" w:cstheme="majorBidi"/>
          <w:color w:val="auto"/>
        </w:rPr>
        <w:t xml:space="preserve">attiecībā uz finanšu korekcijas apmēra noteikšanu </w:t>
      </w:r>
      <w:r w:rsidRPr="00257477">
        <w:rPr>
          <w:rFonts w:asciiTheme="majorBidi" w:hAnsiTheme="majorBidi" w:cstheme="majorBidi"/>
          <w:color w:val="auto"/>
        </w:rPr>
        <w:t>ir piemērojams MK noteikumu Nr. 740 6.</w:t>
      </w:r>
      <w:r w:rsidR="0009485D" w:rsidRPr="00257477">
        <w:rPr>
          <w:rFonts w:asciiTheme="majorBidi" w:hAnsiTheme="majorBidi" w:cstheme="majorBidi"/>
          <w:color w:val="auto"/>
        </w:rPr>
        <w:t> </w:t>
      </w:r>
      <w:r w:rsidRPr="00257477">
        <w:rPr>
          <w:rFonts w:asciiTheme="majorBidi" w:hAnsiTheme="majorBidi" w:cstheme="majorBidi"/>
          <w:color w:val="auto"/>
        </w:rPr>
        <w:t>punkts</w:t>
      </w:r>
      <w:r w:rsidR="0009485D" w:rsidRPr="00257477">
        <w:rPr>
          <w:rFonts w:asciiTheme="majorBidi" w:hAnsiTheme="majorBidi" w:cstheme="majorBidi"/>
          <w:color w:val="auto"/>
        </w:rPr>
        <w:t xml:space="preserve">. </w:t>
      </w:r>
    </w:p>
    <w:p w14:paraId="2EB8D8AF" w14:textId="5769F464" w:rsidR="001045F2" w:rsidRPr="00257477" w:rsidRDefault="0009485D" w:rsidP="00257477">
      <w:pPr>
        <w:pStyle w:val="Default"/>
        <w:spacing w:line="276" w:lineRule="auto"/>
        <w:ind w:firstLine="720"/>
        <w:jc w:val="both"/>
        <w:rPr>
          <w:rFonts w:asciiTheme="majorBidi" w:hAnsiTheme="majorBidi" w:cstheme="majorBidi"/>
          <w:color w:val="auto"/>
        </w:rPr>
      </w:pPr>
      <w:r w:rsidRPr="00257477">
        <w:rPr>
          <w:rFonts w:asciiTheme="majorBidi" w:hAnsiTheme="majorBidi" w:cstheme="majorBidi"/>
          <w:color w:val="auto"/>
        </w:rPr>
        <w:t>Atbildētājas pienākum</w:t>
      </w:r>
      <w:r w:rsidR="00E4617D" w:rsidRPr="00257477">
        <w:rPr>
          <w:rFonts w:asciiTheme="majorBidi" w:hAnsiTheme="majorBidi" w:cstheme="majorBidi"/>
          <w:color w:val="auto"/>
        </w:rPr>
        <w:t>s</w:t>
      </w:r>
      <w:r w:rsidRPr="00257477">
        <w:rPr>
          <w:rFonts w:asciiTheme="majorBidi" w:hAnsiTheme="majorBidi" w:cstheme="majorBidi"/>
          <w:color w:val="auto"/>
        </w:rPr>
        <w:t xml:space="preserve"> sasniegt attiecīgos rādītājus izriet no līguma Nr. 1 nosacījumu 3.1.1. un 3.1.15. punkta un līguma Nr. 2 nosacījumu 3.1.2. un 3.1.5. apakšpunkta. Atbildētājas saistības neaprobežojas tikai ar iekārtu iegādi un to uzstādīšanu, kā būtisks nosacījums sekmīgai projektu realizācijai un līgumsaistību izpildei ir projekta Nr. 1 iesniegumā ietverto rādītāju (faktiskais apgrozījums no </w:t>
      </w:r>
      <w:r w:rsidR="00F215F9" w:rsidRPr="00257477">
        <w:rPr>
          <w:rFonts w:asciiTheme="majorBidi" w:hAnsiTheme="majorBidi" w:cstheme="majorBidi"/>
          <w:color w:val="auto"/>
        </w:rPr>
        <w:t>„</w:t>
      </w:r>
      <w:proofErr w:type="spellStart"/>
      <w:r w:rsidR="00F215F9" w:rsidRPr="00257477">
        <w:rPr>
          <w:rFonts w:asciiTheme="majorBidi" w:hAnsiTheme="majorBidi" w:cstheme="majorBidi"/>
          <w:color w:val="auto"/>
        </w:rPr>
        <w:t>Izoprok</w:t>
      </w:r>
      <w:proofErr w:type="spellEnd"/>
      <w:r w:rsidR="00F215F9" w:rsidRPr="00257477">
        <w:rPr>
          <w:rFonts w:asciiTheme="majorBidi" w:hAnsiTheme="majorBidi" w:cstheme="majorBidi"/>
          <w:color w:val="auto"/>
        </w:rPr>
        <w:t>”</w:t>
      </w:r>
      <w:r w:rsidRPr="00257477">
        <w:rPr>
          <w:rFonts w:asciiTheme="majorBidi" w:hAnsiTheme="majorBidi" w:cstheme="majorBidi"/>
          <w:color w:val="auto"/>
        </w:rPr>
        <w:t xml:space="preserve"> realizācijas) un projekta Nr.</w:t>
      </w:r>
      <w:r w:rsidR="005A5BE7" w:rsidRPr="00257477">
        <w:rPr>
          <w:rFonts w:asciiTheme="majorBidi" w:hAnsiTheme="majorBidi" w:cstheme="majorBidi"/>
          <w:color w:val="auto"/>
        </w:rPr>
        <w:t> </w:t>
      </w:r>
      <w:r w:rsidRPr="00257477">
        <w:rPr>
          <w:rFonts w:asciiTheme="majorBidi" w:hAnsiTheme="majorBidi" w:cstheme="majorBidi"/>
          <w:color w:val="auto"/>
        </w:rPr>
        <w:t xml:space="preserve">2 biznesa plānā izvirzīto rādītāju (faktiskais </w:t>
      </w:r>
      <w:r w:rsidRPr="00257477">
        <w:rPr>
          <w:rFonts w:asciiTheme="majorBidi" w:hAnsiTheme="majorBidi" w:cstheme="majorBidi"/>
          <w:color w:val="auto"/>
        </w:rPr>
        <w:lastRenderedPageBreak/>
        <w:t xml:space="preserve">apgrozījums no </w:t>
      </w:r>
      <w:r w:rsidR="00F215F9" w:rsidRPr="00257477">
        <w:rPr>
          <w:rFonts w:asciiTheme="majorBidi" w:hAnsiTheme="majorBidi" w:cstheme="majorBidi"/>
          <w:color w:val="auto"/>
        </w:rPr>
        <w:t>„</w:t>
      </w:r>
      <w:proofErr w:type="spellStart"/>
      <w:r w:rsidR="00F215F9" w:rsidRPr="00257477">
        <w:rPr>
          <w:rFonts w:asciiTheme="majorBidi" w:hAnsiTheme="majorBidi" w:cstheme="majorBidi"/>
          <w:color w:val="auto"/>
        </w:rPr>
        <w:t>Isopearl</w:t>
      </w:r>
      <w:proofErr w:type="spellEnd"/>
      <w:r w:rsidR="00F215F9" w:rsidRPr="00257477">
        <w:rPr>
          <w:rFonts w:asciiTheme="majorBidi" w:hAnsiTheme="majorBidi" w:cstheme="majorBidi"/>
          <w:color w:val="auto"/>
        </w:rPr>
        <w:t>”</w:t>
      </w:r>
      <w:r w:rsidRPr="00257477">
        <w:rPr>
          <w:rFonts w:asciiTheme="majorBidi" w:hAnsiTheme="majorBidi" w:cstheme="majorBidi"/>
          <w:color w:val="auto"/>
        </w:rPr>
        <w:t xml:space="preserve"> realizācijas un eksporta darījumu apjoms) sasniegšana. Šo pienākumu atbildētāja ir izpildījusi tikai daļēji. </w:t>
      </w:r>
    </w:p>
    <w:p w14:paraId="045D6F18" w14:textId="16D176F3" w:rsidR="001045F2" w:rsidRPr="00257477" w:rsidRDefault="003944B3" w:rsidP="00257477">
      <w:pPr>
        <w:pStyle w:val="Default"/>
        <w:spacing w:line="276" w:lineRule="auto"/>
        <w:ind w:firstLine="720"/>
        <w:jc w:val="both"/>
        <w:rPr>
          <w:rFonts w:asciiTheme="majorBidi" w:hAnsiTheme="majorBidi" w:cstheme="majorBidi"/>
          <w:color w:val="auto"/>
        </w:rPr>
      </w:pPr>
      <w:r w:rsidRPr="00257477">
        <w:rPr>
          <w:rFonts w:asciiTheme="majorBidi" w:hAnsiTheme="majorBidi" w:cstheme="majorBidi"/>
          <w:color w:val="auto"/>
        </w:rPr>
        <w:t xml:space="preserve">Tādējādi apelācijas instances tiesa nepamatoti nav vērtējusi minētās tiesību normas un starp pusēm noslēgto līgumu noteikumus, </w:t>
      </w:r>
      <w:r w:rsidR="00B274EE" w:rsidRPr="00257477">
        <w:rPr>
          <w:rFonts w:asciiTheme="majorBidi" w:hAnsiTheme="majorBidi" w:cstheme="majorBidi"/>
          <w:color w:val="auto"/>
        </w:rPr>
        <w:t xml:space="preserve">uz </w:t>
      </w:r>
      <w:r w:rsidRPr="00257477">
        <w:rPr>
          <w:rFonts w:asciiTheme="majorBidi" w:hAnsiTheme="majorBidi" w:cstheme="majorBidi"/>
          <w:color w:val="auto"/>
        </w:rPr>
        <w:t xml:space="preserve">kuriem </w:t>
      </w:r>
      <w:r w:rsidR="00F215F9" w:rsidRPr="00257477">
        <w:rPr>
          <w:rFonts w:asciiTheme="majorBidi" w:hAnsiTheme="majorBidi" w:cstheme="majorBidi"/>
          <w:color w:val="auto"/>
        </w:rPr>
        <w:t xml:space="preserve">balstoties </w:t>
      </w:r>
      <w:r w:rsidRPr="00257477">
        <w:rPr>
          <w:rFonts w:asciiTheme="majorBidi" w:hAnsiTheme="majorBidi" w:cstheme="majorBidi"/>
          <w:color w:val="auto"/>
        </w:rPr>
        <w:t>prasītāja ir piemērojusi finanšu korekciju.</w:t>
      </w:r>
    </w:p>
    <w:p w14:paraId="1551EA6F" w14:textId="2FFE4036" w:rsidR="001045F2" w:rsidRPr="00257477" w:rsidRDefault="009E4691" w:rsidP="00257477">
      <w:pPr>
        <w:pStyle w:val="Default"/>
        <w:spacing w:line="276" w:lineRule="auto"/>
        <w:ind w:firstLine="720"/>
        <w:jc w:val="both"/>
        <w:rPr>
          <w:rFonts w:asciiTheme="majorBidi" w:hAnsiTheme="majorBidi" w:cstheme="majorBidi"/>
          <w:color w:val="auto"/>
        </w:rPr>
      </w:pPr>
      <w:r w:rsidRPr="00257477">
        <w:rPr>
          <w:rFonts w:asciiTheme="majorBidi" w:hAnsiTheme="majorBidi" w:cstheme="majorBidi"/>
          <w:color w:val="auto"/>
        </w:rPr>
        <w:t>[</w:t>
      </w:r>
      <w:r w:rsidR="003944B3" w:rsidRPr="00257477">
        <w:rPr>
          <w:rFonts w:asciiTheme="majorBidi" w:hAnsiTheme="majorBidi" w:cstheme="majorBidi"/>
          <w:color w:val="auto"/>
        </w:rPr>
        <w:t>4</w:t>
      </w:r>
      <w:r w:rsidRPr="00257477">
        <w:rPr>
          <w:rFonts w:asciiTheme="majorBidi" w:hAnsiTheme="majorBidi" w:cstheme="majorBidi"/>
          <w:color w:val="auto"/>
        </w:rPr>
        <w:t xml:space="preserve">.1.3] Spriedumā nepamatoti norādīts, ka apelācijas instances tiesas sēdē prasītājas pārstāve </w:t>
      </w:r>
      <w:r w:rsidR="00F215F9" w:rsidRPr="00257477">
        <w:rPr>
          <w:rFonts w:asciiTheme="majorBidi" w:hAnsiTheme="majorBidi" w:cstheme="majorBidi"/>
          <w:color w:val="auto"/>
        </w:rPr>
        <w:t>atzinusi</w:t>
      </w:r>
      <w:r w:rsidRPr="00257477">
        <w:rPr>
          <w:rFonts w:asciiTheme="majorBidi" w:hAnsiTheme="majorBidi" w:cstheme="majorBidi"/>
          <w:color w:val="auto"/>
        </w:rPr>
        <w:t xml:space="preserve">, ka projektu mērķis ir sasniegts, bet nav </w:t>
      </w:r>
      <w:r w:rsidR="00F215F9" w:rsidRPr="00257477">
        <w:rPr>
          <w:rFonts w:asciiTheme="majorBidi" w:hAnsiTheme="majorBidi" w:cstheme="majorBidi"/>
          <w:color w:val="auto"/>
        </w:rPr>
        <w:t xml:space="preserve">piepildījušies </w:t>
      </w:r>
      <w:r w:rsidRPr="00257477">
        <w:rPr>
          <w:rFonts w:asciiTheme="majorBidi" w:hAnsiTheme="majorBidi" w:cstheme="majorBidi"/>
          <w:color w:val="auto"/>
        </w:rPr>
        <w:t>nosacījumi tikai attiecībā uz prognozējamo peļņu un rezultatīvo rādījumu novirze ir 25</w:t>
      </w:r>
      <w:r w:rsidR="003944B3" w:rsidRPr="00257477">
        <w:rPr>
          <w:rFonts w:asciiTheme="majorBidi" w:hAnsiTheme="majorBidi" w:cstheme="majorBidi"/>
          <w:color w:val="auto"/>
        </w:rPr>
        <w:t> </w:t>
      </w:r>
      <w:r w:rsidRPr="00257477">
        <w:rPr>
          <w:rFonts w:asciiTheme="majorBidi" w:hAnsiTheme="majorBidi" w:cstheme="majorBidi"/>
          <w:color w:val="auto"/>
        </w:rPr>
        <w:t>% no plānotajiem.</w:t>
      </w:r>
      <w:r w:rsidR="003944B3" w:rsidRPr="00257477">
        <w:rPr>
          <w:rFonts w:asciiTheme="majorBidi" w:hAnsiTheme="majorBidi" w:cstheme="majorBidi"/>
          <w:color w:val="auto"/>
        </w:rPr>
        <w:t xml:space="preserve"> </w:t>
      </w:r>
      <w:r w:rsidRPr="00257477">
        <w:rPr>
          <w:rFonts w:asciiTheme="majorBidi" w:hAnsiTheme="majorBidi" w:cstheme="majorBidi"/>
          <w:color w:val="auto"/>
        </w:rPr>
        <w:t xml:space="preserve">Prasītājas pārstāve </w:t>
      </w:r>
      <w:r w:rsidR="003944B3" w:rsidRPr="00257477">
        <w:rPr>
          <w:rFonts w:asciiTheme="majorBidi" w:hAnsiTheme="majorBidi" w:cstheme="majorBidi"/>
          <w:color w:val="auto"/>
        </w:rPr>
        <w:t xml:space="preserve">gan </w:t>
      </w:r>
      <w:r w:rsidRPr="00257477">
        <w:rPr>
          <w:rFonts w:asciiTheme="majorBidi" w:hAnsiTheme="majorBidi" w:cstheme="majorBidi"/>
          <w:color w:val="auto"/>
        </w:rPr>
        <w:t>apelācijas tiesas sēdē</w:t>
      </w:r>
      <w:r w:rsidR="003944B3" w:rsidRPr="00257477">
        <w:rPr>
          <w:rFonts w:asciiTheme="majorBidi" w:hAnsiTheme="majorBidi" w:cstheme="majorBidi"/>
          <w:color w:val="auto"/>
        </w:rPr>
        <w:t>, gan paskaidrojumos uz atbildētājas apelācijas sūdzību</w:t>
      </w:r>
      <w:r w:rsidRPr="00257477">
        <w:rPr>
          <w:rFonts w:asciiTheme="majorBidi" w:hAnsiTheme="majorBidi" w:cstheme="majorBidi"/>
          <w:color w:val="auto"/>
        </w:rPr>
        <w:t xml:space="preserve"> skaidroja, ka atbildētājai bija jāsasniedz projektos paredzētie r</w:t>
      </w:r>
      <w:r w:rsidR="003944B3" w:rsidRPr="00257477">
        <w:rPr>
          <w:rFonts w:asciiTheme="majorBidi" w:hAnsiTheme="majorBidi" w:cstheme="majorBidi"/>
          <w:color w:val="auto"/>
        </w:rPr>
        <w:t>ā</w:t>
      </w:r>
      <w:r w:rsidRPr="00257477">
        <w:rPr>
          <w:rFonts w:asciiTheme="majorBidi" w:hAnsiTheme="majorBidi" w:cstheme="majorBidi"/>
          <w:color w:val="auto"/>
        </w:rPr>
        <w:t xml:space="preserve">dītāji. </w:t>
      </w:r>
      <w:r w:rsidRPr="00257477">
        <w:rPr>
          <w:rFonts w:asciiTheme="majorBidi" w:hAnsiTheme="majorBidi" w:cstheme="majorBidi"/>
          <w:iCs/>
          <w:color w:val="auto"/>
        </w:rPr>
        <w:t xml:space="preserve">Ja peļņas rādītāji ir zem 25 % no plānotajiem, ir </w:t>
      </w:r>
      <w:r w:rsidR="003944B3" w:rsidRPr="00257477">
        <w:rPr>
          <w:rFonts w:asciiTheme="majorBidi" w:hAnsiTheme="majorBidi" w:cstheme="majorBidi"/>
          <w:iCs/>
          <w:color w:val="auto"/>
        </w:rPr>
        <w:t xml:space="preserve">piemērojama </w:t>
      </w:r>
      <w:r w:rsidRPr="00257477">
        <w:rPr>
          <w:rFonts w:asciiTheme="majorBidi" w:hAnsiTheme="majorBidi" w:cstheme="majorBidi"/>
          <w:iCs/>
          <w:color w:val="auto"/>
        </w:rPr>
        <w:t>finanšu korekcija</w:t>
      </w:r>
      <w:r w:rsidRPr="00257477">
        <w:rPr>
          <w:rFonts w:asciiTheme="majorBidi" w:hAnsiTheme="majorBidi" w:cstheme="majorBidi"/>
          <w:color w:val="auto"/>
        </w:rPr>
        <w:t>.</w:t>
      </w:r>
    </w:p>
    <w:p w14:paraId="43AA2237" w14:textId="79F8047A" w:rsidR="001045F2" w:rsidRPr="00257477" w:rsidRDefault="003944B3" w:rsidP="00257477">
      <w:pPr>
        <w:spacing w:line="276" w:lineRule="auto"/>
        <w:ind w:firstLine="720"/>
        <w:jc w:val="both"/>
        <w:rPr>
          <w:rFonts w:asciiTheme="majorBidi" w:hAnsiTheme="majorBidi" w:cstheme="majorBidi"/>
        </w:rPr>
      </w:pPr>
      <w:r w:rsidRPr="00257477">
        <w:rPr>
          <w:rFonts w:asciiTheme="majorBidi" w:hAnsiTheme="majorBidi" w:cstheme="majorBidi"/>
        </w:rPr>
        <w:t>Ievērojot to, ka spriedums ir pamatots ar kļūdaini interpretētiem prasītājas rakstiskajiem un mutiskajiem paskaidrojumiem, ir aizskartas prasītājas tiesības uz taisnīgu tiesu.</w:t>
      </w:r>
    </w:p>
    <w:p w14:paraId="70EF7676" w14:textId="2FF3B688" w:rsidR="001045F2" w:rsidRPr="00257477" w:rsidRDefault="009E4691" w:rsidP="00257477">
      <w:pPr>
        <w:spacing w:line="276" w:lineRule="auto"/>
        <w:ind w:firstLine="720"/>
        <w:jc w:val="both"/>
        <w:rPr>
          <w:rFonts w:asciiTheme="majorBidi" w:hAnsiTheme="majorBidi" w:cstheme="majorBidi"/>
        </w:rPr>
      </w:pPr>
      <w:r w:rsidRPr="00257477">
        <w:rPr>
          <w:rFonts w:asciiTheme="majorBidi" w:hAnsiTheme="majorBidi" w:cstheme="majorBidi"/>
        </w:rPr>
        <w:t>[</w:t>
      </w:r>
      <w:r w:rsidR="003944B3" w:rsidRPr="00257477">
        <w:rPr>
          <w:rFonts w:asciiTheme="majorBidi" w:hAnsiTheme="majorBidi" w:cstheme="majorBidi"/>
        </w:rPr>
        <w:t>4.2</w:t>
      </w:r>
      <w:r w:rsidRPr="00257477">
        <w:rPr>
          <w:rFonts w:asciiTheme="majorBidi" w:hAnsiTheme="majorBidi" w:cstheme="majorBidi"/>
        </w:rPr>
        <w:t>] </w:t>
      </w:r>
      <w:r w:rsidR="003944B3" w:rsidRPr="00257477">
        <w:rPr>
          <w:rFonts w:asciiTheme="majorBidi" w:hAnsiTheme="majorBidi" w:cstheme="majorBidi"/>
        </w:rPr>
        <w:t>Apelācijas instances t</w:t>
      </w:r>
      <w:r w:rsidRPr="00257477">
        <w:rPr>
          <w:rFonts w:asciiTheme="majorBidi" w:hAnsiTheme="majorBidi" w:cstheme="majorBidi"/>
        </w:rPr>
        <w:t>iesa pārkāpusi Civilprocesa likuma 193.</w:t>
      </w:r>
      <w:r w:rsidR="00CB377C" w:rsidRPr="00257477">
        <w:rPr>
          <w:rFonts w:asciiTheme="majorBidi" w:hAnsiTheme="majorBidi" w:cstheme="majorBidi"/>
        </w:rPr>
        <w:t> </w:t>
      </w:r>
      <w:r w:rsidRPr="00257477">
        <w:rPr>
          <w:rFonts w:asciiTheme="majorBidi" w:hAnsiTheme="majorBidi" w:cstheme="majorBidi"/>
        </w:rPr>
        <w:t>panta piektās daļas prasības.</w:t>
      </w:r>
    </w:p>
    <w:p w14:paraId="2DA08EF2" w14:textId="1353C91E" w:rsidR="001045F2" w:rsidRPr="00257477" w:rsidRDefault="003944B3" w:rsidP="00257477">
      <w:pPr>
        <w:spacing w:line="276" w:lineRule="auto"/>
        <w:ind w:firstLine="720"/>
        <w:jc w:val="both"/>
        <w:rPr>
          <w:rFonts w:asciiTheme="majorBidi" w:hAnsiTheme="majorBidi" w:cstheme="majorBidi"/>
        </w:rPr>
      </w:pPr>
      <w:r w:rsidRPr="00257477">
        <w:rPr>
          <w:rFonts w:asciiTheme="majorBidi" w:hAnsiTheme="majorBidi" w:cstheme="majorBidi"/>
        </w:rPr>
        <w:t>Apelācijas instances tiesa spriedumā nav sniegusi izvērstu un nepārprotamu juridisko argumentāciju, kurā atspoguļots konkrētā strīda atrisināšanai piemērojamo materiālo tiesību normu izvēles process, sākot ar lietā būtisku apstākļu noskaidrošanu, kas balstīta uz pierādījumu objektīvu novērtējumu to kopumā, un beidzot ar loģiskā secībā izdarīta gala slēdziena formulēšanu.</w:t>
      </w:r>
    </w:p>
    <w:p w14:paraId="039899FB" w14:textId="1EE56BBA" w:rsidR="001045F2" w:rsidRPr="00257477" w:rsidRDefault="003944B3" w:rsidP="00257477">
      <w:pPr>
        <w:spacing w:line="276" w:lineRule="auto"/>
        <w:ind w:firstLine="720"/>
        <w:jc w:val="both"/>
        <w:rPr>
          <w:rFonts w:asciiTheme="majorBidi" w:hAnsiTheme="majorBidi" w:cstheme="majorBidi"/>
        </w:rPr>
      </w:pPr>
      <w:r w:rsidRPr="00257477">
        <w:rPr>
          <w:rFonts w:asciiTheme="majorBidi" w:hAnsiTheme="majorBidi" w:cstheme="majorBidi"/>
        </w:rPr>
        <w:t>Prasības noraidīšanu, balstoties uz taisnīguma principa apsvērumiem, nevar atzīt par pienācīgu strīda apstākļu juridisko kvalifikāciju.</w:t>
      </w:r>
    </w:p>
    <w:p w14:paraId="1057F147" w14:textId="4B85E9B7" w:rsidR="001045F2" w:rsidRPr="00257477" w:rsidRDefault="009E4691" w:rsidP="00257477">
      <w:pPr>
        <w:spacing w:line="276" w:lineRule="auto"/>
        <w:ind w:firstLine="720"/>
        <w:jc w:val="both"/>
        <w:rPr>
          <w:rFonts w:asciiTheme="majorBidi" w:hAnsiTheme="majorBidi" w:cstheme="majorBidi"/>
        </w:rPr>
      </w:pPr>
      <w:r w:rsidRPr="00257477">
        <w:rPr>
          <w:rFonts w:asciiTheme="majorBidi" w:hAnsiTheme="majorBidi" w:cstheme="majorBidi"/>
        </w:rPr>
        <w:t>[</w:t>
      </w:r>
      <w:r w:rsidR="00CD2622" w:rsidRPr="00257477">
        <w:rPr>
          <w:rFonts w:asciiTheme="majorBidi" w:hAnsiTheme="majorBidi" w:cstheme="majorBidi"/>
        </w:rPr>
        <w:t>4.3</w:t>
      </w:r>
      <w:r w:rsidRPr="00257477">
        <w:rPr>
          <w:rFonts w:asciiTheme="majorBidi" w:hAnsiTheme="majorBidi" w:cstheme="majorBidi"/>
        </w:rPr>
        <w:t>] </w:t>
      </w:r>
      <w:r w:rsidR="00CD2622" w:rsidRPr="00257477">
        <w:rPr>
          <w:rFonts w:asciiTheme="majorBidi" w:hAnsiTheme="majorBidi" w:cstheme="majorBidi"/>
        </w:rPr>
        <w:t xml:space="preserve">Apelācijas instances tiesa </w:t>
      </w:r>
      <w:r w:rsidRPr="00257477">
        <w:rPr>
          <w:rFonts w:asciiTheme="majorBidi" w:hAnsiTheme="majorBidi" w:cstheme="majorBidi"/>
        </w:rPr>
        <w:t>pārkāpusi Civilprocesa likuma 74.</w:t>
      </w:r>
      <w:r w:rsidR="00CD2622" w:rsidRPr="00257477">
        <w:rPr>
          <w:rFonts w:asciiTheme="majorBidi" w:hAnsiTheme="majorBidi" w:cstheme="majorBidi"/>
        </w:rPr>
        <w:t> </w:t>
      </w:r>
      <w:r w:rsidRPr="00257477">
        <w:rPr>
          <w:rFonts w:asciiTheme="majorBidi" w:hAnsiTheme="majorBidi" w:cstheme="majorBidi"/>
        </w:rPr>
        <w:t>panta otrās daļas 7.</w:t>
      </w:r>
      <w:r w:rsidR="00CB377C" w:rsidRPr="00257477">
        <w:rPr>
          <w:rFonts w:asciiTheme="majorBidi" w:hAnsiTheme="majorBidi" w:cstheme="majorBidi"/>
        </w:rPr>
        <w:t> </w:t>
      </w:r>
      <w:r w:rsidRPr="00257477">
        <w:rPr>
          <w:rFonts w:asciiTheme="majorBidi" w:hAnsiTheme="majorBidi" w:cstheme="majorBidi"/>
        </w:rPr>
        <w:t xml:space="preserve">punkta prasības, </w:t>
      </w:r>
      <w:r w:rsidR="00091648" w:rsidRPr="00257477">
        <w:rPr>
          <w:rFonts w:asciiTheme="majorBidi" w:hAnsiTheme="majorBidi" w:cstheme="majorBidi"/>
        </w:rPr>
        <w:t xml:space="preserve">tā </w:t>
      </w:r>
      <w:r w:rsidRPr="00257477">
        <w:rPr>
          <w:rFonts w:asciiTheme="majorBidi" w:hAnsiTheme="majorBidi" w:cstheme="majorBidi"/>
        </w:rPr>
        <w:t xml:space="preserve">ierobežojot </w:t>
      </w:r>
      <w:r w:rsidR="00B274EE" w:rsidRPr="00257477">
        <w:rPr>
          <w:rFonts w:asciiTheme="majorBidi" w:hAnsiTheme="majorBidi" w:cstheme="majorBidi"/>
        </w:rPr>
        <w:t xml:space="preserve">Latvijas Republikas </w:t>
      </w:r>
      <w:r w:rsidRPr="00257477">
        <w:rPr>
          <w:rFonts w:asciiTheme="majorBidi" w:hAnsiTheme="majorBidi" w:cstheme="majorBidi"/>
        </w:rPr>
        <w:t>Satversmes 92.</w:t>
      </w:r>
      <w:r w:rsidR="00CD2622" w:rsidRPr="00257477">
        <w:rPr>
          <w:rFonts w:asciiTheme="majorBidi" w:hAnsiTheme="majorBidi" w:cstheme="majorBidi"/>
        </w:rPr>
        <w:t> </w:t>
      </w:r>
      <w:r w:rsidRPr="00257477">
        <w:rPr>
          <w:rFonts w:asciiTheme="majorBidi" w:hAnsiTheme="majorBidi" w:cstheme="majorBidi"/>
        </w:rPr>
        <w:t>pantā ietvertās tiesības tikt uzklausītam.</w:t>
      </w:r>
    </w:p>
    <w:p w14:paraId="18CFE206" w14:textId="6B985F84" w:rsidR="001045F2" w:rsidRPr="00257477" w:rsidRDefault="00CD2622" w:rsidP="00257477">
      <w:pPr>
        <w:spacing w:line="276" w:lineRule="auto"/>
        <w:ind w:firstLine="720"/>
        <w:jc w:val="both"/>
        <w:rPr>
          <w:rFonts w:asciiTheme="majorBidi" w:hAnsiTheme="majorBidi" w:cstheme="majorBidi"/>
        </w:rPr>
      </w:pPr>
      <w:r w:rsidRPr="00257477">
        <w:rPr>
          <w:rFonts w:asciiTheme="majorBidi" w:hAnsiTheme="majorBidi" w:cstheme="majorBidi"/>
        </w:rPr>
        <w:t>Apelācijas instances tiesas sēdē pu</w:t>
      </w:r>
      <w:r w:rsidR="003C6E36" w:rsidRPr="00257477">
        <w:rPr>
          <w:rFonts w:asciiTheme="majorBidi" w:hAnsiTheme="majorBidi" w:cstheme="majorBidi"/>
        </w:rPr>
        <w:t>sēm</w:t>
      </w:r>
      <w:r w:rsidR="00B274EE" w:rsidRPr="00257477">
        <w:rPr>
          <w:rFonts w:asciiTheme="majorBidi" w:hAnsiTheme="majorBidi" w:cstheme="majorBidi"/>
        </w:rPr>
        <w:t xml:space="preserve"> tika</w:t>
      </w:r>
      <w:r w:rsidR="003C6E36" w:rsidRPr="00257477">
        <w:rPr>
          <w:rFonts w:asciiTheme="majorBidi" w:hAnsiTheme="majorBidi" w:cstheme="majorBidi"/>
        </w:rPr>
        <w:t xml:space="preserve"> </w:t>
      </w:r>
      <w:r w:rsidRPr="00257477">
        <w:rPr>
          <w:rFonts w:asciiTheme="majorBidi" w:hAnsiTheme="majorBidi" w:cstheme="majorBidi"/>
        </w:rPr>
        <w:t xml:space="preserve">ierobežota iespēja sniegt mutvārdu paskaidrojumus, </w:t>
      </w:r>
      <w:r w:rsidR="00057370" w:rsidRPr="00257477">
        <w:rPr>
          <w:rFonts w:asciiTheme="majorBidi" w:hAnsiTheme="majorBidi" w:cstheme="majorBidi"/>
        </w:rPr>
        <w:t>uzsverot</w:t>
      </w:r>
      <w:r w:rsidRPr="00257477">
        <w:rPr>
          <w:rFonts w:asciiTheme="majorBidi" w:hAnsiTheme="majorBidi" w:cstheme="majorBidi"/>
        </w:rPr>
        <w:t>, ka nav jāatkārto prasības pieteikuma, apelācijas sūdzības un rakstveida paskaidrojumu saturs, tikai jānorāda svarīgākie aspekti, par ko pastāv strīds. Tajā skaitā prasītāja</w:t>
      </w:r>
      <w:r w:rsidR="003C6E36" w:rsidRPr="00257477">
        <w:rPr>
          <w:rFonts w:asciiTheme="majorBidi" w:hAnsiTheme="majorBidi" w:cstheme="majorBidi"/>
        </w:rPr>
        <w:t xml:space="preserve">i </w:t>
      </w:r>
      <w:r w:rsidRPr="00257477">
        <w:rPr>
          <w:rFonts w:asciiTheme="majorBidi" w:hAnsiTheme="majorBidi" w:cstheme="majorBidi"/>
        </w:rPr>
        <w:t xml:space="preserve">tika liegta iespēja sniegt paskaidrojumus par Eiropas līdzfinansējuma piešķiršanas mērķiem, no kuriem izriet arī projektos sasniedzamie mērķi. </w:t>
      </w:r>
    </w:p>
    <w:p w14:paraId="7A1EC09D" w14:textId="1AAC7833" w:rsidR="001045F2" w:rsidRPr="00257477" w:rsidRDefault="009E4691" w:rsidP="00257477">
      <w:pPr>
        <w:spacing w:line="276" w:lineRule="auto"/>
        <w:ind w:firstLine="720"/>
        <w:jc w:val="both"/>
        <w:rPr>
          <w:rFonts w:asciiTheme="majorBidi" w:hAnsiTheme="majorBidi" w:cstheme="majorBidi"/>
        </w:rPr>
      </w:pPr>
      <w:r w:rsidRPr="00257477">
        <w:rPr>
          <w:rFonts w:asciiTheme="majorBidi" w:hAnsiTheme="majorBidi" w:cstheme="majorBidi"/>
        </w:rPr>
        <w:t>Tā kā rakstveida paskaidrojumi bija iesniegti, prasītāja</w:t>
      </w:r>
      <w:r w:rsidR="003C6E36" w:rsidRPr="00257477">
        <w:rPr>
          <w:rFonts w:asciiTheme="majorBidi" w:hAnsiTheme="majorBidi" w:cstheme="majorBidi"/>
        </w:rPr>
        <w:t xml:space="preserve"> </w:t>
      </w:r>
      <w:r w:rsidRPr="00257477">
        <w:rPr>
          <w:rFonts w:asciiTheme="majorBidi" w:hAnsiTheme="majorBidi" w:cstheme="majorBidi"/>
        </w:rPr>
        <w:t xml:space="preserve">neiebilda pret šādu lietas izskatīšanas kārtību. Tomēr </w:t>
      </w:r>
      <w:r w:rsidR="00091648" w:rsidRPr="00257477">
        <w:rPr>
          <w:rFonts w:asciiTheme="majorBidi" w:hAnsiTheme="majorBidi" w:cstheme="majorBidi"/>
        </w:rPr>
        <w:t xml:space="preserve">pēc sprieduma saņemšanas </w:t>
      </w:r>
      <w:r w:rsidRPr="00257477">
        <w:rPr>
          <w:rFonts w:asciiTheme="majorBidi" w:hAnsiTheme="majorBidi" w:cstheme="majorBidi"/>
        </w:rPr>
        <w:t xml:space="preserve">prasītāja </w:t>
      </w:r>
      <w:r w:rsidR="00091648" w:rsidRPr="00257477">
        <w:rPr>
          <w:rFonts w:asciiTheme="majorBidi" w:hAnsiTheme="majorBidi" w:cstheme="majorBidi"/>
        </w:rPr>
        <w:t>konstatējusi</w:t>
      </w:r>
      <w:r w:rsidRPr="00257477">
        <w:rPr>
          <w:rFonts w:asciiTheme="majorBidi" w:hAnsiTheme="majorBidi" w:cstheme="majorBidi"/>
        </w:rPr>
        <w:t>, ka tas pamatots ar kļūdainu prasītājas viedokļa interpretāciju</w:t>
      </w:r>
      <w:r w:rsidR="003C6E36" w:rsidRPr="00257477">
        <w:rPr>
          <w:rFonts w:asciiTheme="majorBidi" w:hAnsiTheme="majorBidi" w:cstheme="majorBidi"/>
        </w:rPr>
        <w:t>,</w:t>
      </w:r>
      <w:r w:rsidRPr="00257477">
        <w:rPr>
          <w:rFonts w:asciiTheme="majorBidi" w:hAnsiTheme="majorBidi" w:cstheme="majorBidi"/>
        </w:rPr>
        <w:t xml:space="preserve"> </w:t>
      </w:r>
      <w:r w:rsidR="00091648" w:rsidRPr="00257477">
        <w:rPr>
          <w:rFonts w:asciiTheme="majorBidi" w:hAnsiTheme="majorBidi" w:cstheme="majorBidi"/>
        </w:rPr>
        <w:t xml:space="preserve">jo tiesa nav </w:t>
      </w:r>
      <w:r w:rsidRPr="00257477">
        <w:rPr>
          <w:rFonts w:asciiTheme="majorBidi" w:hAnsiTheme="majorBidi" w:cstheme="majorBidi"/>
        </w:rPr>
        <w:t xml:space="preserve">pienācīgi </w:t>
      </w:r>
      <w:r w:rsidR="00091648" w:rsidRPr="00257477">
        <w:rPr>
          <w:rFonts w:asciiTheme="majorBidi" w:hAnsiTheme="majorBidi" w:cstheme="majorBidi"/>
        </w:rPr>
        <w:t xml:space="preserve">iepazinusies </w:t>
      </w:r>
      <w:r w:rsidRPr="00257477">
        <w:rPr>
          <w:rFonts w:asciiTheme="majorBidi" w:hAnsiTheme="majorBidi" w:cstheme="majorBidi"/>
        </w:rPr>
        <w:t>ar rakstveida paskaidrojumiem un lietā iesniegtajiem pierādījumiem.</w:t>
      </w:r>
    </w:p>
    <w:p w14:paraId="08D04F55" w14:textId="2267ABC1" w:rsidR="001045F2" w:rsidRPr="00257477" w:rsidRDefault="009E4691" w:rsidP="00257477">
      <w:pPr>
        <w:spacing w:line="276" w:lineRule="auto"/>
        <w:ind w:firstLine="720"/>
        <w:jc w:val="both"/>
        <w:rPr>
          <w:rFonts w:asciiTheme="majorBidi" w:hAnsiTheme="majorBidi" w:cstheme="majorBidi"/>
        </w:rPr>
      </w:pPr>
      <w:r w:rsidRPr="00257477">
        <w:rPr>
          <w:rFonts w:asciiTheme="majorBidi" w:hAnsiTheme="majorBidi" w:cstheme="majorBidi"/>
        </w:rPr>
        <w:t xml:space="preserve">Tādējādi ierobežojums </w:t>
      </w:r>
      <w:r w:rsidR="00091648" w:rsidRPr="00257477">
        <w:rPr>
          <w:rFonts w:asciiTheme="majorBidi" w:hAnsiTheme="majorBidi" w:cstheme="majorBidi"/>
        </w:rPr>
        <w:t xml:space="preserve">prasītājai </w:t>
      </w:r>
      <w:r w:rsidRPr="00257477">
        <w:rPr>
          <w:rFonts w:asciiTheme="majorBidi" w:hAnsiTheme="majorBidi" w:cstheme="majorBidi"/>
        </w:rPr>
        <w:t xml:space="preserve">izteikties tiesas sēdē ir novedis pie nepareiza sprieduma </w:t>
      </w:r>
      <w:r w:rsidR="003C6E36" w:rsidRPr="00257477">
        <w:rPr>
          <w:rFonts w:asciiTheme="majorBidi" w:hAnsiTheme="majorBidi" w:cstheme="majorBidi"/>
        </w:rPr>
        <w:t>taisīšanas</w:t>
      </w:r>
      <w:r w:rsidRPr="00257477">
        <w:rPr>
          <w:rFonts w:asciiTheme="majorBidi" w:hAnsiTheme="majorBidi" w:cstheme="majorBidi"/>
        </w:rPr>
        <w:t>, tiesai kļūdain</w:t>
      </w:r>
      <w:r w:rsidR="003C6E36" w:rsidRPr="00257477">
        <w:rPr>
          <w:rFonts w:asciiTheme="majorBidi" w:hAnsiTheme="majorBidi" w:cstheme="majorBidi"/>
        </w:rPr>
        <w:t>i</w:t>
      </w:r>
      <w:r w:rsidRPr="00257477">
        <w:rPr>
          <w:rFonts w:asciiTheme="majorBidi" w:hAnsiTheme="majorBidi" w:cstheme="majorBidi"/>
        </w:rPr>
        <w:t xml:space="preserve"> atzīstot, ka starp pusēm nav strīda par projektu mērķa sasniegšanu. </w:t>
      </w:r>
    </w:p>
    <w:p w14:paraId="3A8032F1" w14:textId="77777777" w:rsidR="001045F2" w:rsidRPr="00257477" w:rsidRDefault="001045F2" w:rsidP="00257477">
      <w:pPr>
        <w:spacing w:line="276" w:lineRule="auto"/>
        <w:ind w:firstLine="720"/>
        <w:jc w:val="both"/>
        <w:rPr>
          <w:rFonts w:asciiTheme="majorBidi" w:hAnsiTheme="majorBidi" w:cstheme="majorBidi"/>
        </w:rPr>
      </w:pPr>
    </w:p>
    <w:p w14:paraId="632F10D4" w14:textId="7B5C22EF" w:rsidR="001045F2" w:rsidRPr="00257477" w:rsidRDefault="009E4691" w:rsidP="00257477">
      <w:pPr>
        <w:spacing w:line="276" w:lineRule="auto"/>
        <w:ind w:firstLine="720"/>
        <w:jc w:val="both"/>
        <w:rPr>
          <w:rFonts w:asciiTheme="majorBidi" w:hAnsiTheme="majorBidi" w:cstheme="majorBidi"/>
        </w:rPr>
      </w:pPr>
      <w:r w:rsidRPr="00257477">
        <w:rPr>
          <w:rFonts w:asciiTheme="majorBidi" w:hAnsiTheme="majorBidi" w:cstheme="majorBidi"/>
        </w:rPr>
        <w:t>[</w:t>
      </w:r>
      <w:r w:rsidR="003C6E36" w:rsidRPr="00257477">
        <w:rPr>
          <w:rFonts w:asciiTheme="majorBidi" w:hAnsiTheme="majorBidi" w:cstheme="majorBidi"/>
        </w:rPr>
        <w:t>5</w:t>
      </w:r>
      <w:r w:rsidRPr="00257477">
        <w:rPr>
          <w:rFonts w:asciiTheme="majorBidi" w:hAnsiTheme="majorBidi" w:cstheme="majorBidi"/>
        </w:rPr>
        <w:t>]</w:t>
      </w:r>
      <w:r w:rsidR="005A5BE7" w:rsidRPr="00257477">
        <w:rPr>
          <w:rFonts w:asciiTheme="majorBidi" w:hAnsiTheme="majorBidi" w:cstheme="majorBidi"/>
        </w:rPr>
        <w:t> </w:t>
      </w:r>
      <w:r w:rsidRPr="00257477">
        <w:rPr>
          <w:rFonts w:asciiTheme="majorBidi" w:hAnsiTheme="majorBidi" w:cstheme="majorBidi"/>
        </w:rPr>
        <w:t>Atbildētāja</w:t>
      </w:r>
      <w:r w:rsidR="003C6E36" w:rsidRPr="00257477">
        <w:rPr>
          <w:rFonts w:asciiTheme="majorBidi" w:hAnsiTheme="majorBidi" w:cstheme="majorBidi"/>
        </w:rPr>
        <w:t xml:space="preserve"> </w:t>
      </w:r>
      <w:r w:rsidR="002A4891" w:rsidRPr="00257477">
        <w:rPr>
          <w:rFonts w:asciiTheme="majorBidi" w:hAnsiTheme="majorBidi" w:cstheme="majorBidi"/>
        </w:rPr>
        <w:t>kasācijas sūdzību</w:t>
      </w:r>
      <w:r w:rsidRPr="00257477">
        <w:rPr>
          <w:rFonts w:asciiTheme="majorBidi" w:hAnsiTheme="majorBidi" w:cstheme="majorBidi"/>
        </w:rPr>
        <w:t xml:space="preserve"> </w:t>
      </w:r>
      <w:r w:rsidR="002A4891" w:rsidRPr="00257477">
        <w:rPr>
          <w:rFonts w:asciiTheme="majorBidi" w:hAnsiTheme="majorBidi" w:cstheme="majorBidi"/>
        </w:rPr>
        <w:t xml:space="preserve">uzskata </w:t>
      </w:r>
      <w:r w:rsidRPr="00257477">
        <w:rPr>
          <w:rFonts w:asciiTheme="majorBidi" w:hAnsiTheme="majorBidi" w:cstheme="majorBidi"/>
        </w:rPr>
        <w:t>par nepamatotu</w:t>
      </w:r>
      <w:r w:rsidR="003C6E36" w:rsidRPr="00257477">
        <w:rPr>
          <w:rFonts w:asciiTheme="majorBidi" w:hAnsiTheme="majorBidi" w:cstheme="majorBidi"/>
        </w:rPr>
        <w:t>, bet apelācijas instances tiesas spriedumu</w:t>
      </w:r>
      <w:r w:rsidR="00D122A4" w:rsidRPr="00257477">
        <w:rPr>
          <w:rFonts w:asciiTheme="majorBidi" w:hAnsiTheme="majorBidi" w:cstheme="majorBidi"/>
        </w:rPr>
        <w:t xml:space="preserve"> – </w:t>
      </w:r>
      <w:r w:rsidR="003C6E36" w:rsidRPr="00257477">
        <w:rPr>
          <w:rFonts w:asciiTheme="majorBidi" w:hAnsiTheme="majorBidi" w:cstheme="majorBidi"/>
        </w:rPr>
        <w:t xml:space="preserve">par tiesisku un pamatotu. </w:t>
      </w:r>
    </w:p>
    <w:p w14:paraId="3DACEDAC" w14:textId="3CBEDA6C" w:rsidR="003C6E36" w:rsidRPr="00257477" w:rsidRDefault="003C6E36" w:rsidP="00257477">
      <w:pPr>
        <w:spacing w:line="276" w:lineRule="auto"/>
        <w:ind w:firstLine="720"/>
        <w:jc w:val="both"/>
        <w:rPr>
          <w:rFonts w:asciiTheme="majorBidi" w:hAnsiTheme="majorBidi" w:cstheme="majorBidi"/>
        </w:rPr>
      </w:pPr>
      <w:r w:rsidRPr="00257477">
        <w:rPr>
          <w:rFonts w:asciiTheme="majorBidi" w:hAnsiTheme="majorBidi" w:cstheme="majorBidi"/>
        </w:rPr>
        <w:t xml:space="preserve">Paskaidrojumos par kasācijas sūdzību atbildētāja </w:t>
      </w:r>
      <w:r w:rsidR="002A4891" w:rsidRPr="00257477">
        <w:rPr>
          <w:rFonts w:asciiTheme="majorBidi" w:hAnsiTheme="majorBidi" w:cstheme="majorBidi"/>
        </w:rPr>
        <w:t xml:space="preserve">norādījusi </w:t>
      </w:r>
      <w:r w:rsidRPr="00257477">
        <w:rPr>
          <w:rFonts w:asciiTheme="majorBidi" w:hAnsiTheme="majorBidi" w:cstheme="majorBidi"/>
        </w:rPr>
        <w:t xml:space="preserve">šādus argumentus. </w:t>
      </w:r>
    </w:p>
    <w:p w14:paraId="1FA58795" w14:textId="6484CCC3" w:rsidR="001045F2" w:rsidRPr="00257477" w:rsidRDefault="009E4691" w:rsidP="00257477">
      <w:pPr>
        <w:spacing w:line="276" w:lineRule="auto"/>
        <w:ind w:firstLine="720"/>
        <w:jc w:val="both"/>
        <w:rPr>
          <w:rFonts w:asciiTheme="majorBidi" w:hAnsiTheme="majorBidi" w:cstheme="majorBidi"/>
        </w:rPr>
      </w:pPr>
      <w:r w:rsidRPr="00257477">
        <w:rPr>
          <w:rFonts w:asciiTheme="majorBidi" w:hAnsiTheme="majorBidi" w:cstheme="majorBidi"/>
        </w:rPr>
        <w:t>[</w:t>
      </w:r>
      <w:r w:rsidR="003C6E36" w:rsidRPr="00257477">
        <w:rPr>
          <w:rFonts w:asciiTheme="majorBidi" w:hAnsiTheme="majorBidi" w:cstheme="majorBidi"/>
        </w:rPr>
        <w:t>5</w:t>
      </w:r>
      <w:r w:rsidRPr="00257477">
        <w:rPr>
          <w:rFonts w:asciiTheme="majorBidi" w:hAnsiTheme="majorBidi" w:cstheme="majorBidi"/>
        </w:rPr>
        <w:t>.1] Abu projektu mērķi ir sasniegti, ko prasītāja atzinusi savā prasības pieteikumā un par ko strīds līdz šim nav pastāvējis.</w:t>
      </w:r>
    </w:p>
    <w:p w14:paraId="2C4F2E8E" w14:textId="157E2B45" w:rsidR="001045F2" w:rsidRPr="00257477" w:rsidRDefault="009E4691" w:rsidP="00257477">
      <w:pPr>
        <w:spacing w:line="276" w:lineRule="auto"/>
        <w:ind w:firstLine="720"/>
        <w:jc w:val="both"/>
        <w:rPr>
          <w:rFonts w:asciiTheme="majorBidi" w:hAnsiTheme="majorBidi" w:cstheme="majorBidi"/>
        </w:rPr>
      </w:pPr>
      <w:r w:rsidRPr="00257477">
        <w:rPr>
          <w:rFonts w:asciiTheme="majorBidi" w:hAnsiTheme="majorBidi" w:cstheme="majorBidi"/>
        </w:rPr>
        <w:lastRenderedPageBreak/>
        <w:t>[</w:t>
      </w:r>
      <w:r w:rsidR="003C6E36" w:rsidRPr="00257477">
        <w:rPr>
          <w:rFonts w:asciiTheme="majorBidi" w:hAnsiTheme="majorBidi" w:cstheme="majorBidi"/>
        </w:rPr>
        <w:t>5.2</w:t>
      </w:r>
      <w:r w:rsidRPr="00257477">
        <w:rPr>
          <w:rFonts w:asciiTheme="majorBidi" w:hAnsiTheme="majorBidi" w:cstheme="majorBidi"/>
        </w:rPr>
        <w:t>] Pretēji prasītājas norādītajam</w:t>
      </w:r>
      <w:r w:rsidR="003C6E36" w:rsidRPr="00257477">
        <w:rPr>
          <w:rFonts w:asciiTheme="majorBidi" w:hAnsiTheme="majorBidi" w:cstheme="majorBidi"/>
        </w:rPr>
        <w:t xml:space="preserve"> apelācijas instances</w:t>
      </w:r>
      <w:r w:rsidRPr="00257477">
        <w:rPr>
          <w:rFonts w:asciiTheme="majorBidi" w:hAnsiTheme="majorBidi" w:cstheme="majorBidi"/>
        </w:rPr>
        <w:t xml:space="preserve"> tiesa ir piemērojusi MK noteikumu Nr.</w:t>
      </w:r>
      <w:r w:rsidR="003C6E36" w:rsidRPr="00257477">
        <w:rPr>
          <w:rFonts w:asciiTheme="majorBidi" w:hAnsiTheme="majorBidi" w:cstheme="majorBidi"/>
        </w:rPr>
        <w:t> </w:t>
      </w:r>
      <w:r w:rsidRPr="00257477">
        <w:rPr>
          <w:rFonts w:asciiTheme="majorBidi" w:hAnsiTheme="majorBidi" w:cstheme="majorBidi"/>
        </w:rPr>
        <w:t>740 2.1.</w:t>
      </w:r>
      <w:r w:rsidR="003C6E36" w:rsidRPr="00257477">
        <w:rPr>
          <w:rFonts w:asciiTheme="majorBidi" w:hAnsiTheme="majorBidi" w:cstheme="majorBidi"/>
        </w:rPr>
        <w:t> </w:t>
      </w:r>
      <w:r w:rsidRPr="00257477">
        <w:rPr>
          <w:rFonts w:asciiTheme="majorBidi" w:hAnsiTheme="majorBidi" w:cstheme="majorBidi"/>
        </w:rPr>
        <w:t>apakšpunktu un 6.</w:t>
      </w:r>
      <w:r w:rsidR="00CB377C" w:rsidRPr="00257477">
        <w:rPr>
          <w:rFonts w:asciiTheme="majorBidi" w:hAnsiTheme="majorBidi" w:cstheme="majorBidi"/>
        </w:rPr>
        <w:t> </w:t>
      </w:r>
      <w:r w:rsidRPr="00257477">
        <w:rPr>
          <w:rFonts w:asciiTheme="majorBidi" w:hAnsiTheme="majorBidi" w:cstheme="majorBidi"/>
        </w:rPr>
        <w:t>punktu, kā arī starp pusēm noslēgto līgumu nosacījumus, pareizi secinot, ka šajā gadījumā nav pamata piemērot finanšu korekciju.</w:t>
      </w:r>
    </w:p>
    <w:p w14:paraId="74B9C5BD" w14:textId="075D890F" w:rsidR="001045F2" w:rsidRPr="00257477" w:rsidRDefault="009E4691" w:rsidP="00257477">
      <w:pPr>
        <w:spacing w:line="276" w:lineRule="auto"/>
        <w:ind w:firstLine="720"/>
        <w:jc w:val="both"/>
        <w:rPr>
          <w:rFonts w:asciiTheme="majorBidi" w:hAnsiTheme="majorBidi" w:cstheme="majorBidi"/>
        </w:rPr>
      </w:pPr>
      <w:r w:rsidRPr="00257477">
        <w:rPr>
          <w:rFonts w:asciiTheme="majorBidi" w:hAnsiTheme="majorBidi" w:cstheme="majorBidi"/>
        </w:rPr>
        <w:t xml:space="preserve">Spriedumā pamatoti secināts, ka apstākļos, kad atbildētāja īstenojusi projektu mērķi un to īstenošanas rezultātā ir tapis inovatīvs produkts, </w:t>
      </w:r>
      <w:r w:rsidR="00B274EE" w:rsidRPr="00257477">
        <w:rPr>
          <w:rFonts w:asciiTheme="majorBidi" w:hAnsiTheme="majorBidi" w:cstheme="majorBidi"/>
        </w:rPr>
        <w:t>bet</w:t>
      </w:r>
      <w:r w:rsidRPr="00257477">
        <w:rPr>
          <w:rFonts w:asciiTheme="majorBidi" w:hAnsiTheme="majorBidi" w:cstheme="majorBidi"/>
        </w:rPr>
        <w:t xml:space="preserve"> prasītāja, izmaksājot atbalsta finansējumu, faktiski ir atzinusi, ka līgumi ir izpildīti, nav samērīgi atprasīt izmaksāto atbalsta finansējuma daļu tā apstākļa dēļ, ka atbildētāja nav sasniegusi plānoto peļņas apjomu inovatīvam produktam.</w:t>
      </w:r>
    </w:p>
    <w:p w14:paraId="15E3E0CB" w14:textId="1243EB23" w:rsidR="001045F2" w:rsidRPr="00257477" w:rsidRDefault="00B274EE" w:rsidP="00257477">
      <w:pPr>
        <w:spacing w:line="276" w:lineRule="auto"/>
        <w:ind w:firstLine="720"/>
        <w:jc w:val="both"/>
        <w:rPr>
          <w:rFonts w:asciiTheme="majorBidi" w:hAnsiTheme="majorBidi" w:cstheme="majorBidi"/>
        </w:rPr>
      </w:pPr>
      <w:r w:rsidRPr="00257477">
        <w:rPr>
          <w:rFonts w:asciiTheme="majorBidi" w:hAnsiTheme="majorBidi" w:cstheme="majorBidi"/>
        </w:rPr>
        <w:t>Latvijas Republikas Finanšu ministrijas 2022.</w:t>
      </w:r>
      <w:r w:rsidR="00CB377C" w:rsidRPr="00257477">
        <w:rPr>
          <w:rFonts w:asciiTheme="majorBidi" w:hAnsiTheme="majorBidi" w:cstheme="majorBidi"/>
        </w:rPr>
        <w:t> </w:t>
      </w:r>
      <w:r w:rsidRPr="00257477">
        <w:rPr>
          <w:rFonts w:asciiTheme="majorBidi" w:hAnsiTheme="majorBidi" w:cstheme="majorBidi"/>
        </w:rPr>
        <w:t>gada 21.</w:t>
      </w:r>
      <w:r w:rsidR="00CB377C" w:rsidRPr="00257477">
        <w:rPr>
          <w:rFonts w:asciiTheme="majorBidi" w:hAnsiTheme="majorBidi" w:cstheme="majorBidi"/>
        </w:rPr>
        <w:t> </w:t>
      </w:r>
      <w:r w:rsidRPr="00257477">
        <w:rPr>
          <w:rFonts w:asciiTheme="majorBidi" w:hAnsiTheme="majorBidi" w:cstheme="majorBidi"/>
        </w:rPr>
        <w:t>marta vadlīniju 2014.–2020.</w:t>
      </w:r>
      <w:r w:rsidR="00CB377C" w:rsidRPr="00257477">
        <w:rPr>
          <w:rFonts w:asciiTheme="majorBidi" w:hAnsiTheme="majorBidi" w:cstheme="majorBidi"/>
        </w:rPr>
        <w:t> </w:t>
      </w:r>
      <w:r w:rsidRPr="00257477">
        <w:rPr>
          <w:rFonts w:asciiTheme="majorBidi" w:hAnsiTheme="majorBidi" w:cstheme="majorBidi"/>
        </w:rPr>
        <w:t>gada plānošanas periodam 4.</w:t>
      </w:r>
      <w:r w:rsidR="003C6E36" w:rsidRPr="00257477">
        <w:rPr>
          <w:rFonts w:asciiTheme="majorBidi" w:hAnsiTheme="majorBidi" w:cstheme="majorBidi"/>
        </w:rPr>
        <w:t> </w:t>
      </w:r>
      <w:r w:rsidRPr="00257477">
        <w:rPr>
          <w:rFonts w:asciiTheme="majorBidi" w:hAnsiTheme="majorBidi" w:cstheme="majorBidi"/>
        </w:rPr>
        <w:t>pielikumā uzsvērts, ka finanšu korekciju nepiemēro, ja rādītāju nesasniegšanas pamatā ir sociāli ekonomisko vai vides faktoru ietekme, būtiskas izmaiņas valsts ekonomikas vai vides apstākļos, kas nopietni ietekmē attiecīgo prioritāšu un projekta īstenošanu. Arī izskatāmajā gadījumā par pamatu rezultatīvo rādītāju nesasniegšanai ir bijuši ārēji apstākļi, nevis atbildētājas darbība vai bezdarbība.</w:t>
      </w:r>
    </w:p>
    <w:p w14:paraId="62338C68" w14:textId="2CBEB6A0" w:rsidR="001045F2" w:rsidRPr="00257477" w:rsidRDefault="009E4691" w:rsidP="00257477">
      <w:pPr>
        <w:spacing w:line="276" w:lineRule="auto"/>
        <w:ind w:firstLine="720"/>
        <w:jc w:val="both"/>
        <w:rPr>
          <w:rFonts w:asciiTheme="majorBidi" w:hAnsiTheme="majorBidi" w:cstheme="majorBidi"/>
        </w:rPr>
      </w:pPr>
      <w:r w:rsidRPr="00257477">
        <w:rPr>
          <w:rFonts w:asciiTheme="majorBidi" w:hAnsiTheme="majorBidi" w:cstheme="majorBidi"/>
        </w:rPr>
        <w:t>Turklāt ne</w:t>
      </w:r>
      <w:r w:rsidR="003C6E36" w:rsidRPr="00257477">
        <w:rPr>
          <w:rFonts w:asciiTheme="majorBidi" w:hAnsiTheme="majorBidi" w:cstheme="majorBidi"/>
        </w:rPr>
        <w:t>dz</w:t>
      </w:r>
      <w:r w:rsidR="00B274EE" w:rsidRPr="00257477">
        <w:rPr>
          <w:rFonts w:asciiTheme="majorBidi" w:hAnsiTheme="majorBidi" w:cstheme="majorBidi"/>
        </w:rPr>
        <w:t xml:space="preserve"> pušu starpā noslēgtajos</w:t>
      </w:r>
      <w:r w:rsidRPr="00257477">
        <w:rPr>
          <w:rFonts w:asciiTheme="majorBidi" w:hAnsiTheme="majorBidi" w:cstheme="majorBidi"/>
        </w:rPr>
        <w:t xml:space="preserve"> līgumos, ne</w:t>
      </w:r>
      <w:r w:rsidR="003C6E36" w:rsidRPr="00257477">
        <w:rPr>
          <w:rFonts w:asciiTheme="majorBidi" w:hAnsiTheme="majorBidi" w:cstheme="majorBidi"/>
        </w:rPr>
        <w:t>dz</w:t>
      </w:r>
      <w:r w:rsidRPr="00257477">
        <w:rPr>
          <w:rFonts w:asciiTheme="majorBidi" w:hAnsiTheme="majorBidi" w:cstheme="majorBidi"/>
        </w:rPr>
        <w:t xml:space="preserve"> normatīvajos aktos, ne</w:t>
      </w:r>
      <w:r w:rsidR="003C6E36" w:rsidRPr="00257477">
        <w:rPr>
          <w:rFonts w:asciiTheme="majorBidi" w:hAnsiTheme="majorBidi" w:cstheme="majorBidi"/>
        </w:rPr>
        <w:t>dz</w:t>
      </w:r>
      <w:r w:rsidRPr="00257477">
        <w:rPr>
          <w:rFonts w:asciiTheme="majorBidi" w:hAnsiTheme="majorBidi" w:cstheme="majorBidi"/>
        </w:rPr>
        <w:t xml:space="preserve"> vadlīnijās nav noteikta finanšu korekcijas piemērošana gadījumā, kad netiek sasniegts prognozētais finanšu apgrozījums projekta </w:t>
      </w:r>
      <w:proofErr w:type="spellStart"/>
      <w:r w:rsidRPr="00257477">
        <w:rPr>
          <w:rFonts w:asciiTheme="majorBidi" w:hAnsiTheme="majorBidi" w:cstheme="majorBidi"/>
        </w:rPr>
        <w:t>pēcuzraudzības</w:t>
      </w:r>
      <w:proofErr w:type="spellEnd"/>
      <w:r w:rsidRPr="00257477">
        <w:rPr>
          <w:rFonts w:asciiTheme="majorBidi" w:hAnsiTheme="majorBidi" w:cstheme="majorBidi"/>
        </w:rPr>
        <w:t xml:space="preserve"> periodā, kas ir loģiski un saprotami, jo to objektīvi paredzēt nav iespējams, sevišķi inovatīviem produktiem. Līdz ar to </w:t>
      </w:r>
      <w:r w:rsidR="003C6E36" w:rsidRPr="00257477">
        <w:rPr>
          <w:rFonts w:asciiTheme="majorBidi" w:hAnsiTheme="majorBidi" w:cstheme="majorBidi"/>
        </w:rPr>
        <w:t xml:space="preserve">apelācijas instances </w:t>
      </w:r>
      <w:r w:rsidRPr="00257477">
        <w:rPr>
          <w:rFonts w:asciiTheme="majorBidi" w:hAnsiTheme="majorBidi" w:cstheme="majorBidi"/>
        </w:rPr>
        <w:t>tiesa pamatoti secinājusi, ka nav nekāda pamata piemērot finanšu korekciju 25</w:t>
      </w:r>
      <w:r w:rsidR="00E4617D" w:rsidRPr="00257477">
        <w:rPr>
          <w:rFonts w:asciiTheme="majorBidi" w:hAnsiTheme="majorBidi" w:cstheme="majorBidi"/>
        </w:rPr>
        <w:t> </w:t>
      </w:r>
      <w:r w:rsidRPr="00257477">
        <w:rPr>
          <w:rFonts w:asciiTheme="majorBidi" w:hAnsiTheme="majorBidi" w:cstheme="majorBidi"/>
        </w:rPr>
        <w:t xml:space="preserve">% apmērā gadījumā, </w:t>
      </w:r>
      <w:r w:rsidR="00E4617D" w:rsidRPr="00257477">
        <w:rPr>
          <w:rFonts w:asciiTheme="majorBidi" w:hAnsiTheme="majorBidi" w:cstheme="majorBidi"/>
        </w:rPr>
        <w:t>kad</w:t>
      </w:r>
      <w:r w:rsidRPr="00257477">
        <w:rPr>
          <w:rFonts w:asciiTheme="majorBidi" w:hAnsiTheme="majorBidi" w:cstheme="majorBidi"/>
        </w:rPr>
        <w:t xml:space="preserve"> ekonomiskie un finanšu rādītāji uzraudzības periodā</w:t>
      </w:r>
      <w:r w:rsidR="00E4617D" w:rsidRPr="00257477">
        <w:rPr>
          <w:rFonts w:asciiTheme="majorBidi" w:hAnsiTheme="majorBidi" w:cstheme="majorBidi"/>
        </w:rPr>
        <w:t xml:space="preserve"> nav sasniegti</w:t>
      </w:r>
      <w:r w:rsidRPr="00257477">
        <w:rPr>
          <w:rFonts w:asciiTheme="majorBidi" w:hAnsiTheme="majorBidi" w:cstheme="majorBidi"/>
        </w:rPr>
        <w:t xml:space="preserve"> ārēju apstākļu </w:t>
      </w:r>
      <w:r w:rsidR="002A4891" w:rsidRPr="00257477">
        <w:rPr>
          <w:rFonts w:asciiTheme="majorBidi" w:hAnsiTheme="majorBidi" w:cstheme="majorBidi"/>
        </w:rPr>
        <w:t>ietekmē</w:t>
      </w:r>
      <w:r w:rsidRPr="00257477">
        <w:rPr>
          <w:rFonts w:asciiTheme="majorBidi" w:hAnsiTheme="majorBidi" w:cstheme="majorBidi"/>
        </w:rPr>
        <w:t>. Finanšu korekcijas piemērošana šādos apstākļos no MK noteikumu Nr.</w:t>
      </w:r>
      <w:r w:rsidR="003C6E36" w:rsidRPr="00257477">
        <w:rPr>
          <w:rFonts w:asciiTheme="majorBidi" w:hAnsiTheme="majorBidi" w:cstheme="majorBidi"/>
        </w:rPr>
        <w:t> </w:t>
      </w:r>
      <w:r w:rsidRPr="00257477">
        <w:rPr>
          <w:rFonts w:asciiTheme="majorBidi" w:hAnsiTheme="majorBidi" w:cstheme="majorBidi"/>
        </w:rPr>
        <w:t>740 2.1.</w:t>
      </w:r>
      <w:r w:rsidR="003C6E36" w:rsidRPr="00257477">
        <w:rPr>
          <w:rFonts w:asciiTheme="majorBidi" w:hAnsiTheme="majorBidi" w:cstheme="majorBidi"/>
        </w:rPr>
        <w:t> </w:t>
      </w:r>
      <w:r w:rsidRPr="00257477">
        <w:rPr>
          <w:rFonts w:asciiTheme="majorBidi" w:hAnsiTheme="majorBidi" w:cstheme="majorBidi"/>
        </w:rPr>
        <w:t>apakšpunkta un 6.</w:t>
      </w:r>
      <w:r w:rsidR="003C6E36" w:rsidRPr="00257477">
        <w:rPr>
          <w:rFonts w:asciiTheme="majorBidi" w:hAnsiTheme="majorBidi" w:cstheme="majorBidi"/>
        </w:rPr>
        <w:t> </w:t>
      </w:r>
      <w:r w:rsidRPr="00257477">
        <w:rPr>
          <w:rFonts w:asciiTheme="majorBidi" w:hAnsiTheme="majorBidi" w:cstheme="majorBidi"/>
        </w:rPr>
        <w:t>punkta nav izsecināma.</w:t>
      </w:r>
    </w:p>
    <w:p w14:paraId="6E9E689D" w14:textId="2B70E288" w:rsidR="001045F2" w:rsidRPr="00257477" w:rsidRDefault="009E4691" w:rsidP="00257477">
      <w:pPr>
        <w:spacing w:line="276" w:lineRule="auto"/>
        <w:ind w:firstLine="720"/>
        <w:jc w:val="both"/>
        <w:rPr>
          <w:rFonts w:asciiTheme="majorBidi" w:hAnsiTheme="majorBidi" w:cstheme="majorBidi"/>
        </w:rPr>
      </w:pPr>
      <w:r w:rsidRPr="00257477">
        <w:rPr>
          <w:rFonts w:asciiTheme="majorBidi" w:hAnsiTheme="majorBidi" w:cstheme="majorBidi"/>
        </w:rPr>
        <w:t>[</w:t>
      </w:r>
      <w:r w:rsidR="003C6E36" w:rsidRPr="00257477">
        <w:rPr>
          <w:rFonts w:asciiTheme="majorBidi" w:hAnsiTheme="majorBidi" w:cstheme="majorBidi"/>
        </w:rPr>
        <w:t>5</w:t>
      </w:r>
      <w:r w:rsidRPr="00257477">
        <w:rPr>
          <w:rFonts w:asciiTheme="majorBidi" w:hAnsiTheme="majorBidi" w:cstheme="majorBidi"/>
        </w:rPr>
        <w:t xml:space="preserve">.3] Prasītāja </w:t>
      </w:r>
      <w:r w:rsidR="002A4891" w:rsidRPr="00257477">
        <w:rPr>
          <w:rFonts w:asciiTheme="majorBidi" w:hAnsiTheme="majorBidi" w:cstheme="majorBidi"/>
        </w:rPr>
        <w:t xml:space="preserve">nepamatoti </w:t>
      </w:r>
      <w:r w:rsidRPr="00257477">
        <w:rPr>
          <w:rFonts w:asciiTheme="majorBidi" w:hAnsiTheme="majorBidi" w:cstheme="majorBidi"/>
        </w:rPr>
        <w:t>ir norādījusi uz Civilprocesa likuma 74.</w:t>
      </w:r>
      <w:r w:rsidR="00F52CC2" w:rsidRPr="00257477">
        <w:rPr>
          <w:rFonts w:asciiTheme="majorBidi" w:hAnsiTheme="majorBidi" w:cstheme="majorBidi"/>
        </w:rPr>
        <w:t> </w:t>
      </w:r>
      <w:r w:rsidRPr="00257477">
        <w:rPr>
          <w:rFonts w:asciiTheme="majorBidi" w:hAnsiTheme="majorBidi" w:cstheme="majorBidi"/>
        </w:rPr>
        <w:t>panta otrās daļas 7.</w:t>
      </w:r>
      <w:r w:rsidR="00CB377C" w:rsidRPr="00257477">
        <w:rPr>
          <w:rFonts w:asciiTheme="majorBidi" w:hAnsiTheme="majorBidi" w:cstheme="majorBidi"/>
        </w:rPr>
        <w:t> </w:t>
      </w:r>
      <w:r w:rsidRPr="00257477">
        <w:rPr>
          <w:rFonts w:asciiTheme="majorBidi" w:hAnsiTheme="majorBidi" w:cstheme="majorBidi"/>
        </w:rPr>
        <w:t xml:space="preserve">punkta pārkāpumu, jo prasītājai tika nodrošinātas tiesības izteikties un sniegt paskaidrojumus. </w:t>
      </w:r>
    </w:p>
    <w:p w14:paraId="4E205262" w14:textId="24AF3D0C" w:rsidR="001045F2" w:rsidRPr="00257477" w:rsidRDefault="003C6E36" w:rsidP="00257477">
      <w:pPr>
        <w:spacing w:line="276" w:lineRule="auto"/>
        <w:ind w:firstLine="720"/>
        <w:jc w:val="both"/>
        <w:rPr>
          <w:rFonts w:asciiTheme="majorBidi" w:hAnsiTheme="majorBidi" w:cstheme="majorBidi"/>
        </w:rPr>
      </w:pPr>
      <w:r w:rsidRPr="00257477">
        <w:rPr>
          <w:rFonts w:asciiTheme="majorBidi" w:hAnsiTheme="majorBidi" w:cstheme="majorBidi"/>
        </w:rPr>
        <w:t xml:space="preserve">Apelācijas instances tiesas 2023. gada 28. marta sēdē prasītājas pārstāvei tika dota iespēja sniegt paskaidrojumus, lūdzot vairāk vērst uzmanību uz atbildētājas iebildumiem. Prasītājas pārstāve sniedza paskaidrojumus, atbildēja uz tiesas jautājumiem. Turklāt pati prasītājas pārstāve neizmantoja tiesības izteikties tiesas sēdes debatēs, norādot, ka uztur paskaidrojumus par apelācijas sūdzību un papildus neko nevēlas piebilst. </w:t>
      </w:r>
    </w:p>
    <w:p w14:paraId="4905637A" w14:textId="09A08D55" w:rsidR="001045F2" w:rsidRPr="00257477" w:rsidRDefault="009E4691" w:rsidP="00257477">
      <w:pPr>
        <w:spacing w:line="276" w:lineRule="auto"/>
        <w:ind w:firstLine="720"/>
        <w:jc w:val="both"/>
        <w:rPr>
          <w:rFonts w:asciiTheme="majorBidi" w:hAnsiTheme="majorBidi" w:cstheme="majorBidi"/>
        </w:rPr>
      </w:pPr>
      <w:r w:rsidRPr="00257477">
        <w:rPr>
          <w:rFonts w:asciiTheme="majorBidi" w:hAnsiTheme="majorBidi" w:cstheme="majorBidi"/>
        </w:rPr>
        <w:t>[</w:t>
      </w:r>
      <w:r w:rsidR="003C6E36" w:rsidRPr="00257477">
        <w:rPr>
          <w:rFonts w:asciiTheme="majorBidi" w:hAnsiTheme="majorBidi" w:cstheme="majorBidi"/>
        </w:rPr>
        <w:t>5.4</w:t>
      </w:r>
      <w:r w:rsidRPr="00257477">
        <w:rPr>
          <w:rFonts w:asciiTheme="majorBidi" w:hAnsiTheme="majorBidi" w:cstheme="majorBidi"/>
        </w:rPr>
        <w:t xml:space="preserve">] Prasītāja </w:t>
      </w:r>
      <w:r w:rsidR="002A4891" w:rsidRPr="00257477">
        <w:rPr>
          <w:rFonts w:asciiTheme="majorBidi" w:hAnsiTheme="majorBidi" w:cstheme="majorBidi"/>
        </w:rPr>
        <w:t xml:space="preserve">nepamatoti </w:t>
      </w:r>
      <w:r w:rsidRPr="00257477">
        <w:rPr>
          <w:rFonts w:asciiTheme="majorBidi" w:hAnsiTheme="majorBidi" w:cstheme="majorBidi"/>
        </w:rPr>
        <w:t>ir norādījusi uz Civilprocesa likuma 193.</w:t>
      </w:r>
      <w:r w:rsidR="00CB377C" w:rsidRPr="00257477">
        <w:rPr>
          <w:rFonts w:asciiTheme="majorBidi" w:hAnsiTheme="majorBidi" w:cstheme="majorBidi"/>
        </w:rPr>
        <w:t> </w:t>
      </w:r>
      <w:r w:rsidRPr="00257477">
        <w:rPr>
          <w:rFonts w:asciiTheme="majorBidi" w:hAnsiTheme="majorBidi" w:cstheme="majorBidi"/>
        </w:rPr>
        <w:t>panta piektās daļas pārkāpumu, jo spriedums ir tiesiski pamatots.</w:t>
      </w:r>
    </w:p>
    <w:p w14:paraId="6EC60C0B" w14:textId="1A8713CD" w:rsidR="001045F2" w:rsidRPr="00257477" w:rsidRDefault="009E4691" w:rsidP="00257477">
      <w:pPr>
        <w:spacing w:line="276" w:lineRule="auto"/>
        <w:ind w:firstLine="720"/>
        <w:jc w:val="both"/>
        <w:rPr>
          <w:rFonts w:asciiTheme="majorBidi" w:hAnsiTheme="majorBidi" w:cstheme="majorBidi"/>
        </w:rPr>
      </w:pPr>
      <w:r w:rsidRPr="00257477">
        <w:rPr>
          <w:rFonts w:asciiTheme="majorBidi" w:hAnsiTheme="majorBidi" w:cstheme="majorBidi"/>
        </w:rPr>
        <w:t xml:space="preserve">Prasītāja nav pamatojusi, kā konkrēti izpaužas minētais pārkāpums un kā tas novedis vai varēja novest pie lietas nepareizas izspriešanas. Pārmetums </w:t>
      </w:r>
      <w:r w:rsidR="003C6E36" w:rsidRPr="00257477">
        <w:rPr>
          <w:rFonts w:asciiTheme="majorBidi" w:hAnsiTheme="majorBidi" w:cstheme="majorBidi"/>
        </w:rPr>
        <w:t xml:space="preserve">apelācijas instances </w:t>
      </w:r>
      <w:r w:rsidRPr="00257477">
        <w:rPr>
          <w:rFonts w:asciiTheme="majorBidi" w:hAnsiTheme="majorBidi" w:cstheme="majorBidi"/>
        </w:rPr>
        <w:t>tiesai, ka tā vadījusies vienīgi no taisnīguma principa, nav pamatots. Vispārīga neargumentēta nepiekrišana tiesas secinājumiem un lietas iznākumam nerada pamatu kasācijas tiesvedības ierosināšanai.</w:t>
      </w:r>
    </w:p>
    <w:p w14:paraId="3233C1AE" w14:textId="069DFD06" w:rsidR="00DD14A7" w:rsidRPr="00257477" w:rsidRDefault="00DD14A7" w:rsidP="00257477">
      <w:pPr>
        <w:spacing w:line="276" w:lineRule="auto"/>
        <w:ind w:firstLine="720"/>
        <w:jc w:val="both"/>
        <w:rPr>
          <w:rFonts w:asciiTheme="majorBidi" w:hAnsiTheme="majorBidi" w:cstheme="majorBidi"/>
        </w:rPr>
      </w:pPr>
      <w:r w:rsidRPr="00257477">
        <w:rPr>
          <w:rFonts w:asciiTheme="majorBidi" w:hAnsiTheme="majorBidi" w:cstheme="majorBidi"/>
        </w:rPr>
        <w:t>Apelācijas instances tiesa ir pamatoti konstatējusi</w:t>
      </w:r>
      <w:r w:rsidR="002A4891" w:rsidRPr="00257477">
        <w:rPr>
          <w:rFonts w:asciiTheme="majorBidi" w:hAnsiTheme="majorBidi" w:cstheme="majorBidi"/>
        </w:rPr>
        <w:t>,</w:t>
      </w:r>
      <w:r w:rsidRPr="00257477">
        <w:rPr>
          <w:rFonts w:asciiTheme="majorBidi" w:hAnsiTheme="majorBidi" w:cstheme="majorBidi"/>
        </w:rPr>
        <w:t xml:space="preserve"> un tas nav pārvērtējams kasācijas instances tiesā, ka: 1)</w:t>
      </w:r>
      <w:r w:rsidR="0092413D" w:rsidRPr="00257477">
        <w:rPr>
          <w:rFonts w:asciiTheme="majorBidi" w:hAnsiTheme="majorBidi" w:cstheme="majorBidi"/>
        </w:rPr>
        <w:t> </w:t>
      </w:r>
      <w:r w:rsidRPr="00257477">
        <w:rPr>
          <w:rFonts w:asciiTheme="majorBidi" w:hAnsiTheme="majorBidi" w:cstheme="majorBidi"/>
        </w:rPr>
        <w:t>abu projektu mērķi kopumā ir sasniegti, bet rezultatīvie rādītāji sasniegti daļēji; 2)</w:t>
      </w:r>
      <w:r w:rsidR="0092413D" w:rsidRPr="00257477">
        <w:rPr>
          <w:rFonts w:asciiTheme="majorBidi" w:hAnsiTheme="majorBidi" w:cstheme="majorBidi"/>
        </w:rPr>
        <w:t> </w:t>
      </w:r>
      <w:r w:rsidRPr="00257477">
        <w:rPr>
          <w:rFonts w:asciiTheme="majorBidi" w:hAnsiTheme="majorBidi" w:cstheme="majorBidi"/>
        </w:rPr>
        <w:t>prasītāja ir atzinusi, ka konkrēts apgrozījums un rezultatīvie rādītāji projektu biznesa plānu iesniegšanas brīd</w:t>
      </w:r>
      <w:r w:rsidR="002A4891" w:rsidRPr="00257477">
        <w:rPr>
          <w:rFonts w:asciiTheme="majorBidi" w:hAnsiTheme="majorBidi" w:cstheme="majorBidi"/>
        </w:rPr>
        <w:t>ī</w:t>
      </w:r>
      <w:r w:rsidRPr="00257477">
        <w:rPr>
          <w:rFonts w:asciiTheme="majorBidi" w:hAnsiTheme="majorBidi" w:cstheme="majorBidi"/>
        </w:rPr>
        <w:t xml:space="preserve"> objektīvi nebija paredzami; 3)</w:t>
      </w:r>
      <w:r w:rsidR="0092413D" w:rsidRPr="00257477">
        <w:rPr>
          <w:rFonts w:asciiTheme="majorBidi" w:hAnsiTheme="majorBidi" w:cstheme="majorBidi"/>
        </w:rPr>
        <w:t> </w:t>
      </w:r>
      <w:r w:rsidRPr="00257477">
        <w:rPr>
          <w:rFonts w:asciiTheme="majorBidi" w:hAnsiTheme="majorBidi" w:cstheme="majorBidi"/>
        </w:rPr>
        <w:t>rezultatīvie rādītāji ir sasniegti daļēji no atbildētājas neatkarīgu apstākļu dēļ; 4)</w:t>
      </w:r>
      <w:r w:rsidR="0092413D" w:rsidRPr="00257477">
        <w:rPr>
          <w:rFonts w:asciiTheme="majorBidi" w:hAnsiTheme="majorBidi" w:cstheme="majorBidi"/>
        </w:rPr>
        <w:t> </w:t>
      </w:r>
      <w:r w:rsidRPr="00257477">
        <w:rPr>
          <w:rFonts w:asciiTheme="majorBidi" w:hAnsiTheme="majorBidi" w:cstheme="majorBidi"/>
        </w:rPr>
        <w:t>projektu rezultātā radīti inovatīvi produkti; 5)</w:t>
      </w:r>
      <w:r w:rsidR="0092413D" w:rsidRPr="00257477">
        <w:rPr>
          <w:rFonts w:asciiTheme="majorBidi" w:hAnsiTheme="majorBidi" w:cstheme="majorBidi"/>
        </w:rPr>
        <w:t> </w:t>
      </w:r>
      <w:r w:rsidRPr="00257477">
        <w:rPr>
          <w:rFonts w:asciiTheme="majorBidi" w:hAnsiTheme="majorBidi" w:cstheme="majorBidi"/>
        </w:rPr>
        <w:t xml:space="preserve">atbildētāja, nesasniedzot rezultatīvos rādītājus, nav pieļāvusi prettiesisku darbību vai bezdarbību. </w:t>
      </w:r>
    </w:p>
    <w:p w14:paraId="3EC90233" w14:textId="4470500D" w:rsidR="001045F2" w:rsidRPr="00257477" w:rsidRDefault="009E4691" w:rsidP="00257477">
      <w:pPr>
        <w:spacing w:line="276" w:lineRule="auto"/>
        <w:ind w:firstLine="720"/>
        <w:jc w:val="both"/>
        <w:rPr>
          <w:rFonts w:asciiTheme="majorBidi" w:hAnsiTheme="majorBidi" w:cstheme="majorBidi"/>
        </w:rPr>
      </w:pPr>
      <w:r w:rsidRPr="00257477">
        <w:rPr>
          <w:rFonts w:asciiTheme="majorBidi" w:hAnsiTheme="majorBidi" w:cstheme="majorBidi"/>
        </w:rPr>
        <w:lastRenderedPageBreak/>
        <w:t xml:space="preserve">Šādos apstākļos </w:t>
      </w:r>
      <w:r w:rsidR="00DD14A7" w:rsidRPr="00257477">
        <w:rPr>
          <w:rFonts w:asciiTheme="majorBidi" w:hAnsiTheme="majorBidi" w:cstheme="majorBidi"/>
        </w:rPr>
        <w:t xml:space="preserve">apelācijas instances </w:t>
      </w:r>
      <w:r w:rsidRPr="00257477">
        <w:rPr>
          <w:rFonts w:asciiTheme="majorBidi" w:hAnsiTheme="majorBidi" w:cstheme="majorBidi"/>
        </w:rPr>
        <w:t>tiesa pamatoti konstatējusi, ka finanšu korekcijas piemērošana 25</w:t>
      </w:r>
      <w:r w:rsidR="00CB377C" w:rsidRPr="00257477">
        <w:rPr>
          <w:rFonts w:asciiTheme="majorBidi" w:hAnsiTheme="majorBidi" w:cstheme="majorBidi"/>
        </w:rPr>
        <w:t> </w:t>
      </w:r>
      <w:r w:rsidRPr="00257477">
        <w:rPr>
          <w:rFonts w:asciiTheme="majorBidi" w:hAnsiTheme="majorBidi" w:cstheme="majorBidi"/>
        </w:rPr>
        <w:t xml:space="preserve">% apmērā ir pretrunā ne tikai </w:t>
      </w:r>
      <w:r w:rsidR="002A4891" w:rsidRPr="00257477">
        <w:rPr>
          <w:rFonts w:asciiTheme="majorBidi" w:hAnsiTheme="majorBidi" w:cstheme="majorBidi"/>
        </w:rPr>
        <w:t xml:space="preserve">ar </w:t>
      </w:r>
      <w:r w:rsidRPr="00257477">
        <w:rPr>
          <w:rFonts w:asciiTheme="majorBidi" w:hAnsiTheme="majorBidi" w:cstheme="majorBidi"/>
        </w:rPr>
        <w:t xml:space="preserve">vadlīnijām, bet arī </w:t>
      </w:r>
      <w:r w:rsidR="002A4891" w:rsidRPr="00257477">
        <w:rPr>
          <w:rFonts w:asciiTheme="majorBidi" w:hAnsiTheme="majorBidi" w:cstheme="majorBidi"/>
        </w:rPr>
        <w:t xml:space="preserve">ar </w:t>
      </w:r>
      <w:r w:rsidRPr="00257477">
        <w:rPr>
          <w:rFonts w:asciiTheme="majorBidi" w:hAnsiTheme="majorBidi" w:cstheme="majorBidi"/>
        </w:rPr>
        <w:t xml:space="preserve">taisnīguma </w:t>
      </w:r>
      <w:r w:rsidR="002A4891" w:rsidRPr="00257477">
        <w:rPr>
          <w:rFonts w:asciiTheme="majorBidi" w:hAnsiTheme="majorBidi" w:cstheme="majorBidi"/>
        </w:rPr>
        <w:t>principu</w:t>
      </w:r>
      <w:r w:rsidRPr="00257477">
        <w:rPr>
          <w:rFonts w:asciiTheme="majorBidi" w:hAnsiTheme="majorBidi" w:cstheme="majorBidi"/>
        </w:rPr>
        <w:t>.</w:t>
      </w:r>
    </w:p>
    <w:p w14:paraId="40663046" w14:textId="77777777" w:rsidR="001045F2" w:rsidRPr="00257477" w:rsidRDefault="001045F2" w:rsidP="00257477">
      <w:pPr>
        <w:spacing w:line="276" w:lineRule="auto"/>
        <w:ind w:firstLine="720"/>
        <w:jc w:val="both"/>
        <w:rPr>
          <w:rFonts w:asciiTheme="majorBidi" w:hAnsiTheme="majorBidi" w:cstheme="majorBidi"/>
        </w:rPr>
      </w:pPr>
    </w:p>
    <w:p w14:paraId="2B56CDCA" w14:textId="77777777" w:rsidR="001045F2" w:rsidRPr="00257477" w:rsidRDefault="009E4691" w:rsidP="00257477">
      <w:pPr>
        <w:spacing w:line="276" w:lineRule="auto"/>
        <w:jc w:val="center"/>
        <w:rPr>
          <w:rFonts w:asciiTheme="majorBidi" w:hAnsiTheme="majorBidi" w:cstheme="majorBidi"/>
          <w:b/>
        </w:rPr>
      </w:pPr>
      <w:r w:rsidRPr="00257477">
        <w:rPr>
          <w:rFonts w:asciiTheme="majorBidi" w:hAnsiTheme="majorBidi" w:cstheme="majorBidi"/>
          <w:b/>
        </w:rPr>
        <w:t>Motīvu daļa</w:t>
      </w:r>
    </w:p>
    <w:p w14:paraId="3C21887D" w14:textId="77777777" w:rsidR="001045F2" w:rsidRPr="00257477" w:rsidRDefault="001045F2" w:rsidP="00257477">
      <w:pPr>
        <w:spacing w:line="276" w:lineRule="auto"/>
        <w:jc w:val="center"/>
        <w:rPr>
          <w:rFonts w:asciiTheme="majorBidi" w:hAnsiTheme="majorBidi" w:cstheme="majorBidi"/>
          <w:b/>
        </w:rPr>
      </w:pPr>
    </w:p>
    <w:p w14:paraId="6D7DEF89" w14:textId="6CF8BB46" w:rsidR="001045F2" w:rsidRPr="00257477" w:rsidRDefault="009E4691" w:rsidP="00257477">
      <w:pPr>
        <w:shd w:val="clear" w:color="auto" w:fill="FFFFFF"/>
        <w:spacing w:line="276" w:lineRule="auto"/>
        <w:ind w:firstLine="720"/>
        <w:jc w:val="both"/>
        <w:rPr>
          <w:rFonts w:asciiTheme="majorBidi" w:hAnsiTheme="majorBidi" w:cstheme="majorBidi"/>
        </w:rPr>
      </w:pPr>
      <w:bookmarkStart w:id="1" w:name="_1fob9te" w:colFirst="0" w:colLast="0"/>
      <w:bookmarkEnd w:id="1"/>
      <w:r w:rsidRPr="00257477">
        <w:rPr>
          <w:rFonts w:asciiTheme="majorBidi" w:hAnsiTheme="majorBidi" w:cstheme="majorBidi"/>
        </w:rPr>
        <w:t>[</w:t>
      </w:r>
      <w:r w:rsidR="00D122A4" w:rsidRPr="00257477">
        <w:rPr>
          <w:rFonts w:asciiTheme="majorBidi" w:hAnsiTheme="majorBidi" w:cstheme="majorBidi"/>
        </w:rPr>
        <w:t>6</w:t>
      </w:r>
      <w:r w:rsidRPr="00257477">
        <w:rPr>
          <w:rFonts w:asciiTheme="majorBidi" w:hAnsiTheme="majorBidi" w:cstheme="majorBidi"/>
        </w:rPr>
        <w:t xml:space="preserve">] Pārbaudījis sprieduma likumību attiecībā uz </w:t>
      </w:r>
      <w:r w:rsidR="00D122A4" w:rsidRPr="00257477">
        <w:rPr>
          <w:rFonts w:asciiTheme="majorBidi" w:hAnsiTheme="majorBidi" w:cstheme="majorBidi"/>
        </w:rPr>
        <w:t xml:space="preserve">personu, kas to pārsūdzējusi, un </w:t>
      </w:r>
      <w:r w:rsidRPr="00257477">
        <w:rPr>
          <w:rFonts w:asciiTheme="majorBidi" w:hAnsiTheme="majorBidi" w:cstheme="majorBidi"/>
        </w:rPr>
        <w:t xml:space="preserve">argumentiem, kas minēti kasācijas sūdzībā, kā to nosaka Civilprocesa likuma 473. panta pirmā daļa, Senāts atzīst, ka apelācijas instances tiesas spriedums ir atceļams un lieta nododama jaunai izskatīšanai </w:t>
      </w:r>
      <w:r w:rsidR="00D122A4" w:rsidRPr="00257477">
        <w:rPr>
          <w:rFonts w:asciiTheme="majorBidi" w:hAnsiTheme="majorBidi" w:cstheme="majorBidi"/>
        </w:rPr>
        <w:t>apelācijas instances tiesā turpmāk norādīto apsvērumu dēļ</w:t>
      </w:r>
      <w:r w:rsidRPr="00257477">
        <w:rPr>
          <w:rFonts w:asciiTheme="majorBidi" w:hAnsiTheme="majorBidi" w:cstheme="majorBidi"/>
        </w:rPr>
        <w:t>.</w:t>
      </w:r>
    </w:p>
    <w:p w14:paraId="135B4997" w14:textId="77777777" w:rsidR="001045F2" w:rsidRPr="00257477" w:rsidRDefault="001045F2" w:rsidP="00257477">
      <w:pPr>
        <w:shd w:val="clear" w:color="auto" w:fill="FFFFFF"/>
        <w:spacing w:line="276" w:lineRule="auto"/>
        <w:ind w:firstLine="720"/>
        <w:jc w:val="both"/>
        <w:rPr>
          <w:rFonts w:asciiTheme="majorBidi" w:hAnsiTheme="majorBidi" w:cstheme="majorBidi"/>
        </w:rPr>
      </w:pPr>
    </w:p>
    <w:p w14:paraId="3022F235" w14:textId="696E54C6" w:rsidR="001045F2" w:rsidRPr="00257477" w:rsidRDefault="009E4691" w:rsidP="00257477">
      <w:pPr>
        <w:shd w:val="clear" w:color="auto" w:fill="FFFFFF"/>
        <w:spacing w:line="276" w:lineRule="auto"/>
        <w:ind w:firstLine="720"/>
        <w:jc w:val="both"/>
        <w:rPr>
          <w:rFonts w:asciiTheme="majorBidi" w:hAnsiTheme="majorBidi" w:cstheme="majorBidi"/>
        </w:rPr>
      </w:pPr>
      <w:r w:rsidRPr="00257477">
        <w:rPr>
          <w:rFonts w:asciiTheme="majorBidi" w:hAnsiTheme="majorBidi" w:cstheme="majorBidi"/>
        </w:rPr>
        <w:t>[</w:t>
      </w:r>
      <w:r w:rsidR="00D122A4" w:rsidRPr="00257477">
        <w:rPr>
          <w:rFonts w:asciiTheme="majorBidi" w:hAnsiTheme="majorBidi" w:cstheme="majorBidi"/>
        </w:rPr>
        <w:t>7</w:t>
      </w:r>
      <w:r w:rsidRPr="00257477">
        <w:rPr>
          <w:rFonts w:asciiTheme="majorBidi" w:hAnsiTheme="majorBidi" w:cstheme="majorBidi"/>
        </w:rPr>
        <w:t>]</w:t>
      </w:r>
      <w:r w:rsidR="0092413D" w:rsidRPr="00257477">
        <w:rPr>
          <w:rFonts w:asciiTheme="majorBidi" w:hAnsiTheme="majorBidi" w:cstheme="majorBidi"/>
        </w:rPr>
        <w:t> </w:t>
      </w:r>
      <w:r w:rsidRPr="00257477">
        <w:rPr>
          <w:rFonts w:asciiTheme="majorBidi" w:hAnsiTheme="majorBidi" w:cstheme="majorBidi"/>
        </w:rPr>
        <w:t>Kasācijas kārtībā izšķiramais jautājums ir par to, vai atbalsta finansējuma saņēmējam ir pienākums atmaksāt izmaksātā finansējuma daļu, ja netiek sasniegti atbalstāmās darbības rezultatīvie rādītāji.</w:t>
      </w:r>
    </w:p>
    <w:p w14:paraId="47B2B89D" w14:textId="36EC57F4" w:rsidR="001045F2" w:rsidRPr="00257477" w:rsidRDefault="009E4691" w:rsidP="00257477">
      <w:pPr>
        <w:shd w:val="clear" w:color="auto" w:fill="FFFFFF"/>
        <w:spacing w:line="276" w:lineRule="auto"/>
        <w:ind w:firstLine="720"/>
        <w:jc w:val="both"/>
        <w:rPr>
          <w:rFonts w:asciiTheme="majorBidi" w:hAnsiTheme="majorBidi" w:cstheme="majorBidi"/>
        </w:rPr>
      </w:pPr>
      <w:r w:rsidRPr="00257477">
        <w:rPr>
          <w:rFonts w:asciiTheme="majorBidi" w:hAnsiTheme="majorBidi" w:cstheme="majorBidi"/>
        </w:rPr>
        <w:t>[</w:t>
      </w:r>
      <w:r w:rsidR="00D122A4" w:rsidRPr="00257477">
        <w:rPr>
          <w:rFonts w:asciiTheme="majorBidi" w:hAnsiTheme="majorBidi" w:cstheme="majorBidi"/>
        </w:rPr>
        <w:t>7</w:t>
      </w:r>
      <w:r w:rsidRPr="00257477">
        <w:rPr>
          <w:rFonts w:asciiTheme="majorBidi" w:hAnsiTheme="majorBidi" w:cstheme="majorBidi"/>
        </w:rPr>
        <w:t>.1]</w:t>
      </w:r>
      <w:r w:rsidR="0092413D" w:rsidRPr="00257477">
        <w:rPr>
          <w:rFonts w:asciiTheme="majorBidi" w:hAnsiTheme="majorBidi" w:cstheme="majorBidi"/>
        </w:rPr>
        <w:t> </w:t>
      </w:r>
      <w:r w:rsidRPr="00257477">
        <w:rPr>
          <w:rFonts w:asciiTheme="majorBidi" w:hAnsiTheme="majorBidi" w:cstheme="majorBidi"/>
        </w:rPr>
        <w:t xml:space="preserve">Senāts atzīst par pamatotu kasācijas sūdzības argumentu, ka apelācijas instances tiesa pretēji lietas faktiskajiem apstākļiem atzinusi pušu strīda </w:t>
      </w:r>
      <w:proofErr w:type="spellStart"/>
      <w:r w:rsidRPr="00257477">
        <w:rPr>
          <w:rFonts w:asciiTheme="majorBidi" w:hAnsiTheme="majorBidi" w:cstheme="majorBidi"/>
        </w:rPr>
        <w:t>neesību</w:t>
      </w:r>
      <w:proofErr w:type="spellEnd"/>
      <w:r w:rsidRPr="00257477">
        <w:rPr>
          <w:rFonts w:asciiTheme="majorBidi" w:hAnsiTheme="majorBidi" w:cstheme="majorBidi"/>
        </w:rPr>
        <w:t xml:space="preserve"> par to, vai E</w:t>
      </w:r>
      <w:r w:rsidR="00C53003" w:rsidRPr="00257477">
        <w:rPr>
          <w:rFonts w:asciiTheme="majorBidi" w:hAnsiTheme="majorBidi" w:cstheme="majorBidi"/>
        </w:rPr>
        <w:t xml:space="preserve">iropas </w:t>
      </w:r>
      <w:r w:rsidRPr="00257477">
        <w:rPr>
          <w:rFonts w:asciiTheme="majorBidi" w:hAnsiTheme="majorBidi" w:cstheme="majorBidi"/>
        </w:rPr>
        <w:t>S</w:t>
      </w:r>
      <w:r w:rsidR="00C53003" w:rsidRPr="00257477">
        <w:rPr>
          <w:rFonts w:asciiTheme="majorBidi" w:hAnsiTheme="majorBidi" w:cstheme="majorBidi"/>
        </w:rPr>
        <w:t>avienības</w:t>
      </w:r>
      <w:r w:rsidRPr="00257477">
        <w:rPr>
          <w:rFonts w:asciiTheme="majorBidi" w:hAnsiTheme="majorBidi" w:cstheme="majorBidi"/>
        </w:rPr>
        <w:t xml:space="preserve"> fondu atbalsta finansējuma saņemšanai realizēto projektu Nr.</w:t>
      </w:r>
      <w:r w:rsidR="00CB377C" w:rsidRPr="00257477">
        <w:rPr>
          <w:rFonts w:asciiTheme="majorBidi" w:hAnsiTheme="majorBidi" w:cstheme="majorBidi"/>
        </w:rPr>
        <w:t> </w:t>
      </w:r>
      <w:r w:rsidRPr="00257477">
        <w:rPr>
          <w:rFonts w:asciiTheme="majorBidi" w:hAnsiTheme="majorBidi" w:cstheme="majorBidi"/>
        </w:rPr>
        <w:t>1 un Nr.</w:t>
      </w:r>
      <w:r w:rsidR="00C53003" w:rsidRPr="00257477">
        <w:rPr>
          <w:rFonts w:asciiTheme="majorBidi" w:hAnsiTheme="majorBidi" w:cstheme="majorBidi"/>
        </w:rPr>
        <w:t> </w:t>
      </w:r>
      <w:r w:rsidRPr="00257477">
        <w:rPr>
          <w:rFonts w:asciiTheme="majorBidi" w:hAnsiTheme="majorBidi" w:cstheme="majorBidi"/>
        </w:rPr>
        <w:t xml:space="preserve">2 mērķis ir sasniegts ar ražošanas iekārtu iegādi, uzstādīšanu un produktu ražošanas uzsākšanu, </w:t>
      </w:r>
      <w:r w:rsidR="00F0378F" w:rsidRPr="00257477">
        <w:rPr>
          <w:rFonts w:asciiTheme="majorBidi" w:hAnsiTheme="majorBidi" w:cstheme="majorBidi"/>
        </w:rPr>
        <w:t xml:space="preserve">nesasniedzot </w:t>
      </w:r>
      <w:r w:rsidRPr="00257477">
        <w:rPr>
          <w:rFonts w:asciiTheme="majorBidi" w:hAnsiTheme="majorBidi" w:cstheme="majorBidi"/>
        </w:rPr>
        <w:t>projektu iesniegumos paredzēt</w:t>
      </w:r>
      <w:r w:rsidR="00F0378F" w:rsidRPr="00257477">
        <w:rPr>
          <w:rFonts w:asciiTheme="majorBidi" w:hAnsiTheme="majorBidi" w:cstheme="majorBidi"/>
        </w:rPr>
        <w:t>os</w:t>
      </w:r>
      <w:r w:rsidRPr="00257477">
        <w:rPr>
          <w:rFonts w:asciiTheme="majorBidi" w:hAnsiTheme="majorBidi" w:cstheme="majorBidi"/>
        </w:rPr>
        <w:t xml:space="preserve"> produkcijas realizācijas un eksporta apjoma rādītāj</w:t>
      </w:r>
      <w:r w:rsidR="00F0378F" w:rsidRPr="00257477">
        <w:rPr>
          <w:rFonts w:asciiTheme="majorBidi" w:hAnsiTheme="majorBidi" w:cstheme="majorBidi"/>
        </w:rPr>
        <w:t>us</w:t>
      </w:r>
      <w:r w:rsidRPr="00257477">
        <w:rPr>
          <w:rFonts w:asciiTheme="majorBidi" w:hAnsiTheme="majorBidi" w:cstheme="majorBidi"/>
        </w:rPr>
        <w:t>.</w:t>
      </w:r>
    </w:p>
    <w:p w14:paraId="2E614550" w14:textId="5826BF82" w:rsidR="001045F2" w:rsidRPr="00257477" w:rsidRDefault="009E4691" w:rsidP="00257477">
      <w:pPr>
        <w:shd w:val="clear" w:color="auto" w:fill="FFFFFF"/>
        <w:spacing w:line="276" w:lineRule="auto"/>
        <w:ind w:firstLine="720"/>
        <w:jc w:val="both"/>
        <w:rPr>
          <w:rFonts w:asciiTheme="majorBidi" w:hAnsiTheme="majorBidi" w:cstheme="majorBidi"/>
        </w:rPr>
      </w:pPr>
      <w:r w:rsidRPr="00257477">
        <w:rPr>
          <w:rFonts w:asciiTheme="majorBidi" w:hAnsiTheme="majorBidi" w:cstheme="majorBidi"/>
        </w:rPr>
        <w:t>[</w:t>
      </w:r>
      <w:r w:rsidR="00D122A4" w:rsidRPr="00257477">
        <w:rPr>
          <w:rFonts w:asciiTheme="majorBidi" w:hAnsiTheme="majorBidi" w:cstheme="majorBidi"/>
        </w:rPr>
        <w:t>7</w:t>
      </w:r>
      <w:r w:rsidRPr="00257477">
        <w:rPr>
          <w:rFonts w:asciiTheme="majorBidi" w:hAnsiTheme="majorBidi" w:cstheme="majorBidi"/>
        </w:rPr>
        <w:t>.1.1]</w:t>
      </w:r>
      <w:r w:rsidR="0092413D" w:rsidRPr="00257477">
        <w:rPr>
          <w:rFonts w:asciiTheme="majorBidi" w:hAnsiTheme="majorBidi" w:cstheme="majorBidi"/>
        </w:rPr>
        <w:t> </w:t>
      </w:r>
      <w:r w:rsidRPr="00257477">
        <w:rPr>
          <w:rFonts w:asciiTheme="majorBidi" w:hAnsiTheme="majorBidi" w:cstheme="majorBidi"/>
        </w:rPr>
        <w:t>Prasītāja prasības pieteikumā norādījusi, ka finanšu korekcijas atbildētājas īstenoto projektu atbalsta finansējumam piemērotas</w:t>
      </w:r>
      <w:r w:rsidR="00C53003" w:rsidRPr="00257477">
        <w:rPr>
          <w:rFonts w:asciiTheme="majorBidi" w:hAnsiTheme="majorBidi" w:cstheme="majorBidi"/>
        </w:rPr>
        <w:t xml:space="preserve"> tāpēc</w:t>
      </w:r>
      <w:r w:rsidRPr="00257477">
        <w:rPr>
          <w:rFonts w:asciiTheme="majorBidi" w:hAnsiTheme="majorBidi" w:cstheme="majorBidi"/>
        </w:rPr>
        <w:t>,</w:t>
      </w:r>
      <w:r w:rsidR="00C53003" w:rsidRPr="00257477">
        <w:rPr>
          <w:rFonts w:asciiTheme="majorBidi" w:hAnsiTheme="majorBidi" w:cstheme="majorBidi"/>
        </w:rPr>
        <w:t xml:space="preserve"> ka </w:t>
      </w:r>
      <w:r w:rsidRPr="00257477">
        <w:rPr>
          <w:rFonts w:asciiTheme="majorBidi" w:hAnsiTheme="majorBidi" w:cstheme="majorBidi"/>
        </w:rPr>
        <w:t>projektu uzraudzības periodā konstatētas neatbilstības projektu rezultatīvajiem rādītājiem.</w:t>
      </w:r>
    </w:p>
    <w:p w14:paraId="64ACE594" w14:textId="5BB9428F" w:rsidR="001045F2" w:rsidRPr="00257477" w:rsidRDefault="009E4691" w:rsidP="00257477">
      <w:pPr>
        <w:shd w:val="clear" w:color="auto" w:fill="FFFFFF"/>
        <w:spacing w:line="276" w:lineRule="auto"/>
        <w:ind w:firstLine="720"/>
        <w:jc w:val="both"/>
        <w:rPr>
          <w:rFonts w:asciiTheme="majorBidi" w:hAnsiTheme="majorBidi" w:cstheme="majorBidi"/>
        </w:rPr>
      </w:pPr>
      <w:r w:rsidRPr="00257477">
        <w:rPr>
          <w:rFonts w:asciiTheme="majorBidi" w:hAnsiTheme="majorBidi" w:cstheme="majorBidi"/>
        </w:rPr>
        <w:t>Savukārt atbildētāja apelācijas sūdzībā ir iebildusi, ka projektu mērķis ir sasniegts ar inovatīvu produktu ieviešanu ražošanā.</w:t>
      </w:r>
    </w:p>
    <w:p w14:paraId="57F03E99" w14:textId="4C41CC53" w:rsidR="001045F2" w:rsidRPr="00257477" w:rsidRDefault="009E4691" w:rsidP="00257477">
      <w:pPr>
        <w:spacing w:line="276" w:lineRule="auto"/>
        <w:ind w:firstLine="720"/>
        <w:jc w:val="both"/>
        <w:rPr>
          <w:rFonts w:asciiTheme="majorBidi" w:hAnsiTheme="majorBidi" w:cstheme="majorBidi"/>
        </w:rPr>
      </w:pPr>
      <w:r w:rsidRPr="00257477">
        <w:rPr>
          <w:rFonts w:asciiTheme="majorBidi" w:hAnsiTheme="majorBidi" w:cstheme="majorBidi"/>
        </w:rPr>
        <w:t xml:space="preserve">Līdz ar to apelācijas instances tiesas uzskats par strīda </w:t>
      </w:r>
      <w:proofErr w:type="spellStart"/>
      <w:r w:rsidRPr="00257477">
        <w:rPr>
          <w:rFonts w:asciiTheme="majorBidi" w:hAnsiTheme="majorBidi" w:cstheme="majorBidi"/>
        </w:rPr>
        <w:t>neesību</w:t>
      </w:r>
      <w:proofErr w:type="spellEnd"/>
      <w:r w:rsidR="00C53003" w:rsidRPr="00257477">
        <w:rPr>
          <w:rFonts w:asciiTheme="majorBidi" w:hAnsiTheme="majorBidi" w:cstheme="majorBidi"/>
        </w:rPr>
        <w:t xml:space="preserve"> par projektu mērķu sasniegšanu</w:t>
      </w:r>
      <w:r w:rsidRPr="00257477">
        <w:rPr>
          <w:rFonts w:asciiTheme="majorBidi" w:hAnsiTheme="majorBidi" w:cstheme="majorBidi"/>
        </w:rPr>
        <w:t xml:space="preserve"> neatbilst lietas apstākļiem, un </w:t>
      </w:r>
      <w:r w:rsidR="00C53003" w:rsidRPr="00257477">
        <w:rPr>
          <w:rFonts w:asciiTheme="majorBidi" w:hAnsiTheme="majorBidi" w:cstheme="majorBidi"/>
        </w:rPr>
        <w:t xml:space="preserve">apelācijas instances </w:t>
      </w:r>
      <w:r w:rsidRPr="00257477">
        <w:rPr>
          <w:rFonts w:asciiTheme="majorBidi" w:hAnsiTheme="majorBidi" w:cstheme="majorBidi"/>
        </w:rPr>
        <w:t>tiesai bija pienākums noskaidrot</w:t>
      </w:r>
      <w:r w:rsidR="00A074CF" w:rsidRPr="00257477">
        <w:rPr>
          <w:rFonts w:asciiTheme="majorBidi" w:hAnsiTheme="majorBidi" w:cstheme="majorBidi"/>
        </w:rPr>
        <w:t xml:space="preserve"> abu</w:t>
      </w:r>
      <w:r w:rsidRPr="00257477">
        <w:rPr>
          <w:rFonts w:asciiTheme="majorBidi" w:hAnsiTheme="majorBidi" w:cstheme="majorBidi"/>
        </w:rPr>
        <w:t xml:space="preserve"> E</w:t>
      </w:r>
      <w:r w:rsidR="00A074CF" w:rsidRPr="00257477">
        <w:rPr>
          <w:rFonts w:asciiTheme="majorBidi" w:hAnsiTheme="majorBidi" w:cstheme="majorBidi"/>
        </w:rPr>
        <w:t xml:space="preserve">iropas </w:t>
      </w:r>
      <w:r w:rsidRPr="00257477">
        <w:rPr>
          <w:rFonts w:asciiTheme="majorBidi" w:hAnsiTheme="majorBidi" w:cstheme="majorBidi"/>
        </w:rPr>
        <w:t>S</w:t>
      </w:r>
      <w:r w:rsidR="00A074CF" w:rsidRPr="00257477">
        <w:rPr>
          <w:rFonts w:asciiTheme="majorBidi" w:hAnsiTheme="majorBidi" w:cstheme="majorBidi"/>
        </w:rPr>
        <w:t>avienības</w:t>
      </w:r>
      <w:r w:rsidRPr="00257477">
        <w:rPr>
          <w:rFonts w:asciiTheme="majorBidi" w:hAnsiTheme="majorBidi" w:cstheme="majorBidi"/>
        </w:rPr>
        <w:t xml:space="preserve"> fondu finansēto projektu mērķi</w:t>
      </w:r>
      <w:r w:rsidR="00F52CC2" w:rsidRPr="00257477">
        <w:rPr>
          <w:rFonts w:asciiTheme="majorBidi" w:hAnsiTheme="majorBidi" w:cstheme="majorBidi"/>
        </w:rPr>
        <w:t xml:space="preserve"> un gadījumā, ja tas netika sasniegts, </w:t>
      </w:r>
      <w:r w:rsidR="00F0378F" w:rsidRPr="00257477">
        <w:rPr>
          <w:rFonts w:asciiTheme="majorBidi" w:hAnsiTheme="majorBidi" w:cstheme="majorBidi"/>
        </w:rPr>
        <w:t>sniegt novērtējumu atbildētājas iespējamai civiltiesiskajai atbildībai</w:t>
      </w:r>
      <w:r w:rsidR="00F52CC2" w:rsidRPr="00257477">
        <w:rPr>
          <w:rFonts w:asciiTheme="majorBidi" w:hAnsiTheme="majorBidi" w:cstheme="majorBidi"/>
        </w:rPr>
        <w:t xml:space="preserve">. </w:t>
      </w:r>
    </w:p>
    <w:p w14:paraId="10E8CD24" w14:textId="0AC856DA" w:rsidR="00F52CC2" w:rsidRPr="00257477" w:rsidRDefault="009E4691" w:rsidP="00257477">
      <w:pPr>
        <w:shd w:val="clear" w:color="auto" w:fill="FFFFFF"/>
        <w:spacing w:line="276" w:lineRule="auto"/>
        <w:ind w:firstLine="720"/>
        <w:jc w:val="both"/>
        <w:rPr>
          <w:rFonts w:asciiTheme="majorBidi" w:hAnsiTheme="majorBidi" w:cstheme="majorBidi"/>
        </w:rPr>
      </w:pPr>
      <w:r w:rsidRPr="00257477">
        <w:rPr>
          <w:rFonts w:asciiTheme="majorBidi" w:hAnsiTheme="majorBidi" w:cstheme="majorBidi"/>
        </w:rPr>
        <w:t>[</w:t>
      </w:r>
      <w:r w:rsidR="00D122A4" w:rsidRPr="00257477">
        <w:rPr>
          <w:rFonts w:asciiTheme="majorBidi" w:hAnsiTheme="majorBidi" w:cstheme="majorBidi"/>
        </w:rPr>
        <w:t>7</w:t>
      </w:r>
      <w:r w:rsidRPr="00257477">
        <w:rPr>
          <w:rFonts w:asciiTheme="majorBidi" w:hAnsiTheme="majorBidi" w:cstheme="majorBidi"/>
        </w:rPr>
        <w:t>.1.2]</w:t>
      </w:r>
      <w:r w:rsidR="0092413D" w:rsidRPr="00257477">
        <w:rPr>
          <w:rFonts w:asciiTheme="majorBidi" w:hAnsiTheme="majorBidi" w:cstheme="majorBidi"/>
        </w:rPr>
        <w:t> </w:t>
      </w:r>
      <w:r w:rsidR="00F52CC2" w:rsidRPr="00257477">
        <w:rPr>
          <w:rFonts w:asciiTheme="majorBidi" w:hAnsiTheme="majorBidi" w:cstheme="majorBidi"/>
        </w:rPr>
        <w:t xml:space="preserve">No </w:t>
      </w:r>
      <w:r w:rsidR="00F0378F" w:rsidRPr="00257477">
        <w:rPr>
          <w:rFonts w:asciiTheme="majorBidi" w:hAnsiTheme="majorBidi" w:cstheme="majorBidi"/>
        </w:rPr>
        <w:t xml:space="preserve">prasītājas </w:t>
      </w:r>
      <w:r w:rsidR="00F52CC2" w:rsidRPr="00257477">
        <w:rPr>
          <w:rFonts w:asciiTheme="majorBidi" w:hAnsiTheme="majorBidi" w:cstheme="majorBidi"/>
        </w:rPr>
        <w:t xml:space="preserve">celtās prasības un procesa gaitā konsekventi uzturētās pozīcijas izriet, ka prasītājas ieskatā projektu Nr. 1 un Nr. 2 mērķis nav aprobežojams ar jauna produkta ražotnes izveidi un produkta ieviešanu ražošanā, bet vienlīdz ir saistāms ar atbalstāmās darbības sasniedzamajiem rezultatīvajiem rādītājiem, piemēram, </w:t>
      </w:r>
      <w:r w:rsidR="00B14C77" w:rsidRPr="00257477">
        <w:rPr>
          <w:rFonts w:asciiTheme="majorBidi" w:hAnsiTheme="majorBidi" w:cstheme="majorBidi"/>
        </w:rPr>
        <w:t xml:space="preserve">ar </w:t>
      </w:r>
      <w:r w:rsidR="00F52CC2" w:rsidRPr="00257477">
        <w:rPr>
          <w:rFonts w:asciiTheme="majorBidi" w:hAnsiTheme="majorBidi" w:cstheme="majorBidi"/>
        </w:rPr>
        <w:t xml:space="preserve">apgrozījuma pieaugumu, jaunu darba vietu izveidi un </w:t>
      </w:r>
      <w:r w:rsidR="00F0378F" w:rsidRPr="00257477">
        <w:rPr>
          <w:rFonts w:asciiTheme="majorBidi" w:hAnsiTheme="majorBidi" w:cstheme="majorBidi"/>
        </w:rPr>
        <w:t>radītā produkta eksportēšanu</w:t>
      </w:r>
      <w:r w:rsidR="00F52CC2" w:rsidRPr="00257477">
        <w:rPr>
          <w:rFonts w:asciiTheme="majorBidi" w:hAnsiTheme="majorBidi" w:cstheme="majorBidi"/>
        </w:rPr>
        <w:t xml:space="preserve">.  </w:t>
      </w:r>
    </w:p>
    <w:p w14:paraId="75BBB752" w14:textId="0FD7E980" w:rsidR="00F52CC2" w:rsidRPr="00257477" w:rsidRDefault="00F52CC2" w:rsidP="00257477">
      <w:pPr>
        <w:shd w:val="clear" w:color="auto" w:fill="FFFFFF"/>
        <w:spacing w:line="276" w:lineRule="auto"/>
        <w:ind w:firstLine="720"/>
        <w:jc w:val="both"/>
        <w:rPr>
          <w:rFonts w:asciiTheme="majorBidi" w:hAnsiTheme="majorBidi" w:cstheme="majorBidi"/>
        </w:rPr>
      </w:pPr>
      <w:r w:rsidRPr="00257477">
        <w:rPr>
          <w:rFonts w:asciiTheme="majorBidi" w:hAnsiTheme="majorBidi" w:cstheme="majorBidi"/>
        </w:rPr>
        <w:t xml:space="preserve">Uz to, ka kvantitatīvo rezultātu sasniegšana ietilpst abu projektu mērķos, norāda arī attiecīgie abus projektus reglamentējošie Ministru kabineta noteikumi. </w:t>
      </w:r>
    </w:p>
    <w:p w14:paraId="24A11905" w14:textId="31AE9315" w:rsidR="001045F2" w:rsidRPr="00257477" w:rsidRDefault="009E4691" w:rsidP="00257477">
      <w:pPr>
        <w:shd w:val="clear" w:color="auto" w:fill="FFFFFF"/>
        <w:spacing w:line="276" w:lineRule="auto"/>
        <w:ind w:firstLine="720"/>
        <w:jc w:val="both"/>
        <w:rPr>
          <w:rFonts w:asciiTheme="majorBidi" w:hAnsiTheme="majorBidi" w:cstheme="majorBidi"/>
          <w:shd w:val="clear" w:color="auto" w:fill="FFFFFF"/>
        </w:rPr>
      </w:pPr>
      <w:r w:rsidRPr="00257477">
        <w:rPr>
          <w:rFonts w:asciiTheme="majorBidi" w:hAnsiTheme="majorBidi" w:cstheme="majorBidi"/>
        </w:rPr>
        <w:t>Atbilstoši MK noteikumu Nr.</w:t>
      </w:r>
      <w:r w:rsidR="00F52CC2" w:rsidRPr="00257477">
        <w:rPr>
          <w:rFonts w:asciiTheme="majorBidi" w:hAnsiTheme="majorBidi" w:cstheme="majorBidi"/>
        </w:rPr>
        <w:t> </w:t>
      </w:r>
      <w:r w:rsidRPr="00257477">
        <w:rPr>
          <w:rFonts w:asciiTheme="majorBidi" w:hAnsiTheme="majorBidi" w:cstheme="majorBidi"/>
        </w:rPr>
        <w:t>197 3</w:t>
      </w:r>
      <w:r w:rsidR="00D879D9" w:rsidRPr="00257477">
        <w:rPr>
          <w:rFonts w:asciiTheme="majorBidi" w:hAnsiTheme="majorBidi" w:cstheme="majorBidi"/>
        </w:rPr>
        <w:t>. </w:t>
      </w:r>
      <w:r w:rsidRPr="00257477">
        <w:rPr>
          <w:rFonts w:asciiTheme="majorBidi" w:hAnsiTheme="majorBidi" w:cstheme="majorBidi"/>
        </w:rPr>
        <w:t>punktā noteiktajam projekta Nr.</w:t>
      </w:r>
      <w:r w:rsidR="00F52CC2" w:rsidRPr="00257477">
        <w:rPr>
          <w:rFonts w:asciiTheme="majorBidi" w:hAnsiTheme="majorBidi" w:cstheme="majorBidi"/>
        </w:rPr>
        <w:t> </w:t>
      </w:r>
      <w:r w:rsidRPr="00257477">
        <w:rPr>
          <w:rFonts w:asciiTheme="majorBidi" w:hAnsiTheme="majorBidi" w:cstheme="majorBidi"/>
        </w:rPr>
        <w:t xml:space="preserve">1 </w:t>
      </w:r>
      <w:r w:rsidR="00F52CC2" w:rsidRPr="00257477">
        <w:rPr>
          <w:rFonts w:asciiTheme="majorBidi" w:hAnsiTheme="majorBidi" w:cstheme="majorBidi"/>
        </w:rPr>
        <w:t>„</w:t>
      </w:r>
      <w:r w:rsidRPr="00257477">
        <w:rPr>
          <w:rFonts w:asciiTheme="majorBidi" w:hAnsiTheme="majorBidi" w:cstheme="majorBidi"/>
        </w:rPr>
        <w:t xml:space="preserve">aktivitātes </w:t>
      </w:r>
      <w:r w:rsidRPr="00257477">
        <w:rPr>
          <w:rFonts w:asciiTheme="majorBidi" w:hAnsiTheme="majorBidi" w:cstheme="majorBidi"/>
          <w:shd w:val="clear" w:color="auto" w:fill="FFFFFF"/>
        </w:rPr>
        <w:t>mērķis ir veicināt komercdarbības attīstību īpaši atbalstāmajās teritorijās, tādējādi samazinot nelabvēlīgās atšķirības starp reģioniem un reģionu teritorijām, kā arī sekmējot līdzsvarotu valsts attīstību</w:t>
      </w:r>
      <w:r w:rsidR="00F52CC2" w:rsidRPr="00257477">
        <w:rPr>
          <w:rFonts w:asciiTheme="majorBidi" w:hAnsiTheme="majorBidi" w:cstheme="majorBidi"/>
          <w:shd w:val="clear" w:color="auto" w:fill="FFFFFF"/>
        </w:rPr>
        <w:t>”</w:t>
      </w:r>
      <w:r w:rsidR="00B14C77" w:rsidRPr="00257477">
        <w:rPr>
          <w:rFonts w:asciiTheme="majorBidi" w:hAnsiTheme="majorBidi" w:cstheme="majorBidi"/>
          <w:shd w:val="clear" w:color="auto" w:fill="FFFFFF"/>
        </w:rPr>
        <w:t>,</w:t>
      </w:r>
      <w:r w:rsidR="00F52CC2" w:rsidRPr="00257477">
        <w:rPr>
          <w:rFonts w:asciiTheme="majorBidi" w:hAnsiTheme="majorBidi" w:cstheme="majorBidi"/>
          <w:shd w:val="clear" w:color="auto" w:fill="FFFFFF"/>
        </w:rPr>
        <w:t xml:space="preserve"> saskaņā ar 6.5. apakšpunktu paredzot</w:t>
      </w:r>
      <w:r w:rsidRPr="00257477">
        <w:rPr>
          <w:rFonts w:asciiTheme="majorBidi" w:hAnsiTheme="majorBidi" w:cstheme="majorBidi"/>
          <w:shd w:val="clear" w:color="auto" w:fill="FFFFFF"/>
        </w:rPr>
        <w:t xml:space="preserve">, ka </w:t>
      </w:r>
      <w:r w:rsidR="00F52CC2" w:rsidRPr="00257477">
        <w:rPr>
          <w:rFonts w:asciiTheme="majorBidi" w:hAnsiTheme="majorBidi" w:cstheme="majorBidi"/>
        </w:rPr>
        <w:t xml:space="preserve">„līdz 2013. gadam </w:t>
      </w:r>
      <w:r w:rsidRPr="00257477">
        <w:rPr>
          <w:rFonts w:asciiTheme="majorBidi" w:hAnsiTheme="majorBidi" w:cstheme="majorBidi"/>
          <w:shd w:val="clear" w:color="auto" w:fill="FFFFFF"/>
        </w:rPr>
        <w:t>atbalstāmajiem komersantiem divus gadus pēc finansējuma saņemšanas apgrozījum</w:t>
      </w:r>
      <w:r w:rsidR="00F0378F" w:rsidRPr="00257477">
        <w:rPr>
          <w:rFonts w:asciiTheme="majorBidi" w:hAnsiTheme="majorBidi" w:cstheme="majorBidi"/>
          <w:shd w:val="clear" w:color="auto" w:fill="FFFFFF"/>
        </w:rPr>
        <w:t>s</w:t>
      </w:r>
      <w:r w:rsidRPr="00257477">
        <w:rPr>
          <w:rFonts w:asciiTheme="majorBidi" w:hAnsiTheme="majorBidi" w:cstheme="majorBidi"/>
          <w:shd w:val="clear" w:color="auto" w:fill="FFFFFF"/>
        </w:rPr>
        <w:t xml:space="preserve"> pieau</w:t>
      </w:r>
      <w:r w:rsidR="00F52CC2" w:rsidRPr="00257477">
        <w:rPr>
          <w:rFonts w:asciiTheme="majorBidi" w:hAnsiTheme="majorBidi" w:cstheme="majorBidi"/>
          <w:shd w:val="clear" w:color="auto" w:fill="FFFFFF"/>
        </w:rPr>
        <w:t>dzis</w:t>
      </w:r>
      <w:r w:rsidRPr="00257477">
        <w:rPr>
          <w:rFonts w:asciiTheme="majorBidi" w:hAnsiTheme="majorBidi" w:cstheme="majorBidi"/>
          <w:shd w:val="clear" w:color="auto" w:fill="FFFFFF"/>
        </w:rPr>
        <w:t xml:space="preserve"> par 20</w:t>
      </w:r>
      <w:r w:rsidR="00F52CC2" w:rsidRPr="00257477">
        <w:rPr>
          <w:rFonts w:asciiTheme="majorBidi" w:hAnsiTheme="majorBidi" w:cstheme="majorBidi"/>
          <w:shd w:val="clear" w:color="auto" w:fill="FFFFFF"/>
        </w:rPr>
        <w:t> </w:t>
      </w:r>
      <w:r w:rsidRPr="00257477">
        <w:rPr>
          <w:rFonts w:asciiTheme="majorBidi" w:hAnsiTheme="majorBidi" w:cstheme="majorBidi"/>
          <w:shd w:val="clear" w:color="auto" w:fill="FFFFFF"/>
        </w:rPr>
        <w:t>%</w:t>
      </w:r>
      <w:r w:rsidR="00F52CC2" w:rsidRPr="00257477">
        <w:rPr>
          <w:rFonts w:asciiTheme="majorBidi" w:hAnsiTheme="majorBidi" w:cstheme="majorBidi"/>
          <w:shd w:val="clear" w:color="auto" w:fill="FFFFFF"/>
        </w:rPr>
        <w:t>”.</w:t>
      </w:r>
      <w:r w:rsidRPr="00257477">
        <w:rPr>
          <w:rFonts w:asciiTheme="majorBidi" w:hAnsiTheme="majorBidi" w:cstheme="majorBidi"/>
          <w:shd w:val="clear" w:color="auto" w:fill="FFFFFF"/>
        </w:rPr>
        <w:t xml:space="preserve">  </w:t>
      </w:r>
    </w:p>
    <w:p w14:paraId="53498BBD" w14:textId="55732994" w:rsidR="001045F2" w:rsidRPr="00257477" w:rsidRDefault="003F4A7F" w:rsidP="00257477">
      <w:pPr>
        <w:shd w:val="clear" w:color="auto" w:fill="FFFFFF"/>
        <w:spacing w:line="276" w:lineRule="auto"/>
        <w:ind w:firstLine="720"/>
        <w:jc w:val="both"/>
        <w:rPr>
          <w:rFonts w:asciiTheme="majorBidi" w:hAnsiTheme="majorBidi" w:cstheme="majorBidi"/>
          <w:shd w:val="clear" w:color="auto" w:fill="FFFFFF"/>
        </w:rPr>
      </w:pPr>
      <w:r w:rsidRPr="00257477">
        <w:rPr>
          <w:rFonts w:asciiTheme="majorBidi" w:hAnsiTheme="majorBidi" w:cstheme="majorBidi"/>
        </w:rPr>
        <w:t xml:space="preserve">Savukārt atbilstoši MK noteikumu Nr. 817 3. punktā noteiktajam projekta Nr. 2 „aktivitātes </w:t>
      </w:r>
      <w:r w:rsidRPr="00257477">
        <w:rPr>
          <w:rFonts w:asciiTheme="majorBidi" w:hAnsiTheme="majorBidi" w:cstheme="majorBidi"/>
          <w:shd w:val="clear" w:color="auto" w:fill="FFFFFF"/>
        </w:rPr>
        <w:t>mērķis ir</w:t>
      </w:r>
      <w:r w:rsidRPr="00257477">
        <w:rPr>
          <w:rFonts w:asciiTheme="majorBidi" w:hAnsiTheme="majorBidi" w:cstheme="majorBidi"/>
        </w:rPr>
        <w:t xml:space="preserve"> stimulēt vietējos komersantus veikt ieguldījumus zināšanu vai tehnoloģiju intensīvajos projektos, kā arī piesaistīt ārvalstu investīcijas jomās ar augstu pievienoto vērtību, tādējādi veicinot jaunāko tehnoloģiju pārnesi no ārvalstīm”, </w:t>
      </w:r>
      <w:r w:rsidRPr="00257477">
        <w:rPr>
          <w:rFonts w:asciiTheme="majorBidi" w:hAnsiTheme="majorBidi" w:cstheme="majorBidi"/>
        </w:rPr>
        <w:lastRenderedPageBreak/>
        <w:t xml:space="preserve">vienlaikus atbilstoši šo noteikumu 4.3. apakšpunktam „nodrošināt, lai līdz 2013. gada beigām </w:t>
      </w:r>
      <w:r w:rsidRPr="00257477">
        <w:rPr>
          <w:rFonts w:asciiTheme="majorBidi" w:hAnsiTheme="majorBidi" w:cstheme="majorBidi"/>
          <w:shd w:val="clear" w:color="auto" w:fill="FFFFFF"/>
        </w:rPr>
        <w:t>atbalstītajiem komersantiem divus gadus pēc finansējuma saņemšanas apgrozījums pieaugtu par 20 %”. Turklāt projekta iesniedzējam</w:t>
      </w:r>
      <w:r w:rsidR="00374A49" w:rsidRPr="00257477">
        <w:rPr>
          <w:rFonts w:asciiTheme="majorBidi" w:hAnsiTheme="majorBidi" w:cstheme="majorBidi"/>
          <w:shd w:val="clear" w:color="auto" w:fill="FFFFFF"/>
        </w:rPr>
        <w:t>, lai tas varētu pretendēt uz finansējuma saņemšanu,</w:t>
      </w:r>
      <w:r w:rsidRPr="00257477">
        <w:rPr>
          <w:rFonts w:asciiTheme="majorBidi" w:hAnsiTheme="majorBidi" w:cstheme="majorBidi"/>
          <w:shd w:val="clear" w:color="auto" w:fill="FFFFFF"/>
        </w:rPr>
        <w:t xml:space="preserve"> atbilstoši noteikumu </w:t>
      </w:r>
      <w:r w:rsidR="00374A49" w:rsidRPr="00257477">
        <w:rPr>
          <w:rFonts w:asciiTheme="majorBidi" w:hAnsiTheme="majorBidi" w:cstheme="majorBidi"/>
          <w:shd w:val="clear" w:color="auto" w:fill="FFFFFF"/>
        </w:rPr>
        <w:t xml:space="preserve">13.2.1. apakšpunktam </w:t>
      </w:r>
      <w:r w:rsidRPr="00257477">
        <w:rPr>
          <w:rFonts w:asciiTheme="majorBidi" w:hAnsiTheme="majorBidi" w:cstheme="majorBidi"/>
          <w:shd w:val="clear" w:color="auto" w:fill="FFFFFF"/>
        </w:rPr>
        <w:t>iesniegumā ir jāpamato, ka no projekta ietvaros saražotās produkcijas vai sniegto pakalpojumu apjoma tas eksportēs vismaz 30</w:t>
      </w:r>
      <w:r w:rsidR="00374A49" w:rsidRPr="00257477">
        <w:rPr>
          <w:rFonts w:asciiTheme="majorBidi" w:hAnsiTheme="majorBidi" w:cstheme="majorBidi"/>
          <w:shd w:val="clear" w:color="auto" w:fill="FFFFFF"/>
        </w:rPr>
        <w:t> </w:t>
      </w:r>
      <w:r w:rsidRPr="00257477">
        <w:rPr>
          <w:rFonts w:asciiTheme="majorBidi" w:hAnsiTheme="majorBidi" w:cstheme="majorBidi"/>
          <w:shd w:val="clear" w:color="auto" w:fill="FFFFFF"/>
        </w:rPr>
        <w:t>% (vidēji nākamo triju kalendāra gadu laikā pēc projekta īstenošanas pabeigšanas).</w:t>
      </w:r>
    </w:p>
    <w:p w14:paraId="4782B0F8" w14:textId="3E207154" w:rsidR="001045F2" w:rsidRPr="00257477" w:rsidRDefault="009E4691" w:rsidP="00257477">
      <w:pPr>
        <w:shd w:val="clear" w:color="auto" w:fill="FFFFFF"/>
        <w:spacing w:line="276" w:lineRule="auto"/>
        <w:ind w:firstLine="720"/>
        <w:jc w:val="both"/>
        <w:rPr>
          <w:rFonts w:asciiTheme="majorBidi" w:hAnsiTheme="majorBidi" w:cstheme="majorBidi"/>
        </w:rPr>
      </w:pPr>
      <w:r w:rsidRPr="00257477">
        <w:rPr>
          <w:rFonts w:asciiTheme="majorBidi" w:hAnsiTheme="majorBidi" w:cstheme="majorBidi"/>
        </w:rPr>
        <w:t>Tādējādi</w:t>
      </w:r>
      <w:r w:rsidR="00374A49" w:rsidRPr="00257477">
        <w:rPr>
          <w:rFonts w:asciiTheme="majorBidi" w:hAnsiTheme="majorBidi" w:cstheme="majorBidi"/>
        </w:rPr>
        <w:t xml:space="preserve"> uz</w:t>
      </w:r>
      <w:r w:rsidRPr="00257477">
        <w:rPr>
          <w:rFonts w:asciiTheme="majorBidi" w:hAnsiTheme="majorBidi" w:cstheme="majorBidi"/>
        </w:rPr>
        <w:t xml:space="preserve"> </w:t>
      </w:r>
      <w:r w:rsidR="00374A49" w:rsidRPr="00257477">
        <w:rPr>
          <w:rFonts w:asciiTheme="majorBidi" w:hAnsiTheme="majorBidi" w:cstheme="majorBidi"/>
        </w:rPr>
        <w:t xml:space="preserve">abiem projektiem attiecināmais </w:t>
      </w:r>
      <w:r w:rsidRPr="00257477">
        <w:rPr>
          <w:rFonts w:asciiTheme="majorBidi" w:hAnsiTheme="majorBidi" w:cstheme="majorBidi"/>
        </w:rPr>
        <w:t xml:space="preserve">normatīvais regulējums nosaka </w:t>
      </w:r>
      <w:r w:rsidR="00374A49" w:rsidRPr="00257477">
        <w:rPr>
          <w:rFonts w:asciiTheme="majorBidi" w:hAnsiTheme="majorBidi" w:cstheme="majorBidi"/>
        </w:rPr>
        <w:t xml:space="preserve">finansējuma saņēmēju </w:t>
      </w:r>
      <w:r w:rsidRPr="00257477">
        <w:rPr>
          <w:rFonts w:asciiTheme="majorBidi" w:hAnsiTheme="majorBidi" w:cstheme="majorBidi"/>
        </w:rPr>
        <w:t xml:space="preserve">minimālā </w:t>
      </w:r>
      <w:proofErr w:type="spellStart"/>
      <w:r w:rsidRPr="00257477">
        <w:rPr>
          <w:rFonts w:asciiTheme="majorBidi" w:hAnsiTheme="majorBidi" w:cstheme="majorBidi"/>
        </w:rPr>
        <w:t>pretizpildījuma</w:t>
      </w:r>
      <w:proofErr w:type="spellEnd"/>
      <w:r w:rsidRPr="00257477">
        <w:rPr>
          <w:rFonts w:asciiTheme="majorBidi" w:hAnsiTheme="majorBidi" w:cstheme="majorBidi"/>
        </w:rPr>
        <w:t xml:space="preserve"> apjomu, </w:t>
      </w:r>
      <w:r w:rsidR="00374A49" w:rsidRPr="00257477">
        <w:rPr>
          <w:rFonts w:asciiTheme="majorBidi" w:hAnsiTheme="majorBidi" w:cstheme="majorBidi"/>
        </w:rPr>
        <w:t xml:space="preserve">saistot to ne tikai ar kvalitatīviem, bet arī ar kvantitatīviem rādītājiem, </w:t>
      </w:r>
      <w:r w:rsidRPr="00257477">
        <w:rPr>
          <w:rFonts w:asciiTheme="majorBidi" w:hAnsiTheme="majorBidi" w:cstheme="majorBidi"/>
        </w:rPr>
        <w:t xml:space="preserve">ko finansējuma saņēmējam (atbildētājai) ir jānodrošina atbalstāmās aktivitātes ietvaros, lai tiktu sasniegts fondu finansējuma mērķis. </w:t>
      </w:r>
    </w:p>
    <w:p w14:paraId="7BCBF5BA" w14:textId="3CB7CE92" w:rsidR="001045F2" w:rsidRPr="00257477" w:rsidRDefault="009E4691" w:rsidP="00257477">
      <w:pPr>
        <w:shd w:val="clear" w:color="auto" w:fill="FFFFFF"/>
        <w:spacing w:line="276" w:lineRule="auto"/>
        <w:ind w:firstLine="720"/>
        <w:jc w:val="both"/>
        <w:rPr>
          <w:rFonts w:asciiTheme="majorBidi" w:hAnsiTheme="majorBidi" w:cstheme="majorBidi"/>
        </w:rPr>
      </w:pPr>
      <w:r w:rsidRPr="00257477">
        <w:rPr>
          <w:rFonts w:asciiTheme="majorBidi" w:hAnsiTheme="majorBidi" w:cstheme="majorBidi"/>
        </w:rPr>
        <w:t xml:space="preserve">Eiropas Savienības tiesas judikatūrā atzīts, ka </w:t>
      </w:r>
      <w:r w:rsidR="00FF770B" w:rsidRPr="00257477">
        <w:rPr>
          <w:rFonts w:asciiTheme="majorBidi" w:hAnsiTheme="majorBidi" w:cstheme="majorBidi"/>
        </w:rPr>
        <w:t xml:space="preserve">Eiropas </w:t>
      </w:r>
      <w:r w:rsidRPr="00257477">
        <w:rPr>
          <w:rFonts w:asciiTheme="majorBidi" w:hAnsiTheme="majorBidi" w:cstheme="majorBidi"/>
        </w:rPr>
        <w:t xml:space="preserve">Savienības tiesiskajā regulējumā paredzētā atbalsta sistēma ir balstīta uz to, ka finansējuma saņēmējs izpilda virkni nosacījumu, kas tam dod tiesības saņemt paredzēto finansiālo atbalstu (sk. </w:t>
      </w:r>
      <w:r w:rsidRPr="00257477">
        <w:rPr>
          <w:rFonts w:asciiTheme="majorBidi" w:hAnsiTheme="majorBidi" w:cstheme="majorBidi"/>
          <w:i/>
        </w:rPr>
        <w:t xml:space="preserve">Eiropas Savienības Tiesas 2008. gada 13. marta sprieduma </w:t>
      </w:r>
      <w:r w:rsidR="00B14C77" w:rsidRPr="00257477">
        <w:rPr>
          <w:rFonts w:asciiTheme="majorBidi" w:hAnsiTheme="majorBidi" w:cstheme="majorBidi"/>
          <w:i/>
        </w:rPr>
        <w:t xml:space="preserve">apvienotajās </w:t>
      </w:r>
      <w:r w:rsidRPr="00257477">
        <w:rPr>
          <w:rFonts w:asciiTheme="majorBidi" w:hAnsiTheme="majorBidi" w:cstheme="majorBidi"/>
          <w:i/>
        </w:rPr>
        <w:t>lietā</w:t>
      </w:r>
      <w:r w:rsidR="00B14C77" w:rsidRPr="00257477">
        <w:rPr>
          <w:rFonts w:asciiTheme="majorBidi" w:hAnsiTheme="majorBidi" w:cstheme="majorBidi"/>
          <w:i/>
        </w:rPr>
        <w:t>s</w:t>
      </w:r>
      <w:r w:rsidRPr="00257477">
        <w:rPr>
          <w:rFonts w:asciiTheme="majorBidi" w:hAnsiTheme="majorBidi" w:cstheme="majorBidi"/>
          <w:i/>
        </w:rPr>
        <w:t xml:space="preserve"> </w:t>
      </w:r>
      <w:r w:rsidR="00B14C77" w:rsidRPr="00257477">
        <w:rPr>
          <w:rFonts w:asciiTheme="majorBidi" w:hAnsiTheme="majorBidi" w:cstheme="majorBidi"/>
          <w:i/>
        </w:rPr>
        <w:t>„</w:t>
      </w:r>
      <w:proofErr w:type="spellStart"/>
      <w:r w:rsidRPr="00257477">
        <w:rPr>
          <w:rFonts w:asciiTheme="majorBidi" w:hAnsiTheme="majorBidi" w:cstheme="majorBidi"/>
          <w:i/>
          <w:iCs/>
        </w:rPr>
        <w:t>Vereniging</w:t>
      </w:r>
      <w:proofErr w:type="spellEnd"/>
      <w:r w:rsidRPr="00257477">
        <w:rPr>
          <w:rFonts w:asciiTheme="majorBidi" w:hAnsiTheme="majorBidi" w:cstheme="majorBidi"/>
          <w:i/>
          <w:iCs/>
        </w:rPr>
        <w:t xml:space="preserve"> </w:t>
      </w:r>
      <w:proofErr w:type="spellStart"/>
      <w:r w:rsidRPr="00257477">
        <w:rPr>
          <w:rFonts w:asciiTheme="majorBidi" w:hAnsiTheme="majorBidi" w:cstheme="majorBidi"/>
          <w:i/>
          <w:iCs/>
        </w:rPr>
        <w:t>Nationaal</w:t>
      </w:r>
      <w:proofErr w:type="spellEnd"/>
      <w:r w:rsidRPr="00257477">
        <w:rPr>
          <w:rFonts w:asciiTheme="majorBidi" w:hAnsiTheme="majorBidi" w:cstheme="majorBidi"/>
          <w:i/>
          <w:iCs/>
        </w:rPr>
        <w:t xml:space="preserve"> </w:t>
      </w:r>
      <w:proofErr w:type="spellStart"/>
      <w:r w:rsidRPr="00257477">
        <w:rPr>
          <w:rFonts w:asciiTheme="majorBidi" w:hAnsiTheme="majorBidi" w:cstheme="majorBidi"/>
          <w:i/>
          <w:iCs/>
        </w:rPr>
        <w:t>Overlegorgaan</w:t>
      </w:r>
      <w:proofErr w:type="spellEnd"/>
      <w:r w:rsidRPr="00257477">
        <w:rPr>
          <w:rFonts w:asciiTheme="majorBidi" w:hAnsiTheme="majorBidi" w:cstheme="majorBidi"/>
          <w:i/>
          <w:iCs/>
        </w:rPr>
        <w:t xml:space="preserve"> </w:t>
      </w:r>
      <w:proofErr w:type="spellStart"/>
      <w:r w:rsidRPr="00257477">
        <w:rPr>
          <w:rFonts w:asciiTheme="majorBidi" w:hAnsiTheme="majorBidi" w:cstheme="majorBidi"/>
          <w:i/>
          <w:iCs/>
        </w:rPr>
        <w:t>Sociale</w:t>
      </w:r>
      <w:proofErr w:type="spellEnd"/>
      <w:r w:rsidRPr="00257477">
        <w:rPr>
          <w:rFonts w:asciiTheme="majorBidi" w:hAnsiTheme="majorBidi" w:cstheme="majorBidi"/>
          <w:i/>
          <w:iCs/>
        </w:rPr>
        <w:t xml:space="preserve"> </w:t>
      </w:r>
      <w:proofErr w:type="spellStart"/>
      <w:r w:rsidRPr="00257477">
        <w:rPr>
          <w:rFonts w:asciiTheme="majorBidi" w:hAnsiTheme="majorBidi" w:cstheme="majorBidi"/>
          <w:i/>
          <w:iCs/>
        </w:rPr>
        <w:t>Werkvoorziening</w:t>
      </w:r>
      <w:proofErr w:type="spellEnd"/>
      <w:r w:rsidRPr="00257477">
        <w:rPr>
          <w:rFonts w:asciiTheme="majorBidi" w:hAnsiTheme="majorBidi" w:cstheme="majorBidi"/>
          <w:i/>
        </w:rPr>
        <w:t> u.c.</w:t>
      </w:r>
      <w:r w:rsidR="00B14C77" w:rsidRPr="00257477">
        <w:rPr>
          <w:rFonts w:asciiTheme="majorBidi" w:hAnsiTheme="majorBidi" w:cstheme="majorBidi"/>
          <w:i/>
        </w:rPr>
        <w:t>”</w:t>
      </w:r>
      <w:r w:rsidRPr="00257477">
        <w:rPr>
          <w:rFonts w:asciiTheme="majorBidi" w:hAnsiTheme="majorBidi" w:cstheme="majorBidi"/>
          <w:i/>
        </w:rPr>
        <w:t>, no C</w:t>
      </w:r>
      <w:r w:rsidRPr="00257477">
        <w:rPr>
          <w:rFonts w:asciiTheme="majorBidi" w:hAnsiTheme="majorBidi" w:cstheme="majorBidi"/>
          <w:i/>
        </w:rPr>
        <w:noBreakHyphen/>
        <w:t>383/06 līdz C</w:t>
      </w:r>
      <w:r w:rsidRPr="00257477">
        <w:rPr>
          <w:rFonts w:asciiTheme="majorBidi" w:hAnsiTheme="majorBidi" w:cstheme="majorBidi"/>
          <w:i/>
        </w:rPr>
        <w:noBreakHyphen/>
        <w:t xml:space="preserve">385/06, </w:t>
      </w:r>
      <w:r w:rsidRPr="00257477">
        <w:rPr>
          <w:rFonts w:asciiTheme="majorBidi" w:hAnsiTheme="majorBidi" w:cstheme="majorBidi"/>
          <w:i/>
          <w:shd w:val="clear" w:color="auto" w:fill="FFFFFF"/>
        </w:rPr>
        <w:t>ECLI:EU:C:2008:165</w:t>
      </w:r>
      <w:r w:rsidRPr="00257477">
        <w:rPr>
          <w:rFonts w:asciiTheme="majorBidi" w:hAnsiTheme="majorBidi" w:cstheme="majorBidi"/>
          <w:i/>
        </w:rPr>
        <w:t>, 56. punktu</w:t>
      </w:r>
      <w:r w:rsidRPr="00257477">
        <w:rPr>
          <w:rFonts w:asciiTheme="majorBidi" w:hAnsiTheme="majorBidi" w:cstheme="majorBidi"/>
        </w:rPr>
        <w:t>). Līdz ar to, ja netiek izpildīti visi nosacījumi, kas izvirzīti atbalsta piešķiršanai, nav pamata apgalvojumam, ka atbalstāmās darbības mērķis ir sasniegts.</w:t>
      </w:r>
    </w:p>
    <w:p w14:paraId="025EEFDA" w14:textId="0CCC6CF8" w:rsidR="00FB3F11" w:rsidRPr="00257477" w:rsidRDefault="009E4691" w:rsidP="00257477">
      <w:pPr>
        <w:spacing w:line="276" w:lineRule="auto"/>
        <w:ind w:firstLine="720"/>
        <w:jc w:val="both"/>
        <w:rPr>
          <w:rFonts w:asciiTheme="majorBidi" w:hAnsiTheme="majorBidi" w:cstheme="majorBidi"/>
        </w:rPr>
      </w:pPr>
      <w:r w:rsidRPr="00257477">
        <w:rPr>
          <w:rFonts w:asciiTheme="majorBidi" w:hAnsiTheme="majorBidi" w:cstheme="majorBidi"/>
        </w:rPr>
        <w:t>[</w:t>
      </w:r>
      <w:r w:rsidR="00D122A4" w:rsidRPr="00257477">
        <w:rPr>
          <w:rFonts w:asciiTheme="majorBidi" w:hAnsiTheme="majorBidi" w:cstheme="majorBidi"/>
        </w:rPr>
        <w:t>7</w:t>
      </w:r>
      <w:r w:rsidRPr="00257477">
        <w:rPr>
          <w:rFonts w:asciiTheme="majorBidi" w:hAnsiTheme="majorBidi" w:cstheme="majorBidi"/>
        </w:rPr>
        <w:t>.1.</w:t>
      </w:r>
      <w:r w:rsidR="00FB3F11" w:rsidRPr="00257477">
        <w:rPr>
          <w:rFonts w:asciiTheme="majorBidi" w:hAnsiTheme="majorBidi" w:cstheme="majorBidi"/>
        </w:rPr>
        <w:t>3</w:t>
      </w:r>
      <w:r w:rsidRPr="00257477">
        <w:rPr>
          <w:rFonts w:asciiTheme="majorBidi" w:hAnsiTheme="majorBidi" w:cstheme="majorBidi"/>
        </w:rPr>
        <w:t>]</w:t>
      </w:r>
      <w:r w:rsidR="0092413D" w:rsidRPr="00257477">
        <w:rPr>
          <w:rFonts w:asciiTheme="majorBidi" w:hAnsiTheme="majorBidi" w:cstheme="majorBidi"/>
        </w:rPr>
        <w:t> </w:t>
      </w:r>
      <w:r w:rsidR="00FB3F11" w:rsidRPr="00257477">
        <w:rPr>
          <w:rFonts w:asciiTheme="majorBidi" w:hAnsiTheme="majorBidi" w:cstheme="majorBidi"/>
        </w:rPr>
        <w:t>Saskaņā ar līguma Nr. 1 7. punktu un līguma Nr. 2 8. punktu projekta iesniegums ar tā pielikumiem ir attiecīgā līguma pielikums.</w:t>
      </w:r>
    </w:p>
    <w:p w14:paraId="16CF1C43" w14:textId="4287CD1F" w:rsidR="00FB3F11" w:rsidRPr="00257477" w:rsidRDefault="009E4691" w:rsidP="00257477">
      <w:pPr>
        <w:spacing w:line="276" w:lineRule="auto"/>
        <w:ind w:firstLine="720"/>
        <w:jc w:val="both"/>
        <w:rPr>
          <w:rFonts w:asciiTheme="majorBidi" w:hAnsiTheme="majorBidi" w:cstheme="majorBidi"/>
          <w:shd w:val="clear" w:color="auto" w:fill="FFFFFF"/>
        </w:rPr>
      </w:pPr>
      <w:r w:rsidRPr="00257477">
        <w:rPr>
          <w:rFonts w:asciiTheme="majorBidi" w:hAnsiTheme="majorBidi" w:cstheme="majorBidi"/>
        </w:rPr>
        <w:t>Tādējādi šajos dokumentos norādītie atbalstāmās darbības sasniedzamā apjoma rādītāji ir projekta īstenošanas līgumu sastāvdaļa. Projekta Nr.</w:t>
      </w:r>
      <w:r w:rsidR="00FB3F11" w:rsidRPr="00257477">
        <w:rPr>
          <w:rFonts w:asciiTheme="majorBidi" w:hAnsiTheme="majorBidi" w:cstheme="majorBidi"/>
        </w:rPr>
        <w:t> </w:t>
      </w:r>
      <w:r w:rsidRPr="00257477">
        <w:rPr>
          <w:rFonts w:asciiTheme="majorBidi" w:hAnsiTheme="majorBidi" w:cstheme="majorBidi"/>
        </w:rPr>
        <w:t xml:space="preserve">2 biznesa plāns kā projekta iesnieguma obligāta sastāvdaļa noteikts MK noteikumos Nr. 817 </w:t>
      </w:r>
      <w:r w:rsidRPr="00257477">
        <w:rPr>
          <w:rFonts w:asciiTheme="majorBidi" w:hAnsiTheme="majorBidi" w:cstheme="majorBidi"/>
          <w:shd w:val="clear" w:color="auto" w:fill="FFFFFF"/>
        </w:rPr>
        <w:t>34.2.9.</w:t>
      </w:r>
      <w:r w:rsidR="00FB3F11" w:rsidRPr="00257477">
        <w:rPr>
          <w:rFonts w:asciiTheme="majorBidi" w:hAnsiTheme="majorBidi" w:cstheme="majorBidi"/>
          <w:shd w:val="clear" w:color="auto" w:fill="FFFFFF"/>
        </w:rPr>
        <w:t> apakš</w:t>
      </w:r>
      <w:r w:rsidRPr="00257477">
        <w:rPr>
          <w:rFonts w:asciiTheme="majorBidi" w:hAnsiTheme="majorBidi" w:cstheme="majorBidi"/>
          <w:shd w:val="clear" w:color="auto" w:fill="FFFFFF"/>
        </w:rPr>
        <w:t xml:space="preserve">punktā. </w:t>
      </w:r>
      <w:r w:rsidR="00FB3F11" w:rsidRPr="00257477">
        <w:rPr>
          <w:rFonts w:asciiTheme="majorBidi" w:hAnsiTheme="majorBidi" w:cstheme="majorBidi"/>
          <w:shd w:val="clear" w:color="auto" w:fill="FFFFFF"/>
        </w:rPr>
        <w:t>Lai gan lietas materiāliem nav pievienots nedz projekta Nr. 1, nedz projekta Nr.</w:t>
      </w:r>
      <w:r w:rsidR="00CB377C" w:rsidRPr="00257477">
        <w:rPr>
          <w:rFonts w:asciiTheme="majorBidi" w:hAnsiTheme="majorBidi" w:cstheme="majorBidi"/>
          <w:shd w:val="clear" w:color="auto" w:fill="FFFFFF"/>
        </w:rPr>
        <w:t> </w:t>
      </w:r>
      <w:r w:rsidR="00FB3F11" w:rsidRPr="00257477">
        <w:rPr>
          <w:rFonts w:asciiTheme="majorBidi" w:hAnsiTheme="majorBidi" w:cstheme="majorBidi"/>
          <w:shd w:val="clear" w:color="auto" w:fill="FFFFFF"/>
        </w:rPr>
        <w:t xml:space="preserve">2 iesniegums, Senāts konstatē, ka tiesvedības gaitā pušu starpā nebija strīda par </w:t>
      </w:r>
      <w:r w:rsidR="003D7F4B" w:rsidRPr="00257477">
        <w:rPr>
          <w:rFonts w:asciiTheme="majorBidi" w:hAnsiTheme="majorBidi" w:cstheme="majorBidi"/>
          <w:shd w:val="clear" w:color="auto" w:fill="FFFFFF"/>
        </w:rPr>
        <w:t xml:space="preserve">sasniedzamā apjoma rādītājiem. </w:t>
      </w:r>
    </w:p>
    <w:p w14:paraId="19FCA275" w14:textId="2AEC0138" w:rsidR="001045F2" w:rsidRPr="00257477" w:rsidRDefault="009E4691" w:rsidP="00257477">
      <w:pPr>
        <w:spacing w:line="276" w:lineRule="auto"/>
        <w:ind w:firstLine="720"/>
        <w:jc w:val="both"/>
        <w:rPr>
          <w:rFonts w:asciiTheme="majorBidi" w:hAnsiTheme="majorBidi" w:cstheme="majorBidi"/>
        </w:rPr>
      </w:pPr>
      <w:r w:rsidRPr="00257477">
        <w:rPr>
          <w:rFonts w:asciiTheme="majorBidi" w:hAnsiTheme="majorBidi" w:cstheme="majorBidi"/>
          <w:shd w:val="clear" w:color="auto" w:fill="FFFFFF"/>
        </w:rPr>
        <w:t xml:space="preserve">Tādējādi projekta iesniegumā </w:t>
      </w:r>
      <w:r w:rsidR="00B14C77" w:rsidRPr="00257477">
        <w:rPr>
          <w:rFonts w:asciiTheme="majorBidi" w:hAnsiTheme="majorBidi" w:cstheme="majorBidi"/>
          <w:shd w:val="clear" w:color="auto" w:fill="FFFFFF"/>
        </w:rPr>
        <w:t xml:space="preserve">minētie </w:t>
      </w:r>
      <w:r w:rsidRPr="00257477">
        <w:rPr>
          <w:rFonts w:asciiTheme="majorBidi" w:hAnsiTheme="majorBidi" w:cstheme="majorBidi"/>
          <w:shd w:val="clear" w:color="auto" w:fill="FFFFFF"/>
        </w:rPr>
        <w:t xml:space="preserve">rezultatīvie rādītāji ir priekšnosacījums </w:t>
      </w:r>
      <w:r w:rsidR="0070132D" w:rsidRPr="00257477">
        <w:rPr>
          <w:rFonts w:asciiTheme="majorBidi" w:hAnsiTheme="majorBidi" w:cstheme="majorBidi"/>
          <w:shd w:val="clear" w:color="auto" w:fill="FFFFFF"/>
        </w:rPr>
        <w:t xml:space="preserve">tam, lai personai būtu tiesība uz </w:t>
      </w:r>
      <w:r w:rsidRPr="00257477">
        <w:rPr>
          <w:rFonts w:asciiTheme="majorBidi" w:hAnsiTheme="majorBidi" w:cstheme="majorBidi"/>
          <w:shd w:val="clear" w:color="auto" w:fill="FFFFFF"/>
        </w:rPr>
        <w:t>atbalsta finansējum</w:t>
      </w:r>
      <w:r w:rsidR="0070132D" w:rsidRPr="00257477">
        <w:rPr>
          <w:rFonts w:asciiTheme="majorBidi" w:hAnsiTheme="majorBidi" w:cstheme="majorBidi"/>
          <w:shd w:val="clear" w:color="auto" w:fill="FFFFFF"/>
        </w:rPr>
        <w:t>u un tā</w:t>
      </w:r>
      <w:r w:rsidRPr="00257477">
        <w:rPr>
          <w:rFonts w:asciiTheme="majorBidi" w:hAnsiTheme="majorBidi" w:cstheme="majorBidi"/>
          <w:shd w:val="clear" w:color="auto" w:fill="FFFFFF"/>
        </w:rPr>
        <w:t xml:space="preserve"> saņemšan</w:t>
      </w:r>
      <w:r w:rsidR="0070132D" w:rsidRPr="00257477">
        <w:rPr>
          <w:rFonts w:asciiTheme="majorBidi" w:hAnsiTheme="majorBidi" w:cstheme="majorBidi"/>
          <w:shd w:val="clear" w:color="auto" w:fill="FFFFFF"/>
        </w:rPr>
        <w:t>u</w:t>
      </w:r>
      <w:r w:rsidRPr="00257477">
        <w:rPr>
          <w:rFonts w:asciiTheme="majorBidi" w:hAnsiTheme="majorBidi" w:cstheme="majorBidi"/>
        </w:rPr>
        <w:t xml:space="preserve">. Ja finansējuma saņēmējs neizpilda visus nosacījumus, kas izvirzīti atbalsta piešķiršanai un ko </w:t>
      </w:r>
      <w:r w:rsidR="00FF770B" w:rsidRPr="00257477">
        <w:rPr>
          <w:rFonts w:asciiTheme="majorBidi" w:hAnsiTheme="majorBidi" w:cstheme="majorBidi"/>
        </w:rPr>
        <w:t xml:space="preserve">finansējuma saņēmējs </w:t>
      </w:r>
      <w:r w:rsidRPr="00257477">
        <w:rPr>
          <w:rFonts w:asciiTheme="majorBidi" w:hAnsiTheme="majorBidi" w:cstheme="majorBidi"/>
        </w:rPr>
        <w:t xml:space="preserve">uzņēmies projekta iesniegumā un līgumā, </w:t>
      </w:r>
      <w:r w:rsidR="00C31ED0" w:rsidRPr="00257477">
        <w:rPr>
          <w:rFonts w:asciiTheme="majorBidi" w:hAnsiTheme="majorBidi" w:cstheme="majorBidi"/>
        </w:rPr>
        <w:t xml:space="preserve">tad </w:t>
      </w:r>
      <w:r w:rsidR="003D7F4B" w:rsidRPr="00257477">
        <w:rPr>
          <w:rFonts w:asciiTheme="majorBidi" w:hAnsiTheme="majorBidi" w:cstheme="majorBidi"/>
        </w:rPr>
        <w:t xml:space="preserve">var būt </w:t>
      </w:r>
      <w:r w:rsidRPr="00257477">
        <w:rPr>
          <w:rFonts w:asciiTheme="majorBidi" w:hAnsiTheme="majorBidi" w:cstheme="majorBidi"/>
        </w:rPr>
        <w:t>pamats neatbilstības konstatēšanai un finanšu korekcijas piemērošanai.</w:t>
      </w:r>
    </w:p>
    <w:p w14:paraId="0BF1336E" w14:textId="56718FC2" w:rsidR="001045F2" w:rsidRPr="00257477" w:rsidRDefault="006834E5" w:rsidP="00257477">
      <w:pPr>
        <w:spacing w:line="276" w:lineRule="auto"/>
        <w:ind w:firstLine="720"/>
        <w:jc w:val="both"/>
        <w:rPr>
          <w:rFonts w:asciiTheme="majorBidi" w:hAnsiTheme="majorBidi" w:cstheme="majorBidi"/>
        </w:rPr>
      </w:pPr>
      <w:r w:rsidRPr="00257477">
        <w:rPr>
          <w:rFonts w:asciiTheme="majorBidi" w:hAnsiTheme="majorBidi" w:cstheme="majorBidi"/>
        </w:rPr>
        <w:t xml:space="preserve">Turklāt, kā atzinusi Eiropas Savienības Tiesa, pienākums atdot labumu, kas neatbilstības dēļ saņemts nepamatoti, ir nevis sods, bet gan tikai sekas konstatējumam, ka nosacījumi, kas vajadzīgi, lai iegūtu no </w:t>
      </w:r>
      <w:r w:rsidR="00FF770B" w:rsidRPr="00257477">
        <w:rPr>
          <w:rFonts w:asciiTheme="majorBidi" w:hAnsiTheme="majorBidi" w:cstheme="majorBidi"/>
        </w:rPr>
        <w:t xml:space="preserve">Eiropas </w:t>
      </w:r>
      <w:r w:rsidRPr="00257477">
        <w:rPr>
          <w:rFonts w:asciiTheme="majorBidi" w:hAnsiTheme="majorBidi" w:cstheme="majorBidi"/>
        </w:rPr>
        <w:t xml:space="preserve">Savienības tiesiskā regulējuma izrietošo labumu, nav tikuši ievēroti un tāpēc šis iegūtais labums kļūst nepamatots (sk. </w:t>
      </w:r>
      <w:r w:rsidRPr="00257477">
        <w:rPr>
          <w:rFonts w:asciiTheme="majorBidi" w:hAnsiTheme="majorBidi" w:cstheme="majorBidi"/>
          <w:i/>
          <w:iCs/>
        </w:rPr>
        <w:t>Eiropas Savienības Tiesas 2016. gada 26. maija sprieduma apvienotajās lietās</w:t>
      </w:r>
      <w:r w:rsidR="0092413D" w:rsidRPr="00257477">
        <w:rPr>
          <w:rFonts w:asciiTheme="majorBidi" w:hAnsiTheme="majorBidi" w:cstheme="majorBidi"/>
          <w:i/>
          <w:iCs/>
        </w:rPr>
        <w:t xml:space="preserve"> </w:t>
      </w:r>
      <w:r w:rsidR="00E875D0" w:rsidRPr="00257477">
        <w:rPr>
          <w:rFonts w:asciiTheme="majorBidi" w:hAnsiTheme="majorBidi" w:cstheme="majorBidi"/>
        </w:rPr>
        <w:t>„</w:t>
      </w:r>
      <w:proofErr w:type="spellStart"/>
      <w:r w:rsidRPr="00257477">
        <w:rPr>
          <w:rFonts w:asciiTheme="majorBidi" w:hAnsiTheme="majorBidi" w:cstheme="majorBidi"/>
          <w:i/>
          <w:iCs/>
        </w:rPr>
        <w:t>Județul</w:t>
      </w:r>
      <w:proofErr w:type="spellEnd"/>
      <w:r w:rsidRPr="00257477">
        <w:rPr>
          <w:rFonts w:asciiTheme="majorBidi" w:hAnsiTheme="majorBidi" w:cstheme="majorBidi"/>
          <w:i/>
          <w:iCs/>
        </w:rPr>
        <w:t xml:space="preserve"> </w:t>
      </w:r>
      <w:proofErr w:type="spellStart"/>
      <w:r w:rsidRPr="00257477">
        <w:rPr>
          <w:rFonts w:asciiTheme="majorBidi" w:hAnsiTheme="majorBidi" w:cstheme="majorBidi"/>
          <w:i/>
          <w:iCs/>
        </w:rPr>
        <w:t>Neamț</w:t>
      </w:r>
      <w:proofErr w:type="spellEnd"/>
      <w:r w:rsidR="0092413D" w:rsidRPr="00257477">
        <w:rPr>
          <w:rFonts w:asciiTheme="majorBidi" w:hAnsiTheme="majorBidi" w:cstheme="majorBidi"/>
          <w:i/>
          <w:iCs/>
        </w:rPr>
        <w:t xml:space="preserve"> </w:t>
      </w:r>
      <w:r w:rsidRPr="00257477">
        <w:rPr>
          <w:rFonts w:asciiTheme="majorBidi" w:hAnsiTheme="majorBidi" w:cstheme="majorBidi"/>
          <w:i/>
          <w:iCs/>
        </w:rPr>
        <w:t>un</w:t>
      </w:r>
      <w:r w:rsidR="0092413D" w:rsidRPr="00257477">
        <w:rPr>
          <w:rFonts w:asciiTheme="majorBidi" w:hAnsiTheme="majorBidi" w:cstheme="majorBidi"/>
          <w:i/>
          <w:iCs/>
        </w:rPr>
        <w:t xml:space="preserve"> </w:t>
      </w:r>
      <w:proofErr w:type="spellStart"/>
      <w:r w:rsidRPr="00257477">
        <w:rPr>
          <w:rFonts w:asciiTheme="majorBidi" w:hAnsiTheme="majorBidi" w:cstheme="majorBidi"/>
          <w:i/>
          <w:iCs/>
        </w:rPr>
        <w:t>Județul</w:t>
      </w:r>
      <w:proofErr w:type="spellEnd"/>
      <w:r w:rsidRPr="00257477">
        <w:rPr>
          <w:rFonts w:asciiTheme="majorBidi" w:hAnsiTheme="majorBidi" w:cstheme="majorBidi"/>
          <w:i/>
          <w:iCs/>
        </w:rPr>
        <w:t xml:space="preserve"> </w:t>
      </w:r>
      <w:proofErr w:type="spellStart"/>
      <w:r w:rsidRPr="00257477">
        <w:rPr>
          <w:rFonts w:asciiTheme="majorBidi" w:hAnsiTheme="majorBidi" w:cstheme="majorBidi"/>
          <w:i/>
          <w:iCs/>
        </w:rPr>
        <w:t>Bacău</w:t>
      </w:r>
      <w:proofErr w:type="spellEnd"/>
      <w:r w:rsidR="00E875D0" w:rsidRPr="00257477">
        <w:rPr>
          <w:rFonts w:asciiTheme="majorBidi" w:hAnsiTheme="majorBidi" w:cstheme="majorBidi"/>
          <w:i/>
          <w:iCs/>
        </w:rPr>
        <w:t>”</w:t>
      </w:r>
      <w:r w:rsidRPr="00257477">
        <w:rPr>
          <w:rFonts w:asciiTheme="majorBidi" w:hAnsiTheme="majorBidi" w:cstheme="majorBidi"/>
          <w:i/>
          <w:iCs/>
        </w:rPr>
        <w:t>, C</w:t>
      </w:r>
      <w:r w:rsidRPr="00257477">
        <w:rPr>
          <w:rFonts w:asciiTheme="majorBidi" w:hAnsiTheme="majorBidi" w:cstheme="majorBidi"/>
          <w:i/>
          <w:iCs/>
        </w:rPr>
        <w:noBreakHyphen/>
        <w:t>260/14 un C</w:t>
      </w:r>
      <w:r w:rsidRPr="00257477">
        <w:rPr>
          <w:rFonts w:asciiTheme="majorBidi" w:hAnsiTheme="majorBidi" w:cstheme="majorBidi"/>
          <w:i/>
          <w:iCs/>
        </w:rPr>
        <w:noBreakHyphen/>
        <w:t xml:space="preserve">261/14, ECLI:EU:C:2016:360, 50. punktu </w:t>
      </w:r>
      <w:r w:rsidRPr="00257477">
        <w:rPr>
          <w:rFonts w:asciiTheme="majorBidi" w:hAnsiTheme="majorBidi" w:cstheme="majorBidi"/>
        </w:rPr>
        <w:t>un tajā minēto judikatūru).</w:t>
      </w:r>
    </w:p>
    <w:p w14:paraId="6E8DE83F" w14:textId="034526D5" w:rsidR="00E875D0" w:rsidRPr="00257477" w:rsidRDefault="009E4691" w:rsidP="00257477">
      <w:pPr>
        <w:shd w:val="clear" w:color="auto" w:fill="FFFFFF"/>
        <w:spacing w:line="276" w:lineRule="auto"/>
        <w:ind w:firstLine="720"/>
        <w:jc w:val="both"/>
        <w:rPr>
          <w:rFonts w:asciiTheme="majorBidi" w:hAnsiTheme="majorBidi" w:cstheme="majorBidi"/>
        </w:rPr>
      </w:pPr>
      <w:r w:rsidRPr="00257477">
        <w:rPr>
          <w:rFonts w:asciiTheme="majorBidi" w:hAnsiTheme="majorBidi" w:cstheme="majorBidi"/>
        </w:rPr>
        <w:t>[</w:t>
      </w:r>
      <w:r w:rsidR="00D122A4" w:rsidRPr="00257477">
        <w:rPr>
          <w:rFonts w:asciiTheme="majorBidi" w:hAnsiTheme="majorBidi" w:cstheme="majorBidi"/>
        </w:rPr>
        <w:t>7</w:t>
      </w:r>
      <w:r w:rsidRPr="00257477">
        <w:rPr>
          <w:rFonts w:asciiTheme="majorBidi" w:hAnsiTheme="majorBidi" w:cstheme="majorBidi"/>
        </w:rPr>
        <w:t>.1.</w:t>
      </w:r>
      <w:r w:rsidR="00E875D0" w:rsidRPr="00257477">
        <w:rPr>
          <w:rFonts w:asciiTheme="majorBidi" w:hAnsiTheme="majorBidi" w:cstheme="majorBidi"/>
        </w:rPr>
        <w:t>4</w:t>
      </w:r>
      <w:r w:rsidRPr="00257477">
        <w:rPr>
          <w:rFonts w:asciiTheme="majorBidi" w:hAnsiTheme="majorBidi" w:cstheme="majorBidi"/>
        </w:rPr>
        <w:t>]</w:t>
      </w:r>
      <w:r w:rsidR="0092413D" w:rsidRPr="00257477">
        <w:rPr>
          <w:rFonts w:asciiTheme="majorBidi" w:hAnsiTheme="majorBidi" w:cstheme="majorBidi"/>
        </w:rPr>
        <w:t> </w:t>
      </w:r>
      <w:r w:rsidRPr="00257477">
        <w:rPr>
          <w:rFonts w:asciiTheme="majorBidi" w:hAnsiTheme="majorBidi" w:cstheme="majorBidi"/>
        </w:rPr>
        <w:t xml:space="preserve">Prasītāja izmaksātā atbalsta finansējuma daļas (piemērotās finanšu korekcijas apmērā) atgūšanu pamatojusi ar projektu uzraudzības periodā konstatētajām atkāpēm no projektu iesniegumos norādītajiem sasniedzamajiem rezultatīvajiem </w:t>
      </w:r>
      <w:r w:rsidR="00E875D0" w:rsidRPr="00257477">
        <w:rPr>
          <w:rFonts w:asciiTheme="majorBidi" w:hAnsiTheme="majorBidi" w:cstheme="majorBidi"/>
        </w:rPr>
        <w:t xml:space="preserve">jeb kvantitatīvajiem </w:t>
      </w:r>
      <w:r w:rsidRPr="00257477">
        <w:rPr>
          <w:rFonts w:asciiTheme="majorBidi" w:hAnsiTheme="majorBidi" w:cstheme="majorBidi"/>
        </w:rPr>
        <w:t>rādītājiem</w:t>
      </w:r>
      <w:r w:rsidR="00E875D0" w:rsidRPr="00257477">
        <w:rPr>
          <w:rFonts w:asciiTheme="majorBidi" w:hAnsiTheme="majorBidi" w:cstheme="majorBidi"/>
        </w:rPr>
        <w:t xml:space="preserve">. </w:t>
      </w:r>
    </w:p>
    <w:p w14:paraId="260FE6C7" w14:textId="547B93D1" w:rsidR="001045F2" w:rsidRPr="00257477" w:rsidRDefault="009E4691" w:rsidP="00257477">
      <w:pPr>
        <w:shd w:val="clear" w:color="auto" w:fill="FFFFFF"/>
        <w:spacing w:line="276" w:lineRule="auto"/>
        <w:ind w:firstLine="720"/>
        <w:jc w:val="both"/>
        <w:rPr>
          <w:rFonts w:asciiTheme="majorBidi" w:hAnsiTheme="majorBidi" w:cstheme="majorBidi"/>
        </w:rPr>
      </w:pPr>
      <w:r w:rsidRPr="00257477">
        <w:rPr>
          <w:rFonts w:asciiTheme="majorBidi" w:hAnsiTheme="majorBidi" w:cstheme="majorBidi"/>
        </w:rPr>
        <w:t>Apelācijas</w:t>
      </w:r>
      <w:r w:rsidR="00E875D0" w:rsidRPr="00257477">
        <w:rPr>
          <w:rFonts w:asciiTheme="majorBidi" w:hAnsiTheme="majorBidi" w:cstheme="majorBidi"/>
        </w:rPr>
        <w:t xml:space="preserve"> instances</w:t>
      </w:r>
      <w:r w:rsidRPr="00257477">
        <w:rPr>
          <w:rFonts w:asciiTheme="majorBidi" w:hAnsiTheme="majorBidi" w:cstheme="majorBidi"/>
        </w:rPr>
        <w:t xml:space="preserve"> tiesa </w:t>
      </w:r>
      <w:r w:rsidR="00FF770B" w:rsidRPr="00257477">
        <w:rPr>
          <w:rFonts w:asciiTheme="majorBidi" w:hAnsiTheme="majorBidi" w:cstheme="majorBidi"/>
        </w:rPr>
        <w:t xml:space="preserve">pieļauto atkāpju </w:t>
      </w:r>
      <w:r w:rsidRPr="00257477">
        <w:rPr>
          <w:rFonts w:asciiTheme="majorBidi" w:hAnsiTheme="majorBidi" w:cstheme="majorBidi"/>
        </w:rPr>
        <w:t xml:space="preserve">ietekmi uz projektu mērķa realizāciju saistībā ar finansējuma saņemšanai paredzētā </w:t>
      </w:r>
      <w:proofErr w:type="spellStart"/>
      <w:r w:rsidRPr="00257477">
        <w:rPr>
          <w:rFonts w:asciiTheme="majorBidi" w:hAnsiTheme="majorBidi" w:cstheme="majorBidi"/>
        </w:rPr>
        <w:t>pretizpildījuma</w:t>
      </w:r>
      <w:proofErr w:type="spellEnd"/>
      <w:r w:rsidRPr="00257477">
        <w:rPr>
          <w:rFonts w:asciiTheme="majorBidi" w:hAnsiTheme="majorBidi" w:cstheme="majorBidi"/>
        </w:rPr>
        <w:t xml:space="preserve"> minimālā apjoma </w:t>
      </w:r>
      <w:r w:rsidR="00FF770B" w:rsidRPr="00257477">
        <w:rPr>
          <w:rFonts w:asciiTheme="majorBidi" w:hAnsiTheme="majorBidi" w:cstheme="majorBidi"/>
        </w:rPr>
        <w:lastRenderedPageBreak/>
        <w:t>sasniegšanu</w:t>
      </w:r>
      <w:r w:rsidRPr="00257477">
        <w:rPr>
          <w:rFonts w:asciiTheme="majorBidi" w:hAnsiTheme="majorBidi" w:cstheme="majorBidi"/>
        </w:rPr>
        <w:t xml:space="preserve"> nav vērtējusi. </w:t>
      </w:r>
      <w:r w:rsidR="00E875D0" w:rsidRPr="00257477">
        <w:rPr>
          <w:rFonts w:asciiTheme="majorBidi" w:hAnsiTheme="majorBidi" w:cstheme="majorBidi"/>
        </w:rPr>
        <w:t>Savukārt t</w:t>
      </w:r>
      <w:r w:rsidRPr="00257477">
        <w:rPr>
          <w:rFonts w:asciiTheme="majorBidi" w:hAnsiTheme="majorBidi" w:cstheme="majorBidi"/>
        </w:rPr>
        <w:t>iesas atzinums, ka uzņēmumam nav iespējams paredzēt plānoto peļņu no produkta pārdošanas četrus vai vairāk gadus pēc projekta īstenošanas, jo uzņēmējdarbība ir atkarīga ne tikai no paša uzņēmuma darbībām, bet arī no ārējiem faktoriem, pamatots vien ar formālu atsauci uz dzīvē gūtiem novērojumiem</w:t>
      </w:r>
      <w:r w:rsidR="00E875D0" w:rsidRPr="00257477">
        <w:rPr>
          <w:rFonts w:asciiTheme="majorBidi" w:hAnsiTheme="majorBidi" w:cstheme="majorBidi"/>
        </w:rPr>
        <w:t xml:space="preserve">, nevērtējot šos apstākļus kopsakarā ar tiesību normām un </w:t>
      </w:r>
      <w:r w:rsidR="00FF770B" w:rsidRPr="00257477">
        <w:rPr>
          <w:rFonts w:asciiTheme="majorBidi" w:hAnsiTheme="majorBidi" w:cstheme="majorBidi"/>
        </w:rPr>
        <w:t xml:space="preserve">pušu starpā </w:t>
      </w:r>
      <w:r w:rsidR="00E875D0" w:rsidRPr="00257477">
        <w:rPr>
          <w:rFonts w:asciiTheme="majorBidi" w:hAnsiTheme="majorBidi" w:cstheme="majorBidi"/>
        </w:rPr>
        <w:t>noslēgto līgumu noteikumiem un tādējādi neizpildot Civilprocesa likuma 193. panta piektajā daļ</w:t>
      </w:r>
      <w:r w:rsidR="00B14C77" w:rsidRPr="00257477">
        <w:rPr>
          <w:rFonts w:asciiTheme="majorBidi" w:hAnsiTheme="majorBidi" w:cstheme="majorBidi"/>
        </w:rPr>
        <w:t>ā</w:t>
      </w:r>
      <w:r w:rsidR="00E875D0" w:rsidRPr="00257477">
        <w:rPr>
          <w:rFonts w:asciiTheme="majorBidi" w:hAnsiTheme="majorBidi" w:cstheme="majorBidi"/>
        </w:rPr>
        <w:t xml:space="preserve"> noteikto pienākumu </w:t>
      </w:r>
      <w:r w:rsidR="00D879D9" w:rsidRPr="00257477">
        <w:rPr>
          <w:rFonts w:asciiTheme="majorBidi" w:hAnsiTheme="majorBidi" w:cstheme="majorBidi"/>
        </w:rPr>
        <w:t>sniegt konstatēto apstākļu juridisko novērtējumu, kas būtu pamatots ar tiesību normām.</w:t>
      </w:r>
      <w:r w:rsidR="00E875D0" w:rsidRPr="00257477">
        <w:rPr>
          <w:rFonts w:asciiTheme="majorBidi" w:hAnsiTheme="majorBidi" w:cstheme="majorBidi"/>
        </w:rPr>
        <w:t xml:space="preserve"> </w:t>
      </w:r>
    </w:p>
    <w:p w14:paraId="31A456A8" w14:textId="23E2A08E" w:rsidR="00141553" w:rsidRPr="00257477" w:rsidRDefault="009E4691" w:rsidP="00257477">
      <w:pPr>
        <w:shd w:val="clear" w:color="auto" w:fill="FFFFFF"/>
        <w:spacing w:line="276" w:lineRule="auto"/>
        <w:ind w:firstLine="720"/>
        <w:jc w:val="both"/>
        <w:rPr>
          <w:rFonts w:asciiTheme="majorBidi" w:hAnsiTheme="majorBidi" w:cstheme="majorBidi"/>
          <w:shd w:val="clear" w:color="auto" w:fill="FFFFFF"/>
        </w:rPr>
      </w:pPr>
      <w:r w:rsidRPr="00257477">
        <w:rPr>
          <w:rFonts w:asciiTheme="majorBidi" w:hAnsiTheme="majorBidi" w:cstheme="majorBidi"/>
        </w:rPr>
        <w:t>[</w:t>
      </w:r>
      <w:r w:rsidR="00D122A4" w:rsidRPr="00257477">
        <w:rPr>
          <w:rFonts w:asciiTheme="majorBidi" w:hAnsiTheme="majorBidi" w:cstheme="majorBidi"/>
        </w:rPr>
        <w:t>7</w:t>
      </w:r>
      <w:r w:rsidRPr="00257477">
        <w:rPr>
          <w:rFonts w:asciiTheme="majorBidi" w:hAnsiTheme="majorBidi" w:cstheme="majorBidi"/>
        </w:rPr>
        <w:t>.2]</w:t>
      </w:r>
      <w:r w:rsidR="0092413D" w:rsidRPr="00257477">
        <w:rPr>
          <w:rFonts w:asciiTheme="majorBidi" w:hAnsiTheme="majorBidi" w:cstheme="majorBidi"/>
        </w:rPr>
        <w:t> </w:t>
      </w:r>
      <w:r w:rsidRPr="00257477">
        <w:rPr>
          <w:rFonts w:asciiTheme="majorBidi" w:hAnsiTheme="majorBidi" w:cstheme="majorBidi"/>
        </w:rPr>
        <w:t>MK noteikumu Nr.</w:t>
      </w:r>
      <w:r w:rsidR="00141553" w:rsidRPr="00257477">
        <w:rPr>
          <w:rFonts w:asciiTheme="majorBidi" w:hAnsiTheme="majorBidi" w:cstheme="majorBidi"/>
        </w:rPr>
        <w:t> </w:t>
      </w:r>
      <w:r w:rsidRPr="00257477">
        <w:rPr>
          <w:rFonts w:asciiTheme="majorBidi" w:hAnsiTheme="majorBidi" w:cstheme="majorBidi"/>
        </w:rPr>
        <w:t>740 6.</w:t>
      </w:r>
      <w:r w:rsidR="00141553" w:rsidRPr="00257477">
        <w:rPr>
          <w:rFonts w:asciiTheme="majorBidi" w:hAnsiTheme="majorBidi" w:cstheme="majorBidi"/>
        </w:rPr>
        <w:t> </w:t>
      </w:r>
      <w:r w:rsidRPr="00257477">
        <w:rPr>
          <w:rFonts w:asciiTheme="majorBidi" w:hAnsiTheme="majorBidi" w:cstheme="majorBidi"/>
        </w:rPr>
        <w:t>punkt</w:t>
      </w:r>
      <w:r w:rsidR="00141553" w:rsidRPr="00257477">
        <w:rPr>
          <w:rFonts w:asciiTheme="majorBidi" w:hAnsiTheme="majorBidi" w:cstheme="majorBidi"/>
        </w:rPr>
        <w:t>a pirmais teikums</w:t>
      </w:r>
      <w:r w:rsidRPr="00257477">
        <w:rPr>
          <w:rFonts w:asciiTheme="majorBidi" w:hAnsiTheme="majorBidi" w:cstheme="majorBidi"/>
        </w:rPr>
        <w:t xml:space="preserve"> noteic, ka līgumslēdzējs, ņemot vērā tā rīcībā esošo informāciju par projektā konstatēto iespējamo neatbilstību, pieņem lēmumu par neatbilstības konstatēšanu. </w:t>
      </w:r>
      <w:r w:rsidR="00141553" w:rsidRPr="00257477">
        <w:rPr>
          <w:rFonts w:asciiTheme="majorBidi" w:hAnsiTheme="majorBidi" w:cstheme="majorBidi"/>
        </w:rPr>
        <w:t xml:space="preserve">Savukārt </w:t>
      </w:r>
      <w:r w:rsidRPr="00257477">
        <w:rPr>
          <w:rFonts w:asciiTheme="majorBidi" w:hAnsiTheme="majorBidi" w:cstheme="majorBidi"/>
        </w:rPr>
        <w:t xml:space="preserve">MK </w:t>
      </w:r>
      <w:r w:rsidR="00141553" w:rsidRPr="00257477">
        <w:rPr>
          <w:rFonts w:asciiTheme="majorBidi" w:hAnsiTheme="majorBidi" w:cstheme="majorBidi"/>
        </w:rPr>
        <w:t xml:space="preserve">noteikumu </w:t>
      </w:r>
      <w:r w:rsidRPr="00257477">
        <w:rPr>
          <w:rFonts w:asciiTheme="majorBidi" w:hAnsiTheme="majorBidi" w:cstheme="majorBidi"/>
        </w:rPr>
        <w:t>Nr.</w:t>
      </w:r>
      <w:r w:rsidR="00CB377C" w:rsidRPr="00257477">
        <w:rPr>
          <w:rFonts w:asciiTheme="majorBidi" w:hAnsiTheme="majorBidi" w:cstheme="majorBidi"/>
        </w:rPr>
        <w:t> </w:t>
      </w:r>
      <w:r w:rsidRPr="00257477">
        <w:rPr>
          <w:rFonts w:asciiTheme="majorBidi" w:hAnsiTheme="majorBidi" w:cstheme="majorBidi"/>
        </w:rPr>
        <w:t>740 2</w:t>
      </w:r>
      <w:r w:rsidRPr="00257477">
        <w:rPr>
          <w:rFonts w:asciiTheme="majorBidi" w:hAnsiTheme="majorBidi" w:cstheme="majorBidi"/>
          <w:shd w:val="clear" w:color="auto" w:fill="FFFFFF"/>
        </w:rPr>
        <w:t>.1.</w:t>
      </w:r>
      <w:r w:rsidR="00141553" w:rsidRPr="00257477">
        <w:rPr>
          <w:rFonts w:asciiTheme="majorBidi" w:hAnsiTheme="majorBidi" w:cstheme="majorBidi"/>
          <w:shd w:val="clear" w:color="auto" w:fill="FFFFFF"/>
        </w:rPr>
        <w:t> apakš</w:t>
      </w:r>
      <w:r w:rsidRPr="00257477">
        <w:rPr>
          <w:rFonts w:asciiTheme="majorBidi" w:hAnsiTheme="majorBidi" w:cstheme="majorBidi"/>
          <w:shd w:val="clear" w:color="auto" w:fill="FFFFFF"/>
        </w:rPr>
        <w:t>punkts noteic</w:t>
      </w:r>
      <w:r w:rsidR="00141553" w:rsidRPr="00257477">
        <w:rPr>
          <w:rFonts w:asciiTheme="majorBidi" w:hAnsiTheme="majorBidi" w:cstheme="majorBidi"/>
          <w:shd w:val="clear" w:color="auto" w:fill="FFFFFF"/>
        </w:rPr>
        <w:t>, ka</w:t>
      </w:r>
      <w:r w:rsidRPr="00257477">
        <w:rPr>
          <w:rFonts w:asciiTheme="majorBidi" w:hAnsiTheme="majorBidi" w:cstheme="majorBidi"/>
          <w:shd w:val="clear" w:color="auto" w:fill="FFFFFF"/>
        </w:rPr>
        <w:t xml:space="preserve"> </w:t>
      </w:r>
      <w:r w:rsidR="00141553" w:rsidRPr="00257477">
        <w:rPr>
          <w:rFonts w:asciiTheme="majorBidi" w:hAnsiTheme="majorBidi" w:cstheme="majorBidi"/>
        </w:rPr>
        <w:t>„</w:t>
      </w:r>
      <w:r w:rsidRPr="00257477">
        <w:rPr>
          <w:rFonts w:asciiTheme="majorBidi" w:hAnsiTheme="majorBidi" w:cstheme="majorBidi"/>
        </w:rPr>
        <w:t xml:space="preserve">neatbilstība” šo noteikumu izpratnē atbilst Regulas Nr. 1083/2006 </w:t>
      </w:r>
      <w:hyperlink r:id="rId9" w:anchor="p2" w:history="1">
        <w:r w:rsidR="001045F2" w:rsidRPr="00257477">
          <w:rPr>
            <w:rStyle w:val="Hyperlink"/>
            <w:rFonts w:asciiTheme="majorBidi" w:hAnsiTheme="majorBidi" w:cstheme="majorBidi"/>
            <w:color w:val="auto"/>
            <w:u w:val="none"/>
            <w:shd w:val="clear" w:color="auto" w:fill="FFFFFF"/>
          </w:rPr>
          <w:t>2.</w:t>
        </w:r>
        <w:r w:rsidR="00141553" w:rsidRPr="00257477">
          <w:rPr>
            <w:rStyle w:val="Hyperlink"/>
            <w:rFonts w:asciiTheme="majorBidi" w:hAnsiTheme="majorBidi" w:cstheme="majorBidi"/>
            <w:color w:val="auto"/>
            <w:u w:val="none"/>
            <w:shd w:val="clear" w:color="auto" w:fill="FFFFFF"/>
          </w:rPr>
          <w:t> </w:t>
        </w:r>
        <w:r w:rsidR="001045F2" w:rsidRPr="00257477">
          <w:rPr>
            <w:rStyle w:val="Hyperlink"/>
            <w:rFonts w:asciiTheme="majorBidi" w:hAnsiTheme="majorBidi" w:cstheme="majorBidi"/>
            <w:color w:val="auto"/>
            <w:u w:val="none"/>
            <w:shd w:val="clear" w:color="auto" w:fill="FFFFFF"/>
          </w:rPr>
          <w:t>panta</w:t>
        </w:r>
      </w:hyperlink>
      <w:r w:rsidRPr="00257477">
        <w:rPr>
          <w:rFonts w:asciiTheme="majorBidi" w:hAnsiTheme="majorBidi" w:cstheme="majorBidi"/>
          <w:shd w:val="clear" w:color="auto" w:fill="FFFFFF"/>
        </w:rPr>
        <w:t> 7.</w:t>
      </w:r>
      <w:r w:rsidR="00141553" w:rsidRPr="00257477">
        <w:rPr>
          <w:rFonts w:asciiTheme="majorBidi" w:hAnsiTheme="majorBidi" w:cstheme="majorBidi"/>
          <w:shd w:val="clear" w:color="auto" w:fill="FFFFFF"/>
        </w:rPr>
        <w:t> </w:t>
      </w:r>
      <w:r w:rsidRPr="00257477">
        <w:rPr>
          <w:rFonts w:asciiTheme="majorBidi" w:hAnsiTheme="majorBidi" w:cstheme="majorBidi"/>
          <w:shd w:val="clear" w:color="auto" w:fill="FFFFFF"/>
        </w:rPr>
        <w:t xml:space="preserve">punktā </w:t>
      </w:r>
      <w:r w:rsidR="00141553" w:rsidRPr="00257477">
        <w:rPr>
          <w:rFonts w:asciiTheme="majorBidi" w:hAnsiTheme="majorBidi" w:cstheme="majorBidi"/>
          <w:shd w:val="clear" w:color="auto" w:fill="FFFFFF"/>
        </w:rPr>
        <w:t xml:space="preserve">sniegtajai </w:t>
      </w:r>
      <w:r w:rsidR="00141553" w:rsidRPr="00257477">
        <w:rPr>
          <w:rFonts w:asciiTheme="majorBidi" w:hAnsiTheme="majorBidi" w:cstheme="majorBidi"/>
        </w:rPr>
        <w:t>„</w:t>
      </w:r>
      <w:r w:rsidRPr="00257477">
        <w:rPr>
          <w:rFonts w:asciiTheme="majorBidi" w:hAnsiTheme="majorBidi" w:cstheme="majorBidi"/>
          <w:shd w:val="clear" w:color="auto" w:fill="FFFFFF"/>
        </w:rPr>
        <w:t>neatbilstības” definīcijai</w:t>
      </w:r>
      <w:r w:rsidR="00141553" w:rsidRPr="00257477">
        <w:rPr>
          <w:rFonts w:asciiTheme="majorBidi" w:hAnsiTheme="majorBidi" w:cstheme="majorBidi"/>
          <w:shd w:val="clear" w:color="auto" w:fill="FFFFFF"/>
        </w:rPr>
        <w:t xml:space="preserve">, saskaņā ar kuru neatbilstība ir </w:t>
      </w:r>
      <w:r w:rsidR="00141553" w:rsidRPr="00257477">
        <w:rPr>
          <w:rFonts w:asciiTheme="majorBidi" w:hAnsiTheme="majorBidi" w:cstheme="majorBidi"/>
        </w:rPr>
        <w:t>„</w:t>
      </w:r>
      <w:r w:rsidR="00141553" w:rsidRPr="00257477">
        <w:rPr>
          <w:rFonts w:asciiTheme="majorBidi" w:hAnsiTheme="majorBidi" w:cstheme="majorBidi"/>
          <w:shd w:val="clear" w:color="auto" w:fill="FFFFFF"/>
        </w:rPr>
        <w:t xml:space="preserve">jebkurš Kopienas tiesību aktu pārkāpums, kas noticis saimnieciskās darbības subjekta darbības vai bezdarbības dēļ un kas rada vai varētu radīt kaitējumu Eiropas Savienības vispārējam budžetam, prasot no vispārējā budžeta segt nepamatotu izdevumu daļu”. Tādējādi Senāts secina, ka izskatāmajā lietā „neatbilstība” ir uzskatāma par </w:t>
      </w:r>
      <w:r w:rsidR="005D356F" w:rsidRPr="00257477">
        <w:rPr>
          <w:rFonts w:asciiTheme="majorBidi" w:hAnsiTheme="majorBidi" w:cstheme="majorBidi"/>
          <w:shd w:val="clear" w:color="auto" w:fill="FFFFFF"/>
        </w:rPr>
        <w:t xml:space="preserve">autonomu </w:t>
      </w:r>
      <w:r w:rsidR="00141553" w:rsidRPr="00257477">
        <w:rPr>
          <w:rFonts w:asciiTheme="majorBidi" w:hAnsiTheme="majorBidi" w:cstheme="majorBidi"/>
          <w:shd w:val="clear" w:color="auto" w:fill="FFFFFF"/>
        </w:rPr>
        <w:t>Eiropas Savienības tiesību jēdzienu</w:t>
      </w:r>
      <w:r w:rsidR="005D356F" w:rsidRPr="00257477">
        <w:rPr>
          <w:rFonts w:asciiTheme="majorBidi" w:hAnsiTheme="majorBidi" w:cstheme="majorBidi"/>
          <w:shd w:val="clear" w:color="auto" w:fill="FFFFFF"/>
        </w:rPr>
        <w:t xml:space="preserve">. </w:t>
      </w:r>
    </w:p>
    <w:p w14:paraId="06CA6EBA" w14:textId="0B62AFC3" w:rsidR="005D356F" w:rsidRPr="00257477" w:rsidRDefault="005D356F" w:rsidP="00257477">
      <w:pPr>
        <w:shd w:val="clear" w:color="auto" w:fill="FFFFFF"/>
        <w:spacing w:line="276" w:lineRule="auto"/>
        <w:ind w:firstLine="720"/>
        <w:jc w:val="both"/>
        <w:rPr>
          <w:rFonts w:asciiTheme="majorBidi" w:hAnsiTheme="majorBidi" w:cstheme="majorBidi"/>
          <w:shd w:val="clear" w:color="auto" w:fill="FFFFFF"/>
        </w:rPr>
      </w:pPr>
      <w:r w:rsidRPr="00257477">
        <w:rPr>
          <w:rFonts w:asciiTheme="majorBidi" w:hAnsiTheme="majorBidi" w:cstheme="majorBidi"/>
          <w:shd w:val="clear" w:color="auto" w:fill="FFFFFF"/>
        </w:rPr>
        <w:t>Eiropas Savienības Tiesa, iztulkojot „neatbilstības” jēdzienu</w:t>
      </w:r>
      <w:r w:rsidR="00345DFF" w:rsidRPr="00257477">
        <w:rPr>
          <w:rFonts w:asciiTheme="majorBidi" w:hAnsiTheme="majorBidi" w:cstheme="majorBidi"/>
          <w:shd w:val="clear" w:color="auto" w:fill="FFFFFF"/>
        </w:rPr>
        <w:t>,</w:t>
      </w:r>
      <w:r w:rsidRPr="00257477">
        <w:rPr>
          <w:rFonts w:asciiTheme="majorBidi" w:hAnsiTheme="majorBidi" w:cstheme="majorBidi"/>
          <w:shd w:val="clear" w:color="auto" w:fill="FFFFFF"/>
        </w:rPr>
        <w:t xml:space="preserve"> ir atzinusi, ka </w:t>
      </w:r>
      <w:r w:rsidR="00345DFF" w:rsidRPr="00257477">
        <w:rPr>
          <w:rFonts w:asciiTheme="majorBidi" w:hAnsiTheme="majorBidi" w:cstheme="majorBidi"/>
          <w:shd w:val="clear" w:color="auto" w:fill="FFFFFF"/>
        </w:rPr>
        <w:t>neatbilstības</w:t>
      </w:r>
      <w:r w:rsidR="005C007D" w:rsidRPr="00257477">
        <w:rPr>
          <w:rFonts w:asciiTheme="majorBidi" w:hAnsiTheme="majorBidi" w:cstheme="majorBidi"/>
          <w:shd w:val="clear" w:color="auto" w:fill="FFFFFF"/>
        </w:rPr>
        <w:t xml:space="preserve"> sastāvu</w:t>
      </w:r>
      <w:r w:rsidR="00345DFF" w:rsidRPr="00257477">
        <w:rPr>
          <w:rFonts w:asciiTheme="majorBidi" w:hAnsiTheme="majorBidi" w:cstheme="majorBidi"/>
        </w:rPr>
        <w:t xml:space="preserve"> </w:t>
      </w:r>
      <w:r w:rsidR="00345DFF" w:rsidRPr="00257477">
        <w:rPr>
          <w:rFonts w:asciiTheme="majorBidi" w:hAnsiTheme="majorBidi" w:cstheme="majorBidi"/>
          <w:shd w:val="clear" w:color="auto" w:fill="FFFFFF"/>
        </w:rPr>
        <w:t>Regulas Nr.</w:t>
      </w:r>
      <w:r w:rsidR="00CB377C" w:rsidRPr="00257477">
        <w:rPr>
          <w:rFonts w:asciiTheme="majorBidi" w:hAnsiTheme="majorBidi" w:cstheme="majorBidi"/>
          <w:shd w:val="clear" w:color="auto" w:fill="FFFFFF"/>
        </w:rPr>
        <w:t> </w:t>
      </w:r>
      <w:r w:rsidR="00345DFF" w:rsidRPr="00257477">
        <w:rPr>
          <w:rFonts w:asciiTheme="majorBidi" w:hAnsiTheme="majorBidi" w:cstheme="majorBidi"/>
          <w:shd w:val="clear" w:color="auto" w:fill="FFFFFF"/>
        </w:rPr>
        <w:t>1083/2006 2.</w:t>
      </w:r>
      <w:r w:rsidR="00CB377C" w:rsidRPr="00257477">
        <w:rPr>
          <w:rFonts w:asciiTheme="majorBidi" w:hAnsiTheme="majorBidi" w:cstheme="majorBidi"/>
          <w:shd w:val="clear" w:color="auto" w:fill="FFFFFF"/>
        </w:rPr>
        <w:t> </w:t>
      </w:r>
      <w:r w:rsidR="00345DFF" w:rsidRPr="00257477">
        <w:rPr>
          <w:rFonts w:asciiTheme="majorBidi" w:hAnsiTheme="majorBidi" w:cstheme="majorBidi"/>
          <w:shd w:val="clear" w:color="auto" w:fill="FFFFFF"/>
        </w:rPr>
        <w:t>panta 7.</w:t>
      </w:r>
      <w:r w:rsidR="00CB377C" w:rsidRPr="00257477">
        <w:rPr>
          <w:rFonts w:asciiTheme="majorBidi" w:hAnsiTheme="majorBidi" w:cstheme="majorBidi"/>
          <w:shd w:val="clear" w:color="auto" w:fill="FFFFFF"/>
        </w:rPr>
        <w:t> </w:t>
      </w:r>
      <w:r w:rsidR="00345DFF" w:rsidRPr="00257477">
        <w:rPr>
          <w:rFonts w:asciiTheme="majorBidi" w:hAnsiTheme="majorBidi" w:cstheme="majorBidi"/>
          <w:shd w:val="clear" w:color="auto" w:fill="FFFFFF"/>
        </w:rPr>
        <w:t>punkta izpratnē veido trīs elementi: pirmkārt, Eiropas Savienības tiesību pārkāpuma esība, otrkārt, fakts, ka šis pārkāpums izriet no saimnieciskās darbības subjekta darbības vai bezdarbības, un, treškārt, Eiropas Savienības budžetam faktiski vai iespējami nodarīta kaitējuma es</w:t>
      </w:r>
      <w:r w:rsidR="00EF0BD5" w:rsidRPr="00257477">
        <w:rPr>
          <w:rFonts w:asciiTheme="majorBidi" w:hAnsiTheme="majorBidi" w:cstheme="majorBidi"/>
          <w:shd w:val="clear" w:color="auto" w:fill="FFFFFF"/>
        </w:rPr>
        <w:t>ī</w:t>
      </w:r>
      <w:r w:rsidR="00345DFF" w:rsidRPr="00257477">
        <w:rPr>
          <w:rFonts w:asciiTheme="majorBidi" w:hAnsiTheme="majorBidi" w:cstheme="majorBidi"/>
          <w:shd w:val="clear" w:color="auto" w:fill="FFFFFF"/>
        </w:rPr>
        <w:t xml:space="preserve">ba (sk. </w:t>
      </w:r>
      <w:r w:rsidR="00345DFF" w:rsidRPr="00257477">
        <w:rPr>
          <w:rFonts w:asciiTheme="majorBidi" w:hAnsiTheme="majorBidi" w:cstheme="majorBidi"/>
          <w:i/>
          <w:shd w:val="clear" w:color="auto" w:fill="FFFFFF"/>
        </w:rPr>
        <w:t>Eiropas Savienības Tiesas 2020. gada 1.</w:t>
      </w:r>
      <w:r w:rsidR="00CB377C" w:rsidRPr="00257477">
        <w:rPr>
          <w:rFonts w:asciiTheme="majorBidi" w:hAnsiTheme="majorBidi" w:cstheme="majorBidi"/>
          <w:i/>
          <w:shd w:val="clear" w:color="auto" w:fill="FFFFFF"/>
        </w:rPr>
        <w:t> </w:t>
      </w:r>
      <w:r w:rsidR="00345DFF" w:rsidRPr="00257477">
        <w:rPr>
          <w:rFonts w:asciiTheme="majorBidi" w:hAnsiTheme="majorBidi" w:cstheme="majorBidi"/>
          <w:i/>
          <w:shd w:val="clear" w:color="auto" w:fill="FFFFFF"/>
        </w:rPr>
        <w:t>oktobra sprieduma lietā</w:t>
      </w:r>
      <w:r w:rsidR="0092413D" w:rsidRPr="00257477">
        <w:rPr>
          <w:rFonts w:asciiTheme="majorBidi" w:hAnsiTheme="majorBidi" w:cstheme="majorBidi"/>
          <w:i/>
          <w:shd w:val="clear" w:color="auto" w:fill="FFFFFF"/>
        </w:rPr>
        <w:t xml:space="preserve"> </w:t>
      </w:r>
      <w:r w:rsidR="00345DFF" w:rsidRPr="00257477">
        <w:rPr>
          <w:rFonts w:asciiTheme="majorBidi" w:hAnsiTheme="majorBidi" w:cstheme="majorBidi"/>
        </w:rPr>
        <w:t>„</w:t>
      </w:r>
      <w:proofErr w:type="spellStart"/>
      <w:r w:rsidR="00345DFF" w:rsidRPr="00257477">
        <w:rPr>
          <w:rFonts w:asciiTheme="majorBidi" w:hAnsiTheme="majorBidi" w:cstheme="majorBidi"/>
          <w:i/>
          <w:shd w:val="clear" w:color="auto" w:fill="FFFFFF"/>
        </w:rPr>
        <w:t>Elme</w:t>
      </w:r>
      <w:proofErr w:type="spellEnd"/>
      <w:r w:rsidR="00345DFF" w:rsidRPr="00257477">
        <w:rPr>
          <w:rFonts w:asciiTheme="majorBidi" w:hAnsiTheme="majorBidi" w:cstheme="majorBidi"/>
          <w:i/>
          <w:shd w:val="clear" w:color="auto" w:fill="FFFFFF"/>
        </w:rPr>
        <w:t xml:space="preserve"> </w:t>
      </w:r>
      <w:proofErr w:type="spellStart"/>
      <w:r w:rsidR="00345DFF" w:rsidRPr="00257477">
        <w:rPr>
          <w:rFonts w:asciiTheme="majorBidi" w:hAnsiTheme="majorBidi" w:cstheme="majorBidi"/>
          <w:i/>
          <w:shd w:val="clear" w:color="auto" w:fill="FFFFFF"/>
        </w:rPr>
        <w:t>Messer</w:t>
      </w:r>
      <w:proofErr w:type="spellEnd"/>
      <w:r w:rsidR="00345DFF" w:rsidRPr="00257477">
        <w:rPr>
          <w:rFonts w:asciiTheme="majorBidi" w:hAnsiTheme="majorBidi" w:cstheme="majorBidi"/>
          <w:i/>
          <w:shd w:val="clear" w:color="auto" w:fill="FFFFFF"/>
        </w:rPr>
        <w:t xml:space="preserve"> Metalurgs”, C</w:t>
      </w:r>
      <w:r w:rsidR="00345DFF" w:rsidRPr="00257477">
        <w:rPr>
          <w:rFonts w:asciiTheme="majorBidi" w:hAnsiTheme="majorBidi" w:cstheme="majorBidi"/>
          <w:i/>
          <w:shd w:val="clear" w:color="auto" w:fill="FFFFFF"/>
        </w:rPr>
        <w:noBreakHyphen/>
        <w:t>743/18, ECLI:EU:C:2020:767, 51. punktu</w:t>
      </w:r>
      <w:r w:rsidR="00345DFF" w:rsidRPr="00257477">
        <w:rPr>
          <w:rFonts w:asciiTheme="majorBidi" w:hAnsiTheme="majorBidi" w:cstheme="majorBidi"/>
          <w:shd w:val="clear" w:color="auto" w:fill="FFFFFF"/>
        </w:rPr>
        <w:t>).</w:t>
      </w:r>
    </w:p>
    <w:p w14:paraId="2EE70C4D" w14:textId="0DC4B6AD" w:rsidR="00625B08" w:rsidRPr="00257477" w:rsidRDefault="00625B08" w:rsidP="00257477">
      <w:pPr>
        <w:shd w:val="clear" w:color="auto" w:fill="FFFFFF"/>
        <w:spacing w:line="276" w:lineRule="auto"/>
        <w:ind w:firstLine="720"/>
        <w:jc w:val="both"/>
        <w:rPr>
          <w:rFonts w:asciiTheme="majorBidi" w:hAnsiTheme="majorBidi" w:cstheme="majorBidi"/>
          <w:shd w:val="clear" w:color="auto" w:fill="FFFFFF"/>
        </w:rPr>
      </w:pPr>
      <w:r w:rsidRPr="00257477">
        <w:rPr>
          <w:rFonts w:asciiTheme="majorBidi" w:hAnsiTheme="majorBidi" w:cstheme="majorBidi"/>
          <w:shd w:val="clear" w:color="auto" w:fill="FFFFFF"/>
        </w:rPr>
        <w:t>[</w:t>
      </w:r>
      <w:r w:rsidR="00D122A4" w:rsidRPr="00257477">
        <w:rPr>
          <w:rFonts w:asciiTheme="majorBidi" w:hAnsiTheme="majorBidi" w:cstheme="majorBidi"/>
          <w:shd w:val="clear" w:color="auto" w:fill="FFFFFF"/>
        </w:rPr>
        <w:t>7</w:t>
      </w:r>
      <w:r w:rsidRPr="00257477">
        <w:rPr>
          <w:rFonts w:asciiTheme="majorBidi" w:hAnsiTheme="majorBidi" w:cstheme="majorBidi"/>
          <w:shd w:val="clear" w:color="auto" w:fill="FFFFFF"/>
        </w:rPr>
        <w:t>.2.1]</w:t>
      </w:r>
      <w:r w:rsidR="0092413D" w:rsidRPr="00257477">
        <w:rPr>
          <w:rFonts w:asciiTheme="majorBidi" w:hAnsiTheme="majorBidi" w:cstheme="majorBidi"/>
          <w:shd w:val="clear" w:color="auto" w:fill="FFFFFF"/>
        </w:rPr>
        <w:t> </w:t>
      </w:r>
      <w:r w:rsidRPr="00257477">
        <w:rPr>
          <w:rFonts w:asciiTheme="majorBidi" w:hAnsiTheme="majorBidi" w:cstheme="majorBidi"/>
          <w:shd w:val="clear" w:color="auto" w:fill="FFFFFF"/>
        </w:rPr>
        <w:t>Saistībā ar Eiropas Savienības tiesību pārkāpuma esību norādāms, ka Regulas Nr.</w:t>
      </w:r>
      <w:r w:rsidR="00FB206D" w:rsidRPr="00257477">
        <w:rPr>
          <w:rFonts w:asciiTheme="majorBidi" w:hAnsiTheme="majorBidi" w:cstheme="majorBidi"/>
          <w:shd w:val="clear" w:color="auto" w:fill="FFFFFF"/>
        </w:rPr>
        <w:t> </w:t>
      </w:r>
      <w:r w:rsidRPr="00257477">
        <w:rPr>
          <w:rFonts w:asciiTheme="majorBidi" w:hAnsiTheme="majorBidi" w:cstheme="majorBidi"/>
          <w:shd w:val="clear" w:color="auto" w:fill="FFFFFF"/>
        </w:rPr>
        <w:t>1083/2006 2.</w:t>
      </w:r>
      <w:r w:rsidR="00FB206D" w:rsidRPr="00257477">
        <w:rPr>
          <w:rFonts w:asciiTheme="majorBidi" w:hAnsiTheme="majorBidi" w:cstheme="majorBidi"/>
          <w:shd w:val="clear" w:color="auto" w:fill="FFFFFF"/>
        </w:rPr>
        <w:t> </w:t>
      </w:r>
      <w:r w:rsidRPr="00257477">
        <w:rPr>
          <w:rFonts w:asciiTheme="majorBidi" w:hAnsiTheme="majorBidi" w:cstheme="majorBidi"/>
          <w:shd w:val="clear" w:color="auto" w:fill="FFFFFF"/>
        </w:rPr>
        <w:t>panta 7.</w:t>
      </w:r>
      <w:r w:rsidR="00FB206D" w:rsidRPr="00257477">
        <w:rPr>
          <w:rFonts w:asciiTheme="majorBidi" w:hAnsiTheme="majorBidi" w:cstheme="majorBidi"/>
          <w:shd w:val="clear" w:color="auto" w:fill="FFFFFF"/>
        </w:rPr>
        <w:t> </w:t>
      </w:r>
      <w:r w:rsidRPr="00257477">
        <w:rPr>
          <w:rFonts w:asciiTheme="majorBidi" w:hAnsiTheme="majorBidi" w:cstheme="majorBidi"/>
          <w:shd w:val="clear" w:color="auto" w:fill="FFFFFF"/>
        </w:rPr>
        <w:t xml:space="preserve">punkts attiecas ne tikai uz gadījumiem, kad tiek pārkāpta Eiropas Savienības tiesību norma pati par sevi, bet arī uz gadījumiem, kad tiek pārkāptas valsts tiesību normas, kuras ir piemērojamas no struktūrfondiem atbalstītajām darbībām un šādi palīdz nodrošināt no šiem fondiem finansēto projektu pārvaldību reglamentējošo Eiropas Savienības tiesību pienācīgu piemērošanu (sk. </w:t>
      </w:r>
      <w:r w:rsidRPr="00257477">
        <w:rPr>
          <w:rFonts w:asciiTheme="majorBidi" w:hAnsiTheme="majorBidi" w:cstheme="majorBidi"/>
          <w:i/>
          <w:iCs/>
          <w:shd w:val="clear" w:color="auto" w:fill="FFFFFF"/>
        </w:rPr>
        <w:t>Eiropas Savienības Tiesas 2016. gada 26. maija sprieduma apvienotajās lietās „</w:t>
      </w:r>
      <w:proofErr w:type="spellStart"/>
      <w:r w:rsidRPr="00257477">
        <w:rPr>
          <w:rFonts w:asciiTheme="majorBidi" w:hAnsiTheme="majorBidi" w:cstheme="majorBidi"/>
          <w:i/>
          <w:iCs/>
          <w:shd w:val="clear" w:color="auto" w:fill="FFFFFF"/>
        </w:rPr>
        <w:t>Județul</w:t>
      </w:r>
      <w:proofErr w:type="spellEnd"/>
      <w:r w:rsidRPr="00257477">
        <w:rPr>
          <w:rFonts w:asciiTheme="majorBidi" w:hAnsiTheme="majorBidi" w:cstheme="majorBidi"/>
          <w:i/>
          <w:iCs/>
          <w:shd w:val="clear" w:color="auto" w:fill="FFFFFF"/>
        </w:rPr>
        <w:t xml:space="preserve"> </w:t>
      </w:r>
      <w:proofErr w:type="spellStart"/>
      <w:r w:rsidRPr="00257477">
        <w:rPr>
          <w:rFonts w:asciiTheme="majorBidi" w:hAnsiTheme="majorBidi" w:cstheme="majorBidi"/>
          <w:i/>
          <w:iCs/>
          <w:shd w:val="clear" w:color="auto" w:fill="FFFFFF"/>
        </w:rPr>
        <w:t>Neamț</w:t>
      </w:r>
      <w:proofErr w:type="spellEnd"/>
      <w:r w:rsidR="0092413D" w:rsidRPr="00257477">
        <w:rPr>
          <w:rFonts w:asciiTheme="majorBidi" w:hAnsiTheme="majorBidi" w:cstheme="majorBidi"/>
          <w:i/>
          <w:iCs/>
          <w:shd w:val="clear" w:color="auto" w:fill="FFFFFF"/>
        </w:rPr>
        <w:t xml:space="preserve"> </w:t>
      </w:r>
      <w:r w:rsidRPr="00257477">
        <w:rPr>
          <w:rFonts w:asciiTheme="majorBidi" w:hAnsiTheme="majorBidi" w:cstheme="majorBidi"/>
          <w:i/>
          <w:iCs/>
          <w:shd w:val="clear" w:color="auto" w:fill="FFFFFF"/>
        </w:rPr>
        <w:t>un</w:t>
      </w:r>
      <w:r w:rsidR="0092413D" w:rsidRPr="00257477">
        <w:rPr>
          <w:rFonts w:asciiTheme="majorBidi" w:hAnsiTheme="majorBidi" w:cstheme="majorBidi"/>
          <w:i/>
          <w:iCs/>
          <w:shd w:val="clear" w:color="auto" w:fill="FFFFFF"/>
        </w:rPr>
        <w:t xml:space="preserve"> </w:t>
      </w:r>
      <w:proofErr w:type="spellStart"/>
      <w:r w:rsidRPr="00257477">
        <w:rPr>
          <w:rFonts w:asciiTheme="majorBidi" w:hAnsiTheme="majorBidi" w:cstheme="majorBidi"/>
          <w:i/>
          <w:iCs/>
          <w:shd w:val="clear" w:color="auto" w:fill="FFFFFF"/>
        </w:rPr>
        <w:t>Județul</w:t>
      </w:r>
      <w:proofErr w:type="spellEnd"/>
      <w:r w:rsidRPr="00257477">
        <w:rPr>
          <w:rFonts w:asciiTheme="majorBidi" w:hAnsiTheme="majorBidi" w:cstheme="majorBidi"/>
          <w:i/>
          <w:iCs/>
          <w:shd w:val="clear" w:color="auto" w:fill="FFFFFF"/>
        </w:rPr>
        <w:t xml:space="preserve"> </w:t>
      </w:r>
      <w:proofErr w:type="spellStart"/>
      <w:r w:rsidRPr="00257477">
        <w:rPr>
          <w:rFonts w:asciiTheme="majorBidi" w:hAnsiTheme="majorBidi" w:cstheme="majorBidi"/>
          <w:i/>
          <w:iCs/>
          <w:shd w:val="clear" w:color="auto" w:fill="FFFFFF"/>
        </w:rPr>
        <w:t>Bacău</w:t>
      </w:r>
      <w:proofErr w:type="spellEnd"/>
      <w:r w:rsidRPr="00257477">
        <w:rPr>
          <w:rFonts w:asciiTheme="majorBidi" w:hAnsiTheme="majorBidi" w:cstheme="majorBidi"/>
          <w:i/>
          <w:iCs/>
          <w:shd w:val="clear" w:color="auto" w:fill="FFFFFF"/>
        </w:rPr>
        <w:t>”, C</w:t>
      </w:r>
      <w:r w:rsidRPr="00257477">
        <w:rPr>
          <w:rFonts w:asciiTheme="majorBidi" w:hAnsiTheme="majorBidi" w:cstheme="majorBidi"/>
          <w:i/>
          <w:iCs/>
          <w:shd w:val="clear" w:color="auto" w:fill="FFFFFF"/>
        </w:rPr>
        <w:noBreakHyphen/>
        <w:t>260/14 un C</w:t>
      </w:r>
      <w:r w:rsidRPr="00257477">
        <w:rPr>
          <w:rFonts w:asciiTheme="majorBidi" w:hAnsiTheme="majorBidi" w:cstheme="majorBidi"/>
          <w:i/>
          <w:iCs/>
          <w:shd w:val="clear" w:color="auto" w:fill="FFFFFF"/>
        </w:rPr>
        <w:noBreakHyphen/>
        <w:t>261/14, EU:C:2016:360, 37.</w:t>
      </w:r>
      <w:r w:rsidR="0092413D" w:rsidRPr="00257477">
        <w:rPr>
          <w:rFonts w:asciiTheme="majorBidi" w:hAnsiTheme="majorBidi" w:cstheme="majorBidi"/>
          <w:i/>
          <w:iCs/>
          <w:shd w:val="clear" w:color="auto" w:fill="FFFFFF"/>
        </w:rPr>
        <w:t xml:space="preserve"> </w:t>
      </w:r>
      <w:r w:rsidRPr="00257477">
        <w:rPr>
          <w:rFonts w:asciiTheme="majorBidi" w:hAnsiTheme="majorBidi" w:cstheme="majorBidi"/>
          <w:i/>
          <w:iCs/>
          <w:shd w:val="clear" w:color="auto" w:fill="FFFFFF"/>
        </w:rPr>
        <w:t>un 43. punktu</w:t>
      </w:r>
      <w:r w:rsidRPr="00257477">
        <w:rPr>
          <w:rFonts w:asciiTheme="majorBidi" w:hAnsiTheme="majorBidi" w:cstheme="majorBidi"/>
          <w:shd w:val="clear" w:color="auto" w:fill="FFFFFF"/>
        </w:rPr>
        <w:t>).</w:t>
      </w:r>
    </w:p>
    <w:p w14:paraId="68301795" w14:textId="701ABD13" w:rsidR="00625B08" w:rsidRPr="00257477" w:rsidRDefault="00625B08" w:rsidP="00257477">
      <w:pPr>
        <w:shd w:val="clear" w:color="auto" w:fill="FFFFFF"/>
        <w:spacing w:line="276" w:lineRule="auto"/>
        <w:ind w:firstLine="720"/>
        <w:jc w:val="both"/>
        <w:rPr>
          <w:rFonts w:asciiTheme="majorBidi" w:hAnsiTheme="majorBidi" w:cstheme="majorBidi"/>
          <w:shd w:val="clear" w:color="auto" w:fill="FFFFFF"/>
        </w:rPr>
      </w:pPr>
      <w:r w:rsidRPr="00257477">
        <w:rPr>
          <w:rFonts w:asciiTheme="majorBidi" w:hAnsiTheme="majorBidi" w:cstheme="majorBidi"/>
          <w:shd w:val="clear" w:color="auto" w:fill="FFFFFF"/>
        </w:rPr>
        <w:t xml:space="preserve">Eiropas Savienības tiesiskajā regulējumā paredzētā atbalsta sistēma ir balstīta arī uz to, ka finansējuma saņēmējs izpilda virkni nosacījumu, kas tam dod tiesības saņemt paredzēto finansiālo atbalstu. Līdz ar to, īstenojot nacionālajās vadības un kontroles sistēmās paredzētās procedūras, valsts kompetentajām iestādēm ir jānodrošina, lai attiecīgais finansējuma saņēmējs apņemtos izpildīt šos pienākumus – tāpēc minētajām valsts iestādēm ir atļauts prasīt, ka šis atbalsta saņēmējs pauž šādu apņemšanos attiecībā uz sava projekta īstenošanu pirms šā projekta iekļaušanas attiecīgajā atbalsta pasākumā, turklāt no Regulas Nr. 1083/2006 60. panta </w:t>
      </w:r>
      <w:r w:rsidRPr="00257477">
        <w:rPr>
          <w:rFonts w:asciiTheme="majorBidi" w:hAnsiTheme="majorBidi" w:cstheme="majorBidi"/>
        </w:rPr>
        <w:t>„</w:t>
      </w:r>
      <w:r w:rsidRPr="00257477">
        <w:rPr>
          <w:rFonts w:asciiTheme="majorBidi" w:hAnsiTheme="majorBidi" w:cstheme="majorBidi"/>
          <w:shd w:val="clear" w:color="auto" w:fill="FFFFFF"/>
        </w:rPr>
        <w:t xml:space="preserve">b” punkta izriet, ka vadošā iestāde pārbauda līdzfinansēto ražojumu un pakalpojumu piegādi (sk. </w:t>
      </w:r>
      <w:r w:rsidRPr="00257477">
        <w:rPr>
          <w:rFonts w:asciiTheme="majorBidi" w:hAnsiTheme="majorBidi" w:cstheme="majorBidi"/>
          <w:i/>
          <w:shd w:val="clear" w:color="auto" w:fill="FFFFFF"/>
        </w:rPr>
        <w:t>Eiropas Savienības Tiesas 2020. gada 1.</w:t>
      </w:r>
      <w:r w:rsidR="00FB206D" w:rsidRPr="00257477">
        <w:rPr>
          <w:rFonts w:asciiTheme="majorBidi" w:hAnsiTheme="majorBidi" w:cstheme="majorBidi"/>
          <w:i/>
          <w:shd w:val="clear" w:color="auto" w:fill="FFFFFF"/>
        </w:rPr>
        <w:t> </w:t>
      </w:r>
      <w:r w:rsidRPr="00257477">
        <w:rPr>
          <w:rFonts w:asciiTheme="majorBidi" w:hAnsiTheme="majorBidi" w:cstheme="majorBidi"/>
          <w:i/>
          <w:shd w:val="clear" w:color="auto" w:fill="FFFFFF"/>
        </w:rPr>
        <w:t>oktobra sprieduma lietā</w:t>
      </w:r>
      <w:r w:rsidR="0092413D" w:rsidRPr="00257477">
        <w:rPr>
          <w:rFonts w:asciiTheme="majorBidi" w:hAnsiTheme="majorBidi" w:cstheme="majorBidi"/>
          <w:i/>
          <w:shd w:val="clear" w:color="auto" w:fill="FFFFFF"/>
        </w:rPr>
        <w:t xml:space="preserve"> </w:t>
      </w:r>
      <w:r w:rsidRPr="00257477">
        <w:rPr>
          <w:rFonts w:asciiTheme="majorBidi" w:hAnsiTheme="majorBidi" w:cstheme="majorBidi"/>
          <w:shd w:val="clear" w:color="auto" w:fill="FFFFFF"/>
        </w:rPr>
        <w:t>„</w:t>
      </w:r>
      <w:proofErr w:type="spellStart"/>
      <w:r w:rsidRPr="00257477">
        <w:rPr>
          <w:rFonts w:asciiTheme="majorBidi" w:hAnsiTheme="majorBidi" w:cstheme="majorBidi"/>
          <w:i/>
          <w:shd w:val="clear" w:color="auto" w:fill="FFFFFF"/>
        </w:rPr>
        <w:t>Elme</w:t>
      </w:r>
      <w:proofErr w:type="spellEnd"/>
      <w:r w:rsidRPr="00257477">
        <w:rPr>
          <w:rFonts w:asciiTheme="majorBidi" w:hAnsiTheme="majorBidi" w:cstheme="majorBidi"/>
          <w:i/>
          <w:shd w:val="clear" w:color="auto" w:fill="FFFFFF"/>
        </w:rPr>
        <w:t xml:space="preserve"> </w:t>
      </w:r>
      <w:proofErr w:type="spellStart"/>
      <w:r w:rsidRPr="00257477">
        <w:rPr>
          <w:rFonts w:asciiTheme="majorBidi" w:hAnsiTheme="majorBidi" w:cstheme="majorBidi"/>
          <w:i/>
          <w:shd w:val="clear" w:color="auto" w:fill="FFFFFF"/>
        </w:rPr>
        <w:t>Messer</w:t>
      </w:r>
      <w:proofErr w:type="spellEnd"/>
      <w:r w:rsidRPr="00257477">
        <w:rPr>
          <w:rFonts w:asciiTheme="majorBidi" w:hAnsiTheme="majorBidi" w:cstheme="majorBidi"/>
          <w:i/>
          <w:shd w:val="clear" w:color="auto" w:fill="FFFFFF"/>
        </w:rPr>
        <w:t xml:space="preserve"> Metalurgs”, C</w:t>
      </w:r>
      <w:r w:rsidRPr="00257477">
        <w:rPr>
          <w:rFonts w:asciiTheme="majorBidi" w:hAnsiTheme="majorBidi" w:cstheme="majorBidi"/>
          <w:i/>
          <w:shd w:val="clear" w:color="auto" w:fill="FFFFFF"/>
        </w:rPr>
        <w:noBreakHyphen/>
        <w:t>743/18, ECLI:EU:C:2020:767, 54. punktu</w:t>
      </w:r>
      <w:r w:rsidRPr="00257477">
        <w:rPr>
          <w:rFonts w:asciiTheme="majorBidi" w:hAnsiTheme="majorBidi" w:cstheme="majorBidi"/>
          <w:shd w:val="clear" w:color="auto" w:fill="FFFFFF"/>
        </w:rPr>
        <w:t xml:space="preserve">). Tas nozīmē, ka </w:t>
      </w:r>
      <w:r w:rsidR="001140E9" w:rsidRPr="00257477">
        <w:rPr>
          <w:rFonts w:asciiTheme="majorBidi" w:hAnsiTheme="majorBidi" w:cstheme="majorBidi"/>
          <w:shd w:val="clear" w:color="auto" w:fill="FFFFFF"/>
        </w:rPr>
        <w:t xml:space="preserve">ar projektu iesniegumu, kurā bija paredzēta arī noteiktu kvantitatīvo rādītāju sasniegšana, atbildētāja ir </w:t>
      </w:r>
      <w:r w:rsidR="00770010" w:rsidRPr="00257477">
        <w:rPr>
          <w:rFonts w:asciiTheme="majorBidi" w:hAnsiTheme="majorBidi" w:cstheme="majorBidi"/>
          <w:shd w:val="clear" w:color="auto" w:fill="FFFFFF"/>
        </w:rPr>
        <w:t>apņēmusies</w:t>
      </w:r>
      <w:r w:rsidR="001140E9" w:rsidRPr="00257477">
        <w:rPr>
          <w:rFonts w:asciiTheme="majorBidi" w:hAnsiTheme="majorBidi" w:cstheme="majorBidi"/>
          <w:shd w:val="clear" w:color="auto" w:fill="FFFFFF"/>
        </w:rPr>
        <w:t xml:space="preserve"> sasniegt </w:t>
      </w:r>
      <w:r w:rsidR="001140E9" w:rsidRPr="00257477">
        <w:rPr>
          <w:rFonts w:asciiTheme="majorBidi" w:hAnsiTheme="majorBidi" w:cstheme="majorBidi"/>
          <w:shd w:val="clear" w:color="auto" w:fill="FFFFFF"/>
        </w:rPr>
        <w:lastRenderedPageBreak/>
        <w:t>ne tikai projekta kvalitatīvos rādītājus, kas saistīti ar inovatīvu produktu ražošanas uzsākšanu, bet arī kvantitatīvos</w:t>
      </w:r>
      <w:r w:rsidR="00770010" w:rsidRPr="00257477">
        <w:rPr>
          <w:rFonts w:asciiTheme="majorBidi" w:hAnsiTheme="majorBidi" w:cstheme="majorBidi"/>
          <w:shd w:val="clear" w:color="auto" w:fill="FFFFFF"/>
        </w:rPr>
        <w:t xml:space="preserve"> rādītājus</w:t>
      </w:r>
      <w:r w:rsidR="001140E9" w:rsidRPr="00257477">
        <w:rPr>
          <w:rFonts w:asciiTheme="majorBidi" w:hAnsiTheme="majorBidi" w:cstheme="majorBidi"/>
          <w:shd w:val="clear" w:color="auto" w:fill="FFFFFF"/>
        </w:rPr>
        <w:t xml:space="preserve">. </w:t>
      </w:r>
    </w:p>
    <w:p w14:paraId="2F4E8BB7" w14:textId="0E8CDFA4" w:rsidR="001140E9" w:rsidRPr="00257477" w:rsidRDefault="001140E9" w:rsidP="00257477">
      <w:pPr>
        <w:shd w:val="clear" w:color="auto" w:fill="FFFFFF"/>
        <w:spacing w:line="276" w:lineRule="auto"/>
        <w:ind w:firstLine="720"/>
        <w:jc w:val="both"/>
        <w:rPr>
          <w:rFonts w:asciiTheme="majorBidi" w:hAnsiTheme="majorBidi" w:cstheme="majorBidi"/>
          <w:shd w:val="clear" w:color="auto" w:fill="FFFFFF"/>
        </w:rPr>
      </w:pPr>
      <w:r w:rsidRPr="00257477">
        <w:rPr>
          <w:rFonts w:asciiTheme="majorBidi" w:hAnsiTheme="majorBidi" w:cstheme="majorBidi"/>
          <w:shd w:val="clear" w:color="auto" w:fill="FFFFFF"/>
        </w:rPr>
        <w:t xml:space="preserve">Nesasniedzot šos rādītājus, tiek pieļauts Regulas Nr. 1083/2006 2. panta 7. punkta </w:t>
      </w:r>
      <w:r w:rsidR="00770010" w:rsidRPr="00257477">
        <w:rPr>
          <w:rFonts w:asciiTheme="majorBidi" w:hAnsiTheme="majorBidi" w:cstheme="majorBidi"/>
          <w:shd w:val="clear" w:color="auto" w:fill="FFFFFF"/>
        </w:rPr>
        <w:t xml:space="preserve">pārkāpums </w:t>
      </w:r>
      <w:r w:rsidRPr="00257477">
        <w:rPr>
          <w:rFonts w:asciiTheme="majorBidi" w:hAnsiTheme="majorBidi" w:cstheme="majorBidi"/>
          <w:shd w:val="clear" w:color="auto" w:fill="FFFFFF"/>
        </w:rPr>
        <w:t xml:space="preserve">(sk. </w:t>
      </w:r>
      <w:r w:rsidRPr="00257477">
        <w:rPr>
          <w:rFonts w:asciiTheme="majorBidi" w:hAnsiTheme="majorBidi" w:cstheme="majorBidi"/>
          <w:i/>
          <w:iCs/>
          <w:shd w:val="clear" w:color="auto" w:fill="FFFFFF"/>
        </w:rPr>
        <w:t>Eiropas Savienības Tiesas 2020.</w:t>
      </w:r>
      <w:r w:rsidR="00FB206D" w:rsidRPr="00257477">
        <w:rPr>
          <w:rFonts w:asciiTheme="majorBidi" w:hAnsiTheme="majorBidi" w:cstheme="majorBidi"/>
          <w:i/>
          <w:iCs/>
          <w:shd w:val="clear" w:color="auto" w:fill="FFFFFF"/>
        </w:rPr>
        <w:t> </w:t>
      </w:r>
      <w:r w:rsidRPr="00257477">
        <w:rPr>
          <w:rFonts w:asciiTheme="majorBidi" w:hAnsiTheme="majorBidi" w:cstheme="majorBidi"/>
          <w:i/>
          <w:iCs/>
          <w:shd w:val="clear" w:color="auto" w:fill="FFFFFF"/>
        </w:rPr>
        <w:t>gada 1.</w:t>
      </w:r>
      <w:r w:rsidR="00FB206D" w:rsidRPr="00257477">
        <w:rPr>
          <w:rFonts w:asciiTheme="majorBidi" w:hAnsiTheme="majorBidi" w:cstheme="majorBidi"/>
          <w:i/>
          <w:iCs/>
          <w:shd w:val="clear" w:color="auto" w:fill="FFFFFF"/>
        </w:rPr>
        <w:t> </w:t>
      </w:r>
      <w:r w:rsidRPr="00257477">
        <w:rPr>
          <w:rFonts w:asciiTheme="majorBidi" w:hAnsiTheme="majorBidi" w:cstheme="majorBidi"/>
          <w:i/>
          <w:iCs/>
          <w:shd w:val="clear" w:color="auto" w:fill="FFFFFF"/>
        </w:rPr>
        <w:t>oktobra sprieduma lietā „</w:t>
      </w:r>
      <w:proofErr w:type="spellStart"/>
      <w:r w:rsidRPr="00257477">
        <w:rPr>
          <w:rFonts w:asciiTheme="majorBidi" w:hAnsiTheme="majorBidi" w:cstheme="majorBidi"/>
          <w:i/>
          <w:iCs/>
          <w:shd w:val="clear" w:color="auto" w:fill="FFFFFF"/>
        </w:rPr>
        <w:t>Elme</w:t>
      </w:r>
      <w:proofErr w:type="spellEnd"/>
      <w:r w:rsidRPr="00257477">
        <w:rPr>
          <w:rFonts w:asciiTheme="majorBidi" w:hAnsiTheme="majorBidi" w:cstheme="majorBidi"/>
          <w:i/>
          <w:iCs/>
          <w:shd w:val="clear" w:color="auto" w:fill="FFFFFF"/>
        </w:rPr>
        <w:t xml:space="preserve"> </w:t>
      </w:r>
      <w:proofErr w:type="spellStart"/>
      <w:r w:rsidRPr="00257477">
        <w:rPr>
          <w:rFonts w:asciiTheme="majorBidi" w:hAnsiTheme="majorBidi" w:cstheme="majorBidi"/>
          <w:i/>
          <w:iCs/>
          <w:shd w:val="clear" w:color="auto" w:fill="FFFFFF"/>
        </w:rPr>
        <w:t>Messer</w:t>
      </w:r>
      <w:proofErr w:type="spellEnd"/>
      <w:r w:rsidRPr="00257477">
        <w:rPr>
          <w:rFonts w:asciiTheme="majorBidi" w:hAnsiTheme="majorBidi" w:cstheme="majorBidi"/>
          <w:i/>
          <w:iCs/>
          <w:shd w:val="clear" w:color="auto" w:fill="FFFFFF"/>
        </w:rPr>
        <w:t xml:space="preserve"> Metalurgs”, C</w:t>
      </w:r>
      <w:r w:rsidR="00FB206D" w:rsidRPr="00257477">
        <w:rPr>
          <w:rFonts w:asciiTheme="majorBidi" w:hAnsiTheme="majorBidi" w:cstheme="majorBidi"/>
          <w:i/>
          <w:iCs/>
          <w:shd w:val="clear" w:color="auto" w:fill="FFFFFF"/>
        </w:rPr>
        <w:t>-</w:t>
      </w:r>
      <w:r w:rsidRPr="00257477">
        <w:rPr>
          <w:rFonts w:asciiTheme="majorBidi" w:hAnsiTheme="majorBidi" w:cstheme="majorBidi"/>
          <w:i/>
          <w:iCs/>
          <w:shd w:val="clear" w:color="auto" w:fill="FFFFFF"/>
        </w:rPr>
        <w:t>743/18, ECLI:EU:C:2020:767, 55.–56. punktu</w:t>
      </w:r>
      <w:r w:rsidRPr="00257477">
        <w:rPr>
          <w:rFonts w:asciiTheme="majorBidi" w:hAnsiTheme="majorBidi" w:cstheme="majorBidi"/>
          <w:shd w:val="clear" w:color="auto" w:fill="FFFFFF"/>
        </w:rPr>
        <w:t>).</w:t>
      </w:r>
    </w:p>
    <w:p w14:paraId="3A125815" w14:textId="4507B483" w:rsidR="001140E9" w:rsidRPr="00257477" w:rsidRDefault="001140E9" w:rsidP="00257477">
      <w:pPr>
        <w:shd w:val="clear" w:color="auto" w:fill="FFFFFF"/>
        <w:spacing w:line="276" w:lineRule="auto"/>
        <w:ind w:firstLine="720"/>
        <w:jc w:val="both"/>
        <w:rPr>
          <w:rFonts w:asciiTheme="majorBidi" w:hAnsiTheme="majorBidi" w:cstheme="majorBidi"/>
          <w:shd w:val="clear" w:color="auto" w:fill="FFFFFF"/>
        </w:rPr>
      </w:pPr>
      <w:r w:rsidRPr="00257477">
        <w:rPr>
          <w:rFonts w:asciiTheme="majorBidi" w:hAnsiTheme="majorBidi" w:cstheme="majorBidi"/>
          <w:shd w:val="clear" w:color="auto" w:fill="FFFFFF"/>
        </w:rPr>
        <w:t>[</w:t>
      </w:r>
      <w:r w:rsidR="00D122A4" w:rsidRPr="00257477">
        <w:rPr>
          <w:rFonts w:asciiTheme="majorBidi" w:hAnsiTheme="majorBidi" w:cstheme="majorBidi"/>
          <w:shd w:val="clear" w:color="auto" w:fill="FFFFFF"/>
        </w:rPr>
        <w:t>7</w:t>
      </w:r>
      <w:r w:rsidRPr="00257477">
        <w:rPr>
          <w:rFonts w:asciiTheme="majorBidi" w:hAnsiTheme="majorBidi" w:cstheme="majorBidi"/>
          <w:shd w:val="clear" w:color="auto" w:fill="FFFFFF"/>
        </w:rPr>
        <w:t>.2.2]</w:t>
      </w:r>
      <w:r w:rsidR="0092413D" w:rsidRPr="00257477">
        <w:rPr>
          <w:rFonts w:asciiTheme="majorBidi" w:hAnsiTheme="majorBidi" w:cstheme="majorBidi"/>
          <w:shd w:val="clear" w:color="auto" w:fill="FFFFFF"/>
        </w:rPr>
        <w:t> </w:t>
      </w:r>
      <w:r w:rsidR="00307D07" w:rsidRPr="00257477">
        <w:rPr>
          <w:rFonts w:asciiTheme="majorBidi" w:hAnsiTheme="majorBidi" w:cstheme="majorBidi"/>
          <w:shd w:val="clear" w:color="auto" w:fill="FFFFFF"/>
        </w:rPr>
        <w:t xml:space="preserve">Eiropas Savienības Tiesa ir atzinusi, ka Regulas Nr. 1083/2006 2. panta 7. punkta formulējumā nav precizēts, vai „saimnieciskās darbības subjekta darbības vai bezdarbības” </w:t>
      </w:r>
      <w:r w:rsidRPr="00257477">
        <w:rPr>
          <w:rFonts w:asciiTheme="majorBidi" w:hAnsiTheme="majorBidi" w:cstheme="majorBidi"/>
          <w:shd w:val="clear" w:color="auto" w:fill="FFFFFF"/>
        </w:rPr>
        <w:t>sastāvu veido ar attiecīgajam saimnieciskās darbības subjektam inkriminējamo nodomu vai neuzmanību saistītais subjektīvais elements.</w:t>
      </w:r>
      <w:r w:rsidR="00307D07" w:rsidRPr="00257477">
        <w:rPr>
          <w:rFonts w:asciiTheme="majorBidi" w:hAnsiTheme="majorBidi" w:cstheme="majorBidi"/>
          <w:shd w:val="clear" w:color="auto" w:fill="FFFFFF"/>
        </w:rPr>
        <w:t xml:space="preserve"> </w:t>
      </w:r>
      <w:bookmarkStart w:id="2" w:name="point58"/>
      <w:r w:rsidR="00307D07" w:rsidRPr="00257477">
        <w:rPr>
          <w:rFonts w:asciiTheme="majorBidi" w:hAnsiTheme="majorBidi" w:cstheme="majorBidi"/>
          <w:shd w:val="clear" w:color="auto" w:fill="FFFFFF"/>
        </w:rPr>
        <w:t>Vienlaikus</w:t>
      </w:r>
      <w:bookmarkEnd w:id="2"/>
      <w:r w:rsidRPr="00257477">
        <w:rPr>
          <w:rFonts w:asciiTheme="majorBidi" w:hAnsiTheme="majorBidi" w:cstheme="majorBidi"/>
          <w:shd w:val="clear" w:color="auto" w:fill="FFFFFF"/>
        </w:rPr>
        <w:t xml:space="preserve">, interpretējot </w:t>
      </w:r>
      <w:r w:rsidR="00307D07" w:rsidRPr="00257477">
        <w:rPr>
          <w:rFonts w:asciiTheme="majorBidi" w:hAnsiTheme="majorBidi" w:cstheme="majorBidi"/>
          <w:shd w:val="clear" w:color="auto" w:fill="FFFFFF"/>
        </w:rPr>
        <w:t xml:space="preserve">Eiropas </w:t>
      </w:r>
      <w:r w:rsidRPr="00257477">
        <w:rPr>
          <w:rFonts w:asciiTheme="majorBidi" w:hAnsiTheme="majorBidi" w:cstheme="majorBidi"/>
          <w:shd w:val="clear" w:color="auto" w:fill="FFFFFF"/>
        </w:rPr>
        <w:t>Savienības tiesību normu, ir jāņem vērā ne tikai tās teksts, bet arī tās konteksts un tiesiskā regulējuma, kurā šī norma ir ietverta, izvirzītie mērķi</w:t>
      </w:r>
      <w:r w:rsidR="00EF0BD5" w:rsidRPr="00257477">
        <w:rPr>
          <w:rFonts w:asciiTheme="majorBidi" w:hAnsiTheme="majorBidi" w:cstheme="majorBidi"/>
          <w:shd w:val="clear" w:color="auto" w:fill="FFFFFF"/>
        </w:rPr>
        <w:t xml:space="preserve"> (sk. </w:t>
      </w:r>
      <w:r w:rsidR="00EF0BD5" w:rsidRPr="00257477">
        <w:rPr>
          <w:rFonts w:asciiTheme="majorBidi" w:hAnsiTheme="majorBidi" w:cstheme="majorBidi"/>
          <w:i/>
          <w:iCs/>
          <w:shd w:val="clear" w:color="auto" w:fill="FFFFFF"/>
        </w:rPr>
        <w:t>turpat</w:t>
      </w:r>
      <w:r w:rsidR="005C007D" w:rsidRPr="00257477">
        <w:rPr>
          <w:rFonts w:asciiTheme="majorBidi" w:hAnsiTheme="majorBidi" w:cstheme="majorBidi"/>
          <w:i/>
          <w:iCs/>
          <w:shd w:val="clear" w:color="auto" w:fill="FFFFFF"/>
        </w:rPr>
        <w:t>,</w:t>
      </w:r>
      <w:r w:rsidR="00EF0BD5" w:rsidRPr="00257477">
        <w:rPr>
          <w:rFonts w:asciiTheme="majorBidi" w:hAnsiTheme="majorBidi" w:cstheme="majorBidi"/>
          <w:i/>
          <w:iCs/>
          <w:shd w:val="clear" w:color="auto" w:fill="FFFFFF"/>
        </w:rPr>
        <w:t xml:space="preserve"> 57.–58. punktu</w:t>
      </w:r>
      <w:r w:rsidR="00EF0BD5" w:rsidRPr="00257477">
        <w:rPr>
          <w:rFonts w:asciiTheme="majorBidi" w:hAnsiTheme="majorBidi" w:cstheme="majorBidi"/>
          <w:shd w:val="clear" w:color="auto" w:fill="FFFFFF"/>
        </w:rPr>
        <w:t>)</w:t>
      </w:r>
      <w:r w:rsidRPr="00257477">
        <w:rPr>
          <w:rFonts w:asciiTheme="majorBidi" w:hAnsiTheme="majorBidi" w:cstheme="majorBidi"/>
          <w:shd w:val="clear" w:color="auto" w:fill="FFFFFF"/>
        </w:rPr>
        <w:t>.</w:t>
      </w:r>
    </w:p>
    <w:p w14:paraId="098A9F4F" w14:textId="0C58922F" w:rsidR="00EB6EF3" w:rsidRPr="00257477" w:rsidRDefault="001140E9" w:rsidP="00257477">
      <w:pPr>
        <w:shd w:val="clear" w:color="auto" w:fill="FFFFFF"/>
        <w:spacing w:line="276" w:lineRule="auto"/>
        <w:ind w:firstLine="720"/>
        <w:jc w:val="both"/>
        <w:rPr>
          <w:rFonts w:asciiTheme="majorBidi" w:hAnsiTheme="majorBidi" w:cstheme="majorBidi"/>
          <w:shd w:val="clear" w:color="auto" w:fill="FFFFFF"/>
        </w:rPr>
      </w:pPr>
      <w:r w:rsidRPr="00257477">
        <w:rPr>
          <w:rFonts w:asciiTheme="majorBidi" w:hAnsiTheme="majorBidi" w:cstheme="majorBidi"/>
          <w:shd w:val="clear" w:color="auto" w:fill="FFFFFF"/>
        </w:rPr>
        <w:t>Attiecībā uz Regulas Nr.</w:t>
      </w:r>
      <w:r w:rsidR="00307D07" w:rsidRPr="00257477">
        <w:rPr>
          <w:rFonts w:asciiTheme="majorBidi" w:hAnsiTheme="majorBidi" w:cstheme="majorBidi"/>
          <w:shd w:val="clear" w:color="auto" w:fill="FFFFFF"/>
        </w:rPr>
        <w:t> </w:t>
      </w:r>
      <w:r w:rsidRPr="00257477">
        <w:rPr>
          <w:rFonts w:asciiTheme="majorBidi" w:hAnsiTheme="majorBidi" w:cstheme="majorBidi"/>
          <w:shd w:val="clear" w:color="auto" w:fill="FFFFFF"/>
        </w:rPr>
        <w:t>1083/2006 2.</w:t>
      </w:r>
      <w:r w:rsidR="00307D07" w:rsidRPr="00257477">
        <w:rPr>
          <w:rFonts w:asciiTheme="majorBidi" w:hAnsiTheme="majorBidi" w:cstheme="majorBidi"/>
          <w:shd w:val="clear" w:color="auto" w:fill="FFFFFF"/>
        </w:rPr>
        <w:t> </w:t>
      </w:r>
      <w:r w:rsidRPr="00257477">
        <w:rPr>
          <w:rFonts w:asciiTheme="majorBidi" w:hAnsiTheme="majorBidi" w:cstheme="majorBidi"/>
          <w:shd w:val="clear" w:color="auto" w:fill="FFFFFF"/>
        </w:rPr>
        <w:t>panta 7.</w:t>
      </w:r>
      <w:r w:rsidR="00307D07" w:rsidRPr="00257477">
        <w:rPr>
          <w:rFonts w:asciiTheme="majorBidi" w:hAnsiTheme="majorBidi" w:cstheme="majorBidi"/>
          <w:shd w:val="clear" w:color="auto" w:fill="FFFFFF"/>
        </w:rPr>
        <w:t> </w:t>
      </w:r>
      <w:r w:rsidRPr="00257477">
        <w:rPr>
          <w:rFonts w:asciiTheme="majorBidi" w:hAnsiTheme="majorBidi" w:cstheme="majorBidi"/>
          <w:shd w:val="clear" w:color="auto" w:fill="FFFFFF"/>
        </w:rPr>
        <w:t>punkta kontekstu ir jāņem vērā, ka šīs tiesību normas formulējums ir ļoti līdzīgs</w:t>
      </w:r>
      <w:r w:rsidR="00307D07" w:rsidRPr="00257477">
        <w:rPr>
          <w:rFonts w:asciiTheme="majorBidi" w:hAnsiTheme="majorBidi" w:cstheme="majorBidi"/>
          <w:shd w:val="clear" w:color="auto" w:fill="FFFFFF"/>
        </w:rPr>
        <w:t xml:space="preserve"> Padomes 1995. gada 18. decembra</w:t>
      </w:r>
      <w:r w:rsidRPr="00257477">
        <w:rPr>
          <w:rFonts w:asciiTheme="majorBidi" w:hAnsiTheme="majorBidi" w:cstheme="majorBidi"/>
          <w:shd w:val="clear" w:color="auto" w:fill="FFFFFF"/>
        </w:rPr>
        <w:t xml:space="preserve"> Regulas Nr.</w:t>
      </w:r>
      <w:r w:rsidR="00307D07" w:rsidRPr="00257477">
        <w:rPr>
          <w:rFonts w:asciiTheme="majorBidi" w:hAnsiTheme="majorBidi" w:cstheme="majorBidi"/>
          <w:shd w:val="clear" w:color="auto" w:fill="FFFFFF"/>
        </w:rPr>
        <w:t> </w:t>
      </w:r>
      <w:r w:rsidRPr="00257477">
        <w:rPr>
          <w:rFonts w:asciiTheme="majorBidi" w:hAnsiTheme="majorBidi" w:cstheme="majorBidi"/>
          <w:shd w:val="clear" w:color="auto" w:fill="FFFFFF"/>
        </w:rPr>
        <w:t>2988/95</w:t>
      </w:r>
      <w:r w:rsidR="00307D07" w:rsidRPr="00257477">
        <w:rPr>
          <w:rFonts w:asciiTheme="majorBidi" w:hAnsiTheme="majorBidi" w:cstheme="majorBidi"/>
          <w:shd w:val="clear" w:color="auto" w:fill="FFFFFF"/>
        </w:rPr>
        <w:t xml:space="preserve"> </w:t>
      </w:r>
      <w:r w:rsidR="0021619D" w:rsidRPr="00257477">
        <w:rPr>
          <w:rFonts w:asciiTheme="majorBidi" w:hAnsiTheme="majorBidi" w:cstheme="majorBidi"/>
          <w:shd w:val="clear" w:color="auto" w:fill="FFFFFF"/>
        </w:rPr>
        <w:t>par Eiropas Kopienu finanšu interešu aizsardzību (turpmāk – Regula Nr. 2988/95)</w:t>
      </w:r>
      <w:r w:rsidRPr="00257477">
        <w:rPr>
          <w:rFonts w:asciiTheme="majorBidi" w:hAnsiTheme="majorBidi" w:cstheme="majorBidi"/>
          <w:shd w:val="clear" w:color="auto" w:fill="FFFFFF"/>
        </w:rPr>
        <w:t xml:space="preserve"> 1.</w:t>
      </w:r>
      <w:r w:rsidR="0021619D" w:rsidRPr="00257477">
        <w:rPr>
          <w:rFonts w:asciiTheme="majorBidi" w:hAnsiTheme="majorBidi" w:cstheme="majorBidi"/>
          <w:shd w:val="clear" w:color="auto" w:fill="FFFFFF"/>
        </w:rPr>
        <w:t> </w:t>
      </w:r>
      <w:r w:rsidRPr="00257477">
        <w:rPr>
          <w:rFonts w:asciiTheme="majorBidi" w:hAnsiTheme="majorBidi" w:cstheme="majorBidi"/>
          <w:shd w:val="clear" w:color="auto" w:fill="FFFFFF"/>
        </w:rPr>
        <w:t>panta 2.</w:t>
      </w:r>
      <w:r w:rsidR="0021619D" w:rsidRPr="00257477">
        <w:rPr>
          <w:rFonts w:asciiTheme="majorBidi" w:hAnsiTheme="majorBidi" w:cstheme="majorBidi"/>
          <w:shd w:val="clear" w:color="auto" w:fill="FFFFFF"/>
        </w:rPr>
        <w:t> </w:t>
      </w:r>
      <w:r w:rsidRPr="00257477">
        <w:rPr>
          <w:rFonts w:asciiTheme="majorBidi" w:hAnsiTheme="majorBidi" w:cstheme="majorBidi"/>
          <w:shd w:val="clear" w:color="auto" w:fill="FFFFFF"/>
        </w:rPr>
        <w:t>punkta formulējumam</w:t>
      </w:r>
      <w:r w:rsidR="0021619D" w:rsidRPr="00257477">
        <w:rPr>
          <w:rFonts w:asciiTheme="majorBidi" w:hAnsiTheme="majorBidi" w:cstheme="majorBidi"/>
          <w:shd w:val="clear" w:color="auto" w:fill="FFFFFF"/>
        </w:rPr>
        <w:t xml:space="preserve"> </w:t>
      </w:r>
      <w:r w:rsidR="0021619D" w:rsidRPr="00257477">
        <w:rPr>
          <w:rFonts w:asciiTheme="majorBidi" w:hAnsiTheme="majorBidi" w:cstheme="majorBidi"/>
          <w:i/>
          <w:iCs/>
          <w:shd w:val="clear" w:color="auto" w:fill="FFFFFF"/>
        </w:rPr>
        <w:t>(„„Pārkāpums” nozīmē Kopienas tiesību normas pārkāpumu, ko rada kāda saimnieciskās darbības subjekta rīcība vai nolaidība, kas kaitē vai varētu kaitēt Kopienu budžetam vai to pārvaldītiem budžetiem: mazinot vai zaudējot ienākumus no Kopienu vārdā tieši izveidotajiem pašu resursiem vai veicot nepamatotus izdevumus</w:t>
      </w:r>
      <w:r w:rsidR="0092413D" w:rsidRPr="00257477">
        <w:rPr>
          <w:rFonts w:asciiTheme="majorBidi" w:hAnsiTheme="majorBidi" w:cstheme="majorBidi"/>
          <w:i/>
          <w:iCs/>
          <w:shd w:val="clear" w:color="auto" w:fill="FFFFFF"/>
        </w:rPr>
        <w:t>.</w:t>
      </w:r>
      <w:r w:rsidR="0021619D" w:rsidRPr="00257477">
        <w:rPr>
          <w:rFonts w:asciiTheme="majorBidi" w:hAnsiTheme="majorBidi" w:cstheme="majorBidi"/>
          <w:i/>
          <w:iCs/>
          <w:shd w:val="clear" w:color="auto" w:fill="FFFFFF"/>
        </w:rPr>
        <w:t>”</w:t>
      </w:r>
      <w:r w:rsidR="0021619D" w:rsidRPr="00257477">
        <w:rPr>
          <w:rFonts w:asciiTheme="majorBidi" w:hAnsiTheme="majorBidi" w:cstheme="majorBidi"/>
          <w:shd w:val="clear" w:color="auto" w:fill="FFFFFF"/>
        </w:rPr>
        <w:t>)</w:t>
      </w:r>
      <w:r w:rsidRPr="00257477">
        <w:rPr>
          <w:rFonts w:asciiTheme="majorBidi" w:hAnsiTheme="majorBidi" w:cstheme="majorBidi"/>
          <w:shd w:val="clear" w:color="auto" w:fill="FFFFFF"/>
        </w:rPr>
        <w:t xml:space="preserve">. </w:t>
      </w:r>
      <w:r w:rsidR="0021619D" w:rsidRPr="00257477">
        <w:rPr>
          <w:rFonts w:asciiTheme="majorBidi" w:hAnsiTheme="majorBidi" w:cstheme="majorBidi"/>
          <w:shd w:val="clear" w:color="auto" w:fill="FFFFFF"/>
        </w:rPr>
        <w:t>Ievērojot</w:t>
      </w:r>
      <w:r w:rsidRPr="00257477">
        <w:rPr>
          <w:rFonts w:asciiTheme="majorBidi" w:hAnsiTheme="majorBidi" w:cstheme="majorBidi"/>
          <w:shd w:val="clear" w:color="auto" w:fill="FFFFFF"/>
        </w:rPr>
        <w:t xml:space="preserve">, ka abas šīs regulas ir daļa no vienas un tās pašas sistēmas, kuras mērķis ir nodrošināt </w:t>
      </w:r>
      <w:r w:rsidR="0021619D" w:rsidRPr="00257477">
        <w:rPr>
          <w:rFonts w:asciiTheme="majorBidi" w:hAnsiTheme="majorBidi" w:cstheme="majorBidi"/>
          <w:shd w:val="clear" w:color="auto" w:fill="FFFFFF"/>
        </w:rPr>
        <w:t xml:space="preserve">Eiropas </w:t>
      </w:r>
      <w:r w:rsidRPr="00257477">
        <w:rPr>
          <w:rFonts w:asciiTheme="majorBidi" w:hAnsiTheme="majorBidi" w:cstheme="majorBidi"/>
          <w:shd w:val="clear" w:color="auto" w:fill="FFFFFF"/>
        </w:rPr>
        <w:t xml:space="preserve">Savienības līdzekļu pienācīgu pārvaldību un tās finanšu interešu aizsardzību, jēdziens </w:t>
      </w:r>
      <w:r w:rsidR="0021619D" w:rsidRPr="00257477">
        <w:rPr>
          <w:rFonts w:asciiTheme="majorBidi" w:hAnsiTheme="majorBidi" w:cstheme="majorBidi"/>
          <w:shd w:val="clear" w:color="auto" w:fill="FFFFFF"/>
        </w:rPr>
        <w:t>„</w:t>
      </w:r>
      <w:r w:rsidRPr="00257477">
        <w:rPr>
          <w:rFonts w:asciiTheme="majorBidi" w:hAnsiTheme="majorBidi" w:cstheme="majorBidi"/>
          <w:shd w:val="clear" w:color="auto" w:fill="FFFFFF"/>
        </w:rPr>
        <w:t>pārkāpums” Regulas</w:t>
      </w:r>
      <w:r w:rsidR="0092413D" w:rsidRPr="00257477">
        <w:rPr>
          <w:rFonts w:asciiTheme="majorBidi" w:hAnsiTheme="majorBidi" w:cstheme="majorBidi"/>
          <w:shd w:val="clear" w:color="auto" w:fill="FFFFFF"/>
        </w:rPr>
        <w:t xml:space="preserve"> </w:t>
      </w:r>
      <w:r w:rsidRPr="00257477">
        <w:rPr>
          <w:rFonts w:asciiTheme="majorBidi" w:hAnsiTheme="majorBidi" w:cstheme="majorBidi"/>
          <w:shd w:val="clear" w:color="auto" w:fill="FFFFFF"/>
        </w:rPr>
        <w:t xml:space="preserve">Nr. 2988/95 1. panta 2. punkta izpratnē un jēdziens </w:t>
      </w:r>
      <w:r w:rsidR="0021619D" w:rsidRPr="00257477">
        <w:rPr>
          <w:rFonts w:asciiTheme="majorBidi" w:hAnsiTheme="majorBidi" w:cstheme="majorBidi"/>
          <w:shd w:val="clear" w:color="auto" w:fill="FFFFFF"/>
        </w:rPr>
        <w:t>„</w:t>
      </w:r>
      <w:r w:rsidRPr="00257477">
        <w:rPr>
          <w:rFonts w:asciiTheme="majorBidi" w:hAnsiTheme="majorBidi" w:cstheme="majorBidi"/>
          <w:shd w:val="clear" w:color="auto" w:fill="FFFFFF"/>
        </w:rPr>
        <w:t>neatbilstība” Regulas Nr. </w:t>
      </w:r>
      <w:r w:rsidR="00FB206D" w:rsidRPr="00257477">
        <w:rPr>
          <w:rFonts w:asciiTheme="majorBidi" w:hAnsiTheme="majorBidi" w:cstheme="majorBidi"/>
          <w:shd w:val="clear" w:color="auto" w:fill="FFFFFF"/>
        </w:rPr>
        <w:t>1</w:t>
      </w:r>
      <w:r w:rsidRPr="00257477">
        <w:rPr>
          <w:rFonts w:asciiTheme="majorBidi" w:hAnsiTheme="majorBidi" w:cstheme="majorBidi"/>
          <w:shd w:val="clear" w:color="auto" w:fill="FFFFFF"/>
        </w:rPr>
        <w:t>083/2006 2.</w:t>
      </w:r>
      <w:r w:rsidR="00FB206D" w:rsidRPr="00257477">
        <w:rPr>
          <w:rFonts w:asciiTheme="majorBidi" w:hAnsiTheme="majorBidi" w:cstheme="majorBidi"/>
          <w:shd w:val="clear" w:color="auto" w:fill="FFFFFF"/>
        </w:rPr>
        <w:t> </w:t>
      </w:r>
      <w:r w:rsidRPr="00257477">
        <w:rPr>
          <w:rFonts w:asciiTheme="majorBidi" w:hAnsiTheme="majorBidi" w:cstheme="majorBidi"/>
          <w:shd w:val="clear" w:color="auto" w:fill="FFFFFF"/>
        </w:rPr>
        <w:t>panta 7.</w:t>
      </w:r>
      <w:r w:rsidR="00FB206D" w:rsidRPr="00257477">
        <w:rPr>
          <w:rFonts w:asciiTheme="majorBidi" w:hAnsiTheme="majorBidi" w:cstheme="majorBidi"/>
          <w:shd w:val="clear" w:color="auto" w:fill="FFFFFF"/>
        </w:rPr>
        <w:t> </w:t>
      </w:r>
      <w:r w:rsidRPr="00257477">
        <w:rPr>
          <w:rFonts w:asciiTheme="majorBidi" w:hAnsiTheme="majorBidi" w:cstheme="majorBidi"/>
          <w:shd w:val="clear" w:color="auto" w:fill="FFFFFF"/>
        </w:rPr>
        <w:t>punkta izpratnē ir interpretējami vienveidīgi</w:t>
      </w:r>
      <w:r w:rsidR="0021619D" w:rsidRPr="00257477">
        <w:rPr>
          <w:rFonts w:asciiTheme="majorBidi" w:hAnsiTheme="majorBidi" w:cstheme="majorBidi"/>
          <w:shd w:val="clear" w:color="auto" w:fill="FFFFFF"/>
        </w:rPr>
        <w:t xml:space="preserve"> (sk. </w:t>
      </w:r>
      <w:r w:rsidR="0021619D" w:rsidRPr="00257477">
        <w:rPr>
          <w:rFonts w:asciiTheme="majorBidi" w:hAnsiTheme="majorBidi" w:cstheme="majorBidi"/>
          <w:i/>
          <w:iCs/>
          <w:shd w:val="clear" w:color="auto" w:fill="FFFFFF"/>
        </w:rPr>
        <w:t>Eiropas Savienības Tiesas 2016. gada 26. maija sprieduma apvienotajās lietās „</w:t>
      </w:r>
      <w:proofErr w:type="spellStart"/>
      <w:r w:rsidR="0021619D" w:rsidRPr="00257477">
        <w:rPr>
          <w:rFonts w:asciiTheme="majorBidi" w:hAnsiTheme="majorBidi" w:cstheme="majorBidi"/>
          <w:i/>
          <w:iCs/>
          <w:shd w:val="clear" w:color="auto" w:fill="FFFFFF"/>
        </w:rPr>
        <w:t>Județul</w:t>
      </w:r>
      <w:proofErr w:type="spellEnd"/>
      <w:r w:rsidR="0021619D" w:rsidRPr="00257477">
        <w:rPr>
          <w:rFonts w:asciiTheme="majorBidi" w:hAnsiTheme="majorBidi" w:cstheme="majorBidi"/>
          <w:i/>
          <w:iCs/>
          <w:shd w:val="clear" w:color="auto" w:fill="FFFFFF"/>
        </w:rPr>
        <w:t xml:space="preserve"> </w:t>
      </w:r>
      <w:proofErr w:type="spellStart"/>
      <w:r w:rsidR="0021619D" w:rsidRPr="00257477">
        <w:rPr>
          <w:rFonts w:asciiTheme="majorBidi" w:hAnsiTheme="majorBidi" w:cstheme="majorBidi"/>
          <w:i/>
          <w:iCs/>
          <w:shd w:val="clear" w:color="auto" w:fill="FFFFFF"/>
        </w:rPr>
        <w:t>Neamț</w:t>
      </w:r>
      <w:proofErr w:type="spellEnd"/>
      <w:r w:rsidR="0092413D" w:rsidRPr="00257477">
        <w:rPr>
          <w:rFonts w:asciiTheme="majorBidi" w:hAnsiTheme="majorBidi" w:cstheme="majorBidi"/>
          <w:i/>
          <w:iCs/>
          <w:shd w:val="clear" w:color="auto" w:fill="FFFFFF"/>
        </w:rPr>
        <w:t xml:space="preserve"> </w:t>
      </w:r>
      <w:r w:rsidR="0021619D" w:rsidRPr="00257477">
        <w:rPr>
          <w:rFonts w:asciiTheme="majorBidi" w:hAnsiTheme="majorBidi" w:cstheme="majorBidi"/>
          <w:i/>
          <w:iCs/>
          <w:shd w:val="clear" w:color="auto" w:fill="FFFFFF"/>
        </w:rPr>
        <w:t>un</w:t>
      </w:r>
      <w:r w:rsidR="0092413D" w:rsidRPr="00257477">
        <w:rPr>
          <w:rFonts w:asciiTheme="majorBidi" w:hAnsiTheme="majorBidi" w:cstheme="majorBidi"/>
          <w:i/>
          <w:iCs/>
          <w:shd w:val="clear" w:color="auto" w:fill="FFFFFF"/>
        </w:rPr>
        <w:t xml:space="preserve"> </w:t>
      </w:r>
      <w:proofErr w:type="spellStart"/>
      <w:r w:rsidR="0021619D" w:rsidRPr="00257477">
        <w:rPr>
          <w:rFonts w:asciiTheme="majorBidi" w:hAnsiTheme="majorBidi" w:cstheme="majorBidi"/>
          <w:i/>
          <w:iCs/>
          <w:shd w:val="clear" w:color="auto" w:fill="FFFFFF"/>
        </w:rPr>
        <w:t>Județul</w:t>
      </w:r>
      <w:proofErr w:type="spellEnd"/>
      <w:r w:rsidR="0021619D" w:rsidRPr="00257477">
        <w:rPr>
          <w:rFonts w:asciiTheme="majorBidi" w:hAnsiTheme="majorBidi" w:cstheme="majorBidi"/>
          <w:i/>
          <w:iCs/>
          <w:shd w:val="clear" w:color="auto" w:fill="FFFFFF"/>
        </w:rPr>
        <w:t xml:space="preserve"> </w:t>
      </w:r>
      <w:proofErr w:type="spellStart"/>
      <w:r w:rsidR="0021619D" w:rsidRPr="00257477">
        <w:rPr>
          <w:rFonts w:asciiTheme="majorBidi" w:hAnsiTheme="majorBidi" w:cstheme="majorBidi"/>
          <w:i/>
          <w:iCs/>
          <w:shd w:val="clear" w:color="auto" w:fill="FFFFFF"/>
        </w:rPr>
        <w:t>Bacău</w:t>
      </w:r>
      <w:proofErr w:type="spellEnd"/>
      <w:r w:rsidR="0021619D" w:rsidRPr="00257477">
        <w:rPr>
          <w:rFonts w:asciiTheme="majorBidi" w:hAnsiTheme="majorBidi" w:cstheme="majorBidi"/>
          <w:i/>
          <w:iCs/>
          <w:shd w:val="clear" w:color="auto" w:fill="FFFFFF"/>
        </w:rPr>
        <w:t>”, C</w:t>
      </w:r>
      <w:r w:rsidR="0021619D" w:rsidRPr="00257477">
        <w:rPr>
          <w:rFonts w:asciiTheme="majorBidi" w:hAnsiTheme="majorBidi" w:cstheme="majorBidi"/>
          <w:i/>
          <w:iCs/>
          <w:shd w:val="clear" w:color="auto" w:fill="FFFFFF"/>
        </w:rPr>
        <w:noBreakHyphen/>
        <w:t>260/14 un C</w:t>
      </w:r>
      <w:r w:rsidR="0021619D" w:rsidRPr="00257477">
        <w:rPr>
          <w:rFonts w:asciiTheme="majorBidi" w:hAnsiTheme="majorBidi" w:cstheme="majorBidi"/>
          <w:i/>
          <w:iCs/>
          <w:shd w:val="clear" w:color="auto" w:fill="FFFFFF"/>
        </w:rPr>
        <w:noBreakHyphen/>
        <w:t>261/14, EU:C:2016:360, 34. punktu</w:t>
      </w:r>
      <w:r w:rsidR="0021619D" w:rsidRPr="00257477">
        <w:rPr>
          <w:rFonts w:asciiTheme="majorBidi" w:hAnsiTheme="majorBidi" w:cstheme="majorBidi"/>
          <w:shd w:val="clear" w:color="auto" w:fill="FFFFFF"/>
        </w:rPr>
        <w:t>).</w:t>
      </w:r>
      <w:bookmarkStart w:id="3" w:name="point60"/>
      <w:r w:rsidR="0021619D" w:rsidRPr="00257477">
        <w:rPr>
          <w:rFonts w:asciiTheme="majorBidi" w:hAnsiTheme="majorBidi" w:cstheme="majorBidi"/>
          <w:shd w:val="clear" w:color="auto" w:fill="FFFFFF"/>
        </w:rPr>
        <w:t xml:space="preserve"> </w:t>
      </w:r>
      <w:bookmarkEnd w:id="3"/>
    </w:p>
    <w:p w14:paraId="0F710444" w14:textId="21B431C0" w:rsidR="001140E9" w:rsidRPr="00257477" w:rsidRDefault="001140E9" w:rsidP="00257477">
      <w:pPr>
        <w:shd w:val="clear" w:color="auto" w:fill="FFFFFF"/>
        <w:spacing w:line="276" w:lineRule="auto"/>
        <w:ind w:firstLine="720"/>
        <w:jc w:val="both"/>
        <w:rPr>
          <w:rFonts w:asciiTheme="majorBidi" w:hAnsiTheme="majorBidi" w:cstheme="majorBidi"/>
          <w:shd w:val="clear" w:color="auto" w:fill="FFFFFF"/>
        </w:rPr>
      </w:pPr>
      <w:r w:rsidRPr="00257477">
        <w:rPr>
          <w:rFonts w:asciiTheme="majorBidi" w:hAnsiTheme="majorBidi" w:cstheme="majorBidi"/>
          <w:shd w:val="clear" w:color="auto" w:fill="FFFFFF"/>
        </w:rPr>
        <w:t>Taču Regulas Nr. 2988/95 4. </w:t>
      </w:r>
      <w:r w:rsidR="0021619D" w:rsidRPr="00257477">
        <w:rPr>
          <w:rFonts w:asciiTheme="majorBidi" w:hAnsiTheme="majorBidi" w:cstheme="majorBidi"/>
          <w:shd w:val="clear" w:color="auto" w:fill="FFFFFF"/>
        </w:rPr>
        <w:t xml:space="preserve">pantā lietotais pārkāpuma jēdziens ir nošķirams no </w:t>
      </w:r>
      <w:r w:rsidRPr="00257477">
        <w:rPr>
          <w:rFonts w:asciiTheme="majorBidi" w:hAnsiTheme="majorBidi" w:cstheme="majorBidi"/>
          <w:shd w:val="clear" w:color="auto" w:fill="FFFFFF"/>
        </w:rPr>
        <w:t>5.</w:t>
      </w:r>
      <w:r w:rsidR="0021619D" w:rsidRPr="00257477">
        <w:rPr>
          <w:rFonts w:asciiTheme="majorBidi" w:hAnsiTheme="majorBidi" w:cstheme="majorBidi"/>
          <w:shd w:val="clear" w:color="auto" w:fill="FFFFFF"/>
        </w:rPr>
        <w:t> </w:t>
      </w:r>
      <w:r w:rsidRPr="00257477">
        <w:rPr>
          <w:rFonts w:asciiTheme="majorBidi" w:hAnsiTheme="majorBidi" w:cstheme="majorBidi"/>
          <w:shd w:val="clear" w:color="auto" w:fill="FFFFFF"/>
        </w:rPr>
        <w:t>pantā</w:t>
      </w:r>
      <w:r w:rsidR="0021619D" w:rsidRPr="00257477">
        <w:rPr>
          <w:rFonts w:asciiTheme="majorBidi" w:hAnsiTheme="majorBidi" w:cstheme="majorBidi"/>
          <w:shd w:val="clear" w:color="auto" w:fill="FFFFFF"/>
        </w:rPr>
        <w:t xml:space="preserve"> lietotā pārkāpuma jēdziena, kas tiek izdarīts tīši vai aiz nolaidības un par ko ir paredzēti administratīvi sodi</w:t>
      </w:r>
      <w:r w:rsidR="00BD38FE" w:rsidRPr="00257477">
        <w:rPr>
          <w:rFonts w:asciiTheme="majorBidi" w:hAnsiTheme="majorBidi" w:cstheme="majorBidi"/>
          <w:shd w:val="clear" w:color="auto" w:fill="FFFFFF"/>
        </w:rPr>
        <w:t xml:space="preserve">. </w:t>
      </w:r>
      <w:r w:rsidRPr="00257477">
        <w:rPr>
          <w:rFonts w:asciiTheme="majorBidi" w:hAnsiTheme="majorBidi" w:cstheme="majorBidi"/>
          <w:shd w:val="clear" w:color="auto" w:fill="FFFFFF"/>
        </w:rPr>
        <w:t xml:space="preserve">Līdzīgi arī </w:t>
      </w:r>
      <w:r w:rsidR="0021619D" w:rsidRPr="00257477">
        <w:rPr>
          <w:rFonts w:asciiTheme="majorBidi" w:hAnsiTheme="majorBidi" w:cstheme="majorBidi"/>
          <w:shd w:val="clear" w:color="auto" w:fill="FFFFFF"/>
        </w:rPr>
        <w:t xml:space="preserve">Komisijas 2006. gada 8. decembra </w:t>
      </w:r>
      <w:r w:rsidRPr="00257477">
        <w:rPr>
          <w:rFonts w:asciiTheme="majorBidi" w:hAnsiTheme="majorBidi" w:cstheme="majorBidi"/>
          <w:shd w:val="clear" w:color="auto" w:fill="FFFFFF"/>
        </w:rPr>
        <w:t>Regulas Nr.</w:t>
      </w:r>
      <w:r w:rsidR="0021619D" w:rsidRPr="00257477">
        <w:rPr>
          <w:rFonts w:asciiTheme="majorBidi" w:hAnsiTheme="majorBidi" w:cstheme="majorBidi"/>
          <w:shd w:val="clear" w:color="auto" w:fill="FFFFFF"/>
        </w:rPr>
        <w:t> </w:t>
      </w:r>
      <w:r w:rsidRPr="00257477">
        <w:rPr>
          <w:rFonts w:asciiTheme="majorBidi" w:hAnsiTheme="majorBidi" w:cstheme="majorBidi"/>
          <w:shd w:val="clear" w:color="auto" w:fill="FFFFFF"/>
        </w:rPr>
        <w:t>1828/2006</w:t>
      </w:r>
      <w:r w:rsidR="0021619D" w:rsidRPr="00257477">
        <w:rPr>
          <w:rFonts w:asciiTheme="majorBidi" w:hAnsiTheme="majorBidi" w:cstheme="majorBidi"/>
          <w:shd w:val="clear" w:color="auto" w:fill="FFFFFF"/>
        </w:rPr>
        <w:t xml:space="preserve">, kas paredz noteikumus par to, kā īstenot Padomes Regulu (EK) Nr. 1083/2006, ar ko paredz vispārīgus noteikumus par Eiropas Reģionālās attīstības fondu, Eiropas Sociālo fondu un Kohēzijas fondu, un Eiropas Parlamenta un Padomes Regulu (EK) Nr. 1080/2006 par Eiropas Reģionālās attīstības fondu, </w:t>
      </w:r>
      <w:r w:rsidRPr="00257477">
        <w:rPr>
          <w:rFonts w:asciiTheme="majorBidi" w:hAnsiTheme="majorBidi" w:cstheme="majorBidi"/>
          <w:shd w:val="clear" w:color="auto" w:fill="FFFFFF"/>
        </w:rPr>
        <w:t xml:space="preserve">kas </w:t>
      </w:r>
      <w:r w:rsidR="0021619D" w:rsidRPr="00257477">
        <w:rPr>
          <w:rFonts w:asciiTheme="majorBidi" w:hAnsiTheme="majorBidi" w:cstheme="majorBidi"/>
          <w:shd w:val="clear" w:color="auto" w:fill="FFFFFF"/>
        </w:rPr>
        <w:t xml:space="preserve">līdz ar to </w:t>
      </w:r>
      <w:r w:rsidRPr="00257477">
        <w:rPr>
          <w:rFonts w:asciiTheme="majorBidi" w:hAnsiTheme="majorBidi" w:cstheme="majorBidi"/>
          <w:shd w:val="clear" w:color="auto" w:fill="FFFFFF"/>
        </w:rPr>
        <w:t>nosaka Regulas Nr</w:t>
      </w:r>
      <w:r w:rsidR="0021619D" w:rsidRPr="00257477">
        <w:rPr>
          <w:rFonts w:asciiTheme="majorBidi" w:hAnsiTheme="majorBidi" w:cstheme="majorBidi"/>
          <w:shd w:val="clear" w:color="auto" w:fill="FFFFFF"/>
        </w:rPr>
        <w:t>. </w:t>
      </w:r>
      <w:r w:rsidRPr="00257477">
        <w:rPr>
          <w:rFonts w:asciiTheme="majorBidi" w:hAnsiTheme="majorBidi" w:cstheme="majorBidi"/>
          <w:shd w:val="clear" w:color="auto" w:fill="FFFFFF"/>
        </w:rPr>
        <w:t>1083/2006 īstenošanas kārtību un tādējādi ar to veido vienu veselumu</w:t>
      </w:r>
      <w:r w:rsidR="0021619D" w:rsidRPr="00257477">
        <w:rPr>
          <w:rFonts w:asciiTheme="majorBidi" w:hAnsiTheme="majorBidi" w:cstheme="majorBidi"/>
          <w:shd w:val="clear" w:color="auto" w:fill="FFFFFF"/>
        </w:rPr>
        <w:t xml:space="preserve">, </w:t>
      </w:r>
      <w:r w:rsidRPr="00257477">
        <w:rPr>
          <w:rFonts w:asciiTheme="majorBidi" w:hAnsiTheme="majorBidi" w:cstheme="majorBidi"/>
          <w:shd w:val="clear" w:color="auto" w:fill="FFFFFF"/>
        </w:rPr>
        <w:t>28.</w:t>
      </w:r>
      <w:r w:rsidR="0021619D" w:rsidRPr="00257477">
        <w:rPr>
          <w:rFonts w:asciiTheme="majorBidi" w:hAnsiTheme="majorBidi" w:cstheme="majorBidi"/>
          <w:shd w:val="clear" w:color="auto" w:fill="FFFFFF"/>
        </w:rPr>
        <w:t> </w:t>
      </w:r>
      <w:r w:rsidRPr="00257477">
        <w:rPr>
          <w:rFonts w:asciiTheme="majorBidi" w:hAnsiTheme="majorBidi" w:cstheme="majorBidi"/>
          <w:shd w:val="clear" w:color="auto" w:fill="FFFFFF"/>
        </w:rPr>
        <w:t>panta 1.</w:t>
      </w:r>
      <w:r w:rsidR="0021619D" w:rsidRPr="00257477">
        <w:rPr>
          <w:rFonts w:asciiTheme="majorBidi" w:hAnsiTheme="majorBidi" w:cstheme="majorBidi"/>
          <w:shd w:val="clear" w:color="auto" w:fill="FFFFFF"/>
        </w:rPr>
        <w:t> </w:t>
      </w:r>
      <w:r w:rsidRPr="00257477">
        <w:rPr>
          <w:rFonts w:asciiTheme="majorBidi" w:hAnsiTheme="majorBidi" w:cstheme="majorBidi"/>
          <w:shd w:val="clear" w:color="auto" w:fill="FFFFFF"/>
        </w:rPr>
        <w:t xml:space="preserve">punkta </w:t>
      </w:r>
      <w:r w:rsidR="00BD38FE" w:rsidRPr="00257477">
        <w:rPr>
          <w:rFonts w:asciiTheme="majorBidi" w:hAnsiTheme="majorBidi" w:cstheme="majorBidi"/>
          <w:shd w:val="clear" w:color="auto" w:fill="FFFFFF"/>
        </w:rPr>
        <w:t>„</w:t>
      </w:r>
      <w:r w:rsidRPr="00257477">
        <w:rPr>
          <w:rFonts w:asciiTheme="majorBidi" w:hAnsiTheme="majorBidi" w:cstheme="majorBidi"/>
          <w:shd w:val="clear" w:color="auto" w:fill="FFFFFF"/>
        </w:rPr>
        <w:t>e</w:t>
      </w:r>
      <w:r w:rsidR="00BD38FE" w:rsidRPr="00257477">
        <w:rPr>
          <w:rFonts w:asciiTheme="majorBidi" w:hAnsiTheme="majorBidi" w:cstheme="majorBidi"/>
          <w:shd w:val="clear" w:color="auto" w:fill="FFFFFF"/>
        </w:rPr>
        <w:t>”</w:t>
      </w:r>
      <w:r w:rsidRPr="00257477">
        <w:rPr>
          <w:rFonts w:asciiTheme="majorBidi" w:hAnsiTheme="majorBidi" w:cstheme="majorBidi"/>
          <w:shd w:val="clear" w:color="auto" w:fill="FFFFFF"/>
        </w:rPr>
        <w:t> apakšpunktā</w:t>
      </w:r>
      <w:r w:rsidR="00BD38FE" w:rsidRPr="00257477">
        <w:rPr>
          <w:rFonts w:asciiTheme="majorBidi" w:hAnsiTheme="majorBidi" w:cstheme="majorBidi"/>
          <w:shd w:val="clear" w:color="auto" w:fill="FFFFFF"/>
        </w:rPr>
        <w:t xml:space="preserve"> </w:t>
      </w:r>
      <w:r w:rsidRPr="00257477">
        <w:rPr>
          <w:rFonts w:asciiTheme="majorBidi" w:hAnsiTheme="majorBidi" w:cstheme="majorBidi"/>
          <w:shd w:val="clear" w:color="auto" w:fill="FFFFFF"/>
        </w:rPr>
        <w:t>kopsakarā ar 27.</w:t>
      </w:r>
      <w:r w:rsidR="00BD38FE" w:rsidRPr="00257477">
        <w:rPr>
          <w:rFonts w:asciiTheme="majorBidi" w:hAnsiTheme="majorBidi" w:cstheme="majorBidi"/>
          <w:shd w:val="clear" w:color="auto" w:fill="FFFFFF"/>
        </w:rPr>
        <w:t> </w:t>
      </w:r>
      <w:r w:rsidRPr="00257477">
        <w:rPr>
          <w:rFonts w:asciiTheme="majorBidi" w:hAnsiTheme="majorBidi" w:cstheme="majorBidi"/>
          <w:shd w:val="clear" w:color="auto" w:fill="FFFFFF"/>
        </w:rPr>
        <w:t xml:space="preserve">panta </w:t>
      </w:r>
      <w:r w:rsidR="00BD38FE" w:rsidRPr="00257477">
        <w:rPr>
          <w:rFonts w:asciiTheme="majorBidi" w:hAnsiTheme="majorBidi" w:cstheme="majorBidi"/>
          <w:shd w:val="clear" w:color="auto" w:fill="FFFFFF"/>
        </w:rPr>
        <w:t>„</w:t>
      </w:r>
      <w:r w:rsidRPr="00257477">
        <w:rPr>
          <w:rFonts w:asciiTheme="majorBidi" w:hAnsiTheme="majorBidi" w:cstheme="majorBidi"/>
          <w:shd w:val="clear" w:color="auto" w:fill="FFFFFF"/>
        </w:rPr>
        <w:t>c</w:t>
      </w:r>
      <w:r w:rsidR="00BD38FE" w:rsidRPr="00257477">
        <w:rPr>
          <w:rFonts w:asciiTheme="majorBidi" w:hAnsiTheme="majorBidi" w:cstheme="majorBidi"/>
          <w:shd w:val="clear" w:color="auto" w:fill="FFFFFF"/>
        </w:rPr>
        <w:t>”</w:t>
      </w:r>
      <w:r w:rsidRPr="00257477">
        <w:rPr>
          <w:rFonts w:asciiTheme="majorBidi" w:hAnsiTheme="majorBidi" w:cstheme="majorBidi"/>
          <w:shd w:val="clear" w:color="auto" w:fill="FFFFFF"/>
        </w:rPr>
        <w:t> punktu</w:t>
      </w:r>
      <w:r w:rsidR="00BD38FE" w:rsidRPr="00257477">
        <w:rPr>
          <w:rFonts w:asciiTheme="majorBidi" w:hAnsiTheme="majorBidi" w:cstheme="majorBidi"/>
          <w:shd w:val="clear" w:color="auto" w:fill="FFFFFF"/>
        </w:rPr>
        <w:t xml:space="preserve"> </w:t>
      </w:r>
      <w:r w:rsidRPr="00257477">
        <w:rPr>
          <w:rFonts w:asciiTheme="majorBidi" w:hAnsiTheme="majorBidi" w:cstheme="majorBidi"/>
          <w:shd w:val="clear" w:color="auto" w:fill="FFFFFF"/>
        </w:rPr>
        <w:t>ir uzsvērts, ka neatbilstība, kas izraisa aizdomas par krāpšanu, izriet no tīšas uzvedības</w:t>
      </w:r>
      <w:r w:rsidR="00BD38FE" w:rsidRPr="00257477">
        <w:rPr>
          <w:rFonts w:asciiTheme="majorBidi" w:hAnsiTheme="majorBidi" w:cstheme="majorBidi"/>
          <w:shd w:val="clear" w:color="auto" w:fill="FFFFFF"/>
        </w:rPr>
        <w:t xml:space="preserve"> jeb rīcības</w:t>
      </w:r>
      <w:r w:rsidR="00EB6EF3" w:rsidRPr="00257477">
        <w:rPr>
          <w:rFonts w:asciiTheme="majorBidi" w:hAnsiTheme="majorBidi" w:cstheme="majorBidi"/>
          <w:shd w:val="clear" w:color="auto" w:fill="FFFFFF"/>
        </w:rPr>
        <w:t xml:space="preserve"> (sk. </w:t>
      </w:r>
      <w:r w:rsidR="00EB6EF3" w:rsidRPr="00257477">
        <w:rPr>
          <w:rFonts w:asciiTheme="majorBidi" w:hAnsiTheme="majorBidi" w:cstheme="majorBidi"/>
          <w:i/>
          <w:iCs/>
          <w:shd w:val="clear" w:color="auto" w:fill="FFFFFF"/>
        </w:rPr>
        <w:t>Eiropas Savienības Tiesas 2020. gada 1. oktobra sprieduma lietā „</w:t>
      </w:r>
      <w:proofErr w:type="spellStart"/>
      <w:r w:rsidR="00EB6EF3" w:rsidRPr="00257477">
        <w:rPr>
          <w:rFonts w:asciiTheme="majorBidi" w:hAnsiTheme="majorBidi" w:cstheme="majorBidi"/>
          <w:i/>
          <w:iCs/>
          <w:shd w:val="clear" w:color="auto" w:fill="FFFFFF"/>
        </w:rPr>
        <w:t>Elme</w:t>
      </w:r>
      <w:proofErr w:type="spellEnd"/>
      <w:r w:rsidR="00EB6EF3" w:rsidRPr="00257477">
        <w:rPr>
          <w:rFonts w:asciiTheme="majorBidi" w:hAnsiTheme="majorBidi" w:cstheme="majorBidi"/>
          <w:i/>
          <w:iCs/>
          <w:shd w:val="clear" w:color="auto" w:fill="FFFFFF"/>
        </w:rPr>
        <w:t xml:space="preserve"> </w:t>
      </w:r>
      <w:proofErr w:type="spellStart"/>
      <w:r w:rsidR="00EB6EF3" w:rsidRPr="00257477">
        <w:rPr>
          <w:rFonts w:asciiTheme="majorBidi" w:hAnsiTheme="majorBidi" w:cstheme="majorBidi"/>
          <w:i/>
          <w:iCs/>
          <w:shd w:val="clear" w:color="auto" w:fill="FFFFFF"/>
        </w:rPr>
        <w:t>Messer</w:t>
      </w:r>
      <w:proofErr w:type="spellEnd"/>
      <w:r w:rsidR="00EB6EF3" w:rsidRPr="00257477">
        <w:rPr>
          <w:rFonts w:asciiTheme="majorBidi" w:hAnsiTheme="majorBidi" w:cstheme="majorBidi"/>
          <w:i/>
          <w:iCs/>
          <w:shd w:val="clear" w:color="auto" w:fill="FFFFFF"/>
        </w:rPr>
        <w:t xml:space="preserve"> Metalurgs”, C-743/18, ECLI:EU:C:2020:767, 60.–61.</w:t>
      </w:r>
      <w:r w:rsidR="00FB206D" w:rsidRPr="00257477">
        <w:rPr>
          <w:rFonts w:asciiTheme="majorBidi" w:hAnsiTheme="majorBidi" w:cstheme="majorBidi"/>
          <w:i/>
          <w:iCs/>
          <w:shd w:val="clear" w:color="auto" w:fill="FFFFFF"/>
        </w:rPr>
        <w:t> </w:t>
      </w:r>
      <w:r w:rsidR="00EB6EF3" w:rsidRPr="00257477">
        <w:rPr>
          <w:rFonts w:asciiTheme="majorBidi" w:hAnsiTheme="majorBidi" w:cstheme="majorBidi"/>
          <w:i/>
          <w:iCs/>
          <w:shd w:val="clear" w:color="auto" w:fill="FFFFFF"/>
        </w:rPr>
        <w:t>punktu</w:t>
      </w:r>
      <w:r w:rsidR="00EB6EF3" w:rsidRPr="00257477">
        <w:rPr>
          <w:rFonts w:asciiTheme="majorBidi" w:hAnsiTheme="majorBidi" w:cstheme="majorBidi"/>
          <w:shd w:val="clear" w:color="auto" w:fill="FFFFFF"/>
        </w:rPr>
        <w:t>)</w:t>
      </w:r>
      <w:r w:rsidRPr="00257477">
        <w:rPr>
          <w:rFonts w:asciiTheme="majorBidi" w:hAnsiTheme="majorBidi" w:cstheme="majorBidi"/>
          <w:shd w:val="clear" w:color="auto" w:fill="FFFFFF"/>
        </w:rPr>
        <w:t>.</w:t>
      </w:r>
      <w:r w:rsidR="00EB6EF3" w:rsidRPr="00257477">
        <w:rPr>
          <w:rFonts w:asciiTheme="majorBidi" w:hAnsiTheme="majorBidi" w:cstheme="majorBidi"/>
          <w:shd w:val="clear" w:color="auto" w:fill="FFFFFF"/>
        </w:rPr>
        <w:t xml:space="preserve"> </w:t>
      </w:r>
      <w:r w:rsidR="00BD38FE" w:rsidRPr="00257477">
        <w:rPr>
          <w:rFonts w:asciiTheme="majorBidi" w:hAnsiTheme="majorBidi" w:cstheme="majorBidi"/>
          <w:shd w:val="clear" w:color="auto" w:fill="FFFFFF"/>
        </w:rPr>
        <w:t>Tādējādi, i</w:t>
      </w:r>
      <w:r w:rsidRPr="00257477">
        <w:rPr>
          <w:rFonts w:asciiTheme="majorBidi" w:hAnsiTheme="majorBidi" w:cstheme="majorBidi"/>
          <w:shd w:val="clear" w:color="auto" w:fill="FFFFFF"/>
        </w:rPr>
        <w:t>evērojot gan šo tiesību aktos veikto nošķiršanu, gan to, ka neatbilstība</w:t>
      </w:r>
      <w:r w:rsidR="00BD38FE" w:rsidRPr="00257477">
        <w:rPr>
          <w:rFonts w:asciiTheme="majorBidi" w:hAnsiTheme="majorBidi" w:cstheme="majorBidi"/>
          <w:shd w:val="clear" w:color="auto" w:fill="FFFFFF"/>
        </w:rPr>
        <w:t xml:space="preserve">s </w:t>
      </w:r>
      <w:r w:rsidRPr="00257477">
        <w:rPr>
          <w:rFonts w:asciiTheme="majorBidi" w:hAnsiTheme="majorBidi" w:cstheme="majorBidi"/>
          <w:shd w:val="clear" w:color="auto" w:fill="FFFFFF"/>
        </w:rPr>
        <w:t xml:space="preserve">definīcijā, kas </w:t>
      </w:r>
      <w:r w:rsidR="00BD38FE" w:rsidRPr="00257477">
        <w:rPr>
          <w:rFonts w:asciiTheme="majorBidi" w:hAnsiTheme="majorBidi" w:cstheme="majorBidi"/>
          <w:shd w:val="clear" w:color="auto" w:fill="FFFFFF"/>
        </w:rPr>
        <w:t xml:space="preserve">iekļauta </w:t>
      </w:r>
      <w:r w:rsidRPr="00257477">
        <w:rPr>
          <w:rFonts w:asciiTheme="majorBidi" w:hAnsiTheme="majorBidi" w:cstheme="majorBidi"/>
          <w:shd w:val="clear" w:color="auto" w:fill="FFFFFF"/>
        </w:rPr>
        <w:t>Regulas Nr.</w:t>
      </w:r>
      <w:r w:rsidR="00BD38FE" w:rsidRPr="00257477">
        <w:rPr>
          <w:rFonts w:asciiTheme="majorBidi" w:hAnsiTheme="majorBidi" w:cstheme="majorBidi"/>
          <w:shd w:val="clear" w:color="auto" w:fill="FFFFFF"/>
        </w:rPr>
        <w:t> </w:t>
      </w:r>
      <w:r w:rsidRPr="00257477">
        <w:rPr>
          <w:rFonts w:asciiTheme="majorBidi" w:hAnsiTheme="majorBidi" w:cstheme="majorBidi"/>
          <w:shd w:val="clear" w:color="auto" w:fill="FFFFFF"/>
        </w:rPr>
        <w:t>1083/2006 2.</w:t>
      </w:r>
      <w:r w:rsidR="00BD38FE" w:rsidRPr="00257477">
        <w:rPr>
          <w:rFonts w:asciiTheme="majorBidi" w:hAnsiTheme="majorBidi" w:cstheme="majorBidi"/>
          <w:shd w:val="clear" w:color="auto" w:fill="FFFFFF"/>
        </w:rPr>
        <w:t> </w:t>
      </w:r>
      <w:r w:rsidRPr="00257477">
        <w:rPr>
          <w:rFonts w:asciiTheme="majorBidi" w:hAnsiTheme="majorBidi" w:cstheme="majorBidi"/>
          <w:shd w:val="clear" w:color="auto" w:fill="FFFFFF"/>
        </w:rPr>
        <w:t>panta 7.</w:t>
      </w:r>
      <w:r w:rsidR="00BD38FE" w:rsidRPr="00257477">
        <w:rPr>
          <w:rFonts w:asciiTheme="majorBidi" w:hAnsiTheme="majorBidi" w:cstheme="majorBidi"/>
          <w:shd w:val="clear" w:color="auto" w:fill="FFFFFF"/>
        </w:rPr>
        <w:t> </w:t>
      </w:r>
      <w:r w:rsidRPr="00257477">
        <w:rPr>
          <w:rFonts w:asciiTheme="majorBidi" w:hAnsiTheme="majorBidi" w:cstheme="majorBidi"/>
          <w:shd w:val="clear" w:color="auto" w:fill="FFFFFF"/>
        </w:rPr>
        <w:t>punktā, jautājum</w:t>
      </w:r>
      <w:r w:rsidR="00BD38FE" w:rsidRPr="00257477">
        <w:rPr>
          <w:rFonts w:asciiTheme="majorBidi" w:hAnsiTheme="majorBidi" w:cstheme="majorBidi"/>
          <w:shd w:val="clear" w:color="auto" w:fill="FFFFFF"/>
        </w:rPr>
        <w:t>s</w:t>
      </w:r>
      <w:r w:rsidRPr="00257477">
        <w:rPr>
          <w:rFonts w:asciiTheme="majorBidi" w:hAnsiTheme="majorBidi" w:cstheme="majorBidi"/>
          <w:shd w:val="clear" w:color="auto" w:fill="FFFFFF"/>
        </w:rPr>
        <w:t xml:space="preserve"> par attiecīgā saņēmēja rīcības tīšumu vai nolaidīgumu</w:t>
      </w:r>
      <w:r w:rsidR="00BD38FE" w:rsidRPr="00257477">
        <w:rPr>
          <w:rFonts w:asciiTheme="majorBidi" w:hAnsiTheme="majorBidi" w:cstheme="majorBidi"/>
          <w:shd w:val="clear" w:color="auto" w:fill="FFFFFF"/>
        </w:rPr>
        <w:t xml:space="preserve"> nav konkretizēts</w:t>
      </w:r>
      <w:r w:rsidRPr="00257477">
        <w:rPr>
          <w:rFonts w:asciiTheme="majorBidi" w:hAnsiTheme="majorBidi" w:cstheme="majorBidi"/>
          <w:shd w:val="clear" w:color="auto" w:fill="FFFFFF"/>
        </w:rPr>
        <w:t xml:space="preserve">, šādas iezīmes nav uzskatāmas par obligāti nepieciešamām, lai varētu konstatēt neatbilstību </w:t>
      </w:r>
      <w:r w:rsidR="005C007D" w:rsidRPr="00257477">
        <w:rPr>
          <w:rFonts w:asciiTheme="majorBidi" w:hAnsiTheme="majorBidi" w:cstheme="majorBidi"/>
          <w:shd w:val="clear" w:color="auto" w:fill="FFFFFF"/>
        </w:rPr>
        <w:t xml:space="preserve">Regulas Nr. 1083/2006 2. panta 7. punkta </w:t>
      </w:r>
      <w:r w:rsidRPr="00257477">
        <w:rPr>
          <w:rFonts w:asciiTheme="majorBidi" w:hAnsiTheme="majorBidi" w:cstheme="majorBidi"/>
          <w:shd w:val="clear" w:color="auto" w:fill="FFFFFF"/>
        </w:rPr>
        <w:t>izpratnē</w:t>
      </w:r>
      <w:r w:rsidR="00EB6EF3" w:rsidRPr="00257477">
        <w:rPr>
          <w:rFonts w:asciiTheme="majorBidi" w:hAnsiTheme="majorBidi" w:cstheme="majorBidi"/>
          <w:shd w:val="clear" w:color="auto" w:fill="FFFFFF"/>
        </w:rPr>
        <w:t xml:space="preserve"> (sk. </w:t>
      </w:r>
      <w:r w:rsidR="00EB6EF3" w:rsidRPr="00257477">
        <w:rPr>
          <w:rFonts w:asciiTheme="majorBidi" w:hAnsiTheme="majorBidi" w:cstheme="majorBidi"/>
          <w:i/>
          <w:iCs/>
          <w:shd w:val="clear" w:color="auto" w:fill="FFFFFF"/>
        </w:rPr>
        <w:t>turpat</w:t>
      </w:r>
      <w:r w:rsidR="005C007D" w:rsidRPr="00257477">
        <w:rPr>
          <w:rFonts w:asciiTheme="majorBidi" w:hAnsiTheme="majorBidi" w:cstheme="majorBidi"/>
          <w:i/>
          <w:iCs/>
          <w:shd w:val="clear" w:color="auto" w:fill="FFFFFF"/>
        </w:rPr>
        <w:t>,</w:t>
      </w:r>
      <w:r w:rsidR="00EB6EF3" w:rsidRPr="00257477">
        <w:rPr>
          <w:rFonts w:asciiTheme="majorBidi" w:hAnsiTheme="majorBidi" w:cstheme="majorBidi"/>
          <w:i/>
          <w:iCs/>
          <w:shd w:val="clear" w:color="auto" w:fill="FFFFFF"/>
        </w:rPr>
        <w:t xml:space="preserve"> 62.</w:t>
      </w:r>
      <w:r w:rsidR="00FB206D" w:rsidRPr="00257477">
        <w:rPr>
          <w:rFonts w:asciiTheme="majorBidi" w:hAnsiTheme="majorBidi" w:cstheme="majorBidi"/>
          <w:i/>
          <w:iCs/>
          <w:shd w:val="clear" w:color="auto" w:fill="FFFFFF"/>
        </w:rPr>
        <w:t> </w:t>
      </w:r>
      <w:r w:rsidR="00EB6EF3" w:rsidRPr="00257477">
        <w:rPr>
          <w:rFonts w:asciiTheme="majorBidi" w:hAnsiTheme="majorBidi" w:cstheme="majorBidi"/>
          <w:i/>
          <w:iCs/>
          <w:shd w:val="clear" w:color="auto" w:fill="FFFFFF"/>
        </w:rPr>
        <w:t>punktu</w:t>
      </w:r>
      <w:r w:rsidR="00EB6EF3" w:rsidRPr="00257477">
        <w:rPr>
          <w:rFonts w:asciiTheme="majorBidi" w:hAnsiTheme="majorBidi" w:cstheme="majorBidi"/>
          <w:shd w:val="clear" w:color="auto" w:fill="FFFFFF"/>
        </w:rPr>
        <w:t>)</w:t>
      </w:r>
      <w:r w:rsidRPr="00257477">
        <w:rPr>
          <w:rFonts w:asciiTheme="majorBidi" w:hAnsiTheme="majorBidi" w:cstheme="majorBidi"/>
          <w:shd w:val="clear" w:color="auto" w:fill="FFFFFF"/>
        </w:rPr>
        <w:t>.</w:t>
      </w:r>
    </w:p>
    <w:p w14:paraId="2E238EB6" w14:textId="3DFC12A6" w:rsidR="00BD38FE" w:rsidRPr="00257477" w:rsidRDefault="00BD38FE" w:rsidP="00257477">
      <w:pPr>
        <w:shd w:val="clear" w:color="auto" w:fill="FFFFFF"/>
        <w:spacing w:line="276" w:lineRule="auto"/>
        <w:ind w:firstLine="720"/>
        <w:jc w:val="both"/>
        <w:rPr>
          <w:rFonts w:asciiTheme="majorBidi" w:hAnsiTheme="majorBidi" w:cstheme="majorBidi"/>
          <w:shd w:val="clear" w:color="auto" w:fill="FFFFFF"/>
        </w:rPr>
      </w:pPr>
      <w:r w:rsidRPr="00257477">
        <w:rPr>
          <w:rFonts w:asciiTheme="majorBidi" w:hAnsiTheme="majorBidi" w:cstheme="majorBidi"/>
          <w:shd w:val="clear" w:color="auto" w:fill="FFFFFF"/>
        </w:rPr>
        <w:t xml:space="preserve">Līdz ar to Senāts atzīst, ka neatbilstības Regulas Nr. 1083/2006 2. panta 7. punkta izpratnē konstatēšana nav saistāma ar finansējuma saņēmēja vainu attiecīgā projekta mērķu – gan kvalitatīvo, gan kvantitatīvo – nesasniegšanā. </w:t>
      </w:r>
      <w:r w:rsidR="00770010" w:rsidRPr="00257477">
        <w:rPr>
          <w:rFonts w:asciiTheme="majorBidi" w:hAnsiTheme="majorBidi" w:cstheme="majorBidi"/>
          <w:shd w:val="clear" w:color="auto" w:fill="FFFFFF"/>
        </w:rPr>
        <w:t>Tādējādi</w:t>
      </w:r>
      <w:r w:rsidRPr="00257477">
        <w:rPr>
          <w:rFonts w:asciiTheme="majorBidi" w:hAnsiTheme="majorBidi" w:cstheme="majorBidi"/>
          <w:shd w:val="clear" w:color="auto" w:fill="FFFFFF"/>
        </w:rPr>
        <w:t xml:space="preserve"> attiecībā uz </w:t>
      </w:r>
      <w:r w:rsidRPr="00257477">
        <w:rPr>
          <w:rFonts w:asciiTheme="majorBidi" w:hAnsiTheme="majorBidi" w:cstheme="majorBidi"/>
          <w:shd w:val="clear" w:color="auto" w:fill="FFFFFF"/>
        </w:rPr>
        <w:lastRenderedPageBreak/>
        <w:t>neatbilstības konstatēšanu</w:t>
      </w:r>
      <w:r w:rsidR="00770010" w:rsidRPr="00257477">
        <w:rPr>
          <w:rFonts w:asciiTheme="majorBidi" w:hAnsiTheme="majorBidi" w:cstheme="majorBidi"/>
          <w:shd w:val="clear" w:color="auto" w:fill="FFFFFF"/>
        </w:rPr>
        <w:t>,</w:t>
      </w:r>
      <w:r w:rsidRPr="00257477">
        <w:rPr>
          <w:rFonts w:asciiTheme="majorBidi" w:hAnsiTheme="majorBidi" w:cstheme="majorBidi"/>
          <w:shd w:val="clear" w:color="auto" w:fill="FFFFFF"/>
        </w:rPr>
        <w:t xml:space="preserve"> pretēji apelācijas instances tiesas secinātajam</w:t>
      </w:r>
      <w:r w:rsidR="00770010" w:rsidRPr="00257477">
        <w:rPr>
          <w:rFonts w:asciiTheme="majorBidi" w:hAnsiTheme="majorBidi" w:cstheme="majorBidi"/>
          <w:shd w:val="clear" w:color="auto" w:fill="FFFFFF"/>
        </w:rPr>
        <w:t>,</w:t>
      </w:r>
      <w:r w:rsidRPr="00257477">
        <w:rPr>
          <w:rFonts w:asciiTheme="majorBidi" w:hAnsiTheme="majorBidi" w:cstheme="majorBidi"/>
          <w:shd w:val="clear" w:color="auto" w:fill="FFFFFF"/>
        </w:rPr>
        <w:t xml:space="preserve"> nav izvērtējami arī iespējami</w:t>
      </w:r>
      <w:r w:rsidR="005C007D" w:rsidRPr="00257477">
        <w:rPr>
          <w:rFonts w:asciiTheme="majorBidi" w:hAnsiTheme="majorBidi" w:cstheme="majorBidi"/>
          <w:shd w:val="clear" w:color="auto" w:fill="FFFFFF"/>
        </w:rPr>
        <w:t>e atbildētājas</w:t>
      </w:r>
      <w:r w:rsidRPr="00257477">
        <w:rPr>
          <w:rFonts w:asciiTheme="majorBidi" w:hAnsiTheme="majorBidi" w:cstheme="majorBidi"/>
          <w:shd w:val="clear" w:color="auto" w:fill="FFFFFF"/>
        </w:rPr>
        <w:t xml:space="preserve"> attaisnojumi, jo tiem nav </w:t>
      </w:r>
      <w:r w:rsidR="00770010" w:rsidRPr="00257477">
        <w:rPr>
          <w:rFonts w:asciiTheme="majorBidi" w:hAnsiTheme="majorBidi" w:cstheme="majorBidi"/>
          <w:shd w:val="clear" w:color="auto" w:fill="FFFFFF"/>
        </w:rPr>
        <w:t xml:space="preserve">tiesiskas </w:t>
      </w:r>
      <w:r w:rsidRPr="00257477">
        <w:rPr>
          <w:rFonts w:asciiTheme="majorBidi" w:hAnsiTheme="majorBidi" w:cstheme="majorBidi"/>
          <w:shd w:val="clear" w:color="auto" w:fill="FFFFFF"/>
        </w:rPr>
        <w:t xml:space="preserve">nozīmes. </w:t>
      </w:r>
    </w:p>
    <w:p w14:paraId="2506E317" w14:textId="0ABFD035" w:rsidR="00EF0BD5" w:rsidRPr="00257477" w:rsidRDefault="0093245C" w:rsidP="00257477">
      <w:pPr>
        <w:shd w:val="clear" w:color="auto" w:fill="FFFFFF"/>
        <w:spacing w:line="276" w:lineRule="auto"/>
        <w:ind w:firstLine="720"/>
        <w:jc w:val="both"/>
        <w:rPr>
          <w:rFonts w:asciiTheme="majorBidi" w:hAnsiTheme="majorBidi" w:cstheme="majorBidi"/>
          <w:shd w:val="clear" w:color="auto" w:fill="FFFFFF"/>
        </w:rPr>
      </w:pPr>
      <w:r w:rsidRPr="00257477">
        <w:rPr>
          <w:rFonts w:asciiTheme="majorBidi" w:hAnsiTheme="majorBidi" w:cstheme="majorBidi"/>
          <w:shd w:val="clear" w:color="auto" w:fill="FFFFFF"/>
        </w:rPr>
        <w:t>[</w:t>
      </w:r>
      <w:r w:rsidR="00D122A4" w:rsidRPr="00257477">
        <w:rPr>
          <w:rFonts w:asciiTheme="majorBidi" w:hAnsiTheme="majorBidi" w:cstheme="majorBidi"/>
          <w:shd w:val="clear" w:color="auto" w:fill="FFFFFF"/>
        </w:rPr>
        <w:t>7</w:t>
      </w:r>
      <w:r w:rsidRPr="00257477">
        <w:rPr>
          <w:rFonts w:asciiTheme="majorBidi" w:hAnsiTheme="majorBidi" w:cstheme="majorBidi"/>
          <w:shd w:val="clear" w:color="auto" w:fill="FFFFFF"/>
        </w:rPr>
        <w:t>.2.3]</w:t>
      </w:r>
      <w:r w:rsidR="0092413D" w:rsidRPr="00257477">
        <w:rPr>
          <w:rFonts w:asciiTheme="majorBidi" w:hAnsiTheme="majorBidi" w:cstheme="majorBidi"/>
          <w:shd w:val="clear" w:color="auto" w:fill="FFFFFF"/>
        </w:rPr>
        <w:t> </w:t>
      </w:r>
      <w:r w:rsidR="00EF0BD5" w:rsidRPr="00257477">
        <w:rPr>
          <w:rFonts w:asciiTheme="majorBidi" w:hAnsiTheme="majorBidi" w:cstheme="majorBidi"/>
          <w:shd w:val="clear" w:color="auto" w:fill="FFFFFF"/>
        </w:rPr>
        <w:t>Visbeidzot</w:t>
      </w:r>
      <w:r w:rsidR="00DA02E0" w:rsidRPr="00257477">
        <w:rPr>
          <w:rFonts w:asciiTheme="majorBidi" w:hAnsiTheme="majorBidi" w:cstheme="majorBidi"/>
          <w:shd w:val="clear" w:color="auto" w:fill="FFFFFF"/>
        </w:rPr>
        <w:t>,</w:t>
      </w:r>
      <w:r w:rsidR="00EF0BD5" w:rsidRPr="00257477">
        <w:rPr>
          <w:rFonts w:asciiTheme="majorBidi" w:hAnsiTheme="majorBidi" w:cstheme="majorBidi"/>
          <w:shd w:val="clear" w:color="auto" w:fill="FFFFFF"/>
        </w:rPr>
        <w:t xml:space="preserve"> attiecībā uz „neatbilstības” dēļ Eiropas Savienības budžetam nodarītā kaitējuma esības kritēriju ir nepieciešams norādīt, ka Eiropas Savienības Tiesa ir atzinusi, ka konkrētas finansiālas ietekmes esība uz Eiropas Savienības vispārējo budžetu nav jāpierāda. Proti, pietiek ar to, ka nav izslēgta iespējama ietekme uz attiecīgā fonda budžetu (</w:t>
      </w:r>
      <w:r w:rsidR="00B21810" w:rsidRPr="00257477">
        <w:rPr>
          <w:rFonts w:asciiTheme="majorBidi" w:hAnsiTheme="majorBidi" w:cstheme="majorBidi"/>
          <w:shd w:val="clear" w:color="auto" w:fill="FFFFFF"/>
        </w:rPr>
        <w:t xml:space="preserve">sk. </w:t>
      </w:r>
      <w:r w:rsidR="00B21810" w:rsidRPr="00257477">
        <w:rPr>
          <w:rFonts w:asciiTheme="majorBidi" w:hAnsiTheme="majorBidi" w:cstheme="majorBidi"/>
          <w:i/>
          <w:iCs/>
          <w:shd w:val="clear" w:color="auto" w:fill="FFFFFF"/>
        </w:rPr>
        <w:t>Eiropas Savienības Tiesas 2020. gada 1. oktobra sprieduma lietā „</w:t>
      </w:r>
      <w:proofErr w:type="spellStart"/>
      <w:r w:rsidR="00B21810" w:rsidRPr="00257477">
        <w:rPr>
          <w:rFonts w:asciiTheme="majorBidi" w:hAnsiTheme="majorBidi" w:cstheme="majorBidi"/>
          <w:i/>
          <w:iCs/>
          <w:shd w:val="clear" w:color="auto" w:fill="FFFFFF"/>
        </w:rPr>
        <w:t>Elme</w:t>
      </w:r>
      <w:proofErr w:type="spellEnd"/>
      <w:r w:rsidR="00B21810" w:rsidRPr="00257477">
        <w:rPr>
          <w:rFonts w:asciiTheme="majorBidi" w:hAnsiTheme="majorBidi" w:cstheme="majorBidi"/>
          <w:i/>
          <w:iCs/>
          <w:shd w:val="clear" w:color="auto" w:fill="FFFFFF"/>
        </w:rPr>
        <w:t xml:space="preserve"> </w:t>
      </w:r>
      <w:proofErr w:type="spellStart"/>
      <w:r w:rsidR="00B21810" w:rsidRPr="00257477">
        <w:rPr>
          <w:rFonts w:asciiTheme="majorBidi" w:hAnsiTheme="majorBidi" w:cstheme="majorBidi"/>
          <w:i/>
          <w:iCs/>
          <w:shd w:val="clear" w:color="auto" w:fill="FFFFFF"/>
        </w:rPr>
        <w:t>Messer</w:t>
      </w:r>
      <w:proofErr w:type="spellEnd"/>
      <w:r w:rsidR="00B21810" w:rsidRPr="00257477">
        <w:rPr>
          <w:rFonts w:asciiTheme="majorBidi" w:hAnsiTheme="majorBidi" w:cstheme="majorBidi"/>
          <w:i/>
          <w:iCs/>
          <w:shd w:val="clear" w:color="auto" w:fill="FFFFFF"/>
        </w:rPr>
        <w:t xml:space="preserve"> Metalurgs”, C-743/18, ECLI:EU:C:2020:767, 66.–68. punktu</w:t>
      </w:r>
      <w:r w:rsidR="00EF0BD5" w:rsidRPr="00257477">
        <w:rPr>
          <w:rFonts w:asciiTheme="majorBidi" w:hAnsiTheme="majorBidi" w:cstheme="majorBidi"/>
          <w:shd w:val="clear" w:color="auto" w:fill="FFFFFF"/>
        </w:rPr>
        <w:t>).</w:t>
      </w:r>
    </w:p>
    <w:p w14:paraId="00160A11" w14:textId="7B730052" w:rsidR="00B21810" w:rsidRPr="00257477" w:rsidRDefault="00B21810" w:rsidP="00257477">
      <w:pPr>
        <w:shd w:val="clear" w:color="auto" w:fill="FFFFFF"/>
        <w:spacing w:line="276" w:lineRule="auto"/>
        <w:ind w:firstLine="720"/>
        <w:jc w:val="both"/>
        <w:rPr>
          <w:rFonts w:asciiTheme="majorBidi" w:hAnsiTheme="majorBidi" w:cstheme="majorBidi"/>
          <w:shd w:val="clear" w:color="auto" w:fill="FFFFFF"/>
        </w:rPr>
      </w:pPr>
      <w:r w:rsidRPr="00257477">
        <w:rPr>
          <w:rFonts w:asciiTheme="majorBidi" w:hAnsiTheme="majorBidi" w:cstheme="majorBidi"/>
          <w:shd w:val="clear" w:color="auto" w:fill="FFFFFF"/>
        </w:rPr>
        <w:t xml:space="preserve">Tas nozīmē, ka gadījumā, ja atbalsta saņēmējs nav īstenojis tam prasīto darbības minimālo apjomu, saņemtais finansējums, ko Eiropas Savienība ir </w:t>
      </w:r>
      <w:r w:rsidR="00EF0BD5" w:rsidRPr="00257477">
        <w:rPr>
          <w:rFonts w:asciiTheme="majorBidi" w:hAnsiTheme="majorBidi" w:cstheme="majorBidi"/>
          <w:shd w:val="clear" w:color="auto" w:fill="FFFFFF"/>
        </w:rPr>
        <w:t xml:space="preserve"> piešķīrusi kā </w:t>
      </w:r>
      <w:proofErr w:type="spellStart"/>
      <w:r w:rsidR="00EF0BD5" w:rsidRPr="00257477">
        <w:rPr>
          <w:rFonts w:asciiTheme="majorBidi" w:hAnsiTheme="majorBidi" w:cstheme="majorBidi"/>
          <w:shd w:val="clear" w:color="auto" w:fill="FFFFFF"/>
        </w:rPr>
        <w:t>pretizpildījumu</w:t>
      </w:r>
      <w:proofErr w:type="spellEnd"/>
      <w:r w:rsidR="00EF0BD5" w:rsidRPr="00257477">
        <w:rPr>
          <w:rFonts w:asciiTheme="majorBidi" w:hAnsiTheme="majorBidi" w:cstheme="majorBidi"/>
          <w:shd w:val="clear" w:color="auto" w:fill="FFFFFF"/>
        </w:rPr>
        <w:t xml:space="preserve"> par šā minimālā apjoma </w:t>
      </w:r>
      <w:r w:rsidR="005C007D" w:rsidRPr="00257477">
        <w:rPr>
          <w:rFonts w:asciiTheme="majorBidi" w:hAnsiTheme="majorBidi" w:cstheme="majorBidi"/>
          <w:shd w:val="clear" w:color="auto" w:fill="FFFFFF"/>
        </w:rPr>
        <w:t>īstenošanu</w:t>
      </w:r>
      <w:r w:rsidR="00EF0BD5" w:rsidRPr="00257477">
        <w:rPr>
          <w:rFonts w:asciiTheme="majorBidi" w:hAnsiTheme="majorBidi" w:cstheme="majorBidi"/>
          <w:shd w:val="clear" w:color="auto" w:fill="FFFFFF"/>
        </w:rPr>
        <w:t xml:space="preserve">, </w:t>
      </w:r>
      <w:r w:rsidRPr="00257477">
        <w:rPr>
          <w:rFonts w:asciiTheme="majorBidi" w:hAnsiTheme="majorBidi" w:cstheme="majorBidi"/>
          <w:shd w:val="clear" w:color="auto" w:fill="FFFFFF"/>
        </w:rPr>
        <w:t>k</w:t>
      </w:r>
      <w:r w:rsidR="005C007D" w:rsidRPr="00257477">
        <w:rPr>
          <w:rFonts w:asciiTheme="majorBidi" w:hAnsiTheme="majorBidi" w:cstheme="majorBidi"/>
          <w:shd w:val="clear" w:color="auto" w:fill="FFFFFF"/>
        </w:rPr>
        <w:t xml:space="preserve">o </w:t>
      </w:r>
      <w:r w:rsidRPr="00257477">
        <w:rPr>
          <w:rFonts w:asciiTheme="majorBidi" w:hAnsiTheme="majorBidi" w:cstheme="majorBidi"/>
          <w:shd w:val="clear" w:color="auto" w:fill="FFFFFF"/>
        </w:rPr>
        <w:t xml:space="preserve">pats atbalsta saņēmējs </w:t>
      </w:r>
      <w:r w:rsidR="005C007D" w:rsidRPr="00257477">
        <w:rPr>
          <w:rFonts w:asciiTheme="majorBidi" w:hAnsiTheme="majorBidi" w:cstheme="majorBidi"/>
          <w:shd w:val="clear" w:color="auto" w:fill="FFFFFF"/>
        </w:rPr>
        <w:t>bija</w:t>
      </w:r>
      <w:r w:rsidRPr="00257477">
        <w:rPr>
          <w:rFonts w:asciiTheme="majorBidi" w:hAnsiTheme="majorBidi" w:cstheme="majorBidi"/>
          <w:shd w:val="clear" w:color="auto" w:fill="FFFFFF"/>
        </w:rPr>
        <w:t xml:space="preserve"> uzņēmies, </w:t>
      </w:r>
      <w:r w:rsidR="00EF0BD5" w:rsidRPr="00257477">
        <w:rPr>
          <w:rFonts w:asciiTheme="majorBidi" w:hAnsiTheme="majorBidi" w:cstheme="majorBidi"/>
          <w:shd w:val="clear" w:color="auto" w:fill="FFFFFF"/>
        </w:rPr>
        <w:t xml:space="preserve">katrā ziņā vismaz daļēji </w:t>
      </w:r>
      <w:r w:rsidRPr="00257477">
        <w:rPr>
          <w:rFonts w:asciiTheme="majorBidi" w:hAnsiTheme="majorBidi" w:cstheme="majorBidi"/>
          <w:shd w:val="clear" w:color="auto" w:fill="FFFFFF"/>
        </w:rPr>
        <w:t xml:space="preserve">var tikt </w:t>
      </w:r>
      <w:r w:rsidR="00DA02E0" w:rsidRPr="00257477">
        <w:rPr>
          <w:rFonts w:asciiTheme="majorBidi" w:hAnsiTheme="majorBidi" w:cstheme="majorBidi"/>
          <w:shd w:val="clear" w:color="auto" w:fill="FFFFFF"/>
        </w:rPr>
        <w:t xml:space="preserve">atzīta </w:t>
      </w:r>
      <w:r w:rsidRPr="00257477">
        <w:rPr>
          <w:rFonts w:asciiTheme="majorBidi" w:hAnsiTheme="majorBidi" w:cstheme="majorBidi"/>
          <w:shd w:val="clear" w:color="auto" w:fill="FFFFFF"/>
        </w:rPr>
        <w:t xml:space="preserve">par </w:t>
      </w:r>
      <w:r w:rsidR="00EF0BD5" w:rsidRPr="00257477">
        <w:rPr>
          <w:rFonts w:asciiTheme="majorBidi" w:hAnsiTheme="majorBidi" w:cstheme="majorBidi"/>
          <w:shd w:val="clear" w:color="auto" w:fill="FFFFFF"/>
        </w:rPr>
        <w:t>izmaksāt</w:t>
      </w:r>
      <w:r w:rsidRPr="00257477">
        <w:rPr>
          <w:rFonts w:asciiTheme="majorBidi" w:hAnsiTheme="majorBidi" w:cstheme="majorBidi"/>
          <w:shd w:val="clear" w:color="auto" w:fill="FFFFFF"/>
        </w:rPr>
        <w:t>u</w:t>
      </w:r>
      <w:r w:rsidR="00DA02E0" w:rsidRPr="00257477">
        <w:rPr>
          <w:rFonts w:asciiTheme="majorBidi" w:hAnsiTheme="majorBidi" w:cstheme="majorBidi"/>
          <w:shd w:val="clear" w:color="auto" w:fill="FFFFFF"/>
        </w:rPr>
        <w:t xml:space="preserve"> nepamatoti</w:t>
      </w:r>
      <w:r w:rsidR="00EF0BD5" w:rsidRPr="00257477">
        <w:rPr>
          <w:rFonts w:asciiTheme="majorBidi" w:hAnsiTheme="majorBidi" w:cstheme="majorBidi"/>
          <w:shd w:val="clear" w:color="auto" w:fill="FFFFFF"/>
        </w:rPr>
        <w:t xml:space="preserve">. </w:t>
      </w:r>
    </w:p>
    <w:p w14:paraId="2B4857B1" w14:textId="3CA5CDC5" w:rsidR="001045F2" w:rsidRPr="00257477" w:rsidRDefault="005B0F01" w:rsidP="00257477">
      <w:pPr>
        <w:shd w:val="clear" w:color="auto" w:fill="FFFFFF"/>
        <w:spacing w:line="276" w:lineRule="auto"/>
        <w:ind w:firstLine="720"/>
        <w:jc w:val="both"/>
        <w:rPr>
          <w:rFonts w:asciiTheme="majorBidi" w:hAnsiTheme="majorBidi" w:cstheme="majorBidi"/>
        </w:rPr>
      </w:pPr>
      <w:r w:rsidRPr="00257477">
        <w:rPr>
          <w:rFonts w:asciiTheme="majorBidi" w:hAnsiTheme="majorBidi" w:cstheme="majorBidi"/>
          <w:shd w:val="clear" w:color="auto" w:fill="FFFFFF"/>
        </w:rPr>
        <w:t>[</w:t>
      </w:r>
      <w:r w:rsidR="00D122A4" w:rsidRPr="00257477">
        <w:rPr>
          <w:rFonts w:asciiTheme="majorBidi" w:hAnsiTheme="majorBidi" w:cstheme="majorBidi"/>
          <w:shd w:val="clear" w:color="auto" w:fill="FFFFFF"/>
        </w:rPr>
        <w:t>7</w:t>
      </w:r>
      <w:r w:rsidRPr="00257477">
        <w:rPr>
          <w:rFonts w:asciiTheme="majorBidi" w:hAnsiTheme="majorBidi" w:cstheme="majorBidi"/>
          <w:shd w:val="clear" w:color="auto" w:fill="FFFFFF"/>
        </w:rPr>
        <w:t>.3]</w:t>
      </w:r>
      <w:r w:rsidR="0092413D" w:rsidRPr="00257477">
        <w:rPr>
          <w:rFonts w:asciiTheme="majorBidi" w:hAnsiTheme="majorBidi" w:cstheme="majorBidi"/>
          <w:shd w:val="clear" w:color="auto" w:fill="FFFFFF"/>
        </w:rPr>
        <w:t> </w:t>
      </w:r>
      <w:r w:rsidRPr="00257477">
        <w:rPr>
          <w:rFonts w:asciiTheme="majorBidi" w:hAnsiTheme="majorBidi" w:cstheme="majorBidi"/>
          <w:shd w:val="clear" w:color="auto" w:fill="FFFFFF"/>
        </w:rPr>
        <w:t>Ņemot vērā iepriekš minēto,</w:t>
      </w:r>
      <w:r w:rsidR="00B21810" w:rsidRPr="00257477">
        <w:rPr>
          <w:rFonts w:asciiTheme="majorBidi" w:hAnsiTheme="majorBidi" w:cstheme="majorBidi"/>
          <w:shd w:val="clear" w:color="auto" w:fill="FFFFFF"/>
        </w:rPr>
        <w:t xml:space="preserve"> Senāts p</w:t>
      </w:r>
      <w:r w:rsidRPr="00257477">
        <w:rPr>
          <w:rFonts w:asciiTheme="majorBidi" w:hAnsiTheme="majorBidi" w:cstheme="majorBidi"/>
        </w:rPr>
        <w:t xml:space="preserve">iekrīt kasācijas sūdzības iesniedzējas </w:t>
      </w:r>
      <w:r w:rsidR="005C007D" w:rsidRPr="00257477">
        <w:rPr>
          <w:rFonts w:asciiTheme="majorBidi" w:hAnsiTheme="majorBidi" w:cstheme="majorBidi"/>
        </w:rPr>
        <w:t>argumentiem</w:t>
      </w:r>
      <w:r w:rsidRPr="00257477">
        <w:rPr>
          <w:rFonts w:asciiTheme="majorBidi" w:hAnsiTheme="majorBidi" w:cstheme="majorBidi"/>
        </w:rPr>
        <w:t xml:space="preserve"> </w:t>
      </w:r>
      <w:r w:rsidR="00DA02E0" w:rsidRPr="00257477">
        <w:rPr>
          <w:rFonts w:asciiTheme="majorBidi" w:hAnsiTheme="majorBidi" w:cstheme="majorBidi"/>
        </w:rPr>
        <w:t xml:space="preserve">un </w:t>
      </w:r>
      <w:r w:rsidRPr="00257477">
        <w:rPr>
          <w:rFonts w:asciiTheme="majorBidi" w:hAnsiTheme="majorBidi" w:cstheme="majorBidi"/>
        </w:rPr>
        <w:t xml:space="preserve">atzīst, ka apelācijas instances tiesas atzinums par </w:t>
      </w:r>
      <w:r w:rsidR="00B21810" w:rsidRPr="00257477">
        <w:rPr>
          <w:rFonts w:asciiTheme="majorBidi" w:hAnsiTheme="majorBidi" w:cstheme="majorBidi"/>
        </w:rPr>
        <w:t>Regulas Nr.</w:t>
      </w:r>
      <w:r w:rsidR="00FB206D" w:rsidRPr="00257477">
        <w:rPr>
          <w:rFonts w:asciiTheme="majorBidi" w:hAnsiTheme="majorBidi" w:cstheme="majorBidi"/>
        </w:rPr>
        <w:t> </w:t>
      </w:r>
      <w:r w:rsidR="00B21810" w:rsidRPr="00257477">
        <w:rPr>
          <w:rFonts w:asciiTheme="majorBidi" w:hAnsiTheme="majorBidi" w:cstheme="majorBidi"/>
        </w:rPr>
        <w:t xml:space="preserve">1083/2006 2. panta 7. punkta </w:t>
      </w:r>
      <w:r w:rsidR="00FE6250" w:rsidRPr="00257477">
        <w:rPr>
          <w:rFonts w:asciiTheme="majorBidi" w:hAnsiTheme="majorBidi" w:cstheme="majorBidi"/>
        </w:rPr>
        <w:t>un līdz ar to arī par Ministru kabineta noteikumu Nr. 740</w:t>
      </w:r>
      <w:r w:rsidRPr="00257477">
        <w:rPr>
          <w:rFonts w:asciiTheme="majorBidi" w:hAnsiTheme="majorBidi" w:cstheme="majorBidi"/>
        </w:rPr>
        <w:t xml:space="preserve"> </w:t>
      </w:r>
      <w:r w:rsidR="00FE6250" w:rsidRPr="00257477">
        <w:rPr>
          <w:rFonts w:asciiTheme="majorBidi" w:hAnsiTheme="majorBidi" w:cstheme="majorBidi"/>
        </w:rPr>
        <w:t xml:space="preserve">2.1. apakšpunkta sastāvu veidojošo apstākļu neiestāšanos </w:t>
      </w:r>
      <w:r w:rsidRPr="00257477">
        <w:rPr>
          <w:rFonts w:asciiTheme="majorBidi" w:hAnsiTheme="majorBidi" w:cstheme="majorBidi"/>
        </w:rPr>
        <w:t>ir izdarīts bez pietiekama pamata, jo tiesa, pārkāpdama Civilprocesa likuma 5. panta pirmās daļas un trešās daļas, 8. panta pirmās daļas, 97. panta, 189.</w:t>
      </w:r>
      <w:r w:rsidR="0092413D" w:rsidRPr="00257477">
        <w:rPr>
          <w:rFonts w:asciiTheme="majorBidi" w:hAnsiTheme="majorBidi" w:cstheme="majorBidi"/>
        </w:rPr>
        <w:t> </w:t>
      </w:r>
      <w:r w:rsidRPr="00257477">
        <w:rPr>
          <w:rFonts w:asciiTheme="majorBidi" w:hAnsiTheme="majorBidi" w:cstheme="majorBidi"/>
        </w:rPr>
        <w:t>panta trešās daļas, 190.</w:t>
      </w:r>
      <w:r w:rsidR="00FB206D" w:rsidRPr="00257477">
        <w:rPr>
          <w:rFonts w:asciiTheme="majorBidi" w:hAnsiTheme="majorBidi" w:cstheme="majorBidi"/>
        </w:rPr>
        <w:t> </w:t>
      </w:r>
      <w:r w:rsidRPr="00257477">
        <w:rPr>
          <w:rFonts w:asciiTheme="majorBidi" w:hAnsiTheme="majorBidi" w:cstheme="majorBidi"/>
        </w:rPr>
        <w:t xml:space="preserve">panta un 193. panta piektās daļas noteikumus, nav devusi pienācīgu vērtējumu prasības pieteikumā un prasītājas rakstveida paskaidrojumos par </w:t>
      </w:r>
      <w:r w:rsidR="00C31ED0" w:rsidRPr="00257477">
        <w:rPr>
          <w:rFonts w:asciiTheme="majorBidi" w:hAnsiTheme="majorBidi" w:cstheme="majorBidi"/>
        </w:rPr>
        <w:t>apelācijas sūdzību</w:t>
      </w:r>
      <w:r w:rsidRPr="00257477">
        <w:rPr>
          <w:rFonts w:asciiTheme="majorBidi" w:hAnsiTheme="majorBidi" w:cstheme="majorBidi"/>
        </w:rPr>
        <w:t xml:space="preserve"> norādītajiem argumentiem saistībā ar lietas apstākļiem un pierādījumiem lietā, kā arī</w:t>
      </w:r>
      <w:r w:rsidR="005C007D" w:rsidRPr="00257477">
        <w:rPr>
          <w:rFonts w:asciiTheme="majorBidi" w:hAnsiTheme="majorBidi" w:cstheme="majorBidi"/>
        </w:rPr>
        <w:t>, izspriežot lietu,</w:t>
      </w:r>
      <w:r w:rsidRPr="00257477">
        <w:rPr>
          <w:rFonts w:asciiTheme="majorBidi" w:hAnsiTheme="majorBidi" w:cstheme="majorBidi"/>
        </w:rPr>
        <w:t xml:space="preserve"> nav ņēmusi vērā Eiropas Savienības Tiesas judikatūru. </w:t>
      </w:r>
    </w:p>
    <w:p w14:paraId="76056551" w14:textId="77777777" w:rsidR="005B0F01" w:rsidRPr="00257477" w:rsidRDefault="005B0F01" w:rsidP="00257477">
      <w:pPr>
        <w:shd w:val="clear" w:color="auto" w:fill="FFFFFF"/>
        <w:spacing w:line="276" w:lineRule="auto"/>
        <w:ind w:firstLine="720"/>
        <w:jc w:val="both"/>
        <w:rPr>
          <w:rFonts w:asciiTheme="majorBidi" w:hAnsiTheme="majorBidi" w:cstheme="majorBidi"/>
        </w:rPr>
      </w:pPr>
    </w:p>
    <w:p w14:paraId="1A6B8B00" w14:textId="79FA2497" w:rsidR="001045F2" w:rsidRPr="00257477" w:rsidRDefault="005B0F01" w:rsidP="00257477">
      <w:pPr>
        <w:shd w:val="clear" w:color="auto" w:fill="FFFFFF"/>
        <w:spacing w:line="276" w:lineRule="auto"/>
        <w:ind w:firstLine="720"/>
        <w:jc w:val="both"/>
        <w:rPr>
          <w:rFonts w:asciiTheme="majorBidi" w:hAnsiTheme="majorBidi" w:cstheme="majorBidi"/>
        </w:rPr>
      </w:pPr>
      <w:r w:rsidRPr="00257477">
        <w:rPr>
          <w:rFonts w:asciiTheme="majorBidi" w:hAnsiTheme="majorBidi" w:cstheme="majorBidi"/>
        </w:rPr>
        <w:t>[</w:t>
      </w:r>
      <w:r w:rsidR="00D122A4" w:rsidRPr="00257477">
        <w:rPr>
          <w:rFonts w:asciiTheme="majorBidi" w:hAnsiTheme="majorBidi" w:cstheme="majorBidi"/>
        </w:rPr>
        <w:t>8</w:t>
      </w:r>
      <w:r w:rsidRPr="00257477">
        <w:rPr>
          <w:rFonts w:asciiTheme="majorBidi" w:hAnsiTheme="majorBidi" w:cstheme="majorBidi"/>
        </w:rPr>
        <w:t>]</w:t>
      </w:r>
      <w:r w:rsidR="0092413D" w:rsidRPr="00257477">
        <w:rPr>
          <w:rFonts w:asciiTheme="majorBidi" w:hAnsiTheme="majorBidi" w:cstheme="majorBidi"/>
        </w:rPr>
        <w:t> </w:t>
      </w:r>
      <w:r w:rsidRPr="00257477">
        <w:rPr>
          <w:rFonts w:asciiTheme="majorBidi" w:hAnsiTheme="majorBidi" w:cstheme="majorBidi"/>
        </w:rPr>
        <w:t xml:space="preserve">Eiropas Savienības struktūrfondu un Kohēzijas fonda vadības likuma 15. panta otrās daļas 1. punkts noteic finansējuma saņēmējam pienākumu nodrošināt Eiropas Savienības fonda projekta īstenošanu atbilstoši civiltiesiskā līguma noteikumiem. Tādējādi, ievērojot iepriekš konstatēto, atbildētājai bija pienākums projektu īstenošanā nodrošināt attiecīgi projekta Nr. 1 iesniegumā un projekta Nr. 2 </w:t>
      </w:r>
      <w:r w:rsidR="00173055" w:rsidRPr="00257477">
        <w:rPr>
          <w:rFonts w:asciiTheme="majorBidi" w:hAnsiTheme="majorBidi" w:cstheme="majorBidi"/>
        </w:rPr>
        <w:t xml:space="preserve">iesniegumā </w:t>
      </w:r>
      <w:r w:rsidRPr="00257477">
        <w:rPr>
          <w:rFonts w:asciiTheme="majorBidi" w:hAnsiTheme="majorBidi" w:cstheme="majorBidi"/>
        </w:rPr>
        <w:t>paredzētos produktu realizācijas un eksporta rezultatīvos</w:t>
      </w:r>
      <w:r w:rsidR="00173055" w:rsidRPr="00257477">
        <w:rPr>
          <w:rFonts w:asciiTheme="majorBidi" w:hAnsiTheme="majorBidi" w:cstheme="majorBidi"/>
        </w:rPr>
        <w:t xml:space="preserve"> jeb kvantitatīvos</w:t>
      </w:r>
      <w:r w:rsidRPr="00257477">
        <w:rPr>
          <w:rFonts w:asciiTheme="majorBidi" w:hAnsiTheme="majorBidi" w:cstheme="majorBidi"/>
        </w:rPr>
        <w:t xml:space="preserve"> rādītājus.</w:t>
      </w:r>
    </w:p>
    <w:p w14:paraId="5C157227" w14:textId="4E24A93B" w:rsidR="00173055" w:rsidRPr="00257477" w:rsidRDefault="00173055" w:rsidP="00257477">
      <w:pPr>
        <w:shd w:val="clear" w:color="auto" w:fill="FFFFFF"/>
        <w:spacing w:line="276" w:lineRule="auto"/>
        <w:ind w:firstLine="720"/>
        <w:jc w:val="both"/>
        <w:rPr>
          <w:rFonts w:asciiTheme="majorBidi" w:hAnsiTheme="majorBidi" w:cstheme="majorBidi"/>
        </w:rPr>
      </w:pPr>
      <w:r w:rsidRPr="00257477">
        <w:rPr>
          <w:rFonts w:asciiTheme="majorBidi" w:hAnsiTheme="majorBidi" w:cstheme="majorBidi"/>
        </w:rPr>
        <w:t>Lietā nav strīda, ka attiecībā uz projektu Nr. 2</w:t>
      </w:r>
      <w:r w:rsidR="0092413D" w:rsidRPr="00257477">
        <w:rPr>
          <w:rFonts w:asciiTheme="majorBidi" w:hAnsiTheme="majorBidi" w:cstheme="majorBidi"/>
        </w:rPr>
        <w:t xml:space="preserve"> </w:t>
      </w:r>
      <w:r w:rsidRPr="00257477">
        <w:rPr>
          <w:rFonts w:asciiTheme="majorBidi" w:hAnsiTheme="majorBidi" w:cstheme="majorBidi"/>
        </w:rPr>
        <w:t xml:space="preserve">produktu realizācijas un eksporta kvantitatīvie rādītāji netika sasniegti. Vienlaikus lietā pastāv strīds par šo rādītāju sasniegšanu projektā Nr. 1 jeb </w:t>
      </w:r>
      <w:r w:rsidR="00370B07" w:rsidRPr="00257477">
        <w:rPr>
          <w:rFonts w:asciiTheme="majorBidi" w:hAnsiTheme="majorBidi" w:cstheme="majorBidi"/>
        </w:rPr>
        <w:t xml:space="preserve">par </w:t>
      </w:r>
      <w:r w:rsidR="00FE6250" w:rsidRPr="00257477">
        <w:rPr>
          <w:rFonts w:asciiTheme="majorBidi" w:hAnsiTheme="majorBidi" w:cstheme="majorBidi"/>
        </w:rPr>
        <w:t xml:space="preserve">tāda </w:t>
      </w:r>
      <w:r w:rsidR="00370B07" w:rsidRPr="00257477">
        <w:rPr>
          <w:rFonts w:asciiTheme="majorBidi" w:hAnsiTheme="majorBidi" w:cstheme="majorBidi"/>
        </w:rPr>
        <w:t>laika posm</w:t>
      </w:r>
      <w:r w:rsidR="00470BCE" w:rsidRPr="00257477">
        <w:rPr>
          <w:rFonts w:asciiTheme="majorBidi" w:hAnsiTheme="majorBidi" w:cstheme="majorBidi"/>
        </w:rPr>
        <w:t>a</w:t>
      </w:r>
      <w:r w:rsidR="00FE6250" w:rsidRPr="00257477">
        <w:rPr>
          <w:rFonts w:asciiTheme="majorBidi" w:hAnsiTheme="majorBidi" w:cstheme="majorBidi"/>
        </w:rPr>
        <w:t xml:space="preserve"> noteikšanu</w:t>
      </w:r>
      <w:r w:rsidR="00370B07" w:rsidRPr="00257477">
        <w:rPr>
          <w:rFonts w:asciiTheme="majorBidi" w:hAnsiTheme="majorBidi" w:cstheme="majorBidi"/>
        </w:rPr>
        <w:t>, kurā atbildētājai bija pienākums šos rādītājus sasniegt</w:t>
      </w:r>
      <w:r w:rsidR="00D97555" w:rsidRPr="00257477">
        <w:rPr>
          <w:rFonts w:asciiTheme="majorBidi" w:hAnsiTheme="majorBidi" w:cstheme="majorBidi"/>
        </w:rPr>
        <w:t xml:space="preserve">, un par laika posmu noteikšanu, kurā prasītājai bija tiesības </w:t>
      </w:r>
      <w:r w:rsidR="005C007D" w:rsidRPr="00257477">
        <w:rPr>
          <w:rFonts w:asciiTheme="majorBidi" w:hAnsiTheme="majorBidi" w:cstheme="majorBidi"/>
        </w:rPr>
        <w:t>īstenot uzraudzību un līdz ar to arī lemt par finanšu korekcijas piemērošanu</w:t>
      </w:r>
      <w:r w:rsidR="00D97555" w:rsidRPr="00257477">
        <w:rPr>
          <w:rFonts w:asciiTheme="majorBidi" w:hAnsiTheme="majorBidi" w:cstheme="majorBidi"/>
        </w:rPr>
        <w:t xml:space="preserve">. </w:t>
      </w:r>
    </w:p>
    <w:p w14:paraId="0C28BD74" w14:textId="2F10F2FB" w:rsidR="00470BCE" w:rsidRPr="00257477" w:rsidRDefault="00470BCE" w:rsidP="00257477">
      <w:pPr>
        <w:shd w:val="clear" w:color="auto" w:fill="FFFFFF"/>
        <w:spacing w:line="276" w:lineRule="auto"/>
        <w:ind w:firstLine="720"/>
        <w:jc w:val="both"/>
        <w:rPr>
          <w:rFonts w:asciiTheme="majorBidi" w:hAnsiTheme="majorBidi" w:cstheme="majorBidi"/>
        </w:rPr>
      </w:pPr>
      <w:r w:rsidRPr="00257477">
        <w:rPr>
          <w:rFonts w:asciiTheme="majorBidi" w:hAnsiTheme="majorBidi" w:cstheme="majorBidi"/>
        </w:rPr>
        <w:t>[</w:t>
      </w:r>
      <w:r w:rsidR="00D122A4" w:rsidRPr="00257477">
        <w:rPr>
          <w:rFonts w:asciiTheme="majorBidi" w:hAnsiTheme="majorBidi" w:cstheme="majorBidi"/>
        </w:rPr>
        <w:t>8</w:t>
      </w:r>
      <w:r w:rsidRPr="00257477">
        <w:rPr>
          <w:rFonts w:asciiTheme="majorBidi" w:hAnsiTheme="majorBidi" w:cstheme="majorBidi"/>
        </w:rPr>
        <w:t>.1]</w:t>
      </w:r>
      <w:r w:rsidR="0092413D" w:rsidRPr="00257477">
        <w:rPr>
          <w:rFonts w:asciiTheme="majorBidi" w:hAnsiTheme="majorBidi" w:cstheme="majorBidi"/>
        </w:rPr>
        <w:t> </w:t>
      </w:r>
      <w:r w:rsidRPr="00257477">
        <w:rPr>
          <w:rFonts w:asciiTheme="majorBidi" w:hAnsiTheme="majorBidi" w:cstheme="majorBidi"/>
        </w:rPr>
        <w:t>No apelācijas instances tiesas sprieduma</w:t>
      </w:r>
      <w:r w:rsidR="001D01F6" w:rsidRPr="00257477">
        <w:rPr>
          <w:rFonts w:asciiTheme="majorBidi" w:hAnsiTheme="majorBidi" w:cstheme="majorBidi"/>
        </w:rPr>
        <w:t xml:space="preserve"> (sk. </w:t>
      </w:r>
      <w:r w:rsidR="001D01F6" w:rsidRPr="00257477">
        <w:rPr>
          <w:rFonts w:asciiTheme="majorBidi" w:hAnsiTheme="majorBidi" w:cstheme="majorBidi"/>
          <w:i/>
          <w:iCs/>
        </w:rPr>
        <w:t>apelācijas instances tiesas sprieduma 2.1. apakšpunktu</w:t>
      </w:r>
      <w:r w:rsidR="001D01F6" w:rsidRPr="00257477">
        <w:rPr>
          <w:rFonts w:asciiTheme="majorBidi" w:hAnsiTheme="majorBidi" w:cstheme="majorBidi"/>
        </w:rPr>
        <w:t>)</w:t>
      </w:r>
      <w:r w:rsidRPr="00257477">
        <w:rPr>
          <w:rFonts w:asciiTheme="majorBidi" w:hAnsiTheme="majorBidi" w:cstheme="majorBidi"/>
        </w:rPr>
        <w:t xml:space="preserve"> izriet, ka </w:t>
      </w:r>
      <w:r w:rsidR="001D01F6" w:rsidRPr="00257477">
        <w:rPr>
          <w:rFonts w:asciiTheme="majorBidi" w:hAnsiTheme="majorBidi" w:cstheme="majorBidi"/>
        </w:rPr>
        <w:t>pušu starpā ir strīds par projekta Nr. 1 uzraudzības un kontroles periodu. Proti, atbildētājas ieskatā saskaņā ar līguma Nr.</w:t>
      </w:r>
      <w:r w:rsidR="00FB206D" w:rsidRPr="00257477">
        <w:rPr>
          <w:rFonts w:asciiTheme="majorBidi" w:hAnsiTheme="majorBidi" w:cstheme="majorBidi"/>
        </w:rPr>
        <w:t> </w:t>
      </w:r>
      <w:r w:rsidR="001D01F6" w:rsidRPr="00257477">
        <w:rPr>
          <w:rFonts w:asciiTheme="majorBidi" w:hAnsiTheme="majorBidi" w:cstheme="majorBidi"/>
        </w:rPr>
        <w:t>1 nosacījumu 3.1.2. punktā no</w:t>
      </w:r>
      <w:r w:rsidR="005C007D" w:rsidRPr="00257477">
        <w:rPr>
          <w:rFonts w:asciiTheme="majorBidi" w:hAnsiTheme="majorBidi" w:cstheme="majorBidi"/>
        </w:rPr>
        <w:t>teikto</w:t>
      </w:r>
      <w:r w:rsidR="001D01F6" w:rsidRPr="00257477">
        <w:rPr>
          <w:rFonts w:asciiTheme="majorBidi" w:hAnsiTheme="majorBidi" w:cstheme="majorBidi"/>
        </w:rPr>
        <w:t xml:space="preserve"> atbildētājai bija pienākums nodrošināt prasītājai iespēju veikt uzraudzību un kontroli projekta Nr. 1 īstenošanas laikā un trīs gadu laikā pēc </w:t>
      </w:r>
      <w:r w:rsidR="00D97555" w:rsidRPr="00257477">
        <w:rPr>
          <w:rFonts w:asciiTheme="majorBidi" w:hAnsiTheme="majorBidi" w:cstheme="majorBidi"/>
        </w:rPr>
        <w:t xml:space="preserve">attiecīgā </w:t>
      </w:r>
      <w:r w:rsidR="001D01F6" w:rsidRPr="00257477">
        <w:rPr>
          <w:rFonts w:asciiTheme="majorBidi" w:hAnsiTheme="majorBidi" w:cstheme="majorBidi"/>
        </w:rPr>
        <w:t>projekta</w:t>
      </w:r>
      <w:r w:rsidR="00D97555" w:rsidRPr="00257477">
        <w:rPr>
          <w:rFonts w:asciiTheme="majorBidi" w:hAnsiTheme="majorBidi" w:cstheme="majorBidi"/>
        </w:rPr>
        <w:t xml:space="preserve"> </w:t>
      </w:r>
      <w:r w:rsidR="001D01F6" w:rsidRPr="00257477">
        <w:rPr>
          <w:rFonts w:asciiTheme="majorBidi" w:hAnsiTheme="majorBidi" w:cstheme="majorBidi"/>
        </w:rPr>
        <w:t>īstenošanas pabeigšanas, nevis pēc atbalsta finansējuma saņemšanas. Ņemot vērā, ka</w:t>
      </w:r>
      <w:r w:rsidR="00D97555" w:rsidRPr="00257477">
        <w:rPr>
          <w:rFonts w:asciiTheme="majorBidi" w:hAnsiTheme="majorBidi" w:cstheme="majorBidi"/>
        </w:rPr>
        <w:t xml:space="preserve"> atbildētājas ieskatā</w:t>
      </w:r>
      <w:r w:rsidR="001D01F6" w:rsidRPr="00257477">
        <w:rPr>
          <w:rFonts w:asciiTheme="majorBidi" w:hAnsiTheme="majorBidi" w:cstheme="majorBidi"/>
        </w:rPr>
        <w:t xml:space="preserve"> projekta Nr. 1 īstenošana tika pabeigta 2011.</w:t>
      </w:r>
      <w:r w:rsidR="00D97555" w:rsidRPr="00257477">
        <w:rPr>
          <w:rFonts w:asciiTheme="majorBidi" w:hAnsiTheme="majorBidi" w:cstheme="majorBidi"/>
        </w:rPr>
        <w:t> </w:t>
      </w:r>
      <w:r w:rsidR="001D01F6" w:rsidRPr="00257477">
        <w:rPr>
          <w:rFonts w:asciiTheme="majorBidi" w:hAnsiTheme="majorBidi" w:cstheme="majorBidi"/>
        </w:rPr>
        <w:t>gada 20. oktobrī, saskaņā ar līguma Nr. 1 nosacījumu 1.</w:t>
      </w:r>
      <w:r w:rsidR="00D97555" w:rsidRPr="00257477">
        <w:rPr>
          <w:rFonts w:asciiTheme="majorBidi" w:hAnsiTheme="majorBidi" w:cstheme="majorBidi"/>
        </w:rPr>
        <w:t> punktu</w:t>
      </w:r>
      <w:r w:rsidR="001D01F6" w:rsidRPr="00257477">
        <w:rPr>
          <w:rFonts w:asciiTheme="majorBidi" w:hAnsiTheme="majorBidi" w:cstheme="majorBidi"/>
        </w:rPr>
        <w:t>, 3.1.2.</w:t>
      </w:r>
      <w:r w:rsidR="00D97555" w:rsidRPr="00257477">
        <w:rPr>
          <w:rFonts w:asciiTheme="majorBidi" w:hAnsiTheme="majorBidi" w:cstheme="majorBidi"/>
        </w:rPr>
        <w:t> apakšpunktu</w:t>
      </w:r>
      <w:r w:rsidR="001D01F6" w:rsidRPr="00257477">
        <w:rPr>
          <w:rFonts w:asciiTheme="majorBidi" w:hAnsiTheme="majorBidi" w:cstheme="majorBidi"/>
        </w:rPr>
        <w:t xml:space="preserve"> un 7.2. punktu atbildētājai bija tiesības paļauties, ka uzraudzības periods projekt</w:t>
      </w:r>
      <w:r w:rsidR="00D97555" w:rsidRPr="00257477">
        <w:rPr>
          <w:rFonts w:asciiTheme="majorBidi" w:hAnsiTheme="majorBidi" w:cstheme="majorBidi"/>
        </w:rPr>
        <w:t>ā</w:t>
      </w:r>
      <w:r w:rsidR="001D01F6" w:rsidRPr="00257477">
        <w:rPr>
          <w:rFonts w:asciiTheme="majorBidi" w:hAnsiTheme="majorBidi" w:cstheme="majorBidi"/>
        </w:rPr>
        <w:t xml:space="preserve"> Nr. 1 </w:t>
      </w:r>
      <w:r w:rsidR="00D97555" w:rsidRPr="00257477">
        <w:rPr>
          <w:rFonts w:asciiTheme="majorBidi" w:hAnsiTheme="majorBidi" w:cstheme="majorBidi"/>
        </w:rPr>
        <w:t>ir no</w:t>
      </w:r>
      <w:r w:rsidR="001D01F6" w:rsidRPr="00257477">
        <w:rPr>
          <w:rFonts w:asciiTheme="majorBidi" w:hAnsiTheme="majorBidi" w:cstheme="majorBidi"/>
        </w:rPr>
        <w:t xml:space="preserve"> 2011. gada 21. oktobra</w:t>
      </w:r>
      <w:r w:rsidR="00D97555" w:rsidRPr="00257477">
        <w:rPr>
          <w:rFonts w:asciiTheme="majorBidi" w:hAnsiTheme="majorBidi" w:cstheme="majorBidi"/>
        </w:rPr>
        <w:t xml:space="preserve"> līdz </w:t>
      </w:r>
      <w:r w:rsidR="001D01F6" w:rsidRPr="00257477">
        <w:rPr>
          <w:rFonts w:asciiTheme="majorBidi" w:hAnsiTheme="majorBidi" w:cstheme="majorBidi"/>
        </w:rPr>
        <w:t>2014. gada 20. oktobrim.</w:t>
      </w:r>
    </w:p>
    <w:p w14:paraId="13AAAB15" w14:textId="384645C0" w:rsidR="00FE6250" w:rsidRPr="00257477" w:rsidRDefault="00FE6250" w:rsidP="00257477">
      <w:pPr>
        <w:shd w:val="clear" w:color="auto" w:fill="FFFFFF"/>
        <w:spacing w:line="276" w:lineRule="auto"/>
        <w:ind w:firstLine="720"/>
        <w:jc w:val="both"/>
        <w:rPr>
          <w:rFonts w:asciiTheme="majorBidi" w:hAnsiTheme="majorBidi" w:cstheme="majorBidi"/>
        </w:rPr>
      </w:pPr>
      <w:r w:rsidRPr="00257477">
        <w:rPr>
          <w:rFonts w:asciiTheme="majorBidi" w:hAnsiTheme="majorBidi" w:cstheme="majorBidi"/>
        </w:rPr>
        <w:lastRenderedPageBreak/>
        <w:t xml:space="preserve">Turpretī no prasītājas prasības pieteikuma izriet, ka prasītājas ieskatā projekta Nr. 1 uzraudzības periods ir sācies tikai </w:t>
      </w:r>
      <w:r w:rsidR="00D97555" w:rsidRPr="00257477">
        <w:rPr>
          <w:rFonts w:asciiTheme="majorBidi" w:hAnsiTheme="majorBidi" w:cstheme="majorBidi"/>
        </w:rPr>
        <w:t>no brīža</w:t>
      </w:r>
      <w:r w:rsidRPr="00257477">
        <w:rPr>
          <w:rFonts w:asciiTheme="majorBidi" w:hAnsiTheme="majorBidi" w:cstheme="majorBidi"/>
        </w:rPr>
        <w:t xml:space="preserve">, kad tā 2016. gada 31. martā </w:t>
      </w:r>
      <w:r w:rsidR="00E4617D" w:rsidRPr="00257477">
        <w:rPr>
          <w:rFonts w:asciiTheme="majorBidi" w:hAnsiTheme="majorBidi" w:cstheme="majorBidi"/>
        </w:rPr>
        <w:t>izmaksāja</w:t>
      </w:r>
      <w:r w:rsidRPr="00257477">
        <w:rPr>
          <w:rFonts w:asciiTheme="majorBidi" w:hAnsiTheme="majorBidi" w:cstheme="majorBidi"/>
        </w:rPr>
        <w:t xml:space="preserve"> atbalsta finansējumu 204 583,35</w:t>
      </w:r>
      <w:r w:rsidR="0092413D" w:rsidRPr="00257477">
        <w:rPr>
          <w:rFonts w:asciiTheme="majorBidi" w:hAnsiTheme="majorBidi" w:cstheme="majorBidi"/>
        </w:rPr>
        <w:t> </w:t>
      </w:r>
      <w:proofErr w:type="spellStart"/>
      <w:r w:rsidRPr="00257477">
        <w:rPr>
          <w:rFonts w:asciiTheme="majorBidi" w:hAnsiTheme="majorBidi" w:cstheme="majorBidi"/>
          <w:i/>
          <w:iCs/>
        </w:rPr>
        <w:t>euro</w:t>
      </w:r>
      <w:proofErr w:type="spellEnd"/>
      <w:r w:rsidRPr="00257477">
        <w:rPr>
          <w:rFonts w:asciiTheme="majorBidi" w:hAnsiTheme="majorBidi" w:cstheme="majorBidi"/>
        </w:rPr>
        <w:t xml:space="preserve">. </w:t>
      </w:r>
    </w:p>
    <w:p w14:paraId="78D5681B" w14:textId="0B7079D1" w:rsidR="000114A9" w:rsidRPr="00257477" w:rsidRDefault="004438D7" w:rsidP="00257477">
      <w:pPr>
        <w:shd w:val="clear" w:color="auto" w:fill="FFFFFF"/>
        <w:spacing w:line="276" w:lineRule="auto"/>
        <w:ind w:firstLine="720"/>
        <w:jc w:val="both"/>
        <w:rPr>
          <w:rFonts w:asciiTheme="majorBidi" w:hAnsiTheme="majorBidi" w:cstheme="majorBidi"/>
        </w:rPr>
      </w:pPr>
      <w:r w:rsidRPr="00257477">
        <w:rPr>
          <w:rFonts w:asciiTheme="majorBidi" w:hAnsiTheme="majorBidi" w:cstheme="majorBidi"/>
        </w:rPr>
        <w:t xml:space="preserve">Tādējādi Senāts atzīst, ka prasītājas celtās prasības daļā par projekta Nr. 1 ietvaros izmaksātā atbalsta finansējuma atprasīšanu </w:t>
      </w:r>
      <w:r w:rsidR="000114A9" w:rsidRPr="00257477">
        <w:rPr>
          <w:rFonts w:asciiTheme="majorBidi" w:hAnsiTheme="majorBidi" w:cstheme="majorBidi"/>
        </w:rPr>
        <w:t xml:space="preserve">izspriešana </w:t>
      </w:r>
      <w:r w:rsidRPr="00257477">
        <w:rPr>
          <w:rFonts w:asciiTheme="majorBidi" w:hAnsiTheme="majorBidi" w:cstheme="majorBidi"/>
        </w:rPr>
        <w:t xml:space="preserve">ir atkarīga </w:t>
      </w:r>
      <w:r w:rsidR="00DA02E0" w:rsidRPr="00257477">
        <w:rPr>
          <w:rFonts w:asciiTheme="majorBidi" w:hAnsiTheme="majorBidi" w:cstheme="majorBidi"/>
        </w:rPr>
        <w:t xml:space="preserve">arī </w:t>
      </w:r>
      <w:r w:rsidRPr="00257477">
        <w:rPr>
          <w:rFonts w:asciiTheme="majorBidi" w:hAnsiTheme="majorBidi" w:cstheme="majorBidi"/>
        </w:rPr>
        <w:t>no uzraudzības perioda no</w:t>
      </w:r>
      <w:r w:rsidR="00C31ED0" w:rsidRPr="00257477">
        <w:rPr>
          <w:rFonts w:asciiTheme="majorBidi" w:hAnsiTheme="majorBidi" w:cstheme="majorBidi"/>
        </w:rPr>
        <w:t>skaidrošanas</w:t>
      </w:r>
      <w:r w:rsidRPr="00257477">
        <w:rPr>
          <w:rFonts w:asciiTheme="majorBidi" w:hAnsiTheme="majorBidi" w:cstheme="majorBidi"/>
        </w:rPr>
        <w:t>, ko apelācijas instances tiesa, izskatot lietu sakarā ar atbildētājas apelācijas sūdzību, nav izdarījusi</w:t>
      </w:r>
      <w:r w:rsidR="000114A9" w:rsidRPr="00257477">
        <w:rPr>
          <w:rFonts w:asciiTheme="majorBidi" w:hAnsiTheme="majorBidi" w:cstheme="majorBidi"/>
        </w:rPr>
        <w:t xml:space="preserve">, vien atzīstot, ka uzņēmumam nav iespējams paredzēt plānoto peļņu no produkta pārdošanas četrus vai vairāk gadus pēc projekta īstenošanas, jo uzņēmējdarbība ir atkarīga ne tikai no paša uzņēmuma darbībām, bet arī no ārējiem faktoriem. </w:t>
      </w:r>
    </w:p>
    <w:p w14:paraId="2EEF19F5" w14:textId="351CBA3A" w:rsidR="00FE6250" w:rsidRPr="00257477" w:rsidRDefault="00BC7EED" w:rsidP="00257477">
      <w:pPr>
        <w:shd w:val="clear" w:color="auto" w:fill="FFFFFF"/>
        <w:spacing w:line="276" w:lineRule="auto"/>
        <w:ind w:firstLine="720"/>
        <w:jc w:val="both"/>
        <w:rPr>
          <w:rFonts w:asciiTheme="majorBidi" w:hAnsiTheme="majorBidi" w:cstheme="majorBidi"/>
        </w:rPr>
      </w:pPr>
      <w:r w:rsidRPr="00257477">
        <w:rPr>
          <w:rFonts w:asciiTheme="majorBidi" w:hAnsiTheme="majorBidi" w:cstheme="majorBidi"/>
        </w:rPr>
        <w:t>[</w:t>
      </w:r>
      <w:r w:rsidR="00D122A4" w:rsidRPr="00257477">
        <w:rPr>
          <w:rFonts w:asciiTheme="majorBidi" w:hAnsiTheme="majorBidi" w:cstheme="majorBidi"/>
        </w:rPr>
        <w:t>8</w:t>
      </w:r>
      <w:r w:rsidRPr="00257477">
        <w:rPr>
          <w:rFonts w:asciiTheme="majorBidi" w:hAnsiTheme="majorBidi" w:cstheme="majorBidi"/>
        </w:rPr>
        <w:t>.2]</w:t>
      </w:r>
      <w:r w:rsidR="0092413D" w:rsidRPr="00257477">
        <w:rPr>
          <w:rFonts w:asciiTheme="majorBidi" w:hAnsiTheme="majorBidi" w:cstheme="majorBidi"/>
        </w:rPr>
        <w:t> </w:t>
      </w:r>
      <w:r w:rsidR="00C31ED0" w:rsidRPr="00257477">
        <w:rPr>
          <w:rFonts w:asciiTheme="majorBidi" w:hAnsiTheme="majorBidi" w:cstheme="majorBidi"/>
        </w:rPr>
        <w:t xml:space="preserve">Senāts atzīst, ka uzraudzības perioda noskaidrošana ir saistīta ar pušu starpā noslēgtā līguma Nr. 1 </w:t>
      </w:r>
      <w:r w:rsidR="00143565" w:rsidRPr="00257477">
        <w:rPr>
          <w:rFonts w:asciiTheme="majorBidi" w:hAnsiTheme="majorBidi" w:cstheme="majorBidi"/>
        </w:rPr>
        <w:t xml:space="preserve">noteikumu iztulkošanu. </w:t>
      </w:r>
    </w:p>
    <w:p w14:paraId="6366DF30" w14:textId="43A71667" w:rsidR="00D97555" w:rsidRPr="00257477" w:rsidRDefault="004D24F7" w:rsidP="00257477">
      <w:pPr>
        <w:shd w:val="clear" w:color="auto" w:fill="FFFFFF"/>
        <w:spacing w:line="276" w:lineRule="auto"/>
        <w:ind w:firstLine="720"/>
        <w:jc w:val="both"/>
        <w:rPr>
          <w:rFonts w:asciiTheme="majorBidi" w:hAnsiTheme="majorBidi" w:cstheme="majorBidi"/>
        </w:rPr>
      </w:pPr>
      <w:r w:rsidRPr="00257477">
        <w:rPr>
          <w:rFonts w:asciiTheme="majorBidi" w:hAnsiTheme="majorBidi" w:cstheme="majorBidi"/>
        </w:rPr>
        <w:t>Tiesiska darījuma iztulkošanas mērķis ir noskaidrot darījuma noteikumu juridiski saistošo saturu, kas ir iespējami atbilstošākais darījuma dalībnieku saskanīgajai gribai tā noslēgšanas laikā. Iztulkojot darījumu, tiesai ir jāievēro Civillikuma apakšnodaļas par tiesiska darījuma iztulkošanu pantos (Civillikuma 1504.–15</w:t>
      </w:r>
      <w:r w:rsidR="00D97555" w:rsidRPr="00257477">
        <w:rPr>
          <w:rFonts w:asciiTheme="majorBidi" w:hAnsiTheme="majorBidi" w:cstheme="majorBidi"/>
        </w:rPr>
        <w:t>10</w:t>
      </w:r>
      <w:r w:rsidRPr="00257477">
        <w:rPr>
          <w:rFonts w:asciiTheme="majorBidi" w:hAnsiTheme="majorBidi" w:cstheme="majorBidi"/>
        </w:rPr>
        <w:t>. pants) noteiktā loģiskā secība – katras šajās normās norādītās metodes piemērošanas priekšnosacījumi, kas attiecībā uz Civillikuma 1507.–1509.</w:t>
      </w:r>
      <w:r w:rsidR="00FB206D" w:rsidRPr="00257477">
        <w:rPr>
          <w:rFonts w:asciiTheme="majorBidi" w:hAnsiTheme="majorBidi" w:cstheme="majorBidi"/>
        </w:rPr>
        <w:t> </w:t>
      </w:r>
      <w:r w:rsidRPr="00257477">
        <w:rPr>
          <w:rFonts w:asciiTheme="majorBidi" w:hAnsiTheme="majorBidi" w:cstheme="majorBidi"/>
        </w:rPr>
        <w:t>panta piemērošanu nozīmē to, ka tiesa ir tiesīga</w:t>
      </w:r>
      <w:r w:rsidR="00CA3E72" w:rsidRPr="00257477">
        <w:rPr>
          <w:rFonts w:asciiTheme="majorBidi" w:hAnsiTheme="majorBidi" w:cstheme="majorBidi"/>
        </w:rPr>
        <w:t xml:space="preserve"> </w:t>
      </w:r>
      <w:r w:rsidRPr="00257477">
        <w:rPr>
          <w:rFonts w:asciiTheme="majorBidi" w:hAnsiTheme="majorBidi" w:cstheme="majorBidi"/>
        </w:rPr>
        <w:t>piemērot šos pantus tikai tad, ja darījumu nevar iztulkot saskaņā ar Civillikuma 1504.–1505.</w:t>
      </w:r>
      <w:r w:rsidR="00CA3E72" w:rsidRPr="00257477">
        <w:rPr>
          <w:rFonts w:asciiTheme="majorBidi" w:hAnsiTheme="majorBidi" w:cstheme="majorBidi"/>
        </w:rPr>
        <w:t> </w:t>
      </w:r>
      <w:r w:rsidRPr="00257477">
        <w:rPr>
          <w:rFonts w:asciiTheme="majorBidi" w:hAnsiTheme="majorBidi" w:cstheme="majorBidi"/>
        </w:rPr>
        <w:t xml:space="preserve">pantu (sk. </w:t>
      </w:r>
      <w:r w:rsidRPr="00257477">
        <w:rPr>
          <w:rFonts w:asciiTheme="majorBidi" w:hAnsiTheme="majorBidi" w:cstheme="majorBidi"/>
          <w:i/>
          <w:iCs/>
        </w:rPr>
        <w:t>Senāta 2025. gada 29. janvāra sprieduma lietā Nr. SKC-32/2025, ECLI:LV:AT:2025:0129.C73398622.9.S, 10.3. punktu</w:t>
      </w:r>
      <w:r w:rsidRPr="00257477">
        <w:rPr>
          <w:rFonts w:asciiTheme="majorBidi" w:hAnsiTheme="majorBidi" w:cstheme="majorBidi"/>
        </w:rPr>
        <w:t>).</w:t>
      </w:r>
      <w:r w:rsidR="00B65BAF" w:rsidRPr="00257477">
        <w:rPr>
          <w:rFonts w:asciiTheme="majorBidi" w:hAnsiTheme="majorBidi" w:cstheme="majorBidi"/>
        </w:rPr>
        <w:t xml:space="preserve"> </w:t>
      </w:r>
    </w:p>
    <w:p w14:paraId="3B899888" w14:textId="5C483187" w:rsidR="005C37F0" w:rsidRPr="00257477" w:rsidRDefault="00143565" w:rsidP="00257477">
      <w:pPr>
        <w:shd w:val="clear" w:color="auto" w:fill="FFFFFF"/>
        <w:spacing w:line="276" w:lineRule="auto"/>
        <w:ind w:firstLine="720"/>
        <w:jc w:val="both"/>
        <w:rPr>
          <w:rFonts w:asciiTheme="majorBidi" w:hAnsiTheme="majorBidi" w:cstheme="majorBidi"/>
        </w:rPr>
      </w:pPr>
      <w:r w:rsidRPr="00257477">
        <w:rPr>
          <w:rFonts w:asciiTheme="majorBidi" w:hAnsiTheme="majorBidi" w:cstheme="majorBidi"/>
        </w:rPr>
        <w:t xml:space="preserve">Senāts konstatē, ka </w:t>
      </w:r>
      <w:r w:rsidR="00D97555" w:rsidRPr="00257477">
        <w:rPr>
          <w:rFonts w:asciiTheme="majorBidi" w:hAnsiTheme="majorBidi" w:cstheme="majorBidi"/>
        </w:rPr>
        <w:t>apelācijas instances tiesa nav veikusi</w:t>
      </w:r>
      <w:r w:rsidRPr="00257477">
        <w:rPr>
          <w:rFonts w:asciiTheme="majorBidi" w:hAnsiTheme="majorBidi" w:cstheme="majorBidi"/>
        </w:rPr>
        <w:t xml:space="preserve"> iepriekšējā rindkopā norādītajām prasībām </w:t>
      </w:r>
      <w:r w:rsidR="00D97555" w:rsidRPr="00257477">
        <w:rPr>
          <w:rFonts w:asciiTheme="majorBidi" w:hAnsiTheme="majorBidi" w:cstheme="majorBidi"/>
        </w:rPr>
        <w:t>atbilstošu līguma Nr. 1 noteikumu iztulkošanu</w:t>
      </w:r>
      <w:r w:rsidRPr="00257477">
        <w:rPr>
          <w:rFonts w:asciiTheme="majorBidi" w:hAnsiTheme="majorBidi" w:cstheme="majorBidi"/>
        </w:rPr>
        <w:t>.</w:t>
      </w:r>
      <w:r w:rsidR="0070132D" w:rsidRPr="00257477">
        <w:rPr>
          <w:rFonts w:asciiTheme="majorBidi" w:hAnsiTheme="majorBidi" w:cstheme="majorBidi"/>
        </w:rPr>
        <w:t xml:space="preserve"> </w:t>
      </w:r>
      <w:r w:rsidR="00E4617D" w:rsidRPr="00257477">
        <w:rPr>
          <w:rFonts w:asciiTheme="majorBidi" w:hAnsiTheme="majorBidi" w:cstheme="majorBidi"/>
        </w:rPr>
        <w:t xml:space="preserve">Kaut arī konkrētā tiesiskā darījuma iztulkošana </w:t>
      </w:r>
      <w:r w:rsidR="00B37E90" w:rsidRPr="00257477">
        <w:rPr>
          <w:rFonts w:asciiTheme="majorBidi" w:hAnsiTheme="majorBidi" w:cstheme="majorBidi"/>
        </w:rPr>
        <w:t xml:space="preserve">ir apelācijas instances tiesas kompetencē, </w:t>
      </w:r>
      <w:r w:rsidR="0070132D" w:rsidRPr="00257477">
        <w:rPr>
          <w:rFonts w:asciiTheme="majorBidi" w:hAnsiTheme="majorBidi" w:cstheme="majorBidi"/>
        </w:rPr>
        <w:t xml:space="preserve">Senāts uzskata par lietderīgu norādīt </w:t>
      </w:r>
      <w:r w:rsidR="000F1637" w:rsidRPr="00257477">
        <w:rPr>
          <w:rFonts w:asciiTheme="majorBidi" w:hAnsiTheme="majorBidi" w:cstheme="majorBidi"/>
        </w:rPr>
        <w:t>turpmāko</w:t>
      </w:r>
      <w:r w:rsidR="0070132D" w:rsidRPr="00257477">
        <w:rPr>
          <w:rFonts w:asciiTheme="majorBidi" w:hAnsiTheme="majorBidi" w:cstheme="majorBidi"/>
        </w:rPr>
        <w:t xml:space="preserve">. </w:t>
      </w:r>
      <w:r w:rsidRPr="00257477">
        <w:rPr>
          <w:rFonts w:asciiTheme="majorBidi" w:hAnsiTheme="majorBidi" w:cstheme="majorBidi"/>
        </w:rPr>
        <w:t xml:space="preserve"> </w:t>
      </w:r>
    </w:p>
    <w:p w14:paraId="7CF9F62F" w14:textId="70D71E2C" w:rsidR="00745F7D" w:rsidRPr="00257477" w:rsidRDefault="0070132D" w:rsidP="00257477">
      <w:pPr>
        <w:shd w:val="clear" w:color="auto" w:fill="FFFFFF"/>
        <w:spacing w:line="276" w:lineRule="auto"/>
        <w:ind w:firstLine="720"/>
        <w:jc w:val="both"/>
        <w:rPr>
          <w:rFonts w:asciiTheme="majorBidi" w:hAnsiTheme="majorBidi" w:cstheme="majorBidi"/>
        </w:rPr>
      </w:pPr>
      <w:r w:rsidRPr="00257477">
        <w:rPr>
          <w:rFonts w:asciiTheme="majorBidi" w:hAnsiTheme="majorBidi" w:cstheme="majorBidi"/>
        </w:rPr>
        <w:t>N</w:t>
      </w:r>
      <w:r w:rsidR="00473958" w:rsidRPr="00257477">
        <w:rPr>
          <w:rFonts w:asciiTheme="majorBidi" w:hAnsiTheme="majorBidi" w:cstheme="majorBidi"/>
        </w:rPr>
        <w:t>oteikumi par uzraudzības perioda noteikšanu ir iekļauti līguma Nr. 1 nosacījumu daļā, kas ir uzskatāma par līguma Nr. 1 vispārīgajiem noteikumiem, kuru saturs atbilstoši līguma Nr.</w:t>
      </w:r>
      <w:r w:rsidR="00E27E3A" w:rsidRPr="00257477">
        <w:rPr>
          <w:rFonts w:asciiTheme="majorBidi" w:hAnsiTheme="majorBidi" w:cstheme="majorBidi"/>
        </w:rPr>
        <w:t> </w:t>
      </w:r>
      <w:r w:rsidR="00473958" w:rsidRPr="00257477">
        <w:rPr>
          <w:rFonts w:asciiTheme="majorBidi" w:hAnsiTheme="majorBidi" w:cstheme="majorBidi"/>
        </w:rPr>
        <w:t>1 5.</w:t>
      </w:r>
      <w:r w:rsidR="00E27E3A" w:rsidRPr="00257477">
        <w:rPr>
          <w:rFonts w:asciiTheme="majorBidi" w:hAnsiTheme="majorBidi" w:cstheme="majorBidi"/>
        </w:rPr>
        <w:t> </w:t>
      </w:r>
      <w:r w:rsidR="00473958" w:rsidRPr="00257477">
        <w:rPr>
          <w:rFonts w:asciiTheme="majorBidi" w:hAnsiTheme="majorBidi" w:cstheme="majorBidi"/>
        </w:rPr>
        <w:t>punktam (</w:t>
      </w:r>
      <w:r w:rsidR="00473958" w:rsidRPr="00257477">
        <w:rPr>
          <w:rFonts w:asciiTheme="majorBidi" w:hAnsiTheme="majorBidi" w:cstheme="majorBidi"/>
          <w:i/>
          <w:iCs/>
        </w:rPr>
        <w:t>„Līgums sastāv no līguma individuālās daļas uz 2 (divām) lapaspusēm un atbalsta finansējuma saņemšanas nosacījumiem uz 13 (</w:t>
      </w:r>
      <w:r w:rsidR="005C37F0" w:rsidRPr="00257477">
        <w:rPr>
          <w:rFonts w:asciiTheme="majorBidi" w:hAnsiTheme="majorBidi" w:cstheme="majorBidi"/>
          <w:i/>
          <w:iCs/>
        </w:rPr>
        <w:t>trīspadsmit</w:t>
      </w:r>
      <w:r w:rsidR="00473958" w:rsidRPr="00257477">
        <w:rPr>
          <w:rFonts w:asciiTheme="majorBidi" w:hAnsiTheme="majorBidi" w:cstheme="majorBidi"/>
          <w:i/>
          <w:iCs/>
        </w:rPr>
        <w:t>)</w:t>
      </w:r>
      <w:r w:rsidR="005C37F0" w:rsidRPr="00257477">
        <w:rPr>
          <w:rFonts w:asciiTheme="majorBidi" w:hAnsiTheme="majorBidi" w:cstheme="majorBidi"/>
          <w:i/>
          <w:iCs/>
        </w:rPr>
        <w:t xml:space="preserve"> lapaspusēm.”</w:t>
      </w:r>
      <w:r w:rsidR="00473958" w:rsidRPr="00257477">
        <w:rPr>
          <w:rFonts w:asciiTheme="majorBidi" w:hAnsiTheme="majorBidi" w:cstheme="majorBidi"/>
        </w:rPr>
        <w:t xml:space="preserve">) netika individuāli noteikts un kurus </w:t>
      </w:r>
      <w:r w:rsidR="005C37F0" w:rsidRPr="00257477">
        <w:rPr>
          <w:rFonts w:asciiTheme="majorBidi" w:hAnsiTheme="majorBidi" w:cstheme="majorBidi"/>
        </w:rPr>
        <w:t xml:space="preserve">sagatavoja prasītāja. </w:t>
      </w:r>
      <w:r w:rsidR="00245D5D" w:rsidRPr="00257477">
        <w:rPr>
          <w:rFonts w:asciiTheme="majorBidi" w:hAnsiTheme="majorBidi" w:cstheme="majorBidi"/>
        </w:rPr>
        <w:t xml:space="preserve">Lietā nav strīda, ka </w:t>
      </w:r>
      <w:r w:rsidR="005C37F0" w:rsidRPr="00257477">
        <w:rPr>
          <w:rFonts w:asciiTheme="majorBidi" w:hAnsiTheme="majorBidi" w:cstheme="majorBidi"/>
        </w:rPr>
        <w:t>līguma Nr. 1 2. un 4. punkts, kas iekļauti līguma Nr.</w:t>
      </w:r>
      <w:r w:rsidR="00FB206D" w:rsidRPr="00257477">
        <w:rPr>
          <w:rFonts w:asciiTheme="majorBidi" w:hAnsiTheme="majorBidi" w:cstheme="majorBidi"/>
        </w:rPr>
        <w:t> </w:t>
      </w:r>
      <w:r w:rsidR="005C37F0" w:rsidRPr="00257477">
        <w:rPr>
          <w:rFonts w:asciiTheme="majorBidi" w:hAnsiTheme="majorBidi" w:cstheme="majorBidi"/>
        </w:rPr>
        <w:t>1 individuālajā daļā, paredz atbalsta finansējuma piešķiršanu pēcapmaksas veidā</w:t>
      </w:r>
      <w:r w:rsidR="000F4010" w:rsidRPr="00257477">
        <w:rPr>
          <w:rFonts w:asciiTheme="majorBidi" w:hAnsiTheme="majorBidi" w:cstheme="majorBidi"/>
        </w:rPr>
        <w:t>.</w:t>
      </w:r>
      <w:r w:rsidR="00EB17FE" w:rsidRPr="00257477">
        <w:rPr>
          <w:rFonts w:asciiTheme="majorBidi" w:hAnsiTheme="majorBidi" w:cstheme="majorBidi"/>
        </w:rPr>
        <w:t xml:space="preserve"> Ievērojot to, ka lietā nav strīda par finansējuma atbalsta finansējuma izmaksāšanu pēcapmaksas veidā, apelācijas instances tiesai ir jāpārbauda, kādi saskaņā ar līgumu Nr. 1 ir šā atbalsta finansējuma izmaksāšanas priekšnoteikumi</w:t>
      </w:r>
      <w:r w:rsidRPr="00257477">
        <w:rPr>
          <w:rFonts w:asciiTheme="majorBidi" w:hAnsiTheme="majorBidi" w:cstheme="majorBidi"/>
        </w:rPr>
        <w:t xml:space="preserve"> un vai tie tika ievēroti, izmaksājot atbalsta finansējumu. </w:t>
      </w:r>
      <w:r w:rsidR="00EB17FE" w:rsidRPr="00257477">
        <w:rPr>
          <w:rFonts w:asciiTheme="majorBidi" w:hAnsiTheme="majorBidi" w:cstheme="majorBidi"/>
        </w:rPr>
        <w:t xml:space="preserve"> </w:t>
      </w:r>
    </w:p>
    <w:p w14:paraId="307EF867" w14:textId="5284BF4C" w:rsidR="000F4010" w:rsidRPr="00257477" w:rsidRDefault="00EB17FE" w:rsidP="00257477">
      <w:pPr>
        <w:shd w:val="clear" w:color="auto" w:fill="FFFFFF"/>
        <w:spacing w:line="276" w:lineRule="auto"/>
        <w:ind w:firstLine="720"/>
        <w:jc w:val="both"/>
        <w:rPr>
          <w:rFonts w:asciiTheme="majorBidi" w:hAnsiTheme="majorBidi" w:cstheme="majorBidi"/>
        </w:rPr>
      </w:pPr>
      <w:r w:rsidRPr="00257477">
        <w:rPr>
          <w:rFonts w:asciiTheme="majorBidi" w:hAnsiTheme="majorBidi" w:cstheme="majorBidi"/>
        </w:rPr>
        <w:t xml:space="preserve">Turklāt </w:t>
      </w:r>
      <w:r w:rsidR="00245D5D" w:rsidRPr="00257477">
        <w:rPr>
          <w:rFonts w:asciiTheme="majorBidi" w:hAnsiTheme="majorBidi" w:cstheme="majorBidi"/>
        </w:rPr>
        <w:t xml:space="preserve">apelācijas instances tiesai, </w:t>
      </w:r>
      <w:r w:rsidR="00745F7D" w:rsidRPr="00257477">
        <w:rPr>
          <w:rFonts w:asciiTheme="majorBidi" w:hAnsiTheme="majorBidi" w:cstheme="majorBidi"/>
        </w:rPr>
        <w:t xml:space="preserve">izskatot lietu no jauna un </w:t>
      </w:r>
      <w:r w:rsidR="000F4010" w:rsidRPr="00257477">
        <w:rPr>
          <w:rFonts w:asciiTheme="majorBidi" w:hAnsiTheme="majorBidi" w:cstheme="majorBidi"/>
        </w:rPr>
        <w:t xml:space="preserve">iztulkojot </w:t>
      </w:r>
      <w:r w:rsidR="00245D5D" w:rsidRPr="00257477">
        <w:rPr>
          <w:rFonts w:asciiTheme="majorBidi" w:hAnsiTheme="majorBidi" w:cstheme="majorBidi"/>
        </w:rPr>
        <w:t>līgum</w:t>
      </w:r>
      <w:r w:rsidR="000F4010" w:rsidRPr="00257477">
        <w:rPr>
          <w:rFonts w:asciiTheme="majorBidi" w:hAnsiTheme="majorBidi" w:cstheme="majorBidi"/>
        </w:rPr>
        <w:t>a</w:t>
      </w:r>
      <w:r w:rsidR="00245D5D" w:rsidRPr="00257477">
        <w:rPr>
          <w:rFonts w:asciiTheme="majorBidi" w:hAnsiTheme="majorBidi" w:cstheme="majorBidi"/>
        </w:rPr>
        <w:t xml:space="preserve"> Nr. 1 noteikum</w:t>
      </w:r>
      <w:r w:rsidR="000F4010" w:rsidRPr="00257477">
        <w:rPr>
          <w:rFonts w:asciiTheme="majorBidi" w:hAnsiTheme="majorBidi" w:cstheme="majorBidi"/>
        </w:rPr>
        <w:t>us</w:t>
      </w:r>
      <w:r w:rsidR="00245D5D" w:rsidRPr="00257477">
        <w:rPr>
          <w:rFonts w:asciiTheme="majorBidi" w:hAnsiTheme="majorBidi" w:cstheme="majorBidi"/>
        </w:rPr>
        <w:t>, ir jā</w:t>
      </w:r>
      <w:r w:rsidR="00B65BAF" w:rsidRPr="00257477">
        <w:rPr>
          <w:rFonts w:asciiTheme="majorBidi" w:hAnsiTheme="majorBidi" w:cstheme="majorBidi"/>
        </w:rPr>
        <w:t xml:space="preserve">atbild uz šādiem jautājumiem. Pirmkārt, </w:t>
      </w:r>
      <w:r w:rsidRPr="00257477">
        <w:rPr>
          <w:rFonts w:asciiTheme="majorBidi" w:hAnsiTheme="majorBidi" w:cstheme="majorBidi"/>
        </w:rPr>
        <w:t xml:space="preserve">kā jau minēts, </w:t>
      </w:r>
      <w:r w:rsidR="00245D5D" w:rsidRPr="00257477">
        <w:rPr>
          <w:rFonts w:asciiTheme="majorBidi" w:hAnsiTheme="majorBidi" w:cstheme="majorBidi"/>
        </w:rPr>
        <w:t xml:space="preserve">kāda kārtība </w:t>
      </w:r>
      <w:r w:rsidRPr="00257477">
        <w:rPr>
          <w:rFonts w:asciiTheme="majorBidi" w:hAnsiTheme="majorBidi" w:cstheme="majorBidi"/>
        </w:rPr>
        <w:t xml:space="preserve">un kādi priekšnoteikumi </w:t>
      </w:r>
      <w:r w:rsidR="00245D5D" w:rsidRPr="00257477">
        <w:rPr>
          <w:rFonts w:asciiTheme="majorBidi" w:hAnsiTheme="majorBidi" w:cstheme="majorBidi"/>
        </w:rPr>
        <w:t>noteikt</w:t>
      </w:r>
      <w:r w:rsidRPr="00257477">
        <w:rPr>
          <w:rFonts w:asciiTheme="majorBidi" w:hAnsiTheme="majorBidi" w:cstheme="majorBidi"/>
        </w:rPr>
        <w:t>i</w:t>
      </w:r>
      <w:r w:rsidR="00245D5D" w:rsidRPr="00257477">
        <w:rPr>
          <w:rFonts w:asciiTheme="majorBidi" w:hAnsiTheme="majorBidi" w:cstheme="majorBidi"/>
        </w:rPr>
        <w:t xml:space="preserve"> līgumā Nr. 1 atbalsta finansējuma piešķiršanai</w:t>
      </w:r>
      <w:r w:rsidRPr="00257477">
        <w:rPr>
          <w:rFonts w:asciiTheme="majorBidi" w:hAnsiTheme="majorBidi" w:cstheme="majorBidi"/>
        </w:rPr>
        <w:t>. O</w:t>
      </w:r>
      <w:r w:rsidR="00B65BAF" w:rsidRPr="00257477">
        <w:rPr>
          <w:rFonts w:asciiTheme="majorBidi" w:hAnsiTheme="majorBidi" w:cstheme="majorBidi"/>
        </w:rPr>
        <w:t xml:space="preserve">trkārt, </w:t>
      </w:r>
      <w:r w:rsidR="00245D5D" w:rsidRPr="00257477">
        <w:rPr>
          <w:rFonts w:asciiTheme="majorBidi" w:hAnsiTheme="majorBidi" w:cstheme="majorBidi"/>
        </w:rPr>
        <w:t xml:space="preserve">kādā termiņā </w:t>
      </w:r>
      <w:r w:rsidRPr="00257477">
        <w:rPr>
          <w:rFonts w:asciiTheme="majorBidi" w:hAnsiTheme="majorBidi" w:cstheme="majorBidi"/>
        </w:rPr>
        <w:t xml:space="preserve">atbalsta finansējums </w:t>
      </w:r>
      <w:r w:rsidR="00245D5D" w:rsidRPr="00257477">
        <w:rPr>
          <w:rFonts w:asciiTheme="majorBidi" w:hAnsiTheme="majorBidi" w:cstheme="majorBidi"/>
        </w:rPr>
        <w:t>bija piešķirams un tika piešķirts</w:t>
      </w:r>
      <w:r w:rsidRPr="00257477">
        <w:rPr>
          <w:rFonts w:asciiTheme="majorBidi" w:hAnsiTheme="majorBidi" w:cstheme="majorBidi"/>
        </w:rPr>
        <w:t>. T</w:t>
      </w:r>
      <w:r w:rsidR="00B65BAF" w:rsidRPr="00257477">
        <w:rPr>
          <w:rFonts w:asciiTheme="majorBidi" w:hAnsiTheme="majorBidi" w:cstheme="majorBidi"/>
        </w:rPr>
        <w:t>reškārt</w:t>
      </w:r>
      <w:r w:rsidR="00245D5D" w:rsidRPr="00257477">
        <w:rPr>
          <w:rFonts w:asciiTheme="majorBidi" w:hAnsiTheme="majorBidi" w:cstheme="majorBidi"/>
        </w:rPr>
        <w:t>, vai projekta uzraudzības perioda tecējums sāk</w:t>
      </w:r>
      <w:r w:rsidR="00B65BAF" w:rsidRPr="00257477">
        <w:rPr>
          <w:rFonts w:asciiTheme="majorBidi" w:hAnsiTheme="majorBidi" w:cstheme="majorBidi"/>
        </w:rPr>
        <w:t>ā</w:t>
      </w:r>
      <w:r w:rsidR="00245D5D" w:rsidRPr="00257477">
        <w:rPr>
          <w:rFonts w:asciiTheme="majorBidi" w:hAnsiTheme="majorBidi" w:cstheme="majorBidi"/>
        </w:rPr>
        <w:t>s ar brīdi, kad atbildētāja iesniedza prasītājai projekta noslēguma pārskatu</w:t>
      </w:r>
      <w:r w:rsidR="001E5807" w:rsidRPr="00257477">
        <w:rPr>
          <w:rFonts w:asciiTheme="majorBidi" w:hAnsiTheme="majorBidi" w:cstheme="majorBidi"/>
        </w:rPr>
        <w:t xml:space="preserve">, </w:t>
      </w:r>
      <w:r w:rsidR="00245D5D" w:rsidRPr="00257477">
        <w:rPr>
          <w:rFonts w:asciiTheme="majorBidi" w:hAnsiTheme="majorBidi" w:cstheme="majorBidi"/>
        </w:rPr>
        <w:t>kad prasītāja to apstiprināja, kad atbildētājai radās subjektīva tiesība uz atbalsta finansējuma saņemšanu, kad prasītāja šo atbalsta finansējumu izmaksāja</w:t>
      </w:r>
      <w:r w:rsidR="0070132D" w:rsidRPr="00257477">
        <w:rPr>
          <w:rFonts w:asciiTheme="majorBidi" w:hAnsiTheme="majorBidi" w:cstheme="majorBidi"/>
        </w:rPr>
        <w:t xml:space="preserve"> vai arī kādā citā brīdī.</w:t>
      </w:r>
      <w:r w:rsidR="00245D5D" w:rsidRPr="00257477">
        <w:rPr>
          <w:rFonts w:asciiTheme="majorBidi" w:hAnsiTheme="majorBidi" w:cstheme="majorBidi"/>
        </w:rPr>
        <w:t xml:space="preserve"> </w:t>
      </w:r>
      <w:r w:rsidR="00B65BAF" w:rsidRPr="00257477">
        <w:rPr>
          <w:rFonts w:asciiTheme="majorBidi" w:hAnsiTheme="majorBidi" w:cstheme="majorBidi"/>
        </w:rPr>
        <w:t>Visbeidzot, ja viena vai otr</w:t>
      </w:r>
      <w:r w:rsidR="001E5807" w:rsidRPr="00257477">
        <w:rPr>
          <w:rFonts w:asciiTheme="majorBidi" w:hAnsiTheme="majorBidi" w:cstheme="majorBidi"/>
        </w:rPr>
        <w:t>a</w:t>
      </w:r>
      <w:r w:rsidR="00B65BAF" w:rsidRPr="00257477">
        <w:rPr>
          <w:rFonts w:asciiTheme="majorBidi" w:hAnsiTheme="majorBidi" w:cstheme="majorBidi"/>
        </w:rPr>
        <w:t xml:space="preserve"> puse ir pieļāvusi nokavējumu </w:t>
      </w:r>
      <w:r w:rsidRPr="00257477">
        <w:rPr>
          <w:rFonts w:asciiTheme="majorBidi" w:hAnsiTheme="majorBidi" w:cstheme="majorBidi"/>
        </w:rPr>
        <w:t xml:space="preserve">vai nu </w:t>
      </w:r>
      <w:r w:rsidR="00B65BAF" w:rsidRPr="00257477">
        <w:rPr>
          <w:rFonts w:asciiTheme="majorBidi" w:hAnsiTheme="majorBidi" w:cstheme="majorBidi"/>
        </w:rPr>
        <w:t>attiecībā uz projekta Nr. 1 prasību izpildīšanu</w:t>
      </w:r>
      <w:r w:rsidRPr="00257477">
        <w:rPr>
          <w:rFonts w:asciiTheme="majorBidi" w:hAnsiTheme="majorBidi" w:cstheme="majorBidi"/>
        </w:rPr>
        <w:t>,</w:t>
      </w:r>
      <w:r w:rsidR="00B65BAF" w:rsidRPr="00257477">
        <w:rPr>
          <w:rFonts w:asciiTheme="majorBidi" w:hAnsiTheme="majorBidi" w:cstheme="majorBidi"/>
        </w:rPr>
        <w:t xml:space="preserve"> vai </w:t>
      </w:r>
      <w:r w:rsidR="0070132D" w:rsidRPr="00257477">
        <w:rPr>
          <w:rFonts w:asciiTheme="majorBidi" w:hAnsiTheme="majorBidi" w:cstheme="majorBidi"/>
        </w:rPr>
        <w:t xml:space="preserve">noslēguma pārskata apstiprināšanu, vai </w:t>
      </w:r>
      <w:r w:rsidR="00B65BAF" w:rsidRPr="00257477">
        <w:rPr>
          <w:rFonts w:asciiTheme="majorBidi" w:hAnsiTheme="majorBidi" w:cstheme="majorBidi"/>
        </w:rPr>
        <w:t>atbalsta finansējuma izmaksāšanu, kādas tiesiskas sekas ir šāda nokavējuma konstatācijai attiecībā uz uzraudzības perioda tecējuma sākuma brīža noteikšanu</w:t>
      </w:r>
      <w:r w:rsidRPr="00257477">
        <w:rPr>
          <w:rFonts w:asciiTheme="majorBidi" w:hAnsiTheme="majorBidi" w:cstheme="majorBidi"/>
        </w:rPr>
        <w:t xml:space="preserve"> </w:t>
      </w:r>
      <w:r w:rsidR="00B831D3" w:rsidRPr="00257477">
        <w:rPr>
          <w:rFonts w:asciiTheme="majorBidi" w:hAnsiTheme="majorBidi" w:cstheme="majorBidi"/>
        </w:rPr>
        <w:t xml:space="preserve">– </w:t>
      </w:r>
      <w:r w:rsidR="00B65BAF" w:rsidRPr="00257477">
        <w:rPr>
          <w:rFonts w:asciiTheme="majorBidi" w:hAnsiTheme="majorBidi" w:cstheme="majorBidi"/>
        </w:rPr>
        <w:t>jo</w:t>
      </w:r>
      <w:r w:rsidR="00E466E6" w:rsidRPr="00257477">
        <w:rPr>
          <w:rFonts w:asciiTheme="majorBidi" w:hAnsiTheme="majorBidi" w:cstheme="majorBidi"/>
        </w:rPr>
        <w:t>,</w:t>
      </w:r>
      <w:r w:rsidR="00B65BAF" w:rsidRPr="00257477">
        <w:rPr>
          <w:rFonts w:asciiTheme="majorBidi" w:hAnsiTheme="majorBidi" w:cstheme="majorBidi"/>
        </w:rPr>
        <w:t xml:space="preserve"> bez šaubām, kā </w:t>
      </w:r>
      <w:r w:rsidR="00B65BAF" w:rsidRPr="00257477">
        <w:rPr>
          <w:rFonts w:asciiTheme="majorBidi" w:hAnsiTheme="majorBidi" w:cstheme="majorBidi"/>
        </w:rPr>
        <w:lastRenderedPageBreak/>
        <w:t xml:space="preserve">to </w:t>
      </w:r>
      <w:r w:rsidR="00745F7D" w:rsidRPr="00257477">
        <w:rPr>
          <w:rFonts w:asciiTheme="majorBidi" w:hAnsiTheme="majorBidi" w:cstheme="majorBidi"/>
        </w:rPr>
        <w:t xml:space="preserve">pārsūdzētajā spriedumā </w:t>
      </w:r>
      <w:r w:rsidR="00B65BAF" w:rsidRPr="00257477">
        <w:rPr>
          <w:rFonts w:asciiTheme="majorBidi" w:hAnsiTheme="majorBidi" w:cstheme="majorBidi"/>
        </w:rPr>
        <w:t xml:space="preserve">pamatoti atzinusi apelācijas instances tiesa, uzraudzības periods nevar būt termiņā neierobežots, bet pašas prasītājas nokavējums saistību izpildē, ja tāds tika pieļauts, nevar </w:t>
      </w:r>
      <w:r w:rsidR="00745F7D" w:rsidRPr="00257477">
        <w:rPr>
          <w:rFonts w:asciiTheme="majorBidi" w:hAnsiTheme="majorBidi" w:cstheme="majorBidi"/>
        </w:rPr>
        <w:t xml:space="preserve">būt par </w:t>
      </w:r>
      <w:r w:rsidR="00B65BAF" w:rsidRPr="00257477">
        <w:rPr>
          <w:rFonts w:asciiTheme="majorBidi" w:hAnsiTheme="majorBidi" w:cstheme="majorBidi"/>
        </w:rPr>
        <w:t>pamat</w:t>
      </w:r>
      <w:r w:rsidR="00745F7D" w:rsidRPr="00257477">
        <w:rPr>
          <w:rFonts w:asciiTheme="majorBidi" w:hAnsiTheme="majorBidi" w:cstheme="majorBidi"/>
        </w:rPr>
        <w:t>u</w:t>
      </w:r>
      <w:r w:rsidR="00B65BAF" w:rsidRPr="00257477">
        <w:rPr>
          <w:rFonts w:asciiTheme="majorBidi" w:hAnsiTheme="majorBidi" w:cstheme="majorBidi"/>
        </w:rPr>
        <w:t xml:space="preserve"> uzraudzības perioda pagarināšan</w:t>
      </w:r>
      <w:r w:rsidR="00745F7D" w:rsidRPr="00257477">
        <w:rPr>
          <w:rFonts w:asciiTheme="majorBidi" w:hAnsiTheme="majorBidi" w:cstheme="majorBidi"/>
        </w:rPr>
        <w:t>ai par ļaunu atbildētājai kā atbalsta finansējuma saņēmējai</w:t>
      </w:r>
      <w:r w:rsidR="00B65BAF" w:rsidRPr="00257477">
        <w:rPr>
          <w:rFonts w:asciiTheme="majorBidi" w:hAnsiTheme="majorBidi" w:cstheme="majorBidi"/>
        </w:rPr>
        <w:t xml:space="preserve">. </w:t>
      </w:r>
    </w:p>
    <w:p w14:paraId="6C985643" w14:textId="05BC2926" w:rsidR="00745F7D" w:rsidRPr="00257477" w:rsidRDefault="000F4010" w:rsidP="00257477">
      <w:pPr>
        <w:shd w:val="clear" w:color="auto" w:fill="FFFFFF"/>
        <w:spacing w:line="276" w:lineRule="auto"/>
        <w:ind w:firstLine="720"/>
        <w:jc w:val="both"/>
        <w:rPr>
          <w:rFonts w:asciiTheme="majorBidi" w:hAnsiTheme="majorBidi" w:cstheme="majorBidi"/>
        </w:rPr>
      </w:pPr>
      <w:r w:rsidRPr="00257477">
        <w:rPr>
          <w:rFonts w:asciiTheme="majorBidi" w:hAnsiTheme="majorBidi" w:cstheme="majorBidi"/>
        </w:rPr>
        <w:t xml:space="preserve">Sniedzot atbildi uz šiem jautājumiem, apelācijas instances tiesai vienlaikus ir jāapsver, kāds ir uzraudzības perioda noteikšanas mērķis </w:t>
      </w:r>
      <w:r w:rsidR="00EB17FE" w:rsidRPr="00257477">
        <w:rPr>
          <w:rFonts w:asciiTheme="majorBidi" w:hAnsiTheme="majorBidi" w:cstheme="majorBidi"/>
        </w:rPr>
        <w:t>kopsakarā ar atbalsta finansējuma izmaksāšanu pēcapmaksas veidā</w:t>
      </w:r>
      <w:r w:rsidRPr="00257477">
        <w:rPr>
          <w:rFonts w:asciiTheme="majorBidi" w:hAnsiTheme="majorBidi" w:cstheme="majorBidi"/>
        </w:rPr>
        <w:t xml:space="preserve">. </w:t>
      </w:r>
      <w:r w:rsidR="00745F7D" w:rsidRPr="00257477">
        <w:rPr>
          <w:rFonts w:asciiTheme="majorBidi" w:hAnsiTheme="majorBidi" w:cstheme="majorBidi"/>
        </w:rPr>
        <w:t xml:space="preserve">Turklāt, vērtējot uzraudzības jeb </w:t>
      </w:r>
      <w:proofErr w:type="spellStart"/>
      <w:r w:rsidR="00745F7D" w:rsidRPr="00257477">
        <w:rPr>
          <w:rFonts w:asciiTheme="majorBidi" w:hAnsiTheme="majorBidi" w:cstheme="majorBidi"/>
        </w:rPr>
        <w:t>pēcuzraudzības</w:t>
      </w:r>
      <w:proofErr w:type="spellEnd"/>
      <w:r w:rsidR="00745F7D" w:rsidRPr="00257477">
        <w:rPr>
          <w:rFonts w:asciiTheme="majorBidi" w:hAnsiTheme="majorBidi" w:cstheme="majorBidi"/>
        </w:rPr>
        <w:t xml:space="preserve"> </w:t>
      </w:r>
      <w:r w:rsidR="00FB31A3" w:rsidRPr="00257477">
        <w:rPr>
          <w:rFonts w:asciiTheme="majorBidi" w:hAnsiTheme="majorBidi" w:cstheme="majorBidi"/>
        </w:rPr>
        <w:t>perioda sākuma un beigu termiņu</w:t>
      </w:r>
      <w:r w:rsidR="00745F7D" w:rsidRPr="00257477">
        <w:rPr>
          <w:rFonts w:asciiTheme="majorBidi" w:hAnsiTheme="majorBidi" w:cstheme="majorBidi"/>
        </w:rPr>
        <w:t>, apelācijas instances tiesai</w:t>
      </w:r>
      <w:r w:rsidR="00E27E3A" w:rsidRPr="00257477">
        <w:rPr>
          <w:rFonts w:asciiTheme="majorBidi" w:hAnsiTheme="majorBidi" w:cstheme="majorBidi"/>
        </w:rPr>
        <w:t>, ja Civillikuma 1504.–1505. panta noteikumi nebūs pietiekami pušu gribas noskaidrošanai, ir</w:t>
      </w:r>
      <w:r w:rsidR="00745F7D" w:rsidRPr="00257477">
        <w:rPr>
          <w:rFonts w:asciiTheme="majorBidi" w:hAnsiTheme="majorBidi" w:cstheme="majorBidi"/>
        </w:rPr>
        <w:t xml:space="preserve"> jāņem vērā</w:t>
      </w:r>
      <w:r w:rsidR="00FB206D" w:rsidRPr="00257477">
        <w:rPr>
          <w:rFonts w:asciiTheme="majorBidi" w:hAnsiTheme="majorBidi" w:cstheme="majorBidi"/>
        </w:rPr>
        <w:t xml:space="preserve"> arī</w:t>
      </w:r>
      <w:r w:rsidR="00745F7D" w:rsidRPr="00257477">
        <w:rPr>
          <w:rFonts w:asciiTheme="majorBidi" w:hAnsiTheme="majorBidi" w:cstheme="majorBidi"/>
        </w:rPr>
        <w:t xml:space="preserve"> Civillikuma 1584. pantā noteiktais, saskaņā ar kuru </w:t>
      </w:r>
      <w:r w:rsidR="00745F7D" w:rsidRPr="00257477">
        <w:rPr>
          <w:rFonts w:asciiTheme="majorBidi" w:hAnsiTheme="majorBidi" w:cstheme="majorBidi"/>
          <w:bCs/>
        </w:rPr>
        <w:t>„</w:t>
      </w:r>
      <w:r w:rsidR="00745F7D" w:rsidRPr="00257477">
        <w:rPr>
          <w:rFonts w:asciiTheme="majorBidi" w:hAnsiTheme="majorBidi" w:cstheme="majorBidi"/>
        </w:rPr>
        <w:t>šaubu gadījumā par katru termiņu pieņemams, ka tas noteikts drīzāk par labu saistītajam, nekā tiesīgajam”</w:t>
      </w:r>
      <w:r w:rsidRPr="00257477">
        <w:rPr>
          <w:rFonts w:asciiTheme="majorBidi" w:hAnsiTheme="majorBidi" w:cstheme="majorBidi"/>
        </w:rPr>
        <w:t>.</w:t>
      </w:r>
    </w:p>
    <w:p w14:paraId="03213AED" w14:textId="77777777" w:rsidR="00CA3E72" w:rsidRPr="00257477" w:rsidRDefault="00CA3E72" w:rsidP="00257477">
      <w:pPr>
        <w:shd w:val="clear" w:color="auto" w:fill="FFFFFF"/>
        <w:spacing w:line="276" w:lineRule="auto"/>
        <w:ind w:firstLine="720"/>
        <w:jc w:val="both"/>
        <w:rPr>
          <w:rFonts w:asciiTheme="majorBidi" w:hAnsiTheme="majorBidi" w:cstheme="majorBidi"/>
        </w:rPr>
      </w:pPr>
    </w:p>
    <w:p w14:paraId="37A8534B" w14:textId="4652E888" w:rsidR="00B831D3" w:rsidRPr="00257477" w:rsidRDefault="009E4691" w:rsidP="00257477">
      <w:pPr>
        <w:shd w:val="clear" w:color="auto" w:fill="FFFFFF"/>
        <w:spacing w:line="276" w:lineRule="auto"/>
        <w:ind w:firstLine="720"/>
        <w:jc w:val="both"/>
        <w:rPr>
          <w:rFonts w:asciiTheme="majorBidi" w:hAnsiTheme="majorBidi" w:cstheme="majorBidi"/>
        </w:rPr>
      </w:pPr>
      <w:r w:rsidRPr="00257477">
        <w:rPr>
          <w:rFonts w:asciiTheme="majorBidi" w:hAnsiTheme="majorBidi" w:cstheme="majorBidi"/>
        </w:rPr>
        <w:t>[</w:t>
      </w:r>
      <w:r w:rsidR="00D122A4" w:rsidRPr="00257477">
        <w:rPr>
          <w:rFonts w:asciiTheme="majorBidi" w:hAnsiTheme="majorBidi" w:cstheme="majorBidi"/>
        </w:rPr>
        <w:t>9</w:t>
      </w:r>
      <w:r w:rsidRPr="00257477">
        <w:rPr>
          <w:rFonts w:asciiTheme="majorBidi" w:hAnsiTheme="majorBidi" w:cstheme="majorBidi"/>
        </w:rPr>
        <w:t>]</w:t>
      </w:r>
      <w:r w:rsidR="00A526A0" w:rsidRPr="00257477">
        <w:rPr>
          <w:rFonts w:asciiTheme="majorBidi" w:hAnsiTheme="majorBidi" w:cstheme="majorBidi"/>
        </w:rPr>
        <w:t> </w:t>
      </w:r>
      <w:r w:rsidRPr="00257477">
        <w:rPr>
          <w:rFonts w:asciiTheme="majorBidi" w:hAnsiTheme="majorBidi" w:cstheme="majorBidi"/>
        </w:rPr>
        <w:t xml:space="preserve">Lietā nav strīda, ka </w:t>
      </w:r>
      <w:r w:rsidR="00B274EE" w:rsidRPr="00257477">
        <w:rPr>
          <w:rFonts w:asciiTheme="majorBidi" w:hAnsiTheme="majorBidi" w:cstheme="majorBidi"/>
        </w:rPr>
        <w:t xml:space="preserve">Latvijas Republikas </w:t>
      </w:r>
      <w:r w:rsidRPr="00257477">
        <w:rPr>
          <w:rFonts w:asciiTheme="majorBidi" w:hAnsiTheme="majorBidi" w:cstheme="majorBidi"/>
        </w:rPr>
        <w:t>Finanšu ministrija ir vadošā iestāde</w:t>
      </w:r>
      <w:r w:rsidR="00087C1A" w:rsidRPr="00257477">
        <w:rPr>
          <w:rFonts w:asciiTheme="majorBidi" w:hAnsiTheme="majorBidi" w:cstheme="majorBidi"/>
        </w:rPr>
        <w:t xml:space="preserve"> (Eiropas Savienības struktūrfondu un Kohēzijas fonda vadības likuma 9. panta trešā daļa)</w:t>
      </w:r>
      <w:r w:rsidRPr="00257477">
        <w:rPr>
          <w:rFonts w:asciiTheme="majorBidi" w:hAnsiTheme="majorBidi" w:cstheme="majorBidi"/>
        </w:rPr>
        <w:t>, kuras kompetencē saskaņā ar MK</w:t>
      </w:r>
      <w:r w:rsidR="00B831D3" w:rsidRPr="00257477">
        <w:rPr>
          <w:rFonts w:asciiTheme="majorBidi" w:hAnsiTheme="majorBidi" w:cstheme="majorBidi"/>
        </w:rPr>
        <w:t xml:space="preserve"> noteikumu</w:t>
      </w:r>
      <w:r w:rsidRPr="00257477">
        <w:rPr>
          <w:rFonts w:asciiTheme="majorBidi" w:hAnsiTheme="majorBidi" w:cstheme="majorBidi"/>
        </w:rPr>
        <w:t xml:space="preserve"> Nr.</w:t>
      </w:r>
      <w:r w:rsidR="00B831D3" w:rsidRPr="00257477">
        <w:rPr>
          <w:rFonts w:asciiTheme="majorBidi" w:hAnsiTheme="majorBidi" w:cstheme="majorBidi"/>
        </w:rPr>
        <w:t> </w:t>
      </w:r>
      <w:r w:rsidRPr="00257477">
        <w:rPr>
          <w:rFonts w:asciiTheme="majorBidi" w:hAnsiTheme="majorBidi" w:cstheme="majorBidi"/>
        </w:rPr>
        <w:t>740 6.</w:t>
      </w:r>
      <w:r w:rsidR="00B831D3" w:rsidRPr="00257477">
        <w:rPr>
          <w:rFonts w:asciiTheme="majorBidi" w:hAnsiTheme="majorBidi" w:cstheme="majorBidi"/>
        </w:rPr>
        <w:t> </w:t>
      </w:r>
      <w:r w:rsidRPr="00257477">
        <w:rPr>
          <w:rFonts w:asciiTheme="majorBidi" w:hAnsiTheme="majorBidi" w:cstheme="majorBidi"/>
        </w:rPr>
        <w:t xml:space="preserve">punktu ietilpst izstrādāt vadlīnijas par finanšu korekciju piemērošanu. </w:t>
      </w:r>
      <w:r w:rsidR="00087C1A" w:rsidRPr="00257477">
        <w:rPr>
          <w:rFonts w:asciiTheme="majorBidi" w:hAnsiTheme="majorBidi" w:cstheme="majorBidi"/>
        </w:rPr>
        <w:t xml:space="preserve">Vienlaikus apelācijas instances tiesa ir atteikusies piemērot </w:t>
      </w:r>
      <w:r w:rsidR="00B274EE" w:rsidRPr="00257477">
        <w:rPr>
          <w:rFonts w:asciiTheme="majorBidi" w:hAnsiTheme="majorBidi" w:cstheme="majorBidi"/>
        </w:rPr>
        <w:t xml:space="preserve">Latvijas Republikas </w:t>
      </w:r>
      <w:r w:rsidR="00087C1A" w:rsidRPr="00257477">
        <w:rPr>
          <w:rFonts w:asciiTheme="majorBidi" w:hAnsiTheme="majorBidi" w:cstheme="majorBidi"/>
        </w:rPr>
        <w:t>Finanšu ministrijas izstrādātās vadlīnijas par finanšu korekcijas piemērošanu, kas</w:t>
      </w:r>
      <w:r w:rsidR="003934F0" w:rsidRPr="00257477">
        <w:rPr>
          <w:rFonts w:asciiTheme="majorBidi" w:hAnsiTheme="majorBidi" w:cstheme="majorBidi"/>
        </w:rPr>
        <w:t xml:space="preserve"> </w:t>
      </w:r>
      <w:proofErr w:type="spellStart"/>
      <w:r w:rsidR="003934F0" w:rsidRPr="00257477">
        <w:rPr>
          <w:rFonts w:asciiTheme="majorBidi" w:hAnsiTheme="majorBidi" w:cstheme="majorBidi"/>
        </w:rPr>
        <w:t>citstarp</w:t>
      </w:r>
      <w:proofErr w:type="spellEnd"/>
      <w:r w:rsidR="003934F0" w:rsidRPr="00257477">
        <w:rPr>
          <w:rFonts w:asciiTheme="majorBidi" w:hAnsiTheme="majorBidi" w:cstheme="majorBidi"/>
        </w:rPr>
        <w:t xml:space="preserve"> nosaka finanšu korekcijas apmēra noteikšanas kārtību, pamatojot to ar apsvērumu, ka vadlīnijas par finanšu korekcijas piemērošanu ir </w:t>
      </w:r>
      <w:r w:rsidR="00087C1A" w:rsidRPr="00257477">
        <w:rPr>
          <w:rFonts w:asciiTheme="majorBidi" w:hAnsiTheme="majorBidi" w:cstheme="majorBidi"/>
        </w:rPr>
        <w:t>prasītājas iekšēj</w:t>
      </w:r>
      <w:r w:rsidR="00EB325F" w:rsidRPr="00257477">
        <w:rPr>
          <w:rFonts w:asciiTheme="majorBidi" w:hAnsiTheme="majorBidi" w:cstheme="majorBidi"/>
        </w:rPr>
        <w:t>ai</w:t>
      </w:r>
      <w:r w:rsidR="00087C1A" w:rsidRPr="00257477">
        <w:rPr>
          <w:rFonts w:asciiTheme="majorBidi" w:hAnsiTheme="majorBidi" w:cstheme="majorBidi"/>
        </w:rPr>
        <w:t>s normatīv</w:t>
      </w:r>
      <w:r w:rsidR="00EB325F" w:rsidRPr="00257477">
        <w:rPr>
          <w:rFonts w:asciiTheme="majorBidi" w:hAnsiTheme="majorBidi" w:cstheme="majorBidi"/>
        </w:rPr>
        <w:t>ai</w:t>
      </w:r>
      <w:r w:rsidR="00087C1A" w:rsidRPr="00257477">
        <w:rPr>
          <w:rFonts w:asciiTheme="majorBidi" w:hAnsiTheme="majorBidi" w:cstheme="majorBidi"/>
        </w:rPr>
        <w:t>s akts</w:t>
      </w:r>
      <w:r w:rsidR="003934F0" w:rsidRPr="00257477">
        <w:rPr>
          <w:rFonts w:asciiTheme="majorBidi" w:hAnsiTheme="majorBidi" w:cstheme="majorBidi"/>
        </w:rPr>
        <w:t xml:space="preserve">, kas lietas izspriešanā nav piemērojams. </w:t>
      </w:r>
    </w:p>
    <w:p w14:paraId="73F789F4" w14:textId="7C5C6FD5" w:rsidR="003934F0" w:rsidRPr="00257477" w:rsidRDefault="003934F0" w:rsidP="00257477">
      <w:pPr>
        <w:shd w:val="clear" w:color="auto" w:fill="FFFFFF"/>
        <w:spacing w:line="276" w:lineRule="auto"/>
        <w:ind w:firstLine="720"/>
        <w:jc w:val="both"/>
        <w:rPr>
          <w:rFonts w:asciiTheme="majorBidi" w:hAnsiTheme="majorBidi" w:cstheme="majorBidi"/>
        </w:rPr>
      </w:pPr>
      <w:r w:rsidRPr="00257477">
        <w:rPr>
          <w:rFonts w:asciiTheme="majorBidi" w:hAnsiTheme="majorBidi" w:cstheme="majorBidi"/>
        </w:rPr>
        <w:t>[</w:t>
      </w:r>
      <w:r w:rsidR="00D122A4" w:rsidRPr="00257477">
        <w:rPr>
          <w:rFonts w:asciiTheme="majorBidi" w:hAnsiTheme="majorBidi" w:cstheme="majorBidi"/>
        </w:rPr>
        <w:t>9</w:t>
      </w:r>
      <w:r w:rsidRPr="00257477">
        <w:rPr>
          <w:rFonts w:asciiTheme="majorBidi" w:hAnsiTheme="majorBidi" w:cstheme="majorBidi"/>
        </w:rPr>
        <w:t>.1]</w:t>
      </w:r>
      <w:r w:rsidR="00A526A0" w:rsidRPr="00257477">
        <w:rPr>
          <w:rFonts w:asciiTheme="majorBidi" w:hAnsiTheme="majorBidi" w:cstheme="majorBidi"/>
        </w:rPr>
        <w:t> </w:t>
      </w:r>
      <w:r w:rsidR="009228C2" w:rsidRPr="00257477">
        <w:rPr>
          <w:rFonts w:asciiTheme="majorBidi" w:hAnsiTheme="majorBidi" w:cstheme="majorBidi"/>
        </w:rPr>
        <w:t>Atbilstoši Oficiālo publikāciju un tiesiskās informācijas likuma 9. pantam par ārējiem normatīvajiem aktiem ir atzīstami: 1)</w:t>
      </w:r>
      <w:r w:rsidR="00A526A0" w:rsidRPr="00257477">
        <w:rPr>
          <w:rFonts w:asciiTheme="majorBidi" w:hAnsiTheme="majorBidi" w:cstheme="majorBidi"/>
        </w:rPr>
        <w:t> </w:t>
      </w:r>
      <w:r w:rsidR="009228C2" w:rsidRPr="00257477">
        <w:rPr>
          <w:rFonts w:asciiTheme="majorBidi" w:hAnsiTheme="majorBidi" w:cstheme="majorBidi"/>
        </w:rPr>
        <w:t>Latvijas Republikas Satversme (pirmās daļas 1. punkts)</w:t>
      </w:r>
      <w:r w:rsidR="002662D7" w:rsidRPr="00257477">
        <w:rPr>
          <w:rFonts w:asciiTheme="majorBidi" w:hAnsiTheme="majorBidi" w:cstheme="majorBidi"/>
        </w:rPr>
        <w:t>, kā arī citi konstitucionālie likumi</w:t>
      </w:r>
      <w:r w:rsidR="009228C2" w:rsidRPr="00257477">
        <w:rPr>
          <w:rFonts w:asciiTheme="majorBidi" w:hAnsiTheme="majorBidi" w:cstheme="majorBidi"/>
        </w:rPr>
        <w:t>, 2)</w:t>
      </w:r>
      <w:r w:rsidR="00A526A0" w:rsidRPr="00257477">
        <w:rPr>
          <w:rFonts w:asciiTheme="majorBidi" w:hAnsiTheme="majorBidi" w:cstheme="majorBidi"/>
        </w:rPr>
        <w:t> </w:t>
      </w:r>
      <w:r w:rsidR="009228C2" w:rsidRPr="00257477">
        <w:rPr>
          <w:rFonts w:asciiTheme="majorBidi" w:hAnsiTheme="majorBidi" w:cstheme="majorBidi"/>
        </w:rPr>
        <w:t>likumi (pirmās daļas 2. punkts), 3)</w:t>
      </w:r>
      <w:r w:rsidR="00A526A0" w:rsidRPr="00257477">
        <w:rPr>
          <w:rFonts w:asciiTheme="majorBidi" w:hAnsiTheme="majorBidi" w:cstheme="majorBidi"/>
        </w:rPr>
        <w:t> </w:t>
      </w:r>
      <w:r w:rsidR="009228C2" w:rsidRPr="00257477">
        <w:rPr>
          <w:rFonts w:asciiTheme="majorBidi" w:hAnsiTheme="majorBidi" w:cstheme="majorBidi"/>
        </w:rPr>
        <w:t>Ministru kabineta noteikumi (pirmās daļas 3. punkts), 4)</w:t>
      </w:r>
      <w:r w:rsidR="00A526A0" w:rsidRPr="00257477">
        <w:rPr>
          <w:rFonts w:asciiTheme="majorBidi" w:hAnsiTheme="majorBidi" w:cstheme="majorBidi"/>
        </w:rPr>
        <w:t> </w:t>
      </w:r>
      <w:r w:rsidR="009228C2" w:rsidRPr="00257477">
        <w:rPr>
          <w:rFonts w:asciiTheme="majorBidi" w:hAnsiTheme="majorBidi" w:cstheme="majorBidi"/>
        </w:rPr>
        <w:t>pašvaldību saistošie noteikumi (pirmās daļas 4. punkts), 5)</w:t>
      </w:r>
      <w:r w:rsidR="00A526A0" w:rsidRPr="00257477">
        <w:rPr>
          <w:rFonts w:asciiTheme="majorBidi" w:hAnsiTheme="majorBidi" w:cstheme="majorBidi"/>
        </w:rPr>
        <w:t> </w:t>
      </w:r>
      <w:r w:rsidR="009228C2" w:rsidRPr="00257477">
        <w:rPr>
          <w:rFonts w:asciiTheme="majorBidi" w:hAnsiTheme="majorBidi" w:cstheme="majorBidi"/>
        </w:rPr>
        <w:t>ārējie normatīvie akti, kurus savas autonomās kompetences jautājumos izdevusi atvasināta publisko tiesību juridiskā persona (otrā daļa)</w:t>
      </w:r>
      <w:r w:rsidR="002662D7" w:rsidRPr="00257477">
        <w:rPr>
          <w:rFonts w:asciiTheme="majorBidi" w:hAnsiTheme="majorBidi" w:cstheme="majorBidi"/>
        </w:rPr>
        <w:t>, 5)</w:t>
      </w:r>
      <w:r w:rsidR="00A526A0" w:rsidRPr="00257477">
        <w:rPr>
          <w:rFonts w:asciiTheme="majorBidi" w:hAnsiTheme="majorBidi" w:cstheme="majorBidi"/>
        </w:rPr>
        <w:t> </w:t>
      </w:r>
      <w:r w:rsidR="002662D7" w:rsidRPr="00257477">
        <w:rPr>
          <w:rFonts w:asciiTheme="majorBidi" w:hAnsiTheme="majorBidi" w:cstheme="majorBidi"/>
        </w:rPr>
        <w:t>starptautisko</w:t>
      </w:r>
      <w:r w:rsidR="008E65BF" w:rsidRPr="00257477">
        <w:rPr>
          <w:rFonts w:asciiTheme="majorBidi" w:hAnsiTheme="majorBidi" w:cstheme="majorBidi"/>
        </w:rPr>
        <w:t xml:space="preserve"> un Eiropas Savienības </w:t>
      </w:r>
      <w:r w:rsidR="002662D7" w:rsidRPr="00257477">
        <w:rPr>
          <w:rFonts w:asciiTheme="majorBidi" w:hAnsiTheme="majorBidi" w:cstheme="majorBidi"/>
        </w:rPr>
        <w:t xml:space="preserve">tiesību normas </w:t>
      </w:r>
      <w:r w:rsidR="008E65BF" w:rsidRPr="00257477">
        <w:rPr>
          <w:rFonts w:asciiTheme="majorBidi" w:hAnsiTheme="majorBidi" w:cstheme="majorBidi"/>
        </w:rPr>
        <w:t xml:space="preserve">(trešā daļa). </w:t>
      </w:r>
    </w:p>
    <w:p w14:paraId="7955E622" w14:textId="1E833D05" w:rsidR="00151FA8" w:rsidRPr="00257477" w:rsidRDefault="00151FA8" w:rsidP="00257477">
      <w:pPr>
        <w:shd w:val="clear" w:color="auto" w:fill="FFFFFF"/>
        <w:spacing w:line="276" w:lineRule="auto"/>
        <w:ind w:firstLine="720"/>
        <w:jc w:val="both"/>
        <w:rPr>
          <w:rFonts w:asciiTheme="majorBidi" w:hAnsiTheme="majorBidi" w:cstheme="majorBidi"/>
        </w:rPr>
      </w:pPr>
      <w:r w:rsidRPr="00257477">
        <w:rPr>
          <w:rFonts w:asciiTheme="majorBidi" w:hAnsiTheme="majorBidi" w:cstheme="majorBidi"/>
        </w:rPr>
        <w:t>Ievērojot sniegto uzskaitījumu, Senāts piekrīt apelācijas instances tiesas secinājumam, ka</w:t>
      </w:r>
      <w:r w:rsidR="00B274EE" w:rsidRPr="00257477">
        <w:rPr>
          <w:rFonts w:asciiTheme="majorBidi" w:hAnsiTheme="majorBidi" w:cstheme="majorBidi"/>
        </w:rPr>
        <w:t xml:space="preserve"> Latvijas Republikas</w:t>
      </w:r>
      <w:r w:rsidRPr="00257477">
        <w:rPr>
          <w:rFonts w:asciiTheme="majorBidi" w:hAnsiTheme="majorBidi" w:cstheme="majorBidi"/>
        </w:rPr>
        <w:t xml:space="preserve"> Finanšu ministrijas izstrādātās un izdotās vadlīnijas par finanšu korekcijas piemērošanu nav ārējs normatīvais akts.</w:t>
      </w:r>
    </w:p>
    <w:p w14:paraId="4C665C24" w14:textId="534270DF" w:rsidR="00151FA8" w:rsidRPr="00257477" w:rsidRDefault="00151FA8" w:rsidP="00257477">
      <w:pPr>
        <w:shd w:val="clear" w:color="auto" w:fill="FFFFFF"/>
        <w:spacing w:line="276" w:lineRule="auto"/>
        <w:ind w:firstLine="720"/>
        <w:jc w:val="both"/>
        <w:rPr>
          <w:rFonts w:asciiTheme="majorBidi" w:hAnsiTheme="majorBidi" w:cstheme="majorBidi"/>
        </w:rPr>
      </w:pPr>
      <w:r w:rsidRPr="00257477">
        <w:rPr>
          <w:rFonts w:asciiTheme="majorBidi" w:hAnsiTheme="majorBidi" w:cstheme="majorBidi"/>
        </w:rPr>
        <w:t>[</w:t>
      </w:r>
      <w:r w:rsidR="00D122A4" w:rsidRPr="00257477">
        <w:rPr>
          <w:rFonts w:asciiTheme="majorBidi" w:hAnsiTheme="majorBidi" w:cstheme="majorBidi"/>
        </w:rPr>
        <w:t>9</w:t>
      </w:r>
      <w:r w:rsidRPr="00257477">
        <w:rPr>
          <w:rFonts w:asciiTheme="majorBidi" w:hAnsiTheme="majorBidi" w:cstheme="majorBidi"/>
        </w:rPr>
        <w:t>.2]</w:t>
      </w:r>
      <w:r w:rsidR="00A526A0" w:rsidRPr="00257477">
        <w:rPr>
          <w:rFonts w:asciiTheme="majorBidi" w:hAnsiTheme="majorBidi" w:cstheme="majorBidi"/>
        </w:rPr>
        <w:t> </w:t>
      </w:r>
      <w:r w:rsidRPr="00257477">
        <w:rPr>
          <w:rFonts w:asciiTheme="majorBidi" w:hAnsiTheme="majorBidi" w:cstheme="majorBidi"/>
        </w:rPr>
        <w:t>Valsts pārvaldes iekārtas likuma 72. panta pirmā daļa noteic, ka Ministru kabinets, Ministru kabineta loceklis, atvasinātas publiskas personas orgāns vai iestādes vadītājs izdod iekšējos normatīvos aktus: 1)</w:t>
      </w:r>
      <w:r w:rsidR="00A526A0" w:rsidRPr="00257477">
        <w:rPr>
          <w:rFonts w:asciiTheme="majorBidi" w:hAnsiTheme="majorBidi" w:cstheme="majorBidi"/>
        </w:rPr>
        <w:t> </w:t>
      </w:r>
      <w:r w:rsidRPr="00257477">
        <w:rPr>
          <w:rFonts w:asciiTheme="majorBidi" w:hAnsiTheme="majorBidi" w:cstheme="majorBidi"/>
        </w:rPr>
        <w:t>uz normatīvā akta pamata; 2)</w:t>
      </w:r>
      <w:r w:rsidR="00A526A0" w:rsidRPr="00257477">
        <w:rPr>
          <w:rFonts w:asciiTheme="majorBidi" w:hAnsiTheme="majorBidi" w:cstheme="majorBidi"/>
        </w:rPr>
        <w:t> </w:t>
      </w:r>
      <w:r w:rsidRPr="00257477">
        <w:rPr>
          <w:rFonts w:asciiTheme="majorBidi" w:hAnsiTheme="majorBidi" w:cstheme="majorBidi"/>
        </w:rPr>
        <w:t xml:space="preserve">pats pēc savas iniciatīvas savas kompetences jautājumos. </w:t>
      </w:r>
    </w:p>
    <w:p w14:paraId="28C1EBA4" w14:textId="29FE833F" w:rsidR="00D80DE8" w:rsidRPr="00257477" w:rsidRDefault="00151FA8" w:rsidP="00257477">
      <w:pPr>
        <w:shd w:val="clear" w:color="auto" w:fill="FFFFFF"/>
        <w:spacing w:line="276" w:lineRule="auto"/>
        <w:ind w:firstLine="720"/>
        <w:jc w:val="both"/>
        <w:rPr>
          <w:rFonts w:asciiTheme="majorBidi" w:hAnsiTheme="majorBidi" w:cstheme="majorBidi"/>
        </w:rPr>
      </w:pPr>
      <w:r w:rsidRPr="00257477">
        <w:rPr>
          <w:rFonts w:asciiTheme="majorBidi" w:hAnsiTheme="majorBidi" w:cstheme="majorBidi"/>
        </w:rPr>
        <w:t>Lietā nav strīda, ka vadlīnijas par finanšu korekcijas piemērošanu ir izdotas uz MK noteikumu Nr. 740 6. punkta pamata</w:t>
      </w:r>
      <w:r w:rsidR="006524CF" w:rsidRPr="00257477">
        <w:rPr>
          <w:rFonts w:asciiTheme="majorBidi" w:hAnsiTheme="majorBidi" w:cstheme="majorBidi"/>
        </w:rPr>
        <w:t>. Tādējādi tās</w:t>
      </w:r>
      <w:r w:rsidRPr="00257477">
        <w:rPr>
          <w:rFonts w:asciiTheme="majorBidi" w:hAnsiTheme="majorBidi" w:cstheme="majorBidi"/>
        </w:rPr>
        <w:t xml:space="preserve"> ir uzskatāmas par iekšējo normatīvo aktu</w:t>
      </w:r>
      <w:r w:rsidR="006524CF" w:rsidRPr="00257477">
        <w:rPr>
          <w:rFonts w:asciiTheme="majorBidi" w:hAnsiTheme="majorBidi" w:cstheme="majorBidi"/>
        </w:rPr>
        <w:t xml:space="preserve">, kas </w:t>
      </w:r>
      <w:r w:rsidRPr="00257477">
        <w:rPr>
          <w:rFonts w:asciiTheme="majorBidi" w:hAnsiTheme="majorBidi" w:cstheme="majorBidi"/>
        </w:rPr>
        <w:t xml:space="preserve">saskaņā ar Administratīvā procesa likuma 16. panta pirmās daļas otro teikumu privātpersonām nav saistošs. Vienlaikus minētais neizslēdz līdzēju tiesības </w:t>
      </w:r>
      <w:proofErr w:type="spellStart"/>
      <w:r w:rsidRPr="00257477">
        <w:rPr>
          <w:rFonts w:asciiTheme="majorBidi" w:hAnsiTheme="majorBidi" w:cstheme="majorBidi"/>
        </w:rPr>
        <w:t>privātautonomijas</w:t>
      </w:r>
      <w:proofErr w:type="spellEnd"/>
      <w:r w:rsidRPr="00257477">
        <w:rPr>
          <w:rFonts w:asciiTheme="majorBidi" w:hAnsiTheme="majorBidi" w:cstheme="majorBidi"/>
        </w:rPr>
        <w:t xml:space="preserve"> principa ietvaros vienoties par iekšējā normatīvā akta kā līguma noteikumu sastāvdaļu piemērošanu savstarpējās tiesiskajās attiecībās.</w:t>
      </w:r>
    </w:p>
    <w:p w14:paraId="5DCC4E1D" w14:textId="3A005982" w:rsidR="00D80DE8" w:rsidRPr="00257477" w:rsidRDefault="00D80DE8" w:rsidP="00257477">
      <w:pPr>
        <w:shd w:val="clear" w:color="auto" w:fill="FFFFFF"/>
        <w:spacing w:line="276" w:lineRule="auto"/>
        <w:ind w:firstLine="720"/>
        <w:jc w:val="both"/>
        <w:rPr>
          <w:rFonts w:asciiTheme="majorBidi" w:hAnsiTheme="majorBidi" w:cstheme="majorBidi"/>
        </w:rPr>
      </w:pPr>
      <w:r w:rsidRPr="00257477">
        <w:rPr>
          <w:rFonts w:asciiTheme="majorBidi" w:hAnsiTheme="majorBidi" w:cstheme="majorBidi"/>
        </w:rPr>
        <w:t xml:space="preserve">Tomēr, neskatoties uz to, ka iekšējie normatīvie akti attiecas tikai uz institucionāli padotajām personām, tā kā šie akti iedibina iestādes vienveidīgu rīcību līdzīgos gadījumos, tad netieši caur vispārējo vienlīdzības principu iekšējais normatīvais akts rada tiesības (bet ne pienākumus) trešajām personām, kas nav padotas attiecīgajai iestādei, prasīt, lai iestāde ievērotu savu praksi, attiecīgi piemērojot iekšējo normatīvo aktu (sk. </w:t>
      </w:r>
      <w:proofErr w:type="spellStart"/>
      <w:r w:rsidRPr="00257477">
        <w:rPr>
          <w:rFonts w:asciiTheme="majorBidi" w:hAnsiTheme="majorBidi" w:cstheme="majorBidi"/>
          <w:i/>
          <w:iCs/>
        </w:rPr>
        <w:lastRenderedPageBreak/>
        <w:t>Rezevska</w:t>
      </w:r>
      <w:proofErr w:type="spellEnd"/>
      <w:r w:rsidRPr="00257477">
        <w:rPr>
          <w:rFonts w:asciiTheme="majorBidi" w:hAnsiTheme="majorBidi" w:cstheme="majorBidi"/>
          <w:i/>
          <w:iCs/>
        </w:rPr>
        <w:t xml:space="preserve"> D. 16. panta komentārs. </w:t>
      </w:r>
      <w:proofErr w:type="spellStart"/>
      <w:r w:rsidRPr="00257477">
        <w:rPr>
          <w:rFonts w:asciiTheme="majorBidi" w:hAnsiTheme="majorBidi" w:cstheme="majorBidi"/>
          <w:i/>
          <w:iCs/>
        </w:rPr>
        <w:t>Grām</w:t>
      </w:r>
      <w:proofErr w:type="spellEnd"/>
      <w:r w:rsidRPr="00257477">
        <w:rPr>
          <w:rFonts w:asciiTheme="majorBidi" w:hAnsiTheme="majorBidi" w:cstheme="majorBidi"/>
          <w:i/>
          <w:iCs/>
        </w:rPr>
        <w:t xml:space="preserve">.: </w:t>
      </w:r>
      <w:r w:rsidR="00FC5FF4" w:rsidRPr="00257477">
        <w:rPr>
          <w:rFonts w:asciiTheme="majorBidi" w:hAnsiTheme="majorBidi" w:cstheme="majorBidi"/>
          <w:i/>
          <w:iCs/>
        </w:rPr>
        <w:t xml:space="preserve">Administratīvā procesa likuma komentāri. A un B daļa. Sagatavojis autoru kolektīvs. Dr. iur. J. Briedes zinātniskajā redakcijā. Rīga: Tiesu namu aģentūra, 2013, </w:t>
      </w:r>
      <w:r w:rsidRPr="00257477">
        <w:rPr>
          <w:rFonts w:asciiTheme="majorBidi" w:hAnsiTheme="majorBidi" w:cstheme="majorBidi"/>
          <w:i/>
          <w:iCs/>
        </w:rPr>
        <w:t>262. lpp. ar atsauci uz Senāta 2004. gada 7. septembra spriedum</w:t>
      </w:r>
      <w:r w:rsidR="00FC5FF4" w:rsidRPr="00257477">
        <w:rPr>
          <w:rFonts w:asciiTheme="majorBidi" w:hAnsiTheme="majorBidi" w:cstheme="majorBidi"/>
          <w:i/>
          <w:iCs/>
        </w:rPr>
        <w:t>a</w:t>
      </w:r>
      <w:r w:rsidRPr="00257477">
        <w:rPr>
          <w:rFonts w:asciiTheme="majorBidi" w:hAnsiTheme="majorBidi" w:cstheme="majorBidi"/>
          <w:i/>
          <w:iCs/>
        </w:rPr>
        <w:t xml:space="preserve"> lietā Nr. </w:t>
      </w:r>
      <w:r w:rsidR="00FC5FF4" w:rsidRPr="00257477">
        <w:rPr>
          <w:rFonts w:asciiTheme="majorBidi" w:hAnsiTheme="majorBidi" w:cstheme="majorBidi"/>
          <w:i/>
          <w:iCs/>
        </w:rPr>
        <w:t>SKA-110/2004 12. punktu</w:t>
      </w:r>
      <w:r w:rsidRPr="00257477">
        <w:rPr>
          <w:rFonts w:asciiTheme="majorBidi" w:hAnsiTheme="majorBidi" w:cstheme="majorBidi"/>
        </w:rPr>
        <w:t>), ja vien tas nav pretrunā ar ārējo normatīvo aktu (</w:t>
      </w:r>
      <w:r w:rsidRPr="00257477">
        <w:rPr>
          <w:rFonts w:asciiTheme="majorBidi" w:hAnsiTheme="majorBidi" w:cstheme="majorBidi"/>
          <w:i/>
          <w:iCs/>
        </w:rPr>
        <w:t>Valsts pārvaldes iekārtas likuma 78. panta trešā daļa</w:t>
      </w:r>
      <w:r w:rsidRPr="00257477">
        <w:rPr>
          <w:rFonts w:asciiTheme="majorBidi" w:hAnsiTheme="majorBidi" w:cstheme="majorBidi"/>
        </w:rPr>
        <w:t xml:space="preserve">). </w:t>
      </w:r>
    </w:p>
    <w:p w14:paraId="1F6BCFB6" w14:textId="6414C712" w:rsidR="00151FA8" w:rsidRPr="00257477" w:rsidRDefault="00151FA8" w:rsidP="00257477">
      <w:pPr>
        <w:shd w:val="clear" w:color="auto" w:fill="FFFFFF"/>
        <w:spacing w:line="276" w:lineRule="auto"/>
        <w:ind w:firstLine="720"/>
        <w:jc w:val="both"/>
        <w:rPr>
          <w:rFonts w:asciiTheme="majorBidi" w:hAnsiTheme="majorBidi" w:cstheme="majorBidi"/>
        </w:rPr>
      </w:pPr>
      <w:r w:rsidRPr="00257477">
        <w:rPr>
          <w:rFonts w:asciiTheme="majorBidi" w:hAnsiTheme="majorBidi" w:cstheme="majorBidi"/>
        </w:rPr>
        <w:t xml:space="preserve">Līdz ar to apelācijas instances tiesai, izskatot lietu atkārtoti, </w:t>
      </w:r>
      <w:r w:rsidR="00FC5FF4" w:rsidRPr="00257477">
        <w:rPr>
          <w:rFonts w:asciiTheme="majorBidi" w:hAnsiTheme="majorBidi" w:cstheme="majorBidi"/>
        </w:rPr>
        <w:t xml:space="preserve">līgumu Nr. 1 un Nr. 2 iztulkošanas ceļā </w:t>
      </w:r>
      <w:r w:rsidRPr="00257477">
        <w:rPr>
          <w:rFonts w:asciiTheme="majorBidi" w:hAnsiTheme="majorBidi" w:cstheme="majorBidi"/>
        </w:rPr>
        <w:t xml:space="preserve">ir </w:t>
      </w:r>
      <w:r w:rsidR="00FC5FF4" w:rsidRPr="00257477">
        <w:rPr>
          <w:rFonts w:asciiTheme="majorBidi" w:hAnsiTheme="majorBidi" w:cstheme="majorBidi"/>
        </w:rPr>
        <w:t>jānoskaidro</w:t>
      </w:r>
      <w:r w:rsidRPr="00257477">
        <w:rPr>
          <w:rFonts w:asciiTheme="majorBidi" w:hAnsiTheme="majorBidi" w:cstheme="majorBidi"/>
        </w:rPr>
        <w:t xml:space="preserve">, vai puses līgumā Nr. 1 un Nr. 2 ir </w:t>
      </w:r>
      <w:r w:rsidR="00762D34" w:rsidRPr="00257477">
        <w:rPr>
          <w:rFonts w:asciiTheme="majorBidi" w:hAnsiTheme="majorBidi" w:cstheme="majorBidi"/>
        </w:rPr>
        <w:t>pielīgušas piemērot vadlīnijas par finanšu korekcijas piemērošanu un, ja ir pielīgušas, atbilstoši līguma Nr. 1 un Nr. 2 noteikumiem jānoskaidro, kāda vadlīniju par finanšu korekcijas piemērošanu redakcija ir piemērojama.</w:t>
      </w:r>
      <w:r w:rsidR="00FC5FF4" w:rsidRPr="00257477">
        <w:rPr>
          <w:rFonts w:asciiTheme="majorBidi" w:hAnsiTheme="majorBidi" w:cstheme="majorBidi"/>
        </w:rPr>
        <w:t xml:space="preserve"> Savukārt</w:t>
      </w:r>
      <w:r w:rsidR="001E5807" w:rsidRPr="00257477">
        <w:rPr>
          <w:rFonts w:asciiTheme="majorBidi" w:hAnsiTheme="majorBidi" w:cstheme="majorBidi"/>
        </w:rPr>
        <w:t>,</w:t>
      </w:r>
      <w:r w:rsidR="00FC5FF4" w:rsidRPr="00257477">
        <w:rPr>
          <w:rFonts w:asciiTheme="majorBidi" w:hAnsiTheme="majorBidi" w:cstheme="majorBidi"/>
        </w:rPr>
        <w:t xml:space="preserve"> ja puses nav vienojušās par vadlīniju piemērošanu, apelācijas instances tiesai, izvērtējot atbildētājas norādīto, </w:t>
      </w:r>
      <w:r w:rsidR="00EB325F" w:rsidRPr="00257477">
        <w:rPr>
          <w:rFonts w:asciiTheme="majorBidi" w:hAnsiTheme="majorBidi" w:cstheme="majorBidi"/>
        </w:rPr>
        <w:t xml:space="preserve">ir jāpārbauda, </w:t>
      </w:r>
      <w:r w:rsidR="00FC5FF4" w:rsidRPr="00257477">
        <w:rPr>
          <w:rFonts w:asciiTheme="majorBidi" w:hAnsiTheme="majorBidi" w:cstheme="majorBidi"/>
        </w:rPr>
        <w:t>vai vadlīnijās nav paredzēti tādi zaudējumu atlīdzināšanas noteikumi, kas atbildētājai</w:t>
      </w:r>
      <w:r w:rsidR="00EB325F" w:rsidRPr="00257477">
        <w:rPr>
          <w:rFonts w:asciiTheme="majorBidi" w:hAnsiTheme="majorBidi" w:cstheme="majorBidi"/>
        </w:rPr>
        <w:t xml:space="preserve"> ir</w:t>
      </w:r>
      <w:r w:rsidR="00FC5FF4" w:rsidRPr="00257477">
        <w:rPr>
          <w:rFonts w:asciiTheme="majorBidi" w:hAnsiTheme="majorBidi" w:cstheme="majorBidi"/>
        </w:rPr>
        <w:t xml:space="preserve"> labvēlīgāki</w:t>
      </w:r>
      <w:r w:rsidR="00EB325F" w:rsidRPr="00257477">
        <w:rPr>
          <w:rFonts w:asciiTheme="majorBidi" w:hAnsiTheme="majorBidi" w:cstheme="majorBidi"/>
        </w:rPr>
        <w:t>,</w:t>
      </w:r>
      <w:r w:rsidR="00FC5FF4" w:rsidRPr="00257477">
        <w:rPr>
          <w:rFonts w:asciiTheme="majorBidi" w:hAnsiTheme="majorBidi" w:cstheme="majorBidi"/>
        </w:rPr>
        <w:t xml:space="preserve"> salīdzinot ar prasītājas norādītajiem – ja vien tie nav pretrunā </w:t>
      </w:r>
      <w:r w:rsidR="00556105" w:rsidRPr="00257477">
        <w:rPr>
          <w:rFonts w:asciiTheme="majorBidi" w:hAnsiTheme="majorBidi" w:cstheme="majorBidi"/>
        </w:rPr>
        <w:t xml:space="preserve">ar </w:t>
      </w:r>
      <w:proofErr w:type="spellStart"/>
      <w:r w:rsidR="00FC5FF4" w:rsidRPr="00257477">
        <w:rPr>
          <w:rFonts w:asciiTheme="majorBidi" w:hAnsiTheme="majorBidi" w:cstheme="majorBidi"/>
        </w:rPr>
        <w:t>imperatīvajām</w:t>
      </w:r>
      <w:proofErr w:type="spellEnd"/>
      <w:r w:rsidR="00FC5FF4" w:rsidRPr="00257477">
        <w:rPr>
          <w:rFonts w:asciiTheme="majorBidi" w:hAnsiTheme="majorBidi" w:cstheme="majorBidi"/>
        </w:rPr>
        <w:t xml:space="preserve"> tiesību normām</w:t>
      </w:r>
      <w:r w:rsidR="00EB325F" w:rsidRPr="00257477">
        <w:rPr>
          <w:rFonts w:asciiTheme="majorBidi" w:hAnsiTheme="majorBidi" w:cstheme="majorBidi"/>
        </w:rPr>
        <w:t xml:space="preserve">. </w:t>
      </w:r>
    </w:p>
    <w:p w14:paraId="78FDE308" w14:textId="77777777" w:rsidR="00614435" w:rsidRPr="00257477" w:rsidRDefault="00614435" w:rsidP="00257477">
      <w:pPr>
        <w:shd w:val="clear" w:color="auto" w:fill="FFFFFF"/>
        <w:spacing w:line="276" w:lineRule="auto"/>
        <w:ind w:firstLine="720"/>
        <w:jc w:val="both"/>
        <w:rPr>
          <w:rFonts w:asciiTheme="majorBidi" w:hAnsiTheme="majorBidi" w:cstheme="majorBidi"/>
        </w:rPr>
      </w:pPr>
      <w:r w:rsidRPr="00257477">
        <w:rPr>
          <w:rFonts w:asciiTheme="majorBidi" w:hAnsiTheme="majorBidi" w:cstheme="majorBidi"/>
        </w:rPr>
        <w:t xml:space="preserve">Par </w:t>
      </w:r>
      <w:proofErr w:type="spellStart"/>
      <w:r w:rsidRPr="00257477">
        <w:rPr>
          <w:rFonts w:asciiTheme="majorBidi" w:hAnsiTheme="majorBidi" w:cstheme="majorBidi"/>
        </w:rPr>
        <w:t>imperatīvajām</w:t>
      </w:r>
      <w:proofErr w:type="spellEnd"/>
      <w:r w:rsidRPr="00257477">
        <w:rPr>
          <w:rFonts w:asciiTheme="majorBidi" w:hAnsiTheme="majorBidi" w:cstheme="majorBidi"/>
        </w:rPr>
        <w:t xml:space="preserve"> tiesību normām šīs lietas ietvaros ir uzskatāmi arī Regulas Nr. 1083/2006 98. panta noteikumi, kas regulē dalībvalsts finanšu korekcijas veikšanas pienākumu. Eiropas Savienības Tiesa ir atzinusi, ka atbilstoši Regulas Nr. 1083/2006 98. panta 2. punktam dalībvalsts veiktās finanšu korekcijas var izpausties kā visa vai daļēja valsts ieguldījuma darbības programmā atcelšana, ņemot vērā neatbilstību būtību un nopietnību, kā arī fondam nodarītos finansiālos zaudējumus. Nosakot finanšu korekcijas apmēru, ir jāņem vērā samērīguma princips (sk. </w:t>
      </w:r>
      <w:r w:rsidRPr="00257477">
        <w:rPr>
          <w:rFonts w:asciiTheme="majorBidi" w:hAnsiTheme="majorBidi" w:cstheme="majorBidi"/>
          <w:i/>
          <w:iCs/>
        </w:rPr>
        <w:t>Eiropas Savienības Tiesas 2023. gada 8. jūnija sprieduma lietā „ANAS”, C-545/21, ECLI:EU:C:2023:451, 42.–43. punktu</w:t>
      </w:r>
      <w:r w:rsidRPr="00257477">
        <w:rPr>
          <w:rFonts w:asciiTheme="majorBidi" w:hAnsiTheme="majorBidi" w:cstheme="majorBidi"/>
        </w:rPr>
        <w:t xml:space="preserve">). </w:t>
      </w:r>
    </w:p>
    <w:p w14:paraId="3EFBA8E9" w14:textId="1D50FA52" w:rsidR="00614435" w:rsidRPr="00257477" w:rsidRDefault="00614435" w:rsidP="00257477">
      <w:pPr>
        <w:shd w:val="clear" w:color="auto" w:fill="FFFFFF"/>
        <w:spacing w:line="276" w:lineRule="auto"/>
        <w:ind w:firstLine="720"/>
        <w:jc w:val="both"/>
        <w:rPr>
          <w:rFonts w:asciiTheme="majorBidi" w:hAnsiTheme="majorBidi" w:cstheme="majorBidi"/>
        </w:rPr>
      </w:pPr>
      <w:r w:rsidRPr="00257477">
        <w:rPr>
          <w:rFonts w:asciiTheme="majorBidi" w:hAnsiTheme="majorBidi" w:cstheme="majorBidi"/>
        </w:rPr>
        <w:t>Vienlaikus Eiropas Savienības Tiesa ir atzinusi, ka, lai konkretizētu Regulas Nr. 1083/2006 98.</w:t>
      </w:r>
      <w:r w:rsidR="00091AAC" w:rsidRPr="00257477">
        <w:rPr>
          <w:rFonts w:asciiTheme="majorBidi" w:hAnsiTheme="majorBidi" w:cstheme="majorBidi"/>
        </w:rPr>
        <w:t> </w:t>
      </w:r>
      <w:r w:rsidRPr="00257477">
        <w:rPr>
          <w:rFonts w:asciiTheme="majorBidi" w:hAnsiTheme="majorBidi" w:cstheme="majorBidi"/>
        </w:rPr>
        <w:t xml:space="preserve">panta 2. punktā minētos kritērijus, kas ir piemērojami dalībvalstu veiktajām finanšu korekcijām, var ņemt vērā Eiropas Komisijas pamatnostādnes (to attiecīgajā redakcijā), kurās ir definēta to finanšu korekcijas likmju skala, kas ir piemērojamas atbilstoši Regulas Nr. 1083/2006 99. pantam, kurš attiecas uz kritērijiem, kas ir piemērojami Eiropas Komisijas veiktajām finanšu korekcijām (sk. </w:t>
      </w:r>
      <w:r w:rsidRPr="00257477">
        <w:rPr>
          <w:rFonts w:asciiTheme="majorBidi" w:hAnsiTheme="majorBidi" w:cstheme="majorBidi"/>
          <w:i/>
          <w:iCs/>
        </w:rPr>
        <w:t>Eiropas Savienības Tiesas 2023. gada 8. jūnija sprieduma lietā „ANAS”, C-545/21, ECLI:EU:C:2023:451, 45. punktu</w:t>
      </w:r>
      <w:r w:rsidRPr="00257477">
        <w:rPr>
          <w:rFonts w:asciiTheme="majorBidi" w:hAnsiTheme="majorBidi" w:cstheme="majorBidi"/>
        </w:rPr>
        <w:t xml:space="preserve">). </w:t>
      </w:r>
    </w:p>
    <w:p w14:paraId="64E7A663" w14:textId="118C9AE8" w:rsidR="00762D34" w:rsidRPr="00257477" w:rsidRDefault="00E728DF" w:rsidP="00257477">
      <w:pPr>
        <w:shd w:val="clear" w:color="auto" w:fill="FFFFFF"/>
        <w:spacing w:line="276" w:lineRule="auto"/>
        <w:ind w:firstLine="720"/>
        <w:jc w:val="both"/>
        <w:rPr>
          <w:rFonts w:asciiTheme="majorBidi" w:hAnsiTheme="majorBidi" w:cstheme="majorBidi"/>
        </w:rPr>
      </w:pPr>
      <w:r w:rsidRPr="00257477">
        <w:rPr>
          <w:rFonts w:asciiTheme="majorBidi" w:hAnsiTheme="majorBidi" w:cstheme="majorBidi"/>
        </w:rPr>
        <w:t>[</w:t>
      </w:r>
      <w:r w:rsidR="00D122A4" w:rsidRPr="00257477">
        <w:rPr>
          <w:rFonts w:asciiTheme="majorBidi" w:hAnsiTheme="majorBidi" w:cstheme="majorBidi"/>
        </w:rPr>
        <w:t>9</w:t>
      </w:r>
      <w:r w:rsidRPr="00257477">
        <w:rPr>
          <w:rFonts w:asciiTheme="majorBidi" w:hAnsiTheme="majorBidi" w:cstheme="majorBidi"/>
        </w:rPr>
        <w:t>.3]</w:t>
      </w:r>
      <w:r w:rsidR="00FB62B4" w:rsidRPr="00257477">
        <w:rPr>
          <w:rFonts w:asciiTheme="majorBidi" w:hAnsiTheme="majorBidi" w:cstheme="majorBidi"/>
        </w:rPr>
        <w:t> </w:t>
      </w:r>
      <w:r w:rsidR="00762D34" w:rsidRPr="00257477">
        <w:rPr>
          <w:rFonts w:asciiTheme="majorBidi" w:hAnsiTheme="majorBidi" w:cstheme="majorBidi"/>
        </w:rPr>
        <w:t xml:space="preserve">Senāts vērš apelācijas instances tiesas uzmanību uz to, ka iekšējam normatīvajam aktam nav </w:t>
      </w:r>
      <w:proofErr w:type="spellStart"/>
      <w:r w:rsidR="00762D34" w:rsidRPr="00257477">
        <w:rPr>
          <w:rFonts w:asciiTheme="majorBidi" w:hAnsiTheme="majorBidi" w:cstheme="majorBidi"/>
        </w:rPr>
        <w:t>vispārsaistoša</w:t>
      </w:r>
      <w:proofErr w:type="spellEnd"/>
      <w:r w:rsidR="00762D34" w:rsidRPr="00257477">
        <w:rPr>
          <w:rFonts w:asciiTheme="majorBidi" w:hAnsiTheme="majorBidi" w:cstheme="majorBidi"/>
        </w:rPr>
        <w:t xml:space="preserve"> spēka</w:t>
      </w:r>
      <w:r w:rsidR="00FC5FF4" w:rsidRPr="00257477">
        <w:rPr>
          <w:rFonts w:asciiTheme="majorBidi" w:hAnsiTheme="majorBidi" w:cstheme="majorBidi"/>
        </w:rPr>
        <w:t xml:space="preserve">, </w:t>
      </w:r>
      <w:r w:rsidRPr="00257477">
        <w:rPr>
          <w:rFonts w:asciiTheme="majorBidi" w:hAnsiTheme="majorBidi" w:cstheme="majorBidi"/>
        </w:rPr>
        <w:t xml:space="preserve">tāpēc </w:t>
      </w:r>
      <w:r w:rsidR="00FC5FF4" w:rsidRPr="00257477">
        <w:rPr>
          <w:rFonts w:asciiTheme="majorBidi" w:hAnsiTheme="majorBidi" w:cstheme="majorBidi"/>
        </w:rPr>
        <w:t xml:space="preserve">tas atbilstoši Civilprocesa likuma </w:t>
      </w:r>
      <w:r w:rsidRPr="00257477">
        <w:rPr>
          <w:rFonts w:asciiTheme="majorBidi" w:hAnsiTheme="majorBidi" w:cstheme="majorBidi"/>
        </w:rPr>
        <w:t>110. pantam ir uzskatāms par rakstveida pierādījumu, kurā ie</w:t>
      </w:r>
      <w:r w:rsidR="00EB325F" w:rsidRPr="00257477">
        <w:rPr>
          <w:rFonts w:asciiTheme="majorBidi" w:hAnsiTheme="majorBidi" w:cstheme="majorBidi"/>
        </w:rPr>
        <w:t xml:space="preserve">kļautās </w:t>
      </w:r>
      <w:r w:rsidRPr="00257477">
        <w:rPr>
          <w:rFonts w:asciiTheme="majorBidi" w:hAnsiTheme="majorBidi" w:cstheme="majorBidi"/>
        </w:rPr>
        <w:t>informācijas</w:t>
      </w:r>
      <w:r w:rsidR="00EB325F" w:rsidRPr="00257477">
        <w:rPr>
          <w:rFonts w:asciiTheme="majorBidi" w:hAnsiTheme="majorBidi" w:cstheme="majorBidi"/>
        </w:rPr>
        <w:t xml:space="preserve"> (noteikumu)</w:t>
      </w:r>
      <w:r w:rsidRPr="00257477">
        <w:rPr>
          <w:rFonts w:asciiTheme="majorBidi" w:hAnsiTheme="majorBidi" w:cstheme="majorBidi"/>
        </w:rPr>
        <w:t xml:space="preserve"> izmantošana ir pieļaujama tikai tad, ja attiecīgais iekšējais normatīvais akts Civilprocesa likumā noteiktajā kārtībā ir iesniegts un pievienots lietas materiāliem, jo pusēm, kuras uz attiecīgo iekšējo normatīvo aktu atsaucas, tostarp</w:t>
      </w:r>
      <w:r w:rsidR="001E5807" w:rsidRPr="00257477">
        <w:rPr>
          <w:rFonts w:asciiTheme="majorBidi" w:hAnsiTheme="majorBidi" w:cstheme="majorBidi"/>
        </w:rPr>
        <w:t>,</w:t>
      </w:r>
      <w:r w:rsidRPr="00257477">
        <w:rPr>
          <w:rFonts w:asciiTheme="majorBidi" w:hAnsiTheme="majorBidi" w:cstheme="majorBidi"/>
        </w:rPr>
        <w:t xml:space="preserve"> pamatojot piemērojamās finanšu korekcijas apmēru, </w:t>
      </w:r>
      <w:r w:rsidR="00091AAC" w:rsidRPr="00257477">
        <w:rPr>
          <w:rFonts w:asciiTheme="majorBidi" w:hAnsiTheme="majorBidi" w:cstheme="majorBidi"/>
        </w:rPr>
        <w:t xml:space="preserve">tas </w:t>
      </w:r>
      <w:r w:rsidRPr="00257477">
        <w:rPr>
          <w:rFonts w:asciiTheme="majorBidi" w:hAnsiTheme="majorBidi" w:cstheme="majorBidi"/>
        </w:rPr>
        <w:t xml:space="preserve">ir </w:t>
      </w:r>
      <w:r w:rsidR="0013345B" w:rsidRPr="00257477">
        <w:rPr>
          <w:rFonts w:asciiTheme="majorBidi" w:hAnsiTheme="majorBidi" w:cstheme="majorBidi"/>
        </w:rPr>
        <w:t xml:space="preserve">jāpamato un </w:t>
      </w:r>
      <w:r w:rsidRPr="00257477">
        <w:rPr>
          <w:rFonts w:asciiTheme="majorBidi" w:hAnsiTheme="majorBidi" w:cstheme="majorBidi"/>
        </w:rPr>
        <w:t>jāpierāda</w:t>
      </w:r>
      <w:r w:rsidR="00091AAC" w:rsidRPr="00257477">
        <w:rPr>
          <w:rFonts w:asciiTheme="majorBidi" w:hAnsiTheme="majorBidi" w:cstheme="majorBidi"/>
        </w:rPr>
        <w:t>.</w:t>
      </w:r>
      <w:r w:rsidRPr="00257477">
        <w:rPr>
          <w:rFonts w:asciiTheme="majorBidi" w:hAnsiTheme="majorBidi" w:cstheme="majorBidi"/>
        </w:rPr>
        <w:t xml:space="preserve"> </w:t>
      </w:r>
    </w:p>
    <w:p w14:paraId="119B28B1" w14:textId="77777777" w:rsidR="00151FA8" w:rsidRPr="00257477" w:rsidRDefault="00151FA8" w:rsidP="00257477">
      <w:pPr>
        <w:shd w:val="clear" w:color="auto" w:fill="FFFFFF"/>
        <w:spacing w:line="276" w:lineRule="auto"/>
        <w:ind w:firstLine="720"/>
        <w:jc w:val="both"/>
        <w:rPr>
          <w:rFonts w:asciiTheme="majorBidi" w:hAnsiTheme="majorBidi" w:cstheme="majorBidi"/>
        </w:rPr>
      </w:pPr>
    </w:p>
    <w:p w14:paraId="6058BE48" w14:textId="4569012D" w:rsidR="001045F2" w:rsidRPr="00257477" w:rsidRDefault="009E4691" w:rsidP="00257477">
      <w:pPr>
        <w:spacing w:line="276" w:lineRule="auto"/>
        <w:ind w:firstLine="720"/>
        <w:jc w:val="both"/>
        <w:rPr>
          <w:rFonts w:asciiTheme="majorBidi" w:hAnsiTheme="majorBidi" w:cstheme="majorBidi"/>
        </w:rPr>
      </w:pPr>
      <w:r w:rsidRPr="00257477">
        <w:rPr>
          <w:rFonts w:asciiTheme="majorBidi" w:hAnsiTheme="majorBidi" w:cstheme="majorBidi"/>
        </w:rPr>
        <w:t>[</w:t>
      </w:r>
      <w:r w:rsidR="00E728DF" w:rsidRPr="00257477">
        <w:rPr>
          <w:rFonts w:asciiTheme="majorBidi" w:hAnsiTheme="majorBidi" w:cstheme="majorBidi"/>
        </w:rPr>
        <w:t>1</w:t>
      </w:r>
      <w:r w:rsidR="00D122A4" w:rsidRPr="00257477">
        <w:rPr>
          <w:rFonts w:asciiTheme="majorBidi" w:hAnsiTheme="majorBidi" w:cstheme="majorBidi"/>
        </w:rPr>
        <w:t>0</w:t>
      </w:r>
      <w:r w:rsidRPr="00257477">
        <w:rPr>
          <w:rFonts w:asciiTheme="majorBidi" w:hAnsiTheme="majorBidi" w:cstheme="majorBidi"/>
        </w:rPr>
        <w:t>]</w:t>
      </w:r>
      <w:r w:rsidR="00FB62B4" w:rsidRPr="00257477">
        <w:rPr>
          <w:rFonts w:asciiTheme="majorBidi" w:hAnsiTheme="majorBidi" w:cstheme="majorBidi"/>
        </w:rPr>
        <w:t> </w:t>
      </w:r>
      <w:r w:rsidRPr="00257477">
        <w:rPr>
          <w:rFonts w:asciiTheme="majorBidi" w:hAnsiTheme="majorBidi" w:cstheme="majorBidi"/>
        </w:rPr>
        <w:t>Senāts nepiekrīt kasācijas sūdzības iesniedzēja</w:t>
      </w:r>
      <w:r w:rsidR="00FB31A3" w:rsidRPr="00257477">
        <w:rPr>
          <w:rFonts w:asciiTheme="majorBidi" w:hAnsiTheme="majorBidi" w:cstheme="majorBidi"/>
        </w:rPr>
        <w:t>s</w:t>
      </w:r>
      <w:r w:rsidRPr="00257477">
        <w:rPr>
          <w:rFonts w:asciiTheme="majorBidi" w:hAnsiTheme="majorBidi" w:cstheme="majorBidi"/>
        </w:rPr>
        <w:t xml:space="preserve"> viedoklim, ka apelācijas instances tiesa ir ierobežojusi prasītājas Civilprocesa likuma 74.</w:t>
      </w:r>
      <w:r w:rsidR="00FB31A3" w:rsidRPr="00257477">
        <w:rPr>
          <w:rFonts w:asciiTheme="majorBidi" w:hAnsiTheme="majorBidi" w:cstheme="majorBidi"/>
        </w:rPr>
        <w:t> </w:t>
      </w:r>
      <w:r w:rsidRPr="00257477">
        <w:rPr>
          <w:rFonts w:asciiTheme="majorBidi" w:hAnsiTheme="majorBidi" w:cstheme="majorBidi"/>
        </w:rPr>
        <w:t>panta otrās daļas 7.</w:t>
      </w:r>
      <w:r w:rsidR="00FB31A3" w:rsidRPr="00257477">
        <w:rPr>
          <w:rFonts w:asciiTheme="majorBidi" w:hAnsiTheme="majorBidi" w:cstheme="majorBidi"/>
        </w:rPr>
        <w:t> </w:t>
      </w:r>
      <w:r w:rsidRPr="00257477">
        <w:rPr>
          <w:rFonts w:asciiTheme="majorBidi" w:hAnsiTheme="majorBidi" w:cstheme="majorBidi"/>
        </w:rPr>
        <w:t>punktā no</w:t>
      </w:r>
      <w:r w:rsidR="0013345B" w:rsidRPr="00257477">
        <w:rPr>
          <w:rFonts w:asciiTheme="majorBidi" w:hAnsiTheme="majorBidi" w:cstheme="majorBidi"/>
        </w:rPr>
        <w:t>stiprinātās</w:t>
      </w:r>
      <w:r w:rsidRPr="00257477">
        <w:rPr>
          <w:rFonts w:asciiTheme="majorBidi" w:hAnsiTheme="majorBidi" w:cstheme="majorBidi"/>
        </w:rPr>
        <w:t xml:space="preserve"> tiesības dot tiesai mutvārdu paskaidrojumus.</w:t>
      </w:r>
    </w:p>
    <w:p w14:paraId="34CE25DC" w14:textId="4DC9D0C2" w:rsidR="00AD6E36" w:rsidRPr="00257477" w:rsidRDefault="00FB31A3" w:rsidP="00257477">
      <w:pPr>
        <w:spacing w:line="276" w:lineRule="auto"/>
        <w:ind w:firstLine="720"/>
        <w:jc w:val="both"/>
        <w:rPr>
          <w:rFonts w:asciiTheme="majorBidi" w:hAnsiTheme="majorBidi" w:cstheme="majorBidi"/>
        </w:rPr>
      </w:pPr>
      <w:r w:rsidRPr="00257477">
        <w:rPr>
          <w:rFonts w:asciiTheme="majorBidi" w:hAnsiTheme="majorBidi" w:cstheme="majorBidi"/>
        </w:rPr>
        <w:t>No Rīgas apgabaltiesas 2023. gada 28. marta tiesas sēdes skaņu ieraksta izriet, ka prasītājas pilnvarotajai pārstāvei tika dots vārds paskaidrojumu sniegšanai. Prasītājai netika arī liegtas tiesības piedalīties tiesas debatēs, ko prasītājas pilnvarotā pārstāve</w:t>
      </w:r>
      <w:r w:rsidR="001E5807" w:rsidRPr="00257477">
        <w:rPr>
          <w:rFonts w:asciiTheme="majorBidi" w:hAnsiTheme="majorBidi" w:cstheme="majorBidi"/>
        </w:rPr>
        <w:t xml:space="preserve"> </w:t>
      </w:r>
      <w:r w:rsidR="001E5807" w:rsidRPr="00257477">
        <w:rPr>
          <w:rFonts w:asciiTheme="majorBidi" w:hAnsiTheme="majorBidi" w:cstheme="majorBidi"/>
        </w:rPr>
        <w:lastRenderedPageBreak/>
        <w:t>atšķirībā no atbildētājas pilnvarotās pārstāves</w:t>
      </w:r>
      <w:r w:rsidRPr="00257477">
        <w:rPr>
          <w:rFonts w:asciiTheme="majorBidi" w:hAnsiTheme="majorBidi" w:cstheme="majorBidi"/>
        </w:rPr>
        <w:t xml:space="preserve"> atbilstoši </w:t>
      </w:r>
      <w:proofErr w:type="spellStart"/>
      <w:r w:rsidRPr="00257477">
        <w:rPr>
          <w:rFonts w:asciiTheme="majorBidi" w:hAnsiTheme="majorBidi" w:cstheme="majorBidi"/>
        </w:rPr>
        <w:t>dispozitivitātes</w:t>
      </w:r>
      <w:proofErr w:type="spellEnd"/>
      <w:r w:rsidRPr="00257477">
        <w:rPr>
          <w:rFonts w:asciiTheme="majorBidi" w:hAnsiTheme="majorBidi" w:cstheme="majorBidi"/>
        </w:rPr>
        <w:t xml:space="preserve"> principam izvēlējās neizmantot. </w:t>
      </w:r>
    </w:p>
    <w:p w14:paraId="1C2C41A0" w14:textId="5A1F742C" w:rsidR="00AD6E36" w:rsidRPr="00257477" w:rsidRDefault="00AD6E36" w:rsidP="00257477">
      <w:pPr>
        <w:spacing w:line="276" w:lineRule="auto"/>
        <w:ind w:firstLine="720"/>
        <w:jc w:val="both"/>
        <w:rPr>
          <w:rFonts w:asciiTheme="majorBidi" w:hAnsiTheme="majorBidi" w:cstheme="majorBidi"/>
        </w:rPr>
      </w:pPr>
      <w:r w:rsidRPr="00257477">
        <w:rPr>
          <w:rFonts w:asciiTheme="majorBidi" w:hAnsiTheme="majorBidi" w:cstheme="majorBidi"/>
        </w:rPr>
        <w:t>T</w:t>
      </w:r>
      <w:r w:rsidR="00FB31A3" w:rsidRPr="00257477">
        <w:rPr>
          <w:rFonts w:asciiTheme="majorBidi" w:hAnsiTheme="majorBidi" w:cstheme="majorBidi"/>
        </w:rPr>
        <w:t xml:space="preserve">iesas sēdes priekšsēdētāja </w:t>
      </w:r>
      <w:r w:rsidR="00521E6F" w:rsidRPr="00257477">
        <w:rPr>
          <w:rFonts w:asciiTheme="majorBidi" w:hAnsiTheme="majorBidi" w:cstheme="majorBidi"/>
        </w:rPr>
        <w:t>noskaidroja</w:t>
      </w:r>
      <w:r w:rsidR="00FB31A3" w:rsidRPr="00257477">
        <w:rPr>
          <w:rFonts w:asciiTheme="majorBidi" w:hAnsiTheme="majorBidi" w:cstheme="majorBidi"/>
        </w:rPr>
        <w:t>, vai lietas dalībnieki uztur iepriekš sniegtos rakstveida paskaidrojumus</w:t>
      </w:r>
      <w:r w:rsidR="00D122A4" w:rsidRPr="00257477">
        <w:rPr>
          <w:rFonts w:asciiTheme="majorBidi" w:hAnsiTheme="majorBidi" w:cstheme="majorBidi"/>
        </w:rPr>
        <w:t>,</w:t>
      </w:r>
      <w:r w:rsidR="00FB31A3" w:rsidRPr="00257477">
        <w:rPr>
          <w:rFonts w:asciiTheme="majorBidi" w:hAnsiTheme="majorBidi" w:cstheme="majorBidi"/>
        </w:rPr>
        <w:t xml:space="preserve"> un </w:t>
      </w:r>
      <w:r w:rsidR="00521E6F" w:rsidRPr="00257477">
        <w:rPr>
          <w:rFonts w:asciiTheme="majorBidi" w:hAnsiTheme="majorBidi" w:cstheme="majorBidi"/>
        </w:rPr>
        <w:t xml:space="preserve">lūdza </w:t>
      </w:r>
      <w:r w:rsidR="00FB31A3" w:rsidRPr="00257477">
        <w:rPr>
          <w:rFonts w:asciiTheme="majorBidi" w:hAnsiTheme="majorBidi" w:cstheme="majorBidi"/>
        </w:rPr>
        <w:t>tos neatkārtot, bet papildināt, kur tas ir nepieciešams</w:t>
      </w:r>
      <w:r w:rsidR="00521E6F" w:rsidRPr="00257477">
        <w:rPr>
          <w:rFonts w:asciiTheme="majorBidi" w:hAnsiTheme="majorBidi" w:cstheme="majorBidi"/>
        </w:rPr>
        <w:t>.</w:t>
      </w:r>
      <w:r w:rsidR="00FB31A3" w:rsidRPr="00257477">
        <w:rPr>
          <w:rFonts w:asciiTheme="majorBidi" w:hAnsiTheme="majorBidi" w:cstheme="majorBidi"/>
        </w:rPr>
        <w:t xml:space="preserve"> </w:t>
      </w:r>
      <w:r w:rsidR="00521E6F" w:rsidRPr="00257477">
        <w:rPr>
          <w:rFonts w:asciiTheme="majorBidi" w:hAnsiTheme="majorBidi" w:cstheme="majorBidi"/>
        </w:rPr>
        <w:t xml:space="preserve">Šāda viņas rīcība </w:t>
      </w:r>
      <w:r w:rsidRPr="00257477">
        <w:rPr>
          <w:rFonts w:asciiTheme="majorBidi" w:hAnsiTheme="majorBidi" w:cstheme="majorBidi"/>
        </w:rPr>
        <w:t>ir uzskatāma nevis</w:t>
      </w:r>
      <w:r w:rsidR="00FB31A3" w:rsidRPr="00257477">
        <w:rPr>
          <w:rFonts w:asciiTheme="majorBidi" w:hAnsiTheme="majorBidi" w:cstheme="majorBidi"/>
        </w:rPr>
        <w:t xml:space="preserve"> par Civilprocesa likuma 74. panta otrās daļas 7. punkta pārkāpumu</w:t>
      </w:r>
      <w:r w:rsidRPr="00257477">
        <w:rPr>
          <w:rFonts w:asciiTheme="majorBidi" w:hAnsiTheme="majorBidi" w:cstheme="majorBidi"/>
        </w:rPr>
        <w:t>, bet gan par likuma „Par tiesu varu” 28. pant</w:t>
      </w:r>
      <w:r w:rsidR="00D122A4" w:rsidRPr="00257477">
        <w:rPr>
          <w:rFonts w:asciiTheme="majorBidi" w:hAnsiTheme="majorBidi" w:cstheme="majorBidi"/>
        </w:rPr>
        <w:t>ā</w:t>
      </w:r>
      <w:r w:rsidRPr="00257477">
        <w:rPr>
          <w:rFonts w:asciiTheme="majorBidi" w:hAnsiTheme="majorBidi" w:cstheme="majorBidi"/>
        </w:rPr>
        <w:t xml:space="preserve"> nostiprinātā procesuālās ekonomijas principa īstenošanu civilprocesā, it sevišķi situācij</w:t>
      </w:r>
      <w:r w:rsidR="00090904" w:rsidRPr="00257477">
        <w:rPr>
          <w:rFonts w:asciiTheme="majorBidi" w:hAnsiTheme="majorBidi" w:cstheme="majorBidi"/>
        </w:rPr>
        <w:t>ā</w:t>
      </w:r>
      <w:r w:rsidRPr="00257477">
        <w:rPr>
          <w:rFonts w:asciiTheme="majorBidi" w:hAnsiTheme="majorBidi" w:cstheme="majorBidi"/>
        </w:rPr>
        <w:t>, kad tiesas norāde bija vispārīga un tieši prasītājas pilnvarotās pārstāves ziņā bija izvēlēties</w:t>
      </w:r>
      <w:r w:rsidR="00D122A4" w:rsidRPr="00257477">
        <w:rPr>
          <w:rFonts w:asciiTheme="majorBidi" w:hAnsiTheme="majorBidi" w:cstheme="majorBidi"/>
        </w:rPr>
        <w:t xml:space="preserve"> un atreferēt</w:t>
      </w:r>
      <w:r w:rsidRPr="00257477">
        <w:rPr>
          <w:rFonts w:asciiTheme="majorBidi" w:hAnsiTheme="majorBidi" w:cstheme="majorBidi"/>
        </w:rPr>
        <w:t xml:space="preserve"> </w:t>
      </w:r>
      <w:r w:rsidR="00913846" w:rsidRPr="00257477">
        <w:rPr>
          <w:rFonts w:asciiTheme="majorBidi" w:hAnsiTheme="majorBidi" w:cstheme="majorBidi"/>
        </w:rPr>
        <w:t xml:space="preserve">tos </w:t>
      </w:r>
      <w:r w:rsidR="00D122A4" w:rsidRPr="00257477">
        <w:rPr>
          <w:rFonts w:asciiTheme="majorBidi" w:hAnsiTheme="majorBidi" w:cstheme="majorBidi"/>
        </w:rPr>
        <w:t xml:space="preserve">apstākļus un </w:t>
      </w:r>
      <w:r w:rsidR="00090904" w:rsidRPr="00257477">
        <w:rPr>
          <w:rFonts w:asciiTheme="majorBidi" w:hAnsiTheme="majorBidi" w:cstheme="majorBidi"/>
        </w:rPr>
        <w:t xml:space="preserve">argumentus, kas viņas ieskatā bija vissvarīgākie, ko prasītājas pilnvarotā pārstāve, kā tas izriet no tiesas sēdes skaņu ieraksta, arī īstenoja. </w:t>
      </w:r>
    </w:p>
    <w:p w14:paraId="6110EBC1" w14:textId="1D3AD28B" w:rsidR="001045F2" w:rsidRPr="00257477" w:rsidRDefault="00090904" w:rsidP="00257477">
      <w:pPr>
        <w:spacing w:line="276" w:lineRule="auto"/>
        <w:ind w:firstLine="720"/>
        <w:jc w:val="both"/>
        <w:rPr>
          <w:rFonts w:asciiTheme="majorBidi" w:hAnsiTheme="majorBidi" w:cstheme="majorBidi"/>
        </w:rPr>
      </w:pPr>
      <w:r w:rsidRPr="00257477">
        <w:rPr>
          <w:rFonts w:asciiTheme="majorBidi" w:hAnsiTheme="majorBidi" w:cstheme="majorBidi"/>
        </w:rPr>
        <w:t xml:space="preserve">Turklāt kasācijas sūdzības arguments par Civilprocesa likuma 74. panta otrās daļas 7. punkta pārkāpumu ir jo sevišķi nepamatots </w:t>
      </w:r>
      <w:r w:rsidR="00AD6E36" w:rsidRPr="00257477">
        <w:rPr>
          <w:rFonts w:asciiTheme="majorBidi" w:hAnsiTheme="majorBidi" w:cstheme="majorBidi"/>
        </w:rPr>
        <w:t xml:space="preserve">situācijā, kad prasītājas pilnvarotā pārstāve </w:t>
      </w:r>
      <w:r w:rsidR="00D122A4" w:rsidRPr="00257477">
        <w:rPr>
          <w:rFonts w:asciiTheme="majorBidi" w:hAnsiTheme="majorBidi" w:cstheme="majorBidi"/>
        </w:rPr>
        <w:t xml:space="preserve">tiesas sēdē </w:t>
      </w:r>
      <w:r w:rsidR="00AD6E36" w:rsidRPr="00257477">
        <w:rPr>
          <w:rFonts w:asciiTheme="majorBidi" w:hAnsiTheme="majorBidi" w:cstheme="majorBidi"/>
        </w:rPr>
        <w:t>nesniedza atbildes uz tādiem tiesas precizējošiem jautājumiem, kas ir</w:t>
      </w:r>
      <w:r w:rsidRPr="00257477">
        <w:rPr>
          <w:rFonts w:asciiTheme="majorBidi" w:hAnsiTheme="majorBidi" w:cstheme="majorBidi"/>
        </w:rPr>
        <w:t xml:space="preserve"> pašas prasītājas,</w:t>
      </w:r>
      <w:r w:rsidR="00AD6E36" w:rsidRPr="00257477">
        <w:rPr>
          <w:rFonts w:asciiTheme="majorBidi" w:hAnsiTheme="majorBidi" w:cstheme="majorBidi"/>
        </w:rPr>
        <w:t xml:space="preserve"> Latvijas Investīciju un attīstības aģentūras</w:t>
      </w:r>
      <w:r w:rsidRPr="00257477">
        <w:rPr>
          <w:rFonts w:asciiTheme="majorBidi" w:hAnsiTheme="majorBidi" w:cstheme="majorBidi"/>
        </w:rPr>
        <w:t>,</w:t>
      </w:r>
      <w:r w:rsidR="00AD6E36" w:rsidRPr="00257477">
        <w:rPr>
          <w:rFonts w:asciiTheme="majorBidi" w:hAnsiTheme="majorBidi" w:cstheme="majorBidi"/>
        </w:rPr>
        <w:t xml:space="preserve"> kompetencē. </w:t>
      </w:r>
    </w:p>
    <w:p w14:paraId="61313FC6" w14:textId="77777777" w:rsidR="001045F2" w:rsidRPr="00257477" w:rsidRDefault="001045F2" w:rsidP="00257477">
      <w:pPr>
        <w:spacing w:line="276" w:lineRule="auto"/>
        <w:ind w:firstLine="720"/>
        <w:jc w:val="both"/>
        <w:rPr>
          <w:rFonts w:asciiTheme="majorBidi" w:hAnsiTheme="majorBidi" w:cstheme="majorBidi"/>
        </w:rPr>
      </w:pPr>
    </w:p>
    <w:p w14:paraId="39688804" w14:textId="055F9CE9" w:rsidR="001045F2" w:rsidRPr="00257477" w:rsidRDefault="009E4691" w:rsidP="00257477">
      <w:pPr>
        <w:spacing w:line="276" w:lineRule="auto"/>
        <w:ind w:firstLine="720"/>
        <w:jc w:val="both"/>
        <w:rPr>
          <w:rFonts w:asciiTheme="majorBidi" w:hAnsiTheme="majorBidi" w:cstheme="majorBidi"/>
        </w:rPr>
      </w:pPr>
      <w:r w:rsidRPr="00257477">
        <w:rPr>
          <w:rFonts w:asciiTheme="majorBidi" w:hAnsiTheme="majorBidi" w:cstheme="majorBidi"/>
        </w:rPr>
        <w:t>[1</w:t>
      </w:r>
      <w:r w:rsidR="00D122A4" w:rsidRPr="00257477">
        <w:rPr>
          <w:rFonts w:asciiTheme="majorBidi" w:hAnsiTheme="majorBidi" w:cstheme="majorBidi"/>
        </w:rPr>
        <w:t>1</w:t>
      </w:r>
      <w:r w:rsidRPr="00257477">
        <w:rPr>
          <w:rFonts w:asciiTheme="majorBidi" w:hAnsiTheme="majorBidi" w:cstheme="majorBidi"/>
        </w:rPr>
        <w:t>]</w:t>
      </w:r>
      <w:r w:rsidR="00FB62B4" w:rsidRPr="00257477">
        <w:rPr>
          <w:rFonts w:asciiTheme="majorBidi" w:hAnsiTheme="majorBidi" w:cstheme="majorBidi"/>
        </w:rPr>
        <w:t> </w:t>
      </w:r>
      <w:r w:rsidRPr="00257477">
        <w:rPr>
          <w:rFonts w:asciiTheme="majorBidi" w:hAnsiTheme="majorBidi" w:cstheme="majorBidi"/>
        </w:rPr>
        <w:t>Senāta ieskatā</w:t>
      </w:r>
      <w:r w:rsidR="000F1637" w:rsidRPr="00257477">
        <w:rPr>
          <w:rFonts w:asciiTheme="majorBidi" w:hAnsiTheme="majorBidi" w:cstheme="majorBidi"/>
        </w:rPr>
        <w:t>,</w:t>
      </w:r>
      <w:r w:rsidRPr="00257477">
        <w:rPr>
          <w:rFonts w:asciiTheme="majorBidi" w:hAnsiTheme="majorBidi" w:cstheme="majorBidi"/>
        </w:rPr>
        <w:t xml:space="preserve"> </w:t>
      </w:r>
      <w:r w:rsidR="00AD6E36" w:rsidRPr="00257477">
        <w:rPr>
          <w:rFonts w:asciiTheme="majorBidi" w:hAnsiTheme="majorBidi" w:cstheme="majorBidi"/>
        </w:rPr>
        <w:t xml:space="preserve">šā sprieduma </w:t>
      </w:r>
      <w:r w:rsidR="00D122A4" w:rsidRPr="00257477">
        <w:rPr>
          <w:rFonts w:asciiTheme="majorBidi" w:hAnsiTheme="majorBidi" w:cstheme="majorBidi"/>
        </w:rPr>
        <w:t>7</w:t>
      </w:r>
      <w:r w:rsidR="00AD6E36" w:rsidRPr="00257477">
        <w:rPr>
          <w:rFonts w:asciiTheme="majorBidi" w:hAnsiTheme="majorBidi" w:cstheme="majorBidi"/>
        </w:rPr>
        <w:t>.–</w:t>
      </w:r>
      <w:r w:rsidR="00D122A4" w:rsidRPr="00257477">
        <w:rPr>
          <w:rFonts w:asciiTheme="majorBidi" w:hAnsiTheme="majorBidi" w:cstheme="majorBidi"/>
        </w:rPr>
        <w:t>9</w:t>
      </w:r>
      <w:r w:rsidR="00AD6E36" w:rsidRPr="00257477">
        <w:rPr>
          <w:rFonts w:asciiTheme="majorBidi" w:hAnsiTheme="majorBidi" w:cstheme="majorBidi"/>
        </w:rPr>
        <w:t xml:space="preserve">. punktā </w:t>
      </w:r>
      <w:r w:rsidRPr="00257477">
        <w:rPr>
          <w:rFonts w:asciiTheme="majorBidi" w:hAnsiTheme="majorBidi" w:cstheme="majorBidi"/>
        </w:rPr>
        <w:t xml:space="preserve">izklāstīto argumentu kopums ļauj secināt, ka konstatētie trūkumi materiālo tiesību normu iztulkošanā un piemērošanā un procesuālie pārkāpumi lietai nozīmīgo apstākļu noskaidrošanā un spriedumā izdarīto secinājumu pamatošanā vērtējami kā tādi, kas </w:t>
      </w:r>
      <w:r w:rsidR="00AD6E36" w:rsidRPr="00257477">
        <w:rPr>
          <w:rFonts w:asciiTheme="majorBidi" w:hAnsiTheme="majorBidi" w:cstheme="majorBidi"/>
        </w:rPr>
        <w:t xml:space="preserve">varēja novest </w:t>
      </w:r>
      <w:r w:rsidRPr="00257477">
        <w:rPr>
          <w:rFonts w:asciiTheme="majorBidi" w:hAnsiTheme="majorBidi" w:cstheme="majorBidi"/>
        </w:rPr>
        <w:t>pie lietas nepareizas izspriešanas</w:t>
      </w:r>
      <w:r w:rsidR="00AD6E36" w:rsidRPr="00257477">
        <w:rPr>
          <w:rFonts w:asciiTheme="majorBidi" w:hAnsiTheme="majorBidi" w:cstheme="majorBidi"/>
        </w:rPr>
        <w:t xml:space="preserve">, kas savukārt ir </w:t>
      </w:r>
      <w:r w:rsidRPr="00257477">
        <w:rPr>
          <w:rFonts w:asciiTheme="majorBidi" w:hAnsiTheme="majorBidi" w:cstheme="majorBidi"/>
        </w:rPr>
        <w:t>pamats sprieduma atcelšanai.</w:t>
      </w:r>
    </w:p>
    <w:p w14:paraId="7F3FBE2F" w14:textId="77777777" w:rsidR="00DA0438" w:rsidRPr="00257477" w:rsidRDefault="0013345B" w:rsidP="00257477">
      <w:pPr>
        <w:spacing w:line="276" w:lineRule="auto"/>
        <w:ind w:firstLine="720"/>
        <w:jc w:val="both"/>
        <w:rPr>
          <w:rFonts w:asciiTheme="majorBidi" w:hAnsiTheme="majorBidi" w:cstheme="majorBidi"/>
        </w:rPr>
      </w:pPr>
      <w:r w:rsidRPr="00257477">
        <w:rPr>
          <w:rFonts w:asciiTheme="majorBidi" w:hAnsiTheme="majorBidi" w:cstheme="majorBidi"/>
        </w:rPr>
        <w:t>Ņemot vērā, ka prasījums par nokavējuma procentu piedziņu ir pakārtots prasījumam par neatbilstoši veikto izdevumu</w:t>
      </w:r>
      <w:r w:rsidR="00DA0438" w:rsidRPr="00257477">
        <w:rPr>
          <w:rFonts w:asciiTheme="majorBidi" w:hAnsiTheme="majorBidi" w:cstheme="majorBidi"/>
        </w:rPr>
        <w:t xml:space="preserve"> (atbalsta finansējuma)</w:t>
      </w:r>
      <w:r w:rsidRPr="00257477">
        <w:rPr>
          <w:rFonts w:asciiTheme="majorBidi" w:hAnsiTheme="majorBidi" w:cstheme="majorBidi"/>
        </w:rPr>
        <w:t xml:space="preserve"> piedziņu</w:t>
      </w:r>
      <w:r w:rsidR="00DA0438" w:rsidRPr="00257477">
        <w:rPr>
          <w:rFonts w:asciiTheme="majorBidi" w:hAnsiTheme="majorBidi" w:cstheme="majorBidi"/>
        </w:rPr>
        <w:t>, apelācijas instances tiesas spriedums ir atceļams arī daļā par nokavējuma procentu piedziņu.</w:t>
      </w:r>
    </w:p>
    <w:p w14:paraId="267D946A" w14:textId="706C2120" w:rsidR="0013345B" w:rsidRPr="00257477" w:rsidRDefault="00DA0438" w:rsidP="00257477">
      <w:pPr>
        <w:spacing w:line="276" w:lineRule="auto"/>
        <w:ind w:firstLine="720"/>
        <w:jc w:val="both"/>
        <w:rPr>
          <w:rFonts w:asciiTheme="majorBidi" w:hAnsiTheme="majorBidi" w:cstheme="majorBidi"/>
        </w:rPr>
      </w:pPr>
      <w:r w:rsidRPr="00257477">
        <w:rPr>
          <w:rFonts w:asciiTheme="majorBidi" w:hAnsiTheme="majorBidi" w:cstheme="majorBidi"/>
        </w:rPr>
        <w:t xml:space="preserve"> </w:t>
      </w:r>
    </w:p>
    <w:p w14:paraId="43EAC8D0" w14:textId="452A6383" w:rsidR="003F7ACE" w:rsidRPr="00257477" w:rsidRDefault="00DA0438" w:rsidP="00257477">
      <w:pPr>
        <w:spacing w:line="276" w:lineRule="auto"/>
        <w:ind w:firstLine="720"/>
        <w:jc w:val="both"/>
        <w:rPr>
          <w:rFonts w:asciiTheme="majorBidi" w:hAnsiTheme="majorBidi" w:cstheme="majorBidi"/>
        </w:rPr>
      </w:pPr>
      <w:r w:rsidRPr="00257477">
        <w:rPr>
          <w:rFonts w:asciiTheme="majorBidi" w:hAnsiTheme="majorBidi" w:cstheme="majorBidi"/>
        </w:rPr>
        <w:t>[12]</w:t>
      </w:r>
      <w:r w:rsidR="00FB62B4" w:rsidRPr="00257477">
        <w:rPr>
          <w:rFonts w:asciiTheme="majorBidi" w:hAnsiTheme="majorBidi" w:cstheme="majorBidi"/>
        </w:rPr>
        <w:t> </w:t>
      </w:r>
      <w:r w:rsidRPr="00257477">
        <w:rPr>
          <w:rFonts w:asciiTheme="majorBidi" w:hAnsiTheme="majorBidi" w:cstheme="majorBidi"/>
        </w:rPr>
        <w:t xml:space="preserve">Tiesāšanās izdevumu atlīdzināšana ir atkarīga no prasījumu izspriešanas rezultāta. Ievērojot, ka spriedums tiek pilnīgi atcelts par </w:t>
      </w:r>
      <w:proofErr w:type="spellStart"/>
      <w:r w:rsidRPr="00257477">
        <w:rPr>
          <w:rFonts w:asciiTheme="majorBidi" w:hAnsiTheme="majorBidi" w:cstheme="majorBidi"/>
        </w:rPr>
        <w:t>materiāltiesisko</w:t>
      </w:r>
      <w:proofErr w:type="spellEnd"/>
      <w:r w:rsidRPr="00257477">
        <w:rPr>
          <w:rFonts w:asciiTheme="majorBidi" w:hAnsiTheme="majorBidi" w:cstheme="majorBidi"/>
        </w:rPr>
        <w:t xml:space="preserve"> prasījumu, tas atceļams arī daļā par visu tiesāšanās izdevumu piedziņu, un arī šis jautājums nododams jaunai izskatīšanai apelācijas instances tiesā.  </w:t>
      </w:r>
    </w:p>
    <w:p w14:paraId="7A36C94E" w14:textId="77777777" w:rsidR="001045F2" w:rsidRPr="00257477" w:rsidRDefault="001045F2" w:rsidP="00257477">
      <w:pPr>
        <w:spacing w:line="276" w:lineRule="auto"/>
        <w:ind w:firstLine="720"/>
        <w:jc w:val="both"/>
        <w:rPr>
          <w:rFonts w:asciiTheme="majorBidi" w:hAnsiTheme="majorBidi" w:cstheme="majorBidi"/>
        </w:rPr>
      </w:pPr>
    </w:p>
    <w:p w14:paraId="3FDDAB25" w14:textId="77777777" w:rsidR="001045F2" w:rsidRPr="00257477" w:rsidRDefault="009E4691" w:rsidP="00257477">
      <w:pPr>
        <w:shd w:val="clear" w:color="auto" w:fill="FFFFFF"/>
        <w:spacing w:line="276" w:lineRule="auto"/>
        <w:jc w:val="center"/>
        <w:rPr>
          <w:rFonts w:asciiTheme="majorBidi" w:hAnsiTheme="majorBidi" w:cstheme="majorBidi"/>
          <w:b/>
        </w:rPr>
      </w:pPr>
      <w:r w:rsidRPr="00257477">
        <w:rPr>
          <w:rFonts w:asciiTheme="majorBidi" w:hAnsiTheme="majorBidi" w:cstheme="majorBidi"/>
          <w:b/>
        </w:rPr>
        <w:t>Rezolutīvā daļa</w:t>
      </w:r>
    </w:p>
    <w:p w14:paraId="35FB6F4D" w14:textId="77777777" w:rsidR="001045F2" w:rsidRPr="00257477" w:rsidRDefault="001045F2" w:rsidP="00257477">
      <w:pPr>
        <w:shd w:val="clear" w:color="auto" w:fill="FFFFFF"/>
        <w:spacing w:line="276" w:lineRule="auto"/>
        <w:jc w:val="center"/>
        <w:rPr>
          <w:rFonts w:asciiTheme="majorBidi" w:hAnsiTheme="majorBidi" w:cstheme="majorBidi"/>
          <w:b/>
        </w:rPr>
      </w:pPr>
    </w:p>
    <w:p w14:paraId="09E9B40B" w14:textId="4D0B8E74" w:rsidR="001045F2" w:rsidRPr="00257477" w:rsidRDefault="009E4691" w:rsidP="00257477">
      <w:pPr>
        <w:spacing w:line="276" w:lineRule="auto"/>
        <w:ind w:firstLine="709"/>
        <w:jc w:val="both"/>
        <w:rPr>
          <w:rFonts w:asciiTheme="majorBidi" w:hAnsiTheme="majorBidi" w:cstheme="majorBidi"/>
        </w:rPr>
      </w:pPr>
      <w:r w:rsidRPr="00257477">
        <w:rPr>
          <w:rFonts w:asciiTheme="majorBidi" w:hAnsiTheme="majorBidi" w:cstheme="majorBidi"/>
        </w:rPr>
        <w:t>Ņemot vērā minēto un pamatojoties uz Civilprocesa likuma 474.</w:t>
      </w:r>
      <w:r w:rsidR="00FB31A3" w:rsidRPr="00257477">
        <w:rPr>
          <w:rFonts w:asciiTheme="majorBidi" w:hAnsiTheme="majorBidi" w:cstheme="majorBidi"/>
        </w:rPr>
        <w:t> </w:t>
      </w:r>
      <w:r w:rsidRPr="00257477">
        <w:rPr>
          <w:rFonts w:asciiTheme="majorBidi" w:hAnsiTheme="majorBidi" w:cstheme="majorBidi"/>
        </w:rPr>
        <w:t>panta 2.</w:t>
      </w:r>
      <w:r w:rsidR="00FB31A3" w:rsidRPr="00257477">
        <w:rPr>
          <w:rFonts w:asciiTheme="majorBidi" w:hAnsiTheme="majorBidi" w:cstheme="majorBidi"/>
        </w:rPr>
        <w:t xml:space="preserve"> </w:t>
      </w:r>
      <w:r w:rsidRPr="00257477">
        <w:rPr>
          <w:rFonts w:asciiTheme="majorBidi" w:hAnsiTheme="majorBidi" w:cstheme="majorBidi"/>
        </w:rPr>
        <w:t>punktu, Senāts</w:t>
      </w:r>
    </w:p>
    <w:p w14:paraId="0E3B94F3" w14:textId="77777777" w:rsidR="00FB31A3" w:rsidRPr="00257477" w:rsidRDefault="00FB31A3" w:rsidP="00257477">
      <w:pPr>
        <w:spacing w:line="276" w:lineRule="auto"/>
        <w:ind w:firstLine="709"/>
        <w:jc w:val="center"/>
        <w:rPr>
          <w:rFonts w:asciiTheme="majorBidi" w:hAnsiTheme="majorBidi" w:cstheme="majorBidi"/>
        </w:rPr>
      </w:pPr>
    </w:p>
    <w:p w14:paraId="65ACC004" w14:textId="77777777" w:rsidR="001045F2" w:rsidRPr="00257477" w:rsidRDefault="009E4691" w:rsidP="00257477">
      <w:pPr>
        <w:spacing w:line="276" w:lineRule="auto"/>
        <w:jc w:val="center"/>
        <w:rPr>
          <w:rFonts w:asciiTheme="majorBidi" w:hAnsiTheme="majorBidi" w:cstheme="majorBidi"/>
          <w:b/>
        </w:rPr>
      </w:pPr>
      <w:r w:rsidRPr="00257477">
        <w:rPr>
          <w:rFonts w:asciiTheme="majorBidi" w:hAnsiTheme="majorBidi" w:cstheme="majorBidi"/>
          <w:b/>
        </w:rPr>
        <w:t>nosprieda</w:t>
      </w:r>
    </w:p>
    <w:p w14:paraId="2F4F583C" w14:textId="77777777" w:rsidR="001045F2" w:rsidRPr="00257477" w:rsidRDefault="001045F2" w:rsidP="00257477">
      <w:pPr>
        <w:spacing w:line="276" w:lineRule="auto"/>
        <w:jc w:val="center"/>
        <w:rPr>
          <w:rFonts w:asciiTheme="majorBidi" w:hAnsiTheme="majorBidi" w:cstheme="majorBidi"/>
          <w:b/>
        </w:rPr>
      </w:pPr>
    </w:p>
    <w:p w14:paraId="11F8B62A" w14:textId="771B1067" w:rsidR="001045F2" w:rsidRPr="00257477" w:rsidRDefault="009E4691" w:rsidP="00257477">
      <w:pPr>
        <w:shd w:val="clear" w:color="auto" w:fill="FFFFFF"/>
        <w:spacing w:line="276" w:lineRule="auto"/>
        <w:ind w:firstLine="709"/>
        <w:jc w:val="both"/>
        <w:rPr>
          <w:rFonts w:asciiTheme="majorBidi" w:hAnsiTheme="majorBidi" w:cstheme="majorBidi"/>
        </w:rPr>
      </w:pPr>
      <w:r w:rsidRPr="00257477">
        <w:rPr>
          <w:rFonts w:asciiTheme="majorBidi" w:hAnsiTheme="majorBidi" w:cstheme="majorBidi"/>
        </w:rPr>
        <w:t>atcelt Rīgas apgabaltiesas 2023.</w:t>
      </w:r>
      <w:r w:rsidR="00FB206D" w:rsidRPr="00257477">
        <w:rPr>
          <w:rFonts w:asciiTheme="majorBidi" w:hAnsiTheme="majorBidi" w:cstheme="majorBidi"/>
        </w:rPr>
        <w:t> </w:t>
      </w:r>
      <w:r w:rsidRPr="00257477">
        <w:rPr>
          <w:rFonts w:asciiTheme="majorBidi" w:hAnsiTheme="majorBidi" w:cstheme="majorBidi"/>
        </w:rPr>
        <w:t xml:space="preserve">gada </w:t>
      </w:r>
      <w:r w:rsidR="007E70CB" w:rsidRPr="00257477">
        <w:rPr>
          <w:rFonts w:asciiTheme="majorBidi" w:hAnsiTheme="majorBidi" w:cstheme="majorBidi"/>
        </w:rPr>
        <w:t>28</w:t>
      </w:r>
      <w:r w:rsidRPr="00257477">
        <w:rPr>
          <w:rFonts w:asciiTheme="majorBidi" w:hAnsiTheme="majorBidi" w:cstheme="majorBidi"/>
        </w:rPr>
        <w:t>.</w:t>
      </w:r>
      <w:r w:rsidR="00FB31A3" w:rsidRPr="00257477">
        <w:rPr>
          <w:rFonts w:asciiTheme="majorBidi" w:hAnsiTheme="majorBidi" w:cstheme="majorBidi"/>
        </w:rPr>
        <w:t> </w:t>
      </w:r>
      <w:r w:rsidRPr="00257477">
        <w:rPr>
          <w:rFonts w:asciiTheme="majorBidi" w:hAnsiTheme="majorBidi" w:cstheme="majorBidi"/>
        </w:rPr>
        <w:t>aprīļa spriedumu un nodot lietu jaunai izskatīšanai Rīgas apgabalties</w:t>
      </w:r>
      <w:r w:rsidR="00FB31A3" w:rsidRPr="00257477">
        <w:rPr>
          <w:rFonts w:asciiTheme="majorBidi" w:hAnsiTheme="majorBidi" w:cstheme="majorBidi"/>
        </w:rPr>
        <w:t xml:space="preserve">ā. </w:t>
      </w:r>
      <w:r w:rsidRPr="00257477">
        <w:rPr>
          <w:rFonts w:asciiTheme="majorBidi" w:hAnsiTheme="majorBidi" w:cstheme="majorBidi"/>
        </w:rPr>
        <w:t xml:space="preserve"> </w:t>
      </w:r>
    </w:p>
    <w:p w14:paraId="47934807" w14:textId="77777777" w:rsidR="001045F2" w:rsidRPr="00257477" w:rsidRDefault="001045F2" w:rsidP="00257477">
      <w:pPr>
        <w:shd w:val="clear" w:color="auto" w:fill="FFFFFF"/>
        <w:spacing w:line="276" w:lineRule="auto"/>
        <w:jc w:val="both"/>
        <w:rPr>
          <w:rFonts w:asciiTheme="majorBidi" w:hAnsiTheme="majorBidi" w:cstheme="majorBidi"/>
        </w:rPr>
      </w:pPr>
    </w:p>
    <w:p w14:paraId="783F1CD7" w14:textId="77777777" w:rsidR="001045F2" w:rsidRPr="00257477" w:rsidRDefault="009E4691" w:rsidP="00257477">
      <w:pPr>
        <w:spacing w:line="276" w:lineRule="auto"/>
        <w:ind w:firstLine="709"/>
        <w:jc w:val="both"/>
        <w:rPr>
          <w:rFonts w:asciiTheme="majorBidi" w:hAnsiTheme="majorBidi" w:cstheme="majorBidi"/>
        </w:rPr>
      </w:pPr>
      <w:r w:rsidRPr="00257477">
        <w:rPr>
          <w:rFonts w:asciiTheme="majorBidi" w:hAnsiTheme="majorBidi" w:cstheme="majorBidi"/>
        </w:rPr>
        <w:t>Spriedums nav pārsūdzams.</w:t>
      </w:r>
    </w:p>
    <w:sectPr w:rsidR="001045F2" w:rsidRPr="00257477">
      <w:footerReference w:type="default" r:id="rId10"/>
      <w:pgSz w:w="11906" w:h="16838"/>
      <w:pgMar w:top="1134" w:right="1701" w:bottom="1134" w:left="1701" w:header="567" w:footer="39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270FB" w14:textId="77777777" w:rsidR="001C466C" w:rsidRDefault="001C466C">
      <w:r>
        <w:separator/>
      </w:r>
    </w:p>
  </w:endnote>
  <w:endnote w:type="continuationSeparator" w:id="0">
    <w:p w14:paraId="597C6060" w14:textId="77777777" w:rsidR="001C466C" w:rsidRDefault="001C46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A675B" w14:textId="77777777" w:rsidR="00C63D57" w:rsidRDefault="00000000" w:rsidP="00C63D57">
    <w:pPr>
      <w:pStyle w:val="Footer"/>
      <w:jc w:val="center"/>
    </w:pPr>
    <w:sdt>
      <w:sdtPr>
        <w:id w:val="1728636285"/>
        <w:docPartObj>
          <w:docPartGallery w:val="Page Numbers (Top of Page)"/>
          <w:docPartUnique/>
        </w:docPartObj>
      </w:sdtPr>
      <w:sdtContent>
        <w:r w:rsidR="00C63D57">
          <w:rPr>
            <w:bCs/>
            <w:sz w:val="20"/>
            <w:szCs w:val="20"/>
          </w:rPr>
          <w:fldChar w:fldCharType="begin"/>
        </w:r>
        <w:r w:rsidR="00C63D57">
          <w:rPr>
            <w:bCs/>
            <w:sz w:val="20"/>
            <w:szCs w:val="20"/>
          </w:rPr>
          <w:instrText xml:space="preserve"> PAGE </w:instrText>
        </w:r>
        <w:r w:rsidR="00C63D57">
          <w:rPr>
            <w:bCs/>
            <w:sz w:val="20"/>
            <w:szCs w:val="20"/>
          </w:rPr>
          <w:fldChar w:fldCharType="separate"/>
        </w:r>
        <w:r w:rsidR="00C63D57">
          <w:rPr>
            <w:bCs/>
            <w:sz w:val="20"/>
            <w:szCs w:val="20"/>
          </w:rPr>
          <w:t>19</w:t>
        </w:r>
        <w:r w:rsidR="00C63D57">
          <w:rPr>
            <w:bCs/>
            <w:sz w:val="20"/>
            <w:szCs w:val="20"/>
          </w:rPr>
          <w:fldChar w:fldCharType="end"/>
        </w:r>
        <w:r w:rsidR="00C63D57">
          <w:rPr>
            <w:sz w:val="20"/>
            <w:szCs w:val="20"/>
          </w:rPr>
          <w:t xml:space="preserve"> no </w:t>
        </w:r>
        <w:r w:rsidR="00C63D57">
          <w:rPr>
            <w:bCs/>
            <w:sz w:val="20"/>
            <w:szCs w:val="20"/>
          </w:rPr>
          <w:fldChar w:fldCharType="begin"/>
        </w:r>
        <w:r w:rsidR="00C63D57">
          <w:rPr>
            <w:bCs/>
            <w:sz w:val="20"/>
            <w:szCs w:val="20"/>
          </w:rPr>
          <w:instrText xml:space="preserve"> NUMPAGES  </w:instrText>
        </w:r>
        <w:r w:rsidR="00C63D57">
          <w:rPr>
            <w:bCs/>
            <w:sz w:val="20"/>
            <w:szCs w:val="20"/>
          </w:rPr>
          <w:fldChar w:fldCharType="separate"/>
        </w:r>
        <w:r w:rsidR="00C63D57">
          <w:rPr>
            <w:bCs/>
            <w:sz w:val="20"/>
            <w:szCs w:val="20"/>
          </w:rPr>
          <w:t>19</w:t>
        </w:r>
        <w:r w:rsidR="00C63D57">
          <w:rPr>
            <w:bCs/>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75F20" w14:textId="77777777" w:rsidR="001C466C" w:rsidRDefault="001C466C">
      <w:r>
        <w:separator/>
      </w:r>
    </w:p>
  </w:footnote>
  <w:footnote w:type="continuationSeparator" w:id="0">
    <w:p w14:paraId="3FF062BF" w14:textId="77777777" w:rsidR="001C466C" w:rsidRDefault="001C46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EC10CA54"/>
    <w:lvl w:ilvl="0">
      <w:numFmt w:val="bullet"/>
      <w:lvlText w:val="*"/>
      <w:lvlJc w:val="left"/>
    </w:lvl>
  </w:abstractNum>
  <w:abstractNum w:abstractNumId="1" w15:restartNumberingAfterBreak="0">
    <w:nsid w:val="030753B9"/>
    <w:multiLevelType w:val="hybridMultilevel"/>
    <w:tmpl w:val="93EE9480"/>
    <w:lvl w:ilvl="0" w:tplc="97BA437E">
      <w:start w:val="1"/>
      <w:numFmt w:val="lowerRoman"/>
      <w:lvlText w:val="(%1)"/>
      <w:lvlJc w:val="left"/>
      <w:pPr>
        <w:ind w:left="2415" w:hanging="720"/>
      </w:pPr>
      <w:rPr>
        <w:rFonts w:hint="default"/>
      </w:rPr>
    </w:lvl>
    <w:lvl w:ilvl="1" w:tplc="04260019" w:tentative="1">
      <w:start w:val="1"/>
      <w:numFmt w:val="lowerLetter"/>
      <w:lvlText w:val="%2."/>
      <w:lvlJc w:val="left"/>
      <w:pPr>
        <w:ind w:left="2775" w:hanging="360"/>
      </w:pPr>
    </w:lvl>
    <w:lvl w:ilvl="2" w:tplc="0426001B" w:tentative="1">
      <w:start w:val="1"/>
      <w:numFmt w:val="lowerRoman"/>
      <w:lvlText w:val="%3."/>
      <w:lvlJc w:val="right"/>
      <w:pPr>
        <w:ind w:left="3495" w:hanging="180"/>
      </w:pPr>
    </w:lvl>
    <w:lvl w:ilvl="3" w:tplc="0426000F" w:tentative="1">
      <w:start w:val="1"/>
      <w:numFmt w:val="decimal"/>
      <w:lvlText w:val="%4."/>
      <w:lvlJc w:val="left"/>
      <w:pPr>
        <w:ind w:left="4215" w:hanging="360"/>
      </w:pPr>
    </w:lvl>
    <w:lvl w:ilvl="4" w:tplc="04260019" w:tentative="1">
      <w:start w:val="1"/>
      <w:numFmt w:val="lowerLetter"/>
      <w:lvlText w:val="%5."/>
      <w:lvlJc w:val="left"/>
      <w:pPr>
        <w:ind w:left="4935" w:hanging="360"/>
      </w:pPr>
    </w:lvl>
    <w:lvl w:ilvl="5" w:tplc="0426001B" w:tentative="1">
      <w:start w:val="1"/>
      <w:numFmt w:val="lowerRoman"/>
      <w:lvlText w:val="%6."/>
      <w:lvlJc w:val="right"/>
      <w:pPr>
        <w:ind w:left="5655" w:hanging="180"/>
      </w:pPr>
    </w:lvl>
    <w:lvl w:ilvl="6" w:tplc="0426000F" w:tentative="1">
      <w:start w:val="1"/>
      <w:numFmt w:val="decimal"/>
      <w:lvlText w:val="%7."/>
      <w:lvlJc w:val="left"/>
      <w:pPr>
        <w:ind w:left="6375" w:hanging="360"/>
      </w:pPr>
    </w:lvl>
    <w:lvl w:ilvl="7" w:tplc="04260019" w:tentative="1">
      <w:start w:val="1"/>
      <w:numFmt w:val="lowerLetter"/>
      <w:lvlText w:val="%8."/>
      <w:lvlJc w:val="left"/>
      <w:pPr>
        <w:ind w:left="7095" w:hanging="360"/>
      </w:pPr>
    </w:lvl>
    <w:lvl w:ilvl="8" w:tplc="0426001B" w:tentative="1">
      <w:start w:val="1"/>
      <w:numFmt w:val="lowerRoman"/>
      <w:lvlText w:val="%9."/>
      <w:lvlJc w:val="right"/>
      <w:pPr>
        <w:ind w:left="7815" w:hanging="180"/>
      </w:pPr>
    </w:lvl>
  </w:abstractNum>
  <w:abstractNum w:abstractNumId="2" w15:restartNumberingAfterBreak="0">
    <w:nsid w:val="05A06E00"/>
    <w:multiLevelType w:val="multilevel"/>
    <w:tmpl w:val="80524D44"/>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val="0"/>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837D35"/>
    <w:multiLevelType w:val="hybridMultilevel"/>
    <w:tmpl w:val="0B062C38"/>
    <w:lvl w:ilvl="0" w:tplc="5DA2A4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6DA118D"/>
    <w:multiLevelType w:val="hybridMultilevel"/>
    <w:tmpl w:val="4B6496D6"/>
    <w:lvl w:ilvl="0" w:tplc="415AAC80">
      <w:start w:val="19"/>
      <w:numFmt w:val="bullet"/>
      <w:lvlText w:val="-"/>
      <w:lvlJc w:val="left"/>
      <w:pPr>
        <w:ind w:left="1070" w:hanging="360"/>
      </w:pPr>
      <w:rPr>
        <w:rFonts w:ascii="Times New Roman" w:eastAsia="Calibri" w:hAnsi="Times New Roman" w:cs="Times New Roman" w:hint="default"/>
        <w:b w:val="0"/>
      </w:rPr>
    </w:lvl>
    <w:lvl w:ilvl="1" w:tplc="04260003">
      <w:start w:val="1"/>
      <w:numFmt w:val="bullet"/>
      <w:lvlText w:val="o"/>
      <w:lvlJc w:val="left"/>
      <w:pPr>
        <w:ind w:left="1931" w:hanging="360"/>
      </w:pPr>
      <w:rPr>
        <w:rFonts w:ascii="Courier New" w:hAnsi="Courier New" w:cs="Courier New" w:hint="default"/>
      </w:rPr>
    </w:lvl>
    <w:lvl w:ilvl="2" w:tplc="04260005">
      <w:start w:val="1"/>
      <w:numFmt w:val="bullet"/>
      <w:lvlText w:val=""/>
      <w:lvlJc w:val="left"/>
      <w:pPr>
        <w:ind w:left="2651" w:hanging="360"/>
      </w:pPr>
      <w:rPr>
        <w:rFonts w:ascii="Wingdings" w:hAnsi="Wingdings" w:hint="default"/>
      </w:rPr>
    </w:lvl>
    <w:lvl w:ilvl="3" w:tplc="04260001" w:tentative="1">
      <w:start w:val="1"/>
      <w:numFmt w:val="bullet"/>
      <w:lvlText w:val=""/>
      <w:lvlJc w:val="left"/>
      <w:pPr>
        <w:ind w:left="3371" w:hanging="360"/>
      </w:pPr>
      <w:rPr>
        <w:rFonts w:ascii="Symbol" w:hAnsi="Symbol" w:hint="default"/>
      </w:rPr>
    </w:lvl>
    <w:lvl w:ilvl="4" w:tplc="04260003" w:tentative="1">
      <w:start w:val="1"/>
      <w:numFmt w:val="bullet"/>
      <w:lvlText w:val="o"/>
      <w:lvlJc w:val="left"/>
      <w:pPr>
        <w:ind w:left="4091" w:hanging="360"/>
      </w:pPr>
      <w:rPr>
        <w:rFonts w:ascii="Courier New" w:hAnsi="Courier New" w:cs="Courier New" w:hint="default"/>
      </w:rPr>
    </w:lvl>
    <w:lvl w:ilvl="5" w:tplc="04260005" w:tentative="1">
      <w:start w:val="1"/>
      <w:numFmt w:val="bullet"/>
      <w:lvlText w:val=""/>
      <w:lvlJc w:val="left"/>
      <w:pPr>
        <w:ind w:left="4811" w:hanging="360"/>
      </w:pPr>
      <w:rPr>
        <w:rFonts w:ascii="Wingdings" w:hAnsi="Wingdings" w:hint="default"/>
      </w:rPr>
    </w:lvl>
    <w:lvl w:ilvl="6" w:tplc="04260001" w:tentative="1">
      <w:start w:val="1"/>
      <w:numFmt w:val="bullet"/>
      <w:lvlText w:val=""/>
      <w:lvlJc w:val="left"/>
      <w:pPr>
        <w:ind w:left="5531" w:hanging="360"/>
      </w:pPr>
      <w:rPr>
        <w:rFonts w:ascii="Symbol" w:hAnsi="Symbol" w:hint="default"/>
      </w:rPr>
    </w:lvl>
    <w:lvl w:ilvl="7" w:tplc="04260003" w:tentative="1">
      <w:start w:val="1"/>
      <w:numFmt w:val="bullet"/>
      <w:lvlText w:val="o"/>
      <w:lvlJc w:val="left"/>
      <w:pPr>
        <w:ind w:left="6251" w:hanging="360"/>
      </w:pPr>
      <w:rPr>
        <w:rFonts w:ascii="Courier New" w:hAnsi="Courier New" w:cs="Courier New" w:hint="default"/>
      </w:rPr>
    </w:lvl>
    <w:lvl w:ilvl="8" w:tplc="04260005" w:tentative="1">
      <w:start w:val="1"/>
      <w:numFmt w:val="bullet"/>
      <w:lvlText w:val=""/>
      <w:lvlJc w:val="left"/>
      <w:pPr>
        <w:ind w:left="6971" w:hanging="360"/>
      </w:pPr>
      <w:rPr>
        <w:rFonts w:ascii="Wingdings" w:hAnsi="Wingdings" w:hint="default"/>
      </w:rPr>
    </w:lvl>
  </w:abstractNum>
  <w:abstractNum w:abstractNumId="5" w15:restartNumberingAfterBreak="0">
    <w:nsid w:val="078C3C96"/>
    <w:multiLevelType w:val="hybridMultilevel"/>
    <w:tmpl w:val="4D6EEAE2"/>
    <w:lvl w:ilvl="0" w:tplc="8754365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0C0B3149"/>
    <w:multiLevelType w:val="hybridMultilevel"/>
    <w:tmpl w:val="476A2CAC"/>
    <w:lvl w:ilvl="0" w:tplc="0426000F">
      <w:start w:val="1"/>
      <w:numFmt w:val="decimal"/>
      <w:lvlText w:val="%1."/>
      <w:lvlJc w:val="left"/>
      <w:pPr>
        <w:ind w:left="360" w:hanging="360"/>
      </w:pPr>
      <w:rPr>
        <w:rFonts w:ascii="Times New Roman" w:hAnsi="Times New Roman" w:hint="default"/>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7" w15:restartNumberingAfterBreak="0">
    <w:nsid w:val="128359FE"/>
    <w:multiLevelType w:val="hybridMultilevel"/>
    <w:tmpl w:val="917A9DF2"/>
    <w:lvl w:ilvl="0" w:tplc="D0FE4A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138C1666"/>
    <w:multiLevelType w:val="hybridMultilevel"/>
    <w:tmpl w:val="EEE8DF3A"/>
    <w:lvl w:ilvl="0" w:tplc="2716CD0C">
      <w:start w:val="2002"/>
      <w:numFmt w:val="bullet"/>
      <w:lvlText w:val="-"/>
      <w:lvlJc w:val="left"/>
      <w:pPr>
        <w:ind w:left="720" w:hanging="36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D144CF0"/>
    <w:multiLevelType w:val="hybridMultilevel"/>
    <w:tmpl w:val="434AE760"/>
    <w:lvl w:ilvl="0" w:tplc="AE5C95DA">
      <w:start w:val="4"/>
      <w:numFmt w:val="decimal"/>
      <w:lvlText w:val="%1."/>
      <w:lvlJc w:val="left"/>
      <w:pPr>
        <w:ind w:left="1288" w:hanging="360"/>
      </w:pPr>
      <w:rPr>
        <w:rFonts w:hint="default"/>
      </w:rPr>
    </w:lvl>
    <w:lvl w:ilvl="1" w:tplc="04260019" w:tentative="1">
      <w:start w:val="1"/>
      <w:numFmt w:val="lowerLetter"/>
      <w:lvlText w:val="%2."/>
      <w:lvlJc w:val="left"/>
      <w:pPr>
        <w:ind w:left="2008" w:hanging="360"/>
      </w:pPr>
    </w:lvl>
    <w:lvl w:ilvl="2" w:tplc="0426001B" w:tentative="1">
      <w:start w:val="1"/>
      <w:numFmt w:val="lowerRoman"/>
      <w:lvlText w:val="%3."/>
      <w:lvlJc w:val="right"/>
      <w:pPr>
        <w:ind w:left="2728" w:hanging="180"/>
      </w:pPr>
    </w:lvl>
    <w:lvl w:ilvl="3" w:tplc="0426000F" w:tentative="1">
      <w:start w:val="1"/>
      <w:numFmt w:val="decimal"/>
      <w:lvlText w:val="%4."/>
      <w:lvlJc w:val="left"/>
      <w:pPr>
        <w:ind w:left="3448" w:hanging="360"/>
      </w:pPr>
    </w:lvl>
    <w:lvl w:ilvl="4" w:tplc="04260019" w:tentative="1">
      <w:start w:val="1"/>
      <w:numFmt w:val="lowerLetter"/>
      <w:lvlText w:val="%5."/>
      <w:lvlJc w:val="left"/>
      <w:pPr>
        <w:ind w:left="4168" w:hanging="360"/>
      </w:pPr>
    </w:lvl>
    <w:lvl w:ilvl="5" w:tplc="0426001B" w:tentative="1">
      <w:start w:val="1"/>
      <w:numFmt w:val="lowerRoman"/>
      <w:lvlText w:val="%6."/>
      <w:lvlJc w:val="right"/>
      <w:pPr>
        <w:ind w:left="4888" w:hanging="180"/>
      </w:pPr>
    </w:lvl>
    <w:lvl w:ilvl="6" w:tplc="0426000F" w:tentative="1">
      <w:start w:val="1"/>
      <w:numFmt w:val="decimal"/>
      <w:lvlText w:val="%7."/>
      <w:lvlJc w:val="left"/>
      <w:pPr>
        <w:ind w:left="5608" w:hanging="360"/>
      </w:pPr>
    </w:lvl>
    <w:lvl w:ilvl="7" w:tplc="04260019" w:tentative="1">
      <w:start w:val="1"/>
      <w:numFmt w:val="lowerLetter"/>
      <w:lvlText w:val="%8."/>
      <w:lvlJc w:val="left"/>
      <w:pPr>
        <w:ind w:left="6328" w:hanging="360"/>
      </w:pPr>
    </w:lvl>
    <w:lvl w:ilvl="8" w:tplc="0426001B" w:tentative="1">
      <w:start w:val="1"/>
      <w:numFmt w:val="lowerRoman"/>
      <w:lvlText w:val="%9."/>
      <w:lvlJc w:val="right"/>
      <w:pPr>
        <w:ind w:left="7048" w:hanging="180"/>
      </w:pPr>
    </w:lvl>
  </w:abstractNum>
  <w:abstractNum w:abstractNumId="10" w15:restartNumberingAfterBreak="0">
    <w:nsid w:val="1E350637"/>
    <w:multiLevelType w:val="hybridMultilevel"/>
    <w:tmpl w:val="02CCC07A"/>
    <w:lvl w:ilvl="0" w:tplc="0046FAE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1F232DA4"/>
    <w:multiLevelType w:val="hybridMultilevel"/>
    <w:tmpl w:val="93B861E0"/>
    <w:lvl w:ilvl="0" w:tplc="9526479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28673454"/>
    <w:multiLevelType w:val="multilevel"/>
    <w:tmpl w:val="52A037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8E51862"/>
    <w:multiLevelType w:val="hybridMultilevel"/>
    <w:tmpl w:val="D56AE63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F5465F3"/>
    <w:multiLevelType w:val="hybridMultilevel"/>
    <w:tmpl w:val="EDCA0E9C"/>
    <w:lvl w:ilvl="0" w:tplc="6FCA05C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35762C61"/>
    <w:multiLevelType w:val="hybridMultilevel"/>
    <w:tmpl w:val="7B807340"/>
    <w:lvl w:ilvl="0" w:tplc="5394C9F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 w15:restartNumberingAfterBreak="0">
    <w:nsid w:val="3C08445F"/>
    <w:multiLevelType w:val="hybridMultilevel"/>
    <w:tmpl w:val="3A90000A"/>
    <w:lvl w:ilvl="0" w:tplc="1B001D8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3C0B3379"/>
    <w:multiLevelType w:val="hybridMultilevel"/>
    <w:tmpl w:val="B1E67C82"/>
    <w:lvl w:ilvl="0" w:tplc="4B4C0BC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40CC1A33"/>
    <w:multiLevelType w:val="hybridMultilevel"/>
    <w:tmpl w:val="4E7EBD8E"/>
    <w:lvl w:ilvl="0" w:tplc="5D7E2622">
      <w:start w:val="1"/>
      <w:numFmt w:val="decimal"/>
      <w:lvlText w:val="%1)"/>
      <w:lvlJc w:val="left"/>
      <w:pPr>
        <w:ind w:left="928" w:hanging="360"/>
      </w:pPr>
      <w:rPr>
        <w:rFonts w:hint="default"/>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7321C2E"/>
    <w:multiLevelType w:val="hybridMultilevel"/>
    <w:tmpl w:val="25883AAA"/>
    <w:lvl w:ilvl="0" w:tplc="1780EEDC">
      <w:start w:val="1"/>
      <w:numFmt w:val="decimal"/>
      <w:lvlText w:val="%1."/>
      <w:lvlJc w:val="left"/>
      <w:pPr>
        <w:ind w:left="1288" w:hanging="360"/>
      </w:pPr>
      <w:rPr>
        <w:rFonts w:hint="default"/>
      </w:rPr>
    </w:lvl>
    <w:lvl w:ilvl="1" w:tplc="04260019" w:tentative="1">
      <w:start w:val="1"/>
      <w:numFmt w:val="lowerLetter"/>
      <w:lvlText w:val="%2."/>
      <w:lvlJc w:val="left"/>
      <w:pPr>
        <w:ind w:left="2008" w:hanging="360"/>
      </w:pPr>
    </w:lvl>
    <w:lvl w:ilvl="2" w:tplc="0426001B" w:tentative="1">
      <w:start w:val="1"/>
      <w:numFmt w:val="lowerRoman"/>
      <w:lvlText w:val="%3."/>
      <w:lvlJc w:val="right"/>
      <w:pPr>
        <w:ind w:left="2728" w:hanging="180"/>
      </w:pPr>
    </w:lvl>
    <w:lvl w:ilvl="3" w:tplc="0426000F" w:tentative="1">
      <w:start w:val="1"/>
      <w:numFmt w:val="decimal"/>
      <w:lvlText w:val="%4."/>
      <w:lvlJc w:val="left"/>
      <w:pPr>
        <w:ind w:left="3448" w:hanging="360"/>
      </w:pPr>
    </w:lvl>
    <w:lvl w:ilvl="4" w:tplc="04260019" w:tentative="1">
      <w:start w:val="1"/>
      <w:numFmt w:val="lowerLetter"/>
      <w:lvlText w:val="%5."/>
      <w:lvlJc w:val="left"/>
      <w:pPr>
        <w:ind w:left="4168" w:hanging="360"/>
      </w:pPr>
    </w:lvl>
    <w:lvl w:ilvl="5" w:tplc="0426001B" w:tentative="1">
      <w:start w:val="1"/>
      <w:numFmt w:val="lowerRoman"/>
      <w:lvlText w:val="%6."/>
      <w:lvlJc w:val="right"/>
      <w:pPr>
        <w:ind w:left="4888" w:hanging="180"/>
      </w:pPr>
    </w:lvl>
    <w:lvl w:ilvl="6" w:tplc="0426000F" w:tentative="1">
      <w:start w:val="1"/>
      <w:numFmt w:val="decimal"/>
      <w:lvlText w:val="%7."/>
      <w:lvlJc w:val="left"/>
      <w:pPr>
        <w:ind w:left="5608" w:hanging="360"/>
      </w:pPr>
    </w:lvl>
    <w:lvl w:ilvl="7" w:tplc="04260019" w:tentative="1">
      <w:start w:val="1"/>
      <w:numFmt w:val="lowerLetter"/>
      <w:lvlText w:val="%8."/>
      <w:lvlJc w:val="left"/>
      <w:pPr>
        <w:ind w:left="6328" w:hanging="360"/>
      </w:pPr>
    </w:lvl>
    <w:lvl w:ilvl="8" w:tplc="0426001B" w:tentative="1">
      <w:start w:val="1"/>
      <w:numFmt w:val="lowerRoman"/>
      <w:lvlText w:val="%9."/>
      <w:lvlJc w:val="right"/>
      <w:pPr>
        <w:ind w:left="7048" w:hanging="180"/>
      </w:pPr>
    </w:lvl>
  </w:abstractNum>
  <w:abstractNum w:abstractNumId="20" w15:restartNumberingAfterBreak="0">
    <w:nsid w:val="57954422"/>
    <w:multiLevelType w:val="hybridMultilevel"/>
    <w:tmpl w:val="87CC087E"/>
    <w:lvl w:ilvl="0" w:tplc="28C44236">
      <w:start w:val="1"/>
      <w:numFmt w:val="decimal"/>
      <w:lvlText w:val="%1."/>
      <w:lvlJc w:val="left"/>
      <w:pPr>
        <w:ind w:left="1288" w:hanging="360"/>
      </w:pPr>
      <w:rPr>
        <w:rFonts w:hint="default"/>
      </w:rPr>
    </w:lvl>
    <w:lvl w:ilvl="1" w:tplc="04260019" w:tentative="1">
      <w:start w:val="1"/>
      <w:numFmt w:val="lowerLetter"/>
      <w:lvlText w:val="%2."/>
      <w:lvlJc w:val="left"/>
      <w:pPr>
        <w:ind w:left="2008" w:hanging="360"/>
      </w:pPr>
    </w:lvl>
    <w:lvl w:ilvl="2" w:tplc="0426001B" w:tentative="1">
      <w:start w:val="1"/>
      <w:numFmt w:val="lowerRoman"/>
      <w:lvlText w:val="%3."/>
      <w:lvlJc w:val="right"/>
      <w:pPr>
        <w:ind w:left="2728" w:hanging="180"/>
      </w:pPr>
    </w:lvl>
    <w:lvl w:ilvl="3" w:tplc="0426000F" w:tentative="1">
      <w:start w:val="1"/>
      <w:numFmt w:val="decimal"/>
      <w:lvlText w:val="%4."/>
      <w:lvlJc w:val="left"/>
      <w:pPr>
        <w:ind w:left="3448" w:hanging="360"/>
      </w:pPr>
    </w:lvl>
    <w:lvl w:ilvl="4" w:tplc="04260019" w:tentative="1">
      <w:start w:val="1"/>
      <w:numFmt w:val="lowerLetter"/>
      <w:lvlText w:val="%5."/>
      <w:lvlJc w:val="left"/>
      <w:pPr>
        <w:ind w:left="4168" w:hanging="360"/>
      </w:pPr>
    </w:lvl>
    <w:lvl w:ilvl="5" w:tplc="0426001B" w:tentative="1">
      <w:start w:val="1"/>
      <w:numFmt w:val="lowerRoman"/>
      <w:lvlText w:val="%6."/>
      <w:lvlJc w:val="right"/>
      <w:pPr>
        <w:ind w:left="4888" w:hanging="180"/>
      </w:pPr>
    </w:lvl>
    <w:lvl w:ilvl="6" w:tplc="0426000F" w:tentative="1">
      <w:start w:val="1"/>
      <w:numFmt w:val="decimal"/>
      <w:lvlText w:val="%7."/>
      <w:lvlJc w:val="left"/>
      <w:pPr>
        <w:ind w:left="5608" w:hanging="360"/>
      </w:pPr>
    </w:lvl>
    <w:lvl w:ilvl="7" w:tplc="04260019" w:tentative="1">
      <w:start w:val="1"/>
      <w:numFmt w:val="lowerLetter"/>
      <w:lvlText w:val="%8."/>
      <w:lvlJc w:val="left"/>
      <w:pPr>
        <w:ind w:left="6328" w:hanging="360"/>
      </w:pPr>
    </w:lvl>
    <w:lvl w:ilvl="8" w:tplc="0426001B" w:tentative="1">
      <w:start w:val="1"/>
      <w:numFmt w:val="lowerRoman"/>
      <w:lvlText w:val="%9."/>
      <w:lvlJc w:val="right"/>
      <w:pPr>
        <w:ind w:left="7048" w:hanging="180"/>
      </w:pPr>
    </w:lvl>
  </w:abstractNum>
  <w:abstractNum w:abstractNumId="21" w15:restartNumberingAfterBreak="0">
    <w:nsid w:val="58335DB5"/>
    <w:multiLevelType w:val="hybridMultilevel"/>
    <w:tmpl w:val="FAB6A18E"/>
    <w:lvl w:ilvl="0" w:tplc="3AD0A0E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2" w15:restartNumberingAfterBreak="0">
    <w:nsid w:val="63C7129A"/>
    <w:multiLevelType w:val="hybridMultilevel"/>
    <w:tmpl w:val="C324D0CC"/>
    <w:lvl w:ilvl="0" w:tplc="E7CE5C64">
      <w:start w:val="1"/>
      <w:numFmt w:val="decimal"/>
      <w:lvlText w:val="%1)"/>
      <w:lvlJc w:val="left"/>
      <w:pPr>
        <w:ind w:left="1211" w:hanging="360"/>
      </w:pPr>
      <w:rPr>
        <w:rFonts w:hint="default"/>
        <w:b/>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23" w15:restartNumberingAfterBreak="0">
    <w:nsid w:val="66092525"/>
    <w:multiLevelType w:val="hybridMultilevel"/>
    <w:tmpl w:val="51B0396C"/>
    <w:lvl w:ilvl="0" w:tplc="04260011">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24" w15:restartNumberingAfterBreak="0">
    <w:nsid w:val="69163B12"/>
    <w:multiLevelType w:val="hybridMultilevel"/>
    <w:tmpl w:val="37BA5F56"/>
    <w:lvl w:ilvl="0" w:tplc="EA345FF2">
      <w:start w:val="1"/>
      <w:numFmt w:val="decimal"/>
      <w:lvlText w:val="%1."/>
      <w:lvlJc w:val="left"/>
      <w:pPr>
        <w:ind w:left="1288" w:hanging="360"/>
      </w:pPr>
      <w:rPr>
        <w:rFonts w:hint="default"/>
      </w:rPr>
    </w:lvl>
    <w:lvl w:ilvl="1" w:tplc="04260019" w:tentative="1">
      <w:start w:val="1"/>
      <w:numFmt w:val="lowerLetter"/>
      <w:lvlText w:val="%2."/>
      <w:lvlJc w:val="left"/>
      <w:pPr>
        <w:ind w:left="2008" w:hanging="360"/>
      </w:pPr>
    </w:lvl>
    <w:lvl w:ilvl="2" w:tplc="0426001B" w:tentative="1">
      <w:start w:val="1"/>
      <w:numFmt w:val="lowerRoman"/>
      <w:lvlText w:val="%3."/>
      <w:lvlJc w:val="right"/>
      <w:pPr>
        <w:ind w:left="2728" w:hanging="180"/>
      </w:pPr>
    </w:lvl>
    <w:lvl w:ilvl="3" w:tplc="0426000F" w:tentative="1">
      <w:start w:val="1"/>
      <w:numFmt w:val="decimal"/>
      <w:lvlText w:val="%4."/>
      <w:lvlJc w:val="left"/>
      <w:pPr>
        <w:ind w:left="3448" w:hanging="360"/>
      </w:pPr>
    </w:lvl>
    <w:lvl w:ilvl="4" w:tplc="04260019" w:tentative="1">
      <w:start w:val="1"/>
      <w:numFmt w:val="lowerLetter"/>
      <w:lvlText w:val="%5."/>
      <w:lvlJc w:val="left"/>
      <w:pPr>
        <w:ind w:left="4168" w:hanging="360"/>
      </w:pPr>
    </w:lvl>
    <w:lvl w:ilvl="5" w:tplc="0426001B" w:tentative="1">
      <w:start w:val="1"/>
      <w:numFmt w:val="lowerRoman"/>
      <w:lvlText w:val="%6."/>
      <w:lvlJc w:val="right"/>
      <w:pPr>
        <w:ind w:left="4888" w:hanging="180"/>
      </w:pPr>
    </w:lvl>
    <w:lvl w:ilvl="6" w:tplc="0426000F" w:tentative="1">
      <w:start w:val="1"/>
      <w:numFmt w:val="decimal"/>
      <w:lvlText w:val="%7."/>
      <w:lvlJc w:val="left"/>
      <w:pPr>
        <w:ind w:left="5608" w:hanging="360"/>
      </w:pPr>
    </w:lvl>
    <w:lvl w:ilvl="7" w:tplc="04260019" w:tentative="1">
      <w:start w:val="1"/>
      <w:numFmt w:val="lowerLetter"/>
      <w:lvlText w:val="%8."/>
      <w:lvlJc w:val="left"/>
      <w:pPr>
        <w:ind w:left="6328" w:hanging="360"/>
      </w:pPr>
    </w:lvl>
    <w:lvl w:ilvl="8" w:tplc="0426001B" w:tentative="1">
      <w:start w:val="1"/>
      <w:numFmt w:val="lowerRoman"/>
      <w:lvlText w:val="%9."/>
      <w:lvlJc w:val="right"/>
      <w:pPr>
        <w:ind w:left="7048" w:hanging="180"/>
      </w:pPr>
    </w:lvl>
  </w:abstractNum>
  <w:abstractNum w:abstractNumId="25" w15:restartNumberingAfterBreak="0">
    <w:nsid w:val="6A545A6F"/>
    <w:multiLevelType w:val="hybridMultilevel"/>
    <w:tmpl w:val="F562565A"/>
    <w:lvl w:ilvl="0" w:tplc="61349BD6">
      <w:start w:val="1"/>
      <w:numFmt w:val="decimal"/>
      <w:lvlText w:val="%1."/>
      <w:lvlJc w:val="left"/>
      <w:pPr>
        <w:ind w:left="1288" w:hanging="360"/>
      </w:pPr>
      <w:rPr>
        <w:rFonts w:hint="default"/>
      </w:rPr>
    </w:lvl>
    <w:lvl w:ilvl="1" w:tplc="04260019" w:tentative="1">
      <w:start w:val="1"/>
      <w:numFmt w:val="lowerLetter"/>
      <w:lvlText w:val="%2."/>
      <w:lvlJc w:val="left"/>
      <w:pPr>
        <w:ind w:left="2008" w:hanging="360"/>
      </w:pPr>
    </w:lvl>
    <w:lvl w:ilvl="2" w:tplc="0426001B" w:tentative="1">
      <w:start w:val="1"/>
      <w:numFmt w:val="lowerRoman"/>
      <w:lvlText w:val="%3."/>
      <w:lvlJc w:val="right"/>
      <w:pPr>
        <w:ind w:left="2728" w:hanging="180"/>
      </w:pPr>
    </w:lvl>
    <w:lvl w:ilvl="3" w:tplc="0426000F" w:tentative="1">
      <w:start w:val="1"/>
      <w:numFmt w:val="decimal"/>
      <w:lvlText w:val="%4."/>
      <w:lvlJc w:val="left"/>
      <w:pPr>
        <w:ind w:left="3448" w:hanging="360"/>
      </w:pPr>
    </w:lvl>
    <w:lvl w:ilvl="4" w:tplc="04260019" w:tentative="1">
      <w:start w:val="1"/>
      <w:numFmt w:val="lowerLetter"/>
      <w:lvlText w:val="%5."/>
      <w:lvlJc w:val="left"/>
      <w:pPr>
        <w:ind w:left="4168" w:hanging="360"/>
      </w:pPr>
    </w:lvl>
    <w:lvl w:ilvl="5" w:tplc="0426001B" w:tentative="1">
      <w:start w:val="1"/>
      <w:numFmt w:val="lowerRoman"/>
      <w:lvlText w:val="%6."/>
      <w:lvlJc w:val="right"/>
      <w:pPr>
        <w:ind w:left="4888" w:hanging="180"/>
      </w:pPr>
    </w:lvl>
    <w:lvl w:ilvl="6" w:tplc="0426000F" w:tentative="1">
      <w:start w:val="1"/>
      <w:numFmt w:val="decimal"/>
      <w:lvlText w:val="%7."/>
      <w:lvlJc w:val="left"/>
      <w:pPr>
        <w:ind w:left="5608" w:hanging="360"/>
      </w:pPr>
    </w:lvl>
    <w:lvl w:ilvl="7" w:tplc="04260019" w:tentative="1">
      <w:start w:val="1"/>
      <w:numFmt w:val="lowerLetter"/>
      <w:lvlText w:val="%8."/>
      <w:lvlJc w:val="left"/>
      <w:pPr>
        <w:ind w:left="6328" w:hanging="360"/>
      </w:pPr>
    </w:lvl>
    <w:lvl w:ilvl="8" w:tplc="0426001B" w:tentative="1">
      <w:start w:val="1"/>
      <w:numFmt w:val="lowerRoman"/>
      <w:lvlText w:val="%9."/>
      <w:lvlJc w:val="right"/>
      <w:pPr>
        <w:ind w:left="7048" w:hanging="180"/>
      </w:pPr>
    </w:lvl>
  </w:abstractNum>
  <w:abstractNum w:abstractNumId="26" w15:restartNumberingAfterBreak="0">
    <w:nsid w:val="6CEB51E8"/>
    <w:multiLevelType w:val="hybridMultilevel"/>
    <w:tmpl w:val="5AE8F5F8"/>
    <w:lvl w:ilvl="0" w:tplc="B7BEA578">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7" w15:restartNumberingAfterBreak="0">
    <w:nsid w:val="6D3857A5"/>
    <w:multiLevelType w:val="hybridMultilevel"/>
    <w:tmpl w:val="27E60386"/>
    <w:lvl w:ilvl="0" w:tplc="ABB02B1A">
      <w:start w:val="1"/>
      <w:numFmt w:val="decimal"/>
      <w:lvlText w:val="%1."/>
      <w:lvlJc w:val="left"/>
      <w:pPr>
        <w:ind w:left="1069" w:hanging="360"/>
      </w:pPr>
      <w:rPr>
        <w:rFonts w:hint="default"/>
        <w:b w:val="0"/>
        <w:u w:val="none"/>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8" w15:restartNumberingAfterBreak="0">
    <w:nsid w:val="76347672"/>
    <w:multiLevelType w:val="hybridMultilevel"/>
    <w:tmpl w:val="75105576"/>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7CE06801"/>
    <w:multiLevelType w:val="hybridMultilevel"/>
    <w:tmpl w:val="43D6E98E"/>
    <w:lvl w:ilvl="0" w:tplc="65E69CE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0" w15:restartNumberingAfterBreak="0">
    <w:nsid w:val="7D3D58A1"/>
    <w:multiLevelType w:val="hybridMultilevel"/>
    <w:tmpl w:val="F1503B1A"/>
    <w:lvl w:ilvl="0" w:tplc="157A6884">
      <w:start w:val="1"/>
      <w:numFmt w:val="decimal"/>
      <w:lvlText w:val="%1."/>
      <w:lvlJc w:val="left"/>
      <w:pPr>
        <w:ind w:left="1288" w:hanging="360"/>
      </w:pPr>
      <w:rPr>
        <w:rFonts w:hint="default"/>
        <w:b w:val="0"/>
        <w:sz w:val="24"/>
        <w:u w:val="none"/>
      </w:rPr>
    </w:lvl>
    <w:lvl w:ilvl="1" w:tplc="04260019" w:tentative="1">
      <w:start w:val="1"/>
      <w:numFmt w:val="lowerLetter"/>
      <w:lvlText w:val="%2."/>
      <w:lvlJc w:val="left"/>
      <w:pPr>
        <w:ind w:left="2008" w:hanging="360"/>
      </w:pPr>
    </w:lvl>
    <w:lvl w:ilvl="2" w:tplc="0426001B" w:tentative="1">
      <w:start w:val="1"/>
      <w:numFmt w:val="lowerRoman"/>
      <w:lvlText w:val="%3."/>
      <w:lvlJc w:val="right"/>
      <w:pPr>
        <w:ind w:left="2728" w:hanging="180"/>
      </w:pPr>
    </w:lvl>
    <w:lvl w:ilvl="3" w:tplc="0426000F" w:tentative="1">
      <w:start w:val="1"/>
      <w:numFmt w:val="decimal"/>
      <w:lvlText w:val="%4."/>
      <w:lvlJc w:val="left"/>
      <w:pPr>
        <w:ind w:left="3448" w:hanging="360"/>
      </w:pPr>
    </w:lvl>
    <w:lvl w:ilvl="4" w:tplc="04260019" w:tentative="1">
      <w:start w:val="1"/>
      <w:numFmt w:val="lowerLetter"/>
      <w:lvlText w:val="%5."/>
      <w:lvlJc w:val="left"/>
      <w:pPr>
        <w:ind w:left="4168" w:hanging="360"/>
      </w:pPr>
    </w:lvl>
    <w:lvl w:ilvl="5" w:tplc="0426001B" w:tentative="1">
      <w:start w:val="1"/>
      <w:numFmt w:val="lowerRoman"/>
      <w:lvlText w:val="%6."/>
      <w:lvlJc w:val="right"/>
      <w:pPr>
        <w:ind w:left="4888" w:hanging="180"/>
      </w:pPr>
    </w:lvl>
    <w:lvl w:ilvl="6" w:tplc="0426000F" w:tentative="1">
      <w:start w:val="1"/>
      <w:numFmt w:val="decimal"/>
      <w:lvlText w:val="%7."/>
      <w:lvlJc w:val="left"/>
      <w:pPr>
        <w:ind w:left="5608" w:hanging="360"/>
      </w:pPr>
    </w:lvl>
    <w:lvl w:ilvl="7" w:tplc="04260019" w:tentative="1">
      <w:start w:val="1"/>
      <w:numFmt w:val="lowerLetter"/>
      <w:lvlText w:val="%8."/>
      <w:lvlJc w:val="left"/>
      <w:pPr>
        <w:ind w:left="6328" w:hanging="360"/>
      </w:pPr>
    </w:lvl>
    <w:lvl w:ilvl="8" w:tplc="0426001B" w:tentative="1">
      <w:start w:val="1"/>
      <w:numFmt w:val="lowerRoman"/>
      <w:lvlText w:val="%9."/>
      <w:lvlJc w:val="right"/>
      <w:pPr>
        <w:ind w:left="7048" w:hanging="180"/>
      </w:pPr>
    </w:lvl>
  </w:abstractNum>
  <w:abstractNum w:abstractNumId="31" w15:restartNumberingAfterBreak="0">
    <w:nsid w:val="7DC83D86"/>
    <w:multiLevelType w:val="hybridMultilevel"/>
    <w:tmpl w:val="0EB809C2"/>
    <w:lvl w:ilvl="0" w:tplc="353477C4">
      <w:start w:val="1"/>
      <w:numFmt w:val="decimal"/>
      <w:lvlText w:val="%1."/>
      <w:lvlJc w:val="left"/>
      <w:pPr>
        <w:ind w:left="1069" w:hanging="360"/>
      </w:pPr>
      <w:rPr>
        <w:rFonts w:hint="default"/>
        <w:b w:val="0"/>
        <w:sz w:val="24"/>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num w:numId="1" w16cid:durableId="826631878">
    <w:abstractNumId w:val="22"/>
  </w:num>
  <w:num w:numId="2" w16cid:durableId="618998884">
    <w:abstractNumId w:val="30"/>
  </w:num>
  <w:num w:numId="3" w16cid:durableId="1946767812">
    <w:abstractNumId w:val="4"/>
  </w:num>
  <w:num w:numId="4" w16cid:durableId="1278565916">
    <w:abstractNumId w:val="25"/>
  </w:num>
  <w:num w:numId="5" w16cid:durableId="434525408">
    <w:abstractNumId w:val="20"/>
  </w:num>
  <w:num w:numId="6" w16cid:durableId="2009938894">
    <w:abstractNumId w:val="0"/>
    <w:lvlOverride w:ilvl="0">
      <w:lvl w:ilvl="0">
        <w:numFmt w:val="bullet"/>
        <w:lvlText w:val="-"/>
        <w:legacy w:legacy="1" w:legacySpace="0" w:legacyIndent="129"/>
        <w:lvlJc w:val="left"/>
        <w:rPr>
          <w:rFonts w:ascii="Times New Roman" w:hAnsi="Times New Roman" w:hint="default"/>
        </w:rPr>
      </w:lvl>
    </w:lvlOverride>
  </w:num>
  <w:num w:numId="7" w16cid:durableId="1097676315">
    <w:abstractNumId w:val="24"/>
  </w:num>
  <w:num w:numId="8" w16cid:durableId="727917125">
    <w:abstractNumId w:val="9"/>
  </w:num>
  <w:num w:numId="9" w16cid:durableId="1794254108">
    <w:abstractNumId w:val="8"/>
  </w:num>
  <w:num w:numId="10" w16cid:durableId="1575506829">
    <w:abstractNumId w:val="21"/>
  </w:num>
  <w:num w:numId="11" w16cid:durableId="1361274397">
    <w:abstractNumId w:val="18"/>
  </w:num>
  <w:num w:numId="12" w16cid:durableId="1260024248">
    <w:abstractNumId w:val="31"/>
  </w:num>
  <w:num w:numId="13" w16cid:durableId="2017535511">
    <w:abstractNumId w:val="12"/>
  </w:num>
  <w:num w:numId="14" w16cid:durableId="944650416">
    <w:abstractNumId w:val="19"/>
  </w:num>
  <w:num w:numId="15" w16cid:durableId="1677726891">
    <w:abstractNumId w:val="29"/>
  </w:num>
  <w:num w:numId="16" w16cid:durableId="496699567">
    <w:abstractNumId w:val="26"/>
  </w:num>
  <w:num w:numId="17" w16cid:durableId="2022119404">
    <w:abstractNumId w:val="17"/>
  </w:num>
  <w:num w:numId="18" w16cid:durableId="102775874">
    <w:abstractNumId w:val="11"/>
  </w:num>
  <w:num w:numId="19" w16cid:durableId="1532960572">
    <w:abstractNumId w:val="1"/>
  </w:num>
  <w:num w:numId="20" w16cid:durableId="858666761">
    <w:abstractNumId w:val="27"/>
  </w:num>
  <w:num w:numId="21" w16cid:durableId="88477407">
    <w:abstractNumId w:val="10"/>
  </w:num>
  <w:num w:numId="22" w16cid:durableId="2008362211">
    <w:abstractNumId w:val="16"/>
  </w:num>
  <w:num w:numId="23" w16cid:durableId="1536234123">
    <w:abstractNumId w:val="14"/>
  </w:num>
  <w:num w:numId="24" w16cid:durableId="119148881">
    <w:abstractNumId w:val="15"/>
  </w:num>
  <w:num w:numId="25" w16cid:durableId="214392760">
    <w:abstractNumId w:val="28"/>
  </w:num>
  <w:num w:numId="26" w16cid:durableId="676350480">
    <w:abstractNumId w:val="7"/>
  </w:num>
  <w:num w:numId="27" w16cid:durableId="1236861363">
    <w:abstractNumId w:val="6"/>
  </w:num>
  <w:num w:numId="28" w16cid:durableId="15338825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92171">
    <w:abstractNumId w:val="8"/>
  </w:num>
  <w:num w:numId="30" w16cid:durableId="2074234709">
    <w:abstractNumId w:val="3"/>
  </w:num>
  <w:num w:numId="31" w16cid:durableId="680547593">
    <w:abstractNumId w:val="5"/>
  </w:num>
  <w:num w:numId="32" w16cid:durableId="619460404">
    <w:abstractNumId w:val="23"/>
  </w:num>
  <w:num w:numId="33" w16cid:durableId="1529874751">
    <w:abstractNumId w:val="2"/>
  </w:num>
  <w:num w:numId="34" w16cid:durableId="123230368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5F2"/>
    <w:rsid w:val="000114A9"/>
    <w:rsid w:val="00017CCD"/>
    <w:rsid w:val="00057370"/>
    <w:rsid w:val="00087C1A"/>
    <w:rsid w:val="00090904"/>
    <w:rsid w:val="00091648"/>
    <w:rsid w:val="00091AAC"/>
    <w:rsid w:val="0009485D"/>
    <w:rsid w:val="000A378E"/>
    <w:rsid w:val="000A7D78"/>
    <w:rsid w:val="000C7D57"/>
    <w:rsid w:val="000D478B"/>
    <w:rsid w:val="000D5E7D"/>
    <w:rsid w:val="000E11EF"/>
    <w:rsid w:val="000E1CB4"/>
    <w:rsid w:val="000E3CBA"/>
    <w:rsid w:val="000F1637"/>
    <w:rsid w:val="000F4010"/>
    <w:rsid w:val="0010302B"/>
    <w:rsid w:val="001045F2"/>
    <w:rsid w:val="001140E9"/>
    <w:rsid w:val="00126572"/>
    <w:rsid w:val="0013345B"/>
    <w:rsid w:val="00141553"/>
    <w:rsid w:val="00143565"/>
    <w:rsid w:val="00150C4D"/>
    <w:rsid w:val="00151FA8"/>
    <w:rsid w:val="0015732C"/>
    <w:rsid w:val="00173055"/>
    <w:rsid w:val="001C19F3"/>
    <w:rsid w:val="001C466C"/>
    <w:rsid w:val="001D01F6"/>
    <w:rsid w:val="001E5807"/>
    <w:rsid w:val="001F7300"/>
    <w:rsid w:val="0020371C"/>
    <w:rsid w:val="002077A6"/>
    <w:rsid w:val="0021619D"/>
    <w:rsid w:val="00222A5C"/>
    <w:rsid w:val="0022439B"/>
    <w:rsid w:val="00245D5D"/>
    <w:rsid w:val="00252D3E"/>
    <w:rsid w:val="00257477"/>
    <w:rsid w:val="002662D7"/>
    <w:rsid w:val="002A4891"/>
    <w:rsid w:val="002B4652"/>
    <w:rsid w:val="00307D07"/>
    <w:rsid w:val="00325CC6"/>
    <w:rsid w:val="00345DFF"/>
    <w:rsid w:val="003543D3"/>
    <w:rsid w:val="0036139D"/>
    <w:rsid w:val="00370B07"/>
    <w:rsid w:val="00374A49"/>
    <w:rsid w:val="003934F0"/>
    <w:rsid w:val="003944B3"/>
    <w:rsid w:val="00394BFF"/>
    <w:rsid w:val="00397064"/>
    <w:rsid w:val="003A5F90"/>
    <w:rsid w:val="003A6FB0"/>
    <w:rsid w:val="003C6E36"/>
    <w:rsid w:val="003C7CB2"/>
    <w:rsid w:val="003D7F4B"/>
    <w:rsid w:val="003F4A7F"/>
    <w:rsid w:val="003F7ACE"/>
    <w:rsid w:val="004020B0"/>
    <w:rsid w:val="00405140"/>
    <w:rsid w:val="00420F7B"/>
    <w:rsid w:val="0042787C"/>
    <w:rsid w:val="004438D7"/>
    <w:rsid w:val="00451569"/>
    <w:rsid w:val="00464E25"/>
    <w:rsid w:val="00470BCE"/>
    <w:rsid w:val="00473958"/>
    <w:rsid w:val="00475330"/>
    <w:rsid w:val="004B7511"/>
    <w:rsid w:val="004D24F7"/>
    <w:rsid w:val="004F6F3F"/>
    <w:rsid w:val="00514821"/>
    <w:rsid w:val="00521E6F"/>
    <w:rsid w:val="00556105"/>
    <w:rsid w:val="00562D3C"/>
    <w:rsid w:val="005A5BE7"/>
    <w:rsid w:val="005B0F01"/>
    <w:rsid w:val="005C007D"/>
    <w:rsid w:val="005C37F0"/>
    <w:rsid w:val="005D356F"/>
    <w:rsid w:val="005E6CA2"/>
    <w:rsid w:val="005F7DBD"/>
    <w:rsid w:val="00600575"/>
    <w:rsid w:val="00614435"/>
    <w:rsid w:val="00625B08"/>
    <w:rsid w:val="00642420"/>
    <w:rsid w:val="006524CF"/>
    <w:rsid w:val="00654860"/>
    <w:rsid w:val="00675EA5"/>
    <w:rsid w:val="006834E5"/>
    <w:rsid w:val="006B3479"/>
    <w:rsid w:val="006D6745"/>
    <w:rsid w:val="006F1390"/>
    <w:rsid w:val="0070132D"/>
    <w:rsid w:val="00726059"/>
    <w:rsid w:val="00731DAB"/>
    <w:rsid w:val="00745F7D"/>
    <w:rsid w:val="00760953"/>
    <w:rsid w:val="007626EE"/>
    <w:rsid w:val="00762D34"/>
    <w:rsid w:val="00770010"/>
    <w:rsid w:val="007B5967"/>
    <w:rsid w:val="007E70CB"/>
    <w:rsid w:val="008A5919"/>
    <w:rsid w:val="008E65BF"/>
    <w:rsid w:val="009104EA"/>
    <w:rsid w:val="00913846"/>
    <w:rsid w:val="009228AF"/>
    <w:rsid w:val="009228C2"/>
    <w:rsid w:val="0092413D"/>
    <w:rsid w:val="0093245C"/>
    <w:rsid w:val="0093380C"/>
    <w:rsid w:val="00961B67"/>
    <w:rsid w:val="00970548"/>
    <w:rsid w:val="00976997"/>
    <w:rsid w:val="009B0462"/>
    <w:rsid w:val="009C099E"/>
    <w:rsid w:val="009C6A23"/>
    <w:rsid w:val="009D425C"/>
    <w:rsid w:val="009E4691"/>
    <w:rsid w:val="00A00AC3"/>
    <w:rsid w:val="00A063A1"/>
    <w:rsid w:val="00A074CF"/>
    <w:rsid w:val="00A12651"/>
    <w:rsid w:val="00A14F86"/>
    <w:rsid w:val="00A526A0"/>
    <w:rsid w:val="00A64726"/>
    <w:rsid w:val="00A64E0E"/>
    <w:rsid w:val="00A76E0C"/>
    <w:rsid w:val="00A825BF"/>
    <w:rsid w:val="00AD6E36"/>
    <w:rsid w:val="00AF44FF"/>
    <w:rsid w:val="00B02E0E"/>
    <w:rsid w:val="00B14C77"/>
    <w:rsid w:val="00B21810"/>
    <w:rsid w:val="00B25A6B"/>
    <w:rsid w:val="00B274EE"/>
    <w:rsid w:val="00B37E90"/>
    <w:rsid w:val="00B50742"/>
    <w:rsid w:val="00B65BAF"/>
    <w:rsid w:val="00B831D3"/>
    <w:rsid w:val="00B87432"/>
    <w:rsid w:val="00BB6A27"/>
    <w:rsid w:val="00BC64E4"/>
    <w:rsid w:val="00BC7EED"/>
    <w:rsid w:val="00BD0BF1"/>
    <w:rsid w:val="00BD38FE"/>
    <w:rsid w:val="00C31ED0"/>
    <w:rsid w:val="00C33492"/>
    <w:rsid w:val="00C53003"/>
    <w:rsid w:val="00C63D57"/>
    <w:rsid w:val="00C7704D"/>
    <w:rsid w:val="00CA2191"/>
    <w:rsid w:val="00CA3E72"/>
    <w:rsid w:val="00CA5EEC"/>
    <w:rsid w:val="00CB377C"/>
    <w:rsid w:val="00CD2622"/>
    <w:rsid w:val="00CF3206"/>
    <w:rsid w:val="00D122A4"/>
    <w:rsid w:val="00D57140"/>
    <w:rsid w:val="00D57E68"/>
    <w:rsid w:val="00D65756"/>
    <w:rsid w:val="00D80DE8"/>
    <w:rsid w:val="00D879D9"/>
    <w:rsid w:val="00D93C8E"/>
    <w:rsid w:val="00D97555"/>
    <w:rsid w:val="00DA02E0"/>
    <w:rsid w:val="00DA0438"/>
    <w:rsid w:val="00DA44D0"/>
    <w:rsid w:val="00DA6012"/>
    <w:rsid w:val="00DB1467"/>
    <w:rsid w:val="00DD14A7"/>
    <w:rsid w:val="00DF2145"/>
    <w:rsid w:val="00DF3CB3"/>
    <w:rsid w:val="00E06F33"/>
    <w:rsid w:val="00E27E3A"/>
    <w:rsid w:val="00E4617D"/>
    <w:rsid w:val="00E466E6"/>
    <w:rsid w:val="00E7203A"/>
    <w:rsid w:val="00E728DF"/>
    <w:rsid w:val="00E7712F"/>
    <w:rsid w:val="00E875D0"/>
    <w:rsid w:val="00EA288C"/>
    <w:rsid w:val="00EB1643"/>
    <w:rsid w:val="00EB17FE"/>
    <w:rsid w:val="00EB325F"/>
    <w:rsid w:val="00EB6EF3"/>
    <w:rsid w:val="00EF0BD5"/>
    <w:rsid w:val="00F0378F"/>
    <w:rsid w:val="00F215F9"/>
    <w:rsid w:val="00F33AC4"/>
    <w:rsid w:val="00F52CC2"/>
    <w:rsid w:val="00F62654"/>
    <w:rsid w:val="00F73ADC"/>
    <w:rsid w:val="00F91DF6"/>
    <w:rsid w:val="00FB206D"/>
    <w:rsid w:val="00FB31A3"/>
    <w:rsid w:val="00FB3F11"/>
    <w:rsid w:val="00FB40AF"/>
    <w:rsid w:val="00FB62B4"/>
    <w:rsid w:val="00FC2173"/>
    <w:rsid w:val="00FC5FF4"/>
    <w:rsid w:val="00FD6DBC"/>
    <w:rsid w:val="00FE0D30"/>
    <w:rsid w:val="00FE238E"/>
    <w:rsid w:val="00FE6250"/>
    <w:rsid w:val="00FF770B"/>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00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1619D"/>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outlineLvl w:val="2"/>
    </w:pPr>
    <w:rPr>
      <w:b/>
      <w:sz w:val="27"/>
      <w:szCs w:val="27"/>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ListParagraph">
    <w:name w:val="List Paragraph"/>
    <w:basedOn w:val="Normal"/>
    <w:link w:val="ListParagraphChar"/>
    <w:uiPriority w:val="34"/>
    <w:qFormat/>
    <w:pPr>
      <w:spacing w:after="200" w:line="276" w:lineRule="auto"/>
      <w:ind w:left="720"/>
    </w:pPr>
    <w:rPr>
      <w:rFonts w:eastAsia="Calibri"/>
      <w:lang w:eastAsia="en-US"/>
    </w:rPr>
  </w:style>
  <w:style w:type="paragraph" w:customStyle="1" w:styleId="tv213">
    <w:name w:val="tv213"/>
    <w:basedOn w:val="Normal"/>
    <w:pPr>
      <w:spacing w:before="100" w:beforeAutospacing="1" w:after="100" w:afterAutospacing="1"/>
    </w:p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paragraph" w:styleId="FootnoteText">
    <w:name w:val="footnote text"/>
    <w:basedOn w:val="Normal"/>
    <w:link w:val="FootnoteTextChar"/>
    <w:uiPriority w:val="99"/>
    <w:unhideWhenUsed/>
    <w:pPr>
      <w:spacing w:after="200" w:line="276" w:lineRule="auto"/>
    </w:pPr>
    <w:rPr>
      <w:rFonts w:ascii="Calibri" w:eastAsia="Calibri" w:hAnsi="Calibri"/>
      <w:sz w:val="20"/>
      <w:szCs w:val="20"/>
      <w:lang w:eastAsia="en-US"/>
    </w:rPr>
  </w:style>
  <w:style w:type="character" w:customStyle="1" w:styleId="FootnoteTextChar">
    <w:name w:val="Footnote Text Char"/>
    <w:basedOn w:val="DefaultParagraphFont"/>
    <w:link w:val="FootnoteText"/>
    <w:uiPriority w:val="99"/>
    <w:rPr>
      <w:rFonts w:ascii="Calibri" w:eastAsia="Calibri" w:hAnsi="Calibri"/>
      <w:sz w:val="20"/>
      <w:szCs w:val="20"/>
      <w:lang w:eastAsia="en-US"/>
    </w:rPr>
  </w:style>
  <w:style w:type="character" w:styleId="FootnoteReference">
    <w:name w:val="footnote reference"/>
    <w:unhideWhenUsed/>
    <w:rPr>
      <w:vertAlign w:val="superscript"/>
    </w:rPr>
  </w:style>
  <w:style w:type="character" w:styleId="Emphasis">
    <w:name w:val="Emphasis"/>
    <w:basedOn w:val="DefaultParagraphFont"/>
    <w:uiPriority w:val="20"/>
    <w:qFormat/>
    <w:rPr>
      <w:i/>
      <w:iCs/>
    </w:rPr>
  </w:style>
  <w:style w:type="character" w:customStyle="1" w:styleId="Bodytext2">
    <w:name w:val="Body text (2)_"/>
    <w:basedOn w:val="DefaultParagraphFont"/>
    <w:link w:val="Bodytext20"/>
    <w:rPr>
      <w:sz w:val="22"/>
      <w:szCs w:val="22"/>
      <w:shd w:val="clear" w:color="auto" w:fill="FFFFFF"/>
    </w:rPr>
  </w:style>
  <w:style w:type="character" w:customStyle="1" w:styleId="Bodytext4">
    <w:name w:val="Body text (4)_"/>
    <w:basedOn w:val="DefaultParagraphFont"/>
    <w:rPr>
      <w:rFonts w:ascii="Times New Roman" w:eastAsia="Times New Roman" w:hAnsi="Times New Roman" w:cs="Times New Roman"/>
      <w:b w:val="0"/>
      <w:bCs w:val="0"/>
      <w:i/>
      <w:iCs/>
      <w:smallCaps w:val="0"/>
      <w:strike w:val="0"/>
      <w:sz w:val="22"/>
      <w:szCs w:val="22"/>
      <w:u w:val="none"/>
    </w:rPr>
  </w:style>
  <w:style w:type="character" w:customStyle="1" w:styleId="Bodytext4NotItalic">
    <w:name w:val="Body text (4) + Not Italic"/>
    <w:basedOn w:val="Bodytext4"/>
    <w:rPr>
      <w:rFonts w:ascii="Times New Roman" w:eastAsia="Times New Roman" w:hAnsi="Times New Roman" w:cs="Times New Roman"/>
      <w:b w:val="0"/>
      <w:bCs w:val="0"/>
      <w:i/>
      <w:iCs/>
      <w:smallCaps w:val="0"/>
      <w:strike w:val="0"/>
      <w:color w:val="000000"/>
      <w:spacing w:val="0"/>
      <w:w w:val="100"/>
      <w:position w:val="0"/>
      <w:sz w:val="22"/>
      <w:szCs w:val="22"/>
      <w:u w:val="none"/>
      <w:lang w:val="lv-LV" w:eastAsia="lv-LV" w:bidi="lv-LV"/>
    </w:rPr>
  </w:style>
  <w:style w:type="character" w:customStyle="1" w:styleId="Bodytext2Italic">
    <w:name w:val="Body text (2) + Italic"/>
    <w:basedOn w:val="Bodytext2"/>
    <w:rPr>
      <w:i/>
      <w:iCs/>
      <w:color w:val="000000"/>
      <w:spacing w:val="0"/>
      <w:w w:val="100"/>
      <w:position w:val="0"/>
      <w:sz w:val="22"/>
      <w:szCs w:val="22"/>
      <w:shd w:val="clear" w:color="auto" w:fill="FFFFFF"/>
      <w:lang w:val="lv-LV" w:eastAsia="lv-LV" w:bidi="lv-LV"/>
    </w:rPr>
  </w:style>
  <w:style w:type="character" w:customStyle="1" w:styleId="Bodytext40">
    <w:name w:val="Body text (4)"/>
    <w:basedOn w:val="Bodytext4"/>
    <w:rPr>
      <w:rFonts w:ascii="Times New Roman" w:eastAsia="Times New Roman" w:hAnsi="Times New Roman" w:cs="Times New Roman"/>
      <w:b w:val="0"/>
      <w:bCs w:val="0"/>
      <w:i/>
      <w:iCs/>
      <w:smallCaps w:val="0"/>
      <w:strike w:val="0"/>
      <w:color w:val="000000"/>
      <w:spacing w:val="0"/>
      <w:w w:val="100"/>
      <w:position w:val="0"/>
      <w:sz w:val="22"/>
      <w:szCs w:val="22"/>
      <w:u w:val="single"/>
      <w:lang w:val="lv-LV" w:eastAsia="lv-LV" w:bidi="lv-LV"/>
    </w:rPr>
  </w:style>
  <w:style w:type="paragraph" w:customStyle="1" w:styleId="Bodytext20">
    <w:name w:val="Body text (2)"/>
    <w:basedOn w:val="Normal"/>
    <w:link w:val="Bodytext2"/>
    <w:pPr>
      <w:widowControl w:val="0"/>
      <w:shd w:val="clear" w:color="auto" w:fill="FFFFFF"/>
      <w:spacing w:before="60" w:after="600" w:line="0" w:lineRule="atLeast"/>
      <w:ind w:hanging="380"/>
      <w:jc w:val="center"/>
    </w:pPr>
    <w:rPr>
      <w:sz w:val="22"/>
      <w:szCs w:val="22"/>
    </w:rPr>
  </w:style>
  <w:style w:type="character" w:customStyle="1" w:styleId="Footnote2">
    <w:name w:val="Footnote (2)_"/>
    <w:basedOn w:val="DefaultParagraphFont"/>
    <w:link w:val="Footnote20"/>
    <w:rPr>
      <w:rFonts w:ascii="Arial" w:eastAsia="Arial" w:hAnsi="Arial" w:cs="Arial"/>
      <w:sz w:val="19"/>
      <w:szCs w:val="19"/>
      <w:shd w:val="clear" w:color="auto" w:fill="FFFFFF"/>
    </w:rPr>
  </w:style>
  <w:style w:type="paragraph" w:customStyle="1" w:styleId="Footnote20">
    <w:name w:val="Footnote (2)"/>
    <w:basedOn w:val="Normal"/>
    <w:link w:val="Footnote2"/>
    <w:pPr>
      <w:widowControl w:val="0"/>
      <w:shd w:val="clear" w:color="auto" w:fill="FFFFFF"/>
      <w:spacing w:line="240" w:lineRule="exact"/>
    </w:pPr>
    <w:rPr>
      <w:rFonts w:ascii="Arial" w:eastAsia="Arial" w:hAnsi="Arial" w:cs="Arial"/>
      <w:sz w:val="19"/>
      <w:szCs w:val="19"/>
    </w:rPr>
  </w:style>
  <w:style w:type="character" w:customStyle="1" w:styleId="ListParagraphChar">
    <w:name w:val="List Paragraph Char"/>
    <w:basedOn w:val="DefaultParagraphFont"/>
    <w:link w:val="ListParagraph"/>
    <w:uiPriority w:val="99"/>
    <w:locked/>
    <w:rPr>
      <w:rFonts w:eastAsia="Calibri"/>
      <w:lang w:eastAsia="en-US"/>
    </w:rPr>
  </w:style>
  <w:style w:type="paragraph" w:styleId="BodyText">
    <w:name w:val="Body Text"/>
    <w:basedOn w:val="Normal"/>
    <w:link w:val="BodyTextChar"/>
    <w:pPr>
      <w:spacing w:after="120"/>
    </w:pPr>
    <w:rPr>
      <w:lang w:eastAsia="en-US"/>
    </w:rPr>
  </w:style>
  <w:style w:type="character" w:customStyle="1" w:styleId="BodyTextChar">
    <w:name w:val="Body Text Char"/>
    <w:basedOn w:val="DefaultParagraphFont"/>
    <w:link w:val="BodyText"/>
    <w:rPr>
      <w:lang w:eastAsia="en-U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u w:val="single"/>
    </w:rPr>
  </w:style>
  <w:style w:type="paragraph" w:customStyle="1" w:styleId="c01pointnumerotealtn">
    <w:name w:val="c01pointnumerotealtn"/>
    <w:basedOn w:val="Normal"/>
    <w:pPr>
      <w:spacing w:before="100" w:beforeAutospacing="1" w:after="100" w:afterAutospacing="1"/>
    </w:pPr>
  </w:style>
  <w:style w:type="paragraph" w:customStyle="1" w:styleId="c03tiretlong">
    <w:name w:val="c03tiretlong"/>
    <w:basedOn w:val="Normal"/>
    <w:pPr>
      <w:spacing w:before="100" w:beforeAutospacing="1" w:after="100" w:afterAutospacing="1"/>
    </w:pPr>
  </w:style>
  <w:style w:type="paragraph" w:customStyle="1" w:styleId="CharCharCharCharCharChar1CharCharCharChar">
    <w:name w:val="Char Char Char Char Char Char1 Char Char Char Char"/>
    <w:basedOn w:val="Normal"/>
    <w:pPr>
      <w:spacing w:after="160" w:line="240" w:lineRule="exact"/>
    </w:pPr>
    <w:rPr>
      <w:rFonts w:ascii="Tahoma" w:hAnsi="Tahoma"/>
      <w:sz w:val="20"/>
      <w:szCs w:val="20"/>
      <w:lang w:val="en-US" w:eastAsia="en-US"/>
    </w:rPr>
  </w:style>
  <w:style w:type="paragraph" w:styleId="NormalWeb">
    <w:name w:val="Normal (Web)"/>
    <w:basedOn w:val="Normal"/>
    <w:uiPriority w:val="99"/>
    <w:unhideWhenUsed/>
    <w:pPr>
      <w:spacing w:before="100" w:beforeAutospacing="1" w:after="100" w:afterAutospacing="1"/>
    </w:pPr>
  </w:style>
  <w:style w:type="character" w:customStyle="1" w:styleId="fontsize2">
    <w:name w:val="fontsize2"/>
    <w:basedOn w:val="DefaultParagraphFont"/>
  </w:style>
  <w:style w:type="paragraph" w:customStyle="1" w:styleId="labojumupamats">
    <w:name w:val="labojumu_pamats"/>
    <w:basedOn w:val="Normal"/>
    <w:pPr>
      <w:spacing w:before="100" w:beforeAutospacing="1" w:after="100" w:afterAutospacing="1"/>
    </w:pPr>
    <w:rPr>
      <w:lang w:val="en-US" w:eastAsia="en-US"/>
    </w:rPr>
  </w:style>
  <w:style w:type="paragraph" w:customStyle="1" w:styleId="Char">
    <w:name w:val="Char"/>
    <w:basedOn w:val="Normal"/>
    <w:pPr>
      <w:spacing w:after="160" w:line="240" w:lineRule="exact"/>
    </w:pPr>
    <w:rPr>
      <w:rFonts w:ascii="Tahoma" w:hAnsi="Tahoma"/>
      <w:sz w:val="20"/>
      <w:szCs w:val="20"/>
      <w:lang w:val="en-US" w:eastAsia="en-US"/>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Pr>
      <w:rFonts w:ascii="Courier New" w:hAnsi="Courier New" w:cs="Courier New"/>
      <w:sz w:val="20"/>
      <w:szCs w:val="20"/>
      <w:lang w:val="en-US" w:eastAsia="en-US"/>
    </w:rPr>
  </w:style>
  <w:style w:type="character" w:customStyle="1" w:styleId="y2iqfc">
    <w:name w:val="y2iqfc"/>
    <w:basedOn w:val="DefaultParagraphFont"/>
  </w:style>
  <w:style w:type="paragraph" w:customStyle="1" w:styleId="cfootnotetext">
    <w:name w:val="cfootnotetext"/>
    <w:basedOn w:val="Normal"/>
    <w:pPr>
      <w:spacing w:before="100" w:beforeAutospacing="1" w:after="100" w:afterAutospacing="1"/>
    </w:pPr>
    <w:rPr>
      <w:lang w:val="en-US" w:eastAsia="en-US"/>
    </w:rPr>
  </w:style>
  <w:style w:type="paragraph" w:customStyle="1" w:styleId="Default">
    <w:name w:val="Default"/>
    <w:pPr>
      <w:autoSpaceDE w:val="0"/>
      <w:autoSpaceDN w:val="0"/>
      <w:adjustRightInd w:val="0"/>
    </w:pPr>
    <w:rPr>
      <w:rFonts w:eastAsia="Calibri"/>
      <w:color w:val="000000"/>
    </w:rPr>
  </w:style>
  <w:style w:type="paragraph" w:customStyle="1" w:styleId="Normal1">
    <w:name w:val="Normal1"/>
    <w:basedOn w:val="Normal"/>
    <w:pPr>
      <w:spacing w:before="100" w:beforeAutospacing="1" w:after="100" w:afterAutospacing="1"/>
    </w:pPr>
    <w:rPr>
      <w:lang w:val="en-US" w:eastAsia="en-US"/>
    </w:rPr>
  </w:style>
  <w:style w:type="character" w:customStyle="1" w:styleId="super">
    <w:name w:val="super"/>
    <w:basedOn w:val="DefaultParagraphFont"/>
  </w:style>
  <w:style w:type="paragraph" w:customStyle="1" w:styleId="c01pointaltn">
    <w:name w:val="c01pointaltn"/>
    <w:basedOn w:val="Normal"/>
    <w:pPr>
      <w:spacing w:before="100" w:beforeAutospacing="1" w:after="100" w:afterAutospacing="1"/>
    </w:pPr>
    <w:rPr>
      <w:lang w:val="en-US" w:eastAsia="en-US"/>
    </w:rPr>
  </w:style>
  <w:style w:type="character" w:customStyle="1" w:styleId="italic">
    <w:name w:val="italic"/>
    <w:basedOn w:val="DefaultParagraphFont"/>
  </w:style>
  <w:style w:type="character" w:customStyle="1" w:styleId="bold">
    <w:name w:val="bold"/>
    <w:basedOn w:val="DefaultParagraphFont"/>
  </w:style>
  <w:style w:type="paragraph" w:customStyle="1" w:styleId="pnormal">
    <w:name w:val="pnormal"/>
    <w:basedOn w:val="Normal"/>
    <w:pPr>
      <w:spacing w:before="100" w:beforeAutospacing="1" w:after="100" w:afterAutospacing="1"/>
    </w:pPr>
    <w:rPr>
      <w:lang w:val="en-US" w:eastAsia="en-US"/>
    </w:rPr>
  </w:style>
  <w:style w:type="paragraph" w:customStyle="1" w:styleId="doc-ti">
    <w:name w:val="doc-ti"/>
    <w:basedOn w:val="Normal"/>
    <w:pPr>
      <w:spacing w:before="100" w:beforeAutospacing="1" w:after="100" w:afterAutospacing="1"/>
    </w:pPr>
    <w:rPr>
      <w:lang w:val="en-US" w:eastAsia="en-US"/>
    </w:rPr>
  </w:style>
  <w:style w:type="paragraph" w:customStyle="1" w:styleId="c02alineaalta">
    <w:name w:val="c02alineaalta"/>
    <w:basedOn w:val="Normal"/>
    <w:pPr>
      <w:spacing w:before="100" w:beforeAutospacing="1" w:after="100" w:afterAutospacing="1"/>
    </w:pPr>
    <w:rPr>
      <w:lang w:val="en-US" w:eastAsia="en-US"/>
    </w:rPr>
  </w:style>
  <w:style w:type="paragraph" w:styleId="EndnoteText">
    <w:name w:val="endnote text"/>
    <w:basedOn w:val="Normal"/>
    <w:link w:val="EndnoteTextChar"/>
    <w:uiPriority w:val="99"/>
    <w:semiHidden/>
    <w:unhideWhenUsed/>
    <w:rsid w:val="00745F7D"/>
    <w:rPr>
      <w:sz w:val="20"/>
      <w:szCs w:val="20"/>
    </w:rPr>
  </w:style>
  <w:style w:type="character" w:customStyle="1" w:styleId="EndnoteTextChar">
    <w:name w:val="Endnote Text Char"/>
    <w:basedOn w:val="DefaultParagraphFont"/>
    <w:link w:val="EndnoteText"/>
    <w:uiPriority w:val="99"/>
    <w:semiHidden/>
    <w:rsid w:val="00745F7D"/>
    <w:rPr>
      <w:sz w:val="20"/>
      <w:szCs w:val="20"/>
    </w:rPr>
  </w:style>
  <w:style w:type="character" w:styleId="EndnoteReference">
    <w:name w:val="endnote reference"/>
    <w:basedOn w:val="DefaultParagraphFont"/>
    <w:uiPriority w:val="99"/>
    <w:semiHidden/>
    <w:unhideWhenUsed/>
    <w:rsid w:val="00745F7D"/>
    <w:rPr>
      <w:vertAlign w:val="superscript"/>
    </w:rPr>
  </w:style>
  <w:style w:type="paragraph" w:styleId="Revision">
    <w:name w:val="Revision"/>
    <w:hidden/>
    <w:uiPriority w:val="99"/>
    <w:semiHidden/>
    <w:rsid w:val="00C31ED0"/>
  </w:style>
  <w:style w:type="paragraph" w:styleId="CommentSubject">
    <w:name w:val="annotation subject"/>
    <w:basedOn w:val="CommentText"/>
    <w:next w:val="CommentText"/>
    <w:link w:val="CommentSubjectChar"/>
    <w:uiPriority w:val="99"/>
    <w:semiHidden/>
    <w:unhideWhenUsed/>
    <w:rsid w:val="00514821"/>
    <w:rPr>
      <w:b/>
      <w:bCs/>
    </w:rPr>
  </w:style>
  <w:style w:type="character" w:customStyle="1" w:styleId="CommentSubjectChar">
    <w:name w:val="Comment Subject Char"/>
    <w:basedOn w:val="CommentTextChar"/>
    <w:link w:val="CommentSubject"/>
    <w:uiPriority w:val="99"/>
    <w:semiHidden/>
    <w:rsid w:val="00514821"/>
    <w:rPr>
      <w:b/>
      <w:bCs/>
      <w:sz w:val="20"/>
      <w:szCs w:val="20"/>
    </w:rPr>
  </w:style>
  <w:style w:type="character" w:styleId="UnresolvedMention">
    <w:name w:val="Unresolved Mention"/>
    <w:basedOn w:val="DefaultParagraphFont"/>
    <w:uiPriority w:val="99"/>
    <w:semiHidden/>
    <w:unhideWhenUsed/>
    <w:rsid w:val="00A647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883530">
      <w:bodyDiv w:val="1"/>
      <w:marLeft w:val="0"/>
      <w:marRight w:val="0"/>
      <w:marTop w:val="0"/>
      <w:marBottom w:val="0"/>
      <w:divBdr>
        <w:top w:val="none" w:sz="0" w:space="0" w:color="auto"/>
        <w:left w:val="none" w:sz="0" w:space="0" w:color="auto"/>
        <w:bottom w:val="none" w:sz="0" w:space="0" w:color="auto"/>
        <w:right w:val="none" w:sz="0" w:space="0" w:color="auto"/>
      </w:divBdr>
    </w:div>
    <w:div w:id="131945136">
      <w:bodyDiv w:val="1"/>
      <w:marLeft w:val="0"/>
      <w:marRight w:val="0"/>
      <w:marTop w:val="0"/>
      <w:marBottom w:val="0"/>
      <w:divBdr>
        <w:top w:val="none" w:sz="0" w:space="0" w:color="auto"/>
        <w:left w:val="none" w:sz="0" w:space="0" w:color="auto"/>
        <w:bottom w:val="none" w:sz="0" w:space="0" w:color="auto"/>
        <w:right w:val="none" w:sz="0" w:space="0" w:color="auto"/>
      </w:divBdr>
    </w:div>
    <w:div w:id="141581232">
      <w:bodyDiv w:val="1"/>
      <w:marLeft w:val="0"/>
      <w:marRight w:val="0"/>
      <w:marTop w:val="0"/>
      <w:marBottom w:val="0"/>
      <w:divBdr>
        <w:top w:val="none" w:sz="0" w:space="0" w:color="auto"/>
        <w:left w:val="none" w:sz="0" w:space="0" w:color="auto"/>
        <w:bottom w:val="none" w:sz="0" w:space="0" w:color="auto"/>
        <w:right w:val="none" w:sz="0" w:space="0" w:color="auto"/>
      </w:divBdr>
    </w:div>
    <w:div w:id="163325008">
      <w:bodyDiv w:val="1"/>
      <w:marLeft w:val="0"/>
      <w:marRight w:val="0"/>
      <w:marTop w:val="0"/>
      <w:marBottom w:val="0"/>
      <w:divBdr>
        <w:top w:val="none" w:sz="0" w:space="0" w:color="auto"/>
        <w:left w:val="none" w:sz="0" w:space="0" w:color="auto"/>
        <w:bottom w:val="none" w:sz="0" w:space="0" w:color="auto"/>
        <w:right w:val="none" w:sz="0" w:space="0" w:color="auto"/>
      </w:divBdr>
    </w:div>
    <w:div w:id="166214727">
      <w:bodyDiv w:val="1"/>
      <w:marLeft w:val="0"/>
      <w:marRight w:val="0"/>
      <w:marTop w:val="0"/>
      <w:marBottom w:val="0"/>
      <w:divBdr>
        <w:top w:val="none" w:sz="0" w:space="0" w:color="auto"/>
        <w:left w:val="none" w:sz="0" w:space="0" w:color="auto"/>
        <w:bottom w:val="none" w:sz="0" w:space="0" w:color="auto"/>
        <w:right w:val="none" w:sz="0" w:space="0" w:color="auto"/>
      </w:divBdr>
    </w:div>
    <w:div w:id="171190932">
      <w:bodyDiv w:val="1"/>
      <w:marLeft w:val="0"/>
      <w:marRight w:val="0"/>
      <w:marTop w:val="0"/>
      <w:marBottom w:val="0"/>
      <w:divBdr>
        <w:top w:val="none" w:sz="0" w:space="0" w:color="auto"/>
        <w:left w:val="none" w:sz="0" w:space="0" w:color="auto"/>
        <w:bottom w:val="none" w:sz="0" w:space="0" w:color="auto"/>
        <w:right w:val="none" w:sz="0" w:space="0" w:color="auto"/>
      </w:divBdr>
    </w:div>
    <w:div w:id="193082042">
      <w:bodyDiv w:val="1"/>
      <w:marLeft w:val="0"/>
      <w:marRight w:val="0"/>
      <w:marTop w:val="0"/>
      <w:marBottom w:val="0"/>
      <w:divBdr>
        <w:top w:val="none" w:sz="0" w:space="0" w:color="auto"/>
        <w:left w:val="none" w:sz="0" w:space="0" w:color="auto"/>
        <w:bottom w:val="none" w:sz="0" w:space="0" w:color="auto"/>
        <w:right w:val="none" w:sz="0" w:space="0" w:color="auto"/>
      </w:divBdr>
    </w:div>
    <w:div w:id="200486201">
      <w:bodyDiv w:val="1"/>
      <w:marLeft w:val="0"/>
      <w:marRight w:val="0"/>
      <w:marTop w:val="0"/>
      <w:marBottom w:val="0"/>
      <w:divBdr>
        <w:top w:val="none" w:sz="0" w:space="0" w:color="auto"/>
        <w:left w:val="none" w:sz="0" w:space="0" w:color="auto"/>
        <w:bottom w:val="none" w:sz="0" w:space="0" w:color="auto"/>
        <w:right w:val="none" w:sz="0" w:space="0" w:color="auto"/>
      </w:divBdr>
    </w:div>
    <w:div w:id="201330416">
      <w:bodyDiv w:val="1"/>
      <w:marLeft w:val="0"/>
      <w:marRight w:val="0"/>
      <w:marTop w:val="0"/>
      <w:marBottom w:val="0"/>
      <w:divBdr>
        <w:top w:val="none" w:sz="0" w:space="0" w:color="auto"/>
        <w:left w:val="none" w:sz="0" w:space="0" w:color="auto"/>
        <w:bottom w:val="none" w:sz="0" w:space="0" w:color="auto"/>
        <w:right w:val="none" w:sz="0" w:space="0" w:color="auto"/>
      </w:divBdr>
    </w:div>
    <w:div w:id="215777111">
      <w:bodyDiv w:val="1"/>
      <w:marLeft w:val="0"/>
      <w:marRight w:val="0"/>
      <w:marTop w:val="0"/>
      <w:marBottom w:val="0"/>
      <w:divBdr>
        <w:top w:val="none" w:sz="0" w:space="0" w:color="auto"/>
        <w:left w:val="none" w:sz="0" w:space="0" w:color="auto"/>
        <w:bottom w:val="none" w:sz="0" w:space="0" w:color="auto"/>
        <w:right w:val="none" w:sz="0" w:space="0" w:color="auto"/>
      </w:divBdr>
    </w:div>
    <w:div w:id="225142579">
      <w:bodyDiv w:val="1"/>
      <w:marLeft w:val="0"/>
      <w:marRight w:val="0"/>
      <w:marTop w:val="0"/>
      <w:marBottom w:val="0"/>
      <w:divBdr>
        <w:top w:val="none" w:sz="0" w:space="0" w:color="auto"/>
        <w:left w:val="none" w:sz="0" w:space="0" w:color="auto"/>
        <w:bottom w:val="none" w:sz="0" w:space="0" w:color="auto"/>
        <w:right w:val="none" w:sz="0" w:space="0" w:color="auto"/>
      </w:divBdr>
    </w:div>
    <w:div w:id="226647624">
      <w:bodyDiv w:val="1"/>
      <w:marLeft w:val="0"/>
      <w:marRight w:val="0"/>
      <w:marTop w:val="0"/>
      <w:marBottom w:val="0"/>
      <w:divBdr>
        <w:top w:val="none" w:sz="0" w:space="0" w:color="auto"/>
        <w:left w:val="none" w:sz="0" w:space="0" w:color="auto"/>
        <w:bottom w:val="none" w:sz="0" w:space="0" w:color="auto"/>
        <w:right w:val="none" w:sz="0" w:space="0" w:color="auto"/>
      </w:divBdr>
    </w:div>
    <w:div w:id="350956145">
      <w:bodyDiv w:val="1"/>
      <w:marLeft w:val="0"/>
      <w:marRight w:val="0"/>
      <w:marTop w:val="0"/>
      <w:marBottom w:val="0"/>
      <w:divBdr>
        <w:top w:val="none" w:sz="0" w:space="0" w:color="auto"/>
        <w:left w:val="none" w:sz="0" w:space="0" w:color="auto"/>
        <w:bottom w:val="none" w:sz="0" w:space="0" w:color="auto"/>
        <w:right w:val="none" w:sz="0" w:space="0" w:color="auto"/>
      </w:divBdr>
    </w:div>
    <w:div w:id="416249817">
      <w:bodyDiv w:val="1"/>
      <w:marLeft w:val="0"/>
      <w:marRight w:val="0"/>
      <w:marTop w:val="0"/>
      <w:marBottom w:val="0"/>
      <w:divBdr>
        <w:top w:val="none" w:sz="0" w:space="0" w:color="auto"/>
        <w:left w:val="none" w:sz="0" w:space="0" w:color="auto"/>
        <w:bottom w:val="none" w:sz="0" w:space="0" w:color="auto"/>
        <w:right w:val="none" w:sz="0" w:space="0" w:color="auto"/>
      </w:divBdr>
      <w:divsChild>
        <w:div w:id="859440212">
          <w:marLeft w:val="0"/>
          <w:marRight w:val="0"/>
          <w:marTop w:val="0"/>
          <w:marBottom w:val="0"/>
          <w:divBdr>
            <w:top w:val="none" w:sz="0" w:space="0" w:color="auto"/>
            <w:left w:val="none" w:sz="0" w:space="0" w:color="auto"/>
            <w:bottom w:val="none" w:sz="0" w:space="0" w:color="auto"/>
            <w:right w:val="none" w:sz="0" w:space="0" w:color="auto"/>
          </w:divBdr>
        </w:div>
        <w:div w:id="1289779880">
          <w:marLeft w:val="0"/>
          <w:marRight w:val="0"/>
          <w:marTop w:val="0"/>
          <w:marBottom w:val="0"/>
          <w:divBdr>
            <w:top w:val="none" w:sz="0" w:space="0" w:color="auto"/>
            <w:left w:val="none" w:sz="0" w:space="0" w:color="auto"/>
            <w:bottom w:val="none" w:sz="0" w:space="0" w:color="auto"/>
            <w:right w:val="none" w:sz="0" w:space="0" w:color="auto"/>
          </w:divBdr>
        </w:div>
      </w:divsChild>
    </w:div>
    <w:div w:id="510531632">
      <w:bodyDiv w:val="1"/>
      <w:marLeft w:val="0"/>
      <w:marRight w:val="0"/>
      <w:marTop w:val="0"/>
      <w:marBottom w:val="0"/>
      <w:divBdr>
        <w:top w:val="none" w:sz="0" w:space="0" w:color="auto"/>
        <w:left w:val="none" w:sz="0" w:space="0" w:color="auto"/>
        <w:bottom w:val="none" w:sz="0" w:space="0" w:color="auto"/>
        <w:right w:val="none" w:sz="0" w:space="0" w:color="auto"/>
      </w:divBdr>
    </w:div>
    <w:div w:id="611130264">
      <w:bodyDiv w:val="1"/>
      <w:marLeft w:val="0"/>
      <w:marRight w:val="0"/>
      <w:marTop w:val="0"/>
      <w:marBottom w:val="0"/>
      <w:divBdr>
        <w:top w:val="none" w:sz="0" w:space="0" w:color="auto"/>
        <w:left w:val="none" w:sz="0" w:space="0" w:color="auto"/>
        <w:bottom w:val="none" w:sz="0" w:space="0" w:color="auto"/>
        <w:right w:val="none" w:sz="0" w:space="0" w:color="auto"/>
      </w:divBdr>
    </w:div>
    <w:div w:id="819661701">
      <w:bodyDiv w:val="1"/>
      <w:marLeft w:val="0"/>
      <w:marRight w:val="0"/>
      <w:marTop w:val="0"/>
      <w:marBottom w:val="0"/>
      <w:divBdr>
        <w:top w:val="none" w:sz="0" w:space="0" w:color="auto"/>
        <w:left w:val="none" w:sz="0" w:space="0" w:color="auto"/>
        <w:bottom w:val="none" w:sz="0" w:space="0" w:color="auto"/>
        <w:right w:val="none" w:sz="0" w:space="0" w:color="auto"/>
      </w:divBdr>
      <w:divsChild>
        <w:div w:id="1714190325">
          <w:marLeft w:val="0"/>
          <w:marRight w:val="0"/>
          <w:marTop w:val="0"/>
          <w:marBottom w:val="567"/>
          <w:divBdr>
            <w:top w:val="none" w:sz="0" w:space="0" w:color="auto"/>
            <w:left w:val="none" w:sz="0" w:space="0" w:color="auto"/>
            <w:bottom w:val="none" w:sz="0" w:space="0" w:color="auto"/>
            <w:right w:val="none" w:sz="0" w:space="0" w:color="auto"/>
          </w:divBdr>
        </w:div>
        <w:div w:id="2114781690">
          <w:marLeft w:val="0"/>
          <w:marRight w:val="0"/>
          <w:marTop w:val="0"/>
          <w:marBottom w:val="567"/>
          <w:divBdr>
            <w:top w:val="none" w:sz="0" w:space="0" w:color="auto"/>
            <w:left w:val="none" w:sz="0" w:space="0" w:color="auto"/>
            <w:bottom w:val="none" w:sz="0" w:space="0" w:color="auto"/>
            <w:right w:val="none" w:sz="0" w:space="0" w:color="auto"/>
          </w:divBdr>
        </w:div>
      </w:divsChild>
    </w:div>
    <w:div w:id="833180166">
      <w:bodyDiv w:val="1"/>
      <w:marLeft w:val="0"/>
      <w:marRight w:val="0"/>
      <w:marTop w:val="0"/>
      <w:marBottom w:val="0"/>
      <w:divBdr>
        <w:top w:val="none" w:sz="0" w:space="0" w:color="auto"/>
        <w:left w:val="none" w:sz="0" w:space="0" w:color="auto"/>
        <w:bottom w:val="none" w:sz="0" w:space="0" w:color="auto"/>
        <w:right w:val="none" w:sz="0" w:space="0" w:color="auto"/>
      </w:divBdr>
    </w:div>
    <w:div w:id="859323284">
      <w:bodyDiv w:val="1"/>
      <w:marLeft w:val="0"/>
      <w:marRight w:val="0"/>
      <w:marTop w:val="0"/>
      <w:marBottom w:val="0"/>
      <w:divBdr>
        <w:top w:val="none" w:sz="0" w:space="0" w:color="auto"/>
        <w:left w:val="none" w:sz="0" w:space="0" w:color="auto"/>
        <w:bottom w:val="none" w:sz="0" w:space="0" w:color="auto"/>
        <w:right w:val="none" w:sz="0" w:space="0" w:color="auto"/>
      </w:divBdr>
    </w:div>
    <w:div w:id="866286058">
      <w:bodyDiv w:val="1"/>
      <w:marLeft w:val="0"/>
      <w:marRight w:val="0"/>
      <w:marTop w:val="0"/>
      <w:marBottom w:val="0"/>
      <w:divBdr>
        <w:top w:val="none" w:sz="0" w:space="0" w:color="auto"/>
        <w:left w:val="none" w:sz="0" w:space="0" w:color="auto"/>
        <w:bottom w:val="none" w:sz="0" w:space="0" w:color="auto"/>
        <w:right w:val="none" w:sz="0" w:space="0" w:color="auto"/>
      </w:divBdr>
    </w:div>
    <w:div w:id="902330169">
      <w:bodyDiv w:val="1"/>
      <w:marLeft w:val="0"/>
      <w:marRight w:val="0"/>
      <w:marTop w:val="0"/>
      <w:marBottom w:val="0"/>
      <w:divBdr>
        <w:top w:val="none" w:sz="0" w:space="0" w:color="auto"/>
        <w:left w:val="none" w:sz="0" w:space="0" w:color="auto"/>
        <w:bottom w:val="none" w:sz="0" w:space="0" w:color="auto"/>
        <w:right w:val="none" w:sz="0" w:space="0" w:color="auto"/>
      </w:divBdr>
    </w:div>
    <w:div w:id="933587770">
      <w:bodyDiv w:val="1"/>
      <w:marLeft w:val="0"/>
      <w:marRight w:val="0"/>
      <w:marTop w:val="0"/>
      <w:marBottom w:val="0"/>
      <w:divBdr>
        <w:top w:val="none" w:sz="0" w:space="0" w:color="auto"/>
        <w:left w:val="none" w:sz="0" w:space="0" w:color="auto"/>
        <w:bottom w:val="none" w:sz="0" w:space="0" w:color="auto"/>
        <w:right w:val="none" w:sz="0" w:space="0" w:color="auto"/>
      </w:divBdr>
    </w:div>
    <w:div w:id="1061827578">
      <w:bodyDiv w:val="1"/>
      <w:marLeft w:val="0"/>
      <w:marRight w:val="0"/>
      <w:marTop w:val="0"/>
      <w:marBottom w:val="0"/>
      <w:divBdr>
        <w:top w:val="none" w:sz="0" w:space="0" w:color="auto"/>
        <w:left w:val="none" w:sz="0" w:space="0" w:color="auto"/>
        <w:bottom w:val="none" w:sz="0" w:space="0" w:color="auto"/>
        <w:right w:val="none" w:sz="0" w:space="0" w:color="auto"/>
      </w:divBdr>
    </w:div>
    <w:div w:id="1105074609">
      <w:bodyDiv w:val="1"/>
      <w:marLeft w:val="0"/>
      <w:marRight w:val="0"/>
      <w:marTop w:val="0"/>
      <w:marBottom w:val="0"/>
      <w:divBdr>
        <w:top w:val="none" w:sz="0" w:space="0" w:color="auto"/>
        <w:left w:val="none" w:sz="0" w:space="0" w:color="auto"/>
        <w:bottom w:val="none" w:sz="0" w:space="0" w:color="auto"/>
        <w:right w:val="none" w:sz="0" w:space="0" w:color="auto"/>
      </w:divBdr>
      <w:divsChild>
        <w:div w:id="1397360944">
          <w:marLeft w:val="0"/>
          <w:marRight w:val="0"/>
          <w:marTop w:val="0"/>
          <w:marBottom w:val="0"/>
          <w:divBdr>
            <w:top w:val="none" w:sz="0" w:space="0" w:color="auto"/>
            <w:left w:val="none" w:sz="0" w:space="0" w:color="auto"/>
            <w:bottom w:val="none" w:sz="0" w:space="0" w:color="auto"/>
            <w:right w:val="none" w:sz="0" w:space="0" w:color="auto"/>
          </w:divBdr>
        </w:div>
      </w:divsChild>
    </w:div>
    <w:div w:id="1125319643">
      <w:bodyDiv w:val="1"/>
      <w:marLeft w:val="0"/>
      <w:marRight w:val="0"/>
      <w:marTop w:val="0"/>
      <w:marBottom w:val="0"/>
      <w:divBdr>
        <w:top w:val="none" w:sz="0" w:space="0" w:color="auto"/>
        <w:left w:val="none" w:sz="0" w:space="0" w:color="auto"/>
        <w:bottom w:val="none" w:sz="0" w:space="0" w:color="auto"/>
        <w:right w:val="none" w:sz="0" w:space="0" w:color="auto"/>
      </w:divBdr>
    </w:div>
    <w:div w:id="1272204647">
      <w:bodyDiv w:val="1"/>
      <w:marLeft w:val="0"/>
      <w:marRight w:val="0"/>
      <w:marTop w:val="0"/>
      <w:marBottom w:val="0"/>
      <w:divBdr>
        <w:top w:val="none" w:sz="0" w:space="0" w:color="auto"/>
        <w:left w:val="none" w:sz="0" w:space="0" w:color="auto"/>
        <w:bottom w:val="none" w:sz="0" w:space="0" w:color="auto"/>
        <w:right w:val="none" w:sz="0" w:space="0" w:color="auto"/>
      </w:divBdr>
    </w:div>
    <w:div w:id="1276866228">
      <w:bodyDiv w:val="1"/>
      <w:marLeft w:val="0"/>
      <w:marRight w:val="0"/>
      <w:marTop w:val="0"/>
      <w:marBottom w:val="0"/>
      <w:divBdr>
        <w:top w:val="none" w:sz="0" w:space="0" w:color="auto"/>
        <w:left w:val="none" w:sz="0" w:space="0" w:color="auto"/>
        <w:bottom w:val="none" w:sz="0" w:space="0" w:color="auto"/>
        <w:right w:val="none" w:sz="0" w:space="0" w:color="auto"/>
      </w:divBdr>
    </w:div>
    <w:div w:id="1282223312">
      <w:bodyDiv w:val="1"/>
      <w:marLeft w:val="0"/>
      <w:marRight w:val="0"/>
      <w:marTop w:val="0"/>
      <w:marBottom w:val="0"/>
      <w:divBdr>
        <w:top w:val="none" w:sz="0" w:space="0" w:color="auto"/>
        <w:left w:val="none" w:sz="0" w:space="0" w:color="auto"/>
        <w:bottom w:val="none" w:sz="0" w:space="0" w:color="auto"/>
        <w:right w:val="none" w:sz="0" w:space="0" w:color="auto"/>
      </w:divBdr>
    </w:div>
    <w:div w:id="1287396415">
      <w:bodyDiv w:val="1"/>
      <w:marLeft w:val="0"/>
      <w:marRight w:val="0"/>
      <w:marTop w:val="0"/>
      <w:marBottom w:val="0"/>
      <w:divBdr>
        <w:top w:val="none" w:sz="0" w:space="0" w:color="auto"/>
        <w:left w:val="none" w:sz="0" w:space="0" w:color="auto"/>
        <w:bottom w:val="none" w:sz="0" w:space="0" w:color="auto"/>
        <w:right w:val="none" w:sz="0" w:space="0" w:color="auto"/>
      </w:divBdr>
    </w:div>
    <w:div w:id="1310864935">
      <w:bodyDiv w:val="1"/>
      <w:marLeft w:val="0"/>
      <w:marRight w:val="0"/>
      <w:marTop w:val="0"/>
      <w:marBottom w:val="0"/>
      <w:divBdr>
        <w:top w:val="none" w:sz="0" w:space="0" w:color="auto"/>
        <w:left w:val="none" w:sz="0" w:space="0" w:color="auto"/>
        <w:bottom w:val="none" w:sz="0" w:space="0" w:color="auto"/>
        <w:right w:val="none" w:sz="0" w:space="0" w:color="auto"/>
      </w:divBdr>
    </w:div>
    <w:div w:id="1353724727">
      <w:bodyDiv w:val="1"/>
      <w:marLeft w:val="0"/>
      <w:marRight w:val="0"/>
      <w:marTop w:val="0"/>
      <w:marBottom w:val="0"/>
      <w:divBdr>
        <w:top w:val="none" w:sz="0" w:space="0" w:color="auto"/>
        <w:left w:val="none" w:sz="0" w:space="0" w:color="auto"/>
        <w:bottom w:val="none" w:sz="0" w:space="0" w:color="auto"/>
        <w:right w:val="none" w:sz="0" w:space="0" w:color="auto"/>
      </w:divBdr>
    </w:div>
    <w:div w:id="1416854528">
      <w:bodyDiv w:val="1"/>
      <w:marLeft w:val="0"/>
      <w:marRight w:val="0"/>
      <w:marTop w:val="0"/>
      <w:marBottom w:val="0"/>
      <w:divBdr>
        <w:top w:val="none" w:sz="0" w:space="0" w:color="auto"/>
        <w:left w:val="none" w:sz="0" w:space="0" w:color="auto"/>
        <w:bottom w:val="none" w:sz="0" w:space="0" w:color="auto"/>
        <w:right w:val="none" w:sz="0" w:space="0" w:color="auto"/>
      </w:divBdr>
    </w:div>
    <w:div w:id="1444572576">
      <w:bodyDiv w:val="1"/>
      <w:marLeft w:val="0"/>
      <w:marRight w:val="0"/>
      <w:marTop w:val="0"/>
      <w:marBottom w:val="0"/>
      <w:divBdr>
        <w:top w:val="none" w:sz="0" w:space="0" w:color="auto"/>
        <w:left w:val="none" w:sz="0" w:space="0" w:color="auto"/>
        <w:bottom w:val="none" w:sz="0" w:space="0" w:color="auto"/>
        <w:right w:val="none" w:sz="0" w:space="0" w:color="auto"/>
      </w:divBdr>
    </w:div>
    <w:div w:id="1476293936">
      <w:bodyDiv w:val="1"/>
      <w:marLeft w:val="0"/>
      <w:marRight w:val="0"/>
      <w:marTop w:val="0"/>
      <w:marBottom w:val="0"/>
      <w:divBdr>
        <w:top w:val="none" w:sz="0" w:space="0" w:color="auto"/>
        <w:left w:val="none" w:sz="0" w:space="0" w:color="auto"/>
        <w:bottom w:val="none" w:sz="0" w:space="0" w:color="auto"/>
        <w:right w:val="none" w:sz="0" w:space="0" w:color="auto"/>
      </w:divBdr>
    </w:div>
    <w:div w:id="1489054669">
      <w:bodyDiv w:val="1"/>
      <w:marLeft w:val="0"/>
      <w:marRight w:val="0"/>
      <w:marTop w:val="0"/>
      <w:marBottom w:val="0"/>
      <w:divBdr>
        <w:top w:val="none" w:sz="0" w:space="0" w:color="auto"/>
        <w:left w:val="none" w:sz="0" w:space="0" w:color="auto"/>
        <w:bottom w:val="none" w:sz="0" w:space="0" w:color="auto"/>
        <w:right w:val="none" w:sz="0" w:space="0" w:color="auto"/>
      </w:divBdr>
    </w:div>
    <w:div w:id="1503660162">
      <w:bodyDiv w:val="1"/>
      <w:marLeft w:val="0"/>
      <w:marRight w:val="0"/>
      <w:marTop w:val="0"/>
      <w:marBottom w:val="0"/>
      <w:divBdr>
        <w:top w:val="none" w:sz="0" w:space="0" w:color="auto"/>
        <w:left w:val="none" w:sz="0" w:space="0" w:color="auto"/>
        <w:bottom w:val="none" w:sz="0" w:space="0" w:color="auto"/>
        <w:right w:val="none" w:sz="0" w:space="0" w:color="auto"/>
      </w:divBdr>
    </w:div>
    <w:div w:id="1529683655">
      <w:bodyDiv w:val="1"/>
      <w:marLeft w:val="0"/>
      <w:marRight w:val="0"/>
      <w:marTop w:val="0"/>
      <w:marBottom w:val="0"/>
      <w:divBdr>
        <w:top w:val="none" w:sz="0" w:space="0" w:color="auto"/>
        <w:left w:val="none" w:sz="0" w:space="0" w:color="auto"/>
        <w:bottom w:val="none" w:sz="0" w:space="0" w:color="auto"/>
        <w:right w:val="none" w:sz="0" w:space="0" w:color="auto"/>
      </w:divBdr>
    </w:div>
    <w:div w:id="1588996361">
      <w:bodyDiv w:val="1"/>
      <w:marLeft w:val="0"/>
      <w:marRight w:val="0"/>
      <w:marTop w:val="0"/>
      <w:marBottom w:val="0"/>
      <w:divBdr>
        <w:top w:val="none" w:sz="0" w:space="0" w:color="auto"/>
        <w:left w:val="none" w:sz="0" w:space="0" w:color="auto"/>
        <w:bottom w:val="none" w:sz="0" w:space="0" w:color="auto"/>
        <w:right w:val="none" w:sz="0" w:space="0" w:color="auto"/>
      </w:divBdr>
    </w:div>
    <w:div w:id="1615745817">
      <w:bodyDiv w:val="1"/>
      <w:marLeft w:val="0"/>
      <w:marRight w:val="0"/>
      <w:marTop w:val="0"/>
      <w:marBottom w:val="0"/>
      <w:divBdr>
        <w:top w:val="none" w:sz="0" w:space="0" w:color="auto"/>
        <w:left w:val="none" w:sz="0" w:space="0" w:color="auto"/>
        <w:bottom w:val="none" w:sz="0" w:space="0" w:color="auto"/>
        <w:right w:val="none" w:sz="0" w:space="0" w:color="auto"/>
      </w:divBdr>
    </w:div>
    <w:div w:id="1627736319">
      <w:bodyDiv w:val="1"/>
      <w:marLeft w:val="0"/>
      <w:marRight w:val="0"/>
      <w:marTop w:val="0"/>
      <w:marBottom w:val="0"/>
      <w:divBdr>
        <w:top w:val="none" w:sz="0" w:space="0" w:color="auto"/>
        <w:left w:val="none" w:sz="0" w:space="0" w:color="auto"/>
        <w:bottom w:val="none" w:sz="0" w:space="0" w:color="auto"/>
        <w:right w:val="none" w:sz="0" w:space="0" w:color="auto"/>
      </w:divBdr>
      <w:divsChild>
        <w:div w:id="29113387">
          <w:marLeft w:val="0"/>
          <w:marRight w:val="0"/>
          <w:marTop w:val="480"/>
          <w:marBottom w:val="240"/>
          <w:divBdr>
            <w:top w:val="none" w:sz="0" w:space="0" w:color="auto"/>
            <w:left w:val="none" w:sz="0" w:space="0" w:color="auto"/>
            <w:bottom w:val="none" w:sz="0" w:space="0" w:color="auto"/>
            <w:right w:val="none" w:sz="0" w:space="0" w:color="auto"/>
          </w:divBdr>
        </w:div>
        <w:div w:id="1555386249">
          <w:marLeft w:val="0"/>
          <w:marRight w:val="0"/>
          <w:marTop w:val="0"/>
          <w:marBottom w:val="567"/>
          <w:divBdr>
            <w:top w:val="none" w:sz="0" w:space="0" w:color="auto"/>
            <w:left w:val="none" w:sz="0" w:space="0" w:color="auto"/>
            <w:bottom w:val="none" w:sz="0" w:space="0" w:color="auto"/>
            <w:right w:val="none" w:sz="0" w:space="0" w:color="auto"/>
          </w:divBdr>
        </w:div>
      </w:divsChild>
    </w:div>
    <w:div w:id="1664626454">
      <w:bodyDiv w:val="1"/>
      <w:marLeft w:val="0"/>
      <w:marRight w:val="0"/>
      <w:marTop w:val="0"/>
      <w:marBottom w:val="0"/>
      <w:divBdr>
        <w:top w:val="none" w:sz="0" w:space="0" w:color="auto"/>
        <w:left w:val="none" w:sz="0" w:space="0" w:color="auto"/>
        <w:bottom w:val="none" w:sz="0" w:space="0" w:color="auto"/>
        <w:right w:val="none" w:sz="0" w:space="0" w:color="auto"/>
      </w:divBdr>
    </w:div>
    <w:div w:id="1672677013">
      <w:bodyDiv w:val="1"/>
      <w:marLeft w:val="0"/>
      <w:marRight w:val="0"/>
      <w:marTop w:val="0"/>
      <w:marBottom w:val="0"/>
      <w:divBdr>
        <w:top w:val="none" w:sz="0" w:space="0" w:color="auto"/>
        <w:left w:val="none" w:sz="0" w:space="0" w:color="auto"/>
        <w:bottom w:val="none" w:sz="0" w:space="0" w:color="auto"/>
        <w:right w:val="none" w:sz="0" w:space="0" w:color="auto"/>
      </w:divBdr>
    </w:div>
    <w:div w:id="1673878043">
      <w:bodyDiv w:val="1"/>
      <w:marLeft w:val="0"/>
      <w:marRight w:val="0"/>
      <w:marTop w:val="0"/>
      <w:marBottom w:val="0"/>
      <w:divBdr>
        <w:top w:val="none" w:sz="0" w:space="0" w:color="auto"/>
        <w:left w:val="none" w:sz="0" w:space="0" w:color="auto"/>
        <w:bottom w:val="none" w:sz="0" w:space="0" w:color="auto"/>
        <w:right w:val="none" w:sz="0" w:space="0" w:color="auto"/>
      </w:divBdr>
    </w:div>
    <w:div w:id="1684162819">
      <w:bodyDiv w:val="1"/>
      <w:marLeft w:val="0"/>
      <w:marRight w:val="0"/>
      <w:marTop w:val="0"/>
      <w:marBottom w:val="0"/>
      <w:divBdr>
        <w:top w:val="none" w:sz="0" w:space="0" w:color="auto"/>
        <w:left w:val="none" w:sz="0" w:space="0" w:color="auto"/>
        <w:bottom w:val="none" w:sz="0" w:space="0" w:color="auto"/>
        <w:right w:val="none" w:sz="0" w:space="0" w:color="auto"/>
      </w:divBdr>
    </w:div>
    <w:div w:id="1690370164">
      <w:bodyDiv w:val="1"/>
      <w:marLeft w:val="0"/>
      <w:marRight w:val="0"/>
      <w:marTop w:val="0"/>
      <w:marBottom w:val="0"/>
      <w:divBdr>
        <w:top w:val="none" w:sz="0" w:space="0" w:color="auto"/>
        <w:left w:val="none" w:sz="0" w:space="0" w:color="auto"/>
        <w:bottom w:val="none" w:sz="0" w:space="0" w:color="auto"/>
        <w:right w:val="none" w:sz="0" w:space="0" w:color="auto"/>
      </w:divBdr>
    </w:div>
    <w:div w:id="1726219481">
      <w:bodyDiv w:val="1"/>
      <w:marLeft w:val="0"/>
      <w:marRight w:val="0"/>
      <w:marTop w:val="0"/>
      <w:marBottom w:val="0"/>
      <w:divBdr>
        <w:top w:val="none" w:sz="0" w:space="0" w:color="auto"/>
        <w:left w:val="none" w:sz="0" w:space="0" w:color="auto"/>
        <w:bottom w:val="none" w:sz="0" w:space="0" w:color="auto"/>
        <w:right w:val="none" w:sz="0" w:space="0" w:color="auto"/>
      </w:divBdr>
    </w:div>
    <w:div w:id="1894271482">
      <w:bodyDiv w:val="1"/>
      <w:marLeft w:val="0"/>
      <w:marRight w:val="0"/>
      <w:marTop w:val="0"/>
      <w:marBottom w:val="0"/>
      <w:divBdr>
        <w:top w:val="none" w:sz="0" w:space="0" w:color="auto"/>
        <w:left w:val="none" w:sz="0" w:space="0" w:color="auto"/>
        <w:bottom w:val="none" w:sz="0" w:space="0" w:color="auto"/>
        <w:right w:val="none" w:sz="0" w:space="0" w:color="auto"/>
      </w:divBdr>
    </w:div>
    <w:div w:id="1904639045">
      <w:bodyDiv w:val="1"/>
      <w:marLeft w:val="0"/>
      <w:marRight w:val="0"/>
      <w:marTop w:val="0"/>
      <w:marBottom w:val="0"/>
      <w:divBdr>
        <w:top w:val="none" w:sz="0" w:space="0" w:color="auto"/>
        <w:left w:val="none" w:sz="0" w:space="0" w:color="auto"/>
        <w:bottom w:val="none" w:sz="0" w:space="0" w:color="auto"/>
        <w:right w:val="none" w:sz="0" w:space="0" w:color="auto"/>
      </w:divBdr>
    </w:div>
    <w:div w:id="1906719596">
      <w:bodyDiv w:val="1"/>
      <w:marLeft w:val="0"/>
      <w:marRight w:val="0"/>
      <w:marTop w:val="0"/>
      <w:marBottom w:val="0"/>
      <w:divBdr>
        <w:top w:val="none" w:sz="0" w:space="0" w:color="auto"/>
        <w:left w:val="none" w:sz="0" w:space="0" w:color="auto"/>
        <w:bottom w:val="none" w:sz="0" w:space="0" w:color="auto"/>
        <w:right w:val="none" w:sz="0" w:space="0" w:color="auto"/>
      </w:divBdr>
    </w:div>
    <w:div w:id="1912932467">
      <w:bodyDiv w:val="1"/>
      <w:marLeft w:val="0"/>
      <w:marRight w:val="0"/>
      <w:marTop w:val="0"/>
      <w:marBottom w:val="0"/>
      <w:divBdr>
        <w:top w:val="none" w:sz="0" w:space="0" w:color="auto"/>
        <w:left w:val="none" w:sz="0" w:space="0" w:color="auto"/>
        <w:bottom w:val="none" w:sz="0" w:space="0" w:color="auto"/>
        <w:right w:val="none" w:sz="0" w:space="0" w:color="auto"/>
      </w:divBdr>
    </w:div>
    <w:div w:id="2103062748">
      <w:bodyDiv w:val="1"/>
      <w:marLeft w:val="0"/>
      <w:marRight w:val="0"/>
      <w:marTop w:val="0"/>
      <w:marBottom w:val="0"/>
      <w:divBdr>
        <w:top w:val="none" w:sz="0" w:space="0" w:color="auto"/>
        <w:left w:val="none" w:sz="0" w:space="0" w:color="auto"/>
        <w:bottom w:val="none" w:sz="0" w:space="0" w:color="auto"/>
        <w:right w:val="none" w:sz="0" w:space="0" w:color="auto"/>
      </w:divBdr>
    </w:div>
    <w:div w:id="21058774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8e046c63-133e-405a-b582-42f82c2300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likumi.lv/ta/id/2149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5462B2-3CA7-4397-BFF0-A1B3F7005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40668</Words>
  <Characters>23182</Characters>
  <Application>Microsoft Office Word</Application>
  <DocSecurity>0</DocSecurity>
  <Lines>193</Lines>
  <Paragraphs>127</Paragraphs>
  <ScaleCrop>false</ScaleCrop>
  <Company/>
  <LinksUpToDate>false</LinksUpToDate>
  <CharactersWithSpaces>63723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2026-06-09T12:40:00Z</dcterms:created>
  <dcterms:modified xsi:type="dcterms:W3CDTF">2026-06-17T10:38:00Z</dcterms:modified>
</cp:coreProperties>
</file>