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D05E" w14:textId="77777777" w:rsidR="00766FE6" w:rsidRPr="00766FE6" w:rsidRDefault="00766FE6" w:rsidP="00766FE6">
      <w:pPr>
        <w:spacing w:line="276" w:lineRule="auto"/>
        <w:jc w:val="both"/>
        <w:rPr>
          <w:b/>
          <w:bCs/>
          <w:lang w:eastAsia="lv-LV"/>
        </w:rPr>
      </w:pPr>
      <w:r w:rsidRPr="00766FE6">
        <w:rPr>
          <w:b/>
          <w:bCs/>
        </w:rPr>
        <w:t>Iepirkuma procedūras neobjektīvas pārtraušanas sekas</w:t>
      </w:r>
    </w:p>
    <w:p w14:paraId="11D943D3" w14:textId="67CA6859" w:rsidR="00A964D9" w:rsidRDefault="00766FE6" w:rsidP="00766FE6">
      <w:pPr>
        <w:pStyle w:val="Default"/>
        <w:spacing w:line="276" w:lineRule="auto"/>
        <w:jc w:val="both"/>
        <w:rPr>
          <w:color w:val="auto"/>
        </w:rPr>
      </w:pPr>
      <w:r w:rsidRPr="00766FE6">
        <w:rPr>
          <w:color w:val="auto"/>
        </w:rPr>
        <w:t xml:space="preserve">Iepirkuma procedūras neobjektīva pārtraukšana apdraud godīgu konkurenci un rada tiesības pretendentam prasīt zaudējumu atlīdzību, ja pretendents iepirkuma </w:t>
      </w:r>
      <w:r>
        <w:rPr>
          <w:color w:val="auto"/>
        </w:rPr>
        <w:t xml:space="preserve"> </w:t>
      </w:r>
      <w:r w:rsidRPr="00766FE6">
        <w:rPr>
          <w:color w:val="auto"/>
        </w:rPr>
        <w:t>procedūras paredzamās norises gaitā būtu ieguvis tiesības slēgt iepirkuma līgumu.</w:t>
      </w:r>
      <w:r>
        <w:rPr>
          <w:color w:val="auto"/>
        </w:rPr>
        <w:t xml:space="preserve"> </w:t>
      </w:r>
    </w:p>
    <w:p w14:paraId="5BE05C5A" w14:textId="77777777" w:rsidR="00766FE6" w:rsidRPr="00766FE6" w:rsidRDefault="00766FE6" w:rsidP="00766FE6">
      <w:pPr>
        <w:pStyle w:val="Default"/>
        <w:spacing w:line="276" w:lineRule="auto"/>
        <w:jc w:val="both"/>
        <w:rPr>
          <w:color w:val="auto"/>
        </w:rPr>
      </w:pPr>
    </w:p>
    <w:p w14:paraId="570BA408" w14:textId="290A96B8" w:rsidR="00A964D9" w:rsidRPr="00163785" w:rsidRDefault="00A964D9" w:rsidP="00766FE6">
      <w:pPr>
        <w:spacing w:before="120" w:line="276" w:lineRule="auto"/>
        <w:jc w:val="center"/>
        <w:rPr>
          <w:b/>
        </w:rPr>
      </w:pPr>
      <w:r w:rsidRPr="00163785">
        <w:rPr>
          <w:b/>
        </w:rPr>
        <w:t>Latvijas Republikas Senāt</w:t>
      </w:r>
      <w:r w:rsidR="00766FE6">
        <w:rPr>
          <w:b/>
        </w:rPr>
        <w:t>a</w:t>
      </w:r>
      <w:r w:rsidR="00766FE6">
        <w:rPr>
          <w:b/>
        </w:rPr>
        <w:br/>
        <w:t>Administratīvo lietu departamenta</w:t>
      </w:r>
      <w:r w:rsidR="00766FE6">
        <w:rPr>
          <w:b/>
        </w:rPr>
        <w:br/>
        <w:t xml:space="preserve">2024.gada 24.aprīļa </w:t>
      </w:r>
    </w:p>
    <w:p w14:paraId="74A0B174" w14:textId="77777777" w:rsidR="00A964D9" w:rsidRDefault="00A964D9" w:rsidP="00766FE6">
      <w:pPr>
        <w:spacing w:line="276" w:lineRule="auto"/>
        <w:jc w:val="center"/>
        <w:rPr>
          <w:b/>
        </w:rPr>
      </w:pPr>
      <w:r w:rsidRPr="00163785">
        <w:rPr>
          <w:b/>
        </w:rPr>
        <w:t>RĪCĪBAS SĒDES LĒMUMS</w:t>
      </w:r>
    </w:p>
    <w:p w14:paraId="54294111" w14:textId="12E85186" w:rsidR="00766FE6" w:rsidRPr="00766FE6" w:rsidRDefault="00766FE6" w:rsidP="00766FE6">
      <w:pPr>
        <w:spacing w:line="276" w:lineRule="auto"/>
        <w:jc w:val="center"/>
        <w:rPr>
          <w:b/>
          <w:bCs/>
        </w:rPr>
      </w:pPr>
      <w:r w:rsidRPr="00766FE6">
        <w:rPr>
          <w:b/>
          <w:bCs/>
        </w:rPr>
        <w:t>Lieta Nr. A420252824,</w:t>
      </w:r>
      <w:r w:rsidRPr="00766FE6">
        <w:rPr>
          <w:b/>
          <w:bCs/>
          <w:lang w:eastAsia="lv-LV"/>
        </w:rPr>
        <w:t xml:space="preserve"> SKA-550/2026</w:t>
      </w:r>
    </w:p>
    <w:p w14:paraId="4AE64CC6" w14:textId="5DF7A1DA" w:rsidR="00766FE6" w:rsidRPr="00766FE6" w:rsidRDefault="00766FE6" w:rsidP="00766FE6">
      <w:pPr>
        <w:spacing w:line="276" w:lineRule="auto"/>
        <w:jc w:val="center"/>
        <w:rPr>
          <w:b/>
        </w:rPr>
      </w:pPr>
      <w:hyperlink r:id="rId7" w:history="1">
        <w:r w:rsidRPr="00766FE6">
          <w:rPr>
            <w:rStyle w:val="Hyperlink"/>
            <w:rFonts w:eastAsiaTheme="minorHAnsi"/>
            <w:lang w:eastAsia="en-US"/>
            <w14:ligatures w14:val="standardContextual"/>
          </w:rPr>
          <w:t xml:space="preserve"> ECLI:LV:AT:2026:0424.A420252824.4.L</w:t>
        </w:r>
      </w:hyperlink>
    </w:p>
    <w:p w14:paraId="37770388" w14:textId="77777777" w:rsidR="00A964D9" w:rsidRPr="00163785" w:rsidRDefault="00A964D9" w:rsidP="00766FE6">
      <w:pPr>
        <w:spacing w:line="276" w:lineRule="auto"/>
        <w:ind w:firstLine="720"/>
        <w:jc w:val="center"/>
      </w:pPr>
    </w:p>
    <w:p w14:paraId="46BC6011" w14:textId="1C892CEC" w:rsidR="00CF67DE" w:rsidRPr="001465DA" w:rsidRDefault="00A964D9" w:rsidP="00766FE6">
      <w:pPr>
        <w:spacing w:line="276" w:lineRule="auto"/>
        <w:ind w:firstLine="720"/>
        <w:jc w:val="both"/>
      </w:pPr>
      <w:r w:rsidRPr="00D61285">
        <w:t>[1]</w:t>
      </w:r>
      <w:r w:rsidR="00CC2479">
        <w:t xml:space="preserve"> </w:t>
      </w:r>
      <w:r>
        <w:t>Senātā saņemta</w:t>
      </w:r>
      <w:r w:rsidR="002A4D7E">
        <w:t xml:space="preserve"> </w:t>
      </w:r>
      <w:r w:rsidR="00CF67DE">
        <w:t>v</w:t>
      </w:r>
      <w:r w:rsidR="002A4D7E">
        <w:t xml:space="preserve">alsts sabiedrības ar ierobežotu atbildību </w:t>
      </w:r>
      <w:r w:rsidR="00A20884">
        <w:t>„</w:t>
      </w:r>
      <w:r w:rsidR="002A4D7E">
        <w:t>Mihaila Čehova Rīgas Krievu teātr</w:t>
      </w:r>
      <w:r w:rsidR="00CF67DE">
        <w:t>is</w:t>
      </w:r>
      <w:r w:rsidR="002A4D7E">
        <w:t>”</w:t>
      </w:r>
      <w:r w:rsidR="00CF67DE">
        <w:t xml:space="preserve"> </w:t>
      </w:r>
      <w:r w:rsidR="001465DA">
        <w:t xml:space="preserve">(turpmāk – pasūtītāja) </w:t>
      </w:r>
      <w:r w:rsidR="005C4644">
        <w:rPr>
          <w:rFonts w:asciiTheme="majorBidi" w:hAnsiTheme="majorBidi" w:cstheme="majorBidi"/>
        </w:rPr>
        <w:t xml:space="preserve">kasācijas sūdzība par Administratīvās </w:t>
      </w:r>
      <w:r w:rsidR="002A4D7E">
        <w:rPr>
          <w:rFonts w:asciiTheme="majorBidi" w:hAnsiTheme="majorBidi" w:cstheme="majorBidi"/>
        </w:rPr>
        <w:t>rajona tiesas</w:t>
      </w:r>
      <w:r w:rsidR="005C4644">
        <w:rPr>
          <w:rFonts w:asciiTheme="majorBidi" w:hAnsiTheme="majorBidi" w:cstheme="majorBidi"/>
        </w:rPr>
        <w:t xml:space="preserve"> 202</w:t>
      </w:r>
      <w:r w:rsidR="009367F9">
        <w:rPr>
          <w:rFonts w:asciiTheme="majorBidi" w:hAnsiTheme="majorBidi" w:cstheme="majorBidi"/>
        </w:rPr>
        <w:t>6.</w:t>
      </w:r>
      <w:r w:rsidR="005C4644">
        <w:rPr>
          <w:rFonts w:asciiTheme="majorBidi" w:hAnsiTheme="majorBidi" w:cstheme="majorBidi"/>
        </w:rPr>
        <w:t xml:space="preserve">gada </w:t>
      </w:r>
      <w:r w:rsidR="001465DA">
        <w:rPr>
          <w:rFonts w:asciiTheme="majorBidi" w:hAnsiTheme="majorBidi" w:cstheme="majorBidi"/>
        </w:rPr>
        <w:t>5</w:t>
      </w:r>
      <w:r w:rsidR="005C4644">
        <w:rPr>
          <w:rFonts w:asciiTheme="majorBidi" w:hAnsiTheme="majorBidi" w:cstheme="majorBidi"/>
        </w:rPr>
        <w:t>.</w:t>
      </w:r>
      <w:r w:rsidR="009367F9">
        <w:rPr>
          <w:rFonts w:asciiTheme="majorBidi" w:hAnsiTheme="majorBidi" w:cstheme="majorBidi"/>
        </w:rPr>
        <w:t>februāra</w:t>
      </w:r>
      <w:r w:rsidR="005C4644">
        <w:rPr>
          <w:rFonts w:asciiTheme="majorBidi" w:hAnsiTheme="majorBidi" w:cstheme="majorBidi"/>
        </w:rPr>
        <w:t xml:space="preserve"> spriedumu, ar kuru apmierināts pieteicējas –</w:t>
      </w:r>
      <w:r w:rsidR="00B4357A">
        <w:rPr>
          <w:rFonts w:asciiTheme="majorBidi" w:hAnsiTheme="majorBidi" w:cstheme="majorBidi"/>
        </w:rPr>
        <w:t xml:space="preserve"> </w:t>
      </w:r>
      <w:r w:rsidR="00CF67DE">
        <w:rPr>
          <w:rFonts w:asciiTheme="majorBidi" w:hAnsiTheme="majorBidi" w:cstheme="majorBidi"/>
        </w:rPr>
        <w:t>sabiedrības ar ierobežotu atbildību</w:t>
      </w:r>
      <w:r w:rsidR="002A4D7E">
        <w:rPr>
          <w:rFonts w:asciiTheme="majorBidi" w:hAnsiTheme="majorBidi" w:cstheme="majorBidi"/>
        </w:rPr>
        <w:t> </w:t>
      </w:r>
      <w:r w:rsidR="00A20884">
        <w:rPr>
          <w:rFonts w:asciiTheme="majorBidi" w:hAnsiTheme="majorBidi" w:cstheme="majorBidi"/>
        </w:rPr>
        <w:t>„</w:t>
      </w:r>
      <w:r w:rsidR="002A4D7E">
        <w:rPr>
          <w:rFonts w:asciiTheme="majorBidi" w:hAnsiTheme="majorBidi" w:cstheme="majorBidi"/>
        </w:rPr>
        <w:t>Biļešu paradīze”</w:t>
      </w:r>
      <w:r w:rsidR="009367F9" w:rsidRPr="009367F9">
        <w:rPr>
          <w:rFonts w:asciiTheme="majorBidi" w:hAnsiTheme="majorBidi" w:cstheme="majorBidi"/>
        </w:rPr>
        <w:t xml:space="preserve"> </w:t>
      </w:r>
      <w:r w:rsidR="005C4644">
        <w:rPr>
          <w:rFonts w:asciiTheme="majorBidi" w:hAnsiTheme="majorBidi" w:cstheme="majorBidi"/>
        </w:rPr>
        <w:t>– pieteikums</w:t>
      </w:r>
      <w:r w:rsidR="00CF67DE">
        <w:rPr>
          <w:rFonts w:asciiTheme="majorBidi" w:hAnsiTheme="majorBidi" w:cstheme="majorBidi"/>
        </w:rPr>
        <w:t xml:space="preserve">: </w:t>
      </w:r>
      <w:r w:rsidR="00A20884">
        <w:rPr>
          <w:rFonts w:asciiTheme="majorBidi" w:hAnsiTheme="majorBidi" w:cstheme="majorBidi"/>
        </w:rPr>
        <w:t xml:space="preserve">tiesa atzina </w:t>
      </w:r>
      <w:r w:rsidR="00CF67DE" w:rsidRPr="00CF67DE">
        <w:rPr>
          <w:rFonts w:asciiTheme="majorBidi" w:hAnsiTheme="majorBidi" w:cstheme="majorBidi"/>
        </w:rPr>
        <w:t xml:space="preserve">par prettiesisku </w:t>
      </w:r>
      <w:r w:rsidR="001465DA">
        <w:t>pasūtītājas</w:t>
      </w:r>
      <w:r w:rsidR="00E077B5">
        <w:rPr>
          <w:rFonts w:asciiTheme="majorBidi" w:hAnsiTheme="majorBidi" w:cstheme="majorBidi"/>
        </w:rPr>
        <w:t xml:space="preserve"> </w:t>
      </w:r>
      <w:r w:rsidR="00CF67DE" w:rsidRPr="00CF67DE">
        <w:rPr>
          <w:rFonts w:asciiTheme="majorBidi" w:hAnsiTheme="majorBidi" w:cstheme="majorBidi"/>
        </w:rPr>
        <w:t>2024.gada 4.oktobra lēmum</w:t>
      </w:r>
      <w:r w:rsidR="00395468">
        <w:rPr>
          <w:rFonts w:asciiTheme="majorBidi" w:hAnsiTheme="majorBidi" w:cstheme="majorBidi"/>
        </w:rPr>
        <w:t>u</w:t>
      </w:r>
      <w:r w:rsidR="00CF67DE" w:rsidRPr="00CF67DE">
        <w:rPr>
          <w:rFonts w:asciiTheme="majorBidi" w:hAnsiTheme="majorBidi" w:cstheme="majorBidi"/>
        </w:rPr>
        <w:t xml:space="preserve"> Nr.</w:t>
      </w:r>
      <w:r w:rsidR="00CF67DE">
        <w:rPr>
          <w:rFonts w:asciiTheme="majorBidi" w:hAnsiTheme="majorBidi" w:cstheme="majorBidi"/>
        </w:rPr>
        <w:t> </w:t>
      </w:r>
      <w:r w:rsidR="00CF67DE" w:rsidRPr="00CF67DE">
        <w:rPr>
          <w:rFonts w:asciiTheme="majorBidi" w:hAnsiTheme="majorBidi" w:cstheme="majorBidi"/>
        </w:rPr>
        <w:t>134, ar kuru pārtraukts atklāt</w:t>
      </w:r>
      <w:r w:rsidR="00326127">
        <w:rPr>
          <w:rFonts w:asciiTheme="majorBidi" w:hAnsiTheme="majorBidi" w:cstheme="majorBidi"/>
        </w:rPr>
        <w:t>ais</w:t>
      </w:r>
      <w:r w:rsidR="00CC2479">
        <w:rPr>
          <w:rFonts w:asciiTheme="majorBidi" w:hAnsiTheme="majorBidi" w:cstheme="majorBidi"/>
        </w:rPr>
        <w:t xml:space="preserve"> konkurss</w:t>
      </w:r>
      <w:r w:rsidR="00CF67DE" w:rsidRPr="00CF67DE">
        <w:rPr>
          <w:rFonts w:asciiTheme="majorBidi" w:hAnsiTheme="majorBidi" w:cstheme="majorBidi"/>
        </w:rPr>
        <w:t xml:space="preserve"> (identifikācijas Nr.</w:t>
      </w:r>
      <w:r w:rsidR="00CF67DE">
        <w:rPr>
          <w:rFonts w:asciiTheme="majorBidi" w:hAnsiTheme="majorBidi" w:cstheme="majorBidi"/>
        </w:rPr>
        <w:t> </w:t>
      </w:r>
      <w:r w:rsidR="00CF67DE" w:rsidRPr="00CF67DE">
        <w:rPr>
          <w:rFonts w:asciiTheme="majorBidi" w:hAnsiTheme="majorBidi" w:cstheme="majorBidi"/>
        </w:rPr>
        <w:t>RKT 2024/3)</w:t>
      </w:r>
      <w:r w:rsidR="00A20884">
        <w:rPr>
          <w:rFonts w:asciiTheme="majorBidi" w:hAnsiTheme="majorBidi" w:cstheme="majorBidi"/>
        </w:rPr>
        <w:t xml:space="preserve">, </w:t>
      </w:r>
      <w:r w:rsidR="00CF67DE">
        <w:rPr>
          <w:rFonts w:asciiTheme="majorBidi" w:hAnsiTheme="majorBidi" w:cstheme="majorBidi"/>
        </w:rPr>
        <w:t xml:space="preserve">un </w:t>
      </w:r>
      <w:r w:rsidR="00CF67DE" w:rsidRPr="00CF67DE">
        <w:rPr>
          <w:rFonts w:asciiTheme="majorBidi" w:hAnsiTheme="majorBidi" w:cstheme="majorBidi"/>
        </w:rPr>
        <w:t>uzlik</w:t>
      </w:r>
      <w:r w:rsidR="00A20884">
        <w:rPr>
          <w:rFonts w:asciiTheme="majorBidi" w:hAnsiTheme="majorBidi" w:cstheme="majorBidi"/>
        </w:rPr>
        <w:t>a</w:t>
      </w:r>
      <w:r w:rsidR="00CF67DE" w:rsidRPr="00CF67DE">
        <w:rPr>
          <w:rFonts w:asciiTheme="majorBidi" w:hAnsiTheme="majorBidi" w:cstheme="majorBidi"/>
        </w:rPr>
        <w:t xml:space="preserve"> pienākum</w:t>
      </w:r>
      <w:r w:rsidR="00A20884">
        <w:rPr>
          <w:rFonts w:asciiTheme="majorBidi" w:hAnsiTheme="majorBidi" w:cstheme="majorBidi"/>
        </w:rPr>
        <w:t>u</w:t>
      </w:r>
      <w:r w:rsidR="003F7118">
        <w:rPr>
          <w:rFonts w:asciiTheme="majorBidi" w:hAnsiTheme="majorBidi" w:cstheme="majorBidi"/>
        </w:rPr>
        <w:t xml:space="preserve"> </w:t>
      </w:r>
      <w:r w:rsidR="001465DA">
        <w:rPr>
          <w:rFonts w:asciiTheme="majorBidi" w:hAnsiTheme="majorBidi" w:cstheme="majorBidi"/>
        </w:rPr>
        <w:t>pasūtītājai</w:t>
      </w:r>
      <w:r w:rsidR="00CF67DE" w:rsidRPr="00CF67DE">
        <w:rPr>
          <w:rFonts w:asciiTheme="majorBidi" w:hAnsiTheme="majorBidi" w:cstheme="majorBidi"/>
        </w:rPr>
        <w:t xml:space="preserve"> atlīdzināt </w:t>
      </w:r>
      <w:r w:rsidR="00CF67DE">
        <w:rPr>
          <w:rFonts w:asciiTheme="majorBidi" w:hAnsiTheme="majorBidi" w:cstheme="majorBidi"/>
        </w:rPr>
        <w:t>pieteicējai</w:t>
      </w:r>
      <w:r w:rsidR="00CF67DE" w:rsidRPr="00CF67DE">
        <w:rPr>
          <w:rFonts w:asciiTheme="majorBidi" w:hAnsiTheme="majorBidi" w:cstheme="majorBidi"/>
        </w:rPr>
        <w:t xml:space="preserve"> negūto peļņu 17</w:t>
      </w:r>
      <w:r w:rsidR="00CF67DE">
        <w:rPr>
          <w:rFonts w:asciiTheme="majorBidi" w:hAnsiTheme="majorBidi" w:cstheme="majorBidi"/>
        </w:rPr>
        <w:t> </w:t>
      </w:r>
      <w:r w:rsidR="00CF67DE" w:rsidRPr="00CF67DE">
        <w:rPr>
          <w:rFonts w:asciiTheme="majorBidi" w:hAnsiTheme="majorBidi" w:cstheme="majorBidi"/>
        </w:rPr>
        <w:t>610,53</w:t>
      </w:r>
      <w:r w:rsidR="00CF67DE">
        <w:rPr>
          <w:rFonts w:asciiTheme="majorBidi" w:hAnsiTheme="majorBidi" w:cstheme="majorBidi"/>
        </w:rPr>
        <w:t> </w:t>
      </w:r>
      <w:r w:rsidR="00CF67DE" w:rsidRPr="00CF67DE">
        <w:rPr>
          <w:rFonts w:asciiTheme="majorBidi" w:hAnsiTheme="majorBidi" w:cstheme="majorBidi"/>
          <w:i/>
          <w:iCs/>
        </w:rPr>
        <w:t>euro</w:t>
      </w:r>
      <w:r w:rsidR="00CF67DE">
        <w:rPr>
          <w:rFonts w:asciiTheme="majorBidi" w:hAnsiTheme="majorBidi" w:cstheme="majorBidi"/>
        </w:rPr>
        <w:t>.</w:t>
      </w:r>
    </w:p>
    <w:p w14:paraId="2A0406C5" w14:textId="35B4373F" w:rsidR="00CC2479" w:rsidRDefault="00F11B8C" w:rsidP="00766FE6">
      <w:pPr>
        <w:spacing w:line="276" w:lineRule="auto"/>
        <w:ind w:firstLine="720"/>
        <w:jc w:val="both"/>
      </w:pPr>
      <w:r>
        <w:t>Rajona t</w:t>
      </w:r>
      <w:r w:rsidR="00CC2479">
        <w:t xml:space="preserve">iesa </w:t>
      </w:r>
      <w:r w:rsidR="00CF402E">
        <w:t>atzina</w:t>
      </w:r>
      <w:r w:rsidR="00CC2479">
        <w:t xml:space="preserve">, ka </w:t>
      </w:r>
      <w:r w:rsidR="00E077B5">
        <w:t xml:space="preserve">pasūtītāja </w:t>
      </w:r>
      <w:r w:rsidR="00E077B5" w:rsidRPr="00E077B5">
        <w:t>nebija spiesta objektīvi pārtraukt konkursu, savukārt tā pārtraukšana radīja netraucētas konkurences apdraudējumu</w:t>
      </w:r>
      <w:r w:rsidR="00E077B5">
        <w:t xml:space="preserve"> un </w:t>
      </w:r>
      <w:r w:rsidR="00E077B5" w:rsidRPr="00E077B5">
        <w:t>pārkāpa publisk</w:t>
      </w:r>
      <w:r w:rsidR="00AA7A4E">
        <w:t>o</w:t>
      </w:r>
      <w:r w:rsidR="00E077B5" w:rsidRPr="00E077B5">
        <w:t xml:space="preserve"> iepirkum</w:t>
      </w:r>
      <w:r w:rsidR="00AA7A4E">
        <w:t>u</w:t>
      </w:r>
      <w:r w:rsidR="00E077B5" w:rsidRPr="00E077B5">
        <w:t xml:space="preserve"> principu prasības. </w:t>
      </w:r>
      <w:r w:rsidR="00F07DCD">
        <w:t>T</w:t>
      </w:r>
      <w:r w:rsidR="00E077B5" w:rsidRPr="00E077B5">
        <w:t xml:space="preserve">iesa </w:t>
      </w:r>
      <w:r w:rsidR="00CF402E">
        <w:t>secināja</w:t>
      </w:r>
      <w:r w:rsidR="00E077B5" w:rsidRPr="00E077B5">
        <w:t xml:space="preserve">, ka </w:t>
      </w:r>
      <w:r w:rsidR="00F07DCD" w:rsidRPr="00F07DCD">
        <w:t>Iepirkumu uzraudzības birojs ar 2024.gada 4.novembra lēmumu Nr.</w:t>
      </w:r>
      <w:r w:rsidR="00F07DCD">
        <w:t> </w:t>
      </w:r>
      <w:r w:rsidR="00F07DCD" w:rsidRPr="00F07DCD">
        <w:t>4</w:t>
      </w:r>
      <w:r w:rsidR="00F07DCD" w:rsidRPr="00F07DCD">
        <w:noBreakHyphen/>
        <w:t>1.5/1923 nepamatoti atstāja bez izskatīšanas pieteicējas iesniegumu kā acīmredzami nepamatotu</w:t>
      </w:r>
      <w:r w:rsidR="00F07DCD">
        <w:t>. Ievērojot apstākli, ka pasūtītā</w:t>
      </w:r>
      <w:r w:rsidR="007552FD">
        <w:t>ja</w:t>
      </w:r>
      <w:r w:rsidR="00F07DCD">
        <w:t xml:space="preserve"> konkursu bija pārtraukusi prettiesiski, t</w:t>
      </w:r>
      <w:r w:rsidR="00E077B5">
        <w:t>iesa noteica pasūtītājai pienākumu atlīdzināt pieteicējai neiegūto peļņu.</w:t>
      </w:r>
    </w:p>
    <w:p w14:paraId="408F66F2" w14:textId="054F545E" w:rsidR="003177DA" w:rsidRPr="00402239" w:rsidRDefault="00E077B5" w:rsidP="00766FE6">
      <w:pPr>
        <w:spacing w:line="276" w:lineRule="auto"/>
        <w:ind w:firstLine="720"/>
        <w:jc w:val="both"/>
        <w:rPr>
          <w:lang w:eastAsia="lv-LV"/>
        </w:rPr>
      </w:pPr>
      <w:r>
        <w:rPr>
          <w:lang w:eastAsia="lv-LV"/>
        </w:rPr>
        <w:t>Pasūtītāja</w:t>
      </w:r>
      <w:r w:rsidR="003177DA" w:rsidRPr="00402239">
        <w:rPr>
          <w:lang w:eastAsia="lv-LV"/>
        </w:rPr>
        <w:t xml:space="preserve"> kasācijas sūdzībā tam </w:t>
      </w:r>
      <w:r w:rsidR="004D544C">
        <w:rPr>
          <w:lang w:eastAsia="lv-LV"/>
        </w:rPr>
        <w:t>iebilst</w:t>
      </w:r>
      <w:r w:rsidR="003177DA" w:rsidRPr="00402239">
        <w:rPr>
          <w:lang w:eastAsia="lv-LV"/>
        </w:rPr>
        <w:t>.</w:t>
      </w:r>
      <w:r w:rsidR="00F07DCD">
        <w:rPr>
          <w:lang w:eastAsia="lv-LV"/>
        </w:rPr>
        <w:t xml:space="preserve"> </w:t>
      </w:r>
    </w:p>
    <w:p w14:paraId="7A34F1FD" w14:textId="77777777" w:rsidR="003177DA" w:rsidRDefault="003177DA" w:rsidP="00766FE6">
      <w:pPr>
        <w:spacing w:line="276" w:lineRule="auto"/>
        <w:ind w:firstLine="720"/>
        <w:jc w:val="both"/>
      </w:pPr>
    </w:p>
    <w:p w14:paraId="57D037DB" w14:textId="21C9792E" w:rsidR="009171FF" w:rsidRDefault="00A76478" w:rsidP="00766FE6">
      <w:pPr>
        <w:spacing w:line="276" w:lineRule="auto"/>
        <w:ind w:firstLine="720"/>
        <w:jc w:val="both"/>
      </w:pPr>
      <w:r>
        <w:t>[2]</w:t>
      </w:r>
      <w:r w:rsidR="0032714E">
        <w:t xml:space="preserve"> Pasūtītāja kasācijas sūdzībā uzsver, ka tiesa nepareizi piemērojusi </w:t>
      </w:r>
      <w:r w:rsidR="0032714E" w:rsidRPr="003C565C">
        <w:t xml:space="preserve">Ministru kabineta 2017.gada 28.februāra noteikumu Nr. 107 „Iepirkuma procedūru un metu konkursu norises kārtība” </w:t>
      </w:r>
      <w:r w:rsidR="0032714E">
        <w:t xml:space="preserve">(turpmāk – noteikumi Nr. 107) </w:t>
      </w:r>
      <w:r w:rsidR="0032714E" w:rsidRPr="003C565C">
        <w:t>230.punkt</w:t>
      </w:r>
      <w:r w:rsidR="0032714E">
        <w:t>u</w:t>
      </w:r>
      <w:r w:rsidR="003F7118">
        <w:t>, tostarp</w:t>
      </w:r>
      <w:r w:rsidR="0032714E">
        <w:t xml:space="preserve"> pārkāpjot tiesas kontroles robežas.</w:t>
      </w:r>
    </w:p>
    <w:p w14:paraId="11AFEE1B" w14:textId="6BA9738E" w:rsidR="00AA7A4E" w:rsidRDefault="00AA7A4E" w:rsidP="00766FE6">
      <w:pPr>
        <w:spacing w:line="276" w:lineRule="auto"/>
        <w:ind w:firstLine="720"/>
        <w:jc w:val="both"/>
      </w:pPr>
      <w:r>
        <w:t>Senatoru kolēģija minēto pasūtītājas argumentu atzīst par nepamatot</w:t>
      </w:r>
      <w:r w:rsidR="00A20884">
        <w:t>u</w:t>
      </w:r>
      <w:r>
        <w:t xml:space="preserve"> turpmāk minēto apsvērumu dēļ.</w:t>
      </w:r>
    </w:p>
    <w:p w14:paraId="67966362" w14:textId="7833C67F" w:rsidR="000C490A" w:rsidRPr="003C565C" w:rsidRDefault="000C490A" w:rsidP="00766FE6">
      <w:pPr>
        <w:shd w:val="clear" w:color="auto" w:fill="FFFFFF"/>
        <w:spacing w:line="276" w:lineRule="auto"/>
        <w:ind w:firstLine="720"/>
        <w:jc w:val="both"/>
      </w:pPr>
      <w:r w:rsidRPr="003C565C">
        <w:t xml:space="preserve">Vispārīgi pasūtītājam ir plaša rīcības brīvība iepirkuma procedūras pārtraukšanā. Tiesas kompetencē ir pārbaudīt, vai </w:t>
      </w:r>
      <w:r w:rsidR="00EB20AF">
        <w:t>pasūtītāja</w:t>
      </w:r>
      <w:r w:rsidRPr="003C565C">
        <w:t xml:space="preserve"> pieņemtais lēmums, izmantojot rīcības brīvību, nav patvaļīgs un nav pārkāptas rīcības brīvības izmantošanas robežas</w:t>
      </w:r>
      <w:r>
        <w:t xml:space="preserve"> (</w:t>
      </w:r>
      <w:r w:rsidR="00EB20AF">
        <w:t xml:space="preserve">sk. </w:t>
      </w:r>
      <w:r w:rsidRPr="00680CA4">
        <w:rPr>
          <w:i/>
          <w:iCs/>
        </w:rPr>
        <w:t>Senāta 2023.gada 24.novembra sprieduma lietā Nr.</w:t>
      </w:r>
      <w:r>
        <w:rPr>
          <w:i/>
          <w:iCs/>
        </w:rPr>
        <w:t> </w:t>
      </w:r>
      <w:r w:rsidRPr="00680CA4">
        <w:rPr>
          <w:i/>
          <w:iCs/>
        </w:rPr>
        <w:t>SKA</w:t>
      </w:r>
      <w:r w:rsidRPr="00680CA4">
        <w:rPr>
          <w:i/>
          <w:iCs/>
        </w:rPr>
        <w:noBreakHyphen/>
        <w:t xml:space="preserve">199/2023, </w:t>
      </w:r>
      <w:hyperlink r:id="rId8" w:history="1">
        <w:r w:rsidRPr="00680CA4">
          <w:rPr>
            <w:rStyle w:val="Hyperlink"/>
            <w:i/>
            <w:iCs/>
          </w:rPr>
          <w:t>ECLI:LV:AT:2023:1124.A420229720.6.S</w:t>
        </w:r>
      </w:hyperlink>
      <w:r w:rsidRPr="00680CA4">
        <w:rPr>
          <w:i/>
          <w:iCs/>
        </w:rPr>
        <w:t>, 8.</w:t>
      </w:r>
      <w:r>
        <w:rPr>
          <w:i/>
          <w:iCs/>
        </w:rPr>
        <w:t>punkt</w:t>
      </w:r>
      <w:r w:rsidR="00EB20AF">
        <w:rPr>
          <w:i/>
          <w:iCs/>
        </w:rPr>
        <w:t>u</w:t>
      </w:r>
      <w:r w:rsidRPr="00680CA4">
        <w:t>).</w:t>
      </w:r>
    </w:p>
    <w:p w14:paraId="0F6F89CF" w14:textId="62ABB128" w:rsidR="000C490A" w:rsidRPr="003C565C" w:rsidRDefault="000C490A" w:rsidP="00766FE6">
      <w:pPr>
        <w:shd w:val="clear" w:color="auto" w:fill="FFFFFF"/>
        <w:spacing w:line="276" w:lineRule="auto"/>
        <w:ind w:firstLine="720"/>
        <w:jc w:val="both"/>
      </w:pPr>
      <w:r w:rsidRPr="003C565C">
        <w:t>Atbilstoši noteikumu Nr. 107</w:t>
      </w:r>
      <w:r w:rsidR="001465DA">
        <w:t xml:space="preserve"> 230</w:t>
      </w:r>
      <w:r w:rsidRPr="003C565C">
        <w:t>.punktam pasūtītājs var jebkurā brīdī pārtraukt izsludinātu iepirkuma procedūru, ja tam ir objektīvs pamatojums. Objektīvs pamatojums ir tāds, kas apliecina, ka ir lietderīgi pārtraukt līguma slēgšanas tiesību piešķiršanas procedūru, ņemot vērā gan ekonomiskā konteksta vai faktisko apstākļu iespējamās izmaiņas, gan arī attiecīgās līgumslēdzējas iestādes vajadzības (</w:t>
      </w:r>
      <w:r w:rsidRPr="003C565C">
        <w:rPr>
          <w:i/>
          <w:iCs/>
        </w:rPr>
        <w:t xml:space="preserve">Senāta 2022.gada </w:t>
      </w:r>
      <w:r w:rsidRPr="003C565C">
        <w:rPr>
          <w:i/>
          <w:iCs/>
        </w:rPr>
        <w:lastRenderedPageBreak/>
        <w:t>10.maija sprieduma lietā Nr. SKA-471/2022,</w:t>
      </w:r>
      <w:r w:rsidRPr="003C565C">
        <w:t xml:space="preserve"> </w:t>
      </w:r>
      <w:hyperlink r:id="rId9" w:history="1">
        <w:r w:rsidRPr="003C565C">
          <w:rPr>
            <w:rStyle w:val="Hyperlink"/>
            <w:i/>
            <w:iCs/>
          </w:rPr>
          <w:t>ECLI:LV:AT:2022:0510.A420340016.15.S</w:t>
        </w:r>
      </w:hyperlink>
      <w:r w:rsidRPr="003C565C">
        <w:rPr>
          <w:i/>
          <w:iCs/>
        </w:rPr>
        <w:t>, 25.punkts un tajā norādītā judikatūra</w:t>
      </w:r>
      <w:r w:rsidRPr="003C565C">
        <w:t xml:space="preserve">). </w:t>
      </w:r>
    </w:p>
    <w:p w14:paraId="05D11739" w14:textId="160BD052" w:rsidR="00291B27" w:rsidRDefault="00291B27" w:rsidP="00766FE6">
      <w:pPr>
        <w:spacing w:line="276" w:lineRule="auto"/>
        <w:ind w:firstLine="720"/>
        <w:jc w:val="both"/>
      </w:pPr>
      <w:r w:rsidRPr="003C565C">
        <w:t xml:space="preserve">Tiesas uzdevums ir pārbaudīt, vai pasūtītāja lēmums pārtraukt iepirkuma procedūru nav patvaļīgs un nepārkāpj Publisko iepirkumu likuma 2.pantā nostiprinātos publiskā iepirkuma tiesību principus – iepirkumu atklātumu, piegādātāju brīvu konkurenci, kā arī vienlīdzīgu un taisnīgu attieksmi </w:t>
      </w:r>
      <w:r w:rsidRPr="003C565C">
        <w:rPr>
          <w:color w:val="000000" w:themeColor="text1"/>
        </w:rPr>
        <w:t xml:space="preserve">pret </w:t>
      </w:r>
      <w:r w:rsidRPr="003339B8">
        <w:rPr>
          <w:color w:val="000000" w:themeColor="text1"/>
        </w:rPr>
        <w:t xml:space="preserve">piegādātājiem </w:t>
      </w:r>
      <w:r w:rsidRPr="003C565C">
        <w:t>(</w:t>
      </w:r>
      <w:r w:rsidR="00CF402E">
        <w:t xml:space="preserve">piemēram, </w:t>
      </w:r>
      <w:r w:rsidRPr="003C565C">
        <w:rPr>
          <w:i/>
          <w:iCs/>
        </w:rPr>
        <w:t xml:space="preserve">Senāta 2021.gada 30.novembra sprieduma lietā Nr. SKA-359/2021, </w:t>
      </w:r>
      <w:hyperlink r:id="rId10" w:history="1">
        <w:r w:rsidRPr="003C565C">
          <w:rPr>
            <w:rStyle w:val="Hyperlink"/>
            <w:i/>
            <w:iCs/>
          </w:rPr>
          <w:t>ECLI:LV:AT:2021:1130.A420285118.12.S</w:t>
        </w:r>
      </w:hyperlink>
      <w:r w:rsidRPr="003C565C">
        <w:rPr>
          <w:i/>
          <w:iCs/>
        </w:rPr>
        <w:t xml:space="preserve">, 15.punkts, 2015.gada 26.marta sprieduma lietā Nr. SKA-555/2015, </w:t>
      </w:r>
      <w:hyperlink r:id="rId11" w:history="1">
        <w:r w:rsidRPr="003C565C">
          <w:rPr>
            <w:rStyle w:val="Hyperlink"/>
            <w:i/>
            <w:iCs/>
          </w:rPr>
          <w:t>A420215114</w:t>
        </w:r>
      </w:hyperlink>
      <w:r w:rsidRPr="003C565C">
        <w:rPr>
          <w:i/>
          <w:iCs/>
        </w:rPr>
        <w:t>, 10.punkts</w:t>
      </w:r>
      <w:r w:rsidRPr="003C565C">
        <w:t>). Savukārt to, kas tieši (kādi apstākļi) tiesai ir jāpārbauda, vērtējot lēmuma par iepirkuma procedūras pārtraukšanu tiesiskumu, nosaka pasūtītāja sniegtais iepirkuma pārtraukšanas pamatojums kopsakarā ar pieteicēja iebildumiem pret šo lēmumu</w:t>
      </w:r>
      <w:r>
        <w:t xml:space="preserve"> </w:t>
      </w:r>
      <w:r w:rsidRPr="00680CA4">
        <w:t>(</w:t>
      </w:r>
      <w:r w:rsidRPr="00680CA4">
        <w:rPr>
          <w:i/>
          <w:iCs/>
        </w:rPr>
        <w:t>Senāta 2023.gada 24.novembra sprieduma lietā Nr.</w:t>
      </w:r>
      <w:r>
        <w:rPr>
          <w:i/>
          <w:iCs/>
        </w:rPr>
        <w:t> </w:t>
      </w:r>
      <w:r w:rsidRPr="00680CA4">
        <w:rPr>
          <w:i/>
          <w:iCs/>
        </w:rPr>
        <w:t>SKA</w:t>
      </w:r>
      <w:r w:rsidRPr="00680CA4">
        <w:rPr>
          <w:i/>
          <w:iCs/>
        </w:rPr>
        <w:noBreakHyphen/>
        <w:t xml:space="preserve">199/2023, </w:t>
      </w:r>
      <w:hyperlink r:id="rId12" w:history="1">
        <w:r w:rsidRPr="00680CA4">
          <w:rPr>
            <w:rStyle w:val="Hyperlink"/>
            <w:i/>
            <w:iCs/>
          </w:rPr>
          <w:t>ECLI:LV:AT:2023:1124.A420229720.6.S</w:t>
        </w:r>
      </w:hyperlink>
      <w:r w:rsidRPr="00680CA4">
        <w:rPr>
          <w:i/>
          <w:iCs/>
        </w:rPr>
        <w:t>, 8.punkts</w:t>
      </w:r>
      <w:r w:rsidRPr="00680CA4">
        <w:t>).</w:t>
      </w:r>
    </w:p>
    <w:p w14:paraId="707CA7E1" w14:textId="790DA1D7" w:rsidR="000B6EED" w:rsidRPr="000B6EED" w:rsidRDefault="000B6EED" w:rsidP="00766FE6">
      <w:pPr>
        <w:shd w:val="clear" w:color="auto" w:fill="FFFFFF"/>
        <w:spacing w:line="276" w:lineRule="auto"/>
        <w:ind w:firstLine="720"/>
        <w:jc w:val="both"/>
        <w:rPr>
          <w:color w:val="000000" w:themeColor="text1"/>
          <w:sz w:val="23"/>
          <w:szCs w:val="23"/>
        </w:rPr>
      </w:pPr>
      <w:r>
        <w:rPr>
          <w:color w:val="000000" w:themeColor="text1"/>
          <w:sz w:val="23"/>
          <w:szCs w:val="23"/>
        </w:rPr>
        <w:t>T</w:t>
      </w:r>
      <w:r w:rsidRPr="000B6EED">
        <w:t>iesai, vērtējot publiskā iepirkuma pārtraukšanas pamatojuma objektivitāti, jāievēro pārtraukšanas apstākļu konteksts ar procedūras stadiju, it īpaši jau tad, kad piedāvājumi ir atvērti. Tieši tad var rasties nepārvarams kārdinājums pasūtītājam</w:t>
      </w:r>
      <w:r>
        <w:t xml:space="preserve"> </w:t>
      </w:r>
      <w:r w:rsidRPr="000B6EED">
        <w:t>kļūt favorītiskam</w:t>
      </w:r>
      <w:r>
        <w:t xml:space="preserve"> </w:t>
      </w:r>
      <w:r w:rsidRPr="000B6EED">
        <w:t>savos lēmumos un tikai formāli izmantot atsauces uz saimniecisku rīcības brīvību</w:t>
      </w:r>
      <w:r>
        <w:rPr>
          <w:color w:val="000000" w:themeColor="text1"/>
          <w:sz w:val="23"/>
          <w:szCs w:val="23"/>
        </w:rPr>
        <w:t xml:space="preserve"> (</w:t>
      </w:r>
      <w:r w:rsidRPr="000B6EED">
        <w:rPr>
          <w:i/>
          <w:iCs/>
        </w:rPr>
        <w:t>Senāta 2017.gada 28.februāra sprieduma lietā Nr. </w:t>
      </w:r>
      <w:hyperlink r:id="rId13" w:history="1">
        <w:r w:rsidRPr="000B6EED">
          <w:rPr>
            <w:rStyle w:val="Hyperlink"/>
            <w:i/>
            <w:iCs/>
          </w:rPr>
          <w:t>A420193416</w:t>
        </w:r>
      </w:hyperlink>
      <w:r w:rsidRPr="000B6EED">
        <w:rPr>
          <w:i/>
          <w:iCs/>
        </w:rPr>
        <w:t>, SKA-706/2017, 20.punkts</w:t>
      </w:r>
      <w:r>
        <w:t>)</w:t>
      </w:r>
      <w:r w:rsidR="00B04C71">
        <w:t>.</w:t>
      </w:r>
    </w:p>
    <w:p w14:paraId="2B2EDF90" w14:textId="171A0F23" w:rsidR="00483083" w:rsidRDefault="00345DFD" w:rsidP="00766FE6">
      <w:pPr>
        <w:spacing w:line="276" w:lineRule="auto"/>
        <w:ind w:firstLine="720"/>
        <w:jc w:val="both"/>
      </w:pPr>
      <w:r>
        <w:t>Rajona t</w:t>
      </w:r>
      <w:r w:rsidR="004C1A3C">
        <w:t>iesa</w:t>
      </w:r>
      <w:r w:rsidR="00816CE3">
        <w:t>, p</w:t>
      </w:r>
      <w:r w:rsidR="00AA7A4E">
        <w:t>ārbau</w:t>
      </w:r>
      <w:r w:rsidR="00CF402E">
        <w:t>dījusi</w:t>
      </w:r>
      <w:r w:rsidR="003F7118">
        <w:t xml:space="preserve"> pasūtītājas lēmuma par </w:t>
      </w:r>
      <w:r w:rsidR="00326127">
        <w:t>konkursa</w:t>
      </w:r>
      <w:r w:rsidR="003F7118">
        <w:t xml:space="preserve"> pārtraukšanu </w:t>
      </w:r>
      <w:r w:rsidR="00AA7A4E">
        <w:t>pamatojumu</w:t>
      </w:r>
      <w:r w:rsidR="00816CE3">
        <w:t xml:space="preserve">, </w:t>
      </w:r>
      <w:r w:rsidR="00DF3CAD">
        <w:t>secināja</w:t>
      </w:r>
      <w:r w:rsidR="004C1A3C">
        <w:t xml:space="preserve">, ka </w:t>
      </w:r>
      <w:r w:rsidR="00A24A1E" w:rsidRPr="00A24A1E">
        <w:t xml:space="preserve">pasūtītājas </w:t>
      </w:r>
      <w:r w:rsidR="00CF402E">
        <w:t>norādītā</w:t>
      </w:r>
      <w:r w:rsidR="00A24A1E" w:rsidRPr="00A24A1E">
        <w:t xml:space="preserve"> nepieciešamība pārtraukt </w:t>
      </w:r>
      <w:r w:rsidR="00483083">
        <w:t>konkursu</w:t>
      </w:r>
      <w:r w:rsidR="00A24A1E" w:rsidRPr="00A24A1E">
        <w:t xml:space="preserve"> nav saistīta ar to, ka nolikuma kļūdu dēļ pasūtītāja, ja turpinātu sākotnējo konkursu, būtu spiesta iepirkt tādas preces vai pakalpojumus, kas patiesībā neatbilst tās vajadzībām, vai ar to, ka kopumā ir mainījušies kādi pasūtītājas saimnieciskie vai ekonomiskie apstākļi, kas bija sākotnējā konkursa izsludināšanas pamatā.</w:t>
      </w:r>
      <w:r w:rsidR="00C92B06">
        <w:t xml:space="preserve"> </w:t>
      </w:r>
      <w:r w:rsidR="00DF3CAD">
        <w:t>Tiesa atzina, ka k</w:t>
      </w:r>
      <w:r w:rsidR="00DF3CAD" w:rsidRPr="00DF3CAD">
        <w:t>onkrētajā gadījumā pasūtītāja pārtrauca iepirkuma procedūru pēc piedāvājumu atvēršanas, lai labotu pēc jēgas nebūtiskus trūkumus sākotnējā konkursa nolikumā</w:t>
      </w:r>
      <w:r w:rsidR="00DF3CAD">
        <w:t xml:space="preserve">, un tāpēc </w:t>
      </w:r>
      <w:r w:rsidR="00DF3CAD" w:rsidRPr="00DF3CAD">
        <w:t>tika radīti būtiski konkurences apdraudējuma riski</w:t>
      </w:r>
      <w:r w:rsidR="00453913">
        <w:t>.</w:t>
      </w:r>
      <w:r w:rsidR="00DF3CAD" w:rsidRPr="00DF3CAD">
        <w:t xml:space="preserve"> </w:t>
      </w:r>
      <w:r w:rsidR="00C92B06">
        <w:t xml:space="preserve">Citiem vārdiem </w:t>
      </w:r>
      <w:r w:rsidR="00C92B06" w:rsidRPr="002E4A34">
        <w:t xml:space="preserve">tiesa atzina, ka izskatāmajā gadījumā </w:t>
      </w:r>
      <w:r w:rsidR="00C92B06">
        <w:t xml:space="preserve">konkursa </w:t>
      </w:r>
      <w:r w:rsidR="00C92B06" w:rsidRPr="002E4A34">
        <w:t>pārtraukšanai nebija objektīva pamata</w:t>
      </w:r>
      <w:r w:rsidR="003547B9">
        <w:t xml:space="preserve"> un konkursa pārtraukšana neatbilda publisko iepirkumu principiem.</w:t>
      </w:r>
    </w:p>
    <w:p w14:paraId="6DE66D02" w14:textId="2E740D2E" w:rsidR="005317B1" w:rsidRDefault="003547B9" w:rsidP="00766FE6">
      <w:pPr>
        <w:shd w:val="clear" w:color="auto" w:fill="FFFFFF"/>
        <w:spacing w:line="276" w:lineRule="auto"/>
        <w:ind w:firstLine="720"/>
        <w:jc w:val="both"/>
      </w:pPr>
      <w:r w:rsidRPr="003547B9">
        <w:t xml:space="preserve">Pretēji pasūtītājas kasācijas sūdzībā norādītajam, tiesai bija pamats pārbaudīt pasūtītājas konkursa pārtraukšanas </w:t>
      </w:r>
      <w:r w:rsidRPr="00CF402E">
        <w:t>pamatojuma</w:t>
      </w:r>
      <w:r w:rsidRPr="003547B9">
        <w:rPr>
          <w:i/>
          <w:iCs/>
        </w:rPr>
        <w:t xml:space="preserve"> patiesumu</w:t>
      </w:r>
      <w:r w:rsidRPr="003547B9">
        <w:t>, tostarp par nepieciešamīb</w:t>
      </w:r>
      <w:r w:rsidR="00A20884">
        <w:t>u</w:t>
      </w:r>
      <w:r w:rsidRPr="003547B9">
        <w:t xml:space="preserve"> nodrošināt biļešu iegādes iespējas teātra jaunajās telpās, kā arī par </w:t>
      </w:r>
      <w:r w:rsidRPr="003547B9">
        <w:rPr>
          <w:color w:val="000000" w:themeColor="text1"/>
        </w:rPr>
        <w:t>nepieciešamību veikt citus grozījumus konkursa nolikumā.</w:t>
      </w:r>
      <w:r>
        <w:rPr>
          <w:color w:val="000000" w:themeColor="text1"/>
        </w:rPr>
        <w:t xml:space="preserve"> </w:t>
      </w:r>
      <w:r>
        <w:t>Tiesai bija pienākums novērtēt, vai šis ir objektīvs pamatojum</w:t>
      </w:r>
      <w:r w:rsidR="00453913">
        <w:t>s</w:t>
      </w:r>
      <w:r>
        <w:t xml:space="preserve"> pārtraukt konkursu</w:t>
      </w:r>
      <w:r w:rsidR="005317B1">
        <w:t xml:space="preserve">. Tāpēc šādu tiesas novērtējumu nevar atzīt par iejaukšanos pasūtītājas rīcības brīvībā un tiesas kompetences robežu pārkāpšanu. </w:t>
      </w:r>
    </w:p>
    <w:p w14:paraId="3BF0D78B" w14:textId="5236B0CF" w:rsidR="005317B1" w:rsidRDefault="005317B1" w:rsidP="00766FE6">
      <w:pPr>
        <w:shd w:val="clear" w:color="auto" w:fill="FFFFFF"/>
        <w:spacing w:line="276" w:lineRule="auto"/>
        <w:ind w:firstLine="720"/>
        <w:jc w:val="both"/>
      </w:pPr>
      <w:r>
        <w:t xml:space="preserve">Senatoru kolēģija atzīst, ka </w:t>
      </w:r>
      <w:r w:rsidR="00CF402E">
        <w:t xml:space="preserve">konkrētajā gadījumā </w:t>
      </w:r>
      <w:r>
        <w:t>t</w:t>
      </w:r>
      <w:r w:rsidRPr="003C565C">
        <w:t xml:space="preserve">iesas vērtējums par </w:t>
      </w:r>
      <w:r>
        <w:t xml:space="preserve">konkursa </w:t>
      </w:r>
      <w:r w:rsidRPr="003C565C">
        <w:t>pārtraukšanas tiesiskumu atbilst šāda lēmuma tiesiskuma pārbaudei izvirzāmajām prasībām.</w:t>
      </w:r>
    </w:p>
    <w:p w14:paraId="56245321" w14:textId="77777777" w:rsidR="00654747" w:rsidRPr="003C565C" w:rsidRDefault="00654747" w:rsidP="00766FE6">
      <w:pPr>
        <w:shd w:val="clear" w:color="auto" w:fill="FFFFFF"/>
        <w:spacing w:line="276" w:lineRule="auto"/>
        <w:ind w:firstLine="720"/>
        <w:jc w:val="both"/>
      </w:pPr>
    </w:p>
    <w:p w14:paraId="1FEA71B9" w14:textId="137665CA" w:rsidR="005317B1" w:rsidRDefault="008E746E" w:rsidP="00766FE6">
      <w:pPr>
        <w:spacing w:line="276" w:lineRule="auto"/>
        <w:ind w:firstLine="720"/>
        <w:jc w:val="both"/>
      </w:pPr>
      <w:r>
        <w:t xml:space="preserve">[3] Pasūtītāja kasācijas sūdzībā </w:t>
      </w:r>
      <w:r w:rsidR="005317B1">
        <w:t xml:space="preserve">saistībā ar konkursa pārtraukšanu </w:t>
      </w:r>
      <w:r>
        <w:t xml:space="preserve">būtībā </w:t>
      </w:r>
      <w:r w:rsidR="005317B1">
        <w:t xml:space="preserve">norāda </w:t>
      </w:r>
      <w:r>
        <w:t xml:space="preserve">tos pašus </w:t>
      </w:r>
      <w:r w:rsidR="005317B1">
        <w:t>argumentus</w:t>
      </w:r>
      <w:r>
        <w:t xml:space="preserve">, kurus bija izteikusi </w:t>
      </w:r>
      <w:r w:rsidR="00453913">
        <w:t>rajona</w:t>
      </w:r>
      <w:r w:rsidR="005317B1">
        <w:t xml:space="preserve"> tiesā</w:t>
      </w:r>
      <w:r>
        <w:t>. Senatoru kolēģija konstatē, ka tiesas spriedumā ir izvērsti analizēti pasūtītājas argumenti</w:t>
      </w:r>
      <w:r w:rsidR="00CF402E">
        <w:t xml:space="preserve"> un</w:t>
      </w:r>
      <w:r>
        <w:t xml:space="preserve"> izskaidrots, kādēļ tiesa secinājusi, ka konkursa </w:t>
      </w:r>
      <w:r w:rsidRPr="002E4A34">
        <w:t>pārtraukšanai nebija objektīva pamata</w:t>
      </w:r>
      <w:r>
        <w:t>. Pasūtītāja kasācijas sūdzībā tam nepiekrīt un atkārtoti izklāsta savu subjektīvo redzējumu, taču</w:t>
      </w:r>
      <w:r w:rsidR="005317B1">
        <w:t xml:space="preserve"> kasācijas instances tiesas kompetencē neietilpst pierādījumu novērtēšana, līdz ar to šādi argumenti nevar būt pamats kasācijas tiesvedības ierosināšanai. </w:t>
      </w:r>
    </w:p>
    <w:p w14:paraId="0855C7FE" w14:textId="77777777" w:rsidR="004D6B4C" w:rsidRDefault="004D6B4C" w:rsidP="00766FE6">
      <w:pPr>
        <w:spacing w:line="276" w:lineRule="auto"/>
        <w:ind w:firstLine="720"/>
        <w:jc w:val="both"/>
      </w:pPr>
    </w:p>
    <w:p w14:paraId="7B817443" w14:textId="2B548C1D" w:rsidR="00280F8D" w:rsidRDefault="002302B9" w:rsidP="00766FE6">
      <w:pPr>
        <w:spacing w:line="276" w:lineRule="auto"/>
        <w:ind w:firstLine="720"/>
        <w:jc w:val="both"/>
      </w:pPr>
      <w:r>
        <w:t xml:space="preserve">[4] </w:t>
      </w:r>
      <w:r w:rsidR="000D7878">
        <w:t>Pasūtītāja kasācijas sūdzībā norād</w:t>
      </w:r>
      <w:r w:rsidR="005317B1">
        <w:t>a</w:t>
      </w:r>
      <w:r w:rsidR="000D7878">
        <w:t xml:space="preserve">, ka tiesa ir </w:t>
      </w:r>
      <w:r w:rsidR="00573248">
        <w:t xml:space="preserve">nepareizi interpretējusi un piemērojusi Valsts pārvaldes iestāžu nodarīto zaudējumu atlīdzināšanas likuma (turpmāk – Atlīdzināšanas likums) normas un </w:t>
      </w:r>
      <w:r w:rsidR="000D7878">
        <w:t xml:space="preserve">pārkāpusi Administratīvā procesa likuma 154.pantu un 251.panta piekto daļu, jo spriedumā nav vērtēti pasūtītājas iebildumi </w:t>
      </w:r>
      <w:r w:rsidR="00CF402E">
        <w:t>saistībā ar</w:t>
      </w:r>
      <w:r w:rsidR="000D7878">
        <w:t xml:space="preserve"> zaudējumu apmēra aprēķinu.</w:t>
      </w:r>
      <w:r w:rsidR="00FB7C88">
        <w:t xml:space="preserve"> </w:t>
      </w:r>
      <w:r w:rsidR="00573248">
        <w:t>Pasūtītāja norāda, ka tiesa nav pārbaudījusi</w:t>
      </w:r>
      <w:r w:rsidR="00CF402E">
        <w:t>,</w:t>
      </w:r>
      <w:r w:rsidR="00573248">
        <w:t xml:space="preserve"> vai pastāv tieša cēloņsakarības starp konkursa pārtraukšanu un pieteicējas</w:t>
      </w:r>
      <w:r w:rsidR="00280F8D">
        <w:t xml:space="preserve"> norādītajiem </w:t>
      </w:r>
      <w:r w:rsidR="00573248">
        <w:t>zaudējumiem.</w:t>
      </w:r>
      <w:r w:rsidR="00280F8D">
        <w:t xml:space="preserve"> </w:t>
      </w:r>
    </w:p>
    <w:p w14:paraId="789C4336" w14:textId="7881299A" w:rsidR="00280F8D" w:rsidRDefault="00280F8D" w:rsidP="00766FE6">
      <w:pPr>
        <w:spacing w:line="276" w:lineRule="auto"/>
        <w:ind w:firstLine="720"/>
        <w:jc w:val="both"/>
      </w:pPr>
      <w:r>
        <w:t>Senatoru kolēģija ši</w:t>
      </w:r>
      <w:r w:rsidR="00151351">
        <w:t>e</w:t>
      </w:r>
      <w:r>
        <w:t>m apgalvojum</w:t>
      </w:r>
      <w:r w:rsidR="00151351">
        <w:t>iem</w:t>
      </w:r>
      <w:r>
        <w:t xml:space="preserve"> nepiekrīt.</w:t>
      </w:r>
    </w:p>
    <w:p w14:paraId="454D3EE3" w14:textId="352A5948" w:rsidR="007937CD" w:rsidRDefault="007937CD" w:rsidP="00766FE6">
      <w:pPr>
        <w:spacing w:line="276" w:lineRule="auto"/>
        <w:ind w:firstLine="720"/>
        <w:jc w:val="both"/>
        <w:rPr>
          <w:rFonts w:asciiTheme="majorBidi" w:hAnsiTheme="majorBidi" w:cstheme="majorBidi"/>
        </w:rPr>
      </w:pPr>
      <w:r>
        <w:rPr>
          <w:rFonts w:asciiTheme="majorBidi" w:hAnsiTheme="majorBidi" w:cstheme="majorBidi"/>
        </w:rPr>
        <w:t>P</w:t>
      </w:r>
      <w:r w:rsidRPr="0047298D">
        <w:rPr>
          <w:rFonts w:asciiTheme="majorBidi" w:hAnsiTheme="majorBidi" w:cstheme="majorBidi"/>
        </w:rPr>
        <w:t xml:space="preserve">rasīt atlīdzināt iepirkuma procedūras pārkāpuma dēļ </w:t>
      </w:r>
      <w:r>
        <w:rPr>
          <w:rFonts w:asciiTheme="majorBidi" w:hAnsiTheme="majorBidi" w:cstheme="majorBidi"/>
        </w:rPr>
        <w:t xml:space="preserve">radušos </w:t>
      </w:r>
      <w:r w:rsidRPr="0047298D">
        <w:rPr>
          <w:rFonts w:asciiTheme="majorBidi" w:hAnsiTheme="majorBidi" w:cstheme="majorBidi"/>
        </w:rPr>
        <w:t xml:space="preserve">zaudējumus var tad, ja pretendents iepirkuma procedūras paredzamās norises gaitā būtu ieguvis tiesības slēgt iepirkuma līgumu. </w:t>
      </w:r>
      <w:r w:rsidR="00345DFD">
        <w:rPr>
          <w:rFonts w:asciiTheme="majorBidi" w:hAnsiTheme="majorBidi" w:cstheme="majorBidi"/>
        </w:rPr>
        <w:t>P</w:t>
      </w:r>
      <w:r w:rsidR="00345DFD" w:rsidRPr="00345DFD">
        <w:rPr>
          <w:rFonts w:asciiTheme="majorBidi" w:hAnsiTheme="majorBidi" w:cstheme="majorBidi"/>
        </w:rPr>
        <w:t>ēc tam, kad ir noskaidrots, ka pieteicējs būtu iepirkumā uzvarējis, ja nebūtu pieļautā pārkāpuma, var pievērsties jautājumam</w:t>
      </w:r>
      <w:r w:rsidR="00345DFD">
        <w:rPr>
          <w:rFonts w:asciiTheme="majorBidi" w:hAnsiTheme="majorBidi" w:cstheme="majorBidi"/>
        </w:rPr>
        <w:t xml:space="preserve"> </w:t>
      </w:r>
      <w:r w:rsidR="00345DFD" w:rsidRPr="00345DFD">
        <w:rPr>
          <w:rFonts w:asciiTheme="majorBidi" w:hAnsiTheme="majorBidi" w:cstheme="majorBidi"/>
        </w:rPr>
        <w:t xml:space="preserve">par to, vai un kādā apmērā pieteicējs iepirkuma līguma noslēgšanas rezultātā būtu guvis peļņu </w:t>
      </w:r>
      <w:r>
        <w:rPr>
          <w:rFonts w:asciiTheme="majorBidi" w:hAnsiTheme="majorBidi" w:cstheme="majorBidi"/>
        </w:rPr>
        <w:t>(</w:t>
      </w:r>
      <w:r w:rsidRPr="007937CD">
        <w:rPr>
          <w:rFonts w:asciiTheme="majorBidi" w:hAnsiTheme="majorBidi" w:cstheme="majorBidi"/>
          <w:i/>
          <w:iCs/>
        </w:rPr>
        <w:t xml:space="preserve">Senāta 2022.gada 10.maija sprieduma lietā Nr. SKA-471/2022, </w:t>
      </w:r>
      <w:hyperlink r:id="rId14" w:history="1">
        <w:r w:rsidRPr="007937CD">
          <w:rPr>
            <w:rStyle w:val="Hyperlink"/>
            <w:rFonts w:asciiTheme="majorBidi" w:eastAsiaTheme="majorEastAsia" w:hAnsiTheme="majorBidi"/>
            <w:i/>
            <w:iCs/>
          </w:rPr>
          <w:t>ECLI:LV:AT:2022:0510.A420340016.15.S</w:t>
        </w:r>
      </w:hyperlink>
      <w:r w:rsidRPr="007937CD">
        <w:rPr>
          <w:rFonts w:asciiTheme="majorBidi" w:hAnsiTheme="majorBidi" w:cstheme="majorBidi"/>
          <w:i/>
          <w:iCs/>
        </w:rPr>
        <w:t>, 8.punkt</w:t>
      </w:r>
      <w:r w:rsidR="00345DFD">
        <w:rPr>
          <w:rFonts w:asciiTheme="majorBidi" w:hAnsiTheme="majorBidi" w:cstheme="majorBidi"/>
          <w:i/>
          <w:iCs/>
        </w:rPr>
        <w:t>s un tajā minētā judikatūra</w:t>
      </w:r>
      <w:r>
        <w:rPr>
          <w:rFonts w:asciiTheme="majorBidi" w:hAnsiTheme="majorBidi" w:cstheme="majorBidi"/>
        </w:rPr>
        <w:t>).</w:t>
      </w:r>
    </w:p>
    <w:p w14:paraId="24423A2D" w14:textId="66615C88" w:rsidR="00151351" w:rsidRDefault="007937CD" w:rsidP="00766FE6">
      <w:pPr>
        <w:spacing w:line="276" w:lineRule="auto"/>
        <w:ind w:firstLine="720"/>
        <w:jc w:val="both"/>
      </w:pPr>
      <w:r>
        <w:rPr>
          <w:rFonts w:asciiTheme="majorBidi" w:hAnsiTheme="majorBidi" w:cstheme="majorBidi"/>
        </w:rPr>
        <w:t>Konkrētajā gadījumā tiesa sprieduma 23</w:t>
      </w:r>
      <w:r w:rsidR="00151351">
        <w:rPr>
          <w:rFonts w:asciiTheme="majorBidi" w:hAnsiTheme="majorBidi" w:cstheme="majorBidi"/>
        </w:rPr>
        <w:t>.</w:t>
      </w:r>
      <w:r>
        <w:rPr>
          <w:rFonts w:asciiTheme="majorBidi" w:hAnsiTheme="majorBidi" w:cstheme="majorBidi"/>
        </w:rPr>
        <w:t xml:space="preserve">punktā ir konstatējusi, ka </w:t>
      </w:r>
      <w:r w:rsidR="00151351" w:rsidRPr="004D4E75">
        <w:t xml:space="preserve">tiesiska </w:t>
      </w:r>
      <w:r w:rsidR="00151351">
        <w:t>konkursa</w:t>
      </w:r>
      <w:r w:rsidR="00151351" w:rsidRPr="004D4E75">
        <w:t xml:space="preserve"> norises gadījumā pieteicēja būtu atzīstama par uzvarētāju iepirkumā</w:t>
      </w:r>
      <w:r w:rsidR="00151351">
        <w:t>, līdz ar to</w:t>
      </w:r>
      <w:r w:rsidR="00151351" w:rsidRPr="004D4E75">
        <w:t xml:space="preserve"> tai būtu bijusi iespēja izpildīt iepirkuma līgumu</w:t>
      </w:r>
      <w:r w:rsidR="00151351">
        <w:t>.</w:t>
      </w:r>
      <w:r w:rsidR="00151351">
        <w:rPr>
          <w:rFonts w:asciiTheme="majorBidi" w:hAnsiTheme="majorBidi" w:cstheme="majorBidi"/>
        </w:rPr>
        <w:t xml:space="preserve"> </w:t>
      </w:r>
      <w:r w:rsidR="00846DC9">
        <w:rPr>
          <w:rFonts w:asciiTheme="majorBidi" w:hAnsiTheme="majorBidi" w:cstheme="majorBidi"/>
        </w:rPr>
        <w:t>Tāpēc p</w:t>
      </w:r>
      <w:r w:rsidR="00151351">
        <w:rPr>
          <w:rFonts w:asciiTheme="majorBidi" w:hAnsiTheme="majorBidi" w:cstheme="majorBidi"/>
        </w:rPr>
        <w:t>retēji pasūtītājas kasācijas sūdzībā norādītajam</w:t>
      </w:r>
      <w:r w:rsidR="00FB15F1">
        <w:rPr>
          <w:rFonts w:asciiTheme="majorBidi" w:hAnsiTheme="majorBidi" w:cstheme="majorBidi"/>
        </w:rPr>
        <w:t xml:space="preserve"> tiesa </w:t>
      </w:r>
      <w:r w:rsidR="00151351">
        <w:rPr>
          <w:rFonts w:asciiTheme="majorBidi" w:hAnsiTheme="majorBidi" w:cstheme="majorBidi"/>
        </w:rPr>
        <w:t>ir</w:t>
      </w:r>
      <w:r w:rsidR="00FB15F1">
        <w:rPr>
          <w:rFonts w:asciiTheme="majorBidi" w:hAnsiTheme="majorBidi" w:cstheme="majorBidi"/>
        </w:rPr>
        <w:t xml:space="preserve"> </w:t>
      </w:r>
      <w:r w:rsidR="00151351">
        <w:rPr>
          <w:rFonts w:asciiTheme="majorBidi" w:hAnsiTheme="majorBidi" w:cstheme="majorBidi"/>
        </w:rPr>
        <w:t>nodibinājusi</w:t>
      </w:r>
      <w:r w:rsidR="00FB15F1">
        <w:rPr>
          <w:rFonts w:asciiTheme="majorBidi" w:hAnsiTheme="majorBidi" w:cstheme="majorBidi"/>
        </w:rPr>
        <w:t xml:space="preserve"> tiešu cēloņsa</w:t>
      </w:r>
      <w:r w:rsidR="00151351">
        <w:rPr>
          <w:rFonts w:asciiTheme="majorBidi" w:hAnsiTheme="majorBidi" w:cstheme="majorBidi"/>
        </w:rPr>
        <w:t>k</w:t>
      </w:r>
      <w:r w:rsidR="00FB15F1">
        <w:rPr>
          <w:rFonts w:asciiTheme="majorBidi" w:hAnsiTheme="majorBidi" w:cstheme="majorBidi"/>
        </w:rPr>
        <w:t xml:space="preserve">arību </w:t>
      </w:r>
      <w:r w:rsidR="00FB15F1" w:rsidRPr="00744436">
        <w:t xml:space="preserve">starp </w:t>
      </w:r>
      <w:r w:rsidR="00151351">
        <w:t xml:space="preserve">pasūtītājas </w:t>
      </w:r>
      <w:r w:rsidR="00FB15F1" w:rsidRPr="00744436">
        <w:t xml:space="preserve">prettiesisko rīcību un </w:t>
      </w:r>
      <w:r w:rsidR="00151351">
        <w:t>pieteicējai</w:t>
      </w:r>
      <w:r w:rsidR="00FB15F1" w:rsidRPr="00744436">
        <w:t xml:space="preserve"> nodarīt</w:t>
      </w:r>
      <w:r w:rsidR="00151351">
        <w:t>ajiem</w:t>
      </w:r>
      <w:r w:rsidR="00FB15F1" w:rsidRPr="00744436">
        <w:t xml:space="preserve"> zaudējum</w:t>
      </w:r>
      <w:r w:rsidR="00151351">
        <w:t xml:space="preserve">iem. </w:t>
      </w:r>
    </w:p>
    <w:p w14:paraId="6470FFB6" w14:textId="713BA0D1" w:rsidR="00E80A18" w:rsidRDefault="006F1DAF" w:rsidP="00766FE6">
      <w:pPr>
        <w:spacing w:line="276" w:lineRule="auto"/>
        <w:ind w:firstLine="720"/>
        <w:jc w:val="both"/>
      </w:pPr>
      <w:r>
        <w:t xml:space="preserve">Pasūtītāja arī argumentējusi, ka tiesa neesot ņēmusi vērā tās iebildumus, ka </w:t>
      </w:r>
      <w:r w:rsidR="00F3215B">
        <w:t xml:space="preserve">pieteicējas </w:t>
      </w:r>
      <w:r>
        <w:t xml:space="preserve">zaudējumu aprēķins nav pamatots ar pierādījumiem. </w:t>
      </w:r>
    </w:p>
    <w:p w14:paraId="2BB545A2" w14:textId="7FA6F070" w:rsidR="00F504C0" w:rsidRPr="00D15D7F" w:rsidRDefault="00F504C0" w:rsidP="00766FE6">
      <w:pPr>
        <w:spacing w:line="276" w:lineRule="auto"/>
        <w:ind w:firstLine="720"/>
        <w:jc w:val="both"/>
      </w:pPr>
      <w:r>
        <w:t xml:space="preserve">Senāts saistībā ar zaudējumu atlīdzinājumu publisko iepirkumu lietās ir norādījis, ka </w:t>
      </w:r>
      <w:r w:rsidRPr="004D4E75">
        <w:t>peļņas gūšanas fakts un tās apmērs var būt pamatots gan ar rakstveida pierādījumiem, gan ekspertīzi, un vispārīgi tādi pierādījumi, kas aptver speciālistu atzinumus par neiegūtās peļņas apmēru, ir pieļaujami un attiecināmi. Līdz ar to, ja pieteicēja šādus pierādījumus ir iesniegusi, vispārīgi tā ir pildījusi personas, kura cietusi zaudējumus, pienākumu iesniegt neiegūtās peļņas apmēru pamatojošus pierādījumus. Savukārt tiesai ir pienākums tos visus pārbaudīt un novērtēt</w:t>
      </w:r>
      <w:r w:rsidR="00D15D7F">
        <w:t xml:space="preserve"> (</w:t>
      </w:r>
      <w:r w:rsidR="00D15D7F" w:rsidRPr="00E80A18">
        <w:rPr>
          <w:i/>
          <w:iCs/>
        </w:rPr>
        <w:t>Senāta 2024.gada 27.decembra sprieduma lietā Nr. SKA-297/2024</w:t>
      </w:r>
      <w:r w:rsidR="00D15D7F">
        <w:rPr>
          <w:i/>
          <w:iCs/>
        </w:rPr>
        <w:t xml:space="preserve">, </w:t>
      </w:r>
      <w:hyperlink r:id="rId15" w:history="1">
        <w:r w:rsidR="00D15D7F" w:rsidRPr="00E80A18">
          <w:rPr>
            <w:rStyle w:val="Hyperlink"/>
            <w:i/>
            <w:iCs/>
          </w:rPr>
          <w:t>ECLI:LV:AT:2024:1227.A420340016.19.S</w:t>
        </w:r>
      </w:hyperlink>
      <w:r w:rsidR="00D15D7F">
        <w:rPr>
          <w:i/>
          <w:iCs/>
        </w:rPr>
        <w:t>, 15.punkts</w:t>
      </w:r>
      <w:r w:rsidR="00D15D7F">
        <w:t>)</w:t>
      </w:r>
      <w:r w:rsidR="00E74940">
        <w:t>.</w:t>
      </w:r>
    </w:p>
    <w:p w14:paraId="323A2738" w14:textId="5EE8929D" w:rsidR="00E80A18" w:rsidRDefault="00F504C0" w:rsidP="00766FE6">
      <w:pPr>
        <w:spacing w:line="276" w:lineRule="auto"/>
        <w:ind w:firstLine="720"/>
        <w:jc w:val="both"/>
      </w:pPr>
      <w:r>
        <w:t>T</w:t>
      </w:r>
      <w:r w:rsidR="00E80A18" w:rsidRPr="004D4E75">
        <w:t>iesai ir pienākums nodrošināt, lai visiem procesa dalībniekiem būtu iespēja pilnvērtīgi izteikt savus apsvērumus un iebildumus par zaudējumu aprēķinu un to pamatojošiem pierādījumiem un attiecīgi iesniegt savu pozīciju apliecinošus pierādījumus. Gan iesniegto pierādījumu pieļaujamības un attiecināmības, gan to saturiskā izvērtējuma procesā ir sagaidāms, ka tiesa aicina pārējos procesa dalībniekus izteikt savus konkrētus un motivētus apsvērumus un iebildumus</w:t>
      </w:r>
      <w:r>
        <w:t xml:space="preserve"> (</w:t>
      </w:r>
      <w:r w:rsidR="00D15D7F" w:rsidRPr="00E80A18">
        <w:rPr>
          <w:i/>
          <w:iCs/>
        </w:rPr>
        <w:t>Senāta 2024.gada 27.decembra sprieduma lietā Nr. SKA-297/2024</w:t>
      </w:r>
      <w:r w:rsidR="00D15D7F">
        <w:rPr>
          <w:i/>
          <w:iCs/>
        </w:rPr>
        <w:t xml:space="preserve">, </w:t>
      </w:r>
      <w:hyperlink r:id="rId16" w:history="1">
        <w:r w:rsidR="00D15D7F" w:rsidRPr="00E80A18">
          <w:rPr>
            <w:rStyle w:val="Hyperlink"/>
            <w:i/>
            <w:iCs/>
          </w:rPr>
          <w:t>ECLI:LV:AT:2024:1227.A420340016.19.S</w:t>
        </w:r>
      </w:hyperlink>
      <w:r w:rsidR="00D15D7F">
        <w:rPr>
          <w:i/>
          <w:iCs/>
        </w:rPr>
        <w:t>, 15.punkts</w:t>
      </w:r>
      <w:r w:rsidR="00D15D7F">
        <w:t>).</w:t>
      </w:r>
    </w:p>
    <w:p w14:paraId="179554AF" w14:textId="0344E23D" w:rsidR="00F504C0" w:rsidRDefault="00D15D7F" w:rsidP="00766FE6">
      <w:pPr>
        <w:spacing w:line="276" w:lineRule="auto"/>
        <w:ind w:firstLine="720"/>
        <w:jc w:val="both"/>
      </w:pPr>
      <w:r>
        <w:t>Konkrētajā gadījumā t</w:t>
      </w:r>
      <w:r w:rsidR="00F504C0">
        <w:t>iesa sprieduma 25.punktā ir vērtējusi pieteicējas iesniegtos pierādījumus un atzinusi, ka p</w:t>
      </w:r>
      <w:r w:rsidR="00F504C0" w:rsidRPr="00F504C0">
        <w:t>ieteicējas veiktie aprēķini ir pamatoti un saprātīgi.</w:t>
      </w:r>
      <w:r w:rsidR="00F504C0">
        <w:t xml:space="preserve"> Vienlaikus tiesa atzinusi, ka p</w:t>
      </w:r>
      <w:r w:rsidR="00F504C0" w:rsidRPr="00E80A18">
        <w:t>asūtītāja paskaidrojumos tiesai nav norādījusi, vai un kāpēc kāda negūtās peļņas aprēķinā iekļautajām pozīcijām būtu nepamatota.</w:t>
      </w:r>
    </w:p>
    <w:p w14:paraId="0EA56DD6" w14:textId="532CB35A" w:rsidR="0068661E" w:rsidRDefault="00E74940" w:rsidP="00766FE6">
      <w:pPr>
        <w:spacing w:line="276" w:lineRule="auto"/>
        <w:ind w:firstLine="720"/>
        <w:jc w:val="both"/>
      </w:pPr>
      <w:r>
        <w:t>A</w:t>
      </w:r>
      <w:r w:rsidR="00792674">
        <w:t>pstākļos, kad pieteicēja bija iesniegusi konkrētus aprēķinus un pierādījumus, kas pamato tās neiegūtās peļņas apmēru, pasūtītājai bija tiesības iesniegt savu pozīciju apliecinošus pierādījumus</w:t>
      </w:r>
      <w:r w:rsidR="00D15D7F">
        <w:t xml:space="preserve">. </w:t>
      </w:r>
      <w:r w:rsidR="00A20884">
        <w:t>N</w:t>
      </w:r>
      <w:r w:rsidR="00792674">
        <w:t>av pietiek</w:t>
      </w:r>
      <w:r w:rsidR="00A20884">
        <w:t>am</w:t>
      </w:r>
      <w:r w:rsidR="00792674">
        <w:t>i tikai norādīt vispārīgus iebildumus, bet jāiesniedz konkrēt</w:t>
      </w:r>
      <w:r w:rsidR="00A20884">
        <w:t>i</w:t>
      </w:r>
      <w:r w:rsidR="00792674">
        <w:t xml:space="preserve"> un motivēt</w:t>
      </w:r>
      <w:r w:rsidR="00A20884">
        <w:t>i</w:t>
      </w:r>
      <w:r w:rsidR="00792674">
        <w:t xml:space="preserve"> apsvērumi, kā arī tos pamatojoši</w:t>
      </w:r>
      <w:r w:rsidR="00792674" w:rsidRPr="004D4E75">
        <w:t xml:space="preserve"> pierādījum</w:t>
      </w:r>
      <w:r w:rsidR="00792674">
        <w:t xml:space="preserve">i. </w:t>
      </w:r>
      <w:r>
        <w:t xml:space="preserve">Pasūtītājas kasācijas sūdzībā arī nav norādīta atsauce uz konkrētiem pierādījumiem, kuri nav novērtēti un varētu ietekmēt lietas </w:t>
      </w:r>
      <w:r w:rsidR="00A20884">
        <w:t xml:space="preserve">izskatīšanas </w:t>
      </w:r>
      <w:r>
        <w:t xml:space="preserve">rezultātu. </w:t>
      </w:r>
    </w:p>
    <w:p w14:paraId="303359BD" w14:textId="7242FBF7" w:rsidR="00F504C0" w:rsidRDefault="00E74940" w:rsidP="00766FE6">
      <w:pPr>
        <w:spacing w:line="276" w:lineRule="auto"/>
        <w:ind w:firstLine="720"/>
        <w:jc w:val="both"/>
      </w:pPr>
      <w:r>
        <w:t>Līdz ar to senatoru kolēģij</w:t>
      </w:r>
      <w:r w:rsidR="0068661E">
        <w:t>a</w:t>
      </w:r>
      <w:r>
        <w:t xml:space="preserve"> atzīst, ka pasūtītājas argumenti nerada šaubas par tiesas izdarīto secinājumu pamatotību</w:t>
      </w:r>
      <w:r w:rsidR="0068661E">
        <w:t xml:space="preserve"> par pieteicējai radīto zaudējumu apmēru</w:t>
      </w:r>
      <w:r>
        <w:t>.</w:t>
      </w:r>
    </w:p>
    <w:p w14:paraId="74831C95" w14:textId="77777777" w:rsidR="00887B78" w:rsidRDefault="00887B78" w:rsidP="00766FE6">
      <w:pPr>
        <w:spacing w:line="276" w:lineRule="auto"/>
        <w:ind w:firstLine="720"/>
        <w:jc w:val="both"/>
      </w:pPr>
    </w:p>
    <w:p w14:paraId="0E5D0ED1" w14:textId="74E97655" w:rsidR="00792674" w:rsidRDefault="00C94A48" w:rsidP="00766FE6">
      <w:pPr>
        <w:spacing w:line="276" w:lineRule="auto"/>
        <w:ind w:firstLine="720"/>
        <w:jc w:val="both"/>
      </w:pPr>
      <w:r>
        <w:t>[</w:t>
      </w:r>
      <w:r w:rsidR="00B01B55">
        <w:t>5</w:t>
      </w:r>
      <w:r>
        <w:t>]</w:t>
      </w:r>
      <w:r w:rsidR="00792674">
        <w:t xml:space="preserve"> Ievērojot minēto</w:t>
      </w:r>
      <w:r w:rsidR="00792674" w:rsidRPr="00792674">
        <w:t xml:space="preserve">, senatoru kolēģija atzīst, ka </w:t>
      </w:r>
      <w:r w:rsidR="00792674">
        <w:t>pasūtītājas</w:t>
      </w:r>
      <w:r w:rsidR="00792674" w:rsidRPr="00792674">
        <w:t xml:space="preserve"> kasācijas sūdzībā norādītie argumenti nerada šaubas par rajona tiesas sprieduma tiesiskumu</w:t>
      </w:r>
      <w:r w:rsidR="00B01B55">
        <w:t>;</w:t>
      </w:r>
      <w:r w:rsidR="00792674" w:rsidRPr="00792674">
        <w:t xml:space="preserve"> </w:t>
      </w:r>
      <w:r w:rsidR="00792674" w:rsidRPr="00307633">
        <w:t xml:space="preserve">kasācijas sūdzībā norādītajos tiesību normu piemērošanas jautājumos ir izveidojusies </w:t>
      </w:r>
      <w:r w:rsidR="00792674">
        <w:t>Senāta</w:t>
      </w:r>
      <w:r w:rsidR="00792674" w:rsidRPr="00307633">
        <w:t xml:space="preserve"> judikatūra</w:t>
      </w:r>
      <w:r w:rsidR="00A20884">
        <w:t>,</w:t>
      </w:r>
      <w:r w:rsidR="00792674" w:rsidRPr="00307633">
        <w:t xml:space="preserve"> un pārsūdzētais spriedums tai atbilst</w:t>
      </w:r>
      <w:r w:rsidR="00B01B55">
        <w:t xml:space="preserve">. </w:t>
      </w:r>
      <w:r w:rsidR="00792674" w:rsidRPr="00792674">
        <w:t>Tā kā izskatāmajai lietai nav arī nozīmes judikatūras veidošanā, tas ir pamats atteikt ierosināt kasācijas tiesvedību.</w:t>
      </w:r>
    </w:p>
    <w:p w14:paraId="79757DE9" w14:textId="77777777" w:rsidR="001465DA" w:rsidRDefault="001465DA" w:rsidP="00766FE6">
      <w:pPr>
        <w:spacing w:line="276" w:lineRule="auto"/>
        <w:ind w:firstLine="720"/>
        <w:jc w:val="both"/>
      </w:pPr>
    </w:p>
    <w:p w14:paraId="71050372" w14:textId="77777777" w:rsidR="001465DA" w:rsidRPr="001465DA" w:rsidRDefault="001465DA" w:rsidP="00766FE6">
      <w:pPr>
        <w:spacing w:line="276" w:lineRule="auto"/>
        <w:ind w:firstLine="720"/>
        <w:jc w:val="both"/>
        <w:rPr>
          <w:color w:val="000000" w:themeColor="text1"/>
        </w:rPr>
      </w:pPr>
      <w:r>
        <w:t xml:space="preserve">[6] </w:t>
      </w:r>
      <w:r w:rsidRPr="001465DA">
        <w:rPr>
          <w:rFonts w:asciiTheme="majorBidi" w:hAnsiTheme="majorBidi" w:cstheme="majorBidi"/>
          <w:color w:val="000000" w:themeColor="text1"/>
        </w:rPr>
        <w:t xml:space="preserve">Senāts neizskata lietu pēc būtības, tādēļ papildu pierādījumu pievienošana ar mērķi noskaidrot lietas faktiskos apstākļus nav pieļaujama. Kasācijas sūdzības argumenti turklāt ir saprotami bez papildu ilustratīviem materiāliem. Līdz ar to pasūtītājas kasācijas sūdzībai pielikumā Nr. 1 pievienotā tabula „Reklāmas pakalpojumu efektivitātes un cenu analīze” nav pievienojama lietas materiāliem. </w:t>
      </w:r>
    </w:p>
    <w:p w14:paraId="17D8F201" w14:textId="77777777" w:rsidR="005B5AC2" w:rsidRDefault="005B5AC2" w:rsidP="00766FE6">
      <w:pPr>
        <w:spacing w:line="276" w:lineRule="auto"/>
        <w:ind w:firstLine="720"/>
        <w:jc w:val="both"/>
      </w:pPr>
    </w:p>
    <w:p w14:paraId="18846508" w14:textId="31766B8B" w:rsidR="00A964D9" w:rsidRPr="00D61285" w:rsidRDefault="002F5F89" w:rsidP="00766FE6">
      <w:pPr>
        <w:tabs>
          <w:tab w:val="left" w:pos="3119"/>
        </w:tabs>
        <w:spacing w:line="276" w:lineRule="auto"/>
        <w:ind w:firstLine="720"/>
        <w:jc w:val="both"/>
      </w:pPr>
      <w:r w:rsidRPr="00D61285">
        <w:t>Pamatojoties uz Administratīvā procesa likuma 338.panta otro daļu un 338.</w:t>
      </w:r>
      <w:r w:rsidRPr="00D61285">
        <w:rPr>
          <w:vertAlign w:val="superscript"/>
        </w:rPr>
        <w:t>1</w:t>
      </w:r>
      <w:r w:rsidRPr="00D61285">
        <w:t xml:space="preserve">panta </w:t>
      </w:r>
      <w:r>
        <w:t xml:space="preserve">otrās daļas </w:t>
      </w:r>
      <w:r w:rsidR="00307633">
        <w:t>1</w:t>
      </w:r>
      <w:r>
        <w:t>.punktu</w:t>
      </w:r>
      <w:r w:rsidRPr="00D61285">
        <w:t>, senatoru kolēģija</w:t>
      </w:r>
    </w:p>
    <w:p w14:paraId="2A2491B0" w14:textId="77777777" w:rsidR="00A964D9" w:rsidRPr="00D61285" w:rsidRDefault="00A964D9" w:rsidP="00766FE6">
      <w:pPr>
        <w:spacing w:line="276" w:lineRule="auto"/>
        <w:jc w:val="center"/>
        <w:rPr>
          <w:b/>
        </w:rPr>
      </w:pPr>
    </w:p>
    <w:p w14:paraId="57F5E61A" w14:textId="77777777" w:rsidR="00A964D9" w:rsidRPr="00D61285" w:rsidRDefault="00A964D9" w:rsidP="00766FE6">
      <w:pPr>
        <w:keepNext/>
        <w:spacing w:line="276" w:lineRule="auto"/>
        <w:jc w:val="center"/>
        <w:rPr>
          <w:b/>
        </w:rPr>
      </w:pPr>
      <w:r w:rsidRPr="00D61285">
        <w:rPr>
          <w:b/>
        </w:rPr>
        <w:t>nolēma</w:t>
      </w:r>
    </w:p>
    <w:p w14:paraId="0F895322" w14:textId="77777777" w:rsidR="00A964D9" w:rsidRPr="00D61285" w:rsidRDefault="00A964D9" w:rsidP="00766FE6">
      <w:pPr>
        <w:spacing w:line="276" w:lineRule="auto"/>
        <w:ind w:firstLine="720"/>
        <w:jc w:val="both"/>
      </w:pPr>
    </w:p>
    <w:p w14:paraId="316FB090" w14:textId="079B1262" w:rsidR="009F4D17" w:rsidRDefault="00A964D9" w:rsidP="00766FE6">
      <w:pPr>
        <w:spacing w:line="276" w:lineRule="auto"/>
        <w:ind w:firstLine="720"/>
        <w:jc w:val="both"/>
      </w:pPr>
      <w:r>
        <w:t>a</w:t>
      </w:r>
      <w:r w:rsidRPr="00D61285">
        <w:t>tteikt ierosināt kasācijas tiesvedību sakarā ar</w:t>
      </w:r>
      <w:r w:rsidRPr="00907560">
        <w:rPr>
          <w:i/>
          <w:iCs/>
        </w:rPr>
        <w:t xml:space="preserve"> </w:t>
      </w:r>
      <w:r w:rsidR="00B01B55">
        <w:t xml:space="preserve">valsts sabiedrības ar ierobežotu atbildību </w:t>
      </w:r>
      <w:r w:rsidR="00A20884">
        <w:t>„</w:t>
      </w:r>
      <w:r w:rsidR="00B01B55">
        <w:t xml:space="preserve">Mihaila Čehova Rīgas Krievu teātris” </w:t>
      </w:r>
      <w:r w:rsidR="00B01B55">
        <w:rPr>
          <w:rFonts w:asciiTheme="majorBidi" w:hAnsiTheme="majorBidi" w:cstheme="majorBidi"/>
        </w:rPr>
        <w:t>kasācijas sūdzīb</w:t>
      </w:r>
      <w:r w:rsidR="0068661E">
        <w:rPr>
          <w:rFonts w:asciiTheme="majorBidi" w:hAnsiTheme="majorBidi" w:cstheme="majorBidi"/>
        </w:rPr>
        <w:t>u</w:t>
      </w:r>
      <w:r w:rsidR="00B01B55">
        <w:rPr>
          <w:rFonts w:asciiTheme="majorBidi" w:hAnsiTheme="majorBidi" w:cstheme="majorBidi"/>
        </w:rPr>
        <w:t xml:space="preserve"> par Administratīvās rajona tiesas 2026.gada </w:t>
      </w:r>
      <w:r w:rsidR="001465DA">
        <w:rPr>
          <w:rFonts w:asciiTheme="majorBidi" w:hAnsiTheme="majorBidi" w:cstheme="majorBidi"/>
        </w:rPr>
        <w:t>5</w:t>
      </w:r>
      <w:r w:rsidR="00B01B55">
        <w:rPr>
          <w:rFonts w:asciiTheme="majorBidi" w:hAnsiTheme="majorBidi" w:cstheme="majorBidi"/>
        </w:rPr>
        <w:t>.februāra spriedumu</w:t>
      </w:r>
      <w:r w:rsidR="004A69EF">
        <w:t>.</w:t>
      </w:r>
    </w:p>
    <w:p w14:paraId="1846A5FD" w14:textId="77777777" w:rsidR="004A69EF" w:rsidRDefault="004A69EF" w:rsidP="00766FE6">
      <w:pPr>
        <w:spacing w:line="276" w:lineRule="auto"/>
        <w:ind w:firstLine="720"/>
        <w:jc w:val="both"/>
      </w:pPr>
    </w:p>
    <w:p w14:paraId="169C63AA" w14:textId="77777777" w:rsidR="00A964D9" w:rsidRPr="00D61285" w:rsidRDefault="00A964D9" w:rsidP="00766FE6">
      <w:pPr>
        <w:spacing w:line="276" w:lineRule="auto"/>
        <w:ind w:firstLine="720"/>
      </w:pPr>
      <w:r w:rsidRPr="00D61285">
        <w:t>Lēmums nav pārsūdzams.</w:t>
      </w:r>
    </w:p>
    <w:p w14:paraId="08A835D8" w14:textId="77777777" w:rsidR="00A964D9" w:rsidRDefault="00A964D9" w:rsidP="00766FE6">
      <w:pPr>
        <w:spacing w:line="276" w:lineRule="auto"/>
        <w:jc w:val="both"/>
      </w:pPr>
    </w:p>
    <w:p w14:paraId="76C3A4E8" w14:textId="77777777" w:rsidR="001360F0" w:rsidRPr="005B5AC2" w:rsidRDefault="001360F0" w:rsidP="00766FE6">
      <w:pPr>
        <w:spacing w:line="276" w:lineRule="auto"/>
        <w:jc w:val="both"/>
      </w:pPr>
    </w:p>
    <w:p w14:paraId="38266514" w14:textId="77777777" w:rsidR="00A964D9" w:rsidRPr="005B5AC2" w:rsidRDefault="00A964D9" w:rsidP="00766FE6">
      <w:pPr>
        <w:shd w:val="clear" w:color="auto" w:fill="FFFFFF"/>
        <w:spacing w:line="276" w:lineRule="auto"/>
      </w:pPr>
    </w:p>
    <w:p w14:paraId="6FAAA5D0" w14:textId="77777777" w:rsidR="00AD269A" w:rsidRPr="005B5AC2" w:rsidRDefault="00AD269A" w:rsidP="00766FE6">
      <w:pPr>
        <w:shd w:val="clear" w:color="auto" w:fill="FFFFFF"/>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670C7B" w14:paraId="587346EB" w14:textId="77777777">
        <w:tc>
          <w:tcPr>
            <w:tcW w:w="2831" w:type="dxa"/>
          </w:tcPr>
          <w:p w14:paraId="511D7F2E" w14:textId="65191F82" w:rsidR="00670C7B" w:rsidRPr="00670C7B" w:rsidRDefault="00670C7B" w:rsidP="00766FE6">
            <w:pPr>
              <w:tabs>
                <w:tab w:val="center" w:pos="1276"/>
                <w:tab w:val="center" w:pos="4678"/>
                <w:tab w:val="center" w:pos="8080"/>
              </w:tabs>
              <w:spacing w:line="276" w:lineRule="auto"/>
              <w:ind w:left="-118"/>
              <w:rPr>
                <w:sz w:val="24"/>
                <w:szCs w:val="24"/>
              </w:rPr>
            </w:pPr>
            <w:bookmarkStart w:id="0" w:name="_Hlk172900127"/>
            <w:r w:rsidRPr="00670C7B">
              <w:rPr>
                <w:sz w:val="24"/>
                <w:szCs w:val="24"/>
              </w:rPr>
              <w:t>Senatore R. Vīduša</w:t>
            </w:r>
          </w:p>
        </w:tc>
        <w:tc>
          <w:tcPr>
            <w:tcW w:w="2831" w:type="dxa"/>
          </w:tcPr>
          <w:p w14:paraId="73A4D868" w14:textId="133D0078" w:rsidR="00670C7B" w:rsidRPr="00670C7B" w:rsidRDefault="00670C7B" w:rsidP="00766FE6">
            <w:pPr>
              <w:tabs>
                <w:tab w:val="center" w:pos="1276"/>
                <w:tab w:val="center" w:pos="4678"/>
                <w:tab w:val="center" w:pos="8080"/>
              </w:tabs>
              <w:spacing w:line="276" w:lineRule="auto"/>
              <w:jc w:val="center"/>
              <w:rPr>
                <w:sz w:val="24"/>
                <w:szCs w:val="24"/>
              </w:rPr>
            </w:pPr>
            <w:r w:rsidRPr="00D90BFA">
              <w:rPr>
                <w:sz w:val="24"/>
                <w:szCs w:val="24"/>
              </w:rPr>
              <w:t>Senator</w:t>
            </w:r>
            <w:r w:rsidR="00E63F0A" w:rsidRPr="00D90BFA">
              <w:rPr>
                <w:sz w:val="24"/>
                <w:szCs w:val="24"/>
              </w:rPr>
              <w:t>e</w:t>
            </w:r>
            <w:r w:rsidRPr="00D90BFA">
              <w:rPr>
                <w:sz w:val="24"/>
                <w:szCs w:val="24"/>
              </w:rPr>
              <w:t xml:space="preserve"> </w:t>
            </w:r>
            <w:r w:rsidR="0083179B">
              <w:rPr>
                <w:sz w:val="24"/>
                <w:szCs w:val="24"/>
              </w:rPr>
              <w:t>L</w:t>
            </w:r>
            <w:r w:rsidR="00E63F0A" w:rsidRPr="00D90BFA">
              <w:rPr>
                <w:sz w:val="24"/>
                <w:szCs w:val="24"/>
              </w:rPr>
              <w:t>. Ko</w:t>
            </w:r>
            <w:r w:rsidR="0083179B">
              <w:rPr>
                <w:sz w:val="24"/>
                <w:szCs w:val="24"/>
              </w:rPr>
              <w:t>nošonoka</w:t>
            </w:r>
          </w:p>
        </w:tc>
        <w:tc>
          <w:tcPr>
            <w:tcW w:w="2832" w:type="dxa"/>
          </w:tcPr>
          <w:p w14:paraId="160EFFAD" w14:textId="197B3AD2" w:rsidR="00670C7B" w:rsidRPr="00670C7B" w:rsidRDefault="00670C7B" w:rsidP="00766FE6">
            <w:pPr>
              <w:tabs>
                <w:tab w:val="center" w:pos="1276"/>
                <w:tab w:val="center" w:pos="4678"/>
                <w:tab w:val="center" w:pos="8080"/>
              </w:tabs>
              <w:spacing w:line="276" w:lineRule="auto"/>
              <w:ind w:right="-112"/>
              <w:jc w:val="right"/>
              <w:rPr>
                <w:sz w:val="24"/>
                <w:szCs w:val="24"/>
              </w:rPr>
            </w:pPr>
            <w:r w:rsidRPr="00670C7B">
              <w:rPr>
                <w:sz w:val="24"/>
                <w:szCs w:val="24"/>
              </w:rPr>
              <w:t>Senator</w:t>
            </w:r>
            <w:r w:rsidR="005B5AC2">
              <w:rPr>
                <w:sz w:val="24"/>
                <w:szCs w:val="24"/>
              </w:rPr>
              <w:t>s</w:t>
            </w:r>
            <w:r w:rsidRPr="00670C7B">
              <w:rPr>
                <w:sz w:val="24"/>
                <w:szCs w:val="24"/>
              </w:rPr>
              <w:t xml:space="preserve"> </w:t>
            </w:r>
            <w:r w:rsidR="005B5AC2">
              <w:rPr>
                <w:sz w:val="24"/>
                <w:szCs w:val="24"/>
              </w:rPr>
              <w:t>J</w:t>
            </w:r>
            <w:r w:rsidRPr="00670C7B">
              <w:rPr>
                <w:sz w:val="24"/>
                <w:szCs w:val="24"/>
              </w:rPr>
              <w:t>. </w:t>
            </w:r>
            <w:r w:rsidR="005B5AC2">
              <w:rPr>
                <w:sz w:val="24"/>
                <w:szCs w:val="24"/>
              </w:rPr>
              <w:t>Pleps</w:t>
            </w:r>
          </w:p>
        </w:tc>
      </w:tr>
      <w:bookmarkEnd w:id="0"/>
    </w:tbl>
    <w:p w14:paraId="2C823F0E" w14:textId="77777777" w:rsidR="00A964D9" w:rsidRDefault="00A964D9"/>
    <w:sectPr w:rsidR="00A964D9" w:rsidSect="0083179B">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CD27" w14:textId="77777777" w:rsidR="001F4DF4" w:rsidRDefault="001F4DF4">
      <w:r>
        <w:separator/>
      </w:r>
    </w:p>
  </w:endnote>
  <w:endnote w:type="continuationSeparator" w:id="0">
    <w:p w14:paraId="21CF2C63" w14:textId="77777777" w:rsidR="001F4DF4" w:rsidRDefault="001F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33285758"/>
      <w:docPartObj>
        <w:docPartGallery w:val="Page Numbers (Bottom of Page)"/>
        <w:docPartUnique/>
      </w:docPartObj>
    </w:sdtPr>
    <w:sdtEndPr/>
    <w:sdtContent>
      <w:sdt>
        <w:sdtPr>
          <w:rPr>
            <w:sz w:val="20"/>
            <w:szCs w:val="20"/>
          </w:rPr>
          <w:id w:val="-1449623365"/>
          <w:docPartObj>
            <w:docPartGallery w:val="Page Numbers (Top of Page)"/>
            <w:docPartUnique/>
          </w:docPartObj>
        </w:sdtPr>
        <w:sdtEndPr/>
        <w:sdtContent>
          <w:p w14:paraId="71A5F7D4" w14:textId="4C45B527" w:rsidR="008278B7" w:rsidRPr="00464B18" w:rsidRDefault="00E77F6D" w:rsidP="00464B18">
            <w:pPr>
              <w:pStyle w:val="Footer"/>
              <w:jc w:val="center"/>
              <w:rPr>
                <w:sz w:val="20"/>
                <w:szCs w:val="20"/>
              </w:rPr>
            </w:pPr>
            <w:r w:rsidRPr="00670C7B">
              <w:rPr>
                <w:sz w:val="20"/>
                <w:szCs w:val="20"/>
              </w:rPr>
              <w:fldChar w:fldCharType="begin"/>
            </w:r>
            <w:r w:rsidRPr="00670C7B">
              <w:rPr>
                <w:sz w:val="20"/>
                <w:szCs w:val="20"/>
              </w:rPr>
              <w:instrText xml:space="preserve"> PAGE </w:instrText>
            </w:r>
            <w:r w:rsidRPr="00670C7B">
              <w:rPr>
                <w:sz w:val="20"/>
                <w:szCs w:val="20"/>
              </w:rPr>
              <w:fldChar w:fldCharType="separate"/>
            </w:r>
            <w:r w:rsidRPr="00670C7B">
              <w:rPr>
                <w:noProof/>
                <w:sz w:val="20"/>
                <w:szCs w:val="20"/>
              </w:rPr>
              <w:t>2</w:t>
            </w:r>
            <w:r w:rsidRPr="00670C7B">
              <w:rPr>
                <w:sz w:val="20"/>
                <w:szCs w:val="20"/>
              </w:rPr>
              <w:fldChar w:fldCharType="end"/>
            </w:r>
            <w:r w:rsidRPr="00670C7B">
              <w:rPr>
                <w:sz w:val="20"/>
                <w:szCs w:val="20"/>
              </w:rPr>
              <w:t xml:space="preserve"> no </w:t>
            </w:r>
            <w:r w:rsidRPr="00670C7B">
              <w:rPr>
                <w:noProof/>
                <w:sz w:val="20"/>
                <w:szCs w:val="20"/>
              </w:rPr>
              <w:fldChar w:fldCharType="begin"/>
            </w:r>
            <w:r w:rsidRPr="00670C7B">
              <w:rPr>
                <w:noProof/>
                <w:sz w:val="20"/>
                <w:szCs w:val="20"/>
              </w:rPr>
              <w:instrText xml:space="preserve"> NUMPAGES  </w:instrText>
            </w:r>
            <w:r w:rsidRPr="00670C7B">
              <w:rPr>
                <w:noProof/>
                <w:sz w:val="20"/>
                <w:szCs w:val="20"/>
              </w:rPr>
              <w:fldChar w:fldCharType="separate"/>
            </w:r>
            <w:r w:rsidRPr="00670C7B">
              <w:rPr>
                <w:noProof/>
                <w:sz w:val="20"/>
                <w:szCs w:val="20"/>
              </w:rPr>
              <w:t>3</w:t>
            </w:r>
            <w:r w:rsidRPr="00670C7B">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8FA4" w14:textId="77777777" w:rsidR="001F4DF4" w:rsidRDefault="001F4DF4">
      <w:r>
        <w:separator/>
      </w:r>
    </w:p>
  </w:footnote>
  <w:footnote w:type="continuationSeparator" w:id="0">
    <w:p w14:paraId="1C5AEA32" w14:textId="77777777" w:rsidR="001F4DF4" w:rsidRDefault="001F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D9"/>
    <w:rsid w:val="000056DA"/>
    <w:rsid w:val="000158B6"/>
    <w:rsid w:val="0003532C"/>
    <w:rsid w:val="000428FC"/>
    <w:rsid w:val="00047C19"/>
    <w:rsid w:val="000547E2"/>
    <w:rsid w:val="00056E78"/>
    <w:rsid w:val="0006067C"/>
    <w:rsid w:val="000651FA"/>
    <w:rsid w:val="00071640"/>
    <w:rsid w:val="0007410B"/>
    <w:rsid w:val="0007610D"/>
    <w:rsid w:val="00077B39"/>
    <w:rsid w:val="00086A54"/>
    <w:rsid w:val="00094288"/>
    <w:rsid w:val="000A07E5"/>
    <w:rsid w:val="000B4BAC"/>
    <w:rsid w:val="000B6EED"/>
    <w:rsid w:val="000B71D6"/>
    <w:rsid w:val="000C3221"/>
    <w:rsid w:val="000C4907"/>
    <w:rsid w:val="000C490A"/>
    <w:rsid w:val="000C51D1"/>
    <w:rsid w:val="000C6E4E"/>
    <w:rsid w:val="000C76CD"/>
    <w:rsid w:val="000C7DD7"/>
    <w:rsid w:val="000D228D"/>
    <w:rsid w:val="000D7878"/>
    <w:rsid w:val="000E6BFC"/>
    <w:rsid w:val="000E71A6"/>
    <w:rsid w:val="000F783F"/>
    <w:rsid w:val="00100984"/>
    <w:rsid w:val="0012046E"/>
    <w:rsid w:val="00120E0F"/>
    <w:rsid w:val="0012448A"/>
    <w:rsid w:val="001360F0"/>
    <w:rsid w:val="00140057"/>
    <w:rsid w:val="001465DA"/>
    <w:rsid w:val="00146854"/>
    <w:rsid w:val="00151351"/>
    <w:rsid w:val="00153EAF"/>
    <w:rsid w:val="00163785"/>
    <w:rsid w:val="00166FD1"/>
    <w:rsid w:val="00167B51"/>
    <w:rsid w:val="00170705"/>
    <w:rsid w:val="001744A3"/>
    <w:rsid w:val="00175627"/>
    <w:rsid w:val="00183444"/>
    <w:rsid w:val="001A76DA"/>
    <w:rsid w:val="001B2FA6"/>
    <w:rsid w:val="001D3E0F"/>
    <w:rsid w:val="001E46E1"/>
    <w:rsid w:val="001E68FB"/>
    <w:rsid w:val="001F0ACE"/>
    <w:rsid w:val="001F10D7"/>
    <w:rsid w:val="001F1800"/>
    <w:rsid w:val="001F4DF4"/>
    <w:rsid w:val="001F57B1"/>
    <w:rsid w:val="00210027"/>
    <w:rsid w:val="00211D9B"/>
    <w:rsid w:val="00211E02"/>
    <w:rsid w:val="00212E0C"/>
    <w:rsid w:val="00213113"/>
    <w:rsid w:val="00226353"/>
    <w:rsid w:val="002302B9"/>
    <w:rsid w:val="0024088E"/>
    <w:rsid w:val="002523B0"/>
    <w:rsid w:val="00255DB9"/>
    <w:rsid w:val="00265A80"/>
    <w:rsid w:val="00265B45"/>
    <w:rsid w:val="00273488"/>
    <w:rsid w:val="00273490"/>
    <w:rsid w:val="00280335"/>
    <w:rsid w:val="00280F8D"/>
    <w:rsid w:val="00291B27"/>
    <w:rsid w:val="002A0996"/>
    <w:rsid w:val="002A4D7E"/>
    <w:rsid w:val="002A7198"/>
    <w:rsid w:val="002B6DCB"/>
    <w:rsid w:val="002C07F4"/>
    <w:rsid w:val="002C75A8"/>
    <w:rsid w:val="002E33DA"/>
    <w:rsid w:val="002E542E"/>
    <w:rsid w:val="002E7DDD"/>
    <w:rsid w:val="002F3387"/>
    <w:rsid w:val="002F5F89"/>
    <w:rsid w:val="00300770"/>
    <w:rsid w:val="00300C97"/>
    <w:rsid w:val="00307633"/>
    <w:rsid w:val="00312198"/>
    <w:rsid w:val="00316841"/>
    <w:rsid w:val="003177DA"/>
    <w:rsid w:val="00326127"/>
    <w:rsid w:val="0032714E"/>
    <w:rsid w:val="00331F09"/>
    <w:rsid w:val="003369E0"/>
    <w:rsid w:val="00341750"/>
    <w:rsid w:val="00345DFD"/>
    <w:rsid w:val="00350429"/>
    <w:rsid w:val="003547B9"/>
    <w:rsid w:val="003921C5"/>
    <w:rsid w:val="00395468"/>
    <w:rsid w:val="003A3635"/>
    <w:rsid w:val="003A5BB2"/>
    <w:rsid w:val="003B4A58"/>
    <w:rsid w:val="003C550F"/>
    <w:rsid w:val="003C64F6"/>
    <w:rsid w:val="003D70D8"/>
    <w:rsid w:val="003F25FC"/>
    <w:rsid w:val="003F7118"/>
    <w:rsid w:val="00407873"/>
    <w:rsid w:val="00430C29"/>
    <w:rsid w:val="00453913"/>
    <w:rsid w:val="004556CC"/>
    <w:rsid w:val="00456173"/>
    <w:rsid w:val="00464B18"/>
    <w:rsid w:val="00466745"/>
    <w:rsid w:val="00483083"/>
    <w:rsid w:val="00495805"/>
    <w:rsid w:val="004959B8"/>
    <w:rsid w:val="004A118F"/>
    <w:rsid w:val="004A69EF"/>
    <w:rsid w:val="004A71A8"/>
    <w:rsid w:val="004B01A4"/>
    <w:rsid w:val="004B1548"/>
    <w:rsid w:val="004B3BA2"/>
    <w:rsid w:val="004C0708"/>
    <w:rsid w:val="004C1A3C"/>
    <w:rsid w:val="004C4674"/>
    <w:rsid w:val="004D0852"/>
    <w:rsid w:val="004D4664"/>
    <w:rsid w:val="004D544C"/>
    <w:rsid w:val="004D683D"/>
    <w:rsid w:val="004D6B4C"/>
    <w:rsid w:val="004E7D4D"/>
    <w:rsid w:val="004F55D7"/>
    <w:rsid w:val="00505A71"/>
    <w:rsid w:val="005126B6"/>
    <w:rsid w:val="005139E6"/>
    <w:rsid w:val="005204DD"/>
    <w:rsid w:val="005226E4"/>
    <w:rsid w:val="005248D8"/>
    <w:rsid w:val="0053044B"/>
    <w:rsid w:val="005317B1"/>
    <w:rsid w:val="00533DA3"/>
    <w:rsid w:val="00541F6D"/>
    <w:rsid w:val="005458A4"/>
    <w:rsid w:val="00553E24"/>
    <w:rsid w:val="00566E2A"/>
    <w:rsid w:val="005678F0"/>
    <w:rsid w:val="00572D1D"/>
    <w:rsid w:val="00573248"/>
    <w:rsid w:val="00592D02"/>
    <w:rsid w:val="005A3FD3"/>
    <w:rsid w:val="005A42E5"/>
    <w:rsid w:val="005B06F7"/>
    <w:rsid w:val="005B20F8"/>
    <w:rsid w:val="005B35DD"/>
    <w:rsid w:val="005B5AC2"/>
    <w:rsid w:val="005C12D9"/>
    <w:rsid w:val="005C4644"/>
    <w:rsid w:val="005C556A"/>
    <w:rsid w:val="005C5580"/>
    <w:rsid w:val="005D6C3D"/>
    <w:rsid w:val="005E0F42"/>
    <w:rsid w:val="005E3853"/>
    <w:rsid w:val="005E6F4E"/>
    <w:rsid w:val="005F4519"/>
    <w:rsid w:val="005F78D6"/>
    <w:rsid w:val="006003D1"/>
    <w:rsid w:val="006104B5"/>
    <w:rsid w:val="00612A70"/>
    <w:rsid w:val="00620459"/>
    <w:rsid w:val="00623341"/>
    <w:rsid w:val="00625C28"/>
    <w:rsid w:val="006377C0"/>
    <w:rsid w:val="00647572"/>
    <w:rsid w:val="00654747"/>
    <w:rsid w:val="00670C7B"/>
    <w:rsid w:val="006772F0"/>
    <w:rsid w:val="00680CA4"/>
    <w:rsid w:val="00681DBC"/>
    <w:rsid w:val="0068661E"/>
    <w:rsid w:val="00690963"/>
    <w:rsid w:val="006910BF"/>
    <w:rsid w:val="006C7748"/>
    <w:rsid w:val="006D1AFC"/>
    <w:rsid w:val="006D30B0"/>
    <w:rsid w:val="006D719E"/>
    <w:rsid w:val="006E6ED6"/>
    <w:rsid w:val="006F03D1"/>
    <w:rsid w:val="006F1A6B"/>
    <w:rsid w:val="006F1DAF"/>
    <w:rsid w:val="006F30B5"/>
    <w:rsid w:val="006F3887"/>
    <w:rsid w:val="006F4988"/>
    <w:rsid w:val="006F5678"/>
    <w:rsid w:val="00700F37"/>
    <w:rsid w:val="0070223A"/>
    <w:rsid w:val="00707813"/>
    <w:rsid w:val="00712ABF"/>
    <w:rsid w:val="00716C5D"/>
    <w:rsid w:val="00720FF0"/>
    <w:rsid w:val="0073102E"/>
    <w:rsid w:val="007325DE"/>
    <w:rsid w:val="007409D4"/>
    <w:rsid w:val="0074352F"/>
    <w:rsid w:val="00746A88"/>
    <w:rsid w:val="007514FA"/>
    <w:rsid w:val="007552FD"/>
    <w:rsid w:val="007560B2"/>
    <w:rsid w:val="00756D34"/>
    <w:rsid w:val="00766FE6"/>
    <w:rsid w:val="007849E4"/>
    <w:rsid w:val="00790059"/>
    <w:rsid w:val="00791E30"/>
    <w:rsid w:val="00792674"/>
    <w:rsid w:val="007937CD"/>
    <w:rsid w:val="0079408D"/>
    <w:rsid w:val="00796746"/>
    <w:rsid w:val="007A2A83"/>
    <w:rsid w:val="007B261A"/>
    <w:rsid w:val="007B527D"/>
    <w:rsid w:val="007C115D"/>
    <w:rsid w:val="007D281B"/>
    <w:rsid w:val="007D518D"/>
    <w:rsid w:val="007D5A6E"/>
    <w:rsid w:val="007E307F"/>
    <w:rsid w:val="007E4B40"/>
    <w:rsid w:val="007F2C5C"/>
    <w:rsid w:val="007F5B9F"/>
    <w:rsid w:val="00801F7E"/>
    <w:rsid w:val="00802441"/>
    <w:rsid w:val="008078BD"/>
    <w:rsid w:val="00810F28"/>
    <w:rsid w:val="008116DB"/>
    <w:rsid w:val="00816CE3"/>
    <w:rsid w:val="00822496"/>
    <w:rsid w:val="00827058"/>
    <w:rsid w:val="008278B7"/>
    <w:rsid w:val="0083179B"/>
    <w:rsid w:val="00836B0E"/>
    <w:rsid w:val="00837B07"/>
    <w:rsid w:val="00842BD0"/>
    <w:rsid w:val="00844D3C"/>
    <w:rsid w:val="00846DC9"/>
    <w:rsid w:val="00852A54"/>
    <w:rsid w:val="00861DFB"/>
    <w:rsid w:val="00867A33"/>
    <w:rsid w:val="00873DBD"/>
    <w:rsid w:val="00875D39"/>
    <w:rsid w:val="00877B4B"/>
    <w:rsid w:val="00887B78"/>
    <w:rsid w:val="00887FB1"/>
    <w:rsid w:val="00893193"/>
    <w:rsid w:val="008A088A"/>
    <w:rsid w:val="008B13FC"/>
    <w:rsid w:val="008B479E"/>
    <w:rsid w:val="008B690E"/>
    <w:rsid w:val="008D2FFB"/>
    <w:rsid w:val="008D334B"/>
    <w:rsid w:val="008D4752"/>
    <w:rsid w:val="008D6B42"/>
    <w:rsid w:val="008E5A12"/>
    <w:rsid w:val="008E746E"/>
    <w:rsid w:val="008F6DD3"/>
    <w:rsid w:val="00903BC5"/>
    <w:rsid w:val="00904AC6"/>
    <w:rsid w:val="009171FF"/>
    <w:rsid w:val="009214CA"/>
    <w:rsid w:val="009367F9"/>
    <w:rsid w:val="00936EF7"/>
    <w:rsid w:val="0094366F"/>
    <w:rsid w:val="00952103"/>
    <w:rsid w:val="0096034F"/>
    <w:rsid w:val="00971E9C"/>
    <w:rsid w:val="00973730"/>
    <w:rsid w:val="00975BFA"/>
    <w:rsid w:val="009834AA"/>
    <w:rsid w:val="00983A2D"/>
    <w:rsid w:val="00985FCC"/>
    <w:rsid w:val="00991B70"/>
    <w:rsid w:val="00995FB8"/>
    <w:rsid w:val="009A4763"/>
    <w:rsid w:val="009A4CEB"/>
    <w:rsid w:val="009B0518"/>
    <w:rsid w:val="009D26B1"/>
    <w:rsid w:val="009D7DEF"/>
    <w:rsid w:val="009E1AB1"/>
    <w:rsid w:val="009E1ED6"/>
    <w:rsid w:val="009E6436"/>
    <w:rsid w:val="009F39E7"/>
    <w:rsid w:val="009F47F5"/>
    <w:rsid w:val="009F4D17"/>
    <w:rsid w:val="009F528C"/>
    <w:rsid w:val="00A20884"/>
    <w:rsid w:val="00A24A1E"/>
    <w:rsid w:val="00A30768"/>
    <w:rsid w:val="00A3166B"/>
    <w:rsid w:val="00A3679F"/>
    <w:rsid w:val="00A414BF"/>
    <w:rsid w:val="00A46ED2"/>
    <w:rsid w:val="00A51697"/>
    <w:rsid w:val="00A52CAF"/>
    <w:rsid w:val="00A52F3C"/>
    <w:rsid w:val="00A60F68"/>
    <w:rsid w:val="00A701CB"/>
    <w:rsid w:val="00A70E6C"/>
    <w:rsid w:val="00A76478"/>
    <w:rsid w:val="00A8397F"/>
    <w:rsid w:val="00A8707D"/>
    <w:rsid w:val="00A91242"/>
    <w:rsid w:val="00A9433D"/>
    <w:rsid w:val="00A9558B"/>
    <w:rsid w:val="00A964D9"/>
    <w:rsid w:val="00A97930"/>
    <w:rsid w:val="00AA7A4E"/>
    <w:rsid w:val="00AB323B"/>
    <w:rsid w:val="00AB4A20"/>
    <w:rsid w:val="00AC2F63"/>
    <w:rsid w:val="00AD269A"/>
    <w:rsid w:val="00B00CF2"/>
    <w:rsid w:val="00B01B55"/>
    <w:rsid w:val="00B02FB6"/>
    <w:rsid w:val="00B04C71"/>
    <w:rsid w:val="00B07ED7"/>
    <w:rsid w:val="00B23DD9"/>
    <w:rsid w:val="00B2418C"/>
    <w:rsid w:val="00B2770E"/>
    <w:rsid w:val="00B41B71"/>
    <w:rsid w:val="00B4357A"/>
    <w:rsid w:val="00B45589"/>
    <w:rsid w:val="00B539E0"/>
    <w:rsid w:val="00B53B65"/>
    <w:rsid w:val="00B57E6D"/>
    <w:rsid w:val="00B726CD"/>
    <w:rsid w:val="00B7580B"/>
    <w:rsid w:val="00B96500"/>
    <w:rsid w:val="00B970EA"/>
    <w:rsid w:val="00B97829"/>
    <w:rsid w:val="00BA4AE4"/>
    <w:rsid w:val="00BA52DC"/>
    <w:rsid w:val="00BC0B88"/>
    <w:rsid w:val="00BD21A9"/>
    <w:rsid w:val="00BD68EC"/>
    <w:rsid w:val="00BE20E5"/>
    <w:rsid w:val="00BE2842"/>
    <w:rsid w:val="00BE45A2"/>
    <w:rsid w:val="00BE7074"/>
    <w:rsid w:val="00BE73C1"/>
    <w:rsid w:val="00BF3894"/>
    <w:rsid w:val="00BF796E"/>
    <w:rsid w:val="00C111E2"/>
    <w:rsid w:val="00C30E82"/>
    <w:rsid w:val="00C3301E"/>
    <w:rsid w:val="00C40309"/>
    <w:rsid w:val="00C4587D"/>
    <w:rsid w:val="00C7262A"/>
    <w:rsid w:val="00C75A5E"/>
    <w:rsid w:val="00C87832"/>
    <w:rsid w:val="00C9046A"/>
    <w:rsid w:val="00C92B06"/>
    <w:rsid w:val="00C94A48"/>
    <w:rsid w:val="00CA5B2D"/>
    <w:rsid w:val="00CB47AE"/>
    <w:rsid w:val="00CB4BCF"/>
    <w:rsid w:val="00CC2479"/>
    <w:rsid w:val="00CC28A5"/>
    <w:rsid w:val="00CD18DA"/>
    <w:rsid w:val="00CD5ED2"/>
    <w:rsid w:val="00CE08BD"/>
    <w:rsid w:val="00CE52CF"/>
    <w:rsid w:val="00CF0772"/>
    <w:rsid w:val="00CF402E"/>
    <w:rsid w:val="00CF44BA"/>
    <w:rsid w:val="00CF5F5D"/>
    <w:rsid w:val="00CF67DE"/>
    <w:rsid w:val="00D012E4"/>
    <w:rsid w:val="00D15D7F"/>
    <w:rsid w:val="00D16E3E"/>
    <w:rsid w:val="00D17EEA"/>
    <w:rsid w:val="00D229C8"/>
    <w:rsid w:val="00D301ED"/>
    <w:rsid w:val="00D51FDE"/>
    <w:rsid w:val="00D61A54"/>
    <w:rsid w:val="00D632EF"/>
    <w:rsid w:val="00D644B6"/>
    <w:rsid w:val="00D90BFA"/>
    <w:rsid w:val="00DA0554"/>
    <w:rsid w:val="00DA6F77"/>
    <w:rsid w:val="00DA73B0"/>
    <w:rsid w:val="00DC3B77"/>
    <w:rsid w:val="00DD1A10"/>
    <w:rsid w:val="00DD46F6"/>
    <w:rsid w:val="00DE417F"/>
    <w:rsid w:val="00DE7835"/>
    <w:rsid w:val="00DF3CAD"/>
    <w:rsid w:val="00E077B5"/>
    <w:rsid w:val="00E11511"/>
    <w:rsid w:val="00E20F44"/>
    <w:rsid w:val="00E2659D"/>
    <w:rsid w:val="00E30118"/>
    <w:rsid w:val="00E41A30"/>
    <w:rsid w:val="00E44BC9"/>
    <w:rsid w:val="00E44C7C"/>
    <w:rsid w:val="00E52E62"/>
    <w:rsid w:val="00E540B1"/>
    <w:rsid w:val="00E63F0A"/>
    <w:rsid w:val="00E74940"/>
    <w:rsid w:val="00E77F6D"/>
    <w:rsid w:val="00E80A18"/>
    <w:rsid w:val="00E92ED3"/>
    <w:rsid w:val="00EB0653"/>
    <w:rsid w:val="00EB1CD0"/>
    <w:rsid w:val="00EB20AF"/>
    <w:rsid w:val="00EB57CC"/>
    <w:rsid w:val="00EC64BD"/>
    <w:rsid w:val="00EC74C0"/>
    <w:rsid w:val="00ED0A02"/>
    <w:rsid w:val="00ED3D70"/>
    <w:rsid w:val="00EE2F73"/>
    <w:rsid w:val="00EE4846"/>
    <w:rsid w:val="00EF1F13"/>
    <w:rsid w:val="00EF5859"/>
    <w:rsid w:val="00F040E1"/>
    <w:rsid w:val="00F07DCD"/>
    <w:rsid w:val="00F11B8C"/>
    <w:rsid w:val="00F27278"/>
    <w:rsid w:val="00F3215B"/>
    <w:rsid w:val="00F40235"/>
    <w:rsid w:val="00F41E3C"/>
    <w:rsid w:val="00F45AC9"/>
    <w:rsid w:val="00F504C0"/>
    <w:rsid w:val="00F57821"/>
    <w:rsid w:val="00F669BA"/>
    <w:rsid w:val="00F7364C"/>
    <w:rsid w:val="00F83E49"/>
    <w:rsid w:val="00F840B9"/>
    <w:rsid w:val="00FA369F"/>
    <w:rsid w:val="00FB112C"/>
    <w:rsid w:val="00FB15F1"/>
    <w:rsid w:val="00FB2B91"/>
    <w:rsid w:val="00FB7C88"/>
    <w:rsid w:val="00FC7739"/>
    <w:rsid w:val="00FD006A"/>
    <w:rsid w:val="00FD224D"/>
    <w:rsid w:val="00FD4BD4"/>
    <w:rsid w:val="00FE6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7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D9"/>
    <w:pPr>
      <w:spacing w:after="0" w:line="240" w:lineRule="auto"/>
    </w:pPr>
    <w:rPr>
      <w:rFonts w:ascii="Times New Roman" w:eastAsia="Times New Roman" w:hAnsi="Times New Roman" w:cs="Times New Roman"/>
      <w:kern w:val="0"/>
      <w:lang w:val="lv-LV" w:eastAsia="ru-RU"/>
      <w14:ligatures w14:val="none"/>
    </w:rPr>
  </w:style>
  <w:style w:type="paragraph" w:styleId="Heading1">
    <w:name w:val="heading 1"/>
    <w:basedOn w:val="Normal"/>
    <w:next w:val="Normal"/>
    <w:link w:val="Heading1Char"/>
    <w:uiPriority w:val="9"/>
    <w:qFormat/>
    <w:rsid w:val="00A964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964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964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964D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964D9"/>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964D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964D9"/>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964D9"/>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964D9"/>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D9"/>
    <w:rPr>
      <w:rFonts w:eastAsiaTheme="majorEastAsia" w:cstheme="majorBidi"/>
      <w:color w:val="272727" w:themeColor="text1" w:themeTint="D8"/>
    </w:rPr>
  </w:style>
  <w:style w:type="paragraph" w:styleId="Title">
    <w:name w:val="Title"/>
    <w:basedOn w:val="Normal"/>
    <w:next w:val="Normal"/>
    <w:link w:val="TitleChar"/>
    <w:uiPriority w:val="10"/>
    <w:qFormat/>
    <w:rsid w:val="00A964D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9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9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D9"/>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964D9"/>
    <w:rPr>
      <w:i/>
      <w:iCs/>
      <w:color w:val="404040" w:themeColor="text1" w:themeTint="BF"/>
    </w:rPr>
  </w:style>
  <w:style w:type="paragraph" w:styleId="ListParagraph">
    <w:name w:val="List Paragraph"/>
    <w:basedOn w:val="Normal"/>
    <w:uiPriority w:val="34"/>
    <w:qFormat/>
    <w:rsid w:val="00A964D9"/>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A964D9"/>
    <w:rPr>
      <w:i/>
      <w:iCs/>
      <w:color w:val="2F5496" w:themeColor="accent1" w:themeShade="BF"/>
    </w:rPr>
  </w:style>
  <w:style w:type="paragraph" w:styleId="IntenseQuote">
    <w:name w:val="Intense Quote"/>
    <w:basedOn w:val="Normal"/>
    <w:next w:val="Normal"/>
    <w:link w:val="IntenseQuoteChar"/>
    <w:uiPriority w:val="30"/>
    <w:qFormat/>
    <w:rsid w:val="00A964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964D9"/>
    <w:rPr>
      <w:i/>
      <w:iCs/>
      <w:color w:val="2F5496" w:themeColor="accent1" w:themeShade="BF"/>
    </w:rPr>
  </w:style>
  <w:style w:type="character" w:styleId="IntenseReference">
    <w:name w:val="Intense Reference"/>
    <w:basedOn w:val="DefaultParagraphFont"/>
    <w:uiPriority w:val="32"/>
    <w:qFormat/>
    <w:rsid w:val="00A964D9"/>
    <w:rPr>
      <w:b/>
      <w:bCs/>
      <w:smallCaps/>
      <w:color w:val="2F5496" w:themeColor="accent1" w:themeShade="BF"/>
      <w:spacing w:val="5"/>
    </w:rPr>
  </w:style>
  <w:style w:type="paragraph" w:styleId="BodyText2">
    <w:name w:val="Body Text 2"/>
    <w:basedOn w:val="Normal"/>
    <w:link w:val="BodyText2Char"/>
    <w:semiHidden/>
    <w:unhideWhenUsed/>
    <w:rsid w:val="00A964D9"/>
    <w:pPr>
      <w:spacing w:after="120" w:line="480" w:lineRule="auto"/>
    </w:pPr>
    <w:rPr>
      <w:lang w:val="x-none"/>
    </w:rPr>
  </w:style>
  <w:style w:type="character" w:customStyle="1" w:styleId="BodyText2Char">
    <w:name w:val="Body Text 2 Char"/>
    <w:basedOn w:val="DefaultParagraphFont"/>
    <w:link w:val="BodyText2"/>
    <w:semiHidden/>
    <w:rsid w:val="00A964D9"/>
    <w:rPr>
      <w:rFonts w:ascii="Times New Roman" w:eastAsia="Times New Roman" w:hAnsi="Times New Roman" w:cs="Times New Roman"/>
      <w:kern w:val="0"/>
      <w:lang w:val="x-none" w:eastAsia="ru-RU"/>
      <w14:ligatures w14:val="none"/>
    </w:rPr>
  </w:style>
  <w:style w:type="table" w:styleId="TableGrid">
    <w:name w:val="Table Grid"/>
    <w:basedOn w:val="TableNormal"/>
    <w:rsid w:val="00A964D9"/>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4D9"/>
    <w:pPr>
      <w:tabs>
        <w:tab w:val="center" w:pos="4153"/>
        <w:tab w:val="right" w:pos="8306"/>
      </w:tabs>
    </w:pPr>
  </w:style>
  <w:style w:type="character" w:customStyle="1" w:styleId="HeaderChar">
    <w:name w:val="Header Char"/>
    <w:basedOn w:val="DefaultParagraphFont"/>
    <w:link w:val="Header"/>
    <w:uiPriority w:val="99"/>
    <w:rsid w:val="00A964D9"/>
    <w:rPr>
      <w:rFonts w:ascii="Times New Roman" w:eastAsia="Times New Roman" w:hAnsi="Times New Roman" w:cs="Times New Roman"/>
      <w:kern w:val="0"/>
      <w:lang w:val="lv-LV" w:eastAsia="ru-RU"/>
      <w14:ligatures w14:val="none"/>
    </w:rPr>
  </w:style>
  <w:style w:type="paragraph" w:styleId="Footer">
    <w:name w:val="footer"/>
    <w:basedOn w:val="Normal"/>
    <w:link w:val="FooterChar"/>
    <w:uiPriority w:val="99"/>
    <w:unhideWhenUsed/>
    <w:rsid w:val="00A964D9"/>
    <w:pPr>
      <w:tabs>
        <w:tab w:val="center" w:pos="4153"/>
        <w:tab w:val="right" w:pos="8306"/>
      </w:tabs>
    </w:pPr>
  </w:style>
  <w:style w:type="character" w:customStyle="1" w:styleId="FooterChar">
    <w:name w:val="Footer Char"/>
    <w:basedOn w:val="DefaultParagraphFont"/>
    <w:link w:val="Footer"/>
    <w:uiPriority w:val="99"/>
    <w:rsid w:val="00A964D9"/>
    <w:rPr>
      <w:rFonts w:ascii="Times New Roman" w:eastAsia="Times New Roman" w:hAnsi="Times New Roman" w:cs="Times New Roman"/>
      <w:kern w:val="0"/>
      <w:lang w:val="lv-LV" w:eastAsia="ru-RU"/>
      <w14:ligatures w14:val="none"/>
    </w:rPr>
  </w:style>
  <w:style w:type="character" w:styleId="Hyperlink">
    <w:name w:val="Hyperlink"/>
    <w:basedOn w:val="DefaultParagraphFont"/>
    <w:uiPriority w:val="99"/>
    <w:unhideWhenUsed/>
    <w:rsid w:val="00A964D9"/>
    <w:rPr>
      <w:color w:val="0563C1" w:themeColor="hyperlink"/>
      <w:u w:val="single"/>
    </w:rPr>
  </w:style>
  <w:style w:type="character" w:styleId="FollowedHyperlink">
    <w:name w:val="FollowedHyperlink"/>
    <w:basedOn w:val="DefaultParagraphFont"/>
    <w:uiPriority w:val="99"/>
    <w:semiHidden/>
    <w:unhideWhenUsed/>
    <w:rsid w:val="00F040E1"/>
    <w:rPr>
      <w:color w:val="954F72" w:themeColor="followedHyperlink"/>
      <w:u w:val="single"/>
    </w:rPr>
  </w:style>
  <w:style w:type="character" w:styleId="UnresolvedMention">
    <w:name w:val="Unresolved Mention"/>
    <w:basedOn w:val="DefaultParagraphFont"/>
    <w:uiPriority w:val="99"/>
    <w:semiHidden/>
    <w:unhideWhenUsed/>
    <w:rsid w:val="00572D1D"/>
    <w:rPr>
      <w:color w:val="605E5C"/>
      <w:shd w:val="clear" w:color="auto" w:fill="E1DFDD"/>
    </w:rPr>
  </w:style>
  <w:style w:type="paragraph" w:styleId="NormalWeb">
    <w:name w:val="Normal (Web)"/>
    <w:basedOn w:val="Normal"/>
    <w:uiPriority w:val="99"/>
    <w:semiHidden/>
    <w:unhideWhenUsed/>
    <w:rsid w:val="000D228D"/>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unhideWhenUsed/>
    <w:qFormat/>
    <w:rsid w:val="00A9433D"/>
    <w:rPr>
      <w:rFonts w:asciiTheme="minorHAnsi" w:eastAsiaTheme="minorHAnsi" w:hAnsiTheme="minorHAnsi" w:cstheme="minorBidi"/>
      <w:sz w:val="20"/>
      <w:szCs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uiPriority w:val="99"/>
    <w:rsid w:val="00A9433D"/>
    <w:rPr>
      <w:kern w:val="0"/>
      <w:sz w:val="20"/>
      <w:szCs w:val="20"/>
      <w:lang w:val="lv-LV"/>
      <w14:ligatures w14:val="none"/>
    </w:rPr>
  </w:style>
  <w:style w:type="character" w:styleId="FootnoteReference">
    <w:name w:val="footnote reference"/>
    <w:aliases w:val="Footnote symbol"/>
    <w:basedOn w:val="DefaultParagraphFont"/>
    <w:uiPriority w:val="99"/>
    <w:unhideWhenUsed/>
    <w:rsid w:val="00A9433D"/>
    <w:rPr>
      <w:vertAlign w:val="superscript"/>
    </w:rPr>
  </w:style>
  <w:style w:type="paragraph" w:customStyle="1" w:styleId="Default">
    <w:name w:val="Default"/>
    <w:basedOn w:val="Normal"/>
    <w:rsid w:val="00766FE6"/>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2226">
      <w:bodyDiv w:val="1"/>
      <w:marLeft w:val="0"/>
      <w:marRight w:val="0"/>
      <w:marTop w:val="0"/>
      <w:marBottom w:val="0"/>
      <w:divBdr>
        <w:top w:val="none" w:sz="0" w:space="0" w:color="auto"/>
        <w:left w:val="none" w:sz="0" w:space="0" w:color="auto"/>
        <w:bottom w:val="none" w:sz="0" w:space="0" w:color="auto"/>
        <w:right w:val="none" w:sz="0" w:space="0" w:color="auto"/>
      </w:divBdr>
      <w:divsChild>
        <w:div w:id="432169073">
          <w:marLeft w:val="0"/>
          <w:marRight w:val="0"/>
          <w:marTop w:val="0"/>
          <w:marBottom w:val="0"/>
          <w:divBdr>
            <w:top w:val="none" w:sz="0" w:space="0" w:color="auto"/>
            <w:left w:val="none" w:sz="0" w:space="0" w:color="auto"/>
            <w:bottom w:val="none" w:sz="0" w:space="0" w:color="auto"/>
            <w:right w:val="none" w:sz="0" w:space="0" w:color="auto"/>
          </w:divBdr>
        </w:div>
      </w:divsChild>
    </w:div>
    <w:div w:id="686711459">
      <w:bodyDiv w:val="1"/>
      <w:marLeft w:val="0"/>
      <w:marRight w:val="0"/>
      <w:marTop w:val="0"/>
      <w:marBottom w:val="0"/>
      <w:divBdr>
        <w:top w:val="none" w:sz="0" w:space="0" w:color="auto"/>
        <w:left w:val="none" w:sz="0" w:space="0" w:color="auto"/>
        <w:bottom w:val="none" w:sz="0" w:space="0" w:color="auto"/>
        <w:right w:val="none" w:sz="0" w:space="0" w:color="auto"/>
      </w:divBdr>
      <w:divsChild>
        <w:div w:id="1263755894">
          <w:marLeft w:val="0"/>
          <w:marRight w:val="0"/>
          <w:marTop w:val="0"/>
          <w:marBottom w:val="0"/>
          <w:divBdr>
            <w:top w:val="none" w:sz="0" w:space="0" w:color="auto"/>
            <w:left w:val="none" w:sz="0" w:space="0" w:color="auto"/>
            <w:bottom w:val="none" w:sz="0" w:space="0" w:color="auto"/>
            <w:right w:val="none" w:sz="0" w:space="0" w:color="auto"/>
          </w:divBdr>
        </w:div>
      </w:divsChild>
    </w:div>
    <w:div w:id="2128113754">
      <w:bodyDiv w:val="1"/>
      <w:marLeft w:val="0"/>
      <w:marRight w:val="0"/>
      <w:marTop w:val="0"/>
      <w:marBottom w:val="0"/>
      <w:divBdr>
        <w:top w:val="none" w:sz="0" w:space="0" w:color="auto"/>
        <w:left w:val="none" w:sz="0" w:space="0" w:color="auto"/>
        <w:bottom w:val="none" w:sz="0" w:space="0" w:color="auto"/>
        <w:right w:val="none" w:sz="0" w:space="0" w:color="auto"/>
      </w:divBdr>
      <w:divsChild>
        <w:div w:id="192495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7604b24-052b-4ce6-ad93-ac46b8d02e62" TargetMode="External"/><Relationship Id="rId13" Type="http://schemas.openxmlformats.org/officeDocument/2006/relationships/hyperlink" Target="https://gateway.elieta.lv/api/v1/PublicMaterialDownload/ec787a2f-7382-413c-9d01-22218cb1429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b5f853b4-83f4-4876-9879-0fddfe486f3f" TargetMode="External"/><Relationship Id="rId12" Type="http://schemas.openxmlformats.org/officeDocument/2006/relationships/hyperlink" Target="https://gateway.elieta.lv/api/v1/PublicMaterialDownload/f7604b24-052b-4ce6-ad93-ac46b8d02e6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eway.elieta.lv/api/v1/PublicMaterialDownload/89ad8a79-734c-488f-a640-224b4df4f97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208587.pdf" TargetMode="External"/><Relationship Id="rId5" Type="http://schemas.openxmlformats.org/officeDocument/2006/relationships/footnotes" Target="footnotes.xml"/><Relationship Id="rId15" Type="http://schemas.openxmlformats.org/officeDocument/2006/relationships/hyperlink" Target="https://gateway.elieta.lv/api/v1/PublicMaterialDownload/89ad8a79-734c-488f-a640-224b4df4f972" TargetMode="External"/><Relationship Id="rId10" Type="http://schemas.openxmlformats.org/officeDocument/2006/relationships/hyperlink" Target="https://manas.tiesas.lv:443/eTiesasMvc/nolemumi/pdf/46448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nas.tiesas.lv:443/eTiesasMvc/nolemumi/pdf/477823.pdf" TargetMode="External"/><Relationship Id="rId14" Type="http://schemas.openxmlformats.org/officeDocument/2006/relationships/hyperlink" Target="https://manas.tiesas.lv/eTiesasMvc/nolemumi/pdf/4778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2ED5-504C-4B9C-9188-B9A20311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7853</Words>
  <Characters>4477</Characters>
  <Application>Microsoft Office Word</Application>
  <DocSecurity>0</DocSecurity>
  <Lines>37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2026-05-29T12:46:00Z</dcterms:created>
  <dcterms:modified xsi:type="dcterms:W3CDTF">2026-05-29T12:46:00Z</dcterms:modified>
</cp:coreProperties>
</file>