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BCDC" w14:textId="75DBEA68" w:rsidR="00447EE6" w:rsidRPr="00D57EA4" w:rsidRDefault="00562973" w:rsidP="00562973">
      <w:pPr>
        <w:spacing w:line="276" w:lineRule="auto"/>
        <w:jc w:val="both"/>
        <w:rPr>
          <w:color w:val="000000" w:themeColor="text1"/>
        </w:rPr>
      </w:pPr>
      <w:r>
        <w:rPr>
          <w:b/>
          <w:bCs/>
          <w:i/>
          <w:iCs/>
        </w:rPr>
        <w:t xml:space="preserve">Res judicata </w:t>
      </w:r>
      <w:r>
        <w:rPr>
          <w:b/>
          <w:bCs/>
        </w:rPr>
        <w:t>princips</w:t>
      </w:r>
    </w:p>
    <w:p w14:paraId="7DFE14B1" w14:textId="0DF53EAC" w:rsidR="00447EE6" w:rsidRPr="00562973" w:rsidRDefault="00447EE6" w:rsidP="00562973">
      <w:pPr>
        <w:spacing w:before="240" w:line="276" w:lineRule="auto"/>
        <w:jc w:val="center"/>
        <w:rPr>
          <w:b/>
        </w:rPr>
      </w:pPr>
      <w:r w:rsidRPr="00562973">
        <w:rPr>
          <w:b/>
        </w:rPr>
        <w:t>Latvijas Republikas Senāt</w:t>
      </w:r>
      <w:r w:rsidR="00562973" w:rsidRPr="00562973">
        <w:rPr>
          <w:b/>
        </w:rPr>
        <w:t>a</w:t>
      </w:r>
      <w:r w:rsidR="00562973" w:rsidRPr="00562973">
        <w:rPr>
          <w:b/>
        </w:rPr>
        <w:br/>
        <w:t xml:space="preserve">Administratīvo lietu departamenta </w:t>
      </w:r>
      <w:r w:rsidR="00562973" w:rsidRPr="00562973">
        <w:rPr>
          <w:b/>
        </w:rPr>
        <w:br/>
        <w:t xml:space="preserve">2026.gada 31.marta </w:t>
      </w:r>
    </w:p>
    <w:p w14:paraId="176CC32A" w14:textId="77777777" w:rsidR="00447EE6" w:rsidRPr="00562973" w:rsidRDefault="00447EE6" w:rsidP="00562973">
      <w:pPr>
        <w:spacing w:line="276" w:lineRule="auto"/>
        <w:jc w:val="center"/>
        <w:rPr>
          <w:b/>
        </w:rPr>
      </w:pPr>
      <w:r w:rsidRPr="00562973">
        <w:rPr>
          <w:b/>
        </w:rPr>
        <w:t>SPRIEDUMS</w:t>
      </w:r>
      <w:r w:rsidRPr="00562973" w:rsidDel="000D5B2A">
        <w:rPr>
          <w:b/>
        </w:rPr>
        <w:t xml:space="preserve"> </w:t>
      </w:r>
    </w:p>
    <w:p w14:paraId="2154DCBB" w14:textId="6BA73EF4" w:rsidR="00562973" w:rsidRPr="00562973" w:rsidRDefault="00562973" w:rsidP="00562973">
      <w:pPr>
        <w:spacing w:line="276" w:lineRule="auto"/>
        <w:jc w:val="center"/>
        <w:rPr>
          <w:b/>
          <w:bCs/>
          <w:color w:val="000000" w:themeColor="text1"/>
        </w:rPr>
      </w:pPr>
      <w:r w:rsidRPr="00562973">
        <w:rPr>
          <w:b/>
          <w:bCs/>
          <w:color w:val="000000" w:themeColor="text1"/>
        </w:rPr>
        <w:t>Lieta Nr. A420142619</w:t>
      </w:r>
      <w:r w:rsidRPr="00562973">
        <w:rPr>
          <w:b/>
          <w:bCs/>
          <w:color w:val="000000" w:themeColor="text1"/>
          <w:lang w:eastAsia="lv-LV"/>
        </w:rPr>
        <w:t xml:space="preserve">, </w:t>
      </w:r>
      <w:r w:rsidRPr="00562973">
        <w:rPr>
          <w:b/>
          <w:bCs/>
          <w:color w:val="000000" w:themeColor="text1"/>
        </w:rPr>
        <w:t>SKA-134/2026</w:t>
      </w:r>
    </w:p>
    <w:p w14:paraId="0B326786" w14:textId="00B82D4F" w:rsidR="00562973" w:rsidRPr="00562973" w:rsidRDefault="00562973" w:rsidP="00562973">
      <w:pPr>
        <w:spacing w:line="276" w:lineRule="auto"/>
        <w:jc w:val="center"/>
      </w:pPr>
      <w:r w:rsidRPr="00562973">
        <w:t xml:space="preserve"> </w:t>
      </w:r>
      <w:hyperlink r:id="rId7" w:history="1">
        <w:r w:rsidRPr="00562973">
          <w:rPr>
            <w:rStyle w:val="Hyperlink"/>
          </w:rPr>
          <w:t>ECLI:LV:AT:2026:0331.A420142619.11.S</w:t>
        </w:r>
      </w:hyperlink>
    </w:p>
    <w:p w14:paraId="700E1FBE" w14:textId="77777777" w:rsidR="00411CD0" w:rsidRPr="008427D5" w:rsidRDefault="00411CD0" w:rsidP="00562973">
      <w:pPr>
        <w:spacing w:line="276" w:lineRule="auto"/>
        <w:ind w:firstLine="720"/>
        <w:jc w:val="center"/>
      </w:pPr>
    </w:p>
    <w:p w14:paraId="68E4AE23" w14:textId="2566665F" w:rsidR="00447EE6" w:rsidRPr="008427D5" w:rsidRDefault="00447EE6" w:rsidP="00562973">
      <w:pPr>
        <w:spacing w:line="276" w:lineRule="auto"/>
        <w:ind w:firstLine="720"/>
        <w:jc w:val="both"/>
      </w:pPr>
      <w:r w:rsidRPr="008427D5">
        <w:t>Senāts šādā sastāvā:</w:t>
      </w:r>
      <w:r w:rsidR="00D25D87" w:rsidRPr="008427D5">
        <w:t xml:space="preserve"> senatore referente </w:t>
      </w:r>
      <w:r w:rsidR="00F21648" w:rsidRPr="008427D5">
        <w:t>Ieva Višķere</w:t>
      </w:r>
      <w:r w:rsidR="00D25D87" w:rsidRPr="008427D5">
        <w:t>, senator</w:t>
      </w:r>
      <w:r w:rsidR="00F21648" w:rsidRPr="008427D5">
        <w:t xml:space="preserve">i Ermīns Darapoļskis </w:t>
      </w:r>
      <w:r w:rsidR="00D25D87" w:rsidRPr="008427D5">
        <w:t xml:space="preserve">un </w:t>
      </w:r>
      <w:r w:rsidR="00F21648" w:rsidRPr="008427D5">
        <w:t>Diāna Makarova</w:t>
      </w:r>
    </w:p>
    <w:p w14:paraId="27F96722" w14:textId="77777777" w:rsidR="00A11873" w:rsidRPr="008427D5" w:rsidRDefault="00A11873" w:rsidP="00562973">
      <w:pPr>
        <w:spacing w:line="276" w:lineRule="auto"/>
        <w:ind w:firstLine="720"/>
        <w:jc w:val="both"/>
      </w:pPr>
    </w:p>
    <w:p w14:paraId="25F644D7" w14:textId="3D05A368" w:rsidR="00A11873" w:rsidRPr="008427D5" w:rsidRDefault="00A11873" w:rsidP="00562973">
      <w:pPr>
        <w:spacing w:line="276" w:lineRule="auto"/>
        <w:ind w:firstLine="720"/>
        <w:jc w:val="both"/>
      </w:pPr>
      <w:r w:rsidRPr="008427D5">
        <w:t xml:space="preserve">rakstveida procesā izskatīja administratīvo lietu, kas ierosināta, pamatojoties uz </w:t>
      </w:r>
      <w:r w:rsidR="00AE40EF" w:rsidRPr="008427D5">
        <w:t>AS „BALTIC COAL TERMINAL” pieteikumu par publisko tiesību līgumu izpildes pareizību</w:t>
      </w:r>
      <w:r w:rsidRPr="008427D5">
        <w:t xml:space="preserve">, sakarā ar </w:t>
      </w:r>
      <w:r w:rsidR="00AE40EF" w:rsidRPr="008427D5">
        <w:t xml:space="preserve">AS „BALTIC COAL TERMINAL” </w:t>
      </w:r>
      <w:r w:rsidRPr="008427D5">
        <w:t>kasācijas sūdzību par Administratīvās apgabaltiesas</w:t>
      </w:r>
      <w:r w:rsidR="00AB4447" w:rsidRPr="008427D5">
        <w:t xml:space="preserve"> 2024.gada 12.decembra</w:t>
      </w:r>
      <w:r w:rsidRPr="008427D5">
        <w:t xml:space="preserve"> spriedumu.</w:t>
      </w:r>
    </w:p>
    <w:p w14:paraId="73BBBC80" w14:textId="77777777" w:rsidR="00411CD0" w:rsidRPr="008427D5" w:rsidRDefault="00411CD0" w:rsidP="00562973">
      <w:pPr>
        <w:spacing w:line="276" w:lineRule="auto"/>
        <w:ind w:firstLine="720"/>
        <w:jc w:val="both"/>
      </w:pPr>
    </w:p>
    <w:p w14:paraId="043B76E3" w14:textId="77777777" w:rsidR="00447EE6" w:rsidRPr="008427D5" w:rsidRDefault="00447EE6" w:rsidP="00562973">
      <w:pPr>
        <w:spacing w:line="276" w:lineRule="auto"/>
        <w:jc w:val="center"/>
        <w:rPr>
          <w:b/>
          <w:shd w:val="clear" w:color="auto" w:fill="FFFFFF"/>
        </w:rPr>
      </w:pPr>
      <w:r w:rsidRPr="008427D5">
        <w:rPr>
          <w:b/>
          <w:shd w:val="clear" w:color="auto" w:fill="FFFFFF"/>
        </w:rPr>
        <w:t>Aprakstošā daļa</w:t>
      </w:r>
    </w:p>
    <w:p w14:paraId="784C83A8" w14:textId="77777777" w:rsidR="00411CD0" w:rsidRPr="00D25E9C" w:rsidRDefault="00411CD0" w:rsidP="00562973">
      <w:pPr>
        <w:spacing w:line="276" w:lineRule="auto"/>
        <w:jc w:val="center"/>
        <w:rPr>
          <w:color w:val="000000" w:themeColor="text1"/>
          <w:shd w:val="clear" w:color="auto" w:fill="FFFFFF"/>
        </w:rPr>
      </w:pPr>
    </w:p>
    <w:p w14:paraId="16FAC668" w14:textId="7F3509DD" w:rsidR="00CD48B6" w:rsidRPr="008427D5" w:rsidRDefault="00CD48B6" w:rsidP="00562973">
      <w:pPr>
        <w:spacing w:line="276" w:lineRule="auto"/>
        <w:ind w:firstLine="720"/>
        <w:jc w:val="both"/>
        <w:rPr>
          <w:rFonts w:asciiTheme="majorBidi" w:hAnsiTheme="majorBidi" w:cstheme="majorBidi"/>
        </w:rPr>
      </w:pPr>
      <w:r w:rsidRPr="008427D5">
        <w:rPr>
          <w:rFonts w:asciiTheme="majorBidi" w:hAnsiTheme="majorBidi" w:cstheme="majorBidi"/>
          <w:lang w:eastAsia="lv-LV"/>
        </w:rPr>
        <w:t>[1] </w:t>
      </w:r>
      <w:r w:rsidRPr="008427D5">
        <w:rPr>
          <w:rFonts w:asciiTheme="majorBidi" w:hAnsiTheme="majorBidi" w:cstheme="majorBidi"/>
        </w:rPr>
        <w:t xml:space="preserve">Pieteicēja </w:t>
      </w:r>
      <w:r w:rsidR="000F4380" w:rsidRPr="008427D5">
        <w:rPr>
          <w:rFonts w:asciiTheme="majorBidi" w:hAnsiTheme="majorBidi" w:cstheme="majorBidi"/>
        </w:rPr>
        <w:t xml:space="preserve">– </w:t>
      </w:r>
      <w:r w:rsidRPr="008427D5">
        <w:rPr>
          <w:rFonts w:asciiTheme="majorBidi" w:hAnsiTheme="majorBidi" w:cstheme="majorBidi"/>
        </w:rPr>
        <w:t>AS</w:t>
      </w:r>
      <w:r w:rsidR="000F4380" w:rsidRPr="008427D5">
        <w:rPr>
          <w:rFonts w:asciiTheme="majorBidi" w:hAnsiTheme="majorBidi" w:cstheme="majorBidi"/>
        </w:rPr>
        <w:t xml:space="preserve"> </w:t>
      </w:r>
      <w:r w:rsidRPr="008427D5">
        <w:rPr>
          <w:rFonts w:asciiTheme="majorBidi" w:hAnsiTheme="majorBidi" w:cstheme="majorBidi"/>
        </w:rPr>
        <w:t>„</w:t>
      </w:r>
      <w:r w:rsidRPr="008427D5">
        <w:rPr>
          <w:rFonts w:asciiTheme="majorBidi" w:eastAsiaTheme="minorHAnsi" w:hAnsiTheme="majorBidi" w:cstheme="majorBidi"/>
          <w:lang w:eastAsia="en-US"/>
        </w:rPr>
        <w:t>BALTIC COAL TERMINAL</w:t>
      </w:r>
      <w:r w:rsidRPr="008427D5">
        <w:rPr>
          <w:rFonts w:asciiTheme="majorBidi" w:hAnsiTheme="majorBidi" w:cstheme="majorBidi"/>
        </w:rPr>
        <w:t>”</w:t>
      </w:r>
      <w:r w:rsidR="000F4380" w:rsidRPr="008427D5">
        <w:rPr>
          <w:rFonts w:asciiTheme="majorBidi" w:hAnsiTheme="majorBidi" w:cstheme="majorBidi"/>
        </w:rPr>
        <w:t xml:space="preserve"> –</w:t>
      </w:r>
      <w:r w:rsidRPr="008427D5">
        <w:rPr>
          <w:rFonts w:asciiTheme="majorBidi" w:hAnsiTheme="majorBidi" w:cstheme="majorBidi"/>
        </w:rPr>
        <w:t xml:space="preserve"> 2005.gad</w:t>
      </w:r>
      <w:r w:rsidR="001842E9" w:rsidRPr="008427D5">
        <w:rPr>
          <w:rFonts w:asciiTheme="majorBidi" w:hAnsiTheme="majorBidi" w:cstheme="majorBidi"/>
        </w:rPr>
        <w:t>a 21.decembrī</w:t>
      </w:r>
      <w:r w:rsidRPr="008427D5">
        <w:rPr>
          <w:rFonts w:asciiTheme="majorBidi" w:hAnsiTheme="majorBidi" w:cstheme="majorBidi"/>
        </w:rPr>
        <w:t xml:space="preserve"> noslēdza vienošanos ar Ventspils brīvostas pārvaldi (turpmāk –</w:t>
      </w:r>
      <w:r w:rsidR="00B8221A" w:rsidRPr="008427D5">
        <w:rPr>
          <w:rFonts w:asciiTheme="majorBidi" w:hAnsiTheme="majorBidi" w:cstheme="majorBidi"/>
        </w:rPr>
        <w:t xml:space="preserve"> </w:t>
      </w:r>
      <w:r w:rsidRPr="008427D5">
        <w:rPr>
          <w:rFonts w:asciiTheme="majorBidi" w:hAnsiTheme="majorBidi" w:cstheme="majorBidi"/>
        </w:rPr>
        <w:t xml:space="preserve">pārvalde) par to, ka pieteicēja Ventspils brīvostas teritorijā uzcels savu ogļu pārkraušanas termināli un ogļu </w:t>
      </w:r>
      <w:r w:rsidR="00B8221A" w:rsidRPr="008427D5">
        <w:rPr>
          <w:rFonts w:asciiTheme="majorBidi" w:hAnsiTheme="majorBidi" w:cstheme="majorBidi"/>
        </w:rPr>
        <w:t xml:space="preserve">pārkraušanas </w:t>
      </w:r>
      <w:r w:rsidRPr="008427D5">
        <w:rPr>
          <w:rFonts w:asciiTheme="majorBidi" w:hAnsiTheme="majorBidi" w:cstheme="majorBidi"/>
        </w:rPr>
        <w:t xml:space="preserve">muliņu, kas atradīsies līdzās pārvaldes 1.muliņam. Ņemot vērā, ka pārvaldes 1.muliņš traucētu kuģiem pienākt pie pieteicējas ogļu </w:t>
      </w:r>
      <w:r w:rsidR="00B8221A" w:rsidRPr="008427D5">
        <w:rPr>
          <w:rFonts w:asciiTheme="majorBidi" w:hAnsiTheme="majorBidi" w:cstheme="majorBidi"/>
        </w:rPr>
        <w:t xml:space="preserve">pārkraušanas </w:t>
      </w:r>
      <w:r w:rsidRPr="008427D5">
        <w:rPr>
          <w:rFonts w:asciiTheme="majorBidi" w:hAnsiTheme="majorBidi" w:cstheme="majorBidi"/>
        </w:rPr>
        <w:t>muliņa no abām pusēm, pieteicēja ar pārvaldi arī vienojās, ka pārvalde šo muliņu nojauks, bet pieteicējai būs pienākums nodrošināt muliņa nojaukšanas izdevumu kompensēšanu.</w:t>
      </w:r>
    </w:p>
    <w:p w14:paraId="2D9A4C8A" w14:textId="77777777" w:rsidR="00CD48B6" w:rsidRPr="008427D5" w:rsidRDefault="00CD48B6" w:rsidP="00562973">
      <w:pPr>
        <w:spacing w:line="276" w:lineRule="auto"/>
        <w:ind w:firstLine="720"/>
        <w:jc w:val="both"/>
        <w:rPr>
          <w:rFonts w:asciiTheme="majorBidi" w:hAnsiTheme="majorBidi" w:cstheme="majorBidi"/>
        </w:rPr>
      </w:pPr>
    </w:p>
    <w:p w14:paraId="13770BEC" w14:textId="3A78D3C5" w:rsidR="00CD48B6" w:rsidRPr="008427D5" w:rsidRDefault="00CD48B6" w:rsidP="00562973">
      <w:pPr>
        <w:spacing w:line="276" w:lineRule="auto"/>
        <w:ind w:firstLine="720"/>
        <w:jc w:val="both"/>
        <w:rPr>
          <w:rFonts w:asciiTheme="majorBidi" w:hAnsiTheme="majorBidi" w:cstheme="majorBidi"/>
        </w:rPr>
      </w:pPr>
      <w:r w:rsidRPr="008427D5">
        <w:rPr>
          <w:rFonts w:asciiTheme="majorBidi" w:hAnsiTheme="majorBidi" w:cstheme="majorBidi"/>
        </w:rPr>
        <w:t xml:space="preserve">[2] 2006.gada 1.decembrī pārvalde ar pieteicēju noslēdza līgumu par tonnāžas maksas piemērošanas kārtību (turpmāk – Līgums), paredzot, ka kuģiem, kas tiks apkalpoti pie pieteicējai piederošā ogļu pārkraušanas muliņa, pārvalde 30 gadus piemēros tonnāžas maksas atlaides, kā rezultātā tonnāžas maksas, kuras maksās šie kuģi, daļēji nonāks pārvaldes rīcībā, pārējā daļā paliekot pieteicējas rīcībā. Vienlaikus šajā līgumā pieteicēja ar pārvaldi vienojās, ka pārvaldes 1.muliņa nojaukšanas izdevumi nosakāmi 3,5 miljonu latu apmērā un pārvaldei šīs izmaksas ir jāatgūst septiņu gadu laikā ar ostas maksām, kas tiks iekasētas no kuģiem, kas apkalpoti pie pieteicējai piederošā ogļu pārkraušanas muliņa. </w:t>
      </w:r>
    </w:p>
    <w:p w14:paraId="016AD97B" w14:textId="7EB2FA06" w:rsidR="00CD48B6" w:rsidRPr="008427D5" w:rsidRDefault="00CD48B6" w:rsidP="00562973">
      <w:pPr>
        <w:spacing w:line="276" w:lineRule="auto"/>
        <w:ind w:firstLine="720"/>
        <w:jc w:val="both"/>
        <w:rPr>
          <w:rFonts w:asciiTheme="majorBidi" w:hAnsiTheme="majorBidi" w:cstheme="majorBidi"/>
        </w:rPr>
      </w:pPr>
      <w:r w:rsidRPr="008427D5">
        <w:rPr>
          <w:rFonts w:asciiTheme="majorBidi" w:hAnsiTheme="majorBidi" w:cstheme="majorBidi"/>
        </w:rPr>
        <w:t xml:space="preserve">2012.gada 25.maijā pieteicēja ar pārvaldi noslēdza papildu vienošanos pie Līguma (turpmāk – Papildu vienošanās), </w:t>
      </w:r>
      <w:r w:rsidR="00C60682" w:rsidRPr="008427D5">
        <w:rPr>
          <w:rFonts w:asciiTheme="majorBidi" w:hAnsiTheme="majorBidi" w:cstheme="majorBidi"/>
        </w:rPr>
        <w:t>ar kuru puses vienojās par pieteicējas līdzdalību ar 1.muliņa nojaukšanas darbu saistīto izmaksu līdzfinansēšanā un kompensācij</w:t>
      </w:r>
      <w:r w:rsidR="00B8221A" w:rsidRPr="008427D5">
        <w:rPr>
          <w:rFonts w:asciiTheme="majorBidi" w:hAnsiTheme="majorBidi" w:cstheme="majorBidi"/>
        </w:rPr>
        <w:t>as maksājumiem</w:t>
      </w:r>
      <w:r w:rsidR="00C60682" w:rsidRPr="008427D5">
        <w:rPr>
          <w:rFonts w:asciiTheme="majorBidi" w:hAnsiTheme="majorBidi" w:cstheme="majorBidi"/>
        </w:rPr>
        <w:t>.</w:t>
      </w:r>
      <w:r w:rsidRPr="008427D5">
        <w:rPr>
          <w:rFonts w:asciiTheme="majorBidi" w:hAnsiTheme="majorBidi" w:cstheme="majorBidi"/>
        </w:rPr>
        <w:t xml:space="preserve"> </w:t>
      </w:r>
    </w:p>
    <w:p w14:paraId="7BD30148" w14:textId="0FACE6BA" w:rsidR="00DB1176" w:rsidRPr="008427D5" w:rsidRDefault="00CD48B6" w:rsidP="00562973">
      <w:pPr>
        <w:spacing w:line="276" w:lineRule="auto"/>
        <w:ind w:firstLine="720"/>
        <w:jc w:val="both"/>
        <w:rPr>
          <w:rFonts w:asciiTheme="majorBidi" w:hAnsiTheme="majorBidi" w:cstheme="majorBidi"/>
        </w:rPr>
      </w:pPr>
      <w:r w:rsidRPr="008427D5">
        <w:rPr>
          <w:rFonts w:asciiTheme="majorBidi" w:hAnsiTheme="majorBidi" w:cstheme="majorBidi"/>
        </w:rPr>
        <w:t>[3] 2014.gada decembrī tika pabeigta 1.muliņa nojaukšana</w:t>
      </w:r>
      <w:r w:rsidR="00DB1176" w:rsidRPr="008427D5">
        <w:rPr>
          <w:rFonts w:asciiTheme="majorBidi" w:hAnsiTheme="majorBidi" w:cstheme="majorBidi"/>
        </w:rPr>
        <w:t>, un 2015.gada 30.janvārī starp pieteicēju un pārvaldi parakstīts akts, kurā puses konstatē galīgās izmaksas un vienojas par šo izmaksu finansēšanas un kompensēšanas kārtību.</w:t>
      </w:r>
    </w:p>
    <w:p w14:paraId="68E50F61" w14:textId="79439A47" w:rsidR="00DB1176" w:rsidRPr="008427D5" w:rsidRDefault="00B8221A" w:rsidP="00562973">
      <w:pPr>
        <w:spacing w:line="276" w:lineRule="auto"/>
        <w:ind w:firstLine="720"/>
        <w:jc w:val="both"/>
        <w:rPr>
          <w:rFonts w:asciiTheme="majorBidi" w:hAnsiTheme="majorBidi" w:cstheme="majorBidi"/>
        </w:rPr>
      </w:pPr>
      <w:r w:rsidRPr="008427D5">
        <w:rPr>
          <w:rFonts w:asciiTheme="majorBidi" w:hAnsiTheme="majorBidi" w:cstheme="majorBidi"/>
        </w:rPr>
        <w:lastRenderedPageBreak/>
        <w:t>Pamatojoties uz</w:t>
      </w:r>
      <w:r w:rsidR="00DB1176" w:rsidRPr="008427D5">
        <w:rPr>
          <w:rFonts w:asciiTheme="majorBidi" w:hAnsiTheme="majorBidi" w:cstheme="majorBidi"/>
        </w:rPr>
        <w:t xml:space="preserve"> Līgumu un Papildu vienošanos</w:t>
      </w:r>
      <w:r w:rsidRPr="008427D5">
        <w:rPr>
          <w:rFonts w:asciiTheme="majorBidi" w:hAnsiTheme="majorBidi" w:cstheme="majorBidi"/>
        </w:rPr>
        <w:t>,</w:t>
      </w:r>
      <w:r w:rsidR="00DB1176" w:rsidRPr="008427D5">
        <w:rPr>
          <w:rFonts w:asciiTheme="majorBidi" w:hAnsiTheme="majorBidi" w:cstheme="majorBidi"/>
        </w:rPr>
        <w:t xml:space="preserve"> pārvalde no 2015.gada 31.decembra līdz 2021.gada 31.decembrim izrakstīja pieteicējai rēķinus par nesaņemto ieņēmumu kompensāciju.</w:t>
      </w:r>
    </w:p>
    <w:p w14:paraId="368BEF8E" w14:textId="2A4FBD3D" w:rsidR="00DB1176" w:rsidRPr="008427D5" w:rsidRDefault="00DB1176" w:rsidP="00562973">
      <w:pPr>
        <w:spacing w:line="276" w:lineRule="auto"/>
        <w:ind w:firstLine="720"/>
        <w:jc w:val="both"/>
        <w:rPr>
          <w:rFonts w:asciiTheme="majorBidi" w:hAnsiTheme="majorBidi" w:cstheme="majorBidi"/>
        </w:rPr>
      </w:pPr>
      <w:r w:rsidRPr="008427D5">
        <w:rPr>
          <w:rFonts w:asciiTheme="majorBidi" w:hAnsiTheme="majorBidi" w:cstheme="majorBidi"/>
        </w:rPr>
        <w:t>Strīds par to, vai Līgums un Papildu vienošanās ir izpildīta pareizi, pārvaldei izrakstot 2015., 2016. un 2017.</w:t>
      </w:r>
      <w:r w:rsidRPr="00F67A5A">
        <w:rPr>
          <w:rFonts w:asciiTheme="majorBidi" w:hAnsiTheme="majorBidi" w:cstheme="majorBidi"/>
        </w:rPr>
        <w:t>gada rēķinus, risināts administratīvajā lietā Nr. A420352916 (turpmāk –</w:t>
      </w:r>
      <w:r w:rsidR="00CC1B95" w:rsidRPr="00F67A5A">
        <w:rPr>
          <w:rFonts w:asciiTheme="majorBidi" w:hAnsiTheme="majorBidi" w:cstheme="majorBidi"/>
        </w:rPr>
        <w:t xml:space="preserve"> </w:t>
      </w:r>
      <w:r w:rsidRPr="00F67A5A">
        <w:rPr>
          <w:rFonts w:asciiTheme="majorBidi" w:hAnsiTheme="majorBidi" w:cstheme="majorBidi"/>
        </w:rPr>
        <w:t>pirmā lieta)</w:t>
      </w:r>
      <w:r w:rsidR="00F65201" w:rsidRPr="00F67A5A">
        <w:rPr>
          <w:rFonts w:asciiTheme="majorBidi" w:hAnsiTheme="majorBidi" w:cstheme="majorBidi"/>
        </w:rPr>
        <w:t xml:space="preserve">, kas noslēdzās, Senātam </w:t>
      </w:r>
      <w:r w:rsidR="00F67A5A" w:rsidRPr="00F67A5A">
        <w:rPr>
          <w:rFonts w:asciiTheme="majorBidi" w:hAnsiTheme="majorBidi" w:cstheme="majorBidi"/>
        </w:rPr>
        <w:t xml:space="preserve">šajā daļā </w:t>
      </w:r>
      <w:r w:rsidR="00F65201" w:rsidRPr="00F67A5A">
        <w:rPr>
          <w:rFonts w:asciiTheme="majorBidi" w:hAnsiTheme="majorBidi" w:cstheme="majorBidi"/>
        </w:rPr>
        <w:t>atstājot negrozītu Administratīvās apgabaltiesas 2020.gada 18.februāra spriedumu</w:t>
      </w:r>
      <w:r w:rsidRPr="00F67A5A">
        <w:rPr>
          <w:rFonts w:asciiTheme="majorBidi" w:hAnsiTheme="majorBidi" w:cstheme="majorBidi"/>
        </w:rPr>
        <w:t>.</w:t>
      </w:r>
    </w:p>
    <w:p w14:paraId="3171E2F8" w14:textId="3BAEAB7C" w:rsidR="00DB1176" w:rsidRPr="008427D5" w:rsidRDefault="00DB1176" w:rsidP="00562973">
      <w:pPr>
        <w:spacing w:line="276" w:lineRule="auto"/>
        <w:ind w:firstLine="720"/>
        <w:jc w:val="both"/>
        <w:rPr>
          <w:rFonts w:asciiTheme="majorBidi" w:hAnsiTheme="majorBidi" w:cstheme="majorBidi"/>
        </w:rPr>
      </w:pPr>
      <w:r w:rsidRPr="008427D5">
        <w:rPr>
          <w:rFonts w:asciiTheme="majorBidi" w:hAnsiTheme="majorBidi" w:cstheme="majorBidi"/>
        </w:rPr>
        <w:t>2018.gada 31.decembrī pārvalde pieteicējai izrakstīja rēķinu par 1 689 214,43 </w:t>
      </w:r>
      <w:r w:rsidRPr="008427D5">
        <w:rPr>
          <w:rFonts w:asciiTheme="majorBidi" w:hAnsiTheme="majorBidi" w:cstheme="majorBidi"/>
          <w:i/>
          <w:iCs/>
        </w:rPr>
        <w:t xml:space="preserve">euro </w:t>
      </w:r>
      <w:r w:rsidRPr="008427D5">
        <w:rPr>
          <w:rFonts w:asciiTheme="majorBidi" w:hAnsiTheme="majorBidi" w:cstheme="majorBidi"/>
        </w:rPr>
        <w:t>par nesaņemto ieņēmumu kompensāciju par laiku no 2018.gada 1.janvāra līdz 31.decembrim (turpmāk – 2018.gada rēķins).</w:t>
      </w:r>
    </w:p>
    <w:p w14:paraId="791D0966" w14:textId="082024C9" w:rsidR="00DB1176" w:rsidRPr="008427D5" w:rsidRDefault="00DB1176" w:rsidP="00562973">
      <w:pPr>
        <w:spacing w:line="276" w:lineRule="auto"/>
        <w:ind w:firstLine="720"/>
        <w:jc w:val="both"/>
        <w:rPr>
          <w:rFonts w:asciiTheme="majorBidi" w:hAnsiTheme="majorBidi" w:cstheme="majorBidi"/>
        </w:rPr>
      </w:pPr>
      <w:r w:rsidRPr="008427D5">
        <w:rPr>
          <w:rFonts w:asciiTheme="majorBidi" w:hAnsiTheme="majorBidi" w:cstheme="majorBidi"/>
        </w:rPr>
        <w:t>2019.gada 31.janvārī 2018.gada rēķinā veiktas korekcijas un par 31,25 </w:t>
      </w:r>
      <w:r w:rsidRPr="008427D5">
        <w:rPr>
          <w:rFonts w:asciiTheme="majorBidi" w:hAnsiTheme="majorBidi" w:cstheme="majorBidi"/>
          <w:i/>
          <w:iCs/>
        </w:rPr>
        <w:t xml:space="preserve">euro </w:t>
      </w:r>
      <w:r w:rsidRPr="008427D5">
        <w:rPr>
          <w:rFonts w:asciiTheme="majorBidi" w:hAnsiTheme="majorBidi" w:cstheme="majorBidi"/>
        </w:rPr>
        <w:t>palielināta nesaņemto ieņēmumu kompensācija par laiku no 2018.gada 1.janvāra līdz 31.decembrim. 2019.gada 31.decembrī pieteicējai izrakstīts rēķins par 1 324 715,84 </w:t>
      </w:r>
      <w:r w:rsidRPr="008427D5">
        <w:rPr>
          <w:rFonts w:asciiTheme="majorBidi" w:hAnsiTheme="majorBidi" w:cstheme="majorBidi"/>
          <w:i/>
          <w:iCs/>
        </w:rPr>
        <w:t xml:space="preserve">euro </w:t>
      </w:r>
      <w:r w:rsidRPr="008427D5">
        <w:rPr>
          <w:rFonts w:asciiTheme="majorBidi" w:hAnsiTheme="majorBidi" w:cstheme="majorBidi"/>
        </w:rPr>
        <w:t>par nesaņemto ieņēmumu kompensāciju par laiku no 2019.gada 1.janvāra līdz 31.decembrim (turpmāk –</w:t>
      </w:r>
      <w:r w:rsidR="007F7B0F" w:rsidRPr="008427D5">
        <w:rPr>
          <w:rFonts w:asciiTheme="majorBidi" w:hAnsiTheme="majorBidi" w:cstheme="majorBidi"/>
        </w:rPr>
        <w:t xml:space="preserve"> </w:t>
      </w:r>
      <w:r w:rsidRPr="008427D5">
        <w:rPr>
          <w:rFonts w:asciiTheme="majorBidi" w:hAnsiTheme="majorBidi" w:cstheme="majorBidi"/>
        </w:rPr>
        <w:t>2019.gada rēķins).</w:t>
      </w:r>
    </w:p>
    <w:p w14:paraId="69FE8EEE" w14:textId="0F6001B0" w:rsidR="00DB1176" w:rsidRPr="008427D5" w:rsidRDefault="00DB1176" w:rsidP="00562973">
      <w:pPr>
        <w:spacing w:line="276" w:lineRule="auto"/>
        <w:ind w:firstLine="720"/>
        <w:jc w:val="both"/>
        <w:rPr>
          <w:rFonts w:asciiTheme="majorBidi" w:hAnsiTheme="majorBidi" w:cstheme="majorBidi"/>
        </w:rPr>
      </w:pPr>
      <w:r w:rsidRPr="008427D5">
        <w:rPr>
          <w:rFonts w:asciiTheme="majorBidi" w:hAnsiTheme="majorBidi" w:cstheme="majorBidi"/>
        </w:rPr>
        <w:t xml:space="preserve">2020.gada 31.decembrī pieteicējai izrakstīts rēķins par </w:t>
      </w:r>
      <w:r w:rsidRPr="008427D5">
        <w:t>3 936</w:t>
      </w:r>
      <w:r w:rsidRPr="008427D5">
        <w:rPr>
          <w:rFonts w:asciiTheme="majorBidi" w:hAnsiTheme="majorBidi" w:cstheme="majorBidi"/>
        </w:rPr>
        <w:t> 939,02 </w:t>
      </w:r>
      <w:r w:rsidRPr="008427D5">
        <w:rPr>
          <w:rFonts w:asciiTheme="majorBidi" w:hAnsiTheme="majorBidi" w:cstheme="majorBidi"/>
          <w:i/>
          <w:iCs/>
        </w:rPr>
        <w:t xml:space="preserve">euro </w:t>
      </w:r>
      <w:r w:rsidRPr="008427D5">
        <w:rPr>
          <w:rFonts w:asciiTheme="majorBidi" w:hAnsiTheme="majorBidi" w:cstheme="majorBidi"/>
        </w:rPr>
        <w:t>par nesaņemt</w:t>
      </w:r>
      <w:r w:rsidR="00E453A1" w:rsidRPr="008427D5">
        <w:rPr>
          <w:rFonts w:asciiTheme="majorBidi" w:hAnsiTheme="majorBidi" w:cstheme="majorBidi"/>
        </w:rPr>
        <w:t>o</w:t>
      </w:r>
      <w:r w:rsidRPr="008427D5">
        <w:rPr>
          <w:rFonts w:asciiTheme="majorBidi" w:hAnsiTheme="majorBidi" w:cstheme="majorBidi"/>
        </w:rPr>
        <w:t xml:space="preserve"> ieņēmumu kompensāciju par laiku no 2020.gada 1.janvāra līdz 31.decembrim (turpmāk –</w:t>
      </w:r>
      <w:r w:rsidR="007F7B0F" w:rsidRPr="008427D5">
        <w:rPr>
          <w:rFonts w:asciiTheme="majorBidi" w:hAnsiTheme="majorBidi" w:cstheme="majorBidi"/>
        </w:rPr>
        <w:t xml:space="preserve"> </w:t>
      </w:r>
      <w:r w:rsidRPr="008427D5">
        <w:rPr>
          <w:rFonts w:asciiTheme="majorBidi" w:hAnsiTheme="majorBidi" w:cstheme="majorBidi"/>
        </w:rPr>
        <w:t>2020.gada rēķins).</w:t>
      </w:r>
    </w:p>
    <w:p w14:paraId="65BE2A7C" w14:textId="1B068261" w:rsidR="00DB1176" w:rsidRPr="008427D5" w:rsidRDefault="00DB1176" w:rsidP="00562973">
      <w:pPr>
        <w:spacing w:line="276" w:lineRule="auto"/>
        <w:ind w:firstLine="720"/>
        <w:jc w:val="both"/>
        <w:rPr>
          <w:rFonts w:asciiTheme="majorBidi" w:hAnsiTheme="majorBidi" w:cstheme="majorBidi"/>
        </w:rPr>
      </w:pPr>
      <w:r w:rsidRPr="008427D5">
        <w:rPr>
          <w:rFonts w:asciiTheme="majorBidi" w:hAnsiTheme="majorBidi" w:cstheme="majorBidi"/>
        </w:rPr>
        <w:t>2021.gada 31.decembrī pieteicējai izrakstīts rēķins par 3 217 500,41 </w:t>
      </w:r>
      <w:r w:rsidRPr="008427D5">
        <w:rPr>
          <w:rFonts w:asciiTheme="majorBidi" w:hAnsiTheme="majorBidi" w:cstheme="majorBidi"/>
          <w:i/>
          <w:iCs/>
        </w:rPr>
        <w:t xml:space="preserve">euro </w:t>
      </w:r>
      <w:r w:rsidRPr="008427D5">
        <w:rPr>
          <w:rFonts w:asciiTheme="majorBidi" w:hAnsiTheme="majorBidi" w:cstheme="majorBidi"/>
        </w:rPr>
        <w:t>par nesaņemto ieņēmumu kompensāciju par laiku no 2021.gada 1.janvāra līdz 31.decembrim (turpmāk – 2021.gada rēķins).</w:t>
      </w:r>
    </w:p>
    <w:p w14:paraId="4D5B46ED" w14:textId="54DEDD05" w:rsidR="000A65CA" w:rsidRPr="008427D5" w:rsidRDefault="00DB1176" w:rsidP="00562973">
      <w:pPr>
        <w:spacing w:line="276" w:lineRule="auto"/>
        <w:ind w:firstLine="720"/>
        <w:jc w:val="both"/>
        <w:rPr>
          <w:rFonts w:asciiTheme="majorBidi" w:hAnsiTheme="majorBidi" w:cstheme="majorBidi"/>
        </w:rPr>
      </w:pPr>
      <w:r w:rsidRPr="008427D5">
        <w:rPr>
          <w:rFonts w:asciiTheme="majorBidi" w:hAnsiTheme="majorBidi" w:cstheme="majorBidi"/>
        </w:rPr>
        <w:t>Savukārt 2021.gada 31.decembrī pieteicējai izrakstīts kredītrēķins, ar kuru par 103 955,04 </w:t>
      </w:r>
      <w:r w:rsidRPr="008427D5">
        <w:rPr>
          <w:rFonts w:asciiTheme="majorBidi" w:hAnsiTheme="majorBidi" w:cstheme="majorBidi"/>
          <w:i/>
          <w:iCs/>
        </w:rPr>
        <w:t xml:space="preserve">euro </w:t>
      </w:r>
      <w:r w:rsidRPr="008427D5">
        <w:rPr>
          <w:rFonts w:asciiTheme="majorBidi" w:hAnsiTheme="majorBidi" w:cstheme="majorBidi"/>
        </w:rPr>
        <w:t>samazināta nesaņemto ieņēmumu kompensācija</w:t>
      </w:r>
      <w:r w:rsidR="007221E3" w:rsidRPr="008427D5">
        <w:rPr>
          <w:rFonts w:asciiTheme="majorBidi" w:hAnsiTheme="majorBidi" w:cstheme="majorBidi"/>
        </w:rPr>
        <w:t xml:space="preserve"> (turpmāk – 2021.gada kredītrēķins)</w:t>
      </w:r>
      <w:r w:rsidRPr="008427D5">
        <w:rPr>
          <w:rFonts w:asciiTheme="majorBidi" w:hAnsiTheme="majorBidi" w:cstheme="majorBidi"/>
        </w:rPr>
        <w:t>.</w:t>
      </w:r>
    </w:p>
    <w:p w14:paraId="66AA4930" w14:textId="77777777" w:rsidR="00DB1176" w:rsidRPr="008427D5" w:rsidRDefault="00DB1176" w:rsidP="00562973">
      <w:pPr>
        <w:spacing w:line="276" w:lineRule="auto"/>
        <w:ind w:firstLine="720"/>
        <w:jc w:val="both"/>
        <w:rPr>
          <w:rFonts w:asciiTheme="majorBidi" w:hAnsiTheme="majorBidi" w:cstheme="majorBidi"/>
        </w:rPr>
      </w:pPr>
    </w:p>
    <w:p w14:paraId="41BCBF93" w14:textId="712D6E03" w:rsidR="000A65CA" w:rsidRPr="008427D5" w:rsidRDefault="000A65CA" w:rsidP="00562973">
      <w:pPr>
        <w:pStyle w:val="NormalWeb"/>
        <w:shd w:val="clear" w:color="auto" w:fill="FFFFFF"/>
        <w:spacing w:before="0" w:beforeAutospacing="0" w:after="0" w:afterAutospacing="0" w:line="276" w:lineRule="auto"/>
        <w:ind w:firstLine="720"/>
        <w:jc w:val="both"/>
        <w:rPr>
          <w:shd w:val="clear" w:color="auto" w:fill="FFFFFF"/>
        </w:rPr>
      </w:pPr>
      <w:r w:rsidRPr="008427D5">
        <w:rPr>
          <w:shd w:val="clear" w:color="auto" w:fill="FFFFFF"/>
        </w:rPr>
        <w:t>[</w:t>
      </w:r>
      <w:r w:rsidR="00DB1176" w:rsidRPr="008427D5">
        <w:rPr>
          <w:shd w:val="clear" w:color="auto" w:fill="FFFFFF"/>
        </w:rPr>
        <w:t>4</w:t>
      </w:r>
      <w:r w:rsidRPr="008427D5">
        <w:rPr>
          <w:shd w:val="clear" w:color="auto" w:fill="FFFFFF"/>
        </w:rPr>
        <w:t>]</w:t>
      </w:r>
      <w:r w:rsidR="00DB1176" w:rsidRPr="008427D5">
        <w:rPr>
          <w:shd w:val="clear" w:color="auto" w:fill="FFFFFF"/>
        </w:rPr>
        <w:t> </w:t>
      </w:r>
      <w:r w:rsidR="00F6603B" w:rsidRPr="008427D5">
        <w:rPr>
          <w:shd w:val="clear" w:color="auto" w:fill="FFFFFF"/>
        </w:rPr>
        <w:t>Pieteicēja vērsās tiesā ar pieteikumu par Līguma un Papildu vienošanās izpildes pareizību attiecībā uz 2018., 2019., 2020., 2021.gada rēķina un 2021.gada kredītrēķina izrakstīšanu.</w:t>
      </w:r>
    </w:p>
    <w:p w14:paraId="5DD47FCC" w14:textId="77777777" w:rsidR="00F6603B" w:rsidRPr="008427D5" w:rsidRDefault="00F6603B" w:rsidP="00562973">
      <w:pPr>
        <w:pStyle w:val="NormalWeb"/>
        <w:shd w:val="clear" w:color="auto" w:fill="FFFFFF"/>
        <w:spacing w:before="0" w:beforeAutospacing="0" w:after="0" w:afterAutospacing="0" w:line="276" w:lineRule="auto"/>
        <w:ind w:firstLine="720"/>
        <w:jc w:val="both"/>
        <w:rPr>
          <w:shd w:val="clear" w:color="auto" w:fill="FFFFFF"/>
        </w:rPr>
      </w:pPr>
    </w:p>
    <w:p w14:paraId="08210878" w14:textId="41BCF700" w:rsidR="004E4D83" w:rsidRPr="008427D5" w:rsidRDefault="00F6603B" w:rsidP="00562973">
      <w:pPr>
        <w:pStyle w:val="NormalWeb"/>
        <w:shd w:val="clear" w:color="auto" w:fill="FFFFFF"/>
        <w:spacing w:before="0" w:beforeAutospacing="0" w:after="0" w:afterAutospacing="0" w:line="276" w:lineRule="auto"/>
        <w:ind w:firstLine="720"/>
        <w:jc w:val="both"/>
        <w:rPr>
          <w:shd w:val="clear" w:color="auto" w:fill="FFFFFF"/>
        </w:rPr>
      </w:pPr>
      <w:r w:rsidRPr="008427D5">
        <w:rPr>
          <w:shd w:val="clear" w:color="auto" w:fill="FFFFFF"/>
        </w:rPr>
        <w:t>[5] </w:t>
      </w:r>
      <w:r w:rsidR="0052043B" w:rsidRPr="008427D5">
        <w:rPr>
          <w:shd w:val="clear" w:color="auto" w:fill="FFFFFF"/>
        </w:rPr>
        <w:t>Administratīvā apgabaltiesa</w:t>
      </w:r>
      <w:r w:rsidR="00AD69C3" w:rsidRPr="008427D5">
        <w:rPr>
          <w:shd w:val="clear" w:color="auto" w:fill="FFFFFF"/>
        </w:rPr>
        <w:t>, izskatījusi lietu apelācijas kārtībā,</w:t>
      </w:r>
      <w:r w:rsidR="0052043B" w:rsidRPr="008427D5">
        <w:rPr>
          <w:shd w:val="clear" w:color="auto" w:fill="FFFFFF"/>
        </w:rPr>
        <w:t xml:space="preserve"> ar 2024.gada 12.decembra spriedumu pieteikumu noraidīja</w:t>
      </w:r>
      <w:r w:rsidR="004E4D83" w:rsidRPr="008427D5">
        <w:rPr>
          <w:shd w:val="clear" w:color="auto" w:fill="FFFFFF"/>
        </w:rPr>
        <w:t xml:space="preserve"> (izņemot daļā par 2019.gada 31.janvāra rēķina izrakstīšanu</w:t>
      </w:r>
      <w:r w:rsidR="00B8221A" w:rsidRPr="008427D5">
        <w:rPr>
          <w:shd w:val="clear" w:color="auto" w:fill="FFFFFF"/>
        </w:rPr>
        <w:t xml:space="preserve">; šajā </w:t>
      </w:r>
      <w:r w:rsidR="004E4D83" w:rsidRPr="008427D5">
        <w:rPr>
          <w:shd w:val="clear" w:color="auto" w:fill="FFFFFF"/>
        </w:rPr>
        <w:t xml:space="preserve">daļā </w:t>
      </w:r>
      <w:r w:rsidR="00B8221A" w:rsidRPr="008427D5">
        <w:rPr>
          <w:shd w:val="clear" w:color="auto" w:fill="FFFFFF"/>
        </w:rPr>
        <w:t>tiesvedība tika izbeigta</w:t>
      </w:r>
      <w:r w:rsidR="004E4D83" w:rsidRPr="008427D5">
        <w:rPr>
          <w:shd w:val="clear" w:color="auto" w:fill="FFFFFF"/>
        </w:rPr>
        <w:t>)</w:t>
      </w:r>
      <w:r w:rsidR="0052043B" w:rsidRPr="008427D5">
        <w:rPr>
          <w:shd w:val="clear" w:color="auto" w:fill="FFFFFF"/>
        </w:rPr>
        <w:t>.</w:t>
      </w:r>
    </w:p>
    <w:p w14:paraId="0AA784D1" w14:textId="1BA6618D" w:rsidR="00AD69C3" w:rsidRPr="008427D5" w:rsidRDefault="00AD69C3" w:rsidP="00562973">
      <w:pPr>
        <w:pStyle w:val="NormalWeb"/>
        <w:shd w:val="clear" w:color="auto" w:fill="FFFFFF"/>
        <w:spacing w:before="0" w:beforeAutospacing="0" w:after="0" w:afterAutospacing="0" w:line="276" w:lineRule="auto"/>
        <w:ind w:firstLine="720"/>
        <w:jc w:val="both"/>
        <w:rPr>
          <w:shd w:val="clear" w:color="auto" w:fill="FFFFFF"/>
        </w:rPr>
      </w:pPr>
      <w:r w:rsidRPr="008427D5">
        <w:rPr>
          <w:shd w:val="clear" w:color="auto" w:fill="FFFFFF"/>
        </w:rPr>
        <w:t>Spriedums</w:t>
      </w:r>
      <w:r w:rsidR="004E4D83" w:rsidRPr="008427D5">
        <w:rPr>
          <w:shd w:val="clear" w:color="auto" w:fill="FFFFFF"/>
        </w:rPr>
        <w:t xml:space="preserve"> pieteikuma noraidītajā daļā</w:t>
      </w:r>
      <w:r w:rsidRPr="008427D5">
        <w:rPr>
          <w:shd w:val="clear" w:color="auto" w:fill="FFFFFF"/>
        </w:rPr>
        <w:t>, tostarp ņemot vērā pievienošanos pirmās instances tiesas sprieduma motivācijai, pamatots ar turpmāk norādītajiem argumentiem.</w:t>
      </w:r>
    </w:p>
    <w:p w14:paraId="29B16A8E" w14:textId="2FDF3A14" w:rsidR="0052043B" w:rsidRPr="008427D5" w:rsidRDefault="0052043B" w:rsidP="00562973">
      <w:pPr>
        <w:pStyle w:val="NormalWeb"/>
        <w:shd w:val="clear" w:color="auto" w:fill="FFFFFF"/>
        <w:spacing w:before="0" w:beforeAutospacing="0" w:after="0" w:afterAutospacing="0" w:line="276" w:lineRule="auto"/>
        <w:ind w:firstLine="720"/>
        <w:jc w:val="both"/>
        <w:rPr>
          <w:shd w:val="clear" w:color="auto" w:fill="FFFFFF"/>
        </w:rPr>
      </w:pPr>
      <w:r w:rsidRPr="008427D5">
        <w:rPr>
          <w:shd w:val="clear" w:color="auto" w:fill="FFFFFF"/>
        </w:rPr>
        <w:t>[5.1] </w:t>
      </w:r>
      <w:r w:rsidR="000B40EA" w:rsidRPr="008427D5">
        <w:rPr>
          <w:shd w:val="clear" w:color="auto" w:fill="FFFFFF"/>
        </w:rPr>
        <w:t>Pieteicēja uzskata, ka no Līguma un Papildu vienošanās neizriet pieteicējas pienākums maksāt jebkādus maksājumus, kas pārsniedz 50</w:t>
      </w:r>
      <w:r w:rsidR="005B1EBF" w:rsidRPr="008427D5">
        <w:rPr>
          <w:shd w:val="clear" w:color="auto" w:fill="FFFFFF"/>
        </w:rPr>
        <w:t>0</w:t>
      </w:r>
      <w:r w:rsidR="000B40EA" w:rsidRPr="008427D5">
        <w:rPr>
          <w:shd w:val="clear" w:color="auto" w:fill="FFFFFF"/>
        </w:rPr>
        <w:t xml:space="preserve"> 000 latu gadā vai 3,5 miljonus latu kopumā, turklāt kanāla maksas kompensācija ir ierēķināma minētajās summās. Taču fakti, ka Līgums un Papildu vienošanās paredz, ka ar </w:t>
      </w:r>
      <w:r w:rsidR="001B20A1" w:rsidRPr="008427D5">
        <w:rPr>
          <w:shd w:val="clear" w:color="auto" w:fill="FFFFFF"/>
        </w:rPr>
        <w:t xml:space="preserve">pārvaldes </w:t>
      </w:r>
      <w:r w:rsidR="000B40EA" w:rsidRPr="008427D5">
        <w:rPr>
          <w:shd w:val="clear" w:color="auto" w:fill="FFFFFF"/>
        </w:rPr>
        <w:t xml:space="preserve">1.muliņa </w:t>
      </w:r>
      <w:r w:rsidR="001B20A1" w:rsidRPr="008427D5">
        <w:rPr>
          <w:shd w:val="clear" w:color="auto" w:fill="FFFFFF"/>
        </w:rPr>
        <w:t xml:space="preserve">nojaukšanu </w:t>
      </w:r>
      <w:r w:rsidR="000B40EA" w:rsidRPr="008427D5">
        <w:rPr>
          <w:shd w:val="clear" w:color="auto" w:fill="FFFFFF"/>
        </w:rPr>
        <w:t>saistītās izmaksas tiek atgūtas tieši ar tonnāžas un kravas maksu starpniecību, nevis ar jebkuru ostas maksu starpniecību, un ka kanāla maksas kompensācija ir aprēķināma papildus kā kompensācija par negūtajiem ieņēmumiem saistībā ar nenodrošināto kravas apjomu, jau ir nodibināti pirmajā lietā</w:t>
      </w:r>
      <w:r w:rsidR="005B1EBF" w:rsidRPr="008427D5">
        <w:rPr>
          <w:shd w:val="clear" w:color="auto" w:fill="FFFFFF"/>
        </w:rPr>
        <w:t xml:space="preserve"> taisītā</w:t>
      </w:r>
      <w:r w:rsidR="000B40EA" w:rsidRPr="008427D5">
        <w:rPr>
          <w:shd w:val="clear" w:color="auto" w:fill="FFFFFF"/>
        </w:rPr>
        <w:t xml:space="preserve"> apgabaltiesas sprieduma motīvu daļā. Līdz ar to minētajiem faktiem saskaņā ar Administratīvā procesa likuma 153.panta trešo daļu ir </w:t>
      </w:r>
      <w:r w:rsidR="000B40EA" w:rsidRPr="008427D5">
        <w:rPr>
          <w:i/>
          <w:iCs/>
          <w:shd w:val="clear" w:color="auto" w:fill="FFFFFF"/>
        </w:rPr>
        <w:t>res judicata</w:t>
      </w:r>
      <w:r w:rsidR="000B40EA" w:rsidRPr="008427D5">
        <w:rPr>
          <w:shd w:val="clear" w:color="auto" w:fill="FFFFFF"/>
        </w:rPr>
        <w:t xml:space="preserve"> spēks.</w:t>
      </w:r>
    </w:p>
    <w:p w14:paraId="0E5A7917" w14:textId="3D5FD645" w:rsidR="006C5738" w:rsidRPr="008427D5" w:rsidRDefault="006C5738" w:rsidP="00562973">
      <w:pPr>
        <w:pStyle w:val="NormalWeb"/>
        <w:shd w:val="clear" w:color="auto" w:fill="FFFFFF"/>
        <w:spacing w:before="0" w:beforeAutospacing="0" w:after="0" w:afterAutospacing="0" w:line="276" w:lineRule="auto"/>
        <w:ind w:firstLine="720"/>
        <w:jc w:val="both"/>
        <w:rPr>
          <w:shd w:val="clear" w:color="auto" w:fill="FFFFFF"/>
        </w:rPr>
      </w:pPr>
      <w:r w:rsidRPr="008427D5">
        <w:rPr>
          <w:shd w:val="clear" w:color="auto" w:fill="FFFFFF"/>
        </w:rPr>
        <w:t xml:space="preserve">[5.2] Tā kā nepamatots ir pieteicējas uzskats, ka </w:t>
      </w:r>
      <w:r w:rsidR="00DD387B" w:rsidRPr="008427D5">
        <w:rPr>
          <w:shd w:val="clear" w:color="auto" w:fill="FFFFFF"/>
        </w:rPr>
        <w:t xml:space="preserve">saskaņā ar </w:t>
      </w:r>
      <w:r w:rsidRPr="008427D5">
        <w:rPr>
          <w:shd w:val="clear" w:color="auto" w:fill="FFFFFF"/>
        </w:rPr>
        <w:t xml:space="preserve">Līguma un Papildu vienošanās </w:t>
      </w:r>
      <w:r w:rsidR="00DD387B" w:rsidRPr="008427D5">
        <w:rPr>
          <w:shd w:val="clear" w:color="auto" w:fill="FFFFFF"/>
        </w:rPr>
        <w:t xml:space="preserve">noteikumiem </w:t>
      </w:r>
      <w:r w:rsidRPr="008427D5">
        <w:rPr>
          <w:shd w:val="clear" w:color="auto" w:fill="FFFFFF"/>
        </w:rPr>
        <w:t xml:space="preserve">kopējā maksimālā kompensējamā summa ir 3,5 miljoni latu un tikai līdz 500 000 latu vienā gadā, un tā ir sedzama tostarp ar kanāla maksu, tad nepamatoti ir arī pieteicējas iebildumi pret matemātiskajiem aprēķiniem attiecībā uz strīdus rēķinos iekļauto summu pareizību. </w:t>
      </w:r>
    </w:p>
    <w:p w14:paraId="6C7F2F93" w14:textId="77777777" w:rsidR="0052043B" w:rsidRPr="008427D5" w:rsidRDefault="0052043B" w:rsidP="00562973">
      <w:pPr>
        <w:pStyle w:val="NormalWeb"/>
        <w:shd w:val="clear" w:color="auto" w:fill="FFFFFF"/>
        <w:spacing w:before="0" w:beforeAutospacing="0" w:after="0" w:afterAutospacing="0" w:line="276" w:lineRule="auto"/>
        <w:jc w:val="both"/>
        <w:rPr>
          <w:shd w:val="clear" w:color="auto" w:fill="FFFFFF"/>
        </w:rPr>
      </w:pPr>
    </w:p>
    <w:p w14:paraId="5136EF71" w14:textId="77777777" w:rsidR="00AF67EB" w:rsidRPr="008427D5" w:rsidRDefault="0052043B" w:rsidP="00562973">
      <w:pPr>
        <w:pStyle w:val="NormalWeb"/>
        <w:shd w:val="clear" w:color="auto" w:fill="FFFFFF"/>
        <w:spacing w:before="0" w:beforeAutospacing="0" w:after="0" w:afterAutospacing="0" w:line="276" w:lineRule="auto"/>
        <w:ind w:firstLine="720"/>
        <w:jc w:val="both"/>
        <w:rPr>
          <w:shd w:val="clear" w:color="auto" w:fill="FFFFFF"/>
        </w:rPr>
      </w:pPr>
      <w:r w:rsidRPr="008427D5">
        <w:rPr>
          <w:shd w:val="clear" w:color="auto" w:fill="FFFFFF"/>
        </w:rPr>
        <w:t>[6]</w:t>
      </w:r>
      <w:r w:rsidR="00686DC2" w:rsidRPr="008427D5">
        <w:rPr>
          <w:shd w:val="clear" w:color="auto" w:fill="FFFFFF"/>
        </w:rPr>
        <w:t> Pieteicēja iesniedza kasācijas sūdzību par apgabaltiesas spriedumu daļā, kurā noraidīts pieteicējas pieteikums.</w:t>
      </w:r>
    </w:p>
    <w:p w14:paraId="14EC9A14" w14:textId="4BD503F3" w:rsidR="0052043B" w:rsidRPr="008427D5" w:rsidRDefault="00686DC2" w:rsidP="00562973">
      <w:pPr>
        <w:pStyle w:val="NormalWeb"/>
        <w:shd w:val="clear" w:color="auto" w:fill="FFFFFF"/>
        <w:spacing w:before="0" w:beforeAutospacing="0" w:after="0" w:afterAutospacing="0" w:line="276" w:lineRule="auto"/>
        <w:ind w:firstLine="720"/>
        <w:jc w:val="both"/>
        <w:rPr>
          <w:shd w:val="clear" w:color="auto" w:fill="FFFFFF"/>
        </w:rPr>
      </w:pPr>
      <w:r w:rsidRPr="008427D5">
        <w:rPr>
          <w:shd w:val="clear" w:color="auto" w:fill="FFFFFF"/>
        </w:rPr>
        <w:t>Kasācijas sūdzīb</w:t>
      </w:r>
      <w:r w:rsidR="00AF67EB" w:rsidRPr="008427D5">
        <w:rPr>
          <w:shd w:val="clear" w:color="auto" w:fill="FFFFFF"/>
        </w:rPr>
        <w:t xml:space="preserve">ā norādīts, ka tiesa pārsūdzētajā spriedumā ir nepamatoti piemērojusi Administratīvā procesa likuma 153.panta trešo daļu, jo tiesas izdarītie secinājumi saistībā ar Līguma un Papildu vienošanās noteikumiem pirmajā lietā ir uzskatāmi par tiesas novērtējumu, nevis faktu nodibināšanu. Turklāt pieteicēja pirmajā lietā bija izteikusi citus prasījumus. </w:t>
      </w:r>
      <w:r w:rsidR="001363F2" w:rsidRPr="008427D5">
        <w:rPr>
          <w:shd w:val="clear" w:color="auto" w:fill="FFFFFF"/>
        </w:rPr>
        <w:t>K</w:t>
      </w:r>
      <w:r w:rsidR="00AF67EB" w:rsidRPr="008427D5">
        <w:rPr>
          <w:shd w:val="clear" w:color="auto" w:fill="FFFFFF"/>
        </w:rPr>
        <w:t xml:space="preserve">asācijas sūdzībā norādīti </w:t>
      </w:r>
      <w:r w:rsidR="001363F2" w:rsidRPr="008427D5">
        <w:rPr>
          <w:shd w:val="clear" w:color="auto" w:fill="FFFFFF"/>
        </w:rPr>
        <w:t xml:space="preserve">arī </w:t>
      </w:r>
      <w:r w:rsidR="00AF67EB" w:rsidRPr="008427D5">
        <w:rPr>
          <w:shd w:val="clear" w:color="auto" w:fill="FFFFFF"/>
        </w:rPr>
        <w:t>argumenti par to, kā ir vērtējamas Līguma un Papildu vienošanās noteikumos norādītās ostas maksas, kompensācijas un uz kādu aprēķinu pamata pārvaldei pieteicējai bija jāizraksta strīdus rēķini.</w:t>
      </w:r>
    </w:p>
    <w:p w14:paraId="098AA0AC" w14:textId="77777777" w:rsidR="0052043B" w:rsidRPr="008427D5" w:rsidRDefault="0052043B" w:rsidP="00562973">
      <w:pPr>
        <w:pStyle w:val="NormalWeb"/>
        <w:shd w:val="clear" w:color="auto" w:fill="FFFFFF"/>
        <w:spacing w:before="0" w:beforeAutospacing="0" w:after="0" w:afterAutospacing="0" w:line="276" w:lineRule="auto"/>
        <w:jc w:val="both"/>
        <w:rPr>
          <w:shd w:val="clear" w:color="auto" w:fill="FFFFFF"/>
        </w:rPr>
      </w:pPr>
    </w:p>
    <w:p w14:paraId="5FCD4C24" w14:textId="560B9305" w:rsidR="00C43427" w:rsidRPr="003762D0" w:rsidRDefault="0052043B" w:rsidP="00562973">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3762D0">
        <w:rPr>
          <w:color w:val="000000" w:themeColor="text1"/>
          <w:shd w:val="clear" w:color="auto" w:fill="FFFFFF"/>
        </w:rPr>
        <w:t>[7] </w:t>
      </w:r>
      <w:r w:rsidR="003762D0" w:rsidRPr="003762D0">
        <w:rPr>
          <w:color w:val="000000" w:themeColor="text1"/>
          <w:shd w:val="clear" w:color="auto" w:fill="FFFFFF"/>
        </w:rPr>
        <w:t>P</w:t>
      </w:r>
      <w:r w:rsidRPr="003762D0">
        <w:rPr>
          <w:color w:val="000000" w:themeColor="text1"/>
          <w:shd w:val="clear" w:color="auto" w:fill="FFFFFF"/>
        </w:rPr>
        <w:t>ārvalde paskaidrojumos</w:t>
      </w:r>
      <w:r w:rsidR="00AF67EB" w:rsidRPr="003762D0">
        <w:rPr>
          <w:color w:val="000000" w:themeColor="text1"/>
          <w:shd w:val="clear" w:color="auto" w:fill="FFFFFF"/>
        </w:rPr>
        <w:t xml:space="preserve"> un papildu paskaidrojumos</w:t>
      </w:r>
      <w:r w:rsidRPr="003762D0">
        <w:rPr>
          <w:color w:val="000000" w:themeColor="text1"/>
          <w:shd w:val="clear" w:color="auto" w:fill="FFFFFF"/>
        </w:rPr>
        <w:t xml:space="preserve"> par kasācijas sūdzību</w:t>
      </w:r>
      <w:r w:rsidR="00AF67EB" w:rsidRPr="003762D0">
        <w:rPr>
          <w:color w:val="000000" w:themeColor="text1"/>
          <w:shd w:val="clear" w:color="auto" w:fill="FFFFFF"/>
        </w:rPr>
        <w:t xml:space="preserve"> lūdz to noraidīt.</w:t>
      </w:r>
    </w:p>
    <w:p w14:paraId="4B1F0AF4" w14:textId="77777777" w:rsidR="000D1E13" w:rsidRPr="003762D0" w:rsidRDefault="000D1E13" w:rsidP="00562973">
      <w:pPr>
        <w:pStyle w:val="NormalWeb"/>
        <w:shd w:val="clear" w:color="auto" w:fill="FFFFFF"/>
        <w:spacing w:before="0" w:beforeAutospacing="0" w:after="0" w:afterAutospacing="0" w:line="276" w:lineRule="auto"/>
        <w:ind w:firstLine="720"/>
        <w:jc w:val="both"/>
        <w:rPr>
          <w:color w:val="000000" w:themeColor="text1"/>
          <w:shd w:val="clear" w:color="auto" w:fill="FFFFFF"/>
        </w:rPr>
      </w:pPr>
    </w:p>
    <w:p w14:paraId="43D91EBE" w14:textId="77777777" w:rsidR="00447EE6" w:rsidRPr="003762D0" w:rsidRDefault="00447EE6" w:rsidP="00562973">
      <w:pPr>
        <w:shd w:val="clear" w:color="auto" w:fill="FFFFFF"/>
        <w:spacing w:line="276" w:lineRule="auto"/>
        <w:jc w:val="center"/>
        <w:rPr>
          <w:b/>
          <w:color w:val="000000" w:themeColor="text1"/>
        </w:rPr>
      </w:pPr>
      <w:r w:rsidRPr="003762D0">
        <w:rPr>
          <w:b/>
          <w:color w:val="000000" w:themeColor="text1"/>
        </w:rPr>
        <w:t>Motīvu daļa</w:t>
      </w:r>
    </w:p>
    <w:p w14:paraId="7B7D277A" w14:textId="77777777" w:rsidR="00411CD0" w:rsidRPr="008427D5" w:rsidRDefault="00411CD0" w:rsidP="00562973">
      <w:pPr>
        <w:shd w:val="clear" w:color="auto" w:fill="FFFFFF"/>
        <w:spacing w:line="276" w:lineRule="auto"/>
        <w:jc w:val="center"/>
      </w:pPr>
    </w:p>
    <w:p w14:paraId="71ACBC56" w14:textId="610A16AC" w:rsidR="00E47FFD" w:rsidRPr="008427D5" w:rsidRDefault="00447EE6" w:rsidP="00562973">
      <w:pPr>
        <w:shd w:val="clear" w:color="auto" w:fill="FFFFFF"/>
        <w:spacing w:line="276" w:lineRule="auto"/>
        <w:ind w:firstLine="720"/>
        <w:jc w:val="both"/>
      </w:pPr>
      <w:r w:rsidRPr="008427D5">
        <w:t>[</w:t>
      </w:r>
      <w:r w:rsidR="00003D78" w:rsidRPr="008427D5">
        <w:t>8</w:t>
      </w:r>
      <w:r w:rsidRPr="008427D5">
        <w:t>]</w:t>
      </w:r>
      <w:r w:rsidR="00E47FFD" w:rsidRPr="008427D5">
        <w:t xml:space="preserve"> Ņemot vērā pārsūdzētā sprieduma motīvus un kasācijas sūdzības argumentus, Senātam šajā lietā </w:t>
      </w:r>
      <w:r w:rsidR="00DB113C" w:rsidRPr="008427D5">
        <w:t xml:space="preserve">visupirms </w:t>
      </w:r>
      <w:r w:rsidR="00E47FFD" w:rsidRPr="008427D5">
        <w:t xml:space="preserve">jāsniedz atbilde uz jautājumu, </w:t>
      </w:r>
      <w:r w:rsidR="007071CC" w:rsidRPr="008427D5">
        <w:t>vai apgabaltiesa</w:t>
      </w:r>
      <w:r w:rsidR="001B20A1" w:rsidRPr="008427D5">
        <w:t xml:space="preserve"> </w:t>
      </w:r>
      <w:r w:rsidR="00B408A3" w:rsidRPr="008427D5">
        <w:t>izskatāmajā lietā</w:t>
      </w:r>
      <w:r w:rsidR="007071CC" w:rsidRPr="008427D5">
        <w:t xml:space="preserve"> ir pamatoti </w:t>
      </w:r>
      <w:r w:rsidR="001B20A1" w:rsidRPr="008427D5">
        <w:t>piešķīrusi</w:t>
      </w:r>
      <w:r w:rsidR="00D62907" w:rsidRPr="008427D5">
        <w:t xml:space="preserve"> </w:t>
      </w:r>
      <w:r w:rsidR="00D62907" w:rsidRPr="008427D5">
        <w:rPr>
          <w:i/>
          <w:iCs/>
        </w:rPr>
        <w:t>res judicata</w:t>
      </w:r>
      <w:r w:rsidR="00D62907" w:rsidRPr="008427D5">
        <w:t xml:space="preserve"> </w:t>
      </w:r>
      <w:r w:rsidR="001B20A1" w:rsidRPr="008427D5">
        <w:t xml:space="preserve">spēku </w:t>
      </w:r>
      <w:r w:rsidR="00AE2529" w:rsidRPr="008427D5">
        <w:t>pirmajā lietā</w:t>
      </w:r>
      <w:r w:rsidR="00ED6B64" w:rsidRPr="008427D5">
        <w:t xml:space="preserve"> tiesas izdarītajiem secinājumiem.</w:t>
      </w:r>
    </w:p>
    <w:p w14:paraId="0C3464EA" w14:textId="77777777" w:rsidR="00411CD0" w:rsidRPr="008427D5" w:rsidRDefault="00411CD0" w:rsidP="00562973">
      <w:pPr>
        <w:shd w:val="clear" w:color="auto" w:fill="FFFFFF"/>
        <w:spacing w:line="276" w:lineRule="auto"/>
        <w:ind w:firstLine="720"/>
        <w:jc w:val="both"/>
      </w:pPr>
    </w:p>
    <w:p w14:paraId="315740FE" w14:textId="633BEDF4" w:rsidR="003B4BC8" w:rsidRPr="008427D5" w:rsidRDefault="003D04F1" w:rsidP="00562973">
      <w:pPr>
        <w:shd w:val="clear" w:color="auto" w:fill="FFFFFF"/>
        <w:spacing w:line="276" w:lineRule="auto"/>
        <w:ind w:firstLine="720"/>
        <w:jc w:val="both"/>
      </w:pPr>
      <w:r w:rsidRPr="008427D5">
        <w:t>[9] </w:t>
      </w:r>
      <w:r w:rsidR="00873A74" w:rsidRPr="008427D5">
        <w:rPr>
          <w:i/>
          <w:iCs/>
        </w:rPr>
        <w:t>Res judicata</w:t>
      </w:r>
      <w:r w:rsidR="00873A74" w:rsidRPr="008427D5">
        <w:t xml:space="preserve"> </w:t>
      </w:r>
      <w:r w:rsidR="00F3108B" w:rsidRPr="008427D5">
        <w:t>princips</w:t>
      </w:r>
      <w:r w:rsidR="004A0A81" w:rsidRPr="008427D5">
        <w:t>, kurš pamatojas idejā, ka nevienam nav tiesību lūgt pārskatīt galīgu un spēkā stājušos spriedumu ar mērķi panākt atkārtotu lietas izspriešanu,</w:t>
      </w:r>
      <w:r w:rsidR="00F3108B" w:rsidRPr="008427D5">
        <w:t xml:space="preserve"> </w:t>
      </w:r>
      <w:r w:rsidR="0063290D" w:rsidRPr="008427D5">
        <w:t xml:space="preserve">ir </w:t>
      </w:r>
      <w:r w:rsidR="00A340A7" w:rsidRPr="008427D5">
        <w:t>būtisks</w:t>
      </w:r>
      <w:r w:rsidR="0063290D" w:rsidRPr="008427D5">
        <w:t xml:space="preserve"> </w:t>
      </w:r>
      <w:r w:rsidR="000214D3" w:rsidRPr="008427D5">
        <w:t>tiesisko kārtību veidojošs</w:t>
      </w:r>
      <w:r w:rsidR="0063290D" w:rsidRPr="008427D5">
        <w:t xml:space="preserve"> elements, kam piemīt vispāratzīta principa statuss gan nacionālā, gan </w:t>
      </w:r>
      <w:r w:rsidR="001363F2" w:rsidRPr="008427D5">
        <w:t>pārnacionālā</w:t>
      </w:r>
      <w:r w:rsidR="0063290D" w:rsidRPr="008427D5">
        <w:t xml:space="preserve"> līmenī</w:t>
      </w:r>
      <w:r w:rsidR="004A0A81" w:rsidRPr="008427D5">
        <w:t>.</w:t>
      </w:r>
      <w:r w:rsidR="00743332" w:rsidRPr="008427D5">
        <w:t xml:space="preserve"> </w:t>
      </w:r>
      <w:r w:rsidR="001564F9" w:rsidRPr="008427D5">
        <w:t>Tā, p</w:t>
      </w:r>
      <w:r w:rsidR="00743332" w:rsidRPr="008427D5">
        <w:t xml:space="preserve">iemēram, Eiropas Savienības Tiesa, uzsverot </w:t>
      </w:r>
      <w:r w:rsidR="00743332" w:rsidRPr="008427D5">
        <w:rPr>
          <w:i/>
          <w:iCs/>
        </w:rPr>
        <w:t>res judicata</w:t>
      </w:r>
      <w:r w:rsidR="00743332" w:rsidRPr="008427D5">
        <w:t xml:space="preserve"> principa nozīmīgumu tiesiskajā kārtībā, ir atzinusi: lai nodrošinātu tiesību un tiesisko attiecību stabilitāti, kā arī pareizu tiesvedību, ir svarīgi, lai tiesas nolēmumi, kas kļuvuši galīgi pēc tam, kad ir izmantotas visas pārsūdzības iespējas, vai pēc tam, kad beidzies šādai pārsūdzībai paredzētais termiņš, vairs nevarētu tikt apstrīdēti</w:t>
      </w:r>
      <w:r w:rsidR="00CE43D9" w:rsidRPr="008427D5">
        <w:t xml:space="preserve">. </w:t>
      </w:r>
      <w:bookmarkStart w:id="0" w:name="point69"/>
      <w:r w:rsidR="00CE43D9" w:rsidRPr="008427D5">
        <w:t xml:space="preserve">Nav pieļaujama lieta par to, kas starp tiem pašiem procesa dalībniekiem un uz tā paša pamata jau izspriests </w:t>
      </w:r>
      <w:bookmarkEnd w:id="0"/>
      <w:r w:rsidR="00C876C5" w:rsidRPr="008427D5">
        <w:t>(</w:t>
      </w:r>
      <w:r w:rsidR="00C876C5" w:rsidRPr="008427D5">
        <w:rPr>
          <w:i/>
        </w:rPr>
        <w:t xml:space="preserve">Eiropas Savienības Tiesas 2003.gada 30.septembra sprieduma lietā </w:t>
      </w:r>
      <w:r w:rsidR="00D706C1" w:rsidRPr="008427D5">
        <w:rPr>
          <w:i/>
        </w:rPr>
        <w:t>„</w:t>
      </w:r>
      <w:r w:rsidR="00D706C1" w:rsidRPr="008427D5">
        <w:rPr>
          <w:i/>
          <w:iCs/>
        </w:rPr>
        <w:t>Köbler</w:t>
      </w:r>
      <w:r w:rsidR="00D706C1" w:rsidRPr="008427D5">
        <w:rPr>
          <w:i/>
        </w:rPr>
        <w:t xml:space="preserve">”, </w:t>
      </w:r>
      <w:r w:rsidR="00C876C5" w:rsidRPr="008427D5">
        <w:rPr>
          <w:i/>
        </w:rPr>
        <w:t>C-224/01</w:t>
      </w:r>
      <w:r w:rsidR="002F3E21" w:rsidRPr="008427D5">
        <w:rPr>
          <w:i/>
        </w:rPr>
        <w:t>,</w:t>
      </w:r>
      <w:r w:rsidR="00C876C5" w:rsidRPr="008427D5">
        <w:rPr>
          <w:i/>
        </w:rPr>
        <w:t xml:space="preserve"> </w:t>
      </w:r>
      <w:hyperlink r:id="rId8" w:history="1">
        <w:r w:rsidR="002F3E21" w:rsidRPr="008427D5">
          <w:rPr>
            <w:rStyle w:val="Hyperlink"/>
            <w:i/>
          </w:rPr>
          <w:t>ECLI:EU:C:2003:513</w:t>
        </w:r>
      </w:hyperlink>
      <w:r w:rsidR="002F3E21" w:rsidRPr="008427D5">
        <w:rPr>
          <w:i/>
        </w:rPr>
        <w:t xml:space="preserve">, </w:t>
      </w:r>
      <w:r w:rsidR="00C876C5" w:rsidRPr="008427D5">
        <w:rPr>
          <w:i/>
        </w:rPr>
        <w:t xml:space="preserve">38.punkts, 2006.gada 16.marta sprieduma lietā </w:t>
      </w:r>
      <w:r w:rsidR="002F3E21" w:rsidRPr="008427D5">
        <w:rPr>
          <w:i/>
        </w:rPr>
        <w:t xml:space="preserve">„Kapferer”, </w:t>
      </w:r>
      <w:r w:rsidR="00C876C5" w:rsidRPr="008427D5">
        <w:rPr>
          <w:i/>
        </w:rPr>
        <w:t>C-234/04</w:t>
      </w:r>
      <w:r w:rsidR="00AC3257" w:rsidRPr="008427D5">
        <w:rPr>
          <w:i/>
        </w:rPr>
        <w:t xml:space="preserve">, </w:t>
      </w:r>
      <w:hyperlink r:id="rId9" w:history="1">
        <w:r w:rsidR="00AC3257" w:rsidRPr="008427D5">
          <w:rPr>
            <w:rStyle w:val="Hyperlink"/>
            <w:i/>
          </w:rPr>
          <w:t>ECLI:EU:C:2006:178</w:t>
        </w:r>
      </w:hyperlink>
      <w:r w:rsidR="00AC3257" w:rsidRPr="008427D5">
        <w:rPr>
          <w:i/>
        </w:rPr>
        <w:t xml:space="preserve">, </w:t>
      </w:r>
      <w:r w:rsidR="00C876C5" w:rsidRPr="008427D5">
        <w:rPr>
          <w:i/>
        </w:rPr>
        <w:t>20.punkts, 201</w:t>
      </w:r>
      <w:r w:rsidR="00AC3257" w:rsidRPr="008427D5">
        <w:rPr>
          <w:i/>
        </w:rPr>
        <w:t>5</w:t>
      </w:r>
      <w:r w:rsidR="00C876C5" w:rsidRPr="008427D5">
        <w:rPr>
          <w:i/>
        </w:rPr>
        <w:t xml:space="preserve">.gada 11.novembra sprieduma lietā </w:t>
      </w:r>
      <w:r w:rsidR="00AC3257" w:rsidRPr="008427D5">
        <w:rPr>
          <w:i/>
        </w:rPr>
        <w:t xml:space="preserve">„Klausner Holz Niedersachsen”, </w:t>
      </w:r>
      <w:r w:rsidR="00C876C5" w:rsidRPr="008427D5">
        <w:rPr>
          <w:i/>
        </w:rPr>
        <w:t>C-505/14</w:t>
      </w:r>
      <w:r w:rsidR="00AC3257" w:rsidRPr="008427D5">
        <w:rPr>
          <w:i/>
        </w:rPr>
        <w:t>,</w:t>
      </w:r>
      <w:r w:rsidR="00C876C5" w:rsidRPr="008427D5">
        <w:rPr>
          <w:i/>
        </w:rPr>
        <w:t xml:space="preserve"> </w:t>
      </w:r>
      <w:hyperlink r:id="rId10" w:history="1">
        <w:r w:rsidR="00AC3257" w:rsidRPr="008427D5">
          <w:rPr>
            <w:rStyle w:val="Hyperlink"/>
            <w:i/>
          </w:rPr>
          <w:t>ECLI:EU:C:2015:742</w:t>
        </w:r>
      </w:hyperlink>
      <w:r w:rsidR="00AC3257" w:rsidRPr="008427D5">
        <w:rPr>
          <w:i/>
        </w:rPr>
        <w:t xml:space="preserve">, </w:t>
      </w:r>
      <w:r w:rsidR="00C876C5" w:rsidRPr="008427D5">
        <w:rPr>
          <w:i/>
        </w:rPr>
        <w:t>38.punkts</w:t>
      </w:r>
      <w:r w:rsidR="00CE43D9" w:rsidRPr="008427D5">
        <w:rPr>
          <w:i/>
        </w:rPr>
        <w:t xml:space="preserve">, Eiropas Savienības Civildienesta Tiesas 2012.gada 12.decembra  sprieduma lietā </w:t>
      </w:r>
      <w:r w:rsidR="007A2FD0" w:rsidRPr="008427D5">
        <w:rPr>
          <w:i/>
        </w:rPr>
        <w:t xml:space="preserve">„Cerafogli/ECB”, </w:t>
      </w:r>
      <w:r w:rsidR="00CE43D9" w:rsidRPr="008427D5">
        <w:rPr>
          <w:i/>
        </w:rPr>
        <w:t>F</w:t>
      </w:r>
      <w:r w:rsidR="00CE43D9" w:rsidRPr="008427D5">
        <w:rPr>
          <w:i/>
        </w:rPr>
        <w:noBreakHyphen/>
        <w:t xml:space="preserve">43/10, </w:t>
      </w:r>
      <w:hyperlink r:id="rId11" w:history="1">
        <w:r w:rsidR="007A2FD0" w:rsidRPr="008427D5">
          <w:rPr>
            <w:rStyle w:val="Hyperlink"/>
            <w:i/>
          </w:rPr>
          <w:t>ECLI:EU:F:2012:184</w:t>
        </w:r>
      </w:hyperlink>
      <w:r w:rsidR="00CE43D9" w:rsidRPr="008427D5">
        <w:rPr>
          <w:i/>
        </w:rPr>
        <w:t>, 69.punkts</w:t>
      </w:r>
      <w:r w:rsidR="00CE43D9" w:rsidRPr="008427D5">
        <w:rPr>
          <w:iCs/>
        </w:rPr>
        <w:t>)</w:t>
      </w:r>
      <w:r w:rsidR="00CE43D9" w:rsidRPr="008427D5">
        <w:t>.</w:t>
      </w:r>
    </w:p>
    <w:p w14:paraId="30B77BAE" w14:textId="5119B946" w:rsidR="00D30F70" w:rsidRPr="008427D5" w:rsidRDefault="00912546" w:rsidP="00562973">
      <w:pPr>
        <w:shd w:val="clear" w:color="auto" w:fill="FFFFFF"/>
        <w:spacing w:line="276" w:lineRule="auto"/>
        <w:ind w:firstLine="720"/>
        <w:jc w:val="both"/>
      </w:pPr>
      <w:r w:rsidRPr="008427D5">
        <w:t>Arī n</w:t>
      </w:r>
      <w:r w:rsidR="001363F2" w:rsidRPr="008427D5">
        <w:t xml:space="preserve">o tiesību doktrīnas izriet, ka </w:t>
      </w:r>
      <w:r w:rsidRPr="008427D5">
        <w:rPr>
          <w:i/>
          <w:iCs/>
        </w:rPr>
        <w:t>res judicata</w:t>
      </w:r>
      <w:r w:rsidR="00F70D53" w:rsidRPr="008427D5">
        <w:t xml:space="preserve"> principa </w:t>
      </w:r>
      <w:r w:rsidR="00EE631C" w:rsidRPr="008427D5">
        <w:t>vispārpieņemtā</w:t>
      </w:r>
      <w:r w:rsidR="00F70D53" w:rsidRPr="008427D5">
        <w:t xml:space="preserve"> funkcija ir nodrošināt to, ka </w:t>
      </w:r>
      <w:r w:rsidR="00683160" w:rsidRPr="008427D5">
        <w:t xml:space="preserve">tiesas nepieņem </w:t>
      </w:r>
      <w:r w:rsidR="00CE43D9" w:rsidRPr="008427D5">
        <w:t xml:space="preserve">tādus </w:t>
      </w:r>
      <w:r w:rsidR="00683160" w:rsidRPr="008427D5">
        <w:t xml:space="preserve">spriedumus, kas </w:t>
      </w:r>
      <w:r w:rsidR="001363F2" w:rsidRPr="008427D5">
        <w:t xml:space="preserve">pārskata </w:t>
      </w:r>
      <w:r w:rsidR="00683160" w:rsidRPr="008427D5">
        <w:t>iepriekš pieņemt</w:t>
      </w:r>
      <w:r w:rsidR="001363F2" w:rsidRPr="008427D5">
        <w:t>us spriedumus (proti, neizspriež to, kas jau izspriests ar spēkā stājušos tiesas nolēmumu)</w:t>
      </w:r>
      <w:r w:rsidRPr="008427D5">
        <w:t xml:space="preserve"> </w:t>
      </w:r>
      <w:r w:rsidR="00AA05F8" w:rsidRPr="008427D5">
        <w:t>(</w:t>
      </w:r>
      <w:r w:rsidR="00AA05F8" w:rsidRPr="008427D5">
        <w:rPr>
          <w:i/>
          <w:iCs/>
        </w:rPr>
        <w:t>Turmo A. Res Judicata in European Union Law: A Multi-faceted Principle in a Multilevel Judicial System. Madrid: EU Law Live Press, 2022, pp. 65–66</w:t>
      </w:r>
      <w:r w:rsidR="00AA05F8" w:rsidRPr="008427D5">
        <w:t>).</w:t>
      </w:r>
    </w:p>
    <w:p w14:paraId="7EFBCA78" w14:textId="3D1D8C6E" w:rsidR="00193CBA" w:rsidRPr="008427D5" w:rsidRDefault="00AA05F8" w:rsidP="00562973">
      <w:pPr>
        <w:spacing w:line="276" w:lineRule="auto"/>
        <w:ind w:firstLine="720"/>
        <w:jc w:val="both"/>
        <w:rPr>
          <w:i/>
          <w:iCs/>
        </w:rPr>
      </w:pPr>
      <w:r w:rsidRPr="008427D5">
        <w:t xml:space="preserve">Minētais </w:t>
      </w:r>
      <w:r w:rsidR="00C46241" w:rsidRPr="008427D5">
        <w:rPr>
          <w:i/>
          <w:iCs/>
        </w:rPr>
        <w:t>res judicata</w:t>
      </w:r>
      <w:r w:rsidR="00C46241" w:rsidRPr="008427D5">
        <w:t xml:space="preserve"> principa aspekts ir nostiprināts arī</w:t>
      </w:r>
      <w:r w:rsidRPr="008427D5">
        <w:t xml:space="preserve"> Latvijas administratīvā procesa regulējumā. Proti, atbilstoši Administratīvā procesa likuma 191.panta pirmās daļas 2. un 3.punktam apstāklis, ka tās pašas tiesas vai citas tiesas tiesvedībā ir lieta starp tiem pašiem administratīvā procesa dalībniekiem, par to pašu priekšmetu un uz tā paša pamata (vai arī šādā lietā jau ir stājies spēkā tiesas spriedums vai tiesas lēmums izbeigt tiesvedību vai tiesneša lēmums atteikties pieņemt pieteikumu sakarā ar pieteicēja atteikšanos no prasījuma), ir pamats tiesnesim atteikt pieteikuma pieņemšanu. Savukārt, ja tiesā ir ierosināta lieta, taču tiesvedības gaitā tiek konstatēts, ka citā lietā starp tiem pašiem administratīvā procesa dalībniekiem par to pašu priekšmetu un uz tā paša pamata ir stājies spēkā spriedums, tiesai saskaņā ar Administratīvā procesa likuma 282.panta 3.punktu ir jāizbeidz tiesvedība.</w:t>
      </w:r>
      <w:r w:rsidR="00D30F70" w:rsidRPr="008427D5">
        <w:t xml:space="preserve"> Kā jau iepriekš</w:t>
      </w:r>
      <w:r w:rsidR="00F96516" w:rsidRPr="008427D5">
        <w:t xml:space="preserve"> </w:t>
      </w:r>
      <w:r w:rsidR="00D30F70" w:rsidRPr="008427D5">
        <w:t>atzīts Senāt</w:t>
      </w:r>
      <w:r w:rsidR="00E8730E" w:rsidRPr="008427D5">
        <w:t>a</w:t>
      </w:r>
      <w:r w:rsidR="00D30F70" w:rsidRPr="008427D5">
        <w:t xml:space="preserve"> praksē, minēto tiesību normu mērķis ir novērst vienas un tās pašas tiesā izskatāmās attiecības izvērtēšanu atkārtoti, kā arī dažādu tiesu nolēmumu iespējamību par vienu un to pašu tiesisko attiecību (</w:t>
      </w:r>
      <w:r w:rsidR="00D30F70" w:rsidRPr="008427D5">
        <w:rPr>
          <w:i/>
          <w:iCs/>
        </w:rPr>
        <w:t xml:space="preserve">Senāta 2019.gada 28.februāra lēmuma lietā Nr. SKA-943/2019, </w:t>
      </w:r>
      <w:hyperlink r:id="rId12" w:history="1">
        <w:r w:rsidR="00F96516" w:rsidRPr="008427D5">
          <w:rPr>
            <w:rStyle w:val="Hyperlink"/>
            <w:i/>
            <w:iCs/>
          </w:rPr>
          <w:t>ECLI:LV:AT:2019:0228.A420301615.6.L</w:t>
        </w:r>
      </w:hyperlink>
      <w:r w:rsidR="00D30F70" w:rsidRPr="008427D5">
        <w:rPr>
          <w:i/>
          <w:iCs/>
        </w:rPr>
        <w:t>, 9.punkts</w:t>
      </w:r>
      <w:r w:rsidR="00D30F70" w:rsidRPr="008427D5">
        <w:t>).</w:t>
      </w:r>
    </w:p>
    <w:p w14:paraId="740AC543" w14:textId="31A11C99" w:rsidR="004602E0" w:rsidRPr="008427D5" w:rsidRDefault="005C7C1F" w:rsidP="00562973">
      <w:pPr>
        <w:shd w:val="clear" w:color="auto" w:fill="FFFFFF"/>
        <w:spacing w:line="276" w:lineRule="auto"/>
        <w:ind w:firstLine="720"/>
        <w:jc w:val="both"/>
      </w:pPr>
      <w:r w:rsidRPr="008427D5">
        <w:t xml:space="preserve">Vienlaikus </w:t>
      </w:r>
      <w:r w:rsidRPr="008427D5">
        <w:rPr>
          <w:i/>
          <w:iCs/>
        </w:rPr>
        <w:t>res judicata</w:t>
      </w:r>
      <w:r w:rsidRPr="008427D5">
        <w:t xml:space="preserve"> princips var izpausties arī citos veidos, piemēram, procesuālos </w:t>
      </w:r>
      <w:r w:rsidR="007D38A2" w:rsidRPr="008427D5">
        <w:t xml:space="preserve">– </w:t>
      </w:r>
      <w:r w:rsidRPr="008427D5">
        <w:t>ar pierādī</w:t>
      </w:r>
      <w:r w:rsidR="00892ED7" w:rsidRPr="008427D5">
        <w:t>šanu</w:t>
      </w:r>
      <w:r w:rsidRPr="008427D5">
        <w:t xml:space="preserve"> saistītos</w:t>
      </w:r>
      <w:r w:rsidR="005B1EBF" w:rsidRPr="008427D5">
        <w:t xml:space="preserve"> –</w:t>
      </w:r>
      <w:r w:rsidRPr="008427D5">
        <w:t xml:space="preserve"> aspektos lietas izskatīšanā</w:t>
      </w:r>
      <w:r w:rsidR="008D3C1A" w:rsidRPr="008427D5">
        <w:t>. Tā tas</w:t>
      </w:r>
      <w:r w:rsidR="00263A75" w:rsidRPr="008427D5">
        <w:t>, piemēram,</w:t>
      </w:r>
      <w:r w:rsidR="008D3C1A" w:rsidRPr="008427D5">
        <w:t xml:space="preserve"> ir gadījumā, ja tiesību normas paredz, ka noteikti apstākļi, kas noskaidroti iepriekš pieņemtā lietā, vairs nevar tikt apšaubīti un pārskatīti citā lietā (</w:t>
      </w:r>
      <w:r w:rsidR="008D3C1A" w:rsidRPr="008427D5">
        <w:rPr>
          <w:i/>
          <w:iCs/>
        </w:rPr>
        <w:t>Turmo A. Res Judicata in European Union Law: A Multi-faceted Principle in a Multilevel Judicial System</w:t>
      </w:r>
      <w:r w:rsidR="00CB790D" w:rsidRPr="008427D5">
        <w:rPr>
          <w:i/>
          <w:iCs/>
        </w:rPr>
        <w:t>. Madrid: EU Law Live Press, 2022, pp.</w:t>
      </w:r>
      <w:r w:rsidR="00E25520" w:rsidRPr="008427D5">
        <w:rPr>
          <w:i/>
          <w:iCs/>
        </w:rPr>
        <w:t xml:space="preserve"> </w:t>
      </w:r>
      <w:r w:rsidR="00F539A9" w:rsidRPr="008427D5">
        <w:rPr>
          <w:i/>
          <w:iCs/>
        </w:rPr>
        <w:t>89–90</w:t>
      </w:r>
      <w:r w:rsidR="00F539A9" w:rsidRPr="008427D5">
        <w:t>).</w:t>
      </w:r>
    </w:p>
    <w:p w14:paraId="128E16F5" w14:textId="0143467C" w:rsidR="006C0040" w:rsidRPr="008427D5" w:rsidRDefault="00CA6BFB" w:rsidP="00562973">
      <w:pPr>
        <w:shd w:val="clear" w:color="auto" w:fill="FFFFFF"/>
        <w:spacing w:line="276" w:lineRule="auto"/>
        <w:ind w:firstLine="720"/>
        <w:jc w:val="both"/>
      </w:pPr>
      <w:r w:rsidRPr="008427D5">
        <w:t xml:space="preserve">Arī šis </w:t>
      </w:r>
      <w:r w:rsidRPr="008427D5">
        <w:rPr>
          <w:i/>
          <w:iCs/>
        </w:rPr>
        <w:t xml:space="preserve">res judicata </w:t>
      </w:r>
      <w:r w:rsidRPr="008427D5">
        <w:t>principa aspekts</w:t>
      </w:r>
      <w:r w:rsidR="00BD00EA" w:rsidRPr="008427D5">
        <w:t xml:space="preserve"> ir ietverts</w:t>
      </w:r>
      <w:r w:rsidRPr="008427D5">
        <w:t xml:space="preserve"> Latvijas administratīvā procesa regulējumā, </w:t>
      </w:r>
      <w:r w:rsidR="004138B8" w:rsidRPr="008427D5">
        <w:t>paredzot</w:t>
      </w:r>
      <w:r w:rsidRPr="008427D5">
        <w:t xml:space="preserve">, ka </w:t>
      </w:r>
      <w:r w:rsidR="001B105A" w:rsidRPr="008427D5">
        <w:t xml:space="preserve">noteiktos gadījumos </w:t>
      </w:r>
      <w:r w:rsidR="006C0040" w:rsidRPr="008427D5">
        <w:t xml:space="preserve">citā lietā konstatētajiem faktiem ir prejudiciāla nozīme un tāpēc </w:t>
      </w:r>
      <w:r w:rsidR="001B105A" w:rsidRPr="008427D5">
        <w:t>procesa dalībnieki</w:t>
      </w:r>
      <w:r w:rsidR="00910BA8" w:rsidRPr="008427D5">
        <w:t xml:space="preserve"> (un tiesa)</w:t>
      </w:r>
      <w:r w:rsidR="001B105A" w:rsidRPr="008427D5">
        <w:t xml:space="preserve"> ir atbrīvoti no </w:t>
      </w:r>
      <w:r w:rsidR="006C0040" w:rsidRPr="008427D5">
        <w:t>to</w:t>
      </w:r>
      <w:r w:rsidR="001B105A" w:rsidRPr="008427D5">
        <w:t xml:space="preserve"> pierādīšanas. Proti, saskaņā ar Administratīvā procesa likuma 153.panta otro daļu</w:t>
      </w:r>
      <w:r w:rsidR="00B02570" w:rsidRPr="008427D5">
        <w:t>, izskatot administratīvo lietu, nav no jauna jāpierāda</w:t>
      </w:r>
      <w:r w:rsidR="001B105A" w:rsidRPr="008427D5">
        <w:t xml:space="preserve"> </w:t>
      </w:r>
      <w:r w:rsidRPr="008427D5">
        <w:t>fakts, kurš nodibināts ar spēkā stājušos tiesas spriedumu tā rezolutīvajā daļā</w:t>
      </w:r>
      <w:r w:rsidR="00B02570" w:rsidRPr="008427D5">
        <w:t xml:space="preserve">. </w:t>
      </w:r>
      <w:r w:rsidR="001B105A" w:rsidRPr="008427D5">
        <w:t xml:space="preserve">Savukārt </w:t>
      </w:r>
      <w:r w:rsidR="0028011D" w:rsidRPr="008427D5">
        <w:t>fakts, kurš nodibināts ar spēkā stājušos spriedumu tā motīvu daļā, nav no jauna jāpierāda, izskatot administratīvo lietu, kurā piedalās tie paši procesa dalībnieki</w:t>
      </w:r>
      <w:r w:rsidR="0059731B" w:rsidRPr="008427D5">
        <w:t xml:space="preserve"> (Administratīvā procesa likuma 153.panta trešā daļa)</w:t>
      </w:r>
      <w:r w:rsidR="001B105A" w:rsidRPr="008427D5">
        <w:t>.</w:t>
      </w:r>
      <w:r w:rsidR="00DB13F8" w:rsidRPr="008427D5">
        <w:t xml:space="preserve"> Kā atzinis Senāts, minētās tiesību normas paredz izņēmuma gadījumus no lietas iztiesāšanas tiešuma principa</w:t>
      </w:r>
      <w:r w:rsidR="00DB13F8" w:rsidRPr="008427D5">
        <w:rPr>
          <w:vertAlign w:val="superscript"/>
        </w:rPr>
        <w:t xml:space="preserve"> </w:t>
      </w:r>
      <w:r w:rsidR="00DB13F8" w:rsidRPr="008427D5">
        <w:t xml:space="preserve">un </w:t>
      </w:r>
      <w:bookmarkStart w:id="1" w:name="_Hlk225495656"/>
      <w:r w:rsidR="00DB13F8" w:rsidRPr="008427D5">
        <w:t>principa, ka nekādiem pierādījumiem nav iepriekš noteikta spēka, kas saistītu tiesu,</w:t>
      </w:r>
      <w:r w:rsidR="00DB13F8" w:rsidRPr="008427D5">
        <w:rPr>
          <w:vertAlign w:val="superscript"/>
        </w:rPr>
        <w:t xml:space="preserve"> </w:t>
      </w:r>
      <w:bookmarkEnd w:id="1"/>
      <w:r w:rsidR="00DB13F8" w:rsidRPr="008427D5">
        <w:t>ļaujot tiesai atsaukties uz citā lietā taisītā spriedumā nodibinātiem faktiem</w:t>
      </w:r>
      <w:r w:rsidR="006C0040" w:rsidRPr="008427D5">
        <w:t xml:space="preserve"> (</w:t>
      </w:r>
      <w:r w:rsidR="006C0040" w:rsidRPr="008427D5">
        <w:rPr>
          <w:i/>
          <w:iCs/>
        </w:rPr>
        <w:t xml:space="preserve">Senāta 2019.gada 22.novembra sprieduma lietā Nr. SKA-248/2019, </w:t>
      </w:r>
      <w:hyperlink r:id="rId13" w:history="1">
        <w:r w:rsidR="006C0040" w:rsidRPr="008427D5">
          <w:rPr>
            <w:rStyle w:val="Hyperlink"/>
            <w:i/>
            <w:iCs/>
          </w:rPr>
          <w:t>ECLI:LV:AT:2019:1122.A420240915.2.S</w:t>
        </w:r>
      </w:hyperlink>
      <w:r w:rsidR="006C0040" w:rsidRPr="008427D5">
        <w:rPr>
          <w:i/>
          <w:iCs/>
        </w:rPr>
        <w:t>, 8.punkts</w:t>
      </w:r>
      <w:r w:rsidR="006C0040" w:rsidRPr="008427D5">
        <w:t xml:space="preserve">). </w:t>
      </w:r>
    </w:p>
    <w:p w14:paraId="1903E033" w14:textId="77777777" w:rsidR="00111AD0" w:rsidRPr="008427D5" w:rsidRDefault="00111AD0" w:rsidP="00562973">
      <w:pPr>
        <w:shd w:val="clear" w:color="auto" w:fill="FFFFFF"/>
        <w:spacing w:line="276" w:lineRule="auto"/>
        <w:ind w:firstLine="720"/>
        <w:jc w:val="both"/>
      </w:pPr>
    </w:p>
    <w:p w14:paraId="37B0786A" w14:textId="6F008875" w:rsidR="00111AD0" w:rsidRPr="008427D5" w:rsidRDefault="00E4670F" w:rsidP="00562973">
      <w:pPr>
        <w:shd w:val="clear" w:color="auto" w:fill="FFFFFF"/>
        <w:spacing w:line="276" w:lineRule="auto"/>
        <w:ind w:firstLine="720"/>
        <w:jc w:val="both"/>
      </w:pPr>
      <w:r w:rsidRPr="008427D5">
        <w:t>[</w:t>
      </w:r>
      <w:r w:rsidR="00CE43D9" w:rsidRPr="008427D5">
        <w:t>10</w:t>
      </w:r>
      <w:r w:rsidRPr="008427D5">
        <w:t>] </w:t>
      </w:r>
      <w:r w:rsidR="00CE43D9" w:rsidRPr="008427D5">
        <w:t xml:space="preserve">Izvērtējot </w:t>
      </w:r>
      <w:r w:rsidR="00CE43D9" w:rsidRPr="008427D5">
        <w:rPr>
          <w:i/>
          <w:iCs/>
        </w:rPr>
        <w:t>res judicata</w:t>
      </w:r>
      <w:r w:rsidR="00CE43D9" w:rsidRPr="008427D5">
        <w:t xml:space="preserve"> principa piemērojamību izskatāmajā lietā, </w:t>
      </w:r>
      <w:r w:rsidR="00C47C8A" w:rsidRPr="008427D5">
        <w:t>Senāts</w:t>
      </w:r>
      <w:r w:rsidR="00A1486D" w:rsidRPr="008427D5">
        <w:t xml:space="preserve"> </w:t>
      </w:r>
      <w:r w:rsidR="00B20F00" w:rsidRPr="008427D5">
        <w:t xml:space="preserve">nesaskata, ka </w:t>
      </w:r>
      <w:r w:rsidR="00234AFB" w:rsidRPr="008427D5">
        <w:t>šajā lietā varētu tikt pārskatītas pirmajā lietā jau vērtētās starp pieteicēju un</w:t>
      </w:r>
      <w:r w:rsidR="00587C12">
        <w:t xml:space="preserve"> </w:t>
      </w:r>
      <w:r w:rsidR="00234AFB" w:rsidRPr="008427D5">
        <w:t>pārvaldi pastāvošās tiesiskās attiecības.</w:t>
      </w:r>
    </w:p>
    <w:p w14:paraId="572CC7F7" w14:textId="0CD2DBBF" w:rsidR="00E40D1C" w:rsidRPr="008427D5" w:rsidRDefault="00654333" w:rsidP="00562973">
      <w:pPr>
        <w:shd w:val="clear" w:color="auto" w:fill="FFFFFF"/>
        <w:spacing w:line="276" w:lineRule="auto"/>
        <w:ind w:firstLine="720"/>
        <w:jc w:val="both"/>
      </w:pPr>
      <w:r w:rsidRPr="008427D5">
        <w:t xml:space="preserve">Kā jau </w:t>
      </w:r>
      <w:r w:rsidR="002507D3" w:rsidRPr="008427D5">
        <w:t>minēts</w:t>
      </w:r>
      <w:r w:rsidR="00E40D1C" w:rsidRPr="008427D5">
        <w:t>,</w:t>
      </w:r>
      <w:r w:rsidR="002507D3" w:rsidRPr="008427D5">
        <w:t xml:space="preserve"> saskaņā ar</w:t>
      </w:r>
      <w:r w:rsidR="00E40D1C" w:rsidRPr="008427D5">
        <w:t xml:space="preserve"> Administratīvā procesa likuma </w:t>
      </w:r>
      <w:r w:rsidR="002507D3" w:rsidRPr="008427D5">
        <w:t>normām konkrētas tiesiskās attiecības uzskatāmas par jau izvērtētām citas administratīvās lietas ietvaros, ja attiecīgajā lietā ir iz</w:t>
      </w:r>
      <w:r w:rsidR="00CE43D9" w:rsidRPr="008427D5">
        <w:t>spriests</w:t>
      </w:r>
      <w:r w:rsidR="002507D3" w:rsidRPr="008427D5">
        <w:t xml:space="preserve"> </w:t>
      </w:r>
      <w:r w:rsidR="0079099E" w:rsidRPr="008427D5">
        <w:t xml:space="preserve">starp tiem pašiem administratīvā procesa dalībniekiem pastāvošais strīds par to pašu priekšmetu un </w:t>
      </w:r>
      <w:r w:rsidR="008427D5" w:rsidRPr="008427D5">
        <w:t xml:space="preserve">uz tā paša </w:t>
      </w:r>
      <w:r w:rsidR="0079099E" w:rsidRPr="008427D5">
        <w:t>pamat</w:t>
      </w:r>
      <w:r w:rsidR="008427D5" w:rsidRPr="008427D5">
        <w:t>a</w:t>
      </w:r>
      <w:r w:rsidR="002507D3" w:rsidRPr="008427D5">
        <w:t>.</w:t>
      </w:r>
    </w:p>
    <w:p w14:paraId="38D4B218" w14:textId="04495CA4" w:rsidR="00F65201" w:rsidRPr="004F0CE8" w:rsidRDefault="00F8484F" w:rsidP="00562973">
      <w:pPr>
        <w:shd w:val="clear" w:color="auto" w:fill="FFFFFF"/>
        <w:spacing w:line="276" w:lineRule="auto"/>
        <w:ind w:firstLine="720"/>
        <w:jc w:val="both"/>
      </w:pPr>
      <w:r w:rsidRPr="008427D5">
        <w:t xml:space="preserve">Senāts konstatē, ka </w:t>
      </w:r>
      <w:r w:rsidR="008679F5" w:rsidRPr="008427D5">
        <w:t>pirmajā lietā un izskatāmajā lietā</w:t>
      </w:r>
      <w:r w:rsidRPr="008427D5">
        <w:t xml:space="preserve"> tiesiskais strīds ir starp tiem pašiem procesa dalībniekiem. </w:t>
      </w:r>
      <w:r w:rsidR="00670595" w:rsidRPr="008427D5">
        <w:t xml:space="preserve">Tomēr nav konstatējams, ka tiesiskais strīds būtu par to pašu </w:t>
      </w:r>
      <w:r w:rsidR="00670595" w:rsidRPr="004F0CE8">
        <w:t xml:space="preserve">pieteikuma priekšmetu </w:t>
      </w:r>
      <w:r w:rsidR="005B1EBF" w:rsidRPr="004F0CE8">
        <w:t xml:space="preserve">uz tā paša </w:t>
      </w:r>
      <w:r w:rsidR="00670595" w:rsidRPr="004F0CE8">
        <w:t>pamat</w:t>
      </w:r>
      <w:r w:rsidR="005B1EBF" w:rsidRPr="004F0CE8">
        <w:t>a</w:t>
      </w:r>
      <w:r w:rsidR="00670595" w:rsidRPr="004F0CE8">
        <w:t>.</w:t>
      </w:r>
      <w:r w:rsidR="004D6B48" w:rsidRPr="004F0CE8">
        <w:t xml:space="preserve"> </w:t>
      </w:r>
    </w:p>
    <w:p w14:paraId="377B8130" w14:textId="6AF24E2A" w:rsidR="00FE47BA" w:rsidRPr="00FE47BA" w:rsidRDefault="00FE47BA" w:rsidP="00562973">
      <w:pPr>
        <w:shd w:val="clear" w:color="auto" w:fill="FFFFFF"/>
        <w:spacing w:line="276" w:lineRule="auto"/>
        <w:ind w:firstLine="720"/>
        <w:jc w:val="both"/>
      </w:pPr>
      <w:r w:rsidRPr="004F0CE8">
        <w:t xml:space="preserve">Proti, pirmajā lietā pieteikuma priekšmets bija vairāku Līguma un Papildu vienošanās noteikumu atbilstība tiesību normām un to spēkā esamība, kā arī Līguma un Papildu vienošanās izpildes pareizība kontekstā ar pārvaldes pieteicējai 2015., 2016. un 2017.gadā izrakstītajiem rēķiniem. </w:t>
      </w:r>
      <w:r w:rsidRPr="00FE47BA">
        <w:t>Savukārt izskatāmajā lietā pieteikuma priekšmets ir Līguma un Papildu vienošanās izpildes pareizība kontekstā ar pārvaldes pieteicējai vēlākā periodā – proti, 2018., 2019., 2020. un 2021.gadā – izrakstītajiem rēķiniem.</w:t>
      </w:r>
    </w:p>
    <w:p w14:paraId="5CA94AEF" w14:textId="6496473C" w:rsidR="00981D06" w:rsidRPr="008427D5" w:rsidRDefault="00510425" w:rsidP="00562973">
      <w:pPr>
        <w:shd w:val="clear" w:color="auto" w:fill="FFFFFF"/>
        <w:spacing w:line="276" w:lineRule="auto"/>
        <w:ind w:firstLine="720"/>
        <w:jc w:val="both"/>
      </w:pPr>
      <w:r w:rsidRPr="004F0CE8">
        <w:t xml:space="preserve">Turklāt pirmajā lietā pieteicēja </w:t>
      </w:r>
      <w:r w:rsidR="00375A2F" w:rsidRPr="004F0CE8">
        <w:t>neapšaubīja to, ka no Līguma</w:t>
      </w:r>
      <w:r w:rsidR="00375A2F" w:rsidRPr="008427D5">
        <w:t xml:space="preserve"> un Papildu vienošanās noteikumiem izriet</w:t>
      </w:r>
      <w:r w:rsidR="00A45C40" w:rsidRPr="008427D5">
        <w:t xml:space="preserve">, ka pieteicējai </w:t>
      </w:r>
      <w:r w:rsidR="00E65948" w:rsidRPr="008427D5">
        <w:t xml:space="preserve">ir pienākums </w:t>
      </w:r>
      <w:r w:rsidR="00A45C40" w:rsidRPr="008427D5">
        <w:t xml:space="preserve">pārvaldei </w:t>
      </w:r>
      <w:r w:rsidR="00E65948" w:rsidRPr="008427D5">
        <w:t>kompensēt</w:t>
      </w:r>
      <w:r w:rsidR="00A45C40" w:rsidRPr="008427D5">
        <w:t xml:space="preserve"> gan 1.muliņa nojaukšanas izmaksas, gan arī kanāla maks</w:t>
      </w:r>
      <w:r w:rsidR="00757610" w:rsidRPr="008427D5">
        <w:t>u</w:t>
      </w:r>
      <w:r w:rsidR="00A45C40" w:rsidRPr="008427D5">
        <w:t>.</w:t>
      </w:r>
      <w:r w:rsidR="00151D46" w:rsidRPr="008427D5">
        <w:t xml:space="preserve"> </w:t>
      </w:r>
      <w:r w:rsidR="00981D06" w:rsidRPr="008427D5">
        <w:t>P</w:t>
      </w:r>
      <w:r w:rsidR="00151D46" w:rsidRPr="008427D5">
        <w:t xml:space="preserve">ieteicēja </w:t>
      </w:r>
      <w:r w:rsidR="00981D06" w:rsidRPr="008427D5">
        <w:t xml:space="preserve">tikai </w:t>
      </w:r>
      <w:r w:rsidR="00151D46" w:rsidRPr="008427D5">
        <w:t>uzskatīja, ka Līguma un Papildu vienošanās noteikumi</w:t>
      </w:r>
      <w:r w:rsidR="002F5F4E" w:rsidRPr="008427D5">
        <w:t>, kas pieteicējai paredz šādas saistības pret pārvaldi,</w:t>
      </w:r>
      <w:r w:rsidR="00151D46" w:rsidRPr="008427D5">
        <w:t xml:space="preserve"> ir prettiesiski, nesamērīgi un nevienlīdzīgi, un tieši šī iemesla dēļ pirmajā lietā tos lūdza atzīt par prettiesiskiem un spēkā neesošiem. </w:t>
      </w:r>
      <w:r w:rsidR="002F5F4E" w:rsidRPr="008427D5">
        <w:t xml:space="preserve">Savukārt izskatāmajā lietā pieteicējas tiesvedības pozīcija ir balstīta uzskatā, ka Līguma un Papildu vienošanās noteikumi ir </w:t>
      </w:r>
      <w:r w:rsidR="000470F4" w:rsidRPr="008427D5">
        <w:t>tulkojami</w:t>
      </w:r>
      <w:r w:rsidR="00044647" w:rsidRPr="008427D5">
        <w:t xml:space="preserve"> </w:t>
      </w:r>
      <w:r w:rsidR="002F5F4E" w:rsidRPr="008427D5">
        <w:t xml:space="preserve">tādējādi, ka kanāla maksas kompensācija ir ierēķināma </w:t>
      </w:r>
      <w:r w:rsidR="000470F4" w:rsidRPr="008427D5">
        <w:t>1.muliņa nojaukšanas izmaksu kompensācijas maksā</w:t>
      </w:r>
      <w:r w:rsidR="007B162C" w:rsidRPr="008427D5">
        <w:t xml:space="preserve"> (</w:t>
      </w:r>
      <w:r w:rsidR="000470F4" w:rsidRPr="008427D5">
        <w:t>kas turklāt nevarot pārsniegt 500 000 latu gadā vai 3,5 miljonus latus kopumā</w:t>
      </w:r>
      <w:r w:rsidR="007B162C" w:rsidRPr="008427D5">
        <w:t>) un ka tādējādi pieteicējai nav pienākuma pārvaldei kompensēt kanāla maksu atsevišķa maksājuma veidā.</w:t>
      </w:r>
      <w:r w:rsidR="00AA66A7" w:rsidRPr="008427D5">
        <w:t xml:space="preserve"> </w:t>
      </w:r>
    </w:p>
    <w:p w14:paraId="0BD84ECA" w14:textId="0ED08560" w:rsidR="00510425" w:rsidRPr="008427D5" w:rsidRDefault="00981D06" w:rsidP="00562973">
      <w:pPr>
        <w:shd w:val="clear" w:color="auto" w:fill="FFFFFF"/>
        <w:spacing w:line="276" w:lineRule="auto"/>
        <w:ind w:firstLine="720"/>
        <w:jc w:val="both"/>
      </w:pPr>
      <w:r w:rsidRPr="008427D5">
        <w:t>Tādējādi abās šajās lietās ir atšķirīgs gan pieteikuma priekšmets, gan pieteikuma pamats</w:t>
      </w:r>
      <w:r w:rsidR="00884578" w:rsidRPr="008427D5">
        <w:t xml:space="preserve">. </w:t>
      </w:r>
    </w:p>
    <w:p w14:paraId="216860DF" w14:textId="77777777" w:rsidR="004232CD" w:rsidRPr="008427D5" w:rsidRDefault="004232CD" w:rsidP="00562973">
      <w:pPr>
        <w:shd w:val="clear" w:color="auto" w:fill="FFFFFF"/>
        <w:spacing w:line="276" w:lineRule="auto"/>
        <w:ind w:firstLine="720"/>
        <w:jc w:val="both"/>
      </w:pPr>
    </w:p>
    <w:p w14:paraId="7B1A52A0" w14:textId="5CE4B502" w:rsidR="004232CD" w:rsidRPr="008427D5" w:rsidRDefault="009E4401" w:rsidP="00562973">
      <w:pPr>
        <w:shd w:val="clear" w:color="auto" w:fill="FFFFFF"/>
        <w:spacing w:line="276" w:lineRule="auto"/>
        <w:ind w:firstLine="720"/>
        <w:jc w:val="both"/>
      </w:pPr>
      <w:r w:rsidRPr="008427D5">
        <w:t>[</w:t>
      </w:r>
      <w:r w:rsidR="00CE43D9" w:rsidRPr="008427D5">
        <w:t>11</w:t>
      </w:r>
      <w:r w:rsidRPr="008427D5">
        <w:t>] </w:t>
      </w:r>
      <w:r w:rsidR="006A3F24" w:rsidRPr="008427D5">
        <w:t xml:space="preserve">Senāts arī nepiekrīt apgabaltiesai, ka izskatāmajā lietā </w:t>
      </w:r>
      <w:r w:rsidR="002511FC" w:rsidRPr="008427D5">
        <w:t xml:space="preserve">ir konstatējams otrais no iepriekš norādītajiem </w:t>
      </w:r>
      <w:r w:rsidR="00E64351" w:rsidRPr="008427D5">
        <w:rPr>
          <w:i/>
          <w:iCs/>
        </w:rPr>
        <w:t>res judicata</w:t>
      </w:r>
      <w:r w:rsidR="00E64351" w:rsidRPr="008427D5">
        <w:t xml:space="preserve"> </w:t>
      </w:r>
      <w:r w:rsidR="009015A0" w:rsidRPr="008427D5">
        <w:t xml:space="preserve">principa </w:t>
      </w:r>
      <w:r w:rsidR="00E64351" w:rsidRPr="008427D5">
        <w:t>aspektiem – proti</w:t>
      </w:r>
      <w:r w:rsidR="002511FC" w:rsidRPr="008427D5">
        <w:t>, Administratīvā procesa likuma 153.panta trešās daļas normā norādītais</w:t>
      </w:r>
      <w:r w:rsidR="00E64351" w:rsidRPr="008427D5">
        <w:t xml:space="preserve"> </w:t>
      </w:r>
      <w:r w:rsidR="00E64351" w:rsidRPr="008427D5">
        <w:rPr>
          <w:i/>
          <w:iCs/>
        </w:rPr>
        <w:t>res judicata</w:t>
      </w:r>
      <w:r w:rsidR="00E64351" w:rsidRPr="008427D5">
        <w:t xml:space="preserve"> </w:t>
      </w:r>
      <w:r w:rsidR="009015A0" w:rsidRPr="008427D5">
        <w:t xml:space="preserve">principa </w:t>
      </w:r>
      <w:r w:rsidR="00E64351" w:rsidRPr="008427D5">
        <w:t>izpausmes veids</w:t>
      </w:r>
      <w:r w:rsidR="00337B0D" w:rsidRPr="008427D5">
        <w:t xml:space="preserve">, kas ir saistīts ar </w:t>
      </w:r>
      <w:r w:rsidR="00981D06" w:rsidRPr="008427D5">
        <w:t>faktu pierādīšanu</w:t>
      </w:r>
      <w:r w:rsidR="00337B0D" w:rsidRPr="008427D5">
        <w:t>.</w:t>
      </w:r>
    </w:p>
    <w:p w14:paraId="55536D82" w14:textId="549EDB9D" w:rsidR="00D311CE" w:rsidRPr="004F0CE8" w:rsidRDefault="00E64351" w:rsidP="00562973">
      <w:pPr>
        <w:shd w:val="clear" w:color="auto" w:fill="FFFFFF"/>
        <w:spacing w:line="276" w:lineRule="auto"/>
        <w:ind w:firstLine="720"/>
        <w:jc w:val="both"/>
      </w:pPr>
      <w:r w:rsidRPr="008427D5">
        <w:t xml:space="preserve">Kā jau minēts, </w:t>
      </w:r>
      <w:r w:rsidR="009015A0" w:rsidRPr="008427D5">
        <w:t xml:space="preserve">Administratīvā procesa likuma 153.panta trešajā daļā </w:t>
      </w:r>
      <w:r w:rsidR="002D4EAD" w:rsidRPr="008427D5">
        <w:t xml:space="preserve">ir noteikts izņēmums no vispārējā principa, ka nekādiem pierādījumiem nav iepriekš noteikta spēka, kas saistītu tiesu, paredzot, ka konkrēts citā lietā nodibināts fakts </w:t>
      </w:r>
      <w:r w:rsidR="000F1626" w:rsidRPr="008427D5">
        <w:t xml:space="preserve">ir uzskatāms par </w:t>
      </w:r>
      <w:r w:rsidR="002D4EAD" w:rsidRPr="008427D5">
        <w:t xml:space="preserve">pierādītu </w:t>
      </w:r>
      <w:r w:rsidR="000F1626" w:rsidRPr="008427D5">
        <w:t xml:space="preserve">un </w:t>
      </w:r>
      <w:r w:rsidR="002D4EAD" w:rsidRPr="004F0CE8">
        <w:t xml:space="preserve">tāpēc </w:t>
      </w:r>
      <w:r w:rsidR="000F1626" w:rsidRPr="004F0CE8">
        <w:t>to vairs nav nepieciešams pierādīt ne ar kādiem citiem likumā paredzētajiem pierādīšanas līdzekļiem.</w:t>
      </w:r>
      <w:r w:rsidR="00770DFC" w:rsidRPr="004F0CE8">
        <w:t xml:space="preserve"> </w:t>
      </w:r>
      <w:r w:rsidR="00565FCF" w:rsidRPr="004F0CE8">
        <w:t xml:space="preserve">Tas attiecīgi nozīmē, ka minētajā tiesību </w:t>
      </w:r>
      <w:r w:rsidR="00F65201" w:rsidRPr="004F0CE8">
        <w:t xml:space="preserve">normā </w:t>
      </w:r>
      <w:r w:rsidR="00565FCF" w:rsidRPr="004F0CE8">
        <w:t xml:space="preserve">norādītais </w:t>
      </w:r>
      <w:r w:rsidR="00565FCF" w:rsidRPr="004F0CE8">
        <w:rPr>
          <w:i/>
          <w:iCs/>
        </w:rPr>
        <w:t>res judicata</w:t>
      </w:r>
      <w:r w:rsidR="00565FCF" w:rsidRPr="004F0CE8">
        <w:t xml:space="preserve"> principa aspekts var tikt </w:t>
      </w:r>
      <w:r w:rsidR="00F65201" w:rsidRPr="004F0CE8">
        <w:t xml:space="preserve">piemērots </w:t>
      </w:r>
      <w:r w:rsidR="00565FCF" w:rsidRPr="004F0CE8">
        <w:t xml:space="preserve">tad, ja ir runa par </w:t>
      </w:r>
      <w:r w:rsidR="00981D06" w:rsidRPr="004F0CE8">
        <w:t xml:space="preserve">faktu nodibināšanu </w:t>
      </w:r>
      <w:r w:rsidR="00565FCF" w:rsidRPr="004F0CE8">
        <w:t>lietā.</w:t>
      </w:r>
    </w:p>
    <w:p w14:paraId="49FD4927" w14:textId="69E06BD4" w:rsidR="00E14BA4" w:rsidRPr="004F0CE8" w:rsidRDefault="00D311CE" w:rsidP="00562973">
      <w:pPr>
        <w:shd w:val="clear" w:color="auto" w:fill="FFFFFF"/>
        <w:spacing w:line="276" w:lineRule="auto"/>
        <w:ind w:firstLine="720"/>
        <w:jc w:val="both"/>
      </w:pPr>
      <w:r w:rsidRPr="004F0CE8">
        <w:t xml:space="preserve">Taču, novērtējot pārsūdzētajā spriedumā atreferētos apgabaltiesas pirmajā lietā izdarītos secinājumus, uz kuriem tiesa ir atsaukusies Administratīvā procesa likuma 153.panta trešās daļas piemērošanas kontekstā, Senāts nekonstatē, ka attiecīgie secinājumi būtu </w:t>
      </w:r>
      <w:r w:rsidR="000842AA" w:rsidRPr="004F0CE8">
        <w:t>izdarīti</w:t>
      </w:r>
      <w:r w:rsidRPr="004F0CE8">
        <w:t xml:space="preserve">, tiesai lietā </w:t>
      </w:r>
      <w:r w:rsidR="00981D06" w:rsidRPr="004F0CE8">
        <w:t>nodibinot kādu faktu</w:t>
      </w:r>
      <w:r w:rsidRPr="004F0CE8">
        <w:t xml:space="preserve">. </w:t>
      </w:r>
      <w:r w:rsidR="00892ED7" w:rsidRPr="004F0CE8">
        <w:t>Tiesas atreferētajos pirmās lietas spriedumā izdarītajos secinājumos atspoguļo</w:t>
      </w:r>
      <w:r w:rsidR="00747390" w:rsidRPr="004F0CE8">
        <w:t>ts</w:t>
      </w:r>
      <w:r w:rsidR="00892ED7" w:rsidRPr="004F0CE8">
        <w:t xml:space="preserve"> tiesas novērtējums par to, k</w:t>
      </w:r>
      <w:r w:rsidR="000842AA" w:rsidRPr="004F0CE8">
        <w:t>as izriet no strīdus līgumu noteikumiem</w:t>
      </w:r>
      <w:r w:rsidR="00892ED7" w:rsidRPr="004F0CE8">
        <w:t>. Tā nav faktu nodibināšana, bet gan tiesas vērtējums</w:t>
      </w:r>
      <w:r w:rsidR="00F65201" w:rsidRPr="004F0CE8">
        <w:t xml:space="preserve"> par </w:t>
      </w:r>
      <w:r w:rsidR="00892ED7" w:rsidRPr="004F0CE8">
        <w:t xml:space="preserve">no līgumiem izrietošajām saistībām – tiesībām un pienākumiem. Turklāt, kā jau minēts iepriekš, šis tiesas vērtējums </w:t>
      </w:r>
      <w:r w:rsidR="00F65201" w:rsidRPr="004F0CE8">
        <w:t xml:space="preserve">tika </w:t>
      </w:r>
      <w:r w:rsidR="00892ED7" w:rsidRPr="004F0CE8">
        <w:t xml:space="preserve">izteikts apstākļos, kuros pieteicēja nemaz nebija apšaubījusi to, kādas saistības izriet no līgumiem, līdz ar to lietā par to nemaz nebija strīda un tiesa attiecīgo vērtējumu </w:t>
      </w:r>
      <w:r w:rsidR="00F65201" w:rsidRPr="004F0CE8">
        <w:t xml:space="preserve">būtībā </w:t>
      </w:r>
      <w:r w:rsidR="00892ED7" w:rsidRPr="004F0CE8">
        <w:t xml:space="preserve">izteica, apsverot konkrētu saistību </w:t>
      </w:r>
      <w:r w:rsidR="00835BC0" w:rsidRPr="004F0CE8">
        <w:t xml:space="preserve">izpildi un </w:t>
      </w:r>
      <w:r w:rsidR="00892ED7" w:rsidRPr="004F0CE8">
        <w:t>tiesiskumu</w:t>
      </w:r>
      <w:r w:rsidR="00F65201" w:rsidRPr="004F0CE8">
        <w:t>,</w:t>
      </w:r>
      <w:r w:rsidR="000842AA" w:rsidRPr="004F0CE8">
        <w:t xml:space="preserve"> nevis esību pašu par sevi</w:t>
      </w:r>
      <w:r w:rsidR="00E14BA4" w:rsidRPr="004F0CE8">
        <w:t xml:space="preserve">. </w:t>
      </w:r>
      <w:r w:rsidR="000917A9">
        <w:t>Šāds</w:t>
      </w:r>
      <w:r w:rsidR="00E14BA4" w:rsidRPr="004F0CE8">
        <w:t xml:space="preserve"> </w:t>
      </w:r>
      <w:r w:rsidR="00FE47BA" w:rsidRPr="004F0CE8">
        <w:t xml:space="preserve">apgabaltiesas </w:t>
      </w:r>
      <w:r w:rsidR="00835BC0" w:rsidRPr="004F0CE8">
        <w:t>vērtējums pirm</w:t>
      </w:r>
      <w:r w:rsidR="00FE47BA" w:rsidRPr="004F0CE8">
        <w:t>ajā lietā, uz kur</w:t>
      </w:r>
      <w:r w:rsidR="00835BC0" w:rsidRPr="004F0CE8">
        <w:t>u</w:t>
      </w:r>
      <w:r w:rsidR="00FE47BA" w:rsidRPr="004F0CE8">
        <w:t xml:space="preserve"> apgabaltiesa atsaukusies, </w:t>
      </w:r>
      <w:r w:rsidR="00E14BA4" w:rsidRPr="004F0CE8">
        <w:t>nevar tikt uzskatīt</w:t>
      </w:r>
      <w:r w:rsidR="00835BC0" w:rsidRPr="004F0CE8">
        <w:t>s</w:t>
      </w:r>
      <w:r w:rsidR="00E14BA4" w:rsidRPr="004F0CE8">
        <w:t xml:space="preserve"> par </w:t>
      </w:r>
      <w:r w:rsidR="00835BC0" w:rsidRPr="004F0CE8">
        <w:t>faktu nodibināšanu</w:t>
      </w:r>
      <w:r w:rsidR="00E14BA4" w:rsidRPr="004F0CE8">
        <w:t xml:space="preserve"> Administratīvā procesa likuma 153.panta trešās daļas izpratnē.</w:t>
      </w:r>
    </w:p>
    <w:p w14:paraId="6704DCFB" w14:textId="77777777" w:rsidR="00645C34" w:rsidRPr="004F0CE8" w:rsidRDefault="00645C34" w:rsidP="00562973">
      <w:pPr>
        <w:shd w:val="clear" w:color="auto" w:fill="FFFFFF"/>
        <w:spacing w:line="276" w:lineRule="auto"/>
        <w:ind w:firstLine="720"/>
        <w:jc w:val="both"/>
      </w:pPr>
    </w:p>
    <w:p w14:paraId="54816035" w14:textId="3E22820D" w:rsidR="00F65201" w:rsidRPr="008427D5" w:rsidRDefault="001F6051" w:rsidP="00562973">
      <w:pPr>
        <w:shd w:val="clear" w:color="auto" w:fill="FFFFFF"/>
        <w:spacing w:line="276" w:lineRule="auto"/>
        <w:ind w:firstLine="720"/>
        <w:jc w:val="both"/>
      </w:pPr>
      <w:r w:rsidRPr="004F0CE8">
        <w:t>[</w:t>
      </w:r>
      <w:r w:rsidR="00CE43D9" w:rsidRPr="004F0CE8">
        <w:t>12</w:t>
      </w:r>
      <w:r w:rsidRPr="004F0CE8">
        <w:t>] </w:t>
      </w:r>
      <w:r w:rsidR="000842AA" w:rsidRPr="004F0CE8">
        <w:t>Ievērojot minēto, Senāts atzīst, ka apgabaltiesa nepamatoti atsaukusies uz</w:t>
      </w:r>
      <w:r w:rsidR="000842AA" w:rsidRPr="004F0CE8">
        <w:rPr>
          <w:i/>
          <w:iCs/>
        </w:rPr>
        <w:t xml:space="preserve"> res judicata </w:t>
      </w:r>
      <w:r w:rsidR="000842AA" w:rsidRPr="004F0CE8">
        <w:t>principu un Administratīvā procesa likuma 153.panta trešo daļu. Tas savukārt ir novedis pie tā, ka tiesa faktiski pati nav izvērtējusi pieteikuma pamatotību pēc būtības, jo ir</w:t>
      </w:r>
      <w:r w:rsidR="000842AA" w:rsidRPr="008427D5">
        <w:t xml:space="preserve"> pieņēmusi, ka izskatāmajā lietā izvirzītie strīdus jautājumi jau ir pilnībā atrisināti pirmajā lietā. </w:t>
      </w:r>
    </w:p>
    <w:p w14:paraId="39A2397E" w14:textId="19523506" w:rsidR="00645C34" w:rsidRPr="008427D5" w:rsidRDefault="000842AA" w:rsidP="00562973">
      <w:pPr>
        <w:shd w:val="clear" w:color="auto" w:fill="FFFFFF"/>
        <w:spacing w:line="276" w:lineRule="auto"/>
        <w:ind w:firstLine="720"/>
        <w:jc w:val="both"/>
      </w:pPr>
      <w:r w:rsidRPr="008427D5">
        <w:t>Šāda tiesas kļūda uzskatāma par tādu, kas varē</w:t>
      </w:r>
      <w:r w:rsidR="005B1EBF" w:rsidRPr="008427D5">
        <w:t>ja novest pie nepareizas lietas izspriešanas</w:t>
      </w:r>
      <w:r w:rsidR="00F65201" w:rsidRPr="008427D5">
        <w:t>. T</w:t>
      </w:r>
      <w:r w:rsidRPr="008427D5">
        <w:t xml:space="preserve">āpēc </w:t>
      </w:r>
      <w:r w:rsidR="00134098" w:rsidRPr="008427D5">
        <w:t>pārsūdzētais spriedums ir atceļams, nevērtējot pārējos kasācijas sūdzības argumentus. Tas, kā ir tulkojami tie Līguma un Papildu vienošanās noteikumi, par kuru izpildes pareizību kontekstā ar pārvaldes pieteicējai 2018., 2019., 2020. un 2021.gadā izrakstītajiem rēķiniem ir strīds izskatāmajā lietā, ir jāizvērtē tiesai, kas lietu pēc būtības izskatīs no jauna.</w:t>
      </w:r>
    </w:p>
    <w:p w14:paraId="532DE3B6" w14:textId="77777777" w:rsidR="00411CD0" w:rsidRPr="008427D5" w:rsidRDefault="00411CD0" w:rsidP="00562973">
      <w:pPr>
        <w:shd w:val="clear" w:color="auto" w:fill="FFFFFF"/>
        <w:spacing w:line="276" w:lineRule="auto"/>
        <w:ind w:firstLine="720"/>
        <w:jc w:val="both"/>
      </w:pPr>
    </w:p>
    <w:p w14:paraId="2285B0BC" w14:textId="77777777" w:rsidR="00447EE6" w:rsidRPr="008427D5" w:rsidRDefault="00447EE6" w:rsidP="00562973">
      <w:pPr>
        <w:shd w:val="clear" w:color="auto" w:fill="FFFFFF"/>
        <w:spacing w:line="276" w:lineRule="auto"/>
        <w:jc w:val="center"/>
        <w:rPr>
          <w:b/>
        </w:rPr>
      </w:pPr>
      <w:r w:rsidRPr="008427D5">
        <w:rPr>
          <w:b/>
        </w:rPr>
        <w:t xml:space="preserve">Rezolutīvā daļa </w:t>
      </w:r>
    </w:p>
    <w:p w14:paraId="7DD9DA2F" w14:textId="77777777" w:rsidR="00411CD0" w:rsidRPr="008427D5" w:rsidRDefault="00411CD0" w:rsidP="00562973">
      <w:pPr>
        <w:shd w:val="clear" w:color="auto" w:fill="FFFFFF"/>
        <w:spacing w:line="276" w:lineRule="auto"/>
        <w:jc w:val="center"/>
        <w:rPr>
          <w:b/>
        </w:rPr>
      </w:pPr>
    </w:p>
    <w:p w14:paraId="29943EA0" w14:textId="19B87551" w:rsidR="00447EE6" w:rsidRPr="008427D5" w:rsidRDefault="00447EE6" w:rsidP="00562973">
      <w:pPr>
        <w:shd w:val="clear" w:color="auto" w:fill="FFFFFF"/>
        <w:spacing w:line="276" w:lineRule="auto"/>
        <w:ind w:firstLine="720"/>
        <w:jc w:val="both"/>
      </w:pPr>
      <w:r w:rsidRPr="008427D5">
        <w:t xml:space="preserve">Pamatojoties uz </w:t>
      </w:r>
      <w:r w:rsidR="000A65CA" w:rsidRPr="008427D5">
        <w:rPr>
          <w:rFonts w:eastAsiaTheme="minorHAnsi"/>
          <w:lang w:eastAsia="en-US"/>
        </w:rPr>
        <w:t>Administratīvā procesa likuma 129.</w:t>
      </w:r>
      <w:r w:rsidR="000A65CA" w:rsidRPr="008427D5">
        <w:rPr>
          <w:rFonts w:eastAsiaTheme="minorHAnsi"/>
          <w:vertAlign w:val="superscript"/>
          <w:lang w:eastAsia="en-US"/>
        </w:rPr>
        <w:t>1</w:t>
      </w:r>
      <w:r w:rsidR="000A65CA" w:rsidRPr="008427D5">
        <w:rPr>
          <w:rFonts w:eastAsiaTheme="minorHAnsi"/>
          <w:lang w:eastAsia="en-US"/>
        </w:rPr>
        <w:t xml:space="preserve">panta pirmās daļas 1.punktu, 348.panta pirmās daļas </w:t>
      </w:r>
      <w:r w:rsidR="00FA0486" w:rsidRPr="008427D5">
        <w:rPr>
          <w:rFonts w:eastAsiaTheme="minorHAnsi"/>
          <w:lang w:eastAsia="en-US"/>
        </w:rPr>
        <w:t>2</w:t>
      </w:r>
      <w:r w:rsidR="000A65CA" w:rsidRPr="008427D5">
        <w:rPr>
          <w:rFonts w:eastAsiaTheme="minorHAnsi"/>
          <w:lang w:eastAsia="en-US"/>
        </w:rPr>
        <w:t>.punktu un 351.pantu</w:t>
      </w:r>
      <w:r w:rsidR="000A65CA" w:rsidRPr="008427D5">
        <w:t xml:space="preserve">, </w:t>
      </w:r>
      <w:r w:rsidRPr="008427D5">
        <w:t>Senāts</w:t>
      </w:r>
    </w:p>
    <w:p w14:paraId="37335C36" w14:textId="77777777" w:rsidR="00411CD0" w:rsidRPr="008427D5" w:rsidRDefault="00411CD0" w:rsidP="00562973">
      <w:pPr>
        <w:shd w:val="clear" w:color="auto" w:fill="FFFFFF"/>
        <w:spacing w:line="276" w:lineRule="auto"/>
        <w:ind w:firstLine="720"/>
        <w:jc w:val="both"/>
      </w:pPr>
    </w:p>
    <w:p w14:paraId="48656686" w14:textId="77777777" w:rsidR="00447EE6" w:rsidRPr="008427D5" w:rsidRDefault="00411CD0" w:rsidP="00562973">
      <w:pPr>
        <w:shd w:val="clear" w:color="auto" w:fill="FFFFFF"/>
        <w:spacing w:line="276" w:lineRule="auto"/>
        <w:jc w:val="center"/>
        <w:rPr>
          <w:b/>
        </w:rPr>
      </w:pPr>
      <w:r w:rsidRPr="008427D5">
        <w:rPr>
          <w:b/>
        </w:rPr>
        <w:t>n</w:t>
      </w:r>
      <w:r w:rsidR="00447EE6" w:rsidRPr="008427D5">
        <w:rPr>
          <w:b/>
        </w:rPr>
        <w:t>osprieda</w:t>
      </w:r>
    </w:p>
    <w:p w14:paraId="11425D71" w14:textId="77777777" w:rsidR="00BF21E2" w:rsidRPr="008427D5" w:rsidRDefault="00BF21E2" w:rsidP="00562973">
      <w:pPr>
        <w:spacing w:line="276" w:lineRule="auto"/>
        <w:ind w:firstLine="720"/>
        <w:jc w:val="both"/>
      </w:pPr>
    </w:p>
    <w:p w14:paraId="3A07665B" w14:textId="79805E62" w:rsidR="00BF21E2" w:rsidRPr="008427D5" w:rsidRDefault="007F57CA" w:rsidP="00562973">
      <w:pPr>
        <w:spacing w:line="276" w:lineRule="auto"/>
        <w:ind w:firstLine="720"/>
        <w:jc w:val="both"/>
      </w:pPr>
      <w:r w:rsidRPr="008427D5">
        <w:t>a</w:t>
      </w:r>
      <w:r w:rsidR="00BF21E2" w:rsidRPr="008427D5">
        <w:t>tcelt Administratīvās apgabaltiesas</w:t>
      </w:r>
      <w:r w:rsidR="00C83A81" w:rsidRPr="008427D5">
        <w:t xml:space="preserve"> 2024.gada 12.decembra </w:t>
      </w:r>
      <w:r w:rsidR="00BF21E2" w:rsidRPr="008427D5">
        <w:t>spriedumu</w:t>
      </w:r>
      <w:r w:rsidR="008427D5">
        <w:t xml:space="preserve"> daļā, kurā pieteikums noraidīts,</w:t>
      </w:r>
      <w:r w:rsidR="00BF21E2" w:rsidRPr="008427D5">
        <w:t xml:space="preserve"> un nodot lietu jaunai izskatīšanai Administratīvajai apgabaltiesai</w:t>
      </w:r>
      <w:r w:rsidRPr="008427D5">
        <w:t>;</w:t>
      </w:r>
    </w:p>
    <w:p w14:paraId="48EE94A3" w14:textId="0225011D" w:rsidR="00BF21E2" w:rsidRPr="008427D5" w:rsidRDefault="007F57CA" w:rsidP="00562973">
      <w:pPr>
        <w:spacing w:line="276" w:lineRule="auto"/>
        <w:ind w:firstLine="720"/>
        <w:jc w:val="both"/>
      </w:pPr>
      <w:r w:rsidRPr="008427D5">
        <w:t>a</w:t>
      </w:r>
      <w:r w:rsidR="00BF21E2" w:rsidRPr="008427D5">
        <w:t xml:space="preserve">tmaksāt </w:t>
      </w:r>
      <w:r w:rsidR="00444590" w:rsidRPr="008427D5">
        <w:t xml:space="preserve">AS „VENTSPILS TIRDZNIECĪBAS OSTA” par AS „BALTIC COAL TERMINAL” kasācijas sūdzību samaksāto </w:t>
      </w:r>
      <w:r w:rsidR="00BF21E2" w:rsidRPr="008427D5">
        <w:t>drošības naudu 70 </w:t>
      </w:r>
      <w:r w:rsidR="00BF21E2" w:rsidRPr="008427D5">
        <w:rPr>
          <w:i/>
        </w:rPr>
        <w:t>euro</w:t>
      </w:r>
      <w:r w:rsidR="00BF21E2" w:rsidRPr="008427D5">
        <w:t>.</w:t>
      </w:r>
    </w:p>
    <w:p w14:paraId="03C91A6B" w14:textId="77777777" w:rsidR="007F57CA" w:rsidRPr="008427D5" w:rsidRDefault="007F57CA" w:rsidP="00562973">
      <w:pPr>
        <w:spacing w:line="276" w:lineRule="auto"/>
        <w:ind w:firstLine="720"/>
        <w:jc w:val="both"/>
      </w:pPr>
    </w:p>
    <w:p w14:paraId="0D7D76F3" w14:textId="7F6046F2" w:rsidR="00B54F4B" w:rsidRPr="00562973" w:rsidRDefault="00BF21E2" w:rsidP="00562973">
      <w:pPr>
        <w:spacing w:line="276" w:lineRule="auto"/>
        <w:ind w:firstLine="720"/>
        <w:jc w:val="both"/>
      </w:pPr>
      <w:r w:rsidRPr="008427D5">
        <w:t>Spriedums nav pārsūdzams.</w:t>
      </w:r>
    </w:p>
    <w:sectPr w:rsidR="00B54F4B" w:rsidRPr="00562973" w:rsidSect="00D01076">
      <w:footerReference w:type="defaul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77BB" w14:textId="77777777" w:rsidR="003D736A" w:rsidRDefault="003D736A" w:rsidP="009F7ACE">
      <w:r>
        <w:separator/>
      </w:r>
    </w:p>
  </w:endnote>
  <w:endnote w:type="continuationSeparator" w:id="0">
    <w:p w14:paraId="4EA02CD0" w14:textId="77777777" w:rsidR="003D736A" w:rsidRDefault="003D736A"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64A922AE"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3D736A">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6296" w14:textId="77777777" w:rsidR="003D736A" w:rsidRDefault="003D736A" w:rsidP="009F7ACE">
      <w:r>
        <w:separator/>
      </w:r>
    </w:p>
  </w:footnote>
  <w:footnote w:type="continuationSeparator" w:id="0">
    <w:p w14:paraId="69993156" w14:textId="77777777" w:rsidR="003D736A" w:rsidRDefault="003D736A"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D78"/>
    <w:rsid w:val="00005EFB"/>
    <w:rsid w:val="000214D3"/>
    <w:rsid w:val="00030758"/>
    <w:rsid w:val="00042A5D"/>
    <w:rsid w:val="00044647"/>
    <w:rsid w:val="00047012"/>
    <w:rsid w:val="000470F4"/>
    <w:rsid w:val="00054292"/>
    <w:rsid w:val="00061737"/>
    <w:rsid w:val="00062A49"/>
    <w:rsid w:val="00066C9C"/>
    <w:rsid w:val="000739E5"/>
    <w:rsid w:val="00082500"/>
    <w:rsid w:val="000842AA"/>
    <w:rsid w:val="000917A9"/>
    <w:rsid w:val="00093086"/>
    <w:rsid w:val="00095DE0"/>
    <w:rsid w:val="000A5376"/>
    <w:rsid w:val="000A65CA"/>
    <w:rsid w:val="000B40EA"/>
    <w:rsid w:val="000B58BB"/>
    <w:rsid w:val="000C14DA"/>
    <w:rsid w:val="000C303B"/>
    <w:rsid w:val="000D1E13"/>
    <w:rsid w:val="000D3220"/>
    <w:rsid w:val="000E0DA6"/>
    <w:rsid w:val="000E35CD"/>
    <w:rsid w:val="000E44C7"/>
    <w:rsid w:val="000F0D9D"/>
    <w:rsid w:val="000F1194"/>
    <w:rsid w:val="000F1626"/>
    <w:rsid w:val="000F4380"/>
    <w:rsid w:val="00106DAE"/>
    <w:rsid w:val="00111AD0"/>
    <w:rsid w:val="001120DE"/>
    <w:rsid w:val="00114DA6"/>
    <w:rsid w:val="00126113"/>
    <w:rsid w:val="00127BF9"/>
    <w:rsid w:val="00134098"/>
    <w:rsid w:val="001363F2"/>
    <w:rsid w:val="00146719"/>
    <w:rsid w:val="00151D46"/>
    <w:rsid w:val="001564F9"/>
    <w:rsid w:val="0016422B"/>
    <w:rsid w:val="001676E7"/>
    <w:rsid w:val="0017083B"/>
    <w:rsid w:val="00171B76"/>
    <w:rsid w:val="001842E9"/>
    <w:rsid w:val="00184329"/>
    <w:rsid w:val="00193CBA"/>
    <w:rsid w:val="001970E1"/>
    <w:rsid w:val="001A1930"/>
    <w:rsid w:val="001B105A"/>
    <w:rsid w:val="001B20A1"/>
    <w:rsid w:val="001B2F9D"/>
    <w:rsid w:val="001D7098"/>
    <w:rsid w:val="001E2A92"/>
    <w:rsid w:val="001E699C"/>
    <w:rsid w:val="001F0E56"/>
    <w:rsid w:val="001F6051"/>
    <w:rsid w:val="00216EE9"/>
    <w:rsid w:val="002179DE"/>
    <w:rsid w:val="0022710D"/>
    <w:rsid w:val="00233A71"/>
    <w:rsid w:val="00234AFB"/>
    <w:rsid w:val="002357DD"/>
    <w:rsid w:val="0024638D"/>
    <w:rsid w:val="002507D3"/>
    <w:rsid w:val="002511FC"/>
    <w:rsid w:val="00251CAE"/>
    <w:rsid w:val="00260433"/>
    <w:rsid w:val="00263A75"/>
    <w:rsid w:val="00263B5E"/>
    <w:rsid w:val="00273A50"/>
    <w:rsid w:val="002800F6"/>
    <w:rsid w:val="0028011D"/>
    <w:rsid w:val="00283D84"/>
    <w:rsid w:val="00287EA6"/>
    <w:rsid w:val="00293699"/>
    <w:rsid w:val="002A14DC"/>
    <w:rsid w:val="002B149F"/>
    <w:rsid w:val="002B4510"/>
    <w:rsid w:val="002B5AFC"/>
    <w:rsid w:val="002C0BC9"/>
    <w:rsid w:val="002C336C"/>
    <w:rsid w:val="002D4EAD"/>
    <w:rsid w:val="002E6295"/>
    <w:rsid w:val="002F3E21"/>
    <w:rsid w:val="002F5F4E"/>
    <w:rsid w:val="00304F23"/>
    <w:rsid w:val="00307B8A"/>
    <w:rsid w:val="00322F4F"/>
    <w:rsid w:val="00337B0D"/>
    <w:rsid w:val="003572F4"/>
    <w:rsid w:val="00361D6D"/>
    <w:rsid w:val="00371D71"/>
    <w:rsid w:val="003748C4"/>
    <w:rsid w:val="00375A2F"/>
    <w:rsid w:val="003762D0"/>
    <w:rsid w:val="00390540"/>
    <w:rsid w:val="00394F74"/>
    <w:rsid w:val="00395950"/>
    <w:rsid w:val="003A04A8"/>
    <w:rsid w:val="003A54D5"/>
    <w:rsid w:val="003B0C0F"/>
    <w:rsid w:val="003B0DBE"/>
    <w:rsid w:val="003B4BC8"/>
    <w:rsid w:val="003C4667"/>
    <w:rsid w:val="003C4C3A"/>
    <w:rsid w:val="003D04F1"/>
    <w:rsid w:val="003D6244"/>
    <w:rsid w:val="003D736A"/>
    <w:rsid w:val="003E2048"/>
    <w:rsid w:val="00400CA8"/>
    <w:rsid w:val="00411CD0"/>
    <w:rsid w:val="004138B8"/>
    <w:rsid w:val="004232CD"/>
    <w:rsid w:val="00427D52"/>
    <w:rsid w:val="00440DBC"/>
    <w:rsid w:val="00444590"/>
    <w:rsid w:val="00447EE6"/>
    <w:rsid w:val="00456780"/>
    <w:rsid w:val="004602E0"/>
    <w:rsid w:val="004815CE"/>
    <w:rsid w:val="00481EC4"/>
    <w:rsid w:val="004871A1"/>
    <w:rsid w:val="00492E2A"/>
    <w:rsid w:val="004A0A81"/>
    <w:rsid w:val="004A28FD"/>
    <w:rsid w:val="004B2A94"/>
    <w:rsid w:val="004B3E75"/>
    <w:rsid w:val="004D1AD6"/>
    <w:rsid w:val="004D6B48"/>
    <w:rsid w:val="004E4D83"/>
    <w:rsid w:val="004F0CE8"/>
    <w:rsid w:val="005058CC"/>
    <w:rsid w:val="00510425"/>
    <w:rsid w:val="0052043B"/>
    <w:rsid w:val="00533266"/>
    <w:rsid w:val="00536F89"/>
    <w:rsid w:val="0054538A"/>
    <w:rsid w:val="00545FFB"/>
    <w:rsid w:val="005462CB"/>
    <w:rsid w:val="00547C02"/>
    <w:rsid w:val="00550232"/>
    <w:rsid w:val="005628EB"/>
    <w:rsid w:val="00562973"/>
    <w:rsid w:val="00565801"/>
    <w:rsid w:val="00565FCF"/>
    <w:rsid w:val="00570FB3"/>
    <w:rsid w:val="00573D27"/>
    <w:rsid w:val="0057494D"/>
    <w:rsid w:val="00586672"/>
    <w:rsid w:val="00587C12"/>
    <w:rsid w:val="0059731B"/>
    <w:rsid w:val="005A4BED"/>
    <w:rsid w:val="005B10B2"/>
    <w:rsid w:val="005B1EBF"/>
    <w:rsid w:val="005B7CAF"/>
    <w:rsid w:val="005C1386"/>
    <w:rsid w:val="005C2D60"/>
    <w:rsid w:val="005C320A"/>
    <w:rsid w:val="005C7C1F"/>
    <w:rsid w:val="005D348D"/>
    <w:rsid w:val="005D6567"/>
    <w:rsid w:val="005E4145"/>
    <w:rsid w:val="005E5DEA"/>
    <w:rsid w:val="00622286"/>
    <w:rsid w:val="00623532"/>
    <w:rsid w:val="006256B0"/>
    <w:rsid w:val="006266C1"/>
    <w:rsid w:val="0063290D"/>
    <w:rsid w:val="00632ACE"/>
    <w:rsid w:val="00636281"/>
    <w:rsid w:val="00645C34"/>
    <w:rsid w:val="00654333"/>
    <w:rsid w:val="006545BD"/>
    <w:rsid w:val="0066333B"/>
    <w:rsid w:val="00663B01"/>
    <w:rsid w:val="00670595"/>
    <w:rsid w:val="00673EC3"/>
    <w:rsid w:val="00683088"/>
    <w:rsid w:val="00683160"/>
    <w:rsid w:val="00686DC2"/>
    <w:rsid w:val="006915BF"/>
    <w:rsid w:val="006A17D5"/>
    <w:rsid w:val="006A3F24"/>
    <w:rsid w:val="006B407B"/>
    <w:rsid w:val="006C0040"/>
    <w:rsid w:val="006C4128"/>
    <w:rsid w:val="006C5738"/>
    <w:rsid w:val="006C6573"/>
    <w:rsid w:val="006D5CB1"/>
    <w:rsid w:val="006E0425"/>
    <w:rsid w:val="006E5B83"/>
    <w:rsid w:val="006E5EA5"/>
    <w:rsid w:val="006F5C4B"/>
    <w:rsid w:val="00703EED"/>
    <w:rsid w:val="0070444C"/>
    <w:rsid w:val="007071CC"/>
    <w:rsid w:val="0071758A"/>
    <w:rsid w:val="00721630"/>
    <w:rsid w:val="007221E3"/>
    <w:rsid w:val="007230BE"/>
    <w:rsid w:val="007346F0"/>
    <w:rsid w:val="0073639B"/>
    <w:rsid w:val="00743332"/>
    <w:rsid w:val="00743EF5"/>
    <w:rsid w:val="00744CB4"/>
    <w:rsid w:val="00747390"/>
    <w:rsid w:val="00751365"/>
    <w:rsid w:val="00756BBA"/>
    <w:rsid w:val="00757610"/>
    <w:rsid w:val="007605BD"/>
    <w:rsid w:val="00770DFC"/>
    <w:rsid w:val="00772A49"/>
    <w:rsid w:val="0077378B"/>
    <w:rsid w:val="00774244"/>
    <w:rsid w:val="00776A2A"/>
    <w:rsid w:val="00776B98"/>
    <w:rsid w:val="0078770B"/>
    <w:rsid w:val="0079099E"/>
    <w:rsid w:val="007921EC"/>
    <w:rsid w:val="007A0002"/>
    <w:rsid w:val="007A2FD0"/>
    <w:rsid w:val="007A4CFD"/>
    <w:rsid w:val="007A6C38"/>
    <w:rsid w:val="007A74E6"/>
    <w:rsid w:val="007B162C"/>
    <w:rsid w:val="007B1985"/>
    <w:rsid w:val="007C0B2A"/>
    <w:rsid w:val="007C3174"/>
    <w:rsid w:val="007C32C8"/>
    <w:rsid w:val="007D38A2"/>
    <w:rsid w:val="007E14BA"/>
    <w:rsid w:val="007E3C17"/>
    <w:rsid w:val="007E4BBF"/>
    <w:rsid w:val="007E4ED5"/>
    <w:rsid w:val="007E6C56"/>
    <w:rsid w:val="007F57CA"/>
    <w:rsid w:val="007F7B0F"/>
    <w:rsid w:val="00801070"/>
    <w:rsid w:val="00821F38"/>
    <w:rsid w:val="00831A47"/>
    <w:rsid w:val="00835BC0"/>
    <w:rsid w:val="008427D5"/>
    <w:rsid w:val="008522F9"/>
    <w:rsid w:val="00853857"/>
    <w:rsid w:val="008627D0"/>
    <w:rsid w:val="00865CB3"/>
    <w:rsid w:val="008679F5"/>
    <w:rsid w:val="00873A74"/>
    <w:rsid w:val="00875CE4"/>
    <w:rsid w:val="00877630"/>
    <w:rsid w:val="008818E7"/>
    <w:rsid w:val="00884578"/>
    <w:rsid w:val="00892ED7"/>
    <w:rsid w:val="008A7D83"/>
    <w:rsid w:val="008B0D23"/>
    <w:rsid w:val="008D3C1A"/>
    <w:rsid w:val="008D73C5"/>
    <w:rsid w:val="008F0317"/>
    <w:rsid w:val="008F109F"/>
    <w:rsid w:val="008F5C60"/>
    <w:rsid w:val="008F6EC6"/>
    <w:rsid w:val="008F7D25"/>
    <w:rsid w:val="009015A0"/>
    <w:rsid w:val="00902912"/>
    <w:rsid w:val="0090704F"/>
    <w:rsid w:val="00907A3C"/>
    <w:rsid w:val="00910BA8"/>
    <w:rsid w:val="00912546"/>
    <w:rsid w:val="00915B2E"/>
    <w:rsid w:val="00924946"/>
    <w:rsid w:val="00932DDE"/>
    <w:rsid w:val="00942EB0"/>
    <w:rsid w:val="009522B0"/>
    <w:rsid w:val="00956CBB"/>
    <w:rsid w:val="00957540"/>
    <w:rsid w:val="00964864"/>
    <w:rsid w:val="009707FC"/>
    <w:rsid w:val="00981D06"/>
    <w:rsid w:val="009845CB"/>
    <w:rsid w:val="009A15FB"/>
    <w:rsid w:val="009A4AD5"/>
    <w:rsid w:val="009A7DA1"/>
    <w:rsid w:val="009B4195"/>
    <w:rsid w:val="009D1562"/>
    <w:rsid w:val="009E4401"/>
    <w:rsid w:val="009E4AE0"/>
    <w:rsid w:val="009E7037"/>
    <w:rsid w:val="009F3A8E"/>
    <w:rsid w:val="009F4C8D"/>
    <w:rsid w:val="009F61F1"/>
    <w:rsid w:val="009F7ACE"/>
    <w:rsid w:val="00A04FE9"/>
    <w:rsid w:val="00A11873"/>
    <w:rsid w:val="00A1486D"/>
    <w:rsid w:val="00A15F98"/>
    <w:rsid w:val="00A16C67"/>
    <w:rsid w:val="00A32A0C"/>
    <w:rsid w:val="00A33316"/>
    <w:rsid w:val="00A340A7"/>
    <w:rsid w:val="00A34700"/>
    <w:rsid w:val="00A4405C"/>
    <w:rsid w:val="00A45699"/>
    <w:rsid w:val="00A45C40"/>
    <w:rsid w:val="00A61472"/>
    <w:rsid w:val="00A61AD5"/>
    <w:rsid w:val="00A65EEA"/>
    <w:rsid w:val="00A729B9"/>
    <w:rsid w:val="00A963CF"/>
    <w:rsid w:val="00AA05F8"/>
    <w:rsid w:val="00AA66A7"/>
    <w:rsid w:val="00AB4447"/>
    <w:rsid w:val="00AB7DB7"/>
    <w:rsid w:val="00AC3257"/>
    <w:rsid w:val="00AC366E"/>
    <w:rsid w:val="00AC634D"/>
    <w:rsid w:val="00AD69C3"/>
    <w:rsid w:val="00AD7C99"/>
    <w:rsid w:val="00AE2529"/>
    <w:rsid w:val="00AE40EF"/>
    <w:rsid w:val="00AF0D11"/>
    <w:rsid w:val="00AF5964"/>
    <w:rsid w:val="00AF67EB"/>
    <w:rsid w:val="00B02570"/>
    <w:rsid w:val="00B20F00"/>
    <w:rsid w:val="00B408A3"/>
    <w:rsid w:val="00B47835"/>
    <w:rsid w:val="00B52F60"/>
    <w:rsid w:val="00B53B52"/>
    <w:rsid w:val="00B54F4B"/>
    <w:rsid w:val="00B7663A"/>
    <w:rsid w:val="00B8199D"/>
    <w:rsid w:val="00B8221A"/>
    <w:rsid w:val="00B8463D"/>
    <w:rsid w:val="00B972CD"/>
    <w:rsid w:val="00BA6601"/>
    <w:rsid w:val="00BC3C81"/>
    <w:rsid w:val="00BC6E39"/>
    <w:rsid w:val="00BD00EA"/>
    <w:rsid w:val="00BD6E7B"/>
    <w:rsid w:val="00BF21E2"/>
    <w:rsid w:val="00BF75EB"/>
    <w:rsid w:val="00C10967"/>
    <w:rsid w:val="00C23B6A"/>
    <w:rsid w:val="00C42FE3"/>
    <w:rsid w:val="00C43427"/>
    <w:rsid w:val="00C46241"/>
    <w:rsid w:val="00C47C8A"/>
    <w:rsid w:val="00C5023B"/>
    <w:rsid w:val="00C50F70"/>
    <w:rsid w:val="00C60682"/>
    <w:rsid w:val="00C83A81"/>
    <w:rsid w:val="00C83B6B"/>
    <w:rsid w:val="00C872E3"/>
    <w:rsid w:val="00C876C5"/>
    <w:rsid w:val="00C97277"/>
    <w:rsid w:val="00CA0C9E"/>
    <w:rsid w:val="00CA2824"/>
    <w:rsid w:val="00CA666E"/>
    <w:rsid w:val="00CA6BFB"/>
    <w:rsid w:val="00CB3989"/>
    <w:rsid w:val="00CB3DEB"/>
    <w:rsid w:val="00CB60AC"/>
    <w:rsid w:val="00CB790D"/>
    <w:rsid w:val="00CC1B95"/>
    <w:rsid w:val="00CD1729"/>
    <w:rsid w:val="00CD461F"/>
    <w:rsid w:val="00CD48B6"/>
    <w:rsid w:val="00CE126D"/>
    <w:rsid w:val="00CE43D9"/>
    <w:rsid w:val="00CE661A"/>
    <w:rsid w:val="00D01076"/>
    <w:rsid w:val="00D072AF"/>
    <w:rsid w:val="00D12F38"/>
    <w:rsid w:val="00D2558C"/>
    <w:rsid w:val="00D25D87"/>
    <w:rsid w:val="00D25E9C"/>
    <w:rsid w:val="00D30F70"/>
    <w:rsid w:val="00D311CE"/>
    <w:rsid w:val="00D4409F"/>
    <w:rsid w:val="00D453D9"/>
    <w:rsid w:val="00D51BAE"/>
    <w:rsid w:val="00D571F9"/>
    <w:rsid w:val="00D57EA4"/>
    <w:rsid w:val="00D62907"/>
    <w:rsid w:val="00D706C1"/>
    <w:rsid w:val="00D72B18"/>
    <w:rsid w:val="00D80CA5"/>
    <w:rsid w:val="00D820F1"/>
    <w:rsid w:val="00D8306E"/>
    <w:rsid w:val="00D841A4"/>
    <w:rsid w:val="00D92808"/>
    <w:rsid w:val="00D931F7"/>
    <w:rsid w:val="00DA0B86"/>
    <w:rsid w:val="00DA3BE0"/>
    <w:rsid w:val="00DB018C"/>
    <w:rsid w:val="00DB113C"/>
    <w:rsid w:val="00DB1176"/>
    <w:rsid w:val="00DB13F8"/>
    <w:rsid w:val="00DB1B62"/>
    <w:rsid w:val="00DD387B"/>
    <w:rsid w:val="00DD4285"/>
    <w:rsid w:val="00DE48D3"/>
    <w:rsid w:val="00DF1F88"/>
    <w:rsid w:val="00DF69EC"/>
    <w:rsid w:val="00E14BA4"/>
    <w:rsid w:val="00E1505E"/>
    <w:rsid w:val="00E235F9"/>
    <w:rsid w:val="00E25520"/>
    <w:rsid w:val="00E311C8"/>
    <w:rsid w:val="00E32E1D"/>
    <w:rsid w:val="00E40D1C"/>
    <w:rsid w:val="00E439BF"/>
    <w:rsid w:val="00E453A1"/>
    <w:rsid w:val="00E45590"/>
    <w:rsid w:val="00E4670F"/>
    <w:rsid w:val="00E47FFD"/>
    <w:rsid w:val="00E501A5"/>
    <w:rsid w:val="00E513EE"/>
    <w:rsid w:val="00E60CBA"/>
    <w:rsid w:val="00E64351"/>
    <w:rsid w:val="00E65948"/>
    <w:rsid w:val="00E674AE"/>
    <w:rsid w:val="00E7712D"/>
    <w:rsid w:val="00E82F58"/>
    <w:rsid w:val="00E8374E"/>
    <w:rsid w:val="00E8501D"/>
    <w:rsid w:val="00E8730E"/>
    <w:rsid w:val="00E91E90"/>
    <w:rsid w:val="00E95EC9"/>
    <w:rsid w:val="00EB3596"/>
    <w:rsid w:val="00ED6B64"/>
    <w:rsid w:val="00EE475F"/>
    <w:rsid w:val="00EE4778"/>
    <w:rsid w:val="00EE631C"/>
    <w:rsid w:val="00F00701"/>
    <w:rsid w:val="00F05E8B"/>
    <w:rsid w:val="00F07C2D"/>
    <w:rsid w:val="00F21648"/>
    <w:rsid w:val="00F24DF6"/>
    <w:rsid w:val="00F27433"/>
    <w:rsid w:val="00F3108B"/>
    <w:rsid w:val="00F33578"/>
    <w:rsid w:val="00F42582"/>
    <w:rsid w:val="00F539A9"/>
    <w:rsid w:val="00F54AF8"/>
    <w:rsid w:val="00F5637B"/>
    <w:rsid w:val="00F5660E"/>
    <w:rsid w:val="00F60C8C"/>
    <w:rsid w:val="00F65201"/>
    <w:rsid w:val="00F65D24"/>
    <w:rsid w:val="00F6603B"/>
    <w:rsid w:val="00F67A5A"/>
    <w:rsid w:val="00F70D53"/>
    <w:rsid w:val="00F81EAA"/>
    <w:rsid w:val="00F8484F"/>
    <w:rsid w:val="00F85D64"/>
    <w:rsid w:val="00F91268"/>
    <w:rsid w:val="00F96516"/>
    <w:rsid w:val="00F97BFF"/>
    <w:rsid w:val="00FA0486"/>
    <w:rsid w:val="00FB1CCA"/>
    <w:rsid w:val="00FC52FD"/>
    <w:rsid w:val="00FD0772"/>
    <w:rsid w:val="00FD1B7F"/>
    <w:rsid w:val="00FE2FD5"/>
    <w:rsid w:val="00FE47BA"/>
    <w:rsid w:val="00FE5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2">
    <w:name w:val="heading 2"/>
    <w:basedOn w:val="Normal"/>
    <w:next w:val="Normal"/>
    <w:link w:val="Heading2Char"/>
    <w:uiPriority w:val="9"/>
    <w:semiHidden/>
    <w:unhideWhenUsed/>
    <w:qFormat/>
    <w:rsid w:val="008D3C1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DE48D3"/>
    <w:rPr>
      <w:color w:val="0563C1" w:themeColor="hyperlink"/>
      <w:u w:val="single"/>
    </w:rPr>
  </w:style>
  <w:style w:type="character" w:styleId="UnresolvedMention">
    <w:name w:val="Unresolved Mention"/>
    <w:basedOn w:val="DefaultParagraphFont"/>
    <w:uiPriority w:val="99"/>
    <w:semiHidden/>
    <w:unhideWhenUsed/>
    <w:rsid w:val="00DE48D3"/>
    <w:rPr>
      <w:color w:val="605E5C"/>
      <w:shd w:val="clear" w:color="auto" w:fill="E1DFDD"/>
    </w:rPr>
  </w:style>
  <w:style w:type="character" w:customStyle="1" w:styleId="Heading2Char">
    <w:name w:val="Heading 2 Char"/>
    <w:basedOn w:val="DefaultParagraphFont"/>
    <w:link w:val="Heading2"/>
    <w:uiPriority w:val="9"/>
    <w:semiHidden/>
    <w:rsid w:val="008D3C1A"/>
    <w:rPr>
      <w:rFonts w:asciiTheme="majorHAnsi" w:eastAsiaTheme="majorEastAsia" w:hAnsiTheme="majorHAnsi" w:cstheme="majorBidi"/>
      <w:color w:val="2E74B5" w:themeColor="accent1" w:themeShade="BF"/>
      <w:sz w:val="26"/>
      <w:szCs w:val="26"/>
      <w:lang w:val="lv-LV" w:eastAsia="ru-RU"/>
    </w:rPr>
  </w:style>
  <w:style w:type="character" w:styleId="FollowedHyperlink">
    <w:name w:val="FollowedHyperlink"/>
    <w:basedOn w:val="DefaultParagraphFont"/>
    <w:uiPriority w:val="99"/>
    <w:semiHidden/>
    <w:unhideWhenUsed/>
    <w:rsid w:val="00134098"/>
    <w:rPr>
      <w:color w:val="954F72" w:themeColor="followedHyperlink"/>
      <w:u w:val="single"/>
    </w:rPr>
  </w:style>
  <w:style w:type="paragraph" w:styleId="Revision">
    <w:name w:val="Revision"/>
    <w:hidden/>
    <w:uiPriority w:val="99"/>
    <w:semiHidden/>
    <w:rsid w:val="00912546"/>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184329"/>
    <w:rPr>
      <w:sz w:val="16"/>
      <w:szCs w:val="16"/>
    </w:rPr>
  </w:style>
  <w:style w:type="paragraph" w:styleId="CommentText">
    <w:name w:val="annotation text"/>
    <w:basedOn w:val="Normal"/>
    <w:link w:val="CommentTextChar"/>
    <w:uiPriority w:val="99"/>
    <w:unhideWhenUsed/>
    <w:rsid w:val="00184329"/>
    <w:rPr>
      <w:sz w:val="20"/>
      <w:szCs w:val="20"/>
    </w:rPr>
  </w:style>
  <w:style w:type="character" w:customStyle="1" w:styleId="CommentTextChar">
    <w:name w:val="Comment Text Char"/>
    <w:basedOn w:val="DefaultParagraphFont"/>
    <w:link w:val="CommentText"/>
    <w:uiPriority w:val="99"/>
    <w:rsid w:val="00184329"/>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84329"/>
    <w:rPr>
      <w:b/>
      <w:bCs/>
    </w:rPr>
  </w:style>
  <w:style w:type="character" w:customStyle="1" w:styleId="CommentSubjectChar">
    <w:name w:val="Comment Subject Char"/>
    <w:basedOn w:val="CommentTextChar"/>
    <w:link w:val="CommentSubject"/>
    <w:uiPriority w:val="99"/>
    <w:semiHidden/>
    <w:rsid w:val="00184329"/>
    <w:rPr>
      <w:rFonts w:eastAsia="Times New Roman" w:cs="Times New Roman"/>
      <w:b/>
      <w:bCs/>
      <w:sz w:val="20"/>
      <w:szCs w:val="20"/>
      <w:lang w:val="lv-LV" w:eastAsia="ru-RU"/>
    </w:rPr>
  </w:style>
  <w:style w:type="paragraph" w:customStyle="1" w:styleId="Default">
    <w:name w:val="Default"/>
    <w:rsid w:val="00562973"/>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curia.curia.europa.eu/tabs/document/C/2001/C-0224-01-00000000RP-01-P-01/ARRET/48649-LV-1-html" TargetMode="External"/><Relationship Id="rId13" Type="http://schemas.openxmlformats.org/officeDocument/2006/relationships/hyperlink" Target="https://gateway.elieta.lv/api/v1/PublicMaterialDownload/496d73ab-d70a-4e0f-98cf-28fc940d243a" TargetMode="External"/><Relationship Id="rId3" Type="http://schemas.openxmlformats.org/officeDocument/2006/relationships/settings" Target="settings.xml"/><Relationship Id="rId7" Type="http://schemas.openxmlformats.org/officeDocument/2006/relationships/hyperlink" Target="https://gateway.elieta.lv/api/v1/PublicMaterialDownload/88023666-6cd5-4bb5-955b-7307bc9e2bb4" TargetMode="External"/><Relationship Id="rId12" Type="http://schemas.openxmlformats.org/officeDocument/2006/relationships/hyperlink" Target="https://gateway.elieta.lv/api/v1/PublicMaterialDownload/3f82f9bd-0b85-4088-9c4b-1eb6be8e691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curia.curia.europa.eu/tabs/document/F/2010/F-0043-10-00000000RF-01-P-01/ARRET/131721-EN-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focuria.curia.europa.eu/tabs/document/C/2014/C-0505-14-00000000RP-01-P-01/ARRET/171283-LV-1-html" TargetMode="External"/><Relationship Id="rId4" Type="http://schemas.openxmlformats.org/officeDocument/2006/relationships/webSettings" Target="webSettings.xml"/><Relationship Id="rId9" Type="http://schemas.openxmlformats.org/officeDocument/2006/relationships/hyperlink" Target="https://infocuria.curia.europa.eu/tabs/document/C/2004/C-0234-04-00000000RP-01-P-01/ARRET/57690-LV-1-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11161</Words>
  <Characters>6362</Characters>
  <Application>Microsoft Office Word</Application>
  <DocSecurity>0</DocSecurity>
  <Lines>53</Lines>
  <Paragraphs>34</Paragraphs>
  <ScaleCrop>false</ScaleCrop>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2026-05-19T12:37:00Z</dcterms:created>
  <dcterms:modified xsi:type="dcterms:W3CDTF">2026-05-19T12:38:00Z</dcterms:modified>
</cp:coreProperties>
</file>