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10338" w14:textId="77777777" w:rsidR="0051351A" w:rsidRDefault="0051351A" w:rsidP="00BE3E82">
      <w:pPr>
        <w:autoSpaceDE w:val="0"/>
        <w:autoSpaceDN w:val="0"/>
        <w:spacing w:line="276" w:lineRule="auto"/>
        <w:jc w:val="both"/>
        <w:rPr>
          <w:b/>
          <w:bCs/>
          <w:color w:val="000000"/>
          <w:lang w:eastAsia="lv-LV"/>
        </w:rPr>
      </w:pPr>
      <w:r>
        <w:rPr>
          <w:b/>
          <w:bCs/>
          <w:color w:val="000000"/>
        </w:rPr>
        <w:t>Pašvaldības pienākums lēmumā iekļaut pienācīgu piketa rīkošanas aizlieguma pamatojumu</w:t>
      </w:r>
    </w:p>
    <w:p w14:paraId="3C354D9E" w14:textId="77777777" w:rsidR="0051351A" w:rsidRDefault="0051351A" w:rsidP="00BE3E82">
      <w:pPr>
        <w:autoSpaceDE w:val="0"/>
        <w:autoSpaceDN w:val="0"/>
        <w:spacing w:line="276" w:lineRule="auto"/>
        <w:jc w:val="both"/>
        <w:rPr>
          <w:color w:val="000000"/>
        </w:rPr>
      </w:pPr>
      <w:r>
        <w:rPr>
          <w:color w:val="000000"/>
        </w:rPr>
        <w:t xml:space="preserve">Atbilstoši likumam „Par sapulcēm, gājieniem un piketiem” tieši pašvaldībai ir noteikts pienākums izvērtēt visus ar pieteikto pulcēšanās pasākumu saistītos apstākļus un attiecīgi pieņemt lēmumu noteikt ierobežojumus attiecībā uz pasākuma norises vietu, laiku un veidu vai aizliegt pieteiktā pasākuma norisi. Nosakot ierobežojumus pulcēšanās brīvības īstenošanai vai aizliedzot konkrētu pulcēšanās brīvības pasākumu, pašvaldībai konstatētie apstākļi, kas ierobežo vai liedz netraucētu pulcēšanās brīvības īstenošanu, ir jānorāda lēmumā, sniedzot pamatojumu, ka tās noteiktais pulcēšanās brīvības ierobežojums konkrētajos apstākļos ir nepieciešams demokrātiskā sabiedrībā. </w:t>
      </w:r>
    </w:p>
    <w:p w14:paraId="63EF6ACE" w14:textId="77777777" w:rsidR="0051351A" w:rsidRDefault="0051351A" w:rsidP="00BE3E82">
      <w:pPr>
        <w:autoSpaceDE w:val="0"/>
        <w:autoSpaceDN w:val="0"/>
        <w:spacing w:line="276" w:lineRule="auto"/>
        <w:jc w:val="both"/>
        <w:rPr>
          <w:color w:val="000000"/>
        </w:rPr>
      </w:pPr>
      <w:r>
        <w:t xml:space="preserve">Īstā pamatojuma uzrādīšanai, norādot tos būtiskos apstākļus, kas ir par pamatu lēmuma pieņemšanai, ir būtiska nozīme pulcēšanās pasākuma aizlieguma gadījumā. </w:t>
      </w:r>
      <w:r>
        <w:rPr>
          <w:color w:val="000000"/>
        </w:rPr>
        <w:t xml:space="preserve">Gadījumā, kad tiesas kontrole ir iespējama tikai par pulcēšanās aizlieguma tiesiskumu, proti, tiesa skata lietu tikai pēc iecerētā pulcēšanās pasākuma dienas, jo īpaši ir pievēršama uzmanība iestādes sniegtā pamatojuma kvalitātei, proti, vai aizliegums patiešām ir pamatots ar tādiem būtiskiem apstākļiem, kas var būt par pamatu pieteiktā pasākuma aizliegumam, un vai aizlieguma pamatojums ir pietiekams. </w:t>
      </w:r>
    </w:p>
    <w:p w14:paraId="50A77227" w14:textId="77777777" w:rsidR="0051351A" w:rsidRDefault="0051351A" w:rsidP="00BE3E82">
      <w:pPr>
        <w:autoSpaceDE w:val="0"/>
        <w:autoSpaceDN w:val="0"/>
        <w:spacing w:line="276" w:lineRule="auto"/>
        <w:jc w:val="both"/>
        <w:rPr>
          <w:color w:val="000000"/>
        </w:rPr>
      </w:pPr>
    </w:p>
    <w:p w14:paraId="4A65F90A" w14:textId="77777777" w:rsidR="0051351A" w:rsidRDefault="0051351A" w:rsidP="00BE3E82">
      <w:pPr>
        <w:autoSpaceDE w:val="0"/>
        <w:autoSpaceDN w:val="0"/>
        <w:spacing w:line="276" w:lineRule="auto"/>
        <w:jc w:val="both"/>
        <w:rPr>
          <w:b/>
          <w:bCs/>
          <w:color w:val="000000"/>
        </w:rPr>
      </w:pPr>
      <w:r>
        <w:rPr>
          <w:b/>
          <w:bCs/>
          <w:color w:val="000000"/>
        </w:rPr>
        <w:t>Piketa saukļu miermīlīguma pārbaude</w:t>
      </w:r>
    </w:p>
    <w:p w14:paraId="3EC0B45B" w14:textId="5C8C0662" w:rsidR="00A211B6" w:rsidRPr="0051351A" w:rsidRDefault="0051351A" w:rsidP="00BE3E82">
      <w:pPr>
        <w:autoSpaceDE w:val="0"/>
        <w:autoSpaceDN w:val="0"/>
        <w:spacing w:line="276" w:lineRule="auto"/>
        <w:jc w:val="both"/>
        <w:rPr>
          <w:color w:val="000000"/>
        </w:rPr>
      </w:pPr>
      <w:r>
        <w:rPr>
          <w:color w:val="000000"/>
        </w:rPr>
        <w:t xml:space="preserve">Vērtējot, vai ir pamats aizliegt pieteiktu piketu, miermīlīgas pulcēšanās brīvības kontekstā var būt pamats pievērsties piketa organizētāju izmantotu vai atbalstītu saukļu analīzei. Saukļa saturs vienmēr ir vērtējams konkrētās lietas specifisko apstākļu kontekstā. Jāņem vērā pasākuma organizētāju attieksme un izpratne par saukli, kā arī šā saukļa izpratne un vērtējums Latvijas sabiedrībā, īpašu uzmanību pievēršot to sabiedrības grupu attieksmei, pret kurām attiecīgais sauklis varētu būt vērsts. Attiecīgi nozīme piešķirama konkrētās situācijas sabiedriskajam, politiskajam un ģeopolitiskajam kontekstam, kas pienācīgi novērtējams un pamatojams. </w:t>
      </w:r>
    </w:p>
    <w:p w14:paraId="3EC0B45C" w14:textId="49453769" w:rsidR="00A211B6" w:rsidRPr="0051351A" w:rsidRDefault="00A211B6" w:rsidP="00BE3E82">
      <w:pPr>
        <w:pStyle w:val="NoSpacing"/>
        <w:spacing w:before="240" w:line="276" w:lineRule="auto"/>
        <w:jc w:val="center"/>
        <w:rPr>
          <w:b/>
        </w:rPr>
      </w:pPr>
      <w:r w:rsidRPr="0051351A">
        <w:rPr>
          <w:b/>
        </w:rPr>
        <w:t xml:space="preserve">Latvijas Republikas </w:t>
      </w:r>
      <w:r w:rsidR="00A148C0" w:rsidRPr="0051351A">
        <w:rPr>
          <w:b/>
        </w:rPr>
        <w:t>Senāt</w:t>
      </w:r>
      <w:r w:rsidR="0051351A" w:rsidRPr="0051351A">
        <w:rPr>
          <w:b/>
        </w:rPr>
        <w:t>a</w:t>
      </w:r>
      <w:r w:rsidR="0051351A" w:rsidRPr="0051351A">
        <w:rPr>
          <w:b/>
        </w:rPr>
        <w:br/>
        <w:t>Administratīvo lietu departamenta</w:t>
      </w:r>
      <w:r w:rsidR="0051351A" w:rsidRPr="0051351A">
        <w:rPr>
          <w:b/>
        </w:rPr>
        <w:br/>
        <w:t>2026.gada 16.marta</w:t>
      </w:r>
    </w:p>
    <w:p w14:paraId="3EC0B45F" w14:textId="77777777" w:rsidR="00A211B6" w:rsidRPr="0051351A" w:rsidRDefault="00A211B6" w:rsidP="00BE3E82">
      <w:pPr>
        <w:spacing w:line="276" w:lineRule="auto"/>
        <w:jc w:val="center"/>
        <w:rPr>
          <w:b/>
        </w:rPr>
      </w:pPr>
      <w:r w:rsidRPr="0051351A">
        <w:rPr>
          <w:b/>
        </w:rPr>
        <w:t>SPRIEDUMS</w:t>
      </w:r>
      <w:r w:rsidRPr="0051351A" w:rsidDel="000D5B2A">
        <w:rPr>
          <w:b/>
        </w:rPr>
        <w:t xml:space="preserve"> </w:t>
      </w:r>
    </w:p>
    <w:p w14:paraId="7E31F736" w14:textId="46869073" w:rsidR="0051351A" w:rsidRPr="0051351A" w:rsidRDefault="0051351A" w:rsidP="00BE3E82">
      <w:pPr>
        <w:spacing w:line="276" w:lineRule="auto"/>
        <w:jc w:val="center"/>
        <w:rPr>
          <w:b/>
          <w:bCs/>
          <w:lang w:eastAsia="lv-LV"/>
        </w:rPr>
      </w:pPr>
      <w:r w:rsidRPr="0051351A">
        <w:rPr>
          <w:b/>
          <w:bCs/>
          <w:lang w:eastAsia="lv-LV"/>
        </w:rPr>
        <w:t xml:space="preserve">Lieta Nr. A420108224, </w:t>
      </w:r>
      <w:r w:rsidRPr="0051351A">
        <w:rPr>
          <w:b/>
          <w:bCs/>
        </w:rPr>
        <w:t>SKA-81/2026</w:t>
      </w:r>
    </w:p>
    <w:p w14:paraId="0E93FE92" w14:textId="11FB501B" w:rsidR="0051351A" w:rsidRPr="0051351A" w:rsidRDefault="0051351A" w:rsidP="00BE3E82">
      <w:pPr>
        <w:spacing w:line="276" w:lineRule="auto"/>
        <w:jc w:val="center"/>
        <w:rPr>
          <w:b/>
        </w:rPr>
      </w:pPr>
      <w:r w:rsidRPr="0051351A">
        <w:t xml:space="preserve"> </w:t>
      </w:r>
      <w:hyperlink r:id="rId8" w:history="1">
        <w:r w:rsidRPr="0051351A">
          <w:rPr>
            <w:rStyle w:val="Hyperlink"/>
          </w:rPr>
          <w:t>ECLI:LV:AT:2026:0316.A420108224.9.S</w:t>
        </w:r>
      </w:hyperlink>
    </w:p>
    <w:p w14:paraId="23A5608C" w14:textId="77777777" w:rsidR="004C6362" w:rsidRPr="00580EB9" w:rsidRDefault="004C6362" w:rsidP="00BE3E82">
      <w:pPr>
        <w:pStyle w:val="NoSpacing"/>
        <w:spacing w:line="276" w:lineRule="auto"/>
        <w:jc w:val="center"/>
        <w:rPr>
          <w:bCs/>
        </w:rPr>
      </w:pPr>
    </w:p>
    <w:p w14:paraId="3EC0B462" w14:textId="2889B6D2" w:rsidR="00A211B6" w:rsidRDefault="00A211B6" w:rsidP="00BE3E82">
      <w:pPr>
        <w:spacing w:line="276" w:lineRule="auto"/>
        <w:ind w:firstLine="720"/>
        <w:jc w:val="both"/>
      </w:pPr>
      <w:r>
        <w:t xml:space="preserve">Senāts </w:t>
      </w:r>
      <w:r w:rsidRPr="00011547">
        <w:t>šādā sastāvā</w:t>
      </w:r>
      <w:r>
        <w:t>: senators referents Jānis Pl</w:t>
      </w:r>
      <w:r w:rsidR="007F5C7C">
        <w:t>e</w:t>
      </w:r>
      <w:r>
        <w:t xml:space="preserve">ps, </w:t>
      </w:r>
      <w:r w:rsidRPr="00CC6277">
        <w:t>senator</w:t>
      </w:r>
      <w:r w:rsidR="00E512AC" w:rsidRPr="00CC6277">
        <w:t>e</w:t>
      </w:r>
      <w:r w:rsidR="00C43756">
        <w:t>s</w:t>
      </w:r>
      <w:r w:rsidRPr="00CC6277">
        <w:t xml:space="preserve"> </w:t>
      </w:r>
      <w:r w:rsidR="007D2B6D">
        <w:t>Līvija Slica</w:t>
      </w:r>
      <w:r w:rsidR="00A94ADE" w:rsidRPr="00CC6277">
        <w:t xml:space="preserve"> un</w:t>
      </w:r>
      <w:r w:rsidR="00E512AC" w:rsidRPr="00CC6277">
        <w:t xml:space="preserve"> </w:t>
      </w:r>
      <w:r w:rsidR="007D2B6D">
        <w:t>Ieva Višķere</w:t>
      </w:r>
    </w:p>
    <w:p w14:paraId="6CF19C25" w14:textId="77777777" w:rsidR="004C6362" w:rsidRDefault="004C6362" w:rsidP="00BE3E82">
      <w:pPr>
        <w:spacing w:line="276" w:lineRule="auto"/>
        <w:ind w:firstLine="720"/>
        <w:jc w:val="both"/>
      </w:pPr>
    </w:p>
    <w:p w14:paraId="3DF22922" w14:textId="64D9AE12" w:rsidR="00117848" w:rsidRDefault="00A211B6" w:rsidP="00BE3E82">
      <w:pPr>
        <w:spacing w:line="276" w:lineRule="auto"/>
        <w:ind w:firstLine="720"/>
        <w:jc w:val="both"/>
        <w:rPr>
          <w:lang w:eastAsia="lv-LV"/>
        </w:rPr>
      </w:pPr>
      <w:r w:rsidRPr="00884C0F">
        <w:rPr>
          <w:lang w:eastAsia="lv-LV"/>
        </w:rPr>
        <w:t xml:space="preserve">rakstveida procesā izskatīja administratīvo lietu, </w:t>
      </w:r>
      <w:r w:rsidR="00612D02" w:rsidRPr="00612D02">
        <w:rPr>
          <w:lang w:eastAsia="lv-LV"/>
        </w:rPr>
        <w:t xml:space="preserve">kas ierosināta, </w:t>
      </w:r>
      <w:r w:rsidR="00E176BA" w:rsidRPr="005A737B">
        <w:t xml:space="preserve">pamatojoties uz </w:t>
      </w:r>
      <w:r w:rsidR="0051351A">
        <w:t xml:space="preserve">[pers. A] </w:t>
      </w:r>
      <w:r w:rsidR="00E176BA" w:rsidRPr="005A737B">
        <w:t xml:space="preserve">pieteikumu par </w:t>
      </w:r>
      <w:r w:rsidR="0066145B">
        <w:t xml:space="preserve">Rīgas </w:t>
      </w:r>
      <w:proofErr w:type="spellStart"/>
      <w:r w:rsidR="0066145B">
        <w:t>valstspilsētas</w:t>
      </w:r>
      <w:proofErr w:type="spellEnd"/>
      <w:r w:rsidR="0066145B">
        <w:t xml:space="preserve"> pašvaldības Rīgas pilsētas izpilddirektora 2024.gada 5.janvāra lēmuma Nr. RD-24-7-ap</w:t>
      </w:r>
      <w:r w:rsidR="001A24A7" w:rsidRPr="002C4828">
        <w:t xml:space="preserve"> </w:t>
      </w:r>
      <w:r w:rsidR="0066145B">
        <w:t>atzīšanu par prettiesisku</w:t>
      </w:r>
      <w:r w:rsidR="00E176BA" w:rsidRPr="005A737B">
        <w:t xml:space="preserve">, sakarā ar </w:t>
      </w:r>
      <w:r w:rsidR="0051351A">
        <w:t>[pers.</w:t>
      </w:r>
      <w:r w:rsidR="0051351A">
        <w:t> </w:t>
      </w:r>
      <w:r w:rsidR="0051351A">
        <w:t xml:space="preserve">A] </w:t>
      </w:r>
      <w:r w:rsidR="00E176BA" w:rsidRPr="005A737B">
        <w:t xml:space="preserve">kasācijas sūdzību par Administratīvās </w:t>
      </w:r>
      <w:r w:rsidR="001A24A7">
        <w:t>rajona tiesas</w:t>
      </w:r>
      <w:r w:rsidR="00E176BA" w:rsidRPr="005A737B">
        <w:t xml:space="preserve"> </w:t>
      </w:r>
      <w:r w:rsidR="007C44AE" w:rsidRPr="001A24A7">
        <w:t>202</w:t>
      </w:r>
      <w:r w:rsidR="007C44AE">
        <w:t>4</w:t>
      </w:r>
      <w:r w:rsidR="001A24A7" w:rsidRPr="001A24A7">
        <w:t xml:space="preserve">.gada </w:t>
      </w:r>
      <w:r w:rsidR="007C44AE">
        <w:t>30.maija</w:t>
      </w:r>
      <w:r w:rsidR="001A24A7" w:rsidRPr="001A24A7">
        <w:t xml:space="preserve"> </w:t>
      </w:r>
      <w:r w:rsidR="00E176BA" w:rsidRPr="005A737B">
        <w:t>spriedumu</w:t>
      </w:r>
      <w:r w:rsidR="00117848" w:rsidRPr="00884C0F">
        <w:rPr>
          <w:lang w:eastAsia="lv-LV"/>
        </w:rPr>
        <w:t>.</w:t>
      </w:r>
    </w:p>
    <w:p w14:paraId="25B04A29" w14:textId="77777777" w:rsidR="001855B6" w:rsidRDefault="001855B6" w:rsidP="00BE3E82">
      <w:pPr>
        <w:spacing w:line="276" w:lineRule="auto"/>
        <w:ind w:firstLine="720"/>
        <w:jc w:val="both"/>
        <w:rPr>
          <w:lang w:eastAsia="lv-LV"/>
        </w:rPr>
      </w:pPr>
    </w:p>
    <w:p w14:paraId="34B8C187" w14:textId="77777777" w:rsidR="001855B6" w:rsidRDefault="001855B6" w:rsidP="00BE3E82">
      <w:pPr>
        <w:spacing w:line="276" w:lineRule="auto"/>
        <w:ind w:firstLine="720"/>
        <w:jc w:val="both"/>
        <w:rPr>
          <w:lang w:eastAsia="lv-LV"/>
        </w:rPr>
      </w:pPr>
    </w:p>
    <w:p w14:paraId="25FD27B6" w14:textId="77777777" w:rsidR="001855B6" w:rsidRDefault="001855B6" w:rsidP="00C64149">
      <w:pPr>
        <w:spacing w:line="276" w:lineRule="auto"/>
        <w:ind w:firstLine="720"/>
        <w:jc w:val="both"/>
        <w:rPr>
          <w:lang w:eastAsia="lv-LV"/>
        </w:rPr>
      </w:pPr>
    </w:p>
    <w:p w14:paraId="125ABE11" w14:textId="77777777" w:rsidR="004C6362" w:rsidRPr="00884C0F" w:rsidRDefault="004C6362" w:rsidP="00BE3E82">
      <w:pPr>
        <w:spacing w:line="276" w:lineRule="auto"/>
        <w:ind w:firstLine="720"/>
        <w:jc w:val="both"/>
        <w:rPr>
          <w:lang w:eastAsia="lv-LV"/>
        </w:rPr>
      </w:pPr>
    </w:p>
    <w:p w14:paraId="3EC0B464" w14:textId="77777777" w:rsidR="00A211B6" w:rsidRDefault="00A211B6" w:rsidP="00BE3E82">
      <w:pPr>
        <w:spacing w:line="276" w:lineRule="auto"/>
        <w:jc w:val="center"/>
        <w:rPr>
          <w:b/>
          <w:shd w:val="clear" w:color="auto" w:fill="FFFFFF"/>
        </w:rPr>
      </w:pPr>
      <w:r w:rsidRPr="00884C0F">
        <w:rPr>
          <w:b/>
          <w:shd w:val="clear" w:color="auto" w:fill="FFFFFF"/>
        </w:rPr>
        <w:lastRenderedPageBreak/>
        <w:t>Aprakstošā daļa</w:t>
      </w:r>
    </w:p>
    <w:p w14:paraId="2FB5478F" w14:textId="77777777" w:rsidR="004C6362" w:rsidRPr="00884C0F" w:rsidRDefault="004C6362" w:rsidP="00BE3E82">
      <w:pPr>
        <w:spacing w:line="276" w:lineRule="auto"/>
        <w:jc w:val="center"/>
        <w:rPr>
          <w:shd w:val="clear" w:color="auto" w:fill="FFFFFF"/>
        </w:rPr>
      </w:pPr>
    </w:p>
    <w:p w14:paraId="354C554C" w14:textId="7766F832" w:rsidR="00337F73" w:rsidRDefault="00E176BA" w:rsidP="00BE3E82">
      <w:pPr>
        <w:spacing w:line="276" w:lineRule="auto"/>
        <w:ind w:firstLine="720"/>
        <w:jc w:val="both"/>
      </w:pPr>
      <w:r w:rsidRPr="005A737B">
        <w:t>[1] </w:t>
      </w:r>
      <w:r w:rsidR="0062222A">
        <w:t xml:space="preserve">Pieteicējs </w:t>
      </w:r>
      <w:r w:rsidR="0051351A">
        <w:t xml:space="preserve">[pers. A] </w:t>
      </w:r>
      <w:r w:rsidR="000F6577">
        <w:t>2023.gada 19.decembrī iesniedza Rīgas valstspilsētas pašvaldībai (turpmāk – pašvaldība) pieteikumu par piketa organizēšanu 2024.gada 6.janvārī no plkst. 12.00 līdz plkst. 13.00 pie Ministru kabineta ēkas Rīgā</w:t>
      </w:r>
      <w:r w:rsidR="00983EC6">
        <w:t>.</w:t>
      </w:r>
      <w:r w:rsidR="00240CD3">
        <w:t xml:space="preserve"> Pieteiktā piketa mērķis – izrādīt solidaritāti ar Palestīnas iedzīvotājiem Izraēlas un Palestīnas konflikta laikā.</w:t>
      </w:r>
    </w:p>
    <w:p w14:paraId="6F876737" w14:textId="7353C854" w:rsidR="00536C7B" w:rsidRDefault="00E47AFC" w:rsidP="00BE3E82">
      <w:pPr>
        <w:spacing w:line="276" w:lineRule="auto"/>
        <w:ind w:firstLine="720"/>
        <w:jc w:val="both"/>
      </w:pPr>
      <w:r w:rsidRPr="006A3B24">
        <w:t>P</w:t>
      </w:r>
      <w:r w:rsidR="000F6577" w:rsidRPr="006A3B24">
        <w:t>ašvaldības</w:t>
      </w:r>
      <w:r w:rsidR="000F6577">
        <w:t xml:space="preserve"> Rīgas pilsētas izpilddirektors ar 2024.gada 5.janvāra lēmumu Nr. RD-24-7-ap (turpmāk – pārsūdzētais lēmums) aizliedza </w:t>
      </w:r>
      <w:r w:rsidR="00AB7640">
        <w:t>pieteiktā piketa norisi.</w:t>
      </w:r>
    </w:p>
    <w:p w14:paraId="6F0DA69E" w14:textId="3FCE3E32" w:rsidR="00E46B10" w:rsidRDefault="00536C7B" w:rsidP="00BE3E82">
      <w:pPr>
        <w:spacing w:line="276" w:lineRule="auto"/>
        <w:ind w:firstLine="720"/>
        <w:jc w:val="both"/>
      </w:pPr>
      <w:r>
        <w:t xml:space="preserve">Pārsūdzētajā lēmumā norādīts, ka neesot lietderīgi un samērīgi nodrošināt pieteicējam Latvijas Republikas Satversmes (turpmāk – Satversme) 103.pantā </w:t>
      </w:r>
      <w:r w:rsidR="00A85C66">
        <w:t xml:space="preserve">garantētās </w:t>
      </w:r>
      <w:r>
        <w:t>pulcēšanās tiesības, jo</w:t>
      </w:r>
      <w:r w:rsidR="00D647C9">
        <w:t>,</w:t>
      </w:r>
      <w:r>
        <w:t xml:space="preserve"> nespējot prognozēt uz piketu ierodošos personu skaitu un nespējot identificēt piketā izmantojamo plakātu, lozungu un transparentu saturu</w:t>
      </w:r>
      <w:r w:rsidR="00D647C9">
        <w:t>,</w:t>
      </w:r>
      <w:r>
        <w:t xml:space="preserve"> nav iespējams novērst riskus miermīlīgai piketa norisei. </w:t>
      </w:r>
      <w:r w:rsidR="00376C09">
        <w:t>No piketa uzsaukuma „Pikets Palestīnas atbalstam” nav skaidri un nepārprotami prezumēj</w:t>
      </w:r>
      <w:r w:rsidR="009D1122">
        <w:t>a</w:t>
      </w:r>
      <w:r w:rsidR="00376C09">
        <w:t xml:space="preserve">ms, ka pieteiktā piketa mērķis būtu vērsts tieši uz civiliedzīvotāju atbalstu. </w:t>
      </w:r>
      <w:r w:rsidR="00D647C9">
        <w:t xml:space="preserve">Piketa mērķis pirmšķietami nav viennozīmīgi interpretējams. </w:t>
      </w:r>
      <w:r>
        <w:t>Pašvaldības un tiesībsargājošo institūciju pārstāvji nav guvuši pārliecību, ka pieteicējs kā piketa organizators spētu ievērot un nodrošināt piketa organizatoram likumā „Par</w:t>
      </w:r>
      <w:r w:rsidR="00B022EB" w:rsidRPr="00B022EB">
        <w:t xml:space="preserve"> </w:t>
      </w:r>
      <w:r w:rsidR="00B022EB">
        <w:t>sapulcēm</w:t>
      </w:r>
      <w:r>
        <w:t xml:space="preserve">, </w:t>
      </w:r>
      <w:r w:rsidR="00B022EB">
        <w:t xml:space="preserve">gājieniem </w:t>
      </w:r>
      <w:r>
        <w:t xml:space="preserve">un piketiem” </w:t>
      </w:r>
      <w:r w:rsidR="00B54C3D">
        <w:t xml:space="preserve">(turpmāk – Sapulču likums) </w:t>
      </w:r>
      <w:r>
        <w:t>paredzētos pienākumus. Sabiedriskās kārtības un drošības apdraudējum</w:t>
      </w:r>
      <w:r w:rsidR="00E6274B">
        <w:t>s</w:t>
      </w:r>
      <w:r>
        <w:t xml:space="preserve"> un tā rakstur</w:t>
      </w:r>
      <w:r w:rsidR="00E6274B">
        <w:t>s</w:t>
      </w:r>
      <w:r>
        <w:t xml:space="preserve"> nemainīt</w:t>
      </w:r>
      <w:r w:rsidR="00E6274B">
        <w:t>os</w:t>
      </w:r>
      <w:r>
        <w:t xml:space="preserve"> arī ta</w:t>
      </w:r>
      <w:r w:rsidR="00E6274B">
        <w:t>d</w:t>
      </w:r>
      <w:r>
        <w:t>, ja piketa norisei noteiktu citu laiku, vietu, veidu vai pat ilgumu.</w:t>
      </w:r>
      <w:r w:rsidR="00376C09">
        <w:t xml:space="preserve"> Piketa rīkošana ir aizliedzama, lai aizsargātu citu personu tiesības, veselību un īpašumu, kā arī sabiedrisko kārtību un drošību.</w:t>
      </w:r>
    </w:p>
    <w:p w14:paraId="31230751" w14:textId="1A089505" w:rsidR="000F6577" w:rsidRDefault="00E46B10" w:rsidP="00BE3E82">
      <w:pPr>
        <w:spacing w:line="276" w:lineRule="auto"/>
        <w:ind w:firstLine="720"/>
        <w:jc w:val="both"/>
      </w:pPr>
      <w:r>
        <w:t>Pieteicējs vērsās administratīvajā tiesā, lūdzot atzīt pārsūdzēto lēmumu par prettiesisku.</w:t>
      </w:r>
    </w:p>
    <w:p w14:paraId="69F7791D" w14:textId="77777777" w:rsidR="00612D02" w:rsidRDefault="00612D02" w:rsidP="00BE3E82">
      <w:pPr>
        <w:pStyle w:val="NormalWeb"/>
        <w:shd w:val="clear" w:color="auto" w:fill="FFFFFF"/>
        <w:spacing w:before="0" w:beforeAutospacing="0" w:after="0" w:afterAutospacing="0" w:line="276" w:lineRule="auto"/>
        <w:ind w:firstLine="720"/>
        <w:jc w:val="both"/>
        <w:rPr>
          <w:shd w:val="clear" w:color="auto" w:fill="FFFFFF"/>
        </w:rPr>
      </w:pPr>
    </w:p>
    <w:p w14:paraId="32427521" w14:textId="702C4113" w:rsidR="0062222A" w:rsidRDefault="00E176BA" w:rsidP="00BE3E82">
      <w:pPr>
        <w:spacing w:line="276" w:lineRule="auto"/>
        <w:ind w:firstLine="720"/>
        <w:jc w:val="both"/>
      </w:pPr>
      <w:r>
        <w:t>[2] </w:t>
      </w:r>
      <w:r w:rsidRPr="009954A3">
        <w:t xml:space="preserve">Administratīvā </w:t>
      </w:r>
      <w:r w:rsidR="0062222A">
        <w:t xml:space="preserve">rajona tiesa </w:t>
      </w:r>
      <w:r>
        <w:t xml:space="preserve">ar </w:t>
      </w:r>
      <w:r w:rsidR="002A2A8A">
        <w:t>2024</w:t>
      </w:r>
      <w:r>
        <w:t xml:space="preserve">.gada </w:t>
      </w:r>
      <w:r w:rsidR="002A2A8A">
        <w:t>30.maija</w:t>
      </w:r>
      <w:r>
        <w:t xml:space="preserve"> spriedumu </w:t>
      </w:r>
      <w:r w:rsidR="00463FDD">
        <w:t xml:space="preserve">noraidīja </w:t>
      </w:r>
      <w:r>
        <w:t>pieteikumu</w:t>
      </w:r>
      <w:r w:rsidR="0062222A">
        <w:t>.</w:t>
      </w:r>
      <w:r w:rsidR="00250592">
        <w:t xml:space="preserve"> Spriedumā norādīti turpmāk minētie argumenti.</w:t>
      </w:r>
    </w:p>
    <w:p w14:paraId="4DCDF6DA" w14:textId="12DB1F02" w:rsidR="00730338" w:rsidRDefault="00DD0C03" w:rsidP="00BE3E82">
      <w:pPr>
        <w:spacing w:line="276" w:lineRule="auto"/>
        <w:ind w:firstLine="720"/>
        <w:jc w:val="both"/>
      </w:pPr>
      <w:r>
        <w:t>[2.1]</w:t>
      </w:r>
      <w:r w:rsidR="00EC2DBA">
        <w:t> </w:t>
      </w:r>
      <w:r w:rsidR="00730338">
        <w:t>Pulcēšanās brīvība nav absolūta, un to ir iespējams ierobežot, lai aizsargātu Satversmes 116.pantā minētos leģitīmos mērķus. Pasākumi, kas ir vērsti uz publisku aicinājumu uz naida kurināšanu pret kād</w:t>
      </w:r>
      <w:r w:rsidR="00B91D56">
        <w:t>u</w:t>
      </w:r>
      <w:r w:rsidR="00730338">
        <w:t xml:space="preserve"> ras</w:t>
      </w:r>
      <w:r w:rsidR="00B91D56">
        <w:t>i</w:t>
      </w:r>
      <w:r w:rsidR="00730338">
        <w:t>, etnisk</w:t>
      </w:r>
      <w:r w:rsidR="00B4710D">
        <w:t>u</w:t>
      </w:r>
      <w:r w:rsidR="00730338">
        <w:t>, reliģisk</w:t>
      </w:r>
      <w:r w:rsidR="00B4710D">
        <w:t>u</w:t>
      </w:r>
      <w:r w:rsidR="00730338">
        <w:t xml:space="preserve"> vai cit</w:t>
      </w:r>
      <w:r w:rsidR="00B4710D">
        <w:t>u</w:t>
      </w:r>
      <w:r w:rsidR="00730338">
        <w:t xml:space="preserve"> grup</w:t>
      </w:r>
      <w:r w:rsidR="00B4710D">
        <w:t>u</w:t>
      </w:r>
      <w:r w:rsidR="00730338">
        <w:t xml:space="preserve"> vai vērsti uz citu agresīvu mērķi, uzskatāmi par prettiesiskiem. Ir tiesisks pamats aizliegt pasākumus, kas nav pieļaujami demokrātiskā sabiedrībā un vērsti uz agresīvu mērķi.</w:t>
      </w:r>
    </w:p>
    <w:p w14:paraId="4A25187D" w14:textId="0ED80A9F" w:rsidR="00A60C0D" w:rsidRDefault="00730338" w:rsidP="00BE3E82">
      <w:pPr>
        <w:spacing w:line="276" w:lineRule="auto"/>
        <w:ind w:firstLine="720"/>
        <w:jc w:val="both"/>
      </w:pPr>
      <w:r>
        <w:t>[2.2]</w:t>
      </w:r>
      <w:r w:rsidR="00B77363">
        <w:t> </w:t>
      </w:r>
      <w:r w:rsidR="00A96DF8">
        <w:t xml:space="preserve">Pieņemot </w:t>
      </w:r>
      <w:r w:rsidR="00CE724B">
        <w:t xml:space="preserve">pārsūdzēto </w:t>
      </w:r>
      <w:r w:rsidR="00A96DF8">
        <w:t xml:space="preserve">lēmumu, pašvaldība balstījusies uz Valsts drošības dienesta (turpmāk – dienests) sniegtajiem atzinumiem, kā arī ir iepazinusies ar publiski pieejamo informāciju dažādās interneta vietnēs, tostarp </w:t>
      </w:r>
      <w:r w:rsidR="00A96DF8" w:rsidRPr="00A60C0D">
        <w:rPr>
          <w:i/>
          <w:iCs/>
        </w:rPr>
        <w:t>Facebook</w:t>
      </w:r>
      <w:r w:rsidR="00A96DF8">
        <w:t xml:space="preserve"> lapā „Par brīvu Palestīnu”.</w:t>
      </w:r>
      <w:r w:rsidR="00A60C0D">
        <w:t xml:space="preserve"> Pieteicējs nenoliedz</w:t>
      </w:r>
      <w:r w:rsidR="0099077B">
        <w:t xml:space="preserve"> savu saistību ar kustību „Par brīvu Palestīnu”</w:t>
      </w:r>
      <w:r w:rsidR="00A60C0D">
        <w:t>, lai gan piketu pieteicis kā fiziska persona.</w:t>
      </w:r>
    </w:p>
    <w:p w14:paraId="075FF51F" w14:textId="4F58AFCE" w:rsidR="00644C72" w:rsidRDefault="00533112" w:rsidP="00BE3E82">
      <w:pPr>
        <w:spacing w:line="276" w:lineRule="auto"/>
        <w:ind w:firstLine="720"/>
        <w:jc w:val="both"/>
      </w:pPr>
      <w:r>
        <w:t>[2.3] </w:t>
      </w:r>
      <w:r w:rsidR="000022E4">
        <w:t xml:space="preserve">Lietā nav strīda, ka uz piketa pieteikšanas un </w:t>
      </w:r>
      <w:r w:rsidR="00CE724B">
        <w:t xml:space="preserve">pārsūdzētā </w:t>
      </w:r>
      <w:r w:rsidR="000022E4">
        <w:t>lēmuma pieņemšanas brīdi kustība „Par brīvu Palestīnu” interneta vietnēs sabiedrību uzrunāja ar saukli „No upes līdz jūrai Palestīna būs brīva</w:t>
      </w:r>
      <w:r w:rsidR="001C4C71">
        <w:t>!</w:t>
      </w:r>
      <w:r w:rsidR="000022E4">
        <w:t>”. Izvēlētais lozungs starptautiskajā sabiedrībā netiek viennozīmīgi interpretēts, bet galvenokārt tiek uztverts kā lozungs, kas pauž mērķi pilnībā atbrīvot Palestīnu no Jordānas upes līdz Vidusjūrai, kas savukārt nozīmē Izraēlas likvidēšanu.</w:t>
      </w:r>
      <w:r w:rsidR="00FD4892">
        <w:t xml:space="preserve"> Lozungā ietverto saturu vai vēstījumu var interpretēt kā nozieguma pret cilvēci simbola publisku demonstrēšanu, jo tas aicina izbeigt Izraēlas pastāvēšanu. </w:t>
      </w:r>
      <w:r w:rsidR="00644C72">
        <w:t xml:space="preserve">Tādējādi tas ir arī antisemītisks sauklis, kura lietošana attaisno pret cilvēci vērstu darbību veikšanu, un attiecīgi – šāda saukļa </w:t>
      </w:r>
      <w:r w:rsidR="00346CF4">
        <w:t xml:space="preserve">lietošana </w:t>
      </w:r>
      <w:r w:rsidR="00644C72">
        <w:t>nav viennozīmīgi uztverama kā atbalsts tieši civiliedzīvotājiem.</w:t>
      </w:r>
    </w:p>
    <w:p w14:paraId="27CA50ED" w14:textId="6064C76C" w:rsidR="00401033" w:rsidRDefault="004B546C" w:rsidP="00BE3E82">
      <w:pPr>
        <w:spacing w:line="276" w:lineRule="auto"/>
        <w:ind w:firstLine="720"/>
        <w:jc w:val="both"/>
      </w:pPr>
      <w:r>
        <w:t>[2.4] </w:t>
      </w:r>
      <w:r w:rsidR="00401033">
        <w:t>Dienests ir veicis iespējamo risku, kas saistīti ar pieteikto piketu, izvērtēšanu, sākot ar brīdi, kad tas pieteikts pašvaldībā, un risku monitorings turpināts līdz pat pieteicēja pieteikumā norādītajam piketa laikam. Dienests rekomendēja pašvaldībai piketu aizliegt, ņemot vērā šādus ar tā norisi saistītus drošības riskus: starptautisko attiecību saasināšanās, kaitējot valsts starptautiskajām interesēm; pastiprināta sabiedrības šķelšanās un viedokļu polarizācija jautājumā par notiekošo karadarbību Tuvajos Austrumos; noziedzīgu nodarījumu izdarīšana; vispārējās drošības un sabiedriskās kārtības apdraudējums sakarā ar pasākuma laikā iespējamām konfliktsituācijām, kas no asas vārdu pārmaiņas var pāraugt fiziskā vardarbībā.</w:t>
      </w:r>
    </w:p>
    <w:p w14:paraId="475C2767" w14:textId="07D7F40C" w:rsidR="00D7590F" w:rsidRDefault="00401033" w:rsidP="00BE3E82">
      <w:pPr>
        <w:spacing w:line="276" w:lineRule="auto"/>
        <w:ind w:firstLine="720"/>
        <w:jc w:val="both"/>
      </w:pPr>
      <w:r>
        <w:t>[2.5]</w:t>
      </w:r>
      <w:r w:rsidR="00F10C1B">
        <w:t> </w:t>
      </w:r>
      <w:r w:rsidR="006F0437">
        <w:t>Saukli „No upes līdz jūrai Palestīna būs brīva</w:t>
      </w:r>
      <w:r w:rsidR="001C4C71">
        <w:t>!</w:t>
      </w:r>
      <w:r w:rsidR="006F0437">
        <w:t xml:space="preserve">” izmanto gan Palestīnu atbalstoši, gan pret Izraēlu vērsti politiskie spēki un aktīvisti. Kopš 2023.gada novembra Vācijā, Austrijā, Igaunijā un Čehijā varas iestādes jau ir vērsušās pret personām, kuras publiski </w:t>
      </w:r>
      <w:r w:rsidR="000A6649">
        <w:t xml:space="preserve">lietojušas </w:t>
      </w:r>
      <w:r w:rsidR="006F0437">
        <w:t>šo saukli, pamatojot to ar terorisma slavināšanu un aicinājumu uz vardarbīgu vēršanos pret Izraēl</w:t>
      </w:r>
      <w:r w:rsidR="00061D98">
        <w:t>u</w:t>
      </w:r>
      <w:r w:rsidR="006F0437">
        <w:t xml:space="preserve">, noliedzot tās tiesības uz eksistenci. Par Izraēlas </w:t>
      </w:r>
      <w:r w:rsidR="004F232A">
        <w:t xml:space="preserve">un Palestīnas </w:t>
      </w:r>
      <w:r w:rsidR="006F0437">
        <w:t xml:space="preserve">konfliktu pasaulē notiek asas debates un demonstrācijas Palestīnas civiliedzīvotāju atbalstam, bet netiek pieļauta nekāda veida </w:t>
      </w:r>
      <w:r w:rsidR="006F0437" w:rsidRPr="006A3B24">
        <w:t>naid</w:t>
      </w:r>
      <w:r w:rsidR="006A3B24" w:rsidRPr="00801D90">
        <w:t>īg</w:t>
      </w:r>
      <w:r w:rsidR="006F0437" w:rsidRPr="006A3B24">
        <w:t>a attieksme</w:t>
      </w:r>
      <w:r w:rsidR="006F0437">
        <w:t xml:space="preserve"> pret citām etniskām grupām.</w:t>
      </w:r>
    </w:p>
    <w:p w14:paraId="4F0A8B6A" w14:textId="0881230F" w:rsidR="006F0437" w:rsidRDefault="006F0437" w:rsidP="00BE3E82">
      <w:pPr>
        <w:spacing w:line="276" w:lineRule="auto"/>
        <w:ind w:firstLine="720"/>
        <w:jc w:val="both"/>
      </w:pPr>
      <w:r>
        <w:t>[2.6] </w:t>
      </w:r>
      <w:r w:rsidR="003B5DD6">
        <w:t xml:space="preserve">Pieteicējs un kustība „Par brīvu Palestīnu” </w:t>
      </w:r>
      <w:r w:rsidR="001C4C71">
        <w:t>nenorobežojas no saukļa „No upes līdz jūrai Palestīna būs brīva!”</w:t>
      </w:r>
      <w:r w:rsidR="00D6121F">
        <w:t xml:space="preserve">. Minētais sauklis no </w:t>
      </w:r>
      <w:r w:rsidR="00D6121F" w:rsidRPr="00B44131">
        <w:rPr>
          <w:i/>
          <w:iCs/>
        </w:rPr>
        <w:t>Facebook</w:t>
      </w:r>
      <w:r w:rsidR="00D6121F">
        <w:t xml:space="preserve"> un </w:t>
      </w:r>
      <w:r w:rsidR="00D6121F" w:rsidRPr="00B44131">
        <w:rPr>
          <w:i/>
          <w:iCs/>
        </w:rPr>
        <w:t>Instagram</w:t>
      </w:r>
      <w:r w:rsidR="00D6121F">
        <w:t xml:space="preserve"> interneta vietnēm izņemts tikai pēc tikšanās ar pašvaldības pārstāvjiem 2024.gada 5.janvārī. Pieteicējs arī tiesas sēdē noliedza, ka attiecīgais sauklis būtu antisemītisks, jo par tādu nav atzīts ne ar likumu, ne ar tiesas spriedumu. Sauklis vairs netiek lietots, jo tā ieteikusi pašvaldība tikšanās laikā.</w:t>
      </w:r>
    </w:p>
    <w:p w14:paraId="40CA2D96" w14:textId="5D4C1786" w:rsidR="00D6121F" w:rsidRDefault="00D6121F" w:rsidP="00BE3E82">
      <w:pPr>
        <w:spacing w:line="276" w:lineRule="auto"/>
        <w:ind w:firstLine="720"/>
        <w:jc w:val="both"/>
      </w:pPr>
      <w:r>
        <w:t>[2.7] </w:t>
      </w:r>
      <w:r w:rsidR="00C73981">
        <w:t xml:space="preserve">2024.gada 17.februārī notikušajā gājienā „Baltijas solidaritāte ar Palestīnu” izmantots stilizēts plakāts </w:t>
      </w:r>
      <w:r w:rsidR="004C4FFB">
        <w:t xml:space="preserve">– </w:t>
      </w:r>
      <w:r w:rsidR="00C73981">
        <w:t>arbūza šķēle ar uzrakstu „No upes līdz jūrai”. Par šo pārkāpumu uzsāktais administratīvā pārkāpuma process tika izbeigts, jo izdarītais pārkāpums atzīts par maznozīmīgu. Vienlaikus pieteicējs kā attiecīgā gājiena organizators nav spējis nodrošināt, ka šādi saukļi netiek lietoti.</w:t>
      </w:r>
    </w:p>
    <w:p w14:paraId="1F6B4045" w14:textId="4337845A" w:rsidR="00C73981" w:rsidRDefault="0021316B" w:rsidP="00BE3E82">
      <w:pPr>
        <w:spacing w:line="276" w:lineRule="auto"/>
        <w:ind w:firstLine="720"/>
        <w:jc w:val="both"/>
      </w:pPr>
      <w:r>
        <w:t>[2.8]</w:t>
      </w:r>
      <w:r w:rsidR="00094B06">
        <w:t> </w:t>
      </w:r>
      <w:r w:rsidR="00F1567C">
        <w:t xml:space="preserve">Gājiena un arī piketa organizēšanas mērķis pretēji sanāksmes laikā pašvaldībai paustajam mērķim par mieru tikai daļēji saistāms ar atbalstu Palestīnas civiliedzīvotājiem. Tam ir plašāks tvērums, </w:t>
      </w:r>
      <w:r w:rsidR="004C4FFB">
        <w:t>kas skar</w:t>
      </w:r>
      <w:r w:rsidR="00F1567C">
        <w:t xml:space="preserve"> Izraēlas pastāvēšanas pamatus. Šāda rīcība nav vērsta uz īsteni miermīlīgu mērķu sasniegšanu. </w:t>
      </w:r>
      <w:r w:rsidR="004938AA">
        <w:t>Uz to norāda arī dienesta uzrādītā pretizlūkošanas darbību rezultātā iegūtā informācija.</w:t>
      </w:r>
    </w:p>
    <w:p w14:paraId="559C812C" w14:textId="39D1C5D9" w:rsidR="002C51E9" w:rsidRDefault="009D33AF" w:rsidP="00BE3E82">
      <w:pPr>
        <w:spacing w:line="276" w:lineRule="auto"/>
        <w:ind w:firstLine="720"/>
        <w:jc w:val="both"/>
      </w:pPr>
      <w:r>
        <w:t>[2.9]</w:t>
      </w:r>
      <w:r w:rsidR="002C51E9">
        <w:t> No sanāksmes gaitā pieteicēja sniegtās informācijas pašvaldība nekonstatēja pieteicēja izpratni par iespējamiem riskiem, kas saistīt</w:t>
      </w:r>
      <w:r w:rsidR="00D777C2">
        <w:t>i</w:t>
      </w:r>
      <w:r w:rsidR="002C51E9">
        <w:t xml:space="preserve"> ar </w:t>
      </w:r>
      <w:r w:rsidR="00A84E7D">
        <w:t xml:space="preserve">pieteiktā piketa </w:t>
      </w:r>
      <w:r w:rsidR="002C51E9">
        <w:t>rīkošanu. Pieteicējs nav varējis pastāstīt par piketā plānoto plakātu, lozungu vai transparentu izmantošanu un to iespējamo saturu, kā arī n</w:t>
      </w:r>
      <w:r w:rsidR="00D777C2">
        <w:t>av varējis</w:t>
      </w:r>
      <w:r w:rsidR="002C51E9">
        <w:t xml:space="preserve"> nosaukt precīzu piketa dalībnieku skaitu. Tā kā pieteicējs piketa norisei piesaistījis tikai divas kārtības uzturētājas, </w:t>
      </w:r>
      <w:r w:rsidR="00D777C2">
        <w:t xml:space="preserve">viņš </w:t>
      </w:r>
      <w:r w:rsidR="002C51E9">
        <w:t>pilnā apjomā paļāvies tikai uz tiesībsargājošo iestāžu resursiem risku mazināšanai un konfliktsituāciju risināšanai.</w:t>
      </w:r>
    </w:p>
    <w:p w14:paraId="79BD65AA" w14:textId="43FB7D56" w:rsidR="00C27B87" w:rsidRDefault="00493787" w:rsidP="00BE3E82">
      <w:pPr>
        <w:spacing w:line="276" w:lineRule="auto"/>
        <w:ind w:firstLine="720"/>
        <w:jc w:val="both"/>
      </w:pPr>
      <w:r>
        <w:t>[2.10] </w:t>
      </w:r>
      <w:r w:rsidR="00A02131">
        <w:t>Konkrētajā gadījumā n</w:t>
      </w:r>
      <w:r w:rsidR="00265C33">
        <w:t>etika</w:t>
      </w:r>
      <w:r w:rsidR="00A02131">
        <w:t xml:space="preserve"> konstatēts, ka pieteiktais pikets tiks traucēts, pretēji domājošiem sabiedrības pārstāvjiem kaut kādā veidā iejaucoties piketa norisēs.</w:t>
      </w:r>
      <w:r w:rsidR="00C27B87">
        <w:t xml:space="preserve"> Tieši pretēji – ar lielāko varbūtību tika paredzēts, ka uz pieteikto piketu sanāks tieši pieteicēja domubiedri.</w:t>
      </w:r>
    </w:p>
    <w:p w14:paraId="65CF6324" w14:textId="5EA3C635" w:rsidR="00341786" w:rsidRDefault="00C27B87" w:rsidP="00BE3E82">
      <w:pPr>
        <w:spacing w:line="276" w:lineRule="auto"/>
        <w:ind w:firstLine="720"/>
        <w:jc w:val="both"/>
      </w:pPr>
      <w:r>
        <w:t>[2.11] </w:t>
      </w:r>
      <w:r w:rsidR="00272BF4">
        <w:t>No</w:t>
      </w:r>
      <w:r w:rsidR="0051351A">
        <w:t xml:space="preserve"> </w:t>
      </w:r>
      <w:r w:rsidR="0051351A">
        <w:t xml:space="preserve">[pers. </w:t>
      </w:r>
      <w:r w:rsidR="0051351A">
        <w:t>B</w:t>
      </w:r>
      <w:r w:rsidR="0051351A">
        <w:t xml:space="preserve">] </w:t>
      </w:r>
      <w:r w:rsidR="00013B6B">
        <w:t xml:space="preserve">– </w:t>
      </w:r>
      <w:r w:rsidR="00272BF4">
        <w:t xml:space="preserve">vienas no </w:t>
      </w:r>
      <w:r w:rsidR="00272BF4" w:rsidRPr="00D1785C">
        <w:t>potenciāl</w:t>
      </w:r>
      <w:r w:rsidR="00013B6B" w:rsidRPr="00D1785C">
        <w:t>ajām</w:t>
      </w:r>
      <w:r w:rsidR="00272BF4" w:rsidRPr="00D1785C">
        <w:t xml:space="preserve"> kārtības uzturētāj</w:t>
      </w:r>
      <w:r w:rsidR="00013B6B" w:rsidRPr="00D1785C">
        <w:t>ām</w:t>
      </w:r>
      <w:r w:rsidR="00272BF4">
        <w:t xml:space="preserve"> </w:t>
      </w:r>
      <w:r w:rsidR="000177BE">
        <w:t>pieteiktajā piketā</w:t>
      </w:r>
      <w:r w:rsidR="00013B6B">
        <w:t> –</w:t>
      </w:r>
      <w:r w:rsidR="00272BF4">
        <w:t xml:space="preserve"> liecības tiesas sēdē izriet, ka viņai ir pieredze publisku pasākumu organizēšanā</w:t>
      </w:r>
      <w:r w:rsidR="00AD5465">
        <w:t xml:space="preserve">; viņas sniegtās </w:t>
      </w:r>
      <w:r w:rsidR="00272BF4">
        <w:t xml:space="preserve">atbildes ir izsmeļošas un pārliecinošas. Taču viņa nepiedalījās sanāksmē ar pašvaldību 2024.gada 5.janvārī un attiecīgi pašvaldībai šāda informācija netika sniegta. </w:t>
      </w:r>
      <w:r w:rsidR="008E1892">
        <w:t xml:space="preserve">Tā kā pašvaldībai informācija bija nepieciešama, lai izvērtētu, vai, nosakot piketa norisei citu laiku, vietu, veidu vai pat ilgumu, </w:t>
      </w:r>
      <w:r w:rsidR="00176A18">
        <w:t xml:space="preserve">tā </w:t>
      </w:r>
      <w:r w:rsidR="008E1892">
        <w:t>norises šķēršļi tiks novērsti,</w:t>
      </w:r>
      <w:r w:rsidR="00341786">
        <w:t xml:space="preserve"> </w:t>
      </w:r>
      <w:r w:rsidR="005D5DAC">
        <w:t xml:space="preserve">pieteiktā </w:t>
      </w:r>
      <w:r w:rsidR="00341786">
        <w:t xml:space="preserve">piketa </w:t>
      </w:r>
      <w:r w:rsidR="005D5DAC">
        <w:t xml:space="preserve">sekmīgu </w:t>
      </w:r>
      <w:r w:rsidR="00341786">
        <w:t>norisi apdraudēja pats pieteicējs, nesniedzot pilnīgu informāciju par plānoto.</w:t>
      </w:r>
      <w:r w:rsidR="008E40FB">
        <w:t xml:space="preserve"> Saskaņā ar Sapulču likumu tieši </w:t>
      </w:r>
      <w:r w:rsidR="00631B8C">
        <w:t>pasākuma</w:t>
      </w:r>
      <w:r w:rsidR="008E40FB">
        <w:t xml:space="preserve"> organizētājs ir atbildīgs par iniciatīvas izrādīšanu un informācijas sniegšanu pasākuma veiksmīgai norisei.</w:t>
      </w:r>
    </w:p>
    <w:p w14:paraId="1AE12A07" w14:textId="492758CF" w:rsidR="004938AA" w:rsidRDefault="0070646E" w:rsidP="00BE3E82">
      <w:pPr>
        <w:spacing w:line="276" w:lineRule="auto"/>
        <w:ind w:firstLine="720"/>
        <w:jc w:val="both"/>
      </w:pPr>
      <w:r>
        <w:t>[2.12]</w:t>
      </w:r>
      <w:r w:rsidR="00725F65">
        <w:t> </w:t>
      </w:r>
      <w:r w:rsidR="00B74ACE">
        <w:t>Pasākumi, kas vērsti uz publisku aicinājumu uz naida kurināšanu pret kād</w:t>
      </w:r>
      <w:r w:rsidR="008840AB">
        <w:t>u</w:t>
      </w:r>
      <w:r w:rsidR="00B74ACE">
        <w:t xml:space="preserve"> ras</w:t>
      </w:r>
      <w:r w:rsidR="008840AB">
        <w:t>i</w:t>
      </w:r>
      <w:r w:rsidR="00B74ACE">
        <w:t>, etnisk</w:t>
      </w:r>
      <w:r w:rsidR="00061D98">
        <w:t>u</w:t>
      </w:r>
      <w:r w:rsidR="00B74ACE">
        <w:t>, reliģisk</w:t>
      </w:r>
      <w:r w:rsidR="00061D98">
        <w:t>u</w:t>
      </w:r>
      <w:r w:rsidR="00B74ACE">
        <w:t xml:space="preserve"> vai cit</w:t>
      </w:r>
      <w:r w:rsidR="00061D98">
        <w:t>u</w:t>
      </w:r>
      <w:r w:rsidR="00B74ACE">
        <w:t xml:space="preserve"> grup</w:t>
      </w:r>
      <w:r w:rsidR="00061D98">
        <w:t>u</w:t>
      </w:r>
      <w:r w:rsidR="00B74ACE">
        <w:t xml:space="preserve"> vai vērsti uz citu agresīvu mērķi, tiek uzskatīti par prettiesiskiem. Līdz ar to valstij šādā gadījumā nav pozitīva pienākum</w:t>
      </w:r>
      <w:r w:rsidR="008840AB">
        <w:t>a</w:t>
      </w:r>
      <w:r w:rsidR="00B74ACE">
        <w:t xml:space="preserve"> nodrošināt šāda pulcēšanās pasākuma norisi.</w:t>
      </w:r>
    </w:p>
    <w:p w14:paraId="563267A0" w14:textId="77777777" w:rsidR="00D76C92" w:rsidRDefault="00D76C92" w:rsidP="00BE3E82">
      <w:pPr>
        <w:pStyle w:val="NormalWeb"/>
        <w:shd w:val="clear" w:color="auto" w:fill="FFFFFF"/>
        <w:spacing w:before="0" w:beforeAutospacing="0" w:after="0" w:afterAutospacing="0" w:line="276" w:lineRule="auto"/>
        <w:ind w:firstLine="720"/>
        <w:jc w:val="both"/>
        <w:rPr>
          <w:shd w:val="clear" w:color="auto" w:fill="FFFFFF"/>
        </w:rPr>
      </w:pPr>
    </w:p>
    <w:p w14:paraId="2B7B2C18" w14:textId="13AEABB4" w:rsidR="003A68CE" w:rsidRDefault="00E176BA" w:rsidP="00BE3E82">
      <w:pPr>
        <w:spacing w:line="276" w:lineRule="auto"/>
        <w:ind w:firstLine="720"/>
        <w:jc w:val="both"/>
        <w:rPr>
          <w:shd w:val="clear" w:color="auto" w:fill="FFFFFF"/>
        </w:rPr>
      </w:pPr>
      <w:r w:rsidRPr="005A737B">
        <w:t>[3] </w:t>
      </w:r>
      <w:r w:rsidR="00B74ACE">
        <w:t xml:space="preserve">Pieteicējs </w:t>
      </w:r>
      <w:r w:rsidR="00B74ACE">
        <w:rPr>
          <w:shd w:val="clear" w:color="auto" w:fill="FFFFFF"/>
        </w:rPr>
        <w:t xml:space="preserve">iesniedza kasācijas sūdzību par </w:t>
      </w:r>
      <w:r w:rsidR="00494DF8">
        <w:rPr>
          <w:shd w:val="clear" w:color="auto" w:fill="FFFFFF"/>
        </w:rPr>
        <w:t xml:space="preserve">rajona </w:t>
      </w:r>
      <w:r w:rsidR="00B74ACE">
        <w:rPr>
          <w:shd w:val="clear" w:color="auto" w:fill="FFFFFF"/>
        </w:rPr>
        <w:t>tiesas spriedumu. Kasācijas sūdzībā norādīti turpmāk minētie argumenti.</w:t>
      </w:r>
    </w:p>
    <w:p w14:paraId="57ED2A28" w14:textId="322F013D" w:rsidR="00202696" w:rsidRDefault="00C71C88" w:rsidP="00BE3E82">
      <w:pPr>
        <w:spacing w:line="276" w:lineRule="auto"/>
        <w:ind w:firstLine="720"/>
        <w:jc w:val="both"/>
      </w:pPr>
      <w:r>
        <w:t>[3.1]</w:t>
      </w:r>
      <w:r w:rsidR="003A68CE">
        <w:t> Rajona tiesas spriedumā ietvertas vairākas saites uz ziņām svešvalodā. Tām nav pievienots tulkojums valsts valodā, kā arī nav prasīta lietas dalībnieku piekrišana šo saišu ietveršan</w:t>
      </w:r>
      <w:r w:rsidR="004C4FFB">
        <w:t>ai</w:t>
      </w:r>
      <w:r w:rsidR="003A68CE">
        <w:t xml:space="preserve"> spriedumā. Attiecīgi </w:t>
      </w:r>
      <w:r w:rsidR="00202696">
        <w:t xml:space="preserve">tiesa nav ievērojusi procesa valodas noteikumus un </w:t>
      </w:r>
      <w:r w:rsidR="003A68CE">
        <w:t>ir pārkāp</w:t>
      </w:r>
      <w:r w:rsidR="00202696">
        <w:t>usi</w:t>
      </w:r>
      <w:r w:rsidR="003A68CE">
        <w:t xml:space="preserve"> Administratīvā procesa likuma 110.panta pirm</w:t>
      </w:r>
      <w:r w:rsidR="00202696">
        <w:t>o</w:t>
      </w:r>
      <w:r w:rsidR="003A68CE">
        <w:t xml:space="preserve"> un otr</w:t>
      </w:r>
      <w:r w:rsidR="00202696">
        <w:t>o</w:t>
      </w:r>
      <w:r w:rsidR="003A68CE">
        <w:t xml:space="preserve"> daļ</w:t>
      </w:r>
      <w:r w:rsidR="00202696">
        <w:t>u</w:t>
      </w:r>
      <w:r w:rsidR="003A68CE">
        <w:t>.</w:t>
      </w:r>
    </w:p>
    <w:p w14:paraId="7032023F" w14:textId="02D295C8" w:rsidR="00E55E93" w:rsidRDefault="00202696" w:rsidP="00BE3E82">
      <w:pPr>
        <w:spacing w:line="276" w:lineRule="auto"/>
        <w:ind w:firstLine="720"/>
        <w:jc w:val="both"/>
      </w:pPr>
      <w:r>
        <w:t>[3.2] </w:t>
      </w:r>
      <w:r w:rsidR="00E55E93">
        <w:t>Pieteicējam tikušas liegtas tiesības piedalīties pierādījumu pārbaud</w:t>
      </w:r>
      <w:r w:rsidR="004465CD">
        <w:t>ē</w:t>
      </w:r>
      <w:r w:rsidR="00F77498">
        <w:t>,</w:t>
      </w:r>
      <w:r w:rsidR="00E55E93">
        <w:t xml:space="preserve"> un pierādījumu vākšana nav notikusi lietas izskatīšanas pēc būtības laikā. Spriedumā norādītās saites uz ziņām svešvalodā neparādās lietas materiālos, bet tikai spriedumā. </w:t>
      </w:r>
      <w:r w:rsidR="004C4FFB">
        <w:t>I</w:t>
      </w:r>
      <w:r w:rsidR="00E55E93">
        <w:t xml:space="preserve">r redzams </w:t>
      </w:r>
      <w:r w:rsidR="004C4FFB">
        <w:t>attiecīgo saišu</w:t>
      </w:r>
      <w:r w:rsidR="00E55E93">
        <w:t xml:space="preserve"> aplūkošanas datums – 2024.gada 20.maijs</w:t>
      </w:r>
      <w:r w:rsidR="004465CD">
        <w:t> –</w:t>
      </w:r>
      <w:r w:rsidR="00E55E93">
        <w:t xml:space="preserve">, kas ir datums, kad </w:t>
      </w:r>
      <w:r w:rsidR="00C83B30">
        <w:t xml:space="preserve">ir pabeigta </w:t>
      </w:r>
      <w:r w:rsidR="00E55E93">
        <w:t>lietas izskatīšana pēc būtības (tiesas sēde notika 2024.gada 9.maijā). Tiesa nenodrošināja ne pieteicējam, ne citiem lietas dalībniekiem iespēju zināt visus lietas materiālus, kopā ar tiesu tos pārbaudīt un celt iebildumus pret tiem.</w:t>
      </w:r>
    </w:p>
    <w:p w14:paraId="44F9A599" w14:textId="23E72573" w:rsidR="009015E1" w:rsidRDefault="00E55E93" w:rsidP="00BE3E82">
      <w:pPr>
        <w:spacing w:line="276" w:lineRule="auto"/>
        <w:ind w:firstLine="720"/>
        <w:jc w:val="both"/>
      </w:pPr>
      <w:r>
        <w:t>[3.3]</w:t>
      </w:r>
      <w:r w:rsidR="00BD1488">
        <w:t> </w:t>
      </w:r>
      <w:r w:rsidR="009015E1">
        <w:t>Tiesa nav ievērojusi lietas izskatīšanas robežas un</w:t>
      </w:r>
      <w:r w:rsidR="004C4FFB">
        <w:t xml:space="preserve"> ir</w:t>
      </w:r>
      <w:r w:rsidR="009015E1">
        <w:t xml:space="preserve"> pieļāvusi, ka pašvaldība pārkāpj Administratīvā procesa likuma 150.panta otro daļu. Pašvaldība rakstveida paskaidrojumos norādījusi, ka pieteicējs nav pietiekami distancējies no saukļa „No upes līdz jūrai Palestīna būs brīva!”, taču pašvaldība uz to nevar atsaukties, jo pārsūdzētajā lēmumā tas nav </w:t>
      </w:r>
      <w:r w:rsidR="00C83B30">
        <w:t>norādīts kā</w:t>
      </w:r>
      <w:r w:rsidR="009015E1">
        <w:t xml:space="preserve"> pamatojoš</w:t>
      </w:r>
      <w:r w:rsidR="00C83B30">
        <w:t>ais</w:t>
      </w:r>
      <w:r w:rsidR="009015E1">
        <w:t xml:space="preserve"> apstākli</w:t>
      </w:r>
      <w:r w:rsidR="00C83B30">
        <w:t>s</w:t>
      </w:r>
      <w:r w:rsidR="009015E1">
        <w:t xml:space="preserve"> piketa aizliegšanai.</w:t>
      </w:r>
    </w:p>
    <w:p w14:paraId="00F23548" w14:textId="67D0EBDF" w:rsidR="00844C2E" w:rsidRDefault="006D4DBF" w:rsidP="00BE3E82">
      <w:pPr>
        <w:spacing w:line="276" w:lineRule="auto"/>
        <w:ind w:firstLine="720"/>
        <w:jc w:val="both"/>
      </w:pPr>
      <w:r>
        <w:t>[3.4] </w:t>
      </w:r>
      <w:r w:rsidR="00844C2E">
        <w:t xml:space="preserve">Spriedumā esošie tiesas secinājumi ir pretrunā ar pārsūdzētā lēmuma pamatojumu. </w:t>
      </w:r>
      <w:r w:rsidR="00B930F8">
        <w:t>P</w:t>
      </w:r>
      <w:r w:rsidR="00844C2E">
        <w:t>ārsūdzēt</w:t>
      </w:r>
      <w:r w:rsidR="00784521">
        <w:t>a</w:t>
      </w:r>
      <w:r w:rsidR="00844C2E">
        <w:t xml:space="preserve">jā lēmumā atzīts, ka nav zināms precīzs piketa dalībnieku skaits un plakātu saturs, kā arī </w:t>
      </w:r>
      <w:r w:rsidR="00AA58B2">
        <w:t>atzīts</w:t>
      </w:r>
      <w:r w:rsidR="00844C2E">
        <w:t xml:space="preserve">, ka pieteicējs nespēs nodrošināt kārtību piketa laikā. </w:t>
      </w:r>
      <w:r w:rsidR="00B930F8">
        <w:t xml:space="preserve">Savukārt </w:t>
      </w:r>
      <w:r w:rsidR="00844C2E">
        <w:t>tiesas secinātais spriedumā norāda, ka pārsūdzētajā lēmumā norādītais pamatojums nav konstatēts konkrētajā gadījumā.</w:t>
      </w:r>
      <w:r w:rsidR="00B930F8">
        <w:t xml:space="preserve"> Vienlaikus tiesa secinājusi, ka pieteicējs nav sadarbojies ar pašvaldību, kā arī piketa mērķis n</w:t>
      </w:r>
      <w:r w:rsidR="00323555">
        <w:t>av bijis</w:t>
      </w:r>
      <w:r w:rsidR="00B930F8">
        <w:t xml:space="preserve"> miermīlīgs.</w:t>
      </w:r>
    </w:p>
    <w:p w14:paraId="5C2D872E" w14:textId="041B6B5D" w:rsidR="00844C2E" w:rsidRDefault="00844C2E" w:rsidP="00BE3E82">
      <w:pPr>
        <w:spacing w:line="276" w:lineRule="auto"/>
        <w:ind w:firstLine="720"/>
        <w:jc w:val="both"/>
      </w:pPr>
      <w:r>
        <w:t>[3.5] Tiesa ir konstatējusi, ka piketam nav</w:t>
      </w:r>
      <w:r w:rsidR="00323555">
        <w:t xml:space="preserve"> bijis</w:t>
      </w:r>
      <w:r>
        <w:t xml:space="preserve"> miermīlīgs mērķis, taču šis pamatojums pārsūdzētajā lēmumā nav atrodams.</w:t>
      </w:r>
      <w:r w:rsidR="000062B5">
        <w:t xml:space="preserve"> Tiesa ir izgājusi ārpus izskatāmās lietas robežām, apskatot tādus pamatojumus, kas nav norādīti pārsūdzētajā lēmumā.</w:t>
      </w:r>
    </w:p>
    <w:p w14:paraId="78922B3A" w14:textId="34ABBD75" w:rsidR="005744C2" w:rsidRDefault="000062B5" w:rsidP="00BE3E82">
      <w:pPr>
        <w:spacing w:line="276" w:lineRule="auto"/>
        <w:ind w:firstLine="720"/>
        <w:jc w:val="both"/>
      </w:pPr>
      <w:r>
        <w:t>[3.6] </w:t>
      </w:r>
      <w:r w:rsidR="0033176C">
        <w:t>Tiesa nepareizi piemērojusi Sapulču likuma 15.</w:t>
      </w:r>
      <w:r w:rsidR="0033176C" w:rsidRPr="000726E8">
        <w:rPr>
          <w:vertAlign w:val="superscript"/>
        </w:rPr>
        <w:t>1</w:t>
      </w:r>
      <w:r w:rsidR="0033176C">
        <w:t>panta otro daļu.</w:t>
      </w:r>
      <w:r w:rsidR="000726E8">
        <w:t xml:space="preserve"> Tiesa nepamatoti vērtējusi kustību „Par brīvu Palestīnu”, nevis pieteicēja mērķi, iesniedzot pieteikumu piketam. Lietā nav konstatēts, ka pieteicējs vai kustība „Par brīvu Palestīnu” būtu veikuš</w:t>
      </w:r>
      <w:r w:rsidR="00323555">
        <w:t>i</w:t>
      </w:r>
      <w:r w:rsidR="000726E8">
        <w:t xml:space="preserve"> kādas darbības, kas ir vērstas uz naida vai antisemītisma kurināšanu. Ir konstatēts</w:t>
      </w:r>
      <w:r w:rsidR="00F77498">
        <w:t>,</w:t>
      </w:r>
      <w:r w:rsidR="000726E8">
        <w:t xml:space="preserve"> ka pieteicējam un kustībai „Par brīvu Palestīnu” ir atšķirīgs viedoklis par saukļa „No upes līdz jūrai Palestīna būs brīva!” interpretāciju. Tas nenozīmē, ka plānotā piketa mērķis būtu </w:t>
      </w:r>
      <w:r w:rsidR="00323555">
        <w:t xml:space="preserve">bijis </w:t>
      </w:r>
      <w:r w:rsidR="000726E8">
        <w:t>vēr</w:t>
      </w:r>
      <w:r w:rsidR="00323555">
        <w:t>s</w:t>
      </w:r>
      <w:r w:rsidR="000726E8">
        <w:t xml:space="preserve">ts uz naida kurināšanu. Pieteicējs </w:t>
      </w:r>
      <w:r w:rsidR="00323555">
        <w:t>bija</w:t>
      </w:r>
      <w:r w:rsidR="000726E8">
        <w:t xml:space="preserve"> norādījis, kāds </w:t>
      </w:r>
      <w:r w:rsidR="00323555">
        <w:t xml:space="preserve">ir </w:t>
      </w:r>
      <w:r w:rsidR="000726E8">
        <w:t>plānotā piketa mērķis, kā arī piketa aprakstā bija norādīts, ka arī grupējuma „Hamas” noziegumi tiek nosodīti.</w:t>
      </w:r>
      <w:r w:rsidR="005744C2">
        <w:t xml:space="preserve"> Tāpat tiesa neobjektīvi vākusi pierādījumus, lai konstatētu, ka attiecīgais sauklis ir vērsts uz naida un antisemītisma kurināšanu.</w:t>
      </w:r>
    </w:p>
    <w:p w14:paraId="5F4C82AA" w14:textId="4A5C2542" w:rsidR="0033176C" w:rsidRDefault="005744C2" w:rsidP="00BE3E82">
      <w:pPr>
        <w:spacing w:line="276" w:lineRule="auto"/>
        <w:ind w:firstLine="720"/>
        <w:jc w:val="both"/>
      </w:pPr>
      <w:r>
        <w:t>[3.7]</w:t>
      </w:r>
      <w:r w:rsidR="00E47A56">
        <w:t> Tiesa nepareizi iztulkojusi Sapulču likuma 15.panta trešo daļu</w:t>
      </w:r>
      <w:r w:rsidR="00A5278C">
        <w:t>, jo t</w:t>
      </w:r>
      <w:r w:rsidR="00323555">
        <w:t>ā</w:t>
      </w:r>
      <w:r w:rsidR="00A5278C">
        <w:t xml:space="preserve"> nenosaka tikai pieteicēja pienākumu sniegt informāciju, bet gan pieteicēja un pašvaldības sadarbību. Tieši pašvaldībai b</w:t>
      </w:r>
      <w:r w:rsidR="00323555">
        <w:t>ija</w:t>
      </w:r>
      <w:r w:rsidR="00A5278C">
        <w:t xml:space="preserve"> jāsekmē šī sadarbība, ņemot vērā konstatēto pieteicēja pieredzes trūkumu. Pašvaldība </w:t>
      </w:r>
      <w:r w:rsidR="00323555">
        <w:t>ne</w:t>
      </w:r>
      <w:r w:rsidR="00A5278C">
        <w:t>paziņoj</w:t>
      </w:r>
      <w:r w:rsidR="00323555">
        <w:t>a</w:t>
      </w:r>
      <w:r w:rsidR="00A5278C">
        <w:t xml:space="preserve"> pieteicējam, ka būtu </w:t>
      </w:r>
      <w:r w:rsidR="004C4FFB">
        <w:t>jāpalielina</w:t>
      </w:r>
      <w:r w:rsidR="00A5278C">
        <w:t xml:space="preserve"> kārtības uzturētāju skaits</w:t>
      </w:r>
      <w:r w:rsidR="004C4FFB">
        <w:t xml:space="preserve"> piketā</w:t>
      </w:r>
      <w:r w:rsidR="00A5278C">
        <w:t>.</w:t>
      </w:r>
    </w:p>
    <w:p w14:paraId="131F1B4B" w14:textId="77777777" w:rsidR="00361683" w:rsidRDefault="00361683" w:rsidP="00BE3E82">
      <w:pPr>
        <w:spacing w:line="276" w:lineRule="auto"/>
        <w:ind w:firstLine="720"/>
        <w:jc w:val="both"/>
      </w:pPr>
    </w:p>
    <w:p w14:paraId="177ABBEC" w14:textId="43DD5387" w:rsidR="00361683" w:rsidRDefault="00361683" w:rsidP="00BE3E82">
      <w:pPr>
        <w:spacing w:line="276" w:lineRule="auto"/>
        <w:ind w:firstLine="720"/>
        <w:jc w:val="both"/>
        <w:rPr>
          <w:shd w:val="clear" w:color="auto" w:fill="FFFFFF"/>
        </w:rPr>
      </w:pPr>
      <w:r>
        <w:t>[4] </w:t>
      </w:r>
      <w:r w:rsidR="008E0B20">
        <w:rPr>
          <w:shd w:val="clear" w:color="auto" w:fill="FFFFFF"/>
        </w:rPr>
        <w:t xml:space="preserve">Pašvaldība paskaidrojumos norāda, ka </w:t>
      </w:r>
      <w:r w:rsidR="004C4FFB">
        <w:rPr>
          <w:shd w:val="clear" w:color="auto" w:fill="FFFFFF"/>
        </w:rPr>
        <w:t>pieteicēja kasācijas sūdzība</w:t>
      </w:r>
      <w:r w:rsidR="008E0B20">
        <w:rPr>
          <w:shd w:val="clear" w:color="auto" w:fill="FFFFFF"/>
        </w:rPr>
        <w:t xml:space="preserve"> nav pamatota, un lūdz atstāt spēkā pārsūdzēto </w:t>
      </w:r>
      <w:r w:rsidR="00436ADC">
        <w:rPr>
          <w:shd w:val="clear" w:color="auto" w:fill="FFFFFF"/>
        </w:rPr>
        <w:t xml:space="preserve">rajona </w:t>
      </w:r>
      <w:r w:rsidR="008E0B20">
        <w:rPr>
          <w:shd w:val="clear" w:color="auto" w:fill="FFFFFF"/>
        </w:rPr>
        <w:t>tiesas spriedumu.</w:t>
      </w:r>
      <w:r w:rsidR="00C90157">
        <w:rPr>
          <w:shd w:val="clear" w:color="auto" w:fill="FFFFFF"/>
        </w:rPr>
        <w:t xml:space="preserve"> Paskaidrojumos norādīti turpmāk minētie argumenti.</w:t>
      </w:r>
    </w:p>
    <w:p w14:paraId="7D056D58" w14:textId="145C416E" w:rsidR="00C90157" w:rsidRDefault="00C90157" w:rsidP="00BE3E82">
      <w:pPr>
        <w:spacing w:line="276" w:lineRule="auto"/>
        <w:ind w:firstLine="720"/>
        <w:jc w:val="both"/>
        <w:rPr>
          <w:shd w:val="clear" w:color="auto" w:fill="FFFFFF"/>
        </w:rPr>
      </w:pPr>
      <w:r>
        <w:rPr>
          <w:shd w:val="clear" w:color="auto" w:fill="FFFFFF"/>
        </w:rPr>
        <w:t>[4.1] </w:t>
      </w:r>
      <w:r w:rsidR="00BB1510">
        <w:rPr>
          <w:shd w:val="clear" w:color="auto" w:fill="FFFFFF"/>
        </w:rPr>
        <w:t>Tiesa procesa dalībniekiem nodrošināja pienācīgas iespējas piedalīties pierādījumu pārbaudē. Nav pamatoti pieteicēja argumenti par pieļautajiem procesuālo tiesību normu pārkāpumiem.</w:t>
      </w:r>
    </w:p>
    <w:p w14:paraId="5E4943EE" w14:textId="5B9F3D01" w:rsidR="00BB1510" w:rsidRDefault="00BB1510" w:rsidP="00BE3E82">
      <w:pPr>
        <w:spacing w:line="276" w:lineRule="auto"/>
        <w:ind w:firstLine="720"/>
        <w:jc w:val="both"/>
      </w:pPr>
      <w:r>
        <w:rPr>
          <w:shd w:val="clear" w:color="auto" w:fill="FFFFFF"/>
        </w:rPr>
        <w:t>[4.2]</w:t>
      </w:r>
      <w:r w:rsidR="00801D90">
        <w:rPr>
          <w:shd w:val="clear" w:color="auto" w:fill="FFFFFF"/>
        </w:rPr>
        <w:t> </w:t>
      </w:r>
      <w:r>
        <w:rPr>
          <w:shd w:val="clear" w:color="auto" w:fill="FFFFFF"/>
        </w:rPr>
        <w:t xml:space="preserve">No objektīvās izmeklēšanas principa un Administratīvā procesa likuma 250.panta izriet, ka arī gadījumos, </w:t>
      </w:r>
      <w:r w:rsidR="00F4698E">
        <w:rPr>
          <w:shd w:val="clear" w:color="auto" w:fill="FFFFFF"/>
        </w:rPr>
        <w:t>kad</w:t>
      </w:r>
      <w:r>
        <w:rPr>
          <w:shd w:val="clear" w:color="auto" w:fill="FFFFFF"/>
        </w:rPr>
        <w:t xml:space="preserve"> iestāde </w:t>
      </w:r>
      <w:r w:rsidR="00F4698E">
        <w:rPr>
          <w:shd w:val="clear" w:color="auto" w:fill="FFFFFF"/>
        </w:rPr>
        <w:t xml:space="preserve">nav pietiekami detalizēti pamatojusi </w:t>
      </w:r>
      <w:r>
        <w:rPr>
          <w:shd w:val="clear" w:color="auto" w:fill="FFFFFF"/>
        </w:rPr>
        <w:t>pārsūdzēto administratīvo aktu, tiesai saglabājas pienākums izvērtēt arī pamatojumā neminētus apstākļus, k</w:t>
      </w:r>
      <w:r w:rsidR="00F4698E">
        <w:rPr>
          <w:shd w:val="clear" w:color="auto" w:fill="FFFFFF"/>
        </w:rPr>
        <w:t>uri</w:t>
      </w:r>
      <w:r>
        <w:rPr>
          <w:shd w:val="clear" w:color="auto" w:fill="FFFFFF"/>
        </w:rPr>
        <w:t xml:space="preserve"> </w:t>
      </w:r>
      <w:r w:rsidR="00F4698E">
        <w:rPr>
          <w:shd w:val="clear" w:color="auto" w:fill="FFFFFF"/>
        </w:rPr>
        <w:t xml:space="preserve">ir </w:t>
      </w:r>
      <w:r>
        <w:rPr>
          <w:shd w:val="clear" w:color="auto" w:fill="FFFFFF"/>
        </w:rPr>
        <w:t xml:space="preserve">būtiski objektīvās patiesības noskaidrošanai. Tiesa var pēc savas iniciatīvas atrast un pieprasīt arī citus pierādījumus, kas iestādes minēto apstākli vai pamatojumu padara pārliecinošāku. Ar tiesas pašas konstatētajiem faktiem un analizētajām </w:t>
      </w:r>
      <w:r w:rsidR="00F77498">
        <w:rPr>
          <w:shd w:val="clear" w:color="auto" w:fill="FFFFFF"/>
        </w:rPr>
        <w:t xml:space="preserve">tiesību </w:t>
      </w:r>
      <w:r>
        <w:rPr>
          <w:shd w:val="clear" w:color="auto" w:fill="FFFFFF"/>
        </w:rPr>
        <w:t>normām iestādes pamatojumā analizētie apstākļi netiek grozīti, bet tikai papildināti.</w:t>
      </w:r>
    </w:p>
    <w:p w14:paraId="260B7828" w14:textId="77777777" w:rsidR="00E30C62" w:rsidRDefault="00E30C62" w:rsidP="00BE3E82">
      <w:pPr>
        <w:spacing w:line="276" w:lineRule="auto"/>
        <w:ind w:firstLine="720"/>
        <w:jc w:val="both"/>
      </w:pPr>
    </w:p>
    <w:p w14:paraId="3AB75F3B" w14:textId="0586EC19" w:rsidR="00E30C62" w:rsidRDefault="00E30C62" w:rsidP="00BE3E82">
      <w:pPr>
        <w:spacing w:line="276" w:lineRule="auto"/>
        <w:ind w:firstLine="720"/>
        <w:jc w:val="both"/>
        <w:rPr>
          <w:shd w:val="clear" w:color="auto" w:fill="FFFFFF"/>
        </w:rPr>
      </w:pPr>
      <w:r>
        <w:t>[5] </w:t>
      </w:r>
      <w:r w:rsidR="00153BF3">
        <w:rPr>
          <w:shd w:val="clear" w:color="auto" w:fill="FFFFFF"/>
        </w:rPr>
        <w:t>Senāts ir izprasījis un iepazinies ar valsts noslēpuma objektu – materiāliem, uz kuru pamata dienests sniedzis pašvaldībai atzinumu</w:t>
      </w:r>
      <w:r w:rsidR="006C38AB">
        <w:rPr>
          <w:shd w:val="clear" w:color="auto" w:fill="FFFFFF"/>
        </w:rPr>
        <w:t>s</w:t>
      </w:r>
      <w:r w:rsidR="00153BF3">
        <w:rPr>
          <w:shd w:val="clear" w:color="auto" w:fill="FFFFFF"/>
        </w:rPr>
        <w:t xml:space="preserve"> </w:t>
      </w:r>
      <w:r w:rsidR="006C38AB">
        <w:rPr>
          <w:shd w:val="clear" w:color="auto" w:fill="FFFFFF"/>
        </w:rPr>
        <w:t>saistībā ar pieteikto piketu</w:t>
      </w:r>
      <w:r w:rsidR="00153BF3">
        <w:rPr>
          <w:shd w:val="clear" w:color="auto" w:fill="FFFFFF"/>
        </w:rPr>
        <w:t>.</w:t>
      </w:r>
    </w:p>
    <w:p w14:paraId="2F4A1FE5" w14:textId="77777777" w:rsidR="004C6362" w:rsidRDefault="004C6362" w:rsidP="00BE3E82">
      <w:pPr>
        <w:spacing w:line="276" w:lineRule="auto"/>
        <w:ind w:firstLine="720"/>
        <w:jc w:val="both"/>
      </w:pPr>
    </w:p>
    <w:p w14:paraId="3EC0B466" w14:textId="77777777" w:rsidR="00A211B6" w:rsidRDefault="00A211B6" w:rsidP="00BE3E82">
      <w:pPr>
        <w:shd w:val="clear" w:color="auto" w:fill="FFFFFF"/>
        <w:spacing w:line="276" w:lineRule="auto"/>
        <w:jc w:val="center"/>
        <w:rPr>
          <w:b/>
        </w:rPr>
      </w:pPr>
      <w:r w:rsidRPr="00011547">
        <w:rPr>
          <w:b/>
        </w:rPr>
        <w:t>Motīvu daļa</w:t>
      </w:r>
    </w:p>
    <w:p w14:paraId="3DE14EF4" w14:textId="77777777" w:rsidR="004C6362" w:rsidRPr="00011547" w:rsidRDefault="004C6362" w:rsidP="00BE3E82">
      <w:pPr>
        <w:shd w:val="clear" w:color="auto" w:fill="FFFFFF"/>
        <w:spacing w:line="276" w:lineRule="auto"/>
        <w:ind w:firstLine="720"/>
        <w:jc w:val="center"/>
      </w:pPr>
    </w:p>
    <w:p w14:paraId="25247713" w14:textId="586941ED" w:rsidR="00DB2F3D" w:rsidRDefault="00A211B6" w:rsidP="00BE3E82">
      <w:pPr>
        <w:shd w:val="clear" w:color="auto" w:fill="FFFFFF"/>
        <w:spacing w:line="276" w:lineRule="auto"/>
        <w:ind w:firstLine="720"/>
        <w:jc w:val="both"/>
      </w:pPr>
      <w:r w:rsidRPr="00F850BF">
        <w:t>[</w:t>
      </w:r>
      <w:r w:rsidR="00487EDF" w:rsidRPr="00053005">
        <w:t>6</w:t>
      </w:r>
      <w:r w:rsidR="00E176BA" w:rsidRPr="00053005">
        <w:rPr>
          <w:bCs/>
        </w:rPr>
        <w:t>] </w:t>
      </w:r>
      <w:r w:rsidR="0038038E" w:rsidRPr="00053005">
        <w:rPr>
          <w:lang w:eastAsia="lv-LV"/>
        </w:rPr>
        <w:t>Pieteicējs kasācijas sūdzībā paudis argumentu, ka tiesa, vērtējot saukļa „No upes līdz jūrai Palestīna būs brīva!” pieļaujamību miermīlīgas pulcēšanās pasākumā, pieļāvusi pieteiktā piketa aizlieguma pamatojuma maiņu, jo pašvaldība ar šiem argumentiem neesot pamatojusi piketa aizliegumu. Savukārt pašvaldība paskaidrojumos par kasācijas sūdzību norāda, ka neesot notikusi pamatojuma maiņa, jo pašvaldība esot tiesīga papildināt tiesā savu argumentāciju, kā arī tiesa pati varot konstatēt lietā būtiskus apstākļus.</w:t>
      </w:r>
      <w:r w:rsidR="00AF6D4E" w:rsidRPr="00053005">
        <w:t xml:space="preserve"> </w:t>
      </w:r>
      <w:r w:rsidR="005625DC" w:rsidRPr="00053005">
        <w:t xml:space="preserve">Līdz ar to Senātam kasācijas tiesvedības ietvaros jāpārbauda, vai </w:t>
      </w:r>
      <w:r w:rsidR="00AF6D4E" w:rsidRPr="00053005">
        <w:t xml:space="preserve">rajona </w:t>
      </w:r>
      <w:r w:rsidR="005625DC" w:rsidRPr="00053005">
        <w:t xml:space="preserve">tiesa, </w:t>
      </w:r>
      <w:r w:rsidR="00AF6D4E" w:rsidRPr="00053005">
        <w:t>noraidot pieteicēja pieteikumu</w:t>
      </w:r>
      <w:r w:rsidR="005625DC" w:rsidRPr="00053005">
        <w:t xml:space="preserve">, </w:t>
      </w:r>
      <w:r w:rsidR="00DB2F3D" w:rsidRPr="00053005">
        <w:t xml:space="preserve">savu spriedumu pamatojusi ar </w:t>
      </w:r>
      <w:r w:rsidR="00305CBD" w:rsidRPr="00053005">
        <w:t>tādiem</w:t>
      </w:r>
      <w:r w:rsidR="00DB2F3D" w:rsidRPr="00053005">
        <w:t xml:space="preserve"> argumentiem, kuri nav minēti pārsūdzētajā lēmumā kā pamats piketa aizliegumam</w:t>
      </w:r>
      <w:r w:rsidR="005625DC" w:rsidRPr="00053005">
        <w:t>.</w:t>
      </w:r>
    </w:p>
    <w:p w14:paraId="72209E08" w14:textId="77777777" w:rsidR="00AD31C5" w:rsidRDefault="00AD31C5" w:rsidP="00BE3E82">
      <w:pPr>
        <w:shd w:val="clear" w:color="auto" w:fill="FFFFFF"/>
        <w:spacing w:line="276" w:lineRule="auto"/>
        <w:ind w:firstLine="720"/>
        <w:jc w:val="both"/>
        <w:rPr>
          <w:bCs/>
        </w:rPr>
      </w:pPr>
    </w:p>
    <w:p w14:paraId="0D766694" w14:textId="6825444C" w:rsidR="00716383" w:rsidRDefault="00080815" w:rsidP="00BE3E82">
      <w:pPr>
        <w:spacing w:line="276" w:lineRule="auto"/>
        <w:ind w:firstLine="720"/>
        <w:jc w:val="both"/>
        <w:rPr>
          <w:bCs/>
        </w:rPr>
      </w:pPr>
      <w:r w:rsidRPr="00053005">
        <w:rPr>
          <w:i/>
          <w:iCs/>
          <w:lang w:eastAsia="lv-LV"/>
        </w:rPr>
        <w:t>Par pieteiktā piketa aizlieguma pamatojuma maiņu</w:t>
      </w:r>
    </w:p>
    <w:p w14:paraId="1CEB3D5B" w14:textId="1230F8EA" w:rsidR="00926933" w:rsidRDefault="00716383" w:rsidP="00BE3E82">
      <w:pPr>
        <w:spacing w:line="276" w:lineRule="auto"/>
        <w:ind w:firstLine="720"/>
        <w:jc w:val="both"/>
        <w:rPr>
          <w:lang w:eastAsia="lv-LV"/>
        </w:rPr>
      </w:pPr>
      <w:r w:rsidRPr="004F0477">
        <w:rPr>
          <w:bCs/>
        </w:rPr>
        <w:t>[</w:t>
      </w:r>
      <w:r w:rsidR="00E01DCF">
        <w:rPr>
          <w:bCs/>
        </w:rPr>
        <w:t>7</w:t>
      </w:r>
      <w:r w:rsidR="00442315" w:rsidRPr="004F0477">
        <w:rPr>
          <w:bCs/>
        </w:rPr>
        <w:t>]</w:t>
      </w:r>
      <w:r w:rsidR="00E01DCF">
        <w:rPr>
          <w:lang w:eastAsia="lv-LV"/>
        </w:rPr>
        <w:t> </w:t>
      </w:r>
      <w:r w:rsidR="00371464">
        <w:rPr>
          <w:lang w:eastAsia="lv-LV"/>
        </w:rPr>
        <w:t xml:space="preserve">Rajona tiesa </w:t>
      </w:r>
      <w:r w:rsidR="0050135D">
        <w:rPr>
          <w:lang w:eastAsia="lv-LV"/>
        </w:rPr>
        <w:t>konstatējusi</w:t>
      </w:r>
      <w:r w:rsidR="00371464">
        <w:rPr>
          <w:lang w:eastAsia="lv-LV"/>
        </w:rPr>
        <w:t xml:space="preserve">, ka </w:t>
      </w:r>
      <w:r w:rsidR="0050135D">
        <w:rPr>
          <w:lang w:eastAsia="lv-LV"/>
        </w:rPr>
        <w:t xml:space="preserve">informācija par pieteicēja iecerēto piketu publiskota </w:t>
      </w:r>
      <w:r w:rsidR="00D4365F">
        <w:rPr>
          <w:lang w:eastAsia="lv-LV"/>
        </w:rPr>
        <w:t xml:space="preserve">kustības </w:t>
      </w:r>
      <w:r w:rsidR="0050135D">
        <w:t>„Par brīvu Palestīnu” interneta vietnēs, tostarp lietojot saukli „No upes līdz jūrai Palestīna būs brīva!”</w:t>
      </w:r>
      <w:r w:rsidR="00E63980">
        <w:t xml:space="preserve"> (</w:t>
      </w:r>
      <w:r w:rsidR="00E63980" w:rsidRPr="00870B9B">
        <w:rPr>
          <w:i/>
          <w:iCs/>
        </w:rPr>
        <w:t xml:space="preserve">pārsūdzētā sprieduma </w:t>
      </w:r>
      <w:r w:rsidR="00595BDF" w:rsidRPr="00870B9B">
        <w:rPr>
          <w:i/>
          <w:iCs/>
        </w:rPr>
        <w:t>12.punkts</w:t>
      </w:r>
      <w:r w:rsidR="00595BDF">
        <w:t>)</w:t>
      </w:r>
      <w:r w:rsidR="00E63980">
        <w:t xml:space="preserve">. </w:t>
      </w:r>
      <w:r w:rsidR="00D4365F">
        <w:t xml:space="preserve">Tāpat tiesa konstatējusi, ka nedz </w:t>
      </w:r>
      <w:r w:rsidR="00D4365F">
        <w:rPr>
          <w:lang w:eastAsia="lv-LV"/>
        </w:rPr>
        <w:t xml:space="preserve">kustība „Par brīvu Palestīnu”, nedz pieteicējs nenorobežojas no šā saukļa lietošanas un attiecīgi tas vai tā stilizācija varētu tikt izmantota arī iecerētajā piketā (tiesa norāda uz </w:t>
      </w:r>
      <w:r w:rsidR="00B32162">
        <w:rPr>
          <w:lang w:eastAsia="lv-LV"/>
        </w:rPr>
        <w:t xml:space="preserve">stilizēta plakāta izmantošanu citā pulcēšanās reizē – 2024.gada </w:t>
      </w:r>
      <w:r w:rsidR="00371CC0">
        <w:rPr>
          <w:lang w:eastAsia="lv-LV"/>
        </w:rPr>
        <w:t>17.februāra gājienā „Baltijas solidaritāte ar Palestīnu”) (</w:t>
      </w:r>
      <w:r w:rsidR="00371CC0" w:rsidRPr="00F90692">
        <w:rPr>
          <w:i/>
          <w:iCs/>
          <w:lang w:eastAsia="lv-LV"/>
        </w:rPr>
        <w:t xml:space="preserve">pārsūdzētā sprieduma </w:t>
      </w:r>
      <w:r w:rsidR="00926933" w:rsidRPr="00F90692">
        <w:rPr>
          <w:i/>
          <w:iCs/>
          <w:lang w:eastAsia="lv-LV"/>
        </w:rPr>
        <w:t>16.punkts</w:t>
      </w:r>
      <w:r w:rsidR="00926933">
        <w:rPr>
          <w:lang w:eastAsia="lv-LV"/>
        </w:rPr>
        <w:t>).</w:t>
      </w:r>
    </w:p>
    <w:p w14:paraId="52206932" w14:textId="2E2B282A" w:rsidR="00C32764" w:rsidRDefault="00F90692" w:rsidP="00BE3E82">
      <w:pPr>
        <w:spacing w:line="276" w:lineRule="auto"/>
        <w:ind w:firstLine="720"/>
        <w:jc w:val="both"/>
        <w:rPr>
          <w:lang w:eastAsia="lv-LV"/>
        </w:rPr>
      </w:pPr>
      <w:r w:rsidRPr="00053005">
        <w:rPr>
          <w:lang w:eastAsia="lv-LV"/>
        </w:rPr>
        <w:t xml:space="preserve">Ievērojot pašvaldības sniegtos paskaidrojumus, </w:t>
      </w:r>
      <w:r w:rsidR="00E00798" w:rsidRPr="00053005">
        <w:rPr>
          <w:lang w:eastAsia="lv-LV"/>
        </w:rPr>
        <w:t xml:space="preserve">kuros </w:t>
      </w:r>
      <w:r w:rsidR="00316AF9" w:rsidRPr="00053005">
        <w:rPr>
          <w:lang w:eastAsia="lv-LV"/>
        </w:rPr>
        <w:t>norādīts</w:t>
      </w:r>
      <w:r w:rsidR="00E00798" w:rsidRPr="00053005">
        <w:rPr>
          <w:lang w:eastAsia="lv-LV"/>
        </w:rPr>
        <w:t xml:space="preserve"> uz </w:t>
      </w:r>
      <w:r w:rsidR="006E6399" w:rsidRPr="00053005">
        <w:rPr>
          <w:lang w:eastAsia="lv-LV"/>
        </w:rPr>
        <w:t xml:space="preserve">strīdus </w:t>
      </w:r>
      <w:r w:rsidR="00E00798" w:rsidRPr="00053005">
        <w:rPr>
          <w:lang w:eastAsia="lv-LV"/>
        </w:rPr>
        <w:t>saukļa saturu,</w:t>
      </w:r>
      <w:r w:rsidR="00E00798">
        <w:rPr>
          <w:lang w:eastAsia="lv-LV"/>
        </w:rPr>
        <w:t xml:space="preserve"> </w:t>
      </w:r>
      <w:r w:rsidR="000B6521">
        <w:rPr>
          <w:lang w:eastAsia="lv-LV"/>
        </w:rPr>
        <w:t>tiesa atzina, ka konkrētajā gadījumā bijis pamats aizliegt pieteikto piketu atbilstoši Sapulču likuma 15.</w:t>
      </w:r>
      <w:r w:rsidR="000B6521" w:rsidRPr="00E96886">
        <w:rPr>
          <w:vertAlign w:val="superscript"/>
          <w:lang w:eastAsia="lv-LV"/>
        </w:rPr>
        <w:t>1</w:t>
      </w:r>
      <w:r w:rsidR="000B6521">
        <w:rPr>
          <w:lang w:eastAsia="lv-LV"/>
        </w:rPr>
        <w:t xml:space="preserve">panta </w:t>
      </w:r>
      <w:r w:rsidR="00E96886">
        <w:rPr>
          <w:lang w:eastAsia="lv-LV"/>
        </w:rPr>
        <w:t>otrajai daļai kā tādu, kurš nebūtu vērsts uz īsteni miermīlīgu mērķu sasniegšanu</w:t>
      </w:r>
      <w:r w:rsidR="00B57343">
        <w:rPr>
          <w:lang w:eastAsia="lv-LV"/>
        </w:rPr>
        <w:t>. S</w:t>
      </w:r>
      <w:r w:rsidR="009C50D9">
        <w:rPr>
          <w:lang w:eastAsia="lv-LV"/>
        </w:rPr>
        <w:t>trīdus s</w:t>
      </w:r>
      <w:r w:rsidR="00B57343">
        <w:rPr>
          <w:lang w:eastAsia="lv-LV"/>
        </w:rPr>
        <w:t xml:space="preserve">auklī </w:t>
      </w:r>
      <w:r w:rsidR="006053E9">
        <w:rPr>
          <w:lang w:eastAsia="lv-LV"/>
        </w:rPr>
        <w:t xml:space="preserve">ietverto </w:t>
      </w:r>
      <w:r w:rsidR="00BC0067" w:rsidRPr="00BC0067">
        <w:rPr>
          <w:lang w:eastAsia="lv-LV"/>
        </w:rPr>
        <w:t>vēstījumu var</w:t>
      </w:r>
      <w:r w:rsidR="00E668BD">
        <w:rPr>
          <w:lang w:eastAsia="lv-LV"/>
        </w:rPr>
        <w:t>ot</w:t>
      </w:r>
      <w:r w:rsidR="00BC0067" w:rsidRPr="00BC0067">
        <w:rPr>
          <w:lang w:eastAsia="lv-LV"/>
        </w:rPr>
        <w:t xml:space="preserve"> interpretēt kā nozieguma pret cilvēci simbola publisku demonstrēšanu, jo tas aicina izbeigt </w:t>
      </w:r>
      <w:r w:rsidR="00191D46" w:rsidRPr="00BC0067">
        <w:rPr>
          <w:lang w:eastAsia="lv-LV"/>
        </w:rPr>
        <w:t xml:space="preserve">Izraēlas </w:t>
      </w:r>
      <w:r w:rsidR="00BC0067" w:rsidRPr="00BC0067">
        <w:rPr>
          <w:lang w:eastAsia="lv-LV"/>
        </w:rPr>
        <w:t>pastāvēšanu</w:t>
      </w:r>
      <w:r w:rsidR="00C32764">
        <w:rPr>
          <w:lang w:eastAsia="lv-LV"/>
        </w:rPr>
        <w:t>,</w:t>
      </w:r>
      <w:r w:rsidR="00BC0067">
        <w:rPr>
          <w:lang w:eastAsia="lv-LV"/>
        </w:rPr>
        <w:t xml:space="preserve"> un </w:t>
      </w:r>
      <w:r w:rsidR="00706561" w:rsidRPr="00BC0067">
        <w:rPr>
          <w:lang w:eastAsia="lv-LV"/>
        </w:rPr>
        <w:t>tādējādi</w:t>
      </w:r>
      <w:r w:rsidR="00BC0067" w:rsidRPr="00BC0067">
        <w:rPr>
          <w:lang w:eastAsia="lv-LV"/>
        </w:rPr>
        <w:t xml:space="preserve"> </w:t>
      </w:r>
      <w:r w:rsidR="00BC0067">
        <w:rPr>
          <w:lang w:eastAsia="lv-LV"/>
        </w:rPr>
        <w:t xml:space="preserve">tas </w:t>
      </w:r>
      <w:r w:rsidR="00BC0067" w:rsidRPr="00BC0067">
        <w:rPr>
          <w:lang w:eastAsia="lv-LV"/>
        </w:rPr>
        <w:t>ir arī antisemītisks sauklis</w:t>
      </w:r>
      <w:r w:rsidR="00700945">
        <w:rPr>
          <w:lang w:eastAsia="lv-LV"/>
        </w:rPr>
        <w:t xml:space="preserve"> (</w:t>
      </w:r>
      <w:r w:rsidR="00700945" w:rsidRPr="00B57343">
        <w:rPr>
          <w:i/>
          <w:iCs/>
          <w:lang w:eastAsia="lv-LV"/>
        </w:rPr>
        <w:t>pārsūdzētā sprieduma 16.punkts</w:t>
      </w:r>
      <w:r w:rsidR="00700945">
        <w:rPr>
          <w:lang w:eastAsia="lv-LV"/>
        </w:rPr>
        <w:t>)</w:t>
      </w:r>
      <w:r w:rsidR="00E96886">
        <w:rPr>
          <w:lang w:eastAsia="lv-LV"/>
        </w:rPr>
        <w:t>.</w:t>
      </w:r>
    </w:p>
    <w:p w14:paraId="739626CD" w14:textId="77777777" w:rsidR="00C32764" w:rsidRDefault="00C32764" w:rsidP="00BE3E82">
      <w:pPr>
        <w:spacing w:line="276" w:lineRule="auto"/>
        <w:ind w:firstLine="720"/>
        <w:jc w:val="both"/>
        <w:rPr>
          <w:lang w:eastAsia="lv-LV"/>
        </w:rPr>
      </w:pPr>
    </w:p>
    <w:p w14:paraId="6E116815" w14:textId="0D40DC70" w:rsidR="00BA16A5" w:rsidRDefault="00C32764" w:rsidP="00BE3E82">
      <w:pPr>
        <w:spacing w:line="276" w:lineRule="auto"/>
        <w:ind w:firstLine="720"/>
        <w:jc w:val="both"/>
        <w:rPr>
          <w:lang w:eastAsia="lv-LV"/>
        </w:rPr>
      </w:pPr>
      <w:r>
        <w:rPr>
          <w:lang w:eastAsia="lv-LV"/>
        </w:rPr>
        <w:t>[8] </w:t>
      </w:r>
      <w:r w:rsidR="00B20E81">
        <w:rPr>
          <w:lang w:eastAsia="lv-LV"/>
        </w:rPr>
        <w:t>Šajā sakarā Senāts vispirms uzskata par lietderīgu norādīt, ka nav šaubu, ka s</w:t>
      </w:r>
      <w:r w:rsidR="00183F7F">
        <w:rPr>
          <w:lang w:eastAsia="lv-LV"/>
        </w:rPr>
        <w:t xml:space="preserve">askaņā ar Satversmes 103.pantu un </w:t>
      </w:r>
      <w:r w:rsidR="00E00798">
        <w:rPr>
          <w:bCs/>
        </w:rPr>
        <w:t xml:space="preserve">Eiropas Cilvēka tiesību un pamatbrīvību aizsardzības konvencijas </w:t>
      </w:r>
      <w:r w:rsidR="00183F7F">
        <w:rPr>
          <w:lang w:eastAsia="lv-LV"/>
        </w:rPr>
        <w:t xml:space="preserve">11.pantu tiek aizsargāta </w:t>
      </w:r>
      <w:r w:rsidR="00BA16A5">
        <w:rPr>
          <w:lang w:eastAsia="lv-LV"/>
        </w:rPr>
        <w:t xml:space="preserve">tikai </w:t>
      </w:r>
      <w:r w:rsidR="005859F7">
        <w:rPr>
          <w:lang w:eastAsia="lv-LV"/>
        </w:rPr>
        <w:t xml:space="preserve">miermīlīgas pulcēšanās brīvība. </w:t>
      </w:r>
      <w:r w:rsidR="002B5718">
        <w:rPr>
          <w:lang w:eastAsia="lv-LV"/>
        </w:rPr>
        <w:t>Šīs</w:t>
      </w:r>
      <w:r w:rsidR="00EB4A93">
        <w:rPr>
          <w:lang w:eastAsia="lv-LV"/>
        </w:rPr>
        <w:t xml:space="preserve"> tiesību norm</w:t>
      </w:r>
      <w:r w:rsidR="002B5718">
        <w:rPr>
          <w:lang w:eastAsia="lv-LV"/>
        </w:rPr>
        <w:t>as</w:t>
      </w:r>
      <w:r w:rsidR="00EB4A93">
        <w:rPr>
          <w:lang w:eastAsia="lv-LV"/>
        </w:rPr>
        <w:t xml:space="preserve"> </w:t>
      </w:r>
      <w:r w:rsidR="002B5718">
        <w:rPr>
          <w:lang w:eastAsia="lv-LV"/>
        </w:rPr>
        <w:t>neaizsargā</w:t>
      </w:r>
      <w:r w:rsidR="00EB4A93">
        <w:rPr>
          <w:lang w:eastAsia="lv-LV"/>
        </w:rPr>
        <w:t xml:space="preserve"> tā</w:t>
      </w:r>
      <w:r w:rsidR="00F478CD">
        <w:rPr>
          <w:lang w:eastAsia="lv-LV"/>
        </w:rPr>
        <w:t>d</w:t>
      </w:r>
      <w:r w:rsidR="00581A59">
        <w:rPr>
          <w:lang w:eastAsia="lv-LV"/>
        </w:rPr>
        <w:t>u</w:t>
      </w:r>
      <w:r w:rsidR="00EB4A93">
        <w:rPr>
          <w:lang w:eastAsia="lv-LV"/>
        </w:rPr>
        <w:t xml:space="preserve"> pulcēšan</w:t>
      </w:r>
      <w:r w:rsidR="00F85AD7">
        <w:rPr>
          <w:lang w:eastAsia="lv-LV"/>
        </w:rPr>
        <w:t>o</w:t>
      </w:r>
      <w:r w:rsidR="00EB4A93">
        <w:rPr>
          <w:lang w:eastAsia="lv-LV"/>
        </w:rPr>
        <w:t xml:space="preserve">s, kuras </w:t>
      </w:r>
      <w:r w:rsidR="00D9085F">
        <w:rPr>
          <w:lang w:eastAsia="lv-LV"/>
        </w:rPr>
        <w:t xml:space="preserve">organizatoriem un dalībniekiem ir vardarbīgi nolūki, tostarp tādi, kas kūda uz vardarbību vai citādi apšauba </w:t>
      </w:r>
      <w:r w:rsidR="00F56E56">
        <w:rPr>
          <w:lang w:eastAsia="lv-LV"/>
        </w:rPr>
        <w:t xml:space="preserve">demokrātiskas sabiedrības pamatus </w:t>
      </w:r>
      <w:r w:rsidR="008D3EEF">
        <w:rPr>
          <w:lang w:eastAsia="lv-LV"/>
        </w:rPr>
        <w:t>(</w:t>
      </w:r>
      <w:r w:rsidR="008D3EEF" w:rsidRPr="00FA050B">
        <w:rPr>
          <w:i/>
          <w:iCs/>
          <w:lang w:eastAsia="lv-LV"/>
        </w:rPr>
        <w:t xml:space="preserve">Eiropas Cilvēktiesību tiesas (Lielā palāta) </w:t>
      </w:r>
      <w:r w:rsidR="005613A1" w:rsidRPr="00FA050B">
        <w:rPr>
          <w:i/>
          <w:iCs/>
          <w:lang w:eastAsia="lv-LV"/>
        </w:rPr>
        <w:t>2015.gada 15.oktobra sprieduma lietā „Kudrevičius and Others v</w:t>
      </w:r>
      <w:r w:rsidR="00114F69">
        <w:rPr>
          <w:i/>
          <w:iCs/>
          <w:lang w:eastAsia="lv-LV"/>
        </w:rPr>
        <w:t>.</w:t>
      </w:r>
      <w:r w:rsidR="005613A1" w:rsidRPr="00FA050B">
        <w:rPr>
          <w:i/>
          <w:iCs/>
          <w:lang w:eastAsia="lv-LV"/>
        </w:rPr>
        <w:t xml:space="preserve"> Lithuania”, </w:t>
      </w:r>
      <w:r w:rsidR="007E506A">
        <w:rPr>
          <w:i/>
          <w:iCs/>
          <w:lang w:eastAsia="lv-LV"/>
        </w:rPr>
        <w:t>ies</w:t>
      </w:r>
      <w:r w:rsidR="00312C6B">
        <w:rPr>
          <w:i/>
          <w:iCs/>
          <w:lang w:eastAsia="lv-LV"/>
        </w:rPr>
        <w:t>nieguma</w:t>
      </w:r>
      <w:r w:rsidR="005613A1" w:rsidRPr="00FA050B">
        <w:rPr>
          <w:i/>
          <w:iCs/>
          <w:lang w:eastAsia="lv-LV"/>
        </w:rPr>
        <w:t xml:space="preserve"> Nr. 37553/05, </w:t>
      </w:r>
      <w:r w:rsidR="005357C7" w:rsidRPr="00FA050B">
        <w:rPr>
          <w:i/>
          <w:iCs/>
          <w:lang w:eastAsia="lv-LV"/>
        </w:rPr>
        <w:t>92.punkts</w:t>
      </w:r>
      <w:r w:rsidR="005357C7">
        <w:rPr>
          <w:lang w:eastAsia="lv-LV"/>
        </w:rPr>
        <w:t xml:space="preserve">). </w:t>
      </w:r>
      <w:r w:rsidR="00FA050B">
        <w:rPr>
          <w:lang w:eastAsia="lv-LV"/>
        </w:rPr>
        <w:t xml:space="preserve">Uz pieteiktā pulcēšanās pasākuma nemiermīlīgumu var norādīt </w:t>
      </w:r>
      <w:r w:rsidR="006B77CE">
        <w:rPr>
          <w:lang w:eastAsia="lv-LV"/>
        </w:rPr>
        <w:t xml:space="preserve">arī </w:t>
      </w:r>
      <w:r w:rsidR="00FA050B">
        <w:rPr>
          <w:lang w:eastAsia="lv-LV"/>
        </w:rPr>
        <w:t>saukļi, kurus plānots lietot attiecīgajā pasākumā</w:t>
      </w:r>
      <w:r w:rsidR="000E2F19">
        <w:rPr>
          <w:lang w:eastAsia="lv-LV"/>
        </w:rPr>
        <w:t xml:space="preserve">, ja </w:t>
      </w:r>
      <w:r w:rsidR="007240C2">
        <w:rPr>
          <w:lang w:eastAsia="lv-LV"/>
        </w:rPr>
        <w:t xml:space="preserve">tie </w:t>
      </w:r>
      <w:r w:rsidR="00E056CB">
        <w:rPr>
          <w:lang w:eastAsia="lv-LV"/>
        </w:rPr>
        <w:t>ir vērsti pret demokrātiskas sabiedrības pamatvērtībām un ir agresīvi (nav miermīlīgi) (</w:t>
      </w:r>
      <w:r w:rsidR="00E056CB" w:rsidRPr="00BA16A5">
        <w:rPr>
          <w:i/>
          <w:iCs/>
          <w:lang w:eastAsia="lv-LV"/>
        </w:rPr>
        <w:t xml:space="preserve">Eiropas Cilvēktiesību tiesas </w:t>
      </w:r>
      <w:r w:rsidR="004D5D80" w:rsidRPr="00BA16A5">
        <w:rPr>
          <w:i/>
          <w:iCs/>
          <w:lang w:eastAsia="lv-LV"/>
        </w:rPr>
        <w:t>2025.gada 10.jūlija sprieduma lietā „Rodina and Borisova v</w:t>
      </w:r>
      <w:r w:rsidR="00114F69">
        <w:rPr>
          <w:i/>
          <w:iCs/>
          <w:lang w:eastAsia="lv-LV"/>
        </w:rPr>
        <w:t>.</w:t>
      </w:r>
      <w:r w:rsidR="004D5D80" w:rsidRPr="00BA16A5">
        <w:rPr>
          <w:i/>
          <w:iCs/>
          <w:lang w:eastAsia="lv-LV"/>
        </w:rPr>
        <w:t xml:space="preserve"> Latvia”, </w:t>
      </w:r>
      <w:r w:rsidR="00AC7027">
        <w:rPr>
          <w:i/>
          <w:iCs/>
          <w:lang w:eastAsia="lv-LV"/>
        </w:rPr>
        <w:t>iesniegumu</w:t>
      </w:r>
      <w:r w:rsidR="004D5D80" w:rsidRPr="00BA16A5">
        <w:rPr>
          <w:i/>
          <w:iCs/>
          <w:lang w:eastAsia="lv-LV"/>
        </w:rPr>
        <w:t xml:space="preserve"> Nr. 2623/16 un 2299/16, </w:t>
      </w:r>
      <w:r w:rsidR="005532E0" w:rsidRPr="00BA16A5">
        <w:rPr>
          <w:i/>
          <w:iCs/>
          <w:lang w:eastAsia="lv-LV"/>
        </w:rPr>
        <w:t>106.punkts</w:t>
      </w:r>
      <w:r w:rsidR="005532E0">
        <w:rPr>
          <w:lang w:eastAsia="lv-LV"/>
        </w:rPr>
        <w:t>).</w:t>
      </w:r>
    </w:p>
    <w:p w14:paraId="20AB8974" w14:textId="66101331" w:rsidR="007B3462" w:rsidRDefault="0038038E" w:rsidP="00BE3E82">
      <w:pPr>
        <w:spacing w:line="276" w:lineRule="auto"/>
        <w:ind w:firstLine="720"/>
        <w:jc w:val="both"/>
        <w:rPr>
          <w:lang w:eastAsia="lv-LV"/>
        </w:rPr>
      </w:pPr>
      <w:r w:rsidRPr="00053005">
        <w:rPr>
          <w:rFonts w:asciiTheme="majorBidi" w:hAnsiTheme="majorBidi" w:cstheme="majorBidi"/>
        </w:rPr>
        <w:t>Eiropas Cilvēktiesību tiesa ir norādījusi, ka kāda izteikuma (saukļa) saturs vienmēr ir vērtējams konkrētās lietas specifisko apstākļu kontekstā, lai pārliecinātos par tā miermīlīgumu. Vienmēr ir jānovērtē visi ar konkrētā izteikuma (saukļa) lietojumu saistītie apstākļi kopsakarā, lai pārliecinoši atzītu, ka kāds izteikums (sauklis) tieši vai netieši aicina uz vardarbību, attaisno vai uzkurina vardarbību, naidu vai neiecietību (</w:t>
      </w:r>
      <w:r w:rsidRPr="00053005">
        <w:rPr>
          <w:rFonts w:asciiTheme="majorBidi" w:hAnsiTheme="majorBidi" w:cstheme="majorBidi"/>
          <w:i/>
          <w:iCs/>
        </w:rPr>
        <w:t>Eiropas Cilvēktiesību tiesas (Lielā palāta) 2015.gada 15.oktobra sprieduma lietā „Perinçek v. Switzerland”, iesnieguma Nr. </w:t>
      </w:r>
      <w:r w:rsidRPr="00053005">
        <w:t>27510/08</w:t>
      </w:r>
      <w:r w:rsidRPr="00053005">
        <w:rPr>
          <w:i/>
          <w:iCs/>
        </w:rPr>
        <w:t>, 204.–208.punkts</w:t>
      </w:r>
      <w:r w:rsidRPr="00053005">
        <w:rPr>
          <w:rFonts w:asciiTheme="majorBidi" w:hAnsiTheme="majorBidi" w:cstheme="majorBidi"/>
        </w:rPr>
        <w:t>). Ar norādi, ka kāds sauklis starptautiskā sabiedrībā netiek viennozīmīgi interpretēts vai nav viennozīmīgi uztverams, varētu nebūt pietiekami pārliecinoša secinājuma izdarīšanai par saukļa miermīlīgumu, jo ir vērtējami tieši konkrētās lietas apstākļi un konteksts – pieteicēja attieksme un izpratne par saukli, kā arī šā saukļa izpratne un vērtējums Latvijas sabiedrībā, īpašu uzmanību pievēršot to sabiedrības grupu attieksmei, pret kurām attiecīgais sauklis varētu būt vērsts. Attiecīgi nozīme piešķirama konkrētās situācijas sabiedriskajam, politiskajam un ģeopolitiskajam kontekstam, kas pienācīgi novērtējams un pamatojams (</w:t>
      </w:r>
      <w:r w:rsidRPr="00053005">
        <w:rPr>
          <w:rFonts w:asciiTheme="majorBidi" w:hAnsiTheme="majorBidi" w:cstheme="majorBidi"/>
          <w:i/>
          <w:iCs/>
        </w:rPr>
        <w:t>Senāta 2024.gada 25.novembra sprieduma lietā Nr. SKA</w:t>
      </w:r>
      <w:r w:rsidRPr="00053005">
        <w:rPr>
          <w:rFonts w:asciiTheme="majorBidi" w:hAnsiTheme="majorBidi" w:cstheme="majorBidi"/>
          <w:i/>
          <w:iCs/>
        </w:rPr>
        <w:noBreakHyphen/>
        <w:t xml:space="preserve">112/2024, </w:t>
      </w:r>
      <w:hyperlink r:id="rId9" w:history="1">
        <w:r w:rsidRPr="00053005">
          <w:rPr>
            <w:rStyle w:val="Hyperlink"/>
            <w:rFonts w:asciiTheme="majorBidi" w:hAnsiTheme="majorBidi" w:cstheme="majorBidi"/>
            <w:i/>
            <w:iCs/>
          </w:rPr>
          <w:t>ECLI:LV:AT:2024:1125.A420209922.7.S</w:t>
        </w:r>
      </w:hyperlink>
      <w:r w:rsidRPr="00053005">
        <w:rPr>
          <w:i/>
          <w:iCs/>
        </w:rPr>
        <w:t xml:space="preserve">, </w:t>
      </w:r>
      <w:r w:rsidRPr="00053005">
        <w:rPr>
          <w:rFonts w:asciiTheme="majorBidi" w:hAnsiTheme="majorBidi" w:cstheme="majorBidi"/>
          <w:i/>
          <w:iCs/>
        </w:rPr>
        <w:t>15.–16.punkts</w:t>
      </w:r>
      <w:r w:rsidRPr="00053005">
        <w:rPr>
          <w:rFonts w:asciiTheme="majorBidi" w:hAnsiTheme="majorBidi" w:cstheme="majorBidi"/>
        </w:rPr>
        <w:t>).</w:t>
      </w:r>
    </w:p>
    <w:p w14:paraId="2ACAD4B4" w14:textId="77777777" w:rsidR="00437535" w:rsidRDefault="00437535" w:rsidP="00BE3E82">
      <w:pPr>
        <w:spacing w:line="276" w:lineRule="auto"/>
        <w:ind w:firstLine="720"/>
        <w:jc w:val="both"/>
        <w:rPr>
          <w:rFonts w:asciiTheme="majorBidi" w:hAnsiTheme="majorBidi" w:cstheme="majorBidi"/>
        </w:rPr>
      </w:pPr>
    </w:p>
    <w:p w14:paraId="4951D35D" w14:textId="503B8D87" w:rsidR="00462CD9" w:rsidRDefault="00437535" w:rsidP="00BE3E82">
      <w:pPr>
        <w:spacing w:line="276" w:lineRule="auto"/>
        <w:ind w:firstLine="720"/>
        <w:jc w:val="both"/>
        <w:rPr>
          <w:lang w:eastAsia="lv-LV"/>
        </w:rPr>
      </w:pPr>
      <w:r>
        <w:rPr>
          <w:rFonts w:asciiTheme="majorBidi" w:hAnsiTheme="majorBidi" w:cstheme="majorBidi"/>
        </w:rPr>
        <w:t>[</w:t>
      </w:r>
      <w:r w:rsidR="0038038E">
        <w:rPr>
          <w:rFonts w:asciiTheme="majorBidi" w:hAnsiTheme="majorBidi" w:cstheme="majorBidi"/>
        </w:rPr>
        <w:t>9</w:t>
      </w:r>
      <w:r>
        <w:rPr>
          <w:rFonts w:asciiTheme="majorBidi" w:hAnsiTheme="majorBidi" w:cstheme="majorBidi"/>
        </w:rPr>
        <w:t>] </w:t>
      </w:r>
      <w:r w:rsidR="00B20E81">
        <w:rPr>
          <w:rFonts w:asciiTheme="majorBidi" w:hAnsiTheme="majorBidi" w:cstheme="majorBidi"/>
        </w:rPr>
        <w:t>Ievērojot minēto, Senāts piekrīt, ka, vērtējot, vai ir pamats aizliegt pieteiktu piketu, miermīlīgas pulcēšanās brīvības kontekstā var būt pamats pievērsties piketa organizētāju izmantotu vai atbalstītu saukļu analīzei. Tomēr a</w:t>
      </w:r>
      <w:r w:rsidR="0045186F">
        <w:rPr>
          <w:lang w:eastAsia="lv-LV"/>
        </w:rPr>
        <w:t xml:space="preserve">tbilstoši Sapulču likumam tieši pašvaldībai ir noteikts pienākums izvērtēt visus ar pieteikto pulcēšanās pasākumu saistītos apstākļus un attiecīgi </w:t>
      </w:r>
      <w:r w:rsidR="0045186F" w:rsidRPr="00E66805">
        <w:rPr>
          <w:lang w:eastAsia="lv-LV"/>
        </w:rPr>
        <w:t>pieņemt lēmumu noteikt ierobežojumus attiecībā uz pasākuma norises vietu, laiku un veidu</w:t>
      </w:r>
      <w:r w:rsidR="0045186F">
        <w:rPr>
          <w:lang w:eastAsia="lv-LV"/>
        </w:rPr>
        <w:t xml:space="preserve"> (</w:t>
      </w:r>
      <w:r w:rsidR="0045186F" w:rsidRPr="002052CD">
        <w:rPr>
          <w:i/>
          <w:iCs/>
          <w:lang w:eastAsia="lv-LV"/>
        </w:rPr>
        <w:t>Sapulču likuma 15.</w:t>
      </w:r>
      <w:r w:rsidR="0045186F" w:rsidRPr="002052CD">
        <w:rPr>
          <w:i/>
          <w:iCs/>
          <w:vertAlign w:val="superscript"/>
          <w:lang w:eastAsia="lv-LV"/>
        </w:rPr>
        <w:t>1</w:t>
      </w:r>
      <w:r w:rsidR="0045186F" w:rsidRPr="002052CD">
        <w:rPr>
          <w:i/>
          <w:iCs/>
          <w:lang w:eastAsia="lv-LV"/>
        </w:rPr>
        <w:t>panta pirmā daļa</w:t>
      </w:r>
      <w:r w:rsidR="0045186F">
        <w:rPr>
          <w:lang w:eastAsia="lv-LV"/>
        </w:rPr>
        <w:t>) vai aizliegt pieteiktā pasākuma norisi (</w:t>
      </w:r>
      <w:r w:rsidR="0045186F" w:rsidRPr="002052CD">
        <w:rPr>
          <w:i/>
          <w:iCs/>
          <w:lang w:eastAsia="lv-LV"/>
        </w:rPr>
        <w:t>Sapulču likuma 15.</w:t>
      </w:r>
      <w:r w:rsidR="0045186F" w:rsidRPr="002052CD">
        <w:rPr>
          <w:i/>
          <w:iCs/>
          <w:vertAlign w:val="superscript"/>
          <w:lang w:eastAsia="lv-LV"/>
        </w:rPr>
        <w:t>1</w:t>
      </w:r>
      <w:r w:rsidR="0045186F" w:rsidRPr="002052CD">
        <w:rPr>
          <w:i/>
          <w:iCs/>
          <w:lang w:eastAsia="lv-LV"/>
        </w:rPr>
        <w:t>panta otrā daļa</w:t>
      </w:r>
      <w:r w:rsidR="0045186F">
        <w:rPr>
          <w:lang w:eastAsia="lv-LV"/>
        </w:rPr>
        <w:t xml:space="preserve">). </w:t>
      </w:r>
      <w:r w:rsidR="00462CD9">
        <w:rPr>
          <w:lang w:eastAsia="lv-LV"/>
        </w:rPr>
        <w:t>Nosakot ierobežojumus pulcēšanās brīvības īstenošanai vai aizliedzot konkrētu pulcēšanās brīvības pasākumu, pašvaldībai konstatētie apstākļi, kas ierobežo vai liedz netraucētu pulcēšanās brīvības īstenošanu, ir jānorāda lēmumā, sniedzot pamatojumu, ka tās noteiktais pulcēšanās brīvības ierobežojums konkrētajos apstākļos ir nepieciešams demokrātiskā sabiedrībā.</w:t>
      </w:r>
    </w:p>
    <w:p w14:paraId="1A7D35A5" w14:textId="3CCCF1CF" w:rsidR="008E0CD6" w:rsidRDefault="00B64138" w:rsidP="00BE3E82">
      <w:pPr>
        <w:spacing w:line="276" w:lineRule="auto"/>
        <w:ind w:firstLine="720"/>
        <w:jc w:val="both"/>
        <w:rPr>
          <w:lang w:eastAsia="lv-LV"/>
        </w:rPr>
      </w:pPr>
      <w:r>
        <w:rPr>
          <w:rFonts w:asciiTheme="majorBidi" w:hAnsiTheme="majorBidi" w:cstheme="majorBidi"/>
        </w:rPr>
        <w:t xml:space="preserve">Senāts </w:t>
      </w:r>
      <w:r w:rsidR="0045186F">
        <w:rPr>
          <w:rFonts w:asciiTheme="majorBidi" w:hAnsiTheme="majorBidi" w:cstheme="majorBidi"/>
        </w:rPr>
        <w:t>šajā ziņā ir norādījis</w:t>
      </w:r>
      <w:r>
        <w:rPr>
          <w:rFonts w:asciiTheme="majorBidi" w:hAnsiTheme="majorBidi" w:cstheme="majorBidi"/>
        </w:rPr>
        <w:t>, ka</w:t>
      </w:r>
      <w:r w:rsidR="00AD0F8F">
        <w:rPr>
          <w:rFonts w:asciiTheme="majorBidi" w:hAnsiTheme="majorBidi" w:cstheme="majorBidi"/>
        </w:rPr>
        <w:t xml:space="preserve"> valsts iestādēm nevis formāli, bet pēc būtības jācenšas </w:t>
      </w:r>
      <w:r w:rsidR="00AD0F8F" w:rsidRPr="00692AFD">
        <w:rPr>
          <w:rFonts w:asciiTheme="majorBidi" w:hAnsiTheme="majorBidi" w:cstheme="majorBidi"/>
        </w:rPr>
        <w:t xml:space="preserve">objektīvi noskaidrot gan pieteiktās pulcēšanās mērķi, gan ar to saistīto apdraudējumu, </w:t>
      </w:r>
      <w:r w:rsidR="009C5F18">
        <w:rPr>
          <w:rFonts w:asciiTheme="majorBidi" w:hAnsiTheme="majorBidi" w:cstheme="majorBidi"/>
        </w:rPr>
        <w:t xml:space="preserve">un </w:t>
      </w:r>
      <w:r w:rsidR="00AD0F8F" w:rsidRPr="00692AFD">
        <w:rPr>
          <w:rFonts w:asciiTheme="majorBidi" w:hAnsiTheme="majorBidi" w:cstheme="majorBidi"/>
        </w:rPr>
        <w:t>tikai tad pieņemtais lēmums un iespējamā tālākā rīcība (piemēram, atbilstoši kārtības nodrošināšanas pasākumi) būs objektīvi pamatoti un tātad arī tiesiski</w:t>
      </w:r>
      <w:r w:rsidR="003B562C">
        <w:rPr>
          <w:rFonts w:asciiTheme="majorBidi" w:hAnsiTheme="majorBidi" w:cstheme="majorBidi"/>
        </w:rPr>
        <w:t xml:space="preserve"> (</w:t>
      </w:r>
      <w:r w:rsidR="00664802" w:rsidRPr="002E2D45">
        <w:rPr>
          <w:rFonts w:asciiTheme="majorBidi" w:hAnsiTheme="majorBidi" w:cstheme="majorBidi"/>
          <w:i/>
          <w:iCs/>
        </w:rPr>
        <w:t xml:space="preserve">Senāta 2024.gada 25.novembra sprieduma lietā Nr. SKA-112/2024, </w:t>
      </w:r>
      <w:hyperlink r:id="rId10" w:history="1">
        <w:r w:rsidR="00664802" w:rsidRPr="002E2D45">
          <w:rPr>
            <w:rStyle w:val="Hyperlink"/>
            <w:rFonts w:asciiTheme="majorBidi" w:hAnsiTheme="majorBidi" w:cstheme="majorBidi"/>
            <w:i/>
            <w:iCs/>
          </w:rPr>
          <w:t>ECLI:LV:AT:2024:1125.A420209922.7.S</w:t>
        </w:r>
      </w:hyperlink>
      <w:r w:rsidR="003B562C" w:rsidRPr="002E2D45">
        <w:rPr>
          <w:rFonts w:asciiTheme="majorBidi" w:hAnsiTheme="majorBidi" w:cstheme="majorBidi"/>
          <w:i/>
          <w:iCs/>
        </w:rPr>
        <w:t xml:space="preserve">, </w:t>
      </w:r>
      <w:r w:rsidR="009B4EC1" w:rsidRPr="002E2D45">
        <w:rPr>
          <w:rFonts w:asciiTheme="majorBidi" w:hAnsiTheme="majorBidi" w:cstheme="majorBidi"/>
          <w:i/>
          <w:iCs/>
        </w:rPr>
        <w:t>10.punkts</w:t>
      </w:r>
      <w:r w:rsidR="009B4EC1">
        <w:rPr>
          <w:rFonts w:asciiTheme="majorBidi" w:hAnsiTheme="majorBidi" w:cstheme="majorBidi"/>
        </w:rPr>
        <w:t>)</w:t>
      </w:r>
      <w:r w:rsidR="00AD0F8F" w:rsidRPr="00692AFD">
        <w:rPr>
          <w:rFonts w:asciiTheme="majorBidi" w:hAnsiTheme="majorBidi" w:cstheme="majorBidi"/>
        </w:rPr>
        <w:t>.</w:t>
      </w:r>
    </w:p>
    <w:p w14:paraId="7092AE7A" w14:textId="06F447A1" w:rsidR="008C6A79" w:rsidRDefault="008C6A79" w:rsidP="00BE3E82">
      <w:pPr>
        <w:spacing w:line="276" w:lineRule="auto"/>
        <w:ind w:firstLine="720"/>
        <w:jc w:val="both"/>
        <w:rPr>
          <w:lang w:eastAsia="lv-LV"/>
        </w:rPr>
      </w:pPr>
      <w:r>
        <w:rPr>
          <w:lang w:eastAsia="lv-LV"/>
        </w:rPr>
        <w:t>Konkrētajā gadījumā</w:t>
      </w:r>
      <w:r w:rsidR="00B20E81">
        <w:rPr>
          <w:lang w:eastAsia="lv-LV"/>
        </w:rPr>
        <w:t>, kā jau minēts,</w:t>
      </w:r>
      <w:r>
        <w:rPr>
          <w:lang w:eastAsia="lv-LV"/>
        </w:rPr>
        <w:t xml:space="preserve"> </w:t>
      </w:r>
      <w:r w:rsidR="003117DE">
        <w:rPr>
          <w:lang w:eastAsia="lv-LV"/>
        </w:rPr>
        <w:t xml:space="preserve">pieteicējs </w:t>
      </w:r>
      <w:r>
        <w:rPr>
          <w:lang w:eastAsia="lv-LV"/>
        </w:rPr>
        <w:t xml:space="preserve">kasācijas sūdzībā </w:t>
      </w:r>
      <w:r w:rsidR="004D1CBA">
        <w:rPr>
          <w:lang w:eastAsia="lv-LV"/>
        </w:rPr>
        <w:t>ir izteicis iebildumus pret pārsūdzēto spriedumu, norādot, ka rajona tiesa ir vērtējusi nevis p</w:t>
      </w:r>
      <w:r w:rsidR="00CE724B">
        <w:rPr>
          <w:lang w:eastAsia="lv-LV"/>
        </w:rPr>
        <w:t>ārsūdzētajā</w:t>
      </w:r>
      <w:r w:rsidR="004D1CBA">
        <w:rPr>
          <w:lang w:eastAsia="lv-LV"/>
        </w:rPr>
        <w:t xml:space="preserve"> lēmumā</w:t>
      </w:r>
      <w:r w:rsidR="00D225CC">
        <w:rPr>
          <w:lang w:eastAsia="lv-LV"/>
        </w:rPr>
        <w:t xml:space="preserve"> ietverto pamatojumu, bet </w:t>
      </w:r>
      <w:r w:rsidR="00114F69">
        <w:rPr>
          <w:lang w:eastAsia="lv-LV"/>
        </w:rPr>
        <w:t>g</w:t>
      </w:r>
      <w:r w:rsidR="007335C3">
        <w:rPr>
          <w:lang w:eastAsia="lv-LV"/>
        </w:rPr>
        <w:t xml:space="preserve">an pieļāvusi pamatojuma maiņu, vērtējot apstākļus, </w:t>
      </w:r>
      <w:r w:rsidR="00FE3E50">
        <w:rPr>
          <w:lang w:eastAsia="lv-LV"/>
        </w:rPr>
        <w:t xml:space="preserve">ar </w:t>
      </w:r>
      <w:r w:rsidR="007335C3">
        <w:rPr>
          <w:lang w:eastAsia="lv-LV"/>
        </w:rPr>
        <w:t xml:space="preserve">kuriem nav bijis pamatots </w:t>
      </w:r>
      <w:r w:rsidR="007E2325">
        <w:rPr>
          <w:lang w:eastAsia="lv-LV"/>
        </w:rPr>
        <w:t xml:space="preserve">pieteiktā </w:t>
      </w:r>
      <w:r w:rsidR="000A2C18">
        <w:rPr>
          <w:lang w:eastAsia="lv-LV"/>
        </w:rPr>
        <w:t xml:space="preserve">piketa </w:t>
      </w:r>
      <w:r w:rsidR="007E2325">
        <w:rPr>
          <w:lang w:eastAsia="lv-LV"/>
        </w:rPr>
        <w:t>aizliegums.</w:t>
      </w:r>
    </w:p>
    <w:p w14:paraId="248ED3ED" w14:textId="77777777" w:rsidR="004471F9" w:rsidRDefault="004471F9" w:rsidP="00BE3E82">
      <w:pPr>
        <w:spacing w:line="276" w:lineRule="auto"/>
        <w:ind w:firstLine="720"/>
        <w:jc w:val="both"/>
        <w:rPr>
          <w:lang w:eastAsia="lv-LV"/>
        </w:rPr>
      </w:pPr>
    </w:p>
    <w:p w14:paraId="05A41257" w14:textId="55544CC0" w:rsidR="00BD75B9" w:rsidRPr="006C362A" w:rsidRDefault="0084019E" w:rsidP="00BE3E82">
      <w:pPr>
        <w:spacing w:line="276" w:lineRule="auto"/>
        <w:ind w:firstLine="720"/>
        <w:jc w:val="both"/>
      </w:pPr>
      <w:r>
        <w:rPr>
          <w:lang w:eastAsia="lv-LV"/>
        </w:rPr>
        <w:t>[</w:t>
      </w:r>
      <w:r w:rsidR="007D0D38">
        <w:rPr>
          <w:lang w:eastAsia="lv-LV"/>
        </w:rPr>
        <w:t>10</w:t>
      </w:r>
      <w:r>
        <w:rPr>
          <w:lang w:eastAsia="lv-LV"/>
        </w:rPr>
        <w:t>] </w:t>
      </w:r>
      <w:r w:rsidR="00BD75B9" w:rsidRPr="006C362A">
        <w:t>Administratīvā procesa likuma 250.panta otrā daļa noteic, ka tiesa, vērtējot pārsūdzētā</w:t>
      </w:r>
      <w:r w:rsidR="00BD75B9">
        <w:t xml:space="preserve"> </w:t>
      </w:r>
      <w:r w:rsidR="00BD75B9" w:rsidRPr="006C362A">
        <w:t>administratīvā akta tiesiskumu, spriedumā ņem vērā tikai to pamatojumu, ko iestāde ietvērusi</w:t>
      </w:r>
      <w:r w:rsidR="00BD75B9">
        <w:t xml:space="preserve"> </w:t>
      </w:r>
      <w:r w:rsidR="00BD75B9" w:rsidRPr="006C362A">
        <w:t>administratīvajā aktā.</w:t>
      </w:r>
    </w:p>
    <w:p w14:paraId="790CF56D" w14:textId="646C8D0E" w:rsidR="00D00385" w:rsidRDefault="00BD75B9" w:rsidP="00BE3E82">
      <w:pPr>
        <w:spacing w:line="276" w:lineRule="auto"/>
        <w:ind w:firstLine="720"/>
        <w:jc w:val="both"/>
      </w:pPr>
      <w:r w:rsidRPr="00506B89">
        <w:t xml:space="preserve">Šī </w:t>
      </w:r>
      <w:r>
        <w:t xml:space="preserve">tiesību </w:t>
      </w:r>
      <w:r w:rsidRPr="00506B89">
        <w:t xml:space="preserve">norma ir daļa no tiesiskā regulējuma, kas nošķir iestādes un tiesas kompetenci administratīvajā procesā. Proti, līdztekus citām </w:t>
      </w:r>
      <w:r w:rsidR="00D33FED">
        <w:t xml:space="preserve">likuma </w:t>
      </w:r>
      <w:r w:rsidRPr="00506B89">
        <w:t>normām (piemēram, Administratīvā procesa likuma 103.panta pirmajai daļai, 253.panta trešajai un sestajai daļai) tā atspoguļo administratīvā procesa tiesā būtību un tiesas kompetences robežas administratīvā akta tiesiskuma kontrolē – to, ka tiesa īsteno kontroli pār iestādes izdotu privātpersonai nelabvēlīgu administratīvo aktu, nevis iestājas iestādes vietā un pati izdod šādu administratīvo aktu</w:t>
      </w:r>
      <w:r w:rsidR="002F5FB8">
        <w:t xml:space="preserve"> (faktiski palīdz saglabāt šāda administratīvā akta spēkā esību, iestādes pieļautās pamatojuma kļūdas aizvietojot ar savu argumentāciju)</w:t>
      </w:r>
      <w:r w:rsidRPr="00506B89">
        <w:t xml:space="preserve">. Līdz ar to atbilstoši administratīvās tiesas kompetencei Administratīvā procesa likuma 250.panta otrā daļa liedz tiesai spriedumā mainīt iestādes lēmuma pamatojumu, ar to šīs </w:t>
      </w:r>
      <w:r w:rsidR="002F5FB8">
        <w:t xml:space="preserve">tiesību </w:t>
      </w:r>
      <w:r w:rsidRPr="00506B89">
        <w:t>normas izpratnē saprotot lēmuma pamatu – apstākļus, uz kuriem balstīts iestādes lēmums (</w:t>
      </w:r>
      <w:r w:rsidRPr="00391A90">
        <w:rPr>
          <w:i/>
          <w:iCs/>
        </w:rPr>
        <w:t>Senāta 2024.gada 30.septembra sprieduma lietā Nr. SKA</w:t>
      </w:r>
      <w:r w:rsidR="003117DE">
        <w:rPr>
          <w:i/>
          <w:iCs/>
        </w:rPr>
        <w:noBreakHyphen/>
      </w:r>
      <w:r w:rsidRPr="00391A90">
        <w:rPr>
          <w:i/>
          <w:iCs/>
        </w:rPr>
        <w:t xml:space="preserve">92/2024, </w:t>
      </w:r>
      <w:hyperlink r:id="rId11" w:history="1">
        <w:r w:rsidRPr="00391A90">
          <w:rPr>
            <w:rStyle w:val="Hyperlink"/>
            <w:i/>
            <w:iCs/>
          </w:rPr>
          <w:t>ECLI:LV:AT:2024:0930.A420269220.12.S</w:t>
        </w:r>
      </w:hyperlink>
      <w:r w:rsidRPr="00391A90">
        <w:rPr>
          <w:i/>
          <w:iCs/>
        </w:rPr>
        <w:t xml:space="preserve">, 7.punkts </w:t>
      </w:r>
      <w:r w:rsidRPr="004177C9">
        <w:t>un tajā minētā judikatūra</w:t>
      </w:r>
      <w:r w:rsidRPr="00506B89">
        <w:t>).</w:t>
      </w:r>
    </w:p>
    <w:p w14:paraId="7CA63AE8" w14:textId="2B0D3468" w:rsidR="0084019E" w:rsidRDefault="00BD75B9" w:rsidP="00BE3E82">
      <w:pPr>
        <w:spacing w:line="276" w:lineRule="auto"/>
        <w:ind w:firstLine="720"/>
        <w:jc w:val="both"/>
      </w:pPr>
      <w:r w:rsidRPr="006C362A">
        <w:t>Senāta judikatūrā atzīts, ka ir pieļaujama zināma administratīvā akta pamatojuma</w:t>
      </w:r>
      <w:r>
        <w:t xml:space="preserve"> </w:t>
      </w:r>
      <w:r w:rsidRPr="006C362A">
        <w:t>interpretācija un mazāk būtisku kļūdu izskaidrošana. Tomēr šāda pamatojuma interpretēšana nedrīkst ietvert pēc būtības jaunus</w:t>
      </w:r>
      <w:r>
        <w:t xml:space="preserve"> </w:t>
      </w:r>
      <w:r w:rsidRPr="006C362A">
        <w:t>apstākļus (</w:t>
      </w:r>
      <w:r w:rsidRPr="006C362A">
        <w:rPr>
          <w:i/>
          <w:iCs/>
        </w:rPr>
        <w:t>Senāta 20</w:t>
      </w:r>
      <w:r w:rsidR="00BB3DDE">
        <w:rPr>
          <w:i/>
          <w:iCs/>
        </w:rPr>
        <w:t>25</w:t>
      </w:r>
      <w:r w:rsidRPr="006C362A">
        <w:rPr>
          <w:i/>
          <w:iCs/>
        </w:rPr>
        <w:t>.gada 2</w:t>
      </w:r>
      <w:r w:rsidR="00BB3DDE">
        <w:rPr>
          <w:i/>
          <w:iCs/>
        </w:rPr>
        <w:t>7</w:t>
      </w:r>
      <w:r w:rsidRPr="006C362A">
        <w:rPr>
          <w:i/>
          <w:iCs/>
        </w:rPr>
        <w:t>.</w:t>
      </w:r>
      <w:r w:rsidR="00BB3DDE">
        <w:rPr>
          <w:i/>
          <w:iCs/>
        </w:rPr>
        <w:t>oktobra</w:t>
      </w:r>
      <w:r w:rsidRPr="006C362A">
        <w:rPr>
          <w:i/>
          <w:iCs/>
        </w:rPr>
        <w:t xml:space="preserve"> sprieduma lietā Nr.</w:t>
      </w:r>
      <w:r>
        <w:rPr>
          <w:i/>
          <w:iCs/>
        </w:rPr>
        <w:t> </w:t>
      </w:r>
      <w:r w:rsidRPr="006C362A">
        <w:rPr>
          <w:i/>
          <w:iCs/>
        </w:rPr>
        <w:t>SKA</w:t>
      </w:r>
      <w:r>
        <w:rPr>
          <w:i/>
          <w:iCs/>
        </w:rPr>
        <w:t>-</w:t>
      </w:r>
      <w:r w:rsidR="00D00385">
        <w:rPr>
          <w:i/>
          <w:iCs/>
        </w:rPr>
        <w:t>566</w:t>
      </w:r>
      <w:r w:rsidRPr="006C362A">
        <w:rPr>
          <w:i/>
          <w:iCs/>
        </w:rPr>
        <w:t>/20</w:t>
      </w:r>
      <w:r w:rsidR="00D00385">
        <w:rPr>
          <w:i/>
          <w:iCs/>
        </w:rPr>
        <w:t>25</w:t>
      </w:r>
      <w:r w:rsidRPr="0008324D">
        <w:rPr>
          <w:i/>
          <w:iCs/>
        </w:rPr>
        <w:t xml:space="preserve">, </w:t>
      </w:r>
      <w:hyperlink r:id="rId12" w:history="1">
        <w:r w:rsidR="00D00385" w:rsidRPr="0008324D">
          <w:rPr>
            <w:rStyle w:val="Hyperlink"/>
            <w:i/>
            <w:iCs/>
          </w:rPr>
          <w:t>ECLI:LV:AT:2025:1027.A420150922.16.S</w:t>
        </w:r>
      </w:hyperlink>
      <w:r w:rsidRPr="0008324D">
        <w:rPr>
          <w:i/>
          <w:iCs/>
        </w:rPr>
        <w:t>,</w:t>
      </w:r>
      <w:r w:rsidRPr="006C362A">
        <w:rPr>
          <w:i/>
          <w:iCs/>
        </w:rPr>
        <w:t xml:space="preserve"> 6.punkts</w:t>
      </w:r>
      <w:r w:rsidRPr="006C362A">
        <w:t>).</w:t>
      </w:r>
      <w:r w:rsidR="00AA4CF6">
        <w:t xml:space="preserve"> Vienlaikus personai nelabvēlīgajā administratīvajā aktā ir jābūt precīzi uzrādītiem būtiskajiem apstākļiem, kuru dēļ attiecīgais akts ir izdodams. Tas izriet no pamatojuma principa prasībām. Kā norādījis Senāts, </w:t>
      </w:r>
      <w:r w:rsidR="00CA3716">
        <w:t xml:space="preserve">no pamatojuma principa izriet iestādes pienākums rakstveidā </w:t>
      </w:r>
      <w:r w:rsidR="00CA3716" w:rsidRPr="00410720">
        <w:t>izdotajā administratīvajā aktā norādīt uz visiem lietas būtiskajiem</w:t>
      </w:r>
      <w:r w:rsidR="00CA3716">
        <w:t xml:space="preserve"> </w:t>
      </w:r>
      <w:r w:rsidR="00CA3716" w:rsidRPr="00410720">
        <w:t>faktiskajiem</w:t>
      </w:r>
      <w:r w:rsidR="00CA3716">
        <w:t xml:space="preserve"> </w:t>
      </w:r>
      <w:r w:rsidR="00CA3716" w:rsidRPr="00410720">
        <w:t>un tiesiskajiem</w:t>
      </w:r>
      <w:r w:rsidR="00CA3716">
        <w:t xml:space="preserve"> </w:t>
      </w:r>
      <w:r w:rsidR="00CA3716" w:rsidRPr="00410720">
        <w:t>apstākļiem, kā arī izdarītajiem</w:t>
      </w:r>
      <w:r w:rsidR="00CA3716">
        <w:t xml:space="preserve"> </w:t>
      </w:r>
      <w:r w:rsidR="00CA3716" w:rsidRPr="00410720">
        <w:t>lietderības apsvērumiem</w:t>
      </w:r>
      <w:r w:rsidR="00CA3716">
        <w:t xml:space="preserve"> </w:t>
      </w:r>
      <w:r w:rsidR="00CA3716" w:rsidRPr="00410720">
        <w:t>un secinājumiem, kāpēc konkrētajā gadījumā attiecīgais lēmums ir nepieciešams</w:t>
      </w:r>
      <w:r w:rsidR="00CA3716">
        <w:t xml:space="preserve">. </w:t>
      </w:r>
      <w:r w:rsidR="00CA3716" w:rsidRPr="00F332FA">
        <w:t>Pamatojuma uzdevums ir padarīt skaidrus administratīvā akta adresātam</w:t>
      </w:r>
      <w:r w:rsidR="00CA3716">
        <w:t xml:space="preserve"> </w:t>
      </w:r>
      <w:r w:rsidR="00CA3716" w:rsidRPr="00F332FA">
        <w:t>tam</w:t>
      </w:r>
      <w:r w:rsidR="00CA3716">
        <w:t xml:space="preserve"> </w:t>
      </w:r>
      <w:r w:rsidR="00CA3716" w:rsidRPr="00F332FA">
        <w:t>uzliktos pienākumus u</w:t>
      </w:r>
      <w:r w:rsidR="00CA3716">
        <w:t xml:space="preserve">n </w:t>
      </w:r>
      <w:r w:rsidR="00CA3716" w:rsidRPr="00F332FA">
        <w:t>izskaidrot šāda pienākuma tiesisko un faktisko pamatu, tādējādi dodot iespēju personai aizsargāt savas tiesības</w:t>
      </w:r>
      <w:r w:rsidR="00CA3716">
        <w:t xml:space="preserve"> (</w:t>
      </w:r>
      <w:r w:rsidR="00837B77" w:rsidRPr="007A7EF7">
        <w:rPr>
          <w:i/>
          <w:iCs/>
        </w:rPr>
        <w:t xml:space="preserve">Senāta </w:t>
      </w:r>
      <w:r w:rsidR="00313AA4" w:rsidRPr="007A7EF7">
        <w:rPr>
          <w:i/>
          <w:iCs/>
        </w:rPr>
        <w:t xml:space="preserve">2025.gada 7.oktobra </w:t>
      </w:r>
      <w:r w:rsidR="0025166A" w:rsidRPr="007A7EF7">
        <w:rPr>
          <w:i/>
          <w:iCs/>
        </w:rPr>
        <w:t xml:space="preserve">sprieduma lietā Nr. SKA-383/2025, </w:t>
      </w:r>
      <w:hyperlink r:id="rId13" w:history="1">
        <w:r w:rsidR="0025166A" w:rsidRPr="007A7EF7">
          <w:rPr>
            <w:rStyle w:val="Hyperlink"/>
            <w:i/>
            <w:iCs/>
          </w:rPr>
          <w:t>ECLI:LV:AT:2025:1007.A420165122.10.S</w:t>
        </w:r>
      </w:hyperlink>
      <w:r w:rsidR="0025166A" w:rsidRPr="007A7EF7">
        <w:rPr>
          <w:rFonts w:asciiTheme="majorBidi" w:hAnsiTheme="majorBidi" w:cstheme="majorBidi"/>
          <w:i/>
          <w:iCs/>
        </w:rPr>
        <w:t xml:space="preserve">, </w:t>
      </w:r>
      <w:r w:rsidR="0008324D" w:rsidRPr="007A7EF7">
        <w:rPr>
          <w:i/>
          <w:iCs/>
        </w:rPr>
        <w:t>11.punkts</w:t>
      </w:r>
      <w:r w:rsidR="0008324D">
        <w:t>).</w:t>
      </w:r>
    </w:p>
    <w:p w14:paraId="07DFA89D" w14:textId="77777777" w:rsidR="007A7EF7" w:rsidRDefault="007A7EF7" w:rsidP="00BE3E82">
      <w:pPr>
        <w:spacing w:line="276" w:lineRule="auto"/>
        <w:ind w:firstLine="720"/>
        <w:jc w:val="both"/>
      </w:pPr>
    </w:p>
    <w:p w14:paraId="55D15E01" w14:textId="1E114542" w:rsidR="007A7EF7" w:rsidRDefault="007A7EF7" w:rsidP="00BE3E82">
      <w:pPr>
        <w:spacing w:line="276" w:lineRule="auto"/>
        <w:ind w:firstLine="720"/>
        <w:jc w:val="both"/>
      </w:pPr>
      <w:r>
        <w:t>[</w:t>
      </w:r>
      <w:r w:rsidR="007D0D38">
        <w:t>11</w:t>
      </w:r>
      <w:r>
        <w:t>] </w:t>
      </w:r>
      <w:r w:rsidR="00025465">
        <w:t>Senāts vērš uzmanību, ka īstā pamatojuma uzrādīšanai, norādot tos būtiskos apstākļus, kas ir par pamatu</w:t>
      </w:r>
      <w:r w:rsidR="00682A4A">
        <w:t xml:space="preserve"> lēmuma pieņemšanai</w:t>
      </w:r>
      <w:r w:rsidR="00025465">
        <w:t xml:space="preserve">, </w:t>
      </w:r>
      <w:r w:rsidR="003831FC">
        <w:t xml:space="preserve">ir </w:t>
      </w:r>
      <w:r w:rsidR="004E13FB">
        <w:t xml:space="preserve">būtiska nozīme </w:t>
      </w:r>
      <w:r w:rsidR="003831FC">
        <w:t>pulcēšanās pasākuma aizlieguma gadījumā</w:t>
      </w:r>
      <w:r w:rsidR="002E4A51">
        <w:t xml:space="preserve">. </w:t>
      </w:r>
      <w:r w:rsidR="00410CF3">
        <w:t>Satversmes tiesa ir vērsusi uzmanību, ka pulcēšanās brīvības īstenošanai ir jābūt reālai un efektīvai</w:t>
      </w:r>
      <w:r w:rsidR="00ED1142">
        <w:t>. Sapulču likuma piemērošanā nevar pieļaut situācijas, k</w:t>
      </w:r>
      <w:r w:rsidR="004E13FB">
        <w:t>urās</w:t>
      </w:r>
      <w:r w:rsidR="00ED1142">
        <w:t xml:space="preserve"> iestāde var panākt, ka persona nespēj īstenot sev vēlamo pulcēšanos sev vēlamajā laikā, vietā un veidā, to aizliedzot, un nav iespējama </w:t>
      </w:r>
      <w:r w:rsidR="004E13FB">
        <w:t xml:space="preserve">efektīva </w:t>
      </w:r>
      <w:r w:rsidR="00ED1142">
        <w:t>tiesas kontrole pirms pieteiktā pasākuma norises</w:t>
      </w:r>
      <w:r w:rsidR="005368E7">
        <w:t xml:space="preserve"> (</w:t>
      </w:r>
      <w:r w:rsidR="005368E7" w:rsidRPr="006C4AC1">
        <w:rPr>
          <w:i/>
          <w:iCs/>
        </w:rPr>
        <w:t xml:space="preserve">Satversmes tiesas 2006.gada </w:t>
      </w:r>
      <w:r w:rsidR="00E77A2B" w:rsidRPr="006C4AC1">
        <w:rPr>
          <w:i/>
          <w:iCs/>
        </w:rPr>
        <w:t xml:space="preserve">23.novembra sprieduma lietā Nr. 2006-03-0106 </w:t>
      </w:r>
      <w:r w:rsidR="001E6779" w:rsidRPr="006C4AC1">
        <w:rPr>
          <w:i/>
          <w:iCs/>
        </w:rPr>
        <w:t>24.punkts</w:t>
      </w:r>
      <w:r w:rsidR="001E6779">
        <w:t>)</w:t>
      </w:r>
      <w:r w:rsidR="00ED1142">
        <w:t>.</w:t>
      </w:r>
      <w:r w:rsidR="001F41CC">
        <w:t xml:space="preserve"> Gadījumā, kad tiesas kontrole ir iespējama tikai par pulcēšanās aizlieguma tiesiskumu, proti, tiesa skata lietu tikai pēc iecerētā pulcēšanās pasākuma dienas, </w:t>
      </w:r>
      <w:r w:rsidR="009048D3">
        <w:t xml:space="preserve">jo īpaši </w:t>
      </w:r>
      <w:r w:rsidR="001F41CC">
        <w:t xml:space="preserve">ir pievēršama uzmanība iestādes sniegtā pamatojuma kvalitātei, proti, vai aizliegums patiešām ir pamatots ar </w:t>
      </w:r>
      <w:r w:rsidR="00F92358">
        <w:t>t</w:t>
      </w:r>
      <w:r w:rsidR="00E65565">
        <w:t>ādiem</w:t>
      </w:r>
      <w:r w:rsidR="00F92358">
        <w:t xml:space="preserve"> </w:t>
      </w:r>
      <w:r w:rsidR="001F41CC">
        <w:t>būtiskiem apstākļiem, kas var būt par pamatu pieteiktā pasākuma aizliegumam,</w:t>
      </w:r>
      <w:r w:rsidR="00F92358">
        <w:t xml:space="preserve"> un vai aizlieguma pamatojums </w:t>
      </w:r>
      <w:r w:rsidR="00E65565">
        <w:t xml:space="preserve">ir </w:t>
      </w:r>
      <w:r w:rsidR="00F92358">
        <w:t>pietiekams.</w:t>
      </w:r>
    </w:p>
    <w:p w14:paraId="49223FF0" w14:textId="51F25A75" w:rsidR="00613834" w:rsidRDefault="00FD3670" w:rsidP="00BE3E82">
      <w:pPr>
        <w:spacing w:line="276" w:lineRule="auto"/>
        <w:ind w:firstLine="720"/>
        <w:jc w:val="both"/>
      </w:pPr>
      <w:r>
        <w:t xml:space="preserve">Tas attiecināms arī uz konkrēto gadījumu, kad pieteicējs bija iecerējis rīkot </w:t>
      </w:r>
      <w:r w:rsidR="00972717">
        <w:t xml:space="preserve">piketu </w:t>
      </w:r>
      <w:r>
        <w:t xml:space="preserve">2024.gada </w:t>
      </w:r>
      <w:r w:rsidR="00BC2F9A">
        <w:t xml:space="preserve">6.janvārī, savukārt pašvaldība par aizliegumu lēma 2024.gada 5.janvārī. Pieteicēja pieteikums Administratīvajā rajona tiesā </w:t>
      </w:r>
      <w:r w:rsidR="00F0105B">
        <w:t>tika</w:t>
      </w:r>
      <w:r w:rsidR="00BC2F9A">
        <w:t xml:space="preserve"> saņemts 2024.gada 29.janvārī</w:t>
      </w:r>
      <w:r w:rsidR="00972717">
        <w:t>,</w:t>
      </w:r>
      <w:r w:rsidR="00BC2F9A">
        <w:t xml:space="preserve"> un attiecīgi reāli nav bijusi iespējama pieteicēja iecerētā piketa norise viņam vēlamajā laikā un vietā. Pārbaudot pašvaldības aizlieguma tiesiskumu, tiesai ir jāpievērš </w:t>
      </w:r>
      <w:r w:rsidR="00321E9D">
        <w:t xml:space="preserve">pastiprināta </w:t>
      </w:r>
      <w:r w:rsidR="00BC2F9A">
        <w:t xml:space="preserve">uzmanība pamatojuma principa un Administratīvā procesa likuma </w:t>
      </w:r>
      <w:r w:rsidR="00321E9D">
        <w:t>250.panta otrās daļas prasībām.</w:t>
      </w:r>
      <w:r w:rsidR="00D17034">
        <w:t xml:space="preserve"> </w:t>
      </w:r>
      <w:r w:rsidR="00D17034" w:rsidRPr="00884320">
        <w:t xml:space="preserve">Proti, precīzi jākonstatē tie apstākļi, uz kuru pamata noteikts piketa aizliegums, un jāpārbauda </w:t>
      </w:r>
      <w:r w:rsidR="00F74473" w:rsidRPr="00884320">
        <w:t>to pietiekamība, lai atzītu pieteiktā piketa aizliegumu par tiesisku.</w:t>
      </w:r>
      <w:r w:rsidR="00CA6657" w:rsidRPr="00884320">
        <w:t xml:space="preserve"> </w:t>
      </w:r>
      <w:r w:rsidR="00613834" w:rsidRPr="00884320">
        <w:t xml:space="preserve">Tiesai vajadzētu novērtēt visus iespējamos šķēršļus pulcēšanās pasākuma sekmīgai norisei (arī tādus, kuri nav minēti pašvaldības lēmumā) tad, ja personai labvēlīgs tiesas spriedums būtu pirms pieteiktā pulcēšanās pasākuma, kad, tiesai atceļot pašvaldības lēmumu, persona varētu īstenot savu pulcēšanās </w:t>
      </w:r>
      <w:r w:rsidR="00613834" w:rsidRPr="00F83314">
        <w:t>brīvību</w:t>
      </w:r>
      <w:r w:rsidR="00A809C2" w:rsidRPr="00F83314">
        <w:t xml:space="preserve">, un </w:t>
      </w:r>
      <w:r w:rsidR="00884320" w:rsidRPr="00F83314">
        <w:t xml:space="preserve">nepieciešamības gadījumā </w:t>
      </w:r>
      <w:r w:rsidR="00A809C2" w:rsidRPr="00F83314">
        <w:t>atbilstoši Administratīvā procesa likuma 253.panta sestajai daļai dot norādes pašvaldībai jauna administratīvā akta izdošanai</w:t>
      </w:r>
      <w:r w:rsidR="00613834" w:rsidRPr="00F83314">
        <w:t xml:space="preserve">. Taču </w:t>
      </w:r>
      <w:r w:rsidR="00697B67" w:rsidRPr="00F83314">
        <w:t>konkrētajā</w:t>
      </w:r>
      <w:r w:rsidR="00697B67" w:rsidRPr="00884320">
        <w:t xml:space="preserve"> gadījumā lieta ir par pārsūdzētā lēmuma atzīšanu par prettiesisku un šāds </w:t>
      </w:r>
      <w:r w:rsidR="002438A6" w:rsidRPr="00884320">
        <w:t xml:space="preserve">plašāks </w:t>
      </w:r>
      <w:r w:rsidR="00697B67" w:rsidRPr="00884320">
        <w:t>vērtējums nav pieļaujams</w:t>
      </w:r>
      <w:r w:rsidR="00D17034" w:rsidRPr="00884320">
        <w:t>.</w:t>
      </w:r>
    </w:p>
    <w:p w14:paraId="0C9B989F" w14:textId="77777777" w:rsidR="00AD3F5B" w:rsidRDefault="00AD3F5B" w:rsidP="00BE3E82">
      <w:pPr>
        <w:spacing w:line="276" w:lineRule="auto"/>
        <w:ind w:firstLine="720"/>
        <w:jc w:val="both"/>
      </w:pPr>
    </w:p>
    <w:p w14:paraId="6D01C192" w14:textId="0DBE6F6F" w:rsidR="00AD3F5B" w:rsidRDefault="00AD3F5B" w:rsidP="00BE3E82">
      <w:pPr>
        <w:spacing w:line="276" w:lineRule="auto"/>
        <w:ind w:firstLine="720"/>
        <w:jc w:val="both"/>
        <w:rPr>
          <w:rFonts w:asciiTheme="majorBidi" w:hAnsiTheme="majorBidi" w:cstheme="majorBidi"/>
        </w:rPr>
      </w:pPr>
      <w:r>
        <w:rPr>
          <w:rFonts w:asciiTheme="majorBidi" w:hAnsiTheme="majorBidi" w:cstheme="majorBidi"/>
        </w:rPr>
        <w:t>[</w:t>
      </w:r>
      <w:r w:rsidR="007D0D38">
        <w:rPr>
          <w:rFonts w:asciiTheme="majorBidi" w:hAnsiTheme="majorBidi" w:cstheme="majorBidi"/>
        </w:rPr>
        <w:t>12</w:t>
      </w:r>
      <w:r>
        <w:rPr>
          <w:rFonts w:asciiTheme="majorBidi" w:hAnsiTheme="majorBidi" w:cstheme="majorBidi"/>
        </w:rPr>
        <w:t>] </w:t>
      </w:r>
      <w:r w:rsidR="005B3E0E">
        <w:rPr>
          <w:rFonts w:asciiTheme="majorBidi" w:hAnsiTheme="majorBidi" w:cstheme="majorBidi"/>
        </w:rPr>
        <w:t xml:space="preserve">Konkrētajā gadījumā </w:t>
      </w:r>
      <w:r w:rsidR="009B33FD">
        <w:rPr>
          <w:rFonts w:asciiTheme="majorBidi" w:hAnsiTheme="majorBidi" w:cstheme="majorBidi"/>
        </w:rPr>
        <w:t>Senāt</w:t>
      </w:r>
      <w:r w:rsidR="00DC461E">
        <w:rPr>
          <w:rFonts w:asciiTheme="majorBidi" w:hAnsiTheme="majorBidi" w:cstheme="majorBidi"/>
        </w:rPr>
        <w:t>s</w:t>
      </w:r>
      <w:r w:rsidR="009B33FD">
        <w:rPr>
          <w:rFonts w:asciiTheme="majorBidi" w:hAnsiTheme="majorBidi" w:cstheme="majorBidi"/>
        </w:rPr>
        <w:t xml:space="preserve"> </w:t>
      </w:r>
      <w:r w:rsidR="00DC461E">
        <w:rPr>
          <w:rFonts w:asciiTheme="majorBidi" w:hAnsiTheme="majorBidi" w:cstheme="majorBidi"/>
        </w:rPr>
        <w:t>konstatē, ka</w:t>
      </w:r>
      <w:r w:rsidR="009B33FD">
        <w:rPr>
          <w:rFonts w:asciiTheme="majorBidi" w:hAnsiTheme="majorBidi" w:cstheme="majorBidi"/>
        </w:rPr>
        <w:t xml:space="preserve"> rajona tiesa gadījumos, kad skarts jautājums par </w:t>
      </w:r>
      <w:r w:rsidR="007E33ED">
        <w:rPr>
          <w:rFonts w:asciiTheme="majorBidi" w:hAnsiTheme="majorBidi" w:cstheme="majorBidi"/>
        </w:rPr>
        <w:t xml:space="preserve">strīdus </w:t>
      </w:r>
      <w:r w:rsidR="009B33FD">
        <w:rPr>
          <w:rFonts w:asciiTheme="majorBidi" w:hAnsiTheme="majorBidi" w:cstheme="majorBidi"/>
        </w:rPr>
        <w:t>saukļa miermīlīgumu un attiecīgi piketa aizlieguma tiesiskumu, atsaukusies nevis uz p</w:t>
      </w:r>
      <w:r w:rsidR="00790251">
        <w:rPr>
          <w:rFonts w:asciiTheme="majorBidi" w:hAnsiTheme="majorBidi" w:cstheme="majorBidi"/>
        </w:rPr>
        <w:t>ārsūdzēto</w:t>
      </w:r>
      <w:r w:rsidR="009B33FD">
        <w:rPr>
          <w:rFonts w:asciiTheme="majorBidi" w:hAnsiTheme="majorBidi" w:cstheme="majorBidi"/>
        </w:rPr>
        <w:t xml:space="preserve"> lēmumu, bet gan pašvaldības sniegtajiem paskaidrojumiem tiesai (</w:t>
      </w:r>
      <w:r w:rsidR="00D41FC8" w:rsidRPr="007F1240">
        <w:rPr>
          <w:rFonts w:asciiTheme="majorBidi" w:hAnsiTheme="majorBidi" w:cstheme="majorBidi"/>
          <w:i/>
          <w:iCs/>
        </w:rPr>
        <w:t xml:space="preserve">pārsūdzētā sprieduma </w:t>
      </w:r>
      <w:r w:rsidR="002F6375" w:rsidRPr="007F1240">
        <w:rPr>
          <w:rFonts w:asciiTheme="majorBidi" w:hAnsiTheme="majorBidi" w:cstheme="majorBidi"/>
          <w:i/>
          <w:iCs/>
        </w:rPr>
        <w:t xml:space="preserve">12. un </w:t>
      </w:r>
      <w:r w:rsidR="00E865A0" w:rsidRPr="007F1240">
        <w:rPr>
          <w:rFonts w:asciiTheme="majorBidi" w:hAnsiTheme="majorBidi" w:cstheme="majorBidi"/>
          <w:i/>
          <w:iCs/>
        </w:rPr>
        <w:t>16.punkts</w:t>
      </w:r>
      <w:r w:rsidR="00E865A0">
        <w:rPr>
          <w:rFonts w:asciiTheme="majorBidi" w:hAnsiTheme="majorBidi" w:cstheme="majorBidi"/>
        </w:rPr>
        <w:t>).</w:t>
      </w:r>
      <w:r w:rsidR="007F1240">
        <w:rPr>
          <w:rFonts w:asciiTheme="majorBidi" w:hAnsiTheme="majorBidi" w:cstheme="majorBidi"/>
        </w:rPr>
        <w:t xml:space="preserve"> Tāpat rajona tiesa, atreferējot pārsūdzētā lēmuma saturu, </w:t>
      </w:r>
      <w:r w:rsidR="001B7846">
        <w:rPr>
          <w:rFonts w:asciiTheme="majorBidi" w:hAnsiTheme="majorBidi" w:cstheme="majorBidi"/>
        </w:rPr>
        <w:t>nav identificējusi jautājumu par pieteikto piketu kā miermīlīg</w:t>
      </w:r>
      <w:r w:rsidR="0031041F">
        <w:rPr>
          <w:rFonts w:asciiTheme="majorBidi" w:hAnsiTheme="majorBidi" w:cstheme="majorBidi"/>
        </w:rPr>
        <w:t>as</w:t>
      </w:r>
      <w:r w:rsidR="001B7846">
        <w:rPr>
          <w:rFonts w:asciiTheme="majorBidi" w:hAnsiTheme="majorBidi" w:cstheme="majorBidi"/>
        </w:rPr>
        <w:t xml:space="preserve"> pulcēšanās brīvības izpausmi saistībā ar potenciālu </w:t>
      </w:r>
      <w:r w:rsidR="00B6143A">
        <w:rPr>
          <w:rFonts w:asciiTheme="majorBidi" w:hAnsiTheme="majorBidi" w:cstheme="majorBidi"/>
        </w:rPr>
        <w:t xml:space="preserve">strīdus </w:t>
      </w:r>
      <w:r w:rsidR="001B7846">
        <w:rPr>
          <w:rFonts w:asciiTheme="majorBidi" w:hAnsiTheme="majorBidi" w:cstheme="majorBidi"/>
        </w:rPr>
        <w:t>saukļa lietojumu (</w:t>
      </w:r>
      <w:r w:rsidR="001B7846" w:rsidRPr="00363C72">
        <w:rPr>
          <w:rFonts w:asciiTheme="majorBidi" w:hAnsiTheme="majorBidi" w:cstheme="majorBidi"/>
          <w:i/>
          <w:iCs/>
        </w:rPr>
        <w:t>pārsūdzētā sprieduma 1.punkts</w:t>
      </w:r>
      <w:r w:rsidR="001B7846">
        <w:rPr>
          <w:rFonts w:asciiTheme="majorBidi" w:hAnsiTheme="majorBidi" w:cstheme="majorBidi"/>
        </w:rPr>
        <w:t>).</w:t>
      </w:r>
    </w:p>
    <w:p w14:paraId="6DFA4162" w14:textId="336C3A50" w:rsidR="00072008" w:rsidRDefault="00363C72" w:rsidP="00BE3E82">
      <w:pPr>
        <w:spacing w:line="276" w:lineRule="auto"/>
        <w:ind w:firstLine="720"/>
        <w:jc w:val="both"/>
      </w:pPr>
      <w:r>
        <w:rPr>
          <w:rFonts w:asciiTheme="majorBidi" w:hAnsiTheme="majorBidi" w:cstheme="majorBidi"/>
        </w:rPr>
        <w:t xml:space="preserve">Iepazīstoties </w:t>
      </w:r>
      <w:r w:rsidR="002C1824">
        <w:rPr>
          <w:rFonts w:asciiTheme="majorBidi" w:hAnsiTheme="majorBidi" w:cstheme="majorBidi"/>
        </w:rPr>
        <w:t>ar pārsūdzēto lēmumu</w:t>
      </w:r>
      <w:r w:rsidR="007D0D38">
        <w:rPr>
          <w:rFonts w:asciiTheme="majorBidi" w:hAnsiTheme="majorBidi" w:cstheme="majorBidi"/>
        </w:rPr>
        <w:t xml:space="preserve">, </w:t>
      </w:r>
      <w:r w:rsidR="00743335">
        <w:rPr>
          <w:rFonts w:asciiTheme="majorBidi" w:hAnsiTheme="majorBidi" w:cstheme="majorBidi"/>
        </w:rPr>
        <w:t xml:space="preserve">Senāts konstatē, </w:t>
      </w:r>
      <w:r w:rsidR="00D8696E">
        <w:rPr>
          <w:rFonts w:asciiTheme="majorBidi" w:hAnsiTheme="majorBidi" w:cstheme="majorBidi"/>
        </w:rPr>
        <w:t xml:space="preserve">ka </w:t>
      </w:r>
      <w:r w:rsidR="003D0456">
        <w:rPr>
          <w:rFonts w:asciiTheme="majorBidi" w:hAnsiTheme="majorBidi" w:cstheme="majorBidi"/>
        </w:rPr>
        <w:t>sauklis „No upes līdz jūrai Palestīna būs brīva</w:t>
      </w:r>
      <w:r w:rsidR="00D8696E">
        <w:rPr>
          <w:rFonts w:asciiTheme="majorBidi" w:hAnsiTheme="majorBidi" w:cstheme="majorBidi"/>
        </w:rPr>
        <w:t>!</w:t>
      </w:r>
      <w:r w:rsidR="003D0456">
        <w:rPr>
          <w:rFonts w:asciiTheme="majorBidi" w:hAnsiTheme="majorBidi" w:cstheme="majorBidi"/>
        </w:rPr>
        <w:t>” skarts, atreferējot pieteicēja atbildes uz pašvaldības pārstāvju jautājumiem (</w:t>
      </w:r>
      <w:r w:rsidR="003D0456" w:rsidRPr="00801D90">
        <w:rPr>
          <w:i/>
          <w:iCs/>
        </w:rPr>
        <w:t>lietas 12.lp.</w:t>
      </w:r>
      <w:r w:rsidR="003D0456">
        <w:t xml:space="preserve">), </w:t>
      </w:r>
      <w:r w:rsidR="00C166FD">
        <w:t xml:space="preserve">kā arī, var pieļaut, netiešas norādes uz to sniegtas, vispārīgi atsaucoties uz </w:t>
      </w:r>
      <w:r w:rsidR="00DB6897">
        <w:t>„nevēlamiem blakus efektiem” un to, ka piketa mērķis „pirmšķietami nav viennozīmīgi interpretējams” (</w:t>
      </w:r>
      <w:r w:rsidR="00DB6897" w:rsidRPr="00801D90">
        <w:rPr>
          <w:i/>
          <w:iCs/>
        </w:rPr>
        <w:t>lietas 13.lp.</w:t>
      </w:r>
      <w:r w:rsidR="00386B8B" w:rsidRPr="00801D90">
        <w:rPr>
          <w:i/>
          <w:iCs/>
        </w:rPr>
        <w:t xml:space="preserve"> (</w:t>
      </w:r>
      <w:r w:rsidR="00C22EDC" w:rsidRPr="00801D90">
        <w:rPr>
          <w:i/>
          <w:iCs/>
        </w:rPr>
        <w:t xml:space="preserve">lapas </w:t>
      </w:r>
      <w:r w:rsidR="00386B8B" w:rsidRPr="00801D90">
        <w:rPr>
          <w:i/>
          <w:iCs/>
        </w:rPr>
        <w:t>otra puse)</w:t>
      </w:r>
      <w:r w:rsidR="00DB6897">
        <w:t>).</w:t>
      </w:r>
      <w:r w:rsidR="0027085D">
        <w:t xml:space="preserve"> Skaidrs arguments par to, ka izvēlētā saukļa dēļ pieteiktais pikets nebūs miermīlīgs, un tā izvērsts pamatojums konstatējams vien pašvaldības paskaidrojum</w:t>
      </w:r>
      <w:r w:rsidR="00D8696E">
        <w:t>o</w:t>
      </w:r>
      <w:r w:rsidR="0027085D">
        <w:t>s rajona tiesai (</w:t>
      </w:r>
      <w:r w:rsidR="00E603F7" w:rsidRPr="00801D90">
        <w:rPr>
          <w:i/>
          <w:iCs/>
        </w:rPr>
        <w:t>lietas 40.</w:t>
      </w:r>
      <w:r w:rsidR="00D8696E" w:rsidRPr="00801D90">
        <w:rPr>
          <w:i/>
          <w:iCs/>
        </w:rPr>
        <w:t>–</w:t>
      </w:r>
      <w:r w:rsidR="00E603F7" w:rsidRPr="00801D90">
        <w:rPr>
          <w:i/>
          <w:iCs/>
        </w:rPr>
        <w:t>42.lp.</w:t>
      </w:r>
      <w:r w:rsidR="00E603F7">
        <w:t>).</w:t>
      </w:r>
    </w:p>
    <w:p w14:paraId="15934235" w14:textId="3FC82F9E" w:rsidR="00072008" w:rsidRDefault="00660A13" w:rsidP="00BE3E82">
      <w:pPr>
        <w:spacing w:line="276" w:lineRule="auto"/>
        <w:ind w:firstLine="720"/>
        <w:jc w:val="both"/>
      </w:pPr>
      <w:r>
        <w:t xml:space="preserve">Ja pieteiktais </w:t>
      </w:r>
      <w:r w:rsidR="00072008">
        <w:t xml:space="preserve">pulcēšanās </w:t>
      </w:r>
      <w:r>
        <w:t xml:space="preserve">pasākums nav uzskatāms </w:t>
      </w:r>
      <w:r w:rsidR="00072008">
        <w:t xml:space="preserve">par miermīlīgu un tādēļ </w:t>
      </w:r>
      <w:r w:rsidR="00824421">
        <w:t xml:space="preserve">ir </w:t>
      </w:r>
      <w:r w:rsidR="00072008">
        <w:t>aizliedzam</w:t>
      </w:r>
      <w:r w:rsidR="00824421">
        <w:t>s</w:t>
      </w:r>
      <w:r w:rsidR="00072008">
        <w:t xml:space="preserve">, tas skaidri un </w:t>
      </w:r>
      <w:r w:rsidR="007D0EB6">
        <w:t>nepārprotami</w:t>
      </w:r>
      <w:r w:rsidR="00072008">
        <w:t xml:space="preserve"> norādāms </w:t>
      </w:r>
      <w:r w:rsidR="007D0EB6">
        <w:t xml:space="preserve">pašvaldības lēmumā, uz to arī balstot aizliegumu. </w:t>
      </w:r>
      <w:r w:rsidR="0099220A">
        <w:t xml:space="preserve">Senāts ņem vērā, </w:t>
      </w:r>
      <w:r w:rsidR="0036593E">
        <w:t xml:space="preserve">ka </w:t>
      </w:r>
      <w:r w:rsidR="00B3663B">
        <w:t>pašvaldība par piketa aizliegumu ir lēmusi steidzamības kārtībā (dienesta informācija saņemta tajā pašā dienā, kad pieņemts lēmums par pieteiktā piketa, kuram bija jānotiek nākamajā dienā</w:t>
      </w:r>
      <w:r w:rsidR="00802F31">
        <w:t>,</w:t>
      </w:r>
      <w:r w:rsidR="00802F31" w:rsidRPr="00802F31">
        <w:t xml:space="preserve"> </w:t>
      </w:r>
      <w:r w:rsidR="00802F31">
        <w:t>aizliegumu</w:t>
      </w:r>
      <w:r w:rsidR="002149D2">
        <w:t>, kā arī šajā dienā vēl organizēta sanāksme ar pieteicēju</w:t>
      </w:r>
      <w:r w:rsidR="00B3663B">
        <w:t xml:space="preserve">) </w:t>
      </w:r>
      <w:r w:rsidR="00C27194">
        <w:rPr>
          <w:rFonts w:asciiTheme="majorBidi" w:hAnsiTheme="majorBidi" w:cstheme="majorBidi"/>
        </w:rPr>
        <w:t>(</w:t>
      </w:r>
      <w:r w:rsidR="00C27194" w:rsidRPr="00801D90">
        <w:rPr>
          <w:i/>
          <w:iCs/>
        </w:rPr>
        <w:t>lietas 11.lp.</w:t>
      </w:r>
      <w:r w:rsidR="0002231B" w:rsidRPr="00801D90">
        <w:rPr>
          <w:i/>
          <w:iCs/>
        </w:rPr>
        <w:t xml:space="preserve"> (</w:t>
      </w:r>
      <w:r w:rsidR="00C22EDC" w:rsidRPr="00801D90">
        <w:rPr>
          <w:i/>
          <w:iCs/>
        </w:rPr>
        <w:t xml:space="preserve">lapas </w:t>
      </w:r>
      <w:r w:rsidR="0002231B" w:rsidRPr="00801D90">
        <w:rPr>
          <w:i/>
          <w:iCs/>
        </w:rPr>
        <w:t>otra puse)</w:t>
      </w:r>
      <w:r w:rsidR="00C27194">
        <w:t>). Vienlaikus, ņemot vērā pieņemtā lēmuma apjomu (</w:t>
      </w:r>
      <w:r w:rsidR="00C27194" w:rsidRPr="00801D90">
        <w:t>8 lappuses</w:t>
      </w:r>
      <w:r w:rsidR="00C27194">
        <w:t xml:space="preserve">) un detalizāciju, tostarp ar plašām norādēm uz administratīvo tiesu un </w:t>
      </w:r>
      <w:r w:rsidR="00F93AF0">
        <w:t>Satversmes tiesas</w:t>
      </w:r>
      <w:r w:rsidR="00C27194">
        <w:t xml:space="preserve"> praksi, </w:t>
      </w:r>
      <w:r w:rsidR="005C6C87">
        <w:t xml:space="preserve">nebūtu vietā arguments, ka pašvaldībai </w:t>
      </w:r>
      <w:r w:rsidR="00802F31">
        <w:t>ne</w:t>
      </w:r>
      <w:r w:rsidR="005C6C87">
        <w:t>bija pietiekam</w:t>
      </w:r>
      <w:r w:rsidR="00802F31">
        <w:t>i daudz</w:t>
      </w:r>
      <w:r w:rsidR="005C6C87">
        <w:t xml:space="preserve"> laik</w:t>
      </w:r>
      <w:r w:rsidR="00802F31">
        <w:t>a</w:t>
      </w:r>
      <w:r w:rsidR="005C6C87">
        <w:t xml:space="preserve"> precīzai pieteiktā piketa aizlieguma pamata uzrādīšanai un pamatošanai.</w:t>
      </w:r>
    </w:p>
    <w:p w14:paraId="3297240D" w14:textId="6A956361" w:rsidR="006D5530" w:rsidRDefault="00660A13" w:rsidP="00BE3E82">
      <w:pPr>
        <w:spacing w:line="276" w:lineRule="auto"/>
        <w:ind w:firstLine="720"/>
        <w:jc w:val="both"/>
      </w:pPr>
      <w:r>
        <w:t xml:space="preserve">Senāts arī konstatē, ka </w:t>
      </w:r>
      <w:r w:rsidR="00F14C79">
        <w:t>p</w:t>
      </w:r>
      <w:r w:rsidR="00302D8E">
        <w:t>ārsūdzētā</w:t>
      </w:r>
      <w:r w:rsidR="00F14C79">
        <w:t xml:space="preserve"> lēmuma kopsavilkumā, kurā ietverti apsvērumi, kādēļ nav pieļaujams pieteiktais pikets, nav uzrādīta tā </w:t>
      </w:r>
      <w:r w:rsidR="004612A8">
        <w:t xml:space="preserve">esība </w:t>
      </w:r>
      <w:r w:rsidR="00F14C79">
        <w:t xml:space="preserve">ārpus miermīlīgas pulcēšanās brīvības </w:t>
      </w:r>
      <w:r w:rsidR="007D6CD7">
        <w:t xml:space="preserve">tvēruma </w:t>
      </w:r>
      <w:r w:rsidR="00F14C79">
        <w:t xml:space="preserve">un iespējami vardarbīgais raksturs saistībā ar potenciāli </w:t>
      </w:r>
      <w:r w:rsidR="000A6649">
        <w:t xml:space="preserve">lietojamo </w:t>
      </w:r>
      <w:r w:rsidR="00181CA5">
        <w:t xml:space="preserve">strīdus </w:t>
      </w:r>
      <w:r w:rsidR="00F14C79">
        <w:t xml:space="preserve">saukli. </w:t>
      </w:r>
      <w:r w:rsidR="00D5535C">
        <w:t>Šajā pamatojumā norādītie apstākļi attiecas uz pieteicēja spējām prognozēt pieteiktā piketa apmeklētāju skaitu un tajā lietoto saukļu, lozungu un transparentu saturu, kā arī nodrošināt tā miermīlīgu norisi, pārvaldot iespējamos riska faktorus, kas varētu būt saistīti ar piketa norisi (</w:t>
      </w:r>
      <w:r w:rsidR="00496A80" w:rsidRPr="00801D90">
        <w:rPr>
          <w:i/>
          <w:iCs/>
        </w:rPr>
        <w:t>lietas 14.lp.</w:t>
      </w:r>
      <w:r w:rsidR="00496A80">
        <w:t>).</w:t>
      </w:r>
      <w:r w:rsidR="006D5530">
        <w:t xml:space="preserve"> Š</w:t>
      </w:r>
      <w:r w:rsidR="004612A8">
        <w:t>ī</w:t>
      </w:r>
      <w:r w:rsidR="006D5530">
        <w:t>s norādes vairāk liecina par subjektīviem (no pieteicēja prasmēm, pieredzes un izpratnes atkarīgiem) šķēršļiem pieteiktā piketa norisei, nevis objektīvi pastāvošiem šķēršļiem, kas pieteikto piketu liedz atzīt par miermīlīgu un tādēļ pieļaujamu.</w:t>
      </w:r>
    </w:p>
    <w:p w14:paraId="5F989296" w14:textId="6663DFDD" w:rsidR="00660A13" w:rsidRDefault="006D5530" w:rsidP="00BE3E82">
      <w:pPr>
        <w:spacing w:line="276" w:lineRule="auto"/>
        <w:ind w:firstLine="720"/>
        <w:jc w:val="both"/>
      </w:pPr>
      <w:r>
        <w:t xml:space="preserve">Norādes uz „nevēlamiem blakus efektiem” nav pietiekamas, lai konstatētu, ka pašvaldība pārsūdzēto lēmumu pienācīgi pamatojusi ar to, ka pieteiktais pikets nebūs </w:t>
      </w:r>
      <w:r w:rsidRPr="00BC4036">
        <w:t xml:space="preserve">miermīlīgs, proti, ar tajā potenciāli </w:t>
      </w:r>
      <w:r w:rsidR="00984DD1" w:rsidRPr="00BC4036">
        <w:t xml:space="preserve">lietojamā </w:t>
      </w:r>
      <w:r w:rsidR="00B17F46" w:rsidRPr="00BC4036">
        <w:t xml:space="preserve">strīdus </w:t>
      </w:r>
      <w:r w:rsidRPr="00BC4036">
        <w:t xml:space="preserve">saukļa satura izvērtējumu. </w:t>
      </w:r>
      <w:r w:rsidR="00DD7642" w:rsidRPr="00BC4036">
        <w:t xml:space="preserve">Arī vispārīgas norādes uz iespējamu sabiedriskās kārtības un drošības apdraudējumu neliecina par to, ka pašvaldība lēmumu pamatojusi ar secinājumu, ka kontekstā ar strīdus saukļa </w:t>
      </w:r>
      <w:r w:rsidR="00833D86" w:rsidRPr="00BC4036">
        <w:t xml:space="preserve">iespējamu </w:t>
      </w:r>
      <w:r w:rsidR="00984DD1" w:rsidRPr="00BC4036">
        <w:t xml:space="preserve">lietošanu </w:t>
      </w:r>
      <w:r w:rsidR="00DD7642" w:rsidRPr="00BC4036">
        <w:t>pašvaldība pieteikto pasākumu atzīst par nepieļaujamu.</w:t>
      </w:r>
    </w:p>
    <w:p w14:paraId="5EEDB66F" w14:textId="115BD0A5" w:rsidR="00817056" w:rsidRPr="0025166A" w:rsidRDefault="00D82D45" w:rsidP="00BE3E82">
      <w:pPr>
        <w:spacing w:line="276" w:lineRule="auto"/>
        <w:ind w:firstLine="720"/>
        <w:jc w:val="both"/>
        <w:rPr>
          <w:rFonts w:asciiTheme="majorBidi" w:hAnsiTheme="majorBidi" w:cstheme="majorBidi"/>
        </w:rPr>
      </w:pPr>
      <w:r>
        <w:t xml:space="preserve">Ņemot vērā iepriekš minēto, </w:t>
      </w:r>
      <w:r w:rsidR="00442FBD">
        <w:t xml:space="preserve">Senāts </w:t>
      </w:r>
      <w:r w:rsidR="00442FBD" w:rsidRPr="009736E0">
        <w:t xml:space="preserve">atzīst, ka tiesa ir mainījusi administratīvā akta pamatojumu un </w:t>
      </w:r>
      <w:r w:rsidR="00442FBD">
        <w:t>tādējādi</w:t>
      </w:r>
      <w:r w:rsidR="00442FBD" w:rsidRPr="009736E0">
        <w:t xml:space="preserve"> pārkāpusi Administratīvā procesa</w:t>
      </w:r>
      <w:r w:rsidR="00442FBD">
        <w:t xml:space="preserve"> </w:t>
      </w:r>
      <w:r w:rsidR="00442FBD" w:rsidRPr="009736E0">
        <w:t>likuma 250.panta otro daļu</w:t>
      </w:r>
      <w:r w:rsidR="00442FBD">
        <w:t>. Šis tiesību normas pārkāpums ir pietiekams pamats pārsūdzētā sprieduma atcelšanai, jo tas varētu būt novedis pie nepareizas lietas izspriešanas.</w:t>
      </w:r>
    </w:p>
    <w:p w14:paraId="0CB8E75F" w14:textId="77777777" w:rsidR="00ED20A9" w:rsidRDefault="00ED20A9" w:rsidP="00BE3E82">
      <w:pPr>
        <w:spacing w:line="276" w:lineRule="auto"/>
        <w:ind w:firstLine="720"/>
        <w:jc w:val="both"/>
        <w:rPr>
          <w:lang w:eastAsia="lv-LV"/>
        </w:rPr>
      </w:pPr>
    </w:p>
    <w:p w14:paraId="398A9A5A" w14:textId="551F95CB" w:rsidR="0067553F" w:rsidRDefault="0067553F" w:rsidP="00BE3E82">
      <w:pPr>
        <w:spacing w:line="276" w:lineRule="auto"/>
        <w:ind w:firstLine="720"/>
        <w:jc w:val="both"/>
        <w:rPr>
          <w:i/>
          <w:iCs/>
          <w:lang w:eastAsia="lv-LV"/>
        </w:rPr>
      </w:pPr>
      <w:r>
        <w:rPr>
          <w:i/>
          <w:iCs/>
          <w:lang w:eastAsia="lv-LV"/>
        </w:rPr>
        <w:t xml:space="preserve">Par piketa organizatora un </w:t>
      </w:r>
      <w:r w:rsidR="00BB16D6">
        <w:rPr>
          <w:i/>
          <w:iCs/>
          <w:lang w:eastAsia="lv-LV"/>
        </w:rPr>
        <w:t xml:space="preserve">valsts </w:t>
      </w:r>
      <w:r>
        <w:rPr>
          <w:i/>
          <w:iCs/>
          <w:lang w:eastAsia="lv-LV"/>
        </w:rPr>
        <w:t>pienākumiem piketa norisē</w:t>
      </w:r>
    </w:p>
    <w:p w14:paraId="30C28186" w14:textId="7B85E662" w:rsidR="0067553F" w:rsidRDefault="00EC04FC" w:rsidP="00BE3E82">
      <w:pPr>
        <w:spacing w:line="276" w:lineRule="auto"/>
        <w:ind w:firstLine="720"/>
        <w:jc w:val="both"/>
      </w:pPr>
      <w:r>
        <w:rPr>
          <w:lang w:eastAsia="lv-LV"/>
        </w:rPr>
        <w:t>[</w:t>
      </w:r>
      <w:r w:rsidR="00F16638">
        <w:rPr>
          <w:lang w:eastAsia="lv-LV"/>
        </w:rPr>
        <w:t>13</w:t>
      </w:r>
      <w:r>
        <w:rPr>
          <w:lang w:eastAsia="lv-LV"/>
        </w:rPr>
        <w:t>] </w:t>
      </w:r>
      <w:r w:rsidR="00275D99">
        <w:rPr>
          <w:lang w:eastAsia="lv-LV"/>
        </w:rPr>
        <w:t xml:space="preserve">Pieteicējs kasācijas sūdzībā norādījis, </w:t>
      </w:r>
      <w:r w:rsidR="00501EB6">
        <w:rPr>
          <w:lang w:eastAsia="lv-LV"/>
        </w:rPr>
        <w:t xml:space="preserve">ka rajona tiesa nepareizi </w:t>
      </w:r>
      <w:r w:rsidR="00114410">
        <w:rPr>
          <w:lang w:eastAsia="lv-LV"/>
        </w:rPr>
        <w:t xml:space="preserve">iztulkojusi </w:t>
      </w:r>
      <w:r w:rsidR="00501EB6">
        <w:t>Sapulču likuma 15.panta trešo daļu, jo t</w:t>
      </w:r>
      <w:r w:rsidR="00D32B98">
        <w:t>ā</w:t>
      </w:r>
      <w:r w:rsidR="00501EB6">
        <w:t xml:space="preserve"> nenosaka tikai pieteicēja pienākumu sniegt informāciju, bet gan pieteicēja un pašvaldības sadarbību</w:t>
      </w:r>
      <w:r w:rsidR="00564570">
        <w:t>.</w:t>
      </w:r>
    </w:p>
    <w:p w14:paraId="3AFFEB00" w14:textId="293F1DA6" w:rsidR="00A73775" w:rsidRDefault="00A73775" w:rsidP="00BE3E82">
      <w:pPr>
        <w:spacing w:line="276" w:lineRule="auto"/>
        <w:ind w:firstLine="720"/>
        <w:jc w:val="both"/>
      </w:pPr>
      <w:r>
        <w:t>Rajona tiesa konstatējusi, ka pieteicējs nav bijis spējīgs sniegt pašvaldības pārstāvjiem visu nep</w:t>
      </w:r>
      <w:r w:rsidR="009E48E8">
        <w:t xml:space="preserve">ieciešamo informāciju 2024.gada 5.janvāra sanāksmes laikā un šā iemesla dēļ apdraudējis sekmīgu </w:t>
      </w:r>
      <w:r w:rsidR="00EB6199">
        <w:t>piketa norisi (</w:t>
      </w:r>
      <w:r w:rsidR="00A93D11" w:rsidRPr="00372605">
        <w:rPr>
          <w:i/>
          <w:iCs/>
        </w:rPr>
        <w:t xml:space="preserve">pārsūdzētā sprieduma </w:t>
      </w:r>
      <w:r w:rsidR="00B773DD" w:rsidRPr="00372605">
        <w:rPr>
          <w:i/>
          <w:iCs/>
        </w:rPr>
        <w:t>1</w:t>
      </w:r>
      <w:r w:rsidR="00ED3354">
        <w:rPr>
          <w:i/>
          <w:iCs/>
        </w:rPr>
        <w:t>7</w:t>
      </w:r>
      <w:r w:rsidR="00B773DD" w:rsidRPr="00372605">
        <w:rPr>
          <w:i/>
          <w:iCs/>
        </w:rPr>
        <w:t>.</w:t>
      </w:r>
      <w:r w:rsidR="00ED3354">
        <w:rPr>
          <w:i/>
          <w:iCs/>
        </w:rPr>
        <w:t>–18.</w:t>
      </w:r>
      <w:r w:rsidR="00B773DD" w:rsidRPr="00372605">
        <w:rPr>
          <w:i/>
          <w:iCs/>
        </w:rPr>
        <w:t>punkts</w:t>
      </w:r>
      <w:r w:rsidR="00B773DD">
        <w:t>).</w:t>
      </w:r>
    </w:p>
    <w:p w14:paraId="014F6E92" w14:textId="5E4811DE" w:rsidR="00B773DD" w:rsidRDefault="0051392A" w:rsidP="00BE3E82">
      <w:pPr>
        <w:spacing w:line="276" w:lineRule="auto"/>
        <w:ind w:firstLine="720"/>
        <w:jc w:val="both"/>
      </w:pPr>
      <w:r>
        <w:t>Šajā kontekstā Senāts konstatē, ka rajona tiesa attiecīgo vērtējumu veikusi papildus, jo tās secinājums, ka pārsūdzētais lēmums ir tiesisks, bija izdarīts jau iepriekš</w:t>
      </w:r>
      <w:r w:rsidR="00821E83">
        <w:t xml:space="preserve"> un balstīts</w:t>
      </w:r>
      <w:r>
        <w:t xml:space="preserve"> uz apsvērumu par pieteiktā piketa miermīlīgumu saistībā ar potenciāli </w:t>
      </w:r>
      <w:r w:rsidR="00984DD1">
        <w:t xml:space="preserve">lietojamo </w:t>
      </w:r>
      <w:r w:rsidR="00CE1809">
        <w:t xml:space="preserve">strīdus </w:t>
      </w:r>
      <w:r>
        <w:t>saukli</w:t>
      </w:r>
      <w:r w:rsidR="00F9623A">
        <w:t xml:space="preserve"> (</w:t>
      </w:r>
      <w:r w:rsidR="00F9623A" w:rsidRPr="00372605">
        <w:rPr>
          <w:i/>
          <w:iCs/>
        </w:rPr>
        <w:t>pārsūdzētā sprieduma 16.punkts</w:t>
      </w:r>
      <w:r w:rsidR="00F9623A">
        <w:t>)</w:t>
      </w:r>
      <w:r>
        <w:t>.</w:t>
      </w:r>
      <w:r w:rsidR="00E95EA4">
        <w:t xml:space="preserve"> Attiecīgi pieteicēja pārmetums tiesai nav pamatots, jo konkrētais secinājums ir izteikts pieteicēja un pašvaldības argumentu</w:t>
      </w:r>
      <w:r w:rsidR="00821E83">
        <w:t xml:space="preserve"> vērtējuma kontekstā</w:t>
      </w:r>
      <w:r w:rsidR="00E95EA4">
        <w:t>, nevis lai pamatotu pārsūdzētā lēmuma tiesiskumu.</w:t>
      </w:r>
    </w:p>
    <w:p w14:paraId="58ED9DD5" w14:textId="2DD36DF7" w:rsidR="00A61ED6" w:rsidRDefault="00485121" w:rsidP="00BE3E82">
      <w:pPr>
        <w:spacing w:line="276" w:lineRule="auto"/>
        <w:ind w:firstLine="720"/>
        <w:jc w:val="both"/>
      </w:pPr>
      <w:r>
        <w:t xml:space="preserve">Līdz ar to </w:t>
      </w:r>
      <w:r w:rsidR="00E4017E">
        <w:t>nav pietiekam</w:t>
      </w:r>
      <w:r w:rsidR="00F70D3C">
        <w:t>a</w:t>
      </w:r>
      <w:r w:rsidR="00E4017E">
        <w:t xml:space="preserve"> pamat</w:t>
      </w:r>
      <w:r w:rsidR="00F70D3C">
        <w:t>a</w:t>
      </w:r>
      <w:r w:rsidR="00E4017E">
        <w:t xml:space="preserve"> atzīt, ka pārsūdzētajā spriedumā </w:t>
      </w:r>
      <w:r>
        <w:t>būtu nepareizi interpretēta Sapulču likuma 15.panta trešā daļa</w:t>
      </w:r>
      <w:r w:rsidR="005749D9">
        <w:t>.</w:t>
      </w:r>
    </w:p>
    <w:p w14:paraId="027941D6" w14:textId="77777777" w:rsidR="00C4647F" w:rsidRDefault="00C4647F" w:rsidP="00BE3E82">
      <w:pPr>
        <w:spacing w:line="276" w:lineRule="auto"/>
        <w:ind w:firstLine="720"/>
        <w:jc w:val="both"/>
      </w:pPr>
    </w:p>
    <w:p w14:paraId="0CE9AEE7" w14:textId="5ED0637F" w:rsidR="00E95EA4" w:rsidRDefault="00C4647F" w:rsidP="00BE3E82">
      <w:pPr>
        <w:spacing w:line="276" w:lineRule="auto"/>
        <w:ind w:firstLine="720"/>
        <w:jc w:val="both"/>
      </w:pPr>
      <w:r>
        <w:t>[</w:t>
      </w:r>
      <w:r w:rsidR="00F16638">
        <w:t>14</w:t>
      </w:r>
      <w:r>
        <w:t>] </w:t>
      </w:r>
      <w:r w:rsidR="00A61ED6">
        <w:t>Senāts arī ņem vērā</w:t>
      </w:r>
      <w:r w:rsidR="00E95EA4">
        <w:t xml:space="preserve">, ka šajā </w:t>
      </w:r>
      <w:r w:rsidR="009A0D6B">
        <w:t>pārsūdzētā sprieduma</w:t>
      </w:r>
      <w:r w:rsidR="00E95EA4">
        <w:t xml:space="preserve"> daļā rajona tiesa par pamatotu atzinusi virkni pieteicēja argumentu, kas saistīti ar viņa kā pieteiktā piketa organizatora pienākumiem un valsts pozitīvajiem pienākumiem sekmīga</w:t>
      </w:r>
      <w:r w:rsidR="00A81184">
        <w:t>s</w:t>
      </w:r>
      <w:r w:rsidR="00E95EA4">
        <w:t xml:space="preserve"> pulcēšanās pasākuma norises nodrošināšanā (</w:t>
      </w:r>
      <w:r w:rsidR="00E95EA4" w:rsidRPr="009C5197">
        <w:rPr>
          <w:i/>
          <w:iCs/>
        </w:rPr>
        <w:t>pārsūdzētā sprieduma 18.punkts</w:t>
      </w:r>
      <w:r w:rsidR="00E95EA4">
        <w:t>).</w:t>
      </w:r>
      <w:r w:rsidR="009C5197">
        <w:t xml:space="preserve"> Rajona tiesas secinājumi par to atbilst Satversmes tiesas </w:t>
      </w:r>
      <w:r w:rsidR="00A81184">
        <w:t xml:space="preserve">praksē </w:t>
      </w:r>
      <w:r w:rsidR="009C5197">
        <w:t>konkretizētajām prasībām attiecībā uz valsts pozitīvo pienākumu</w:t>
      </w:r>
      <w:r w:rsidR="00B32941">
        <w:t xml:space="preserve">. Senāts atgādina Satversmes tiesas norādi, ka Satversmes 103.pants </w:t>
      </w:r>
      <w:r w:rsidR="003A6EBE">
        <w:t>uzliek</w:t>
      </w:r>
      <w:r w:rsidR="003A6EBE" w:rsidRPr="003A6EBE">
        <w:t xml:space="preserve"> valst</w:t>
      </w:r>
      <w:r w:rsidR="003A6EBE">
        <w:t>ij</w:t>
      </w:r>
      <w:r w:rsidR="00A81184">
        <w:t xml:space="preserve"> </w:t>
      </w:r>
      <w:r w:rsidR="003A6EBE">
        <w:t>pienākumu nodrošināt īstenotās pulcēšanās brīvības</w:t>
      </w:r>
      <w:r w:rsidR="003A6EBE" w:rsidRPr="003A6EBE">
        <w:t xml:space="preserve"> aizsardzību</w:t>
      </w:r>
      <w:r w:rsidR="003A6EBE">
        <w:t>, tostarp gādājot,</w:t>
      </w:r>
      <w:r w:rsidR="003A6EBE" w:rsidRPr="003A6EBE">
        <w:t xml:space="preserve"> lai personas, kas piedalās šādos pasākumos, būtu aizsargātas</w:t>
      </w:r>
      <w:r w:rsidR="009F3FD7">
        <w:t xml:space="preserve"> (</w:t>
      </w:r>
      <w:r w:rsidR="009F3FD7" w:rsidRPr="006C4AC1">
        <w:rPr>
          <w:i/>
          <w:iCs/>
        </w:rPr>
        <w:t xml:space="preserve">Satversmes tiesas 2006.gada 23.novembra sprieduma lietā Nr. 2006-03-0106 </w:t>
      </w:r>
      <w:r w:rsidR="009F3FD7">
        <w:rPr>
          <w:i/>
          <w:iCs/>
        </w:rPr>
        <w:t>34.3</w:t>
      </w:r>
      <w:r w:rsidR="009F3FD7" w:rsidRPr="006C4AC1">
        <w:rPr>
          <w:i/>
          <w:iCs/>
        </w:rPr>
        <w:t>.punkts</w:t>
      </w:r>
      <w:r w:rsidR="009F3FD7">
        <w:t>).</w:t>
      </w:r>
      <w:r w:rsidR="00E139F0">
        <w:t xml:space="preserve"> </w:t>
      </w:r>
      <w:r w:rsidR="00E139F0" w:rsidRPr="00E139F0">
        <w:t>Pulcēšanās brīvības aizsardzības labad valsts ir tiesīga pieprasīt, lai personas, kas vēlas šo brīvību izmantot, piedalās organizētā pasākuma aizsardzībā</w:t>
      </w:r>
      <w:r w:rsidR="00E139F0">
        <w:t>, t</w:t>
      </w:r>
      <w:r w:rsidR="00E139F0" w:rsidRPr="00E139F0">
        <w:t>omēr personu līdzdarbības pienākuma noteikšanai ir jābūt saprātīgai</w:t>
      </w:r>
      <w:r w:rsidR="007A2A64">
        <w:t xml:space="preserve"> (</w:t>
      </w:r>
      <w:r w:rsidR="007A2A64" w:rsidRPr="004B20CB">
        <w:rPr>
          <w:i/>
          <w:iCs/>
        </w:rPr>
        <w:t xml:space="preserve">turpat, </w:t>
      </w:r>
      <w:r w:rsidR="00412032" w:rsidRPr="004B20CB">
        <w:rPr>
          <w:i/>
          <w:iCs/>
        </w:rPr>
        <w:t>34.4.punkts</w:t>
      </w:r>
      <w:r w:rsidR="00412032">
        <w:t>).</w:t>
      </w:r>
    </w:p>
    <w:p w14:paraId="5EA03CE5" w14:textId="5F055867" w:rsidR="00412032" w:rsidRDefault="00412032" w:rsidP="00BE3E82">
      <w:pPr>
        <w:spacing w:line="276" w:lineRule="auto"/>
        <w:ind w:firstLine="720"/>
        <w:jc w:val="both"/>
      </w:pPr>
      <w:r>
        <w:t>T</w:t>
      </w:r>
      <w:r w:rsidR="009C7D09">
        <w:t>as</w:t>
      </w:r>
      <w:r>
        <w:t xml:space="preserve">, vai konkrētajā gadījumā ir noteikts pienācīgs līdzsvars starp pieteicēja kā organizatora pienākumiem un valsts </w:t>
      </w:r>
      <w:r w:rsidR="00DD7642">
        <w:t xml:space="preserve">pozitīvajiem </w:t>
      </w:r>
      <w:r>
        <w:t>pienākumiem, jāpārbauda rajona tiesai, atkārtoti izskatot lietu no jauna. Tāpat rajona tiesai jānovērtē pamatojuma, kas sniegts pārsūdzētajā lēmumā, pietiekamība pieteiktā piketa aizliegšanai, tostarp vērtējot argumentus, kas attiecas uz pieteicēja spējām sekmīgi īstenot pieteikto piketu un valsts pozitīvo pienākumu apjomu.</w:t>
      </w:r>
    </w:p>
    <w:p w14:paraId="3C8824FC" w14:textId="7E288D2D" w:rsidR="00FD6A57" w:rsidRDefault="00FD6A57" w:rsidP="00BE3E82">
      <w:pPr>
        <w:spacing w:line="276" w:lineRule="auto"/>
        <w:rPr>
          <w:i/>
          <w:iCs/>
        </w:rPr>
      </w:pPr>
    </w:p>
    <w:p w14:paraId="23B905A2" w14:textId="57038167" w:rsidR="008752CA" w:rsidRPr="00B85851" w:rsidRDefault="008752CA" w:rsidP="00BE3E82">
      <w:pPr>
        <w:spacing w:line="276" w:lineRule="auto"/>
        <w:ind w:firstLine="720"/>
        <w:jc w:val="both"/>
        <w:rPr>
          <w:i/>
          <w:iCs/>
        </w:rPr>
      </w:pPr>
      <w:r w:rsidRPr="00B85851">
        <w:rPr>
          <w:i/>
          <w:iCs/>
        </w:rPr>
        <w:t>Secinājumi</w:t>
      </w:r>
    </w:p>
    <w:p w14:paraId="3FB8D756" w14:textId="232E662A" w:rsidR="0013045C" w:rsidRDefault="004F0B06" w:rsidP="00BE3E82">
      <w:pPr>
        <w:spacing w:line="276" w:lineRule="auto"/>
        <w:ind w:firstLine="720"/>
        <w:jc w:val="both"/>
      </w:pPr>
      <w:r>
        <w:t>[</w:t>
      </w:r>
      <w:r w:rsidR="00F16638">
        <w:t>15</w:t>
      </w:r>
      <w:r>
        <w:t>] </w:t>
      </w:r>
      <w:r w:rsidR="00B85851" w:rsidRPr="00B90F74">
        <w:t xml:space="preserve">Ievērojot, ka </w:t>
      </w:r>
      <w:r w:rsidR="00B85851">
        <w:t xml:space="preserve">pārsūdzētais </w:t>
      </w:r>
      <w:r w:rsidR="00B85851" w:rsidRPr="00B90F74">
        <w:t>spriedums atceļams sakarā ar administratīvā akta pamatojuma maiņu,</w:t>
      </w:r>
      <w:r w:rsidR="00B85851">
        <w:t xml:space="preserve"> </w:t>
      </w:r>
      <w:r w:rsidR="00B85851" w:rsidRPr="00B90F74">
        <w:t>nav</w:t>
      </w:r>
      <w:r w:rsidR="00B85851">
        <w:t xml:space="preserve"> </w:t>
      </w:r>
      <w:r w:rsidR="00B85851" w:rsidRPr="00B90F74">
        <w:t xml:space="preserve">lietderīgi </w:t>
      </w:r>
      <w:r w:rsidR="00FD61B8">
        <w:t xml:space="preserve">detalizēti </w:t>
      </w:r>
      <w:r w:rsidR="00B85851" w:rsidRPr="00B90F74">
        <w:t xml:space="preserve">vērtēt </w:t>
      </w:r>
      <w:r w:rsidR="00B85851">
        <w:t>citus kasācijas sūdzībā izteiktos iebildumus</w:t>
      </w:r>
      <w:r w:rsidR="00BB16D6">
        <w:t>.</w:t>
      </w:r>
    </w:p>
    <w:p w14:paraId="40B9F58F" w14:textId="2F54DBEE" w:rsidR="00564570" w:rsidRDefault="009C7D09" w:rsidP="00BE3E82">
      <w:pPr>
        <w:spacing w:line="276" w:lineRule="auto"/>
        <w:ind w:firstLine="720"/>
        <w:jc w:val="both"/>
      </w:pPr>
      <w:r>
        <w:t>S</w:t>
      </w:r>
      <w:r w:rsidR="00BB16D6">
        <w:t>aukļa „No upes līdz jūrai Palestīna būs brīva</w:t>
      </w:r>
      <w:r>
        <w:t>!</w:t>
      </w:r>
      <w:r w:rsidR="00BB16D6">
        <w:t xml:space="preserve">” detalizēts izvērtējums nav nepieciešams, jo pašvaldība pieteikto piketu nav aizliegusi tādēļ, ka tas nebūtu miermīlīgs saistībā ar konkrētā saukļa potenciālu </w:t>
      </w:r>
      <w:r w:rsidR="00984DD1">
        <w:t xml:space="preserve">lietošanu </w:t>
      </w:r>
      <w:r w:rsidR="00BB16D6">
        <w:t xml:space="preserve">piketā. Savukārt argumenti par pieteicēja un valsts </w:t>
      </w:r>
      <w:r w:rsidR="006134E2">
        <w:t>pienākumu sadali sekmīgai pulcēšanās brīvības īstenošanai konkrēt</w:t>
      </w:r>
      <w:r w:rsidR="001767D8">
        <w:t>aj</w:t>
      </w:r>
      <w:r w:rsidR="006134E2">
        <w:t>ā gadījumā pēc būtības vērtējami, no jauna izskatot lietu rajona tiesā.</w:t>
      </w:r>
    </w:p>
    <w:p w14:paraId="4AB6D612" w14:textId="77777777" w:rsidR="004C6362" w:rsidRPr="00EC04FC" w:rsidRDefault="004C6362" w:rsidP="00BE3E82">
      <w:pPr>
        <w:spacing w:line="276" w:lineRule="auto"/>
        <w:ind w:firstLine="720"/>
        <w:jc w:val="both"/>
        <w:rPr>
          <w:lang w:eastAsia="lv-LV"/>
        </w:rPr>
      </w:pPr>
    </w:p>
    <w:p w14:paraId="3EC0B46A" w14:textId="5E6C2FFB" w:rsidR="00A211B6" w:rsidRDefault="00A211B6" w:rsidP="00BE3E82">
      <w:pPr>
        <w:shd w:val="clear" w:color="auto" w:fill="FFFFFF"/>
        <w:spacing w:line="276" w:lineRule="auto"/>
        <w:jc w:val="center"/>
        <w:rPr>
          <w:b/>
        </w:rPr>
      </w:pPr>
      <w:r w:rsidRPr="00847F44">
        <w:rPr>
          <w:b/>
        </w:rPr>
        <w:t>Rezolutīvā daļa</w:t>
      </w:r>
    </w:p>
    <w:p w14:paraId="60DB374D" w14:textId="77777777" w:rsidR="004C6362" w:rsidRPr="00847F44" w:rsidRDefault="004C6362" w:rsidP="00BE3E82">
      <w:pPr>
        <w:shd w:val="clear" w:color="auto" w:fill="FFFFFF"/>
        <w:spacing w:line="276" w:lineRule="auto"/>
        <w:jc w:val="center"/>
        <w:rPr>
          <w:b/>
        </w:rPr>
      </w:pPr>
    </w:p>
    <w:p w14:paraId="6D329140" w14:textId="77777777" w:rsidR="00E176BA" w:rsidRPr="00E176BA" w:rsidRDefault="00E176BA" w:rsidP="00BE3E82">
      <w:pPr>
        <w:spacing w:line="276" w:lineRule="auto"/>
        <w:ind w:firstLine="720"/>
        <w:jc w:val="both"/>
      </w:pPr>
      <w:r w:rsidRPr="00E176BA">
        <w:t>Pamatojoties uz Administratīvā procesa likuma 129.</w:t>
      </w:r>
      <w:r w:rsidRPr="00E176BA">
        <w:rPr>
          <w:vertAlign w:val="superscript"/>
        </w:rPr>
        <w:t>1</w:t>
      </w:r>
      <w:r w:rsidRPr="00E176BA">
        <w:t>panta pirmās daļas 1.punktu, 348.panta pirmās daļas 2.punktu un 351.pantu, Senāts</w:t>
      </w:r>
    </w:p>
    <w:p w14:paraId="47FB3877" w14:textId="77777777" w:rsidR="00E176BA" w:rsidRPr="00E176BA" w:rsidRDefault="00E176BA" w:rsidP="00BE3E82">
      <w:pPr>
        <w:spacing w:line="276" w:lineRule="auto"/>
        <w:ind w:firstLine="720"/>
        <w:jc w:val="both"/>
      </w:pPr>
    </w:p>
    <w:p w14:paraId="0BB1FC95" w14:textId="77777777" w:rsidR="00E176BA" w:rsidRPr="00E176BA" w:rsidRDefault="00E176BA" w:rsidP="00BE3E82">
      <w:pPr>
        <w:spacing w:line="276" w:lineRule="auto"/>
        <w:jc w:val="center"/>
        <w:rPr>
          <w:b/>
        </w:rPr>
      </w:pPr>
      <w:r w:rsidRPr="00E176BA">
        <w:rPr>
          <w:b/>
        </w:rPr>
        <w:t>nosprieda</w:t>
      </w:r>
    </w:p>
    <w:p w14:paraId="4633A151" w14:textId="77777777" w:rsidR="00E176BA" w:rsidRPr="00E176BA" w:rsidRDefault="00E176BA" w:rsidP="00BE3E82">
      <w:pPr>
        <w:spacing w:line="276" w:lineRule="auto"/>
        <w:ind w:firstLine="720"/>
        <w:jc w:val="both"/>
        <w:rPr>
          <w:b/>
        </w:rPr>
      </w:pPr>
    </w:p>
    <w:p w14:paraId="45C07B50" w14:textId="4B4AF1CF" w:rsidR="00E176BA" w:rsidRPr="00E176BA" w:rsidRDefault="00E176BA" w:rsidP="00BE3E82">
      <w:pPr>
        <w:spacing w:line="276" w:lineRule="auto"/>
        <w:ind w:firstLine="720"/>
        <w:jc w:val="both"/>
      </w:pPr>
      <w:r w:rsidRPr="00E176BA">
        <w:t xml:space="preserve">atcelt Administratīvās </w:t>
      </w:r>
      <w:r w:rsidR="00E91013">
        <w:t>rajona tiesas</w:t>
      </w:r>
      <w:r w:rsidR="00E91013" w:rsidRPr="005A737B">
        <w:t xml:space="preserve"> </w:t>
      </w:r>
      <w:r w:rsidR="00A0485D" w:rsidRPr="001A24A7">
        <w:t>202</w:t>
      </w:r>
      <w:r w:rsidR="00A0485D">
        <w:t>4</w:t>
      </w:r>
      <w:r w:rsidR="00E91013" w:rsidRPr="001A24A7">
        <w:t xml:space="preserve">.gada </w:t>
      </w:r>
      <w:r w:rsidR="00A0485D">
        <w:t>30.maija</w:t>
      </w:r>
      <w:r w:rsidR="00E91013" w:rsidRPr="001A24A7">
        <w:t xml:space="preserve"> </w:t>
      </w:r>
      <w:r w:rsidR="00E91013" w:rsidRPr="005A737B">
        <w:t>spriedumu</w:t>
      </w:r>
      <w:r w:rsidR="00E91013" w:rsidRPr="00E176BA">
        <w:t xml:space="preserve"> </w:t>
      </w:r>
      <w:r w:rsidRPr="00E176BA">
        <w:t xml:space="preserve">un nodot lietu jaunai izskatīšanai Administratīvajai </w:t>
      </w:r>
      <w:r w:rsidR="00E91013">
        <w:t xml:space="preserve">rajona </w:t>
      </w:r>
      <w:r w:rsidRPr="00E176BA">
        <w:t>tiesai;</w:t>
      </w:r>
    </w:p>
    <w:p w14:paraId="04479292" w14:textId="46120D09" w:rsidR="00E176BA" w:rsidRPr="00E176BA" w:rsidRDefault="00E176BA" w:rsidP="00BE3E82">
      <w:pPr>
        <w:spacing w:line="276" w:lineRule="auto"/>
        <w:ind w:firstLine="720"/>
        <w:jc w:val="both"/>
      </w:pPr>
      <w:r w:rsidRPr="00E176BA">
        <w:t xml:space="preserve">atmaksāt </w:t>
      </w:r>
      <w:r w:rsidR="00C03C51">
        <w:t>biedrībai „Pingvīni”</w:t>
      </w:r>
      <w:r w:rsidR="00E91013">
        <w:t xml:space="preserve"> </w:t>
      </w:r>
      <w:r w:rsidRPr="00E176BA">
        <w:t>par kasācijas sūdzību samaksāto drošības naudu 70</w:t>
      </w:r>
      <w:r w:rsidR="004C6362">
        <w:t> </w:t>
      </w:r>
      <w:r w:rsidRPr="00E176BA">
        <w:rPr>
          <w:i/>
          <w:iCs/>
        </w:rPr>
        <w:t>euro</w:t>
      </w:r>
      <w:r w:rsidRPr="00E176BA">
        <w:t>.</w:t>
      </w:r>
    </w:p>
    <w:p w14:paraId="53386184" w14:textId="77777777" w:rsidR="00484F36" w:rsidRDefault="00484F36" w:rsidP="00BE3E82">
      <w:pPr>
        <w:spacing w:line="276" w:lineRule="auto"/>
        <w:ind w:firstLine="720"/>
        <w:jc w:val="both"/>
      </w:pPr>
    </w:p>
    <w:p w14:paraId="3EC0B479" w14:textId="6BF3AC5E" w:rsidR="00EA0E9C" w:rsidRPr="0051351A" w:rsidRDefault="00661211" w:rsidP="00BE3E82">
      <w:pPr>
        <w:spacing w:line="276" w:lineRule="auto"/>
        <w:ind w:firstLine="720"/>
        <w:rPr>
          <w:bCs/>
        </w:rPr>
      </w:pPr>
      <w:r w:rsidRPr="00661211">
        <w:t xml:space="preserve">Spriedums </w:t>
      </w:r>
      <w:r w:rsidRPr="00661211">
        <w:rPr>
          <w:bCs/>
        </w:rPr>
        <w:t>nav pārsūdzams.</w:t>
      </w:r>
    </w:p>
    <w:sectPr w:rsidR="00EA0E9C" w:rsidRPr="0051351A" w:rsidSect="00801D90">
      <w:footerReference w:type="default" r:id="rId14"/>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AA0AE" w14:textId="77777777" w:rsidR="002D5680" w:rsidRDefault="002D5680" w:rsidP="00F247AB">
      <w:r>
        <w:separator/>
      </w:r>
    </w:p>
  </w:endnote>
  <w:endnote w:type="continuationSeparator" w:id="0">
    <w:p w14:paraId="57169C6E" w14:textId="77777777" w:rsidR="002D5680" w:rsidRDefault="002D5680" w:rsidP="00F2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14080"/>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622CD9F5" w14:textId="52B73890" w:rsidR="00F247AB" w:rsidRDefault="00F247AB" w:rsidP="00216991">
            <w:pPr>
              <w:pStyle w:val="Footer"/>
              <w:jc w:val="center"/>
            </w:pPr>
            <w:r w:rsidRPr="00216991">
              <w:rPr>
                <w:sz w:val="20"/>
                <w:szCs w:val="20"/>
              </w:rPr>
              <w:fldChar w:fldCharType="begin"/>
            </w:r>
            <w:r w:rsidRPr="00216991">
              <w:rPr>
                <w:sz w:val="20"/>
                <w:szCs w:val="20"/>
              </w:rPr>
              <w:instrText xml:space="preserve"> PAGE </w:instrText>
            </w:r>
            <w:r w:rsidRPr="00216991">
              <w:rPr>
                <w:sz w:val="20"/>
                <w:szCs w:val="20"/>
              </w:rPr>
              <w:fldChar w:fldCharType="separate"/>
            </w:r>
            <w:r w:rsidRPr="00216991">
              <w:rPr>
                <w:noProof/>
                <w:sz w:val="20"/>
                <w:szCs w:val="20"/>
              </w:rPr>
              <w:t>2</w:t>
            </w:r>
            <w:r w:rsidRPr="00216991">
              <w:rPr>
                <w:sz w:val="20"/>
                <w:szCs w:val="20"/>
              </w:rPr>
              <w:fldChar w:fldCharType="end"/>
            </w:r>
            <w:r w:rsidRPr="00216991">
              <w:rPr>
                <w:sz w:val="20"/>
                <w:szCs w:val="20"/>
              </w:rPr>
              <w:t xml:space="preserve"> no </w:t>
            </w:r>
            <w:r w:rsidRPr="00216991">
              <w:rPr>
                <w:sz w:val="20"/>
                <w:szCs w:val="20"/>
              </w:rPr>
              <w:fldChar w:fldCharType="begin"/>
            </w:r>
            <w:r w:rsidRPr="00216991">
              <w:rPr>
                <w:sz w:val="20"/>
                <w:szCs w:val="20"/>
              </w:rPr>
              <w:instrText xml:space="preserve"> NUMPAGES  </w:instrText>
            </w:r>
            <w:r w:rsidRPr="00216991">
              <w:rPr>
                <w:sz w:val="20"/>
                <w:szCs w:val="20"/>
              </w:rPr>
              <w:fldChar w:fldCharType="separate"/>
            </w:r>
            <w:r w:rsidRPr="00216991">
              <w:rPr>
                <w:noProof/>
                <w:sz w:val="20"/>
                <w:szCs w:val="20"/>
              </w:rPr>
              <w:t>2</w:t>
            </w:r>
            <w:r w:rsidRPr="00216991">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9D151" w14:textId="77777777" w:rsidR="002D5680" w:rsidRDefault="002D5680" w:rsidP="00F247AB">
      <w:r>
        <w:separator/>
      </w:r>
    </w:p>
  </w:footnote>
  <w:footnote w:type="continuationSeparator" w:id="0">
    <w:p w14:paraId="55535D85" w14:textId="77777777" w:rsidR="002D5680" w:rsidRDefault="002D5680" w:rsidP="00F24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53047B23"/>
    <w:multiLevelType w:val="hybridMultilevel"/>
    <w:tmpl w:val="7640F7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1573836">
    <w:abstractNumId w:val="0"/>
  </w:num>
  <w:num w:numId="2" w16cid:durableId="251478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lv-LV" w:vendorID="71" w:dllVersion="512" w:checkStyle="1"/>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2C9"/>
    <w:rsid w:val="00000AA3"/>
    <w:rsid w:val="000022E4"/>
    <w:rsid w:val="00004123"/>
    <w:rsid w:val="00005091"/>
    <w:rsid w:val="000050ED"/>
    <w:rsid w:val="000052C1"/>
    <w:rsid w:val="000062B5"/>
    <w:rsid w:val="00013B6B"/>
    <w:rsid w:val="00015EA0"/>
    <w:rsid w:val="000177BE"/>
    <w:rsid w:val="0002231B"/>
    <w:rsid w:val="00025465"/>
    <w:rsid w:val="0002625D"/>
    <w:rsid w:val="000268D8"/>
    <w:rsid w:val="00026B2F"/>
    <w:rsid w:val="00031D9F"/>
    <w:rsid w:val="00037D7B"/>
    <w:rsid w:val="000405A7"/>
    <w:rsid w:val="000415CC"/>
    <w:rsid w:val="00042238"/>
    <w:rsid w:val="00042E26"/>
    <w:rsid w:val="00045C98"/>
    <w:rsid w:val="00045F41"/>
    <w:rsid w:val="000460A6"/>
    <w:rsid w:val="0004677E"/>
    <w:rsid w:val="00046810"/>
    <w:rsid w:val="00051B46"/>
    <w:rsid w:val="000527FB"/>
    <w:rsid w:val="00052BCE"/>
    <w:rsid w:val="00053005"/>
    <w:rsid w:val="00054179"/>
    <w:rsid w:val="00057AD8"/>
    <w:rsid w:val="00061D98"/>
    <w:rsid w:val="00062B36"/>
    <w:rsid w:val="000643A6"/>
    <w:rsid w:val="00064BEB"/>
    <w:rsid w:val="00064D28"/>
    <w:rsid w:val="0006671D"/>
    <w:rsid w:val="00070D82"/>
    <w:rsid w:val="000710A1"/>
    <w:rsid w:val="000712F1"/>
    <w:rsid w:val="00072008"/>
    <w:rsid w:val="00072353"/>
    <w:rsid w:val="000726E8"/>
    <w:rsid w:val="00074077"/>
    <w:rsid w:val="00074F5F"/>
    <w:rsid w:val="00076439"/>
    <w:rsid w:val="00080815"/>
    <w:rsid w:val="000813C4"/>
    <w:rsid w:val="00081803"/>
    <w:rsid w:val="00082D8E"/>
    <w:rsid w:val="0008324D"/>
    <w:rsid w:val="000833DD"/>
    <w:rsid w:val="00083840"/>
    <w:rsid w:val="00083EEA"/>
    <w:rsid w:val="000845F9"/>
    <w:rsid w:val="000846DE"/>
    <w:rsid w:val="00084CBD"/>
    <w:rsid w:val="00084FFB"/>
    <w:rsid w:val="00085071"/>
    <w:rsid w:val="000856A3"/>
    <w:rsid w:val="00087187"/>
    <w:rsid w:val="00090FD9"/>
    <w:rsid w:val="000930CF"/>
    <w:rsid w:val="00093644"/>
    <w:rsid w:val="000940D9"/>
    <w:rsid w:val="00094129"/>
    <w:rsid w:val="00094B06"/>
    <w:rsid w:val="000968B7"/>
    <w:rsid w:val="00097DCA"/>
    <w:rsid w:val="00097EDE"/>
    <w:rsid w:val="000A0062"/>
    <w:rsid w:val="000A07FB"/>
    <w:rsid w:val="000A11FD"/>
    <w:rsid w:val="000A21D4"/>
    <w:rsid w:val="000A2C18"/>
    <w:rsid w:val="000A2F0D"/>
    <w:rsid w:val="000A5EB4"/>
    <w:rsid w:val="000A62EF"/>
    <w:rsid w:val="000A6649"/>
    <w:rsid w:val="000A704A"/>
    <w:rsid w:val="000B04DF"/>
    <w:rsid w:val="000B521B"/>
    <w:rsid w:val="000B6521"/>
    <w:rsid w:val="000B6CCE"/>
    <w:rsid w:val="000C033F"/>
    <w:rsid w:val="000C11EB"/>
    <w:rsid w:val="000C12D3"/>
    <w:rsid w:val="000C1F4B"/>
    <w:rsid w:val="000C23F4"/>
    <w:rsid w:val="000C2B85"/>
    <w:rsid w:val="000C5309"/>
    <w:rsid w:val="000D0B1E"/>
    <w:rsid w:val="000D416B"/>
    <w:rsid w:val="000D71AF"/>
    <w:rsid w:val="000D7C8C"/>
    <w:rsid w:val="000E1298"/>
    <w:rsid w:val="000E1A2C"/>
    <w:rsid w:val="000E2F19"/>
    <w:rsid w:val="000E3001"/>
    <w:rsid w:val="000E4E0B"/>
    <w:rsid w:val="000E5FAE"/>
    <w:rsid w:val="000E7CF0"/>
    <w:rsid w:val="000F1C67"/>
    <w:rsid w:val="000F2727"/>
    <w:rsid w:val="000F3422"/>
    <w:rsid w:val="000F358C"/>
    <w:rsid w:val="000F3661"/>
    <w:rsid w:val="000F41B6"/>
    <w:rsid w:val="000F6577"/>
    <w:rsid w:val="000F6CD9"/>
    <w:rsid w:val="00100418"/>
    <w:rsid w:val="00100C3B"/>
    <w:rsid w:val="001057C1"/>
    <w:rsid w:val="00107122"/>
    <w:rsid w:val="00107A53"/>
    <w:rsid w:val="00111684"/>
    <w:rsid w:val="00113F45"/>
    <w:rsid w:val="00114410"/>
    <w:rsid w:val="001149CA"/>
    <w:rsid w:val="00114F69"/>
    <w:rsid w:val="0011732B"/>
    <w:rsid w:val="00117848"/>
    <w:rsid w:val="0012095A"/>
    <w:rsid w:val="00121444"/>
    <w:rsid w:val="00124124"/>
    <w:rsid w:val="00124238"/>
    <w:rsid w:val="00124D99"/>
    <w:rsid w:val="001256BF"/>
    <w:rsid w:val="00126109"/>
    <w:rsid w:val="0012741A"/>
    <w:rsid w:val="0013045C"/>
    <w:rsid w:val="0013431A"/>
    <w:rsid w:val="001356A2"/>
    <w:rsid w:val="00136CE6"/>
    <w:rsid w:val="0013720C"/>
    <w:rsid w:val="00141665"/>
    <w:rsid w:val="00141BEC"/>
    <w:rsid w:val="00142BEE"/>
    <w:rsid w:val="00143B04"/>
    <w:rsid w:val="00143F28"/>
    <w:rsid w:val="0014693F"/>
    <w:rsid w:val="00147519"/>
    <w:rsid w:val="0015144F"/>
    <w:rsid w:val="00151700"/>
    <w:rsid w:val="00152A9E"/>
    <w:rsid w:val="00152B47"/>
    <w:rsid w:val="001533F1"/>
    <w:rsid w:val="00153BF3"/>
    <w:rsid w:val="00154A23"/>
    <w:rsid w:val="00154B0F"/>
    <w:rsid w:val="001552DB"/>
    <w:rsid w:val="00155B18"/>
    <w:rsid w:val="00156265"/>
    <w:rsid w:val="00157164"/>
    <w:rsid w:val="0015792A"/>
    <w:rsid w:val="0016343A"/>
    <w:rsid w:val="00165509"/>
    <w:rsid w:val="0016774A"/>
    <w:rsid w:val="00172571"/>
    <w:rsid w:val="00172A68"/>
    <w:rsid w:val="001736EF"/>
    <w:rsid w:val="00173C99"/>
    <w:rsid w:val="001746F0"/>
    <w:rsid w:val="001762F4"/>
    <w:rsid w:val="001767D8"/>
    <w:rsid w:val="00176A18"/>
    <w:rsid w:val="00176FE3"/>
    <w:rsid w:val="00177BB0"/>
    <w:rsid w:val="00177E20"/>
    <w:rsid w:val="00181CA5"/>
    <w:rsid w:val="00181CAA"/>
    <w:rsid w:val="001821C6"/>
    <w:rsid w:val="0018241E"/>
    <w:rsid w:val="00183F7F"/>
    <w:rsid w:val="00183FF4"/>
    <w:rsid w:val="00185340"/>
    <w:rsid w:val="001855B6"/>
    <w:rsid w:val="00185649"/>
    <w:rsid w:val="00186202"/>
    <w:rsid w:val="0018660A"/>
    <w:rsid w:val="001867ED"/>
    <w:rsid w:val="00186ABD"/>
    <w:rsid w:val="0019005D"/>
    <w:rsid w:val="00191246"/>
    <w:rsid w:val="00191D46"/>
    <w:rsid w:val="00192F70"/>
    <w:rsid w:val="00195756"/>
    <w:rsid w:val="00196795"/>
    <w:rsid w:val="001968EC"/>
    <w:rsid w:val="001A0530"/>
    <w:rsid w:val="001A0541"/>
    <w:rsid w:val="001A24A7"/>
    <w:rsid w:val="001A4C98"/>
    <w:rsid w:val="001A6C4A"/>
    <w:rsid w:val="001A7B36"/>
    <w:rsid w:val="001A7D4F"/>
    <w:rsid w:val="001B05CC"/>
    <w:rsid w:val="001B08D8"/>
    <w:rsid w:val="001B0C3D"/>
    <w:rsid w:val="001B10B8"/>
    <w:rsid w:val="001B1688"/>
    <w:rsid w:val="001B16F5"/>
    <w:rsid w:val="001B1C11"/>
    <w:rsid w:val="001B2A62"/>
    <w:rsid w:val="001B4226"/>
    <w:rsid w:val="001B4C1F"/>
    <w:rsid w:val="001B63AC"/>
    <w:rsid w:val="001B7846"/>
    <w:rsid w:val="001C07C0"/>
    <w:rsid w:val="001C1FD9"/>
    <w:rsid w:val="001C48D2"/>
    <w:rsid w:val="001C4C71"/>
    <w:rsid w:val="001C7CBE"/>
    <w:rsid w:val="001D09A6"/>
    <w:rsid w:val="001D1226"/>
    <w:rsid w:val="001D130E"/>
    <w:rsid w:val="001D1382"/>
    <w:rsid w:val="001D21FF"/>
    <w:rsid w:val="001D30B1"/>
    <w:rsid w:val="001D3B98"/>
    <w:rsid w:val="001D490F"/>
    <w:rsid w:val="001D6F9F"/>
    <w:rsid w:val="001E00FD"/>
    <w:rsid w:val="001E01C9"/>
    <w:rsid w:val="001E0AFC"/>
    <w:rsid w:val="001E1AFE"/>
    <w:rsid w:val="001E248A"/>
    <w:rsid w:val="001E2EC2"/>
    <w:rsid w:val="001E314B"/>
    <w:rsid w:val="001E3EE9"/>
    <w:rsid w:val="001E4340"/>
    <w:rsid w:val="001E44BB"/>
    <w:rsid w:val="001E603C"/>
    <w:rsid w:val="001E6779"/>
    <w:rsid w:val="001F307B"/>
    <w:rsid w:val="001F41CC"/>
    <w:rsid w:val="001F4FAD"/>
    <w:rsid w:val="001F5C6E"/>
    <w:rsid w:val="001F5F64"/>
    <w:rsid w:val="001F6CCC"/>
    <w:rsid w:val="001F7BEA"/>
    <w:rsid w:val="001F7C2A"/>
    <w:rsid w:val="001F7CDB"/>
    <w:rsid w:val="002017D7"/>
    <w:rsid w:val="0020221E"/>
    <w:rsid w:val="00202696"/>
    <w:rsid w:val="00203C28"/>
    <w:rsid w:val="00204160"/>
    <w:rsid w:val="002052CD"/>
    <w:rsid w:val="002062F7"/>
    <w:rsid w:val="00206AA4"/>
    <w:rsid w:val="00206B83"/>
    <w:rsid w:val="00210D31"/>
    <w:rsid w:val="00211348"/>
    <w:rsid w:val="0021316B"/>
    <w:rsid w:val="00214826"/>
    <w:rsid w:val="002149D2"/>
    <w:rsid w:val="00216939"/>
    <w:rsid w:val="00216991"/>
    <w:rsid w:val="0022057A"/>
    <w:rsid w:val="00223864"/>
    <w:rsid w:val="002257F9"/>
    <w:rsid w:val="00231694"/>
    <w:rsid w:val="002328B5"/>
    <w:rsid w:val="00235336"/>
    <w:rsid w:val="00235424"/>
    <w:rsid w:val="00235AE8"/>
    <w:rsid w:val="00237C2C"/>
    <w:rsid w:val="00240A44"/>
    <w:rsid w:val="00240C86"/>
    <w:rsid w:val="00240CD3"/>
    <w:rsid w:val="002438A6"/>
    <w:rsid w:val="00246DE1"/>
    <w:rsid w:val="00247B8D"/>
    <w:rsid w:val="00247C5A"/>
    <w:rsid w:val="00247D76"/>
    <w:rsid w:val="00247F02"/>
    <w:rsid w:val="00250592"/>
    <w:rsid w:val="0025166A"/>
    <w:rsid w:val="002523B7"/>
    <w:rsid w:val="002525B4"/>
    <w:rsid w:val="002526D4"/>
    <w:rsid w:val="00253689"/>
    <w:rsid w:val="00255F71"/>
    <w:rsid w:val="002565FE"/>
    <w:rsid w:val="0026010B"/>
    <w:rsid w:val="002612BB"/>
    <w:rsid w:val="00261DAC"/>
    <w:rsid w:val="0026247A"/>
    <w:rsid w:val="00263F33"/>
    <w:rsid w:val="0026540D"/>
    <w:rsid w:val="002659F2"/>
    <w:rsid w:val="00265C33"/>
    <w:rsid w:val="0026785F"/>
    <w:rsid w:val="0027018C"/>
    <w:rsid w:val="0027085D"/>
    <w:rsid w:val="00272BF4"/>
    <w:rsid w:val="00274F07"/>
    <w:rsid w:val="00275D99"/>
    <w:rsid w:val="00276AD6"/>
    <w:rsid w:val="00277025"/>
    <w:rsid w:val="00277B52"/>
    <w:rsid w:val="00282C98"/>
    <w:rsid w:val="00284F14"/>
    <w:rsid w:val="00287900"/>
    <w:rsid w:val="002920E9"/>
    <w:rsid w:val="0029611E"/>
    <w:rsid w:val="002969F5"/>
    <w:rsid w:val="00296AFD"/>
    <w:rsid w:val="002A2A8A"/>
    <w:rsid w:val="002A2F94"/>
    <w:rsid w:val="002A3A5A"/>
    <w:rsid w:val="002A5F27"/>
    <w:rsid w:val="002A70AE"/>
    <w:rsid w:val="002A7774"/>
    <w:rsid w:val="002B21F4"/>
    <w:rsid w:val="002B2C1D"/>
    <w:rsid w:val="002B5718"/>
    <w:rsid w:val="002B60FC"/>
    <w:rsid w:val="002B7E29"/>
    <w:rsid w:val="002C1824"/>
    <w:rsid w:val="002C251A"/>
    <w:rsid w:val="002C4E71"/>
    <w:rsid w:val="002C51E9"/>
    <w:rsid w:val="002C7252"/>
    <w:rsid w:val="002C7AF4"/>
    <w:rsid w:val="002D05E1"/>
    <w:rsid w:val="002D075D"/>
    <w:rsid w:val="002D5680"/>
    <w:rsid w:val="002D5F63"/>
    <w:rsid w:val="002D6E66"/>
    <w:rsid w:val="002E1822"/>
    <w:rsid w:val="002E193A"/>
    <w:rsid w:val="002E2613"/>
    <w:rsid w:val="002E2D45"/>
    <w:rsid w:val="002E2E16"/>
    <w:rsid w:val="002E4A51"/>
    <w:rsid w:val="002E5222"/>
    <w:rsid w:val="002E7B21"/>
    <w:rsid w:val="002F2957"/>
    <w:rsid w:val="002F5FB8"/>
    <w:rsid w:val="002F6375"/>
    <w:rsid w:val="002F6BB0"/>
    <w:rsid w:val="002F721E"/>
    <w:rsid w:val="00301425"/>
    <w:rsid w:val="003021AE"/>
    <w:rsid w:val="00302D8E"/>
    <w:rsid w:val="00305BFF"/>
    <w:rsid w:val="00305CBD"/>
    <w:rsid w:val="0031041F"/>
    <w:rsid w:val="003117DE"/>
    <w:rsid w:val="0031270A"/>
    <w:rsid w:val="003129E4"/>
    <w:rsid w:val="00312C6B"/>
    <w:rsid w:val="00313AA4"/>
    <w:rsid w:val="00316AF9"/>
    <w:rsid w:val="003200E0"/>
    <w:rsid w:val="00321E9D"/>
    <w:rsid w:val="00323555"/>
    <w:rsid w:val="003240C7"/>
    <w:rsid w:val="0032539C"/>
    <w:rsid w:val="00327886"/>
    <w:rsid w:val="00330CD9"/>
    <w:rsid w:val="00330D48"/>
    <w:rsid w:val="0033108E"/>
    <w:rsid w:val="0033176C"/>
    <w:rsid w:val="00332C3A"/>
    <w:rsid w:val="00337F73"/>
    <w:rsid w:val="00341786"/>
    <w:rsid w:val="00342739"/>
    <w:rsid w:val="00346CF4"/>
    <w:rsid w:val="003472A7"/>
    <w:rsid w:val="0034739E"/>
    <w:rsid w:val="00347E19"/>
    <w:rsid w:val="003502C9"/>
    <w:rsid w:val="0035136C"/>
    <w:rsid w:val="0035157B"/>
    <w:rsid w:val="00352025"/>
    <w:rsid w:val="003534A0"/>
    <w:rsid w:val="0035518B"/>
    <w:rsid w:val="003556F0"/>
    <w:rsid w:val="00355720"/>
    <w:rsid w:val="003572F3"/>
    <w:rsid w:val="003606F7"/>
    <w:rsid w:val="00360A6C"/>
    <w:rsid w:val="00361683"/>
    <w:rsid w:val="00361BF7"/>
    <w:rsid w:val="00362B74"/>
    <w:rsid w:val="00363C72"/>
    <w:rsid w:val="00365306"/>
    <w:rsid w:val="0036593E"/>
    <w:rsid w:val="00365F61"/>
    <w:rsid w:val="00366D88"/>
    <w:rsid w:val="00371464"/>
    <w:rsid w:val="00371CC0"/>
    <w:rsid w:val="00371E9B"/>
    <w:rsid w:val="00372032"/>
    <w:rsid w:val="00372605"/>
    <w:rsid w:val="00374EB2"/>
    <w:rsid w:val="00376C09"/>
    <w:rsid w:val="003771AB"/>
    <w:rsid w:val="0038038E"/>
    <w:rsid w:val="003831FC"/>
    <w:rsid w:val="00383A93"/>
    <w:rsid w:val="00383ACF"/>
    <w:rsid w:val="00384DB1"/>
    <w:rsid w:val="0038518D"/>
    <w:rsid w:val="003859F1"/>
    <w:rsid w:val="00386B8B"/>
    <w:rsid w:val="0038737D"/>
    <w:rsid w:val="00387D83"/>
    <w:rsid w:val="003905EA"/>
    <w:rsid w:val="00393438"/>
    <w:rsid w:val="00393B59"/>
    <w:rsid w:val="003A0444"/>
    <w:rsid w:val="003A1FC9"/>
    <w:rsid w:val="003A2067"/>
    <w:rsid w:val="003A45CF"/>
    <w:rsid w:val="003A5D45"/>
    <w:rsid w:val="003A68CE"/>
    <w:rsid w:val="003A6EBE"/>
    <w:rsid w:val="003A7688"/>
    <w:rsid w:val="003A7AD1"/>
    <w:rsid w:val="003A7DA4"/>
    <w:rsid w:val="003B176A"/>
    <w:rsid w:val="003B4487"/>
    <w:rsid w:val="003B562C"/>
    <w:rsid w:val="003B5897"/>
    <w:rsid w:val="003B5DD6"/>
    <w:rsid w:val="003B7293"/>
    <w:rsid w:val="003B7D4F"/>
    <w:rsid w:val="003B7DF7"/>
    <w:rsid w:val="003C0495"/>
    <w:rsid w:val="003C2DCC"/>
    <w:rsid w:val="003C4B6B"/>
    <w:rsid w:val="003C6021"/>
    <w:rsid w:val="003C64B4"/>
    <w:rsid w:val="003D0456"/>
    <w:rsid w:val="003D1D18"/>
    <w:rsid w:val="003D2724"/>
    <w:rsid w:val="003D4C8D"/>
    <w:rsid w:val="003D5CD6"/>
    <w:rsid w:val="003D613D"/>
    <w:rsid w:val="003D6BC2"/>
    <w:rsid w:val="003D6F08"/>
    <w:rsid w:val="003D6F6C"/>
    <w:rsid w:val="003E0DF0"/>
    <w:rsid w:val="003E1184"/>
    <w:rsid w:val="003E163A"/>
    <w:rsid w:val="003E2129"/>
    <w:rsid w:val="003E34C5"/>
    <w:rsid w:val="003E38EE"/>
    <w:rsid w:val="003E422E"/>
    <w:rsid w:val="003E5A73"/>
    <w:rsid w:val="003F0DCA"/>
    <w:rsid w:val="003F110E"/>
    <w:rsid w:val="003F2017"/>
    <w:rsid w:val="003F35ED"/>
    <w:rsid w:val="003F404A"/>
    <w:rsid w:val="003F47AC"/>
    <w:rsid w:val="003F5FAA"/>
    <w:rsid w:val="0040013C"/>
    <w:rsid w:val="00400C4F"/>
    <w:rsid w:val="00401033"/>
    <w:rsid w:val="004021B6"/>
    <w:rsid w:val="00403CBB"/>
    <w:rsid w:val="004046CD"/>
    <w:rsid w:val="00406F74"/>
    <w:rsid w:val="00410CF3"/>
    <w:rsid w:val="00412032"/>
    <w:rsid w:val="00412070"/>
    <w:rsid w:val="00415804"/>
    <w:rsid w:val="00415F7F"/>
    <w:rsid w:val="00416142"/>
    <w:rsid w:val="0041665C"/>
    <w:rsid w:val="0041688E"/>
    <w:rsid w:val="00416947"/>
    <w:rsid w:val="00416ABA"/>
    <w:rsid w:val="004177C9"/>
    <w:rsid w:val="004200E8"/>
    <w:rsid w:val="004202C9"/>
    <w:rsid w:val="00425FCA"/>
    <w:rsid w:val="0042680A"/>
    <w:rsid w:val="00427DF4"/>
    <w:rsid w:val="00431944"/>
    <w:rsid w:val="00433095"/>
    <w:rsid w:val="004340E9"/>
    <w:rsid w:val="00434345"/>
    <w:rsid w:val="0043641B"/>
    <w:rsid w:val="004365CF"/>
    <w:rsid w:val="00436ADC"/>
    <w:rsid w:val="00436EEA"/>
    <w:rsid w:val="00437044"/>
    <w:rsid w:val="00437535"/>
    <w:rsid w:val="00440533"/>
    <w:rsid w:val="00442315"/>
    <w:rsid w:val="00442FBD"/>
    <w:rsid w:val="00444174"/>
    <w:rsid w:val="0044445A"/>
    <w:rsid w:val="00445FEF"/>
    <w:rsid w:val="004465CD"/>
    <w:rsid w:val="00446751"/>
    <w:rsid w:val="004471E4"/>
    <w:rsid w:val="004471F9"/>
    <w:rsid w:val="00450B46"/>
    <w:rsid w:val="0045186F"/>
    <w:rsid w:val="00451F2E"/>
    <w:rsid w:val="00451FCC"/>
    <w:rsid w:val="00452E52"/>
    <w:rsid w:val="00453A7F"/>
    <w:rsid w:val="00454996"/>
    <w:rsid w:val="004570E1"/>
    <w:rsid w:val="00457456"/>
    <w:rsid w:val="00460672"/>
    <w:rsid w:val="00460B5C"/>
    <w:rsid w:val="00461141"/>
    <w:rsid w:val="004612A8"/>
    <w:rsid w:val="00462CD9"/>
    <w:rsid w:val="00463FDD"/>
    <w:rsid w:val="004676FD"/>
    <w:rsid w:val="004725F3"/>
    <w:rsid w:val="0047377F"/>
    <w:rsid w:val="00473956"/>
    <w:rsid w:val="00475C48"/>
    <w:rsid w:val="00477B2F"/>
    <w:rsid w:val="00481141"/>
    <w:rsid w:val="004828F1"/>
    <w:rsid w:val="00483F2C"/>
    <w:rsid w:val="00484F36"/>
    <w:rsid w:val="00485121"/>
    <w:rsid w:val="0048519B"/>
    <w:rsid w:val="00487EDF"/>
    <w:rsid w:val="0049079B"/>
    <w:rsid w:val="00493787"/>
    <w:rsid w:val="004938AA"/>
    <w:rsid w:val="00494DF8"/>
    <w:rsid w:val="00496A80"/>
    <w:rsid w:val="00497674"/>
    <w:rsid w:val="00497806"/>
    <w:rsid w:val="004A012F"/>
    <w:rsid w:val="004A30E1"/>
    <w:rsid w:val="004A3A23"/>
    <w:rsid w:val="004A5653"/>
    <w:rsid w:val="004A601E"/>
    <w:rsid w:val="004A7428"/>
    <w:rsid w:val="004B20CB"/>
    <w:rsid w:val="004B341E"/>
    <w:rsid w:val="004B4559"/>
    <w:rsid w:val="004B546C"/>
    <w:rsid w:val="004B6B7A"/>
    <w:rsid w:val="004B7923"/>
    <w:rsid w:val="004C1ADA"/>
    <w:rsid w:val="004C2A1B"/>
    <w:rsid w:val="004C2AFE"/>
    <w:rsid w:val="004C30C5"/>
    <w:rsid w:val="004C34B2"/>
    <w:rsid w:val="004C3947"/>
    <w:rsid w:val="004C3E11"/>
    <w:rsid w:val="004C4528"/>
    <w:rsid w:val="004C4FFB"/>
    <w:rsid w:val="004C6362"/>
    <w:rsid w:val="004C67E5"/>
    <w:rsid w:val="004D1CBA"/>
    <w:rsid w:val="004D2779"/>
    <w:rsid w:val="004D28A9"/>
    <w:rsid w:val="004D5D80"/>
    <w:rsid w:val="004D798E"/>
    <w:rsid w:val="004E01DC"/>
    <w:rsid w:val="004E0F4D"/>
    <w:rsid w:val="004E13FB"/>
    <w:rsid w:val="004E246E"/>
    <w:rsid w:val="004E2CA6"/>
    <w:rsid w:val="004E7953"/>
    <w:rsid w:val="004E7EFB"/>
    <w:rsid w:val="004F0477"/>
    <w:rsid w:val="004F0B06"/>
    <w:rsid w:val="004F0B7F"/>
    <w:rsid w:val="004F232A"/>
    <w:rsid w:val="004F3076"/>
    <w:rsid w:val="004F4991"/>
    <w:rsid w:val="004F7C91"/>
    <w:rsid w:val="00500A5F"/>
    <w:rsid w:val="0050117F"/>
    <w:rsid w:val="0050135D"/>
    <w:rsid w:val="00501EB6"/>
    <w:rsid w:val="00503A97"/>
    <w:rsid w:val="00503B46"/>
    <w:rsid w:val="005121D1"/>
    <w:rsid w:val="0051351A"/>
    <w:rsid w:val="0051390F"/>
    <w:rsid w:val="0051392A"/>
    <w:rsid w:val="00514FBD"/>
    <w:rsid w:val="00516225"/>
    <w:rsid w:val="00516C29"/>
    <w:rsid w:val="00516E6A"/>
    <w:rsid w:val="005179BC"/>
    <w:rsid w:val="00522CCC"/>
    <w:rsid w:val="00524B67"/>
    <w:rsid w:val="0052667D"/>
    <w:rsid w:val="00526E6F"/>
    <w:rsid w:val="005323E7"/>
    <w:rsid w:val="00533112"/>
    <w:rsid w:val="00533F60"/>
    <w:rsid w:val="00535236"/>
    <w:rsid w:val="005357C7"/>
    <w:rsid w:val="005364CC"/>
    <w:rsid w:val="00536521"/>
    <w:rsid w:val="005368E7"/>
    <w:rsid w:val="00536C7B"/>
    <w:rsid w:val="00537B40"/>
    <w:rsid w:val="00540209"/>
    <w:rsid w:val="00540B53"/>
    <w:rsid w:val="00540C1D"/>
    <w:rsid w:val="00540F05"/>
    <w:rsid w:val="005420E1"/>
    <w:rsid w:val="0054605C"/>
    <w:rsid w:val="00547FF6"/>
    <w:rsid w:val="00550A79"/>
    <w:rsid w:val="0055137A"/>
    <w:rsid w:val="00552BA7"/>
    <w:rsid w:val="005532E0"/>
    <w:rsid w:val="00553CB0"/>
    <w:rsid w:val="00554DA7"/>
    <w:rsid w:val="00554EBB"/>
    <w:rsid w:val="005556A3"/>
    <w:rsid w:val="005573F7"/>
    <w:rsid w:val="0056011E"/>
    <w:rsid w:val="005613A1"/>
    <w:rsid w:val="00561FE3"/>
    <w:rsid w:val="005625DC"/>
    <w:rsid w:val="00562CF3"/>
    <w:rsid w:val="005631AF"/>
    <w:rsid w:val="00564570"/>
    <w:rsid w:val="005647C0"/>
    <w:rsid w:val="00564A21"/>
    <w:rsid w:val="00566FB4"/>
    <w:rsid w:val="0056796B"/>
    <w:rsid w:val="00571DA6"/>
    <w:rsid w:val="005736FC"/>
    <w:rsid w:val="005744C2"/>
    <w:rsid w:val="005749D9"/>
    <w:rsid w:val="00574C79"/>
    <w:rsid w:val="00576D47"/>
    <w:rsid w:val="00576FCF"/>
    <w:rsid w:val="00577437"/>
    <w:rsid w:val="00580EB9"/>
    <w:rsid w:val="00581520"/>
    <w:rsid w:val="005819B7"/>
    <w:rsid w:val="00581A59"/>
    <w:rsid w:val="00583D78"/>
    <w:rsid w:val="005843BF"/>
    <w:rsid w:val="005859F7"/>
    <w:rsid w:val="00585DA2"/>
    <w:rsid w:val="00586152"/>
    <w:rsid w:val="005867EA"/>
    <w:rsid w:val="00590E96"/>
    <w:rsid w:val="00592812"/>
    <w:rsid w:val="00595BDF"/>
    <w:rsid w:val="005A0D4A"/>
    <w:rsid w:val="005A5158"/>
    <w:rsid w:val="005A693A"/>
    <w:rsid w:val="005A71B0"/>
    <w:rsid w:val="005A7E30"/>
    <w:rsid w:val="005B0790"/>
    <w:rsid w:val="005B361C"/>
    <w:rsid w:val="005B3E0E"/>
    <w:rsid w:val="005B3F01"/>
    <w:rsid w:val="005B4938"/>
    <w:rsid w:val="005B595E"/>
    <w:rsid w:val="005B68EA"/>
    <w:rsid w:val="005B727D"/>
    <w:rsid w:val="005C20E2"/>
    <w:rsid w:val="005C3152"/>
    <w:rsid w:val="005C4E17"/>
    <w:rsid w:val="005C51B8"/>
    <w:rsid w:val="005C6AFB"/>
    <w:rsid w:val="005C6C07"/>
    <w:rsid w:val="005C6C87"/>
    <w:rsid w:val="005C6F37"/>
    <w:rsid w:val="005D030E"/>
    <w:rsid w:val="005D065B"/>
    <w:rsid w:val="005D0D73"/>
    <w:rsid w:val="005D104D"/>
    <w:rsid w:val="005D1260"/>
    <w:rsid w:val="005D149D"/>
    <w:rsid w:val="005D2297"/>
    <w:rsid w:val="005D2AC4"/>
    <w:rsid w:val="005D5DAC"/>
    <w:rsid w:val="005D7938"/>
    <w:rsid w:val="005E0F47"/>
    <w:rsid w:val="005E1937"/>
    <w:rsid w:val="005E289C"/>
    <w:rsid w:val="005E4454"/>
    <w:rsid w:val="005E6ACD"/>
    <w:rsid w:val="005E7459"/>
    <w:rsid w:val="005F11E2"/>
    <w:rsid w:val="005F3C4A"/>
    <w:rsid w:val="005F4108"/>
    <w:rsid w:val="005F4E08"/>
    <w:rsid w:val="005F4EF6"/>
    <w:rsid w:val="005F74FC"/>
    <w:rsid w:val="006009C7"/>
    <w:rsid w:val="006013C0"/>
    <w:rsid w:val="006053E9"/>
    <w:rsid w:val="006068FA"/>
    <w:rsid w:val="00607919"/>
    <w:rsid w:val="00611F87"/>
    <w:rsid w:val="00612270"/>
    <w:rsid w:val="00612900"/>
    <w:rsid w:val="00612D02"/>
    <w:rsid w:val="006134E2"/>
    <w:rsid w:val="00613834"/>
    <w:rsid w:val="00614156"/>
    <w:rsid w:val="006144E2"/>
    <w:rsid w:val="00614AC1"/>
    <w:rsid w:val="00614B4C"/>
    <w:rsid w:val="00615CB3"/>
    <w:rsid w:val="006166A3"/>
    <w:rsid w:val="0061670B"/>
    <w:rsid w:val="0061684F"/>
    <w:rsid w:val="0061688E"/>
    <w:rsid w:val="00616C0C"/>
    <w:rsid w:val="006202E5"/>
    <w:rsid w:val="00620857"/>
    <w:rsid w:val="0062222A"/>
    <w:rsid w:val="00624C04"/>
    <w:rsid w:val="00627DF9"/>
    <w:rsid w:val="00630065"/>
    <w:rsid w:val="00631B8C"/>
    <w:rsid w:val="00632C9D"/>
    <w:rsid w:val="00632D7E"/>
    <w:rsid w:val="0063388E"/>
    <w:rsid w:val="00633B5A"/>
    <w:rsid w:val="00633D5C"/>
    <w:rsid w:val="0063432E"/>
    <w:rsid w:val="006355E5"/>
    <w:rsid w:val="00640E6A"/>
    <w:rsid w:val="0064132A"/>
    <w:rsid w:val="006436DE"/>
    <w:rsid w:val="00644C72"/>
    <w:rsid w:val="00644F1E"/>
    <w:rsid w:val="00645A1A"/>
    <w:rsid w:val="006462EF"/>
    <w:rsid w:val="00646EA7"/>
    <w:rsid w:val="006549BE"/>
    <w:rsid w:val="00654AA8"/>
    <w:rsid w:val="00655AA5"/>
    <w:rsid w:val="006603CB"/>
    <w:rsid w:val="00660869"/>
    <w:rsid w:val="00660A13"/>
    <w:rsid w:val="00661211"/>
    <w:rsid w:val="00661394"/>
    <w:rsid w:val="0066145B"/>
    <w:rsid w:val="00661C5F"/>
    <w:rsid w:val="00664144"/>
    <w:rsid w:val="00664365"/>
    <w:rsid w:val="00664802"/>
    <w:rsid w:val="00665458"/>
    <w:rsid w:val="00671483"/>
    <w:rsid w:val="0067207E"/>
    <w:rsid w:val="00672B7D"/>
    <w:rsid w:val="00674DDF"/>
    <w:rsid w:val="0067553F"/>
    <w:rsid w:val="00676B9D"/>
    <w:rsid w:val="00676BBA"/>
    <w:rsid w:val="00676EBF"/>
    <w:rsid w:val="00680764"/>
    <w:rsid w:val="00681E38"/>
    <w:rsid w:val="00682805"/>
    <w:rsid w:val="00682A4A"/>
    <w:rsid w:val="006836EE"/>
    <w:rsid w:val="00685B36"/>
    <w:rsid w:val="006873A9"/>
    <w:rsid w:val="00690078"/>
    <w:rsid w:val="006905B3"/>
    <w:rsid w:val="006936A9"/>
    <w:rsid w:val="0069456A"/>
    <w:rsid w:val="00697B67"/>
    <w:rsid w:val="006A062F"/>
    <w:rsid w:val="006A1EC1"/>
    <w:rsid w:val="006A2587"/>
    <w:rsid w:val="006A3B24"/>
    <w:rsid w:val="006A3FAD"/>
    <w:rsid w:val="006A794E"/>
    <w:rsid w:val="006B15E4"/>
    <w:rsid w:val="006B3211"/>
    <w:rsid w:val="006B48E3"/>
    <w:rsid w:val="006B6CA0"/>
    <w:rsid w:val="006B777E"/>
    <w:rsid w:val="006B77CE"/>
    <w:rsid w:val="006C0DB3"/>
    <w:rsid w:val="006C38AB"/>
    <w:rsid w:val="006C47B0"/>
    <w:rsid w:val="006C4AC1"/>
    <w:rsid w:val="006C5A9E"/>
    <w:rsid w:val="006C5D0E"/>
    <w:rsid w:val="006D0FBA"/>
    <w:rsid w:val="006D3246"/>
    <w:rsid w:val="006D3662"/>
    <w:rsid w:val="006D4DBF"/>
    <w:rsid w:val="006D4E73"/>
    <w:rsid w:val="006D52FD"/>
    <w:rsid w:val="006D5530"/>
    <w:rsid w:val="006D55FA"/>
    <w:rsid w:val="006D7B9B"/>
    <w:rsid w:val="006E0B1D"/>
    <w:rsid w:val="006E16CA"/>
    <w:rsid w:val="006E1B6D"/>
    <w:rsid w:val="006E3000"/>
    <w:rsid w:val="006E3676"/>
    <w:rsid w:val="006E6399"/>
    <w:rsid w:val="006E643B"/>
    <w:rsid w:val="006E71E2"/>
    <w:rsid w:val="006F0437"/>
    <w:rsid w:val="006F0B30"/>
    <w:rsid w:val="006F15F2"/>
    <w:rsid w:val="006F2C8A"/>
    <w:rsid w:val="006F390F"/>
    <w:rsid w:val="00700945"/>
    <w:rsid w:val="00701688"/>
    <w:rsid w:val="00703899"/>
    <w:rsid w:val="00704771"/>
    <w:rsid w:val="007052E4"/>
    <w:rsid w:val="0070646E"/>
    <w:rsid w:val="00706561"/>
    <w:rsid w:val="00707602"/>
    <w:rsid w:val="00707FED"/>
    <w:rsid w:val="00711C21"/>
    <w:rsid w:val="00713CE7"/>
    <w:rsid w:val="007140A6"/>
    <w:rsid w:val="00714626"/>
    <w:rsid w:val="00715613"/>
    <w:rsid w:val="00716383"/>
    <w:rsid w:val="00717A83"/>
    <w:rsid w:val="00722137"/>
    <w:rsid w:val="00723EAC"/>
    <w:rsid w:val="007240C2"/>
    <w:rsid w:val="007249B7"/>
    <w:rsid w:val="00725A43"/>
    <w:rsid w:val="00725F65"/>
    <w:rsid w:val="0072686F"/>
    <w:rsid w:val="00730338"/>
    <w:rsid w:val="007314D5"/>
    <w:rsid w:val="00732783"/>
    <w:rsid w:val="0073351D"/>
    <w:rsid w:val="007335C3"/>
    <w:rsid w:val="00733F9D"/>
    <w:rsid w:val="0073564B"/>
    <w:rsid w:val="0073651F"/>
    <w:rsid w:val="007365E1"/>
    <w:rsid w:val="00737AB1"/>
    <w:rsid w:val="00737F82"/>
    <w:rsid w:val="007409CC"/>
    <w:rsid w:val="00740E3A"/>
    <w:rsid w:val="00742F5F"/>
    <w:rsid w:val="00743335"/>
    <w:rsid w:val="00745DB0"/>
    <w:rsid w:val="007461CE"/>
    <w:rsid w:val="00753027"/>
    <w:rsid w:val="0075368D"/>
    <w:rsid w:val="00755FAE"/>
    <w:rsid w:val="007573AB"/>
    <w:rsid w:val="0075746B"/>
    <w:rsid w:val="0075769F"/>
    <w:rsid w:val="00760DF9"/>
    <w:rsid w:val="007622E1"/>
    <w:rsid w:val="00764587"/>
    <w:rsid w:val="007650DB"/>
    <w:rsid w:val="007659C6"/>
    <w:rsid w:val="00770294"/>
    <w:rsid w:val="00770F05"/>
    <w:rsid w:val="00771274"/>
    <w:rsid w:val="00773517"/>
    <w:rsid w:val="00774024"/>
    <w:rsid w:val="00781EC4"/>
    <w:rsid w:val="00783169"/>
    <w:rsid w:val="00784521"/>
    <w:rsid w:val="00784583"/>
    <w:rsid w:val="00787C8A"/>
    <w:rsid w:val="00787CA2"/>
    <w:rsid w:val="00790251"/>
    <w:rsid w:val="0079204D"/>
    <w:rsid w:val="00793548"/>
    <w:rsid w:val="00794AE9"/>
    <w:rsid w:val="00795285"/>
    <w:rsid w:val="0079545E"/>
    <w:rsid w:val="00797634"/>
    <w:rsid w:val="007A2A64"/>
    <w:rsid w:val="007A333E"/>
    <w:rsid w:val="007A462D"/>
    <w:rsid w:val="007A7079"/>
    <w:rsid w:val="007A7421"/>
    <w:rsid w:val="007A7EF7"/>
    <w:rsid w:val="007A7F3D"/>
    <w:rsid w:val="007A7FBB"/>
    <w:rsid w:val="007B233A"/>
    <w:rsid w:val="007B2754"/>
    <w:rsid w:val="007B341A"/>
    <w:rsid w:val="007B3462"/>
    <w:rsid w:val="007B6569"/>
    <w:rsid w:val="007C01A4"/>
    <w:rsid w:val="007C0793"/>
    <w:rsid w:val="007C1930"/>
    <w:rsid w:val="007C3012"/>
    <w:rsid w:val="007C3733"/>
    <w:rsid w:val="007C44AE"/>
    <w:rsid w:val="007D0007"/>
    <w:rsid w:val="007D07E3"/>
    <w:rsid w:val="007D0D38"/>
    <w:rsid w:val="007D0EB6"/>
    <w:rsid w:val="007D2B6D"/>
    <w:rsid w:val="007D2F4A"/>
    <w:rsid w:val="007D3E5B"/>
    <w:rsid w:val="007D49FE"/>
    <w:rsid w:val="007D5B12"/>
    <w:rsid w:val="007D6CD7"/>
    <w:rsid w:val="007D79DC"/>
    <w:rsid w:val="007D7AFE"/>
    <w:rsid w:val="007D7B4C"/>
    <w:rsid w:val="007D7C13"/>
    <w:rsid w:val="007E17D5"/>
    <w:rsid w:val="007E2325"/>
    <w:rsid w:val="007E310F"/>
    <w:rsid w:val="007E33ED"/>
    <w:rsid w:val="007E4949"/>
    <w:rsid w:val="007E506A"/>
    <w:rsid w:val="007E6776"/>
    <w:rsid w:val="007E7C62"/>
    <w:rsid w:val="007F1240"/>
    <w:rsid w:val="007F1E2D"/>
    <w:rsid w:val="007F5C7C"/>
    <w:rsid w:val="007F685B"/>
    <w:rsid w:val="00800464"/>
    <w:rsid w:val="008017D4"/>
    <w:rsid w:val="00801D90"/>
    <w:rsid w:val="0080221B"/>
    <w:rsid w:val="00802C75"/>
    <w:rsid w:val="00802F31"/>
    <w:rsid w:val="00804666"/>
    <w:rsid w:val="00806ABB"/>
    <w:rsid w:val="0081070B"/>
    <w:rsid w:val="00810EEA"/>
    <w:rsid w:val="00811487"/>
    <w:rsid w:val="00811688"/>
    <w:rsid w:val="00811C3A"/>
    <w:rsid w:val="00816337"/>
    <w:rsid w:val="008163CA"/>
    <w:rsid w:val="00817056"/>
    <w:rsid w:val="0081788C"/>
    <w:rsid w:val="00820AB0"/>
    <w:rsid w:val="00820CC8"/>
    <w:rsid w:val="00820FD8"/>
    <w:rsid w:val="00821807"/>
    <w:rsid w:val="00821CA3"/>
    <w:rsid w:val="00821E83"/>
    <w:rsid w:val="008223E1"/>
    <w:rsid w:val="008227E8"/>
    <w:rsid w:val="008234D9"/>
    <w:rsid w:val="00824421"/>
    <w:rsid w:val="00824BD0"/>
    <w:rsid w:val="0082511B"/>
    <w:rsid w:val="0082670C"/>
    <w:rsid w:val="00832B7A"/>
    <w:rsid w:val="008334A8"/>
    <w:rsid w:val="00833D86"/>
    <w:rsid w:val="00835553"/>
    <w:rsid w:val="00835F23"/>
    <w:rsid w:val="00836531"/>
    <w:rsid w:val="00837654"/>
    <w:rsid w:val="00837B77"/>
    <w:rsid w:val="0084019E"/>
    <w:rsid w:val="00841D7E"/>
    <w:rsid w:val="00842630"/>
    <w:rsid w:val="00842680"/>
    <w:rsid w:val="00844671"/>
    <w:rsid w:val="00844AE1"/>
    <w:rsid w:val="00844C2E"/>
    <w:rsid w:val="008456AB"/>
    <w:rsid w:val="00846C50"/>
    <w:rsid w:val="0084725F"/>
    <w:rsid w:val="00851FF3"/>
    <w:rsid w:val="00852BC0"/>
    <w:rsid w:val="0086015B"/>
    <w:rsid w:val="00860179"/>
    <w:rsid w:val="00862F1F"/>
    <w:rsid w:val="00865F94"/>
    <w:rsid w:val="0087098D"/>
    <w:rsid w:val="00870B9B"/>
    <w:rsid w:val="00870C96"/>
    <w:rsid w:val="00870F2B"/>
    <w:rsid w:val="00871F49"/>
    <w:rsid w:val="0087287C"/>
    <w:rsid w:val="00872A15"/>
    <w:rsid w:val="00873052"/>
    <w:rsid w:val="00873A89"/>
    <w:rsid w:val="008752CA"/>
    <w:rsid w:val="00875CA4"/>
    <w:rsid w:val="008803FE"/>
    <w:rsid w:val="00880A85"/>
    <w:rsid w:val="00881AE5"/>
    <w:rsid w:val="0088241D"/>
    <w:rsid w:val="00882C34"/>
    <w:rsid w:val="0088347C"/>
    <w:rsid w:val="008840AB"/>
    <w:rsid w:val="00884320"/>
    <w:rsid w:val="00884C0F"/>
    <w:rsid w:val="008871AA"/>
    <w:rsid w:val="00890E7D"/>
    <w:rsid w:val="008960EB"/>
    <w:rsid w:val="008966B5"/>
    <w:rsid w:val="00896C91"/>
    <w:rsid w:val="00896DFF"/>
    <w:rsid w:val="00897B8D"/>
    <w:rsid w:val="00897EAF"/>
    <w:rsid w:val="008A114A"/>
    <w:rsid w:val="008A2421"/>
    <w:rsid w:val="008A42B0"/>
    <w:rsid w:val="008A5901"/>
    <w:rsid w:val="008A6394"/>
    <w:rsid w:val="008A6E85"/>
    <w:rsid w:val="008A750A"/>
    <w:rsid w:val="008B3132"/>
    <w:rsid w:val="008B3C47"/>
    <w:rsid w:val="008B4056"/>
    <w:rsid w:val="008B5F52"/>
    <w:rsid w:val="008B791E"/>
    <w:rsid w:val="008C066C"/>
    <w:rsid w:val="008C0DC5"/>
    <w:rsid w:val="008C148B"/>
    <w:rsid w:val="008C17A2"/>
    <w:rsid w:val="008C2718"/>
    <w:rsid w:val="008C3945"/>
    <w:rsid w:val="008C699F"/>
    <w:rsid w:val="008C6A79"/>
    <w:rsid w:val="008C729D"/>
    <w:rsid w:val="008D02A8"/>
    <w:rsid w:val="008D02F7"/>
    <w:rsid w:val="008D0C26"/>
    <w:rsid w:val="008D1775"/>
    <w:rsid w:val="008D2766"/>
    <w:rsid w:val="008D357D"/>
    <w:rsid w:val="008D3EEF"/>
    <w:rsid w:val="008D4299"/>
    <w:rsid w:val="008D46F9"/>
    <w:rsid w:val="008D7374"/>
    <w:rsid w:val="008E0B20"/>
    <w:rsid w:val="008E0CD6"/>
    <w:rsid w:val="008E1892"/>
    <w:rsid w:val="008E1A1A"/>
    <w:rsid w:val="008E203C"/>
    <w:rsid w:val="008E3B9F"/>
    <w:rsid w:val="008E40FB"/>
    <w:rsid w:val="008E6B33"/>
    <w:rsid w:val="008E794A"/>
    <w:rsid w:val="008F0140"/>
    <w:rsid w:val="008F61E0"/>
    <w:rsid w:val="008F7E52"/>
    <w:rsid w:val="00900A9F"/>
    <w:rsid w:val="009015E1"/>
    <w:rsid w:val="00901AA1"/>
    <w:rsid w:val="00902642"/>
    <w:rsid w:val="00903706"/>
    <w:rsid w:val="00903956"/>
    <w:rsid w:val="009039A4"/>
    <w:rsid w:val="00903B12"/>
    <w:rsid w:val="0090409F"/>
    <w:rsid w:val="00904113"/>
    <w:rsid w:val="009048D3"/>
    <w:rsid w:val="00904F28"/>
    <w:rsid w:val="00905667"/>
    <w:rsid w:val="0090568E"/>
    <w:rsid w:val="00905743"/>
    <w:rsid w:val="00905AB0"/>
    <w:rsid w:val="00905C67"/>
    <w:rsid w:val="00906A84"/>
    <w:rsid w:val="00907F04"/>
    <w:rsid w:val="00910477"/>
    <w:rsid w:val="00911527"/>
    <w:rsid w:val="00913ADA"/>
    <w:rsid w:val="009146B7"/>
    <w:rsid w:val="00916044"/>
    <w:rsid w:val="00920875"/>
    <w:rsid w:val="009225DD"/>
    <w:rsid w:val="009226EB"/>
    <w:rsid w:val="00922F80"/>
    <w:rsid w:val="00924197"/>
    <w:rsid w:val="009250A7"/>
    <w:rsid w:val="00925413"/>
    <w:rsid w:val="00926933"/>
    <w:rsid w:val="0092770A"/>
    <w:rsid w:val="00930B20"/>
    <w:rsid w:val="00931950"/>
    <w:rsid w:val="00931B7C"/>
    <w:rsid w:val="00932027"/>
    <w:rsid w:val="00933227"/>
    <w:rsid w:val="00935AC2"/>
    <w:rsid w:val="00935C54"/>
    <w:rsid w:val="00936D92"/>
    <w:rsid w:val="00936DF1"/>
    <w:rsid w:val="00937086"/>
    <w:rsid w:val="0094204B"/>
    <w:rsid w:val="0094451F"/>
    <w:rsid w:val="00944E77"/>
    <w:rsid w:val="00945D55"/>
    <w:rsid w:val="00946A57"/>
    <w:rsid w:val="00947C4D"/>
    <w:rsid w:val="009506B3"/>
    <w:rsid w:val="0095072C"/>
    <w:rsid w:val="00950D6B"/>
    <w:rsid w:val="00951578"/>
    <w:rsid w:val="0095182F"/>
    <w:rsid w:val="00951C0A"/>
    <w:rsid w:val="00952A9E"/>
    <w:rsid w:val="009549E5"/>
    <w:rsid w:val="00954D92"/>
    <w:rsid w:val="00957489"/>
    <w:rsid w:val="00957766"/>
    <w:rsid w:val="00961815"/>
    <w:rsid w:val="009619E9"/>
    <w:rsid w:val="00962338"/>
    <w:rsid w:val="00963AFE"/>
    <w:rsid w:val="009640C3"/>
    <w:rsid w:val="00966624"/>
    <w:rsid w:val="00967392"/>
    <w:rsid w:val="00971C6A"/>
    <w:rsid w:val="00972717"/>
    <w:rsid w:val="0097553C"/>
    <w:rsid w:val="00975E77"/>
    <w:rsid w:val="00976A09"/>
    <w:rsid w:val="00976D80"/>
    <w:rsid w:val="00980D6F"/>
    <w:rsid w:val="00981A1C"/>
    <w:rsid w:val="00982905"/>
    <w:rsid w:val="00983EC6"/>
    <w:rsid w:val="00984044"/>
    <w:rsid w:val="00984247"/>
    <w:rsid w:val="00984BF7"/>
    <w:rsid w:val="00984DD1"/>
    <w:rsid w:val="0098754B"/>
    <w:rsid w:val="00987819"/>
    <w:rsid w:val="009905D7"/>
    <w:rsid w:val="0099077B"/>
    <w:rsid w:val="009915B4"/>
    <w:rsid w:val="0099220A"/>
    <w:rsid w:val="009925B9"/>
    <w:rsid w:val="00994DAE"/>
    <w:rsid w:val="00997280"/>
    <w:rsid w:val="00997932"/>
    <w:rsid w:val="00997BB3"/>
    <w:rsid w:val="009A0D6B"/>
    <w:rsid w:val="009A3939"/>
    <w:rsid w:val="009A3CE1"/>
    <w:rsid w:val="009B2C0E"/>
    <w:rsid w:val="009B33FD"/>
    <w:rsid w:val="009B4C74"/>
    <w:rsid w:val="009B4EC1"/>
    <w:rsid w:val="009B54E9"/>
    <w:rsid w:val="009B6D14"/>
    <w:rsid w:val="009B79B2"/>
    <w:rsid w:val="009C2448"/>
    <w:rsid w:val="009C26BB"/>
    <w:rsid w:val="009C2878"/>
    <w:rsid w:val="009C3CA3"/>
    <w:rsid w:val="009C472A"/>
    <w:rsid w:val="009C50D9"/>
    <w:rsid w:val="009C5197"/>
    <w:rsid w:val="009C5F18"/>
    <w:rsid w:val="009C7D09"/>
    <w:rsid w:val="009D0DB8"/>
    <w:rsid w:val="009D1122"/>
    <w:rsid w:val="009D2F7F"/>
    <w:rsid w:val="009D33AF"/>
    <w:rsid w:val="009D3C8A"/>
    <w:rsid w:val="009D4B30"/>
    <w:rsid w:val="009D6E0E"/>
    <w:rsid w:val="009D6F04"/>
    <w:rsid w:val="009E0552"/>
    <w:rsid w:val="009E288B"/>
    <w:rsid w:val="009E2ADC"/>
    <w:rsid w:val="009E345D"/>
    <w:rsid w:val="009E48C6"/>
    <w:rsid w:val="009E48E8"/>
    <w:rsid w:val="009E4C96"/>
    <w:rsid w:val="009E6FF2"/>
    <w:rsid w:val="009F0634"/>
    <w:rsid w:val="009F1AE4"/>
    <w:rsid w:val="009F1C4E"/>
    <w:rsid w:val="009F2A0D"/>
    <w:rsid w:val="009F3D8E"/>
    <w:rsid w:val="009F3FD7"/>
    <w:rsid w:val="009F56EB"/>
    <w:rsid w:val="009F5963"/>
    <w:rsid w:val="009F5EBD"/>
    <w:rsid w:val="009F6D51"/>
    <w:rsid w:val="009F7F6B"/>
    <w:rsid w:val="00A01F86"/>
    <w:rsid w:val="00A02131"/>
    <w:rsid w:val="00A02972"/>
    <w:rsid w:val="00A035F2"/>
    <w:rsid w:val="00A03A5A"/>
    <w:rsid w:val="00A0485D"/>
    <w:rsid w:val="00A0776D"/>
    <w:rsid w:val="00A079F5"/>
    <w:rsid w:val="00A11A08"/>
    <w:rsid w:val="00A12D74"/>
    <w:rsid w:val="00A13CFC"/>
    <w:rsid w:val="00A148C0"/>
    <w:rsid w:val="00A15046"/>
    <w:rsid w:val="00A15565"/>
    <w:rsid w:val="00A15BA5"/>
    <w:rsid w:val="00A15E22"/>
    <w:rsid w:val="00A1645F"/>
    <w:rsid w:val="00A1775A"/>
    <w:rsid w:val="00A17D0A"/>
    <w:rsid w:val="00A208C1"/>
    <w:rsid w:val="00A211B6"/>
    <w:rsid w:val="00A214F3"/>
    <w:rsid w:val="00A22D3D"/>
    <w:rsid w:val="00A22D5A"/>
    <w:rsid w:val="00A2325E"/>
    <w:rsid w:val="00A24462"/>
    <w:rsid w:val="00A24DE2"/>
    <w:rsid w:val="00A25F81"/>
    <w:rsid w:val="00A274C7"/>
    <w:rsid w:val="00A305B2"/>
    <w:rsid w:val="00A3206C"/>
    <w:rsid w:val="00A32FB3"/>
    <w:rsid w:val="00A35E12"/>
    <w:rsid w:val="00A37474"/>
    <w:rsid w:val="00A37BCA"/>
    <w:rsid w:val="00A40647"/>
    <w:rsid w:val="00A40C45"/>
    <w:rsid w:val="00A41464"/>
    <w:rsid w:val="00A41F00"/>
    <w:rsid w:val="00A43563"/>
    <w:rsid w:val="00A43793"/>
    <w:rsid w:val="00A43EF2"/>
    <w:rsid w:val="00A449F7"/>
    <w:rsid w:val="00A44A67"/>
    <w:rsid w:val="00A44E6F"/>
    <w:rsid w:val="00A45F5F"/>
    <w:rsid w:val="00A46042"/>
    <w:rsid w:val="00A500A0"/>
    <w:rsid w:val="00A50296"/>
    <w:rsid w:val="00A50D65"/>
    <w:rsid w:val="00A50FF4"/>
    <w:rsid w:val="00A511DC"/>
    <w:rsid w:val="00A5278C"/>
    <w:rsid w:val="00A534D7"/>
    <w:rsid w:val="00A548B0"/>
    <w:rsid w:val="00A563ED"/>
    <w:rsid w:val="00A5667E"/>
    <w:rsid w:val="00A56E82"/>
    <w:rsid w:val="00A57AD7"/>
    <w:rsid w:val="00A60C0D"/>
    <w:rsid w:val="00A61ED6"/>
    <w:rsid w:val="00A62EA0"/>
    <w:rsid w:val="00A64D11"/>
    <w:rsid w:val="00A64E4B"/>
    <w:rsid w:val="00A65358"/>
    <w:rsid w:val="00A65CE9"/>
    <w:rsid w:val="00A6628E"/>
    <w:rsid w:val="00A67C5F"/>
    <w:rsid w:val="00A7025D"/>
    <w:rsid w:val="00A70546"/>
    <w:rsid w:val="00A71036"/>
    <w:rsid w:val="00A73775"/>
    <w:rsid w:val="00A744BB"/>
    <w:rsid w:val="00A744DB"/>
    <w:rsid w:val="00A76435"/>
    <w:rsid w:val="00A76A3E"/>
    <w:rsid w:val="00A773FF"/>
    <w:rsid w:val="00A809C2"/>
    <w:rsid w:val="00A81184"/>
    <w:rsid w:val="00A814B8"/>
    <w:rsid w:val="00A839B8"/>
    <w:rsid w:val="00A83CD3"/>
    <w:rsid w:val="00A83D55"/>
    <w:rsid w:val="00A84E7D"/>
    <w:rsid w:val="00A85C66"/>
    <w:rsid w:val="00A8697B"/>
    <w:rsid w:val="00A869EE"/>
    <w:rsid w:val="00A874BF"/>
    <w:rsid w:val="00A87E31"/>
    <w:rsid w:val="00A9121D"/>
    <w:rsid w:val="00A93D11"/>
    <w:rsid w:val="00A94ADE"/>
    <w:rsid w:val="00A9597E"/>
    <w:rsid w:val="00A96DF8"/>
    <w:rsid w:val="00AA0025"/>
    <w:rsid w:val="00AA24AF"/>
    <w:rsid w:val="00AA2F0D"/>
    <w:rsid w:val="00AA37E0"/>
    <w:rsid w:val="00AA3B9D"/>
    <w:rsid w:val="00AA41A2"/>
    <w:rsid w:val="00AA43C7"/>
    <w:rsid w:val="00AA4CF6"/>
    <w:rsid w:val="00AA5595"/>
    <w:rsid w:val="00AA58B2"/>
    <w:rsid w:val="00AB1BD3"/>
    <w:rsid w:val="00AB29D1"/>
    <w:rsid w:val="00AB32B7"/>
    <w:rsid w:val="00AB3B44"/>
    <w:rsid w:val="00AB61FA"/>
    <w:rsid w:val="00AB7640"/>
    <w:rsid w:val="00AC2517"/>
    <w:rsid w:val="00AC26EE"/>
    <w:rsid w:val="00AC3DDF"/>
    <w:rsid w:val="00AC41D7"/>
    <w:rsid w:val="00AC5096"/>
    <w:rsid w:val="00AC55CC"/>
    <w:rsid w:val="00AC6587"/>
    <w:rsid w:val="00AC684E"/>
    <w:rsid w:val="00AC68B2"/>
    <w:rsid w:val="00AC7027"/>
    <w:rsid w:val="00AD0F8F"/>
    <w:rsid w:val="00AD31C5"/>
    <w:rsid w:val="00AD33F0"/>
    <w:rsid w:val="00AD3F5B"/>
    <w:rsid w:val="00AD5465"/>
    <w:rsid w:val="00AD5C8E"/>
    <w:rsid w:val="00AE00E6"/>
    <w:rsid w:val="00AE1B1B"/>
    <w:rsid w:val="00AE2500"/>
    <w:rsid w:val="00AE3C80"/>
    <w:rsid w:val="00AE4A3E"/>
    <w:rsid w:val="00AE4B49"/>
    <w:rsid w:val="00AF658D"/>
    <w:rsid w:val="00AF6D4E"/>
    <w:rsid w:val="00AF7866"/>
    <w:rsid w:val="00B000B1"/>
    <w:rsid w:val="00B021C4"/>
    <w:rsid w:val="00B022EB"/>
    <w:rsid w:val="00B02876"/>
    <w:rsid w:val="00B02EA9"/>
    <w:rsid w:val="00B03857"/>
    <w:rsid w:val="00B0393E"/>
    <w:rsid w:val="00B05041"/>
    <w:rsid w:val="00B059C7"/>
    <w:rsid w:val="00B05A6A"/>
    <w:rsid w:val="00B12675"/>
    <w:rsid w:val="00B1397A"/>
    <w:rsid w:val="00B1398F"/>
    <w:rsid w:val="00B143A9"/>
    <w:rsid w:val="00B146E4"/>
    <w:rsid w:val="00B14B97"/>
    <w:rsid w:val="00B14E8D"/>
    <w:rsid w:val="00B1672E"/>
    <w:rsid w:val="00B17AEA"/>
    <w:rsid w:val="00B17F46"/>
    <w:rsid w:val="00B20E81"/>
    <w:rsid w:val="00B21F28"/>
    <w:rsid w:val="00B222FA"/>
    <w:rsid w:val="00B22DF4"/>
    <w:rsid w:val="00B254D3"/>
    <w:rsid w:val="00B27410"/>
    <w:rsid w:val="00B3018C"/>
    <w:rsid w:val="00B31080"/>
    <w:rsid w:val="00B32162"/>
    <w:rsid w:val="00B32260"/>
    <w:rsid w:val="00B327E3"/>
    <w:rsid w:val="00B32941"/>
    <w:rsid w:val="00B3663B"/>
    <w:rsid w:val="00B36B80"/>
    <w:rsid w:val="00B36D28"/>
    <w:rsid w:val="00B42308"/>
    <w:rsid w:val="00B43F8C"/>
    <w:rsid w:val="00B44131"/>
    <w:rsid w:val="00B456A9"/>
    <w:rsid w:val="00B4710D"/>
    <w:rsid w:val="00B51D78"/>
    <w:rsid w:val="00B52D7E"/>
    <w:rsid w:val="00B54C3D"/>
    <w:rsid w:val="00B551BA"/>
    <w:rsid w:val="00B551F2"/>
    <w:rsid w:val="00B55FAE"/>
    <w:rsid w:val="00B56B0E"/>
    <w:rsid w:val="00B57343"/>
    <w:rsid w:val="00B57CDB"/>
    <w:rsid w:val="00B6139A"/>
    <w:rsid w:val="00B6143A"/>
    <w:rsid w:val="00B64138"/>
    <w:rsid w:val="00B64C42"/>
    <w:rsid w:val="00B6527A"/>
    <w:rsid w:val="00B65B5F"/>
    <w:rsid w:val="00B67C45"/>
    <w:rsid w:val="00B67E17"/>
    <w:rsid w:val="00B71824"/>
    <w:rsid w:val="00B71B59"/>
    <w:rsid w:val="00B73EAF"/>
    <w:rsid w:val="00B74ACE"/>
    <w:rsid w:val="00B75026"/>
    <w:rsid w:val="00B751D3"/>
    <w:rsid w:val="00B76EE3"/>
    <w:rsid w:val="00B7733D"/>
    <w:rsid w:val="00B77363"/>
    <w:rsid w:val="00B773DD"/>
    <w:rsid w:val="00B7768A"/>
    <w:rsid w:val="00B84B82"/>
    <w:rsid w:val="00B85851"/>
    <w:rsid w:val="00B85DF8"/>
    <w:rsid w:val="00B865BB"/>
    <w:rsid w:val="00B86859"/>
    <w:rsid w:val="00B90034"/>
    <w:rsid w:val="00B91D56"/>
    <w:rsid w:val="00B93055"/>
    <w:rsid w:val="00B930F8"/>
    <w:rsid w:val="00B93A0D"/>
    <w:rsid w:val="00B96F0E"/>
    <w:rsid w:val="00BA16A5"/>
    <w:rsid w:val="00BA2C62"/>
    <w:rsid w:val="00BA44AD"/>
    <w:rsid w:val="00BA4840"/>
    <w:rsid w:val="00BA4D55"/>
    <w:rsid w:val="00BA5655"/>
    <w:rsid w:val="00BA5A24"/>
    <w:rsid w:val="00BA6B27"/>
    <w:rsid w:val="00BB1510"/>
    <w:rsid w:val="00BB16D6"/>
    <w:rsid w:val="00BB31A0"/>
    <w:rsid w:val="00BB3DDE"/>
    <w:rsid w:val="00BB4367"/>
    <w:rsid w:val="00BB4EF1"/>
    <w:rsid w:val="00BB550E"/>
    <w:rsid w:val="00BB65BE"/>
    <w:rsid w:val="00BC0067"/>
    <w:rsid w:val="00BC035E"/>
    <w:rsid w:val="00BC10AE"/>
    <w:rsid w:val="00BC2F34"/>
    <w:rsid w:val="00BC2F9A"/>
    <w:rsid w:val="00BC2FAA"/>
    <w:rsid w:val="00BC336C"/>
    <w:rsid w:val="00BC34EF"/>
    <w:rsid w:val="00BC4036"/>
    <w:rsid w:val="00BC4156"/>
    <w:rsid w:val="00BC4E22"/>
    <w:rsid w:val="00BC7302"/>
    <w:rsid w:val="00BC7DBA"/>
    <w:rsid w:val="00BD0D5D"/>
    <w:rsid w:val="00BD1488"/>
    <w:rsid w:val="00BD15EC"/>
    <w:rsid w:val="00BD3D2E"/>
    <w:rsid w:val="00BD51FD"/>
    <w:rsid w:val="00BD6D84"/>
    <w:rsid w:val="00BD75B9"/>
    <w:rsid w:val="00BD7DC8"/>
    <w:rsid w:val="00BE129F"/>
    <w:rsid w:val="00BE1DCA"/>
    <w:rsid w:val="00BE2B0C"/>
    <w:rsid w:val="00BE3E82"/>
    <w:rsid w:val="00BE51CF"/>
    <w:rsid w:val="00BE5BD0"/>
    <w:rsid w:val="00BE679D"/>
    <w:rsid w:val="00BE7092"/>
    <w:rsid w:val="00BF2638"/>
    <w:rsid w:val="00BF2A6D"/>
    <w:rsid w:val="00BF323C"/>
    <w:rsid w:val="00BF3BD6"/>
    <w:rsid w:val="00BF4661"/>
    <w:rsid w:val="00BF4B9D"/>
    <w:rsid w:val="00BF5A23"/>
    <w:rsid w:val="00BF5D7F"/>
    <w:rsid w:val="00C01E15"/>
    <w:rsid w:val="00C03C51"/>
    <w:rsid w:val="00C03D23"/>
    <w:rsid w:val="00C05B2E"/>
    <w:rsid w:val="00C05F90"/>
    <w:rsid w:val="00C07436"/>
    <w:rsid w:val="00C105BA"/>
    <w:rsid w:val="00C1169A"/>
    <w:rsid w:val="00C120CB"/>
    <w:rsid w:val="00C120F6"/>
    <w:rsid w:val="00C12994"/>
    <w:rsid w:val="00C159E0"/>
    <w:rsid w:val="00C166FD"/>
    <w:rsid w:val="00C16A80"/>
    <w:rsid w:val="00C17CC8"/>
    <w:rsid w:val="00C20096"/>
    <w:rsid w:val="00C21413"/>
    <w:rsid w:val="00C22441"/>
    <w:rsid w:val="00C22EDC"/>
    <w:rsid w:val="00C236C7"/>
    <w:rsid w:val="00C242D0"/>
    <w:rsid w:val="00C24737"/>
    <w:rsid w:val="00C27194"/>
    <w:rsid w:val="00C27B87"/>
    <w:rsid w:val="00C27C95"/>
    <w:rsid w:val="00C31A8E"/>
    <w:rsid w:val="00C32429"/>
    <w:rsid w:val="00C32764"/>
    <w:rsid w:val="00C355FB"/>
    <w:rsid w:val="00C37DE2"/>
    <w:rsid w:val="00C40548"/>
    <w:rsid w:val="00C40AAC"/>
    <w:rsid w:val="00C40D22"/>
    <w:rsid w:val="00C417CE"/>
    <w:rsid w:val="00C420AD"/>
    <w:rsid w:val="00C43455"/>
    <w:rsid w:val="00C43756"/>
    <w:rsid w:val="00C44246"/>
    <w:rsid w:val="00C46364"/>
    <w:rsid w:val="00C4647F"/>
    <w:rsid w:val="00C47552"/>
    <w:rsid w:val="00C47C03"/>
    <w:rsid w:val="00C51E6D"/>
    <w:rsid w:val="00C53634"/>
    <w:rsid w:val="00C57F65"/>
    <w:rsid w:val="00C610F2"/>
    <w:rsid w:val="00C630E2"/>
    <w:rsid w:val="00C64149"/>
    <w:rsid w:val="00C64926"/>
    <w:rsid w:val="00C650B8"/>
    <w:rsid w:val="00C6747A"/>
    <w:rsid w:val="00C67CB1"/>
    <w:rsid w:val="00C70AFD"/>
    <w:rsid w:val="00C71C88"/>
    <w:rsid w:val="00C73032"/>
    <w:rsid w:val="00C73981"/>
    <w:rsid w:val="00C751CC"/>
    <w:rsid w:val="00C82972"/>
    <w:rsid w:val="00C82FD7"/>
    <w:rsid w:val="00C83B30"/>
    <w:rsid w:val="00C84839"/>
    <w:rsid w:val="00C84BB9"/>
    <w:rsid w:val="00C871E9"/>
    <w:rsid w:val="00C8786F"/>
    <w:rsid w:val="00C90157"/>
    <w:rsid w:val="00C9108A"/>
    <w:rsid w:val="00C92889"/>
    <w:rsid w:val="00C928EF"/>
    <w:rsid w:val="00C92EF9"/>
    <w:rsid w:val="00C94EAD"/>
    <w:rsid w:val="00C96C0B"/>
    <w:rsid w:val="00CA0632"/>
    <w:rsid w:val="00CA1ED1"/>
    <w:rsid w:val="00CA2947"/>
    <w:rsid w:val="00CA3716"/>
    <w:rsid w:val="00CA3744"/>
    <w:rsid w:val="00CA38A4"/>
    <w:rsid w:val="00CA4708"/>
    <w:rsid w:val="00CA5A3C"/>
    <w:rsid w:val="00CA5EEE"/>
    <w:rsid w:val="00CA6018"/>
    <w:rsid w:val="00CA6657"/>
    <w:rsid w:val="00CA671F"/>
    <w:rsid w:val="00CA6A36"/>
    <w:rsid w:val="00CA6C42"/>
    <w:rsid w:val="00CA7C52"/>
    <w:rsid w:val="00CB2948"/>
    <w:rsid w:val="00CB2F95"/>
    <w:rsid w:val="00CB3977"/>
    <w:rsid w:val="00CB3F95"/>
    <w:rsid w:val="00CB5248"/>
    <w:rsid w:val="00CB67C6"/>
    <w:rsid w:val="00CC01C5"/>
    <w:rsid w:val="00CC0897"/>
    <w:rsid w:val="00CC0B9B"/>
    <w:rsid w:val="00CC1675"/>
    <w:rsid w:val="00CC198B"/>
    <w:rsid w:val="00CC2004"/>
    <w:rsid w:val="00CC2D90"/>
    <w:rsid w:val="00CC529D"/>
    <w:rsid w:val="00CC5799"/>
    <w:rsid w:val="00CC5D1E"/>
    <w:rsid w:val="00CC6277"/>
    <w:rsid w:val="00CD046E"/>
    <w:rsid w:val="00CD0E38"/>
    <w:rsid w:val="00CD49A9"/>
    <w:rsid w:val="00CD6C53"/>
    <w:rsid w:val="00CD75D1"/>
    <w:rsid w:val="00CE0AC8"/>
    <w:rsid w:val="00CE0E08"/>
    <w:rsid w:val="00CE1809"/>
    <w:rsid w:val="00CE26C0"/>
    <w:rsid w:val="00CE2753"/>
    <w:rsid w:val="00CE28B9"/>
    <w:rsid w:val="00CE2DF7"/>
    <w:rsid w:val="00CE331E"/>
    <w:rsid w:val="00CE5777"/>
    <w:rsid w:val="00CE63BB"/>
    <w:rsid w:val="00CE6EC1"/>
    <w:rsid w:val="00CE724B"/>
    <w:rsid w:val="00CF0930"/>
    <w:rsid w:val="00CF0963"/>
    <w:rsid w:val="00CF0C60"/>
    <w:rsid w:val="00CF1FE4"/>
    <w:rsid w:val="00CF2224"/>
    <w:rsid w:val="00CF31DA"/>
    <w:rsid w:val="00CF54D7"/>
    <w:rsid w:val="00CF5BB3"/>
    <w:rsid w:val="00CF5E6B"/>
    <w:rsid w:val="00CF6995"/>
    <w:rsid w:val="00CF74F4"/>
    <w:rsid w:val="00CF776E"/>
    <w:rsid w:val="00D00385"/>
    <w:rsid w:val="00D010F4"/>
    <w:rsid w:val="00D02FCB"/>
    <w:rsid w:val="00D0327B"/>
    <w:rsid w:val="00D0379D"/>
    <w:rsid w:val="00D0681C"/>
    <w:rsid w:val="00D10D62"/>
    <w:rsid w:val="00D131AC"/>
    <w:rsid w:val="00D13566"/>
    <w:rsid w:val="00D15443"/>
    <w:rsid w:val="00D16378"/>
    <w:rsid w:val="00D16ECD"/>
    <w:rsid w:val="00D17034"/>
    <w:rsid w:val="00D1785C"/>
    <w:rsid w:val="00D20CF7"/>
    <w:rsid w:val="00D225CC"/>
    <w:rsid w:val="00D225E2"/>
    <w:rsid w:val="00D327FE"/>
    <w:rsid w:val="00D32B98"/>
    <w:rsid w:val="00D3324A"/>
    <w:rsid w:val="00D335C6"/>
    <w:rsid w:val="00D335CB"/>
    <w:rsid w:val="00D33A6A"/>
    <w:rsid w:val="00D33FED"/>
    <w:rsid w:val="00D347F3"/>
    <w:rsid w:val="00D34B7A"/>
    <w:rsid w:val="00D358BC"/>
    <w:rsid w:val="00D36313"/>
    <w:rsid w:val="00D4076F"/>
    <w:rsid w:val="00D412DB"/>
    <w:rsid w:val="00D41FC8"/>
    <w:rsid w:val="00D4360A"/>
    <w:rsid w:val="00D4365F"/>
    <w:rsid w:val="00D438C1"/>
    <w:rsid w:val="00D45F85"/>
    <w:rsid w:val="00D477D2"/>
    <w:rsid w:val="00D47A9F"/>
    <w:rsid w:val="00D50457"/>
    <w:rsid w:val="00D5116E"/>
    <w:rsid w:val="00D52F0C"/>
    <w:rsid w:val="00D5535C"/>
    <w:rsid w:val="00D6121F"/>
    <w:rsid w:val="00D617C4"/>
    <w:rsid w:val="00D61829"/>
    <w:rsid w:val="00D622EC"/>
    <w:rsid w:val="00D647C9"/>
    <w:rsid w:val="00D667C2"/>
    <w:rsid w:val="00D674FB"/>
    <w:rsid w:val="00D70227"/>
    <w:rsid w:val="00D70C57"/>
    <w:rsid w:val="00D73688"/>
    <w:rsid w:val="00D73A2E"/>
    <w:rsid w:val="00D73F4D"/>
    <w:rsid w:val="00D7590F"/>
    <w:rsid w:val="00D759B5"/>
    <w:rsid w:val="00D761F3"/>
    <w:rsid w:val="00D7636A"/>
    <w:rsid w:val="00D76C92"/>
    <w:rsid w:val="00D777C2"/>
    <w:rsid w:val="00D80463"/>
    <w:rsid w:val="00D80D7E"/>
    <w:rsid w:val="00D811A3"/>
    <w:rsid w:val="00D82D45"/>
    <w:rsid w:val="00D83E2F"/>
    <w:rsid w:val="00D8421C"/>
    <w:rsid w:val="00D8572F"/>
    <w:rsid w:val="00D85D3B"/>
    <w:rsid w:val="00D86118"/>
    <w:rsid w:val="00D862CF"/>
    <w:rsid w:val="00D8696E"/>
    <w:rsid w:val="00D87142"/>
    <w:rsid w:val="00D873CD"/>
    <w:rsid w:val="00D875A1"/>
    <w:rsid w:val="00D9085F"/>
    <w:rsid w:val="00D9197F"/>
    <w:rsid w:val="00D9456E"/>
    <w:rsid w:val="00D946F6"/>
    <w:rsid w:val="00D94DE7"/>
    <w:rsid w:val="00D95F70"/>
    <w:rsid w:val="00D96D88"/>
    <w:rsid w:val="00DA15E8"/>
    <w:rsid w:val="00DA1E67"/>
    <w:rsid w:val="00DA2887"/>
    <w:rsid w:val="00DA2F65"/>
    <w:rsid w:val="00DA4362"/>
    <w:rsid w:val="00DA571A"/>
    <w:rsid w:val="00DA67B6"/>
    <w:rsid w:val="00DB0F83"/>
    <w:rsid w:val="00DB11D4"/>
    <w:rsid w:val="00DB1266"/>
    <w:rsid w:val="00DB18DD"/>
    <w:rsid w:val="00DB1917"/>
    <w:rsid w:val="00DB1A19"/>
    <w:rsid w:val="00DB2BE8"/>
    <w:rsid w:val="00DB2D1A"/>
    <w:rsid w:val="00DB2F3D"/>
    <w:rsid w:val="00DB318C"/>
    <w:rsid w:val="00DB4C0E"/>
    <w:rsid w:val="00DB6897"/>
    <w:rsid w:val="00DB721E"/>
    <w:rsid w:val="00DC114E"/>
    <w:rsid w:val="00DC2B06"/>
    <w:rsid w:val="00DC33DA"/>
    <w:rsid w:val="00DC461E"/>
    <w:rsid w:val="00DC63C6"/>
    <w:rsid w:val="00DC6748"/>
    <w:rsid w:val="00DC680C"/>
    <w:rsid w:val="00DD0C03"/>
    <w:rsid w:val="00DD2236"/>
    <w:rsid w:val="00DD3152"/>
    <w:rsid w:val="00DD43FF"/>
    <w:rsid w:val="00DD6B02"/>
    <w:rsid w:val="00DD7642"/>
    <w:rsid w:val="00DE617A"/>
    <w:rsid w:val="00DE657A"/>
    <w:rsid w:val="00DE7A1C"/>
    <w:rsid w:val="00DF13F7"/>
    <w:rsid w:val="00DF3025"/>
    <w:rsid w:val="00DF382B"/>
    <w:rsid w:val="00DF4554"/>
    <w:rsid w:val="00DF5176"/>
    <w:rsid w:val="00E00798"/>
    <w:rsid w:val="00E01DCF"/>
    <w:rsid w:val="00E01FB1"/>
    <w:rsid w:val="00E0360E"/>
    <w:rsid w:val="00E03ACA"/>
    <w:rsid w:val="00E056CB"/>
    <w:rsid w:val="00E06054"/>
    <w:rsid w:val="00E0609A"/>
    <w:rsid w:val="00E07078"/>
    <w:rsid w:val="00E07AE4"/>
    <w:rsid w:val="00E10925"/>
    <w:rsid w:val="00E11F34"/>
    <w:rsid w:val="00E139F0"/>
    <w:rsid w:val="00E14B9F"/>
    <w:rsid w:val="00E176BA"/>
    <w:rsid w:val="00E20490"/>
    <w:rsid w:val="00E204C4"/>
    <w:rsid w:val="00E20B5A"/>
    <w:rsid w:val="00E24924"/>
    <w:rsid w:val="00E265D3"/>
    <w:rsid w:val="00E26851"/>
    <w:rsid w:val="00E30C62"/>
    <w:rsid w:val="00E31C9F"/>
    <w:rsid w:val="00E337D1"/>
    <w:rsid w:val="00E34817"/>
    <w:rsid w:val="00E34E5E"/>
    <w:rsid w:val="00E354B0"/>
    <w:rsid w:val="00E35D8A"/>
    <w:rsid w:val="00E3751D"/>
    <w:rsid w:val="00E37C88"/>
    <w:rsid w:val="00E4017E"/>
    <w:rsid w:val="00E418F5"/>
    <w:rsid w:val="00E42C91"/>
    <w:rsid w:val="00E466B6"/>
    <w:rsid w:val="00E46B10"/>
    <w:rsid w:val="00E47A56"/>
    <w:rsid w:val="00E47AFC"/>
    <w:rsid w:val="00E50AFF"/>
    <w:rsid w:val="00E512AC"/>
    <w:rsid w:val="00E54120"/>
    <w:rsid w:val="00E55540"/>
    <w:rsid w:val="00E55856"/>
    <w:rsid w:val="00E55E93"/>
    <w:rsid w:val="00E55F15"/>
    <w:rsid w:val="00E566FD"/>
    <w:rsid w:val="00E56C53"/>
    <w:rsid w:val="00E60336"/>
    <w:rsid w:val="00E603F7"/>
    <w:rsid w:val="00E60F11"/>
    <w:rsid w:val="00E6141A"/>
    <w:rsid w:val="00E6274B"/>
    <w:rsid w:val="00E6331B"/>
    <w:rsid w:val="00E63511"/>
    <w:rsid w:val="00E63980"/>
    <w:rsid w:val="00E63A7F"/>
    <w:rsid w:val="00E63F42"/>
    <w:rsid w:val="00E64DB9"/>
    <w:rsid w:val="00E65565"/>
    <w:rsid w:val="00E667E6"/>
    <w:rsid w:val="00E66805"/>
    <w:rsid w:val="00E668BD"/>
    <w:rsid w:val="00E71519"/>
    <w:rsid w:val="00E7529C"/>
    <w:rsid w:val="00E75E77"/>
    <w:rsid w:val="00E76C62"/>
    <w:rsid w:val="00E77A2B"/>
    <w:rsid w:val="00E77D18"/>
    <w:rsid w:val="00E80373"/>
    <w:rsid w:val="00E80714"/>
    <w:rsid w:val="00E81FB3"/>
    <w:rsid w:val="00E82ED7"/>
    <w:rsid w:val="00E85657"/>
    <w:rsid w:val="00E8565D"/>
    <w:rsid w:val="00E865A0"/>
    <w:rsid w:val="00E86A0E"/>
    <w:rsid w:val="00E87B76"/>
    <w:rsid w:val="00E90EE9"/>
    <w:rsid w:val="00E91013"/>
    <w:rsid w:val="00E91132"/>
    <w:rsid w:val="00E91E48"/>
    <w:rsid w:val="00E91EA7"/>
    <w:rsid w:val="00E9264C"/>
    <w:rsid w:val="00E92B72"/>
    <w:rsid w:val="00E95EA4"/>
    <w:rsid w:val="00E964A4"/>
    <w:rsid w:val="00E96886"/>
    <w:rsid w:val="00EA0288"/>
    <w:rsid w:val="00EA0E9C"/>
    <w:rsid w:val="00EA2C14"/>
    <w:rsid w:val="00EA318F"/>
    <w:rsid w:val="00EA3C58"/>
    <w:rsid w:val="00EA48FD"/>
    <w:rsid w:val="00EA5034"/>
    <w:rsid w:val="00EA557B"/>
    <w:rsid w:val="00EA5958"/>
    <w:rsid w:val="00EA6577"/>
    <w:rsid w:val="00EA6B3F"/>
    <w:rsid w:val="00EA7027"/>
    <w:rsid w:val="00EA7E28"/>
    <w:rsid w:val="00EB02DA"/>
    <w:rsid w:val="00EB181A"/>
    <w:rsid w:val="00EB3FF2"/>
    <w:rsid w:val="00EB49EA"/>
    <w:rsid w:val="00EB4A93"/>
    <w:rsid w:val="00EB6199"/>
    <w:rsid w:val="00EB6267"/>
    <w:rsid w:val="00EB6753"/>
    <w:rsid w:val="00EB7207"/>
    <w:rsid w:val="00EC04FC"/>
    <w:rsid w:val="00EC06D0"/>
    <w:rsid w:val="00EC0FFE"/>
    <w:rsid w:val="00EC2A13"/>
    <w:rsid w:val="00EC2DBA"/>
    <w:rsid w:val="00EC53CD"/>
    <w:rsid w:val="00EC6E95"/>
    <w:rsid w:val="00EC6F07"/>
    <w:rsid w:val="00EC7C78"/>
    <w:rsid w:val="00ED1142"/>
    <w:rsid w:val="00ED158A"/>
    <w:rsid w:val="00ED1AD9"/>
    <w:rsid w:val="00ED20A9"/>
    <w:rsid w:val="00ED3354"/>
    <w:rsid w:val="00ED50DD"/>
    <w:rsid w:val="00ED5815"/>
    <w:rsid w:val="00ED5AD1"/>
    <w:rsid w:val="00ED5E4F"/>
    <w:rsid w:val="00ED6173"/>
    <w:rsid w:val="00EE159F"/>
    <w:rsid w:val="00EE2A49"/>
    <w:rsid w:val="00EE304E"/>
    <w:rsid w:val="00EE5F11"/>
    <w:rsid w:val="00EE6CEC"/>
    <w:rsid w:val="00F0105B"/>
    <w:rsid w:val="00F01494"/>
    <w:rsid w:val="00F0353B"/>
    <w:rsid w:val="00F05544"/>
    <w:rsid w:val="00F06151"/>
    <w:rsid w:val="00F07C71"/>
    <w:rsid w:val="00F10C1B"/>
    <w:rsid w:val="00F11A31"/>
    <w:rsid w:val="00F12D8B"/>
    <w:rsid w:val="00F13C3D"/>
    <w:rsid w:val="00F144A3"/>
    <w:rsid w:val="00F14BCD"/>
    <w:rsid w:val="00F14C79"/>
    <w:rsid w:val="00F1567C"/>
    <w:rsid w:val="00F16638"/>
    <w:rsid w:val="00F1754A"/>
    <w:rsid w:val="00F175C8"/>
    <w:rsid w:val="00F17C83"/>
    <w:rsid w:val="00F20B8A"/>
    <w:rsid w:val="00F22923"/>
    <w:rsid w:val="00F23732"/>
    <w:rsid w:val="00F23DA5"/>
    <w:rsid w:val="00F240EF"/>
    <w:rsid w:val="00F247AB"/>
    <w:rsid w:val="00F251AA"/>
    <w:rsid w:val="00F2552C"/>
    <w:rsid w:val="00F2574A"/>
    <w:rsid w:val="00F324E6"/>
    <w:rsid w:val="00F40CAF"/>
    <w:rsid w:val="00F42026"/>
    <w:rsid w:val="00F45C0A"/>
    <w:rsid w:val="00F4698E"/>
    <w:rsid w:val="00F47480"/>
    <w:rsid w:val="00F478CD"/>
    <w:rsid w:val="00F47B42"/>
    <w:rsid w:val="00F5140D"/>
    <w:rsid w:val="00F51916"/>
    <w:rsid w:val="00F52428"/>
    <w:rsid w:val="00F5272F"/>
    <w:rsid w:val="00F539CC"/>
    <w:rsid w:val="00F54C88"/>
    <w:rsid w:val="00F54EAA"/>
    <w:rsid w:val="00F56E56"/>
    <w:rsid w:val="00F608F4"/>
    <w:rsid w:val="00F62650"/>
    <w:rsid w:val="00F62A52"/>
    <w:rsid w:val="00F62FB0"/>
    <w:rsid w:val="00F66FC5"/>
    <w:rsid w:val="00F67187"/>
    <w:rsid w:val="00F67D71"/>
    <w:rsid w:val="00F67F3C"/>
    <w:rsid w:val="00F70D3C"/>
    <w:rsid w:val="00F7111C"/>
    <w:rsid w:val="00F716BB"/>
    <w:rsid w:val="00F71790"/>
    <w:rsid w:val="00F71BEB"/>
    <w:rsid w:val="00F74473"/>
    <w:rsid w:val="00F75627"/>
    <w:rsid w:val="00F76507"/>
    <w:rsid w:val="00F77498"/>
    <w:rsid w:val="00F7793B"/>
    <w:rsid w:val="00F806BE"/>
    <w:rsid w:val="00F80B56"/>
    <w:rsid w:val="00F818A0"/>
    <w:rsid w:val="00F82DAD"/>
    <w:rsid w:val="00F82E95"/>
    <w:rsid w:val="00F831E9"/>
    <w:rsid w:val="00F83314"/>
    <w:rsid w:val="00F83C29"/>
    <w:rsid w:val="00F850BF"/>
    <w:rsid w:val="00F85AD7"/>
    <w:rsid w:val="00F8605B"/>
    <w:rsid w:val="00F87D5D"/>
    <w:rsid w:val="00F90692"/>
    <w:rsid w:val="00F91CDC"/>
    <w:rsid w:val="00F92358"/>
    <w:rsid w:val="00F9316C"/>
    <w:rsid w:val="00F93194"/>
    <w:rsid w:val="00F936A2"/>
    <w:rsid w:val="00F93AF0"/>
    <w:rsid w:val="00F94006"/>
    <w:rsid w:val="00F9623A"/>
    <w:rsid w:val="00F96506"/>
    <w:rsid w:val="00F96BD2"/>
    <w:rsid w:val="00FA050B"/>
    <w:rsid w:val="00FA142F"/>
    <w:rsid w:val="00FA161F"/>
    <w:rsid w:val="00FA40D5"/>
    <w:rsid w:val="00FA4204"/>
    <w:rsid w:val="00FA45CC"/>
    <w:rsid w:val="00FA59A3"/>
    <w:rsid w:val="00FA5BA6"/>
    <w:rsid w:val="00FA5F36"/>
    <w:rsid w:val="00FA6979"/>
    <w:rsid w:val="00FA7883"/>
    <w:rsid w:val="00FA7A4A"/>
    <w:rsid w:val="00FB102E"/>
    <w:rsid w:val="00FB1710"/>
    <w:rsid w:val="00FB1DA8"/>
    <w:rsid w:val="00FB4F1C"/>
    <w:rsid w:val="00FB573C"/>
    <w:rsid w:val="00FB65DF"/>
    <w:rsid w:val="00FB7809"/>
    <w:rsid w:val="00FB7E04"/>
    <w:rsid w:val="00FC0301"/>
    <w:rsid w:val="00FC51AC"/>
    <w:rsid w:val="00FC5445"/>
    <w:rsid w:val="00FC6886"/>
    <w:rsid w:val="00FC6B18"/>
    <w:rsid w:val="00FC787F"/>
    <w:rsid w:val="00FD0496"/>
    <w:rsid w:val="00FD3670"/>
    <w:rsid w:val="00FD4098"/>
    <w:rsid w:val="00FD4892"/>
    <w:rsid w:val="00FD58BE"/>
    <w:rsid w:val="00FD61B8"/>
    <w:rsid w:val="00FD6A57"/>
    <w:rsid w:val="00FD6C12"/>
    <w:rsid w:val="00FD78F9"/>
    <w:rsid w:val="00FD7D0E"/>
    <w:rsid w:val="00FE00C1"/>
    <w:rsid w:val="00FE13A9"/>
    <w:rsid w:val="00FE1BDD"/>
    <w:rsid w:val="00FE1FE8"/>
    <w:rsid w:val="00FE2ADA"/>
    <w:rsid w:val="00FE343A"/>
    <w:rsid w:val="00FE3E50"/>
    <w:rsid w:val="00FE4B95"/>
    <w:rsid w:val="00FE5B02"/>
    <w:rsid w:val="00FF1323"/>
    <w:rsid w:val="00FF17CE"/>
    <w:rsid w:val="00FF1F34"/>
    <w:rsid w:val="00FF22E9"/>
    <w:rsid w:val="00FF2AC8"/>
    <w:rsid w:val="00FF33D5"/>
    <w:rsid w:val="00FF4F04"/>
    <w:rsid w:val="00FF62E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0B4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1B6"/>
    <w:pPr>
      <w:spacing w:after="0" w:line="240" w:lineRule="auto"/>
    </w:pPr>
    <w:rPr>
      <w:rFonts w:eastAsia="Times New Roman" w:cs="Times New Roman"/>
      <w:szCs w:val="24"/>
      <w:lang w:eastAsia="ru-RU"/>
    </w:rPr>
  </w:style>
  <w:style w:type="paragraph" w:styleId="Heading1">
    <w:name w:val="heading 1"/>
    <w:basedOn w:val="Normal"/>
    <w:next w:val="Normal"/>
    <w:link w:val="Heading1Char"/>
    <w:qFormat/>
    <w:rsid w:val="00A211B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11B6"/>
    <w:rPr>
      <w:rFonts w:eastAsia="Times New Roman" w:cs="Times New Roman"/>
      <w:b/>
      <w:bCs/>
      <w:kern w:val="32"/>
      <w:szCs w:val="32"/>
      <w:lang w:val="x-none" w:eastAsia="ru-RU"/>
    </w:rPr>
  </w:style>
  <w:style w:type="table" w:styleId="TableGrid">
    <w:name w:val="Table Grid"/>
    <w:basedOn w:val="TableNormal"/>
    <w:rsid w:val="00A211B6"/>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211B6"/>
    <w:pPr>
      <w:spacing w:before="100" w:beforeAutospacing="1" w:after="100" w:afterAutospacing="1"/>
    </w:pPr>
    <w:rPr>
      <w:lang w:eastAsia="lv-LV"/>
    </w:rPr>
  </w:style>
  <w:style w:type="paragraph" w:styleId="NoSpacing">
    <w:name w:val="No Spacing"/>
    <w:uiPriority w:val="1"/>
    <w:qFormat/>
    <w:rsid w:val="00A211B6"/>
    <w:pPr>
      <w:spacing w:after="0" w:line="240" w:lineRule="auto"/>
    </w:pPr>
    <w:rPr>
      <w:rFonts w:eastAsia="Times New Roman" w:cs="Times New Roman"/>
      <w:szCs w:val="24"/>
      <w:lang w:eastAsia="ru-RU"/>
    </w:rPr>
  </w:style>
  <w:style w:type="character" w:styleId="Hyperlink">
    <w:name w:val="Hyperlink"/>
    <w:basedOn w:val="DefaultParagraphFont"/>
    <w:uiPriority w:val="99"/>
    <w:unhideWhenUsed/>
    <w:rsid w:val="00090FD9"/>
    <w:rPr>
      <w:color w:val="0563C1" w:themeColor="hyperlink"/>
      <w:u w:val="single"/>
    </w:rPr>
  </w:style>
  <w:style w:type="character" w:styleId="UnresolvedMention">
    <w:name w:val="Unresolved Mention"/>
    <w:basedOn w:val="DefaultParagraphFont"/>
    <w:uiPriority w:val="99"/>
    <w:semiHidden/>
    <w:unhideWhenUsed/>
    <w:rsid w:val="00090FD9"/>
    <w:rPr>
      <w:color w:val="605E5C"/>
      <w:shd w:val="clear" w:color="auto" w:fill="E1DFDD"/>
    </w:rPr>
  </w:style>
  <w:style w:type="character" w:styleId="CommentReference">
    <w:name w:val="annotation reference"/>
    <w:basedOn w:val="DefaultParagraphFont"/>
    <w:uiPriority w:val="99"/>
    <w:semiHidden/>
    <w:unhideWhenUsed/>
    <w:rsid w:val="00932027"/>
    <w:rPr>
      <w:sz w:val="16"/>
      <w:szCs w:val="16"/>
    </w:rPr>
  </w:style>
  <w:style w:type="paragraph" w:styleId="CommentText">
    <w:name w:val="annotation text"/>
    <w:basedOn w:val="Normal"/>
    <w:link w:val="CommentTextChar"/>
    <w:uiPriority w:val="99"/>
    <w:unhideWhenUsed/>
    <w:rsid w:val="00932027"/>
    <w:rPr>
      <w:sz w:val="20"/>
      <w:szCs w:val="20"/>
    </w:rPr>
  </w:style>
  <w:style w:type="character" w:customStyle="1" w:styleId="CommentTextChar">
    <w:name w:val="Comment Text Char"/>
    <w:basedOn w:val="DefaultParagraphFont"/>
    <w:link w:val="CommentText"/>
    <w:uiPriority w:val="99"/>
    <w:rsid w:val="00932027"/>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932027"/>
    <w:rPr>
      <w:b/>
      <w:bCs/>
    </w:rPr>
  </w:style>
  <w:style w:type="character" w:customStyle="1" w:styleId="CommentSubjectChar">
    <w:name w:val="Comment Subject Char"/>
    <w:basedOn w:val="CommentTextChar"/>
    <w:link w:val="CommentSubject"/>
    <w:uiPriority w:val="99"/>
    <w:semiHidden/>
    <w:rsid w:val="00932027"/>
    <w:rPr>
      <w:rFonts w:eastAsia="Times New Roman" w:cs="Times New Roman"/>
      <w:b/>
      <w:bCs/>
      <w:sz w:val="20"/>
      <w:szCs w:val="20"/>
      <w:lang w:eastAsia="ru-RU"/>
    </w:rPr>
  </w:style>
  <w:style w:type="paragraph" w:styleId="Revision">
    <w:name w:val="Revision"/>
    <w:hidden/>
    <w:uiPriority w:val="99"/>
    <w:semiHidden/>
    <w:rsid w:val="002612BB"/>
    <w:pPr>
      <w:spacing w:after="0" w:line="240" w:lineRule="auto"/>
    </w:pPr>
    <w:rPr>
      <w:rFonts w:eastAsia="Times New Roman" w:cs="Times New Roman"/>
      <w:szCs w:val="24"/>
      <w:lang w:eastAsia="ru-RU"/>
    </w:rPr>
  </w:style>
  <w:style w:type="paragraph" w:styleId="Header">
    <w:name w:val="header"/>
    <w:basedOn w:val="Normal"/>
    <w:link w:val="HeaderChar"/>
    <w:uiPriority w:val="99"/>
    <w:unhideWhenUsed/>
    <w:rsid w:val="00F247AB"/>
    <w:pPr>
      <w:tabs>
        <w:tab w:val="center" w:pos="4680"/>
        <w:tab w:val="right" w:pos="9360"/>
      </w:tabs>
    </w:pPr>
  </w:style>
  <w:style w:type="character" w:customStyle="1" w:styleId="HeaderChar">
    <w:name w:val="Header Char"/>
    <w:basedOn w:val="DefaultParagraphFont"/>
    <w:link w:val="Header"/>
    <w:uiPriority w:val="99"/>
    <w:rsid w:val="00F247AB"/>
    <w:rPr>
      <w:rFonts w:eastAsia="Times New Roman" w:cs="Times New Roman"/>
      <w:szCs w:val="24"/>
      <w:lang w:eastAsia="ru-RU"/>
    </w:rPr>
  </w:style>
  <w:style w:type="paragraph" w:styleId="Footer">
    <w:name w:val="footer"/>
    <w:basedOn w:val="Normal"/>
    <w:link w:val="FooterChar"/>
    <w:uiPriority w:val="99"/>
    <w:unhideWhenUsed/>
    <w:rsid w:val="00F247AB"/>
    <w:pPr>
      <w:tabs>
        <w:tab w:val="center" w:pos="4680"/>
        <w:tab w:val="right" w:pos="9360"/>
      </w:tabs>
    </w:pPr>
  </w:style>
  <w:style w:type="character" w:customStyle="1" w:styleId="FooterChar">
    <w:name w:val="Footer Char"/>
    <w:basedOn w:val="DefaultParagraphFont"/>
    <w:link w:val="Footer"/>
    <w:uiPriority w:val="99"/>
    <w:rsid w:val="00F247AB"/>
    <w:rPr>
      <w:rFonts w:eastAsia="Times New Roman" w:cs="Times New Roman"/>
      <w:szCs w:val="24"/>
      <w:lang w:eastAsia="ru-RU"/>
    </w:rPr>
  </w:style>
  <w:style w:type="character" w:styleId="FollowedHyperlink">
    <w:name w:val="FollowedHyperlink"/>
    <w:basedOn w:val="DefaultParagraphFont"/>
    <w:uiPriority w:val="99"/>
    <w:semiHidden/>
    <w:unhideWhenUsed/>
    <w:rsid w:val="00185649"/>
    <w:rPr>
      <w:color w:val="954F72" w:themeColor="followedHyperlink"/>
      <w:u w:val="single"/>
    </w:rPr>
  </w:style>
  <w:style w:type="paragraph" w:customStyle="1" w:styleId="Default">
    <w:name w:val="Default"/>
    <w:rsid w:val="0051351A"/>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0205">
      <w:bodyDiv w:val="1"/>
      <w:marLeft w:val="0"/>
      <w:marRight w:val="0"/>
      <w:marTop w:val="0"/>
      <w:marBottom w:val="0"/>
      <w:divBdr>
        <w:top w:val="none" w:sz="0" w:space="0" w:color="auto"/>
        <w:left w:val="none" w:sz="0" w:space="0" w:color="auto"/>
        <w:bottom w:val="none" w:sz="0" w:space="0" w:color="auto"/>
        <w:right w:val="none" w:sz="0" w:space="0" w:color="auto"/>
      </w:divBdr>
    </w:div>
    <w:div w:id="85656834">
      <w:bodyDiv w:val="1"/>
      <w:marLeft w:val="0"/>
      <w:marRight w:val="0"/>
      <w:marTop w:val="0"/>
      <w:marBottom w:val="0"/>
      <w:divBdr>
        <w:top w:val="none" w:sz="0" w:space="0" w:color="auto"/>
        <w:left w:val="none" w:sz="0" w:space="0" w:color="auto"/>
        <w:bottom w:val="none" w:sz="0" w:space="0" w:color="auto"/>
        <w:right w:val="none" w:sz="0" w:space="0" w:color="auto"/>
      </w:divBdr>
    </w:div>
    <w:div w:id="767964187">
      <w:bodyDiv w:val="1"/>
      <w:marLeft w:val="0"/>
      <w:marRight w:val="0"/>
      <w:marTop w:val="0"/>
      <w:marBottom w:val="0"/>
      <w:divBdr>
        <w:top w:val="none" w:sz="0" w:space="0" w:color="auto"/>
        <w:left w:val="none" w:sz="0" w:space="0" w:color="auto"/>
        <w:bottom w:val="none" w:sz="0" w:space="0" w:color="auto"/>
        <w:right w:val="none" w:sz="0" w:space="0" w:color="auto"/>
      </w:divBdr>
    </w:div>
    <w:div w:id="769005086">
      <w:bodyDiv w:val="1"/>
      <w:marLeft w:val="0"/>
      <w:marRight w:val="0"/>
      <w:marTop w:val="0"/>
      <w:marBottom w:val="0"/>
      <w:divBdr>
        <w:top w:val="none" w:sz="0" w:space="0" w:color="auto"/>
        <w:left w:val="none" w:sz="0" w:space="0" w:color="auto"/>
        <w:bottom w:val="none" w:sz="0" w:space="0" w:color="auto"/>
        <w:right w:val="none" w:sz="0" w:space="0" w:color="auto"/>
      </w:divBdr>
    </w:div>
    <w:div w:id="790787715">
      <w:bodyDiv w:val="1"/>
      <w:marLeft w:val="0"/>
      <w:marRight w:val="0"/>
      <w:marTop w:val="0"/>
      <w:marBottom w:val="0"/>
      <w:divBdr>
        <w:top w:val="none" w:sz="0" w:space="0" w:color="auto"/>
        <w:left w:val="none" w:sz="0" w:space="0" w:color="auto"/>
        <w:bottom w:val="none" w:sz="0" w:space="0" w:color="auto"/>
        <w:right w:val="none" w:sz="0" w:space="0" w:color="auto"/>
      </w:divBdr>
    </w:div>
    <w:div w:id="944533154">
      <w:bodyDiv w:val="1"/>
      <w:marLeft w:val="0"/>
      <w:marRight w:val="0"/>
      <w:marTop w:val="0"/>
      <w:marBottom w:val="0"/>
      <w:divBdr>
        <w:top w:val="none" w:sz="0" w:space="0" w:color="auto"/>
        <w:left w:val="none" w:sz="0" w:space="0" w:color="auto"/>
        <w:bottom w:val="none" w:sz="0" w:space="0" w:color="auto"/>
        <w:right w:val="none" w:sz="0" w:space="0" w:color="auto"/>
      </w:divBdr>
      <w:divsChild>
        <w:div w:id="1396784162">
          <w:marLeft w:val="0"/>
          <w:marRight w:val="0"/>
          <w:marTop w:val="15"/>
          <w:marBottom w:val="0"/>
          <w:divBdr>
            <w:top w:val="single" w:sz="48" w:space="0" w:color="auto"/>
            <w:left w:val="single" w:sz="48" w:space="0" w:color="auto"/>
            <w:bottom w:val="single" w:sz="48" w:space="0" w:color="auto"/>
            <w:right w:val="single" w:sz="48" w:space="0" w:color="auto"/>
          </w:divBdr>
          <w:divsChild>
            <w:div w:id="66265566">
              <w:marLeft w:val="0"/>
              <w:marRight w:val="0"/>
              <w:marTop w:val="0"/>
              <w:marBottom w:val="0"/>
              <w:divBdr>
                <w:top w:val="none" w:sz="0" w:space="0" w:color="auto"/>
                <w:left w:val="none" w:sz="0" w:space="0" w:color="auto"/>
                <w:bottom w:val="none" w:sz="0" w:space="0" w:color="auto"/>
                <w:right w:val="none" w:sz="0" w:space="0" w:color="auto"/>
              </w:divBdr>
            </w:div>
          </w:divsChild>
        </w:div>
        <w:div w:id="899554077">
          <w:marLeft w:val="0"/>
          <w:marRight w:val="0"/>
          <w:marTop w:val="15"/>
          <w:marBottom w:val="0"/>
          <w:divBdr>
            <w:top w:val="single" w:sz="48" w:space="0" w:color="auto"/>
            <w:left w:val="single" w:sz="48" w:space="0" w:color="auto"/>
            <w:bottom w:val="single" w:sz="48" w:space="0" w:color="auto"/>
            <w:right w:val="single" w:sz="48" w:space="0" w:color="auto"/>
          </w:divBdr>
          <w:divsChild>
            <w:div w:id="212070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100030">
      <w:bodyDiv w:val="1"/>
      <w:marLeft w:val="0"/>
      <w:marRight w:val="0"/>
      <w:marTop w:val="0"/>
      <w:marBottom w:val="0"/>
      <w:divBdr>
        <w:top w:val="none" w:sz="0" w:space="0" w:color="auto"/>
        <w:left w:val="none" w:sz="0" w:space="0" w:color="auto"/>
        <w:bottom w:val="none" w:sz="0" w:space="0" w:color="auto"/>
        <w:right w:val="none" w:sz="0" w:space="0" w:color="auto"/>
      </w:divBdr>
    </w:div>
    <w:div w:id="1249772805">
      <w:bodyDiv w:val="1"/>
      <w:marLeft w:val="0"/>
      <w:marRight w:val="0"/>
      <w:marTop w:val="0"/>
      <w:marBottom w:val="0"/>
      <w:divBdr>
        <w:top w:val="none" w:sz="0" w:space="0" w:color="auto"/>
        <w:left w:val="none" w:sz="0" w:space="0" w:color="auto"/>
        <w:bottom w:val="none" w:sz="0" w:space="0" w:color="auto"/>
        <w:right w:val="none" w:sz="0" w:space="0" w:color="auto"/>
      </w:divBdr>
      <w:divsChild>
        <w:div w:id="1171216769">
          <w:marLeft w:val="0"/>
          <w:marRight w:val="0"/>
          <w:marTop w:val="15"/>
          <w:marBottom w:val="0"/>
          <w:divBdr>
            <w:top w:val="single" w:sz="48" w:space="0" w:color="auto"/>
            <w:left w:val="single" w:sz="48" w:space="0" w:color="auto"/>
            <w:bottom w:val="single" w:sz="48" w:space="0" w:color="auto"/>
            <w:right w:val="single" w:sz="48" w:space="0" w:color="auto"/>
          </w:divBdr>
          <w:divsChild>
            <w:div w:id="1050764263">
              <w:marLeft w:val="0"/>
              <w:marRight w:val="0"/>
              <w:marTop w:val="0"/>
              <w:marBottom w:val="0"/>
              <w:divBdr>
                <w:top w:val="none" w:sz="0" w:space="0" w:color="auto"/>
                <w:left w:val="none" w:sz="0" w:space="0" w:color="auto"/>
                <w:bottom w:val="none" w:sz="0" w:space="0" w:color="auto"/>
                <w:right w:val="none" w:sz="0" w:space="0" w:color="auto"/>
              </w:divBdr>
            </w:div>
          </w:divsChild>
        </w:div>
        <w:div w:id="1762490358">
          <w:marLeft w:val="0"/>
          <w:marRight w:val="0"/>
          <w:marTop w:val="15"/>
          <w:marBottom w:val="0"/>
          <w:divBdr>
            <w:top w:val="single" w:sz="48" w:space="0" w:color="auto"/>
            <w:left w:val="single" w:sz="48" w:space="0" w:color="auto"/>
            <w:bottom w:val="single" w:sz="48" w:space="0" w:color="auto"/>
            <w:right w:val="single" w:sz="48" w:space="0" w:color="auto"/>
          </w:divBdr>
          <w:divsChild>
            <w:div w:id="14051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2459">
      <w:bodyDiv w:val="1"/>
      <w:marLeft w:val="0"/>
      <w:marRight w:val="0"/>
      <w:marTop w:val="0"/>
      <w:marBottom w:val="0"/>
      <w:divBdr>
        <w:top w:val="none" w:sz="0" w:space="0" w:color="auto"/>
        <w:left w:val="none" w:sz="0" w:space="0" w:color="auto"/>
        <w:bottom w:val="none" w:sz="0" w:space="0" w:color="auto"/>
        <w:right w:val="none" w:sz="0" w:space="0" w:color="auto"/>
      </w:divBdr>
    </w:div>
    <w:div w:id="1979722050">
      <w:bodyDiv w:val="1"/>
      <w:marLeft w:val="0"/>
      <w:marRight w:val="0"/>
      <w:marTop w:val="0"/>
      <w:marBottom w:val="0"/>
      <w:divBdr>
        <w:top w:val="none" w:sz="0" w:space="0" w:color="auto"/>
        <w:left w:val="none" w:sz="0" w:space="0" w:color="auto"/>
        <w:bottom w:val="none" w:sz="0" w:space="0" w:color="auto"/>
        <w:right w:val="none" w:sz="0" w:space="0" w:color="auto"/>
      </w:divBdr>
    </w:div>
    <w:div w:id="208792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e0cf63d6-8e20-41af-a926-5e5a6dfafda3" TargetMode="External"/><Relationship Id="rId13" Type="http://schemas.openxmlformats.org/officeDocument/2006/relationships/hyperlink" Target="https://gateway.elieta.lv/api/v1/PublicMaterialDownload/a429bc2b-8e1e-4403-a076-8905501d633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ateway.elieta.lv/api/v1/PublicMaterialDownload/64e09719-b8b5-486d-b0be-a2e8f3fc6df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eway.elieta.lv/api/v1/PublicMaterialDownload/6a565c76-8806-4dac-8973-537ac5eb447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ateway.elieta.lv/api/v1/PublicMaterialDownload/77d771ca-7753-4595-922f-da90853463df" TargetMode="External"/><Relationship Id="rId4" Type="http://schemas.openxmlformats.org/officeDocument/2006/relationships/settings" Target="settings.xml"/><Relationship Id="rId9" Type="http://schemas.openxmlformats.org/officeDocument/2006/relationships/hyperlink" Target="https://gateway.elieta.lv/api/v1/PublicMaterialDownload/77d771ca-7753-4595-922f-da90853463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76990-0A90-42E0-B94D-AA2A22818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21478</Words>
  <Characters>12243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2026-04-24T11:25:00Z</dcterms:created>
  <dcterms:modified xsi:type="dcterms:W3CDTF">2026-04-24T11:26:00Z</dcterms:modified>
</cp:coreProperties>
</file>