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ED524" w14:textId="77777777" w:rsidR="001B4A49" w:rsidRDefault="001B4A49" w:rsidP="001B4A49">
      <w:pPr>
        <w:spacing w:after="0" w:line="276" w:lineRule="auto"/>
        <w:jc w:val="both"/>
        <w:rPr>
          <w:b/>
          <w:bCs/>
          <w:i/>
          <w:iCs/>
        </w:rPr>
      </w:pPr>
      <w:r w:rsidRPr="000217DE">
        <w:rPr>
          <w:b/>
          <w:bCs/>
        </w:rPr>
        <w:t>Brīvības atņemšanas soda noteikšana par Krimināllikuma 253. panta pirmajā daļā paredzēto noziedzīgo nodarījumu, kas izdarīts līdz 2013. gada 31. martam</w:t>
      </w:r>
    </w:p>
    <w:p w14:paraId="20C3B43A" w14:textId="5B147447" w:rsidR="001B4A49" w:rsidRPr="000217DE" w:rsidRDefault="001B4A49" w:rsidP="001B4A49">
      <w:pPr>
        <w:spacing w:after="0" w:line="276" w:lineRule="auto"/>
        <w:jc w:val="both"/>
        <w:rPr>
          <w:i/>
          <w:iCs/>
        </w:rPr>
      </w:pPr>
      <w:r w:rsidRPr="000217DE">
        <w:t>Īslaicīga brīvības atņemšana ir brīvības atņemšanas soda paveids, kas pēc savas būtības pilnībā atbilst brīvības atņemšanas definīcijai</w:t>
      </w:r>
      <w:r w:rsidR="00C107F8">
        <w:t> – </w:t>
      </w:r>
      <w:r w:rsidRPr="000217DE">
        <w:t>personas piespiedu turēšanai ieslodzījumā</w:t>
      </w:r>
      <w:r w:rsidR="00C107F8">
        <w:t> – </w:t>
      </w:r>
      <w:r w:rsidRPr="000217DE">
        <w:t>, taču ir diferencēts pēc tā ilguma. Likumdevējs, paredzot iespēju noteikt īslaicīgu brīvības atņemšanu uz laiku līdz trim mēnešiem, ir radījis elastīgāku krimināltiesisko regulējumu, kas ļauj tiesai vērtēt brīvības atņemšana soda ilgumu. Tādējādi īslaicīga brīvības atņemšana saglabā brīvības atņemšanai raksturīgo augsto personas pamattiesību ierobežojuma intensitāti, vienlaikus paredzot būtiski īsāku tās termiņu.</w:t>
      </w:r>
    </w:p>
    <w:p w14:paraId="0EE5C900" w14:textId="77777777" w:rsidR="001B4A49" w:rsidRPr="000217DE" w:rsidRDefault="001B4A49" w:rsidP="001B4A49">
      <w:pPr>
        <w:spacing w:after="0" w:line="276" w:lineRule="auto"/>
        <w:jc w:val="both"/>
      </w:pPr>
      <w:r w:rsidRPr="000217DE">
        <w:t>Tiesa, nosakot brīvības atņemšanas sodu par Krimināllikuma 253. panta pirmajā daļā paredzēto noziedzīgo nodarījumu, kas izdarīts līdz 2013. gada 31. martam, piemēro 2012.</w:t>
      </w:r>
      <w:r>
        <w:t> </w:t>
      </w:r>
      <w:r w:rsidRPr="000217DE">
        <w:t>gada 13.</w:t>
      </w:r>
      <w:r>
        <w:t> </w:t>
      </w:r>
      <w:r w:rsidRPr="000217DE">
        <w:t>decembra likuma „Grozījumi Krimināllikumā” pārejas noteikumu 6. punktu, kas noteic, ka tad, ja par attiecīgo noziedzīgo nodarījumu Krimināllikumā pēc šā likuma spēkā stāšanās dienas paredzēta zemāka brīvības atņemšanas soda minimālā robeža, tiesa to ņem vērā, nosakot brīvības atņemšanas sodu.</w:t>
      </w:r>
    </w:p>
    <w:p w14:paraId="205CB3C2" w14:textId="77777777" w:rsidR="001B4A49" w:rsidRPr="000217DE" w:rsidRDefault="001B4A49" w:rsidP="001B4A49">
      <w:pPr>
        <w:spacing w:after="0" w:line="276" w:lineRule="auto"/>
        <w:jc w:val="both"/>
      </w:pPr>
      <w:r w:rsidRPr="000217DE">
        <w:t>Krimināllikuma 253.</w:t>
      </w:r>
      <w:r>
        <w:t> </w:t>
      </w:r>
      <w:r w:rsidRPr="000217DE">
        <w:t>panta pirmās daļas (redakcijā, kas spēkā no 2013.</w:t>
      </w:r>
      <w:r>
        <w:t> </w:t>
      </w:r>
      <w:r w:rsidRPr="000217DE">
        <w:t>gada 1.</w:t>
      </w:r>
      <w:r>
        <w:t> </w:t>
      </w:r>
      <w:r w:rsidRPr="000217DE">
        <w:t>aprīļa) sankcijā ir paredzēta īslaicīga brīvības atņemšana, kuru saskaņā ar Krimināllikuma 38.</w:t>
      </w:r>
      <w:r>
        <w:t> </w:t>
      </w:r>
      <w:r w:rsidRPr="000217DE">
        <w:t>panta otro un 2.</w:t>
      </w:r>
      <w:r w:rsidRPr="000217DE">
        <w:rPr>
          <w:vertAlign w:val="superscript"/>
        </w:rPr>
        <w:t>1</w:t>
      </w:r>
      <w:r>
        <w:t> </w:t>
      </w:r>
      <w:r w:rsidRPr="000217DE">
        <w:t>daļu nosaka uz laiku no piecpadsmit dienām līdz trim mēnešiem, tāpēc ir pamats atzīt, ka Krimināllikuma 253.</w:t>
      </w:r>
      <w:r>
        <w:t> </w:t>
      </w:r>
      <w:r w:rsidRPr="000217DE">
        <w:t xml:space="preserve">panta pirmās daļas sankcijā tās aktuālajā redakcijā ir paredzēta zemāka brīvības atņemšanas soda minimālā robeža. </w:t>
      </w:r>
    </w:p>
    <w:p w14:paraId="59B30BCB" w14:textId="77777777" w:rsidR="001B4A49" w:rsidRDefault="001B4A49" w:rsidP="001B4A49">
      <w:pPr>
        <w:spacing w:after="0" w:line="276" w:lineRule="auto"/>
        <w:jc w:val="center"/>
        <w:rPr>
          <w:b/>
        </w:rPr>
      </w:pPr>
    </w:p>
    <w:p w14:paraId="38275B88" w14:textId="36E62A7D" w:rsidR="00124436" w:rsidRPr="001B4A49" w:rsidRDefault="00124436" w:rsidP="001B4A49">
      <w:pPr>
        <w:spacing w:after="0" w:line="276" w:lineRule="auto"/>
        <w:jc w:val="center"/>
        <w:rPr>
          <w:b/>
        </w:rPr>
      </w:pPr>
      <w:r w:rsidRPr="001B4A49">
        <w:rPr>
          <w:b/>
        </w:rPr>
        <w:t>Latvijas Republikas Senāt</w:t>
      </w:r>
      <w:r w:rsidR="001B4A49" w:rsidRPr="001B4A49">
        <w:rPr>
          <w:b/>
        </w:rPr>
        <w:t>a</w:t>
      </w:r>
    </w:p>
    <w:p w14:paraId="3EBC52FC" w14:textId="792A4783" w:rsidR="001B4A49" w:rsidRPr="001B4A49" w:rsidRDefault="001B4A49" w:rsidP="001B4A49">
      <w:pPr>
        <w:widowControl w:val="0"/>
        <w:spacing w:after="0" w:line="276" w:lineRule="auto"/>
        <w:jc w:val="center"/>
        <w:rPr>
          <w:b/>
        </w:rPr>
      </w:pPr>
      <w:r w:rsidRPr="001B4A49">
        <w:rPr>
          <w:b/>
        </w:rPr>
        <w:t>Krimināllietu departament</w:t>
      </w:r>
      <w:r w:rsidRPr="001B4A49">
        <w:rPr>
          <w:b/>
        </w:rPr>
        <w:t>a</w:t>
      </w:r>
    </w:p>
    <w:p w14:paraId="5DFF7B4E" w14:textId="26F7EA57" w:rsidR="001B4A49" w:rsidRPr="001B4A49" w:rsidRDefault="001B4A49" w:rsidP="001B4A49">
      <w:pPr>
        <w:spacing w:after="0" w:line="276" w:lineRule="auto"/>
        <w:jc w:val="center"/>
        <w:rPr>
          <w:b/>
        </w:rPr>
      </w:pPr>
      <w:r w:rsidRPr="001B4A49">
        <w:rPr>
          <w:b/>
        </w:rPr>
        <w:t>2026. gada 2. aprī</w:t>
      </w:r>
      <w:r w:rsidRPr="001B4A49">
        <w:rPr>
          <w:b/>
        </w:rPr>
        <w:t>ļa</w:t>
      </w:r>
    </w:p>
    <w:p w14:paraId="059E8446" w14:textId="706A46B4" w:rsidR="00124436" w:rsidRPr="001B4A49" w:rsidRDefault="00124436" w:rsidP="001B4A49">
      <w:pPr>
        <w:spacing w:after="0" w:line="276" w:lineRule="auto"/>
        <w:jc w:val="center"/>
        <w:rPr>
          <w:b/>
        </w:rPr>
      </w:pPr>
      <w:r w:rsidRPr="001B4A49">
        <w:rPr>
          <w:b/>
        </w:rPr>
        <w:t>LĒMUMS</w:t>
      </w:r>
    </w:p>
    <w:p w14:paraId="31467E9D" w14:textId="77777777" w:rsidR="001B4A49" w:rsidRDefault="001B4A49" w:rsidP="001B4A49">
      <w:pPr>
        <w:widowControl w:val="0"/>
        <w:spacing w:after="0" w:line="276" w:lineRule="auto"/>
        <w:jc w:val="center"/>
        <w:rPr>
          <w:b/>
        </w:rPr>
      </w:pPr>
      <w:r w:rsidRPr="001B4A49">
        <w:rPr>
          <w:b/>
        </w:rPr>
        <w:t>Lieta Nr. 11815000913, SKK</w:t>
      </w:r>
      <w:r w:rsidRPr="001B4A49">
        <w:rPr>
          <w:b/>
        </w:rPr>
        <w:noBreakHyphen/>
        <w:t>94/2026</w:t>
      </w:r>
    </w:p>
    <w:p w14:paraId="514C6274" w14:textId="57D8E56B" w:rsidR="00124436" w:rsidRDefault="001B4A49" w:rsidP="001B4A49">
      <w:pPr>
        <w:spacing w:after="0" w:line="276" w:lineRule="auto"/>
        <w:jc w:val="center"/>
      </w:pPr>
      <w:hyperlink r:id="rId6" w:history="1">
        <w:r w:rsidRPr="001B4A49">
          <w:rPr>
            <w:rStyle w:val="Hyperlink"/>
          </w:rPr>
          <w:t>ECLI:LV:AT:2026</w:t>
        </w:r>
        <w:r w:rsidRPr="001B4A49">
          <w:rPr>
            <w:rStyle w:val="Hyperlink"/>
          </w:rPr>
          <w:t>:</w:t>
        </w:r>
        <w:r w:rsidRPr="001B4A49">
          <w:rPr>
            <w:rStyle w:val="Hyperlink"/>
          </w:rPr>
          <w:t>0402.118150</w:t>
        </w:r>
        <w:r w:rsidRPr="001B4A49">
          <w:rPr>
            <w:rStyle w:val="Hyperlink"/>
          </w:rPr>
          <w:t>0</w:t>
        </w:r>
        <w:r w:rsidRPr="001B4A49">
          <w:rPr>
            <w:rStyle w:val="Hyperlink"/>
          </w:rPr>
          <w:t>0913.8.L</w:t>
        </w:r>
      </w:hyperlink>
    </w:p>
    <w:p w14:paraId="4DC730C5" w14:textId="77777777" w:rsidR="001B4A49" w:rsidRPr="003258EF" w:rsidRDefault="001B4A49" w:rsidP="001B4A49">
      <w:pPr>
        <w:spacing w:after="0" w:line="276" w:lineRule="auto"/>
        <w:jc w:val="center"/>
      </w:pPr>
    </w:p>
    <w:p w14:paraId="6F2617A1" w14:textId="0FDC610A" w:rsidR="00124436" w:rsidRPr="003258EF" w:rsidRDefault="00124436" w:rsidP="001B4A49">
      <w:pPr>
        <w:pStyle w:val="NoSpacing"/>
        <w:spacing w:line="276" w:lineRule="auto"/>
        <w:ind w:firstLine="720"/>
        <w:jc w:val="both"/>
        <w:rPr>
          <w:lang w:eastAsia="lv-LV"/>
        </w:rPr>
      </w:pPr>
      <w:r w:rsidRPr="003258EF">
        <w:t xml:space="preserve">Senāts šādā sastāvā: senatore referente Sandra Kaija, senatori </w:t>
      </w:r>
      <w:r>
        <w:t xml:space="preserve">Māris Leja un Inguna Radzeviča </w:t>
      </w:r>
    </w:p>
    <w:p w14:paraId="23657420" w14:textId="0924FA28" w:rsidR="00124436" w:rsidRDefault="00124436" w:rsidP="00E158A5">
      <w:pPr>
        <w:pStyle w:val="NoSpacing"/>
        <w:spacing w:line="276" w:lineRule="auto"/>
        <w:ind w:firstLine="720"/>
        <w:jc w:val="both"/>
        <w:rPr>
          <w:lang w:eastAsia="lv-LV"/>
        </w:rPr>
      </w:pPr>
      <w:r w:rsidRPr="003258EF">
        <w:rPr>
          <w:lang w:eastAsia="lv-LV"/>
        </w:rPr>
        <w:t xml:space="preserve">rakstveida procesā izskatīja krimināllietu sakarā ar </w:t>
      </w:r>
      <w:r w:rsidRPr="002A6EEE">
        <w:t xml:space="preserve">apsūdzētā </w:t>
      </w:r>
      <w:r w:rsidR="001B4A49">
        <w:t>[pers. A]</w:t>
      </w:r>
      <w:r w:rsidRPr="002A6EEE">
        <w:t xml:space="preserve"> kasācijas sūdzību par </w:t>
      </w:r>
      <w:r>
        <w:t xml:space="preserve">Rīgas </w:t>
      </w:r>
      <w:r w:rsidRPr="002A6EEE">
        <w:t xml:space="preserve">apgabaltiesas 2025. gada </w:t>
      </w:r>
      <w:r>
        <w:t>3. jūnija spriedumu</w:t>
      </w:r>
      <w:r w:rsidRPr="003258EF">
        <w:rPr>
          <w:lang w:eastAsia="lv-LV"/>
        </w:rPr>
        <w:t>.</w:t>
      </w:r>
    </w:p>
    <w:p w14:paraId="376EA233" w14:textId="77777777" w:rsidR="00E158A5" w:rsidRPr="003258EF" w:rsidRDefault="00E158A5" w:rsidP="00E158A5">
      <w:pPr>
        <w:pStyle w:val="NoSpacing"/>
        <w:spacing w:line="276" w:lineRule="auto"/>
        <w:jc w:val="both"/>
        <w:rPr>
          <w:lang w:eastAsia="lv-LV"/>
        </w:rPr>
      </w:pPr>
    </w:p>
    <w:p w14:paraId="416DAF78" w14:textId="77777777" w:rsidR="00124436" w:rsidRDefault="00124436" w:rsidP="00E158A5">
      <w:pPr>
        <w:pStyle w:val="NoSpacing"/>
        <w:spacing w:line="276" w:lineRule="auto"/>
        <w:jc w:val="center"/>
        <w:rPr>
          <w:b/>
          <w:shd w:val="clear" w:color="auto" w:fill="FFFFFF"/>
        </w:rPr>
      </w:pPr>
      <w:r w:rsidRPr="003258EF">
        <w:rPr>
          <w:b/>
          <w:shd w:val="clear" w:color="auto" w:fill="FFFFFF"/>
        </w:rPr>
        <w:t>Aprakstošā daļa</w:t>
      </w:r>
    </w:p>
    <w:p w14:paraId="0B7339F3" w14:textId="77777777" w:rsidR="00E158A5" w:rsidRPr="003258EF" w:rsidRDefault="00E158A5" w:rsidP="00E158A5">
      <w:pPr>
        <w:pStyle w:val="NoSpacing"/>
        <w:spacing w:line="276" w:lineRule="auto"/>
        <w:jc w:val="both"/>
        <w:rPr>
          <w:b/>
          <w:shd w:val="clear" w:color="auto" w:fill="FFFFFF"/>
        </w:rPr>
      </w:pPr>
    </w:p>
    <w:p w14:paraId="3CA35937" w14:textId="5D57B8CB" w:rsidR="00124436" w:rsidRPr="003258EF" w:rsidRDefault="00124436" w:rsidP="00E158A5">
      <w:pPr>
        <w:pStyle w:val="NoSpacing"/>
        <w:spacing w:line="276" w:lineRule="auto"/>
        <w:ind w:firstLine="720"/>
        <w:jc w:val="both"/>
        <w:rPr>
          <w:shd w:val="clear" w:color="auto" w:fill="FFFFFF"/>
        </w:rPr>
      </w:pPr>
      <w:r w:rsidRPr="003258EF">
        <w:rPr>
          <w:shd w:val="clear" w:color="auto" w:fill="FFFFFF"/>
        </w:rPr>
        <w:t xml:space="preserve">[1] Ar </w:t>
      </w:r>
      <w:r>
        <w:rPr>
          <w:shd w:val="clear" w:color="auto" w:fill="FFFFFF"/>
        </w:rPr>
        <w:t xml:space="preserve">Rīgas </w:t>
      </w:r>
      <w:r w:rsidR="00E90DC8">
        <w:rPr>
          <w:shd w:val="clear" w:color="auto" w:fill="FFFFFF"/>
        </w:rPr>
        <w:t>pilsētas</w:t>
      </w:r>
      <w:r w:rsidRPr="003258EF">
        <w:rPr>
          <w:shd w:val="clear" w:color="auto" w:fill="FFFFFF"/>
        </w:rPr>
        <w:t xml:space="preserve"> tiesas 202</w:t>
      </w:r>
      <w:r>
        <w:rPr>
          <w:shd w:val="clear" w:color="auto" w:fill="FFFFFF"/>
        </w:rPr>
        <w:t>3</w:t>
      </w:r>
      <w:r w:rsidRPr="003258EF">
        <w:rPr>
          <w:shd w:val="clear" w:color="auto" w:fill="FFFFFF"/>
        </w:rPr>
        <w:t xml:space="preserve">. gada </w:t>
      </w:r>
      <w:r>
        <w:rPr>
          <w:shd w:val="clear" w:color="auto" w:fill="FFFFFF"/>
        </w:rPr>
        <w:t>17. aprīļa spriedumu</w:t>
      </w:r>
    </w:p>
    <w:p w14:paraId="61A25D3C" w14:textId="1011CB7C" w:rsidR="00124436" w:rsidRDefault="001B4A49" w:rsidP="00E158A5">
      <w:pPr>
        <w:pStyle w:val="NoSpacing"/>
        <w:spacing w:line="276" w:lineRule="auto"/>
        <w:ind w:firstLine="720"/>
        <w:jc w:val="both"/>
        <w:rPr>
          <w:shd w:val="clear" w:color="auto" w:fill="FFFFFF"/>
        </w:rPr>
      </w:pPr>
      <w:r>
        <w:rPr>
          <w:shd w:val="clear" w:color="auto" w:fill="FFFFFF"/>
        </w:rPr>
        <w:t>[pers. A]</w:t>
      </w:r>
      <w:r w:rsidR="00124436">
        <w:rPr>
          <w:shd w:val="clear" w:color="auto" w:fill="FFFFFF"/>
        </w:rPr>
        <w:t xml:space="preserve">, personas kods </w:t>
      </w:r>
      <w:r>
        <w:rPr>
          <w:shd w:val="clear" w:color="auto" w:fill="FFFFFF"/>
        </w:rPr>
        <w:t>[..]</w:t>
      </w:r>
      <w:r w:rsidR="00124436">
        <w:rPr>
          <w:shd w:val="clear" w:color="auto" w:fill="FFFFFF"/>
        </w:rPr>
        <w:t>,</w:t>
      </w:r>
    </w:p>
    <w:p w14:paraId="69951956" w14:textId="77777777" w:rsidR="0098361A" w:rsidRDefault="0098361A" w:rsidP="00E158A5">
      <w:pPr>
        <w:pStyle w:val="NoSpacing"/>
        <w:spacing w:line="276" w:lineRule="auto"/>
        <w:ind w:firstLine="720"/>
        <w:jc w:val="both"/>
        <w:rPr>
          <w:shd w:val="clear" w:color="auto" w:fill="FFFFFF"/>
        </w:rPr>
      </w:pPr>
      <w:r>
        <w:rPr>
          <w:shd w:val="clear" w:color="auto" w:fill="FFFFFF"/>
        </w:rPr>
        <w:t>atzīts par vainīgu Krimināllikuma 253.</w:t>
      </w:r>
      <w:r>
        <w:rPr>
          <w:shd w:val="clear" w:color="auto" w:fill="FFFFFF"/>
          <w:vertAlign w:val="superscript"/>
        </w:rPr>
        <w:t> </w:t>
      </w:r>
      <w:r>
        <w:rPr>
          <w:shd w:val="clear" w:color="auto" w:fill="FFFFFF"/>
        </w:rPr>
        <w:t>panta pirmajā daļā paredzētajā noziedzīgajā nodarījumā un sodīts, piemērojot Krimināllikuma 49.</w:t>
      </w:r>
      <w:r w:rsidRPr="00E158A5">
        <w:rPr>
          <w:shd w:val="clear" w:color="auto" w:fill="FFFFFF"/>
          <w:vertAlign w:val="superscript"/>
        </w:rPr>
        <w:t>1</w:t>
      </w:r>
      <w:r>
        <w:rPr>
          <w:shd w:val="clear" w:color="auto" w:fill="FFFFFF"/>
          <w:vertAlign w:val="superscript"/>
        </w:rPr>
        <w:t> </w:t>
      </w:r>
      <w:r>
        <w:rPr>
          <w:shd w:val="clear" w:color="auto" w:fill="FFFFFF"/>
        </w:rPr>
        <w:t>panta pirmās daļas 2. punktu, ar īslaicīgu brīvības atņemšanu uz 1 mēnesi;</w:t>
      </w:r>
    </w:p>
    <w:p w14:paraId="0D471AA8" w14:textId="4B11E84B" w:rsidR="00E158A5" w:rsidRDefault="00E158A5" w:rsidP="00140CE0">
      <w:pPr>
        <w:pStyle w:val="NoSpacing"/>
        <w:spacing w:line="276" w:lineRule="auto"/>
        <w:ind w:firstLine="720"/>
        <w:jc w:val="both"/>
        <w:rPr>
          <w:shd w:val="clear" w:color="auto" w:fill="FFFFFF"/>
        </w:rPr>
      </w:pPr>
      <w:r>
        <w:rPr>
          <w:shd w:val="clear" w:color="auto" w:fill="FFFFFF"/>
        </w:rPr>
        <w:t>atzīts par vainīgu Krimināllikuma 253.</w:t>
      </w:r>
      <w:r w:rsidRPr="00E158A5">
        <w:rPr>
          <w:shd w:val="clear" w:color="auto" w:fill="FFFFFF"/>
          <w:vertAlign w:val="superscript"/>
        </w:rPr>
        <w:t>1</w:t>
      </w:r>
      <w:r>
        <w:rPr>
          <w:shd w:val="clear" w:color="auto" w:fill="FFFFFF"/>
          <w:vertAlign w:val="superscript"/>
        </w:rPr>
        <w:t> </w:t>
      </w:r>
      <w:r>
        <w:rPr>
          <w:shd w:val="clear" w:color="auto" w:fill="FFFFFF"/>
        </w:rPr>
        <w:t>panta trešajā daļā paredzētajā noziedzīgajā nodarījumā un sodīts, piemērojot Krimināllikuma 49.</w:t>
      </w:r>
      <w:r w:rsidRPr="00E158A5">
        <w:rPr>
          <w:shd w:val="clear" w:color="auto" w:fill="FFFFFF"/>
          <w:vertAlign w:val="superscript"/>
        </w:rPr>
        <w:t>1</w:t>
      </w:r>
      <w:r>
        <w:rPr>
          <w:shd w:val="clear" w:color="auto" w:fill="FFFFFF"/>
          <w:vertAlign w:val="superscript"/>
        </w:rPr>
        <w:t> </w:t>
      </w:r>
      <w:r>
        <w:rPr>
          <w:shd w:val="clear" w:color="auto" w:fill="FFFFFF"/>
        </w:rPr>
        <w:t>panta pirmās daļas 2. punktu, ar brīvības atņemšanu uz 2 gadiem 4 mēnešiem 19 dienām un probācijas uzraudzību uz 3 gadiem</w:t>
      </w:r>
      <w:r w:rsidR="0098361A">
        <w:rPr>
          <w:shd w:val="clear" w:color="auto" w:fill="FFFFFF"/>
        </w:rPr>
        <w:t>.</w:t>
      </w:r>
    </w:p>
    <w:p w14:paraId="47DF2EAE" w14:textId="5208F354" w:rsidR="00E158A5" w:rsidRDefault="00E158A5" w:rsidP="00E158A5">
      <w:pPr>
        <w:pStyle w:val="NoSpacing"/>
        <w:spacing w:line="276" w:lineRule="auto"/>
        <w:ind w:firstLine="720"/>
        <w:jc w:val="both"/>
        <w:rPr>
          <w:shd w:val="clear" w:color="auto" w:fill="FFFFFF"/>
        </w:rPr>
      </w:pPr>
      <w:r>
        <w:rPr>
          <w:shd w:val="clear" w:color="auto" w:fill="FFFFFF"/>
        </w:rPr>
        <w:lastRenderedPageBreak/>
        <w:t xml:space="preserve">Saskaņā ar Krimināllikuma 50. panta pirmo un trešo daļu galīgais sods </w:t>
      </w:r>
      <w:r w:rsidR="001B4A49">
        <w:rPr>
          <w:shd w:val="clear" w:color="auto" w:fill="FFFFFF"/>
        </w:rPr>
        <w:t>[pers. A]</w:t>
      </w:r>
      <w:r>
        <w:rPr>
          <w:shd w:val="clear" w:color="auto" w:fill="FFFFFF"/>
        </w:rPr>
        <w:t xml:space="preserve"> noteikts brīvības atņemšana uz 2 gadiem 5 mēnešiem 19 dienām un probācijas uzraudzība uz 3 gadiem. </w:t>
      </w:r>
    </w:p>
    <w:p w14:paraId="4CF63F2B" w14:textId="77777777" w:rsidR="0051598E" w:rsidRDefault="0051598E" w:rsidP="00E158A5">
      <w:pPr>
        <w:pStyle w:val="NoSpacing"/>
        <w:spacing w:line="276" w:lineRule="auto"/>
        <w:jc w:val="both"/>
      </w:pPr>
    </w:p>
    <w:p w14:paraId="2ACA4F3C" w14:textId="4E129E28" w:rsidR="00124436" w:rsidRDefault="007E6931" w:rsidP="00795291">
      <w:pPr>
        <w:pStyle w:val="NoSpacing"/>
        <w:spacing w:line="276" w:lineRule="auto"/>
        <w:jc w:val="both"/>
      </w:pPr>
      <w:r>
        <w:tab/>
        <w:t>[</w:t>
      </w:r>
      <w:r w:rsidR="00780C9E">
        <w:t>2</w:t>
      </w:r>
      <w:r>
        <w:t xml:space="preserve">] Ar pirmās instances tiesas spriedumu </w:t>
      </w:r>
      <w:r w:rsidR="001B4A49">
        <w:t>[pers. A]</w:t>
      </w:r>
      <w:r>
        <w:t xml:space="preserve"> atzīts par vainīgu un sodīts pēc</w:t>
      </w:r>
      <w:r w:rsidR="0098361A">
        <w:t xml:space="preserve"> </w:t>
      </w:r>
      <w:r w:rsidR="0098361A">
        <w:rPr>
          <w:shd w:val="clear" w:color="auto" w:fill="FFFFFF"/>
        </w:rPr>
        <w:t>Krimināllikuma 253.</w:t>
      </w:r>
      <w:r w:rsidR="0098361A">
        <w:rPr>
          <w:shd w:val="clear" w:color="auto" w:fill="FFFFFF"/>
          <w:vertAlign w:val="superscript"/>
        </w:rPr>
        <w:t> </w:t>
      </w:r>
      <w:r w:rsidR="0098361A">
        <w:rPr>
          <w:shd w:val="clear" w:color="auto" w:fill="FFFFFF"/>
        </w:rPr>
        <w:t xml:space="preserve">panta pirmās daļas </w:t>
      </w:r>
      <w:r w:rsidR="0098361A">
        <w:t xml:space="preserve">par to, ka viņš </w:t>
      </w:r>
      <w:r w:rsidR="00795291" w:rsidRPr="00795291">
        <w:t>neatļauti iegādājās un glabāja psihotropās vielas bez nolūka tās realizēt</w:t>
      </w:r>
      <w:r w:rsidR="0098361A">
        <w:t xml:space="preserve"> un</w:t>
      </w:r>
      <w:r w:rsidR="00795291">
        <w:t xml:space="preserve"> pēc</w:t>
      </w:r>
      <w:r w:rsidR="0098361A">
        <w:t xml:space="preserve"> </w:t>
      </w:r>
      <w:r>
        <w:t>Krimināllikuma 253.</w:t>
      </w:r>
      <w:r w:rsidRPr="007E6931">
        <w:rPr>
          <w:vertAlign w:val="superscript"/>
        </w:rPr>
        <w:t>1</w:t>
      </w:r>
      <w:r>
        <w:t xml:space="preserve"> panta trešās daļas par to, ka viņš neatļauti realizācijas nolūkā iegādājās un glabāja, kā arī realizēja psihotropās vielas organizētā grupā. </w:t>
      </w:r>
    </w:p>
    <w:p w14:paraId="263929F2" w14:textId="77777777" w:rsidR="00780C9E" w:rsidRDefault="00780C9E" w:rsidP="00780C9E">
      <w:pPr>
        <w:pStyle w:val="NoSpacing"/>
        <w:spacing w:line="276" w:lineRule="auto"/>
        <w:ind w:firstLine="720"/>
        <w:jc w:val="both"/>
        <w:rPr>
          <w:shd w:val="clear" w:color="auto" w:fill="FFFFFF"/>
        </w:rPr>
      </w:pPr>
    </w:p>
    <w:p w14:paraId="0322411A" w14:textId="24A281BA" w:rsidR="00780C9E" w:rsidRDefault="00780C9E" w:rsidP="001B4A49">
      <w:pPr>
        <w:pStyle w:val="NoSpacing"/>
        <w:spacing w:line="276" w:lineRule="auto"/>
        <w:ind w:firstLine="720"/>
        <w:jc w:val="both"/>
        <w:rPr>
          <w:shd w:val="clear" w:color="auto" w:fill="FFFFFF"/>
        </w:rPr>
      </w:pPr>
      <w:r>
        <w:rPr>
          <w:shd w:val="clear" w:color="auto" w:fill="FFFFFF"/>
        </w:rPr>
        <w:t>[3] Lietā atzīti par vainīgiem un sodīti pēc Krimināllikuma 253.</w:t>
      </w:r>
      <w:r w:rsidRPr="00E158A5">
        <w:rPr>
          <w:shd w:val="clear" w:color="auto" w:fill="FFFFFF"/>
          <w:vertAlign w:val="superscript"/>
        </w:rPr>
        <w:t>1</w:t>
      </w:r>
      <w:r>
        <w:rPr>
          <w:shd w:val="clear" w:color="auto" w:fill="FFFFFF"/>
        </w:rPr>
        <w:t xml:space="preserve"> panta trešās daļas arī </w:t>
      </w:r>
      <w:r w:rsidR="001B4A49">
        <w:rPr>
          <w:shd w:val="clear" w:color="auto" w:fill="FFFFFF"/>
        </w:rPr>
        <w:t>[pers. B]</w:t>
      </w:r>
      <w:r>
        <w:rPr>
          <w:shd w:val="clear" w:color="auto" w:fill="FFFFFF"/>
        </w:rPr>
        <w:t xml:space="preserve">, </w:t>
      </w:r>
      <w:r w:rsidR="001B4A49">
        <w:rPr>
          <w:shd w:val="clear" w:color="auto" w:fill="FFFFFF"/>
        </w:rPr>
        <w:t>[pers. C]</w:t>
      </w:r>
      <w:r>
        <w:rPr>
          <w:shd w:val="clear" w:color="auto" w:fill="FFFFFF"/>
        </w:rPr>
        <w:t xml:space="preserve"> un </w:t>
      </w:r>
      <w:r w:rsidR="001B4A49">
        <w:rPr>
          <w:shd w:val="clear" w:color="auto" w:fill="FFFFFF"/>
        </w:rPr>
        <w:t>[pers. D]</w:t>
      </w:r>
      <w:r>
        <w:rPr>
          <w:shd w:val="clear" w:color="auto" w:fill="FFFFFF"/>
        </w:rPr>
        <w:t xml:space="preserve">, kuri pirmās instances tiesas un apelācijas instances tiesas nolēmumus nav pārsūdzējuši. </w:t>
      </w:r>
    </w:p>
    <w:p w14:paraId="5B99D7BB" w14:textId="77777777" w:rsidR="007E6931" w:rsidRDefault="007E6931" w:rsidP="00E158A5">
      <w:pPr>
        <w:pStyle w:val="NoSpacing"/>
        <w:spacing w:line="276" w:lineRule="auto"/>
        <w:jc w:val="both"/>
      </w:pPr>
    </w:p>
    <w:p w14:paraId="73B66A72" w14:textId="0A747A99" w:rsidR="007E6931" w:rsidRDefault="007E6931" w:rsidP="00EA675B">
      <w:pPr>
        <w:pStyle w:val="NoSpacing"/>
        <w:spacing w:line="276" w:lineRule="auto"/>
        <w:jc w:val="both"/>
      </w:pPr>
      <w:r>
        <w:tab/>
        <w:t>[</w:t>
      </w:r>
      <w:r w:rsidR="00EA675B">
        <w:t>4</w:t>
      </w:r>
      <w:r>
        <w:t>] </w:t>
      </w:r>
      <w:r w:rsidRPr="007E6931">
        <w:t>Ar Rīgas apgabaltiesas 202</w:t>
      </w:r>
      <w:r>
        <w:t>5</w:t>
      </w:r>
      <w:r w:rsidRPr="007E6931">
        <w:t>.</w:t>
      </w:r>
      <w:r>
        <w:t> </w:t>
      </w:r>
      <w:r w:rsidRPr="007E6931">
        <w:t xml:space="preserve">gada </w:t>
      </w:r>
      <w:r>
        <w:t xml:space="preserve">3. jūnija </w:t>
      </w:r>
      <w:r w:rsidRPr="007E6931">
        <w:t xml:space="preserve">spriedumu, iztiesājot lietu apelācijas kārtībā sakarā ar </w:t>
      </w:r>
      <w:r>
        <w:t xml:space="preserve">Rīgas tiesas apgabala prokuratūras prokurores Daigas </w:t>
      </w:r>
      <w:proofErr w:type="spellStart"/>
      <w:r>
        <w:t>Gavariņas</w:t>
      </w:r>
      <w:proofErr w:type="spellEnd"/>
      <w:r w:rsidRPr="007E6931">
        <w:t xml:space="preserve"> apelācijas protestu, Rīgas pilsētas </w:t>
      </w:r>
      <w:r>
        <w:t xml:space="preserve">tiesas 2023. gada 17. aprīļa spriedums atcelts daļā </w:t>
      </w:r>
      <w:r w:rsidR="00EA675B">
        <w:t xml:space="preserve">par </w:t>
      </w:r>
      <w:r w:rsidR="001B4A49">
        <w:t>[pers. A]</w:t>
      </w:r>
      <w:r w:rsidR="00EA675B">
        <w:t xml:space="preserve"> noteikto sodu pēc Krimināllikuma 253. panta pirmās daļas un 253.</w:t>
      </w:r>
      <w:r w:rsidR="00EA675B" w:rsidRPr="00EA675B">
        <w:rPr>
          <w:vertAlign w:val="superscript"/>
        </w:rPr>
        <w:t>1</w:t>
      </w:r>
      <w:r w:rsidR="00EA675B">
        <w:rPr>
          <w:vertAlign w:val="superscript"/>
        </w:rPr>
        <w:t> </w:t>
      </w:r>
      <w:r w:rsidR="00EA675B">
        <w:t xml:space="preserve">panta trešās daļas un daļā par noteikto galīgo sodu saskaņā ar Krimināllikuma 50. panta pirmo un trešo daļu. </w:t>
      </w:r>
    </w:p>
    <w:p w14:paraId="1BC3DFED" w14:textId="6107942F" w:rsidR="00EA675B" w:rsidRDefault="00EA675B" w:rsidP="0093611C">
      <w:pPr>
        <w:pStyle w:val="NoSpacing"/>
        <w:spacing w:line="276" w:lineRule="auto"/>
        <w:ind w:firstLine="720"/>
        <w:jc w:val="both"/>
      </w:pPr>
      <w:r>
        <w:t xml:space="preserve">Ar apelācijas instances tiesas spriedumu </w:t>
      </w:r>
      <w:r w:rsidR="001B4A49">
        <w:t>[pers. A]</w:t>
      </w:r>
      <w:r>
        <w:t xml:space="preserve"> pēc Krimināllikuma 253. panta</w:t>
      </w:r>
      <w:r w:rsidR="00E90DC8">
        <w:t xml:space="preserve"> pirmās daļas</w:t>
      </w:r>
      <w:r>
        <w:t>, piemērojot Krimināllikuma 49.</w:t>
      </w:r>
      <w:r w:rsidRPr="00EA675B">
        <w:rPr>
          <w:vertAlign w:val="superscript"/>
        </w:rPr>
        <w:t>1</w:t>
      </w:r>
      <w:r w:rsidR="00137AED">
        <w:rPr>
          <w:vertAlign w:val="superscript"/>
        </w:rPr>
        <w:t> </w:t>
      </w:r>
      <w:r>
        <w:t xml:space="preserve">panta pirmās daļas 1. punktu, noteikts </w:t>
      </w:r>
      <w:r w:rsidR="0093611C">
        <w:t xml:space="preserve">sods </w:t>
      </w:r>
      <w:r>
        <w:t>brīvības atņemšana uz 6 mēnešiem; pēc Krimināllikuma 253.</w:t>
      </w:r>
      <w:r w:rsidRPr="00EA675B">
        <w:rPr>
          <w:vertAlign w:val="superscript"/>
        </w:rPr>
        <w:t>1</w:t>
      </w:r>
      <w:r>
        <w:rPr>
          <w:vertAlign w:val="superscript"/>
        </w:rPr>
        <w:t> </w:t>
      </w:r>
      <w:r>
        <w:t>panta trešās daļas</w:t>
      </w:r>
      <w:r w:rsidR="00E90DC8">
        <w:t>, piemērojot Krimināllikuma 49.</w:t>
      </w:r>
      <w:r w:rsidR="00E90DC8" w:rsidRPr="00EA675B">
        <w:rPr>
          <w:vertAlign w:val="superscript"/>
        </w:rPr>
        <w:t>1</w:t>
      </w:r>
      <w:r w:rsidR="00E90DC8">
        <w:rPr>
          <w:vertAlign w:val="superscript"/>
        </w:rPr>
        <w:t> </w:t>
      </w:r>
      <w:r w:rsidR="00E90DC8">
        <w:t>panta pirmās daļas 2. punktu,</w:t>
      </w:r>
      <w:r>
        <w:t xml:space="preserve"> noteikts </w:t>
      </w:r>
      <w:r w:rsidR="00761602">
        <w:t xml:space="preserve">sods </w:t>
      </w:r>
      <w:r>
        <w:t xml:space="preserve">brīvības atņemšana uz 3 gadiem 4 mēnešiem un probācijas uzraudzība uz 3 gadiem. Saskaņā ar Krimināllikuma 50. panta pirmo un trešo daļu galīgais sods </w:t>
      </w:r>
      <w:r w:rsidR="001B4A49">
        <w:t>[pers. A]</w:t>
      </w:r>
      <w:r>
        <w:t xml:space="preserve"> noteikts brīvības atņemšana uz 3 gadiem 6 mēnešiem un probācijas uzraudzība uz 3 gadiem.</w:t>
      </w:r>
    </w:p>
    <w:p w14:paraId="4C1B8115" w14:textId="0E42836B" w:rsidR="00EA675B" w:rsidRPr="00EA675B" w:rsidRDefault="00EA675B" w:rsidP="0093611C">
      <w:pPr>
        <w:pStyle w:val="NoSpacing"/>
        <w:spacing w:line="276" w:lineRule="auto"/>
        <w:ind w:firstLine="720"/>
        <w:jc w:val="both"/>
      </w:pPr>
      <w:r>
        <w:t xml:space="preserve">Pārējā daļā pirmās instances tiesas spriedums </w:t>
      </w:r>
      <w:r w:rsidRPr="005613D3">
        <w:t>attiecībā uz</w:t>
      </w:r>
      <w:r>
        <w:t xml:space="preserve"> </w:t>
      </w:r>
      <w:r w:rsidR="001B4A49">
        <w:t>[pers. A]</w:t>
      </w:r>
      <w:r>
        <w:t xml:space="preserve"> atstāts negrozīts. </w:t>
      </w:r>
    </w:p>
    <w:p w14:paraId="28123C2B" w14:textId="77777777" w:rsidR="007E6931" w:rsidRDefault="007E6931" w:rsidP="00E158A5">
      <w:pPr>
        <w:pStyle w:val="NoSpacing"/>
        <w:spacing w:line="276" w:lineRule="auto"/>
        <w:jc w:val="both"/>
      </w:pPr>
    </w:p>
    <w:p w14:paraId="1B36E0C3" w14:textId="4EF73D82" w:rsidR="00124436" w:rsidRPr="003258EF" w:rsidRDefault="00124436" w:rsidP="00EA675B">
      <w:pPr>
        <w:pStyle w:val="NoSpacing"/>
        <w:spacing w:line="276" w:lineRule="auto"/>
        <w:ind w:firstLine="720"/>
        <w:jc w:val="both"/>
      </w:pPr>
      <w:r w:rsidRPr="003258EF">
        <w:t>[</w:t>
      </w:r>
      <w:r w:rsidR="00EA675B">
        <w:t>5</w:t>
      </w:r>
      <w:r w:rsidRPr="003258EF">
        <w:t xml:space="preserve">] Par Rīgas apgabaltiesas </w:t>
      </w:r>
      <w:r w:rsidRPr="002A6EEE">
        <w:t xml:space="preserve">2025. gada </w:t>
      </w:r>
      <w:r>
        <w:t>3. jūnija spriedumu</w:t>
      </w:r>
      <w:r w:rsidRPr="003258EF">
        <w:t xml:space="preserve"> apsūdzēt</w:t>
      </w:r>
      <w:r>
        <w:t xml:space="preserve">ais </w:t>
      </w:r>
      <w:r w:rsidR="001B4A49">
        <w:rPr>
          <w:rFonts w:asciiTheme="majorBidi" w:hAnsiTheme="majorBidi" w:cstheme="majorBidi"/>
        </w:rPr>
        <w:t>[pers. A]</w:t>
      </w:r>
      <w:r>
        <w:rPr>
          <w:rFonts w:asciiTheme="majorBidi" w:hAnsiTheme="majorBidi" w:cstheme="majorBidi"/>
        </w:rPr>
        <w:t xml:space="preserve"> </w:t>
      </w:r>
      <w:r w:rsidRPr="003258EF">
        <w:t>iesnie</w:t>
      </w:r>
      <w:r>
        <w:t>dzis</w:t>
      </w:r>
      <w:r w:rsidRPr="003258EF">
        <w:t xml:space="preserve"> kasācijas sūdzību</w:t>
      </w:r>
      <w:r>
        <w:t xml:space="preserve">, </w:t>
      </w:r>
      <w:r w:rsidRPr="003258EF">
        <w:t>kur</w:t>
      </w:r>
      <w:r>
        <w:t>ā</w:t>
      </w:r>
      <w:r w:rsidRPr="003258EF">
        <w:t xml:space="preserve"> lūdz atcelt minēto </w:t>
      </w:r>
      <w:r>
        <w:t>spriedumu un</w:t>
      </w:r>
      <w:r w:rsidRPr="003258EF">
        <w:t xml:space="preserve"> lietu nosūtīt jaunai izskatīšanai apelācijas instances tiesā</w:t>
      </w:r>
      <w:r>
        <w:t>.</w:t>
      </w:r>
      <w:r w:rsidRPr="003258EF">
        <w:t xml:space="preserve"> </w:t>
      </w:r>
    </w:p>
    <w:p w14:paraId="23596AD0" w14:textId="42CA21F5" w:rsidR="00124436" w:rsidRPr="003258EF" w:rsidRDefault="00124436" w:rsidP="00EA675B">
      <w:pPr>
        <w:pStyle w:val="NoSpacing"/>
        <w:spacing w:line="276" w:lineRule="auto"/>
        <w:ind w:firstLine="720"/>
        <w:jc w:val="both"/>
      </w:pPr>
      <w:r w:rsidRPr="003258EF">
        <w:t>Savu lūgumu</w:t>
      </w:r>
      <w:r>
        <w:t xml:space="preserve"> apsūdzētais</w:t>
      </w:r>
      <w:r w:rsidRPr="003258EF">
        <w:t xml:space="preserve"> pamatoj</w:t>
      </w:r>
      <w:r>
        <w:t>is</w:t>
      </w:r>
      <w:r w:rsidRPr="003258EF">
        <w:t xml:space="preserve"> ar šādiem argumentiem.</w:t>
      </w:r>
    </w:p>
    <w:p w14:paraId="44995739" w14:textId="5583316A" w:rsidR="00124436" w:rsidRDefault="00124436" w:rsidP="00EA675B">
      <w:pPr>
        <w:pStyle w:val="NoSpacing"/>
        <w:spacing w:line="276" w:lineRule="auto"/>
        <w:ind w:firstLine="720"/>
        <w:jc w:val="both"/>
      </w:pPr>
      <w:r w:rsidRPr="003258EF">
        <w:t>[</w:t>
      </w:r>
      <w:r w:rsidR="00EA675B">
        <w:t>5</w:t>
      </w:r>
      <w:r w:rsidRPr="003258EF">
        <w:t>.1] </w:t>
      </w:r>
      <w:r>
        <w:t>A</w:t>
      </w:r>
      <w:r w:rsidR="0051598E" w:rsidRPr="00E40DA2">
        <w:t xml:space="preserve">pelācijas instances tiesa </w:t>
      </w:r>
      <w:r w:rsidR="00E93713">
        <w:t>ir pārkāpusi Kriminālprocesa likuma 562. pantā noteikto</w:t>
      </w:r>
      <w:r w:rsidR="007674E4">
        <w:t>. A</w:t>
      </w:r>
      <w:r w:rsidR="00E93713">
        <w:t>pelācijas protestā prokurore</w:t>
      </w:r>
      <w:r w:rsidR="00AC7E23">
        <w:t xml:space="preserve"> </w:t>
      </w:r>
      <w:r w:rsidR="005521C4">
        <w:t xml:space="preserve">bija </w:t>
      </w:r>
      <w:r w:rsidR="00AC7E23">
        <w:t>lū</w:t>
      </w:r>
      <w:r w:rsidR="00B91DDC">
        <w:t>gusi</w:t>
      </w:r>
      <w:r w:rsidR="00AC7E23">
        <w:t xml:space="preserve"> apsūdzētajam noteikt bargāku sodu,</w:t>
      </w:r>
      <w:r w:rsidR="007674E4">
        <w:t xml:space="preserve"> ievērojot tikai to, ka pirmās instances tiesa nepamatoti noteikusi tādu brīvības atņemšanas ilgumu,</w:t>
      </w:r>
      <w:r w:rsidR="00780C9E" w:rsidRPr="00780C9E">
        <w:t xml:space="preserve"> </w:t>
      </w:r>
      <w:r w:rsidR="00780C9E">
        <w:t>kas atbilst apcietinājumā pavadītajam laikam</w:t>
      </w:r>
      <w:r w:rsidR="007674E4">
        <w:rPr>
          <w:rFonts w:asciiTheme="majorBidi" w:hAnsiTheme="majorBidi" w:cstheme="majorBidi"/>
        </w:rPr>
        <w:t xml:space="preserve">. Savukārt apelācijas instances </w:t>
      </w:r>
      <w:r w:rsidR="00B91DDC">
        <w:t xml:space="preserve">tiesa, nosakot sodu, izvērtējusi arī </w:t>
      </w:r>
      <w:r w:rsidR="007674E4">
        <w:t>citus apstākļus</w:t>
      </w:r>
      <w:r w:rsidR="00B91DDC">
        <w:t xml:space="preserve">, uz ko nebija norādīts apelācijas protestā. </w:t>
      </w:r>
    </w:p>
    <w:p w14:paraId="1866FC81" w14:textId="4A3935E6" w:rsidR="00E93713" w:rsidRDefault="00124436" w:rsidP="00EA675B">
      <w:pPr>
        <w:pStyle w:val="NoSpacing"/>
        <w:spacing w:line="276" w:lineRule="auto"/>
        <w:ind w:firstLine="720"/>
        <w:jc w:val="both"/>
      </w:pPr>
      <w:r>
        <w:t>[</w:t>
      </w:r>
      <w:r w:rsidR="00EA675B">
        <w:t>5</w:t>
      </w:r>
      <w:r>
        <w:t>.2] A</w:t>
      </w:r>
      <w:r w:rsidRPr="00E40DA2">
        <w:t>pelācijas instances tiesa</w:t>
      </w:r>
      <w:r w:rsidR="00B91DDC">
        <w:t>, nosakot sodu, nav ņēmusi vērā, ka apsūdzētajam vairāk nekā piecus gadus bijis piemērots drošības līdzeklis – nodošana policijas uzraudzībā –,</w:t>
      </w:r>
      <w:r w:rsidR="0093611C">
        <w:t xml:space="preserve"> </w:t>
      </w:r>
      <w:r w:rsidR="00761602">
        <w:t xml:space="preserve">tādēļ </w:t>
      </w:r>
      <w:r w:rsidR="00B91DDC">
        <w:t xml:space="preserve">nepamatoti </w:t>
      </w:r>
      <w:r w:rsidR="006E79BB">
        <w:t xml:space="preserve">nav </w:t>
      </w:r>
      <w:r w:rsidR="00B91DDC">
        <w:t>piemērojusi Krimināllikuma 49</w:t>
      </w:r>
      <w:r w:rsidR="00B91DDC" w:rsidRPr="00E40DA2">
        <w:t>.</w:t>
      </w:r>
      <w:r w:rsidR="00B91DDC" w:rsidRPr="00E40DA2">
        <w:rPr>
          <w:vertAlign w:val="superscript"/>
        </w:rPr>
        <w:t>1</w:t>
      </w:r>
      <w:r w:rsidR="00B91DDC" w:rsidRPr="00E40DA2">
        <w:t> panta pirm</w:t>
      </w:r>
      <w:r w:rsidR="00B91DDC">
        <w:t>ās</w:t>
      </w:r>
      <w:r w:rsidR="00B91DDC" w:rsidRPr="00E40DA2">
        <w:t xml:space="preserve"> daļ</w:t>
      </w:r>
      <w:r w:rsidR="00B91DDC">
        <w:t xml:space="preserve">as </w:t>
      </w:r>
      <w:r w:rsidR="00EA675B">
        <w:t>3. </w:t>
      </w:r>
      <w:r w:rsidR="00B91DDC">
        <w:t xml:space="preserve">punktu un </w:t>
      </w:r>
      <w:r w:rsidR="006E79BB">
        <w:t xml:space="preserve">nav </w:t>
      </w:r>
      <w:r w:rsidR="00B91DDC">
        <w:t xml:space="preserve">noteikusi </w:t>
      </w:r>
      <w:r w:rsidR="00B91DDC" w:rsidRPr="00B91DDC">
        <w:t>vieglāku soda veidu, nekā par attiecīgo noziedzīgo nodarījumu paredzēts</w:t>
      </w:r>
      <w:r w:rsidR="00445888">
        <w:t xml:space="preserve"> likumā</w:t>
      </w:r>
      <w:r w:rsidR="0093611C">
        <w:t>.</w:t>
      </w:r>
    </w:p>
    <w:p w14:paraId="46993FFD" w14:textId="77777777" w:rsidR="00124436" w:rsidRDefault="00124436" w:rsidP="00EA675B">
      <w:pPr>
        <w:pStyle w:val="NoSpacing"/>
        <w:spacing w:line="276" w:lineRule="auto"/>
        <w:jc w:val="both"/>
        <w:rPr>
          <w:rFonts w:asciiTheme="majorBidi" w:hAnsiTheme="majorBidi" w:cstheme="majorBidi"/>
        </w:rPr>
      </w:pPr>
    </w:p>
    <w:p w14:paraId="76B74B4E" w14:textId="78028277" w:rsidR="00124436" w:rsidRDefault="00124436" w:rsidP="00C107F8">
      <w:pPr>
        <w:pStyle w:val="NoSpacing"/>
        <w:keepNext/>
        <w:spacing w:line="276" w:lineRule="auto"/>
        <w:jc w:val="center"/>
        <w:rPr>
          <w:b/>
        </w:rPr>
      </w:pPr>
      <w:r w:rsidRPr="003258EF">
        <w:rPr>
          <w:b/>
        </w:rPr>
        <w:lastRenderedPageBreak/>
        <w:t>Motīvu daļa</w:t>
      </w:r>
    </w:p>
    <w:p w14:paraId="05A2DDCC" w14:textId="77777777" w:rsidR="00755C7F" w:rsidRPr="00EA675B" w:rsidRDefault="00755C7F" w:rsidP="00EA675B">
      <w:pPr>
        <w:pStyle w:val="NoSpacing"/>
        <w:spacing w:line="276" w:lineRule="auto"/>
        <w:jc w:val="center"/>
        <w:rPr>
          <w:b/>
        </w:rPr>
      </w:pPr>
    </w:p>
    <w:p w14:paraId="38328AE5" w14:textId="0FD59CE3" w:rsidR="00755C7F" w:rsidRDefault="00D25CBF" w:rsidP="0093611C">
      <w:pPr>
        <w:pStyle w:val="NoSpacing"/>
        <w:spacing w:line="276" w:lineRule="auto"/>
        <w:ind w:firstLine="720"/>
        <w:jc w:val="both"/>
      </w:pPr>
      <w:r>
        <w:t>[6]</w:t>
      </w:r>
      <w:r w:rsidR="00755C7F">
        <w:t> </w:t>
      </w:r>
      <w:r w:rsidR="00755C7F" w:rsidRPr="00755C7F">
        <w:t>Kriminālprocesa likuma 584.</w:t>
      </w:r>
      <w:r w:rsidR="00755C7F">
        <w:t> </w:t>
      </w:r>
      <w:r w:rsidR="00755C7F" w:rsidRPr="00755C7F">
        <w:t>panta pirmā daļa noteic, ka tiesas nolēmumu tiesiskuma pārbaude notiek kasācijas sūdzībā vai protestā izteikto prasību apjomā un ietvaros. Savukārt atbilstoši minētā panta otrajai daļai kasācijas instances tiesa drīkst pārsniegt kasācijas sūdzībā vai protestā izteikto prasību apjomu un ietvarus gadījumos, kad tā konstatē šā likuma 574. un 575.</w:t>
      </w:r>
      <w:r w:rsidR="00755C7F">
        <w:t> </w:t>
      </w:r>
      <w:r w:rsidR="00755C7F" w:rsidRPr="00755C7F">
        <w:t xml:space="preserve">pantā norādītos pārkāpumus un tie nav norādīti sūdzībā vai protestā. </w:t>
      </w:r>
    </w:p>
    <w:p w14:paraId="7416372B" w14:textId="5A1464F2" w:rsidR="00755C7F" w:rsidRDefault="00755C7F" w:rsidP="00755C7F">
      <w:pPr>
        <w:pStyle w:val="NoSpacing"/>
        <w:spacing w:line="276" w:lineRule="auto"/>
        <w:ind w:firstLine="720"/>
        <w:jc w:val="both"/>
      </w:pPr>
      <w:r w:rsidRPr="00755C7F">
        <w:t>Senāts, pamatojoties uz Kriminālprocesa likuma 584.</w:t>
      </w:r>
      <w:r>
        <w:t> </w:t>
      </w:r>
      <w:r w:rsidRPr="00755C7F">
        <w:t xml:space="preserve">panta otro daļu, atzīst par nepieciešamu pārsniegt apsūdzētā </w:t>
      </w:r>
      <w:r w:rsidR="001B4A49">
        <w:t>[pers. A]</w:t>
      </w:r>
      <w:r w:rsidRPr="00755C7F">
        <w:t xml:space="preserve"> kasācijas sūdzībā izteikto prasību apjomu, jo konstatē Krimināllikuma pārkāpumu, kas nav norādīts kasācijas sūdzībā</w:t>
      </w:r>
      <w:r>
        <w:t>.</w:t>
      </w:r>
    </w:p>
    <w:p w14:paraId="21D5B9E5" w14:textId="77777777" w:rsidR="005613D3" w:rsidRDefault="005613D3" w:rsidP="00755C7F">
      <w:pPr>
        <w:pStyle w:val="NoSpacing"/>
        <w:spacing w:line="276" w:lineRule="auto"/>
        <w:ind w:firstLine="720"/>
        <w:jc w:val="both"/>
      </w:pPr>
    </w:p>
    <w:p w14:paraId="67E4A739" w14:textId="2BCE8299" w:rsidR="00124436" w:rsidRDefault="00124436" w:rsidP="00B34333">
      <w:pPr>
        <w:pStyle w:val="NoSpacing"/>
        <w:spacing w:line="276" w:lineRule="auto"/>
        <w:ind w:firstLine="720"/>
        <w:jc w:val="both"/>
      </w:pPr>
      <w:r w:rsidRPr="003258EF">
        <w:t>[</w:t>
      </w:r>
      <w:r w:rsidR="00D25CBF">
        <w:t>7</w:t>
      </w:r>
      <w:r w:rsidRPr="003258EF">
        <w:t>] </w:t>
      </w:r>
      <w:r>
        <w:t>Izskatām</w:t>
      </w:r>
      <w:r w:rsidRPr="0078535B">
        <w:t xml:space="preserve">ajā lietā </w:t>
      </w:r>
      <w:r>
        <w:t>tiesību</w:t>
      </w:r>
      <w:r w:rsidRPr="0078535B">
        <w:t xml:space="preserve"> jautājums, kas atbilstoši Kriminālprocesa likumā noteiktajai kompetencei izlemjams kasācijas instances tiesā, ir, v</w:t>
      </w:r>
      <w:r>
        <w:t>ai</w:t>
      </w:r>
      <w:r w:rsidR="00B34333">
        <w:t xml:space="preserve"> apelācijas instances tiesa, nosakot apsūdzētajam </w:t>
      </w:r>
      <w:r w:rsidR="001B4A49">
        <w:t>[pers. A]</w:t>
      </w:r>
      <w:r w:rsidR="00B34333">
        <w:t xml:space="preserve"> sodu pēc Krimināllikuma 253. panta pirmās daļas, pareizi piemērojusi </w:t>
      </w:r>
      <w:r w:rsidR="00B34333" w:rsidRPr="00F32A11">
        <w:rPr>
          <w:rFonts w:asciiTheme="majorBidi" w:hAnsiTheme="majorBidi" w:cstheme="majorBidi"/>
        </w:rPr>
        <w:t>2012.</w:t>
      </w:r>
      <w:r w:rsidR="00B34333">
        <w:rPr>
          <w:rFonts w:asciiTheme="majorBidi" w:hAnsiTheme="majorBidi" w:cstheme="majorBidi"/>
        </w:rPr>
        <w:t> </w:t>
      </w:r>
      <w:r w:rsidR="00B34333" w:rsidRPr="00F32A11">
        <w:rPr>
          <w:rFonts w:asciiTheme="majorBidi" w:hAnsiTheme="majorBidi" w:cstheme="majorBidi"/>
        </w:rPr>
        <w:t>gada 13.</w:t>
      </w:r>
      <w:r w:rsidR="00B34333">
        <w:rPr>
          <w:rFonts w:asciiTheme="majorBidi" w:hAnsiTheme="majorBidi" w:cstheme="majorBidi"/>
        </w:rPr>
        <w:t> </w:t>
      </w:r>
      <w:r w:rsidR="00B34333" w:rsidRPr="00F32A11">
        <w:rPr>
          <w:rFonts w:asciiTheme="majorBidi" w:hAnsiTheme="majorBidi" w:cstheme="majorBidi"/>
        </w:rPr>
        <w:t>decembra likuma „Grozījumi Krimināllikumā” pārejas noteikumu 6.</w:t>
      </w:r>
      <w:r w:rsidR="0092291F">
        <w:rPr>
          <w:rFonts w:asciiTheme="majorBidi" w:hAnsiTheme="majorBidi" w:cstheme="majorBidi"/>
        </w:rPr>
        <w:t> </w:t>
      </w:r>
      <w:r w:rsidR="00B34333" w:rsidRPr="00F32A11">
        <w:rPr>
          <w:rFonts w:asciiTheme="majorBidi" w:hAnsiTheme="majorBidi" w:cstheme="majorBidi"/>
        </w:rPr>
        <w:t>punkt</w:t>
      </w:r>
      <w:r w:rsidR="00B34333">
        <w:rPr>
          <w:rFonts w:asciiTheme="majorBidi" w:hAnsiTheme="majorBidi" w:cstheme="majorBidi"/>
        </w:rPr>
        <w:t>u.</w:t>
      </w:r>
    </w:p>
    <w:p w14:paraId="32C41CD5" w14:textId="2D57D5EE" w:rsidR="00F32A11" w:rsidRDefault="00F32A11" w:rsidP="00F32A11">
      <w:pPr>
        <w:pStyle w:val="NoSpacing"/>
        <w:spacing w:line="276" w:lineRule="auto"/>
        <w:ind w:firstLine="720"/>
        <w:jc w:val="both"/>
        <w:rPr>
          <w:rFonts w:asciiTheme="majorBidi" w:hAnsiTheme="majorBidi" w:cstheme="majorBidi"/>
        </w:rPr>
      </w:pPr>
      <w:r w:rsidRPr="004F29ED">
        <w:rPr>
          <w:rFonts w:asciiTheme="majorBidi" w:hAnsiTheme="majorBidi" w:cstheme="majorBidi"/>
        </w:rPr>
        <w:t>Krimināllikuma 253.</w:t>
      </w:r>
      <w:r>
        <w:rPr>
          <w:rFonts w:asciiTheme="majorBidi" w:hAnsiTheme="majorBidi" w:cstheme="majorBidi"/>
        </w:rPr>
        <w:t> </w:t>
      </w:r>
      <w:r w:rsidRPr="004F29ED">
        <w:rPr>
          <w:rFonts w:asciiTheme="majorBidi" w:hAnsiTheme="majorBidi" w:cstheme="majorBidi"/>
        </w:rPr>
        <w:t xml:space="preserve">panta pirmās daļas </w:t>
      </w:r>
      <w:r w:rsidRPr="00F32A11">
        <w:rPr>
          <w:rFonts w:asciiTheme="majorBidi" w:hAnsiTheme="majorBidi" w:cstheme="majorBidi"/>
        </w:rPr>
        <w:t xml:space="preserve">sankcija, kas bija spēkā noziedzīga nodarījuma izdarīšanas laikā, paredzēja sodu – brīvības atņemšanu līdz pieciem gadiem, </w:t>
      </w:r>
      <w:r w:rsidR="000E550A" w:rsidRPr="000E550A">
        <w:rPr>
          <w:rFonts w:asciiTheme="majorBidi" w:hAnsiTheme="majorBidi" w:cstheme="majorBidi"/>
        </w:rPr>
        <w:t>konfiscējot mantu vai</w:t>
      </w:r>
      <w:r w:rsidR="000E550A">
        <w:rPr>
          <w:rFonts w:asciiTheme="majorBidi" w:hAnsiTheme="majorBidi" w:cstheme="majorBidi"/>
        </w:rPr>
        <w:t xml:space="preserve"> </w:t>
      </w:r>
      <w:r w:rsidRPr="00F32A11">
        <w:rPr>
          <w:rFonts w:asciiTheme="majorBidi" w:hAnsiTheme="majorBidi" w:cstheme="majorBidi"/>
        </w:rPr>
        <w:t>bez mantas konfiskācijas, un ar policijas kontroli uz laiku līdz trim gadiem.</w:t>
      </w:r>
      <w:r>
        <w:rPr>
          <w:rFonts w:asciiTheme="majorBidi" w:hAnsiTheme="majorBidi" w:cstheme="majorBidi"/>
        </w:rPr>
        <w:t xml:space="preserve"> </w:t>
      </w:r>
      <w:r w:rsidRPr="00F32A11">
        <w:rPr>
          <w:rFonts w:asciiTheme="majorBidi" w:hAnsiTheme="majorBidi" w:cstheme="majorBidi"/>
        </w:rPr>
        <w:t>Ar 2012.</w:t>
      </w:r>
      <w:r w:rsidR="00140CE0">
        <w:rPr>
          <w:rFonts w:asciiTheme="majorBidi" w:hAnsiTheme="majorBidi" w:cstheme="majorBidi"/>
        </w:rPr>
        <w:t> </w:t>
      </w:r>
      <w:r w:rsidRPr="00F32A11">
        <w:rPr>
          <w:rFonts w:asciiTheme="majorBidi" w:hAnsiTheme="majorBidi" w:cstheme="majorBidi"/>
        </w:rPr>
        <w:t>gada 13.</w:t>
      </w:r>
      <w:r w:rsidR="00140CE0">
        <w:rPr>
          <w:rFonts w:asciiTheme="majorBidi" w:hAnsiTheme="majorBidi" w:cstheme="majorBidi"/>
        </w:rPr>
        <w:t> </w:t>
      </w:r>
      <w:r w:rsidRPr="00F32A11">
        <w:rPr>
          <w:rFonts w:asciiTheme="majorBidi" w:hAnsiTheme="majorBidi" w:cstheme="majorBidi"/>
        </w:rPr>
        <w:t xml:space="preserve">decembra likumu </w:t>
      </w:r>
      <w:r w:rsidR="00140CE0">
        <w:rPr>
          <w:rFonts w:asciiTheme="majorBidi" w:hAnsiTheme="majorBidi" w:cstheme="majorBidi"/>
        </w:rPr>
        <w:t>„</w:t>
      </w:r>
      <w:r w:rsidRPr="00F32A11">
        <w:rPr>
          <w:rFonts w:asciiTheme="majorBidi" w:hAnsiTheme="majorBidi" w:cstheme="majorBidi"/>
        </w:rPr>
        <w:t>Grozījumi Krimināllikumā”, kas stājās spēkā 2013.</w:t>
      </w:r>
      <w:r w:rsidR="00140CE0">
        <w:rPr>
          <w:rFonts w:asciiTheme="majorBidi" w:hAnsiTheme="majorBidi" w:cstheme="majorBidi"/>
        </w:rPr>
        <w:t> </w:t>
      </w:r>
      <w:r w:rsidRPr="00F32A11">
        <w:rPr>
          <w:rFonts w:asciiTheme="majorBidi" w:hAnsiTheme="majorBidi" w:cstheme="majorBidi"/>
        </w:rPr>
        <w:t>gada 1.</w:t>
      </w:r>
      <w:r w:rsidR="00140CE0">
        <w:rPr>
          <w:rFonts w:asciiTheme="majorBidi" w:hAnsiTheme="majorBidi" w:cstheme="majorBidi"/>
        </w:rPr>
        <w:t> </w:t>
      </w:r>
      <w:r w:rsidRPr="00F32A11">
        <w:rPr>
          <w:rFonts w:asciiTheme="majorBidi" w:hAnsiTheme="majorBidi" w:cstheme="majorBidi"/>
        </w:rPr>
        <w:t>aprīlī, grozīta Krimināllikuma 253.</w:t>
      </w:r>
      <w:r w:rsidR="00140CE0">
        <w:rPr>
          <w:rFonts w:asciiTheme="majorBidi" w:hAnsiTheme="majorBidi" w:cstheme="majorBidi"/>
        </w:rPr>
        <w:t> </w:t>
      </w:r>
      <w:r w:rsidRPr="00F32A11">
        <w:rPr>
          <w:rFonts w:asciiTheme="majorBidi" w:hAnsiTheme="majorBidi" w:cstheme="majorBidi"/>
        </w:rPr>
        <w:t>panta pirmās daļas sankcija, nosakot brīvības atņemšanu uz laiku līdz trim gadiem vai īslaicīgu brīvības atņemšanu, vai piespiedu darbu, vai naudas sodu un policijas kontroli uz laiku līdz trim gadiem. Spēkā esošā</w:t>
      </w:r>
      <w:r w:rsidRPr="004F29ED">
        <w:rPr>
          <w:rFonts w:asciiTheme="majorBidi" w:hAnsiTheme="majorBidi" w:cstheme="majorBidi"/>
        </w:rPr>
        <w:t xml:space="preserve"> Krimināllikuma 253.</w:t>
      </w:r>
      <w:r>
        <w:rPr>
          <w:rFonts w:asciiTheme="majorBidi" w:hAnsiTheme="majorBidi" w:cstheme="majorBidi"/>
        </w:rPr>
        <w:t> </w:t>
      </w:r>
      <w:r w:rsidRPr="004F29ED">
        <w:rPr>
          <w:rFonts w:asciiTheme="majorBidi" w:hAnsiTheme="majorBidi" w:cstheme="majorBidi"/>
        </w:rPr>
        <w:t>panta pirmās daļas sankcija paredz brīvības atņemšanu uz laiku līdz trim gadiem, īslaicīgu brīvības atņemšanu, probācijas uzraudzību, sabiedrisko darbu, naudas sodu</w:t>
      </w:r>
      <w:r>
        <w:rPr>
          <w:rFonts w:asciiTheme="majorBidi" w:hAnsiTheme="majorBidi" w:cstheme="majorBidi"/>
        </w:rPr>
        <w:t xml:space="preserve">. </w:t>
      </w:r>
    </w:p>
    <w:p w14:paraId="2A02FEA2" w14:textId="4B94119C" w:rsidR="00791350" w:rsidRDefault="00791350" w:rsidP="000B461F">
      <w:pPr>
        <w:pStyle w:val="NoSpacing"/>
        <w:spacing w:line="276" w:lineRule="auto"/>
        <w:ind w:firstLine="720"/>
        <w:jc w:val="both"/>
        <w:rPr>
          <w:rFonts w:asciiTheme="majorBidi" w:hAnsiTheme="majorBidi" w:cstheme="majorBidi"/>
        </w:rPr>
      </w:pPr>
      <w:r w:rsidRPr="00140CE0">
        <w:rPr>
          <w:rFonts w:asciiTheme="majorBidi" w:hAnsiTheme="majorBidi" w:cstheme="majorBidi"/>
        </w:rPr>
        <w:t xml:space="preserve">Saskaņā ar likumprojekta </w:t>
      </w:r>
      <w:r w:rsidR="00140CE0">
        <w:rPr>
          <w:rFonts w:asciiTheme="majorBidi" w:hAnsiTheme="majorBidi" w:cstheme="majorBidi"/>
        </w:rPr>
        <w:t>„</w:t>
      </w:r>
      <w:r w:rsidRPr="00140CE0">
        <w:rPr>
          <w:rFonts w:asciiTheme="majorBidi" w:hAnsiTheme="majorBidi" w:cstheme="majorBidi"/>
        </w:rPr>
        <w:t>Grozījumi Krimināllikumā</w:t>
      </w:r>
      <w:r w:rsidR="00140CE0">
        <w:rPr>
          <w:rFonts w:asciiTheme="majorBidi" w:hAnsiTheme="majorBidi" w:cstheme="majorBidi"/>
        </w:rPr>
        <w:t>”</w:t>
      </w:r>
      <w:r w:rsidR="00140CE0" w:rsidRPr="00140CE0">
        <w:rPr>
          <w:rFonts w:asciiTheme="majorBidi" w:hAnsiTheme="majorBidi" w:cstheme="majorBidi"/>
        </w:rPr>
        <w:t xml:space="preserve"> </w:t>
      </w:r>
      <w:hyperlink r:id="rId7" w:anchor="b" w:history="1">
        <w:r w:rsidRPr="00140CE0">
          <w:rPr>
            <w:rStyle w:val="Hyperlink"/>
            <w:rFonts w:asciiTheme="majorBidi" w:hAnsiTheme="majorBidi" w:cstheme="majorBidi"/>
          </w:rPr>
          <w:t>anotācijā</w:t>
        </w:r>
      </w:hyperlink>
      <w:r w:rsidRPr="00140CE0">
        <w:rPr>
          <w:rFonts w:asciiTheme="majorBidi" w:hAnsiTheme="majorBidi" w:cstheme="majorBidi"/>
        </w:rPr>
        <w:t xml:space="preserve"> norādīto, likumdevējs atzin</w:t>
      </w:r>
      <w:r w:rsidR="0092291F">
        <w:rPr>
          <w:rFonts w:asciiTheme="majorBidi" w:hAnsiTheme="majorBidi" w:cstheme="majorBidi"/>
        </w:rPr>
        <w:t>is</w:t>
      </w:r>
      <w:r w:rsidRPr="00140CE0">
        <w:rPr>
          <w:rFonts w:asciiTheme="majorBidi" w:hAnsiTheme="majorBidi" w:cstheme="majorBidi"/>
        </w:rPr>
        <w:t xml:space="preserve">, ka </w:t>
      </w:r>
      <w:r w:rsidR="00140CE0">
        <w:rPr>
          <w:rFonts w:asciiTheme="majorBidi" w:hAnsiTheme="majorBidi" w:cstheme="majorBidi"/>
        </w:rPr>
        <w:t>„p</w:t>
      </w:r>
      <w:r w:rsidR="005613D3" w:rsidRPr="00140CE0">
        <w:rPr>
          <w:rFonts w:asciiTheme="majorBidi" w:hAnsiTheme="majorBidi" w:cstheme="majorBidi"/>
        </w:rPr>
        <w:t>astāv iespēja attīstīt esošo brīvības atņemšanas sodu, nosakot, ka par</w:t>
      </w:r>
      <w:r w:rsidR="00140CE0">
        <w:rPr>
          <w:rFonts w:asciiTheme="majorBidi" w:hAnsiTheme="majorBidi" w:cstheme="majorBidi"/>
        </w:rPr>
        <w:t xml:space="preserve"> </w:t>
      </w:r>
      <w:r w:rsidR="005613D3" w:rsidRPr="00140CE0">
        <w:rPr>
          <w:rFonts w:asciiTheme="majorBidi" w:hAnsiTheme="majorBidi" w:cstheme="majorBidi"/>
        </w:rPr>
        <w:t>noziedzīgu nodarījumu izdarīšanu var tikt noteikta īslaicīga brīvības atņemšana uz laiku no piecpadsmit dienām</w:t>
      </w:r>
      <w:r w:rsidR="00140CE0">
        <w:rPr>
          <w:rFonts w:asciiTheme="majorBidi" w:hAnsiTheme="majorBidi" w:cstheme="majorBidi"/>
        </w:rPr>
        <w:t xml:space="preserve"> </w:t>
      </w:r>
      <w:r w:rsidR="005613D3" w:rsidRPr="00140CE0">
        <w:rPr>
          <w:rFonts w:asciiTheme="majorBidi" w:hAnsiTheme="majorBidi" w:cstheme="majorBidi"/>
        </w:rPr>
        <w:t>līdz trim mēnešiem, tādējādi pilnībā atsakoties no kriminālsoda veida – arests</w:t>
      </w:r>
      <w:r w:rsidR="00207008" w:rsidRPr="00140CE0">
        <w:rPr>
          <w:rFonts w:asciiTheme="majorBidi" w:hAnsiTheme="majorBidi" w:cstheme="majorBidi"/>
        </w:rPr>
        <w:t>”</w:t>
      </w:r>
      <w:r w:rsidR="005613D3" w:rsidRPr="00140CE0">
        <w:rPr>
          <w:rFonts w:asciiTheme="majorBidi" w:hAnsiTheme="majorBidi" w:cstheme="majorBidi"/>
        </w:rPr>
        <w:t>.</w:t>
      </w:r>
      <w:r w:rsidR="000B461F">
        <w:rPr>
          <w:rFonts w:asciiTheme="majorBidi" w:hAnsiTheme="majorBidi" w:cstheme="majorBidi"/>
        </w:rPr>
        <w:t xml:space="preserve"> </w:t>
      </w:r>
      <w:r w:rsidRPr="00207008">
        <w:rPr>
          <w:rFonts w:asciiTheme="majorBidi" w:hAnsiTheme="majorBidi" w:cstheme="majorBidi"/>
        </w:rPr>
        <w:t>Tādējādi likumdevējs n</w:t>
      </w:r>
      <w:r w:rsidR="00207008">
        <w:rPr>
          <w:rFonts w:asciiTheme="majorBidi" w:hAnsiTheme="majorBidi" w:cstheme="majorBidi"/>
        </w:rPr>
        <w:t>av i</w:t>
      </w:r>
      <w:r w:rsidRPr="00207008">
        <w:rPr>
          <w:rFonts w:asciiTheme="majorBidi" w:hAnsiTheme="majorBidi" w:cstheme="majorBidi"/>
        </w:rPr>
        <w:t>zvēlēj</w:t>
      </w:r>
      <w:r w:rsidR="00207008">
        <w:rPr>
          <w:rFonts w:asciiTheme="majorBidi" w:hAnsiTheme="majorBidi" w:cstheme="majorBidi"/>
        </w:rPr>
        <w:t>ies</w:t>
      </w:r>
      <w:r w:rsidRPr="00207008">
        <w:rPr>
          <w:rFonts w:asciiTheme="majorBidi" w:hAnsiTheme="majorBidi" w:cstheme="majorBidi"/>
        </w:rPr>
        <w:t xml:space="preserve"> radīt jaunu soda veidu, bet </w:t>
      </w:r>
      <w:r w:rsidR="00207008">
        <w:rPr>
          <w:rFonts w:asciiTheme="majorBidi" w:hAnsiTheme="majorBidi" w:cstheme="majorBidi"/>
        </w:rPr>
        <w:t>paredzējis</w:t>
      </w:r>
      <w:r w:rsidRPr="00207008">
        <w:rPr>
          <w:rFonts w:asciiTheme="majorBidi" w:hAnsiTheme="majorBidi" w:cstheme="majorBidi"/>
        </w:rPr>
        <w:t>, ka brīvības atņemšana var tikt noteikta arī īslaicīgas brīvības atņemšanas veidā.</w:t>
      </w:r>
    </w:p>
    <w:p w14:paraId="372E4B33" w14:textId="6BC9187F" w:rsidR="00207008" w:rsidRPr="00791350" w:rsidRDefault="00207008" w:rsidP="000B461F">
      <w:pPr>
        <w:autoSpaceDE w:val="0"/>
        <w:adjustRightInd w:val="0"/>
        <w:spacing w:after="0" w:line="276" w:lineRule="auto"/>
        <w:ind w:firstLine="709"/>
        <w:jc w:val="both"/>
        <w:rPr>
          <w:rFonts w:asciiTheme="majorBidi" w:hAnsiTheme="majorBidi" w:cstheme="majorBidi"/>
        </w:rPr>
      </w:pPr>
      <w:r w:rsidRPr="00A35583">
        <w:t xml:space="preserve">Ņemot vērā </w:t>
      </w:r>
      <w:r>
        <w:t xml:space="preserve">anotācijā norādīto, </w:t>
      </w:r>
      <w:r w:rsidRPr="00A35583">
        <w:t>Krimināllikumā</w:t>
      </w:r>
      <w:r>
        <w:t xml:space="preserve"> 36. pantā</w:t>
      </w:r>
      <w:r w:rsidRPr="00A35583">
        <w:t xml:space="preserve"> noteikto</w:t>
      </w:r>
      <w:r>
        <w:t>s</w:t>
      </w:r>
      <w:r w:rsidRPr="00A35583">
        <w:t xml:space="preserve"> </w:t>
      </w:r>
      <w:r>
        <w:t>s</w:t>
      </w:r>
      <w:r w:rsidRPr="00A35583">
        <w:t xml:space="preserve">odu </w:t>
      </w:r>
      <w:r>
        <w:t>veidus</w:t>
      </w:r>
      <w:r w:rsidRPr="00A35583">
        <w:t>, kā arī brīvības atņemšanas soda tiesisko saturu,</w:t>
      </w:r>
      <w:r>
        <w:t xml:space="preserve"> Senāts norāda, ka </w:t>
      </w:r>
      <w:r w:rsidRPr="00A35583">
        <w:t>īslaicīga brīvības atņemšana ir brīvības atņemšanas soda paveids, kas pēc savas būtības pilnībā atbilst brīvības atņemšanas definīcijai – personas piespiedu turēšanai ieslodzījumā</w:t>
      </w:r>
      <w:r>
        <w:t xml:space="preserve"> –</w:t>
      </w:r>
      <w:r w:rsidRPr="00A35583">
        <w:t>, taču ir diferencēts pēc tā ilguma.</w:t>
      </w:r>
      <w:r w:rsidR="000B461F">
        <w:t xml:space="preserve"> </w:t>
      </w:r>
      <w:r w:rsidRPr="00A35583">
        <w:t xml:space="preserve">Likumdevējs, paredzot iespēju noteikt īslaicīgu brīvības atņemšanu uz laiku līdz trim mēnešiem, ir radījis elastīgāku krimināltiesisko regulējumu, kas ļauj tiesai </w:t>
      </w:r>
      <w:r>
        <w:t xml:space="preserve">vērtēt </w:t>
      </w:r>
      <w:r w:rsidRPr="00A35583">
        <w:t>brīvības atņemšana sod</w:t>
      </w:r>
      <w:r>
        <w:t xml:space="preserve">a ilgumu. </w:t>
      </w:r>
      <w:r w:rsidRPr="00A35583">
        <w:t>Tādējādi īslaicīga brīvības atņemšana saglabā brīvības atņemšanai raksturīgo augsto personas pamattiesību ierobežojuma intensitāti</w:t>
      </w:r>
      <w:r>
        <w:t xml:space="preserve">, </w:t>
      </w:r>
      <w:r w:rsidRPr="00207008">
        <w:rPr>
          <w:rFonts w:asciiTheme="majorBidi" w:hAnsiTheme="majorBidi" w:cstheme="majorBidi"/>
        </w:rPr>
        <w:t>vienlaikus paredzot būtiski īsāku tā</w:t>
      </w:r>
      <w:r w:rsidR="005702CC">
        <w:rPr>
          <w:rFonts w:asciiTheme="majorBidi" w:hAnsiTheme="majorBidi" w:cstheme="majorBidi"/>
        </w:rPr>
        <w:t>s</w:t>
      </w:r>
      <w:r w:rsidRPr="00207008">
        <w:rPr>
          <w:rFonts w:asciiTheme="majorBidi" w:hAnsiTheme="majorBidi" w:cstheme="majorBidi"/>
        </w:rPr>
        <w:t xml:space="preserve"> termiņu.</w:t>
      </w:r>
    </w:p>
    <w:p w14:paraId="44719CA6" w14:textId="77777777" w:rsidR="00780C9E" w:rsidRDefault="00F32A11" w:rsidP="00F32A11">
      <w:pPr>
        <w:pStyle w:val="NoSpacing"/>
        <w:spacing w:line="276" w:lineRule="auto"/>
        <w:ind w:firstLine="720"/>
        <w:jc w:val="both"/>
        <w:rPr>
          <w:rFonts w:asciiTheme="majorBidi" w:hAnsiTheme="majorBidi" w:cstheme="majorBidi"/>
        </w:rPr>
      </w:pPr>
      <w:r w:rsidRPr="00F32A11">
        <w:rPr>
          <w:rFonts w:asciiTheme="majorBidi" w:hAnsiTheme="majorBidi" w:cstheme="majorBidi"/>
        </w:rPr>
        <w:t>2012.</w:t>
      </w:r>
      <w:r>
        <w:rPr>
          <w:rFonts w:asciiTheme="majorBidi" w:hAnsiTheme="majorBidi" w:cstheme="majorBidi"/>
        </w:rPr>
        <w:t> </w:t>
      </w:r>
      <w:r w:rsidRPr="00F32A11">
        <w:rPr>
          <w:rFonts w:asciiTheme="majorBidi" w:hAnsiTheme="majorBidi" w:cstheme="majorBidi"/>
        </w:rPr>
        <w:t>gada 13.</w:t>
      </w:r>
      <w:r w:rsidR="001E586F">
        <w:rPr>
          <w:rFonts w:asciiTheme="majorBidi" w:hAnsiTheme="majorBidi" w:cstheme="majorBidi"/>
        </w:rPr>
        <w:t> </w:t>
      </w:r>
      <w:r w:rsidRPr="00F32A11">
        <w:rPr>
          <w:rFonts w:asciiTheme="majorBidi" w:hAnsiTheme="majorBidi" w:cstheme="majorBidi"/>
        </w:rPr>
        <w:t>decembra likuma „Grozījumi Krimināllikumā” pārejas noteikumu 6.</w:t>
      </w:r>
      <w:r w:rsidR="001E586F">
        <w:rPr>
          <w:rFonts w:asciiTheme="majorBidi" w:hAnsiTheme="majorBidi" w:cstheme="majorBidi"/>
        </w:rPr>
        <w:t> </w:t>
      </w:r>
      <w:r w:rsidRPr="00F32A11">
        <w:rPr>
          <w:rFonts w:asciiTheme="majorBidi" w:hAnsiTheme="majorBidi" w:cstheme="majorBidi"/>
        </w:rPr>
        <w:t>punkts</w:t>
      </w:r>
      <w:r>
        <w:rPr>
          <w:rFonts w:asciiTheme="majorBidi" w:hAnsiTheme="majorBidi" w:cstheme="majorBidi"/>
        </w:rPr>
        <w:t xml:space="preserve"> </w:t>
      </w:r>
      <w:r w:rsidRPr="00F32A11">
        <w:rPr>
          <w:rFonts w:asciiTheme="majorBidi" w:hAnsiTheme="majorBidi" w:cstheme="majorBidi"/>
        </w:rPr>
        <w:t xml:space="preserve">noteic, ka gadījumā, ja par attiecīgo noziedzīgo nodarījumu Krimināllikumā pēc </w:t>
      </w:r>
      <w:r w:rsidRPr="00F32A11">
        <w:rPr>
          <w:rFonts w:asciiTheme="majorBidi" w:hAnsiTheme="majorBidi" w:cstheme="majorBidi"/>
        </w:rPr>
        <w:lastRenderedPageBreak/>
        <w:t>šā likuma spēkā</w:t>
      </w:r>
      <w:r>
        <w:rPr>
          <w:rFonts w:asciiTheme="majorBidi" w:hAnsiTheme="majorBidi" w:cstheme="majorBidi"/>
        </w:rPr>
        <w:t xml:space="preserve"> </w:t>
      </w:r>
      <w:r w:rsidRPr="00F32A11">
        <w:rPr>
          <w:rFonts w:asciiTheme="majorBidi" w:hAnsiTheme="majorBidi" w:cstheme="majorBidi"/>
        </w:rPr>
        <w:t>stāšanās dienas paredzēta zemāka brīvības atņemšanas soda minimālā robeža, tiesa to ņem vērā,</w:t>
      </w:r>
      <w:r>
        <w:rPr>
          <w:rFonts w:asciiTheme="majorBidi" w:hAnsiTheme="majorBidi" w:cstheme="majorBidi"/>
        </w:rPr>
        <w:t xml:space="preserve"> </w:t>
      </w:r>
      <w:r w:rsidRPr="00F32A11">
        <w:rPr>
          <w:rFonts w:asciiTheme="majorBidi" w:hAnsiTheme="majorBidi" w:cstheme="majorBidi"/>
        </w:rPr>
        <w:t>nosakot brīvības atņemšanas sodu.</w:t>
      </w:r>
      <w:r>
        <w:rPr>
          <w:rFonts w:asciiTheme="majorBidi" w:hAnsiTheme="majorBidi" w:cstheme="majorBidi"/>
        </w:rPr>
        <w:t xml:space="preserve"> </w:t>
      </w:r>
    </w:p>
    <w:p w14:paraId="2C8C028B" w14:textId="67946EF5" w:rsidR="00F32A11" w:rsidRDefault="00F32A11" w:rsidP="00F32A11">
      <w:pPr>
        <w:pStyle w:val="NoSpacing"/>
        <w:spacing w:line="276" w:lineRule="auto"/>
        <w:ind w:firstLine="720"/>
        <w:jc w:val="both"/>
        <w:rPr>
          <w:rFonts w:asciiTheme="majorBidi" w:hAnsiTheme="majorBidi" w:cstheme="majorBidi"/>
        </w:rPr>
      </w:pPr>
      <w:r w:rsidRPr="00F32A11">
        <w:rPr>
          <w:rFonts w:asciiTheme="majorBidi" w:hAnsiTheme="majorBidi" w:cstheme="majorBidi"/>
        </w:rPr>
        <w:t xml:space="preserve">Ievērojot to, ka Krimināllikuma </w:t>
      </w:r>
      <w:r>
        <w:rPr>
          <w:rFonts w:asciiTheme="majorBidi" w:hAnsiTheme="majorBidi" w:cstheme="majorBidi"/>
        </w:rPr>
        <w:t>253</w:t>
      </w:r>
      <w:r w:rsidRPr="00F32A11">
        <w:rPr>
          <w:rFonts w:asciiTheme="majorBidi" w:hAnsiTheme="majorBidi" w:cstheme="majorBidi"/>
        </w:rPr>
        <w:t>.</w:t>
      </w:r>
      <w:r>
        <w:rPr>
          <w:rFonts w:asciiTheme="majorBidi" w:hAnsiTheme="majorBidi" w:cstheme="majorBidi"/>
        </w:rPr>
        <w:t> </w:t>
      </w:r>
      <w:r w:rsidRPr="00F32A11">
        <w:rPr>
          <w:rFonts w:asciiTheme="majorBidi" w:hAnsiTheme="majorBidi" w:cstheme="majorBidi"/>
        </w:rPr>
        <w:t xml:space="preserve">panta </w:t>
      </w:r>
      <w:r>
        <w:rPr>
          <w:rFonts w:asciiTheme="majorBidi" w:hAnsiTheme="majorBidi" w:cstheme="majorBidi"/>
        </w:rPr>
        <w:t>pirmās</w:t>
      </w:r>
      <w:r w:rsidRPr="00F32A11">
        <w:rPr>
          <w:rFonts w:asciiTheme="majorBidi" w:hAnsiTheme="majorBidi" w:cstheme="majorBidi"/>
        </w:rPr>
        <w:t xml:space="preserve"> daļas</w:t>
      </w:r>
      <w:r w:rsidR="00780C9E">
        <w:rPr>
          <w:rFonts w:asciiTheme="majorBidi" w:hAnsiTheme="majorBidi" w:cstheme="majorBidi"/>
        </w:rPr>
        <w:t xml:space="preserve"> </w:t>
      </w:r>
      <w:r w:rsidR="00780C9E" w:rsidRPr="00780C9E">
        <w:rPr>
          <w:rFonts w:asciiTheme="majorBidi" w:hAnsiTheme="majorBidi" w:cstheme="majorBidi"/>
        </w:rPr>
        <w:t xml:space="preserve">(redakcijā, kas spēkā </w:t>
      </w:r>
      <w:r w:rsidR="00780C9E">
        <w:rPr>
          <w:rFonts w:asciiTheme="majorBidi" w:hAnsiTheme="majorBidi" w:cstheme="majorBidi"/>
        </w:rPr>
        <w:t xml:space="preserve">no </w:t>
      </w:r>
      <w:r w:rsidR="00780C9E" w:rsidRPr="00780C9E">
        <w:rPr>
          <w:rFonts w:asciiTheme="majorBidi" w:hAnsiTheme="majorBidi" w:cstheme="majorBidi"/>
        </w:rPr>
        <w:t>2013.</w:t>
      </w:r>
      <w:r w:rsidR="00780C9E">
        <w:rPr>
          <w:rFonts w:asciiTheme="majorBidi" w:hAnsiTheme="majorBidi" w:cstheme="majorBidi"/>
        </w:rPr>
        <w:t> </w:t>
      </w:r>
      <w:r w:rsidR="00780C9E" w:rsidRPr="00780C9E">
        <w:rPr>
          <w:rFonts w:asciiTheme="majorBidi" w:hAnsiTheme="majorBidi" w:cstheme="majorBidi"/>
        </w:rPr>
        <w:t>gada 1.</w:t>
      </w:r>
      <w:r w:rsidR="00780C9E">
        <w:rPr>
          <w:rFonts w:asciiTheme="majorBidi" w:hAnsiTheme="majorBidi" w:cstheme="majorBidi"/>
        </w:rPr>
        <w:t> </w:t>
      </w:r>
      <w:r w:rsidR="00780C9E" w:rsidRPr="00780C9E">
        <w:rPr>
          <w:rFonts w:asciiTheme="majorBidi" w:hAnsiTheme="majorBidi" w:cstheme="majorBidi"/>
        </w:rPr>
        <w:t>aprī</w:t>
      </w:r>
      <w:r w:rsidR="00780C9E">
        <w:rPr>
          <w:rFonts w:asciiTheme="majorBidi" w:hAnsiTheme="majorBidi" w:cstheme="majorBidi"/>
        </w:rPr>
        <w:t>ļa</w:t>
      </w:r>
      <w:r w:rsidR="00780C9E" w:rsidRPr="00780C9E">
        <w:rPr>
          <w:rFonts w:asciiTheme="majorBidi" w:hAnsiTheme="majorBidi" w:cstheme="majorBidi"/>
        </w:rPr>
        <w:t xml:space="preserve">) </w:t>
      </w:r>
      <w:r w:rsidRPr="00F32A11">
        <w:rPr>
          <w:rFonts w:asciiTheme="majorBidi" w:hAnsiTheme="majorBidi" w:cstheme="majorBidi"/>
        </w:rPr>
        <w:t>sankcijā paredzēta īslaicīga brīvības atņemšana, kuru saskaņā ar</w:t>
      </w:r>
      <w:r>
        <w:rPr>
          <w:rFonts w:asciiTheme="majorBidi" w:hAnsiTheme="majorBidi" w:cstheme="majorBidi"/>
        </w:rPr>
        <w:t xml:space="preserve"> </w:t>
      </w:r>
      <w:r w:rsidRPr="00F32A11">
        <w:rPr>
          <w:rFonts w:asciiTheme="majorBidi" w:hAnsiTheme="majorBidi" w:cstheme="majorBidi"/>
        </w:rPr>
        <w:t>Krimināllikuma 38.</w:t>
      </w:r>
      <w:r>
        <w:rPr>
          <w:rFonts w:asciiTheme="majorBidi" w:hAnsiTheme="majorBidi" w:cstheme="majorBidi"/>
        </w:rPr>
        <w:t> </w:t>
      </w:r>
      <w:r w:rsidRPr="00F32A11">
        <w:rPr>
          <w:rFonts w:asciiTheme="majorBidi" w:hAnsiTheme="majorBidi" w:cstheme="majorBidi"/>
        </w:rPr>
        <w:t>panta otro un 2.</w:t>
      </w:r>
      <w:r w:rsidRPr="00F32A11">
        <w:rPr>
          <w:rFonts w:asciiTheme="majorBidi" w:hAnsiTheme="majorBidi" w:cstheme="majorBidi"/>
          <w:vertAlign w:val="superscript"/>
        </w:rPr>
        <w:t>1</w:t>
      </w:r>
      <w:r>
        <w:rPr>
          <w:rFonts w:asciiTheme="majorBidi" w:hAnsiTheme="majorBidi" w:cstheme="majorBidi"/>
        </w:rPr>
        <w:t> </w:t>
      </w:r>
      <w:r w:rsidRPr="00F32A11">
        <w:rPr>
          <w:rFonts w:asciiTheme="majorBidi" w:hAnsiTheme="majorBidi" w:cstheme="majorBidi"/>
        </w:rPr>
        <w:t>daļu nosaka uz laiku no piecpadsmit dienām līdz trim</w:t>
      </w:r>
      <w:r>
        <w:rPr>
          <w:rFonts w:asciiTheme="majorBidi" w:hAnsiTheme="majorBidi" w:cstheme="majorBidi"/>
        </w:rPr>
        <w:t xml:space="preserve"> </w:t>
      </w:r>
      <w:r w:rsidRPr="00F32A11">
        <w:rPr>
          <w:rFonts w:asciiTheme="majorBidi" w:hAnsiTheme="majorBidi" w:cstheme="majorBidi"/>
        </w:rPr>
        <w:t xml:space="preserve">mēnešiem, ir pamats atzīt, ka Krimināllikuma </w:t>
      </w:r>
      <w:r>
        <w:rPr>
          <w:rFonts w:asciiTheme="majorBidi" w:hAnsiTheme="majorBidi" w:cstheme="majorBidi"/>
        </w:rPr>
        <w:t>253</w:t>
      </w:r>
      <w:r w:rsidRPr="00F32A11">
        <w:rPr>
          <w:rFonts w:asciiTheme="majorBidi" w:hAnsiTheme="majorBidi" w:cstheme="majorBidi"/>
        </w:rPr>
        <w:t>.</w:t>
      </w:r>
      <w:r w:rsidR="00B34333">
        <w:rPr>
          <w:rFonts w:asciiTheme="majorBidi" w:hAnsiTheme="majorBidi" w:cstheme="majorBidi"/>
        </w:rPr>
        <w:t> </w:t>
      </w:r>
      <w:r w:rsidRPr="00F32A11">
        <w:rPr>
          <w:rFonts w:asciiTheme="majorBidi" w:hAnsiTheme="majorBidi" w:cstheme="majorBidi"/>
        </w:rPr>
        <w:t>panta</w:t>
      </w:r>
      <w:r>
        <w:rPr>
          <w:rFonts w:asciiTheme="majorBidi" w:hAnsiTheme="majorBidi" w:cstheme="majorBidi"/>
        </w:rPr>
        <w:t xml:space="preserve"> pirmās</w:t>
      </w:r>
      <w:r w:rsidRPr="00F32A11">
        <w:rPr>
          <w:rFonts w:asciiTheme="majorBidi" w:hAnsiTheme="majorBidi" w:cstheme="majorBidi"/>
        </w:rPr>
        <w:t xml:space="preserve"> daļas sankcijā </w:t>
      </w:r>
      <w:r w:rsidR="00CD0865">
        <w:rPr>
          <w:rFonts w:asciiTheme="majorBidi" w:hAnsiTheme="majorBidi" w:cstheme="majorBidi"/>
        </w:rPr>
        <w:t xml:space="preserve">tās aktuālajā redakcijā </w:t>
      </w:r>
      <w:r w:rsidRPr="00F32A11">
        <w:rPr>
          <w:rFonts w:asciiTheme="majorBidi" w:hAnsiTheme="majorBidi" w:cstheme="majorBidi"/>
        </w:rPr>
        <w:t>ir paredzēta zemāka brīvības atņemšanas soda minimālā robeža.</w:t>
      </w:r>
    </w:p>
    <w:p w14:paraId="20F3C4FA" w14:textId="76E8B04D" w:rsidR="00124436" w:rsidRDefault="00CD0865" w:rsidP="00F32A11">
      <w:pPr>
        <w:pStyle w:val="NoSpacing"/>
        <w:spacing w:line="276" w:lineRule="auto"/>
        <w:ind w:firstLine="720"/>
        <w:jc w:val="both"/>
        <w:rPr>
          <w:rFonts w:asciiTheme="majorBidi" w:hAnsiTheme="majorBidi" w:cstheme="majorBidi"/>
        </w:rPr>
      </w:pPr>
      <w:r>
        <w:rPr>
          <w:rFonts w:asciiTheme="majorBidi" w:hAnsiTheme="majorBidi" w:cstheme="majorBidi"/>
        </w:rPr>
        <w:t>Ievērojot minēto,</w:t>
      </w:r>
      <w:r w:rsidR="00B34333">
        <w:rPr>
          <w:rFonts w:asciiTheme="majorBidi" w:hAnsiTheme="majorBidi" w:cstheme="majorBidi"/>
        </w:rPr>
        <w:t xml:space="preserve"> </w:t>
      </w:r>
      <w:r w:rsidR="00F32A11">
        <w:rPr>
          <w:rFonts w:asciiTheme="majorBidi" w:hAnsiTheme="majorBidi" w:cstheme="majorBidi"/>
        </w:rPr>
        <w:t xml:space="preserve">Senāts atzīst, ka apelācijas instances tiesa spriedumā kļūdaini norādījusi, ka </w:t>
      </w:r>
      <w:r w:rsidR="00F32A11" w:rsidRPr="00F32A11">
        <w:rPr>
          <w:rFonts w:asciiTheme="majorBidi" w:hAnsiTheme="majorBidi" w:cstheme="majorBidi"/>
        </w:rPr>
        <w:t>2012.</w:t>
      </w:r>
      <w:r w:rsidR="00F32A11">
        <w:rPr>
          <w:rFonts w:asciiTheme="majorBidi" w:hAnsiTheme="majorBidi" w:cstheme="majorBidi"/>
        </w:rPr>
        <w:t> </w:t>
      </w:r>
      <w:r w:rsidR="00F32A11" w:rsidRPr="00F32A11">
        <w:rPr>
          <w:rFonts w:asciiTheme="majorBidi" w:hAnsiTheme="majorBidi" w:cstheme="majorBidi"/>
        </w:rPr>
        <w:t>gada 13.</w:t>
      </w:r>
      <w:r w:rsidR="00F32A11">
        <w:rPr>
          <w:rFonts w:asciiTheme="majorBidi" w:hAnsiTheme="majorBidi" w:cstheme="majorBidi"/>
        </w:rPr>
        <w:t> </w:t>
      </w:r>
      <w:r w:rsidR="00F32A11" w:rsidRPr="00F32A11">
        <w:rPr>
          <w:rFonts w:asciiTheme="majorBidi" w:hAnsiTheme="majorBidi" w:cstheme="majorBidi"/>
        </w:rPr>
        <w:t>decembra likuma „Grozījumi Krimināllikumā” pārejas noteikumu 6.</w:t>
      </w:r>
      <w:r w:rsidR="00C07C2D">
        <w:rPr>
          <w:rFonts w:asciiTheme="majorBidi" w:hAnsiTheme="majorBidi" w:cstheme="majorBidi"/>
        </w:rPr>
        <w:t> </w:t>
      </w:r>
      <w:r w:rsidR="00F32A11" w:rsidRPr="00F32A11">
        <w:rPr>
          <w:rFonts w:asciiTheme="majorBidi" w:hAnsiTheme="majorBidi" w:cstheme="majorBidi"/>
        </w:rPr>
        <w:t>punkts nav attiecin</w:t>
      </w:r>
      <w:r w:rsidR="00F32A11">
        <w:rPr>
          <w:rFonts w:asciiTheme="majorBidi" w:hAnsiTheme="majorBidi" w:cstheme="majorBidi"/>
        </w:rPr>
        <w:t>ā</w:t>
      </w:r>
      <w:r w:rsidR="00F32A11" w:rsidRPr="00F32A11">
        <w:rPr>
          <w:rFonts w:asciiTheme="majorBidi" w:hAnsiTheme="majorBidi" w:cstheme="majorBidi"/>
        </w:rPr>
        <w:t>m</w:t>
      </w:r>
      <w:r w:rsidR="00F32A11">
        <w:rPr>
          <w:rFonts w:asciiTheme="majorBidi" w:hAnsiTheme="majorBidi" w:cstheme="majorBidi"/>
        </w:rPr>
        <w:t>s</w:t>
      </w:r>
      <w:r w:rsidR="00F32A11" w:rsidRPr="00F32A11">
        <w:rPr>
          <w:rFonts w:asciiTheme="majorBidi" w:hAnsiTheme="majorBidi" w:cstheme="majorBidi"/>
        </w:rPr>
        <w:t xml:space="preserve"> uz Krimin</w:t>
      </w:r>
      <w:r w:rsidR="00F32A11">
        <w:rPr>
          <w:rFonts w:asciiTheme="majorBidi" w:hAnsiTheme="majorBidi" w:cstheme="majorBidi"/>
        </w:rPr>
        <w:t>ā</w:t>
      </w:r>
      <w:r w:rsidR="00F32A11" w:rsidRPr="00F32A11">
        <w:rPr>
          <w:rFonts w:asciiTheme="majorBidi" w:hAnsiTheme="majorBidi" w:cstheme="majorBidi"/>
        </w:rPr>
        <w:t>llikuma 253.</w:t>
      </w:r>
      <w:r w:rsidR="00F32A11">
        <w:rPr>
          <w:rFonts w:asciiTheme="majorBidi" w:hAnsiTheme="majorBidi" w:cstheme="majorBidi"/>
        </w:rPr>
        <w:t> </w:t>
      </w:r>
      <w:r w:rsidR="00F32A11" w:rsidRPr="00F32A11">
        <w:rPr>
          <w:rFonts w:asciiTheme="majorBidi" w:hAnsiTheme="majorBidi" w:cstheme="majorBidi"/>
        </w:rPr>
        <w:t>panta pirmo</w:t>
      </w:r>
      <w:r w:rsidR="00F32A11">
        <w:rPr>
          <w:rFonts w:asciiTheme="majorBidi" w:hAnsiTheme="majorBidi" w:cstheme="majorBidi"/>
        </w:rPr>
        <w:t xml:space="preserve"> </w:t>
      </w:r>
      <w:r w:rsidR="00F32A11" w:rsidRPr="00F32A11">
        <w:rPr>
          <w:rFonts w:asciiTheme="majorBidi" w:hAnsiTheme="majorBidi" w:cstheme="majorBidi"/>
        </w:rPr>
        <w:t>da</w:t>
      </w:r>
      <w:r w:rsidR="00F32A11">
        <w:rPr>
          <w:rFonts w:asciiTheme="majorBidi" w:hAnsiTheme="majorBidi" w:cstheme="majorBidi"/>
        </w:rPr>
        <w:t>ļ</w:t>
      </w:r>
      <w:r w:rsidR="00F32A11" w:rsidRPr="00F32A11">
        <w:rPr>
          <w:rFonts w:asciiTheme="majorBidi" w:hAnsiTheme="majorBidi" w:cstheme="majorBidi"/>
        </w:rPr>
        <w:t xml:space="preserve">u, </w:t>
      </w:r>
      <w:r w:rsidR="00F32A11">
        <w:rPr>
          <w:rFonts w:asciiTheme="majorBidi" w:hAnsiTheme="majorBidi" w:cstheme="majorBidi"/>
        </w:rPr>
        <w:t xml:space="preserve">jo tās </w:t>
      </w:r>
      <w:r w:rsidR="00F32A11" w:rsidRPr="00F32A11">
        <w:rPr>
          <w:rFonts w:asciiTheme="majorBidi" w:hAnsiTheme="majorBidi" w:cstheme="majorBidi"/>
        </w:rPr>
        <w:t>sankcija neparedz br</w:t>
      </w:r>
      <w:r w:rsidR="00F32A11">
        <w:rPr>
          <w:rFonts w:asciiTheme="majorBidi" w:hAnsiTheme="majorBidi" w:cstheme="majorBidi"/>
        </w:rPr>
        <w:t>ī</w:t>
      </w:r>
      <w:r w:rsidR="00F32A11" w:rsidRPr="00F32A11">
        <w:rPr>
          <w:rFonts w:asciiTheme="majorBidi" w:hAnsiTheme="majorBidi" w:cstheme="majorBidi"/>
        </w:rPr>
        <w:t>v</w:t>
      </w:r>
      <w:r w:rsidR="00F32A11">
        <w:rPr>
          <w:rFonts w:asciiTheme="majorBidi" w:hAnsiTheme="majorBidi" w:cstheme="majorBidi"/>
        </w:rPr>
        <w:t>ī</w:t>
      </w:r>
      <w:r w:rsidR="00F32A11" w:rsidRPr="00F32A11">
        <w:rPr>
          <w:rFonts w:asciiTheme="majorBidi" w:hAnsiTheme="majorBidi" w:cstheme="majorBidi"/>
        </w:rPr>
        <w:t>bas at</w:t>
      </w:r>
      <w:r w:rsidR="00F32A11">
        <w:rPr>
          <w:rFonts w:asciiTheme="majorBidi" w:hAnsiTheme="majorBidi" w:cstheme="majorBidi"/>
        </w:rPr>
        <w:t>ņ</w:t>
      </w:r>
      <w:r w:rsidR="00F32A11" w:rsidRPr="00F32A11">
        <w:rPr>
          <w:rFonts w:asciiTheme="majorBidi" w:hAnsiTheme="majorBidi" w:cstheme="majorBidi"/>
        </w:rPr>
        <w:t>emšanas soda minim</w:t>
      </w:r>
      <w:r w:rsidR="00F32A11">
        <w:rPr>
          <w:rFonts w:asciiTheme="majorBidi" w:hAnsiTheme="majorBidi" w:cstheme="majorBidi"/>
        </w:rPr>
        <w:t>ā</w:t>
      </w:r>
      <w:r w:rsidR="00F32A11" w:rsidRPr="00F32A11">
        <w:rPr>
          <w:rFonts w:asciiTheme="majorBidi" w:hAnsiTheme="majorBidi" w:cstheme="majorBidi"/>
        </w:rPr>
        <w:t>lo robežu.</w:t>
      </w:r>
      <w:r w:rsidR="00F32A11">
        <w:rPr>
          <w:rFonts w:asciiTheme="majorBidi" w:hAnsiTheme="majorBidi" w:cstheme="majorBidi"/>
        </w:rPr>
        <w:t xml:space="preserve"> </w:t>
      </w:r>
    </w:p>
    <w:p w14:paraId="3308F53B" w14:textId="1896307F" w:rsidR="00F32A11" w:rsidRPr="004F29ED" w:rsidRDefault="00F32A11" w:rsidP="00F32A11">
      <w:pPr>
        <w:pStyle w:val="NoSpacing"/>
        <w:spacing w:line="276" w:lineRule="auto"/>
        <w:ind w:firstLine="720"/>
        <w:jc w:val="both"/>
        <w:rPr>
          <w:rFonts w:asciiTheme="majorBidi" w:hAnsiTheme="majorBidi" w:cstheme="majorBidi"/>
        </w:rPr>
      </w:pPr>
      <w:r>
        <w:rPr>
          <w:rFonts w:asciiTheme="majorBidi" w:hAnsiTheme="majorBidi" w:cstheme="majorBidi"/>
        </w:rPr>
        <w:t>Senāts</w:t>
      </w:r>
      <w:r w:rsidRPr="00F32A11">
        <w:rPr>
          <w:rFonts w:asciiTheme="majorBidi" w:hAnsiTheme="majorBidi" w:cstheme="majorBidi"/>
        </w:rPr>
        <w:t xml:space="preserve"> jau iepriekš vairākkārt norādīj</w:t>
      </w:r>
      <w:r>
        <w:rPr>
          <w:rFonts w:asciiTheme="majorBidi" w:hAnsiTheme="majorBidi" w:cstheme="majorBidi"/>
        </w:rPr>
        <w:t>is</w:t>
      </w:r>
      <w:r w:rsidRPr="00F32A11">
        <w:rPr>
          <w:rFonts w:asciiTheme="majorBidi" w:hAnsiTheme="majorBidi" w:cstheme="majorBidi"/>
        </w:rPr>
        <w:t>, ka 2012.</w:t>
      </w:r>
      <w:r>
        <w:rPr>
          <w:rFonts w:asciiTheme="majorBidi" w:hAnsiTheme="majorBidi" w:cstheme="majorBidi"/>
        </w:rPr>
        <w:t> </w:t>
      </w:r>
      <w:r w:rsidRPr="00F32A11">
        <w:rPr>
          <w:rFonts w:asciiTheme="majorBidi" w:hAnsiTheme="majorBidi" w:cstheme="majorBidi"/>
        </w:rPr>
        <w:t>gada 13.</w:t>
      </w:r>
      <w:r>
        <w:rPr>
          <w:rFonts w:asciiTheme="majorBidi" w:hAnsiTheme="majorBidi" w:cstheme="majorBidi"/>
        </w:rPr>
        <w:t> </w:t>
      </w:r>
      <w:r w:rsidRPr="00F32A11">
        <w:rPr>
          <w:rFonts w:asciiTheme="majorBidi" w:hAnsiTheme="majorBidi" w:cstheme="majorBidi"/>
        </w:rPr>
        <w:t>decembra likuma</w:t>
      </w:r>
      <w:r>
        <w:rPr>
          <w:rFonts w:asciiTheme="majorBidi" w:hAnsiTheme="majorBidi" w:cstheme="majorBidi"/>
        </w:rPr>
        <w:t xml:space="preserve"> </w:t>
      </w:r>
      <w:r w:rsidRPr="00F32A11">
        <w:rPr>
          <w:rFonts w:asciiTheme="majorBidi" w:hAnsiTheme="majorBidi" w:cstheme="majorBidi"/>
        </w:rPr>
        <w:t>„Grozījumi Krimināllikumā” pārejas noteikumu 6.</w:t>
      </w:r>
      <w:r>
        <w:rPr>
          <w:rFonts w:asciiTheme="majorBidi" w:hAnsiTheme="majorBidi" w:cstheme="majorBidi"/>
        </w:rPr>
        <w:t> </w:t>
      </w:r>
      <w:r w:rsidRPr="00F32A11">
        <w:rPr>
          <w:rFonts w:asciiTheme="majorBidi" w:hAnsiTheme="majorBidi" w:cstheme="majorBidi"/>
        </w:rPr>
        <w:t>punkts ir imperatīva tiesību norma un tiesai tā</w:t>
      </w:r>
      <w:r>
        <w:rPr>
          <w:rFonts w:asciiTheme="majorBidi" w:hAnsiTheme="majorBidi" w:cstheme="majorBidi"/>
        </w:rPr>
        <w:t xml:space="preserve"> </w:t>
      </w:r>
      <w:r w:rsidRPr="00F32A11">
        <w:rPr>
          <w:rFonts w:asciiTheme="majorBidi" w:hAnsiTheme="majorBidi" w:cstheme="majorBidi"/>
        </w:rPr>
        <w:t>obligāti jāņem vērā ikreiz, kad par attiecīgo noziedzīgo nodarījumu Krimināllikumā pēc šā likuma</w:t>
      </w:r>
      <w:r>
        <w:rPr>
          <w:rFonts w:asciiTheme="majorBidi" w:hAnsiTheme="majorBidi" w:cstheme="majorBidi"/>
        </w:rPr>
        <w:t xml:space="preserve"> </w:t>
      </w:r>
      <w:r w:rsidRPr="00F32A11">
        <w:rPr>
          <w:rFonts w:asciiTheme="majorBidi" w:hAnsiTheme="majorBidi" w:cstheme="majorBidi"/>
        </w:rPr>
        <w:t xml:space="preserve">spēkā stāšanās dienas paredzēta zemāka brīvības atņemšanas soda minimālā robeža (sk. </w:t>
      </w:r>
      <w:r w:rsidRPr="00F32A11">
        <w:rPr>
          <w:rFonts w:asciiTheme="majorBidi" w:hAnsiTheme="majorBidi" w:cstheme="majorBidi"/>
          <w:i/>
          <w:iCs/>
        </w:rPr>
        <w:t>Senāta</w:t>
      </w:r>
      <w:r w:rsidR="00C74BB0">
        <w:rPr>
          <w:rFonts w:asciiTheme="majorBidi" w:hAnsiTheme="majorBidi" w:cstheme="majorBidi"/>
          <w:i/>
          <w:iCs/>
        </w:rPr>
        <w:t xml:space="preserve"> 2014. gada 17. decembra lēmumu lietā Nr. </w:t>
      </w:r>
      <w:hyperlink r:id="rId8" w:history="1">
        <w:r w:rsidR="00C74BB0" w:rsidRPr="00C74BB0">
          <w:rPr>
            <w:rStyle w:val="Hyperlink"/>
            <w:rFonts w:asciiTheme="majorBidi" w:hAnsiTheme="majorBidi" w:cstheme="majorBidi"/>
            <w:i/>
            <w:iCs/>
          </w:rPr>
          <w:t>SKK-515/2014</w:t>
        </w:r>
      </w:hyperlink>
      <w:r w:rsidR="00C74BB0">
        <w:rPr>
          <w:rFonts w:asciiTheme="majorBidi" w:hAnsiTheme="majorBidi" w:cstheme="majorBidi"/>
          <w:i/>
          <w:iCs/>
        </w:rPr>
        <w:t xml:space="preserve">, </w:t>
      </w:r>
      <w:r w:rsidR="00C74BB0" w:rsidRPr="00C74BB0">
        <w:rPr>
          <w:rFonts w:asciiTheme="majorBidi" w:hAnsiTheme="majorBidi" w:cstheme="majorBidi"/>
          <w:i/>
          <w:iCs/>
        </w:rPr>
        <w:t>11310012512</w:t>
      </w:r>
      <w:r w:rsidRPr="00F32A11">
        <w:rPr>
          <w:rFonts w:asciiTheme="majorBidi" w:hAnsiTheme="majorBidi" w:cstheme="majorBidi"/>
        </w:rPr>
        <w:t>).</w:t>
      </w:r>
    </w:p>
    <w:p w14:paraId="10B742A7" w14:textId="77777777" w:rsidR="00780C9E" w:rsidRDefault="00B34333" w:rsidP="00791620">
      <w:pPr>
        <w:widowControl w:val="0"/>
        <w:spacing w:after="0" w:line="276" w:lineRule="auto"/>
        <w:ind w:firstLine="720"/>
        <w:jc w:val="both"/>
        <w:rPr>
          <w:rFonts w:asciiTheme="majorBidi" w:hAnsiTheme="majorBidi" w:cstheme="majorBidi"/>
        </w:rPr>
      </w:pPr>
      <w:r>
        <w:rPr>
          <w:rFonts w:asciiTheme="majorBidi" w:hAnsiTheme="majorBidi" w:cstheme="majorBidi"/>
        </w:rPr>
        <w:t>Senāts</w:t>
      </w:r>
      <w:r w:rsidRPr="00B34333">
        <w:rPr>
          <w:rFonts w:asciiTheme="majorBidi" w:hAnsiTheme="majorBidi" w:cstheme="majorBidi"/>
        </w:rPr>
        <w:t xml:space="preserve"> atzīst, ka tādējādi apelācijas instances tiesa pieļāvusi Kriminālprocesa likuma</w:t>
      </w:r>
      <w:r>
        <w:rPr>
          <w:rFonts w:asciiTheme="majorBidi" w:hAnsiTheme="majorBidi" w:cstheme="majorBidi"/>
        </w:rPr>
        <w:t xml:space="preserve"> </w:t>
      </w:r>
      <w:r w:rsidRPr="00B34333">
        <w:rPr>
          <w:rFonts w:asciiTheme="majorBidi" w:hAnsiTheme="majorBidi" w:cstheme="majorBidi"/>
        </w:rPr>
        <w:t>574.</w:t>
      </w:r>
      <w:r>
        <w:rPr>
          <w:rFonts w:asciiTheme="majorBidi" w:hAnsiTheme="majorBidi" w:cstheme="majorBidi"/>
        </w:rPr>
        <w:t> </w:t>
      </w:r>
      <w:r w:rsidRPr="00B34333">
        <w:rPr>
          <w:rFonts w:asciiTheme="majorBidi" w:hAnsiTheme="majorBidi" w:cstheme="majorBidi"/>
        </w:rPr>
        <w:t>panta 1.</w:t>
      </w:r>
      <w:r>
        <w:rPr>
          <w:rFonts w:asciiTheme="majorBidi" w:hAnsiTheme="majorBidi" w:cstheme="majorBidi"/>
        </w:rPr>
        <w:t> </w:t>
      </w:r>
      <w:r w:rsidRPr="00B34333">
        <w:rPr>
          <w:rFonts w:asciiTheme="majorBidi" w:hAnsiTheme="majorBidi" w:cstheme="majorBidi"/>
        </w:rPr>
        <w:t xml:space="preserve">punktā norādīto </w:t>
      </w:r>
      <w:r>
        <w:rPr>
          <w:rFonts w:asciiTheme="majorBidi" w:hAnsiTheme="majorBidi" w:cstheme="majorBidi"/>
        </w:rPr>
        <w:t xml:space="preserve">Krimināllikuma </w:t>
      </w:r>
      <w:r w:rsidRPr="00B34333">
        <w:rPr>
          <w:rFonts w:asciiTheme="majorBidi" w:hAnsiTheme="majorBidi" w:cstheme="majorBidi"/>
        </w:rPr>
        <w:t>pārkāpumu.</w:t>
      </w:r>
      <w:r>
        <w:rPr>
          <w:rFonts w:asciiTheme="majorBidi" w:hAnsiTheme="majorBidi" w:cstheme="majorBidi"/>
        </w:rPr>
        <w:t xml:space="preserve"> </w:t>
      </w:r>
    </w:p>
    <w:p w14:paraId="3A0903D0" w14:textId="1C324709" w:rsidR="00B34333" w:rsidRPr="00B34333" w:rsidRDefault="00B34333" w:rsidP="00791620">
      <w:pPr>
        <w:widowControl w:val="0"/>
        <w:spacing w:after="0" w:line="276" w:lineRule="auto"/>
        <w:ind w:firstLine="720"/>
        <w:jc w:val="both"/>
        <w:rPr>
          <w:rFonts w:asciiTheme="majorBidi" w:hAnsiTheme="majorBidi" w:cstheme="majorBidi"/>
        </w:rPr>
      </w:pPr>
      <w:r w:rsidRPr="00B34333">
        <w:rPr>
          <w:rFonts w:asciiTheme="majorBidi" w:hAnsiTheme="majorBidi" w:cstheme="majorBidi"/>
        </w:rPr>
        <w:t>Ievērojot to, ka kasācijas instances tiesa saskaņā ar Kriminālprocesa likuma 569.</w:t>
      </w:r>
      <w:r>
        <w:rPr>
          <w:rFonts w:asciiTheme="majorBidi" w:hAnsiTheme="majorBidi" w:cstheme="majorBidi"/>
        </w:rPr>
        <w:t> </w:t>
      </w:r>
      <w:r w:rsidRPr="00B34333">
        <w:rPr>
          <w:rFonts w:asciiTheme="majorBidi" w:hAnsiTheme="majorBidi" w:cstheme="majorBidi"/>
        </w:rPr>
        <w:t>pantu lietu</w:t>
      </w:r>
      <w:r>
        <w:rPr>
          <w:rFonts w:asciiTheme="majorBidi" w:hAnsiTheme="majorBidi" w:cstheme="majorBidi"/>
        </w:rPr>
        <w:t xml:space="preserve"> </w:t>
      </w:r>
      <w:r w:rsidRPr="00B34333">
        <w:rPr>
          <w:rFonts w:asciiTheme="majorBidi" w:hAnsiTheme="majorBidi" w:cstheme="majorBidi"/>
        </w:rPr>
        <w:t>pēc būtības neiztiesā un sodu ietekmējošos apstākļus neizvērtē, apelācijas instances tiesas</w:t>
      </w:r>
      <w:r>
        <w:rPr>
          <w:rFonts w:asciiTheme="majorBidi" w:hAnsiTheme="majorBidi" w:cstheme="majorBidi"/>
        </w:rPr>
        <w:t xml:space="preserve"> </w:t>
      </w:r>
      <w:r w:rsidRPr="00B34333">
        <w:rPr>
          <w:rFonts w:asciiTheme="majorBidi" w:hAnsiTheme="majorBidi" w:cstheme="majorBidi"/>
        </w:rPr>
        <w:t xml:space="preserve">spriedums daļā par </w:t>
      </w:r>
      <w:r w:rsidR="001B4A49">
        <w:rPr>
          <w:rFonts w:asciiTheme="majorBidi" w:hAnsiTheme="majorBidi" w:cstheme="majorBidi"/>
        </w:rPr>
        <w:t>[pers. A]</w:t>
      </w:r>
      <w:r w:rsidRPr="00B34333">
        <w:rPr>
          <w:rFonts w:asciiTheme="majorBidi" w:hAnsiTheme="majorBidi" w:cstheme="majorBidi"/>
        </w:rPr>
        <w:t xml:space="preserve"> noteikto sodu pēc</w:t>
      </w:r>
      <w:r>
        <w:rPr>
          <w:rFonts w:asciiTheme="majorBidi" w:hAnsiTheme="majorBidi" w:cstheme="majorBidi"/>
        </w:rPr>
        <w:t xml:space="preserve"> </w:t>
      </w:r>
      <w:r w:rsidRPr="00B34333">
        <w:rPr>
          <w:rFonts w:asciiTheme="majorBidi" w:hAnsiTheme="majorBidi" w:cstheme="majorBidi"/>
        </w:rPr>
        <w:t xml:space="preserve">Krimināllikuma </w:t>
      </w:r>
      <w:r>
        <w:rPr>
          <w:rFonts w:asciiTheme="majorBidi" w:hAnsiTheme="majorBidi" w:cstheme="majorBidi"/>
        </w:rPr>
        <w:t>253. panta pirmās</w:t>
      </w:r>
      <w:r w:rsidRPr="00B34333">
        <w:rPr>
          <w:rFonts w:asciiTheme="majorBidi" w:hAnsiTheme="majorBidi" w:cstheme="majorBidi"/>
        </w:rPr>
        <w:t xml:space="preserve"> daļas un galīgo sodu saskaņā ar Krimināllikuma 50.</w:t>
      </w:r>
      <w:r>
        <w:rPr>
          <w:rFonts w:asciiTheme="majorBidi" w:hAnsiTheme="majorBidi" w:cstheme="majorBidi"/>
        </w:rPr>
        <w:t> </w:t>
      </w:r>
      <w:r w:rsidRPr="00B34333">
        <w:rPr>
          <w:rFonts w:asciiTheme="majorBidi" w:hAnsiTheme="majorBidi" w:cstheme="majorBidi"/>
        </w:rPr>
        <w:t>panta pirmo</w:t>
      </w:r>
      <w:r w:rsidR="00225A94">
        <w:rPr>
          <w:rFonts w:asciiTheme="majorBidi" w:hAnsiTheme="majorBidi" w:cstheme="majorBidi"/>
        </w:rPr>
        <w:t xml:space="preserve"> </w:t>
      </w:r>
      <w:r w:rsidR="00225A94">
        <w:rPr>
          <w:shd w:val="clear" w:color="auto" w:fill="FFFFFF"/>
        </w:rPr>
        <w:t>un trešo</w:t>
      </w:r>
      <w:r>
        <w:rPr>
          <w:rFonts w:asciiTheme="majorBidi" w:hAnsiTheme="majorBidi" w:cstheme="majorBidi"/>
        </w:rPr>
        <w:t xml:space="preserve"> </w:t>
      </w:r>
      <w:r w:rsidRPr="00B34333">
        <w:rPr>
          <w:rFonts w:asciiTheme="majorBidi" w:hAnsiTheme="majorBidi" w:cstheme="majorBidi"/>
        </w:rPr>
        <w:t>daļu atceļams un lieta šajā daļā nosūtāma jaunai izskatīšanai apelācijas instances tiesā.</w:t>
      </w:r>
    </w:p>
    <w:p w14:paraId="1B2DA927" w14:textId="77777777" w:rsidR="00B34333" w:rsidRDefault="00B34333" w:rsidP="00B34333">
      <w:pPr>
        <w:widowControl w:val="0"/>
        <w:spacing w:after="0" w:line="276" w:lineRule="auto"/>
        <w:jc w:val="both"/>
        <w:rPr>
          <w:rFonts w:asciiTheme="majorBidi" w:hAnsiTheme="majorBidi" w:cstheme="majorBidi"/>
        </w:rPr>
      </w:pPr>
    </w:p>
    <w:p w14:paraId="227588BC" w14:textId="5C293372" w:rsidR="00124436" w:rsidRPr="00D25CBF" w:rsidRDefault="00B34333" w:rsidP="00D25CBF">
      <w:pPr>
        <w:pStyle w:val="NoSpacing"/>
        <w:spacing w:line="276" w:lineRule="auto"/>
        <w:ind w:firstLine="720"/>
        <w:jc w:val="both"/>
      </w:pPr>
      <w:r w:rsidRPr="00D25CBF">
        <w:t>[</w:t>
      </w:r>
      <w:r w:rsidR="00D25CBF" w:rsidRPr="00D25CBF">
        <w:t>8</w:t>
      </w:r>
      <w:r w:rsidRPr="00D25CBF">
        <w:t>] </w:t>
      </w:r>
      <w:r w:rsidR="00780C9E" w:rsidRPr="00780C9E">
        <w:t xml:space="preserve">Senāts atzīst, ka pārējā daļā apelācijas instances tiesas spriedums atstājams negrozīts, bet apsūdzētā </w:t>
      </w:r>
      <w:r w:rsidR="00051CB5">
        <w:t>[pers. A]</w:t>
      </w:r>
      <w:r w:rsidR="00780C9E" w:rsidRPr="00780C9E">
        <w:t xml:space="preserve"> kasācijas sūdzība noraidāma.</w:t>
      </w:r>
    </w:p>
    <w:p w14:paraId="510EB311" w14:textId="19FCF939" w:rsidR="00780C9E" w:rsidRDefault="00975887" w:rsidP="0067279A">
      <w:pPr>
        <w:pStyle w:val="NoSpacing"/>
        <w:spacing w:line="276" w:lineRule="auto"/>
        <w:ind w:firstLine="720"/>
        <w:jc w:val="both"/>
      </w:pPr>
      <w:r w:rsidRPr="00D25CBF">
        <w:t>[</w:t>
      </w:r>
      <w:r w:rsidR="00D25CBF" w:rsidRPr="00D25CBF">
        <w:t>8</w:t>
      </w:r>
      <w:r w:rsidRPr="00D25CBF">
        <w:t>.</w:t>
      </w:r>
      <w:r w:rsidR="00780C9E">
        <w:t>1</w:t>
      </w:r>
      <w:r w:rsidRPr="00D25CBF">
        <w:t>] </w:t>
      </w:r>
      <w:r w:rsidR="00A74507">
        <w:t xml:space="preserve">Par pirmās instances tiesas spriedumu prokurore </w:t>
      </w:r>
      <w:r w:rsidR="00CD0865">
        <w:t xml:space="preserve">bija </w:t>
      </w:r>
      <w:r w:rsidR="00A74507">
        <w:t>iesniegusi apelācijas protestu, lūdzot atcelt pirmās instances tiesas spriedumu daļā</w:t>
      </w:r>
      <w:r w:rsidR="00137AED">
        <w:t xml:space="preserve"> </w:t>
      </w:r>
      <w:r w:rsidR="00A74507">
        <w:t xml:space="preserve">par </w:t>
      </w:r>
      <w:r w:rsidR="001B4A49">
        <w:t>[pers. A]</w:t>
      </w:r>
      <w:r w:rsidR="00137AED">
        <w:t xml:space="preserve"> </w:t>
      </w:r>
      <w:r w:rsidR="00A74507">
        <w:t>noteikto sodu un</w:t>
      </w:r>
      <w:r w:rsidR="00786066">
        <w:t xml:space="preserve"> </w:t>
      </w:r>
      <w:r w:rsidR="00A74507" w:rsidRPr="00A74507">
        <w:t xml:space="preserve">pēc </w:t>
      </w:r>
      <w:r w:rsidR="00225A94" w:rsidRPr="00A74507">
        <w:t>Krimināllikuma 253.</w:t>
      </w:r>
      <w:r w:rsidR="00225A94">
        <w:t> </w:t>
      </w:r>
      <w:r w:rsidR="00225A94" w:rsidRPr="00A74507">
        <w:t xml:space="preserve">panta pirmās daļas </w:t>
      </w:r>
      <w:r w:rsidR="001B4A49">
        <w:t>[pers. A]</w:t>
      </w:r>
      <w:r w:rsidR="00786066">
        <w:t xml:space="preserve"> </w:t>
      </w:r>
      <w:r w:rsidR="00225A94" w:rsidRPr="00A74507">
        <w:t>sodīt ar brīvības</w:t>
      </w:r>
      <w:r w:rsidR="00225A94">
        <w:t xml:space="preserve"> </w:t>
      </w:r>
      <w:r w:rsidR="00225A94" w:rsidRPr="00A74507">
        <w:t>atņemšanu uz 2 gadiem</w:t>
      </w:r>
      <w:r w:rsidR="00225A94">
        <w:t xml:space="preserve"> un</w:t>
      </w:r>
      <w:r w:rsidR="00225A94" w:rsidRPr="00A74507">
        <w:t xml:space="preserve"> probācijas uzraudzību uz 2 gadiem</w:t>
      </w:r>
      <w:r w:rsidR="00225A94">
        <w:t xml:space="preserve">, savukārt </w:t>
      </w:r>
      <w:r w:rsidR="00225A94" w:rsidRPr="00A74507">
        <w:t xml:space="preserve">pēc </w:t>
      </w:r>
      <w:r w:rsidR="00A74507" w:rsidRPr="00A74507">
        <w:t>Krimināllikuma 253.</w:t>
      </w:r>
      <w:r w:rsidR="00A74507" w:rsidRPr="00A74507">
        <w:rPr>
          <w:vertAlign w:val="superscript"/>
        </w:rPr>
        <w:t>1</w:t>
      </w:r>
      <w:r w:rsidR="00A74507">
        <w:t> </w:t>
      </w:r>
      <w:r w:rsidR="00A74507" w:rsidRPr="00A74507">
        <w:t>panta trešās daļas sodīt ar brīvības</w:t>
      </w:r>
      <w:r w:rsidR="00A74507">
        <w:t xml:space="preserve"> </w:t>
      </w:r>
      <w:r w:rsidR="00A74507" w:rsidRPr="00A74507">
        <w:t>atņemšanu uz 6 gadiem</w:t>
      </w:r>
      <w:r w:rsidR="00A74507">
        <w:t xml:space="preserve"> un</w:t>
      </w:r>
      <w:r w:rsidR="00A74507" w:rsidRPr="00A74507">
        <w:t xml:space="preserve"> ar probācijas uzraudzību uz 3</w:t>
      </w:r>
      <w:r w:rsidR="00A74507">
        <w:t xml:space="preserve"> </w:t>
      </w:r>
      <w:r w:rsidR="00A74507" w:rsidRPr="00A74507">
        <w:t>gadiem.</w:t>
      </w:r>
    </w:p>
    <w:p w14:paraId="6B8DF3C4" w14:textId="671A79BD" w:rsidR="00780C9E" w:rsidRDefault="002E70C6" w:rsidP="0067279A">
      <w:pPr>
        <w:pStyle w:val="NoSpacing"/>
        <w:spacing w:line="276" w:lineRule="auto"/>
        <w:ind w:firstLine="720"/>
        <w:jc w:val="both"/>
      </w:pPr>
      <w:r w:rsidRPr="00D25CBF">
        <w:t xml:space="preserve">Senāts konstatē, ka </w:t>
      </w:r>
      <w:r w:rsidR="006E79BB" w:rsidRPr="00D25CBF">
        <w:t>apelācijas instances tiesa</w:t>
      </w:r>
      <w:r w:rsidR="005E49F7" w:rsidRPr="00D25CBF">
        <w:t xml:space="preserve">, nosakot apsūdzētajam </w:t>
      </w:r>
      <w:r w:rsidR="001B4A49">
        <w:t>[pers. A]</w:t>
      </w:r>
      <w:r w:rsidR="005E49F7" w:rsidRPr="00D25CBF">
        <w:t xml:space="preserve"> sodu, nav pārsniegusi prokurores apelācijas protesta apjomu. </w:t>
      </w:r>
    </w:p>
    <w:p w14:paraId="0F457440" w14:textId="51F9BA77" w:rsidR="0067279A" w:rsidRDefault="007674E4" w:rsidP="000D6C7D">
      <w:pPr>
        <w:pStyle w:val="NoSpacing"/>
        <w:spacing w:line="276" w:lineRule="auto"/>
        <w:ind w:firstLine="720"/>
        <w:jc w:val="both"/>
      </w:pPr>
      <w:r w:rsidRPr="00D25CBF">
        <w:t>Pretēji kasācijas sūdzībā norādītajam a</w:t>
      </w:r>
      <w:r w:rsidR="005E49F7" w:rsidRPr="00D25CBF">
        <w:t>pelācijas instances tiesa</w:t>
      </w:r>
      <w:r w:rsidRPr="00D25CBF">
        <w:t xml:space="preserve"> </w:t>
      </w:r>
      <w:r w:rsidR="00786066">
        <w:t xml:space="preserve">ir </w:t>
      </w:r>
      <w:r w:rsidRPr="00D25CBF">
        <w:t xml:space="preserve">ņēmusi vērā arī </w:t>
      </w:r>
      <w:r w:rsidR="005E49F7" w:rsidRPr="00D25CBF">
        <w:t xml:space="preserve">protestā </w:t>
      </w:r>
      <w:r w:rsidR="002E70C6" w:rsidRPr="00D25CBF">
        <w:t>norādī</w:t>
      </w:r>
      <w:r w:rsidR="006E79BB" w:rsidRPr="00D25CBF">
        <w:t>to</w:t>
      </w:r>
      <w:r w:rsidR="002E70C6" w:rsidRPr="00D25CBF">
        <w:t>, ka pirmās</w:t>
      </w:r>
      <w:r w:rsidR="00D25CBF">
        <w:t xml:space="preserve"> instances</w:t>
      </w:r>
      <w:r w:rsidR="002E70C6" w:rsidRPr="00D25CBF">
        <w:t xml:space="preserve"> tiesa</w:t>
      </w:r>
      <w:r w:rsidR="0051274F">
        <w:t xml:space="preserve"> nav ievērojusi </w:t>
      </w:r>
      <w:r w:rsidR="006E79BB" w:rsidRPr="00D25CBF">
        <w:t>soda individualizācijas princip</w:t>
      </w:r>
      <w:r w:rsidR="0051274F">
        <w:t>u,</w:t>
      </w:r>
      <w:r w:rsidR="006E79BB" w:rsidRPr="00D25CBF">
        <w:t xml:space="preserve"> </w:t>
      </w:r>
      <w:r w:rsidR="0051274F">
        <w:t xml:space="preserve">jo, </w:t>
      </w:r>
      <w:r w:rsidR="002E70C6" w:rsidRPr="00D25CBF">
        <w:t xml:space="preserve">konstatējot katra apsūdzētā </w:t>
      </w:r>
      <w:r w:rsidR="0051274F">
        <w:t xml:space="preserve">atšķirīgo </w:t>
      </w:r>
      <w:r w:rsidR="002E70C6" w:rsidRPr="00D25CBF">
        <w:t xml:space="preserve">lomu noziedzīga nodarījuma izdarīšanā, nepamatoti </w:t>
      </w:r>
      <w:r w:rsidR="000D6C7D">
        <w:t>[pers. C]</w:t>
      </w:r>
      <w:r w:rsidR="002E70C6" w:rsidRPr="00D25CBF">
        <w:t xml:space="preserve">, </w:t>
      </w:r>
      <w:r w:rsidR="001B4A49">
        <w:t>[pers. A]</w:t>
      </w:r>
      <w:r w:rsidR="002E70C6" w:rsidRPr="00D25CBF">
        <w:t xml:space="preserve"> un</w:t>
      </w:r>
      <w:r w:rsidR="00A742F7" w:rsidRPr="00D25CBF">
        <w:t xml:space="preserve"> </w:t>
      </w:r>
      <w:r w:rsidR="000D6C7D">
        <w:t>[pers. D]</w:t>
      </w:r>
      <w:r w:rsidR="002E70C6" w:rsidRPr="00D25CBF">
        <w:t xml:space="preserve"> noteikusi vienādu soda veidu un mēru</w:t>
      </w:r>
      <w:r w:rsidR="006E79BB" w:rsidRPr="00D25CBF">
        <w:t xml:space="preserve">. </w:t>
      </w:r>
      <w:r w:rsidR="00D12499" w:rsidRPr="00D25CBF">
        <w:t xml:space="preserve">Ievērojot minēto, apelācijas instances tiesa, nosakot apsūdzētajam </w:t>
      </w:r>
      <w:r w:rsidR="001B4A49">
        <w:t>[pers. A]</w:t>
      </w:r>
      <w:r w:rsidR="00D12499" w:rsidRPr="00D25CBF">
        <w:t xml:space="preserve"> sodu, ir izvērtējusi arī </w:t>
      </w:r>
      <w:r w:rsidR="000D6C7D">
        <w:t>[pers. A]</w:t>
      </w:r>
      <w:r w:rsidR="00597906">
        <w:t xml:space="preserve"> </w:t>
      </w:r>
      <w:r w:rsidR="00D12499" w:rsidRPr="00D25CBF">
        <w:t>lomu Krimināllikuma 253.</w:t>
      </w:r>
      <w:r w:rsidR="00D12499" w:rsidRPr="00D25CBF">
        <w:rPr>
          <w:vertAlign w:val="superscript"/>
        </w:rPr>
        <w:t>1</w:t>
      </w:r>
      <w:r w:rsidR="00D12499" w:rsidRPr="00D25CBF">
        <w:t> panta trešajā daļā paredzētājā noziedzīgajā nodarījumā, kas izdarīts organizētā grupā.</w:t>
      </w:r>
    </w:p>
    <w:p w14:paraId="150162F7" w14:textId="58D636BA" w:rsidR="0067279A" w:rsidRDefault="00975887" w:rsidP="0067279A">
      <w:pPr>
        <w:pStyle w:val="NoSpacing"/>
        <w:spacing w:line="276" w:lineRule="auto"/>
        <w:ind w:firstLine="720"/>
        <w:jc w:val="both"/>
      </w:pPr>
      <w:r w:rsidRPr="00D25CBF">
        <w:t>[</w:t>
      </w:r>
      <w:r w:rsidR="00D25CBF" w:rsidRPr="00D25CBF">
        <w:t>8</w:t>
      </w:r>
      <w:r w:rsidRPr="00D25CBF">
        <w:t>.</w:t>
      </w:r>
      <w:r w:rsidR="00780C9E">
        <w:t>2</w:t>
      </w:r>
      <w:r w:rsidRPr="00D25CBF">
        <w:t>] </w:t>
      </w:r>
      <w:r w:rsidR="00015329" w:rsidRPr="00F6672D">
        <w:t xml:space="preserve">Eiropas Cilvēktiesību tiesa izteikusi atziņu – jo apsūdzētajai personai process ir apgrūtinošāks, jo stingrāks pienākums valsts institūcijām ir ievērot rūpību savlaicīgas procesa norises nodrošināšanā. Par vienu no apgrūtinājumiem atzīts personai </w:t>
      </w:r>
      <w:r w:rsidR="00015329" w:rsidRPr="00F6672D">
        <w:lastRenderedPageBreak/>
        <w:t>piemērotā drošības līdzekļa smagums (</w:t>
      </w:r>
      <w:r w:rsidR="00015329" w:rsidRPr="00F6672D">
        <w:rPr>
          <w:i/>
          <w:iCs/>
        </w:rPr>
        <w:t>Eiropas Cilvēktiesību tiesas 1992.</w:t>
      </w:r>
      <w:r w:rsidR="00791620">
        <w:rPr>
          <w:i/>
          <w:iCs/>
        </w:rPr>
        <w:t> </w:t>
      </w:r>
      <w:r w:rsidR="00015329" w:rsidRPr="00F6672D">
        <w:rPr>
          <w:i/>
          <w:iCs/>
        </w:rPr>
        <w:t>gada 31.</w:t>
      </w:r>
      <w:r w:rsidR="00791620">
        <w:rPr>
          <w:i/>
          <w:iCs/>
        </w:rPr>
        <w:t> </w:t>
      </w:r>
      <w:r w:rsidR="00015329" w:rsidRPr="00F6672D">
        <w:rPr>
          <w:i/>
          <w:iCs/>
        </w:rPr>
        <w:t xml:space="preserve">marta sprieduma lietā „X v. </w:t>
      </w:r>
      <w:proofErr w:type="spellStart"/>
      <w:r w:rsidR="00015329" w:rsidRPr="00F6672D">
        <w:rPr>
          <w:i/>
          <w:iCs/>
        </w:rPr>
        <w:t>France</w:t>
      </w:r>
      <w:proofErr w:type="spellEnd"/>
      <w:r w:rsidR="00015329" w:rsidRPr="00F6672D">
        <w:rPr>
          <w:i/>
          <w:iCs/>
        </w:rPr>
        <w:t>”, pieteikuma Nr.</w:t>
      </w:r>
      <w:r w:rsidR="00791620">
        <w:rPr>
          <w:i/>
          <w:iCs/>
        </w:rPr>
        <w:t> </w:t>
      </w:r>
      <w:hyperlink r:id="rId9" w:anchor="{%22itemid%22:[%22001-57801%22]}" w:history="1">
        <w:r w:rsidR="00015329" w:rsidRPr="00791620">
          <w:rPr>
            <w:rStyle w:val="Hyperlink"/>
            <w:i/>
            <w:iCs/>
          </w:rPr>
          <w:t>18020/91</w:t>
        </w:r>
      </w:hyperlink>
      <w:r w:rsidR="00015329" w:rsidRPr="00F6672D">
        <w:rPr>
          <w:i/>
          <w:iCs/>
        </w:rPr>
        <w:t>, 32.</w:t>
      </w:r>
      <w:r w:rsidR="00791620">
        <w:rPr>
          <w:i/>
          <w:iCs/>
        </w:rPr>
        <w:t> </w:t>
      </w:r>
      <w:r w:rsidR="00015329" w:rsidRPr="00F6672D">
        <w:rPr>
          <w:i/>
          <w:iCs/>
        </w:rPr>
        <w:t>punkts; 1992.</w:t>
      </w:r>
      <w:r w:rsidR="00791620">
        <w:rPr>
          <w:i/>
          <w:iCs/>
        </w:rPr>
        <w:t> </w:t>
      </w:r>
      <w:r w:rsidR="00015329" w:rsidRPr="00F6672D">
        <w:rPr>
          <w:i/>
          <w:iCs/>
        </w:rPr>
        <w:t>gada 24.</w:t>
      </w:r>
      <w:r w:rsidR="00791620">
        <w:rPr>
          <w:i/>
          <w:iCs/>
        </w:rPr>
        <w:t> </w:t>
      </w:r>
      <w:r w:rsidR="00015329" w:rsidRPr="00F6672D">
        <w:rPr>
          <w:i/>
          <w:iCs/>
        </w:rPr>
        <w:t>septembra sprieduma lietā „</w:t>
      </w:r>
      <w:proofErr w:type="spellStart"/>
      <w:r w:rsidR="00015329" w:rsidRPr="00F6672D">
        <w:rPr>
          <w:i/>
          <w:iCs/>
        </w:rPr>
        <w:t>Herczegfalvy</w:t>
      </w:r>
      <w:proofErr w:type="spellEnd"/>
      <w:r w:rsidR="00015329" w:rsidRPr="00F6672D">
        <w:rPr>
          <w:i/>
          <w:iCs/>
        </w:rPr>
        <w:t xml:space="preserve"> v. </w:t>
      </w:r>
      <w:proofErr w:type="spellStart"/>
      <w:r w:rsidR="00015329" w:rsidRPr="00F6672D">
        <w:rPr>
          <w:i/>
          <w:iCs/>
        </w:rPr>
        <w:t>Austria</w:t>
      </w:r>
      <w:proofErr w:type="spellEnd"/>
      <w:r w:rsidR="00015329" w:rsidRPr="00F6672D">
        <w:rPr>
          <w:i/>
          <w:iCs/>
        </w:rPr>
        <w:t>”, iesnieguma Nr.</w:t>
      </w:r>
      <w:r w:rsidR="00791620">
        <w:rPr>
          <w:i/>
          <w:iCs/>
        </w:rPr>
        <w:t> </w:t>
      </w:r>
      <w:hyperlink r:id="rId10" w:anchor="{%22itemid%22:[%22001-57781%22]}" w:history="1">
        <w:r w:rsidR="00015329" w:rsidRPr="00791620">
          <w:rPr>
            <w:rStyle w:val="Hyperlink"/>
            <w:i/>
            <w:iCs/>
          </w:rPr>
          <w:t>10533</w:t>
        </w:r>
        <w:r w:rsidR="00791620" w:rsidRPr="00791620">
          <w:rPr>
            <w:rStyle w:val="Hyperlink"/>
            <w:i/>
            <w:iCs/>
          </w:rPr>
          <w:t>/83</w:t>
        </w:r>
      </w:hyperlink>
      <w:r w:rsidR="00015329" w:rsidRPr="00F6672D">
        <w:rPr>
          <w:i/>
          <w:iCs/>
        </w:rPr>
        <w:t>, 71.</w:t>
      </w:r>
      <w:r w:rsidR="00791620">
        <w:rPr>
          <w:i/>
          <w:iCs/>
        </w:rPr>
        <w:t> </w:t>
      </w:r>
      <w:r w:rsidR="00015329" w:rsidRPr="00F6672D">
        <w:rPr>
          <w:i/>
          <w:iCs/>
        </w:rPr>
        <w:t>punkts; 1992.</w:t>
      </w:r>
      <w:r w:rsidR="00791620">
        <w:rPr>
          <w:i/>
          <w:iCs/>
        </w:rPr>
        <w:t> </w:t>
      </w:r>
      <w:r w:rsidR="00015329" w:rsidRPr="00F6672D">
        <w:rPr>
          <w:i/>
          <w:iCs/>
        </w:rPr>
        <w:t>gada 25.</w:t>
      </w:r>
      <w:r w:rsidR="00791620">
        <w:rPr>
          <w:i/>
          <w:iCs/>
        </w:rPr>
        <w:t> </w:t>
      </w:r>
      <w:r w:rsidR="00015329" w:rsidRPr="00F6672D">
        <w:rPr>
          <w:i/>
          <w:iCs/>
        </w:rPr>
        <w:t>novembra sprieduma lietā „</w:t>
      </w:r>
      <w:proofErr w:type="spellStart"/>
      <w:r w:rsidR="00015329" w:rsidRPr="00F6672D">
        <w:rPr>
          <w:i/>
          <w:iCs/>
        </w:rPr>
        <w:t>Abdoella</w:t>
      </w:r>
      <w:proofErr w:type="spellEnd"/>
      <w:r w:rsidR="00015329" w:rsidRPr="00F6672D">
        <w:rPr>
          <w:i/>
          <w:iCs/>
        </w:rPr>
        <w:t xml:space="preserve"> v. </w:t>
      </w:r>
      <w:proofErr w:type="spellStart"/>
      <w:r w:rsidR="00015329" w:rsidRPr="00F6672D">
        <w:rPr>
          <w:i/>
          <w:iCs/>
        </w:rPr>
        <w:t>the</w:t>
      </w:r>
      <w:proofErr w:type="spellEnd"/>
      <w:r w:rsidR="00015329" w:rsidRPr="00F6672D">
        <w:rPr>
          <w:i/>
          <w:iCs/>
        </w:rPr>
        <w:t xml:space="preserve"> </w:t>
      </w:r>
      <w:proofErr w:type="spellStart"/>
      <w:r w:rsidR="00015329" w:rsidRPr="00F6672D">
        <w:rPr>
          <w:i/>
          <w:iCs/>
        </w:rPr>
        <w:t>Netherlands</w:t>
      </w:r>
      <w:proofErr w:type="spellEnd"/>
      <w:r w:rsidR="00015329" w:rsidRPr="00F6672D">
        <w:rPr>
          <w:i/>
          <w:iCs/>
        </w:rPr>
        <w:t>”, iesnieguma Nr.</w:t>
      </w:r>
      <w:r w:rsidR="00791620">
        <w:rPr>
          <w:i/>
          <w:iCs/>
        </w:rPr>
        <w:t> </w:t>
      </w:r>
      <w:hyperlink r:id="rId11" w:anchor="{%22itemid%22:[%22001-57765%22]}" w:history="1">
        <w:r w:rsidR="00015329" w:rsidRPr="00791620">
          <w:rPr>
            <w:rStyle w:val="Hyperlink"/>
            <w:i/>
            <w:iCs/>
          </w:rPr>
          <w:t>12728/87</w:t>
        </w:r>
      </w:hyperlink>
      <w:r w:rsidR="00015329" w:rsidRPr="00F6672D">
        <w:rPr>
          <w:i/>
          <w:iCs/>
        </w:rPr>
        <w:t>, 24.</w:t>
      </w:r>
      <w:r w:rsidR="00791620">
        <w:rPr>
          <w:i/>
          <w:iCs/>
        </w:rPr>
        <w:t> </w:t>
      </w:r>
      <w:r w:rsidR="00015329" w:rsidRPr="00F6672D">
        <w:rPr>
          <w:i/>
          <w:iCs/>
        </w:rPr>
        <w:t>punkts; 2003.</w:t>
      </w:r>
      <w:r w:rsidR="00791620">
        <w:rPr>
          <w:i/>
          <w:iCs/>
        </w:rPr>
        <w:t> </w:t>
      </w:r>
      <w:r w:rsidR="00015329" w:rsidRPr="00F6672D">
        <w:rPr>
          <w:i/>
          <w:iCs/>
        </w:rPr>
        <w:t>gada 29.</w:t>
      </w:r>
      <w:r w:rsidR="00791620">
        <w:rPr>
          <w:i/>
          <w:iCs/>
        </w:rPr>
        <w:t> </w:t>
      </w:r>
      <w:r w:rsidR="00015329" w:rsidRPr="00F6672D">
        <w:rPr>
          <w:i/>
          <w:iCs/>
        </w:rPr>
        <w:t>aprīļa sprieduma lietā „</w:t>
      </w:r>
      <w:proofErr w:type="spellStart"/>
      <w:r w:rsidR="00015329" w:rsidRPr="00F6672D">
        <w:rPr>
          <w:i/>
          <w:iCs/>
        </w:rPr>
        <w:t>Motsnik</w:t>
      </w:r>
      <w:proofErr w:type="spellEnd"/>
      <w:r w:rsidR="00015329" w:rsidRPr="00F6672D">
        <w:rPr>
          <w:i/>
          <w:iCs/>
        </w:rPr>
        <w:t xml:space="preserve"> v. </w:t>
      </w:r>
      <w:proofErr w:type="spellStart"/>
      <w:r w:rsidR="00015329" w:rsidRPr="00F6672D">
        <w:rPr>
          <w:i/>
          <w:iCs/>
        </w:rPr>
        <w:t>Estonia</w:t>
      </w:r>
      <w:proofErr w:type="spellEnd"/>
      <w:r w:rsidR="00015329" w:rsidRPr="00F6672D">
        <w:rPr>
          <w:i/>
          <w:iCs/>
        </w:rPr>
        <w:t>”, iesnieguma Nr.</w:t>
      </w:r>
      <w:r w:rsidR="00791620">
        <w:rPr>
          <w:i/>
          <w:iCs/>
        </w:rPr>
        <w:t> </w:t>
      </w:r>
      <w:hyperlink r:id="rId12" w:anchor="{%22languageisocode%22:[%22ENG%22],%22appno%22:[%2250533/99%22],%22documentcollectionid2%22:[%22CHAMBER%22],%22itemid%22:[%22001-61057%22]}" w:history="1">
        <w:r w:rsidR="00015329" w:rsidRPr="00791620">
          <w:rPr>
            <w:rStyle w:val="Hyperlink"/>
            <w:i/>
            <w:iCs/>
          </w:rPr>
          <w:t>50533/99</w:t>
        </w:r>
      </w:hyperlink>
      <w:r w:rsidR="00015329" w:rsidRPr="00F6672D">
        <w:rPr>
          <w:i/>
          <w:iCs/>
        </w:rPr>
        <w:t>, 40.</w:t>
      </w:r>
      <w:r w:rsidR="00791620">
        <w:rPr>
          <w:i/>
          <w:iCs/>
        </w:rPr>
        <w:t> </w:t>
      </w:r>
      <w:r w:rsidR="00015329" w:rsidRPr="00F6672D">
        <w:rPr>
          <w:i/>
          <w:iCs/>
        </w:rPr>
        <w:t>punkts</w:t>
      </w:r>
      <w:r w:rsidR="00015329" w:rsidRPr="00F6672D">
        <w:t>).</w:t>
      </w:r>
    </w:p>
    <w:p w14:paraId="395035A8" w14:textId="6676D306" w:rsidR="004B51AF" w:rsidRDefault="00015329" w:rsidP="004B51AF">
      <w:pPr>
        <w:pStyle w:val="NoSpacing"/>
        <w:spacing w:line="276" w:lineRule="auto"/>
        <w:ind w:firstLine="720"/>
        <w:jc w:val="both"/>
        <w:rPr>
          <w:rFonts w:asciiTheme="majorBidi" w:hAnsiTheme="majorBidi" w:cstheme="majorBidi"/>
        </w:rPr>
      </w:pPr>
      <w:r w:rsidRPr="00F6672D">
        <w:rPr>
          <w:rFonts w:asciiTheme="majorBidi" w:hAnsiTheme="majorBidi" w:cstheme="majorBidi"/>
        </w:rPr>
        <w:t xml:space="preserve">Tādējādi </w:t>
      </w:r>
      <w:r w:rsidR="00DF6D7A">
        <w:rPr>
          <w:rFonts w:asciiTheme="majorBidi" w:hAnsiTheme="majorBidi" w:cstheme="majorBidi"/>
        </w:rPr>
        <w:t xml:space="preserve">izvērtējot, vai procesa ilgums bijis saprātīgs, ir </w:t>
      </w:r>
      <w:r w:rsidRPr="00F6672D">
        <w:rPr>
          <w:rFonts w:asciiTheme="majorBidi" w:hAnsiTheme="majorBidi" w:cstheme="majorBidi"/>
        </w:rPr>
        <w:t>būtiski ņemt vērā konkrēt</w:t>
      </w:r>
      <w:r>
        <w:rPr>
          <w:rFonts w:asciiTheme="majorBidi" w:hAnsiTheme="majorBidi" w:cstheme="majorBidi"/>
        </w:rPr>
        <w:t>ā</w:t>
      </w:r>
      <w:r w:rsidRPr="00F6672D">
        <w:rPr>
          <w:rFonts w:asciiTheme="majorBidi" w:hAnsiTheme="majorBidi" w:cstheme="majorBidi"/>
        </w:rPr>
        <w:t xml:space="preserve">s lietas apstākļus, ievērojot vairākus kritērijus, arī apsūdzētā </w:t>
      </w:r>
      <w:r w:rsidRPr="00F6672D">
        <w:t>interešu aizskāruma intensitāti</w:t>
      </w:r>
      <w:r w:rsidRPr="00F6672D">
        <w:rPr>
          <w:rFonts w:asciiTheme="majorBidi" w:hAnsiTheme="majorBidi" w:cstheme="majorBidi"/>
        </w:rPr>
        <w:t>.</w:t>
      </w:r>
    </w:p>
    <w:p w14:paraId="0360F2AF" w14:textId="73747A34" w:rsidR="004B51AF" w:rsidRDefault="006F7C26" w:rsidP="004B51AF">
      <w:pPr>
        <w:pStyle w:val="NoSpacing"/>
        <w:spacing w:line="276" w:lineRule="auto"/>
        <w:ind w:firstLine="720"/>
        <w:jc w:val="both"/>
      </w:pPr>
      <w:r>
        <w:rPr>
          <w:rFonts w:asciiTheme="majorBidi" w:hAnsiTheme="majorBidi" w:cstheme="majorBidi"/>
        </w:rPr>
        <w:t>A</w:t>
      </w:r>
      <w:r w:rsidRPr="00F6672D">
        <w:rPr>
          <w:rFonts w:asciiTheme="majorBidi" w:hAnsiTheme="majorBidi" w:cstheme="majorBidi"/>
        </w:rPr>
        <w:t xml:space="preserve">psūdzētā </w:t>
      </w:r>
      <w:r w:rsidRPr="00F6672D">
        <w:t>interešu aizskāruma intensitāt</w:t>
      </w:r>
      <w:r>
        <w:t xml:space="preserve">e </w:t>
      </w:r>
      <w:r w:rsidRPr="00015329">
        <w:t>lielā mērā ir atkarīga no</w:t>
      </w:r>
      <w:r>
        <w:t xml:space="preserve"> viņam </w:t>
      </w:r>
      <w:r w:rsidRPr="00015329">
        <w:t>piemērotajiem drošības līdzekļiem un to ietekmes uz personas pamattiesībām</w:t>
      </w:r>
      <w:r>
        <w:t xml:space="preserve">. </w:t>
      </w:r>
      <w:r w:rsidR="00015329" w:rsidRPr="00F6672D">
        <w:t xml:space="preserve">Jo stingrāks un ierobežojošāks drošības līdzeklis, jo lielāka nozīme piešķirama procesa ilgumam un valsts pienākumam rīkoties ar īpašu rūpību un </w:t>
      </w:r>
      <w:r w:rsidR="00015329">
        <w:t>nepieļaujot</w:t>
      </w:r>
      <w:r w:rsidR="00DF6D7A">
        <w:t xml:space="preserve"> </w:t>
      </w:r>
      <w:r w:rsidR="00780C9E">
        <w:t>krimināl</w:t>
      </w:r>
      <w:r w:rsidR="00DF6D7A">
        <w:t>procesa</w:t>
      </w:r>
      <w:r w:rsidR="0093611C">
        <w:t xml:space="preserve"> </w:t>
      </w:r>
      <w:r w:rsidR="00015329">
        <w:t>neattaisnotu novilcināšan</w:t>
      </w:r>
      <w:r w:rsidR="00445888">
        <w:t>u</w:t>
      </w:r>
      <w:r w:rsidR="00015329" w:rsidRPr="00F6672D">
        <w:t xml:space="preserve">. Savukārt drošības līdzekļa </w:t>
      </w:r>
      <w:r w:rsidR="00445888">
        <w:t>grozīšana</w:t>
      </w:r>
      <w:r w:rsidR="00015329" w:rsidRPr="00F6672D">
        <w:t xml:space="preserve"> uz mazāk ierobežojošu neizslēdz iespējamu tiesību</w:t>
      </w:r>
      <w:r w:rsidR="0067279A">
        <w:t xml:space="preserve"> uz kriminālprocesa pabeigšanu saprātīgā termiņā</w:t>
      </w:r>
      <w:r w:rsidR="00015329" w:rsidRPr="00F6672D">
        <w:t xml:space="preserve"> pārkāpumu, bet </w:t>
      </w:r>
      <w:r w:rsidR="0067279A">
        <w:t xml:space="preserve">tā </w:t>
      </w:r>
      <w:r w:rsidR="00015329" w:rsidRPr="00F6672D">
        <w:t>var ietekmēt pārkāpuma smaguma pakāpes novērtējumu.</w:t>
      </w:r>
    </w:p>
    <w:p w14:paraId="36D4FFDE" w14:textId="18014280" w:rsidR="0067279A" w:rsidRDefault="0067279A" w:rsidP="004B51AF">
      <w:pPr>
        <w:pStyle w:val="NoSpacing"/>
        <w:spacing w:line="276" w:lineRule="auto"/>
        <w:ind w:firstLine="720"/>
        <w:jc w:val="both"/>
      </w:pPr>
      <w:r w:rsidRPr="00D25CBF">
        <w:t>Senāts jau agrāk ir norādījis, ka tiesai, konstatējot apsūdzētā tiesību uz kriminālprocesa pabeigšanu saprātīgā termiņā pārkāpumu, ir tiesības izvēlēties vienu no Krimināllikuma 49.</w:t>
      </w:r>
      <w:r w:rsidRPr="00D25CBF">
        <w:rPr>
          <w:vertAlign w:val="superscript"/>
        </w:rPr>
        <w:t>1</w:t>
      </w:r>
      <w:r w:rsidRPr="00D25CBF">
        <w:t> panta pirmajā daļā ietvertajiem kompensējošajiem mehānismiem, atsevišķi nenorādot iemeslus citu likumā noteikto apsūdzētā tiesību uz kriminālprocesa pabeigšanu saprātīgā termiņā kompensējošo mehānismu nepiemērošanai, ja vien to piemērošanu aizstāvība nav lūgusi (</w:t>
      </w:r>
      <w:r w:rsidRPr="00D25CBF">
        <w:rPr>
          <w:i/>
          <w:iCs/>
        </w:rPr>
        <w:t xml:space="preserve">Senāta </w:t>
      </w:r>
      <w:r w:rsidRPr="00D25CBF">
        <w:rPr>
          <w:rFonts w:eastAsia="Times New Roman" w:cs="Times New Roman"/>
          <w:bCs/>
          <w:i/>
          <w:iCs/>
        </w:rPr>
        <w:t xml:space="preserve">2022. gada 11. oktobra </w:t>
      </w:r>
      <w:r w:rsidRPr="00D25CBF">
        <w:rPr>
          <w:rFonts w:cs="Times New Roman"/>
          <w:bCs/>
          <w:i/>
          <w:iCs/>
        </w:rPr>
        <w:t xml:space="preserve">lēmums </w:t>
      </w:r>
      <w:r w:rsidRPr="00D25CBF">
        <w:rPr>
          <w:rFonts w:eastAsia="Times New Roman" w:cs="Times New Roman"/>
          <w:bCs/>
          <w:i/>
          <w:iCs/>
        </w:rPr>
        <w:t>lietā Nr. SKK</w:t>
      </w:r>
      <w:r w:rsidRPr="00D25CBF">
        <w:rPr>
          <w:rFonts w:eastAsia="Times New Roman" w:cs="Times New Roman"/>
          <w:bCs/>
          <w:i/>
          <w:iCs/>
        </w:rPr>
        <w:noBreakHyphen/>
        <w:t xml:space="preserve">34/2022, </w:t>
      </w:r>
      <w:hyperlink r:id="rId13" w:history="1">
        <w:r w:rsidRPr="00D25CBF">
          <w:rPr>
            <w:rStyle w:val="Hyperlink"/>
            <w:rFonts w:cs="Times New Roman"/>
            <w:bCs/>
            <w:i/>
            <w:iCs/>
            <w:shd w:val="clear" w:color="auto" w:fill="FFFFFF"/>
          </w:rPr>
          <w:t>ECLI:LV:AT:2022:1011.12812000908.7.L</w:t>
        </w:r>
      </w:hyperlink>
      <w:r>
        <w:t>).</w:t>
      </w:r>
    </w:p>
    <w:p w14:paraId="3232FCEB" w14:textId="486E0125" w:rsidR="004B51AF" w:rsidRDefault="004B51AF" w:rsidP="004B51AF">
      <w:pPr>
        <w:pStyle w:val="NoSpacing"/>
        <w:spacing w:line="276" w:lineRule="auto"/>
        <w:ind w:firstLine="720"/>
        <w:jc w:val="both"/>
      </w:pPr>
      <w:r w:rsidRPr="00D25CBF">
        <w:t xml:space="preserve">Senāts konstatē, ka </w:t>
      </w:r>
      <w:r>
        <w:t xml:space="preserve">izskatāmajā lietā </w:t>
      </w:r>
      <w:r w:rsidRPr="00D25CBF">
        <w:t>apelācijas instances tiesa atzinusi apsūdzētā tiesību uz kriminālprocesa pabeigšanu saprātīgā termiņā pārkāpum</w:t>
      </w:r>
      <w:r>
        <w:t>u</w:t>
      </w:r>
      <w:r w:rsidRPr="00D25CBF">
        <w:t xml:space="preserve"> un</w:t>
      </w:r>
      <w:r>
        <w:t xml:space="preserve">, izvēloties visatbilstošāko </w:t>
      </w:r>
      <w:r w:rsidRPr="00D25CBF">
        <w:t>kompensējoš</w:t>
      </w:r>
      <w:r>
        <w:t>o</w:t>
      </w:r>
      <w:r w:rsidRPr="00D25CBF">
        <w:t xml:space="preserve"> mehānism</w:t>
      </w:r>
      <w:r>
        <w:t>u,</w:t>
      </w:r>
      <w:r w:rsidRPr="00D25CBF">
        <w:t xml:space="preserve"> pretēji kasācijas sūdzībā norādītajam ir ņēmusi vērā arī </w:t>
      </w:r>
      <w:r w:rsidRPr="00015329">
        <w:t>personas tiesību aizskāruma intensitāti</w:t>
      </w:r>
      <w:r>
        <w:t xml:space="preserve"> un izvērtējusi </w:t>
      </w:r>
      <w:r w:rsidRPr="00D25CBF">
        <w:t>apsūdzētajam kriminālprocesa laikā piemērotos drošības līdzekļus – apcietinājumu</w:t>
      </w:r>
      <w:r>
        <w:t xml:space="preserve"> un tā turpmāk</w:t>
      </w:r>
      <w:r w:rsidR="00DB3E46">
        <w:t>o</w:t>
      </w:r>
      <w:r w:rsidRPr="00D25CBF">
        <w:t xml:space="preserve"> </w:t>
      </w:r>
      <w:r>
        <w:t>grozīšanu uz</w:t>
      </w:r>
      <w:r w:rsidRPr="00D25CBF">
        <w:t xml:space="preserve"> nodošanu policijas uzraudzībā</w:t>
      </w:r>
      <w:r>
        <w:t>. Tiesa atzinusi, ka izskatāmajā lietā ir nosakāms sods</w:t>
      </w:r>
      <w:r w:rsidR="00DF6D7A">
        <w:t>,</w:t>
      </w:r>
      <w:r>
        <w:t xml:space="preserve"> </w:t>
      </w:r>
      <w:r w:rsidRPr="002C0866">
        <w:t>kas ir zemāks par minimālo robežu, kāda par</w:t>
      </w:r>
      <w:r w:rsidR="005613D3">
        <w:t xml:space="preserve"> </w:t>
      </w:r>
      <w:r w:rsidR="005613D3">
        <w:rPr>
          <w:shd w:val="clear" w:color="auto" w:fill="FFFFFF"/>
        </w:rPr>
        <w:t>Krimināllikuma 253.</w:t>
      </w:r>
      <w:r w:rsidR="005613D3" w:rsidRPr="00E158A5">
        <w:rPr>
          <w:shd w:val="clear" w:color="auto" w:fill="FFFFFF"/>
          <w:vertAlign w:val="superscript"/>
        </w:rPr>
        <w:t>1</w:t>
      </w:r>
      <w:r w:rsidR="005613D3">
        <w:rPr>
          <w:shd w:val="clear" w:color="auto" w:fill="FFFFFF"/>
          <w:vertAlign w:val="superscript"/>
        </w:rPr>
        <w:t> </w:t>
      </w:r>
      <w:r w:rsidR="005613D3">
        <w:rPr>
          <w:shd w:val="clear" w:color="auto" w:fill="FFFFFF"/>
        </w:rPr>
        <w:t>panta trešajā daļā paredzēto</w:t>
      </w:r>
      <w:r w:rsidRPr="002C0866">
        <w:t xml:space="preserve"> noziedzīgo nodarījumu paredzēta likumā</w:t>
      </w:r>
      <w:r w:rsidR="005613D3">
        <w:t>.</w:t>
      </w:r>
    </w:p>
    <w:p w14:paraId="5DF26E92" w14:textId="38D2F61F" w:rsidR="005521C4" w:rsidRDefault="00975887" w:rsidP="0067279A">
      <w:pPr>
        <w:pStyle w:val="NoSpacing"/>
        <w:spacing w:line="276" w:lineRule="auto"/>
        <w:ind w:firstLine="720"/>
        <w:jc w:val="both"/>
      </w:pPr>
      <w:r w:rsidRPr="00D25CBF">
        <w:t>[</w:t>
      </w:r>
      <w:r w:rsidR="00D25CBF" w:rsidRPr="00D25CBF">
        <w:t>8</w:t>
      </w:r>
      <w:r w:rsidRPr="00D25CBF">
        <w:t>.</w:t>
      </w:r>
      <w:r w:rsidR="00780C9E">
        <w:t>3</w:t>
      </w:r>
      <w:r w:rsidRPr="00D25CBF">
        <w:t>] </w:t>
      </w:r>
      <w:r w:rsidR="005521C4" w:rsidRPr="00D25CBF">
        <w:t>Ievērojot minēto, Senāts atzīst, ka apsūdzētā kasācijas sūdzības argumenti pamatoti ar viņa subjektīvo viedokli par sodu ietekmējošo apstākļu vērtējumu un faktiski pauž sūdzības iesniedzēja neapmierinātību ar tiem secinājumiem, kādus izdarījusi apelācijas instances tiesa</w:t>
      </w:r>
      <w:r w:rsidR="00780C9E">
        <w:t xml:space="preserve"> </w:t>
      </w:r>
      <w:r w:rsidR="00780C9E" w:rsidRPr="006B55FF">
        <w:rPr>
          <w:rFonts w:asciiTheme="majorBidi" w:hAnsiTheme="majorBidi" w:cstheme="majorBidi"/>
        </w:rPr>
        <w:t>un vērsti uz to, lai panāktu apelācijas instances tiesas nolēmuma atcelšanu nevis juridisku, bet faktisku iemeslu dēļ, kas ir pretrunā ar Kriminālprocesa likuma 569. panta pirmo daļu.</w:t>
      </w:r>
    </w:p>
    <w:p w14:paraId="3634A5A4" w14:textId="77777777" w:rsidR="00975887" w:rsidRDefault="00975887" w:rsidP="00975887">
      <w:pPr>
        <w:widowControl w:val="0"/>
        <w:spacing w:after="0" w:line="276" w:lineRule="auto"/>
        <w:ind w:firstLine="720"/>
        <w:jc w:val="both"/>
      </w:pPr>
    </w:p>
    <w:p w14:paraId="31DEB7CD" w14:textId="7BE4294A" w:rsidR="00C95119" w:rsidRDefault="00975887" w:rsidP="00C95119">
      <w:pPr>
        <w:pStyle w:val="NoSpacing"/>
        <w:spacing w:line="276" w:lineRule="auto"/>
        <w:ind w:firstLine="720"/>
        <w:jc w:val="both"/>
      </w:pPr>
      <w:r>
        <w:t>[</w:t>
      </w:r>
      <w:r w:rsidR="00D25CBF">
        <w:t>9</w:t>
      </w:r>
      <w:r>
        <w:t>] </w:t>
      </w:r>
      <w:r w:rsidR="00D25CBF">
        <w:t xml:space="preserve">Apsūdzētajam </w:t>
      </w:r>
      <w:r w:rsidR="001B4A49">
        <w:t>[pers. A]</w:t>
      </w:r>
      <w:r w:rsidR="00D25CBF">
        <w:t xml:space="preserve"> piemērots drošības līdzeklis – </w:t>
      </w:r>
      <w:r w:rsidR="00D25CBF" w:rsidRPr="003502EC">
        <w:t xml:space="preserve">uzturēšanās noteiktā vietā. </w:t>
      </w:r>
    </w:p>
    <w:p w14:paraId="6D0EC192" w14:textId="486A5229" w:rsidR="00975887" w:rsidRDefault="00E56957" w:rsidP="00C95119">
      <w:pPr>
        <w:pStyle w:val="NoSpacing"/>
        <w:spacing w:line="276" w:lineRule="auto"/>
        <w:ind w:firstLine="720"/>
        <w:jc w:val="both"/>
      </w:pPr>
      <w:r w:rsidRPr="003502EC">
        <w:t>Senāts atzīst, ka apsūdzētajam noteikt</w:t>
      </w:r>
      <w:r w:rsidR="00CD3EDB" w:rsidRPr="003502EC">
        <w:t>ā</w:t>
      </w:r>
      <w:r w:rsidRPr="003502EC">
        <w:t xml:space="preserve"> drošības līdzekļa pi</w:t>
      </w:r>
      <w:r w:rsidRPr="00DF2BC8">
        <w:t>emērošana turpināma. Piemērot</w:t>
      </w:r>
      <w:r>
        <w:t>ais</w:t>
      </w:r>
      <w:r w:rsidRPr="00DF2BC8">
        <w:t xml:space="preserve"> drošības līdzek</w:t>
      </w:r>
      <w:r>
        <w:t>lis</w:t>
      </w:r>
      <w:r w:rsidRPr="00DF2BC8">
        <w:t xml:space="preserve"> izskatāmajā lietā atzīstam</w:t>
      </w:r>
      <w:r>
        <w:t>s</w:t>
      </w:r>
      <w:r w:rsidRPr="00DF2BC8">
        <w:t xml:space="preserve"> par samērīg</w:t>
      </w:r>
      <w:r>
        <w:t>u</w:t>
      </w:r>
      <w:r w:rsidRPr="00DF2BC8">
        <w:t>.</w:t>
      </w:r>
    </w:p>
    <w:p w14:paraId="599C7D0B" w14:textId="77777777" w:rsidR="00DE7DE0" w:rsidRPr="00DE7DE0" w:rsidRDefault="00DE7DE0" w:rsidP="00DE7DE0">
      <w:pPr>
        <w:pStyle w:val="NoSpacing"/>
      </w:pPr>
    </w:p>
    <w:p w14:paraId="6EFCB535" w14:textId="77777777" w:rsidR="00DE7DE0" w:rsidRPr="00DE7DE0" w:rsidRDefault="00DE7DE0" w:rsidP="00972A12">
      <w:pPr>
        <w:pStyle w:val="NoSpacing"/>
        <w:spacing w:line="276" w:lineRule="auto"/>
        <w:jc w:val="center"/>
        <w:rPr>
          <w:b/>
          <w:bCs/>
        </w:rPr>
      </w:pPr>
      <w:r w:rsidRPr="00DE7DE0">
        <w:rPr>
          <w:b/>
          <w:bCs/>
        </w:rPr>
        <w:t>Rezolutīvā daļa</w:t>
      </w:r>
    </w:p>
    <w:p w14:paraId="1DB3EDA7" w14:textId="77777777" w:rsidR="00DE7DE0" w:rsidRDefault="00DE7DE0" w:rsidP="00972A12">
      <w:pPr>
        <w:pStyle w:val="NoSpacing"/>
        <w:spacing w:line="276" w:lineRule="auto"/>
      </w:pPr>
    </w:p>
    <w:p w14:paraId="2CAA5578" w14:textId="53293B95" w:rsidR="00124436" w:rsidRDefault="00DE7DE0" w:rsidP="00972A12">
      <w:pPr>
        <w:pStyle w:val="NoSpacing"/>
        <w:spacing w:line="276" w:lineRule="auto"/>
        <w:ind w:firstLine="720"/>
        <w:jc w:val="both"/>
      </w:pPr>
      <w:r w:rsidRPr="00DE7DE0">
        <w:lastRenderedPageBreak/>
        <w:t>Pamatojoties uz Kriminālprocesa likuma 585.</w:t>
      </w:r>
      <w:r>
        <w:t> </w:t>
      </w:r>
      <w:r w:rsidRPr="00DE7DE0">
        <w:t xml:space="preserve">pantu un 587. panta pirmās daļas </w:t>
      </w:r>
      <w:r w:rsidR="00972A12">
        <w:t>2</w:t>
      </w:r>
      <w:r w:rsidRPr="00DE7DE0">
        <w:t>. punktu, Senāts</w:t>
      </w:r>
    </w:p>
    <w:p w14:paraId="0DC916CC" w14:textId="77777777" w:rsidR="00DE7DE0" w:rsidRPr="00DE7DE0" w:rsidRDefault="00DE7DE0" w:rsidP="00972A12">
      <w:pPr>
        <w:pStyle w:val="NoSpacing"/>
        <w:spacing w:line="276" w:lineRule="auto"/>
        <w:ind w:firstLine="720"/>
      </w:pPr>
    </w:p>
    <w:p w14:paraId="59D04969" w14:textId="3399C1BE" w:rsidR="0051598E" w:rsidRPr="00DE7DE0" w:rsidRDefault="0051598E" w:rsidP="00972A12">
      <w:pPr>
        <w:pStyle w:val="NoSpacing"/>
        <w:spacing w:line="276" w:lineRule="auto"/>
        <w:jc w:val="center"/>
        <w:rPr>
          <w:b/>
          <w:bCs/>
        </w:rPr>
      </w:pPr>
      <w:r w:rsidRPr="00DE7DE0">
        <w:rPr>
          <w:b/>
          <w:bCs/>
        </w:rPr>
        <w:t>nolēma</w:t>
      </w:r>
    </w:p>
    <w:p w14:paraId="269D19F0" w14:textId="77777777" w:rsidR="0051598E" w:rsidRPr="00DE7DE0" w:rsidRDefault="0051598E" w:rsidP="00972A12">
      <w:pPr>
        <w:pStyle w:val="NoSpacing"/>
        <w:spacing w:line="276" w:lineRule="auto"/>
      </w:pPr>
    </w:p>
    <w:p w14:paraId="73F8C907" w14:textId="231EB655" w:rsidR="0051598E" w:rsidRPr="00DE7DE0" w:rsidRDefault="0051598E" w:rsidP="00972A12">
      <w:pPr>
        <w:pStyle w:val="NoSpacing"/>
        <w:spacing w:line="276" w:lineRule="auto"/>
        <w:ind w:firstLine="720"/>
        <w:jc w:val="both"/>
      </w:pPr>
      <w:r w:rsidRPr="00DE7DE0">
        <w:t>at</w:t>
      </w:r>
      <w:r w:rsidR="00124436" w:rsidRPr="00DE7DE0">
        <w:t xml:space="preserve">celt </w:t>
      </w:r>
      <w:r w:rsidR="00E56957" w:rsidRPr="00DE7DE0">
        <w:t xml:space="preserve">Rīgas apgabaltiesas 2025. gada 3. jūnija spriedumu daļā par </w:t>
      </w:r>
      <w:r w:rsidR="006B7761">
        <w:t>[pers. A]</w:t>
      </w:r>
      <w:r w:rsidR="00E56957" w:rsidRPr="00DE7DE0">
        <w:t xml:space="preserve"> noteikto sodu pēc Krimināllikuma 253. panta pirmās daļas un daļā par noteikto galīgo sodu saskaņā ar Krimināllikuma 50. panta pirmo un trešo daļu;</w:t>
      </w:r>
    </w:p>
    <w:p w14:paraId="31B20282" w14:textId="21155FBC" w:rsidR="00E56957" w:rsidRPr="00DE7DE0" w:rsidRDefault="00E56957" w:rsidP="00972A12">
      <w:pPr>
        <w:pStyle w:val="NoSpacing"/>
        <w:spacing w:line="276" w:lineRule="auto"/>
        <w:ind w:firstLine="720"/>
        <w:jc w:val="both"/>
      </w:pPr>
      <w:r w:rsidRPr="00DE7DE0">
        <w:t>atceltajā daļā lietu nosūtīt jaunai izskatīšanai Rīgas apgabaltiesā;</w:t>
      </w:r>
    </w:p>
    <w:p w14:paraId="2E949A3F" w14:textId="3FFF7218" w:rsidR="00E56957" w:rsidRPr="00DE7DE0" w:rsidRDefault="00E56957" w:rsidP="00972A12">
      <w:pPr>
        <w:pStyle w:val="NoSpacing"/>
        <w:spacing w:line="276" w:lineRule="auto"/>
        <w:ind w:firstLine="720"/>
        <w:jc w:val="both"/>
      </w:pPr>
      <w:r w:rsidRPr="00DE7DE0">
        <w:t>pārējā daļā Rīgas apgabaltiesas 2025. gada 3. jūnija spriedumu atstāt negrozītu;</w:t>
      </w:r>
    </w:p>
    <w:p w14:paraId="4630F0EB" w14:textId="0FFCE053" w:rsidR="00972A12" w:rsidRDefault="00E56957" w:rsidP="00972A12">
      <w:pPr>
        <w:pStyle w:val="NoSpacing"/>
        <w:spacing w:line="276" w:lineRule="auto"/>
        <w:ind w:firstLine="720"/>
        <w:jc w:val="both"/>
      </w:pPr>
      <w:r w:rsidRPr="00DE7DE0">
        <w:t xml:space="preserve">apsūdzētajam </w:t>
      </w:r>
      <w:r w:rsidR="006B7761">
        <w:t>[pers. A]</w:t>
      </w:r>
      <w:r w:rsidRPr="00DE7DE0">
        <w:t xml:space="preserve"> turpināt piemērot drošības līdzekli – uzturēšanās noteiktā vietā.</w:t>
      </w:r>
    </w:p>
    <w:p w14:paraId="69E47AD9" w14:textId="77777777" w:rsidR="00972A12" w:rsidRDefault="00972A12" w:rsidP="00972A12">
      <w:pPr>
        <w:pStyle w:val="NoSpacing"/>
        <w:spacing w:line="276" w:lineRule="auto"/>
        <w:ind w:firstLine="720"/>
        <w:jc w:val="both"/>
      </w:pPr>
    </w:p>
    <w:p w14:paraId="4C2F0E4E" w14:textId="73369A1B" w:rsidR="0051598E" w:rsidRDefault="0051598E" w:rsidP="006B7761">
      <w:pPr>
        <w:pStyle w:val="NoSpacing"/>
        <w:spacing w:line="276" w:lineRule="auto"/>
        <w:ind w:firstLine="720"/>
        <w:jc w:val="both"/>
      </w:pPr>
      <w:r w:rsidRPr="002A6EEE">
        <w:t>Lēmums nav pārsūdzams.</w:t>
      </w:r>
    </w:p>
    <w:sectPr w:rsidR="0051598E" w:rsidSect="00972A12">
      <w:footerReference w:type="default" r:id="rId14"/>
      <w:footerReference w:type="first" r:id="rId15"/>
      <w:pgSz w:w="11906" w:h="16838"/>
      <w:pgMar w:top="1134" w:right="1701" w:bottom="993"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43E28" w14:textId="77777777" w:rsidR="00B5051E" w:rsidRDefault="00B5051E">
      <w:pPr>
        <w:spacing w:after="0" w:line="240" w:lineRule="auto"/>
      </w:pPr>
      <w:r>
        <w:separator/>
      </w:r>
    </w:p>
  </w:endnote>
  <w:endnote w:type="continuationSeparator" w:id="0">
    <w:p w14:paraId="159B22A8" w14:textId="77777777" w:rsidR="00B5051E" w:rsidRDefault="00B505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7693120"/>
      <w:docPartObj>
        <w:docPartGallery w:val="Page Numbers (Bottom of Page)"/>
        <w:docPartUnique/>
      </w:docPartObj>
    </w:sdtPr>
    <w:sdtEndPr>
      <w:rPr>
        <w:sz w:val="20"/>
        <w:szCs w:val="20"/>
      </w:rPr>
    </w:sdtEndPr>
    <w:sdtContent>
      <w:sdt>
        <w:sdtPr>
          <w:id w:val="1728636285"/>
          <w:docPartObj>
            <w:docPartGallery w:val="Page Numbers (Top of Page)"/>
            <w:docPartUnique/>
          </w:docPartObj>
        </w:sdtPr>
        <w:sdtEndPr>
          <w:rPr>
            <w:sz w:val="20"/>
            <w:szCs w:val="20"/>
          </w:rPr>
        </w:sdtEndPr>
        <w:sdtContent>
          <w:p w14:paraId="4942D72C" w14:textId="77777777" w:rsidR="0051598E" w:rsidRPr="00F32B99" w:rsidRDefault="0051598E" w:rsidP="00220388">
            <w:pPr>
              <w:pStyle w:val="Footer"/>
              <w:jc w:val="center"/>
            </w:pPr>
            <w:r w:rsidRPr="00F32B99">
              <w:rPr>
                <w:sz w:val="20"/>
                <w:szCs w:val="20"/>
              </w:rPr>
              <w:fldChar w:fldCharType="begin"/>
            </w:r>
            <w:r w:rsidRPr="00F32B99">
              <w:rPr>
                <w:sz w:val="20"/>
                <w:szCs w:val="20"/>
              </w:rPr>
              <w:instrText xml:space="preserve"> PAGE </w:instrText>
            </w:r>
            <w:r w:rsidRPr="00F32B99">
              <w:rPr>
                <w:sz w:val="20"/>
                <w:szCs w:val="20"/>
              </w:rPr>
              <w:fldChar w:fldCharType="separate"/>
            </w:r>
            <w:r w:rsidRPr="00F32B99">
              <w:rPr>
                <w:sz w:val="20"/>
                <w:szCs w:val="20"/>
              </w:rPr>
              <w:t>2</w:t>
            </w:r>
            <w:r w:rsidRPr="00F32B99">
              <w:rPr>
                <w:sz w:val="20"/>
                <w:szCs w:val="20"/>
              </w:rPr>
              <w:fldChar w:fldCharType="end"/>
            </w:r>
            <w:r w:rsidRPr="00F32B99">
              <w:rPr>
                <w:sz w:val="20"/>
                <w:szCs w:val="20"/>
              </w:rPr>
              <w:t xml:space="preserve"> no </w:t>
            </w:r>
            <w:r w:rsidRPr="00F32B99">
              <w:rPr>
                <w:sz w:val="20"/>
                <w:szCs w:val="20"/>
              </w:rPr>
              <w:fldChar w:fldCharType="begin"/>
            </w:r>
            <w:r w:rsidRPr="00F32B99">
              <w:rPr>
                <w:sz w:val="20"/>
                <w:szCs w:val="20"/>
              </w:rPr>
              <w:instrText xml:space="preserve"> NUMPAGES  </w:instrText>
            </w:r>
            <w:r w:rsidRPr="00F32B99">
              <w:rPr>
                <w:sz w:val="20"/>
                <w:szCs w:val="20"/>
              </w:rPr>
              <w:fldChar w:fldCharType="separate"/>
            </w:r>
            <w:r w:rsidRPr="00F32B99">
              <w:rPr>
                <w:sz w:val="20"/>
                <w:szCs w:val="20"/>
              </w:rPr>
              <w:t>2</w:t>
            </w:r>
            <w:r w:rsidRPr="00F32B99">
              <w:rPr>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3543170"/>
      <w:docPartObj>
        <w:docPartGallery w:val="Page Numbers (Bottom of Page)"/>
        <w:docPartUnique/>
      </w:docPartObj>
    </w:sdtPr>
    <w:sdtEndPr/>
    <w:sdtContent>
      <w:sdt>
        <w:sdtPr>
          <w:id w:val="-1260518195"/>
          <w:docPartObj>
            <w:docPartGallery w:val="Page Numbers (Top of Page)"/>
            <w:docPartUnique/>
          </w:docPartObj>
        </w:sdtPr>
        <w:sdtEndPr/>
        <w:sdtContent>
          <w:p w14:paraId="18D12801" w14:textId="77777777" w:rsidR="0051598E" w:rsidRPr="00F32B99" w:rsidRDefault="0051598E" w:rsidP="00220388">
            <w:pPr>
              <w:pStyle w:val="Footer"/>
              <w:jc w:val="center"/>
            </w:pPr>
            <w:r w:rsidRPr="00F32B99">
              <w:rPr>
                <w:sz w:val="20"/>
                <w:szCs w:val="20"/>
              </w:rPr>
              <w:fldChar w:fldCharType="begin"/>
            </w:r>
            <w:r w:rsidRPr="00F32B99">
              <w:rPr>
                <w:sz w:val="20"/>
                <w:szCs w:val="20"/>
              </w:rPr>
              <w:instrText xml:space="preserve"> PAGE </w:instrText>
            </w:r>
            <w:r w:rsidRPr="00F32B99">
              <w:rPr>
                <w:sz w:val="20"/>
                <w:szCs w:val="20"/>
              </w:rPr>
              <w:fldChar w:fldCharType="separate"/>
            </w:r>
            <w:r w:rsidRPr="00F32B99">
              <w:rPr>
                <w:sz w:val="20"/>
                <w:szCs w:val="20"/>
              </w:rPr>
              <w:t>2</w:t>
            </w:r>
            <w:r w:rsidRPr="00F32B99">
              <w:rPr>
                <w:sz w:val="20"/>
                <w:szCs w:val="20"/>
              </w:rPr>
              <w:fldChar w:fldCharType="end"/>
            </w:r>
            <w:r w:rsidRPr="00F32B99">
              <w:rPr>
                <w:sz w:val="20"/>
                <w:szCs w:val="20"/>
              </w:rPr>
              <w:t xml:space="preserve"> no </w:t>
            </w:r>
            <w:r w:rsidRPr="00F32B99">
              <w:rPr>
                <w:sz w:val="20"/>
                <w:szCs w:val="20"/>
              </w:rPr>
              <w:fldChar w:fldCharType="begin"/>
            </w:r>
            <w:r w:rsidRPr="00F32B99">
              <w:rPr>
                <w:sz w:val="20"/>
                <w:szCs w:val="20"/>
              </w:rPr>
              <w:instrText xml:space="preserve"> NUMPAGES  </w:instrText>
            </w:r>
            <w:r w:rsidRPr="00F32B99">
              <w:rPr>
                <w:sz w:val="20"/>
                <w:szCs w:val="20"/>
              </w:rPr>
              <w:fldChar w:fldCharType="separate"/>
            </w:r>
            <w:r w:rsidRPr="00F32B99">
              <w:rPr>
                <w:sz w:val="20"/>
                <w:szCs w:val="20"/>
              </w:rPr>
              <w:t>2</w:t>
            </w:r>
            <w:r w:rsidRPr="00F32B99">
              <w:rPr>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F64D4" w14:textId="77777777" w:rsidR="00B5051E" w:rsidRDefault="00B5051E">
      <w:pPr>
        <w:spacing w:after="0" w:line="240" w:lineRule="auto"/>
      </w:pPr>
      <w:r>
        <w:separator/>
      </w:r>
    </w:p>
  </w:footnote>
  <w:footnote w:type="continuationSeparator" w:id="0">
    <w:p w14:paraId="725C93A4" w14:textId="77777777" w:rsidR="00B5051E" w:rsidRDefault="00B5051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98E"/>
    <w:rsid w:val="00015329"/>
    <w:rsid w:val="00051CB5"/>
    <w:rsid w:val="0008138D"/>
    <w:rsid w:val="0008238E"/>
    <w:rsid w:val="000B461F"/>
    <w:rsid w:val="000B5364"/>
    <w:rsid w:val="000D6C7D"/>
    <w:rsid w:val="000E550A"/>
    <w:rsid w:val="00112329"/>
    <w:rsid w:val="00124436"/>
    <w:rsid w:val="00137AED"/>
    <w:rsid w:val="00140CE0"/>
    <w:rsid w:val="00155427"/>
    <w:rsid w:val="001B4A49"/>
    <w:rsid w:val="001E586F"/>
    <w:rsid w:val="00203EFA"/>
    <w:rsid w:val="00207008"/>
    <w:rsid w:val="00225A94"/>
    <w:rsid w:val="002426E8"/>
    <w:rsid w:val="002727F0"/>
    <w:rsid w:val="002C3417"/>
    <w:rsid w:val="002D5F42"/>
    <w:rsid w:val="002E70C6"/>
    <w:rsid w:val="0031047E"/>
    <w:rsid w:val="00323E3A"/>
    <w:rsid w:val="00330AEF"/>
    <w:rsid w:val="00331DC6"/>
    <w:rsid w:val="00334487"/>
    <w:rsid w:val="003502EC"/>
    <w:rsid w:val="003507B7"/>
    <w:rsid w:val="00374CF6"/>
    <w:rsid w:val="00425D70"/>
    <w:rsid w:val="00445888"/>
    <w:rsid w:val="00474797"/>
    <w:rsid w:val="0048552F"/>
    <w:rsid w:val="004B51AF"/>
    <w:rsid w:val="0051274F"/>
    <w:rsid w:val="0051598E"/>
    <w:rsid w:val="00546943"/>
    <w:rsid w:val="005521C4"/>
    <w:rsid w:val="005613D3"/>
    <w:rsid w:val="005702CC"/>
    <w:rsid w:val="00597906"/>
    <w:rsid w:val="005E49F7"/>
    <w:rsid w:val="0067279A"/>
    <w:rsid w:val="006906DF"/>
    <w:rsid w:val="00697D47"/>
    <w:rsid w:val="006A0AEA"/>
    <w:rsid w:val="006B7761"/>
    <w:rsid w:val="006E79BB"/>
    <w:rsid w:val="006F7C26"/>
    <w:rsid w:val="00732B6E"/>
    <w:rsid w:val="00736FE4"/>
    <w:rsid w:val="00755C7F"/>
    <w:rsid w:val="00761602"/>
    <w:rsid w:val="007674E4"/>
    <w:rsid w:val="00780C9E"/>
    <w:rsid w:val="00786066"/>
    <w:rsid w:val="00791350"/>
    <w:rsid w:val="00791620"/>
    <w:rsid w:val="00795291"/>
    <w:rsid w:val="007953E8"/>
    <w:rsid w:val="007B073E"/>
    <w:rsid w:val="007D60DB"/>
    <w:rsid w:val="007E6931"/>
    <w:rsid w:val="00832A2A"/>
    <w:rsid w:val="008A5C85"/>
    <w:rsid w:val="008B3B72"/>
    <w:rsid w:val="008C295C"/>
    <w:rsid w:val="008C4A02"/>
    <w:rsid w:val="008D3038"/>
    <w:rsid w:val="0092291F"/>
    <w:rsid w:val="00934AFF"/>
    <w:rsid w:val="0093611C"/>
    <w:rsid w:val="009515AF"/>
    <w:rsid w:val="00967CE7"/>
    <w:rsid w:val="00972A12"/>
    <w:rsid w:val="00975887"/>
    <w:rsid w:val="0098361A"/>
    <w:rsid w:val="009D336B"/>
    <w:rsid w:val="00A36C76"/>
    <w:rsid w:val="00A36E36"/>
    <w:rsid w:val="00A742F7"/>
    <w:rsid w:val="00A74507"/>
    <w:rsid w:val="00AB032B"/>
    <w:rsid w:val="00AC7E23"/>
    <w:rsid w:val="00B34333"/>
    <w:rsid w:val="00B47B7D"/>
    <w:rsid w:val="00B5051E"/>
    <w:rsid w:val="00B91DDC"/>
    <w:rsid w:val="00BA4C76"/>
    <w:rsid w:val="00C07C2D"/>
    <w:rsid w:val="00C107F8"/>
    <w:rsid w:val="00C3151E"/>
    <w:rsid w:val="00C74BB0"/>
    <w:rsid w:val="00C86830"/>
    <w:rsid w:val="00C95119"/>
    <w:rsid w:val="00CD0865"/>
    <w:rsid w:val="00CD3EDB"/>
    <w:rsid w:val="00D03735"/>
    <w:rsid w:val="00D12499"/>
    <w:rsid w:val="00D25CBF"/>
    <w:rsid w:val="00D46415"/>
    <w:rsid w:val="00D678EB"/>
    <w:rsid w:val="00D9691C"/>
    <w:rsid w:val="00DA0F90"/>
    <w:rsid w:val="00DB1515"/>
    <w:rsid w:val="00DB3E46"/>
    <w:rsid w:val="00DC25C4"/>
    <w:rsid w:val="00DC2827"/>
    <w:rsid w:val="00DC5E2F"/>
    <w:rsid w:val="00DE7DE0"/>
    <w:rsid w:val="00DF38D5"/>
    <w:rsid w:val="00DF6D7A"/>
    <w:rsid w:val="00E158A5"/>
    <w:rsid w:val="00E468E6"/>
    <w:rsid w:val="00E512E2"/>
    <w:rsid w:val="00E56957"/>
    <w:rsid w:val="00E90DC8"/>
    <w:rsid w:val="00E93713"/>
    <w:rsid w:val="00EA675B"/>
    <w:rsid w:val="00EB5EA2"/>
    <w:rsid w:val="00EF298C"/>
    <w:rsid w:val="00F23760"/>
    <w:rsid w:val="00F238CC"/>
    <w:rsid w:val="00F32A11"/>
    <w:rsid w:val="00F7469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5FE69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598E"/>
    <w:rPr>
      <w:rFonts w:ascii="Times New Roman" w:hAnsi="Times New Roman"/>
      <w:lang w:val="lv-LV"/>
    </w:rPr>
  </w:style>
  <w:style w:type="paragraph" w:styleId="Heading1">
    <w:name w:val="heading 1"/>
    <w:basedOn w:val="Normal"/>
    <w:next w:val="Normal"/>
    <w:link w:val="Heading1Char"/>
    <w:uiPriority w:val="9"/>
    <w:qFormat/>
    <w:rsid w:val="0051598E"/>
    <w:pPr>
      <w:keepNext/>
      <w:keepLines/>
      <w:spacing w:before="360" w:after="80"/>
      <w:outlineLvl w:val="0"/>
    </w:pPr>
    <w:rPr>
      <w:rFonts w:asciiTheme="majorHAnsi" w:eastAsiaTheme="majorEastAsia" w:hAnsiTheme="majorHAnsi" w:cstheme="majorBidi"/>
      <w:color w:val="2F5496" w:themeColor="accent1" w:themeShade="BF"/>
      <w:sz w:val="40"/>
      <w:szCs w:val="40"/>
      <w:lang w:val="en-US"/>
    </w:rPr>
  </w:style>
  <w:style w:type="paragraph" w:styleId="Heading2">
    <w:name w:val="heading 2"/>
    <w:basedOn w:val="Normal"/>
    <w:next w:val="Normal"/>
    <w:link w:val="Heading2Char"/>
    <w:uiPriority w:val="9"/>
    <w:semiHidden/>
    <w:unhideWhenUsed/>
    <w:qFormat/>
    <w:rsid w:val="0051598E"/>
    <w:pPr>
      <w:keepNext/>
      <w:keepLines/>
      <w:spacing w:before="160" w:after="80"/>
      <w:outlineLvl w:val="1"/>
    </w:pPr>
    <w:rPr>
      <w:rFonts w:asciiTheme="majorHAnsi" w:eastAsiaTheme="majorEastAsia" w:hAnsiTheme="majorHAnsi" w:cstheme="majorBidi"/>
      <w:color w:val="2F5496" w:themeColor="accent1" w:themeShade="BF"/>
      <w:sz w:val="32"/>
      <w:szCs w:val="32"/>
      <w:lang w:val="en-US"/>
    </w:rPr>
  </w:style>
  <w:style w:type="paragraph" w:styleId="Heading3">
    <w:name w:val="heading 3"/>
    <w:basedOn w:val="Normal"/>
    <w:next w:val="Normal"/>
    <w:link w:val="Heading3Char"/>
    <w:uiPriority w:val="9"/>
    <w:semiHidden/>
    <w:unhideWhenUsed/>
    <w:qFormat/>
    <w:rsid w:val="0051598E"/>
    <w:pPr>
      <w:keepNext/>
      <w:keepLines/>
      <w:spacing w:before="160" w:after="80"/>
      <w:outlineLvl w:val="2"/>
    </w:pPr>
    <w:rPr>
      <w:rFonts w:asciiTheme="minorHAnsi" w:eastAsiaTheme="majorEastAsia" w:hAnsiTheme="minorHAnsi" w:cstheme="majorBidi"/>
      <w:color w:val="2F5496" w:themeColor="accent1" w:themeShade="BF"/>
      <w:sz w:val="28"/>
      <w:szCs w:val="28"/>
      <w:lang w:val="en-US"/>
    </w:rPr>
  </w:style>
  <w:style w:type="paragraph" w:styleId="Heading4">
    <w:name w:val="heading 4"/>
    <w:basedOn w:val="Normal"/>
    <w:next w:val="Normal"/>
    <w:link w:val="Heading4Char"/>
    <w:uiPriority w:val="9"/>
    <w:semiHidden/>
    <w:unhideWhenUsed/>
    <w:qFormat/>
    <w:rsid w:val="0051598E"/>
    <w:pPr>
      <w:keepNext/>
      <w:keepLines/>
      <w:spacing w:before="80" w:after="40"/>
      <w:outlineLvl w:val="3"/>
    </w:pPr>
    <w:rPr>
      <w:rFonts w:asciiTheme="minorHAnsi" w:eastAsiaTheme="majorEastAsia" w:hAnsiTheme="minorHAnsi" w:cstheme="majorBidi"/>
      <w:i/>
      <w:iCs/>
      <w:color w:val="2F5496" w:themeColor="accent1" w:themeShade="BF"/>
      <w:lang w:val="en-US"/>
    </w:rPr>
  </w:style>
  <w:style w:type="paragraph" w:styleId="Heading5">
    <w:name w:val="heading 5"/>
    <w:basedOn w:val="Normal"/>
    <w:next w:val="Normal"/>
    <w:link w:val="Heading5Char"/>
    <w:uiPriority w:val="9"/>
    <w:semiHidden/>
    <w:unhideWhenUsed/>
    <w:qFormat/>
    <w:rsid w:val="0051598E"/>
    <w:pPr>
      <w:keepNext/>
      <w:keepLines/>
      <w:spacing w:before="80" w:after="40"/>
      <w:outlineLvl w:val="4"/>
    </w:pPr>
    <w:rPr>
      <w:rFonts w:asciiTheme="minorHAnsi" w:eastAsiaTheme="majorEastAsia" w:hAnsiTheme="minorHAnsi" w:cstheme="majorBidi"/>
      <w:color w:val="2F5496" w:themeColor="accent1" w:themeShade="BF"/>
      <w:lang w:val="en-US"/>
    </w:rPr>
  </w:style>
  <w:style w:type="paragraph" w:styleId="Heading6">
    <w:name w:val="heading 6"/>
    <w:basedOn w:val="Normal"/>
    <w:next w:val="Normal"/>
    <w:link w:val="Heading6Char"/>
    <w:uiPriority w:val="9"/>
    <w:semiHidden/>
    <w:unhideWhenUsed/>
    <w:qFormat/>
    <w:rsid w:val="0051598E"/>
    <w:pPr>
      <w:keepNext/>
      <w:keepLines/>
      <w:spacing w:before="40" w:after="0"/>
      <w:outlineLvl w:val="5"/>
    </w:pPr>
    <w:rPr>
      <w:rFonts w:asciiTheme="minorHAnsi" w:eastAsiaTheme="majorEastAsia" w:hAnsiTheme="minorHAnsi" w:cstheme="majorBidi"/>
      <w:i/>
      <w:iCs/>
      <w:color w:val="595959" w:themeColor="text1" w:themeTint="A6"/>
      <w:lang w:val="en-US"/>
    </w:rPr>
  </w:style>
  <w:style w:type="paragraph" w:styleId="Heading7">
    <w:name w:val="heading 7"/>
    <w:basedOn w:val="Normal"/>
    <w:next w:val="Normal"/>
    <w:link w:val="Heading7Char"/>
    <w:uiPriority w:val="9"/>
    <w:semiHidden/>
    <w:unhideWhenUsed/>
    <w:qFormat/>
    <w:rsid w:val="0051598E"/>
    <w:pPr>
      <w:keepNext/>
      <w:keepLines/>
      <w:spacing w:before="40" w:after="0"/>
      <w:outlineLvl w:val="6"/>
    </w:pPr>
    <w:rPr>
      <w:rFonts w:asciiTheme="minorHAnsi" w:eastAsiaTheme="majorEastAsia" w:hAnsiTheme="minorHAnsi" w:cstheme="majorBidi"/>
      <w:color w:val="595959" w:themeColor="text1" w:themeTint="A6"/>
      <w:lang w:val="en-US"/>
    </w:rPr>
  </w:style>
  <w:style w:type="paragraph" w:styleId="Heading8">
    <w:name w:val="heading 8"/>
    <w:basedOn w:val="Normal"/>
    <w:next w:val="Normal"/>
    <w:link w:val="Heading8Char"/>
    <w:uiPriority w:val="9"/>
    <w:semiHidden/>
    <w:unhideWhenUsed/>
    <w:qFormat/>
    <w:rsid w:val="0051598E"/>
    <w:pPr>
      <w:keepNext/>
      <w:keepLines/>
      <w:spacing w:after="0"/>
      <w:outlineLvl w:val="7"/>
    </w:pPr>
    <w:rPr>
      <w:rFonts w:asciiTheme="minorHAnsi" w:eastAsiaTheme="majorEastAsia" w:hAnsiTheme="minorHAnsi" w:cstheme="majorBidi"/>
      <w:i/>
      <w:iCs/>
      <w:color w:val="272727" w:themeColor="text1" w:themeTint="D8"/>
      <w:lang w:val="en-US"/>
    </w:rPr>
  </w:style>
  <w:style w:type="paragraph" w:styleId="Heading9">
    <w:name w:val="heading 9"/>
    <w:basedOn w:val="Normal"/>
    <w:next w:val="Normal"/>
    <w:link w:val="Heading9Char"/>
    <w:uiPriority w:val="9"/>
    <w:semiHidden/>
    <w:unhideWhenUsed/>
    <w:qFormat/>
    <w:rsid w:val="0051598E"/>
    <w:pPr>
      <w:keepNext/>
      <w:keepLines/>
      <w:spacing w:after="0"/>
      <w:outlineLvl w:val="8"/>
    </w:pPr>
    <w:rPr>
      <w:rFonts w:asciiTheme="minorHAnsi" w:eastAsiaTheme="majorEastAsia" w:hAnsiTheme="minorHAnsi" w:cstheme="majorBidi"/>
      <w:color w:val="272727" w:themeColor="text1" w:themeTint="D8"/>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598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1598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1598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1598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1598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159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59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59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598E"/>
    <w:rPr>
      <w:rFonts w:eastAsiaTheme="majorEastAsia" w:cstheme="majorBidi"/>
      <w:color w:val="272727" w:themeColor="text1" w:themeTint="D8"/>
    </w:rPr>
  </w:style>
  <w:style w:type="paragraph" w:styleId="Title">
    <w:name w:val="Title"/>
    <w:basedOn w:val="Normal"/>
    <w:next w:val="Normal"/>
    <w:link w:val="TitleChar"/>
    <w:uiPriority w:val="10"/>
    <w:qFormat/>
    <w:rsid w:val="0051598E"/>
    <w:pPr>
      <w:spacing w:after="80" w:line="240" w:lineRule="auto"/>
      <w:contextualSpacing/>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0"/>
    <w:rsid w:val="005159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598E"/>
    <w:pPr>
      <w:numPr>
        <w:ilvl w:val="1"/>
      </w:numPr>
    </w:pPr>
    <w:rPr>
      <w:rFonts w:asciiTheme="minorHAnsi" w:eastAsiaTheme="majorEastAsia" w:hAnsiTheme="minorHAnsi" w:cstheme="majorBidi"/>
      <w:color w:val="595959" w:themeColor="text1" w:themeTint="A6"/>
      <w:spacing w:val="15"/>
      <w:sz w:val="28"/>
      <w:szCs w:val="28"/>
      <w:lang w:val="en-US"/>
    </w:rPr>
  </w:style>
  <w:style w:type="character" w:customStyle="1" w:styleId="SubtitleChar">
    <w:name w:val="Subtitle Char"/>
    <w:basedOn w:val="DefaultParagraphFont"/>
    <w:link w:val="Subtitle"/>
    <w:uiPriority w:val="11"/>
    <w:rsid w:val="005159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598E"/>
    <w:pPr>
      <w:spacing w:before="160"/>
      <w:jc w:val="center"/>
    </w:pPr>
    <w:rPr>
      <w:rFonts w:asciiTheme="minorHAnsi" w:hAnsiTheme="minorHAnsi"/>
      <w:i/>
      <w:iCs/>
      <w:color w:val="404040" w:themeColor="text1" w:themeTint="BF"/>
      <w:lang w:val="en-US"/>
    </w:rPr>
  </w:style>
  <w:style w:type="character" w:customStyle="1" w:styleId="QuoteChar">
    <w:name w:val="Quote Char"/>
    <w:basedOn w:val="DefaultParagraphFont"/>
    <w:link w:val="Quote"/>
    <w:uiPriority w:val="29"/>
    <w:rsid w:val="0051598E"/>
    <w:rPr>
      <w:i/>
      <w:iCs/>
      <w:color w:val="404040" w:themeColor="text1" w:themeTint="BF"/>
    </w:rPr>
  </w:style>
  <w:style w:type="paragraph" w:styleId="ListParagraph">
    <w:name w:val="List Paragraph"/>
    <w:basedOn w:val="Normal"/>
    <w:uiPriority w:val="34"/>
    <w:qFormat/>
    <w:rsid w:val="0051598E"/>
    <w:pPr>
      <w:ind w:left="720"/>
      <w:contextualSpacing/>
    </w:pPr>
    <w:rPr>
      <w:rFonts w:asciiTheme="minorHAnsi" w:hAnsiTheme="minorHAnsi"/>
      <w:lang w:val="en-US"/>
    </w:rPr>
  </w:style>
  <w:style w:type="character" w:styleId="IntenseEmphasis">
    <w:name w:val="Intense Emphasis"/>
    <w:basedOn w:val="DefaultParagraphFont"/>
    <w:uiPriority w:val="21"/>
    <w:qFormat/>
    <w:rsid w:val="0051598E"/>
    <w:rPr>
      <w:i/>
      <w:iCs/>
      <w:color w:val="2F5496" w:themeColor="accent1" w:themeShade="BF"/>
    </w:rPr>
  </w:style>
  <w:style w:type="paragraph" w:styleId="IntenseQuote">
    <w:name w:val="Intense Quote"/>
    <w:basedOn w:val="Normal"/>
    <w:next w:val="Normal"/>
    <w:link w:val="IntenseQuoteChar"/>
    <w:uiPriority w:val="30"/>
    <w:qFormat/>
    <w:rsid w:val="0051598E"/>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hAnsiTheme="minorHAnsi"/>
      <w:i/>
      <w:iCs/>
      <w:color w:val="2F5496" w:themeColor="accent1" w:themeShade="BF"/>
      <w:lang w:val="en-US"/>
    </w:rPr>
  </w:style>
  <w:style w:type="character" w:customStyle="1" w:styleId="IntenseQuoteChar">
    <w:name w:val="Intense Quote Char"/>
    <w:basedOn w:val="DefaultParagraphFont"/>
    <w:link w:val="IntenseQuote"/>
    <w:uiPriority w:val="30"/>
    <w:rsid w:val="0051598E"/>
    <w:rPr>
      <w:i/>
      <w:iCs/>
      <w:color w:val="2F5496" w:themeColor="accent1" w:themeShade="BF"/>
    </w:rPr>
  </w:style>
  <w:style w:type="character" w:styleId="IntenseReference">
    <w:name w:val="Intense Reference"/>
    <w:basedOn w:val="DefaultParagraphFont"/>
    <w:uiPriority w:val="32"/>
    <w:qFormat/>
    <w:rsid w:val="0051598E"/>
    <w:rPr>
      <w:b/>
      <w:bCs/>
      <w:smallCaps/>
      <w:color w:val="2F5496" w:themeColor="accent1" w:themeShade="BF"/>
      <w:spacing w:val="5"/>
    </w:rPr>
  </w:style>
  <w:style w:type="paragraph" w:styleId="Footer">
    <w:name w:val="footer"/>
    <w:basedOn w:val="Normal"/>
    <w:link w:val="FooterChar"/>
    <w:uiPriority w:val="99"/>
    <w:unhideWhenUsed/>
    <w:rsid w:val="005159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598E"/>
    <w:rPr>
      <w:rFonts w:ascii="Times New Roman" w:hAnsi="Times New Roman"/>
      <w:lang w:val="lv-LV"/>
    </w:rPr>
  </w:style>
  <w:style w:type="table" w:styleId="TableGrid">
    <w:name w:val="Table Grid"/>
    <w:basedOn w:val="TableNormal"/>
    <w:uiPriority w:val="39"/>
    <w:rsid w:val="0051598E"/>
    <w:pPr>
      <w:spacing w:after="0" w:line="240" w:lineRule="auto"/>
    </w:pPr>
    <w:rPr>
      <w:rFonts w:ascii="Times New Roman" w:hAnsi="Times New Roman"/>
      <w:kern w:val="0"/>
      <w:lang w:val="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521C4"/>
    <w:rPr>
      <w:sz w:val="16"/>
      <w:szCs w:val="16"/>
    </w:rPr>
  </w:style>
  <w:style w:type="paragraph" w:styleId="CommentText">
    <w:name w:val="annotation text"/>
    <w:basedOn w:val="Normal"/>
    <w:link w:val="CommentTextChar"/>
    <w:uiPriority w:val="99"/>
    <w:unhideWhenUsed/>
    <w:rsid w:val="005521C4"/>
    <w:pPr>
      <w:spacing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5521C4"/>
    <w:rPr>
      <w:rFonts w:ascii="Times New Roman" w:hAnsi="Times New Roman"/>
      <w:kern w:val="0"/>
      <w:sz w:val="20"/>
      <w:szCs w:val="20"/>
      <w:lang w:val="lv-LV"/>
      <w14:ligatures w14:val="none"/>
    </w:rPr>
  </w:style>
  <w:style w:type="character" w:styleId="Hyperlink">
    <w:name w:val="Hyperlink"/>
    <w:basedOn w:val="DefaultParagraphFont"/>
    <w:uiPriority w:val="99"/>
    <w:unhideWhenUsed/>
    <w:rsid w:val="006906DF"/>
    <w:rPr>
      <w:color w:val="0563C1"/>
      <w:u w:val="single"/>
    </w:rPr>
  </w:style>
  <w:style w:type="paragraph" w:styleId="NormalWeb">
    <w:name w:val="Normal (Web)"/>
    <w:basedOn w:val="Normal"/>
    <w:uiPriority w:val="99"/>
    <w:rsid w:val="00124436"/>
    <w:pPr>
      <w:spacing w:before="100" w:beforeAutospacing="1" w:after="100" w:afterAutospacing="1" w:line="240" w:lineRule="auto"/>
    </w:pPr>
    <w:rPr>
      <w:rFonts w:eastAsia="Times New Roman" w:cs="Times New Roman"/>
      <w:kern w:val="0"/>
      <w:lang w:eastAsia="lv-LV"/>
      <w14:ligatures w14:val="none"/>
    </w:rPr>
  </w:style>
  <w:style w:type="paragraph" w:styleId="NoSpacing">
    <w:name w:val="No Spacing"/>
    <w:uiPriority w:val="1"/>
    <w:qFormat/>
    <w:rsid w:val="00E158A5"/>
    <w:pPr>
      <w:spacing w:after="0" w:line="240" w:lineRule="auto"/>
    </w:pPr>
    <w:rPr>
      <w:rFonts w:ascii="Times New Roman" w:hAnsi="Times New Roman"/>
      <w:lang w:val="lv-LV"/>
    </w:rPr>
  </w:style>
  <w:style w:type="character" w:styleId="FollowedHyperlink">
    <w:name w:val="FollowedHyperlink"/>
    <w:basedOn w:val="DefaultParagraphFont"/>
    <w:uiPriority w:val="99"/>
    <w:semiHidden/>
    <w:unhideWhenUsed/>
    <w:rsid w:val="00D25CBF"/>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6A0AEA"/>
    <w:rPr>
      <w:b/>
      <w:bCs/>
      <w:kern w:val="2"/>
      <w14:ligatures w14:val="standardContextual"/>
    </w:rPr>
  </w:style>
  <w:style w:type="character" w:customStyle="1" w:styleId="CommentSubjectChar">
    <w:name w:val="Comment Subject Char"/>
    <w:basedOn w:val="CommentTextChar"/>
    <w:link w:val="CommentSubject"/>
    <w:uiPriority w:val="99"/>
    <w:semiHidden/>
    <w:rsid w:val="006A0AEA"/>
    <w:rPr>
      <w:rFonts w:ascii="Times New Roman" w:hAnsi="Times New Roman"/>
      <w:b/>
      <w:bCs/>
      <w:kern w:val="0"/>
      <w:sz w:val="20"/>
      <w:szCs w:val="20"/>
      <w:lang w:val="lv-LV"/>
      <w14:ligatures w14:val="none"/>
    </w:rPr>
  </w:style>
  <w:style w:type="character" w:styleId="UnresolvedMention">
    <w:name w:val="Unresolved Mention"/>
    <w:basedOn w:val="DefaultParagraphFont"/>
    <w:uiPriority w:val="99"/>
    <w:semiHidden/>
    <w:unhideWhenUsed/>
    <w:rsid w:val="00C74BB0"/>
    <w:rPr>
      <w:color w:val="605E5C"/>
      <w:shd w:val="clear" w:color="auto" w:fill="E1DFDD"/>
    </w:rPr>
  </w:style>
  <w:style w:type="paragraph" w:styleId="Revision">
    <w:name w:val="Revision"/>
    <w:hidden/>
    <w:uiPriority w:val="99"/>
    <w:semiHidden/>
    <w:rsid w:val="0098361A"/>
    <w:pPr>
      <w:spacing w:after="0" w:line="240" w:lineRule="auto"/>
    </w:pPr>
    <w:rPr>
      <w:rFonts w:ascii="Times New Roman" w:hAnsi="Times New Roman"/>
      <w:lang w:val="lv-LV"/>
    </w:rPr>
  </w:style>
  <w:style w:type="paragraph" w:customStyle="1" w:styleId="tv213">
    <w:name w:val="tv213"/>
    <w:basedOn w:val="Normal"/>
    <w:rsid w:val="00015329"/>
    <w:pPr>
      <w:spacing w:before="100" w:beforeAutospacing="1" w:after="100" w:afterAutospacing="1" w:line="240" w:lineRule="auto"/>
    </w:pPr>
    <w:rPr>
      <w:rFonts w:eastAsia="Times New Roman" w:cs="Times New Roman"/>
      <w:kern w:val="0"/>
      <w:lang w:eastAsia="lv-LV"/>
      <w14:ligatures w14:val="none"/>
    </w:rPr>
  </w:style>
  <w:style w:type="paragraph" w:styleId="Header">
    <w:name w:val="header"/>
    <w:basedOn w:val="Normal"/>
    <w:link w:val="HeaderChar"/>
    <w:uiPriority w:val="99"/>
    <w:unhideWhenUsed/>
    <w:rsid w:val="008C29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295C"/>
    <w:rPr>
      <w:rFonts w:ascii="Times New Roman" w:hAnsi="Times New Roman"/>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t.gov.lv/downloadlawfile/3728" TargetMode="External"/><Relationship Id="rId13" Type="http://schemas.openxmlformats.org/officeDocument/2006/relationships/hyperlink" Target="https://manas.tiesas.lv/eTiesasMvc/nolemumi/pdf/487992.pdf" TargetMode="External"/><Relationship Id="rId3" Type="http://schemas.openxmlformats.org/officeDocument/2006/relationships/webSettings" Target="webSettings.xml"/><Relationship Id="rId7" Type="http://schemas.openxmlformats.org/officeDocument/2006/relationships/hyperlink" Target="https://titania.saeima.lv/LIVS11/SaeimaLIVS11.nsf/0/F8EAF0BB07FCB67AC225793300488419?OpenDocument" TargetMode="External"/><Relationship Id="rId12" Type="http://schemas.openxmlformats.org/officeDocument/2006/relationships/hyperlink" Target="https://hudoc.echr.coe.int/eng"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gateway.elieta.lv/api/v1/PublicMaterialDownload/4fab3805-e271-4d9e-b7e3-c24ad2621cef" TargetMode="External"/><Relationship Id="rId11" Type="http://schemas.openxmlformats.org/officeDocument/2006/relationships/hyperlink" Target="https://hudoc.echr.coe.int/eng"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https://hudoc.echr.coe.int/eng" TargetMode="External"/><Relationship Id="rId4" Type="http://schemas.openxmlformats.org/officeDocument/2006/relationships/footnotes" Target="footnotes.xml"/><Relationship Id="rId9" Type="http://schemas.openxmlformats.org/officeDocument/2006/relationships/hyperlink" Target="https://hudoc.echr.coe.int/en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10700</Words>
  <Characters>6099</Characters>
  <Application>Microsoft Office Word</Application>
  <DocSecurity>0</DocSecurity>
  <Lines>50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2026-04-16T06:59:00Z</dcterms:created>
  <dcterms:modified xsi:type="dcterms:W3CDTF">2026-04-16T09:37:00Z</dcterms:modified>
</cp:coreProperties>
</file>