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8E5D10" w14:textId="31969E18" w:rsidR="00845032" w:rsidRPr="002127C3" w:rsidRDefault="002127C3" w:rsidP="002127C3">
      <w:pPr>
        <w:pStyle w:val="NoSpacing"/>
        <w:spacing w:line="276" w:lineRule="auto"/>
        <w:jc w:val="both"/>
        <w:rPr>
          <w:rFonts w:cs="Times New Roman"/>
          <w:b/>
          <w:bCs/>
          <w:kern w:val="2"/>
          <w:szCs w:val="24"/>
          <w:lang w:val="lv-LV"/>
        </w:rPr>
      </w:pPr>
      <w:r w:rsidRPr="002127C3">
        <w:rPr>
          <w:rFonts w:cs="Times New Roman"/>
          <w:b/>
          <w:bCs/>
          <w:kern w:val="2"/>
          <w:szCs w:val="24"/>
          <w:lang w:val="lv-LV"/>
        </w:rPr>
        <w:t>Sprieduma motīvu spēkā stāšanās un tajā konstatēto faktu saistošais</w:t>
      </w:r>
      <w:r w:rsidRPr="002127C3">
        <w:rPr>
          <w:rFonts w:cs="Times New Roman"/>
          <w:b/>
          <w:bCs/>
          <w:kern w:val="2"/>
          <w:szCs w:val="24"/>
          <w:lang w:val="lv-LV"/>
        </w:rPr>
        <w:t xml:space="preserve"> spēks</w:t>
      </w:r>
    </w:p>
    <w:p w14:paraId="036731C7" w14:textId="32052156" w:rsidR="002127C3" w:rsidRPr="002127C3" w:rsidRDefault="002127C3" w:rsidP="002127C3">
      <w:pPr>
        <w:spacing w:after="0" w:line="276" w:lineRule="auto"/>
        <w:jc w:val="both"/>
        <w:rPr>
          <w:rFonts w:cs="Times New Roman"/>
          <w:kern w:val="2"/>
          <w:szCs w:val="24"/>
          <w:lang w:val="lv-LV"/>
        </w:rPr>
      </w:pPr>
      <w:r w:rsidRPr="002127C3">
        <w:rPr>
          <w:rFonts w:cs="Times New Roman"/>
          <w:kern w:val="2"/>
          <w:szCs w:val="24"/>
          <w:lang w:val="lv-LV"/>
        </w:rPr>
        <w:t>Sprieduma motīvu daļā konstatētie fakti (</w:t>
      </w:r>
      <w:r w:rsidRPr="002127C3">
        <w:rPr>
          <w:rFonts w:cs="Times New Roman"/>
          <w:i/>
          <w:iCs/>
          <w:kern w:val="2"/>
          <w:szCs w:val="24"/>
          <w:lang w:val="lv-LV"/>
        </w:rPr>
        <w:t>Civilprocesa likuma 96.</w:t>
      </w:r>
      <w:r w:rsidRPr="002127C3">
        <w:rPr>
          <w:rFonts w:cs="Times New Roman"/>
          <w:i/>
          <w:iCs/>
          <w:kern w:val="2"/>
          <w:szCs w:val="24"/>
          <w:lang w:val="lv-LV"/>
        </w:rPr>
        <w:t> </w:t>
      </w:r>
      <w:r w:rsidRPr="002127C3">
        <w:rPr>
          <w:rFonts w:cs="Times New Roman"/>
          <w:i/>
          <w:iCs/>
          <w:kern w:val="2"/>
          <w:szCs w:val="24"/>
          <w:lang w:val="lv-LV"/>
        </w:rPr>
        <w:t>panta otrā daļa</w:t>
      </w:r>
      <w:r w:rsidRPr="002127C3">
        <w:rPr>
          <w:rFonts w:cs="Times New Roman"/>
          <w:kern w:val="2"/>
          <w:szCs w:val="24"/>
          <w:lang w:val="lv-LV"/>
        </w:rPr>
        <w:t>) var būt saistoši tad, ja sprieduma motīvu daļa, kurā tie ietverti, stājusies spēkā (</w:t>
      </w:r>
      <w:r w:rsidRPr="002127C3">
        <w:rPr>
          <w:rFonts w:cs="Times New Roman"/>
          <w:i/>
          <w:iCs/>
          <w:kern w:val="2"/>
          <w:szCs w:val="24"/>
          <w:lang w:val="lv-LV"/>
        </w:rPr>
        <w:t>Civilprocesa likuma 203.</w:t>
      </w:r>
      <w:r w:rsidRPr="002127C3">
        <w:rPr>
          <w:rFonts w:cs="Times New Roman"/>
          <w:i/>
          <w:iCs/>
          <w:kern w:val="2"/>
          <w:szCs w:val="24"/>
          <w:lang w:val="lv-LV"/>
        </w:rPr>
        <w:t> </w:t>
      </w:r>
      <w:r w:rsidRPr="002127C3">
        <w:rPr>
          <w:rFonts w:cs="Times New Roman"/>
          <w:i/>
          <w:iCs/>
          <w:kern w:val="2"/>
          <w:szCs w:val="24"/>
          <w:lang w:val="lv-LV"/>
        </w:rPr>
        <w:t>pants</w:t>
      </w:r>
      <w:r w:rsidRPr="002127C3">
        <w:rPr>
          <w:rFonts w:cs="Times New Roman"/>
          <w:kern w:val="2"/>
          <w:szCs w:val="24"/>
          <w:lang w:val="lv-LV"/>
        </w:rPr>
        <w:t xml:space="preserve">). </w:t>
      </w:r>
    </w:p>
    <w:p w14:paraId="746B42D5" w14:textId="77777777" w:rsidR="002127C3" w:rsidRPr="002127C3" w:rsidRDefault="002127C3" w:rsidP="002127C3">
      <w:pPr>
        <w:spacing w:after="0" w:line="276" w:lineRule="auto"/>
        <w:jc w:val="both"/>
        <w:rPr>
          <w:rFonts w:cs="Times New Roman"/>
          <w:kern w:val="2"/>
          <w:szCs w:val="24"/>
          <w:lang w:val="lv-LV"/>
        </w:rPr>
      </w:pPr>
      <w:r w:rsidRPr="002127C3">
        <w:rPr>
          <w:rFonts w:cs="Times New Roman"/>
          <w:kern w:val="2"/>
          <w:szCs w:val="24"/>
          <w:lang w:val="lv-LV"/>
        </w:rPr>
        <w:t xml:space="preserve">Spriedumā ietvertie motīvi stājas spēkā tad, kad tie ir nesaraujami saistīti ar sprieduma rezolutīvo daļu. Sprieduma motīvi, kuri nav obligāts un nepieciešams priekšnoteikums rezolūcijas taisīšanai (nepamato tieši šādas rezolūcijas taisīšanu), nestājas spēkā. </w:t>
      </w:r>
      <w:r w:rsidRPr="002127C3">
        <w:rPr>
          <w:rFonts w:cs="Times New Roman"/>
          <w:kern w:val="2"/>
          <w:szCs w:val="24"/>
          <w:lang w:val="lv-LV"/>
        </w:rPr>
        <w:t>Ja lietas dalībnieka rīcības tiesiskuma vērtējums ietverts sprieduma motīvos, kuri nestājas spēkā, šim vērtējumam nav saistoša spēka (</w:t>
      </w:r>
      <w:proofErr w:type="spellStart"/>
      <w:r w:rsidRPr="002127C3">
        <w:rPr>
          <w:rFonts w:cs="Times New Roman"/>
          <w:i/>
          <w:iCs/>
          <w:kern w:val="2"/>
          <w:szCs w:val="24"/>
          <w:lang w:val="lv-LV"/>
        </w:rPr>
        <w:t>res</w:t>
      </w:r>
      <w:proofErr w:type="spellEnd"/>
      <w:r w:rsidRPr="002127C3">
        <w:rPr>
          <w:rFonts w:cs="Times New Roman"/>
          <w:i/>
          <w:iCs/>
          <w:kern w:val="2"/>
          <w:szCs w:val="24"/>
          <w:lang w:val="lv-LV"/>
        </w:rPr>
        <w:t xml:space="preserve"> </w:t>
      </w:r>
      <w:proofErr w:type="spellStart"/>
      <w:r w:rsidRPr="002127C3">
        <w:rPr>
          <w:rFonts w:cs="Times New Roman"/>
          <w:i/>
          <w:iCs/>
          <w:kern w:val="2"/>
          <w:szCs w:val="24"/>
          <w:lang w:val="lv-LV"/>
        </w:rPr>
        <w:t>judicata</w:t>
      </w:r>
      <w:proofErr w:type="spellEnd"/>
      <w:r w:rsidRPr="002127C3">
        <w:rPr>
          <w:rFonts w:cs="Times New Roman"/>
          <w:kern w:val="2"/>
          <w:szCs w:val="24"/>
          <w:lang w:val="lv-LV"/>
        </w:rPr>
        <w:t>), un citā strīdā, kurā šim vērtējumam var būt nozīme, tiesai tas jāizdara patstāvīgi.</w:t>
      </w:r>
    </w:p>
    <w:p w14:paraId="62A27222" w14:textId="77777777" w:rsidR="002127C3" w:rsidRPr="002127C3" w:rsidRDefault="002127C3" w:rsidP="002127C3">
      <w:pPr>
        <w:pStyle w:val="NoSpacing"/>
        <w:spacing w:line="276" w:lineRule="auto"/>
        <w:jc w:val="both"/>
        <w:rPr>
          <w:rFonts w:eastAsia="Times New Roman" w:cs="Times New Roman"/>
          <w:szCs w:val="24"/>
          <w:lang w:val="lv-LV" w:eastAsia="lv-LV"/>
        </w:rPr>
      </w:pPr>
    </w:p>
    <w:p w14:paraId="3A355D96" w14:textId="5EA7A732" w:rsidR="002127C3" w:rsidRPr="002127C3" w:rsidRDefault="002127C3" w:rsidP="002127C3">
      <w:pPr>
        <w:pStyle w:val="NoSpacing"/>
        <w:spacing w:line="276" w:lineRule="auto"/>
        <w:jc w:val="both"/>
        <w:rPr>
          <w:rFonts w:cs="Times New Roman"/>
          <w:b/>
          <w:bCs/>
          <w:kern w:val="2"/>
          <w:szCs w:val="24"/>
          <w:lang w:val="lv-LV"/>
        </w:rPr>
      </w:pPr>
      <w:r w:rsidRPr="002127C3">
        <w:rPr>
          <w:rFonts w:cs="Times New Roman"/>
          <w:b/>
          <w:bCs/>
          <w:kern w:val="2"/>
          <w:szCs w:val="24"/>
          <w:lang w:val="lv-LV"/>
        </w:rPr>
        <w:t>Kasācijas sūdzībā Senātam izsakāmais</w:t>
      </w:r>
      <w:r w:rsidRPr="002127C3">
        <w:rPr>
          <w:rFonts w:cs="Times New Roman"/>
          <w:b/>
          <w:bCs/>
          <w:kern w:val="2"/>
          <w:szCs w:val="24"/>
          <w:lang w:val="lv-LV"/>
        </w:rPr>
        <w:t xml:space="preserve"> lūgums</w:t>
      </w:r>
    </w:p>
    <w:p w14:paraId="65C7F12C" w14:textId="77777777" w:rsidR="002127C3" w:rsidRPr="002127C3" w:rsidRDefault="002127C3" w:rsidP="002127C3">
      <w:pPr>
        <w:spacing w:after="0" w:line="276" w:lineRule="auto"/>
        <w:jc w:val="both"/>
        <w:rPr>
          <w:rFonts w:cs="Times New Roman"/>
          <w:kern w:val="2"/>
          <w:szCs w:val="24"/>
          <w:lang w:val="lv-LV"/>
        </w:rPr>
      </w:pPr>
      <w:r w:rsidRPr="002127C3">
        <w:rPr>
          <w:rFonts w:cs="Times New Roman"/>
          <w:kern w:val="2"/>
          <w:szCs w:val="24"/>
          <w:lang w:val="lt-LT"/>
        </w:rPr>
        <w:t>Kasācijas sūdzībā Senātam izteiktajam lūgumam jāattiecas uz pārsūdzētā sprieduma rezolūciju – apjomu, kādā tiek pārsūdzēta sprieduma rezolutīvā daļa.</w:t>
      </w:r>
    </w:p>
    <w:p w14:paraId="7485E3A8" w14:textId="09E047F5" w:rsidR="001822F7" w:rsidRPr="002127C3" w:rsidRDefault="001822F7" w:rsidP="002127C3">
      <w:pPr>
        <w:tabs>
          <w:tab w:val="left" w:pos="0"/>
        </w:tabs>
        <w:spacing w:after="0" w:line="276" w:lineRule="auto"/>
        <w:jc w:val="center"/>
        <w:rPr>
          <w:rFonts w:eastAsia="Times New Roman" w:cs="Times New Roman"/>
          <w:szCs w:val="24"/>
          <w:lang w:val="lv-LV" w:eastAsia="lv-LV"/>
        </w:rPr>
      </w:pPr>
    </w:p>
    <w:p w14:paraId="4F7BACB3" w14:textId="2228EC26" w:rsidR="00EB6A62" w:rsidRPr="002127C3" w:rsidRDefault="00C472B5" w:rsidP="002127C3">
      <w:pPr>
        <w:spacing w:after="0" w:line="276" w:lineRule="auto"/>
        <w:jc w:val="center"/>
        <w:rPr>
          <w:rFonts w:cs="Times New Roman"/>
          <w:b/>
          <w:szCs w:val="24"/>
          <w:lang w:val="lv-LV"/>
        </w:rPr>
      </w:pPr>
      <w:bookmarkStart w:id="0" w:name="Dropdown1"/>
      <w:r w:rsidRPr="002127C3">
        <w:rPr>
          <w:rFonts w:cs="Times New Roman"/>
          <w:b/>
          <w:szCs w:val="24"/>
          <w:lang w:val="lv-LV"/>
        </w:rPr>
        <w:t xml:space="preserve">Latvijas Republikas </w:t>
      </w:r>
      <w:r w:rsidR="00752C16" w:rsidRPr="002127C3">
        <w:rPr>
          <w:rFonts w:cs="Times New Roman"/>
          <w:b/>
          <w:szCs w:val="24"/>
          <w:lang w:val="lv-LV"/>
        </w:rPr>
        <w:t>Senāt</w:t>
      </w:r>
      <w:r w:rsidR="00032D27" w:rsidRPr="002127C3">
        <w:rPr>
          <w:rFonts w:cs="Times New Roman"/>
          <w:b/>
          <w:szCs w:val="24"/>
          <w:lang w:val="lv-LV"/>
        </w:rPr>
        <w:t>a</w:t>
      </w:r>
    </w:p>
    <w:p w14:paraId="4A497FFF" w14:textId="7029D3F0" w:rsidR="00032D27" w:rsidRPr="002127C3" w:rsidRDefault="00032D27" w:rsidP="002127C3">
      <w:pPr>
        <w:spacing w:after="0" w:line="276" w:lineRule="auto"/>
        <w:jc w:val="center"/>
        <w:rPr>
          <w:rFonts w:cs="Times New Roman"/>
          <w:b/>
          <w:szCs w:val="24"/>
          <w:lang w:val="lv-LV"/>
        </w:rPr>
      </w:pPr>
      <w:r w:rsidRPr="002127C3">
        <w:rPr>
          <w:rFonts w:cs="Times New Roman"/>
          <w:b/>
          <w:szCs w:val="24"/>
          <w:lang w:val="lv-LV"/>
        </w:rPr>
        <w:t>Civillietu departamenta</w:t>
      </w:r>
    </w:p>
    <w:p w14:paraId="498641FB" w14:textId="540DDDD9" w:rsidR="00032D27" w:rsidRPr="002127C3" w:rsidRDefault="00032D27" w:rsidP="002127C3">
      <w:pPr>
        <w:spacing w:after="0" w:line="276" w:lineRule="auto"/>
        <w:jc w:val="center"/>
        <w:rPr>
          <w:rFonts w:cs="Times New Roman"/>
          <w:b/>
          <w:bCs/>
          <w:szCs w:val="24"/>
          <w:lang w:val="lv-LV"/>
        </w:rPr>
      </w:pPr>
      <w:r w:rsidRPr="002127C3">
        <w:rPr>
          <w:rFonts w:cs="Times New Roman"/>
          <w:b/>
          <w:bCs/>
          <w:szCs w:val="24"/>
          <w:lang w:val="lv-LV"/>
        </w:rPr>
        <w:t>2026. gada 12. februāra</w:t>
      </w:r>
    </w:p>
    <w:p w14:paraId="569D34DB" w14:textId="77777777" w:rsidR="00C472B5" w:rsidRPr="002127C3" w:rsidRDefault="00C472B5" w:rsidP="002127C3">
      <w:pPr>
        <w:spacing w:after="0" w:line="276" w:lineRule="auto"/>
        <w:jc w:val="center"/>
        <w:rPr>
          <w:rFonts w:cs="Times New Roman"/>
          <w:b/>
          <w:bCs/>
          <w:szCs w:val="24"/>
          <w:lang w:val="lv-LV"/>
        </w:rPr>
      </w:pPr>
      <w:r w:rsidRPr="002127C3">
        <w:rPr>
          <w:rFonts w:cs="Times New Roman"/>
          <w:b/>
          <w:bCs/>
          <w:szCs w:val="24"/>
          <w:lang w:val="lv-LV"/>
        </w:rPr>
        <w:t>RĪCĪBAS SĒDES LĒMUMS</w:t>
      </w:r>
    </w:p>
    <w:p w14:paraId="070F3FBC" w14:textId="77777777" w:rsidR="00032D27" w:rsidRPr="002127C3" w:rsidRDefault="00032D27" w:rsidP="002127C3">
      <w:pPr>
        <w:pStyle w:val="NoSpacing"/>
        <w:spacing w:line="276" w:lineRule="auto"/>
        <w:jc w:val="center"/>
        <w:rPr>
          <w:rFonts w:cs="Times New Roman"/>
          <w:b/>
          <w:bCs/>
          <w:szCs w:val="24"/>
          <w:lang w:val="lv-LV" w:eastAsia="lv-LV"/>
        </w:rPr>
      </w:pPr>
      <w:r w:rsidRPr="002127C3">
        <w:rPr>
          <w:rFonts w:cs="Times New Roman"/>
          <w:b/>
          <w:bCs/>
          <w:szCs w:val="24"/>
          <w:lang w:val="lv-LV" w:eastAsia="lv-LV"/>
        </w:rPr>
        <w:t>Lieta Nr. C771347423, SKC-135/2026</w:t>
      </w:r>
    </w:p>
    <w:p w14:paraId="064BBDE6" w14:textId="6262B411" w:rsidR="00032D27" w:rsidRPr="002127C3" w:rsidRDefault="00032D27" w:rsidP="002127C3">
      <w:pPr>
        <w:pStyle w:val="NoSpacing"/>
        <w:spacing w:line="276" w:lineRule="auto"/>
        <w:jc w:val="center"/>
        <w:rPr>
          <w:rFonts w:cs="Times New Roman"/>
          <w:b/>
          <w:bCs/>
          <w:szCs w:val="24"/>
          <w:lang w:val="lv-LV" w:eastAsia="lv-LV"/>
        </w:rPr>
      </w:pPr>
      <w:hyperlink r:id="rId7" w:history="1">
        <w:r w:rsidRPr="002127C3">
          <w:rPr>
            <w:rStyle w:val="Hyperlink"/>
            <w:rFonts w:cs="Times New Roman"/>
            <w:szCs w:val="24"/>
          </w:rPr>
          <w:t>ECLI:LV:</w:t>
        </w:r>
        <w:proofErr w:type="gramStart"/>
        <w:r w:rsidRPr="002127C3">
          <w:rPr>
            <w:rStyle w:val="Hyperlink"/>
            <w:rFonts w:cs="Times New Roman"/>
            <w:szCs w:val="24"/>
          </w:rPr>
          <w:t>AT:2026:0212</w:t>
        </w:r>
        <w:proofErr w:type="gramEnd"/>
        <w:r w:rsidRPr="002127C3">
          <w:rPr>
            <w:rStyle w:val="Hyperlink"/>
            <w:rFonts w:cs="Times New Roman"/>
            <w:szCs w:val="24"/>
          </w:rPr>
          <w:t>.C771347423.</w:t>
        </w:r>
        <w:proofErr w:type="gramStart"/>
        <w:r w:rsidRPr="002127C3">
          <w:rPr>
            <w:rStyle w:val="Hyperlink"/>
            <w:rFonts w:cs="Times New Roman"/>
            <w:szCs w:val="24"/>
          </w:rPr>
          <w:t>10.L</w:t>
        </w:r>
        <w:proofErr w:type="gramEnd"/>
      </w:hyperlink>
    </w:p>
    <w:bookmarkEnd w:id="0"/>
    <w:p w14:paraId="1E09B7B0" w14:textId="77777777" w:rsidR="00C472B5" w:rsidRPr="002127C3" w:rsidRDefault="00C472B5" w:rsidP="002127C3">
      <w:pPr>
        <w:spacing w:after="0" w:line="276" w:lineRule="auto"/>
        <w:jc w:val="both"/>
        <w:rPr>
          <w:rFonts w:eastAsia="Times New Roman" w:cs="Times New Roman"/>
          <w:b/>
          <w:szCs w:val="24"/>
          <w:lang w:val="lv-LV" w:eastAsia="ru-RU"/>
        </w:rPr>
      </w:pPr>
    </w:p>
    <w:p w14:paraId="3EA8A58B" w14:textId="71264BA8" w:rsidR="0057069D" w:rsidRPr="002127C3" w:rsidRDefault="00752C16" w:rsidP="002127C3">
      <w:pPr>
        <w:tabs>
          <w:tab w:val="left" w:pos="709"/>
        </w:tabs>
        <w:spacing w:after="0" w:line="276" w:lineRule="auto"/>
        <w:jc w:val="both"/>
        <w:rPr>
          <w:rFonts w:cs="Times New Roman"/>
          <w:szCs w:val="24"/>
          <w:lang w:val="lv-LV"/>
        </w:rPr>
      </w:pPr>
      <w:r w:rsidRPr="002127C3">
        <w:rPr>
          <w:rFonts w:cs="Times New Roman"/>
          <w:szCs w:val="24"/>
          <w:lang w:val="lv-LV"/>
        </w:rPr>
        <w:tab/>
        <w:t xml:space="preserve">Senatoru </w:t>
      </w:r>
      <w:r w:rsidR="00E01BC9" w:rsidRPr="002127C3">
        <w:rPr>
          <w:rFonts w:cs="Times New Roman"/>
          <w:szCs w:val="24"/>
          <w:lang w:val="lv-LV"/>
        </w:rPr>
        <w:t xml:space="preserve">kolēģija šādā sastāvā: </w:t>
      </w:r>
      <w:r w:rsidR="00DB6F63" w:rsidRPr="002127C3">
        <w:rPr>
          <w:rFonts w:cs="Times New Roman"/>
          <w:szCs w:val="24"/>
          <w:lang w:val="lv-LV"/>
        </w:rPr>
        <w:t>s</w:t>
      </w:r>
      <w:r w:rsidR="00CF507C" w:rsidRPr="002127C3">
        <w:rPr>
          <w:rFonts w:cs="Times New Roman"/>
          <w:szCs w:val="24"/>
          <w:lang w:val="lv-LV"/>
        </w:rPr>
        <w:t>enatore</w:t>
      </w:r>
      <w:r w:rsidR="00CD5829" w:rsidRPr="002127C3">
        <w:rPr>
          <w:rFonts w:cs="Times New Roman"/>
          <w:szCs w:val="24"/>
          <w:lang w:val="lv-LV"/>
        </w:rPr>
        <w:t xml:space="preserve"> </w:t>
      </w:r>
      <w:r w:rsidR="00EB6FB2" w:rsidRPr="002127C3">
        <w:rPr>
          <w:rFonts w:cs="Times New Roman"/>
          <w:szCs w:val="24"/>
          <w:lang w:val="lv-LV"/>
        </w:rPr>
        <w:t xml:space="preserve">referente </w:t>
      </w:r>
      <w:r w:rsidR="00A410EF" w:rsidRPr="002127C3">
        <w:rPr>
          <w:rFonts w:cs="Times New Roman"/>
          <w:szCs w:val="24"/>
          <w:lang w:val="lv-LV"/>
        </w:rPr>
        <w:t>Dzintra Balta</w:t>
      </w:r>
      <w:r w:rsidR="007A0DD0" w:rsidRPr="002127C3">
        <w:rPr>
          <w:rFonts w:cs="Times New Roman"/>
          <w:szCs w:val="24"/>
          <w:lang w:val="lv-LV"/>
        </w:rPr>
        <w:t>,</w:t>
      </w:r>
      <w:r w:rsidR="00B457C4" w:rsidRPr="002127C3">
        <w:rPr>
          <w:rFonts w:cs="Times New Roman"/>
          <w:szCs w:val="24"/>
          <w:lang w:val="lv-LV"/>
        </w:rPr>
        <w:t xml:space="preserve"> </w:t>
      </w:r>
      <w:r w:rsidR="00EB6FB2" w:rsidRPr="002127C3">
        <w:rPr>
          <w:rFonts w:cs="Times New Roman"/>
          <w:szCs w:val="24"/>
          <w:lang w:val="lv-LV"/>
        </w:rPr>
        <w:t>senator</w:t>
      </w:r>
      <w:r w:rsidR="00416CE4" w:rsidRPr="002127C3">
        <w:rPr>
          <w:rFonts w:cs="Times New Roman"/>
          <w:szCs w:val="24"/>
          <w:lang w:val="lv-LV"/>
        </w:rPr>
        <w:t>i</w:t>
      </w:r>
      <w:r w:rsidR="00316C6C">
        <w:rPr>
          <w:rFonts w:cs="Times New Roman"/>
          <w:szCs w:val="24"/>
          <w:lang w:val="lv-LV"/>
        </w:rPr>
        <w:t xml:space="preserve"> </w:t>
      </w:r>
      <w:r w:rsidR="00616D64" w:rsidRPr="002127C3">
        <w:rPr>
          <w:rFonts w:cs="Times New Roman"/>
          <w:szCs w:val="24"/>
          <w:lang w:val="lv-LV"/>
        </w:rPr>
        <w:t>Aldis</w:t>
      </w:r>
      <w:r w:rsidR="00316C6C">
        <w:rPr>
          <w:rFonts w:cs="Times New Roman"/>
          <w:szCs w:val="24"/>
          <w:lang w:val="lv-LV"/>
        </w:rPr>
        <w:t xml:space="preserve"> </w:t>
      </w:r>
      <w:r w:rsidR="00616D64" w:rsidRPr="002127C3">
        <w:rPr>
          <w:rFonts w:cs="Times New Roman"/>
          <w:szCs w:val="24"/>
          <w:lang w:val="lv-LV"/>
        </w:rPr>
        <w:t>Lavi</w:t>
      </w:r>
      <w:r w:rsidR="002D50F7" w:rsidRPr="002127C3">
        <w:rPr>
          <w:rFonts w:cs="Times New Roman"/>
          <w:szCs w:val="24"/>
          <w:lang w:val="lv-LV"/>
        </w:rPr>
        <w:t>ņš</w:t>
      </w:r>
      <w:r w:rsidR="00EB6FB2" w:rsidRPr="002127C3">
        <w:rPr>
          <w:rFonts w:cs="Times New Roman"/>
          <w:szCs w:val="24"/>
          <w:lang w:val="lv-LV"/>
        </w:rPr>
        <w:t xml:space="preserve"> un</w:t>
      </w:r>
      <w:r w:rsidR="002D50F7" w:rsidRPr="002127C3">
        <w:rPr>
          <w:rFonts w:cs="Times New Roman"/>
          <w:szCs w:val="24"/>
          <w:lang w:val="lv-LV"/>
        </w:rPr>
        <w:t xml:space="preserve"> Zane Pētersone</w:t>
      </w:r>
    </w:p>
    <w:p w14:paraId="43FAB6D3" w14:textId="77777777" w:rsidR="0057069D" w:rsidRPr="002127C3" w:rsidRDefault="0057069D" w:rsidP="002127C3">
      <w:pPr>
        <w:tabs>
          <w:tab w:val="left" w:pos="709"/>
        </w:tabs>
        <w:spacing w:after="0" w:line="276" w:lineRule="auto"/>
        <w:jc w:val="both"/>
        <w:rPr>
          <w:rFonts w:cs="Times New Roman"/>
          <w:szCs w:val="24"/>
          <w:lang w:val="lv-LV"/>
        </w:rPr>
      </w:pPr>
      <w:r w:rsidRPr="002127C3">
        <w:rPr>
          <w:rFonts w:cs="Times New Roman"/>
          <w:szCs w:val="24"/>
          <w:lang w:val="lv-LV"/>
        </w:rPr>
        <w:tab/>
      </w:r>
    </w:p>
    <w:p w14:paraId="70123F3E" w14:textId="5F377583" w:rsidR="00442D0A" w:rsidRPr="002127C3" w:rsidRDefault="0057069D" w:rsidP="002127C3">
      <w:pPr>
        <w:tabs>
          <w:tab w:val="left" w:pos="709"/>
        </w:tabs>
        <w:spacing w:after="0" w:line="276" w:lineRule="auto"/>
        <w:jc w:val="both"/>
        <w:rPr>
          <w:rFonts w:cs="Times New Roman"/>
          <w:szCs w:val="24"/>
          <w:lang w:val="lv-LV"/>
        </w:rPr>
      </w:pPr>
      <w:r w:rsidRPr="002127C3">
        <w:rPr>
          <w:rFonts w:cs="Times New Roman"/>
          <w:szCs w:val="24"/>
          <w:lang w:val="lv-LV"/>
        </w:rPr>
        <w:tab/>
      </w:r>
      <w:r w:rsidR="00416CE4" w:rsidRPr="002127C3">
        <w:rPr>
          <w:rFonts w:cs="Times New Roman"/>
          <w:szCs w:val="24"/>
          <w:lang w:val="lv-LV"/>
        </w:rPr>
        <w:t xml:space="preserve">rīcības sēdē izskatīja </w:t>
      </w:r>
      <w:r w:rsidR="00032D27" w:rsidRPr="002127C3">
        <w:rPr>
          <w:rFonts w:cs="Times New Roman"/>
          <w:szCs w:val="24"/>
          <w:lang w:val="lt-LT"/>
        </w:rPr>
        <w:t>[pers. A]</w:t>
      </w:r>
      <w:r w:rsidR="00442D0A" w:rsidRPr="002127C3">
        <w:rPr>
          <w:rFonts w:cs="Times New Roman"/>
          <w:szCs w:val="24"/>
          <w:lang w:val="lv-LV"/>
        </w:rPr>
        <w:t xml:space="preserve"> </w:t>
      </w:r>
      <w:r w:rsidR="00416CE4" w:rsidRPr="002127C3">
        <w:rPr>
          <w:rFonts w:cs="Times New Roman"/>
          <w:szCs w:val="24"/>
          <w:lang w:val="lv-LV"/>
        </w:rPr>
        <w:t xml:space="preserve">kasācijas sūdzību </w:t>
      </w:r>
      <w:r w:rsidR="00442D0A" w:rsidRPr="002127C3">
        <w:rPr>
          <w:rFonts w:cs="Times New Roman"/>
          <w:szCs w:val="24"/>
          <w:lang w:val="lv-LV"/>
        </w:rPr>
        <w:t>un SIA</w:t>
      </w:r>
      <w:r w:rsidR="00032D27" w:rsidRPr="002127C3">
        <w:rPr>
          <w:rFonts w:cs="Times New Roman"/>
          <w:szCs w:val="24"/>
          <w:lang w:val="lv-LV"/>
        </w:rPr>
        <w:t> </w:t>
      </w:r>
      <w:r w:rsidR="00442D0A" w:rsidRPr="002127C3">
        <w:rPr>
          <w:rFonts w:cs="Times New Roman"/>
          <w:szCs w:val="24"/>
          <w:lang w:val="lv-LV"/>
        </w:rPr>
        <w:t>„Izdevniecība Rīgas Viļņi”,</w:t>
      </w:r>
      <w:r w:rsidR="001449BA" w:rsidRPr="002127C3">
        <w:rPr>
          <w:rFonts w:cs="Times New Roman"/>
          <w:szCs w:val="24"/>
          <w:lang w:val="lv-LV"/>
        </w:rPr>
        <w:t xml:space="preserve"> </w:t>
      </w:r>
      <w:r w:rsidR="00442D0A" w:rsidRPr="002127C3">
        <w:rPr>
          <w:rFonts w:cs="Times New Roman"/>
          <w:szCs w:val="24"/>
          <w:lang w:val="lv-LV"/>
        </w:rPr>
        <w:t>valsts</w:t>
      </w:r>
      <w:r w:rsidR="001449BA" w:rsidRPr="002127C3">
        <w:rPr>
          <w:rFonts w:cs="Times New Roman"/>
          <w:szCs w:val="24"/>
          <w:lang w:val="lv-LV"/>
        </w:rPr>
        <w:t xml:space="preserve"> </w:t>
      </w:r>
      <w:r w:rsidR="00442D0A" w:rsidRPr="002127C3">
        <w:rPr>
          <w:rFonts w:cs="Times New Roman"/>
          <w:szCs w:val="24"/>
          <w:lang w:val="lv-LV"/>
        </w:rPr>
        <w:t>SIA</w:t>
      </w:r>
      <w:r w:rsidR="00E54C13" w:rsidRPr="002127C3">
        <w:rPr>
          <w:rFonts w:cs="Times New Roman"/>
          <w:szCs w:val="24"/>
          <w:lang w:val="lv-LV"/>
        </w:rPr>
        <w:t> </w:t>
      </w:r>
      <w:r w:rsidR="00442D0A" w:rsidRPr="002127C3">
        <w:rPr>
          <w:rFonts w:cs="Times New Roman"/>
          <w:szCs w:val="24"/>
          <w:lang w:val="lv-LV"/>
        </w:rPr>
        <w:t>„Latvijas Sabiedriskais medijs”</w:t>
      </w:r>
      <w:r w:rsidR="00B25A87" w:rsidRPr="002127C3">
        <w:rPr>
          <w:rFonts w:cs="Times New Roman"/>
          <w:szCs w:val="24"/>
          <w:lang w:val="lv-LV"/>
        </w:rPr>
        <w:t xml:space="preserve"> </w:t>
      </w:r>
      <w:r w:rsidR="00442D0A" w:rsidRPr="002127C3">
        <w:rPr>
          <w:rFonts w:cs="Times New Roman"/>
          <w:szCs w:val="24"/>
          <w:lang w:val="lv-LV"/>
        </w:rPr>
        <w:t>(iepriekš</w:t>
      </w:r>
      <w:r w:rsidR="001449BA" w:rsidRPr="002127C3">
        <w:rPr>
          <w:rFonts w:cs="Times New Roman"/>
          <w:szCs w:val="24"/>
          <w:lang w:val="lv-LV"/>
        </w:rPr>
        <w:t> </w:t>
      </w:r>
      <w:r w:rsidR="00442D0A" w:rsidRPr="002127C3">
        <w:rPr>
          <w:rFonts w:cs="Times New Roman"/>
          <w:szCs w:val="24"/>
          <w:lang w:val="lv-LV"/>
        </w:rPr>
        <w:t>– valsts</w:t>
      </w:r>
      <w:r w:rsidR="00032D27" w:rsidRPr="002127C3">
        <w:rPr>
          <w:rFonts w:cs="Times New Roman"/>
          <w:szCs w:val="24"/>
          <w:lang w:val="lv-LV"/>
        </w:rPr>
        <w:t xml:space="preserve"> </w:t>
      </w:r>
      <w:r w:rsidR="00442D0A" w:rsidRPr="002127C3">
        <w:rPr>
          <w:rFonts w:cs="Times New Roman"/>
          <w:szCs w:val="24"/>
          <w:lang w:val="lv-LV"/>
        </w:rPr>
        <w:t>AS „Latvijas Televīzija”), SIA</w:t>
      </w:r>
      <w:r w:rsidR="00032D27" w:rsidRPr="002127C3">
        <w:rPr>
          <w:rFonts w:cs="Times New Roman"/>
          <w:szCs w:val="24"/>
          <w:lang w:val="lv-LV"/>
        </w:rPr>
        <w:t> </w:t>
      </w:r>
      <w:r w:rsidR="00442D0A" w:rsidRPr="002127C3">
        <w:rPr>
          <w:rFonts w:cs="Times New Roman"/>
          <w:szCs w:val="24"/>
          <w:lang w:val="lv-LV"/>
        </w:rPr>
        <w:t>„TVNET Grupa” un SIA</w:t>
      </w:r>
      <w:r w:rsidR="00032D27" w:rsidRPr="002127C3">
        <w:rPr>
          <w:rFonts w:cs="Times New Roman"/>
          <w:szCs w:val="24"/>
          <w:lang w:val="lv-LV"/>
        </w:rPr>
        <w:t> </w:t>
      </w:r>
      <w:r w:rsidR="00442D0A" w:rsidRPr="002127C3">
        <w:rPr>
          <w:rFonts w:cs="Times New Roman"/>
          <w:szCs w:val="24"/>
          <w:lang w:val="lv-LV"/>
        </w:rPr>
        <w:t xml:space="preserve">„LETA” kasācijas sūdzību, kurai pievienojusies </w:t>
      </w:r>
    </w:p>
    <w:p w14:paraId="05A38EE5" w14:textId="48094EC5" w:rsidR="00442D0A" w:rsidRPr="002127C3" w:rsidRDefault="00442D0A" w:rsidP="002127C3">
      <w:pPr>
        <w:spacing w:after="0" w:line="276" w:lineRule="auto"/>
        <w:jc w:val="both"/>
        <w:rPr>
          <w:rFonts w:cs="Times New Roman"/>
          <w:szCs w:val="24"/>
          <w:lang w:val="lv-LV"/>
        </w:rPr>
      </w:pPr>
      <w:r w:rsidRPr="002127C3">
        <w:rPr>
          <w:rFonts w:cs="Times New Roman"/>
          <w:bCs/>
          <w:szCs w:val="24"/>
          <w:lang w:val="lt-LT"/>
        </w:rPr>
        <w:t xml:space="preserve">valsts AS „Latvijas Vēstnesis”, </w:t>
      </w:r>
      <w:r w:rsidR="00416CE4" w:rsidRPr="002127C3">
        <w:rPr>
          <w:rFonts w:cs="Times New Roman"/>
          <w:szCs w:val="24"/>
          <w:lang w:val="lt-LT"/>
        </w:rPr>
        <w:t xml:space="preserve">par Rīgas apgabaltiesas </w:t>
      </w:r>
      <w:r w:rsidRPr="002127C3">
        <w:rPr>
          <w:rFonts w:cs="Times New Roman"/>
          <w:szCs w:val="24"/>
          <w:lang w:val="lv-LV"/>
        </w:rPr>
        <w:t xml:space="preserve">2025. gada 30. maija </w:t>
      </w:r>
      <w:r w:rsidR="00416CE4" w:rsidRPr="002127C3">
        <w:rPr>
          <w:rFonts w:cs="Times New Roman"/>
          <w:szCs w:val="24"/>
          <w:lang w:val="lv-LV"/>
        </w:rPr>
        <w:t>spriedumu</w:t>
      </w:r>
      <w:r w:rsidRPr="002127C3">
        <w:rPr>
          <w:rFonts w:cs="Times New Roman"/>
          <w:szCs w:val="24"/>
          <w:lang w:val="lv-LV"/>
        </w:rPr>
        <w:t xml:space="preserve"> </w:t>
      </w:r>
      <w:r w:rsidR="00032D27" w:rsidRPr="002127C3">
        <w:rPr>
          <w:rFonts w:cs="Times New Roman"/>
          <w:szCs w:val="24"/>
          <w:lang w:val="lt-LT"/>
        </w:rPr>
        <w:t xml:space="preserve">[pers. A] </w:t>
      </w:r>
      <w:r w:rsidRPr="002127C3">
        <w:rPr>
          <w:rFonts w:cs="Times New Roman"/>
          <w:szCs w:val="24"/>
          <w:lang w:val="lt-LT"/>
        </w:rPr>
        <w:t>prasībā</w:t>
      </w:r>
      <w:r w:rsidRPr="002127C3">
        <w:rPr>
          <w:rFonts w:cs="Times New Roman"/>
          <w:szCs w:val="24"/>
          <w:lang w:val="lv-LV"/>
        </w:rPr>
        <w:t xml:space="preserve"> pret valsts AS</w:t>
      </w:r>
      <w:r w:rsidR="00032D27" w:rsidRPr="002127C3">
        <w:rPr>
          <w:rFonts w:cs="Times New Roman"/>
          <w:szCs w:val="24"/>
          <w:lang w:val="lv-LV"/>
        </w:rPr>
        <w:t> </w:t>
      </w:r>
      <w:r w:rsidRPr="002127C3">
        <w:rPr>
          <w:rFonts w:cs="Times New Roman"/>
          <w:szCs w:val="24"/>
          <w:lang w:val="lv-LV"/>
        </w:rPr>
        <w:t>„Latvijas</w:t>
      </w:r>
      <w:r w:rsidR="00032D27" w:rsidRPr="002127C3">
        <w:rPr>
          <w:rFonts w:cs="Times New Roman"/>
          <w:szCs w:val="24"/>
          <w:lang w:val="lv-LV"/>
        </w:rPr>
        <w:t xml:space="preserve"> </w:t>
      </w:r>
      <w:r w:rsidRPr="002127C3">
        <w:rPr>
          <w:rFonts w:cs="Times New Roman"/>
          <w:szCs w:val="24"/>
          <w:lang w:val="lv-LV"/>
        </w:rPr>
        <w:t>Vēstnesis”, AS</w:t>
      </w:r>
      <w:r w:rsidR="00032D27" w:rsidRPr="002127C3">
        <w:rPr>
          <w:rFonts w:cs="Times New Roman"/>
          <w:szCs w:val="24"/>
          <w:lang w:val="lv-LV"/>
        </w:rPr>
        <w:t> </w:t>
      </w:r>
      <w:r w:rsidRPr="002127C3">
        <w:rPr>
          <w:rFonts w:cs="Times New Roman"/>
          <w:szCs w:val="24"/>
          <w:lang w:val="lv-LV"/>
        </w:rPr>
        <w:t xml:space="preserve"> „Delfi”, SIA</w:t>
      </w:r>
      <w:r w:rsidR="00032D27" w:rsidRPr="002127C3">
        <w:rPr>
          <w:rFonts w:cs="Times New Roman"/>
          <w:szCs w:val="24"/>
          <w:lang w:val="lv-LV"/>
        </w:rPr>
        <w:t> </w:t>
      </w:r>
      <w:r w:rsidRPr="002127C3">
        <w:rPr>
          <w:rFonts w:cs="Times New Roman"/>
          <w:szCs w:val="24"/>
          <w:lang w:val="lv-LV"/>
        </w:rPr>
        <w:t>„Izdevniecība Rīgas Viļņi”,</w:t>
      </w:r>
      <w:r w:rsidR="00032D27" w:rsidRPr="002127C3">
        <w:rPr>
          <w:rFonts w:cs="Times New Roman"/>
          <w:szCs w:val="24"/>
          <w:lang w:val="lv-LV"/>
        </w:rPr>
        <w:t xml:space="preserve"> </w:t>
      </w:r>
      <w:r w:rsidRPr="002127C3">
        <w:rPr>
          <w:rFonts w:cs="Times New Roman"/>
          <w:szCs w:val="24"/>
          <w:lang w:val="lv-LV"/>
        </w:rPr>
        <w:t>valsts SIA</w:t>
      </w:r>
      <w:r w:rsidR="00032D27" w:rsidRPr="002127C3">
        <w:rPr>
          <w:rFonts w:cs="Times New Roman"/>
          <w:szCs w:val="24"/>
          <w:lang w:val="lv-LV"/>
        </w:rPr>
        <w:t> </w:t>
      </w:r>
      <w:r w:rsidRPr="002127C3">
        <w:rPr>
          <w:rFonts w:cs="Times New Roman"/>
          <w:szCs w:val="24"/>
          <w:lang w:val="lv-LV"/>
        </w:rPr>
        <w:t>„Latvijas Sabiedriskais medijs”,</w:t>
      </w:r>
      <w:r w:rsidR="00B25A87" w:rsidRPr="002127C3">
        <w:rPr>
          <w:rFonts w:cs="Times New Roman"/>
          <w:szCs w:val="24"/>
          <w:lang w:val="lv-LV"/>
        </w:rPr>
        <w:t> </w:t>
      </w:r>
      <w:r w:rsidRPr="002127C3">
        <w:rPr>
          <w:rFonts w:cs="Times New Roman"/>
          <w:szCs w:val="24"/>
          <w:lang w:val="lv-LV"/>
        </w:rPr>
        <w:t>SIA</w:t>
      </w:r>
      <w:r w:rsidR="00032D27" w:rsidRPr="002127C3">
        <w:rPr>
          <w:rFonts w:cs="Times New Roman"/>
          <w:szCs w:val="24"/>
          <w:lang w:val="lv-LV"/>
        </w:rPr>
        <w:t> </w:t>
      </w:r>
      <w:r w:rsidRPr="002127C3">
        <w:rPr>
          <w:rFonts w:cs="Times New Roman"/>
          <w:szCs w:val="24"/>
          <w:lang w:val="lv-LV"/>
        </w:rPr>
        <w:t>„TVNET Grupa” un SIA „LETA” par morālā kaitējuma atlīdzības piedziņu.</w:t>
      </w:r>
    </w:p>
    <w:p w14:paraId="5A8E59D7" w14:textId="77777777" w:rsidR="00237AA1" w:rsidRPr="002127C3" w:rsidRDefault="00237AA1" w:rsidP="002127C3">
      <w:pPr>
        <w:pStyle w:val="Style2"/>
        <w:rPr>
          <w:rFonts w:cs="Times New Roman"/>
          <w:b/>
          <w:bCs/>
        </w:rPr>
      </w:pPr>
    </w:p>
    <w:p w14:paraId="598A07AE" w14:textId="16807ED4" w:rsidR="00CB6C0D" w:rsidRPr="002127C3" w:rsidRDefault="00900FE6" w:rsidP="002127C3">
      <w:pPr>
        <w:pStyle w:val="Style2"/>
        <w:jc w:val="center"/>
        <w:rPr>
          <w:rFonts w:cs="Times New Roman"/>
          <w:b/>
          <w:bCs/>
        </w:rPr>
      </w:pPr>
      <w:r w:rsidRPr="002127C3">
        <w:rPr>
          <w:rFonts w:cs="Times New Roman"/>
          <w:b/>
          <w:bCs/>
        </w:rPr>
        <w:t>Aprakstošā daļa</w:t>
      </w:r>
    </w:p>
    <w:p w14:paraId="13F3A9D2" w14:textId="77777777" w:rsidR="00E93C45" w:rsidRPr="002127C3" w:rsidRDefault="00E93C45" w:rsidP="002127C3">
      <w:pPr>
        <w:pStyle w:val="Style2"/>
        <w:jc w:val="center"/>
        <w:rPr>
          <w:rFonts w:cs="Times New Roman"/>
          <w:b/>
          <w:bCs/>
        </w:rPr>
      </w:pPr>
    </w:p>
    <w:p w14:paraId="0AA1FEAD" w14:textId="3BD92548" w:rsidR="00E54C13" w:rsidRPr="002127C3" w:rsidRDefault="00900FE6" w:rsidP="002127C3">
      <w:pPr>
        <w:pStyle w:val="Style2"/>
        <w:rPr>
          <w:rFonts w:cs="Times New Roman"/>
        </w:rPr>
      </w:pPr>
      <w:r w:rsidRPr="002127C3">
        <w:rPr>
          <w:rFonts w:cs="Times New Roman"/>
          <w:lang w:val="lv-LV"/>
        </w:rPr>
        <w:tab/>
        <w:t>[1]</w:t>
      </w:r>
      <w:r w:rsidR="00CE7A19" w:rsidRPr="002127C3">
        <w:rPr>
          <w:rFonts w:cs="Times New Roman"/>
          <w:lang w:val="lv-LV"/>
        </w:rPr>
        <w:t> </w:t>
      </w:r>
      <w:r w:rsidR="00EC076A" w:rsidRPr="002127C3">
        <w:rPr>
          <w:rFonts w:cs="Times New Roman"/>
          <w:lang w:val="lv-LV"/>
        </w:rPr>
        <w:t xml:space="preserve">Ar </w:t>
      </w:r>
      <w:r w:rsidR="00EC076A" w:rsidRPr="002127C3">
        <w:rPr>
          <w:rFonts w:cs="Times New Roman"/>
        </w:rPr>
        <w:t>Rīgas apgabaltiesas 202</w:t>
      </w:r>
      <w:r w:rsidR="00E54C13" w:rsidRPr="002127C3">
        <w:rPr>
          <w:rFonts w:cs="Times New Roman"/>
        </w:rPr>
        <w:t>5</w:t>
      </w:r>
      <w:r w:rsidR="00EC076A" w:rsidRPr="002127C3">
        <w:rPr>
          <w:rFonts w:cs="Times New Roman"/>
        </w:rPr>
        <w:t xml:space="preserve">. gada </w:t>
      </w:r>
      <w:r w:rsidR="00E54C13" w:rsidRPr="002127C3">
        <w:rPr>
          <w:rFonts w:cs="Times New Roman"/>
        </w:rPr>
        <w:t>30</w:t>
      </w:r>
      <w:r w:rsidR="00EC076A" w:rsidRPr="002127C3">
        <w:rPr>
          <w:rFonts w:cs="Times New Roman"/>
        </w:rPr>
        <w:t>.</w:t>
      </w:r>
      <w:r w:rsidR="00032D27" w:rsidRPr="002127C3">
        <w:rPr>
          <w:rFonts w:cs="Times New Roman"/>
        </w:rPr>
        <w:t> </w:t>
      </w:r>
      <w:r w:rsidR="00EC076A" w:rsidRPr="002127C3">
        <w:rPr>
          <w:rFonts w:cs="Times New Roman"/>
        </w:rPr>
        <w:t xml:space="preserve">maija spriedumu </w:t>
      </w:r>
      <w:r w:rsidR="006F72F5" w:rsidRPr="002127C3">
        <w:rPr>
          <w:rFonts w:cs="Times New Roman"/>
        </w:rPr>
        <w:t xml:space="preserve">noraidīta </w:t>
      </w:r>
      <w:r w:rsidR="00032D27" w:rsidRPr="002127C3">
        <w:rPr>
          <w:rFonts w:cs="Times New Roman"/>
        </w:rPr>
        <w:t xml:space="preserve">[pers. A] </w:t>
      </w:r>
      <w:r w:rsidR="00E54C13" w:rsidRPr="002127C3">
        <w:rPr>
          <w:rFonts w:cs="Times New Roman"/>
        </w:rPr>
        <w:t>prasība par morālā kaitējuma atlīdzības piedziņu</w:t>
      </w:r>
      <w:r w:rsidR="008933D6" w:rsidRPr="002127C3">
        <w:rPr>
          <w:rFonts w:cs="Times New Roman"/>
        </w:rPr>
        <w:t>;</w:t>
      </w:r>
      <w:r w:rsidR="009D1497" w:rsidRPr="002127C3">
        <w:rPr>
          <w:rFonts w:cs="Times New Roman"/>
        </w:rPr>
        <w:t xml:space="preserve"> </w:t>
      </w:r>
      <w:r w:rsidR="008933D6" w:rsidRPr="002127C3">
        <w:rPr>
          <w:rFonts w:cs="Times New Roman"/>
        </w:rPr>
        <w:t>p</w:t>
      </w:r>
      <w:r w:rsidR="00E54C13" w:rsidRPr="002127C3">
        <w:rPr>
          <w:rFonts w:cs="Times New Roman"/>
        </w:rPr>
        <w:t xml:space="preserve">iedzīti no </w:t>
      </w:r>
      <w:r w:rsidR="00032D27" w:rsidRPr="002127C3">
        <w:rPr>
          <w:rFonts w:cs="Times New Roman"/>
        </w:rPr>
        <w:t xml:space="preserve">[pers. A] </w:t>
      </w:r>
      <w:r w:rsidR="00E54C13" w:rsidRPr="002127C3">
        <w:rPr>
          <w:rFonts w:cs="Times New Roman"/>
        </w:rPr>
        <w:t>SIA „LETA”,</w:t>
      </w:r>
      <w:r w:rsidR="009D1497" w:rsidRPr="002127C3">
        <w:rPr>
          <w:rFonts w:cs="Times New Roman"/>
        </w:rPr>
        <w:t xml:space="preserve"> </w:t>
      </w:r>
      <w:r w:rsidR="00E54C13" w:rsidRPr="002127C3">
        <w:rPr>
          <w:rFonts w:cs="Times New Roman"/>
        </w:rPr>
        <w:t>SIA</w:t>
      </w:r>
      <w:r w:rsidR="00032D27" w:rsidRPr="002127C3">
        <w:rPr>
          <w:rFonts w:cs="Times New Roman"/>
        </w:rPr>
        <w:t> </w:t>
      </w:r>
      <w:r w:rsidR="00E54C13" w:rsidRPr="002127C3">
        <w:rPr>
          <w:rFonts w:cs="Times New Roman"/>
        </w:rPr>
        <w:t>„TVNET Grupa”, SIA</w:t>
      </w:r>
      <w:r w:rsidR="00C72BF6" w:rsidRPr="002127C3">
        <w:rPr>
          <w:rFonts w:cs="Times New Roman"/>
        </w:rPr>
        <w:t> </w:t>
      </w:r>
      <w:r w:rsidR="00E54C13" w:rsidRPr="002127C3">
        <w:rPr>
          <w:rFonts w:cs="Times New Roman"/>
        </w:rPr>
        <w:t>„Izdevniecība Rīgas Viļņi”</w:t>
      </w:r>
      <w:r w:rsidR="009D1497" w:rsidRPr="002127C3">
        <w:rPr>
          <w:rFonts w:cs="Times New Roman"/>
        </w:rPr>
        <w:t xml:space="preserve"> </w:t>
      </w:r>
      <w:r w:rsidR="00E54C13" w:rsidRPr="002127C3">
        <w:rPr>
          <w:rFonts w:cs="Times New Roman"/>
        </w:rPr>
        <w:t>un valsts</w:t>
      </w:r>
      <w:r w:rsidR="00032D27" w:rsidRPr="002127C3">
        <w:rPr>
          <w:rFonts w:cs="Times New Roman"/>
        </w:rPr>
        <w:t xml:space="preserve"> </w:t>
      </w:r>
      <w:r w:rsidR="00E54C13" w:rsidRPr="002127C3">
        <w:rPr>
          <w:rFonts w:cs="Times New Roman"/>
        </w:rPr>
        <w:t xml:space="preserve">SIA „Latvijas Sabiedriskais medijs” </w:t>
      </w:r>
      <w:r w:rsidR="009D1497" w:rsidRPr="002127C3">
        <w:rPr>
          <w:rFonts w:cs="Times New Roman"/>
        </w:rPr>
        <w:t xml:space="preserve">labā </w:t>
      </w:r>
      <w:r w:rsidR="00E54C13" w:rsidRPr="002127C3">
        <w:rPr>
          <w:rFonts w:cs="Times New Roman"/>
          <w:lang w:val="lv-LV"/>
        </w:rPr>
        <w:t xml:space="preserve">ar lietas vešanu saistītie izdevumi advokāta palīdzības samaksai 504 </w:t>
      </w:r>
      <w:proofErr w:type="spellStart"/>
      <w:r w:rsidR="00E54C13" w:rsidRPr="002127C3">
        <w:rPr>
          <w:rFonts w:cs="Times New Roman"/>
          <w:i/>
          <w:iCs/>
          <w:lang w:val="lv-LV"/>
        </w:rPr>
        <w:t>euro</w:t>
      </w:r>
      <w:proofErr w:type="spellEnd"/>
      <w:r w:rsidR="00CF623E" w:rsidRPr="002127C3">
        <w:rPr>
          <w:rFonts w:cs="Times New Roman"/>
          <w:lang w:val="lv-LV"/>
        </w:rPr>
        <w:t xml:space="preserve"> katrai</w:t>
      </w:r>
      <w:r w:rsidR="00E54C13" w:rsidRPr="002127C3">
        <w:rPr>
          <w:rFonts w:cs="Times New Roman"/>
          <w:lang w:val="lv-LV"/>
        </w:rPr>
        <w:t>.</w:t>
      </w:r>
    </w:p>
    <w:p w14:paraId="1672EE8E" w14:textId="77777777" w:rsidR="00A91968" w:rsidRPr="002127C3" w:rsidRDefault="00A91968" w:rsidP="002127C3">
      <w:pPr>
        <w:pStyle w:val="NoSpacing"/>
        <w:spacing w:line="276" w:lineRule="auto"/>
        <w:rPr>
          <w:rFonts w:cs="Times New Roman"/>
          <w:szCs w:val="24"/>
          <w:lang w:val="lt-LT"/>
        </w:rPr>
      </w:pPr>
    </w:p>
    <w:p w14:paraId="5C091809" w14:textId="61C4F991" w:rsidR="00900FE6" w:rsidRPr="002127C3" w:rsidRDefault="00092B86" w:rsidP="002127C3">
      <w:pPr>
        <w:pStyle w:val="Style2"/>
        <w:ind w:firstLine="720"/>
        <w:rPr>
          <w:rFonts w:cs="Times New Roman"/>
        </w:rPr>
      </w:pPr>
      <w:r w:rsidRPr="002127C3">
        <w:rPr>
          <w:rFonts w:cs="Times New Roman"/>
          <w:lang w:val="lv-LV"/>
        </w:rPr>
        <w:t>[2]</w:t>
      </w:r>
      <w:r w:rsidR="00CF623E" w:rsidRPr="002127C3">
        <w:rPr>
          <w:rFonts w:cs="Times New Roman"/>
          <w:lang w:val="lv-LV"/>
        </w:rPr>
        <w:t> </w:t>
      </w:r>
      <w:r w:rsidR="00C72BF6" w:rsidRPr="002127C3">
        <w:rPr>
          <w:rFonts w:cs="Times New Roman"/>
          <w:lang w:val="lv-LV"/>
        </w:rPr>
        <w:t xml:space="preserve">Kasācijas sūdzību par </w:t>
      </w:r>
      <w:r w:rsidR="00C72BF6" w:rsidRPr="002127C3">
        <w:rPr>
          <w:rFonts w:cs="Times New Roman"/>
        </w:rPr>
        <w:t>Rīgas apgabaltiesas 2025. gada 30.</w:t>
      </w:r>
      <w:r w:rsidR="00CF623E" w:rsidRPr="002127C3">
        <w:rPr>
          <w:rFonts w:cs="Times New Roman"/>
        </w:rPr>
        <w:t> </w:t>
      </w:r>
      <w:r w:rsidR="00C72BF6" w:rsidRPr="002127C3">
        <w:rPr>
          <w:rFonts w:cs="Times New Roman"/>
        </w:rPr>
        <w:t xml:space="preserve">maija </w:t>
      </w:r>
      <w:r w:rsidR="00C72BF6" w:rsidRPr="002127C3">
        <w:rPr>
          <w:rFonts w:cs="Times New Roman"/>
          <w:lang w:val="lv-LV"/>
        </w:rPr>
        <w:t>spriedumu iesniedz</w:t>
      </w:r>
      <w:r w:rsidR="00D964D2" w:rsidRPr="002127C3">
        <w:rPr>
          <w:rFonts w:cs="Times New Roman"/>
          <w:lang w:val="lv-LV"/>
        </w:rPr>
        <w:t>is</w:t>
      </w:r>
      <w:r w:rsidR="00C72BF6" w:rsidRPr="002127C3">
        <w:rPr>
          <w:rFonts w:cs="Times New Roman"/>
          <w:lang w:val="lv-LV"/>
        </w:rPr>
        <w:t xml:space="preserve"> prasītājs </w:t>
      </w:r>
      <w:r w:rsidR="00032D27" w:rsidRPr="002127C3">
        <w:rPr>
          <w:rFonts w:cs="Times New Roman"/>
        </w:rPr>
        <w:t>[pers. A]</w:t>
      </w:r>
      <w:r w:rsidR="00C06484" w:rsidRPr="002127C3">
        <w:rPr>
          <w:rFonts w:cs="Times New Roman"/>
        </w:rPr>
        <w:t>, pārsūdzot to</w:t>
      </w:r>
      <w:r w:rsidR="001E7A6C" w:rsidRPr="002127C3">
        <w:rPr>
          <w:rFonts w:cs="Times New Roman"/>
        </w:rPr>
        <w:t xml:space="preserve"> pilnā apjomā</w:t>
      </w:r>
      <w:r w:rsidR="00C06484" w:rsidRPr="002127C3">
        <w:rPr>
          <w:rFonts w:cs="Times New Roman"/>
          <w:lang w:val="lv-LV"/>
        </w:rPr>
        <w:t>.</w:t>
      </w:r>
    </w:p>
    <w:p w14:paraId="2D67F4E5" w14:textId="77777777" w:rsidR="00C06484" w:rsidRPr="002127C3" w:rsidRDefault="00C06484" w:rsidP="002127C3">
      <w:pPr>
        <w:pStyle w:val="NoSpacing"/>
        <w:spacing w:line="276" w:lineRule="auto"/>
        <w:rPr>
          <w:rFonts w:cs="Times New Roman"/>
          <w:szCs w:val="24"/>
          <w:lang w:val="lt-LT"/>
        </w:rPr>
      </w:pPr>
    </w:p>
    <w:p w14:paraId="2C66BEEF" w14:textId="0B7489EE" w:rsidR="00E54C13" w:rsidRPr="002127C3" w:rsidRDefault="00C06484" w:rsidP="002127C3">
      <w:pPr>
        <w:pStyle w:val="Style2"/>
        <w:ind w:firstLine="720"/>
        <w:rPr>
          <w:rFonts w:cs="Times New Roman"/>
          <w:bCs/>
        </w:rPr>
      </w:pPr>
      <w:r w:rsidRPr="002127C3">
        <w:rPr>
          <w:rFonts w:cs="Times New Roman"/>
          <w:lang w:val="lv-LV"/>
        </w:rPr>
        <w:t>[3] </w:t>
      </w:r>
      <w:r w:rsidR="00C72BF6" w:rsidRPr="002127C3">
        <w:rPr>
          <w:rFonts w:cs="Times New Roman"/>
          <w:lang w:val="lv-LV"/>
        </w:rPr>
        <w:t>Kasācijas sūdzību par spriedumu</w:t>
      </w:r>
      <w:r w:rsidRPr="002127C3">
        <w:rPr>
          <w:rFonts w:cs="Times New Roman"/>
          <w:lang w:val="lv-LV"/>
        </w:rPr>
        <w:t xml:space="preserve"> </w:t>
      </w:r>
      <w:r w:rsidRPr="002127C3">
        <w:rPr>
          <w:rFonts w:cs="Times New Roman"/>
        </w:rPr>
        <w:t>iesniegušas</w:t>
      </w:r>
      <w:r w:rsidRPr="002127C3">
        <w:rPr>
          <w:rFonts w:cs="Times New Roman"/>
          <w:lang w:val="lv-LV"/>
        </w:rPr>
        <w:t xml:space="preserve"> arī atbildētājas </w:t>
      </w:r>
      <w:r w:rsidRPr="002127C3">
        <w:rPr>
          <w:rFonts w:cs="Times New Roman"/>
        </w:rPr>
        <w:t>SIA „TVNET Grupa”, SIA</w:t>
      </w:r>
      <w:r w:rsidR="00032D27" w:rsidRPr="002127C3">
        <w:rPr>
          <w:rFonts w:cs="Times New Roman"/>
        </w:rPr>
        <w:t> </w:t>
      </w:r>
      <w:r w:rsidRPr="002127C3">
        <w:rPr>
          <w:rFonts w:cs="Times New Roman"/>
        </w:rPr>
        <w:t xml:space="preserve">„LETA”, SIA  „Izdevniecība Rīgas Viļņi” un valsts  SIA „Latvijas Sabiedriskais medijs”; kasācijas sūdzībai pievienojusies atbildētāja </w:t>
      </w:r>
      <w:r w:rsidRPr="002127C3">
        <w:rPr>
          <w:rFonts w:cs="Times New Roman"/>
          <w:bCs/>
        </w:rPr>
        <w:t>valsts AS</w:t>
      </w:r>
      <w:r w:rsidR="00032D27" w:rsidRPr="002127C3">
        <w:rPr>
          <w:rFonts w:cs="Times New Roman"/>
          <w:bCs/>
        </w:rPr>
        <w:t> </w:t>
      </w:r>
      <w:r w:rsidRPr="002127C3">
        <w:rPr>
          <w:rFonts w:cs="Times New Roman"/>
          <w:bCs/>
        </w:rPr>
        <w:t>„Latvijas Vēstnesis”.</w:t>
      </w:r>
      <w:r w:rsidR="00805A17" w:rsidRPr="002127C3">
        <w:rPr>
          <w:rFonts w:cs="Times New Roman"/>
          <w:lang w:val="lv-LV"/>
        </w:rPr>
        <w:t xml:space="preserve"> </w:t>
      </w:r>
      <w:r w:rsidRPr="002127C3">
        <w:rPr>
          <w:rFonts w:cs="Times New Roman"/>
          <w:lang w:val="lv-LV"/>
        </w:rPr>
        <w:t>Sūdzībā norādīts, ka spriedums tiek pārsūdzēt</w:t>
      </w:r>
      <w:r w:rsidR="00811649" w:rsidRPr="002127C3">
        <w:rPr>
          <w:rFonts w:cs="Times New Roman"/>
          <w:lang w:val="lv-LV"/>
        </w:rPr>
        <w:t>s</w:t>
      </w:r>
      <w:r w:rsidRPr="002127C3">
        <w:rPr>
          <w:rFonts w:cs="Times New Roman"/>
          <w:lang w:val="lv-LV"/>
        </w:rPr>
        <w:t xml:space="preserve"> daļā, ar kuru apelācijas instances tiesa konstatēj</w:t>
      </w:r>
      <w:r w:rsidR="00192E5F" w:rsidRPr="002127C3">
        <w:rPr>
          <w:rFonts w:cs="Times New Roman"/>
          <w:lang w:val="lv-LV"/>
        </w:rPr>
        <w:t>usi</w:t>
      </w:r>
      <w:r w:rsidRPr="002127C3">
        <w:rPr>
          <w:rFonts w:cs="Times New Roman"/>
          <w:lang w:val="lv-LV"/>
        </w:rPr>
        <w:t xml:space="preserve"> </w:t>
      </w:r>
      <w:r w:rsidR="00805A17" w:rsidRPr="002127C3">
        <w:rPr>
          <w:rFonts w:cs="Times New Roman"/>
          <w:lang w:val="lv-LV"/>
        </w:rPr>
        <w:t xml:space="preserve">atbildētāju pieļautu </w:t>
      </w:r>
      <w:r w:rsidR="00805A17" w:rsidRPr="002127C3">
        <w:rPr>
          <w:rFonts w:cs="Times New Roman"/>
          <w:bCs/>
          <w:lang w:val="lv-LV"/>
        </w:rPr>
        <w:t>prasītāja</w:t>
      </w:r>
      <w:r w:rsidR="00C72BF6" w:rsidRPr="002127C3">
        <w:rPr>
          <w:rFonts w:cs="Times New Roman"/>
          <w:bCs/>
        </w:rPr>
        <w:t xml:space="preserve"> </w:t>
      </w:r>
      <w:r w:rsidR="00805A17" w:rsidRPr="002127C3">
        <w:rPr>
          <w:rFonts w:cs="Times New Roman"/>
          <w:bCs/>
        </w:rPr>
        <w:t xml:space="preserve">personas </w:t>
      </w:r>
      <w:r w:rsidR="00C72BF6" w:rsidRPr="002127C3">
        <w:rPr>
          <w:rFonts w:cs="Times New Roman"/>
          <w:bCs/>
        </w:rPr>
        <w:t>datu apstrādes pārkāpum</w:t>
      </w:r>
      <w:r w:rsidR="00805A17" w:rsidRPr="002127C3">
        <w:rPr>
          <w:rFonts w:cs="Times New Roman"/>
          <w:bCs/>
        </w:rPr>
        <w:t>u</w:t>
      </w:r>
      <w:r w:rsidRPr="002127C3">
        <w:rPr>
          <w:rFonts w:cs="Times New Roman"/>
          <w:bCs/>
        </w:rPr>
        <w:t>.</w:t>
      </w:r>
    </w:p>
    <w:p w14:paraId="03C25CD3" w14:textId="77777777" w:rsidR="001E7A6C" w:rsidRPr="002127C3" w:rsidRDefault="001E7A6C" w:rsidP="002127C3">
      <w:pPr>
        <w:pStyle w:val="Style2"/>
        <w:ind w:firstLine="720"/>
        <w:rPr>
          <w:rFonts w:cs="Times New Roman"/>
          <w:bCs/>
        </w:rPr>
      </w:pPr>
    </w:p>
    <w:p w14:paraId="1184CAE4" w14:textId="77777777" w:rsidR="00DD4325" w:rsidRPr="002127C3" w:rsidRDefault="00DD4325" w:rsidP="002127C3">
      <w:pPr>
        <w:pStyle w:val="Style2"/>
        <w:rPr>
          <w:rFonts w:cs="Times New Roman"/>
          <w:bCs/>
        </w:rPr>
      </w:pPr>
    </w:p>
    <w:p w14:paraId="2E201B55" w14:textId="3590DCB7" w:rsidR="00900FE6" w:rsidRPr="002127C3" w:rsidRDefault="00900FE6" w:rsidP="002127C3">
      <w:pPr>
        <w:pStyle w:val="Style2"/>
        <w:jc w:val="center"/>
        <w:rPr>
          <w:rFonts w:cs="Times New Roman"/>
          <w:b/>
          <w:bCs/>
        </w:rPr>
      </w:pPr>
      <w:r w:rsidRPr="002127C3">
        <w:rPr>
          <w:rFonts w:cs="Times New Roman"/>
          <w:b/>
          <w:bCs/>
        </w:rPr>
        <w:t>Motīvu daļa</w:t>
      </w:r>
    </w:p>
    <w:p w14:paraId="66D4871E" w14:textId="77777777" w:rsidR="00CE7A19" w:rsidRPr="002127C3" w:rsidRDefault="00CE7A19" w:rsidP="002127C3">
      <w:pPr>
        <w:pStyle w:val="NoSpacing"/>
        <w:spacing w:line="276" w:lineRule="auto"/>
        <w:ind w:firstLine="709"/>
        <w:jc w:val="both"/>
        <w:rPr>
          <w:rFonts w:cs="Times New Roman"/>
          <w:szCs w:val="24"/>
          <w:lang w:val="lt-LT"/>
        </w:rPr>
      </w:pPr>
    </w:p>
    <w:p w14:paraId="3026A759" w14:textId="0F4D3DA6" w:rsidR="00CE7A19" w:rsidRPr="002127C3" w:rsidRDefault="00CE7A19" w:rsidP="002127C3">
      <w:pPr>
        <w:pStyle w:val="NoSpacing"/>
        <w:spacing w:line="276" w:lineRule="auto"/>
        <w:ind w:firstLine="709"/>
        <w:jc w:val="both"/>
        <w:rPr>
          <w:rFonts w:cs="Times New Roman"/>
          <w:szCs w:val="24"/>
          <w:lang w:val="lt-LT"/>
        </w:rPr>
      </w:pPr>
      <w:r w:rsidRPr="002127C3">
        <w:rPr>
          <w:rFonts w:cs="Times New Roman"/>
          <w:szCs w:val="24"/>
          <w:lang w:val="lt-LT"/>
        </w:rPr>
        <w:t>[</w:t>
      </w:r>
      <w:r w:rsidR="004B40C2" w:rsidRPr="002127C3">
        <w:rPr>
          <w:rFonts w:cs="Times New Roman"/>
          <w:szCs w:val="24"/>
          <w:lang w:val="lt-LT"/>
        </w:rPr>
        <w:t>4</w:t>
      </w:r>
      <w:r w:rsidRPr="002127C3">
        <w:rPr>
          <w:rFonts w:cs="Times New Roman"/>
          <w:szCs w:val="24"/>
          <w:lang w:val="lt-LT"/>
        </w:rPr>
        <w:t xml:space="preserve">] Senatoru kolēģija atzīst, ka ir ierosināma kasācijas tiesvedība sakarā ar </w:t>
      </w:r>
      <w:r w:rsidR="0057069D" w:rsidRPr="002127C3">
        <w:rPr>
          <w:rFonts w:cs="Times New Roman"/>
          <w:szCs w:val="24"/>
          <w:lang w:val="lt-LT"/>
        </w:rPr>
        <w:t xml:space="preserve">prasītāja </w:t>
      </w:r>
      <w:r w:rsidR="00032D27" w:rsidRPr="002127C3">
        <w:rPr>
          <w:rFonts w:cs="Times New Roman"/>
          <w:szCs w:val="24"/>
          <w:lang w:val="lt-LT"/>
        </w:rPr>
        <w:t xml:space="preserve">[pers. A] </w:t>
      </w:r>
      <w:r w:rsidR="003521BD" w:rsidRPr="002127C3">
        <w:rPr>
          <w:rFonts w:cs="Times New Roman"/>
          <w:szCs w:val="24"/>
          <w:lang w:val="lv-LV"/>
        </w:rPr>
        <w:t xml:space="preserve">iesniegto </w:t>
      </w:r>
      <w:r w:rsidRPr="002127C3">
        <w:rPr>
          <w:rFonts w:cs="Times New Roman"/>
          <w:szCs w:val="24"/>
          <w:lang w:val="lv-LV"/>
        </w:rPr>
        <w:t xml:space="preserve">kasācijas sūdzību par Rīgas apgabaltiesas </w:t>
      </w:r>
      <w:r w:rsidR="00DE3CEE" w:rsidRPr="002127C3">
        <w:rPr>
          <w:rFonts w:cs="Times New Roman"/>
          <w:szCs w:val="24"/>
          <w:lang w:val="lt-LT"/>
        </w:rPr>
        <w:t>202</w:t>
      </w:r>
      <w:r w:rsidR="00501B6A" w:rsidRPr="002127C3">
        <w:rPr>
          <w:rFonts w:cs="Times New Roman"/>
          <w:szCs w:val="24"/>
          <w:lang w:val="lt-LT"/>
        </w:rPr>
        <w:t>5</w:t>
      </w:r>
      <w:r w:rsidR="00DE3CEE" w:rsidRPr="002127C3">
        <w:rPr>
          <w:rFonts w:cs="Times New Roman"/>
          <w:szCs w:val="24"/>
          <w:lang w:val="lt-LT"/>
        </w:rPr>
        <w:t xml:space="preserve">. gada </w:t>
      </w:r>
      <w:r w:rsidR="00501B6A" w:rsidRPr="002127C3">
        <w:rPr>
          <w:rFonts w:cs="Times New Roman"/>
          <w:szCs w:val="24"/>
          <w:lang w:val="lt-LT"/>
        </w:rPr>
        <w:t>30</w:t>
      </w:r>
      <w:r w:rsidR="00DE3CEE" w:rsidRPr="002127C3">
        <w:rPr>
          <w:rFonts w:cs="Times New Roman"/>
          <w:szCs w:val="24"/>
          <w:lang w:val="lt-LT"/>
        </w:rPr>
        <w:t>.</w:t>
      </w:r>
      <w:r w:rsidR="000610BE" w:rsidRPr="002127C3">
        <w:rPr>
          <w:rFonts w:cs="Times New Roman"/>
          <w:szCs w:val="24"/>
          <w:lang w:val="lt-LT"/>
        </w:rPr>
        <w:t> </w:t>
      </w:r>
      <w:r w:rsidR="00DE3CEE" w:rsidRPr="002127C3">
        <w:rPr>
          <w:rFonts w:cs="Times New Roman"/>
          <w:szCs w:val="24"/>
          <w:lang w:val="lt-LT"/>
        </w:rPr>
        <w:t>maija</w:t>
      </w:r>
      <w:r w:rsidR="00DE3CEE" w:rsidRPr="002127C3">
        <w:rPr>
          <w:rFonts w:cs="Times New Roman"/>
          <w:szCs w:val="24"/>
          <w:lang w:val="lv-LV"/>
        </w:rPr>
        <w:t xml:space="preserve"> </w:t>
      </w:r>
      <w:r w:rsidRPr="002127C3">
        <w:rPr>
          <w:rFonts w:cs="Times New Roman"/>
          <w:szCs w:val="24"/>
          <w:lang w:val="lv-LV"/>
        </w:rPr>
        <w:t xml:space="preserve">spriedumu daļā </w:t>
      </w:r>
      <w:r w:rsidRPr="002127C3">
        <w:rPr>
          <w:rFonts w:cs="Times New Roman"/>
          <w:szCs w:val="24"/>
          <w:lang w:val="lt-LT"/>
        </w:rPr>
        <w:t>par izdevumu advokāta palīdzības samaksai piedziņu, jo kasācijas sūdzībā ir</w:t>
      </w:r>
      <w:r w:rsidR="00032D27" w:rsidRPr="002127C3">
        <w:rPr>
          <w:rFonts w:cs="Times New Roman"/>
          <w:szCs w:val="24"/>
          <w:lang w:val="lt-LT"/>
        </w:rPr>
        <w:t xml:space="preserve"> </w:t>
      </w:r>
      <w:r w:rsidRPr="002127C3">
        <w:rPr>
          <w:rFonts w:cs="Times New Roman"/>
          <w:szCs w:val="24"/>
          <w:lang w:val="lt-LT"/>
        </w:rPr>
        <w:t>norādīts uz procesuālo tiesību norm</w:t>
      </w:r>
      <w:r w:rsidR="00501B6A" w:rsidRPr="002127C3">
        <w:rPr>
          <w:rFonts w:cs="Times New Roman"/>
          <w:szCs w:val="24"/>
          <w:lang w:val="lt-LT"/>
        </w:rPr>
        <w:t>as</w:t>
      </w:r>
      <w:r w:rsidRPr="002127C3">
        <w:rPr>
          <w:rFonts w:cs="Times New Roman"/>
          <w:szCs w:val="24"/>
          <w:lang w:val="lt-LT"/>
        </w:rPr>
        <w:t xml:space="preserve"> pārkāpumu, paskaidrojot, kā tas ietekmējis lietas izpriešanu minētajā jautājumā. Līdz ar to kasācijas</w:t>
      </w:r>
      <w:r w:rsidR="00032D27" w:rsidRPr="002127C3">
        <w:rPr>
          <w:rFonts w:cs="Times New Roman"/>
          <w:szCs w:val="24"/>
          <w:lang w:val="lt-LT"/>
        </w:rPr>
        <w:t xml:space="preserve"> </w:t>
      </w:r>
      <w:r w:rsidRPr="002127C3">
        <w:rPr>
          <w:rFonts w:cs="Times New Roman"/>
          <w:szCs w:val="24"/>
          <w:lang w:val="lt-LT"/>
        </w:rPr>
        <w:t>sūdzība šajā daļā atbilst Civilprocesa likuma 453. panta prasībām.</w:t>
      </w:r>
      <w:r w:rsidR="00DE3CEE" w:rsidRPr="002127C3">
        <w:rPr>
          <w:rFonts w:cs="Times New Roman"/>
          <w:szCs w:val="24"/>
          <w:lang w:val="lt-LT"/>
        </w:rPr>
        <w:t xml:space="preserve">   </w:t>
      </w:r>
    </w:p>
    <w:p w14:paraId="3194D3DF" w14:textId="3CECF1FE" w:rsidR="00E93C45" w:rsidRPr="002127C3" w:rsidRDefault="00DE3CEE" w:rsidP="002127C3">
      <w:pPr>
        <w:pStyle w:val="NoSpacing"/>
        <w:spacing w:line="276" w:lineRule="auto"/>
        <w:rPr>
          <w:rFonts w:cs="Times New Roman"/>
          <w:szCs w:val="24"/>
          <w:lang w:val="lt-LT"/>
        </w:rPr>
      </w:pPr>
      <w:r w:rsidRPr="002127C3">
        <w:rPr>
          <w:rFonts w:cs="Times New Roman"/>
          <w:szCs w:val="24"/>
          <w:lang w:val="lt-LT"/>
        </w:rPr>
        <w:t xml:space="preserve"> </w:t>
      </w:r>
    </w:p>
    <w:p w14:paraId="6204FD2E" w14:textId="5FD089F6" w:rsidR="00B25A87" w:rsidRPr="002127C3" w:rsidRDefault="00CB6C0D" w:rsidP="002127C3">
      <w:pPr>
        <w:pStyle w:val="Style2"/>
        <w:ind w:firstLine="720"/>
        <w:rPr>
          <w:rFonts w:cs="Times New Roman"/>
        </w:rPr>
      </w:pPr>
      <w:r w:rsidRPr="002127C3">
        <w:rPr>
          <w:rFonts w:cs="Times New Roman"/>
        </w:rPr>
        <w:t>[</w:t>
      </w:r>
      <w:r w:rsidR="004B40C2" w:rsidRPr="002127C3">
        <w:rPr>
          <w:rFonts w:cs="Times New Roman"/>
        </w:rPr>
        <w:t>5</w:t>
      </w:r>
      <w:r w:rsidRPr="002127C3">
        <w:rPr>
          <w:rFonts w:cs="Times New Roman"/>
        </w:rPr>
        <w:t>]</w:t>
      </w:r>
      <w:r w:rsidR="0096147B" w:rsidRPr="002127C3">
        <w:rPr>
          <w:rFonts w:cs="Times New Roman"/>
        </w:rPr>
        <w:t> </w:t>
      </w:r>
      <w:r w:rsidR="003521BD" w:rsidRPr="002127C3">
        <w:rPr>
          <w:rFonts w:cs="Times New Roman"/>
        </w:rPr>
        <w:t>Vienlaikus atzīst</w:t>
      </w:r>
      <w:r w:rsidR="00092B86" w:rsidRPr="002127C3">
        <w:rPr>
          <w:rFonts w:cs="Times New Roman"/>
        </w:rPr>
        <w:t>ams</w:t>
      </w:r>
      <w:r w:rsidR="003521BD" w:rsidRPr="002127C3">
        <w:rPr>
          <w:rFonts w:cs="Times New Roman"/>
        </w:rPr>
        <w:t>, ka</w:t>
      </w:r>
      <w:r w:rsidR="003521BD" w:rsidRPr="002127C3">
        <w:rPr>
          <w:rStyle w:val="Style1Char"/>
          <w:rFonts w:cs="Times New Roman"/>
        </w:rPr>
        <w:t xml:space="preserve"> pastāv </w:t>
      </w:r>
      <w:r w:rsidR="00A91968" w:rsidRPr="002127C3">
        <w:rPr>
          <w:rFonts w:cs="Times New Roman"/>
          <w:lang w:val="lv-LV"/>
        </w:rPr>
        <w:t>Civilprocesa likuma 464.</w:t>
      </w:r>
      <w:r w:rsidR="00A91968" w:rsidRPr="002127C3">
        <w:rPr>
          <w:rFonts w:cs="Times New Roman"/>
          <w:vertAlign w:val="superscript"/>
          <w:lang w:val="lv-LV"/>
        </w:rPr>
        <w:t>1</w:t>
      </w:r>
      <w:r w:rsidR="00C26F04" w:rsidRPr="002127C3">
        <w:rPr>
          <w:rFonts w:cs="Times New Roman"/>
          <w:vertAlign w:val="superscript"/>
          <w:lang w:val="lv-LV"/>
        </w:rPr>
        <w:t> </w:t>
      </w:r>
      <w:r w:rsidR="00A91968" w:rsidRPr="002127C3">
        <w:rPr>
          <w:rFonts w:cs="Times New Roman"/>
          <w:lang w:val="lv-LV"/>
        </w:rPr>
        <w:t xml:space="preserve">panta otrās daļas 2. punktā norādītais </w:t>
      </w:r>
      <w:r w:rsidR="003521BD" w:rsidRPr="002127C3">
        <w:rPr>
          <w:rStyle w:val="Style1Char"/>
          <w:rFonts w:cs="Times New Roman"/>
        </w:rPr>
        <w:t xml:space="preserve">pamats atteikumam ierosināt kasācijas tiesvedību sakarā ar </w:t>
      </w:r>
      <w:r w:rsidR="00501B6A" w:rsidRPr="002127C3">
        <w:rPr>
          <w:rStyle w:val="Style1Char"/>
          <w:rFonts w:cs="Times New Roman"/>
        </w:rPr>
        <w:t xml:space="preserve">prasītāja </w:t>
      </w:r>
      <w:r w:rsidR="003521BD" w:rsidRPr="002127C3">
        <w:rPr>
          <w:rStyle w:val="Style1Char"/>
          <w:rFonts w:cs="Times New Roman"/>
        </w:rPr>
        <w:t>kasācijas sūdzīb</w:t>
      </w:r>
      <w:r w:rsidR="00530A91" w:rsidRPr="002127C3">
        <w:rPr>
          <w:rStyle w:val="Style1Char"/>
          <w:rFonts w:cs="Times New Roman"/>
        </w:rPr>
        <w:t>u</w:t>
      </w:r>
      <w:r w:rsidR="003521BD" w:rsidRPr="002127C3">
        <w:rPr>
          <w:rStyle w:val="Style1Char"/>
          <w:rFonts w:cs="Times New Roman"/>
        </w:rPr>
        <w:t xml:space="preserve"> </w:t>
      </w:r>
      <w:r w:rsidR="001E7A6C" w:rsidRPr="002127C3">
        <w:rPr>
          <w:rStyle w:val="Style1Char"/>
          <w:rFonts w:cs="Times New Roman"/>
        </w:rPr>
        <w:t xml:space="preserve">par spriedumu </w:t>
      </w:r>
      <w:r w:rsidR="003521BD" w:rsidRPr="002127C3">
        <w:rPr>
          <w:rStyle w:val="Style1Char"/>
          <w:rFonts w:cs="Times New Roman"/>
        </w:rPr>
        <w:t xml:space="preserve">daļā, ar kuru prasība </w:t>
      </w:r>
      <w:r w:rsidR="00501B6A" w:rsidRPr="002127C3">
        <w:rPr>
          <w:rStyle w:val="Style1Char"/>
          <w:rFonts w:cs="Times New Roman"/>
        </w:rPr>
        <w:t>noraidī</w:t>
      </w:r>
      <w:r w:rsidR="001E7A6C" w:rsidRPr="002127C3">
        <w:rPr>
          <w:rStyle w:val="Style1Char"/>
          <w:rFonts w:cs="Times New Roman"/>
        </w:rPr>
        <w:t>ta</w:t>
      </w:r>
      <w:r w:rsidR="003521BD" w:rsidRPr="002127C3">
        <w:rPr>
          <w:rStyle w:val="Style1Char"/>
          <w:rFonts w:cs="Times New Roman"/>
        </w:rPr>
        <w:t>, jo</w:t>
      </w:r>
      <w:r w:rsidR="00092B86" w:rsidRPr="002127C3">
        <w:rPr>
          <w:rStyle w:val="Style1Char"/>
          <w:rFonts w:cs="Times New Roman"/>
        </w:rPr>
        <w:t xml:space="preserve"> </w:t>
      </w:r>
      <w:r w:rsidR="003521BD" w:rsidRPr="002127C3">
        <w:rPr>
          <w:rFonts w:cs="Times New Roman"/>
        </w:rPr>
        <w:t>senatoru kolēģijai nav acīmredzama pamata uzskatīt, ka pārsūdzētajā spriedumā ietvertais lietas iznākums šajā daļā ir nepareizs</w:t>
      </w:r>
      <w:r w:rsidR="002345CE" w:rsidRPr="002127C3">
        <w:rPr>
          <w:rFonts w:cs="Times New Roman"/>
        </w:rPr>
        <w:t>.</w:t>
      </w:r>
    </w:p>
    <w:p w14:paraId="02491CB0" w14:textId="1BAC2078" w:rsidR="0096147B" w:rsidRPr="002127C3" w:rsidRDefault="00530A91" w:rsidP="002127C3">
      <w:pPr>
        <w:pStyle w:val="Style2"/>
        <w:ind w:firstLine="720"/>
        <w:rPr>
          <w:rFonts w:cs="Times New Roman"/>
        </w:rPr>
      </w:pPr>
      <w:r w:rsidRPr="002127C3">
        <w:rPr>
          <w:rFonts w:cs="Times New Roman"/>
        </w:rPr>
        <w:t>S</w:t>
      </w:r>
      <w:r w:rsidR="00591E89" w:rsidRPr="002127C3">
        <w:rPr>
          <w:rFonts w:cs="Times New Roman"/>
        </w:rPr>
        <w:t xml:space="preserve">enatoru kolēģija </w:t>
      </w:r>
      <w:r w:rsidRPr="002127C3">
        <w:rPr>
          <w:rFonts w:cs="Times New Roman"/>
        </w:rPr>
        <w:t>vērš uzmanību, ka p</w:t>
      </w:r>
      <w:r w:rsidR="00591E89" w:rsidRPr="002127C3">
        <w:rPr>
          <w:rFonts w:cs="Times New Roman"/>
        </w:rPr>
        <w:t>ārsūdzētajā spriedumā</w:t>
      </w:r>
      <w:r w:rsidR="00811603" w:rsidRPr="002127C3">
        <w:rPr>
          <w:rFonts w:cs="Times New Roman"/>
        </w:rPr>
        <w:t>,</w:t>
      </w:r>
      <w:r w:rsidR="00591E89" w:rsidRPr="002127C3">
        <w:rPr>
          <w:rFonts w:cs="Times New Roman"/>
        </w:rPr>
        <w:t xml:space="preserve"> </w:t>
      </w:r>
      <w:r w:rsidR="00811603" w:rsidRPr="002127C3">
        <w:rPr>
          <w:rFonts w:cs="Times New Roman"/>
        </w:rPr>
        <w:t xml:space="preserve">pretēji prasītāja uzskatiem, </w:t>
      </w:r>
      <w:r w:rsidR="00591E89" w:rsidRPr="002127C3">
        <w:rPr>
          <w:rFonts w:cs="Times New Roman"/>
        </w:rPr>
        <w:t>tiesa ir pamatoti atsaukusies uz Eiropas Savienības Tiesas judikatūr</w:t>
      </w:r>
      <w:r w:rsidR="0057069D" w:rsidRPr="002127C3">
        <w:rPr>
          <w:rFonts w:cs="Times New Roman"/>
        </w:rPr>
        <w:t>as atziņām</w:t>
      </w:r>
      <w:r w:rsidR="00C62E5F" w:rsidRPr="002127C3">
        <w:rPr>
          <w:rFonts w:cs="Times New Roman"/>
        </w:rPr>
        <w:t xml:space="preserve"> par to</w:t>
      </w:r>
      <w:r w:rsidR="001E7A6C" w:rsidRPr="002127C3">
        <w:rPr>
          <w:rFonts w:cs="Times New Roman"/>
        </w:rPr>
        <w:t>,</w:t>
      </w:r>
      <w:r w:rsidR="00811603" w:rsidRPr="002127C3">
        <w:rPr>
          <w:rFonts w:cs="Times New Roman"/>
        </w:rPr>
        <w:t xml:space="preserve"> kā interpretējams </w:t>
      </w:r>
      <w:r w:rsidR="00C62E5F" w:rsidRPr="002127C3">
        <w:rPr>
          <w:rFonts w:cs="Times New Roman"/>
        </w:rPr>
        <w:t xml:space="preserve">Eiropas Parlamenta un Padomes </w:t>
      </w:r>
      <w:r w:rsidR="001E7A6C" w:rsidRPr="002127C3">
        <w:rPr>
          <w:rFonts w:cs="Times New Roman"/>
        </w:rPr>
        <w:t xml:space="preserve">2016. gada 27. aprīļa </w:t>
      </w:r>
      <w:r w:rsidR="00C62E5F" w:rsidRPr="002127C3">
        <w:rPr>
          <w:rFonts w:cs="Times New Roman"/>
        </w:rPr>
        <w:t>Regulas (ES)</w:t>
      </w:r>
      <w:r w:rsidR="00F737AB" w:rsidRPr="002127C3">
        <w:rPr>
          <w:rFonts w:cs="Times New Roman"/>
        </w:rPr>
        <w:t xml:space="preserve"> </w:t>
      </w:r>
      <w:r w:rsidR="00C62E5F" w:rsidRPr="002127C3">
        <w:rPr>
          <w:rFonts w:cs="Times New Roman"/>
        </w:rPr>
        <w:t>2016/679 par fizisku personu aizsardzību attiecībā uz personas datu apstrādi un šādu datu brīvu apriti</w:t>
      </w:r>
      <w:r w:rsidR="00F737AB" w:rsidRPr="002127C3">
        <w:rPr>
          <w:rFonts w:cs="Times New Roman"/>
        </w:rPr>
        <w:t xml:space="preserve"> </w:t>
      </w:r>
      <w:r w:rsidR="00C62E5F" w:rsidRPr="002127C3">
        <w:rPr>
          <w:rFonts w:cs="Times New Roman"/>
        </w:rPr>
        <w:t>un ar ko atceļ Direktīvu</w:t>
      </w:r>
      <w:r w:rsidR="00F737AB" w:rsidRPr="002127C3">
        <w:rPr>
          <w:rFonts w:cs="Times New Roman"/>
        </w:rPr>
        <w:t xml:space="preserve"> </w:t>
      </w:r>
      <w:r w:rsidR="00C62E5F" w:rsidRPr="002127C3">
        <w:rPr>
          <w:rFonts w:cs="Times New Roman"/>
        </w:rPr>
        <w:t>95/46/EK (Vispārīgā datu aizsardzības regula) 82. </w:t>
      </w:r>
      <w:r w:rsidR="00F737AB" w:rsidRPr="002127C3">
        <w:rPr>
          <w:rFonts w:cs="Times New Roman"/>
        </w:rPr>
        <w:t>p</w:t>
      </w:r>
      <w:r w:rsidR="00C62E5F" w:rsidRPr="002127C3">
        <w:rPr>
          <w:rFonts w:cs="Times New Roman"/>
        </w:rPr>
        <w:t>anta</w:t>
      </w:r>
      <w:r w:rsidR="00F737AB" w:rsidRPr="002127C3">
        <w:rPr>
          <w:rFonts w:cs="Times New Roman"/>
        </w:rPr>
        <w:t xml:space="preserve"> </w:t>
      </w:r>
      <w:r w:rsidR="00C62E5F" w:rsidRPr="002127C3">
        <w:rPr>
          <w:rFonts w:cs="Times New Roman"/>
        </w:rPr>
        <w:t>1. </w:t>
      </w:r>
      <w:r w:rsidR="0057069D" w:rsidRPr="002127C3">
        <w:rPr>
          <w:rFonts w:cs="Times New Roman"/>
        </w:rPr>
        <w:t>p</w:t>
      </w:r>
      <w:r w:rsidR="00C62E5F" w:rsidRPr="002127C3">
        <w:rPr>
          <w:rFonts w:cs="Times New Roman"/>
        </w:rPr>
        <w:t>unkts</w:t>
      </w:r>
      <w:r w:rsidR="0057069D" w:rsidRPr="002127C3">
        <w:rPr>
          <w:rFonts w:cs="Times New Roman"/>
        </w:rPr>
        <w:t xml:space="preserve">. </w:t>
      </w:r>
      <w:r w:rsidR="00510C5B" w:rsidRPr="002127C3">
        <w:rPr>
          <w:rFonts w:cs="Times New Roman"/>
          <w:lang w:val="lv-LV"/>
        </w:rPr>
        <w:t xml:space="preserve">Turklāt </w:t>
      </w:r>
      <w:r w:rsidR="0057069D" w:rsidRPr="002127C3">
        <w:rPr>
          <w:rFonts w:cs="Times New Roman"/>
          <w:lang w:val="lv-LV"/>
        </w:rPr>
        <w:t>Senāts j</w:t>
      </w:r>
      <w:r w:rsidR="00C62E5F" w:rsidRPr="002127C3">
        <w:rPr>
          <w:rFonts w:cs="Times New Roman"/>
          <w:lang w:val="lv-LV"/>
        </w:rPr>
        <w:t>aunākajā judikatūrā</w:t>
      </w:r>
      <w:r w:rsidR="00386217" w:rsidRPr="002127C3">
        <w:rPr>
          <w:rFonts w:cs="Times New Roman"/>
        </w:rPr>
        <w:t xml:space="preserve"> </w:t>
      </w:r>
      <w:r w:rsidR="0057069D" w:rsidRPr="002127C3">
        <w:rPr>
          <w:rFonts w:cs="Times New Roman"/>
        </w:rPr>
        <w:t xml:space="preserve">minēto Eiropas Savienības Tiesas tiesību normas iztulkojumu </w:t>
      </w:r>
      <w:r w:rsidR="00386217" w:rsidRPr="002127C3">
        <w:rPr>
          <w:rFonts w:cs="Times New Roman"/>
        </w:rPr>
        <w:t>nostiprinājis</w:t>
      </w:r>
      <w:r w:rsidR="00C62E5F" w:rsidRPr="002127C3">
        <w:rPr>
          <w:rFonts w:cs="Times New Roman"/>
        </w:rPr>
        <w:t>, skaidrojot, ka</w:t>
      </w:r>
      <w:r w:rsidR="00405DDF" w:rsidRPr="002127C3">
        <w:rPr>
          <w:rFonts w:cs="Times New Roman"/>
        </w:rPr>
        <w:t xml:space="preserve"> </w:t>
      </w:r>
      <w:r w:rsidR="00C62E5F" w:rsidRPr="002127C3">
        <w:rPr>
          <w:rFonts w:cs="Times New Roman"/>
        </w:rPr>
        <w:t>ar Vispārīgās datu regulas normu pārkāpumu pašu par sevi nepietiek, lai uz šā pamata rastos tiesības uz kompensāciju, jo „nodarīta” materiāla vai nemateriāla „kaitējuma” esība – tāpat kā minētās regulas normu pārkāpuma esība un cēloņsakarība starp šo kaitējumu un šo pārkāpumu – ir viens no šajā tiesību normā paredzēto tiesību uz kompensāciju nosacījumiem un šie trīs nosacījumi ir kumulatīvi. Tādējādi personai, k</w:t>
      </w:r>
      <w:r w:rsidR="00811603" w:rsidRPr="002127C3">
        <w:rPr>
          <w:rFonts w:cs="Times New Roman"/>
        </w:rPr>
        <w:t>ura</w:t>
      </w:r>
      <w:r w:rsidR="00C62E5F" w:rsidRPr="002127C3">
        <w:rPr>
          <w:rFonts w:cs="Times New Roman"/>
        </w:rPr>
        <w:t xml:space="preserve"> lūdz nemateriālā kaitējuma atlīdzinājumu</w:t>
      </w:r>
      <w:r w:rsidR="006F72F5" w:rsidRPr="002127C3">
        <w:rPr>
          <w:rFonts w:cs="Times New Roman"/>
        </w:rPr>
        <w:t>,</w:t>
      </w:r>
      <w:r w:rsidR="00C62E5F" w:rsidRPr="002127C3">
        <w:rPr>
          <w:rFonts w:cs="Times New Roman"/>
        </w:rPr>
        <w:t xml:space="preserve"> saskaņā ar minēto tiesību normu jāpierāda ne tikai šīs regulas normu pārkāpums, bet arī tas, ka šā pārkāpuma dēļ tai patiešām ir nodarīts šāds kaitējums. Kaitējuma</w:t>
      </w:r>
      <w:r w:rsidR="00F737AB" w:rsidRPr="002127C3">
        <w:rPr>
          <w:rFonts w:cs="Times New Roman"/>
        </w:rPr>
        <w:t xml:space="preserve"> </w:t>
      </w:r>
      <w:r w:rsidR="00C62E5F" w:rsidRPr="002127C3">
        <w:rPr>
          <w:rFonts w:cs="Times New Roman"/>
        </w:rPr>
        <w:t>rašanās saistībā ar personas datu nelikumīgu apstrādi ir tikai iespējamas, nevis automātiskas šādas apstrādes sekas. Vispārīgās datu aizsardzības regulas pārkāpuma rezultātā ne vienmēr rodas kaitējums</w:t>
      </w:r>
      <w:r w:rsidR="00405DDF" w:rsidRPr="002127C3">
        <w:rPr>
          <w:rFonts w:cs="Times New Roman"/>
        </w:rPr>
        <w:t>. L</w:t>
      </w:r>
      <w:r w:rsidR="00C62E5F" w:rsidRPr="002127C3">
        <w:rPr>
          <w:rFonts w:cs="Times New Roman"/>
        </w:rPr>
        <w:t>ai varētu pamatot tiesības uz kompensāciju, ir jābūt cēloņsakarībai starp attiecīgo pārkāpumu un datu subjektam nodarīto kaitējumu</w:t>
      </w:r>
      <w:r w:rsidR="001E7A6C" w:rsidRPr="002127C3">
        <w:rPr>
          <w:rFonts w:cs="Times New Roman"/>
        </w:rPr>
        <w:t>. Nosakot kompensācijas apmēru, jāņem vērā tikai datu subjektam faktiski nodarītais kaitējums, un datu subjektam nedrīkst piešķirt atlīdzinājumu, kas ir lielāks vai mazāks nekā viņam konkrēti nodarītais kaitējums</w:t>
      </w:r>
      <w:r w:rsidR="00C62E5F" w:rsidRPr="002127C3">
        <w:rPr>
          <w:rFonts w:cs="Times New Roman"/>
        </w:rPr>
        <w:t xml:space="preserve"> (</w:t>
      </w:r>
      <w:r w:rsidR="00C62E5F" w:rsidRPr="002127C3">
        <w:rPr>
          <w:rFonts w:cs="Times New Roman"/>
          <w:lang w:val="lv-LV"/>
        </w:rPr>
        <w:t>sk.</w:t>
      </w:r>
      <w:r w:rsidR="00405DDF" w:rsidRPr="002127C3">
        <w:rPr>
          <w:rFonts w:cs="Times New Roman"/>
          <w:lang w:val="lv-LV"/>
        </w:rPr>
        <w:t xml:space="preserve"> </w:t>
      </w:r>
      <w:r w:rsidR="00405DDF" w:rsidRPr="002127C3">
        <w:rPr>
          <w:rFonts w:cs="Times New Roman"/>
          <w:i/>
          <w:iCs/>
          <w:lang w:val="lv-LV"/>
        </w:rPr>
        <w:t xml:space="preserve">Senāta 2025. gada </w:t>
      </w:r>
      <w:r w:rsidR="00405DDF" w:rsidRPr="002127C3">
        <w:rPr>
          <w:rFonts w:cs="Times New Roman"/>
          <w:i/>
          <w:iCs/>
          <w:lang w:val="lv-LV"/>
        </w:rPr>
        <w:lastRenderedPageBreak/>
        <w:t>sprieduma lietā</w:t>
      </w:r>
      <w:r w:rsidR="00405DDF" w:rsidRPr="002127C3">
        <w:rPr>
          <w:rFonts w:cs="Times New Roman"/>
          <w:i/>
          <w:iCs/>
        </w:rPr>
        <w:t xml:space="preserve"> </w:t>
      </w:r>
      <w:r w:rsidR="00B25A87" w:rsidRPr="002127C3">
        <w:rPr>
          <w:rFonts w:cs="Times New Roman"/>
          <w:i/>
          <w:iCs/>
        </w:rPr>
        <w:t>Nr.</w:t>
      </w:r>
      <w:hyperlink r:id="rId8" w:history="1">
        <w:r w:rsidR="00405DDF" w:rsidRPr="002127C3">
          <w:rPr>
            <w:rStyle w:val="Hyperlink"/>
            <w:rFonts w:cs="Times New Roman"/>
            <w:i/>
            <w:iCs/>
          </w:rPr>
          <w:t> SKC</w:t>
        </w:r>
        <w:r w:rsidR="00405DDF" w:rsidRPr="002127C3">
          <w:rPr>
            <w:rStyle w:val="Hyperlink"/>
            <w:rFonts w:cs="Times New Roman"/>
            <w:i/>
            <w:iCs/>
          </w:rPr>
          <w:noBreakHyphen/>
        </w:r>
        <w:r w:rsidR="0096147B" w:rsidRPr="002127C3">
          <w:rPr>
            <w:rStyle w:val="Hyperlink"/>
            <w:rFonts w:cs="Times New Roman"/>
            <w:i/>
            <w:iCs/>
          </w:rPr>
          <w:t>[</w:t>
        </w:r>
        <w:r w:rsidR="00871590" w:rsidRPr="002127C3">
          <w:rPr>
            <w:rStyle w:val="Hyperlink"/>
            <w:rFonts w:cs="Times New Roman"/>
            <w:i/>
            <w:iCs/>
          </w:rPr>
          <w:t>D</w:t>
        </w:r>
        <w:r w:rsidR="00351F5B" w:rsidRPr="002127C3">
          <w:rPr>
            <w:rStyle w:val="Hyperlink"/>
            <w:rFonts w:cs="Times New Roman"/>
            <w:i/>
            <w:iCs/>
          </w:rPr>
          <w:t>]</w:t>
        </w:r>
        <w:r w:rsidR="0096147B" w:rsidRPr="002127C3">
          <w:rPr>
            <w:rStyle w:val="Hyperlink"/>
            <w:rFonts w:cs="Times New Roman"/>
            <w:i/>
            <w:iCs/>
          </w:rPr>
          <w:t>/</w:t>
        </w:r>
        <w:r w:rsidR="00405DDF" w:rsidRPr="002127C3">
          <w:rPr>
            <w:rStyle w:val="Hyperlink"/>
            <w:rFonts w:cs="Times New Roman"/>
            <w:i/>
            <w:iCs/>
          </w:rPr>
          <w:t>2025</w:t>
        </w:r>
      </w:hyperlink>
      <w:r w:rsidR="00405DDF" w:rsidRPr="002127C3">
        <w:rPr>
          <w:rFonts w:cs="Times New Roman"/>
          <w:i/>
          <w:iCs/>
        </w:rPr>
        <w:t>,</w:t>
      </w:r>
      <w:r w:rsidR="00405DDF" w:rsidRPr="002127C3">
        <w:rPr>
          <w:rFonts w:cs="Times New Roman"/>
          <w:i/>
          <w:iCs/>
          <w:color w:val="EE0000"/>
        </w:rPr>
        <w:t xml:space="preserve"> </w:t>
      </w:r>
      <w:r w:rsidR="00B25A87" w:rsidRPr="002127C3">
        <w:rPr>
          <w:rFonts w:cs="Times New Roman"/>
          <w:i/>
          <w:iCs/>
          <w:lang w:val="lv-LV"/>
        </w:rPr>
        <w:t>ECLI:LV:AT:2025:[..],</w:t>
      </w:r>
      <w:r w:rsidR="001E7A6C" w:rsidRPr="002127C3">
        <w:rPr>
          <w:rFonts w:cs="Times New Roman"/>
          <w:i/>
          <w:iCs/>
          <w:lang w:val="lv-LV"/>
        </w:rPr>
        <w:t> </w:t>
      </w:r>
      <w:r w:rsidR="00405DDF" w:rsidRPr="002127C3">
        <w:rPr>
          <w:rFonts w:cs="Times New Roman"/>
          <w:i/>
          <w:iCs/>
          <w:lang w:val="lv-LV"/>
        </w:rPr>
        <w:t>13.2. punktu</w:t>
      </w:r>
      <w:r w:rsidR="001E7A6C" w:rsidRPr="002127C3">
        <w:rPr>
          <w:rFonts w:cs="Times New Roman"/>
          <w:i/>
          <w:iCs/>
          <w:lang w:val="lv-LV"/>
        </w:rPr>
        <w:t xml:space="preserve"> un tajā norādīto judikatūru</w:t>
      </w:r>
      <w:r w:rsidR="0096147B" w:rsidRPr="002127C3">
        <w:rPr>
          <w:rFonts w:cs="Times New Roman"/>
          <w:i/>
          <w:iCs/>
          <w:lang w:val="lv-LV"/>
        </w:rPr>
        <w:t>, spriedums pieejams Augstākās tiesas tīmekļvietn</w:t>
      </w:r>
      <w:r w:rsidR="00B25A87" w:rsidRPr="002127C3">
        <w:rPr>
          <w:rFonts w:cs="Times New Roman"/>
          <w:i/>
          <w:iCs/>
          <w:lang w:val="lv-LV"/>
        </w:rPr>
        <w:t>ē</w:t>
      </w:r>
      <w:r w:rsidR="00B25A87" w:rsidRPr="002127C3">
        <w:rPr>
          <w:rFonts w:cs="Times New Roman"/>
          <w:lang w:val="lv-LV"/>
        </w:rPr>
        <w:t>).</w:t>
      </w:r>
    </w:p>
    <w:p w14:paraId="02BA3A4A" w14:textId="77777777" w:rsidR="00B25A87" w:rsidRPr="002127C3" w:rsidRDefault="00B25A87" w:rsidP="002127C3">
      <w:pPr>
        <w:pStyle w:val="NoSpacing"/>
        <w:spacing w:line="276" w:lineRule="auto"/>
        <w:rPr>
          <w:rFonts w:cs="Times New Roman"/>
          <w:szCs w:val="24"/>
          <w:lang w:val="lv-LV"/>
        </w:rPr>
      </w:pPr>
    </w:p>
    <w:p w14:paraId="565F5120" w14:textId="03176951" w:rsidR="00530A91" w:rsidRPr="002127C3" w:rsidRDefault="00530A91" w:rsidP="002127C3">
      <w:pPr>
        <w:pStyle w:val="Style2"/>
        <w:ind w:firstLine="720"/>
        <w:rPr>
          <w:rFonts w:cs="Times New Roman"/>
        </w:rPr>
      </w:pPr>
      <w:r w:rsidRPr="002127C3">
        <w:rPr>
          <w:rFonts w:cs="Times New Roman"/>
        </w:rPr>
        <w:t>[</w:t>
      </w:r>
      <w:r w:rsidR="004B40C2" w:rsidRPr="002127C3">
        <w:rPr>
          <w:rFonts w:cs="Times New Roman"/>
        </w:rPr>
        <w:t>6</w:t>
      </w:r>
      <w:r w:rsidRPr="002127C3">
        <w:rPr>
          <w:rFonts w:cs="Times New Roman"/>
        </w:rPr>
        <w:t>]</w:t>
      </w:r>
      <w:r w:rsidR="0096147B" w:rsidRPr="002127C3">
        <w:rPr>
          <w:rFonts w:cs="Times New Roman"/>
        </w:rPr>
        <w:t> </w:t>
      </w:r>
      <w:r w:rsidRPr="002127C3">
        <w:rPr>
          <w:rFonts w:cs="Times New Roman"/>
        </w:rPr>
        <w:t>S</w:t>
      </w:r>
      <w:r w:rsidR="00386217" w:rsidRPr="002127C3">
        <w:rPr>
          <w:rFonts w:cs="Times New Roman"/>
        </w:rPr>
        <w:t>avukārt attiecībā par atbildētāju kasācijas sūdzību s</w:t>
      </w:r>
      <w:r w:rsidRPr="002127C3">
        <w:rPr>
          <w:rFonts w:cs="Times New Roman"/>
        </w:rPr>
        <w:t xml:space="preserve">enatoru kolēģija atzīst, ka </w:t>
      </w:r>
      <w:r w:rsidR="00C26B0A" w:rsidRPr="002127C3">
        <w:rPr>
          <w:rFonts w:cs="Times New Roman"/>
        </w:rPr>
        <w:t xml:space="preserve">konkrētās lietas apstākļos </w:t>
      </w:r>
      <w:r w:rsidRPr="002127C3">
        <w:rPr>
          <w:rFonts w:cs="Times New Roman"/>
        </w:rPr>
        <w:t>kasācijas tiesvedības ierosināšana ir atsakāma uz Civilprocesa likuma 464.</w:t>
      </w:r>
      <w:r w:rsidRPr="002127C3">
        <w:rPr>
          <w:rFonts w:cs="Times New Roman"/>
          <w:vertAlign w:val="superscript"/>
        </w:rPr>
        <w:t xml:space="preserve">1 </w:t>
      </w:r>
      <w:r w:rsidRPr="002127C3">
        <w:rPr>
          <w:rFonts w:cs="Times New Roman"/>
        </w:rPr>
        <w:t xml:space="preserve">panta pirmās daļas pamata. </w:t>
      </w:r>
    </w:p>
    <w:p w14:paraId="5421F24D" w14:textId="4F48195E" w:rsidR="00B52006" w:rsidRPr="002127C3" w:rsidRDefault="00FA1F46" w:rsidP="002127C3">
      <w:pPr>
        <w:pStyle w:val="NoSpacing"/>
        <w:spacing w:line="276" w:lineRule="auto"/>
        <w:ind w:firstLine="720"/>
        <w:jc w:val="both"/>
        <w:rPr>
          <w:rFonts w:cs="Times New Roman"/>
          <w:szCs w:val="24"/>
          <w:lang w:val="lt-LT"/>
        </w:rPr>
      </w:pPr>
      <w:r w:rsidRPr="002127C3">
        <w:rPr>
          <w:rFonts w:cs="Times New Roman"/>
          <w:szCs w:val="24"/>
          <w:lang w:val="lt-LT"/>
        </w:rPr>
        <w:t>[6.</w:t>
      </w:r>
      <w:r w:rsidR="00D62B04" w:rsidRPr="002127C3">
        <w:rPr>
          <w:rFonts w:cs="Times New Roman"/>
          <w:szCs w:val="24"/>
          <w:lang w:val="lt-LT"/>
        </w:rPr>
        <w:t>1</w:t>
      </w:r>
      <w:r w:rsidRPr="002127C3">
        <w:rPr>
          <w:rFonts w:cs="Times New Roman"/>
          <w:szCs w:val="24"/>
          <w:lang w:val="lt-LT"/>
        </w:rPr>
        <w:t>]</w:t>
      </w:r>
      <w:r w:rsidR="00C26F04" w:rsidRPr="002127C3">
        <w:rPr>
          <w:rFonts w:cs="Times New Roman"/>
          <w:szCs w:val="24"/>
          <w:lang w:val="lt-LT"/>
        </w:rPr>
        <w:t> </w:t>
      </w:r>
      <w:r w:rsidR="00B52006" w:rsidRPr="002127C3">
        <w:rPr>
          <w:rFonts w:cs="Times New Roman"/>
          <w:szCs w:val="24"/>
          <w:lang w:val="lt-LT"/>
        </w:rPr>
        <w:t>Atbildētāju kasācijas sūdzībā tiek pārsūdzēti sprieduma motīvi, kuros apelācijas instances tiesa ir vērtējusi atbildētāju rīcību un secinājusi, ka ir pieļauta neatļauta darbība. Kasācijas sūdzības iesniedzēju ieskatā minētais tiesas secinājums kļūs saistošs, ņemot vērā tā nesaraujamo saistību ar sprieduma rezolutīvo daļu.</w:t>
      </w:r>
    </w:p>
    <w:p w14:paraId="35594A84" w14:textId="3E67C8EF" w:rsidR="00B52006" w:rsidRPr="002127C3" w:rsidRDefault="00B52006" w:rsidP="002127C3">
      <w:pPr>
        <w:pStyle w:val="NoSpacing"/>
        <w:spacing w:line="276" w:lineRule="auto"/>
        <w:ind w:firstLine="720"/>
        <w:jc w:val="both"/>
        <w:rPr>
          <w:rFonts w:cs="Times New Roman"/>
          <w:szCs w:val="24"/>
          <w:lang w:val="lt-LT"/>
        </w:rPr>
      </w:pPr>
      <w:r w:rsidRPr="002127C3">
        <w:rPr>
          <w:rFonts w:cs="Times New Roman"/>
          <w:szCs w:val="24"/>
          <w:lang w:val="lt-LT"/>
        </w:rPr>
        <w:t>Senatoru kolēģija atzīst, ka ieskats par konkrētā tiesas secinājuma nesaraujamo saistību ar sprieduma rezolutīvo daļu (rezolūciju)</w:t>
      </w:r>
      <w:r w:rsidR="00A900AD" w:rsidRPr="002127C3">
        <w:rPr>
          <w:rFonts w:cs="Times New Roman"/>
          <w:szCs w:val="24"/>
          <w:lang w:val="lt-LT"/>
        </w:rPr>
        <w:t xml:space="preserve"> un saistošo raksturu</w:t>
      </w:r>
      <w:r w:rsidRPr="002127C3">
        <w:rPr>
          <w:rFonts w:cs="Times New Roman"/>
          <w:szCs w:val="24"/>
          <w:lang w:val="lt-LT"/>
        </w:rPr>
        <w:t xml:space="preserve"> ir kļūdains.</w:t>
      </w:r>
    </w:p>
    <w:p w14:paraId="426F8EBF" w14:textId="6DA0E927" w:rsidR="00A900AD" w:rsidRPr="002127C3" w:rsidRDefault="007F2A83" w:rsidP="002127C3">
      <w:pPr>
        <w:pStyle w:val="NoSpacing"/>
        <w:spacing w:line="276" w:lineRule="auto"/>
        <w:ind w:firstLine="720"/>
        <w:jc w:val="both"/>
        <w:rPr>
          <w:rFonts w:cs="Times New Roman"/>
          <w:szCs w:val="24"/>
          <w:lang w:val="lt-LT"/>
        </w:rPr>
      </w:pPr>
      <w:r w:rsidRPr="002127C3">
        <w:rPr>
          <w:rFonts w:cs="Times New Roman"/>
          <w:szCs w:val="24"/>
          <w:lang w:val="lt-LT"/>
        </w:rPr>
        <w:t>[6.1.1] </w:t>
      </w:r>
      <w:r w:rsidR="00A900AD" w:rsidRPr="002127C3">
        <w:rPr>
          <w:rFonts w:cs="Times New Roman"/>
          <w:szCs w:val="24"/>
          <w:lang w:val="lt-LT"/>
        </w:rPr>
        <w:t>Sprieduma motīvu daļā konstatētie fakti (Civilprocesa likuma 96. panta otrā daļa) var būt saistoši tad, ja sprieduma motīvu daļa, kurā tie ietverti, stājusies spēkā (Civilprocesa likuma 203.</w:t>
      </w:r>
      <w:r w:rsidR="000F15A4" w:rsidRPr="002127C3">
        <w:rPr>
          <w:rFonts w:cs="Times New Roman"/>
          <w:szCs w:val="24"/>
          <w:lang w:val="lt-LT"/>
        </w:rPr>
        <w:t> </w:t>
      </w:r>
      <w:r w:rsidR="00247EED" w:rsidRPr="002127C3">
        <w:rPr>
          <w:rFonts w:cs="Times New Roman"/>
          <w:szCs w:val="24"/>
          <w:lang w:val="lt-LT"/>
        </w:rPr>
        <w:t>p</w:t>
      </w:r>
      <w:r w:rsidR="00A900AD" w:rsidRPr="002127C3">
        <w:rPr>
          <w:rFonts w:cs="Times New Roman"/>
          <w:szCs w:val="24"/>
          <w:lang w:val="lt-LT"/>
        </w:rPr>
        <w:t>ant</w:t>
      </w:r>
      <w:r w:rsidR="00247EED" w:rsidRPr="002127C3">
        <w:rPr>
          <w:rFonts w:cs="Times New Roman"/>
          <w:szCs w:val="24"/>
          <w:lang w:val="lt-LT"/>
        </w:rPr>
        <w:t>s).</w:t>
      </w:r>
    </w:p>
    <w:p w14:paraId="5FF15F3E" w14:textId="35664A80" w:rsidR="00D45247" w:rsidRPr="002127C3" w:rsidRDefault="00530A91" w:rsidP="002127C3">
      <w:pPr>
        <w:pStyle w:val="NoSpacing"/>
        <w:spacing w:line="276" w:lineRule="auto"/>
        <w:ind w:firstLine="720"/>
        <w:jc w:val="both"/>
        <w:rPr>
          <w:rFonts w:cs="Times New Roman"/>
          <w:szCs w:val="24"/>
          <w:lang w:val="lt-LT"/>
        </w:rPr>
      </w:pPr>
      <w:r w:rsidRPr="002127C3">
        <w:rPr>
          <w:rFonts w:cs="Times New Roman"/>
          <w:szCs w:val="24"/>
          <w:lang w:val="lt-LT"/>
        </w:rPr>
        <w:t xml:space="preserve">Senāts jau agrāk ir atzinis par pareizu tiesību doktrīnā norādīto: „Jautājumā par to, kāda sprieduma daļa stājas likumīgā spēkā, vispirms jāatzīmē, ka likumīgā spēkā stājas </w:t>
      </w:r>
      <w:r w:rsidRPr="002127C3">
        <w:rPr>
          <w:rFonts w:cs="Times New Roman"/>
          <w:i/>
          <w:iCs/>
          <w:szCs w:val="24"/>
          <w:lang w:val="lt-LT"/>
        </w:rPr>
        <w:t>verba</w:t>
      </w:r>
      <w:r w:rsidR="00DB67EA" w:rsidRPr="002127C3">
        <w:rPr>
          <w:rFonts w:cs="Times New Roman"/>
          <w:i/>
          <w:iCs/>
          <w:szCs w:val="24"/>
          <w:lang w:val="lt-LT"/>
        </w:rPr>
        <w:t> </w:t>
      </w:r>
      <w:r w:rsidRPr="002127C3">
        <w:rPr>
          <w:rFonts w:cs="Times New Roman"/>
          <w:i/>
          <w:iCs/>
          <w:szCs w:val="24"/>
          <w:lang w:val="lt-LT"/>
        </w:rPr>
        <w:t>decisiva</w:t>
      </w:r>
      <w:r w:rsidRPr="002127C3">
        <w:rPr>
          <w:rFonts w:cs="Times New Roman"/>
          <w:szCs w:val="24"/>
          <w:lang w:val="lt-LT"/>
        </w:rPr>
        <w:t>, t.</w:t>
      </w:r>
      <w:r w:rsidR="00B36CBB" w:rsidRPr="002127C3">
        <w:rPr>
          <w:rFonts w:cs="Times New Roman"/>
          <w:szCs w:val="24"/>
          <w:lang w:val="lt-LT"/>
        </w:rPr>
        <w:t> </w:t>
      </w:r>
      <w:r w:rsidRPr="002127C3">
        <w:rPr>
          <w:rFonts w:cs="Times New Roman"/>
          <w:szCs w:val="24"/>
          <w:lang w:val="lt-LT"/>
        </w:rPr>
        <w:t>i., rezolutīvā daļa, kas ir tiešā atbilde uz prasības sūdzību. Motīvi, t.</w:t>
      </w:r>
      <w:r w:rsidR="00B36CBB" w:rsidRPr="002127C3">
        <w:rPr>
          <w:rFonts w:cs="Times New Roman"/>
          <w:szCs w:val="24"/>
          <w:lang w:val="lt-LT"/>
        </w:rPr>
        <w:t> </w:t>
      </w:r>
      <w:r w:rsidRPr="002127C3">
        <w:rPr>
          <w:rFonts w:cs="Times New Roman"/>
          <w:szCs w:val="24"/>
          <w:lang w:val="lt-LT"/>
        </w:rPr>
        <w:t>i., apsvērumi, uz kuriem pamatota rezolūcija, pēc vispārējā noteikuma nestājas spēkā. Bieži rezolūcija izriet no veselas rindas patstāvīgu un dažādu tiesas apsvērumu, no kuriem daži var izrādīties arī par nepareiziem, nesatricinot tomēr rezolutīvās daļas pareizību.</w:t>
      </w:r>
      <w:r w:rsidR="006F72F5" w:rsidRPr="002127C3">
        <w:rPr>
          <w:rFonts w:cs="Times New Roman"/>
          <w:szCs w:val="24"/>
          <w:lang w:val="lt-LT"/>
        </w:rPr>
        <w:t xml:space="preserve"> </w:t>
      </w:r>
      <w:r w:rsidRPr="002127C3">
        <w:rPr>
          <w:rFonts w:cs="Times New Roman"/>
          <w:szCs w:val="24"/>
          <w:lang w:val="lt-LT"/>
        </w:rPr>
        <w:t xml:space="preserve">Tomēr tie motīvi un apsvērumi, kas atrodas tik ciešā un nešķiramā sakarā ar rezolūciju, ka citādu apsvērumu gadījumā rezolūcija seku ziņā iegūtu pavisam citu nozīmi, stājas likumīgā spēkā, jo tiesas spriedums var stāties likumīgā spēkā tikai tādā nozīmē, kādā to taisījusi tiesa” (sk. </w:t>
      </w:r>
      <w:r w:rsidRPr="002127C3">
        <w:rPr>
          <w:rFonts w:cs="Times New Roman"/>
          <w:i/>
          <w:iCs/>
          <w:szCs w:val="24"/>
          <w:lang w:val="lt-LT"/>
        </w:rPr>
        <w:t>Bukovskis V.</w:t>
      </w:r>
      <w:r w:rsidR="00B25A87" w:rsidRPr="002127C3">
        <w:rPr>
          <w:rFonts w:cs="Times New Roman"/>
          <w:i/>
          <w:iCs/>
          <w:szCs w:val="24"/>
          <w:lang w:val="lt-LT"/>
        </w:rPr>
        <w:t> </w:t>
      </w:r>
      <w:r w:rsidRPr="002127C3">
        <w:rPr>
          <w:rFonts w:cs="Times New Roman"/>
          <w:i/>
          <w:iCs/>
          <w:szCs w:val="24"/>
          <w:lang w:val="lt-LT"/>
        </w:rPr>
        <w:t>Civīlprocesa mācības grāmata. Rīga: Autora izdevums, 1933, 441.</w:t>
      </w:r>
      <w:r w:rsidR="001C3BD6" w:rsidRPr="002127C3">
        <w:rPr>
          <w:rFonts w:cs="Times New Roman"/>
          <w:i/>
          <w:iCs/>
          <w:szCs w:val="24"/>
          <w:lang w:val="lt-LT"/>
        </w:rPr>
        <w:t> </w:t>
      </w:r>
      <w:r w:rsidRPr="002127C3">
        <w:rPr>
          <w:rFonts w:cs="Times New Roman"/>
          <w:i/>
          <w:iCs/>
          <w:szCs w:val="24"/>
          <w:lang w:val="lt-LT"/>
        </w:rPr>
        <w:t>lpp</w:t>
      </w:r>
      <w:r w:rsidRPr="002127C3">
        <w:rPr>
          <w:rFonts w:cs="Times New Roman"/>
          <w:szCs w:val="24"/>
          <w:lang w:val="lt-LT"/>
        </w:rPr>
        <w:t xml:space="preserve">.). </w:t>
      </w:r>
      <w:r w:rsidR="000A54B6" w:rsidRPr="002127C3">
        <w:rPr>
          <w:rFonts w:cs="Times New Roman"/>
          <w:szCs w:val="24"/>
          <w:lang w:val="lt-LT"/>
        </w:rPr>
        <w:tab/>
      </w:r>
      <w:r w:rsidRPr="002127C3">
        <w:rPr>
          <w:rFonts w:cs="Times New Roman"/>
          <w:szCs w:val="24"/>
          <w:lang w:val="lt-LT"/>
        </w:rPr>
        <w:t>Senāts</w:t>
      </w:r>
      <w:r w:rsidR="00D62B04" w:rsidRPr="002127C3">
        <w:rPr>
          <w:rFonts w:cs="Times New Roman"/>
          <w:szCs w:val="24"/>
          <w:lang w:val="lt-LT"/>
        </w:rPr>
        <w:t>,</w:t>
      </w:r>
      <w:r w:rsidR="00DB67EA" w:rsidRPr="002127C3">
        <w:rPr>
          <w:rFonts w:cs="Times New Roman"/>
          <w:szCs w:val="24"/>
          <w:lang w:val="lt-LT"/>
        </w:rPr>
        <w:t xml:space="preserve"> </w:t>
      </w:r>
      <w:r w:rsidR="00D62B04" w:rsidRPr="002127C3">
        <w:rPr>
          <w:rFonts w:cs="Times New Roman"/>
          <w:szCs w:val="24"/>
          <w:lang w:val="lv-LV"/>
        </w:rPr>
        <w:t xml:space="preserve">pamatojoties uz minētās tiesību doktrīnas atziņām, </w:t>
      </w:r>
      <w:r w:rsidRPr="002127C3">
        <w:rPr>
          <w:rFonts w:cs="Times New Roman"/>
          <w:szCs w:val="24"/>
          <w:lang w:val="lt-LT"/>
        </w:rPr>
        <w:t>ir vairākkārt uzsvēris, ka spriedumā ietvert</w:t>
      </w:r>
      <w:r w:rsidR="00C26B0A" w:rsidRPr="002127C3">
        <w:rPr>
          <w:rFonts w:cs="Times New Roman"/>
          <w:szCs w:val="24"/>
          <w:lang w:val="lt-LT"/>
        </w:rPr>
        <w:t>ie motīvi stājas spēkā tad</w:t>
      </w:r>
      <w:r w:rsidRPr="002127C3">
        <w:rPr>
          <w:rFonts w:cs="Times New Roman"/>
          <w:szCs w:val="24"/>
          <w:lang w:val="lt-LT"/>
        </w:rPr>
        <w:t xml:space="preserve">, kad tie ir nesaraujami saistīti ar sprieduma rezolutīvo daļu (sal. </w:t>
      </w:r>
      <w:r w:rsidR="00386217" w:rsidRPr="002127C3">
        <w:rPr>
          <w:rFonts w:cs="Times New Roman"/>
          <w:i/>
          <w:iCs/>
          <w:szCs w:val="24"/>
          <w:lang w:val="lt-LT"/>
        </w:rPr>
        <w:t xml:space="preserve">Senāta </w:t>
      </w:r>
      <w:r w:rsidRPr="002127C3">
        <w:rPr>
          <w:rFonts w:cs="Times New Roman"/>
          <w:i/>
          <w:iCs/>
          <w:szCs w:val="24"/>
          <w:lang w:val="lt-LT"/>
        </w:rPr>
        <w:t>2017.</w:t>
      </w:r>
      <w:r w:rsidR="00510C5B" w:rsidRPr="002127C3">
        <w:rPr>
          <w:rFonts w:cs="Times New Roman"/>
          <w:i/>
          <w:iCs/>
          <w:szCs w:val="24"/>
          <w:lang w:val="lt-LT"/>
        </w:rPr>
        <w:t> </w:t>
      </w:r>
      <w:r w:rsidRPr="002127C3">
        <w:rPr>
          <w:rFonts w:cs="Times New Roman"/>
          <w:i/>
          <w:iCs/>
          <w:szCs w:val="24"/>
          <w:lang w:val="lt-LT"/>
        </w:rPr>
        <w:t>gada 6.</w:t>
      </w:r>
      <w:r w:rsidR="00510C5B" w:rsidRPr="002127C3">
        <w:rPr>
          <w:rFonts w:cs="Times New Roman"/>
          <w:i/>
          <w:iCs/>
          <w:szCs w:val="24"/>
          <w:lang w:val="lt-LT"/>
        </w:rPr>
        <w:t> </w:t>
      </w:r>
      <w:r w:rsidRPr="002127C3">
        <w:rPr>
          <w:rFonts w:cs="Times New Roman"/>
          <w:i/>
          <w:iCs/>
          <w:szCs w:val="24"/>
          <w:lang w:val="lt-LT"/>
        </w:rPr>
        <w:t>aprīļa sprieduma lietā Nr.</w:t>
      </w:r>
      <w:r w:rsidR="00386217" w:rsidRPr="002127C3">
        <w:rPr>
          <w:rFonts w:cs="Times New Roman"/>
          <w:i/>
          <w:iCs/>
          <w:szCs w:val="24"/>
          <w:lang w:val="lt-LT"/>
        </w:rPr>
        <w:t> </w:t>
      </w:r>
      <w:hyperlink r:id="rId9" w:history="1">
        <w:r w:rsidRPr="002127C3">
          <w:rPr>
            <w:rStyle w:val="Hyperlink"/>
            <w:rFonts w:cs="Times New Roman"/>
            <w:i/>
            <w:iCs/>
            <w:szCs w:val="24"/>
            <w:lang w:val="lt-LT"/>
          </w:rPr>
          <w:t>SKC</w:t>
        </w:r>
        <w:r w:rsidRPr="002127C3">
          <w:rPr>
            <w:rStyle w:val="Hyperlink"/>
            <w:rFonts w:cs="Times New Roman"/>
            <w:i/>
            <w:iCs/>
            <w:szCs w:val="24"/>
            <w:lang w:val="lt-LT"/>
          </w:rPr>
          <w:noBreakHyphen/>
          <w:t>308/2017</w:t>
        </w:r>
      </w:hyperlink>
      <w:r w:rsidR="000F22BB" w:rsidRPr="002127C3">
        <w:rPr>
          <w:rFonts w:cs="Times New Roman"/>
          <w:i/>
          <w:iCs/>
          <w:szCs w:val="24"/>
          <w:lang w:val="lt-LT"/>
        </w:rPr>
        <w:t xml:space="preserve">, </w:t>
      </w:r>
      <w:r w:rsidRPr="002127C3">
        <w:rPr>
          <w:rFonts w:cs="Times New Roman"/>
          <w:i/>
          <w:iCs/>
          <w:szCs w:val="24"/>
          <w:lang w:val="lt-LT"/>
        </w:rPr>
        <w:t>C32231614</w:t>
      </w:r>
      <w:r w:rsidR="000F22BB" w:rsidRPr="002127C3">
        <w:rPr>
          <w:rFonts w:cs="Times New Roman"/>
          <w:i/>
          <w:iCs/>
          <w:szCs w:val="24"/>
          <w:lang w:val="lt-LT"/>
        </w:rPr>
        <w:t>,</w:t>
      </w:r>
      <w:r w:rsidRPr="002127C3">
        <w:rPr>
          <w:rFonts w:cs="Times New Roman"/>
          <w:i/>
          <w:iCs/>
          <w:szCs w:val="24"/>
          <w:lang w:val="lt-LT"/>
        </w:rPr>
        <w:t xml:space="preserve"> 10.1.</w:t>
      </w:r>
      <w:r w:rsidR="00510C5B" w:rsidRPr="002127C3">
        <w:rPr>
          <w:rFonts w:cs="Times New Roman"/>
          <w:i/>
          <w:iCs/>
          <w:szCs w:val="24"/>
          <w:lang w:val="lt-LT"/>
        </w:rPr>
        <w:t> </w:t>
      </w:r>
      <w:r w:rsidRPr="002127C3">
        <w:rPr>
          <w:rFonts w:cs="Times New Roman"/>
          <w:i/>
          <w:iCs/>
          <w:szCs w:val="24"/>
          <w:lang w:val="lt-LT"/>
        </w:rPr>
        <w:t>punktu; Senāta 2020.</w:t>
      </w:r>
      <w:r w:rsidR="00510C5B" w:rsidRPr="002127C3">
        <w:rPr>
          <w:rFonts w:cs="Times New Roman"/>
          <w:i/>
          <w:iCs/>
          <w:szCs w:val="24"/>
          <w:lang w:val="lt-LT"/>
        </w:rPr>
        <w:t> </w:t>
      </w:r>
      <w:r w:rsidRPr="002127C3">
        <w:rPr>
          <w:rFonts w:cs="Times New Roman"/>
          <w:i/>
          <w:iCs/>
          <w:szCs w:val="24"/>
          <w:lang w:val="lt-LT"/>
        </w:rPr>
        <w:t>gada 2.</w:t>
      </w:r>
      <w:r w:rsidR="00510C5B" w:rsidRPr="002127C3">
        <w:rPr>
          <w:rFonts w:cs="Times New Roman"/>
          <w:i/>
          <w:iCs/>
          <w:szCs w:val="24"/>
          <w:lang w:val="lt-LT"/>
        </w:rPr>
        <w:t> </w:t>
      </w:r>
      <w:r w:rsidRPr="002127C3">
        <w:rPr>
          <w:rFonts w:cs="Times New Roman"/>
          <w:i/>
          <w:iCs/>
          <w:szCs w:val="24"/>
          <w:lang w:val="lt-LT"/>
        </w:rPr>
        <w:t>jūlija sprieduma lietā Nr. SKC</w:t>
      </w:r>
      <w:r w:rsidRPr="002127C3">
        <w:rPr>
          <w:rFonts w:cs="Times New Roman"/>
          <w:i/>
          <w:iCs/>
          <w:szCs w:val="24"/>
          <w:lang w:val="lt-LT"/>
        </w:rPr>
        <w:noBreakHyphen/>
        <w:t>487/2020</w:t>
      </w:r>
      <w:r w:rsidR="000F22BB" w:rsidRPr="002127C3">
        <w:rPr>
          <w:rFonts w:cs="Times New Roman"/>
          <w:i/>
          <w:iCs/>
          <w:szCs w:val="24"/>
          <w:lang w:val="lt-LT"/>
        </w:rPr>
        <w:t xml:space="preserve">, </w:t>
      </w:r>
      <w:hyperlink r:id="rId10" w:history="1">
        <w:r w:rsidRPr="002127C3">
          <w:rPr>
            <w:rStyle w:val="Hyperlink"/>
            <w:rFonts w:cs="Times New Roman"/>
            <w:i/>
            <w:iCs/>
            <w:szCs w:val="24"/>
            <w:lang w:val="lt-LT"/>
          </w:rPr>
          <w:t>ECLI:LV:AT:2020:0702.C68392718.13.S</w:t>
        </w:r>
      </w:hyperlink>
      <w:r w:rsidR="000F22BB" w:rsidRPr="002127C3">
        <w:rPr>
          <w:rFonts w:cs="Times New Roman"/>
          <w:i/>
          <w:iCs/>
          <w:szCs w:val="24"/>
          <w:lang w:val="lt-LT"/>
        </w:rPr>
        <w:t>,</w:t>
      </w:r>
      <w:r w:rsidRPr="002127C3">
        <w:rPr>
          <w:rFonts w:cs="Times New Roman"/>
          <w:i/>
          <w:iCs/>
          <w:szCs w:val="24"/>
          <w:lang w:val="lt-LT"/>
        </w:rPr>
        <w:t xml:space="preserve"> 13.1., 13.2.</w:t>
      </w:r>
      <w:r w:rsidR="00510C5B" w:rsidRPr="002127C3">
        <w:rPr>
          <w:rFonts w:cs="Times New Roman"/>
          <w:i/>
          <w:iCs/>
          <w:szCs w:val="24"/>
          <w:lang w:val="lt-LT"/>
        </w:rPr>
        <w:t> </w:t>
      </w:r>
      <w:r w:rsidRPr="002127C3">
        <w:rPr>
          <w:rFonts w:cs="Times New Roman"/>
          <w:i/>
          <w:iCs/>
          <w:szCs w:val="24"/>
          <w:lang w:val="lt-LT"/>
        </w:rPr>
        <w:t>punktu; Senāta (paplašinātā sastāvā) 2020.</w:t>
      </w:r>
      <w:r w:rsidR="000F22BB" w:rsidRPr="002127C3">
        <w:rPr>
          <w:rFonts w:cs="Times New Roman"/>
          <w:i/>
          <w:iCs/>
          <w:szCs w:val="24"/>
          <w:lang w:val="lt-LT"/>
        </w:rPr>
        <w:t> </w:t>
      </w:r>
      <w:r w:rsidRPr="002127C3">
        <w:rPr>
          <w:rFonts w:cs="Times New Roman"/>
          <w:i/>
          <w:iCs/>
          <w:szCs w:val="24"/>
          <w:lang w:val="lt-LT"/>
        </w:rPr>
        <w:t>gada 25.</w:t>
      </w:r>
      <w:r w:rsidR="000F22BB" w:rsidRPr="002127C3">
        <w:rPr>
          <w:rFonts w:cs="Times New Roman"/>
          <w:i/>
          <w:iCs/>
          <w:szCs w:val="24"/>
          <w:lang w:val="lt-LT"/>
        </w:rPr>
        <w:t> </w:t>
      </w:r>
      <w:r w:rsidRPr="002127C3">
        <w:rPr>
          <w:rFonts w:cs="Times New Roman"/>
          <w:i/>
          <w:iCs/>
          <w:szCs w:val="24"/>
          <w:lang w:val="lt-LT"/>
        </w:rPr>
        <w:t>novembra sprieduma lietā Nr.</w:t>
      </w:r>
      <w:r w:rsidR="000F22BB" w:rsidRPr="002127C3">
        <w:rPr>
          <w:rFonts w:cs="Times New Roman"/>
          <w:i/>
          <w:iCs/>
          <w:szCs w:val="24"/>
          <w:lang w:val="lt-LT"/>
        </w:rPr>
        <w:t> </w:t>
      </w:r>
      <w:r w:rsidRPr="002127C3">
        <w:rPr>
          <w:rFonts w:cs="Times New Roman"/>
          <w:i/>
          <w:iCs/>
          <w:szCs w:val="24"/>
          <w:lang w:val="lt-LT"/>
        </w:rPr>
        <w:t>SKC</w:t>
      </w:r>
      <w:r w:rsidR="00386217" w:rsidRPr="002127C3">
        <w:rPr>
          <w:rFonts w:cs="Times New Roman"/>
          <w:i/>
          <w:iCs/>
          <w:szCs w:val="24"/>
          <w:lang w:val="lt-LT"/>
        </w:rPr>
        <w:noBreakHyphen/>
      </w:r>
      <w:r w:rsidRPr="002127C3">
        <w:rPr>
          <w:rFonts w:cs="Times New Roman"/>
          <w:i/>
          <w:iCs/>
          <w:szCs w:val="24"/>
          <w:lang w:val="lt-LT"/>
        </w:rPr>
        <w:t>41/2020</w:t>
      </w:r>
      <w:r w:rsidR="000F22BB" w:rsidRPr="002127C3">
        <w:rPr>
          <w:rFonts w:cs="Times New Roman"/>
          <w:i/>
          <w:iCs/>
          <w:szCs w:val="24"/>
          <w:lang w:val="lt-LT"/>
        </w:rPr>
        <w:t xml:space="preserve">, </w:t>
      </w:r>
      <w:hyperlink r:id="rId11" w:history="1">
        <w:r w:rsidRPr="002127C3">
          <w:rPr>
            <w:rStyle w:val="Hyperlink"/>
            <w:rFonts w:cs="Times New Roman"/>
            <w:i/>
            <w:iCs/>
            <w:szCs w:val="24"/>
            <w:lang w:val="lt-LT"/>
          </w:rPr>
          <w:t>ECLI:LV:AT:2020:1125.C28330013.6.S</w:t>
        </w:r>
      </w:hyperlink>
      <w:r w:rsidR="000F22BB" w:rsidRPr="002127C3">
        <w:rPr>
          <w:rFonts w:cs="Times New Roman"/>
          <w:i/>
          <w:iCs/>
          <w:szCs w:val="24"/>
          <w:lang w:val="lt-LT"/>
        </w:rPr>
        <w:t>,</w:t>
      </w:r>
      <w:r w:rsidR="0096147B" w:rsidRPr="002127C3">
        <w:rPr>
          <w:rFonts w:cs="Times New Roman"/>
          <w:i/>
          <w:iCs/>
          <w:szCs w:val="24"/>
          <w:lang w:val="lt-LT"/>
        </w:rPr>
        <w:t> </w:t>
      </w:r>
      <w:r w:rsidRPr="002127C3">
        <w:rPr>
          <w:rFonts w:cs="Times New Roman"/>
          <w:i/>
          <w:iCs/>
          <w:szCs w:val="24"/>
          <w:lang w:val="lt-LT"/>
        </w:rPr>
        <w:t>11.1.</w:t>
      </w:r>
      <w:r w:rsidR="00510C5B" w:rsidRPr="002127C3">
        <w:rPr>
          <w:rFonts w:cs="Times New Roman"/>
          <w:i/>
          <w:iCs/>
          <w:szCs w:val="24"/>
          <w:lang w:val="lt-LT"/>
        </w:rPr>
        <w:t> </w:t>
      </w:r>
      <w:r w:rsidRPr="002127C3">
        <w:rPr>
          <w:rFonts w:cs="Times New Roman"/>
          <w:i/>
          <w:iCs/>
          <w:szCs w:val="24"/>
          <w:lang w:val="lt-LT"/>
        </w:rPr>
        <w:t>punktu</w:t>
      </w:r>
      <w:r w:rsidRPr="002127C3">
        <w:rPr>
          <w:rFonts w:cs="Times New Roman"/>
          <w:szCs w:val="24"/>
          <w:lang w:val="lt-LT"/>
        </w:rPr>
        <w:t>).</w:t>
      </w:r>
    </w:p>
    <w:p w14:paraId="5D37336C" w14:textId="3FD83A32" w:rsidR="00247EED" w:rsidRPr="002127C3" w:rsidRDefault="00247EED" w:rsidP="002127C3">
      <w:pPr>
        <w:pStyle w:val="NoSpacing"/>
        <w:spacing w:line="276" w:lineRule="auto"/>
        <w:ind w:firstLine="720"/>
        <w:jc w:val="both"/>
        <w:rPr>
          <w:rFonts w:cs="Times New Roman"/>
          <w:color w:val="EE0000"/>
          <w:szCs w:val="24"/>
          <w:lang w:val="lt-LT"/>
        </w:rPr>
      </w:pPr>
      <w:r w:rsidRPr="002127C3">
        <w:rPr>
          <w:rFonts w:cs="Times New Roman"/>
          <w:szCs w:val="24"/>
          <w:lang w:val="lt-LT" w:eastAsia="lv-LV"/>
        </w:rPr>
        <w:t>Līdzīga</w:t>
      </w:r>
      <w:r w:rsidR="00D36D6E" w:rsidRPr="002127C3">
        <w:rPr>
          <w:rFonts w:cs="Times New Roman"/>
          <w:szCs w:val="24"/>
          <w:lang w:val="lt-LT" w:eastAsia="lv-LV"/>
        </w:rPr>
        <w:t>s</w:t>
      </w:r>
      <w:r w:rsidRPr="002127C3">
        <w:rPr>
          <w:rFonts w:cs="Times New Roman"/>
          <w:szCs w:val="24"/>
          <w:lang w:val="lt-LT" w:eastAsia="lv-LV"/>
        </w:rPr>
        <w:t xml:space="preserve"> atziņa</w:t>
      </w:r>
      <w:r w:rsidR="0039627C" w:rsidRPr="002127C3">
        <w:rPr>
          <w:rFonts w:cs="Times New Roman"/>
          <w:szCs w:val="24"/>
          <w:lang w:val="lt-LT" w:eastAsia="lv-LV"/>
        </w:rPr>
        <w:t>s</w:t>
      </w:r>
      <w:r w:rsidRPr="002127C3">
        <w:rPr>
          <w:rFonts w:cs="Times New Roman"/>
          <w:szCs w:val="24"/>
          <w:lang w:val="lt-LT" w:eastAsia="lv-LV"/>
        </w:rPr>
        <w:t xml:space="preserve"> par to, ka </w:t>
      </w:r>
      <w:r w:rsidR="00D36D6E" w:rsidRPr="002127C3">
        <w:rPr>
          <w:rFonts w:cs="Times New Roman"/>
          <w:i/>
          <w:iCs/>
          <w:szCs w:val="24"/>
          <w:lang w:val="lt-LT"/>
        </w:rPr>
        <w:t>res judicata</w:t>
      </w:r>
      <w:r w:rsidR="00D36D6E" w:rsidRPr="002127C3">
        <w:rPr>
          <w:rFonts w:cs="Times New Roman"/>
          <w:szCs w:val="24"/>
          <w:lang w:val="lt-LT"/>
        </w:rPr>
        <w:t xml:space="preserve"> spēks attiecas ne tikai uz šī nolēmuma rezolutīvo daļu, bet arī uz tā motīviem, kas ir tā rezolutīvās daļas nepieciešamais pamatojums un kas tādēļ nav no tās atdalāmi</w:t>
      </w:r>
      <w:r w:rsidRPr="002127C3">
        <w:rPr>
          <w:rFonts w:cs="Times New Roman"/>
          <w:szCs w:val="24"/>
          <w:lang w:val="lt-LT"/>
        </w:rPr>
        <w:t>, izteikt</w:t>
      </w:r>
      <w:r w:rsidR="00D36D6E" w:rsidRPr="002127C3">
        <w:rPr>
          <w:rFonts w:cs="Times New Roman"/>
          <w:szCs w:val="24"/>
          <w:lang w:val="lt-LT"/>
        </w:rPr>
        <w:t>as</w:t>
      </w:r>
      <w:r w:rsidRPr="002127C3">
        <w:rPr>
          <w:rFonts w:cs="Times New Roman"/>
          <w:szCs w:val="24"/>
          <w:lang w:val="lt-LT"/>
        </w:rPr>
        <w:t xml:space="preserve"> arī Eiropas Savienības </w:t>
      </w:r>
      <w:r w:rsidR="00B36CBB" w:rsidRPr="002127C3">
        <w:rPr>
          <w:rFonts w:cs="Times New Roman"/>
          <w:szCs w:val="24"/>
          <w:lang w:val="lt-LT"/>
        </w:rPr>
        <w:t>T</w:t>
      </w:r>
      <w:r w:rsidRPr="002127C3">
        <w:rPr>
          <w:rFonts w:cs="Times New Roman"/>
          <w:szCs w:val="24"/>
          <w:lang w:val="lt-LT"/>
        </w:rPr>
        <w:t xml:space="preserve">iesas praksē (sk. </w:t>
      </w:r>
      <w:r w:rsidRPr="002127C3">
        <w:rPr>
          <w:rFonts w:cs="Times New Roman"/>
          <w:i/>
          <w:iCs/>
          <w:szCs w:val="24"/>
          <w:lang w:val="lt-LT"/>
        </w:rPr>
        <w:t>Eiropas Savienības Vispārējās tiesas 2018.</w:t>
      </w:r>
      <w:r w:rsidR="00D36D6E" w:rsidRPr="002127C3">
        <w:rPr>
          <w:rFonts w:cs="Times New Roman"/>
          <w:i/>
          <w:iCs/>
          <w:szCs w:val="24"/>
          <w:lang w:val="lt-LT"/>
        </w:rPr>
        <w:t> </w:t>
      </w:r>
      <w:r w:rsidRPr="002127C3">
        <w:rPr>
          <w:rFonts w:cs="Times New Roman"/>
          <w:i/>
          <w:iCs/>
          <w:szCs w:val="24"/>
          <w:lang w:val="lt-LT"/>
        </w:rPr>
        <w:t>gada 8.</w:t>
      </w:r>
      <w:r w:rsidR="00D36D6E" w:rsidRPr="002127C3">
        <w:rPr>
          <w:rFonts w:cs="Times New Roman"/>
          <w:i/>
          <w:iCs/>
          <w:szCs w:val="24"/>
          <w:lang w:val="lt-LT"/>
        </w:rPr>
        <w:t> </w:t>
      </w:r>
      <w:r w:rsidRPr="002127C3">
        <w:rPr>
          <w:rFonts w:cs="Times New Roman"/>
          <w:i/>
          <w:iCs/>
          <w:szCs w:val="24"/>
          <w:lang w:val="lt-LT"/>
        </w:rPr>
        <w:t>februāra spriedum</w:t>
      </w:r>
      <w:r w:rsidR="00D36D6E" w:rsidRPr="002127C3">
        <w:rPr>
          <w:rFonts w:cs="Times New Roman"/>
          <w:i/>
          <w:iCs/>
          <w:szCs w:val="24"/>
          <w:lang w:val="lt-LT"/>
        </w:rPr>
        <w:t>a</w:t>
      </w:r>
      <w:r w:rsidRPr="002127C3">
        <w:rPr>
          <w:rFonts w:cs="Times New Roman"/>
          <w:i/>
          <w:iCs/>
          <w:szCs w:val="24"/>
          <w:lang w:val="lt-LT"/>
        </w:rPr>
        <w:t xml:space="preserve"> lietā „Sony Interactive Entertainment Europe/EUIPO - Marpefa (Vieta)”, T</w:t>
      </w:r>
      <w:r w:rsidR="0039627C" w:rsidRPr="002127C3">
        <w:rPr>
          <w:rFonts w:cs="Times New Roman"/>
          <w:i/>
          <w:iCs/>
          <w:szCs w:val="24"/>
          <w:lang w:val="lt-LT"/>
        </w:rPr>
        <w:t>-</w:t>
      </w:r>
      <w:r w:rsidRPr="002127C3">
        <w:rPr>
          <w:rFonts w:cs="Times New Roman"/>
          <w:i/>
          <w:iCs/>
          <w:szCs w:val="24"/>
          <w:lang w:val="lt-LT"/>
        </w:rPr>
        <w:t xml:space="preserve">879/16, </w:t>
      </w:r>
      <w:hyperlink r:id="rId12" w:history="1">
        <w:r w:rsidRPr="002127C3">
          <w:rPr>
            <w:rStyle w:val="Hyperlink"/>
            <w:rFonts w:cs="Times New Roman"/>
            <w:i/>
            <w:iCs/>
            <w:szCs w:val="24"/>
            <w:lang w:val="lt-LT"/>
          </w:rPr>
          <w:t>ECLI:EU:T:2018:77</w:t>
        </w:r>
      </w:hyperlink>
      <w:r w:rsidRPr="002127C3">
        <w:rPr>
          <w:rFonts w:cs="Times New Roman"/>
          <w:i/>
          <w:iCs/>
          <w:szCs w:val="24"/>
          <w:lang w:val="lt-LT"/>
        </w:rPr>
        <w:t>, 31.</w:t>
      </w:r>
      <w:r w:rsidR="0039627C" w:rsidRPr="002127C3">
        <w:rPr>
          <w:rFonts w:cs="Times New Roman"/>
          <w:i/>
          <w:iCs/>
          <w:szCs w:val="24"/>
          <w:lang w:val="lt-LT"/>
        </w:rPr>
        <w:t> </w:t>
      </w:r>
      <w:r w:rsidRPr="002127C3">
        <w:rPr>
          <w:rFonts w:cs="Times New Roman"/>
          <w:i/>
          <w:iCs/>
          <w:szCs w:val="24"/>
          <w:lang w:val="lt-LT"/>
        </w:rPr>
        <w:t>punkt</w:t>
      </w:r>
      <w:r w:rsidR="00D36D6E" w:rsidRPr="002127C3">
        <w:rPr>
          <w:rFonts w:cs="Times New Roman"/>
          <w:i/>
          <w:iCs/>
          <w:szCs w:val="24"/>
          <w:lang w:val="lt-LT"/>
        </w:rPr>
        <w:t>u</w:t>
      </w:r>
      <w:r w:rsidRPr="002127C3">
        <w:rPr>
          <w:rFonts w:cs="Times New Roman"/>
          <w:szCs w:val="24"/>
          <w:lang w:val="lt-LT"/>
        </w:rPr>
        <w:t>).</w:t>
      </w:r>
    </w:p>
    <w:p w14:paraId="602C7B0E" w14:textId="66862920" w:rsidR="00ED5DCA" w:rsidRPr="002127C3" w:rsidRDefault="007F2A83" w:rsidP="002127C3">
      <w:pPr>
        <w:pStyle w:val="NoSpacing"/>
        <w:spacing w:line="276" w:lineRule="auto"/>
        <w:ind w:firstLine="720"/>
        <w:jc w:val="both"/>
        <w:rPr>
          <w:rFonts w:cs="Times New Roman"/>
          <w:szCs w:val="24"/>
          <w:lang w:val="lt-LT"/>
        </w:rPr>
      </w:pPr>
      <w:r w:rsidRPr="002127C3">
        <w:rPr>
          <w:rFonts w:cs="Times New Roman"/>
          <w:szCs w:val="24"/>
          <w:lang w:val="lt-LT"/>
        </w:rPr>
        <w:t>[6.1.2] </w:t>
      </w:r>
      <w:r w:rsidR="00ED5DCA" w:rsidRPr="002127C3">
        <w:rPr>
          <w:rFonts w:cs="Times New Roman"/>
          <w:szCs w:val="24"/>
          <w:lang w:val="lt-LT"/>
        </w:rPr>
        <w:t>Motīvus, kuri nav saistīti ar rezolūciju, ir iespējams atšķirt, apsverot to ietekmi uz rezolūciju, proti, izvērtējot, vai konkrētajos motīvos ietverto secinājumu maiņa liktu apšaubīt rezolūciju (saskaņā ar doktrīnā norādīto: „</w:t>
      </w:r>
      <w:r w:rsidR="00ED5DCA" w:rsidRPr="002127C3">
        <w:rPr>
          <w:rFonts w:cs="Times New Roman"/>
          <w:i/>
          <w:iCs/>
          <w:szCs w:val="24"/>
          <w:lang w:val="lt-LT"/>
        </w:rPr>
        <w:t xml:space="preserve">vai citādu apsvērumu gadījumā rezolūcija </w:t>
      </w:r>
      <w:r w:rsidR="00ED5DCA" w:rsidRPr="002127C3">
        <w:rPr>
          <w:rFonts w:cs="Times New Roman"/>
          <w:i/>
          <w:iCs/>
          <w:szCs w:val="24"/>
          <w:lang w:val="lt-LT"/>
        </w:rPr>
        <w:lastRenderedPageBreak/>
        <w:t>seku ziņā iegūtu pavisam citu nozīmi</w:t>
      </w:r>
      <w:r w:rsidR="00ED5DCA" w:rsidRPr="002127C3">
        <w:rPr>
          <w:rFonts w:cs="Times New Roman"/>
          <w:szCs w:val="24"/>
          <w:lang w:val="lt-LT"/>
        </w:rPr>
        <w:t xml:space="preserve">”) vai citiem vārdiem, izvērtējot, vai attiecīgie motīvi ir vai nav obligāts un nepieciešams priekšnoteikums rezolūcijas taisīšanai. </w:t>
      </w:r>
    </w:p>
    <w:p w14:paraId="31AAAA1C" w14:textId="77777777" w:rsidR="00E32D35" w:rsidRPr="002127C3" w:rsidRDefault="00E32D35" w:rsidP="002127C3">
      <w:pPr>
        <w:pStyle w:val="NoSpacing"/>
        <w:spacing w:line="276" w:lineRule="auto"/>
        <w:ind w:firstLine="720"/>
        <w:jc w:val="both"/>
        <w:rPr>
          <w:rFonts w:cs="Times New Roman"/>
          <w:szCs w:val="24"/>
          <w:lang w:val="lt-LT"/>
        </w:rPr>
      </w:pPr>
      <w:r w:rsidRPr="002127C3">
        <w:rPr>
          <w:rFonts w:cs="Times New Roman"/>
          <w:szCs w:val="24"/>
          <w:lang w:val="lt-LT"/>
        </w:rPr>
        <w:t>Rezolūcijas par prasības noraidīšanu taisīšanai pietiek ar kaut viena kaitējuma atlīdzināšanas priekšnoteikuma iztrūkumu (konkrētajā gadījumā – kaitējuma neesību).</w:t>
      </w:r>
    </w:p>
    <w:p w14:paraId="6CD2C7B4" w14:textId="284F33DC" w:rsidR="00B911AE" w:rsidRPr="002127C3" w:rsidRDefault="007B234C" w:rsidP="002127C3">
      <w:pPr>
        <w:pStyle w:val="NoSpacing"/>
        <w:spacing w:line="276" w:lineRule="auto"/>
        <w:ind w:firstLine="720"/>
        <w:jc w:val="both"/>
        <w:rPr>
          <w:rFonts w:cs="Times New Roman"/>
          <w:szCs w:val="24"/>
          <w:lang w:val="lt-LT"/>
        </w:rPr>
      </w:pPr>
      <w:r w:rsidRPr="002127C3">
        <w:rPr>
          <w:rFonts w:cs="Times New Roman"/>
          <w:szCs w:val="24"/>
          <w:lang w:val="lt-LT"/>
        </w:rPr>
        <w:t>P</w:t>
      </w:r>
      <w:r w:rsidR="00486234" w:rsidRPr="002127C3">
        <w:rPr>
          <w:rFonts w:cs="Times New Roman"/>
          <w:szCs w:val="24"/>
          <w:lang w:val="lt-LT"/>
        </w:rPr>
        <w:t>ā</w:t>
      </w:r>
      <w:r w:rsidR="00C31166" w:rsidRPr="002127C3">
        <w:rPr>
          <w:rFonts w:cs="Times New Roman"/>
          <w:szCs w:val="24"/>
          <w:lang w:val="lt-LT"/>
        </w:rPr>
        <w:t xml:space="preserve">rsūdzētā sprieduma motīvi, kuros </w:t>
      </w:r>
      <w:r w:rsidR="00486234" w:rsidRPr="002127C3">
        <w:rPr>
          <w:rFonts w:cs="Times New Roman"/>
          <w:szCs w:val="24"/>
          <w:lang w:val="lt-LT"/>
        </w:rPr>
        <w:t xml:space="preserve">ietverts </w:t>
      </w:r>
      <w:r w:rsidR="00B911AE" w:rsidRPr="002127C3">
        <w:rPr>
          <w:rFonts w:cs="Times New Roman"/>
          <w:szCs w:val="24"/>
          <w:lang w:val="lt-LT"/>
        </w:rPr>
        <w:t xml:space="preserve">secinājums par </w:t>
      </w:r>
      <w:r w:rsidR="00C31166" w:rsidRPr="002127C3">
        <w:rPr>
          <w:rFonts w:cs="Times New Roman"/>
          <w:szCs w:val="24"/>
          <w:lang w:val="lt-LT"/>
        </w:rPr>
        <w:t>atbildētāju rīcīb</w:t>
      </w:r>
      <w:r w:rsidR="00486234" w:rsidRPr="002127C3">
        <w:rPr>
          <w:rFonts w:cs="Times New Roman"/>
          <w:szCs w:val="24"/>
          <w:lang w:val="lt-LT"/>
        </w:rPr>
        <w:t>as vērtējum</w:t>
      </w:r>
      <w:r w:rsidR="00B911AE" w:rsidRPr="002127C3">
        <w:rPr>
          <w:rFonts w:cs="Times New Roman"/>
          <w:szCs w:val="24"/>
          <w:lang w:val="lt-LT"/>
        </w:rPr>
        <w:t>u (atzīstot rīcību par prettiesisku)</w:t>
      </w:r>
      <w:r w:rsidR="00E32D35" w:rsidRPr="002127C3">
        <w:rPr>
          <w:rFonts w:cs="Times New Roman"/>
          <w:szCs w:val="24"/>
          <w:lang w:val="lt-LT"/>
        </w:rPr>
        <w:t>, nav cieši saistīti ar rezolūciju, jo tie nav obligāts un nepieciešams priekšnoteikums noraidošas rezolūcijas taisīšanai. To apstiprina tas, ka visu kaitējuma atlīdzināšanai nepieciešamo priekšnoteikum</w:t>
      </w:r>
      <w:r w:rsidR="0039627C" w:rsidRPr="002127C3">
        <w:rPr>
          <w:rFonts w:cs="Times New Roman"/>
          <w:szCs w:val="24"/>
          <w:lang w:val="lt-LT"/>
        </w:rPr>
        <w:t>u</w:t>
      </w:r>
      <w:r w:rsidR="00E32D35" w:rsidRPr="002127C3">
        <w:rPr>
          <w:rFonts w:cs="Times New Roman"/>
          <w:szCs w:val="24"/>
          <w:lang w:val="lt-LT"/>
        </w:rPr>
        <w:t xml:space="preserve">, citstarp prettiesiskas rīcības esība, ir obligāts priekšnoteikums </w:t>
      </w:r>
      <w:r w:rsidR="00EB4387" w:rsidRPr="002127C3">
        <w:rPr>
          <w:rFonts w:cs="Times New Roman"/>
          <w:szCs w:val="24"/>
          <w:lang w:val="lt-LT"/>
        </w:rPr>
        <w:t>rezolūcij</w:t>
      </w:r>
      <w:r w:rsidR="00E32D35" w:rsidRPr="002127C3">
        <w:rPr>
          <w:rFonts w:cs="Times New Roman"/>
          <w:szCs w:val="24"/>
          <w:lang w:val="lt-LT"/>
        </w:rPr>
        <w:t>as</w:t>
      </w:r>
      <w:r w:rsidR="00EB4387" w:rsidRPr="002127C3">
        <w:rPr>
          <w:rFonts w:cs="Times New Roman"/>
          <w:szCs w:val="24"/>
          <w:lang w:val="lt-LT"/>
        </w:rPr>
        <w:t xml:space="preserve"> par prasības apmierināšanu</w:t>
      </w:r>
      <w:r w:rsidR="00E32D35" w:rsidRPr="002127C3">
        <w:rPr>
          <w:rFonts w:cs="Times New Roman"/>
          <w:szCs w:val="24"/>
          <w:lang w:val="lt-LT"/>
        </w:rPr>
        <w:t xml:space="preserve"> taisīšanai</w:t>
      </w:r>
      <w:r w:rsidR="00B52006" w:rsidRPr="002127C3">
        <w:rPr>
          <w:rFonts w:cs="Times New Roman"/>
          <w:szCs w:val="24"/>
          <w:lang w:val="lt-LT"/>
        </w:rPr>
        <w:t>.</w:t>
      </w:r>
    </w:p>
    <w:p w14:paraId="0FB0A7EA" w14:textId="77777777" w:rsidR="00E32D35" w:rsidRPr="002127C3" w:rsidRDefault="00E32D35" w:rsidP="002127C3">
      <w:pPr>
        <w:pStyle w:val="NoSpacing"/>
        <w:spacing w:line="276" w:lineRule="auto"/>
        <w:ind w:firstLine="720"/>
        <w:jc w:val="both"/>
        <w:rPr>
          <w:rFonts w:cs="Times New Roman"/>
          <w:szCs w:val="24"/>
          <w:lang w:val="lt-LT"/>
        </w:rPr>
      </w:pPr>
      <w:r w:rsidRPr="002127C3">
        <w:rPr>
          <w:rFonts w:cs="Times New Roman"/>
          <w:szCs w:val="24"/>
          <w:lang w:val="lt-LT"/>
        </w:rPr>
        <w:t>Tādējādi konkrētajā gadījumā spēkā stājas tikai tie sprieduma motīvi, saskaņā ar kuriem prasītājs nav pierādījis, ka viņam nodarīts nemantiskais kaitējums, jo tie ir ciešā un nesaraujamā sakarā ar rezolūciju par prasības noraidīšanu.</w:t>
      </w:r>
    </w:p>
    <w:p w14:paraId="3F7BD282" w14:textId="33B9D3FD" w:rsidR="00486234" w:rsidRPr="002127C3" w:rsidRDefault="00B52006" w:rsidP="002127C3">
      <w:pPr>
        <w:pStyle w:val="NoSpacing"/>
        <w:spacing w:line="276" w:lineRule="auto"/>
        <w:ind w:firstLine="720"/>
        <w:jc w:val="both"/>
        <w:rPr>
          <w:rFonts w:cs="Times New Roman"/>
          <w:szCs w:val="24"/>
          <w:lang w:val="lt-LT"/>
        </w:rPr>
      </w:pPr>
      <w:r w:rsidRPr="002127C3">
        <w:rPr>
          <w:rFonts w:cs="Times New Roman"/>
          <w:szCs w:val="24"/>
          <w:lang w:val="lt-LT"/>
        </w:rPr>
        <w:t>Tas no</w:t>
      </w:r>
      <w:r w:rsidR="009647A1" w:rsidRPr="002127C3">
        <w:rPr>
          <w:rFonts w:cs="Times New Roman"/>
          <w:szCs w:val="24"/>
          <w:lang w:val="lt-LT"/>
        </w:rPr>
        <w:t>z</w:t>
      </w:r>
      <w:r w:rsidRPr="002127C3">
        <w:rPr>
          <w:rFonts w:cs="Times New Roman"/>
          <w:szCs w:val="24"/>
          <w:lang w:val="lt-LT"/>
        </w:rPr>
        <w:t xml:space="preserve">īmē, </w:t>
      </w:r>
      <w:r w:rsidR="00B36CBB" w:rsidRPr="002127C3">
        <w:rPr>
          <w:rFonts w:cs="Times New Roman"/>
          <w:szCs w:val="24"/>
          <w:lang w:val="lt-LT"/>
        </w:rPr>
        <w:t xml:space="preserve">ka, </w:t>
      </w:r>
      <w:r w:rsidRPr="002127C3">
        <w:rPr>
          <w:rFonts w:cs="Times New Roman"/>
          <w:szCs w:val="24"/>
          <w:lang w:val="lt-LT"/>
        </w:rPr>
        <w:t xml:space="preserve">ja kādā citā pušu strīdā būs nozīme attiecīgās rīcības tiesiskuma vērtējumam, tas </w:t>
      </w:r>
      <w:r w:rsidR="009647A1" w:rsidRPr="002127C3">
        <w:rPr>
          <w:rFonts w:cs="Times New Roman"/>
          <w:szCs w:val="24"/>
          <w:lang w:val="lt-LT"/>
        </w:rPr>
        <w:t xml:space="preserve">tiesai </w:t>
      </w:r>
      <w:r w:rsidRPr="002127C3">
        <w:rPr>
          <w:rFonts w:cs="Times New Roman"/>
          <w:szCs w:val="24"/>
          <w:lang w:val="lt-LT"/>
        </w:rPr>
        <w:t>būs jāveic patstāvīgi</w:t>
      </w:r>
      <w:r w:rsidR="009647A1" w:rsidRPr="002127C3">
        <w:rPr>
          <w:rFonts w:cs="Times New Roman"/>
          <w:szCs w:val="24"/>
          <w:lang w:val="lt-LT"/>
        </w:rPr>
        <w:t xml:space="preserve"> </w:t>
      </w:r>
      <w:r w:rsidRPr="002127C3">
        <w:rPr>
          <w:rFonts w:cs="Times New Roman"/>
          <w:szCs w:val="24"/>
          <w:lang w:val="lt-LT"/>
        </w:rPr>
        <w:t>un nevarēs atsa</w:t>
      </w:r>
      <w:r w:rsidR="009647A1" w:rsidRPr="002127C3">
        <w:rPr>
          <w:rFonts w:cs="Times New Roman"/>
          <w:szCs w:val="24"/>
          <w:lang w:val="lt-LT"/>
        </w:rPr>
        <w:t>u</w:t>
      </w:r>
      <w:r w:rsidRPr="002127C3">
        <w:rPr>
          <w:rFonts w:cs="Times New Roman"/>
          <w:szCs w:val="24"/>
          <w:lang w:val="lt-LT"/>
        </w:rPr>
        <w:t xml:space="preserve">kties </w:t>
      </w:r>
      <w:r w:rsidR="009647A1" w:rsidRPr="002127C3">
        <w:rPr>
          <w:rFonts w:cs="Times New Roman"/>
          <w:szCs w:val="24"/>
          <w:lang w:val="lt-LT"/>
        </w:rPr>
        <w:t xml:space="preserve">uz </w:t>
      </w:r>
      <w:r w:rsidRPr="002127C3">
        <w:rPr>
          <w:rFonts w:cs="Times New Roman"/>
          <w:szCs w:val="24"/>
          <w:lang w:val="lt-LT"/>
        </w:rPr>
        <w:t>šajā lietā taisītā sprieduma motīviem, kuri nav stājušies spēkā</w:t>
      </w:r>
      <w:r w:rsidR="009647A1" w:rsidRPr="002127C3">
        <w:rPr>
          <w:rFonts w:cs="Times New Roman"/>
          <w:szCs w:val="24"/>
          <w:lang w:val="lt-LT"/>
        </w:rPr>
        <w:t xml:space="preserve">, </w:t>
      </w:r>
      <w:r w:rsidR="00247EED" w:rsidRPr="002127C3">
        <w:rPr>
          <w:rFonts w:cs="Times New Roman"/>
          <w:szCs w:val="24"/>
          <w:lang w:val="lt-LT"/>
        </w:rPr>
        <w:t xml:space="preserve">un kuriem līdz ar to </w:t>
      </w:r>
      <w:r w:rsidR="009647A1" w:rsidRPr="002127C3">
        <w:rPr>
          <w:rFonts w:cs="Times New Roman"/>
          <w:szCs w:val="24"/>
          <w:lang w:val="lt-LT"/>
        </w:rPr>
        <w:t>nav saistoša spēka (</w:t>
      </w:r>
      <w:r w:rsidRPr="002127C3">
        <w:rPr>
          <w:rFonts w:cs="Times New Roman"/>
          <w:i/>
          <w:iCs/>
          <w:szCs w:val="24"/>
          <w:lang w:val="lt-LT"/>
        </w:rPr>
        <w:t>res judicata</w:t>
      </w:r>
      <w:r w:rsidR="009647A1" w:rsidRPr="002127C3">
        <w:rPr>
          <w:rFonts w:cs="Times New Roman"/>
          <w:szCs w:val="24"/>
          <w:lang w:val="lt-LT"/>
        </w:rPr>
        <w:t>).</w:t>
      </w:r>
    </w:p>
    <w:p w14:paraId="1D0D2C71" w14:textId="3F84508A" w:rsidR="007D1226" w:rsidRPr="002127C3" w:rsidRDefault="00D62B04" w:rsidP="002127C3">
      <w:pPr>
        <w:pStyle w:val="NoSpacing"/>
        <w:spacing w:line="276" w:lineRule="auto"/>
        <w:ind w:firstLine="720"/>
        <w:jc w:val="both"/>
        <w:rPr>
          <w:rFonts w:cs="Times New Roman"/>
          <w:szCs w:val="24"/>
          <w:lang w:val="lt-LT"/>
        </w:rPr>
      </w:pPr>
      <w:r w:rsidRPr="002127C3">
        <w:rPr>
          <w:rFonts w:cs="Times New Roman"/>
          <w:szCs w:val="24"/>
          <w:lang w:val="lt-LT"/>
        </w:rPr>
        <w:t>[6.2]</w:t>
      </w:r>
      <w:r w:rsidR="007D1226" w:rsidRPr="002127C3">
        <w:rPr>
          <w:rFonts w:cs="Times New Roman"/>
          <w:szCs w:val="24"/>
          <w:lang w:val="lt-LT"/>
        </w:rPr>
        <w:t xml:space="preserve"> </w:t>
      </w:r>
      <w:r w:rsidR="002B2377" w:rsidRPr="002127C3">
        <w:rPr>
          <w:rFonts w:cs="Times New Roman"/>
          <w:szCs w:val="24"/>
          <w:lang w:val="lt-LT"/>
        </w:rPr>
        <w:t xml:space="preserve">Vienlaikus </w:t>
      </w:r>
      <w:r w:rsidR="0039627C" w:rsidRPr="002127C3">
        <w:rPr>
          <w:rFonts w:cs="Times New Roman"/>
          <w:szCs w:val="24"/>
          <w:lang w:val="lt-LT"/>
        </w:rPr>
        <w:t xml:space="preserve">senatoru kolēģija </w:t>
      </w:r>
      <w:r w:rsidR="002B2377" w:rsidRPr="002127C3">
        <w:rPr>
          <w:rFonts w:cs="Times New Roman"/>
          <w:szCs w:val="24"/>
          <w:lang w:val="lt-LT"/>
        </w:rPr>
        <w:t>atzīst, ka kasācijas sūdzībā izvirzītie lūgumi neatbilst likuma prasībām.</w:t>
      </w:r>
    </w:p>
    <w:p w14:paraId="0E95A78B" w14:textId="5D2FB0AD" w:rsidR="00D62B04" w:rsidRPr="002127C3" w:rsidRDefault="00D62B04" w:rsidP="002127C3">
      <w:pPr>
        <w:pStyle w:val="NoSpacing"/>
        <w:spacing w:line="276" w:lineRule="auto"/>
        <w:ind w:firstLine="720"/>
        <w:jc w:val="both"/>
        <w:rPr>
          <w:rFonts w:cs="Times New Roman"/>
          <w:szCs w:val="24"/>
          <w:lang w:val="lt-LT"/>
        </w:rPr>
      </w:pPr>
      <w:r w:rsidRPr="002127C3">
        <w:rPr>
          <w:rFonts w:cs="Times New Roman"/>
          <w:szCs w:val="24"/>
          <w:lang w:val="lt-LT"/>
        </w:rPr>
        <w:t>Civilprocesa likuma 450.</w:t>
      </w:r>
      <w:r w:rsidR="00F737AB" w:rsidRPr="002127C3">
        <w:rPr>
          <w:rFonts w:cs="Times New Roman"/>
          <w:szCs w:val="24"/>
          <w:lang w:val="lt-LT"/>
        </w:rPr>
        <w:t> </w:t>
      </w:r>
      <w:r w:rsidRPr="002127C3">
        <w:rPr>
          <w:rFonts w:cs="Times New Roman"/>
          <w:szCs w:val="24"/>
          <w:lang w:val="lt-LT"/>
        </w:rPr>
        <w:t>panta trešā daļa noteic, ka kasācijas kārtībā var pārsūdzēt apelācijas instances tiesas spriedumu, ja tiesa nepareizi piemērojusi materiālo tiesību normu, pārkāpusi procesuālo tiesību normu vai, izskatot lietu, pārsniegusi savas kompetences robežas. Saskaņā ar Civilprocesa likuma 451.</w:t>
      </w:r>
      <w:r w:rsidR="000F15A4" w:rsidRPr="002127C3">
        <w:rPr>
          <w:rFonts w:cs="Times New Roman"/>
          <w:szCs w:val="24"/>
          <w:lang w:val="lt-LT"/>
        </w:rPr>
        <w:t> </w:t>
      </w:r>
      <w:r w:rsidRPr="002127C3">
        <w:rPr>
          <w:rFonts w:cs="Times New Roman"/>
          <w:szCs w:val="24"/>
          <w:lang w:val="lt-LT"/>
        </w:rPr>
        <w:t>panta otro daļu un 452.</w:t>
      </w:r>
      <w:r w:rsidR="000F15A4" w:rsidRPr="002127C3">
        <w:rPr>
          <w:rFonts w:cs="Times New Roman"/>
          <w:szCs w:val="24"/>
          <w:lang w:val="lt-LT"/>
        </w:rPr>
        <w:t> </w:t>
      </w:r>
      <w:r w:rsidRPr="002127C3">
        <w:rPr>
          <w:rFonts w:cs="Times New Roman"/>
          <w:szCs w:val="24"/>
          <w:lang w:val="lt-LT"/>
        </w:rPr>
        <w:t>panta otro daļu materiālo tiesību normas nepareiza piemērošana vai procesuālo tiesību normas pārkāpums var būt pamats sprieduma pārsūdzēšanai kasācijas kārtībā, ja tas ir novedis vai varēja novest pie lietas nepareizas izspriešanas. Iesniedzot kasācijas sūdzību atbilstoši Civilprocesa likuma 453.</w:t>
      </w:r>
      <w:r w:rsidR="001F7BF1" w:rsidRPr="002127C3">
        <w:rPr>
          <w:rFonts w:cs="Times New Roman"/>
          <w:szCs w:val="24"/>
          <w:lang w:val="lt-LT"/>
        </w:rPr>
        <w:t> </w:t>
      </w:r>
      <w:r w:rsidRPr="002127C3">
        <w:rPr>
          <w:rFonts w:cs="Times New Roman"/>
          <w:szCs w:val="24"/>
          <w:lang w:val="lt-LT"/>
        </w:rPr>
        <w:t>pantam tajā jānorāda gan tas, kādā apjomā spriedumu pārsūdz, gan arī Senātam izteiktais lūgums. Norādītie Civilprocesa likuma 453.</w:t>
      </w:r>
      <w:r w:rsidR="000F15A4" w:rsidRPr="002127C3">
        <w:rPr>
          <w:rFonts w:cs="Times New Roman"/>
          <w:szCs w:val="24"/>
          <w:lang w:val="lt-LT"/>
        </w:rPr>
        <w:t> </w:t>
      </w:r>
      <w:r w:rsidRPr="002127C3">
        <w:rPr>
          <w:rFonts w:cs="Times New Roman"/>
          <w:szCs w:val="24"/>
          <w:lang w:val="lt-LT"/>
        </w:rPr>
        <w:t>panta noteikumi piemērojami savstarpējā saistībā, kas nozīmē, ka lūgumam jāattiecas uz pārsūdzēto spriedumu – apjomu, kādā tiek pārsūdzēta tā rezolūcija (rezolutīvā daļa).</w:t>
      </w:r>
    </w:p>
    <w:p w14:paraId="1E49440F" w14:textId="1B779796" w:rsidR="00D62B04" w:rsidRPr="002127C3" w:rsidRDefault="00D62B04" w:rsidP="002127C3">
      <w:pPr>
        <w:pStyle w:val="NoSpacing"/>
        <w:spacing w:line="276" w:lineRule="auto"/>
        <w:ind w:firstLine="720"/>
        <w:jc w:val="both"/>
        <w:rPr>
          <w:rFonts w:cs="Times New Roman"/>
          <w:szCs w:val="24"/>
          <w:lang w:val="lt-LT"/>
        </w:rPr>
      </w:pPr>
      <w:r w:rsidRPr="002127C3">
        <w:rPr>
          <w:rFonts w:cs="Times New Roman"/>
          <w:szCs w:val="24"/>
          <w:lang w:val="lt-LT"/>
        </w:rPr>
        <w:t>Minētās Civilprocesa likuma tiesību normas piemērojamas kopsakarā ar  Civilprocesa likuma 474.</w:t>
      </w:r>
      <w:r w:rsidR="00F737AB" w:rsidRPr="002127C3">
        <w:rPr>
          <w:rFonts w:cs="Times New Roman"/>
          <w:szCs w:val="24"/>
          <w:lang w:val="lt-LT"/>
        </w:rPr>
        <w:t> </w:t>
      </w:r>
      <w:r w:rsidRPr="002127C3">
        <w:rPr>
          <w:rFonts w:cs="Times New Roman"/>
          <w:szCs w:val="24"/>
          <w:lang w:val="lt-LT"/>
        </w:rPr>
        <w:t>pantu, atbilstoši kuram kasācijas instances tiesa var taisīt vienu no šādiem spriedumiem: 1) atstāt spriedumu negrozītu, bet sūdzību noraidīt; 2) atcelt visu spriedumu vai kādā tā daļā un nodot lietu jaunai izskatīšanai apelācijas vai pirmās instances tiesā; 3) atcelt visu spriedumu vai tā daļu un atstāt pieteikumu bez izskatīšanas vai arī izbeigt tiesvedību, ja otrās instances tiesa nav ievērojusi šā likuma 219. vai 223.</w:t>
      </w:r>
      <w:r w:rsidR="00F737AB" w:rsidRPr="002127C3">
        <w:rPr>
          <w:rFonts w:cs="Times New Roman"/>
          <w:szCs w:val="24"/>
          <w:lang w:val="lt-LT"/>
        </w:rPr>
        <w:t> </w:t>
      </w:r>
      <w:r w:rsidRPr="002127C3">
        <w:rPr>
          <w:rFonts w:cs="Times New Roman"/>
          <w:szCs w:val="24"/>
          <w:lang w:val="lt-LT"/>
        </w:rPr>
        <w:t>panta noteikumus; 4) grozīt spriedumu daļā par prasības apmēru, ja tas nepareizi noteikts, kļūdaini piemērojot materiālo tiesību normu. No tā izriet, ka attiecīgs kasācijas instances tiesas spriedums atstāj negrozītu vai atceļ, vai groza pārsūdzētā sprieduma rezolutīvo daļu. Savukārt kasācijas sūdzības iesniedzējam, izsakot lūgumu Senātam, jāievēro norādītie spriedumu veidi.</w:t>
      </w:r>
    </w:p>
    <w:p w14:paraId="7BC4AEA4" w14:textId="77777777" w:rsidR="00D62B04" w:rsidRPr="002127C3" w:rsidRDefault="00D62B04" w:rsidP="002127C3">
      <w:pPr>
        <w:pStyle w:val="NoSpacing"/>
        <w:spacing w:line="276" w:lineRule="auto"/>
        <w:ind w:firstLine="720"/>
        <w:jc w:val="both"/>
        <w:rPr>
          <w:rFonts w:cs="Times New Roman"/>
          <w:szCs w:val="24"/>
          <w:lang w:val="lt-LT"/>
        </w:rPr>
      </w:pPr>
      <w:r w:rsidRPr="002127C3">
        <w:rPr>
          <w:rFonts w:cs="Times New Roman"/>
          <w:szCs w:val="24"/>
          <w:lang w:val="lt-LT"/>
        </w:rPr>
        <w:t>Konkrētā lieta ir izspriesta tādējādi, ka prasība par morālā kaitējuma atlīdzības piedziņu ir pilnīgi noraidīta. Proti, spriedums ir atbildētāju labā.</w:t>
      </w:r>
    </w:p>
    <w:p w14:paraId="436CB673" w14:textId="52128ED4" w:rsidR="00D62B04" w:rsidRPr="002127C3" w:rsidRDefault="00D62B04" w:rsidP="002127C3">
      <w:pPr>
        <w:pStyle w:val="NoSpacing"/>
        <w:spacing w:line="276" w:lineRule="auto"/>
        <w:ind w:firstLine="720"/>
        <w:jc w:val="both"/>
        <w:rPr>
          <w:rFonts w:cs="Times New Roman"/>
          <w:szCs w:val="24"/>
          <w:lang w:val="lt-LT"/>
        </w:rPr>
      </w:pPr>
      <w:r w:rsidRPr="002127C3">
        <w:rPr>
          <w:rFonts w:cs="Times New Roman"/>
          <w:szCs w:val="24"/>
          <w:lang w:val="lt-LT"/>
        </w:rPr>
        <w:lastRenderedPageBreak/>
        <w:t>Atbildētājas kasācijas sūdzībā lūdz</w:t>
      </w:r>
      <w:r w:rsidR="0039627C" w:rsidRPr="002127C3">
        <w:rPr>
          <w:rFonts w:cs="Times New Roman"/>
          <w:szCs w:val="24"/>
          <w:lang w:val="lt-LT"/>
        </w:rPr>
        <w:t>:</w:t>
      </w:r>
      <w:r w:rsidRPr="002127C3">
        <w:rPr>
          <w:rFonts w:cs="Times New Roman"/>
          <w:szCs w:val="24"/>
          <w:lang w:val="lt-LT"/>
        </w:rPr>
        <w:t xml:space="preserve"> 1) atcelt spriedumu, ciktāl tas konstatē prasītāja tiesību aizskārumu un kasatoru neatļautu darbību; 2) nodot lietu jaunai izskatīšanai apelācijas instances tiesai.</w:t>
      </w:r>
    </w:p>
    <w:p w14:paraId="6D82AB24" w14:textId="3338ED14" w:rsidR="00D62B04" w:rsidRPr="002127C3" w:rsidRDefault="00D62B04" w:rsidP="002127C3">
      <w:pPr>
        <w:pStyle w:val="NoSpacing"/>
        <w:spacing w:line="276" w:lineRule="auto"/>
        <w:ind w:firstLine="720"/>
        <w:jc w:val="both"/>
        <w:rPr>
          <w:rFonts w:cs="Times New Roman"/>
          <w:szCs w:val="24"/>
          <w:lang w:val="lt-LT"/>
        </w:rPr>
      </w:pPr>
      <w:r w:rsidRPr="002127C3">
        <w:rPr>
          <w:rFonts w:cs="Times New Roman"/>
          <w:szCs w:val="24"/>
          <w:lang w:val="lt-LT"/>
        </w:rPr>
        <w:t>Senatoru kolēģija atzīst, ka šādi lūgumi, kas nav vērsti pret pārsūdzētā sprieduma rezolūciju, neatbilst Civilprocesa likuma 453.</w:t>
      </w:r>
      <w:r w:rsidR="0039627C" w:rsidRPr="002127C3">
        <w:rPr>
          <w:rFonts w:cs="Times New Roman"/>
          <w:szCs w:val="24"/>
          <w:lang w:val="lt-LT"/>
        </w:rPr>
        <w:t> </w:t>
      </w:r>
      <w:r w:rsidRPr="002127C3">
        <w:rPr>
          <w:rFonts w:cs="Times New Roman"/>
          <w:szCs w:val="24"/>
          <w:lang w:val="lt-LT"/>
        </w:rPr>
        <w:t>panta pirmās daļas 4. un 7.</w:t>
      </w:r>
      <w:r w:rsidR="00F737AB" w:rsidRPr="002127C3">
        <w:rPr>
          <w:rFonts w:cs="Times New Roman"/>
          <w:szCs w:val="24"/>
          <w:lang w:val="lt-LT"/>
        </w:rPr>
        <w:t> </w:t>
      </w:r>
      <w:r w:rsidRPr="002127C3">
        <w:rPr>
          <w:rFonts w:cs="Times New Roman"/>
          <w:szCs w:val="24"/>
          <w:lang w:val="lt-LT"/>
        </w:rPr>
        <w:t>punktā, kā arī 474.</w:t>
      </w:r>
      <w:r w:rsidR="002B2377" w:rsidRPr="002127C3">
        <w:rPr>
          <w:rFonts w:cs="Times New Roman"/>
          <w:szCs w:val="24"/>
          <w:lang w:val="lt-LT"/>
        </w:rPr>
        <w:t> </w:t>
      </w:r>
      <w:r w:rsidRPr="002127C3">
        <w:rPr>
          <w:rFonts w:cs="Times New Roman"/>
          <w:szCs w:val="24"/>
          <w:lang w:val="lt-LT"/>
        </w:rPr>
        <w:t>pantā noteiktajam, un kasācijas sūdzība, kas iesniegta vienīgi par sprieduma motīvu daļā ietvertu secinājumu, neatbilst likuma prasībām.</w:t>
      </w:r>
    </w:p>
    <w:p w14:paraId="0838B554" w14:textId="5A1B99D8" w:rsidR="00900FE6" w:rsidRPr="002127C3" w:rsidRDefault="009647A1" w:rsidP="002127C3">
      <w:pPr>
        <w:pStyle w:val="NoSpacing"/>
        <w:spacing w:line="276" w:lineRule="auto"/>
        <w:ind w:firstLine="720"/>
        <w:jc w:val="both"/>
        <w:rPr>
          <w:rFonts w:cs="Times New Roman"/>
          <w:szCs w:val="24"/>
          <w:lang w:val="lt-LT"/>
        </w:rPr>
      </w:pPr>
      <w:r w:rsidRPr="002127C3">
        <w:rPr>
          <w:rFonts w:cs="Times New Roman"/>
          <w:szCs w:val="24"/>
          <w:lang w:val="lt-LT"/>
        </w:rPr>
        <w:t>[6.</w:t>
      </w:r>
      <w:r w:rsidR="00D62B04" w:rsidRPr="002127C3">
        <w:rPr>
          <w:rFonts w:cs="Times New Roman"/>
          <w:szCs w:val="24"/>
          <w:lang w:val="lt-LT"/>
        </w:rPr>
        <w:t>3</w:t>
      </w:r>
      <w:r w:rsidRPr="002127C3">
        <w:rPr>
          <w:rFonts w:cs="Times New Roman"/>
          <w:szCs w:val="24"/>
          <w:lang w:val="lt-LT"/>
        </w:rPr>
        <w:t>] </w:t>
      </w:r>
      <w:r w:rsidR="00530A91" w:rsidRPr="002127C3">
        <w:rPr>
          <w:rFonts w:cs="Times New Roman"/>
          <w:szCs w:val="24"/>
          <w:lang w:val="lt-LT"/>
        </w:rPr>
        <w:t xml:space="preserve">Ievērojot minēto, </w:t>
      </w:r>
      <w:r w:rsidR="00C26F04" w:rsidRPr="002127C3">
        <w:rPr>
          <w:rFonts w:cs="Times New Roman"/>
          <w:szCs w:val="24"/>
          <w:lang w:val="lt-LT"/>
        </w:rPr>
        <w:t>atzīstams</w:t>
      </w:r>
      <w:r w:rsidR="006B1539" w:rsidRPr="002127C3">
        <w:rPr>
          <w:rFonts w:cs="Times New Roman"/>
          <w:szCs w:val="24"/>
          <w:lang w:val="lt-LT"/>
        </w:rPr>
        <w:t xml:space="preserve">, ka </w:t>
      </w:r>
      <w:r w:rsidR="00386217" w:rsidRPr="002127C3">
        <w:rPr>
          <w:rFonts w:cs="Times New Roman"/>
          <w:szCs w:val="24"/>
          <w:lang w:val="lt-LT"/>
        </w:rPr>
        <w:t xml:space="preserve">atbildētāju </w:t>
      </w:r>
      <w:r w:rsidR="00530A91" w:rsidRPr="002127C3">
        <w:rPr>
          <w:rFonts w:cs="Times New Roman"/>
          <w:szCs w:val="24"/>
          <w:lang w:val="lt-LT"/>
        </w:rPr>
        <w:t>kasācijas sūdzība neatbilst Civilprocesa likuma 45</w:t>
      </w:r>
      <w:r w:rsidR="00247EED" w:rsidRPr="002127C3">
        <w:rPr>
          <w:rFonts w:cs="Times New Roman"/>
          <w:szCs w:val="24"/>
          <w:lang w:val="lt-LT"/>
        </w:rPr>
        <w:t>3</w:t>
      </w:r>
      <w:r w:rsidR="00530A91" w:rsidRPr="002127C3">
        <w:rPr>
          <w:rFonts w:cs="Times New Roman"/>
          <w:szCs w:val="24"/>
          <w:lang w:val="lt-LT"/>
        </w:rPr>
        <w:t>.</w:t>
      </w:r>
      <w:r w:rsidR="0096147B" w:rsidRPr="002127C3">
        <w:rPr>
          <w:rFonts w:cs="Times New Roman"/>
          <w:szCs w:val="24"/>
          <w:lang w:val="lt-LT"/>
        </w:rPr>
        <w:t> </w:t>
      </w:r>
      <w:r w:rsidR="00530A91" w:rsidRPr="002127C3">
        <w:rPr>
          <w:rFonts w:cs="Times New Roman"/>
          <w:szCs w:val="24"/>
          <w:lang w:val="lt-LT"/>
        </w:rPr>
        <w:t xml:space="preserve">panta </w:t>
      </w:r>
      <w:r w:rsidR="00247EED" w:rsidRPr="002127C3">
        <w:rPr>
          <w:rFonts w:cs="Times New Roman"/>
          <w:szCs w:val="24"/>
          <w:lang w:val="lt-LT"/>
        </w:rPr>
        <w:t xml:space="preserve">pirmās daļas </w:t>
      </w:r>
      <w:r w:rsidR="00DC2B49" w:rsidRPr="002127C3">
        <w:rPr>
          <w:rFonts w:cs="Times New Roman"/>
          <w:szCs w:val="24"/>
          <w:lang w:val="lt-LT"/>
        </w:rPr>
        <w:t>4</w:t>
      </w:r>
      <w:r w:rsidR="00247EED" w:rsidRPr="002127C3">
        <w:rPr>
          <w:rFonts w:cs="Times New Roman"/>
          <w:szCs w:val="24"/>
          <w:lang w:val="lt-LT"/>
        </w:rPr>
        <w:t xml:space="preserve">. un </w:t>
      </w:r>
      <w:r w:rsidR="00DC2B49" w:rsidRPr="002127C3">
        <w:rPr>
          <w:rFonts w:cs="Times New Roman"/>
          <w:szCs w:val="24"/>
          <w:lang w:val="lt-LT"/>
        </w:rPr>
        <w:t>7</w:t>
      </w:r>
      <w:r w:rsidR="00247EED" w:rsidRPr="002127C3">
        <w:rPr>
          <w:rFonts w:cs="Times New Roman"/>
          <w:szCs w:val="24"/>
          <w:lang w:val="lt-LT"/>
        </w:rPr>
        <w:t>.</w:t>
      </w:r>
      <w:r w:rsidR="00F737AB" w:rsidRPr="002127C3">
        <w:rPr>
          <w:rFonts w:cs="Times New Roman"/>
          <w:szCs w:val="24"/>
          <w:lang w:val="lt-LT"/>
        </w:rPr>
        <w:t> </w:t>
      </w:r>
      <w:r w:rsidR="00B717B8" w:rsidRPr="002127C3">
        <w:rPr>
          <w:rFonts w:cs="Times New Roman"/>
          <w:szCs w:val="24"/>
          <w:lang w:val="lt-LT"/>
        </w:rPr>
        <w:t>p</w:t>
      </w:r>
      <w:r w:rsidR="00247EED" w:rsidRPr="002127C3">
        <w:rPr>
          <w:rFonts w:cs="Times New Roman"/>
          <w:szCs w:val="24"/>
          <w:lang w:val="lt-LT"/>
        </w:rPr>
        <w:t>unktam kopsakarā ar 474.</w:t>
      </w:r>
      <w:r w:rsidR="00B77FC0" w:rsidRPr="002127C3">
        <w:rPr>
          <w:rFonts w:cs="Times New Roman"/>
          <w:szCs w:val="24"/>
          <w:lang w:val="lt-LT"/>
        </w:rPr>
        <w:t> p</w:t>
      </w:r>
      <w:r w:rsidR="00247EED" w:rsidRPr="002127C3">
        <w:rPr>
          <w:rFonts w:cs="Times New Roman"/>
          <w:szCs w:val="24"/>
          <w:lang w:val="lt-LT"/>
        </w:rPr>
        <w:t>antu</w:t>
      </w:r>
      <w:r w:rsidR="00B77FC0" w:rsidRPr="002127C3">
        <w:rPr>
          <w:rFonts w:cs="Times New Roman"/>
          <w:szCs w:val="24"/>
          <w:lang w:val="lt-LT"/>
        </w:rPr>
        <w:t xml:space="preserve">, kas ir pamats atteikt ierosināt kasācijas tiesvedību uz </w:t>
      </w:r>
      <w:r w:rsidR="0039627C" w:rsidRPr="002127C3">
        <w:rPr>
          <w:rFonts w:cs="Times New Roman"/>
          <w:szCs w:val="24"/>
          <w:lang w:val="lt-LT"/>
        </w:rPr>
        <w:t xml:space="preserve">Civilprocesa likuma </w:t>
      </w:r>
      <w:r w:rsidR="00B77FC0" w:rsidRPr="002127C3">
        <w:rPr>
          <w:rFonts w:eastAsia="Times New Roman" w:cs="Times New Roman"/>
          <w:szCs w:val="24"/>
          <w:lang w:val="lv-LV" w:eastAsia="lv-LV"/>
        </w:rPr>
        <w:t>464.</w:t>
      </w:r>
      <w:r w:rsidR="00B77FC0" w:rsidRPr="002127C3">
        <w:rPr>
          <w:rFonts w:eastAsia="Times New Roman" w:cs="Times New Roman"/>
          <w:szCs w:val="24"/>
          <w:vertAlign w:val="superscript"/>
          <w:lang w:val="lv-LV" w:eastAsia="lv-LV"/>
        </w:rPr>
        <w:t>1</w:t>
      </w:r>
      <w:r w:rsidR="00B77FC0" w:rsidRPr="002127C3">
        <w:rPr>
          <w:rFonts w:eastAsia="Times New Roman" w:cs="Times New Roman"/>
          <w:szCs w:val="24"/>
          <w:lang w:val="lv-LV" w:eastAsia="lv-LV"/>
        </w:rPr>
        <w:t> panta pirmās daļas pamata</w:t>
      </w:r>
      <w:r w:rsidR="00530A91" w:rsidRPr="002127C3">
        <w:rPr>
          <w:rFonts w:cs="Times New Roman"/>
          <w:szCs w:val="24"/>
          <w:lang w:val="lt-LT"/>
        </w:rPr>
        <w:t>.</w:t>
      </w:r>
    </w:p>
    <w:p w14:paraId="6FB9EF30" w14:textId="77777777" w:rsidR="0096147B" w:rsidRPr="002127C3" w:rsidRDefault="0096147B" w:rsidP="002127C3">
      <w:pPr>
        <w:pStyle w:val="NoSpacing"/>
        <w:spacing w:line="276" w:lineRule="auto"/>
        <w:ind w:firstLine="720"/>
        <w:jc w:val="both"/>
        <w:rPr>
          <w:rFonts w:cs="Times New Roman"/>
          <w:szCs w:val="24"/>
          <w:lang w:val="lt-LT"/>
        </w:rPr>
      </w:pPr>
    </w:p>
    <w:p w14:paraId="47E04E85" w14:textId="576992FC" w:rsidR="00CB6C0D" w:rsidRPr="002127C3" w:rsidRDefault="00900FE6" w:rsidP="002127C3">
      <w:pPr>
        <w:autoSpaceDE w:val="0"/>
        <w:autoSpaceDN w:val="0"/>
        <w:adjustRightInd w:val="0"/>
        <w:spacing w:after="0" w:line="276" w:lineRule="auto"/>
        <w:jc w:val="center"/>
        <w:rPr>
          <w:rFonts w:cs="Times New Roman"/>
          <w:b/>
          <w:bCs/>
          <w:szCs w:val="24"/>
          <w:lang w:val="lt-LT"/>
        </w:rPr>
      </w:pPr>
      <w:r w:rsidRPr="002127C3">
        <w:rPr>
          <w:rFonts w:cs="Times New Roman"/>
          <w:b/>
          <w:bCs/>
          <w:szCs w:val="24"/>
          <w:lang w:val="lt-LT"/>
        </w:rPr>
        <w:t>Rezolutīvā daļa</w:t>
      </w:r>
    </w:p>
    <w:p w14:paraId="0EEA0045" w14:textId="77777777" w:rsidR="00900FE6" w:rsidRPr="002127C3" w:rsidRDefault="00900FE6" w:rsidP="002127C3">
      <w:pPr>
        <w:autoSpaceDE w:val="0"/>
        <w:autoSpaceDN w:val="0"/>
        <w:adjustRightInd w:val="0"/>
        <w:spacing w:after="0" w:line="276" w:lineRule="auto"/>
        <w:jc w:val="both"/>
        <w:rPr>
          <w:rFonts w:cs="Times New Roman"/>
          <w:szCs w:val="24"/>
          <w:lang w:val="lv-LV"/>
        </w:rPr>
      </w:pPr>
    </w:p>
    <w:p w14:paraId="55E6B7E5" w14:textId="2790BBA6" w:rsidR="006F5269" w:rsidRPr="002127C3" w:rsidRDefault="00150003" w:rsidP="002127C3">
      <w:pPr>
        <w:autoSpaceDE w:val="0"/>
        <w:autoSpaceDN w:val="0"/>
        <w:adjustRightInd w:val="0"/>
        <w:spacing w:after="0" w:line="276" w:lineRule="auto"/>
        <w:jc w:val="both"/>
        <w:rPr>
          <w:rFonts w:eastAsia="Times New Roman" w:cs="Times New Roman"/>
          <w:szCs w:val="24"/>
          <w:lang w:val="lv-LV" w:eastAsia="lv-LV"/>
        </w:rPr>
      </w:pPr>
      <w:r w:rsidRPr="002127C3">
        <w:rPr>
          <w:rFonts w:cs="Times New Roman"/>
          <w:szCs w:val="24"/>
          <w:lang w:val="lv-LV"/>
        </w:rPr>
        <w:tab/>
        <w:t>P</w:t>
      </w:r>
      <w:r w:rsidRPr="002127C3">
        <w:rPr>
          <w:rFonts w:eastAsia="Times New Roman" w:cs="Times New Roman"/>
          <w:szCs w:val="24"/>
          <w:lang w:val="lv-LV" w:eastAsia="lv-LV"/>
        </w:rPr>
        <w:t>amatojoties uz Civilprocesa likuma 464.</w:t>
      </w:r>
      <w:r w:rsidR="0031057E" w:rsidRPr="002127C3">
        <w:rPr>
          <w:rFonts w:eastAsia="Times New Roman" w:cs="Times New Roman"/>
          <w:szCs w:val="24"/>
          <w:lang w:val="lv-LV" w:eastAsia="lv-LV"/>
        </w:rPr>
        <w:t> </w:t>
      </w:r>
      <w:r w:rsidRPr="002127C3">
        <w:rPr>
          <w:rFonts w:eastAsia="Times New Roman" w:cs="Times New Roman"/>
          <w:szCs w:val="24"/>
          <w:lang w:val="lv-LV" w:eastAsia="lv-LV"/>
        </w:rPr>
        <w:t xml:space="preserve">panta </w:t>
      </w:r>
      <w:r w:rsidR="00F90552" w:rsidRPr="002127C3">
        <w:rPr>
          <w:rFonts w:eastAsia="Times New Roman" w:cs="Times New Roman"/>
          <w:szCs w:val="24"/>
          <w:lang w:val="lv-LV" w:eastAsia="lv-LV"/>
        </w:rPr>
        <w:t xml:space="preserve">otro, </w:t>
      </w:r>
      <w:r w:rsidRPr="002127C3">
        <w:rPr>
          <w:rFonts w:eastAsia="Times New Roman" w:cs="Times New Roman"/>
          <w:szCs w:val="24"/>
          <w:lang w:val="lv-LV" w:eastAsia="lv-LV"/>
        </w:rPr>
        <w:t>trešo daļu un 464.</w:t>
      </w:r>
      <w:r w:rsidRPr="002127C3">
        <w:rPr>
          <w:rFonts w:eastAsia="Times New Roman" w:cs="Times New Roman"/>
          <w:szCs w:val="24"/>
          <w:vertAlign w:val="superscript"/>
          <w:lang w:val="lv-LV" w:eastAsia="lv-LV"/>
        </w:rPr>
        <w:t>1</w:t>
      </w:r>
      <w:r w:rsidR="0031057E" w:rsidRPr="002127C3">
        <w:rPr>
          <w:rFonts w:eastAsia="Times New Roman" w:cs="Times New Roman"/>
          <w:szCs w:val="24"/>
          <w:lang w:val="lv-LV" w:eastAsia="lv-LV"/>
        </w:rPr>
        <w:t> </w:t>
      </w:r>
      <w:r w:rsidRPr="002127C3">
        <w:rPr>
          <w:rFonts w:eastAsia="Times New Roman" w:cs="Times New Roman"/>
          <w:szCs w:val="24"/>
          <w:lang w:val="lv-LV" w:eastAsia="lv-LV"/>
        </w:rPr>
        <w:t xml:space="preserve">panta </w:t>
      </w:r>
      <w:r w:rsidR="00386217" w:rsidRPr="002127C3">
        <w:rPr>
          <w:rFonts w:eastAsia="Times New Roman" w:cs="Times New Roman"/>
          <w:szCs w:val="24"/>
          <w:lang w:val="lv-LV" w:eastAsia="lv-LV"/>
        </w:rPr>
        <w:t>pirmo</w:t>
      </w:r>
      <w:r w:rsidR="0096147B" w:rsidRPr="002127C3">
        <w:rPr>
          <w:rFonts w:eastAsia="Times New Roman" w:cs="Times New Roman"/>
          <w:szCs w:val="24"/>
          <w:lang w:val="lv-LV" w:eastAsia="lv-LV"/>
        </w:rPr>
        <w:t> </w:t>
      </w:r>
      <w:r w:rsidR="001015CD" w:rsidRPr="002127C3">
        <w:rPr>
          <w:rFonts w:eastAsia="Times New Roman" w:cs="Times New Roman"/>
          <w:szCs w:val="24"/>
          <w:lang w:val="lv-LV" w:eastAsia="lv-LV"/>
        </w:rPr>
        <w:t xml:space="preserve">daļu </w:t>
      </w:r>
      <w:r w:rsidR="00386217" w:rsidRPr="002127C3">
        <w:rPr>
          <w:rFonts w:eastAsia="Times New Roman" w:cs="Times New Roman"/>
          <w:szCs w:val="24"/>
          <w:lang w:val="lv-LV" w:eastAsia="lv-LV"/>
        </w:rPr>
        <w:t xml:space="preserve">un </w:t>
      </w:r>
      <w:r w:rsidRPr="002127C3">
        <w:rPr>
          <w:rFonts w:eastAsia="Times New Roman" w:cs="Times New Roman"/>
          <w:szCs w:val="24"/>
          <w:lang w:val="lv-LV" w:eastAsia="lv-LV"/>
        </w:rPr>
        <w:t>otrās daļas</w:t>
      </w:r>
      <w:r w:rsidR="00416CE4" w:rsidRPr="002127C3">
        <w:rPr>
          <w:rFonts w:eastAsia="Times New Roman" w:cs="Times New Roman"/>
          <w:szCs w:val="24"/>
          <w:lang w:val="lv-LV" w:eastAsia="lv-LV"/>
        </w:rPr>
        <w:t xml:space="preserve"> </w:t>
      </w:r>
      <w:r w:rsidRPr="002127C3">
        <w:rPr>
          <w:rFonts w:eastAsia="Times New Roman" w:cs="Times New Roman"/>
          <w:szCs w:val="24"/>
          <w:lang w:val="lv-LV" w:eastAsia="lv-LV"/>
        </w:rPr>
        <w:t>2.</w:t>
      </w:r>
      <w:r w:rsidR="00C93FF1" w:rsidRPr="002127C3">
        <w:rPr>
          <w:rFonts w:eastAsia="Times New Roman" w:cs="Times New Roman"/>
          <w:szCs w:val="24"/>
          <w:lang w:val="lv-LV" w:eastAsia="lv-LV"/>
        </w:rPr>
        <w:t> </w:t>
      </w:r>
      <w:r w:rsidRPr="002127C3">
        <w:rPr>
          <w:rFonts w:eastAsia="Times New Roman" w:cs="Times New Roman"/>
          <w:szCs w:val="24"/>
          <w:lang w:val="lv-LV" w:eastAsia="lv-LV"/>
        </w:rPr>
        <w:t>punktu, senatoru kolēģija</w:t>
      </w:r>
    </w:p>
    <w:p w14:paraId="4384CFA3" w14:textId="77777777" w:rsidR="00CB6C0D" w:rsidRPr="002127C3" w:rsidRDefault="00CB6C0D" w:rsidP="002127C3">
      <w:pPr>
        <w:autoSpaceDE w:val="0"/>
        <w:autoSpaceDN w:val="0"/>
        <w:adjustRightInd w:val="0"/>
        <w:spacing w:after="0" w:line="276" w:lineRule="auto"/>
        <w:jc w:val="both"/>
        <w:rPr>
          <w:rFonts w:eastAsia="Times New Roman" w:cs="Times New Roman"/>
          <w:szCs w:val="24"/>
          <w:lang w:val="lv-LV" w:eastAsia="lv-LV"/>
        </w:rPr>
      </w:pPr>
    </w:p>
    <w:p w14:paraId="4F31ABC8" w14:textId="51984CC8" w:rsidR="006F5269" w:rsidRPr="002127C3" w:rsidRDefault="006F5269" w:rsidP="002127C3">
      <w:pPr>
        <w:autoSpaceDE w:val="0"/>
        <w:autoSpaceDN w:val="0"/>
        <w:adjustRightInd w:val="0"/>
        <w:spacing w:after="0" w:line="276" w:lineRule="auto"/>
        <w:jc w:val="center"/>
        <w:rPr>
          <w:rFonts w:eastAsia="Times New Roman" w:cs="Times New Roman"/>
          <w:b/>
          <w:bCs/>
          <w:szCs w:val="24"/>
          <w:lang w:val="lv-LV" w:eastAsia="lv-LV"/>
        </w:rPr>
      </w:pPr>
      <w:r w:rsidRPr="002127C3">
        <w:rPr>
          <w:rFonts w:eastAsia="Times New Roman" w:cs="Times New Roman"/>
          <w:b/>
          <w:bCs/>
          <w:szCs w:val="24"/>
          <w:lang w:val="lv-LV" w:eastAsia="lv-LV"/>
        </w:rPr>
        <w:t>n</w:t>
      </w:r>
      <w:r w:rsidR="00586AC2" w:rsidRPr="002127C3">
        <w:rPr>
          <w:rFonts w:eastAsia="Times New Roman" w:cs="Times New Roman"/>
          <w:b/>
          <w:bCs/>
          <w:szCs w:val="24"/>
          <w:lang w:val="lv-LV" w:eastAsia="lv-LV"/>
        </w:rPr>
        <w:t>olēma</w:t>
      </w:r>
    </w:p>
    <w:p w14:paraId="0AFFF06A" w14:textId="77777777" w:rsidR="001E7A6C" w:rsidRPr="002127C3" w:rsidRDefault="001E7A6C" w:rsidP="002127C3">
      <w:pPr>
        <w:pStyle w:val="NoSpacing"/>
        <w:spacing w:line="276" w:lineRule="auto"/>
        <w:rPr>
          <w:rFonts w:cs="Times New Roman"/>
          <w:szCs w:val="24"/>
          <w:lang w:val="lv-LV" w:eastAsia="lv-LV"/>
        </w:rPr>
      </w:pPr>
    </w:p>
    <w:p w14:paraId="686D7D5D" w14:textId="333D8F1B" w:rsidR="00D964D2" w:rsidRPr="002127C3" w:rsidRDefault="00F90552" w:rsidP="002127C3">
      <w:pPr>
        <w:autoSpaceDE w:val="0"/>
        <w:autoSpaceDN w:val="0"/>
        <w:adjustRightInd w:val="0"/>
        <w:spacing w:after="0" w:line="276" w:lineRule="auto"/>
        <w:ind w:firstLine="720"/>
        <w:jc w:val="both"/>
        <w:rPr>
          <w:rFonts w:cs="Times New Roman"/>
          <w:szCs w:val="24"/>
          <w:lang w:val="lv-LV"/>
        </w:rPr>
      </w:pPr>
      <w:r w:rsidRPr="002127C3">
        <w:rPr>
          <w:rFonts w:eastAsia="Times New Roman" w:cs="Times New Roman"/>
          <w:szCs w:val="24"/>
          <w:lang w:val="lv-LV" w:eastAsia="lv-LV"/>
        </w:rPr>
        <w:t xml:space="preserve">ierosināt </w:t>
      </w:r>
      <w:r w:rsidRPr="002127C3">
        <w:rPr>
          <w:rFonts w:cs="Times New Roman"/>
          <w:szCs w:val="24"/>
          <w:lang w:val="lv-LV"/>
        </w:rPr>
        <w:t xml:space="preserve">kasācijas tiesvedību sakarā ar </w:t>
      </w:r>
      <w:r w:rsidR="00032D27" w:rsidRPr="002127C3">
        <w:rPr>
          <w:rFonts w:cs="Times New Roman"/>
          <w:szCs w:val="24"/>
          <w:lang w:val="lt-LT"/>
        </w:rPr>
        <w:t xml:space="preserve">[pers. A] </w:t>
      </w:r>
      <w:r w:rsidRPr="002127C3">
        <w:rPr>
          <w:rFonts w:cs="Times New Roman"/>
          <w:szCs w:val="24"/>
          <w:lang w:val="lv-LV"/>
        </w:rPr>
        <w:t>kasācijas sūdzību par Rīgas</w:t>
      </w:r>
      <w:r w:rsidR="00032D27" w:rsidRPr="002127C3">
        <w:rPr>
          <w:rFonts w:cs="Times New Roman"/>
          <w:szCs w:val="24"/>
          <w:lang w:val="lv-LV"/>
        </w:rPr>
        <w:t xml:space="preserve"> </w:t>
      </w:r>
      <w:r w:rsidRPr="002127C3">
        <w:rPr>
          <w:rFonts w:cs="Times New Roman"/>
          <w:szCs w:val="24"/>
          <w:lang w:val="lt-LT"/>
        </w:rPr>
        <w:t xml:space="preserve">apgabaltiesas </w:t>
      </w:r>
      <w:r w:rsidR="003521BD" w:rsidRPr="002127C3">
        <w:rPr>
          <w:rFonts w:cs="Times New Roman"/>
          <w:szCs w:val="24"/>
          <w:lang w:val="lt-LT"/>
        </w:rPr>
        <w:t>202</w:t>
      </w:r>
      <w:r w:rsidR="00501B6A" w:rsidRPr="002127C3">
        <w:rPr>
          <w:rFonts w:cs="Times New Roman"/>
          <w:szCs w:val="24"/>
          <w:lang w:val="lt-LT"/>
        </w:rPr>
        <w:t>5</w:t>
      </w:r>
      <w:r w:rsidR="003521BD" w:rsidRPr="002127C3">
        <w:rPr>
          <w:rFonts w:cs="Times New Roman"/>
          <w:szCs w:val="24"/>
          <w:lang w:val="lt-LT"/>
        </w:rPr>
        <w:t>.</w:t>
      </w:r>
      <w:r w:rsidR="0096147B" w:rsidRPr="002127C3">
        <w:rPr>
          <w:rFonts w:cs="Times New Roman"/>
          <w:szCs w:val="24"/>
          <w:lang w:val="lt-LT"/>
        </w:rPr>
        <w:t> </w:t>
      </w:r>
      <w:r w:rsidR="003521BD" w:rsidRPr="002127C3">
        <w:rPr>
          <w:rFonts w:cs="Times New Roman"/>
          <w:szCs w:val="24"/>
          <w:lang w:val="lt-LT"/>
        </w:rPr>
        <w:t xml:space="preserve">gada </w:t>
      </w:r>
      <w:r w:rsidR="00501B6A" w:rsidRPr="002127C3">
        <w:rPr>
          <w:rFonts w:cs="Times New Roman"/>
          <w:szCs w:val="24"/>
          <w:lang w:val="lt-LT"/>
        </w:rPr>
        <w:t>30</w:t>
      </w:r>
      <w:r w:rsidR="003521BD" w:rsidRPr="002127C3">
        <w:rPr>
          <w:rFonts w:cs="Times New Roman"/>
          <w:szCs w:val="24"/>
          <w:lang w:val="lt-LT"/>
        </w:rPr>
        <w:t>.</w:t>
      </w:r>
      <w:r w:rsidR="000F15A4" w:rsidRPr="002127C3">
        <w:rPr>
          <w:rFonts w:cs="Times New Roman"/>
          <w:szCs w:val="24"/>
          <w:lang w:val="lt-LT"/>
        </w:rPr>
        <w:t> </w:t>
      </w:r>
      <w:r w:rsidR="003521BD" w:rsidRPr="002127C3">
        <w:rPr>
          <w:rFonts w:cs="Times New Roman"/>
          <w:szCs w:val="24"/>
          <w:lang w:val="lt-LT"/>
        </w:rPr>
        <w:t xml:space="preserve">maija </w:t>
      </w:r>
      <w:r w:rsidRPr="002127C3">
        <w:rPr>
          <w:rFonts w:cs="Times New Roman"/>
          <w:szCs w:val="24"/>
          <w:lang w:val="lt-LT"/>
        </w:rPr>
        <w:t>spriedumu daļā</w:t>
      </w:r>
      <w:r w:rsidR="00EC076A" w:rsidRPr="002127C3">
        <w:rPr>
          <w:rFonts w:cs="Times New Roman"/>
          <w:szCs w:val="24"/>
          <w:lang w:val="lt-LT"/>
        </w:rPr>
        <w:t xml:space="preserve">, ar kuru </w:t>
      </w:r>
      <w:r w:rsidR="00C72BF6" w:rsidRPr="002127C3">
        <w:rPr>
          <w:rFonts w:cs="Times New Roman"/>
          <w:szCs w:val="24"/>
          <w:lang w:val="lv-LV"/>
        </w:rPr>
        <w:t xml:space="preserve">no </w:t>
      </w:r>
      <w:r w:rsidR="00032D27" w:rsidRPr="002127C3">
        <w:rPr>
          <w:rFonts w:cs="Times New Roman"/>
          <w:szCs w:val="24"/>
          <w:lang w:val="lt-LT"/>
        </w:rPr>
        <w:t xml:space="preserve">[pers. A] </w:t>
      </w:r>
      <w:r w:rsidR="00C72BF6" w:rsidRPr="002127C3">
        <w:rPr>
          <w:rFonts w:cs="Times New Roman"/>
          <w:szCs w:val="24"/>
          <w:lang w:val="lv-LV"/>
        </w:rPr>
        <w:t>SIA „LETA”,</w:t>
      </w:r>
      <w:r w:rsidR="008933D6" w:rsidRPr="002127C3">
        <w:rPr>
          <w:rFonts w:cs="Times New Roman"/>
          <w:szCs w:val="24"/>
          <w:lang w:val="lv-LV"/>
        </w:rPr>
        <w:t xml:space="preserve"> </w:t>
      </w:r>
      <w:r w:rsidR="00C72BF6" w:rsidRPr="002127C3">
        <w:rPr>
          <w:rFonts w:cs="Times New Roman"/>
          <w:szCs w:val="24"/>
          <w:lang w:val="lv-LV"/>
        </w:rPr>
        <w:t>SIA</w:t>
      </w:r>
      <w:r w:rsidR="00F737AB" w:rsidRPr="002127C3">
        <w:rPr>
          <w:rFonts w:cs="Times New Roman"/>
          <w:szCs w:val="24"/>
          <w:lang w:val="lv-LV"/>
        </w:rPr>
        <w:t> </w:t>
      </w:r>
      <w:r w:rsidR="00C72BF6" w:rsidRPr="002127C3">
        <w:rPr>
          <w:rFonts w:cs="Times New Roman"/>
          <w:szCs w:val="24"/>
          <w:lang w:val="lv-LV"/>
        </w:rPr>
        <w:t>„TVNET Grupa”,</w:t>
      </w:r>
      <w:r w:rsidR="008933D6" w:rsidRPr="002127C3">
        <w:rPr>
          <w:rFonts w:cs="Times New Roman"/>
          <w:szCs w:val="24"/>
          <w:lang w:val="lv-LV"/>
        </w:rPr>
        <w:t xml:space="preserve"> </w:t>
      </w:r>
      <w:r w:rsidR="00C72BF6" w:rsidRPr="002127C3">
        <w:rPr>
          <w:rFonts w:cs="Times New Roman"/>
          <w:szCs w:val="24"/>
          <w:lang w:val="lv-LV"/>
        </w:rPr>
        <w:t>SIA „Izdevniecība Rīgas Viļņi” un valsts</w:t>
      </w:r>
      <w:r w:rsidR="00F737AB" w:rsidRPr="002127C3">
        <w:rPr>
          <w:rFonts w:cs="Times New Roman"/>
          <w:szCs w:val="24"/>
          <w:lang w:val="lv-LV"/>
        </w:rPr>
        <w:t xml:space="preserve"> </w:t>
      </w:r>
      <w:r w:rsidR="00C72BF6" w:rsidRPr="002127C3">
        <w:rPr>
          <w:rFonts w:cs="Times New Roman"/>
          <w:szCs w:val="24"/>
          <w:lang w:val="lv-LV"/>
        </w:rPr>
        <w:t>SIA „Latvijas Sabiedriskais medijs”</w:t>
      </w:r>
      <w:r w:rsidR="009D1497" w:rsidRPr="002127C3">
        <w:rPr>
          <w:rFonts w:cs="Times New Roman"/>
          <w:szCs w:val="24"/>
          <w:lang w:val="lv-LV"/>
        </w:rPr>
        <w:t xml:space="preserve"> labā</w:t>
      </w:r>
      <w:r w:rsidR="004B0A19" w:rsidRPr="002127C3">
        <w:rPr>
          <w:rFonts w:cs="Times New Roman"/>
          <w:szCs w:val="24"/>
          <w:lang w:val="lv-LV"/>
        </w:rPr>
        <w:t xml:space="preserve"> piedzīti</w:t>
      </w:r>
      <w:r w:rsidR="00C72BF6" w:rsidRPr="002127C3">
        <w:rPr>
          <w:rFonts w:cs="Times New Roman"/>
          <w:szCs w:val="24"/>
          <w:lang w:val="lv-LV"/>
        </w:rPr>
        <w:t xml:space="preserve"> izdevumi advokāta palīdzības samaksai 504 </w:t>
      </w:r>
      <w:r w:rsidR="00C72BF6" w:rsidRPr="002127C3">
        <w:rPr>
          <w:rFonts w:cs="Times New Roman"/>
          <w:i/>
          <w:iCs/>
          <w:szCs w:val="24"/>
          <w:lang w:val="lv-LV"/>
        </w:rPr>
        <w:t>euro</w:t>
      </w:r>
      <w:r w:rsidR="008933D6" w:rsidRPr="002127C3">
        <w:rPr>
          <w:rFonts w:cs="Times New Roman"/>
          <w:szCs w:val="24"/>
          <w:lang w:val="lv-LV"/>
        </w:rPr>
        <w:t xml:space="preserve"> katrai</w:t>
      </w:r>
      <w:r w:rsidR="00EC076A" w:rsidRPr="002127C3">
        <w:rPr>
          <w:rFonts w:cs="Times New Roman"/>
          <w:szCs w:val="24"/>
          <w:lang w:val="lv-LV"/>
        </w:rPr>
        <w:t>,</w:t>
      </w:r>
      <w:r w:rsidRPr="002127C3">
        <w:rPr>
          <w:rFonts w:cs="Times New Roman"/>
          <w:szCs w:val="24"/>
          <w:lang w:val="lv-LV"/>
        </w:rPr>
        <w:t xml:space="preserve"> un nodot lietu šajā daļā izskatīšanai rakstveida procesā;</w:t>
      </w:r>
    </w:p>
    <w:p w14:paraId="41B9B696" w14:textId="0512B28C" w:rsidR="00B473F0" w:rsidRPr="002127C3" w:rsidRDefault="008975CB" w:rsidP="002127C3">
      <w:pPr>
        <w:autoSpaceDE w:val="0"/>
        <w:autoSpaceDN w:val="0"/>
        <w:adjustRightInd w:val="0"/>
        <w:spacing w:after="0" w:line="276" w:lineRule="auto"/>
        <w:ind w:firstLine="720"/>
        <w:jc w:val="both"/>
        <w:rPr>
          <w:rFonts w:cs="Times New Roman"/>
          <w:szCs w:val="24"/>
          <w:lang w:val="lt-LT"/>
        </w:rPr>
      </w:pPr>
      <w:r w:rsidRPr="002127C3">
        <w:rPr>
          <w:rFonts w:eastAsia="Times New Roman" w:cs="Times New Roman"/>
          <w:szCs w:val="24"/>
          <w:lang w:val="lv-LV" w:eastAsia="lv-LV"/>
        </w:rPr>
        <w:t xml:space="preserve">atteikt </w:t>
      </w:r>
      <w:r w:rsidR="00586AC2" w:rsidRPr="002127C3">
        <w:rPr>
          <w:rFonts w:cs="Times New Roman"/>
          <w:szCs w:val="24"/>
          <w:lang w:val="lv-LV"/>
        </w:rPr>
        <w:t xml:space="preserve">ierosināt kasācijas tiesvedību </w:t>
      </w:r>
      <w:r w:rsidR="00416CE4" w:rsidRPr="002127C3">
        <w:rPr>
          <w:rFonts w:cs="Times New Roman"/>
          <w:szCs w:val="24"/>
          <w:lang w:val="lv-LV"/>
        </w:rPr>
        <w:t xml:space="preserve">sakarā ar </w:t>
      </w:r>
      <w:r w:rsidR="00DD4325" w:rsidRPr="002127C3">
        <w:rPr>
          <w:rFonts w:cs="Times New Roman"/>
          <w:szCs w:val="24"/>
          <w:lang w:val="lt-LT"/>
        </w:rPr>
        <w:t>SIA</w:t>
      </w:r>
      <w:r w:rsidR="00F737AB" w:rsidRPr="002127C3">
        <w:rPr>
          <w:rFonts w:cs="Times New Roman"/>
          <w:szCs w:val="24"/>
          <w:lang w:val="lt-LT"/>
        </w:rPr>
        <w:t> </w:t>
      </w:r>
      <w:r w:rsidR="00DD4325" w:rsidRPr="002127C3">
        <w:rPr>
          <w:rFonts w:cs="Times New Roman"/>
          <w:szCs w:val="24"/>
          <w:lang w:val="lt-LT"/>
        </w:rPr>
        <w:t>„TVNET Grupa”, SIA</w:t>
      </w:r>
      <w:r w:rsidR="00F737AB" w:rsidRPr="002127C3">
        <w:rPr>
          <w:rFonts w:cs="Times New Roman"/>
          <w:szCs w:val="24"/>
          <w:lang w:val="lt-LT"/>
        </w:rPr>
        <w:t> </w:t>
      </w:r>
      <w:r w:rsidR="00DD4325" w:rsidRPr="002127C3">
        <w:rPr>
          <w:rFonts w:cs="Times New Roman"/>
          <w:szCs w:val="24"/>
          <w:lang w:val="lt-LT"/>
        </w:rPr>
        <w:t xml:space="preserve"> „LETA”, SIA „Izdevniecība Rīgas Viļņi”, valsts SIA „Latvijas Sabiedriskais medijs” kasācijas sūdzību, kurai pievienojusies </w:t>
      </w:r>
      <w:r w:rsidR="00DD4325" w:rsidRPr="002127C3">
        <w:rPr>
          <w:rFonts w:cs="Times New Roman"/>
          <w:bCs/>
          <w:szCs w:val="24"/>
          <w:lang w:val="lt-LT"/>
        </w:rPr>
        <w:t>valsts AS</w:t>
      </w:r>
      <w:r w:rsidR="00F737AB" w:rsidRPr="002127C3">
        <w:rPr>
          <w:rFonts w:cs="Times New Roman"/>
          <w:bCs/>
          <w:szCs w:val="24"/>
          <w:lang w:val="lt-LT"/>
        </w:rPr>
        <w:t> </w:t>
      </w:r>
      <w:r w:rsidR="00DD4325" w:rsidRPr="002127C3">
        <w:rPr>
          <w:rFonts w:cs="Times New Roman"/>
          <w:bCs/>
          <w:szCs w:val="24"/>
          <w:lang w:val="lt-LT"/>
        </w:rPr>
        <w:t xml:space="preserve">„Latvijas Vēstnesis”, un sakarā ar </w:t>
      </w:r>
      <w:r w:rsidR="00032D27" w:rsidRPr="002127C3">
        <w:rPr>
          <w:rFonts w:cs="Times New Roman"/>
          <w:szCs w:val="24"/>
          <w:lang w:val="lt-LT"/>
        </w:rPr>
        <w:t xml:space="preserve">[pers. A] </w:t>
      </w:r>
      <w:r w:rsidR="00DD4325" w:rsidRPr="002127C3">
        <w:rPr>
          <w:rFonts w:cs="Times New Roman"/>
          <w:szCs w:val="24"/>
          <w:lang w:val="lt-LT"/>
        </w:rPr>
        <w:t xml:space="preserve">kasācijas sūdzību par </w:t>
      </w:r>
      <w:r w:rsidR="00416CE4" w:rsidRPr="002127C3">
        <w:rPr>
          <w:rFonts w:cs="Times New Roman"/>
          <w:szCs w:val="24"/>
          <w:lang w:val="lv-LV"/>
        </w:rPr>
        <w:t xml:space="preserve">Rīgas apgabaltiesas </w:t>
      </w:r>
      <w:r w:rsidR="003521BD" w:rsidRPr="002127C3">
        <w:rPr>
          <w:rFonts w:cs="Times New Roman"/>
          <w:szCs w:val="24"/>
          <w:lang w:val="lt-LT"/>
        </w:rPr>
        <w:t>202</w:t>
      </w:r>
      <w:r w:rsidR="00DD4325" w:rsidRPr="002127C3">
        <w:rPr>
          <w:rFonts w:cs="Times New Roman"/>
          <w:szCs w:val="24"/>
          <w:lang w:val="lt-LT"/>
        </w:rPr>
        <w:t>5</w:t>
      </w:r>
      <w:r w:rsidR="003521BD" w:rsidRPr="002127C3">
        <w:rPr>
          <w:rFonts w:cs="Times New Roman"/>
          <w:szCs w:val="24"/>
          <w:lang w:val="lt-LT"/>
        </w:rPr>
        <w:t xml:space="preserve">. gada </w:t>
      </w:r>
      <w:r w:rsidR="00DD4325" w:rsidRPr="002127C3">
        <w:rPr>
          <w:rFonts w:cs="Times New Roman"/>
          <w:szCs w:val="24"/>
          <w:lang w:val="lt-LT"/>
        </w:rPr>
        <w:t>30</w:t>
      </w:r>
      <w:r w:rsidR="003521BD" w:rsidRPr="002127C3">
        <w:rPr>
          <w:rFonts w:cs="Times New Roman"/>
          <w:szCs w:val="24"/>
          <w:lang w:val="lt-LT"/>
        </w:rPr>
        <w:t>.</w:t>
      </w:r>
      <w:r w:rsidR="009B3B23" w:rsidRPr="002127C3">
        <w:rPr>
          <w:rFonts w:cs="Times New Roman"/>
          <w:szCs w:val="24"/>
          <w:lang w:val="lt-LT"/>
        </w:rPr>
        <w:t> </w:t>
      </w:r>
      <w:r w:rsidR="003521BD" w:rsidRPr="002127C3">
        <w:rPr>
          <w:rFonts w:cs="Times New Roman"/>
          <w:szCs w:val="24"/>
          <w:lang w:val="lt-LT"/>
        </w:rPr>
        <w:t>maija</w:t>
      </w:r>
      <w:r w:rsidR="003521BD" w:rsidRPr="002127C3">
        <w:rPr>
          <w:rFonts w:cs="Times New Roman"/>
          <w:szCs w:val="24"/>
          <w:lang w:val="lv-LV"/>
        </w:rPr>
        <w:t xml:space="preserve"> </w:t>
      </w:r>
      <w:r w:rsidR="00416CE4" w:rsidRPr="002127C3">
        <w:rPr>
          <w:rFonts w:cs="Times New Roman"/>
          <w:szCs w:val="24"/>
          <w:lang w:val="lv-LV"/>
        </w:rPr>
        <w:t>spriedumu</w:t>
      </w:r>
      <w:r w:rsidR="003521BD" w:rsidRPr="002127C3">
        <w:rPr>
          <w:rFonts w:cs="Times New Roman"/>
          <w:szCs w:val="24"/>
          <w:lang w:val="lv-LV"/>
        </w:rPr>
        <w:t xml:space="preserve"> </w:t>
      </w:r>
      <w:r w:rsidR="00900FE6" w:rsidRPr="002127C3">
        <w:rPr>
          <w:rFonts w:cs="Times New Roman"/>
          <w:szCs w:val="24"/>
          <w:lang w:val="lv-LV"/>
        </w:rPr>
        <w:t>daļā</w:t>
      </w:r>
      <w:r w:rsidR="00054734" w:rsidRPr="002127C3">
        <w:rPr>
          <w:rFonts w:cs="Times New Roman"/>
          <w:szCs w:val="24"/>
          <w:lang w:val="lv-LV"/>
        </w:rPr>
        <w:t xml:space="preserve">, ar kuru </w:t>
      </w:r>
      <w:r w:rsidR="006543F1" w:rsidRPr="002127C3">
        <w:rPr>
          <w:rFonts w:cs="Times New Roman"/>
          <w:szCs w:val="24"/>
          <w:lang w:val="lv-LV"/>
        </w:rPr>
        <w:t>prasība noraidīta.</w:t>
      </w:r>
    </w:p>
    <w:p w14:paraId="49F504CE" w14:textId="77777777" w:rsidR="00D964D2" w:rsidRPr="002127C3" w:rsidRDefault="00D964D2" w:rsidP="002127C3">
      <w:pPr>
        <w:autoSpaceDE w:val="0"/>
        <w:autoSpaceDN w:val="0"/>
        <w:adjustRightInd w:val="0"/>
        <w:spacing w:after="0" w:line="276" w:lineRule="auto"/>
        <w:ind w:firstLine="720"/>
        <w:jc w:val="both"/>
        <w:rPr>
          <w:rFonts w:cs="Times New Roman"/>
          <w:szCs w:val="24"/>
          <w:lang w:val="lv-LV"/>
        </w:rPr>
      </w:pPr>
    </w:p>
    <w:p w14:paraId="5F0A718B" w14:textId="77777777" w:rsidR="000016E7" w:rsidRPr="002127C3" w:rsidRDefault="008975CB" w:rsidP="002127C3">
      <w:pPr>
        <w:pStyle w:val="NoSpacing"/>
        <w:spacing w:line="276" w:lineRule="auto"/>
        <w:ind w:firstLine="720"/>
        <w:rPr>
          <w:rFonts w:cs="Times New Roman"/>
          <w:szCs w:val="24"/>
          <w:lang w:val="lv-LV"/>
        </w:rPr>
      </w:pPr>
      <w:r w:rsidRPr="002127C3">
        <w:rPr>
          <w:rFonts w:cs="Times New Roman"/>
          <w:szCs w:val="24"/>
          <w:lang w:val="lv-LV"/>
        </w:rPr>
        <w:t>Lēmums nav pārsūdzams.</w:t>
      </w:r>
    </w:p>
    <w:sectPr w:rsidR="000016E7" w:rsidRPr="002127C3" w:rsidSect="00591E89">
      <w:footerReference w:type="default" r:id="rId13"/>
      <w:pgSz w:w="12240" w:h="15840"/>
      <w:pgMar w:top="1134" w:right="1701" w:bottom="1134" w:left="1701" w:header="720" w:footer="41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369761" w14:textId="77777777" w:rsidR="009745F9" w:rsidRDefault="009745F9" w:rsidP="00A17CFE">
      <w:pPr>
        <w:spacing w:after="0" w:line="240" w:lineRule="auto"/>
      </w:pPr>
      <w:r>
        <w:separator/>
      </w:r>
    </w:p>
  </w:endnote>
  <w:endnote w:type="continuationSeparator" w:id="0">
    <w:p w14:paraId="43F8635A" w14:textId="77777777" w:rsidR="009745F9" w:rsidRDefault="009745F9" w:rsidP="00A17C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F536C" w14:textId="77777777" w:rsidR="00605854" w:rsidRDefault="00000000" w:rsidP="00605854">
    <w:pPr>
      <w:pStyle w:val="Footer"/>
      <w:jc w:val="center"/>
    </w:pPr>
    <w:sdt>
      <w:sdtPr>
        <w:id w:val="-1705238520"/>
        <w:docPartObj>
          <w:docPartGallery w:val="Page Numbers (Top of Page)"/>
          <w:docPartUnique/>
        </w:docPartObj>
      </w:sdtPr>
      <w:sdtContent>
        <w:r w:rsidR="00605854" w:rsidRPr="00C06484">
          <w:rPr>
            <w:sz w:val="20"/>
            <w:szCs w:val="20"/>
          </w:rPr>
          <w:fldChar w:fldCharType="begin"/>
        </w:r>
        <w:r w:rsidR="00605854" w:rsidRPr="00C06484">
          <w:rPr>
            <w:sz w:val="20"/>
            <w:szCs w:val="20"/>
          </w:rPr>
          <w:instrText xml:space="preserve"> PAGE </w:instrText>
        </w:r>
        <w:r w:rsidR="00605854" w:rsidRPr="00C06484">
          <w:rPr>
            <w:sz w:val="20"/>
            <w:szCs w:val="20"/>
          </w:rPr>
          <w:fldChar w:fldCharType="separate"/>
        </w:r>
        <w:r w:rsidR="00605854">
          <w:rPr>
            <w:sz w:val="20"/>
            <w:szCs w:val="20"/>
          </w:rPr>
          <w:t>1</w:t>
        </w:r>
        <w:r w:rsidR="00605854" w:rsidRPr="00C06484">
          <w:rPr>
            <w:sz w:val="20"/>
            <w:szCs w:val="20"/>
          </w:rPr>
          <w:fldChar w:fldCharType="end"/>
        </w:r>
        <w:r w:rsidR="00605854" w:rsidRPr="00C06484">
          <w:rPr>
            <w:sz w:val="20"/>
            <w:szCs w:val="20"/>
          </w:rPr>
          <w:t xml:space="preserve"> no </w:t>
        </w:r>
        <w:r w:rsidR="00605854" w:rsidRPr="00C06484">
          <w:rPr>
            <w:sz w:val="20"/>
            <w:szCs w:val="20"/>
          </w:rPr>
          <w:fldChar w:fldCharType="begin"/>
        </w:r>
        <w:r w:rsidR="00605854" w:rsidRPr="00C06484">
          <w:rPr>
            <w:sz w:val="20"/>
            <w:szCs w:val="20"/>
          </w:rPr>
          <w:instrText xml:space="preserve"> NUMPAGES  </w:instrText>
        </w:r>
        <w:r w:rsidR="00605854" w:rsidRPr="00C06484">
          <w:rPr>
            <w:sz w:val="20"/>
            <w:szCs w:val="20"/>
          </w:rPr>
          <w:fldChar w:fldCharType="separate"/>
        </w:r>
        <w:r w:rsidR="00605854">
          <w:rPr>
            <w:sz w:val="20"/>
            <w:szCs w:val="20"/>
          </w:rPr>
          <w:t>5</w:t>
        </w:r>
        <w:r w:rsidR="00605854" w:rsidRPr="00C06484">
          <w:rPr>
            <w:noProof/>
            <w:sz w:val="20"/>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A27D75" w14:textId="77777777" w:rsidR="009745F9" w:rsidRDefault="009745F9" w:rsidP="00A17CFE">
      <w:pPr>
        <w:spacing w:after="0" w:line="240" w:lineRule="auto"/>
      </w:pPr>
      <w:r>
        <w:separator/>
      </w:r>
    </w:p>
  </w:footnote>
  <w:footnote w:type="continuationSeparator" w:id="0">
    <w:p w14:paraId="50117D39" w14:textId="77777777" w:rsidR="009745F9" w:rsidRDefault="009745F9" w:rsidP="00A17CF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2F7"/>
    <w:rsid w:val="000016E7"/>
    <w:rsid w:val="00004BE7"/>
    <w:rsid w:val="000051D0"/>
    <w:rsid w:val="0000582C"/>
    <w:rsid w:val="00010C99"/>
    <w:rsid w:val="0001201C"/>
    <w:rsid w:val="00013968"/>
    <w:rsid w:val="00021CF3"/>
    <w:rsid w:val="00023726"/>
    <w:rsid w:val="000239D3"/>
    <w:rsid w:val="0002441B"/>
    <w:rsid w:val="00025AF9"/>
    <w:rsid w:val="00026326"/>
    <w:rsid w:val="000323C7"/>
    <w:rsid w:val="00032D27"/>
    <w:rsid w:val="000354BC"/>
    <w:rsid w:val="00037B14"/>
    <w:rsid w:val="00037B63"/>
    <w:rsid w:val="000411F8"/>
    <w:rsid w:val="00041316"/>
    <w:rsid w:val="00041C0A"/>
    <w:rsid w:val="000465DC"/>
    <w:rsid w:val="00052C69"/>
    <w:rsid w:val="00053B2B"/>
    <w:rsid w:val="00054734"/>
    <w:rsid w:val="000610BE"/>
    <w:rsid w:val="00063AAD"/>
    <w:rsid w:val="00065937"/>
    <w:rsid w:val="0006629B"/>
    <w:rsid w:val="00066FE9"/>
    <w:rsid w:val="0007532F"/>
    <w:rsid w:val="000803E3"/>
    <w:rsid w:val="000827B2"/>
    <w:rsid w:val="000874E2"/>
    <w:rsid w:val="000926B5"/>
    <w:rsid w:val="00092B86"/>
    <w:rsid w:val="00096AB4"/>
    <w:rsid w:val="000A3C42"/>
    <w:rsid w:val="000A54B6"/>
    <w:rsid w:val="000B0174"/>
    <w:rsid w:val="000B1D1F"/>
    <w:rsid w:val="000B2F62"/>
    <w:rsid w:val="000B3218"/>
    <w:rsid w:val="000B3C9B"/>
    <w:rsid w:val="000C0392"/>
    <w:rsid w:val="000C09DF"/>
    <w:rsid w:val="000C1474"/>
    <w:rsid w:val="000C3BD5"/>
    <w:rsid w:val="000C4CF4"/>
    <w:rsid w:val="000D0D4D"/>
    <w:rsid w:val="000E64F0"/>
    <w:rsid w:val="000F15A4"/>
    <w:rsid w:val="000F22BB"/>
    <w:rsid w:val="00101394"/>
    <w:rsid w:val="001015CD"/>
    <w:rsid w:val="001018A8"/>
    <w:rsid w:val="0010219C"/>
    <w:rsid w:val="0011134F"/>
    <w:rsid w:val="0011702C"/>
    <w:rsid w:val="001223E1"/>
    <w:rsid w:val="001254FA"/>
    <w:rsid w:val="00131865"/>
    <w:rsid w:val="001350B8"/>
    <w:rsid w:val="0014269A"/>
    <w:rsid w:val="001449BA"/>
    <w:rsid w:val="00150003"/>
    <w:rsid w:val="0015186B"/>
    <w:rsid w:val="001526A2"/>
    <w:rsid w:val="001535A6"/>
    <w:rsid w:val="00153BD1"/>
    <w:rsid w:val="00160C1F"/>
    <w:rsid w:val="001628BB"/>
    <w:rsid w:val="00164F8E"/>
    <w:rsid w:val="00166087"/>
    <w:rsid w:val="00167358"/>
    <w:rsid w:val="0017488A"/>
    <w:rsid w:val="001764A3"/>
    <w:rsid w:val="0018110A"/>
    <w:rsid w:val="001822F7"/>
    <w:rsid w:val="00184BFB"/>
    <w:rsid w:val="00185E93"/>
    <w:rsid w:val="00187369"/>
    <w:rsid w:val="00192C9C"/>
    <w:rsid w:val="00192E5F"/>
    <w:rsid w:val="001A112A"/>
    <w:rsid w:val="001A4326"/>
    <w:rsid w:val="001B1F3F"/>
    <w:rsid w:val="001B5E5A"/>
    <w:rsid w:val="001C175C"/>
    <w:rsid w:val="001C3BD6"/>
    <w:rsid w:val="001D060C"/>
    <w:rsid w:val="001D6C48"/>
    <w:rsid w:val="001E7A6C"/>
    <w:rsid w:val="001F7BF1"/>
    <w:rsid w:val="00200880"/>
    <w:rsid w:val="002043A6"/>
    <w:rsid w:val="00205373"/>
    <w:rsid w:val="002070AF"/>
    <w:rsid w:val="002127C3"/>
    <w:rsid w:val="002269BA"/>
    <w:rsid w:val="00226C48"/>
    <w:rsid w:val="00231CAC"/>
    <w:rsid w:val="002345CE"/>
    <w:rsid w:val="0023640B"/>
    <w:rsid w:val="0023760E"/>
    <w:rsid w:val="00237AA1"/>
    <w:rsid w:val="00244FF8"/>
    <w:rsid w:val="00246A6D"/>
    <w:rsid w:val="00247EA4"/>
    <w:rsid w:val="00247EED"/>
    <w:rsid w:val="00250B9E"/>
    <w:rsid w:val="00253A28"/>
    <w:rsid w:val="00254561"/>
    <w:rsid w:val="00257A6E"/>
    <w:rsid w:val="00261EDA"/>
    <w:rsid w:val="00262AC7"/>
    <w:rsid w:val="00265644"/>
    <w:rsid w:val="00267A54"/>
    <w:rsid w:val="00271082"/>
    <w:rsid w:val="00271A25"/>
    <w:rsid w:val="00274982"/>
    <w:rsid w:val="00274DF8"/>
    <w:rsid w:val="002809F2"/>
    <w:rsid w:val="00291E87"/>
    <w:rsid w:val="00291F96"/>
    <w:rsid w:val="00297A2C"/>
    <w:rsid w:val="002A3F47"/>
    <w:rsid w:val="002A3F86"/>
    <w:rsid w:val="002A49C3"/>
    <w:rsid w:val="002A5EDD"/>
    <w:rsid w:val="002B04F4"/>
    <w:rsid w:val="002B2377"/>
    <w:rsid w:val="002B639C"/>
    <w:rsid w:val="002C4A36"/>
    <w:rsid w:val="002C58EE"/>
    <w:rsid w:val="002C6091"/>
    <w:rsid w:val="002D0282"/>
    <w:rsid w:val="002D3C5E"/>
    <w:rsid w:val="002D50F7"/>
    <w:rsid w:val="002D5500"/>
    <w:rsid w:val="002D5908"/>
    <w:rsid w:val="002D687C"/>
    <w:rsid w:val="002E0C82"/>
    <w:rsid w:val="002E4978"/>
    <w:rsid w:val="002F1A09"/>
    <w:rsid w:val="002F2D13"/>
    <w:rsid w:val="002F533D"/>
    <w:rsid w:val="002F7192"/>
    <w:rsid w:val="002F74B1"/>
    <w:rsid w:val="00300B7D"/>
    <w:rsid w:val="003015F6"/>
    <w:rsid w:val="0031057E"/>
    <w:rsid w:val="00310AE5"/>
    <w:rsid w:val="00310F4A"/>
    <w:rsid w:val="0031290F"/>
    <w:rsid w:val="00314907"/>
    <w:rsid w:val="00316C6C"/>
    <w:rsid w:val="0031791C"/>
    <w:rsid w:val="00320D04"/>
    <w:rsid w:val="00343A06"/>
    <w:rsid w:val="00345027"/>
    <w:rsid w:val="00351F5B"/>
    <w:rsid w:val="003521BD"/>
    <w:rsid w:val="00352FF1"/>
    <w:rsid w:val="00373BDE"/>
    <w:rsid w:val="00377055"/>
    <w:rsid w:val="0038146C"/>
    <w:rsid w:val="00386217"/>
    <w:rsid w:val="00386863"/>
    <w:rsid w:val="003934A2"/>
    <w:rsid w:val="00393ABF"/>
    <w:rsid w:val="0039627C"/>
    <w:rsid w:val="00397F4E"/>
    <w:rsid w:val="003A629E"/>
    <w:rsid w:val="003A7243"/>
    <w:rsid w:val="003C0B38"/>
    <w:rsid w:val="003C3CAD"/>
    <w:rsid w:val="003C3E88"/>
    <w:rsid w:val="003D191E"/>
    <w:rsid w:val="003D6EEE"/>
    <w:rsid w:val="003E3299"/>
    <w:rsid w:val="003E4668"/>
    <w:rsid w:val="003E55D3"/>
    <w:rsid w:val="003F4477"/>
    <w:rsid w:val="004015EC"/>
    <w:rsid w:val="00405DDF"/>
    <w:rsid w:val="00411189"/>
    <w:rsid w:val="00411714"/>
    <w:rsid w:val="00411CC3"/>
    <w:rsid w:val="00413991"/>
    <w:rsid w:val="004163E5"/>
    <w:rsid w:val="00416CE4"/>
    <w:rsid w:val="00420945"/>
    <w:rsid w:val="004302EB"/>
    <w:rsid w:val="00431A2F"/>
    <w:rsid w:val="004361DD"/>
    <w:rsid w:val="00440632"/>
    <w:rsid w:val="00442D0A"/>
    <w:rsid w:val="00445766"/>
    <w:rsid w:val="004518A6"/>
    <w:rsid w:val="0045326C"/>
    <w:rsid w:val="00453C09"/>
    <w:rsid w:val="00460202"/>
    <w:rsid w:val="0046114B"/>
    <w:rsid w:val="00467E3D"/>
    <w:rsid w:val="00470F21"/>
    <w:rsid w:val="004722BC"/>
    <w:rsid w:val="004723BE"/>
    <w:rsid w:val="00472611"/>
    <w:rsid w:val="00481883"/>
    <w:rsid w:val="00481D3C"/>
    <w:rsid w:val="0048604D"/>
    <w:rsid w:val="00486234"/>
    <w:rsid w:val="004907AA"/>
    <w:rsid w:val="00491A3F"/>
    <w:rsid w:val="004B0A19"/>
    <w:rsid w:val="004B345D"/>
    <w:rsid w:val="004B40C2"/>
    <w:rsid w:val="004C102A"/>
    <w:rsid w:val="004C2A36"/>
    <w:rsid w:val="004C3E39"/>
    <w:rsid w:val="004C42F1"/>
    <w:rsid w:val="004C5B4D"/>
    <w:rsid w:val="004C6833"/>
    <w:rsid w:val="004D25DE"/>
    <w:rsid w:val="004D735A"/>
    <w:rsid w:val="004E2BA9"/>
    <w:rsid w:val="004E3B16"/>
    <w:rsid w:val="004E7AAA"/>
    <w:rsid w:val="004F0F35"/>
    <w:rsid w:val="004F1CBD"/>
    <w:rsid w:val="004F1FCA"/>
    <w:rsid w:val="004F61AD"/>
    <w:rsid w:val="00501B6A"/>
    <w:rsid w:val="0050231E"/>
    <w:rsid w:val="00504CCA"/>
    <w:rsid w:val="00505BF3"/>
    <w:rsid w:val="00506559"/>
    <w:rsid w:val="00510C5B"/>
    <w:rsid w:val="0051198A"/>
    <w:rsid w:val="0051380C"/>
    <w:rsid w:val="00523100"/>
    <w:rsid w:val="00525B53"/>
    <w:rsid w:val="00527ACC"/>
    <w:rsid w:val="00527C0D"/>
    <w:rsid w:val="00530A91"/>
    <w:rsid w:val="005346D1"/>
    <w:rsid w:val="00557215"/>
    <w:rsid w:val="005605CF"/>
    <w:rsid w:val="005619F4"/>
    <w:rsid w:val="00565901"/>
    <w:rsid w:val="00565999"/>
    <w:rsid w:val="00566231"/>
    <w:rsid w:val="00566DBD"/>
    <w:rsid w:val="005672E6"/>
    <w:rsid w:val="0057069D"/>
    <w:rsid w:val="00571AC8"/>
    <w:rsid w:val="00573DB1"/>
    <w:rsid w:val="00576692"/>
    <w:rsid w:val="00580E41"/>
    <w:rsid w:val="00581948"/>
    <w:rsid w:val="00586AC2"/>
    <w:rsid w:val="00591E89"/>
    <w:rsid w:val="00596C97"/>
    <w:rsid w:val="00597963"/>
    <w:rsid w:val="005B1334"/>
    <w:rsid w:val="005B17B7"/>
    <w:rsid w:val="005B7F09"/>
    <w:rsid w:val="005C1593"/>
    <w:rsid w:val="005D1757"/>
    <w:rsid w:val="005D60BE"/>
    <w:rsid w:val="005D704A"/>
    <w:rsid w:val="005E5C49"/>
    <w:rsid w:val="005F4A3A"/>
    <w:rsid w:val="00605854"/>
    <w:rsid w:val="00606DF4"/>
    <w:rsid w:val="00616D64"/>
    <w:rsid w:val="00620EA4"/>
    <w:rsid w:val="00624492"/>
    <w:rsid w:val="006265E3"/>
    <w:rsid w:val="0063274C"/>
    <w:rsid w:val="00633319"/>
    <w:rsid w:val="00640B0A"/>
    <w:rsid w:val="00641621"/>
    <w:rsid w:val="006426A8"/>
    <w:rsid w:val="00646270"/>
    <w:rsid w:val="006465D6"/>
    <w:rsid w:val="00650242"/>
    <w:rsid w:val="00651988"/>
    <w:rsid w:val="006543F1"/>
    <w:rsid w:val="00656C6D"/>
    <w:rsid w:val="00665EB9"/>
    <w:rsid w:val="0066765E"/>
    <w:rsid w:val="0067398F"/>
    <w:rsid w:val="006740E2"/>
    <w:rsid w:val="00674DEF"/>
    <w:rsid w:val="00675896"/>
    <w:rsid w:val="00677E80"/>
    <w:rsid w:val="00680C61"/>
    <w:rsid w:val="006878BF"/>
    <w:rsid w:val="00693375"/>
    <w:rsid w:val="006974BD"/>
    <w:rsid w:val="006A1A29"/>
    <w:rsid w:val="006B0A3C"/>
    <w:rsid w:val="006B1539"/>
    <w:rsid w:val="006B6814"/>
    <w:rsid w:val="006C57B0"/>
    <w:rsid w:val="006D13FF"/>
    <w:rsid w:val="006D3B5C"/>
    <w:rsid w:val="006D4866"/>
    <w:rsid w:val="006E2D15"/>
    <w:rsid w:val="006F1776"/>
    <w:rsid w:val="006F17D4"/>
    <w:rsid w:val="006F2630"/>
    <w:rsid w:val="006F5269"/>
    <w:rsid w:val="006F72F5"/>
    <w:rsid w:val="0070041E"/>
    <w:rsid w:val="007037AB"/>
    <w:rsid w:val="00704830"/>
    <w:rsid w:val="0070509F"/>
    <w:rsid w:val="00712E72"/>
    <w:rsid w:val="00716396"/>
    <w:rsid w:val="007173D4"/>
    <w:rsid w:val="00736FB3"/>
    <w:rsid w:val="0074075A"/>
    <w:rsid w:val="00744F40"/>
    <w:rsid w:val="0075010F"/>
    <w:rsid w:val="007522B7"/>
    <w:rsid w:val="00752C16"/>
    <w:rsid w:val="007532F3"/>
    <w:rsid w:val="00754ED3"/>
    <w:rsid w:val="0075590B"/>
    <w:rsid w:val="00755F9A"/>
    <w:rsid w:val="007660D8"/>
    <w:rsid w:val="00767C13"/>
    <w:rsid w:val="00771020"/>
    <w:rsid w:val="00781E13"/>
    <w:rsid w:val="00783C9B"/>
    <w:rsid w:val="00786B55"/>
    <w:rsid w:val="00790231"/>
    <w:rsid w:val="00792E05"/>
    <w:rsid w:val="00794F00"/>
    <w:rsid w:val="00795ECC"/>
    <w:rsid w:val="007A0DD0"/>
    <w:rsid w:val="007B0F71"/>
    <w:rsid w:val="007B1298"/>
    <w:rsid w:val="007B234C"/>
    <w:rsid w:val="007B24E8"/>
    <w:rsid w:val="007B40BA"/>
    <w:rsid w:val="007B4C74"/>
    <w:rsid w:val="007B6D21"/>
    <w:rsid w:val="007C22CD"/>
    <w:rsid w:val="007C7E7D"/>
    <w:rsid w:val="007D1226"/>
    <w:rsid w:val="007D6B0C"/>
    <w:rsid w:val="007E08CD"/>
    <w:rsid w:val="007E1B81"/>
    <w:rsid w:val="007E3B0B"/>
    <w:rsid w:val="007E3D53"/>
    <w:rsid w:val="007E7174"/>
    <w:rsid w:val="007F1B5E"/>
    <w:rsid w:val="007F2A83"/>
    <w:rsid w:val="00805926"/>
    <w:rsid w:val="00805A17"/>
    <w:rsid w:val="00811603"/>
    <w:rsid w:val="00811649"/>
    <w:rsid w:val="00813085"/>
    <w:rsid w:val="00813C6E"/>
    <w:rsid w:val="0081506D"/>
    <w:rsid w:val="008318F0"/>
    <w:rsid w:val="008321F3"/>
    <w:rsid w:val="00844E85"/>
    <w:rsid w:val="00845032"/>
    <w:rsid w:val="0085022E"/>
    <w:rsid w:val="0085129C"/>
    <w:rsid w:val="008575EE"/>
    <w:rsid w:val="00866D5F"/>
    <w:rsid w:val="00871590"/>
    <w:rsid w:val="00873252"/>
    <w:rsid w:val="00874D10"/>
    <w:rsid w:val="00875310"/>
    <w:rsid w:val="008805C9"/>
    <w:rsid w:val="008817F4"/>
    <w:rsid w:val="0088301D"/>
    <w:rsid w:val="0088512F"/>
    <w:rsid w:val="008861E5"/>
    <w:rsid w:val="00892892"/>
    <w:rsid w:val="008933D6"/>
    <w:rsid w:val="008975CB"/>
    <w:rsid w:val="008A0221"/>
    <w:rsid w:val="008A1D64"/>
    <w:rsid w:val="008A5D5A"/>
    <w:rsid w:val="008B2A5B"/>
    <w:rsid w:val="008D00D2"/>
    <w:rsid w:val="008D4B08"/>
    <w:rsid w:val="008D4FCC"/>
    <w:rsid w:val="008D7BA1"/>
    <w:rsid w:val="008F2E3A"/>
    <w:rsid w:val="00900FE6"/>
    <w:rsid w:val="00902DA3"/>
    <w:rsid w:val="00903AFB"/>
    <w:rsid w:val="00912E7F"/>
    <w:rsid w:val="00913853"/>
    <w:rsid w:val="00922528"/>
    <w:rsid w:val="0092275A"/>
    <w:rsid w:val="0092688F"/>
    <w:rsid w:val="00930171"/>
    <w:rsid w:val="0093380E"/>
    <w:rsid w:val="00935128"/>
    <w:rsid w:val="009426D9"/>
    <w:rsid w:val="00943059"/>
    <w:rsid w:val="00956101"/>
    <w:rsid w:val="0096147B"/>
    <w:rsid w:val="009647A1"/>
    <w:rsid w:val="00972111"/>
    <w:rsid w:val="009745F9"/>
    <w:rsid w:val="00982775"/>
    <w:rsid w:val="00984B00"/>
    <w:rsid w:val="00986BD1"/>
    <w:rsid w:val="00993CD3"/>
    <w:rsid w:val="00995287"/>
    <w:rsid w:val="00997DD2"/>
    <w:rsid w:val="009B3B23"/>
    <w:rsid w:val="009C5606"/>
    <w:rsid w:val="009D1497"/>
    <w:rsid w:val="009D27A9"/>
    <w:rsid w:val="009D7601"/>
    <w:rsid w:val="009E5F54"/>
    <w:rsid w:val="009F2A33"/>
    <w:rsid w:val="009F3134"/>
    <w:rsid w:val="009F4D72"/>
    <w:rsid w:val="009F5BC1"/>
    <w:rsid w:val="00A00419"/>
    <w:rsid w:val="00A07B1C"/>
    <w:rsid w:val="00A17CC0"/>
    <w:rsid w:val="00A17CFE"/>
    <w:rsid w:val="00A23106"/>
    <w:rsid w:val="00A31F70"/>
    <w:rsid w:val="00A410EF"/>
    <w:rsid w:val="00A4274C"/>
    <w:rsid w:val="00A43CD8"/>
    <w:rsid w:val="00A51481"/>
    <w:rsid w:val="00A5559E"/>
    <w:rsid w:val="00A5729F"/>
    <w:rsid w:val="00A61FED"/>
    <w:rsid w:val="00A66254"/>
    <w:rsid w:val="00A675E8"/>
    <w:rsid w:val="00A7028C"/>
    <w:rsid w:val="00A704EE"/>
    <w:rsid w:val="00A7170B"/>
    <w:rsid w:val="00A723CC"/>
    <w:rsid w:val="00A72D5C"/>
    <w:rsid w:val="00A740BC"/>
    <w:rsid w:val="00A75D94"/>
    <w:rsid w:val="00A827A9"/>
    <w:rsid w:val="00A87269"/>
    <w:rsid w:val="00A879B0"/>
    <w:rsid w:val="00A900AD"/>
    <w:rsid w:val="00A91968"/>
    <w:rsid w:val="00A91DA2"/>
    <w:rsid w:val="00A9623D"/>
    <w:rsid w:val="00A96276"/>
    <w:rsid w:val="00AB6365"/>
    <w:rsid w:val="00AC3516"/>
    <w:rsid w:val="00AD08C4"/>
    <w:rsid w:val="00AD33C7"/>
    <w:rsid w:val="00AD43AE"/>
    <w:rsid w:val="00AE3301"/>
    <w:rsid w:val="00AE3A4D"/>
    <w:rsid w:val="00AE5910"/>
    <w:rsid w:val="00AE61CD"/>
    <w:rsid w:val="00AF1216"/>
    <w:rsid w:val="00AF12FD"/>
    <w:rsid w:val="00AF3742"/>
    <w:rsid w:val="00AF70E7"/>
    <w:rsid w:val="00B03BE2"/>
    <w:rsid w:val="00B10756"/>
    <w:rsid w:val="00B15FD3"/>
    <w:rsid w:val="00B226BA"/>
    <w:rsid w:val="00B25A87"/>
    <w:rsid w:val="00B321BA"/>
    <w:rsid w:val="00B3670D"/>
    <w:rsid w:val="00B36CBB"/>
    <w:rsid w:val="00B40118"/>
    <w:rsid w:val="00B42B36"/>
    <w:rsid w:val="00B457C4"/>
    <w:rsid w:val="00B473F0"/>
    <w:rsid w:val="00B47F02"/>
    <w:rsid w:val="00B52006"/>
    <w:rsid w:val="00B52E4A"/>
    <w:rsid w:val="00B56D4A"/>
    <w:rsid w:val="00B65392"/>
    <w:rsid w:val="00B717B8"/>
    <w:rsid w:val="00B74953"/>
    <w:rsid w:val="00B768A5"/>
    <w:rsid w:val="00B77FC0"/>
    <w:rsid w:val="00B911AE"/>
    <w:rsid w:val="00B915E0"/>
    <w:rsid w:val="00B94A0D"/>
    <w:rsid w:val="00BA1CBF"/>
    <w:rsid w:val="00BB1F43"/>
    <w:rsid w:val="00BB292D"/>
    <w:rsid w:val="00BC0769"/>
    <w:rsid w:val="00BC0EA4"/>
    <w:rsid w:val="00BC13F3"/>
    <w:rsid w:val="00BC4965"/>
    <w:rsid w:val="00BC6BAD"/>
    <w:rsid w:val="00BD542C"/>
    <w:rsid w:val="00BE103E"/>
    <w:rsid w:val="00BE2D18"/>
    <w:rsid w:val="00BE3DEC"/>
    <w:rsid w:val="00BE45D4"/>
    <w:rsid w:val="00BF6630"/>
    <w:rsid w:val="00C012D5"/>
    <w:rsid w:val="00C06484"/>
    <w:rsid w:val="00C07EA8"/>
    <w:rsid w:val="00C140B4"/>
    <w:rsid w:val="00C152DF"/>
    <w:rsid w:val="00C170B1"/>
    <w:rsid w:val="00C2040E"/>
    <w:rsid w:val="00C230CC"/>
    <w:rsid w:val="00C262E9"/>
    <w:rsid w:val="00C26B0A"/>
    <w:rsid w:val="00C26F04"/>
    <w:rsid w:val="00C31166"/>
    <w:rsid w:val="00C43319"/>
    <w:rsid w:val="00C439E9"/>
    <w:rsid w:val="00C44235"/>
    <w:rsid w:val="00C446CA"/>
    <w:rsid w:val="00C455E8"/>
    <w:rsid w:val="00C45DA3"/>
    <w:rsid w:val="00C472B5"/>
    <w:rsid w:val="00C51CCC"/>
    <w:rsid w:val="00C52608"/>
    <w:rsid w:val="00C5739C"/>
    <w:rsid w:val="00C617F9"/>
    <w:rsid w:val="00C62952"/>
    <w:rsid w:val="00C62C06"/>
    <w:rsid w:val="00C62E5F"/>
    <w:rsid w:val="00C6391F"/>
    <w:rsid w:val="00C66056"/>
    <w:rsid w:val="00C72BF6"/>
    <w:rsid w:val="00C77469"/>
    <w:rsid w:val="00C9144D"/>
    <w:rsid w:val="00C91B8B"/>
    <w:rsid w:val="00C91CA9"/>
    <w:rsid w:val="00C93FF1"/>
    <w:rsid w:val="00C94381"/>
    <w:rsid w:val="00C9659E"/>
    <w:rsid w:val="00CA4B2F"/>
    <w:rsid w:val="00CA6236"/>
    <w:rsid w:val="00CB2EE8"/>
    <w:rsid w:val="00CB53AA"/>
    <w:rsid w:val="00CB6C0D"/>
    <w:rsid w:val="00CC182E"/>
    <w:rsid w:val="00CC21B0"/>
    <w:rsid w:val="00CC30D7"/>
    <w:rsid w:val="00CC6B18"/>
    <w:rsid w:val="00CD2F32"/>
    <w:rsid w:val="00CD5829"/>
    <w:rsid w:val="00CD5923"/>
    <w:rsid w:val="00CD7C10"/>
    <w:rsid w:val="00CE02FC"/>
    <w:rsid w:val="00CE26C3"/>
    <w:rsid w:val="00CE35CF"/>
    <w:rsid w:val="00CE61C0"/>
    <w:rsid w:val="00CE7A19"/>
    <w:rsid w:val="00CF37F2"/>
    <w:rsid w:val="00CF507C"/>
    <w:rsid w:val="00CF623E"/>
    <w:rsid w:val="00D00580"/>
    <w:rsid w:val="00D012DC"/>
    <w:rsid w:val="00D0236E"/>
    <w:rsid w:val="00D04284"/>
    <w:rsid w:val="00D04C2D"/>
    <w:rsid w:val="00D07DBC"/>
    <w:rsid w:val="00D16446"/>
    <w:rsid w:val="00D176D5"/>
    <w:rsid w:val="00D20D98"/>
    <w:rsid w:val="00D33756"/>
    <w:rsid w:val="00D36D6E"/>
    <w:rsid w:val="00D4141F"/>
    <w:rsid w:val="00D4474D"/>
    <w:rsid w:val="00D45247"/>
    <w:rsid w:val="00D45ECE"/>
    <w:rsid w:val="00D54631"/>
    <w:rsid w:val="00D54827"/>
    <w:rsid w:val="00D57D49"/>
    <w:rsid w:val="00D60EF6"/>
    <w:rsid w:val="00D62B04"/>
    <w:rsid w:val="00D64A75"/>
    <w:rsid w:val="00D65528"/>
    <w:rsid w:val="00D66AB7"/>
    <w:rsid w:val="00D67AB6"/>
    <w:rsid w:val="00D77FC9"/>
    <w:rsid w:val="00D815A6"/>
    <w:rsid w:val="00D82F31"/>
    <w:rsid w:val="00D901F1"/>
    <w:rsid w:val="00D90B48"/>
    <w:rsid w:val="00D964D2"/>
    <w:rsid w:val="00DA0CAF"/>
    <w:rsid w:val="00DA18D9"/>
    <w:rsid w:val="00DA226D"/>
    <w:rsid w:val="00DA58B8"/>
    <w:rsid w:val="00DA5F9B"/>
    <w:rsid w:val="00DB098A"/>
    <w:rsid w:val="00DB2961"/>
    <w:rsid w:val="00DB2CE0"/>
    <w:rsid w:val="00DB4752"/>
    <w:rsid w:val="00DB67EA"/>
    <w:rsid w:val="00DB6F63"/>
    <w:rsid w:val="00DC00E7"/>
    <w:rsid w:val="00DC28F0"/>
    <w:rsid w:val="00DC2B49"/>
    <w:rsid w:val="00DC362C"/>
    <w:rsid w:val="00DC6374"/>
    <w:rsid w:val="00DD144D"/>
    <w:rsid w:val="00DD4325"/>
    <w:rsid w:val="00DD5D5F"/>
    <w:rsid w:val="00DD6077"/>
    <w:rsid w:val="00DE0D92"/>
    <w:rsid w:val="00DE3CEE"/>
    <w:rsid w:val="00DE779A"/>
    <w:rsid w:val="00DF1283"/>
    <w:rsid w:val="00DF6453"/>
    <w:rsid w:val="00E01BC9"/>
    <w:rsid w:val="00E20087"/>
    <w:rsid w:val="00E2087F"/>
    <w:rsid w:val="00E21CB7"/>
    <w:rsid w:val="00E273EE"/>
    <w:rsid w:val="00E32D35"/>
    <w:rsid w:val="00E35B49"/>
    <w:rsid w:val="00E408C1"/>
    <w:rsid w:val="00E43C96"/>
    <w:rsid w:val="00E4484B"/>
    <w:rsid w:val="00E548EB"/>
    <w:rsid w:val="00E54C13"/>
    <w:rsid w:val="00E61735"/>
    <w:rsid w:val="00E67569"/>
    <w:rsid w:val="00E70467"/>
    <w:rsid w:val="00E75095"/>
    <w:rsid w:val="00E769C8"/>
    <w:rsid w:val="00E80D3C"/>
    <w:rsid w:val="00E80D74"/>
    <w:rsid w:val="00E8400D"/>
    <w:rsid w:val="00E847A4"/>
    <w:rsid w:val="00E93C45"/>
    <w:rsid w:val="00E93F12"/>
    <w:rsid w:val="00E96F37"/>
    <w:rsid w:val="00EA2E1C"/>
    <w:rsid w:val="00EA3B72"/>
    <w:rsid w:val="00EB200E"/>
    <w:rsid w:val="00EB2AC7"/>
    <w:rsid w:val="00EB4387"/>
    <w:rsid w:val="00EB55CF"/>
    <w:rsid w:val="00EB61ED"/>
    <w:rsid w:val="00EB6A62"/>
    <w:rsid w:val="00EB6FB2"/>
    <w:rsid w:val="00EC076A"/>
    <w:rsid w:val="00EC1A34"/>
    <w:rsid w:val="00EC2E55"/>
    <w:rsid w:val="00EC3DA4"/>
    <w:rsid w:val="00EC4A33"/>
    <w:rsid w:val="00ED29DD"/>
    <w:rsid w:val="00ED3987"/>
    <w:rsid w:val="00ED5DCA"/>
    <w:rsid w:val="00EE2691"/>
    <w:rsid w:val="00EE69D5"/>
    <w:rsid w:val="00EF264D"/>
    <w:rsid w:val="00EF3065"/>
    <w:rsid w:val="00EF6B60"/>
    <w:rsid w:val="00EF7A7B"/>
    <w:rsid w:val="00F00EFA"/>
    <w:rsid w:val="00F04FD8"/>
    <w:rsid w:val="00F11B85"/>
    <w:rsid w:val="00F12188"/>
    <w:rsid w:val="00F146C6"/>
    <w:rsid w:val="00F14920"/>
    <w:rsid w:val="00F15840"/>
    <w:rsid w:val="00F15B99"/>
    <w:rsid w:val="00F23434"/>
    <w:rsid w:val="00F27307"/>
    <w:rsid w:val="00F3417E"/>
    <w:rsid w:val="00F34AEC"/>
    <w:rsid w:val="00F3620B"/>
    <w:rsid w:val="00F42829"/>
    <w:rsid w:val="00F4624D"/>
    <w:rsid w:val="00F47B77"/>
    <w:rsid w:val="00F50BD0"/>
    <w:rsid w:val="00F60F2F"/>
    <w:rsid w:val="00F63F88"/>
    <w:rsid w:val="00F648E2"/>
    <w:rsid w:val="00F649C7"/>
    <w:rsid w:val="00F65326"/>
    <w:rsid w:val="00F658B8"/>
    <w:rsid w:val="00F737AB"/>
    <w:rsid w:val="00F764C8"/>
    <w:rsid w:val="00F818A2"/>
    <w:rsid w:val="00F84AB7"/>
    <w:rsid w:val="00F8697E"/>
    <w:rsid w:val="00F870FB"/>
    <w:rsid w:val="00F90552"/>
    <w:rsid w:val="00F95909"/>
    <w:rsid w:val="00F9753A"/>
    <w:rsid w:val="00FA1F46"/>
    <w:rsid w:val="00FA507C"/>
    <w:rsid w:val="00FB2AC4"/>
    <w:rsid w:val="00FD16F8"/>
    <w:rsid w:val="00FD3358"/>
    <w:rsid w:val="00FD3AD7"/>
    <w:rsid w:val="00FD3C0D"/>
    <w:rsid w:val="00FD48FC"/>
    <w:rsid w:val="00FD5A0F"/>
    <w:rsid w:val="00FD63C2"/>
    <w:rsid w:val="00FD6F5E"/>
    <w:rsid w:val="00FE2802"/>
    <w:rsid w:val="00FE7EA2"/>
    <w:rsid w:val="00FF459D"/>
    <w:rsid w:val="00FF6BAA"/>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C9933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22F7"/>
    <w:pPr>
      <w:spacing w:after="160" w:line="259" w:lineRule="auto"/>
    </w:pPr>
  </w:style>
  <w:style w:type="paragraph" w:styleId="Heading1">
    <w:name w:val="heading 1"/>
    <w:basedOn w:val="Normal"/>
    <w:link w:val="Heading1Char"/>
    <w:uiPriority w:val="9"/>
    <w:qFormat/>
    <w:rsid w:val="00E01BC9"/>
    <w:pPr>
      <w:spacing w:before="100" w:beforeAutospacing="1" w:after="100" w:afterAutospacing="1" w:line="240" w:lineRule="auto"/>
      <w:outlineLvl w:val="0"/>
    </w:pPr>
    <w:rPr>
      <w:rFonts w:eastAsia="Times New Roman" w:cs="Times New Roman"/>
      <w:b/>
      <w:bCs/>
      <w:kern w:val="36"/>
      <w:sz w:val="48"/>
      <w:szCs w:val="48"/>
      <w:lang w:val="lv-LV" w:eastAsia="lv-LV"/>
    </w:rPr>
  </w:style>
  <w:style w:type="paragraph" w:styleId="Heading2">
    <w:name w:val="heading 2"/>
    <w:basedOn w:val="Normal"/>
    <w:next w:val="Normal"/>
    <w:link w:val="Heading2Char"/>
    <w:uiPriority w:val="9"/>
    <w:semiHidden/>
    <w:unhideWhenUsed/>
    <w:qFormat/>
    <w:rsid w:val="00C62C0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2688F"/>
    <w:pPr>
      <w:keepNext/>
      <w:keepLines/>
      <w:spacing w:before="40" w:after="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7CFE"/>
    <w:pPr>
      <w:tabs>
        <w:tab w:val="center" w:pos="4320"/>
        <w:tab w:val="right" w:pos="8640"/>
      </w:tabs>
      <w:spacing w:after="0" w:line="240" w:lineRule="auto"/>
    </w:pPr>
  </w:style>
  <w:style w:type="character" w:customStyle="1" w:styleId="HeaderChar">
    <w:name w:val="Header Char"/>
    <w:basedOn w:val="DefaultParagraphFont"/>
    <w:link w:val="Header"/>
    <w:uiPriority w:val="99"/>
    <w:rsid w:val="00A17CFE"/>
  </w:style>
  <w:style w:type="paragraph" w:styleId="Footer">
    <w:name w:val="footer"/>
    <w:basedOn w:val="Normal"/>
    <w:link w:val="FooterChar"/>
    <w:uiPriority w:val="99"/>
    <w:unhideWhenUsed/>
    <w:rsid w:val="00A17CFE"/>
    <w:pPr>
      <w:tabs>
        <w:tab w:val="center" w:pos="4320"/>
        <w:tab w:val="right" w:pos="8640"/>
      </w:tabs>
      <w:spacing w:after="0" w:line="240" w:lineRule="auto"/>
    </w:pPr>
  </w:style>
  <w:style w:type="character" w:customStyle="1" w:styleId="FooterChar">
    <w:name w:val="Footer Char"/>
    <w:basedOn w:val="DefaultParagraphFont"/>
    <w:link w:val="Footer"/>
    <w:uiPriority w:val="99"/>
    <w:rsid w:val="00A17CFE"/>
  </w:style>
  <w:style w:type="paragraph" w:styleId="BalloonText">
    <w:name w:val="Balloon Text"/>
    <w:basedOn w:val="Normal"/>
    <w:link w:val="BalloonTextChar"/>
    <w:uiPriority w:val="99"/>
    <w:semiHidden/>
    <w:unhideWhenUsed/>
    <w:rsid w:val="00E4484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484B"/>
    <w:rPr>
      <w:rFonts w:ascii="Segoe UI" w:hAnsi="Segoe UI" w:cs="Segoe UI"/>
      <w:sz w:val="18"/>
      <w:szCs w:val="18"/>
    </w:rPr>
  </w:style>
  <w:style w:type="character" w:customStyle="1" w:styleId="Heading1Char">
    <w:name w:val="Heading 1 Char"/>
    <w:basedOn w:val="DefaultParagraphFont"/>
    <w:link w:val="Heading1"/>
    <w:uiPriority w:val="9"/>
    <w:rsid w:val="00E01BC9"/>
    <w:rPr>
      <w:rFonts w:eastAsia="Times New Roman" w:cs="Times New Roman"/>
      <w:b/>
      <w:bCs/>
      <w:kern w:val="36"/>
      <w:sz w:val="48"/>
      <w:szCs w:val="48"/>
      <w:lang w:val="lv-LV" w:eastAsia="lv-LV"/>
    </w:rPr>
  </w:style>
  <w:style w:type="paragraph" w:styleId="NoSpacing">
    <w:name w:val="No Spacing"/>
    <w:link w:val="NoSpacingChar"/>
    <w:uiPriority w:val="1"/>
    <w:qFormat/>
    <w:rsid w:val="00C472B5"/>
  </w:style>
  <w:style w:type="character" w:styleId="Hyperlink">
    <w:name w:val="Hyperlink"/>
    <w:basedOn w:val="DefaultParagraphFont"/>
    <w:unhideWhenUsed/>
    <w:rsid w:val="00F65326"/>
    <w:rPr>
      <w:color w:val="0000FF"/>
      <w:u w:val="single"/>
    </w:rPr>
  </w:style>
  <w:style w:type="paragraph" w:customStyle="1" w:styleId="Default">
    <w:name w:val="Default"/>
    <w:rsid w:val="00FD5A0F"/>
    <w:pPr>
      <w:autoSpaceDE w:val="0"/>
      <w:autoSpaceDN w:val="0"/>
      <w:adjustRightInd w:val="0"/>
    </w:pPr>
    <w:rPr>
      <w:rFonts w:cs="Times New Roman"/>
      <w:color w:val="000000"/>
      <w:szCs w:val="24"/>
      <w:lang w:val="lv-LV"/>
    </w:rPr>
  </w:style>
  <w:style w:type="character" w:customStyle="1" w:styleId="Heading3Char">
    <w:name w:val="Heading 3 Char"/>
    <w:basedOn w:val="DefaultParagraphFont"/>
    <w:link w:val="Heading3"/>
    <w:uiPriority w:val="9"/>
    <w:semiHidden/>
    <w:rsid w:val="0092688F"/>
    <w:rPr>
      <w:rFonts w:asciiTheme="majorHAnsi" w:eastAsiaTheme="majorEastAsia" w:hAnsiTheme="majorHAnsi" w:cstheme="majorBidi"/>
      <w:color w:val="1F4D78" w:themeColor="accent1" w:themeShade="7F"/>
      <w:szCs w:val="24"/>
    </w:rPr>
  </w:style>
  <w:style w:type="character" w:customStyle="1" w:styleId="Heading2Char">
    <w:name w:val="Heading 2 Char"/>
    <w:basedOn w:val="DefaultParagraphFont"/>
    <w:link w:val="Heading2"/>
    <w:uiPriority w:val="9"/>
    <w:semiHidden/>
    <w:rsid w:val="00C62C06"/>
    <w:rPr>
      <w:rFonts w:asciiTheme="majorHAnsi" w:eastAsiaTheme="majorEastAsia" w:hAnsiTheme="majorHAnsi" w:cstheme="majorBidi"/>
      <w:color w:val="2E74B5" w:themeColor="accent1" w:themeShade="BF"/>
      <w:sz w:val="26"/>
      <w:szCs w:val="26"/>
    </w:rPr>
  </w:style>
  <w:style w:type="paragraph" w:customStyle="1" w:styleId="Style1">
    <w:name w:val="Style1"/>
    <w:basedOn w:val="Normal"/>
    <w:link w:val="Style1Char"/>
    <w:qFormat/>
    <w:rsid w:val="00900FE6"/>
    <w:pPr>
      <w:tabs>
        <w:tab w:val="left" w:pos="0"/>
      </w:tabs>
      <w:spacing w:line="276" w:lineRule="auto"/>
      <w:ind w:firstLine="709"/>
      <w:jc w:val="both"/>
    </w:pPr>
    <w:rPr>
      <w:lang w:val="lt-LT"/>
    </w:rPr>
  </w:style>
  <w:style w:type="character" w:customStyle="1" w:styleId="Style1Char">
    <w:name w:val="Style1 Char"/>
    <w:basedOn w:val="DefaultParagraphFont"/>
    <w:link w:val="Style1"/>
    <w:rsid w:val="00900FE6"/>
    <w:rPr>
      <w:lang w:val="lt-LT"/>
    </w:rPr>
  </w:style>
  <w:style w:type="paragraph" w:customStyle="1" w:styleId="Style2">
    <w:name w:val="Style2"/>
    <w:basedOn w:val="Normal"/>
    <w:link w:val="Style2Char"/>
    <w:qFormat/>
    <w:rsid w:val="00E93C45"/>
    <w:pPr>
      <w:autoSpaceDE w:val="0"/>
      <w:autoSpaceDN w:val="0"/>
      <w:adjustRightInd w:val="0"/>
      <w:spacing w:after="0" w:line="276" w:lineRule="auto"/>
      <w:jc w:val="both"/>
    </w:pPr>
    <w:rPr>
      <w:szCs w:val="24"/>
      <w:lang w:val="lt-LT"/>
    </w:rPr>
  </w:style>
  <w:style w:type="character" w:customStyle="1" w:styleId="Style2Char">
    <w:name w:val="Style2 Char"/>
    <w:basedOn w:val="DefaultParagraphFont"/>
    <w:link w:val="Style2"/>
    <w:rsid w:val="00E93C45"/>
    <w:rPr>
      <w:szCs w:val="24"/>
      <w:lang w:val="lt-LT"/>
    </w:rPr>
  </w:style>
  <w:style w:type="paragraph" w:styleId="Revision">
    <w:name w:val="Revision"/>
    <w:hidden/>
    <w:uiPriority w:val="99"/>
    <w:semiHidden/>
    <w:rsid w:val="00CE7A19"/>
  </w:style>
  <w:style w:type="character" w:customStyle="1" w:styleId="NoSpacingChar">
    <w:name w:val="No Spacing Char"/>
    <w:link w:val="NoSpacing"/>
    <w:uiPriority w:val="1"/>
    <w:locked/>
    <w:rsid w:val="00C62E5F"/>
  </w:style>
  <w:style w:type="character" w:styleId="UnresolvedMention">
    <w:name w:val="Unresolved Mention"/>
    <w:basedOn w:val="DefaultParagraphFont"/>
    <w:uiPriority w:val="99"/>
    <w:semiHidden/>
    <w:unhideWhenUsed/>
    <w:rsid w:val="00811603"/>
    <w:rPr>
      <w:color w:val="605E5C"/>
      <w:shd w:val="clear" w:color="auto" w:fill="E1DFDD"/>
    </w:rPr>
  </w:style>
  <w:style w:type="character" w:styleId="FollowedHyperlink">
    <w:name w:val="FollowedHyperlink"/>
    <w:basedOn w:val="DefaultParagraphFont"/>
    <w:uiPriority w:val="99"/>
    <w:semiHidden/>
    <w:unhideWhenUsed/>
    <w:rsid w:val="001015CD"/>
    <w:rPr>
      <w:color w:val="954F72" w:themeColor="followedHyperlink"/>
      <w:u w:val="single"/>
    </w:rPr>
  </w:style>
  <w:style w:type="character" w:styleId="CommentReference">
    <w:name w:val="annotation reference"/>
    <w:basedOn w:val="DefaultParagraphFont"/>
    <w:uiPriority w:val="99"/>
    <w:semiHidden/>
    <w:unhideWhenUsed/>
    <w:rsid w:val="00EB4387"/>
    <w:rPr>
      <w:sz w:val="16"/>
      <w:szCs w:val="16"/>
    </w:rPr>
  </w:style>
  <w:style w:type="paragraph" w:styleId="CommentText">
    <w:name w:val="annotation text"/>
    <w:basedOn w:val="Normal"/>
    <w:link w:val="CommentTextChar"/>
    <w:uiPriority w:val="99"/>
    <w:unhideWhenUsed/>
    <w:rsid w:val="00EB4387"/>
    <w:pPr>
      <w:spacing w:line="240" w:lineRule="auto"/>
    </w:pPr>
    <w:rPr>
      <w:sz w:val="20"/>
      <w:szCs w:val="20"/>
    </w:rPr>
  </w:style>
  <w:style w:type="character" w:customStyle="1" w:styleId="CommentTextChar">
    <w:name w:val="Comment Text Char"/>
    <w:basedOn w:val="DefaultParagraphFont"/>
    <w:link w:val="CommentText"/>
    <w:uiPriority w:val="99"/>
    <w:rsid w:val="00EB4387"/>
    <w:rPr>
      <w:sz w:val="20"/>
      <w:szCs w:val="20"/>
    </w:rPr>
  </w:style>
  <w:style w:type="paragraph" w:styleId="CommentSubject">
    <w:name w:val="annotation subject"/>
    <w:basedOn w:val="CommentText"/>
    <w:next w:val="CommentText"/>
    <w:link w:val="CommentSubjectChar"/>
    <w:uiPriority w:val="99"/>
    <w:semiHidden/>
    <w:unhideWhenUsed/>
    <w:rsid w:val="00EB4387"/>
    <w:rPr>
      <w:b/>
      <w:bCs/>
    </w:rPr>
  </w:style>
  <w:style w:type="character" w:customStyle="1" w:styleId="CommentSubjectChar">
    <w:name w:val="Comment Subject Char"/>
    <w:basedOn w:val="CommentTextChar"/>
    <w:link w:val="CommentSubject"/>
    <w:uiPriority w:val="99"/>
    <w:semiHidden/>
    <w:rsid w:val="00EB4387"/>
    <w:rPr>
      <w:b/>
      <w:bCs/>
      <w:sz w:val="20"/>
      <w:szCs w:val="20"/>
    </w:rPr>
  </w:style>
  <w:style w:type="character" w:styleId="Strong">
    <w:name w:val="Strong"/>
    <w:basedOn w:val="DefaultParagraphFont"/>
    <w:uiPriority w:val="22"/>
    <w:qFormat/>
    <w:rsid w:val="00FD63C2"/>
    <w:rPr>
      <w:b/>
      <w:bCs/>
    </w:rPr>
  </w:style>
  <w:style w:type="table" w:styleId="TableGrid">
    <w:name w:val="Table Grid"/>
    <w:basedOn w:val="TableNormal"/>
    <w:uiPriority w:val="59"/>
    <w:rsid w:val="00032D27"/>
    <w:rPr>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8140985">
      <w:bodyDiv w:val="1"/>
      <w:marLeft w:val="0"/>
      <w:marRight w:val="0"/>
      <w:marTop w:val="0"/>
      <w:marBottom w:val="0"/>
      <w:divBdr>
        <w:top w:val="none" w:sz="0" w:space="0" w:color="auto"/>
        <w:left w:val="none" w:sz="0" w:space="0" w:color="auto"/>
        <w:bottom w:val="none" w:sz="0" w:space="0" w:color="auto"/>
        <w:right w:val="none" w:sz="0" w:space="0" w:color="auto"/>
      </w:divBdr>
    </w:div>
    <w:div w:id="810948252">
      <w:bodyDiv w:val="1"/>
      <w:marLeft w:val="0"/>
      <w:marRight w:val="0"/>
      <w:marTop w:val="0"/>
      <w:marBottom w:val="0"/>
      <w:divBdr>
        <w:top w:val="none" w:sz="0" w:space="0" w:color="auto"/>
        <w:left w:val="none" w:sz="0" w:space="0" w:color="auto"/>
        <w:bottom w:val="none" w:sz="0" w:space="0" w:color="auto"/>
        <w:right w:val="none" w:sz="0" w:space="0" w:color="auto"/>
      </w:divBdr>
    </w:div>
    <w:div w:id="1486166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t.gov.lv/downloadlawfile/10993"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gateway.elieta.lv/api/v1/PublicMaterialDownload/4ed18581-c2b2-4fd6-ace9-fcc6baf4f1ce" TargetMode="External"/><Relationship Id="rId12" Type="http://schemas.openxmlformats.org/officeDocument/2006/relationships/hyperlink" Target="https://infocuria.curia.europa.eu/tabs/document/T/2016/T-0879-16-00000000PI-01-P-01/ARRET/199204-LV-1-htm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at.gov.lv/downloadlawfile/6897"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at.gov.lv/downloadlawfile/6981" TargetMode="External"/><Relationship Id="rId4" Type="http://schemas.openxmlformats.org/officeDocument/2006/relationships/webSettings" Target="webSettings.xml"/><Relationship Id="rId9" Type="http://schemas.openxmlformats.org/officeDocument/2006/relationships/hyperlink" Target="https://www.at.gov.lv/downloadlawfile/5142"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810772-7144-4D89-8960-48F8D13B9C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9008</Words>
  <Characters>5135</Characters>
  <Application>Microsoft Office Word</Application>
  <DocSecurity>0</DocSecurity>
  <Lines>42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2026-03-19T16:05:00Z</dcterms:created>
  <dcterms:modified xsi:type="dcterms:W3CDTF">2026-03-25T09:03:00Z</dcterms:modified>
</cp:coreProperties>
</file>