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E237A" w14:textId="77777777" w:rsidR="006B2310" w:rsidRDefault="006B2310" w:rsidP="006B2310">
      <w:pPr>
        <w:spacing w:line="276" w:lineRule="auto"/>
        <w:rPr>
          <w:b/>
          <w:bCs/>
          <w:lang w:eastAsia="lv-LV"/>
        </w:rPr>
      </w:pPr>
      <w:r>
        <w:rPr>
          <w:b/>
          <w:bCs/>
        </w:rPr>
        <w:t>Personas, kura kriminālprocesā iemaksājusi drošības naudu citas personas labā, tiesības izvirzīt prasījumu par kriminālprocesā nodarīto zaudējumu atlīdzinājumu</w:t>
      </w:r>
    </w:p>
    <w:p w14:paraId="0D53B38D" w14:textId="77777777" w:rsidR="006B2310" w:rsidRDefault="006B2310" w:rsidP="006B2310">
      <w:pPr>
        <w:spacing w:line="276" w:lineRule="auto"/>
        <w:jc w:val="both"/>
        <w:rPr>
          <w:b/>
          <w:bCs/>
          <w:color w:val="EE0000"/>
        </w:rPr>
      </w:pPr>
      <w:r>
        <w:t>Persona, kura kriminālprocesā iemaksājusi drošības naudu citas personas labā, vispārīgi ir uzskatāma par tādu, kurai ir tiesības izvirzīt prasījumu atlīdzināt zaudējumus, kas tai kriminālprocesā ir nodarīti iestādes, prokuratūras vai tiesas prettiesiskas rīcības dēļ.</w:t>
      </w:r>
    </w:p>
    <w:p w14:paraId="64B6DA48" w14:textId="712BAC38" w:rsidR="00447EE6" w:rsidRPr="006B2310" w:rsidRDefault="006B2310" w:rsidP="006B2310">
      <w:pPr>
        <w:spacing w:line="276" w:lineRule="auto"/>
        <w:jc w:val="both"/>
        <w:rPr>
          <w:b/>
          <w:bCs/>
          <w:color w:val="EE0000"/>
        </w:rPr>
      </w:pPr>
      <w:r>
        <w:t xml:space="preserve">Tas, vai ir iestājušies šādu zaudējumu atlīdzināšanas priekšnoteikumi (tostarp, vai ir konstatējama cēloņsakarība starp iestādes, prokuratūras vai tiesas prettiesisko rīcību un privātpersonas norādītajiem zaudējumiem un vai ir pierādīts zaudējumu atlīdzības pamats un apmērs), ir pieteikuma pamatotības pēc būtības jautājums. </w:t>
      </w:r>
    </w:p>
    <w:p w14:paraId="55E0E475" w14:textId="42D9B146" w:rsidR="00447EE6" w:rsidRPr="001F1514" w:rsidRDefault="00447EE6" w:rsidP="006B2310">
      <w:pPr>
        <w:spacing w:before="240" w:line="276" w:lineRule="auto"/>
        <w:jc w:val="center"/>
        <w:rPr>
          <w:b/>
          <w:color w:val="000000" w:themeColor="text1"/>
        </w:rPr>
      </w:pPr>
      <w:r w:rsidRPr="001F1514">
        <w:rPr>
          <w:b/>
          <w:color w:val="000000" w:themeColor="text1"/>
        </w:rPr>
        <w:t>Latvijas Republikas Senāt</w:t>
      </w:r>
      <w:r w:rsidR="006B2310">
        <w:rPr>
          <w:b/>
          <w:color w:val="000000" w:themeColor="text1"/>
        </w:rPr>
        <w:t>a</w:t>
      </w:r>
      <w:r w:rsidR="006B2310">
        <w:rPr>
          <w:b/>
          <w:color w:val="000000" w:themeColor="text1"/>
        </w:rPr>
        <w:br/>
        <w:t>Administratīvo lietu departamenta</w:t>
      </w:r>
      <w:r w:rsidR="006B2310">
        <w:rPr>
          <w:b/>
          <w:color w:val="000000" w:themeColor="text1"/>
        </w:rPr>
        <w:br/>
        <w:t>2026.gada 27.februāra</w:t>
      </w:r>
    </w:p>
    <w:p w14:paraId="2FA9305A" w14:textId="3EA1D029" w:rsidR="00447EE6" w:rsidRDefault="000E008F" w:rsidP="006B2310">
      <w:pPr>
        <w:spacing w:line="276" w:lineRule="auto"/>
        <w:jc w:val="center"/>
        <w:rPr>
          <w:b/>
          <w:color w:val="000000" w:themeColor="text1"/>
        </w:rPr>
      </w:pPr>
      <w:r w:rsidRPr="001F1514">
        <w:rPr>
          <w:b/>
          <w:color w:val="000000" w:themeColor="text1"/>
        </w:rPr>
        <w:t>LĒMUMS</w:t>
      </w:r>
    </w:p>
    <w:p w14:paraId="055D196F" w14:textId="064B512B" w:rsidR="006B2310" w:rsidRPr="006B2310" w:rsidRDefault="006B2310" w:rsidP="006B2310">
      <w:pPr>
        <w:spacing w:line="276" w:lineRule="auto"/>
        <w:jc w:val="center"/>
        <w:rPr>
          <w:b/>
          <w:bCs/>
          <w:color w:val="000000" w:themeColor="text1"/>
        </w:rPr>
      </w:pPr>
      <w:r>
        <w:rPr>
          <w:b/>
          <w:color w:val="000000" w:themeColor="text1"/>
        </w:rPr>
        <w:t xml:space="preserve">Lieta </w:t>
      </w:r>
      <w:r w:rsidRPr="006B2310">
        <w:rPr>
          <w:b/>
          <w:bCs/>
          <w:color w:val="000000" w:themeColor="text1"/>
        </w:rPr>
        <w:t>Nr. 670010925, SKA-268/2026</w:t>
      </w:r>
    </w:p>
    <w:p w14:paraId="0D04689B" w14:textId="62066EEB" w:rsidR="006B2310" w:rsidRPr="006B2310" w:rsidRDefault="006B2310" w:rsidP="006B2310">
      <w:pPr>
        <w:spacing w:line="276" w:lineRule="auto"/>
        <w:jc w:val="center"/>
        <w:rPr>
          <w:color w:val="000000" w:themeColor="text1"/>
        </w:rPr>
      </w:pPr>
      <w:r w:rsidRPr="006B2310">
        <w:t xml:space="preserve"> </w:t>
      </w:r>
      <w:hyperlink r:id="rId8" w:history="1">
        <w:r w:rsidRPr="006B2310">
          <w:rPr>
            <w:rStyle w:val="Hyperlink"/>
          </w:rPr>
          <w:t>ECLI:LV:AT:2026:0227.SKA026826.4.L</w:t>
        </w:r>
      </w:hyperlink>
    </w:p>
    <w:p w14:paraId="7C7618B6" w14:textId="77777777" w:rsidR="00411CD0" w:rsidRPr="001F1514" w:rsidRDefault="00411CD0" w:rsidP="006B2310">
      <w:pPr>
        <w:spacing w:line="276" w:lineRule="auto"/>
        <w:ind w:firstLine="720"/>
        <w:jc w:val="center"/>
        <w:rPr>
          <w:color w:val="000000" w:themeColor="text1"/>
        </w:rPr>
      </w:pPr>
    </w:p>
    <w:p w14:paraId="7CE8AE0F" w14:textId="6680183F" w:rsidR="00B73DE3" w:rsidRDefault="00B73DE3" w:rsidP="006B2310">
      <w:pPr>
        <w:spacing w:line="276" w:lineRule="auto"/>
        <w:ind w:firstLine="720"/>
        <w:jc w:val="both"/>
        <w:rPr>
          <w:rFonts w:asciiTheme="majorBidi" w:hAnsiTheme="majorBidi" w:cstheme="majorBidi"/>
        </w:rPr>
      </w:pPr>
      <w:r w:rsidRPr="00B73DE3">
        <w:rPr>
          <w:rFonts w:asciiTheme="majorBidi" w:hAnsiTheme="majorBidi" w:cstheme="majorBidi"/>
        </w:rPr>
        <w:t xml:space="preserve">Senāts šādā sastāvā: senatore referente </w:t>
      </w:r>
      <w:r w:rsidR="004F67E6">
        <w:rPr>
          <w:rFonts w:asciiTheme="majorBidi" w:hAnsiTheme="majorBidi" w:cstheme="majorBidi"/>
        </w:rPr>
        <w:t>Ieva Višķere</w:t>
      </w:r>
      <w:r w:rsidRPr="00B73DE3">
        <w:rPr>
          <w:rFonts w:asciiTheme="majorBidi" w:hAnsiTheme="majorBidi" w:cstheme="majorBidi"/>
        </w:rPr>
        <w:t>, senator</w:t>
      </w:r>
      <w:r>
        <w:rPr>
          <w:rFonts w:asciiTheme="majorBidi" w:hAnsiTheme="majorBidi" w:cstheme="majorBidi"/>
        </w:rPr>
        <w:t>i</w:t>
      </w:r>
      <w:r w:rsidRPr="00B73DE3">
        <w:rPr>
          <w:rFonts w:asciiTheme="majorBidi" w:hAnsiTheme="majorBidi" w:cstheme="majorBidi"/>
        </w:rPr>
        <w:t xml:space="preserve"> </w:t>
      </w:r>
      <w:r w:rsidR="004F67E6">
        <w:rPr>
          <w:rFonts w:asciiTheme="majorBidi" w:hAnsiTheme="majorBidi" w:cstheme="majorBidi"/>
        </w:rPr>
        <w:t>Jānis Pleps un Līvija Slica</w:t>
      </w:r>
    </w:p>
    <w:p w14:paraId="49D5FDCF" w14:textId="77777777" w:rsidR="00B73DE3" w:rsidRDefault="00B73DE3" w:rsidP="006B2310">
      <w:pPr>
        <w:spacing w:line="276" w:lineRule="auto"/>
        <w:ind w:firstLine="720"/>
        <w:jc w:val="both"/>
        <w:rPr>
          <w:rFonts w:asciiTheme="majorBidi" w:hAnsiTheme="majorBidi" w:cstheme="majorBidi"/>
        </w:rPr>
      </w:pPr>
    </w:p>
    <w:p w14:paraId="11EEB03E" w14:textId="6497DC22" w:rsidR="00B73DE3" w:rsidRDefault="00B73DE3" w:rsidP="006B2310">
      <w:pPr>
        <w:spacing w:line="276" w:lineRule="auto"/>
        <w:ind w:firstLine="720"/>
        <w:jc w:val="both"/>
        <w:rPr>
          <w:rFonts w:asciiTheme="majorBidi" w:hAnsiTheme="majorBidi" w:cstheme="majorBidi"/>
        </w:rPr>
      </w:pPr>
      <w:r w:rsidRPr="00B73DE3">
        <w:rPr>
          <w:rFonts w:asciiTheme="majorBidi" w:hAnsiTheme="majorBidi" w:cstheme="majorBidi"/>
        </w:rPr>
        <w:t xml:space="preserve">rakstveida procesā izskatīja </w:t>
      </w:r>
      <w:r w:rsidR="006B2310">
        <w:rPr>
          <w:rFonts w:asciiTheme="majorBidi" w:hAnsiTheme="majorBidi" w:cstheme="majorBidi"/>
        </w:rPr>
        <w:t xml:space="preserve">[pers. A] </w:t>
      </w:r>
      <w:r w:rsidR="00786E55">
        <w:rPr>
          <w:rFonts w:asciiTheme="majorBidi" w:hAnsiTheme="majorBidi" w:cstheme="majorBidi"/>
        </w:rPr>
        <w:t xml:space="preserve">un </w:t>
      </w:r>
      <w:r w:rsidR="006B2310">
        <w:rPr>
          <w:rFonts w:asciiTheme="majorBidi" w:hAnsiTheme="majorBidi" w:cstheme="majorBidi"/>
        </w:rPr>
        <w:t xml:space="preserve">[pers. </w:t>
      </w:r>
      <w:r w:rsidR="006B2310">
        <w:rPr>
          <w:rFonts w:asciiTheme="majorBidi" w:hAnsiTheme="majorBidi" w:cstheme="majorBidi"/>
        </w:rPr>
        <w:t>B</w:t>
      </w:r>
      <w:r w:rsidR="006B2310">
        <w:rPr>
          <w:rFonts w:asciiTheme="majorBidi" w:hAnsiTheme="majorBidi" w:cstheme="majorBidi"/>
        </w:rPr>
        <w:t xml:space="preserve">] </w:t>
      </w:r>
      <w:r w:rsidRPr="00B73DE3">
        <w:rPr>
          <w:rFonts w:asciiTheme="majorBidi" w:hAnsiTheme="majorBidi" w:cstheme="majorBidi"/>
        </w:rPr>
        <w:t>blakus sūdzību par Administratīvās rajona</w:t>
      </w:r>
      <w:r>
        <w:rPr>
          <w:rFonts w:asciiTheme="majorBidi" w:hAnsiTheme="majorBidi" w:cstheme="majorBidi"/>
        </w:rPr>
        <w:t xml:space="preserve"> </w:t>
      </w:r>
      <w:r w:rsidRPr="00B73DE3">
        <w:rPr>
          <w:rFonts w:asciiTheme="majorBidi" w:hAnsiTheme="majorBidi" w:cstheme="majorBidi"/>
        </w:rPr>
        <w:t xml:space="preserve">tiesas tiesneša 2025.gada </w:t>
      </w:r>
      <w:r w:rsidR="00786E55">
        <w:rPr>
          <w:rFonts w:asciiTheme="majorBidi" w:hAnsiTheme="majorBidi" w:cstheme="majorBidi"/>
        </w:rPr>
        <w:t>25.jūlija</w:t>
      </w:r>
      <w:r w:rsidR="00EE1E28">
        <w:rPr>
          <w:rFonts w:asciiTheme="majorBidi" w:hAnsiTheme="majorBidi" w:cstheme="majorBidi"/>
        </w:rPr>
        <w:t xml:space="preserve"> </w:t>
      </w:r>
      <w:r w:rsidRPr="00B73DE3">
        <w:rPr>
          <w:rFonts w:asciiTheme="majorBidi" w:hAnsiTheme="majorBidi" w:cstheme="majorBidi"/>
        </w:rPr>
        <w:t xml:space="preserve">lēmumu, ar kuru atteikts </w:t>
      </w:r>
      <w:r w:rsidR="00786E55">
        <w:rPr>
          <w:rFonts w:asciiTheme="majorBidi" w:hAnsiTheme="majorBidi" w:cstheme="majorBidi"/>
        </w:rPr>
        <w:t>pieņemt viņu pieteikumu.</w:t>
      </w:r>
    </w:p>
    <w:p w14:paraId="3E8B75AE" w14:textId="77777777" w:rsidR="00786E55" w:rsidRDefault="00786E55" w:rsidP="006B2310">
      <w:pPr>
        <w:spacing w:line="276" w:lineRule="auto"/>
        <w:ind w:firstLine="720"/>
        <w:jc w:val="both"/>
        <w:rPr>
          <w:rFonts w:asciiTheme="majorBidi" w:hAnsiTheme="majorBidi" w:cstheme="majorBidi"/>
        </w:rPr>
      </w:pPr>
    </w:p>
    <w:p w14:paraId="6D8BF2A0" w14:textId="741A53A1" w:rsidR="00B73DE3" w:rsidRPr="00B73DE3" w:rsidRDefault="00B73DE3" w:rsidP="006B2310">
      <w:pPr>
        <w:spacing w:line="276" w:lineRule="auto"/>
        <w:jc w:val="center"/>
        <w:rPr>
          <w:rFonts w:asciiTheme="majorBidi" w:hAnsiTheme="majorBidi" w:cstheme="majorBidi"/>
          <w:b/>
          <w:bCs/>
        </w:rPr>
      </w:pPr>
      <w:r w:rsidRPr="00B73DE3">
        <w:rPr>
          <w:rFonts w:asciiTheme="majorBidi" w:hAnsiTheme="majorBidi" w:cstheme="majorBidi"/>
          <w:b/>
          <w:bCs/>
        </w:rPr>
        <w:t>Aprakstošā daļa</w:t>
      </w:r>
    </w:p>
    <w:p w14:paraId="405ACDBC" w14:textId="77777777" w:rsidR="00B73DE3" w:rsidRDefault="00B73DE3" w:rsidP="006B2310">
      <w:pPr>
        <w:spacing w:line="276" w:lineRule="auto"/>
        <w:jc w:val="both"/>
        <w:rPr>
          <w:rFonts w:asciiTheme="majorBidi" w:hAnsiTheme="majorBidi" w:cstheme="majorBidi"/>
        </w:rPr>
      </w:pPr>
    </w:p>
    <w:p w14:paraId="4EAD715F" w14:textId="04C8FE09" w:rsidR="00B522D2" w:rsidRPr="00B522D2" w:rsidRDefault="00B522D2" w:rsidP="006B2310">
      <w:pPr>
        <w:spacing w:line="276" w:lineRule="auto"/>
        <w:ind w:firstLine="720"/>
        <w:jc w:val="both"/>
        <w:rPr>
          <w:rFonts w:asciiTheme="majorBidi" w:hAnsiTheme="majorBidi" w:cstheme="majorBidi"/>
        </w:rPr>
      </w:pPr>
      <w:r>
        <w:rPr>
          <w:rFonts w:asciiTheme="majorBidi" w:hAnsiTheme="majorBidi" w:cstheme="majorBidi"/>
        </w:rPr>
        <w:t>[1] </w:t>
      </w:r>
      <w:r w:rsidRPr="00B522D2">
        <w:rPr>
          <w:rFonts w:asciiTheme="majorBidi" w:hAnsiTheme="majorBidi" w:cstheme="majorBidi"/>
        </w:rPr>
        <w:t>Ar Eiropas Cilvēktiesību tiesas</w:t>
      </w:r>
      <w:r w:rsidR="00E00CEE">
        <w:rPr>
          <w:rFonts w:asciiTheme="majorBidi" w:hAnsiTheme="majorBidi" w:cstheme="majorBidi"/>
        </w:rPr>
        <w:t xml:space="preserve"> </w:t>
      </w:r>
      <w:r w:rsidRPr="00B522D2">
        <w:rPr>
          <w:rFonts w:asciiTheme="majorBidi" w:hAnsiTheme="majorBidi" w:cstheme="majorBidi"/>
        </w:rPr>
        <w:t>2024.gada 24.oktobra spriedumu lietā „</w:t>
      </w:r>
      <w:r w:rsidR="00003B73" w:rsidRPr="00BF1A50">
        <w:rPr>
          <w:rFonts w:asciiTheme="majorBidi" w:hAnsiTheme="majorBidi" w:cstheme="majorBidi"/>
        </w:rPr>
        <w:t>Sprūds and others v. Latvia</w:t>
      </w:r>
      <w:r w:rsidRPr="00B522D2">
        <w:rPr>
          <w:rFonts w:asciiTheme="majorBidi" w:hAnsiTheme="majorBidi" w:cstheme="majorBidi"/>
        </w:rPr>
        <w:t>” (iesniegumi Nr.</w:t>
      </w:r>
      <w:r>
        <w:rPr>
          <w:rFonts w:asciiTheme="majorBidi" w:hAnsiTheme="majorBidi" w:cstheme="majorBidi"/>
        </w:rPr>
        <w:t> </w:t>
      </w:r>
      <w:hyperlink r:id="rId9" w:history="1">
        <w:r w:rsidRPr="00003B73">
          <w:rPr>
            <w:rStyle w:val="Hyperlink"/>
            <w:rFonts w:asciiTheme="majorBidi" w:hAnsiTheme="majorBidi" w:cstheme="majorBidi"/>
          </w:rPr>
          <w:t>66499/17</w:t>
        </w:r>
      </w:hyperlink>
      <w:r w:rsidRPr="00B522D2">
        <w:rPr>
          <w:rFonts w:asciiTheme="majorBidi" w:hAnsiTheme="majorBidi" w:cstheme="majorBidi"/>
        </w:rPr>
        <w:t xml:space="preserve">, 80430/17 un 11223/18) </w:t>
      </w:r>
      <w:r w:rsidR="00BF1A50">
        <w:rPr>
          <w:rFonts w:asciiTheme="majorBidi" w:hAnsiTheme="majorBidi" w:cstheme="majorBidi"/>
        </w:rPr>
        <w:t>atzīts, ka</w:t>
      </w:r>
      <w:r w:rsidRPr="00B522D2">
        <w:rPr>
          <w:rFonts w:asciiTheme="majorBidi" w:hAnsiTheme="majorBidi" w:cstheme="majorBidi"/>
        </w:rPr>
        <w:t xml:space="preserve"> ir noticis</w:t>
      </w:r>
      <w:r>
        <w:rPr>
          <w:rFonts w:asciiTheme="majorBidi" w:hAnsiTheme="majorBidi" w:cstheme="majorBidi"/>
        </w:rPr>
        <w:t xml:space="preserve"> </w:t>
      </w:r>
      <w:r w:rsidRPr="005C1755">
        <w:rPr>
          <w:rFonts w:asciiTheme="majorBidi" w:hAnsiTheme="majorBidi" w:cstheme="majorBidi"/>
        </w:rPr>
        <w:t>Eiropas Cilvēka tiesību un pamatbrīvību aizsardzības konvencijas (turpmāk – Konvencija)</w:t>
      </w:r>
      <w:r>
        <w:rPr>
          <w:rFonts w:asciiTheme="majorBidi" w:hAnsiTheme="majorBidi" w:cstheme="majorBidi"/>
        </w:rPr>
        <w:t xml:space="preserve"> </w:t>
      </w:r>
      <w:r w:rsidRPr="00B522D2">
        <w:rPr>
          <w:rFonts w:asciiTheme="majorBidi" w:hAnsiTheme="majorBidi" w:cstheme="majorBidi"/>
        </w:rPr>
        <w:t xml:space="preserve">5.panta 4.punkta pārkāpums pret iesniedzējiem, tostarp </w:t>
      </w:r>
      <w:r w:rsidR="00003B73">
        <w:rPr>
          <w:rFonts w:asciiTheme="majorBidi" w:hAnsiTheme="majorBidi" w:cstheme="majorBidi"/>
        </w:rPr>
        <w:t xml:space="preserve">pieteicēju </w:t>
      </w:r>
      <w:r w:rsidR="00003B73">
        <w:rPr>
          <w:rFonts w:asciiTheme="majorBidi" w:hAnsiTheme="majorBidi" w:cstheme="majorBidi"/>
        </w:rPr>
        <w:br/>
      </w:r>
      <w:r w:rsidR="006B2310">
        <w:rPr>
          <w:rFonts w:asciiTheme="majorBidi" w:hAnsiTheme="majorBidi" w:cstheme="majorBidi"/>
        </w:rPr>
        <w:t xml:space="preserve">[pers. </w:t>
      </w:r>
      <w:r w:rsidR="006B2310">
        <w:rPr>
          <w:rFonts w:asciiTheme="majorBidi" w:hAnsiTheme="majorBidi" w:cstheme="majorBidi"/>
        </w:rPr>
        <w:t>B</w:t>
      </w:r>
      <w:r w:rsidR="006B2310">
        <w:rPr>
          <w:rFonts w:asciiTheme="majorBidi" w:hAnsiTheme="majorBidi" w:cstheme="majorBidi"/>
        </w:rPr>
        <w:t>]</w:t>
      </w:r>
      <w:r w:rsidR="005C1755">
        <w:rPr>
          <w:rFonts w:asciiTheme="majorBidi" w:hAnsiTheme="majorBidi" w:cstheme="majorBidi"/>
        </w:rPr>
        <w:t>;</w:t>
      </w:r>
      <w:r w:rsidRPr="00B522D2">
        <w:rPr>
          <w:rFonts w:asciiTheme="majorBidi" w:hAnsiTheme="majorBidi" w:cstheme="majorBidi"/>
        </w:rPr>
        <w:t xml:space="preserve"> </w:t>
      </w:r>
      <w:r w:rsidR="00BF1A50">
        <w:rPr>
          <w:rFonts w:asciiTheme="majorBidi" w:hAnsiTheme="majorBidi" w:cstheme="majorBidi"/>
        </w:rPr>
        <w:t xml:space="preserve">nospriests, ka </w:t>
      </w:r>
      <w:r w:rsidRPr="00B522D2">
        <w:rPr>
          <w:rFonts w:asciiTheme="majorBidi" w:hAnsiTheme="majorBidi" w:cstheme="majorBidi"/>
        </w:rPr>
        <w:t>pārkāpuma konstatēšana ir uzskatāma par pietiekamu taisnīgu atlīdzību par jebkādu nemantisko</w:t>
      </w:r>
      <w:r>
        <w:rPr>
          <w:rFonts w:asciiTheme="majorBidi" w:hAnsiTheme="majorBidi" w:cstheme="majorBidi"/>
        </w:rPr>
        <w:t xml:space="preserve"> </w:t>
      </w:r>
      <w:r w:rsidRPr="00B522D2">
        <w:rPr>
          <w:rFonts w:asciiTheme="majorBidi" w:hAnsiTheme="majorBidi" w:cstheme="majorBidi"/>
        </w:rPr>
        <w:t>kaitējumu, ko iesniedzēji varētu būt cietuši</w:t>
      </w:r>
      <w:r w:rsidR="00BF1A50">
        <w:rPr>
          <w:rFonts w:asciiTheme="majorBidi" w:hAnsiTheme="majorBidi" w:cstheme="majorBidi"/>
        </w:rPr>
        <w:t>; prasība par atlīdzību pārējā daļā noraidīta.</w:t>
      </w:r>
    </w:p>
    <w:p w14:paraId="5242CCF1" w14:textId="698A18B6" w:rsidR="00B522D2" w:rsidRDefault="00B522D2" w:rsidP="006B2310">
      <w:pPr>
        <w:spacing w:line="276" w:lineRule="auto"/>
        <w:ind w:firstLine="720"/>
        <w:jc w:val="both"/>
        <w:rPr>
          <w:rFonts w:asciiTheme="majorBidi" w:hAnsiTheme="majorBidi" w:cstheme="majorBidi"/>
        </w:rPr>
      </w:pPr>
      <w:r w:rsidRPr="00B522D2">
        <w:rPr>
          <w:rFonts w:asciiTheme="majorBidi" w:hAnsiTheme="majorBidi" w:cstheme="majorBidi"/>
        </w:rPr>
        <w:t>Konvencijas pārkāpums tika konstatēts tajā, ka izmeklēšanas tiesnešu un Rīgas</w:t>
      </w:r>
      <w:r>
        <w:rPr>
          <w:rFonts w:asciiTheme="majorBidi" w:hAnsiTheme="majorBidi" w:cstheme="majorBidi"/>
        </w:rPr>
        <w:t xml:space="preserve"> </w:t>
      </w:r>
      <w:r w:rsidRPr="00B522D2">
        <w:rPr>
          <w:rFonts w:asciiTheme="majorBidi" w:hAnsiTheme="majorBidi" w:cstheme="majorBidi"/>
        </w:rPr>
        <w:t>apgabaltiesas process par pirmstiesas apcietinājuma piemērošanu iesniedzējiem nenodrošināja</w:t>
      </w:r>
      <w:r>
        <w:rPr>
          <w:rFonts w:asciiTheme="majorBidi" w:hAnsiTheme="majorBidi" w:cstheme="majorBidi"/>
        </w:rPr>
        <w:t xml:space="preserve"> </w:t>
      </w:r>
      <w:r w:rsidRPr="00B522D2">
        <w:rPr>
          <w:rFonts w:asciiTheme="majorBidi" w:hAnsiTheme="majorBidi" w:cstheme="majorBidi"/>
        </w:rPr>
        <w:t>Konvencijas 5.panta 4.punktā izvirzītās garantijas, proti, ne iesniedzējiem, ne viņu aizstāvjiem</w:t>
      </w:r>
      <w:r>
        <w:rPr>
          <w:rFonts w:asciiTheme="majorBidi" w:hAnsiTheme="majorBidi" w:cstheme="majorBidi"/>
        </w:rPr>
        <w:t xml:space="preserve"> </w:t>
      </w:r>
      <w:r w:rsidRPr="00B522D2">
        <w:rPr>
          <w:rFonts w:asciiTheme="majorBidi" w:hAnsiTheme="majorBidi" w:cstheme="majorBidi"/>
        </w:rPr>
        <w:t>nebija atļauts iepazīties ar dokumentiem, ar kuriem pamatots pirmstiesas apcietinājums</w:t>
      </w:r>
      <w:r w:rsidR="005B7C02">
        <w:rPr>
          <w:rFonts w:asciiTheme="majorBidi" w:hAnsiTheme="majorBidi" w:cstheme="majorBidi"/>
        </w:rPr>
        <w:t>. L</w:t>
      </w:r>
      <w:r w:rsidRPr="00B522D2">
        <w:rPr>
          <w:rFonts w:asciiTheme="majorBidi" w:hAnsiTheme="majorBidi" w:cstheme="majorBidi"/>
        </w:rPr>
        <w:t>īdz ar to</w:t>
      </w:r>
      <w:r>
        <w:rPr>
          <w:rFonts w:asciiTheme="majorBidi" w:hAnsiTheme="majorBidi" w:cstheme="majorBidi"/>
        </w:rPr>
        <w:t xml:space="preserve"> </w:t>
      </w:r>
      <w:r w:rsidR="005B7C02">
        <w:rPr>
          <w:rFonts w:asciiTheme="majorBidi" w:hAnsiTheme="majorBidi" w:cstheme="majorBidi"/>
        </w:rPr>
        <w:t xml:space="preserve">iesniedzējiem </w:t>
      </w:r>
      <w:r w:rsidRPr="00B522D2">
        <w:rPr>
          <w:rFonts w:asciiTheme="majorBidi" w:hAnsiTheme="majorBidi" w:cstheme="majorBidi"/>
        </w:rPr>
        <w:t>nebija nodrošināta adekvāta iespēja apstrīdēt nacionālo institūciju secinājumus un jo īpaši</w:t>
      </w:r>
      <w:r>
        <w:rPr>
          <w:rFonts w:asciiTheme="majorBidi" w:hAnsiTheme="majorBidi" w:cstheme="majorBidi"/>
        </w:rPr>
        <w:t xml:space="preserve"> </w:t>
      </w:r>
      <w:r w:rsidRPr="00B522D2">
        <w:rPr>
          <w:rFonts w:asciiTheme="majorBidi" w:hAnsiTheme="majorBidi" w:cstheme="majorBidi"/>
        </w:rPr>
        <w:t>pierādījumus, uz kuriem tās pamatoja pirmstiesas apcietinājuma nepieciešamību.</w:t>
      </w:r>
    </w:p>
    <w:p w14:paraId="0DE8482B" w14:textId="77777777" w:rsidR="00B522D2" w:rsidRDefault="00B522D2" w:rsidP="006B2310">
      <w:pPr>
        <w:spacing w:line="276" w:lineRule="auto"/>
        <w:ind w:firstLine="720"/>
        <w:jc w:val="both"/>
        <w:rPr>
          <w:rFonts w:asciiTheme="majorBidi" w:hAnsiTheme="majorBidi" w:cstheme="majorBidi"/>
        </w:rPr>
      </w:pPr>
    </w:p>
    <w:p w14:paraId="76B445F4" w14:textId="770354CF" w:rsidR="00B522D2" w:rsidRDefault="00B522D2" w:rsidP="006B2310">
      <w:pPr>
        <w:spacing w:line="276" w:lineRule="auto"/>
        <w:ind w:firstLine="720"/>
        <w:jc w:val="both"/>
        <w:rPr>
          <w:rFonts w:asciiTheme="majorBidi" w:hAnsiTheme="majorBidi" w:cstheme="majorBidi"/>
        </w:rPr>
      </w:pPr>
      <w:r>
        <w:rPr>
          <w:rFonts w:asciiTheme="majorBidi" w:hAnsiTheme="majorBidi" w:cstheme="majorBidi"/>
        </w:rPr>
        <w:t>[2] </w:t>
      </w:r>
      <w:r w:rsidRPr="00B522D2">
        <w:rPr>
          <w:rFonts w:asciiTheme="majorBidi" w:hAnsiTheme="majorBidi" w:cstheme="majorBidi"/>
        </w:rPr>
        <w:t xml:space="preserve">Pieteicējs </w:t>
      </w:r>
      <w:r w:rsidR="006B2310">
        <w:rPr>
          <w:rFonts w:asciiTheme="majorBidi" w:hAnsiTheme="majorBidi" w:cstheme="majorBidi"/>
        </w:rPr>
        <w:t xml:space="preserve">[pers. </w:t>
      </w:r>
      <w:r w:rsidR="006B2310">
        <w:rPr>
          <w:rFonts w:asciiTheme="majorBidi" w:hAnsiTheme="majorBidi" w:cstheme="majorBidi"/>
        </w:rPr>
        <w:t>B</w:t>
      </w:r>
      <w:r w:rsidR="006B2310">
        <w:rPr>
          <w:rFonts w:asciiTheme="majorBidi" w:hAnsiTheme="majorBidi" w:cstheme="majorBidi"/>
        </w:rPr>
        <w:t xml:space="preserve">] </w:t>
      </w:r>
      <w:r w:rsidRPr="00B522D2">
        <w:rPr>
          <w:rFonts w:asciiTheme="majorBidi" w:hAnsiTheme="majorBidi" w:cstheme="majorBidi"/>
        </w:rPr>
        <w:t>vērsās Tieslietu ministrijā ar iesniegum</w:t>
      </w:r>
      <w:r w:rsidR="00717422">
        <w:rPr>
          <w:rFonts w:asciiTheme="majorBidi" w:hAnsiTheme="majorBidi" w:cstheme="majorBidi"/>
        </w:rPr>
        <w:t xml:space="preserve">u, kurā, </w:t>
      </w:r>
      <w:r w:rsidRPr="00B522D2">
        <w:rPr>
          <w:rFonts w:asciiTheme="majorBidi" w:hAnsiTheme="majorBidi" w:cstheme="majorBidi"/>
        </w:rPr>
        <w:t>pamatojoties uz Kriminālprocesā un administratīvo pārkāpumu lietvedībā nodarītā kaitējuma</w:t>
      </w:r>
      <w:r>
        <w:rPr>
          <w:rFonts w:asciiTheme="majorBidi" w:hAnsiTheme="majorBidi" w:cstheme="majorBidi"/>
        </w:rPr>
        <w:t xml:space="preserve"> </w:t>
      </w:r>
      <w:r w:rsidRPr="00B522D2">
        <w:rPr>
          <w:rFonts w:asciiTheme="majorBidi" w:hAnsiTheme="majorBidi" w:cstheme="majorBidi"/>
        </w:rPr>
        <w:t>atlīdzināšanas likum</w:t>
      </w:r>
      <w:r>
        <w:rPr>
          <w:rFonts w:asciiTheme="majorBidi" w:hAnsiTheme="majorBidi" w:cstheme="majorBidi"/>
        </w:rPr>
        <w:t>u</w:t>
      </w:r>
      <w:r w:rsidRPr="00B522D2">
        <w:rPr>
          <w:rFonts w:asciiTheme="majorBidi" w:hAnsiTheme="majorBidi" w:cstheme="majorBidi"/>
        </w:rPr>
        <w:t xml:space="preserve"> (turpmāk – Atlīdzināšanas likums), prasīja atlīdzināt </w:t>
      </w:r>
      <w:r w:rsidR="00717422">
        <w:rPr>
          <w:rFonts w:asciiTheme="majorBidi" w:hAnsiTheme="majorBidi" w:cstheme="majorBidi"/>
        </w:rPr>
        <w:t>zaudējumus (</w:t>
      </w:r>
      <w:r w:rsidR="00223410">
        <w:rPr>
          <w:rFonts w:asciiTheme="majorBidi" w:hAnsiTheme="majorBidi" w:cstheme="majorBidi"/>
        </w:rPr>
        <w:t>nesaņemto darba samaksu, atrauto peļņu, ar inflāciju izraisīto naudas vērtības kritumu un likumisko</w:t>
      </w:r>
      <w:r w:rsidR="0019313C">
        <w:rPr>
          <w:rFonts w:asciiTheme="majorBidi" w:hAnsiTheme="majorBidi" w:cstheme="majorBidi"/>
        </w:rPr>
        <w:t>s</w:t>
      </w:r>
      <w:r w:rsidR="00223410">
        <w:rPr>
          <w:rFonts w:asciiTheme="majorBidi" w:hAnsiTheme="majorBidi" w:cstheme="majorBidi"/>
        </w:rPr>
        <w:t xml:space="preserve"> nokavējuma procentu</w:t>
      </w:r>
      <w:r w:rsidR="0019313C">
        <w:rPr>
          <w:rFonts w:asciiTheme="majorBidi" w:hAnsiTheme="majorBidi" w:cstheme="majorBidi"/>
        </w:rPr>
        <w:t>s</w:t>
      </w:r>
      <w:r w:rsidR="00717422">
        <w:rPr>
          <w:rFonts w:asciiTheme="majorBidi" w:hAnsiTheme="majorBidi" w:cstheme="majorBidi"/>
        </w:rPr>
        <w:t>)</w:t>
      </w:r>
      <w:r w:rsidR="007F27EA">
        <w:rPr>
          <w:rFonts w:asciiTheme="majorBidi" w:hAnsiTheme="majorBidi" w:cstheme="majorBidi"/>
        </w:rPr>
        <w:t xml:space="preserve"> </w:t>
      </w:r>
      <w:r w:rsidR="00224883">
        <w:rPr>
          <w:rFonts w:asciiTheme="majorBidi" w:hAnsiTheme="majorBidi" w:cstheme="majorBidi"/>
        </w:rPr>
        <w:t xml:space="preserve">un nemantisko kaitējumu </w:t>
      </w:r>
      <w:r w:rsidRPr="00B522D2">
        <w:rPr>
          <w:rFonts w:asciiTheme="majorBidi" w:hAnsiTheme="majorBidi" w:cstheme="majorBidi"/>
        </w:rPr>
        <w:t xml:space="preserve">par </w:t>
      </w:r>
      <w:r w:rsidR="004477EC">
        <w:rPr>
          <w:rFonts w:asciiTheme="majorBidi" w:hAnsiTheme="majorBidi" w:cstheme="majorBidi"/>
        </w:rPr>
        <w:lastRenderedPageBreak/>
        <w:t>252</w:t>
      </w:r>
      <w:r w:rsidR="00224883">
        <w:rPr>
          <w:rFonts w:asciiTheme="majorBidi" w:hAnsiTheme="majorBidi" w:cstheme="majorBidi"/>
        </w:rPr>
        <w:t> </w:t>
      </w:r>
      <w:r w:rsidRPr="00B522D2">
        <w:rPr>
          <w:rFonts w:asciiTheme="majorBidi" w:hAnsiTheme="majorBidi" w:cstheme="majorBidi"/>
        </w:rPr>
        <w:t>dienām, kas tika</w:t>
      </w:r>
      <w:r>
        <w:rPr>
          <w:rFonts w:asciiTheme="majorBidi" w:hAnsiTheme="majorBidi" w:cstheme="majorBidi"/>
        </w:rPr>
        <w:t xml:space="preserve"> </w:t>
      </w:r>
      <w:r w:rsidRPr="00B522D2">
        <w:rPr>
          <w:rFonts w:asciiTheme="majorBidi" w:hAnsiTheme="majorBidi" w:cstheme="majorBidi"/>
        </w:rPr>
        <w:t>pavadītas pirmstiesas apcietinājumā</w:t>
      </w:r>
      <w:r>
        <w:rPr>
          <w:rFonts w:asciiTheme="majorBidi" w:hAnsiTheme="majorBidi" w:cstheme="majorBidi"/>
        </w:rPr>
        <w:t>.</w:t>
      </w:r>
      <w:r w:rsidRPr="00B522D2">
        <w:rPr>
          <w:rFonts w:asciiTheme="majorBidi" w:hAnsiTheme="majorBidi" w:cstheme="majorBidi"/>
        </w:rPr>
        <w:t xml:space="preserve"> Pieteicējs prasījumu</w:t>
      </w:r>
      <w:r>
        <w:rPr>
          <w:rFonts w:asciiTheme="majorBidi" w:hAnsiTheme="majorBidi" w:cstheme="majorBidi"/>
        </w:rPr>
        <w:t xml:space="preserve"> </w:t>
      </w:r>
      <w:r w:rsidRPr="00B522D2">
        <w:rPr>
          <w:rFonts w:asciiTheme="majorBidi" w:hAnsiTheme="majorBidi" w:cstheme="majorBidi"/>
        </w:rPr>
        <w:t xml:space="preserve">pamatoja ar </w:t>
      </w:r>
      <w:r w:rsidR="005C1755">
        <w:rPr>
          <w:rFonts w:asciiTheme="majorBidi" w:hAnsiTheme="majorBidi" w:cstheme="majorBidi"/>
        </w:rPr>
        <w:t>Eiropas Cilvēktiesību tiesa</w:t>
      </w:r>
      <w:r w:rsidR="003D053B">
        <w:rPr>
          <w:rFonts w:asciiTheme="majorBidi" w:hAnsiTheme="majorBidi" w:cstheme="majorBidi"/>
        </w:rPr>
        <w:t>s</w:t>
      </w:r>
      <w:r w:rsidR="00E00CEE">
        <w:rPr>
          <w:rFonts w:asciiTheme="majorBidi" w:hAnsiTheme="majorBidi" w:cstheme="majorBidi"/>
        </w:rPr>
        <w:t xml:space="preserve"> atzīto,</w:t>
      </w:r>
      <w:r w:rsidRPr="00B522D2">
        <w:rPr>
          <w:rFonts w:asciiTheme="majorBidi" w:hAnsiTheme="majorBidi" w:cstheme="majorBidi"/>
        </w:rPr>
        <w:t xml:space="preserve"> ka apcietinājums </w:t>
      </w:r>
      <w:r w:rsidR="00E00CEE">
        <w:rPr>
          <w:rFonts w:asciiTheme="majorBidi" w:hAnsiTheme="majorBidi" w:cstheme="majorBidi"/>
        </w:rPr>
        <w:t xml:space="preserve">pieteicējam </w:t>
      </w:r>
      <w:r w:rsidRPr="00B522D2">
        <w:rPr>
          <w:rFonts w:asciiTheme="majorBidi" w:hAnsiTheme="majorBidi" w:cstheme="majorBidi"/>
        </w:rPr>
        <w:t>ir ticis piemērots,</w:t>
      </w:r>
      <w:r>
        <w:rPr>
          <w:rFonts w:asciiTheme="majorBidi" w:hAnsiTheme="majorBidi" w:cstheme="majorBidi"/>
        </w:rPr>
        <w:t xml:space="preserve"> </w:t>
      </w:r>
      <w:r w:rsidRPr="00B522D2">
        <w:rPr>
          <w:rFonts w:asciiTheme="majorBidi" w:hAnsiTheme="majorBidi" w:cstheme="majorBidi"/>
        </w:rPr>
        <w:t>pārkāpjot Konvencijas 5.panta 4.punktu</w:t>
      </w:r>
      <w:r w:rsidR="005C1755">
        <w:rPr>
          <w:rFonts w:asciiTheme="majorBidi" w:hAnsiTheme="majorBidi" w:cstheme="majorBidi"/>
        </w:rPr>
        <w:t xml:space="preserve">, tas </w:t>
      </w:r>
      <w:r w:rsidRPr="00B522D2">
        <w:rPr>
          <w:rFonts w:asciiTheme="majorBidi" w:hAnsiTheme="majorBidi" w:cstheme="majorBidi"/>
        </w:rPr>
        <w:t xml:space="preserve">ir bijis </w:t>
      </w:r>
      <w:r w:rsidR="005C1755">
        <w:rPr>
          <w:rFonts w:asciiTheme="majorBidi" w:hAnsiTheme="majorBidi" w:cstheme="majorBidi"/>
        </w:rPr>
        <w:t xml:space="preserve">nacionālās </w:t>
      </w:r>
      <w:r w:rsidRPr="00B522D2">
        <w:rPr>
          <w:rFonts w:asciiTheme="majorBidi" w:hAnsiTheme="majorBidi" w:cstheme="majorBidi"/>
        </w:rPr>
        <w:t xml:space="preserve">tiesas prettiesiskas rīcības </w:t>
      </w:r>
      <w:r w:rsidRPr="00FC6C45">
        <w:rPr>
          <w:rFonts w:asciiTheme="majorBidi" w:hAnsiTheme="majorBidi" w:cstheme="majorBidi"/>
        </w:rPr>
        <w:t>rezultāts</w:t>
      </w:r>
      <w:r w:rsidR="00BE1897" w:rsidRPr="00FC6C45">
        <w:rPr>
          <w:rFonts w:asciiTheme="majorBidi" w:hAnsiTheme="majorBidi" w:cstheme="majorBidi"/>
        </w:rPr>
        <w:t>,</w:t>
      </w:r>
      <w:r w:rsidRPr="00B522D2">
        <w:rPr>
          <w:rFonts w:asciiTheme="majorBidi" w:hAnsiTheme="majorBidi" w:cstheme="majorBidi"/>
        </w:rPr>
        <w:t xml:space="preserve"> un</w:t>
      </w:r>
      <w:r>
        <w:rPr>
          <w:rFonts w:asciiTheme="majorBidi" w:hAnsiTheme="majorBidi" w:cstheme="majorBidi"/>
        </w:rPr>
        <w:t xml:space="preserve"> </w:t>
      </w:r>
      <w:r w:rsidRPr="00B522D2">
        <w:rPr>
          <w:rFonts w:asciiTheme="majorBidi" w:hAnsiTheme="majorBidi" w:cstheme="majorBidi"/>
        </w:rPr>
        <w:t>tādēļ pieteicējam ir tiesības pieprasīt kaitējuma atlīdzināšanu.</w:t>
      </w:r>
    </w:p>
    <w:p w14:paraId="632BADE8" w14:textId="037F4185" w:rsidR="00223410" w:rsidRDefault="00223410" w:rsidP="006B2310">
      <w:pPr>
        <w:spacing w:line="276" w:lineRule="auto"/>
        <w:ind w:firstLine="720"/>
        <w:jc w:val="both"/>
        <w:rPr>
          <w:rFonts w:asciiTheme="majorBidi" w:hAnsiTheme="majorBidi" w:cstheme="majorBidi"/>
        </w:rPr>
      </w:pPr>
      <w:r>
        <w:rPr>
          <w:rFonts w:asciiTheme="majorBidi" w:hAnsiTheme="majorBidi" w:cstheme="majorBidi"/>
        </w:rPr>
        <w:t xml:space="preserve">Vienlaikus </w:t>
      </w:r>
      <w:r w:rsidR="006B2310">
        <w:rPr>
          <w:rFonts w:asciiTheme="majorBidi" w:hAnsiTheme="majorBidi" w:cstheme="majorBidi"/>
        </w:rPr>
        <w:t xml:space="preserve">[pers. </w:t>
      </w:r>
      <w:r w:rsidR="006B2310">
        <w:rPr>
          <w:rFonts w:asciiTheme="majorBidi" w:hAnsiTheme="majorBidi" w:cstheme="majorBidi"/>
        </w:rPr>
        <w:t>B</w:t>
      </w:r>
      <w:r w:rsidR="006B2310">
        <w:rPr>
          <w:rFonts w:asciiTheme="majorBidi" w:hAnsiTheme="majorBidi" w:cstheme="majorBidi"/>
        </w:rPr>
        <w:t xml:space="preserve">] </w:t>
      </w:r>
      <w:r>
        <w:rPr>
          <w:rFonts w:asciiTheme="majorBidi" w:hAnsiTheme="majorBidi" w:cstheme="majorBidi"/>
        </w:rPr>
        <w:t>kopā ar otru pieteicēju –</w:t>
      </w:r>
      <w:r w:rsidR="006B2310">
        <w:rPr>
          <w:rFonts w:asciiTheme="majorBidi" w:hAnsiTheme="majorBidi" w:cstheme="majorBidi"/>
        </w:rPr>
        <w:t xml:space="preserve"> </w:t>
      </w:r>
      <w:r w:rsidR="006B2310">
        <w:rPr>
          <w:rFonts w:asciiTheme="majorBidi" w:hAnsiTheme="majorBidi" w:cstheme="majorBidi"/>
        </w:rPr>
        <w:t xml:space="preserve">[pers. A] </w:t>
      </w:r>
      <w:r>
        <w:rPr>
          <w:rFonts w:asciiTheme="majorBidi" w:hAnsiTheme="majorBidi" w:cstheme="majorBidi"/>
        </w:rPr>
        <w:t xml:space="preserve">– Tieslietu ministrijā vērsās arī ar iesniegumu, kurā </w:t>
      </w:r>
      <w:r w:rsidR="00555E6A">
        <w:rPr>
          <w:rFonts w:asciiTheme="majorBidi" w:hAnsiTheme="majorBidi" w:cstheme="majorBidi"/>
        </w:rPr>
        <w:t xml:space="preserve">prasīja pieteicējiem kopīgi vai atsevišķi atlīdzināt zaudējumus (ar inflāciju izraisīto naudas vērtības kritumu un likumiskos nokavējuma procentus) saistībā ar to, ka </w:t>
      </w:r>
      <w:r w:rsidR="006B2310">
        <w:rPr>
          <w:rFonts w:asciiTheme="majorBidi" w:hAnsiTheme="majorBidi" w:cstheme="majorBidi"/>
        </w:rPr>
        <w:t xml:space="preserve">[pers. A] </w:t>
      </w:r>
      <w:r w:rsidR="00555E6A">
        <w:rPr>
          <w:rFonts w:asciiTheme="majorBidi" w:hAnsiTheme="majorBidi" w:cstheme="majorBidi"/>
        </w:rPr>
        <w:t xml:space="preserve">bija iemaksājis drošības naudu </w:t>
      </w:r>
      <w:r w:rsidR="006B2310">
        <w:rPr>
          <w:rFonts w:asciiTheme="majorBidi" w:hAnsiTheme="majorBidi" w:cstheme="majorBidi"/>
        </w:rPr>
        <w:t xml:space="preserve">[pers. </w:t>
      </w:r>
      <w:r w:rsidR="006B2310">
        <w:rPr>
          <w:rFonts w:asciiTheme="majorBidi" w:hAnsiTheme="majorBidi" w:cstheme="majorBidi"/>
        </w:rPr>
        <w:t>B</w:t>
      </w:r>
      <w:r w:rsidR="006B2310">
        <w:rPr>
          <w:rFonts w:asciiTheme="majorBidi" w:hAnsiTheme="majorBidi" w:cstheme="majorBidi"/>
        </w:rPr>
        <w:t xml:space="preserve">] </w:t>
      </w:r>
      <w:r w:rsidR="00967293">
        <w:rPr>
          <w:rFonts w:asciiTheme="majorBidi" w:hAnsiTheme="majorBidi" w:cstheme="majorBidi"/>
        </w:rPr>
        <w:t>noteiktā drošības līdzekļa – apcietinājums – aizstāšanai ar drošības naudu.</w:t>
      </w:r>
    </w:p>
    <w:p w14:paraId="0ECC2B59" w14:textId="77777777" w:rsidR="00B522D2" w:rsidRDefault="00B522D2" w:rsidP="006B2310">
      <w:pPr>
        <w:spacing w:line="276" w:lineRule="auto"/>
        <w:ind w:firstLine="720"/>
        <w:jc w:val="both"/>
        <w:rPr>
          <w:rFonts w:asciiTheme="majorBidi" w:hAnsiTheme="majorBidi" w:cstheme="majorBidi"/>
        </w:rPr>
      </w:pPr>
    </w:p>
    <w:p w14:paraId="73D44C70" w14:textId="2242054E" w:rsidR="00A50150" w:rsidRPr="00056282" w:rsidRDefault="00A50150" w:rsidP="006B2310">
      <w:pPr>
        <w:spacing w:line="276" w:lineRule="auto"/>
        <w:ind w:firstLine="720"/>
        <w:jc w:val="both"/>
        <w:rPr>
          <w:rFonts w:asciiTheme="majorBidi" w:hAnsiTheme="majorBidi" w:cstheme="majorBidi"/>
        </w:rPr>
      </w:pPr>
      <w:r w:rsidRPr="00056282">
        <w:rPr>
          <w:rFonts w:asciiTheme="majorBidi" w:hAnsiTheme="majorBidi" w:cstheme="majorBidi"/>
        </w:rPr>
        <w:t>[</w:t>
      </w:r>
      <w:r w:rsidR="00B522D2">
        <w:rPr>
          <w:rFonts w:asciiTheme="majorBidi" w:hAnsiTheme="majorBidi" w:cstheme="majorBidi"/>
        </w:rPr>
        <w:t>3</w:t>
      </w:r>
      <w:r w:rsidRPr="00056282">
        <w:rPr>
          <w:rFonts w:asciiTheme="majorBidi" w:hAnsiTheme="majorBidi" w:cstheme="majorBidi"/>
        </w:rPr>
        <w:t>]</w:t>
      </w:r>
      <w:r w:rsidR="00EC58BC">
        <w:rPr>
          <w:rFonts w:asciiTheme="majorBidi" w:hAnsiTheme="majorBidi" w:cstheme="majorBidi"/>
        </w:rPr>
        <w:t> </w:t>
      </w:r>
      <w:r w:rsidR="00B73DE3">
        <w:rPr>
          <w:rFonts w:asciiTheme="majorBidi" w:hAnsiTheme="majorBidi" w:cstheme="majorBidi"/>
        </w:rPr>
        <w:t>Tieslietu ministrija</w:t>
      </w:r>
      <w:r w:rsidR="00EC58BC">
        <w:rPr>
          <w:rFonts w:asciiTheme="majorBidi" w:hAnsiTheme="majorBidi" w:cstheme="majorBidi"/>
        </w:rPr>
        <w:t xml:space="preserve"> ar</w:t>
      </w:r>
      <w:r w:rsidR="00B73DE3">
        <w:rPr>
          <w:rFonts w:asciiTheme="majorBidi" w:hAnsiTheme="majorBidi" w:cstheme="majorBidi"/>
        </w:rPr>
        <w:t xml:space="preserve"> </w:t>
      </w:r>
      <w:r w:rsidR="003F0992">
        <w:rPr>
          <w:rFonts w:asciiTheme="majorBidi" w:hAnsiTheme="majorBidi" w:cstheme="majorBidi"/>
        </w:rPr>
        <w:t xml:space="preserve">2025.gada </w:t>
      </w:r>
      <w:r w:rsidR="003808BF">
        <w:rPr>
          <w:rFonts w:asciiTheme="majorBidi" w:hAnsiTheme="majorBidi" w:cstheme="majorBidi"/>
        </w:rPr>
        <w:t>27.maija</w:t>
      </w:r>
      <w:r w:rsidR="003F0992">
        <w:rPr>
          <w:rFonts w:asciiTheme="majorBidi" w:hAnsiTheme="majorBidi" w:cstheme="majorBidi"/>
        </w:rPr>
        <w:t xml:space="preserve"> lēmumu </w:t>
      </w:r>
      <w:r w:rsidR="003F0992" w:rsidRPr="003F0992">
        <w:rPr>
          <w:rFonts w:asciiTheme="majorBidi" w:hAnsiTheme="majorBidi" w:cstheme="majorBidi"/>
        </w:rPr>
        <w:t>Nr.</w:t>
      </w:r>
      <w:r w:rsidR="003F0992">
        <w:rPr>
          <w:rFonts w:asciiTheme="majorBidi" w:hAnsiTheme="majorBidi" w:cstheme="majorBidi"/>
        </w:rPr>
        <w:t> </w:t>
      </w:r>
      <w:r w:rsidR="003F0992" w:rsidRPr="003F0992">
        <w:rPr>
          <w:rFonts w:asciiTheme="majorBidi" w:hAnsiTheme="majorBidi" w:cstheme="majorBidi"/>
        </w:rPr>
        <w:t>1-</w:t>
      </w:r>
      <w:r w:rsidR="005C1755">
        <w:rPr>
          <w:rFonts w:asciiTheme="majorBidi" w:hAnsiTheme="majorBidi" w:cstheme="majorBidi"/>
        </w:rPr>
        <w:t>4.3/</w:t>
      </w:r>
      <w:r w:rsidR="003808BF">
        <w:rPr>
          <w:rFonts w:asciiTheme="majorBidi" w:hAnsiTheme="majorBidi" w:cstheme="majorBidi"/>
        </w:rPr>
        <w:t>18</w:t>
      </w:r>
      <w:r w:rsidR="003F0992">
        <w:rPr>
          <w:rFonts w:asciiTheme="majorBidi" w:hAnsiTheme="majorBidi" w:cstheme="majorBidi"/>
        </w:rPr>
        <w:t xml:space="preserve"> </w:t>
      </w:r>
      <w:r w:rsidR="00D079F4">
        <w:rPr>
          <w:rFonts w:asciiTheme="majorBidi" w:hAnsiTheme="majorBidi" w:cstheme="majorBidi"/>
        </w:rPr>
        <w:t xml:space="preserve">atteica pieteicējiem atlīdzināt </w:t>
      </w:r>
      <w:r w:rsidR="00E86760">
        <w:rPr>
          <w:rFonts w:asciiTheme="majorBidi" w:hAnsiTheme="majorBidi" w:cstheme="majorBidi"/>
        </w:rPr>
        <w:t>zaudējumus un nemantisko kaitējumu</w:t>
      </w:r>
      <w:r w:rsidR="00D079F4">
        <w:rPr>
          <w:rFonts w:asciiTheme="majorBidi" w:hAnsiTheme="majorBidi" w:cstheme="majorBidi"/>
        </w:rPr>
        <w:t xml:space="preserve">, </w:t>
      </w:r>
      <w:r w:rsidR="003F0992">
        <w:rPr>
          <w:rFonts w:asciiTheme="majorBidi" w:hAnsiTheme="majorBidi" w:cstheme="majorBidi"/>
        </w:rPr>
        <w:t xml:space="preserve">jo </w:t>
      </w:r>
      <w:r w:rsidR="001E7F03">
        <w:rPr>
          <w:rFonts w:asciiTheme="majorBidi" w:hAnsiTheme="majorBidi" w:cstheme="majorBidi"/>
        </w:rPr>
        <w:t>nekonstatēja, ka būtu iestājies kāds</w:t>
      </w:r>
      <w:r w:rsidR="003F0992">
        <w:rPr>
          <w:rFonts w:asciiTheme="majorBidi" w:hAnsiTheme="majorBidi" w:cstheme="majorBidi"/>
        </w:rPr>
        <w:t xml:space="preserve"> no Atlīdzināšanas likum</w:t>
      </w:r>
      <w:r w:rsidR="00B522D2">
        <w:rPr>
          <w:rFonts w:asciiTheme="majorBidi" w:hAnsiTheme="majorBidi" w:cstheme="majorBidi"/>
        </w:rPr>
        <w:t>a</w:t>
      </w:r>
      <w:r w:rsidR="003F0992">
        <w:rPr>
          <w:rFonts w:asciiTheme="majorBidi" w:hAnsiTheme="majorBidi" w:cstheme="majorBidi"/>
        </w:rPr>
        <w:t xml:space="preserve"> </w:t>
      </w:r>
      <w:r w:rsidR="003F0992" w:rsidRPr="003F0992">
        <w:rPr>
          <w:rFonts w:asciiTheme="majorBidi" w:hAnsiTheme="majorBidi" w:cstheme="majorBidi"/>
        </w:rPr>
        <w:t>4.pantā minētajiem atlīdzinājuma tiesiskajiem pamatiem</w:t>
      </w:r>
      <w:r w:rsidR="003F0992">
        <w:rPr>
          <w:rFonts w:asciiTheme="majorBidi" w:hAnsiTheme="majorBidi" w:cstheme="majorBidi"/>
        </w:rPr>
        <w:t>.</w:t>
      </w:r>
      <w:r w:rsidR="000619B3">
        <w:rPr>
          <w:rFonts w:asciiTheme="majorBidi" w:hAnsiTheme="majorBidi" w:cstheme="majorBidi"/>
        </w:rPr>
        <w:t xml:space="preserve"> </w:t>
      </w:r>
      <w:r w:rsidR="007973C1">
        <w:rPr>
          <w:rFonts w:asciiTheme="majorBidi" w:hAnsiTheme="majorBidi" w:cstheme="majorBidi"/>
        </w:rPr>
        <w:t>Ministrija norādīja, ka, l</w:t>
      </w:r>
      <w:r w:rsidR="00B522D2">
        <w:rPr>
          <w:rFonts w:asciiTheme="majorBidi" w:hAnsiTheme="majorBidi" w:cstheme="majorBidi"/>
        </w:rPr>
        <w:t>ai</w:t>
      </w:r>
      <w:r w:rsidR="008B40BD">
        <w:rPr>
          <w:rFonts w:asciiTheme="majorBidi" w:hAnsiTheme="majorBidi" w:cstheme="majorBidi"/>
        </w:rPr>
        <w:t xml:space="preserve"> arī</w:t>
      </w:r>
      <w:r w:rsidR="00B522D2">
        <w:rPr>
          <w:rFonts w:asciiTheme="majorBidi" w:hAnsiTheme="majorBidi" w:cstheme="majorBidi"/>
        </w:rPr>
        <w:t xml:space="preserve"> </w:t>
      </w:r>
      <w:r w:rsidR="005C1755">
        <w:rPr>
          <w:rFonts w:asciiTheme="majorBidi" w:hAnsiTheme="majorBidi" w:cstheme="majorBidi"/>
        </w:rPr>
        <w:t>Eiropas Cilvēktiesību tiesa</w:t>
      </w:r>
      <w:r w:rsidR="009C1FA8">
        <w:rPr>
          <w:rFonts w:asciiTheme="majorBidi" w:hAnsiTheme="majorBidi" w:cstheme="majorBidi"/>
        </w:rPr>
        <w:t>s spriedumā atzīts</w:t>
      </w:r>
      <w:r w:rsidR="00B522D2">
        <w:rPr>
          <w:rFonts w:asciiTheme="majorBidi" w:hAnsiTheme="majorBidi" w:cstheme="majorBidi"/>
        </w:rPr>
        <w:t>, ka ir noticis Konvencijas 5.panta 4.punkta pārkāpums,</w:t>
      </w:r>
      <w:r w:rsidR="009C1FA8">
        <w:rPr>
          <w:rFonts w:asciiTheme="majorBidi" w:hAnsiTheme="majorBidi" w:cstheme="majorBidi"/>
        </w:rPr>
        <w:t xml:space="preserve"> tiesa</w:t>
      </w:r>
      <w:r w:rsidR="00B522D2">
        <w:rPr>
          <w:rFonts w:asciiTheme="majorBidi" w:hAnsiTheme="majorBidi" w:cstheme="majorBidi"/>
        </w:rPr>
        <w:t xml:space="preserve"> nav atzinusi, ka </w:t>
      </w:r>
      <w:r w:rsidR="006B2310">
        <w:rPr>
          <w:rFonts w:asciiTheme="majorBidi" w:hAnsiTheme="majorBidi" w:cstheme="majorBidi"/>
        </w:rPr>
        <w:t xml:space="preserve">[pers. </w:t>
      </w:r>
      <w:r w:rsidR="006B2310">
        <w:rPr>
          <w:rFonts w:asciiTheme="majorBidi" w:hAnsiTheme="majorBidi" w:cstheme="majorBidi"/>
        </w:rPr>
        <w:t>B</w:t>
      </w:r>
      <w:r w:rsidR="006B2310">
        <w:rPr>
          <w:rFonts w:asciiTheme="majorBidi" w:hAnsiTheme="majorBidi" w:cstheme="majorBidi"/>
        </w:rPr>
        <w:t>]</w:t>
      </w:r>
      <w:r w:rsidR="009C1FA8">
        <w:rPr>
          <w:rFonts w:asciiTheme="majorBidi" w:hAnsiTheme="majorBidi" w:cstheme="majorBidi"/>
        </w:rPr>
        <w:t xml:space="preserve"> </w:t>
      </w:r>
      <w:r w:rsidR="008B40BD">
        <w:rPr>
          <w:rFonts w:asciiTheme="majorBidi" w:hAnsiTheme="majorBidi" w:cstheme="majorBidi"/>
        </w:rPr>
        <w:t xml:space="preserve">piemērotais </w:t>
      </w:r>
      <w:r w:rsidR="000619B3">
        <w:rPr>
          <w:rFonts w:asciiTheme="majorBidi" w:hAnsiTheme="majorBidi" w:cstheme="majorBidi"/>
        </w:rPr>
        <w:t>drošības līdzeklis – apcietinājums – būtu bijis prettiesisks.</w:t>
      </w:r>
      <w:r w:rsidR="003F0992">
        <w:rPr>
          <w:rFonts w:asciiTheme="majorBidi" w:hAnsiTheme="majorBidi" w:cstheme="majorBidi"/>
        </w:rPr>
        <w:t xml:space="preserve"> </w:t>
      </w:r>
      <w:r w:rsidR="008B40BD">
        <w:rPr>
          <w:rFonts w:asciiTheme="majorBidi" w:hAnsiTheme="majorBidi" w:cstheme="majorBidi"/>
        </w:rPr>
        <w:t xml:space="preserve">Turklāt </w:t>
      </w:r>
      <w:r w:rsidR="005C1755">
        <w:rPr>
          <w:rFonts w:asciiTheme="majorBidi" w:hAnsiTheme="majorBidi" w:cstheme="majorBidi"/>
        </w:rPr>
        <w:t>t</w:t>
      </w:r>
      <w:r w:rsidR="008B40BD">
        <w:rPr>
          <w:rFonts w:asciiTheme="majorBidi" w:hAnsiTheme="majorBidi" w:cstheme="majorBidi"/>
        </w:rPr>
        <w:t xml:space="preserve">iesa atzina, ka </w:t>
      </w:r>
      <w:r w:rsidR="008B40BD" w:rsidRPr="008B40BD">
        <w:rPr>
          <w:rFonts w:asciiTheme="majorBidi" w:hAnsiTheme="majorBidi" w:cstheme="majorBidi"/>
        </w:rPr>
        <w:t>pārkāpuma konstatēšana ir uzskatāma par pietiekamu taisnīgu atlīdzību par jebkādu nemantisko kaitējumu, ko iesniedzēji varētu būt cietuši.</w:t>
      </w:r>
      <w:r w:rsidR="008B40BD">
        <w:rPr>
          <w:rFonts w:asciiTheme="majorBidi" w:hAnsiTheme="majorBidi" w:cstheme="majorBidi"/>
        </w:rPr>
        <w:t xml:space="preserve"> Tādējādi </w:t>
      </w:r>
      <w:r w:rsidR="008B40BD" w:rsidRPr="008B40BD">
        <w:rPr>
          <w:rFonts w:asciiTheme="majorBidi" w:hAnsiTheme="majorBidi" w:cstheme="majorBidi"/>
        </w:rPr>
        <w:t>nepastāv kriminālprocesā nodarītā kaitējuma atlīdzinājuma tiesiskais pamats</w:t>
      </w:r>
      <w:r w:rsidR="00E00CEE">
        <w:rPr>
          <w:rFonts w:asciiTheme="majorBidi" w:hAnsiTheme="majorBidi" w:cstheme="majorBidi"/>
        </w:rPr>
        <w:t>,</w:t>
      </w:r>
      <w:r w:rsidR="008B40BD" w:rsidRPr="008B40BD">
        <w:rPr>
          <w:rFonts w:asciiTheme="majorBidi" w:hAnsiTheme="majorBidi" w:cstheme="majorBidi"/>
        </w:rPr>
        <w:t xml:space="preserve"> un </w:t>
      </w:r>
      <w:r w:rsidR="008B40BD">
        <w:rPr>
          <w:rFonts w:asciiTheme="majorBidi" w:hAnsiTheme="majorBidi" w:cstheme="majorBidi"/>
        </w:rPr>
        <w:t>pieteicēj</w:t>
      </w:r>
      <w:r w:rsidR="009C1FA8">
        <w:rPr>
          <w:rFonts w:asciiTheme="majorBidi" w:hAnsiTheme="majorBidi" w:cstheme="majorBidi"/>
        </w:rPr>
        <w:t>ie</w:t>
      </w:r>
      <w:r w:rsidR="008B40BD">
        <w:rPr>
          <w:rFonts w:asciiTheme="majorBidi" w:hAnsiTheme="majorBidi" w:cstheme="majorBidi"/>
        </w:rPr>
        <w:t>m</w:t>
      </w:r>
      <w:r w:rsidR="008B40BD" w:rsidRPr="008B40BD">
        <w:rPr>
          <w:rFonts w:asciiTheme="majorBidi" w:hAnsiTheme="majorBidi" w:cstheme="majorBidi"/>
        </w:rPr>
        <w:t xml:space="preserve"> nav subjektīvo tiesību prasīt kaitējuma atlīdzinājumu </w:t>
      </w:r>
      <w:r w:rsidR="008B40BD">
        <w:rPr>
          <w:rFonts w:asciiTheme="majorBidi" w:hAnsiTheme="majorBidi" w:cstheme="majorBidi"/>
        </w:rPr>
        <w:t>A</w:t>
      </w:r>
      <w:r w:rsidR="008B40BD" w:rsidRPr="008B40BD">
        <w:rPr>
          <w:rFonts w:asciiTheme="majorBidi" w:hAnsiTheme="majorBidi" w:cstheme="majorBidi"/>
        </w:rPr>
        <w:t>tlīdzināšanas likuma kārtībā.</w:t>
      </w:r>
    </w:p>
    <w:p w14:paraId="20F16A2B" w14:textId="77777777" w:rsidR="0033129F" w:rsidRDefault="0033129F" w:rsidP="006B2310">
      <w:pPr>
        <w:spacing w:line="276" w:lineRule="auto"/>
        <w:ind w:firstLine="720"/>
        <w:jc w:val="both"/>
        <w:rPr>
          <w:rFonts w:asciiTheme="majorBidi" w:hAnsiTheme="majorBidi" w:cstheme="majorBidi"/>
        </w:rPr>
      </w:pPr>
    </w:p>
    <w:p w14:paraId="24442978" w14:textId="6B0E2AD1" w:rsidR="00B73DE3" w:rsidRPr="00056282" w:rsidRDefault="0033129F" w:rsidP="006B2310">
      <w:pPr>
        <w:spacing w:line="276" w:lineRule="auto"/>
        <w:ind w:firstLine="720"/>
        <w:jc w:val="both"/>
        <w:rPr>
          <w:rFonts w:asciiTheme="majorBidi" w:hAnsiTheme="majorBidi" w:cstheme="majorBidi"/>
        </w:rPr>
      </w:pPr>
      <w:r>
        <w:rPr>
          <w:rFonts w:asciiTheme="majorBidi" w:hAnsiTheme="majorBidi" w:cstheme="majorBidi"/>
        </w:rPr>
        <w:t>[4] </w:t>
      </w:r>
      <w:r w:rsidR="003F0992">
        <w:rPr>
          <w:rFonts w:asciiTheme="majorBidi" w:hAnsiTheme="majorBidi" w:cstheme="majorBidi"/>
        </w:rPr>
        <w:t>Pieteicēj</w:t>
      </w:r>
      <w:r w:rsidR="005E7EEE">
        <w:rPr>
          <w:rFonts w:asciiTheme="majorBidi" w:hAnsiTheme="majorBidi" w:cstheme="majorBidi"/>
        </w:rPr>
        <w:t>i</w:t>
      </w:r>
      <w:r w:rsidR="003F0992">
        <w:rPr>
          <w:rFonts w:asciiTheme="majorBidi" w:hAnsiTheme="majorBidi" w:cstheme="majorBidi"/>
        </w:rPr>
        <w:t xml:space="preserve"> vērsās tiesā ar pieteikumu par </w:t>
      </w:r>
      <w:r w:rsidR="005E7EEE">
        <w:rPr>
          <w:rFonts w:asciiTheme="majorBidi" w:hAnsiTheme="majorBidi" w:cstheme="majorBidi"/>
        </w:rPr>
        <w:t>zaudējumu un nemantiskā kaitējuma atlīdzināšanu.</w:t>
      </w:r>
    </w:p>
    <w:p w14:paraId="13517D35" w14:textId="77777777" w:rsidR="00A50150" w:rsidRDefault="00A50150" w:rsidP="006B2310">
      <w:pPr>
        <w:spacing w:line="276" w:lineRule="auto"/>
        <w:ind w:firstLine="720"/>
        <w:jc w:val="both"/>
        <w:rPr>
          <w:rFonts w:asciiTheme="majorBidi" w:hAnsiTheme="majorBidi" w:cstheme="majorBidi"/>
        </w:rPr>
      </w:pPr>
    </w:p>
    <w:p w14:paraId="4F8089CE" w14:textId="2C52CC72" w:rsidR="003E06AD" w:rsidRDefault="000619B3" w:rsidP="006B2310">
      <w:pPr>
        <w:spacing w:line="276" w:lineRule="auto"/>
        <w:ind w:firstLine="720"/>
        <w:jc w:val="both"/>
        <w:rPr>
          <w:rFonts w:asciiTheme="majorBidi" w:hAnsiTheme="majorBidi" w:cstheme="majorBidi"/>
        </w:rPr>
      </w:pPr>
      <w:r>
        <w:rPr>
          <w:rFonts w:asciiTheme="majorBidi" w:hAnsiTheme="majorBidi" w:cstheme="majorBidi"/>
        </w:rPr>
        <w:t>[</w:t>
      </w:r>
      <w:r w:rsidR="0033129F">
        <w:rPr>
          <w:rFonts w:asciiTheme="majorBidi" w:hAnsiTheme="majorBidi" w:cstheme="majorBidi"/>
        </w:rPr>
        <w:t>5</w:t>
      </w:r>
      <w:r>
        <w:rPr>
          <w:rFonts w:asciiTheme="majorBidi" w:hAnsiTheme="majorBidi" w:cstheme="majorBidi"/>
        </w:rPr>
        <w:t xml:space="preserve">] Ar Administratīvās rajona tiesas tiesneša </w:t>
      </w:r>
      <w:r w:rsidR="003E06AD">
        <w:rPr>
          <w:rFonts w:asciiTheme="majorBidi" w:hAnsiTheme="majorBidi" w:cstheme="majorBidi"/>
        </w:rPr>
        <w:t xml:space="preserve">2025.gada 25.jūlija </w:t>
      </w:r>
      <w:r w:rsidR="00DF2A53">
        <w:rPr>
          <w:rFonts w:asciiTheme="majorBidi" w:hAnsiTheme="majorBidi" w:cstheme="majorBidi"/>
        </w:rPr>
        <w:t>lēmumu pieteikumu atteikts pieņem</w:t>
      </w:r>
      <w:r w:rsidR="007F27EA">
        <w:rPr>
          <w:rFonts w:asciiTheme="majorBidi" w:hAnsiTheme="majorBidi" w:cstheme="majorBidi"/>
        </w:rPr>
        <w:t>t</w:t>
      </w:r>
      <w:r w:rsidR="00DF2A53">
        <w:rPr>
          <w:rFonts w:asciiTheme="majorBidi" w:hAnsiTheme="majorBidi" w:cstheme="majorBidi"/>
        </w:rPr>
        <w:t xml:space="preserve">, pamatojoties uz Administratīvā procesa likuma 191.panta </w:t>
      </w:r>
      <w:r w:rsidR="00044C81">
        <w:rPr>
          <w:rFonts w:asciiTheme="majorBidi" w:hAnsiTheme="majorBidi" w:cstheme="majorBidi"/>
        </w:rPr>
        <w:t xml:space="preserve">pirmās daļas </w:t>
      </w:r>
      <w:r w:rsidR="00DF2A53">
        <w:rPr>
          <w:rFonts w:asciiTheme="majorBidi" w:hAnsiTheme="majorBidi" w:cstheme="majorBidi"/>
        </w:rPr>
        <w:t>8.punktu (</w:t>
      </w:r>
      <w:r w:rsidR="00DF2A53" w:rsidRPr="00DF2A53">
        <w:rPr>
          <w:rFonts w:asciiTheme="majorBidi" w:hAnsiTheme="majorBidi" w:cstheme="majorBidi"/>
        </w:rPr>
        <w:t>pieteikumu iesniegusi persona, kurai nav tiesību iesniegt pieteikumu</w:t>
      </w:r>
      <w:r w:rsidR="00DF2A53">
        <w:rPr>
          <w:rFonts w:asciiTheme="majorBidi" w:hAnsiTheme="majorBidi" w:cstheme="majorBidi"/>
        </w:rPr>
        <w:t>).</w:t>
      </w:r>
      <w:r w:rsidR="00D666C9">
        <w:rPr>
          <w:rFonts w:asciiTheme="majorBidi" w:hAnsiTheme="majorBidi" w:cstheme="majorBidi"/>
        </w:rPr>
        <w:t xml:space="preserve"> Lēmums pamatots ar turpmāk norādītajiem apsvērumiem.</w:t>
      </w:r>
    </w:p>
    <w:p w14:paraId="691E70D9" w14:textId="77538FB6" w:rsidR="000619B3" w:rsidRDefault="003E06AD" w:rsidP="006B2310">
      <w:pPr>
        <w:spacing w:line="276" w:lineRule="auto"/>
        <w:ind w:firstLine="720"/>
        <w:jc w:val="both"/>
        <w:rPr>
          <w:rFonts w:asciiTheme="majorBidi" w:hAnsiTheme="majorBidi" w:cstheme="majorBidi"/>
        </w:rPr>
      </w:pPr>
      <w:r>
        <w:rPr>
          <w:rFonts w:asciiTheme="majorBidi" w:hAnsiTheme="majorBidi" w:cstheme="majorBidi"/>
        </w:rPr>
        <w:t>[5.1]</w:t>
      </w:r>
      <w:r w:rsidR="00F91707">
        <w:rPr>
          <w:rFonts w:asciiTheme="majorBidi" w:hAnsiTheme="majorBidi" w:cstheme="majorBidi"/>
        </w:rPr>
        <w:t> </w:t>
      </w:r>
      <w:r w:rsidR="005C1755">
        <w:rPr>
          <w:rFonts w:asciiTheme="majorBidi" w:hAnsiTheme="majorBidi" w:cstheme="majorBidi"/>
        </w:rPr>
        <w:t>Eiropas Cilvēktiesību tiesas</w:t>
      </w:r>
      <w:r w:rsidR="00DF2A53" w:rsidRPr="00DF2A53">
        <w:rPr>
          <w:rFonts w:asciiTheme="majorBidi" w:hAnsiTheme="majorBidi" w:cstheme="majorBidi"/>
        </w:rPr>
        <w:t xml:space="preserve"> spriedums konkrētajā gadījumā </w:t>
      </w:r>
      <w:r w:rsidR="00DF2A53">
        <w:rPr>
          <w:rFonts w:asciiTheme="majorBidi" w:hAnsiTheme="majorBidi" w:cstheme="majorBidi"/>
        </w:rPr>
        <w:t>nav</w:t>
      </w:r>
      <w:r w:rsidR="00DF2A53" w:rsidRPr="00DF2A53">
        <w:rPr>
          <w:rFonts w:asciiTheme="majorBidi" w:hAnsiTheme="majorBidi" w:cstheme="majorBidi"/>
        </w:rPr>
        <w:t xml:space="preserve"> tiesisks</w:t>
      </w:r>
      <w:r w:rsidR="00DF2A53">
        <w:rPr>
          <w:rFonts w:asciiTheme="majorBidi" w:hAnsiTheme="majorBidi" w:cstheme="majorBidi"/>
        </w:rPr>
        <w:t xml:space="preserve"> </w:t>
      </w:r>
      <w:r w:rsidR="00DF2A53" w:rsidRPr="00DF2A53">
        <w:rPr>
          <w:rFonts w:asciiTheme="majorBidi" w:hAnsiTheme="majorBidi" w:cstheme="majorBidi"/>
        </w:rPr>
        <w:t xml:space="preserve">pamats </w:t>
      </w:r>
      <w:r w:rsidR="00F91707">
        <w:rPr>
          <w:rFonts w:asciiTheme="majorBidi" w:hAnsiTheme="majorBidi" w:cstheme="majorBidi"/>
        </w:rPr>
        <w:t xml:space="preserve">zaudējumu un nemantiskā </w:t>
      </w:r>
      <w:r w:rsidR="00DF2A53" w:rsidRPr="00DF2A53">
        <w:rPr>
          <w:rFonts w:asciiTheme="majorBidi" w:hAnsiTheme="majorBidi" w:cstheme="majorBidi"/>
        </w:rPr>
        <w:t>kaitējuma atlīdzināšanai</w:t>
      </w:r>
      <w:r w:rsidR="006B2310">
        <w:rPr>
          <w:rFonts w:asciiTheme="majorBidi" w:hAnsiTheme="majorBidi" w:cstheme="majorBidi"/>
        </w:rPr>
        <w:t xml:space="preserve"> </w:t>
      </w:r>
      <w:r w:rsidR="006B2310">
        <w:rPr>
          <w:rFonts w:asciiTheme="majorBidi" w:hAnsiTheme="majorBidi" w:cstheme="majorBidi"/>
        </w:rPr>
        <w:t xml:space="preserve">[pers. </w:t>
      </w:r>
      <w:r w:rsidR="006B2310">
        <w:rPr>
          <w:rFonts w:asciiTheme="majorBidi" w:hAnsiTheme="majorBidi" w:cstheme="majorBidi"/>
        </w:rPr>
        <w:t>B</w:t>
      </w:r>
      <w:r w:rsidR="006B2310">
        <w:rPr>
          <w:rFonts w:asciiTheme="majorBidi" w:hAnsiTheme="majorBidi" w:cstheme="majorBidi"/>
        </w:rPr>
        <w:t>]</w:t>
      </w:r>
      <w:r w:rsidR="00DF2A53">
        <w:rPr>
          <w:rFonts w:asciiTheme="majorBidi" w:hAnsiTheme="majorBidi" w:cstheme="majorBidi"/>
        </w:rPr>
        <w:t xml:space="preserve">, jo </w:t>
      </w:r>
      <w:r w:rsidR="00F91707">
        <w:rPr>
          <w:rFonts w:asciiTheme="majorBidi" w:hAnsiTheme="majorBidi" w:cstheme="majorBidi"/>
        </w:rPr>
        <w:t xml:space="preserve">spriedumā </w:t>
      </w:r>
      <w:r w:rsidR="00DF2A53">
        <w:rPr>
          <w:rFonts w:asciiTheme="majorBidi" w:hAnsiTheme="majorBidi" w:cstheme="majorBidi"/>
        </w:rPr>
        <w:t xml:space="preserve">nav atzīts, ka apcietinājums </w:t>
      </w:r>
      <w:r w:rsidR="00F91707">
        <w:rPr>
          <w:rFonts w:asciiTheme="majorBidi" w:hAnsiTheme="majorBidi" w:cstheme="majorBidi"/>
        </w:rPr>
        <w:t xml:space="preserve">viņam </w:t>
      </w:r>
      <w:r w:rsidR="00DF2A53">
        <w:rPr>
          <w:rFonts w:asciiTheme="majorBidi" w:hAnsiTheme="majorBidi" w:cstheme="majorBidi"/>
        </w:rPr>
        <w:t>būtu piemērots prettiesiski. N</w:t>
      </w:r>
      <w:r w:rsidR="00DF2A53" w:rsidRPr="00DF2A53">
        <w:rPr>
          <w:rFonts w:asciiTheme="majorBidi" w:hAnsiTheme="majorBidi" w:cstheme="majorBidi"/>
        </w:rPr>
        <w:t xml:space="preserve">av </w:t>
      </w:r>
      <w:r w:rsidR="00DF2A53">
        <w:rPr>
          <w:rFonts w:asciiTheme="majorBidi" w:hAnsiTheme="majorBidi" w:cstheme="majorBidi"/>
        </w:rPr>
        <w:t xml:space="preserve">arī </w:t>
      </w:r>
      <w:r w:rsidR="00DF2A53" w:rsidRPr="00DF2A53">
        <w:rPr>
          <w:rFonts w:asciiTheme="majorBidi" w:hAnsiTheme="majorBidi" w:cstheme="majorBidi"/>
        </w:rPr>
        <w:t>konstatējams, ka kriminālproces</w:t>
      </w:r>
      <w:r w:rsidR="00DF2A53">
        <w:rPr>
          <w:rFonts w:asciiTheme="majorBidi" w:hAnsiTheme="majorBidi" w:cstheme="majorBidi"/>
        </w:rPr>
        <w:t xml:space="preserve">ā, kas joprojām turpinās, </w:t>
      </w:r>
      <w:r w:rsidR="00DF2A53" w:rsidRPr="00DF2A53">
        <w:rPr>
          <w:rFonts w:asciiTheme="majorBidi" w:hAnsiTheme="majorBidi" w:cstheme="majorBidi"/>
        </w:rPr>
        <w:t xml:space="preserve">būtu pieņemts kāds cits nolēmums, ar kuru </w:t>
      </w:r>
      <w:r w:rsidR="006B2310">
        <w:rPr>
          <w:rFonts w:asciiTheme="majorBidi" w:hAnsiTheme="majorBidi" w:cstheme="majorBidi"/>
        </w:rPr>
        <w:t>[pers.</w:t>
      </w:r>
      <w:r w:rsidR="006B2310">
        <w:rPr>
          <w:rFonts w:asciiTheme="majorBidi" w:hAnsiTheme="majorBidi" w:cstheme="majorBidi"/>
        </w:rPr>
        <w:t> B</w:t>
      </w:r>
      <w:r w:rsidR="006B2310">
        <w:rPr>
          <w:rFonts w:asciiTheme="majorBidi" w:hAnsiTheme="majorBidi" w:cstheme="majorBidi"/>
        </w:rPr>
        <w:t xml:space="preserve">] </w:t>
      </w:r>
      <w:r w:rsidR="00DF2A53" w:rsidRPr="00DF2A53">
        <w:rPr>
          <w:rFonts w:asciiTheme="majorBidi" w:hAnsiTheme="majorBidi" w:cstheme="majorBidi"/>
        </w:rPr>
        <w:t>piemērotais drošības līdzeklis –</w:t>
      </w:r>
      <w:r w:rsidR="00DF2A53">
        <w:rPr>
          <w:rFonts w:asciiTheme="majorBidi" w:hAnsiTheme="majorBidi" w:cstheme="majorBidi"/>
        </w:rPr>
        <w:t xml:space="preserve"> </w:t>
      </w:r>
      <w:r w:rsidR="00DF2A53" w:rsidRPr="00DF2A53">
        <w:rPr>
          <w:rFonts w:asciiTheme="majorBidi" w:hAnsiTheme="majorBidi" w:cstheme="majorBidi"/>
        </w:rPr>
        <w:t>apcietinājums – būtu atzīts par prettiesisku.</w:t>
      </w:r>
      <w:r w:rsidR="00DF2A53">
        <w:rPr>
          <w:rFonts w:asciiTheme="majorBidi" w:hAnsiTheme="majorBidi" w:cstheme="majorBidi"/>
        </w:rPr>
        <w:t xml:space="preserve"> Tādējādi nav konstatējams neviens no Atlīdzinā</w:t>
      </w:r>
      <w:r w:rsidR="00E00CEE">
        <w:rPr>
          <w:rFonts w:asciiTheme="majorBidi" w:hAnsiTheme="majorBidi" w:cstheme="majorBidi"/>
        </w:rPr>
        <w:t>šanas</w:t>
      </w:r>
      <w:r w:rsidR="00DF2A53">
        <w:rPr>
          <w:rFonts w:asciiTheme="majorBidi" w:hAnsiTheme="majorBidi" w:cstheme="majorBidi"/>
        </w:rPr>
        <w:t xml:space="preserve"> likuma 4.panta otrajā daļā ietvertajiem pamatiem atlīdzinājuma piešķiršanai. </w:t>
      </w:r>
      <w:r w:rsidR="00DF2A53" w:rsidRPr="00DF2A53">
        <w:rPr>
          <w:rFonts w:asciiTheme="majorBidi" w:hAnsiTheme="majorBidi" w:cstheme="majorBidi"/>
        </w:rPr>
        <w:t xml:space="preserve">Attiecīgi </w:t>
      </w:r>
      <w:r w:rsidR="006B2310">
        <w:rPr>
          <w:rFonts w:asciiTheme="majorBidi" w:hAnsiTheme="majorBidi" w:cstheme="majorBidi"/>
        </w:rPr>
        <w:t xml:space="preserve">[pers. </w:t>
      </w:r>
      <w:r w:rsidR="006B2310">
        <w:rPr>
          <w:rFonts w:asciiTheme="majorBidi" w:hAnsiTheme="majorBidi" w:cstheme="majorBidi"/>
        </w:rPr>
        <w:t>B</w:t>
      </w:r>
      <w:r w:rsidR="006B2310">
        <w:rPr>
          <w:rFonts w:asciiTheme="majorBidi" w:hAnsiTheme="majorBidi" w:cstheme="majorBidi"/>
        </w:rPr>
        <w:t xml:space="preserve">] </w:t>
      </w:r>
      <w:r w:rsidR="00DF2A53" w:rsidRPr="00DF2A53">
        <w:rPr>
          <w:rFonts w:asciiTheme="majorBidi" w:hAnsiTheme="majorBidi" w:cstheme="majorBidi"/>
        </w:rPr>
        <w:t>nav subjektīvo tiesību prasīt</w:t>
      </w:r>
      <w:r w:rsidR="00DF2A53">
        <w:rPr>
          <w:rFonts w:asciiTheme="majorBidi" w:hAnsiTheme="majorBidi" w:cstheme="majorBidi"/>
        </w:rPr>
        <w:t xml:space="preserve"> </w:t>
      </w:r>
      <w:r w:rsidR="00F91707">
        <w:rPr>
          <w:rFonts w:asciiTheme="majorBidi" w:hAnsiTheme="majorBidi" w:cstheme="majorBidi"/>
        </w:rPr>
        <w:t xml:space="preserve">zaudējumu un </w:t>
      </w:r>
      <w:r w:rsidR="005C1755">
        <w:rPr>
          <w:rFonts w:asciiTheme="majorBidi" w:hAnsiTheme="majorBidi" w:cstheme="majorBidi"/>
        </w:rPr>
        <w:t xml:space="preserve">nemantiskā </w:t>
      </w:r>
      <w:r w:rsidR="00DF2A53" w:rsidRPr="00DF2A53">
        <w:rPr>
          <w:rFonts w:asciiTheme="majorBidi" w:hAnsiTheme="majorBidi" w:cstheme="majorBidi"/>
        </w:rPr>
        <w:t xml:space="preserve">kaitējuma atlīdzinājumu </w:t>
      </w:r>
      <w:r w:rsidR="00DF2A53">
        <w:rPr>
          <w:rFonts w:asciiTheme="majorBidi" w:hAnsiTheme="majorBidi" w:cstheme="majorBidi"/>
        </w:rPr>
        <w:t>A</w:t>
      </w:r>
      <w:r w:rsidR="00DF2A53" w:rsidRPr="00DF2A53">
        <w:rPr>
          <w:rFonts w:asciiTheme="majorBidi" w:hAnsiTheme="majorBidi" w:cstheme="majorBidi"/>
        </w:rPr>
        <w:t>tlīdzināšanas likuma kārtībā.</w:t>
      </w:r>
    </w:p>
    <w:p w14:paraId="6035372A" w14:textId="706D0EEF" w:rsidR="00F91707" w:rsidRDefault="00F91707" w:rsidP="006B2310">
      <w:pPr>
        <w:spacing w:line="276" w:lineRule="auto"/>
        <w:ind w:firstLine="720"/>
        <w:jc w:val="both"/>
        <w:rPr>
          <w:rFonts w:asciiTheme="majorBidi" w:hAnsiTheme="majorBidi" w:cstheme="majorBidi"/>
        </w:rPr>
      </w:pPr>
      <w:r>
        <w:rPr>
          <w:rFonts w:asciiTheme="majorBidi" w:hAnsiTheme="majorBidi" w:cstheme="majorBidi"/>
        </w:rPr>
        <w:t>[5.2] </w:t>
      </w:r>
      <w:r w:rsidR="003E06AD">
        <w:rPr>
          <w:rFonts w:asciiTheme="majorBidi" w:hAnsiTheme="majorBidi" w:cstheme="majorBidi"/>
        </w:rPr>
        <w:t>Eiropas Cilvēktiesību tiesas spriedumā nav izdarīti nekādi secinājumi</w:t>
      </w:r>
      <w:r>
        <w:rPr>
          <w:rFonts w:asciiTheme="majorBidi" w:hAnsiTheme="majorBidi" w:cstheme="majorBidi"/>
        </w:rPr>
        <w:t xml:space="preserve"> par</w:t>
      </w:r>
      <w:r w:rsidR="006B2310">
        <w:rPr>
          <w:rFonts w:asciiTheme="majorBidi" w:hAnsiTheme="majorBidi" w:cstheme="majorBidi"/>
        </w:rPr>
        <w:t xml:space="preserve"> </w:t>
      </w:r>
      <w:r w:rsidR="006B2310">
        <w:rPr>
          <w:rFonts w:asciiTheme="majorBidi" w:hAnsiTheme="majorBidi" w:cstheme="majorBidi"/>
        </w:rPr>
        <w:t>[pers. A]</w:t>
      </w:r>
      <w:r w:rsidR="003E06AD">
        <w:rPr>
          <w:rFonts w:asciiTheme="majorBidi" w:hAnsiTheme="majorBidi" w:cstheme="majorBidi"/>
        </w:rPr>
        <w:t xml:space="preserve">, un nav arī konstatējams nekāds kriminālprocess, kura ietvaros viņam būtu piešķirts kāds statuss vai radīts tāds tiesību aizskārums, kas paredzētu tiesības uz atlīdzinājumu. Savukārt apstāklis, ka </w:t>
      </w:r>
      <w:r w:rsidR="006B2310">
        <w:rPr>
          <w:rFonts w:asciiTheme="majorBidi" w:hAnsiTheme="majorBidi" w:cstheme="majorBidi"/>
        </w:rPr>
        <w:t xml:space="preserve">[pers. A] </w:t>
      </w:r>
      <w:r w:rsidR="003E06AD">
        <w:rPr>
          <w:rFonts w:asciiTheme="majorBidi" w:hAnsiTheme="majorBidi" w:cstheme="majorBidi"/>
        </w:rPr>
        <w:t xml:space="preserve">ir nodrošinājis drošības naudas samaksu </w:t>
      </w:r>
      <w:r w:rsidR="00D666C9">
        <w:rPr>
          <w:rFonts w:asciiTheme="majorBidi" w:hAnsiTheme="majorBidi" w:cstheme="majorBidi"/>
        </w:rPr>
        <w:t>par</w:t>
      </w:r>
      <w:r w:rsidR="006B2310">
        <w:rPr>
          <w:rFonts w:asciiTheme="majorBidi" w:hAnsiTheme="majorBidi" w:cstheme="majorBidi"/>
        </w:rPr>
        <w:t xml:space="preserve"> </w:t>
      </w:r>
      <w:r w:rsidR="006B2310">
        <w:rPr>
          <w:rFonts w:asciiTheme="majorBidi" w:hAnsiTheme="majorBidi" w:cstheme="majorBidi"/>
        </w:rPr>
        <w:t xml:space="preserve">[pers. </w:t>
      </w:r>
      <w:r w:rsidR="006B2310">
        <w:rPr>
          <w:rFonts w:asciiTheme="majorBidi" w:hAnsiTheme="majorBidi" w:cstheme="majorBidi"/>
        </w:rPr>
        <w:t>B</w:t>
      </w:r>
      <w:r w:rsidR="006B2310">
        <w:rPr>
          <w:rFonts w:asciiTheme="majorBidi" w:hAnsiTheme="majorBidi" w:cstheme="majorBidi"/>
        </w:rPr>
        <w:t>]</w:t>
      </w:r>
      <w:r w:rsidR="00885CB1">
        <w:rPr>
          <w:rFonts w:asciiTheme="majorBidi" w:hAnsiTheme="majorBidi" w:cstheme="majorBidi"/>
        </w:rPr>
        <w:t>,</w:t>
      </w:r>
      <w:r w:rsidR="00D666C9">
        <w:rPr>
          <w:rFonts w:asciiTheme="majorBidi" w:hAnsiTheme="majorBidi" w:cstheme="majorBidi"/>
        </w:rPr>
        <w:t xml:space="preserve"> ir aplūkojams starp </w:t>
      </w:r>
      <w:r w:rsidR="006B2310">
        <w:rPr>
          <w:rFonts w:asciiTheme="majorBidi" w:hAnsiTheme="majorBidi" w:cstheme="majorBidi"/>
        </w:rPr>
        <w:t xml:space="preserve">[pers. A] </w:t>
      </w:r>
      <w:r w:rsidR="00D666C9">
        <w:rPr>
          <w:rFonts w:asciiTheme="majorBidi" w:hAnsiTheme="majorBidi" w:cstheme="majorBidi"/>
        </w:rPr>
        <w:t xml:space="preserve">un </w:t>
      </w:r>
      <w:r w:rsidR="006B2310">
        <w:rPr>
          <w:rFonts w:asciiTheme="majorBidi" w:hAnsiTheme="majorBidi" w:cstheme="majorBidi"/>
        </w:rPr>
        <w:t xml:space="preserve">[pers. A] </w:t>
      </w:r>
      <w:r w:rsidR="006B2310">
        <w:rPr>
          <w:rFonts w:asciiTheme="majorBidi" w:hAnsiTheme="majorBidi" w:cstheme="majorBidi"/>
        </w:rPr>
        <w:t xml:space="preserve"> </w:t>
      </w:r>
      <w:r w:rsidR="00D666C9">
        <w:rPr>
          <w:rFonts w:asciiTheme="majorBidi" w:hAnsiTheme="majorBidi" w:cstheme="majorBidi"/>
        </w:rPr>
        <w:t xml:space="preserve">pastāvošo privāttiesisko attiecību ietvaros. Līdz ar to arī </w:t>
      </w:r>
      <w:r w:rsidR="006B2310">
        <w:rPr>
          <w:rFonts w:asciiTheme="majorBidi" w:hAnsiTheme="majorBidi" w:cstheme="majorBidi"/>
        </w:rPr>
        <w:t xml:space="preserve">[pers. A] </w:t>
      </w:r>
      <w:r w:rsidR="00D666C9">
        <w:rPr>
          <w:rFonts w:asciiTheme="majorBidi" w:hAnsiTheme="majorBidi" w:cstheme="majorBidi"/>
        </w:rPr>
        <w:t xml:space="preserve">nav subjektīvo tiesību </w:t>
      </w:r>
      <w:r w:rsidRPr="00DF2A53">
        <w:rPr>
          <w:rFonts w:asciiTheme="majorBidi" w:hAnsiTheme="majorBidi" w:cstheme="majorBidi"/>
        </w:rPr>
        <w:t>prasīt</w:t>
      </w:r>
      <w:r>
        <w:rPr>
          <w:rFonts w:asciiTheme="majorBidi" w:hAnsiTheme="majorBidi" w:cstheme="majorBidi"/>
        </w:rPr>
        <w:t xml:space="preserve"> zaudējumu </w:t>
      </w:r>
      <w:r w:rsidRPr="00DF2A53">
        <w:rPr>
          <w:rFonts w:asciiTheme="majorBidi" w:hAnsiTheme="majorBidi" w:cstheme="majorBidi"/>
        </w:rPr>
        <w:t xml:space="preserve">atlīdzinājumu </w:t>
      </w:r>
      <w:r>
        <w:rPr>
          <w:rFonts w:asciiTheme="majorBidi" w:hAnsiTheme="majorBidi" w:cstheme="majorBidi"/>
        </w:rPr>
        <w:t>A</w:t>
      </w:r>
      <w:r w:rsidRPr="00DF2A53">
        <w:rPr>
          <w:rFonts w:asciiTheme="majorBidi" w:hAnsiTheme="majorBidi" w:cstheme="majorBidi"/>
        </w:rPr>
        <w:t>tlīdzināšanas likuma kārtībā.</w:t>
      </w:r>
    </w:p>
    <w:p w14:paraId="471C2EA8" w14:textId="77777777" w:rsidR="000619B3" w:rsidRPr="00056282" w:rsidRDefault="000619B3" w:rsidP="006B2310">
      <w:pPr>
        <w:spacing w:line="276" w:lineRule="auto"/>
        <w:jc w:val="both"/>
        <w:rPr>
          <w:rFonts w:asciiTheme="majorBidi" w:hAnsiTheme="majorBidi" w:cstheme="majorBidi"/>
        </w:rPr>
      </w:pPr>
    </w:p>
    <w:p w14:paraId="1EBDE374" w14:textId="77777777" w:rsidR="001874FA" w:rsidRPr="001874FA" w:rsidRDefault="00C503E7" w:rsidP="006B2310">
      <w:pPr>
        <w:spacing w:line="276" w:lineRule="auto"/>
        <w:ind w:firstLine="720"/>
        <w:jc w:val="both"/>
        <w:rPr>
          <w:rFonts w:asciiTheme="majorBidi" w:hAnsiTheme="majorBidi" w:cstheme="majorBidi"/>
        </w:rPr>
      </w:pPr>
      <w:r w:rsidRPr="001874FA">
        <w:rPr>
          <w:rFonts w:asciiTheme="majorBidi" w:hAnsiTheme="majorBidi" w:cstheme="majorBidi"/>
        </w:rPr>
        <w:t>[</w:t>
      </w:r>
      <w:r w:rsidR="00DF2A53" w:rsidRPr="001874FA">
        <w:rPr>
          <w:rFonts w:asciiTheme="majorBidi" w:hAnsiTheme="majorBidi" w:cstheme="majorBidi"/>
        </w:rPr>
        <w:t>6</w:t>
      </w:r>
      <w:r w:rsidRPr="001874FA">
        <w:rPr>
          <w:rFonts w:asciiTheme="majorBidi" w:hAnsiTheme="majorBidi" w:cstheme="majorBidi"/>
        </w:rPr>
        <w:t>] </w:t>
      </w:r>
      <w:r w:rsidR="00DF2A53" w:rsidRPr="001874FA">
        <w:rPr>
          <w:rFonts w:asciiTheme="majorBidi" w:hAnsiTheme="majorBidi" w:cstheme="majorBidi"/>
        </w:rPr>
        <w:t>Par tiesneša lēmumu pieteicēj</w:t>
      </w:r>
      <w:r w:rsidR="00D666C9" w:rsidRPr="001874FA">
        <w:rPr>
          <w:rFonts w:asciiTheme="majorBidi" w:hAnsiTheme="majorBidi" w:cstheme="majorBidi"/>
        </w:rPr>
        <w:t>i</w:t>
      </w:r>
      <w:r w:rsidR="00DF2A53" w:rsidRPr="001874FA">
        <w:rPr>
          <w:rFonts w:asciiTheme="majorBidi" w:hAnsiTheme="majorBidi" w:cstheme="majorBidi"/>
        </w:rPr>
        <w:t xml:space="preserve"> iesniedza blakus sūdzību</w:t>
      </w:r>
      <w:r w:rsidR="001874FA" w:rsidRPr="001874FA">
        <w:rPr>
          <w:rFonts w:asciiTheme="majorBidi" w:hAnsiTheme="majorBidi" w:cstheme="majorBidi"/>
        </w:rPr>
        <w:t>.</w:t>
      </w:r>
    </w:p>
    <w:p w14:paraId="03524557" w14:textId="32BD069B" w:rsidR="006837A5" w:rsidRDefault="001874FA" w:rsidP="006B2310">
      <w:pPr>
        <w:spacing w:line="276" w:lineRule="auto"/>
        <w:ind w:firstLine="720"/>
        <w:jc w:val="both"/>
        <w:rPr>
          <w:rFonts w:asciiTheme="majorBidi" w:hAnsiTheme="majorBidi" w:cstheme="majorBidi"/>
        </w:rPr>
      </w:pPr>
      <w:r w:rsidRPr="001874FA">
        <w:rPr>
          <w:rFonts w:asciiTheme="majorBidi" w:hAnsiTheme="majorBidi" w:cstheme="majorBidi"/>
        </w:rPr>
        <w:t>Blakus sūdzībā uzsvērts, ka tiesnesis, neatzīstot Eiropas Cilvēktiesību tiesas spriedumā konstatēto Konvencijas 5.panta 4.punkta pārkāpumu kā atlīdzinājuma</w:t>
      </w:r>
      <w:r>
        <w:rPr>
          <w:rFonts w:asciiTheme="majorBidi" w:hAnsiTheme="majorBidi" w:cstheme="majorBidi"/>
        </w:rPr>
        <w:t xml:space="preserve"> pamatu pieteicējiem</w:t>
      </w:r>
      <w:r w:rsidR="00F26A1F">
        <w:rPr>
          <w:rFonts w:asciiTheme="majorBidi" w:hAnsiTheme="majorBidi" w:cstheme="majorBidi"/>
        </w:rPr>
        <w:t xml:space="preserve"> Atlīdzināšanas likuma kārtībā</w:t>
      </w:r>
      <w:r>
        <w:rPr>
          <w:rFonts w:asciiTheme="majorBidi" w:hAnsiTheme="majorBidi" w:cstheme="majorBidi"/>
        </w:rPr>
        <w:t xml:space="preserve">, ir </w:t>
      </w:r>
      <w:r w:rsidR="00843D75">
        <w:rPr>
          <w:rFonts w:asciiTheme="majorBidi" w:hAnsiTheme="majorBidi" w:cstheme="majorBidi"/>
        </w:rPr>
        <w:t>nonivelējis</w:t>
      </w:r>
      <w:r>
        <w:rPr>
          <w:rFonts w:asciiTheme="majorBidi" w:hAnsiTheme="majorBidi" w:cstheme="majorBidi"/>
        </w:rPr>
        <w:t xml:space="preserve"> Eiropas Cilvēktiesību tiesas sprieduma nozīmi un tādā veidā nepareizi piemērojis Konvencijas 5.panta 5.punktu un 41.pantu, Latvijas Republikas Satversmes (turpmāk – Satversme) 92.pantu, kā arī virkni Atlīdzināšanas likuma </w:t>
      </w:r>
      <w:r w:rsidR="00131FA0">
        <w:rPr>
          <w:rFonts w:asciiTheme="majorBidi" w:hAnsiTheme="majorBidi" w:cstheme="majorBidi"/>
        </w:rPr>
        <w:t>normu</w:t>
      </w:r>
      <w:r>
        <w:rPr>
          <w:rFonts w:asciiTheme="majorBidi" w:hAnsiTheme="majorBidi" w:cstheme="majorBidi"/>
        </w:rPr>
        <w:t>, kas citstarp pieņemtas, lai pildītu arī no Konvencijas izrietošās saistības.</w:t>
      </w:r>
    </w:p>
    <w:p w14:paraId="1D893775" w14:textId="19B2032B" w:rsidR="001874FA" w:rsidRPr="001874FA" w:rsidRDefault="001874FA" w:rsidP="006B2310">
      <w:pPr>
        <w:spacing w:line="276" w:lineRule="auto"/>
        <w:ind w:firstLine="720"/>
        <w:jc w:val="both"/>
        <w:rPr>
          <w:rFonts w:asciiTheme="majorBidi" w:hAnsiTheme="majorBidi" w:cstheme="majorBidi"/>
        </w:rPr>
      </w:pPr>
      <w:r>
        <w:rPr>
          <w:rFonts w:asciiTheme="majorBidi" w:hAnsiTheme="majorBidi" w:cstheme="majorBidi"/>
        </w:rPr>
        <w:t xml:space="preserve">Attiecībā uz </w:t>
      </w:r>
      <w:r w:rsidR="006B2310">
        <w:rPr>
          <w:rFonts w:asciiTheme="majorBidi" w:hAnsiTheme="majorBidi" w:cstheme="majorBidi"/>
        </w:rPr>
        <w:t xml:space="preserve">[pers. A] </w:t>
      </w:r>
      <w:r>
        <w:rPr>
          <w:rFonts w:asciiTheme="majorBidi" w:hAnsiTheme="majorBidi" w:cstheme="majorBidi"/>
        </w:rPr>
        <w:t xml:space="preserve">tiesībām iesniegt pieteikumu blakus sūdzībā norādīts, ka viņa tiesības vērsties tiesā izriet no Atlīdzināšanas likuma 2.panta otrās daļas, kas paredz, ka </w:t>
      </w:r>
      <w:r w:rsidRPr="001874FA">
        <w:rPr>
          <w:rFonts w:asciiTheme="majorBidi" w:hAnsiTheme="majorBidi" w:cstheme="majorBidi"/>
        </w:rPr>
        <w:t>šā likuma noteikumi piemērojami arī šajā likumā tieši neminētos gadījumos, ja kriminālprocesā vai administratīvā pārkāpuma lietvedībā privātpersonai nodarīts kaitējums iestādes, prokuratūras vai tiesas prettiesiskas rīcības dēļ.</w:t>
      </w:r>
    </w:p>
    <w:p w14:paraId="0EBDB65C" w14:textId="77777777" w:rsidR="00874233" w:rsidRPr="00056282" w:rsidRDefault="00874233" w:rsidP="006B2310">
      <w:pPr>
        <w:spacing w:line="276" w:lineRule="auto"/>
        <w:ind w:firstLine="720"/>
        <w:jc w:val="both"/>
        <w:rPr>
          <w:rFonts w:asciiTheme="majorBidi" w:hAnsiTheme="majorBidi" w:cstheme="majorBidi"/>
        </w:rPr>
      </w:pPr>
    </w:p>
    <w:p w14:paraId="2A97DC8C" w14:textId="1CCB0FFA" w:rsidR="006837A5" w:rsidRDefault="001867CE" w:rsidP="006B2310">
      <w:pPr>
        <w:spacing w:line="276" w:lineRule="auto"/>
        <w:jc w:val="center"/>
        <w:rPr>
          <w:rFonts w:asciiTheme="majorBidi" w:hAnsiTheme="majorBidi" w:cstheme="majorBidi"/>
          <w:b/>
          <w:bCs/>
        </w:rPr>
      </w:pPr>
      <w:r>
        <w:rPr>
          <w:rFonts w:asciiTheme="majorBidi" w:hAnsiTheme="majorBidi" w:cstheme="majorBidi"/>
          <w:b/>
          <w:bCs/>
        </w:rPr>
        <w:t>Motīvu daļa</w:t>
      </w:r>
    </w:p>
    <w:p w14:paraId="03DBD4F9" w14:textId="77777777" w:rsidR="001C23FF" w:rsidRDefault="001C23FF" w:rsidP="006B2310">
      <w:pPr>
        <w:spacing w:line="276" w:lineRule="auto"/>
        <w:jc w:val="center"/>
        <w:rPr>
          <w:rFonts w:asciiTheme="majorBidi" w:hAnsiTheme="majorBidi" w:cstheme="majorBidi"/>
          <w:b/>
          <w:bCs/>
        </w:rPr>
      </w:pPr>
    </w:p>
    <w:p w14:paraId="1B6B6259" w14:textId="28389433" w:rsidR="001C23FF" w:rsidRDefault="001C23FF" w:rsidP="006B2310">
      <w:pPr>
        <w:spacing w:line="276" w:lineRule="auto"/>
        <w:jc w:val="center"/>
        <w:rPr>
          <w:rFonts w:asciiTheme="majorBidi" w:hAnsiTheme="majorBidi" w:cstheme="majorBidi"/>
          <w:b/>
          <w:bCs/>
        </w:rPr>
      </w:pPr>
      <w:r>
        <w:rPr>
          <w:rFonts w:asciiTheme="majorBidi" w:hAnsiTheme="majorBidi" w:cstheme="majorBidi"/>
          <w:b/>
          <w:bCs/>
        </w:rPr>
        <w:t>I</w:t>
      </w:r>
    </w:p>
    <w:p w14:paraId="476E7CBC" w14:textId="75AFF856" w:rsidR="001C23FF" w:rsidRPr="001C23FF" w:rsidRDefault="001C23FF" w:rsidP="006B2310">
      <w:pPr>
        <w:spacing w:line="276" w:lineRule="auto"/>
        <w:jc w:val="center"/>
        <w:rPr>
          <w:rFonts w:asciiTheme="majorBidi" w:hAnsiTheme="majorBidi" w:cstheme="majorBidi"/>
          <w:i/>
          <w:iCs/>
        </w:rPr>
      </w:pPr>
      <w:r w:rsidRPr="001C23FF">
        <w:rPr>
          <w:rFonts w:asciiTheme="majorBidi" w:hAnsiTheme="majorBidi" w:cstheme="majorBidi"/>
          <w:i/>
          <w:iCs/>
        </w:rPr>
        <w:t xml:space="preserve">Par </w:t>
      </w:r>
      <w:r w:rsidR="006B2310" w:rsidRPr="006B2310">
        <w:rPr>
          <w:rFonts w:asciiTheme="majorBidi" w:hAnsiTheme="majorBidi" w:cstheme="majorBidi"/>
          <w:i/>
          <w:iCs/>
        </w:rPr>
        <w:t xml:space="preserve">[pers. </w:t>
      </w:r>
      <w:r w:rsidR="006B2310" w:rsidRPr="006B2310">
        <w:rPr>
          <w:rFonts w:asciiTheme="majorBidi" w:hAnsiTheme="majorBidi" w:cstheme="majorBidi"/>
          <w:i/>
          <w:iCs/>
        </w:rPr>
        <w:t>B</w:t>
      </w:r>
      <w:r w:rsidR="006B2310" w:rsidRPr="006B2310">
        <w:rPr>
          <w:rFonts w:asciiTheme="majorBidi" w:hAnsiTheme="majorBidi" w:cstheme="majorBidi"/>
          <w:i/>
          <w:iCs/>
        </w:rPr>
        <w:t>]</w:t>
      </w:r>
    </w:p>
    <w:p w14:paraId="581640E6" w14:textId="77777777" w:rsidR="002C56EF" w:rsidRPr="00056282" w:rsidRDefault="002C56EF" w:rsidP="006B2310">
      <w:pPr>
        <w:spacing w:line="276" w:lineRule="auto"/>
        <w:ind w:firstLine="720"/>
        <w:jc w:val="both"/>
        <w:rPr>
          <w:rFonts w:asciiTheme="majorBidi" w:hAnsiTheme="majorBidi" w:cstheme="majorBidi"/>
        </w:rPr>
      </w:pPr>
    </w:p>
    <w:p w14:paraId="29339A97" w14:textId="79D12075" w:rsidR="001F687C" w:rsidRDefault="00DC2A8B" w:rsidP="006B2310">
      <w:pPr>
        <w:spacing w:line="276" w:lineRule="auto"/>
        <w:ind w:firstLine="720"/>
        <w:jc w:val="both"/>
        <w:rPr>
          <w:rFonts w:asciiTheme="majorBidi" w:hAnsiTheme="majorBidi" w:cstheme="majorBidi"/>
        </w:rPr>
      </w:pPr>
      <w:r>
        <w:rPr>
          <w:rFonts w:asciiTheme="majorBidi" w:hAnsiTheme="majorBidi" w:cstheme="majorBidi"/>
        </w:rPr>
        <w:t>[</w:t>
      </w:r>
      <w:r w:rsidR="00EA600C">
        <w:rPr>
          <w:rFonts w:asciiTheme="majorBidi" w:hAnsiTheme="majorBidi" w:cstheme="majorBidi"/>
        </w:rPr>
        <w:t>7</w:t>
      </w:r>
      <w:r>
        <w:rPr>
          <w:rFonts w:asciiTheme="majorBidi" w:hAnsiTheme="majorBidi" w:cstheme="majorBidi"/>
        </w:rPr>
        <w:t>]</w:t>
      </w:r>
      <w:r w:rsidR="002768F5">
        <w:rPr>
          <w:rFonts w:asciiTheme="majorBidi" w:hAnsiTheme="majorBidi" w:cstheme="majorBidi"/>
        </w:rPr>
        <w:t xml:space="preserve"> Blakus sūdzības tiesvedības ietvaros izšķirams, vai </w:t>
      </w:r>
      <w:r w:rsidR="00DD0BD7">
        <w:rPr>
          <w:rFonts w:asciiTheme="majorBidi" w:hAnsiTheme="majorBidi" w:cstheme="majorBidi"/>
        </w:rPr>
        <w:t xml:space="preserve">pieteicējam </w:t>
      </w:r>
      <w:r w:rsidR="006B2310">
        <w:rPr>
          <w:rFonts w:asciiTheme="majorBidi" w:hAnsiTheme="majorBidi" w:cstheme="majorBidi"/>
        </w:rPr>
        <w:t xml:space="preserve">[pers. </w:t>
      </w:r>
      <w:r w:rsidR="006B2310">
        <w:rPr>
          <w:rFonts w:asciiTheme="majorBidi" w:hAnsiTheme="majorBidi" w:cstheme="majorBidi"/>
        </w:rPr>
        <w:t>B</w:t>
      </w:r>
      <w:r w:rsidR="006B2310">
        <w:rPr>
          <w:rFonts w:asciiTheme="majorBidi" w:hAnsiTheme="majorBidi" w:cstheme="majorBidi"/>
        </w:rPr>
        <w:t xml:space="preserve">] </w:t>
      </w:r>
      <w:r w:rsidR="002768F5">
        <w:rPr>
          <w:rFonts w:asciiTheme="majorBidi" w:hAnsiTheme="majorBidi" w:cstheme="majorBidi"/>
        </w:rPr>
        <w:t xml:space="preserve">ir tiesības </w:t>
      </w:r>
      <w:r w:rsidR="007973C1">
        <w:rPr>
          <w:rFonts w:asciiTheme="majorBidi" w:hAnsiTheme="majorBidi" w:cstheme="majorBidi"/>
        </w:rPr>
        <w:t xml:space="preserve">vērsties tiesā par </w:t>
      </w:r>
      <w:r w:rsidR="002768F5">
        <w:rPr>
          <w:rFonts w:asciiTheme="majorBidi" w:hAnsiTheme="majorBidi" w:cstheme="majorBidi"/>
        </w:rPr>
        <w:t xml:space="preserve">zaudējumu un nemantiskā kaitējuma </w:t>
      </w:r>
      <w:r w:rsidR="002768F5" w:rsidRPr="00EA600C">
        <w:rPr>
          <w:rFonts w:asciiTheme="majorBidi" w:hAnsiTheme="majorBidi" w:cstheme="majorBidi"/>
        </w:rPr>
        <w:t>atlīdzinājumu Atlīdzināšanas likumā noteiktajā kārtībā</w:t>
      </w:r>
      <w:r w:rsidR="007973C1">
        <w:rPr>
          <w:rFonts w:asciiTheme="majorBidi" w:hAnsiTheme="majorBidi" w:cstheme="majorBidi"/>
        </w:rPr>
        <w:t xml:space="preserve"> sakarā ar to, ka ar </w:t>
      </w:r>
      <w:r w:rsidR="002768F5">
        <w:rPr>
          <w:rFonts w:asciiTheme="majorBidi" w:hAnsiTheme="majorBidi" w:cstheme="majorBidi"/>
        </w:rPr>
        <w:t>Eiropas Cilvēktiesību tiesas</w:t>
      </w:r>
      <w:r w:rsidR="002768F5" w:rsidRPr="00EA600C">
        <w:rPr>
          <w:rFonts w:asciiTheme="majorBidi" w:hAnsiTheme="majorBidi" w:cstheme="majorBidi"/>
        </w:rPr>
        <w:t xml:space="preserve"> spriedumu </w:t>
      </w:r>
      <w:r w:rsidR="007973C1">
        <w:rPr>
          <w:rFonts w:asciiTheme="majorBidi" w:hAnsiTheme="majorBidi" w:cstheme="majorBidi"/>
        </w:rPr>
        <w:t xml:space="preserve">attiecībā uz viņam piemērotu apcietinājumu </w:t>
      </w:r>
      <w:r w:rsidR="002768F5" w:rsidRPr="00EA600C">
        <w:rPr>
          <w:rFonts w:asciiTheme="majorBidi" w:hAnsiTheme="majorBidi" w:cstheme="majorBidi"/>
        </w:rPr>
        <w:t>konstatēts Konvencijas 5.panta 4.punkta pārkāpums.</w:t>
      </w:r>
    </w:p>
    <w:p w14:paraId="50CB4967" w14:textId="79B805F5" w:rsidR="001F687C" w:rsidRPr="001F687C" w:rsidRDefault="007973C1" w:rsidP="006B2310">
      <w:pPr>
        <w:spacing w:line="276" w:lineRule="auto"/>
        <w:ind w:firstLine="720"/>
        <w:jc w:val="both"/>
        <w:rPr>
          <w:rFonts w:asciiTheme="majorBidi" w:hAnsiTheme="majorBidi" w:cstheme="majorBidi"/>
        </w:rPr>
      </w:pPr>
      <w:r>
        <w:rPr>
          <w:rFonts w:asciiTheme="majorBidi" w:hAnsiTheme="majorBidi" w:cstheme="majorBidi"/>
        </w:rPr>
        <w:t xml:space="preserve">Jautājumi par tiesībām vērsties tiesā ar atlīdzinājuma prasījumu pēc konkrētā Eiropas Cilvēktiesību tiesas sprieduma jau </w:t>
      </w:r>
      <w:r w:rsidR="00D96E02">
        <w:rPr>
          <w:rFonts w:asciiTheme="majorBidi" w:hAnsiTheme="majorBidi" w:cstheme="majorBidi"/>
        </w:rPr>
        <w:t>ir vērtēti</w:t>
      </w:r>
      <w:r w:rsidR="001F687C">
        <w:rPr>
          <w:rFonts w:asciiTheme="majorBidi" w:hAnsiTheme="majorBidi" w:cstheme="majorBidi"/>
        </w:rPr>
        <w:t xml:space="preserve"> Senāta 2025.gada 16.septembra lēmumā lietā Nr. SKA-771/2025, </w:t>
      </w:r>
      <w:hyperlink r:id="rId10" w:history="1">
        <w:r w:rsidR="002777DE" w:rsidRPr="002777DE">
          <w:rPr>
            <w:rStyle w:val="Hyperlink"/>
            <w:rFonts w:asciiTheme="majorBidi" w:hAnsiTheme="majorBidi" w:cstheme="majorBidi"/>
          </w:rPr>
          <w:t>ECLI:LV:AT:2025:0916.SKA077125.3.L</w:t>
        </w:r>
      </w:hyperlink>
      <w:r w:rsidR="001F687C">
        <w:rPr>
          <w:rFonts w:asciiTheme="majorBidi" w:hAnsiTheme="majorBidi" w:cstheme="majorBidi"/>
        </w:rPr>
        <w:t>, un 2026.gada 17.februāra lēmumā lietā Nr. SKA-198/2026</w:t>
      </w:r>
      <w:r w:rsidR="002777DE">
        <w:rPr>
          <w:rFonts w:asciiTheme="majorBidi" w:hAnsiTheme="majorBidi" w:cstheme="majorBidi"/>
        </w:rPr>
        <w:t xml:space="preserve">, </w:t>
      </w:r>
      <w:hyperlink r:id="rId11" w:history="1">
        <w:r w:rsidR="002777DE" w:rsidRPr="002777DE">
          <w:rPr>
            <w:rStyle w:val="Hyperlink"/>
            <w:rFonts w:asciiTheme="majorBidi" w:hAnsiTheme="majorBidi" w:cstheme="majorBidi"/>
          </w:rPr>
          <w:t>ECLI:LV:AT:2026:0217.SKA019826.3.L</w:t>
        </w:r>
      </w:hyperlink>
      <w:r w:rsidR="001F687C">
        <w:rPr>
          <w:rFonts w:asciiTheme="majorBidi" w:hAnsiTheme="majorBidi" w:cstheme="majorBidi"/>
        </w:rPr>
        <w:t xml:space="preserve">. Līdz ar to Senāts šajā lēmumā </w:t>
      </w:r>
      <w:r w:rsidR="001F687C" w:rsidRPr="005A30B9">
        <w:rPr>
          <w:i/>
        </w:rPr>
        <w:t>mutatis mutandis</w:t>
      </w:r>
      <w:r w:rsidR="001F687C">
        <w:t xml:space="preserve"> (mainot, ja nepieciešams) izmantos iepriekš minētajos lēmumos ietvertās atziņas.</w:t>
      </w:r>
    </w:p>
    <w:p w14:paraId="76817458" w14:textId="77777777" w:rsidR="00753E7C" w:rsidRDefault="00753E7C" w:rsidP="006B2310">
      <w:pPr>
        <w:spacing w:line="276" w:lineRule="auto"/>
        <w:jc w:val="both"/>
        <w:rPr>
          <w:rFonts w:asciiTheme="majorBidi" w:hAnsiTheme="majorBidi" w:cstheme="majorBidi"/>
        </w:rPr>
      </w:pPr>
    </w:p>
    <w:p w14:paraId="317619A1" w14:textId="2E509964" w:rsidR="00753E7C" w:rsidRPr="00753E7C" w:rsidRDefault="00753E7C" w:rsidP="006B2310">
      <w:pPr>
        <w:spacing w:line="276" w:lineRule="auto"/>
        <w:ind w:firstLine="720"/>
        <w:jc w:val="both"/>
        <w:rPr>
          <w:rFonts w:asciiTheme="majorBidi" w:hAnsiTheme="majorBidi" w:cstheme="majorBidi"/>
          <w:i/>
          <w:iCs/>
        </w:rPr>
      </w:pPr>
      <w:r w:rsidRPr="00753E7C">
        <w:rPr>
          <w:rFonts w:asciiTheme="majorBidi" w:hAnsiTheme="majorBidi" w:cstheme="majorBidi"/>
          <w:i/>
          <w:iCs/>
        </w:rPr>
        <w:t>Par prasījumu atlīdzināt zaudējumus</w:t>
      </w:r>
    </w:p>
    <w:p w14:paraId="7AD874F7" w14:textId="77777777" w:rsidR="00753E7C" w:rsidRDefault="00753E7C" w:rsidP="006B2310">
      <w:pPr>
        <w:spacing w:line="276" w:lineRule="auto"/>
        <w:ind w:firstLine="720"/>
        <w:jc w:val="both"/>
        <w:rPr>
          <w:rFonts w:asciiTheme="majorBidi" w:hAnsiTheme="majorBidi" w:cstheme="majorBidi"/>
        </w:rPr>
      </w:pPr>
    </w:p>
    <w:p w14:paraId="6FD5CF2E" w14:textId="5FF49152" w:rsidR="00683FD0" w:rsidRPr="00683FD0" w:rsidRDefault="00753E7C" w:rsidP="006B2310">
      <w:pPr>
        <w:spacing w:line="276" w:lineRule="auto"/>
        <w:ind w:firstLine="720"/>
        <w:jc w:val="both"/>
        <w:rPr>
          <w:rFonts w:asciiTheme="majorBidi" w:hAnsiTheme="majorBidi" w:cstheme="majorBidi"/>
        </w:rPr>
      </w:pPr>
      <w:r>
        <w:rPr>
          <w:rFonts w:asciiTheme="majorBidi" w:hAnsiTheme="majorBidi" w:cstheme="majorBidi"/>
        </w:rPr>
        <w:t>[8]</w:t>
      </w:r>
      <w:r w:rsidR="00683FD0">
        <w:rPr>
          <w:rFonts w:asciiTheme="majorBidi" w:hAnsiTheme="majorBidi" w:cstheme="majorBidi"/>
        </w:rPr>
        <w:t> </w:t>
      </w:r>
      <w:r w:rsidR="00683FD0" w:rsidRPr="00683FD0">
        <w:rPr>
          <w:rFonts w:asciiTheme="majorBidi" w:hAnsiTheme="majorBidi" w:cstheme="majorBidi"/>
        </w:rPr>
        <w:t>Atlīdzināšanas likuma 1.pants vispārīgi norāda likuma mērķi – nodrošināt privātpersonai Satversmē noteiktās tiesības uz atbilstīgu atlīdzinājumu par zaudējumu vai nemantisko kaitējumu, kas tai nodarīts kriminālprocesā vai administratīvā pārkāpuma lietvedībā iestādes, prokuratūras vai tiesas prettiesiskas vai nepamatotas rīcības dēļ.</w:t>
      </w:r>
    </w:p>
    <w:p w14:paraId="787A1404" w14:textId="611C9330" w:rsidR="00683FD0" w:rsidRPr="00683FD0" w:rsidRDefault="00683FD0" w:rsidP="006B2310">
      <w:pPr>
        <w:spacing w:line="276" w:lineRule="auto"/>
        <w:ind w:firstLine="720"/>
        <w:jc w:val="both"/>
        <w:rPr>
          <w:rFonts w:asciiTheme="majorBidi" w:hAnsiTheme="majorBidi" w:cstheme="majorBidi"/>
        </w:rPr>
      </w:pPr>
      <w:r w:rsidRPr="00683FD0">
        <w:rPr>
          <w:rFonts w:asciiTheme="majorBidi" w:hAnsiTheme="majorBidi" w:cstheme="majorBidi"/>
        </w:rPr>
        <w:t xml:space="preserve">Atlīdzināšanas likuma 4. un 5.pantā ir uzskaitīts, kas var būt tiesiskais pamats kaitējuma atlīdzināšanai gan attiecībā uz kriminālprocesā, gan attiecībā uz administratīvā pārkāpuma lietvedībā nodarīto kaitējumu. Savukārt </w:t>
      </w:r>
      <w:bookmarkStart w:id="0" w:name="_Hlk222911042"/>
      <w:r w:rsidRPr="00683FD0">
        <w:rPr>
          <w:rFonts w:asciiTheme="majorBidi" w:hAnsiTheme="majorBidi" w:cstheme="majorBidi"/>
        </w:rPr>
        <w:t xml:space="preserve">2.panta otrajā daļā ir paredzēts, ka šī likuma noteikumi piemērojami arī šajā likumā tieši neminētos gadījumos, ja kriminālprocesā vai administratīvā pārkāpuma lietvedībā privātpersonai nodarīts kaitējums iestādes, prokuratūras vai tiesas prettiesiskas rīcības dēļ. </w:t>
      </w:r>
    </w:p>
    <w:bookmarkEnd w:id="0"/>
    <w:p w14:paraId="7E5EC47A" w14:textId="77777777" w:rsidR="00683FD0" w:rsidRPr="00683FD0" w:rsidRDefault="00683FD0" w:rsidP="006B2310">
      <w:pPr>
        <w:spacing w:line="276" w:lineRule="auto"/>
        <w:ind w:firstLine="720"/>
        <w:jc w:val="both"/>
        <w:rPr>
          <w:rFonts w:asciiTheme="majorBidi" w:hAnsiTheme="majorBidi" w:cstheme="majorBidi"/>
        </w:rPr>
      </w:pPr>
      <w:r w:rsidRPr="00683FD0">
        <w:rPr>
          <w:rFonts w:asciiTheme="majorBidi" w:hAnsiTheme="majorBidi" w:cstheme="majorBidi"/>
        </w:rPr>
        <w:t>Tātad likums ir vērsts uz to, lai pilnībā un atbilstoši Satversmes 92.panta trešajam teikumam nodrošinātu personas tiesības uz atlīdzinājumu par kaitējumu, kas tai nodarīts viena vai otra veida procesā.</w:t>
      </w:r>
    </w:p>
    <w:p w14:paraId="14A4733C" w14:textId="77777777" w:rsidR="00683FD0" w:rsidRPr="00683FD0" w:rsidRDefault="00683FD0" w:rsidP="006B2310">
      <w:pPr>
        <w:spacing w:line="276" w:lineRule="auto"/>
        <w:ind w:firstLine="720"/>
        <w:jc w:val="both"/>
        <w:rPr>
          <w:rFonts w:asciiTheme="majorBidi" w:hAnsiTheme="majorBidi" w:cstheme="majorBidi"/>
        </w:rPr>
      </w:pPr>
    </w:p>
    <w:p w14:paraId="03E58278" w14:textId="2BB0D994" w:rsidR="00683FD0" w:rsidRPr="00683FD0" w:rsidRDefault="00683FD0" w:rsidP="006B2310">
      <w:pPr>
        <w:spacing w:line="276" w:lineRule="auto"/>
        <w:ind w:firstLine="720"/>
        <w:jc w:val="both"/>
        <w:rPr>
          <w:rFonts w:asciiTheme="majorBidi" w:hAnsiTheme="majorBidi" w:cstheme="majorBidi"/>
        </w:rPr>
      </w:pPr>
      <w:r w:rsidRPr="00683FD0">
        <w:rPr>
          <w:rFonts w:asciiTheme="majorBidi" w:hAnsiTheme="majorBidi" w:cstheme="majorBidi"/>
        </w:rPr>
        <w:t>[9] Persona var prasīt kaitējuma atlīdzināšanu, ja ir konstatēta prettiesiska vai nepamatota rīcība. Prettiesiska rīcība ir tāda, ar kuru pārkāptas tiesību normas, un to konstatē ar iestādes, kriminālprocesā pilnvarotas amatpersonas vai tiesas nolēmumu (</w:t>
      </w:r>
      <w:r w:rsidRPr="00683FD0">
        <w:rPr>
          <w:rFonts w:asciiTheme="majorBidi" w:hAnsiTheme="majorBidi" w:cstheme="majorBidi"/>
          <w:i/>
          <w:iCs/>
        </w:rPr>
        <w:t>Atlīdzināšanas likuma 6.panta pirmā daļa</w:t>
      </w:r>
      <w:r w:rsidRPr="00683FD0">
        <w:rPr>
          <w:rFonts w:asciiTheme="majorBidi" w:hAnsiTheme="majorBidi" w:cstheme="majorBidi"/>
        </w:rPr>
        <w:t>). Savukārt nepamatota rīcība ir tāda, kura lēmuma pieņemšanas brīdī atbilda tiesību normām, taču vēlāk iestājās kāds no šajā likumā norādītajiem kaitējuma atlīdzinājuma tiesiskajiem pamatiem (</w:t>
      </w:r>
      <w:r w:rsidRPr="00683FD0">
        <w:rPr>
          <w:rFonts w:asciiTheme="majorBidi" w:hAnsiTheme="majorBidi" w:cstheme="majorBidi"/>
          <w:i/>
          <w:iCs/>
        </w:rPr>
        <w:t>Atlīdzināšanas likuma 6.panta otrā daļa</w:t>
      </w:r>
      <w:r w:rsidRPr="00683FD0">
        <w:rPr>
          <w:rFonts w:asciiTheme="majorBidi" w:hAnsiTheme="majorBidi" w:cstheme="majorBidi"/>
        </w:rPr>
        <w:t>).</w:t>
      </w:r>
    </w:p>
    <w:p w14:paraId="16CAD584" w14:textId="00623944" w:rsidR="00683FD0" w:rsidRDefault="00DD0BD7" w:rsidP="006B2310">
      <w:pPr>
        <w:spacing w:line="276" w:lineRule="auto"/>
        <w:ind w:firstLine="720"/>
        <w:jc w:val="both"/>
        <w:rPr>
          <w:rFonts w:asciiTheme="majorBidi" w:hAnsiTheme="majorBidi" w:cstheme="majorBidi"/>
        </w:rPr>
      </w:pPr>
      <w:r>
        <w:rPr>
          <w:rFonts w:asciiTheme="majorBidi" w:hAnsiTheme="majorBidi" w:cstheme="majorBidi"/>
        </w:rPr>
        <w:t xml:space="preserve">Pieteicējs </w:t>
      </w:r>
      <w:r w:rsidR="00683FD0" w:rsidRPr="00683FD0">
        <w:rPr>
          <w:rFonts w:asciiTheme="majorBidi" w:hAnsiTheme="majorBidi" w:cstheme="majorBidi"/>
        </w:rPr>
        <w:t>prasa atlīdzinājumu par prettiesisku rīcību, kas konstatēta ar Eiropas Cilvēktiesību tiesas spriedumu.</w:t>
      </w:r>
    </w:p>
    <w:p w14:paraId="74D52D4E" w14:textId="77777777" w:rsidR="00FD41DF" w:rsidRDefault="00FD41DF" w:rsidP="006B2310">
      <w:pPr>
        <w:spacing w:line="276" w:lineRule="auto"/>
        <w:ind w:firstLine="720"/>
        <w:jc w:val="both"/>
        <w:rPr>
          <w:rFonts w:asciiTheme="majorBidi" w:hAnsiTheme="majorBidi" w:cstheme="majorBidi"/>
        </w:rPr>
      </w:pPr>
    </w:p>
    <w:p w14:paraId="4D86CE14" w14:textId="461C8BD7" w:rsidR="00FD41DF" w:rsidRPr="00FD41DF" w:rsidRDefault="00FD41DF" w:rsidP="006B2310">
      <w:pPr>
        <w:spacing w:line="276" w:lineRule="auto"/>
        <w:ind w:firstLine="720"/>
        <w:jc w:val="both"/>
        <w:rPr>
          <w:rFonts w:asciiTheme="majorBidi" w:hAnsiTheme="majorBidi" w:cstheme="majorBidi"/>
        </w:rPr>
      </w:pPr>
      <w:r>
        <w:rPr>
          <w:rFonts w:asciiTheme="majorBidi" w:hAnsiTheme="majorBidi" w:cstheme="majorBidi"/>
        </w:rPr>
        <w:t>[10] </w:t>
      </w:r>
      <w:r w:rsidRPr="00FD41DF">
        <w:rPr>
          <w:rFonts w:asciiTheme="majorBidi" w:hAnsiTheme="majorBidi" w:cstheme="majorBidi"/>
        </w:rPr>
        <w:t xml:space="preserve">Likuma „Par 1950.gada 4.novembra Eiropas Cilvēka tiesību un pamatbrīvību aizsardzības konvenciju un tās 1., 2., 4., 7. un 11.protokolu” 4.pantā noteikts: saskaņā ar Konvencijas 46.pantu Latvijas Republika trīs gadus pēc ratifikācijas raksta deponēšanas un uz augsto līgumslēdzēju pušu savstarpējas vienošanās pamata atzīst par obligātu </w:t>
      </w:r>
      <w:r w:rsidRPr="00FD41DF">
        <w:rPr>
          <w:rFonts w:asciiTheme="majorBidi" w:hAnsiTheme="majorBidi" w:cstheme="majorBidi"/>
          <w:i/>
          <w:iCs/>
        </w:rPr>
        <w:t>ipso facto</w:t>
      </w:r>
      <w:r w:rsidRPr="00FD41DF">
        <w:rPr>
          <w:rFonts w:asciiTheme="majorBidi" w:hAnsiTheme="majorBidi" w:cstheme="majorBidi"/>
        </w:rPr>
        <w:t xml:space="preserve"> bez īpašas vienošanās par to Eiropas Cilvēktiesību tiesas jurisdikciju visos jautājumos, kas attiecas uz šīs Konvencijas un tās Protokolu (tajā skaitā 4.protokola 1.–4.panta un 7.protokola 1.–5.panta) interpretāciju un pielietojumu. </w:t>
      </w:r>
    </w:p>
    <w:p w14:paraId="479CA98F" w14:textId="77777777" w:rsidR="00FD41DF" w:rsidRPr="00FD41DF" w:rsidRDefault="00FD41DF" w:rsidP="006B2310">
      <w:pPr>
        <w:spacing w:line="276" w:lineRule="auto"/>
        <w:ind w:firstLine="720"/>
        <w:jc w:val="both"/>
        <w:rPr>
          <w:rFonts w:asciiTheme="majorBidi" w:hAnsiTheme="majorBidi" w:cstheme="majorBidi"/>
        </w:rPr>
      </w:pPr>
      <w:r w:rsidRPr="00FD41DF">
        <w:rPr>
          <w:rFonts w:asciiTheme="majorBidi" w:hAnsiTheme="majorBidi" w:cstheme="majorBidi"/>
        </w:rPr>
        <w:t xml:space="preserve">Konvencijas 46.panta 1.punktā (reakcijā, kāda bija spēkā tad, kad Latvija ratificēja Konvenciju) bija noteikts: jebkura no Augstajām Līgumslēdzējām Pusēm var jebkurā laikā deklarēt, ka tā atzīst Eiropas Cilvēktiesību tiesas jurisdikciju visos jautājumos, kas attiecas uz šīs Konvencijas tulkojumu un pielietojumu, par obligātu </w:t>
      </w:r>
      <w:r w:rsidRPr="00FD41DF">
        <w:rPr>
          <w:rFonts w:asciiTheme="majorBidi" w:hAnsiTheme="majorBidi" w:cstheme="majorBidi"/>
          <w:i/>
          <w:iCs/>
        </w:rPr>
        <w:t>ipso facto</w:t>
      </w:r>
      <w:r w:rsidRPr="00FD41DF">
        <w:rPr>
          <w:rFonts w:asciiTheme="majorBidi" w:hAnsiTheme="majorBidi" w:cstheme="majorBidi"/>
        </w:rPr>
        <w:t xml:space="preserve"> un bez īpašas vienošanās par to. Šobrīd Konvencijas 46.panta 1.punkts noteic: Augstās Līgumslēdzējas Puses apņemas ievērot galīgos Eiropas Cilvēktiesību tiesas spriedumus ikvienā lietā, kurā tās ir puses. </w:t>
      </w:r>
    </w:p>
    <w:p w14:paraId="6021BA0D" w14:textId="77777777" w:rsidR="00FD41DF" w:rsidRPr="00FD41DF" w:rsidRDefault="00FD41DF" w:rsidP="006B2310">
      <w:pPr>
        <w:spacing w:line="276" w:lineRule="auto"/>
        <w:ind w:firstLine="720"/>
        <w:jc w:val="both"/>
        <w:rPr>
          <w:rFonts w:asciiTheme="majorBidi" w:hAnsiTheme="majorBidi" w:cstheme="majorBidi"/>
        </w:rPr>
      </w:pPr>
      <w:r w:rsidRPr="00FD41DF">
        <w:rPr>
          <w:rFonts w:asciiTheme="majorBidi" w:hAnsiTheme="majorBidi" w:cstheme="majorBidi"/>
        </w:rPr>
        <w:t>Konvencijas 46.pants attiecas uz katru spriedumu, kurā Eiropas Cilvēktiesību tiesa ir konstatējusi Konvencijas pārkāpumu. Tas nozīmē, ka tiesas konstatējums uzliek atbildētājai valstij juridisku pienākumu izbeigt pārkāpumu un atlīdzināt tā sekas. Tiesa ir norādījusi: visa Konvencijas struktūra balstās uz vispārēju pieņēmumu, ka dalībvalstu publiskās iestādes rīkojas labticīgi. Šī struktūra ietver uzraudzības procedūru, arī spriedumu izpildei jābūt labticīgai un jānotiek veidā, kas ir saderīgs ar sprieduma secinājumiem un garu. Galīgā, saistošā tiesas lēmuma neizpilde, visticamāk, radītu situācijas, kas nav savienojamas ar tiesiskuma principu, ko līgumslēdzējas valstis apņēmās ievērot, ratificējot Konvenciju (</w:t>
      </w:r>
      <w:r w:rsidRPr="00FD41DF">
        <w:rPr>
          <w:rFonts w:asciiTheme="majorBidi" w:hAnsiTheme="majorBidi" w:cstheme="majorBidi"/>
          <w:i/>
          <w:iCs/>
        </w:rPr>
        <w:t>Eiropas Cilvēktiesību tiesas (Lielā palāta) 2022.gada 11.jūlija sprieduma lietā „Kavala v. Türkiye”, iesnieguma Nr. </w:t>
      </w:r>
      <w:hyperlink r:id="rId12" w:history="1">
        <w:r w:rsidRPr="00FD41DF">
          <w:rPr>
            <w:rStyle w:val="Hyperlink"/>
            <w:rFonts w:asciiTheme="majorBidi" w:hAnsiTheme="majorBidi" w:cstheme="majorBidi"/>
            <w:i/>
            <w:iCs/>
          </w:rPr>
          <w:t>28749/18</w:t>
        </w:r>
      </w:hyperlink>
      <w:r w:rsidRPr="00FD41DF">
        <w:rPr>
          <w:rFonts w:asciiTheme="majorBidi" w:hAnsiTheme="majorBidi" w:cstheme="majorBidi"/>
          <w:i/>
          <w:iCs/>
        </w:rPr>
        <w:t>, 169.–170.punkts</w:t>
      </w:r>
      <w:r w:rsidRPr="00FD41DF">
        <w:rPr>
          <w:rFonts w:asciiTheme="majorBidi" w:hAnsiTheme="majorBidi" w:cstheme="majorBidi"/>
        </w:rPr>
        <w:t xml:space="preserve">). </w:t>
      </w:r>
    </w:p>
    <w:p w14:paraId="08EB5C2B" w14:textId="77777777" w:rsidR="00FD41DF" w:rsidRPr="00FD41DF" w:rsidRDefault="00FD41DF" w:rsidP="006B2310">
      <w:pPr>
        <w:spacing w:line="276" w:lineRule="auto"/>
        <w:ind w:firstLine="720"/>
        <w:jc w:val="both"/>
        <w:rPr>
          <w:rFonts w:asciiTheme="majorBidi" w:hAnsiTheme="majorBidi" w:cstheme="majorBidi"/>
        </w:rPr>
      </w:pPr>
      <w:r w:rsidRPr="00FD41DF">
        <w:rPr>
          <w:rFonts w:asciiTheme="majorBidi" w:hAnsiTheme="majorBidi" w:cstheme="majorBidi"/>
        </w:rPr>
        <w:t>Tātad Eiropas Cilvēktiesību tiesas spriedumam, kas ir stājies spēkā, ir saistošs spēks. Tā neievērošana būtu pretēja tiesiskuma principam. Valstīm jārespektē sprieduma secinājumi par pieļautajiem cilvēktiesību pārkāpumiem, jāizpilda spriedumā noteiktie pienākumi un jānovērš pārkāpuma sekas.</w:t>
      </w:r>
    </w:p>
    <w:p w14:paraId="0D297B87" w14:textId="483B901F" w:rsidR="00FD41DF" w:rsidRDefault="00FD41DF" w:rsidP="006B2310">
      <w:pPr>
        <w:spacing w:line="276" w:lineRule="auto"/>
        <w:ind w:firstLine="720"/>
        <w:jc w:val="both"/>
        <w:rPr>
          <w:rFonts w:asciiTheme="majorBidi" w:hAnsiTheme="majorBidi" w:cstheme="majorBidi"/>
        </w:rPr>
      </w:pPr>
    </w:p>
    <w:p w14:paraId="59DBE08B" w14:textId="73DB78D9" w:rsidR="00683FD0" w:rsidRDefault="00FD41DF" w:rsidP="006B2310">
      <w:pPr>
        <w:spacing w:line="276" w:lineRule="auto"/>
        <w:ind w:firstLine="720"/>
        <w:jc w:val="both"/>
        <w:rPr>
          <w:rFonts w:asciiTheme="majorBidi" w:hAnsiTheme="majorBidi" w:cstheme="majorBidi"/>
        </w:rPr>
      </w:pPr>
      <w:r>
        <w:rPr>
          <w:rFonts w:asciiTheme="majorBidi" w:hAnsiTheme="majorBidi" w:cstheme="majorBidi"/>
        </w:rPr>
        <w:t>[11]</w:t>
      </w:r>
      <w:r w:rsidR="005A3518">
        <w:rPr>
          <w:rFonts w:asciiTheme="majorBidi" w:hAnsiTheme="majorBidi" w:cstheme="majorBidi"/>
        </w:rPr>
        <w:t> </w:t>
      </w:r>
      <w:r w:rsidR="00683FD0" w:rsidRPr="00683FD0">
        <w:rPr>
          <w:rFonts w:asciiTheme="majorBidi" w:hAnsiTheme="majorBidi" w:cstheme="majorBidi"/>
        </w:rPr>
        <w:t>Ievērojot Konvencijas saistošo raksturu un tiešo piemērojamību Latvijā, Konvencijas 5.panta 5.punktā garantētās tiesības uz atlīdzinājumu ir interpretējamas tādā veidā, ka Eiropas Cilvēktiesību tiesas spriedums, kurā konstatēts Latvijas iestādes, prokuratūras vai tiesas rīcības prettiesiskums, ir viens no Atlīdzināšanas likuma 6.panta pirmajā daļā norādītajiem rīcības prettiesiskumu konstatējošiem nolēmumiem. Tas atbilst Eiropas Cilvēktiesību tiesas norādītajam, ka Konvencijas 5.panta 5.punkta kontekstā Konvencijas pārkāpumam jābūt konstatētam vai nu ar nacionālās iestādes, vai Eiropas Cilvēktiesību tiesas nolēmumu (</w:t>
      </w:r>
      <w:r w:rsidR="003821DF" w:rsidRPr="00470CF0">
        <w:rPr>
          <w:rFonts w:asciiTheme="majorBidi" w:hAnsiTheme="majorBidi" w:cstheme="majorBidi"/>
          <w:i/>
          <w:iCs/>
        </w:rPr>
        <w:t>Eiropas Cilvēktiesību tiesas</w:t>
      </w:r>
      <w:r w:rsidR="003821DF">
        <w:rPr>
          <w:rFonts w:asciiTheme="majorBidi" w:hAnsiTheme="majorBidi" w:cstheme="majorBidi"/>
          <w:i/>
          <w:iCs/>
        </w:rPr>
        <w:t xml:space="preserve"> (Lielā palāta)</w:t>
      </w:r>
      <w:r w:rsidR="003821DF" w:rsidRPr="00470CF0">
        <w:rPr>
          <w:rFonts w:asciiTheme="majorBidi" w:hAnsiTheme="majorBidi" w:cstheme="majorBidi"/>
          <w:i/>
          <w:iCs/>
        </w:rPr>
        <w:t xml:space="preserve"> 2002.gada</w:t>
      </w:r>
      <w:r w:rsidR="003821DF">
        <w:rPr>
          <w:rFonts w:asciiTheme="majorBidi" w:hAnsiTheme="majorBidi" w:cstheme="majorBidi"/>
          <w:i/>
          <w:iCs/>
        </w:rPr>
        <w:t> </w:t>
      </w:r>
      <w:r w:rsidR="003821DF" w:rsidRPr="00470CF0">
        <w:rPr>
          <w:rFonts w:asciiTheme="majorBidi" w:hAnsiTheme="majorBidi" w:cstheme="majorBidi"/>
          <w:i/>
          <w:iCs/>
        </w:rPr>
        <w:t>18.decembra sprieduma lietā „</w:t>
      </w:r>
      <w:r w:rsidR="003821DF" w:rsidRPr="00BF1A50">
        <w:rPr>
          <w:rFonts w:asciiTheme="majorBidi" w:hAnsiTheme="majorBidi" w:cstheme="majorBidi"/>
          <w:i/>
          <w:iCs/>
        </w:rPr>
        <w:t xml:space="preserve">N.C. v. </w:t>
      </w:r>
      <w:r w:rsidR="003821DF" w:rsidRPr="00B77CAC">
        <w:rPr>
          <w:rFonts w:asciiTheme="majorBidi" w:hAnsiTheme="majorBidi" w:cstheme="majorBidi"/>
          <w:i/>
          <w:iCs/>
        </w:rPr>
        <w:t>Italy</w:t>
      </w:r>
      <w:r w:rsidR="003821DF" w:rsidRPr="00470CF0">
        <w:rPr>
          <w:rFonts w:asciiTheme="majorBidi" w:hAnsiTheme="majorBidi" w:cstheme="majorBidi"/>
          <w:i/>
          <w:iCs/>
        </w:rPr>
        <w:t>”, iesniegum</w:t>
      </w:r>
      <w:r w:rsidR="003821DF">
        <w:rPr>
          <w:rFonts w:asciiTheme="majorBidi" w:hAnsiTheme="majorBidi" w:cstheme="majorBidi"/>
          <w:i/>
          <w:iCs/>
        </w:rPr>
        <w:t>a</w:t>
      </w:r>
      <w:r w:rsidR="003821DF" w:rsidRPr="00470CF0">
        <w:rPr>
          <w:rFonts w:asciiTheme="majorBidi" w:hAnsiTheme="majorBidi" w:cstheme="majorBidi"/>
          <w:i/>
          <w:iCs/>
        </w:rPr>
        <w:t xml:space="preserve"> Nr.</w:t>
      </w:r>
      <w:r w:rsidR="003821DF">
        <w:rPr>
          <w:rFonts w:asciiTheme="majorBidi" w:hAnsiTheme="majorBidi" w:cstheme="majorBidi"/>
          <w:i/>
          <w:iCs/>
        </w:rPr>
        <w:t> </w:t>
      </w:r>
      <w:hyperlink r:id="rId13" w:history="1">
        <w:r w:rsidR="003821DF" w:rsidRPr="00CB5E45">
          <w:rPr>
            <w:rStyle w:val="Hyperlink"/>
            <w:rFonts w:asciiTheme="majorBidi" w:hAnsiTheme="majorBidi" w:cstheme="majorBidi"/>
            <w:i/>
            <w:iCs/>
          </w:rPr>
          <w:t>24952/94</w:t>
        </w:r>
      </w:hyperlink>
      <w:r w:rsidR="003821DF" w:rsidRPr="00470CF0">
        <w:rPr>
          <w:rFonts w:asciiTheme="majorBidi" w:hAnsiTheme="majorBidi" w:cstheme="majorBidi"/>
          <w:i/>
          <w:iCs/>
        </w:rPr>
        <w:t>, 49.punkts, 2004.gada 8.jūlija sprieduma lietā „</w:t>
      </w:r>
      <w:r w:rsidR="003821DF" w:rsidRPr="00740468">
        <w:rPr>
          <w:rFonts w:asciiTheme="majorBidi" w:hAnsiTheme="majorBidi" w:cstheme="majorBidi"/>
          <w:i/>
          <w:iCs/>
        </w:rPr>
        <w:t>Vachev v. Bulgaria</w:t>
      </w:r>
      <w:r w:rsidR="003821DF" w:rsidRPr="00470CF0">
        <w:rPr>
          <w:rFonts w:asciiTheme="majorBidi" w:hAnsiTheme="majorBidi" w:cstheme="majorBidi"/>
          <w:i/>
          <w:iCs/>
        </w:rPr>
        <w:t>”, iesniegum</w:t>
      </w:r>
      <w:r w:rsidR="003821DF">
        <w:rPr>
          <w:rFonts w:asciiTheme="majorBidi" w:hAnsiTheme="majorBidi" w:cstheme="majorBidi"/>
          <w:i/>
          <w:iCs/>
        </w:rPr>
        <w:t>a</w:t>
      </w:r>
      <w:r w:rsidR="003821DF" w:rsidRPr="00470CF0">
        <w:rPr>
          <w:rFonts w:asciiTheme="majorBidi" w:hAnsiTheme="majorBidi" w:cstheme="majorBidi"/>
          <w:i/>
          <w:iCs/>
        </w:rPr>
        <w:t xml:space="preserve"> Nr.</w:t>
      </w:r>
      <w:r w:rsidR="003821DF">
        <w:rPr>
          <w:rFonts w:asciiTheme="majorBidi" w:hAnsiTheme="majorBidi" w:cstheme="majorBidi"/>
          <w:i/>
          <w:iCs/>
        </w:rPr>
        <w:t> </w:t>
      </w:r>
      <w:hyperlink r:id="rId14" w:history="1">
        <w:r w:rsidR="003821DF" w:rsidRPr="00740468">
          <w:rPr>
            <w:rStyle w:val="Hyperlink"/>
            <w:rFonts w:asciiTheme="majorBidi" w:hAnsiTheme="majorBidi" w:cstheme="majorBidi"/>
            <w:i/>
            <w:iCs/>
          </w:rPr>
          <w:t>42987/98</w:t>
        </w:r>
      </w:hyperlink>
      <w:r w:rsidR="003821DF" w:rsidRPr="00470CF0">
        <w:rPr>
          <w:rFonts w:asciiTheme="majorBidi" w:hAnsiTheme="majorBidi" w:cstheme="majorBidi"/>
          <w:i/>
          <w:iCs/>
        </w:rPr>
        <w:t>, 78.punkts</w:t>
      </w:r>
      <w:r w:rsidR="00683FD0" w:rsidRPr="00683FD0">
        <w:rPr>
          <w:rFonts w:asciiTheme="majorBidi" w:hAnsiTheme="majorBidi" w:cstheme="majorBidi"/>
        </w:rPr>
        <w:t>).</w:t>
      </w:r>
    </w:p>
    <w:p w14:paraId="0D6F5827" w14:textId="18B341DF" w:rsidR="005A3518" w:rsidRPr="00683FD0" w:rsidRDefault="005A3518" w:rsidP="006B2310">
      <w:pPr>
        <w:spacing w:line="276" w:lineRule="auto"/>
        <w:ind w:firstLine="720"/>
        <w:jc w:val="both"/>
        <w:rPr>
          <w:rFonts w:asciiTheme="majorBidi" w:hAnsiTheme="majorBidi" w:cstheme="majorBidi"/>
        </w:rPr>
      </w:pPr>
      <w:r w:rsidRPr="00683FD0">
        <w:rPr>
          <w:rFonts w:asciiTheme="majorBidi" w:hAnsiTheme="majorBidi" w:cstheme="majorBidi"/>
        </w:rPr>
        <w:t xml:space="preserve">Konvencijas 5.panta 5.punkts paredz, ka ikvienai personai, kas aizturēta vai apcietināta pretēji šī panta nosacījumiem, ir nodrošināmas tiesības uz zaudējumu atlīdzību. Tātad Konvencija paredz tiesības uz atlīdzinājumu citstarp Konvencijas 5.panta 4.punkta pārkāpuma gadījumā, proti, ja pārkāptas personas tiesības vērsties tiesā par aizturēšanas tiesiskumu un prasīt atbrīvot </w:t>
      </w:r>
      <w:r w:rsidR="002739F8">
        <w:rPr>
          <w:rFonts w:asciiTheme="majorBidi" w:hAnsiTheme="majorBidi" w:cstheme="majorBidi"/>
        </w:rPr>
        <w:t xml:space="preserve">vai </w:t>
      </w:r>
      <w:r w:rsidRPr="00683FD0">
        <w:rPr>
          <w:rFonts w:asciiTheme="majorBidi" w:hAnsiTheme="majorBidi" w:cstheme="majorBidi"/>
        </w:rPr>
        <w:t>ja aizturēšana nav bijusi tiesiska. Pieteicēja gadījumā tika konstatēts pārkāpums tajā ziņā, ka pieteicējam, lai arī bija tiesības vērsties tiesā, nebija nodrošināts procesuālais taisnīgums – iespēja iepazīties ar jautājuma izšķiršanā būtiskiem apsvērumiem un tos pamatojošiem pierādījumiem.</w:t>
      </w:r>
    </w:p>
    <w:p w14:paraId="63421407" w14:textId="1FB0B029" w:rsidR="00683FD0" w:rsidRPr="00683FD0" w:rsidRDefault="005A3518" w:rsidP="006B2310">
      <w:pPr>
        <w:spacing w:line="276" w:lineRule="auto"/>
        <w:ind w:firstLine="720"/>
        <w:jc w:val="both"/>
        <w:rPr>
          <w:rFonts w:asciiTheme="majorBidi" w:hAnsiTheme="majorBidi" w:cstheme="majorBidi"/>
        </w:rPr>
      </w:pPr>
      <w:r>
        <w:rPr>
          <w:rFonts w:asciiTheme="majorBidi" w:hAnsiTheme="majorBidi" w:cstheme="majorBidi"/>
        </w:rPr>
        <w:t xml:space="preserve">Tā kā </w:t>
      </w:r>
      <w:r w:rsidR="00683FD0" w:rsidRPr="00683FD0">
        <w:rPr>
          <w:rFonts w:asciiTheme="majorBidi" w:hAnsiTheme="majorBidi" w:cstheme="majorBidi"/>
        </w:rPr>
        <w:t xml:space="preserve">Eiropas Cilvēktiesību tiesas spriedumā ir atzīts Konvencijas 5.panta </w:t>
      </w:r>
      <w:r w:rsidR="006146C0">
        <w:rPr>
          <w:rFonts w:asciiTheme="majorBidi" w:hAnsiTheme="majorBidi" w:cstheme="majorBidi"/>
        </w:rPr>
        <w:t>4</w:t>
      </w:r>
      <w:r w:rsidR="00683FD0" w:rsidRPr="00683FD0">
        <w:rPr>
          <w:rFonts w:asciiTheme="majorBidi" w:hAnsiTheme="majorBidi" w:cstheme="majorBidi"/>
        </w:rPr>
        <w:t>.punkta pārkāpums pret pieteicēju</w:t>
      </w:r>
      <w:r>
        <w:rPr>
          <w:rFonts w:asciiTheme="majorBidi" w:hAnsiTheme="majorBidi" w:cstheme="majorBidi"/>
        </w:rPr>
        <w:t xml:space="preserve">, </w:t>
      </w:r>
      <w:r w:rsidR="00683FD0" w:rsidRPr="00683FD0">
        <w:rPr>
          <w:rFonts w:asciiTheme="majorBidi" w:hAnsiTheme="majorBidi" w:cstheme="majorBidi"/>
        </w:rPr>
        <w:t xml:space="preserve">pieteicējs pamatoti norāda uz Eiropas Cilvēktiesību tiesas spriedumu kā tādu </w:t>
      </w:r>
      <w:r w:rsidR="00EB14DC">
        <w:rPr>
          <w:rFonts w:asciiTheme="majorBidi" w:hAnsiTheme="majorBidi" w:cstheme="majorBidi"/>
        </w:rPr>
        <w:t>no</w:t>
      </w:r>
      <w:r w:rsidR="00683FD0" w:rsidRPr="00683FD0">
        <w:rPr>
          <w:rFonts w:asciiTheme="majorBidi" w:hAnsiTheme="majorBidi" w:cstheme="majorBidi"/>
        </w:rPr>
        <w:t>lēmumu, kurā konstatēts rīcības prettiesiskums Atlīdzināšanas likuma 6.panta pirmās daļas izpratnē.</w:t>
      </w:r>
    </w:p>
    <w:p w14:paraId="79074115" w14:textId="77777777" w:rsidR="00683FD0" w:rsidRPr="00683FD0" w:rsidRDefault="00683FD0" w:rsidP="006B2310">
      <w:pPr>
        <w:spacing w:line="276" w:lineRule="auto"/>
        <w:ind w:firstLine="720"/>
        <w:jc w:val="both"/>
        <w:rPr>
          <w:rFonts w:asciiTheme="majorBidi" w:hAnsiTheme="majorBidi" w:cstheme="majorBidi"/>
        </w:rPr>
      </w:pPr>
    </w:p>
    <w:p w14:paraId="2658BC17" w14:textId="134F8CF7" w:rsidR="00683FD0" w:rsidRPr="00683FD0" w:rsidRDefault="00683FD0" w:rsidP="006B2310">
      <w:pPr>
        <w:spacing w:line="276" w:lineRule="auto"/>
        <w:ind w:firstLine="720"/>
        <w:jc w:val="both"/>
        <w:rPr>
          <w:rFonts w:asciiTheme="majorBidi" w:hAnsiTheme="majorBidi" w:cstheme="majorBidi"/>
        </w:rPr>
      </w:pPr>
      <w:r w:rsidRPr="00683FD0">
        <w:rPr>
          <w:rFonts w:asciiTheme="majorBidi" w:hAnsiTheme="majorBidi" w:cstheme="majorBidi"/>
        </w:rPr>
        <w:t>[</w:t>
      </w:r>
      <w:r w:rsidR="00F4451F">
        <w:rPr>
          <w:rFonts w:asciiTheme="majorBidi" w:hAnsiTheme="majorBidi" w:cstheme="majorBidi"/>
        </w:rPr>
        <w:t>12</w:t>
      </w:r>
      <w:r w:rsidRPr="00683FD0">
        <w:rPr>
          <w:rFonts w:asciiTheme="majorBidi" w:hAnsiTheme="majorBidi" w:cstheme="majorBidi"/>
        </w:rPr>
        <w:t>] Senāts arī konstatē, ka Eiropas Cilvēktiesību tiesa nav pēc būtības izskatījusi pieteicēja prasību par mantisko zaudējumu atlīdzinājumu, bet ir izskatījusi un daļēji apmierinājusi tikai prasību par nemantiskā kaitējuma atlīdzinājumu.</w:t>
      </w:r>
    </w:p>
    <w:p w14:paraId="353482C4" w14:textId="77777777" w:rsidR="00683FD0" w:rsidRPr="00683FD0" w:rsidRDefault="00683FD0" w:rsidP="006B2310">
      <w:pPr>
        <w:spacing w:line="276" w:lineRule="auto"/>
        <w:ind w:firstLine="720"/>
        <w:jc w:val="both"/>
        <w:rPr>
          <w:rFonts w:asciiTheme="majorBidi" w:hAnsiTheme="majorBidi" w:cstheme="majorBidi"/>
        </w:rPr>
      </w:pPr>
      <w:r w:rsidRPr="00683FD0">
        <w:rPr>
          <w:rFonts w:asciiTheme="majorBidi" w:hAnsiTheme="majorBidi" w:cstheme="majorBidi"/>
        </w:rPr>
        <w:t xml:space="preserve">Tātad nevienā tiesā nav pēc būtības izskatīta prasība par mantiskajiem zaudējumiem, kas pieteicējam varētu būt nodarīti ar Konvencijas 5.panta 4.punkta pārkāpumu. </w:t>
      </w:r>
    </w:p>
    <w:p w14:paraId="3A896CD3" w14:textId="77777777" w:rsidR="00683FD0" w:rsidRPr="00683FD0" w:rsidRDefault="00683FD0" w:rsidP="006B2310">
      <w:pPr>
        <w:spacing w:line="276" w:lineRule="auto"/>
        <w:ind w:firstLine="720"/>
        <w:jc w:val="both"/>
        <w:rPr>
          <w:rFonts w:asciiTheme="majorBidi" w:hAnsiTheme="majorBidi" w:cstheme="majorBidi"/>
        </w:rPr>
      </w:pPr>
      <w:r w:rsidRPr="00683FD0">
        <w:rPr>
          <w:rFonts w:asciiTheme="majorBidi" w:hAnsiTheme="majorBidi" w:cstheme="majorBidi"/>
        </w:rPr>
        <w:t>Tas nozīmē, ka pieteicējam, ievērojot Konvencijas 5.panta 5.punktu, ir tiesības vērsties tiesā, lai šādu prasību izskatītu pēc būtības.</w:t>
      </w:r>
    </w:p>
    <w:p w14:paraId="4520A967" w14:textId="77777777" w:rsidR="00683FD0" w:rsidRPr="00683FD0" w:rsidRDefault="00683FD0" w:rsidP="006B2310">
      <w:pPr>
        <w:spacing w:line="276" w:lineRule="auto"/>
        <w:ind w:firstLine="720"/>
        <w:jc w:val="both"/>
        <w:rPr>
          <w:rFonts w:asciiTheme="majorBidi" w:hAnsiTheme="majorBidi" w:cstheme="majorBidi"/>
        </w:rPr>
      </w:pPr>
    </w:p>
    <w:p w14:paraId="110FAA97" w14:textId="629A3B48" w:rsidR="00683FD0" w:rsidRPr="00683FD0" w:rsidRDefault="00683FD0" w:rsidP="006B2310">
      <w:pPr>
        <w:spacing w:line="276" w:lineRule="auto"/>
        <w:ind w:firstLine="720"/>
        <w:jc w:val="both"/>
        <w:rPr>
          <w:rFonts w:asciiTheme="majorBidi" w:hAnsiTheme="majorBidi" w:cstheme="majorBidi"/>
        </w:rPr>
      </w:pPr>
      <w:r w:rsidRPr="00683FD0">
        <w:rPr>
          <w:rFonts w:asciiTheme="majorBidi" w:hAnsiTheme="majorBidi" w:cstheme="majorBidi"/>
        </w:rPr>
        <w:t>[</w:t>
      </w:r>
      <w:r w:rsidR="00F4451F">
        <w:rPr>
          <w:rFonts w:asciiTheme="majorBidi" w:hAnsiTheme="majorBidi" w:cstheme="majorBidi"/>
        </w:rPr>
        <w:t>13</w:t>
      </w:r>
      <w:r w:rsidRPr="00683FD0">
        <w:rPr>
          <w:rFonts w:asciiTheme="majorBidi" w:hAnsiTheme="majorBidi" w:cstheme="majorBidi"/>
        </w:rPr>
        <w:t>] Administratīvās rajona tiesas tiesnesis, atsakot pieņemt pieteikumu, ir argumentējis, ka Eiropas Cilvēktiesību tiesa, vērtējot pieteicēja tiesības uz nemantiskā kaitējuma atlīdzību, atteikusies spekulēt par to, vai pirmstiesas apcietinājums būtu vai nebūtu bijis piemērots gadījumā, ja pārkāpums nebūtu noticis.</w:t>
      </w:r>
    </w:p>
    <w:p w14:paraId="1F620B6F" w14:textId="65CAE2F3" w:rsidR="00050626" w:rsidRDefault="00683FD0" w:rsidP="006B2310">
      <w:pPr>
        <w:spacing w:line="276" w:lineRule="auto"/>
        <w:ind w:firstLine="720"/>
        <w:jc w:val="both"/>
      </w:pPr>
      <w:r w:rsidRPr="00683FD0">
        <w:rPr>
          <w:rFonts w:asciiTheme="majorBidi" w:hAnsiTheme="majorBidi" w:cstheme="majorBidi"/>
        </w:rPr>
        <w:t xml:space="preserve">Taču tie ir Eiropas Cilvēktiesību tiesas pašas apsvērumi – atbilstoši tās ieskatiem par taisnīgu atlīdzinājumu Konvencijas pārkāpuma gadījumā – par to, vai būtu atlīdzināms nemantiskais kaitējums. Taču tas nenozīmē, ka Eiropas Cilvēktiesību tiesa būtu izslēgusi nacionālās iestādes vai tiesas kompetenci vērtēt mantiskā kaitējuma jeb zaudējumu atlīdzināšanu jebkādā aspektā. </w:t>
      </w:r>
      <w:r w:rsidR="00050626">
        <w:t>Tas, vai pieteicējam būtu atlīdzināmi zaudējumi</w:t>
      </w:r>
      <w:r w:rsidR="006146C0">
        <w:t xml:space="preserve"> saistībā ar pārkāpumu, kuru Eiropas Cilvēktiesību tiesa atzinusi</w:t>
      </w:r>
      <w:r w:rsidR="00050626">
        <w:t xml:space="preserve">, ir atkarīgs no tā, vai ir iestājušies šādu zaudējumu atlīdzināšanas priekšnoteikumi, un tas ir noskaidrojams un novērtējams, izskatot lietu pēc būtības. </w:t>
      </w:r>
    </w:p>
    <w:p w14:paraId="049D7F5E" w14:textId="0F5D76F8" w:rsidR="007C33E9" w:rsidRDefault="007C33E9" w:rsidP="006B2310">
      <w:pPr>
        <w:spacing w:line="276" w:lineRule="auto"/>
        <w:ind w:firstLine="720"/>
        <w:jc w:val="both"/>
        <w:rPr>
          <w:rFonts w:asciiTheme="majorBidi" w:hAnsiTheme="majorBidi" w:cstheme="majorBidi"/>
        </w:rPr>
      </w:pPr>
    </w:p>
    <w:p w14:paraId="3EBF5A16" w14:textId="1279805C" w:rsidR="00053C8D" w:rsidRDefault="00053C8D" w:rsidP="006B2310">
      <w:pPr>
        <w:spacing w:line="276" w:lineRule="auto"/>
        <w:ind w:firstLine="720"/>
        <w:jc w:val="both"/>
      </w:pPr>
      <w:r>
        <w:rPr>
          <w:rFonts w:asciiTheme="majorBidi" w:hAnsiTheme="majorBidi" w:cstheme="majorBidi"/>
        </w:rPr>
        <w:t>[</w:t>
      </w:r>
      <w:r w:rsidR="00F4451F">
        <w:rPr>
          <w:rFonts w:asciiTheme="majorBidi" w:hAnsiTheme="majorBidi" w:cstheme="majorBidi"/>
        </w:rPr>
        <w:t>14</w:t>
      </w:r>
      <w:r>
        <w:rPr>
          <w:rFonts w:asciiTheme="majorBidi" w:hAnsiTheme="majorBidi" w:cstheme="majorBidi"/>
        </w:rPr>
        <w:t>]</w:t>
      </w:r>
      <w:r>
        <w:t xml:space="preserve"> Ievērojot minēto, </w:t>
      </w:r>
      <w:bookmarkStart w:id="1" w:name="_Hlk222910519"/>
      <w:r>
        <w:t xml:space="preserve">pārsūdzētais Administratīvās rajona tiesas tiesneša lēmums ir atceļams daļā, kurā tiesnesis atteicies pieņemt pieteicēja </w:t>
      </w:r>
      <w:r w:rsidR="006B2310">
        <w:rPr>
          <w:rFonts w:asciiTheme="majorBidi" w:hAnsiTheme="majorBidi" w:cstheme="majorBidi"/>
        </w:rPr>
        <w:t xml:space="preserve">[pers. B] </w:t>
      </w:r>
      <w:r>
        <w:t>pieteikumu daļā par zaudējumu atlīdzinājumu, un šajā daļā jautājums par pieteikuma virzību nododams jaunai izskatīšanai Administratīvajai rajona tiesai.</w:t>
      </w:r>
    </w:p>
    <w:bookmarkEnd w:id="1"/>
    <w:p w14:paraId="331548CA" w14:textId="77777777" w:rsidR="00053C8D" w:rsidRDefault="00053C8D" w:rsidP="006B2310">
      <w:pPr>
        <w:spacing w:line="276" w:lineRule="auto"/>
        <w:ind w:firstLine="720"/>
        <w:jc w:val="both"/>
      </w:pPr>
    </w:p>
    <w:p w14:paraId="1882E326" w14:textId="77777777" w:rsidR="006146C0" w:rsidRDefault="006146C0" w:rsidP="006B2310">
      <w:pPr>
        <w:spacing w:line="276" w:lineRule="auto"/>
        <w:ind w:firstLine="720"/>
        <w:jc w:val="both"/>
        <w:rPr>
          <w:i/>
          <w:iCs/>
        </w:rPr>
      </w:pPr>
    </w:p>
    <w:p w14:paraId="2ED115AE" w14:textId="05B1FEA6" w:rsidR="00053C8D" w:rsidRPr="00053C8D" w:rsidRDefault="00053C8D" w:rsidP="006B2310">
      <w:pPr>
        <w:spacing w:line="276" w:lineRule="auto"/>
        <w:ind w:firstLine="720"/>
        <w:jc w:val="both"/>
        <w:rPr>
          <w:i/>
          <w:iCs/>
        </w:rPr>
      </w:pPr>
      <w:r w:rsidRPr="00053C8D">
        <w:rPr>
          <w:i/>
          <w:iCs/>
        </w:rPr>
        <w:t>Par prasījumu atlīdzināt nemantisko kaitējumu</w:t>
      </w:r>
    </w:p>
    <w:p w14:paraId="1540A1AF" w14:textId="77777777" w:rsidR="00753E7C" w:rsidRDefault="00753E7C" w:rsidP="006B2310">
      <w:pPr>
        <w:spacing w:line="276" w:lineRule="auto"/>
        <w:ind w:firstLine="720"/>
        <w:jc w:val="both"/>
        <w:rPr>
          <w:rFonts w:asciiTheme="majorBidi" w:hAnsiTheme="majorBidi" w:cstheme="majorBidi"/>
        </w:rPr>
      </w:pPr>
    </w:p>
    <w:p w14:paraId="3FA8B2B4" w14:textId="1C25FB75" w:rsidR="00F678D3" w:rsidRDefault="00053C8D" w:rsidP="006B2310">
      <w:pPr>
        <w:spacing w:line="276" w:lineRule="auto"/>
        <w:ind w:firstLine="720"/>
        <w:jc w:val="both"/>
        <w:rPr>
          <w:rFonts w:asciiTheme="majorBidi" w:hAnsiTheme="majorBidi" w:cstheme="majorBidi"/>
        </w:rPr>
      </w:pPr>
      <w:r>
        <w:rPr>
          <w:rFonts w:asciiTheme="majorBidi" w:hAnsiTheme="majorBidi" w:cstheme="majorBidi"/>
        </w:rPr>
        <w:t>[</w:t>
      </w:r>
      <w:r w:rsidR="00F4451F">
        <w:rPr>
          <w:rFonts w:asciiTheme="majorBidi" w:hAnsiTheme="majorBidi" w:cstheme="majorBidi"/>
        </w:rPr>
        <w:t>15</w:t>
      </w:r>
      <w:r>
        <w:rPr>
          <w:rFonts w:asciiTheme="majorBidi" w:hAnsiTheme="majorBidi" w:cstheme="majorBidi"/>
        </w:rPr>
        <w:t>] </w:t>
      </w:r>
      <w:r w:rsidR="00BC2A8D">
        <w:rPr>
          <w:rFonts w:asciiTheme="majorBidi" w:hAnsiTheme="majorBidi" w:cstheme="majorBidi"/>
        </w:rPr>
        <w:t>Kā jau Senāts atzina,</w:t>
      </w:r>
      <w:r w:rsidR="0009626A" w:rsidRPr="0009626A">
        <w:rPr>
          <w:rFonts w:asciiTheme="majorBidi" w:hAnsiTheme="majorBidi" w:cstheme="majorBidi"/>
        </w:rPr>
        <w:t xml:space="preserve"> </w:t>
      </w:r>
      <w:r w:rsidR="00BC2A8D">
        <w:rPr>
          <w:rFonts w:asciiTheme="majorBidi" w:hAnsiTheme="majorBidi" w:cstheme="majorBidi"/>
        </w:rPr>
        <w:t xml:space="preserve">pieteicējam </w:t>
      </w:r>
      <w:r w:rsidR="006B2310">
        <w:rPr>
          <w:rFonts w:asciiTheme="majorBidi" w:hAnsiTheme="majorBidi" w:cstheme="majorBidi"/>
        </w:rPr>
        <w:t xml:space="preserve">[pers. B] </w:t>
      </w:r>
      <w:r w:rsidR="00BC2A8D">
        <w:rPr>
          <w:rFonts w:asciiTheme="majorBidi" w:hAnsiTheme="majorBidi" w:cstheme="majorBidi"/>
        </w:rPr>
        <w:t xml:space="preserve">konkrētajā gadījumā vispārīgi ir tiesības </w:t>
      </w:r>
      <w:r w:rsidR="00FF6FE3" w:rsidRPr="00373359">
        <w:rPr>
          <w:rFonts w:asciiTheme="majorBidi" w:hAnsiTheme="majorBidi" w:cstheme="majorBidi"/>
        </w:rPr>
        <w:t xml:space="preserve">vērsties tiesā un prasīt </w:t>
      </w:r>
      <w:r w:rsidR="00BC2A8D">
        <w:rPr>
          <w:rFonts w:asciiTheme="majorBidi" w:hAnsiTheme="majorBidi" w:cstheme="majorBidi"/>
        </w:rPr>
        <w:t xml:space="preserve">atlīdzinājumu, </w:t>
      </w:r>
      <w:r w:rsidR="007D0617">
        <w:rPr>
          <w:rFonts w:asciiTheme="majorBidi" w:hAnsiTheme="majorBidi" w:cstheme="majorBidi"/>
        </w:rPr>
        <w:t xml:space="preserve">tātad – arī </w:t>
      </w:r>
      <w:r w:rsidR="00CD5E63" w:rsidRPr="00373359">
        <w:rPr>
          <w:rFonts w:asciiTheme="majorBidi" w:hAnsiTheme="majorBidi" w:cstheme="majorBidi"/>
        </w:rPr>
        <w:t>nemantiskā kaitējuma atlīdzinājumu</w:t>
      </w:r>
      <w:r w:rsidR="00BC2A8D">
        <w:rPr>
          <w:rFonts w:asciiTheme="majorBidi" w:hAnsiTheme="majorBidi" w:cstheme="majorBidi"/>
        </w:rPr>
        <w:t>,</w:t>
      </w:r>
      <w:r w:rsidR="00FF6FE3" w:rsidRPr="00373359">
        <w:rPr>
          <w:rFonts w:asciiTheme="majorBidi" w:hAnsiTheme="majorBidi" w:cstheme="majorBidi"/>
        </w:rPr>
        <w:t xml:space="preserve"> par konstatēto pārkāpumu, kas pieļauts kriminālprocesā.</w:t>
      </w:r>
    </w:p>
    <w:p w14:paraId="2ED1CCD1" w14:textId="706F13A1" w:rsidR="00D36AC4" w:rsidRDefault="00D36AC4" w:rsidP="006B2310">
      <w:pPr>
        <w:spacing w:line="276" w:lineRule="auto"/>
        <w:ind w:firstLine="720"/>
        <w:jc w:val="both"/>
        <w:rPr>
          <w:rFonts w:asciiTheme="majorBidi" w:hAnsiTheme="majorBidi" w:cstheme="majorBidi"/>
        </w:rPr>
      </w:pPr>
      <w:r>
        <w:rPr>
          <w:rFonts w:asciiTheme="majorBidi" w:hAnsiTheme="majorBidi" w:cstheme="majorBidi"/>
        </w:rPr>
        <w:t xml:space="preserve">Tomēr turpmāk norādīto apsvērumu dēļ Senāts atzīst, ka </w:t>
      </w:r>
      <w:r w:rsidR="00AC1034">
        <w:rPr>
          <w:rFonts w:asciiTheme="majorBidi" w:hAnsiTheme="majorBidi" w:cstheme="majorBidi"/>
        </w:rPr>
        <w:t xml:space="preserve">pieteicēja </w:t>
      </w:r>
      <w:r w:rsidR="006B2310">
        <w:rPr>
          <w:rFonts w:asciiTheme="majorBidi" w:hAnsiTheme="majorBidi" w:cstheme="majorBidi"/>
        </w:rPr>
        <w:t xml:space="preserve">[pers. B] </w:t>
      </w:r>
      <w:r w:rsidR="00AC1034">
        <w:rPr>
          <w:rFonts w:asciiTheme="majorBidi" w:hAnsiTheme="majorBidi" w:cstheme="majorBidi"/>
        </w:rPr>
        <w:t>pieteikumu daļā par nemantiskā kaitējuma atlīdzinājumu ir atsakāms pieņemt, pamatojoties uz Administratīvā procesa likuma 191.panta pirmās daļas 3.punktu.</w:t>
      </w:r>
    </w:p>
    <w:p w14:paraId="52130733" w14:textId="77777777" w:rsidR="00470CF0" w:rsidRDefault="00470CF0" w:rsidP="006B2310">
      <w:pPr>
        <w:spacing w:line="276" w:lineRule="auto"/>
        <w:ind w:firstLine="720"/>
        <w:jc w:val="both"/>
        <w:rPr>
          <w:rFonts w:asciiTheme="majorBidi" w:hAnsiTheme="majorBidi" w:cstheme="majorBidi"/>
        </w:rPr>
      </w:pPr>
    </w:p>
    <w:p w14:paraId="1A4068CF" w14:textId="15591C7C" w:rsidR="00B45A6B" w:rsidRDefault="001F33A9" w:rsidP="006B2310">
      <w:pPr>
        <w:spacing w:line="276" w:lineRule="auto"/>
        <w:ind w:firstLine="720"/>
        <w:jc w:val="both"/>
        <w:rPr>
          <w:rFonts w:asciiTheme="majorBidi" w:hAnsiTheme="majorBidi" w:cstheme="majorBidi"/>
        </w:rPr>
      </w:pPr>
      <w:r>
        <w:rPr>
          <w:rFonts w:asciiTheme="majorBidi" w:hAnsiTheme="majorBidi" w:cstheme="majorBidi"/>
        </w:rPr>
        <w:t>[</w:t>
      </w:r>
      <w:r w:rsidR="00AC1034">
        <w:rPr>
          <w:rFonts w:asciiTheme="majorBidi" w:hAnsiTheme="majorBidi" w:cstheme="majorBidi"/>
        </w:rPr>
        <w:t>16</w:t>
      </w:r>
      <w:r>
        <w:rPr>
          <w:rFonts w:asciiTheme="majorBidi" w:hAnsiTheme="majorBidi" w:cstheme="majorBidi"/>
        </w:rPr>
        <w:t>] </w:t>
      </w:r>
      <w:r w:rsidR="0094172B">
        <w:rPr>
          <w:rFonts w:asciiTheme="majorBidi" w:hAnsiTheme="majorBidi" w:cstheme="majorBidi"/>
        </w:rPr>
        <w:t>K</w:t>
      </w:r>
      <w:r w:rsidR="00B45A6B">
        <w:rPr>
          <w:rFonts w:asciiTheme="majorBidi" w:hAnsiTheme="majorBidi" w:cstheme="majorBidi"/>
        </w:rPr>
        <w:t>onvencijas 41.pantā noteikts: j</w:t>
      </w:r>
      <w:r w:rsidR="00B45A6B" w:rsidRPr="00B45A6B">
        <w:rPr>
          <w:rFonts w:asciiTheme="majorBidi" w:hAnsiTheme="majorBidi" w:cstheme="majorBidi"/>
        </w:rPr>
        <w:t xml:space="preserve">a </w:t>
      </w:r>
      <w:r w:rsidR="00620E69">
        <w:rPr>
          <w:rFonts w:asciiTheme="majorBidi" w:hAnsiTheme="majorBidi" w:cstheme="majorBidi"/>
        </w:rPr>
        <w:t>Eiropas Cilvēktiesību t</w:t>
      </w:r>
      <w:r w:rsidR="00B45A6B" w:rsidRPr="00B45A6B">
        <w:rPr>
          <w:rFonts w:asciiTheme="majorBidi" w:hAnsiTheme="majorBidi" w:cstheme="majorBidi"/>
        </w:rPr>
        <w:t>iesa konstatē, ka ir noticis Konvencijas vai tās protokolu</w:t>
      </w:r>
      <w:r w:rsidR="00B45A6B">
        <w:rPr>
          <w:rFonts w:asciiTheme="majorBidi" w:hAnsiTheme="majorBidi" w:cstheme="majorBidi"/>
        </w:rPr>
        <w:t xml:space="preserve"> </w:t>
      </w:r>
      <w:r w:rsidR="00B45A6B" w:rsidRPr="00B45A6B">
        <w:rPr>
          <w:rFonts w:asciiTheme="majorBidi" w:hAnsiTheme="majorBidi" w:cstheme="majorBidi"/>
        </w:rPr>
        <w:t>pārkāpums, un ja attiecīgās Augstās Līgumslēdzējas Puses iekšējās</w:t>
      </w:r>
      <w:r w:rsidR="00B45A6B">
        <w:rPr>
          <w:rFonts w:asciiTheme="majorBidi" w:hAnsiTheme="majorBidi" w:cstheme="majorBidi"/>
        </w:rPr>
        <w:t xml:space="preserve"> </w:t>
      </w:r>
      <w:r w:rsidR="00B45A6B" w:rsidRPr="00B45A6B">
        <w:rPr>
          <w:rFonts w:asciiTheme="majorBidi" w:hAnsiTheme="majorBidi" w:cstheme="majorBidi"/>
        </w:rPr>
        <w:t>tiesību normas paredz tikai daļēju šī pārkāpuma seku novēršanu,</w:t>
      </w:r>
      <w:r w:rsidR="00B45A6B">
        <w:rPr>
          <w:rFonts w:asciiTheme="majorBidi" w:hAnsiTheme="majorBidi" w:cstheme="majorBidi"/>
        </w:rPr>
        <w:t xml:space="preserve"> </w:t>
      </w:r>
      <w:r w:rsidR="00CD5E63">
        <w:rPr>
          <w:rFonts w:asciiTheme="majorBidi" w:hAnsiTheme="majorBidi" w:cstheme="majorBidi"/>
        </w:rPr>
        <w:t>t</w:t>
      </w:r>
      <w:r w:rsidR="00B45A6B" w:rsidRPr="00B45A6B">
        <w:rPr>
          <w:rFonts w:asciiTheme="majorBidi" w:hAnsiTheme="majorBidi" w:cstheme="majorBidi"/>
        </w:rPr>
        <w:t>iesa, ja nepieciešams, cietušajai pusei piešķir taisnīgu atlīdzību.</w:t>
      </w:r>
    </w:p>
    <w:p w14:paraId="69FE5267" w14:textId="2FF2B5F2" w:rsidR="00CF0945" w:rsidRPr="00BC0979" w:rsidRDefault="00CF0945" w:rsidP="006B2310">
      <w:pPr>
        <w:spacing w:line="276" w:lineRule="auto"/>
        <w:ind w:firstLine="720"/>
        <w:jc w:val="both"/>
        <w:rPr>
          <w:rFonts w:asciiTheme="majorBidi" w:hAnsiTheme="majorBidi" w:cstheme="majorBidi"/>
        </w:rPr>
      </w:pPr>
      <w:r w:rsidRPr="00BF1A50">
        <w:rPr>
          <w:rFonts w:asciiTheme="majorBidi" w:hAnsiTheme="majorBidi" w:cstheme="majorBidi"/>
        </w:rPr>
        <w:t>Par Konvencijas 41.panta piemērošanu</w:t>
      </w:r>
      <w:r w:rsidR="00F907AF" w:rsidRPr="00BF1A50">
        <w:rPr>
          <w:rFonts w:asciiTheme="majorBidi" w:hAnsiTheme="majorBidi" w:cstheme="majorBidi"/>
        </w:rPr>
        <w:t xml:space="preserve"> Eiropas Cilvēktiesību tiesas </w:t>
      </w:r>
      <w:r w:rsidR="00BE2F59" w:rsidRPr="00BF1A50">
        <w:rPr>
          <w:rFonts w:asciiTheme="majorBidi" w:hAnsiTheme="majorBidi" w:cstheme="majorBidi"/>
        </w:rPr>
        <w:t>reglamentā</w:t>
      </w:r>
      <w:r w:rsidRPr="00BF1A50">
        <w:rPr>
          <w:rFonts w:asciiTheme="majorBidi" w:hAnsiTheme="majorBidi" w:cstheme="majorBidi"/>
        </w:rPr>
        <w:t xml:space="preserve"> ir</w:t>
      </w:r>
      <w:r w:rsidRPr="00BC0979">
        <w:rPr>
          <w:rFonts w:asciiTheme="majorBidi" w:hAnsiTheme="majorBidi" w:cstheme="majorBidi"/>
        </w:rPr>
        <w:t xml:space="preserve"> skaidrots: tiesa piešķirs tikai tādu kompensāciju, kādu tā uzskata par taisnīgu</w:t>
      </w:r>
      <w:r w:rsidR="00B54CFC">
        <w:rPr>
          <w:rFonts w:asciiTheme="majorBidi" w:hAnsiTheme="majorBidi" w:cstheme="majorBidi"/>
        </w:rPr>
        <w:t>, proti,</w:t>
      </w:r>
      <w:r w:rsidRPr="00BC0979">
        <w:rPr>
          <w:rFonts w:asciiTheme="majorBidi" w:hAnsiTheme="majorBidi" w:cstheme="majorBidi"/>
        </w:rPr>
        <w:t xml:space="preserve"> tādu, kādu tā uzskata par atbilstošu konkrētajos apstākļos. Līdz ar to, izskatot lietu pirms lēmuma pieņemšanas par piespriežamās summas apmēru, ja tāda vispār jāpiešķir, tiks ņemtas vērā katras lietas īpašās iezīmes un konteksts, kur svarīga loma ir konstatētā pārkāpuma raksturam un sekām, </w:t>
      </w:r>
      <w:r w:rsidR="003E4318" w:rsidRPr="00BC0979">
        <w:rPr>
          <w:rFonts w:asciiTheme="majorBidi" w:hAnsiTheme="majorBidi" w:cstheme="majorBidi"/>
        </w:rPr>
        <w:t>t</w:t>
      </w:r>
      <w:r w:rsidRPr="00BC0979">
        <w:rPr>
          <w:rFonts w:asciiTheme="majorBidi" w:hAnsiTheme="majorBidi" w:cstheme="majorBidi"/>
        </w:rPr>
        <w:t>iesas praksei līdzīgās lietās, kā arī atšķirīgajai ekonomiskajai situācijai atbildētāj</w:t>
      </w:r>
      <w:r w:rsidR="00CC2D84" w:rsidRPr="00BC0979">
        <w:rPr>
          <w:rFonts w:asciiTheme="majorBidi" w:hAnsiTheme="majorBidi" w:cstheme="majorBidi"/>
        </w:rPr>
        <w:t xml:space="preserve">ās </w:t>
      </w:r>
      <w:r w:rsidRPr="00BC0979">
        <w:rPr>
          <w:rFonts w:asciiTheme="majorBidi" w:hAnsiTheme="majorBidi" w:cstheme="majorBidi"/>
        </w:rPr>
        <w:t>valstīs.</w:t>
      </w:r>
      <w:r w:rsidR="00F40E3F" w:rsidRPr="00BC0979">
        <w:rPr>
          <w:rFonts w:asciiTheme="majorBidi" w:hAnsiTheme="majorBidi" w:cstheme="majorBidi"/>
        </w:rPr>
        <w:t xml:space="preserve"> </w:t>
      </w:r>
      <w:r w:rsidRPr="00BC0979">
        <w:rPr>
          <w:rFonts w:asciiTheme="majorBidi" w:hAnsiTheme="majorBidi" w:cstheme="majorBidi"/>
        </w:rPr>
        <w:t>Tiesa var arī lemt, ka pastāv taisnīguma</w:t>
      </w:r>
      <w:r w:rsidRPr="00CF0945">
        <w:rPr>
          <w:rFonts w:asciiTheme="majorBidi" w:hAnsiTheme="majorBidi" w:cstheme="majorBidi"/>
        </w:rPr>
        <w:t xml:space="preserve"> </w:t>
      </w:r>
      <w:r w:rsidRPr="00BC0979">
        <w:rPr>
          <w:rFonts w:asciiTheme="majorBidi" w:hAnsiTheme="majorBidi" w:cstheme="majorBidi"/>
        </w:rPr>
        <w:t>apsvērumi, lai piespriestu mazāku kompensāciju nekā faktiski nodarītā kaitējuma vai faktiski radušos izmaksu un izdevumu vērtība</w:t>
      </w:r>
      <w:r w:rsidR="00730AF5" w:rsidRPr="00BC0979">
        <w:rPr>
          <w:rFonts w:asciiTheme="majorBidi" w:hAnsiTheme="majorBidi" w:cstheme="majorBidi"/>
        </w:rPr>
        <w:t xml:space="preserve">, </w:t>
      </w:r>
      <w:r w:rsidRPr="00BC0979">
        <w:rPr>
          <w:rFonts w:asciiTheme="majorBidi" w:hAnsiTheme="majorBidi" w:cstheme="majorBidi"/>
        </w:rPr>
        <w:t xml:space="preserve">vai ka attiecībā uz dažiem iespējamā kaitējuma veidiem pārkāpuma konstatēšana pati par sevi ir pietiekama taisnīga kompensācija, nepastāvot nepieciešamībai piešķirt finansiālu kompensāciju. </w:t>
      </w:r>
      <w:r w:rsidR="00730AF5" w:rsidRPr="00BC0979">
        <w:rPr>
          <w:rFonts w:asciiTheme="majorBidi" w:hAnsiTheme="majorBidi" w:cstheme="majorBidi"/>
        </w:rPr>
        <w:t>S</w:t>
      </w:r>
      <w:r w:rsidRPr="00BC0979">
        <w:rPr>
          <w:rFonts w:asciiTheme="majorBidi" w:hAnsiTheme="majorBidi" w:cstheme="majorBidi"/>
        </w:rPr>
        <w:t xml:space="preserve">askaņā ar 41.pantu </w:t>
      </w:r>
      <w:r w:rsidR="003E4318" w:rsidRPr="00BC0979">
        <w:rPr>
          <w:rFonts w:asciiTheme="majorBidi" w:hAnsiTheme="majorBidi" w:cstheme="majorBidi"/>
        </w:rPr>
        <w:t>t</w:t>
      </w:r>
      <w:r w:rsidRPr="00BC0979">
        <w:rPr>
          <w:rFonts w:asciiTheme="majorBidi" w:hAnsiTheme="majorBidi" w:cstheme="majorBidi"/>
        </w:rPr>
        <w:t>iesai ir tiesības lemt, ka nekāda kompensācija nav jāpiešķir, piemēram, ja pastāv iespēja atjaunot tiesvedību vai saņemt citu kompensāciju vietējā līmenī</w:t>
      </w:r>
      <w:r w:rsidR="00730AF5" w:rsidRPr="00BC0979">
        <w:rPr>
          <w:rFonts w:asciiTheme="majorBidi" w:hAnsiTheme="majorBidi" w:cstheme="majorBidi"/>
        </w:rPr>
        <w:t>,</w:t>
      </w:r>
      <w:r w:rsidRPr="00BC0979">
        <w:rPr>
          <w:rFonts w:asciiTheme="majorBidi" w:hAnsiTheme="majorBidi" w:cstheme="majorBidi"/>
        </w:rPr>
        <w:t xml:space="preserve"> ja konstatētais pārkāpums ir maznozīmīgs vai nosacīts</w:t>
      </w:r>
      <w:r w:rsidR="00730AF5" w:rsidRPr="00BC0979">
        <w:rPr>
          <w:rFonts w:asciiTheme="majorBidi" w:hAnsiTheme="majorBidi" w:cstheme="majorBidi"/>
        </w:rPr>
        <w:t>,</w:t>
      </w:r>
      <w:r w:rsidRPr="00BC0979">
        <w:rPr>
          <w:rFonts w:asciiTheme="majorBidi" w:hAnsiTheme="majorBidi" w:cstheme="majorBidi"/>
        </w:rPr>
        <w:t xml:space="preserve"> ja vispārēji pasākumi būtu vispiemērotākais tiesiskās aizsardzības līdzeklis vai </w:t>
      </w:r>
      <w:r w:rsidR="00730AF5" w:rsidRPr="00BC0979">
        <w:rPr>
          <w:rFonts w:asciiTheme="majorBidi" w:hAnsiTheme="majorBidi" w:cstheme="majorBidi"/>
        </w:rPr>
        <w:t xml:space="preserve">arī </w:t>
      </w:r>
      <w:r w:rsidRPr="00BC0979">
        <w:rPr>
          <w:rFonts w:asciiTheme="majorBidi" w:hAnsiTheme="majorBidi" w:cstheme="majorBidi"/>
        </w:rPr>
        <w:t>citādi, ņemot vērā sūdzības iesniedzēja situācijas vispārējo vai specifisko kontekstu</w:t>
      </w:r>
      <w:r w:rsidR="00F40E3F" w:rsidRPr="00BC0979">
        <w:rPr>
          <w:rFonts w:asciiTheme="majorBidi" w:hAnsiTheme="majorBidi" w:cstheme="majorBidi"/>
        </w:rPr>
        <w:t xml:space="preserve"> (sk. </w:t>
      </w:r>
      <w:hyperlink r:id="rId15" w:history="1">
        <w:r w:rsidR="00BE2F59">
          <w:rPr>
            <w:rStyle w:val="Hyperlink"/>
            <w:rFonts w:asciiTheme="majorBidi" w:hAnsiTheme="majorBidi" w:cstheme="majorBidi"/>
            <w:i/>
            <w:iCs/>
          </w:rPr>
          <w:t>Eiropas Cilvēktiesību tiesas reglamenta</w:t>
        </w:r>
      </w:hyperlink>
      <w:r w:rsidR="00F40E3F" w:rsidRPr="00BC0979">
        <w:rPr>
          <w:rFonts w:asciiTheme="majorBidi" w:hAnsiTheme="majorBidi" w:cstheme="majorBidi"/>
          <w:i/>
          <w:iCs/>
        </w:rPr>
        <w:t xml:space="preserve"> </w:t>
      </w:r>
      <w:r w:rsidR="00F40E3F" w:rsidRPr="00BC0979">
        <w:rPr>
          <w:rFonts w:asciiTheme="majorBidi" w:hAnsiTheme="majorBidi" w:cstheme="majorBidi"/>
        </w:rPr>
        <w:t>(</w:t>
      </w:r>
      <w:r w:rsidR="00F40E3F" w:rsidRPr="00BC0979">
        <w:rPr>
          <w:rFonts w:asciiTheme="majorBidi" w:hAnsiTheme="majorBidi" w:cstheme="majorBidi"/>
          <w:i/>
          <w:iCs/>
        </w:rPr>
        <w:t xml:space="preserve">2025.gada 15.septembra redakcijā) sadaļas „Praktiskas norādes” daļu </w:t>
      </w:r>
      <w:r w:rsidR="00CC2D84" w:rsidRPr="00BC0979">
        <w:rPr>
          <w:rFonts w:asciiTheme="majorBidi" w:hAnsiTheme="majorBidi" w:cstheme="majorBidi"/>
          <w:i/>
          <w:iCs/>
        </w:rPr>
        <w:t>„</w:t>
      </w:r>
      <w:r w:rsidR="00F40E3F" w:rsidRPr="00BC0979">
        <w:rPr>
          <w:rFonts w:asciiTheme="majorBidi" w:hAnsiTheme="majorBidi" w:cstheme="majorBidi"/>
          <w:i/>
          <w:iCs/>
        </w:rPr>
        <w:t>Taisnīgas atlīdzības prasījumi”</w:t>
      </w:r>
      <w:r w:rsidR="00F40E3F" w:rsidRPr="00BC0979">
        <w:rPr>
          <w:rFonts w:asciiTheme="majorBidi" w:hAnsiTheme="majorBidi" w:cstheme="majorBidi"/>
        </w:rPr>
        <w:t>)</w:t>
      </w:r>
      <w:r w:rsidRPr="00BC0979">
        <w:rPr>
          <w:rFonts w:asciiTheme="majorBidi" w:hAnsiTheme="majorBidi" w:cstheme="majorBidi"/>
        </w:rPr>
        <w:t>.</w:t>
      </w:r>
    </w:p>
    <w:p w14:paraId="01094E86" w14:textId="30701CF5" w:rsidR="001F33A9" w:rsidRDefault="001F33A9" w:rsidP="006B2310">
      <w:pPr>
        <w:spacing w:line="276" w:lineRule="auto"/>
        <w:ind w:firstLine="720"/>
        <w:jc w:val="both"/>
        <w:rPr>
          <w:rFonts w:asciiTheme="majorBidi" w:hAnsiTheme="majorBidi" w:cstheme="majorBidi"/>
        </w:rPr>
      </w:pPr>
      <w:r w:rsidRPr="00BC0979">
        <w:rPr>
          <w:rFonts w:asciiTheme="majorBidi" w:hAnsiTheme="majorBidi" w:cstheme="majorBidi"/>
        </w:rPr>
        <w:t>Senāts konstatē, ka Eiropas Cilvēktiesību tiesa spriedumā ir apsvērusi arī pieteicēja</w:t>
      </w:r>
      <w:r>
        <w:rPr>
          <w:rFonts w:asciiTheme="majorBidi" w:hAnsiTheme="majorBidi" w:cstheme="majorBidi"/>
        </w:rPr>
        <w:t xml:space="preserve"> </w:t>
      </w:r>
      <w:r w:rsidR="00B45A6B">
        <w:rPr>
          <w:rFonts w:asciiTheme="majorBidi" w:hAnsiTheme="majorBidi" w:cstheme="majorBidi"/>
        </w:rPr>
        <w:t xml:space="preserve">prasīto nemantiskā kaitējuma kompensāciju </w:t>
      </w:r>
      <w:r w:rsidR="007D0617">
        <w:rPr>
          <w:rFonts w:asciiTheme="majorBidi" w:hAnsiTheme="majorBidi" w:cstheme="majorBidi"/>
        </w:rPr>
        <w:t>2</w:t>
      </w:r>
      <w:r w:rsidR="00B45A6B">
        <w:rPr>
          <w:rFonts w:asciiTheme="majorBidi" w:hAnsiTheme="majorBidi" w:cstheme="majorBidi"/>
        </w:rPr>
        <w:t>0</w:t>
      </w:r>
      <w:r w:rsidR="000F7900">
        <w:rPr>
          <w:rFonts w:asciiTheme="majorBidi" w:hAnsiTheme="majorBidi" w:cstheme="majorBidi"/>
        </w:rPr>
        <w:t> </w:t>
      </w:r>
      <w:r w:rsidR="00B45A6B">
        <w:rPr>
          <w:rFonts w:asciiTheme="majorBidi" w:hAnsiTheme="majorBidi" w:cstheme="majorBidi"/>
        </w:rPr>
        <w:t>000</w:t>
      </w:r>
      <w:r w:rsidR="000F7900">
        <w:rPr>
          <w:rFonts w:asciiTheme="majorBidi" w:hAnsiTheme="majorBidi" w:cstheme="majorBidi"/>
        </w:rPr>
        <w:t> </w:t>
      </w:r>
      <w:r w:rsidR="00B45A6B" w:rsidRPr="00B45A6B">
        <w:rPr>
          <w:rFonts w:asciiTheme="majorBidi" w:hAnsiTheme="majorBidi" w:cstheme="majorBidi"/>
          <w:i/>
          <w:iCs/>
        </w:rPr>
        <w:t>euro</w:t>
      </w:r>
      <w:r w:rsidR="00B45A6B">
        <w:rPr>
          <w:rFonts w:asciiTheme="majorBidi" w:hAnsiTheme="majorBidi" w:cstheme="majorBidi"/>
        </w:rPr>
        <w:t xml:space="preserve"> apmērā. Tiesa atzina, ka pietiekama taisnīga atlīdzība par jebkādu nemantisko kaitējumu, ko pieteicējs ir cietis, ir pārkāpuma konstatācija pati par sevi. </w:t>
      </w:r>
      <w:r w:rsidR="000F43B9">
        <w:rPr>
          <w:rFonts w:asciiTheme="majorBidi" w:hAnsiTheme="majorBidi" w:cstheme="majorBidi"/>
        </w:rPr>
        <w:t>Tā</w:t>
      </w:r>
      <w:r w:rsidR="00C12A4C">
        <w:rPr>
          <w:rFonts w:asciiTheme="majorBidi" w:hAnsiTheme="majorBidi" w:cstheme="majorBidi"/>
        </w:rPr>
        <w:t>dējādi</w:t>
      </w:r>
      <w:r w:rsidR="000F43B9">
        <w:rPr>
          <w:rFonts w:asciiTheme="majorBidi" w:hAnsiTheme="majorBidi" w:cstheme="majorBidi"/>
        </w:rPr>
        <w:t xml:space="preserve"> </w:t>
      </w:r>
      <w:r w:rsidR="00C12A4C">
        <w:rPr>
          <w:rFonts w:asciiTheme="majorBidi" w:hAnsiTheme="majorBidi" w:cstheme="majorBidi"/>
        </w:rPr>
        <w:t>Eiropas Cilvēktiesību tiesa ir izskatījusi pieteicēja prasījumu par nemantiskā kaitējuma atlīdzināšanu un ir noteikusi to, kāds atlīdzinājums viņam pienākas.</w:t>
      </w:r>
    </w:p>
    <w:p w14:paraId="24CFF0F0" w14:textId="77777777" w:rsidR="00FF6FE3" w:rsidRDefault="00FF6FE3" w:rsidP="006B2310">
      <w:pPr>
        <w:spacing w:line="276" w:lineRule="auto"/>
        <w:ind w:firstLine="720"/>
        <w:jc w:val="both"/>
        <w:rPr>
          <w:rFonts w:asciiTheme="majorBidi" w:hAnsiTheme="majorBidi" w:cstheme="majorBidi"/>
        </w:rPr>
      </w:pPr>
    </w:p>
    <w:p w14:paraId="60ED9214" w14:textId="62184C03" w:rsidR="00665F51" w:rsidRDefault="009907A0" w:rsidP="006B2310">
      <w:pPr>
        <w:spacing w:line="276" w:lineRule="auto"/>
        <w:ind w:firstLine="720"/>
        <w:jc w:val="both"/>
        <w:rPr>
          <w:rFonts w:asciiTheme="majorBidi" w:hAnsiTheme="majorBidi" w:cstheme="majorBidi"/>
        </w:rPr>
      </w:pPr>
      <w:r>
        <w:rPr>
          <w:rFonts w:asciiTheme="majorBidi" w:hAnsiTheme="majorBidi" w:cstheme="majorBidi"/>
        </w:rPr>
        <w:t>[</w:t>
      </w:r>
      <w:r w:rsidR="00AC1034">
        <w:rPr>
          <w:rFonts w:asciiTheme="majorBidi" w:hAnsiTheme="majorBidi" w:cstheme="majorBidi"/>
        </w:rPr>
        <w:t>17</w:t>
      </w:r>
      <w:r>
        <w:rPr>
          <w:rFonts w:asciiTheme="majorBidi" w:hAnsiTheme="majorBidi" w:cstheme="majorBidi"/>
        </w:rPr>
        <w:t>] Administratīvā procesa likuma 191.panta pirmās daļas 3.punktā noteikts, ka tiesnesis atsakās pieņemt pieteikumu, ja lietā starp tiem pašiem administratīvā procesa dalībniekiem, par to pašu priekšmetu un uz tā paša pamata ir spēkā stājies tiesas spriedums vai tiesas lēmums izbeigt tiesvedību vai tiesneša lēmums atteikties pieņemt pieteikumu sakarā ar pieteicēja atteikšanos no prasījuma.</w:t>
      </w:r>
    </w:p>
    <w:p w14:paraId="40DD2AD7" w14:textId="5AF2B7D7" w:rsidR="009907A0" w:rsidRDefault="009907A0" w:rsidP="006B2310">
      <w:pPr>
        <w:spacing w:line="276" w:lineRule="auto"/>
        <w:ind w:firstLine="720"/>
        <w:jc w:val="both"/>
        <w:rPr>
          <w:rFonts w:asciiTheme="majorBidi" w:hAnsiTheme="majorBidi" w:cstheme="majorBidi"/>
        </w:rPr>
      </w:pPr>
      <w:r w:rsidRPr="009907A0">
        <w:rPr>
          <w:rFonts w:asciiTheme="majorBidi" w:hAnsiTheme="majorBidi" w:cstheme="majorBidi"/>
        </w:rPr>
        <w:t>Satversmes tiesa ir atzinusi, ka</w:t>
      </w:r>
      <w:r w:rsidR="006D5207">
        <w:rPr>
          <w:rFonts w:asciiTheme="majorBidi" w:hAnsiTheme="majorBidi" w:cstheme="majorBidi"/>
        </w:rPr>
        <w:t xml:space="preserve"> t</w:t>
      </w:r>
      <w:r w:rsidR="006D5207" w:rsidRPr="006D5207">
        <w:rPr>
          <w:rFonts w:asciiTheme="majorBidi" w:hAnsiTheme="majorBidi" w:cstheme="majorBidi"/>
        </w:rPr>
        <w:t xml:space="preserve">iesiskās noteiktības princips uzliek valstij pienākumu nodrošināt tiesisko attiecību stabilitāti, kā arī ievērot tiesiskās paļāvības principu. Tādējādi tiesu nolēmumi, kas kļuvuši galīgi pēc tam, kad ir izmantoti visi pieejamie tiesību aizsardzības līdzekļi (izmantotas visas pārsūdzības iespējas), vai pēc tam, kad beidzies to izmantošanas termiņš, vairs nevarētu tikt pārskatīti un uz tiem būtu attiecināms </w:t>
      </w:r>
      <w:r w:rsidR="006D5207" w:rsidRPr="006D5207">
        <w:rPr>
          <w:rFonts w:asciiTheme="majorBidi" w:hAnsiTheme="majorBidi" w:cstheme="majorBidi"/>
          <w:i/>
          <w:iCs/>
        </w:rPr>
        <w:t>res judicata</w:t>
      </w:r>
      <w:r w:rsidR="006D5207" w:rsidRPr="006D5207">
        <w:rPr>
          <w:rFonts w:asciiTheme="majorBidi" w:hAnsiTheme="majorBidi" w:cstheme="majorBidi"/>
        </w:rPr>
        <w:t xml:space="preserve"> princips.</w:t>
      </w:r>
      <w:r w:rsidR="006D5207">
        <w:rPr>
          <w:rFonts w:asciiTheme="majorBidi" w:hAnsiTheme="majorBidi" w:cstheme="majorBidi"/>
        </w:rPr>
        <w:t xml:space="preserve"> </w:t>
      </w:r>
      <w:r w:rsidR="006D5207" w:rsidRPr="006D5207">
        <w:rPr>
          <w:rFonts w:asciiTheme="majorBidi" w:hAnsiTheme="majorBidi" w:cstheme="majorBidi"/>
        </w:rPr>
        <w:t>Satversmes</w:t>
      </w:r>
      <w:r w:rsidR="006D5207">
        <w:rPr>
          <w:rFonts w:asciiTheme="majorBidi" w:hAnsiTheme="majorBidi" w:cstheme="majorBidi"/>
        </w:rPr>
        <w:t xml:space="preserve"> </w:t>
      </w:r>
      <w:r w:rsidR="006D5207" w:rsidRPr="006D5207">
        <w:rPr>
          <w:rFonts w:asciiTheme="majorBidi" w:hAnsiTheme="majorBidi" w:cstheme="majorBidi"/>
        </w:rPr>
        <w:t xml:space="preserve">92.pantā noteikto tiesību uz taisnīgu tiesu saturu veido arī </w:t>
      </w:r>
      <w:r w:rsidR="006D5207" w:rsidRPr="006D5207">
        <w:rPr>
          <w:rFonts w:asciiTheme="majorBidi" w:hAnsiTheme="majorBidi" w:cstheme="majorBidi"/>
          <w:i/>
          <w:iCs/>
        </w:rPr>
        <w:t>res judicata</w:t>
      </w:r>
      <w:r w:rsidR="006D5207" w:rsidRPr="006D5207">
        <w:rPr>
          <w:rFonts w:asciiTheme="majorBidi" w:hAnsiTheme="majorBidi" w:cstheme="majorBidi"/>
        </w:rPr>
        <w:t xml:space="preserve"> princips</w:t>
      </w:r>
      <w:r w:rsidR="006D5207">
        <w:rPr>
          <w:rFonts w:asciiTheme="majorBidi" w:hAnsiTheme="majorBidi" w:cstheme="majorBidi"/>
        </w:rPr>
        <w:t xml:space="preserve"> </w:t>
      </w:r>
      <w:r w:rsidR="006D5207" w:rsidRPr="006D5207">
        <w:rPr>
          <w:rFonts w:asciiTheme="majorBidi" w:hAnsiTheme="majorBidi" w:cstheme="majorBidi"/>
        </w:rPr>
        <w:t>(</w:t>
      </w:r>
      <w:r w:rsidR="006D5207" w:rsidRPr="00620E69">
        <w:rPr>
          <w:rFonts w:asciiTheme="majorBidi" w:hAnsiTheme="majorBidi" w:cstheme="majorBidi"/>
        </w:rPr>
        <w:t>sk.</w:t>
      </w:r>
      <w:r w:rsidR="006D5207" w:rsidRPr="006D5207">
        <w:rPr>
          <w:rFonts w:asciiTheme="majorBidi" w:hAnsiTheme="majorBidi" w:cstheme="majorBidi"/>
          <w:i/>
          <w:iCs/>
        </w:rPr>
        <w:t xml:space="preserve"> Satversmes tiesas 2014.gada 9.janvāra sprieduma lietā Nr. </w:t>
      </w:r>
      <w:hyperlink r:id="rId16" w:history="1">
        <w:r w:rsidR="006D5207" w:rsidRPr="00E8373E">
          <w:rPr>
            <w:rStyle w:val="Hyperlink"/>
            <w:rFonts w:asciiTheme="majorBidi" w:hAnsiTheme="majorBidi" w:cstheme="majorBidi"/>
            <w:i/>
            <w:iCs/>
          </w:rPr>
          <w:t>2013-08-01</w:t>
        </w:r>
      </w:hyperlink>
      <w:r w:rsidR="006D5207" w:rsidRPr="006D5207">
        <w:rPr>
          <w:rFonts w:asciiTheme="majorBidi" w:hAnsiTheme="majorBidi" w:cstheme="majorBidi"/>
          <w:i/>
          <w:iCs/>
        </w:rPr>
        <w:t xml:space="preserve"> 7.punktu</w:t>
      </w:r>
      <w:r w:rsidR="006D5207">
        <w:rPr>
          <w:rFonts w:asciiTheme="majorBidi" w:hAnsiTheme="majorBidi" w:cstheme="majorBidi"/>
        </w:rPr>
        <w:t>)</w:t>
      </w:r>
      <w:r w:rsidR="006D5207" w:rsidRPr="006D5207">
        <w:rPr>
          <w:rFonts w:asciiTheme="majorBidi" w:hAnsiTheme="majorBidi" w:cstheme="majorBidi"/>
        </w:rPr>
        <w:t>.</w:t>
      </w:r>
      <w:r w:rsidR="006D5207">
        <w:rPr>
          <w:rFonts w:asciiTheme="majorBidi" w:hAnsiTheme="majorBidi" w:cstheme="majorBidi"/>
        </w:rPr>
        <w:t xml:space="preserve"> </w:t>
      </w:r>
      <w:r w:rsidR="006D5207" w:rsidRPr="006D5207">
        <w:rPr>
          <w:rFonts w:asciiTheme="majorBidi" w:hAnsiTheme="majorBidi" w:cstheme="majorBidi"/>
          <w:i/>
          <w:iCs/>
        </w:rPr>
        <w:t>Res judicata</w:t>
      </w:r>
      <w:r w:rsidR="006D5207" w:rsidRPr="006D5207">
        <w:rPr>
          <w:rFonts w:asciiTheme="majorBidi" w:hAnsiTheme="majorBidi" w:cstheme="majorBidi"/>
        </w:rPr>
        <w:t xml:space="preserve"> principam ir pozitīvais aspekts – spriedumam ir pierādījuma spēks citā lietā –, kā arī negatīvais aspekts – nav pieļaujama atkārtota vēršanās tiesā par jau izspriestiem jautājumiem (</w:t>
      </w:r>
      <w:r w:rsidR="006D5207" w:rsidRPr="00620E69">
        <w:rPr>
          <w:rFonts w:asciiTheme="majorBidi" w:hAnsiTheme="majorBidi" w:cstheme="majorBidi"/>
        </w:rPr>
        <w:t>sk.</w:t>
      </w:r>
      <w:r w:rsidR="006D5207" w:rsidRPr="006D5207">
        <w:rPr>
          <w:rFonts w:asciiTheme="majorBidi" w:hAnsiTheme="majorBidi" w:cstheme="majorBidi"/>
          <w:i/>
          <w:iCs/>
        </w:rPr>
        <w:t xml:space="preserve"> Satversmes tiesas 2012.gada 1.novembra sprieduma lietā Nr.</w:t>
      </w:r>
      <w:r w:rsidR="006D5207">
        <w:rPr>
          <w:rFonts w:asciiTheme="majorBidi" w:hAnsiTheme="majorBidi" w:cstheme="majorBidi"/>
          <w:i/>
          <w:iCs/>
        </w:rPr>
        <w:t> </w:t>
      </w:r>
      <w:hyperlink r:id="rId17" w:history="1">
        <w:r w:rsidR="006D5207" w:rsidRPr="00E8373E">
          <w:rPr>
            <w:rStyle w:val="Hyperlink"/>
            <w:rFonts w:asciiTheme="majorBidi" w:hAnsiTheme="majorBidi" w:cstheme="majorBidi"/>
            <w:i/>
            <w:iCs/>
          </w:rPr>
          <w:t>2012-06-01</w:t>
        </w:r>
      </w:hyperlink>
      <w:r w:rsidR="006D5207" w:rsidRPr="006D5207">
        <w:rPr>
          <w:rFonts w:asciiTheme="majorBidi" w:hAnsiTheme="majorBidi" w:cstheme="majorBidi"/>
          <w:i/>
          <w:iCs/>
        </w:rPr>
        <w:t xml:space="preserve"> 12.punktu un 2014.gada 9.janvāra sprieduma lietā Nr.</w:t>
      </w:r>
      <w:r w:rsidR="006D5207">
        <w:rPr>
          <w:rFonts w:asciiTheme="majorBidi" w:hAnsiTheme="majorBidi" w:cstheme="majorBidi"/>
          <w:i/>
          <w:iCs/>
        </w:rPr>
        <w:t> </w:t>
      </w:r>
      <w:hyperlink r:id="rId18" w:history="1">
        <w:r w:rsidR="006D5207" w:rsidRPr="00E8373E">
          <w:rPr>
            <w:rStyle w:val="Hyperlink"/>
            <w:rFonts w:asciiTheme="majorBidi" w:hAnsiTheme="majorBidi" w:cstheme="majorBidi"/>
            <w:i/>
            <w:iCs/>
          </w:rPr>
          <w:t>2013-08-01</w:t>
        </w:r>
      </w:hyperlink>
      <w:r w:rsidR="006D5207" w:rsidRPr="006D5207">
        <w:rPr>
          <w:rFonts w:asciiTheme="majorBidi" w:hAnsiTheme="majorBidi" w:cstheme="majorBidi"/>
          <w:i/>
          <w:iCs/>
        </w:rPr>
        <w:t xml:space="preserve"> 7.punktu</w:t>
      </w:r>
      <w:r w:rsidR="006D5207" w:rsidRPr="006D5207">
        <w:rPr>
          <w:rFonts w:asciiTheme="majorBidi" w:hAnsiTheme="majorBidi" w:cstheme="majorBidi"/>
        </w:rPr>
        <w:t xml:space="preserve">). </w:t>
      </w:r>
      <w:r w:rsidR="00C12A4C" w:rsidRPr="00C12A4C">
        <w:rPr>
          <w:rFonts w:asciiTheme="majorBidi" w:hAnsiTheme="majorBidi" w:cstheme="majorBidi"/>
          <w:i/>
          <w:iCs/>
        </w:rPr>
        <w:t>R</w:t>
      </w:r>
      <w:r w:rsidR="006D5207" w:rsidRPr="006D5207">
        <w:rPr>
          <w:rFonts w:asciiTheme="majorBidi" w:hAnsiTheme="majorBidi" w:cstheme="majorBidi"/>
          <w:i/>
          <w:iCs/>
        </w:rPr>
        <w:t>es judicata</w:t>
      </w:r>
      <w:r w:rsidR="006D5207" w:rsidRPr="006D5207">
        <w:rPr>
          <w:rFonts w:asciiTheme="majorBidi" w:hAnsiTheme="majorBidi" w:cstheme="majorBidi"/>
        </w:rPr>
        <w:t xml:space="preserve"> principu savā darbā jāievēro tiesām, lemjot par pieteikumu pieņemšanu un izskatot konkrētus tiesību strīdus, tādējādi nodrošinot personām tiesības uz taisnīgu tiesu.</w:t>
      </w:r>
    </w:p>
    <w:p w14:paraId="45C8727C" w14:textId="450DC8CE" w:rsidR="00620E69" w:rsidRDefault="00D06D13" w:rsidP="006B2310">
      <w:pPr>
        <w:spacing w:line="276" w:lineRule="auto"/>
        <w:ind w:firstLine="720"/>
        <w:jc w:val="both"/>
        <w:rPr>
          <w:rFonts w:asciiTheme="majorBidi" w:hAnsiTheme="majorBidi" w:cstheme="majorBidi"/>
        </w:rPr>
      </w:pPr>
      <w:r>
        <w:rPr>
          <w:rFonts w:asciiTheme="majorBidi" w:hAnsiTheme="majorBidi" w:cstheme="majorBidi"/>
        </w:rPr>
        <w:t xml:space="preserve">Senāts ņem vērā, ka </w:t>
      </w:r>
      <w:r w:rsidR="006D5207">
        <w:rPr>
          <w:rFonts w:asciiTheme="majorBidi" w:hAnsiTheme="majorBidi" w:cstheme="majorBidi"/>
        </w:rPr>
        <w:t xml:space="preserve">ar Eiropas Cilvēktiesību tiesas spriedumu atzīts pret pieteicēju </w:t>
      </w:r>
      <w:r w:rsidR="002A6F04">
        <w:rPr>
          <w:rFonts w:asciiTheme="majorBidi" w:hAnsiTheme="majorBidi" w:cstheme="majorBidi"/>
        </w:rPr>
        <w:t xml:space="preserve">konkrētā kriminālprocesā </w:t>
      </w:r>
      <w:r w:rsidR="006D5207">
        <w:rPr>
          <w:rFonts w:asciiTheme="majorBidi" w:hAnsiTheme="majorBidi" w:cstheme="majorBidi"/>
        </w:rPr>
        <w:t>pieļauts cilvēktiesību pārkāpums,</w:t>
      </w:r>
      <w:r>
        <w:rPr>
          <w:rFonts w:asciiTheme="majorBidi" w:hAnsiTheme="majorBidi" w:cstheme="majorBidi"/>
        </w:rPr>
        <w:t xml:space="preserve"> par kuru piespriests </w:t>
      </w:r>
      <w:r w:rsidR="00C12A4C">
        <w:rPr>
          <w:rFonts w:asciiTheme="majorBidi" w:hAnsiTheme="majorBidi" w:cstheme="majorBidi"/>
        </w:rPr>
        <w:t xml:space="preserve">arī nemantiskā kaitējuma </w:t>
      </w:r>
      <w:r>
        <w:rPr>
          <w:rFonts w:asciiTheme="majorBidi" w:hAnsiTheme="majorBidi" w:cstheme="majorBidi"/>
        </w:rPr>
        <w:t xml:space="preserve">atlīdzinājums (pārkāpuma konstatācija). </w:t>
      </w:r>
      <w:r w:rsidR="00C12A4C">
        <w:rPr>
          <w:rFonts w:asciiTheme="majorBidi" w:hAnsiTheme="majorBidi" w:cstheme="majorBidi"/>
        </w:rPr>
        <w:t>Tomēr tagad ar prasījumu par nemantiskā kaitējuma atlīdzinājumu saistībā ar šo pašu pārkāpumu</w:t>
      </w:r>
      <w:r>
        <w:rPr>
          <w:rFonts w:asciiTheme="majorBidi" w:hAnsiTheme="majorBidi" w:cstheme="majorBidi"/>
        </w:rPr>
        <w:t xml:space="preserve"> pieteicējs ir vērsies administratīvajā tiesā. Pieteikumā un blakus sūdzībā nav norādīti tādi apstākļi, no kuriem varētu secināt, ka prasījums par </w:t>
      </w:r>
      <w:r w:rsidR="00C12A4C">
        <w:rPr>
          <w:rFonts w:asciiTheme="majorBidi" w:hAnsiTheme="majorBidi" w:cstheme="majorBidi"/>
        </w:rPr>
        <w:t xml:space="preserve">nemantiskā kaitējuma </w:t>
      </w:r>
      <w:r>
        <w:rPr>
          <w:rFonts w:asciiTheme="majorBidi" w:hAnsiTheme="majorBidi" w:cstheme="majorBidi"/>
        </w:rPr>
        <w:t xml:space="preserve">atlīdzinājumu pēc būtības nav izspriests jau Eiropas Cilvēktiesību tiesā. Turklāt ir paredzams, ka lietas ierosināšanas gadījumā potenciālie lietas dalībnieki </w:t>
      </w:r>
      <w:r w:rsidR="00821F29">
        <w:rPr>
          <w:rFonts w:asciiTheme="majorBidi" w:hAnsiTheme="majorBidi" w:cstheme="majorBidi"/>
        </w:rPr>
        <w:t xml:space="preserve">šajā lietas daļā </w:t>
      </w:r>
      <w:r>
        <w:rPr>
          <w:rFonts w:asciiTheme="majorBidi" w:hAnsiTheme="majorBidi" w:cstheme="majorBidi"/>
        </w:rPr>
        <w:t xml:space="preserve">būtu tie paši, kas tiesvedībā Eiropas Cilvēktiesību tiesā izskatītajā lietā. </w:t>
      </w:r>
    </w:p>
    <w:p w14:paraId="690CEE69" w14:textId="75104D0E" w:rsidR="00D06D13" w:rsidRDefault="00D06D13" w:rsidP="006B2310">
      <w:pPr>
        <w:spacing w:line="276" w:lineRule="auto"/>
        <w:ind w:firstLine="720"/>
        <w:jc w:val="both"/>
        <w:rPr>
          <w:rFonts w:asciiTheme="majorBidi" w:hAnsiTheme="majorBidi" w:cstheme="majorBidi"/>
        </w:rPr>
      </w:pPr>
      <w:r>
        <w:rPr>
          <w:rFonts w:asciiTheme="majorBidi" w:hAnsiTheme="majorBidi" w:cstheme="majorBidi"/>
        </w:rPr>
        <w:t xml:space="preserve">Ņemot vērā </w:t>
      </w:r>
      <w:r w:rsidR="00485E15">
        <w:rPr>
          <w:rFonts w:asciiTheme="majorBidi" w:hAnsiTheme="majorBidi" w:cstheme="majorBidi"/>
        </w:rPr>
        <w:t xml:space="preserve">minēto un </w:t>
      </w:r>
      <w:r>
        <w:rPr>
          <w:rFonts w:asciiTheme="majorBidi" w:hAnsiTheme="majorBidi" w:cstheme="majorBidi"/>
        </w:rPr>
        <w:t xml:space="preserve">Eiropas Cilvēktiesību tiesas sprieduma saistošo raksturu, Senāts atzīst, ka pieteicēja prasījums par nemantiskā kaitējuma atlīdzinājumu saistībā </w:t>
      </w:r>
      <w:r w:rsidR="00620E69">
        <w:rPr>
          <w:rFonts w:asciiTheme="majorBidi" w:hAnsiTheme="majorBidi" w:cstheme="majorBidi"/>
        </w:rPr>
        <w:t xml:space="preserve">ar </w:t>
      </w:r>
      <w:r>
        <w:rPr>
          <w:rFonts w:asciiTheme="majorBidi" w:hAnsiTheme="majorBidi" w:cstheme="majorBidi"/>
        </w:rPr>
        <w:t xml:space="preserve">Eiropas Cilvēktiesību tiesas atzīto cilvēktiesību pārkāpumu </w:t>
      </w:r>
      <w:r w:rsidR="00485E15">
        <w:rPr>
          <w:rFonts w:asciiTheme="majorBidi" w:hAnsiTheme="majorBidi" w:cstheme="majorBidi"/>
        </w:rPr>
        <w:t xml:space="preserve">konkrētajā kriminālprocesā pret pieteicēju </w:t>
      </w:r>
      <w:r w:rsidR="000A105F">
        <w:rPr>
          <w:rFonts w:asciiTheme="majorBidi" w:hAnsiTheme="majorBidi" w:cstheme="majorBidi"/>
        </w:rPr>
        <w:t>ir izspriests</w:t>
      </w:r>
      <w:r w:rsidR="00485E15">
        <w:rPr>
          <w:rFonts w:asciiTheme="majorBidi" w:hAnsiTheme="majorBidi" w:cstheme="majorBidi"/>
        </w:rPr>
        <w:t>. Tādējādi atkārtota vēršanās tiesā</w:t>
      </w:r>
      <w:r w:rsidR="000A105F">
        <w:rPr>
          <w:rFonts w:asciiTheme="majorBidi" w:hAnsiTheme="majorBidi" w:cstheme="majorBidi"/>
        </w:rPr>
        <w:t xml:space="preserve"> par to pašu priekšmetu un uz tā paša pamata </w:t>
      </w:r>
      <w:r w:rsidR="00485E15">
        <w:rPr>
          <w:rFonts w:asciiTheme="majorBidi" w:hAnsiTheme="majorBidi" w:cstheme="majorBidi"/>
        </w:rPr>
        <w:t xml:space="preserve">nav pieļaujama. Tas ir pamats atteikt </w:t>
      </w:r>
      <w:r w:rsidR="001F4373">
        <w:rPr>
          <w:rFonts w:asciiTheme="majorBidi" w:hAnsiTheme="majorBidi" w:cstheme="majorBidi"/>
        </w:rPr>
        <w:t xml:space="preserve">pieņemt </w:t>
      </w:r>
      <w:r w:rsidR="00485E15">
        <w:rPr>
          <w:rFonts w:asciiTheme="majorBidi" w:hAnsiTheme="majorBidi" w:cstheme="majorBidi"/>
        </w:rPr>
        <w:t>pieteicēja pieteikumu, pamatojoties uz Administratīvā procesa likuma 191.panta pirmās daļas 3.punktu.</w:t>
      </w:r>
    </w:p>
    <w:p w14:paraId="782B0B0D" w14:textId="77777777" w:rsidR="00226D37" w:rsidRDefault="00226D37" w:rsidP="006B2310">
      <w:pPr>
        <w:spacing w:line="276" w:lineRule="auto"/>
        <w:ind w:firstLine="720"/>
        <w:jc w:val="both"/>
        <w:rPr>
          <w:rFonts w:asciiTheme="majorBidi" w:hAnsiTheme="majorBidi" w:cstheme="majorBidi"/>
        </w:rPr>
      </w:pPr>
    </w:p>
    <w:p w14:paraId="6352A133" w14:textId="787A8D91" w:rsidR="00BC0979" w:rsidRDefault="00226D37" w:rsidP="006B2310">
      <w:pPr>
        <w:spacing w:line="276" w:lineRule="auto"/>
        <w:ind w:firstLine="720"/>
        <w:jc w:val="both"/>
        <w:rPr>
          <w:rFonts w:asciiTheme="majorBidi" w:hAnsiTheme="majorBidi" w:cstheme="majorBidi"/>
        </w:rPr>
      </w:pPr>
      <w:r w:rsidRPr="00821F29">
        <w:rPr>
          <w:rFonts w:asciiTheme="majorBidi" w:hAnsiTheme="majorBidi" w:cstheme="majorBidi"/>
        </w:rPr>
        <w:t>[</w:t>
      </w:r>
      <w:r w:rsidR="00AC1034" w:rsidRPr="00821F29">
        <w:rPr>
          <w:rFonts w:asciiTheme="majorBidi" w:hAnsiTheme="majorBidi" w:cstheme="majorBidi"/>
        </w:rPr>
        <w:t>18</w:t>
      </w:r>
      <w:r w:rsidRPr="00821F29">
        <w:rPr>
          <w:rFonts w:asciiTheme="majorBidi" w:hAnsiTheme="majorBidi" w:cstheme="majorBidi"/>
        </w:rPr>
        <w:t>] </w:t>
      </w:r>
      <w:r w:rsidR="00BC0979" w:rsidRPr="00821F29">
        <w:rPr>
          <w:rFonts w:asciiTheme="majorBidi" w:hAnsiTheme="majorBidi" w:cstheme="majorBidi"/>
        </w:rPr>
        <w:t>Pieteicēja atsaukšanās uz Atlīdzināšanas likuma 15.pantu</w:t>
      </w:r>
      <w:r w:rsidR="00821F29" w:rsidRPr="00821F29">
        <w:rPr>
          <w:rFonts w:asciiTheme="majorBidi" w:hAnsiTheme="majorBidi" w:cstheme="majorBidi"/>
        </w:rPr>
        <w:t xml:space="preserve">, kas regulē ar nepamatotu vai prettiesisku brīvības ierobežošanu nodarīta nemantiskā kaitējuma atlīdzības apmēra noteikšanu, </w:t>
      </w:r>
      <w:r w:rsidR="000777F2" w:rsidRPr="00821F29">
        <w:rPr>
          <w:rFonts w:asciiTheme="majorBidi" w:hAnsiTheme="majorBidi" w:cstheme="majorBidi"/>
        </w:rPr>
        <w:t xml:space="preserve">nevar ietekmēt </w:t>
      </w:r>
      <w:r w:rsidR="00BC0979" w:rsidRPr="00821F29">
        <w:rPr>
          <w:rFonts w:asciiTheme="majorBidi" w:hAnsiTheme="majorBidi" w:cstheme="majorBidi"/>
        </w:rPr>
        <w:t xml:space="preserve">minēto secinājumu, jo </w:t>
      </w:r>
      <w:r w:rsidR="000777F2" w:rsidRPr="00821F29">
        <w:rPr>
          <w:rFonts w:asciiTheme="majorBidi" w:hAnsiTheme="majorBidi" w:cstheme="majorBidi"/>
        </w:rPr>
        <w:t xml:space="preserve">pieteicējs prasījis </w:t>
      </w:r>
      <w:r w:rsidR="00C12A4C">
        <w:rPr>
          <w:rFonts w:asciiTheme="majorBidi" w:hAnsiTheme="majorBidi" w:cstheme="majorBidi"/>
        </w:rPr>
        <w:t xml:space="preserve">nemantiskā kaitējuma atlīdzinājumu </w:t>
      </w:r>
      <w:r w:rsidR="000777F2" w:rsidRPr="00821F29">
        <w:rPr>
          <w:rFonts w:asciiTheme="majorBidi" w:hAnsiTheme="majorBidi" w:cstheme="majorBidi"/>
        </w:rPr>
        <w:t>par Eiropas Cilvēktiesību tiesa</w:t>
      </w:r>
      <w:r w:rsidR="00C12A4C">
        <w:rPr>
          <w:rFonts w:asciiTheme="majorBidi" w:hAnsiTheme="majorBidi" w:cstheme="majorBidi"/>
        </w:rPr>
        <w:t>s atzīto pārkāpumu, un tieši šādu prasījumu saistībā ar konstatēto pārkāpumu jau ir izspriedusi pati Eiropas Cilvēktiesību tiesa.</w:t>
      </w:r>
    </w:p>
    <w:p w14:paraId="5023FD54" w14:textId="77777777" w:rsidR="00D07C19" w:rsidRDefault="00D07C19" w:rsidP="006B2310">
      <w:pPr>
        <w:spacing w:line="276" w:lineRule="auto"/>
        <w:ind w:firstLine="720"/>
        <w:jc w:val="both"/>
        <w:rPr>
          <w:rFonts w:asciiTheme="majorBidi" w:hAnsiTheme="majorBidi" w:cstheme="majorBidi"/>
        </w:rPr>
      </w:pPr>
    </w:p>
    <w:p w14:paraId="5E010D4F" w14:textId="494D44AA" w:rsidR="00CE05CF" w:rsidRDefault="00D07C19" w:rsidP="006B2310">
      <w:pPr>
        <w:spacing w:line="276" w:lineRule="auto"/>
        <w:ind w:firstLine="720"/>
        <w:jc w:val="both"/>
      </w:pPr>
      <w:r>
        <w:rPr>
          <w:rFonts w:asciiTheme="majorBidi" w:hAnsiTheme="majorBidi" w:cstheme="majorBidi"/>
        </w:rPr>
        <w:t xml:space="preserve">[19] Rezumējot minēto, </w:t>
      </w:r>
      <w:r w:rsidRPr="00D07C19">
        <w:rPr>
          <w:rFonts w:asciiTheme="majorBidi" w:hAnsiTheme="majorBidi" w:cstheme="majorBidi"/>
        </w:rPr>
        <w:t xml:space="preserve">pārsūdzētais Administratīvās rajona tiesas tiesneša lēmums ir atceļams daļā, kurā tiesnesis </w:t>
      </w:r>
      <w:r w:rsidR="00CE05CF">
        <w:rPr>
          <w:rFonts w:asciiTheme="majorBidi" w:hAnsiTheme="majorBidi" w:cstheme="majorBidi"/>
        </w:rPr>
        <w:t>ir atzinis, ka</w:t>
      </w:r>
      <w:r w:rsidRPr="00D07C19">
        <w:rPr>
          <w:rFonts w:asciiTheme="majorBidi" w:hAnsiTheme="majorBidi" w:cstheme="majorBidi"/>
        </w:rPr>
        <w:t xml:space="preserve"> pieteicēja </w:t>
      </w:r>
      <w:r w:rsidR="006B2310">
        <w:rPr>
          <w:rFonts w:asciiTheme="majorBidi" w:hAnsiTheme="majorBidi" w:cstheme="majorBidi"/>
        </w:rPr>
        <w:t xml:space="preserve">[pers. B] </w:t>
      </w:r>
      <w:r w:rsidRPr="00D07C19">
        <w:rPr>
          <w:rFonts w:asciiTheme="majorBidi" w:hAnsiTheme="majorBidi" w:cstheme="majorBidi"/>
        </w:rPr>
        <w:t xml:space="preserve">pieteikumu daļā par </w:t>
      </w:r>
      <w:r>
        <w:rPr>
          <w:rFonts w:asciiTheme="majorBidi" w:hAnsiTheme="majorBidi" w:cstheme="majorBidi"/>
        </w:rPr>
        <w:t>nemantiskā kaitējumu</w:t>
      </w:r>
      <w:r w:rsidRPr="00D07C19">
        <w:rPr>
          <w:rFonts w:asciiTheme="majorBidi" w:hAnsiTheme="majorBidi" w:cstheme="majorBidi"/>
        </w:rPr>
        <w:t xml:space="preserve"> atlīdzinājumu</w:t>
      </w:r>
      <w:r w:rsidR="00CE05CF">
        <w:rPr>
          <w:rFonts w:asciiTheme="majorBidi" w:hAnsiTheme="majorBidi" w:cstheme="majorBidi"/>
        </w:rPr>
        <w:t xml:space="preserve"> ir jāatsaka pieņemt, </w:t>
      </w:r>
      <w:r w:rsidR="00CE05CF">
        <w:t xml:space="preserve">pamatojoties uz Administratīvā procesa likuma 191.panta pirmās daļas 8.punktu. Šajā daļā pieteikumu ir jāatsaka pieņemt, pamatojoties uz Administratīvā procesa likuma 191.panta pirmās daļas </w:t>
      </w:r>
      <w:r w:rsidR="00876BC0">
        <w:t>3</w:t>
      </w:r>
      <w:r w:rsidR="00CE05CF">
        <w:t>.punktu.</w:t>
      </w:r>
    </w:p>
    <w:p w14:paraId="29EDFCF4" w14:textId="77777777" w:rsidR="001C23FF" w:rsidRDefault="001C23FF" w:rsidP="006B2310">
      <w:pPr>
        <w:spacing w:line="276" w:lineRule="auto"/>
        <w:jc w:val="both"/>
        <w:rPr>
          <w:rFonts w:asciiTheme="majorBidi" w:hAnsiTheme="majorBidi" w:cstheme="majorBidi"/>
        </w:rPr>
      </w:pPr>
    </w:p>
    <w:p w14:paraId="1990E202" w14:textId="35225450" w:rsidR="001C23FF" w:rsidRPr="001C23FF" w:rsidRDefault="001C23FF" w:rsidP="006B2310">
      <w:pPr>
        <w:spacing w:line="276" w:lineRule="auto"/>
        <w:jc w:val="center"/>
        <w:rPr>
          <w:rFonts w:asciiTheme="majorBidi" w:hAnsiTheme="majorBidi" w:cstheme="majorBidi"/>
          <w:b/>
          <w:bCs/>
        </w:rPr>
      </w:pPr>
      <w:r w:rsidRPr="001C23FF">
        <w:rPr>
          <w:rFonts w:asciiTheme="majorBidi" w:hAnsiTheme="majorBidi" w:cstheme="majorBidi"/>
          <w:b/>
          <w:bCs/>
        </w:rPr>
        <w:t>II</w:t>
      </w:r>
    </w:p>
    <w:p w14:paraId="2232E2BA" w14:textId="277B57E8" w:rsidR="001C23FF" w:rsidRPr="001C23FF" w:rsidRDefault="001C23FF" w:rsidP="006B2310">
      <w:pPr>
        <w:spacing w:line="276" w:lineRule="auto"/>
        <w:jc w:val="center"/>
        <w:rPr>
          <w:rFonts w:asciiTheme="majorBidi" w:hAnsiTheme="majorBidi" w:cstheme="majorBidi"/>
          <w:i/>
          <w:iCs/>
        </w:rPr>
      </w:pPr>
      <w:r w:rsidRPr="001C23FF">
        <w:rPr>
          <w:rFonts w:asciiTheme="majorBidi" w:hAnsiTheme="majorBidi" w:cstheme="majorBidi"/>
          <w:i/>
          <w:iCs/>
        </w:rPr>
        <w:t xml:space="preserve">Par </w:t>
      </w:r>
      <w:r w:rsidR="006B2310">
        <w:rPr>
          <w:rFonts w:asciiTheme="majorBidi" w:hAnsiTheme="majorBidi" w:cstheme="majorBidi"/>
          <w:i/>
          <w:iCs/>
        </w:rPr>
        <w:t>[pers. A]</w:t>
      </w:r>
    </w:p>
    <w:p w14:paraId="231312C5" w14:textId="77777777" w:rsidR="001C23FF" w:rsidRDefault="001C23FF" w:rsidP="006B2310">
      <w:pPr>
        <w:spacing w:line="276" w:lineRule="auto"/>
        <w:ind w:firstLine="720"/>
        <w:jc w:val="both"/>
        <w:rPr>
          <w:rFonts w:asciiTheme="majorBidi" w:hAnsiTheme="majorBidi" w:cstheme="majorBidi"/>
        </w:rPr>
      </w:pPr>
    </w:p>
    <w:p w14:paraId="3C42B996" w14:textId="645F74AA" w:rsidR="00BB781D" w:rsidRDefault="002916A6" w:rsidP="006B2310">
      <w:pPr>
        <w:spacing w:line="276" w:lineRule="auto"/>
        <w:ind w:firstLine="720"/>
        <w:jc w:val="both"/>
        <w:rPr>
          <w:rFonts w:asciiTheme="majorBidi" w:hAnsiTheme="majorBidi" w:cstheme="majorBidi"/>
        </w:rPr>
      </w:pPr>
      <w:r>
        <w:rPr>
          <w:rFonts w:asciiTheme="majorBidi" w:hAnsiTheme="majorBidi" w:cstheme="majorBidi"/>
        </w:rPr>
        <w:t>[20]</w:t>
      </w:r>
      <w:r w:rsidR="00FF3AF4">
        <w:rPr>
          <w:rFonts w:asciiTheme="majorBidi" w:hAnsiTheme="majorBidi" w:cstheme="majorBidi"/>
        </w:rPr>
        <w:t> </w:t>
      </w:r>
      <w:r w:rsidR="00FF3AF4" w:rsidRPr="00FF3AF4">
        <w:rPr>
          <w:rFonts w:asciiTheme="majorBidi" w:hAnsiTheme="majorBidi" w:cstheme="majorBidi"/>
        </w:rPr>
        <w:t xml:space="preserve">Blakus sūdzības tiesvedības ietvaros </w:t>
      </w:r>
      <w:r w:rsidR="00FF3AF4">
        <w:rPr>
          <w:rFonts w:asciiTheme="majorBidi" w:hAnsiTheme="majorBidi" w:cstheme="majorBidi"/>
        </w:rPr>
        <w:t xml:space="preserve">arī </w:t>
      </w:r>
      <w:r w:rsidR="00FF3AF4" w:rsidRPr="00FF3AF4">
        <w:rPr>
          <w:rFonts w:asciiTheme="majorBidi" w:hAnsiTheme="majorBidi" w:cstheme="majorBidi"/>
        </w:rPr>
        <w:t xml:space="preserve">izšķirams, vai pieteicējam </w:t>
      </w:r>
      <w:r w:rsidR="006B2310">
        <w:rPr>
          <w:rFonts w:asciiTheme="majorBidi" w:hAnsiTheme="majorBidi" w:cstheme="majorBidi"/>
        </w:rPr>
        <w:t xml:space="preserve">[pers. </w:t>
      </w:r>
      <w:r w:rsidR="006B2310">
        <w:rPr>
          <w:rFonts w:asciiTheme="majorBidi" w:hAnsiTheme="majorBidi" w:cstheme="majorBidi"/>
        </w:rPr>
        <w:t>A</w:t>
      </w:r>
      <w:r w:rsidR="006B2310">
        <w:rPr>
          <w:rFonts w:asciiTheme="majorBidi" w:hAnsiTheme="majorBidi" w:cstheme="majorBidi"/>
        </w:rPr>
        <w:t xml:space="preserve">] </w:t>
      </w:r>
      <w:r w:rsidR="00FF3AF4" w:rsidRPr="00FF3AF4">
        <w:rPr>
          <w:rFonts w:asciiTheme="majorBidi" w:hAnsiTheme="majorBidi" w:cstheme="majorBidi"/>
        </w:rPr>
        <w:t>ir tiesības</w:t>
      </w:r>
      <w:r w:rsidR="00C12A4C">
        <w:rPr>
          <w:rFonts w:asciiTheme="majorBidi" w:hAnsiTheme="majorBidi" w:cstheme="majorBidi"/>
        </w:rPr>
        <w:t xml:space="preserve"> vērsties tiesā ar prasījumu par </w:t>
      </w:r>
      <w:r w:rsidR="00FF3AF4" w:rsidRPr="00FF3AF4">
        <w:rPr>
          <w:rFonts w:asciiTheme="majorBidi" w:hAnsiTheme="majorBidi" w:cstheme="majorBidi"/>
        </w:rPr>
        <w:t>atlīdzinājumu Atlīdzināšanas likumā noteiktajā kārtībā</w:t>
      </w:r>
      <w:r w:rsidR="00BB781D">
        <w:rPr>
          <w:rFonts w:asciiTheme="majorBidi" w:hAnsiTheme="majorBidi" w:cstheme="majorBidi"/>
        </w:rPr>
        <w:t xml:space="preserve"> saistībā ar </w:t>
      </w:r>
      <w:r w:rsidR="00C12A4C">
        <w:rPr>
          <w:rFonts w:asciiTheme="majorBidi" w:hAnsiTheme="majorBidi" w:cstheme="majorBidi"/>
        </w:rPr>
        <w:t xml:space="preserve">zaudējumiem, kas viņam esot radušies, </w:t>
      </w:r>
      <w:r w:rsidR="00BB781D">
        <w:rPr>
          <w:rFonts w:asciiTheme="majorBidi" w:hAnsiTheme="majorBidi" w:cstheme="majorBidi"/>
        </w:rPr>
        <w:t>nodrošin</w:t>
      </w:r>
      <w:r w:rsidR="00C12A4C">
        <w:rPr>
          <w:rFonts w:asciiTheme="majorBidi" w:hAnsiTheme="majorBidi" w:cstheme="majorBidi"/>
        </w:rPr>
        <w:t>ot</w:t>
      </w:r>
      <w:r w:rsidR="00BB781D">
        <w:rPr>
          <w:rFonts w:asciiTheme="majorBidi" w:hAnsiTheme="majorBidi" w:cstheme="majorBidi"/>
        </w:rPr>
        <w:t xml:space="preserve"> drošības naudas samaksu, lai </w:t>
      </w:r>
      <w:r w:rsidR="006B2310">
        <w:rPr>
          <w:rFonts w:asciiTheme="majorBidi" w:hAnsiTheme="majorBidi" w:cstheme="majorBidi"/>
        </w:rPr>
        <w:t xml:space="preserve">[pers. </w:t>
      </w:r>
      <w:r w:rsidR="006B2310">
        <w:rPr>
          <w:rFonts w:asciiTheme="majorBidi" w:hAnsiTheme="majorBidi" w:cstheme="majorBidi"/>
        </w:rPr>
        <w:t>B</w:t>
      </w:r>
      <w:r w:rsidR="006B2310">
        <w:rPr>
          <w:rFonts w:asciiTheme="majorBidi" w:hAnsiTheme="majorBidi" w:cstheme="majorBidi"/>
        </w:rPr>
        <w:t>]</w:t>
      </w:r>
      <w:r w:rsidR="00BB781D">
        <w:rPr>
          <w:rFonts w:asciiTheme="majorBidi" w:hAnsiTheme="majorBidi" w:cstheme="majorBidi"/>
        </w:rPr>
        <w:t xml:space="preserve"> noteiktais drošības līdzeklis – apcietinājums </w:t>
      </w:r>
      <w:r w:rsidR="00C12A4C">
        <w:rPr>
          <w:rFonts w:asciiTheme="majorBidi" w:hAnsiTheme="majorBidi" w:cstheme="majorBidi"/>
        </w:rPr>
        <w:t xml:space="preserve">(saistībā ar kuru Eiropas </w:t>
      </w:r>
      <w:r w:rsidR="00BB4FFB">
        <w:rPr>
          <w:rFonts w:asciiTheme="majorBidi" w:hAnsiTheme="majorBidi" w:cstheme="majorBidi"/>
        </w:rPr>
        <w:t>C</w:t>
      </w:r>
      <w:r w:rsidR="00C12A4C">
        <w:rPr>
          <w:rFonts w:asciiTheme="majorBidi" w:hAnsiTheme="majorBidi" w:cstheme="majorBidi"/>
        </w:rPr>
        <w:t xml:space="preserve">ilvēktiesību tiesa atzina pārkāpumu) </w:t>
      </w:r>
      <w:r w:rsidR="00BB781D">
        <w:rPr>
          <w:rFonts w:asciiTheme="majorBidi" w:hAnsiTheme="majorBidi" w:cstheme="majorBidi"/>
        </w:rPr>
        <w:t>– tiktu aizstāts ar drošības naudu.</w:t>
      </w:r>
    </w:p>
    <w:p w14:paraId="7B448162" w14:textId="77777777" w:rsidR="00BB781D" w:rsidRDefault="00BB781D" w:rsidP="006B2310">
      <w:pPr>
        <w:spacing w:line="276" w:lineRule="auto"/>
        <w:ind w:firstLine="720"/>
        <w:jc w:val="both"/>
        <w:rPr>
          <w:rFonts w:asciiTheme="majorBidi" w:hAnsiTheme="majorBidi" w:cstheme="majorBidi"/>
        </w:rPr>
      </w:pPr>
    </w:p>
    <w:p w14:paraId="7E98F185" w14:textId="77777777" w:rsidR="00344BB0" w:rsidRDefault="00BB781D" w:rsidP="006B2310">
      <w:pPr>
        <w:spacing w:line="276" w:lineRule="auto"/>
        <w:ind w:firstLine="720"/>
        <w:jc w:val="both"/>
        <w:rPr>
          <w:rFonts w:asciiTheme="majorBidi" w:hAnsiTheme="majorBidi" w:cstheme="majorBidi"/>
        </w:rPr>
      </w:pPr>
      <w:r>
        <w:rPr>
          <w:rFonts w:asciiTheme="majorBidi" w:hAnsiTheme="majorBidi" w:cstheme="majorBidi"/>
        </w:rPr>
        <w:t xml:space="preserve">[21] Kā jau norādīts šā lēmuma 8.punktā, </w:t>
      </w:r>
      <w:r w:rsidR="00344BB0">
        <w:rPr>
          <w:rFonts w:asciiTheme="majorBidi" w:hAnsiTheme="majorBidi" w:cstheme="majorBidi"/>
        </w:rPr>
        <w:t>atbilstoši A</w:t>
      </w:r>
      <w:r w:rsidR="00344BB0" w:rsidRPr="00344BB0">
        <w:rPr>
          <w:rFonts w:asciiTheme="majorBidi" w:hAnsiTheme="majorBidi" w:cstheme="majorBidi"/>
        </w:rPr>
        <w:t xml:space="preserve">tlīdzināšanas likuma 2.panta </w:t>
      </w:r>
      <w:r w:rsidR="00344BB0">
        <w:rPr>
          <w:rFonts w:asciiTheme="majorBidi" w:hAnsiTheme="majorBidi" w:cstheme="majorBidi"/>
        </w:rPr>
        <w:t>otrajai daļai</w:t>
      </w:r>
      <w:r w:rsidR="00344BB0" w:rsidRPr="00344BB0">
        <w:rPr>
          <w:rFonts w:asciiTheme="majorBidi" w:hAnsiTheme="majorBidi" w:cstheme="majorBidi"/>
        </w:rPr>
        <w:t xml:space="preserve"> </w:t>
      </w:r>
      <w:bookmarkStart w:id="2" w:name="_Hlk222916385"/>
      <w:r w:rsidR="00344BB0" w:rsidRPr="00344BB0">
        <w:rPr>
          <w:rFonts w:asciiTheme="majorBidi" w:hAnsiTheme="majorBidi" w:cstheme="majorBidi"/>
        </w:rPr>
        <w:t>šā likuma noteikumi piemērojami arī šajā likumā tieši neminētos gadījumos, ja kriminālprocesā vai administratīvā pārkāpuma lietvedībā privātpersonai nodarīts kaitējums iestādes, prokuratūras vai tiesas prettiesiskas rīcības dēļ.</w:t>
      </w:r>
    </w:p>
    <w:bookmarkEnd w:id="2"/>
    <w:p w14:paraId="148FC8D9" w14:textId="75EC481B" w:rsidR="00344BB0" w:rsidRDefault="00344BB0" w:rsidP="006B2310">
      <w:pPr>
        <w:spacing w:line="276" w:lineRule="auto"/>
        <w:ind w:firstLine="720"/>
        <w:jc w:val="both"/>
        <w:rPr>
          <w:rFonts w:asciiTheme="majorBidi" w:hAnsiTheme="majorBidi" w:cstheme="majorBidi"/>
        </w:rPr>
      </w:pPr>
      <w:r w:rsidRPr="00344BB0">
        <w:rPr>
          <w:rFonts w:asciiTheme="majorBidi" w:hAnsiTheme="majorBidi" w:cstheme="majorBidi"/>
        </w:rPr>
        <w:t xml:space="preserve">Kā Senāts atzinis jau iepriekš, minētais nozīmē, ka </w:t>
      </w:r>
      <w:r w:rsidR="00F73E27">
        <w:rPr>
          <w:rFonts w:asciiTheme="majorBidi" w:hAnsiTheme="majorBidi" w:cstheme="majorBidi"/>
        </w:rPr>
        <w:t>Atlīdzināšanas</w:t>
      </w:r>
      <w:r w:rsidRPr="00344BB0">
        <w:rPr>
          <w:rFonts w:asciiTheme="majorBidi" w:hAnsiTheme="majorBidi" w:cstheme="majorBidi"/>
        </w:rPr>
        <w:t xml:space="preserve"> likuma 4.pantā noteiktie kriminālprocesā nodarītā kaitējuma atlīdzinājuma tiesiskie pamati nav vienīgie gadījumi, kad personai ir tiesības uz kaitējuma atlīdzinājumu, –</w:t>
      </w:r>
      <w:r w:rsidR="0080310F">
        <w:rPr>
          <w:rFonts w:asciiTheme="majorBidi" w:hAnsiTheme="majorBidi" w:cstheme="majorBidi"/>
        </w:rPr>
        <w:t xml:space="preserve"> </w:t>
      </w:r>
      <w:r w:rsidRPr="00344BB0">
        <w:rPr>
          <w:rFonts w:asciiTheme="majorBidi" w:hAnsiTheme="majorBidi" w:cstheme="majorBidi"/>
        </w:rPr>
        <w:t xml:space="preserve">jāņem vērā jau iepriekš norādītais, ka Satversmes 92.panta trešais teikums paredz vispārēju garantiju: nepamatota tiesību aizskāruma gadījumā ikvienam ir tiesības uz atbilstīgu atlīdzinājumu. Tādējādi likumdevējs </w:t>
      </w:r>
      <w:r w:rsidR="00F73E27">
        <w:rPr>
          <w:rFonts w:asciiTheme="majorBidi" w:hAnsiTheme="majorBidi" w:cstheme="majorBidi"/>
        </w:rPr>
        <w:t>A</w:t>
      </w:r>
      <w:r w:rsidRPr="00344BB0">
        <w:rPr>
          <w:rFonts w:asciiTheme="majorBidi" w:hAnsiTheme="majorBidi" w:cstheme="majorBidi"/>
        </w:rPr>
        <w:t>tlīdzināšanas likumā ir paredzējis tiesisko regulējumu, kas noteiktā kārtībā ļauj privātpersonai īstenot tiesisko aizsardzību arī citos – likumā tieši neminētos – gadījumos</w:t>
      </w:r>
      <w:r w:rsidR="00BF44DB">
        <w:rPr>
          <w:rFonts w:asciiTheme="majorBidi" w:hAnsiTheme="majorBidi" w:cstheme="majorBidi"/>
        </w:rPr>
        <w:t xml:space="preserve">. </w:t>
      </w:r>
      <w:r w:rsidR="00F73E27">
        <w:rPr>
          <w:rFonts w:asciiTheme="majorBidi" w:hAnsiTheme="majorBidi" w:cstheme="majorBidi"/>
        </w:rPr>
        <w:t>A</w:t>
      </w:r>
      <w:r w:rsidRPr="00344BB0">
        <w:rPr>
          <w:rFonts w:asciiTheme="majorBidi" w:hAnsiTheme="majorBidi" w:cstheme="majorBidi"/>
        </w:rPr>
        <w:t>tlīdzināšanas likuma 4.pants aptver tikai tipiskākos un būtiskākos, taču ne visus iespējamos kriminālprocesā nodarītā kaitējuma atlīdzinājuma tiesiskos pamatus (gadījumus), un atlīdzinājums var tikt piešķirts arī minētajā pantā tieši nenorādītās situācijās (</w:t>
      </w:r>
      <w:r w:rsidR="00BF44DB" w:rsidRPr="00BF44DB">
        <w:rPr>
          <w:rFonts w:asciiTheme="majorBidi" w:hAnsiTheme="majorBidi" w:cstheme="majorBidi"/>
        </w:rPr>
        <w:t>piemēram,</w:t>
      </w:r>
      <w:r w:rsidR="00BF44DB">
        <w:rPr>
          <w:rFonts w:asciiTheme="majorBidi" w:hAnsiTheme="majorBidi" w:cstheme="majorBidi"/>
          <w:i/>
          <w:iCs/>
        </w:rPr>
        <w:t xml:space="preserve"> Senāta 2025.gada 17.decembra lēmuma lietā Nr. SKA-695/2025, </w:t>
      </w:r>
      <w:hyperlink r:id="rId19" w:history="1">
        <w:r w:rsidR="00BF44DB" w:rsidRPr="00BF44DB">
          <w:rPr>
            <w:rStyle w:val="Hyperlink"/>
            <w:rFonts w:asciiTheme="majorBidi" w:hAnsiTheme="majorBidi" w:cstheme="majorBidi"/>
            <w:i/>
            <w:iCs/>
          </w:rPr>
          <w:t>ECLI:LV:AT:2025:1217.A420175524.5.L</w:t>
        </w:r>
      </w:hyperlink>
      <w:r w:rsidR="00BF44DB" w:rsidRPr="00BF44DB">
        <w:rPr>
          <w:rFonts w:asciiTheme="majorBidi" w:hAnsiTheme="majorBidi" w:cstheme="majorBidi"/>
          <w:bCs/>
          <w:i/>
          <w:iCs/>
        </w:rPr>
        <w:t xml:space="preserve">, </w:t>
      </w:r>
      <w:r w:rsidR="00BF44DB">
        <w:rPr>
          <w:rFonts w:asciiTheme="majorBidi" w:hAnsiTheme="majorBidi" w:cstheme="majorBidi"/>
          <w:i/>
          <w:iCs/>
        </w:rPr>
        <w:t xml:space="preserve">7.punkts </w:t>
      </w:r>
      <w:r w:rsidR="00BF44DB" w:rsidRPr="00BF44DB">
        <w:rPr>
          <w:rFonts w:asciiTheme="majorBidi" w:hAnsiTheme="majorBidi" w:cstheme="majorBidi"/>
        </w:rPr>
        <w:t>un tajā norādītā judikatūra</w:t>
      </w:r>
      <w:r w:rsidRPr="00344BB0">
        <w:rPr>
          <w:rFonts w:asciiTheme="majorBidi" w:hAnsiTheme="majorBidi" w:cstheme="majorBidi"/>
        </w:rPr>
        <w:t>).</w:t>
      </w:r>
    </w:p>
    <w:p w14:paraId="52D64446" w14:textId="77777777" w:rsidR="00F23668" w:rsidRPr="00BF44DB" w:rsidRDefault="00F23668" w:rsidP="006B2310">
      <w:pPr>
        <w:spacing w:line="276" w:lineRule="auto"/>
        <w:ind w:firstLine="720"/>
        <w:jc w:val="both"/>
        <w:rPr>
          <w:rFonts w:asciiTheme="majorBidi" w:hAnsiTheme="majorBidi" w:cstheme="majorBidi"/>
          <w:b/>
          <w:i/>
          <w:iCs/>
        </w:rPr>
      </w:pPr>
    </w:p>
    <w:p w14:paraId="5315D794" w14:textId="585C5E09" w:rsidR="00E55897" w:rsidRDefault="00500A13" w:rsidP="006B2310">
      <w:pPr>
        <w:spacing w:line="276" w:lineRule="auto"/>
        <w:ind w:firstLine="720"/>
        <w:jc w:val="both"/>
        <w:rPr>
          <w:rFonts w:asciiTheme="majorBidi" w:hAnsiTheme="majorBidi" w:cstheme="majorBidi"/>
        </w:rPr>
      </w:pPr>
      <w:r>
        <w:rPr>
          <w:rFonts w:asciiTheme="majorBidi" w:hAnsiTheme="majorBidi" w:cstheme="majorBidi"/>
        </w:rPr>
        <w:t>[22] </w:t>
      </w:r>
      <w:r w:rsidR="00E55897">
        <w:rPr>
          <w:rFonts w:asciiTheme="majorBidi" w:hAnsiTheme="majorBidi" w:cstheme="majorBidi"/>
        </w:rPr>
        <w:t>Kriminālprocesa likuma 275.pantā ir regulēta iespēja apcietinājumu aizstāt ar drošības naudu. Atbilstoši minētā likuma 257.panta pirmajai daļai d</w:t>
      </w:r>
      <w:r w:rsidR="00E55897" w:rsidRPr="00E55897">
        <w:rPr>
          <w:rFonts w:asciiTheme="majorBidi" w:hAnsiTheme="majorBidi" w:cstheme="majorBidi"/>
        </w:rPr>
        <w:t>rošības nauda ir ar procesa virzītāja lēmumu noteikta naudas summa, kas nodota procesa virzītāja noteiktās kredītiestādes depozītā (glabāšanā), lai nodrošinātu aizdomās turētā vai apsūdzētā ierašanos pēc procesa virzītāja uzaicinājuma un citu likumā noteikto procesuālo pienākumu izpildi.</w:t>
      </w:r>
      <w:r w:rsidR="00E55897">
        <w:rPr>
          <w:rFonts w:asciiTheme="majorBidi" w:hAnsiTheme="majorBidi" w:cstheme="majorBidi"/>
        </w:rPr>
        <w:t xml:space="preserve"> </w:t>
      </w:r>
      <w:r w:rsidR="00E55897" w:rsidRPr="00E55897">
        <w:rPr>
          <w:rFonts w:asciiTheme="majorBidi" w:hAnsiTheme="majorBidi" w:cstheme="majorBidi"/>
        </w:rPr>
        <w:t>Drošības naudu var iemaksāt persona, kurai šis drošības līdzeklis tiek piemērots, kā arī jebkura cita fiziskā vai juridiskā persona. Ja drošības naudu iemaksā cita persona, procesa virzītājs informē to par konkrētā kriminālprocesa būtību, sakarā ar kuru piemērots šis drošības līdzeklis, un izskaidro sekas, kādas iestāsies, ja tas netiks ievērots</w:t>
      </w:r>
      <w:r w:rsidR="00E55897">
        <w:rPr>
          <w:rFonts w:asciiTheme="majorBidi" w:hAnsiTheme="majorBidi" w:cstheme="majorBidi"/>
        </w:rPr>
        <w:t xml:space="preserve"> (</w:t>
      </w:r>
      <w:r w:rsidR="00E55897" w:rsidRPr="00E55897">
        <w:rPr>
          <w:rFonts w:asciiTheme="majorBidi" w:hAnsiTheme="majorBidi" w:cstheme="majorBidi"/>
          <w:i/>
          <w:iCs/>
        </w:rPr>
        <w:t>Kriminālprocesa likuma 257.panta trešā daļa</w:t>
      </w:r>
      <w:r w:rsidR="00E55897">
        <w:rPr>
          <w:rFonts w:asciiTheme="majorBidi" w:hAnsiTheme="majorBidi" w:cstheme="majorBidi"/>
        </w:rPr>
        <w:t>)</w:t>
      </w:r>
      <w:r w:rsidR="00E55897" w:rsidRPr="00E55897">
        <w:rPr>
          <w:rFonts w:asciiTheme="majorBidi" w:hAnsiTheme="majorBidi" w:cstheme="majorBidi"/>
        </w:rPr>
        <w:t>.</w:t>
      </w:r>
      <w:r w:rsidR="00E55897">
        <w:rPr>
          <w:rFonts w:asciiTheme="majorBidi" w:hAnsiTheme="majorBidi" w:cstheme="majorBidi"/>
        </w:rPr>
        <w:t xml:space="preserve"> </w:t>
      </w:r>
      <w:r w:rsidR="00E55897" w:rsidRPr="00E55897">
        <w:rPr>
          <w:rFonts w:asciiTheme="majorBidi" w:hAnsiTheme="majorBidi" w:cstheme="majorBidi"/>
        </w:rPr>
        <w:t>Persona, kura veikusi drošības naudas iemaksu, iesniedz procesa virzītājam samaksu apliecinošu dokumentu, kā arī rakstveida paziņojumu par iemaksātās naudas izcelsmi, kas satur informāciju par personām, kuras piešķīrušas līdzekļus drošības naudas iemaksai, un piešķirtās naudas apmēru. Iesniegtos dokumentus pievieno krimināllietai</w:t>
      </w:r>
      <w:r w:rsidR="00E55897">
        <w:rPr>
          <w:rFonts w:asciiTheme="majorBidi" w:hAnsiTheme="majorBidi" w:cstheme="majorBidi"/>
        </w:rPr>
        <w:t xml:space="preserve"> (</w:t>
      </w:r>
      <w:r w:rsidR="00E55897" w:rsidRPr="00E55897">
        <w:rPr>
          <w:rFonts w:asciiTheme="majorBidi" w:hAnsiTheme="majorBidi" w:cstheme="majorBidi"/>
          <w:i/>
          <w:iCs/>
        </w:rPr>
        <w:t xml:space="preserve">Kriminālprocesa likuma 257.panta </w:t>
      </w:r>
      <w:r w:rsidR="00E55897">
        <w:rPr>
          <w:rFonts w:asciiTheme="majorBidi" w:hAnsiTheme="majorBidi" w:cstheme="majorBidi"/>
          <w:i/>
          <w:iCs/>
        </w:rPr>
        <w:t xml:space="preserve">ceturtā </w:t>
      </w:r>
      <w:r w:rsidR="00E55897" w:rsidRPr="00E55897">
        <w:rPr>
          <w:rFonts w:asciiTheme="majorBidi" w:hAnsiTheme="majorBidi" w:cstheme="majorBidi"/>
          <w:i/>
          <w:iCs/>
        </w:rPr>
        <w:t>daļa</w:t>
      </w:r>
      <w:r w:rsidR="00E55897">
        <w:rPr>
          <w:rFonts w:asciiTheme="majorBidi" w:hAnsiTheme="majorBidi" w:cstheme="majorBidi"/>
        </w:rPr>
        <w:t>)</w:t>
      </w:r>
      <w:r w:rsidR="00E55897" w:rsidRPr="00E55897">
        <w:rPr>
          <w:rFonts w:asciiTheme="majorBidi" w:hAnsiTheme="majorBidi" w:cstheme="majorBidi"/>
        </w:rPr>
        <w:t>.</w:t>
      </w:r>
      <w:r w:rsidR="00E55897">
        <w:rPr>
          <w:rFonts w:asciiTheme="majorBidi" w:hAnsiTheme="majorBidi" w:cstheme="majorBidi"/>
        </w:rPr>
        <w:t xml:space="preserve"> </w:t>
      </w:r>
      <w:r w:rsidR="00E55897" w:rsidRPr="00E55897">
        <w:rPr>
          <w:rFonts w:asciiTheme="majorBidi" w:hAnsiTheme="majorBidi" w:cstheme="majorBidi"/>
        </w:rPr>
        <w:t>Ja aizdomās turētais vai apsūdzētais nepilda procesuālos pienākumus vai izdara jaunu tīšu noziedzīgu nodarījumu, drošības nauda ar procesa virzītāja lēmumu ieskaitāma valsts budžetā, bet citos drošības līdzekļa atcelšanas vai grozīšanas gadījumos atdodama tās devējam</w:t>
      </w:r>
      <w:r w:rsidR="00E55897">
        <w:rPr>
          <w:rFonts w:asciiTheme="majorBidi" w:hAnsiTheme="majorBidi" w:cstheme="majorBidi"/>
        </w:rPr>
        <w:t xml:space="preserve"> (</w:t>
      </w:r>
      <w:r w:rsidR="00E55897" w:rsidRPr="00E55897">
        <w:rPr>
          <w:rFonts w:asciiTheme="majorBidi" w:hAnsiTheme="majorBidi" w:cstheme="majorBidi"/>
          <w:i/>
          <w:iCs/>
        </w:rPr>
        <w:t>Kriminālprocesa likuma 257.panta</w:t>
      </w:r>
      <w:r w:rsidR="00E55897">
        <w:rPr>
          <w:rFonts w:asciiTheme="majorBidi" w:hAnsiTheme="majorBidi" w:cstheme="majorBidi"/>
          <w:i/>
          <w:iCs/>
        </w:rPr>
        <w:t xml:space="preserve"> piektā</w:t>
      </w:r>
      <w:r w:rsidR="00E55897" w:rsidRPr="00E55897">
        <w:rPr>
          <w:rFonts w:asciiTheme="majorBidi" w:hAnsiTheme="majorBidi" w:cstheme="majorBidi"/>
          <w:i/>
          <w:iCs/>
        </w:rPr>
        <w:t xml:space="preserve"> daļa</w:t>
      </w:r>
      <w:r w:rsidR="00E55897">
        <w:rPr>
          <w:rFonts w:asciiTheme="majorBidi" w:hAnsiTheme="majorBidi" w:cstheme="majorBidi"/>
        </w:rPr>
        <w:t>)</w:t>
      </w:r>
      <w:r w:rsidR="00E55897" w:rsidRPr="00E55897">
        <w:rPr>
          <w:rFonts w:asciiTheme="majorBidi" w:hAnsiTheme="majorBidi" w:cstheme="majorBidi"/>
        </w:rPr>
        <w:t>.</w:t>
      </w:r>
    </w:p>
    <w:p w14:paraId="3E58E44B" w14:textId="7398EE73" w:rsidR="0084534D" w:rsidRDefault="0084534D" w:rsidP="006B2310">
      <w:pPr>
        <w:spacing w:line="276" w:lineRule="auto"/>
        <w:ind w:firstLine="720"/>
        <w:jc w:val="both"/>
        <w:rPr>
          <w:rFonts w:asciiTheme="majorBidi" w:hAnsiTheme="majorBidi" w:cstheme="majorBidi"/>
        </w:rPr>
      </w:pPr>
      <w:r>
        <w:rPr>
          <w:rFonts w:asciiTheme="majorBidi" w:hAnsiTheme="majorBidi" w:cstheme="majorBidi"/>
        </w:rPr>
        <w:t>Tādējādi Kriminālprocesa likum</w:t>
      </w:r>
      <w:r w:rsidR="00925E41">
        <w:rPr>
          <w:rFonts w:asciiTheme="majorBidi" w:hAnsiTheme="majorBidi" w:cstheme="majorBidi"/>
        </w:rPr>
        <w:t xml:space="preserve">a normās </w:t>
      </w:r>
      <w:r>
        <w:rPr>
          <w:rFonts w:asciiTheme="majorBidi" w:hAnsiTheme="majorBidi" w:cstheme="majorBidi"/>
        </w:rPr>
        <w:t xml:space="preserve">ir tieši </w:t>
      </w:r>
      <w:r w:rsidR="00925E41">
        <w:rPr>
          <w:rFonts w:asciiTheme="majorBidi" w:hAnsiTheme="majorBidi" w:cstheme="majorBidi"/>
        </w:rPr>
        <w:t>paredzēts</w:t>
      </w:r>
      <w:r>
        <w:rPr>
          <w:rFonts w:asciiTheme="majorBidi" w:hAnsiTheme="majorBidi" w:cstheme="majorBidi"/>
        </w:rPr>
        <w:t xml:space="preserve">, ka drošības naudu var iemaksāt ne tikai persona, kurai šis drošības līdzeklis tiek piemērots, bet arī jebkura cita fiziskā vai juridiskā persona, </w:t>
      </w:r>
      <w:r w:rsidR="00925E41">
        <w:rPr>
          <w:rFonts w:asciiTheme="majorBidi" w:hAnsiTheme="majorBidi" w:cstheme="majorBidi"/>
        </w:rPr>
        <w:t xml:space="preserve">turklāt </w:t>
      </w:r>
      <w:r>
        <w:rPr>
          <w:rFonts w:asciiTheme="majorBidi" w:hAnsiTheme="majorBidi" w:cstheme="majorBidi"/>
        </w:rPr>
        <w:t xml:space="preserve">personai, kura veikusi drošības naudas iemaksu, </w:t>
      </w:r>
      <w:r w:rsidR="00925E41">
        <w:rPr>
          <w:rFonts w:asciiTheme="majorBidi" w:hAnsiTheme="majorBidi" w:cstheme="majorBidi"/>
        </w:rPr>
        <w:t>likuma normās ir noteiktas</w:t>
      </w:r>
      <w:r>
        <w:rPr>
          <w:rFonts w:asciiTheme="majorBidi" w:hAnsiTheme="majorBidi" w:cstheme="majorBidi"/>
        </w:rPr>
        <w:t xml:space="preserve"> konkrētas tiesības un pienākumi.</w:t>
      </w:r>
      <w:r w:rsidR="0080310F">
        <w:rPr>
          <w:rFonts w:asciiTheme="majorBidi" w:hAnsiTheme="majorBidi" w:cstheme="majorBidi"/>
        </w:rPr>
        <w:t xml:space="preserve"> Minētais norāda uz to, ka pretēji </w:t>
      </w:r>
      <w:r w:rsidR="00A61AA9">
        <w:rPr>
          <w:rFonts w:asciiTheme="majorBidi" w:hAnsiTheme="majorBidi" w:cstheme="majorBidi"/>
        </w:rPr>
        <w:t xml:space="preserve">Administratīvās </w:t>
      </w:r>
      <w:r w:rsidR="0080310F">
        <w:rPr>
          <w:rFonts w:asciiTheme="majorBidi" w:hAnsiTheme="majorBidi" w:cstheme="majorBidi"/>
        </w:rPr>
        <w:t xml:space="preserve">rajona tiesas tiesneša uzskatam drošības naudas iemaksāšana nav aplūkojama tikai kā privāttiesiskas attiecības starp personu, kuras labad drošības nauda tiek iemaksāta, un personu, kura drošības naudu iemaksā. </w:t>
      </w:r>
    </w:p>
    <w:p w14:paraId="3D2607B9" w14:textId="77777777" w:rsidR="0080310F" w:rsidRDefault="0080310F" w:rsidP="006B2310">
      <w:pPr>
        <w:spacing w:line="276" w:lineRule="auto"/>
        <w:ind w:firstLine="720"/>
        <w:jc w:val="both"/>
        <w:rPr>
          <w:rFonts w:asciiTheme="majorBidi" w:hAnsiTheme="majorBidi" w:cstheme="majorBidi"/>
        </w:rPr>
      </w:pPr>
      <w:r>
        <w:rPr>
          <w:rFonts w:asciiTheme="majorBidi" w:hAnsiTheme="majorBidi" w:cstheme="majorBidi"/>
        </w:rPr>
        <w:t xml:space="preserve">Senāts atzīst, ka nav izslēdzams, ka kriminālprocesā pieļauts pārkāpums var nodarīt kādus zaudējumus arī personai, kura iemaksā drošības naudu citas personas labad. Līdz ar to šāda </w:t>
      </w:r>
      <w:r w:rsidR="00925E41">
        <w:rPr>
          <w:rFonts w:asciiTheme="majorBidi" w:hAnsiTheme="majorBidi" w:cstheme="majorBidi"/>
        </w:rPr>
        <w:t>persona</w:t>
      </w:r>
      <w:r w:rsidR="001676B2">
        <w:rPr>
          <w:rFonts w:asciiTheme="majorBidi" w:hAnsiTheme="majorBidi" w:cstheme="majorBidi"/>
        </w:rPr>
        <w:t xml:space="preserve"> vispārīgi ir uzskatāma par </w:t>
      </w:r>
      <w:r>
        <w:rPr>
          <w:rFonts w:asciiTheme="majorBidi" w:hAnsiTheme="majorBidi" w:cstheme="majorBidi"/>
        </w:rPr>
        <w:t>tādu</w:t>
      </w:r>
      <w:r w:rsidR="001676B2">
        <w:rPr>
          <w:rFonts w:asciiTheme="majorBidi" w:hAnsiTheme="majorBidi" w:cstheme="majorBidi"/>
        </w:rPr>
        <w:t>, kur</w:t>
      </w:r>
      <w:r w:rsidR="00DB03BB">
        <w:rPr>
          <w:rFonts w:asciiTheme="majorBidi" w:hAnsiTheme="majorBidi" w:cstheme="majorBidi"/>
        </w:rPr>
        <w:t xml:space="preserve">ai, pamatojoties uz Atlīdzināšanas likuma 2.panta otro daļu, ir tiesības </w:t>
      </w:r>
      <w:r>
        <w:rPr>
          <w:rFonts w:asciiTheme="majorBidi" w:hAnsiTheme="majorBidi" w:cstheme="majorBidi"/>
        </w:rPr>
        <w:t>izvirzīt prasījumu</w:t>
      </w:r>
      <w:r w:rsidR="00DB03BB">
        <w:rPr>
          <w:rFonts w:asciiTheme="majorBidi" w:hAnsiTheme="majorBidi" w:cstheme="majorBidi"/>
        </w:rPr>
        <w:t xml:space="preserve"> atlīdzināt zaudējumus, kas tai kriminālprocesā ir nodarīti </w:t>
      </w:r>
      <w:r w:rsidR="00DB03BB" w:rsidRPr="00344BB0">
        <w:rPr>
          <w:rFonts w:asciiTheme="majorBidi" w:hAnsiTheme="majorBidi" w:cstheme="majorBidi"/>
        </w:rPr>
        <w:t>iestādes, prokuratūras vai tiesas prettiesiskas rīcības dēļ.</w:t>
      </w:r>
      <w:r w:rsidR="004A3BD3">
        <w:rPr>
          <w:rFonts w:asciiTheme="majorBidi" w:hAnsiTheme="majorBidi" w:cstheme="majorBidi"/>
        </w:rPr>
        <w:t xml:space="preserve"> </w:t>
      </w:r>
    </w:p>
    <w:p w14:paraId="6EF06ADC" w14:textId="3ACC08EF" w:rsidR="00DB03BB" w:rsidRDefault="004A3BD3" w:rsidP="006B2310">
      <w:pPr>
        <w:spacing w:line="276" w:lineRule="auto"/>
        <w:ind w:firstLine="720"/>
        <w:jc w:val="both"/>
        <w:rPr>
          <w:rFonts w:asciiTheme="majorBidi" w:hAnsiTheme="majorBidi" w:cstheme="majorBidi"/>
        </w:rPr>
      </w:pPr>
      <w:r>
        <w:rPr>
          <w:rFonts w:asciiTheme="majorBidi" w:hAnsiTheme="majorBidi" w:cstheme="majorBidi"/>
        </w:rPr>
        <w:t>Savukārt tas, vai ir iestājušies šādu zaudējumu atlīdzināšanas priekšnoteikumi</w:t>
      </w:r>
      <w:r w:rsidR="006F0BFC">
        <w:rPr>
          <w:rFonts w:asciiTheme="majorBidi" w:hAnsiTheme="majorBidi" w:cstheme="majorBidi"/>
        </w:rPr>
        <w:t xml:space="preserve"> (tostarp, vai ir konstatējama cēloņsakarība starp iestādes, prokuratūras vai tiesas prettiesisko rīcību un privātpersonas </w:t>
      </w:r>
      <w:r w:rsidR="0080310F">
        <w:rPr>
          <w:rFonts w:asciiTheme="majorBidi" w:hAnsiTheme="majorBidi" w:cstheme="majorBidi"/>
        </w:rPr>
        <w:t xml:space="preserve">norādītajiem </w:t>
      </w:r>
      <w:r w:rsidR="006F0BFC">
        <w:rPr>
          <w:rFonts w:asciiTheme="majorBidi" w:hAnsiTheme="majorBidi" w:cstheme="majorBidi"/>
        </w:rPr>
        <w:t xml:space="preserve">zaudējumiem un vai </w:t>
      </w:r>
      <w:r w:rsidR="00F73E27">
        <w:rPr>
          <w:rFonts w:asciiTheme="majorBidi" w:hAnsiTheme="majorBidi" w:cstheme="majorBidi"/>
        </w:rPr>
        <w:t xml:space="preserve">ir pierādīts </w:t>
      </w:r>
      <w:r w:rsidR="006F0BFC">
        <w:rPr>
          <w:rFonts w:asciiTheme="majorBidi" w:hAnsiTheme="majorBidi" w:cstheme="majorBidi"/>
        </w:rPr>
        <w:t>zaudējumu atlīdzības pamats un apmērs)</w:t>
      </w:r>
      <w:r>
        <w:rPr>
          <w:rFonts w:asciiTheme="majorBidi" w:hAnsiTheme="majorBidi" w:cstheme="majorBidi"/>
        </w:rPr>
        <w:t xml:space="preserve">, ir </w:t>
      </w:r>
      <w:r w:rsidR="004F5FA6">
        <w:rPr>
          <w:rFonts w:asciiTheme="majorBidi" w:hAnsiTheme="majorBidi" w:cstheme="majorBidi"/>
        </w:rPr>
        <w:t>pieteikuma pamatotības pēc būtības, nevis pieteikuma pieļaujamības jautājums</w:t>
      </w:r>
      <w:r>
        <w:rPr>
          <w:rFonts w:asciiTheme="majorBidi" w:hAnsiTheme="majorBidi" w:cstheme="majorBidi"/>
        </w:rPr>
        <w:t xml:space="preserve">. </w:t>
      </w:r>
    </w:p>
    <w:p w14:paraId="2163F40F" w14:textId="1840733C" w:rsidR="00925E41" w:rsidRDefault="00925E41" w:rsidP="006B2310">
      <w:pPr>
        <w:spacing w:line="276" w:lineRule="auto"/>
        <w:ind w:firstLine="720"/>
        <w:jc w:val="both"/>
        <w:rPr>
          <w:rFonts w:asciiTheme="majorBidi" w:hAnsiTheme="majorBidi" w:cstheme="majorBidi"/>
        </w:rPr>
      </w:pPr>
    </w:p>
    <w:p w14:paraId="1CB12441" w14:textId="63DA8461" w:rsidR="00D7019D" w:rsidRPr="00D7019D" w:rsidRDefault="00D7019D" w:rsidP="006B2310">
      <w:pPr>
        <w:spacing w:line="276" w:lineRule="auto"/>
        <w:ind w:firstLine="720"/>
        <w:jc w:val="both"/>
        <w:rPr>
          <w:rFonts w:asciiTheme="majorBidi" w:hAnsiTheme="majorBidi" w:cstheme="majorBidi"/>
        </w:rPr>
      </w:pPr>
      <w:r>
        <w:rPr>
          <w:rFonts w:asciiTheme="majorBidi" w:hAnsiTheme="majorBidi" w:cstheme="majorBidi"/>
        </w:rPr>
        <w:t xml:space="preserve">[23] Ievērojot minēto, Administratīvās rajona tiesas tiesnesis nepamatoti atzinis, ka pieteicējam </w:t>
      </w:r>
      <w:r w:rsidR="006B2310">
        <w:rPr>
          <w:rFonts w:asciiTheme="majorBidi" w:hAnsiTheme="majorBidi" w:cstheme="majorBidi"/>
        </w:rPr>
        <w:t xml:space="preserve">[pers. A] </w:t>
      </w:r>
      <w:r>
        <w:rPr>
          <w:rFonts w:asciiTheme="majorBidi" w:hAnsiTheme="majorBidi" w:cstheme="majorBidi"/>
        </w:rPr>
        <w:t xml:space="preserve">nav subjektīvo tiesību iesniegt pieteikumu par zaudējumu atlīdzinājumu. Tālab </w:t>
      </w:r>
      <w:r>
        <w:t xml:space="preserve">pārsūdzētais Administratīvās rajona tiesas tiesneša lēmums </w:t>
      </w:r>
      <w:r w:rsidR="0080310F">
        <w:t xml:space="preserve">atceļams arī </w:t>
      </w:r>
      <w:r>
        <w:t xml:space="preserve">daļā, kurā tiesnesis atteicies pieņemt pieteicēja </w:t>
      </w:r>
      <w:r w:rsidR="006B2310">
        <w:rPr>
          <w:rFonts w:asciiTheme="majorBidi" w:hAnsiTheme="majorBidi" w:cstheme="majorBidi"/>
        </w:rPr>
        <w:t xml:space="preserve">[pers. A] </w:t>
      </w:r>
      <w:r>
        <w:t>pieteikumu, un šajā daļā jautājums par pieteikuma virzību nododams jaunai izskatīšanai Administratīvajai rajona tiesai.</w:t>
      </w:r>
    </w:p>
    <w:p w14:paraId="6FA1BC86" w14:textId="77777777" w:rsidR="00D7019D" w:rsidRDefault="00D7019D" w:rsidP="006B2310">
      <w:pPr>
        <w:spacing w:line="276" w:lineRule="auto"/>
        <w:jc w:val="center"/>
        <w:rPr>
          <w:rFonts w:asciiTheme="majorBidi" w:hAnsiTheme="majorBidi" w:cstheme="majorBidi"/>
        </w:rPr>
      </w:pPr>
    </w:p>
    <w:p w14:paraId="6AAB3097" w14:textId="10001E94" w:rsidR="001D0D0A" w:rsidRPr="00E44582" w:rsidRDefault="001D0D0A" w:rsidP="006B2310">
      <w:pPr>
        <w:spacing w:line="276" w:lineRule="auto"/>
        <w:jc w:val="center"/>
        <w:rPr>
          <w:b/>
        </w:rPr>
      </w:pPr>
      <w:r>
        <w:rPr>
          <w:b/>
        </w:rPr>
        <w:t>Rezolutīvā daļa</w:t>
      </w:r>
    </w:p>
    <w:p w14:paraId="1DA6D1D1" w14:textId="77777777" w:rsidR="00906E2B" w:rsidRDefault="00906E2B" w:rsidP="006B2310">
      <w:pPr>
        <w:spacing w:line="276" w:lineRule="auto"/>
        <w:ind w:firstLine="720"/>
        <w:jc w:val="both"/>
        <w:rPr>
          <w:rFonts w:asciiTheme="majorBidi" w:hAnsiTheme="majorBidi" w:cstheme="majorBidi"/>
        </w:rPr>
      </w:pPr>
    </w:p>
    <w:p w14:paraId="0E047A19" w14:textId="2167761B" w:rsidR="004F0798" w:rsidRPr="00952E4A" w:rsidRDefault="004F0798" w:rsidP="006B2310">
      <w:pPr>
        <w:spacing w:line="276" w:lineRule="auto"/>
        <w:ind w:firstLine="720"/>
        <w:jc w:val="both"/>
      </w:pPr>
      <w:r w:rsidRPr="00952E4A">
        <w:t>Pamatojoties uz Administratīvā procesa likuma 129.</w:t>
      </w:r>
      <w:r w:rsidRPr="00952E4A">
        <w:rPr>
          <w:vertAlign w:val="superscript"/>
        </w:rPr>
        <w:t>1</w:t>
      </w:r>
      <w:r w:rsidRPr="00952E4A">
        <w:t xml:space="preserve">panta pirmās daļas 1.punktu, 323.panta pirmās daļas </w:t>
      </w:r>
      <w:r w:rsidR="00C91133" w:rsidRPr="00952E4A">
        <w:t>2. un 3.punktu</w:t>
      </w:r>
      <w:r w:rsidRPr="00952E4A">
        <w:t xml:space="preserve"> un 324.panta pirmo daļu, Senāts</w:t>
      </w:r>
    </w:p>
    <w:p w14:paraId="4506003F" w14:textId="77777777" w:rsidR="00056282" w:rsidRPr="00952E4A" w:rsidRDefault="00056282" w:rsidP="006B2310">
      <w:pPr>
        <w:spacing w:line="276" w:lineRule="auto"/>
        <w:jc w:val="both"/>
        <w:rPr>
          <w:strike/>
        </w:rPr>
      </w:pPr>
    </w:p>
    <w:p w14:paraId="531C090A" w14:textId="77777777" w:rsidR="00A50150" w:rsidRPr="00056282" w:rsidRDefault="00A50150" w:rsidP="006B2310">
      <w:pPr>
        <w:spacing w:line="276" w:lineRule="auto"/>
        <w:jc w:val="center"/>
        <w:rPr>
          <w:b/>
        </w:rPr>
      </w:pPr>
      <w:r w:rsidRPr="00952E4A">
        <w:rPr>
          <w:b/>
        </w:rPr>
        <w:t>nolēma</w:t>
      </w:r>
    </w:p>
    <w:p w14:paraId="7593AF8D" w14:textId="77777777" w:rsidR="00A50150" w:rsidRPr="00056282" w:rsidRDefault="00A50150" w:rsidP="006B2310">
      <w:pPr>
        <w:spacing w:line="276" w:lineRule="auto"/>
        <w:ind w:firstLine="720"/>
        <w:jc w:val="center"/>
        <w:rPr>
          <w:bCs/>
        </w:rPr>
      </w:pPr>
    </w:p>
    <w:p w14:paraId="2BF87217" w14:textId="48BE5431" w:rsidR="00952E4A" w:rsidRDefault="004F0798" w:rsidP="006B2310">
      <w:pPr>
        <w:spacing w:line="276" w:lineRule="auto"/>
        <w:ind w:firstLine="720"/>
        <w:jc w:val="both"/>
      </w:pPr>
      <w:r>
        <w:t xml:space="preserve">atcelt Administratīvās </w:t>
      </w:r>
      <w:r w:rsidR="00C91133">
        <w:t>rajona tiesas tiesneša 2025.gada 25.jūlija</w:t>
      </w:r>
      <w:r>
        <w:t xml:space="preserve"> lēmumu </w:t>
      </w:r>
      <w:r w:rsidR="00952E4A">
        <w:t xml:space="preserve">daļā, ar kuru atteikts pieņemt </w:t>
      </w:r>
      <w:r w:rsidR="006B2310">
        <w:rPr>
          <w:rFonts w:asciiTheme="majorBidi" w:hAnsiTheme="majorBidi" w:cstheme="majorBidi"/>
        </w:rPr>
        <w:t xml:space="preserve">[pers. A] </w:t>
      </w:r>
      <w:r w:rsidR="00952E4A">
        <w:t xml:space="preserve">un </w:t>
      </w:r>
      <w:r w:rsidR="006B2310">
        <w:rPr>
          <w:rFonts w:asciiTheme="majorBidi" w:hAnsiTheme="majorBidi" w:cstheme="majorBidi"/>
        </w:rPr>
        <w:t xml:space="preserve">[pers. </w:t>
      </w:r>
      <w:r w:rsidR="006B2310">
        <w:rPr>
          <w:rFonts w:asciiTheme="majorBidi" w:hAnsiTheme="majorBidi" w:cstheme="majorBidi"/>
        </w:rPr>
        <w:t>B</w:t>
      </w:r>
      <w:r w:rsidR="006B2310">
        <w:rPr>
          <w:rFonts w:asciiTheme="majorBidi" w:hAnsiTheme="majorBidi" w:cstheme="majorBidi"/>
        </w:rPr>
        <w:t xml:space="preserve">] </w:t>
      </w:r>
      <w:r w:rsidR="00952E4A">
        <w:t>pieteikumu daļā par zaudējumu atlīdzinājumu, un jautājumu par pieteikuma virzību šajā daļā nodot Administratīvajai rajona tiesai jaunai izskatīšanai;</w:t>
      </w:r>
    </w:p>
    <w:p w14:paraId="1D3BF13E" w14:textId="31F32C0B" w:rsidR="00952E4A" w:rsidRDefault="00952E4A" w:rsidP="006B2310">
      <w:pPr>
        <w:spacing w:line="276" w:lineRule="auto"/>
        <w:ind w:firstLine="720"/>
        <w:jc w:val="both"/>
      </w:pPr>
      <w:r>
        <w:t xml:space="preserve">atcelt Administratīvās rajona tiesas tiesneša 2025.gada 25.jūlija lēmumu daļā, ar kuru atteikts </w:t>
      </w:r>
      <w:r w:rsidR="0080310F">
        <w:t xml:space="preserve">pieņemt </w:t>
      </w:r>
      <w:r w:rsidR="006B2310">
        <w:rPr>
          <w:rFonts w:asciiTheme="majorBidi" w:hAnsiTheme="majorBidi" w:cstheme="majorBidi"/>
        </w:rPr>
        <w:t xml:space="preserve">[pers. </w:t>
      </w:r>
      <w:r w:rsidR="006B2310">
        <w:rPr>
          <w:rFonts w:asciiTheme="majorBidi" w:hAnsiTheme="majorBidi" w:cstheme="majorBidi"/>
        </w:rPr>
        <w:t>B</w:t>
      </w:r>
      <w:r w:rsidR="006B2310">
        <w:rPr>
          <w:rFonts w:asciiTheme="majorBidi" w:hAnsiTheme="majorBidi" w:cstheme="majorBidi"/>
        </w:rPr>
        <w:t xml:space="preserve">] </w:t>
      </w:r>
      <w:r>
        <w:t>pieteikumu daļā par nemantiskā kaitējuma atlīdzinājumu. Pieteikumu minētajā daļā atteikt pieņemt, pamatojoties uz Administratīvā procesa likuma 191.panta pirmās daļas 3.punktu;</w:t>
      </w:r>
    </w:p>
    <w:p w14:paraId="2C9603D9" w14:textId="20C8493A" w:rsidR="004F0798" w:rsidRDefault="004F0798" w:rsidP="006B2310">
      <w:pPr>
        <w:spacing w:line="276" w:lineRule="auto"/>
        <w:ind w:firstLine="720"/>
        <w:jc w:val="both"/>
      </w:pPr>
      <w:r>
        <w:t xml:space="preserve">atmaksāt </w:t>
      </w:r>
      <w:r w:rsidR="006B2310">
        <w:rPr>
          <w:rFonts w:asciiTheme="majorBidi" w:hAnsiTheme="majorBidi" w:cstheme="majorBidi"/>
        </w:rPr>
        <w:t xml:space="preserve">[pers. A] </w:t>
      </w:r>
      <w:r w:rsidR="00952E4A">
        <w:t xml:space="preserve">par blakus sūdzību samaksāto </w:t>
      </w:r>
      <w:r>
        <w:t>drošības naudu 15 </w:t>
      </w:r>
      <w:r w:rsidRPr="001A2A87">
        <w:rPr>
          <w:i/>
        </w:rPr>
        <w:t>euro</w:t>
      </w:r>
      <w:r>
        <w:t>.</w:t>
      </w:r>
    </w:p>
    <w:p w14:paraId="121E5E85" w14:textId="77777777" w:rsidR="004F0798" w:rsidRDefault="004F0798" w:rsidP="006B2310">
      <w:pPr>
        <w:spacing w:line="276" w:lineRule="auto"/>
        <w:ind w:firstLine="720"/>
        <w:jc w:val="both"/>
      </w:pPr>
    </w:p>
    <w:p w14:paraId="321CE11E" w14:textId="77777777" w:rsidR="004F0798" w:rsidRPr="001F40A0" w:rsidRDefault="004F0798" w:rsidP="006B2310">
      <w:pPr>
        <w:spacing w:line="276" w:lineRule="auto"/>
        <w:ind w:firstLine="720"/>
        <w:jc w:val="both"/>
      </w:pPr>
      <w:r>
        <w:t>Lēmums nav pārsūdzams.</w:t>
      </w:r>
    </w:p>
    <w:p w14:paraId="18F51CB5" w14:textId="77777777" w:rsidR="004F0798" w:rsidRPr="001F1514" w:rsidRDefault="004F0798" w:rsidP="006B2310">
      <w:pPr>
        <w:spacing w:line="276" w:lineRule="auto"/>
        <w:ind w:firstLine="567"/>
        <w:jc w:val="both"/>
        <w:rPr>
          <w:bCs/>
          <w:color w:val="000000" w:themeColor="text1"/>
        </w:rPr>
      </w:pPr>
    </w:p>
    <w:p w14:paraId="0E5B194F" w14:textId="77777777" w:rsidR="004F0798" w:rsidRPr="001F1514" w:rsidRDefault="004F0798" w:rsidP="006B2310">
      <w:pPr>
        <w:spacing w:line="276" w:lineRule="auto"/>
        <w:ind w:firstLine="567"/>
        <w:jc w:val="both"/>
        <w:rPr>
          <w:bCs/>
          <w:color w:val="000000" w:themeColor="text1"/>
        </w:rPr>
      </w:pPr>
    </w:p>
    <w:p w14:paraId="04D42F48" w14:textId="77777777" w:rsidR="004F0798" w:rsidRPr="001F1514" w:rsidRDefault="004F0798" w:rsidP="006B2310">
      <w:pPr>
        <w:tabs>
          <w:tab w:val="left" w:pos="2880"/>
          <w:tab w:val="left" w:pos="4680"/>
          <w:tab w:val="left" w:pos="7797"/>
        </w:tabs>
        <w:spacing w:line="276" w:lineRule="auto"/>
        <w:rPr>
          <w:color w:val="000000" w:themeColor="text1"/>
        </w:rPr>
      </w:pPr>
    </w:p>
    <w:p w14:paraId="5F679042" w14:textId="77777777" w:rsidR="005A23BE" w:rsidRPr="001F1514" w:rsidRDefault="005A23BE" w:rsidP="00616115">
      <w:pPr>
        <w:spacing w:line="276" w:lineRule="auto"/>
        <w:jc w:val="both"/>
        <w:rPr>
          <w:color w:val="000000" w:themeColor="text1"/>
        </w:rPr>
      </w:pPr>
    </w:p>
    <w:p w14:paraId="0CEFC2A5" w14:textId="77777777" w:rsidR="00121A93" w:rsidRPr="001F1514" w:rsidRDefault="00121A93" w:rsidP="00BF1A50">
      <w:pPr>
        <w:spacing w:line="276" w:lineRule="auto"/>
        <w:jc w:val="center"/>
        <w:rPr>
          <w:color w:val="000000" w:themeColor="text1"/>
          <w:sz w:val="2"/>
          <w:szCs w:val="2"/>
        </w:rPr>
      </w:pPr>
    </w:p>
    <w:sectPr w:rsidR="00121A93" w:rsidRPr="001F1514" w:rsidSect="0082624E">
      <w:footerReference w:type="default" r:id="rId20"/>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B60C7" w14:textId="77777777" w:rsidR="00021878" w:rsidRDefault="00021878" w:rsidP="009F7ACE">
      <w:r>
        <w:separator/>
      </w:r>
    </w:p>
  </w:endnote>
  <w:endnote w:type="continuationSeparator" w:id="0">
    <w:p w14:paraId="2B758AE2" w14:textId="77777777" w:rsidR="00021878" w:rsidRDefault="00021878"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8278" w14:textId="1664A04B"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021878">
      <w:rPr>
        <w:rStyle w:val="PageNumber"/>
        <w:noProof/>
        <w:sz w:val="20"/>
        <w:szCs w:val="20"/>
      </w:rPr>
      <w:t>1</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23309" w14:textId="77777777" w:rsidR="00021878" w:rsidRDefault="00021878" w:rsidP="009F7ACE">
      <w:r>
        <w:separator/>
      </w:r>
    </w:p>
  </w:footnote>
  <w:footnote w:type="continuationSeparator" w:id="0">
    <w:p w14:paraId="67EB4624" w14:textId="77777777" w:rsidR="00021878" w:rsidRDefault="00021878"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20583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lv-LV" w:vendorID="71" w:dllVersion="512" w:checkStyle="1"/>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0A23"/>
    <w:rsid w:val="0000169B"/>
    <w:rsid w:val="00003B73"/>
    <w:rsid w:val="00005273"/>
    <w:rsid w:val="00005418"/>
    <w:rsid w:val="00005460"/>
    <w:rsid w:val="000069CF"/>
    <w:rsid w:val="00011143"/>
    <w:rsid w:val="000123B1"/>
    <w:rsid w:val="00021878"/>
    <w:rsid w:val="0002551F"/>
    <w:rsid w:val="000301D5"/>
    <w:rsid w:val="000315FC"/>
    <w:rsid w:val="00031D58"/>
    <w:rsid w:val="00034143"/>
    <w:rsid w:val="000360D6"/>
    <w:rsid w:val="000410B8"/>
    <w:rsid w:val="00043A3F"/>
    <w:rsid w:val="00044C81"/>
    <w:rsid w:val="00050626"/>
    <w:rsid w:val="000507B0"/>
    <w:rsid w:val="00053C8D"/>
    <w:rsid w:val="00056150"/>
    <w:rsid w:val="00056282"/>
    <w:rsid w:val="0005735C"/>
    <w:rsid w:val="000619B3"/>
    <w:rsid w:val="00061E85"/>
    <w:rsid w:val="00074DB0"/>
    <w:rsid w:val="000777F2"/>
    <w:rsid w:val="000853D1"/>
    <w:rsid w:val="0008695A"/>
    <w:rsid w:val="00093086"/>
    <w:rsid w:val="0009626A"/>
    <w:rsid w:val="000A105F"/>
    <w:rsid w:val="000A3F76"/>
    <w:rsid w:val="000A5ECB"/>
    <w:rsid w:val="000A63A3"/>
    <w:rsid w:val="000A65CA"/>
    <w:rsid w:val="000A67B0"/>
    <w:rsid w:val="000B7DD5"/>
    <w:rsid w:val="000C2B9A"/>
    <w:rsid w:val="000C3243"/>
    <w:rsid w:val="000C3E8E"/>
    <w:rsid w:val="000D1209"/>
    <w:rsid w:val="000D4CD6"/>
    <w:rsid w:val="000E008F"/>
    <w:rsid w:val="000E0CF5"/>
    <w:rsid w:val="000E2C90"/>
    <w:rsid w:val="000E32CD"/>
    <w:rsid w:val="000F0706"/>
    <w:rsid w:val="000F1C74"/>
    <w:rsid w:val="000F43B9"/>
    <w:rsid w:val="000F7900"/>
    <w:rsid w:val="000F7CD0"/>
    <w:rsid w:val="00101CDC"/>
    <w:rsid w:val="001064B7"/>
    <w:rsid w:val="00111394"/>
    <w:rsid w:val="00113790"/>
    <w:rsid w:val="001144FE"/>
    <w:rsid w:val="0011530E"/>
    <w:rsid w:val="00116A43"/>
    <w:rsid w:val="00116EE9"/>
    <w:rsid w:val="001207B2"/>
    <w:rsid w:val="00121A93"/>
    <w:rsid w:val="00126007"/>
    <w:rsid w:val="00126281"/>
    <w:rsid w:val="0013134E"/>
    <w:rsid w:val="00131FA0"/>
    <w:rsid w:val="001377C2"/>
    <w:rsid w:val="00137EAE"/>
    <w:rsid w:val="001424B9"/>
    <w:rsid w:val="00155A5C"/>
    <w:rsid w:val="001619DE"/>
    <w:rsid w:val="001676B2"/>
    <w:rsid w:val="00171AFF"/>
    <w:rsid w:val="001767CA"/>
    <w:rsid w:val="0018013D"/>
    <w:rsid w:val="00185964"/>
    <w:rsid w:val="001867CE"/>
    <w:rsid w:val="001874FA"/>
    <w:rsid w:val="00187F8F"/>
    <w:rsid w:val="0019313C"/>
    <w:rsid w:val="00194C45"/>
    <w:rsid w:val="001A0B74"/>
    <w:rsid w:val="001A30C3"/>
    <w:rsid w:val="001B00D9"/>
    <w:rsid w:val="001B0E68"/>
    <w:rsid w:val="001B1BCC"/>
    <w:rsid w:val="001B42CE"/>
    <w:rsid w:val="001B61FF"/>
    <w:rsid w:val="001B6422"/>
    <w:rsid w:val="001C1BE9"/>
    <w:rsid w:val="001C23FF"/>
    <w:rsid w:val="001D0D0A"/>
    <w:rsid w:val="001D4FF6"/>
    <w:rsid w:val="001D7505"/>
    <w:rsid w:val="001E7775"/>
    <w:rsid w:val="001E7F03"/>
    <w:rsid w:val="001F1514"/>
    <w:rsid w:val="001F33A9"/>
    <w:rsid w:val="001F4373"/>
    <w:rsid w:val="001F687C"/>
    <w:rsid w:val="00203EC5"/>
    <w:rsid w:val="00204692"/>
    <w:rsid w:val="00206F54"/>
    <w:rsid w:val="002072B2"/>
    <w:rsid w:val="00211778"/>
    <w:rsid w:val="0021673C"/>
    <w:rsid w:val="00216D2A"/>
    <w:rsid w:val="002176D3"/>
    <w:rsid w:val="002228C2"/>
    <w:rsid w:val="00223410"/>
    <w:rsid w:val="00223884"/>
    <w:rsid w:val="00224883"/>
    <w:rsid w:val="00226D37"/>
    <w:rsid w:val="002300AB"/>
    <w:rsid w:val="00232783"/>
    <w:rsid w:val="00233B7B"/>
    <w:rsid w:val="00245CCB"/>
    <w:rsid w:val="00255EBB"/>
    <w:rsid w:val="00264A41"/>
    <w:rsid w:val="00265352"/>
    <w:rsid w:val="002658BA"/>
    <w:rsid w:val="00265FA5"/>
    <w:rsid w:val="00270938"/>
    <w:rsid w:val="0027226E"/>
    <w:rsid w:val="002739F8"/>
    <w:rsid w:val="00273A50"/>
    <w:rsid w:val="0027498A"/>
    <w:rsid w:val="0027541B"/>
    <w:rsid w:val="00276231"/>
    <w:rsid w:val="00276596"/>
    <w:rsid w:val="002768F5"/>
    <w:rsid w:val="002777DE"/>
    <w:rsid w:val="002825F3"/>
    <w:rsid w:val="00290F82"/>
    <w:rsid w:val="002916A6"/>
    <w:rsid w:val="00293A5B"/>
    <w:rsid w:val="00294901"/>
    <w:rsid w:val="00296BF2"/>
    <w:rsid w:val="002A1A1D"/>
    <w:rsid w:val="002A5F32"/>
    <w:rsid w:val="002A6F04"/>
    <w:rsid w:val="002A7DE6"/>
    <w:rsid w:val="002C3C99"/>
    <w:rsid w:val="002C56EF"/>
    <w:rsid w:val="002D2BD3"/>
    <w:rsid w:val="002D2DD4"/>
    <w:rsid w:val="002D51B7"/>
    <w:rsid w:val="002E200B"/>
    <w:rsid w:val="002E3B28"/>
    <w:rsid w:val="002E508E"/>
    <w:rsid w:val="002F0E7C"/>
    <w:rsid w:val="002F1F5F"/>
    <w:rsid w:val="002F23FC"/>
    <w:rsid w:val="002F61BB"/>
    <w:rsid w:val="003053F5"/>
    <w:rsid w:val="0030613E"/>
    <w:rsid w:val="00307B8A"/>
    <w:rsid w:val="00311C3B"/>
    <w:rsid w:val="003163B3"/>
    <w:rsid w:val="00324A00"/>
    <w:rsid w:val="0032738A"/>
    <w:rsid w:val="0033129F"/>
    <w:rsid w:val="003326DF"/>
    <w:rsid w:val="003371D1"/>
    <w:rsid w:val="00344BB0"/>
    <w:rsid w:val="00364FD3"/>
    <w:rsid w:val="003669ED"/>
    <w:rsid w:val="00370431"/>
    <w:rsid w:val="00370F4E"/>
    <w:rsid w:val="0037320B"/>
    <w:rsid w:val="00373359"/>
    <w:rsid w:val="00375D54"/>
    <w:rsid w:val="00377F72"/>
    <w:rsid w:val="003808BF"/>
    <w:rsid w:val="00380BD2"/>
    <w:rsid w:val="003821DF"/>
    <w:rsid w:val="003825F3"/>
    <w:rsid w:val="003865B4"/>
    <w:rsid w:val="003920D4"/>
    <w:rsid w:val="003928E2"/>
    <w:rsid w:val="00394D33"/>
    <w:rsid w:val="003A0656"/>
    <w:rsid w:val="003A1833"/>
    <w:rsid w:val="003A5E17"/>
    <w:rsid w:val="003B007E"/>
    <w:rsid w:val="003B38CD"/>
    <w:rsid w:val="003B4113"/>
    <w:rsid w:val="003B485B"/>
    <w:rsid w:val="003B5D54"/>
    <w:rsid w:val="003B5EFF"/>
    <w:rsid w:val="003B5FAC"/>
    <w:rsid w:val="003C2835"/>
    <w:rsid w:val="003C442A"/>
    <w:rsid w:val="003C7776"/>
    <w:rsid w:val="003D053B"/>
    <w:rsid w:val="003D351D"/>
    <w:rsid w:val="003D57C8"/>
    <w:rsid w:val="003D6244"/>
    <w:rsid w:val="003E03CC"/>
    <w:rsid w:val="003E06AD"/>
    <w:rsid w:val="003E2408"/>
    <w:rsid w:val="003E4318"/>
    <w:rsid w:val="003E45F1"/>
    <w:rsid w:val="003E6288"/>
    <w:rsid w:val="003E657D"/>
    <w:rsid w:val="003F0992"/>
    <w:rsid w:val="003F471B"/>
    <w:rsid w:val="003F4DA5"/>
    <w:rsid w:val="003F77FA"/>
    <w:rsid w:val="003F7D9F"/>
    <w:rsid w:val="0040130E"/>
    <w:rsid w:val="004046BC"/>
    <w:rsid w:val="00411CD0"/>
    <w:rsid w:val="00412D77"/>
    <w:rsid w:val="00427735"/>
    <w:rsid w:val="0043173A"/>
    <w:rsid w:val="0043281D"/>
    <w:rsid w:val="00434B9D"/>
    <w:rsid w:val="00435D31"/>
    <w:rsid w:val="0043734C"/>
    <w:rsid w:val="00440D83"/>
    <w:rsid w:val="004461D1"/>
    <w:rsid w:val="004477EC"/>
    <w:rsid w:val="00447C4D"/>
    <w:rsid w:val="00447EE6"/>
    <w:rsid w:val="0045088B"/>
    <w:rsid w:val="00453301"/>
    <w:rsid w:val="0045612B"/>
    <w:rsid w:val="00457749"/>
    <w:rsid w:val="00462161"/>
    <w:rsid w:val="00463E73"/>
    <w:rsid w:val="00464CB1"/>
    <w:rsid w:val="004654D2"/>
    <w:rsid w:val="004660F2"/>
    <w:rsid w:val="00470373"/>
    <w:rsid w:val="00470CF0"/>
    <w:rsid w:val="00471FC9"/>
    <w:rsid w:val="00472355"/>
    <w:rsid w:val="00473F21"/>
    <w:rsid w:val="00474CD2"/>
    <w:rsid w:val="0047508C"/>
    <w:rsid w:val="00480453"/>
    <w:rsid w:val="0048187A"/>
    <w:rsid w:val="00481DCD"/>
    <w:rsid w:val="00484DA4"/>
    <w:rsid w:val="00485E15"/>
    <w:rsid w:val="0049045D"/>
    <w:rsid w:val="00497C4C"/>
    <w:rsid w:val="004A1A9B"/>
    <w:rsid w:val="004A3BD3"/>
    <w:rsid w:val="004A52CF"/>
    <w:rsid w:val="004B2A94"/>
    <w:rsid w:val="004B5382"/>
    <w:rsid w:val="004C051C"/>
    <w:rsid w:val="004C11CB"/>
    <w:rsid w:val="004E036F"/>
    <w:rsid w:val="004E1FF5"/>
    <w:rsid w:val="004E71B6"/>
    <w:rsid w:val="004F0798"/>
    <w:rsid w:val="004F4AC9"/>
    <w:rsid w:val="004F4E7C"/>
    <w:rsid w:val="004F5FA6"/>
    <w:rsid w:val="004F67E6"/>
    <w:rsid w:val="005009E0"/>
    <w:rsid w:val="00500A13"/>
    <w:rsid w:val="005059E9"/>
    <w:rsid w:val="00520E34"/>
    <w:rsid w:val="005353D4"/>
    <w:rsid w:val="00540668"/>
    <w:rsid w:val="00542257"/>
    <w:rsid w:val="00543C31"/>
    <w:rsid w:val="00547C02"/>
    <w:rsid w:val="00554A82"/>
    <w:rsid w:val="00554C22"/>
    <w:rsid w:val="00555E6A"/>
    <w:rsid w:val="00556851"/>
    <w:rsid w:val="00560043"/>
    <w:rsid w:val="00560DED"/>
    <w:rsid w:val="00563A5C"/>
    <w:rsid w:val="00564065"/>
    <w:rsid w:val="005763BA"/>
    <w:rsid w:val="00584497"/>
    <w:rsid w:val="005865D9"/>
    <w:rsid w:val="00591275"/>
    <w:rsid w:val="00593D21"/>
    <w:rsid w:val="0059404C"/>
    <w:rsid w:val="00595C9A"/>
    <w:rsid w:val="005A23BE"/>
    <w:rsid w:val="005A2BE3"/>
    <w:rsid w:val="005A3518"/>
    <w:rsid w:val="005A372F"/>
    <w:rsid w:val="005A3A5E"/>
    <w:rsid w:val="005A5719"/>
    <w:rsid w:val="005A5F64"/>
    <w:rsid w:val="005B1809"/>
    <w:rsid w:val="005B1C76"/>
    <w:rsid w:val="005B2190"/>
    <w:rsid w:val="005B50C2"/>
    <w:rsid w:val="005B7C02"/>
    <w:rsid w:val="005C00F3"/>
    <w:rsid w:val="005C1755"/>
    <w:rsid w:val="005C6D54"/>
    <w:rsid w:val="005C73DE"/>
    <w:rsid w:val="005D3F71"/>
    <w:rsid w:val="005D3F8B"/>
    <w:rsid w:val="005D541A"/>
    <w:rsid w:val="005D586F"/>
    <w:rsid w:val="005E1A52"/>
    <w:rsid w:val="005E67A1"/>
    <w:rsid w:val="005E7EEE"/>
    <w:rsid w:val="005E7FF1"/>
    <w:rsid w:val="005F0FA4"/>
    <w:rsid w:val="005F1BD2"/>
    <w:rsid w:val="005F3D3A"/>
    <w:rsid w:val="005F70DF"/>
    <w:rsid w:val="0060064A"/>
    <w:rsid w:val="00604550"/>
    <w:rsid w:val="006146C0"/>
    <w:rsid w:val="00615EFA"/>
    <w:rsid w:val="00616115"/>
    <w:rsid w:val="00616B99"/>
    <w:rsid w:val="00617E01"/>
    <w:rsid w:val="00620E69"/>
    <w:rsid w:val="00622BD9"/>
    <w:rsid w:val="006266C1"/>
    <w:rsid w:val="006312E0"/>
    <w:rsid w:val="00633C89"/>
    <w:rsid w:val="006422C8"/>
    <w:rsid w:val="00643DCA"/>
    <w:rsid w:val="00644E88"/>
    <w:rsid w:val="00646538"/>
    <w:rsid w:val="00654F72"/>
    <w:rsid w:val="00657E83"/>
    <w:rsid w:val="00661293"/>
    <w:rsid w:val="00664DBD"/>
    <w:rsid w:val="00665F51"/>
    <w:rsid w:val="00680F4E"/>
    <w:rsid w:val="006837A5"/>
    <w:rsid w:val="00683FD0"/>
    <w:rsid w:val="006906A8"/>
    <w:rsid w:val="00690E19"/>
    <w:rsid w:val="006968F9"/>
    <w:rsid w:val="006A1DE1"/>
    <w:rsid w:val="006A3459"/>
    <w:rsid w:val="006B1DAB"/>
    <w:rsid w:val="006B2310"/>
    <w:rsid w:val="006B56A4"/>
    <w:rsid w:val="006C0549"/>
    <w:rsid w:val="006C07A5"/>
    <w:rsid w:val="006C22D5"/>
    <w:rsid w:val="006C3D3C"/>
    <w:rsid w:val="006C5387"/>
    <w:rsid w:val="006C59EA"/>
    <w:rsid w:val="006C6953"/>
    <w:rsid w:val="006D5207"/>
    <w:rsid w:val="006E101E"/>
    <w:rsid w:val="006E2C0F"/>
    <w:rsid w:val="006F0BFC"/>
    <w:rsid w:val="006F27D7"/>
    <w:rsid w:val="006F60BB"/>
    <w:rsid w:val="006F676F"/>
    <w:rsid w:val="006F6AC0"/>
    <w:rsid w:val="00700E95"/>
    <w:rsid w:val="0071172C"/>
    <w:rsid w:val="00711D03"/>
    <w:rsid w:val="00713E16"/>
    <w:rsid w:val="00717422"/>
    <w:rsid w:val="00727F1E"/>
    <w:rsid w:val="00730AF5"/>
    <w:rsid w:val="007319F1"/>
    <w:rsid w:val="00735B24"/>
    <w:rsid w:val="00736E45"/>
    <w:rsid w:val="00740468"/>
    <w:rsid w:val="00742C7F"/>
    <w:rsid w:val="00743CF0"/>
    <w:rsid w:val="00745B6B"/>
    <w:rsid w:val="00747769"/>
    <w:rsid w:val="00753E7C"/>
    <w:rsid w:val="0075677F"/>
    <w:rsid w:val="00757DA4"/>
    <w:rsid w:val="00757DCA"/>
    <w:rsid w:val="007601DF"/>
    <w:rsid w:val="0076206F"/>
    <w:rsid w:val="00762794"/>
    <w:rsid w:val="0076786B"/>
    <w:rsid w:val="00770B4B"/>
    <w:rsid w:val="00771667"/>
    <w:rsid w:val="00772FFF"/>
    <w:rsid w:val="00775315"/>
    <w:rsid w:val="0077687C"/>
    <w:rsid w:val="007809C8"/>
    <w:rsid w:val="00780CD8"/>
    <w:rsid w:val="00781D31"/>
    <w:rsid w:val="0078690A"/>
    <w:rsid w:val="00786E55"/>
    <w:rsid w:val="00787FA3"/>
    <w:rsid w:val="00795738"/>
    <w:rsid w:val="007973C1"/>
    <w:rsid w:val="007A4D45"/>
    <w:rsid w:val="007A5F5F"/>
    <w:rsid w:val="007A61BD"/>
    <w:rsid w:val="007B197B"/>
    <w:rsid w:val="007C1CDB"/>
    <w:rsid w:val="007C32C8"/>
    <w:rsid w:val="007C33E9"/>
    <w:rsid w:val="007C4E3B"/>
    <w:rsid w:val="007D0617"/>
    <w:rsid w:val="007D73DC"/>
    <w:rsid w:val="007E0447"/>
    <w:rsid w:val="007E13B0"/>
    <w:rsid w:val="007E21E2"/>
    <w:rsid w:val="007E4F91"/>
    <w:rsid w:val="007E5EED"/>
    <w:rsid w:val="007F0595"/>
    <w:rsid w:val="007F27EA"/>
    <w:rsid w:val="007F5247"/>
    <w:rsid w:val="007F57CA"/>
    <w:rsid w:val="008007B8"/>
    <w:rsid w:val="00801AA6"/>
    <w:rsid w:val="0080310F"/>
    <w:rsid w:val="008042DE"/>
    <w:rsid w:val="00807070"/>
    <w:rsid w:val="008115E5"/>
    <w:rsid w:val="008206DA"/>
    <w:rsid w:val="00821F29"/>
    <w:rsid w:val="0082624E"/>
    <w:rsid w:val="008271DC"/>
    <w:rsid w:val="00833215"/>
    <w:rsid w:val="00833D21"/>
    <w:rsid w:val="0083670F"/>
    <w:rsid w:val="00837BB0"/>
    <w:rsid w:val="008402F2"/>
    <w:rsid w:val="0084322C"/>
    <w:rsid w:val="00843D75"/>
    <w:rsid w:val="0084534D"/>
    <w:rsid w:val="00846188"/>
    <w:rsid w:val="00846C27"/>
    <w:rsid w:val="00850111"/>
    <w:rsid w:val="0085072B"/>
    <w:rsid w:val="0085454D"/>
    <w:rsid w:val="0085747C"/>
    <w:rsid w:val="0087245F"/>
    <w:rsid w:val="00873F45"/>
    <w:rsid w:val="00874233"/>
    <w:rsid w:val="008744A3"/>
    <w:rsid w:val="00875AD9"/>
    <w:rsid w:val="00875B0A"/>
    <w:rsid w:val="00876BC0"/>
    <w:rsid w:val="008774FB"/>
    <w:rsid w:val="00877AC5"/>
    <w:rsid w:val="008821F6"/>
    <w:rsid w:val="00884233"/>
    <w:rsid w:val="00885CB1"/>
    <w:rsid w:val="00897DF0"/>
    <w:rsid w:val="008A08A7"/>
    <w:rsid w:val="008A11C8"/>
    <w:rsid w:val="008A1200"/>
    <w:rsid w:val="008A37B4"/>
    <w:rsid w:val="008A7122"/>
    <w:rsid w:val="008A734D"/>
    <w:rsid w:val="008A7AD7"/>
    <w:rsid w:val="008B0C9A"/>
    <w:rsid w:val="008B2C7E"/>
    <w:rsid w:val="008B40BD"/>
    <w:rsid w:val="008C1033"/>
    <w:rsid w:val="008C3E31"/>
    <w:rsid w:val="008C7C19"/>
    <w:rsid w:val="008D036E"/>
    <w:rsid w:val="008D17D5"/>
    <w:rsid w:val="008D7D71"/>
    <w:rsid w:val="008E0217"/>
    <w:rsid w:val="008E0AB5"/>
    <w:rsid w:val="008E7480"/>
    <w:rsid w:val="008E7CEF"/>
    <w:rsid w:val="008F0317"/>
    <w:rsid w:val="008F4E82"/>
    <w:rsid w:val="008F503F"/>
    <w:rsid w:val="008F7941"/>
    <w:rsid w:val="008F7D88"/>
    <w:rsid w:val="00902A49"/>
    <w:rsid w:val="009056B0"/>
    <w:rsid w:val="00906E2B"/>
    <w:rsid w:val="009073A6"/>
    <w:rsid w:val="00911720"/>
    <w:rsid w:val="00914672"/>
    <w:rsid w:val="0091472D"/>
    <w:rsid w:val="00921A07"/>
    <w:rsid w:val="0092441C"/>
    <w:rsid w:val="00925E41"/>
    <w:rsid w:val="009276EB"/>
    <w:rsid w:val="00931AD5"/>
    <w:rsid w:val="00932677"/>
    <w:rsid w:val="00933424"/>
    <w:rsid w:val="0093738C"/>
    <w:rsid w:val="0094172B"/>
    <w:rsid w:val="00943733"/>
    <w:rsid w:val="0094581E"/>
    <w:rsid w:val="009460B2"/>
    <w:rsid w:val="00952E4A"/>
    <w:rsid w:val="00962A0A"/>
    <w:rsid w:val="00967293"/>
    <w:rsid w:val="00971F30"/>
    <w:rsid w:val="00973B49"/>
    <w:rsid w:val="0097536D"/>
    <w:rsid w:val="0098031E"/>
    <w:rsid w:val="00981FCE"/>
    <w:rsid w:val="00982334"/>
    <w:rsid w:val="009907A0"/>
    <w:rsid w:val="00990FD5"/>
    <w:rsid w:val="00993565"/>
    <w:rsid w:val="0099401A"/>
    <w:rsid w:val="00994705"/>
    <w:rsid w:val="00996B14"/>
    <w:rsid w:val="00997C7D"/>
    <w:rsid w:val="009A4AD5"/>
    <w:rsid w:val="009B130A"/>
    <w:rsid w:val="009B1491"/>
    <w:rsid w:val="009B69E0"/>
    <w:rsid w:val="009C1FA8"/>
    <w:rsid w:val="009D5342"/>
    <w:rsid w:val="009D5F7C"/>
    <w:rsid w:val="009E06D0"/>
    <w:rsid w:val="009E1D81"/>
    <w:rsid w:val="009E3888"/>
    <w:rsid w:val="009F6707"/>
    <w:rsid w:val="009F6FF7"/>
    <w:rsid w:val="009F7ACE"/>
    <w:rsid w:val="00A007FB"/>
    <w:rsid w:val="00A0124C"/>
    <w:rsid w:val="00A03D49"/>
    <w:rsid w:val="00A1160F"/>
    <w:rsid w:val="00A11873"/>
    <w:rsid w:val="00A119F8"/>
    <w:rsid w:val="00A1313E"/>
    <w:rsid w:val="00A15327"/>
    <w:rsid w:val="00A17E7C"/>
    <w:rsid w:val="00A264E9"/>
    <w:rsid w:val="00A2651F"/>
    <w:rsid w:val="00A26FD0"/>
    <w:rsid w:val="00A313F7"/>
    <w:rsid w:val="00A33AB3"/>
    <w:rsid w:val="00A41545"/>
    <w:rsid w:val="00A4791B"/>
    <w:rsid w:val="00A50150"/>
    <w:rsid w:val="00A54558"/>
    <w:rsid w:val="00A55207"/>
    <w:rsid w:val="00A57064"/>
    <w:rsid w:val="00A57789"/>
    <w:rsid w:val="00A577DA"/>
    <w:rsid w:val="00A61AA9"/>
    <w:rsid w:val="00A6721B"/>
    <w:rsid w:val="00A67221"/>
    <w:rsid w:val="00A747CE"/>
    <w:rsid w:val="00A80585"/>
    <w:rsid w:val="00A83B21"/>
    <w:rsid w:val="00A903BE"/>
    <w:rsid w:val="00A9100C"/>
    <w:rsid w:val="00A957FA"/>
    <w:rsid w:val="00AA6DFE"/>
    <w:rsid w:val="00AB51F3"/>
    <w:rsid w:val="00AB56E7"/>
    <w:rsid w:val="00AC0B59"/>
    <w:rsid w:val="00AC1034"/>
    <w:rsid w:val="00AC2E70"/>
    <w:rsid w:val="00AC33E0"/>
    <w:rsid w:val="00AF53B4"/>
    <w:rsid w:val="00B0027E"/>
    <w:rsid w:val="00B0281A"/>
    <w:rsid w:val="00B13632"/>
    <w:rsid w:val="00B14705"/>
    <w:rsid w:val="00B207F0"/>
    <w:rsid w:val="00B32FC9"/>
    <w:rsid w:val="00B340A7"/>
    <w:rsid w:val="00B35581"/>
    <w:rsid w:val="00B45A6B"/>
    <w:rsid w:val="00B47ABE"/>
    <w:rsid w:val="00B50588"/>
    <w:rsid w:val="00B50E78"/>
    <w:rsid w:val="00B522D2"/>
    <w:rsid w:val="00B53344"/>
    <w:rsid w:val="00B54CFC"/>
    <w:rsid w:val="00B54F4B"/>
    <w:rsid w:val="00B653A7"/>
    <w:rsid w:val="00B675BE"/>
    <w:rsid w:val="00B73DE3"/>
    <w:rsid w:val="00B77CAC"/>
    <w:rsid w:val="00B80CAF"/>
    <w:rsid w:val="00B87563"/>
    <w:rsid w:val="00B9152F"/>
    <w:rsid w:val="00B9270F"/>
    <w:rsid w:val="00B95417"/>
    <w:rsid w:val="00B95DEC"/>
    <w:rsid w:val="00BA0E63"/>
    <w:rsid w:val="00BA0F23"/>
    <w:rsid w:val="00BA1D58"/>
    <w:rsid w:val="00BA3D3C"/>
    <w:rsid w:val="00BA7E58"/>
    <w:rsid w:val="00BB2FBF"/>
    <w:rsid w:val="00BB4FFB"/>
    <w:rsid w:val="00BB62CC"/>
    <w:rsid w:val="00BB781D"/>
    <w:rsid w:val="00BC0979"/>
    <w:rsid w:val="00BC2A8D"/>
    <w:rsid w:val="00BC3254"/>
    <w:rsid w:val="00BC6FBC"/>
    <w:rsid w:val="00BD0F7A"/>
    <w:rsid w:val="00BD2305"/>
    <w:rsid w:val="00BD3433"/>
    <w:rsid w:val="00BD5DC1"/>
    <w:rsid w:val="00BE1258"/>
    <w:rsid w:val="00BE1897"/>
    <w:rsid w:val="00BE2F59"/>
    <w:rsid w:val="00BE34D3"/>
    <w:rsid w:val="00BF00F2"/>
    <w:rsid w:val="00BF1A50"/>
    <w:rsid w:val="00BF21E2"/>
    <w:rsid w:val="00BF44DB"/>
    <w:rsid w:val="00C1096E"/>
    <w:rsid w:val="00C12A4C"/>
    <w:rsid w:val="00C13781"/>
    <w:rsid w:val="00C1458D"/>
    <w:rsid w:val="00C1471B"/>
    <w:rsid w:val="00C167B1"/>
    <w:rsid w:val="00C17D3C"/>
    <w:rsid w:val="00C23E8A"/>
    <w:rsid w:val="00C2410B"/>
    <w:rsid w:val="00C32E7B"/>
    <w:rsid w:val="00C42386"/>
    <w:rsid w:val="00C4327F"/>
    <w:rsid w:val="00C43EDD"/>
    <w:rsid w:val="00C5023B"/>
    <w:rsid w:val="00C503E7"/>
    <w:rsid w:val="00C52F11"/>
    <w:rsid w:val="00C555EF"/>
    <w:rsid w:val="00C5782B"/>
    <w:rsid w:val="00C6583A"/>
    <w:rsid w:val="00C7302D"/>
    <w:rsid w:val="00C734B6"/>
    <w:rsid w:val="00C751B5"/>
    <w:rsid w:val="00C76FDD"/>
    <w:rsid w:val="00C77CE3"/>
    <w:rsid w:val="00C80DD6"/>
    <w:rsid w:val="00C83543"/>
    <w:rsid w:val="00C877AF"/>
    <w:rsid w:val="00C91133"/>
    <w:rsid w:val="00C93A32"/>
    <w:rsid w:val="00C95AAF"/>
    <w:rsid w:val="00CA125E"/>
    <w:rsid w:val="00CB481F"/>
    <w:rsid w:val="00CB5E45"/>
    <w:rsid w:val="00CB6B23"/>
    <w:rsid w:val="00CC26A7"/>
    <w:rsid w:val="00CC2D84"/>
    <w:rsid w:val="00CD5E63"/>
    <w:rsid w:val="00CE05CF"/>
    <w:rsid w:val="00CE126D"/>
    <w:rsid w:val="00CE319C"/>
    <w:rsid w:val="00CE4478"/>
    <w:rsid w:val="00CF0945"/>
    <w:rsid w:val="00D0385B"/>
    <w:rsid w:val="00D06D13"/>
    <w:rsid w:val="00D079F4"/>
    <w:rsid w:val="00D07C19"/>
    <w:rsid w:val="00D13CC2"/>
    <w:rsid w:val="00D13D78"/>
    <w:rsid w:val="00D15CC0"/>
    <w:rsid w:val="00D15D33"/>
    <w:rsid w:val="00D1622A"/>
    <w:rsid w:val="00D172EE"/>
    <w:rsid w:val="00D2024F"/>
    <w:rsid w:val="00D239DE"/>
    <w:rsid w:val="00D25D87"/>
    <w:rsid w:val="00D3252C"/>
    <w:rsid w:val="00D35367"/>
    <w:rsid w:val="00D36AC4"/>
    <w:rsid w:val="00D41E88"/>
    <w:rsid w:val="00D47842"/>
    <w:rsid w:val="00D55C61"/>
    <w:rsid w:val="00D5625A"/>
    <w:rsid w:val="00D65C46"/>
    <w:rsid w:val="00D666C9"/>
    <w:rsid w:val="00D6670E"/>
    <w:rsid w:val="00D66C09"/>
    <w:rsid w:val="00D6704E"/>
    <w:rsid w:val="00D7019D"/>
    <w:rsid w:val="00D739A9"/>
    <w:rsid w:val="00D73E5D"/>
    <w:rsid w:val="00D75F60"/>
    <w:rsid w:val="00D77CFC"/>
    <w:rsid w:val="00D80DFB"/>
    <w:rsid w:val="00D820A3"/>
    <w:rsid w:val="00D83B16"/>
    <w:rsid w:val="00D93215"/>
    <w:rsid w:val="00D939C2"/>
    <w:rsid w:val="00D96E02"/>
    <w:rsid w:val="00D97C55"/>
    <w:rsid w:val="00DA217A"/>
    <w:rsid w:val="00DA38CD"/>
    <w:rsid w:val="00DA3F9C"/>
    <w:rsid w:val="00DA5458"/>
    <w:rsid w:val="00DA5A0C"/>
    <w:rsid w:val="00DB03BB"/>
    <w:rsid w:val="00DB3BF8"/>
    <w:rsid w:val="00DC2A8B"/>
    <w:rsid w:val="00DD0BD7"/>
    <w:rsid w:val="00DD0CCD"/>
    <w:rsid w:val="00DD437E"/>
    <w:rsid w:val="00DD70F8"/>
    <w:rsid w:val="00DE0BF9"/>
    <w:rsid w:val="00DE2E19"/>
    <w:rsid w:val="00DE3F2A"/>
    <w:rsid w:val="00DF260C"/>
    <w:rsid w:val="00DF2A53"/>
    <w:rsid w:val="00DF7322"/>
    <w:rsid w:val="00E00CEE"/>
    <w:rsid w:val="00E025C8"/>
    <w:rsid w:val="00E07100"/>
    <w:rsid w:val="00E10B1A"/>
    <w:rsid w:val="00E14ECA"/>
    <w:rsid w:val="00E17F25"/>
    <w:rsid w:val="00E2730E"/>
    <w:rsid w:val="00E30FB6"/>
    <w:rsid w:val="00E44639"/>
    <w:rsid w:val="00E47BE2"/>
    <w:rsid w:val="00E513D8"/>
    <w:rsid w:val="00E5354F"/>
    <w:rsid w:val="00E5518F"/>
    <w:rsid w:val="00E55897"/>
    <w:rsid w:val="00E55D02"/>
    <w:rsid w:val="00E5665C"/>
    <w:rsid w:val="00E61C58"/>
    <w:rsid w:val="00E6286F"/>
    <w:rsid w:val="00E63032"/>
    <w:rsid w:val="00E64B08"/>
    <w:rsid w:val="00E8373E"/>
    <w:rsid w:val="00E86760"/>
    <w:rsid w:val="00E93352"/>
    <w:rsid w:val="00E93F42"/>
    <w:rsid w:val="00EA600C"/>
    <w:rsid w:val="00EB0CF8"/>
    <w:rsid w:val="00EB14DC"/>
    <w:rsid w:val="00EB3A9C"/>
    <w:rsid w:val="00EB5D13"/>
    <w:rsid w:val="00EC58BC"/>
    <w:rsid w:val="00ED1A89"/>
    <w:rsid w:val="00EE1E28"/>
    <w:rsid w:val="00EE46FE"/>
    <w:rsid w:val="00EE516E"/>
    <w:rsid w:val="00EF000D"/>
    <w:rsid w:val="00EF1352"/>
    <w:rsid w:val="00F036D2"/>
    <w:rsid w:val="00F055EB"/>
    <w:rsid w:val="00F0592E"/>
    <w:rsid w:val="00F103FD"/>
    <w:rsid w:val="00F158D1"/>
    <w:rsid w:val="00F15E2D"/>
    <w:rsid w:val="00F2172F"/>
    <w:rsid w:val="00F229E0"/>
    <w:rsid w:val="00F22A87"/>
    <w:rsid w:val="00F23668"/>
    <w:rsid w:val="00F24D63"/>
    <w:rsid w:val="00F26A1F"/>
    <w:rsid w:val="00F26CC8"/>
    <w:rsid w:val="00F27433"/>
    <w:rsid w:val="00F27A3D"/>
    <w:rsid w:val="00F327E5"/>
    <w:rsid w:val="00F346AE"/>
    <w:rsid w:val="00F40E3F"/>
    <w:rsid w:val="00F421A7"/>
    <w:rsid w:val="00F43603"/>
    <w:rsid w:val="00F4451F"/>
    <w:rsid w:val="00F52E4D"/>
    <w:rsid w:val="00F550DF"/>
    <w:rsid w:val="00F55F1D"/>
    <w:rsid w:val="00F57157"/>
    <w:rsid w:val="00F620C7"/>
    <w:rsid w:val="00F678A7"/>
    <w:rsid w:val="00F678D3"/>
    <w:rsid w:val="00F73E27"/>
    <w:rsid w:val="00F74D36"/>
    <w:rsid w:val="00F750D3"/>
    <w:rsid w:val="00F76813"/>
    <w:rsid w:val="00F777E3"/>
    <w:rsid w:val="00F843A0"/>
    <w:rsid w:val="00F85216"/>
    <w:rsid w:val="00F85749"/>
    <w:rsid w:val="00F907AF"/>
    <w:rsid w:val="00F90F79"/>
    <w:rsid w:val="00F91707"/>
    <w:rsid w:val="00F9272C"/>
    <w:rsid w:val="00F955AF"/>
    <w:rsid w:val="00F970D8"/>
    <w:rsid w:val="00FB2C3A"/>
    <w:rsid w:val="00FC0396"/>
    <w:rsid w:val="00FC4C17"/>
    <w:rsid w:val="00FC6C45"/>
    <w:rsid w:val="00FD41DF"/>
    <w:rsid w:val="00FD71F5"/>
    <w:rsid w:val="00FE069A"/>
    <w:rsid w:val="00FF3AF4"/>
    <w:rsid w:val="00FF4496"/>
    <w:rsid w:val="00FF6F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82D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uiPriority w:val="39"/>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Hyperlink">
    <w:name w:val="Hyperlink"/>
    <w:basedOn w:val="DefaultParagraphFont"/>
    <w:uiPriority w:val="99"/>
    <w:unhideWhenUsed/>
    <w:rsid w:val="00324A00"/>
    <w:rPr>
      <w:color w:val="0563C1" w:themeColor="hyperlink"/>
      <w:u w:val="single"/>
    </w:rPr>
  </w:style>
  <w:style w:type="character" w:styleId="UnresolvedMention">
    <w:name w:val="Unresolved Mention"/>
    <w:basedOn w:val="DefaultParagraphFont"/>
    <w:uiPriority w:val="99"/>
    <w:semiHidden/>
    <w:unhideWhenUsed/>
    <w:rsid w:val="00324A00"/>
    <w:rPr>
      <w:color w:val="605E5C"/>
      <w:shd w:val="clear" w:color="auto" w:fill="E1DFDD"/>
    </w:rPr>
  </w:style>
  <w:style w:type="character" w:styleId="FollowedHyperlink">
    <w:name w:val="FollowedHyperlink"/>
    <w:basedOn w:val="DefaultParagraphFont"/>
    <w:uiPriority w:val="99"/>
    <w:semiHidden/>
    <w:unhideWhenUsed/>
    <w:rsid w:val="002D2DD4"/>
    <w:rPr>
      <w:color w:val="954F72" w:themeColor="followedHyperlink"/>
      <w:u w:val="single"/>
    </w:rPr>
  </w:style>
  <w:style w:type="character" w:styleId="CommentReference">
    <w:name w:val="annotation reference"/>
    <w:basedOn w:val="DefaultParagraphFont"/>
    <w:uiPriority w:val="99"/>
    <w:semiHidden/>
    <w:unhideWhenUsed/>
    <w:rsid w:val="00484DA4"/>
    <w:rPr>
      <w:sz w:val="16"/>
      <w:szCs w:val="16"/>
    </w:rPr>
  </w:style>
  <w:style w:type="paragraph" w:styleId="CommentText">
    <w:name w:val="annotation text"/>
    <w:basedOn w:val="Normal"/>
    <w:link w:val="CommentTextChar"/>
    <w:uiPriority w:val="99"/>
    <w:unhideWhenUsed/>
    <w:rsid w:val="00484DA4"/>
    <w:rPr>
      <w:sz w:val="20"/>
      <w:szCs w:val="20"/>
    </w:rPr>
  </w:style>
  <w:style w:type="character" w:customStyle="1" w:styleId="CommentTextChar">
    <w:name w:val="Comment Text Char"/>
    <w:basedOn w:val="DefaultParagraphFont"/>
    <w:link w:val="CommentText"/>
    <w:uiPriority w:val="99"/>
    <w:rsid w:val="00484DA4"/>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484DA4"/>
    <w:rPr>
      <w:b/>
      <w:bCs/>
    </w:rPr>
  </w:style>
  <w:style w:type="character" w:customStyle="1" w:styleId="CommentSubjectChar">
    <w:name w:val="Comment Subject Char"/>
    <w:basedOn w:val="CommentTextChar"/>
    <w:link w:val="CommentSubject"/>
    <w:uiPriority w:val="99"/>
    <w:semiHidden/>
    <w:rsid w:val="00484DA4"/>
    <w:rPr>
      <w:rFonts w:eastAsia="Times New Roman" w:cs="Times New Roman"/>
      <w:b/>
      <w:bCs/>
      <w:sz w:val="20"/>
      <w:szCs w:val="20"/>
      <w:lang w:val="lv-LV" w:eastAsia="ru-RU"/>
    </w:rPr>
  </w:style>
  <w:style w:type="paragraph" w:styleId="Revision">
    <w:name w:val="Revision"/>
    <w:hidden/>
    <w:uiPriority w:val="99"/>
    <w:semiHidden/>
    <w:rsid w:val="004E036F"/>
    <w:pPr>
      <w:spacing w:after="0" w:line="240" w:lineRule="auto"/>
    </w:pPr>
    <w:rPr>
      <w:rFonts w:eastAsia="Times New Roman" w:cs="Times New Roman"/>
      <w:szCs w:val="24"/>
      <w:lang w:val="lv-LV" w:eastAsia="ru-RU"/>
    </w:rPr>
  </w:style>
  <w:style w:type="paragraph" w:customStyle="1" w:styleId="Default">
    <w:name w:val="Default"/>
    <w:rsid w:val="006B2310"/>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154171">
      <w:bodyDiv w:val="1"/>
      <w:marLeft w:val="0"/>
      <w:marRight w:val="0"/>
      <w:marTop w:val="0"/>
      <w:marBottom w:val="0"/>
      <w:divBdr>
        <w:top w:val="none" w:sz="0" w:space="0" w:color="auto"/>
        <w:left w:val="none" w:sz="0" w:space="0" w:color="auto"/>
        <w:bottom w:val="none" w:sz="0" w:space="0" w:color="auto"/>
        <w:right w:val="none" w:sz="0" w:space="0" w:color="auto"/>
      </w:divBdr>
    </w:div>
    <w:div w:id="965162952">
      <w:bodyDiv w:val="1"/>
      <w:marLeft w:val="0"/>
      <w:marRight w:val="0"/>
      <w:marTop w:val="0"/>
      <w:marBottom w:val="0"/>
      <w:divBdr>
        <w:top w:val="none" w:sz="0" w:space="0" w:color="auto"/>
        <w:left w:val="none" w:sz="0" w:space="0" w:color="auto"/>
        <w:bottom w:val="none" w:sz="0" w:space="0" w:color="auto"/>
        <w:right w:val="none" w:sz="0" w:space="0" w:color="auto"/>
      </w:divBdr>
    </w:div>
    <w:div w:id="1388988679">
      <w:bodyDiv w:val="1"/>
      <w:marLeft w:val="0"/>
      <w:marRight w:val="0"/>
      <w:marTop w:val="0"/>
      <w:marBottom w:val="0"/>
      <w:divBdr>
        <w:top w:val="none" w:sz="0" w:space="0" w:color="auto"/>
        <w:left w:val="none" w:sz="0" w:space="0" w:color="auto"/>
        <w:bottom w:val="none" w:sz="0" w:space="0" w:color="auto"/>
        <w:right w:val="none" w:sz="0" w:space="0" w:color="auto"/>
      </w:divBdr>
    </w:div>
    <w:div w:id="1752854533">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b9ff8ad4-7b17-4544-a509-953a4cac559b" TargetMode="External"/><Relationship Id="rId13" Type="http://schemas.openxmlformats.org/officeDocument/2006/relationships/hyperlink" Target="https://hudoc.echr.coe.int/eng?i=001-60821" TargetMode="External"/><Relationship Id="rId18" Type="http://schemas.openxmlformats.org/officeDocument/2006/relationships/hyperlink" Target="https://likumi.lv/ta/id/263675-par-civilprocesa-likuma-483-un-484-panta-atbilstibu-latvijas-republikas-satversmes-92-panta-pirmajam-teikuma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udoc.echr.coe.int/eng?i=001-218516" TargetMode="External"/><Relationship Id="rId17" Type="http://schemas.openxmlformats.org/officeDocument/2006/relationships/hyperlink" Target="https://likumi.lv/ta/id/252520-par-civilprocesa-likuma-128-panta-otras-dalas-3-5-un-7-punkta-atbilstibu-latvijas-republikas-satversmes-90-un-92-pantam" TargetMode="External"/><Relationship Id="rId2" Type="http://schemas.openxmlformats.org/officeDocument/2006/relationships/numbering" Target="numbering.xml"/><Relationship Id="rId16" Type="http://schemas.openxmlformats.org/officeDocument/2006/relationships/hyperlink" Target="https://likumi.lv/ta/id/263675-par-civilprocesa-likuma-483-un-484-panta-atbilstibu-latvijas-republikas-satversmes-92-panta-pirmajam-teikuma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teway.elieta.lv/api/v1/PublicMaterialDownload/8f2c524d-c2a3-411c-9a29-15da7218ad67" TargetMode="External"/><Relationship Id="rId5" Type="http://schemas.openxmlformats.org/officeDocument/2006/relationships/webSettings" Target="webSettings.xml"/><Relationship Id="rId15" Type="http://schemas.openxmlformats.org/officeDocument/2006/relationships/hyperlink" Target="https://www.echr.coe.int/documents/d/echr/rules_court_eng" TargetMode="External"/><Relationship Id="rId10" Type="http://schemas.openxmlformats.org/officeDocument/2006/relationships/hyperlink" Target="https://gateway.elieta.lv/api/v1/PublicMaterialDownload/230c7883-3995-48ff-8252-c600d616ad3b" TargetMode="External"/><Relationship Id="rId19" Type="http://schemas.openxmlformats.org/officeDocument/2006/relationships/hyperlink" Target="https://gateway.elieta.lv/api/v1/PublicMaterialDownload/be510cfe-4206-40db-900b-75a079d1db51" TargetMode="External"/><Relationship Id="rId4" Type="http://schemas.openxmlformats.org/officeDocument/2006/relationships/settings" Target="settings.xml"/><Relationship Id="rId9" Type="http://schemas.openxmlformats.org/officeDocument/2006/relationships/hyperlink" Target="https://hudoc.echr.coe.int/eng?i=001-237509" TargetMode="External"/><Relationship Id="rId14" Type="http://schemas.openxmlformats.org/officeDocument/2006/relationships/hyperlink" Target="https://hudoc.echr.coe.int/eng?i=001-6187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BC0F6-6207-4ACF-87E3-AC8D2C7BD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18516</Words>
  <Characters>10555</Characters>
  <Application>Microsoft Office Word</Application>
  <DocSecurity>0</DocSecurity>
  <Lines>87</Lines>
  <Paragraphs>58</Paragraphs>
  <ScaleCrop>false</ScaleCrop>
  <Company/>
  <LinksUpToDate>false</LinksUpToDate>
  <CharactersWithSpaces>29013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2026-03-20T09:49:00Z</dcterms:created>
  <dcterms:modified xsi:type="dcterms:W3CDTF">2026-03-20T09:49:00Z</dcterms:modified>
</cp:coreProperties>
</file>