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8135" w14:textId="1ED790A9" w:rsidR="001F6D70" w:rsidRPr="00D94787" w:rsidRDefault="00D94787" w:rsidP="00D319D3">
      <w:pPr>
        <w:spacing w:line="276" w:lineRule="auto"/>
        <w:jc w:val="both"/>
        <w:rPr>
          <w:b/>
          <w:bCs/>
          <w:lang w:eastAsia="lv-LV"/>
        </w:rPr>
      </w:pPr>
      <w:r>
        <w:rPr>
          <w:b/>
          <w:bCs/>
        </w:rPr>
        <w:t>Piekrišanas, kas ietverta kopīpašnieka līgumā par kopīpašuma daļas iegādi, būvniecības iecerei kopīpašuma daļā vērtējums</w:t>
      </w:r>
    </w:p>
    <w:p w14:paraId="57AA9309" w14:textId="4E43DCC8" w:rsidR="001F6D70" w:rsidRPr="00A6228E" w:rsidRDefault="001F6D70" w:rsidP="00D319D3">
      <w:pPr>
        <w:pStyle w:val="BodyText2"/>
        <w:spacing w:after="0" w:line="276" w:lineRule="auto"/>
        <w:jc w:val="center"/>
        <w:rPr>
          <w:lang w:val="lv-LV"/>
        </w:rPr>
      </w:pPr>
    </w:p>
    <w:p w14:paraId="45D7B6BB" w14:textId="483E7FC0" w:rsidR="001F6D70" w:rsidRPr="00A6228E" w:rsidRDefault="001F6D70" w:rsidP="00D319D3">
      <w:pPr>
        <w:spacing w:line="276" w:lineRule="auto"/>
        <w:jc w:val="center"/>
        <w:rPr>
          <w:b/>
        </w:rPr>
      </w:pPr>
      <w:r w:rsidRPr="00A6228E">
        <w:rPr>
          <w:b/>
        </w:rPr>
        <w:t>Latvijas Republikas Senāt</w:t>
      </w:r>
      <w:r w:rsidR="00D94787">
        <w:rPr>
          <w:b/>
        </w:rPr>
        <w:t>a</w:t>
      </w:r>
      <w:r w:rsidR="00D94787">
        <w:rPr>
          <w:b/>
        </w:rPr>
        <w:br/>
        <w:t>Administratīvo lietu departamenta</w:t>
      </w:r>
      <w:r w:rsidR="00D94787">
        <w:rPr>
          <w:b/>
        </w:rPr>
        <w:br/>
        <w:t>2026.gada 12.februāra</w:t>
      </w:r>
    </w:p>
    <w:p w14:paraId="7F8A0470" w14:textId="77777777" w:rsidR="001F6D70" w:rsidRDefault="001F6D70" w:rsidP="00D319D3">
      <w:pPr>
        <w:spacing w:line="276" w:lineRule="auto"/>
        <w:jc w:val="center"/>
        <w:rPr>
          <w:b/>
        </w:rPr>
      </w:pPr>
      <w:r w:rsidRPr="00A6228E">
        <w:rPr>
          <w:b/>
        </w:rPr>
        <w:t>SPRIEDUMS</w:t>
      </w:r>
    </w:p>
    <w:p w14:paraId="4DC7E2AE" w14:textId="294FF53C" w:rsidR="00D94787" w:rsidRPr="00D94787" w:rsidRDefault="00D94787" w:rsidP="00D319D3">
      <w:pPr>
        <w:spacing w:line="276" w:lineRule="auto"/>
        <w:jc w:val="center"/>
        <w:rPr>
          <w:b/>
          <w:bCs/>
        </w:rPr>
      </w:pPr>
      <w:r w:rsidRPr="00D94787">
        <w:rPr>
          <w:b/>
          <w:bCs/>
        </w:rPr>
        <w:t>Lieta Nr. A420223422</w:t>
      </w:r>
      <w:r w:rsidRPr="00D94787">
        <w:rPr>
          <w:b/>
          <w:bCs/>
          <w:lang w:eastAsia="lv-LV"/>
        </w:rPr>
        <w:t>, </w:t>
      </w:r>
      <w:r w:rsidRPr="00D94787">
        <w:rPr>
          <w:b/>
          <w:bCs/>
        </w:rPr>
        <w:t>SKA-15/2026</w:t>
      </w:r>
    </w:p>
    <w:p w14:paraId="75394540" w14:textId="683B2A6A" w:rsidR="00D94787" w:rsidRPr="00D94787" w:rsidRDefault="00D94787" w:rsidP="00D319D3">
      <w:pPr>
        <w:spacing w:line="276" w:lineRule="auto"/>
        <w:jc w:val="center"/>
        <w:rPr>
          <w:b/>
        </w:rPr>
      </w:pPr>
      <w:r w:rsidRPr="00D94787">
        <w:t xml:space="preserve"> </w:t>
      </w:r>
      <w:hyperlink r:id="rId6" w:history="1">
        <w:r w:rsidRPr="00D94787">
          <w:rPr>
            <w:rStyle w:val="Hyperlink"/>
          </w:rPr>
          <w:t>ECLI:LV:AT:2026:0212.A420223422.10.S</w:t>
        </w:r>
      </w:hyperlink>
    </w:p>
    <w:p w14:paraId="64BCCBAD" w14:textId="77777777" w:rsidR="001F6D70" w:rsidRPr="00A6228E" w:rsidRDefault="001F6D70" w:rsidP="00D319D3">
      <w:pPr>
        <w:spacing w:line="276" w:lineRule="auto"/>
        <w:ind w:firstLine="567"/>
        <w:jc w:val="both"/>
      </w:pPr>
    </w:p>
    <w:p w14:paraId="39DEA276" w14:textId="0346DC95" w:rsidR="001F6D70" w:rsidRPr="00A6228E" w:rsidRDefault="001F6D70" w:rsidP="00D319D3">
      <w:pPr>
        <w:spacing w:line="276" w:lineRule="auto"/>
        <w:ind w:firstLine="720"/>
        <w:jc w:val="both"/>
      </w:pPr>
      <w:r w:rsidRPr="00A6228E">
        <w:t xml:space="preserve">Senāts šādā sastāvā: senatore referente </w:t>
      </w:r>
      <w:r>
        <w:t>Vēsma Kakste</w:t>
      </w:r>
      <w:r w:rsidRPr="00A6228E">
        <w:t xml:space="preserve">, </w:t>
      </w:r>
      <w:r w:rsidRPr="00C40C75">
        <w:t>senator</w:t>
      </w:r>
      <w:r w:rsidR="00683063">
        <w:t>es Dzintra Amerika un Indra Meldere</w:t>
      </w:r>
      <w:r w:rsidRPr="00A6228E">
        <w:t>,</w:t>
      </w:r>
    </w:p>
    <w:p w14:paraId="2D0B50F3" w14:textId="77777777" w:rsidR="001F6D70" w:rsidRPr="00A6228E" w:rsidRDefault="001F6D70" w:rsidP="00D319D3">
      <w:pPr>
        <w:spacing w:line="276" w:lineRule="auto"/>
        <w:ind w:firstLine="567"/>
        <w:jc w:val="both"/>
      </w:pPr>
    </w:p>
    <w:p w14:paraId="262D4A14" w14:textId="22E40AAE" w:rsidR="001F6D70" w:rsidRPr="00A6228E" w:rsidRDefault="001F6D70" w:rsidP="00D319D3">
      <w:pPr>
        <w:spacing w:line="276" w:lineRule="auto"/>
        <w:ind w:firstLine="567"/>
        <w:jc w:val="both"/>
      </w:pPr>
      <w:bookmarkStart w:id="0" w:name="_Hlk92890879"/>
      <w:r w:rsidRPr="00A6228E">
        <w:t xml:space="preserve">rakstveida procesā izskatīja administratīvo lietu, kas ierosināta, </w:t>
      </w:r>
      <w:r w:rsidRPr="001F6D70">
        <w:t xml:space="preserve">pamatojoties uz </w:t>
      </w:r>
      <w:r w:rsidR="00D94787">
        <w:t xml:space="preserve">[pers. A] </w:t>
      </w:r>
      <w:r w:rsidRPr="001F6D70">
        <w:t>pieteikumu par labvēlīga administratīvā akta – būvatļaujas būvniecības</w:t>
      </w:r>
      <w:r>
        <w:t xml:space="preserve"> </w:t>
      </w:r>
      <w:r w:rsidRPr="001F6D70">
        <w:t xml:space="preserve">iecerei </w:t>
      </w:r>
      <w:r w:rsidR="00142493">
        <w:t>„</w:t>
      </w:r>
      <w:r w:rsidRPr="001F6D70">
        <w:t>Bēniņu telpas virs dzīvokļa Nr.</w:t>
      </w:r>
      <w:r>
        <w:t> </w:t>
      </w:r>
      <w:r w:rsidRPr="001F6D70">
        <w:t>24 pārbūve,</w:t>
      </w:r>
      <w:r w:rsidR="00D94787">
        <w:t xml:space="preserve"> [Adrese A]</w:t>
      </w:r>
      <w:r w:rsidRPr="001F6D70">
        <w:t>” – izdošanu</w:t>
      </w:r>
      <w:r w:rsidRPr="00A6228E">
        <w:t>, sakarā ar pieteicējas kasācijas sūdzību par Administratīvās apgabaltiesas 202</w:t>
      </w:r>
      <w:r>
        <w:t>3</w:t>
      </w:r>
      <w:r w:rsidRPr="00A6228E">
        <w:t xml:space="preserve">.gada </w:t>
      </w:r>
      <w:r>
        <w:t>6</w:t>
      </w:r>
      <w:r w:rsidRPr="00A6228E">
        <w:t>.</w:t>
      </w:r>
      <w:r>
        <w:t>decembra</w:t>
      </w:r>
      <w:r w:rsidRPr="00A6228E">
        <w:t xml:space="preserve"> spriedumu.</w:t>
      </w:r>
    </w:p>
    <w:bookmarkEnd w:id="0"/>
    <w:p w14:paraId="327FA5E7" w14:textId="77777777" w:rsidR="001F6D70" w:rsidRPr="00A6228E" w:rsidRDefault="001F6D70" w:rsidP="00D319D3">
      <w:pPr>
        <w:spacing w:line="276" w:lineRule="auto"/>
        <w:ind w:firstLine="567"/>
        <w:jc w:val="both"/>
      </w:pPr>
    </w:p>
    <w:p w14:paraId="660C5114" w14:textId="77777777" w:rsidR="001F6D70" w:rsidRPr="00A6228E" w:rsidRDefault="001F6D70" w:rsidP="00D319D3">
      <w:pPr>
        <w:pStyle w:val="ATpamattesksts"/>
        <w:ind w:firstLine="0"/>
        <w:jc w:val="center"/>
        <w:rPr>
          <w:lang w:val="lv-LV"/>
        </w:rPr>
      </w:pPr>
      <w:r w:rsidRPr="00A6228E">
        <w:rPr>
          <w:b/>
          <w:lang w:val="lv-LV"/>
        </w:rPr>
        <w:t>Aprakstošā</w:t>
      </w:r>
      <w:r w:rsidRPr="00A6228E">
        <w:rPr>
          <w:lang w:val="lv-LV"/>
        </w:rPr>
        <w:t xml:space="preserve"> </w:t>
      </w:r>
      <w:r w:rsidRPr="00A6228E">
        <w:rPr>
          <w:b/>
          <w:lang w:val="lv-LV"/>
        </w:rPr>
        <w:t>daļa</w:t>
      </w:r>
    </w:p>
    <w:p w14:paraId="018F5505" w14:textId="77777777" w:rsidR="001F6D70" w:rsidRPr="00A6228E" w:rsidRDefault="001F6D70" w:rsidP="00D319D3">
      <w:pPr>
        <w:spacing w:line="276" w:lineRule="auto"/>
        <w:ind w:firstLine="567"/>
        <w:jc w:val="both"/>
      </w:pPr>
    </w:p>
    <w:p w14:paraId="2B618EA5" w14:textId="7522A122" w:rsidR="009E59C1" w:rsidRDefault="001F6D70" w:rsidP="00D319D3">
      <w:pPr>
        <w:spacing w:line="276" w:lineRule="auto"/>
        <w:ind w:firstLine="567"/>
        <w:jc w:val="both"/>
      </w:pPr>
      <w:r w:rsidRPr="00A6228E">
        <w:t>[1]</w:t>
      </w:r>
      <w:r w:rsidR="00E90BCA">
        <w:t xml:space="preserve"> </w:t>
      </w:r>
      <w:r w:rsidR="009E59C1">
        <w:t>P</w:t>
      </w:r>
      <w:r w:rsidR="009E59C1" w:rsidRPr="009E59C1">
        <w:t>ieteicēja</w:t>
      </w:r>
      <w:r w:rsidR="009E59C1">
        <w:t xml:space="preserve">i </w:t>
      </w:r>
      <w:r w:rsidR="00D94787">
        <w:t xml:space="preserve">[pers. A] </w:t>
      </w:r>
      <w:r w:rsidR="009E59C1" w:rsidRPr="009E59C1">
        <w:t>nostiprinātas īpašuma tiesības uz domājamām daļām no</w:t>
      </w:r>
      <w:r w:rsidR="009E59C1">
        <w:t xml:space="preserve"> </w:t>
      </w:r>
      <w:r w:rsidR="009E59C1" w:rsidRPr="009E59C1">
        <w:t>nekustamā īpašuma</w:t>
      </w:r>
      <w:r w:rsidR="00D94787">
        <w:t xml:space="preserve"> [Adrese A]</w:t>
      </w:r>
      <w:r w:rsidR="009E59C1" w:rsidRPr="009E59C1">
        <w:t>, kā arī lietošanas tiesības citstarp uz bēniņu telpām virs dzīvokļa Nr.</w:t>
      </w:r>
      <w:r w:rsidR="009E59C1">
        <w:t> </w:t>
      </w:r>
      <w:r w:rsidR="009E59C1" w:rsidRPr="009E59C1">
        <w:t>24</w:t>
      </w:r>
      <w:r w:rsidR="009E59C1">
        <w:t xml:space="preserve"> </w:t>
      </w:r>
      <w:r w:rsidR="00D94787">
        <w:t>[Adrese A]</w:t>
      </w:r>
      <w:r w:rsidR="00D94787" w:rsidRPr="009E59C1">
        <w:t xml:space="preserve"> </w:t>
      </w:r>
      <w:r w:rsidR="009E59C1" w:rsidRPr="009E59C1">
        <w:t>(turpmāk – bēniņu telpas).</w:t>
      </w:r>
    </w:p>
    <w:p w14:paraId="47DE9514" w14:textId="0BB72339" w:rsidR="008B2FD4" w:rsidRDefault="008B2FD4" w:rsidP="00D319D3">
      <w:pPr>
        <w:spacing w:line="276" w:lineRule="auto"/>
        <w:ind w:firstLine="567"/>
        <w:jc w:val="both"/>
      </w:pPr>
      <w:r>
        <w:t xml:space="preserve">Pieteicējai lietošanā nodotajās </w:t>
      </w:r>
      <w:r w:rsidRPr="007E5C40">
        <w:t>bēniņu telpās ierīkots dzīvoklis.</w:t>
      </w:r>
      <w:r>
        <w:t xml:space="preserve"> B</w:t>
      </w:r>
      <w:r w:rsidRPr="007E5C40">
        <w:t xml:space="preserve">ūvdarbi veikti bez akceptēta būvprojekta un būvatļaujas, </w:t>
      </w:r>
      <w:r>
        <w:t xml:space="preserve">tādēļ būvniecība </w:t>
      </w:r>
      <w:r w:rsidRPr="007E5C40">
        <w:t>atzīt</w:t>
      </w:r>
      <w:r>
        <w:t>a</w:t>
      </w:r>
      <w:r w:rsidRPr="007E5C40">
        <w:t xml:space="preserve"> par</w:t>
      </w:r>
      <w:r>
        <w:t xml:space="preserve"> </w:t>
      </w:r>
      <w:r w:rsidRPr="007E5C40">
        <w:t>patvaļīgu</w:t>
      </w:r>
      <w:r>
        <w:t>.</w:t>
      </w:r>
      <w:r w:rsidRPr="007E5C40">
        <w:t xml:space="preserve"> </w:t>
      </w:r>
    </w:p>
    <w:p w14:paraId="6552639A" w14:textId="4DF0BC3D" w:rsidR="009E59C1" w:rsidRDefault="009E59C1" w:rsidP="00D319D3">
      <w:pPr>
        <w:spacing w:line="276" w:lineRule="auto"/>
        <w:ind w:firstLine="567"/>
        <w:jc w:val="both"/>
      </w:pPr>
      <w:r w:rsidRPr="009E59C1">
        <w:t>2021.gadā pieteicēja Rīgas domes Pilsētas</w:t>
      </w:r>
      <w:r>
        <w:t xml:space="preserve"> </w:t>
      </w:r>
      <w:r w:rsidRPr="009E59C1">
        <w:t xml:space="preserve">attīstības departamentā (turpmāk – </w:t>
      </w:r>
      <w:r>
        <w:t>d</w:t>
      </w:r>
      <w:r w:rsidRPr="009E59C1">
        <w:t xml:space="preserve">epartaments) iesniedza būvniecības ieceri </w:t>
      </w:r>
      <w:r w:rsidR="00142493">
        <w:t>„</w:t>
      </w:r>
      <w:r w:rsidRPr="009E59C1">
        <w:t>Bēniņu telpas virs</w:t>
      </w:r>
      <w:r>
        <w:t xml:space="preserve"> </w:t>
      </w:r>
      <w:r w:rsidRPr="009E59C1">
        <w:t>dzīvokļa Nr.</w:t>
      </w:r>
      <w:r>
        <w:t> </w:t>
      </w:r>
      <w:r w:rsidRPr="009E59C1">
        <w:t>24 pārbūve,</w:t>
      </w:r>
      <w:r w:rsidR="00D94787" w:rsidRPr="00D94787">
        <w:t xml:space="preserve"> </w:t>
      </w:r>
      <w:r w:rsidR="00D94787">
        <w:t>[Adrese A]</w:t>
      </w:r>
      <w:r w:rsidRPr="009E59C1">
        <w:t>” (turpmāk – būvniecības iecere)</w:t>
      </w:r>
      <w:r w:rsidR="00142493">
        <w:t xml:space="preserve"> </w:t>
      </w:r>
      <w:r w:rsidR="008B2FD4" w:rsidRPr="007E5C40">
        <w:t>patvaļīg</w:t>
      </w:r>
      <w:r w:rsidR="008B2FD4">
        <w:t>ā</w:t>
      </w:r>
      <w:r w:rsidR="008B2FD4" w:rsidRPr="007E5C40">
        <w:t>s</w:t>
      </w:r>
      <w:r w:rsidR="008B2FD4">
        <w:t xml:space="preserve"> </w:t>
      </w:r>
      <w:r w:rsidR="008B2FD4" w:rsidRPr="007E5C40">
        <w:t>būvniecības legalizācijai</w:t>
      </w:r>
      <w:r w:rsidR="008B2FD4">
        <w:t xml:space="preserve"> </w:t>
      </w:r>
      <w:r w:rsidR="00142493">
        <w:t>un</w:t>
      </w:r>
      <w:r>
        <w:t xml:space="preserve"> lūdz</w:t>
      </w:r>
      <w:r w:rsidR="00142493">
        <w:t>a</w:t>
      </w:r>
      <w:r>
        <w:t xml:space="preserve"> izsniegt būvatļauju.</w:t>
      </w:r>
    </w:p>
    <w:p w14:paraId="3BD50615" w14:textId="3F21224A" w:rsidR="009E59C1" w:rsidRDefault="009E59C1" w:rsidP="00D319D3">
      <w:pPr>
        <w:spacing w:line="276" w:lineRule="auto"/>
        <w:ind w:firstLine="567"/>
        <w:jc w:val="both"/>
      </w:pPr>
      <w:r w:rsidRPr="009E59C1">
        <w:t>Departament</w:t>
      </w:r>
      <w:r>
        <w:t>s ar</w:t>
      </w:r>
      <w:r w:rsidRPr="009E59C1">
        <w:t xml:space="preserve"> 2022.gada 24.maija lēmumu Nr.</w:t>
      </w:r>
      <w:r>
        <w:t> </w:t>
      </w:r>
      <w:r w:rsidRPr="009E59C1">
        <w:t>DA-22-13937-nd būvatļaujas izdošan</w:t>
      </w:r>
      <w:r>
        <w:t>u atteica</w:t>
      </w:r>
      <w:r w:rsidRPr="009E59C1">
        <w:t>, jo</w:t>
      </w:r>
      <w:r>
        <w:t xml:space="preserve"> </w:t>
      </w:r>
      <w:r w:rsidRPr="009E59C1">
        <w:t xml:space="preserve">būvniecības iecere nav saskaņota ar nekustamā īpašuma kopīpašniekiem. </w:t>
      </w:r>
      <w:r w:rsidR="00DC71C6">
        <w:t>Departaments konstatēja, ka n</w:t>
      </w:r>
      <w:r w:rsidRPr="009E59C1">
        <w:t>ekustamā īpašuma</w:t>
      </w:r>
      <w:r>
        <w:t xml:space="preserve"> </w:t>
      </w:r>
      <w:r w:rsidRPr="009E59C1">
        <w:t>kopīpašnieku 2007.gada 12.jūlija protokol</w:t>
      </w:r>
      <w:r w:rsidR="00DC71C6">
        <w:t>u</w:t>
      </w:r>
      <w:r w:rsidRPr="009E59C1">
        <w:t xml:space="preserve"> Nr.</w:t>
      </w:r>
      <w:r>
        <w:t> </w:t>
      </w:r>
      <w:r w:rsidRPr="009E59C1">
        <w:t xml:space="preserve">1 (turpmāk – </w:t>
      </w:r>
      <w:r w:rsidR="00782E4A">
        <w:t>p</w:t>
      </w:r>
      <w:r w:rsidRPr="009E59C1">
        <w:t xml:space="preserve">rotokols) </w:t>
      </w:r>
      <w:r w:rsidR="00DC71C6">
        <w:t>nav parakstījis viens kopīpašnieks</w:t>
      </w:r>
      <w:r w:rsidR="003D73A6">
        <w:t xml:space="preserve"> –</w:t>
      </w:r>
      <w:r w:rsidR="00D94787">
        <w:t xml:space="preserve"> [pers. B]</w:t>
      </w:r>
      <w:r w:rsidR="00DC71C6">
        <w:t xml:space="preserve">, tāpēc </w:t>
      </w:r>
      <w:r w:rsidR="00782E4A">
        <w:t>p</w:t>
      </w:r>
      <w:r w:rsidR="00DC71C6">
        <w:t xml:space="preserve">rotokolā </w:t>
      </w:r>
      <w:r w:rsidRPr="009E59C1">
        <w:t>ietvertais pilnvarojums</w:t>
      </w:r>
      <w:r>
        <w:t xml:space="preserve"> </w:t>
      </w:r>
      <w:r w:rsidRPr="009E59C1">
        <w:t>apsaimniekotājam kopīpašnieku vārdā parakstīt visus projektus, atļaujas un citus dokumentus, kas</w:t>
      </w:r>
      <w:r>
        <w:t xml:space="preserve"> </w:t>
      </w:r>
      <w:r w:rsidRPr="009E59C1">
        <w:t xml:space="preserve">saistīti ar patvaļīgas būvniecības novēršanu nekustamajā īpašumā, </w:t>
      </w:r>
      <w:r w:rsidR="00DC71C6">
        <w:t>ne</w:t>
      </w:r>
      <w:r w:rsidRPr="009E59C1">
        <w:t>var būt spēkā</w:t>
      </w:r>
      <w:r>
        <w:t>.</w:t>
      </w:r>
      <w:r w:rsidR="00DC71C6">
        <w:t xml:space="preserve"> Savukārt </w:t>
      </w:r>
      <w:r w:rsidR="006919C8" w:rsidRPr="006919C8">
        <w:t>viena kopīpašnieka pirkuma līgumā</w:t>
      </w:r>
      <w:r w:rsidR="006919C8">
        <w:t xml:space="preserve"> </w:t>
      </w:r>
      <w:r w:rsidR="006919C8" w:rsidRPr="006919C8">
        <w:t>iekļautais ierobežojums domājamās daļas pircējam atteikties no pagraba un pārējo bēniņu telpu</w:t>
      </w:r>
      <w:r w:rsidR="006919C8">
        <w:t xml:space="preserve"> </w:t>
      </w:r>
      <w:r w:rsidR="006919C8" w:rsidRPr="006919C8">
        <w:t>lietošanas, kā arī neiebilst pret telpu pārbūvi dzīvokļ</w:t>
      </w:r>
      <w:r w:rsidR="00142493">
        <w:t>os</w:t>
      </w:r>
      <w:r w:rsidR="006919C8" w:rsidRPr="006919C8">
        <w:t>, nav spēkā, iekams visi kopīpašnieki</w:t>
      </w:r>
      <w:r w:rsidR="006919C8">
        <w:t xml:space="preserve"> </w:t>
      </w:r>
      <w:r w:rsidR="006919C8" w:rsidRPr="006919C8">
        <w:t>nav par to vienojušies</w:t>
      </w:r>
      <w:r w:rsidR="006919C8">
        <w:t>.</w:t>
      </w:r>
    </w:p>
    <w:p w14:paraId="3EDCB82B" w14:textId="77777777" w:rsidR="009E59C1" w:rsidRDefault="009E59C1" w:rsidP="00D319D3">
      <w:pPr>
        <w:spacing w:line="276" w:lineRule="auto"/>
        <w:ind w:firstLine="567"/>
        <w:jc w:val="both"/>
      </w:pPr>
    </w:p>
    <w:p w14:paraId="444EBFEB" w14:textId="3DB6E56A" w:rsidR="00C65316" w:rsidRDefault="009E59C1" w:rsidP="00D319D3">
      <w:pPr>
        <w:spacing w:line="276" w:lineRule="auto"/>
        <w:ind w:firstLine="567"/>
        <w:jc w:val="both"/>
      </w:pPr>
      <w:r>
        <w:t xml:space="preserve">[2] Pieteicēja vērsās tiesā </w:t>
      </w:r>
      <w:r w:rsidR="008B2FD4">
        <w:t xml:space="preserve">ar pieteikumu </w:t>
      </w:r>
      <w:r w:rsidRPr="009E59C1">
        <w:t>par</w:t>
      </w:r>
      <w:r>
        <w:t xml:space="preserve"> </w:t>
      </w:r>
      <w:r w:rsidRPr="009E59C1">
        <w:t xml:space="preserve">pienākuma uzlikšanu </w:t>
      </w:r>
      <w:r>
        <w:t xml:space="preserve">iestādei </w:t>
      </w:r>
      <w:r w:rsidRPr="009E59C1">
        <w:t>izdot pieteicējai būvatļauju</w:t>
      </w:r>
      <w:r>
        <w:t xml:space="preserve">. Pieteikumā </w:t>
      </w:r>
      <w:r w:rsidR="008B2FD4">
        <w:t>norādīts</w:t>
      </w:r>
      <w:r>
        <w:t xml:space="preserve">, ka </w:t>
      </w:r>
      <w:r w:rsidR="00C65316">
        <w:t xml:space="preserve">no </w:t>
      </w:r>
      <w:r w:rsidR="00782E4A">
        <w:t>p</w:t>
      </w:r>
      <w:r w:rsidR="00C65316" w:rsidRPr="00C65316">
        <w:t>rotokola 4.punktā ietvertā pilnvarojuma apsaimniekotājam izriet, ka pieteicējai ir</w:t>
      </w:r>
      <w:r w:rsidR="00C65316">
        <w:t xml:space="preserve"> </w:t>
      </w:r>
      <w:r w:rsidR="00C65316" w:rsidRPr="00C65316">
        <w:t xml:space="preserve">tiesības </w:t>
      </w:r>
      <w:r w:rsidR="00142493">
        <w:t>īstenot</w:t>
      </w:r>
      <w:r w:rsidR="00C65316" w:rsidRPr="00C65316">
        <w:t xml:space="preserve"> būvniecības ieceri bez visu kopīpašnieku papildu piekrišanas</w:t>
      </w:r>
      <w:r w:rsidR="00C65316">
        <w:t>. Savukārt kopīpašnieces</w:t>
      </w:r>
      <w:r w:rsidR="00D94787">
        <w:t xml:space="preserve"> [pers. B]</w:t>
      </w:r>
      <w:r w:rsidR="008B2FD4">
        <w:t xml:space="preserve">, kura nav parakstījusi protokolu, </w:t>
      </w:r>
      <w:r w:rsidR="00C65316" w:rsidRPr="00C65316">
        <w:t xml:space="preserve">piekrišana bēniņu telpu pārbūvei bez nepieciešamības vēlāk saņemt papildu piekrišanu izriet no 1998.gada 28.augusta pirkuma līguma 7.punkta. </w:t>
      </w:r>
    </w:p>
    <w:p w14:paraId="157037F0" w14:textId="489E0DD7" w:rsidR="009E59C1" w:rsidRDefault="009E59C1" w:rsidP="00D319D3">
      <w:pPr>
        <w:spacing w:line="276" w:lineRule="auto"/>
        <w:ind w:firstLine="567"/>
        <w:jc w:val="both"/>
      </w:pPr>
    </w:p>
    <w:p w14:paraId="0B811AD7" w14:textId="2791FB41" w:rsidR="002A4AED" w:rsidRDefault="00C65316" w:rsidP="00D319D3">
      <w:pPr>
        <w:spacing w:line="276" w:lineRule="auto"/>
        <w:ind w:firstLine="567"/>
        <w:jc w:val="both"/>
      </w:pPr>
      <w:r>
        <w:t xml:space="preserve">[3] Apgabaltiesa </w:t>
      </w:r>
      <w:r w:rsidR="00475F09" w:rsidRPr="00437ADE">
        <w:t>pievienoj</w:t>
      </w:r>
      <w:r w:rsidR="00142493">
        <w:t>ās</w:t>
      </w:r>
      <w:r w:rsidR="00475F09" w:rsidRPr="00437ADE">
        <w:t xml:space="preserve"> pirmās instances tiesas sprieduma motivācijai</w:t>
      </w:r>
      <w:r w:rsidR="00142493">
        <w:t xml:space="preserve"> un </w:t>
      </w:r>
      <w:r>
        <w:t>pieteikumu noraidīja</w:t>
      </w:r>
      <w:r w:rsidR="00437ADE">
        <w:t xml:space="preserve">. Tiesa atzina, ka </w:t>
      </w:r>
      <w:r w:rsidR="007E5C40" w:rsidRPr="007E5C40">
        <w:t>strīdus būvdarbi ir atzīstami par kopīpašumā</w:t>
      </w:r>
      <w:r w:rsidR="007E5C40">
        <w:t xml:space="preserve"> </w:t>
      </w:r>
      <w:r w:rsidR="007E5C40" w:rsidRPr="007E5C40">
        <w:t>esošās ēkas telpu grupas pārbūvi</w:t>
      </w:r>
      <w:r w:rsidR="00142493">
        <w:t>. A</w:t>
      </w:r>
      <w:r w:rsidR="007E5C40">
        <w:t xml:space="preserve">ttiecībā uz </w:t>
      </w:r>
      <w:r w:rsidR="00C422E8">
        <w:t>d</w:t>
      </w:r>
      <w:r w:rsidR="00C422E8" w:rsidRPr="00C422E8">
        <w:t>zīvokļu īpašumos nesadalītu dzīvojamo māju kopīpašuma tiesību īstenošan</w:t>
      </w:r>
      <w:r w:rsidR="007E5C40">
        <w:t>u</w:t>
      </w:r>
      <w:r w:rsidR="00C422E8" w:rsidRPr="00C422E8">
        <w:t xml:space="preserve"> piemērojam</w:t>
      </w:r>
      <w:r w:rsidR="00C422E8">
        <w:t xml:space="preserve">s </w:t>
      </w:r>
      <w:r w:rsidR="00C422E8" w:rsidRPr="00C422E8">
        <w:t>Civillikuma</w:t>
      </w:r>
      <w:r w:rsidR="00C422E8">
        <w:t xml:space="preserve"> regulējums. </w:t>
      </w:r>
    </w:p>
    <w:p w14:paraId="7A39C23C" w14:textId="2A764129" w:rsidR="00D365F6" w:rsidRDefault="007E5C40" w:rsidP="00D319D3">
      <w:pPr>
        <w:spacing w:line="276" w:lineRule="auto"/>
        <w:ind w:firstLine="567"/>
        <w:jc w:val="both"/>
      </w:pPr>
      <w:r>
        <w:t xml:space="preserve">Tiesa uzskatīja, ka </w:t>
      </w:r>
      <w:r w:rsidR="008B2FD4">
        <w:t>p</w:t>
      </w:r>
      <w:r w:rsidR="00437ADE" w:rsidRPr="00437ADE">
        <w:t>rotokols neapliecina</w:t>
      </w:r>
      <w:r w:rsidR="00437ADE">
        <w:t xml:space="preserve"> </w:t>
      </w:r>
      <w:r w:rsidR="00437ADE" w:rsidRPr="00437ADE">
        <w:t>pieteicējas tiesības legalizēt patvaļīgo būvniecību bez visu nekustamā īpašuma kopīpašnieku,</w:t>
      </w:r>
      <w:r w:rsidR="00437ADE">
        <w:t xml:space="preserve"> </w:t>
      </w:r>
      <w:r w:rsidR="008B2FD4">
        <w:t>tostarp</w:t>
      </w:r>
      <w:r w:rsidR="00D94787">
        <w:t xml:space="preserve"> [pers. B]</w:t>
      </w:r>
      <w:r w:rsidR="00437ADE" w:rsidRPr="00437ADE">
        <w:t xml:space="preserve">, piekrišanas. </w:t>
      </w:r>
      <w:r w:rsidR="00437ADE">
        <w:t xml:space="preserve">Tiesa arī atzina, </w:t>
      </w:r>
      <w:r w:rsidR="00437ADE" w:rsidRPr="00437ADE">
        <w:t>ka 1998.gada 28.augusta pirkuma līguma 7.punktā iekļaut</w:t>
      </w:r>
      <w:r>
        <w:t>ai</w:t>
      </w:r>
      <w:r w:rsidR="00437ADE" w:rsidRPr="00437ADE">
        <w:t xml:space="preserve">s nosacījums, ka </w:t>
      </w:r>
      <w:r w:rsidR="00D94787">
        <w:t>[pers. B]</w:t>
      </w:r>
      <w:r w:rsidR="00437ADE" w:rsidRPr="00437ADE">
        <w:t>atsakās no pagraba un pārējo bēniņu telpu lietošanas un neiebilst, ka tur tiek ierīkoti dzīvokļi,</w:t>
      </w:r>
      <w:r w:rsidR="00437ADE">
        <w:t xml:space="preserve"> </w:t>
      </w:r>
      <w:r w:rsidR="00437ADE" w:rsidRPr="00437ADE">
        <w:t>neatļauj legalizēt patvaļīgo būvniecību, jo pirkuma līgums ir saistību tiesību jomā noslēgts</w:t>
      </w:r>
      <w:r w:rsidR="00437ADE">
        <w:t xml:space="preserve"> </w:t>
      </w:r>
      <w:r w:rsidR="00437ADE" w:rsidRPr="00437ADE">
        <w:t>darījums, kas ir saistošs tikai līgumslēdzējiem un tas nerada tiesiskas</w:t>
      </w:r>
      <w:r w:rsidR="00437ADE">
        <w:t xml:space="preserve"> </w:t>
      </w:r>
      <w:r w:rsidR="00437ADE" w:rsidRPr="00437ADE">
        <w:t xml:space="preserve">sekas pieteicējai. </w:t>
      </w:r>
      <w:r w:rsidR="00D94787">
        <w:t xml:space="preserve">[pers. B] </w:t>
      </w:r>
      <w:r w:rsidR="00437ADE" w:rsidRPr="00437ADE">
        <w:t>pirkuma līguma ietvaros nav pielīgusi pienākumu neiebilst pieteicēja</w:t>
      </w:r>
      <w:r w:rsidR="00683063">
        <w:t>s</w:t>
      </w:r>
      <w:r w:rsidR="00437ADE" w:rsidRPr="00437ADE">
        <w:t xml:space="preserve"> telpu pārbūvei, un tas nerada tiesiskas sekas </w:t>
      </w:r>
      <w:r w:rsidR="00D94787">
        <w:t xml:space="preserve">[pers. B] </w:t>
      </w:r>
      <w:r w:rsidR="00437ADE" w:rsidRPr="00437ADE">
        <w:t>attiecībā uz pieteicēja</w:t>
      </w:r>
      <w:r w:rsidR="00683063">
        <w:t>s</w:t>
      </w:r>
      <w:r w:rsidR="00437ADE" w:rsidRPr="00437ADE">
        <w:t xml:space="preserve"> telpām</w:t>
      </w:r>
      <w:r w:rsidR="00437ADE">
        <w:t>.</w:t>
      </w:r>
      <w:r w:rsidR="00742068">
        <w:t xml:space="preserve"> N</w:t>
      </w:r>
      <w:r w:rsidR="00D365F6" w:rsidRPr="00D365F6">
        <w:t xml:space="preserve">o </w:t>
      </w:r>
      <w:r w:rsidR="00782E4A">
        <w:t>p</w:t>
      </w:r>
      <w:r w:rsidR="00D365F6" w:rsidRPr="00D365F6">
        <w:t xml:space="preserve">rotokola </w:t>
      </w:r>
      <w:r w:rsidR="00D365F6">
        <w:t>un pirkuma līguma neizriet</w:t>
      </w:r>
      <w:r w:rsidR="00D365F6" w:rsidRPr="00D365F6">
        <w:t>, ka kopīpašnieki ir piekrituši konkrēta veida</w:t>
      </w:r>
      <w:r w:rsidR="00D365F6">
        <w:t xml:space="preserve"> </w:t>
      </w:r>
      <w:r w:rsidR="00D365F6" w:rsidRPr="00D365F6">
        <w:t>būvdarbiem konkrētajā kopīpašuma</w:t>
      </w:r>
      <w:r w:rsidR="00D365F6">
        <w:t xml:space="preserve"> daļā.</w:t>
      </w:r>
      <w:r w:rsidR="008311B4">
        <w:t xml:space="preserve"> </w:t>
      </w:r>
      <w:r w:rsidR="007657F6">
        <w:t xml:space="preserve">Savukārt </w:t>
      </w:r>
      <w:r w:rsidR="00D94787">
        <w:t xml:space="preserve">[pers. B] </w:t>
      </w:r>
      <w:r w:rsidR="008311B4" w:rsidRPr="007657F6">
        <w:t>atsevišķi parakstītais saskaņojums nav derīgs, jo dokument</w:t>
      </w:r>
      <w:r w:rsidR="00142493">
        <w:t xml:space="preserve">ā nav </w:t>
      </w:r>
      <w:r w:rsidR="008311B4" w:rsidRPr="007657F6">
        <w:t>tā datum</w:t>
      </w:r>
      <w:r w:rsidR="00142493">
        <w:t>a</w:t>
      </w:r>
      <w:r w:rsidR="008311B4" w:rsidRPr="007657F6">
        <w:t xml:space="preserve"> un parakstīšanas viet</w:t>
      </w:r>
      <w:r w:rsidR="00142493">
        <w:t>as</w:t>
      </w:r>
      <w:r w:rsidR="008311B4">
        <w:t>.</w:t>
      </w:r>
    </w:p>
    <w:p w14:paraId="3863F677" w14:textId="33ED2B1A" w:rsidR="00742068" w:rsidRDefault="00742068" w:rsidP="00D319D3">
      <w:pPr>
        <w:spacing w:line="276" w:lineRule="auto"/>
        <w:ind w:firstLine="567"/>
        <w:jc w:val="both"/>
      </w:pPr>
      <w:r>
        <w:t xml:space="preserve">Vērtējot apstākli, ka </w:t>
      </w:r>
      <w:r w:rsidRPr="00742068">
        <w:t>kopīpašum</w:t>
      </w:r>
      <w:r>
        <w:t>a</w:t>
      </w:r>
      <w:r w:rsidRPr="00742068">
        <w:t xml:space="preserve"> domājamās daļas, kuras piederēja</w:t>
      </w:r>
      <w:r w:rsidR="00D94787">
        <w:t xml:space="preserve"> [pers. B]</w:t>
      </w:r>
      <w:r w:rsidRPr="00742068">
        <w:t>, š</w:t>
      </w:r>
      <w:r>
        <w:t>ā brīža īpašniece</w:t>
      </w:r>
      <w:r w:rsidRPr="00742068">
        <w:t xml:space="preserve"> </w:t>
      </w:r>
      <w:r w:rsidR="00D94787">
        <w:t xml:space="preserve">[pers. C] </w:t>
      </w:r>
      <w:r>
        <w:t>piekrīt būvatļaujas</w:t>
      </w:r>
      <w:r w:rsidRPr="00742068">
        <w:t xml:space="preserve"> izsniegšanai</w:t>
      </w:r>
      <w:r>
        <w:t xml:space="preserve">, tiesa norādīja uz pieteicējas tiesībām atkārtoti vērsties būvvaldē, ja </w:t>
      </w:r>
      <w:r w:rsidRPr="00742068">
        <w:t>šajā lietā tiesas konstatētās</w:t>
      </w:r>
      <w:r>
        <w:t xml:space="preserve"> </w:t>
      </w:r>
      <w:r w:rsidRPr="00742068">
        <w:t>būvniecības ieceres saskaņošanas problēmas var tikt novērstas</w:t>
      </w:r>
      <w:r>
        <w:t>.</w:t>
      </w:r>
    </w:p>
    <w:p w14:paraId="12DFAC30" w14:textId="77777777" w:rsidR="009E59C1" w:rsidRDefault="009E59C1" w:rsidP="00D319D3">
      <w:pPr>
        <w:spacing w:line="276" w:lineRule="auto"/>
        <w:ind w:firstLine="567"/>
        <w:jc w:val="both"/>
      </w:pPr>
    </w:p>
    <w:p w14:paraId="2BEFD244" w14:textId="7EEAB41E" w:rsidR="008311B4" w:rsidRDefault="00437ADE" w:rsidP="00D319D3">
      <w:pPr>
        <w:spacing w:line="276" w:lineRule="auto"/>
        <w:ind w:firstLine="567"/>
        <w:jc w:val="both"/>
      </w:pPr>
      <w:r>
        <w:t xml:space="preserve">[4] </w:t>
      </w:r>
      <w:r w:rsidR="008311B4" w:rsidRPr="008311B4">
        <w:t xml:space="preserve">Pieteicēja iesniedza kasācijas sūdzību par apgabaltiesas spriedumu. Sūdzībā </w:t>
      </w:r>
      <w:r w:rsidR="008311B4">
        <w:t>norādīts, ka tiesa nepamatoti uzskatīj</w:t>
      </w:r>
      <w:r w:rsidR="00983D6C">
        <w:t>a</w:t>
      </w:r>
      <w:r w:rsidR="008311B4">
        <w:t xml:space="preserve">, ka būvniecības ieceres </w:t>
      </w:r>
      <w:r w:rsidR="00983D6C">
        <w:t>īstenošanai</w:t>
      </w:r>
      <w:r w:rsidR="008311B4">
        <w:t xml:space="preserve"> nav iegūts pienācīgs kopīpašnieku saskaņojums. Tiesa nav ņēmusi vērā, ka </w:t>
      </w:r>
      <w:r w:rsidR="00983D6C">
        <w:t xml:space="preserve">jau </w:t>
      </w:r>
      <w:r w:rsidR="008311B4">
        <w:t xml:space="preserve">sniegta piekrišana ir saistoša arī kopīpašnieka maiņas gadījumā un tajā nav jābūt norādītiem konkrētiem darbiem. Sūdzībā vērsta uzmanība, ka kopīpašnieki </w:t>
      </w:r>
      <w:r w:rsidR="00D94787">
        <w:t xml:space="preserve">[pers. C] </w:t>
      </w:r>
      <w:r w:rsidR="008311B4">
        <w:t>un</w:t>
      </w:r>
      <w:r w:rsidR="00D94787">
        <w:t xml:space="preserve"> [pers. D]</w:t>
      </w:r>
      <w:r w:rsidR="008311B4">
        <w:t>, kuru</w:t>
      </w:r>
      <w:r w:rsidR="00983D6C">
        <w:t>s</w:t>
      </w:r>
      <w:r w:rsidR="008311B4">
        <w:t xml:space="preserve"> tieši skar pieteicējas veiktā būvniecība, ir devuši piekrišanu būvniecībai. Pieteicēja uzskata, ka tiesa nonākusi pie netaisnīga lietas iznākuma.</w:t>
      </w:r>
    </w:p>
    <w:p w14:paraId="1FDB75DB" w14:textId="77777777" w:rsidR="001F6D70" w:rsidRDefault="001F6D70" w:rsidP="00D319D3">
      <w:pPr>
        <w:spacing w:line="276" w:lineRule="auto"/>
        <w:ind w:firstLine="567"/>
        <w:jc w:val="both"/>
      </w:pPr>
    </w:p>
    <w:p w14:paraId="58FFDD9C" w14:textId="71E64042" w:rsidR="001F6D70" w:rsidRPr="00A6228E" w:rsidRDefault="001F6D70" w:rsidP="00D319D3">
      <w:pPr>
        <w:spacing w:line="276" w:lineRule="auto"/>
        <w:ind w:firstLine="567"/>
        <w:jc w:val="both"/>
      </w:pPr>
      <w:r w:rsidRPr="00A6228E">
        <w:t>[</w:t>
      </w:r>
      <w:r w:rsidR="00437ADE">
        <w:t>5</w:t>
      </w:r>
      <w:r w:rsidRPr="00A6228E">
        <w:t xml:space="preserve">] </w:t>
      </w:r>
      <w:r w:rsidR="00437ADE">
        <w:t xml:space="preserve">Departaments </w:t>
      </w:r>
      <w:r w:rsidRPr="00A6228E">
        <w:t>paskaidrojumā par kasācijas sūdzību uzskata to par nepamatotu.</w:t>
      </w:r>
    </w:p>
    <w:p w14:paraId="6AE5974A" w14:textId="77777777" w:rsidR="001F6D70" w:rsidRPr="00A6228E" w:rsidRDefault="001F6D70" w:rsidP="00D319D3">
      <w:pPr>
        <w:spacing w:line="276" w:lineRule="auto"/>
        <w:ind w:firstLine="567"/>
        <w:jc w:val="both"/>
      </w:pPr>
    </w:p>
    <w:p w14:paraId="04E9E820" w14:textId="77777777" w:rsidR="001F6D70" w:rsidRPr="00A6228E" w:rsidRDefault="001F6D70" w:rsidP="00D319D3">
      <w:pPr>
        <w:spacing w:line="276" w:lineRule="auto"/>
        <w:jc w:val="center"/>
        <w:rPr>
          <w:b/>
        </w:rPr>
      </w:pPr>
      <w:r w:rsidRPr="00A6228E">
        <w:rPr>
          <w:b/>
        </w:rPr>
        <w:t>Motīvu daļa</w:t>
      </w:r>
    </w:p>
    <w:p w14:paraId="1C7AB904" w14:textId="77777777" w:rsidR="001F6D70" w:rsidRPr="00A6228E" w:rsidRDefault="001F6D70" w:rsidP="00D319D3">
      <w:pPr>
        <w:spacing w:line="276" w:lineRule="auto"/>
        <w:jc w:val="center"/>
        <w:rPr>
          <w:b/>
        </w:rPr>
      </w:pPr>
    </w:p>
    <w:p w14:paraId="368288FD" w14:textId="6A606F4E" w:rsidR="001F6D70" w:rsidRDefault="001F6D70" w:rsidP="00D319D3">
      <w:pPr>
        <w:spacing w:line="276" w:lineRule="auto"/>
        <w:ind w:firstLine="567"/>
        <w:jc w:val="both"/>
      </w:pPr>
      <w:r w:rsidRPr="00A6228E">
        <w:rPr>
          <w:bCs/>
        </w:rPr>
        <w:t>[</w:t>
      </w:r>
      <w:r w:rsidR="00437ADE">
        <w:rPr>
          <w:bCs/>
        </w:rPr>
        <w:t>6</w:t>
      </w:r>
      <w:r w:rsidRPr="00A6228E">
        <w:rPr>
          <w:bCs/>
        </w:rPr>
        <w:t>]</w:t>
      </w:r>
      <w:r w:rsidR="00437ADE" w:rsidRPr="00437ADE">
        <w:t xml:space="preserve"> Senātam jāizšķir, vai tiesa pamatoti</w:t>
      </w:r>
      <w:r w:rsidR="00437ADE">
        <w:t xml:space="preserve"> </w:t>
      </w:r>
      <w:r w:rsidR="00437ADE" w:rsidRPr="00437ADE">
        <w:t xml:space="preserve">secinājusi, ka pieteicējas </w:t>
      </w:r>
      <w:r w:rsidR="00437ADE">
        <w:t xml:space="preserve">būvniecības iecerei nav </w:t>
      </w:r>
      <w:r w:rsidR="00E90BCA">
        <w:t xml:space="preserve">saņemta </w:t>
      </w:r>
      <w:r w:rsidR="00782E4A">
        <w:t>visu</w:t>
      </w:r>
      <w:r w:rsidR="00437ADE" w:rsidRPr="00437ADE">
        <w:t xml:space="preserve"> </w:t>
      </w:r>
      <w:r w:rsidR="00983D6C">
        <w:t xml:space="preserve">kopīpašnieku </w:t>
      </w:r>
      <w:r w:rsidR="00E90BCA">
        <w:t>piekrišana.</w:t>
      </w:r>
    </w:p>
    <w:p w14:paraId="471612B7" w14:textId="77777777" w:rsidR="00E90BCA" w:rsidRPr="00A6228E" w:rsidRDefault="00E90BCA" w:rsidP="00D319D3">
      <w:pPr>
        <w:spacing w:line="276" w:lineRule="auto"/>
        <w:ind w:firstLine="567"/>
        <w:jc w:val="both"/>
      </w:pPr>
    </w:p>
    <w:p w14:paraId="0757E1F8" w14:textId="379AE0A8" w:rsidR="00EA3D64" w:rsidRDefault="001F6D70" w:rsidP="00D319D3">
      <w:pPr>
        <w:spacing w:line="276" w:lineRule="auto"/>
        <w:ind w:firstLine="567"/>
        <w:jc w:val="both"/>
      </w:pPr>
      <w:r w:rsidRPr="00A6228E">
        <w:t>[</w:t>
      </w:r>
      <w:r w:rsidR="00437ADE">
        <w:t>7</w:t>
      </w:r>
      <w:r w:rsidRPr="00A6228E">
        <w:t xml:space="preserve">] </w:t>
      </w:r>
      <w:r w:rsidR="00EA3D64">
        <w:t xml:space="preserve">Civillikuma 1067.panta pirmā daļa noteic, ka īpašuma tiesība, kas pieder uz vienu un to pašu nedalītu lietu vairākām personām nevis reālās, bet tikai domājamās daļās, tā ka sadalīts vienīgi tiesību saturs, ir kopīpašuma tiesība. Atbilstoši Civillikuma 1068.pantam rīkoties ar kopīpašuma priekšmetu, kā visumā, tā arī noteiktās atsevišķās daļās, drīkst tikai ar visu kopīpašnieku piekrišanu; bet, ja kāds no viņiem rīkojas atsevišķi, tad šī rīcība ne vien nav spēkā, </w:t>
      </w:r>
      <w:r w:rsidR="00EA3D64" w:rsidRPr="00892677">
        <w:t>bet arī uzliek pēdējam pienākumu atlīdzināt pārējiem zaudējumus, kas viņiem ar to nodarīti.</w:t>
      </w:r>
      <w:r w:rsidR="00EA3D64">
        <w:t xml:space="preserve"> </w:t>
      </w:r>
      <w:r w:rsidR="00EA3D64" w:rsidRPr="00892677">
        <w:t>Neviens atsevišķs kopīpašnieks nevar bez visu pārējo piekrišanas ne apgrūtināt kopīpašuma priekšmetu ar lietu tiesībām, ne atsavināt to visā tā sastāvā vai pa daļām, ne arī kaut</w:t>
      </w:r>
      <w:r w:rsidR="00EA3D64">
        <w:t xml:space="preserve"> </w:t>
      </w:r>
      <w:r w:rsidR="00EA3D64" w:rsidRPr="00892677">
        <w:t>kādi to pārgrozīt. Tādēļ katram kopīpašniekam ir tiesība protestēt pret tādu viena vai visu pārējo kopīpašnieku rīcību, un šo tiesību viņam nevar atņemt ar balsu vairākumu.</w:t>
      </w:r>
      <w:r w:rsidR="00EA3D64">
        <w:t xml:space="preserve"> </w:t>
      </w:r>
      <w:r w:rsidR="00EA3D64" w:rsidRPr="00892677">
        <w:t>Izņēmums no šiem noteikumiem pielaižams tajā gadījumā, kad kāds no kopīpašniekiem izdara kopīpašuma priekšmetā tādas pārgrozības, ko prasījusi nepieciešama vajadzība, piem</w:t>
      </w:r>
      <w:r w:rsidR="00983D6C">
        <w:t>ēram</w:t>
      </w:r>
      <w:r w:rsidR="00EA3D64" w:rsidRPr="00892677">
        <w:t>, nepieciešamu ēkas izlabojumu.</w:t>
      </w:r>
    </w:p>
    <w:p w14:paraId="64297263" w14:textId="120C4861" w:rsidR="00625BB3" w:rsidRDefault="00625BB3" w:rsidP="00D319D3">
      <w:pPr>
        <w:spacing w:line="276" w:lineRule="auto"/>
        <w:ind w:firstLine="567"/>
        <w:jc w:val="both"/>
      </w:pPr>
      <w:r>
        <w:t xml:space="preserve">Attiecīgi, lai legalizētu patvaļīgo būvniecību, pieteicējai ir nepieciešams iesniegt iestādei </w:t>
      </w:r>
      <w:r w:rsidR="003D73A6">
        <w:t xml:space="preserve">visu </w:t>
      </w:r>
      <w:r>
        <w:t xml:space="preserve">kopīpašnieku </w:t>
      </w:r>
      <w:r w:rsidR="003D73A6">
        <w:t>piekrišanu tai</w:t>
      </w:r>
      <w:r>
        <w:t>.</w:t>
      </w:r>
    </w:p>
    <w:p w14:paraId="73E2AD1F" w14:textId="77777777" w:rsidR="00625BB3" w:rsidRDefault="00625BB3" w:rsidP="00D319D3">
      <w:pPr>
        <w:spacing w:line="276" w:lineRule="auto"/>
        <w:ind w:firstLine="567"/>
        <w:jc w:val="both"/>
      </w:pPr>
    </w:p>
    <w:p w14:paraId="2E3F5C0E" w14:textId="60AEA336" w:rsidR="00DB4FB7" w:rsidRPr="00DB4FB7" w:rsidRDefault="00532DD8" w:rsidP="00D319D3">
      <w:pPr>
        <w:spacing w:line="276" w:lineRule="auto"/>
        <w:ind w:firstLine="567"/>
        <w:jc w:val="both"/>
      </w:pPr>
      <w:r>
        <w:t>[</w:t>
      </w:r>
      <w:r w:rsidR="00C943CB">
        <w:t>8</w:t>
      </w:r>
      <w:r>
        <w:t>]</w:t>
      </w:r>
      <w:r w:rsidR="00DB4FB7">
        <w:t xml:space="preserve"> </w:t>
      </w:r>
      <w:r w:rsidR="00DB4FB7" w:rsidRPr="00DB4FB7">
        <w:t xml:space="preserve">Atbilstoši Ministru kabineta 2014.gada 2.septembra noteikumu Nr. 529 „Ēku būvnoteikumi” 9.punktam </w:t>
      </w:r>
      <w:r w:rsidR="007014D3">
        <w:t>t</w:t>
      </w:r>
      <w:r w:rsidR="007014D3" w:rsidRPr="007014D3">
        <w:t>rešo personu saskaņojumu (izņemot</w:t>
      </w:r>
      <w:r w:rsidR="00E90BCA">
        <w:t xml:space="preserve"> </w:t>
      </w:r>
      <w:hyperlink r:id="rId7" w:tgtFrame="_blank" w:history="1">
        <w:r w:rsidR="007014D3" w:rsidRPr="007014D3">
          <w:rPr>
            <w:rStyle w:val="Hyperlink"/>
            <w:color w:val="auto"/>
            <w:u w:val="none"/>
          </w:rPr>
          <w:t>Būvniecības likuma</w:t>
        </w:r>
      </w:hyperlink>
      <w:r w:rsidR="00E90BCA">
        <w:t xml:space="preserve"> </w:t>
      </w:r>
      <w:hyperlink r:id="rId8" w:anchor="p14" w:tgtFrame="_blank" w:history="1">
        <w:r w:rsidR="007014D3" w:rsidRPr="007014D3">
          <w:rPr>
            <w:rStyle w:val="Hyperlink"/>
            <w:color w:val="auto"/>
            <w:u w:val="none"/>
          </w:rPr>
          <w:t>14.panta</w:t>
        </w:r>
      </w:hyperlink>
      <w:r w:rsidR="00E90BCA">
        <w:t xml:space="preserve"> </w:t>
      </w:r>
      <w:r w:rsidR="007014D3" w:rsidRPr="007014D3">
        <w:t>1.</w:t>
      </w:r>
      <w:r w:rsidR="007014D3" w:rsidRPr="007014D3">
        <w:rPr>
          <w:vertAlign w:val="superscript"/>
        </w:rPr>
        <w:t>1</w:t>
      </w:r>
      <w:r w:rsidR="00E90BCA">
        <w:t xml:space="preserve"> </w:t>
      </w:r>
      <w:r w:rsidR="007014D3" w:rsidRPr="007014D3">
        <w:t>un 1.</w:t>
      </w:r>
      <w:r w:rsidR="007014D3" w:rsidRPr="007014D3">
        <w:rPr>
          <w:vertAlign w:val="superscript"/>
        </w:rPr>
        <w:t>2</w:t>
      </w:r>
      <w:r w:rsidR="007014D3" w:rsidRPr="007014D3">
        <w:t>daļā minēto gadījumu) noformē kā atsevišķu vienošanos (piemēram, dzīvokļu īpašnieku kopsapulces lēmums, balsošanas protokols), lai no tā izrietētu nepārprotama šo personu piekrišana katram konkrētam apgrūtinājumam, kas skar attiecīgo personu</w:t>
      </w:r>
      <w:r w:rsidR="00DB4FB7" w:rsidRPr="00DB4FB7">
        <w:t>.</w:t>
      </w:r>
    </w:p>
    <w:p w14:paraId="41726E07" w14:textId="45737466" w:rsidR="00892098" w:rsidRDefault="007014D3" w:rsidP="00D319D3">
      <w:pPr>
        <w:spacing w:line="276" w:lineRule="auto"/>
        <w:ind w:firstLine="567"/>
        <w:jc w:val="both"/>
      </w:pPr>
      <w:r>
        <w:t xml:space="preserve">No minētās normas jēgas izriet, ka trešo personu saskaņojumam ir jābūt apzinātam un nepārprotamam, bet ar jēdzienu </w:t>
      </w:r>
      <w:r w:rsidR="00755F81" w:rsidRPr="00DB4FB7">
        <w:t>„</w:t>
      </w:r>
      <w:r>
        <w:t xml:space="preserve">atsevišķa vienošanās” nav saprotama </w:t>
      </w:r>
      <w:r w:rsidR="005847A6">
        <w:t xml:space="preserve">noteikta </w:t>
      </w:r>
      <w:r>
        <w:t>civiltiesiskās vienošanās forma</w:t>
      </w:r>
      <w:r w:rsidR="00DB4FB7" w:rsidRPr="00DB4FB7">
        <w:t xml:space="preserve">, </w:t>
      </w:r>
      <w:r w:rsidR="00B93BFC">
        <w:t>jo t</w:t>
      </w:r>
      <w:r w:rsidR="00DB4FB7" w:rsidRPr="00DB4FB7">
        <w:t>a</w:t>
      </w:r>
      <w:r>
        <w:t xml:space="preserve">s būtu pretrunā </w:t>
      </w:r>
      <w:r w:rsidRPr="006D10BD">
        <w:t>civil</w:t>
      </w:r>
      <w:r w:rsidR="008D41B8">
        <w:t>tiesībās</w:t>
      </w:r>
      <w:r w:rsidRPr="006D10BD">
        <w:t xml:space="preserve"> valdošajam līgumu brīvības</w:t>
      </w:r>
      <w:r>
        <w:t xml:space="preserve"> </w:t>
      </w:r>
      <w:r w:rsidRPr="006D10BD">
        <w:t>principam</w:t>
      </w:r>
      <w:r>
        <w:t>. Attiecīgi dokumenta forma</w:t>
      </w:r>
      <w:r w:rsidR="00B93BFC">
        <w:t>i nav izšķirošas nozīmes, vērtējot saskaņo</w:t>
      </w:r>
      <w:r w:rsidR="0042289C">
        <w:t xml:space="preserve">juma esību un </w:t>
      </w:r>
      <w:r w:rsidR="00B93BFC">
        <w:t>saturu</w:t>
      </w:r>
      <w:r w:rsidR="00C849BF">
        <w:t>.</w:t>
      </w:r>
      <w:r w:rsidR="00953929">
        <w:t xml:space="preserve"> </w:t>
      </w:r>
      <w:r w:rsidR="005847A6">
        <w:t xml:space="preserve">Piemēram, </w:t>
      </w:r>
      <w:r w:rsidR="00892098">
        <w:t>Senāts jau iepriekš ir norādījis, ka kopīpašnieki līgumā par kopīpašuma lietošanas kārtības noteikšanu var vienoties arī par nosacījumiem būvniecības saskaņošanai (</w:t>
      </w:r>
      <w:r w:rsidR="00BC4D9D">
        <w:rPr>
          <w:i/>
        </w:rPr>
        <w:t>Senāta</w:t>
      </w:r>
      <w:r w:rsidR="00892098" w:rsidRPr="00CA249F">
        <w:rPr>
          <w:i/>
        </w:rPr>
        <w:t xml:space="preserve"> 2012.gada 16.marta sprieduma lietā Nr. SKA</w:t>
      </w:r>
      <w:r w:rsidR="00892098" w:rsidRPr="00CA249F">
        <w:rPr>
          <w:i/>
        </w:rPr>
        <w:noBreakHyphen/>
        <w:t>49/2012</w:t>
      </w:r>
      <w:r w:rsidR="00BC4D9D">
        <w:rPr>
          <w:i/>
        </w:rPr>
        <w:t xml:space="preserve">, </w:t>
      </w:r>
      <w:r w:rsidR="00892098" w:rsidRPr="00CA249F">
        <w:rPr>
          <w:i/>
        </w:rPr>
        <w:t>A42569306</w:t>
      </w:r>
      <w:r w:rsidR="00BC4D9D">
        <w:rPr>
          <w:i/>
        </w:rPr>
        <w:t>,</w:t>
      </w:r>
      <w:r w:rsidR="00892098" w:rsidRPr="00CA249F">
        <w:rPr>
          <w:i/>
        </w:rPr>
        <w:t xml:space="preserve"> 10. </w:t>
      </w:r>
      <w:r w:rsidR="00892098">
        <w:rPr>
          <w:i/>
        </w:rPr>
        <w:t>un 11.</w:t>
      </w:r>
      <w:r w:rsidR="00892098" w:rsidRPr="00CA249F">
        <w:rPr>
          <w:i/>
        </w:rPr>
        <w:t>punkts</w:t>
      </w:r>
      <w:r w:rsidR="00892098">
        <w:t>).</w:t>
      </w:r>
      <w:r w:rsidR="007657F6">
        <w:t xml:space="preserve"> </w:t>
      </w:r>
    </w:p>
    <w:p w14:paraId="01F4B34D" w14:textId="77BC6150" w:rsidR="00892098" w:rsidRDefault="00892098" w:rsidP="00D319D3">
      <w:pPr>
        <w:spacing w:line="276" w:lineRule="auto"/>
        <w:ind w:firstLine="567"/>
        <w:jc w:val="both"/>
      </w:pPr>
      <w:r>
        <w:t xml:space="preserve">Tādējādi, vērtējot saskaņojuma </w:t>
      </w:r>
      <w:r w:rsidR="003D73A6">
        <w:t xml:space="preserve">(piekrišanas) </w:t>
      </w:r>
      <w:r>
        <w:t xml:space="preserve">esību, </w:t>
      </w:r>
      <w:r w:rsidRPr="00892098">
        <w:t xml:space="preserve">nozīme piešķirama </w:t>
      </w:r>
      <w:r w:rsidR="005847A6">
        <w:t xml:space="preserve">tās </w:t>
      </w:r>
      <w:r w:rsidRPr="00892098">
        <w:t>izteikuma nepārprotamībai</w:t>
      </w:r>
      <w:r w:rsidR="005847A6">
        <w:t>.</w:t>
      </w:r>
      <w:r w:rsidRPr="00892098">
        <w:t xml:space="preserve"> Ja šāda griba ir skaidri izteikta un pierādāma, saskaņojums uzskatāms par notikušu neatkarīgi no tā, vai tas ietverts atsevišķā dokumentā vai cita civiltiesiska darījuma (piemēram, līguma) sastāvā</w:t>
      </w:r>
      <w:r>
        <w:t>.</w:t>
      </w:r>
    </w:p>
    <w:p w14:paraId="646EA766" w14:textId="77777777" w:rsidR="00892098" w:rsidRDefault="00892098" w:rsidP="00D319D3">
      <w:pPr>
        <w:spacing w:line="276" w:lineRule="auto"/>
        <w:ind w:firstLine="567"/>
        <w:jc w:val="both"/>
      </w:pPr>
    </w:p>
    <w:p w14:paraId="66D874FA" w14:textId="6B9A9CED" w:rsidR="00892098" w:rsidRDefault="00892098" w:rsidP="00D319D3">
      <w:pPr>
        <w:spacing w:line="276" w:lineRule="auto"/>
        <w:ind w:firstLine="567"/>
        <w:jc w:val="both"/>
      </w:pPr>
      <w:r>
        <w:t>[</w:t>
      </w:r>
      <w:r w:rsidR="00C943CB">
        <w:t>9</w:t>
      </w:r>
      <w:r>
        <w:t xml:space="preserve">] </w:t>
      </w:r>
      <w:r w:rsidR="00761B08">
        <w:t>T</w:t>
      </w:r>
      <w:r>
        <w:t xml:space="preserve">iesa spriedumā atzinusi, ka </w:t>
      </w:r>
      <w:r w:rsidRPr="002079A9">
        <w:t>1998.gada 28.augusta pirkuma līguma</w:t>
      </w:r>
      <w:r w:rsidR="0011307A">
        <w:t xml:space="preserve">, ar kuru </w:t>
      </w:r>
      <w:r w:rsidR="005847A6">
        <w:t xml:space="preserve">kopīpašniece </w:t>
      </w:r>
      <w:r w:rsidR="00D94787">
        <w:t xml:space="preserve">[pers. B] </w:t>
      </w:r>
      <w:r w:rsidR="00782E4A">
        <w:t xml:space="preserve">ieguva īpašuma domājamās daļas, </w:t>
      </w:r>
      <w:r w:rsidRPr="002079A9">
        <w:t>7.punktā iekļaut</w:t>
      </w:r>
      <w:r>
        <w:t>ai</w:t>
      </w:r>
      <w:r w:rsidRPr="002079A9">
        <w:t xml:space="preserve">s nosacījums, ka </w:t>
      </w:r>
      <w:r w:rsidR="00D94787">
        <w:t xml:space="preserve">[pers. B] </w:t>
      </w:r>
      <w:r w:rsidRPr="002079A9">
        <w:t>atsakās no pagraba un pārējo bēniņu telpu lietošanas un neiebilst, ka tur tiek ierīkoti dzīvokļi,</w:t>
      </w:r>
      <w:r>
        <w:t xml:space="preserve"> </w:t>
      </w:r>
      <w:r w:rsidRPr="002079A9">
        <w:t>neatļauj legalizēt strīdus patvaļīgo būvniecību, jo pirkuma līgums ir saistību tiesību jomā noslēgts</w:t>
      </w:r>
      <w:r>
        <w:t xml:space="preserve"> </w:t>
      </w:r>
      <w:r w:rsidRPr="002079A9">
        <w:t>darījums, kas ir saistošs tikai līgumslēdzējiem un tas nerada tiesiskas</w:t>
      </w:r>
      <w:r>
        <w:t xml:space="preserve"> </w:t>
      </w:r>
      <w:r w:rsidRPr="002079A9">
        <w:t xml:space="preserve">sekas pieteicējai. </w:t>
      </w:r>
    </w:p>
    <w:p w14:paraId="51B8FC00" w14:textId="57B48A12" w:rsidR="00892098" w:rsidRDefault="00892098" w:rsidP="00D319D3">
      <w:pPr>
        <w:spacing w:line="276" w:lineRule="auto"/>
        <w:ind w:firstLine="567"/>
        <w:jc w:val="both"/>
      </w:pPr>
      <w:r w:rsidRPr="0042289C">
        <w:t>Senāts</w:t>
      </w:r>
      <w:r>
        <w:t xml:space="preserve"> piekrīt, ka </w:t>
      </w:r>
      <w:r w:rsidR="00666E13">
        <w:t xml:space="preserve">pirkuma līgums </w:t>
      </w:r>
      <w:r>
        <w:t xml:space="preserve">ir saistību </w:t>
      </w:r>
      <w:r w:rsidR="009B02E8">
        <w:t xml:space="preserve">tiesību </w:t>
      </w:r>
      <w:r>
        <w:t>jomā noslēgts darījums, kas ir saistošs līgumslēdzējiem, tātad arī</w:t>
      </w:r>
      <w:r w:rsidR="00D94787">
        <w:t xml:space="preserve"> [pers. B]</w:t>
      </w:r>
      <w:r>
        <w:t xml:space="preserve">. </w:t>
      </w:r>
      <w:r w:rsidRPr="009B02E8">
        <w:t>Tomēr</w:t>
      </w:r>
      <w:r>
        <w:t xml:space="preserve"> </w:t>
      </w:r>
      <w:r w:rsidR="008B2FD4">
        <w:t xml:space="preserve">neatkarīgi no minētā </w:t>
      </w:r>
      <w:r>
        <w:t xml:space="preserve">tiesa nav </w:t>
      </w:r>
      <w:r w:rsidR="008B2FD4">
        <w:t xml:space="preserve">pēc būtības </w:t>
      </w:r>
      <w:r w:rsidR="00666E13">
        <w:t xml:space="preserve">pārbaudījusi un </w:t>
      </w:r>
      <w:r>
        <w:t xml:space="preserve">pamatojusi, </w:t>
      </w:r>
      <w:r w:rsidR="00666E13">
        <w:t>vai</w:t>
      </w:r>
      <w:r>
        <w:t xml:space="preserve"> šā līguma 7.punkts </w:t>
      </w:r>
      <w:r w:rsidR="0042289C">
        <w:t>ne</w:t>
      </w:r>
      <w:r>
        <w:t xml:space="preserve">var tikt uzskatīts par saskaņojumu bēniņu telpu pārbūvei. </w:t>
      </w:r>
      <w:r w:rsidR="00666E13">
        <w:t xml:space="preserve">Senāts nesaskata šķēršļus tam, ka pirkuma līgumā varētu būt ietverts </w:t>
      </w:r>
      <w:r w:rsidR="009B02E8">
        <w:t xml:space="preserve">šāds </w:t>
      </w:r>
      <w:r w:rsidR="00666E13">
        <w:t>saskaņojums kopīpašuma telpu pārbūvei, uz ko varētu paļauties cits kopīpašnieks</w:t>
      </w:r>
      <w:r w:rsidR="0042289C">
        <w:t xml:space="preserve"> (sal.</w:t>
      </w:r>
      <w:r w:rsidR="00E90BCA">
        <w:t> </w:t>
      </w:r>
      <w:r w:rsidR="0042289C" w:rsidRPr="005F6155">
        <w:rPr>
          <w:i/>
          <w:iCs/>
        </w:rPr>
        <w:t xml:space="preserve">Senāta 2012.gada </w:t>
      </w:r>
      <w:r w:rsidR="005F6155" w:rsidRPr="005F6155">
        <w:rPr>
          <w:i/>
          <w:iCs/>
        </w:rPr>
        <w:t>16.marta</w:t>
      </w:r>
      <w:r w:rsidR="0042289C" w:rsidRPr="005F6155">
        <w:rPr>
          <w:i/>
          <w:iCs/>
        </w:rPr>
        <w:t xml:space="preserve"> sprieduma </w:t>
      </w:r>
      <w:r w:rsidR="005F6155" w:rsidRPr="005F6155">
        <w:rPr>
          <w:i/>
          <w:iCs/>
        </w:rPr>
        <w:t xml:space="preserve">lietā </w:t>
      </w:r>
      <w:r w:rsidR="0042289C" w:rsidRPr="005F6155">
        <w:rPr>
          <w:i/>
          <w:iCs/>
        </w:rPr>
        <w:t>Nr. SKA-49/2012</w:t>
      </w:r>
      <w:r w:rsidR="00BC4D9D">
        <w:rPr>
          <w:i/>
          <w:iCs/>
        </w:rPr>
        <w:t xml:space="preserve">,  </w:t>
      </w:r>
      <w:r w:rsidR="009B02E8" w:rsidRPr="00CA249F">
        <w:rPr>
          <w:i/>
        </w:rPr>
        <w:t>A42569306</w:t>
      </w:r>
      <w:r w:rsidR="00BC4D9D">
        <w:rPr>
          <w:i/>
        </w:rPr>
        <w:t>,</w:t>
      </w:r>
      <w:r w:rsidR="009B02E8" w:rsidRPr="00CA249F">
        <w:rPr>
          <w:i/>
        </w:rPr>
        <w:t xml:space="preserve"> </w:t>
      </w:r>
      <w:r w:rsidR="0042289C" w:rsidRPr="005F6155">
        <w:rPr>
          <w:i/>
          <w:iCs/>
        </w:rPr>
        <w:t>12.punkts</w:t>
      </w:r>
      <w:r w:rsidR="0042289C">
        <w:t>)</w:t>
      </w:r>
      <w:r w:rsidR="00666E13">
        <w:t xml:space="preserve">. </w:t>
      </w:r>
      <w:r w:rsidR="005F6155">
        <w:t xml:space="preserve">Senāts </w:t>
      </w:r>
      <w:r w:rsidR="009B02E8">
        <w:t xml:space="preserve">savā praksē ir </w:t>
      </w:r>
      <w:r w:rsidR="005F6155">
        <w:t>norādījis, ka, ievērojot Civillikuma normas (1520.–1522.pants), t</w:t>
      </w:r>
      <w:r w:rsidR="005F6155" w:rsidRPr="00624831">
        <w:t xml:space="preserve">iesība, kas izriet no līguma, </w:t>
      </w:r>
      <w:r w:rsidR="009B02E8">
        <w:t xml:space="preserve">citai personai (ne līgumslēdzējai) </w:t>
      </w:r>
      <w:r w:rsidR="005F6155" w:rsidRPr="00624831">
        <w:t>kļūst patstāvīga un neatkarīga no tā gribas, kam apsolījums dots, tad, kad viņa pati pievienojas līgumam</w:t>
      </w:r>
      <w:r w:rsidR="005F6155">
        <w:t>. K</w:t>
      </w:r>
      <w:r w:rsidR="005F6155" w:rsidRPr="00624831">
        <w:t>amēr trešā persona nav pievienojusies līgumam, tas pastāv tikai starp tā slēdzējiem</w:t>
      </w:r>
      <w:r w:rsidR="005F6155">
        <w:t xml:space="preserve">. Tomēr nav saskatāms, ka vispārīgā gadījumā pievienošanās faktam būtu vajadzīgs formāls </w:t>
      </w:r>
      <w:r w:rsidR="009B02E8">
        <w:t xml:space="preserve">šīs citas </w:t>
      </w:r>
      <w:r w:rsidR="005F6155">
        <w:t xml:space="preserve">personas apstiprinājums un ka pievienošanās nevarētu izrietēt tieši no tiesību īstenošanas fakta, ja vien pēc </w:t>
      </w:r>
      <w:r w:rsidR="009B02E8">
        <w:t xml:space="preserve">šīs </w:t>
      </w:r>
      <w:r w:rsidR="005F6155">
        <w:t>personas darbībām var droši secināt gribas esību pievienoties līgumam (</w:t>
      </w:r>
      <w:r w:rsidR="005F6155" w:rsidRPr="005F6155">
        <w:rPr>
          <w:i/>
          <w:iCs/>
        </w:rPr>
        <w:t>turpat, 13.punkts</w:t>
      </w:r>
      <w:r w:rsidR="005F6155">
        <w:t xml:space="preserve">). </w:t>
      </w:r>
      <w:r w:rsidRPr="00892098">
        <w:t xml:space="preserve">Tādēļ </w:t>
      </w:r>
      <w:r w:rsidR="005F6155">
        <w:t xml:space="preserve">nav pamatots </w:t>
      </w:r>
      <w:r w:rsidRPr="00892098">
        <w:t>no apgabaltiesas sprieduma izrietoša</w:t>
      </w:r>
      <w:r w:rsidR="005F6155">
        <w:t>is</w:t>
      </w:r>
      <w:r w:rsidRPr="00892098">
        <w:t xml:space="preserve"> secinājum</w:t>
      </w:r>
      <w:r w:rsidR="005F6155">
        <w:t>s</w:t>
      </w:r>
      <w:r w:rsidRPr="00892098">
        <w:t>, ka</w:t>
      </w:r>
      <w:r>
        <w:t xml:space="preserve"> </w:t>
      </w:r>
      <w:r w:rsidRPr="002079A9">
        <w:t>1998.gada 28.augusta pirkuma līguma 7.punktā iekļaut</w:t>
      </w:r>
      <w:r>
        <w:t>ai</w:t>
      </w:r>
      <w:r w:rsidRPr="002079A9">
        <w:t>s nosacījums</w:t>
      </w:r>
      <w:r>
        <w:t xml:space="preserve"> </w:t>
      </w:r>
      <w:r w:rsidR="005F6155">
        <w:t xml:space="preserve">nevar </w:t>
      </w:r>
      <w:r w:rsidRPr="002079A9">
        <w:t>rad</w:t>
      </w:r>
      <w:r w:rsidR="005F6155">
        <w:t>īt</w:t>
      </w:r>
      <w:r w:rsidRPr="002079A9">
        <w:t xml:space="preserve"> tiesiskas</w:t>
      </w:r>
      <w:r>
        <w:t xml:space="preserve"> </w:t>
      </w:r>
      <w:r w:rsidRPr="002079A9">
        <w:t>sekas pieteicējai</w:t>
      </w:r>
      <w:r>
        <w:t xml:space="preserve">. </w:t>
      </w:r>
    </w:p>
    <w:p w14:paraId="7ED9EDDA" w14:textId="77777777" w:rsidR="00621CF2" w:rsidRDefault="00621CF2" w:rsidP="00D319D3">
      <w:pPr>
        <w:spacing w:line="276" w:lineRule="auto"/>
        <w:ind w:firstLine="567"/>
        <w:jc w:val="both"/>
      </w:pPr>
    </w:p>
    <w:p w14:paraId="3C1C3044" w14:textId="7804FBCE" w:rsidR="00621CF2" w:rsidRDefault="00621CF2" w:rsidP="00D319D3">
      <w:pPr>
        <w:spacing w:line="276" w:lineRule="auto"/>
        <w:ind w:firstLine="567"/>
        <w:jc w:val="both"/>
      </w:pPr>
      <w:r>
        <w:t>[1</w:t>
      </w:r>
      <w:r w:rsidR="00C943CB">
        <w:t>0</w:t>
      </w:r>
      <w:r>
        <w:t xml:space="preserve">] Tāpat Senāts jau iepriekš ir atzinis, ka </w:t>
      </w:r>
      <w:r w:rsidRPr="009F597E">
        <w:t>var</w:t>
      </w:r>
      <w:r>
        <w:t xml:space="preserve"> </w:t>
      </w:r>
      <w:r w:rsidRPr="009F597E">
        <w:t>būt arī situācijas, kad personai, kura sniedz saskaņojumu, subjektīvu apsvērumu dēļ nav būtiski,</w:t>
      </w:r>
      <w:r>
        <w:t xml:space="preserve"> </w:t>
      </w:r>
      <w:r w:rsidRPr="009F597E">
        <w:t>kādi būs konkrētas būves parametri, un tā var izvēlēties sniegt arī vispārīgu piekrišanu</w:t>
      </w:r>
      <w:r>
        <w:t xml:space="preserve">. </w:t>
      </w:r>
      <w:r w:rsidRPr="009F597E">
        <w:t>Tādēļ Senāts nevar piekrist no apgabaltiesas sprieduma izrietošajam secinājumam, ka</w:t>
      </w:r>
      <w:r>
        <w:t xml:space="preserve"> </w:t>
      </w:r>
      <w:r w:rsidRPr="009F597E">
        <w:t>piekrišana būvniecībai, kas sniegta pirms būvprojekta izstrādes, viennozīmīgi liedz to atzīt par</w:t>
      </w:r>
      <w:r>
        <w:t xml:space="preserve"> </w:t>
      </w:r>
      <w:r w:rsidRPr="009F597E">
        <w:t>derīgu</w:t>
      </w:r>
      <w:r>
        <w:t xml:space="preserve"> (</w:t>
      </w:r>
      <w:r w:rsidRPr="009F597E">
        <w:rPr>
          <w:i/>
          <w:iCs/>
        </w:rPr>
        <w:t>Senāta 2024.gada 31.oktobra sprieduma lietā Nr. SKA-121/2024, ECLI:LV:AT:2024:1031.A420194320.21.S, 7.punkts</w:t>
      </w:r>
      <w:r>
        <w:t>).</w:t>
      </w:r>
    </w:p>
    <w:p w14:paraId="2074796C" w14:textId="77777777" w:rsidR="00621CF2" w:rsidRDefault="00621CF2" w:rsidP="00D319D3">
      <w:pPr>
        <w:spacing w:line="276" w:lineRule="auto"/>
        <w:ind w:firstLine="567"/>
        <w:jc w:val="both"/>
      </w:pPr>
      <w:r>
        <w:t>Senāts arī norādījis, ka atsevišķa dokumenta formā sniegtam saskaņojumam jābūt noformētam tādējādi, lai no tā izrietētu nepārprotama piekrišana būvdarbiem. Minētais, vērtējot kopīpašnieku saskaņojumu būvniecībai kopīpašumā, nav saprotams tādējādi, ka atsevišķajā procesuālajā dokumentā obligāti jābūt uzskaitītiem konkrētiem būvniecības darbiem, kuriem kopīpašnieki piekrīt. Tomēr prasība noformēt saskaņojumu nepārprotami paredz, ka no saskaņojuma jābūt saprotamam, ka kopīpašnieks patiešām piekritis konkrēta veida būvdarbiem konkrētajā kopīpašuma daļā (</w:t>
      </w:r>
      <w:r w:rsidRPr="00621CF2">
        <w:rPr>
          <w:i/>
          <w:iCs/>
        </w:rPr>
        <w:t>Senāta 2019.gada 28.februāra sprieduma lietā Nr. SKA-254/2019, ECLI:LV:AT:2019:0228.A420198416.2.S, 7.punkts</w:t>
      </w:r>
      <w:r>
        <w:t>).</w:t>
      </w:r>
    </w:p>
    <w:p w14:paraId="2F62DA1C" w14:textId="2FBC20A8" w:rsidR="00621CF2" w:rsidRDefault="00621CF2" w:rsidP="00D319D3">
      <w:pPr>
        <w:spacing w:line="276" w:lineRule="auto"/>
        <w:ind w:firstLine="567"/>
        <w:jc w:val="both"/>
      </w:pPr>
      <w:r>
        <w:t xml:space="preserve">Tādēļ tiesai jāvērtē, vai no </w:t>
      </w:r>
      <w:r w:rsidRPr="002079A9">
        <w:t xml:space="preserve">1998.gada 28.augusta pirkuma līguma </w:t>
      </w:r>
      <w:r>
        <w:t xml:space="preserve">7.punktā norādītā, ka </w:t>
      </w:r>
      <w:r w:rsidR="00D94787">
        <w:t xml:space="preserve">[pers. B] </w:t>
      </w:r>
      <w:r>
        <w:t xml:space="preserve">neiebilst, ka bēniņos </w:t>
      </w:r>
      <w:r w:rsidRPr="002079A9">
        <w:t>tiek ierīkoti dzīvokļi</w:t>
      </w:r>
      <w:r>
        <w:t>, pietiekami skaidri neizriet, kādai būvniecībai kopīpašniece piekritusi.</w:t>
      </w:r>
      <w:r w:rsidRPr="00621CF2">
        <w:t xml:space="preserve"> </w:t>
      </w:r>
      <w:r>
        <w:t xml:space="preserve">Tāpat no tiesas sprieduma secināms, ka tiesa </w:t>
      </w:r>
      <w:r w:rsidRPr="00837596">
        <w:t>nav aplūkojusi citus apstākļus, kuri var ļaut</w:t>
      </w:r>
      <w:r>
        <w:t xml:space="preserve"> </w:t>
      </w:r>
      <w:r w:rsidRPr="00837596">
        <w:t xml:space="preserve">novērtēt, kāda informācija </w:t>
      </w:r>
      <w:r>
        <w:t>savukārt bijusi protokolu parakstījušo kopīpašnieku</w:t>
      </w:r>
      <w:r w:rsidRPr="00837596">
        <w:t xml:space="preserve"> rīcībā</w:t>
      </w:r>
      <w:r>
        <w:t>.</w:t>
      </w:r>
    </w:p>
    <w:p w14:paraId="14BB8DF2" w14:textId="77777777" w:rsidR="00621CF2" w:rsidRDefault="00621CF2" w:rsidP="00D319D3">
      <w:pPr>
        <w:spacing w:line="276" w:lineRule="auto"/>
        <w:ind w:firstLine="567"/>
        <w:jc w:val="both"/>
      </w:pPr>
    </w:p>
    <w:p w14:paraId="15AFC5D2" w14:textId="635AD002" w:rsidR="00761B08" w:rsidRDefault="00986243" w:rsidP="00D319D3">
      <w:pPr>
        <w:spacing w:line="276" w:lineRule="auto"/>
        <w:ind w:firstLine="567"/>
        <w:jc w:val="both"/>
      </w:pPr>
      <w:r>
        <w:t>[1</w:t>
      </w:r>
      <w:r w:rsidR="00C943CB">
        <w:t>1</w:t>
      </w:r>
      <w:r>
        <w:t xml:space="preserve">] Senāts arī atzinis, ka kopīpašnieka piekrišanas došana būvniecībai ir kopīpašnieku civiltiesiskās attiecības. No šāda aspekta piekrišanas došana ir darījums kopīpašnieku starpā, kurš vispārīgi, tas ir, ja vien paši darījuma dalībnieki tieši nav vienojušies par ko citu vai nav konstatējams gribas īstuma trūkums, proti, nepastāv maldības, spaidu vai viltus apstākļi, nav atsaucams. Tāpat tas nav ierobežots ar termiņu. </w:t>
      </w:r>
      <w:r w:rsidR="003D73A6">
        <w:t>Lai arī t</w:t>
      </w:r>
      <w:r>
        <w:t xml:space="preserve">iesību normas vairāk neregulē šādas piekrišanas korelāciju ar paša būvniecības procesa norisi, tostarp </w:t>
      </w:r>
      <w:r w:rsidR="005C011F">
        <w:t xml:space="preserve">piekrišanas </w:t>
      </w:r>
      <w:r>
        <w:t>pāreju citām personām</w:t>
      </w:r>
      <w:r w:rsidR="005C011F">
        <w:t>, t</w:t>
      </w:r>
      <w:r>
        <w:t>omēr atbilstoši jēgai piekrišana ir saistāma ar to darbību izpildi, kurām tā dota. Tādēļ p</w:t>
      </w:r>
      <w:r w:rsidRPr="008913B8">
        <w:t>ersonai, kuras mērķis ir veikt attiecīgo darbību (būvniecību) un kura tam saņēmusi cita kopīpašnieka piekrišanu, vispārīgi jābūt iespējai to izpildīt, tostarp pabeigt.</w:t>
      </w:r>
      <w:r>
        <w:t xml:space="preserve"> Nodibinot šīs tiesiskās attiecības ar kopīpašnieku, persona var uzsākt saskaņotās darbības izpildi, turklāt tādējādi, ka uzsākt pašu darbību vai tai paredzētās procedūras atkarībā no tā, vai konkrētais gadījums paredz iestādes atļaujas nepieciešamību. Jaunajam kopīpašniekam, kas ir stājies kāda cita vietā, ir jāsamierinās ar šo būvniecības procesu un tādējādi tam ir saistoša arī iepriekšējā īpašnieka dotā piekrišana. Citiem vārdiem sakot, personas uzsākto tiesību īstenošanu nevar ietekmēt izmaiņas kopīpašnieku sastāvā. Ievērojot tiktāl norādīto, apstāklis, ka būvniecības procesa laikā ir mainījies kopīpašnieks un pati veiktā būvniecība pilnībā neatbilst obligātajiem noteikumiem par to, pats par sevi neiznīcina saņemtās un īstenotās (vai īstenot uzsāktās) piekrišanas spēku (</w:t>
      </w:r>
      <w:r w:rsidRPr="00CD5E17">
        <w:rPr>
          <w:i/>
          <w:iCs/>
        </w:rPr>
        <w:t>Senāta 2019.gada 5.jūnija sprieduma lietā Nr. SKA-30/2019</w:t>
      </w:r>
      <w:r w:rsidRPr="00CD5E17">
        <w:rPr>
          <w:bCs/>
          <w:i/>
          <w:iCs/>
        </w:rPr>
        <w:t xml:space="preserve">, </w:t>
      </w:r>
      <w:hyperlink r:id="rId9" w:history="1">
        <w:r w:rsidRPr="007657F6">
          <w:rPr>
            <w:rStyle w:val="Hyperlink"/>
            <w:i/>
            <w:iCs/>
            <w:color w:val="auto"/>
            <w:u w:val="none"/>
          </w:rPr>
          <w:t>ECLI:LV:AT:2019:0605.A420426913.2.S</w:t>
        </w:r>
      </w:hyperlink>
      <w:r w:rsidRPr="00CD5E17">
        <w:rPr>
          <w:i/>
          <w:iCs/>
        </w:rPr>
        <w:t>, 11.punkts</w:t>
      </w:r>
      <w:r>
        <w:t xml:space="preserve">). </w:t>
      </w:r>
    </w:p>
    <w:p w14:paraId="574F1D19" w14:textId="48C318FE" w:rsidR="00761B08" w:rsidRDefault="00761B08" w:rsidP="00D319D3">
      <w:pPr>
        <w:spacing w:line="276" w:lineRule="auto"/>
        <w:ind w:firstLine="567"/>
        <w:jc w:val="both"/>
      </w:pPr>
      <w:r>
        <w:t xml:space="preserve">Tādēļ situāciju pats par sevi nemaina </w:t>
      </w:r>
      <w:r w:rsidR="005C011F">
        <w:t xml:space="preserve">arī </w:t>
      </w:r>
      <w:r>
        <w:t xml:space="preserve">tas, ka </w:t>
      </w:r>
      <w:r w:rsidR="00D94787">
        <w:t xml:space="preserve">[pers. B] </w:t>
      </w:r>
      <w:r>
        <w:t>vairs nav šā īpašuma kopīpašniece.</w:t>
      </w:r>
      <w:r w:rsidR="00561301">
        <w:t xml:space="preserve"> </w:t>
      </w:r>
      <w:r w:rsidR="00BC4D9D" w:rsidRPr="00BC4D9D">
        <w:t>Ja ir atzīstams, ka viņa ir devusi piekrišanu pieteicējas būvniecībai, šāda piekrišana nav nepieciešama no jaunā kopīpašnieka</w:t>
      </w:r>
      <w:r w:rsidR="00BC4D9D">
        <w:t>.</w:t>
      </w:r>
    </w:p>
    <w:p w14:paraId="5449B82F" w14:textId="305F1751" w:rsidR="00621CF2" w:rsidRDefault="00621CF2" w:rsidP="00D319D3">
      <w:pPr>
        <w:spacing w:line="276" w:lineRule="auto"/>
        <w:ind w:firstLine="567"/>
        <w:jc w:val="both"/>
      </w:pPr>
    </w:p>
    <w:p w14:paraId="6A400A5A" w14:textId="73F834B5" w:rsidR="0011307A" w:rsidRDefault="0011307A" w:rsidP="00D319D3">
      <w:pPr>
        <w:spacing w:line="276" w:lineRule="auto"/>
        <w:ind w:firstLine="567"/>
        <w:jc w:val="both"/>
      </w:pPr>
      <w:r>
        <w:t>[1</w:t>
      </w:r>
      <w:r w:rsidR="00C943CB">
        <w:t>2</w:t>
      </w:r>
      <w:r>
        <w:t xml:space="preserve">] Savukārt, ja atzītu, ka pieteicēja nav ieguvusi </w:t>
      </w:r>
      <w:r w:rsidR="00D94787">
        <w:t xml:space="preserve">[pers. B] </w:t>
      </w:r>
      <w:r>
        <w:t xml:space="preserve">piekrišanu būvniecībai, tiesai ir jānovērtē apstāklis, vai </w:t>
      </w:r>
      <w:r w:rsidRPr="00742068">
        <w:t>kopīpašum</w:t>
      </w:r>
      <w:r>
        <w:t>a</w:t>
      </w:r>
      <w:r w:rsidRPr="00742068">
        <w:t xml:space="preserve"> domājamās daļas, kuras piederēja</w:t>
      </w:r>
      <w:r w:rsidR="00D94787">
        <w:t xml:space="preserve"> [pers. B]</w:t>
      </w:r>
      <w:r w:rsidRPr="00742068">
        <w:t>, š</w:t>
      </w:r>
      <w:r>
        <w:t>ā brīža īpašniece</w:t>
      </w:r>
      <w:r w:rsidRPr="00742068">
        <w:t xml:space="preserve"> </w:t>
      </w:r>
      <w:r w:rsidR="00D94787">
        <w:t xml:space="preserve">[pers. C] </w:t>
      </w:r>
      <w:r>
        <w:t>piekrīt būvatļaujas</w:t>
      </w:r>
      <w:r w:rsidRPr="00742068">
        <w:t xml:space="preserve"> izsniegšanai</w:t>
      </w:r>
      <w:r>
        <w:t xml:space="preserve">. </w:t>
      </w:r>
      <w:r w:rsidR="00C943CB">
        <w:t>T</w:t>
      </w:r>
      <w:r>
        <w:t>iesa norādījusi, ka minētais apstāklis pieteicējai ļauj vienīgi atkārtoti vērsties iestādē būvatļaujas saņemšanai. Tomēr tiesa nav ņēmusi vērā, ka pieteicēja ir iesniegusi pieteikumu par labvēlīga administratīvā akta – būvatļaujas – izdošanu. Tas nozīmē, ka tiesai jāpārbauda arī tie apstākļi un to ietekme uz rezultātu lietā, kas nepieciešami labvēlīga administratīvā akta izdošanai un tādējādi</w:t>
      </w:r>
      <w:r w:rsidR="00C943CB">
        <w:t xml:space="preserve">, </w:t>
      </w:r>
      <w:r w:rsidR="00986243">
        <w:t xml:space="preserve">kas </w:t>
      </w:r>
      <w:r>
        <w:t xml:space="preserve">pastāv konkrētās lietas izskatīšanas laikā tiesā. </w:t>
      </w:r>
    </w:p>
    <w:p w14:paraId="426596D2" w14:textId="77777777" w:rsidR="0011307A" w:rsidRDefault="0011307A" w:rsidP="00D319D3">
      <w:pPr>
        <w:spacing w:line="276" w:lineRule="auto"/>
        <w:ind w:firstLine="567"/>
        <w:jc w:val="both"/>
      </w:pPr>
    </w:p>
    <w:p w14:paraId="1789D4AF" w14:textId="6321F1EE" w:rsidR="0011307A" w:rsidRDefault="009F597E" w:rsidP="00D319D3">
      <w:pPr>
        <w:spacing w:line="276" w:lineRule="auto"/>
        <w:ind w:firstLine="567"/>
        <w:jc w:val="both"/>
      </w:pPr>
      <w:r>
        <w:t>[1</w:t>
      </w:r>
      <w:r w:rsidR="00C943CB">
        <w:t>3</w:t>
      </w:r>
      <w:r>
        <w:t xml:space="preserve">] </w:t>
      </w:r>
      <w:r w:rsidR="004F27FF">
        <w:t>Apkopojot</w:t>
      </w:r>
      <w:r w:rsidR="0011307A">
        <w:t xml:space="preserve"> minēto</w:t>
      </w:r>
      <w:r w:rsidR="004F27FF">
        <w:t xml:space="preserve">, Senāts </w:t>
      </w:r>
      <w:r w:rsidR="0011307A">
        <w:t>atzīst</w:t>
      </w:r>
      <w:r w:rsidR="004F27FF">
        <w:t xml:space="preserve">, ka </w:t>
      </w:r>
      <w:r w:rsidR="0011307A">
        <w:t xml:space="preserve">pārsūdzētais spriedums nav tiesisks un ir atceļams. </w:t>
      </w:r>
    </w:p>
    <w:p w14:paraId="0EC65DB0" w14:textId="77777777" w:rsidR="004F27FF" w:rsidRPr="00A6228E" w:rsidRDefault="004F27FF" w:rsidP="00D319D3">
      <w:pPr>
        <w:spacing w:line="276" w:lineRule="auto"/>
        <w:ind w:firstLine="567"/>
        <w:jc w:val="both"/>
      </w:pPr>
    </w:p>
    <w:p w14:paraId="16A2B3C2" w14:textId="77777777" w:rsidR="001F6D70" w:rsidRPr="00A6228E" w:rsidRDefault="001F6D70" w:rsidP="00D319D3">
      <w:pPr>
        <w:pStyle w:val="ATvirsraksts"/>
      </w:pPr>
      <w:r w:rsidRPr="00A6228E">
        <w:t>Rezolutīvā daļa</w:t>
      </w:r>
    </w:p>
    <w:p w14:paraId="7AD6E7B3" w14:textId="77777777" w:rsidR="001F6D70" w:rsidRPr="00A6228E" w:rsidRDefault="001F6D70" w:rsidP="00D319D3">
      <w:pPr>
        <w:spacing w:line="276" w:lineRule="auto"/>
        <w:ind w:firstLine="567"/>
        <w:jc w:val="both"/>
      </w:pPr>
    </w:p>
    <w:p w14:paraId="2183B025" w14:textId="6F40BD9D" w:rsidR="001F6D70" w:rsidRPr="00A6228E" w:rsidRDefault="001F6D70" w:rsidP="00D319D3">
      <w:pPr>
        <w:tabs>
          <w:tab w:val="left" w:pos="6660"/>
        </w:tabs>
        <w:spacing w:line="276" w:lineRule="auto"/>
        <w:ind w:firstLine="567"/>
        <w:jc w:val="both"/>
      </w:pPr>
      <w:r w:rsidRPr="00A6228E">
        <w:t>Pamatojoties uz Administratīvā procesa likuma 129.</w:t>
      </w:r>
      <w:r w:rsidRPr="00A6228E">
        <w:rPr>
          <w:vertAlign w:val="superscript"/>
        </w:rPr>
        <w:t>1</w:t>
      </w:r>
      <w:r w:rsidRPr="00A6228E">
        <w:t>panta pirmās daļas 1.punktu, 348.panta pirmās daļas 2.punktu un 351.pantu, Senāts</w:t>
      </w:r>
    </w:p>
    <w:p w14:paraId="5409477E" w14:textId="77777777" w:rsidR="001F6D70" w:rsidRPr="00A6228E" w:rsidRDefault="001F6D70" w:rsidP="00D319D3">
      <w:pPr>
        <w:keepNext/>
        <w:spacing w:line="276" w:lineRule="auto"/>
        <w:jc w:val="center"/>
        <w:rPr>
          <w:b/>
        </w:rPr>
      </w:pPr>
    </w:p>
    <w:p w14:paraId="030894A1" w14:textId="77777777" w:rsidR="001F6D70" w:rsidRPr="00A6228E" w:rsidRDefault="001F6D70" w:rsidP="00D319D3">
      <w:pPr>
        <w:keepNext/>
        <w:spacing w:line="276" w:lineRule="auto"/>
        <w:jc w:val="center"/>
        <w:rPr>
          <w:b/>
        </w:rPr>
      </w:pPr>
      <w:r w:rsidRPr="00A6228E">
        <w:rPr>
          <w:b/>
        </w:rPr>
        <w:t>nosprieda</w:t>
      </w:r>
    </w:p>
    <w:p w14:paraId="7B3A8E85" w14:textId="77777777" w:rsidR="001F6D70" w:rsidRPr="00A6228E" w:rsidRDefault="001F6D70" w:rsidP="00D319D3">
      <w:pPr>
        <w:keepNext/>
        <w:spacing w:line="276" w:lineRule="auto"/>
        <w:jc w:val="center"/>
        <w:rPr>
          <w:b/>
          <w:highlight w:val="yellow"/>
        </w:rPr>
      </w:pPr>
    </w:p>
    <w:p w14:paraId="107A80B4" w14:textId="222025F3" w:rsidR="001F6D70" w:rsidRPr="00A6228E" w:rsidRDefault="001F6D70" w:rsidP="00D319D3">
      <w:pPr>
        <w:spacing w:line="276" w:lineRule="auto"/>
        <w:ind w:firstLine="567"/>
        <w:jc w:val="both"/>
        <w:rPr>
          <w:color w:val="000000"/>
        </w:rPr>
      </w:pPr>
      <w:r w:rsidRPr="00A6228E">
        <w:rPr>
          <w:color w:val="000000"/>
        </w:rPr>
        <w:t xml:space="preserve">atcelt </w:t>
      </w:r>
      <w:r w:rsidRPr="00A6228E">
        <w:t xml:space="preserve">Administratīvās apgabaltiesas </w:t>
      </w:r>
      <w:r w:rsidR="00260731" w:rsidRPr="00A6228E">
        <w:t>202</w:t>
      </w:r>
      <w:r w:rsidR="00260731">
        <w:t>3</w:t>
      </w:r>
      <w:r w:rsidR="00260731" w:rsidRPr="00A6228E">
        <w:t xml:space="preserve">.gada </w:t>
      </w:r>
      <w:r w:rsidR="00260731">
        <w:t>6</w:t>
      </w:r>
      <w:r w:rsidR="00260731" w:rsidRPr="00A6228E">
        <w:t>.</w:t>
      </w:r>
      <w:r w:rsidR="00260731">
        <w:t>decembra</w:t>
      </w:r>
      <w:r w:rsidR="00260731" w:rsidRPr="00A6228E">
        <w:t xml:space="preserve"> spriedumu</w:t>
      </w:r>
      <w:r w:rsidR="007657F6">
        <w:rPr>
          <w:color w:val="000000"/>
        </w:rPr>
        <w:t xml:space="preserve"> </w:t>
      </w:r>
      <w:r w:rsidR="007657F6" w:rsidRPr="007657F6">
        <w:rPr>
          <w:color w:val="000000"/>
        </w:rPr>
        <w:t>un nodot lietu jaunai izskatīšanai Administratīvaj</w:t>
      </w:r>
      <w:r w:rsidR="00E90BCA">
        <w:rPr>
          <w:color w:val="000000"/>
        </w:rPr>
        <w:t>ā</w:t>
      </w:r>
      <w:r w:rsidR="007657F6" w:rsidRPr="007657F6">
        <w:rPr>
          <w:color w:val="000000"/>
        </w:rPr>
        <w:t xml:space="preserve"> apgabalties</w:t>
      </w:r>
      <w:r w:rsidR="00E90BCA">
        <w:rPr>
          <w:color w:val="000000"/>
        </w:rPr>
        <w:t>ā</w:t>
      </w:r>
      <w:r w:rsidR="007657F6" w:rsidRPr="007657F6">
        <w:rPr>
          <w:color w:val="000000"/>
        </w:rPr>
        <w:t>;</w:t>
      </w:r>
    </w:p>
    <w:p w14:paraId="46A831A9" w14:textId="036CC6FD" w:rsidR="001F6D70" w:rsidRDefault="001F6D70" w:rsidP="00D319D3">
      <w:pPr>
        <w:spacing w:line="276" w:lineRule="auto"/>
        <w:ind w:firstLine="567"/>
        <w:jc w:val="both"/>
      </w:pPr>
      <w:r w:rsidRPr="00A6228E">
        <w:rPr>
          <w:color w:val="000000"/>
        </w:rPr>
        <w:t xml:space="preserve">atmaksāt </w:t>
      </w:r>
      <w:r w:rsidR="00D94787">
        <w:t xml:space="preserve">[pers. A] </w:t>
      </w:r>
      <w:r w:rsidR="000F73FC">
        <w:t xml:space="preserve">par kasācijas sūdzību samaksāto </w:t>
      </w:r>
      <w:r w:rsidRPr="00A6228E">
        <w:t>drošības naudu 70</w:t>
      </w:r>
      <w:r w:rsidR="00E90BCA">
        <w:t> </w:t>
      </w:r>
      <w:r w:rsidRPr="00E90BCA">
        <w:rPr>
          <w:i/>
          <w:iCs/>
        </w:rPr>
        <w:t>euro</w:t>
      </w:r>
      <w:r w:rsidRPr="00A6228E">
        <w:t>.</w:t>
      </w:r>
    </w:p>
    <w:p w14:paraId="3CD1C0E8" w14:textId="77777777" w:rsidR="008E0E85" w:rsidRDefault="008E0E85" w:rsidP="00D319D3">
      <w:pPr>
        <w:spacing w:line="276" w:lineRule="auto"/>
        <w:ind w:firstLine="567"/>
        <w:jc w:val="both"/>
      </w:pPr>
    </w:p>
    <w:p w14:paraId="509198EA" w14:textId="65C75AA5" w:rsidR="001F6D70" w:rsidRPr="00D94787" w:rsidRDefault="008E0E85" w:rsidP="00D319D3">
      <w:pPr>
        <w:spacing w:line="276" w:lineRule="auto"/>
        <w:ind w:firstLine="567"/>
        <w:jc w:val="both"/>
      </w:pPr>
      <w:r>
        <w:t>S</w:t>
      </w:r>
      <w:r w:rsidR="00E90BCA">
        <w:t>priedums nav pārsūdzams.</w:t>
      </w:r>
    </w:p>
    <w:p w14:paraId="39B50EF3" w14:textId="77777777" w:rsidR="00E84B2F" w:rsidRDefault="00E84B2F" w:rsidP="00D319D3">
      <w:pPr>
        <w:spacing w:line="276" w:lineRule="auto"/>
      </w:pPr>
    </w:p>
    <w:sectPr w:rsidR="00E84B2F" w:rsidSect="001F6D70">
      <w:footerReference w:type="default" r:id="rId10"/>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752F" w14:textId="77777777" w:rsidR="0017434F" w:rsidRDefault="0017434F" w:rsidP="00A70984">
      <w:r>
        <w:separator/>
      </w:r>
    </w:p>
  </w:endnote>
  <w:endnote w:type="continuationSeparator" w:id="0">
    <w:p w14:paraId="319CAEA3" w14:textId="77777777" w:rsidR="0017434F" w:rsidRDefault="0017434F" w:rsidP="00A7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D3F6" w14:textId="193E21DD" w:rsidR="001F6D70" w:rsidRPr="00A6228E" w:rsidRDefault="001F6D70" w:rsidP="00545355">
    <w:pPr>
      <w:pStyle w:val="Footer"/>
      <w:tabs>
        <w:tab w:val="clear" w:pos="4153"/>
        <w:tab w:val="clear" w:pos="8306"/>
      </w:tabs>
      <w:jc w:val="center"/>
      <w:rPr>
        <w:sz w:val="20"/>
        <w:szCs w:val="20"/>
      </w:rPr>
    </w:pPr>
    <w:r w:rsidRPr="00A6228E">
      <w:rPr>
        <w:rStyle w:val="PageNumber"/>
        <w:sz w:val="20"/>
        <w:szCs w:val="20"/>
      </w:rPr>
      <w:fldChar w:fldCharType="begin"/>
    </w:r>
    <w:r w:rsidRPr="00A6228E">
      <w:rPr>
        <w:rStyle w:val="PageNumber"/>
        <w:sz w:val="20"/>
        <w:szCs w:val="20"/>
      </w:rPr>
      <w:instrText xml:space="preserve">PAGE  </w:instrText>
    </w:r>
    <w:r w:rsidRPr="00A6228E">
      <w:rPr>
        <w:rStyle w:val="PageNumber"/>
        <w:sz w:val="20"/>
        <w:szCs w:val="20"/>
      </w:rPr>
      <w:fldChar w:fldCharType="separate"/>
    </w:r>
    <w:r w:rsidRPr="00A6228E">
      <w:rPr>
        <w:rStyle w:val="PageNumber"/>
        <w:sz w:val="20"/>
        <w:szCs w:val="20"/>
      </w:rPr>
      <w:t>2</w:t>
    </w:r>
    <w:r w:rsidRPr="00A6228E">
      <w:rPr>
        <w:rStyle w:val="PageNumber"/>
        <w:sz w:val="20"/>
        <w:szCs w:val="20"/>
      </w:rPr>
      <w:fldChar w:fldCharType="end"/>
    </w:r>
    <w:r w:rsidRPr="00A6228E">
      <w:rPr>
        <w:rStyle w:val="PageNumber"/>
        <w:sz w:val="20"/>
        <w:szCs w:val="20"/>
      </w:rPr>
      <w:t xml:space="preserve"> no </w:t>
    </w:r>
    <w:r w:rsidRPr="00A6228E">
      <w:rPr>
        <w:rStyle w:val="PageNumber"/>
        <w:sz w:val="20"/>
        <w:szCs w:val="20"/>
      </w:rPr>
      <w:fldChar w:fldCharType="begin"/>
    </w:r>
    <w:r w:rsidRPr="00A6228E">
      <w:rPr>
        <w:rStyle w:val="PageNumber"/>
        <w:sz w:val="20"/>
        <w:szCs w:val="20"/>
      </w:rPr>
      <w:instrText xml:space="preserve"> SECTIONPAGES   \* MERGEFORMAT </w:instrText>
    </w:r>
    <w:r w:rsidRPr="00A6228E">
      <w:rPr>
        <w:rStyle w:val="PageNumber"/>
        <w:sz w:val="20"/>
        <w:szCs w:val="20"/>
      </w:rPr>
      <w:fldChar w:fldCharType="separate"/>
    </w:r>
    <w:r w:rsidR="0017434F">
      <w:rPr>
        <w:rStyle w:val="PageNumber"/>
        <w:noProof/>
        <w:sz w:val="20"/>
        <w:szCs w:val="20"/>
      </w:rPr>
      <w:t>1</w:t>
    </w:r>
    <w:r w:rsidRPr="00A6228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1C52" w14:textId="77777777" w:rsidR="0017434F" w:rsidRDefault="0017434F" w:rsidP="00A70984">
      <w:r>
        <w:separator/>
      </w:r>
    </w:p>
  </w:footnote>
  <w:footnote w:type="continuationSeparator" w:id="0">
    <w:p w14:paraId="062ED4F2" w14:textId="77777777" w:rsidR="0017434F" w:rsidRDefault="0017434F" w:rsidP="00A70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70"/>
    <w:rsid w:val="00057683"/>
    <w:rsid w:val="00066859"/>
    <w:rsid w:val="000B54E6"/>
    <w:rsid w:val="000F73FC"/>
    <w:rsid w:val="0011307A"/>
    <w:rsid w:val="00115241"/>
    <w:rsid w:val="0012664D"/>
    <w:rsid w:val="00141850"/>
    <w:rsid w:val="00142493"/>
    <w:rsid w:val="001666C3"/>
    <w:rsid w:val="001719C9"/>
    <w:rsid w:val="0017434F"/>
    <w:rsid w:val="001F3AEB"/>
    <w:rsid w:val="001F6D70"/>
    <w:rsid w:val="002079A9"/>
    <w:rsid w:val="0021322C"/>
    <w:rsid w:val="00220F37"/>
    <w:rsid w:val="00260731"/>
    <w:rsid w:val="00291AC7"/>
    <w:rsid w:val="002A32DA"/>
    <w:rsid w:val="002A4AED"/>
    <w:rsid w:val="002B1C87"/>
    <w:rsid w:val="002D3F54"/>
    <w:rsid w:val="00302A13"/>
    <w:rsid w:val="003B1351"/>
    <w:rsid w:val="003B6A03"/>
    <w:rsid w:val="003D1974"/>
    <w:rsid w:val="003D73A6"/>
    <w:rsid w:val="004007EB"/>
    <w:rsid w:val="0042289C"/>
    <w:rsid w:val="004268E5"/>
    <w:rsid w:val="00437ADE"/>
    <w:rsid w:val="00475F09"/>
    <w:rsid w:val="00480042"/>
    <w:rsid w:val="00486481"/>
    <w:rsid w:val="004E737E"/>
    <w:rsid w:val="004F27FF"/>
    <w:rsid w:val="004F4B05"/>
    <w:rsid w:val="00532DD8"/>
    <w:rsid w:val="00561301"/>
    <w:rsid w:val="005614BC"/>
    <w:rsid w:val="00566C04"/>
    <w:rsid w:val="00573C34"/>
    <w:rsid w:val="005847A6"/>
    <w:rsid w:val="005B5976"/>
    <w:rsid w:val="005C011F"/>
    <w:rsid w:val="005C4188"/>
    <w:rsid w:val="005D2A1A"/>
    <w:rsid w:val="005E3618"/>
    <w:rsid w:val="005F6155"/>
    <w:rsid w:val="00621CF2"/>
    <w:rsid w:val="006239A9"/>
    <w:rsid w:val="00625BB3"/>
    <w:rsid w:val="006506D8"/>
    <w:rsid w:val="00666E13"/>
    <w:rsid w:val="00683063"/>
    <w:rsid w:val="006919C8"/>
    <w:rsid w:val="006A0EE0"/>
    <w:rsid w:val="006A57A2"/>
    <w:rsid w:val="006A6B4F"/>
    <w:rsid w:val="006D10BD"/>
    <w:rsid w:val="007014D3"/>
    <w:rsid w:val="00742068"/>
    <w:rsid w:val="0075516F"/>
    <w:rsid w:val="00755F81"/>
    <w:rsid w:val="00761B08"/>
    <w:rsid w:val="007657F6"/>
    <w:rsid w:val="00782E4A"/>
    <w:rsid w:val="00791553"/>
    <w:rsid w:val="00795AA9"/>
    <w:rsid w:val="007A688B"/>
    <w:rsid w:val="007E5C40"/>
    <w:rsid w:val="00803517"/>
    <w:rsid w:val="00812F2E"/>
    <w:rsid w:val="00823289"/>
    <w:rsid w:val="008311B4"/>
    <w:rsid w:val="008363E5"/>
    <w:rsid w:val="00837596"/>
    <w:rsid w:val="00892098"/>
    <w:rsid w:val="00896806"/>
    <w:rsid w:val="008B2FD4"/>
    <w:rsid w:val="008D41B8"/>
    <w:rsid w:val="008E0E85"/>
    <w:rsid w:val="00953929"/>
    <w:rsid w:val="00983D6C"/>
    <w:rsid w:val="00986243"/>
    <w:rsid w:val="00996C9A"/>
    <w:rsid w:val="009B02E8"/>
    <w:rsid w:val="009E59C1"/>
    <w:rsid w:val="009F597E"/>
    <w:rsid w:val="00A209A4"/>
    <w:rsid w:val="00A70984"/>
    <w:rsid w:val="00AF6475"/>
    <w:rsid w:val="00B00F57"/>
    <w:rsid w:val="00B20A35"/>
    <w:rsid w:val="00B51BA3"/>
    <w:rsid w:val="00B917AA"/>
    <w:rsid w:val="00B93BFC"/>
    <w:rsid w:val="00BA0211"/>
    <w:rsid w:val="00BC0EAB"/>
    <w:rsid w:val="00BC4D9D"/>
    <w:rsid w:val="00BD38DB"/>
    <w:rsid w:val="00BE1EDE"/>
    <w:rsid w:val="00BF3C47"/>
    <w:rsid w:val="00C2245C"/>
    <w:rsid w:val="00C40C75"/>
    <w:rsid w:val="00C422E8"/>
    <w:rsid w:val="00C4532E"/>
    <w:rsid w:val="00C65316"/>
    <w:rsid w:val="00C849BF"/>
    <w:rsid w:val="00C943CB"/>
    <w:rsid w:val="00CB55B8"/>
    <w:rsid w:val="00CD5E17"/>
    <w:rsid w:val="00D27068"/>
    <w:rsid w:val="00D319D3"/>
    <w:rsid w:val="00D365F6"/>
    <w:rsid w:val="00D4062E"/>
    <w:rsid w:val="00D73B9A"/>
    <w:rsid w:val="00D94787"/>
    <w:rsid w:val="00DB24E9"/>
    <w:rsid w:val="00DB4FB7"/>
    <w:rsid w:val="00DC71C6"/>
    <w:rsid w:val="00E33D36"/>
    <w:rsid w:val="00E84B2F"/>
    <w:rsid w:val="00E90BCA"/>
    <w:rsid w:val="00EA3D64"/>
    <w:rsid w:val="00ED4496"/>
    <w:rsid w:val="00F618F7"/>
    <w:rsid w:val="00FB2BB7"/>
    <w:rsid w:val="00FE10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70"/>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1F6D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F6D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F6D7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F6D7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F6D7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F6D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F6D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F6D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F6D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F6D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F6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70"/>
    <w:rPr>
      <w:rFonts w:eastAsiaTheme="majorEastAsia" w:cstheme="majorBidi"/>
      <w:color w:val="272727" w:themeColor="text1" w:themeTint="D8"/>
    </w:rPr>
  </w:style>
  <w:style w:type="paragraph" w:styleId="Title">
    <w:name w:val="Title"/>
    <w:basedOn w:val="Normal"/>
    <w:next w:val="Normal"/>
    <w:link w:val="TitleChar"/>
    <w:uiPriority w:val="10"/>
    <w:qFormat/>
    <w:rsid w:val="001F6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6D70"/>
    <w:rPr>
      <w:i/>
      <w:iCs/>
      <w:color w:val="404040" w:themeColor="text1" w:themeTint="BF"/>
    </w:rPr>
  </w:style>
  <w:style w:type="paragraph" w:styleId="ListParagraph">
    <w:name w:val="List Paragraph"/>
    <w:basedOn w:val="Normal"/>
    <w:uiPriority w:val="34"/>
    <w:qFormat/>
    <w:rsid w:val="001F6D70"/>
    <w:pPr>
      <w:ind w:left="720"/>
      <w:contextualSpacing/>
    </w:pPr>
  </w:style>
  <w:style w:type="character" w:styleId="IntenseEmphasis">
    <w:name w:val="Intense Emphasis"/>
    <w:basedOn w:val="DefaultParagraphFont"/>
    <w:uiPriority w:val="21"/>
    <w:qFormat/>
    <w:rsid w:val="001F6D70"/>
    <w:rPr>
      <w:i/>
      <w:iCs/>
      <w:color w:val="365F91" w:themeColor="accent1" w:themeShade="BF"/>
    </w:rPr>
  </w:style>
  <w:style w:type="paragraph" w:styleId="IntenseQuote">
    <w:name w:val="Intense Quote"/>
    <w:basedOn w:val="Normal"/>
    <w:next w:val="Normal"/>
    <w:link w:val="IntenseQuoteChar"/>
    <w:uiPriority w:val="30"/>
    <w:qFormat/>
    <w:rsid w:val="001F6D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F6D70"/>
    <w:rPr>
      <w:i/>
      <w:iCs/>
      <w:color w:val="365F91" w:themeColor="accent1" w:themeShade="BF"/>
    </w:rPr>
  </w:style>
  <w:style w:type="character" w:styleId="IntenseReference">
    <w:name w:val="Intense Reference"/>
    <w:basedOn w:val="DefaultParagraphFont"/>
    <w:uiPriority w:val="32"/>
    <w:qFormat/>
    <w:rsid w:val="001F6D70"/>
    <w:rPr>
      <w:b/>
      <w:bCs/>
      <w:smallCaps/>
      <w:color w:val="365F91" w:themeColor="accent1" w:themeShade="BF"/>
      <w:spacing w:val="5"/>
    </w:rPr>
  </w:style>
  <w:style w:type="paragraph" w:styleId="BodyText2">
    <w:name w:val="Body Text 2"/>
    <w:basedOn w:val="Normal"/>
    <w:link w:val="BodyText2Char"/>
    <w:rsid w:val="001F6D70"/>
    <w:pPr>
      <w:spacing w:after="120" w:line="480" w:lineRule="auto"/>
    </w:pPr>
    <w:rPr>
      <w:lang w:val="x-none"/>
    </w:rPr>
  </w:style>
  <w:style w:type="character" w:customStyle="1" w:styleId="BodyText2Char">
    <w:name w:val="Body Text 2 Char"/>
    <w:basedOn w:val="DefaultParagraphFont"/>
    <w:link w:val="BodyText2"/>
    <w:rsid w:val="001F6D70"/>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1F6D70"/>
    <w:pPr>
      <w:tabs>
        <w:tab w:val="center" w:pos="4153"/>
        <w:tab w:val="right" w:pos="8306"/>
      </w:tabs>
    </w:pPr>
  </w:style>
  <w:style w:type="character" w:customStyle="1" w:styleId="FooterChar">
    <w:name w:val="Footer Char"/>
    <w:basedOn w:val="DefaultParagraphFont"/>
    <w:link w:val="Footer"/>
    <w:rsid w:val="001F6D70"/>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1F6D70"/>
  </w:style>
  <w:style w:type="paragraph" w:customStyle="1" w:styleId="ATpamattesksts">
    <w:name w:val="AT pamattesksts"/>
    <w:basedOn w:val="BodyText2"/>
    <w:link w:val="ATpamatteskstsChar"/>
    <w:qFormat/>
    <w:rsid w:val="001F6D70"/>
    <w:pPr>
      <w:spacing w:after="0" w:line="276" w:lineRule="auto"/>
      <w:ind w:firstLine="567"/>
      <w:jc w:val="both"/>
    </w:pPr>
  </w:style>
  <w:style w:type="character" w:customStyle="1" w:styleId="ATpamatteskstsChar">
    <w:name w:val="AT pamattesksts Char"/>
    <w:basedOn w:val="BodyText2Char"/>
    <w:link w:val="ATpamattesksts"/>
    <w:rsid w:val="001F6D70"/>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1F6D70"/>
    <w:pPr>
      <w:spacing w:line="276" w:lineRule="auto"/>
      <w:jc w:val="center"/>
      <w:outlineLvl w:val="0"/>
    </w:pPr>
    <w:rPr>
      <w:b/>
    </w:rPr>
  </w:style>
  <w:style w:type="character" w:customStyle="1" w:styleId="ATvirsrakstsChar">
    <w:name w:val="AT virsraksts Char"/>
    <w:basedOn w:val="DefaultParagraphFont"/>
    <w:link w:val="ATvirsraksts"/>
    <w:rsid w:val="001F6D70"/>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1F6D70"/>
    <w:rPr>
      <w:color w:val="0000FF" w:themeColor="hyperlink"/>
      <w:u w:val="single"/>
    </w:rPr>
  </w:style>
  <w:style w:type="paragraph" w:styleId="FootnoteText">
    <w:name w:val="footnote text"/>
    <w:basedOn w:val="Normal"/>
    <w:link w:val="FootnoteTextChar"/>
    <w:semiHidden/>
    <w:unhideWhenUsed/>
    <w:rsid w:val="00A70984"/>
    <w:rPr>
      <w:sz w:val="20"/>
      <w:szCs w:val="20"/>
      <w:lang w:val="en-GB" w:eastAsia="lv-LV"/>
    </w:rPr>
  </w:style>
  <w:style w:type="character" w:customStyle="1" w:styleId="FootnoteTextChar">
    <w:name w:val="Footnote Text Char"/>
    <w:basedOn w:val="DefaultParagraphFont"/>
    <w:link w:val="FootnoteText"/>
    <w:semiHidden/>
    <w:rsid w:val="00A70984"/>
    <w:rPr>
      <w:rFonts w:ascii="Times New Roman" w:eastAsia="Times New Roman" w:hAnsi="Times New Roman" w:cs="Times New Roman"/>
      <w:kern w:val="0"/>
      <w:sz w:val="20"/>
      <w:szCs w:val="20"/>
      <w:lang w:val="en-GB" w:eastAsia="lv-LV"/>
      <w14:ligatures w14:val="none"/>
    </w:rPr>
  </w:style>
  <w:style w:type="character" w:styleId="FootnoteReference">
    <w:name w:val="footnote reference"/>
    <w:basedOn w:val="DefaultParagraphFont"/>
    <w:uiPriority w:val="99"/>
    <w:semiHidden/>
    <w:unhideWhenUsed/>
    <w:rsid w:val="00A70984"/>
    <w:rPr>
      <w:vertAlign w:val="superscript"/>
    </w:rPr>
  </w:style>
  <w:style w:type="character" w:styleId="UnresolvedMention">
    <w:name w:val="Unresolved Mention"/>
    <w:basedOn w:val="DefaultParagraphFont"/>
    <w:uiPriority w:val="99"/>
    <w:semiHidden/>
    <w:unhideWhenUsed/>
    <w:rsid w:val="00DB4FB7"/>
    <w:rPr>
      <w:color w:val="605E5C"/>
      <w:shd w:val="clear" w:color="auto" w:fill="E1DFDD"/>
    </w:rPr>
  </w:style>
  <w:style w:type="paragraph" w:customStyle="1" w:styleId="tv213">
    <w:name w:val="tv213"/>
    <w:basedOn w:val="Normal"/>
    <w:rsid w:val="00CD5E17"/>
    <w:pPr>
      <w:spacing w:before="100" w:beforeAutospacing="1" w:after="100" w:afterAutospacing="1"/>
    </w:pPr>
    <w:rPr>
      <w:lang w:eastAsia="lv-LV"/>
    </w:rPr>
  </w:style>
  <w:style w:type="paragraph" w:styleId="Revision">
    <w:name w:val="Revision"/>
    <w:hidden/>
    <w:uiPriority w:val="99"/>
    <w:semiHidden/>
    <w:rsid w:val="0011307A"/>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Default">
    <w:name w:val="Default"/>
    <w:rsid w:val="00D9478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buvniecibas-likums" TargetMode="External"/><Relationship Id="rId3" Type="http://schemas.openxmlformats.org/officeDocument/2006/relationships/webSettings" Target="webSettings.xml"/><Relationship Id="rId7" Type="http://schemas.openxmlformats.org/officeDocument/2006/relationships/hyperlink" Target="https://likumi.lv/ta/id/258572-buvniecibas-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a2ae5063-3e09-4f04-aecf-e7d24024724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19:0605.A420426913.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9312</Words>
  <Characters>5309</Characters>
  <Application>Microsoft Office Word</Application>
  <DocSecurity>0</DocSecurity>
  <Lines>44</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2026-03-04T14:56:00Z</dcterms:created>
  <dcterms:modified xsi:type="dcterms:W3CDTF">2026-03-04T14:57:00Z</dcterms:modified>
</cp:coreProperties>
</file>