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0E28" w14:textId="77777777" w:rsidR="00BE2E15" w:rsidRDefault="00BE2E15" w:rsidP="007D4C48">
      <w:pPr>
        <w:spacing w:line="276" w:lineRule="auto"/>
        <w:jc w:val="both"/>
        <w:rPr>
          <w:b/>
          <w:bCs/>
          <w:lang w:eastAsia="lv-LV"/>
          <w14:ligatures w14:val="standardContextual"/>
        </w:rPr>
      </w:pPr>
      <w:r>
        <w:rPr>
          <w:b/>
          <w:bCs/>
          <w14:ligatures w14:val="standardContextual"/>
        </w:rPr>
        <w:t xml:space="preserve">Nemantiskā kaitējuma noteikšanas un novērtēšanas kritēriji </w:t>
      </w:r>
    </w:p>
    <w:p w14:paraId="2272F292" w14:textId="77777777" w:rsidR="00BE2E15" w:rsidRDefault="00BE2E15" w:rsidP="007D4C48">
      <w:pPr>
        <w:spacing w:line="276" w:lineRule="auto"/>
        <w:jc w:val="both"/>
        <w:rPr>
          <w:b/>
          <w:bCs/>
          <w:color w:val="EE0000"/>
          <w14:ligatures w14:val="standardContextual"/>
        </w:rPr>
      </w:pPr>
    </w:p>
    <w:p w14:paraId="2ED07CF1" w14:textId="77777777" w:rsidR="00BE2E15" w:rsidRDefault="00BE2E15" w:rsidP="007D4C48">
      <w:pPr>
        <w:spacing w:line="276" w:lineRule="auto"/>
        <w:jc w:val="both"/>
        <w:rPr>
          <w:b/>
          <w:bCs/>
          <w:color w:val="EE0000"/>
          <w14:ligatures w14:val="standardContextual"/>
        </w:rPr>
      </w:pPr>
      <w:r>
        <w:rPr>
          <w:b/>
          <w:bCs/>
          <w14:ligatures w14:val="standardContextual"/>
        </w:rPr>
        <w:t xml:space="preserve">Jautājums par pierādījumu pietiekamību, arī ekspertīzes nepieciešamību lietā, ir tās tiesas kompetencē, kas lietu izskata pēc būtības </w:t>
      </w:r>
    </w:p>
    <w:p w14:paraId="0F560258" w14:textId="77777777" w:rsidR="00BE2E15" w:rsidRDefault="00BE2E15" w:rsidP="007D4C48">
      <w:pPr>
        <w:spacing w:line="276" w:lineRule="auto"/>
        <w:jc w:val="both"/>
        <w:rPr>
          <w:b/>
          <w:bCs/>
          <w:color w:val="EE0000"/>
          <w14:ligatures w14:val="standardContextual"/>
        </w:rPr>
      </w:pPr>
    </w:p>
    <w:p w14:paraId="71A4A6CF" w14:textId="77777777" w:rsidR="00BE2E15" w:rsidRDefault="00BE2E15" w:rsidP="007D4C48">
      <w:pPr>
        <w:spacing w:line="276" w:lineRule="auto"/>
        <w:jc w:val="both"/>
        <w:rPr>
          <w:b/>
          <w:bCs/>
          <w14:ligatures w14:val="standardContextual"/>
        </w:rPr>
      </w:pPr>
      <w:r>
        <w:rPr>
          <w:b/>
          <w:bCs/>
          <w14:ligatures w14:val="standardContextual"/>
        </w:rPr>
        <w:t xml:space="preserve">Iestādes un tiesas obligāts pienākums, nosakot atlīdzinājuma apmēru, vērtēt cietušās personas līdzatbildību </w:t>
      </w:r>
    </w:p>
    <w:p w14:paraId="54A03FEB" w14:textId="77777777" w:rsidR="00BE2E15" w:rsidRDefault="00BE2E15" w:rsidP="007D4C48">
      <w:pPr>
        <w:spacing w:line="276" w:lineRule="auto"/>
        <w:jc w:val="both"/>
        <w:rPr>
          <w:b/>
          <w:bCs/>
          <w:color w:val="0070C0"/>
          <w14:ligatures w14:val="standardContextual"/>
        </w:rPr>
      </w:pPr>
    </w:p>
    <w:p w14:paraId="22C109CB" w14:textId="77777777" w:rsidR="00BE2E15" w:rsidRDefault="00BE2E15" w:rsidP="007D4C48">
      <w:pPr>
        <w:spacing w:line="276" w:lineRule="auto"/>
        <w:jc w:val="both"/>
        <w:rPr>
          <w:b/>
          <w:bCs/>
          <w:color w:val="0070C0"/>
          <w14:ligatures w14:val="standardContextual"/>
        </w:rPr>
      </w:pPr>
      <w:r>
        <w:rPr>
          <w:b/>
          <w:bCs/>
          <w14:ligatures w14:val="standardContextual"/>
        </w:rPr>
        <w:t>Atlīdzinājuma par nemantisko kaitējumu veids un apmērs</w:t>
      </w:r>
    </w:p>
    <w:p w14:paraId="62A1680B" w14:textId="77777777" w:rsidR="00BE2E15" w:rsidRDefault="00BE2E15" w:rsidP="007D4C48">
      <w:pPr>
        <w:spacing w:line="276" w:lineRule="auto"/>
        <w:jc w:val="both"/>
        <w:rPr>
          <w14:ligatures w14:val="standardContextual"/>
        </w:rPr>
      </w:pPr>
      <w:r>
        <w:rPr>
          <w14:ligatures w14:val="standardContextual"/>
        </w:rPr>
        <w:t>Atlīdzinājums personai tiek noteikts par tiesību un ar likumu aizsargāto interešu aizskārumu, savukārt atlīdzinājuma veids un apmērs ir atkarīgs no iestādes prettiesiskās rīcības radītajām objektīvi konstatējamām neērtībām vai reālām sekām un seku rakstura (novēršamas vai nenovēršamas), proti, nemantiskā kaitējuma smagumam ir nozīme, lemjot par atlīdzinājuma apmēru. Atlīdzinājums – atvainošanās un atlīdzinājums naudā – piemērojams tad, ja stāvokļa, kāds pastāvēja pirms kaitējuma nodarīšanas, atjaunošana nav iespējama vai, ievērojot aizskarto tiesību būtiskumu, nav uzskatāma par efektīvu tiesību aizsardzības līdzekli.</w:t>
      </w:r>
    </w:p>
    <w:p w14:paraId="652149C8" w14:textId="77777777" w:rsidR="00BE2E15" w:rsidRDefault="00BE2E15" w:rsidP="007D4C48">
      <w:pPr>
        <w:spacing w:line="276" w:lineRule="auto"/>
        <w:jc w:val="both"/>
        <w:rPr>
          <w14:ligatures w14:val="standardContextual"/>
        </w:rPr>
      </w:pPr>
      <w:r>
        <w:rPr>
          <w14:ligatures w14:val="standardContextual"/>
        </w:rPr>
        <w:t xml:space="preserve">Secinājums, ka nemantiskais kaitējums nav smags, pats par sevi neizslēdz iespēju noteikt atlīdzinājumu naudā. </w:t>
      </w:r>
    </w:p>
    <w:p w14:paraId="57E3F503" w14:textId="5A5873D8" w:rsidR="00BE2E15" w:rsidRPr="00BE2E15" w:rsidRDefault="00BE2E15" w:rsidP="007D4C48">
      <w:pPr>
        <w:spacing w:line="276" w:lineRule="auto"/>
        <w:jc w:val="both"/>
        <w:rPr>
          <w14:ligatures w14:val="standardContextual"/>
        </w:rPr>
      </w:pPr>
      <w:r>
        <w:rPr>
          <w14:ligatures w14:val="standardContextual"/>
        </w:rPr>
        <w:t>Noraidot prasījumu par atlīdzinājuma noteikšanu naudā, tiesai jāpamato, kāpēc konkrētajā gadījumā atbilstīgs atlīdzinājums ir cita veida atlīdzinājums.</w:t>
      </w:r>
    </w:p>
    <w:p w14:paraId="5F684088" w14:textId="22ED21D8" w:rsidR="00D51EE9" w:rsidRPr="002A03F7" w:rsidRDefault="00D51EE9" w:rsidP="007D4C48">
      <w:pPr>
        <w:spacing w:before="240" w:line="276" w:lineRule="auto"/>
        <w:jc w:val="center"/>
        <w:rPr>
          <w:b/>
        </w:rPr>
      </w:pPr>
      <w:r w:rsidRPr="002A03F7">
        <w:rPr>
          <w:b/>
        </w:rPr>
        <w:t>Latvijas Republikas Senāt</w:t>
      </w:r>
      <w:r w:rsidR="00BE2E15">
        <w:rPr>
          <w:b/>
        </w:rPr>
        <w:t>a</w:t>
      </w:r>
      <w:r w:rsidR="00BE2E15">
        <w:rPr>
          <w:b/>
        </w:rPr>
        <w:br/>
        <w:t>Administratīvo lietu departamenta</w:t>
      </w:r>
      <w:r w:rsidR="00BE2E15">
        <w:rPr>
          <w:b/>
        </w:rPr>
        <w:br/>
        <w:t xml:space="preserve">2025.gada 11.novembra </w:t>
      </w:r>
    </w:p>
    <w:p w14:paraId="2034D93B" w14:textId="2788FCC3" w:rsidR="00C55B45" w:rsidRDefault="005D59B5" w:rsidP="007D4C48">
      <w:pPr>
        <w:spacing w:line="276" w:lineRule="auto"/>
        <w:jc w:val="center"/>
        <w:rPr>
          <w:b/>
        </w:rPr>
      </w:pPr>
      <w:r>
        <w:rPr>
          <w:b/>
        </w:rPr>
        <w:t>SPRIEDUMS</w:t>
      </w:r>
    </w:p>
    <w:p w14:paraId="00D6CD2A" w14:textId="41C3874B" w:rsidR="00BE2E15" w:rsidRPr="00BE2E15" w:rsidRDefault="00BE2E15" w:rsidP="007D4C48">
      <w:pPr>
        <w:spacing w:line="276" w:lineRule="auto"/>
        <w:jc w:val="center"/>
        <w:rPr>
          <w:b/>
          <w:bCs/>
        </w:rPr>
      </w:pPr>
      <w:r w:rsidRPr="00BE2E15">
        <w:rPr>
          <w:b/>
          <w:bCs/>
        </w:rPr>
        <w:t>Lieta Nr. A420191622, SKA-94/2025</w:t>
      </w:r>
    </w:p>
    <w:p w14:paraId="55A64DC5" w14:textId="079EABBF" w:rsidR="00BE2E15" w:rsidRPr="00894CA2" w:rsidRDefault="00BE2E15" w:rsidP="007D4C48">
      <w:pPr>
        <w:spacing w:line="276" w:lineRule="auto"/>
        <w:jc w:val="center"/>
        <w:rPr>
          <w:b/>
        </w:rPr>
      </w:pPr>
      <w:r>
        <w:t xml:space="preserve"> </w:t>
      </w:r>
      <w:hyperlink r:id="rId8" w:history="1">
        <w:r w:rsidRPr="007D4C48">
          <w:rPr>
            <w:rStyle w:val="Hyperlink"/>
            <w:sz w:val="23"/>
            <w:szCs w:val="23"/>
          </w:rPr>
          <w:t>ECLI:LV:AT:2025:1111.A420191622.9.S</w:t>
        </w:r>
      </w:hyperlink>
    </w:p>
    <w:p w14:paraId="5C73D9CF" w14:textId="77777777" w:rsidR="00C55B45" w:rsidRPr="00894CA2" w:rsidRDefault="00C55B45" w:rsidP="007D4C48">
      <w:pPr>
        <w:spacing w:line="276" w:lineRule="auto"/>
        <w:jc w:val="center"/>
      </w:pPr>
    </w:p>
    <w:p w14:paraId="4F724EE3" w14:textId="77777777" w:rsidR="00A643DC" w:rsidRPr="00A643DC" w:rsidRDefault="00A643DC" w:rsidP="007D4C48">
      <w:pPr>
        <w:spacing w:line="276" w:lineRule="auto"/>
        <w:ind w:firstLine="720"/>
        <w:jc w:val="both"/>
      </w:pPr>
      <w:r w:rsidRPr="00A643DC">
        <w:t>Senāts šādā sastāvā: senatore referente Līvija Slica, senatori Jānis Pleps un Ieva Višķere</w:t>
      </w:r>
    </w:p>
    <w:p w14:paraId="488BB6D4" w14:textId="77777777" w:rsidR="00C15C69" w:rsidRDefault="00C15C69" w:rsidP="007D4C48">
      <w:pPr>
        <w:spacing w:line="276" w:lineRule="auto"/>
        <w:ind w:firstLine="720"/>
        <w:jc w:val="both"/>
      </w:pPr>
    </w:p>
    <w:p w14:paraId="31EB53EE" w14:textId="5160DACB" w:rsidR="00C55B45" w:rsidRPr="00894CA2" w:rsidRDefault="00C55B45" w:rsidP="007D4C48">
      <w:pPr>
        <w:spacing w:line="276" w:lineRule="auto"/>
        <w:ind w:firstLine="720"/>
        <w:jc w:val="both"/>
      </w:pPr>
      <w:r w:rsidRPr="00894CA2">
        <w:t xml:space="preserve">rakstveida procesā izskatīja administratīvo lietu, kas ierosināta, </w:t>
      </w:r>
      <w:r w:rsidR="005F0241" w:rsidRPr="005F0241">
        <w:t xml:space="preserve">pamatojoties uz </w:t>
      </w:r>
      <w:r w:rsidR="007D4C48">
        <w:t xml:space="preserve">[pers. A] </w:t>
      </w:r>
      <w:r w:rsidR="0040718B" w:rsidRPr="0040718B">
        <w:t>pieteikumu par Rīgas Centrālcietuma administrācijas rīcības, nenodrošinot mugurkaula spondilozes ārstēšanu (fizioterapiju atbilstoši plānam, neirologa un neiroķirurga medicīnisko palīdzību), atzīšanu par prettiesisku un pienākuma uzlikšanu Ieslodzījuma vietu pārvaldei atlīdzināt nemantisko kaitējumu, rakstveidā atvainojoties un izmaksājot 10</w:t>
      </w:r>
      <w:r w:rsidR="0040718B">
        <w:t> </w:t>
      </w:r>
      <w:r w:rsidR="0040718B" w:rsidRPr="0040718B">
        <w:t>000</w:t>
      </w:r>
      <w:r w:rsidR="0040718B">
        <w:t> </w:t>
      </w:r>
      <w:r w:rsidR="0040718B" w:rsidRPr="0040718B">
        <w:rPr>
          <w:i/>
          <w:iCs/>
        </w:rPr>
        <w:t>euro</w:t>
      </w:r>
      <w:r w:rsidR="005F0241" w:rsidRPr="005F0241">
        <w:t xml:space="preserve">, sakarā ar </w:t>
      </w:r>
      <w:r w:rsidR="007D4C48">
        <w:t xml:space="preserve">[pers. A] </w:t>
      </w:r>
      <w:r w:rsidR="00AA67C7" w:rsidRPr="00B11508">
        <w:t>kasācijas</w:t>
      </w:r>
      <w:r w:rsidR="00AA67C7" w:rsidRPr="0061219A">
        <w:t xml:space="preserve"> sūdzīb</w:t>
      </w:r>
      <w:r w:rsidR="003D4917">
        <w:t>u</w:t>
      </w:r>
      <w:r w:rsidR="00AA67C7" w:rsidRPr="0061219A">
        <w:t xml:space="preserve"> par Administratīvās apgabaltiesas 202</w:t>
      </w:r>
      <w:r w:rsidR="005F0241">
        <w:t>3</w:t>
      </w:r>
      <w:r w:rsidR="00AA67C7" w:rsidRPr="0061219A">
        <w:t xml:space="preserve">.gada </w:t>
      </w:r>
      <w:r w:rsidR="0040718B">
        <w:t>21</w:t>
      </w:r>
      <w:r w:rsidR="00322F0F">
        <w:t>.</w:t>
      </w:r>
      <w:r w:rsidR="0040718B">
        <w:t>jūnija</w:t>
      </w:r>
      <w:r w:rsidR="00AA67C7" w:rsidRPr="0061219A">
        <w:t xml:space="preserve"> </w:t>
      </w:r>
      <w:r w:rsidRPr="00894CA2">
        <w:t>spriedumu.</w:t>
      </w:r>
    </w:p>
    <w:p w14:paraId="2BFFA695" w14:textId="77777777" w:rsidR="00C55B45" w:rsidRPr="00894CA2" w:rsidRDefault="00C55B45" w:rsidP="007D4C48">
      <w:pPr>
        <w:spacing w:line="276" w:lineRule="auto"/>
        <w:ind w:firstLine="720"/>
        <w:jc w:val="both"/>
      </w:pPr>
    </w:p>
    <w:p w14:paraId="09A662CC" w14:textId="77777777" w:rsidR="00C55B45" w:rsidRPr="00894CA2" w:rsidRDefault="00C55B45" w:rsidP="007D4C48">
      <w:pPr>
        <w:spacing w:line="276" w:lineRule="auto"/>
        <w:jc w:val="center"/>
        <w:rPr>
          <w:b/>
        </w:rPr>
      </w:pPr>
      <w:r w:rsidRPr="00894CA2">
        <w:rPr>
          <w:b/>
        </w:rPr>
        <w:t>Aprakstošā daļa</w:t>
      </w:r>
    </w:p>
    <w:p w14:paraId="4F28D638" w14:textId="77777777" w:rsidR="00C55B45" w:rsidRPr="00894CA2" w:rsidRDefault="00C55B45" w:rsidP="007D4C48">
      <w:pPr>
        <w:spacing w:line="276" w:lineRule="auto"/>
        <w:ind w:firstLine="720"/>
        <w:jc w:val="both"/>
      </w:pPr>
    </w:p>
    <w:p w14:paraId="5B650902" w14:textId="291349BD" w:rsidR="003777EB" w:rsidRDefault="00C55B45" w:rsidP="007D4C48">
      <w:pPr>
        <w:spacing w:line="276" w:lineRule="auto"/>
        <w:ind w:firstLine="720"/>
        <w:jc w:val="both"/>
      </w:pPr>
      <w:r w:rsidRPr="00894CA2">
        <w:t>[1]</w:t>
      </w:r>
      <w:r w:rsidR="00A774EA">
        <w:t> </w:t>
      </w:r>
      <w:r w:rsidR="0040718B" w:rsidRPr="0040718B">
        <w:t xml:space="preserve">Pieteicējs </w:t>
      </w:r>
      <w:r w:rsidR="007D4C48">
        <w:t xml:space="preserve">[pers. A] </w:t>
      </w:r>
      <w:r w:rsidR="0040718B" w:rsidRPr="0040718B">
        <w:t xml:space="preserve">ar 2022.gada 11.februāra iesniegumu vērsās Ieslodzījuma vietu pārvaldē (turpmāk – pārvalde), lūdzot atzīt par prettiesisku Rīgas Centrālcietuma </w:t>
      </w:r>
      <w:r w:rsidR="0040718B" w:rsidRPr="0040718B">
        <w:lastRenderedPageBreak/>
        <w:t>(turpmāk – cietums) priekšnieka bezdarbību, ilgstoši</w:t>
      </w:r>
      <w:r w:rsidR="00EB33F0">
        <w:t xml:space="preserve"> – </w:t>
      </w:r>
      <w:r w:rsidR="00EB33F0" w:rsidRPr="009945A8">
        <w:t>kopš 2021.gada 22.februāra –</w:t>
      </w:r>
      <w:r w:rsidR="0040718B" w:rsidRPr="009945A8">
        <w:t xml:space="preserve"> nenodrošinot pieteicējam mugurkaula spondilozes ārstēšanu – fizioterapiju atbilstoši plānam, neirologa un neiroķirurga medicīnisko palīdzību –, kā arī atlīdzināt nemantisko kaitējumu, rakstveidā atvainojotie</w:t>
      </w:r>
      <w:r w:rsidR="0040718B" w:rsidRPr="0040718B">
        <w:t>s un izmaksājot 10</w:t>
      </w:r>
      <w:r w:rsidR="0040718B">
        <w:t> </w:t>
      </w:r>
      <w:r w:rsidR="0040718B" w:rsidRPr="0040718B">
        <w:t>000</w:t>
      </w:r>
      <w:r w:rsidR="0040718B">
        <w:t> </w:t>
      </w:r>
      <w:r w:rsidR="0040718B" w:rsidRPr="0040718B">
        <w:rPr>
          <w:i/>
          <w:iCs/>
        </w:rPr>
        <w:t>euro</w:t>
      </w:r>
      <w:r w:rsidR="0040718B" w:rsidRPr="0040718B">
        <w:t>.</w:t>
      </w:r>
    </w:p>
    <w:p w14:paraId="5A1E1794" w14:textId="3AC02A72" w:rsidR="0040718B" w:rsidRDefault="0040718B" w:rsidP="007D4C48">
      <w:pPr>
        <w:spacing w:line="276" w:lineRule="auto"/>
        <w:ind w:firstLine="720"/>
        <w:jc w:val="both"/>
      </w:pPr>
      <w:r w:rsidRPr="0040718B">
        <w:t>Pārvalde 2022.gada 11.aprīlī pieņēma lēmumu Nr.</w:t>
      </w:r>
      <w:r>
        <w:t> </w:t>
      </w:r>
      <w:r w:rsidRPr="0040718B">
        <w:t xml:space="preserve">N-1-2022-05607 „Par Rīgas Centrālcietuma priekšnieka iespējamu prettiesisku rīcību un nemantiskā kaitējuma atlīdzināšanu” (turpmāk – </w:t>
      </w:r>
      <w:r>
        <w:t>pārsūdzētais l</w:t>
      </w:r>
      <w:r w:rsidRPr="0040718B">
        <w:t>ēmums), ar kuru pieteicēja prasījumus noraidīja</w:t>
      </w:r>
      <w:r>
        <w:t>.</w:t>
      </w:r>
    </w:p>
    <w:p w14:paraId="2C8F21F1" w14:textId="77777777" w:rsidR="00E46C1C" w:rsidRDefault="00E46C1C" w:rsidP="007D4C48">
      <w:pPr>
        <w:spacing w:line="276" w:lineRule="auto"/>
        <w:ind w:firstLine="720"/>
        <w:jc w:val="both"/>
      </w:pPr>
    </w:p>
    <w:p w14:paraId="7240B9DA" w14:textId="6EB84A10" w:rsidR="0040718B" w:rsidRDefault="00E46C1C" w:rsidP="007D4C48">
      <w:pPr>
        <w:spacing w:line="276" w:lineRule="auto"/>
        <w:ind w:firstLine="720"/>
        <w:jc w:val="both"/>
      </w:pPr>
      <w:r>
        <w:t>[2] P</w:t>
      </w:r>
      <w:r w:rsidR="0040718B" w:rsidRPr="0040718B">
        <w:t>ieteicējs vērsās ar pieteikumu Administratīvajā</w:t>
      </w:r>
      <w:r w:rsidR="0040718B">
        <w:t xml:space="preserve"> </w:t>
      </w:r>
      <w:r w:rsidR="0040718B" w:rsidRPr="0040718B">
        <w:t xml:space="preserve">rajona tiesā, lūdzot </w:t>
      </w:r>
      <w:r w:rsidR="0040718B">
        <w:t>pārsūdzēto l</w:t>
      </w:r>
      <w:r w:rsidR="0040718B" w:rsidRPr="0040718B">
        <w:t>ēmumu atcelt, kā arī atzīt cietuma priekšnieka rīcību</w:t>
      </w:r>
      <w:r w:rsidR="0040718B">
        <w:t xml:space="preserve"> </w:t>
      </w:r>
      <w:r w:rsidR="0040718B" w:rsidRPr="0040718B">
        <w:t>(bezdarbību) par prettiesisku un atlīdzināt pieteicējam nemantisko kaitējumu</w:t>
      </w:r>
      <w:r w:rsidR="0069438D">
        <w:t>.</w:t>
      </w:r>
    </w:p>
    <w:p w14:paraId="519F1037" w14:textId="2EA61333" w:rsidR="0069438D" w:rsidRDefault="0069438D" w:rsidP="007D4C48">
      <w:pPr>
        <w:spacing w:line="276" w:lineRule="auto"/>
        <w:ind w:firstLine="720"/>
        <w:jc w:val="both"/>
      </w:pPr>
      <w:r w:rsidRPr="0069438D">
        <w:t xml:space="preserve">Ar Administratīvās rajona tiesas 2022.gada 16.decembra spriedumu pieteikums </w:t>
      </w:r>
      <w:r w:rsidR="00CF633D">
        <w:t xml:space="preserve">tika </w:t>
      </w:r>
      <w:r w:rsidRPr="0069438D">
        <w:t>apmierināts daļā, atzīstot par prettiesisku cietuma administrācijas rīcību, nenodrošinot pieteicējam mugurkaula spondilozes ārstēšanu (fizioterapeita un neiroķirurga medicīnisko palīdzību), un uzlikts pienākum</w:t>
      </w:r>
      <w:r w:rsidR="00CF633D">
        <w:t>s</w:t>
      </w:r>
      <w:r w:rsidRPr="0069438D">
        <w:t xml:space="preserve"> pārvaldei rakstveidā atvainoties pieteicējam.</w:t>
      </w:r>
    </w:p>
    <w:p w14:paraId="531A2588" w14:textId="3C886FE5" w:rsidR="00E46C1C" w:rsidRDefault="0069438D" w:rsidP="007D4C48">
      <w:pPr>
        <w:spacing w:line="276" w:lineRule="auto"/>
        <w:ind w:firstLine="720"/>
        <w:jc w:val="both"/>
      </w:pPr>
      <w:r w:rsidRPr="0069438D">
        <w:t xml:space="preserve">Pieteicējs </w:t>
      </w:r>
      <w:r>
        <w:t>iesniedza</w:t>
      </w:r>
      <w:r w:rsidRPr="0069438D">
        <w:t xml:space="preserve"> apelācijas sūdzību par pirmās instances tiesas spriedumu daļā, ar kuru noraidīts pieteicēja pieteikums daļā par pienākuma uzlikšanu pārvaldei atlīdzināt pieteicējam nemantisko kaitējumu 10</w:t>
      </w:r>
      <w:r>
        <w:t> </w:t>
      </w:r>
      <w:r w:rsidRPr="0069438D">
        <w:t>000</w:t>
      </w:r>
      <w:r>
        <w:t> </w:t>
      </w:r>
      <w:r w:rsidRPr="0069438D">
        <w:rPr>
          <w:i/>
          <w:iCs/>
        </w:rPr>
        <w:t>euro</w:t>
      </w:r>
      <w:r w:rsidRPr="0069438D">
        <w:t>.</w:t>
      </w:r>
    </w:p>
    <w:p w14:paraId="330400F4" w14:textId="77777777" w:rsidR="00163F8C" w:rsidRDefault="00163F8C" w:rsidP="007D4C48">
      <w:pPr>
        <w:spacing w:line="276" w:lineRule="auto"/>
        <w:ind w:firstLine="720"/>
        <w:jc w:val="both"/>
      </w:pPr>
    </w:p>
    <w:p w14:paraId="4D3B39BC" w14:textId="02BDBB9D" w:rsidR="00A774EA" w:rsidRDefault="003777EB" w:rsidP="007D4C48">
      <w:pPr>
        <w:spacing w:line="276" w:lineRule="auto"/>
        <w:ind w:firstLine="720"/>
        <w:jc w:val="both"/>
      </w:pPr>
      <w:r>
        <w:t>[</w:t>
      </w:r>
      <w:r w:rsidR="00E46C1C">
        <w:t>3</w:t>
      </w:r>
      <w:r>
        <w:t>]</w:t>
      </w:r>
      <w:r w:rsidR="00A774EA">
        <w:t xml:space="preserve"> Ar Administratīvās apgabaltiesas </w:t>
      </w:r>
      <w:r w:rsidR="00A774EA" w:rsidRPr="0061219A">
        <w:t>202</w:t>
      </w:r>
      <w:r w:rsidR="005F0241">
        <w:t>3</w:t>
      </w:r>
      <w:r w:rsidR="00A774EA" w:rsidRPr="0061219A">
        <w:t xml:space="preserve">.gada </w:t>
      </w:r>
      <w:r w:rsidR="00163F8C">
        <w:t>28</w:t>
      </w:r>
      <w:r w:rsidR="00A774EA">
        <w:t>.</w:t>
      </w:r>
      <w:r w:rsidR="00163F8C">
        <w:t>septembra</w:t>
      </w:r>
      <w:r w:rsidR="00A774EA" w:rsidRPr="0061219A">
        <w:t xml:space="preserve"> </w:t>
      </w:r>
      <w:r w:rsidR="00A774EA" w:rsidRPr="00894CA2">
        <w:t>spriedumu</w:t>
      </w:r>
      <w:r w:rsidR="00A774EA">
        <w:t xml:space="preserve"> pieteikums </w:t>
      </w:r>
      <w:r w:rsidR="00E46C1C" w:rsidRPr="00912C26">
        <w:rPr>
          <w:rFonts w:asciiTheme="majorBidi" w:hAnsiTheme="majorBidi" w:cstheme="majorBidi"/>
        </w:rPr>
        <w:t>daļā, ar kuru pieteicējam tiktu atlīdzināts nemantiskais kaitējums 10 000 </w:t>
      </w:r>
      <w:r w:rsidR="00E46C1C" w:rsidRPr="00912C26">
        <w:rPr>
          <w:rFonts w:asciiTheme="majorBidi" w:hAnsiTheme="majorBidi" w:cstheme="majorBidi"/>
          <w:i/>
          <w:iCs/>
        </w:rPr>
        <w:t>euro</w:t>
      </w:r>
      <w:r w:rsidR="00E46C1C" w:rsidRPr="00E46C1C">
        <w:rPr>
          <w:rFonts w:asciiTheme="majorBidi" w:hAnsiTheme="majorBidi" w:cstheme="majorBidi"/>
        </w:rPr>
        <w:t>,</w:t>
      </w:r>
      <w:r w:rsidR="00E46C1C" w:rsidRPr="00E46C1C">
        <w:t xml:space="preserve"> </w:t>
      </w:r>
      <w:r w:rsidR="0040718B">
        <w:t>noraidīts</w:t>
      </w:r>
      <w:r w:rsidR="00A774EA">
        <w:t>.</w:t>
      </w:r>
      <w:r w:rsidR="007A6819">
        <w:t xml:space="preserve"> Apgabaltiesa</w:t>
      </w:r>
      <w:r w:rsidR="00F92D93">
        <w:t xml:space="preserve"> pievienoj</w:t>
      </w:r>
      <w:r w:rsidR="00E46C1C">
        <w:t>ā</w:t>
      </w:r>
      <w:r w:rsidR="00F92D93">
        <w:t>s pirmās instances tiesas sprieduma motivācijai</w:t>
      </w:r>
      <w:r w:rsidR="00E46C1C">
        <w:t xml:space="preserve"> un</w:t>
      </w:r>
      <w:r w:rsidR="007A6819">
        <w:t xml:space="preserve"> spiedumu pamatoja ar </w:t>
      </w:r>
      <w:r w:rsidR="00A774EA">
        <w:t xml:space="preserve">turpmāk </w:t>
      </w:r>
      <w:r w:rsidR="007A6819">
        <w:t>norādītajiem</w:t>
      </w:r>
      <w:r w:rsidR="00A774EA">
        <w:t xml:space="preserve"> argumenti</w:t>
      </w:r>
      <w:r w:rsidR="007A6819">
        <w:t>em</w:t>
      </w:r>
      <w:r w:rsidR="00A774EA">
        <w:t>.</w:t>
      </w:r>
    </w:p>
    <w:p w14:paraId="2F9BC2CC" w14:textId="25BED0D3" w:rsidR="00B4654B" w:rsidRDefault="00A774EA" w:rsidP="007D4C48">
      <w:pPr>
        <w:spacing w:line="276" w:lineRule="auto"/>
        <w:ind w:firstLine="720"/>
        <w:jc w:val="both"/>
        <w:rPr>
          <w:rFonts w:asciiTheme="majorBidi" w:hAnsiTheme="majorBidi" w:cstheme="majorBidi"/>
        </w:rPr>
      </w:pPr>
      <w:r>
        <w:t>[</w:t>
      </w:r>
      <w:r w:rsidR="00E46C1C">
        <w:t>3</w:t>
      </w:r>
      <w:r>
        <w:t>.1] </w:t>
      </w:r>
      <w:r w:rsidR="00B4654B" w:rsidRPr="00912C26">
        <w:rPr>
          <w:rFonts w:asciiTheme="majorBidi" w:hAnsiTheme="majorBidi" w:cstheme="majorBidi"/>
        </w:rPr>
        <w:t>Tā kā tiesa atzina par prettiesisku cietuma administrācijas rīcību, nenodrošinot pieteicēja mugurkaula spondilozes ārstēšanu</w:t>
      </w:r>
      <w:r w:rsidR="00B4654B">
        <w:rPr>
          <w:rFonts w:asciiTheme="majorBidi" w:hAnsiTheme="majorBidi" w:cstheme="majorBidi"/>
        </w:rPr>
        <w:t xml:space="preserve"> un</w:t>
      </w:r>
      <w:r w:rsidR="00B4654B" w:rsidRPr="00912C26">
        <w:rPr>
          <w:rFonts w:asciiTheme="majorBidi" w:hAnsiTheme="majorBidi" w:cstheme="majorBidi"/>
        </w:rPr>
        <w:t xml:space="preserve"> atbilstoši neizvērtējot pieteicēja lūgumus nodrošināt viņam speciālista konsultācijas, </w:t>
      </w:r>
      <w:r w:rsidR="00B4654B">
        <w:rPr>
          <w:rFonts w:asciiTheme="majorBidi" w:hAnsiTheme="majorBidi" w:cstheme="majorBidi"/>
        </w:rPr>
        <w:t>ir</w:t>
      </w:r>
      <w:r w:rsidR="00B4654B" w:rsidRPr="00912C26">
        <w:rPr>
          <w:rFonts w:asciiTheme="majorBidi" w:hAnsiTheme="majorBidi" w:cstheme="majorBidi"/>
        </w:rPr>
        <w:t xml:space="preserve"> pamats vērtēt arī atlīdzinājuma prasījumu.</w:t>
      </w:r>
    </w:p>
    <w:p w14:paraId="13924E99" w14:textId="448F2E61" w:rsidR="00B4654B" w:rsidRPr="00912C26" w:rsidRDefault="00B4654B" w:rsidP="007D4C48">
      <w:pPr>
        <w:spacing w:line="276" w:lineRule="auto"/>
        <w:ind w:firstLine="720"/>
        <w:contextualSpacing/>
        <w:jc w:val="both"/>
        <w:rPr>
          <w:rFonts w:asciiTheme="majorBidi" w:hAnsiTheme="majorBidi" w:cstheme="majorBidi"/>
        </w:rPr>
      </w:pPr>
      <w:r w:rsidRPr="00912C26">
        <w:rPr>
          <w:rFonts w:asciiTheme="majorBidi" w:hAnsiTheme="majorBidi" w:cstheme="majorBidi"/>
        </w:rPr>
        <w:t xml:space="preserve">Pieteicējs </w:t>
      </w:r>
      <w:r>
        <w:rPr>
          <w:rFonts w:asciiTheme="majorBidi" w:hAnsiTheme="majorBidi" w:cstheme="majorBidi"/>
        </w:rPr>
        <w:t>uzskata,</w:t>
      </w:r>
      <w:r w:rsidRPr="00912C26">
        <w:rPr>
          <w:rFonts w:asciiTheme="majorBidi" w:hAnsiTheme="majorBidi" w:cstheme="majorBidi"/>
        </w:rPr>
        <w:t xml:space="preserve"> ka viņam ir nodarīts smags nemantiskais kaitējums, proti, viņa veselības un pat dzīvības apdraudējums, pamatojot to ar ilgstošām un stiprām fiziskām sāpēm, paliekošu veselības bojājumu, jo viņam piešķirta otrā invaliditātes grupa. Tāpat pieteicējs norāda uz garīgām ciešanām – pārdzīvojumi, šoks, dusmas un neizpratne –</w:t>
      </w:r>
      <w:r w:rsidR="00CF633D">
        <w:rPr>
          <w:rFonts w:asciiTheme="majorBidi" w:hAnsiTheme="majorBidi" w:cstheme="majorBidi"/>
        </w:rPr>
        <w:t>,</w:t>
      </w:r>
      <w:r w:rsidRPr="00912C26">
        <w:rPr>
          <w:rFonts w:asciiTheme="majorBidi" w:hAnsiTheme="majorBidi" w:cstheme="majorBidi"/>
        </w:rPr>
        <w:t xml:space="preserve"> baidoties par savu dzīvību un veselību un neizprotot cietuma priekšnieka rīcību.</w:t>
      </w:r>
    </w:p>
    <w:p w14:paraId="158334B2" w14:textId="5F011A04" w:rsidR="00435952" w:rsidRPr="00912C26" w:rsidRDefault="00A774EA" w:rsidP="007D4C48">
      <w:pPr>
        <w:spacing w:line="276" w:lineRule="auto"/>
        <w:ind w:firstLine="720"/>
        <w:jc w:val="both"/>
        <w:rPr>
          <w:rFonts w:asciiTheme="majorBidi" w:hAnsiTheme="majorBidi" w:cstheme="majorBidi"/>
        </w:rPr>
      </w:pPr>
      <w:r>
        <w:t>[</w:t>
      </w:r>
      <w:r w:rsidR="009333EE">
        <w:t>3</w:t>
      </w:r>
      <w:r>
        <w:t>.2] </w:t>
      </w:r>
      <w:r w:rsidR="00B4654B" w:rsidRPr="00912C26">
        <w:rPr>
          <w:rFonts w:asciiTheme="majorBidi" w:hAnsiTheme="majorBidi" w:cstheme="majorBidi"/>
        </w:rPr>
        <w:t xml:space="preserve">Izvērtējot </w:t>
      </w:r>
      <w:r w:rsidR="00B4654B">
        <w:rPr>
          <w:rFonts w:asciiTheme="majorBidi" w:hAnsiTheme="majorBidi" w:cstheme="majorBidi"/>
        </w:rPr>
        <w:t>lietā esošos</w:t>
      </w:r>
      <w:r w:rsidR="00B4654B" w:rsidRPr="00912C26">
        <w:rPr>
          <w:rFonts w:asciiTheme="majorBidi" w:hAnsiTheme="majorBidi" w:cstheme="majorBidi"/>
        </w:rPr>
        <w:t xml:space="preserve"> ārstu viedokļus, secinā</w:t>
      </w:r>
      <w:r w:rsidR="00B4654B">
        <w:rPr>
          <w:rFonts w:asciiTheme="majorBidi" w:hAnsiTheme="majorBidi" w:cstheme="majorBidi"/>
        </w:rPr>
        <w:t>ms</w:t>
      </w:r>
      <w:r w:rsidR="00B4654B" w:rsidRPr="00912C26">
        <w:rPr>
          <w:rFonts w:asciiTheme="majorBidi" w:hAnsiTheme="majorBidi" w:cstheme="majorBidi"/>
        </w:rPr>
        <w:t>, ka lielākais risks, uz kuru vērsta uzmanība vairākos ārstu secinājumos, ir iespējamā ķirurģiskā iejaukšanās, kas tomēr nav bijusi nepieciešama.</w:t>
      </w:r>
      <w:r w:rsidR="00B4654B" w:rsidRPr="00B4654B">
        <w:rPr>
          <w:rFonts w:asciiTheme="majorBidi" w:hAnsiTheme="majorBidi" w:cstheme="majorBidi"/>
        </w:rPr>
        <w:t xml:space="preserve"> </w:t>
      </w:r>
      <w:r w:rsidR="00B4654B">
        <w:rPr>
          <w:rFonts w:asciiTheme="majorBidi" w:hAnsiTheme="majorBidi" w:cstheme="majorBidi"/>
        </w:rPr>
        <w:t>C</w:t>
      </w:r>
      <w:r w:rsidR="00B4654B" w:rsidRPr="00912C26">
        <w:rPr>
          <w:rFonts w:asciiTheme="majorBidi" w:hAnsiTheme="majorBidi" w:cstheme="majorBidi"/>
        </w:rPr>
        <w:t xml:space="preserve">ietuma administrācijai nebija pienākuma pilnībā nodrošināt visas </w:t>
      </w:r>
      <w:r w:rsidR="00B4654B">
        <w:rPr>
          <w:rFonts w:asciiTheme="majorBidi" w:hAnsiTheme="majorBidi" w:cstheme="majorBidi"/>
        </w:rPr>
        <w:t xml:space="preserve">fizioterapeita </w:t>
      </w:r>
      <w:r w:rsidR="00B4654B" w:rsidRPr="00912C26">
        <w:rPr>
          <w:rFonts w:asciiTheme="majorBidi" w:hAnsiTheme="majorBidi" w:cstheme="majorBidi"/>
        </w:rPr>
        <w:t xml:space="preserve">ieteiktās procedūras, </w:t>
      </w:r>
      <w:r w:rsidR="00EB33F0">
        <w:rPr>
          <w:rFonts w:asciiTheme="majorBidi" w:hAnsiTheme="majorBidi" w:cstheme="majorBidi"/>
        </w:rPr>
        <w:t xml:space="preserve">un </w:t>
      </w:r>
      <w:r w:rsidR="00096D60">
        <w:rPr>
          <w:rFonts w:asciiTheme="majorBidi" w:hAnsiTheme="majorBidi" w:cstheme="majorBidi"/>
        </w:rPr>
        <w:t>t</w:t>
      </w:r>
      <w:r w:rsidR="00B4654B" w:rsidRPr="00912C26">
        <w:rPr>
          <w:rFonts w:asciiTheme="majorBidi" w:hAnsiTheme="majorBidi" w:cstheme="majorBidi"/>
        </w:rPr>
        <w:t>as cietumā reāli nebūtu iespējams</w:t>
      </w:r>
      <w:r w:rsidR="00435952">
        <w:rPr>
          <w:rFonts w:asciiTheme="majorBidi" w:hAnsiTheme="majorBidi" w:cstheme="majorBidi"/>
        </w:rPr>
        <w:t>. P</w:t>
      </w:r>
      <w:r w:rsidR="00435952" w:rsidRPr="00912C26">
        <w:rPr>
          <w:rFonts w:asciiTheme="majorBidi" w:hAnsiTheme="majorBidi" w:cstheme="majorBidi"/>
        </w:rPr>
        <w:t xml:space="preserve">rettiesiskā rīcība nav saistāma ar to, ka nav nodrošinātas tieši </w:t>
      </w:r>
      <w:r w:rsidR="00435952">
        <w:rPr>
          <w:rFonts w:asciiTheme="majorBidi" w:hAnsiTheme="majorBidi" w:cstheme="majorBidi"/>
        </w:rPr>
        <w:t xml:space="preserve">fizioterapeita </w:t>
      </w:r>
      <w:r w:rsidR="007D4C48">
        <w:t>[pers. </w:t>
      </w:r>
      <w:r w:rsidR="007D4C48">
        <w:t>B</w:t>
      </w:r>
      <w:r w:rsidR="007D4C48">
        <w:t xml:space="preserve">] </w:t>
      </w:r>
      <w:r w:rsidR="00435952" w:rsidRPr="00912C26">
        <w:rPr>
          <w:rFonts w:asciiTheme="majorBidi" w:hAnsiTheme="majorBidi" w:cstheme="majorBidi"/>
        </w:rPr>
        <w:t>rekomendācijas, bet gan ar to, ka cietuma administrācija vispār nav izvērtējusi alternatīvas un nodrošinājusi tāda fizioterapeita vai cita atbilstoša speciālista konsultācijas, lai atvieglotu pieteicēja stāvokli.</w:t>
      </w:r>
    </w:p>
    <w:p w14:paraId="05B2EC86" w14:textId="39E5254D" w:rsidR="00B4654B" w:rsidRDefault="00435952" w:rsidP="007D4C48">
      <w:pPr>
        <w:spacing w:line="276" w:lineRule="auto"/>
        <w:ind w:firstLine="720"/>
        <w:jc w:val="both"/>
      </w:pPr>
      <w:r w:rsidRPr="00912C26">
        <w:rPr>
          <w:rFonts w:asciiTheme="majorBidi" w:hAnsiTheme="majorBidi" w:cstheme="majorBidi"/>
        </w:rPr>
        <w:t>Cietumu slimnīcas ārstu konsultatīvā komisija savukārt nav konstatējusi pieteicēja veselības stāvokļa strauju pasliktināšanos.</w:t>
      </w:r>
    </w:p>
    <w:p w14:paraId="4D02F00C" w14:textId="75779AE8" w:rsidR="00435952" w:rsidRDefault="00435952" w:rsidP="007D4C48">
      <w:pPr>
        <w:spacing w:line="276" w:lineRule="auto"/>
        <w:ind w:firstLine="720"/>
        <w:jc w:val="both"/>
        <w:rPr>
          <w:rFonts w:asciiTheme="majorBidi" w:hAnsiTheme="majorBidi" w:cstheme="majorBidi"/>
        </w:rPr>
      </w:pPr>
      <w:r>
        <w:rPr>
          <w:rFonts w:asciiTheme="majorBidi" w:hAnsiTheme="majorBidi" w:cstheme="majorBidi"/>
        </w:rPr>
        <w:t>Ņemot v</w:t>
      </w:r>
      <w:r w:rsidRPr="00912C26">
        <w:rPr>
          <w:rFonts w:asciiTheme="majorBidi" w:hAnsiTheme="majorBidi" w:cstheme="majorBidi"/>
        </w:rPr>
        <w:t xml:space="preserve">ērā, ka, arī neesot cietumā un esot iespējai ievērot visas pieteicējam sniegtās rekomendācijas, pieteicēja veselības stāvoklim bija vērojama negatīva dinamika, </w:t>
      </w:r>
      <w:r>
        <w:rPr>
          <w:rFonts w:asciiTheme="majorBidi" w:hAnsiTheme="majorBidi" w:cstheme="majorBidi"/>
        </w:rPr>
        <w:t>nav</w:t>
      </w:r>
      <w:r w:rsidRPr="00912C26">
        <w:rPr>
          <w:rFonts w:asciiTheme="majorBidi" w:hAnsiTheme="majorBidi" w:cstheme="majorBidi"/>
        </w:rPr>
        <w:t xml:space="preserve"> pamata atzīt, ka tikai atbilstošu speciālistu nenodrošināšana</w:t>
      </w:r>
      <w:r w:rsidR="00F601BD">
        <w:rPr>
          <w:rFonts w:asciiTheme="majorBidi" w:hAnsiTheme="majorBidi" w:cstheme="majorBidi"/>
        </w:rPr>
        <w:t xml:space="preserve"> ieslodzījuma vietā</w:t>
      </w:r>
      <w:r w:rsidRPr="00912C26">
        <w:rPr>
          <w:rFonts w:asciiTheme="majorBidi" w:hAnsiTheme="majorBidi" w:cstheme="majorBidi"/>
        </w:rPr>
        <w:t xml:space="preserve"> ir izraisījusi pamatu invaliditātei. Kā izriet no lietas materiāliem</w:t>
      </w:r>
      <w:r>
        <w:rPr>
          <w:rFonts w:asciiTheme="majorBidi" w:hAnsiTheme="majorBidi" w:cstheme="majorBidi"/>
        </w:rPr>
        <w:t>,</w:t>
      </w:r>
      <w:r w:rsidRPr="00912C26">
        <w:rPr>
          <w:rFonts w:asciiTheme="majorBidi" w:hAnsiTheme="majorBidi" w:cstheme="majorBidi"/>
        </w:rPr>
        <w:t xml:space="preserve"> pieteicējam no 2008.gada 30.jūnija līdz 2009.gada 29.jūnijam ir bijusi noteikta otrā invaliditātes grupa, no 2009.gada 25.jūnija līdz 2014.gada 24.jūnijam </w:t>
      </w:r>
      <w:r>
        <w:rPr>
          <w:rFonts w:asciiTheme="majorBidi" w:hAnsiTheme="majorBidi" w:cstheme="majorBidi"/>
        </w:rPr>
        <w:t>–</w:t>
      </w:r>
      <w:r w:rsidRPr="00912C26">
        <w:rPr>
          <w:rFonts w:asciiTheme="majorBidi" w:hAnsiTheme="majorBidi" w:cstheme="majorBidi"/>
        </w:rPr>
        <w:t xml:space="preserve"> trešā invaliditātes grupa. Pieteicējs pēc 2014.gada invaliditātes grupu nav pagarinājis. Kā pieteicējs paskaidroja tiesas sēdē, viņam tas neesot bijis aktuāli.</w:t>
      </w:r>
      <w:r>
        <w:rPr>
          <w:rFonts w:asciiTheme="majorBidi" w:hAnsiTheme="majorBidi" w:cstheme="majorBidi"/>
        </w:rPr>
        <w:t xml:space="preserve"> </w:t>
      </w:r>
      <w:r w:rsidRPr="00912C26">
        <w:rPr>
          <w:rFonts w:asciiTheme="majorBidi" w:hAnsiTheme="majorBidi" w:cstheme="majorBidi"/>
        </w:rPr>
        <w:t>Tomēr tiesa neapšaubīja, ka, ņemot vērā pieteicējam noteiktās diagnozes un objektīvās sūdzības, pieteicēja veselības stāvoklis, visticamāk, būtu bijis pamats arī turpmākai invaliditātes noteikšanai.</w:t>
      </w:r>
    </w:p>
    <w:p w14:paraId="555E81BC" w14:textId="420F3C55" w:rsidR="00435952" w:rsidRDefault="00435952" w:rsidP="007D4C48">
      <w:pPr>
        <w:spacing w:line="276" w:lineRule="auto"/>
        <w:ind w:firstLine="720"/>
        <w:jc w:val="both"/>
      </w:pPr>
      <w:r>
        <w:rPr>
          <w:rFonts w:asciiTheme="majorBidi" w:hAnsiTheme="majorBidi" w:cstheme="majorBidi"/>
        </w:rPr>
        <w:t>Š</w:t>
      </w:r>
      <w:r w:rsidRPr="00912C26">
        <w:rPr>
          <w:rFonts w:asciiTheme="majorBidi" w:hAnsiTheme="majorBidi" w:cstheme="majorBidi"/>
        </w:rPr>
        <w:t xml:space="preserve">ādos apstākļos nav iespējams viennozīmīgi secināt, </w:t>
      </w:r>
      <w:r w:rsidRPr="009945A8">
        <w:rPr>
          <w:rFonts w:asciiTheme="majorBidi" w:hAnsiTheme="majorBidi" w:cstheme="majorBidi"/>
        </w:rPr>
        <w:t>ka pieteicējam</w:t>
      </w:r>
      <w:r w:rsidR="0017470D" w:rsidRPr="009945A8">
        <w:rPr>
          <w:rFonts w:asciiTheme="majorBidi" w:hAnsiTheme="majorBidi" w:cstheme="majorBidi"/>
        </w:rPr>
        <w:t xml:space="preserve"> ar Veselības un darbspēju ekspertīzes ārstu valsts komisijas (turpmāk – ekspertīzes komisija) 2022.gada 27.janvāra lēmumu Nr. 30-2022-1688</w:t>
      </w:r>
      <w:r w:rsidRPr="009945A8">
        <w:rPr>
          <w:rFonts w:asciiTheme="majorBidi" w:hAnsiTheme="majorBidi" w:cstheme="majorBidi"/>
        </w:rPr>
        <w:t xml:space="preserve"> otrā invaliditātes grupa (proti, smagi funkcionālie traucējumi) ir noteikta tieši tādēļ, ka pieteicējam, atrodoties</w:t>
      </w:r>
      <w:r w:rsidRPr="00912C26">
        <w:rPr>
          <w:rFonts w:asciiTheme="majorBidi" w:hAnsiTheme="majorBidi" w:cstheme="majorBidi"/>
        </w:rPr>
        <w:t xml:space="preserve"> ieslodzījuma vietā, netika nodrošināti iepriekš minētie pakalpojumi.</w:t>
      </w:r>
      <w:r>
        <w:rPr>
          <w:rFonts w:asciiTheme="majorBidi" w:hAnsiTheme="majorBidi" w:cstheme="majorBidi"/>
        </w:rPr>
        <w:t xml:space="preserve"> </w:t>
      </w:r>
      <w:r w:rsidR="0068203B">
        <w:t>O</w:t>
      </w:r>
      <w:r w:rsidR="006630CE" w:rsidRPr="006630CE">
        <w:t xml:space="preserve">trās invaliditātes grupas </w:t>
      </w:r>
      <w:r w:rsidR="0068203B">
        <w:t>noteikšana</w:t>
      </w:r>
      <w:r w:rsidR="006630CE" w:rsidRPr="006630CE">
        <w:t xml:space="preserve"> pieteicējam nav tiešā cēloņsakarībā ar cietuma administrācijas bezdarbību, tādējādi nav pamata uzskatīt, </w:t>
      </w:r>
      <w:r w:rsidR="006630CE" w:rsidRPr="004751AE">
        <w:t>ka bezdarbība ir radījusi smagas sekas.</w:t>
      </w:r>
    </w:p>
    <w:p w14:paraId="05C84600" w14:textId="5FF5A6DD" w:rsidR="00FB055A" w:rsidRDefault="0068203B" w:rsidP="007D4C48">
      <w:pPr>
        <w:spacing w:line="276" w:lineRule="auto"/>
        <w:ind w:firstLine="720"/>
        <w:jc w:val="both"/>
      </w:pPr>
      <w:r>
        <w:t xml:space="preserve">Nav pamata </w:t>
      </w:r>
      <w:r w:rsidR="006630CE" w:rsidRPr="006630CE">
        <w:t>apšaubī</w:t>
      </w:r>
      <w:r>
        <w:t>t</w:t>
      </w:r>
      <w:r w:rsidR="006630CE" w:rsidRPr="006630CE">
        <w:t>, ka cietuma administrācijas bezdarbība varēja radīt pieteicējā pārdzīvojumu, dusmas un neizpratni par šādu rīcību.</w:t>
      </w:r>
      <w:r w:rsidR="006630CE">
        <w:t xml:space="preserve"> </w:t>
      </w:r>
      <w:r w:rsidR="00841375">
        <w:t xml:space="preserve">Līdz ar to </w:t>
      </w:r>
      <w:r w:rsidR="00841375" w:rsidRPr="00841375">
        <w:t>pieteicējam ir nodarīts nemantiskais kaitējums, bet tas nav smags.</w:t>
      </w:r>
    </w:p>
    <w:p w14:paraId="7E1D75EE" w14:textId="464D854E" w:rsidR="00841375" w:rsidRDefault="00A774EA" w:rsidP="007D4C48">
      <w:pPr>
        <w:spacing w:line="276" w:lineRule="auto"/>
        <w:ind w:firstLine="720"/>
        <w:jc w:val="both"/>
      </w:pPr>
      <w:r>
        <w:t>[</w:t>
      </w:r>
      <w:r w:rsidR="0068203B">
        <w:t>3</w:t>
      </w:r>
      <w:r w:rsidR="00B90669">
        <w:t>.3</w:t>
      </w:r>
      <w:r>
        <w:t>]</w:t>
      </w:r>
      <w:r w:rsidR="00B90669">
        <w:t> </w:t>
      </w:r>
      <w:r w:rsidR="00841375">
        <w:t>K</w:t>
      </w:r>
      <w:r w:rsidR="00841375" w:rsidRPr="00841375">
        <w:t xml:space="preserve">onkrētajos apstākļos nav iespējama restitūcija, jo nav iespējams pavērst atpakaļ situāciju, kāda tā bija, pieteicējam nonākot apcietinājumā. Lai arī pieteicējs uzskata, ka viņam ir nodarīts smags tiesību vai ar likumu aizsargāto interešu aizskārums, tas nav smags, tāpēc patstāvīgs nemantiskā kaitējuma atlīdzinājums var būt rakstveida atvainošanās. </w:t>
      </w:r>
    </w:p>
    <w:p w14:paraId="281C7CF3" w14:textId="44D36B91" w:rsidR="00841375" w:rsidRDefault="004F3232" w:rsidP="007D4C48">
      <w:pPr>
        <w:spacing w:line="276" w:lineRule="auto"/>
        <w:ind w:firstLine="720"/>
        <w:jc w:val="both"/>
      </w:pPr>
      <w:r>
        <w:t>P</w:t>
      </w:r>
      <w:r w:rsidR="00841375" w:rsidRPr="00841375">
        <w:t>ats fakts, ka cietuma administrācijas rīcība ir atzīta par prettiesisku,</w:t>
      </w:r>
      <w:r>
        <w:t xml:space="preserve"> pieteicējam</w:t>
      </w:r>
      <w:r w:rsidR="00841375" w:rsidRPr="00841375">
        <w:t xml:space="preserve"> rada gandarījumu, turklāt arī atvainošanās ir uzskatāma par adekvātu </w:t>
      </w:r>
      <w:r w:rsidR="00841375" w:rsidRPr="004751AE">
        <w:t>atlīdzinājumu situācijā, ja nav konstatējamas smagas sekas.</w:t>
      </w:r>
    </w:p>
    <w:p w14:paraId="505E9737" w14:textId="6ED4B024" w:rsidR="00841375" w:rsidRDefault="00841375" w:rsidP="007D4C48">
      <w:pPr>
        <w:spacing w:line="276" w:lineRule="auto"/>
        <w:ind w:firstLine="720"/>
        <w:jc w:val="both"/>
      </w:pPr>
      <w:r>
        <w:t>[</w:t>
      </w:r>
      <w:r w:rsidR="0068203B">
        <w:t>3</w:t>
      </w:r>
      <w:r>
        <w:t>.4] </w:t>
      </w:r>
      <w:r w:rsidRPr="00841375">
        <w:t>Nosakot nemantisko kaitējumu tikai rakstveida atvainošanās veidā, t</w:t>
      </w:r>
      <w:r w:rsidR="0068203B">
        <w:t>iek</w:t>
      </w:r>
      <w:r w:rsidRPr="00841375">
        <w:t xml:space="preserve"> ņ</w:t>
      </w:r>
      <w:r w:rsidR="0068203B">
        <w:t>emta</w:t>
      </w:r>
      <w:r w:rsidRPr="00841375">
        <w:t xml:space="preserve"> vērā arī pieteicēja līdzatbildīb</w:t>
      </w:r>
      <w:r w:rsidR="00A20E8D">
        <w:t>a</w:t>
      </w:r>
      <w:r w:rsidRPr="00293E2E">
        <w:t xml:space="preserve">. </w:t>
      </w:r>
      <w:r w:rsidR="00516F68">
        <w:t>K</w:t>
      </w:r>
      <w:r w:rsidR="0068203B" w:rsidRPr="00293E2E">
        <w:t>ad</w:t>
      </w:r>
      <w:r w:rsidRPr="00293E2E">
        <w:t xml:space="preserve"> cietuma administrācija nereaģēja uz pieteicēja pirmo iesniegumu par veselības aprūpes nodrošināšanu, pieteicējs šādu cietuma administrācijas faktisko rīcību varēja nekavējoties apstrīdēt un secīgi pēc pārvaldes izvērtējuma saņemšanas uzreiz vērsties tiesā ar pieteikumu, vienlaicīgi lūdzot pagaidu aizsardzību. Tādējādi pieteicējs jau daudz ātrāk būtu varējis saņemt tiesas aizsardzību. </w:t>
      </w:r>
      <w:r w:rsidR="004F3232" w:rsidRPr="00293E2E">
        <w:t>P</w:t>
      </w:r>
      <w:r w:rsidRPr="00293E2E">
        <w:t>ieteicējs visu apcietinājuma laiku ir sazinājies ar savu advokātu, kurš arī pats pieteicēja vārdā rakstījis cietuma administrācijai iesniegumus, tādējādi pieteicējam (viņa advokātam) bija jāzina, ka ar apstrīdēšanas iesniegumu pārvaldē un attiecīgi pieteikumu tiesā varēja vērsties ātrāk.</w:t>
      </w:r>
    </w:p>
    <w:p w14:paraId="4FEFEBF1" w14:textId="77777777" w:rsidR="00A774EA" w:rsidRDefault="00A774EA" w:rsidP="007D4C48">
      <w:pPr>
        <w:spacing w:line="276" w:lineRule="auto"/>
        <w:ind w:firstLine="720"/>
        <w:jc w:val="both"/>
      </w:pPr>
    </w:p>
    <w:p w14:paraId="0ADE6B1D" w14:textId="1A5855A3" w:rsidR="00B90669" w:rsidRDefault="00B90669" w:rsidP="007D4C48">
      <w:pPr>
        <w:spacing w:line="276" w:lineRule="auto"/>
        <w:ind w:firstLine="720"/>
        <w:jc w:val="both"/>
      </w:pPr>
      <w:r>
        <w:t>[</w:t>
      </w:r>
      <w:r w:rsidR="0068203B">
        <w:t>4</w:t>
      </w:r>
      <w:r>
        <w:t>] </w:t>
      </w:r>
      <w:r w:rsidR="0040718B">
        <w:t>Pieteicējs</w:t>
      </w:r>
      <w:r>
        <w:t xml:space="preserve"> iesnie</w:t>
      </w:r>
      <w:r w:rsidR="00BF78E9">
        <w:t>dz</w:t>
      </w:r>
      <w:r w:rsidR="0000713F">
        <w:t>a</w:t>
      </w:r>
      <w:r>
        <w:t xml:space="preserve"> kasācijas sūdzību par apgabaltiesas spriedumu, </w:t>
      </w:r>
      <w:r w:rsidR="004539D5">
        <w:t>kurā norādīti</w:t>
      </w:r>
      <w:r>
        <w:t xml:space="preserve"> turpmāk minēt</w:t>
      </w:r>
      <w:r w:rsidR="004539D5">
        <w:t>ie</w:t>
      </w:r>
      <w:r>
        <w:t xml:space="preserve"> argument</w:t>
      </w:r>
      <w:r w:rsidR="004539D5">
        <w:t>i</w:t>
      </w:r>
      <w:r>
        <w:t>.</w:t>
      </w:r>
    </w:p>
    <w:p w14:paraId="7A2106A9" w14:textId="31F69D47" w:rsidR="00AE6B45" w:rsidRDefault="00B90669" w:rsidP="007D4C48">
      <w:pPr>
        <w:spacing w:line="276" w:lineRule="auto"/>
        <w:ind w:firstLine="720"/>
        <w:jc w:val="both"/>
      </w:pPr>
      <w:r>
        <w:t>[</w:t>
      </w:r>
      <w:r w:rsidR="00542F03">
        <w:t>4</w:t>
      </w:r>
      <w:r>
        <w:t>.1] </w:t>
      </w:r>
      <w:r w:rsidR="00633D6C">
        <w:t>Apgabaltiesa</w:t>
      </w:r>
      <w:r w:rsidR="002246CF">
        <w:t xml:space="preserve"> nav ievērojusi </w:t>
      </w:r>
      <w:r w:rsidR="002246CF" w:rsidRPr="002246CF">
        <w:t>objektīvās izmeklēšanas princip</w:t>
      </w:r>
      <w:r w:rsidR="002246CF">
        <w:t>u</w:t>
      </w:r>
      <w:r w:rsidR="00516F68">
        <w:t xml:space="preserve">. Ja tiesa uzskatīja, ka pieteicēja iesniegtie pierādījumi nav pietiekami, lai pierādītu cēloņsakarību starp otrās invaliditātes grupas noteikšanu pieteicējam un mugurkaula spondilozes ārstēšanas nenodrošināšanu, </w:t>
      </w:r>
      <w:r w:rsidR="002246CF" w:rsidRPr="002246CF">
        <w:t>ties</w:t>
      </w:r>
      <w:r w:rsidR="00516F68">
        <w:t>ai bija jāapsver iespēja atbilstoši Administratīvā procesa likuma 178.panta pirmajai daļai noteikt lietā tiesu</w:t>
      </w:r>
      <w:r w:rsidR="002246CF" w:rsidRPr="002246CF">
        <w:t xml:space="preserve"> medicīnisko ekspertīzi</w:t>
      </w:r>
      <w:r w:rsidR="002246CF">
        <w:t>.</w:t>
      </w:r>
      <w:r w:rsidR="00516F68">
        <w:t xml:space="preserve"> Tiesa nav arī sniegusi atbildi uz pieteicēja apelācijas sūdzības argumentiem par nepieciešamību noteikt ekspertīzi. Tādējādi spriedums neatbilst </w:t>
      </w:r>
      <w:r w:rsidR="002246CF">
        <w:t>Administratīvā procesa likuma 251.panta piekt</w:t>
      </w:r>
      <w:r w:rsidR="00516F68">
        <w:t>ajai</w:t>
      </w:r>
      <w:r w:rsidR="002246CF">
        <w:t xml:space="preserve"> daļ</w:t>
      </w:r>
      <w:r w:rsidR="00516F68">
        <w:t>ai</w:t>
      </w:r>
      <w:r w:rsidR="00633D6C">
        <w:t xml:space="preserve"> un</w:t>
      </w:r>
      <w:r w:rsidR="002246CF">
        <w:t xml:space="preserve"> 307.panta ceturt</w:t>
      </w:r>
      <w:r w:rsidR="00516F68">
        <w:t>ajai</w:t>
      </w:r>
      <w:r w:rsidR="002246CF">
        <w:t xml:space="preserve"> daļ</w:t>
      </w:r>
      <w:r w:rsidR="00516F68">
        <w:t>ai</w:t>
      </w:r>
      <w:r w:rsidR="002246CF">
        <w:t>.</w:t>
      </w:r>
    </w:p>
    <w:p w14:paraId="5513158F" w14:textId="6C7F2845" w:rsidR="002843B5" w:rsidRDefault="00B90669" w:rsidP="007D4C48">
      <w:pPr>
        <w:spacing w:line="276" w:lineRule="auto"/>
        <w:ind w:firstLine="720"/>
        <w:jc w:val="both"/>
      </w:pPr>
      <w:r>
        <w:t>[</w:t>
      </w:r>
      <w:r w:rsidR="00A375F5">
        <w:t>4</w:t>
      </w:r>
      <w:r>
        <w:t>.</w:t>
      </w:r>
      <w:r w:rsidR="002843B5">
        <w:t>2</w:t>
      </w:r>
      <w:r>
        <w:t>] </w:t>
      </w:r>
      <w:r w:rsidR="00310AAB">
        <w:t xml:space="preserve">Apgabaltiesa nav vērtējusi apelācijas sūdzībā un pieteicēja paskaidrojumos </w:t>
      </w:r>
      <w:r w:rsidR="00310AAB" w:rsidRPr="00310AAB">
        <w:t>norādīto</w:t>
      </w:r>
      <w:r w:rsidR="002C50C8">
        <w:t>s</w:t>
      </w:r>
      <w:r w:rsidR="00310AAB" w:rsidRPr="00310AAB">
        <w:t xml:space="preserve"> pierādījumu</w:t>
      </w:r>
      <w:r w:rsidR="002C50C8">
        <w:t>s</w:t>
      </w:r>
      <w:r w:rsidR="00310AAB" w:rsidRPr="00310AAB">
        <w:t xml:space="preserve"> un ietverto pamatojumu</w:t>
      </w:r>
      <w:r w:rsidR="00310AAB">
        <w:t>, tādējādi pārkāpjot Administratīvā procesa likuma 154.panta pirmo daļu.</w:t>
      </w:r>
    </w:p>
    <w:p w14:paraId="54193956" w14:textId="18E138F9" w:rsidR="002843B5" w:rsidRDefault="002843B5" w:rsidP="007D4C48">
      <w:pPr>
        <w:spacing w:line="276" w:lineRule="auto"/>
        <w:ind w:firstLine="720"/>
        <w:jc w:val="both"/>
      </w:pPr>
      <w:r>
        <w:t>T</w:t>
      </w:r>
      <w:r w:rsidR="00310AAB">
        <w:t xml:space="preserve">iesa </w:t>
      </w:r>
      <w:r>
        <w:t xml:space="preserve">ir </w:t>
      </w:r>
      <w:r w:rsidR="00310AAB">
        <w:t xml:space="preserve">atsaukusies </w:t>
      </w:r>
      <w:r>
        <w:t>tikai</w:t>
      </w:r>
      <w:r w:rsidR="00A375F5">
        <w:t xml:space="preserve"> uz</w:t>
      </w:r>
      <w:r w:rsidR="00310AAB">
        <w:t xml:space="preserve"> </w:t>
      </w:r>
      <w:r w:rsidR="00310AAB" w:rsidRPr="004F6E85">
        <w:t xml:space="preserve">Cietumu slimnīcas ārstu konsultatīvās komisijas </w:t>
      </w:r>
      <w:r w:rsidR="00A20E8D" w:rsidRPr="00912C26">
        <w:rPr>
          <w:rFonts w:asciiTheme="majorBidi" w:hAnsiTheme="majorBidi" w:cstheme="majorBidi"/>
        </w:rPr>
        <w:t>2021.gada 7.oktobr</w:t>
      </w:r>
      <w:r w:rsidR="00A20E8D">
        <w:rPr>
          <w:rFonts w:asciiTheme="majorBidi" w:hAnsiTheme="majorBidi" w:cstheme="majorBidi"/>
        </w:rPr>
        <w:t>a</w:t>
      </w:r>
      <w:r w:rsidR="00A20E8D" w:rsidRPr="00912C26">
        <w:rPr>
          <w:rFonts w:asciiTheme="majorBidi" w:hAnsiTheme="majorBidi" w:cstheme="majorBidi"/>
        </w:rPr>
        <w:t xml:space="preserve"> </w:t>
      </w:r>
      <w:r w:rsidR="00310AAB" w:rsidRPr="004F6E85">
        <w:t xml:space="preserve">atzinumu, bet nav skaidrojusi, </w:t>
      </w:r>
      <w:r w:rsidR="00310AAB" w:rsidRPr="004751AE">
        <w:t>kāpēc nepiekrīt Rīgas Austrumu klīniskās universitātes slimnīcas 2021.gada 22.novembra konsīlija slēdzien</w:t>
      </w:r>
      <w:r w:rsidR="004F6E85" w:rsidRPr="004751AE">
        <w:t>a</w:t>
      </w:r>
      <w:r w:rsidR="00310AAB" w:rsidRPr="004751AE">
        <w:t xml:space="preserve"> secinājumiem par to, ka pieteicējam invaliditātes pazīmes objektīvi progresē tieši tāpēc, ka pieteicējs ieslodzījuma vietā </w:t>
      </w:r>
      <w:r w:rsidR="00A375F5" w:rsidRPr="004751AE">
        <w:t xml:space="preserve">ne reizi </w:t>
      </w:r>
      <w:r w:rsidR="00310AAB" w:rsidRPr="004751AE">
        <w:t>gada laikā nav saņēmis fizioterapeita medicīnisko palīdzību.</w:t>
      </w:r>
      <w:r w:rsidR="00310AAB">
        <w:t xml:space="preserve"> </w:t>
      </w:r>
      <w:r w:rsidR="00D84BC2">
        <w:t>Tāpat tiesa nav ņēmusi</w:t>
      </w:r>
      <w:r w:rsidR="004F6E85">
        <w:t xml:space="preserve"> vērā</w:t>
      </w:r>
      <w:r w:rsidR="00D84BC2">
        <w:t xml:space="preserve"> arī citus pieteicēja </w:t>
      </w:r>
      <w:r w:rsidR="00A375F5">
        <w:t xml:space="preserve">iesniegtos </w:t>
      </w:r>
      <w:r w:rsidR="00D84BC2">
        <w:t>pierādījumus</w:t>
      </w:r>
      <w:r>
        <w:t xml:space="preserve"> – pieteicēju ārstējošo ārstu</w:t>
      </w:r>
      <w:r w:rsidR="004F6E85">
        <w:t xml:space="preserve"> (</w:t>
      </w:r>
      <w:r>
        <w:t>neiroķirurga un fizioterapeita</w:t>
      </w:r>
      <w:r w:rsidR="004F6E85">
        <w:t>)</w:t>
      </w:r>
      <w:r>
        <w:t xml:space="preserve"> – viedokļus.</w:t>
      </w:r>
    </w:p>
    <w:p w14:paraId="2CA5D5A1" w14:textId="71D0CBE8" w:rsidR="00B90669" w:rsidRDefault="002843B5" w:rsidP="007D4C48">
      <w:pPr>
        <w:spacing w:line="276" w:lineRule="auto"/>
        <w:ind w:firstLine="720"/>
        <w:jc w:val="both"/>
      </w:pPr>
      <w:r>
        <w:t>[</w:t>
      </w:r>
      <w:r w:rsidR="0099490C">
        <w:t>4</w:t>
      </w:r>
      <w:r w:rsidR="00B90669">
        <w:t>.</w:t>
      </w:r>
      <w:r>
        <w:t>3</w:t>
      </w:r>
      <w:r w:rsidR="00B90669">
        <w:t>]</w:t>
      </w:r>
      <w:r w:rsidR="00D2462D">
        <w:t> </w:t>
      </w:r>
      <w:r w:rsidR="00633D6C">
        <w:t>Apgabaltiesa</w:t>
      </w:r>
      <w:r w:rsidR="000B120B">
        <w:t xml:space="preserve"> secināj</w:t>
      </w:r>
      <w:r w:rsidR="00633D6C">
        <w:t>a</w:t>
      </w:r>
      <w:r w:rsidR="000B120B">
        <w:t xml:space="preserve">, ka pieteicējam nav iestājušās smagas sekas, norādot, ka </w:t>
      </w:r>
      <w:r w:rsidR="00A375F5">
        <w:t xml:space="preserve">pieteicējs </w:t>
      </w:r>
      <w:r w:rsidR="000B120B">
        <w:t xml:space="preserve">pēc drošības līdzekļa atcelšanas un nepieciešamās medicīniskās palīdzības saņemšanas ir samērā ātri uzlabojis savu veselības stāvokli, par ko liecina viņam noteiktā trešā (mēreni funkcionālie traucējumi) invaliditātes grupa. No šīs tiesas norādes saprotams, ka tās ieskatā otrās invaliditātes grupas </w:t>
      </w:r>
      <w:r w:rsidR="00633D6C">
        <w:t>noteikšana</w:t>
      </w:r>
      <w:r w:rsidR="000B120B">
        <w:t xml:space="preserve"> pieteicējam, atrodoties ieslodzījuma vietā un nesaņemot nepieciešamo medicīnisko palīdzību</w:t>
      </w:r>
      <w:r>
        <w:t>,</w:t>
      </w:r>
      <w:r w:rsidR="000B120B">
        <w:t xml:space="preserve"> un vēlāka trešās grupas piešķiršana, atrodoties brīvībā un pieteicējam regulāri saņemot nepieciešamo fizioterapeita un neirologa medicīnisko palīdzību, pierāda nevis cēloņsakarību starp invaliditātes pazīmju progresēšanu un faktu, ka ieslodzījuma vietā pieteicējs nesaņēma nepieciešamo medicīnisko palīdzību, bet tieši pretēji – smagu seku neesību. Šāds apgabaltiesas viedoklis ir pretrunā vispārējai loģikai, un </w:t>
      </w:r>
      <w:r w:rsidR="00E458D3">
        <w:t>a</w:t>
      </w:r>
      <w:r w:rsidR="000B120B" w:rsidRPr="000B120B">
        <w:t>pgabaltiesa spriedumā nav anal</w:t>
      </w:r>
      <w:r w:rsidR="00E458D3">
        <w:t>i</w:t>
      </w:r>
      <w:r w:rsidR="000B120B" w:rsidRPr="000B120B">
        <w:t>z</w:t>
      </w:r>
      <w:r w:rsidR="00E458D3">
        <w:t>ējusi</w:t>
      </w:r>
      <w:r w:rsidR="000B120B" w:rsidRPr="000B120B">
        <w:t xml:space="preserve"> cēloņsakarību</w:t>
      </w:r>
      <w:r w:rsidR="000B120B">
        <w:t>.</w:t>
      </w:r>
    </w:p>
    <w:p w14:paraId="325A460D" w14:textId="37CE7FD2" w:rsidR="000B120B" w:rsidRPr="004751AE" w:rsidRDefault="000B120B" w:rsidP="007D4C48">
      <w:pPr>
        <w:spacing w:line="276" w:lineRule="auto"/>
        <w:ind w:firstLine="720"/>
        <w:jc w:val="both"/>
      </w:pPr>
      <w:r>
        <w:t>[</w:t>
      </w:r>
      <w:r w:rsidR="002843B5">
        <w:t>4</w:t>
      </w:r>
      <w:r>
        <w:t>.</w:t>
      </w:r>
      <w:r w:rsidR="002843B5">
        <w:t>4</w:t>
      </w:r>
      <w:r>
        <w:t>] </w:t>
      </w:r>
      <w:r w:rsidR="00E458D3">
        <w:t>Apgabaltiesa</w:t>
      </w:r>
      <w:r>
        <w:t xml:space="preserve"> </w:t>
      </w:r>
      <w:r w:rsidR="002843B5">
        <w:t xml:space="preserve">vispār </w:t>
      </w:r>
      <w:r>
        <w:t xml:space="preserve">nav vērtējusi, </w:t>
      </w:r>
      <w:r w:rsidRPr="000B120B">
        <w:t>kāds atlīdzinājums nosakāms par pieteicēja sāpēm un fiziskām ciešanām, pavadot apcietinājumā vairāk nekā gadu un nesaņemot nepieciešamo medicīnisko palīdzību</w:t>
      </w:r>
      <w:r>
        <w:t>.</w:t>
      </w:r>
      <w:r w:rsidR="002843B5">
        <w:t xml:space="preserve"> Arī tad, ja personai nodarītais kaitējums nav bijis smags, personai ir tiesības uz </w:t>
      </w:r>
      <w:r w:rsidR="002843B5" w:rsidRPr="004751AE">
        <w:t xml:space="preserve">atlīdzinājumu. Apgabaltiesas secinājums, ka kaitējums nav smags, pats par sevi nevar kalpot par pamatu prasījuma par nemantiskā kaitējuma atlīdzināšanu naudā noraidīšanai. </w:t>
      </w:r>
      <w:r w:rsidRPr="004751AE">
        <w:t>Neveicot atbilstošu izvērtējumu, tiesa</w:t>
      </w:r>
      <w:r w:rsidR="002843B5" w:rsidRPr="004751AE">
        <w:t xml:space="preserve"> ir</w:t>
      </w:r>
      <w:r w:rsidRPr="004751AE">
        <w:t xml:space="preserve"> nepareizi piemērojusi </w:t>
      </w:r>
      <w:r w:rsidR="005C797C" w:rsidRPr="004751AE">
        <w:t xml:space="preserve">Latvijas Republikas Satversmes (turpmāk – Satversme) 92.panta trešo teikumu un </w:t>
      </w:r>
      <w:r w:rsidR="00435952" w:rsidRPr="004751AE">
        <w:t xml:space="preserve">Valsts pārvaldes iestāžu nodarīto zaudējumu atlīdzināšanas likuma (turpmāk – Zaudējumu atlīdzināšanas likums) </w:t>
      </w:r>
      <w:r w:rsidR="005C797C" w:rsidRPr="004751AE">
        <w:t xml:space="preserve">8.pantu un </w:t>
      </w:r>
      <w:r w:rsidRPr="004751AE">
        <w:t>14.panta ceturto daļu</w:t>
      </w:r>
      <w:r w:rsidR="00633D6C" w:rsidRPr="004751AE">
        <w:t>.</w:t>
      </w:r>
    </w:p>
    <w:p w14:paraId="7D72D787" w14:textId="34F68333" w:rsidR="005C797C" w:rsidRDefault="005C797C" w:rsidP="007D4C48">
      <w:pPr>
        <w:spacing w:line="276" w:lineRule="auto"/>
        <w:ind w:firstLine="720"/>
        <w:jc w:val="both"/>
      </w:pPr>
      <w:r w:rsidRPr="004751AE">
        <w:t>Ņemot vērā, ka lietā aizskartas pieteicēja pamattiesības uz Satversmes 95.pantā paredzēto spīdzināšana</w:t>
      </w:r>
      <w:r w:rsidR="00633D6C" w:rsidRPr="004751AE">
        <w:t>s</w:t>
      </w:r>
      <w:r w:rsidRPr="004751AE">
        <w:t xml:space="preserve"> un cietsirdīgas vai cieņu pazemojoša</w:t>
      </w:r>
      <w:r w:rsidR="007C7716">
        <w:t>s</w:t>
      </w:r>
      <w:r w:rsidRPr="004751AE">
        <w:t xml:space="preserve"> izturēšanās aizliegumu, apgabaltiesai bija jānonāk pie secinājuma, ka cietuma administrācijas pārkāpums</w:t>
      </w:r>
      <w:r w:rsidRPr="005C797C">
        <w:t xml:space="preserve"> ir vērtējams kā nozīmīgs personas tiesību aizskārums, kas dod tiesības uz nemantiskā kaitējuma atlīdzinājumu naudā.</w:t>
      </w:r>
    </w:p>
    <w:p w14:paraId="690F8B8A" w14:textId="6F25CE9F" w:rsidR="007B5FC5" w:rsidRPr="00153FAC" w:rsidRDefault="005C797C" w:rsidP="007D4C48">
      <w:pPr>
        <w:spacing w:line="276" w:lineRule="auto"/>
        <w:ind w:firstLine="720"/>
        <w:jc w:val="both"/>
      </w:pPr>
      <w:r>
        <w:t>[</w:t>
      </w:r>
      <w:r w:rsidR="00E458D3">
        <w:t>4</w:t>
      </w:r>
      <w:r>
        <w:t>.</w:t>
      </w:r>
      <w:r w:rsidR="007B5FC5">
        <w:t>5</w:t>
      </w:r>
      <w:r>
        <w:t>] </w:t>
      </w:r>
      <w:r w:rsidRPr="005C797C">
        <w:t xml:space="preserve">Apgabaltiesa ir nepareizi interpretējusi un piemērojusi </w:t>
      </w:r>
      <w:r w:rsidR="00633D6C">
        <w:t>Z</w:t>
      </w:r>
      <w:r w:rsidRPr="005C797C">
        <w:t>audējumu atlīdzināšanas likuma 6.panta pirmo daļu.</w:t>
      </w:r>
      <w:r w:rsidR="007B5FC5">
        <w:t xml:space="preserve"> Apgabaltiesa ir nepareizi izpratusi jēdzienu „kaitējuma sekas”. K</w:t>
      </w:r>
      <w:r w:rsidR="007B5FC5" w:rsidRPr="00153FAC">
        <w:t>aitējuma sekas ir tās, kas personai ir objektīvi radušās dēļ iestādes rīcības, konkrēt</w:t>
      </w:r>
      <w:r w:rsidR="007C7716">
        <w:t>aj</w:t>
      </w:r>
      <w:r w:rsidR="007B5FC5" w:rsidRPr="00153FAC">
        <w:t>ā gadījumā</w:t>
      </w:r>
      <w:r w:rsidR="007C7716">
        <w:t xml:space="preserve"> –</w:t>
      </w:r>
      <w:r w:rsidR="007B5FC5" w:rsidRPr="00153FAC">
        <w:t xml:space="preserve"> dēļ cietuma administrācijas bezdarbības pieteicējam saasinājās mugurkaula saslimšana un tika piešķirta otrā invaliditātes grupa, kā arī viņš cieta pastāvīgas un stipras sāpes ikdienā vairāk </w:t>
      </w:r>
      <w:r w:rsidR="007C7716">
        <w:t>ne</w:t>
      </w:r>
      <w:r w:rsidR="007B5FC5" w:rsidRPr="00153FAC">
        <w:t>kā gad</w:t>
      </w:r>
      <w:r w:rsidR="007B5FC5">
        <w:t>u</w:t>
      </w:r>
      <w:r w:rsidR="007B5FC5" w:rsidRPr="00153FAC">
        <w:t>. Vēlāka trešās invaliditātes grupas piešķiršana un veselības stāvokļa uzlabojums nav objektīvi saistīts ar cietuma administrācijas rīcību, bet ar paša pieteicēja pūlēm pēc atbrīvošanas no ieslodzījuma vietas.</w:t>
      </w:r>
    </w:p>
    <w:p w14:paraId="0E359F5A" w14:textId="364C5A0B" w:rsidR="00965F97" w:rsidRDefault="005C797C" w:rsidP="007D4C48">
      <w:pPr>
        <w:spacing w:line="276" w:lineRule="auto"/>
        <w:ind w:firstLine="720"/>
        <w:jc w:val="both"/>
      </w:pPr>
      <w:r>
        <w:t>[</w:t>
      </w:r>
      <w:r w:rsidR="00E458D3">
        <w:t>4</w:t>
      </w:r>
      <w:r>
        <w:t>.</w:t>
      </w:r>
      <w:r w:rsidR="007B5FC5">
        <w:t>6</w:t>
      </w:r>
      <w:r>
        <w:t>] </w:t>
      </w:r>
      <w:r w:rsidR="00A27085">
        <w:t xml:space="preserve">Apgabaltiesa ir norādījusi, ka pieteicēja advokātam bija jāzina, </w:t>
      </w:r>
      <w:r w:rsidR="00A27085" w:rsidRPr="00841375">
        <w:t>ka ar apstrīdēšanas iesniegumu pārvaldē un attiecīgi pieteikumu tiesā varēja vērsties ātrāk</w:t>
      </w:r>
      <w:r w:rsidR="00A27085">
        <w:t xml:space="preserve">. Taču tiesa nav ņēmusi vērā, </w:t>
      </w:r>
      <w:r w:rsidR="007C7716">
        <w:t xml:space="preserve">ka </w:t>
      </w:r>
      <w:r w:rsidR="00A27085">
        <w:t xml:space="preserve">zvērināts advokāts </w:t>
      </w:r>
      <w:r w:rsidR="00A27085" w:rsidRPr="00A27085">
        <w:t>nodrošināja pieteicēja aizstāvību kriminālprocesā</w:t>
      </w:r>
      <w:r w:rsidR="00A27085">
        <w:t xml:space="preserve">. </w:t>
      </w:r>
      <w:r w:rsidR="00A27085" w:rsidRPr="007B5FC5">
        <w:t>Pieteicējs nelūdza zvērinātam advokātam konsultāciju par iespējām apstrīdēt cietuma administrācijas faktisko rīcību. Apgabaltiesas ieskats, ka zvērinātam</w:t>
      </w:r>
      <w:r w:rsidR="00A27085" w:rsidRPr="00A27085">
        <w:t xml:space="preserve"> advokātam ir jādarbojas ārpus vienošanās ar klientu tvēruma, ir pretrunā advokatūras darbības pamatprincipiem</w:t>
      </w:r>
      <w:r w:rsidR="00A27085">
        <w:t xml:space="preserve">, tostarp </w:t>
      </w:r>
      <w:r w:rsidR="008815C2">
        <w:t xml:space="preserve">Latvijas Republikas </w:t>
      </w:r>
      <w:r w:rsidR="00A27085">
        <w:t>Advokatūras likuma 51.pantam.</w:t>
      </w:r>
    </w:p>
    <w:p w14:paraId="4A4A2CDE" w14:textId="77777777" w:rsidR="00A27085" w:rsidRDefault="00A27085" w:rsidP="007D4C48">
      <w:pPr>
        <w:spacing w:line="276" w:lineRule="auto"/>
        <w:ind w:firstLine="720"/>
        <w:jc w:val="both"/>
      </w:pPr>
    </w:p>
    <w:p w14:paraId="36439135" w14:textId="26CF821B" w:rsidR="00965F97" w:rsidRDefault="00965F97" w:rsidP="007D4C48">
      <w:pPr>
        <w:spacing w:line="276" w:lineRule="auto"/>
        <w:ind w:firstLine="720"/>
        <w:jc w:val="both"/>
      </w:pPr>
      <w:r>
        <w:t>[</w:t>
      </w:r>
      <w:r w:rsidR="00E458D3">
        <w:t>5</w:t>
      </w:r>
      <w:r>
        <w:t>] </w:t>
      </w:r>
      <w:r w:rsidR="0070757F">
        <w:t>Pārvalde</w:t>
      </w:r>
      <w:r w:rsidR="00D42F37">
        <w:t xml:space="preserve"> paskaidrojumos par kasācijas sūdzību norāda, ka tā </w:t>
      </w:r>
      <w:r w:rsidR="00A82B88">
        <w:t>nav pamatota</w:t>
      </w:r>
      <w:r>
        <w:t>.</w:t>
      </w:r>
    </w:p>
    <w:p w14:paraId="07D71E66" w14:textId="77777777" w:rsidR="0024257D" w:rsidRDefault="0024257D" w:rsidP="007D4C48">
      <w:pPr>
        <w:spacing w:line="276" w:lineRule="auto"/>
        <w:jc w:val="center"/>
        <w:rPr>
          <w:b/>
          <w:bCs/>
        </w:rPr>
      </w:pPr>
    </w:p>
    <w:p w14:paraId="1F6CC257" w14:textId="55786C14" w:rsidR="00251D1F" w:rsidRPr="005E280D" w:rsidRDefault="005E280D" w:rsidP="007D4C48">
      <w:pPr>
        <w:keepNext/>
        <w:spacing w:line="276" w:lineRule="auto"/>
        <w:jc w:val="center"/>
        <w:rPr>
          <w:b/>
          <w:bCs/>
        </w:rPr>
      </w:pPr>
      <w:r w:rsidRPr="005E280D">
        <w:rPr>
          <w:b/>
          <w:bCs/>
        </w:rPr>
        <w:t>Motīvu daļa</w:t>
      </w:r>
    </w:p>
    <w:p w14:paraId="7BDF293F" w14:textId="77777777" w:rsidR="00251D1F" w:rsidRDefault="00251D1F" w:rsidP="007D4C48">
      <w:pPr>
        <w:keepNext/>
        <w:spacing w:line="276" w:lineRule="auto"/>
        <w:ind w:firstLine="720"/>
        <w:contextualSpacing/>
        <w:jc w:val="both"/>
      </w:pPr>
    </w:p>
    <w:p w14:paraId="0F07FFA2" w14:textId="207EA741" w:rsidR="006C5E73" w:rsidRDefault="00965F97" w:rsidP="007D4C48">
      <w:pPr>
        <w:spacing w:line="276" w:lineRule="auto"/>
        <w:ind w:firstLine="709"/>
        <w:contextualSpacing/>
        <w:jc w:val="both"/>
      </w:pPr>
      <w:r w:rsidRPr="004D1B99">
        <w:t>[</w:t>
      </w:r>
      <w:r w:rsidR="007B5FC5" w:rsidRPr="004D1B99">
        <w:t>6</w:t>
      </w:r>
      <w:r w:rsidRPr="004D1B99">
        <w:t>] </w:t>
      </w:r>
      <w:r w:rsidR="007B5FC5" w:rsidRPr="004D1B99">
        <w:t xml:space="preserve">Kasācijas tiesvedībā ir noskaidrojams, vai apgabaltiesa </w:t>
      </w:r>
      <w:r w:rsidR="006C5E73" w:rsidRPr="004D1B99">
        <w:t xml:space="preserve">ir </w:t>
      </w:r>
      <w:r w:rsidR="008815C2">
        <w:t>pareizi noteikusi un no</w:t>
      </w:r>
      <w:r w:rsidR="004D1B99" w:rsidRPr="004D1B99">
        <w:t xml:space="preserve">vērtējusi </w:t>
      </w:r>
      <w:r w:rsidR="008815C2">
        <w:t>nemantiskā kaitējuma noteikšanas kritēriju</w:t>
      </w:r>
      <w:r w:rsidR="00A15B3D">
        <w:t>s</w:t>
      </w:r>
      <w:r w:rsidR="008815C2">
        <w:t>, kā arī</w:t>
      </w:r>
      <w:r w:rsidR="007C7716">
        <w:t xml:space="preserve"> vai </w:t>
      </w:r>
      <w:r w:rsidR="008815C2">
        <w:t>ir</w:t>
      </w:r>
      <w:r w:rsidR="007C7716">
        <w:t xml:space="preserve"> pienācīgi</w:t>
      </w:r>
      <w:r w:rsidR="008815C2">
        <w:t xml:space="preserve"> novērtējusi visus</w:t>
      </w:r>
      <w:r w:rsidR="004D1B99" w:rsidRPr="004D1B99">
        <w:t xml:space="preserve"> pierādījumus lietā</w:t>
      </w:r>
      <w:r w:rsidR="006C5E73" w:rsidRPr="004D1B99">
        <w:t>.</w:t>
      </w:r>
    </w:p>
    <w:p w14:paraId="580643CB" w14:textId="77777777" w:rsidR="007B5FC5" w:rsidRDefault="007B5FC5" w:rsidP="007D4C48">
      <w:pPr>
        <w:spacing w:line="276" w:lineRule="auto"/>
        <w:ind w:firstLine="709"/>
        <w:contextualSpacing/>
        <w:jc w:val="both"/>
      </w:pPr>
    </w:p>
    <w:p w14:paraId="0E526CE7" w14:textId="35244E8F" w:rsidR="00F3440A" w:rsidRDefault="007B5FC5" w:rsidP="007D4C48">
      <w:pPr>
        <w:spacing w:line="276" w:lineRule="auto"/>
        <w:ind w:firstLine="720"/>
        <w:contextualSpacing/>
        <w:jc w:val="both"/>
      </w:pPr>
      <w:r>
        <w:t>[7] </w:t>
      </w:r>
      <w:r w:rsidR="001736AA" w:rsidRPr="00EB1BF7">
        <w:rPr>
          <w:color w:val="000000" w:themeColor="text1"/>
        </w:rPr>
        <w:t>Tiesības uz atbilstīgu atlīdzinājumu nepamatota tiesību aizskāruma gadījumā ir viena no personas pamattiesībām, kur</w:t>
      </w:r>
      <w:r w:rsidR="00396244">
        <w:rPr>
          <w:color w:val="000000" w:themeColor="text1"/>
        </w:rPr>
        <w:t>u</w:t>
      </w:r>
      <w:r w:rsidR="001736AA" w:rsidRPr="00EB1BF7">
        <w:rPr>
          <w:color w:val="000000" w:themeColor="text1"/>
        </w:rPr>
        <w:t xml:space="preserve"> aizsargā Satversme</w:t>
      </w:r>
      <w:r w:rsidR="001736AA">
        <w:rPr>
          <w:color w:val="000000" w:themeColor="text1"/>
        </w:rPr>
        <w:t>s</w:t>
      </w:r>
      <w:r w:rsidR="001736AA" w:rsidRPr="00EB1BF7">
        <w:rPr>
          <w:color w:val="000000" w:themeColor="text1"/>
        </w:rPr>
        <w:t xml:space="preserve"> 92.panta trešais teikums. </w:t>
      </w:r>
      <w:r w:rsidR="00932AA9" w:rsidRPr="00932AA9">
        <w:rPr>
          <w:color w:val="000000" w:themeColor="text1"/>
        </w:rPr>
        <w:t>Šīs tiesības konkretizētas Administratīvā procesa likuma 92.pantā</w:t>
      </w:r>
      <w:r w:rsidR="00932AA9">
        <w:rPr>
          <w:color w:val="000000" w:themeColor="text1"/>
        </w:rPr>
        <w:t>.</w:t>
      </w:r>
      <w:r w:rsidR="00932AA9" w:rsidRPr="00932AA9">
        <w:rPr>
          <w:color w:val="000000" w:themeColor="text1"/>
        </w:rPr>
        <w:t xml:space="preserve"> </w:t>
      </w:r>
      <w:r w:rsidR="00F3440A">
        <w:t xml:space="preserve">Savukārt Zaudējumu atlīdzināšanas likums regulē kārtību, kādā privātpersonai tiek nodrošinātas Satversmē un Administratīvā procesa likumā noteiktās tiesības uz </w:t>
      </w:r>
      <w:r w:rsidR="00F3440A" w:rsidRPr="00932AA9">
        <w:t>atbilstīgu atlīdzinājumu par zaudējumu vai nemantisko kaitējumu, kas tai nodarīts ar valsts pārvaldes iestādes prettiesisku administratīvo aktu vai prettiesisku faktisko rīcību.</w:t>
      </w:r>
    </w:p>
    <w:p w14:paraId="42C4A448" w14:textId="5938165E" w:rsidR="000867E7" w:rsidRDefault="001736AA" w:rsidP="007D4C48">
      <w:pPr>
        <w:spacing w:line="276" w:lineRule="auto"/>
        <w:ind w:firstLine="720"/>
        <w:contextualSpacing/>
        <w:jc w:val="both"/>
        <w:rPr>
          <w:color w:val="000000" w:themeColor="text1"/>
        </w:rPr>
      </w:pPr>
      <w:r w:rsidRPr="00EB1BF7">
        <w:rPr>
          <w:color w:val="000000" w:themeColor="text1"/>
        </w:rPr>
        <w:t>Kā atzinusi Satversmes tiesa, Satversmes 92.panta trešais teikums ietver vispārēju taisnīgas tiesas garantiju – ja kādas personas tiesības vai ar likumu aizsargātās intereses ir pārkāptas, tad personai ir tiesības saņemt atbilstīgu atlīdzinājumu. Termins „atbilstīgs atlīdzinājums” ietver taisnīgu gandarījumu, kas konkrētajā situācijā ir samērojams ar personas tiesību aizskārumu. Atbilstīgam atlīdzinājumam ir vairākas funkcijas – visupirms jau kompensācijas, samierināšanas, kā arī vispārējās un speciālās prevencijas funkcija. Minēto funkciju mērķis ir panākt efektīvu taisnīguma atjaunošanu un pamattiesību aizsardzību (</w:t>
      </w:r>
      <w:r w:rsidRPr="00D81A94">
        <w:rPr>
          <w:i/>
          <w:color w:val="000000" w:themeColor="text1"/>
        </w:rPr>
        <w:t>Satversmes tiesas 2012.gada 6.jūnija sprieduma lietā Nr. </w:t>
      </w:r>
      <w:hyperlink r:id="rId9" w:anchor="search=" w:history="1">
        <w:r w:rsidRPr="001F5F38">
          <w:rPr>
            <w:rStyle w:val="Hyperlink"/>
            <w:i/>
            <w:iCs/>
          </w:rPr>
          <w:t>2011-21-01</w:t>
        </w:r>
      </w:hyperlink>
      <w:r w:rsidRPr="001F5F38">
        <w:rPr>
          <w:i/>
          <w:iCs/>
          <w:color w:val="000000" w:themeColor="text1"/>
        </w:rPr>
        <w:t xml:space="preserve"> 6., 11.1.punkts</w:t>
      </w:r>
      <w:r w:rsidRPr="001F5F38">
        <w:rPr>
          <w:color w:val="000000" w:themeColor="text1"/>
        </w:rPr>
        <w:t>).</w:t>
      </w:r>
    </w:p>
    <w:p w14:paraId="135A2249" w14:textId="113EB7C2" w:rsidR="006C5E73" w:rsidRDefault="000867E7" w:rsidP="007D4C48">
      <w:pPr>
        <w:spacing w:line="276" w:lineRule="auto"/>
        <w:ind w:firstLine="720"/>
        <w:contextualSpacing/>
        <w:jc w:val="both"/>
      </w:pPr>
      <w:r w:rsidRPr="000867E7">
        <w:t xml:space="preserve">Arī Senāts savā līdzšinējā judikatūrā ir </w:t>
      </w:r>
      <w:r w:rsidR="00320B23" w:rsidRPr="000867E7">
        <w:t>attīstīji</w:t>
      </w:r>
      <w:r w:rsidR="000C1CC6">
        <w:t>s</w:t>
      </w:r>
      <w:r w:rsidR="00320B23" w:rsidRPr="000867E7">
        <w:t xml:space="preserve"> virkni principu, kas ir jāievēro atlīdzinājuma noteikšanā. Lai atlīdzinājums būtu atbilstīgs Satversmes 92.panta izpratnē, tam ir jābūt efektīvam tiesiskās aizsardzības līdzeklim. Jēdziens „atbilstīgs atlīdzinājums” nozīmē, ka atlīdzinājumam ir jābūt taisnīgam. Atlīdzinājumam ir jāsniedz gandarījums personai, kuras tiesības ir tikušas aizskartas. Ar atlīdzinājumu var arī atturēt iestādi no līdzīgu aizskārumu izdarīšanas nākotnē. Nosakot atlīdzinājumu, tiesa pauž valsts nostāju par aizskarto tiesību un paša tiesību aizskāruma nozīmīgumu. Tādējādi atlīdzinājums demokrātiskā un tiesiskā valstī nedrīkst būt nesamērīgi mazs (</w:t>
      </w:r>
      <w:r>
        <w:t xml:space="preserve">piemēram, </w:t>
      </w:r>
      <w:r w:rsidRPr="00D81A94">
        <w:rPr>
          <w:i/>
        </w:rPr>
        <w:t>Senāta 2016.gada 30.novembra sprieduma lietā Nr. </w:t>
      </w:r>
      <w:hyperlink r:id="rId10" w:history="1">
        <w:r w:rsidRPr="001F5F38">
          <w:rPr>
            <w:rStyle w:val="Hyperlink"/>
            <w:i/>
            <w:iCs/>
          </w:rPr>
          <w:t>SKA-1214/2016</w:t>
        </w:r>
      </w:hyperlink>
      <w:r w:rsidRPr="001F5F38">
        <w:rPr>
          <w:i/>
          <w:iCs/>
        </w:rPr>
        <w:t>,</w:t>
      </w:r>
      <w:r w:rsidRPr="00D81A94">
        <w:rPr>
          <w:i/>
        </w:rPr>
        <w:t xml:space="preserve"> A420520313, 6.punkts un tajā minētā judikatūra</w:t>
      </w:r>
      <w:r w:rsidRPr="00D81A94">
        <w:t>).</w:t>
      </w:r>
    </w:p>
    <w:p w14:paraId="55887C22" w14:textId="77777777" w:rsidR="000867E7" w:rsidRDefault="000867E7" w:rsidP="007D4C48">
      <w:pPr>
        <w:spacing w:line="276" w:lineRule="auto"/>
        <w:ind w:firstLine="720"/>
        <w:contextualSpacing/>
        <w:jc w:val="both"/>
        <w:rPr>
          <w:i/>
          <w:iCs/>
        </w:rPr>
      </w:pPr>
    </w:p>
    <w:p w14:paraId="15D08364" w14:textId="5E66D87F" w:rsidR="00B4639C" w:rsidRPr="004751AE" w:rsidRDefault="000867E7" w:rsidP="007D4C48">
      <w:pPr>
        <w:spacing w:line="276" w:lineRule="auto"/>
        <w:ind w:firstLine="720"/>
        <w:contextualSpacing/>
        <w:jc w:val="both"/>
        <w:rPr>
          <w:rFonts w:asciiTheme="majorBidi" w:hAnsiTheme="majorBidi" w:cstheme="majorBidi"/>
        </w:rPr>
      </w:pPr>
      <w:r w:rsidRPr="000867E7">
        <w:t>[</w:t>
      </w:r>
      <w:r>
        <w:t>8</w:t>
      </w:r>
      <w:r w:rsidRPr="000867E7">
        <w:t>]</w:t>
      </w:r>
      <w:r w:rsidR="00932AA9">
        <w:t> </w:t>
      </w:r>
      <w:r w:rsidR="00B4639C">
        <w:t xml:space="preserve">Saskaņā ar Zaudējumu atlīdzināšanas likuma 8.panta 1.punktu nemantiskais kaitējums ir </w:t>
      </w:r>
      <w:r w:rsidR="00B4639C" w:rsidRPr="00912C26">
        <w:rPr>
          <w:rFonts w:asciiTheme="majorBidi" w:hAnsiTheme="majorBidi" w:cstheme="majorBidi"/>
        </w:rPr>
        <w:t xml:space="preserve">ar iestādes prettiesisku administratīvo aktu vai prettiesisku faktisko rīcību nodarīts fiziskās personas </w:t>
      </w:r>
      <w:r w:rsidR="00B4639C" w:rsidRPr="004751AE">
        <w:rPr>
          <w:rFonts w:asciiTheme="majorBidi" w:hAnsiTheme="majorBidi" w:cstheme="majorBidi"/>
        </w:rPr>
        <w:t>dzīvības, veselības, brīvības, goda un cieņas, personiskā vai ģimenes noslēpuma, citu nemantisko tiesību vai ar likumu aizsargāto interešu aizskārums, kā rezultātā radušās nelabvēlīgas nemantiskās sekas.</w:t>
      </w:r>
    </w:p>
    <w:p w14:paraId="453D9C79" w14:textId="77777777" w:rsidR="00F3440A" w:rsidRPr="0071769B" w:rsidRDefault="00F3440A" w:rsidP="007D4C48">
      <w:pPr>
        <w:spacing w:line="276" w:lineRule="auto"/>
        <w:ind w:firstLine="720"/>
        <w:jc w:val="both"/>
        <w:rPr>
          <w:rFonts w:asciiTheme="majorBidi" w:hAnsiTheme="majorBidi" w:cstheme="majorBidi"/>
        </w:rPr>
      </w:pPr>
      <w:r w:rsidRPr="004751AE">
        <w:rPr>
          <w:rFonts w:asciiTheme="majorBidi" w:hAnsiTheme="majorBidi" w:cstheme="majorBidi"/>
        </w:rPr>
        <w:t>Saskaņā ar Zaudējumu atlīdzināšanas likuma 11.panta otro un trešo daļu faktus, kas apliecina nemantiskā kaitējuma nodarīšanu, pierāda ar Administratīvā procesa likumā norādītajiem pierādīšanas līdzekļiem. Privātpersonai ir pienākums norādīt, kā izpaudies tās nemantisko tiesību un ar likumu aizsargāto interešu aizskārums, un pamatot atlīdzinājuma apmēru. Ja ar prettiesisku administratīvo aktu vai prettiesisku faktisko rīcību privātpersonai ir nodarīts būtisks tiesību aizskārums, nemantiskā kaitējuma esība ir uzskatāma par pierādītu</w:t>
      </w:r>
      <w:r w:rsidRPr="0071769B">
        <w:rPr>
          <w:rFonts w:asciiTheme="majorBidi" w:hAnsiTheme="majorBidi" w:cstheme="majorBidi"/>
        </w:rPr>
        <w:t>.</w:t>
      </w:r>
    </w:p>
    <w:p w14:paraId="1529F6F2" w14:textId="7E70A224" w:rsidR="00007928" w:rsidRDefault="00D77553" w:rsidP="007D4C48">
      <w:pPr>
        <w:spacing w:line="276" w:lineRule="auto"/>
        <w:ind w:firstLine="720"/>
        <w:contextualSpacing/>
        <w:jc w:val="both"/>
        <w:rPr>
          <w:rFonts w:asciiTheme="majorBidi" w:hAnsiTheme="majorBidi" w:cstheme="majorBidi"/>
        </w:rPr>
      </w:pPr>
      <w:r>
        <w:rPr>
          <w:rFonts w:asciiTheme="majorBidi" w:hAnsiTheme="majorBidi" w:cstheme="majorBidi"/>
        </w:rPr>
        <w:t>Tātad n</w:t>
      </w:r>
      <w:r w:rsidRPr="000415B5">
        <w:rPr>
          <w:rFonts w:asciiTheme="majorBidi" w:hAnsiTheme="majorBidi" w:cstheme="majorBidi"/>
        </w:rPr>
        <w:t>emantisk</w:t>
      </w:r>
      <w:r w:rsidR="00B25789">
        <w:rPr>
          <w:rFonts w:asciiTheme="majorBidi" w:hAnsiTheme="majorBidi" w:cstheme="majorBidi"/>
        </w:rPr>
        <w:t>ais</w:t>
      </w:r>
      <w:r w:rsidRPr="000415B5">
        <w:rPr>
          <w:rFonts w:asciiTheme="majorBidi" w:hAnsiTheme="majorBidi" w:cstheme="majorBidi"/>
        </w:rPr>
        <w:t xml:space="preserve"> kaitējum</w:t>
      </w:r>
      <w:r w:rsidR="00B25789">
        <w:rPr>
          <w:rFonts w:asciiTheme="majorBidi" w:hAnsiTheme="majorBidi" w:cstheme="majorBidi"/>
        </w:rPr>
        <w:t>s</w:t>
      </w:r>
      <w:r w:rsidRPr="000415B5">
        <w:rPr>
          <w:rFonts w:asciiTheme="majorBidi" w:hAnsiTheme="majorBidi" w:cstheme="majorBidi"/>
        </w:rPr>
        <w:t xml:space="preserve"> ir personas tiesību </w:t>
      </w:r>
      <w:r w:rsidR="00007928">
        <w:rPr>
          <w:rFonts w:asciiTheme="majorBidi" w:hAnsiTheme="majorBidi" w:cstheme="majorBidi"/>
        </w:rPr>
        <w:t>vai ar likumu aizsargāto</w:t>
      </w:r>
      <w:r w:rsidRPr="000415B5">
        <w:rPr>
          <w:rFonts w:asciiTheme="majorBidi" w:hAnsiTheme="majorBidi" w:cstheme="majorBidi"/>
        </w:rPr>
        <w:t xml:space="preserve"> interešu aizskārums, </w:t>
      </w:r>
      <w:r w:rsidR="00B25789">
        <w:rPr>
          <w:rFonts w:asciiTheme="majorBidi" w:hAnsiTheme="majorBidi" w:cstheme="majorBidi"/>
        </w:rPr>
        <w:t>kas radījis</w:t>
      </w:r>
      <w:r w:rsidRPr="000415B5">
        <w:rPr>
          <w:rFonts w:asciiTheme="majorBidi" w:hAnsiTheme="majorBidi" w:cstheme="majorBidi"/>
        </w:rPr>
        <w:t xml:space="preserve"> </w:t>
      </w:r>
      <w:r>
        <w:rPr>
          <w:rFonts w:asciiTheme="majorBidi" w:hAnsiTheme="majorBidi" w:cstheme="majorBidi"/>
        </w:rPr>
        <w:t xml:space="preserve">nelabvēlīgās </w:t>
      </w:r>
      <w:r w:rsidRPr="000415B5">
        <w:rPr>
          <w:rFonts w:asciiTheme="majorBidi" w:hAnsiTheme="majorBidi" w:cstheme="majorBidi"/>
        </w:rPr>
        <w:t>sekas</w:t>
      </w:r>
      <w:r>
        <w:rPr>
          <w:rFonts w:asciiTheme="majorBidi" w:hAnsiTheme="majorBidi" w:cstheme="majorBidi"/>
        </w:rPr>
        <w:t>,</w:t>
      </w:r>
      <w:r w:rsidRPr="00D77553">
        <w:rPr>
          <w:color w:val="000000" w:themeColor="text1"/>
        </w:rPr>
        <w:t xml:space="preserve"> </w:t>
      </w:r>
      <w:r>
        <w:rPr>
          <w:color w:val="000000" w:themeColor="text1"/>
        </w:rPr>
        <w:t>piemēram, kaitējums veselībai, varbūtējs emocionāls pārdzīvojums</w:t>
      </w:r>
      <w:r w:rsidR="00007928">
        <w:rPr>
          <w:color w:val="000000" w:themeColor="text1"/>
        </w:rPr>
        <w:t xml:space="preserve"> u.c</w:t>
      </w:r>
      <w:r>
        <w:rPr>
          <w:color w:val="000000" w:themeColor="text1"/>
        </w:rPr>
        <w:t>.</w:t>
      </w:r>
      <w:r w:rsidR="00F3440A">
        <w:rPr>
          <w:color w:val="000000" w:themeColor="text1"/>
        </w:rPr>
        <w:t xml:space="preserve"> Nosakot nodarīto </w:t>
      </w:r>
      <w:r>
        <w:rPr>
          <w:color w:val="000000" w:themeColor="text1"/>
        </w:rPr>
        <w:t xml:space="preserve">nemantisko </w:t>
      </w:r>
      <w:r w:rsidR="00F3440A">
        <w:rPr>
          <w:color w:val="000000" w:themeColor="text1"/>
        </w:rPr>
        <w:t xml:space="preserve">kaitējumu, jākonstatē cēloņsakarība </w:t>
      </w:r>
      <w:r w:rsidR="00F3440A" w:rsidRPr="000415B5">
        <w:rPr>
          <w:rFonts w:asciiTheme="majorBidi" w:hAnsiTheme="majorBidi" w:cstheme="majorBidi"/>
        </w:rPr>
        <w:t xml:space="preserve">starp </w:t>
      </w:r>
      <w:r>
        <w:rPr>
          <w:rFonts w:asciiTheme="majorBidi" w:hAnsiTheme="majorBidi" w:cstheme="majorBidi"/>
        </w:rPr>
        <w:t xml:space="preserve">iestādes </w:t>
      </w:r>
      <w:r w:rsidR="00F3440A" w:rsidRPr="000415B5">
        <w:rPr>
          <w:rFonts w:asciiTheme="majorBidi" w:hAnsiTheme="majorBidi" w:cstheme="majorBidi"/>
        </w:rPr>
        <w:t>prettiesisko rīcību un</w:t>
      </w:r>
      <w:r>
        <w:rPr>
          <w:rFonts w:asciiTheme="majorBidi" w:hAnsiTheme="majorBidi" w:cstheme="majorBidi"/>
        </w:rPr>
        <w:t xml:space="preserve"> cietušajam nodarīto</w:t>
      </w:r>
      <w:r w:rsidR="00F3440A" w:rsidRPr="000415B5">
        <w:rPr>
          <w:rFonts w:asciiTheme="majorBidi" w:hAnsiTheme="majorBidi" w:cstheme="majorBidi"/>
        </w:rPr>
        <w:t xml:space="preserve"> </w:t>
      </w:r>
      <w:r w:rsidR="007C7716">
        <w:rPr>
          <w:rFonts w:asciiTheme="majorBidi" w:hAnsiTheme="majorBidi" w:cstheme="majorBidi"/>
        </w:rPr>
        <w:t>kaitējumu</w:t>
      </w:r>
      <w:r w:rsidR="00F3440A" w:rsidRPr="000415B5">
        <w:rPr>
          <w:rFonts w:asciiTheme="majorBidi" w:hAnsiTheme="majorBidi" w:cstheme="majorBidi"/>
        </w:rPr>
        <w:t xml:space="preserve"> </w:t>
      </w:r>
      <w:r w:rsidR="00F3440A">
        <w:rPr>
          <w:rFonts w:asciiTheme="majorBidi" w:hAnsiTheme="majorBidi" w:cstheme="majorBidi"/>
        </w:rPr>
        <w:t>–</w:t>
      </w:r>
      <w:r w:rsidR="00F3440A" w:rsidRPr="000415B5">
        <w:rPr>
          <w:rFonts w:asciiTheme="majorBidi" w:hAnsiTheme="majorBidi" w:cstheme="majorBidi"/>
        </w:rPr>
        <w:t xml:space="preserve"> </w:t>
      </w:r>
      <w:r w:rsidRPr="00F3440A">
        <w:rPr>
          <w:color w:val="000000" w:themeColor="text1"/>
        </w:rPr>
        <w:t xml:space="preserve">objektīva saikne starp iestādes rīcību un tās radītajām laika ziņā sekojošām </w:t>
      </w:r>
      <w:r w:rsidR="007C7716">
        <w:rPr>
          <w:color w:val="000000" w:themeColor="text1"/>
        </w:rPr>
        <w:t>kaitējuma</w:t>
      </w:r>
      <w:r w:rsidRPr="00F3440A">
        <w:rPr>
          <w:color w:val="000000" w:themeColor="text1"/>
        </w:rPr>
        <w:t xml:space="preserve"> sekām, proti, minētā rīcība rada un nosaka šo seku iestāšanās reālu iespēju un ir galvenais faktors, kas nenovēršami radījis šīs sekas</w:t>
      </w:r>
      <w:r>
        <w:rPr>
          <w:color w:val="000000" w:themeColor="text1"/>
        </w:rPr>
        <w:t xml:space="preserve"> (</w:t>
      </w:r>
      <w:r>
        <w:rPr>
          <w:i/>
          <w:iCs/>
          <w:color w:val="000000" w:themeColor="text1"/>
        </w:rPr>
        <w:t>Zaudējumu atlīdzināšanas likuma 6.panta pirmā daļa</w:t>
      </w:r>
      <w:r>
        <w:rPr>
          <w:color w:val="000000" w:themeColor="text1"/>
        </w:rPr>
        <w:t>)</w:t>
      </w:r>
      <w:r w:rsidRPr="00F3440A">
        <w:rPr>
          <w:color w:val="000000" w:themeColor="text1"/>
        </w:rPr>
        <w:t>.</w:t>
      </w:r>
      <w:r w:rsidRPr="000415B5">
        <w:rPr>
          <w:color w:val="000000" w:themeColor="text1"/>
        </w:rPr>
        <w:t xml:space="preserve"> </w:t>
      </w:r>
      <w:r w:rsidR="00B25789">
        <w:rPr>
          <w:color w:val="000000" w:themeColor="text1"/>
        </w:rPr>
        <w:t>Savukārt</w:t>
      </w:r>
      <w:r w:rsidR="00007928">
        <w:rPr>
          <w:color w:val="000000" w:themeColor="text1"/>
        </w:rPr>
        <w:t xml:space="preserve"> c</w:t>
      </w:r>
      <w:r>
        <w:rPr>
          <w:rFonts w:asciiTheme="majorBidi" w:hAnsiTheme="majorBidi" w:cstheme="majorBidi"/>
        </w:rPr>
        <w:t xml:space="preserve">ietušajai </w:t>
      </w:r>
      <w:r w:rsidR="00F3440A" w:rsidRPr="000415B5">
        <w:rPr>
          <w:rFonts w:asciiTheme="majorBidi" w:hAnsiTheme="majorBidi" w:cstheme="majorBidi"/>
        </w:rPr>
        <w:t>persona</w:t>
      </w:r>
      <w:r>
        <w:rPr>
          <w:rFonts w:asciiTheme="majorBidi" w:hAnsiTheme="majorBidi" w:cstheme="majorBidi"/>
        </w:rPr>
        <w:t>i</w:t>
      </w:r>
      <w:r w:rsidR="00F3440A" w:rsidRPr="000415B5">
        <w:rPr>
          <w:rFonts w:asciiTheme="majorBidi" w:hAnsiTheme="majorBidi" w:cstheme="majorBidi"/>
        </w:rPr>
        <w:t xml:space="preserve"> </w:t>
      </w:r>
      <w:r>
        <w:rPr>
          <w:rFonts w:asciiTheme="majorBidi" w:hAnsiTheme="majorBidi" w:cstheme="majorBidi"/>
        </w:rPr>
        <w:t>jā</w:t>
      </w:r>
      <w:r w:rsidR="00F3440A" w:rsidRPr="000415B5">
        <w:rPr>
          <w:rFonts w:asciiTheme="majorBidi" w:hAnsiTheme="majorBidi" w:cstheme="majorBidi"/>
        </w:rPr>
        <w:t>norāda</w:t>
      </w:r>
      <w:r w:rsidR="00007928">
        <w:rPr>
          <w:rFonts w:asciiTheme="majorBidi" w:hAnsiTheme="majorBidi" w:cstheme="majorBidi"/>
        </w:rPr>
        <w:t xml:space="preserve">, kā izpaudies tās </w:t>
      </w:r>
      <w:r w:rsidR="00007928" w:rsidRPr="0071769B">
        <w:rPr>
          <w:rFonts w:asciiTheme="majorBidi" w:hAnsiTheme="majorBidi" w:cstheme="majorBidi"/>
        </w:rPr>
        <w:t xml:space="preserve">nemantisko tiesību un ar likumu aizsargāto </w:t>
      </w:r>
      <w:r w:rsidR="00007928" w:rsidRPr="00007928">
        <w:rPr>
          <w:rFonts w:asciiTheme="majorBidi" w:hAnsiTheme="majorBidi" w:cstheme="majorBidi"/>
        </w:rPr>
        <w:t>interešu aizskārums</w:t>
      </w:r>
      <w:r w:rsidR="00F3440A" w:rsidRPr="000415B5">
        <w:rPr>
          <w:rFonts w:asciiTheme="majorBidi" w:hAnsiTheme="majorBidi" w:cstheme="majorBidi"/>
        </w:rPr>
        <w:t xml:space="preserve">, un </w:t>
      </w:r>
      <w:r w:rsidR="00007928">
        <w:rPr>
          <w:rFonts w:asciiTheme="majorBidi" w:hAnsiTheme="majorBidi" w:cstheme="majorBidi"/>
        </w:rPr>
        <w:t>jā</w:t>
      </w:r>
      <w:r w:rsidR="00F3440A" w:rsidRPr="000415B5">
        <w:rPr>
          <w:rFonts w:asciiTheme="majorBidi" w:hAnsiTheme="majorBidi" w:cstheme="majorBidi"/>
        </w:rPr>
        <w:t xml:space="preserve">pamato </w:t>
      </w:r>
      <w:r w:rsidR="00007928">
        <w:rPr>
          <w:rFonts w:asciiTheme="majorBidi" w:hAnsiTheme="majorBidi" w:cstheme="majorBidi"/>
        </w:rPr>
        <w:t>atlīdzinājuma apmērs.</w:t>
      </w:r>
    </w:p>
    <w:p w14:paraId="212CD379" w14:textId="77777777" w:rsidR="00F3440A" w:rsidRPr="00912C26" w:rsidRDefault="00F3440A" w:rsidP="007D4C48">
      <w:pPr>
        <w:spacing w:line="276" w:lineRule="auto"/>
        <w:ind w:firstLine="720"/>
        <w:contextualSpacing/>
        <w:jc w:val="both"/>
        <w:rPr>
          <w:rFonts w:asciiTheme="majorBidi" w:hAnsiTheme="majorBidi" w:cstheme="majorBidi"/>
        </w:rPr>
      </w:pPr>
    </w:p>
    <w:p w14:paraId="336C2E2A" w14:textId="054519B1" w:rsidR="004A2CA2" w:rsidRPr="0056260D" w:rsidRDefault="00F3440A" w:rsidP="007D4C48">
      <w:pPr>
        <w:spacing w:line="276" w:lineRule="auto"/>
        <w:ind w:firstLine="720"/>
        <w:jc w:val="both"/>
        <w:rPr>
          <w:rFonts w:asciiTheme="majorBidi" w:hAnsiTheme="majorBidi" w:cstheme="majorBidi"/>
        </w:rPr>
      </w:pPr>
      <w:r>
        <w:rPr>
          <w:rFonts w:asciiTheme="majorBidi" w:hAnsiTheme="majorBidi" w:cstheme="majorBidi"/>
        </w:rPr>
        <w:t>[9]</w:t>
      </w:r>
      <w:r w:rsidR="004A2CA2" w:rsidRPr="00912C26">
        <w:rPr>
          <w:rFonts w:asciiTheme="majorBidi" w:hAnsiTheme="majorBidi" w:cstheme="majorBidi"/>
        </w:rPr>
        <w:t>Saskaņā ar Zaudējumu atlīdzināšanas likuma 14.pant</w:t>
      </w:r>
      <w:r w:rsidR="004A2CA2">
        <w:rPr>
          <w:rFonts w:asciiTheme="majorBidi" w:hAnsiTheme="majorBidi" w:cstheme="majorBidi"/>
        </w:rPr>
        <w:t xml:space="preserve">u </w:t>
      </w:r>
      <w:r w:rsidR="004A2CA2" w:rsidRPr="00912C26">
        <w:rPr>
          <w:rFonts w:asciiTheme="majorBidi" w:hAnsiTheme="majorBidi" w:cstheme="majorBidi"/>
        </w:rPr>
        <w:t xml:space="preserve">nemantiskā kaitējuma atlīdzinājumu nosaka atbilstoši </w:t>
      </w:r>
      <w:r w:rsidR="004A2CA2" w:rsidRPr="004751AE">
        <w:rPr>
          <w:rFonts w:asciiTheme="majorBidi" w:hAnsiTheme="majorBidi" w:cstheme="majorBidi"/>
        </w:rPr>
        <w:t>aizskarto tiesību un ar likumu aizsargāto interešu nozīmīgumam un konkrētā aizskāruma smagumam, ņemot vērā iestādes rīcības tiesisko un faktisko pamatojumu un motīvus, cietušā rīcību un līdzatbildību, kā arī citus</w:t>
      </w:r>
      <w:r w:rsidR="004A2CA2" w:rsidRPr="00912C26">
        <w:rPr>
          <w:rFonts w:asciiTheme="majorBidi" w:hAnsiTheme="majorBidi" w:cstheme="majorBidi"/>
        </w:rPr>
        <w:t xml:space="preserve"> konkrētajā gadījumā būtiskus apstākļus</w:t>
      </w:r>
      <w:r w:rsidR="004A2CA2">
        <w:rPr>
          <w:rFonts w:asciiTheme="majorBidi" w:hAnsiTheme="majorBidi" w:cstheme="majorBidi"/>
        </w:rPr>
        <w:t xml:space="preserve"> (</w:t>
      </w:r>
      <w:r w:rsidR="004A2CA2" w:rsidRPr="004A2CA2">
        <w:rPr>
          <w:rFonts w:asciiTheme="majorBidi" w:hAnsiTheme="majorBidi" w:cstheme="majorBidi"/>
          <w:i/>
          <w:iCs/>
        </w:rPr>
        <w:t>panta pirmā daļa</w:t>
      </w:r>
      <w:r w:rsidR="004A2CA2">
        <w:rPr>
          <w:rFonts w:asciiTheme="majorBidi" w:hAnsiTheme="majorBidi" w:cstheme="majorBidi"/>
        </w:rPr>
        <w:t>)</w:t>
      </w:r>
      <w:r w:rsidR="004A2CA2" w:rsidRPr="00912C26">
        <w:rPr>
          <w:rFonts w:asciiTheme="majorBidi" w:hAnsiTheme="majorBidi" w:cstheme="majorBidi"/>
        </w:rPr>
        <w:t xml:space="preserve">. </w:t>
      </w:r>
      <w:r w:rsidR="004A2CA2">
        <w:rPr>
          <w:rFonts w:asciiTheme="majorBidi" w:hAnsiTheme="majorBidi" w:cstheme="majorBidi"/>
        </w:rPr>
        <w:t>N</w:t>
      </w:r>
      <w:r w:rsidR="004A2CA2" w:rsidRPr="00912C26">
        <w:rPr>
          <w:rFonts w:asciiTheme="majorBidi" w:hAnsiTheme="majorBidi" w:cstheme="majorBidi"/>
        </w:rPr>
        <w:t>emantisko kaitējumu atlīdzina, atjaunojot stāvokli, kāds pastāvēja pirms kaitējuma nodarīšanas, vai, ja tas nav vai nav pilnībā iespējams, vai nav adekvāti, – atvainojoties vai samaksājot atbilstīgu atlīdzību</w:t>
      </w:r>
      <w:r w:rsidR="004A2CA2">
        <w:rPr>
          <w:rFonts w:asciiTheme="majorBidi" w:hAnsiTheme="majorBidi" w:cstheme="majorBidi"/>
        </w:rPr>
        <w:t xml:space="preserve"> (</w:t>
      </w:r>
      <w:r w:rsidR="004A2CA2" w:rsidRPr="004A2CA2">
        <w:rPr>
          <w:rFonts w:asciiTheme="majorBidi" w:hAnsiTheme="majorBidi" w:cstheme="majorBidi"/>
          <w:i/>
          <w:iCs/>
        </w:rPr>
        <w:t xml:space="preserve">panta </w:t>
      </w:r>
      <w:r w:rsidR="004A2CA2">
        <w:rPr>
          <w:rFonts w:asciiTheme="majorBidi" w:hAnsiTheme="majorBidi" w:cstheme="majorBidi"/>
          <w:i/>
          <w:iCs/>
        </w:rPr>
        <w:t>otrā</w:t>
      </w:r>
      <w:r w:rsidR="004A2CA2" w:rsidRPr="004A2CA2">
        <w:rPr>
          <w:rFonts w:asciiTheme="majorBidi" w:hAnsiTheme="majorBidi" w:cstheme="majorBidi"/>
          <w:i/>
          <w:iCs/>
        </w:rPr>
        <w:t xml:space="preserve"> daļa</w:t>
      </w:r>
      <w:r w:rsidR="004A2CA2">
        <w:rPr>
          <w:rFonts w:asciiTheme="majorBidi" w:hAnsiTheme="majorBidi" w:cstheme="majorBidi"/>
        </w:rPr>
        <w:t>)</w:t>
      </w:r>
      <w:r w:rsidR="004A2CA2" w:rsidRPr="00912C26">
        <w:rPr>
          <w:rFonts w:asciiTheme="majorBidi" w:hAnsiTheme="majorBidi" w:cstheme="majorBidi"/>
        </w:rPr>
        <w:t>. Ja iestāde vai tiesa, izvērtējot konkrētā gadījuma apstākļus, konstatē, ka privātpersonas tiesību vai ar likumu aizsargāto interešu aizskārums nav smags, nemantiskā kaitējuma patstāvīgs vai papildu atlīdzinājums var būt rakstveida vai publiska atvainošanās</w:t>
      </w:r>
      <w:r w:rsidR="004A2CA2">
        <w:rPr>
          <w:rFonts w:asciiTheme="majorBidi" w:hAnsiTheme="majorBidi" w:cstheme="majorBidi"/>
        </w:rPr>
        <w:t xml:space="preserve"> (</w:t>
      </w:r>
      <w:r w:rsidR="004A2CA2" w:rsidRPr="004A2CA2">
        <w:rPr>
          <w:rFonts w:asciiTheme="majorBidi" w:hAnsiTheme="majorBidi" w:cstheme="majorBidi"/>
          <w:i/>
          <w:iCs/>
        </w:rPr>
        <w:t xml:space="preserve">panta </w:t>
      </w:r>
      <w:r w:rsidR="004A2CA2">
        <w:rPr>
          <w:rFonts w:asciiTheme="majorBidi" w:hAnsiTheme="majorBidi" w:cstheme="majorBidi"/>
          <w:i/>
          <w:iCs/>
        </w:rPr>
        <w:t>trešā</w:t>
      </w:r>
      <w:r w:rsidR="004A2CA2" w:rsidRPr="004A2CA2">
        <w:rPr>
          <w:rFonts w:asciiTheme="majorBidi" w:hAnsiTheme="majorBidi" w:cstheme="majorBidi"/>
          <w:i/>
          <w:iCs/>
        </w:rPr>
        <w:t xml:space="preserve"> </w:t>
      </w:r>
      <w:r w:rsidR="004A2CA2" w:rsidRPr="0056260D">
        <w:rPr>
          <w:rFonts w:asciiTheme="majorBidi" w:hAnsiTheme="majorBidi" w:cstheme="majorBidi"/>
          <w:i/>
          <w:iCs/>
        </w:rPr>
        <w:t>daļa</w:t>
      </w:r>
      <w:r w:rsidR="004A2CA2" w:rsidRPr="0056260D">
        <w:rPr>
          <w:rFonts w:asciiTheme="majorBidi" w:hAnsiTheme="majorBidi" w:cstheme="majorBidi"/>
        </w:rPr>
        <w:t>). Savukārt nemantiskā kaitējuma atlīdzību</w:t>
      </w:r>
      <w:r w:rsidR="007C7716">
        <w:rPr>
          <w:rFonts w:asciiTheme="majorBidi" w:hAnsiTheme="majorBidi" w:cstheme="majorBidi"/>
        </w:rPr>
        <w:t xml:space="preserve"> šādā gadījumā</w:t>
      </w:r>
      <w:r w:rsidR="004A2CA2" w:rsidRPr="0056260D">
        <w:rPr>
          <w:rFonts w:asciiTheme="majorBidi" w:hAnsiTheme="majorBidi" w:cstheme="majorBidi"/>
        </w:rPr>
        <w:t xml:space="preserve"> nosaka līdz 7000 </w:t>
      </w:r>
      <w:r w:rsidR="004A2CA2" w:rsidRPr="0056260D">
        <w:rPr>
          <w:rFonts w:asciiTheme="majorBidi" w:hAnsiTheme="majorBidi" w:cstheme="majorBidi"/>
          <w:i/>
          <w:iCs/>
        </w:rPr>
        <w:t>euro</w:t>
      </w:r>
      <w:r w:rsidR="004A2CA2" w:rsidRPr="0056260D">
        <w:rPr>
          <w:rFonts w:asciiTheme="majorBidi" w:hAnsiTheme="majorBidi" w:cstheme="majorBidi"/>
        </w:rPr>
        <w:t xml:space="preserve"> apmērā. Ja nodarīts smags nemantiskais kaitējums, atlīdzību var noteikt līdz 10 000 </w:t>
      </w:r>
      <w:r w:rsidR="004A2CA2" w:rsidRPr="0056260D">
        <w:rPr>
          <w:rFonts w:asciiTheme="majorBidi" w:hAnsiTheme="majorBidi" w:cstheme="majorBidi"/>
          <w:i/>
          <w:iCs/>
        </w:rPr>
        <w:t>euro</w:t>
      </w:r>
      <w:r w:rsidR="004A2CA2" w:rsidRPr="0056260D">
        <w:rPr>
          <w:rFonts w:asciiTheme="majorBidi" w:hAnsiTheme="majorBidi" w:cstheme="majorBidi"/>
        </w:rPr>
        <w:t xml:space="preserve"> apmērā, bet, ja nodarīts kaitējums dzīvībai vai sevišķi smags kaitējums veselībai, maksimālais atlīdzības apmērs var būt līdz 30 000 </w:t>
      </w:r>
      <w:r w:rsidR="004A2CA2" w:rsidRPr="0056260D">
        <w:rPr>
          <w:rFonts w:asciiTheme="majorBidi" w:hAnsiTheme="majorBidi" w:cstheme="majorBidi"/>
          <w:i/>
          <w:iCs/>
        </w:rPr>
        <w:t xml:space="preserve">euro </w:t>
      </w:r>
      <w:r w:rsidR="004A2CA2" w:rsidRPr="0056260D">
        <w:rPr>
          <w:rFonts w:asciiTheme="majorBidi" w:hAnsiTheme="majorBidi" w:cstheme="majorBidi"/>
        </w:rPr>
        <w:t>(</w:t>
      </w:r>
      <w:r w:rsidR="004A2CA2" w:rsidRPr="0056260D">
        <w:rPr>
          <w:rFonts w:asciiTheme="majorBidi" w:hAnsiTheme="majorBidi" w:cstheme="majorBidi"/>
          <w:i/>
          <w:iCs/>
        </w:rPr>
        <w:t>panta ceturtā daļa</w:t>
      </w:r>
      <w:r w:rsidR="004A2CA2" w:rsidRPr="0056260D">
        <w:rPr>
          <w:rFonts w:asciiTheme="majorBidi" w:hAnsiTheme="majorBidi" w:cstheme="majorBidi"/>
        </w:rPr>
        <w:t>)</w:t>
      </w:r>
      <w:r w:rsidR="004A2CA2" w:rsidRPr="0056260D">
        <w:rPr>
          <w:rFonts w:asciiTheme="majorBidi" w:hAnsiTheme="majorBidi" w:cstheme="majorBidi"/>
          <w:i/>
          <w:iCs/>
        </w:rPr>
        <w:t xml:space="preserve"> </w:t>
      </w:r>
      <w:r w:rsidR="004A2CA2" w:rsidRPr="0056260D">
        <w:rPr>
          <w:rFonts w:asciiTheme="majorBidi" w:hAnsiTheme="majorBidi" w:cstheme="majorBidi"/>
        </w:rPr>
        <w:t>.</w:t>
      </w:r>
    </w:p>
    <w:p w14:paraId="3F6094B9" w14:textId="1BDFB387" w:rsidR="007969F8" w:rsidRDefault="002814E6" w:rsidP="007D4C48">
      <w:pPr>
        <w:spacing w:line="276" w:lineRule="auto"/>
        <w:ind w:firstLine="720"/>
        <w:contextualSpacing/>
        <w:jc w:val="both"/>
        <w:rPr>
          <w:color w:val="000000" w:themeColor="text1"/>
        </w:rPr>
      </w:pPr>
      <w:r w:rsidRPr="0056260D">
        <w:rPr>
          <w:color w:val="000000" w:themeColor="text1"/>
        </w:rPr>
        <w:t>Līdz ar to, l</w:t>
      </w:r>
      <w:r w:rsidR="00593D59" w:rsidRPr="0056260D">
        <w:rPr>
          <w:color w:val="000000" w:themeColor="text1"/>
        </w:rPr>
        <w:t>ai noteiktu, kāds ir atbilstīgs nemantiskā kaitējuma atlīdzinājums konkrētā gadījumā, ir</w:t>
      </w:r>
      <w:r w:rsidR="00593D59" w:rsidRPr="0056260D">
        <w:rPr>
          <w:bCs/>
        </w:rPr>
        <w:t xml:space="preserve"> jāvērtē visi lietas apstākļi to kopsakarā: 1) aizskarto tiesību un ar likumu aizsargāto interešu nozīmīgums; 2) konkrētā aizskāruma smagums; 3) iestādes rīcības tiesiskais un faktiskais pamatojums un motīvi; 4) cietušā rīcība un līdzatbildība; 5) citi konkrētajā gadījumā būtiski apstākļi.</w:t>
      </w:r>
      <w:r w:rsidR="007969F8" w:rsidRPr="0056260D">
        <w:rPr>
          <w:color w:val="000000" w:themeColor="text1"/>
        </w:rPr>
        <w:t xml:space="preserve"> Tiesas sprieduma pamatojumam ir jāparāda, ka tiesa ir</w:t>
      </w:r>
      <w:r w:rsidR="007969F8" w:rsidRPr="00EB1BF7">
        <w:rPr>
          <w:color w:val="000000" w:themeColor="text1"/>
        </w:rPr>
        <w:t xml:space="preserve"> ņēmusi vērā un izvērtējusi visus atlīdzinājuma noteikšanā būtiskos apstākļus un ka tiesa, nosakot atlīdzinājumu, nav balstījusies vienīgi uz saviem subjektīvajiem ieskatiem, bet gan uz racionāliem juridiskiem apsvērumiem (</w:t>
      </w:r>
      <w:r w:rsidR="007969F8" w:rsidRPr="00D81A94">
        <w:rPr>
          <w:i/>
          <w:color w:val="000000" w:themeColor="text1"/>
        </w:rPr>
        <w:t>Senāta 2010.gada 16.februāra sprieduma lietā Nr.</w:t>
      </w:r>
      <w:r w:rsidR="001F5F38" w:rsidRPr="001F5F38">
        <w:rPr>
          <w:i/>
          <w:iCs/>
          <w:color w:val="000000" w:themeColor="text1"/>
        </w:rPr>
        <w:t> </w:t>
      </w:r>
      <w:hyperlink r:id="rId11" w:history="1">
        <w:r w:rsidR="007969F8" w:rsidRPr="001F5F38">
          <w:rPr>
            <w:rStyle w:val="Hyperlink"/>
            <w:i/>
            <w:iCs/>
          </w:rPr>
          <w:t>SKA-104/2010</w:t>
        </w:r>
      </w:hyperlink>
      <w:r w:rsidR="001F5F38" w:rsidRPr="001F5F38">
        <w:rPr>
          <w:i/>
          <w:iCs/>
          <w:color w:val="000000" w:themeColor="text1"/>
        </w:rPr>
        <w:t xml:space="preserve">, </w:t>
      </w:r>
      <w:r w:rsidR="007969F8" w:rsidRPr="001F5F38">
        <w:rPr>
          <w:i/>
          <w:iCs/>
          <w:color w:val="000000" w:themeColor="text1"/>
        </w:rPr>
        <w:t>A42466905</w:t>
      </w:r>
      <w:r w:rsidR="001F5F38" w:rsidRPr="001F5F38">
        <w:rPr>
          <w:i/>
          <w:iCs/>
          <w:color w:val="000000" w:themeColor="text1"/>
        </w:rPr>
        <w:t>,</w:t>
      </w:r>
      <w:r w:rsidR="007969F8" w:rsidRPr="00D81A94">
        <w:rPr>
          <w:i/>
          <w:color w:val="000000" w:themeColor="text1"/>
        </w:rPr>
        <w:t xml:space="preserve"> 19.punkts</w:t>
      </w:r>
      <w:r w:rsidR="007969F8" w:rsidRPr="00D81A94">
        <w:rPr>
          <w:color w:val="000000" w:themeColor="text1"/>
        </w:rPr>
        <w:t>).</w:t>
      </w:r>
    </w:p>
    <w:p w14:paraId="37E27694" w14:textId="099843E8" w:rsidR="00593D59" w:rsidRDefault="002814E6" w:rsidP="007D4C48">
      <w:pPr>
        <w:spacing w:line="276" w:lineRule="auto"/>
        <w:ind w:firstLine="720"/>
        <w:contextualSpacing/>
        <w:jc w:val="both"/>
        <w:rPr>
          <w:bCs/>
        </w:rPr>
      </w:pPr>
      <w:r>
        <w:rPr>
          <w:rFonts w:asciiTheme="majorBidi" w:hAnsiTheme="majorBidi" w:cstheme="majorBidi"/>
        </w:rPr>
        <w:t xml:space="preserve">Tātad </w:t>
      </w:r>
      <w:r w:rsidR="00B97978" w:rsidRPr="000415B5">
        <w:rPr>
          <w:rFonts w:asciiTheme="majorBidi" w:hAnsiTheme="majorBidi" w:cstheme="majorBidi"/>
        </w:rPr>
        <w:t xml:space="preserve">atlīdzinājums personai tiek </w:t>
      </w:r>
      <w:r>
        <w:rPr>
          <w:rFonts w:asciiTheme="majorBidi" w:hAnsiTheme="majorBidi" w:cstheme="majorBidi"/>
        </w:rPr>
        <w:t>noteikts</w:t>
      </w:r>
      <w:r w:rsidR="00B97978" w:rsidRPr="000415B5">
        <w:rPr>
          <w:rFonts w:asciiTheme="majorBidi" w:hAnsiTheme="majorBidi" w:cstheme="majorBidi"/>
        </w:rPr>
        <w:t xml:space="preserve"> par tiesību</w:t>
      </w:r>
      <w:r w:rsidR="00745B3F" w:rsidRPr="00745B3F">
        <w:rPr>
          <w:bCs/>
        </w:rPr>
        <w:t xml:space="preserve"> </w:t>
      </w:r>
      <w:r w:rsidR="00745B3F" w:rsidRPr="00AD7386">
        <w:rPr>
          <w:bCs/>
        </w:rPr>
        <w:t>un ar likumu aizsargāto interešu</w:t>
      </w:r>
      <w:r w:rsidR="00B97978" w:rsidRPr="000415B5">
        <w:rPr>
          <w:rFonts w:asciiTheme="majorBidi" w:hAnsiTheme="majorBidi" w:cstheme="majorBidi"/>
        </w:rPr>
        <w:t xml:space="preserve"> aizskārumu, savukārt atlīdzinājuma veids un apmērs ir atkarīgs no</w:t>
      </w:r>
      <w:r w:rsidR="00745B3F" w:rsidRPr="00745B3F">
        <w:rPr>
          <w:color w:val="000000" w:themeColor="text1"/>
        </w:rPr>
        <w:t xml:space="preserve"> </w:t>
      </w:r>
      <w:r w:rsidR="00745B3F">
        <w:rPr>
          <w:color w:val="000000" w:themeColor="text1"/>
        </w:rPr>
        <w:t>iestādes prettiesiskās rīcības</w:t>
      </w:r>
      <w:r w:rsidR="00B97978" w:rsidRPr="000415B5">
        <w:rPr>
          <w:rFonts w:asciiTheme="majorBidi" w:hAnsiTheme="majorBidi" w:cstheme="majorBidi"/>
        </w:rPr>
        <w:t xml:space="preserve"> </w:t>
      </w:r>
      <w:r w:rsidR="00745B3F">
        <w:rPr>
          <w:rFonts w:asciiTheme="majorBidi" w:hAnsiTheme="majorBidi" w:cstheme="majorBidi"/>
        </w:rPr>
        <w:t xml:space="preserve">radītajām </w:t>
      </w:r>
      <w:r w:rsidR="00745B3F">
        <w:rPr>
          <w:color w:val="000000" w:themeColor="text1"/>
        </w:rPr>
        <w:t xml:space="preserve">objektīvi konstatējamām neērtībām vai reālām sekām un </w:t>
      </w:r>
      <w:r w:rsidR="00745B3F" w:rsidRPr="000415B5">
        <w:rPr>
          <w:rFonts w:asciiTheme="majorBidi" w:hAnsiTheme="majorBidi" w:cstheme="majorBidi"/>
        </w:rPr>
        <w:t>seku rakstur</w:t>
      </w:r>
      <w:r w:rsidR="00745B3F">
        <w:rPr>
          <w:rFonts w:asciiTheme="majorBidi" w:hAnsiTheme="majorBidi" w:cstheme="majorBidi"/>
        </w:rPr>
        <w:t>a</w:t>
      </w:r>
      <w:r w:rsidR="00745B3F" w:rsidRPr="000415B5">
        <w:rPr>
          <w:rFonts w:asciiTheme="majorBidi" w:hAnsiTheme="majorBidi" w:cstheme="majorBidi"/>
        </w:rPr>
        <w:t xml:space="preserve"> (novēršam</w:t>
      </w:r>
      <w:r w:rsidR="00745B3F">
        <w:rPr>
          <w:rFonts w:asciiTheme="majorBidi" w:hAnsiTheme="majorBidi" w:cstheme="majorBidi"/>
        </w:rPr>
        <w:t>a</w:t>
      </w:r>
      <w:r w:rsidR="00745B3F" w:rsidRPr="000415B5">
        <w:rPr>
          <w:rFonts w:asciiTheme="majorBidi" w:hAnsiTheme="majorBidi" w:cstheme="majorBidi"/>
        </w:rPr>
        <w:t>s vai nenovēršam</w:t>
      </w:r>
      <w:r w:rsidR="00745B3F">
        <w:rPr>
          <w:rFonts w:asciiTheme="majorBidi" w:hAnsiTheme="majorBidi" w:cstheme="majorBidi"/>
        </w:rPr>
        <w:t>as</w:t>
      </w:r>
      <w:r w:rsidR="00745B3F" w:rsidRPr="000415B5">
        <w:rPr>
          <w:rFonts w:asciiTheme="majorBidi" w:hAnsiTheme="majorBidi" w:cstheme="majorBidi"/>
        </w:rPr>
        <w:t>)</w:t>
      </w:r>
      <w:r w:rsidR="00745B3F">
        <w:rPr>
          <w:rFonts w:asciiTheme="majorBidi" w:hAnsiTheme="majorBidi" w:cstheme="majorBidi"/>
        </w:rPr>
        <w:t xml:space="preserve">. </w:t>
      </w:r>
      <w:r w:rsidR="00B97978">
        <w:rPr>
          <w:color w:val="000000" w:themeColor="text1"/>
        </w:rPr>
        <w:t>Atlīdzinājums – atvainošanās un atlīdzinājums naudā – piemērojams tad, ja stāvokļa atjaunošana, kāds pastāvēja pirms kaitējuma nodarīšanas, nav iespējama vai, ievērojot aizskarto tiesību būtiskumu, nav uzskatāma par efektīvu tiesību aizsardzības līdzekli.</w:t>
      </w:r>
      <w:r w:rsidR="00995BC6">
        <w:rPr>
          <w:color w:val="000000" w:themeColor="text1"/>
        </w:rPr>
        <w:t xml:space="preserve"> </w:t>
      </w:r>
      <w:r>
        <w:rPr>
          <w:bCs/>
        </w:rPr>
        <w:t>N</w:t>
      </w:r>
      <w:r w:rsidR="007969F8">
        <w:rPr>
          <w:bCs/>
        </w:rPr>
        <w:t>o Zaudējumu atlīdzināšanas likuma 14.panta ceturtās daļas izriet, ka nemantiskā kaitējuma smaguma pakāpei ir nozīme, nosakot atlīdzinājuma apmēru</w:t>
      </w:r>
      <w:r>
        <w:rPr>
          <w:bCs/>
        </w:rPr>
        <w:t xml:space="preserve">: </w:t>
      </w:r>
      <w:r w:rsidR="00995BC6">
        <w:rPr>
          <w:bCs/>
        </w:rPr>
        <w:t xml:space="preserve">par nemantisko kaitējumu, kas nav atzīts par smagu, var noteikt </w:t>
      </w:r>
      <w:r w:rsidR="00995BC6" w:rsidRPr="004A2CA2">
        <w:rPr>
          <w:rFonts w:asciiTheme="majorBidi" w:hAnsiTheme="majorBidi" w:cstheme="majorBidi"/>
        </w:rPr>
        <w:t>atlīdzību līdz 7000 </w:t>
      </w:r>
      <w:r w:rsidR="00995BC6" w:rsidRPr="004A2CA2">
        <w:rPr>
          <w:rFonts w:asciiTheme="majorBidi" w:hAnsiTheme="majorBidi" w:cstheme="majorBidi"/>
          <w:i/>
          <w:iCs/>
        </w:rPr>
        <w:t>euro</w:t>
      </w:r>
      <w:r w:rsidR="00995BC6">
        <w:rPr>
          <w:rFonts w:asciiTheme="majorBidi" w:hAnsiTheme="majorBidi" w:cstheme="majorBidi"/>
        </w:rPr>
        <w:t xml:space="preserve"> </w:t>
      </w:r>
      <w:r w:rsidR="00995BC6" w:rsidRPr="004A2CA2">
        <w:rPr>
          <w:rFonts w:asciiTheme="majorBidi" w:hAnsiTheme="majorBidi" w:cstheme="majorBidi"/>
        </w:rPr>
        <w:t>apmērā</w:t>
      </w:r>
      <w:r w:rsidR="00995BC6">
        <w:rPr>
          <w:rFonts w:asciiTheme="majorBidi" w:hAnsiTheme="majorBidi" w:cstheme="majorBidi"/>
        </w:rPr>
        <w:t>, savukārt</w:t>
      </w:r>
      <w:r w:rsidR="00995BC6">
        <w:rPr>
          <w:bCs/>
        </w:rPr>
        <w:t xml:space="preserve"> </w:t>
      </w:r>
      <w:r w:rsidR="007969F8">
        <w:rPr>
          <w:bCs/>
        </w:rPr>
        <w:t>par</w:t>
      </w:r>
      <w:r w:rsidR="007969F8" w:rsidRPr="007969F8">
        <w:rPr>
          <w:rFonts w:asciiTheme="majorBidi" w:hAnsiTheme="majorBidi" w:cstheme="majorBidi"/>
        </w:rPr>
        <w:t xml:space="preserve"> </w:t>
      </w:r>
      <w:r w:rsidR="007969F8" w:rsidRPr="004A2CA2">
        <w:rPr>
          <w:rFonts w:asciiTheme="majorBidi" w:hAnsiTheme="majorBidi" w:cstheme="majorBidi"/>
        </w:rPr>
        <w:t>smag</w:t>
      </w:r>
      <w:r w:rsidR="007969F8">
        <w:rPr>
          <w:rFonts w:asciiTheme="majorBidi" w:hAnsiTheme="majorBidi" w:cstheme="majorBidi"/>
        </w:rPr>
        <w:t>u</w:t>
      </w:r>
      <w:r w:rsidR="007969F8" w:rsidRPr="004A2CA2">
        <w:rPr>
          <w:rFonts w:asciiTheme="majorBidi" w:hAnsiTheme="majorBidi" w:cstheme="majorBidi"/>
        </w:rPr>
        <w:t xml:space="preserve"> nemantisk</w:t>
      </w:r>
      <w:r w:rsidR="007969F8">
        <w:rPr>
          <w:rFonts w:asciiTheme="majorBidi" w:hAnsiTheme="majorBidi" w:cstheme="majorBidi"/>
        </w:rPr>
        <w:t>o</w:t>
      </w:r>
      <w:r w:rsidR="007969F8" w:rsidRPr="004A2CA2">
        <w:rPr>
          <w:rFonts w:asciiTheme="majorBidi" w:hAnsiTheme="majorBidi" w:cstheme="majorBidi"/>
        </w:rPr>
        <w:t xml:space="preserve"> kaitējum</w:t>
      </w:r>
      <w:r w:rsidR="007969F8">
        <w:rPr>
          <w:rFonts w:asciiTheme="majorBidi" w:hAnsiTheme="majorBidi" w:cstheme="majorBidi"/>
        </w:rPr>
        <w:t>u</w:t>
      </w:r>
      <w:r w:rsidR="007969F8" w:rsidRPr="004A2CA2">
        <w:rPr>
          <w:rFonts w:asciiTheme="majorBidi" w:hAnsiTheme="majorBidi" w:cstheme="majorBidi"/>
        </w:rPr>
        <w:t xml:space="preserve"> atlīdzību var noteikt līdz 10</w:t>
      </w:r>
      <w:r w:rsidR="007969F8">
        <w:rPr>
          <w:rFonts w:asciiTheme="majorBidi" w:hAnsiTheme="majorBidi" w:cstheme="majorBidi"/>
        </w:rPr>
        <w:t> </w:t>
      </w:r>
      <w:r w:rsidR="007969F8" w:rsidRPr="004A2CA2">
        <w:rPr>
          <w:rFonts w:asciiTheme="majorBidi" w:hAnsiTheme="majorBidi" w:cstheme="majorBidi"/>
        </w:rPr>
        <w:t>000 </w:t>
      </w:r>
      <w:r w:rsidR="007969F8" w:rsidRPr="004A2CA2">
        <w:rPr>
          <w:rFonts w:asciiTheme="majorBidi" w:hAnsiTheme="majorBidi" w:cstheme="majorBidi"/>
          <w:i/>
          <w:iCs/>
        </w:rPr>
        <w:t>euro</w:t>
      </w:r>
      <w:r w:rsidR="007969F8">
        <w:rPr>
          <w:bCs/>
        </w:rPr>
        <w:t xml:space="preserve"> apmērā</w:t>
      </w:r>
      <w:r w:rsidR="00995BC6">
        <w:rPr>
          <w:bCs/>
        </w:rPr>
        <w:t>.</w:t>
      </w:r>
      <w:r w:rsidR="004C5629">
        <w:rPr>
          <w:rFonts w:asciiTheme="majorBidi" w:hAnsiTheme="majorBidi" w:cstheme="majorBidi"/>
        </w:rPr>
        <w:t xml:space="preserve"> Tātad nemantiskā kaitējuma smagumam ir nozīme, </w:t>
      </w:r>
      <w:r w:rsidR="00995BC6">
        <w:rPr>
          <w:rFonts w:asciiTheme="majorBidi" w:hAnsiTheme="majorBidi" w:cstheme="majorBidi"/>
        </w:rPr>
        <w:t>lemjot par</w:t>
      </w:r>
      <w:r w:rsidR="004C5629">
        <w:rPr>
          <w:rFonts w:asciiTheme="majorBidi" w:hAnsiTheme="majorBidi" w:cstheme="majorBidi"/>
        </w:rPr>
        <w:t xml:space="preserve"> atlīdzinājuma apmēru</w:t>
      </w:r>
      <w:r w:rsidR="00524DEF">
        <w:rPr>
          <w:rFonts w:asciiTheme="majorBidi" w:hAnsiTheme="majorBidi" w:cstheme="majorBidi"/>
        </w:rPr>
        <w:t xml:space="preserve">. </w:t>
      </w:r>
      <w:r w:rsidR="00995BC6" w:rsidRPr="00B97F78">
        <w:rPr>
          <w:bCs/>
        </w:rPr>
        <w:t xml:space="preserve">Senāts piekrīt kasācijas sūdzības argumentam, ka secinājums, ka nemantiskais kaitējums nav smags, pats par sevi </w:t>
      </w:r>
      <w:r w:rsidR="00995BC6">
        <w:rPr>
          <w:rFonts w:asciiTheme="majorBidi" w:hAnsiTheme="majorBidi" w:cstheme="majorBidi"/>
        </w:rPr>
        <w:t xml:space="preserve">neizslēdz iespēju noteikt atlīdzinājumu naudā. </w:t>
      </w:r>
      <w:r w:rsidR="004C5629">
        <w:rPr>
          <w:rFonts w:asciiTheme="majorBidi" w:hAnsiTheme="majorBidi" w:cstheme="majorBidi"/>
        </w:rPr>
        <w:t>Noraidot prasījumu par atlīdzinājuma noteikšanu naudā, tiesai jāpamato, kāpēc konkrētajā gadījumā atbilstīgs atlīdzinājums ir cita veida atlīdzinājums.</w:t>
      </w:r>
    </w:p>
    <w:p w14:paraId="2CB523B4" w14:textId="77777777" w:rsidR="00995BC6" w:rsidRDefault="00995BC6" w:rsidP="007D4C48">
      <w:pPr>
        <w:spacing w:line="276" w:lineRule="auto"/>
        <w:ind w:firstLine="720"/>
        <w:contextualSpacing/>
        <w:jc w:val="both"/>
        <w:rPr>
          <w:bCs/>
        </w:rPr>
      </w:pPr>
    </w:p>
    <w:p w14:paraId="421BD01D" w14:textId="1E8F75E7" w:rsidR="000B0229" w:rsidRPr="00B97F78" w:rsidRDefault="00745B3F" w:rsidP="007D4C48">
      <w:pPr>
        <w:spacing w:line="276" w:lineRule="auto"/>
        <w:ind w:firstLine="720"/>
        <w:contextualSpacing/>
        <w:jc w:val="both"/>
      </w:pPr>
      <w:r w:rsidRPr="00B97F78">
        <w:rPr>
          <w:rFonts w:asciiTheme="majorBidi" w:hAnsiTheme="majorBidi" w:cstheme="majorBidi"/>
        </w:rPr>
        <w:t>[10] </w:t>
      </w:r>
      <w:r w:rsidR="000B0229" w:rsidRPr="00B97F78">
        <w:rPr>
          <w:rFonts w:asciiTheme="majorBidi" w:hAnsiTheme="majorBidi" w:cstheme="majorBidi"/>
        </w:rPr>
        <w:t xml:space="preserve">Pieteicējs kasācijas sūdzībā norāda uz objektīvās izmeklēšanas principa pārkāpumu, jo apgabaltiesa neesot apsvērusi tiesu medicīniskās ekspertīzes noteikšanu lietā, lai pierādītu cēloņsakarību starp cietuma administrācijas prettiesisko rīcību un pieteicējam noteikto otro invaliditātes grupu. </w:t>
      </w:r>
      <w:r w:rsidR="00C21797">
        <w:rPr>
          <w:rFonts w:asciiTheme="majorBidi" w:hAnsiTheme="majorBidi" w:cstheme="majorBidi"/>
        </w:rPr>
        <w:t>T</w:t>
      </w:r>
      <w:r w:rsidR="000B0229" w:rsidRPr="00B97F78">
        <w:rPr>
          <w:rFonts w:asciiTheme="majorBidi" w:hAnsiTheme="majorBidi" w:cstheme="majorBidi"/>
        </w:rPr>
        <w:t xml:space="preserve">iesa esot pārkāpusi Administratīvā procesa likuma 154.panta pirmo daļu, jo neesot novērtējusi visus pierādījumus lietā. Tiesa neesot pamatojusi, kāpēc tā ņem vērā Cietumu slimnīcas ārstu konsultatīvās komisijas atzinumu, bet nepiekrīt </w:t>
      </w:r>
      <w:r w:rsidR="000B0229" w:rsidRPr="00B97F78">
        <w:t>Rīgas Austrumu klīniskās universitātes slimnīcas 2021.gada 22.novembra konsīlija slēdziena secinājumiem</w:t>
      </w:r>
      <w:r w:rsidR="00524DEF">
        <w:t xml:space="preserve">. </w:t>
      </w:r>
      <w:r w:rsidR="00524DEF" w:rsidRPr="00524DEF">
        <w:t>Tiesa</w:t>
      </w:r>
      <w:r w:rsidR="00B97F78" w:rsidRPr="00524DEF">
        <w:t xml:space="preserve"> n</w:t>
      </w:r>
      <w:r w:rsidR="00524DEF" w:rsidRPr="00524DEF">
        <w:t>eesot</w:t>
      </w:r>
      <w:r w:rsidR="00B97F78" w:rsidRPr="00524DEF">
        <w:t xml:space="preserve"> vērtējusi pieteicēja norādīto, ka nemantisko kaitējumu veido arī </w:t>
      </w:r>
      <w:r w:rsidR="00B97F78" w:rsidRPr="00524DEF">
        <w:rPr>
          <w:rFonts w:asciiTheme="majorBidi" w:hAnsiTheme="majorBidi" w:cstheme="majorBidi"/>
        </w:rPr>
        <w:t>ilgstošas un stipras fiziskās sāpes</w:t>
      </w:r>
      <w:r w:rsidR="00524DEF">
        <w:rPr>
          <w:rFonts w:asciiTheme="majorBidi" w:hAnsiTheme="majorBidi" w:cstheme="majorBidi"/>
        </w:rPr>
        <w:t>.</w:t>
      </w:r>
      <w:r w:rsidR="000B0229" w:rsidRPr="00B97F78">
        <w:t xml:space="preserve"> Pieteicējs arī norāda uz neloģisku tiesas secinājumu, vērtējot cēloņsakarību starp iestādes prettiesisko rīcību un pieteicējam noteikto otro invaliditātes grupu.</w:t>
      </w:r>
    </w:p>
    <w:p w14:paraId="0443498A" w14:textId="54E66BC2" w:rsidR="000B0229" w:rsidRPr="00B97F78" w:rsidRDefault="000B0229" w:rsidP="007D4C48">
      <w:pPr>
        <w:spacing w:line="276" w:lineRule="auto"/>
        <w:ind w:firstLine="720"/>
        <w:contextualSpacing/>
        <w:jc w:val="both"/>
        <w:rPr>
          <w:rFonts w:asciiTheme="majorBidi" w:hAnsiTheme="majorBidi" w:cstheme="majorBidi"/>
        </w:rPr>
      </w:pPr>
      <w:r w:rsidRPr="00B97F78">
        <w:t xml:space="preserve">Senāts atzīst, ka </w:t>
      </w:r>
      <w:r w:rsidRPr="0056260D">
        <w:t>daļa no minētajiem argumentiem ir pamatot</w:t>
      </w:r>
      <w:r w:rsidR="006D10DB" w:rsidRPr="0056260D">
        <w:t>a</w:t>
      </w:r>
      <w:r w:rsidRPr="0056260D">
        <w:t>.</w:t>
      </w:r>
    </w:p>
    <w:p w14:paraId="6B964DBC" w14:textId="77777777" w:rsidR="00D80C92" w:rsidRDefault="00D80C92" w:rsidP="007D4C48">
      <w:pPr>
        <w:spacing w:line="276" w:lineRule="auto"/>
        <w:ind w:firstLine="720"/>
        <w:contextualSpacing/>
        <w:jc w:val="both"/>
        <w:rPr>
          <w:rFonts w:asciiTheme="majorBidi" w:hAnsiTheme="majorBidi" w:cstheme="majorBidi"/>
        </w:rPr>
      </w:pPr>
    </w:p>
    <w:p w14:paraId="29A0AEEE" w14:textId="7A3EBF90" w:rsidR="00B97F78" w:rsidRPr="00B97F78" w:rsidRDefault="00154A11" w:rsidP="007D4C48">
      <w:pPr>
        <w:spacing w:line="276" w:lineRule="auto"/>
        <w:ind w:firstLine="720"/>
        <w:contextualSpacing/>
        <w:jc w:val="both"/>
        <w:rPr>
          <w:rFonts w:asciiTheme="majorBidi" w:hAnsiTheme="majorBidi" w:cstheme="majorBidi"/>
        </w:rPr>
      </w:pPr>
      <w:r w:rsidRPr="00B97F78">
        <w:rPr>
          <w:rFonts w:asciiTheme="majorBidi" w:hAnsiTheme="majorBidi" w:cstheme="majorBidi"/>
        </w:rPr>
        <w:t>[11</w:t>
      </w:r>
      <w:r w:rsidR="00DA77D5" w:rsidRPr="00B97F78">
        <w:rPr>
          <w:rFonts w:asciiTheme="majorBidi" w:hAnsiTheme="majorBidi" w:cstheme="majorBidi"/>
        </w:rPr>
        <w:t>] </w:t>
      </w:r>
      <w:r w:rsidR="00B97F78" w:rsidRPr="00B97F78">
        <w:rPr>
          <w:rFonts w:asciiTheme="majorBidi" w:hAnsiTheme="majorBidi" w:cstheme="majorBidi"/>
        </w:rPr>
        <w:t xml:space="preserve">Apgabaltiesa ir konstatējusi, ka pieteicējs </w:t>
      </w:r>
      <w:r w:rsidR="00C21797">
        <w:rPr>
          <w:rFonts w:asciiTheme="majorBidi" w:hAnsiTheme="majorBidi" w:cstheme="majorBidi"/>
        </w:rPr>
        <w:t>uzskata</w:t>
      </w:r>
      <w:r w:rsidR="00B97F78" w:rsidRPr="00B97F78">
        <w:rPr>
          <w:rFonts w:asciiTheme="majorBidi" w:hAnsiTheme="majorBidi" w:cstheme="majorBidi"/>
        </w:rPr>
        <w:t xml:space="preserve">, ka viņam ir </w:t>
      </w:r>
      <w:r w:rsidR="00B97F78" w:rsidRPr="00267D0E">
        <w:rPr>
          <w:rFonts w:asciiTheme="majorBidi" w:hAnsiTheme="majorBidi" w:cstheme="majorBidi"/>
        </w:rPr>
        <w:t xml:space="preserve">nodarīts smags nemantiskais kaitējums, proti, viņa veselības un pat dzīvības apdraudējums, pamatojot to ar ilgstošām un stiprām fiziskām sāpēm, paliekošu veselības bojājumu, jo viņam </w:t>
      </w:r>
      <w:r w:rsidR="00524DEF" w:rsidRPr="00267D0E">
        <w:rPr>
          <w:rFonts w:asciiTheme="majorBidi" w:hAnsiTheme="majorBidi" w:cstheme="majorBidi"/>
        </w:rPr>
        <w:t>noteikta</w:t>
      </w:r>
      <w:r w:rsidR="00B97F78" w:rsidRPr="00267D0E">
        <w:rPr>
          <w:rFonts w:asciiTheme="majorBidi" w:hAnsiTheme="majorBidi" w:cstheme="majorBidi"/>
        </w:rPr>
        <w:t xml:space="preserve"> otrā invaliditātes grupa. Tāpat</w:t>
      </w:r>
      <w:r w:rsidR="007C7716">
        <w:rPr>
          <w:rFonts w:asciiTheme="majorBidi" w:hAnsiTheme="majorBidi" w:cstheme="majorBidi"/>
        </w:rPr>
        <w:t xml:space="preserve"> konstatēts, ka</w:t>
      </w:r>
      <w:r w:rsidR="00B97F78" w:rsidRPr="00267D0E">
        <w:rPr>
          <w:rFonts w:asciiTheme="majorBidi" w:hAnsiTheme="majorBidi" w:cstheme="majorBidi"/>
        </w:rPr>
        <w:t xml:space="preserve"> pieteicējs norāda uz garīgām ciešanām – pārdzīvojumi, šoks</w:t>
      </w:r>
      <w:r w:rsidR="00B97F78" w:rsidRPr="00B97F78">
        <w:rPr>
          <w:rFonts w:asciiTheme="majorBidi" w:hAnsiTheme="majorBidi" w:cstheme="majorBidi"/>
        </w:rPr>
        <w:t>, dusmas un neizpratne –</w:t>
      </w:r>
      <w:r w:rsidR="007C7716">
        <w:rPr>
          <w:rFonts w:asciiTheme="majorBidi" w:hAnsiTheme="majorBidi" w:cstheme="majorBidi"/>
        </w:rPr>
        <w:t>,</w:t>
      </w:r>
      <w:r w:rsidR="00B97F78" w:rsidRPr="00B97F78">
        <w:rPr>
          <w:rFonts w:asciiTheme="majorBidi" w:hAnsiTheme="majorBidi" w:cstheme="majorBidi"/>
        </w:rPr>
        <w:t xml:space="preserve"> baidoties par savu dzīvību un veselību un neizprotot cietuma priekšnieka rīcību.</w:t>
      </w:r>
    </w:p>
    <w:p w14:paraId="14639FC4" w14:textId="5A584B61" w:rsidR="00772945" w:rsidRDefault="00524DEF" w:rsidP="007D4C48">
      <w:pPr>
        <w:spacing w:line="276" w:lineRule="auto"/>
        <w:ind w:firstLine="720"/>
        <w:jc w:val="both"/>
        <w:rPr>
          <w:rFonts w:asciiTheme="majorBidi" w:hAnsiTheme="majorBidi" w:cstheme="majorBidi"/>
        </w:rPr>
      </w:pPr>
      <w:r>
        <w:rPr>
          <w:rFonts w:asciiTheme="majorBidi" w:hAnsiTheme="majorBidi" w:cstheme="majorBidi"/>
        </w:rPr>
        <w:t xml:space="preserve">Senāts no apgabaltiesas sprieduma konstatē, </w:t>
      </w:r>
      <w:r w:rsidRPr="00524DEF">
        <w:rPr>
          <w:rFonts w:asciiTheme="majorBidi" w:hAnsiTheme="majorBidi" w:cstheme="majorBidi"/>
        </w:rPr>
        <w:t>ka</w:t>
      </w:r>
      <w:r>
        <w:rPr>
          <w:rFonts w:asciiTheme="majorBidi" w:hAnsiTheme="majorBidi" w:cstheme="majorBidi"/>
        </w:rPr>
        <w:t xml:space="preserve"> tiesa ir vērtējusi to, vai tieši iestādes prettiesiskās rīcības rezultātā pieteicējam ir </w:t>
      </w:r>
      <w:r w:rsidRPr="00524DEF">
        <w:rPr>
          <w:rFonts w:asciiTheme="majorBidi" w:hAnsiTheme="majorBidi" w:cstheme="majorBidi"/>
        </w:rPr>
        <w:t>noteikta otrā invaliditātes grupa</w:t>
      </w:r>
      <w:r>
        <w:rPr>
          <w:rFonts w:asciiTheme="majorBidi" w:hAnsiTheme="majorBidi" w:cstheme="majorBidi"/>
        </w:rPr>
        <w:t>,</w:t>
      </w:r>
      <w:r w:rsidR="00772945">
        <w:rPr>
          <w:rFonts w:asciiTheme="majorBidi" w:hAnsiTheme="majorBidi" w:cstheme="majorBidi"/>
        </w:rPr>
        <w:t xml:space="preserve"> un secinājusi, ka nav konstatējama cēloņsakarība un līdz ar to nav pamata uzskatīt, ka iestādes bezdarbība radījusi smagas sekas. Tiesa</w:t>
      </w:r>
      <w:r>
        <w:rPr>
          <w:rFonts w:asciiTheme="majorBidi" w:hAnsiTheme="majorBidi" w:cstheme="majorBidi"/>
        </w:rPr>
        <w:t xml:space="preserve"> </w:t>
      </w:r>
      <w:r w:rsidR="00772945">
        <w:rPr>
          <w:rFonts w:asciiTheme="majorBidi" w:hAnsiTheme="majorBidi" w:cstheme="majorBidi"/>
        </w:rPr>
        <w:t>norādījusi, ka</w:t>
      </w:r>
      <w:r>
        <w:rPr>
          <w:rFonts w:asciiTheme="majorBidi" w:hAnsiTheme="majorBidi" w:cstheme="majorBidi"/>
        </w:rPr>
        <w:t xml:space="preserve"> </w:t>
      </w:r>
      <w:r w:rsidR="00421117" w:rsidRPr="00912C26">
        <w:rPr>
          <w:rFonts w:asciiTheme="majorBidi" w:hAnsiTheme="majorBidi" w:cstheme="majorBidi"/>
        </w:rPr>
        <w:t>neapšaub</w:t>
      </w:r>
      <w:r w:rsidR="00772945">
        <w:rPr>
          <w:rFonts w:asciiTheme="majorBidi" w:hAnsiTheme="majorBidi" w:cstheme="majorBidi"/>
        </w:rPr>
        <w:t>a</w:t>
      </w:r>
      <w:r w:rsidR="00421117" w:rsidRPr="00912C26">
        <w:rPr>
          <w:rFonts w:asciiTheme="majorBidi" w:hAnsiTheme="majorBidi" w:cstheme="majorBidi"/>
        </w:rPr>
        <w:t>, ka cietuma administrācijas bezdarbība varēja radīt pieteicēj</w:t>
      </w:r>
      <w:r w:rsidR="00772945">
        <w:rPr>
          <w:rFonts w:asciiTheme="majorBidi" w:hAnsiTheme="majorBidi" w:cstheme="majorBidi"/>
        </w:rPr>
        <w:t>am</w:t>
      </w:r>
      <w:r w:rsidR="00421117" w:rsidRPr="00912C26">
        <w:rPr>
          <w:rFonts w:asciiTheme="majorBidi" w:hAnsiTheme="majorBidi" w:cstheme="majorBidi"/>
        </w:rPr>
        <w:t xml:space="preserve"> pārdzīvojumu, dusmas un neizpratni par šādu rīcību</w:t>
      </w:r>
      <w:r w:rsidR="00772945">
        <w:rPr>
          <w:rFonts w:asciiTheme="majorBidi" w:hAnsiTheme="majorBidi" w:cstheme="majorBidi"/>
        </w:rPr>
        <w:t>, taču tiesa nav vērtējusi pieteicēja norādīto par ilgstošām un stiprām sāpēm</w:t>
      </w:r>
      <w:r w:rsidRPr="00524DEF">
        <w:rPr>
          <w:rFonts w:asciiTheme="majorBidi" w:hAnsiTheme="majorBidi" w:cstheme="majorBidi"/>
        </w:rPr>
        <w:t>.</w:t>
      </w:r>
    </w:p>
    <w:p w14:paraId="605ECE84" w14:textId="70276DF0" w:rsidR="00524DEF" w:rsidRDefault="00772945" w:rsidP="007D4C48">
      <w:pPr>
        <w:spacing w:line="276" w:lineRule="auto"/>
        <w:ind w:firstLine="720"/>
        <w:jc w:val="both"/>
        <w:rPr>
          <w:rFonts w:asciiTheme="majorBidi" w:hAnsiTheme="majorBidi" w:cstheme="majorBidi"/>
        </w:rPr>
      </w:pPr>
      <w:r>
        <w:t>Līdz ar to p</w:t>
      </w:r>
      <w:r w:rsidR="00524DEF" w:rsidRPr="00524DEF">
        <w:t xml:space="preserve">amatots ir kasācijas sūdzības arguments, ka apgabaltiesa </w:t>
      </w:r>
      <w:r w:rsidR="00524DEF">
        <w:t xml:space="preserve">vispār </w:t>
      </w:r>
      <w:r w:rsidR="00524DEF" w:rsidRPr="00524DEF">
        <w:t xml:space="preserve">nav vērtējusi pieteicēja norādīto, ka nemantisko kaitējumu veido arī </w:t>
      </w:r>
      <w:r w:rsidR="00524DEF" w:rsidRPr="00524DEF">
        <w:rPr>
          <w:rFonts w:asciiTheme="majorBidi" w:hAnsiTheme="majorBidi" w:cstheme="majorBidi"/>
        </w:rPr>
        <w:t xml:space="preserve">ilgstošas un stipras fiziskās sāpes. </w:t>
      </w:r>
      <w:r w:rsidR="00524DEF">
        <w:rPr>
          <w:rFonts w:asciiTheme="majorBidi" w:hAnsiTheme="majorBidi" w:cstheme="majorBidi"/>
        </w:rPr>
        <w:t>Attiecīgi</w:t>
      </w:r>
      <w:r w:rsidR="00524DEF" w:rsidRPr="00524DEF">
        <w:rPr>
          <w:rFonts w:asciiTheme="majorBidi" w:hAnsiTheme="majorBidi" w:cstheme="majorBidi"/>
        </w:rPr>
        <w:t xml:space="preserve"> apgabaltiesa nav vērtējusi arī pierādījumu par šo pieteicēja norādīto kaitējumu veselībai. </w:t>
      </w:r>
      <w:r w:rsidR="00421117">
        <w:rPr>
          <w:rFonts w:asciiTheme="majorBidi" w:hAnsiTheme="majorBidi" w:cstheme="majorBidi"/>
        </w:rPr>
        <w:t xml:space="preserve">Senāta ieskatā minētā vērtējuma trūkums </w:t>
      </w:r>
      <w:r w:rsidR="00524DEF" w:rsidRPr="00524DEF">
        <w:rPr>
          <w:rFonts w:asciiTheme="majorBidi" w:hAnsiTheme="majorBidi" w:cstheme="majorBidi"/>
        </w:rPr>
        <w:t>varēja ietekmēt lietas rezultātu.</w:t>
      </w:r>
    </w:p>
    <w:p w14:paraId="21AA2E85" w14:textId="77777777" w:rsidR="00524DEF" w:rsidRDefault="00524DEF" w:rsidP="007D4C48">
      <w:pPr>
        <w:spacing w:line="276" w:lineRule="auto"/>
        <w:ind w:firstLine="720"/>
        <w:jc w:val="both"/>
        <w:rPr>
          <w:rFonts w:asciiTheme="majorBidi" w:hAnsiTheme="majorBidi" w:cstheme="majorBidi"/>
        </w:rPr>
      </w:pPr>
    </w:p>
    <w:p w14:paraId="41347E57" w14:textId="5B488EC8" w:rsidR="003C09F8" w:rsidRPr="00DA77D5" w:rsidRDefault="00524DEF" w:rsidP="007D4C48">
      <w:pPr>
        <w:spacing w:line="276" w:lineRule="auto"/>
        <w:ind w:firstLine="720"/>
        <w:jc w:val="both"/>
        <w:rPr>
          <w:rFonts w:asciiTheme="majorBidi" w:hAnsiTheme="majorBidi" w:cstheme="majorBidi"/>
          <w:i/>
          <w:iCs/>
        </w:rPr>
      </w:pPr>
      <w:r>
        <w:rPr>
          <w:rFonts w:asciiTheme="majorBidi" w:hAnsiTheme="majorBidi" w:cstheme="majorBidi"/>
        </w:rPr>
        <w:t>[12]</w:t>
      </w:r>
      <w:r w:rsidR="00421117">
        <w:rPr>
          <w:rFonts w:asciiTheme="majorBidi" w:hAnsiTheme="majorBidi" w:cstheme="majorBidi"/>
        </w:rPr>
        <w:t> </w:t>
      </w:r>
      <w:r w:rsidR="003C09F8" w:rsidRPr="00B97F78">
        <w:rPr>
          <w:rFonts w:asciiTheme="majorBidi" w:hAnsiTheme="majorBidi" w:cstheme="majorBidi"/>
        </w:rPr>
        <w:t>O</w:t>
      </w:r>
      <w:r w:rsidR="003C09F8" w:rsidRPr="00DA77D5">
        <w:rPr>
          <w:rFonts w:asciiTheme="majorBidi" w:hAnsiTheme="majorBidi" w:cstheme="majorBidi"/>
        </w:rPr>
        <w:t>bjektīvās izmeklēšanas princips</w:t>
      </w:r>
      <w:r w:rsidR="00DA77D5" w:rsidRPr="00DA77D5">
        <w:rPr>
          <w:rFonts w:asciiTheme="majorBidi" w:hAnsiTheme="majorBidi" w:cstheme="majorBidi"/>
        </w:rPr>
        <w:t xml:space="preserve"> nozīmē, ka, lai prasījuma robežās noskaidrotu patiesos lietas apstākļus un panāktu tiesisku u</w:t>
      </w:r>
      <w:r w:rsidR="00DA77D5">
        <w:rPr>
          <w:rFonts w:asciiTheme="majorBidi" w:hAnsiTheme="majorBidi" w:cstheme="majorBidi"/>
        </w:rPr>
        <w:t>n taisnīgu lietas izskatīšanu, tiesa dod administratīvā procesa dalībniekiem norādījumus un ieteikumus, kā arī savāc pierādījumus pēc savas iniciatīvas (</w:t>
      </w:r>
      <w:r w:rsidR="00DA77D5" w:rsidRPr="00DA77D5">
        <w:rPr>
          <w:rFonts w:asciiTheme="majorBidi" w:hAnsiTheme="majorBidi" w:cstheme="majorBidi"/>
          <w:i/>
          <w:iCs/>
        </w:rPr>
        <w:t>Administratīvā procesa likuma 107.panta ceturtā daļa</w:t>
      </w:r>
      <w:r w:rsidR="00DA77D5">
        <w:rPr>
          <w:rFonts w:asciiTheme="majorBidi" w:hAnsiTheme="majorBidi" w:cstheme="majorBidi"/>
        </w:rPr>
        <w:t>).</w:t>
      </w:r>
    </w:p>
    <w:p w14:paraId="5EB450B8" w14:textId="0A0F8607" w:rsidR="00DA77D5" w:rsidRPr="00154A11" w:rsidRDefault="00154A11" w:rsidP="007D4C48">
      <w:pPr>
        <w:spacing w:line="276" w:lineRule="auto"/>
        <w:ind w:firstLine="720"/>
        <w:contextualSpacing/>
        <w:jc w:val="both"/>
        <w:rPr>
          <w:rFonts w:asciiTheme="majorBidi" w:hAnsiTheme="majorBidi" w:cstheme="majorBidi"/>
        </w:rPr>
      </w:pPr>
      <w:r>
        <w:rPr>
          <w:rFonts w:asciiTheme="majorBidi" w:hAnsiTheme="majorBidi" w:cstheme="majorBidi"/>
        </w:rPr>
        <w:t>Taču o</w:t>
      </w:r>
      <w:r w:rsidR="00483C03" w:rsidRPr="00154A11">
        <w:rPr>
          <w:rFonts w:asciiTheme="majorBidi" w:hAnsiTheme="majorBidi" w:cstheme="majorBidi"/>
        </w:rPr>
        <w:t>bjektīvās izmeklēšanas princips nenozīmē</w:t>
      </w:r>
      <w:r w:rsidR="00D80C92" w:rsidRPr="00154A11">
        <w:rPr>
          <w:rFonts w:asciiTheme="majorBidi" w:hAnsiTheme="majorBidi" w:cstheme="majorBidi"/>
        </w:rPr>
        <w:t xml:space="preserve"> tiesas pienākumu iestāties kāda no procesa dalībniekiem vietā un tā interesēs vākt pierādījumus, lai lietas izskatīšanas gaitā apstiprinātu tā uzturēto pozīciju. T</w:t>
      </w:r>
      <w:r w:rsidR="00483C03" w:rsidRPr="00154A11">
        <w:t xml:space="preserve">iesa izprasa, savāc vai dod norādījumus procesa dalībniekiem iesniegt papildu pierādījumus tad, ja uzskata, ka lietā esošie pierādījumi nav pietiekami un papildu pierādījumi nepieciešami lietas apstākļu vispusīgai noskaidrošanai. Ja tiesa secina, ka tās rīcībā esošie pierādījumi ir pietiekami strīda izšķiršanai, tai nav pienākuma šādas darbības veikt. </w:t>
      </w:r>
      <w:r w:rsidR="00DA77D5" w:rsidRPr="00154A11">
        <w:rPr>
          <w:rFonts w:asciiTheme="majorBidi" w:hAnsiTheme="majorBidi" w:cstheme="majorBidi"/>
        </w:rPr>
        <w:t>Pierādījumu pietiekamība ir jautājums, ko atbilstoši kompetencei izlemj tā tiesa, kas izskata lietu pēc būtības.</w:t>
      </w:r>
      <w:r w:rsidR="00D80C92" w:rsidRPr="00154A11">
        <w:rPr>
          <w:rFonts w:asciiTheme="majorBidi" w:hAnsiTheme="majorBidi" w:cstheme="majorBidi"/>
        </w:rPr>
        <w:t xml:space="preserve"> </w:t>
      </w:r>
    </w:p>
    <w:p w14:paraId="56F345AB" w14:textId="373BAC86" w:rsidR="00D80C92" w:rsidRPr="00154A11" w:rsidRDefault="007C7716" w:rsidP="007D4C48">
      <w:pPr>
        <w:spacing w:line="276" w:lineRule="auto"/>
        <w:ind w:firstLine="720"/>
        <w:contextualSpacing/>
        <w:jc w:val="both"/>
        <w:rPr>
          <w:rFonts w:asciiTheme="majorBidi" w:hAnsiTheme="majorBidi" w:cstheme="majorBidi"/>
        </w:rPr>
      </w:pPr>
      <w:r>
        <w:rPr>
          <w:rFonts w:asciiTheme="majorBidi" w:hAnsiTheme="majorBidi" w:cstheme="majorBidi"/>
        </w:rPr>
        <w:t>Attiecīgi</w:t>
      </w:r>
      <w:r w:rsidR="00D80C92" w:rsidRPr="00154A11">
        <w:rPr>
          <w:rFonts w:asciiTheme="majorBidi" w:hAnsiTheme="majorBidi" w:cstheme="majorBidi"/>
        </w:rPr>
        <w:t xml:space="preserve"> jautājums par pierādījumu pietiekamību un līdz ar to arī ekspertīzes nepieciešamību lietā ir apgabaltiesas kompetences jautājums. Vienlaikus var piekrist pieteicējam, ka apgabaltiesa spriedumā nav atbildējusi uz apelācijas sūdzības argumentu par ekspertīzes nepieciešamību.</w:t>
      </w:r>
    </w:p>
    <w:p w14:paraId="747DEE9E" w14:textId="77777777" w:rsidR="000E744D" w:rsidRDefault="000E744D" w:rsidP="007D4C48">
      <w:pPr>
        <w:spacing w:line="276" w:lineRule="auto"/>
        <w:ind w:firstLine="720"/>
        <w:contextualSpacing/>
        <w:jc w:val="both"/>
        <w:rPr>
          <w:rFonts w:asciiTheme="majorBidi" w:hAnsiTheme="majorBidi" w:cstheme="majorBidi"/>
          <w:i/>
          <w:iCs/>
        </w:rPr>
      </w:pPr>
    </w:p>
    <w:p w14:paraId="6BD47984" w14:textId="4714248E" w:rsidR="000843CE" w:rsidRDefault="000E744D" w:rsidP="007D4C48">
      <w:pPr>
        <w:spacing w:line="276" w:lineRule="auto"/>
        <w:ind w:firstLine="720"/>
        <w:contextualSpacing/>
        <w:jc w:val="both"/>
        <w:rPr>
          <w:rFonts w:asciiTheme="majorBidi" w:hAnsiTheme="majorBidi" w:cstheme="majorBidi"/>
        </w:rPr>
      </w:pPr>
      <w:r w:rsidRPr="000E744D">
        <w:rPr>
          <w:rFonts w:asciiTheme="majorBidi" w:hAnsiTheme="majorBidi" w:cstheme="majorBidi"/>
        </w:rPr>
        <w:t>[</w:t>
      </w:r>
      <w:r w:rsidR="00E6158B">
        <w:rPr>
          <w:rFonts w:asciiTheme="majorBidi" w:hAnsiTheme="majorBidi" w:cstheme="majorBidi"/>
        </w:rPr>
        <w:t>13</w:t>
      </w:r>
      <w:r w:rsidRPr="000E744D">
        <w:rPr>
          <w:rFonts w:asciiTheme="majorBidi" w:hAnsiTheme="majorBidi" w:cstheme="majorBidi"/>
        </w:rPr>
        <w:t>]</w:t>
      </w:r>
      <w:r w:rsidR="000843CE">
        <w:rPr>
          <w:rFonts w:asciiTheme="majorBidi" w:hAnsiTheme="majorBidi" w:cstheme="majorBidi"/>
        </w:rPr>
        <w:t xml:space="preserve"> Saskaņā ar </w:t>
      </w:r>
      <w:r w:rsidR="000843CE" w:rsidRPr="000843CE">
        <w:rPr>
          <w:rFonts w:asciiTheme="majorBidi" w:hAnsiTheme="majorBidi" w:cstheme="majorBidi"/>
        </w:rPr>
        <w:t>Administratīvā procesa likuma 154.panta pirm</w:t>
      </w:r>
      <w:r w:rsidR="000843CE">
        <w:rPr>
          <w:rFonts w:asciiTheme="majorBidi" w:hAnsiTheme="majorBidi" w:cstheme="majorBidi"/>
        </w:rPr>
        <w:t>o</w:t>
      </w:r>
      <w:r w:rsidR="000843CE" w:rsidRPr="000843CE">
        <w:rPr>
          <w:rFonts w:asciiTheme="majorBidi" w:hAnsiTheme="majorBidi" w:cstheme="majorBidi"/>
        </w:rPr>
        <w:t xml:space="preserve"> daļ</w:t>
      </w:r>
      <w:r w:rsidR="000843CE">
        <w:rPr>
          <w:rFonts w:asciiTheme="majorBidi" w:hAnsiTheme="majorBidi" w:cstheme="majorBidi"/>
        </w:rPr>
        <w:t>u</w:t>
      </w:r>
      <w:r w:rsidR="000843CE" w:rsidRPr="000843CE">
        <w:rPr>
          <w:rFonts w:asciiTheme="majorBidi" w:hAnsiTheme="majorBidi" w:cstheme="majorBidi"/>
        </w:rPr>
        <w:t xml:space="preserve"> tiesa novērtē pierādījumus pēc savas iekšējās pārliecības, kas pamatojas uz vispusīgi, pilnīgi un objektīvi pārbaudītiem pierādījumiem, kā arī vadoties no tiesiskās apziņas, kas balstīta uz loģikas likumiem, zinātnes atziņām un taisnības principiem. </w:t>
      </w:r>
    </w:p>
    <w:p w14:paraId="240A3610" w14:textId="6AF49E62" w:rsidR="000E744D" w:rsidRDefault="000843CE" w:rsidP="007D4C48">
      <w:pPr>
        <w:spacing w:line="276" w:lineRule="auto"/>
        <w:ind w:firstLine="720"/>
        <w:contextualSpacing/>
        <w:jc w:val="both"/>
        <w:rPr>
          <w:rFonts w:asciiTheme="majorBidi" w:hAnsiTheme="majorBidi" w:cstheme="majorBidi"/>
        </w:rPr>
      </w:pPr>
      <w:r w:rsidRPr="000843CE">
        <w:rPr>
          <w:rFonts w:asciiTheme="majorBidi" w:hAnsiTheme="majorBidi" w:cstheme="majorBidi"/>
        </w:rPr>
        <w:t xml:space="preserve">Senāts jau iepriekš uzsvēris, ka </w:t>
      </w:r>
      <w:r w:rsidR="000B0229">
        <w:rPr>
          <w:rFonts w:asciiTheme="majorBidi" w:hAnsiTheme="majorBidi" w:cstheme="majorBidi"/>
        </w:rPr>
        <w:t>v</w:t>
      </w:r>
      <w:r w:rsidR="000B0229" w:rsidRPr="000B0229">
        <w:rPr>
          <w:rFonts w:asciiTheme="majorBidi" w:hAnsiTheme="majorBidi" w:cstheme="majorBidi"/>
        </w:rPr>
        <w:t xml:space="preserve">ispusīga un pilnīga pierādījumu novērtēšana nozīmē to, ka tiesa novērtē visus lietā esošos pierādījumus, kas aptver gan tiesas viedokli apstiprinošus, gan no tā atšķirīgus pierādījumus. Objektivitāte pierādījumu pārbaudē nozīmē, ka tiesas secinājumiem jāatbilst īstenībai, izvairoties no patvaļīgiem vai aizspriedumainiem apsvērumiem. Pierādījumu novērtējumam jābūt loģiskam, t.i., secinājumiem jāizriet no pierādījumiem lietā, jābūt savstarpēji saistītiem loģiskā secībā. Lietas apstākļu novērtēšanā tiesa balstās uz dzīvē gūtajiem novērojumiem, kas izriet no noteiktām likumsakarībām </w:t>
      </w:r>
      <w:r w:rsidR="000B0229" w:rsidRPr="00D81A94">
        <w:rPr>
          <w:rFonts w:asciiTheme="majorBidi" w:hAnsiTheme="majorBidi"/>
        </w:rPr>
        <w:t>(</w:t>
      </w:r>
      <w:r w:rsidR="000B0229" w:rsidRPr="00D81A94">
        <w:rPr>
          <w:rFonts w:asciiTheme="majorBidi" w:hAnsiTheme="majorBidi"/>
          <w:i/>
        </w:rPr>
        <w:t>Senāta 2018.gada 28.decembra sprieduma lietā Nr. </w:t>
      </w:r>
      <w:r w:rsidR="000B0229" w:rsidRPr="001F5F38">
        <w:rPr>
          <w:rFonts w:asciiTheme="majorBidi" w:hAnsiTheme="majorBidi" w:cstheme="majorBidi"/>
          <w:i/>
          <w:iCs/>
        </w:rPr>
        <w:t xml:space="preserve">SKA-655/2018, </w:t>
      </w:r>
      <w:hyperlink r:id="rId12" w:history="1">
        <w:r w:rsidR="000B0229" w:rsidRPr="001F5F38">
          <w:rPr>
            <w:rStyle w:val="Hyperlink"/>
            <w:rFonts w:asciiTheme="majorBidi" w:hAnsiTheme="majorBidi" w:cstheme="majorBidi"/>
            <w:i/>
            <w:iCs/>
          </w:rPr>
          <w:t>ECLI:LV:AT:2018:1228.A420495111.3.S</w:t>
        </w:r>
      </w:hyperlink>
      <w:r w:rsidR="000B0229" w:rsidRPr="001F5F38">
        <w:rPr>
          <w:rFonts w:asciiTheme="majorBidi" w:hAnsiTheme="majorBidi" w:cstheme="majorBidi"/>
          <w:i/>
          <w:iCs/>
        </w:rPr>
        <w:t>,</w:t>
      </w:r>
      <w:r w:rsidR="000B0229" w:rsidRPr="00D81A94">
        <w:rPr>
          <w:rFonts w:asciiTheme="majorBidi" w:hAnsiTheme="majorBidi"/>
          <w:i/>
        </w:rPr>
        <w:t xml:space="preserve"> 8.punkts</w:t>
      </w:r>
      <w:r w:rsidR="000B0229" w:rsidRPr="00D81A94">
        <w:rPr>
          <w:rFonts w:asciiTheme="majorBidi" w:hAnsiTheme="majorBidi"/>
        </w:rPr>
        <w:t>).</w:t>
      </w:r>
    </w:p>
    <w:p w14:paraId="45686719" w14:textId="252805E0" w:rsidR="00772945" w:rsidRDefault="00772945" w:rsidP="007D4C48">
      <w:pPr>
        <w:spacing w:line="276" w:lineRule="auto"/>
        <w:ind w:firstLine="720"/>
        <w:contextualSpacing/>
        <w:jc w:val="both"/>
        <w:rPr>
          <w:rFonts w:asciiTheme="majorBidi" w:hAnsiTheme="majorBidi" w:cstheme="majorBidi"/>
        </w:rPr>
      </w:pPr>
      <w:r>
        <w:rPr>
          <w:rFonts w:asciiTheme="majorBidi" w:hAnsiTheme="majorBidi" w:cstheme="majorBidi"/>
        </w:rPr>
        <w:t>Kā jau tika konstatēts šā sprieduma 11.punktā, apgabaltiesa nav vērtējusi pierādījumus saistībā ar pieteicēja norādīto kaitējumu veselība</w:t>
      </w:r>
      <w:r w:rsidR="007C7716">
        <w:rPr>
          <w:rFonts w:asciiTheme="majorBidi" w:hAnsiTheme="majorBidi" w:cstheme="majorBidi"/>
        </w:rPr>
        <w:t>i</w:t>
      </w:r>
      <w:r>
        <w:rPr>
          <w:rFonts w:asciiTheme="majorBidi" w:hAnsiTheme="majorBidi" w:cstheme="majorBidi"/>
        </w:rPr>
        <w:t xml:space="preserve">, kas izpaudās kā ilgstošas un stipras sāpēs. </w:t>
      </w:r>
    </w:p>
    <w:p w14:paraId="6D6E27CC" w14:textId="03C7130C" w:rsidR="00487F5B" w:rsidRDefault="00690212" w:rsidP="007D4C48">
      <w:pPr>
        <w:spacing w:line="276" w:lineRule="auto"/>
        <w:ind w:firstLine="720"/>
        <w:contextualSpacing/>
        <w:jc w:val="both"/>
        <w:rPr>
          <w:rFonts w:asciiTheme="majorBidi" w:hAnsiTheme="majorBidi" w:cstheme="majorBidi"/>
        </w:rPr>
      </w:pPr>
      <w:r w:rsidRPr="00267D0E">
        <w:rPr>
          <w:rFonts w:asciiTheme="majorBidi" w:hAnsiTheme="majorBidi" w:cstheme="majorBidi"/>
        </w:rPr>
        <w:t>No apgabaltiesas sprieduma, ņemot vērā pievienošanos pirmās instances tiesas sprieduma motivācijai</w:t>
      </w:r>
      <w:r w:rsidR="005C4E71" w:rsidRPr="00267D0E">
        <w:rPr>
          <w:rFonts w:asciiTheme="majorBidi" w:hAnsiTheme="majorBidi" w:cstheme="majorBidi"/>
        </w:rPr>
        <w:t xml:space="preserve">, konstatējams, ka tiesa ir vērtējusi </w:t>
      </w:r>
      <w:r w:rsidR="00772945">
        <w:rPr>
          <w:rFonts w:asciiTheme="majorBidi" w:hAnsiTheme="majorBidi" w:cstheme="majorBidi"/>
        </w:rPr>
        <w:t xml:space="preserve">tikai </w:t>
      </w:r>
      <w:r w:rsidR="005C4E71" w:rsidRPr="00267D0E">
        <w:rPr>
          <w:rFonts w:asciiTheme="majorBidi" w:hAnsiTheme="majorBidi" w:cstheme="majorBidi"/>
        </w:rPr>
        <w:t>pieteicēja norādīto par paliekošu veselības bojājumu, jo viņam piešķirta otrā invaliditātes grupa, un</w:t>
      </w:r>
      <w:r w:rsidR="00267D0E" w:rsidRPr="00267D0E">
        <w:rPr>
          <w:rFonts w:asciiTheme="majorBidi" w:hAnsiTheme="majorBidi" w:cstheme="majorBidi"/>
        </w:rPr>
        <w:t xml:space="preserve"> </w:t>
      </w:r>
      <w:r w:rsidR="005C4E71" w:rsidRPr="00267D0E">
        <w:rPr>
          <w:rFonts w:asciiTheme="majorBidi" w:hAnsiTheme="majorBidi" w:cstheme="majorBidi"/>
        </w:rPr>
        <w:t>cēloņsakarību star</w:t>
      </w:r>
      <w:r w:rsidR="00FC2D51" w:rsidRPr="00267D0E">
        <w:rPr>
          <w:rFonts w:asciiTheme="majorBidi" w:hAnsiTheme="majorBidi" w:cstheme="majorBidi"/>
        </w:rPr>
        <w:t>p</w:t>
      </w:r>
      <w:r w:rsidR="005C4E71" w:rsidRPr="00267D0E">
        <w:rPr>
          <w:rFonts w:asciiTheme="majorBidi" w:hAnsiTheme="majorBidi" w:cstheme="majorBidi"/>
        </w:rPr>
        <w:t xml:space="preserve"> iestādes prettiesisko rīcību un minētās invaliditātes </w:t>
      </w:r>
      <w:r w:rsidR="00772945">
        <w:rPr>
          <w:rFonts w:asciiTheme="majorBidi" w:hAnsiTheme="majorBidi" w:cstheme="majorBidi"/>
        </w:rPr>
        <w:t xml:space="preserve">grupas </w:t>
      </w:r>
      <w:r w:rsidR="005C4E71" w:rsidRPr="00267D0E">
        <w:rPr>
          <w:rFonts w:asciiTheme="majorBidi" w:hAnsiTheme="majorBidi" w:cstheme="majorBidi"/>
        </w:rPr>
        <w:t>noteikšanu.</w:t>
      </w:r>
      <w:r w:rsidR="00267D0E">
        <w:rPr>
          <w:rFonts w:asciiTheme="majorBidi" w:hAnsiTheme="majorBidi" w:cstheme="majorBidi"/>
        </w:rPr>
        <w:t xml:space="preserve"> Proti, tiesa galvenokārt ir koncentrējusies uz aizskāruma smaguma izvērtējumu, vērtējot, vai iestādes prettiesiskā rīcība ir radījusi pieteicēja veselībai smagas un neatgriezeniskas sekas, kā to uzskata pieteicējs.</w:t>
      </w:r>
      <w:r w:rsidR="00726A91">
        <w:rPr>
          <w:rFonts w:asciiTheme="majorBidi" w:hAnsiTheme="majorBidi" w:cstheme="majorBidi"/>
        </w:rPr>
        <w:t xml:space="preserve"> </w:t>
      </w:r>
      <w:r w:rsidR="00772945" w:rsidRPr="00487F5B">
        <w:rPr>
          <w:rFonts w:asciiTheme="majorBidi" w:hAnsiTheme="majorBidi" w:cstheme="majorBidi"/>
        </w:rPr>
        <w:t xml:space="preserve">Apgabaltiesa ir </w:t>
      </w:r>
      <w:r w:rsidR="007C7716">
        <w:rPr>
          <w:rFonts w:asciiTheme="majorBidi" w:hAnsiTheme="majorBidi" w:cstheme="majorBidi"/>
        </w:rPr>
        <w:t>ņēmusi</w:t>
      </w:r>
      <w:r w:rsidR="00772945" w:rsidRPr="00487F5B">
        <w:rPr>
          <w:rFonts w:asciiTheme="majorBidi" w:hAnsiTheme="majorBidi" w:cstheme="majorBidi"/>
        </w:rPr>
        <w:t xml:space="preserve"> to, ka pieteicējs ar mugurkaula spondilozi slimo jau ilgstoši.</w:t>
      </w:r>
      <w:r w:rsidR="00487F5B" w:rsidRPr="00487F5B">
        <w:rPr>
          <w:rFonts w:asciiTheme="majorBidi" w:hAnsiTheme="majorBidi" w:cstheme="majorBidi"/>
        </w:rPr>
        <w:t xml:space="preserve"> Pieteicējam no 2008.gada 30.jūnija līdz 2009.gada 29.jūnijam ir bijusi noteikta otrā invaliditātes grupa, no 2009.gada 25.jūnija līdz 2014.gada 24.jūnijam – trešā invaliditātes grupa. Pieteicējs pēc 2014.gada invaliditātes grupu </w:t>
      </w:r>
      <w:r w:rsidR="004E7485">
        <w:rPr>
          <w:rFonts w:asciiTheme="majorBidi" w:hAnsiTheme="majorBidi" w:cstheme="majorBidi"/>
        </w:rPr>
        <w:t>nebija</w:t>
      </w:r>
      <w:r w:rsidR="00487F5B" w:rsidRPr="00487F5B">
        <w:rPr>
          <w:rFonts w:asciiTheme="majorBidi" w:hAnsiTheme="majorBidi" w:cstheme="majorBidi"/>
        </w:rPr>
        <w:t xml:space="preserve"> pagarinājis. Kā pieteicējs paskaidrojis tiesas sēdē, viņam tas neesot bijis aktuāli. Ņemot vērā, ka pieteicējs pēc 2014.gada nav ticis nosūtīts uz ekspertīzes komisiju, bet no lietas materiāliem izriet, ka viņa veselības stāvoklis arī pēc 2014.gada nav uzlabojies (bet ir bijis ar tendenci pasliktināties, neskatoties uz fizioterapeita un neiroķirurga sniegtajiem pakalpojumiem), apgabaltiesa atz</w:t>
      </w:r>
      <w:r w:rsidR="00487F5B">
        <w:rPr>
          <w:rFonts w:asciiTheme="majorBidi" w:hAnsiTheme="majorBidi" w:cstheme="majorBidi"/>
        </w:rPr>
        <w:t>inusi</w:t>
      </w:r>
      <w:r w:rsidR="00487F5B" w:rsidRPr="009945A8">
        <w:rPr>
          <w:rFonts w:asciiTheme="majorBidi" w:hAnsiTheme="majorBidi" w:cstheme="majorBidi"/>
        </w:rPr>
        <w:t xml:space="preserve">, ka šādos apstākļos nav iespējams viennozīmīgi secināt, ka pieteicējam </w:t>
      </w:r>
      <w:r w:rsidR="0017470D" w:rsidRPr="009945A8">
        <w:rPr>
          <w:rFonts w:asciiTheme="majorBidi" w:hAnsiTheme="majorBidi" w:cstheme="majorBidi"/>
        </w:rPr>
        <w:t xml:space="preserve">ar ekspertīzes komisijas 2022.gada 27.janvāra lēmumu Nr. 30-2022-1688 </w:t>
      </w:r>
      <w:r w:rsidR="00487F5B" w:rsidRPr="009945A8">
        <w:rPr>
          <w:rFonts w:asciiTheme="majorBidi" w:hAnsiTheme="majorBidi" w:cstheme="majorBidi"/>
        </w:rPr>
        <w:t>otrā invaliditātes grupa (proti, smagi funkcionālie traucējumi) ir noteikta tieši tādēļ, ka pieteicējam, atrodoties ieslodzījuma vietā, netika</w:t>
      </w:r>
      <w:r w:rsidR="00487F5B" w:rsidRPr="00487F5B">
        <w:rPr>
          <w:rFonts w:asciiTheme="majorBidi" w:hAnsiTheme="majorBidi" w:cstheme="majorBidi"/>
        </w:rPr>
        <w:t xml:space="preserve"> nodrošināti iepriekš minētie pakalpojumi.</w:t>
      </w:r>
    </w:p>
    <w:p w14:paraId="284DEB10" w14:textId="055DE160" w:rsidR="009F7F8B" w:rsidRDefault="00487F5B" w:rsidP="007D4C48">
      <w:pPr>
        <w:spacing w:line="276" w:lineRule="auto"/>
        <w:ind w:firstLine="720"/>
        <w:jc w:val="both"/>
        <w:rPr>
          <w:rFonts w:asciiTheme="majorBidi" w:hAnsiTheme="majorBidi" w:cstheme="majorBidi"/>
        </w:rPr>
      </w:pPr>
      <w:r>
        <w:rPr>
          <w:rFonts w:asciiTheme="majorBidi" w:hAnsiTheme="majorBidi" w:cstheme="majorBidi"/>
        </w:rPr>
        <w:t>Senāts piekrīt, ka vispārīgi minētie</w:t>
      </w:r>
      <w:r w:rsidR="00726A91">
        <w:rPr>
          <w:rFonts w:asciiTheme="majorBidi" w:hAnsiTheme="majorBidi" w:cstheme="majorBidi"/>
        </w:rPr>
        <w:t xml:space="preserve"> apgabaltiesas</w:t>
      </w:r>
      <w:r>
        <w:rPr>
          <w:rFonts w:asciiTheme="majorBidi" w:hAnsiTheme="majorBidi" w:cstheme="majorBidi"/>
        </w:rPr>
        <w:t xml:space="preserve"> apsvērumi</w:t>
      </w:r>
      <w:r w:rsidR="00726A91">
        <w:rPr>
          <w:rFonts w:asciiTheme="majorBidi" w:hAnsiTheme="majorBidi" w:cstheme="majorBidi"/>
        </w:rPr>
        <w:t xml:space="preserve"> </w:t>
      </w:r>
      <w:r>
        <w:rPr>
          <w:rFonts w:asciiTheme="majorBidi" w:hAnsiTheme="majorBidi" w:cstheme="majorBidi"/>
        </w:rPr>
        <w:t>ir loģiski, taču vienlaikus pamatots ir</w:t>
      </w:r>
      <w:r w:rsidR="0017470D">
        <w:rPr>
          <w:rFonts w:asciiTheme="majorBidi" w:hAnsiTheme="majorBidi" w:cstheme="majorBidi"/>
        </w:rPr>
        <w:t xml:space="preserve"> arī</w:t>
      </w:r>
      <w:r>
        <w:rPr>
          <w:rFonts w:asciiTheme="majorBidi" w:hAnsiTheme="majorBidi" w:cstheme="majorBidi"/>
        </w:rPr>
        <w:t xml:space="preserve"> kasācijas sūdzības arguments, ka apgabaltiesa nav pietiekami vispusīgi un pilnīgi pārbaudījusi pieteicēja iesniegtos pierādījumus</w:t>
      </w:r>
      <w:r w:rsidRPr="00726A91">
        <w:rPr>
          <w:rFonts w:asciiTheme="majorBidi" w:hAnsiTheme="majorBidi" w:cstheme="majorBidi"/>
        </w:rPr>
        <w:t xml:space="preserve">. </w:t>
      </w:r>
      <w:r w:rsidR="004751AE" w:rsidRPr="00726A91">
        <w:rPr>
          <w:rFonts w:asciiTheme="majorBidi" w:hAnsiTheme="majorBidi" w:cstheme="majorBidi"/>
        </w:rPr>
        <w:t xml:space="preserve">Tiesa ir atreferējusi lietas materiālos esošos ārstniecības personu, ārstu konsīlija viedokļus un atzinumus un </w:t>
      </w:r>
      <w:r w:rsidR="00726A91" w:rsidRPr="00726A91">
        <w:rPr>
          <w:rFonts w:asciiTheme="majorBidi" w:hAnsiTheme="majorBidi" w:cstheme="majorBidi"/>
        </w:rPr>
        <w:t xml:space="preserve">no </w:t>
      </w:r>
      <w:r w:rsidR="004751AE" w:rsidRPr="00726A91">
        <w:rPr>
          <w:rFonts w:asciiTheme="majorBidi" w:hAnsiTheme="majorBidi" w:cstheme="majorBidi"/>
        </w:rPr>
        <w:t>tiem secinājusi, ka lielākais risks, uz kuru vērsta uzmanība vairākos ārstu secinājumos, ir iespējamā ķirurģiskā iejaukšanās, kas tomēr nav bijusi nepieciešama.</w:t>
      </w:r>
      <w:r w:rsidR="009F7F8B" w:rsidRPr="00726A91">
        <w:rPr>
          <w:rFonts w:asciiTheme="majorBidi" w:hAnsiTheme="majorBidi" w:cstheme="majorBidi"/>
        </w:rPr>
        <w:t xml:space="preserve"> Taču tiesa nav vērtējusi pieteicēja izvirzītos argumentus, ka ārstu viedokļi liecina par stāvokļa pasliktināšanos</w:t>
      </w:r>
      <w:r w:rsidR="00726A91">
        <w:rPr>
          <w:rFonts w:asciiTheme="majorBidi" w:hAnsiTheme="majorBidi" w:cstheme="majorBidi"/>
        </w:rPr>
        <w:t xml:space="preserve"> tieši</w:t>
      </w:r>
      <w:r w:rsidR="009F7F8B" w:rsidRPr="00726A91">
        <w:rPr>
          <w:rFonts w:asciiTheme="majorBidi" w:hAnsiTheme="majorBidi" w:cstheme="majorBidi"/>
        </w:rPr>
        <w:t xml:space="preserve"> </w:t>
      </w:r>
      <w:r w:rsidR="0017470D">
        <w:rPr>
          <w:rFonts w:asciiTheme="majorBidi" w:hAnsiTheme="majorBidi" w:cstheme="majorBidi"/>
        </w:rPr>
        <w:t>tā</w:t>
      </w:r>
      <w:r w:rsidR="00726A91" w:rsidRPr="00726A91">
        <w:rPr>
          <w:rFonts w:asciiTheme="majorBidi" w:hAnsiTheme="majorBidi" w:cstheme="majorBidi"/>
        </w:rPr>
        <w:t>dēļ</w:t>
      </w:r>
      <w:r w:rsidR="0017470D">
        <w:rPr>
          <w:rFonts w:asciiTheme="majorBidi" w:hAnsiTheme="majorBidi" w:cstheme="majorBidi"/>
        </w:rPr>
        <w:t>,</w:t>
      </w:r>
      <w:r w:rsidR="00726A91" w:rsidRPr="00726A91">
        <w:rPr>
          <w:rFonts w:asciiTheme="majorBidi" w:hAnsiTheme="majorBidi" w:cstheme="majorBidi"/>
        </w:rPr>
        <w:t xml:space="preserve"> ka pieteicējam netika nodrošinātas attiecīgu speciālistu konsultācijas</w:t>
      </w:r>
      <w:r w:rsidR="001B7B84">
        <w:rPr>
          <w:rFonts w:asciiTheme="majorBidi" w:hAnsiTheme="majorBidi" w:cstheme="majorBidi"/>
        </w:rPr>
        <w:t>, proti, tiesa nav atbildējusi, vai pierādījumi apliecina vai neapliecina šo pieteicēja argumentu</w:t>
      </w:r>
      <w:r w:rsidR="00726A91" w:rsidRPr="00726A91">
        <w:rPr>
          <w:rFonts w:asciiTheme="majorBidi" w:hAnsiTheme="majorBidi" w:cstheme="majorBidi"/>
        </w:rPr>
        <w:t xml:space="preserve">. </w:t>
      </w:r>
      <w:r w:rsidR="009F7F8B" w:rsidRPr="00726A91">
        <w:rPr>
          <w:rFonts w:asciiTheme="majorBidi" w:hAnsiTheme="majorBidi" w:cstheme="majorBidi"/>
        </w:rPr>
        <w:t xml:space="preserve">Tostarp pamatots ir arī arguments, ka tiesa </w:t>
      </w:r>
      <w:r w:rsidR="001B7B84">
        <w:rPr>
          <w:rFonts w:asciiTheme="majorBidi" w:hAnsiTheme="majorBidi" w:cstheme="majorBidi"/>
        </w:rPr>
        <w:t xml:space="preserve">spriedumā atsaucas uz </w:t>
      </w:r>
      <w:r w:rsidR="009F7F8B" w:rsidRPr="00726A91">
        <w:rPr>
          <w:rFonts w:asciiTheme="majorBidi" w:hAnsiTheme="majorBidi" w:cstheme="majorBidi"/>
        </w:rPr>
        <w:t>Cietumu slimnīcas ārstu konsultatīvā</w:t>
      </w:r>
      <w:r w:rsidR="001B7B84">
        <w:rPr>
          <w:rFonts w:asciiTheme="majorBidi" w:hAnsiTheme="majorBidi" w:cstheme="majorBidi"/>
        </w:rPr>
        <w:t>s</w:t>
      </w:r>
      <w:r w:rsidR="009F7F8B" w:rsidRPr="00726A91">
        <w:rPr>
          <w:rFonts w:asciiTheme="majorBidi" w:hAnsiTheme="majorBidi" w:cstheme="majorBidi"/>
        </w:rPr>
        <w:t xml:space="preserve"> komisija</w:t>
      </w:r>
      <w:r w:rsidR="001B7B84">
        <w:rPr>
          <w:rFonts w:asciiTheme="majorBidi" w:hAnsiTheme="majorBidi" w:cstheme="majorBidi"/>
        </w:rPr>
        <w:t>s</w:t>
      </w:r>
      <w:r w:rsidR="009F7F8B" w:rsidRPr="00726A91">
        <w:rPr>
          <w:rFonts w:asciiTheme="majorBidi" w:hAnsiTheme="majorBidi" w:cstheme="majorBidi"/>
        </w:rPr>
        <w:t xml:space="preserve"> </w:t>
      </w:r>
      <w:r w:rsidR="001B7B84">
        <w:rPr>
          <w:rFonts w:asciiTheme="majorBidi" w:hAnsiTheme="majorBidi" w:cstheme="majorBidi"/>
        </w:rPr>
        <w:t>secinājumu, ka nav konstatējama</w:t>
      </w:r>
      <w:r w:rsidR="009F7F8B" w:rsidRPr="00726A91">
        <w:rPr>
          <w:rFonts w:asciiTheme="majorBidi" w:hAnsiTheme="majorBidi" w:cstheme="majorBidi"/>
        </w:rPr>
        <w:t xml:space="preserve"> pieteicēja veselības stāvokļa strauj</w:t>
      </w:r>
      <w:r w:rsidR="001B7B84">
        <w:rPr>
          <w:rFonts w:asciiTheme="majorBidi" w:hAnsiTheme="majorBidi" w:cstheme="majorBidi"/>
        </w:rPr>
        <w:t>a</w:t>
      </w:r>
      <w:r w:rsidR="009F7F8B" w:rsidRPr="00726A91">
        <w:rPr>
          <w:rFonts w:asciiTheme="majorBidi" w:hAnsiTheme="majorBidi" w:cstheme="majorBidi"/>
        </w:rPr>
        <w:t xml:space="preserve"> pasliktināšan</w:t>
      </w:r>
      <w:r w:rsidR="001B7B84">
        <w:rPr>
          <w:rFonts w:asciiTheme="majorBidi" w:hAnsiTheme="majorBidi" w:cstheme="majorBidi"/>
        </w:rPr>
        <w:t>ā</w:t>
      </w:r>
      <w:r w:rsidR="009F7F8B" w:rsidRPr="00726A91">
        <w:rPr>
          <w:rFonts w:asciiTheme="majorBidi" w:hAnsiTheme="majorBidi" w:cstheme="majorBidi"/>
        </w:rPr>
        <w:t xml:space="preserve">s, bet nav atbildējusi uz pieteicēja argumentu, ka pieteicēja ieskatā cits pierādījums – </w:t>
      </w:r>
      <w:r w:rsidR="009F7F8B" w:rsidRPr="00726A91">
        <w:t>Rīgas Austrumu klīniskās universitātes slimnīcas 2021.gada 22.novembra konsīlija slēdziens – pierāda, ka pieteicējam invaliditātes pazīmes objektīvi progresē tieši tāpēc, ka viņš ieslodzījuma vietā ne reizi gada laikā nav saņēmis fizioterapeita medicīnisko palīdzību</w:t>
      </w:r>
      <w:r w:rsidR="009F7F8B" w:rsidRPr="00726A91">
        <w:rPr>
          <w:rFonts w:asciiTheme="majorBidi" w:hAnsiTheme="majorBidi" w:cstheme="majorBidi"/>
        </w:rPr>
        <w:t>.</w:t>
      </w:r>
    </w:p>
    <w:p w14:paraId="428C5D2E" w14:textId="77777777" w:rsidR="001B7B84" w:rsidRDefault="00726A91" w:rsidP="007D4C48">
      <w:pPr>
        <w:spacing w:line="276" w:lineRule="auto"/>
        <w:ind w:firstLine="720"/>
        <w:jc w:val="both"/>
        <w:rPr>
          <w:rFonts w:asciiTheme="majorBidi" w:hAnsiTheme="majorBidi" w:cstheme="majorBidi"/>
        </w:rPr>
      </w:pPr>
      <w:r>
        <w:rPr>
          <w:rFonts w:asciiTheme="majorBidi" w:hAnsiTheme="majorBidi" w:cstheme="majorBidi"/>
        </w:rPr>
        <w:t>Minētais ir pamats atzīt, ka apgabaltiesa ir pieļāvusi kļūdu pierādījumu vērtējumā.</w:t>
      </w:r>
    </w:p>
    <w:p w14:paraId="00B75084" w14:textId="77777777" w:rsidR="001B7B84" w:rsidRDefault="001B7B84" w:rsidP="007D4C48">
      <w:pPr>
        <w:spacing w:line="276" w:lineRule="auto"/>
        <w:ind w:firstLine="720"/>
        <w:jc w:val="both"/>
        <w:rPr>
          <w:rFonts w:asciiTheme="majorBidi" w:hAnsiTheme="majorBidi" w:cstheme="majorBidi"/>
        </w:rPr>
      </w:pPr>
    </w:p>
    <w:p w14:paraId="090279E2" w14:textId="6F8F3312" w:rsidR="001B7B84" w:rsidRDefault="001B7B84" w:rsidP="007D4C48">
      <w:pPr>
        <w:spacing w:line="276" w:lineRule="auto"/>
        <w:ind w:firstLine="720"/>
        <w:contextualSpacing/>
        <w:jc w:val="both"/>
        <w:rPr>
          <w:rFonts w:asciiTheme="majorBidi" w:hAnsiTheme="majorBidi" w:cstheme="majorBidi"/>
        </w:rPr>
      </w:pPr>
      <w:r>
        <w:rPr>
          <w:rFonts w:asciiTheme="majorBidi" w:hAnsiTheme="majorBidi" w:cstheme="majorBidi"/>
        </w:rPr>
        <w:t>[</w:t>
      </w:r>
      <w:r w:rsidR="00E6158B">
        <w:rPr>
          <w:rFonts w:asciiTheme="majorBidi" w:hAnsiTheme="majorBidi" w:cstheme="majorBidi"/>
        </w:rPr>
        <w:t>14</w:t>
      </w:r>
      <w:r>
        <w:rPr>
          <w:rFonts w:asciiTheme="majorBidi" w:hAnsiTheme="majorBidi" w:cstheme="majorBidi"/>
        </w:rPr>
        <w:t>] </w:t>
      </w:r>
      <w:r w:rsidRPr="001B7B84">
        <w:rPr>
          <w:rFonts w:asciiTheme="majorBidi" w:hAnsiTheme="majorBidi" w:cstheme="majorBidi"/>
        </w:rPr>
        <w:t>Apgabaltiesa</w:t>
      </w:r>
      <w:r>
        <w:rPr>
          <w:rFonts w:asciiTheme="majorBidi" w:hAnsiTheme="majorBidi" w:cstheme="majorBidi"/>
        </w:rPr>
        <w:t xml:space="preserve"> (</w:t>
      </w:r>
      <w:r>
        <w:rPr>
          <w:rFonts w:asciiTheme="majorBidi" w:hAnsiTheme="majorBidi" w:cstheme="majorBidi"/>
          <w:i/>
          <w:iCs/>
        </w:rPr>
        <w:t>apgabaltiesas sprieduma 14.punkts</w:t>
      </w:r>
      <w:r>
        <w:rPr>
          <w:rFonts w:asciiTheme="majorBidi" w:hAnsiTheme="majorBidi" w:cstheme="majorBidi"/>
        </w:rPr>
        <w:t>)</w:t>
      </w:r>
      <w:r w:rsidRPr="001B7B84">
        <w:rPr>
          <w:rFonts w:asciiTheme="majorBidi" w:hAnsiTheme="majorBidi" w:cstheme="majorBidi"/>
        </w:rPr>
        <w:t xml:space="preserve"> norād</w:t>
      </w:r>
      <w:r>
        <w:rPr>
          <w:rFonts w:asciiTheme="majorBidi" w:hAnsiTheme="majorBidi" w:cstheme="majorBidi"/>
        </w:rPr>
        <w:t>ījusi</w:t>
      </w:r>
      <w:r w:rsidRPr="001B7B84">
        <w:rPr>
          <w:rFonts w:asciiTheme="majorBidi" w:hAnsiTheme="majorBidi" w:cstheme="majorBidi"/>
        </w:rPr>
        <w:t xml:space="preserve">, ka pievienojas pirmās instances </w:t>
      </w:r>
      <w:r w:rsidR="0017470D">
        <w:rPr>
          <w:rFonts w:asciiTheme="majorBidi" w:hAnsiTheme="majorBidi" w:cstheme="majorBidi"/>
        </w:rPr>
        <w:t xml:space="preserve">tiesas </w:t>
      </w:r>
      <w:r w:rsidRPr="001B7B84">
        <w:rPr>
          <w:rFonts w:asciiTheme="majorBidi" w:hAnsiTheme="majorBidi" w:cstheme="majorBidi"/>
        </w:rPr>
        <w:t>secinājumam, ka pieteicējam ir</w:t>
      </w:r>
      <w:r>
        <w:rPr>
          <w:rFonts w:asciiTheme="majorBidi" w:hAnsiTheme="majorBidi" w:cstheme="majorBidi"/>
        </w:rPr>
        <w:t xml:space="preserve"> ticis</w:t>
      </w:r>
      <w:r w:rsidRPr="001B7B84">
        <w:rPr>
          <w:rFonts w:asciiTheme="majorBidi" w:hAnsiTheme="majorBidi" w:cstheme="majorBidi"/>
        </w:rPr>
        <w:t xml:space="preserve"> nodarīts kaitējums, bet tas nav bijis smags, proti, lietā </w:t>
      </w:r>
      <w:r w:rsidR="0017470D">
        <w:rPr>
          <w:rFonts w:asciiTheme="majorBidi" w:hAnsiTheme="majorBidi" w:cstheme="majorBidi"/>
        </w:rPr>
        <w:t xml:space="preserve">neesot </w:t>
      </w:r>
      <w:r w:rsidRPr="001B7B84">
        <w:rPr>
          <w:rFonts w:asciiTheme="majorBidi" w:hAnsiTheme="majorBidi" w:cstheme="majorBidi"/>
        </w:rPr>
        <w:t>konstatējams, ka būtu iestājušās smagas sekas.</w:t>
      </w:r>
      <w:r>
        <w:rPr>
          <w:rFonts w:asciiTheme="majorBidi" w:hAnsiTheme="majorBidi" w:cstheme="majorBidi"/>
        </w:rPr>
        <w:t xml:space="preserve"> Turpinājumā apgabaltiesa norāda, ka </w:t>
      </w:r>
      <w:r w:rsidRPr="00912C26">
        <w:rPr>
          <w:rFonts w:asciiTheme="majorBidi" w:hAnsiTheme="majorBidi" w:cstheme="majorBidi"/>
        </w:rPr>
        <w:t>no pieteicēja paskaidrojumiem pievienotās ekspertīzes komisijas 2023.gada 14.janvāra lēmuma Nr.</w:t>
      </w:r>
      <w:r>
        <w:rPr>
          <w:rFonts w:asciiTheme="majorBidi" w:hAnsiTheme="majorBidi" w:cstheme="majorBidi"/>
        </w:rPr>
        <w:t> </w:t>
      </w:r>
      <w:r w:rsidRPr="00912C26">
        <w:rPr>
          <w:rFonts w:asciiTheme="majorBidi" w:hAnsiTheme="majorBidi" w:cstheme="majorBidi"/>
        </w:rPr>
        <w:t>30-2023-174</w:t>
      </w:r>
      <w:r>
        <w:rPr>
          <w:rFonts w:asciiTheme="majorBidi" w:hAnsiTheme="majorBidi" w:cstheme="majorBidi"/>
        </w:rPr>
        <w:t xml:space="preserve"> izriet</w:t>
      </w:r>
      <w:r w:rsidRPr="00912C26">
        <w:rPr>
          <w:rFonts w:asciiTheme="majorBidi" w:hAnsiTheme="majorBidi" w:cstheme="majorBidi"/>
        </w:rPr>
        <w:t>,</w:t>
      </w:r>
      <w:r>
        <w:rPr>
          <w:rFonts w:asciiTheme="majorBidi" w:hAnsiTheme="majorBidi" w:cstheme="majorBidi"/>
        </w:rPr>
        <w:t xml:space="preserve"> ka</w:t>
      </w:r>
      <w:r w:rsidRPr="00912C26">
        <w:rPr>
          <w:rFonts w:asciiTheme="majorBidi" w:hAnsiTheme="majorBidi" w:cstheme="majorBidi"/>
        </w:rPr>
        <w:t xml:space="preserve"> pieteicējs pēc drošības līdzekļa </w:t>
      </w:r>
      <w:r>
        <w:rPr>
          <w:rFonts w:asciiTheme="majorBidi" w:hAnsiTheme="majorBidi" w:cstheme="majorBidi"/>
        </w:rPr>
        <w:t>(</w:t>
      </w:r>
      <w:r w:rsidRPr="00912C26">
        <w:rPr>
          <w:rFonts w:asciiTheme="majorBidi" w:hAnsiTheme="majorBidi" w:cstheme="majorBidi"/>
        </w:rPr>
        <w:t>apcietinājums</w:t>
      </w:r>
      <w:r>
        <w:rPr>
          <w:rFonts w:asciiTheme="majorBidi" w:hAnsiTheme="majorBidi" w:cstheme="majorBidi"/>
        </w:rPr>
        <w:t>)</w:t>
      </w:r>
      <w:r w:rsidRPr="00912C26">
        <w:rPr>
          <w:rFonts w:asciiTheme="majorBidi" w:hAnsiTheme="majorBidi" w:cstheme="majorBidi"/>
        </w:rPr>
        <w:t xml:space="preserve"> atcelšanas un nepieciešamās medicīniskās palīdzības saņemšanas ir samērā ātri uzlabojis savu veselības stāvokli, par ko liecina viņam noteiktā trešā (mēreni funkcionālie traucējumi) invaliditātes grupa. </w:t>
      </w:r>
    </w:p>
    <w:p w14:paraId="1500561E" w14:textId="0907AC7D" w:rsidR="0056260D" w:rsidRPr="0056260D" w:rsidRDefault="0056260D" w:rsidP="007D4C48">
      <w:pPr>
        <w:pStyle w:val="NoSpacing"/>
        <w:spacing w:line="276" w:lineRule="auto"/>
        <w:ind w:firstLine="720"/>
        <w:jc w:val="both"/>
        <w:rPr>
          <w:lang w:val="lv-LV"/>
        </w:rPr>
      </w:pPr>
      <w:r w:rsidRPr="0056260D">
        <w:rPr>
          <w:rFonts w:asciiTheme="majorBidi" w:hAnsiTheme="majorBidi" w:cstheme="majorBidi"/>
          <w:lang w:val="lv-LV"/>
        </w:rPr>
        <w:t>Pieteicējs kasācijas sūdzībā norāda, ka n</w:t>
      </w:r>
      <w:r w:rsidRPr="0056260D">
        <w:rPr>
          <w:szCs w:val="24"/>
          <w:lang w:val="lv-LV"/>
        </w:rPr>
        <w:t xml:space="preserve">o šīs apgabaltiesas norādes saprotams, ka tās ieskatā otrās invaliditātes grupas piešķiršana pieteicējam, atrodoties ieslodzījuma vietā un nesaņemot nepieciešamo medicīnisko palīdzību, un vēlāka trešās grupas piešķiršana, atrodoties brīvībā un pieteicējam regulāri saņemot nepieciešamo fizioterapeita un neirologa medicīnisko palīdzību, pierāda nevis cēloņsakarību starp invaliditātes pazīmju progresēšanu un faktu, ka ieslodzījuma vietā pieteicējs nesaņēma nepieciešamo medicīnisko palīdzību, bet tieši pretēji – smagu seku neesamību. </w:t>
      </w:r>
      <w:r w:rsidRPr="0056260D">
        <w:rPr>
          <w:lang w:val="lv-LV"/>
        </w:rPr>
        <w:t>Šāds apgabaltiesas viedoklis esot pretrunā vispārējai loģikai.</w:t>
      </w:r>
    </w:p>
    <w:p w14:paraId="06864D43" w14:textId="4052CACC" w:rsidR="00D56D3F" w:rsidRPr="00D56D3F" w:rsidRDefault="0056260D" w:rsidP="007D4C48">
      <w:pPr>
        <w:pStyle w:val="NoSpacing"/>
        <w:spacing w:line="276" w:lineRule="auto"/>
        <w:ind w:firstLine="720"/>
        <w:jc w:val="both"/>
        <w:rPr>
          <w:lang w:val="lv-LV"/>
        </w:rPr>
      </w:pPr>
      <w:r w:rsidRPr="0056260D">
        <w:rPr>
          <w:lang w:val="lv-LV"/>
        </w:rPr>
        <w:t xml:space="preserve">Senāts </w:t>
      </w:r>
      <w:r>
        <w:rPr>
          <w:lang w:val="lv-LV"/>
        </w:rPr>
        <w:t>konstatē, ka apgabaltiesa nav paskaidrojusi, kāds mērķis ir norādei par to, ka pēc drošības līdzekļa atcelšanas un nepieciešamās medicīniskās palīdzības saņemšanas pieteicēja veselības stāvoklis ir uzlabojies. Taču tas varētu būt papildu vērtējums tam, ka pieteicēja norādītās sekas par neatgriezenisku veselības bojājumu (otrā invaliditātes grupa), nav bijušas paliekošas</w:t>
      </w:r>
      <w:r w:rsidRPr="009945A8">
        <w:rPr>
          <w:lang w:val="lv-LV"/>
        </w:rPr>
        <w:t xml:space="preserve">. </w:t>
      </w:r>
      <w:r w:rsidR="00D56D3F" w:rsidRPr="00D81A94">
        <w:rPr>
          <w:lang w:val="lv-LV"/>
        </w:rPr>
        <w:t xml:space="preserve">Vienlaikus var piekrist kasācijas sūdzības argumentam, ka tiesai šajā sakarā būtu jāapsver, vai tas, ka laikā, kad ieslodzījuma vietā pieteicējam netika nodrošināta mugurkaula spondilozes </w:t>
      </w:r>
      <w:r w:rsidR="00E6158B">
        <w:rPr>
          <w:lang w:val="lv-LV"/>
        </w:rPr>
        <w:t>ārstēšana</w:t>
      </w:r>
      <w:r w:rsidR="00D56D3F" w:rsidRPr="00E6158B">
        <w:rPr>
          <w:lang w:val="lv-LV"/>
        </w:rPr>
        <w:t xml:space="preserve"> (fizioterapeita un neiroķirurga </w:t>
      </w:r>
      <w:r w:rsidR="00D56D3F" w:rsidRPr="009945A8">
        <w:rPr>
          <w:lang w:val="lv-LV"/>
        </w:rPr>
        <w:t>medicīnisk</w:t>
      </w:r>
      <w:r w:rsidR="009945A8">
        <w:rPr>
          <w:lang w:val="lv-LV"/>
        </w:rPr>
        <w:t>ā</w:t>
      </w:r>
      <w:r w:rsidR="00D56D3F" w:rsidRPr="009945A8">
        <w:rPr>
          <w:lang w:val="lv-LV"/>
        </w:rPr>
        <w:t xml:space="preserve"> palīdzīb</w:t>
      </w:r>
      <w:r w:rsidR="009945A8">
        <w:rPr>
          <w:lang w:val="lv-LV"/>
        </w:rPr>
        <w:t>a</w:t>
      </w:r>
      <w:r w:rsidR="00D56D3F" w:rsidRPr="00E6158B">
        <w:rPr>
          <w:lang w:val="lv-LV"/>
        </w:rPr>
        <w:t xml:space="preserve">), viņam tika noteikta otrā invaliditātes grupa, bet pēc tam, kad </w:t>
      </w:r>
      <w:r w:rsidR="00D56D3F" w:rsidRPr="009945A8">
        <w:rPr>
          <w:lang w:val="lv-LV"/>
        </w:rPr>
        <w:t>pieteicēj</w:t>
      </w:r>
      <w:r w:rsidR="009945A8">
        <w:rPr>
          <w:lang w:val="lv-LV"/>
        </w:rPr>
        <w:t>s</w:t>
      </w:r>
      <w:r w:rsidR="00D56D3F" w:rsidRPr="00E6158B">
        <w:rPr>
          <w:lang w:val="lv-LV"/>
        </w:rPr>
        <w:t xml:space="preserve"> saņēma attiecīgu medicīnisko palīdzību,</w:t>
      </w:r>
      <w:r w:rsidR="009945A8">
        <w:rPr>
          <w:lang w:val="lv-LV"/>
        </w:rPr>
        <w:t xml:space="preserve"> viņam</w:t>
      </w:r>
      <w:r w:rsidR="00D56D3F" w:rsidRPr="00E6158B">
        <w:rPr>
          <w:lang w:val="lv-LV"/>
        </w:rPr>
        <w:t xml:space="preserve"> tika noteikta trešā invaliditātes grupa, nedod pamatu izdarīt kādus secinājumus par iestādes bezdarbības ietekmi uz pieteicēja veselības stāvokli.</w:t>
      </w:r>
    </w:p>
    <w:p w14:paraId="2AD4247B" w14:textId="77777777" w:rsidR="0017470D" w:rsidRPr="0056260D" w:rsidRDefault="0017470D" w:rsidP="007D4C48">
      <w:pPr>
        <w:pStyle w:val="NoSpacing"/>
        <w:spacing w:line="276" w:lineRule="auto"/>
        <w:ind w:firstLine="720"/>
        <w:jc w:val="both"/>
        <w:rPr>
          <w:lang w:val="lv-LV"/>
        </w:rPr>
      </w:pPr>
    </w:p>
    <w:p w14:paraId="3012EA41" w14:textId="0D26D07F" w:rsidR="00772945" w:rsidRDefault="00772945" w:rsidP="007D4C48">
      <w:pPr>
        <w:spacing w:line="276" w:lineRule="auto"/>
        <w:ind w:firstLine="720"/>
        <w:jc w:val="both"/>
        <w:rPr>
          <w:bCs/>
        </w:rPr>
      </w:pPr>
      <w:r>
        <w:rPr>
          <w:rFonts w:asciiTheme="majorBidi" w:hAnsiTheme="majorBidi" w:cstheme="majorBidi"/>
        </w:rPr>
        <w:t>[</w:t>
      </w:r>
      <w:r w:rsidR="00E6158B">
        <w:rPr>
          <w:rFonts w:asciiTheme="majorBidi" w:hAnsiTheme="majorBidi" w:cstheme="majorBidi"/>
        </w:rPr>
        <w:t>15</w:t>
      </w:r>
      <w:r>
        <w:rPr>
          <w:rFonts w:asciiTheme="majorBidi" w:hAnsiTheme="majorBidi" w:cstheme="majorBidi"/>
        </w:rPr>
        <w:t xml:space="preserve">] No apgabaltiesas sprieduma Senāts konstatē, ka tiesa nav vērtējusi vienu no </w:t>
      </w:r>
      <w:r w:rsidRPr="00912C26">
        <w:rPr>
          <w:rFonts w:asciiTheme="majorBidi" w:hAnsiTheme="majorBidi" w:cstheme="majorBidi"/>
        </w:rPr>
        <w:t>Zaudējumu atlīdzināšanas likuma 14.pant</w:t>
      </w:r>
      <w:r>
        <w:rPr>
          <w:rFonts w:asciiTheme="majorBidi" w:hAnsiTheme="majorBidi" w:cstheme="majorBidi"/>
        </w:rPr>
        <w:t xml:space="preserve">a pirmajā daļa ietvertajiem </w:t>
      </w:r>
      <w:r w:rsidRPr="00912C26">
        <w:rPr>
          <w:rFonts w:asciiTheme="majorBidi" w:hAnsiTheme="majorBidi" w:cstheme="majorBidi"/>
        </w:rPr>
        <w:t xml:space="preserve">nemantiskā kaitējuma atlīdzinājumu </w:t>
      </w:r>
      <w:r>
        <w:rPr>
          <w:rFonts w:asciiTheme="majorBidi" w:hAnsiTheme="majorBidi" w:cstheme="majorBidi"/>
        </w:rPr>
        <w:t xml:space="preserve">vērtēšanas kritērijiem – </w:t>
      </w:r>
      <w:r w:rsidRPr="00421117">
        <w:rPr>
          <w:bCs/>
        </w:rPr>
        <w:t>aizskarto tiesību un ar likumu aizsargāto interešu nozīmīgum</w:t>
      </w:r>
      <w:r>
        <w:rPr>
          <w:bCs/>
        </w:rPr>
        <w:t>u.</w:t>
      </w:r>
    </w:p>
    <w:p w14:paraId="60B18538" w14:textId="77777777" w:rsidR="00772945" w:rsidRDefault="00772945" w:rsidP="007D4C48">
      <w:pPr>
        <w:spacing w:line="276" w:lineRule="auto"/>
        <w:ind w:firstLine="720"/>
        <w:jc w:val="both"/>
        <w:rPr>
          <w:rFonts w:asciiTheme="majorBidi" w:hAnsiTheme="majorBidi" w:cstheme="majorBidi"/>
        </w:rPr>
      </w:pPr>
      <w:r>
        <w:rPr>
          <w:bCs/>
        </w:rPr>
        <w:t xml:space="preserve">No </w:t>
      </w:r>
      <w:r>
        <w:rPr>
          <w:rFonts w:asciiTheme="majorBidi" w:hAnsiTheme="majorBidi" w:cstheme="majorBidi"/>
        </w:rPr>
        <w:t>Administratīvās rajona tiesas sprieduma daļā, kurā tiek vērtēts iestādes faktiskās rīcības tiesiskums, konstatējams, ka tiesa atsaucas gan uz Satversmes 95.pantu, kas aizsargā cilvēka cieņu un godu un paredz s</w:t>
      </w:r>
      <w:r w:rsidRPr="00912C26">
        <w:rPr>
          <w:rFonts w:asciiTheme="majorBidi" w:hAnsiTheme="majorBidi" w:cstheme="majorBidi"/>
        </w:rPr>
        <w:t>pīdzināšana</w:t>
      </w:r>
      <w:r>
        <w:rPr>
          <w:rFonts w:asciiTheme="majorBidi" w:hAnsiTheme="majorBidi" w:cstheme="majorBidi"/>
        </w:rPr>
        <w:t>s</w:t>
      </w:r>
      <w:r w:rsidRPr="00912C26">
        <w:rPr>
          <w:rFonts w:asciiTheme="majorBidi" w:hAnsiTheme="majorBidi" w:cstheme="majorBidi"/>
        </w:rPr>
        <w:t>, citāda</w:t>
      </w:r>
      <w:r>
        <w:rPr>
          <w:rFonts w:asciiTheme="majorBidi" w:hAnsiTheme="majorBidi" w:cstheme="majorBidi"/>
        </w:rPr>
        <w:t>s</w:t>
      </w:r>
      <w:r w:rsidRPr="00912C26">
        <w:rPr>
          <w:rFonts w:asciiTheme="majorBidi" w:hAnsiTheme="majorBidi" w:cstheme="majorBidi"/>
        </w:rPr>
        <w:t xml:space="preserve"> cietsirdīga</w:t>
      </w:r>
      <w:r>
        <w:rPr>
          <w:rFonts w:asciiTheme="majorBidi" w:hAnsiTheme="majorBidi" w:cstheme="majorBidi"/>
        </w:rPr>
        <w:t>s</w:t>
      </w:r>
      <w:r w:rsidRPr="00912C26">
        <w:rPr>
          <w:rFonts w:asciiTheme="majorBidi" w:hAnsiTheme="majorBidi" w:cstheme="majorBidi"/>
        </w:rPr>
        <w:t xml:space="preserve"> vai cieņ</w:t>
      </w:r>
      <w:r>
        <w:rPr>
          <w:rFonts w:asciiTheme="majorBidi" w:hAnsiTheme="majorBidi" w:cstheme="majorBidi"/>
        </w:rPr>
        <w:t>u</w:t>
      </w:r>
      <w:r w:rsidRPr="00912C26">
        <w:rPr>
          <w:rFonts w:asciiTheme="majorBidi" w:hAnsiTheme="majorBidi" w:cstheme="majorBidi"/>
        </w:rPr>
        <w:t xml:space="preserve"> pazemojoša</w:t>
      </w:r>
      <w:r>
        <w:rPr>
          <w:rFonts w:asciiTheme="majorBidi" w:hAnsiTheme="majorBidi" w:cstheme="majorBidi"/>
        </w:rPr>
        <w:t>s</w:t>
      </w:r>
      <w:r w:rsidRPr="00912C26">
        <w:rPr>
          <w:rFonts w:asciiTheme="majorBidi" w:hAnsiTheme="majorBidi" w:cstheme="majorBidi"/>
        </w:rPr>
        <w:t xml:space="preserve"> izturēšanās pret cilvēku aizlieg</w:t>
      </w:r>
      <w:r>
        <w:rPr>
          <w:rFonts w:asciiTheme="majorBidi" w:hAnsiTheme="majorBidi" w:cstheme="majorBidi"/>
        </w:rPr>
        <w:t xml:space="preserve">umu, gan </w:t>
      </w:r>
      <w:r w:rsidRPr="00912C26">
        <w:rPr>
          <w:rFonts w:asciiTheme="majorBidi" w:hAnsiTheme="majorBidi" w:cstheme="majorBidi"/>
        </w:rPr>
        <w:t>Eiropas Cilvēka tiesību un pamatbrīvību aizsardzības konvencijas (turpmāk – Konvencija) 3.pantu</w:t>
      </w:r>
      <w:r>
        <w:rPr>
          <w:rFonts w:asciiTheme="majorBidi" w:hAnsiTheme="majorBidi" w:cstheme="majorBidi"/>
        </w:rPr>
        <w:t>, gan arī Satversmes 111.pantu, kas paredz v</w:t>
      </w:r>
      <w:r w:rsidRPr="00267D0E">
        <w:rPr>
          <w:rFonts w:asciiTheme="majorBidi" w:hAnsiTheme="majorBidi" w:cstheme="majorBidi"/>
        </w:rPr>
        <w:t>alsts</w:t>
      </w:r>
      <w:r>
        <w:rPr>
          <w:rFonts w:asciiTheme="majorBidi" w:hAnsiTheme="majorBidi" w:cstheme="majorBidi"/>
        </w:rPr>
        <w:t xml:space="preserve"> pienākumu</w:t>
      </w:r>
      <w:r w:rsidRPr="00267D0E">
        <w:rPr>
          <w:rFonts w:asciiTheme="majorBidi" w:hAnsiTheme="majorBidi" w:cstheme="majorBidi"/>
        </w:rPr>
        <w:t xml:space="preserve"> aizsargā</w:t>
      </w:r>
      <w:r>
        <w:rPr>
          <w:rFonts w:asciiTheme="majorBidi" w:hAnsiTheme="majorBidi" w:cstheme="majorBidi"/>
        </w:rPr>
        <w:t>t</w:t>
      </w:r>
      <w:r w:rsidRPr="00267D0E">
        <w:rPr>
          <w:rFonts w:asciiTheme="majorBidi" w:hAnsiTheme="majorBidi" w:cstheme="majorBidi"/>
        </w:rPr>
        <w:t xml:space="preserve"> cilvēku veselību un garantē</w:t>
      </w:r>
      <w:r>
        <w:rPr>
          <w:rFonts w:asciiTheme="majorBidi" w:hAnsiTheme="majorBidi" w:cstheme="majorBidi"/>
        </w:rPr>
        <w:t>t</w:t>
      </w:r>
      <w:r w:rsidRPr="00267D0E">
        <w:rPr>
          <w:rFonts w:asciiTheme="majorBidi" w:hAnsiTheme="majorBidi" w:cstheme="majorBidi"/>
        </w:rPr>
        <w:t xml:space="preserve"> ikvienam medicīniskās palīdzības minimumu.</w:t>
      </w:r>
      <w:r>
        <w:rPr>
          <w:rFonts w:asciiTheme="majorBidi" w:hAnsiTheme="majorBidi" w:cstheme="majorBidi"/>
        </w:rPr>
        <w:t xml:space="preserve"> Savukārt daļā par atlīdzinājumu ir tikai tiesas secinājums, ka, tā kā </w:t>
      </w:r>
      <w:r w:rsidRPr="00912C26">
        <w:rPr>
          <w:rFonts w:asciiTheme="majorBidi" w:hAnsiTheme="majorBidi" w:cstheme="majorBidi"/>
        </w:rPr>
        <w:t xml:space="preserve">tiesa nekonstatēja smagas sekas, tad pieteicēja gadījumā </w:t>
      </w:r>
      <w:r>
        <w:rPr>
          <w:rFonts w:asciiTheme="majorBidi" w:hAnsiTheme="majorBidi" w:cstheme="majorBidi"/>
        </w:rPr>
        <w:t>nav</w:t>
      </w:r>
      <w:r w:rsidRPr="00912C26">
        <w:rPr>
          <w:rFonts w:asciiTheme="majorBidi" w:hAnsiTheme="majorBidi" w:cstheme="majorBidi"/>
        </w:rPr>
        <w:t xml:space="preserve"> noticis Konvencijas 3.panta pārkāpums.</w:t>
      </w:r>
    </w:p>
    <w:p w14:paraId="0E252922" w14:textId="77777777" w:rsidR="00AD7386" w:rsidRDefault="00AD7386" w:rsidP="007D4C48">
      <w:pPr>
        <w:spacing w:line="276" w:lineRule="auto"/>
        <w:ind w:firstLine="720"/>
        <w:contextualSpacing/>
        <w:jc w:val="both"/>
        <w:rPr>
          <w:bCs/>
        </w:rPr>
      </w:pPr>
    </w:p>
    <w:p w14:paraId="71162B2A" w14:textId="7E70316C" w:rsidR="004A2CA2" w:rsidRPr="006B6E94" w:rsidRDefault="00073628" w:rsidP="007D4C48">
      <w:pPr>
        <w:spacing w:line="276" w:lineRule="auto"/>
        <w:ind w:firstLine="720"/>
        <w:contextualSpacing/>
        <w:jc w:val="both"/>
        <w:rPr>
          <w:bCs/>
        </w:rPr>
      </w:pPr>
      <w:r w:rsidRPr="006B6E94">
        <w:rPr>
          <w:bCs/>
        </w:rPr>
        <w:t>[</w:t>
      </w:r>
      <w:r w:rsidR="00E6158B">
        <w:rPr>
          <w:bCs/>
        </w:rPr>
        <w:t>16</w:t>
      </w:r>
      <w:r w:rsidRPr="006B6E94">
        <w:rPr>
          <w:bCs/>
        </w:rPr>
        <w:t>] </w:t>
      </w:r>
      <w:r w:rsidR="004A2CA2" w:rsidRPr="006B6E94">
        <w:rPr>
          <w:bCs/>
        </w:rPr>
        <w:t>Zaudējumu atlīdzināšanas likuma 10.panta pirmā daļa noteic, ka cietušais nav tiesīgs pilnīgi vai daļēji saņemt zaudējuma atlīdzinājumu, ja viņš nav, izmantojot savas zināšanas, spējas un praktiskās iespējas, darījis visu iespējamo, lai zaudējumu novērstu vai samazinātu.</w:t>
      </w:r>
    </w:p>
    <w:p w14:paraId="43C736E3" w14:textId="2E2C18B9" w:rsidR="00073628" w:rsidRPr="006B6E94" w:rsidRDefault="00073628" w:rsidP="007D4C48">
      <w:pPr>
        <w:spacing w:line="276" w:lineRule="auto"/>
        <w:ind w:firstLine="720"/>
        <w:contextualSpacing/>
        <w:jc w:val="both"/>
        <w:rPr>
          <w:bCs/>
        </w:rPr>
      </w:pPr>
      <w:r w:rsidRPr="006B6E94">
        <w:rPr>
          <w:bCs/>
        </w:rPr>
        <w:t xml:space="preserve">No minētās tiesību normas kopsakarā ar </w:t>
      </w:r>
      <w:r w:rsidR="004A55CC" w:rsidRPr="006B6E94">
        <w:rPr>
          <w:bCs/>
        </w:rPr>
        <w:t xml:space="preserve">iepriekš minēto </w:t>
      </w:r>
      <w:r w:rsidRPr="006B6E94">
        <w:rPr>
          <w:bCs/>
        </w:rPr>
        <w:t>Za</w:t>
      </w:r>
      <w:r w:rsidR="004A55CC" w:rsidRPr="006B6E94">
        <w:rPr>
          <w:bCs/>
        </w:rPr>
        <w:t>udējumu atlīdzināšanas likuma 14.panta pirmo daļu secināms, ka cietušā līdzatbildība ir viens no kritērijiem, kas vērtējams, nosakot atlīdzinājuma apmēru.</w:t>
      </w:r>
    </w:p>
    <w:p w14:paraId="2C8CCD37" w14:textId="420134FF" w:rsidR="00B97F78" w:rsidRDefault="006152B8" w:rsidP="007D4C48">
      <w:pPr>
        <w:spacing w:line="276" w:lineRule="auto"/>
        <w:ind w:firstLine="720"/>
        <w:jc w:val="both"/>
      </w:pPr>
      <w:r w:rsidRPr="006B6E94">
        <w:rPr>
          <w:bCs/>
        </w:rPr>
        <w:t>Izskatot atlīdzinājuma prasījumu, iestādei un tiesai jāvērtē pašas personas rīcība. Pirmām kārtām jākonstatē, kādus objektīvi saprātīgus pasākumus persona šādā situācijā varēja vai tai vajadzēja veikt. Tāpat vērtējams, vai persona ar savu apzinātu rīcību ir veicinājusi zaudējumu vai kaitējuma rašanos vai tā apmēra palielināšanos un vai personas veiktie pasākumi zaudējumu vai kaitējuma novēršanai un samazināšanai attiecīgajos apstākļos ir bijuši atbilstoši un saprātīgi</w:t>
      </w:r>
      <w:r w:rsidR="00073628" w:rsidRPr="006B6E94">
        <w:t xml:space="preserve"> (sk. </w:t>
      </w:r>
      <w:r w:rsidR="006B6E94" w:rsidRPr="006B6E94">
        <w:rPr>
          <w:i/>
          <w:iCs/>
        </w:rPr>
        <w:t>Gredzena I., Mita</w:t>
      </w:r>
      <w:r w:rsidR="00073628" w:rsidRPr="006B6E94">
        <w:rPr>
          <w:i/>
          <w:iCs/>
        </w:rPr>
        <w:t> </w:t>
      </w:r>
      <w:r w:rsidR="006B6E94" w:rsidRPr="006B6E94">
        <w:rPr>
          <w:i/>
          <w:iCs/>
        </w:rPr>
        <w:t>D</w:t>
      </w:r>
      <w:r w:rsidR="00073628" w:rsidRPr="006B6E94">
        <w:rPr>
          <w:i/>
          <w:iCs/>
        </w:rPr>
        <w:t xml:space="preserve">. </w:t>
      </w:r>
      <w:r w:rsidR="006B6E94" w:rsidRPr="006B6E94">
        <w:rPr>
          <w:i/>
          <w:iCs/>
        </w:rPr>
        <w:t>96</w:t>
      </w:r>
      <w:r w:rsidR="00073628" w:rsidRPr="006B6E94">
        <w:rPr>
          <w:i/>
          <w:iCs/>
        </w:rPr>
        <w:t xml:space="preserve">.pants. Grām.: Administratīvā procesa likuma komentāri. A un B daļa. Rīga: Tiesu Namu Aģentūra, 2013, </w:t>
      </w:r>
      <w:r w:rsidR="006B6E94" w:rsidRPr="006B6E94">
        <w:rPr>
          <w:i/>
          <w:iCs/>
        </w:rPr>
        <w:t>951.-952</w:t>
      </w:r>
      <w:r w:rsidR="00073628" w:rsidRPr="006B6E94">
        <w:rPr>
          <w:i/>
          <w:iCs/>
        </w:rPr>
        <w:t>.lpp.</w:t>
      </w:r>
      <w:r w:rsidR="00073628" w:rsidRPr="006B6E94">
        <w:t>).</w:t>
      </w:r>
      <w:r w:rsidR="00B97F78" w:rsidRPr="00B97F78">
        <w:t xml:space="preserve"> </w:t>
      </w:r>
      <w:r w:rsidR="00B97F78">
        <w:t>Cietušā aktīva un savlaicīga rīcība, lai novērstu, pārtrauktu un mazinātu tiesību aizskārumu, liecina arī par cietušā subjektīvo attieksmi pret tiesību aizskārumu nozīmīgumu.</w:t>
      </w:r>
    </w:p>
    <w:p w14:paraId="2C86BA9C" w14:textId="4EFC8680" w:rsidR="006B6E94" w:rsidRDefault="00073628" w:rsidP="007D4C48">
      <w:pPr>
        <w:spacing w:line="276" w:lineRule="auto"/>
        <w:ind w:firstLine="720"/>
        <w:jc w:val="both"/>
        <w:rPr>
          <w:rFonts w:asciiTheme="majorBidi" w:hAnsiTheme="majorBidi" w:cstheme="majorBidi"/>
        </w:rPr>
      </w:pPr>
      <w:r w:rsidRPr="00912C26">
        <w:rPr>
          <w:rFonts w:asciiTheme="majorBidi" w:hAnsiTheme="majorBidi" w:cstheme="majorBidi"/>
        </w:rPr>
        <w:t>Tiesa</w:t>
      </w:r>
      <w:r w:rsidR="006B6E94">
        <w:rPr>
          <w:rFonts w:asciiTheme="majorBidi" w:hAnsiTheme="majorBidi" w:cstheme="majorBidi"/>
        </w:rPr>
        <w:t>, vērtējot pieteicēja līdzatbildību, atzina</w:t>
      </w:r>
      <w:r w:rsidRPr="00912C26">
        <w:rPr>
          <w:rFonts w:asciiTheme="majorBidi" w:hAnsiTheme="majorBidi" w:cstheme="majorBidi"/>
        </w:rPr>
        <w:t xml:space="preserve">, ka situācijā, </w:t>
      </w:r>
      <w:r w:rsidR="006B6E94">
        <w:rPr>
          <w:rFonts w:asciiTheme="majorBidi" w:hAnsiTheme="majorBidi" w:cstheme="majorBidi"/>
        </w:rPr>
        <w:t>kad</w:t>
      </w:r>
      <w:r w:rsidRPr="00912C26">
        <w:rPr>
          <w:rFonts w:asciiTheme="majorBidi" w:hAnsiTheme="majorBidi" w:cstheme="majorBidi"/>
        </w:rPr>
        <w:t xml:space="preserve"> cietuma administrācija nereaģēja uz pieteicēja pirmo iesniegumu par veselības aprūpes nodrošināšanu, pieteicējs šādu cietuma administrācijas faktisko rīcību varēja nekavējoties apstrīdēt un secīgi pēc pārvaldes izvērtējuma saņemšanas uzreiz vērsties tiesā ar pieteikumu, vienlaicīgi lūdzot pagaidu aizsardzību.</w:t>
      </w:r>
      <w:r w:rsidR="006B6E94">
        <w:rPr>
          <w:rFonts w:asciiTheme="majorBidi" w:hAnsiTheme="majorBidi" w:cstheme="majorBidi"/>
        </w:rPr>
        <w:t xml:space="preserve"> </w:t>
      </w:r>
      <w:r w:rsidR="006B6E94" w:rsidRPr="00912C26">
        <w:rPr>
          <w:rFonts w:asciiTheme="majorBidi" w:hAnsiTheme="majorBidi" w:cstheme="majorBidi"/>
        </w:rPr>
        <w:t>Tādējādi</w:t>
      </w:r>
      <w:r w:rsidR="006B6E94">
        <w:rPr>
          <w:rFonts w:asciiTheme="majorBidi" w:hAnsiTheme="majorBidi" w:cstheme="majorBidi"/>
        </w:rPr>
        <w:t xml:space="preserve"> tiesas ieskatā</w:t>
      </w:r>
      <w:r w:rsidR="006B6E94" w:rsidRPr="00912C26">
        <w:rPr>
          <w:rFonts w:asciiTheme="majorBidi" w:hAnsiTheme="majorBidi" w:cstheme="majorBidi"/>
        </w:rPr>
        <w:t xml:space="preserve"> pieteicējs jau daudz ātrāk būtu varējis saņemt tiesas aizsardzību. Tiesa </w:t>
      </w:r>
      <w:r w:rsidR="00092FC9">
        <w:rPr>
          <w:rFonts w:asciiTheme="majorBidi" w:hAnsiTheme="majorBidi" w:cstheme="majorBidi"/>
        </w:rPr>
        <w:t>arī norādīja</w:t>
      </w:r>
      <w:r w:rsidR="006B6E94" w:rsidRPr="00912C26">
        <w:rPr>
          <w:rFonts w:asciiTheme="majorBidi" w:hAnsiTheme="majorBidi" w:cstheme="majorBidi"/>
        </w:rPr>
        <w:t>, ka</w:t>
      </w:r>
      <w:r w:rsidR="00092FC9">
        <w:rPr>
          <w:rFonts w:asciiTheme="majorBidi" w:hAnsiTheme="majorBidi" w:cstheme="majorBidi"/>
        </w:rPr>
        <w:t xml:space="preserve"> ņem vērā, ka</w:t>
      </w:r>
      <w:r w:rsidR="006B6E94" w:rsidRPr="00912C26">
        <w:rPr>
          <w:rFonts w:asciiTheme="majorBidi" w:hAnsiTheme="majorBidi" w:cstheme="majorBidi"/>
        </w:rPr>
        <w:t xml:space="preserve"> pieteicējs apcietinājuma laik</w:t>
      </w:r>
      <w:r w:rsidR="006B6E94">
        <w:rPr>
          <w:rFonts w:asciiTheme="majorBidi" w:hAnsiTheme="majorBidi" w:cstheme="majorBidi"/>
        </w:rPr>
        <w:t>ā</w:t>
      </w:r>
      <w:r w:rsidR="006B6E94" w:rsidRPr="00912C26">
        <w:rPr>
          <w:rFonts w:asciiTheme="majorBidi" w:hAnsiTheme="majorBidi" w:cstheme="majorBidi"/>
        </w:rPr>
        <w:t xml:space="preserve"> ir sazinājies ar savu advokātu, kurš arī pats pieteicēja vārdā rakstījis cietuma administrācijai iesniegumus, tādējādi pieteicējam (viņa advokātam) bija jāzina, ka ar apstrīdēšanas iesniegumu pārvaldē un attiecīgi pieteikumu tiesā varēja vērsties ātrāk.</w:t>
      </w:r>
    </w:p>
    <w:p w14:paraId="02AD9F84" w14:textId="16DF5876" w:rsidR="006B6E94" w:rsidRDefault="006B6E94" w:rsidP="007D4C48">
      <w:pPr>
        <w:spacing w:line="276" w:lineRule="auto"/>
        <w:ind w:firstLine="720"/>
        <w:jc w:val="both"/>
      </w:pPr>
      <w:r>
        <w:rPr>
          <w:rFonts w:asciiTheme="majorBidi" w:hAnsiTheme="majorBidi" w:cstheme="majorBidi"/>
        </w:rPr>
        <w:t>Pieteicējs kasācijas sūdzībā norāda, ka tiesa neesot</w:t>
      </w:r>
      <w:r>
        <w:t xml:space="preserve"> ņēmusi vērā, </w:t>
      </w:r>
      <w:r w:rsidR="0017470D">
        <w:t xml:space="preserve">ka </w:t>
      </w:r>
      <w:r>
        <w:t xml:space="preserve">zvērināts advokāts </w:t>
      </w:r>
      <w:r w:rsidRPr="00A27085">
        <w:t>nodrošināja pieteicēja aizstāvību kriminālprocesā</w:t>
      </w:r>
      <w:r>
        <w:t>, tāpēc p</w:t>
      </w:r>
      <w:r w:rsidRPr="007B5FC5">
        <w:t xml:space="preserve">ieteicējs nelūdza advokātam konsultāciju par iespējām apstrīdēt cietuma administrācijas faktisko rīcību. </w:t>
      </w:r>
      <w:r w:rsidR="00092FC9">
        <w:t>T</w:t>
      </w:r>
      <w:r w:rsidRPr="007B5FC5">
        <w:t>iesas ieskats, ka zvērinātam</w:t>
      </w:r>
      <w:r w:rsidRPr="00A27085">
        <w:t xml:space="preserve"> advokātam ir jādarbojas ārpus vienošanās ar klientu tvēruma, </w:t>
      </w:r>
      <w:r w:rsidR="00092FC9">
        <w:t>esot</w:t>
      </w:r>
      <w:r w:rsidRPr="00A27085">
        <w:t xml:space="preserve"> pretrunā advokatūras darbības pamatprincipiem</w:t>
      </w:r>
      <w:r>
        <w:t>, tostarp Latvijas Republikas Advokatūras likuma 51.pantam.</w:t>
      </w:r>
    </w:p>
    <w:p w14:paraId="5B26FFFC" w14:textId="4BC29AAC" w:rsidR="006B6E94" w:rsidRDefault="00092FC9" w:rsidP="007D4C48">
      <w:pPr>
        <w:spacing w:line="276" w:lineRule="auto"/>
        <w:ind w:firstLine="720"/>
        <w:jc w:val="both"/>
      </w:pPr>
      <w:r>
        <w:t>Senāts piekrīt pieteicēja</w:t>
      </w:r>
      <w:r w:rsidR="0017470D">
        <w:t>m</w:t>
      </w:r>
      <w:r>
        <w:t xml:space="preserve">, ka tā ir viņa izvēle, kādu juridisko palīdzību lūgt konkrētajam zvērinātajam advokātam. Līdz ar to tiesas apsvērumi par to, ka pieteicēju krimināllietā pārstāvošais advokātam bija jāzina par iestādes faktiskās rīcības apstrīdēšanu un pārsūdzēšanu tiesā, nav attiecināmi uz pieteicēja līdzatbildību. Taču tiesas apsvērumi par to, ka pieteicējs varēja aktīvāk </w:t>
      </w:r>
      <w:r w:rsidR="00B97F78">
        <w:t xml:space="preserve">un savlaicīgāk </w:t>
      </w:r>
      <w:r>
        <w:t>rīkoties, lai aizsargātu savas tiesības, vispārīgi ir pareizi.</w:t>
      </w:r>
    </w:p>
    <w:p w14:paraId="28767324" w14:textId="77777777" w:rsidR="00B97F78" w:rsidRDefault="00B97F78" w:rsidP="007D4C48">
      <w:pPr>
        <w:spacing w:line="276" w:lineRule="auto"/>
        <w:ind w:firstLine="720"/>
        <w:jc w:val="both"/>
      </w:pPr>
    </w:p>
    <w:p w14:paraId="37624E9B" w14:textId="65AAD51F" w:rsidR="00B97F78" w:rsidRDefault="00B97F78" w:rsidP="007D4C48">
      <w:pPr>
        <w:spacing w:line="276" w:lineRule="auto"/>
        <w:ind w:firstLine="709"/>
        <w:contextualSpacing/>
        <w:jc w:val="both"/>
      </w:pPr>
      <w:r>
        <w:t>[</w:t>
      </w:r>
      <w:r w:rsidR="00E6158B">
        <w:t>17</w:t>
      </w:r>
      <w:r>
        <w:t>] </w:t>
      </w:r>
      <w:r w:rsidR="0056260D">
        <w:t xml:space="preserve">Ievērojot minēto, Senāts atzīst, ka </w:t>
      </w:r>
      <w:r w:rsidR="00874CBD">
        <w:t>apgabaltiesa n</w:t>
      </w:r>
      <w:r w:rsidR="0017470D">
        <w:t>av</w:t>
      </w:r>
      <w:r w:rsidR="00874CBD">
        <w:t xml:space="preserve"> no</w:t>
      </w:r>
      <w:r w:rsidR="00874CBD" w:rsidRPr="004D1B99">
        <w:t>vērtējusi</w:t>
      </w:r>
      <w:r w:rsidR="00874CBD">
        <w:t xml:space="preserve"> visus</w:t>
      </w:r>
      <w:r w:rsidR="00874CBD" w:rsidRPr="004D1B99">
        <w:t xml:space="preserve"> </w:t>
      </w:r>
      <w:r w:rsidR="00874CBD">
        <w:t>nemantiskā kaitējuma noteikšanas kritērijus lietā, kā arī nav pienācīgi novērtējusi visus</w:t>
      </w:r>
      <w:r w:rsidR="00874CBD" w:rsidRPr="004D1B99">
        <w:t xml:space="preserve"> pierādījumus lietā.</w:t>
      </w:r>
      <w:r w:rsidR="00874CBD">
        <w:t xml:space="preserve"> Minētais ir pamats apgabaltiesas sprieduma atcelšanai.</w:t>
      </w:r>
    </w:p>
    <w:p w14:paraId="73F7F21F" w14:textId="77777777" w:rsidR="0056260D" w:rsidRDefault="0056260D" w:rsidP="007D4C48">
      <w:pPr>
        <w:spacing w:line="276" w:lineRule="auto"/>
        <w:ind w:firstLine="720"/>
        <w:jc w:val="both"/>
      </w:pPr>
    </w:p>
    <w:p w14:paraId="483DFCFA" w14:textId="77777777" w:rsidR="0046057A" w:rsidRPr="006D7E3B" w:rsidRDefault="0046057A" w:rsidP="007D4C48">
      <w:pPr>
        <w:spacing w:line="276" w:lineRule="auto"/>
        <w:jc w:val="center"/>
        <w:rPr>
          <w:b/>
          <w:bCs/>
        </w:rPr>
      </w:pPr>
      <w:r w:rsidRPr="006D7E3B">
        <w:rPr>
          <w:b/>
          <w:bCs/>
        </w:rPr>
        <w:t>Rezolutīvā daļa</w:t>
      </w:r>
    </w:p>
    <w:p w14:paraId="0D1EE475" w14:textId="77777777" w:rsidR="0046057A" w:rsidRPr="006D7E3B" w:rsidRDefault="0046057A" w:rsidP="007D4C48">
      <w:pPr>
        <w:spacing w:line="276" w:lineRule="auto"/>
        <w:jc w:val="center"/>
        <w:rPr>
          <w:b/>
          <w:bCs/>
        </w:rPr>
      </w:pPr>
    </w:p>
    <w:p w14:paraId="392ED40D" w14:textId="77777777" w:rsidR="00874CBD" w:rsidRPr="006E4BC3" w:rsidRDefault="00874CBD" w:rsidP="007D4C48">
      <w:pPr>
        <w:tabs>
          <w:tab w:val="left" w:pos="6660"/>
        </w:tabs>
        <w:spacing w:line="276" w:lineRule="auto"/>
        <w:ind w:firstLine="720"/>
        <w:jc w:val="both"/>
      </w:pPr>
      <w:r w:rsidRPr="006E4BC3">
        <w:t>Pamatojoties uz Administratīvā procesa likuma 129.</w:t>
      </w:r>
      <w:r w:rsidRPr="006E4BC3">
        <w:rPr>
          <w:vertAlign w:val="superscript"/>
        </w:rPr>
        <w:t>1</w:t>
      </w:r>
      <w:r w:rsidRPr="006E4BC3">
        <w:t>panta pirmās daļas 1.punktu, 348.panta pirmās daļas 2.punktu un 351.pantu, Senāts</w:t>
      </w:r>
    </w:p>
    <w:p w14:paraId="27AA9732" w14:textId="77777777" w:rsidR="0046057A" w:rsidRPr="006D7E3B" w:rsidRDefault="0046057A" w:rsidP="007D4C48">
      <w:pPr>
        <w:tabs>
          <w:tab w:val="left" w:pos="6660"/>
        </w:tabs>
        <w:spacing w:line="276" w:lineRule="auto"/>
        <w:ind w:firstLine="720"/>
        <w:jc w:val="both"/>
        <w:rPr>
          <w:strike/>
        </w:rPr>
      </w:pPr>
    </w:p>
    <w:p w14:paraId="56772810" w14:textId="77777777" w:rsidR="0046057A" w:rsidRPr="006D7E3B" w:rsidRDefault="0046057A" w:rsidP="007D4C48">
      <w:pPr>
        <w:spacing w:line="276" w:lineRule="auto"/>
        <w:jc w:val="center"/>
        <w:rPr>
          <w:b/>
          <w:bCs/>
        </w:rPr>
      </w:pPr>
      <w:r w:rsidRPr="006D7E3B">
        <w:rPr>
          <w:b/>
          <w:bCs/>
        </w:rPr>
        <w:t>nosprieda</w:t>
      </w:r>
    </w:p>
    <w:p w14:paraId="3448D1EB" w14:textId="77777777" w:rsidR="0046057A" w:rsidRPr="006D7E3B" w:rsidRDefault="0046057A" w:rsidP="007D4C48">
      <w:pPr>
        <w:spacing w:line="276" w:lineRule="auto"/>
        <w:jc w:val="center"/>
        <w:rPr>
          <w:b/>
        </w:rPr>
      </w:pPr>
    </w:p>
    <w:p w14:paraId="26282481" w14:textId="12DB4887" w:rsidR="00874CBD" w:rsidRPr="006E4BC3" w:rsidRDefault="00874CBD" w:rsidP="007D4C48">
      <w:pPr>
        <w:spacing w:line="276" w:lineRule="auto"/>
        <w:ind w:firstLine="720"/>
        <w:jc w:val="both"/>
      </w:pPr>
      <w:r w:rsidRPr="006E4BC3">
        <w:t>atcelt Administratīvās apgabaltiesas 202</w:t>
      </w:r>
      <w:r>
        <w:t>3</w:t>
      </w:r>
      <w:r w:rsidRPr="006E4BC3">
        <w:t xml:space="preserve">.gada </w:t>
      </w:r>
      <w:r>
        <w:t>21</w:t>
      </w:r>
      <w:r w:rsidRPr="006E4BC3">
        <w:t>.jūnija spriedumu un nosūtīt lietu jaunai izskatīšanai Administratīvajai apgabaltiesai;</w:t>
      </w:r>
    </w:p>
    <w:p w14:paraId="6D0D1F55" w14:textId="57CFBA33" w:rsidR="00874CBD" w:rsidRPr="006E4BC3" w:rsidRDefault="00874CBD" w:rsidP="007D4C48">
      <w:pPr>
        <w:spacing w:line="276" w:lineRule="auto"/>
        <w:ind w:firstLine="720"/>
        <w:jc w:val="both"/>
      </w:pPr>
      <w:r w:rsidRPr="006B48A8">
        <w:t xml:space="preserve">atmaksāt </w:t>
      </w:r>
      <w:r w:rsidR="007D4C48">
        <w:t xml:space="preserve">[pers. A] </w:t>
      </w:r>
      <w:r w:rsidRPr="006B48A8">
        <w:t xml:space="preserve">pārstāvei </w:t>
      </w:r>
      <w:r w:rsidR="007D4C48">
        <w:t>[pers. </w:t>
      </w:r>
      <w:r w:rsidR="007D4C48">
        <w:t>C</w:t>
      </w:r>
      <w:r w:rsidR="007D4C48">
        <w:t xml:space="preserve">] </w:t>
      </w:r>
      <w:r w:rsidRPr="006B48A8">
        <w:rPr>
          <w:shd w:val="clear" w:color="auto" w:fill="FFFFFF"/>
        </w:rPr>
        <w:t>par</w:t>
      </w:r>
      <w:r w:rsidRPr="006B48A8">
        <w:t xml:space="preserve"> kasācijas sūdzību samaksāto drošības naudu 70 </w:t>
      </w:r>
      <w:r w:rsidRPr="006B48A8">
        <w:rPr>
          <w:i/>
          <w:iCs/>
        </w:rPr>
        <w:t>euro</w:t>
      </w:r>
      <w:r w:rsidRPr="006B48A8">
        <w:t>.</w:t>
      </w:r>
    </w:p>
    <w:p w14:paraId="5AA74504" w14:textId="77777777" w:rsidR="0046057A" w:rsidRPr="006D7E3B" w:rsidRDefault="0046057A" w:rsidP="007D4C48">
      <w:pPr>
        <w:pStyle w:val="NoSpacing"/>
        <w:spacing w:line="276" w:lineRule="auto"/>
        <w:ind w:firstLine="720"/>
        <w:jc w:val="both"/>
        <w:rPr>
          <w:iCs/>
          <w:lang w:val="lv-LV"/>
        </w:rPr>
      </w:pPr>
    </w:p>
    <w:p w14:paraId="66877A7D" w14:textId="77777777" w:rsidR="00AE6B45" w:rsidRPr="006D7E3B" w:rsidRDefault="00AE6B45" w:rsidP="007D4C48">
      <w:pPr>
        <w:tabs>
          <w:tab w:val="left" w:pos="6660"/>
        </w:tabs>
        <w:spacing w:line="276" w:lineRule="auto"/>
        <w:ind w:firstLine="720"/>
        <w:contextualSpacing/>
        <w:jc w:val="both"/>
      </w:pPr>
      <w:bookmarkStart w:id="0" w:name="_Hlk107329799"/>
      <w:r w:rsidRPr="006D7E3B">
        <w:t>Spriedums nav pārsūdzams.</w:t>
      </w:r>
    </w:p>
    <w:p w14:paraId="7672E825" w14:textId="77777777" w:rsidR="00AE6B45" w:rsidRPr="006D7E3B" w:rsidRDefault="00AE6B45" w:rsidP="00AE6B45">
      <w:pPr>
        <w:spacing w:line="276" w:lineRule="auto"/>
        <w:ind w:firstLine="567"/>
        <w:contextualSpacing/>
        <w:jc w:val="both"/>
        <w:rPr>
          <w:rFonts w:asciiTheme="majorBidi" w:hAnsiTheme="majorBidi" w:cstheme="majorBidi"/>
        </w:rPr>
      </w:pPr>
    </w:p>
    <w:p w14:paraId="3140D25F" w14:textId="77777777" w:rsidR="00AE6B45" w:rsidRPr="00672DB9" w:rsidRDefault="00AE6B45" w:rsidP="00AE6B45">
      <w:pPr>
        <w:spacing w:line="276" w:lineRule="auto"/>
        <w:ind w:firstLine="567"/>
        <w:contextualSpacing/>
        <w:jc w:val="both"/>
        <w:rPr>
          <w:rFonts w:asciiTheme="majorBidi" w:hAnsiTheme="majorBidi" w:cstheme="majorBidi"/>
          <w:sz w:val="16"/>
          <w:szCs w:val="16"/>
        </w:rPr>
      </w:pPr>
    </w:p>
    <w:bookmarkEnd w:id="0"/>
    <w:p w14:paraId="737C802B" w14:textId="77777777" w:rsidR="00687A24" w:rsidRPr="009F6D3F" w:rsidRDefault="00687A24" w:rsidP="009F6D3F">
      <w:pPr>
        <w:tabs>
          <w:tab w:val="left" w:pos="6660"/>
        </w:tabs>
        <w:spacing w:line="276" w:lineRule="auto"/>
        <w:contextualSpacing/>
        <w:jc w:val="both"/>
        <w:rPr>
          <w:rFonts w:asciiTheme="majorBidi" w:hAnsiTheme="majorBidi" w:cstheme="majorBidi"/>
          <w:sz w:val="2"/>
          <w:szCs w:val="2"/>
        </w:rPr>
      </w:pPr>
    </w:p>
    <w:sectPr w:rsidR="00687A24" w:rsidRPr="009F6D3F" w:rsidSect="00961695">
      <w:footerReference w:type="default" r:id="rId13"/>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890C" w14:textId="77777777" w:rsidR="00D824DB" w:rsidRDefault="00D824DB" w:rsidP="00585C37">
      <w:r>
        <w:separator/>
      </w:r>
    </w:p>
  </w:endnote>
  <w:endnote w:type="continuationSeparator" w:id="0">
    <w:p w14:paraId="263C0464" w14:textId="77777777" w:rsidR="00D824DB" w:rsidRDefault="00D824DB"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1674844F"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D824DB">
      <w:rPr>
        <w:noProof/>
        <w:sz w:val="20"/>
        <w:szCs w:val="20"/>
      </w:rPr>
      <w:t>1</w:t>
    </w:r>
    <w:r w:rsidRPr="00103089">
      <w:rPr>
        <w:noProof/>
        <w:sz w:val="20"/>
        <w:szCs w:val="20"/>
      </w:rPr>
      <w:fldChar w:fldCharType="end"/>
    </w:r>
    <w:bookmarkStart w:id="1" w:name="__Fieldmark__171_3260321367"/>
    <w:bookmarkStart w:id="2" w:name="__Fieldmark__667_1373986896"/>
    <w:bookmarkStart w:id="3" w:name="__Fieldmark__363_2235992191"/>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614E" w14:textId="77777777" w:rsidR="00D824DB" w:rsidRDefault="00D824DB" w:rsidP="00585C37">
      <w:r>
        <w:separator/>
      </w:r>
    </w:p>
  </w:footnote>
  <w:footnote w:type="continuationSeparator" w:id="0">
    <w:p w14:paraId="026798A4" w14:textId="77777777" w:rsidR="00D824DB" w:rsidRDefault="00D824DB" w:rsidP="0058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331C"/>
    <w:multiLevelType w:val="multilevel"/>
    <w:tmpl w:val="B2D64BE8"/>
    <w:lvl w:ilvl="0">
      <w:start w:val="1"/>
      <w:numFmt w:val="decimal"/>
      <w:lvlText w:val="[%1]"/>
      <w:lvlJc w:val="left"/>
      <w:pPr>
        <w:ind w:left="0" w:firstLine="794"/>
      </w:pPr>
      <w:rPr>
        <w:b w:val="0"/>
        <w:color w:val="auto"/>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16cid:durableId="98593318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0713F"/>
    <w:rsid w:val="00007928"/>
    <w:rsid w:val="00011DD9"/>
    <w:rsid w:val="00012566"/>
    <w:rsid w:val="00013F84"/>
    <w:rsid w:val="00015188"/>
    <w:rsid w:val="00015E08"/>
    <w:rsid w:val="000228B9"/>
    <w:rsid w:val="00025BBF"/>
    <w:rsid w:val="00027C28"/>
    <w:rsid w:val="000327C5"/>
    <w:rsid w:val="00032E29"/>
    <w:rsid w:val="00034A4A"/>
    <w:rsid w:val="000415B5"/>
    <w:rsid w:val="000418FA"/>
    <w:rsid w:val="00042889"/>
    <w:rsid w:val="00042B98"/>
    <w:rsid w:val="00043A33"/>
    <w:rsid w:val="00044BCA"/>
    <w:rsid w:val="00044C1F"/>
    <w:rsid w:val="00045CF7"/>
    <w:rsid w:val="0004672C"/>
    <w:rsid w:val="00050BB4"/>
    <w:rsid w:val="0005185E"/>
    <w:rsid w:val="00056AFB"/>
    <w:rsid w:val="0005721F"/>
    <w:rsid w:val="00063529"/>
    <w:rsid w:val="000659F5"/>
    <w:rsid w:val="00065AA5"/>
    <w:rsid w:val="0006612B"/>
    <w:rsid w:val="00071DF0"/>
    <w:rsid w:val="00073628"/>
    <w:rsid w:val="0007506C"/>
    <w:rsid w:val="00075460"/>
    <w:rsid w:val="00077255"/>
    <w:rsid w:val="000774F2"/>
    <w:rsid w:val="0008022B"/>
    <w:rsid w:val="00083684"/>
    <w:rsid w:val="00083C86"/>
    <w:rsid w:val="000843CE"/>
    <w:rsid w:val="000867E7"/>
    <w:rsid w:val="00086D26"/>
    <w:rsid w:val="000878A0"/>
    <w:rsid w:val="000913B5"/>
    <w:rsid w:val="00092FC9"/>
    <w:rsid w:val="00093612"/>
    <w:rsid w:val="00093BB8"/>
    <w:rsid w:val="000942E8"/>
    <w:rsid w:val="000957AC"/>
    <w:rsid w:val="000957E4"/>
    <w:rsid w:val="00095FAC"/>
    <w:rsid w:val="00096263"/>
    <w:rsid w:val="00096D60"/>
    <w:rsid w:val="0009716F"/>
    <w:rsid w:val="000A124E"/>
    <w:rsid w:val="000A4084"/>
    <w:rsid w:val="000A45EE"/>
    <w:rsid w:val="000A6F0B"/>
    <w:rsid w:val="000A7A94"/>
    <w:rsid w:val="000B0229"/>
    <w:rsid w:val="000B120B"/>
    <w:rsid w:val="000B5C14"/>
    <w:rsid w:val="000C1CC6"/>
    <w:rsid w:val="000C6B25"/>
    <w:rsid w:val="000C7919"/>
    <w:rsid w:val="000D11D2"/>
    <w:rsid w:val="000D226D"/>
    <w:rsid w:val="000D26BE"/>
    <w:rsid w:val="000D30AC"/>
    <w:rsid w:val="000D30F5"/>
    <w:rsid w:val="000D6016"/>
    <w:rsid w:val="000E0C50"/>
    <w:rsid w:val="000E3911"/>
    <w:rsid w:val="000E715E"/>
    <w:rsid w:val="000E744D"/>
    <w:rsid w:val="000F1F00"/>
    <w:rsid w:val="000F2F06"/>
    <w:rsid w:val="000F33E9"/>
    <w:rsid w:val="000F5605"/>
    <w:rsid w:val="000F5FEB"/>
    <w:rsid w:val="000F6362"/>
    <w:rsid w:val="000F6C5C"/>
    <w:rsid w:val="000F776C"/>
    <w:rsid w:val="0010138F"/>
    <w:rsid w:val="00101C8A"/>
    <w:rsid w:val="00101DB3"/>
    <w:rsid w:val="00103A52"/>
    <w:rsid w:val="001048F5"/>
    <w:rsid w:val="0010558D"/>
    <w:rsid w:val="00106095"/>
    <w:rsid w:val="00106EF5"/>
    <w:rsid w:val="00106FCA"/>
    <w:rsid w:val="0011056A"/>
    <w:rsid w:val="001106A6"/>
    <w:rsid w:val="00110D4B"/>
    <w:rsid w:val="00115A62"/>
    <w:rsid w:val="00116A89"/>
    <w:rsid w:val="001201AF"/>
    <w:rsid w:val="00120E95"/>
    <w:rsid w:val="00122A6A"/>
    <w:rsid w:val="00123E14"/>
    <w:rsid w:val="00125C79"/>
    <w:rsid w:val="00126B8D"/>
    <w:rsid w:val="0012724E"/>
    <w:rsid w:val="00127ACE"/>
    <w:rsid w:val="00130F5D"/>
    <w:rsid w:val="0013366E"/>
    <w:rsid w:val="00135FD7"/>
    <w:rsid w:val="00136BB6"/>
    <w:rsid w:val="00140034"/>
    <w:rsid w:val="00141CB6"/>
    <w:rsid w:val="0014290F"/>
    <w:rsid w:val="00144A19"/>
    <w:rsid w:val="00144C72"/>
    <w:rsid w:val="0015083E"/>
    <w:rsid w:val="001545EF"/>
    <w:rsid w:val="00154A11"/>
    <w:rsid w:val="00162E13"/>
    <w:rsid w:val="00163F8C"/>
    <w:rsid w:val="0016715E"/>
    <w:rsid w:val="001729C8"/>
    <w:rsid w:val="001736AA"/>
    <w:rsid w:val="00173C32"/>
    <w:rsid w:val="001742E0"/>
    <w:rsid w:val="0017470D"/>
    <w:rsid w:val="00174C57"/>
    <w:rsid w:val="00176CF6"/>
    <w:rsid w:val="001775BF"/>
    <w:rsid w:val="00177A68"/>
    <w:rsid w:val="0018312C"/>
    <w:rsid w:val="0018333B"/>
    <w:rsid w:val="00187514"/>
    <w:rsid w:val="00192679"/>
    <w:rsid w:val="00193649"/>
    <w:rsid w:val="00195BEA"/>
    <w:rsid w:val="00197557"/>
    <w:rsid w:val="001A2FD5"/>
    <w:rsid w:val="001A2FEF"/>
    <w:rsid w:val="001A323B"/>
    <w:rsid w:val="001A3BB8"/>
    <w:rsid w:val="001A45E3"/>
    <w:rsid w:val="001A5F92"/>
    <w:rsid w:val="001B4C4B"/>
    <w:rsid w:val="001B53E7"/>
    <w:rsid w:val="001B7B84"/>
    <w:rsid w:val="001C2332"/>
    <w:rsid w:val="001C3046"/>
    <w:rsid w:val="001C69D1"/>
    <w:rsid w:val="001C6B2C"/>
    <w:rsid w:val="001D3C27"/>
    <w:rsid w:val="001D4028"/>
    <w:rsid w:val="001D4316"/>
    <w:rsid w:val="001D470F"/>
    <w:rsid w:val="001D494B"/>
    <w:rsid w:val="001D5717"/>
    <w:rsid w:val="001D796C"/>
    <w:rsid w:val="001E0103"/>
    <w:rsid w:val="001E2232"/>
    <w:rsid w:val="001E3B38"/>
    <w:rsid w:val="001E499D"/>
    <w:rsid w:val="001E6BD3"/>
    <w:rsid w:val="001F1D17"/>
    <w:rsid w:val="001F520D"/>
    <w:rsid w:val="001F5F38"/>
    <w:rsid w:val="001F7B4D"/>
    <w:rsid w:val="002014F7"/>
    <w:rsid w:val="00210135"/>
    <w:rsid w:val="00210618"/>
    <w:rsid w:val="00210C38"/>
    <w:rsid w:val="00212753"/>
    <w:rsid w:val="00212C9A"/>
    <w:rsid w:val="00221F66"/>
    <w:rsid w:val="00222217"/>
    <w:rsid w:val="00223319"/>
    <w:rsid w:val="002246CF"/>
    <w:rsid w:val="002256BA"/>
    <w:rsid w:val="00226292"/>
    <w:rsid w:val="00227C35"/>
    <w:rsid w:val="0023115E"/>
    <w:rsid w:val="0023182D"/>
    <w:rsid w:val="002324DF"/>
    <w:rsid w:val="002329A4"/>
    <w:rsid w:val="00232C0B"/>
    <w:rsid w:val="002342D4"/>
    <w:rsid w:val="00240562"/>
    <w:rsid w:val="002408FE"/>
    <w:rsid w:val="002421AE"/>
    <w:rsid w:val="00242561"/>
    <w:rsid w:val="0024257D"/>
    <w:rsid w:val="00242C91"/>
    <w:rsid w:val="0024609F"/>
    <w:rsid w:val="002467D9"/>
    <w:rsid w:val="00246C26"/>
    <w:rsid w:val="00250B2B"/>
    <w:rsid w:val="00251409"/>
    <w:rsid w:val="00251D1F"/>
    <w:rsid w:val="002539D0"/>
    <w:rsid w:val="002542E1"/>
    <w:rsid w:val="002547D8"/>
    <w:rsid w:val="00260A4A"/>
    <w:rsid w:val="00260C5A"/>
    <w:rsid w:val="00260D76"/>
    <w:rsid w:val="002612A5"/>
    <w:rsid w:val="00261EC8"/>
    <w:rsid w:val="00262648"/>
    <w:rsid w:val="00265137"/>
    <w:rsid w:val="00266663"/>
    <w:rsid w:val="00267468"/>
    <w:rsid w:val="002676A8"/>
    <w:rsid w:val="00267D0E"/>
    <w:rsid w:val="00272845"/>
    <w:rsid w:val="00274319"/>
    <w:rsid w:val="00275347"/>
    <w:rsid w:val="0027663A"/>
    <w:rsid w:val="00276A43"/>
    <w:rsid w:val="00277FA6"/>
    <w:rsid w:val="00281428"/>
    <w:rsid w:val="00281457"/>
    <w:rsid w:val="002814E6"/>
    <w:rsid w:val="00281F3A"/>
    <w:rsid w:val="00282ED9"/>
    <w:rsid w:val="002843B5"/>
    <w:rsid w:val="00284C7A"/>
    <w:rsid w:val="002861FC"/>
    <w:rsid w:val="0028658E"/>
    <w:rsid w:val="00290299"/>
    <w:rsid w:val="00291C07"/>
    <w:rsid w:val="00293E2E"/>
    <w:rsid w:val="002A0995"/>
    <w:rsid w:val="002A13D6"/>
    <w:rsid w:val="002A1D0D"/>
    <w:rsid w:val="002A210B"/>
    <w:rsid w:val="002A3EE5"/>
    <w:rsid w:val="002A5D09"/>
    <w:rsid w:val="002B026D"/>
    <w:rsid w:val="002B09B1"/>
    <w:rsid w:val="002B1981"/>
    <w:rsid w:val="002B2123"/>
    <w:rsid w:val="002B43FC"/>
    <w:rsid w:val="002B7057"/>
    <w:rsid w:val="002C2624"/>
    <w:rsid w:val="002C2CBE"/>
    <w:rsid w:val="002C30E8"/>
    <w:rsid w:val="002C50C8"/>
    <w:rsid w:val="002C5960"/>
    <w:rsid w:val="002D0A3C"/>
    <w:rsid w:val="002D0B2B"/>
    <w:rsid w:val="002D0EE4"/>
    <w:rsid w:val="002D23C6"/>
    <w:rsid w:val="002D4BC2"/>
    <w:rsid w:val="002D5CAA"/>
    <w:rsid w:val="002D7B5E"/>
    <w:rsid w:val="002E01AA"/>
    <w:rsid w:val="002E11F9"/>
    <w:rsid w:val="002E704F"/>
    <w:rsid w:val="002F1D18"/>
    <w:rsid w:val="002F5389"/>
    <w:rsid w:val="002F5629"/>
    <w:rsid w:val="00301546"/>
    <w:rsid w:val="0030283E"/>
    <w:rsid w:val="003030CE"/>
    <w:rsid w:val="00305467"/>
    <w:rsid w:val="0030559F"/>
    <w:rsid w:val="00306695"/>
    <w:rsid w:val="003070AF"/>
    <w:rsid w:val="00310AAB"/>
    <w:rsid w:val="0031198E"/>
    <w:rsid w:val="003122DC"/>
    <w:rsid w:val="00312494"/>
    <w:rsid w:val="00314AC9"/>
    <w:rsid w:val="00314B7C"/>
    <w:rsid w:val="00315A02"/>
    <w:rsid w:val="0031755C"/>
    <w:rsid w:val="00320B23"/>
    <w:rsid w:val="0032223A"/>
    <w:rsid w:val="003224FB"/>
    <w:rsid w:val="00322F0F"/>
    <w:rsid w:val="0032386F"/>
    <w:rsid w:val="003244A8"/>
    <w:rsid w:val="003253F5"/>
    <w:rsid w:val="00326BDE"/>
    <w:rsid w:val="00326EDD"/>
    <w:rsid w:val="003300CC"/>
    <w:rsid w:val="0033022E"/>
    <w:rsid w:val="00331F46"/>
    <w:rsid w:val="00332F6A"/>
    <w:rsid w:val="00333D4B"/>
    <w:rsid w:val="00334ED3"/>
    <w:rsid w:val="0033560D"/>
    <w:rsid w:val="003372FD"/>
    <w:rsid w:val="003378BB"/>
    <w:rsid w:val="0034257B"/>
    <w:rsid w:val="00342DEF"/>
    <w:rsid w:val="00343492"/>
    <w:rsid w:val="003439D1"/>
    <w:rsid w:val="0034533F"/>
    <w:rsid w:val="003456DE"/>
    <w:rsid w:val="00346765"/>
    <w:rsid w:val="00346D97"/>
    <w:rsid w:val="00353445"/>
    <w:rsid w:val="00353791"/>
    <w:rsid w:val="00353BDA"/>
    <w:rsid w:val="00354A42"/>
    <w:rsid w:val="00354EF2"/>
    <w:rsid w:val="00356647"/>
    <w:rsid w:val="00356CB0"/>
    <w:rsid w:val="003573B6"/>
    <w:rsid w:val="00357D8B"/>
    <w:rsid w:val="00360A42"/>
    <w:rsid w:val="00360FFE"/>
    <w:rsid w:val="00361C97"/>
    <w:rsid w:val="00363D15"/>
    <w:rsid w:val="00371CD2"/>
    <w:rsid w:val="00373529"/>
    <w:rsid w:val="00374353"/>
    <w:rsid w:val="00375C6E"/>
    <w:rsid w:val="0037693E"/>
    <w:rsid w:val="003775D8"/>
    <w:rsid w:val="003777EB"/>
    <w:rsid w:val="00380709"/>
    <w:rsid w:val="00380CF7"/>
    <w:rsid w:val="00380EAD"/>
    <w:rsid w:val="00381C43"/>
    <w:rsid w:val="003821D2"/>
    <w:rsid w:val="003825A2"/>
    <w:rsid w:val="00383F01"/>
    <w:rsid w:val="00385A7F"/>
    <w:rsid w:val="0039000E"/>
    <w:rsid w:val="00391421"/>
    <w:rsid w:val="00393700"/>
    <w:rsid w:val="00393B6A"/>
    <w:rsid w:val="003946FA"/>
    <w:rsid w:val="003951F5"/>
    <w:rsid w:val="00396244"/>
    <w:rsid w:val="003A1F02"/>
    <w:rsid w:val="003A2790"/>
    <w:rsid w:val="003A39D3"/>
    <w:rsid w:val="003A4DBD"/>
    <w:rsid w:val="003A7CAD"/>
    <w:rsid w:val="003B1CE8"/>
    <w:rsid w:val="003B3ADE"/>
    <w:rsid w:val="003B6FAD"/>
    <w:rsid w:val="003C0034"/>
    <w:rsid w:val="003C09F8"/>
    <w:rsid w:val="003C1C0B"/>
    <w:rsid w:val="003C231C"/>
    <w:rsid w:val="003C27CA"/>
    <w:rsid w:val="003C4335"/>
    <w:rsid w:val="003C44C9"/>
    <w:rsid w:val="003C507B"/>
    <w:rsid w:val="003C5F31"/>
    <w:rsid w:val="003C60B7"/>
    <w:rsid w:val="003C71E2"/>
    <w:rsid w:val="003C7518"/>
    <w:rsid w:val="003C76A2"/>
    <w:rsid w:val="003D25F4"/>
    <w:rsid w:val="003D4917"/>
    <w:rsid w:val="003D69BE"/>
    <w:rsid w:val="003D7C11"/>
    <w:rsid w:val="003E19C1"/>
    <w:rsid w:val="003E312C"/>
    <w:rsid w:val="003E472B"/>
    <w:rsid w:val="003E4B1B"/>
    <w:rsid w:val="003E59D7"/>
    <w:rsid w:val="003F1246"/>
    <w:rsid w:val="003F1C11"/>
    <w:rsid w:val="003F203D"/>
    <w:rsid w:val="003F3757"/>
    <w:rsid w:val="003F4247"/>
    <w:rsid w:val="003F444E"/>
    <w:rsid w:val="003F53ED"/>
    <w:rsid w:val="003F7B34"/>
    <w:rsid w:val="00401892"/>
    <w:rsid w:val="00402589"/>
    <w:rsid w:val="00405447"/>
    <w:rsid w:val="004063F7"/>
    <w:rsid w:val="004067EA"/>
    <w:rsid w:val="0040718B"/>
    <w:rsid w:val="00410698"/>
    <w:rsid w:val="00410F3C"/>
    <w:rsid w:val="00411D09"/>
    <w:rsid w:val="00412E63"/>
    <w:rsid w:val="004130EF"/>
    <w:rsid w:val="004146F2"/>
    <w:rsid w:val="00414975"/>
    <w:rsid w:val="0041501C"/>
    <w:rsid w:val="004208C5"/>
    <w:rsid w:val="00421117"/>
    <w:rsid w:val="004222E2"/>
    <w:rsid w:val="00424D68"/>
    <w:rsid w:val="00424E5E"/>
    <w:rsid w:val="00426DA4"/>
    <w:rsid w:val="0043139F"/>
    <w:rsid w:val="00431D13"/>
    <w:rsid w:val="004322FD"/>
    <w:rsid w:val="00433457"/>
    <w:rsid w:val="004358E1"/>
    <w:rsid w:val="00435952"/>
    <w:rsid w:val="00441643"/>
    <w:rsid w:val="00442392"/>
    <w:rsid w:val="0045322A"/>
    <w:rsid w:val="004539D5"/>
    <w:rsid w:val="00455DD8"/>
    <w:rsid w:val="004570DA"/>
    <w:rsid w:val="00457BAD"/>
    <w:rsid w:val="0046057A"/>
    <w:rsid w:val="004649A2"/>
    <w:rsid w:val="00465198"/>
    <w:rsid w:val="00467FE4"/>
    <w:rsid w:val="00470E28"/>
    <w:rsid w:val="00471CED"/>
    <w:rsid w:val="004751AE"/>
    <w:rsid w:val="00475407"/>
    <w:rsid w:val="00481A51"/>
    <w:rsid w:val="00483C03"/>
    <w:rsid w:val="004849C7"/>
    <w:rsid w:val="0048666B"/>
    <w:rsid w:val="00486CD8"/>
    <w:rsid w:val="00487F5B"/>
    <w:rsid w:val="0049093B"/>
    <w:rsid w:val="00490CC5"/>
    <w:rsid w:val="004970E6"/>
    <w:rsid w:val="004A026D"/>
    <w:rsid w:val="004A1D39"/>
    <w:rsid w:val="004A2342"/>
    <w:rsid w:val="004A29D0"/>
    <w:rsid w:val="004A2CA2"/>
    <w:rsid w:val="004A476B"/>
    <w:rsid w:val="004A55CC"/>
    <w:rsid w:val="004A5685"/>
    <w:rsid w:val="004A5840"/>
    <w:rsid w:val="004B3AE4"/>
    <w:rsid w:val="004B3B57"/>
    <w:rsid w:val="004B558F"/>
    <w:rsid w:val="004B79C6"/>
    <w:rsid w:val="004C32EB"/>
    <w:rsid w:val="004C5629"/>
    <w:rsid w:val="004C5BC5"/>
    <w:rsid w:val="004C5F53"/>
    <w:rsid w:val="004C60A9"/>
    <w:rsid w:val="004D1B99"/>
    <w:rsid w:val="004D46C4"/>
    <w:rsid w:val="004D479B"/>
    <w:rsid w:val="004D4D63"/>
    <w:rsid w:val="004D504B"/>
    <w:rsid w:val="004D5825"/>
    <w:rsid w:val="004D7346"/>
    <w:rsid w:val="004E3602"/>
    <w:rsid w:val="004E7485"/>
    <w:rsid w:val="004F04DC"/>
    <w:rsid w:val="004F0B45"/>
    <w:rsid w:val="004F3232"/>
    <w:rsid w:val="004F3652"/>
    <w:rsid w:val="004F5573"/>
    <w:rsid w:val="004F65B1"/>
    <w:rsid w:val="004F6E85"/>
    <w:rsid w:val="004F7626"/>
    <w:rsid w:val="00500D57"/>
    <w:rsid w:val="005018A4"/>
    <w:rsid w:val="00502D68"/>
    <w:rsid w:val="005047C5"/>
    <w:rsid w:val="00505310"/>
    <w:rsid w:val="00505D2C"/>
    <w:rsid w:val="00511408"/>
    <w:rsid w:val="00514143"/>
    <w:rsid w:val="00515329"/>
    <w:rsid w:val="00515ED3"/>
    <w:rsid w:val="00516129"/>
    <w:rsid w:val="00516C7E"/>
    <w:rsid w:val="00516F68"/>
    <w:rsid w:val="005175A7"/>
    <w:rsid w:val="00517676"/>
    <w:rsid w:val="00520C4F"/>
    <w:rsid w:val="00523098"/>
    <w:rsid w:val="00523616"/>
    <w:rsid w:val="00524DEF"/>
    <w:rsid w:val="00524FBB"/>
    <w:rsid w:val="0052768B"/>
    <w:rsid w:val="00530FC6"/>
    <w:rsid w:val="0053404E"/>
    <w:rsid w:val="005350D7"/>
    <w:rsid w:val="0053672D"/>
    <w:rsid w:val="00542F03"/>
    <w:rsid w:val="005449DD"/>
    <w:rsid w:val="00546093"/>
    <w:rsid w:val="00550840"/>
    <w:rsid w:val="00551F39"/>
    <w:rsid w:val="00551F3B"/>
    <w:rsid w:val="005529CD"/>
    <w:rsid w:val="0055424A"/>
    <w:rsid w:val="0055451A"/>
    <w:rsid w:val="00560399"/>
    <w:rsid w:val="00561A96"/>
    <w:rsid w:val="0056260D"/>
    <w:rsid w:val="0056291F"/>
    <w:rsid w:val="00564555"/>
    <w:rsid w:val="00564BEF"/>
    <w:rsid w:val="00566012"/>
    <w:rsid w:val="0056690F"/>
    <w:rsid w:val="00566E3B"/>
    <w:rsid w:val="00570489"/>
    <w:rsid w:val="00571427"/>
    <w:rsid w:val="005736E6"/>
    <w:rsid w:val="005749FB"/>
    <w:rsid w:val="00575512"/>
    <w:rsid w:val="0057575D"/>
    <w:rsid w:val="0057627B"/>
    <w:rsid w:val="005766F8"/>
    <w:rsid w:val="00576D08"/>
    <w:rsid w:val="005852E8"/>
    <w:rsid w:val="00585C37"/>
    <w:rsid w:val="00585E67"/>
    <w:rsid w:val="0059197B"/>
    <w:rsid w:val="00593D59"/>
    <w:rsid w:val="00595CBC"/>
    <w:rsid w:val="00596790"/>
    <w:rsid w:val="00596B8D"/>
    <w:rsid w:val="005970DA"/>
    <w:rsid w:val="00597C1B"/>
    <w:rsid w:val="005A2066"/>
    <w:rsid w:val="005A296B"/>
    <w:rsid w:val="005A5932"/>
    <w:rsid w:val="005A61C2"/>
    <w:rsid w:val="005B196F"/>
    <w:rsid w:val="005B1CDB"/>
    <w:rsid w:val="005B1DCF"/>
    <w:rsid w:val="005B1E30"/>
    <w:rsid w:val="005B2346"/>
    <w:rsid w:val="005B3307"/>
    <w:rsid w:val="005B65E9"/>
    <w:rsid w:val="005B7B04"/>
    <w:rsid w:val="005C0797"/>
    <w:rsid w:val="005C0C62"/>
    <w:rsid w:val="005C3BF1"/>
    <w:rsid w:val="005C436B"/>
    <w:rsid w:val="005C4B2A"/>
    <w:rsid w:val="005C4E71"/>
    <w:rsid w:val="005C6073"/>
    <w:rsid w:val="005C6082"/>
    <w:rsid w:val="005C6427"/>
    <w:rsid w:val="005C797C"/>
    <w:rsid w:val="005D17C5"/>
    <w:rsid w:val="005D1C9A"/>
    <w:rsid w:val="005D2038"/>
    <w:rsid w:val="005D2075"/>
    <w:rsid w:val="005D2390"/>
    <w:rsid w:val="005D3ACA"/>
    <w:rsid w:val="005D3B67"/>
    <w:rsid w:val="005D59B5"/>
    <w:rsid w:val="005D5CAB"/>
    <w:rsid w:val="005D6717"/>
    <w:rsid w:val="005D7306"/>
    <w:rsid w:val="005E280D"/>
    <w:rsid w:val="005E4D08"/>
    <w:rsid w:val="005E53F6"/>
    <w:rsid w:val="005E54B1"/>
    <w:rsid w:val="005E5F62"/>
    <w:rsid w:val="005F0241"/>
    <w:rsid w:val="005F2E11"/>
    <w:rsid w:val="005F51A7"/>
    <w:rsid w:val="005F52CC"/>
    <w:rsid w:val="005F624B"/>
    <w:rsid w:val="005F7FB3"/>
    <w:rsid w:val="0060168B"/>
    <w:rsid w:val="0060185C"/>
    <w:rsid w:val="00601C7B"/>
    <w:rsid w:val="00601CF0"/>
    <w:rsid w:val="00607981"/>
    <w:rsid w:val="006152B8"/>
    <w:rsid w:val="006157EC"/>
    <w:rsid w:val="00621390"/>
    <w:rsid w:val="00622265"/>
    <w:rsid w:val="006227B2"/>
    <w:rsid w:val="0062346C"/>
    <w:rsid w:val="00623EC1"/>
    <w:rsid w:val="00624BF0"/>
    <w:rsid w:val="00625491"/>
    <w:rsid w:val="006304CC"/>
    <w:rsid w:val="00631D16"/>
    <w:rsid w:val="00632793"/>
    <w:rsid w:val="00633D6C"/>
    <w:rsid w:val="00634F37"/>
    <w:rsid w:val="0063576F"/>
    <w:rsid w:val="00635A4A"/>
    <w:rsid w:val="00635E08"/>
    <w:rsid w:val="00635FBC"/>
    <w:rsid w:val="0063608B"/>
    <w:rsid w:val="00640EC0"/>
    <w:rsid w:val="00643E0F"/>
    <w:rsid w:val="00644922"/>
    <w:rsid w:val="00645D73"/>
    <w:rsid w:val="006463A5"/>
    <w:rsid w:val="00646F21"/>
    <w:rsid w:val="00646FF4"/>
    <w:rsid w:val="006545CB"/>
    <w:rsid w:val="00655A3B"/>
    <w:rsid w:val="00655AF8"/>
    <w:rsid w:val="006564DA"/>
    <w:rsid w:val="006630CE"/>
    <w:rsid w:val="00663FB9"/>
    <w:rsid w:val="00664266"/>
    <w:rsid w:val="00665291"/>
    <w:rsid w:val="00666448"/>
    <w:rsid w:val="00673D59"/>
    <w:rsid w:val="00677A5C"/>
    <w:rsid w:val="00677A67"/>
    <w:rsid w:val="0068203B"/>
    <w:rsid w:val="00682A31"/>
    <w:rsid w:val="00684C6C"/>
    <w:rsid w:val="00684E97"/>
    <w:rsid w:val="00687A24"/>
    <w:rsid w:val="00690212"/>
    <w:rsid w:val="006905B7"/>
    <w:rsid w:val="00690C2A"/>
    <w:rsid w:val="0069113A"/>
    <w:rsid w:val="0069170C"/>
    <w:rsid w:val="0069227A"/>
    <w:rsid w:val="0069306F"/>
    <w:rsid w:val="00694384"/>
    <w:rsid w:val="0069438D"/>
    <w:rsid w:val="00694CE6"/>
    <w:rsid w:val="00696EBB"/>
    <w:rsid w:val="006A4747"/>
    <w:rsid w:val="006A4F72"/>
    <w:rsid w:val="006A5230"/>
    <w:rsid w:val="006A5ACF"/>
    <w:rsid w:val="006A6EF1"/>
    <w:rsid w:val="006B0892"/>
    <w:rsid w:val="006B2ECC"/>
    <w:rsid w:val="006B3354"/>
    <w:rsid w:val="006B4492"/>
    <w:rsid w:val="006B4856"/>
    <w:rsid w:val="006B48A8"/>
    <w:rsid w:val="006B5C17"/>
    <w:rsid w:val="006B5EE1"/>
    <w:rsid w:val="006B6E94"/>
    <w:rsid w:val="006B756F"/>
    <w:rsid w:val="006C2ACD"/>
    <w:rsid w:val="006C440B"/>
    <w:rsid w:val="006C5E73"/>
    <w:rsid w:val="006C6EBC"/>
    <w:rsid w:val="006C7607"/>
    <w:rsid w:val="006C7FF0"/>
    <w:rsid w:val="006D10DB"/>
    <w:rsid w:val="006D19EF"/>
    <w:rsid w:val="006D214A"/>
    <w:rsid w:val="006D26CF"/>
    <w:rsid w:val="006D77ED"/>
    <w:rsid w:val="006E1A5A"/>
    <w:rsid w:val="006E1A78"/>
    <w:rsid w:val="006E282D"/>
    <w:rsid w:val="006E6CFF"/>
    <w:rsid w:val="006E73B2"/>
    <w:rsid w:val="006F332F"/>
    <w:rsid w:val="0070051B"/>
    <w:rsid w:val="00703AB6"/>
    <w:rsid w:val="0070409A"/>
    <w:rsid w:val="00704278"/>
    <w:rsid w:val="00706D37"/>
    <w:rsid w:val="00706F78"/>
    <w:rsid w:val="0070757F"/>
    <w:rsid w:val="007128F3"/>
    <w:rsid w:val="00712F40"/>
    <w:rsid w:val="007153E6"/>
    <w:rsid w:val="00716BB5"/>
    <w:rsid w:val="0071769B"/>
    <w:rsid w:val="00720B3A"/>
    <w:rsid w:val="007224FB"/>
    <w:rsid w:val="00722660"/>
    <w:rsid w:val="00724334"/>
    <w:rsid w:val="00724A65"/>
    <w:rsid w:val="00726792"/>
    <w:rsid w:val="00726A91"/>
    <w:rsid w:val="00726FE1"/>
    <w:rsid w:val="007277EF"/>
    <w:rsid w:val="00734D3E"/>
    <w:rsid w:val="00745B3F"/>
    <w:rsid w:val="00747A79"/>
    <w:rsid w:val="007506A0"/>
    <w:rsid w:val="00752B32"/>
    <w:rsid w:val="007550FE"/>
    <w:rsid w:val="00756345"/>
    <w:rsid w:val="0076351B"/>
    <w:rsid w:val="00763F44"/>
    <w:rsid w:val="007640F0"/>
    <w:rsid w:val="00764BE3"/>
    <w:rsid w:val="00767D01"/>
    <w:rsid w:val="007725DA"/>
    <w:rsid w:val="00772945"/>
    <w:rsid w:val="007734C9"/>
    <w:rsid w:val="007756BF"/>
    <w:rsid w:val="0077634F"/>
    <w:rsid w:val="00780739"/>
    <w:rsid w:val="0078238C"/>
    <w:rsid w:val="00784C65"/>
    <w:rsid w:val="00791173"/>
    <w:rsid w:val="007961E6"/>
    <w:rsid w:val="007969F8"/>
    <w:rsid w:val="007977F1"/>
    <w:rsid w:val="007A0400"/>
    <w:rsid w:val="007A2164"/>
    <w:rsid w:val="007A2C0F"/>
    <w:rsid w:val="007A47E8"/>
    <w:rsid w:val="007A50C7"/>
    <w:rsid w:val="007A631B"/>
    <w:rsid w:val="007A6819"/>
    <w:rsid w:val="007A6B6E"/>
    <w:rsid w:val="007B5BA3"/>
    <w:rsid w:val="007B5FC5"/>
    <w:rsid w:val="007B6601"/>
    <w:rsid w:val="007C137B"/>
    <w:rsid w:val="007C30A3"/>
    <w:rsid w:val="007C54D2"/>
    <w:rsid w:val="007C5AD1"/>
    <w:rsid w:val="007C5B3F"/>
    <w:rsid w:val="007C6A06"/>
    <w:rsid w:val="007C6BF1"/>
    <w:rsid w:val="007C7716"/>
    <w:rsid w:val="007D0514"/>
    <w:rsid w:val="007D0E93"/>
    <w:rsid w:val="007D15F4"/>
    <w:rsid w:val="007D4C48"/>
    <w:rsid w:val="007D78F3"/>
    <w:rsid w:val="007E0877"/>
    <w:rsid w:val="007E31B1"/>
    <w:rsid w:val="007E35D3"/>
    <w:rsid w:val="007E4C5F"/>
    <w:rsid w:val="007F0579"/>
    <w:rsid w:val="007F1792"/>
    <w:rsid w:val="007F218A"/>
    <w:rsid w:val="007F3F5F"/>
    <w:rsid w:val="007F3FAE"/>
    <w:rsid w:val="00802689"/>
    <w:rsid w:val="00803374"/>
    <w:rsid w:val="008049B6"/>
    <w:rsid w:val="008049D6"/>
    <w:rsid w:val="00806CB6"/>
    <w:rsid w:val="0080751D"/>
    <w:rsid w:val="00811438"/>
    <w:rsid w:val="0081227A"/>
    <w:rsid w:val="00812D65"/>
    <w:rsid w:val="00812FDE"/>
    <w:rsid w:val="00815B35"/>
    <w:rsid w:val="0081628C"/>
    <w:rsid w:val="0082277E"/>
    <w:rsid w:val="008234FB"/>
    <w:rsid w:val="00827BF9"/>
    <w:rsid w:val="008302D4"/>
    <w:rsid w:val="00831AF9"/>
    <w:rsid w:val="008322C3"/>
    <w:rsid w:val="00833176"/>
    <w:rsid w:val="008332D4"/>
    <w:rsid w:val="008334CE"/>
    <w:rsid w:val="00834447"/>
    <w:rsid w:val="00834974"/>
    <w:rsid w:val="00834E1D"/>
    <w:rsid w:val="008350E4"/>
    <w:rsid w:val="008351B8"/>
    <w:rsid w:val="00837514"/>
    <w:rsid w:val="008376C3"/>
    <w:rsid w:val="008379D0"/>
    <w:rsid w:val="00841020"/>
    <w:rsid w:val="00841223"/>
    <w:rsid w:val="00841375"/>
    <w:rsid w:val="00842C11"/>
    <w:rsid w:val="00846337"/>
    <w:rsid w:val="0084764B"/>
    <w:rsid w:val="008504DA"/>
    <w:rsid w:val="00851193"/>
    <w:rsid w:val="00853977"/>
    <w:rsid w:val="00855053"/>
    <w:rsid w:val="008559ED"/>
    <w:rsid w:val="00857220"/>
    <w:rsid w:val="00857A49"/>
    <w:rsid w:val="00860C34"/>
    <w:rsid w:val="0086279E"/>
    <w:rsid w:val="00863A73"/>
    <w:rsid w:val="00863F2C"/>
    <w:rsid w:val="008662B2"/>
    <w:rsid w:val="008677DC"/>
    <w:rsid w:val="008712B5"/>
    <w:rsid w:val="00871595"/>
    <w:rsid w:val="008716E9"/>
    <w:rsid w:val="008725F9"/>
    <w:rsid w:val="008743E7"/>
    <w:rsid w:val="0087444F"/>
    <w:rsid w:val="00874CBD"/>
    <w:rsid w:val="00875BB5"/>
    <w:rsid w:val="00876A54"/>
    <w:rsid w:val="00876CE3"/>
    <w:rsid w:val="00877950"/>
    <w:rsid w:val="008815C2"/>
    <w:rsid w:val="00881FC3"/>
    <w:rsid w:val="00882505"/>
    <w:rsid w:val="00886C8C"/>
    <w:rsid w:val="00886D5E"/>
    <w:rsid w:val="0088777C"/>
    <w:rsid w:val="00887DB8"/>
    <w:rsid w:val="00893727"/>
    <w:rsid w:val="0089375B"/>
    <w:rsid w:val="00893D1D"/>
    <w:rsid w:val="00894BB7"/>
    <w:rsid w:val="00894CA2"/>
    <w:rsid w:val="008A1D09"/>
    <w:rsid w:val="008A28CF"/>
    <w:rsid w:val="008A3DE5"/>
    <w:rsid w:val="008A4FF1"/>
    <w:rsid w:val="008A50DC"/>
    <w:rsid w:val="008A5E25"/>
    <w:rsid w:val="008A6681"/>
    <w:rsid w:val="008A7040"/>
    <w:rsid w:val="008B1480"/>
    <w:rsid w:val="008B266A"/>
    <w:rsid w:val="008B470A"/>
    <w:rsid w:val="008B79B1"/>
    <w:rsid w:val="008B7DBA"/>
    <w:rsid w:val="008B7E8C"/>
    <w:rsid w:val="008B7FAB"/>
    <w:rsid w:val="008C17B6"/>
    <w:rsid w:val="008C4229"/>
    <w:rsid w:val="008C44AE"/>
    <w:rsid w:val="008C6784"/>
    <w:rsid w:val="008C70C3"/>
    <w:rsid w:val="008D0D38"/>
    <w:rsid w:val="008D22D4"/>
    <w:rsid w:val="008D2ABE"/>
    <w:rsid w:val="008D3ADA"/>
    <w:rsid w:val="008D45AE"/>
    <w:rsid w:val="008D48D0"/>
    <w:rsid w:val="008E1154"/>
    <w:rsid w:val="008E695B"/>
    <w:rsid w:val="008E7BF1"/>
    <w:rsid w:val="008F0841"/>
    <w:rsid w:val="008F3BAD"/>
    <w:rsid w:val="008F3C10"/>
    <w:rsid w:val="008F7958"/>
    <w:rsid w:val="0090169B"/>
    <w:rsid w:val="009026E0"/>
    <w:rsid w:val="00902AFD"/>
    <w:rsid w:val="00902D67"/>
    <w:rsid w:val="00903289"/>
    <w:rsid w:val="00903606"/>
    <w:rsid w:val="00910BC2"/>
    <w:rsid w:val="00910C2C"/>
    <w:rsid w:val="009112A0"/>
    <w:rsid w:val="00911D16"/>
    <w:rsid w:val="00912F6A"/>
    <w:rsid w:val="00913E0A"/>
    <w:rsid w:val="0091611B"/>
    <w:rsid w:val="009204DA"/>
    <w:rsid w:val="0092381B"/>
    <w:rsid w:val="00925208"/>
    <w:rsid w:val="0092561B"/>
    <w:rsid w:val="0092658D"/>
    <w:rsid w:val="00930B28"/>
    <w:rsid w:val="00931F7E"/>
    <w:rsid w:val="009329D2"/>
    <w:rsid w:val="00932AA9"/>
    <w:rsid w:val="009333EE"/>
    <w:rsid w:val="009346C4"/>
    <w:rsid w:val="00935EF9"/>
    <w:rsid w:val="009369DB"/>
    <w:rsid w:val="00937DE3"/>
    <w:rsid w:val="00940C53"/>
    <w:rsid w:val="00942B2A"/>
    <w:rsid w:val="00942B34"/>
    <w:rsid w:val="00943675"/>
    <w:rsid w:val="009439A4"/>
    <w:rsid w:val="009456F6"/>
    <w:rsid w:val="00945AA8"/>
    <w:rsid w:val="00947281"/>
    <w:rsid w:val="00947431"/>
    <w:rsid w:val="00947FA9"/>
    <w:rsid w:val="009506C2"/>
    <w:rsid w:val="0095118F"/>
    <w:rsid w:val="00951A6F"/>
    <w:rsid w:val="00952EBF"/>
    <w:rsid w:val="009609F6"/>
    <w:rsid w:val="009610A9"/>
    <w:rsid w:val="00961332"/>
    <w:rsid w:val="00961695"/>
    <w:rsid w:val="009619C5"/>
    <w:rsid w:val="00962B0D"/>
    <w:rsid w:val="00965F97"/>
    <w:rsid w:val="009722D7"/>
    <w:rsid w:val="009733A4"/>
    <w:rsid w:val="0097659A"/>
    <w:rsid w:val="00977037"/>
    <w:rsid w:val="0097773C"/>
    <w:rsid w:val="00980F87"/>
    <w:rsid w:val="009823BE"/>
    <w:rsid w:val="00992C9F"/>
    <w:rsid w:val="00993465"/>
    <w:rsid w:val="00993840"/>
    <w:rsid w:val="00994031"/>
    <w:rsid w:val="009945A8"/>
    <w:rsid w:val="0099490C"/>
    <w:rsid w:val="00995BC6"/>
    <w:rsid w:val="009A0759"/>
    <w:rsid w:val="009A7748"/>
    <w:rsid w:val="009B00E8"/>
    <w:rsid w:val="009B06A2"/>
    <w:rsid w:val="009B1653"/>
    <w:rsid w:val="009B3B16"/>
    <w:rsid w:val="009B3BCD"/>
    <w:rsid w:val="009B4091"/>
    <w:rsid w:val="009B5CAE"/>
    <w:rsid w:val="009C0AF9"/>
    <w:rsid w:val="009C20CB"/>
    <w:rsid w:val="009C4BE2"/>
    <w:rsid w:val="009C6101"/>
    <w:rsid w:val="009C6E41"/>
    <w:rsid w:val="009C736A"/>
    <w:rsid w:val="009C786A"/>
    <w:rsid w:val="009D0148"/>
    <w:rsid w:val="009D214F"/>
    <w:rsid w:val="009D2DEE"/>
    <w:rsid w:val="009D3681"/>
    <w:rsid w:val="009D4EFF"/>
    <w:rsid w:val="009D5E32"/>
    <w:rsid w:val="009D745D"/>
    <w:rsid w:val="009E1DFD"/>
    <w:rsid w:val="009E1E88"/>
    <w:rsid w:val="009E2EB8"/>
    <w:rsid w:val="009E40D0"/>
    <w:rsid w:val="009E4432"/>
    <w:rsid w:val="009E4F0A"/>
    <w:rsid w:val="009E566C"/>
    <w:rsid w:val="009E6890"/>
    <w:rsid w:val="009E7124"/>
    <w:rsid w:val="009F2B98"/>
    <w:rsid w:val="009F324F"/>
    <w:rsid w:val="009F47D5"/>
    <w:rsid w:val="009F4ADA"/>
    <w:rsid w:val="009F4F04"/>
    <w:rsid w:val="009F6D3F"/>
    <w:rsid w:val="009F7867"/>
    <w:rsid w:val="009F7F8B"/>
    <w:rsid w:val="00A00FDF"/>
    <w:rsid w:val="00A02B17"/>
    <w:rsid w:val="00A06717"/>
    <w:rsid w:val="00A104BE"/>
    <w:rsid w:val="00A10FA8"/>
    <w:rsid w:val="00A1192E"/>
    <w:rsid w:val="00A139A2"/>
    <w:rsid w:val="00A15B3D"/>
    <w:rsid w:val="00A169DE"/>
    <w:rsid w:val="00A20E8D"/>
    <w:rsid w:val="00A21CCA"/>
    <w:rsid w:val="00A22B21"/>
    <w:rsid w:val="00A23C17"/>
    <w:rsid w:val="00A258B5"/>
    <w:rsid w:val="00A27085"/>
    <w:rsid w:val="00A2782D"/>
    <w:rsid w:val="00A306BA"/>
    <w:rsid w:val="00A312D1"/>
    <w:rsid w:val="00A3370B"/>
    <w:rsid w:val="00A3536C"/>
    <w:rsid w:val="00A375F5"/>
    <w:rsid w:val="00A416DF"/>
    <w:rsid w:val="00A4215A"/>
    <w:rsid w:val="00A43045"/>
    <w:rsid w:val="00A431A2"/>
    <w:rsid w:val="00A43489"/>
    <w:rsid w:val="00A44DBB"/>
    <w:rsid w:val="00A450AF"/>
    <w:rsid w:val="00A45EEB"/>
    <w:rsid w:val="00A479EF"/>
    <w:rsid w:val="00A47A31"/>
    <w:rsid w:val="00A530EE"/>
    <w:rsid w:val="00A5400D"/>
    <w:rsid w:val="00A54268"/>
    <w:rsid w:val="00A5481B"/>
    <w:rsid w:val="00A55E1B"/>
    <w:rsid w:val="00A57621"/>
    <w:rsid w:val="00A60182"/>
    <w:rsid w:val="00A60485"/>
    <w:rsid w:val="00A61A1D"/>
    <w:rsid w:val="00A63A9E"/>
    <w:rsid w:val="00A643DC"/>
    <w:rsid w:val="00A663B0"/>
    <w:rsid w:val="00A66FF0"/>
    <w:rsid w:val="00A67696"/>
    <w:rsid w:val="00A70A9E"/>
    <w:rsid w:val="00A73E5E"/>
    <w:rsid w:val="00A74CC8"/>
    <w:rsid w:val="00A757AA"/>
    <w:rsid w:val="00A767B3"/>
    <w:rsid w:val="00A774EA"/>
    <w:rsid w:val="00A82B88"/>
    <w:rsid w:val="00A8472A"/>
    <w:rsid w:val="00A87582"/>
    <w:rsid w:val="00A91F45"/>
    <w:rsid w:val="00A937A4"/>
    <w:rsid w:val="00A947F5"/>
    <w:rsid w:val="00A96154"/>
    <w:rsid w:val="00A97388"/>
    <w:rsid w:val="00AA21EF"/>
    <w:rsid w:val="00AA50CC"/>
    <w:rsid w:val="00AA617C"/>
    <w:rsid w:val="00AA67C7"/>
    <w:rsid w:val="00AB2444"/>
    <w:rsid w:val="00AB5320"/>
    <w:rsid w:val="00AB6274"/>
    <w:rsid w:val="00AB6C69"/>
    <w:rsid w:val="00AC09EC"/>
    <w:rsid w:val="00AC1925"/>
    <w:rsid w:val="00AC2C68"/>
    <w:rsid w:val="00AC5F9B"/>
    <w:rsid w:val="00AD3B91"/>
    <w:rsid w:val="00AD7386"/>
    <w:rsid w:val="00AE19E4"/>
    <w:rsid w:val="00AE1A2E"/>
    <w:rsid w:val="00AE417A"/>
    <w:rsid w:val="00AE5E46"/>
    <w:rsid w:val="00AE6B45"/>
    <w:rsid w:val="00AE7A36"/>
    <w:rsid w:val="00AF180A"/>
    <w:rsid w:val="00AF424D"/>
    <w:rsid w:val="00B00911"/>
    <w:rsid w:val="00B02D66"/>
    <w:rsid w:val="00B03625"/>
    <w:rsid w:val="00B045A9"/>
    <w:rsid w:val="00B04858"/>
    <w:rsid w:val="00B06252"/>
    <w:rsid w:val="00B06255"/>
    <w:rsid w:val="00B06B51"/>
    <w:rsid w:val="00B20593"/>
    <w:rsid w:val="00B24E2A"/>
    <w:rsid w:val="00B253C0"/>
    <w:rsid w:val="00B25789"/>
    <w:rsid w:val="00B26518"/>
    <w:rsid w:val="00B31DA3"/>
    <w:rsid w:val="00B3289E"/>
    <w:rsid w:val="00B32EF4"/>
    <w:rsid w:val="00B33BF3"/>
    <w:rsid w:val="00B3401B"/>
    <w:rsid w:val="00B3567D"/>
    <w:rsid w:val="00B35774"/>
    <w:rsid w:val="00B35EE5"/>
    <w:rsid w:val="00B37BA9"/>
    <w:rsid w:val="00B40112"/>
    <w:rsid w:val="00B40F29"/>
    <w:rsid w:val="00B45E49"/>
    <w:rsid w:val="00B4639C"/>
    <w:rsid w:val="00B4654B"/>
    <w:rsid w:val="00B51FCC"/>
    <w:rsid w:val="00B52976"/>
    <w:rsid w:val="00B52E38"/>
    <w:rsid w:val="00B54FFF"/>
    <w:rsid w:val="00B5707B"/>
    <w:rsid w:val="00B5739F"/>
    <w:rsid w:val="00B61DB2"/>
    <w:rsid w:val="00B62BE0"/>
    <w:rsid w:val="00B6398A"/>
    <w:rsid w:val="00B65DCA"/>
    <w:rsid w:val="00B6614D"/>
    <w:rsid w:val="00B67862"/>
    <w:rsid w:val="00B71678"/>
    <w:rsid w:val="00B743EC"/>
    <w:rsid w:val="00B744C6"/>
    <w:rsid w:val="00B77575"/>
    <w:rsid w:val="00B800DC"/>
    <w:rsid w:val="00B8072B"/>
    <w:rsid w:val="00B8162A"/>
    <w:rsid w:val="00B817FA"/>
    <w:rsid w:val="00B82B89"/>
    <w:rsid w:val="00B836D9"/>
    <w:rsid w:val="00B85197"/>
    <w:rsid w:val="00B90669"/>
    <w:rsid w:val="00B91FC0"/>
    <w:rsid w:val="00B928BF"/>
    <w:rsid w:val="00B93A78"/>
    <w:rsid w:val="00B97978"/>
    <w:rsid w:val="00B97F78"/>
    <w:rsid w:val="00BB0E5B"/>
    <w:rsid w:val="00BB1895"/>
    <w:rsid w:val="00BB20C2"/>
    <w:rsid w:val="00BB22DB"/>
    <w:rsid w:val="00BB2B81"/>
    <w:rsid w:val="00BB3BD1"/>
    <w:rsid w:val="00BB5741"/>
    <w:rsid w:val="00BB5809"/>
    <w:rsid w:val="00BB6025"/>
    <w:rsid w:val="00BB76E9"/>
    <w:rsid w:val="00BC102E"/>
    <w:rsid w:val="00BC1E63"/>
    <w:rsid w:val="00BC3949"/>
    <w:rsid w:val="00BC3D6E"/>
    <w:rsid w:val="00BC6D8A"/>
    <w:rsid w:val="00BD036F"/>
    <w:rsid w:val="00BD08C9"/>
    <w:rsid w:val="00BD1A8E"/>
    <w:rsid w:val="00BD25E1"/>
    <w:rsid w:val="00BD3C8E"/>
    <w:rsid w:val="00BD6597"/>
    <w:rsid w:val="00BD6BE5"/>
    <w:rsid w:val="00BD78E4"/>
    <w:rsid w:val="00BE03B6"/>
    <w:rsid w:val="00BE166E"/>
    <w:rsid w:val="00BE21BE"/>
    <w:rsid w:val="00BE2E15"/>
    <w:rsid w:val="00BE39BF"/>
    <w:rsid w:val="00BE4A60"/>
    <w:rsid w:val="00BE60DE"/>
    <w:rsid w:val="00BF1B43"/>
    <w:rsid w:val="00BF36DE"/>
    <w:rsid w:val="00BF3C21"/>
    <w:rsid w:val="00BF4BA0"/>
    <w:rsid w:val="00BF5E08"/>
    <w:rsid w:val="00BF7090"/>
    <w:rsid w:val="00BF78E9"/>
    <w:rsid w:val="00C0007D"/>
    <w:rsid w:val="00C011E4"/>
    <w:rsid w:val="00C02CB5"/>
    <w:rsid w:val="00C05062"/>
    <w:rsid w:val="00C1018F"/>
    <w:rsid w:val="00C10910"/>
    <w:rsid w:val="00C12BAE"/>
    <w:rsid w:val="00C135C0"/>
    <w:rsid w:val="00C13846"/>
    <w:rsid w:val="00C139A9"/>
    <w:rsid w:val="00C15C69"/>
    <w:rsid w:val="00C20652"/>
    <w:rsid w:val="00C21797"/>
    <w:rsid w:val="00C23657"/>
    <w:rsid w:val="00C239D9"/>
    <w:rsid w:val="00C24DB4"/>
    <w:rsid w:val="00C263A7"/>
    <w:rsid w:val="00C2661F"/>
    <w:rsid w:val="00C31176"/>
    <w:rsid w:val="00C32240"/>
    <w:rsid w:val="00C36501"/>
    <w:rsid w:val="00C37DE7"/>
    <w:rsid w:val="00C4002C"/>
    <w:rsid w:val="00C45136"/>
    <w:rsid w:val="00C45B14"/>
    <w:rsid w:val="00C478E5"/>
    <w:rsid w:val="00C50E66"/>
    <w:rsid w:val="00C51001"/>
    <w:rsid w:val="00C53E98"/>
    <w:rsid w:val="00C542D3"/>
    <w:rsid w:val="00C55B45"/>
    <w:rsid w:val="00C56FDA"/>
    <w:rsid w:val="00C570E4"/>
    <w:rsid w:val="00C60639"/>
    <w:rsid w:val="00C61A78"/>
    <w:rsid w:val="00C638A6"/>
    <w:rsid w:val="00C718CF"/>
    <w:rsid w:val="00C74A55"/>
    <w:rsid w:val="00C7601F"/>
    <w:rsid w:val="00C807C0"/>
    <w:rsid w:val="00C810A7"/>
    <w:rsid w:val="00C82170"/>
    <w:rsid w:val="00C84941"/>
    <w:rsid w:val="00C86BB6"/>
    <w:rsid w:val="00C9004E"/>
    <w:rsid w:val="00C909BC"/>
    <w:rsid w:val="00C90E09"/>
    <w:rsid w:val="00C914B9"/>
    <w:rsid w:val="00C93DFA"/>
    <w:rsid w:val="00C93E05"/>
    <w:rsid w:val="00C96B0D"/>
    <w:rsid w:val="00C96B38"/>
    <w:rsid w:val="00C97EBE"/>
    <w:rsid w:val="00CA0D39"/>
    <w:rsid w:val="00CA1138"/>
    <w:rsid w:val="00CA51CA"/>
    <w:rsid w:val="00CA521E"/>
    <w:rsid w:val="00CA5A5A"/>
    <w:rsid w:val="00CA7B52"/>
    <w:rsid w:val="00CB04B0"/>
    <w:rsid w:val="00CB0F32"/>
    <w:rsid w:val="00CB1D63"/>
    <w:rsid w:val="00CB5A4D"/>
    <w:rsid w:val="00CC3250"/>
    <w:rsid w:val="00CC568D"/>
    <w:rsid w:val="00CC5AE5"/>
    <w:rsid w:val="00CC5BD9"/>
    <w:rsid w:val="00CC6D98"/>
    <w:rsid w:val="00CC6EE0"/>
    <w:rsid w:val="00CD0746"/>
    <w:rsid w:val="00CD1470"/>
    <w:rsid w:val="00CD2EE1"/>
    <w:rsid w:val="00CD6574"/>
    <w:rsid w:val="00CD77E1"/>
    <w:rsid w:val="00CE018A"/>
    <w:rsid w:val="00CE59AB"/>
    <w:rsid w:val="00CF633D"/>
    <w:rsid w:val="00CF7EAE"/>
    <w:rsid w:val="00D032BB"/>
    <w:rsid w:val="00D03B52"/>
    <w:rsid w:val="00D0763E"/>
    <w:rsid w:val="00D10C26"/>
    <w:rsid w:val="00D11F09"/>
    <w:rsid w:val="00D132BC"/>
    <w:rsid w:val="00D13C2E"/>
    <w:rsid w:val="00D15B5C"/>
    <w:rsid w:val="00D2101A"/>
    <w:rsid w:val="00D214E1"/>
    <w:rsid w:val="00D2295E"/>
    <w:rsid w:val="00D23350"/>
    <w:rsid w:val="00D2462D"/>
    <w:rsid w:val="00D24A44"/>
    <w:rsid w:val="00D2776A"/>
    <w:rsid w:val="00D3052E"/>
    <w:rsid w:val="00D322D6"/>
    <w:rsid w:val="00D3337D"/>
    <w:rsid w:val="00D34BAE"/>
    <w:rsid w:val="00D40509"/>
    <w:rsid w:val="00D41693"/>
    <w:rsid w:val="00D4255F"/>
    <w:rsid w:val="00D42F37"/>
    <w:rsid w:val="00D45007"/>
    <w:rsid w:val="00D50171"/>
    <w:rsid w:val="00D51EE9"/>
    <w:rsid w:val="00D54970"/>
    <w:rsid w:val="00D56239"/>
    <w:rsid w:val="00D5634E"/>
    <w:rsid w:val="00D56D3F"/>
    <w:rsid w:val="00D57262"/>
    <w:rsid w:val="00D62EE3"/>
    <w:rsid w:val="00D63838"/>
    <w:rsid w:val="00D6730D"/>
    <w:rsid w:val="00D70DEF"/>
    <w:rsid w:val="00D7133E"/>
    <w:rsid w:val="00D7212F"/>
    <w:rsid w:val="00D76903"/>
    <w:rsid w:val="00D77553"/>
    <w:rsid w:val="00D779CC"/>
    <w:rsid w:val="00D80579"/>
    <w:rsid w:val="00D80C92"/>
    <w:rsid w:val="00D81A94"/>
    <w:rsid w:val="00D81E9B"/>
    <w:rsid w:val="00D824DB"/>
    <w:rsid w:val="00D84BC2"/>
    <w:rsid w:val="00D85EC7"/>
    <w:rsid w:val="00D93C48"/>
    <w:rsid w:val="00D93D0A"/>
    <w:rsid w:val="00D95FEF"/>
    <w:rsid w:val="00D96593"/>
    <w:rsid w:val="00D97634"/>
    <w:rsid w:val="00D97918"/>
    <w:rsid w:val="00DA64E3"/>
    <w:rsid w:val="00DA6B00"/>
    <w:rsid w:val="00DA77D5"/>
    <w:rsid w:val="00DB0435"/>
    <w:rsid w:val="00DB17CA"/>
    <w:rsid w:val="00DB30E8"/>
    <w:rsid w:val="00DB4621"/>
    <w:rsid w:val="00DB577A"/>
    <w:rsid w:val="00DB5894"/>
    <w:rsid w:val="00DB58FE"/>
    <w:rsid w:val="00DB63A9"/>
    <w:rsid w:val="00DC110C"/>
    <w:rsid w:val="00DC16D8"/>
    <w:rsid w:val="00DC640F"/>
    <w:rsid w:val="00DC7600"/>
    <w:rsid w:val="00DD4A10"/>
    <w:rsid w:val="00DD5245"/>
    <w:rsid w:val="00DD63D8"/>
    <w:rsid w:val="00DE1D5C"/>
    <w:rsid w:val="00DE4907"/>
    <w:rsid w:val="00DE5094"/>
    <w:rsid w:val="00DE5573"/>
    <w:rsid w:val="00DE61EC"/>
    <w:rsid w:val="00DE7F28"/>
    <w:rsid w:val="00DF0624"/>
    <w:rsid w:val="00DF5FB6"/>
    <w:rsid w:val="00DF6242"/>
    <w:rsid w:val="00DF6880"/>
    <w:rsid w:val="00DF7663"/>
    <w:rsid w:val="00E000DA"/>
    <w:rsid w:val="00E026EB"/>
    <w:rsid w:val="00E0427C"/>
    <w:rsid w:val="00E11AA1"/>
    <w:rsid w:val="00E12AF9"/>
    <w:rsid w:val="00E14081"/>
    <w:rsid w:val="00E22123"/>
    <w:rsid w:val="00E23AA3"/>
    <w:rsid w:val="00E24F71"/>
    <w:rsid w:val="00E27E28"/>
    <w:rsid w:val="00E31534"/>
    <w:rsid w:val="00E31F83"/>
    <w:rsid w:val="00E330AB"/>
    <w:rsid w:val="00E33B13"/>
    <w:rsid w:val="00E4037E"/>
    <w:rsid w:val="00E40497"/>
    <w:rsid w:val="00E410F8"/>
    <w:rsid w:val="00E43056"/>
    <w:rsid w:val="00E443DF"/>
    <w:rsid w:val="00E458D3"/>
    <w:rsid w:val="00E4590F"/>
    <w:rsid w:val="00E466FD"/>
    <w:rsid w:val="00E46C1C"/>
    <w:rsid w:val="00E47511"/>
    <w:rsid w:val="00E500F2"/>
    <w:rsid w:val="00E50399"/>
    <w:rsid w:val="00E51C6A"/>
    <w:rsid w:val="00E557CB"/>
    <w:rsid w:val="00E5684B"/>
    <w:rsid w:val="00E577B9"/>
    <w:rsid w:val="00E6158B"/>
    <w:rsid w:val="00E62377"/>
    <w:rsid w:val="00E676BC"/>
    <w:rsid w:val="00E700AA"/>
    <w:rsid w:val="00E72A28"/>
    <w:rsid w:val="00E72BF5"/>
    <w:rsid w:val="00E7308C"/>
    <w:rsid w:val="00E7341E"/>
    <w:rsid w:val="00E74BCB"/>
    <w:rsid w:val="00E76D1F"/>
    <w:rsid w:val="00E80F3B"/>
    <w:rsid w:val="00E86205"/>
    <w:rsid w:val="00E8685C"/>
    <w:rsid w:val="00E90272"/>
    <w:rsid w:val="00E91195"/>
    <w:rsid w:val="00E91F4F"/>
    <w:rsid w:val="00E9615E"/>
    <w:rsid w:val="00EA445F"/>
    <w:rsid w:val="00EA6CDF"/>
    <w:rsid w:val="00EB0D4B"/>
    <w:rsid w:val="00EB0DFB"/>
    <w:rsid w:val="00EB1BF7"/>
    <w:rsid w:val="00EB33F0"/>
    <w:rsid w:val="00EB40C3"/>
    <w:rsid w:val="00EB7456"/>
    <w:rsid w:val="00EC0008"/>
    <w:rsid w:val="00EC13D4"/>
    <w:rsid w:val="00EC38AE"/>
    <w:rsid w:val="00EC3D5C"/>
    <w:rsid w:val="00EC53AC"/>
    <w:rsid w:val="00ED045E"/>
    <w:rsid w:val="00ED23A0"/>
    <w:rsid w:val="00ED3178"/>
    <w:rsid w:val="00ED5034"/>
    <w:rsid w:val="00ED51AD"/>
    <w:rsid w:val="00ED6E8C"/>
    <w:rsid w:val="00EE1416"/>
    <w:rsid w:val="00EE7F3E"/>
    <w:rsid w:val="00EF26C6"/>
    <w:rsid w:val="00EF2B75"/>
    <w:rsid w:val="00EF3636"/>
    <w:rsid w:val="00EF5917"/>
    <w:rsid w:val="00EF7454"/>
    <w:rsid w:val="00F00F49"/>
    <w:rsid w:val="00F040AB"/>
    <w:rsid w:val="00F05455"/>
    <w:rsid w:val="00F06EC0"/>
    <w:rsid w:val="00F075D9"/>
    <w:rsid w:val="00F122AD"/>
    <w:rsid w:val="00F130A1"/>
    <w:rsid w:val="00F13D27"/>
    <w:rsid w:val="00F16BAA"/>
    <w:rsid w:val="00F17B36"/>
    <w:rsid w:val="00F226C7"/>
    <w:rsid w:val="00F2280A"/>
    <w:rsid w:val="00F2404A"/>
    <w:rsid w:val="00F24B30"/>
    <w:rsid w:val="00F253E9"/>
    <w:rsid w:val="00F276EB"/>
    <w:rsid w:val="00F30507"/>
    <w:rsid w:val="00F306DD"/>
    <w:rsid w:val="00F33015"/>
    <w:rsid w:val="00F33267"/>
    <w:rsid w:val="00F33AB7"/>
    <w:rsid w:val="00F33B22"/>
    <w:rsid w:val="00F3440A"/>
    <w:rsid w:val="00F3696E"/>
    <w:rsid w:val="00F37178"/>
    <w:rsid w:val="00F37C4B"/>
    <w:rsid w:val="00F40322"/>
    <w:rsid w:val="00F414C3"/>
    <w:rsid w:val="00F427AD"/>
    <w:rsid w:val="00F4478A"/>
    <w:rsid w:val="00F457AB"/>
    <w:rsid w:val="00F50070"/>
    <w:rsid w:val="00F50C80"/>
    <w:rsid w:val="00F565FA"/>
    <w:rsid w:val="00F56C15"/>
    <w:rsid w:val="00F5724E"/>
    <w:rsid w:val="00F601BD"/>
    <w:rsid w:val="00F70B2E"/>
    <w:rsid w:val="00F74681"/>
    <w:rsid w:val="00F75B23"/>
    <w:rsid w:val="00F7693B"/>
    <w:rsid w:val="00F778E2"/>
    <w:rsid w:val="00F801E9"/>
    <w:rsid w:val="00F8031F"/>
    <w:rsid w:val="00F817FB"/>
    <w:rsid w:val="00F8360A"/>
    <w:rsid w:val="00F877DF"/>
    <w:rsid w:val="00F90A46"/>
    <w:rsid w:val="00F92514"/>
    <w:rsid w:val="00F92D93"/>
    <w:rsid w:val="00F93122"/>
    <w:rsid w:val="00F9555C"/>
    <w:rsid w:val="00F975F3"/>
    <w:rsid w:val="00FA1307"/>
    <w:rsid w:val="00FA39E4"/>
    <w:rsid w:val="00FA63DB"/>
    <w:rsid w:val="00FA6B77"/>
    <w:rsid w:val="00FA7150"/>
    <w:rsid w:val="00FB018A"/>
    <w:rsid w:val="00FB055A"/>
    <w:rsid w:val="00FB1388"/>
    <w:rsid w:val="00FB3FB0"/>
    <w:rsid w:val="00FB592B"/>
    <w:rsid w:val="00FB77B3"/>
    <w:rsid w:val="00FC0756"/>
    <w:rsid w:val="00FC2D51"/>
    <w:rsid w:val="00FC364C"/>
    <w:rsid w:val="00FC534A"/>
    <w:rsid w:val="00FC5460"/>
    <w:rsid w:val="00FC5748"/>
    <w:rsid w:val="00FD169F"/>
    <w:rsid w:val="00FD3BFB"/>
    <w:rsid w:val="00FD4F32"/>
    <w:rsid w:val="00FD5203"/>
    <w:rsid w:val="00FD7182"/>
    <w:rsid w:val="00FD72C9"/>
    <w:rsid w:val="00FE011B"/>
    <w:rsid w:val="00FE128F"/>
    <w:rsid w:val="00FE47CF"/>
    <w:rsid w:val="00FE58E4"/>
    <w:rsid w:val="00FE6880"/>
    <w:rsid w:val="00FE7255"/>
    <w:rsid w:val="00FE7473"/>
    <w:rsid w:val="00FE79CB"/>
    <w:rsid w:val="00FF21A8"/>
    <w:rsid w:val="00FF22AB"/>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6057A"/>
    <w:pPr>
      <w:spacing w:after="0" w:line="240" w:lineRule="auto"/>
    </w:pPr>
    <w:rPr>
      <w:rFonts w:ascii="Times New Roman" w:hAnsi="Times New Roman"/>
      <w:kern w:val="0"/>
      <w:sz w:val="24"/>
      <w:lang w:val="en-US"/>
      <w14:ligatures w14:val="none"/>
    </w:rPr>
  </w:style>
  <w:style w:type="paragraph" w:styleId="ListParagraph">
    <w:name w:val="List Paragraph"/>
    <w:basedOn w:val="Normal"/>
    <w:uiPriority w:val="34"/>
    <w:qFormat/>
    <w:rsid w:val="006C5E73"/>
    <w:pPr>
      <w:ind w:left="720"/>
      <w:contextualSpacing/>
    </w:pPr>
  </w:style>
  <w:style w:type="character" w:customStyle="1" w:styleId="NoSpacingChar">
    <w:name w:val="No Spacing Char"/>
    <w:link w:val="NoSpacing"/>
    <w:uiPriority w:val="1"/>
    <w:rsid w:val="0056260D"/>
    <w:rPr>
      <w:rFonts w:ascii="Times New Roman" w:hAnsi="Times New Roman"/>
      <w:kern w:val="0"/>
      <w:sz w:val="24"/>
      <w:lang w:val="en-US"/>
      <w14:ligatures w14:val="none"/>
    </w:rPr>
  </w:style>
  <w:style w:type="paragraph" w:customStyle="1" w:styleId="Default">
    <w:name w:val="Default"/>
    <w:rsid w:val="00BE2E15"/>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38">
      <w:bodyDiv w:val="1"/>
      <w:marLeft w:val="0"/>
      <w:marRight w:val="0"/>
      <w:marTop w:val="0"/>
      <w:marBottom w:val="0"/>
      <w:divBdr>
        <w:top w:val="none" w:sz="0" w:space="0" w:color="auto"/>
        <w:left w:val="none" w:sz="0" w:space="0" w:color="auto"/>
        <w:bottom w:val="none" w:sz="0" w:space="0" w:color="auto"/>
        <w:right w:val="none" w:sz="0" w:space="0" w:color="auto"/>
      </w:divBdr>
    </w:div>
    <w:div w:id="473331293">
      <w:bodyDiv w:val="1"/>
      <w:marLeft w:val="0"/>
      <w:marRight w:val="0"/>
      <w:marTop w:val="0"/>
      <w:marBottom w:val="0"/>
      <w:divBdr>
        <w:top w:val="none" w:sz="0" w:space="0" w:color="auto"/>
        <w:left w:val="none" w:sz="0" w:space="0" w:color="auto"/>
        <w:bottom w:val="none" w:sz="0" w:space="0" w:color="auto"/>
        <w:right w:val="none" w:sz="0" w:space="0" w:color="auto"/>
      </w:divBdr>
    </w:div>
    <w:div w:id="715005018">
      <w:bodyDiv w:val="1"/>
      <w:marLeft w:val="0"/>
      <w:marRight w:val="0"/>
      <w:marTop w:val="0"/>
      <w:marBottom w:val="0"/>
      <w:divBdr>
        <w:top w:val="none" w:sz="0" w:space="0" w:color="auto"/>
        <w:left w:val="none" w:sz="0" w:space="0" w:color="auto"/>
        <w:bottom w:val="none" w:sz="0" w:space="0" w:color="auto"/>
        <w:right w:val="none" w:sz="0" w:space="0" w:color="auto"/>
      </w:divBdr>
    </w:div>
    <w:div w:id="1675837935">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26ee4e3-b450-4cf4-badd-52c2c72822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1c9bb816-085b-47c1-b6d4-428221b3af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d33b8478-4f23-4f53-baac-64ea0fe0399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8e25253a-572c-444c-bf9a-dfb8b56eec9f"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11-21-01_Spriedu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0331-FEF0-47DB-854B-EC7137F5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22863</Words>
  <Characters>13032</Characters>
  <Application>Microsoft Office Word</Application>
  <DocSecurity>0</DocSecurity>
  <Lines>108</Lines>
  <Paragraphs>71</Paragraphs>
  <ScaleCrop>false</ScaleCrop>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2026-02-18T09:29:00Z</dcterms:created>
  <dcterms:modified xsi:type="dcterms:W3CDTF">2026-02-18T09:29:00Z</dcterms:modified>
</cp:coreProperties>
</file>