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F787" w14:textId="77777777" w:rsidR="001C458C" w:rsidRDefault="001C458C" w:rsidP="001C458C">
      <w:pPr>
        <w:spacing w:line="276" w:lineRule="auto"/>
        <w:jc w:val="both"/>
        <w:rPr>
          <w:b/>
          <w:bCs/>
          <w:lang w:eastAsia="lv-LV"/>
          <w14:ligatures w14:val="standardContextual"/>
        </w:rPr>
      </w:pPr>
      <w:r>
        <w:rPr>
          <w:b/>
          <w:bCs/>
          <w14:ligatures w14:val="standardContextual"/>
        </w:rPr>
        <w:t>Aizliegums ikvienai personai izmantot būvi līdz tās pieņemšanai ekspluatācijā</w:t>
      </w:r>
    </w:p>
    <w:p w14:paraId="35B8FF90" w14:textId="1471A56B" w:rsidR="001C458C" w:rsidRPr="001C458C" w:rsidRDefault="001C458C" w:rsidP="001C458C">
      <w:pPr>
        <w:spacing w:line="276" w:lineRule="auto"/>
        <w:jc w:val="both"/>
        <w:rPr>
          <w14:ligatures w14:val="standardContextual"/>
        </w:rPr>
      </w:pPr>
      <w:r>
        <w:rPr>
          <w14:ligatures w14:val="standardContextual"/>
        </w:rPr>
        <w:t>Būvniecības likuma 21.panta otrajā daļā  noteikts vispārīgs aizliegums ekspluatēt būvi līdz tam brīdim, kad tā tiks nodota ekspluatācijā. Šī norma ir vērsta uz to, lai nodrošinātu būves lietošanas drošumu, proti, novērstu cilvēku drošības apdraudējumu būves lietošanas gaitā. Iekams kompetentā iestāde nav likumā noteiktajā kārtībā pieņēmusi būvi ekspluatācijā, nevar būt pārliecība, ka būve patiešām ir droša. Tādēļ Būvniecības likuma 21.panta otrā daļa attiecas uz ikvienu personu neatkarīgi no tā, vai attiecīgā persona ir konkrētā būvniecības procesa dalībniece.</w:t>
      </w:r>
    </w:p>
    <w:p w14:paraId="24D5EED0" w14:textId="7A8B64CB" w:rsidR="001C458C" w:rsidRPr="00011547" w:rsidRDefault="00447EE6" w:rsidP="001C458C">
      <w:pPr>
        <w:spacing w:before="120" w:line="276" w:lineRule="auto"/>
        <w:jc w:val="center"/>
        <w:rPr>
          <w:b/>
        </w:rPr>
      </w:pPr>
      <w:r w:rsidRPr="00011547">
        <w:rPr>
          <w:b/>
        </w:rPr>
        <w:t>Latvijas Republikas Senāt</w:t>
      </w:r>
      <w:r w:rsidR="001C458C">
        <w:rPr>
          <w:b/>
        </w:rPr>
        <w:t>a</w:t>
      </w:r>
      <w:r w:rsidR="001C458C">
        <w:rPr>
          <w:b/>
        </w:rPr>
        <w:br/>
        <w:t>Administratīvo lietu departamenta</w:t>
      </w:r>
      <w:r w:rsidR="001C458C">
        <w:rPr>
          <w:b/>
        </w:rPr>
        <w:br/>
        <w:t xml:space="preserve">2025.gada 6.marta </w:t>
      </w:r>
    </w:p>
    <w:p w14:paraId="6D65DEB2" w14:textId="28D1479D" w:rsidR="00447EE6" w:rsidRDefault="00EA77B9" w:rsidP="001C458C">
      <w:pPr>
        <w:spacing w:line="276" w:lineRule="auto"/>
        <w:jc w:val="center"/>
      </w:pPr>
      <w:r>
        <w:rPr>
          <w:b/>
        </w:rPr>
        <w:t>LĒMUMS</w:t>
      </w:r>
    </w:p>
    <w:p w14:paraId="03DFA86E" w14:textId="7B76B7AF" w:rsidR="001C458C" w:rsidRPr="001C458C" w:rsidRDefault="001C458C" w:rsidP="001C458C">
      <w:pPr>
        <w:spacing w:line="276" w:lineRule="auto"/>
        <w:jc w:val="center"/>
        <w:rPr>
          <w:b/>
          <w:bCs/>
          <w:lang w:eastAsia="lv-LV"/>
        </w:rPr>
      </w:pPr>
      <w:r w:rsidRPr="001C458C">
        <w:rPr>
          <w:b/>
          <w:bCs/>
          <w:lang w:eastAsia="lv-LV"/>
        </w:rPr>
        <w:t>Lieta Nr. 670006224, SKA-198/2025</w:t>
      </w:r>
    </w:p>
    <w:p w14:paraId="781D45C0" w14:textId="0E6105E8" w:rsidR="00447EE6" w:rsidRPr="001C458C" w:rsidRDefault="001C458C" w:rsidP="001C458C">
      <w:pPr>
        <w:spacing w:line="276" w:lineRule="auto"/>
        <w:jc w:val="center"/>
      </w:pPr>
      <w:r>
        <w:t xml:space="preserve"> </w:t>
      </w:r>
      <w:hyperlink r:id="rId8" w:history="1">
        <w:r w:rsidRPr="001C458C">
          <w:rPr>
            <w:rStyle w:val="Hyperlink"/>
          </w:rPr>
          <w:t>ECLI:LV:AT:2025:0306.SKA019825.4.L</w:t>
        </w:r>
      </w:hyperlink>
    </w:p>
    <w:p w14:paraId="2BBFBE0C" w14:textId="77777777" w:rsidR="00DB52C9" w:rsidRPr="00011547" w:rsidRDefault="00DB52C9" w:rsidP="001C458C">
      <w:pPr>
        <w:spacing w:line="276" w:lineRule="auto"/>
        <w:jc w:val="center"/>
      </w:pPr>
    </w:p>
    <w:p w14:paraId="1609D6F5" w14:textId="000A8EE4" w:rsidR="00447EE6" w:rsidRDefault="00447EE6" w:rsidP="001C458C">
      <w:pPr>
        <w:spacing w:line="276" w:lineRule="auto"/>
        <w:ind w:firstLine="720"/>
        <w:jc w:val="both"/>
      </w:pPr>
      <w:r>
        <w:t xml:space="preserve">Senāts </w:t>
      </w:r>
      <w:r w:rsidRPr="00011547">
        <w:t>šādā sastāvā</w:t>
      </w:r>
      <w:r>
        <w:t>:</w:t>
      </w:r>
      <w:r w:rsidR="00DB52C9">
        <w:t xml:space="preserve"> senatore referente </w:t>
      </w:r>
      <w:r w:rsidR="00DB52C9" w:rsidRPr="00DB52C9">
        <w:t>Anita Kovaļevska</w:t>
      </w:r>
      <w:r w:rsidR="00DB52C9">
        <w:t xml:space="preserve">, </w:t>
      </w:r>
      <w:r w:rsidR="00DB52C9" w:rsidRPr="00074335">
        <w:t xml:space="preserve">senatori </w:t>
      </w:r>
      <w:r w:rsidR="00703525" w:rsidRPr="00074335">
        <w:t>Ermīns Darapoļskis</w:t>
      </w:r>
      <w:r w:rsidR="0027724C" w:rsidRPr="00074335">
        <w:t xml:space="preserve"> un </w:t>
      </w:r>
      <w:r w:rsidR="00703525" w:rsidRPr="00074335">
        <w:t>Rudīte Vīduša</w:t>
      </w:r>
    </w:p>
    <w:p w14:paraId="0959EC8F" w14:textId="77777777" w:rsidR="00DB52C9" w:rsidRDefault="00DB52C9" w:rsidP="001C458C">
      <w:pPr>
        <w:spacing w:line="276" w:lineRule="auto"/>
        <w:ind w:firstLine="720"/>
        <w:jc w:val="both"/>
      </w:pPr>
    </w:p>
    <w:p w14:paraId="59D4CCCA" w14:textId="6EF282FB" w:rsidR="00DB52C9" w:rsidRDefault="00DB52C9" w:rsidP="001C458C">
      <w:pPr>
        <w:spacing w:line="276" w:lineRule="auto"/>
        <w:ind w:firstLine="720"/>
        <w:jc w:val="both"/>
      </w:pPr>
      <w:r w:rsidRPr="00DB52C9">
        <w:t>rakstveida procesā</w:t>
      </w:r>
      <w:r>
        <w:t xml:space="preserve"> izskatīja </w:t>
      </w:r>
      <w:r w:rsidR="00321249">
        <w:t>SIA</w:t>
      </w:r>
      <w:r w:rsidR="00851F80">
        <w:t xml:space="preserve"> „</w:t>
      </w:r>
      <w:r w:rsidR="00F4769C">
        <w:t>TOI TOI Latvija</w:t>
      </w:r>
      <w:r w:rsidR="00851F80">
        <w:t>”</w:t>
      </w:r>
      <w:r w:rsidR="0027724C">
        <w:t xml:space="preserve"> </w:t>
      </w:r>
      <w:r w:rsidR="008D63CE">
        <w:t xml:space="preserve">blakus </w:t>
      </w:r>
      <w:r w:rsidR="0027724C">
        <w:t xml:space="preserve">sūdzību </w:t>
      </w:r>
      <w:r w:rsidR="0027724C" w:rsidRPr="0027724C">
        <w:t xml:space="preserve">par Administratīvās rajona tiesas </w:t>
      </w:r>
      <w:r w:rsidR="00AC340D">
        <w:t>tiesne</w:t>
      </w:r>
      <w:r w:rsidR="009369CA">
        <w:t>ša</w:t>
      </w:r>
      <w:r w:rsidR="00AC340D">
        <w:t xml:space="preserve"> </w:t>
      </w:r>
      <w:r w:rsidR="0027724C" w:rsidRPr="0027724C">
        <w:t>202</w:t>
      </w:r>
      <w:r w:rsidR="00F4769C">
        <w:t>4</w:t>
      </w:r>
      <w:r w:rsidR="0027724C" w:rsidRPr="0027724C">
        <w:t xml:space="preserve">.gada </w:t>
      </w:r>
      <w:r w:rsidR="00F4769C">
        <w:t>23</w:t>
      </w:r>
      <w:r w:rsidR="0027724C" w:rsidRPr="0027724C">
        <w:t>.</w:t>
      </w:r>
      <w:r w:rsidR="00F4769C">
        <w:t>aprīļa</w:t>
      </w:r>
      <w:r w:rsidR="0027724C" w:rsidRPr="0027724C">
        <w:t xml:space="preserve"> lēmumu par </w:t>
      </w:r>
      <w:r w:rsidR="000C6FA6">
        <w:t>atteikšanos pieņemt pieteikumu</w:t>
      </w:r>
      <w:r w:rsidRPr="00DB52C9">
        <w:t>.</w:t>
      </w:r>
    </w:p>
    <w:p w14:paraId="53C14CFB" w14:textId="77777777" w:rsidR="00DB52C9" w:rsidRDefault="00DB52C9" w:rsidP="001C458C">
      <w:pPr>
        <w:spacing w:line="276" w:lineRule="auto"/>
        <w:ind w:firstLine="720"/>
        <w:jc w:val="both"/>
        <w:rPr>
          <w:lang w:eastAsia="lv-LV"/>
        </w:rPr>
      </w:pPr>
    </w:p>
    <w:p w14:paraId="12882064" w14:textId="77777777" w:rsidR="00447EE6" w:rsidRDefault="00447EE6" w:rsidP="001C458C">
      <w:pPr>
        <w:spacing w:line="276" w:lineRule="auto"/>
        <w:jc w:val="center"/>
        <w:rPr>
          <w:b/>
          <w:shd w:val="clear" w:color="auto" w:fill="FFFFFF"/>
        </w:rPr>
      </w:pPr>
      <w:r w:rsidRPr="00011547">
        <w:rPr>
          <w:b/>
          <w:shd w:val="clear" w:color="auto" w:fill="FFFFFF"/>
        </w:rPr>
        <w:t>Aprakstošā daļa</w:t>
      </w:r>
    </w:p>
    <w:p w14:paraId="1E9C8378" w14:textId="77777777" w:rsidR="00DB52C9" w:rsidRPr="00011547" w:rsidRDefault="00DB52C9" w:rsidP="001C458C">
      <w:pPr>
        <w:spacing w:line="276" w:lineRule="auto"/>
        <w:jc w:val="center"/>
        <w:rPr>
          <w:shd w:val="clear" w:color="auto" w:fill="FFFFFF"/>
        </w:rPr>
      </w:pPr>
    </w:p>
    <w:p w14:paraId="3AF02B14" w14:textId="1E00A229" w:rsidR="00A36F02" w:rsidRPr="00A36F02" w:rsidRDefault="00447EE6" w:rsidP="001C458C">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2D20">
        <w:rPr>
          <w:shd w:val="clear" w:color="auto" w:fill="FFFFFF"/>
        </w:rPr>
        <w:t> </w:t>
      </w:r>
      <w:r w:rsidR="00353FAE">
        <w:rPr>
          <w:shd w:val="clear" w:color="auto" w:fill="FFFFFF"/>
        </w:rPr>
        <w:t>Rīgas valstspilsētas pašvaldības Pilsētas attīstības departamenta (turpmāk</w:t>
      </w:r>
      <w:r w:rsidR="00810C95">
        <w:rPr>
          <w:shd w:val="clear" w:color="auto" w:fill="FFFFFF"/>
        </w:rPr>
        <w:t> </w:t>
      </w:r>
      <w:r w:rsidR="00353FAE">
        <w:rPr>
          <w:shd w:val="clear" w:color="auto" w:fill="FFFFFF"/>
        </w:rPr>
        <w:t>–</w:t>
      </w:r>
      <w:r w:rsidR="00810C95">
        <w:rPr>
          <w:shd w:val="clear" w:color="auto" w:fill="FFFFFF"/>
        </w:rPr>
        <w:t> </w:t>
      </w:r>
      <w:r w:rsidR="00353FAE">
        <w:rPr>
          <w:shd w:val="clear" w:color="auto" w:fill="FFFFFF"/>
        </w:rPr>
        <w:t>departaments) būvinspektors 2023.gada 28.decembrī ar atzinumu par būves pārbaudi Nr. BIS-BV-19.9-2023-6482 (turpmāk – atzinums)</w:t>
      </w:r>
      <w:r w:rsidR="00B062D9">
        <w:rPr>
          <w:shd w:val="clear" w:color="auto" w:fill="FFFFFF"/>
        </w:rPr>
        <w:t>, p</w:t>
      </w:r>
      <w:r w:rsidR="00B062D9" w:rsidRPr="00767535">
        <w:t xml:space="preserve">amatojoties uz Būvniecības likuma 21.panta otro daļu, pieteicējai </w:t>
      </w:r>
      <w:r w:rsidR="00B062D9">
        <w:rPr>
          <w:shd w:val="clear" w:color="auto" w:fill="FFFFFF"/>
        </w:rPr>
        <w:t xml:space="preserve">SIA „TOI TOI Latvija” </w:t>
      </w:r>
      <w:r w:rsidR="00B062D9" w:rsidRPr="00767535">
        <w:t>not</w:t>
      </w:r>
      <w:r w:rsidR="00B062D9">
        <w:t>eica</w:t>
      </w:r>
      <w:r w:rsidR="00B062D9" w:rsidRPr="00767535">
        <w:t xml:space="preserve"> pienākum</w:t>
      </w:r>
      <w:r w:rsidR="00B062D9">
        <w:t>u</w:t>
      </w:r>
      <w:r w:rsidR="00B062D9" w:rsidRPr="00767535">
        <w:t xml:space="preserve"> nekavējoties pārtraukt nojumju izmantošanu (ekspluatāciju) līdz to pieņemšanai ekspluatācijā.</w:t>
      </w:r>
      <w:r w:rsidR="00B062D9">
        <w:t xml:space="preserve"> Pieteicēja minēto atzinumu apstrīdēja departamentā, </w:t>
      </w:r>
      <w:r w:rsidR="00810C95">
        <w:rPr>
          <w:shd w:val="clear" w:color="auto" w:fill="FFFFFF"/>
        </w:rPr>
        <w:t xml:space="preserve">taču departaments </w:t>
      </w:r>
      <w:r w:rsidR="00353FAE" w:rsidRPr="00810C95">
        <w:rPr>
          <w:shd w:val="clear" w:color="auto" w:fill="FFFFFF"/>
        </w:rPr>
        <w:t xml:space="preserve">ar 2024.gada 22.marta lēmumu Nr. DA-24-7450 (turpmāk – lēmums) </w:t>
      </w:r>
      <w:r w:rsidR="00810C95">
        <w:rPr>
          <w:shd w:val="clear" w:color="auto" w:fill="FFFFFF"/>
        </w:rPr>
        <w:t>atzinumu atstāja negrozītu.</w:t>
      </w:r>
    </w:p>
    <w:p w14:paraId="07DED5FF" w14:textId="3065408A" w:rsidR="00CF5391" w:rsidRDefault="00CF5391" w:rsidP="001C458C">
      <w:pPr>
        <w:pStyle w:val="NormalWeb"/>
        <w:shd w:val="clear" w:color="auto" w:fill="FFFFFF"/>
        <w:spacing w:before="0" w:beforeAutospacing="0" w:after="0" w:afterAutospacing="0" w:line="276" w:lineRule="auto"/>
        <w:ind w:firstLine="720"/>
        <w:jc w:val="both"/>
        <w:rPr>
          <w:shd w:val="clear" w:color="auto" w:fill="FFFFFF"/>
        </w:rPr>
      </w:pPr>
    </w:p>
    <w:p w14:paraId="728BF1ED" w14:textId="0BCF98E3" w:rsidR="00A36F02" w:rsidRDefault="009F37F0" w:rsidP="001C458C">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B544C0">
        <w:rPr>
          <w:shd w:val="clear" w:color="auto" w:fill="FFFFFF"/>
        </w:rPr>
        <w:t> </w:t>
      </w:r>
      <w:r w:rsidR="006E07CA">
        <w:rPr>
          <w:shd w:val="clear" w:color="auto" w:fill="FFFFFF"/>
        </w:rPr>
        <w:t>Pieteicēj</w:t>
      </w:r>
      <w:r w:rsidR="009C2B2E">
        <w:rPr>
          <w:shd w:val="clear" w:color="auto" w:fill="FFFFFF"/>
        </w:rPr>
        <w:t>a</w:t>
      </w:r>
      <w:r w:rsidR="006E07CA">
        <w:rPr>
          <w:shd w:val="clear" w:color="auto" w:fill="FFFFFF"/>
        </w:rPr>
        <w:t xml:space="preserve"> vērsās Administratīvajā rajona tiesā ar pieteikumu</w:t>
      </w:r>
      <w:r w:rsidR="009369CA">
        <w:rPr>
          <w:shd w:val="clear" w:color="auto" w:fill="FFFFFF"/>
        </w:rPr>
        <w:t xml:space="preserve"> un lūdza</w:t>
      </w:r>
      <w:r w:rsidR="00493905">
        <w:rPr>
          <w:shd w:val="clear" w:color="auto" w:fill="FFFFFF"/>
        </w:rPr>
        <w:t xml:space="preserve"> atcelt departamenta lēmumu.</w:t>
      </w:r>
    </w:p>
    <w:p w14:paraId="68BBCB99" w14:textId="77777777" w:rsidR="004C7048" w:rsidRDefault="004C7048" w:rsidP="001C458C">
      <w:pPr>
        <w:pStyle w:val="NormalWeb"/>
        <w:shd w:val="clear" w:color="auto" w:fill="FFFFFF"/>
        <w:spacing w:before="0" w:beforeAutospacing="0" w:after="0" w:afterAutospacing="0" w:line="276" w:lineRule="auto"/>
        <w:ind w:firstLine="720"/>
        <w:jc w:val="both"/>
        <w:rPr>
          <w:shd w:val="clear" w:color="auto" w:fill="FFFFFF"/>
        </w:rPr>
      </w:pPr>
    </w:p>
    <w:p w14:paraId="16AA8D3D" w14:textId="3A93D16D" w:rsidR="005A2D20" w:rsidRPr="006968B0" w:rsidRDefault="005A2D20" w:rsidP="001C458C">
      <w:pPr>
        <w:pStyle w:val="NormalWeb"/>
        <w:shd w:val="clear" w:color="auto" w:fill="FFFFFF"/>
        <w:spacing w:before="0" w:beforeAutospacing="0" w:after="0" w:afterAutospacing="0" w:line="276" w:lineRule="auto"/>
        <w:ind w:firstLine="720"/>
        <w:jc w:val="both"/>
      </w:pPr>
      <w:r w:rsidRPr="006968B0">
        <w:t>[</w:t>
      </w:r>
      <w:r w:rsidR="00D85735" w:rsidRPr="006968B0">
        <w:t>3</w:t>
      </w:r>
      <w:r w:rsidRPr="006968B0">
        <w:t xml:space="preserve">] Ar Administratīvās rajona tiesas </w:t>
      </w:r>
      <w:r w:rsidR="00FF4437" w:rsidRPr="006968B0">
        <w:t>tiesne</w:t>
      </w:r>
      <w:r w:rsidR="009369CA">
        <w:t>ša</w:t>
      </w:r>
      <w:r w:rsidR="00C515F1">
        <w:t xml:space="preserve"> </w:t>
      </w:r>
      <w:r w:rsidR="00FF4437" w:rsidRPr="006968B0">
        <w:t>lēmumu</w:t>
      </w:r>
      <w:r w:rsidR="00581534" w:rsidRPr="006968B0">
        <w:t xml:space="preserve"> </w:t>
      </w:r>
      <w:r w:rsidR="00211CEF" w:rsidRPr="006968B0">
        <w:t>pieteikumu atteikts pieņemt</w:t>
      </w:r>
      <w:r w:rsidR="009369CA">
        <w:t>, pamatojoties uz Administratīvā procesa likuma 1</w:t>
      </w:r>
      <w:r w:rsidR="00FB303E">
        <w:t>9</w:t>
      </w:r>
      <w:r w:rsidR="009369CA">
        <w:t>1.panta pirmās daļas 1.punktu</w:t>
      </w:r>
      <w:r w:rsidRPr="006968B0">
        <w:t xml:space="preserve">. </w:t>
      </w:r>
      <w:r w:rsidR="00211CEF" w:rsidRPr="006968B0">
        <w:t>L</w:t>
      </w:r>
      <w:r w:rsidR="00581534" w:rsidRPr="006968B0">
        <w:t xml:space="preserve">ēmums </w:t>
      </w:r>
      <w:r w:rsidRPr="006968B0">
        <w:t>pamatots ar turpmāk minētajiem argumentiem.</w:t>
      </w:r>
    </w:p>
    <w:p w14:paraId="71FAEC7C" w14:textId="5A7BB4AD" w:rsidR="00B83B09" w:rsidRDefault="00B83B09" w:rsidP="001C458C">
      <w:pPr>
        <w:pStyle w:val="NormalWeb"/>
        <w:shd w:val="clear" w:color="auto" w:fill="FFFFFF"/>
        <w:spacing w:before="0" w:beforeAutospacing="0" w:after="0" w:afterAutospacing="0" w:line="276" w:lineRule="auto"/>
        <w:ind w:firstLine="720"/>
        <w:jc w:val="both"/>
      </w:pPr>
      <w:r w:rsidRPr="006968B0">
        <w:t>[3.1] </w:t>
      </w:r>
      <w:r w:rsidR="00B062D9">
        <w:t>A</w:t>
      </w:r>
      <w:r w:rsidR="009C2B2E">
        <w:t xml:space="preserve">tzinumā pēc būtības ir </w:t>
      </w:r>
      <w:r w:rsidR="007C3FE9">
        <w:t xml:space="preserve">ietverta informējoša norāde par pienākumu pieteicējai ievērot likumā noteiktu aizliegumu </w:t>
      </w:r>
      <w:r w:rsidR="004D1D22">
        <w:t>izmantot būvi līdz tās nodošanai ekspluatācijā</w:t>
      </w:r>
      <w:r w:rsidR="00B062D9">
        <w:t>. Līdz ar to</w:t>
      </w:r>
      <w:r w:rsidR="009C2B2E">
        <w:t xml:space="preserve"> </w:t>
      </w:r>
      <w:r w:rsidR="009C2B2E">
        <w:lastRenderedPageBreak/>
        <w:t xml:space="preserve">atzinums tiesiskās sekas pieteicējai nerada. Arī tad, ja atzinums netiktu izdots, pieteicējai būtu no Būvniecības likuma izrietošs aizliegums </w:t>
      </w:r>
      <w:r w:rsidR="00D47431">
        <w:t>izmantot</w:t>
      </w:r>
      <w:r w:rsidR="009C2B2E">
        <w:t xml:space="preserve"> nojumes.</w:t>
      </w:r>
    </w:p>
    <w:p w14:paraId="1B3AED8D" w14:textId="2FE84D26" w:rsidR="00B200C5" w:rsidRDefault="009C2B2E" w:rsidP="001C458C">
      <w:pPr>
        <w:pStyle w:val="NormalWeb"/>
        <w:shd w:val="clear" w:color="auto" w:fill="FFFFFF"/>
        <w:spacing w:before="0" w:beforeAutospacing="0" w:after="0" w:afterAutospacing="0" w:line="276" w:lineRule="auto"/>
        <w:ind w:firstLine="720"/>
        <w:jc w:val="both"/>
      </w:pPr>
      <w:r>
        <w:t>[3.2] </w:t>
      </w:r>
      <w:r w:rsidR="00B200C5">
        <w:t>Apstāklis, ka atzinumā ietverta norāde uz iespējamu administratīvā pārkāpuma procesa uzsākšanu, pat</w:t>
      </w:r>
      <w:r w:rsidR="004D1D22">
        <w:t>s</w:t>
      </w:r>
      <w:r w:rsidR="00B200C5">
        <w:t xml:space="preserve"> par sevi neliecina, ka atzinums radītu pieteicējai galīga rakstura tiesiskas sekas. Uzsākot administratīvā pārkāpuma procesu, tā ietvaros arī varētu tikt risinā</w:t>
      </w:r>
      <w:r w:rsidR="004D1D22">
        <w:t>t</w:t>
      </w:r>
      <w:r w:rsidR="00B200C5">
        <w:t>s jautājums, kuru pieteicēja apstrīd pieteikumā, proti, vai pieteicēja ir uzskatāma par nojumju lietotāju.</w:t>
      </w:r>
    </w:p>
    <w:p w14:paraId="770CBCBC" w14:textId="77777777" w:rsidR="00D706C9" w:rsidRDefault="00C9572D" w:rsidP="001C458C">
      <w:pPr>
        <w:pStyle w:val="NormalWeb"/>
        <w:shd w:val="clear" w:color="auto" w:fill="FFFFFF"/>
        <w:spacing w:before="0" w:beforeAutospacing="0" w:after="0" w:afterAutospacing="0" w:line="276" w:lineRule="auto"/>
        <w:ind w:firstLine="720"/>
        <w:jc w:val="both"/>
      </w:pPr>
      <w:r>
        <w:t>[3.3]</w:t>
      </w:r>
      <w:r w:rsidR="007C3FE9">
        <w:t> </w:t>
      </w:r>
      <w:r w:rsidR="00B062D9">
        <w:t>Tā kā</w:t>
      </w:r>
      <w:r w:rsidR="00B200C5">
        <w:t xml:space="preserve"> </w:t>
      </w:r>
      <w:r>
        <w:t>neizpildās administratīvā akta pazīme</w:t>
      </w:r>
      <w:r w:rsidR="00E05336">
        <w:t xml:space="preserve"> par tiesisko seku radīšanu,</w:t>
      </w:r>
      <w:r>
        <w:t xml:space="preserve"> pārsūdzētais lēmums nav administratīvais akts</w:t>
      </w:r>
      <w:r w:rsidR="00B062D9">
        <w:t xml:space="preserve">. Līdz ar to </w:t>
      </w:r>
      <w:r>
        <w:t>lieta nav izskatāma administratīvā procesa kārtībā</w:t>
      </w:r>
      <w:r w:rsidR="007C3FE9">
        <w:t>.</w:t>
      </w:r>
    </w:p>
    <w:p w14:paraId="377FEE3C" w14:textId="77777777" w:rsidR="00D706C9" w:rsidRDefault="00D706C9" w:rsidP="001C458C">
      <w:pPr>
        <w:pStyle w:val="NormalWeb"/>
        <w:shd w:val="clear" w:color="auto" w:fill="FFFFFF"/>
        <w:spacing w:before="0" w:beforeAutospacing="0" w:after="0" w:afterAutospacing="0" w:line="276" w:lineRule="auto"/>
        <w:ind w:firstLine="720"/>
        <w:jc w:val="both"/>
      </w:pPr>
    </w:p>
    <w:p w14:paraId="242E7565" w14:textId="77777777" w:rsidR="00D706C9" w:rsidRDefault="005A2D20" w:rsidP="001C458C">
      <w:pPr>
        <w:pStyle w:val="NormalWeb"/>
        <w:shd w:val="clear" w:color="auto" w:fill="FFFFFF"/>
        <w:spacing w:before="0" w:beforeAutospacing="0" w:after="0" w:afterAutospacing="0" w:line="276" w:lineRule="auto"/>
        <w:ind w:firstLine="720"/>
        <w:jc w:val="both"/>
      </w:pPr>
      <w:r w:rsidRPr="00C41B73">
        <w:t>[</w:t>
      </w:r>
      <w:r w:rsidR="00A84D24" w:rsidRPr="00C41B73">
        <w:t>4</w:t>
      </w:r>
      <w:r w:rsidRPr="00C41B73">
        <w:t>]</w:t>
      </w:r>
      <w:r w:rsidR="007D4DEA" w:rsidRPr="00C41B73">
        <w:t> </w:t>
      </w:r>
      <w:r w:rsidRPr="00C41B73">
        <w:t>Pieteicēj</w:t>
      </w:r>
      <w:r w:rsidR="00C14A49" w:rsidRPr="00C41B73">
        <w:t>a</w:t>
      </w:r>
      <w:r w:rsidRPr="00C41B73">
        <w:t xml:space="preserve"> par rajona tiesas </w:t>
      </w:r>
      <w:r w:rsidR="00C14A49" w:rsidRPr="00C41B73">
        <w:t>tiesne</w:t>
      </w:r>
      <w:r w:rsidR="009369CA">
        <w:t>ša</w:t>
      </w:r>
      <w:r w:rsidRPr="00C41B73">
        <w:t xml:space="preserve"> </w:t>
      </w:r>
      <w:r w:rsidR="00CE65F6" w:rsidRPr="00C41B73">
        <w:t>lēmum</w:t>
      </w:r>
      <w:r w:rsidR="001B006A" w:rsidRPr="00C41B73">
        <w:t xml:space="preserve">u </w:t>
      </w:r>
      <w:r w:rsidRPr="00C41B73">
        <w:t>iesniedza blakus sūdzību</w:t>
      </w:r>
      <w:r w:rsidR="000C0958" w:rsidRPr="00C41B73">
        <w:t>. Blakus sūdzībā norādīts turpmāk minētais</w:t>
      </w:r>
      <w:r w:rsidR="00D706C9">
        <w:t>.</w:t>
      </w:r>
    </w:p>
    <w:p w14:paraId="689B96EC" w14:textId="77777777" w:rsidR="00D706C9" w:rsidRDefault="00D706C9" w:rsidP="001C458C">
      <w:pPr>
        <w:pStyle w:val="NormalWeb"/>
        <w:shd w:val="clear" w:color="auto" w:fill="FFFFFF"/>
        <w:spacing w:before="0" w:beforeAutospacing="0" w:after="0" w:afterAutospacing="0" w:line="276" w:lineRule="auto"/>
        <w:ind w:firstLine="720"/>
        <w:jc w:val="both"/>
      </w:pPr>
      <w:r>
        <w:rPr>
          <w:shd w:val="clear" w:color="auto" w:fill="FFFFFF"/>
        </w:rPr>
        <w:t xml:space="preserve">[4.1] Atzinums ir administratīvais akts, jo ar to pieteicējai noteikts tiesisks pienākums pārtraukt būvju izmantošanu, lai gan pieteicējas rīcībā nav </w:t>
      </w:r>
      <w:r w:rsidRPr="007A6BFF">
        <w:t>informācijas,</w:t>
      </w:r>
      <w:r>
        <w:t xml:space="preserve"> vai šādam atzinumā noteiktam pienākumam ir tiesisks pamats (vai būves nav nodotas ekspluatācijā).</w:t>
      </w:r>
    </w:p>
    <w:p w14:paraId="3AEFED75" w14:textId="4D8C5E6B" w:rsidR="00D706C9" w:rsidRDefault="00D706C9" w:rsidP="001C458C">
      <w:pPr>
        <w:pStyle w:val="NormalWeb"/>
        <w:shd w:val="clear" w:color="auto" w:fill="FFFFFF"/>
        <w:spacing w:before="0" w:beforeAutospacing="0" w:after="0" w:afterAutospacing="0" w:line="276" w:lineRule="auto"/>
        <w:ind w:firstLine="720"/>
        <w:jc w:val="both"/>
      </w:pPr>
      <w:r>
        <w:t xml:space="preserve">[4.2] Lai arī </w:t>
      </w:r>
      <w:r w:rsidRPr="00111D3C">
        <w:t>aizliegumu izmantot būvi līdz tās pieņemšanai ekspluatācijā nosaka Būvniecības likums,</w:t>
      </w:r>
      <w:r>
        <w:t xml:space="preserve"> tomēr tiesiskais pienākums nekavējoties pārtraukt būvju izmantošanu pieteicējai noteikts ar atzinumu, kaut arī pieteicēja nav Būvniecības likumā noteikts subjekts, kam šādu pienākumu varētu noteikt. Tāpēc </w:t>
      </w:r>
      <w:r w:rsidR="00EF68DA">
        <w:t>tas</w:t>
      </w:r>
      <w:r>
        <w:t>, vai ar atzinumu pieteicējai varēja noteikt pienākumu nekavējoties pārtraukt būvju izmantošanu</w:t>
      </w:r>
      <w:r>
        <w:rPr>
          <w:b/>
        </w:rPr>
        <w:t xml:space="preserve">, </w:t>
      </w:r>
      <w:r>
        <w:t>ir pārbaudāms administratīvā procesa kārtībā.</w:t>
      </w:r>
    </w:p>
    <w:p w14:paraId="12B67C35" w14:textId="0F2B44BC" w:rsidR="00D706C9" w:rsidRPr="00D706C9" w:rsidRDefault="00D706C9" w:rsidP="001C458C">
      <w:pPr>
        <w:pStyle w:val="NormalWeb"/>
        <w:shd w:val="clear" w:color="auto" w:fill="FFFFFF"/>
        <w:spacing w:before="0" w:beforeAutospacing="0" w:after="0" w:afterAutospacing="0" w:line="276" w:lineRule="auto"/>
        <w:ind w:firstLine="720"/>
        <w:jc w:val="both"/>
      </w:pPr>
      <w:r>
        <w:t xml:space="preserve">[4.3] Turklāt </w:t>
      </w:r>
      <w:r w:rsidRPr="007E05E8">
        <w:t xml:space="preserve">iestāde saskaņā ar Administratīvā procesa likuma 360.pantu var veikt </w:t>
      </w:r>
      <w:r>
        <w:t>a</w:t>
      </w:r>
      <w:r w:rsidRPr="007E05E8">
        <w:t xml:space="preserve">tzinumā noteiktā pienākuma piespiedu izpildi. Iestāde </w:t>
      </w:r>
      <w:r>
        <w:t>a</w:t>
      </w:r>
      <w:r w:rsidRPr="007E05E8">
        <w:t>tzinumu atzīst par administratīvo aktu, par ko liecina norāde par tā apstrīdēšanu</w:t>
      </w:r>
      <w:r>
        <w:t xml:space="preserve"> Administratīvā procesa likumā noteiktajā kārtībā.</w:t>
      </w:r>
    </w:p>
    <w:p w14:paraId="114DDAB2" w14:textId="77777777" w:rsidR="00C46DDF" w:rsidRDefault="00C46DDF" w:rsidP="001C458C">
      <w:pPr>
        <w:pStyle w:val="NormalWeb"/>
        <w:shd w:val="clear" w:color="auto" w:fill="FFFFFF"/>
        <w:spacing w:before="0" w:beforeAutospacing="0" w:after="0" w:afterAutospacing="0" w:line="276" w:lineRule="auto"/>
        <w:ind w:firstLine="720"/>
        <w:jc w:val="both"/>
      </w:pPr>
    </w:p>
    <w:p w14:paraId="7DAF7841" w14:textId="77777777" w:rsidR="00447EE6" w:rsidRDefault="00447EE6" w:rsidP="001C458C">
      <w:pPr>
        <w:shd w:val="clear" w:color="auto" w:fill="FFFFFF"/>
        <w:spacing w:line="276" w:lineRule="auto"/>
        <w:jc w:val="center"/>
        <w:rPr>
          <w:b/>
        </w:rPr>
      </w:pPr>
      <w:r w:rsidRPr="00011547">
        <w:rPr>
          <w:b/>
        </w:rPr>
        <w:t>Motīvu daļa</w:t>
      </w:r>
    </w:p>
    <w:p w14:paraId="752ACF96" w14:textId="77777777" w:rsidR="00306235" w:rsidRPr="00011547" w:rsidRDefault="00306235" w:rsidP="001C458C">
      <w:pPr>
        <w:spacing w:line="276" w:lineRule="auto"/>
      </w:pPr>
    </w:p>
    <w:p w14:paraId="2E266CB4" w14:textId="0AA37C06" w:rsidR="00871589" w:rsidRDefault="00491E56" w:rsidP="001C458C">
      <w:pPr>
        <w:spacing w:line="276" w:lineRule="auto"/>
        <w:ind w:firstLine="720"/>
        <w:jc w:val="both"/>
        <w:rPr>
          <w:shd w:val="clear" w:color="auto" w:fill="FFFFFF" w:themeFill="background1"/>
        </w:rPr>
      </w:pPr>
      <w:r>
        <w:rPr>
          <w:shd w:val="clear" w:color="auto" w:fill="FFFFFF" w:themeFill="background1"/>
        </w:rPr>
        <w:t>[</w:t>
      </w:r>
      <w:r w:rsidR="00EA5580">
        <w:rPr>
          <w:shd w:val="clear" w:color="auto" w:fill="FFFFFF" w:themeFill="background1"/>
        </w:rPr>
        <w:t>5</w:t>
      </w:r>
      <w:r>
        <w:rPr>
          <w:shd w:val="clear" w:color="auto" w:fill="FFFFFF" w:themeFill="background1"/>
        </w:rPr>
        <w:t>]</w:t>
      </w:r>
      <w:r w:rsidR="00871589">
        <w:rPr>
          <w:shd w:val="clear" w:color="auto" w:fill="FFFFFF" w:themeFill="background1"/>
        </w:rPr>
        <w:t> Rajona tiesas tiesnesis atteicies pieņemt pieteikumu, secinot, ka pārsūdzētais lēmums nav administratīvais akts, jo tas nerada tiesiskas sekas. Proti, aizliegums izmantot būvi līdz tās nodošanai ekspluatācijā izriet no Būvniecības likuma, un atzinumā ietverta vienīgi informējoša norāde ievērot minēto likumā noteikto aizliegumu.</w:t>
      </w:r>
    </w:p>
    <w:p w14:paraId="058F65E1" w14:textId="15085C5D" w:rsidR="00871589" w:rsidRDefault="00871589" w:rsidP="001C458C">
      <w:pPr>
        <w:spacing w:line="276" w:lineRule="auto"/>
        <w:ind w:firstLine="720"/>
        <w:jc w:val="both"/>
        <w:rPr>
          <w:shd w:val="clear" w:color="auto" w:fill="FFFFFF" w:themeFill="background1"/>
        </w:rPr>
      </w:pPr>
      <w:r>
        <w:rPr>
          <w:shd w:val="clear" w:color="auto" w:fill="FFFFFF" w:themeFill="background1"/>
        </w:rPr>
        <w:t xml:space="preserve">Pieteicēja šādam rajona tiesas tiesneša secinājumam nepiekrīt, uzskatot, ka atzinums ir administratīvais akts, jo tieši ar to pieteicējai noteikts tiesisks pienākums pārtraukt būvju izmantošanu. No blakus sūdzības </w:t>
      </w:r>
      <w:r w:rsidR="003A3838">
        <w:rPr>
          <w:shd w:val="clear" w:color="auto" w:fill="FFFFFF" w:themeFill="background1"/>
        </w:rPr>
        <w:t xml:space="preserve">saprotams, ka pieteicējas ieskatā </w:t>
      </w:r>
      <w:r>
        <w:rPr>
          <w:shd w:val="clear" w:color="auto" w:fill="FFFFFF" w:themeFill="background1"/>
        </w:rPr>
        <w:t xml:space="preserve">uz pieteicēju Būvniecības likumā paredzētais aizliegums izmantot būvi līdz tās pieņemšanai ekspluatācijā neattiecas, </w:t>
      </w:r>
      <w:r w:rsidR="003A3838">
        <w:rPr>
          <w:shd w:val="clear" w:color="auto" w:fill="FFFFFF" w:themeFill="background1"/>
        </w:rPr>
        <w:t xml:space="preserve">jo tā nav Būvniecības likuma subjekts, </w:t>
      </w:r>
      <w:r>
        <w:rPr>
          <w:shd w:val="clear" w:color="auto" w:fill="FFFFFF" w:themeFill="background1"/>
        </w:rPr>
        <w:t xml:space="preserve">kā arī </w:t>
      </w:r>
      <w:r w:rsidR="003A3838">
        <w:rPr>
          <w:shd w:val="clear" w:color="auto" w:fill="FFFFFF" w:themeFill="background1"/>
        </w:rPr>
        <w:t>pieteicējai neesot informācijas par to, vai būves ir vai nav nodotas ekspluatācijā.</w:t>
      </w:r>
    </w:p>
    <w:p w14:paraId="271F701C" w14:textId="77777777" w:rsidR="003A3838" w:rsidRDefault="003A3838" w:rsidP="001C458C">
      <w:pPr>
        <w:spacing w:line="276" w:lineRule="auto"/>
        <w:ind w:firstLine="720"/>
        <w:jc w:val="both"/>
        <w:rPr>
          <w:shd w:val="clear" w:color="auto" w:fill="FFFFFF" w:themeFill="background1"/>
        </w:rPr>
      </w:pPr>
    </w:p>
    <w:p w14:paraId="0C520D7A" w14:textId="5F15A98C" w:rsidR="00C844BA" w:rsidRDefault="003A3838" w:rsidP="001C458C">
      <w:pPr>
        <w:spacing w:line="276" w:lineRule="auto"/>
        <w:ind w:firstLine="720"/>
        <w:jc w:val="both"/>
      </w:pPr>
      <w:r>
        <w:rPr>
          <w:shd w:val="clear" w:color="auto" w:fill="FFFFFF" w:themeFill="background1"/>
        </w:rPr>
        <w:t>[6] </w:t>
      </w:r>
      <w:r w:rsidR="00B6591C">
        <w:rPr>
          <w:shd w:val="clear" w:color="auto" w:fill="FFFFFF" w:themeFill="background1"/>
        </w:rPr>
        <w:t>Senāts atzīst, ka, ņ</w:t>
      </w:r>
      <w:r>
        <w:rPr>
          <w:shd w:val="clear" w:color="auto" w:fill="FFFFFF" w:themeFill="background1"/>
        </w:rPr>
        <w:t>emot vērā procesuāl</w:t>
      </w:r>
      <w:r w:rsidR="00251BE6">
        <w:rPr>
          <w:shd w:val="clear" w:color="auto" w:fill="FFFFFF" w:themeFill="background1"/>
        </w:rPr>
        <w:t>ās</w:t>
      </w:r>
      <w:r>
        <w:rPr>
          <w:shd w:val="clear" w:color="auto" w:fill="FFFFFF" w:themeFill="background1"/>
        </w:rPr>
        <w:t xml:space="preserve"> ekonomij</w:t>
      </w:r>
      <w:r w:rsidR="00251BE6">
        <w:rPr>
          <w:shd w:val="clear" w:color="auto" w:fill="FFFFFF" w:themeFill="background1"/>
        </w:rPr>
        <w:t>as principu</w:t>
      </w:r>
      <w:r>
        <w:rPr>
          <w:shd w:val="clear" w:color="auto" w:fill="FFFFFF" w:themeFill="background1"/>
        </w:rPr>
        <w:t xml:space="preserve">, </w:t>
      </w:r>
      <w:r w:rsidR="00B6591C" w:rsidRPr="00B6591C">
        <w:rPr>
          <w:shd w:val="clear" w:color="auto" w:fill="FFFFFF" w:themeFill="background1"/>
        </w:rPr>
        <w:t>konkrētajā gadījumā nav lietderīgi pievērsties pārsūdzētā lēmuma tiesiskās dabas analizēšanai</w:t>
      </w:r>
      <w:r w:rsidR="00B6591C">
        <w:rPr>
          <w:shd w:val="clear" w:color="auto" w:fill="FFFFFF" w:themeFill="background1"/>
        </w:rPr>
        <w:t>, jo</w:t>
      </w:r>
      <w:r>
        <w:rPr>
          <w:shd w:val="clear" w:color="auto" w:fill="FFFFFF" w:themeFill="background1"/>
        </w:rPr>
        <w:t xml:space="preserve"> neatkarīgi no pārsūdzētā lēmuma tiesiskās dabas </w:t>
      </w:r>
      <w:r>
        <w:t>ir acīmredzami nepamatoti pieteicējas apsvērumi, ka uz to neattiecas Būvniecības likuma 21.panta otrā daļa.</w:t>
      </w:r>
    </w:p>
    <w:p w14:paraId="4ED3E269" w14:textId="7B52FF12" w:rsidR="00C844BA" w:rsidRDefault="003A3838" w:rsidP="001C458C">
      <w:pPr>
        <w:spacing w:line="276" w:lineRule="auto"/>
        <w:ind w:firstLine="720"/>
        <w:jc w:val="both"/>
      </w:pPr>
      <w:r w:rsidRPr="00560D48">
        <w:t xml:space="preserve">Būvniecības likuma 21.panta otrā daļa, ar kuru pamatots </w:t>
      </w:r>
      <w:r>
        <w:t>atzinums</w:t>
      </w:r>
      <w:r w:rsidRPr="00560D48">
        <w:t xml:space="preserve">, noteic, ka būvi aizliegts izmantot līdz tās pieņemšanai ekspluatācijā, izņemot šā panta trešajā daļā minētos gadījumus. </w:t>
      </w:r>
      <w:r>
        <w:t xml:space="preserve">Minētā norma nosaka vispārīgu aizliegumu ekspluatēt būvi līdz tam brīdim, kad tā tiks nodota </w:t>
      </w:r>
      <w:r w:rsidRPr="00F30E82">
        <w:t>ekspluatācijā</w:t>
      </w:r>
      <w:r w:rsidR="002B73EF">
        <w:t>.</w:t>
      </w:r>
      <w:r w:rsidR="00251BE6">
        <w:t xml:space="preserve"> Šī</w:t>
      </w:r>
      <w:r w:rsidR="00845FD6">
        <w:t xml:space="preserve"> norma ir vērsta uz to, lai nodrošinātu būves lietošanas drošumu, proti, novērstu </w:t>
      </w:r>
      <w:r w:rsidR="00845FD6" w:rsidRPr="00845FD6">
        <w:t>cilvēku drošības apdraudējum</w:t>
      </w:r>
      <w:r w:rsidR="00845FD6">
        <w:t>u būves lietošanas gaitā. I</w:t>
      </w:r>
      <w:r w:rsidR="00845FD6" w:rsidRPr="002B73EF">
        <w:t xml:space="preserve">ekams kompetentā iestāde nav likumā noteiktajā kārtībā </w:t>
      </w:r>
      <w:r w:rsidR="00F86FB9">
        <w:t>pieņēmusi būvi ekspluatācijā</w:t>
      </w:r>
      <w:r w:rsidR="00845FD6" w:rsidRPr="002B73EF">
        <w:t xml:space="preserve">, nevar būt pārliecība, ka </w:t>
      </w:r>
      <w:r w:rsidR="00845FD6">
        <w:t>būve</w:t>
      </w:r>
      <w:r w:rsidR="00845FD6" w:rsidRPr="002B73EF">
        <w:t xml:space="preserve"> patiešām ir droša.</w:t>
      </w:r>
      <w:r w:rsidR="00845FD6">
        <w:t xml:space="preserve"> T</w:t>
      </w:r>
      <w:r w:rsidR="002B73EF">
        <w:t xml:space="preserve">ādēļ </w:t>
      </w:r>
      <w:r w:rsidR="00845FD6">
        <w:t>Būvniecības likuma 21.panta otrā daļa</w:t>
      </w:r>
      <w:r w:rsidR="002B73EF">
        <w:t xml:space="preserve"> attiecas uz ikvienu </w:t>
      </w:r>
      <w:r w:rsidR="00C844BA">
        <w:t xml:space="preserve">personu </w:t>
      </w:r>
      <w:r w:rsidR="002B73EF">
        <w:t xml:space="preserve">neatkarīgi no tā, vai </w:t>
      </w:r>
      <w:r w:rsidR="00C844BA">
        <w:t xml:space="preserve">attiecīgā </w:t>
      </w:r>
      <w:r w:rsidR="002B73EF">
        <w:t xml:space="preserve">persona ir </w:t>
      </w:r>
      <w:r w:rsidR="00C844BA">
        <w:t>konkrētā</w:t>
      </w:r>
      <w:r w:rsidR="002B73EF">
        <w:t xml:space="preserve"> būvniecības procesa dalībniece.</w:t>
      </w:r>
      <w:r w:rsidR="000B081D">
        <w:t xml:space="preserve"> </w:t>
      </w:r>
      <w:r w:rsidR="000B081D" w:rsidRPr="000B081D">
        <w:t xml:space="preserve">Senāts </w:t>
      </w:r>
      <w:r w:rsidR="0004223B">
        <w:t xml:space="preserve">arī </w:t>
      </w:r>
      <w:r w:rsidR="000B081D" w:rsidRPr="000B081D">
        <w:t>nesaskata pamatu apšaubīt iestādes norādīto, ka būve nav nodota ekspluatācijā.</w:t>
      </w:r>
    </w:p>
    <w:p w14:paraId="513B7337" w14:textId="72CA6CA3" w:rsidR="003A3838" w:rsidRDefault="00845FD6" w:rsidP="001C458C">
      <w:pPr>
        <w:spacing w:line="276" w:lineRule="auto"/>
        <w:ind w:firstLine="720"/>
        <w:jc w:val="both"/>
      </w:pPr>
      <w:r>
        <w:t>Tādējādi</w:t>
      </w:r>
      <w:r w:rsidR="003A3838">
        <w:t xml:space="preserve"> neatkarīgi no apsvērumiem par pārsūdzētā lēmuma tiesisko dabu </w:t>
      </w:r>
      <w:r w:rsidR="00C844BA">
        <w:t xml:space="preserve">pieteicējas </w:t>
      </w:r>
      <w:r w:rsidR="003A3838">
        <w:t>pieteikum</w:t>
      </w:r>
      <w:r w:rsidR="0004223B">
        <w:t>u</w:t>
      </w:r>
      <w:r w:rsidR="002B73EF">
        <w:t xml:space="preserve"> jebkurā gadījumā </w:t>
      </w:r>
      <w:r w:rsidR="003A3838">
        <w:t xml:space="preserve">būtu </w:t>
      </w:r>
      <w:r w:rsidR="0004223B">
        <w:t>jā</w:t>
      </w:r>
      <w:r w:rsidR="003A3838">
        <w:t>atsak</w:t>
      </w:r>
      <w:r w:rsidR="0004223B">
        <w:t xml:space="preserve">a </w:t>
      </w:r>
      <w:r w:rsidR="003A3838">
        <w:t>izskatīt kā acīmredzami nepamatotu (acīmredzami noraidāmu pēc būtības), pamatojoties uz Administratīvā procesa likuma 191.</w:t>
      </w:r>
      <w:r w:rsidR="003A3838" w:rsidRPr="00EA5580">
        <w:rPr>
          <w:vertAlign w:val="superscript"/>
        </w:rPr>
        <w:t>1</w:t>
      </w:r>
      <w:r w:rsidR="003A3838">
        <w:t>panta pirmo daļu.</w:t>
      </w:r>
    </w:p>
    <w:p w14:paraId="3FDCA84D" w14:textId="70BFEDA7" w:rsidR="003A3838" w:rsidRDefault="003A3838" w:rsidP="001C458C">
      <w:pPr>
        <w:spacing w:line="276" w:lineRule="auto"/>
        <w:ind w:firstLine="720"/>
        <w:jc w:val="both"/>
        <w:rPr>
          <w:shd w:val="clear" w:color="auto" w:fill="FFFFFF" w:themeFill="background1"/>
        </w:rPr>
      </w:pPr>
    </w:p>
    <w:p w14:paraId="0DB95866" w14:textId="77777777" w:rsidR="009369CA" w:rsidRPr="00566C01" w:rsidRDefault="009369CA" w:rsidP="001C458C">
      <w:pPr>
        <w:spacing w:line="276" w:lineRule="auto"/>
        <w:jc w:val="center"/>
        <w:rPr>
          <w:rFonts w:asciiTheme="majorBidi" w:hAnsiTheme="majorBidi" w:cstheme="majorBidi"/>
        </w:rPr>
      </w:pPr>
      <w:r w:rsidRPr="00566C01">
        <w:rPr>
          <w:rFonts w:asciiTheme="majorBidi" w:hAnsiTheme="majorBidi" w:cstheme="majorBidi"/>
          <w:b/>
        </w:rPr>
        <w:t>Rezolutīvā daļa</w:t>
      </w:r>
    </w:p>
    <w:p w14:paraId="1A80FCC7" w14:textId="77777777" w:rsidR="009369CA" w:rsidRPr="00566C01" w:rsidRDefault="009369CA" w:rsidP="001C458C">
      <w:pPr>
        <w:spacing w:line="276" w:lineRule="auto"/>
        <w:jc w:val="both"/>
        <w:rPr>
          <w:rFonts w:asciiTheme="majorBidi" w:hAnsiTheme="majorBidi" w:cstheme="majorBidi"/>
        </w:rPr>
      </w:pPr>
    </w:p>
    <w:p w14:paraId="616E1FDA" w14:textId="77777777" w:rsidR="009369CA" w:rsidRPr="00566C01" w:rsidRDefault="009369CA" w:rsidP="001C458C">
      <w:pPr>
        <w:spacing w:line="276" w:lineRule="auto"/>
        <w:ind w:firstLine="709"/>
        <w:jc w:val="both"/>
        <w:rPr>
          <w:rFonts w:asciiTheme="majorBidi" w:hAnsiTheme="majorBidi" w:cstheme="majorBidi"/>
        </w:rPr>
      </w:pPr>
      <w:r w:rsidRPr="00566C01">
        <w:rPr>
          <w:rFonts w:asciiTheme="majorBidi" w:hAnsiTheme="majorBidi" w:cstheme="majorBidi"/>
        </w:rPr>
        <w:t xml:space="preserve">Pamatojoties uz Administratīvā procesa likuma </w:t>
      </w:r>
      <w:r w:rsidRPr="00566C01">
        <w:rPr>
          <w:rFonts w:ascii="TimesNewRomanPSMT" w:hAnsi="TimesNewRomanPSMT" w:cs="TimesNewRomanPSMT"/>
        </w:rPr>
        <w:t>323.panta pirmās daļas 3.punktu un 324.panta</w:t>
      </w:r>
      <w:r w:rsidRPr="00566C01">
        <w:t xml:space="preserve"> </w:t>
      </w:r>
      <w:r w:rsidRPr="00566C01">
        <w:rPr>
          <w:rFonts w:ascii="TimesNewRomanPSMT" w:hAnsi="TimesNewRomanPSMT" w:cs="TimesNewRomanPSMT"/>
        </w:rPr>
        <w:t>pirmo daļu</w:t>
      </w:r>
      <w:r w:rsidRPr="00566C01">
        <w:rPr>
          <w:rFonts w:asciiTheme="majorBidi" w:hAnsiTheme="majorBidi" w:cstheme="majorBidi"/>
        </w:rPr>
        <w:t>, Senāts</w:t>
      </w:r>
    </w:p>
    <w:p w14:paraId="58C8EBEC" w14:textId="77777777" w:rsidR="009369CA" w:rsidRPr="00566C01" w:rsidRDefault="009369CA" w:rsidP="001C458C">
      <w:pPr>
        <w:spacing w:line="276" w:lineRule="auto"/>
        <w:jc w:val="both"/>
        <w:rPr>
          <w:rFonts w:asciiTheme="majorBidi" w:hAnsiTheme="majorBidi" w:cstheme="majorBidi"/>
        </w:rPr>
      </w:pPr>
    </w:p>
    <w:p w14:paraId="2F0FB4FF" w14:textId="77777777" w:rsidR="009369CA" w:rsidRPr="00566C01" w:rsidRDefault="009369CA" w:rsidP="001C458C">
      <w:pPr>
        <w:spacing w:line="276" w:lineRule="auto"/>
        <w:jc w:val="center"/>
        <w:rPr>
          <w:rFonts w:asciiTheme="majorBidi" w:hAnsiTheme="majorBidi" w:cstheme="majorBidi"/>
        </w:rPr>
      </w:pPr>
      <w:r w:rsidRPr="00566C01">
        <w:rPr>
          <w:rFonts w:asciiTheme="majorBidi" w:hAnsiTheme="majorBidi" w:cstheme="majorBidi"/>
          <w:b/>
        </w:rPr>
        <w:t>nolēma</w:t>
      </w:r>
    </w:p>
    <w:p w14:paraId="089F6292" w14:textId="77777777" w:rsidR="009369CA" w:rsidRPr="00566C01" w:rsidRDefault="009369CA" w:rsidP="001C458C">
      <w:pPr>
        <w:spacing w:line="276" w:lineRule="auto"/>
        <w:jc w:val="both"/>
        <w:rPr>
          <w:rFonts w:asciiTheme="majorBidi" w:hAnsiTheme="majorBidi" w:cstheme="majorBidi"/>
        </w:rPr>
      </w:pPr>
    </w:p>
    <w:p w14:paraId="65953CE6" w14:textId="08240435" w:rsidR="009369CA" w:rsidRPr="00566C01" w:rsidRDefault="009369CA" w:rsidP="001C458C">
      <w:pPr>
        <w:spacing w:line="276" w:lineRule="auto"/>
        <w:ind w:firstLine="709"/>
        <w:jc w:val="both"/>
        <w:rPr>
          <w:rFonts w:asciiTheme="majorBidi" w:hAnsiTheme="majorBidi" w:cstheme="majorBidi"/>
        </w:rPr>
      </w:pPr>
      <w:r w:rsidRPr="00566C01">
        <w:t xml:space="preserve">atstāt negrozītu Administratīvās rajona tiesas </w:t>
      </w:r>
      <w:r>
        <w:t xml:space="preserve">tiesneša </w:t>
      </w:r>
      <w:r w:rsidRPr="00566C01">
        <w:rPr>
          <w:rFonts w:asciiTheme="majorBidi" w:hAnsiTheme="majorBidi" w:cstheme="majorBidi"/>
        </w:rPr>
        <w:t>202</w:t>
      </w:r>
      <w:r>
        <w:rPr>
          <w:rFonts w:asciiTheme="majorBidi" w:hAnsiTheme="majorBidi" w:cstheme="majorBidi"/>
        </w:rPr>
        <w:t>4</w:t>
      </w:r>
      <w:r w:rsidRPr="00566C01">
        <w:rPr>
          <w:rFonts w:asciiTheme="majorBidi" w:hAnsiTheme="majorBidi" w:cstheme="majorBidi"/>
        </w:rPr>
        <w:t xml:space="preserve">.gada </w:t>
      </w:r>
      <w:r>
        <w:rPr>
          <w:rFonts w:asciiTheme="majorBidi" w:hAnsiTheme="majorBidi" w:cstheme="majorBidi"/>
        </w:rPr>
        <w:t>23</w:t>
      </w:r>
      <w:r w:rsidRPr="00566C01">
        <w:rPr>
          <w:rFonts w:asciiTheme="majorBidi" w:hAnsiTheme="majorBidi" w:cstheme="majorBidi"/>
        </w:rPr>
        <w:t>.</w:t>
      </w:r>
      <w:r>
        <w:rPr>
          <w:rFonts w:asciiTheme="majorBidi" w:hAnsiTheme="majorBidi" w:cstheme="majorBidi"/>
        </w:rPr>
        <w:t>aprīļa</w:t>
      </w:r>
      <w:r w:rsidRPr="00566C01">
        <w:rPr>
          <w:rFonts w:asciiTheme="majorBidi" w:hAnsiTheme="majorBidi" w:cstheme="majorBidi"/>
        </w:rPr>
        <w:t xml:space="preserve"> lēmumu, ar kuru </w:t>
      </w:r>
      <w:r>
        <w:rPr>
          <w:rFonts w:asciiTheme="majorBidi" w:hAnsiTheme="majorBidi" w:cstheme="majorBidi"/>
        </w:rPr>
        <w:t xml:space="preserve">atteikts pieņemts SIA „TOI TOI Latvija” pieteikumu, un SIA „TOI TOI Latvija” blakus sūdzību </w:t>
      </w:r>
      <w:r w:rsidRPr="00566C01">
        <w:rPr>
          <w:rFonts w:asciiTheme="majorBidi" w:hAnsiTheme="majorBidi" w:cstheme="majorBidi"/>
        </w:rPr>
        <w:t>noraidīt.</w:t>
      </w:r>
    </w:p>
    <w:p w14:paraId="294E36CC" w14:textId="77777777" w:rsidR="009369CA" w:rsidRPr="00566C01" w:rsidRDefault="009369CA" w:rsidP="001C458C">
      <w:pPr>
        <w:spacing w:line="276" w:lineRule="auto"/>
        <w:jc w:val="both"/>
        <w:rPr>
          <w:rFonts w:asciiTheme="majorBidi" w:hAnsiTheme="majorBidi" w:cstheme="majorBidi"/>
        </w:rPr>
      </w:pPr>
    </w:p>
    <w:p w14:paraId="3898F186" w14:textId="77777777" w:rsidR="009369CA" w:rsidRDefault="009369CA" w:rsidP="001C458C">
      <w:pPr>
        <w:spacing w:line="276" w:lineRule="auto"/>
        <w:ind w:firstLine="709"/>
        <w:jc w:val="both"/>
        <w:rPr>
          <w:rFonts w:asciiTheme="majorBidi" w:hAnsiTheme="majorBidi" w:cstheme="majorBidi"/>
        </w:rPr>
      </w:pPr>
      <w:r w:rsidRPr="00566C01">
        <w:rPr>
          <w:rFonts w:asciiTheme="majorBidi" w:hAnsiTheme="majorBidi" w:cstheme="majorBidi"/>
        </w:rPr>
        <w:t>Lēmums nav pārsūdzams.</w:t>
      </w:r>
    </w:p>
    <w:p w14:paraId="2A3B3258" w14:textId="77777777" w:rsidR="005A575F" w:rsidRPr="00357DEC" w:rsidRDefault="005A575F" w:rsidP="001C458C">
      <w:pPr>
        <w:shd w:val="clear" w:color="auto" w:fill="FFFFFF"/>
        <w:spacing w:line="276" w:lineRule="auto"/>
        <w:jc w:val="both"/>
        <w:rPr>
          <w:b/>
          <w:highlight w:val="yellow"/>
        </w:rPr>
      </w:pPr>
    </w:p>
    <w:p w14:paraId="1B2D509E" w14:textId="77777777" w:rsidR="005A575F" w:rsidRPr="00357DEC" w:rsidRDefault="005A575F" w:rsidP="00C46DDF">
      <w:pPr>
        <w:shd w:val="clear" w:color="auto" w:fill="FFFFFF"/>
        <w:spacing w:line="276" w:lineRule="auto"/>
        <w:jc w:val="both"/>
        <w:rPr>
          <w:b/>
          <w:highlight w:val="yellow"/>
        </w:rPr>
      </w:pPr>
    </w:p>
    <w:p w14:paraId="6E71DD63" w14:textId="77777777" w:rsidR="00447EE6" w:rsidRDefault="00447EE6" w:rsidP="00C46DDF">
      <w:pPr>
        <w:spacing w:line="276" w:lineRule="auto"/>
        <w:ind w:firstLine="709"/>
        <w:jc w:val="both"/>
        <w:rPr>
          <w:highlight w:val="yellow"/>
        </w:rPr>
      </w:pPr>
    </w:p>
    <w:p w14:paraId="76F409DB" w14:textId="77777777" w:rsidR="009369CA" w:rsidRPr="00357DEC" w:rsidRDefault="009369CA" w:rsidP="00C46DDF">
      <w:pPr>
        <w:spacing w:line="276" w:lineRule="auto"/>
        <w:ind w:firstLine="709"/>
        <w:jc w:val="both"/>
        <w:rPr>
          <w:highlight w:val="yellow"/>
        </w:rPr>
      </w:pPr>
    </w:p>
    <w:p w14:paraId="049D1CB4" w14:textId="77777777" w:rsidR="00447EE6" w:rsidRPr="005E392D" w:rsidRDefault="00447EE6" w:rsidP="00DB52C9">
      <w:pPr>
        <w:tabs>
          <w:tab w:val="left" w:pos="2880"/>
        </w:tabs>
        <w:spacing w:line="276" w:lineRule="auto"/>
        <w:jc w:val="both"/>
      </w:pPr>
    </w:p>
    <w:sectPr w:rsidR="00447EE6" w:rsidRPr="005E392D" w:rsidSect="00EA77B9">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104C" w14:textId="77777777" w:rsidR="0044169F" w:rsidRDefault="0044169F" w:rsidP="005A2D20">
      <w:r>
        <w:separator/>
      </w:r>
    </w:p>
  </w:endnote>
  <w:endnote w:type="continuationSeparator" w:id="0">
    <w:p w14:paraId="720E20A0" w14:textId="77777777" w:rsidR="0044169F" w:rsidRDefault="0044169F" w:rsidP="005A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28231329"/>
      <w:docPartObj>
        <w:docPartGallery w:val="Page Numbers (Bottom of Page)"/>
        <w:docPartUnique/>
      </w:docPartObj>
    </w:sdtPr>
    <w:sdtEndPr>
      <w:rPr>
        <w:noProof/>
      </w:rPr>
    </w:sdtEndPr>
    <w:sdtContent>
      <w:p w14:paraId="7446A34A" w14:textId="185F77D4" w:rsidR="005A2D20" w:rsidRPr="005A2D20" w:rsidRDefault="005A2D20" w:rsidP="00DC371A">
        <w:pPr>
          <w:pStyle w:val="Footer"/>
          <w:jc w:val="center"/>
          <w:rPr>
            <w:noProof/>
            <w:sz w:val="20"/>
          </w:rPr>
        </w:pPr>
        <w:r w:rsidRPr="005A2D20">
          <w:rPr>
            <w:sz w:val="20"/>
          </w:rPr>
          <w:fldChar w:fldCharType="begin"/>
        </w:r>
        <w:r w:rsidRPr="005A2D20">
          <w:rPr>
            <w:sz w:val="20"/>
          </w:rPr>
          <w:instrText xml:space="preserve"> PAGE   \* MERGEFORMAT </w:instrText>
        </w:r>
        <w:r w:rsidRPr="005A2D20">
          <w:rPr>
            <w:sz w:val="20"/>
          </w:rPr>
          <w:fldChar w:fldCharType="separate"/>
        </w:r>
        <w:r w:rsidR="005803E4">
          <w:rPr>
            <w:noProof/>
            <w:sz w:val="20"/>
          </w:rPr>
          <w:t>5</w:t>
        </w:r>
        <w:r w:rsidRPr="005A2D20">
          <w:rPr>
            <w:noProof/>
            <w:sz w:val="20"/>
          </w:rPr>
          <w:fldChar w:fldCharType="end"/>
        </w:r>
        <w:r w:rsidR="00DC371A">
          <w:rPr>
            <w:noProof/>
            <w:sz w:val="20"/>
          </w:rPr>
          <w:t xml:space="preserve"> no </w:t>
        </w:r>
        <w:r w:rsidR="009D3F53">
          <w:rPr>
            <w:noProof/>
            <w:sz w:val="20"/>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F4C1" w14:textId="77777777" w:rsidR="0044169F" w:rsidRDefault="0044169F" w:rsidP="005A2D20">
      <w:r>
        <w:separator/>
      </w:r>
    </w:p>
  </w:footnote>
  <w:footnote w:type="continuationSeparator" w:id="0">
    <w:p w14:paraId="384D326B" w14:textId="77777777" w:rsidR="0044169F" w:rsidRDefault="0044169F" w:rsidP="005A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B9A"/>
    <w:multiLevelType w:val="hybridMultilevel"/>
    <w:tmpl w:val="BAF600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3A254E9"/>
    <w:multiLevelType w:val="hybridMultilevel"/>
    <w:tmpl w:val="F6A48B68"/>
    <w:lvl w:ilvl="0" w:tplc="A2089926">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62835931">
    <w:abstractNumId w:val="1"/>
  </w:num>
  <w:num w:numId="2" w16cid:durableId="884802670">
    <w:abstractNumId w:val="2"/>
  </w:num>
  <w:num w:numId="3" w16cid:durableId="6619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E3D"/>
    <w:rsid w:val="00006F08"/>
    <w:rsid w:val="00023045"/>
    <w:rsid w:val="0002763D"/>
    <w:rsid w:val="00032C87"/>
    <w:rsid w:val="00033F1A"/>
    <w:rsid w:val="00035952"/>
    <w:rsid w:val="0004223B"/>
    <w:rsid w:val="00055B63"/>
    <w:rsid w:val="00063F27"/>
    <w:rsid w:val="00064F88"/>
    <w:rsid w:val="000672AB"/>
    <w:rsid w:val="00074335"/>
    <w:rsid w:val="000748B9"/>
    <w:rsid w:val="00085856"/>
    <w:rsid w:val="00092702"/>
    <w:rsid w:val="000A5BA7"/>
    <w:rsid w:val="000B081D"/>
    <w:rsid w:val="000C0958"/>
    <w:rsid w:val="000C6FA6"/>
    <w:rsid w:val="000D3246"/>
    <w:rsid w:val="000D4F0B"/>
    <w:rsid w:val="000E3FD5"/>
    <w:rsid w:val="000E4890"/>
    <w:rsid w:val="000E7370"/>
    <w:rsid w:val="000F3E89"/>
    <w:rsid w:val="000F3F24"/>
    <w:rsid w:val="00102B1F"/>
    <w:rsid w:val="00105305"/>
    <w:rsid w:val="00106143"/>
    <w:rsid w:val="001150CD"/>
    <w:rsid w:val="001267E5"/>
    <w:rsid w:val="00133705"/>
    <w:rsid w:val="00136A12"/>
    <w:rsid w:val="00145707"/>
    <w:rsid w:val="00157192"/>
    <w:rsid w:val="0016432B"/>
    <w:rsid w:val="00177A7F"/>
    <w:rsid w:val="00181CC5"/>
    <w:rsid w:val="00183E86"/>
    <w:rsid w:val="0019053C"/>
    <w:rsid w:val="00191F5B"/>
    <w:rsid w:val="00193A6E"/>
    <w:rsid w:val="0019404B"/>
    <w:rsid w:val="00197FDE"/>
    <w:rsid w:val="001A25BC"/>
    <w:rsid w:val="001A2A46"/>
    <w:rsid w:val="001A5E54"/>
    <w:rsid w:val="001A6635"/>
    <w:rsid w:val="001B006A"/>
    <w:rsid w:val="001B1882"/>
    <w:rsid w:val="001C3B48"/>
    <w:rsid w:val="001C458C"/>
    <w:rsid w:val="001D037A"/>
    <w:rsid w:val="001D24BC"/>
    <w:rsid w:val="001D454A"/>
    <w:rsid w:val="001D4B4E"/>
    <w:rsid w:val="001D6946"/>
    <w:rsid w:val="001E1046"/>
    <w:rsid w:val="001E4261"/>
    <w:rsid w:val="001F1D40"/>
    <w:rsid w:val="001F4BDE"/>
    <w:rsid w:val="001F6AF1"/>
    <w:rsid w:val="00204CBF"/>
    <w:rsid w:val="002104CE"/>
    <w:rsid w:val="00211CEF"/>
    <w:rsid w:val="0021369D"/>
    <w:rsid w:val="002179FF"/>
    <w:rsid w:val="0022191B"/>
    <w:rsid w:val="00232EE1"/>
    <w:rsid w:val="002430C8"/>
    <w:rsid w:val="0025073D"/>
    <w:rsid w:val="00251BE6"/>
    <w:rsid w:val="0025452F"/>
    <w:rsid w:val="0026066E"/>
    <w:rsid w:val="00266A18"/>
    <w:rsid w:val="002710DF"/>
    <w:rsid w:val="0027724C"/>
    <w:rsid w:val="002A451A"/>
    <w:rsid w:val="002A57C7"/>
    <w:rsid w:val="002A601A"/>
    <w:rsid w:val="002B73EF"/>
    <w:rsid w:val="002C3185"/>
    <w:rsid w:val="002D3330"/>
    <w:rsid w:val="002D634C"/>
    <w:rsid w:val="002E2EF0"/>
    <w:rsid w:val="002F54A1"/>
    <w:rsid w:val="003002E4"/>
    <w:rsid w:val="00304731"/>
    <w:rsid w:val="0030528F"/>
    <w:rsid w:val="00306235"/>
    <w:rsid w:val="003134A8"/>
    <w:rsid w:val="00321249"/>
    <w:rsid w:val="00335639"/>
    <w:rsid w:val="003361A9"/>
    <w:rsid w:val="00340F93"/>
    <w:rsid w:val="003478C0"/>
    <w:rsid w:val="0035136D"/>
    <w:rsid w:val="00351815"/>
    <w:rsid w:val="00353FAE"/>
    <w:rsid w:val="00357DEC"/>
    <w:rsid w:val="0036013B"/>
    <w:rsid w:val="00360FDA"/>
    <w:rsid w:val="0037485C"/>
    <w:rsid w:val="00380006"/>
    <w:rsid w:val="0039159D"/>
    <w:rsid w:val="003A1AD2"/>
    <w:rsid w:val="003A219D"/>
    <w:rsid w:val="003A3838"/>
    <w:rsid w:val="003A4FAF"/>
    <w:rsid w:val="003A5112"/>
    <w:rsid w:val="003B4AC6"/>
    <w:rsid w:val="003C1622"/>
    <w:rsid w:val="003C1850"/>
    <w:rsid w:val="003C31D6"/>
    <w:rsid w:val="003D4614"/>
    <w:rsid w:val="003E2BB5"/>
    <w:rsid w:val="003E6395"/>
    <w:rsid w:val="00401669"/>
    <w:rsid w:val="00413F3F"/>
    <w:rsid w:val="00421372"/>
    <w:rsid w:val="004256CB"/>
    <w:rsid w:val="00435162"/>
    <w:rsid w:val="004410BC"/>
    <w:rsid w:val="0044169F"/>
    <w:rsid w:val="00441804"/>
    <w:rsid w:val="00447CB0"/>
    <w:rsid w:val="00447EE6"/>
    <w:rsid w:val="00451D17"/>
    <w:rsid w:val="004755DF"/>
    <w:rsid w:val="00484D27"/>
    <w:rsid w:val="00491E56"/>
    <w:rsid w:val="00493905"/>
    <w:rsid w:val="004940DC"/>
    <w:rsid w:val="004A36A1"/>
    <w:rsid w:val="004A4072"/>
    <w:rsid w:val="004B2A94"/>
    <w:rsid w:val="004C2DEE"/>
    <w:rsid w:val="004C359D"/>
    <w:rsid w:val="004C7048"/>
    <w:rsid w:val="004D06ED"/>
    <w:rsid w:val="004D1D22"/>
    <w:rsid w:val="004D360A"/>
    <w:rsid w:val="004D601A"/>
    <w:rsid w:val="004E3991"/>
    <w:rsid w:val="004F25D5"/>
    <w:rsid w:val="00500F71"/>
    <w:rsid w:val="00513D51"/>
    <w:rsid w:val="00520B22"/>
    <w:rsid w:val="00525208"/>
    <w:rsid w:val="00547C02"/>
    <w:rsid w:val="00560D48"/>
    <w:rsid w:val="005624EE"/>
    <w:rsid w:val="00567624"/>
    <w:rsid w:val="00571337"/>
    <w:rsid w:val="005803E4"/>
    <w:rsid w:val="00581534"/>
    <w:rsid w:val="00586491"/>
    <w:rsid w:val="00586A5A"/>
    <w:rsid w:val="005916F9"/>
    <w:rsid w:val="005A283C"/>
    <w:rsid w:val="005A2D20"/>
    <w:rsid w:val="005A575F"/>
    <w:rsid w:val="005A6A08"/>
    <w:rsid w:val="005B2765"/>
    <w:rsid w:val="005B5432"/>
    <w:rsid w:val="005C4D6B"/>
    <w:rsid w:val="005C77ED"/>
    <w:rsid w:val="005D3792"/>
    <w:rsid w:val="005D3FA4"/>
    <w:rsid w:val="005D6114"/>
    <w:rsid w:val="005F17E9"/>
    <w:rsid w:val="006135CD"/>
    <w:rsid w:val="006266C1"/>
    <w:rsid w:val="00627591"/>
    <w:rsid w:val="00630D66"/>
    <w:rsid w:val="00637238"/>
    <w:rsid w:val="00653306"/>
    <w:rsid w:val="00654ED7"/>
    <w:rsid w:val="006556AA"/>
    <w:rsid w:val="006677CF"/>
    <w:rsid w:val="006728C7"/>
    <w:rsid w:val="00680AB3"/>
    <w:rsid w:val="00684FE5"/>
    <w:rsid w:val="00685E96"/>
    <w:rsid w:val="0068656F"/>
    <w:rsid w:val="00687E61"/>
    <w:rsid w:val="006968B0"/>
    <w:rsid w:val="006B50E0"/>
    <w:rsid w:val="006C19F4"/>
    <w:rsid w:val="006E07CA"/>
    <w:rsid w:val="006E322A"/>
    <w:rsid w:val="006E497B"/>
    <w:rsid w:val="006E5B90"/>
    <w:rsid w:val="006E7635"/>
    <w:rsid w:val="00703525"/>
    <w:rsid w:val="007044B0"/>
    <w:rsid w:val="00706CFE"/>
    <w:rsid w:val="00724516"/>
    <w:rsid w:val="00726A42"/>
    <w:rsid w:val="007351E5"/>
    <w:rsid w:val="00735AAF"/>
    <w:rsid w:val="00737B20"/>
    <w:rsid w:val="00773BEB"/>
    <w:rsid w:val="00775D3C"/>
    <w:rsid w:val="00784839"/>
    <w:rsid w:val="007A06AC"/>
    <w:rsid w:val="007A3014"/>
    <w:rsid w:val="007A3F03"/>
    <w:rsid w:val="007A6C04"/>
    <w:rsid w:val="007A7F73"/>
    <w:rsid w:val="007B7290"/>
    <w:rsid w:val="007B7617"/>
    <w:rsid w:val="007C283F"/>
    <w:rsid w:val="007C3FE9"/>
    <w:rsid w:val="007D08F9"/>
    <w:rsid w:val="007D4DEA"/>
    <w:rsid w:val="007E35BD"/>
    <w:rsid w:val="007E75D8"/>
    <w:rsid w:val="00800FA5"/>
    <w:rsid w:val="00807CFC"/>
    <w:rsid w:val="00810C95"/>
    <w:rsid w:val="0081455B"/>
    <w:rsid w:val="00832F49"/>
    <w:rsid w:val="00834342"/>
    <w:rsid w:val="00842BF7"/>
    <w:rsid w:val="00845FD6"/>
    <w:rsid w:val="00851F80"/>
    <w:rsid w:val="008603DB"/>
    <w:rsid w:val="00860DD5"/>
    <w:rsid w:val="00871589"/>
    <w:rsid w:val="0087363F"/>
    <w:rsid w:val="00874CFB"/>
    <w:rsid w:val="00883A97"/>
    <w:rsid w:val="008C170E"/>
    <w:rsid w:val="008C4442"/>
    <w:rsid w:val="008C57DE"/>
    <w:rsid w:val="008D63CE"/>
    <w:rsid w:val="008E2F1C"/>
    <w:rsid w:val="008E3D8F"/>
    <w:rsid w:val="008E4C7D"/>
    <w:rsid w:val="008E793D"/>
    <w:rsid w:val="008F0317"/>
    <w:rsid w:val="008F3A36"/>
    <w:rsid w:val="008F463F"/>
    <w:rsid w:val="009070FD"/>
    <w:rsid w:val="009106A4"/>
    <w:rsid w:val="00910A46"/>
    <w:rsid w:val="0091275A"/>
    <w:rsid w:val="0092267E"/>
    <w:rsid w:val="00930F9C"/>
    <w:rsid w:val="009369CA"/>
    <w:rsid w:val="00936C26"/>
    <w:rsid w:val="00936E13"/>
    <w:rsid w:val="0094334A"/>
    <w:rsid w:val="009441B2"/>
    <w:rsid w:val="00956965"/>
    <w:rsid w:val="00967BD9"/>
    <w:rsid w:val="009730D9"/>
    <w:rsid w:val="00976D5B"/>
    <w:rsid w:val="00981E04"/>
    <w:rsid w:val="00984759"/>
    <w:rsid w:val="00995088"/>
    <w:rsid w:val="00995EAE"/>
    <w:rsid w:val="00997E65"/>
    <w:rsid w:val="009A0EAC"/>
    <w:rsid w:val="009A4AD5"/>
    <w:rsid w:val="009B36F6"/>
    <w:rsid w:val="009B746A"/>
    <w:rsid w:val="009C2B2E"/>
    <w:rsid w:val="009D1E29"/>
    <w:rsid w:val="009D1F53"/>
    <w:rsid w:val="009D3F53"/>
    <w:rsid w:val="009D466D"/>
    <w:rsid w:val="009E0563"/>
    <w:rsid w:val="009E6C93"/>
    <w:rsid w:val="009F16D0"/>
    <w:rsid w:val="009F16E2"/>
    <w:rsid w:val="009F37F0"/>
    <w:rsid w:val="00A117D8"/>
    <w:rsid w:val="00A16F4E"/>
    <w:rsid w:val="00A2188E"/>
    <w:rsid w:val="00A21E20"/>
    <w:rsid w:val="00A24BDB"/>
    <w:rsid w:val="00A32777"/>
    <w:rsid w:val="00A34134"/>
    <w:rsid w:val="00A34A5E"/>
    <w:rsid w:val="00A36F02"/>
    <w:rsid w:val="00A47052"/>
    <w:rsid w:val="00A47206"/>
    <w:rsid w:val="00A56BFC"/>
    <w:rsid w:val="00A64831"/>
    <w:rsid w:val="00A77992"/>
    <w:rsid w:val="00A84D24"/>
    <w:rsid w:val="00A85A81"/>
    <w:rsid w:val="00AA5256"/>
    <w:rsid w:val="00AB6B1E"/>
    <w:rsid w:val="00AC1BFA"/>
    <w:rsid w:val="00AC340D"/>
    <w:rsid w:val="00B01089"/>
    <w:rsid w:val="00B04D09"/>
    <w:rsid w:val="00B04FB6"/>
    <w:rsid w:val="00B062D9"/>
    <w:rsid w:val="00B14190"/>
    <w:rsid w:val="00B200C5"/>
    <w:rsid w:val="00B2142B"/>
    <w:rsid w:val="00B27410"/>
    <w:rsid w:val="00B30344"/>
    <w:rsid w:val="00B316C2"/>
    <w:rsid w:val="00B3735B"/>
    <w:rsid w:val="00B44494"/>
    <w:rsid w:val="00B5185E"/>
    <w:rsid w:val="00B544C0"/>
    <w:rsid w:val="00B54F4B"/>
    <w:rsid w:val="00B6591C"/>
    <w:rsid w:val="00B756C3"/>
    <w:rsid w:val="00B76EB4"/>
    <w:rsid w:val="00B83B09"/>
    <w:rsid w:val="00BA37D7"/>
    <w:rsid w:val="00BA3ED0"/>
    <w:rsid w:val="00BA55AE"/>
    <w:rsid w:val="00BA6F9B"/>
    <w:rsid w:val="00BB6C4C"/>
    <w:rsid w:val="00BC104B"/>
    <w:rsid w:val="00BC6CDB"/>
    <w:rsid w:val="00BC6D89"/>
    <w:rsid w:val="00BC7E3D"/>
    <w:rsid w:val="00BE7A5A"/>
    <w:rsid w:val="00BF5071"/>
    <w:rsid w:val="00C14A49"/>
    <w:rsid w:val="00C2341E"/>
    <w:rsid w:val="00C33CDA"/>
    <w:rsid w:val="00C37360"/>
    <w:rsid w:val="00C41B73"/>
    <w:rsid w:val="00C44009"/>
    <w:rsid w:val="00C46DDF"/>
    <w:rsid w:val="00C5023B"/>
    <w:rsid w:val="00C515F1"/>
    <w:rsid w:val="00C60316"/>
    <w:rsid w:val="00C63A42"/>
    <w:rsid w:val="00C63B57"/>
    <w:rsid w:val="00C74D8D"/>
    <w:rsid w:val="00C83966"/>
    <w:rsid w:val="00C844BA"/>
    <w:rsid w:val="00C91B81"/>
    <w:rsid w:val="00C91DFE"/>
    <w:rsid w:val="00C9492E"/>
    <w:rsid w:val="00C9572D"/>
    <w:rsid w:val="00CC4B8E"/>
    <w:rsid w:val="00CD3BC6"/>
    <w:rsid w:val="00CD6F3C"/>
    <w:rsid w:val="00CE65F6"/>
    <w:rsid w:val="00CE6842"/>
    <w:rsid w:val="00CF5391"/>
    <w:rsid w:val="00CF73D1"/>
    <w:rsid w:val="00D03930"/>
    <w:rsid w:val="00D075C1"/>
    <w:rsid w:val="00D15362"/>
    <w:rsid w:val="00D235FD"/>
    <w:rsid w:val="00D241AE"/>
    <w:rsid w:val="00D31995"/>
    <w:rsid w:val="00D35A4A"/>
    <w:rsid w:val="00D36E27"/>
    <w:rsid w:val="00D47431"/>
    <w:rsid w:val="00D55AB9"/>
    <w:rsid w:val="00D60006"/>
    <w:rsid w:val="00D653D6"/>
    <w:rsid w:val="00D706C9"/>
    <w:rsid w:val="00D76C7C"/>
    <w:rsid w:val="00D85735"/>
    <w:rsid w:val="00DB522B"/>
    <w:rsid w:val="00DB52C9"/>
    <w:rsid w:val="00DC187F"/>
    <w:rsid w:val="00DC371A"/>
    <w:rsid w:val="00DD109F"/>
    <w:rsid w:val="00DD2166"/>
    <w:rsid w:val="00DD22DA"/>
    <w:rsid w:val="00DF193E"/>
    <w:rsid w:val="00DF440E"/>
    <w:rsid w:val="00E044C5"/>
    <w:rsid w:val="00E05336"/>
    <w:rsid w:val="00E216FF"/>
    <w:rsid w:val="00E237C9"/>
    <w:rsid w:val="00E36CCD"/>
    <w:rsid w:val="00E41744"/>
    <w:rsid w:val="00E51542"/>
    <w:rsid w:val="00E54550"/>
    <w:rsid w:val="00E63E0C"/>
    <w:rsid w:val="00E6404E"/>
    <w:rsid w:val="00E66D9E"/>
    <w:rsid w:val="00E8587B"/>
    <w:rsid w:val="00E860A4"/>
    <w:rsid w:val="00E93B79"/>
    <w:rsid w:val="00E93EA9"/>
    <w:rsid w:val="00E943B6"/>
    <w:rsid w:val="00E94678"/>
    <w:rsid w:val="00EA08F7"/>
    <w:rsid w:val="00EA2C0B"/>
    <w:rsid w:val="00EA5580"/>
    <w:rsid w:val="00EA77B9"/>
    <w:rsid w:val="00EB17A5"/>
    <w:rsid w:val="00EB32AC"/>
    <w:rsid w:val="00EB39B9"/>
    <w:rsid w:val="00EC2296"/>
    <w:rsid w:val="00EC374E"/>
    <w:rsid w:val="00EF4FBE"/>
    <w:rsid w:val="00EF68DA"/>
    <w:rsid w:val="00EF77B1"/>
    <w:rsid w:val="00F04DAA"/>
    <w:rsid w:val="00F27038"/>
    <w:rsid w:val="00F30E82"/>
    <w:rsid w:val="00F40235"/>
    <w:rsid w:val="00F40CB6"/>
    <w:rsid w:val="00F436DB"/>
    <w:rsid w:val="00F45F59"/>
    <w:rsid w:val="00F475DB"/>
    <w:rsid w:val="00F4769C"/>
    <w:rsid w:val="00F61873"/>
    <w:rsid w:val="00F65E63"/>
    <w:rsid w:val="00F66ADB"/>
    <w:rsid w:val="00F8109D"/>
    <w:rsid w:val="00F85906"/>
    <w:rsid w:val="00F86FB9"/>
    <w:rsid w:val="00FA1196"/>
    <w:rsid w:val="00FA13B1"/>
    <w:rsid w:val="00FB303E"/>
    <w:rsid w:val="00FB4C2F"/>
    <w:rsid w:val="00FB67AD"/>
    <w:rsid w:val="00FC66F6"/>
    <w:rsid w:val="00FC7730"/>
    <w:rsid w:val="00FE0E47"/>
    <w:rsid w:val="00FE187A"/>
    <w:rsid w:val="00FE1C38"/>
    <w:rsid w:val="00FE41D1"/>
    <w:rsid w:val="00FF4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5A2D20"/>
    <w:pPr>
      <w:tabs>
        <w:tab w:val="center" w:pos="4153"/>
        <w:tab w:val="right" w:pos="8306"/>
      </w:tabs>
    </w:pPr>
  </w:style>
  <w:style w:type="character" w:customStyle="1" w:styleId="HeaderChar">
    <w:name w:val="Header Char"/>
    <w:basedOn w:val="DefaultParagraphFont"/>
    <w:link w:val="Header"/>
    <w:uiPriority w:val="99"/>
    <w:rsid w:val="005A2D20"/>
    <w:rPr>
      <w:rFonts w:eastAsia="Times New Roman" w:cs="Times New Roman"/>
      <w:szCs w:val="24"/>
      <w:lang w:val="lv-LV" w:eastAsia="ru-RU"/>
    </w:rPr>
  </w:style>
  <w:style w:type="paragraph" w:styleId="Footer">
    <w:name w:val="footer"/>
    <w:basedOn w:val="Normal"/>
    <w:link w:val="FooterChar"/>
    <w:uiPriority w:val="99"/>
    <w:unhideWhenUsed/>
    <w:rsid w:val="005A2D20"/>
    <w:pPr>
      <w:tabs>
        <w:tab w:val="center" w:pos="4153"/>
        <w:tab w:val="right" w:pos="8306"/>
      </w:tabs>
    </w:pPr>
  </w:style>
  <w:style w:type="character" w:customStyle="1" w:styleId="FooterChar">
    <w:name w:val="Footer Char"/>
    <w:basedOn w:val="DefaultParagraphFont"/>
    <w:link w:val="Footer"/>
    <w:uiPriority w:val="99"/>
    <w:rsid w:val="005A2D20"/>
    <w:rPr>
      <w:rFonts w:eastAsia="Times New Roman" w:cs="Times New Roman"/>
      <w:szCs w:val="24"/>
      <w:lang w:val="lv-LV" w:eastAsia="ru-RU"/>
    </w:rPr>
  </w:style>
  <w:style w:type="paragraph" w:styleId="ListParagraph">
    <w:name w:val="List Paragraph"/>
    <w:basedOn w:val="Normal"/>
    <w:uiPriority w:val="34"/>
    <w:qFormat/>
    <w:rsid w:val="00E41744"/>
    <w:pPr>
      <w:ind w:left="720"/>
      <w:contextualSpacing/>
    </w:pPr>
  </w:style>
  <w:style w:type="character" w:styleId="Hyperlink">
    <w:name w:val="Hyperlink"/>
    <w:basedOn w:val="DefaultParagraphFont"/>
    <w:uiPriority w:val="99"/>
    <w:unhideWhenUsed/>
    <w:rsid w:val="006556AA"/>
    <w:rPr>
      <w:color w:val="0563C1" w:themeColor="hyperlink"/>
      <w:u w:val="single"/>
    </w:rPr>
  </w:style>
  <w:style w:type="character" w:styleId="FollowedHyperlink">
    <w:name w:val="FollowedHyperlink"/>
    <w:basedOn w:val="DefaultParagraphFont"/>
    <w:uiPriority w:val="99"/>
    <w:semiHidden/>
    <w:unhideWhenUsed/>
    <w:rsid w:val="00C63B57"/>
    <w:rPr>
      <w:color w:val="954F72" w:themeColor="followedHyperlink"/>
      <w:u w:val="single"/>
    </w:rPr>
  </w:style>
  <w:style w:type="character" w:styleId="CommentReference">
    <w:name w:val="annotation reference"/>
    <w:basedOn w:val="DefaultParagraphFont"/>
    <w:uiPriority w:val="99"/>
    <w:semiHidden/>
    <w:unhideWhenUsed/>
    <w:rsid w:val="00A2188E"/>
    <w:rPr>
      <w:sz w:val="16"/>
      <w:szCs w:val="16"/>
    </w:rPr>
  </w:style>
  <w:style w:type="paragraph" w:styleId="CommentText">
    <w:name w:val="annotation text"/>
    <w:basedOn w:val="Normal"/>
    <w:link w:val="CommentTextChar"/>
    <w:uiPriority w:val="99"/>
    <w:unhideWhenUsed/>
    <w:rsid w:val="00A2188E"/>
    <w:rPr>
      <w:sz w:val="20"/>
      <w:szCs w:val="20"/>
    </w:rPr>
  </w:style>
  <w:style w:type="character" w:customStyle="1" w:styleId="CommentTextChar">
    <w:name w:val="Comment Text Char"/>
    <w:basedOn w:val="DefaultParagraphFont"/>
    <w:link w:val="CommentText"/>
    <w:uiPriority w:val="99"/>
    <w:rsid w:val="00A2188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2188E"/>
    <w:rPr>
      <w:b/>
      <w:bCs/>
    </w:rPr>
  </w:style>
  <w:style w:type="character" w:customStyle="1" w:styleId="CommentSubjectChar">
    <w:name w:val="Comment Subject Char"/>
    <w:basedOn w:val="CommentTextChar"/>
    <w:link w:val="CommentSubject"/>
    <w:uiPriority w:val="99"/>
    <w:semiHidden/>
    <w:rsid w:val="00A2188E"/>
    <w:rPr>
      <w:rFonts w:eastAsia="Times New Roman" w:cs="Times New Roman"/>
      <w:b/>
      <w:bCs/>
      <w:sz w:val="20"/>
      <w:szCs w:val="20"/>
      <w:lang w:val="lv-LV" w:eastAsia="ru-RU"/>
    </w:rPr>
  </w:style>
  <w:style w:type="paragraph" w:styleId="Revision">
    <w:name w:val="Revision"/>
    <w:hidden/>
    <w:uiPriority w:val="99"/>
    <w:semiHidden/>
    <w:rsid w:val="00A2188E"/>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D31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95"/>
    <w:rPr>
      <w:rFonts w:ascii="Segoe UI" w:eastAsia="Times New Roman" w:hAnsi="Segoe UI" w:cs="Segoe UI"/>
      <w:sz w:val="18"/>
      <w:szCs w:val="18"/>
      <w:lang w:val="lv-LV" w:eastAsia="ru-RU"/>
    </w:rPr>
  </w:style>
  <w:style w:type="character" w:styleId="UnresolvedMention">
    <w:name w:val="Unresolved Mention"/>
    <w:basedOn w:val="DefaultParagraphFont"/>
    <w:uiPriority w:val="99"/>
    <w:semiHidden/>
    <w:unhideWhenUsed/>
    <w:rsid w:val="00F8109D"/>
    <w:rPr>
      <w:color w:val="605E5C"/>
      <w:shd w:val="clear" w:color="auto" w:fill="E1DFDD"/>
    </w:rPr>
  </w:style>
  <w:style w:type="character" w:customStyle="1" w:styleId="bisItalic">
    <w:name w:val="bisItalic"/>
    <w:qFormat/>
    <w:rsid w:val="00D706C9"/>
    <w:rPr>
      <w:i/>
      <w:iCs/>
    </w:rPr>
  </w:style>
  <w:style w:type="paragraph" w:customStyle="1" w:styleId="Default">
    <w:name w:val="Default"/>
    <w:rsid w:val="001C458C"/>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7813">
      <w:bodyDiv w:val="1"/>
      <w:marLeft w:val="0"/>
      <w:marRight w:val="0"/>
      <w:marTop w:val="0"/>
      <w:marBottom w:val="0"/>
      <w:divBdr>
        <w:top w:val="none" w:sz="0" w:space="0" w:color="auto"/>
        <w:left w:val="none" w:sz="0" w:space="0" w:color="auto"/>
        <w:bottom w:val="none" w:sz="0" w:space="0" w:color="auto"/>
        <w:right w:val="none" w:sz="0" w:space="0" w:color="auto"/>
      </w:divBdr>
    </w:div>
    <w:div w:id="302546370">
      <w:bodyDiv w:val="1"/>
      <w:marLeft w:val="0"/>
      <w:marRight w:val="0"/>
      <w:marTop w:val="0"/>
      <w:marBottom w:val="0"/>
      <w:divBdr>
        <w:top w:val="none" w:sz="0" w:space="0" w:color="auto"/>
        <w:left w:val="none" w:sz="0" w:space="0" w:color="auto"/>
        <w:bottom w:val="none" w:sz="0" w:space="0" w:color="auto"/>
        <w:right w:val="none" w:sz="0" w:space="0" w:color="auto"/>
      </w:divBdr>
    </w:div>
    <w:div w:id="657077814">
      <w:bodyDiv w:val="1"/>
      <w:marLeft w:val="0"/>
      <w:marRight w:val="0"/>
      <w:marTop w:val="0"/>
      <w:marBottom w:val="0"/>
      <w:divBdr>
        <w:top w:val="none" w:sz="0" w:space="0" w:color="auto"/>
        <w:left w:val="none" w:sz="0" w:space="0" w:color="auto"/>
        <w:bottom w:val="none" w:sz="0" w:space="0" w:color="auto"/>
        <w:right w:val="none" w:sz="0" w:space="0" w:color="auto"/>
      </w:divBdr>
    </w:div>
    <w:div w:id="1235819353">
      <w:bodyDiv w:val="1"/>
      <w:marLeft w:val="0"/>
      <w:marRight w:val="0"/>
      <w:marTop w:val="0"/>
      <w:marBottom w:val="0"/>
      <w:divBdr>
        <w:top w:val="none" w:sz="0" w:space="0" w:color="auto"/>
        <w:left w:val="none" w:sz="0" w:space="0" w:color="auto"/>
        <w:bottom w:val="none" w:sz="0" w:space="0" w:color="auto"/>
        <w:right w:val="none" w:sz="0" w:space="0" w:color="auto"/>
      </w:divBdr>
    </w:div>
    <w:div w:id="1645961595">
      <w:bodyDiv w:val="1"/>
      <w:marLeft w:val="0"/>
      <w:marRight w:val="0"/>
      <w:marTop w:val="0"/>
      <w:marBottom w:val="0"/>
      <w:divBdr>
        <w:top w:val="none" w:sz="0" w:space="0" w:color="auto"/>
        <w:left w:val="none" w:sz="0" w:space="0" w:color="auto"/>
        <w:bottom w:val="none" w:sz="0" w:space="0" w:color="auto"/>
        <w:right w:val="none" w:sz="0" w:space="0" w:color="auto"/>
      </w:divBdr>
    </w:div>
    <w:div w:id="1976177852">
      <w:bodyDiv w:val="1"/>
      <w:marLeft w:val="0"/>
      <w:marRight w:val="0"/>
      <w:marTop w:val="0"/>
      <w:marBottom w:val="0"/>
      <w:divBdr>
        <w:top w:val="none" w:sz="0" w:space="0" w:color="auto"/>
        <w:left w:val="none" w:sz="0" w:space="0" w:color="auto"/>
        <w:bottom w:val="none" w:sz="0" w:space="0" w:color="auto"/>
        <w:right w:val="none" w:sz="0" w:space="0" w:color="auto"/>
      </w:divBdr>
    </w:div>
    <w:div w:id="208768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3b98c5c-0a39-4420-81d2-5fc5633966c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8FFA-8F4D-46EF-9B24-FE4B24F7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4268</Words>
  <Characters>2434</Characters>
  <Application>Microsoft Office Word</Application>
  <DocSecurity>0</DocSecurity>
  <Lines>20</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2026-02-09T15:21:00Z</dcterms:created>
  <dcterms:modified xsi:type="dcterms:W3CDTF">2026-02-09T15:22:00Z</dcterms:modified>
</cp:coreProperties>
</file>