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E6B7" w14:textId="77777777" w:rsidR="00384216" w:rsidRDefault="00384216" w:rsidP="003773E7">
      <w:pPr>
        <w:pStyle w:val="Default"/>
        <w:spacing w:line="276" w:lineRule="auto"/>
        <w:jc w:val="both"/>
        <w:rPr>
          <w:b/>
          <w:bCs/>
        </w:rPr>
      </w:pPr>
      <w:r>
        <w:rPr>
          <w:b/>
          <w:bCs/>
        </w:rPr>
        <w:t xml:space="preserve">Apdrošināšanas periodu noskaidrošanā izmantojamie avoti </w:t>
      </w:r>
    </w:p>
    <w:p w14:paraId="404ECE40" w14:textId="77777777" w:rsidR="00384216" w:rsidRDefault="00384216" w:rsidP="003773E7">
      <w:pPr>
        <w:pStyle w:val="Default"/>
        <w:spacing w:line="276" w:lineRule="auto"/>
        <w:jc w:val="both"/>
      </w:pPr>
      <w:r>
        <w:t>Noskaidrojot apdrošināšanas periodu, kas dod tiesības uz vecuma pensiju ar atvieglotiem noteikumiem par speciālo stāžu, priekšroka dodama tieši Ražotņu, nozaru, cehu, profesiju un amatu sarakstam Nr. 1, kas apstiprināts ar PSRS Ministru Padomes 1956.gada 22.augusta lēmumu Nr. 1173 un PSRS Ministru padomes Valsts darba un darba algas jautājumu komitejas un Vissavienības arodbiedrību Centrālās padomes 1976.gada 2.aprīļa skaidrojumam Nr. 5/8 „Kārtība, kādā piemērojami ar PSRS Ministru padomes 1956.gada 22.augusta lēmumu Nr. 1173 apstiprinātie ražotņu, cehu, profesiju un amatu saraksti, darbs kuros dod tiesības uz valsts pensiju ar atvieglotiem noteikumiem un atvieglotos apmēros”, jo tiem ir normatīvā akta spēks. Minētais skaidrojums bija neatņemama minētā saraksta sastāvdaļa, tam bija normatīvā akta spēks un tas bija viens no valsts un sabiedrisko organizāciju vadošo orgānu kopīgi pieņemtajiem aktiem.</w:t>
      </w:r>
    </w:p>
    <w:p w14:paraId="1EFA8B7F" w14:textId="666DDF75" w:rsidR="005716A2" w:rsidRDefault="00384216" w:rsidP="003773E7">
      <w:pPr>
        <w:spacing w:line="276" w:lineRule="auto"/>
        <w:jc w:val="both"/>
      </w:pPr>
      <w:r>
        <w:t>Savukārt citiem ministriju, institūciju vai to nodaļu skaidrojumiem un norādījumiem normatīvā akta saistošā spēka nebija, tāpēc tie ir izmantojami tikai kā palīglīdzekļi un situācijā, ja tie ierobežo minētajā sarakstā un skaidrojumā  paredzētās personas tiesības, nav piemērojami.</w:t>
      </w:r>
    </w:p>
    <w:p w14:paraId="65C42E0A" w14:textId="77777777" w:rsidR="00384216" w:rsidRPr="00384216" w:rsidRDefault="00384216" w:rsidP="003773E7">
      <w:pPr>
        <w:spacing w:line="276" w:lineRule="auto"/>
        <w:jc w:val="both"/>
      </w:pPr>
    </w:p>
    <w:p w14:paraId="0CC63B84" w14:textId="688CD573" w:rsidR="005716A2" w:rsidRPr="00384216" w:rsidRDefault="005716A2" w:rsidP="003773E7">
      <w:pPr>
        <w:spacing w:line="276" w:lineRule="auto"/>
        <w:jc w:val="center"/>
        <w:rPr>
          <w:b/>
          <w:lang w:eastAsia="ru-RU"/>
        </w:rPr>
      </w:pPr>
      <w:r w:rsidRPr="00384216">
        <w:rPr>
          <w:b/>
          <w:lang w:eastAsia="ru-RU"/>
        </w:rPr>
        <w:t>Latvijas Republikas Senāt</w:t>
      </w:r>
      <w:r w:rsidR="00384216" w:rsidRPr="00384216">
        <w:rPr>
          <w:b/>
          <w:lang w:eastAsia="ru-RU"/>
        </w:rPr>
        <w:t>a</w:t>
      </w:r>
      <w:r w:rsidR="00384216" w:rsidRPr="00384216">
        <w:rPr>
          <w:b/>
          <w:lang w:eastAsia="ru-RU"/>
        </w:rPr>
        <w:br/>
        <w:t>Administratīvo lietu departamenta</w:t>
      </w:r>
      <w:r w:rsidR="00384216" w:rsidRPr="00384216">
        <w:rPr>
          <w:b/>
          <w:lang w:eastAsia="ru-RU"/>
        </w:rPr>
        <w:br/>
        <w:t>2025.gada 2.jūlija</w:t>
      </w:r>
    </w:p>
    <w:p w14:paraId="2BE5E928" w14:textId="77777777" w:rsidR="005716A2" w:rsidRPr="00384216" w:rsidRDefault="005716A2" w:rsidP="003773E7">
      <w:pPr>
        <w:spacing w:line="276" w:lineRule="auto"/>
        <w:jc w:val="center"/>
        <w:rPr>
          <w:b/>
          <w:lang w:eastAsia="ru-RU"/>
        </w:rPr>
      </w:pPr>
      <w:r w:rsidRPr="00384216">
        <w:rPr>
          <w:b/>
          <w:lang w:eastAsia="ru-RU"/>
        </w:rPr>
        <w:t>SPRIEDUMS</w:t>
      </w:r>
    </w:p>
    <w:p w14:paraId="5D9D4C69" w14:textId="275DE634" w:rsidR="00384216" w:rsidRPr="00384216" w:rsidRDefault="00384216" w:rsidP="003773E7">
      <w:pPr>
        <w:spacing w:line="276" w:lineRule="auto"/>
        <w:jc w:val="center"/>
        <w:rPr>
          <w:b/>
          <w:bCs/>
        </w:rPr>
      </w:pPr>
      <w:r w:rsidRPr="00384216">
        <w:rPr>
          <w:b/>
          <w:bCs/>
        </w:rPr>
        <w:t>Lieta Nr. </w:t>
      </w:r>
      <w:r w:rsidRPr="00384216">
        <w:rPr>
          <w:rFonts w:cs="Arial"/>
          <w:b/>
          <w:bCs/>
          <w:iCs/>
        </w:rPr>
        <w:t>A420204121</w:t>
      </w:r>
      <w:r w:rsidRPr="00384216">
        <w:rPr>
          <w:b/>
          <w:bCs/>
        </w:rPr>
        <w:t>, SKA</w:t>
      </w:r>
      <w:bookmarkStart w:id="0" w:name="_Hlk129772518"/>
      <w:r w:rsidRPr="00384216">
        <w:rPr>
          <w:b/>
          <w:bCs/>
        </w:rPr>
        <w:noBreakHyphen/>
      </w:r>
      <w:bookmarkEnd w:id="0"/>
      <w:r w:rsidRPr="00384216">
        <w:rPr>
          <w:b/>
          <w:bCs/>
        </w:rPr>
        <w:t>46/2025</w:t>
      </w:r>
    </w:p>
    <w:p w14:paraId="22EA9FB4" w14:textId="5750E0BD" w:rsidR="00384216" w:rsidRPr="00384216" w:rsidRDefault="00384216" w:rsidP="003773E7">
      <w:pPr>
        <w:spacing w:line="276" w:lineRule="auto"/>
        <w:jc w:val="center"/>
        <w:rPr>
          <w:lang w:eastAsia="ru-RU"/>
        </w:rPr>
      </w:pPr>
      <w:r w:rsidRPr="00384216">
        <w:rPr>
          <w:rFonts w:eastAsiaTheme="minorHAnsi"/>
          <w:color w:val="000000"/>
          <w:lang w:eastAsia="en-US"/>
          <w14:ligatures w14:val="standardContextual"/>
        </w:rPr>
        <w:t xml:space="preserve"> </w:t>
      </w:r>
      <w:hyperlink r:id="rId8" w:history="1">
        <w:r w:rsidRPr="00384216">
          <w:rPr>
            <w:rStyle w:val="Hyperlink"/>
            <w:rFonts w:eastAsiaTheme="minorHAnsi"/>
            <w:lang w:eastAsia="en-US"/>
            <w14:ligatures w14:val="standardContextual"/>
          </w:rPr>
          <w:t>ECLI:LV:AT:2025:0702.A420204121.13.S</w:t>
        </w:r>
      </w:hyperlink>
    </w:p>
    <w:p w14:paraId="46D1CB1A" w14:textId="77777777" w:rsidR="005716A2" w:rsidRDefault="005716A2" w:rsidP="003773E7">
      <w:pPr>
        <w:spacing w:line="276" w:lineRule="auto"/>
        <w:ind w:firstLine="720"/>
        <w:jc w:val="both"/>
      </w:pPr>
    </w:p>
    <w:p w14:paraId="79696C4C" w14:textId="4548B179" w:rsidR="005716A2" w:rsidRDefault="005716A2" w:rsidP="003773E7">
      <w:pPr>
        <w:spacing w:line="276" w:lineRule="auto"/>
        <w:ind w:firstLine="720"/>
        <w:jc w:val="both"/>
      </w:pPr>
      <w:r>
        <w:t>Senāts šādā sastāvā: senatore referente</w:t>
      </w:r>
      <w:r w:rsidR="009F56AE" w:rsidRPr="009F56AE">
        <w:t xml:space="preserve"> </w:t>
      </w:r>
      <w:r w:rsidR="009F56AE" w:rsidRPr="009650AC">
        <w:t>Anita Kovaļevska</w:t>
      </w:r>
      <w:r>
        <w:t xml:space="preserve">, </w:t>
      </w:r>
      <w:r w:rsidRPr="009650AC">
        <w:t>senator</w:t>
      </w:r>
      <w:r w:rsidR="0012186E">
        <w:t>es</w:t>
      </w:r>
      <w:r w:rsidRPr="009650AC">
        <w:t xml:space="preserve"> </w:t>
      </w:r>
      <w:r w:rsidR="0012186E">
        <w:t>Indra Meldere</w:t>
      </w:r>
      <w:r w:rsidRPr="009650AC">
        <w:t xml:space="preserve"> un </w:t>
      </w:r>
      <w:r w:rsidR="009F56AE">
        <w:t>Rudīte Vīduša</w:t>
      </w:r>
    </w:p>
    <w:p w14:paraId="5C6CA73A" w14:textId="77777777" w:rsidR="005716A2" w:rsidRDefault="005716A2" w:rsidP="003773E7">
      <w:pPr>
        <w:spacing w:line="276" w:lineRule="auto"/>
        <w:ind w:firstLine="720"/>
        <w:jc w:val="both"/>
      </w:pPr>
    </w:p>
    <w:p w14:paraId="4F585395" w14:textId="323CE1AF" w:rsidR="005716A2" w:rsidRDefault="005716A2" w:rsidP="003773E7">
      <w:pPr>
        <w:spacing w:line="276" w:lineRule="auto"/>
        <w:ind w:firstLine="720"/>
        <w:jc w:val="both"/>
      </w:pPr>
      <w:r>
        <w:rPr>
          <w:lang w:eastAsia="en-US"/>
        </w:rPr>
        <w:t xml:space="preserve">rakstveida procesā izskatīja administratīvo lietu, </w:t>
      </w:r>
      <w:r>
        <w:t xml:space="preserve">kas ierosināta, pamatojoties uz </w:t>
      </w:r>
      <w:r w:rsidR="003773E7">
        <w:rPr>
          <w:color w:val="000000"/>
          <w:shd w:val="clear" w:color="auto" w:fill="FFFFFF"/>
        </w:rPr>
        <w:t xml:space="preserve">[pers. A] </w:t>
      </w:r>
      <w:r>
        <w:t xml:space="preserve">pieteikumu par labvēlīga administratīvā akta izdošanu, ar kuru pieteicējam tiktu piešķirta valsts vecuma pensija ar atvieglotiem noteikumiem par darbu </w:t>
      </w:r>
      <w:r w:rsidR="00EB255D">
        <w:t>sevišķi kaitīgos un sevišķi smagos darba apstākļos</w:t>
      </w:r>
      <w:r>
        <w:rPr>
          <w:lang w:eastAsia="en-US"/>
        </w:rPr>
        <w:t xml:space="preserve">, sakarā ar </w:t>
      </w:r>
      <w:r w:rsidR="00EB255D">
        <w:rPr>
          <w:lang w:eastAsia="en-US"/>
        </w:rPr>
        <w:t>Valsts sociālās apdrošināšanas aģentūras</w:t>
      </w:r>
      <w:r>
        <w:t xml:space="preserve"> kasācijas sūdzību par Administratīvās apgabaltiesas 202</w:t>
      </w:r>
      <w:r w:rsidR="00EB255D">
        <w:t>3</w:t>
      </w:r>
      <w:r>
        <w:t xml:space="preserve">.gada </w:t>
      </w:r>
      <w:r w:rsidR="00EB255D">
        <w:t>3</w:t>
      </w:r>
      <w:r>
        <w:t>.</w:t>
      </w:r>
      <w:r w:rsidR="00EB255D">
        <w:t>mart</w:t>
      </w:r>
      <w:r>
        <w:t>a spriedumu.</w:t>
      </w:r>
    </w:p>
    <w:p w14:paraId="0A8B4A1B" w14:textId="77777777" w:rsidR="005716A2" w:rsidRDefault="005716A2" w:rsidP="003773E7">
      <w:pPr>
        <w:autoSpaceDE w:val="0"/>
        <w:autoSpaceDN w:val="0"/>
        <w:adjustRightInd w:val="0"/>
        <w:spacing w:line="276" w:lineRule="auto"/>
        <w:ind w:firstLine="720"/>
        <w:jc w:val="both"/>
      </w:pPr>
    </w:p>
    <w:p w14:paraId="1CA6B285" w14:textId="77777777" w:rsidR="005716A2" w:rsidRDefault="005716A2" w:rsidP="003773E7">
      <w:pPr>
        <w:spacing w:line="276" w:lineRule="auto"/>
        <w:jc w:val="center"/>
        <w:rPr>
          <w:b/>
        </w:rPr>
      </w:pPr>
      <w:r w:rsidRPr="0083065B">
        <w:rPr>
          <w:b/>
        </w:rPr>
        <w:t>Aprakstošā daļa</w:t>
      </w:r>
    </w:p>
    <w:p w14:paraId="421B6172" w14:textId="77777777" w:rsidR="005716A2" w:rsidRPr="00A207A0" w:rsidRDefault="005716A2" w:rsidP="003773E7">
      <w:pPr>
        <w:spacing w:line="276" w:lineRule="auto"/>
        <w:ind w:firstLine="720"/>
        <w:jc w:val="center"/>
        <w:rPr>
          <w:bCs/>
        </w:rPr>
      </w:pPr>
    </w:p>
    <w:p w14:paraId="2F76370B" w14:textId="15B517F1" w:rsidR="005716A2" w:rsidRPr="002355CB" w:rsidRDefault="005716A2" w:rsidP="003773E7">
      <w:pPr>
        <w:autoSpaceDE w:val="0"/>
        <w:autoSpaceDN w:val="0"/>
        <w:adjustRightInd w:val="0"/>
        <w:spacing w:line="276" w:lineRule="auto"/>
        <w:ind w:firstLine="720"/>
        <w:jc w:val="both"/>
        <w:rPr>
          <w:rFonts w:asciiTheme="majorBidi" w:hAnsiTheme="majorBidi" w:cstheme="majorBidi"/>
        </w:rPr>
      </w:pPr>
      <w:r w:rsidRPr="002355CB">
        <w:rPr>
          <w:rFonts w:asciiTheme="majorBidi" w:hAnsiTheme="majorBidi" w:cstheme="majorBidi"/>
        </w:rPr>
        <w:t>[1]</w:t>
      </w:r>
      <w:r w:rsidR="00BE54AE">
        <w:rPr>
          <w:rFonts w:asciiTheme="majorBidi" w:hAnsiTheme="majorBidi" w:cstheme="majorBidi"/>
        </w:rPr>
        <w:t> </w:t>
      </w:r>
      <w:r w:rsidR="00EB255D">
        <w:rPr>
          <w:rFonts w:asciiTheme="majorBidi" w:hAnsiTheme="majorBidi" w:cstheme="majorBidi"/>
        </w:rPr>
        <w:t>Pieteicējs</w:t>
      </w:r>
      <w:r w:rsidRPr="002355CB">
        <w:rPr>
          <w:rFonts w:asciiTheme="majorBidi" w:hAnsiTheme="majorBidi" w:cstheme="majorBidi"/>
        </w:rPr>
        <w:t xml:space="preserve"> </w:t>
      </w:r>
      <w:r w:rsidR="003773E7">
        <w:rPr>
          <w:color w:val="000000"/>
          <w:shd w:val="clear" w:color="auto" w:fill="FFFFFF"/>
        </w:rPr>
        <w:t xml:space="preserve">[pers. A] </w:t>
      </w:r>
      <w:r w:rsidR="00EB255D" w:rsidRPr="002355CB">
        <w:rPr>
          <w:rFonts w:asciiTheme="majorBidi" w:hAnsiTheme="majorBidi" w:cstheme="majorBidi"/>
        </w:rPr>
        <w:t>202</w:t>
      </w:r>
      <w:r w:rsidR="00EB255D">
        <w:rPr>
          <w:rFonts w:asciiTheme="majorBidi" w:hAnsiTheme="majorBidi" w:cstheme="majorBidi"/>
        </w:rPr>
        <w:t>1</w:t>
      </w:r>
      <w:r w:rsidR="00EB255D" w:rsidRPr="002355CB">
        <w:rPr>
          <w:rFonts w:asciiTheme="majorBidi" w:hAnsiTheme="majorBidi" w:cstheme="majorBidi"/>
        </w:rPr>
        <w:t xml:space="preserve">.gada </w:t>
      </w:r>
      <w:r w:rsidR="00EB255D">
        <w:rPr>
          <w:rFonts w:asciiTheme="majorBidi" w:hAnsiTheme="majorBidi" w:cstheme="majorBidi"/>
        </w:rPr>
        <w:t>18</w:t>
      </w:r>
      <w:r w:rsidR="00EB255D" w:rsidRPr="002355CB">
        <w:rPr>
          <w:rFonts w:asciiTheme="majorBidi" w:hAnsiTheme="majorBidi" w:cstheme="majorBidi"/>
        </w:rPr>
        <w:t>.</w:t>
      </w:r>
      <w:r w:rsidR="00EB255D">
        <w:rPr>
          <w:rFonts w:asciiTheme="majorBidi" w:hAnsiTheme="majorBidi" w:cstheme="majorBidi"/>
        </w:rPr>
        <w:t>novembrī</w:t>
      </w:r>
      <w:r w:rsidR="00EB255D" w:rsidRPr="002355CB">
        <w:rPr>
          <w:rFonts w:asciiTheme="majorBidi" w:hAnsiTheme="majorBidi" w:cstheme="majorBidi"/>
        </w:rPr>
        <w:t xml:space="preserve"> </w:t>
      </w:r>
      <w:r w:rsidRPr="002355CB">
        <w:rPr>
          <w:rFonts w:asciiTheme="majorBidi" w:hAnsiTheme="majorBidi" w:cstheme="majorBidi"/>
          <w:color w:val="000000"/>
          <w:shd w:val="clear" w:color="auto" w:fill="FFFFFF"/>
        </w:rPr>
        <w:t xml:space="preserve">vērsās </w:t>
      </w:r>
      <w:r w:rsidR="00EB255D">
        <w:rPr>
          <w:rFonts w:asciiTheme="majorBidi" w:hAnsiTheme="majorBidi" w:cstheme="majorBidi"/>
          <w:color w:val="000000"/>
          <w:shd w:val="clear" w:color="auto" w:fill="FFFFFF"/>
        </w:rPr>
        <w:t>Valsts sociālās apdrošināšanas aģentūrā</w:t>
      </w:r>
      <w:r w:rsidRPr="002355CB">
        <w:rPr>
          <w:rFonts w:asciiTheme="majorBidi" w:hAnsiTheme="majorBidi" w:cstheme="majorBidi"/>
          <w:color w:val="000000"/>
          <w:shd w:val="clear" w:color="auto" w:fill="FFFFFF"/>
        </w:rPr>
        <w:t xml:space="preserve"> (turpmāk – </w:t>
      </w:r>
      <w:r w:rsidR="00EB255D">
        <w:rPr>
          <w:rFonts w:asciiTheme="majorBidi" w:hAnsiTheme="majorBidi" w:cstheme="majorBidi"/>
          <w:color w:val="000000"/>
          <w:shd w:val="clear" w:color="auto" w:fill="FFFFFF"/>
        </w:rPr>
        <w:t>aģentūra</w:t>
      </w:r>
      <w:r w:rsidRPr="002355CB">
        <w:rPr>
          <w:rFonts w:asciiTheme="majorBidi" w:hAnsiTheme="majorBidi" w:cstheme="majorBidi"/>
          <w:color w:val="000000"/>
          <w:shd w:val="clear" w:color="auto" w:fill="FFFFFF"/>
        </w:rPr>
        <w:t>)</w:t>
      </w:r>
      <w:r w:rsidR="00EB255D">
        <w:rPr>
          <w:rFonts w:asciiTheme="majorBidi" w:hAnsiTheme="majorBidi" w:cstheme="majorBidi"/>
          <w:color w:val="000000"/>
          <w:shd w:val="clear" w:color="auto" w:fill="FFFFFF"/>
        </w:rPr>
        <w:t>,</w:t>
      </w:r>
      <w:r w:rsidRPr="002355CB">
        <w:rPr>
          <w:rFonts w:asciiTheme="majorBidi" w:hAnsiTheme="majorBidi" w:cstheme="majorBidi"/>
          <w:color w:val="000000"/>
          <w:shd w:val="clear" w:color="auto" w:fill="FFFFFF"/>
        </w:rPr>
        <w:t xml:space="preserve"> lūdzot </w:t>
      </w:r>
      <w:r w:rsidR="00EB255D">
        <w:rPr>
          <w:rFonts w:asciiTheme="majorBidi" w:hAnsiTheme="majorBidi" w:cstheme="majorBidi"/>
          <w:color w:val="000000"/>
          <w:shd w:val="clear" w:color="auto" w:fill="FFFFFF"/>
        </w:rPr>
        <w:t xml:space="preserve">piešķirt vecuma pensiju </w:t>
      </w:r>
      <w:r w:rsidR="008417D7">
        <w:rPr>
          <w:rFonts w:asciiTheme="majorBidi" w:hAnsiTheme="majorBidi" w:cstheme="majorBidi"/>
          <w:color w:val="000000"/>
          <w:shd w:val="clear" w:color="auto" w:fill="FFFFFF"/>
        </w:rPr>
        <w:t xml:space="preserve">ar atvieglotiem noteikumiem </w:t>
      </w:r>
      <w:r w:rsidR="00EB255D">
        <w:rPr>
          <w:rFonts w:asciiTheme="majorBidi" w:hAnsiTheme="majorBidi" w:cstheme="majorBidi"/>
          <w:color w:val="000000"/>
          <w:shd w:val="clear" w:color="auto" w:fill="FFFFFF"/>
        </w:rPr>
        <w:t>no 2021.gada 1.janvāra kā personai, kura līdz 1995.gada 31.decembrim ir strādājusi sevišķi kaitīgos un sevišķi smagos darba apstākļos</w:t>
      </w:r>
      <w:r w:rsidRPr="002355CB">
        <w:rPr>
          <w:rFonts w:asciiTheme="majorBidi" w:hAnsiTheme="majorBidi" w:cstheme="majorBidi"/>
        </w:rPr>
        <w:t>.</w:t>
      </w:r>
    </w:p>
    <w:p w14:paraId="652A78A9" w14:textId="6C73D326" w:rsidR="005716A2" w:rsidRPr="002355CB" w:rsidRDefault="00EB255D" w:rsidP="003773E7">
      <w:pPr>
        <w:autoSpaceDE w:val="0"/>
        <w:autoSpaceDN w:val="0"/>
        <w:adjustRightInd w:val="0"/>
        <w:spacing w:line="276" w:lineRule="auto"/>
        <w:ind w:firstLine="720"/>
        <w:jc w:val="both"/>
        <w:rPr>
          <w:rFonts w:asciiTheme="majorBidi" w:hAnsiTheme="majorBidi" w:cstheme="majorBidi"/>
        </w:rPr>
      </w:pPr>
      <w:r w:rsidRPr="00EB255D">
        <w:rPr>
          <w:rFonts w:asciiTheme="majorBidi" w:hAnsiTheme="majorBidi" w:cstheme="majorBidi"/>
          <w:lang w:eastAsia="en-US"/>
        </w:rPr>
        <w:t>Ar aģentūras 2021.gada 14.</w:t>
      </w:r>
      <w:r>
        <w:rPr>
          <w:rFonts w:asciiTheme="majorBidi" w:hAnsiTheme="majorBidi" w:cstheme="majorBidi"/>
          <w:lang w:eastAsia="en-US"/>
        </w:rPr>
        <w:t>jūnij</w:t>
      </w:r>
      <w:r w:rsidRPr="00EB255D">
        <w:rPr>
          <w:rFonts w:asciiTheme="majorBidi" w:hAnsiTheme="majorBidi" w:cstheme="majorBidi"/>
          <w:lang w:eastAsia="en-US"/>
        </w:rPr>
        <w:t>a lēmumu Nr.</w:t>
      </w:r>
      <w:r w:rsidR="008A6151">
        <w:rPr>
          <w:rFonts w:asciiTheme="majorBidi" w:hAnsiTheme="majorBidi" w:cstheme="majorBidi"/>
          <w:lang w:eastAsia="en-US"/>
        </w:rPr>
        <w:t> </w:t>
      </w:r>
      <w:r w:rsidRPr="00EB255D">
        <w:rPr>
          <w:rFonts w:asciiTheme="majorBidi" w:hAnsiTheme="majorBidi" w:cstheme="majorBidi"/>
          <w:lang w:eastAsia="en-US"/>
        </w:rPr>
        <w:t>21/</w:t>
      </w:r>
      <w:r>
        <w:rPr>
          <w:rFonts w:asciiTheme="majorBidi" w:hAnsiTheme="majorBidi" w:cstheme="majorBidi"/>
          <w:lang w:eastAsia="en-US"/>
        </w:rPr>
        <w:t>1416008</w:t>
      </w:r>
      <w:r w:rsidRPr="00EB255D">
        <w:rPr>
          <w:rFonts w:asciiTheme="majorBidi" w:hAnsiTheme="majorBidi" w:cstheme="majorBidi"/>
          <w:lang w:eastAsia="en-US"/>
        </w:rPr>
        <w:t xml:space="preserve"> (turpmāk – </w:t>
      </w:r>
      <w:r>
        <w:rPr>
          <w:rFonts w:asciiTheme="majorBidi" w:hAnsiTheme="majorBidi" w:cstheme="majorBidi"/>
          <w:lang w:eastAsia="en-US"/>
        </w:rPr>
        <w:t>pārsūdzētais</w:t>
      </w:r>
      <w:r w:rsidRPr="00EB255D">
        <w:rPr>
          <w:rFonts w:asciiTheme="majorBidi" w:hAnsiTheme="majorBidi" w:cstheme="majorBidi"/>
          <w:lang w:eastAsia="en-US"/>
        </w:rPr>
        <w:t xml:space="preserve"> lēmums) </w:t>
      </w:r>
      <w:r w:rsidR="00DB334D">
        <w:rPr>
          <w:rFonts w:asciiTheme="majorBidi" w:hAnsiTheme="majorBidi" w:cstheme="majorBidi"/>
          <w:lang w:eastAsia="en-US"/>
        </w:rPr>
        <w:t>lūgumam atteikts</w:t>
      </w:r>
      <w:r w:rsidRPr="00EB255D">
        <w:rPr>
          <w:rFonts w:asciiTheme="majorBidi" w:hAnsiTheme="majorBidi" w:cstheme="majorBidi"/>
          <w:lang w:eastAsia="en-US"/>
        </w:rPr>
        <w:t>, jo pieteicējam nav nepieciešamā speciālā apdrošināšanas stāža</w:t>
      </w:r>
      <w:r w:rsidR="005716A2" w:rsidRPr="002355CB">
        <w:rPr>
          <w:rFonts w:asciiTheme="majorBidi" w:hAnsiTheme="majorBidi" w:cstheme="majorBidi"/>
          <w:lang w:eastAsia="en-US"/>
        </w:rPr>
        <w:t>.</w:t>
      </w:r>
    </w:p>
    <w:p w14:paraId="2963D92B" w14:textId="77700640" w:rsidR="005716A2" w:rsidRPr="002355CB" w:rsidRDefault="005716A2" w:rsidP="003773E7">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2355CB">
        <w:rPr>
          <w:rFonts w:asciiTheme="majorBidi" w:eastAsiaTheme="minorHAnsi" w:hAnsiTheme="majorBidi" w:cstheme="majorBidi"/>
          <w:lang w:eastAsia="en-US"/>
          <w14:ligatures w14:val="standardContextual"/>
        </w:rPr>
        <w:t>Pieteicēj</w:t>
      </w:r>
      <w:r w:rsidR="002D425D">
        <w:rPr>
          <w:rFonts w:asciiTheme="majorBidi" w:eastAsiaTheme="minorHAnsi" w:hAnsiTheme="majorBidi" w:cstheme="majorBidi"/>
          <w:lang w:eastAsia="en-US"/>
          <w14:ligatures w14:val="standardContextual"/>
        </w:rPr>
        <w:t>s</w:t>
      </w:r>
      <w:r w:rsidRPr="002355CB">
        <w:rPr>
          <w:rFonts w:asciiTheme="majorBidi" w:eastAsiaTheme="minorHAnsi" w:hAnsiTheme="majorBidi" w:cstheme="majorBidi"/>
          <w:lang w:eastAsia="en-US"/>
          <w14:ligatures w14:val="standardContextual"/>
        </w:rPr>
        <w:t xml:space="preserve"> lēmumu pārsūdzēja tiesā</w:t>
      </w:r>
      <w:r w:rsidR="00F4478E">
        <w:rPr>
          <w:rFonts w:asciiTheme="majorBidi" w:eastAsiaTheme="minorHAnsi" w:hAnsiTheme="majorBidi" w:cstheme="majorBidi"/>
          <w:lang w:eastAsia="en-US"/>
          <w14:ligatures w14:val="standardContextual"/>
        </w:rPr>
        <w:t xml:space="preserve"> un lūdza</w:t>
      </w:r>
      <w:r w:rsidR="002D425D">
        <w:rPr>
          <w:rFonts w:asciiTheme="majorBidi" w:eastAsiaTheme="minorHAnsi" w:hAnsiTheme="majorBidi" w:cstheme="majorBidi"/>
          <w:lang w:eastAsia="en-US"/>
          <w14:ligatures w14:val="standardContextual"/>
        </w:rPr>
        <w:t xml:space="preserve"> piešķirt viņam </w:t>
      </w:r>
      <w:r w:rsidR="002D425D">
        <w:rPr>
          <w:rFonts w:asciiTheme="majorBidi" w:hAnsiTheme="majorBidi" w:cstheme="majorBidi"/>
          <w:color w:val="000000"/>
          <w:shd w:val="clear" w:color="auto" w:fill="FFFFFF"/>
        </w:rPr>
        <w:t>pensiju no 2021.gada 1.janvāra ar atvieglotiem noteikumiem</w:t>
      </w:r>
      <w:r w:rsidR="00DB334D">
        <w:rPr>
          <w:rFonts w:asciiTheme="majorBidi" w:hAnsiTheme="majorBidi" w:cstheme="majorBidi"/>
          <w:lang w:eastAsia="en-US"/>
        </w:rPr>
        <w:t>.</w:t>
      </w:r>
    </w:p>
    <w:p w14:paraId="768EFE11" w14:textId="77777777" w:rsidR="005716A2" w:rsidRPr="002355CB" w:rsidRDefault="005716A2" w:rsidP="003773E7">
      <w:pPr>
        <w:autoSpaceDE w:val="0"/>
        <w:autoSpaceDN w:val="0"/>
        <w:adjustRightInd w:val="0"/>
        <w:spacing w:line="276" w:lineRule="auto"/>
        <w:ind w:firstLine="720"/>
        <w:jc w:val="both"/>
        <w:rPr>
          <w:rFonts w:asciiTheme="majorBidi" w:hAnsiTheme="majorBidi" w:cstheme="majorBidi"/>
        </w:rPr>
      </w:pPr>
    </w:p>
    <w:p w14:paraId="66B5BBE6" w14:textId="5E48B3EF" w:rsidR="005716A2" w:rsidRDefault="005716A2" w:rsidP="003773E7">
      <w:pPr>
        <w:autoSpaceDE w:val="0"/>
        <w:autoSpaceDN w:val="0"/>
        <w:adjustRightInd w:val="0"/>
        <w:spacing w:line="276" w:lineRule="auto"/>
        <w:ind w:firstLine="720"/>
        <w:jc w:val="both"/>
        <w:rPr>
          <w:rFonts w:asciiTheme="majorBidi" w:hAnsiTheme="majorBidi" w:cstheme="majorBidi"/>
        </w:rPr>
      </w:pPr>
      <w:r w:rsidRPr="002355CB">
        <w:rPr>
          <w:rFonts w:asciiTheme="majorBidi" w:hAnsiTheme="majorBidi" w:cstheme="majorBidi"/>
        </w:rPr>
        <w:lastRenderedPageBreak/>
        <w:t>[2]</w:t>
      </w:r>
      <w:r w:rsidR="00BE54AE">
        <w:rPr>
          <w:rFonts w:asciiTheme="majorBidi" w:hAnsiTheme="majorBidi" w:cstheme="majorBidi"/>
        </w:rPr>
        <w:t> </w:t>
      </w:r>
      <w:r w:rsidRPr="002355CB">
        <w:rPr>
          <w:rFonts w:asciiTheme="majorBidi" w:hAnsiTheme="majorBidi" w:cstheme="majorBidi"/>
        </w:rPr>
        <w:t>Ar Administratīvās apgabaltiesas 202</w:t>
      </w:r>
      <w:r w:rsidR="002D425D">
        <w:rPr>
          <w:rFonts w:asciiTheme="majorBidi" w:hAnsiTheme="majorBidi" w:cstheme="majorBidi"/>
        </w:rPr>
        <w:t>3</w:t>
      </w:r>
      <w:r w:rsidRPr="002355CB">
        <w:rPr>
          <w:rFonts w:asciiTheme="majorBidi" w:hAnsiTheme="majorBidi" w:cstheme="majorBidi"/>
        </w:rPr>
        <w:t xml:space="preserve">.gada </w:t>
      </w:r>
      <w:r w:rsidR="002D425D">
        <w:rPr>
          <w:rFonts w:asciiTheme="majorBidi" w:hAnsiTheme="majorBidi" w:cstheme="majorBidi"/>
        </w:rPr>
        <w:t>3.marta</w:t>
      </w:r>
      <w:r w:rsidRPr="002355CB">
        <w:rPr>
          <w:rFonts w:asciiTheme="majorBidi" w:hAnsiTheme="majorBidi" w:cstheme="majorBidi"/>
        </w:rPr>
        <w:t xml:space="preserve"> spriedumu pieteikums </w:t>
      </w:r>
      <w:r w:rsidR="002D425D">
        <w:rPr>
          <w:rFonts w:asciiTheme="majorBidi" w:hAnsiTheme="majorBidi" w:cstheme="majorBidi"/>
        </w:rPr>
        <w:t>apmierināts</w:t>
      </w:r>
      <w:r>
        <w:rPr>
          <w:rFonts w:asciiTheme="majorBidi" w:hAnsiTheme="majorBidi" w:cstheme="majorBidi"/>
        </w:rPr>
        <w:t>.</w:t>
      </w:r>
      <w:r w:rsidR="002D425D" w:rsidRPr="002D425D">
        <w:t xml:space="preserve"> </w:t>
      </w:r>
      <w:r w:rsidR="002D425D">
        <w:t xml:space="preserve">Apgabaltiesa pievienojās </w:t>
      </w:r>
      <w:r w:rsidR="002D425D">
        <w:rPr>
          <w:lang w:eastAsia="en-US"/>
        </w:rPr>
        <w:t>pirmās instances</w:t>
      </w:r>
      <w:r w:rsidR="002D425D">
        <w:t xml:space="preserve"> tiesas sprieduma motivācijai un norādīja turpmāk minētos argumentus.</w:t>
      </w:r>
    </w:p>
    <w:p w14:paraId="6F24CC9E" w14:textId="4D2F516E" w:rsidR="007B7D1A" w:rsidRDefault="005716A2" w:rsidP="003773E7">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[2.1]</w:t>
      </w:r>
      <w:r w:rsidR="00BE54AE">
        <w:rPr>
          <w:rFonts w:asciiTheme="majorBidi" w:hAnsiTheme="majorBidi" w:cstheme="majorBidi"/>
        </w:rPr>
        <w:t> </w:t>
      </w:r>
      <w:r w:rsidR="008A6151">
        <w:rPr>
          <w:rFonts w:asciiTheme="majorBidi" w:hAnsiTheme="majorBidi" w:cstheme="majorBidi"/>
        </w:rPr>
        <w:t>P</w:t>
      </w:r>
      <w:r w:rsidR="007B7D1A" w:rsidRPr="002D425D">
        <w:rPr>
          <w:rFonts w:asciiTheme="majorBidi" w:hAnsiTheme="majorBidi" w:cstheme="majorBidi"/>
        </w:rPr>
        <w:t xml:space="preserve">ieteicējs līdz 1995.gada 31.decembrim ne mazāk kā piecus gadus </w:t>
      </w:r>
      <w:r w:rsidR="007B7D1A">
        <w:rPr>
          <w:rFonts w:asciiTheme="majorBidi" w:hAnsiTheme="majorBidi" w:cstheme="majorBidi"/>
        </w:rPr>
        <w:t xml:space="preserve">bija </w:t>
      </w:r>
      <w:r w:rsidR="007B7D1A" w:rsidRPr="002D425D">
        <w:rPr>
          <w:rFonts w:asciiTheme="majorBidi" w:hAnsiTheme="majorBidi" w:cstheme="majorBidi"/>
        </w:rPr>
        <w:t>pastāvīgi nodarbināts sevišķi kaitīgos un sevišķi smagos darba apstākļos</w:t>
      </w:r>
      <w:r w:rsidR="007B7D1A">
        <w:rPr>
          <w:rFonts w:asciiTheme="majorBidi" w:hAnsiTheme="majorBidi" w:cstheme="majorBidi"/>
        </w:rPr>
        <w:t xml:space="preserve"> –</w:t>
      </w:r>
      <w:r w:rsidR="007B7D1A" w:rsidRPr="002D425D">
        <w:rPr>
          <w:rFonts w:asciiTheme="majorBidi" w:hAnsiTheme="majorBidi" w:cstheme="majorBidi"/>
        </w:rPr>
        <w:t xml:space="preserve"> izstrādājumu no stikla šķiedras izgatavošanā</w:t>
      </w:r>
      <w:r w:rsidR="007B7D1A">
        <w:rPr>
          <w:rFonts w:asciiTheme="majorBidi" w:hAnsiTheme="majorBidi" w:cstheme="majorBidi"/>
        </w:rPr>
        <w:t>, veicot</w:t>
      </w:r>
      <w:r w:rsidR="007B7D1A" w:rsidRPr="002D425D">
        <w:rPr>
          <w:rFonts w:asciiTheme="majorBidi" w:hAnsiTheme="majorBidi" w:cstheme="majorBidi"/>
        </w:rPr>
        <w:t xml:space="preserve"> stiklaplasta formētāja darbu</w:t>
      </w:r>
      <w:r w:rsidR="00A74388">
        <w:rPr>
          <w:rFonts w:asciiTheme="majorBidi" w:hAnsiTheme="majorBidi" w:cstheme="majorBidi"/>
        </w:rPr>
        <w:t xml:space="preserve">. Šis darbs ir ietverts </w:t>
      </w:r>
      <w:r w:rsidR="00D2395F" w:rsidRPr="004E0BB0">
        <w:t>Ražotņu, nozaru, cehu, profesiju un amatu saraksta Nr.</w:t>
      </w:r>
      <w:r w:rsidR="00D2395F">
        <w:t> </w:t>
      </w:r>
      <w:r w:rsidR="00D2395F" w:rsidRPr="004E0BB0">
        <w:t>1, kas apstiprināts ar</w:t>
      </w:r>
      <w:r w:rsidR="001C5F12">
        <w:t xml:space="preserve"> Padomju Sociālistisko Republiku Savienības (turpmāk – </w:t>
      </w:r>
      <w:r w:rsidR="00D2395F" w:rsidRPr="004E0BB0">
        <w:t>PSRS</w:t>
      </w:r>
      <w:r w:rsidR="001C5F12">
        <w:t>)</w:t>
      </w:r>
      <w:r w:rsidR="00D2395F" w:rsidRPr="004E0BB0">
        <w:t xml:space="preserve"> Ministru Padomes 1956.gada 22.augusta lēmumu Nr.</w:t>
      </w:r>
      <w:r w:rsidR="00D2395F">
        <w:t> </w:t>
      </w:r>
      <w:r w:rsidR="00D2395F" w:rsidRPr="004E0BB0">
        <w:t>1173 (</w:t>
      </w:r>
      <w:bookmarkStart w:id="1" w:name="_Hlk194068078"/>
      <w:r w:rsidR="00D2395F" w:rsidRPr="004E0BB0">
        <w:t>turpmāk – saraksts Nr.</w:t>
      </w:r>
      <w:r w:rsidR="00D2395F">
        <w:t> </w:t>
      </w:r>
      <w:r w:rsidR="00D2395F" w:rsidRPr="004E0BB0">
        <w:t xml:space="preserve">1) </w:t>
      </w:r>
      <w:r w:rsidR="007B7D1A" w:rsidRPr="002D425D">
        <w:rPr>
          <w:rFonts w:asciiTheme="majorBidi" w:hAnsiTheme="majorBidi" w:cstheme="majorBidi"/>
        </w:rPr>
        <w:t>XV</w:t>
      </w:r>
      <w:r w:rsidR="008A6151">
        <w:rPr>
          <w:rFonts w:asciiTheme="majorBidi" w:hAnsiTheme="majorBidi" w:cstheme="majorBidi"/>
        </w:rPr>
        <w:t> </w:t>
      </w:r>
      <w:r w:rsidR="007B7D1A" w:rsidRPr="002D425D">
        <w:rPr>
          <w:rFonts w:asciiTheme="majorBidi" w:hAnsiTheme="majorBidi" w:cstheme="majorBidi"/>
        </w:rPr>
        <w:t>nodaļas 1.apakšnodaļ</w:t>
      </w:r>
      <w:r w:rsidR="007B7D1A">
        <w:rPr>
          <w:rFonts w:asciiTheme="majorBidi" w:hAnsiTheme="majorBidi" w:cstheme="majorBidi"/>
        </w:rPr>
        <w:t>ā</w:t>
      </w:r>
      <w:bookmarkEnd w:id="1"/>
      <w:r w:rsidR="007B7D1A" w:rsidRPr="002D425D">
        <w:rPr>
          <w:rFonts w:asciiTheme="majorBidi" w:hAnsiTheme="majorBidi" w:cstheme="majorBidi"/>
        </w:rPr>
        <w:t>.</w:t>
      </w:r>
    </w:p>
    <w:p w14:paraId="5470DDC4" w14:textId="1CEE0DCF" w:rsidR="00A54E0C" w:rsidRDefault="00304AAA" w:rsidP="003773E7">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[2.2]</w:t>
      </w:r>
      <w:r w:rsidR="00BE54AE">
        <w:rPr>
          <w:rFonts w:asciiTheme="majorBidi" w:hAnsiTheme="majorBidi" w:cstheme="majorBidi"/>
        </w:rPr>
        <w:t> </w:t>
      </w:r>
      <w:r w:rsidR="008A6151">
        <w:rPr>
          <w:rFonts w:asciiTheme="majorBidi" w:hAnsiTheme="majorBidi" w:cstheme="majorBidi"/>
        </w:rPr>
        <w:t>L</w:t>
      </w:r>
      <w:r w:rsidR="002D425D" w:rsidRPr="002D425D">
        <w:rPr>
          <w:rFonts w:asciiTheme="majorBidi" w:hAnsiTheme="majorBidi" w:cstheme="majorBidi"/>
        </w:rPr>
        <w:t>ietā ir piemēroj</w:t>
      </w:r>
      <w:r w:rsidR="00C349EB">
        <w:rPr>
          <w:rFonts w:asciiTheme="majorBidi" w:hAnsiTheme="majorBidi" w:cstheme="majorBidi"/>
        </w:rPr>
        <w:t>am</w:t>
      </w:r>
      <w:r w:rsidR="008A6151">
        <w:rPr>
          <w:rFonts w:asciiTheme="majorBidi" w:hAnsiTheme="majorBidi" w:cstheme="majorBidi"/>
        </w:rPr>
        <w:t>s</w:t>
      </w:r>
      <w:r w:rsidR="002D425D" w:rsidRPr="002D425D">
        <w:rPr>
          <w:rFonts w:asciiTheme="majorBidi" w:hAnsiTheme="majorBidi" w:cstheme="majorBidi"/>
        </w:rPr>
        <w:t xml:space="preserve"> </w:t>
      </w:r>
      <w:r w:rsidR="00C349EB" w:rsidRPr="00C349EB">
        <w:rPr>
          <w:rFonts w:asciiTheme="majorBidi" w:hAnsiTheme="majorBidi" w:cstheme="majorBidi"/>
        </w:rPr>
        <w:t>PSRS Ministru padomes Valsts darba un darba algas jautājumu komitejas un Vissavienības arodbiedrību Centrālās padomes 1976.gada 2.aprīļa skaidrojum</w:t>
      </w:r>
      <w:r w:rsidR="008A6151">
        <w:rPr>
          <w:rFonts w:asciiTheme="majorBidi" w:hAnsiTheme="majorBidi" w:cstheme="majorBidi"/>
        </w:rPr>
        <w:t>s</w:t>
      </w:r>
      <w:r w:rsidR="00C349EB" w:rsidRPr="00C349EB">
        <w:rPr>
          <w:rFonts w:asciiTheme="majorBidi" w:hAnsiTheme="majorBidi" w:cstheme="majorBidi"/>
        </w:rPr>
        <w:t xml:space="preserve"> Nr.</w:t>
      </w:r>
      <w:r w:rsidR="008A6151">
        <w:rPr>
          <w:rFonts w:asciiTheme="majorBidi" w:hAnsiTheme="majorBidi" w:cstheme="majorBidi"/>
        </w:rPr>
        <w:t> </w:t>
      </w:r>
      <w:r w:rsidR="00C349EB" w:rsidRPr="00C349EB">
        <w:rPr>
          <w:rFonts w:asciiTheme="majorBidi" w:hAnsiTheme="majorBidi" w:cstheme="majorBidi"/>
        </w:rPr>
        <w:t xml:space="preserve">5/8 </w:t>
      </w:r>
      <w:r w:rsidR="00C349EB">
        <w:t>„</w:t>
      </w:r>
      <w:r w:rsidR="00C349EB" w:rsidRPr="00C349EB">
        <w:rPr>
          <w:rFonts w:asciiTheme="majorBidi" w:hAnsiTheme="majorBidi" w:cstheme="majorBidi"/>
        </w:rPr>
        <w:t>Kārtība, kādā piemērojami ar PSRS Ministru padomes 1956.gada 22.augusta lēmumu Nr.</w:t>
      </w:r>
      <w:r w:rsidR="008A6151">
        <w:rPr>
          <w:rFonts w:asciiTheme="majorBidi" w:hAnsiTheme="majorBidi" w:cstheme="majorBidi"/>
        </w:rPr>
        <w:t> </w:t>
      </w:r>
      <w:r w:rsidR="00C349EB" w:rsidRPr="00C349EB">
        <w:rPr>
          <w:rFonts w:asciiTheme="majorBidi" w:hAnsiTheme="majorBidi" w:cstheme="majorBidi"/>
        </w:rPr>
        <w:t xml:space="preserve">1173 apstiprinātie ražotņu, cehu, profesiju un amatu saraksti, darbs kuros dod tiesības uz valsts pensiju ar atvieglotiem noteikumiem un atvieglotos apmēros” (turpmāk – </w:t>
      </w:r>
      <w:r w:rsidR="003F7425" w:rsidRPr="00C349EB">
        <w:rPr>
          <w:rFonts w:asciiTheme="majorBidi" w:hAnsiTheme="majorBidi" w:cstheme="majorBidi"/>
        </w:rPr>
        <w:t>skaidrojum</w:t>
      </w:r>
      <w:r w:rsidR="003F7425">
        <w:rPr>
          <w:rFonts w:asciiTheme="majorBidi" w:hAnsiTheme="majorBidi" w:cstheme="majorBidi"/>
        </w:rPr>
        <w:t>s</w:t>
      </w:r>
      <w:r w:rsidR="003F7425" w:rsidRPr="00C349EB">
        <w:rPr>
          <w:rFonts w:asciiTheme="majorBidi" w:hAnsiTheme="majorBidi" w:cstheme="majorBidi"/>
        </w:rPr>
        <w:t xml:space="preserve"> Nr.</w:t>
      </w:r>
      <w:r w:rsidR="003F7425">
        <w:rPr>
          <w:rFonts w:asciiTheme="majorBidi" w:hAnsiTheme="majorBidi" w:cstheme="majorBidi"/>
        </w:rPr>
        <w:t> </w:t>
      </w:r>
      <w:r w:rsidR="003F7425" w:rsidRPr="00C349EB">
        <w:rPr>
          <w:rFonts w:asciiTheme="majorBidi" w:hAnsiTheme="majorBidi" w:cstheme="majorBidi"/>
        </w:rPr>
        <w:t>5/8</w:t>
      </w:r>
      <w:r w:rsidR="00C349EB" w:rsidRPr="00C349EB">
        <w:rPr>
          <w:rFonts w:asciiTheme="majorBidi" w:hAnsiTheme="majorBidi" w:cstheme="majorBidi"/>
        </w:rPr>
        <w:t>)</w:t>
      </w:r>
      <w:r w:rsidR="00C349EB">
        <w:rPr>
          <w:rFonts w:asciiTheme="majorBidi" w:hAnsiTheme="majorBidi" w:cstheme="majorBidi"/>
        </w:rPr>
        <w:t xml:space="preserve">. </w:t>
      </w:r>
      <w:r w:rsidR="00A54E0C">
        <w:rPr>
          <w:rFonts w:asciiTheme="majorBidi" w:hAnsiTheme="majorBidi" w:cstheme="majorBidi"/>
        </w:rPr>
        <w:t xml:space="preserve">Ņemot vērā </w:t>
      </w:r>
      <w:r w:rsidR="00A54E0C" w:rsidRPr="00C349EB">
        <w:rPr>
          <w:rFonts w:asciiTheme="majorBidi" w:hAnsiTheme="majorBidi" w:cstheme="majorBidi"/>
        </w:rPr>
        <w:t>skaidrojum</w:t>
      </w:r>
      <w:r w:rsidR="00A54E0C">
        <w:rPr>
          <w:rFonts w:asciiTheme="majorBidi" w:hAnsiTheme="majorBidi" w:cstheme="majorBidi"/>
        </w:rPr>
        <w:t>a</w:t>
      </w:r>
      <w:r w:rsidR="00A54E0C" w:rsidRPr="00C349EB">
        <w:rPr>
          <w:rFonts w:asciiTheme="majorBidi" w:hAnsiTheme="majorBidi" w:cstheme="majorBidi"/>
        </w:rPr>
        <w:t xml:space="preserve"> Nr.</w:t>
      </w:r>
      <w:r w:rsidR="00A54E0C">
        <w:rPr>
          <w:rFonts w:asciiTheme="majorBidi" w:hAnsiTheme="majorBidi" w:cstheme="majorBidi"/>
        </w:rPr>
        <w:t> </w:t>
      </w:r>
      <w:r w:rsidR="00A54E0C" w:rsidRPr="00C349EB">
        <w:rPr>
          <w:rFonts w:asciiTheme="majorBidi" w:hAnsiTheme="majorBidi" w:cstheme="majorBidi"/>
        </w:rPr>
        <w:t>5/8</w:t>
      </w:r>
      <w:r w:rsidR="00A54E0C" w:rsidRPr="000A0ADB">
        <w:rPr>
          <w:rFonts w:asciiTheme="majorBidi" w:hAnsiTheme="majorBidi" w:cstheme="majorBidi"/>
        </w:rPr>
        <w:t xml:space="preserve"> 3.punkt</w:t>
      </w:r>
      <w:r w:rsidR="00A54E0C">
        <w:rPr>
          <w:rFonts w:asciiTheme="majorBidi" w:hAnsiTheme="majorBidi" w:cstheme="majorBidi"/>
        </w:rPr>
        <w:t xml:space="preserve">u un </w:t>
      </w:r>
      <w:r w:rsidR="00A54E0C" w:rsidRPr="000A0ADB">
        <w:rPr>
          <w:rFonts w:asciiTheme="majorBidi" w:hAnsiTheme="majorBidi" w:cstheme="majorBidi"/>
        </w:rPr>
        <w:t>Senāta atziņ</w:t>
      </w:r>
      <w:r w:rsidR="00A54E0C">
        <w:rPr>
          <w:rFonts w:asciiTheme="majorBidi" w:hAnsiTheme="majorBidi" w:cstheme="majorBidi"/>
        </w:rPr>
        <w:t>as</w:t>
      </w:r>
      <w:r w:rsidR="00A54E0C" w:rsidRPr="000A0ADB">
        <w:rPr>
          <w:rFonts w:asciiTheme="majorBidi" w:hAnsiTheme="majorBidi" w:cstheme="majorBidi"/>
        </w:rPr>
        <w:t xml:space="preserve"> lietā ar līdzīgiem faktiskajiem un tiesiskajiem apstākļiem (administratīvā lieta Nr.</w:t>
      </w:r>
      <w:r w:rsidR="00A54E0C">
        <w:rPr>
          <w:rFonts w:asciiTheme="majorBidi" w:hAnsiTheme="majorBidi" w:cstheme="majorBidi"/>
        </w:rPr>
        <w:t> </w:t>
      </w:r>
      <w:r w:rsidR="00A54E0C" w:rsidRPr="000A0ADB">
        <w:rPr>
          <w:rFonts w:asciiTheme="majorBidi" w:hAnsiTheme="majorBidi" w:cstheme="majorBidi"/>
        </w:rPr>
        <w:t>A420408412)</w:t>
      </w:r>
      <w:r w:rsidR="00A54E0C">
        <w:rPr>
          <w:rFonts w:asciiTheme="majorBidi" w:hAnsiTheme="majorBidi" w:cstheme="majorBidi"/>
        </w:rPr>
        <w:t>, secināms, ka</w:t>
      </w:r>
      <w:r w:rsidR="00A54E0C" w:rsidRPr="000A0ADB">
        <w:rPr>
          <w:rFonts w:asciiTheme="majorBidi" w:hAnsiTheme="majorBidi" w:cstheme="majorBidi"/>
        </w:rPr>
        <w:t xml:space="preserve"> saraksta Nr.</w:t>
      </w:r>
      <w:r w:rsidR="00A54E0C">
        <w:rPr>
          <w:rFonts w:asciiTheme="majorBidi" w:hAnsiTheme="majorBidi" w:cstheme="majorBidi"/>
        </w:rPr>
        <w:t> </w:t>
      </w:r>
      <w:r w:rsidR="00A54E0C" w:rsidRPr="000A0ADB">
        <w:rPr>
          <w:rFonts w:asciiTheme="majorBidi" w:hAnsiTheme="majorBidi" w:cstheme="majorBidi"/>
        </w:rPr>
        <w:t>1 XV</w:t>
      </w:r>
      <w:r w:rsidR="00A54E0C">
        <w:rPr>
          <w:rFonts w:asciiTheme="majorBidi" w:hAnsiTheme="majorBidi" w:cstheme="majorBidi"/>
        </w:rPr>
        <w:t> </w:t>
      </w:r>
      <w:r w:rsidR="00A54E0C" w:rsidRPr="000A0ADB">
        <w:rPr>
          <w:rFonts w:asciiTheme="majorBidi" w:hAnsiTheme="majorBidi" w:cstheme="majorBidi"/>
        </w:rPr>
        <w:t>nodaļā nav izvirzīta prasība strādāt noteikt</w:t>
      </w:r>
      <w:r w:rsidR="00A54E0C">
        <w:rPr>
          <w:rFonts w:asciiTheme="majorBidi" w:hAnsiTheme="majorBidi" w:cstheme="majorBidi"/>
        </w:rPr>
        <w:t>a</w:t>
      </w:r>
      <w:r w:rsidR="00A54E0C" w:rsidRPr="000A0ADB">
        <w:rPr>
          <w:rFonts w:asciiTheme="majorBidi" w:hAnsiTheme="majorBidi" w:cstheme="majorBidi"/>
        </w:rPr>
        <w:t xml:space="preserve"> veida ražotnē</w:t>
      </w:r>
      <w:r w:rsidR="00A54E0C">
        <w:rPr>
          <w:rFonts w:asciiTheme="majorBidi" w:hAnsiTheme="majorBidi" w:cstheme="majorBidi"/>
        </w:rPr>
        <w:t>,</w:t>
      </w:r>
      <w:r w:rsidR="00A54E0C" w:rsidRPr="000A0ADB">
        <w:rPr>
          <w:rFonts w:asciiTheme="majorBidi" w:hAnsiTheme="majorBidi" w:cstheme="majorBidi"/>
        </w:rPr>
        <w:t xml:space="preserve"> kas izgatavo stikla (stikla šķiedras), porcelāna un fajansa ražojumus.</w:t>
      </w:r>
    </w:p>
    <w:p w14:paraId="0609E4B5" w14:textId="10CD450E" w:rsidR="002D425D" w:rsidRDefault="00A54E0C" w:rsidP="003773E7">
      <w:pPr>
        <w:autoSpaceDE w:val="0"/>
        <w:autoSpaceDN w:val="0"/>
        <w:adjustRightInd w:val="0"/>
        <w:spacing w:line="276" w:lineRule="auto"/>
        <w:ind w:firstLine="709"/>
        <w:jc w:val="both"/>
        <w:rPr>
          <w:rFonts w:asciiTheme="majorBidi" w:hAnsiTheme="majorBidi" w:cstheme="majorBidi"/>
        </w:rPr>
      </w:pPr>
      <w:r>
        <w:rPr>
          <w:rFonts w:asciiTheme="majorBidi" w:hAnsiTheme="majorBidi" w:cstheme="majorBidi"/>
        </w:rPr>
        <w:t>[2.3]</w:t>
      </w:r>
      <w:r w:rsidR="00BE54AE">
        <w:rPr>
          <w:rFonts w:asciiTheme="majorBidi" w:hAnsiTheme="majorBidi" w:cstheme="majorBidi"/>
        </w:rPr>
        <w:t> </w:t>
      </w:r>
      <w:r>
        <w:rPr>
          <w:rFonts w:asciiTheme="majorBidi" w:hAnsiTheme="majorBidi" w:cstheme="majorBidi"/>
        </w:rPr>
        <w:t xml:space="preserve">Aģentūra ir piemērojusi </w:t>
      </w:r>
      <w:r w:rsidR="00C349EB" w:rsidRPr="00C349EB">
        <w:rPr>
          <w:rFonts w:asciiTheme="majorBidi" w:hAnsiTheme="majorBidi" w:cstheme="majorBidi"/>
        </w:rPr>
        <w:t>PSRS Darba un darba algas valsts komitejas 1980.gada 22.janvāra vēstul</w:t>
      </w:r>
      <w:r>
        <w:rPr>
          <w:rFonts w:asciiTheme="majorBidi" w:hAnsiTheme="majorBidi" w:cstheme="majorBidi"/>
        </w:rPr>
        <w:t>i</w:t>
      </w:r>
      <w:r w:rsidR="00C349EB" w:rsidRPr="00C349EB">
        <w:rPr>
          <w:rFonts w:asciiTheme="majorBidi" w:hAnsiTheme="majorBidi" w:cstheme="majorBidi"/>
        </w:rPr>
        <w:t xml:space="preserve"> Nr.</w:t>
      </w:r>
      <w:r w:rsidR="008A6151">
        <w:rPr>
          <w:rFonts w:asciiTheme="majorBidi" w:hAnsiTheme="majorBidi" w:cstheme="majorBidi"/>
        </w:rPr>
        <w:t> </w:t>
      </w:r>
      <w:r w:rsidR="00C349EB" w:rsidRPr="00C349EB">
        <w:rPr>
          <w:rFonts w:asciiTheme="majorBidi" w:hAnsiTheme="majorBidi" w:cstheme="majorBidi"/>
        </w:rPr>
        <w:t xml:space="preserve">175-MK </w:t>
      </w:r>
      <w:r w:rsidR="00C349EB">
        <w:rPr>
          <w:rFonts w:asciiTheme="majorBidi" w:hAnsiTheme="majorBidi" w:cstheme="majorBidi"/>
        </w:rPr>
        <w:t xml:space="preserve">(turpmāk – </w:t>
      </w:r>
      <w:r w:rsidR="002D425D" w:rsidRPr="002D425D">
        <w:rPr>
          <w:rFonts w:asciiTheme="majorBidi" w:hAnsiTheme="majorBidi" w:cstheme="majorBidi"/>
        </w:rPr>
        <w:t>vēstul</w:t>
      </w:r>
      <w:r w:rsidR="00C349EB">
        <w:rPr>
          <w:rFonts w:asciiTheme="majorBidi" w:hAnsiTheme="majorBidi" w:cstheme="majorBidi"/>
        </w:rPr>
        <w:t>e</w:t>
      </w:r>
      <w:r w:rsidR="007B7D1A">
        <w:rPr>
          <w:rFonts w:asciiTheme="majorBidi" w:hAnsiTheme="majorBidi" w:cstheme="majorBidi"/>
        </w:rPr>
        <w:t xml:space="preserve"> </w:t>
      </w:r>
      <w:r w:rsidR="007B7D1A" w:rsidRPr="00C349EB">
        <w:rPr>
          <w:rFonts w:asciiTheme="majorBidi" w:hAnsiTheme="majorBidi" w:cstheme="majorBidi"/>
        </w:rPr>
        <w:t>Nr.</w:t>
      </w:r>
      <w:r w:rsidR="00F07AD2">
        <w:rPr>
          <w:rFonts w:asciiTheme="majorBidi" w:hAnsiTheme="majorBidi" w:cstheme="majorBidi"/>
        </w:rPr>
        <w:t> </w:t>
      </w:r>
      <w:r w:rsidR="007B7D1A" w:rsidRPr="00C349EB">
        <w:rPr>
          <w:rFonts w:asciiTheme="majorBidi" w:hAnsiTheme="majorBidi" w:cstheme="majorBidi"/>
        </w:rPr>
        <w:t>175-MK</w:t>
      </w:r>
      <w:r w:rsidR="00C349EB">
        <w:rPr>
          <w:rFonts w:asciiTheme="majorBidi" w:hAnsiTheme="majorBidi" w:cstheme="majorBidi"/>
        </w:rPr>
        <w:t>)</w:t>
      </w:r>
      <w:r w:rsidR="001C5F12">
        <w:rPr>
          <w:rFonts w:asciiTheme="majorBidi" w:hAnsiTheme="majorBidi" w:cstheme="majorBidi"/>
          <w:i/>
          <w:iCs/>
        </w:rPr>
        <w:t xml:space="preserve">, </w:t>
      </w:r>
      <w:r w:rsidR="001C5F12" w:rsidRPr="00BE54AE">
        <w:rPr>
          <w:rFonts w:asciiTheme="majorBidi" w:hAnsiTheme="majorBidi" w:cstheme="majorBidi"/>
        </w:rPr>
        <w:t>kas</w:t>
      </w:r>
      <w:r>
        <w:rPr>
          <w:rFonts w:asciiTheme="majorBidi" w:hAnsiTheme="majorBidi" w:cstheme="majorBidi"/>
        </w:rPr>
        <w:t xml:space="preserve"> </w:t>
      </w:r>
      <w:r w:rsidR="00C349EB" w:rsidRPr="00BE54AE">
        <w:rPr>
          <w:rFonts w:asciiTheme="majorBidi" w:hAnsiTheme="majorBidi" w:cstheme="majorBidi"/>
        </w:rPr>
        <w:t xml:space="preserve">publicēta Krievijas Padomju Federatīvās Sociālistiskās Republikas (turpmāk – KPFSR) Sociālās nodrošināšanas ministrijas Zinātniski tehniskās informācijas un propagandas centrālā nozares biroja 1981.gada </w:t>
      </w:r>
      <w:r w:rsidR="00C349EB" w:rsidRPr="00BE54AE">
        <w:t>„</w:t>
      </w:r>
      <w:r w:rsidR="00C349EB" w:rsidRPr="00BE54AE">
        <w:rPr>
          <w:rFonts w:asciiTheme="majorBidi" w:hAnsiTheme="majorBidi" w:cstheme="majorBidi"/>
        </w:rPr>
        <w:t>Pārskata informācija” 6.izlaidumā</w:t>
      </w:r>
      <w:r>
        <w:rPr>
          <w:rFonts w:asciiTheme="majorBidi" w:hAnsiTheme="majorBidi" w:cstheme="majorBidi"/>
        </w:rPr>
        <w:t xml:space="preserve">. Tajā skaidrots, ka </w:t>
      </w:r>
      <w:r w:rsidRPr="00A54E0C">
        <w:rPr>
          <w:rFonts w:asciiTheme="majorBidi" w:hAnsiTheme="majorBidi" w:cstheme="majorBidi"/>
        </w:rPr>
        <w:t>speciālo stāžu veido tikai tāds darbs, kas veikts stikla šķiedras ražotnē.</w:t>
      </w:r>
      <w:r w:rsidR="00C349EB" w:rsidRPr="00C349EB">
        <w:rPr>
          <w:rFonts w:asciiTheme="majorBidi" w:hAnsiTheme="majorBidi" w:cstheme="majorBidi"/>
        </w:rPr>
        <w:t xml:space="preserve"> </w:t>
      </w:r>
      <w:r>
        <w:rPr>
          <w:rFonts w:asciiTheme="majorBidi" w:hAnsiTheme="majorBidi" w:cstheme="majorBidi"/>
        </w:rPr>
        <w:t xml:space="preserve">Tomēr šī vēstule ir </w:t>
      </w:r>
      <w:r w:rsidR="002D425D" w:rsidRPr="002D425D">
        <w:rPr>
          <w:rFonts w:asciiTheme="majorBidi" w:hAnsiTheme="majorBidi" w:cstheme="majorBidi"/>
        </w:rPr>
        <w:t>vērtēj</w:t>
      </w:r>
      <w:r w:rsidR="00C349EB">
        <w:rPr>
          <w:rFonts w:asciiTheme="majorBidi" w:hAnsiTheme="majorBidi" w:cstheme="majorBidi"/>
        </w:rPr>
        <w:t>ama</w:t>
      </w:r>
      <w:r w:rsidR="002D425D" w:rsidRPr="002D425D">
        <w:rPr>
          <w:rFonts w:asciiTheme="majorBidi" w:hAnsiTheme="majorBidi" w:cstheme="majorBidi"/>
        </w:rPr>
        <w:t xml:space="preserve"> kā palīglīdzekli</w:t>
      </w:r>
      <w:r w:rsidR="008A6151">
        <w:rPr>
          <w:rFonts w:asciiTheme="majorBidi" w:hAnsiTheme="majorBidi" w:cstheme="majorBidi"/>
        </w:rPr>
        <w:t>s</w:t>
      </w:r>
      <w:r w:rsidR="002D425D" w:rsidRPr="002D425D">
        <w:rPr>
          <w:rFonts w:asciiTheme="majorBidi" w:hAnsiTheme="majorBidi" w:cstheme="majorBidi"/>
        </w:rPr>
        <w:t xml:space="preserve"> un lietā nav piemērojama, jo </w:t>
      </w:r>
      <w:r>
        <w:rPr>
          <w:rFonts w:asciiTheme="majorBidi" w:hAnsiTheme="majorBidi" w:cstheme="majorBidi"/>
        </w:rPr>
        <w:t xml:space="preserve">tā </w:t>
      </w:r>
      <w:r w:rsidR="002D425D" w:rsidRPr="002D425D">
        <w:rPr>
          <w:rFonts w:asciiTheme="majorBidi" w:hAnsiTheme="majorBidi" w:cstheme="majorBidi"/>
        </w:rPr>
        <w:t>ierobežo sarakstā Nr.</w:t>
      </w:r>
      <w:r w:rsidR="008A6151">
        <w:rPr>
          <w:rFonts w:asciiTheme="majorBidi" w:hAnsiTheme="majorBidi" w:cstheme="majorBidi"/>
        </w:rPr>
        <w:t> </w:t>
      </w:r>
      <w:r w:rsidR="002D425D" w:rsidRPr="002D425D">
        <w:rPr>
          <w:rFonts w:asciiTheme="majorBidi" w:hAnsiTheme="majorBidi" w:cstheme="majorBidi"/>
        </w:rPr>
        <w:t xml:space="preserve">1 un </w:t>
      </w:r>
      <w:r w:rsidR="003F7425" w:rsidRPr="00C349EB">
        <w:rPr>
          <w:rFonts w:asciiTheme="majorBidi" w:hAnsiTheme="majorBidi" w:cstheme="majorBidi"/>
        </w:rPr>
        <w:t>skaidrojum</w:t>
      </w:r>
      <w:r w:rsidR="00207A56">
        <w:rPr>
          <w:rFonts w:asciiTheme="majorBidi" w:hAnsiTheme="majorBidi" w:cstheme="majorBidi"/>
        </w:rPr>
        <w:t>ā</w:t>
      </w:r>
      <w:r w:rsidR="003F7425" w:rsidRPr="00C349EB">
        <w:rPr>
          <w:rFonts w:asciiTheme="majorBidi" w:hAnsiTheme="majorBidi" w:cstheme="majorBidi"/>
        </w:rPr>
        <w:t xml:space="preserve"> Nr.</w:t>
      </w:r>
      <w:r w:rsidR="003F7425">
        <w:rPr>
          <w:rFonts w:asciiTheme="majorBidi" w:hAnsiTheme="majorBidi" w:cstheme="majorBidi"/>
        </w:rPr>
        <w:t> </w:t>
      </w:r>
      <w:r w:rsidR="003F7425" w:rsidRPr="00C349EB">
        <w:rPr>
          <w:rFonts w:asciiTheme="majorBidi" w:hAnsiTheme="majorBidi" w:cstheme="majorBidi"/>
        </w:rPr>
        <w:t>5/8</w:t>
      </w:r>
      <w:r w:rsidR="003F7425">
        <w:rPr>
          <w:rFonts w:asciiTheme="majorBidi" w:hAnsiTheme="majorBidi" w:cstheme="majorBidi"/>
        </w:rPr>
        <w:t xml:space="preserve"> </w:t>
      </w:r>
      <w:r w:rsidR="002D425D" w:rsidRPr="002D425D">
        <w:rPr>
          <w:rFonts w:asciiTheme="majorBidi" w:hAnsiTheme="majorBidi" w:cstheme="majorBidi"/>
        </w:rPr>
        <w:t xml:space="preserve">paredzētās personas tiesības. </w:t>
      </w:r>
      <w:r>
        <w:rPr>
          <w:rFonts w:asciiTheme="majorBidi" w:hAnsiTheme="majorBidi" w:cstheme="majorBidi"/>
        </w:rPr>
        <w:t xml:space="preserve">Vēstules piemērošanas nepieciešamība neizriet arī no </w:t>
      </w:r>
      <w:r w:rsidR="00812A9D" w:rsidRPr="00304AAA">
        <w:rPr>
          <w:rFonts w:asciiTheme="majorBidi" w:hAnsiTheme="majorBidi" w:cstheme="majorBidi"/>
        </w:rPr>
        <w:t>Ministru kabineta 2002.gada 23.aprīļa noteikumu Nr.</w:t>
      </w:r>
      <w:r w:rsidR="008A6151">
        <w:rPr>
          <w:rFonts w:asciiTheme="majorBidi" w:hAnsiTheme="majorBidi" w:cstheme="majorBidi"/>
        </w:rPr>
        <w:t> </w:t>
      </w:r>
      <w:r w:rsidR="00812A9D" w:rsidRPr="00304AAA">
        <w:rPr>
          <w:rFonts w:asciiTheme="majorBidi" w:hAnsiTheme="majorBidi" w:cstheme="majorBidi"/>
        </w:rPr>
        <w:t xml:space="preserve">165 </w:t>
      </w:r>
      <w:r w:rsidR="00812A9D" w:rsidRPr="00304AAA">
        <w:t>„</w:t>
      </w:r>
      <w:r w:rsidR="00812A9D" w:rsidRPr="00304AAA">
        <w:rPr>
          <w:rFonts w:asciiTheme="majorBidi" w:hAnsiTheme="majorBidi" w:cstheme="majorBidi"/>
        </w:rPr>
        <w:t xml:space="preserve">Apdrošināšanas periodu pierādīšanas, aprēķināšanas un uzskaites kārtība” </w:t>
      </w:r>
      <w:r w:rsidR="00812A9D">
        <w:rPr>
          <w:rFonts w:asciiTheme="majorBidi" w:hAnsiTheme="majorBidi" w:cstheme="majorBidi"/>
        </w:rPr>
        <w:t xml:space="preserve">(turpmāk – </w:t>
      </w:r>
      <w:r w:rsidR="00812A9D" w:rsidRPr="002D425D">
        <w:rPr>
          <w:rFonts w:asciiTheme="majorBidi" w:hAnsiTheme="majorBidi" w:cstheme="majorBidi"/>
        </w:rPr>
        <w:t>noteikum</w:t>
      </w:r>
      <w:r w:rsidR="00812A9D">
        <w:rPr>
          <w:rFonts w:asciiTheme="majorBidi" w:hAnsiTheme="majorBidi" w:cstheme="majorBidi"/>
        </w:rPr>
        <w:t>i</w:t>
      </w:r>
      <w:r w:rsidR="00812A9D" w:rsidRPr="002D425D">
        <w:rPr>
          <w:rFonts w:asciiTheme="majorBidi" w:hAnsiTheme="majorBidi" w:cstheme="majorBidi"/>
        </w:rPr>
        <w:t xml:space="preserve"> Nr.</w:t>
      </w:r>
      <w:r w:rsidR="008A6151">
        <w:rPr>
          <w:rFonts w:asciiTheme="majorBidi" w:hAnsiTheme="majorBidi" w:cstheme="majorBidi"/>
        </w:rPr>
        <w:t> </w:t>
      </w:r>
      <w:r w:rsidR="00812A9D" w:rsidRPr="002D425D">
        <w:rPr>
          <w:rFonts w:asciiTheme="majorBidi" w:hAnsiTheme="majorBidi" w:cstheme="majorBidi"/>
        </w:rPr>
        <w:t>165</w:t>
      </w:r>
      <w:r w:rsidR="00812A9D">
        <w:rPr>
          <w:rFonts w:asciiTheme="majorBidi" w:hAnsiTheme="majorBidi" w:cstheme="majorBidi"/>
        </w:rPr>
        <w:t>)</w:t>
      </w:r>
      <w:r w:rsidR="00812A9D" w:rsidRPr="002D425D">
        <w:rPr>
          <w:rFonts w:asciiTheme="majorBidi" w:hAnsiTheme="majorBidi" w:cstheme="majorBidi"/>
        </w:rPr>
        <w:t xml:space="preserve"> </w:t>
      </w:r>
      <w:r w:rsidR="000A0ADB" w:rsidRPr="000A0ADB">
        <w:rPr>
          <w:rFonts w:asciiTheme="majorBidi" w:hAnsiTheme="majorBidi" w:cstheme="majorBidi"/>
        </w:rPr>
        <w:t>grozījum</w:t>
      </w:r>
      <w:r w:rsidR="00E9044F">
        <w:rPr>
          <w:rFonts w:asciiTheme="majorBidi" w:hAnsiTheme="majorBidi" w:cstheme="majorBidi"/>
        </w:rPr>
        <w:t>iem</w:t>
      </w:r>
      <w:r w:rsidR="00207A56">
        <w:rPr>
          <w:rFonts w:asciiTheme="majorBidi" w:hAnsiTheme="majorBidi" w:cstheme="majorBidi"/>
        </w:rPr>
        <w:t xml:space="preserve">, kas </w:t>
      </w:r>
      <w:r w:rsidR="000A0ADB" w:rsidRPr="000A0ADB">
        <w:rPr>
          <w:rFonts w:asciiTheme="majorBidi" w:hAnsiTheme="majorBidi" w:cstheme="majorBidi"/>
        </w:rPr>
        <w:t>stājās spēkā 2019.gada 22.februārī</w:t>
      </w:r>
      <w:r w:rsidR="008277EF">
        <w:rPr>
          <w:rFonts w:asciiTheme="majorBidi" w:hAnsiTheme="majorBidi" w:cstheme="majorBidi"/>
        </w:rPr>
        <w:t>.</w:t>
      </w:r>
    </w:p>
    <w:p w14:paraId="38825F23" w14:textId="61D21E02" w:rsidR="00AF37D9" w:rsidRDefault="008277EF" w:rsidP="003773E7">
      <w:pPr>
        <w:autoSpaceDE w:val="0"/>
        <w:autoSpaceDN w:val="0"/>
        <w:adjustRightInd w:val="0"/>
        <w:spacing w:line="276" w:lineRule="auto"/>
        <w:ind w:firstLine="709"/>
        <w:jc w:val="both"/>
        <w:rPr>
          <w:rFonts w:asciiTheme="majorBidi" w:hAnsiTheme="majorBidi" w:cstheme="majorBidi"/>
        </w:rPr>
      </w:pPr>
      <w:r>
        <w:rPr>
          <w:rFonts w:asciiTheme="majorBidi" w:hAnsiTheme="majorBidi" w:cstheme="majorBidi"/>
        </w:rPr>
        <w:t>[2.4]</w:t>
      </w:r>
      <w:r w:rsidR="00BE54AE">
        <w:rPr>
          <w:rFonts w:asciiTheme="majorBidi" w:hAnsiTheme="majorBidi" w:cstheme="majorBidi"/>
        </w:rPr>
        <w:t> </w:t>
      </w:r>
      <w:r>
        <w:rPr>
          <w:rFonts w:asciiTheme="majorBidi" w:hAnsiTheme="majorBidi" w:cstheme="majorBidi"/>
        </w:rPr>
        <w:t>Atzīstams, ka pieteicējam ir tiesības</w:t>
      </w:r>
      <w:r w:rsidRPr="002D425D">
        <w:rPr>
          <w:rFonts w:asciiTheme="majorBidi" w:hAnsiTheme="majorBidi" w:cstheme="majorBidi"/>
        </w:rPr>
        <w:t xml:space="preserve"> uz pensij</w:t>
      </w:r>
      <w:r>
        <w:rPr>
          <w:rFonts w:asciiTheme="majorBidi" w:hAnsiTheme="majorBidi" w:cstheme="majorBidi"/>
        </w:rPr>
        <w:t>u</w:t>
      </w:r>
      <w:r w:rsidRPr="002D425D">
        <w:rPr>
          <w:rFonts w:asciiTheme="majorBidi" w:hAnsiTheme="majorBidi" w:cstheme="majorBidi"/>
        </w:rPr>
        <w:t xml:space="preserve"> ar atvieglotiem noteikumiem</w:t>
      </w:r>
      <w:r>
        <w:rPr>
          <w:rFonts w:asciiTheme="majorBidi" w:hAnsiTheme="majorBidi" w:cstheme="majorBidi"/>
          <w:lang w:eastAsia="en-US"/>
        </w:rPr>
        <w:t>.</w:t>
      </w:r>
    </w:p>
    <w:p w14:paraId="7A877FB7" w14:textId="77777777" w:rsidR="000A0ADB" w:rsidRPr="002355CB" w:rsidRDefault="000A0ADB" w:rsidP="003773E7">
      <w:pPr>
        <w:autoSpaceDE w:val="0"/>
        <w:autoSpaceDN w:val="0"/>
        <w:adjustRightInd w:val="0"/>
        <w:spacing w:line="276" w:lineRule="auto"/>
        <w:ind w:firstLine="720"/>
        <w:jc w:val="both"/>
        <w:rPr>
          <w:rFonts w:asciiTheme="majorBidi" w:hAnsiTheme="majorBidi" w:cstheme="majorBidi"/>
        </w:rPr>
      </w:pPr>
    </w:p>
    <w:p w14:paraId="20FF5976" w14:textId="38DF3103" w:rsidR="005716A2" w:rsidRPr="002355CB" w:rsidRDefault="005716A2" w:rsidP="003773E7">
      <w:pPr>
        <w:spacing w:line="276" w:lineRule="auto"/>
        <w:ind w:firstLine="720"/>
        <w:jc w:val="both"/>
        <w:rPr>
          <w:rFonts w:asciiTheme="majorBidi" w:eastAsia="Calibri" w:hAnsiTheme="majorBidi" w:cstheme="majorBidi"/>
          <w:lang w:eastAsia="en-US"/>
        </w:rPr>
      </w:pPr>
      <w:r w:rsidRPr="002355CB">
        <w:rPr>
          <w:rFonts w:asciiTheme="majorBidi" w:hAnsiTheme="majorBidi" w:cstheme="majorBidi"/>
        </w:rPr>
        <w:t>[3]</w:t>
      </w:r>
      <w:r w:rsidR="00BE54AE">
        <w:rPr>
          <w:rFonts w:asciiTheme="majorBidi" w:hAnsiTheme="majorBidi" w:cstheme="majorBidi"/>
        </w:rPr>
        <w:t> </w:t>
      </w:r>
      <w:r w:rsidR="00825530">
        <w:rPr>
          <w:rFonts w:asciiTheme="majorBidi" w:hAnsiTheme="majorBidi" w:cstheme="majorBidi"/>
        </w:rPr>
        <w:t>Aģentūra</w:t>
      </w:r>
      <w:r w:rsidRPr="002355CB">
        <w:rPr>
          <w:rFonts w:asciiTheme="majorBidi" w:hAnsiTheme="majorBidi" w:cstheme="majorBidi"/>
        </w:rPr>
        <w:t xml:space="preserve"> par Administratīvās apgabaltiesas spriedumu iesniedza kasācijas sūdzību</w:t>
      </w:r>
      <w:r w:rsidR="004C33F5">
        <w:rPr>
          <w:rFonts w:asciiTheme="majorBidi" w:hAnsiTheme="majorBidi" w:cstheme="majorBidi"/>
        </w:rPr>
        <w:t xml:space="preserve"> un norādīja</w:t>
      </w:r>
      <w:r w:rsidRPr="002355CB">
        <w:rPr>
          <w:rFonts w:asciiTheme="majorBidi" w:eastAsia="Calibri" w:hAnsiTheme="majorBidi" w:cstheme="majorBidi"/>
          <w:lang w:eastAsia="en-US"/>
        </w:rPr>
        <w:t xml:space="preserve"> šādus pamatus sprieduma atcelšanai.</w:t>
      </w:r>
    </w:p>
    <w:p w14:paraId="13E34498" w14:textId="353BBFDE" w:rsidR="00170A41" w:rsidRDefault="005716A2" w:rsidP="003773E7">
      <w:pPr>
        <w:spacing w:line="276" w:lineRule="auto"/>
        <w:ind w:firstLine="720"/>
        <w:jc w:val="both"/>
      </w:pPr>
      <w:bookmarkStart w:id="2" w:name="_Hlk98934771"/>
      <w:r w:rsidRPr="002355CB">
        <w:rPr>
          <w:rFonts w:asciiTheme="majorBidi" w:hAnsiTheme="majorBidi" w:cstheme="majorBidi"/>
        </w:rPr>
        <w:t>[3.1</w:t>
      </w:r>
      <w:r w:rsidRPr="00F068DB">
        <w:rPr>
          <w:rFonts w:asciiTheme="majorBidi" w:hAnsiTheme="majorBidi" w:cstheme="majorBidi"/>
        </w:rPr>
        <w:t>]</w:t>
      </w:r>
      <w:r w:rsidR="00BE54AE">
        <w:rPr>
          <w:rFonts w:asciiTheme="majorBidi" w:hAnsiTheme="majorBidi" w:cstheme="majorBidi"/>
        </w:rPr>
        <w:t> </w:t>
      </w:r>
      <w:r w:rsidR="003F7425" w:rsidRPr="00F068DB">
        <w:rPr>
          <w:rFonts w:asciiTheme="majorBidi" w:hAnsiTheme="majorBidi" w:cstheme="majorBidi"/>
        </w:rPr>
        <w:t>Skaidrojuma Nr. 5/8</w:t>
      </w:r>
      <w:r w:rsidR="00170A41" w:rsidRPr="00F068DB">
        <w:t xml:space="preserve"> 3.punkts nav piemērojams,</w:t>
      </w:r>
      <w:r w:rsidR="00F57A6E" w:rsidRPr="00F111DA">
        <w:t xml:space="preserve"> lai pamatotu pieteicēja tiesības uz pensiju ar atvieglotiem noteikumiem.</w:t>
      </w:r>
      <w:r w:rsidR="00F57A6E" w:rsidRPr="00F068DB">
        <w:t xml:space="preserve"> Skaidrojuma</w:t>
      </w:r>
      <w:r w:rsidR="00B1479D" w:rsidRPr="00B1479D">
        <w:rPr>
          <w:rFonts w:asciiTheme="majorBidi" w:hAnsiTheme="majorBidi" w:cstheme="majorBidi"/>
        </w:rPr>
        <w:t xml:space="preserve"> </w:t>
      </w:r>
      <w:r w:rsidR="00B1479D" w:rsidRPr="00F068DB">
        <w:rPr>
          <w:rFonts w:asciiTheme="majorBidi" w:hAnsiTheme="majorBidi" w:cstheme="majorBidi"/>
        </w:rPr>
        <w:t>Nr. 5/8</w:t>
      </w:r>
      <w:r w:rsidR="00B1479D" w:rsidRPr="00F068DB">
        <w:t xml:space="preserve"> </w:t>
      </w:r>
      <w:r w:rsidR="00F57A6E" w:rsidRPr="00F068DB">
        <w:t>3.punkts ir skatāms kopsakarā ar 1.punktu, 2.punktu un 5.punktu un</w:t>
      </w:r>
      <w:r w:rsidR="00170A41" w:rsidRPr="00F068DB">
        <w:t xml:space="preserve"> jāpiemēro, ņemot vērā, kādā sarakstu nodaļā (ražošanā) ir iekļauti konkrētie darbi</w:t>
      </w:r>
      <w:r w:rsidR="00950CB9" w:rsidRPr="00F068DB">
        <w:t xml:space="preserve">. </w:t>
      </w:r>
      <w:r w:rsidR="00F57A6E" w:rsidRPr="00F111DA">
        <w:t>J</w:t>
      </w:r>
      <w:r w:rsidR="00170A41" w:rsidRPr="00F068DB">
        <w:t>a darbi ir minēti attiecīgajā ražošanā, tad tiesības uz vecuma pensiju ar atvieglotiem noteikumiem</w:t>
      </w:r>
      <w:r w:rsidR="002E7122" w:rsidRPr="00F068DB">
        <w:rPr>
          <w:rFonts w:asciiTheme="majorBidi" w:hAnsiTheme="majorBidi" w:cstheme="majorBidi"/>
          <w:lang w:eastAsia="en-US"/>
        </w:rPr>
        <w:t xml:space="preserve"> </w:t>
      </w:r>
      <w:r w:rsidR="00170A41" w:rsidRPr="00F068DB">
        <w:t>ir strādniekiem, kuri ir veikuši šos darbus attiecīgajā ražošanā</w:t>
      </w:r>
      <w:r w:rsidR="00F57A6E" w:rsidRPr="00F111DA">
        <w:t>. J</w:t>
      </w:r>
      <w:r w:rsidR="00170A41" w:rsidRPr="00F068DB">
        <w:t xml:space="preserve">a darbi ir iekļauti saraksta </w:t>
      </w:r>
      <w:r w:rsidR="008B728C" w:rsidRPr="00F068DB">
        <w:t>Nr.</w:t>
      </w:r>
      <w:r w:rsidR="00F658B8" w:rsidRPr="00F068DB">
        <w:t> </w:t>
      </w:r>
      <w:r w:rsidR="008B728C" w:rsidRPr="00F068DB">
        <w:t xml:space="preserve">1 </w:t>
      </w:r>
      <w:r w:rsidR="00170A41" w:rsidRPr="00F068DB">
        <w:t>XXI</w:t>
      </w:r>
      <w:r w:rsidR="00F658B8" w:rsidRPr="00F068DB">
        <w:t> </w:t>
      </w:r>
      <w:r w:rsidR="00170A41" w:rsidRPr="00F068DB">
        <w:t xml:space="preserve">nodaļā vai saraksta </w:t>
      </w:r>
      <w:r w:rsidR="008B728C" w:rsidRPr="00F068DB">
        <w:t>Nr.</w:t>
      </w:r>
      <w:r w:rsidR="00F658B8" w:rsidRPr="00F068DB">
        <w:t> </w:t>
      </w:r>
      <w:r w:rsidR="008B728C" w:rsidRPr="00F068DB">
        <w:t xml:space="preserve">2 </w:t>
      </w:r>
      <w:r w:rsidR="00170A41" w:rsidRPr="00F068DB">
        <w:t>XXXII</w:t>
      </w:r>
      <w:r w:rsidR="00F658B8" w:rsidRPr="00F068DB">
        <w:t> </w:t>
      </w:r>
      <w:r w:rsidR="00170A41" w:rsidRPr="00F068DB">
        <w:t xml:space="preserve">nodaļā, tad darbiniekiem, kuri ir veikuši šos darbus, ir tiesības uz vecuma pensiju neatkarīgi no ražošanas, kas ir uzņēmumā, un </w:t>
      </w:r>
      <w:r w:rsidR="00F658B8" w:rsidRPr="00F068DB">
        <w:t xml:space="preserve">tā, </w:t>
      </w:r>
      <w:r w:rsidR="00170A41" w:rsidRPr="00F068DB">
        <w:t>kādam resoram pakļauts uzņēmums.</w:t>
      </w:r>
    </w:p>
    <w:p w14:paraId="01AD09FC" w14:textId="7845C8D6" w:rsidR="00F57A6E" w:rsidRPr="00CA0503" w:rsidRDefault="00F57A6E" w:rsidP="003773E7">
      <w:pPr>
        <w:spacing w:line="276" w:lineRule="auto"/>
        <w:ind w:firstLine="720"/>
        <w:jc w:val="both"/>
      </w:pPr>
      <w:r>
        <w:rPr>
          <w:rFonts w:asciiTheme="majorBidi" w:hAnsiTheme="majorBidi" w:cstheme="majorBidi"/>
        </w:rPr>
        <w:t>Apgabaltiesa nepamatoti</w:t>
      </w:r>
      <w:r>
        <w:t xml:space="preserve"> konstatēja, ka pieteicējs ir veicis saraksta Nr. 1 XV nodaļā norādīto darbu. Pieteicējs</w:t>
      </w:r>
      <w:r w:rsidRPr="00CA0503">
        <w:t xml:space="preserve"> bija nodarbināts laivu un autobusu virsbūves ražošanā, </w:t>
      </w:r>
      <w:r w:rsidRPr="00CD3AE1">
        <w:t>nevis stikla šķiedras ražošanā</w:t>
      </w:r>
      <w:r>
        <w:t>.</w:t>
      </w:r>
    </w:p>
    <w:p w14:paraId="11D8D014" w14:textId="71CE949F" w:rsidR="00170A41" w:rsidRPr="00AB1A77" w:rsidRDefault="00D34BE8" w:rsidP="003773E7">
      <w:pPr>
        <w:pStyle w:val="mt-translation"/>
        <w:spacing w:before="0" w:beforeAutospacing="0" w:after="0" w:afterAutospacing="0" w:line="276" w:lineRule="auto"/>
        <w:ind w:firstLine="720"/>
        <w:jc w:val="both"/>
      </w:pPr>
      <w:r>
        <w:t>[3.</w:t>
      </w:r>
      <w:r w:rsidR="00F57A6E">
        <w:t>2</w:t>
      </w:r>
      <w:r>
        <w:t>]</w:t>
      </w:r>
      <w:r w:rsidR="00BE54AE">
        <w:t> </w:t>
      </w:r>
      <w:r w:rsidR="00170A41" w:rsidRPr="00CD3AE1">
        <w:t xml:space="preserve">Tiesa </w:t>
      </w:r>
      <w:r>
        <w:t xml:space="preserve">nepamatoti </w:t>
      </w:r>
      <w:r w:rsidR="00B6259D">
        <w:t>jautājumā</w:t>
      </w:r>
      <w:r w:rsidR="00B6259D" w:rsidRPr="00CD3AE1">
        <w:t xml:space="preserve"> </w:t>
      </w:r>
      <w:r w:rsidR="00170A41" w:rsidRPr="00CD3AE1">
        <w:t xml:space="preserve">par </w:t>
      </w:r>
      <w:r w:rsidR="003F7425" w:rsidRPr="00C349EB">
        <w:rPr>
          <w:rFonts w:asciiTheme="majorBidi" w:hAnsiTheme="majorBidi" w:cstheme="majorBidi"/>
        </w:rPr>
        <w:t>skaidrojum</w:t>
      </w:r>
      <w:r w:rsidR="00B6259D">
        <w:rPr>
          <w:rFonts w:asciiTheme="majorBidi" w:hAnsiTheme="majorBidi" w:cstheme="majorBidi"/>
        </w:rPr>
        <w:t>a</w:t>
      </w:r>
      <w:r w:rsidR="003F7425" w:rsidRPr="00C349EB">
        <w:rPr>
          <w:rFonts w:asciiTheme="majorBidi" w:hAnsiTheme="majorBidi" w:cstheme="majorBidi"/>
        </w:rPr>
        <w:t xml:space="preserve"> Nr.</w:t>
      </w:r>
      <w:r w:rsidR="003F7425">
        <w:rPr>
          <w:rFonts w:asciiTheme="majorBidi" w:hAnsiTheme="majorBidi" w:cstheme="majorBidi"/>
        </w:rPr>
        <w:t> </w:t>
      </w:r>
      <w:r w:rsidR="003F7425" w:rsidRPr="00C349EB">
        <w:rPr>
          <w:rFonts w:asciiTheme="majorBidi" w:hAnsiTheme="majorBidi" w:cstheme="majorBidi"/>
        </w:rPr>
        <w:t>5/8</w:t>
      </w:r>
      <w:r w:rsidR="00170A41" w:rsidRPr="00CD3AE1">
        <w:t xml:space="preserve"> piemērošanu </w:t>
      </w:r>
      <w:r w:rsidR="00B6259D">
        <w:t>atsaucas uz</w:t>
      </w:r>
      <w:r w:rsidR="00170A41" w:rsidRPr="00CD3AE1">
        <w:t xml:space="preserve"> </w:t>
      </w:r>
      <w:r>
        <w:t>Senāta</w:t>
      </w:r>
      <w:r w:rsidR="00170A41" w:rsidRPr="00CD3AE1">
        <w:t xml:space="preserve"> 2017.gada 20.oktobra </w:t>
      </w:r>
      <w:r w:rsidR="00B6259D" w:rsidRPr="00CD3AE1">
        <w:t>spriedum</w:t>
      </w:r>
      <w:r w:rsidR="00B6259D">
        <w:t>u</w:t>
      </w:r>
      <w:r w:rsidR="00B6259D" w:rsidRPr="00CD3AE1">
        <w:t xml:space="preserve"> </w:t>
      </w:r>
      <w:r w:rsidR="00170A41" w:rsidRPr="00CD3AE1">
        <w:t>lietā Nr.</w:t>
      </w:r>
      <w:r w:rsidR="00F658B8">
        <w:t> </w:t>
      </w:r>
      <w:r w:rsidR="00170A41" w:rsidRPr="00CD3AE1">
        <w:t>SKA-843/2017</w:t>
      </w:r>
      <w:r w:rsidR="00292934">
        <w:t xml:space="preserve">, </w:t>
      </w:r>
      <w:r w:rsidR="00170A41" w:rsidRPr="00CD3AE1">
        <w:t>A420408412</w:t>
      </w:r>
      <w:r>
        <w:t xml:space="preserve">, </w:t>
      </w:r>
      <w:r w:rsidR="00B6259D">
        <w:t xml:space="preserve">neņemot </w:t>
      </w:r>
      <w:r w:rsidR="00170A41" w:rsidRPr="00CD3AE1">
        <w:t>vērā tiesisko apstākļu maiņu.</w:t>
      </w:r>
      <w:r w:rsidR="00B6259D">
        <w:t xml:space="preserve"> </w:t>
      </w:r>
      <w:r w:rsidR="00F658B8">
        <w:t>No</w:t>
      </w:r>
      <w:r w:rsidR="00170A41" w:rsidRPr="00CD3AE1">
        <w:t xml:space="preserve"> 2019.gada 22.februāra spēkā </w:t>
      </w:r>
      <w:r w:rsidRPr="00CD3AE1">
        <w:t>ir</w:t>
      </w:r>
      <w:r w:rsidRPr="00CD3AE1">
        <w:rPr>
          <w:shd w:val="clear" w:color="auto" w:fill="FFFFFF"/>
        </w:rPr>
        <w:t xml:space="preserve"> </w:t>
      </w:r>
      <w:r w:rsidR="00170A41" w:rsidRPr="00CD3AE1">
        <w:rPr>
          <w:shd w:val="clear" w:color="auto" w:fill="FFFFFF"/>
        </w:rPr>
        <w:t>noteikumu Nr.</w:t>
      </w:r>
      <w:r w:rsidR="00F658B8">
        <w:rPr>
          <w:shd w:val="clear" w:color="auto" w:fill="FFFFFF"/>
        </w:rPr>
        <w:t> </w:t>
      </w:r>
      <w:r w:rsidR="00170A41" w:rsidRPr="0032486C">
        <w:rPr>
          <w:shd w:val="clear" w:color="auto" w:fill="FFFFFF"/>
        </w:rPr>
        <w:t xml:space="preserve">165 </w:t>
      </w:r>
      <w:bookmarkStart w:id="3" w:name="_Hlk130559331"/>
      <w:r w:rsidR="00170A41" w:rsidRPr="006976EC">
        <w:t>20.</w:t>
      </w:r>
      <w:r w:rsidR="00170A41" w:rsidRPr="006976EC">
        <w:rPr>
          <w:vertAlign w:val="superscript"/>
        </w:rPr>
        <w:t>1</w:t>
      </w:r>
      <w:r w:rsidR="00170A41" w:rsidRPr="006976EC">
        <w:t xml:space="preserve">punkta </w:t>
      </w:r>
      <w:bookmarkEnd w:id="3"/>
      <w:r w:rsidR="00170A41" w:rsidRPr="006976EC">
        <w:t xml:space="preserve">jaunā </w:t>
      </w:r>
      <w:r w:rsidR="00170A41" w:rsidRPr="00CE21B4">
        <w:t>redakcija</w:t>
      </w:r>
      <w:r w:rsidR="00170A41" w:rsidRPr="00AB1A77">
        <w:t>.</w:t>
      </w:r>
    </w:p>
    <w:p w14:paraId="3E5D07C4" w14:textId="2DDED240" w:rsidR="00170A41" w:rsidRPr="00CC6E25" w:rsidRDefault="007D643A" w:rsidP="003773E7">
      <w:pPr>
        <w:spacing w:line="276" w:lineRule="auto"/>
        <w:ind w:firstLine="720"/>
        <w:jc w:val="both"/>
        <w:rPr>
          <w:rFonts w:eastAsiaTheme="minorHAnsi"/>
          <w:sz w:val="22"/>
        </w:rPr>
      </w:pPr>
      <w:r>
        <w:t>[3.</w:t>
      </w:r>
      <w:r w:rsidR="00292934">
        <w:t>3</w:t>
      </w:r>
      <w:r>
        <w:t>]</w:t>
      </w:r>
      <w:r w:rsidR="00BE54AE">
        <w:t> </w:t>
      </w:r>
      <w:r w:rsidR="00F068DB">
        <w:t>A</w:t>
      </w:r>
      <w:r w:rsidR="00170A41" w:rsidRPr="00CD3AE1">
        <w:t>r noteikumiem</w:t>
      </w:r>
      <w:r w:rsidR="00A53C62">
        <w:t xml:space="preserve"> Nr. 165</w:t>
      </w:r>
      <w:r>
        <w:t xml:space="preserve"> p</w:t>
      </w:r>
      <w:r w:rsidR="00170A41" w:rsidRPr="00CD3AE1">
        <w:t>ersonai</w:t>
      </w:r>
      <w:r w:rsidR="00F068DB">
        <w:t xml:space="preserve"> nav</w:t>
      </w:r>
      <w:r w:rsidR="00170A41" w:rsidRPr="00CD3AE1">
        <w:t xml:space="preserve"> atņemtas </w:t>
      </w:r>
      <w:r w:rsidR="00F068DB">
        <w:t>t</w:t>
      </w:r>
      <w:r w:rsidR="00170A41" w:rsidRPr="00CD3AE1">
        <w:t>iesības, ko garantēj</w:t>
      </w:r>
      <w:r w:rsidR="00F068DB">
        <w:t>a</w:t>
      </w:r>
      <w:r w:rsidR="00170A41" w:rsidRPr="00CD3AE1">
        <w:t xml:space="preserve"> likumdevējs</w:t>
      </w:r>
      <w:r w:rsidR="00A53C62">
        <w:t>. L</w:t>
      </w:r>
      <w:r w:rsidR="00170A41" w:rsidRPr="00CD3AE1">
        <w:t xml:space="preserve">aikā, kad </w:t>
      </w:r>
      <w:r w:rsidR="00937001">
        <w:t>p</w:t>
      </w:r>
      <w:r w:rsidR="00170A41" w:rsidRPr="00CD3AE1">
        <w:t>ieteicējs veica darbu, likumdevējs nebija paredzējis tiesības uz pensiju ar atvieglotiem noteikumiem. Arī šobrīd spēkā esošās tiesību normas nav paplašinājušas personu</w:t>
      </w:r>
      <w:r w:rsidR="00A53C62">
        <w:t>, kurām ir</w:t>
      </w:r>
      <w:r w:rsidR="00170A41" w:rsidRPr="00CD3AE1">
        <w:t xml:space="preserve"> </w:t>
      </w:r>
      <w:r w:rsidR="00A53C62" w:rsidRPr="00CD3AE1">
        <w:t>tiesīb</w:t>
      </w:r>
      <w:r w:rsidR="00A53C62">
        <w:t>as</w:t>
      </w:r>
      <w:r w:rsidR="00A53C62" w:rsidRPr="00CD3AE1">
        <w:t xml:space="preserve"> </w:t>
      </w:r>
      <w:r w:rsidR="00170A41" w:rsidRPr="00CD3AE1">
        <w:t>uz pensiju ar atvieglotiem noteikumiem</w:t>
      </w:r>
      <w:r w:rsidR="00A53C62">
        <w:t xml:space="preserve">, loku. </w:t>
      </w:r>
      <w:r w:rsidR="00170A41" w:rsidRPr="00CD3AE1">
        <w:t>Tieši otrādi, noteikum</w:t>
      </w:r>
      <w:r w:rsidR="00937001">
        <w:t>u</w:t>
      </w:r>
      <w:r w:rsidR="00170A41" w:rsidRPr="00CD3AE1">
        <w:t xml:space="preserve"> Nr.</w:t>
      </w:r>
      <w:r w:rsidR="00F658B8">
        <w:t> </w:t>
      </w:r>
      <w:r w:rsidR="00170A41" w:rsidRPr="00CD3AE1">
        <w:t>165 20.</w:t>
      </w:r>
      <w:r w:rsidR="00170A41" w:rsidRPr="00CD3AE1">
        <w:rPr>
          <w:vertAlign w:val="superscript"/>
        </w:rPr>
        <w:t>1</w:t>
      </w:r>
      <w:r w:rsidR="00170A41" w:rsidRPr="00CD3AE1">
        <w:t xml:space="preserve">punktā noteiktais sakrīt ar likuma </w:t>
      </w:r>
      <w:r w:rsidR="00937001" w:rsidRPr="00304AAA">
        <w:t>„</w:t>
      </w:r>
      <w:r w:rsidR="00170A41" w:rsidRPr="00CD3AE1">
        <w:t>Par valsts pensijām” pārejas noteikumu 10. un 11.punktā noteikto</w:t>
      </w:r>
      <w:r w:rsidR="00A50FFF">
        <w:t xml:space="preserve"> un</w:t>
      </w:r>
      <w:r w:rsidR="00170A41" w:rsidRPr="00CD3AE1">
        <w:t xml:space="preserve"> Labklājības</w:t>
      </w:r>
      <w:r w:rsidR="00A50FFF">
        <w:t xml:space="preserve"> ministrijas skaidroto</w:t>
      </w:r>
      <w:r w:rsidR="00170A41" w:rsidRPr="00CD3AE1">
        <w:t xml:space="preserve">. </w:t>
      </w:r>
      <w:r w:rsidR="00170A41">
        <w:t>Likumdevēja mērķis nav sniegt personai plašākas tiesības uz sociālo nodrošinājumu</w:t>
      </w:r>
      <w:r w:rsidR="0012186E">
        <w:t>,</w:t>
      </w:r>
      <w:r w:rsidR="00170A41">
        <w:t xml:space="preserve"> nekā tās tika garantētas darba veikšanas laikā līdz 1995.gada 31.decembrim.</w:t>
      </w:r>
    </w:p>
    <w:p w14:paraId="345FC00A" w14:textId="6604109D" w:rsidR="005716A2" w:rsidRDefault="009B0018" w:rsidP="003773E7">
      <w:pPr>
        <w:spacing w:line="276" w:lineRule="auto"/>
        <w:ind w:firstLine="720"/>
        <w:jc w:val="both"/>
        <w:rPr>
          <w:rFonts w:asciiTheme="majorBidi" w:hAnsiTheme="majorBidi" w:cstheme="majorBidi"/>
          <w:highlight w:val="yellow"/>
        </w:rPr>
      </w:pPr>
      <w:r w:rsidRPr="00F111DA">
        <w:rPr>
          <w:rFonts w:asciiTheme="majorBidi" w:hAnsiTheme="majorBidi" w:cstheme="majorBidi"/>
        </w:rPr>
        <w:t>[3.4]</w:t>
      </w:r>
      <w:r w:rsidR="00BE54AE">
        <w:rPr>
          <w:rFonts w:asciiTheme="majorBidi" w:hAnsiTheme="majorBidi" w:cstheme="majorBidi"/>
        </w:rPr>
        <w:t> </w:t>
      </w:r>
      <w:r w:rsidRPr="009B0018">
        <w:t>Ja netiek</w:t>
      </w:r>
      <w:r w:rsidRPr="00CD3AE1">
        <w:t xml:space="preserve"> ņemts vērā </w:t>
      </w:r>
      <w:r>
        <w:t xml:space="preserve">vēstulē </w:t>
      </w:r>
      <w:r w:rsidRPr="00C349EB">
        <w:rPr>
          <w:rFonts w:asciiTheme="majorBidi" w:hAnsiTheme="majorBidi" w:cstheme="majorBidi"/>
        </w:rPr>
        <w:t>Nr.</w:t>
      </w:r>
      <w:r>
        <w:rPr>
          <w:rFonts w:asciiTheme="majorBidi" w:hAnsiTheme="majorBidi" w:cstheme="majorBidi"/>
        </w:rPr>
        <w:t> </w:t>
      </w:r>
      <w:r w:rsidRPr="00C349EB">
        <w:rPr>
          <w:rFonts w:asciiTheme="majorBidi" w:hAnsiTheme="majorBidi" w:cstheme="majorBidi"/>
        </w:rPr>
        <w:t xml:space="preserve">175-MK </w:t>
      </w:r>
      <w:r>
        <w:rPr>
          <w:rFonts w:asciiTheme="majorBidi" w:hAnsiTheme="majorBidi" w:cstheme="majorBidi"/>
        </w:rPr>
        <w:t xml:space="preserve">ietvertajā </w:t>
      </w:r>
      <w:r w:rsidRPr="00CD3AE1">
        <w:t xml:space="preserve">skaidrojumā noteiktais, tiek pārkāpts vienlīdzības princips attiecībā pret personām, kuras veica to pašu darbu un pensionējās līdz 1995.gada 31.decembrim un kurām, nosakot tiesības uz pensiju, tika piemērots </w:t>
      </w:r>
      <w:r>
        <w:t>šis</w:t>
      </w:r>
      <w:r w:rsidRPr="00CD3AE1">
        <w:t xml:space="preserve"> skaidrojums.</w:t>
      </w:r>
    </w:p>
    <w:p w14:paraId="05D6D6FF" w14:textId="77777777" w:rsidR="009B0018" w:rsidRPr="002355CB" w:rsidRDefault="009B0018" w:rsidP="003773E7">
      <w:pPr>
        <w:spacing w:line="276" w:lineRule="auto"/>
        <w:ind w:firstLine="720"/>
        <w:jc w:val="both"/>
        <w:rPr>
          <w:rFonts w:asciiTheme="majorBidi" w:hAnsiTheme="majorBidi" w:cstheme="majorBidi"/>
          <w:highlight w:val="yellow"/>
        </w:rPr>
      </w:pPr>
    </w:p>
    <w:p w14:paraId="3C7C92EE" w14:textId="45423C01" w:rsidR="00001425" w:rsidRDefault="005716A2" w:rsidP="003773E7">
      <w:pPr>
        <w:pStyle w:val="NoSpacing"/>
        <w:spacing w:line="276" w:lineRule="auto"/>
        <w:ind w:firstLine="720"/>
        <w:jc w:val="both"/>
        <w:rPr>
          <w:rFonts w:asciiTheme="majorBidi" w:hAnsiTheme="majorBidi" w:cstheme="majorBidi"/>
        </w:rPr>
      </w:pPr>
      <w:r w:rsidRPr="002355CB">
        <w:rPr>
          <w:rFonts w:asciiTheme="majorBidi" w:hAnsiTheme="majorBidi" w:cstheme="majorBidi"/>
        </w:rPr>
        <w:t>[4]</w:t>
      </w:r>
      <w:bookmarkEnd w:id="2"/>
      <w:r w:rsidR="00BE54AE">
        <w:rPr>
          <w:rFonts w:asciiTheme="majorBidi" w:hAnsiTheme="majorBidi" w:cstheme="majorBidi"/>
        </w:rPr>
        <w:t> </w:t>
      </w:r>
      <w:r w:rsidR="00170A41">
        <w:rPr>
          <w:rFonts w:asciiTheme="majorBidi" w:hAnsiTheme="majorBidi" w:cstheme="majorBidi"/>
        </w:rPr>
        <w:t>Pieteicējs</w:t>
      </w:r>
      <w:r w:rsidRPr="002355CB">
        <w:rPr>
          <w:rFonts w:asciiTheme="majorBidi" w:hAnsiTheme="majorBidi" w:cstheme="majorBidi"/>
        </w:rPr>
        <w:t xml:space="preserve"> paskaidrojumos norāda, ka kasācijas sūdzība nav pamatota</w:t>
      </w:r>
      <w:r w:rsidR="00001425">
        <w:rPr>
          <w:rFonts w:asciiTheme="majorBidi" w:hAnsiTheme="majorBidi" w:cstheme="majorBidi"/>
        </w:rPr>
        <w:t>.</w:t>
      </w:r>
    </w:p>
    <w:p w14:paraId="4C543640" w14:textId="70390D1E" w:rsidR="005716A2" w:rsidRPr="002355CB" w:rsidRDefault="005716A2" w:rsidP="003773E7">
      <w:pPr>
        <w:pStyle w:val="NoSpacing"/>
        <w:spacing w:line="276" w:lineRule="auto"/>
        <w:ind w:firstLine="720"/>
        <w:jc w:val="both"/>
        <w:rPr>
          <w:rFonts w:asciiTheme="majorBidi" w:hAnsiTheme="majorBidi" w:cstheme="majorBidi"/>
          <w:highlight w:val="yellow"/>
        </w:rPr>
      </w:pPr>
    </w:p>
    <w:p w14:paraId="13C29E9C" w14:textId="6499D64D" w:rsidR="005716A2" w:rsidRPr="002355CB" w:rsidRDefault="005716A2" w:rsidP="003773E7">
      <w:pPr>
        <w:spacing w:line="276" w:lineRule="auto"/>
        <w:jc w:val="center"/>
        <w:rPr>
          <w:rFonts w:asciiTheme="majorBidi" w:hAnsiTheme="majorBidi" w:cstheme="majorBidi"/>
          <w:b/>
        </w:rPr>
      </w:pPr>
      <w:r w:rsidRPr="002355CB">
        <w:rPr>
          <w:rFonts w:asciiTheme="majorBidi" w:hAnsiTheme="majorBidi" w:cstheme="majorBidi"/>
          <w:b/>
        </w:rPr>
        <w:t>Motīvu daļa</w:t>
      </w:r>
    </w:p>
    <w:p w14:paraId="2C4B6FA9" w14:textId="77777777" w:rsidR="005716A2" w:rsidRPr="002355CB" w:rsidRDefault="005716A2" w:rsidP="003773E7">
      <w:pPr>
        <w:spacing w:line="276" w:lineRule="auto"/>
        <w:jc w:val="center"/>
        <w:rPr>
          <w:rFonts w:asciiTheme="majorBidi" w:hAnsiTheme="majorBidi" w:cstheme="majorBidi"/>
          <w:bCs/>
        </w:rPr>
      </w:pPr>
    </w:p>
    <w:p w14:paraId="6067A121" w14:textId="0B0F53E8" w:rsidR="00573751" w:rsidRPr="00BE54AE" w:rsidRDefault="005716A2" w:rsidP="003773E7">
      <w:pPr>
        <w:spacing w:line="276" w:lineRule="auto"/>
        <w:ind w:firstLine="720"/>
        <w:jc w:val="both"/>
        <w:rPr>
          <w:rFonts w:asciiTheme="majorBidi" w:hAnsiTheme="majorBidi" w:cstheme="majorBidi"/>
        </w:rPr>
      </w:pPr>
      <w:r w:rsidRPr="00FE6A32">
        <w:rPr>
          <w:rFonts w:asciiTheme="majorBidi" w:hAnsiTheme="majorBidi" w:cstheme="majorBidi"/>
        </w:rPr>
        <w:t>[</w:t>
      </w:r>
      <w:r w:rsidR="00BC045A">
        <w:rPr>
          <w:rFonts w:asciiTheme="majorBidi" w:hAnsiTheme="majorBidi" w:cstheme="majorBidi"/>
        </w:rPr>
        <w:t>5</w:t>
      </w:r>
      <w:r w:rsidRPr="00FE6A32">
        <w:rPr>
          <w:rFonts w:asciiTheme="majorBidi" w:hAnsiTheme="majorBidi" w:cstheme="majorBidi"/>
        </w:rPr>
        <w:t>]</w:t>
      </w:r>
      <w:r w:rsidR="00BE54AE">
        <w:rPr>
          <w:rFonts w:asciiTheme="majorBidi" w:hAnsiTheme="majorBidi" w:cstheme="majorBidi"/>
        </w:rPr>
        <w:t> </w:t>
      </w:r>
      <w:r w:rsidR="00A17F6F">
        <w:rPr>
          <w:rFonts w:asciiTheme="majorBidi" w:hAnsiTheme="majorBidi" w:cstheme="majorBidi"/>
        </w:rPr>
        <w:t>Lietā ir strīds par</w:t>
      </w:r>
      <w:r w:rsidR="00721DCA">
        <w:rPr>
          <w:rFonts w:asciiTheme="majorBidi" w:hAnsiTheme="majorBidi" w:cstheme="majorBidi"/>
        </w:rPr>
        <w:t xml:space="preserve"> </w:t>
      </w:r>
      <w:r w:rsidR="00721DCA" w:rsidRPr="00721DCA">
        <w:rPr>
          <w:rFonts w:asciiTheme="majorBidi" w:hAnsiTheme="majorBidi" w:cstheme="majorBidi"/>
        </w:rPr>
        <w:t>sarakst</w:t>
      </w:r>
      <w:r w:rsidR="00721DCA">
        <w:rPr>
          <w:rFonts w:asciiTheme="majorBidi" w:hAnsiTheme="majorBidi" w:cstheme="majorBidi"/>
        </w:rPr>
        <w:t>a</w:t>
      </w:r>
      <w:r w:rsidR="00721DCA" w:rsidRPr="00721DCA">
        <w:rPr>
          <w:rFonts w:asciiTheme="majorBidi" w:hAnsiTheme="majorBidi" w:cstheme="majorBidi"/>
        </w:rPr>
        <w:t xml:space="preserve"> Nr.</w:t>
      </w:r>
      <w:r w:rsidR="008302E9">
        <w:rPr>
          <w:rFonts w:asciiTheme="majorBidi" w:hAnsiTheme="majorBidi" w:cstheme="majorBidi"/>
        </w:rPr>
        <w:t> </w:t>
      </w:r>
      <w:r w:rsidR="00721DCA" w:rsidRPr="00721DCA">
        <w:rPr>
          <w:rFonts w:asciiTheme="majorBidi" w:hAnsiTheme="majorBidi" w:cstheme="majorBidi"/>
        </w:rPr>
        <w:t>1</w:t>
      </w:r>
      <w:r w:rsidR="00721DCA">
        <w:rPr>
          <w:rFonts w:asciiTheme="majorBidi" w:hAnsiTheme="majorBidi" w:cstheme="majorBidi"/>
        </w:rPr>
        <w:t xml:space="preserve"> interpretācij</w:t>
      </w:r>
      <w:r w:rsidR="009E5B44">
        <w:rPr>
          <w:rFonts w:asciiTheme="majorBidi" w:hAnsiTheme="majorBidi" w:cstheme="majorBidi"/>
        </w:rPr>
        <w:t>u</w:t>
      </w:r>
      <w:r w:rsidR="00721DCA">
        <w:rPr>
          <w:rFonts w:asciiTheme="majorBidi" w:hAnsiTheme="majorBidi" w:cstheme="majorBidi"/>
        </w:rPr>
        <w:t xml:space="preserve"> un piemērošan</w:t>
      </w:r>
      <w:r w:rsidR="009E5B44">
        <w:rPr>
          <w:rFonts w:asciiTheme="majorBidi" w:hAnsiTheme="majorBidi" w:cstheme="majorBidi"/>
        </w:rPr>
        <w:t xml:space="preserve">u. </w:t>
      </w:r>
      <w:r w:rsidR="00721DCA">
        <w:rPr>
          <w:rFonts w:asciiTheme="majorBidi" w:hAnsiTheme="majorBidi" w:cstheme="majorBidi"/>
        </w:rPr>
        <w:t>Apgabaltiesa ir atsaukusies uz skaidrojum</w:t>
      </w:r>
      <w:r w:rsidR="00912516">
        <w:rPr>
          <w:rFonts w:asciiTheme="majorBidi" w:hAnsiTheme="majorBidi" w:cstheme="majorBidi"/>
        </w:rPr>
        <w:t>u</w:t>
      </w:r>
      <w:r w:rsidR="00721DCA">
        <w:rPr>
          <w:rFonts w:asciiTheme="majorBidi" w:hAnsiTheme="majorBidi" w:cstheme="majorBidi"/>
        </w:rPr>
        <w:t xml:space="preserve"> Nr. 5/8 un </w:t>
      </w:r>
      <w:r w:rsidR="00721DCA">
        <w:t>Senāta</w:t>
      </w:r>
      <w:r w:rsidR="00721DCA" w:rsidRPr="00CD3AE1">
        <w:t xml:space="preserve"> </w:t>
      </w:r>
      <w:r w:rsidR="00912516">
        <w:t>spriedumos paustajām atziņām</w:t>
      </w:r>
      <w:r w:rsidR="001C5F12">
        <w:t>, norādot, ka</w:t>
      </w:r>
      <w:r w:rsidR="009E5B44">
        <w:t xml:space="preserve"> </w:t>
      </w:r>
      <w:r w:rsidR="009E5B44" w:rsidRPr="000A0ADB">
        <w:rPr>
          <w:rFonts w:asciiTheme="majorBidi" w:hAnsiTheme="majorBidi" w:cstheme="majorBidi"/>
        </w:rPr>
        <w:t>saraksta Nr.</w:t>
      </w:r>
      <w:r w:rsidR="009E5B44">
        <w:rPr>
          <w:rFonts w:asciiTheme="majorBidi" w:hAnsiTheme="majorBidi" w:cstheme="majorBidi"/>
        </w:rPr>
        <w:t> </w:t>
      </w:r>
      <w:r w:rsidR="009E5B44" w:rsidRPr="000A0ADB">
        <w:rPr>
          <w:rFonts w:asciiTheme="majorBidi" w:hAnsiTheme="majorBidi" w:cstheme="majorBidi"/>
        </w:rPr>
        <w:t>1 XV</w:t>
      </w:r>
      <w:r w:rsidR="009E5B44">
        <w:rPr>
          <w:rFonts w:asciiTheme="majorBidi" w:hAnsiTheme="majorBidi" w:cstheme="majorBidi"/>
        </w:rPr>
        <w:t> </w:t>
      </w:r>
      <w:r w:rsidR="009E5B44" w:rsidRPr="000A0ADB">
        <w:rPr>
          <w:rFonts w:asciiTheme="majorBidi" w:hAnsiTheme="majorBidi" w:cstheme="majorBidi"/>
        </w:rPr>
        <w:t>nodaļā nav izvirzīta prasība strādāt noteikt</w:t>
      </w:r>
      <w:r w:rsidR="009E5B44">
        <w:rPr>
          <w:rFonts w:asciiTheme="majorBidi" w:hAnsiTheme="majorBidi" w:cstheme="majorBidi"/>
        </w:rPr>
        <w:t>a</w:t>
      </w:r>
      <w:r w:rsidR="009E5B44" w:rsidRPr="000A0ADB">
        <w:rPr>
          <w:rFonts w:asciiTheme="majorBidi" w:hAnsiTheme="majorBidi" w:cstheme="majorBidi"/>
        </w:rPr>
        <w:t xml:space="preserve"> veida ražotnē</w:t>
      </w:r>
      <w:r w:rsidR="009E5B44">
        <w:rPr>
          <w:rFonts w:asciiTheme="majorBidi" w:hAnsiTheme="majorBidi" w:cstheme="majorBidi"/>
        </w:rPr>
        <w:t xml:space="preserve">. </w:t>
      </w:r>
      <w:r w:rsidR="0012186E">
        <w:rPr>
          <w:rFonts w:asciiTheme="majorBidi" w:hAnsiTheme="majorBidi" w:cstheme="majorBidi"/>
        </w:rPr>
        <w:t>Savukārt</w:t>
      </w:r>
      <w:r w:rsidR="00721DCA">
        <w:t xml:space="preserve"> </w:t>
      </w:r>
      <w:r w:rsidR="00721DCA">
        <w:rPr>
          <w:rFonts w:asciiTheme="majorBidi" w:hAnsiTheme="majorBidi" w:cstheme="majorBidi"/>
        </w:rPr>
        <w:t>aģentūra uzskata, ka</w:t>
      </w:r>
      <w:r w:rsidR="009E5B44">
        <w:rPr>
          <w:rFonts w:asciiTheme="majorBidi" w:hAnsiTheme="majorBidi" w:cstheme="majorBidi"/>
        </w:rPr>
        <w:t xml:space="preserve"> šāda prasība pastāv</w:t>
      </w:r>
      <w:r w:rsidR="00912516">
        <w:rPr>
          <w:rFonts w:asciiTheme="majorBidi" w:hAnsiTheme="majorBidi" w:cstheme="majorBidi"/>
        </w:rPr>
        <w:t xml:space="preserve"> </w:t>
      </w:r>
      <w:r w:rsidR="00B42ED4">
        <w:t>un</w:t>
      </w:r>
      <w:r w:rsidR="009E5B44">
        <w:t xml:space="preserve"> tiesai</w:t>
      </w:r>
      <w:r w:rsidR="00721DCA">
        <w:rPr>
          <w:rFonts w:asciiTheme="majorBidi" w:hAnsiTheme="majorBidi" w:cstheme="majorBidi"/>
        </w:rPr>
        <w:t xml:space="preserve"> jāņem vērā </w:t>
      </w:r>
      <w:r w:rsidR="00721DCA" w:rsidRPr="00CD3AE1">
        <w:rPr>
          <w:shd w:val="clear" w:color="auto" w:fill="FFFFFF"/>
        </w:rPr>
        <w:t>noteikumu Nr.</w:t>
      </w:r>
      <w:r w:rsidR="00721DCA">
        <w:rPr>
          <w:shd w:val="clear" w:color="auto" w:fill="FFFFFF"/>
        </w:rPr>
        <w:t> </w:t>
      </w:r>
      <w:r w:rsidR="00721DCA" w:rsidRPr="0032486C">
        <w:rPr>
          <w:shd w:val="clear" w:color="auto" w:fill="FFFFFF"/>
        </w:rPr>
        <w:t xml:space="preserve">165 </w:t>
      </w:r>
      <w:r w:rsidR="00721DCA" w:rsidRPr="006976EC">
        <w:t>20.</w:t>
      </w:r>
      <w:r w:rsidR="00721DCA" w:rsidRPr="006976EC">
        <w:rPr>
          <w:vertAlign w:val="superscript"/>
        </w:rPr>
        <w:t>1</w:t>
      </w:r>
      <w:r w:rsidR="00721DCA" w:rsidRPr="006976EC">
        <w:t>punkt</w:t>
      </w:r>
      <w:r w:rsidR="00721DCA">
        <w:t xml:space="preserve">s un </w:t>
      </w:r>
      <w:r w:rsidR="00721DCA" w:rsidRPr="00721DCA">
        <w:t>vēstule Nr.</w:t>
      </w:r>
      <w:r w:rsidR="00D55314">
        <w:t> </w:t>
      </w:r>
      <w:r w:rsidR="00721DCA" w:rsidRPr="00721DCA">
        <w:t>175-MK</w:t>
      </w:r>
      <w:r w:rsidR="00721DCA">
        <w:t>.</w:t>
      </w:r>
    </w:p>
    <w:p w14:paraId="043338DC" w14:textId="77777777" w:rsidR="00D55314" w:rsidRDefault="00D55314" w:rsidP="003773E7">
      <w:pPr>
        <w:spacing w:line="276" w:lineRule="auto"/>
        <w:ind w:firstLine="720"/>
        <w:jc w:val="both"/>
        <w:rPr>
          <w:rFonts w:asciiTheme="majorBidi" w:hAnsiTheme="majorBidi" w:cstheme="majorBidi"/>
        </w:rPr>
      </w:pPr>
    </w:p>
    <w:p w14:paraId="737DB2AA" w14:textId="22D88A04" w:rsidR="009E5B44" w:rsidRDefault="007E7E64" w:rsidP="003773E7">
      <w:pPr>
        <w:pStyle w:val="mt-translation"/>
        <w:spacing w:before="0" w:beforeAutospacing="0" w:after="0" w:afterAutospacing="0" w:line="276" w:lineRule="auto"/>
        <w:ind w:firstLine="720"/>
        <w:jc w:val="both"/>
      </w:pPr>
      <w:r>
        <w:rPr>
          <w:rFonts w:asciiTheme="majorBidi" w:hAnsiTheme="majorBidi" w:cstheme="majorBidi"/>
        </w:rPr>
        <w:t>[</w:t>
      </w:r>
      <w:r w:rsidR="00BC045A">
        <w:rPr>
          <w:rFonts w:asciiTheme="majorBidi" w:hAnsiTheme="majorBidi" w:cstheme="majorBidi"/>
        </w:rPr>
        <w:t>6</w:t>
      </w:r>
      <w:r>
        <w:rPr>
          <w:rFonts w:asciiTheme="majorBidi" w:hAnsiTheme="majorBidi" w:cstheme="majorBidi"/>
        </w:rPr>
        <w:t>]</w:t>
      </w:r>
      <w:r w:rsidR="00BE54AE">
        <w:rPr>
          <w:rFonts w:asciiTheme="majorBidi" w:hAnsiTheme="majorBidi" w:cstheme="majorBidi"/>
        </w:rPr>
        <w:t> </w:t>
      </w:r>
      <w:r w:rsidR="00A50FFF">
        <w:t>A</w:t>
      </w:r>
      <w:r w:rsidR="00EE2C97">
        <w:t xml:space="preserve">pgabaltiesas no </w:t>
      </w:r>
      <w:r w:rsidR="00EE2C97" w:rsidRPr="00EE2C97">
        <w:t>pieteicēja darba grāmatiņas ierakstiem</w:t>
      </w:r>
      <w:r w:rsidR="00A50FFF">
        <w:t xml:space="preserve"> konstatēj</w:t>
      </w:r>
      <w:r w:rsidR="009F0907">
        <w:t>a</w:t>
      </w:r>
      <w:r w:rsidR="00A50FFF">
        <w:t>, ka</w:t>
      </w:r>
      <w:r w:rsidR="00EE2C97" w:rsidRPr="00EE2C97">
        <w:t xml:space="preserve"> pieteicējs no 1984.gada 6.novembra līdz 1993.gada 18.februārim pildīj</w:t>
      </w:r>
      <w:r w:rsidR="00912516">
        <w:t>a</w:t>
      </w:r>
      <w:r w:rsidR="00EE2C97" w:rsidRPr="00EE2C97">
        <w:t xml:space="preserve"> stiklaplasta formētāja darbu laivu būves cehā.</w:t>
      </w:r>
    </w:p>
    <w:p w14:paraId="7C2E63A2" w14:textId="5EF5CE45" w:rsidR="00F111DA" w:rsidRDefault="00CF24E0" w:rsidP="003773E7">
      <w:pPr>
        <w:pStyle w:val="mt-translation"/>
        <w:spacing w:before="0" w:beforeAutospacing="0" w:after="0" w:afterAutospacing="0" w:line="276" w:lineRule="auto"/>
        <w:ind w:firstLine="720"/>
        <w:jc w:val="both"/>
      </w:pPr>
      <w:r>
        <w:t>A</w:t>
      </w:r>
      <w:r w:rsidR="009A16A1">
        <w:t>dministratīvās lietas Nr.</w:t>
      </w:r>
      <w:r w:rsidR="00A50FFF">
        <w:t> </w:t>
      </w:r>
      <w:bookmarkStart w:id="4" w:name="_Hlk194069349"/>
      <w:r w:rsidR="009A16A1" w:rsidRPr="00CD3AE1">
        <w:t>A420408412</w:t>
      </w:r>
      <w:bookmarkEnd w:id="4"/>
      <w:r w:rsidR="009A16A1">
        <w:t xml:space="preserve">, uz kuru atsaucas gan zemāko instanču tiesas, gan pieteicējs, </w:t>
      </w:r>
      <w:r w:rsidR="00B36AF2">
        <w:t xml:space="preserve">faktiskie apstākļi bija </w:t>
      </w:r>
      <w:r w:rsidR="009E5B44">
        <w:t xml:space="preserve">līdzīgi </w:t>
      </w:r>
      <w:r w:rsidR="00B36AF2">
        <w:t>izskatāmajai lietai</w:t>
      </w:r>
      <w:r w:rsidR="00A54E0C">
        <w:t xml:space="preserve"> – </w:t>
      </w:r>
      <w:r w:rsidR="000F6FCC">
        <w:t xml:space="preserve">persona </w:t>
      </w:r>
      <w:r w:rsidR="005B30C2">
        <w:t xml:space="preserve">bija </w:t>
      </w:r>
      <w:r w:rsidR="000F6FCC">
        <w:t xml:space="preserve">strādājusi par stikla šķiedras formētāju </w:t>
      </w:r>
      <w:r w:rsidR="00D027EB">
        <w:t xml:space="preserve">tajā paša </w:t>
      </w:r>
      <w:r w:rsidR="00573751">
        <w:t>l</w:t>
      </w:r>
      <w:r w:rsidR="000F6FCC" w:rsidRPr="00EE2C97">
        <w:t>aivu būves cehā</w:t>
      </w:r>
      <w:r w:rsidR="005B30C2">
        <w:t xml:space="preserve">, kur pieteicējs, </w:t>
      </w:r>
      <w:r w:rsidR="00B36AF2">
        <w:t>dar</w:t>
      </w:r>
      <w:r w:rsidR="00D027EB">
        <w:t>ot</w:t>
      </w:r>
      <w:r w:rsidR="00B36AF2">
        <w:t xml:space="preserve"> to pašu darbu.</w:t>
      </w:r>
    </w:p>
    <w:p w14:paraId="73715F50" w14:textId="6202E5FF" w:rsidR="00D55314" w:rsidRPr="00BE54AE" w:rsidRDefault="00573751" w:rsidP="003773E7">
      <w:pPr>
        <w:pStyle w:val="mt-translation"/>
        <w:spacing w:before="0" w:beforeAutospacing="0" w:after="0" w:afterAutospacing="0" w:line="276" w:lineRule="auto"/>
        <w:ind w:firstLine="720"/>
        <w:jc w:val="both"/>
        <w:rPr>
          <w:color w:val="000000"/>
        </w:rPr>
      </w:pPr>
      <w:r>
        <w:t xml:space="preserve">Šajā lietā Senāts </w:t>
      </w:r>
      <w:r w:rsidR="009E5B44" w:rsidRPr="00F111DA">
        <w:rPr>
          <w:color w:val="000000"/>
        </w:rPr>
        <w:t>attiecībā uz saraksta Nr. 1 XV nodaļas interpretāciju atzina, ka minētajā nodaļā nav izvirzīta prasība strādāt noteiktā ražotnē. Līdz ar to tas, ka pieteicēja darba vieta nebija stikla šķiedras ražotne, pats par sevi nevar būt šķērslis, lai atzītu, ka pieteicējs ir veicis sarakstam Nr. 1 atbilstošu darbu (</w:t>
      </w:r>
      <w:r w:rsidR="009E5B44" w:rsidRPr="00F111DA">
        <w:rPr>
          <w:i/>
          <w:color w:val="000000"/>
        </w:rPr>
        <w:t>Senāta 2016.gada 16.septembra sprieduma lietā Nr. SKA-63/2016,</w:t>
      </w:r>
      <w:r w:rsidR="004B409C">
        <w:rPr>
          <w:i/>
          <w:color w:val="000000"/>
        </w:rPr>
        <w:t xml:space="preserve"> </w:t>
      </w:r>
      <w:r w:rsidR="009E5B44" w:rsidRPr="00F111DA">
        <w:rPr>
          <w:i/>
          <w:color w:val="000000"/>
        </w:rPr>
        <w:t>A420408412, 6.punkts</w:t>
      </w:r>
      <w:r w:rsidR="009E5B44" w:rsidRPr="00F111DA">
        <w:rPr>
          <w:color w:val="000000"/>
        </w:rPr>
        <w:t>).</w:t>
      </w:r>
      <w:r w:rsidR="009E5B44">
        <w:rPr>
          <w:color w:val="000000"/>
        </w:rPr>
        <w:t xml:space="preserve"> Senāts norādīja, ka</w:t>
      </w:r>
      <w:r w:rsidR="00257CD3">
        <w:t xml:space="preserve"> s</w:t>
      </w:r>
      <w:r w:rsidR="00257CD3" w:rsidRPr="00257CD3">
        <w:t>araksta Nr.</w:t>
      </w:r>
      <w:r w:rsidR="008302E9">
        <w:t> </w:t>
      </w:r>
      <w:r w:rsidR="00257CD3" w:rsidRPr="00257CD3">
        <w:t xml:space="preserve">1 XV nodaļā nav norādes uz struktūrvienībām (cehiem vai ražotnēm), kurās </w:t>
      </w:r>
      <w:r w:rsidR="0012186E" w:rsidRPr="00257CD3">
        <w:t xml:space="preserve">bija jāstrādā </w:t>
      </w:r>
      <w:r w:rsidR="00257CD3" w:rsidRPr="00257CD3">
        <w:t>šajā nodaļā uzskaitītajiem darbiniekiem vai norādītie darbi jāveic strādniekiem. Nodaļa attiecas uz stikla, porcelāna un fajansa ražošanā nodarbinātajiem. Taču atbilstoši saraksta XV nodaļai stikla ražošan</w:t>
      </w:r>
      <w:r w:rsidR="0012186E">
        <w:t>ā</w:t>
      </w:r>
      <w:r w:rsidR="00257CD3" w:rsidRPr="00257CD3">
        <w:t xml:space="preserve"> ir ieskaitīta arī stikla šķiedras ražošana, kas savukārt ietver arī strādnieka darbu, izgatavojot citus izstrādājumus (ne tikai stikla vates paklāju un stikla separatoru) no stikla šķiedras. Kā norādīts skaidrojuma </w:t>
      </w:r>
      <w:r w:rsidR="00257CD3">
        <w:t xml:space="preserve">Nr. 5/8 </w:t>
      </w:r>
      <w:r w:rsidR="00257CD3" w:rsidRPr="00257CD3">
        <w:t>3.punktā, gadījumā ja sarakstā Nr.</w:t>
      </w:r>
      <w:r w:rsidR="008302E9">
        <w:t> </w:t>
      </w:r>
      <w:r w:rsidR="00257CD3" w:rsidRPr="00257CD3">
        <w:t xml:space="preserve">1 ir iekļauti strādnieki, kas izpilda noteiktu darbu, tiesības uz pensionēšanos ar atvieglotiem noteikumiem ir visiem strādniekiem, kas pastāvīgi nodarbināti šajos darbos, neatkarīgi no to profesijas nosaukuma. Turklāt, kā tas izriet no skaidrojuma 1.punkta, tad saraksti tiek piemēroti neatkarīgi no </w:t>
      </w:r>
      <w:r w:rsidR="0012186E">
        <w:t xml:space="preserve">tā </w:t>
      </w:r>
      <w:r w:rsidR="00257CD3" w:rsidRPr="00257CD3">
        <w:t>uzņēmuma</w:t>
      </w:r>
      <w:r w:rsidR="0012186E" w:rsidRPr="0012186E">
        <w:t xml:space="preserve"> resoriskās pakļautības un nozares</w:t>
      </w:r>
      <w:r w:rsidR="00257CD3" w:rsidRPr="00257CD3">
        <w:t xml:space="preserve">, kurā persona veikusi darbu, kas iekļauts sarakstā minētajās attiecīgajās ražošanās </w:t>
      </w:r>
      <w:r w:rsidR="00257CD3">
        <w:t>(</w:t>
      </w:r>
      <w:r w:rsidR="00257CD3" w:rsidRPr="00BE54AE">
        <w:rPr>
          <w:i/>
          <w:iCs/>
        </w:rPr>
        <w:t>Senāta 2017.gada 20.oktobra sprieduma lietā Nr. SKA-843/2017, A420408412, 6.punkts</w:t>
      </w:r>
      <w:r w:rsidR="00257CD3">
        <w:t>)</w:t>
      </w:r>
      <w:r w:rsidR="00257CD3" w:rsidRPr="00257CD3">
        <w:t>.</w:t>
      </w:r>
    </w:p>
    <w:p w14:paraId="77E3F9DE" w14:textId="69038CB0" w:rsidR="009E5B44" w:rsidRDefault="009E5B44" w:rsidP="003773E7">
      <w:pPr>
        <w:pStyle w:val="mt-translation"/>
        <w:spacing w:before="0" w:beforeAutospacing="0" w:after="0" w:afterAutospacing="0" w:line="276" w:lineRule="auto"/>
        <w:ind w:firstLine="720"/>
        <w:jc w:val="both"/>
      </w:pPr>
      <w:r>
        <w:t xml:space="preserve">Līdz ar to Senāts jau ir sniedzis viedokli par </w:t>
      </w:r>
      <w:r w:rsidRPr="00C1553D">
        <w:rPr>
          <w:color w:val="000000"/>
        </w:rPr>
        <w:t>saraksta Nr. 1 XV nodaļas</w:t>
      </w:r>
      <w:r>
        <w:rPr>
          <w:color w:val="000000"/>
        </w:rPr>
        <w:t xml:space="preserve"> interpretāciju</w:t>
      </w:r>
      <w:r w:rsidR="001501B7">
        <w:rPr>
          <w:color w:val="000000"/>
        </w:rPr>
        <w:t xml:space="preserve"> </w:t>
      </w:r>
      <w:r w:rsidR="00541098">
        <w:rPr>
          <w:color w:val="000000"/>
        </w:rPr>
        <w:t>strīdus jautājumā</w:t>
      </w:r>
      <w:r>
        <w:rPr>
          <w:color w:val="000000"/>
        </w:rPr>
        <w:t xml:space="preserve"> un pārsūdzētais spriedums </w:t>
      </w:r>
      <w:r w:rsidR="00541098">
        <w:rPr>
          <w:color w:val="000000"/>
        </w:rPr>
        <w:t>saskan ar šo viedokli</w:t>
      </w:r>
      <w:r>
        <w:rPr>
          <w:color w:val="000000"/>
        </w:rPr>
        <w:t>.</w:t>
      </w:r>
    </w:p>
    <w:p w14:paraId="30F9AC6B" w14:textId="77777777" w:rsidR="00257CD3" w:rsidRDefault="00257CD3" w:rsidP="003773E7">
      <w:pPr>
        <w:pStyle w:val="mt-translation"/>
        <w:spacing w:before="0" w:beforeAutospacing="0" w:after="0" w:afterAutospacing="0" w:line="276" w:lineRule="auto"/>
        <w:ind w:firstLine="720"/>
        <w:jc w:val="both"/>
      </w:pPr>
    </w:p>
    <w:p w14:paraId="0E664762" w14:textId="09C37E6B" w:rsidR="00A54E0C" w:rsidRDefault="00257CD3" w:rsidP="003773E7">
      <w:pPr>
        <w:pStyle w:val="mt-translation"/>
        <w:spacing w:before="0" w:beforeAutospacing="0" w:after="0" w:afterAutospacing="0" w:line="276" w:lineRule="auto"/>
        <w:ind w:firstLine="720"/>
        <w:jc w:val="both"/>
      </w:pPr>
      <w:r>
        <w:t>[</w:t>
      </w:r>
      <w:r w:rsidR="00541098">
        <w:t>7</w:t>
      </w:r>
      <w:r>
        <w:t>] </w:t>
      </w:r>
      <w:r w:rsidR="00FB47D8">
        <w:t>A</w:t>
      </w:r>
      <w:r w:rsidR="00B2482A">
        <w:t xml:space="preserve">ģentūra uzskata, ka </w:t>
      </w:r>
      <w:r w:rsidR="00D55314">
        <w:t xml:space="preserve">šīs </w:t>
      </w:r>
      <w:r w:rsidR="009F0907">
        <w:t xml:space="preserve">Senāta </w:t>
      </w:r>
      <w:r w:rsidR="00D55314">
        <w:t xml:space="preserve">atziņas izskatāmajā lietā nav piemērojamas, jo </w:t>
      </w:r>
      <w:r w:rsidR="00B2482A">
        <w:t>pēc sprieduma ir mainījusies tiesiskā situācija</w:t>
      </w:r>
      <w:r w:rsidR="006C3A6D">
        <w:t xml:space="preserve"> –</w:t>
      </w:r>
      <w:r w:rsidR="00B2482A">
        <w:t xml:space="preserve"> ir grozīts</w:t>
      </w:r>
      <w:r w:rsidR="00B2482A" w:rsidRPr="00B2482A">
        <w:t xml:space="preserve"> </w:t>
      </w:r>
      <w:r w:rsidR="00B2482A" w:rsidRPr="00CD3AE1">
        <w:rPr>
          <w:shd w:val="clear" w:color="auto" w:fill="FFFFFF"/>
        </w:rPr>
        <w:t>noteikumu Nr.</w:t>
      </w:r>
      <w:r w:rsidR="00CF24E0">
        <w:rPr>
          <w:shd w:val="clear" w:color="auto" w:fill="FFFFFF"/>
        </w:rPr>
        <w:t> </w:t>
      </w:r>
      <w:r w:rsidR="00B2482A" w:rsidRPr="0032486C">
        <w:rPr>
          <w:shd w:val="clear" w:color="auto" w:fill="FFFFFF"/>
        </w:rPr>
        <w:t xml:space="preserve">165 </w:t>
      </w:r>
      <w:r w:rsidR="00B2482A" w:rsidRPr="006976EC">
        <w:t>20.</w:t>
      </w:r>
      <w:r w:rsidR="00B2482A" w:rsidRPr="006976EC">
        <w:rPr>
          <w:vertAlign w:val="superscript"/>
        </w:rPr>
        <w:t>1</w:t>
      </w:r>
      <w:r w:rsidR="00B2482A" w:rsidRPr="006976EC">
        <w:t>punkt</w:t>
      </w:r>
      <w:r w:rsidR="00B2482A">
        <w:t>s</w:t>
      </w:r>
      <w:r w:rsidR="00402473">
        <w:t>.</w:t>
      </w:r>
    </w:p>
    <w:p w14:paraId="0D6F616E" w14:textId="3697814F" w:rsidR="00B42ED4" w:rsidRDefault="00402473" w:rsidP="003773E7">
      <w:pPr>
        <w:pStyle w:val="tv213"/>
        <w:shd w:val="clear" w:color="auto" w:fill="FFFFFF"/>
        <w:spacing w:before="0" w:beforeAutospacing="0" w:after="0" w:afterAutospacing="0" w:line="276" w:lineRule="auto"/>
        <w:ind w:firstLine="720"/>
        <w:jc w:val="both"/>
        <w:rPr>
          <w:lang w:val="lv-LV"/>
        </w:rPr>
      </w:pPr>
      <w:r w:rsidRPr="00502005">
        <w:rPr>
          <w:lang w:val="lv-LV"/>
        </w:rPr>
        <w:t>Noteikumu Nr.</w:t>
      </w:r>
      <w:r w:rsidR="00CF24E0">
        <w:rPr>
          <w:lang w:val="lv-LV"/>
        </w:rPr>
        <w:t> </w:t>
      </w:r>
      <w:r w:rsidRPr="00502005">
        <w:rPr>
          <w:lang w:val="lv-LV"/>
        </w:rPr>
        <w:t xml:space="preserve">165 </w:t>
      </w:r>
      <w:r w:rsidRPr="00402473">
        <w:rPr>
          <w:rFonts w:asciiTheme="majorBidi" w:hAnsiTheme="majorBidi" w:cstheme="majorBidi"/>
          <w:lang w:val="lv-LV"/>
        </w:rPr>
        <w:t>20.</w:t>
      </w:r>
      <w:r w:rsidRPr="00402473">
        <w:rPr>
          <w:rFonts w:asciiTheme="majorBidi" w:hAnsiTheme="majorBidi" w:cstheme="majorBidi"/>
          <w:vertAlign w:val="superscript"/>
          <w:lang w:val="lv-LV"/>
        </w:rPr>
        <w:t>1</w:t>
      </w:r>
      <w:r w:rsidRPr="00502005">
        <w:rPr>
          <w:rFonts w:asciiTheme="majorBidi" w:hAnsiTheme="majorBidi" w:cstheme="majorBidi"/>
          <w:lang w:val="lv-LV"/>
        </w:rPr>
        <w:t>punkta redakcija, kas bija spēkā līdz 2019.gada 21.februārim</w:t>
      </w:r>
      <w:r w:rsidR="009F0907">
        <w:rPr>
          <w:rFonts w:asciiTheme="majorBidi" w:hAnsiTheme="majorBidi" w:cstheme="majorBidi"/>
          <w:lang w:val="lv-LV"/>
        </w:rPr>
        <w:t>,</w:t>
      </w:r>
      <w:r w:rsidR="00F73D9E" w:rsidRPr="00502005">
        <w:rPr>
          <w:rFonts w:asciiTheme="majorBidi" w:hAnsiTheme="majorBidi" w:cstheme="majorBidi"/>
          <w:lang w:val="lv-LV"/>
        </w:rPr>
        <w:t xml:space="preserve"> noteica: l</w:t>
      </w:r>
      <w:r w:rsidRPr="00402473">
        <w:rPr>
          <w:rFonts w:asciiTheme="majorBidi" w:hAnsiTheme="majorBidi" w:cstheme="majorBidi"/>
          <w:lang w:val="lv-LV"/>
        </w:rPr>
        <w:t>ai izvērtētu veiktā darba atbilstību sarakstam Nr.</w:t>
      </w:r>
      <w:r w:rsidR="00CF24E0">
        <w:rPr>
          <w:rFonts w:asciiTheme="majorBidi" w:hAnsiTheme="majorBidi" w:cstheme="majorBidi"/>
          <w:lang w:val="lv-LV"/>
        </w:rPr>
        <w:t> </w:t>
      </w:r>
      <w:r w:rsidRPr="00402473">
        <w:rPr>
          <w:rFonts w:asciiTheme="majorBidi" w:hAnsiTheme="majorBidi" w:cstheme="majorBidi"/>
          <w:lang w:val="lv-LV"/>
        </w:rPr>
        <w:t>1 un Nr.</w:t>
      </w:r>
      <w:r w:rsidR="00CF24E0">
        <w:rPr>
          <w:rFonts w:asciiTheme="majorBidi" w:hAnsiTheme="majorBidi" w:cstheme="majorBidi"/>
          <w:lang w:val="lv-LV"/>
        </w:rPr>
        <w:t> </w:t>
      </w:r>
      <w:r w:rsidRPr="00402473">
        <w:rPr>
          <w:rFonts w:asciiTheme="majorBidi" w:hAnsiTheme="majorBidi" w:cstheme="majorBidi"/>
          <w:lang w:val="lv-LV"/>
        </w:rPr>
        <w:t xml:space="preserve">2, piemēro </w:t>
      </w:r>
      <w:r w:rsidR="003F7425" w:rsidRPr="00BE54AE">
        <w:rPr>
          <w:rFonts w:asciiTheme="majorBidi" w:hAnsiTheme="majorBidi" w:cstheme="majorBidi"/>
          <w:lang w:val="lv-LV"/>
        </w:rPr>
        <w:t>skaidrojum</w:t>
      </w:r>
      <w:r w:rsidR="00FB2030">
        <w:rPr>
          <w:rFonts w:asciiTheme="majorBidi" w:hAnsiTheme="majorBidi" w:cstheme="majorBidi"/>
          <w:lang w:val="lv-LV"/>
        </w:rPr>
        <w:t>u</w:t>
      </w:r>
      <w:r w:rsidR="003F7425" w:rsidRPr="00BE54AE">
        <w:rPr>
          <w:rFonts w:asciiTheme="majorBidi" w:hAnsiTheme="majorBidi" w:cstheme="majorBidi"/>
          <w:lang w:val="lv-LV"/>
        </w:rPr>
        <w:t xml:space="preserve"> Nr. 5/8</w:t>
      </w:r>
      <w:r w:rsidR="00F73D9E" w:rsidRPr="00502005">
        <w:rPr>
          <w:rFonts w:asciiTheme="majorBidi" w:hAnsiTheme="majorBidi" w:cstheme="majorBidi"/>
          <w:lang w:val="lv-LV"/>
        </w:rPr>
        <w:t>,</w:t>
      </w:r>
      <w:r w:rsidRPr="00402473">
        <w:rPr>
          <w:rFonts w:asciiTheme="majorBidi" w:hAnsiTheme="majorBidi" w:cstheme="majorBidi"/>
          <w:lang w:val="lv-LV"/>
        </w:rPr>
        <w:t xml:space="preserve"> kā arī citus saskaņā ar PSRS Ministru Padomes Darba un darba algas valsts komitejas norādījumiem izdotos skaidrojumus, kas tika sniegti līdz 1990.</w:t>
      </w:r>
      <w:r w:rsidRPr="00F73D9E">
        <w:rPr>
          <w:rFonts w:asciiTheme="majorBidi" w:hAnsiTheme="majorBidi" w:cstheme="majorBidi"/>
          <w:lang w:val="lv-LV"/>
        </w:rPr>
        <w:t>gada 4.maijam un bija piemērojami visā PSRS teritorijā.</w:t>
      </w:r>
    </w:p>
    <w:p w14:paraId="6505CC43" w14:textId="6D488598" w:rsidR="00A10D0B" w:rsidRDefault="00A10D0B" w:rsidP="003773E7">
      <w:pPr>
        <w:pStyle w:val="tv213"/>
        <w:shd w:val="clear" w:color="auto" w:fill="FFFFFF"/>
        <w:spacing w:before="0" w:beforeAutospacing="0" w:after="0" w:afterAutospacing="0" w:line="276" w:lineRule="auto"/>
        <w:ind w:firstLine="720"/>
        <w:jc w:val="both"/>
        <w:rPr>
          <w:lang w:val="lv-LV"/>
        </w:rPr>
      </w:pPr>
      <w:r w:rsidRPr="00F73D9E">
        <w:rPr>
          <w:lang w:val="lv-LV"/>
        </w:rPr>
        <w:t>2019.gada 22.februārī</w:t>
      </w:r>
      <w:r>
        <w:rPr>
          <w:lang w:val="lv-LV"/>
        </w:rPr>
        <w:t xml:space="preserve"> n</w:t>
      </w:r>
      <w:r w:rsidRPr="00502005">
        <w:rPr>
          <w:lang w:val="lv-LV"/>
        </w:rPr>
        <w:t>oteikumu Nr.</w:t>
      </w:r>
      <w:r>
        <w:rPr>
          <w:lang w:val="lv-LV"/>
        </w:rPr>
        <w:t> </w:t>
      </w:r>
      <w:r w:rsidRPr="00502005">
        <w:rPr>
          <w:lang w:val="lv-LV"/>
        </w:rPr>
        <w:t xml:space="preserve">165 </w:t>
      </w:r>
      <w:r w:rsidRPr="00402473">
        <w:rPr>
          <w:rFonts w:asciiTheme="majorBidi" w:hAnsiTheme="majorBidi" w:cstheme="majorBidi"/>
          <w:lang w:val="lv-LV"/>
        </w:rPr>
        <w:t>20.</w:t>
      </w:r>
      <w:r w:rsidRPr="00402473">
        <w:rPr>
          <w:rFonts w:asciiTheme="majorBidi" w:hAnsiTheme="majorBidi" w:cstheme="majorBidi"/>
          <w:vertAlign w:val="superscript"/>
          <w:lang w:val="lv-LV"/>
        </w:rPr>
        <w:t>1</w:t>
      </w:r>
      <w:r w:rsidRPr="00502005">
        <w:rPr>
          <w:rFonts w:asciiTheme="majorBidi" w:hAnsiTheme="majorBidi" w:cstheme="majorBidi"/>
          <w:lang w:val="lv-LV"/>
        </w:rPr>
        <w:t>punkt</w:t>
      </w:r>
      <w:r>
        <w:rPr>
          <w:rFonts w:asciiTheme="majorBidi" w:hAnsiTheme="majorBidi" w:cstheme="majorBidi"/>
          <w:lang w:val="lv-LV"/>
        </w:rPr>
        <w:t>s stājās</w:t>
      </w:r>
      <w:r w:rsidRPr="00502005">
        <w:rPr>
          <w:rFonts w:asciiTheme="majorBidi" w:hAnsiTheme="majorBidi" w:cstheme="majorBidi"/>
          <w:lang w:val="lv-LV"/>
        </w:rPr>
        <w:t xml:space="preserve"> </w:t>
      </w:r>
      <w:r w:rsidRPr="00F73D9E">
        <w:rPr>
          <w:lang w:val="lv-LV"/>
        </w:rPr>
        <w:t xml:space="preserve">spēkā </w:t>
      </w:r>
      <w:r>
        <w:rPr>
          <w:rFonts w:asciiTheme="majorBidi" w:hAnsiTheme="majorBidi" w:cstheme="majorBidi"/>
          <w:lang w:val="lv-LV"/>
        </w:rPr>
        <w:t xml:space="preserve">jaunā </w:t>
      </w:r>
      <w:r w:rsidRPr="00F73D9E">
        <w:rPr>
          <w:rFonts w:asciiTheme="majorBidi" w:hAnsiTheme="majorBidi" w:cstheme="majorBidi"/>
          <w:lang w:val="lv-LV"/>
        </w:rPr>
        <w:t>redakcij</w:t>
      </w:r>
      <w:r>
        <w:rPr>
          <w:rFonts w:asciiTheme="majorBidi" w:hAnsiTheme="majorBidi" w:cstheme="majorBidi"/>
          <w:lang w:val="lv-LV"/>
        </w:rPr>
        <w:t xml:space="preserve">ā. Norma šobrīd paredz: </w:t>
      </w:r>
      <w:r w:rsidRPr="00F73D9E">
        <w:rPr>
          <w:rFonts w:asciiTheme="majorBidi" w:hAnsiTheme="majorBidi" w:cstheme="majorBidi"/>
          <w:lang w:val="lv-LV"/>
        </w:rPr>
        <w:t>lai izvērtētu veiktā darba atbilstību sarakstam Nr.</w:t>
      </w:r>
      <w:r>
        <w:rPr>
          <w:rFonts w:asciiTheme="majorBidi" w:hAnsiTheme="majorBidi" w:cstheme="majorBidi"/>
          <w:lang w:val="lv-LV"/>
        </w:rPr>
        <w:t> </w:t>
      </w:r>
      <w:r w:rsidRPr="00F73D9E">
        <w:rPr>
          <w:rFonts w:asciiTheme="majorBidi" w:hAnsiTheme="majorBidi" w:cstheme="majorBidi"/>
          <w:lang w:val="lv-LV"/>
        </w:rPr>
        <w:t xml:space="preserve">1 un Nr. 2, piemēro </w:t>
      </w:r>
      <w:r w:rsidRPr="00C1553D">
        <w:rPr>
          <w:rFonts w:asciiTheme="majorBidi" w:hAnsiTheme="majorBidi" w:cstheme="majorBidi"/>
          <w:lang w:val="lv-LV"/>
        </w:rPr>
        <w:t>skaidrojum</w:t>
      </w:r>
      <w:r>
        <w:rPr>
          <w:rFonts w:asciiTheme="majorBidi" w:hAnsiTheme="majorBidi" w:cstheme="majorBidi"/>
          <w:lang w:val="lv-LV"/>
        </w:rPr>
        <w:t>u</w:t>
      </w:r>
      <w:r w:rsidRPr="00C1553D">
        <w:rPr>
          <w:rFonts w:asciiTheme="majorBidi" w:hAnsiTheme="majorBidi" w:cstheme="majorBidi"/>
          <w:lang w:val="lv-LV"/>
        </w:rPr>
        <w:t xml:space="preserve"> Nr. 5/8</w:t>
      </w:r>
      <w:r w:rsidRPr="00F73D9E">
        <w:rPr>
          <w:rFonts w:asciiTheme="majorBidi" w:hAnsiTheme="majorBidi" w:cstheme="majorBidi"/>
          <w:lang w:val="lv-LV"/>
        </w:rPr>
        <w:t>, kā arī citus līdz 1990.gada</w:t>
      </w:r>
      <w:r>
        <w:rPr>
          <w:rFonts w:asciiTheme="majorBidi" w:hAnsiTheme="majorBidi" w:cstheme="majorBidi"/>
          <w:lang w:val="lv-LV"/>
        </w:rPr>
        <w:t xml:space="preserve"> </w:t>
      </w:r>
      <w:r w:rsidRPr="00F73D9E">
        <w:rPr>
          <w:rFonts w:asciiTheme="majorBidi" w:hAnsiTheme="majorBidi" w:cstheme="majorBidi"/>
          <w:lang w:val="lv-LV"/>
        </w:rPr>
        <w:t>4.maijam visā PSRS teritorijā piemērojamos PSRS Ministru Padomes Darba un darba algas valsts komitejas un KPFSR Sociālās nodrošināšanas ministrijas Zinātniski tehniskās informācijas un propagandas centrālā nozares biroja izdotos skaidrojumus attiecībā uz speciālā stāža noteikšanu.</w:t>
      </w:r>
    </w:p>
    <w:p w14:paraId="0FD3CF9A" w14:textId="11159A63" w:rsidR="00F5354C" w:rsidRDefault="00A10D0B" w:rsidP="003773E7">
      <w:pPr>
        <w:pStyle w:val="tv213"/>
        <w:shd w:val="clear" w:color="auto" w:fill="FFFFFF"/>
        <w:spacing w:before="0" w:beforeAutospacing="0" w:after="0" w:afterAutospacing="0" w:line="276" w:lineRule="auto"/>
        <w:ind w:firstLine="720"/>
        <w:jc w:val="both"/>
        <w:rPr>
          <w:rFonts w:asciiTheme="majorBidi" w:hAnsiTheme="majorBidi" w:cstheme="majorBidi"/>
          <w:lang w:val="lv-LV"/>
        </w:rPr>
      </w:pPr>
      <w:r>
        <w:rPr>
          <w:lang w:val="lv-LV"/>
        </w:rPr>
        <w:t>Secināms, ka</w:t>
      </w:r>
      <w:r w:rsidR="008923E9">
        <w:rPr>
          <w:lang w:val="lv-LV"/>
        </w:rPr>
        <w:t xml:space="preserve"> jau pirms grozījumiem</w:t>
      </w:r>
      <w:r w:rsidR="009F0907">
        <w:rPr>
          <w:lang w:val="lv-LV"/>
        </w:rPr>
        <w:t xml:space="preserve"> tiesību normā</w:t>
      </w:r>
      <w:r w:rsidR="008923E9">
        <w:rPr>
          <w:lang w:val="lv-LV"/>
        </w:rPr>
        <w:t xml:space="preserve"> bija norāde par nepieciešamību ņemt vērā pēc </w:t>
      </w:r>
      <w:r w:rsidR="00F5354C" w:rsidRPr="008923E9">
        <w:rPr>
          <w:rFonts w:asciiTheme="majorBidi" w:hAnsiTheme="majorBidi" w:cstheme="majorBidi"/>
          <w:lang w:val="lv-LV"/>
        </w:rPr>
        <w:t>PSRS Ministru Padomes Darba un darba algas valsts komitejas norādījumiem izdotos skaidrojumus</w:t>
      </w:r>
      <w:r w:rsidR="008923E9">
        <w:rPr>
          <w:rFonts w:asciiTheme="majorBidi" w:hAnsiTheme="majorBidi" w:cstheme="majorBidi"/>
          <w:lang w:val="lv-LV"/>
        </w:rPr>
        <w:t xml:space="preserve">, kas aptver arī pašas komitejas izdotos skaidrojumus, </w:t>
      </w:r>
      <w:r w:rsidR="001501B7">
        <w:rPr>
          <w:rFonts w:asciiTheme="majorBidi" w:hAnsiTheme="majorBidi" w:cstheme="majorBidi"/>
          <w:lang w:val="lv-LV"/>
        </w:rPr>
        <w:t xml:space="preserve">ja tie </w:t>
      </w:r>
      <w:r w:rsidR="006C3A6D" w:rsidRPr="00402473">
        <w:rPr>
          <w:rFonts w:asciiTheme="majorBidi" w:hAnsiTheme="majorBidi" w:cstheme="majorBidi"/>
          <w:lang w:val="lv-LV"/>
        </w:rPr>
        <w:t>sniegti līdz 1990.</w:t>
      </w:r>
      <w:r w:rsidR="006C3A6D" w:rsidRPr="00F73D9E">
        <w:rPr>
          <w:rFonts w:asciiTheme="majorBidi" w:hAnsiTheme="majorBidi" w:cstheme="majorBidi"/>
          <w:lang w:val="lv-LV"/>
        </w:rPr>
        <w:t>gada 4.maijam un bija piemērojami visā PSRS teritorijā</w:t>
      </w:r>
      <w:r w:rsidR="008923E9">
        <w:rPr>
          <w:rFonts w:asciiTheme="majorBidi" w:hAnsiTheme="majorBidi" w:cstheme="majorBidi"/>
          <w:lang w:val="lv-LV"/>
        </w:rPr>
        <w:t xml:space="preserve">. Galvenās izmaiņas ir </w:t>
      </w:r>
      <w:r w:rsidR="009F0907">
        <w:rPr>
          <w:rFonts w:asciiTheme="majorBidi" w:hAnsiTheme="majorBidi" w:cstheme="majorBidi"/>
          <w:lang w:val="lv-LV"/>
        </w:rPr>
        <w:t>tiesību normā ietvertā nepieciešamība ņ</w:t>
      </w:r>
      <w:r w:rsidR="008923E9">
        <w:rPr>
          <w:rFonts w:asciiTheme="majorBidi" w:hAnsiTheme="majorBidi" w:cstheme="majorBidi"/>
          <w:lang w:val="lv-LV"/>
        </w:rPr>
        <w:t xml:space="preserve">emt vērā </w:t>
      </w:r>
      <w:r w:rsidR="00FB47D8">
        <w:rPr>
          <w:rFonts w:asciiTheme="majorBidi" w:hAnsiTheme="majorBidi" w:cstheme="majorBidi"/>
          <w:lang w:val="lv-LV"/>
        </w:rPr>
        <w:t xml:space="preserve">arī </w:t>
      </w:r>
      <w:r w:rsidR="00F5354C" w:rsidRPr="008923E9">
        <w:rPr>
          <w:rFonts w:asciiTheme="majorBidi" w:hAnsiTheme="majorBidi" w:cstheme="majorBidi"/>
          <w:lang w:val="lv-LV"/>
        </w:rPr>
        <w:t>KPFSR Sociālās nodrošināšanas ministrijas Zinātniski tehniskās informācijas un propagandas centrālā nozares biroja</w:t>
      </w:r>
      <w:r w:rsidR="00F5354C" w:rsidRPr="00BE54AE">
        <w:rPr>
          <w:rFonts w:asciiTheme="majorBidi" w:hAnsiTheme="majorBidi" w:cstheme="majorBidi"/>
          <w:lang w:val="lv-LV"/>
        </w:rPr>
        <w:t xml:space="preserve"> izdotos skaidrojumus</w:t>
      </w:r>
      <w:r w:rsidR="008923E9">
        <w:rPr>
          <w:rFonts w:asciiTheme="majorBidi" w:hAnsiTheme="majorBidi" w:cstheme="majorBidi"/>
          <w:lang w:val="lv-LV"/>
        </w:rPr>
        <w:t xml:space="preserve">, ja tie </w:t>
      </w:r>
      <w:r w:rsidR="008923E9" w:rsidRPr="00F73D9E">
        <w:rPr>
          <w:rFonts w:asciiTheme="majorBidi" w:hAnsiTheme="majorBidi" w:cstheme="majorBidi"/>
          <w:lang w:val="lv-LV"/>
        </w:rPr>
        <w:t>līdz 1990.gada</w:t>
      </w:r>
      <w:r w:rsidR="008923E9">
        <w:rPr>
          <w:rFonts w:asciiTheme="majorBidi" w:hAnsiTheme="majorBidi" w:cstheme="majorBidi"/>
          <w:lang w:val="lv-LV"/>
        </w:rPr>
        <w:t xml:space="preserve"> </w:t>
      </w:r>
      <w:r w:rsidR="008923E9" w:rsidRPr="00F73D9E">
        <w:rPr>
          <w:rFonts w:asciiTheme="majorBidi" w:hAnsiTheme="majorBidi" w:cstheme="majorBidi"/>
          <w:lang w:val="lv-LV"/>
        </w:rPr>
        <w:t>4.maijam</w:t>
      </w:r>
      <w:r w:rsidR="008923E9">
        <w:rPr>
          <w:rFonts w:asciiTheme="majorBidi" w:hAnsiTheme="majorBidi" w:cstheme="majorBidi"/>
          <w:lang w:val="lv-LV"/>
        </w:rPr>
        <w:t xml:space="preserve"> bija piemērojami</w:t>
      </w:r>
      <w:r w:rsidR="008923E9" w:rsidRPr="00F73D9E">
        <w:rPr>
          <w:rFonts w:asciiTheme="majorBidi" w:hAnsiTheme="majorBidi" w:cstheme="majorBidi"/>
          <w:lang w:val="lv-LV"/>
        </w:rPr>
        <w:t xml:space="preserve"> visā PSRS teritorijā</w:t>
      </w:r>
      <w:r w:rsidR="008923E9">
        <w:rPr>
          <w:rFonts w:asciiTheme="majorBidi" w:hAnsiTheme="majorBidi" w:cstheme="majorBidi"/>
          <w:lang w:val="lv-LV"/>
        </w:rPr>
        <w:t>.</w:t>
      </w:r>
    </w:p>
    <w:p w14:paraId="49A851A8" w14:textId="002E57B0" w:rsidR="00B55A41" w:rsidRPr="00BE54AE" w:rsidRDefault="00FB47D8" w:rsidP="003773E7">
      <w:pPr>
        <w:pStyle w:val="tv213"/>
        <w:shd w:val="clear" w:color="auto" w:fill="FFFFFF"/>
        <w:spacing w:before="0" w:beforeAutospacing="0" w:after="0" w:afterAutospacing="0" w:line="276" w:lineRule="auto"/>
        <w:ind w:firstLine="720"/>
        <w:jc w:val="both"/>
        <w:rPr>
          <w:rFonts w:asciiTheme="majorBidi" w:hAnsiTheme="majorBidi" w:cstheme="majorBidi"/>
          <w:lang w:val="lv-LV"/>
        </w:rPr>
      </w:pPr>
      <w:r>
        <w:rPr>
          <w:rFonts w:asciiTheme="majorBidi" w:hAnsiTheme="majorBidi" w:cstheme="majorBidi"/>
          <w:lang w:val="lv-LV"/>
        </w:rPr>
        <w:t>Vienlaikus j</w:t>
      </w:r>
      <w:r w:rsidR="00B55A41">
        <w:rPr>
          <w:rFonts w:asciiTheme="majorBidi" w:hAnsiTheme="majorBidi" w:cstheme="majorBidi"/>
          <w:lang w:val="lv-LV"/>
        </w:rPr>
        <w:t>āņem vērā, ka gan pirms grozījumiem, gan pēc grozījumiem tiesību norma automātiski nepiešķir nozīmi jebkuram attiecīgās komitejas vai biroja sniegtajam skaidrojumam, bet izvirza vēl papildus kritēriju – piemēro</w:t>
      </w:r>
      <w:r>
        <w:rPr>
          <w:rFonts w:asciiTheme="majorBidi" w:hAnsiTheme="majorBidi" w:cstheme="majorBidi"/>
          <w:lang w:val="lv-LV"/>
        </w:rPr>
        <w:t>jamī</w:t>
      </w:r>
      <w:r w:rsidR="00B55A41">
        <w:rPr>
          <w:rFonts w:asciiTheme="majorBidi" w:hAnsiTheme="majorBidi" w:cstheme="majorBidi"/>
          <w:lang w:val="lv-LV"/>
        </w:rPr>
        <w:t>ba visā PSRS teritorijā. Tikai tad, ja tiek pierādīta šāda kritērija izpilde, skaidrojumam ir piešķirama tiesiska nozīme un tas atbilstoši noteikumu Nr. </w:t>
      </w:r>
      <w:r w:rsidR="00B55A41" w:rsidRPr="00502005">
        <w:rPr>
          <w:lang w:val="lv-LV"/>
        </w:rPr>
        <w:t xml:space="preserve">165 </w:t>
      </w:r>
      <w:r w:rsidR="00B55A41" w:rsidRPr="00402473">
        <w:rPr>
          <w:rFonts w:asciiTheme="majorBidi" w:hAnsiTheme="majorBidi" w:cstheme="majorBidi"/>
          <w:lang w:val="lv-LV"/>
        </w:rPr>
        <w:t>20.</w:t>
      </w:r>
      <w:r w:rsidR="00B55A41" w:rsidRPr="00402473">
        <w:rPr>
          <w:rFonts w:asciiTheme="majorBidi" w:hAnsiTheme="majorBidi" w:cstheme="majorBidi"/>
          <w:vertAlign w:val="superscript"/>
          <w:lang w:val="lv-LV"/>
        </w:rPr>
        <w:t>1</w:t>
      </w:r>
      <w:r w:rsidR="00B55A41" w:rsidRPr="00502005">
        <w:rPr>
          <w:rFonts w:asciiTheme="majorBidi" w:hAnsiTheme="majorBidi" w:cstheme="majorBidi"/>
          <w:lang w:val="lv-LV"/>
        </w:rPr>
        <w:t>punkt</w:t>
      </w:r>
      <w:r w:rsidR="00B55A41">
        <w:rPr>
          <w:rFonts w:asciiTheme="majorBidi" w:hAnsiTheme="majorBidi" w:cstheme="majorBidi"/>
          <w:lang w:val="lv-LV"/>
        </w:rPr>
        <w:t xml:space="preserve">am ir ņemams vērā papildus </w:t>
      </w:r>
      <w:r w:rsidR="00B55A41" w:rsidRPr="00C1553D">
        <w:rPr>
          <w:rFonts w:asciiTheme="majorBidi" w:hAnsiTheme="majorBidi" w:cstheme="majorBidi"/>
          <w:lang w:val="lv-LV"/>
        </w:rPr>
        <w:t>skaidrojum</w:t>
      </w:r>
      <w:r w:rsidR="00B55A41">
        <w:rPr>
          <w:rFonts w:asciiTheme="majorBidi" w:hAnsiTheme="majorBidi" w:cstheme="majorBidi"/>
          <w:lang w:val="lv-LV"/>
        </w:rPr>
        <w:t>am</w:t>
      </w:r>
      <w:r w:rsidR="00B55A41" w:rsidRPr="00C1553D">
        <w:rPr>
          <w:rFonts w:asciiTheme="majorBidi" w:hAnsiTheme="majorBidi" w:cstheme="majorBidi"/>
          <w:lang w:val="lv-LV"/>
        </w:rPr>
        <w:t xml:space="preserve"> Nr. 5/8</w:t>
      </w:r>
      <w:r w:rsidR="00B55A41">
        <w:rPr>
          <w:rFonts w:asciiTheme="majorBidi" w:hAnsiTheme="majorBidi" w:cstheme="majorBidi"/>
          <w:lang w:val="lv-LV"/>
        </w:rPr>
        <w:t>.</w:t>
      </w:r>
    </w:p>
    <w:p w14:paraId="396A6B89" w14:textId="77777777" w:rsidR="00B55A41" w:rsidRDefault="00B55A41" w:rsidP="003773E7">
      <w:pPr>
        <w:pStyle w:val="tv213"/>
        <w:shd w:val="clear" w:color="auto" w:fill="FFFFFF"/>
        <w:spacing w:before="0" w:beforeAutospacing="0" w:after="0" w:afterAutospacing="0" w:line="276" w:lineRule="auto"/>
        <w:ind w:firstLine="720"/>
        <w:jc w:val="both"/>
        <w:rPr>
          <w:rFonts w:asciiTheme="majorBidi" w:hAnsiTheme="majorBidi" w:cstheme="majorBidi"/>
          <w:lang w:val="lv-LV"/>
        </w:rPr>
      </w:pPr>
    </w:p>
    <w:p w14:paraId="15114107" w14:textId="0CE6B53C" w:rsidR="008923E9" w:rsidRPr="00F111DA" w:rsidRDefault="00B55A41" w:rsidP="003773E7">
      <w:pPr>
        <w:pStyle w:val="tv213"/>
        <w:shd w:val="clear" w:color="auto" w:fill="FFFFFF"/>
        <w:spacing w:before="0" w:beforeAutospacing="0" w:after="0" w:afterAutospacing="0" w:line="276" w:lineRule="auto"/>
        <w:ind w:firstLine="720"/>
        <w:jc w:val="both"/>
        <w:rPr>
          <w:rFonts w:asciiTheme="majorBidi" w:hAnsiTheme="majorBidi" w:cstheme="majorBidi"/>
          <w:lang w:val="lv-LV"/>
        </w:rPr>
      </w:pPr>
      <w:r>
        <w:rPr>
          <w:rFonts w:asciiTheme="majorBidi" w:hAnsiTheme="majorBidi" w:cstheme="majorBidi"/>
          <w:lang w:val="lv-LV"/>
        </w:rPr>
        <w:t>[8] N</w:t>
      </w:r>
      <w:r w:rsidR="00A10D0B">
        <w:rPr>
          <w:rFonts w:asciiTheme="majorBidi" w:hAnsiTheme="majorBidi" w:cstheme="majorBidi"/>
          <w:lang w:val="lv-LV"/>
        </w:rPr>
        <w:t>o pārsūdzētā sprieduma izriet, ka vēstule</w:t>
      </w:r>
      <w:r w:rsidR="0041149F">
        <w:rPr>
          <w:rFonts w:asciiTheme="majorBidi" w:hAnsiTheme="majorBidi" w:cstheme="majorBidi"/>
          <w:lang w:val="lv-LV"/>
        </w:rPr>
        <w:t>s</w:t>
      </w:r>
      <w:r w:rsidR="00A10D0B">
        <w:rPr>
          <w:rFonts w:asciiTheme="majorBidi" w:hAnsiTheme="majorBidi" w:cstheme="majorBidi"/>
          <w:lang w:val="lv-LV"/>
        </w:rPr>
        <w:t xml:space="preserve"> Nr. 175-MK</w:t>
      </w:r>
      <w:r w:rsidR="0041149F">
        <w:rPr>
          <w:rFonts w:asciiTheme="majorBidi" w:hAnsiTheme="majorBidi" w:cstheme="majorBidi"/>
          <w:lang w:val="lv-LV"/>
        </w:rPr>
        <w:t xml:space="preserve"> autors </w:t>
      </w:r>
      <w:r w:rsidR="009213FF">
        <w:rPr>
          <w:rFonts w:asciiTheme="majorBidi" w:hAnsiTheme="majorBidi" w:cstheme="majorBidi"/>
          <w:lang w:val="lv-LV"/>
        </w:rPr>
        <w:t xml:space="preserve">un skaidrojuma sniedzējs </w:t>
      </w:r>
      <w:r w:rsidR="0041149F">
        <w:rPr>
          <w:rFonts w:asciiTheme="majorBidi" w:hAnsiTheme="majorBidi" w:cstheme="majorBidi"/>
          <w:lang w:val="lv-LV"/>
        </w:rPr>
        <w:t>bija PSRS Darba un darba algas valsts komiteja</w:t>
      </w:r>
      <w:r w:rsidR="009213FF">
        <w:rPr>
          <w:rFonts w:asciiTheme="majorBidi" w:hAnsiTheme="majorBidi" w:cstheme="majorBidi"/>
          <w:lang w:val="lv-LV"/>
        </w:rPr>
        <w:t>,</w:t>
      </w:r>
      <w:r w:rsidR="00B1479D">
        <w:rPr>
          <w:rFonts w:asciiTheme="majorBidi" w:hAnsiTheme="majorBidi" w:cstheme="majorBidi"/>
          <w:lang w:val="lv-LV"/>
        </w:rPr>
        <w:t xml:space="preserve"> </w:t>
      </w:r>
      <w:r w:rsidR="009213FF">
        <w:rPr>
          <w:rFonts w:asciiTheme="majorBidi" w:hAnsiTheme="majorBidi" w:cstheme="majorBidi"/>
          <w:lang w:val="lv-LV"/>
        </w:rPr>
        <w:t xml:space="preserve">nevis </w:t>
      </w:r>
      <w:r w:rsidR="009213FF" w:rsidRPr="00C1553D">
        <w:rPr>
          <w:rFonts w:asciiTheme="majorBidi" w:hAnsiTheme="majorBidi" w:cstheme="majorBidi"/>
          <w:lang w:val="lv-LV"/>
        </w:rPr>
        <w:t>KPFSR</w:t>
      </w:r>
      <w:r w:rsidR="009213FF">
        <w:rPr>
          <w:rFonts w:asciiTheme="majorBidi" w:hAnsiTheme="majorBidi" w:cstheme="majorBidi"/>
          <w:lang w:val="lv-LV"/>
        </w:rPr>
        <w:t xml:space="preserve"> </w:t>
      </w:r>
      <w:r w:rsidR="009213FF" w:rsidRPr="00C1553D">
        <w:rPr>
          <w:rFonts w:asciiTheme="majorBidi" w:hAnsiTheme="majorBidi" w:cstheme="majorBidi"/>
          <w:lang w:val="lv-LV"/>
        </w:rPr>
        <w:t xml:space="preserve">Sociālās nodrošināšanas ministrijas Zinātniski tehniskās </w:t>
      </w:r>
      <w:r w:rsidR="009213FF" w:rsidRPr="00F111DA">
        <w:rPr>
          <w:rFonts w:asciiTheme="majorBidi" w:hAnsiTheme="majorBidi" w:cstheme="majorBidi"/>
          <w:lang w:val="lv-LV"/>
        </w:rPr>
        <w:t xml:space="preserve">informācijas un propagandas centrālā nozares </w:t>
      </w:r>
      <w:r w:rsidR="009213FF" w:rsidRPr="00BE54AE">
        <w:rPr>
          <w:rFonts w:asciiTheme="majorBidi" w:hAnsiTheme="majorBidi" w:cstheme="majorBidi"/>
          <w:lang w:val="lv-LV"/>
        </w:rPr>
        <w:t>biroj</w:t>
      </w:r>
      <w:r w:rsidR="009213FF" w:rsidRPr="00F111DA">
        <w:rPr>
          <w:rFonts w:asciiTheme="majorBidi" w:hAnsiTheme="majorBidi" w:cstheme="majorBidi"/>
          <w:lang w:val="lv-LV"/>
        </w:rPr>
        <w:t>s. Pēdējais bija tikai konkrētās informācijas publicētājs.</w:t>
      </w:r>
    </w:p>
    <w:p w14:paraId="1AA2BD67" w14:textId="01A8890F" w:rsidR="00D37822" w:rsidRDefault="009213FF" w:rsidP="003773E7">
      <w:pPr>
        <w:pStyle w:val="tv213"/>
        <w:shd w:val="clear" w:color="auto" w:fill="FFFFFF"/>
        <w:spacing w:before="0" w:beforeAutospacing="0" w:after="0" w:afterAutospacing="0" w:line="276" w:lineRule="auto"/>
        <w:ind w:firstLine="720"/>
        <w:jc w:val="both"/>
        <w:rPr>
          <w:rFonts w:asciiTheme="majorBidi" w:hAnsiTheme="majorBidi" w:cstheme="majorBidi"/>
          <w:lang w:val="lv-LV"/>
        </w:rPr>
      </w:pPr>
      <w:r w:rsidRPr="00F111DA">
        <w:rPr>
          <w:rFonts w:asciiTheme="majorBidi" w:hAnsiTheme="majorBidi" w:cstheme="majorBidi"/>
          <w:lang w:val="lv-LV"/>
        </w:rPr>
        <w:t xml:space="preserve">Tā kā vēstule Nr. 175-MK nav KPFSR Sociālās nodrošināšanas ministrijas Zinātniski tehniskās informācijas un propagandas centrālā nozares </w:t>
      </w:r>
      <w:r w:rsidRPr="00BE54AE">
        <w:rPr>
          <w:rFonts w:asciiTheme="majorBidi" w:hAnsiTheme="majorBidi" w:cstheme="majorBidi"/>
          <w:lang w:val="lv-LV"/>
        </w:rPr>
        <w:t>biroj</w:t>
      </w:r>
      <w:r w:rsidRPr="00F111DA">
        <w:rPr>
          <w:rFonts w:asciiTheme="majorBidi" w:hAnsiTheme="majorBidi" w:cstheme="majorBidi"/>
          <w:lang w:val="lv-LV"/>
        </w:rPr>
        <w:t>a</w:t>
      </w:r>
      <w:r>
        <w:rPr>
          <w:rFonts w:asciiTheme="majorBidi" w:hAnsiTheme="majorBidi" w:cstheme="majorBidi"/>
          <w:lang w:val="lv-LV"/>
        </w:rPr>
        <w:t xml:space="preserve"> sniegts skaidrojums (tas tikai šo skaidrojumu ir publicējis), </w:t>
      </w:r>
      <w:r w:rsidR="00FB47D8">
        <w:rPr>
          <w:rFonts w:asciiTheme="majorBidi" w:hAnsiTheme="majorBidi" w:cstheme="majorBidi"/>
          <w:lang w:val="lv-LV"/>
        </w:rPr>
        <w:t>un</w:t>
      </w:r>
      <w:r w:rsidR="00B55A41">
        <w:rPr>
          <w:rFonts w:asciiTheme="majorBidi" w:hAnsiTheme="majorBidi" w:cstheme="majorBidi"/>
          <w:lang w:val="lv-LV"/>
        </w:rPr>
        <w:t xml:space="preserve"> gan pirms, gan pēc grozījumiem noteikumu </w:t>
      </w:r>
      <w:r w:rsidR="00B55A41" w:rsidRPr="00502005">
        <w:rPr>
          <w:lang w:val="lv-LV"/>
        </w:rPr>
        <w:t>Nr.</w:t>
      </w:r>
      <w:r w:rsidR="00B55A41">
        <w:rPr>
          <w:lang w:val="lv-LV"/>
        </w:rPr>
        <w:t> </w:t>
      </w:r>
      <w:r w:rsidR="00B55A41" w:rsidRPr="00502005">
        <w:rPr>
          <w:lang w:val="lv-LV"/>
        </w:rPr>
        <w:t xml:space="preserve">165 </w:t>
      </w:r>
      <w:r w:rsidR="00B55A41" w:rsidRPr="00402473">
        <w:rPr>
          <w:rFonts w:asciiTheme="majorBidi" w:hAnsiTheme="majorBidi" w:cstheme="majorBidi"/>
          <w:lang w:val="lv-LV"/>
        </w:rPr>
        <w:t>20.</w:t>
      </w:r>
      <w:r w:rsidR="00B55A41" w:rsidRPr="00402473">
        <w:rPr>
          <w:rFonts w:asciiTheme="majorBidi" w:hAnsiTheme="majorBidi" w:cstheme="majorBidi"/>
          <w:vertAlign w:val="superscript"/>
          <w:lang w:val="lv-LV"/>
        </w:rPr>
        <w:t>1</w:t>
      </w:r>
      <w:r w:rsidR="00B55A41" w:rsidRPr="00502005">
        <w:rPr>
          <w:rFonts w:asciiTheme="majorBidi" w:hAnsiTheme="majorBidi" w:cstheme="majorBidi"/>
          <w:lang w:val="lv-LV"/>
        </w:rPr>
        <w:t>punkt</w:t>
      </w:r>
      <w:r w:rsidR="00B55A41">
        <w:rPr>
          <w:rFonts w:asciiTheme="majorBidi" w:hAnsiTheme="majorBidi" w:cstheme="majorBidi"/>
          <w:lang w:val="lv-LV"/>
        </w:rPr>
        <w:t xml:space="preserve">s paredz ņemt vērā arī </w:t>
      </w:r>
      <w:r w:rsidR="00B55A41" w:rsidRPr="008923E9">
        <w:rPr>
          <w:rFonts w:asciiTheme="majorBidi" w:hAnsiTheme="majorBidi" w:cstheme="majorBidi"/>
          <w:lang w:val="lv-LV"/>
        </w:rPr>
        <w:t>PSRS Ministru Padomes Darba un darba algas valsts komitejas</w:t>
      </w:r>
      <w:r w:rsidR="00B55A41">
        <w:rPr>
          <w:rFonts w:asciiTheme="majorBidi" w:hAnsiTheme="majorBidi" w:cstheme="majorBidi"/>
          <w:lang w:val="lv-LV"/>
        </w:rPr>
        <w:t xml:space="preserve"> skaidrojumus, normā veiktajiem</w:t>
      </w:r>
      <w:r w:rsidR="00D3708F">
        <w:rPr>
          <w:rFonts w:asciiTheme="majorBidi" w:hAnsiTheme="majorBidi" w:cstheme="majorBidi"/>
          <w:lang w:val="lv-LV"/>
        </w:rPr>
        <w:t xml:space="preserve"> grozījumiem</w:t>
      </w:r>
      <w:r w:rsidR="00B55A41">
        <w:rPr>
          <w:rFonts w:asciiTheme="majorBidi" w:hAnsiTheme="majorBidi" w:cstheme="majorBidi"/>
          <w:lang w:val="lv-LV"/>
        </w:rPr>
        <w:t xml:space="preserve"> acīmredzami</w:t>
      </w:r>
      <w:r w:rsidR="008923E9">
        <w:rPr>
          <w:rFonts w:asciiTheme="majorBidi" w:hAnsiTheme="majorBidi" w:cstheme="majorBidi"/>
          <w:lang w:val="lv-LV"/>
        </w:rPr>
        <w:t xml:space="preserve"> nav </w:t>
      </w:r>
      <w:r w:rsidR="00B55A41">
        <w:rPr>
          <w:rFonts w:asciiTheme="majorBidi" w:hAnsiTheme="majorBidi" w:cstheme="majorBidi"/>
          <w:lang w:val="lv-LV"/>
        </w:rPr>
        <w:t>tiesiska</w:t>
      </w:r>
      <w:r w:rsidR="007206F1">
        <w:rPr>
          <w:rFonts w:asciiTheme="majorBidi" w:hAnsiTheme="majorBidi" w:cstheme="majorBidi"/>
          <w:lang w:val="lv-LV"/>
        </w:rPr>
        <w:t>s</w:t>
      </w:r>
      <w:r w:rsidR="00B55A41">
        <w:rPr>
          <w:rFonts w:asciiTheme="majorBidi" w:hAnsiTheme="majorBidi" w:cstheme="majorBidi"/>
          <w:lang w:val="lv-LV"/>
        </w:rPr>
        <w:t xml:space="preserve"> </w:t>
      </w:r>
      <w:r w:rsidR="00840186">
        <w:rPr>
          <w:rFonts w:asciiTheme="majorBidi" w:hAnsiTheme="majorBidi" w:cstheme="majorBidi"/>
          <w:lang w:val="lv-LV"/>
        </w:rPr>
        <w:t>nozīme</w:t>
      </w:r>
      <w:r w:rsidR="007206F1">
        <w:rPr>
          <w:rFonts w:asciiTheme="majorBidi" w:hAnsiTheme="majorBidi" w:cstheme="majorBidi"/>
          <w:lang w:val="lv-LV"/>
        </w:rPr>
        <w:t>s</w:t>
      </w:r>
      <w:r w:rsidR="00840186">
        <w:rPr>
          <w:rFonts w:asciiTheme="majorBidi" w:hAnsiTheme="majorBidi" w:cstheme="majorBidi"/>
          <w:lang w:val="lv-LV"/>
        </w:rPr>
        <w:t xml:space="preserve"> </w:t>
      </w:r>
      <w:r>
        <w:rPr>
          <w:rFonts w:asciiTheme="majorBidi" w:hAnsiTheme="majorBidi" w:cstheme="majorBidi"/>
          <w:lang w:val="lv-LV"/>
        </w:rPr>
        <w:t>izskatām</w:t>
      </w:r>
      <w:r w:rsidR="007206F1">
        <w:rPr>
          <w:rFonts w:asciiTheme="majorBidi" w:hAnsiTheme="majorBidi" w:cstheme="majorBidi"/>
          <w:lang w:val="lv-LV"/>
        </w:rPr>
        <w:t>ā</w:t>
      </w:r>
      <w:r>
        <w:rPr>
          <w:rFonts w:asciiTheme="majorBidi" w:hAnsiTheme="majorBidi" w:cstheme="majorBidi"/>
          <w:lang w:val="lv-LV"/>
        </w:rPr>
        <w:t>s lietas kontekstā.</w:t>
      </w:r>
      <w:r w:rsidR="00D37822">
        <w:rPr>
          <w:rFonts w:asciiTheme="majorBidi" w:hAnsiTheme="majorBidi" w:cstheme="majorBidi"/>
          <w:lang w:val="lv-LV"/>
        </w:rPr>
        <w:t xml:space="preserve"> Tas nozīmē, ka izskatāmajā lietā nav arī nepieciešams analizēt, vai Ministru kabinetam bija tiesības noteikt, ka vērā ir ņemami arī </w:t>
      </w:r>
      <w:r w:rsidR="00D37822" w:rsidRPr="00D37822">
        <w:rPr>
          <w:rFonts w:asciiTheme="majorBidi" w:hAnsiTheme="majorBidi" w:cstheme="majorBidi"/>
          <w:lang w:val="lv-LV"/>
        </w:rPr>
        <w:t>KPFSR Sociālās nodrošināšanas ministrijas Zinātniski tehniskās informācijas un propagandas centrālā nozares biroja izdot</w:t>
      </w:r>
      <w:r w:rsidR="00D37822">
        <w:rPr>
          <w:rFonts w:asciiTheme="majorBidi" w:hAnsiTheme="majorBidi" w:cstheme="majorBidi"/>
          <w:lang w:val="lv-LV"/>
        </w:rPr>
        <w:t>ie</w:t>
      </w:r>
      <w:r w:rsidR="00D37822" w:rsidRPr="00D37822">
        <w:rPr>
          <w:rFonts w:asciiTheme="majorBidi" w:hAnsiTheme="majorBidi" w:cstheme="majorBidi"/>
          <w:lang w:val="lv-LV"/>
        </w:rPr>
        <w:t xml:space="preserve"> skaidrojum</w:t>
      </w:r>
      <w:r w:rsidR="00D37822">
        <w:rPr>
          <w:rFonts w:asciiTheme="majorBidi" w:hAnsiTheme="majorBidi" w:cstheme="majorBidi"/>
          <w:lang w:val="lv-LV"/>
        </w:rPr>
        <w:t>i.</w:t>
      </w:r>
    </w:p>
    <w:p w14:paraId="4E375122" w14:textId="2AA2D0F4" w:rsidR="008923E9" w:rsidRDefault="00D37822" w:rsidP="003773E7">
      <w:pPr>
        <w:pStyle w:val="tv213"/>
        <w:shd w:val="clear" w:color="auto" w:fill="FFFFFF"/>
        <w:spacing w:before="0" w:beforeAutospacing="0" w:after="0" w:afterAutospacing="0" w:line="276" w:lineRule="auto"/>
        <w:ind w:firstLine="720"/>
        <w:jc w:val="both"/>
        <w:rPr>
          <w:rFonts w:asciiTheme="majorBidi" w:hAnsiTheme="majorBidi" w:cstheme="majorBidi"/>
          <w:lang w:val="lv-LV"/>
        </w:rPr>
      </w:pPr>
      <w:r>
        <w:rPr>
          <w:rFonts w:asciiTheme="majorBidi" w:hAnsiTheme="majorBidi" w:cstheme="majorBidi"/>
          <w:lang w:val="lv-LV"/>
        </w:rPr>
        <w:t xml:space="preserve">Ievērojot minēto, </w:t>
      </w:r>
      <w:r w:rsidR="008923E9">
        <w:rPr>
          <w:rFonts w:asciiTheme="majorBidi" w:hAnsiTheme="majorBidi" w:cstheme="majorBidi"/>
          <w:lang w:val="lv-LV"/>
        </w:rPr>
        <w:t>nav pamat</w:t>
      </w:r>
      <w:r w:rsidR="009F0907">
        <w:rPr>
          <w:rFonts w:asciiTheme="majorBidi" w:hAnsiTheme="majorBidi" w:cstheme="majorBidi"/>
          <w:lang w:val="lv-LV"/>
        </w:rPr>
        <w:t>ots</w:t>
      </w:r>
      <w:r w:rsidR="008923E9">
        <w:rPr>
          <w:rFonts w:asciiTheme="majorBidi" w:hAnsiTheme="majorBidi" w:cstheme="majorBidi"/>
          <w:lang w:val="lv-LV"/>
        </w:rPr>
        <w:t xml:space="preserve"> aģentūras viedokli</w:t>
      </w:r>
      <w:r w:rsidR="009F0907">
        <w:rPr>
          <w:rFonts w:asciiTheme="majorBidi" w:hAnsiTheme="majorBidi" w:cstheme="majorBidi"/>
          <w:lang w:val="lv-LV"/>
        </w:rPr>
        <w:t>s</w:t>
      </w:r>
      <w:r w:rsidR="008923E9">
        <w:rPr>
          <w:rFonts w:asciiTheme="majorBidi" w:hAnsiTheme="majorBidi" w:cstheme="majorBidi"/>
          <w:lang w:val="lv-LV"/>
        </w:rPr>
        <w:t xml:space="preserve">, ka ar </w:t>
      </w:r>
      <w:r>
        <w:rPr>
          <w:rFonts w:asciiTheme="majorBidi" w:hAnsiTheme="majorBidi" w:cstheme="majorBidi"/>
          <w:lang w:val="lv-LV"/>
        </w:rPr>
        <w:t>minētajiem</w:t>
      </w:r>
      <w:r w:rsidR="008923E9">
        <w:rPr>
          <w:rFonts w:asciiTheme="majorBidi" w:hAnsiTheme="majorBidi" w:cstheme="majorBidi"/>
          <w:lang w:val="lv-LV"/>
        </w:rPr>
        <w:t xml:space="preserve"> grozījumiem notikusi </w:t>
      </w:r>
      <w:r w:rsidR="00840186">
        <w:rPr>
          <w:rFonts w:asciiTheme="majorBidi" w:hAnsiTheme="majorBidi" w:cstheme="majorBidi"/>
          <w:lang w:val="lv-LV"/>
        </w:rPr>
        <w:t xml:space="preserve">tāda </w:t>
      </w:r>
      <w:r w:rsidR="008923E9">
        <w:rPr>
          <w:rFonts w:asciiTheme="majorBidi" w:hAnsiTheme="majorBidi" w:cstheme="majorBidi"/>
          <w:lang w:val="lv-LV"/>
        </w:rPr>
        <w:t xml:space="preserve">tiesisko apstākļu maiņa, kas </w:t>
      </w:r>
      <w:r w:rsidR="001501B7">
        <w:rPr>
          <w:rFonts w:asciiTheme="majorBidi" w:hAnsiTheme="majorBidi" w:cstheme="majorBidi"/>
          <w:lang w:val="lv-LV"/>
        </w:rPr>
        <w:t>rada</w:t>
      </w:r>
      <w:r w:rsidR="008923E9">
        <w:rPr>
          <w:rFonts w:asciiTheme="majorBidi" w:hAnsiTheme="majorBidi" w:cstheme="majorBidi"/>
          <w:lang w:val="lv-LV"/>
        </w:rPr>
        <w:t xml:space="preserve"> pamat</w:t>
      </w:r>
      <w:r w:rsidR="001501B7">
        <w:rPr>
          <w:rFonts w:asciiTheme="majorBidi" w:hAnsiTheme="majorBidi" w:cstheme="majorBidi"/>
          <w:lang w:val="lv-LV"/>
        </w:rPr>
        <w:t>u</w:t>
      </w:r>
      <w:r w:rsidR="008923E9">
        <w:rPr>
          <w:rFonts w:asciiTheme="majorBidi" w:hAnsiTheme="majorBidi" w:cstheme="majorBidi"/>
          <w:lang w:val="lv-LV"/>
        </w:rPr>
        <w:t xml:space="preserve"> atkāpties no Senāta iepriekš paustajām atziņām.</w:t>
      </w:r>
    </w:p>
    <w:p w14:paraId="3581DD51" w14:textId="77777777" w:rsidR="008923E9" w:rsidRDefault="008923E9" w:rsidP="003773E7">
      <w:pPr>
        <w:pStyle w:val="tv213"/>
        <w:shd w:val="clear" w:color="auto" w:fill="FFFFFF"/>
        <w:spacing w:before="0" w:beforeAutospacing="0" w:after="0" w:afterAutospacing="0" w:line="276" w:lineRule="auto"/>
        <w:ind w:firstLine="720"/>
        <w:jc w:val="both"/>
        <w:rPr>
          <w:rFonts w:asciiTheme="majorBidi" w:hAnsiTheme="majorBidi" w:cstheme="majorBidi"/>
          <w:lang w:val="lv-LV"/>
        </w:rPr>
      </w:pPr>
    </w:p>
    <w:p w14:paraId="2B64B098" w14:textId="479888FE" w:rsidR="00FC7A5C" w:rsidRDefault="00840186" w:rsidP="003773E7">
      <w:pPr>
        <w:pStyle w:val="tv213"/>
        <w:shd w:val="clear" w:color="auto" w:fill="FFFFFF"/>
        <w:spacing w:before="0" w:beforeAutospacing="0" w:after="0" w:afterAutospacing="0" w:line="276" w:lineRule="auto"/>
        <w:ind w:firstLine="720"/>
        <w:jc w:val="both"/>
        <w:rPr>
          <w:lang w:val="lv-LV"/>
        </w:rPr>
      </w:pPr>
      <w:r>
        <w:rPr>
          <w:rFonts w:asciiTheme="majorBidi" w:hAnsiTheme="majorBidi" w:cstheme="majorBidi"/>
          <w:lang w:val="lv-LV"/>
        </w:rPr>
        <w:t>[</w:t>
      </w:r>
      <w:r w:rsidR="00B55A41">
        <w:rPr>
          <w:rFonts w:asciiTheme="majorBidi" w:hAnsiTheme="majorBidi" w:cstheme="majorBidi"/>
          <w:lang w:val="lv-LV"/>
        </w:rPr>
        <w:t>9</w:t>
      </w:r>
      <w:r>
        <w:rPr>
          <w:rFonts w:asciiTheme="majorBidi" w:hAnsiTheme="majorBidi" w:cstheme="majorBidi"/>
          <w:lang w:val="lv-LV"/>
        </w:rPr>
        <w:t>] </w:t>
      </w:r>
      <w:r w:rsidR="00FC7A5C">
        <w:rPr>
          <w:rFonts w:asciiTheme="majorBidi" w:hAnsiTheme="majorBidi" w:cstheme="majorBidi"/>
          <w:lang w:val="lv-LV"/>
        </w:rPr>
        <w:t xml:space="preserve">Aģentūra kasācijas sūdzībā, atsaucoties uz Labklājības ministrijas norādīto, ir </w:t>
      </w:r>
      <w:r w:rsidR="005A59F6">
        <w:rPr>
          <w:rFonts w:asciiTheme="majorBidi" w:hAnsiTheme="majorBidi" w:cstheme="majorBidi"/>
          <w:lang w:val="lv-LV"/>
        </w:rPr>
        <w:t>uz</w:t>
      </w:r>
      <w:r w:rsidR="007B5871">
        <w:rPr>
          <w:rFonts w:asciiTheme="majorBidi" w:hAnsiTheme="majorBidi" w:cstheme="majorBidi"/>
          <w:lang w:val="lv-LV"/>
        </w:rPr>
        <w:t>s</w:t>
      </w:r>
      <w:r w:rsidR="005A59F6">
        <w:rPr>
          <w:rFonts w:asciiTheme="majorBidi" w:hAnsiTheme="majorBidi" w:cstheme="majorBidi"/>
          <w:lang w:val="lv-LV"/>
        </w:rPr>
        <w:t>vērusi:</w:t>
      </w:r>
      <w:r w:rsidR="00FC7A5C">
        <w:rPr>
          <w:rFonts w:asciiTheme="majorBidi" w:hAnsiTheme="majorBidi" w:cstheme="majorBidi"/>
          <w:lang w:val="lv-LV"/>
        </w:rPr>
        <w:t xml:space="preserve"> </w:t>
      </w:r>
      <w:r w:rsidR="00FC7A5C" w:rsidRPr="00C1553D">
        <w:rPr>
          <w:lang w:val="lv-LV"/>
        </w:rPr>
        <w:t>komiteja bija atbildīga par vienotas valsts politikas īstenošanu sociālā nodrošinājuma jomā visā PSRS teritorijā</w:t>
      </w:r>
      <w:r w:rsidR="002329E7">
        <w:rPr>
          <w:lang w:val="lv-LV"/>
        </w:rPr>
        <w:t xml:space="preserve"> un tai</w:t>
      </w:r>
      <w:r w:rsidR="00FC7A5C" w:rsidRPr="00C1553D">
        <w:rPr>
          <w:lang w:val="lv-LV"/>
        </w:rPr>
        <w:t xml:space="preserve"> bija tiesības izdot lēmumus jautājumos, kas attiecas uz tās kompetenci, kā arī sniegt skaidrojumus par spēkā esošas tiesību normas piemērošanu sociālā nodrošinājuma jomā</w:t>
      </w:r>
      <w:r w:rsidR="002329E7">
        <w:rPr>
          <w:lang w:val="lv-LV"/>
        </w:rPr>
        <w:t>.</w:t>
      </w:r>
    </w:p>
    <w:p w14:paraId="2128D09E" w14:textId="5B4D5E7A" w:rsidR="002329E7" w:rsidRDefault="002329E7" w:rsidP="003773E7">
      <w:pPr>
        <w:pStyle w:val="tv213"/>
        <w:shd w:val="clear" w:color="auto" w:fill="FFFFFF"/>
        <w:spacing w:before="0" w:beforeAutospacing="0" w:after="0" w:afterAutospacing="0" w:line="276" w:lineRule="auto"/>
        <w:ind w:firstLine="720"/>
        <w:jc w:val="both"/>
        <w:rPr>
          <w:rFonts w:asciiTheme="majorBidi" w:hAnsiTheme="majorBidi" w:cstheme="majorBidi"/>
          <w:lang w:val="lv-LV"/>
        </w:rPr>
      </w:pPr>
      <w:r>
        <w:rPr>
          <w:lang w:val="lv-LV"/>
        </w:rPr>
        <w:t xml:space="preserve">No minētā izriet, ka komiteja varēja skaidrot </w:t>
      </w:r>
      <w:r w:rsidRPr="00C1553D">
        <w:rPr>
          <w:lang w:val="lv-LV"/>
        </w:rPr>
        <w:t>spēkā esošas tiesību normas piemērošanu</w:t>
      </w:r>
      <w:r>
        <w:rPr>
          <w:lang w:val="lv-LV"/>
        </w:rPr>
        <w:t xml:space="preserve">. Tomēr šāda kompetence neaptver tiesības saturiski grozīt tiesību normās noteikto. </w:t>
      </w:r>
      <w:r w:rsidR="004B7EF9">
        <w:rPr>
          <w:lang w:val="lv-LV"/>
        </w:rPr>
        <w:t>Vēstulē ietverts s</w:t>
      </w:r>
      <w:r>
        <w:rPr>
          <w:lang w:val="lv-LV"/>
        </w:rPr>
        <w:t>kaidrojums par tiesību normas piemērošanu nevar būt pretrunā ar pašu tiesību normu, kuru tas skaidro. Tādēļ situācijā, ja ir konstatējamas šādas pretrunas, priekšroka ir dodama</w:t>
      </w:r>
      <w:r w:rsidR="009B0018">
        <w:rPr>
          <w:lang w:val="lv-LV"/>
        </w:rPr>
        <w:t xml:space="preserve"> tieši</w:t>
      </w:r>
      <w:r>
        <w:rPr>
          <w:lang w:val="lv-LV"/>
        </w:rPr>
        <w:t xml:space="preserve"> tiesību normā noteiktajam.</w:t>
      </w:r>
    </w:p>
    <w:p w14:paraId="12DB479F" w14:textId="43311F3E" w:rsidR="00B55A41" w:rsidRDefault="00B82B33" w:rsidP="003773E7">
      <w:pPr>
        <w:pStyle w:val="tv213"/>
        <w:shd w:val="clear" w:color="auto" w:fill="FFFFFF"/>
        <w:spacing w:before="0" w:beforeAutospacing="0" w:after="0" w:afterAutospacing="0" w:line="276" w:lineRule="auto"/>
        <w:ind w:firstLine="720"/>
        <w:jc w:val="both"/>
        <w:rPr>
          <w:rFonts w:asciiTheme="majorBidi" w:hAnsiTheme="majorBidi" w:cstheme="majorBidi"/>
          <w:lang w:val="lv-LV"/>
        </w:rPr>
      </w:pPr>
      <w:r>
        <w:rPr>
          <w:rFonts w:asciiTheme="majorBidi" w:hAnsiTheme="majorBidi" w:cstheme="majorBidi"/>
          <w:lang w:val="lv-LV"/>
        </w:rPr>
        <w:t xml:space="preserve">Padomju tiesību sistēmā skaidrojums Nr. 5/8 bija viens no </w:t>
      </w:r>
      <w:r w:rsidRPr="004B7EF9">
        <w:rPr>
          <w:rFonts w:asciiTheme="majorBidi" w:hAnsiTheme="majorBidi" w:cstheme="majorBidi"/>
          <w:lang w:val="lv-LV"/>
        </w:rPr>
        <w:t>valsts un sabiedrisko organizāciju vadošo orgānu kopīgi pieņemt</w:t>
      </w:r>
      <w:r>
        <w:rPr>
          <w:rFonts w:asciiTheme="majorBidi" w:hAnsiTheme="majorBidi" w:cstheme="majorBidi"/>
          <w:lang w:val="lv-LV"/>
        </w:rPr>
        <w:t>ajiem</w:t>
      </w:r>
      <w:r w:rsidRPr="004B7EF9">
        <w:rPr>
          <w:rFonts w:asciiTheme="majorBidi" w:hAnsiTheme="majorBidi" w:cstheme="majorBidi"/>
          <w:lang w:val="lv-LV"/>
        </w:rPr>
        <w:t xml:space="preserve"> akti</w:t>
      </w:r>
      <w:r>
        <w:rPr>
          <w:rFonts w:asciiTheme="majorBidi" w:hAnsiTheme="majorBidi" w:cstheme="majorBidi"/>
          <w:lang w:val="lv-LV"/>
        </w:rPr>
        <w:t>em.</w:t>
      </w:r>
      <w:r w:rsidRPr="00FC7A5C">
        <w:rPr>
          <w:rFonts w:asciiTheme="majorBidi" w:hAnsiTheme="majorBidi" w:cstheme="majorBidi"/>
          <w:lang w:val="lv-LV"/>
        </w:rPr>
        <w:t xml:space="preserve"> </w:t>
      </w:r>
      <w:r w:rsidR="00FC7A5C" w:rsidRPr="00FC7A5C">
        <w:rPr>
          <w:rFonts w:asciiTheme="majorBidi" w:hAnsiTheme="majorBidi" w:cstheme="majorBidi"/>
          <w:lang w:val="lv-LV"/>
        </w:rPr>
        <w:t>Senāta praksē vairākkārt ir atzīts, ka skaidrojums Nr.</w:t>
      </w:r>
      <w:r w:rsidR="009B0018">
        <w:rPr>
          <w:rFonts w:asciiTheme="majorBidi" w:hAnsiTheme="majorBidi" w:cstheme="majorBidi"/>
          <w:lang w:val="lv-LV"/>
        </w:rPr>
        <w:t> </w:t>
      </w:r>
      <w:r w:rsidR="00FC7A5C" w:rsidRPr="00FC7A5C">
        <w:rPr>
          <w:rFonts w:asciiTheme="majorBidi" w:hAnsiTheme="majorBidi" w:cstheme="majorBidi"/>
          <w:lang w:val="lv-LV"/>
        </w:rPr>
        <w:t>5/8 bija neatņemama saraksta Nr.</w:t>
      </w:r>
      <w:r w:rsidR="00DF1B8B">
        <w:rPr>
          <w:rFonts w:asciiTheme="majorBidi" w:hAnsiTheme="majorBidi" w:cstheme="majorBidi"/>
          <w:lang w:val="lv-LV"/>
        </w:rPr>
        <w:t> </w:t>
      </w:r>
      <w:r w:rsidR="00FC7A5C" w:rsidRPr="00FC7A5C">
        <w:rPr>
          <w:rFonts w:asciiTheme="majorBidi" w:hAnsiTheme="majorBidi" w:cstheme="majorBidi"/>
          <w:lang w:val="lv-LV"/>
        </w:rPr>
        <w:t>1 sastāvdaļa, tam bija normatīvā akta spēks (</w:t>
      </w:r>
      <w:r w:rsidR="009B0018" w:rsidRPr="00BE54AE">
        <w:rPr>
          <w:rFonts w:asciiTheme="majorBidi" w:hAnsiTheme="majorBidi" w:cstheme="majorBidi"/>
          <w:i/>
          <w:iCs/>
          <w:lang w:val="lv-LV"/>
        </w:rPr>
        <w:t>Senāta</w:t>
      </w:r>
      <w:r w:rsidR="004B7EF9" w:rsidRPr="00BE54AE">
        <w:rPr>
          <w:rFonts w:asciiTheme="majorBidi" w:hAnsiTheme="majorBidi" w:cstheme="majorBidi"/>
          <w:i/>
          <w:iCs/>
          <w:lang w:val="lv-LV"/>
        </w:rPr>
        <w:t xml:space="preserve"> </w:t>
      </w:r>
      <w:r w:rsidR="004B7EF9" w:rsidRPr="00BE54AE">
        <w:rPr>
          <w:rFonts w:asciiTheme="majorBidi" w:hAnsiTheme="majorBidi" w:cstheme="majorBidi"/>
          <w:i/>
          <w:lang w:val="lv-LV"/>
        </w:rPr>
        <w:t>2009.gada 20.februāra sprieduma lietā Nr. SKA-29/2009</w:t>
      </w:r>
      <w:r w:rsidR="004B7EF9" w:rsidRPr="004B7EF9">
        <w:rPr>
          <w:rFonts w:asciiTheme="majorBidi" w:hAnsiTheme="majorBidi" w:cstheme="majorBidi"/>
          <w:i/>
          <w:lang w:val="lv-LV"/>
        </w:rPr>
        <w:t>,</w:t>
      </w:r>
      <w:r w:rsidR="004B7EF9" w:rsidRPr="00BE54AE">
        <w:rPr>
          <w:lang w:val="lv-LV"/>
        </w:rPr>
        <w:t xml:space="preserve"> </w:t>
      </w:r>
      <w:r w:rsidR="004B7EF9" w:rsidRPr="004B7EF9">
        <w:rPr>
          <w:rFonts w:asciiTheme="majorBidi" w:hAnsiTheme="majorBidi" w:cstheme="majorBidi"/>
          <w:i/>
          <w:lang w:val="lv-LV"/>
        </w:rPr>
        <w:t>A42411006</w:t>
      </w:r>
      <w:r w:rsidR="004B7EF9" w:rsidRPr="00BE54AE">
        <w:rPr>
          <w:rFonts w:asciiTheme="majorBidi" w:hAnsiTheme="majorBidi" w:cstheme="majorBidi"/>
          <w:i/>
          <w:lang w:val="lv-LV"/>
        </w:rPr>
        <w:t>, 14.punkts,</w:t>
      </w:r>
      <w:r w:rsidR="009B0018" w:rsidRPr="00BE54AE">
        <w:rPr>
          <w:i/>
          <w:iCs/>
          <w:lang w:val="lv-LV"/>
        </w:rPr>
        <w:t xml:space="preserve"> </w:t>
      </w:r>
      <w:r w:rsidR="009B0018" w:rsidRPr="00BE54AE">
        <w:rPr>
          <w:rFonts w:asciiTheme="majorBidi" w:hAnsiTheme="majorBidi" w:cstheme="majorBidi"/>
          <w:i/>
          <w:iCs/>
          <w:lang w:val="lv-LV"/>
        </w:rPr>
        <w:t>2010.gada 19.aprīļa sprieduma lietā Nr.</w:t>
      </w:r>
      <w:r w:rsidR="00FB47D8">
        <w:rPr>
          <w:rFonts w:asciiTheme="majorBidi" w:hAnsiTheme="majorBidi" w:cstheme="majorBidi"/>
          <w:i/>
          <w:iCs/>
          <w:lang w:val="lv-LV"/>
        </w:rPr>
        <w:t> </w:t>
      </w:r>
      <w:r w:rsidR="009B0018" w:rsidRPr="00BE54AE">
        <w:rPr>
          <w:rFonts w:asciiTheme="majorBidi" w:hAnsiTheme="majorBidi" w:cstheme="majorBidi"/>
          <w:i/>
          <w:iCs/>
          <w:lang w:val="lv-LV"/>
        </w:rPr>
        <w:t>SKA-136/2010</w:t>
      </w:r>
      <w:r w:rsidR="004B7EF9" w:rsidRPr="00BE54AE">
        <w:rPr>
          <w:rFonts w:asciiTheme="majorBidi" w:hAnsiTheme="majorBidi" w:cstheme="majorBidi"/>
          <w:i/>
          <w:iCs/>
          <w:lang w:val="lv-LV"/>
        </w:rPr>
        <w:t xml:space="preserve">, </w:t>
      </w:r>
      <w:r w:rsidR="009B0018" w:rsidRPr="00BE54AE">
        <w:rPr>
          <w:rFonts w:asciiTheme="majorBidi" w:hAnsiTheme="majorBidi" w:cstheme="majorBidi"/>
          <w:i/>
          <w:iCs/>
          <w:lang w:val="lv-LV"/>
        </w:rPr>
        <w:t>A42468405</w:t>
      </w:r>
      <w:r w:rsidR="004B7EF9" w:rsidRPr="00BE54AE">
        <w:rPr>
          <w:rFonts w:asciiTheme="majorBidi" w:hAnsiTheme="majorBidi" w:cstheme="majorBidi"/>
          <w:i/>
          <w:iCs/>
          <w:lang w:val="lv-LV"/>
        </w:rPr>
        <w:t>,</w:t>
      </w:r>
      <w:r w:rsidR="009B0018" w:rsidRPr="00BE54AE">
        <w:rPr>
          <w:rFonts w:asciiTheme="majorBidi" w:hAnsiTheme="majorBidi" w:cstheme="majorBidi"/>
          <w:i/>
          <w:iCs/>
          <w:lang w:val="lv-LV"/>
        </w:rPr>
        <w:t xml:space="preserve"> 8.punkts</w:t>
      </w:r>
      <w:r w:rsidR="00FC7A5C" w:rsidRPr="004B7EF9">
        <w:rPr>
          <w:rFonts w:asciiTheme="majorBidi" w:hAnsiTheme="majorBidi" w:cstheme="majorBidi"/>
          <w:lang w:val="lv-LV"/>
        </w:rPr>
        <w:t>)</w:t>
      </w:r>
      <w:r w:rsidR="00FC7A5C" w:rsidRPr="00FC7A5C">
        <w:rPr>
          <w:rFonts w:asciiTheme="majorBidi" w:hAnsiTheme="majorBidi" w:cstheme="majorBidi"/>
          <w:lang w:val="lv-LV"/>
        </w:rPr>
        <w:t xml:space="preserve">. </w:t>
      </w:r>
      <w:r w:rsidR="00DF1B8B">
        <w:rPr>
          <w:rFonts w:asciiTheme="majorBidi" w:hAnsiTheme="majorBidi" w:cstheme="majorBidi"/>
          <w:lang w:val="lv-LV"/>
        </w:rPr>
        <w:t xml:space="preserve">Savukārt </w:t>
      </w:r>
      <w:r w:rsidR="00DF1B8B" w:rsidRPr="00DF1B8B">
        <w:rPr>
          <w:rFonts w:asciiTheme="majorBidi" w:hAnsiTheme="majorBidi" w:cstheme="majorBidi"/>
          <w:lang w:val="lv-LV"/>
        </w:rPr>
        <w:t>citiem ministriju, institūciju vai to nodaļu skaidrojumiem un norādījumiem šāda normatīvā akta saistošā spēka nebija. Tos tāpat kā attiecīgā laika juridisko literatūru var izmantot, lai tiesa argumentētu savu spriedumu, taču minētie skaidrojumi nevar mainīt sarakstā Nr.</w:t>
      </w:r>
      <w:r w:rsidR="00DF1B8B">
        <w:rPr>
          <w:rFonts w:asciiTheme="majorBidi" w:hAnsiTheme="majorBidi" w:cstheme="majorBidi"/>
          <w:lang w:val="lv-LV"/>
        </w:rPr>
        <w:t> 1</w:t>
      </w:r>
      <w:r w:rsidR="00DF1B8B" w:rsidRPr="00DF1B8B">
        <w:rPr>
          <w:rFonts w:asciiTheme="majorBidi" w:hAnsiTheme="majorBidi" w:cstheme="majorBidi"/>
          <w:lang w:val="lv-LV"/>
        </w:rPr>
        <w:t xml:space="preserve"> un </w:t>
      </w:r>
      <w:r w:rsidR="00DF1B8B">
        <w:rPr>
          <w:rFonts w:asciiTheme="majorBidi" w:hAnsiTheme="majorBidi" w:cstheme="majorBidi"/>
          <w:lang w:val="lv-LV"/>
        </w:rPr>
        <w:t>s</w:t>
      </w:r>
      <w:r w:rsidR="00DF1B8B" w:rsidRPr="00DF1B8B">
        <w:rPr>
          <w:rFonts w:asciiTheme="majorBidi" w:hAnsiTheme="majorBidi" w:cstheme="majorBidi"/>
          <w:lang w:val="lv-LV"/>
        </w:rPr>
        <w:t>kaidrojumā</w:t>
      </w:r>
      <w:r w:rsidR="00DF1B8B">
        <w:rPr>
          <w:rFonts w:asciiTheme="majorBidi" w:hAnsiTheme="majorBidi" w:cstheme="majorBidi"/>
          <w:lang w:val="lv-LV"/>
        </w:rPr>
        <w:t xml:space="preserve"> </w:t>
      </w:r>
      <w:r w:rsidR="00DF1B8B" w:rsidRPr="00FC7A5C">
        <w:rPr>
          <w:rFonts w:asciiTheme="majorBidi" w:hAnsiTheme="majorBidi" w:cstheme="majorBidi"/>
          <w:lang w:val="lv-LV"/>
        </w:rPr>
        <w:t>Nr.</w:t>
      </w:r>
      <w:r w:rsidR="00DF1B8B">
        <w:rPr>
          <w:rFonts w:asciiTheme="majorBidi" w:hAnsiTheme="majorBidi" w:cstheme="majorBidi"/>
          <w:lang w:val="lv-LV"/>
        </w:rPr>
        <w:t> </w:t>
      </w:r>
      <w:r w:rsidR="00DF1B8B" w:rsidRPr="00FC7A5C">
        <w:rPr>
          <w:rFonts w:asciiTheme="majorBidi" w:hAnsiTheme="majorBidi" w:cstheme="majorBidi"/>
          <w:lang w:val="lv-LV"/>
        </w:rPr>
        <w:t xml:space="preserve">5/8 </w:t>
      </w:r>
      <w:r w:rsidR="00DF1B8B" w:rsidRPr="00DF1B8B">
        <w:rPr>
          <w:rFonts w:asciiTheme="majorBidi" w:hAnsiTheme="majorBidi" w:cstheme="majorBidi"/>
          <w:lang w:val="lv-LV"/>
        </w:rPr>
        <w:t>noteikto regulējumu</w:t>
      </w:r>
      <w:r w:rsidR="00DF1B8B">
        <w:rPr>
          <w:rFonts w:asciiTheme="majorBidi" w:hAnsiTheme="majorBidi" w:cstheme="majorBidi"/>
          <w:lang w:val="lv-LV"/>
        </w:rPr>
        <w:t xml:space="preserve"> (</w:t>
      </w:r>
      <w:r w:rsidR="00DF1B8B" w:rsidRPr="00400DF0">
        <w:rPr>
          <w:rFonts w:asciiTheme="majorBidi" w:hAnsiTheme="majorBidi" w:cstheme="majorBidi"/>
          <w:lang w:val="lv-LV"/>
        </w:rPr>
        <w:t>sal.</w:t>
      </w:r>
      <w:r w:rsidR="00DF1B8B" w:rsidRPr="00BE54AE">
        <w:rPr>
          <w:rFonts w:asciiTheme="majorBidi" w:hAnsiTheme="majorBidi" w:cstheme="majorBidi"/>
          <w:i/>
          <w:iCs/>
          <w:lang w:val="lv-LV"/>
        </w:rPr>
        <w:t xml:space="preserve"> Senāta 2012.gada 4.jūnija rīcības sēdes lēmuma lietā Nr.</w:t>
      </w:r>
      <w:r w:rsidR="00FB47D8">
        <w:rPr>
          <w:rFonts w:asciiTheme="majorBidi" w:hAnsiTheme="majorBidi" w:cstheme="majorBidi"/>
          <w:i/>
          <w:iCs/>
          <w:lang w:val="lv-LV"/>
        </w:rPr>
        <w:t> </w:t>
      </w:r>
      <w:r w:rsidR="00DF1B8B" w:rsidRPr="00BE54AE">
        <w:rPr>
          <w:rFonts w:asciiTheme="majorBidi" w:hAnsiTheme="majorBidi" w:cstheme="majorBidi"/>
          <w:i/>
          <w:iCs/>
          <w:lang w:val="lv-LV"/>
        </w:rPr>
        <w:t>SKA-480/2012</w:t>
      </w:r>
      <w:r w:rsidR="00413959">
        <w:rPr>
          <w:rFonts w:asciiTheme="majorBidi" w:hAnsiTheme="majorBidi" w:cstheme="majorBidi"/>
          <w:i/>
          <w:iCs/>
          <w:lang w:val="lv-LV"/>
        </w:rPr>
        <w:t xml:space="preserve">, </w:t>
      </w:r>
      <w:r w:rsidR="00DF1B8B" w:rsidRPr="00BE54AE">
        <w:rPr>
          <w:rFonts w:asciiTheme="majorBidi" w:hAnsiTheme="majorBidi" w:cstheme="majorBidi"/>
          <w:i/>
          <w:iCs/>
          <w:lang w:val="lv-LV"/>
        </w:rPr>
        <w:t>A42634109</w:t>
      </w:r>
      <w:r w:rsidR="00413959">
        <w:rPr>
          <w:rFonts w:asciiTheme="majorBidi" w:hAnsiTheme="majorBidi" w:cstheme="majorBidi"/>
          <w:i/>
          <w:iCs/>
          <w:lang w:val="lv-LV"/>
        </w:rPr>
        <w:t>,</w:t>
      </w:r>
      <w:r w:rsidR="00DF1B8B" w:rsidRPr="00BE54AE">
        <w:rPr>
          <w:rFonts w:asciiTheme="majorBidi" w:hAnsiTheme="majorBidi" w:cstheme="majorBidi"/>
          <w:i/>
          <w:iCs/>
          <w:lang w:val="lv-LV"/>
        </w:rPr>
        <w:t xml:space="preserve"> 5.punkts</w:t>
      </w:r>
      <w:r w:rsidR="00DF1B8B">
        <w:rPr>
          <w:rFonts w:asciiTheme="majorBidi" w:hAnsiTheme="majorBidi" w:cstheme="majorBidi"/>
          <w:lang w:val="lv-LV"/>
        </w:rPr>
        <w:t>)</w:t>
      </w:r>
      <w:r w:rsidR="00B55A41">
        <w:rPr>
          <w:rFonts w:asciiTheme="majorBidi" w:hAnsiTheme="majorBidi" w:cstheme="majorBidi"/>
          <w:lang w:val="lv-LV"/>
        </w:rPr>
        <w:t xml:space="preserve">. Arī tas, ka skaidrojums ietverts </w:t>
      </w:r>
      <w:r w:rsidR="00B55A41" w:rsidRPr="00B55A41">
        <w:rPr>
          <w:rFonts w:asciiTheme="majorBidi" w:hAnsiTheme="majorBidi" w:cstheme="majorBidi"/>
          <w:lang w:val="lv-LV"/>
        </w:rPr>
        <w:t>informatīv</w:t>
      </w:r>
      <w:r w:rsidR="00B55A41">
        <w:rPr>
          <w:rFonts w:asciiTheme="majorBidi" w:hAnsiTheme="majorBidi" w:cstheme="majorBidi"/>
          <w:lang w:val="lv-LV"/>
        </w:rPr>
        <w:t xml:space="preserve">ā </w:t>
      </w:r>
      <w:r w:rsidR="00B55A41" w:rsidRPr="00B55A41">
        <w:rPr>
          <w:rFonts w:asciiTheme="majorBidi" w:hAnsiTheme="majorBidi" w:cstheme="majorBidi"/>
          <w:lang w:val="lv-LV"/>
        </w:rPr>
        <w:t>materiāl</w:t>
      </w:r>
      <w:r w:rsidR="00B55A41">
        <w:rPr>
          <w:rFonts w:asciiTheme="majorBidi" w:hAnsiTheme="majorBidi" w:cstheme="majorBidi"/>
          <w:lang w:val="lv-LV"/>
        </w:rPr>
        <w:t>ā, ko</w:t>
      </w:r>
      <w:r w:rsidR="00B55A41" w:rsidRPr="00B55A41">
        <w:rPr>
          <w:rFonts w:asciiTheme="majorBidi" w:hAnsiTheme="majorBidi" w:cstheme="majorBidi"/>
          <w:lang w:val="lv-LV"/>
        </w:rPr>
        <w:t xml:space="preserve"> izstrādājusi vienas PSRS sastāvā ietilpstošas republikas (Krievijas) ministrija,</w:t>
      </w:r>
      <w:r w:rsidR="00D3708F">
        <w:rPr>
          <w:rFonts w:asciiTheme="majorBidi" w:hAnsiTheme="majorBidi" w:cstheme="majorBidi"/>
          <w:lang w:val="lv-LV"/>
        </w:rPr>
        <w:t xml:space="preserve"> nepadara to par normatīvo aktu</w:t>
      </w:r>
      <w:r w:rsidR="00413959">
        <w:rPr>
          <w:rFonts w:asciiTheme="majorBidi" w:hAnsiTheme="majorBidi" w:cstheme="majorBidi"/>
          <w:lang w:val="lv-LV"/>
        </w:rPr>
        <w:t>. Šāds informatīvais materiāls nav normatīvais akts</w:t>
      </w:r>
      <w:r w:rsidR="00E17DEE">
        <w:rPr>
          <w:rFonts w:asciiTheme="majorBidi" w:hAnsiTheme="majorBidi" w:cstheme="majorBidi"/>
          <w:lang w:val="lv-LV"/>
        </w:rPr>
        <w:t>,</w:t>
      </w:r>
      <w:r w:rsidR="00413959">
        <w:rPr>
          <w:rFonts w:asciiTheme="majorBidi" w:hAnsiTheme="majorBidi" w:cstheme="majorBidi"/>
          <w:lang w:val="lv-LV"/>
        </w:rPr>
        <w:t xml:space="preserve"> un tas nav</w:t>
      </w:r>
      <w:r w:rsidR="00D3708F">
        <w:rPr>
          <w:rFonts w:asciiTheme="majorBidi" w:hAnsiTheme="majorBidi" w:cstheme="majorBidi"/>
          <w:lang w:val="lv-LV"/>
        </w:rPr>
        <w:t xml:space="preserve"> </w:t>
      </w:r>
      <w:r w:rsidR="00B55A41" w:rsidRPr="00B55A41">
        <w:rPr>
          <w:rFonts w:asciiTheme="majorBidi" w:hAnsiTheme="majorBidi" w:cstheme="majorBidi"/>
          <w:lang w:val="lv-LV"/>
        </w:rPr>
        <w:t>saistoš</w:t>
      </w:r>
      <w:r w:rsidR="00D3708F">
        <w:rPr>
          <w:rFonts w:asciiTheme="majorBidi" w:hAnsiTheme="majorBidi" w:cstheme="majorBidi"/>
          <w:lang w:val="lv-LV"/>
        </w:rPr>
        <w:t>s</w:t>
      </w:r>
      <w:r w:rsidR="00B55A41" w:rsidRPr="00B55A41">
        <w:rPr>
          <w:rFonts w:asciiTheme="majorBidi" w:hAnsiTheme="majorBidi" w:cstheme="majorBidi"/>
          <w:lang w:val="lv-LV"/>
        </w:rPr>
        <w:t xml:space="preserve"> PSRS sastāvā ietilpstošas citas republikas (Latvijas) iestādēm</w:t>
      </w:r>
      <w:r w:rsidR="00D3708F">
        <w:rPr>
          <w:rFonts w:asciiTheme="majorBidi" w:hAnsiTheme="majorBidi" w:cstheme="majorBidi"/>
          <w:lang w:val="lv-LV"/>
        </w:rPr>
        <w:t xml:space="preserve"> (sal. </w:t>
      </w:r>
      <w:r w:rsidR="00D3708F" w:rsidRPr="00BE54AE">
        <w:rPr>
          <w:rFonts w:asciiTheme="majorBidi" w:hAnsiTheme="majorBidi" w:cstheme="majorBidi"/>
          <w:i/>
          <w:iCs/>
          <w:lang w:val="lv-LV"/>
        </w:rPr>
        <w:t>Senāta</w:t>
      </w:r>
      <w:r w:rsidR="00D3708F" w:rsidRPr="00BE54AE">
        <w:rPr>
          <w:i/>
          <w:iCs/>
          <w:lang w:val="lv-LV"/>
        </w:rPr>
        <w:t xml:space="preserve"> </w:t>
      </w:r>
      <w:r w:rsidR="00D3708F" w:rsidRPr="00BE54AE">
        <w:rPr>
          <w:rFonts w:asciiTheme="majorBidi" w:hAnsiTheme="majorBidi" w:cstheme="majorBidi"/>
          <w:i/>
          <w:iCs/>
          <w:lang w:val="lv-LV"/>
        </w:rPr>
        <w:t>2010.gada 2.decembra sprieduma lietā Nr.</w:t>
      </w:r>
      <w:r w:rsidR="00FB47D8">
        <w:rPr>
          <w:rFonts w:asciiTheme="majorBidi" w:hAnsiTheme="majorBidi" w:cstheme="majorBidi"/>
          <w:i/>
          <w:iCs/>
          <w:lang w:val="lv-LV"/>
        </w:rPr>
        <w:t> </w:t>
      </w:r>
      <w:r w:rsidR="00D3708F" w:rsidRPr="00BE54AE">
        <w:rPr>
          <w:rFonts w:asciiTheme="majorBidi" w:hAnsiTheme="majorBidi" w:cstheme="majorBidi"/>
          <w:i/>
          <w:iCs/>
          <w:lang w:val="lv-LV"/>
        </w:rPr>
        <w:t>SKA-551/2010, A42579207, 10.punkts</w:t>
      </w:r>
      <w:r w:rsidR="00D3708F">
        <w:rPr>
          <w:rFonts w:asciiTheme="majorBidi" w:hAnsiTheme="majorBidi" w:cstheme="majorBidi"/>
          <w:lang w:val="lv-LV"/>
        </w:rPr>
        <w:t>).</w:t>
      </w:r>
    </w:p>
    <w:p w14:paraId="1D8EFED3" w14:textId="7D0DE7B4" w:rsidR="00FC7A5C" w:rsidRPr="009B0018" w:rsidRDefault="00FC7A5C" w:rsidP="003773E7">
      <w:pPr>
        <w:pStyle w:val="tv213"/>
        <w:shd w:val="clear" w:color="auto" w:fill="FFFFFF"/>
        <w:spacing w:before="0" w:beforeAutospacing="0" w:after="0" w:afterAutospacing="0" w:line="276" w:lineRule="auto"/>
        <w:ind w:firstLine="720"/>
        <w:jc w:val="both"/>
        <w:rPr>
          <w:rFonts w:asciiTheme="majorBidi" w:hAnsiTheme="majorBidi" w:cstheme="majorBidi"/>
          <w:lang w:val="lv-LV"/>
        </w:rPr>
      </w:pPr>
      <w:r w:rsidRPr="00FC7A5C">
        <w:rPr>
          <w:rFonts w:asciiTheme="majorBidi" w:hAnsiTheme="majorBidi" w:cstheme="majorBidi"/>
          <w:lang w:val="lv-LV"/>
        </w:rPr>
        <w:t xml:space="preserve">Tādēļ kolīzijas gadījumā priekšroka dodama tieši </w:t>
      </w:r>
      <w:r w:rsidR="00413959" w:rsidRPr="00C1553D">
        <w:rPr>
          <w:lang w:val="lv-LV"/>
        </w:rPr>
        <w:t>sarakst</w:t>
      </w:r>
      <w:r w:rsidR="00FB47D8">
        <w:rPr>
          <w:lang w:val="lv-LV"/>
        </w:rPr>
        <w:t>am</w:t>
      </w:r>
      <w:r w:rsidR="00413959" w:rsidRPr="00C1553D">
        <w:rPr>
          <w:lang w:val="lv-LV"/>
        </w:rPr>
        <w:t xml:space="preserve"> Nr. 1 </w:t>
      </w:r>
      <w:r w:rsidR="00413959">
        <w:rPr>
          <w:lang w:val="lv-LV"/>
        </w:rPr>
        <w:t xml:space="preserve">un </w:t>
      </w:r>
      <w:r w:rsidRPr="00FC7A5C">
        <w:rPr>
          <w:rFonts w:asciiTheme="majorBidi" w:hAnsiTheme="majorBidi" w:cstheme="majorBidi"/>
          <w:lang w:val="lv-LV"/>
        </w:rPr>
        <w:t>skaidrojumam Nr.</w:t>
      </w:r>
      <w:r w:rsidR="00FB47D8">
        <w:rPr>
          <w:rFonts w:asciiTheme="majorBidi" w:hAnsiTheme="majorBidi" w:cstheme="majorBidi"/>
          <w:lang w:val="lv-LV"/>
        </w:rPr>
        <w:t> </w:t>
      </w:r>
      <w:r w:rsidRPr="00FC7A5C">
        <w:rPr>
          <w:rFonts w:asciiTheme="majorBidi" w:hAnsiTheme="majorBidi" w:cstheme="majorBidi"/>
          <w:lang w:val="lv-LV"/>
        </w:rPr>
        <w:t>5/8 k</w:t>
      </w:r>
      <w:r w:rsidR="00FB47D8">
        <w:rPr>
          <w:rFonts w:asciiTheme="majorBidi" w:hAnsiTheme="majorBidi" w:cstheme="majorBidi"/>
          <w:lang w:val="lv-LV"/>
        </w:rPr>
        <w:t>ā</w:t>
      </w:r>
      <w:r w:rsidRPr="00FC7A5C">
        <w:rPr>
          <w:rFonts w:asciiTheme="majorBidi" w:hAnsiTheme="majorBidi" w:cstheme="majorBidi"/>
          <w:lang w:val="lv-LV"/>
        </w:rPr>
        <w:t xml:space="preserve"> normatīvaj</w:t>
      </w:r>
      <w:r w:rsidR="00413959">
        <w:rPr>
          <w:rFonts w:asciiTheme="majorBidi" w:hAnsiTheme="majorBidi" w:cstheme="majorBidi"/>
          <w:lang w:val="lv-LV"/>
        </w:rPr>
        <w:t xml:space="preserve">iem </w:t>
      </w:r>
      <w:r w:rsidRPr="00FC7A5C">
        <w:rPr>
          <w:rFonts w:asciiTheme="majorBidi" w:hAnsiTheme="majorBidi" w:cstheme="majorBidi"/>
          <w:lang w:val="lv-LV"/>
        </w:rPr>
        <w:t>akt</w:t>
      </w:r>
      <w:r w:rsidR="00413959">
        <w:rPr>
          <w:rFonts w:asciiTheme="majorBidi" w:hAnsiTheme="majorBidi" w:cstheme="majorBidi"/>
          <w:lang w:val="lv-LV"/>
        </w:rPr>
        <w:t>iem</w:t>
      </w:r>
      <w:r w:rsidRPr="00FC7A5C">
        <w:rPr>
          <w:rFonts w:asciiTheme="majorBidi" w:hAnsiTheme="majorBidi" w:cstheme="majorBidi"/>
          <w:lang w:val="lv-LV"/>
        </w:rPr>
        <w:t xml:space="preserve">, nevis </w:t>
      </w:r>
      <w:r w:rsidR="009B0018">
        <w:rPr>
          <w:rFonts w:asciiTheme="majorBidi" w:hAnsiTheme="majorBidi" w:cstheme="majorBidi"/>
          <w:lang w:val="lv-LV"/>
        </w:rPr>
        <w:t xml:space="preserve">vēstulē </w:t>
      </w:r>
      <w:r w:rsidR="009B0018" w:rsidRPr="00BE54AE">
        <w:rPr>
          <w:rFonts w:asciiTheme="majorBidi" w:hAnsiTheme="majorBidi" w:cstheme="majorBidi"/>
          <w:lang w:val="lv-LV"/>
        </w:rPr>
        <w:t xml:space="preserve">Nr. 175-MK </w:t>
      </w:r>
      <w:r w:rsidR="009B0018" w:rsidRPr="009B0018">
        <w:rPr>
          <w:rFonts w:asciiTheme="majorBidi" w:hAnsiTheme="majorBidi" w:cstheme="majorBidi"/>
          <w:lang w:val="lv-LV"/>
        </w:rPr>
        <w:t xml:space="preserve">ietvertam </w:t>
      </w:r>
      <w:r w:rsidRPr="009B0018">
        <w:rPr>
          <w:rFonts w:asciiTheme="majorBidi" w:hAnsiTheme="majorBidi" w:cstheme="majorBidi"/>
          <w:lang w:val="lv-LV"/>
        </w:rPr>
        <w:t>skaidrojumam bez šāda juridiskā spēka.</w:t>
      </w:r>
    </w:p>
    <w:p w14:paraId="39F5C723" w14:textId="330BF8DD" w:rsidR="006C3A6D" w:rsidRPr="00BE54AE" w:rsidRDefault="00C54FCC" w:rsidP="003773E7">
      <w:pPr>
        <w:pStyle w:val="tv213"/>
        <w:shd w:val="clear" w:color="auto" w:fill="FFFFFF"/>
        <w:spacing w:before="0" w:beforeAutospacing="0" w:after="0" w:afterAutospacing="0" w:line="276" w:lineRule="auto"/>
        <w:ind w:firstLine="720"/>
        <w:jc w:val="both"/>
        <w:rPr>
          <w:lang w:val="lv-LV"/>
        </w:rPr>
      </w:pPr>
      <w:r w:rsidRPr="00BE54AE">
        <w:rPr>
          <w:lang w:val="lv-LV"/>
        </w:rPr>
        <w:t xml:space="preserve">Ņemot vērā </w:t>
      </w:r>
      <w:r w:rsidR="00F2288C" w:rsidRPr="00BE54AE">
        <w:rPr>
          <w:lang w:val="lv-LV"/>
        </w:rPr>
        <w:t>minēto</w:t>
      </w:r>
      <w:r w:rsidRPr="00BE54AE">
        <w:rPr>
          <w:lang w:val="lv-LV"/>
        </w:rPr>
        <w:t xml:space="preserve">, </w:t>
      </w:r>
      <w:r w:rsidR="00954A29" w:rsidRPr="00BE54AE">
        <w:rPr>
          <w:lang w:val="lv-LV"/>
        </w:rPr>
        <w:t xml:space="preserve">apgabaltiesa pamatoti atzina, ka vēstule Nr. 175-MK izmantojama tikai kā palīglīdzeklis, </w:t>
      </w:r>
      <w:r w:rsidR="006C3A6D" w:rsidRPr="00BE54AE">
        <w:rPr>
          <w:lang w:val="lv-LV"/>
        </w:rPr>
        <w:t xml:space="preserve">un situācijā, </w:t>
      </w:r>
      <w:r w:rsidR="003C717E">
        <w:rPr>
          <w:lang w:val="lv-LV"/>
        </w:rPr>
        <w:t>j</w:t>
      </w:r>
      <w:r w:rsidR="006C3A6D" w:rsidRPr="00BE54AE">
        <w:rPr>
          <w:lang w:val="lv-LV"/>
        </w:rPr>
        <w:t xml:space="preserve">a tā </w:t>
      </w:r>
      <w:r w:rsidR="00954A29" w:rsidRPr="00BE54AE">
        <w:rPr>
          <w:lang w:val="lv-LV"/>
        </w:rPr>
        <w:t>ierobežo sarakstā Nr. 1 un skaidrojumā Nr. 5/8 paredzētās personas tiesības</w:t>
      </w:r>
      <w:r w:rsidR="006C3A6D" w:rsidRPr="00BE54AE">
        <w:rPr>
          <w:lang w:val="lv-LV"/>
        </w:rPr>
        <w:t xml:space="preserve">, </w:t>
      </w:r>
      <w:r w:rsidR="009F0907">
        <w:rPr>
          <w:lang w:val="lv-LV"/>
        </w:rPr>
        <w:t xml:space="preserve">tā </w:t>
      </w:r>
      <w:r w:rsidR="006C3A6D" w:rsidRPr="00BE54AE">
        <w:rPr>
          <w:lang w:val="lv-LV"/>
        </w:rPr>
        <w:t>nav piemērojama</w:t>
      </w:r>
      <w:r w:rsidR="00954A29" w:rsidRPr="00BE54AE">
        <w:rPr>
          <w:lang w:val="lv-LV"/>
        </w:rPr>
        <w:t>.</w:t>
      </w:r>
    </w:p>
    <w:p w14:paraId="6F9A0888" w14:textId="1AA6380B" w:rsidR="00BB0D12" w:rsidRPr="00EE2C97" w:rsidRDefault="00BB0D12" w:rsidP="003773E7">
      <w:pPr>
        <w:pStyle w:val="mt-translation"/>
        <w:spacing w:before="0" w:beforeAutospacing="0" w:after="0" w:afterAutospacing="0" w:line="276" w:lineRule="auto"/>
        <w:ind w:firstLine="720"/>
        <w:jc w:val="both"/>
      </w:pPr>
    </w:p>
    <w:p w14:paraId="25BD6601" w14:textId="4336EB0B" w:rsidR="000F1576" w:rsidRDefault="003F4C6F" w:rsidP="003773E7">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D3708F">
        <w:rPr>
          <w:rFonts w:asciiTheme="majorBidi" w:hAnsiTheme="majorBidi" w:cstheme="majorBidi"/>
        </w:rPr>
        <w:t>10</w:t>
      </w:r>
      <w:r w:rsidR="005716A2" w:rsidRPr="002355CB">
        <w:rPr>
          <w:rFonts w:asciiTheme="majorBidi" w:hAnsiTheme="majorBidi" w:cstheme="majorBidi"/>
        </w:rPr>
        <w:t>]</w:t>
      </w:r>
      <w:r w:rsidR="00BE54AE">
        <w:rPr>
          <w:rFonts w:asciiTheme="majorBidi" w:hAnsiTheme="majorBidi" w:cstheme="majorBidi"/>
        </w:rPr>
        <w:t> </w:t>
      </w:r>
      <w:r w:rsidR="00565582">
        <w:rPr>
          <w:rFonts w:asciiTheme="majorBidi" w:hAnsiTheme="majorBidi" w:cstheme="majorBidi"/>
        </w:rPr>
        <w:t xml:space="preserve">Par kasācijas sūdzībā minēto vienlīdzības principa pārkāpumu norādāms, ka </w:t>
      </w:r>
      <w:r w:rsidR="00565582" w:rsidRPr="00565582">
        <w:rPr>
          <w:rFonts w:asciiTheme="majorBidi" w:hAnsiTheme="majorBidi" w:cstheme="majorBidi"/>
        </w:rPr>
        <w:t>vienlīdzība nerodas prettiesiskumā</w:t>
      </w:r>
      <w:r w:rsidR="00565582">
        <w:rPr>
          <w:rFonts w:asciiTheme="majorBidi" w:hAnsiTheme="majorBidi" w:cstheme="majorBidi"/>
        </w:rPr>
        <w:t xml:space="preserve">. </w:t>
      </w:r>
      <w:r w:rsidR="00565582" w:rsidRPr="00565582">
        <w:rPr>
          <w:rFonts w:asciiTheme="majorBidi" w:hAnsiTheme="majorBidi" w:cstheme="majorBidi"/>
        </w:rPr>
        <w:t>Tiesiskās vienlīdzības princips ir vērsts uz tiesiskuma nodrošināšanu</w:t>
      </w:r>
      <w:r w:rsidR="00565582">
        <w:rPr>
          <w:rFonts w:asciiTheme="majorBidi" w:hAnsiTheme="majorBidi" w:cstheme="majorBidi"/>
        </w:rPr>
        <w:t>, bet tas</w:t>
      </w:r>
      <w:r w:rsidR="00565582" w:rsidRPr="00565582">
        <w:rPr>
          <w:rFonts w:asciiTheme="majorBidi" w:hAnsiTheme="majorBidi" w:cstheme="majorBidi"/>
        </w:rPr>
        <w:t xml:space="preserve"> nerada tiesības uz vienlīdzīgu attieksmi, ja salīdzināmā situācija ir prettiesiska</w:t>
      </w:r>
      <w:r w:rsidR="00565582">
        <w:rPr>
          <w:rFonts w:asciiTheme="majorBidi" w:hAnsiTheme="majorBidi" w:cstheme="majorBidi"/>
        </w:rPr>
        <w:t xml:space="preserve"> (sal. </w:t>
      </w:r>
      <w:r w:rsidR="00565582" w:rsidRPr="00757C0F">
        <w:rPr>
          <w:rFonts w:asciiTheme="majorBidi" w:hAnsiTheme="majorBidi" w:cstheme="majorBidi"/>
          <w:i/>
          <w:iCs/>
        </w:rPr>
        <w:t>Senāta</w:t>
      </w:r>
      <w:r w:rsidR="00565582" w:rsidRPr="00757C0F">
        <w:rPr>
          <w:i/>
          <w:iCs/>
        </w:rPr>
        <w:t xml:space="preserve"> 2009.</w:t>
      </w:r>
      <w:r w:rsidR="00565582" w:rsidRPr="00757C0F">
        <w:rPr>
          <w:rFonts w:asciiTheme="majorBidi" w:hAnsiTheme="majorBidi" w:cstheme="majorBidi"/>
          <w:i/>
          <w:iCs/>
        </w:rPr>
        <w:t>gada 10.novembra sprieduma lietā Nr. SKA-759/2009,</w:t>
      </w:r>
      <w:r w:rsidR="00565582" w:rsidRPr="00757C0F">
        <w:rPr>
          <w:i/>
          <w:iCs/>
        </w:rPr>
        <w:t xml:space="preserve"> </w:t>
      </w:r>
      <w:r w:rsidR="00565582" w:rsidRPr="00757C0F">
        <w:rPr>
          <w:rFonts w:asciiTheme="majorBidi" w:hAnsiTheme="majorBidi" w:cstheme="majorBidi"/>
          <w:i/>
          <w:iCs/>
        </w:rPr>
        <w:t xml:space="preserve">A42622108, </w:t>
      </w:r>
      <w:r w:rsidR="00757C0F" w:rsidRPr="00757C0F">
        <w:rPr>
          <w:rFonts w:asciiTheme="majorBidi" w:hAnsiTheme="majorBidi" w:cstheme="majorBidi"/>
          <w:i/>
          <w:iCs/>
        </w:rPr>
        <w:t>12.punkts</w:t>
      </w:r>
      <w:r w:rsidR="00565582">
        <w:rPr>
          <w:rFonts w:asciiTheme="majorBidi" w:hAnsiTheme="majorBidi" w:cstheme="majorBidi"/>
        </w:rPr>
        <w:t>)</w:t>
      </w:r>
      <w:r w:rsidR="00565582" w:rsidRPr="00565582">
        <w:rPr>
          <w:rFonts w:asciiTheme="majorBidi" w:hAnsiTheme="majorBidi" w:cstheme="majorBidi"/>
        </w:rPr>
        <w:t xml:space="preserve">. </w:t>
      </w:r>
      <w:r w:rsidR="00565582">
        <w:rPr>
          <w:rFonts w:asciiTheme="majorBidi" w:hAnsiTheme="majorBidi" w:cstheme="majorBidi"/>
        </w:rPr>
        <w:t>Tādēļ</w:t>
      </w:r>
      <w:r w:rsidR="00757C0F">
        <w:rPr>
          <w:rFonts w:asciiTheme="majorBidi" w:hAnsiTheme="majorBidi" w:cstheme="majorBidi"/>
        </w:rPr>
        <w:t>,</w:t>
      </w:r>
      <w:r w:rsidR="00565582">
        <w:rPr>
          <w:rFonts w:asciiTheme="majorBidi" w:hAnsiTheme="majorBidi" w:cstheme="majorBidi"/>
        </w:rPr>
        <w:t xml:space="preserve"> pat ja kādām personām nepamatoti nav </w:t>
      </w:r>
      <w:r w:rsidR="00757C0F">
        <w:rPr>
          <w:rFonts w:asciiTheme="majorBidi" w:hAnsiTheme="majorBidi" w:cstheme="majorBidi"/>
        </w:rPr>
        <w:t>ieskaitīts speciālais apdrošināšanas stāžs</w:t>
      </w:r>
      <w:r w:rsidR="00565582">
        <w:rPr>
          <w:rFonts w:asciiTheme="majorBidi" w:hAnsiTheme="majorBidi" w:cstheme="majorBidi"/>
        </w:rPr>
        <w:t>, atsaucoties uz vēstulē Nr. </w:t>
      </w:r>
      <w:r w:rsidR="00565582" w:rsidRPr="00F111DA">
        <w:rPr>
          <w:rFonts w:asciiTheme="majorBidi" w:hAnsiTheme="majorBidi" w:cstheme="majorBidi"/>
        </w:rPr>
        <w:t>175-MK</w:t>
      </w:r>
      <w:r w:rsidR="00565582">
        <w:rPr>
          <w:rFonts w:asciiTheme="majorBidi" w:hAnsiTheme="majorBidi" w:cstheme="majorBidi"/>
        </w:rPr>
        <w:t xml:space="preserve"> sniegto skaidrojumu, vienlīdzības princips neprasa </w:t>
      </w:r>
      <w:r w:rsidR="00757C0F">
        <w:rPr>
          <w:rFonts w:asciiTheme="majorBidi" w:hAnsiTheme="majorBidi" w:cstheme="majorBidi"/>
        </w:rPr>
        <w:t>turpināt šādu prettiesisku praksi.</w:t>
      </w:r>
    </w:p>
    <w:p w14:paraId="6B2FF0D0" w14:textId="77777777" w:rsidR="000F1576" w:rsidRDefault="000F1576" w:rsidP="003773E7">
      <w:pPr>
        <w:autoSpaceDE w:val="0"/>
        <w:autoSpaceDN w:val="0"/>
        <w:adjustRightInd w:val="0"/>
        <w:spacing w:line="276" w:lineRule="auto"/>
        <w:ind w:firstLine="720"/>
        <w:jc w:val="both"/>
        <w:rPr>
          <w:rFonts w:asciiTheme="majorBidi" w:hAnsiTheme="majorBidi" w:cstheme="majorBidi"/>
        </w:rPr>
      </w:pPr>
    </w:p>
    <w:p w14:paraId="064B48D9" w14:textId="36178666" w:rsidR="005716A2" w:rsidRPr="002355CB" w:rsidRDefault="000F1576" w:rsidP="003773E7">
      <w:pPr>
        <w:autoSpaceDE w:val="0"/>
        <w:autoSpaceDN w:val="0"/>
        <w:adjustRightInd w:val="0"/>
        <w:spacing w:line="276" w:lineRule="auto"/>
        <w:ind w:firstLine="720"/>
        <w:jc w:val="both"/>
        <w:rPr>
          <w:rFonts w:asciiTheme="majorBidi" w:hAnsiTheme="majorBidi" w:cstheme="majorBidi"/>
          <w:color w:val="000000"/>
        </w:rPr>
      </w:pPr>
      <w:r>
        <w:rPr>
          <w:rFonts w:asciiTheme="majorBidi" w:hAnsiTheme="majorBidi" w:cstheme="majorBidi"/>
        </w:rPr>
        <w:t>[11] </w:t>
      </w:r>
      <w:r w:rsidR="003C717E">
        <w:rPr>
          <w:rFonts w:asciiTheme="majorBidi" w:hAnsiTheme="majorBidi" w:cstheme="majorBidi"/>
        </w:rPr>
        <w:t>Apkopojot</w:t>
      </w:r>
      <w:r w:rsidR="003C717E" w:rsidRPr="002355CB">
        <w:rPr>
          <w:rFonts w:asciiTheme="majorBidi" w:hAnsiTheme="majorBidi" w:cstheme="majorBidi"/>
        </w:rPr>
        <w:t xml:space="preserve"> </w:t>
      </w:r>
      <w:r w:rsidR="004B4824">
        <w:rPr>
          <w:rFonts w:asciiTheme="majorBidi" w:hAnsiTheme="majorBidi" w:cstheme="majorBidi"/>
        </w:rPr>
        <w:t>minēto</w:t>
      </w:r>
      <w:r w:rsidR="005716A2" w:rsidRPr="002355CB">
        <w:rPr>
          <w:rFonts w:asciiTheme="majorBidi" w:hAnsiTheme="majorBidi" w:cstheme="majorBidi"/>
        </w:rPr>
        <w:t xml:space="preserve">, </w:t>
      </w:r>
      <w:r w:rsidR="005716A2" w:rsidRPr="002355CB">
        <w:rPr>
          <w:rFonts w:asciiTheme="majorBidi" w:hAnsiTheme="majorBidi" w:cstheme="majorBidi"/>
          <w:color w:val="000000"/>
        </w:rPr>
        <w:t xml:space="preserve">apgabaltiesas spriedums atstājams negrozīts, bet </w:t>
      </w:r>
      <w:r w:rsidR="0010553A">
        <w:rPr>
          <w:rFonts w:asciiTheme="majorBidi" w:hAnsiTheme="majorBidi" w:cstheme="majorBidi"/>
        </w:rPr>
        <w:t>a</w:t>
      </w:r>
      <w:r w:rsidR="004B4824">
        <w:rPr>
          <w:rFonts w:asciiTheme="majorBidi" w:hAnsiTheme="majorBidi" w:cstheme="majorBidi"/>
        </w:rPr>
        <w:t>ģentūras</w:t>
      </w:r>
      <w:r w:rsidR="004B4824" w:rsidRPr="002355CB">
        <w:rPr>
          <w:rFonts w:asciiTheme="majorBidi" w:hAnsiTheme="majorBidi" w:cstheme="majorBidi"/>
        </w:rPr>
        <w:t xml:space="preserve"> </w:t>
      </w:r>
      <w:r w:rsidR="005716A2" w:rsidRPr="002355CB">
        <w:rPr>
          <w:rFonts w:asciiTheme="majorBidi" w:hAnsiTheme="majorBidi" w:cstheme="majorBidi"/>
        </w:rPr>
        <w:t>kasācijas sūdzība ir noraidāma</w:t>
      </w:r>
      <w:r w:rsidR="005716A2" w:rsidRPr="002355CB">
        <w:rPr>
          <w:rFonts w:asciiTheme="majorBidi" w:hAnsiTheme="majorBidi" w:cstheme="majorBidi"/>
          <w:color w:val="000000"/>
        </w:rPr>
        <w:t>.</w:t>
      </w:r>
    </w:p>
    <w:p w14:paraId="11366555" w14:textId="77777777" w:rsidR="005716A2" w:rsidRDefault="005716A2" w:rsidP="003773E7">
      <w:pPr>
        <w:spacing w:line="276" w:lineRule="auto"/>
        <w:ind w:firstLine="720"/>
        <w:jc w:val="both"/>
        <w:rPr>
          <w:b/>
        </w:rPr>
      </w:pPr>
    </w:p>
    <w:p w14:paraId="6EDA1FB4" w14:textId="77777777" w:rsidR="005716A2" w:rsidRPr="0083065B" w:rsidRDefault="005716A2" w:rsidP="003773E7">
      <w:pPr>
        <w:spacing w:line="276" w:lineRule="auto"/>
        <w:jc w:val="center"/>
        <w:rPr>
          <w:b/>
        </w:rPr>
      </w:pPr>
      <w:r w:rsidRPr="0083065B">
        <w:rPr>
          <w:b/>
        </w:rPr>
        <w:t>Rezolutīvā daļa</w:t>
      </w:r>
    </w:p>
    <w:p w14:paraId="40FF3493" w14:textId="77777777" w:rsidR="005716A2" w:rsidRPr="0083065B" w:rsidRDefault="005716A2" w:rsidP="003773E7">
      <w:pPr>
        <w:spacing w:line="276" w:lineRule="auto"/>
        <w:ind w:firstLine="720"/>
        <w:jc w:val="both"/>
      </w:pPr>
    </w:p>
    <w:p w14:paraId="1990D2BB" w14:textId="77777777" w:rsidR="005716A2" w:rsidRPr="00F223FE" w:rsidRDefault="005716A2" w:rsidP="003773E7">
      <w:pPr>
        <w:spacing w:line="276" w:lineRule="auto"/>
        <w:ind w:firstLine="720"/>
        <w:jc w:val="both"/>
      </w:pPr>
      <w:r w:rsidRPr="00F223FE">
        <w:t xml:space="preserve">Pamatojoties uz </w:t>
      </w:r>
      <w:r w:rsidRPr="00F223FE">
        <w:rPr>
          <w:rFonts w:eastAsia="Calibri"/>
          <w:lang w:eastAsia="en-US"/>
        </w:rPr>
        <w:t>Administratīvā procesa likuma 348.panta pirmās daļas 1.punktu un 351.pantu</w:t>
      </w:r>
      <w:r w:rsidRPr="00F223FE">
        <w:t>, Senāts</w:t>
      </w:r>
    </w:p>
    <w:p w14:paraId="63F115EA" w14:textId="77777777" w:rsidR="005716A2" w:rsidRDefault="005716A2" w:rsidP="003773E7">
      <w:pPr>
        <w:spacing w:line="276" w:lineRule="auto"/>
        <w:ind w:firstLine="720"/>
        <w:jc w:val="both"/>
        <w:rPr>
          <w:strike/>
        </w:rPr>
      </w:pPr>
    </w:p>
    <w:p w14:paraId="32E2A4E0" w14:textId="77777777" w:rsidR="005716A2" w:rsidRPr="0083065B" w:rsidRDefault="005716A2" w:rsidP="003773E7">
      <w:pPr>
        <w:spacing w:line="276" w:lineRule="auto"/>
        <w:jc w:val="center"/>
        <w:rPr>
          <w:b/>
        </w:rPr>
      </w:pPr>
      <w:r w:rsidRPr="0083065B">
        <w:rPr>
          <w:b/>
        </w:rPr>
        <w:t>nosprieda</w:t>
      </w:r>
    </w:p>
    <w:p w14:paraId="3BDBEA4F" w14:textId="77777777" w:rsidR="005716A2" w:rsidRPr="0083065B" w:rsidRDefault="005716A2" w:rsidP="003773E7">
      <w:pPr>
        <w:spacing w:line="276" w:lineRule="auto"/>
        <w:ind w:firstLine="720"/>
        <w:jc w:val="center"/>
        <w:rPr>
          <w:b/>
        </w:rPr>
      </w:pPr>
    </w:p>
    <w:p w14:paraId="7EB8B6BB" w14:textId="387A8FF9" w:rsidR="005716A2" w:rsidRPr="00F223FE" w:rsidRDefault="005716A2" w:rsidP="003773E7">
      <w:pPr>
        <w:spacing w:line="276" w:lineRule="auto"/>
        <w:ind w:firstLine="720"/>
        <w:jc w:val="both"/>
      </w:pPr>
      <w:r w:rsidRPr="00DA6864">
        <w:t>atstāt negrozītu Administratīvās apgabaltiesas 202</w:t>
      </w:r>
      <w:r w:rsidR="00F20BBE">
        <w:t>3</w:t>
      </w:r>
      <w:r w:rsidRPr="00DA6864">
        <w:t xml:space="preserve">.gada </w:t>
      </w:r>
      <w:r w:rsidR="00F20BBE">
        <w:t>3.mart</w:t>
      </w:r>
      <w:r w:rsidRPr="00DA6864">
        <w:t xml:space="preserve">a spriedumu, bet </w:t>
      </w:r>
      <w:r w:rsidR="00F20BBE">
        <w:rPr>
          <w:color w:val="000000"/>
          <w:shd w:val="clear" w:color="auto" w:fill="FFFFFF"/>
        </w:rPr>
        <w:t>Valsts sociālās apdrošināšanas aģentūras</w:t>
      </w:r>
      <w:r w:rsidRPr="00DA6864">
        <w:t xml:space="preserve"> kasācijas sūdzību noraidīt.</w:t>
      </w:r>
    </w:p>
    <w:p w14:paraId="0F472291" w14:textId="77777777" w:rsidR="005716A2" w:rsidRDefault="005716A2" w:rsidP="003773E7">
      <w:pPr>
        <w:spacing w:line="276" w:lineRule="auto"/>
        <w:ind w:firstLine="720"/>
        <w:jc w:val="both"/>
        <w:rPr>
          <w:highlight w:val="yellow"/>
        </w:rPr>
      </w:pPr>
    </w:p>
    <w:p w14:paraId="3705C741" w14:textId="77777777" w:rsidR="005716A2" w:rsidRDefault="005716A2" w:rsidP="003773E7">
      <w:pPr>
        <w:spacing w:line="276" w:lineRule="auto"/>
        <w:ind w:firstLine="720"/>
        <w:jc w:val="both"/>
      </w:pPr>
      <w:r>
        <w:t>Spriedums nav pārsūdzams.</w:t>
      </w:r>
    </w:p>
    <w:p w14:paraId="73B9D364" w14:textId="77777777" w:rsidR="005716A2" w:rsidRDefault="005716A2" w:rsidP="00F15DD8">
      <w:pPr>
        <w:spacing w:line="276" w:lineRule="auto"/>
        <w:ind w:firstLine="720"/>
        <w:jc w:val="both"/>
        <w:rPr>
          <w:bCs/>
          <w:color w:val="FFFFFF"/>
        </w:rPr>
      </w:pPr>
    </w:p>
    <w:p w14:paraId="1239DA02" w14:textId="77777777" w:rsidR="005716A2" w:rsidRDefault="005716A2" w:rsidP="00A50FFF">
      <w:pPr>
        <w:spacing w:line="276" w:lineRule="auto"/>
        <w:jc w:val="both"/>
        <w:rPr>
          <w:bCs/>
          <w:color w:val="FFFFFF"/>
        </w:rPr>
      </w:pPr>
    </w:p>
    <w:p w14:paraId="49879F2E" w14:textId="77777777" w:rsidR="004B4824" w:rsidRPr="0083065B" w:rsidRDefault="004B4824" w:rsidP="00F15DD8">
      <w:pPr>
        <w:spacing w:line="276" w:lineRule="auto"/>
        <w:jc w:val="both"/>
        <w:rPr>
          <w:bCs/>
          <w:color w:val="FFFFFF"/>
        </w:rPr>
      </w:pPr>
    </w:p>
    <w:p w14:paraId="506D2EFB" w14:textId="77777777" w:rsidR="005716A2" w:rsidRPr="0083065B" w:rsidRDefault="005716A2" w:rsidP="00F15DD8">
      <w:pPr>
        <w:spacing w:line="276" w:lineRule="auto"/>
        <w:jc w:val="both"/>
        <w:rPr>
          <w:bCs/>
          <w:color w:val="FFFFFF"/>
        </w:rPr>
      </w:pPr>
    </w:p>
    <w:p w14:paraId="6DF7D1DF" w14:textId="77777777" w:rsidR="00613808" w:rsidRDefault="00613808" w:rsidP="00030291"/>
    <w:sectPr w:rsidR="00613808" w:rsidSect="005716A2">
      <w:footerReference w:type="even" r:id="rId9"/>
      <w:footerReference w:type="default" r:id="rId1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B2E8" w14:textId="77777777" w:rsidR="00357DB7" w:rsidRDefault="00357DB7">
      <w:r>
        <w:separator/>
      </w:r>
    </w:p>
  </w:endnote>
  <w:endnote w:type="continuationSeparator" w:id="0">
    <w:p w14:paraId="3738207D" w14:textId="77777777" w:rsidR="00357DB7" w:rsidRDefault="0035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7129" w14:textId="77777777" w:rsidR="003E36FE" w:rsidRDefault="001365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15E5F9" w14:textId="77777777" w:rsidR="003E36FE" w:rsidRDefault="003E3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1696" w14:textId="77777777" w:rsidR="003E36FE" w:rsidRDefault="00136595">
    <w:pPr>
      <w:pStyle w:val="Footer"/>
      <w:jc w:val="center"/>
      <w:rPr>
        <w:sz w:val="20"/>
        <w:szCs w:val="20"/>
      </w:rPr>
    </w:pPr>
    <w:r w:rsidRPr="00EA27D5">
      <w:rPr>
        <w:sz w:val="20"/>
        <w:szCs w:val="20"/>
      </w:rPr>
      <w:fldChar w:fldCharType="begin"/>
    </w:r>
    <w:r w:rsidRPr="00EA27D5">
      <w:rPr>
        <w:sz w:val="20"/>
        <w:szCs w:val="20"/>
      </w:rPr>
      <w:instrText>PAGE</w:instrText>
    </w:r>
    <w:r w:rsidRPr="00EA27D5">
      <w:rPr>
        <w:sz w:val="20"/>
        <w:szCs w:val="20"/>
      </w:rPr>
      <w:fldChar w:fldCharType="separate"/>
    </w:r>
    <w:r w:rsidRPr="00EA27D5">
      <w:rPr>
        <w:sz w:val="20"/>
        <w:szCs w:val="20"/>
      </w:rPr>
      <w:t>2</w:t>
    </w:r>
    <w:r w:rsidRPr="00EA27D5">
      <w:rPr>
        <w:sz w:val="20"/>
        <w:szCs w:val="20"/>
      </w:rPr>
      <w:fldChar w:fldCharType="end"/>
    </w:r>
    <w:r w:rsidRPr="00EA27D5">
      <w:rPr>
        <w:sz w:val="20"/>
        <w:szCs w:val="20"/>
      </w:rPr>
      <w:t xml:space="preserve"> no </w:t>
    </w:r>
    <w:r w:rsidRPr="00EA27D5">
      <w:rPr>
        <w:sz w:val="20"/>
        <w:szCs w:val="20"/>
      </w:rPr>
      <w:fldChar w:fldCharType="begin"/>
    </w:r>
    <w:r w:rsidRPr="00EA27D5">
      <w:rPr>
        <w:sz w:val="20"/>
        <w:szCs w:val="20"/>
      </w:rPr>
      <w:instrText>NUMPAGES</w:instrText>
    </w:r>
    <w:r w:rsidRPr="00EA27D5">
      <w:rPr>
        <w:sz w:val="20"/>
        <w:szCs w:val="20"/>
      </w:rPr>
      <w:fldChar w:fldCharType="separate"/>
    </w:r>
    <w:r w:rsidRPr="00EA27D5">
      <w:rPr>
        <w:sz w:val="20"/>
        <w:szCs w:val="20"/>
      </w:rPr>
      <w:t>2</w:t>
    </w:r>
    <w:r w:rsidRPr="00EA27D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59214" w14:textId="77777777" w:rsidR="00357DB7" w:rsidRDefault="00357DB7">
      <w:r>
        <w:separator/>
      </w:r>
    </w:p>
  </w:footnote>
  <w:footnote w:type="continuationSeparator" w:id="0">
    <w:p w14:paraId="4D7C5ED3" w14:textId="77777777" w:rsidR="00357DB7" w:rsidRDefault="00357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A6B40"/>
    <w:multiLevelType w:val="hybridMultilevel"/>
    <w:tmpl w:val="5B9E162C"/>
    <w:lvl w:ilvl="0" w:tplc="B3869662">
      <w:start w:val="1"/>
      <w:numFmt w:val="bullet"/>
      <w:lvlText w:val=""/>
      <w:lvlJc w:val="left"/>
      <w:pPr>
        <w:ind w:left="1429" w:hanging="360"/>
      </w:pPr>
      <w:rPr>
        <w:rFonts w:ascii="Symbol" w:hAnsi="Symbol" w:hint="default"/>
      </w:rPr>
    </w:lvl>
    <w:lvl w:ilvl="1" w:tplc="B2A849DC" w:tentative="1">
      <w:start w:val="1"/>
      <w:numFmt w:val="bullet"/>
      <w:lvlText w:val="o"/>
      <w:lvlJc w:val="left"/>
      <w:pPr>
        <w:ind w:left="2149" w:hanging="360"/>
      </w:pPr>
      <w:rPr>
        <w:rFonts w:ascii="Courier New" w:hAnsi="Courier New" w:cs="Courier New" w:hint="default"/>
      </w:rPr>
    </w:lvl>
    <w:lvl w:ilvl="2" w:tplc="10166D8A" w:tentative="1">
      <w:start w:val="1"/>
      <w:numFmt w:val="bullet"/>
      <w:lvlText w:val=""/>
      <w:lvlJc w:val="left"/>
      <w:pPr>
        <w:ind w:left="2869" w:hanging="360"/>
      </w:pPr>
      <w:rPr>
        <w:rFonts w:ascii="Wingdings" w:hAnsi="Wingdings" w:hint="default"/>
      </w:rPr>
    </w:lvl>
    <w:lvl w:ilvl="3" w:tplc="A8845048" w:tentative="1">
      <w:start w:val="1"/>
      <w:numFmt w:val="bullet"/>
      <w:lvlText w:val=""/>
      <w:lvlJc w:val="left"/>
      <w:pPr>
        <w:ind w:left="3589" w:hanging="360"/>
      </w:pPr>
      <w:rPr>
        <w:rFonts w:ascii="Symbol" w:hAnsi="Symbol" w:hint="default"/>
      </w:rPr>
    </w:lvl>
    <w:lvl w:ilvl="4" w:tplc="744ACB96" w:tentative="1">
      <w:start w:val="1"/>
      <w:numFmt w:val="bullet"/>
      <w:lvlText w:val="o"/>
      <w:lvlJc w:val="left"/>
      <w:pPr>
        <w:ind w:left="4309" w:hanging="360"/>
      </w:pPr>
      <w:rPr>
        <w:rFonts w:ascii="Courier New" w:hAnsi="Courier New" w:cs="Courier New" w:hint="default"/>
      </w:rPr>
    </w:lvl>
    <w:lvl w:ilvl="5" w:tplc="C0925786" w:tentative="1">
      <w:start w:val="1"/>
      <w:numFmt w:val="bullet"/>
      <w:lvlText w:val=""/>
      <w:lvlJc w:val="left"/>
      <w:pPr>
        <w:ind w:left="5029" w:hanging="360"/>
      </w:pPr>
      <w:rPr>
        <w:rFonts w:ascii="Wingdings" w:hAnsi="Wingdings" w:hint="default"/>
      </w:rPr>
    </w:lvl>
    <w:lvl w:ilvl="6" w:tplc="184A13FE" w:tentative="1">
      <w:start w:val="1"/>
      <w:numFmt w:val="bullet"/>
      <w:lvlText w:val=""/>
      <w:lvlJc w:val="left"/>
      <w:pPr>
        <w:ind w:left="5749" w:hanging="360"/>
      </w:pPr>
      <w:rPr>
        <w:rFonts w:ascii="Symbol" w:hAnsi="Symbol" w:hint="default"/>
      </w:rPr>
    </w:lvl>
    <w:lvl w:ilvl="7" w:tplc="477E3A32" w:tentative="1">
      <w:start w:val="1"/>
      <w:numFmt w:val="bullet"/>
      <w:lvlText w:val="o"/>
      <w:lvlJc w:val="left"/>
      <w:pPr>
        <w:ind w:left="6469" w:hanging="360"/>
      </w:pPr>
      <w:rPr>
        <w:rFonts w:ascii="Courier New" w:hAnsi="Courier New" w:cs="Courier New" w:hint="default"/>
      </w:rPr>
    </w:lvl>
    <w:lvl w:ilvl="8" w:tplc="149AD328" w:tentative="1">
      <w:start w:val="1"/>
      <w:numFmt w:val="bullet"/>
      <w:lvlText w:val=""/>
      <w:lvlJc w:val="left"/>
      <w:pPr>
        <w:ind w:left="7189" w:hanging="360"/>
      </w:pPr>
      <w:rPr>
        <w:rFonts w:ascii="Wingdings" w:hAnsi="Wingdings" w:hint="default"/>
      </w:rPr>
    </w:lvl>
  </w:abstractNum>
  <w:abstractNum w:abstractNumId="1" w15:restartNumberingAfterBreak="0">
    <w:nsid w:val="3F322A1F"/>
    <w:multiLevelType w:val="hybridMultilevel"/>
    <w:tmpl w:val="9574E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401C92"/>
    <w:multiLevelType w:val="hybridMultilevel"/>
    <w:tmpl w:val="14F8D806"/>
    <w:lvl w:ilvl="0" w:tplc="FB12648E">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4C96CEA"/>
    <w:multiLevelType w:val="hybridMultilevel"/>
    <w:tmpl w:val="8BA8556C"/>
    <w:lvl w:ilvl="0" w:tplc="0B169710">
      <w:start w:val="1"/>
      <w:numFmt w:val="bullet"/>
      <w:lvlText w:val=""/>
      <w:lvlJc w:val="left"/>
      <w:pPr>
        <w:ind w:left="1492" w:hanging="360"/>
      </w:pPr>
      <w:rPr>
        <w:rFonts w:ascii="Symbol" w:hAnsi="Symbol" w:hint="default"/>
      </w:rPr>
    </w:lvl>
    <w:lvl w:ilvl="1" w:tplc="B816B226" w:tentative="1">
      <w:start w:val="1"/>
      <w:numFmt w:val="bullet"/>
      <w:lvlText w:val="o"/>
      <w:lvlJc w:val="left"/>
      <w:pPr>
        <w:ind w:left="2212" w:hanging="360"/>
      </w:pPr>
      <w:rPr>
        <w:rFonts w:ascii="Courier New" w:hAnsi="Courier New" w:cs="Courier New" w:hint="default"/>
      </w:rPr>
    </w:lvl>
    <w:lvl w:ilvl="2" w:tplc="054A4A04" w:tentative="1">
      <w:start w:val="1"/>
      <w:numFmt w:val="bullet"/>
      <w:lvlText w:val=""/>
      <w:lvlJc w:val="left"/>
      <w:pPr>
        <w:ind w:left="2932" w:hanging="360"/>
      </w:pPr>
      <w:rPr>
        <w:rFonts w:ascii="Wingdings" w:hAnsi="Wingdings" w:hint="default"/>
      </w:rPr>
    </w:lvl>
    <w:lvl w:ilvl="3" w:tplc="132CEB56" w:tentative="1">
      <w:start w:val="1"/>
      <w:numFmt w:val="bullet"/>
      <w:lvlText w:val=""/>
      <w:lvlJc w:val="left"/>
      <w:pPr>
        <w:ind w:left="3652" w:hanging="360"/>
      </w:pPr>
      <w:rPr>
        <w:rFonts w:ascii="Symbol" w:hAnsi="Symbol" w:hint="default"/>
      </w:rPr>
    </w:lvl>
    <w:lvl w:ilvl="4" w:tplc="021C4E8E" w:tentative="1">
      <w:start w:val="1"/>
      <w:numFmt w:val="bullet"/>
      <w:lvlText w:val="o"/>
      <w:lvlJc w:val="left"/>
      <w:pPr>
        <w:ind w:left="4372" w:hanging="360"/>
      </w:pPr>
      <w:rPr>
        <w:rFonts w:ascii="Courier New" w:hAnsi="Courier New" w:cs="Courier New" w:hint="default"/>
      </w:rPr>
    </w:lvl>
    <w:lvl w:ilvl="5" w:tplc="19ECFC8E" w:tentative="1">
      <w:start w:val="1"/>
      <w:numFmt w:val="bullet"/>
      <w:lvlText w:val=""/>
      <w:lvlJc w:val="left"/>
      <w:pPr>
        <w:ind w:left="5092" w:hanging="360"/>
      </w:pPr>
      <w:rPr>
        <w:rFonts w:ascii="Wingdings" w:hAnsi="Wingdings" w:hint="default"/>
      </w:rPr>
    </w:lvl>
    <w:lvl w:ilvl="6" w:tplc="8C38C118" w:tentative="1">
      <w:start w:val="1"/>
      <w:numFmt w:val="bullet"/>
      <w:lvlText w:val=""/>
      <w:lvlJc w:val="left"/>
      <w:pPr>
        <w:ind w:left="5812" w:hanging="360"/>
      </w:pPr>
      <w:rPr>
        <w:rFonts w:ascii="Symbol" w:hAnsi="Symbol" w:hint="default"/>
      </w:rPr>
    </w:lvl>
    <w:lvl w:ilvl="7" w:tplc="5A667D1C" w:tentative="1">
      <w:start w:val="1"/>
      <w:numFmt w:val="bullet"/>
      <w:lvlText w:val="o"/>
      <w:lvlJc w:val="left"/>
      <w:pPr>
        <w:ind w:left="6532" w:hanging="360"/>
      </w:pPr>
      <w:rPr>
        <w:rFonts w:ascii="Courier New" w:hAnsi="Courier New" w:cs="Courier New" w:hint="default"/>
      </w:rPr>
    </w:lvl>
    <w:lvl w:ilvl="8" w:tplc="FAD0845C" w:tentative="1">
      <w:start w:val="1"/>
      <w:numFmt w:val="bullet"/>
      <w:lvlText w:val=""/>
      <w:lvlJc w:val="left"/>
      <w:pPr>
        <w:ind w:left="7252" w:hanging="360"/>
      </w:pPr>
      <w:rPr>
        <w:rFonts w:ascii="Wingdings" w:hAnsi="Wingdings" w:hint="default"/>
      </w:rPr>
    </w:lvl>
  </w:abstractNum>
  <w:abstractNum w:abstractNumId="4" w15:restartNumberingAfterBreak="0">
    <w:nsid w:val="7A3D4B53"/>
    <w:multiLevelType w:val="hybridMultilevel"/>
    <w:tmpl w:val="DCD0B810"/>
    <w:lvl w:ilvl="0" w:tplc="831E7E9A">
      <w:start w:val="1"/>
      <w:numFmt w:val="decimal"/>
      <w:lvlText w:val="%1."/>
      <w:lvlJc w:val="left"/>
      <w:pPr>
        <w:ind w:left="1429" w:hanging="360"/>
      </w:pPr>
      <w:rPr>
        <w:rFonts w:hint="default"/>
        <w:b w:val="0"/>
      </w:rPr>
    </w:lvl>
    <w:lvl w:ilvl="1" w:tplc="3E8E3714" w:tentative="1">
      <w:start w:val="1"/>
      <w:numFmt w:val="lowerLetter"/>
      <w:lvlText w:val="%2."/>
      <w:lvlJc w:val="left"/>
      <w:pPr>
        <w:ind w:left="2149" w:hanging="360"/>
      </w:pPr>
    </w:lvl>
    <w:lvl w:ilvl="2" w:tplc="8542C982" w:tentative="1">
      <w:start w:val="1"/>
      <w:numFmt w:val="lowerRoman"/>
      <w:lvlText w:val="%3."/>
      <w:lvlJc w:val="right"/>
      <w:pPr>
        <w:ind w:left="2869" w:hanging="180"/>
      </w:pPr>
    </w:lvl>
    <w:lvl w:ilvl="3" w:tplc="08AE59F6" w:tentative="1">
      <w:start w:val="1"/>
      <w:numFmt w:val="decimal"/>
      <w:lvlText w:val="%4."/>
      <w:lvlJc w:val="left"/>
      <w:pPr>
        <w:ind w:left="3589" w:hanging="360"/>
      </w:pPr>
    </w:lvl>
    <w:lvl w:ilvl="4" w:tplc="B3C8910C" w:tentative="1">
      <w:start w:val="1"/>
      <w:numFmt w:val="lowerLetter"/>
      <w:lvlText w:val="%5."/>
      <w:lvlJc w:val="left"/>
      <w:pPr>
        <w:ind w:left="4309" w:hanging="360"/>
      </w:pPr>
    </w:lvl>
    <w:lvl w:ilvl="5" w:tplc="E6421B24" w:tentative="1">
      <w:start w:val="1"/>
      <w:numFmt w:val="lowerRoman"/>
      <w:lvlText w:val="%6."/>
      <w:lvlJc w:val="right"/>
      <w:pPr>
        <w:ind w:left="5029" w:hanging="180"/>
      </w:pPr>
    </w:lvl>
    <w:lvl w:ilvl="6" w:tplc="885A48E0" w:tentative="1">
      <w:start w:val="1"/>
      <w:numFmt w:val="decimal"/>
      <w:lvlText w:val="%7."/>
      <w:lvlJc w:val="left"/>
      <w:pPr>
        <w:ind w:left="5749" w:hanging="360"/>
      </w:pPr>
    </w:lvl>
    <w:lvl w:ilvl="7" w:tplc="2B7E0116" w:tentative="1">
      <w:start w:val="1"/>
      <w:numFmt w:val="lowerLetter"/>
      <w:lvlText w:val="%8."/>
      <w:lvlJc w:val="left"/>
      <w:pPr>
        <w:ind w:left="6469" w:hanging="360"/>
      </w:pPr>
    </w:lvl>
    <w:lvl w:ilvl="8" w:tplc="0CEC27A4" w:tentative="1">
      <w:start w:val="1"/>
      <w:numFmt w:val="lowerRoman"/>
      <w:lvlText w:val="%9."/>
      <w:lvlJc w:val="right"/>
      <w:pPr>
        <w:ind w:left="7189" w:hanging="180"/>
      </w:pPr>
    </w:lvl>
  </w:abstractNum>
  <w:num w:numId="1" w16cid:durableId="1474373639">
    <w:abstractNumId w:val="4"/>
  </w:num>
  <w:num w:numId="2" w16cid:durableId="872771466">
    <w:abstractNumId w:val="0"/>
  </w:num>
  <w:num w:numId="3" w16cid:durableId="1836458031">
    <w:abstractNumId w:val="3"/>
  </w:num>
  <w:num w:numId="4" w16cid:durableId="1816021955">
    <w:abstractNumId w:val="1"/>
  </w:num>
  <w:num w:numId="5" w16cid:durableId="523059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6A2"/>
    <w:rsid w:val="00001425"/>
    <w:rsid w:val="0001239F"/>
    <w:rsid w:val="00025307"/>
    <w:rsid w:val="00030291"/>
    <w:rsid w:val="00033C52"/>
    <w:rsid w:val="00037D71"/>
    <w:rsid w:val="0005096F"/>
    <w:rsid w:val="00070C87"/>
    <w:rsid w:val="00076391"/>
    <w:rsid w:val="000A0ADB"/>
    <w:rsid w:val="000A32E1"/>
    <w:rsid w:val="000D256E"/>
    <w:rsid w:val="000D3961"/>
    <w:rsid w:val="000F1576"/>
    <w:rsid w:val="000F6FCC"/>
    <w:rsid w:val="0010553A"/>
    <w:rsid w:val="001068B8"/>
    <w:rsid w:val="0012186E"/>
    <w:rsid w:val="00134EB4"/>
    <w:rsid w:val="00136595"/>
    <w:rsid w:val="001418C3"/>
    <w:rsid w:val="001501B7"/>
    <w:rsid w:val="00153DD1"/>
    <w:rsid w:val="0015625C"/>
    <w:rsid w:val="001600AD"/>
    <w:rsid w:val="00170A41"/>
    <w:rsid w:val="001971FC"/>
    <w:rsid w:val="001A55B8"/>
    <w:rsid w:val="001C23C3"/>
    <w:rsid w:val="001C5F12"/>
    <w:rsid w:val="001C6427"/>
    <w:rsid w:val="001E46A5"/>
    <w:rsid w:val="001F0956"/>
    <w:rsid w:val="00207A56"/>
    <w:rsid w:val="002210E4"/>
    <w:rsid w:val="002329E7"/>
    <w:rsid w:val="00257CD3"/>
    <w:rsid w:val="002718AC"/>
    <w:rsid w:val="00277689"/>
    <w:rsid w:val="00280FB3"/>
    <w:rsid w:val="00292934"/>
    <w:rsid w:val="00293BCA"/>
    <w:rsid w:val="002A3F7F"/>
    <w:rsid w:val="002B12CB"/>
    <w:rsid w:val="002B5BA6"/>
    <w:rsid w:val="002C2965"/>
    <w:rsid w:val="002D425D"/>
    <w:rsid w:val="002D7D50"/>
    <w:rsid w:val="002E0F37"/>
    <w:rsid w:val="002E1310"/>
    <w:rsid w:val="002E7122"/>
    <w:rsid w:val="00304AAA"/>
    <w:rsid w:val="00357DB7"/>
    <w:rsid w:val="0036002D"/>
    <w:rsid w:val="003773E7"/>
    <w:rsid w:val="00384216"/>
    <w:rsid w:val="00391468"/>
    <w:rsid w:val="003941A7"/>
    <w:rsid w:val="003A62DA"/>
    <w:rsid w:val="003B0846"/>
    <w:rsid w:val="003C717E"/>
    <w:rsid w:val="003D5FD0"/>
    <w:rsid w:val="003E36FE"/>
    <w:rsid w:val="003F4C6F"/>
    <w:rsid w:val="003F7425"/>
    <w:rsid w:val="00400DF0"/>
    <w:rsid w:val="00402473"/>
    <w:rsid w:val="0041149F"/>
    <w:rsid w:val="00413959"/>
    <w:rsid w:val="00420A4B"/>
    <w:rsid w:val="00420C11"/>
    <w:rsid w:val="0042361C"/>
    <w:rsid w:val="00436AF3"/>
    <w:rsid w:val="00443F57"/>
    <w:rsid w:val="00472988"/>
    <w:rsid w:val="004848DB"/>
    <w:rsid w:val="00494BB7"/>
    <w:rsid w:val="004B409C"/>
    <w:rsid w:val="004B4824"/>
    <w:rsid w:val="004B7EF9"/>
    <w:rsid w:val="004C33F5"/>
    <w:rsid w:val="00502005"/>
    <w:rsid w:val="005033EA"/>
    <w:rsid w:val="00506D05"/>
    <w:rsid w:val="005136E1"/>
    <w:rsid w:val="00541098"/>
    <w:rsid w:val="00541E48"/>
    <w:rsid w:val="00547E65"/>
    <w:rsid w:val="00554C02"/>
    <w:rsid w:val="00565582"/>
    <w:rsid w:val="005716A2"/>
    <w:rsid w:val="00573751"/>
    <w:rsid w:val="00577408"/>
    <w:rsid w:val="005A59F6"/>
    <w:rsid w:val="005A5A7D"/>
    <w:rsid w:val="005B30C2"/>
    <w:rsid w:val="005D59D1"/>
    <w:rsid w:val="005D5C1C"/>
    <w:rsid w:val="005E218B"/>
    <w:rsid w:val="005F49B4"/>
    <w:rsid w:val="005F4C2C"/>
    <w:rsid w:val="00613808"/>
    <w:rsid w:val="00650937"/>
    <w:rsid w:val="0068311B"/>
    <w:rsid w:val="006A6B21"/>
    <w:rsid w:val="006C3A6D"/>
    <w:rsid w:val="006D3E47"/>
    <w:rsid w:val="006F7927"/>
    <w:rsid w:val="006F79E3"/>
    <w:rsid w:val="00715639"/>
    <w:rsid w:val="007206F1"/>
    <w:rsid w:val="00721DCA"/>
    <w:rsid w:val="00742600"/>
    <w:rsid w:val="00757C0F"/>
    <w:rsid w:val="00776DE0"/>
    <w:rsid w:val="007A5318"/>
    <w:rsid w:val="007B5871"/>
    <w:rsid w:val="007B7D1A"/>
    <w:rsid w:val="007D0223"/>
    <w:rsid w:val="007D643A"/>
    <w:rsid w:val="007E14FB"/>
    <w:rsid w:val="007E7E64"/>
    <w:rsid w:val="00812A9D"/>
    <w:rsid w:val="00825530"/>
    <w:rsid w:val="008277EF"/>
    <w:rsid w:val="008302E9"/>
    <w:rsid w:val="00840186"/>
    <w:rsid w:val="008417D7"/>
    <w:rsid w:val="00846E2C"/>
    <w:rsid w:val="0088518A"/>
    <w:rsid w:val="00885F16"/>
    <w:rsid w:val="008923E9"/>
    <w:rsid w:val="008A6151"/>
    <w:rsid w:val="008A7356"/>
    <w:rsid w:val="008B3114"/>
    <w:rsid w:val="008B728C"/>
    <w:rsid w:val="008C6180"/>
    <w:rsid w:val="00901D4D"/>
    <w:rsid w:val="00903504"/>
    <w:rsid w:val="00912516"/>
    <w:rsid w:val="009213FF"/>
    <w:rsid w:val="00937001"/>
    <w:rsid w:val="00950CB9"/>
    <w:rsid w:val="00954A29"/>
    <w:rsid w:val="00956C8A"/>
    <w:rsid w:val="00966620"/>
    <w:rsid w:val="009719E8"/>
    <w:rsid w:val="00980159"/>
    <w:rsid w:val="009844D6"/>
    <w:rsid w:val="009A16A1"/>
    <w:rsid w:val="009B0018"/>
    <w:rsid w:val="009E0170"/>
    <w:rsid w:val="009E5B44"/>
    <w:rsid w:val="009F0907"/>
    <w:rsid w:val="009F56AE"/>
    <w:rsid w:val="00A10D0B"/>
    <w:rsid w:val="00A17F6F"/>
    <w:rsid w:val="00A50FFF"/>
    <w:rsid w:val="00A53C62"/>
    <w:rsid w:val="00A54E0C"/>
    <w:rsid w:val="00A74388"/>
    <w:rsid w:val="00A9164D"/>
    <w:rsid w:val="00AB255B"/>
    <w:rsid w:val="00AD2513"/>
    <w:rsid w:val="00AE0B08"/>
    <w:rsid w:val="00AF37D9"/>
    <w:rsid w:val="00B07D38"/>
    <w:rsid w:val="00B1479D"/>
    <w:rsid w:val="00B2482A"/>
    <w:rsid w:val="00B30FB7"/>
    <w:rsid w:val="00B36AF2"/>
    <w:rsid w:val="00B42ED4"/>
    <w:rsid w:val="00B53183"/>
    <w:rsid w:val="00B55A41"/>
    <w:rsid w:val="00B56524"/>
    <w:rsid w:val="00B60C0F"/>
    <w:rsid w:val="00B6259D"/>
    <w:rsid w:val="00B815DF"/>
    <w:rsid w:val="00B82B33"/>
    <w:rsid w:val="00BA37DE"/>
    <w:rsid w:val="00BB0A06"/>
    <w:rsid w:val="00BB0D12"/>
    <w:rsid w:val="00BC045A"/>
    <w:rsid w:val="00BC12E6"/>
    <w:rsid w:val="00BD67C7"/>
    <w:rsid w:val="00BE19C1"/>
    <w:rsid w:val="00BE54AE"/>
    <w:rsid w:val="00C07BB0"/>
    <w:rsid w:val="00C33AA0"/>
    <w:rsid w:val="00C349EB"/>
    <w:rsid w:val="00C54FCC"/>
    <w:rsid w:val="00C705B3"/>
    <w:rsid w:val="00C87EBF"/>
    <w:rsid w:val="00CA4EAF"/>
    <w:rsid w:val="00CC6E25"/>
    <w:rsid w:val="00CE21B4"/>
    <w:rsid w:val="00CF24E0"/>
    <w:rsid w:val="00CF3AB0"/>
    <w:rsid w:val="00D003B9"/>
    <w:rsid w:val="00D027EB"/>
    <w:rsid w:val="00D03D20"/>
    <w:rsid w:val="00D1258B"/>
    <w:rsid w:val="00D13FD6"/>
    <w:rsid w:val="00D2395F"/>
    <w:rsid w:val="00D34BE8"/>
    <w:rsid w:val="00D3708F"/>
    <w:rsid w:val="00D37822"/>
    <w:rsid w:val="00D4413F"/>
    <w:rsid w:val="00D55314"/>
    <w:rsid w:val="00D5645A"/>
    <w:rsid w:val="00D669F9"/>
    <w:rsid w:val="00DB23F6"/>
    <w:rsid w:val="00DB334D"/>
    <w:rsid w:val="00DF1B8B"/>
    <w:rsid w:val="00DF67BD"/>
    <w:rsid w:val="00E04B94"/>
    <w:rsid w:val="00E162E9"/>
    <w:rsid w:val="00E17DEE"/>
    <w:rsid w:val="00E5735E"/>
    <w:rsid w:val="00E770FE"/>
    <w:rsid w:val="00E87365"/>
    <w:rsid w:val="00E9044F"/>
    <w:rsid w:val="00E90BF7"/>
    <w:rsid w:val="00EB255D"/>
    <w:rsid w:val="00EE2C97"/>
    <w:rsid w:val="00EE48E8"/>
    <w:rsid w:val="00EF2654"/>
    <w:rsid w:val="00F03723"/>
    <w:rsid w:val="00F068DB"/>
    <w:rsid w:val="00F07AD2"/>
    <w:rsid w:val="00F111DA"/>
    <w:rsid w:val="00F13DF3"/>
    <w:rsid w:val="00F15DD8"/>
    <w:rsid w:val="00F20BBE"/>
    <w:rsid w:val="00F2288C"/>
    <w:rsid w:val="00F27172"/>
    <w:rsid w:val="00F4134E"/>
    <w:rsid w:val="00F4478E"/>
    <w:rsid w:val="00F5354C"/>
    <w:rsid w:val="00F57A6E"/>
    <w:rsid w:val="00F658B8"/>
    <w:rsid w:val="00F6783E"/>
    <w:rsid w:val="00F73D9E"/>
    <w:rsid w:val="00F8059D"/>
    <w:rsid w:val="00F82639"/>
    <w:rsid w:val="00F92539"/>
    <w:rsid w:val="00FA5925"/>
    <w:rsid w:val="00FA684C"/>
    <w:rsid w:val="00FB2030"/>
    <w:rsid w:val="00FB47D8"/>
    <w:rsid w:val="00FB7655"/>
    <w:rsid w:val="00FC7A5C"/>
    <w:rsid w:val="00FE4210"/>
    <w:rsid w:val="00FE5E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139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6A2"/>
    <w:pPr>
      <w:spacing w:after="0" w:line="240" w:lineRule="auto"/>
    </w:pPr>
    <w:rPr>
      <w:rFonts w:eastAsia="Times New Roman" w:cs="Times New Roman"/>
      <w:kern w:val="0"/>
      <w:szCs w:val="24"/>
      <w:lang w:val="lv-LV" w:eastAsia="lv-LV"/>
      <w14:ligatures w14:val="none"/>
    </w:rPr>
  </w:style>
  <w:style w:type="paragraph" w:styleId="Heading3">
    <w:name w:val="heading 3"/>
    <w:basedOn w:val="Normal"/>
    <w:next w:val="Normal"/>
    <w:link w:val="Heading3Char"/>
    <w:uiPriority w:val="9"/>
    <w:semiHidden/>
    <w:unhideWhenUsed/>
    <w:qFormat/>
    <w:rsid w:val="005716A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716A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716A2"/>
    <w:rPr>
      <w:rFonts w:asciiTheme="majorHAnsi" w:eastAsiaTheme="majorEastAsia" w:hAnsiTheme="majorHAnsi" w:cstheme="majorBidi"/>
      <w:color w:val="1F3763" w:themeColor="accent1" w:themeShade="7F"/>
      <w:kern w:val="0"/>
      <w:szCs w:val="24"/>
      <w:lang w:val="lv-LV" w:eastAsia="lv-LV"/>
      <w14:ligatures w14:val="none"/>
    </w:rPr>
  </w:style>
  <w:style w:type="character" w:customStyle="1" w:styleId="Heading4Char">
    <w:name w:val="Heading 4 Char"/>
    <w:basedOn w:val="DefaultParagraphFont"/>
    <w:link w:val="Heading4"/>
    <w:uiPriority w:val="9"/>
    <w:semiHidden/>
    <w:rsid w:val="005716A2"/>
    <w:rPr>
      <w:rFonts w:asciiTheme="majorHAnsi" w:eastAsiaTheme="majorEastAsia" w:hAnsiTheme="majorHAnsi" w:cstheme="majorBidi"/>
      <w:i/>
      <w:iCs/>
      <w:color w:val="2F5496" w:themeColor="accent1" w:themeShade="BF"/>
      <w:kern w:val="0"/>
      <w:szCs w:val="24"/>
      <w:lang w:val="lv-LV" w:eastAsia="lv-LV"/>
      <w14:ligatures w14:val="none"/>
    </w:rPr>
  </w:style>
  <w:style w:type="paragraph" w:styleId="Footer">
    <w:name w:val="footer"/>
    <w:basedOn w:val="Normal"/>
    <w:link w:val="FooterChar"/>
    <w:uiPriority w:val="99"/>
    <w:rsid w:val="005716A2"/>
    <w:pPr>
      <w:tabs>
        <w:tab w:val="center" w:pos="4153"/>
        <w:tab w:val="right" w:pos="8306"/>
      </w:tabs>
    </w:pPr>
  </w:style>
  <w:style w:type="character" w:customStyle="1" w:styleId="FooterChar">
    <w:name w:val="Footer Char"/>
    <w:basedOn w:val="DefaultParagraphFont"/>
    <w:link w:val="Footer"/>
    <w:uiPriority w:val="99"/>
    <w:rsid w:val="005716A2"/>
    <w:rPr>
      <w:rFonts w:eastAsia="Times New Roman" w:cs="Times New Roman"/>
      <w:kern w:val="0"/>
      <w:szCs w:val="24"/>
      <w:lang w:val="lv-LV" w:eastAsia="lv-LV"/>
      <w14:ligatures w14:val="none"/>
    </w:rPr>
  </w:style>
  <w:style w:type="character" w:styleId="PageNumber">
    <w:name w:val="page number"/>
    <w:basedOn w:val="DefaultParagraphFont"/>
    <w:rsid w:val="005716A2"/>
  </w:style>
  <w:style w:type="paragraph" w:styleId="Header">
    <w:name w:val="header"/>
    <w:basedOn w:val="Normal"/>
    <w:link w:val="HeaderChar"/>
    <w:rsid w:val="005716A2"/>
    <w:pPr>
      <w:tabs>
        <w:tab w:val="center" w:pos="4153"/>
        <w:tab w:val="right" w:pos="8306"/>
      </w:tabs>
    </w:pPr>
  </w:style>
  <w:style w:type="character" w:customStyle="1" w:styleId="HeaderChar">
    <w:name w:val="Header Char"/>
    <w:basedOn w:val="DefaultParagraphFont"/>
    <w:link w:val="Header"/>
    <w:rsid w:val="005716A2"/>
    <w:rPr>
      <w:rFonts w:eastAsia="Times New Roman" w:cs="Times New Roman"/>
      <w:kern w:val="0"/>
      <w:szCs w:val="24"/>
      <w:lang w:val="lv-LV" w:eastAsia="lv-LV"/>
      <w14:ligatures w14:val="none"/>
    </w:rPr>
  </w:style>
  <w:style w:type="paragraph" w:styleId="NoSpacing">
    <w:name w:val="No Spacing"/>
    <w:uiPriority w:val="1"/>
    <w:qFormat/>
    <w:rsid w:val="005716A2"/>
    <w:pPr>
      <w:spacing w:after="0" w:line="240" w:lineRule="auto"/>
    </w:pPr>
    <w:rPr>
      <w:rFonts w:eastAsia="Times New Roman" w:cs="Times New Roman"/>
      <w:kern w:val="0"/>
      <w:szCs w:val="24"/>
      <w:lang w:val="lv-LV" w:eastAsia="lv-LV"/>
      <w14:ligatures w14:val="none"/>
    </w:rPr>
  </w:style>
  <w:style w:type="character" w:styleId="CommentReference">
    <w:name w:val="annotation reference"/>
    <w:basedOn w:val="DefaultParagraphFont"/>
    <w:uiPriority w:val="99"/>
    <w:semiHidden/>
    <w:unhideWhenUsed/>
    <w:rsid w:val="005716A2"/>
    <w:rPr>
      <w:sz w:val="16"/>
      <w:szCs w:val="16"/>
    </w:rPr>
  </w:style>
  <w:style w:type="paragraph" w:styleId="CommentText">
    <w:name w:val="annotation text"/>
    <w:basedOn w:val="Normal"/>
    <w:link w:val="CommentTextChar"/>
    <w:uiPriority w:val="99"/>
    <w:unhideWhenUsed/>
    <w:rsid w:val="005716A2"/>
    <w:rPr>
      <w:sz w:val="20"/>
      <w:szCs w:val="20"/>
    </w:rPr>
  </w:style>
  <w:style w:type="character" w:customStyle="1" w:styleId="CommentTextChar">
    <w:name w:val="Comment Text Char"/>
    <w:basedOn w:val="DefaultParagraphFont"/>
    <w:link w:val="CommentText"/>
    <w:uiPriority w:val="99"/>
    <w:rsid w:val="005716A2"/>
    <w:rPr>
      <w:rFonts w:eastAsia="Times New Roman" w:cs="Times New Roman"/>
      <w:kern w:val="0"/>
      <w:sz w:val="20"/>
      <w:szCs w:val="20"/>
      <w:lang w:val="lv-LV" w:eastAsia="lv-LV"/>
      <w14:ligatures w14:val="none"/>
    </w:rPr>
  </w:style>
  <w:style w:type="character" w:styleId="Hyperlink">
    <w:name w:val="Hyperlink"/>
    <w:basedOn w:val="DefaultParagraphFont"/>
    <w:uiPriority w:val="99"/>
    <w:unhideWhenUsed/>
    <w:rsid w:val="005716A2"/>
    <w:rPr>
      <w:color w:val="0563C1" w:themeColor="hyperlink"/>
      <w:u w:val="single"/>
    </w:rPr>
  </w:style>
  <w:style w:type="character" w:styleId="UnresolvedMention">
    <w:name w:val="Unresolved Mention"/>
    <w:basedOn w:val="DefaultParagraphFont"/>
    <w:uiPriority w:val="99"/>
    <w:semiHidden/>
    <w:unhideWhenUsed/>
    <w:rsid w:val="005716A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716A2"/>
    <w:rPr>
      <w:b/>
      <w:bCs/>
    </w:rPr>
  </w:style>
  <w:style w:type="character" w:customStyle="1" w:styleId="CommentSubjectChar">
    <w:name w:val="Comment Subject Char"/>
    <w:basedOn w:val="CommentTextChar"/>
    <w:link w:val="CommentSubject"/>
    <w:uiPriority w:val="99"/>
    <w:semiHidden/>
    <w:rsid w:val="005716A2"/>
    <w:rPr>
      <w:rFonts w:eastAsia="Times New Roman" w:cs="Times New Roman"/>
      <w:b/>
      <w:bCs/>
      <w:kern w:val="0"/>
      <w:sz w:val="20"/>
      <w:szCs w:val="20"/>
      <w:lang w:val="lv-LV" w:eastAsia="lv-LV"/>
      <w14:ligatures w14:val="none"/>
    </w:rPr>
  </w:style>
  <w:style w:type="paragraph" w:styleId="BodyText">
    <w:name w:val="Body Text"/>
    <w:basedOn w:val="Normal"/>
    <w:link w:val="BodyTextChar"/>
    <w:uiPriority w:val="99"/>
    <w:semiHidden/>
    <w:unhideWhenUsed/>
    <w:rsid w:val="005716A2"/>
    <w:pPr>
      <w:spacing w:after="120"/>
    </w:pPr>
  </w:style>
  <w:style w:type="character" w:customStyle="1" w:styleId="BodyTextChar">
    <w:name w:val="Body Text Char"/>
    <w:basedOn w:val="DefaultParagraphFont"/>
    <w:link w:val="BodyText"/>
    <w:uiPriority w:val="99"/>
    <w:semiHidden/>
    <w:rsid w:val="005716A2"/>
    <w:rPr>
      <w:rFonts w:eastAsia="Times New Roman" w:cs="Times New Roman"/>
      <w:kern w:val="0"/>
      <w:szCs w:val="24"/>
      <w:lang w:val="lv-LV" w:eastAsia="lv-LV"/>
      <w14:ligatures w14:val="none"/>
    </w:rPr>
  </w:style>
  <w:style w:type="character" w:styleId="FollowedHyperlink">
    <w:name w:val="FollowedHyperlink"/>
    <w:basedOn w:val="DefaultParagraphFont"/>
    <w:uiPriority w:val="99"/>
    <w:semiHidden/>
    <w:unhideWhenUsed/>
    <w:rsid w:val="005716A2"/>
    <w:rPr>
      <w:color w:val="954F72" w:themeColor="followedHyperlink"/>
      <w:u w:val="single"/>
    </w:rPr>
  </w:style>
  <w:style w:type="character" w:customStyle="1" w:styleId="CharStyle3">
    <w:name w:val="Char Style 3"/>
    <w:basedOn w:val="DefaultParagraphFont"/>
    <w:link w:val="Style2"/>
    <w:locked/>
    <w:rsid w:val="00825530"/>
    <w:rPr>
      <w:shd w:val="clear" w:color="auto" w:fill="FFFFFF"/>
    </w:rPr>
  </w:style>
  <w:style w:type="paragraph" w:customStyle="1" w:styleId="Style2">
    <w:name w:val="Style 2"/>
    <w:basedOn w:val="Normal"/>
    <w:link w:val="CharStyle3"/>
    <w:rsid w:val="00825530"/>
    <w:pPr>
      <w:widowControl w:val="0"/>
      <w:shd w:val="clear" w:color="auto" w:fill="FFFFFF"/>
      <w:spacing w:after="340" w:line="274" w:lineRule="exact"/>
      <w:ind w:hanging="3840"/>
      <w:jc w:val="right"/>
    </w:pPr>
    <w:rPr>
      <w:rFonts w:eastAsiaTheme="minorHAnsi" w:cstheme="minorBidi"/>
      <w:kern w:val="2"/>
      <w:szCs w:val="22"/>
      <w:shd w:val="clear" w:color="auto" w:fill="FFFFFF"/>
      <w:lang w:val="en-US" w:eastAsia="en-US"/>
      <w14:ligatures w14:val="standardContextual"/>
    </w:rPr>
  </w:style>
  <w:style w:type="paragraph" w:styleId="ListParagraph">
    <w:name w:val="List Paragraph"/>
    <w:basedOn w:val="Normal"/>
    <w:qFormat/>
    <w:rsid w:val="00170A41"/>
    <w:pPr>
      <w:widowControl w:val="0"/>
      <w:ind w:left="720"/>
      <w:contextualSpacing/>
    </w:pPr>
    <w:rPr>
      <w:rFonts w:eastAsia="Calibri"/>
      <w:szCs w:val="22"/>
      <w:lang w:eastAsia="en-US"/>
    </w:rPr>
  </w:style>
  <w:style w:type="character" w:customStyle="1" w:styleId="wordword-785-8-4">
    <w:name w:val="word word-785-8-4"/>
    <w:rsid w:val="00170A41"/>
  </w:style>
  <w:style w:type="paragraph" w:customStyle="1" w:styleId="mt-translation">
    <w:name w:val="mt-translation"/>
    <w:basedOn w:val="Normal"/>
    <w:rsid w:val="00170A41"/>
    <w:pPr>
      <w:spacing w:before="100" w:beforeAutospacing="1" w:after="100" w:afterAutospacing="1"/>
    </w:pPr>
  </w:style>
  <w:style w:type="character" w:customStyle="1" w:styleId="phrasephrase-785-0-1-2-3-4-5-6-7-8-0-1-2-3-4-5-6">
    <w:name w:val="phrase phrase-785-0-1-2-3-4-5-6-7-8-0-1-2-3-4-5-6"/>
    <w:rsid w:val="00170A41"/>
  </w:style>
  <w:style w:type="character" w:customStyle="1" w:styleId="wordword-785-2-0">
    <w:name w:val="word word-785-2-0"/>
    <w:rsid w:val="00170A41"/>
  </w:style>
  <w:style w:type="character" w:customStyle="1" w:styleId="wordword-785-5-1">
    <w:name w:val="word word-785-5-1"/>
    <w:rsid w:val="00170A41"/>
  </w:style>
  <w:style w:type="character" w:customStyle="1" w:styleId="wordword-785-4-2word-785-6-2">
    <w:name w:val="word word-785-4-2 word-785-6-2"/>
    <w:rsid w:val="00170A41"/>
  </w:style>
  <w:style w:type="character" w:customStyle="1" w:styleId="wordword-785-7-3">
    <w:name w:val="word word-785-7-3"/>
    <w:rsid w:val="00170A41"/>
  </w:style>
  <w:style w:type="character" w:customStyle="1" w:styleId="wordword-785-3-5">
    <w:name w:val="word word-785-3-5"/>
    <w:rsid w:val="00170A41"/>
  </w:style>
  <w:style w:type="character" w:customStyle="1" w:styleId="wordword-785-0-6word-785-1-6">
    <w:name w:val="word word-785-0-6 word-785-1-6"/>
    <w:rsid w:val="00170A41"/>
  </w:style>
  <w:style w:type="character" w:customStyle="1" w:styleId="phrasephrase-21-0-1-2-3-4-5-6-7-8-0-1-2-3-4-5">
    <w:name w:val="phrase phrase-21-0-1-2-3-4-5-6-7-8-0-1-2-3-4-5"/>
    <w:rsid w:val="00170A41"/>
  </w:style>
  <w:style w:type="character" w:customStyle="1" w:styleId="wordword-21-5-5word-21-7-5">
    <w:name w:val="word word-21-5-5 word-21-7-5"/>
    <w:rsid w:val="00170A41"/>
  </w:style>
  <w:style w:type="paragraph" w:customStyle="1" w:styleId="tv213">
    <w:name w:val="tv213"/>
    <w:basedOn w:val="Normal"/>
    <w:rsid w:val="002E1310"/>
    <w:pPr>
      <w:spacing w:before="100" w:beforeAutospacing="1" w:after="100" w:afterAutospacing="1"/>
    </w:pPr>
    <w:rPr>
      <w:lang w:val="en-US" w:eastAsia="en-US"/>
    </w:rPr>
  </w:style>
  <w:style w:type="paragraph" w:customStyle="1" w:styleId="labojumupamats">
    <w:name w:val="labojumu_pamats"/>
    <w:basedOn w:val="Normal"/>
    <w:rsid w:val="00506D05"/>
    <w:pPr>
      <w:spacing w:before="100" w:beforeAutospacing="1" w:after="100" w:afterAutospacing="1"/>
    </w:pPr>
    <w:rPr>
      <w:lang w:val="en-US" w:eastAsia="en-US"/>
    </w:rPr>
  </w:style>
  <w:style w:type="paragraph" w:styleId="Revision">
    <w:name w:val="Revision"/>
    <w:hidden/>
    <w:uiPriority w:val="99"/>
    <w:semiHidden/>
    <w:rsid w:val="008A6151"/>
    <w:pPr>
      <w:spacing w:after="0" w:line="240" w:lineRule="auto"/>
    </w:pPr>
    <w:rPr>
      <w:rFonts w:eastAsia="Times New Roman" w:cs="Times New Roman"/>
      <w:kern w:val="0"/>
      <w:szCs w:val="24"/>
      <w:lang w:val="lv-LV" w:eastAsia="lv-LV"/>
      <w14:ligatures w14:val="none"/>
    </w:rPr>
  </w:style>
  <w:style w:type="paragraph" w:customStyle="1" w:styleId="Default">
    <w:name w:val="Default"/>
    <w:rsid w:val="00384216"/>
    <w:pPr>
      <w:autoSpaceDE w:val="0"/>
      <w:autoSpaceDN w:val="0"/>
      <w:adjustRightInd w:val="0"/>
      <w:spacing w:after="0" w:line="240" w:lineRule="auto"/>
    </w:pPr>
    <w:rPr>
      <w:rFonts w:cs="Times New Roman"/>
      <w:color w:val="000000"/>
      <w:kern w:val="0"/>
      <w:szCs w:val="24"/>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7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ac3547e0-c875-4e68-a221-b018c545c02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1003D-6D51-432A-BBE3-4FF6EF0D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10682</Words>
  <Characters>6090</Characters>
  <Application>Microsoft Office Word</Application>
  <DocSecurity>0</DocSecurity>
  <Lines>50</Lines>
  <Paragraphs>33</Paragraphs>
  <ScaleCrop>false</ScaleCrop>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2026-02-09T16:38:00Z</dcterms:created>
  <dcterms:modified xsi:type="dcterms:W3CDTF">2026-02-09T16:38:00Z</dcterms:modified>
</cp:coreProperties>
</file>