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D428C" w14:textId="089565C7" w:rsidR="00137388" w:rsidRDefault="00137388" w:rsidP="00137388">
      <w:pPr>
        <w:tabs>
          <w:tab w:val="left" w:pos="8505"/>
        </w:tabs>
        <w:spacing w:line="276" w:lineRule="auto"/>
        <w:jc w:val="both"/>
        <w:rPr>
          <w:b/>
          <w:bCs/>
          <w:color w:val="000000"/>
        </w:rPr>
      </w:pPr>
      <w:r>
        <w:rPr>
          <w:b/>
          <w:bCs/>
          <w:color w:val="000000"/>
        </w:rPr>
        <w:t>Valsts atbalsta piešķiršana Covid-19 krīzes skartajiem uzņēmumiem apgrozāmo līdzekļu plūsmas nodrošināšanai, ja apgrozījuma samazinājums ir netieši saistīts ar saimnieciskās darbības ierobežojumiem</w:t>
      </w:r>
    </w:p>
    <w:p w14:paraId="2CF457E8" w14:textId="48C43ADC" w:rsidR="003047F5" w:rsidRPr="00402239" w:rsidRDefault="003047F5" w:rsidP="00137388">
      <w:pPr>
        <w:pStyle w:val="BodyText2"/>
        <w:spacing w:line="276" w:lineRule="auto"/>
      </w:pPr>
    </w:p>
    <w:p w14:paraId="5B96512A" w14:textId="36998C4C" w:rsidR="006B7BBC" w:rsidRPr="00137388" w:rsidRDefault="006B7BBC" w:rsidP="00137388">
      <w:pPr>
        <w:spacing w:line="276" w:lineRule="auto"/>
        <w:jc w:val="center"/>
        <w:rPr>
          <w:b/>
        </w:rPr>
      </w:pPr>
      <w:r w:rsidRPr="00137388">
        <w:rPr>
          <w:b/>
        </w:rPr>
        <w:t>Latvijas Republikas Senāt</w:t>
      </w:r>
      <w:r w:rsidR="00137388" w:rsidRPr="00137388">
        <w:rPr>
          <w:b/>
        </w:rPr>
        <w:t>a</w:t>
      </w:r>
      <w:r w:rsidR="00137388" w:rsidRPr="00137388">
        <w:rPr>
          <w:b/>
        </w:rPr>
        <w:br/>
        <w:t>Administratīvo lietu departamenta</w:t>
      </w:r>
      <w:r w:rsidR="00137388" w:rsidRPr="00137388">
        <w:rPr>
          <w:b/>
        </w:rPr>
        <w:br/>
        <w:t>2025.gada 27.novembra</w:t>
      </w:r>
    </w:p>
    <w:p w14:paraId="451F4E5D" w14:textId="77777777" w:rsidR="00137388" w:rsidRPr="00137388" w:rsidRDefault="0089619C" w:rsidP="00137388">
      <w:pPr>
        <w:spacing w:line="276" w:lineRule="auto"/>
        <w:jc w:val="center"/>
        <w:rPr>
          <w:b/>
        </w:rPr>
      </w:pPr>
      <w:r w:rsidRPr="00137388">
        <w:rPr>
          <w:b/>
        </w:rPr>
        <w:t>SPRIEDUMS</w:t>
      </w:r>
    </w:p>
    <w:p w14:paraId="3F9F44A4" w14:textId="5B7F7E5B" w:rsidR="00137388" w:rsidRPr="00137388" w:rsidRDefault="00137388" w:rsidP="00137388">
      <w:pPr>
        <w:spacing w:line="276" w:lineRule="auto"/>
        <w:jc w:val="center"/>
        <w:rPr>
          <w:b/>
          <w:bCs/>
        </w:rPr>
      </w:pPr>
      <w:r w:rsidRPr="00137388">
        <w:rPr>
          <w:b/>
          <w:bCs/>
        </w:rPr>
        <w:t>Lieta Nr. </w:t>
      </w:r>
      <w:r w:rsidRPr="00137388">
        <w:rPr>
          <w:b/>
          <w:bCs/>
          <w:color w:val="000000"/>
          <w:lang w:val="en-US"/>
        </w:rPr>
        <w:t>A420191022</w:t>
      </w:r>
      <w:r w:rsidRPr="00137388">
        <w:rPr>
          <w:b/>
          <w:bCs/>
          <w:lang w:eastAsia="lv-LV"/>
        </w:rPr>
        <w:t xml:space="preserve">, </w:t>
      </w:r>
      <w:r w:rsidRPr="00137388">
        <w:rPr>
          <w:b/>
          <w:bCs/>
          <w:color w:val="000000"/>
        </w:rPr>
        <w:t>SKA-117/2025</w:t>
      </w:r>
    </w:p>
    <w:p w14:paraId="50829330" w14:textId="72EF9B71" w:rsidR="00137388" w:rsidRPr="00137388" w:rsidRDefault="00137388" w:rsidP="00137388">
      <w:pPr>
        <w:spacing w:line="276" w:lineRule="auto"/>
        <w:jc w:val="center"/>
        <w:rPr>
          <w:color w:val="0000ED"/>
        </w:rPr>
      </w:pPr>
      <w:r w:rsidRPr="00137388">
        <w:t xml:space="preserve"> </w:t>
      </w:r>
      <w:hyperlink r:id="rId8" w:history="1">
        <w:r w:rsidRPr="00137388">
          <w:rPr>
            <w:rStyle w:val="Hyperlink"/>
          </w:rPr>
          <w:t>ECLI:LV:AT:2025:1127.A420191022.9.S</w:t>
        </w:r>
      </w:hyperlink>
    </w:p>
    <w:p w14:paraId="6D21173C" w14:textId="77777777" w:rsidR="00137388" w:rsidRPr="00137388" w:rsidRDefault="00137388" w:rsidP="00137388">
      <w:pPr>
        <w:spacing w:line="276" w:lineRule="auto"/>
        <w:jc w:val="center"/>
        <w:rPr>
          <w:b/>
        </w:rPr>
      </w:pPr>
    </w:p>
    <w:p w14:paraId="19AFEF33" w14:textId="4A568E43" w:rsidR="006B7BBC" w:rsidRPr="00402239" w:rsidRDefault="00F920D4" w:rsidP="00137388">
      <w:pPr>
        <w:spacing w:line="276" w:lineRule="auto"/>
        <w:ind w:firstLine="720"/>
        <w:jc w:val="both"/>
      </w:pPr>
      <w:r w:rsidRPr="00402239">
        <w:t>Senāts</w:t>
      </w:r>
      <w:r w:rsidR="006B7BBC" w:rsidRPr="00402239">
        <w:t xml:space="preserve"> šādā sastāvā: senator</w:t>
      </w:r>
      <w:r w:rsidR="007D5322" w:rsidRPr="00402239">
        <w:t>e</w:t>
      </w:r>
      <w:r w:rsidR="006600A3" w:rsidRPr="00402239">
        <w:t xml:space="preserve"> referente</w:t>
      </w:r>
      <w:r w:rsidR="000A1825" w:rsidRPr="00402239">
        <w:t xml:space="preserve"> </w:t>
      </w:r>
      <w:r w:rsidR="009500C4">
        <w:t>Vēsma Kakste</w:t>
      </w:r>
      <w:r w:rsidR="000A1825" w:rsidRPr="00402239">
        <w:t xml:space="preserve">, </w:t>
      </w:r>
      <w:r w:rsidR="006600A3" w:rsidRPr="00402239">
        <w:t>senator</w:t>
      </w:r>
      <w:r w:rsidR="009657BA">
        <w:t>i</w:t>
      </w:r>
      <w:r w:rsidR="009500C4">
        <w:t xml:space="preserve"> Jānis Pleps </w:t>
      </w:r>
      <w:r w:rsidR="00102EE3" w:rsidRPr="00402239">
        <w:t>un</w:t>
      </w:r>
      <w:r w:rsidR="009500C4">
        <w:t xml:space="preserve"> Līvija Slica</w:t>
      </w:r>
    </w:p>
    <w:p w14:paraId="3049557F" w14:textId="77777777" w:rsidR="003047F5" w:rsidRPr="00402239" w:rsidRDefault="003047F5" w:rsidP="00137388">
      <w:pPr>
        <w:spacing w:line="276" w:lineRule="auto"/>
        <w:ind w:firstLine="720"/>
        <w:jc w:val="both"/>
      </w:pPr>
    </w:p>
    <w:p w14:paraId="4045D4F9" w14:textId="2ACE19AE" w:rsidR="00485C7C" w:rsidRDefault="00485C7C" w:rsidP="00137388">
      <w:pPr>
        <w:spacing w:line="276" w:lineRule="auto"/>
        <w:ind w:firstLine="720"/>
        <w:jc w:val="both"/>
      </w:pPr>
      <w:r w:rsidRPr="00402239">
        <w:t xml:space="preserve">rakstveida procesā izskatīja administratīvo lietu, kas ierosināta, pamatojoties uz </w:t>
      </w:r>
      <w:r w:rsidR="00781687" w:rsidRPr="00EF5D2D">
        <w:t>SIA</w:t>
      </w:r>
      <w:r w:rsidR="004026C3">
        <w:t> </w:t>
      </w:r>
      <w:r w:rsidR="00781687" w:rsidRPr="00667574">
        <w:t>„SALAS ZIVIS”</w:t>
      </w:r>
      <w:r w:rsidR="00781687">
        <w:t xml:space="preserve"> </w:t>
      </w:r>
      <w:r w:rsidR="002C49D2" w:rsidRPr="00402239">
        <w:t xml:space="preserve">pieteikumu </w:t>
      </w:r>
      <w:r w:rsidR="00216297">
        <w:t xml:space="preserve">par labvēlīga administratīvā akta </w:t>
      </w:r>
      <w:r w:rsidR="009657BA">
        <w:t xml:space="preserve">par </w:t>
      </w:r>
      <w:r w:rsidR="00216297">
        <w:t>atbalst</w:t>
      </w:r>
      <w:r w:rsidR="009657BA">
        <w:t>u</w:t>
      </w:r>
      <w:r w:rsidR="00216297">
        <w:t xml:space="preserve"> apgrozāmo līdzekļu plūsmas krituma kompensēšanai par 2021.gada </w:t>
      </w:r>
      <w:r w:rsidR="009657BA">
        <w:t>oktobri un novembri</w:t>
      </w:r>
      <w:r w:rsidR="00216297">
        <w:t xml:space="preserve"> izdošanu, </w:t>
      </w:r>
      <w:r w:rsidR="00102EE3" w:rsidRPr="00402239">
        <w:t xml:space="preserve">sakarā ar </w:t>
      </w:r>
      <w:r w:rsidR="00781687" w:rsidRPr="00667574">
        <w:t>SIA</w:t>
      </w:r>
      <w:r w:rsidR="004026C3">
        <w:t> </w:t>
      </w:r>
      <w:r w:rsidR="00781687" w:rsidRPr="00667574">
        <w:t>„SALAS ZIVIS”</w:t>
      </w:r>
      <w:r w:rsidR="00781687">
        <w:t xml:space="preserve"> </w:t>
      </w:r>
      <w:r w:rsidR="00781687" w:rsidRPr="001729C9">
        <w:t>kasācijas sūdzīb</w:t>
      </w:r>
      <w:r w:rsidR="00781687">
        <w:t>u</w:t>
      </w:r>
      <w:r w:rsidR="00781687" w:rsidRPr="001729C9">
        <w:t xml:space="preserve"> par </w:t>
      </w:r>
      <w:r w:rsidR="00781687">
        <w:t>Administratīvās apgabaltiesas 2023.gada 16.oktobra spriedumu.</w:t>
      </w:r>
    </w:p>
    <w:p w14:paraId="2B10EF3C" w14:textId="77777777" w:rsidR="009657BA" w:rsidRPr="00402239" w:rsidRDefault="009657BA" w:rsidP="00137388">
      <w:pPr>
        <w:spacing w:line="276" w:lineRule="auto"/>
        <w:ind w:firstLine="720"/>
        <w:jc w:val="both"/>
      </w:pPr>
    </w:p>
    <w:p w14:paraId="49301551" w14:textId="42853D26" w:rsidR="003047F5" w:rsidRPr="00402239" w:rsidRDefault="003047F5" w:rsidP="00137388">
      <w:pPr>
        <w:pStyle w:val="ATpamattesksts"/>
        <w:ind w:firstLine="0"/>
        <w:jc w:val="center"/>
      </w:pPr>
      <w:r w:rsidRPr="00402239">
        <w:rPr>
          <w:b/>
        </w:rPr>
        <w:t>Aprakstošā</w:t>
      </w:r>
      <w:r w:rsidRPr="00402239">
        <w:t xml:space="preserve"> </w:t>
      </w:r>
      <w:r w:rsidRPr="00402239">
        <w:rPr>
          <w:b/>
        </w:rPr>
        <w:t>daļa</w:t>
      </w:r>
    </w:p>
    <w:p w14:paraId="54AE93A0" w14:textId="77777777" w:rsidR="003047F5" w:rsidRPr="00402239" w:rsidRDefault="003047F5" w:rsidP="00137388">
      <w:pPr>
        <w:spacing w:line="276" w:lineRule="auto"/>
        <w:ind w:firstLine="720"/>
        <w:jc w:val="both"/>
      </w:pPr>
    </w:p>
    <w:p w14:paraId="2A22B3E3" w14:textId="7013265B" w:rsidR="002C49D2" w:rsidRPr="00402239" w:rsidRDefault="00485C7C" w:rsidP="00137388">
      <w:pPr>
        <w:spacing w:line="276" w:lineRule="auto"/>
        <w:ind w:firstLine="720"/>
        <w:jc w:val="both"/>
      </w:pPr>
      <w:r w:rsidRPr="00402239">
        <w:t>[1]</w:t>
      </w:r>
      <w:r w:rsidR="00D53AE2" w:rsidRPr="00402239">
        <w:t xml:space="preserve"> </w:t>
      </w:r>
      <w:r w:rsidR="00102EE3" w:rsidRPr="00402239">
        <w:t>Pieteic</w:t>
      </w:r>
      <w:r w:rsidR="001E0502" w:rsidRPr="00402239">
        <w:t>ēja</w:t>
      </w:r>
      <w:r w:rsidR="009657BA">
        <w:t xml:space="preserve"> –</w:t>
      </w:r>
      <w:r w:rsidR="002C49D2" w:rsidRPr="00402239">
        <w:t xml:space="preserve"> </w:t>
      </w:r>
      <w:r w:rsidR="00216297" w:rsidRPr="00667574">
        <w:t>SIA</w:t>
      </w:r>
      <w:r w:rsidR="004026C3">
        <w:t> </w:t>
      </w:r>
      <w:r w:rsidR="00216297" w:rsidRPr="00667574">
        <w:t>„SALAS ZIVIS”</w:t>
      </w:r>
      <w:r w:rsidR="009657BA">
        <w:t xml:space="preserve"> –</w:t>
      </w:r>
      <w:r w:rsidR="002C49D2" w:rsidRPr="00402239">
        <w:t xml:space="preserve"> 202</w:t>
      </w:r>
      <w:r w:rsidR="00EF2FB5">
        <w:t>2</w:t>
      </w:r>
      <w:r w:rsidR="002C49D2" w:rsidRPr="00402239">
        <w:t xml:space="preserve">.gada </w:t>
      </w:r>
      <w:r w:rsidR="00EF2FB5">
        <w:t>6</w:t>
      </w:r>
      <w:r w:rsidR="002C49D2" w:rsidRPr="00402239">
        <w:t>.</w:t>
      </w:r>
      <w:r w:rsidR="00EF2FB5">
        <w:t xml:space="preserve"> un 11.janvārī</w:t>
      </w:r>
      <w:r w:rsidR="002C49D2" w:rsidRPr="00402239">
        <w:t xml:space="preserve"> vērsās Valsts ieņēmumu dienestā</w:t>
      </w:r>
      <w:r w:rsidR="00EF2FB5">
        <w:t xml:space="preserve"> (turpmāk</w:t>
      </w:r>
      <w:r w:rsidR="00747F15">
        <w:t xml:space="preserve"> </w:t>
      </w:r>
      <w:r w:rsidR="00EF2FB5">
        <w:t>–</w:t>
      </w:r>
      <w:r w:rsidR="00747F15">
        <w:t xml:space="preserve"> </w:t>
      </w:r>
      <w:r w:rsidR="00EF2FB5">
        <w:t>dienests)</w:t>
      </w:r>
      <w:r w:rsidR="002C49D2" w:rsidRPr="00402239">
        <w:t xml:space="preserve">, lūdzot piešķirt valsts atbalstu </w:t>
      </w:r>
      <w:r w:rsidR="00E675B7">
        <w:t xml:space="preserve">kā </w:t>
      </w:r>
      <w:r w:rsidR="002C49D2" w:rsidRPr="00402239">
        <w:t>Covid-19 krīzes skartam uzņēmumam apgrozāmo līdzekļu plūsmas krituma kompensēšanai (turpmāk</w:t>
      </w:r>
      <w:r w:rsidR="00C32D79">
        <w:t xml:space="preserve"> – </w:t>
      </w:r>
      <w:r w:rsidR="002C49D2" w:rsidRPr="00402239">
        <w:t xml:space="preserve">atbalsts) par 2021.gada </w:t>
      </w:r>
      <w:r w:rsidR="00EF2FB5">
        <w:t>oktobri un novembri</w:t>
      </w:r>
      <w:r w:rsidR="002C49D2" w:rsidRPr="00402239">
        <w:t>.</w:t>
      </w:r>
    </w:p>
    <w:p w14:paraId="5E48C1EE" w14:textId="5AF42395" w:rsidR="006128CD" w:rsidRDefault="00EF2FB5" w:rsidP="00137388">
      <w:pPr>
        <w:spacing w:line="276" w:lineRule="auto"/>
        <w:ind w:firstLine="720"/>
        <w:jc w:val="both"/>
      </w:pPr>
      <w:r w:rsidRPr="00EF2FB5">
        <w:t xml:space="preserve">Administratīvais process dienestā noslēdzās ar 2022.gada 18.marta </w:t>
      </w:r>
      <w:r w:rsidRPr="00EF5D2D">
        <w:t>lēmumu</w:t>
      </w:r>
      <w:r>
        <w:t xml:space="preserve"> </w:t>
      </w:r>
      <w:r w:rsidR="00EF5D2D" w:rsidRPr="00EF5D2D">
        <w:t>Nr.</w:t>
      </w:r>
      <w:r w:rsidR="00EF5D2D">
        <w:t> </w:t>
      </w:r>
      <w:r w:rsidR="00EF5D2D" w:rsidRPr="00EF5D2D">
        <w:t xml:space="preserve">33.17- 6/22.10/1759 </w:t>
      </w:r>
      <w:r w:rsidRPr="00EF2FB5">
        <w:t xml:space="preserve">(turpmāk – </w:t>
      </w:r>
      <w:r>
        <w:t>lēmum</w:t>
      </w:r>
      <w:r w:rsidR="00C32D79">
        <w:t>s</w:t>
      </w:r>
      <w:r w:rsidRPr="00EF2FB5">
        <w:t xml:space="preserve">), ar kuru </w:t>
      </w:r>
      <w:r w:rsidR="00C32D79" w:rsidRPr="00EF2FB5">
        <w:t xml:space="preserve">pieteicējai </w:t>
      </w:r>
      <w:r w:rsidRPr="00EF2FB5">
        <w:t>atteikts piešķirt atbalstu.</w:t>
      </w:r>
      <w:r>
        <w:t xml:space="preserve"> </w:t>
      </w:r>
    </w:p>
    <w:p w14:paraId="62BE4523" w14:textId="537FF2C2" w:rsidR="00624FA5" w:rsidRDefault="00EF2FB5" w:rsidP="00137388">
      <w:pPr>
        <w:spacing w:line="276" w:lineRule="auto"/>
        <w:ind w:firstLine="720"/>
        <w:jc w:val="both"/>
      </w:pPr>
      <w:r>
        <w:t xml:space="preserve">Dienests </w:t>
      </w:r>
      <w:r w:rsidR="006128CD">
        <w:t>atteikumu pamatoja ar to</w:t>
      </w:r>
      <w:r>
        <w:t>, ka</w:t>
      </w:r>
      <w:r w:rsidR="006128CD">
        <w:t>, l</w:t>
      </w:r>
      <w:r w:rsidR="006128CD" w:rsidRPr="006128CD">
        <w:t xml:space="preserve">ai pretendētu uz atbalstu vispārējā kārtībā, </w:t>
      </w:r>
      <w:r w:rsidR="00D320D9">
        <w:t>jā</w:t>
      </w:r>
      <w:r w:rsidR="006128CD" w:rsidRPr="006128CD">
        <w:t>konstatē tieš</w:t>
      </w:r>
      <w:r w:rsidR="00D320D9">
        <w:t>a</w:t>
      </w:r>
      <w:r w:rsidR="006128CD" w:rsidRPr="006128CD">
        <w:t xml:space="preserve"> saistīb</w:t>
      </w:r>
      <w:r w:rsidR="009657BA">
        <w:t>a</w:t>
      </w:r>
      <w:r w:rsidR="006128CD" w:rsidRPr="006128CD">
        <w:t xml:space="preserve"> starp ierobežojumu noteikšanu un ieņēmumu kritumu</w:t>
      </w:r>
      <w:r w:rsidR="006128CD">
        <w:t>. P</w:t>
      </w:r>
      <w:r w:rsidR="006128CD" w:rsidRPr="006128CD">
        <w:t>rodukcijas un pakalpojumu pieejamība un pieprasījums pēc tiem ir savstarpēji nošķirami jēdzieni</w:t>
      </w:r>
      <w:r w:rsidR="006128CD">
        <w:t>; p</w:t>
      </w:r>
      <w:r w:rsidR="006128CD" w:rsidRPr="006128CD">
        <w:t>ieprasījuma un pirktspējas samazināšanās ekonomiskās krīzes apstākļos ir neizbēgama</w:t>
      </w:r>
      <w:r w:rsidR="006128CD">
        <w:t>, t</w:t>
      </w:r>
      <w:r w:rsidR="006128CD" w:rsidRPr="006128CD">
        <w:t>omēr to radītā apgrozījuma krituma kompensēšana ar konkrētā valsts atbalsta mehānismu nav paredzēta.</w:t>
      </w:r>
      <w:r w:rsidR="006128CD">
        <w:t xml:space="preserve"> Pieteicējas apgrozījuma apmērus ietekmēja pieprasījuma kritums, kuru izraisīja </w:t>
      </w:r>
      <w:r w:rsidR="009657BA">
        <w:t xml:space="preserve">sakarā ar </w:t>
      </w:r>
      <w:r w:rsidR="006128CD" w:rsidRPr="006128CD">
        <w:t xml:space="preserve">Covid-19 </w:t>
      </w:r>
      <w:r w:rsidR="009657BA">
        <w:t>pandēmiju</w:t>
      </w:r>
      <w:r w:rsidR="006128CD" w:rsidRPr="006128CD">
        <w:t xml:space="preserve"> ieviest</w:t>
      </w:r>
      <w:r w:rsidR="009657BA">
        <w:t>ie</w:t>
      </w:r>
      <w:r w:rsidR="006128CD" w:rsidRPr="006128CD">
        <w:t xml:space="preserve"> ierobežojum</w:t>
      </w:r>
      <w:r w:rsidR="006128CD">
        <w:t>i, taču pieteicējas darbība nebija ierobežota</w:t>
      </w:r>
      <w:r w:rsidR="00C32D79">
        <w:t>; ē</w:t>
      </w:r>
      <w:r w:rsidR="006128CD" w:rsidRPr="006128CD">
        <w:t>dināšanas vietās bija atļauts izsniegt ēdienu līdzņemšanai vai ar piegād</w:t>
      </w:r>
      <w:r w:rsidR="006128CD">
        <w:t xml:space="preserve">i, turklāt pieteicēja varēja </w:t>
      </w:r>
      <w:r w:rsidR="006128CD" w:rsidRPr="006128CD">
        <w:t xml:space="preserve">realizēt preces </w:t>
      </w:r>
      <w:r w:rsidR="00437C81">
        <w:t xml:space="preserve">arī citās </w:t>
      </w:r>
      <w:r w:rsidR="006128CD" w:rsidRPr="006128CD">
        <w:t>Eiropas Savienības dalībvalstī</w:t>
      </w:r>
      <w:r w:rsidR="006128CD">
        <w:t>s.</w:t>
      </w:r>
    </w:p>
    <w:p w14:paraId="7CDBF7BA" w14:textId="77777777" w:rsidR="00EF2FB5" w:rsidRPr="00EF2FB5" w:rsidRDefault="00EF2FB5" w:rsidP="00137388">
      <w:pPr>
        <w:spacing w:line="276" w:lineRule="auto"/>
        <w:ind w:firstLine="720"/>
        <w:jc w:val="both"/>
      </w:pPr>
    </w:p>
    <w:p w14:paraId="63E9D063" w14:textId="51AFFB2B" w:rsidR="001D3139" w:rsidRDefault="00141BEF" w:rsidP="00137388">
      <w:pPr>
        <w:spacing w:line="276" w:lineRule="auto"/>
        <w:ind w:firstLine="720"/>
        <w:jc w:val="both"/>
      </w:pPr>
      <w:r w:rsidRPr="00402239">
        <w:t>[2]</w:t>
      </w:r>
      <w:r w:rsidR="00556B39" w:rsidRPr="00402239">
        <w:t xml:space="preserve"> </w:t>
      </w:r>
      <w:r w:rsidR="00EF2FB5" w:rsidRPr="00EF2FB5">
        <w:t xml:space="preserve">Pieteicēja </w:t>
      </w:r>
      <w:r w:rsidR="009657BA">
        <w:t xml:space="preserve">vērsās administratīvajā tiesā </w:t>
      </w:r>
      <w:r w:rsidR="007547F4">
        <w:t>par labvēlīg</w:t>
      </w:r>
      <w:r w:rsidR="009657BA">
        <w:t>a</w:t>
      </w:r>
      <w:r w:rsidR="007547F4">
        <w:t xml:space="preserve"> administratīv</w:t>
      </w:r>
      <w:r w:rsidR="009657BA">
        <w:t xml:space="preserve">ā </w:t>
      </w:r>
      <w:r w:rsidR="007547F4">
        <w:t>akta</w:t>
      </w:r>
      <w:r w:rsidR="009657BA">
        <w:t xml:space="preserve"> </w:t>
      </w:r>
      <w:r w:rsidR="007E1277">
        <w:t xml:space="preserve">izdošanu </w:t>
      </w:r>
      <w:r w:rsidR="009657BA">
        <w:t xml:space="preserve">par </w:t>
      </w:r>
      <w:r w:rsidR="007547F4">
        <w:t>atbalst</w:t>
      </w:r>
      <w:r w:rsidR="009657BA">
        <w:t>a piešķiršanu</w:t>
      </w:r>
      <w:r w:rsidR="00EF2FB5" w:rsidRPr="00EF2FB5">
        <w:t>.</w:t>
      </w:r>
    </w:p>
    <w:p w14:paraId="3D81B16A" w14:textId="343E3BDD" w:rsidR="00850FAD" w:rsidRPr="00402239" w:rsidRDefault="00850FAD" w:rsidP="00137388">
      <w:pPr>
        <w:spacing w:line="276" w:lineRule="auto"/>
        <w:ind w:firstLine="720"/>
        <w:jc w:val="both"/>
        <w:rPr>
          <w:lang w:eastAsia="lv-LV"/>
        </w:rPr>
      </w:pPr>
    </w:p>
    <w:p w14:paraId="5FE932A1" w14:textId="2DD9C6D4" w:rsidR="00951244" w:rsidRDefault="00850FAD" w:rsidP="00137388">
      <w:pPr>
        <w:spacing w:line="276" w:lineRule="auto"/>
        <w:ind w:firstLine="720"/>
        <w:jc w:val="both"/>
        <w:rPr>
          <w:lang w:eastAsia="lv-LV"/>
        </w:rPr>
      </w:pPr>
      <w:r w:rsidRPr="00402239">
        <w:rPr>
          <w:lang w:eastAsia="lv-LV"/>
        </w:rPr>
        <w:t xml:space="preserve">[3] </w:t>
      </w:r>
      <w:r w:rsidR="00DD747D">
        <w:rPr>
          <w:lang w:eastAsia="lv-LV"/>
        </w:rPr>
        <w:t xml:space="preserve">Administratīvā rajona tiesa </w:t>
      </w:r>
      <w:r w:rsidR="00DD747D" w:rsidRPr="00EF5D2D">
        <w:rPr>
          <w:lang w:eastAsia="lv-LV"/>
        </w:rPr>
        <w:t>2023.gada 13.februāra</w:t>
      </w:r>
      <w:r w:rsidR="00DD747D">
        <w:rPr>
          <w:lang w:eastAsia="lv-LV"/>
        </w:rPr>
        <w:t xml:space="preserve"> spriedum</w:t>
      </w:r>
      <w:r w:rsidR="00D1165D">
        <w:rPr>
          <w:lang w:eastAsia="lv-LV"/>
        </w:rPr>
        <w:t xml:space="preserve">ā </w:t>
      </w:r>
      <w:r w:rsidR="00951244">
        <w:rPr>
          <w:lang w:eastAsia="lv-LV"/>
        </w:rPr>
        <w:t>grozī</w:t>
      </w:r>
      <w:r w:rsidR="00D1165D">
        <w:rPr>
          <w:lang w:eastAsia="lv-LV"/>
        </w:rPr>
        <w:t>ja</w:t>
      </w:r>
      <w:r w:rsidR="00951244">
        <w:rPr>
          <w:lang w:eastAsia="lv-LV"/>
        </w:rPr>
        <w:t xml:space="preserve"> </w:t>
      </w:r>
      <w:r w:rsidR="00951244" w:rsidRPr="00EF5D2D">
        <w:rPr>
          <w:lang w:eastAsia="lv-LV"/>
        </w:rPr>
        <w:t>pieteikuma priekšmetu</w:t>
      </w:r>
      <w:r w:rsidR="00111681">
        <w:rPr>
          <w:lang w:eastAsia="lv-LV"/>
        </w:rPr>
        <w:t xml:space="preserve">, jo uzskatīja, ka </w:t>
      </w:r>
      <w:r w:rsidR="009657BA">
        <w:rPr>
          <w:lang w:eastAsia="lv-LV"/>
        </w:rPr>
        <w:t xml:space="preserve">periods, kurā </w:t>
      </w:r>
      <w:r w:rsidR="007E1277" w:rsidRPr="007E1277">
        <w:rPr>
          <w:lang w:eastAsia="lv-LV"/>
        </w:rPr>
        <w:t>Ministru kabineta 2020.gada 10.novembra noteikumi Nr.</w:t>
      </w:r>
      <w:r w:rsidR="007E1277">
        <w:rPr>
          <w:lang w:eastAsia="lv-LV"/>
        </w:rPr>
        <w:t> </w:t>
      </w:r>
      <w:r w:rsidR="007E1277" w:rsidRPr="007E1277">
        <w:rPr>
          <w:lang w:eastAsia="lv-LV"/>
        </w:rPr>
        <w:t xml:space="preserve">676 </w:t>
      </w:r>
      <w:r w:rsidR="007E1277">
        <w:rPr>
          <w:lang w:eastAsia="lv-LV"/>
        </w:rPr>
        <w:t>„</w:t>
      </w:r>
      <w:r w:rsidR="007E1277" w:rsidRPr="007E1277">
        <w:rPr>
          <w:lang w:eastAsia="lv-LV"/>
        </w:rPr>
        <w:t xml:space="preserve">Noteikumi par atbalstu Covid-19 krīzes skartajiem </w:t>
      </w:r>
      <w:r w:rsidR="007E1277" w:rsidRPr="007E1277">
        <w:rPr>
          <w:lang w:eastAsia="lv-LV"/>
        </w:rPr>
        <w:lastRenderedPageBreak/>
        <w:t>uzņēmumiem apgrozāmo līdzekļu plūsmas nodrošināšanai”</w:t>
      </w:r>
      <w:r w:rsidR="007E1277">
        <w:rPr>
          <w:lang w:eastAsia="lv-LV"/>
        </w:rPr>
        <w:t xml:space="preserve"> (turpmāk – </w:t>
      </w:r>
      <w:r w:rsidR="009657BA" w:rsidRPr="00EF5D2D">
        <w:rPr>
          <w:lang w:eastAsia="lv-LV"/>
        </w:rPr>
        <w:t>Atbalsta noteikumi</w:t>
      </w:r>
      <w:r w:rsidR="007E1277">
        <w:rPr>
          <w:lang w:eastAsia="lv-LV"/>
        </w:rPr>
        <w:t>)</w:t>
      </w:r>
      <w:r w:rsidR="009657BA">
        <w:rPr>
          <w:lang w:eastAsia="lv-LV"/>
        </w:rPr>
        <w:t xml:space="preserve"> pieļāva atbalsta piešķiršanu, ir beidzies</w:t>
      </w:r>
      <w:r w:rsidR="00111681">
        <w:rPr>
          <w:lang w:eastAsia="lv-LV"/>
        </w:rPr>
        <w:t xml:space="preserve"> un</w:t>
      </w:r>
      <w:r w:rsidR="009657BA">
        <w:rPr>
          <w:lang w:eastAsia="lv-LV"/>
        </w:rPr>
        <w:t xml:space="preserve"> </w:t>
      </w:r>
      <w:r w:rsidR="00951244">
        <w:rPr>
          <w:lang w:eastAsia="lv-LV"/>
        </w:rPr>
        <w:t xml:space="preserve">labvēlīga administratīvā akta izdošana vairs nav iespējama. Tiesa šādos apstākļos </w:t>
      </w:r>
      <w:r w:rsidR="009657BA">
        <w:rPr>
          <w:lang w:eastAsia="lv-LV"/>
        </w:rPr>
        <w:t xml:space="preserve">atzina, ka </w:t>
      </w:r>
      <w:r w:rsidR="00951244">
        <w:rPr>
          <w:lang w:eastAsia="lv-LV"/>
        </w:rPr>
        <w:t>var izvērtēt tikai pārsūdzētā lēmuma tiesiskumu.</w:t>
      </w:r>
      <w:r w:rsidR="00EF5D2D">
        <w:rPr>
          <w:lang w:eastAsia="lv-LV"/>
        </w:rPr>
        <w:t xml:space="preserve"> Ar </w:t>
      </w:r>
      <w:r w:rsidR="00D1165D">
        <w:rPr>
          <w:lang w:eastAsia="lv-LV"/>
        </w:rPr>
        <w:t xml:space="preserve">minēto </w:t>
      </w:r>
      <w:r w:rsidR="00EF5D2D">
        <w:rPr>
          <w:lang w:eastAsia="lv-LV"/>
        </w:rPr>
        <w:t xml:space="preserve">spriedumu </w:t>
      </w:r>
      <w:r w:rsidR="00EF5D2D" w:rsidRPr="00EF5D2D">
        <w:rPr>
          <w:lang w:eastAsia="lv-LV"/>
        </w:rPr>
        <w:t xml:space="preserve">rajona tiesa </w:t>
      </w:r>
      <w:r w:rsidR="00EF5D2D">
        <w:rPr>
          <w:lang w:eastAsia="lv-LV"/>
        </w:rPr>
        <w:t>pieteikumu</w:t>
      </w:r>
      <w:r w:rsidR="00D1165D">
        <w:rPr>
          <w:lang w:eastAsia="lv-LV"/>
        </w:rPr>
        <w:t xml:space="preserve"> par</w:t>
      </w:r>
      <w:r w:rsidR="00EF5D2D">
        <w:rPr>
          <w:lang w:eastAsia="lv-LV"/>
        </w:rPr>
        <w:t xml:space="preserve"> </w:t>
      </w:r>
      <w:r w:rsidR="00D1165D">
        <w:rPr>
          <w:lang w:eastAsia="lv-LV"/>
        </w:rPr>
        <w:t xml:space="preserve">pārsūdzētā lēmuma atzīšanu par prettiesisku </w:t>
      </w:r>
      <w:r w:rsidR="00EF5D2D">
        <w:rPr>
          <w:lang w:eastAsia="lv-LV"/>
        </w:rPr>
        <w:t>noraidīja.</w:t>
      </w:r>
    </w:p>
    <w:p w14:paraId="42916815" w14:textId="77777777" w:rsidR="0062070A" w:rsidRDefault="0062070A" w:rsidP="00137388">
      <w:pPr>
        <w:spacing w:line="276" w:lineRule="auto"/>
        <w:ind w:firstLine="720"/>
        <w:jc w:val="both"/>
        <w:rPr>
          <w:lang w:eastAsia="lv-LV"/>
        </w:rPr>
      </w:pPr>
    </w:p>
    <w:p w14:paraId="5D3F83D7" w14:textId="7DDA2438" w:rsidR="004F5D85" w:rsidRDefault="007547F4" w:rsidP="00137388">
      <w:pPr>
        <w:spacing w:line="276" w:lineRule="auto"/>
        <w:ind w:firstLine="720"/>
        <w:jc w:val="both"/>
      </w:pPr>
      <w:r>
        <w:rPr>
          <w:lang w:eastAsia="lv-LV"/>
        </w:rPr>
        <w:t>[</w:t>
      </w:r>
      <w:r w:rsidR="002B277A">
        <w:rPr>
          <w:lang w:eastAsia="lv-LV"/>
        </w:rPr>
        <w:t>4</w:t>
      </w:r>
      <w:r>
        <w:rPr>
          <w:lang w:eastAsia="lv-LV"/>
        </w:rPr>
        <w:t xml:space="preserve">] </w:t>
      </w:r>
      <w:r w:rsidR="001064D3" w:rsidRPr="00402239">
        <w:rPr>
          <w:lang w:eastAsia="lv-LV"/>
        </w:rPr>
        <w:t xml:space="preserve">Administratīvā apgabaltiesa </w:t>
      </w:r>
      <w:r w:rsidR="009657BA">
        <w:rPr>
          <w:lang w:eastAsia="lv-LV"/>
        </w:rPr>
        <w:t xml:space="preserve">ar </w:t>
      </w:r>
      <w:r w:rsidR="009657BA">
        <w:t>2023.gada 16.oktobra spriedumu</w:t>
      </w:r>
      <w:r w:rsidR="004F5D85">
        <w:t>,</w:t>
      </w:r>
      <w:r w:rsidR="009657BA" w:rsidRPr="00402239">
        <w:rPr>
          <w:lang w:eastAsia="lv-LV"/>
        </w:rPr>
        <w:t xml:space="preserve"> </w:t>
      </w:r>
      <w:r w:rsidR="004F5D85">
        <w:t>tostarp pievienojoties rajona tiesas sprieduma motivācijai,</w:t>
      </w:r>
      <w:r w:rsidR="004F5D85" w:rsidRPr="009E78FD">
        <w:t xml:space="preserve"> pieteikumu noraidīja. </w:t>
      </w:r>
    </w:p>
    <w:p w14:paraId="6D0A7679" w14:textId="0463F5D6" w:rsidR="00673BEF" w:rsidRDefault="004F5D85" w:rsidP="00137388">
      <w:pPr>
        <w:spacing w:line="276" w:lineRule="auto"/>
        <w:ind w:firstLine="720"/>
        <w:jc w:val="both"/>
        <w:rPr>
          <w:lang w:eastAsia="lv-LV"/>
        </w:rPr>
      </w:pPr>
      <w:r>
        <w:rPr>
          <w:lang w:eastAsia="lv-LV"/>
        </w:rPr>
        <w:t xml:space="preserve">Tiesas ieskatā, </w:t>
      </w:r>
      <w:r w:rsidR="00111681">
        <w:rPr>
          <w:lang w:eastAsia="lv-LV"/>
        </w:rPr>
        <w:t>apstāklis</w:t>
      </w:r>
      <w:r w:rsidR="00673BEF" w:rsidRPr="00673BEF">
        <w:rPr>
          <w:lang w:eastAsia="lv-LV"/>
        </w:rPr>
        <w:t xml:space="preserve">, ka pieteicējas klienti samazināja iegādes no pieteicējas, vērtējams kā vispārējs uzņēmējdarbības risks, </w:t>
      </w:r>
      <w:r w:rsidR="00CE07E9">
        <w:rPr>
          <w:lang w:eastAsia="lv-LV"/>
        </w:rPr>
        <w:t>un</w:t>
      </w:r>
      <w:r w:rsidR="00673BEF" w:rsidRPr="00673BEF">
        <w:rPr>
          <w:lang w:eastAsia="lv-LV"/>
        </w:rPr>
        <w:t xml:space="preserve"> nav konstatējams tiešs pieteicējas saimnieciskās darbības ierobežojums. Arī tam, ka pieteicēja Covid-19 infekcijas izplatības laikā nevarēja klātienē tikties ar klientiem, nav nozīmes</w:t>
      </w:r>
      <w:r w:rsidR="00673BEF">
        <w:rPr>
          <w:lang w:eastAsia="lv-LV"/>
        </w:rPr>
        <w:t xml:space="preserve"> </w:t>
      </w:r>
      <w:r w:rsidR="00673BEF" w:rsidRPr="00673BEF">
        <w:rPr>
          <w:lang w:eastAsia="lv-LV"/>
        </w:rPr>
        <w:t>izskatāmajā gadījumā, jo piegādes darījumu noslēgšanai vai iepriekš noslēgto darījumu izpildei bija</w:t>
      </w:r>
      <w:r w:rsidR="00673BEF">
        <w:rPr>
          <w:lang w:eastAsia="lv-LV"/>
        </w:rPr>
        <w:t xml:space="preserve"> </w:t>
      </w:r>
      <w:r w:rsidR="00673BEF" w:rsidRPr="00673BEF">
        <w:rPr>
          <w:lang w:eastAsia="lv-LV"/>
        </w:rPr>
        <w:t>iespēja izmantot sakaru līdzekļus.</w:t>
      </w:r>
      <w:r>
        <w:rPr>
          <w:lang w:eastAsia="lv-LV"/>
        </w:rPr>
        <w:t xml:space="preserve"> </w:t>
      </w:r>
      <w:r w:rsidR="00673BEF" w:rsidRPr="00673BEF">
        <w:rPr>
          <w:lang w:eastAsia="lv-LV"/>
        </w:rPr>
        <w:t>Liet</w:t>
      </w:r>
      <w:r>
        <w:rPr>
          <w:lang w:eastAsia="lv-LV"/>
        </w:rPr>
        <w:t>a</w:t>
      </w:r>
      <w:r w:rsidR="00673BEF" w:rsidRPr="00673BEF">
        <w:rPr>
          <w:lang w:eastAsia="lv-LV"/>
        </w:rPr>
        <w:t>s apstākļu vērtējumā nozīmīgs ir arī apstāklis, ka</w:t>
      </w:r>
      <w:r w:rsidR="00673BEF">
        <w:rPr>
          <w:lang w:eastAsia="lv-LV"/>
        </w:rPr>
        <w:t xml:space="preserve"> pieteicēja saimniecisko darbību veic</w:t>
      </w:r>
      <w:r w:rsidR="0038577D">
        <w:rPr>
          <w:lang w:eastAsia="lv-LV"/>
        </w:rPr>
        <w:t>a</w:t>
      </w:r>
      <w:r w:rsidR="00673BEF">
        <w:rPr>
          <w:lang w:eastAsia="lv-LV"/>
        </w:rPr>
        <w:t xml:space="preserve"> kopš 1999.gada, t.i., tā </w:t>
      </w:r>
      <w:r>
        <w:rPr>
          <w:lang w:eastAsia="lv-LV"/>
        </w:rPr>
        <w:t xml:space="preserve">ir </w:t>
      </w:r>
      <w:r w:rsidR="00673BEF">
        <w:rPr>
          <w:lang w:eastAsia="lv-LV"/>
        </w:rPr>
        <w:t>uzskatāma par pieredzējušu konkrētā tirgus dalībnieku, kuram darījumu attiecības ar citiem komersantiem lielākoties jau ir nodibinātas</w:t>
      </w:r>
      <w:r>
        <w:rPr>
          <w:lang w:eastAsia="lv-LV"/>
        </w:rPr>
        <w:t>. L</w:t>
      </w:r>
      <w:r w:rsidR="00673BEF">
        <w:rPr>
          <w:lang w:eastAsia="lv-LV"/>
        </w:rPr>
        <w:t>īdz ar to iepriekš noslēgto darījumu izpildei šķēršļi saistībā ar Covid-19 infekcijas izplatību netika radīti.</w:t>
      </w:r>
    </w:p>
    <w:p w14:paraId="052807EB" w14:textId="6D21BA40" w:rsidR="00576B6E" w:rsidRPr="00402239" w:rsidRDefault="00673BEF" w:rsidP="00137388">
      <w:pPr>
        <w:spacing w:line="276" w:lineRule="auto"/>
        <w:ind w:firstLine="720"/>
        <w:jc w:val="both"/>
        <w:rPr>
          <w:lang w:eastAsia="lv-LV"/>
        </w:rPr>
      </w:pPr>
      <w:r w:rsidRPr="00673BEF">
        <w:rPr>
          <w:lang w:eastAsia="lv-LV"/>
        </w:rPr>
        <w:t>Apgabaltiesa izskatāmajā gadījumā nesaskat</w:t>
      </w:r>
      <w:r w:rsidR="004F5D85">
        <w:rPr>
          <w:lang w:eastAsia="lv-LV"/>
        </w:rPr>
        <w:t>īja</w:t>
      </w:r>
      <w:r w:rsidRPr="00673BEF">
        <w:rPr>
          <w:lang w:eastAsia="lv-LV"/>
        </w:rPr>
        <w:t xml:space="preserve"> pieteicējas tiesības atsaukties uz </w:t>
      </w:r>
      <w:r w:rsidR="00437C81">
        <w:rPr>
          <w:lang w:eastAsia="lv-LV"/>
        </w:rPr>
        <w:t>citiem gadījumiem, kad citiem komersantiem salīdzināmā situācijā atbalsts piešķirts</w:t>
      </w:r>
      <w:r w:rsidRPr="00673BEF">
        <w:rPr>
          <w:lang w:eastAsia="lv-LV"/>
        </w:rPr>
        <w:t>, jo</w:t>
      </w:r>
      <w:r w:rsidR="00111681">
        <w:rPr>
          <w:lang w:eastAsia="lv-LV"/>
        </w:rPr>
        <w:t xml:space="preserve"> </w:t>
      </w:r>
      <w:r w:rsidRPr="00673BEF">
        <w:rPr>
          <w:lang w:eastAsia="lv-LV"/>
        </w:rPr>
        <w:t>atbilstoši</w:t>
      </w:r>
      <w:r>
        <w:rPr>
          <w:lang w:eastAsia="lv-LV"/>
        </w:rPr>
        <w:t xml:space="preserve"> </w:t>
      </w:r>
      <w:r w:rsidRPr="00673BEF">
        <w:rPr>
          <w:lang w:eastAsia="lv-LV"/>
        </w:rPr>
        <w:t>tiesību doktrīnas atziņām nepastāv personu vienlīdzība prettiesiskumā. Tas nozīmē, ka gadījumā, ja</w:t>
      </w:r>
      <w:r>
        <w:rPr>
          <w:lang w:eastAsia="lv-LV"/>
        </w:rPr>
        <w:t xml:space="preserve"> </w:t>
      </w:r>
      <w:r w:rsidRPr="00673BEF">
        <w:rPr>
          <w:lang w:eastAsia="lv-LV"/>
        </w:rPr>
        <w:t>attiecībā uz kādu personu tika pieļauta prettiesiska, t.i., tiesību normām neatbilstoša darbība, cita</w:t>
      </w:r>
      <w:r>
        <w:rPr>
          <w:lang w:eastAsia="lv-LV"/>
        </w:rPr>
        <w:t xml:space="preserve"> </w:t>
      </w:r>
      <w:r w:rsidRPr="00673BEF">
        <w:rPr>
          <w:lang w:eastAsia="lv-LV"/>
        </w:rPr>
        <w:t>persona nevar paļauties, ka šāda prettiesiskā rīcība tiks attiecināta arī uz viņu, līdz ar to</w:t>
      </w:r>
      <w:r>
        <w:rPr>
          <w:lang w:eastAsia="lv-LV"/>
        </w:rPr>
        <w:t xml:space="preserve"> </w:t>
      </w:r>
      <w:r w:rsidRPr="00673BEF">
        <w:rPr>
          <w:lang w:eastAsia="lv-LV"/>
        </w:rPr>
        <w:t xml:space="preserve">prettiesiskuma </w:t>
      </w:r>
      <w:r w:rsidR="00437C81">
        <w:rPr>
          <w:lang w:eastAsia="lv-LV"/>
        </w:rPr>
        <w:t xml:space="preserve">konstatēšana </w:t>
      </w:r>
      <w:r w:rsidRPr="00673BEF">
        <w:rPr>
          <w:lang w:eastAsia="lv-LV"/>
        </w:rPr>
        <w:t>atbalsta piešķiršanas lēmumā ir pamats dienestam atprasīt piešķirto</w:t>
      </w:r>
      <w:r>
        <w:rPr>
          <w:lang w:eastAsia="lv-LV"/>
        </w:rPr>
        <w:t xml:space="preserve"> </w:t>
      </w:r>
      <w:r w:rsidRPr="00673BEF">
        <w:rPr>
          <w:lang w:eastAsia="lv-LV"/>
        </w:rPr>
        <w:t xml:space="preserve">atbalstu, nevis prettiesiski piešķirt to </w:t>
      </w:r>
      <w:r w:rsidR="00437C81">
        <w:rPr>
          <w:lang w:eastAsia="lv-LV"/>
        </w:rPr>
        <w:t xml:space="preserve">arī </w:t>
      </w:r>
      <w:r w:rsidRPr="00673BEF">
        <w:rPr>
          <w:lang w:eastAsia="lv-LV"/>
        </w:rPr>
        <w:t>citam komersanta</w:t>
      </w:r>
      <w:r w:rsidR="00A416DE">
        <w:rPr>
          <w:lang w:eastAsia="lv-LV"/>
        </w:rPr>
        <w:t>m</w:t>
      </w:r>
      <w:r w:rsidRPr="00673BEF">
        <w:rPr>
          <w:lang w:eastAsia="lv-LV"/>
        </w:rPr>
        <w:t>.</w:t>
      </w:r>
    </w:p>
    <w:p w14:paraId="64BD0A9B" w14:textId="6BA79570" w:rsidR="001064D3" w:rsidRPr="00402239" w:rsidRDefault="001064D3" w:rsidP="00137388">
      <w:pPr>
        <w:spacing w:line="276" w:lineRule="auto"/>
        <w:ind w:firstLine="720"/>
        <w:jc w:val="both"/>
        <w:rPr>
          <w:lang w:eastAsia="lv-LV"/>
        </w:rPr>
      </w:pPr>
    </w:p>
    <w:p w14:paraId="7C79F70D" w14:textId="7DFBA90A" w:rsidR="00F61F65" w:rsidRDefault="00F61F65" w:rsidP="00137388">
      <w:pPr>
        <w:spacing w:line="276" w:lineRule="auto"/>
        <w:ind w:firstLine="720"/>
        <w:jc w:val="both"/>
        <w:rPr>
          <w:lang w:eastAsia="lv-LV"/>
        </w:rPr>
      </w:pPr>
      <w:r w:rsidRPr="00402239">
        <w:rPr>
          <w:lang w:eastAsia="lv-LV"/>
        </w:rPr>
        <w:t>[</w:t>
      </w:r>
      <w:r w:rsidR="002B277A">
        <w:rPr>
          <w:lang w:eastAsia="lv-LV"/>
        </w:rPr>
        <w:t>5</w:t>
      </w:r>
      <w:r w:rsidRPr="00402239">
        <w:rPr>
          <w:lang w:eastAsia="lv-LV"/>
        </w:rPr>
        <w:t xml:space="preserve">] </w:t>
      </w:r>
      <w:r w:rsidR="00F07DCC">
        <w:rPr>
          <w:lang w:eastAsia="lv-LV"/>
        </w:rPr>
        <w:t xml:space="preserve">Pieteicēja </w:t>
      </w:r>
      <w:r w:rsidRPr="00402239">
        <w:rPr>
          <w:lang w:eastAsia="lv-LV"/>
        </w:rPr>
        <w:t>iesniedz</w:t>
      </w:r>
      <w:r w:rsidR="00112095" w:rsidRPr="00402239">
        <w:rPr>
          <w:lang w:eastAsia="lv-LV"/>
        </w:rPr>
        <w:t>a</w:t>
      </w:r>
      <w:r w:rsidRPr="00402239">
        <w:rPr>
          <w:lang w:eastAsia="lv-LV"/>
        </w:rPr>
        <w:t xml:space="preserve"> kasācijas sūdzību, </w:t>
      </w:r>
      <w:r w:rsidR="00CD7E60">
        <w:rPr>
          <w:lang w:eastAsia="lv-LV"/>
        </w:rPr>
        <w:t>atkārtojot pieteikumā norādītos iebildumus</w:t>
      </w:r>
      <w:r w:rsidR="002B277A">
        <w:rPr>
          <w:lang w:eastAsia="lv-LV"/>
        </w:rPr>
        <w:t>,</w:t>
      </w:r>
      <w:r w:rsidR="00CD7E60">
        <w:rPr>
          <w:lang w:eastAsia="lv-LV"/>
        </w:rPr>
        <w:t xml:space="preserve"> kā arī </w:t>
      </w:r>
      <w:r w:rsidRPr="00402239">
        <w:rPr>
          <w:lang w:eastAsia="lv-LV"/>
        </w:rPr>
        <w:t>norādot turpmāk minētos argumentus.</w:t>
      </w:r>
    </w:p>
    <w:p w14:paraId="40180DAC" w14:textId="14221899" w:rsidR="00CD7E60" w:rsidRDefault="00111681" w:rsidP="00137388">
      <w:pPr>
        <w:spacing w:line="276" w:lineRule="auto"/>
        <w:ind w:firstLine="720"/>
        <w:jc w:val="both"/>
        <w:rPr>
          <w:lang w:eastAsia="lv-LV"/>
        </w:rPr>
      </w:pPr>
      <w:r>
        <w:rPr>
          <w:lang w:eastAsia="lv-LV"/>
        </w:rPr>
        <w:t xml:space="preserve">[5.1] </w:t>
      </w:r>
      <w:r w:rsidR="00CD7E60">
        <w:rPr>
          <w:lang w:eastAsia="lv-LV"/>
        </w:rPr>
        <w:t xml:space="preserve">Apgabaltiesa nepamatoti piemēroja </w:t>
      </w:r>
      <w:r w:rsidR="00CD7E60" w:rsidRPr="00111681">
        <w:rPr>
          <w:lang w:eastAsia="lv-LV"/>
        </w:rPr>
        <w:t>Atbalsta noteikumus</w:t>
      </w:r>
      <w:r w:rsidR="00CD7E60">
        <w:rPr>
          <w:lang w:eastAsia="lv-LV"/>
        </w:rPr>
        <w:t xml:space="preserve"> redakcijā, kas bija spēkā no 2021.gada 17.decembra līdz 2022.gada 1.februārim, nevis redakcij</w:t>
      </w:r>
      <w:r>
        <w:rPr>
          <w:lang w:eastAsia="lv-LV"/>
        </w:rPr>
        <w:t>ā</w:t>
      </w:r>
      <w:r w:rsidR="00CD7E60">
        <w:rPr>
          <w:lang w:eastAsia="lv-LV"/>
        </w:rPr>
        <w:t xml:space="preserve">, kas bija spēkā no 2021.gada 17.jūnija līdz 2021.gada 16.decembrim. </w:t>
      </w:r>
    </w:p>
    <w:p w14:paraId="3D6A45BD" w14:textId="477A713E" w:rsidR="00CD7E60" w:rsidRDefault="00111681" w:rsidP="00137388">
      <w:pPr>
        <w:spacing w:line="276" w:lineRule="auto"/>
        <w:ind w:firstLine="720"/>
        <w:jc w:val="both"/>
      </w:pPr>
      <w:r>
        <w:t>[5.2] A</w:t>
      </w:r>
      <w:r w:rsidR="00B33F61">
        <w:t xml:space="preserve">pgrozījuma kritumam ir jābūt saistītam ar epidemioloģiskās drošības pasākumiem. Toties pastāvīgi tiek vērtēts tas, vai pieteicējas saimnieciskās darbības veids strīdus periodā bija aizliegts. Šādai </w:t>
      </w:r>
      <w:r w:rsidR="00437C81">
        <w:t xml:space="preserve">tiesību normu </w:t>
      </w:r>
      <w:r w:rsidR="00B33F61">
        <w:t>interpretācijai nevar piekrist jau tāpēc vien, ka, ja tāds būtu bijis likumdevēja nolūks, tad tas tā būtu tiešā veidā noteikts strīdus normas tekstā. 2021.gada oktobrī gandrīz neviens saimnieciskās darbības veids pēc būtības nebija aizliegts. Darbība bija atļauta gandrīz visās jomās, tikai visās jomās bija jāievēro ierobežojumi, kas daudziem uzņēmējiem faktiski nozīmēja darbības apturēšanu vispār vai apgrozījuma kritumu.</w:t>
      </w:r>
    </w:p>
    <w:p w14:paraId="21498AE4" w14:textId="2E9D19CD" w:rsidR="00B33F61" w:rsidRPr="00402239" w:rsidRDefault="00111681" w:rsidP="00137388">
      <w:pPr>
        <w:spacing w:line="276" w:lineRule="auto"/>
        <w:ind w:firstLine="720"/>
        <w:jc w:val="both"/>
        <w:rPr>
          <w:lang w:eastAsia="lv-LV"/>
        </w:rPr>
      </w:pPr>
      <w:r>
        <w:t>[5.3] A</w:t>
      </w:r>
      <w:r w:rsidR="00B33F61">
        <w:t>pgabaltiesa nav norādījusi, balstoties uz kādiem faktiem un pierādījumiem</w:t>
      </w:r>
      <w:r w:rsidR="00680573">
        <w:t xml:space="preserve"> tā</w:t>
      </w:r>
      <w:r w:rsidR="00B33F61">
        <w:t xml:space="preserve"> ir nonākusi pie </w:t>
      </w:r>
      <w:r w:rsidR="00680573">
        <w:t xml:space="preserve">saviem </w:t>
      </w:r>
      <w:r w:rsidR="00B33F61">
        <w:t>secinājumiem</w:t>
      </w:r>
      <w:r w:rsidR="0038577D">
        <w:t xml:space="preserve"> par „vispārēju uzņēmējdarbības risku”</w:t>
      </w:r>
      <w:r w:rsidR="00B33F61">
        <w:t>, kā arī nav skaidrojusi, kas jāsaprot ar</w:t>
      </w:r>
      <w:r w:rsidR="00A416DE">
        <w:t xml:space="preserve"> </w:t>
      </w:r>
      <w:r w:rsidR="0038577D">
        <w:t xml:space="preserve">šo </w:t>
      </w:r>
      <w:r w:rsidR="00A416DE">
        <w:t>jēdzienu</w:t>
      </w:r>
      <w:r w:rsidR="00B33F61">
        <w:t>.</w:t>
      </w:r>
    </w:p>
    <w:p w14:paraId="1FE29079" w14:textId="77777777" w:rsidR="00673BEF" w:rsidRPr="00402239" w:rsidRDefault="00673BEF" w:rsidP="00137388">
      <w:pPr>
        <w:spacing w:line="276" w:lineRule="auto"/>
        <w:ind w:firstLine="720"/>
        <w:jc w:val="both"/>
        <w:rPr>
          <w:lang w:eastAsia="lv-LV"/>
        </w:rPr>
      </w:pPr>
    </w:p>
    <w:p w14:paraId="1E3A6493" w14:textId="0EE8565E" w:rsidR="009C2697" w:rsidRDefault="009C2697" w:rsidP="00137388">
      <w:pPr>
        <w:spacing w:line="276" w:lineRule="auto"/>
        <w:ind w:firstLine="720"/>
        <w:jc w:val="both"/>
      </w:pPr>
      <w:r w:rsidRPr="00402239">
        <w:rPr>
          <w:lang w:eastAsia="lv-LV"/>
        </w:rPr>
        <w:t>[</w:t>
      </w:r>
      <w:r w:rsidR="00680573">
        <w:rPr>
          <w:lang w:eastAsia="lv-LV"/>
        </w:rPr>
        <w:t>6</w:t>
      </w:r>
      <w:r w:rsidRPr="00402239">
        <w:rPr>
          <w:lang w:eastAsia="lv-LV"/>
        </w:rPr>
        <w:t xml:space="preserve">] </w:t>
      </w:r>
      <w:r w:rsidR="00F07DCC">
        <w:rPr>
          <w:lang w:eastAsia="lv-LV"/>
        </w:rPr>
        <w:t>Dienests</w:t>
      </w:r>
      <w:r w:rsidRPr="00402239">
        <w:rPr>
          <w:lang w:eastAsia="lv-LV"/>
        </w:rPr>
        <w:t xml:space="preserve"> </w:t>
      </w:r>
      <w:r w:rsidRPr="00402239">
        <w:t xml:space="preserve">paskaidrojumos kasācijas sūdzību </w:t>
      </w:r>
      <w:r w:rsidR="00F07DCC">
        <w:t>neatzīst</w:t>
      </w:r>
      <w:r w:rsidR="00680573">
        <w:t>.</w:t>
      </w:r>
    </w:p>
    <w:p w14:paraId="37C90C64" w14:textId="77777777" w:rsidR="00680573" w:rsidRDefault="00680573" w:rsidP="00137388">
      <w:pPr>
        <w:spacing w:line="276" w:lineRule="auto"/>
        <w:ind w:firstLine="720"/>
        <w:jc w:val="both"/>
        <w:rPr>
          <w:lang w:eastAsia="lv-LV"/>
        </w:rPr>
      </w:pPr>
    </w:p>
    <w:p w14:paraId="1900DA50" w14:textId="77777777" w:rsidR="003047F5" w:rsidRDefault="003047F5" w:rsidP="00137388">
      <w:pPr>
        <w:spacing w:line="276" w:lineRule="auto"/>
        <w:jc w:val="center"/>
        <w:rPr>
          <w:b/>
        </w:rPr>
      </w:pPr>
      <w:r w:rsidRPr="00402239">
        <w:rPr>
          <w:b/>
        </w:rPr>
        <w:lastRenderedPageBreak/>
        <w:t>Motīvu daļa</w:t>
      </w:r>
    </w:p>
    <w:p w14:paraId="260B9292" w14:textId="77777777" w:rsidR="00680573" w:rsidRDefault="00680573" w:rsidP="00137388">
      <w:pPr>
        <w:spacing w:line="276" w:lineRule="auto"/>
        <w:jc w:val="center"/>
        <w:rPr>
          <w:b/>
        </w:rPr>
      </w:pPr>
    </w:p>
    <w:p w14:paraId="4C5B7114" w14:textId="18003123" w:rsidR="00680573" w:rsidRDefault="00680573" w:rsidP="00137388">
      <w:pPr>
        <w:spacing w:line="276" w:lineRule="auto"/>
        <w:ind w:firstLine="720"/>
        <w:jc w:val="both"/>
        <w:rPr>
          <w:bCs/>
        </w:rPr>
      </w:pPr>
      <w:r w:rsidRPr="00680573">
        <w:rPr>
          <w:bCs/>
        </w:rPr>
        <w:t>[7] Senātam kasācijas kārtībā jānoskaidro</w:t>
      </w:r>
      <w:r w:rsidR="0038577D">
        <w:rPr>
          <w:bCs/>
        </w:rPr>
        <w:t xml:space="preserve">: </w:t>
      </w:r>
      <w:r w:rsidR="00747F15">
        <w:rPr>
          <w:bCs/>
        </w:rPr>
        <w:t xml:space="preserve">1) vai </w:t>
      </w:r>
      <w:r w:rsidR="007E1277">
        <w:rPr>
          <w:bCs/>
        </w:rPr>
        <w:t>apgabal</w:t>
      </w:r>
      <w:r w:rsidR="00747F15">
        <w:rPr>
          <w:bCs/>
        </w:rPr>
        <w:t>tiesa pareizi noteikusi pieteikuma priekšmetu; 2</w:t>
      </w:r>
      <w:r w:rsidR="0038577D">
        <w:rPr>
          <w:bCs/>
        </w:rPr>
        <w:t>)</w:t>
      </w:r>
      <w:r w:rsidR="00AA2E2D">
        <w:rPr>
          <w:bCs/>
        </w:rPr>
        <w:t> </w:t>
      </w:r>
      <w:r w:rsidR="0038577D">
        <w:rPr>
          <w:bCs/>
        </w:rPr>
        <w:t xml:space="preserve">vai </w:t>
      </w:r>
      <w:r w:rsidR="007E1277">
        <w:rPr>
          <w:bCs/>
        </w:rPr>
        <w:t xml:space="preserve">apgabaltiesa </w:t>
      </w:r>
      <w:r w:rsidR="0038577D">
        <w:rPr>
          <w:bCs/>
        </w:rPr>
        <w:t xml:space="preserve">piemērojusi pareizo Atbalsta noteikumu redakciju; </w:t>
      </w:r>
      <w:r w:rsidR="00747F15">
        <w:rPr>
          <w:bCs/>
        </w:rPr>
        <w:t>3</w:t>
      </w:r>
      <w:r w:rsidR="0038577D">
        <w:rPr>
          <w:bCs/>
        </w:rPr>
        <w:t>) </w:t>
      </w:r>
      <w:r w:rsidR="00AA2E2D">
        <w:rPr>
          <w:bCs/>
        </w:rPr>
        <w:t xml:space="preserve">vai </w:t>
      </w:r>
      <w:r w:rsidR="007E1277">
        <w:rPr>
          <w:bCs/>
        </w:rPr>
        <w:t xml:space="preserve">apgabaltiesa </w:t>
      </w:r>
      <w:r w:rsidR="00D33CD6">
        <w:rPr>
          <w:bCs/>
        </w:rPr>
        <w:t>pareizi interpretējusi Atbalsta noteikumu 4.2.1.apakšpunktu</w:t>
      </w:r>
      <w:r w:rsidR="00747F15">
        <w:rPr>
          <w:bCs/>
        </w:rPr>
        <w:t xml:space="preserve">; 4) vai </w:t>
      </w:r>
      <w:r w:rsidR="00375146">
        <w:rPr>
          <w:bCs/>
        </w:rPr>
        <w:t xml:space="preserve">apgabaltiesa </w:t>
      </w:r>
      <w:r w:rsidR="00747F15">
        <w:rPr>
          <w:bCs/>
        </w:rPr>
        <w:t xml:space="preserve">pietiekami pārbaudījusi </w:t>
      </w:r>
      <w:r w:rsidR="00E05F0A">
        <w:rPr>
          <w:bCs/>
        </w:rPr>
        <w:t xml:space="preserve">un pamatojusi </w:t>
      </w:r>
      <w:r w:rsidR="00747F15" w:rsidRPr="00747F15">
        <w:t>apgrozījuma krituma cēloņ</w:t>
      </w:r>
      <w:r w:rsidR="00747F15">
        <w:t>sakarību</w:t>
      </w:r>
      <w:r w:rsidR="00D33CD6">
        <w:rPr>
          <w:bCs/>
        </w:rPr>
        <w:t>.</w:t>
      </w:r>
    </w:p>
    <w:p w14:paraId="3141B317" w14:textId="77777777" w:rsidR="00111681" w:rsidRPr="00680573" w:rsidRDefault="00111681" w:rsidP="00137388">
      <w:pPr>
        <w:spacing w:line="276" w:lineRule="auto"/>
        <w:jc w:val="both"/>
        <w:rPr>
          <w:bCs/>
        </w:rPr>
      </w:pPr>
    </w:p>
    <w:p w14:paraId="2FF79208" w14:textId="20EA7A98" w:rsidR="007547F4" w:rsidRPr="0005518D" w:rsidRDefault="007547F4" w:rsidP="00137388">
      <w:pPr>
        <w:spacing w:line="276" w:lineRule="auto"/>
        <w:jc w:val="center"/>
        <w:rPr>
          <w:b/>
          <w:bCs/>
        </w:rPr>
      </w:pPr>
      <w:r w:rsidRPr="0005518D">
        <w:rPr>
          <w:b/>
          <w:bCs/>
        </w:rPr>
        <w:t>I</w:t>
      </w:r>
    </w:p>
    <w:p w14:paraId="04D5A9A2" w14:textId="4820E1BC" w:rsidR="007547F4" w:rsidRPr="007547F4" w:rsidRDefault="0062070A" w:rsidP="00137388">
      <w:pPr>
        <w:spacing w:line="276" w:lineRule="auto"/>
        <w:jc w:val="center"/>
        <w:rPr>
          <w:i/>
          <w:iCs/>
        </w:rPr>
      </w:pPr>
      <w:r>
        <w:rPr>
          <w:i/>
          <w:iCs/>
        </w:rPr>
        <w:t>Par p</w:t>
      </w:r>
      <w:r w:rsidR="007547F4">
        <w:rPr>
          <w:i/>
          <w:iCs/>
        </w:rPr>
        <w:t>ieteikuma priekšmeta precizēšan</w:t>
      </w:r>
      <w:r>
        <w:rPr>
          <w:i/>
          <w:iCs/>
        </w:rPr>
        <w:t>u</w:t>
      </w:r>
    </w:p>
    <w:p w14:paraId="663AF221" w14:textId="77777777" w:rsidR="004907CE" w:rsidRDefault="004907CE" w:rsidP="00137388">
      <w:pPr>
        <w:spacing w:line="276" w:lineRule="auto"/>
        <w:ind w:firstLine="720"/>
        <w:jc w:val="both"/>
      </w:pPr>
    </w:p>
    <w:p w14:paraId="1552161F" w14:textId="5BAA6674" w:rsidR="007547F4" w:rsidRPr="00A16254" w:rsidRDefault="001B3F36" w:rsidP="00137388">
      <w:pPr>
        <w:spacing w:line="276" w:lineRule="auto"/>
        <w:ind w:firstLine="720"/>
        <w:jc w:val="both"/>
      </w:pPr>
      <w:r w:rsidRPr="00A16254">
        <w:t>[</w:t>
      </w:r>
      <w:r w:rsidR="00111681">
        <w:t>8</w:t>
      </w:r>
      <w:r w:rsidRPr="00A16254">
        <w:t>]</w:t>
      </w:r>
      <w:r w:rsidR="00787E3B" w:rsidRPr="00A16254">
        <w:t xml:space="preserve"> </w:t>
      </w:r>
      <w:r w:rsidR="00AA2E2D">
        <w:t xml:space="preserve">Pirms pievērsties kasācijas sūdzības argumentu izvērtēšanai, </w:t>
      </w:r>
      <w:r w:rsidR="00B92E99" w:rsidRPr="00A16254">
        <w:t>Senātam ir jāpārbauda, vai rajona tiesa</w:t>
      </w:r>
      <w:r w:rsidR="00B27391" w:rsidRPr="00A16254">
        <w:t>s rīcība, groz</w:t>
      </w:r>
      <w:r w:rsidR="00246F9A" w:rsidRPr="00A16254">
        <w:t>o</w:t>
      </w:r>
      <w:r w:rsidR="00B27391" w:rsidRPr="00A16254">
        <w:t xml:space="preserve">t </w:t>
      </w:r>
      <w:r w:rsidR="00B92E99" w:rsidRPr="008A1FB9">
        <w:t>pieteikuma priekšmetu</w:t>
      </w:r>
      <w:r w:rsidR="00B92E99" w:rsidRPr="00A16254">
        <w:t xml:space="preserve"> no pienākuma izdot labvēlīgu administratīvo aktu uz </w:t>
      </w:r>
      <w:r w:rsidR="00245778">
        <w:t xml:space="preserve">iestādes izdotā administratīvā akta </w:t>
      </w:r>
      <w:r w:rsidR="00B92E99" w:rsidRPr="00A16254">
        <w:t xml:space="preserve">prettiesiskuma </w:t>
      </w:r>
      <w:r w:rsidR="00D1165D">
        <w:t>atzīšanu</w:t>
      </w:r>
      <w:r w:rsidR="00B27391" w:rsidRPr="00A16254">
        <w:t>, ir tiesiska</w:t>
      </w:r>
      <w:r w:rsidR="00B92E99" w:rsidRPr="00A16254">
        <w:t>.</w:t>
      </w:r>
    </w:p>
    <w:p w14:paraId="1DEF950F" w14:textId="41DBDE90" w:rsidR="004907CE" w:rsidRPr="00A16254" w:rsidRDefault="004907CE" w:rsidP="00137388">
      <w:pPr>
        <w:spacing w:line="276" w:lineRule="auto"/>
        <w:ind w:firstLine="720"/>
        <w:jc w:val="both"/>
      </w:pPr>
    </w:p>
    <w:p w14:paraId="030CE85E" w14:textId="11447BD2" w:rsidR="00B27391" w:rsidRPr="00A16254" w:rsidRDefault="004907CE" w:rsidP="00137388">
      <w:pPr>
        <w:spacing w:line="276" w:lineRule="auto"/>
        <w:ind w:firstLine="720"/>
        <w:jc w:val="both"/>
      </w:pPr>
      <w:r w:rsidRPr="00A16254">
        <w:t>[</w:t>
      </w:r>
      <w:r w:rsidR="00111681">
        <w:t>9</w:t>
      </w:r>
      <w:r w:rsidRPr="00A16254">
        <w:t>]</w:t>
      </w:r>
      <w:r w:rsidR="00951244" w:rsidRPr="00A16254">
        <w:t xml:space="preserve"> Eiropas Savienības Tiesa 2025.gada 3.jūlijā pasludināja spriedumu lietā </w:t>
      </w:r>
      <w:r w:rsidR="00680573" w:rsidRPr="00680573">
        <w:rPr>
          <w:i/>
          <w:iCs/>
        </w:rPr>
        <w:t>„</w:t>
      </w:r>
      <w:r w:rsidR="00302E66" w:rsidRPr="00302E66">
        <w:rPr>
          <w:i/>
          <w:iCs/>
        </w:rPr>
        <w:t>TOODE</w:t>
      </w:r>
      <w:r w:rsidR="00680573">
        <w:rPr>
          <w:i/>
          <w:iCs/>
        </w:rPr>
        <w:t>”</w:t>
      </w:r>
      <w:r w:rsidR="00302E66" w:rsidRPr="00302E66">
        <w:rPr>
          <w:i/>
          <w:iCs/>
        </w:rPr>
        <w:t xml:space="preserve"> </w:t>
      </w:r>
      <w:r w:rsidR="00951244" w:rsidRPr="00302E66">
        <w:rPr>
          <w:i/>
          <w:iCs/>
        </w:rPr>
        <w:t>C-653/2</w:t>
      </w:r>
      <w:r w:rsidR="00245778">
        <w:rPr>
          <w:i/>
          <w:iCs/>
        </w:rPr>
        <w:t>3</w:t>
      </w:r>
      <w:r w:rsidR="00951244" w:rsidRPr="00A16254">
        <w:t xml:space="preserve">. </w:t>
      </w:r>
      <w:r w:rsidR="00CA75DC" w:rsidRPr="00A16254">
        <w:t>Šajā lietā Tiesa atzina, ka</w:t>
      </w:r>
      <w:r w:rsidR="00680573">
        <w:t xml:space="preserve"> p</w:t>
      </w:r>
      <w:r w:rsidR="00CA75DC" w:rsidRPr="00A16254">
        <w:t xml:space="preserve">ar </w:t>
      </w:r>
      <w:r w:rsidR="00680573">
        <w:t>„</w:t>
      </w:r>
      <w:r w:rsidR="00CA75DC" w:rsidRPr="00A16254">
        <w:t xml:space="preserve">pastāvošu atbalstu” </w:t>
      </w:r>
      <w:r w:rsidR="00437C81">
        <w:t>s</w:t>
      </w:r>
      <w:r w:rsidR="00437C81" w:rsidRPr="00437C81">
        <w:t>priedumā skaidrotās</w:t>
      </w:r>
      <w:r w:rsidR="00437C81">
        <w:t xml:space="preserve"> </w:t>
      </w:r>
      <w:r w:rsidR="00437C81" w:rsidRPr="00437C81">
        <w:t>Savienības tiesību normas</w:t>
      </w:r>
      <w:r w:rsidR="00437C81">
        <w:t xml:space="preserve"> </w:t>
      </w:r>
      <w:r w:rsidR="00CA75DC" w:rsidRPr="00A16254">
        <w:t>izpratnē ir kvalificējams individuāls atbalsts, kas uzskatāms par piešķirtu datumā, kad kompetentā iestāde ir nepamatoti atteikusies to piešķirt privātpersonai, kura bija to pieprasījusi tā piešķiršanai paredzētajā termiņā, bet kas šai privātpersonai tiek izmaksāts, izpildot labvēlīgu administratīvo aktu (</w:t>
      </w:r>
      <w:r w:rsidR="00302E66" w:rsidRPr="00302E66">
        <w:rPr>
          <w:i/>
          <w:iCs/>
        </w:rPr>
        <w:t xml:space="preserve">Eiropas Savienības Tiesas 2025.gada 3.jūlija sprieduma lietā </w:t>
      </w:r>
      <w:r w:rsidR="00111681">
        <w:rPr>
          <w:i/>
          <w:iCs/>
        </w:rPr>
        <w:t>„</w:t>
      </w:r>
      <w:r w:rsidR="00302E66" w:rsidRPr="00302E66">
        <w:rPr>
          <w:i/>
          <w:iCs/>
        </w:rPr>
        <w:t>TOODE” C-653/2</w:t>
      </w:r>
      <w:r w:rsidR="00245778">
        <w:rPr>
          <w:i/>
          <w:iCs/>
        </w:rPr>
        <w:t>3</w:t>
      </w:r>
      <w:r w:rsidR="00FA2AF0">
        <w:rPr>
          <w:i/>
          <w:iCs/>
        </w:rPr>
        <w:t>,</w:t>
      </w:r>
      <w:r w:rsidR="00302E66" w:rsidRPr="00302E66">
        <w:rPr>
          <w:i/>
          <w:iCs/>
        </w:rPr>
        <w:t xml:space="preserve"> </w:t>
      </w:r>
      <w:hyperlink r:id="rId9" w:history="1">
        <w:r w:rsidR="00302E66" w:rsidRPr="00302E66">
          <w:rPr>
            <w:rStyle w:val="Hyperlink"/>
            <w:i/>
            <w:iCs/>
          </w:rPr>
          <w:t>ECLI:EU:C:2025:517</w:t>
        </w:r>
      </w:hyperlink>
      <w:r w:rsidR="00FA2AF0">
        <w:rPr>
          <w:i/>
          <w:iCs/>
        </w:rPr>
        <w:t>,</w:t>
      </w:r>
      <w:r w:rsidR="00CA75DC" w:rsidRPr="00302E66">
        <w:rPr>
          <w:i/>
          <w:iCs/>
        </w:rPr>
        <w:t xml:space="preserve"> rezultatīvās daļas 2.punkts</w:t>
      </w:r>
      <w:r w:rsidR="00CA75DC" w:rsidRPr="00A16254">
        <w:t xml:space="preserve">). </w:t>
      </w:r>
    </w:p>
    <w:p w14:paraId="7F679AD8" w14:textId="76AE466E" w:rsidR="00612C12" w:rsidRPr="00A16254" w:rsidRDefault="00245778" w:rsidP="00137388">
      <w:pPr>
        <w:spacing w:line="276" w:lineRule="auto"/>
        <w:ind w:firstLine="720"/>
        <w:jc w:val="both"/>
      </w:pPr>
      <w:r>
        <w:t>Eiropas Savienības</w:t>
      </w:r>
      <w:r w:rsidR="00CA75DC" w:rsidRPr="00A16254">
        <w:t xml:space="preserve"> Tiesa arī atzina</w:t>
      </w:r>
      <w:r w:rsidR="00111681">
        <w:t>, ka</w:t>
      </w:r>
      <w:r w:rsidR="00CA75DC" w:rsidRPr="00A16254">
        <w:t xml:space="preserve"> </w:t>
      </w:r>
      <w:r w:rsidR="00B27391" w:rsidRPr="00A16254">
        <w:t xml:space="preserve">nevarētu tikt nodrošināta </w:t>
      </w:r>
      <w:r w:rsidR="00AA2E2D">
        <w:t>p</w:t>
      </w:r>
      <w:r w:rsidR="00D1165D">
        <w:t>ieteicēja</w:t>
      </w:r>
      <w:r w:rsidR="00AA2E2D">
        <w:t xml:space="preserve"> </w:t>
      </w:r>
      <w:r w:rsidR="0069566A" w:rsidRPr="00A16254">
        <w:t>Eiropas Savienības Pamattiesību</w:t>
      </w:r>
      <w:r w:rsidR="0069566A">
        <w:t xml:space="preserve"> </w:t>
      </w:r>
      <w:r w:rsidR="0069566A" w:rsidRPr="0069566A">
        <w:t>h</w:t>
      </w:r>
      <w:r w:rsidR="00B27391" w:rsidRPr="0069566A">
        <w:t>artas</w:t>
      </w:r>
      <w:r w:rsidR="00B27391" w:rsidRPr="00A16254">
        <w:t xml:space="preserve"> 47.panta pirmajā daļā garantēto tiesību uz tiesību aizsardzīb</w:t>
      </w:r>
      <w:r>
        <w:t>u</w:t>
      </w:r>
      <w:r w:rsidR="00B27391" w:rsidRPr="00A16254">
        <w:t xml:space="preserve"> efektivitāt</w:t>
      </w:r>
      <w:r>
        <w:t>e</w:t>
      </w:r>
      <w:r w:rsidR="00B27391" w:rsidRPr="00A16254">
        <w:t xml:space="preserve">, ja </w:t>
      </w:r>
      <w:r w:rsidR="00B34D4D" w:rsidRPr="00A16254">
        <w:t xml:space="preserve">pat </w:t>
      </w:r>
      <w:r w:rsidR="00B27391" w:rsidRPr="00A16254">
        <w:t>pilnīgas tiesiskuma pārbaudes noslēgumā ar tiesas nolēmumu būtu atzīts, ka pieteicējs, kas pieprasījis aplūkojamo atbalstu, sākotnēji ir atbildis visiem nosacījumiem, lai varētu saņemt šo atbalstu attiecīgajā atbalsta shēmā noteiktajā laikposmā</w:t>
      </w:r>
      <w:r w:rsidR="00BD1B7D">
        <w:t xml:space="preserve">, bet to nevar saņemt, jo, kamēr norisinās tiesvedība, ir beidzies termiņš atbalsta piešķiršanai </w:t>
      </w:r>
      <w:r w:rsidR="00B27391" w:rsidRPr="00A16254">
        <w:t>(</w:t>
      </w:r>
      <w:r w:rsidR="00B27391" w:rsidRPr="00302E66">
        <w:rPr>
          <w:i/>
          <w:iCs/>
        </w:rPr>
        <w:t>turpat</w:t>
      </w:r>
      <w:r w:rsidR="00111681">
        <w:rPr>
          <w:i/>
          <w:iCs/>
        </w:rPr>
        <w:t>,</w:t>
      </w:r>
      <w:r w:rsidR="00B27391" w:rsidRPr="00302E66">
        <w:rPr>
          <w:i/>
          <w:iCs/>
        </w:rPr>
        <w:t xml:space="preserve"> 27.punkts</w:t>
      </w:r>
      <w:r w:rsidR="00B27391" w:rsidRPr="00A16254">
        <w:t>)</w:t>
      </w:r>
      <w:r w:rsidR="0069566A">
        <w:t xml:space="preserve">. Tāpat Tiesa atzina, ka </w:t>
      </w:r>
      <w:r w:rsidR="00612C12" w:rsidRPr="00A16254">
        <w:t xml:space="preserve">hartas 47.panta </w:t>
      </w:r>
      <w:r w:rsidR="00C3406C" w:rsidRPr="00A16254">
        <w:t>pirmā daļa kā Savienības tiesību norma, kurai ir tieša iedarbība, valsts tiesai uzliek pienākumu nepiemērot valsts tiesības, kas liedz uzskatīt, ka individuālais atbalsts ir piešķirts dienā, kad kompetentā iestāde pieņēmusi lēmumu par atteikumu</w:t>
      </w:r>
      <w:r w:rsidR="00612C12" w:rsidRPr="00A16254">
        <w:t xml:space="preserve"> (</w:t>
      </w:r>
      <w:r w:rsidR="00612C12" w:rsidRPr="00302E66">
        <w:rPr>
          <w:i/>
          <w:iCs/>
        </w:rPr>
        <w:t>turpat</w:t>
      </w:r>
      <w:r w:rsidR="0069566A">
        <w:rPr>
          <w:i/>
          <w:iCs/>
        </w:rPr>
        <w:t>,</w:t>
      </w:r>
      <w:r w:rsidR="00612C12" w:rsidRPr="00302E66">
        <w:rPr>
          <w:i/>
          <w:iCs/>
        </w:rPr>
        <w:t xml:space="preserve"> 2</w:t>
      </w:r>
      <w:r w:rsidR="00C3406C" w:rsidRPr="00302E66">
        <w:rPr>
          <w:i/>
          <w:iCs/>
        </w:rPr>
        <w:t>9</w:t>
      </w:r>
      <w:r w:rsidR="00612C12" w:rsidRPr="00302E66">
        <w:rPr>
          <w:i/>
          <w:iCs/>
        </w:rPr>
        <w:t>.punkts</w:t>
      </w:r>
      <w:r w:rsidR="00612C12" w:rsidRPr="00A16254">
        <w:t>).</w:t>
      </w:r>
      <w:r w:rsidR="00C3406C" w:rsidRPr="00A16254">
        <w:t xml:space="preserve"> </w:t>
      </w:r>
    </w:p>
    <w:p w14:paraId="20787CCC" w14:textId="16B6F0FD" w:rsidR="004907CE" w:rsidRPr="00A16254" w:rsidRDefault="00B27391" w:rsidP="00137388">
      <w:pPr>
        <w:spacing w:line="276" w:lineRule="auto"/>
        <w:ind w:firstLine="720"/>
        <w:jc w:val="both"/>
      </w:pPr>
      <w:r w:rsidRPr="00A16254">
        <w:t xml:space="preserve">Senāts secina, ka </w:t>
      </w:r>
      <w:r w:rsidR="00245778" w:rsidRPr="008A1FB9">
        <w:t>pieteikuma priekšmeta</w:t>
      </w:r>
      <w:r w:rsidR="00245778">
        <w:t xml:space="preserve"> </w:t>
      </w:r>
      <w:r w:rsidRPr="00A16254">
        <w:t xml:space="preserve">grozīšana uz </w:t>
      </w:r>
      <w:r w:rsidR="00245778">
        <w:t>iestādes izdotā administratīvā akta p</w:t>
      </w:r>
      <w:r w:rsidRPr="00A16254">
        <w:t xml:space="preserve">rettiesiskuma </w:t>
      </w:r>
      <w:r w:rsidR="00D1165D">
        <w:t>atzīšanu</w:t>
      </w:r>
      <w:r w:rsidRPr="00A16254">
        <w:t xml:space="preserve"> neatbilst Eiropas Savienības tiesībām, jo liedz tiesas nolēmum</w:t>
      </w:r>
      <w:r w:rsidR="00245778">
        <w:t>a</w:t>
      </w:r>
      <w:r w:rsidRPr="00A16254">
        <w:t xml:space="preserve"> efektivitāti, proti, </w:t>
      </w:r>
      <w:r w:rsidR="0069566A">
        <w:t xml:space="preserve">liedz </w:t>
      </w:r>
      <w:r w:rsidRPr="00A16254">
        <w:t xml:space="preserve">pieteicējai </w:t>
      </w:r>
      <w:r w:rsidR="00246F9A" w:rsidRPr="00A16254">
        <w:t>saņemt</w:t>
      </w:r>
      <w:r w:rsidRPr="00A16254">
        <w:t xml:space="preserve"> atbalstu</w:t>
      </w:r>
      <w:r w:rsidR="00246F9A" w:rsidRPr="00A16254">
        <w:t xml:space="preserve">, ja izrādītos, ka atbalsts </w:t>
      </w:r>
      <w:r w:rsidR="0069566A">
        <w:t xml:space="preserve">tai nav </w:t>
      </w:r>
      <w:r w:rsidR="00246F9A" w:rsidRPr="00A16254">
        <w:t>piešķirts prettiesiski</w:t>
      </w:r>
      <w:r w:rsidRPr="00A16254">
        <w:t>. Tātad no Eiropas Savienības tiesībām izriet, ka lieta ir jāizskata par labvēlīga administratīvā akta izdošanas pienākuma noteikšanu.</w:t>
      </w:r>
    </w:p>
    <w:p w14:paraId="7919DCEC" w14:textId="77777777" w:rsidR="00B27391" w:rsidRPr="00A16254" w:rsidRDefault="00B27391" w:rsidP="00137388">
      <w:pPr>
        <w:spacing w:line="276" w:lineRule="auto"/>
        <w:ind w:firstLine="720"/>
        <w:jc w:val="both"/>
      </w:pPr>
    </w:p>
    <w:p w14:paraId="03B464C2" w14:textId="663AA40A" w:rsidR="004907CE" w:rsidRPr="00A16254" w:rsidRDefault="004907CE" w:rsidP="00137388">
      <w:pPr>
        <w:spacing w:line="276" w:lineRule="auto"/>
        <w:ind w:firstLine="720"/>
        <w:jc w:val="both"/>
      </w:pPr>
      <w:r w:rsidRPr="00A16254">
        <w:t>[</w:t>
      </w:r>
      <w:r w:rsidR="0069566A">
        <w:t>10</w:t>
      </w:r>
      <w:r w:rsidRPr="00A16254">
        <w:t>]</w:t>
      </w:r>
      <w:r w:rsidR="004026C3">
        <w:t xml:space="preserve"> </w:t>
      </w:r>
      <w:r w:rsidR="0069566A">
        <w:t xml:space="preserve">Turklāt </w:t>
      </w:r>
      <w:r w:rsidR="000F09D0">
        <w:t>papildus</w:t>
      </w:r>
      <w:r w:rsidR="00B27391" w:rsidRPr="00A16254">
        <w:t xml:space="preserve"> Eiropas Savienības Tiesas secinājumiem </w:t>
      </w:r>
      <w:r w:rsidR="000F09D0">
        <w:t xml:space="preserve">pieteikuma </w:t>
      </w:r>
      <w:r w:rsidR="000F09D0" w:rsidRPr="00832458">
        <w:t xml:space="preserve">priekšmeta </w:t>
      </w:r>
      <w:r w:rsidR="00B92E99" w:rsidRPr="00832458">
        <w:t>grozīšana</w:t>
      </w:r>
      <w:r w:rsidR="00B92E99" w:rsidRPr="00A16254">
        <w:t xml:space="preserve"> šajā gadījumā ir pretēja </w:t>
      </w:r>
      <w:r w:rsidR="0069566A">
        <w:t xml:space="preserve">arī </w:t>
      </w:r>
      <w:r w:rsidR="00B92E99" w:rsidRPr="00A16254">
        <w:t>Latvijas tiesībām.</w:t>
      </w:r>
    </w:p>
    <w:p w14:paraId="70545233" w14:textId="797FA5A0" w:rsidR="00844B6C" w:rsidRPr="00A16254" w:rsidRDefault="00844B6C" w:rsidP="00137388">
      <w:pPr>
        <w:spacing w:line="276" w:lineRule="auto"/>
        <w:ind w:firstLine="720"/>
        <w:jc w:val="both"/>
      </w:pPr>
      <w:r w:rsidRPr="00A16254">
        <w:t xml:space="preserve">Lai gan </w:t>
      </w:r>
      <w:r w:rsidR="00C3406C" w:rsidRPr="00A16254">
        <w:t>Administratīvā procesa likum</w:t>
      </w:r>
      <w:r w:rsidRPr="00A16254">
        <w:t xml:space="preserve">s </w:t>
      </w:r>
      <w:r w:rsidR="00832458">
        <w:t xml:space="preserve">tieši </w:t>
      </w:r>
      <w:r w:rsidRPr="00A16254">
        <w:t xml:space="preserve">neregulē jautājumu par tiesas tiesībām pārskatīt un lūgt pieteicēju grozīt </w:t>
      </w:r>
      <w:r w:rsidRPr="00832458">
        <w:t>pieteikuma priekšmetu</w:t>
      </w:r>
      <w:r w:rsidRPr="00A16254">
        <w:t xml:space="preserve">, Senāts jau iepriekš ir vērtējis, vai zemākas instances tiesa ir pareizi definējusi </w:t>
      </w:r>
      <w:r w:rsidRPr="00832458">
        <w:t>pieteikuma priekšmetu</w:t>
      </w:r>
      <w:r w:rsidRPr="00A16254">
        <w:t xml:space="preserve"> (sk.</w:t>
      </w:r>
      <w:r w:rsidR="0069566A">
        <w:t>,</w:t>
      </w:r>
      <w:r w:rsidRPr="00A16254">
        <w:t xml:space="preserve"> piem</w:t>
      </w:r>
      <w:r w:rsidR="0069566A">
        <w:t>ēram</w:t>
      </w:r>
      <w:r w:rsidRPr="00A16254">
        <w:t xml:space="preserve">, </w:t>
      </w:r>
      <w:r w:rsidRPr="00302E66">
        <w:rPr>
          <w:i/>
          <w:iCs/>
        </w:rPr>
        <w:lastRenderedPageBreak/>
        <w:t xml:space="preserve">Senāta </w:t>
      </w:r>
      <w:r w:rsidR="00A16254" w:rsidRPr="00302E66">
        <w:rPr>
          <w:i/>
          <w:iCs/>
        </w:rPr>
        <w:t>2025.gada 14.aprīļa sprieduma lietā Nr. SKA</w:t>
      </w:r>
      <w:r w:rsidR="0069566A">
        <w:rPr>
          <w:i/>
          <w:iCs/>
        </w:rPr>
        <w:t>-</w:t>
      </w:r>
      <w:r w:rsidR="00A16254" w:rsidRPr="00302E66">
        <w:rPr>
          <w:i/>
          <w:iCs/>
        </w:rPr>
        <w:t>44/2025</w:t>
      </w:r>
      <w:r w:rsidR="00FA2AF0">
        <w:rPr>
          <w:i/>
          <w:iCs/>
        </w:rPr>
        <w:t>,</w:t>
      </w:r>
      <w:r w:rsidR="00A16254" w:rsidRPr="00302E66">
        <w:rPr>
          <w:i/>
          <w:iCs/>
        </w:rPr>
        <w:t xml:space="preserve"> </w:t>
      </w:r>
      <w:hyperlink r:id="rId10" w:history="1">
        <w:r w:rsidR="00A16254" w:rsidRPr="00302E66">
          <w:rPr>
            <w:rStyle w:val="Hyperlink"/>
            <w:rFonts w:ascii="TimesNewRomanPSMT" w:eastAsiaTheme="minorHAnsi" w:hAnsi="TimesNewRomanPSMT" w:cs="TimesNewRomanPSMT"/>
            <w:i/>
            <w:iCs/>
            <w:lang w:eastAsia="en-US"/>
          </w:rPr>
          <w:t>ECLI:LV:AT:2025:0414.A420129721.20.S</w:t>
        </w:r>
      </w:hyperlink>
      <w:r w:rsidR="00FA2AF0">
        <w:rPr>
          <w:i/>
          <w:iCs/>
        </w:rPr>
        <w:t>,</w:t>
      </w:r>
      <w:r w:rsidR="00A16254" w:rsidRPr="00302E66">
        <w:rPr>
          <w:i/>
          <w:iCs/>
        </w:rPr>
        <w:t xml:space="preserve"> 6.</w:t>
      </w:r>
      <w:r w:rsidR="0069566A">
        <w:rPr>
          <w:i/>
          <w:iCs/>
        </w:rPr>
        <w:t>–</w:t>
      </w:r>
      <w:r w:rsidR="000F09D0" w:rsidRPr="00302E66">
        <w:rPr>
          <w:i/>
          <w:iCs/>
        </w:rPr>
        <w:t>8.</w:t>
      </w:r>
      <w:r w:rsidR="00A16254" w:rsidRPr="00302E66">
        <w:rPr>
          <w:i/>
          <w:iCs/>
        </w:rPr>
        <w:t>punktu</w:t>
      </w:r>
      <w:r w:rsidRPr="00A16254">
        <w:t xml:space="preserve">). </w:t>
      </w:r>
    </w:p>
    <w:p w14:paraId="476004C4" w14:textId="0C4A3E2A" w:rsidR="00844B6C" w:rsidRPr="00A16254" w:rsidRDefault="00832458" w:rsidP="00137388">
      <w:pPr>
        <w:spacing w:line="276" w:lineRule="auto"/>
        <w:ind w:firstLine="720"/>
        <w:jc w:val="both"/>
      </w:pPr>
      <w:r>
        <w:t>I</w:t>
      </w:r>
      <w:r w:rsidR="00822E2A">
        <w:t xml:space="preserve">zskatāmajā lietā </w:t>
      </w:r>
      <w:r>
        <w:t>apgabaltiesa pievienoj</w:t>
      </w:r>
      <w:r w:rsidR="00BD1B7D">
        <w:t xml:space="preserve">ās </w:t>
      </w:r>
      <w:r>
        <w:t>pirmās instances tiesa</w:t>
      </w:r>
      <w:r w:rsidR="00BD1B7D">
        <w:t>s atzītajam</w:t>
      </w:r>
      <w:r w:rsidR="00844B6C" w:rsidRPr="00A16254">
        <w:t>, ka vair</w:t>
      </w:r>
      <w:r w:rsidR="00BD1B7D">
        <w:t>s</w:t>
      </w:r>
      <w:r w:rsidR="00844B6C" w:rsidRPr="00A16254">
        <w:t xml:space="preserve"> nav iespējams izdot administratīvo aktu, jo </w:t>
      </w:r>
      <w:r w:rsidR="00F5482E" w:rsidRPr="00A16254">
        <w:t>Atbalsta noteikumi noteica programmas termiņu līdz 2022.gada 30.jūnijam un</w:t>
      </w:r>
      <w:r w:rsidR="00246F9A" w:rsidRPr="00A16254">
        <w:t>,</w:t>
      </w:r>
      <w:r w:rsidR="00F5482E" w:rsidRPr="00A16254">
        <w:t xml:space="preserve"> tā kā šis termiņš esot nokavēts, jo tiesa nepaspēja pasludināt </w:t>
      </w:r>
      <w:r w:rsidRPr="00A16254">
        <w:t xml:space="preserve">spriedumu </w:t>
      </w:r>
      <w:r w:rsidR="00F5482E" w:rsidRPr="00A16254">
        <w:t>līdz šim datumam, pieteicēja vairs atbalstu nevar</w:t>
      </w:r>
      <w:r w:rsidR="00BD1B7D">
        <w:t>ot</w:t>
      </w:r>
      <w:r w:rsidR="00F5482E" w:rsidRPr="00A16254">
        <w:t xml:space="preserve"> saņemt; tādēļ pieteicēja varot prasīt tikai dienesta lēmuma prettiesiskuma pārbaudi</w:t>
      </w:r>
      <w:r w:rsidR="00844B6C" w:rsidRPr="00A16254">
        <w:t xml:space="preserve">. Šāda </w:t>
      </w:r>
      <w:r>
        <w:t>apgabal</w:t>
      </w:r>
      <w:r w:rsidR="00844B6C" w:rsidRPr="00A16254">
        <w:t>tiesas rīcība</w:t>
      </w:r>
      <w:r>
        <w:t xml:space="preserve"> un tās </w:t>
      </w:r>
      <w:r w:rsidR="00844B6C" w:rsidRPr="00A16254">
        <w:t xml:space="preserve">motivācija </w:t>
      </w:r>
      <w:r w:rsidR="0069566A">
        <w:t xml:space="preserve">konkrēto </w:t>
      </w:r>
      <w:r w:rsidR="00844B6C" w:rsidRPr="00A16254">
        <w:t xml:space="preserve">lietas apstākļu </w:t>
      </w:r>
      <w:r w:rsidR="0069566A">
        <w:t>kontekstā</w:t>
      </w:r>
      <w:r w:rsidR="00844B6C" w:rsidRPr="00A16254">
        <w:t xml:space="preserve"> nav pareiza. </w:t>
      </w:r>
    </w:p>
    <w:p w14:paraId="657629E8" w14:textId="74D4907F" w:rsidR="00844B6C" w:rsidRPr="00A16254" w:rsidRDefault="00844B6C" w:rsidP="00137388">
      <w:pPr>
        <w:spacing w:line="276" w:lineRule="auto"/>
        <w:ind w:firstLine="720"/>
        <w:jc w:val="both"/>
      </w:pPr>
      <w:r w:rsidRPr="00A16254">
        <w:t xml:space="preserve">Latvijas Republikas Satversmes 92.pants </w:t>
      </w:r>
      <w:r w:rsidR="00F5482E" w:rsidRPr="00A16254">
        <w:t>garantē tiesības uz taisnīgu tiesu un šajās tiesībās ietilpst arī tiesības uz efektīvu tiesību aizsardzīb</w:t>
      </w:r>
      <w:r w:rsidR="009629FF" w:rsidRPr="00A16254">
        <w:t>u</w:t>
      </w:r>
      <w:r w:rsidR="00F5482E" w:rsidRPr="00A16254">
        <w:t xml:space="preserve"> (</w:t>
      </w:r>
      <w:r w:rsidR="00F5482E" w:rsidRPr="00A16254">
        <w:rPr>
          <w:i/>
          <w:iCs/>
        </w:rPr>
        <w:t>Satversmes tiesas</w:t>
      </w:r>
      <w:r w:rsidR="009629FF" w:rsidRPr="00A16254">
        <w:rPr>
          <w:i/>
          <w:iCs/>
        </w:rPr>
        <w:t xml:space="preserve"> 2021.gada 5.marta sprieduma lietā Nr. </w:t>
      </w:r>
      <w:hyperlink r:id="rId11" w:anchor="search=" w:history="1">
        <w:r w:rsidR="009629FF" w:rsidRPr="00302E66">
          <w:rPr>
            <w:rStyle w:val="Hyperlink"/>
            <w:i/>
            <w:iCs/>
          </w:rPr>
          <w:t>2020-30-01</w:t>
        </w:r>
      </w:hyperlink>
      <w:r w:rsidR="009629FF" w:rsidRPr="00A16254">
        <w:rPr>
          <w:i/>
          <w:iCs/>
        </w:rPr>
        <w:t xml:space="preserve"> 11.1.punkt</w:t>
      </w:r>
      <w:r w:rsidR="0069566A">
        <w:rPr>
          <w:i/>
          <w:iCs/>
        </w:rPr>
        <w:t>s</w:t>
      </w:r>
      <w:r w:rsidR="00F5482E" w:rsidRPr="00A16254">
        <w:t xml:space="preserve">). Efektīvs tiesību aizsardzības līdzeklis ir tāds, kas pieļauj novērst prettiesiskuma sekas </w:t>
      </w:r>
      <w:r w:rsidR="009629FF" w:rsidRPr="00A16254">
        <w:t>un nodrošināt personas tiesību īstenošanu</w:t>
      </w:r>
      <w:r w:rsidR="00F5482E" w:rsidRPr="00A16254">
        <w:t>.</w:t>
      </w:r>
    </w:p>
    <w:p w14:paraId="32E5DAC2" w14:textId="161F1BC6" w:rsidR="00246F9A" w:rsidRPr="00A16254" w:rsidRDefault="00F5482E" w:rsidP="00137388">
      <w:pPr>
        <w:spacing w:line="276" w:lineRule="auto"/>
        <w:ind w:firstLine="720"/>
        <w:jc w:val="both"/>
      </w:pPr>
      <w:r w:rsidRPr="00A16254">
        <w:t xml:space="preserve">No </w:t>
      </w:r>
      <w:r w:rsidR="00832458">
        <w:t xml:space="preserve">apgabaltiesas </w:t>
      </w:r>
      <w:r w:rsidRPr="00A16254">
        <w:t xml:space="preserve">motivācijas izriet, ka </w:t>
      </w:r>
      <w:r w:rsidR="00246F9A" w:rsidRPr="00A16254">
        <w:t xml:space="preserve">atbalstu nevar piešķirt arī tādai personai, kas </w:t>
      </w:r>
      <w:r w:rsidR="009629FF" w:rsidRPr="00A16254">
        <w:t>iesniegumu</w:t>
      </w:r>
      <w:r w:rsidR="00832458">
        <w:t xml:space="preserve"> par </w:t>
      </w:r>
      <w:r w:rsidR="009629FF" w:rsidRPr="00A16254">
        <w:t>atbalst</w:t>
      </w:r>
      <w:r w:rsidR="00832458">
        <w:t xml:space="preserve">a piešķiršanu </w:t>
      </w:r>
      <w:r w:rsidR="009629FF" w:rsidRPr="00A16254">
        <w:t>iesniegusi termiņā, kas paredzēts programmas īstenošanai</w:t>
      </w:r>
      <w:r w:rsidRPr="00A16254">
        <w:t xml:space="preserve">. </w:t>
      </w:r>
      <w:r w:rsidR="00246F9A" w:rsidRPr="00A16254">
        <w:t>Šāda motivācija nav pareiza, jo</w:t>
      </w:r>
      <w:r w:rsidR="009629FF" w:rsidRPr="00A16254">
        <w:t xml:space="preserve"> administratīvais process tiesā</w:t>
      </w:r>
      <w:r w:rsidR="00A16254" w:rsidRPr="00A16254">
        <w:t xml:space="preserve"> un šajā procesā īstenotā tiesību aizsardzīb</w:t>
      </w:r>
      <w:r w:rsidR="0069566A">
        <w:t>a</w:t>
      </w:r>
      <w:r w:rsidR="009629FF" w:rsidRPr="00A16254">
        <w:t xml:space="preserve"> ir sākotnēji </w:t>
      </w:r>
      <w:r w:rsidR="00A16254" w:rsidRPr="00A16254">
        <w:t>iesāktā administratīvā procesa iestādē turpinājums jeb stadija, nevis jauns administratīvais process</w:t>
      </w:r>
      <w:r w:rsidR="000F09D0">
        <w:t>.</w:t>
      </w:r>
      <w:r w:rsidR="00A16254" w:rsidRPr="00A16254">
        <w:t xml:space="preserve"> </w:t>
      </w:r>
      <w:r w:rsidR="000F09D0">
        <w:t xml:space="preserve">Termiņa izbeigšanās </w:t>
      </w:r>
      <w:r w:rsidR="0069566A">
        <w:t xml:space="preserve">pati par sevi </w:t>
      </w:r>
      <w:r w:rsidR="000F09D0">
        <w:t xml:space="preserve">nepadara labvēlīga administratīvā akta izdošanu iesākta administratīvā procesa ietvaros par aizliegtu vai faktiski neizpildāmu, tādēļ </w:t>
      </w:r>
      <w:r w:rsidR="0069566A">
        <w:t xml:space="preserve">tā nevar </w:t>
      </w:r>
      <w:r w:rsidR="00A16254" w:rsidRPr="00A16254">
        <w:t>to ietekmēt</w:t>
      </w:r>
      <w:r w:rsidR="000F09D0">
        <w:t xml:space="preserve">. </w:t>
      </w:r>
    </w:p>
    <w:p w14:paraId="22E0C7A1" w14:textId="7367B4D0" w:rsidR="00F5482E" w:rsidRPr="00A16254" w:rsidRDefault="00246F9A" w:rsidP="00137388">
      <w:pPr>
        <w:spacing w:line="276" w:lineRule="auto"/>
        <w:ind w:firstLine="720"/>
        <w:jc w:val="both"/>
      </w:pPr>
      <w:r w:rsidRPr="00A16254">
        <w:t>Turklāt š</w:t>
      </w:r>
      <w:r w:rsidR="00F5482E" w:rsidRPr="00A16254">
        <w:t>āda situācija ir nesavienojama ar tiesas pienākumu nodrošinātu efektīvu tiesību aizsardzības līdzekli, jo tādējādi tas, kāds tiesību aizsardzības līdzekļu kopums pieejam</w:t>
      </w:r>
      <w:r w:rsidR="00B34D4D">
        <w:t>s privāt</w:t>
      </w:r>
      <w:r w:rsidR="00F5482E" w:rsidRPr="00A16254">
        <w:t>personai</w:t>
      </w:r>
      <w:r w:rsidR="00F803A4" w:rsidRPr="00A16254">
        <w:t>,</w:t>
      </w:r>
      <w:r w:rsidR="00F5482E" w:rsidRPr="00A16254">
        <w:t xml:space="preserve"> tiek padarīt</w:t>
      </w:r>
      <w:r w:rsidR="00B34D4D">
        <w:t>s</w:t>
      </w:r>
      <w:r w:rsidR="00F5482E" w:rsidRPr="00A16254">
        <w:t xml:space="preserve"> atkarīg</w:t>
      </w:r>
      <w:r w:rsidR="00B34D4D">
        <w:t>s</w:t>
      </w:r>
      <w:r w:rsidR="00F5482E" w:rsidRPr="00A16254">
        <w:t xml:space="preserve"> no tā</w:t>
      </w:r>
      <w:r w:rsidR="000F09D0">
        <w:t>,</w:t>
      </w:r>
      <w:r w:rsidR="00F5482E" w:rsidRPr="00A16254">
        <w:t xml:space="preserve"> cik ātri tiesa izskatīs lietu</w:t>
      </w:r>
      <w:r w:rsidR="00B34D4D">
        <w:t>,</w:t>
      </w:r>
      <w:r w:rsidR="00F5482E" w:rsidRPr="00A16254">
        <w:t xml:space="preserve"> proti, no apstākļiem, pār kuriem personai nav nekādas kontroles. </w:t>
      </w:r>
    </w:p>
    <w:p w14:paraId="2C0C342B" w14:textId="77777777" w:rsidR="00B92E99" w:rsidRPr="00A16254" w:rsidRDefault="00B92E99" w:rsidP="00137388">
      <w:pPr>
        <w:spacing w:line="276" w:lineRule="auto"/>
        <w:ind w:firstLine="720"/>
        <w:jc w:val="both"/>
      </w:pPr>
    </w:p>
    <w:p w14:paraId="4F596B5A" w14:textId="114183EB" w:rsidR="008C17B9" w:rsidRDefault="00B92E99" w:rsidP="00137388">
      <w:pPr>
        <w:spacing w:line="276" w:lineRule="auto"/>
        <w:ind w:firstLine="720"/>
        <w:jc w:val="both"/>
      </w:pPr>
      <w:r w:rsidRPr="00A16254">
        <w:t>[</w:t>
      </w:r>
      <w:r w:rsidR="0069566A">
        <w:t>11</w:t>
      </w:r>
      <w:r w:rsidRPr="00A16254">
        <w:t>]</w:t>
      </w:r>
      <w:r w:rsidR="004026C3">
        <w:t xml:space="preserve"> </w:t>
      </w:r>
      <w:r w:rsidR="00A16254" w:rsidRPr="00A16254">
        <w:t xml:space="preserve">Šāds procesuālo tiesību pārkāpums ir būtisks, jo tas </w:t>
      </w:r>
      <w:r w:rsidR="008C17B9">
        <w:t xml:space="preserve">var </w:t>
      </w:r>
      <w:r w:rsidR="00A16254" w:rsidRPr="00A16254">
        <w:t>ietekmē</w:t>
      </w:r>
      <w:r w:rsidR="008C17B9">
        <w:t>t</w:t>
      </w:r>
      <w:r w:rsidR="00A16254" w:rsidRPr="00A16254">
        <w:t xml:space="preserve"> lietas iznākumu. </w:t>
      </w:r>
      <w:r w:rsidR="0069566A">
        <w:t>Tādēļ pārsūdzētais spriedums ir atceļams</w:t>
      </w:r>
      <w:r w:rsidR="008C17B9">
        <w:t xml:space="preserve"> un a</w:t>
      </w:r>
      <w:r w:rsidRPr="00A16254">
        <w:t>pgabaltiesai, izskatot lietu atkārtoti, ir jā</w:t>
      </w:r>
      <w:r w:rsidR="008C17B9">
        <w:t>ievēro pieteicēja</w:t>
      </w:r>
      <w:r w:rsidR="0005518D">
        <w:t>s</w:t>
      </w:r>
      <w:r w:rsidR="008C17B9">
        <w:t xml:space="preserve"> </w:t>
      </w:r>
      <w:r w:rsidR="00D1165D">
        <w:t xml:space="preserve">sākotnējā </w:t>
      </w:r>
      <w:r w:rsidR="008C17B9">
        <w:t>griba taisīt spriedumu atbilstoši p</w:t>
      </w:r>
      <w:r w:rsidR="00832458">
        <w:t xml:space="preserve">ieteikuma priekšmetam par </w:t>
      </w:r>
      <w:r w:rsidR="008C17B9">
        <w:t>labvēlīga administratīvā akta izdošan</w:t>
      </w:r>
      <w:r w:rsidR="00832458">
        <w:t>u</w:t>
      </w:r>
      <w:r w:rsidR="008C17B9">
        <w:t xml:space="preserve">, ja vien </w:t>
      </w:r>
      <w:r w:rsidR="00D1165D">
        <w:t>p</w:t>
      </w:r>
      <w:r w:rsidR="00806548">
        <w:t xml:space="preserve">ieteikuma priekšmeta pārformulēšana </w:t>
      </w:r>
      <w:r w:rsidR="00D1165D">
        <w:t xml:space="preserve">par pārsūdzētā lēmuma atzīšanu par prettiesisku </w:t>
      </w:r>
      <w:r w:rsidR="008C17B9">
        <w:t xml:space="preserve">arī atkārtotas lietas izskatīšanas laikā </w:t>
      </w:r>
      <w:r w:rsidR="00D1165D">
        <w:t xml:space="preserve">nepārprotami </w:t>
      </w:r>
      <w:r w:rsidR="008C17B9">
        <w:t>nav saskanīg</w:t>
      </w:r>
      <w:r w:rsidR="00806548">
        <w:t>a</w:t>
      </w:r>
      <w:r w:rsidR="008C17B9">
        <w:t xml:space="preserve"> ar pašas pieteicējas gribu.  </w:t>
      </w:r>
    </w:p>
    <w:p w14:paraId="0544938B" w14:textId="77777777" w:rsidR="00B34D4D" w:rsidRDefault="00B34D4D" w:rsidP="00137388">
      <w:pPr>
        <w:spacing w:line="276" w:lineRule="auto"/>
        <w:ind w:firstLine="720"/>
        <w:jc w:val="both"/>
      </w:pPr>
    </w:p>
    <w:p w14:paraId="01B75CEF" w14:textId="0DDB8618" w:rsidR="00EE718C" w:rsidRPr="0005518D" w:rsidRDefault="00EE718C" w:rsidP="00137388">
      <w:pPr>
        <w:spacing w:line="276" w:lineRule="auto"/>
        <w:jc w:val="center"/>
        <w:rPr>
          <w:b/>
          <w:bCs/>
        </w:rPr>
      </w:pPr>
      <w:r w:rsidRPr="0005518D">
        <w:rPr>
          <w:b/>
          <w:bCs/>
        </w:rPr>
        <w:t>II</w:t>
      </w:r>
    </w:p>
    <w:p w14:paraId="7274ED60" w14:textId="3D356293" w:rsidR="00EE718C" w:rsidRPr="007547F4" w:rsidRDefault="00A37E9E" w:rsidP="00137388">
      <w:pPr>
        <w:spacing w:line="276" w:lineRule="auto"/>
        <w:jc w:val="center"/>
        <w:rPr>
          <w:i/>
          <w:iCs/>
        </w:rPr>
      </w:pPr>
      <w:r>
        <w:rPr>
          <w:i/>
          <w:iCs/>
        </w:rPr>
        <w:t>Par Atbalsta noteikumu i</w:t>
      </w:r>
      <w:r w:rsidR="00EE718C">
        <w:rPr>
          <w:i/>
          <w:iCs/>
        </w:rPr>
        <w:t>ntertemporāl</w:t>
      </w:r>
      <w:r>
        <w:rPr>
          <w:i/>
          <w:iCs/>
        </w:rPr>
        <w:t>o piemērošanu</w:t>
      </w:r>
    </w:p>
    <w:p w14:paraId="4200553E" w14:textId="77777777" w:rsidR="00EE718C" w:rsidRDefault="00EE718C" w:rsidP="00137388">
      <w:pPr>
        <w:spacing w:line="276" w:lineRule="auto"/>
        <w:ind w:firstLine="720"/>
        <w:jc w:val="both"/>
      </w:pPr>
    </w:p>
    <w:p w14:paraId="7FF14E72" w14:textId="0DA557C9" w:rsidR="00EE718C" w:rsidRDefault="00EE718C" w:rsidP="00137388">
      <w:pPr>
        <w:spacing w:line="276" w:lineRule="auto"/>
        <w:ind w:firstLine="720"/>
        <w:jc w:val="both"/>
      </w:pPr>
      <w:r w:rsidRPr="00402239">
        <w:rPr>
          <w:color w:val="000000" w:themeColor="text1"/>
        </w:rPr>
        <w:t>[</w:t>
      </w:r>
      <w:r w:rsidR="0005518D">
        <w:rPr>
          <w:color w:val="000000" w:themeColor="text1"/>
        </w:rPr>
        <w:t>12</w:t>
      </w:r>
      <w:r w:rsidRPr="00402239">
        <w:rPr>
          <w:color w:val="000000" w:themeColor="text1"/>
        </w:rPr>
        <w:t xml:space="preserve">] </w:t>
      </w:r>
      <w:r w:rsidRPr="00496C73">
        <w:t xml:space="preserve">Senāts 2025.gada 22.oktobrī pasludināja spriedumu lietā Nr. SKA-16/2025. Lai gan atsevišķi </w:t>
      </w:r>
      <w:r w:rsidR="00615DF7">
        <w:t xml:space="preserve">izskatāmās </w:t>
      </w:r>
      <w:r w:rsidRPr="00496C73">
        <w:t xml:space="preserve">lietas apstākļi atšķiras no lietas Nr. SKA-16/2025 apstākļiem, jo atbalsts lūgts par </w:t>
      </w:r>
      <w:r>
        <w:t>2021.gada oktobri un novembri</w:t>
      </w:r>
      <w:r w:rsidRPr="00496C73">
        <w:t xml:space="preserve">, nevis </w:t>
      </w:r>
      <w:r w:rsidRPr="00E05F0A">
        <w:t>martu</w:t>
      </w:r>
      <w:r w:rsidRPr="00496C73">
        <w:t>,</w:t>
      </w:r>
      <w:r>
        <w:t xml:space="preserve"> </w:t>
      </w:r>
      <w:r w:rsidRPr="00496C73">
        <w:t>tiesību jautājum</w:t>
      </w:r>
      <w:r>
        <w:t>s</w:t>
      </w:r>
      <w:r w:rsidR="0005518D">
        <w:t xml:space="preserve"> </w:t>
      </w:r>
      <w:r>
        <w:t>–</w:t>
      </w:r>
      <w:r w:rsidR="0005518D">
        <w:t xml:space="preserve"> par tiesību normu </w:t>
      </w:r>
      <w:r>
        <w:t>intertemporāl</w:t>
      </w:r>
      <w:r w:rsidR="0005518D">
        <w:t>o piemērošanu (</w:t>
      </w:r>
      <w:r w:rsidR="0045683D">
        <w:t>kura Atbalsta noteikumu redakcija ir piemērojama</w:t>
      </w:r>
      <w:r w:rsidR="0005518D">
        <w:t>)</w:t>
      </w:r>
      <w:r w:rsidR="0045683D">
        <w:t xml:space="preserve"> </w:t>
      </w:r>
      <w:r w:rsidR="00852E44">
        <w:t xml:space="preserve">– </w:t>
      </w:r>
      <w:r w:rsidR="0045683D">
        <w:t xml:space="preserve">jau </w:t>
      </w:r>
      <w:r w:rsidRPr="00496C73">
        <w:t xml:space="preserve">ir </w:t>
      </w:r>
      <w:r w:rsidR="0045683D">
        <w:t xml:space="preserve">atrisināts </w:t>
      </w:r>
      <w:r w:rsidRPr="00496C73">
        <w:t>lietā Nr. SKA-16/2025.</w:t>
      </w:r>
    </w:p>
    <w:p w14:paraId="55CCA735" w14:textId="19B859EA" w:rsidR="00EE718C" w:rsidRDefault="0045683D" w:rsidP="00137388">
      <w:pPr>
        <w:spacing w:line="276" w:lineRule="auto"/>
        <w:ind w:firstLine="720"/>
        <w:jc w:val="both"/>
      </w:pPr>
      <w:r>
        <w:t xml:space="preserve">Senāts atzina, ka jāpiemēro tā </w:t>
      </w:r>
      <w:r w:rsidRPr="00402239">
        <w:t>Atbalsta noteikum</w:t>
      </w:r>
      <w:r w:rsidR="00615DF7">
        <w:t>u</w:t>
      </w:r>
      <w:r w:rsidRPr="00402239">
        <w:t xml:space="preserve"> redakcij</w:t>
      </w:r>
      <w:r>
        <w:t>a</w:t>
      </w:r>
      <w:r w:rsidRPr="00402239">
        <w:t xml:space="preserve">, kas bija spēkā </w:t>
      </w:r>
      <w:r w:rsidR="00615DF7">
        <w:t xml:space="preserve">personas </w:t>
      </w:r>
      <w:r w:rsidRPr="00402239">
        <w:t>iesnieguma iesniegšanas brīd</w:t>
      </w:r>
      <w:r w:rsidR="003246B1">
        <w:t>ī</w:t>
      </w:r>
      <w:r>
        <w:t xml:space="preserve"> (</w:t>
      </w:r>
      <w:r w:rsidRPr="00466EED">
        <w:rPr>
          <w:i/>
          <w:iCs/>
        </w:rPr>
        <w:t xml:space="preserve">Senāta sprieduma 2025.gada 22.oktobra lietā Nr. SKA-16/2025, </w:t>
      </w:r>
      <w:hyperlink r:id="rId12" w:history="1">
        <w:r w:rsidR="00E05F0A" w:rsidRPr="00BC319C">
          <w:rPr>
            <w:rStyle w:val="Hyperlink"/>
            <w:i/>
            <w:iCs/>
          </w:rPr>
          <w:t>ECLI:LV:AT:2025:1022.A420218021.13.S</w:t>
        </w:r>
      </w:hyperlink>
      <w:r w:rsidR="003246B1">
        <w:rPr>
          <w:i/>
          <w:iCs/>
        </w:rPr>
        <w:t>,</w:t>
      </w:r>
      <w:r w:rsidRPr="00466EED">
        <w:rPr>
          <w:i/>
          <w:iCs/>
        </w:rPr>
        <w:t xml:space="preserve"> 9.punkt</w:t>
      </w:r>
      <w:r w:rsidR="00615DF7">
        <w:rPr>
          <w:i/>
          <w:iCs/>
        </w:rPr>
        <w:t>s</w:t>
      </w:r>
      <w:r>
        <w:t xml:space="preserve">). Tātad </w:t>
      </w:r>
      <w:r w:rsidR="003246B1">
        <w:t xml:space="preserve">izskatāmajā </w:t>
      </w:r>
      <w:r>
        <w:t>lietā</w:t>
      </w:r>
      <w:r w:rsidR="00615DF7">
        <w:t xml:space="preserve">, tā kā pieteicēja dienestā vērsās </w:t>
      </w:r>
      <w:r w:rsidR="00615DF7" w:rsidRPr="00402239">
        <w:t>202</w:t>
      </w:r>
      <w:r w:rsidR="00615DF7">
        <w:t>2</w:t>
      </w:r>
      <w:r w:rsidR="00615DF7" w:rsidRPr="00402239">
        <w:t xml:space="preserve">.gada </w:t>
      </w:r>
      <w:r w:rsidR="00615DF7">
        <w:t>6</w:t>
      </w:r>
      <w:r w:rsidR="00615DF7" w:rsidRPr="00402239">
        <w:t>.</w:t>
      </w:r>
      <w:r w:rsidR="00615DF7">
        <w:t xml:space="preserve"> un 11.janvārī,</w:t>
      </w:r>
      <w:r>
        <w:t xml:space="preserve"> </w:t>
      </w:r>
      <w:r w:rsidR="00615DF7">
        <w:t xml:space="preserve">ir </w:t>
      </w:r>
      <w:r>
        <w:t xml:space="preserve">piemērojama Atbalsta noteikumu redakcija, kas bija spēkā no 2021.gada 17.decembra līdz 2022.gada </w:t>
      </w:r>
      <w:r w:rsidR="00F84B03">
        <w:t>1</w:t>
      </w:r>
      <w:r>
        <w:t>.februārim.</w:t>
      </w:r>
    </w:p>
    <w:p w14:paraId="265AAAB5" w14:textId="505E3090" w:rsidR="00CE07E9" w:rsidRDefault="001676D2" w:rsidP="00137388">
      <w:pPr>
        <w:spacing w:line="276" w:lineRule="auto"/>
        <w:ind w:firstLine="720"/>
        <w:jc w:val="both"/>
      </w:pPr>
      <w:r>
        <w:lastRenderedPageBreak/>
        <w:t>Turklāt s</w:t>
      </w:r>
      <w:r w:rsidR="007D524A">
        <w:t>ecinājums</w:t>
      </w:r>
      <w:r w:rsidR="00CE07E9">
        <w:t xml:space="preserve">, ka </w:t>
      </w:r>
      <w:r w:rsidR="00CE07E9" w:rsidRPr="004B6522">
        <w:t>nav piemērojama</w:t>
      </w:r>
      <w:r w:rsidR="00CE07E9">
        <w:t xml:space="preserve"> </w:t>
      </w:r>
      <w:r w:rsidR="007D524A">
        <w:t xml:space="preserve">Atbalsta noteikumu </w:t>
      </w:r>
      <w:r w:rsidR="00CE07E9">
        <w:t xml:space="preserve">redakcija, kas bija spēkā </w:t>
      </w:r>
      <w:r w:rsidR="007D524A">
        <w:t>periodā</w:t>
      </w:r>
      <w:r w:rsidR="00CE07E9">
        <w:t xml:space="preserve">, par kuru </w:t>
      </w:r>
      <w:r w:rsidR="006B62A4">
        <w:t>lūgts</w:t>
      </w:r>
      <w:r w:rsidR="00CE07E9">
        <w:t xml:space="preserve"> atbalsts, </w:t>
      </w:r>
      <w:r w:rsidR="007D524A">
        <w:t xml:space="preserve">izriet no </w:t>
      </w:r>
      <w:r w:rsidR="00CE07E9">
        <w:t>loģik</w:t>
      </w:r>
      <w:r w:rsidR="007D524A">
        <w:t>ā balstītiem secinājumiem</w:t>
      </w:r>
      <w:r w:rsidR="004B6522">
        <w:t xml:space="preserve">. Proti, </w:t>
      </w:r>
      <w:r w:rsidR="00CE07E9">
        <w:t>pirms Atbalst</w:t>
      </w:r>
      <w:r w:rsidR="003246B1">
        <w:t>a</w:t>
      </w:r>
      <w:r w:rsidR="00CE07E9">
        <w:t xml:space="preserve"> noteikumu redakcijas, ar kuru atbalsts par šiem mēnešiem ir ieviests, pieņemšanas un </w:t>
      </w:r>
      <w:r w:rsidR="004B6522">
        <w:t xml:space="preserve">pirms </w:t>
      </w:r>
      <w:r w:rsidR="00CE07E9">
        <w:t>šā atbalsta saderīgums ar iekšējo tirgu apstiprināts ar Eiropas Komisijas lēmumu, tiesības uz atbalstu (objektīvā nozīmē)</w:t>
      </w:r>
      <w:r w:rsidR="007D524A">
        <w:t>, uz kurām privātpersonas varētu pretendēt (censties iegūt subjektīvās tiesības)</w:t>
      </w:r>
      <w:r w:rsidR="004B6522">
        <w:t>,</w:t>
      </w:r>
      <w:r w:rsidR="00CE07E9">
        <w:t xml:space="preserve"> vispār nepastāv. </w:t>
      </w:r>
      <w:r w:rsidR="006B62A4">
        <w:t xml:space="preserve">Atbalsta noteikumu 26.punkts paredz: </w:t>
      </w:r>
      <w:r w:rsidR="008E2CFE">
        <w:t>V</w:t>
      </w:r>
      <w:r w:rsidR="006B62A4" w:rsidRPr="006B62A4">
        <w:t>alsts ieņēmumu dienests pieņem lēmumu par atbalsta piešķiršanu un izmaksā atbalstu tikai pēc tam, kad Eiropas Komisija pieņēmusi lēmumu par šajos noteikumos paredzētā komercdarbības atbalsta saderību ar Eiropas Savienības iekšējo tirgu.</w:t>
      </w:r>
      <w:r w:rsidR="006B62A4">
        <w:t xml:space="preserve"> </w:t>
      </w:r>
      <w:r w:rsidR="007D524A">
        <w:t xml:space="preserve">Tādēļ ir acīmredzami, ka </w:t>
      </w:r>
      <w:r w:rsidR="00E504AD">
        <w:t>šajā</w:t>
      </w:r>
      <w:r w:rsidR="007D524A">
        <w:t xml:space="preserve"> gadījumā 2021.gada oktobrī un </w:t>
      </w:r>
      <w:r w:rsidR="00BC319C" w:rsidRPr="00470B6D">
        <w:t>novembrī</w:t>
      </w:r>
      <w:r w:rsidR="007D524A" w:rsidRPr="00BC319C">
        <w:t xml:space="preserve"> tiesiskās</w:t>
      </w:r>
      <w:r w:rsidR="007D524A">
        <w:t xml:space="preserve"> attiecības vēl nepastāvēja</w:t>
      </w:r>
      <w:r w:rsidR="006B62A4">
        <w:t xml:space="preserve"> (</w:t>
      </w:r>
      <w:r w:rsidR="006B62A4" w:rsidRPr="00302E66">
        <w:rPr>
          <w:i/>
          <w:iCs/>
        </w:rPr>
        <w:t xml:space="preserve">atbalsts par periodiem no 2021.gada oktobra līdz 2022.gada janvārim </w:t>
      </w:r>
      <w:hyperlink r:id="rId13" w:history="1">
        <w:r w:rsidR="006B62A4" w:rsidRPr="00302E66">
          <w:rPr>
            <w:rStyle w:val="Hyperlink"/>
            <w:i/>
            <w:iCs/>
          </w:rPr>
          <w:t>atzīts par saderīgu ar iekšējo tirgu tikai 2021.gada 14.decembrī</w:t>
        </w:r>
      </w:hyperlink>
      <w:r w:rsidR="006B62A4">
        <w:t>)</w:t>
      </w:r>
      <w:r w:rsidR="007D524A">
        <w:t xml:space="preserve">. Savukārt </w:t>
      </w:r>
      <w:r w:rsidR="00BD1B7D">
        <w:t xml:space="preserve">Atbalsta noteikumu </w:t>
      </w:r>
      <w:r w:rsidR="007D524A">
        <w:t>redakcijas, kas ir spēkā iesnieguma iesniegšanas brīdī, piemērošana balstās uz apsvērumu, ka</w:t>
      </w:r>
      <w:r w:rsidR="006B62A4">
        <w:t xml:space="preserve"> atbalsts tiek piešķirts tikai tad, ja privātpersona izsa</w:t>
      </w:r>
      <w:r w:rsidR="00B34D4D">
        <w:t>k</w:t>
      </w:r>
      <w:r w:rsidR="006B62A4">
        <w:t>a gribu to saņemt</w:t>
      </w:r>
      <w:r w:rsidR="00B34D4D">
        <w:t>. Savukārt</w:t>
      </w:r>
      <w:r w:rsidR="006B62A4">
        <w:t xml:space="preserve"> iesnieguma iesniegšan</w:t>
      </w:r>
      <w:r w:rsidR="00246F9A">
        <w:t>a ir forma, kādā</w:t>
      </w:r>
      <w:r w:rsidR="007D524A">
        <w:t xml:space="preserve"> privātpersona izsaka gribu uz subjektīvo tiesību radīšanu. </w:t>
      </w:r>
    </w:p>
    <w:p w14:paraId="4F628E66" w14:textId="206B1E96" w:rsidR="00806548" w:rsidRDefault="00806548" w:rsidP="00137388">
      <w:pPr>
        <w:spacing w:line="276" w:lineRule="auto"/>
        <w:ind w:firstLine="720"/>
        <w:jc w:val="both"/>
      </w:pPr>
      <w:r w:rsidRPr="00DB6D23">
        <w:t xml:space="preserve">Ievērojot minēto, atzīstams, ka </w:t>
      </w:r>
      <w:r w:rsidR="007E1277" w:rsidRPr="00DB6D23">
        <w:t>apgabal</w:t>
      </w:r>
      <w:r w:rsidRPr="00DB6D23">
        <w:t xml:space="preserve">tiesa pareizi piemēroja Atbalsta noteikumu redakciju, kas bija spēkā </w:t>
      </w:r>
      <w:r w:rsidR="00DB6D23" w:rsidRPr="00DB6D23">
        <w:t xml:space="preserve">no 2021.gada 17.decembra līdz 2022.gada </w:t>
      </w:r>
      <w:r w:rsidR="00F84B03">
        <w:t>1</w:t>
      </w:r>
      <w:r w:rsidR="00DB6D23" w:rsidRPr="00DB6D23">
        <w:t>.februārim</w:t>
      </w:r>
      <w:r w:rsidRPr="00DB6D23">
        <w:t>.</w:t>
      </w:r>
    </w:p>
    <w:p w14:paraId="2B0912BD" w14:textId="77777777" w:rsidR="008E2CFE" w:rsidRPr="007D524A" w:rsidRDefault="008E2CFE" w:rsidP="00137388">
      <w:pPr>
        <w:spacing w:line="276" w:lineRule="auto"/>
        <w:ind w:firstLine="720"/>
        <w:jc w:val="both"/>
      </w:pPr>
    </w:p>
    <w:p w14:paraId="0AFFDC8A" w14:textId="606EF707" w:rsidR="00EE718C" w:rsidRPr="008E2CFE" w:rsidRDefault="00EE718C" w:rsidP="00137388">
      <w:pPr>
        <w:spacing w:line="276" w:lineRule="auto"/>
        <w:jc w:val="center"/>
        <w:rPr>
          <w:b/>
          <w:bCs/>
        </w:rPr>
      </w:pPr>
      <w:r w:rsidRPr="008E2CFE">
        <w:rPr>
          <w:b/>
          <w:bCs/>
        </w:rPr>
        <w:t>III</w:t>
      </w:r>
    </w:p>
    <w:p w14:paraId="15D2DA6F" w14:textId="1B183EBF" w:rsidR="00EE718C" w:rsidRDefault="004026C3" w:rsidP="00137388">
      <w:pPr>
        <w:spacing w:line="276" w:lineRule="auto"/>
        <w:jc w:val="center"/>
      </w:pPr>
      <w:r>
        <w:rPr>
          <w:i/>
          <w:iCs/>
        </w:rPr>
        <w:t xml:space="preserve">Par </w:t>
      </w:r>
      <w:r w:rsidR="00EE718C" w:rsidRPr="00EE718C">
        <w:rPr>
          <w:i/>
          <w:iCs/>
        </w:rPr>
        <w:t>Atbalsta noteikumu 4.2.1.apakšpunkt</w:t>
      </w:r>
      <w:r w:rsidR="00EE718C">
        <w:rPr>
          <w:i/>
          <w:iCs/>
        </w:rPr>
        <w:t>a interpretācij</w:t>
      </w:r>
      <w:r>
        <w:rPr>
          <w:i/>
          <w:iCs/>
        </w:rPr>
        <w:t>u</w:t>
      </w:r>
    </w:p>
    <w:p w14:paraId="44A3877E" w14:textId="77777777" w:rsidR="00EE718C" w:rsidRDefault="00EE718C" w:rsidP="00137388">
      <w:pPr>
        <w:spacing w:line="276" w:lineRule="auto"/>
        <w:ind w:firstLine="720"/>
        <w:jc w:val="both"/>
      </w:pPr>
    </w:p>
    <w:p w14:paraId="41025907" w14:textId="6748F577" w:rsidR="00C8798A" w:rsidRDefault="007547F4" w:rsidP="00137388">
      <w:pPr>
        <w:spacing w:line="276" w:lineRule="auto"/>
        <w:ind w:firstLine="720"/>
        <w:jc w:val="both"/>
        <w:rPr>
          <w:lang w:eastAsia="lv-LV"/>
        </w:rPr>
      </w:pPr>
      <w:r>
        <w:t>[</w:t>
      </w:r>
      <w:r w:rsidR="00DC4C51">
        <w:t>13</w:t>
      </w:r>
      <w:r>
        <w:t xml:space="preserve">] </w:t>
      </w:r>
      <w:r w:rsidR="00C8798A">
        <w:rPr>
          <w:lang w:eastAsia="lv-LV"/>
        </w:rPr>
        <w:t>Atbalsta noteikumu 4.2.1.apak</w:t>
      </w:r>
      <w:r w:rsidR="00BD1B7D">
        <w:rPr>
          <w:lang w:eastAsia="lv-LV"/>
        </w:rPr>
        <w:t>š</w:t>
      </w:r>
      <w:r w:rsidR="00C8798A">
        <w:rPr>
          <w:lang w:eastAsia="lv-LV"/>
        </w:rPr>
        <w:t>punkts paredz: š</w:t>
      </w:r>
      <w:r w:rsidR="00C8798A" w:rsidRPr="00C8798A">
        <w:rPr>
          <w:lang w:eastAsia="lv-LV"/>
        </w:rPr>
        <w:t>o noteikumu ietvaros atbalstu var saņemt tāds uzņēmums</w:t>
      </w:r>
      <w:r w:rsidR="00C8798A">
        <w:rPr>
          <w:lang w:eastAsia="lv-LV"/>
        </w:rPr>
        <w:t xml:space="preserve">, </w:t>
      </w:r>
      <w:r w:rsidR="00C8798A" w:rsidRPr="00C8798A">
        <w:rPr>
          <w:lang w:eastAsia="lv-LV"/>
        </w:rPr>
        <w:t xml:space="preserve">kas reģistrēts Valsts ieņēmumu dienestā kā nodokļu maksātājs un </w:t>
      </w:r>
      <w:r w:rsidR="00C8798A" w:rsidRPr="00F23A62">
        <w:rPr>
          <w:lang w:eastAsia="lv-LV"/>
        </w:rPr>
        <w:t>atbalsta perioda mēnesī uzņēmuma apgrozījums ir krities vismaz par 20</w:t>
      </w:r>
      <w:r w:rsidR="00BD1B7D">
        <w:rPr>
          <w:lang w:eastAsia="lv-LV"/>
        </w:rPr>
        <w:t> </w:t>
      </w:r>
      <w:r w:rsidR="00C8798A" w:rsidRPr="00F23A62">
        <w:rPr>
          <w:lang w:eastAsia="lv-LV"/>
        </w:rPr>
        <w:t>%, salīdzinot ar vidējo apgrozījumu 2021.gada jūlijā, augustā un septembrī kopā, un šis apgrozījuma samazinājums ir saistīts ar saimnieciskās darbības ierobežojumiem sakarā ar Covid-19 infekcijas izplatības ierobežošanai paredzētajiem epidemioloģiskās drošības pasākumiem</w:t>
      </w:r>
      <w:r w:rsidR="00C8798A">
        <w:rPr>
          <w:lang w:eastAsia="lv-LV"/>
        </w:rPr>
        <w:t>.</w:t>
      </w:r>
    </w:p>
    <w:p w14:paraId="5613A033" w14:textId="4079A0FE" w:rsidR="00F07DCC" w:rsidRDefault="00F22009" w:rsidP="00137388">
      <w:pPr>
        <w:spacing w:line="276" w:lineRule="auto"/>
        <w:ind w:firstLine="720"/>
        <w:jc w:val="both"/>
        <w:rPr>
          <w:lang w:eastAsia="lv-LV"/>
        </w:rPr>
      </w:pPr>
      <w:r w:rsidRPr="00402239">
        <w:t xml:space="preserve">Lietā ir strīds par </w:t>
      </w:r>
      <w:bookmarkStart w:id="0" w:name="_Hlk211342090"/>
      <w:r w:rsidRPr="00402239">
        <w:t xml:space="preserve">Atbalsta noteikumu </w:t>
      </w:r>
      <w:r w:rsidRPr="00402239">
        <w:rPr>
          <w:lang w:eastAsia="lv-LV"/>
        </w:rPr>
        <w:t xml:space="preserve">4.2.1.apakšpunktā </w:t>
      </w:r>
      <w:bookmarkEnd w:id="0"/>
      <w:r w:rsidRPr="00402239">
        <w:rPr>
          <w:lang w:eastAsia="lv-LV"/>
        </w:rPr>
        <w:t>lietotā</w:t>
      </w:r>
      <w:r w:rsidR="00F07DCC">
        <w:rPr>
          <w:lang w:eastAsia="lv-LV"/>
        </w:rPr>
        <w:t>s frāzes</w:t>
      </w:r>
      <w:r w:rsidRPr="00402239">
        <w:rPr>
          <w:lang w:eastAsia="lv-LV"/>
        </w:rPr>
        <w:t xml:space="preserve"> „</w:t>
      </w:r>
      <w:r w:rsidR="00D52275" w:rsidRPr="00D52275">
        <w:rPr>
          <w:lang w:eastAsia="lv-LV"/>
        </w:rPr>
        <w:t>apgrozījuma samazinājums ir saistīts ar saimnieciskās darbības ierobežojumiem sakarā ar Covid-19 infekcijas izplatības ierobežošanai paredzētajiem epidemioloģiskās drošības pasākumiem</w:t>
      </w:r>
      <w:r w:rsidRPr="00402239">
        <w:rPr>
          <w:lang w:eastAsia="lv-LV"/>
        </w:rPr>
        <w:t>” interpretāciju</w:t>
      </w:r>
      <w:r w:rsidR="00117448">
        <w:rPr>
          <w:lang w:eastAsia="lv-LV"/>
        </w:rPr>
        <w:t xml:space="preserve">. </w:t>
      </w:r>
      <w:r w:rsidR="0010448D">
        <w:rPr>
          <w:lang w:eastAsia="lv-LV"/>
        </w:rPr>
        <w:t xml:space="preserve">Senātam ir jānoskaidro, </w:t>
      </w:r>
      <w:r w:rsidR="00F07DCC">
        <w:rPr>
          <w:lang w:eastAsia="lv-LV"/>
        </w:rPr>
        <w:t xml:space="preserve">vai šī frāze kā nosacījumu atbalsta piešķiršanai </w:t>
      </w:r>
      <w:r w:rsidR="0010448D">
        <w:rPr>
          <w:lang w:eastAsia="lv-LV"/>
        </w:rPr>
        <w:t xml:space="preserve">nosaka </w:t>
      </w:r>
      <w:r w:rsidR="00F07DCC">
        <w:rPr>
          <w:lang w:eastAsia="lv-LV"/>
        </w:rPr>
        <w:t>to, ka</w:t>
      </w:r>
      <w:r w:rsidR="00D52275">
        <w:rPr>
          <w:lang w:eastAsia="lv-LV"/>
        </w:rPr>
        <w:t xml:space="preserve"> apgrozījuma samazinājumam jābūt tiešā saiknē ar </w:t>
      </w:r>
      <w:r w:rsidR="007E1277" w:rsidRPr="0062070A">
        <w:t>Ministru kabineta 2021.gada 9.oktobra rīkojum</w:t>
      </w:r>
      <w:r w:rsidR="00BD1B7D">
        <w:t>ā</w:t>
      </w:r>
      <w:r w:rsidR="007E1277" w:rsidRPr="0062070A">
        <w:t xml:space="preserve"> Nr.</w:t>
      </w:r>
      <w:r w:rsidR="007E1277">
        <w:t> </w:t>
      </w:r>
      <w:r w:rsidR="007E1277" w:rsidRPr="0062070A">
        <w:t xml:space="preserve">720 </w:t>
      </w:r>
      <w:r w:rsidR="007E1277">
        <w:t>„</w:t>
      </w:r>
      <w:r w:rsidR="007E1277" w:rsidRPr="0062070A">
        <w:t>Par ārkārtējās situācijas izsludināšanu</w:t>
      </w:r>
      <w:r w:rsidR="007E1277">
        <w:t xml:space="preserve">” (turpmāk – rīkojums) </w:t>
      </w:r>
      <w:r w:rsidR="00D52275">
        <w:rPr>
          <w:lang w:eastAsia="lv-LV"/>
        </w:rPr>
        <w:t>noteiktajiem ierobežojumiem</w:t>
      </w:r>
      <w:r w:rsidRPr="00402239">
        <w:rPr>
          <w:lang w:eastAsia="lv-LV"/>
        </w:rPr>
        <w:t>.</w:t>
      </w:r>
    </w:p>
    <w:p w14:paraId="20A1B0DA" w14:textId="77777777" w:rsidR="0010448D" w:rsidRDefault="00DC13FB" w:rsidP="00137388">
      <w:pPr>
        <w:spacing w:line="276" w:lineRule="auto"/>
        <w:ind w:firstLine="720"/>
        <w:jc w:val="both"/>
        <w:rPr>
          <w:lang w:eastAsia="lv-LV"/>
        </w:rPr>
      </w:pPr>
      <w:r>
        <w:t>A</w:t>
      </w:r>
      <w:r w:rsidR="00D2039E" w:rsidRPr="00402239">
        <w:t>pgabaltiesa atzina, ka</w:t>
      </w:r>
      <w:r>
        <w:t xml:space="preserve"> dienests pamatoti atteicās piešķirt pieteicējai atbalstu, jo</w:t>
      </w:r>
      <w:r w:rsidR="00D52275">
        <w:t xml:space="preserve"> </w:t>
      </w:r>
      <w:r>
        <w:t xml:space="preserve">rīkojums neparedzēja ierobežojumus pieteicējas darbībai ārkārtējās situācijas laikā, līdz ar to </w:t>
      </w:r>
      <w:r>
        <w:rPr>
          <w:lang w:eastAsia="lv-LV"/>
        </w:rPr>
        <w:t>nepastāv</w:t>
      </w:r>
      <w:r>
        <w:t xml:space="preserve"> tieša cēloņsakarība starp ierobežojumu saistībā ar Covid-19 infekcijas izplatību noteikšanu un pieteicējas ieņēmumu kritumu, kas, apgabaltiesas ieskatā, bija nepieciešama atbilstoši </w:t>
      </w:r>
      <w:r w:rsidRPr="00402239">
        <w:t xml:space="preserve">Atbalsta noteikumu </w:t>
      </w:r>
      <w:r w:rsidRPr="00402239">
        <w:rPr>
          <w:lang w:eastAsia="lv-LV"/>
        </w:rPr>
        <w:t>4.2.1.apakšpunkt</w:t>
      </w:r>
      <w:r>
        <w:rPr>
          <w:lang w:eastAsia="lv-LV"/>
        </w:rPr>
        <w:t>am</w:t>
      </w:r>
      <w:r w:rsidR="00770D5B" w:rsidRPr="00402239">
        <w:rPr>
          <w:lang w:eastAsia="lv-LV"/>
        </w:rPr>
        <w:t>.</w:t>
      </w:r>
      <w:r>
        <w:rPr>
          <w:lang w:eastAsia="lv-LV"/>
        </w:rPr>
        <w:t xml:space="preserve"> </w:t>
      </w:r>
    </w:p>
    <w:p w14:paraId="005B1FB9" w14:textId="59F4D524" w:rsidR="00D960D0" w:rsidRPr="00402239" w:rsidRDefault="00D52275" w:rsidP="00137388">
      <w:pPr>
        <w:spacing w:line="276" w:lineRule="auto"/>
        <w:ind w:firstLine="720"/>
        <w:jc w:val="both"/>
        <w:rPr>
          <w:lang w:eastAsia="lv-LV"/>
        </w:rPr>
      </w:pPr>
      <w:r>
        <w:rPr>
          <w:shd w:val="clear" w:color="auto" w:fill="FFFFFF"/>
        </w:rPr>
        <w:t>Senāts tālāk izklāstīto iemeslu dēļ atzīst, ka</w:t>
      </w:r>
      <w:r w:rsidR="00DC13FB">
        <w:rPr>
          <w:shd w:val="clear" w:color="auto" w:fill="FFFFFF"/>
        </w:rPr>
        <w:t xml:space="preserve"> šāda </w:t>
      </w:r>
      <w:r w:rsidR="00DC13FB" w:rsidRPr="00402239">
        <w:t xml:space="preserve">Atbalsta noteikumu </w:t>
      </w:r>
      <w:r w:rsidR="00DC13FB" w:rsidRPr="00402239">
        <w:rPr>
          <w:lang w:eastAsia="lv-LV"/>
        </w:rPr>
        <w:t>4.2.1.apakšpunkt</w:t>
      </w:r>
      <w:r w:rsidR="00DC13FB">
        <w:rPr>
          <w:lang w:eastAsia="lv-LV"/>
        </w:rPr>
        <w:t xml:space="preserve">a interpretācija </w:t>
      </w:r>
      <w:r>
        <w:rPr>
          <w:shd w:val="clear" w:color="auto" w:fill="FFFFFF"/>
        </w:rPr>
        <w:t>nav pareiz</w:t>
      </w:r>
      <w:r w:rsidR="00DC13FB">
        <w:rPr>
          <w:shd w:val="clear" w:color="auto" w:fill="FFFFFF"/>
        </w:rPr>
        <w:t>a</w:t>
      </w:r>
      <w:r w:rsidR="00D960D0" w:rsidRPr="00402239">
        <w:t>.</w:t>
      </w:r>
    </w:p>
    <w:p w14:paraId="2AF2628F" w14:textId="77777777" w:rsidR="00610219" w:rsidRPr="00402239" w:rsidRDefault="00610219" w:rsidP="00137388">
      <w:pPr>
        <w:spacing w:line="276" w:lineRule="auto"/>
        <w:ind w:firstLine="720"/>
        <w:jc w:val="both"/>
      </w:pPr>
    </w:p>
    <w:p w14:paraId="14B51FB0" w14:textId="473FA6F3" w:rsidR="00547F38" w:rsidRDefault="00610219" w:rsidP="00137388">
      <w:pPr>
        <w:spacing w:line="276" w:lineRule="auto"/>
        <w:ind w:firstLine="720"/>
        <w:jc w:val="both"/>
      </w:pPr>
      <w:r w:rsidRPr="00D33CD6">
        <w:t>[</w:t>
      </w:r>
      <w:r w:rsidR="00DC4C51" w:rsidRPr="00D33CD6">
        <w:t>14</w:t>
      </w:r>
      <w:r w:rsidRPr="00D33CD6">
        <w:t xml:space="preserve">] </w:t>
      </w:r>
      <w:bookmarkStart w:id="1" w:name="_Hlk127285829"/>
      <w:r w:rsidR="007E7750" w:rsidRPr="007E7750">
        <w:rPr>
          <w:color w:val="000000" w:themeColor="text1"/>
        </w:rPr>
        <w:t xml:space="preserve">No pārsūdzētā sprieduma redzams, ka </w:t>
      </w:r>
      <w:r w:rsidR="00060749" w:rsidRPr="00402239">
        <w:t xml:space="preserve">Atbalsta noteikumu </w:t>
      </w:r>
      <w:r w:rsidR="00060749" w:rsidRPr="00402239">
        <w:rPr>
          <w:lang w:eastAsia="lv-LV"/>
        </w:rPr>
        <w:t>4.2.1.apakšpunkt</w:t>
      </w:r>
      <w:r w:rsidR="00060749">
        <w:rPr>
          <w:lang w:eastAsia="lv-LV"/>
        </w:rPr>
        <w:t xml:space="preserve">s </w:t>
      </w:r>
      <w:r w:rsidR="00DC4C51">
        <w:rPr>
          <w:lang w:eastAsia="lv-LV"/>
        </w:rPr>
        <w:t xml:space="preserve">spriedumā </w:t>
      </w:r>
      <w:r w:rsidR="00060749">
        <w:rPr>
          <w:lang w:eastAsia="lv-LV"/>
        </w:rPr>
        <w:t xml:space="preserve">interpretēts, iespaidojoties no </w:t>
      </w:r>
      <w:r w:rsidR="0045683D">
        <w:t>Atbalsta noteikumu pielikum</w:t>
      </w:r>
      <w:r w:rsidR="00060749">
        <w:t>os i</w:t>
      </w:r>
      <w:r w:rsidR="0045683D">
        <w:t>ekļaut</w:t>
      </w:r>
      <w:r w:rsidR="00060749">
        <w:t>ajiem</w:t>
      </w:r>
      <w:r w:rsidR="0045683D">
        <w:t xml:space="preserve"> </w:t>
      </w:r>
      <w:r w:rsidR="0045683D">
        <w:lastRenderedPageBreak/>
        <w:t>sarakst</w:t>
      </w:r>
      <w:r w:rsidR="00060749">
        <w:t>i</w:t>
      </w:r>
      <w:r w:rsidR="00117448">
        <w:t xml:space="preserve">em, kas nosaukti </w:t>
      </w:r>
      <w:r w:rsidR="00DC4C51">
        <w:t>– „</w:t>
      </w:r>
      <w:r w:rsidR="00117448">
        <w:t xml:space="preserve">atbalstāmās nozares” un </w:t>
      </w:r>
      <w:r w:rsidR="00DC4C51">
        <w:t>„</w:t>
      </w:r>
      <w:r w:rsidR="00117448">
        <w:t>neatbalstāmās nozares”</w:t>
      </w:r>
      <w:r w:rsidR="0045683D">
        <w:t xml:space="preserve">. </w:t>
      </w:r>
      <w:r w:rsidR="00CF6CA3">
        <w:t>Tomēr šā</w:t>
      </w:r>
      <w:r w:rsidR="0045683D">
        <w:t xml:space="preserve">da pieeja nav pareiza, jo </w:t>
      </w:r>
      <w:r w:rsidR="00FF5F53">
        <w:t xml:space="preserve">attiecībā uz atbalstu par 2021.gada oktobri un novembri </w:t>
      </w:r>
      <w:r w:rsidR="0045683D">
        <w:t xml:space="preserve">likumdevējs šiem sarakstiem nav piešķīris </w:t>
      </w:r>
      <w:r w:rsidR="0045683D" w:rsidRPr="00375146">
        <w:t>interpretatīvu</w:t>
      </w:r>
      <w:r w:rsidR="0045683D">
        <w:t xml:space="preserve"> nozīmi.</w:t>
      </w:r>
      <w:r w:rsidR="006A3ADF">
        <w:t xml:space="preserve"> </w:t>
      </w:r>
      <w:r w:rsidR="00925691">
        <w:t xml:space="preserve">Citiem vārdiem, par šo periodu tie nav ņemami vērā. </w:t>
      </w:r>
      <w:r w:rsidR="00D33CD6" w:rsidRPr="00402239">
        <w:t xml:space="preserve">Atbalsta noteikumu </w:t>
      </w:r>
      <w:r w:rsidR="00D33CD6" w:rsidRPr="00402239">
        <w:rPr>
          <w:lang w:eastAsia="lv-LV"/>
        </w:rPr>
        <w:t>4.2.1.apakšpunkt</w:t>
      </w:r>
      <w:r w:rsidR="00D33CD6">
        <w:rPr>
          <w:lang w:eastAsia="lv-LV"/>
        </w:rPr>
        <w:t xml:space="preserve">s ir interpretējams, ņemot vērā gan </w:t>
      </w:r>
      <w:r w:rsidR="00D33CD6">
        <w:t xml:space="preserve">Eiropas Komisijas lēmumus, ar kuriem atbalsta shēmas noteiktajos periodos atzītas par saderīgām ar iekšējo tirgu, gan </w:t>
      </w:r>
      <w:r w:rsidR="00375146">
        <w:t xml:space="preserve">aplūkojot tiesību normas sistēmiski un ievērojot </w:t>
      </w:r>
      <w:r w:rsidR="00D33CD6">
        <w:t>attiecīgo grozījumu apspriešanas materiāl</w:t>
      </w:r>
      <w:r w:rsidR="00375146">
        <w:t>us</w:t>
      </w:r>
      <w:r w:rsidR="00D33CD6">
        <w:t>.</w:t>
      </w:r>
    </w:p>
    <w:p w14:paraId="3DC2917B" w14:textId="77777777" w:rsidR="00547F38" w:rsidRDefault="00547F38" w:rsidP="00137388">
      <w:pPr>
        <w:spacing w:line="276" w:lineRule="auto"/>
        <w:ind w:firstLine="720"/>
        <w:jc w:val="both"/>
      </w:pPr>
    </w:p>
    <w:p w14:paraId="1351ACBA" w14:textId="48811BFC" w:rsidR="00C50F08" w:rsidRDefault="00D33CD6" w:rsidP="00137388">
      <w:pPr>
        <w:spacing w:line="276" w:lineRule="auto"/>
        <w:ind w:firstLine="720"/>
        <w:jc w:val="both"/>
      </w:pPr>
      <w:r>
        <w:t xml:space="preserve">[15] </w:t>
      </w:r>
      <w:r w:rsidR="0045683D">
        <w:t xml:space="preserve">Vispirms Senāts </w:t>
      </w:r>
      <w:r w:rsidR="00F36B2C">
        <w:t xml:space="preserve">atgādina, ka valsts atbalsta tiesības ir viena no jomām, kurā </w:t>
      </w:r>
      <w:r w:rsidR="004907CE">
        <w:t>Eiropas Savienība</w:t>
      </w:r>
      <w:r w:rsidR="008836CF">
        <w:t xml:space="preserve">i ir </w:t>
      </w:r>
      <w:r w:rsidR="00066036">
        <w:t>pār</w:t>
      </w:r>
      <w:r w:rsidR="008836CF">
        <w:t xml:space="preserve">nacionāla kompetence un </w:t>
      </w:r>
      <w:r w:rsidR="008836CF" w:rsidRPr="008836CF">
        <w:t xml:space="preserve">vienīgi </w:t>
      </w:r>
      <w:r w:rsidR="008836CF">
        <w:t xml:space="preserve">tā </w:t>
      </w:r>
      <w:r w:rsidR="008836CF" w:rsidRPr="008836CF">
        <w:t>var noteikt juridiski saistošus pasākumus šajā jomā</w:t>
      </w:r>
      <w:r w:rsidR="004907CE">
        <w:t xml:space="preserve"> (</w:t>
      </w:r>
      <w:r w:rsidR="008836CF">
        <w:t>sal.</w:t>
      </w:r>
      <w:r w:rsidR="00E05F0A">
        <w:t> </w:t>
      </w:r>
      <w:r w:rsidR="008836CF" w:rsidRPr="008836CF">
        <w:rPr>
          <w:i/>
          <w:iCs/>
        </w:rPr>
        <w:t>Satversmes tiesas 2015.gada 13.oktobra spriedum</w:t>
      </w:r>
      <w:r w:rsidR="003B514E">
        <w:rPr>
          <w:i/>
          <w:iCs/>
        </w:rPr>
        <w:t>a</w:t>
      </w:r>
      <w:r w:rsidR="008836CF" w:rsidRPr="008836CF">
        <w:rPr>
          <w:i/>
          <w:iCs/>
        </w:rPr>
        <w:t xml:space="preserve"> lietā Nr.</w:t>
      </w:r>
      <w:r w:rsidR="00DC4C51">
        <w:rPr>
          <w:i/>
          <w:iCs/>
        </w:rPr>
        <w:t> </w:t>
      </w:r>
      <w:hyperlink r:id="rId14" w:anchor="search=" w:history="1">
        <w:r w:rsidR="008836CF" w:rsidRPr="008836CF">
          <w:rPr>
            <w:rStyle w:val="Hyperlink"/>
            <w:i/>
            <w:iCs/>
          </w:rPr>
          <w:t>2014-36-01</w:t>
        </w:r>
      </w:hyperlink>
      <w:r w:rsidR="008836CF" w:rsidRPr="008836CF">
        <w:rPr>
          <w:i/>
          <w:iCs/>
        </w:rPr>
        <w:t xml:space="preserve"> 20.punkt</w:t>
      </w:r>
      <w:r w:rsidR="00DC4C51">
        <w:rPr>
          <w:i/>
          <w:iCs/>
        </w:rPr>
        <w:t>s</w:t>
      </w:r>
      <w:r w:rsidR="00066036">
        <w:rPr>
          <w:i/>
          <w:iCs/>
        </w:rPr>
        <w:t xml:space="preserve">; </w:t>
      </w:r>
      <w:r w:rsidR="00066036" w:rsidRPr="00066036">
        <w:rPr>
          <w:i/>
          <w:iCs/>
        </w:rPr>
        <w:t>2021.gada</w:t>
      </w:r>
      <w:r w:rsidR="00066036">
        <w:rPr>
          <w:i/>
          <w:iCs/>
        </w:rPr>
        <w:t xml:space="preserve"> </w:t>
      </w:r>
      <w:r w:rsidR="00066036" w:rsidRPr="00066036">
        <w:rPr>
          <w:i/>
          <w:iCs/>
        </w:rPr>
        <w:t>27.maij</w:t>
      </w:r>
      <w:r w:rsidR="00066036">
        <w:rPr>
          <w:i/>
          <w:iCs/>
        </w:rPr>
        <w:t>a sprieduma lietā Nr.</w:t>
      </w:r>
      <w:r w:rsidR="00DC4C51">
        <w:t> </w:t>
      </w:r>
      <w:hyperlink r:id="rId15" w:anchor="search=" w:history="1">
        <w:r w:rsidR="00066036" w:rsidRPr="00066036">
          <w:rPr>
            <w:rStyle w:val="Hyperlink"/>
            <w:i/>
            <w:iCs/>
          </w:rPr>
          <w:t>2020-49-01</w:t>
        </w:r>
      </w:hyperlink>
      <w:r w:rsidR="00066036">
        <w:rPr>
          <w:i/>
          <w:iCs/>
        </w:rPr>
        <w:t xml:space="preserve"> 27.punkt</w:t>
      </w:r>
      <w:r w:rsidR="00DC4C51">
        <w:rPr>
          <w:i/>
          <w:iCs/>
        </w:rPr>
        <w:t>s</w:t>
      </w:r>
      <w:r w:rsidR="004907CE">
        <w:t>)</w:t>
      </w:r>
      <w:r w:rsidR="00060749">
        <w:t xml:space="preserve">. </w:t>
      </w:r>
      <w:r w:rsidR="00F52BA5">
        <w:t>K</w:t>
      </w:r>
      <w:r w:rsidR="00082F68" w:rsidRPr="00082F68">
        <w:t xml:space="preserve">ontrolējot, kā dalībvalstis pilda pienākumus, kas tām uzlikti ar </w:t>
      </w:r>
      <w:r w:rsidR="00082F68">
        <w:t>Līguma par Eiropas Savienību darbību 107. un 108.pant</w:t>
      </w:r>
      <w:r w:rsidR="00F6049B">
        <w:t>u</w:t>
      </w:r>
      <w:r w:rsidR="00082F68" w:rsidRPr="00082F68">
        <w:t xml:space="preserve">, valsts tiesām un </w:t>
      </w:r>
      <w:r w:rsidR="00082F68">
        <w:t xml:space="preserve">Eiropas </w:t>
      </w:r>
      <w:r w:rsidR="00082F68" w:rsidRPr="00082F68">
        <w:t>Komisijai ir papildinošas</w:t>
      </w:r>
      <w:r w:rsidR="00066036">
        <w:t xml:space="preserve">, </w:t>
      </w:r>
      <w:r w:rsidR="00082F68">
        <w:t>taču</w:t>
      </w:r>
      <w:r w:rsidR="00082F68" w:rsidRPr="00082F68">
        <w:t xml:space="preserve"> atšķirīgas funkcijas</w:t>
      </w:r>
      <w:r w:rsidR="00082F68">
        <w:t xml:space="preserve"> (</w:t>
      </w:r>
      <w:r w:rsidR="00082F68" w:rsidRPr="003B514E">
        <w:rPr>
          <w:i/>
          <w:iCs/>
        </w:rPr>
        <w:t>Eiropas Savienības Tiesas 2006.gada 5.oktobra spriedum</w:t>
      </w:r>
      <w:r w:rsidR="00F52BA5" w:rsidRPr="003B514E">
        <w:rPr>
          <w:i/>
          <w:iCs/>
        </w:rPr>
        <w:t xml:space="preserve">a </w:t>
      </w:r>
      <w:r w:rsidR="00082F68" w:rsidRPr="003B514E">
        <w:rPr>
          <w:i/>
          <w:iCs/>
        </w:rPr>
        <w:t xml:space="preserve">lietā </w:t>
      </w:r>
      <w:r w:rsidR="00DC4C51">
        <w:rPr>
          <w:i/>
          <w:iCs/>
        </w:rPr>
        <w:t>„</w:t>
      </w:r>
      <w:r w:rsidR="003B514E" w:rsidRPr="003B514E">
        <w:rPr>
          <w:i/>
          <w:iCs/>
        </w:rPr>
        <w:t>Transalpine Ölleitung in Österreich”,</w:t>
      </w:r>
      <w:r w:rsidR="00DC4C51">
        <w:rPr>
          <w:i/>
          <w:iCs/>
        </w:rPr>
        <w:t xml:space="preserve"> </w:t>
      </w:r>
      <w:r w:rsidR="00082F68" w:rsidRPr="003B514E">
        <w:rPr>
          <w:i/>
          <w:iCs/>
        </w:rPr>
        <w:t>C-368/04</w:t>
      </w:r>
      <w:r w:rsidR="00FA2AF0">
        <w:rPr>
          <w:i/>
          <w:iCs/>
        </w:rPr>
        <w:t>,</w:t>
      </w:r>
      <w:r w:rsidR="00082F68" w:rsidRPr="003B514E">
        <w:rPr>
          <w:i/>
          <w:iCs/>
        </w:rPr>
        <w:t xml:space="preserve"> </w:t>
      </w:r>
      <w:hyperlink r:id="rId16" w:history="1">
        <w:r w:rsidR="00082F68" w:rsidRPr="003B514E">
          <w:rPr>
            <w:rStyle w:val="Hyperlink"/>
            <w:i/>
            <w:iCs/>
          </w:rPr>
          <w:t>ECLI:EU:C:2006:644</w:t>
        </w:r>
      </w:hyperlink>
      <w:r w:rsidR="00FA2AF0">
        <w:rPr>
          <w:i/>
          <w:iCs/>
        </w:rPr>
        <w:t>,</w:t>
      </w:r>
      <w:r w:rsidR="00082F68" w:rsidRPr="003B514E">
        <w:rPr>
          <w:i/>
          <w:iCs/>
        </w:rPr>
        <w:t xml:space="preserve"> 37.punkts</w:t>
      </w:r>
      <w:r w:rsidR="00082F68" w:rsidRPr="003B514E">
        <w:t>)</w:t>
      </w:r>
      <w:r w:rsidR="00F36B2C" w:rsidRPr="003B514E">
        <w:t>.</w:t>
      </w:r>
      <w:r w:rsidR="00F36B2C">
        <w:t xml:space="preserve"> </w:t>
      </w:r>
      <w:r w:rsidR="00F52BA5">
        <w:t>Eiropas Komisija šajās tiesībās atrodas administratīvās uzraudzības galotnē (</w:t>
      </w:r>
      <w:r w:rsidR="003B514E">
        <w:t>sal.</w:t>
      </w:r>
      <w:r w:rsidR="004026C3">
        <w:t> </w:t>
      </w:r>
      <w:r w:rsidR="00F52BA5" w:rsidRPr="003B514E">
        <w:rPr>
          <w:i/>
          <w:iCs/>
        </w:rPr>
        <w:t>Līguma par Eiropas Savienības darbību 108.pant</w:t>
      </w:r>
      <w:r w:rsidR="00DC4C51">
        <w:rPr>
          <w:i/>
          <w:iCs/>
        </w:rPr>
        <w:t>s</w:t>
      </w:r>
      <w:r w:rsidR="00F52BA5" w:rsidRPr="003B514E">
        <w:t xml:space="preserve">, </w:t>
      </w:r>
      <w:r w:rsidR="00F52BA5" w:rsidRPr="003B514E">
        <w:rPr>
          <w:i/>
          <w:iCs/>
        </w:rPr>
        <w:t xml:space="preserve">Eiropas Savienības Tiesas 2016.gada 21.jūlja sprieduma lietā </w:t>
      </w:r>
      <w:r w:rsidR="00DC4C51">
        <w:rPr>
          <w:i/>
          <w:iCs/>
        </w:rPr>
        <w:t>„</w:t>
      </w:r>
      <w:r w:rsidR="00F52BA5" w:rsidRPr="003B514E">
        <w:rPr>
          <w:i/>
          <w:iCs/>
        </w:rPr>
        <w:t>Dilly’s Wellnesshotel</w:t>
      </w:r>
      <w:r w:rsidR="003B514E" w:rsidRPr="003B514E">
        <w:rPr>
          <w:i/>
          <w:iCs/>
        </w:rPr>
        <w:t>”</w:t>
      </w:r>
      <w:r w:rsidR="00F52BA5" w:rsidRPr="003B514E">
        <w:rPr>
          <w:i/>
          <w:iCs/>
        </w:rPr>
        <w:t>, C</w:t>
      </w:r>
      <w:r w:rsidR="00F52BA5" w:rsidRPr="003B514E">
        <w:rPr>
          <w:i/>
          <w:iCs/>
        </w:rPr>
        <w:noBreakHyphen/>
        <w:t xml:space="preserve">493/14, </w:t>
      </w:r>
      <w:hyperlink r:id="rId17" w:history="1">
        <w:r w:rsidR="00C56EB4" w:rsidRPr="00C56EB4">
          <w:rPr>
            <w:rStyle w:val="Hyperlink"/>
            <w:i/>
            <w:iCs/>
          </w:rPr>
          <w:t>ECLI:EU:C:2016:577</w:t>
        </w:r>
      </w:hyperlink>
      <w:r w:rsidR="00E05F0A">
        <w:rPr>
          <w:i/>
          <w:iCs/>
        </w:rPr>
        <w:t>,</w:t>
      </w:r>
      <w:r w:rsidR="00F52BA5" w:rsidRPr="003B514E">
        <w:rPr>
          <w:i/>
          <w:iCs/>
        </w:rPr>
        <w:t xml:space="preserve"> 38.punkt</w:t>
      </w:r>
      <w:r w:rsidR="00DC4C51">
        <w:rPr>
          <w:i/>
          <w:iCs/>
        </w:rPr>
        <w:t>s</w:t>
      </w:r>
      <w:r w:rsidR="00F52BA5">
        <w:t xml:space="preserve">). </w:t>
      </w:r>
      <w:r w:rsidR="00C50F08">
        <w:t xml:space="preserve">Tikai </w:t>
      </w:r>
      <w:r w:rsidR="00F36B2C">
        <w:t>Eiropas Komisijai ir ekskluzīvas tiesības atzīt atbalstu par saderīgu vai nesaderīgu ar iekšējo tirgu</w:t>
      </w:r>
      <w:r w:rsidR="00E0476E">
        <w:t xml:space="preserve"> un tādējādi valsts resursu pārvedumus par tiesiskiem</w:t>
      </w:r>
      <w:r w:rsidR="00B87F81">
        <w:t xml:space="preserve"> vai tādiem, kas pārkāpj Līguma par Eiropas Savienības darbību 107.pantu</w:t>
      </w:r>
      <w:r w:rsidR="00C50F08">
        <w:t xml:space="preserve"> </w:t>
      </w:r>
      <w:r w:rsidR="00C50F08" w:rsidRPr="003B514E">
        <w:t>(sk.</w:t>
      </w:r>
      <w:r w:rsidR="004026C3">
        <w:t> </w:t>
      </w:r>
      <w:r w:rsidR="003B514E" w:rsidRPr="003B514E">
        <w:rPr>
          <w:i/>
          <w:iCs/>
        </w:rPr>
        <w:t xml:space="preserve">Eiropas Savienības Tiesas 2006.gada 5.oktobra sprieduma lietā </w:t>
      </w:r>
      <w:r w:rsidR="00DC4C51">
        <w:rPr>
          <w:i/>
          <w:iCs/>
        </w:rPr>
        <w:t>„</w:t>
      </w:r>
      <w:r w:rsidR="003B514E" w:rsidRPr="003B514E">
        <w:rPr>
          <w:i/>
          <w:iCs/>
        </w:rPr>
        <w:t>Transalpine Ölleitung in Österreich”,</w:t>
      </w:r>
      <w:r w:rsidR="00DC4C51">
        <w:rPr>
          <w:i/>
          <w:iCs/>
        </w:rPr>
        <w:t xml:space="preserve"> </w:t>
      </w:r>
      <w:r w:rsidR="003B514E" w:rsidRPr="003B514E">
        <w:rPr>
          <w:i/>
          <w:iCs/>
        </w:rPr>
        <w:t>C-368/04</w:t>
      </w:r>
      <w:r w:rsidR="004026C3">
        <w:rPr>
          <w:i/>
          <w:iCs/>
        </w:rPr>
        <w:t>,</w:t>
      </w:r>
      <w:r w:rsidR="003B514E" w:rsidRPr="003B514E">
        <w:rPr>
          <w:i/>
          <w:iCs/>
        </w:rPr>
        <w:t xml:space="preserve"> </w:t>
      </w:r>
      <w:hyperlink r:id="rId18" w:history="1">
        <w:r w:rsidR="003B514E" w:rsidRPr="003B514E">
          <w:rPr>
            <w:rStyle w:val="Hyperlink"/>
            <w:i/>
            <w:iCs/>
          </w:rPr>
          <w:t>ECLI:EU:C:2006:644</w:t>
        </w:r>
      </w:hyperlink>
      <w:r w:rsidR="004026C3" w:rsidRPr="004026C3">
        <w:rPr>
          <w:i/>
          <w:iCs/>
        </w:rPr>
        <w:t>,</w:t>
      </w:r>
      <w:r w:rsidR="003B514E">
        <w:rPr>
          <w:i/>
          <w:iCs/>
        </w:rPr>
        <w:t xml:space="preserve"> </w:t>
      </w:r>
      <w:r w:rsidR="004A6BD8" w:rsidRPr="003B514E">
        <w:rPr>
          <w:i/>
          <w:iCs/>
        </w:rPr>
        <w:t>38.punkt</w:t>
      </w:r>
      <w:r w:rsidR="00F52BA5" w:rsidRPr="003B514E">
        <w:rPr>
          <w:i/>
          <w:iCs/>
        </w:rPr>
        <w:t>u</w:t>
      </w:r>
      <w:r w:rsidR="004A6BD8" w:rsidRPr="003B514E">
        <w:rPr>
          <w:i/>
          <w:iCs/>
        </w:rPr>
        <w:t>; 2025.gada 13.marta spriedum</w:t>
      </w:r>
      <w:r w:rsidR="00F52BA5" w:rsidRPr="003B514E">
        <w:rPr>
          <w:i/>
          <w:iCs/>
        </w:rPr>
        <w:t>a</w:t>
      </w:r>
      <w:r w:rsidR="004A6BD8" w:rsidRPr="003B514E">
        <w:rPr>
          <w:i/>
          <w:iCs/>
        </w:rPr>
        <w:t xml:space="preserve"> apvienot</w:t>
      </w:r>
      <w:r w:rsidR="00F6049B">
        <w:rPr>
          <w:i/>
          <w:iCs/>
        </w:rPr>
        <w:t>a</w:t>
      </w:r>
      <w:r w:rsidR="004A6BD8" w:rsidRPr="003B514E">
        <w:rPr>
          <w:i/>
          <w:iCs/>
        </w:rPr>
        <w:t xml:space="preserve">jās lietās </w:t>
      </w:r>
      <w:r w:rsidR="00DC4C51">
        <w:rPr>
          <w:i/>
          <w:iCs/>
        </w:rPr>
        <w:t>„</w:t>
      </w:r>
      <w:r w:rsidR="003B514E" w:rsidRPr="003B514E">
        <w:rPr>
          <w:i/>
          <w:iCs/>
        </w:rPr>
        <w:t xml:space="preserve">Cividale and Flag”, </w:t>
      </w:r>
      <w:r w:rsidR="004A6BD8" w:rsidRPr="003B514E">
        <w:rPr>
          <w:i/>
          <w:iCs/>
        </w:rPr>
        <w:t>C-746/23 un C-747/23</w:t>
      </w:r>
      <w:r w:rsidR="00FA2AF0">
        <w:rPr>
          <w:i/>
          <w:iCs/>
        </w:rPr>
        <w:t>,</w:t>
      </w:r>
      <w:r w:rsidR="003B514E" w:rsidRPr="003B514E">
        <w:rPr>
          <w:i/>
          <w:iCs/>
        </w:rPr>
        <w:t xml:space="preserve"> </w:t>
      </w:r>
      <w:hyperlink r:id="rId19" w:history="1">
        <w:r w:rsidR="003B514E" w:rsidRPr="003B514E">
          <w:rPr>
            <w:rStyle w:val="Hyperlink"/>
            <w:i/>
            <w:iCs/>
          </w:rPr>
          <w:t>ECLI:EU:C:2025:171</w:t>
        </w:r>
      </w:hyperlink>
      <w:r w:rsidR="00FA2AF0">
        <w:rPr>
          <w:i/>
          <w:iCs/>
        </w:rPr>
        <w:t>,</w:t>
      </w:r>
      <w:r w:rsidR="004A6BD8" w:rsidRPr="003B514E">
        <w:rPr>
          <w:i/>
          <w:iCs/>
        </w:rPr>
        <w:t xml:space="preserve"> 32.punkt</w:t>
      </w:r>
      <w:r w:rsidR="00F52BA5" w:rsidRPr="003B514E">
        <w:rPr>
          <w:i/>
          <w:iCs/>
        </w:rPr>
        <w:t>u</w:t>
      </w:r>
      <w:r w:rsidR="00C50F08">
        <w:t>)</w:t>
      </w:r>
      <w:r w:rsidR="00F36B2C">
        <w:t>.</w:t>
      </w:r>
      <w:r w:rsidR="00B87F81">
        <w:t xml:space="preserve"> I</w:t>
      </w:r>
      <w:r w:rsidR="00F36B2C">
        <w:t xml:space="preserve">evērojot </w:t>
      </w:r>
      <w:r w:rsidR="004907CE">
        <w:t>to, ka Eiropas Savienības tiesīb</w:t>
      </w:r>
      <w:r w:rsidR="00F6049B">
        <w:t>ās</w:t>
      </w:r>
      <w:r w:rsidR="004907CE">
        <w:t xml:space="preserve"> ir izveidota efektīva tiesiskuma pārbaudes </w:t>
      </w:r>
      <w:r w:rsidR="00066036">
        <w:t>procedūra</w:t>
      </w:r>
      <w:r w:rsidR="00F47863">
        <w:t xml:space="preserve"> un</w:t>
      </w:r>
      <w:r w:rsidR="00C50F08">
        <w:t xml:space="preserve"> </w:t>
      </w:r>
      <w:r w:rsidR="004907CE">
        <w:t>jurisdikcija</w:t>
      </w:r>
      <w:r w:rsidR="00066036">
        <w:t xml:space="preserve"> </w:t>
      </w:r>
      <w:r w:rsidR="004907CE">
        <w:t>pār Eiropas Komisijas lēmumiem un bezdarbību ir Eiropas Savienības Tiesa</w:t>
      </w:r>
      <w:r w:rsidR="00765272">
        <w:t>i (</w:t>
      </w:r>
      <w:r w:rsidR="00765272" w:rsidRPr="003B514E">
        <w:rPr>
          <w:i/>
          <w:iCs/>
        </w:rPr>
        <w:t>sal.</w:t>
      </w:r>
      <w:r w:rsidR="004026C3">
        <w:rPr>
          <w:i/>
          <w:iCs/>
        </w:rPr>
        <w:t> </w:t>
      </w:r>
      <w:r w:rsidR="00765272" w:rsidRPr="003B514E">
        <w:rPr>
          <w:i/>
          <w:iCs/>
        </w:rPr>
        <w:t>Eiropas Savienības Tiesas 2017.gada 28.marta spriedum</w:t>
      </w:r>
      <w:r w:rsidR="00F6049B">
        <w:rPr>
          <w:i/>
          <w:iCs/>
        </w:rPr>
        <w:t>a</w:t>
      </w:r>
      <w:r w:rsidR="00765272" w:rsidRPr="003B514E">
        <w:rPr>
          <w:i/>
          <w:iCs/>
        </w:rPr>
        <w:t xml:space="preserve"> lietā </w:t>
      </w:r>
      <w:r w:rsidR="00F6049B">
        <w:rPr>
          <w:i/>
          <w:iCs/>
        </w:rPr>
        <w:t>„</w:t>
      </w:r>
      <w:r w:rsidR="003B514E" w:rsidRPr="003B514E">
        <w:rPr>
          <w:i/>
          <w:iCs/>
        </w:rPr>
        <w:t xml:space="preserve">Rosneft”, </w:t>
      </w:r>
      <w:r w:rsidR="00765272" w:rsidRPr="003B514E">
        <w:rPr>
          <w:i/>
          <w:iCs/>
        </w:rPr>
        <w:t>C-72/15</w:t>
      </w:r>
      <w:r w:rsidR="00DC4C51">
        <w:rPr>
          <w:i/>
          <w:iCs/>
        </w:rPr>
        <w:t xml:space="preserve">, </w:t>
      </w:r>
      <w:hyperlink r:id="rId20" w:history="1">
        <w:r w:rsidR="003B514E" w:rsidRPr="003B514E">
          <w:rPr>
            <w:rStyle w:val="Hyperlink"/>
            <w:i/>
            <w:iCs/>
          </w:rPr>
          <w:t>ECLI:EU:C:2017:236</w:t>
        </w:r>
      </w:hyperlink>
      <w:r w:rsidR="008E171E">
        <w:rPr>
          <w:i/>
          <w:iCs/>
        </w:rPr>
        <w:t>,</w:t>
      </w:r>
      <w:r w:rsidR="003B514E" w:rsidRPr="003B514E">
        <w:rPr>
          <w:i/>
          <w:iCs/>
        </w:rPr>
        <w:t xml:space="preserve"> </w:t>
      </w:r>
      <w:r w:rsidR="00765272" w:rsidRPr="003B514E">
        <w:rPr>
          <w:i/>
          <w:iCs/>
        </w:rPr>
        <w:t>66.</w:t>
      </w:r>
      <w:r w:rsidR="00DC4C51">
        <w:rPr>
          <w:i/>
          <w:iCs/>
        </w:rPr>
        <w:t>–</w:t>
      </w:r>
      <w:r w:rsidR="00765272" w:rsidRPr="003B514E">
        <w:rPr>
          <w:i/>
          <w:iCs/>
        </w:rPr>
        <w:t>68</w:t>
      </w:r>
      <w:r w:rsidR="004E775E" w:rsidRPr="003B514E">
        <w:rPr>
          <w:i/>
          <w:iCs/>
        </w:rPr>
        <w:t>.</w:t>
      </w:r>
      <w:r w:rsidR="00765272" w:rsidRPr="003B514E">
        <w:rPr>
          <w:i/>
          <w:iCs/>
        </w:rPr>
        <w:t>punkts</w:t>
      </w:r>
      <w:r w:rsidR="00765272">
        <w:t>)</w:t>
      </w:r>
      <w:r w:rsidR="004907CE">
        <w:t xml:space="preserve">, </w:t>
      </w:r>
      <w:r w:rsidR="00F47863">
        <w:t xml:space="preserve">dalībvalstu tiesām </w:t>
      </w:r>
      <w:r w:rsidR="004907CE">
        <w:t>nav tiesību pārvērtēt</w:t>
      </w:r>
      <w:r w:rsidR="003B514E">
        <w:t xml:space="preserve"> ar</w:t>
      </w:r>
      <w:r w:rsidR="004907CE">
        <w:t xml:space="preserve"> spēkā stājušos Eiropas Komisijas lēmumu</w:t>
      </w:r>
      <w:r w:rsidR="006D6095">
        <w:t xml:space="preserve"> izlemtus jautājumus</w:t>
      </w:r>
      <w:r w:rsidR="008201CA">
        <w:t xml:space="preserve"> šajā jomā</w:t>
      </w:r>
      <w:r w:rsidR="00F47863">
        <w:t xml:space="preserve"> (</w:t>
      </w:r>
      <w:r w:rsidR="008201CA" w:rsidRPr="003B514E">
        <w:t>sk.</w:t>
      </w:r>
      <w:r w:rsidR="00E05F0A">
        <w:t> </w:t>
      </w:r>
      <w:r w:rsidR="008201CA" w:rsidRPr="003B514E">
        <w:rPr>
          <w:i/>
          <w:iCs/>
        </w:rPr>
        <w:t>Eiropas Savienības Tiesas 2016.gada 15.septembra spriedum</w:t>
      </w:r>
      <w:r w:rsidR="00F52BA5" w:rsidRPr="003B514E">
        <w:rPr>
          <w:i/>
          <w:iCs/>
        </w:rPr>
        <w:t>a</w:t>
      </w:r>
      <w:r w:rsidR="008201CA" w:rsidRPr="003B514E">
        <w:rPr>
          <w:i/>
          <w:iCs/>
        </w:rPr>
        <w:t xml:space="preserve"> lietā </w:t>
      </w:r>
      <w:r w:rsidR="00DC4C51">
        <w:rPr>
          <w:i/>
          <w:iCs/>
        </w:rPr>
        <w:t>„</w:t>
      </w:r>
      <w:r w:rsidR="003B514E" w:rsidRPr="003B514E">
        <w:rPr>
          <w:i/>
          <w:iCs/>
        </w:rPr>
        <w:t xml:space="preserve">PGE”, </w:t>
      </w:r>
      <w:r w:rsidR="008201CA" w:rsidRPr="003B514E">
        <w:rPr>
          <w:i/>
          <w:iCs/>
        </w:rPr>
        <w:t>C-574/14</w:t>
      </w:r>
      <w:r w:rsidR="00DC4C51">
        <w:rPr>
          <w:i/>
          <w:iCs/>
        </w:rPr>
        <w:t>,</w:t>
      </w:r>
      <w:r w:rsidR="00246F9A">
        <w:rPr>
          <w:i/>
          <w:iCs/>
        </w:rPr>
        <w:t xml:space="preserve"> </w:t>
      </w:r>
      <w:hyperlink r:id="rId21" w:history="1">
        <w:r w:rsidR="00246F9A" w:rsidRPr="00246F9A">
          <w:rPr>
            <w:rStyle w:val="Hyperlink"/>
            <w:i/>
            <w:iCs/>
          </w:rPr>
          <w:t>ECLI:EU:C:2016:686</w:t>
        </w:r>
      </w:hyperlink>
      <w:r w:rsidR="008E171E">
        <w:rPr>
          <w:i/>
          <w:iCs/>
        </w:rPr>
        <w:t>,</w:t>
      </w:r>
      <w:r w:rsidR="008201CA" w:rsidRPr="003B514E">
        <w:rPr>
          <w:i/>
          <w:iCs/>
        </w:rPr>
        <w:t xml:space="preserve"> 31</w:t>
      </w:r>
      <w:r w:rsidR="007E7750">
        <w:rPr>
          <w:i/>
          <w:iCs/>
        </w:rPr>
        <w:t>.–</w:t>
      </w:r>
      <w:r w:rsidR="008201CA" w:rsidRPr="003B514E">
        <w:rPr>
          <w:i/>
          <w:iCs/>
        </w:rPr>
        <w:t>39.punkt</w:t>
      </w:r>
      <w:r w:rsidR="00F52BA5" w:rsidRPr="003B514E">
        <w:rPr>
          <w:i/>
          <w:iCs/>
        </w:rPr>
        <w:t>u</w:t>
      </w:r>
      <w:r w:rsidR="008201CA" w:rsidRPr="003B514E">
        <w:rPr>
          <w:i/>
          <w:iCs/>
        </w:rPr>
        <w:t xml:space="preserve">; arī </w:t>
      </w:r>
      <w:r w:rsidR="006D6095" w:rsidRPr="003B514E">
        <w:rPr>
          <w:i/>
          <w:iCs/>
        </w:rPr>
        <w:t>1987.gada 22.oktobra spriedum</w:t>
      </w:r>
      <w:r w:rsidR="003B514E" w:rsidRPr="003B514E">
        <w:rPr>
          <w:i/>
          <w:iCs/>
        </w:rPr>
        <w:t>a</w:t>
      </w:r>
      <w:r w:rsidR="006D6095" w:rsidRPr="003B514E">
        <w:rPr>
          <w:i/>
          <w:iCs/>
        </w:rPr>
        <w:t xml:space="preserve"> lietā </w:t>
      </w:r>
      <w:r w:rsidR="008E171E">
        <w:rPr>
          <w:i/>
          <w:iCs/>
        </w:rPr>
        <w:t>„</w:t>
      </w:r>
      <w:r w:rsidR="003B514E" w:rsidRPr="003B514E">
        <w:rPr>
          <w:i/>
          <w:iCs/>
        </w:rPr>
        <w:t xml:space="preserve">Foto-Frost v Hauptzollamt Lübeck-Ost”, </w:t>
      </w:r>
      <w:r w:rsidR="006D6095" w:rsidRPr="003B514E">
        <w:rPr>
          <w:i/>
          <w:iCs/>
        </w:rPr>
        <w:t>C-314/85</w:t>
      </w:r>
      <w:r w:rsidR="00FA2AF0">
        <w:rPr>
          <w:i/>
          <w:iCs/>
        </w:rPr>
        <w:t>,</w:t>
      </w:r>
      <w:r w:rsidR="00246F9A">
        <w:rPr>
          <w:i/>
          <w:iCs/>
        </w:rPr>
        <w:t xml:space="preserve"> </w:t>
      </w:r>
      <w:hyperlink r:id="rId22" w:history="1">
        <w:r w:rsidR="00246F9A" w:rsidRPr="00246F9A">
          <w:rPr>
            <w:rStyle w:val="Hyperlink"/>
            <w:i/>
            <w:iCs/>
          </w:rPr>
          <w:t>ECLI:EU:C:1987:452</w:t>
        </w:r>
      </w:hyperlink>
      <w:r w:rsidR="00FA2AF0">
        <w:rPr>
          <w:i/>
          <w:iCs/>
        </w:rPr>
        <w:t>,</w:t>
      </w:r>
      <w:r w:rsidR="006D6095" w:rsidRPr="003B514E">
        <w:rPr>
          <w:i/>
          <w:iCs/>
        </w:rPr>
        <w:t xml:space="preserve"> 15.</w:t>
      </w:r>
      <w:r w:rsidR="008E171E">
        <w:rPr>
          <w:i/>
          <w:iCs/>
        </w:rPr>
        <w:t>–</w:t>
      </w:r>
      <w:r w:rsidR="00987D96" w:rsidRPr="003B514E">
        <w:rPr>
          <w:i/>
          <w:iCs/>
        </w:rPr>
        <w:t>17.</w:t>
      </w:r>
      <w:r w:rsidR="006D6095" w:rsidRPr="003B514E">
        <w:rPr>
          <w:i/>
          <w:iCs/>
        </w:rPr>
        <w:t>, 19.</w:t>
      </w:r>
      <w:r w:rsidR="008E171E">
        <w:rPr>
          <w:i/>
          <w:iCs/>
        </w:rPr>
        <w:t>–</w:t>
      </w:r>
      <w:r w:rsidR="006D6095" w:rsidRPr="003B514E">
        <w:rPr>
          <w:i/>
          <w:iCs/>
        </w:rPr>
        <w:t>20.punkt</w:t>
      </w:r>
      <w:r w:rsidR="00414B4E" w:rsidRPr="003B514E">
        <w:rPr>
          <w:i/>
          <w:iCs/>
        </w:rPr>
        <w:t>u</w:t>
      </w:r>
      <w:r w:rsidR="006D6095" w:rsidRPr="003B514E">
        <w:rPr>
          <w:i/>
          <w:iCs/>
        </w:rPr>
        <w:t>;</w:t>
      </w:r>
      <w:r w:rsidR="004E775E" w:rsidRPr="003B514E">
        <w:rPr>
          <w:i/>
          <w:iCs/>
        </w:rPr>
        <w:t xml:space="preserve"> </w:t>
      </w:r>
      <w:r w:rsidR="00E05F0A">
        <w:rPr>
          <w:i/>
          <w:iCs/>
        </w:rPr>
        <w:t>2017.gada 28.marta sprieduma lietā „</w:t>
      </w:r>
      <w:r w:rsidR="00E05F0A" w:rsidRPr="003B514E">
        <w:rPr>
          <w:i/>
          <w:iCs/>
        </w:rPr>
        <w:t xml:space="preserve">Rosneft”, </w:t>
      </w:r>
      <w:r w:rsidR="003B514E" w:rsidRPr="003B514E">
        <w:rPr>
          <w:i/>
          <w:iCs/>
        </w:rPr>
        <w:t>C-72/15</w:t>
      </w:r>
      <w:r w:rsidR="008E171E">
        <w:rPr>
          <w:i/>
          <w:iCs/>
        </w:rPr>
        <w:t xml:space="preserve">, </w:t>
      </w:r>
      <w:hyperlink r:id="rId23" w:history="1">
        <w:r w:rsidR="003B514E" w:rsidRPr="003B514E">
          <w:rPr>
            <w:rStyle w:val="Hyperlink"/>
            <w:i/>
            <w:iCs/>
          </w:rPr>
          <w:t>ECLI:EU:C:2017:236</w:t>
        </w:r>
      </w:hyperlink>
      <w:r w:rsidR="008E171E" w:rsidRPr="00FA2AF0">
        <w:rPr>
          <w:i/>
          <w:iCs/>
        </w:rPr>
        <w:t>,</w:t>
      </w:r>
      <w:r w:rsidR="008E171E">
        <w:t xml:space="preserve"> </w:t>
      </w:r>
      <w:r w:rsidR="004E775E" w:rsidRPr="003B514E">
        <w:rPr>
          <w:i/>
          <w:iCs/>
        </w:rPr>
        <w:t>77.</w:t>
      </w:r>
      <w:r w:rsidR="008E171E">
        <w:rPr>
          <w:i/>
          <w:iCs/>
        </w:rPr>
        <w:t>–</w:t>
      </w:r>
      <w:r w:rsidR="004E775E" w:rsidRPr="003B514E">
        <w:rPr>
          <w:i/>
          <w:iCs/>
        </w:rPr>
        <w:t>78.punkt</w:t>
      </w:r>
      <w:r w:rsidR="00414B4E" w:rsidRPr="003B514E">
        <w:rPr>
          <w:i/>
          <w:iCs/>
        </w:rPr>
        <w:t>u</w:t>
      </w:r>
      <w:r w:rsidR="00F47863">
        <w:t>)</w:t>
      </w:r>
      <w:r w:rsidR="003B514E">
        <w:t>. J</w:t>
      </w:r>
      <w:r w:rsidR="00066036">
        <w:t>a dalībvalstu tiesām rodas j</w:t>
      </w:r>
      <w:r w:rsidR="00C50F08">
        <w:t>autājumi</w:t>
      </w:r>
      <w:r w:rsidR="00940A99">
        <w:t>, k</w:t>
      </w:r>
      <w:r w:rsidR="003B514E">
        <w:t xml:space="preserve">as saistīti ar </w:t>
      </w:r>
      <w:r w:rsidR="00940A99">
        <w:t>šaub</w:t>
      </w:r>
      <w:r w:rsidR="003B514E">
        <w:t>ām</w:t>
      </w:r>
      <w:r w:rsidR="00C50F08">
        <w:t xml:space="preserve"> par Eiropas Komisijas lēmumu interpretāciju</w:t>
      </w:r>
      <w:r w:rsidR="00940A99">
        <w:t>,</w:t>
      </w:r>
      <w:r w:rsidR="00C50F08">
        <w:t xml:space="preserve"> </w:t>
      </w:r>
      <w:r w:rsidR="00066036">
        <w:t xml:space="preserve">tie </w:t>
      </w:r>
      <w:r w:rsidR="00C50F08">
        <w:t xml:space="preserve">ir jārisina ar Līguma par Eiropas Savienības darbību 267.pantā paredzētā prejudiciālā nolēmuma iegūšanas mehānisma palīdzību, jo minētais mehānisms atbilstoši minētā panta pirmās daļas </w:t>
      </w:r>
      <w:r w:rsidR="00F6049B">
        <w:t>„</w:t>
      </w:r>
      <w:r w:rsidR="00C50F08">
        <w:t>b</w:t>
      </w:r>
      <w:r w:rsidR="00F6049B">
        <w:t>”</w:t>
      </w:r>
      <w:r w:rsidR="00C50F08">
        <w:t xml:space="preserve"> apakšpunktam pieļauj jautājumus par institūciju lēmumu interpretāciju,</w:t>
      </w:r>
      <w:r w:rsidR="00F47863">
        <w:t xml:space="preserve"> īpaši</w:t>
      </w:r>
      <w:r w:rsidR="00C50F08">
        <w:t xml:space="preserve"> neizdalot</w:t>
      </w:r>
      <w:r w:rsidR="00F47863">
        <w:t xml:space="preserve"> jautājumus par</w:t>
      </w:r>
      <w:r w:rsidR="00C50F08">
        <w:t xml:space="preserve"> </w:t>
      </w:r>
      <w:r w:rsidR="00375146">
        <w:t xml:space="preserve">likumdošanas </w:t>
      </w:r>
      <w:r w:rsidR="00C50F08">
        <w:t>vai administratīv</w:t>
      </w:r>
      <w:r w:rsidR="00F47863">
        <w:t>iem</w:t>
      </w:r>
      <w:r w:rsidR="00E0476E">
        <w:t xml:space="preserve"> </w:t>
      </w:r>
      <w:r w:rsidR="00375146">
        <w:t>aktiem</w:t>
      </w:r>
      <w:r w:rsidR="004907CE">
        <w:t xml:space="preserve">. </w:t>
      </w:r>
    </w:p>
    <w:p w14:paraId="6C7D049C" w14:textId="0A38AAB1" w:rsidR="00B34BC8" w:rsidRDefault="00060749" w:rsidP="00137388">
      <w:pPr>
        <w:spacing w:line="276" w:lineRule="auto"/>
        <w:ind w:firstLine="720"/>
        <w:jc w:val="both"/>
      </w:pPr>
      <w:r>
        <w:t>Valsts atbalsta tiesību institucionālais aspekts</w:t>
      </w:r>
      <w:r w:rsidR="00F36B2C">
        <w:t xml:space="preserve"> ir </w:t>
      </w:r>
      <w:r w:rsidR="00CB7A10">
        <w:t>svarīgs</w:t>
      </w:r>
      <w:r w:rsidR="00066036">
        <w:t xml:space="preserve"> ne</w:t>
      </w:r>
      <w:r w:rsidR="00F6049B">
        <w:t xml:space="preserve"> </w:t>
      </w:r>
      <w:r w:rsidR="00066036">
        <w:t xml:space="preserve">vien Latvijas saistību pret Eiropas Savienību dēļ, bet arī </w:t>
      </w:r>
      <w:r w:rsidR="00F36B2C" w:rsidRPr="00402239">
        <w:t xml:space="preserve">Atbalsta noteikumu </w:t>
      </w:r>
      <w:r w:rsidR="00F36B2C" w:rsidRPr="00402239">
        <w:rPr>
          <w:lang w:eastAsia="lv-LV"/>
        </w:rPr>
        <w:t>4.2.1.apakšpunkt</w:t>
      </w:r>
      <w:r w:rsidR="00F36B2C">
        <w:rPr>
          <w:lang w:eastAsia="lv-LV"/>
        </w:rPr>
        <w:t>a interpretācijai</w:t>
      </w:r>
      <w:r w:rsidR="00CB7A10">
        <w:rPr>
          <w:lang w:eastAsia="lv-LV"/>
        </w:rPr>
        <w:t xml:space="preserve">, jo </w:t>
      </w:r>
      <w:r w:rsidR="00F36B2C">
        <w:t>Atbalsta noteikumu 26.punkt</w:t>
      </w:r>
      <w:r w:rsidR="00B87F81">
        <w:t>ā, ievērojot Līguma par Eiropas Savienības darbību 108.panta trešo daļu,</w:t>
      </w:r>
      <w:r w:rsidR="00F36B2C">
        <w:t xml:space="preserve"> likumdevējs ir piešķīris</w:t>
      </w:r>
      <w:r w:rsidR="00B87F81">
        <w:t xml:space="preserve"> </w:t>
      </w:r>
      <w:r w:rsidR="00F36B2C">
        <w:t xml:space="preserve">izšķirošu nozīmi tam, vai tiks saņemts apstiprinošs lēmums no Eiropas Komisijas par atbalsta shēmas saderību </w:t>
      </w:r>
      <w:r w:rsidR="00F36B2C" w:rsidRPr="00F36B2C">
        <w:t xml:space="preserve">ar Eiropas </w:t>
      </w:r>
      <w:r w:rsidR="00F36B2C" w:rsidRPr="00F36B2C">
        <w:lastRenderedPageBreak/>
        <w:t>Savienības iekšējo tirg</w:t>
      </w:r>
      <w:r w:rsidR="00CB7A10">
        <w:t>u. T</w:t>
      </w:r>
      <w:r>
        <w:t>ādējādi Eiropas Komisijas lēmumā ietvert</w:t>
      </w:r>
      <w:r w:rsidR="00CB7A10">
        <w:t>ā</w:t>
      </w:r>
      <w:r>
        <w:t xml:space="preserve"> izpratn</w:t>
      </w:r>
      <w:r w:rsidR="00CB7A10">
        <w:t>e ir</w:t>
      </w:r>
      <w:r>
        <w:t xml:space="preserve"> būtisk</w:t>
      </w:r>
      <w:r w:rsidR="00CB7A10">
        <w:t>a</w:t>
      </w:r>
      <w:r>
        <w:t xml:space="preserve"> Atbalsta noteikumu izpratnei</w:t>
      </w:r>
      <w:r w:rsidR="00F36B2C">
        <w:t>.</w:t>
      </w:r>
      <w:r w:rsidR="00C50F08">
        <w:t xml:space="preserve"> </w:t>
      </w:r>
      <w:r w:rsidR="0045683D">
        <w:t xml:space="preserve">Atbalsta noteikumu grozījumi, ar kuriem </w:t>
      </w:r>
      <w:r w:rsidR="00F23A62">
        <w:t xml:space="preserve">ieviests </w:t>
      </w:r>
      <w:r w:rsidR="0045683D">
        <w:t xml:space="preserve">atbalsts par 2021.gada oktobri un novembri, tika </w:t>
      </w:r>
      <w:r w:rsidR="00CB7A10">
        <w:t xml:space="preserve">atzīti par saderīgiem ar iekšējo tirgu </w:t>
      </w:r>
      <w:r w:rsidR="0045683D">
        <w:t>ar Eiropas Komisij</w:t>
      </w:r>
      <w:r w:rsidR="007E7750">
        <w:t>as</w:t>
      </w:r>
      <w:r w:rsidR="0045683D">
        <w:t xml:space="preserve"> ceturtajiem lēmuma </w:t>
      </w:r>
      <w:r w:rsidR="00F36B2C">
        <w:t>valsts atbalsta lietā Nr. </w:t>
      </w:r>
      <w:hyperlink r:id="rId24" w:history="1">
        <w:r w:rsidR="00F36B2C" w:rsidRPr="005C5519">
          <w:rPr>
            <w:rStyle w:val="Hyperlink"/>
            <w:i/>
            <w:iCs/>
          </w:rPr>
          <w:t>SA.59592</w:t>
        </w:r>
      </w:hyperlink>
      <w:r w:rsidR="00F36B2C">
        <w:t xml:space="preserve"> </w:t>
      </w:r>
      <w:r w:rsidR="0045683D">
        <w:t xml:space="preserve">grozījumiem. </w:t>
      </w:r>
      <w:r w:rsidR="00F36B2C">
        <w:t>Tādējādi arī Eiropas Komisijas lēmumā, konkrēti 2021.gada 14.decembra lēmum</w:t>
      </w:r>
      <w:r w:rsidR="001B6E1F">
        <w:t>ā</w:t>
      </w:r>
      <w:r w:rsidR="00F36B2C">
        <w:t xml:space="preserve"> </w:t>
      </w:r>
      <w:hyperlink r:id="rId25" w:history="1">
        <w:r w:rsidR="00F36B2C" w:rsidRPr="005C5519">
          <w:rPr>
            <w:rStyle w:val="Hyperlink"/>
            <w:i/>
            <w:iCs/>
          </w:rPr>
          <w:t>C(2021)</w:t>
        </w:r>
        <w:r w:rsidR="004026C3">
          <w:rPr>
            <w:rStyle w:val="Hyperlink"/>
            <w:i/>
            <w:iCs/>
          </w:rPr>
          <w:t> </w:t>
        </w:r>
        <w:r w:rsidR="00F36B2C" w:rsidRPr="005C5519">
          <w:rPr>
            <w:rStyle w:val="Hyperlink"/>
            <w:i/>
            <w:iCs/>
          </w:rPr>
          <w:t>9537</w:t>
        </w:r>
        <w:r w:rsidR="004026C3">
          <w:rPr>
            <w:rStyle w:val="Hyperlink"/>
            <w:i/>
            <w:iCs/>
          </w:rPr>
          <w:t> </w:t>
        </w:r>
        <w:r w:rsidR="00F36B2C" w:rsidRPr="005C5519">
          <w:rPr>
            <w:rStyle w:val="Hyperlink"/>
            <w:i/>
            <w:iCs/>
          </w:rPr>
          <w:t>final</w:t>
        </w:r>
      </w:hyperlink>
      <w:r>
        <w:t xml:space="preserve"> un </w:t>
      </w:r>
      <w:r w:rsidR="00135EC4">
        <w:t xml:space="preserve">2022.gada 27.janvāra lēmumā </w:t>
      </w:r>
      <w:hyperlink r:id="rId26" w:history="1">
        <w:r w:rsidRPr="00812597">
          <w:rPr>
            <w:rStyle w:val="Hyperlink"/>
            <w:i/>
            <w:iCs/>
          </w:rPr>
          <w:t>C(2022)</w:t>
        </w:r>
        <w:r w:rsidR="004026C3">
          <w:rPr>
            <w:rStyle w:val="Hyperlink"/>
            <w:i/>
            <w:iCs/>
          </w:rPr>
          <w:t> </w:t>
        </w:r>
        <w:r w:rsidRPr="00812597">
          <w:rPr>
            <w:rStyle w:val="Hyperlink"/>
            <w:i/>
            <w:iCs/>
          </w:rPr>
          <w:t>579</w:t>
        </w:r>
        <w:r w:rsidR="004026C3">
          <w:rPr>
            <w:rStyle w:val="Hyperlink"/>
            <w:i/>
            <w:iCs/>
          </w:rPr>
          <w:t> </w:t>
        </w:r>
        <w:r w:rsidRPr="00812597">
          <w:rPr>
            <w:rStyle w:val="Hyperlink"/>
            <w:i/>
            <w:iCs/>
          </w:rPr>
          <w:t>final</w:t>
        </w:r>
      </w:hyperlink>
      <w:r w:rsidR="00BD1B7D">
        <w:t>,</w:t>
      </w:r>
      <w:r>
        <w:rPr>
          <w:i/>
          <w:iCs/>
        </w:rPr>
        <w:t xml:space="preserve"> </w:t>
      </w:r>
      <w:r w:rsidR="00F36B2C">
        <w:t xml:space="preserve">izklāstītā informācija ir būtisks Atbalsta noteikumu interpretācijas avots. </w:t>
      </w:r>
    </w:p>
    <w:p w14:paraId="5B898CAF" w14:textId="6C4E34B8" w:rsidR="0045683D" w:rsidRPr="00940A99" w:rsidRDefault="00060749" w:rsidP="00137388">
      <w:pPr>
        <w:spacing w:line="276" w:lineRule="auto"/>
        <w:ind w:firstLine="720"/>
        <w:jc w:val="both"/>
      </w:pPr>
      <w:r>
        <w:t xml:space="preserve">Vienlaikus </w:t>
      </w:r>
      <w:r w:rsidR="00940A99">
        <w:t xml:space="preserve">šajā </w:t>
      </w:r>
      <w:r>
        <w:t>lietā nav jautājum</w:t>
      </w:r>
      <w:r w:rsidR="00117448">
        <w:t>u</w:t>
      </w:r>
      <w:r w:rsidR="00940A99">
        <w:t xml:space="preserve"> par lēmuma </w:t>
      </w:r>
      <w:r w:rsidR="00940A99" w:rsidRPr="00F36B2C">
        <w:rPr>
          <w:i/>
          <w:iCs/>
        </w:rPr>
        <w:t>C(2021)</w:t>
      </w:r>
      <w:r w:rsidR="004026C3">
        <w:rPr>
          <w:i/>
          <w:iCs/>
        </w:rPr>
        <w:t> </w:t>
      </w:r>
      <w:r w:rsidR="00940A99" w:rsidRPr="00F36B2C">
        <w:rPr>
          <w:i/>
          <w:iCs/>
        </w:rPr>
        <w:t>9537</w:t>
      </w:r>
      <w:r w:rsidR="004026C3">
        <w:rPr>
          <w:i/>
          <w:iCs/>
        </w:rPr>
        <w:t> </w:t>
      </w:r>
      <w:r w:rsidR="00940A99" w:rsidRPr="00F36B2C">
        <w:rPr>
          <w:i/>
          <w:iCs/>
        </w:rPr>
        <w:t>final</w:t>
      </w:r>
      <w:r w:rsidR="00940A99">
        <w:t xml:space="preserve"> interpretāciju kā tādu</w:t>
      </w:r>
      <w:r>
        <w:t xml:space="preserve"> un Senātam nav šaubas par lēmumā norādītā nozīmi vai ietekmi</w:t>
      </w:r>
      <w:r w:rsidR="00135EC4">
        <w:t xml:space="preserve"> šajā lietā</w:t>
      </w:r>
      <w:r>
        <w:t xml:space="preserve">. </w:t>
      </w:r>
      <w:r w:rsidR="00117448">
        <w:t>Taču m</w:t>
      </w:r>
      <w:r w:rsidR="00940A99">
        <w:t>inētaj</w:t>
      </w:r>
      <w:r>
        <w:t>os</w:t>
      </w:r>
      <w:r w:rsidR="00940A99">
        <w:t xml:space="preserve"> lēmum</w:t>
      </w:r>
      <w:r>
        <w:t>os</w:t>
      </w:r>
      <w:r w:rsidR="00940A99">
        <w:t xml:space="preserve"> norādītais</w:t>
      </w:r>
      <w:r>
        <w:t xml:space="preserve"> </w:t>
      </w:r>
      <w:r w:rsidR="00940A99">
        <w:t xml:space="preserve">izgaismo </w:t>
      </w:r>
      <w:r w:rsidR="00B34BC8">
        <w:t xml:space="preserve">nacionālo tiesību interpretāciju attiecībā </w:t>
      </w:r>
      <w:r w:rsidR="00940A99">
        <w:t xml:space="preserve">gan </w:t>
      </w:r>
      <w:r w:rsidR="00B34BC8">
        <w:t xml:space="preserve">uz </w:t>
      </w:r>
      <w:r w:rsidR="00940A99">
        <w:t>plašāk</w:t>
      </w:r>
      <w:r w:rsidR="00B34BC8">
        <w:t>iem</w:t>
      </w:r>
      <w:r>
        <w:t xml:space="preserve"> interpretācijai nozīmīgiem apsvērumiem</w:t>
      </w:r>
      <w:r w:rsidR="00B34BC8">
        <w:t> </w:t>
      </w:r>
      <w:r w:rsidR="00940A99">
        <w:t>–</w:t>
      </w:r>
      <w:r w:rsidR="00B34BC8">
        <w:t> </w:t>
      </w:r>
      <w:r w:rsidR="00940A99">
        <w:t>A</w:t>
      </w:r>
      <w:r w:rsidR="00940A99" w:rsidRPr="00402239">
        <w:t>tbalsta noteikumu</w:t>
      </w:r>
      <w:r w:rsidR="00940A99">
        <w:t xml:space="preserve"> sistēmu attiecībā uz oktobra un novembra atbalst</w:t>
      </w:r>
      <w:r w:rsidR="00BD1B7D">
        <w:t>u</w:t>
      </w:r>
      <w:r w:rsidR="00925691">
        <w:t xml:space="preserve">, </w:t>
      </w:r>
      <w:r w:rsidR="00940A99">
        <w:t>gan šaurāk</w:t>
      </w:r>
      <w:r w:rsidR="00B34BC8">
        <w:t xml:space="preserve">iem </w:t>
      </w:r>
      <w:r>
        <w:t xml:space="preserve">interpretācijai nozīmīgiem </w:t>
      </w:r>
      <w:r w:rsidR="00940A99">
        <w:t>apsvērum</w:t>
      </w:r>
      <w:r w:rsidR="00B34BC8">
        <w:t>iem</w:t>
      </w:r>
      <w:r w:rsidR="00E05F0A">
        <w:t xml:space="preserve"> </w:t>
      </w:r>
      <w:r w:rsidR="00940A99">
        <w:t>–</w:t>
      </w:r>
      <w:r w:rsidR="00E05F0A">
        <w:t xml:space="preserve"> </w:t>
      </w:r>
      <w:r w:rsidR="00940A99">
        <w:t>4</w:t>
      </w:r>
      <w:r w:rsidR="00940A99" w:rsidRPr="00402239">
        <w:rPr>
          <w:lang w:eastAsia="lv-LV"/>
        </w:rPr>
        <w:t>.2.1.apakšpunkt</w:t>
      </w:r>
      <w:r w:rsidR="00940A99">
        <w:rPr>
          <w:lang w:eastAsia="lv-LV"/>
        </w:rPr>
        <w:t xml:space="preserve">a ietvertās frāzes </w:t>
      </w:r>
      <w:r w:rsidR="001B6E1F">
        <w:rPr>
          <w:lang w:eastAsia="lv-LV"/>
        </w:rPr>
        <w:t>„</w:t>
      </w:r>
      <w:r w:rsidR="00940A99" w:rsidRPr="00D52275">
        <w:rPr>
          <w:lang w:eastAsia="lv-LV"/>
        </w:rPr>
        <w:t>saistīts ar saimnieciskās darbības ierobežojumiem</w:t>
      </w:r>
      <w:r w:rsidR="00940A99">
        <w:rPr>
          <w:lang w:eastAsia="lv-LV"/>
        </w:rPr>
        <w:t>” saikni ar Atbalsta noteikumu pielikumiem.</w:t>
      </w:r>
      <w:r w:rsidR="00B34BC8">
        <w:rPr>
          <w:lang w:eastAsia="lv-LV"/>
        </w:rPr>
        <w:t xml:space="preserve"> </w:t>
      </w:r>
      <w:r>
        <w:rPr>
          <w:lang w:eastAsia="lv-LV"/>
        </w:rPr>
        <w:t>Tādēļ šajā</w:t>
      </w:r>
      <w:r w:rsidR="00B34BC8">
        <w:rPr>
          <w:lang w:eastAsia="lv-LV"/>
        </w:rPr>
        <w:t xml:space="preserve"> gadījumā nav nepieciešams Eiropas Savienības Tiesai uzdot prejudiciālo jautājumu.</w:t>
      </w:r>
    </w:p>
    <w:p w14:paraId="71E474C0" w14:textId="2F22AFDF" w:rsidR="00F36B2C" w:rsidRDefault="00F36B2C" w:rsidP="00137388">
      <w:pPr>
        <w:spacing w:line="276" w:lineRule="auto"/>
        <w:ind w:firstLine="720"/>
        <w:jc w:val="both"/>
      </w:pPr>
      <w:r>
        <w:t xml:space="preserve">Lēmuma </w:t>
      </w:r>
      <w:r w:rsidRPr="00F36B2C">
        <w:rPr>
          <w:i/>
          <w:iCs/>
        </w:rPr>
        <w:t>C(2021)</w:t>
      </w:r>
      <w:r w:rsidR="004026C3">
        <w:rPr>
          <w:i/>
          <w:iCs/>
        </w:rPr>
        <w:t> </w:t>
      </w:r>
      <w:r w:rsidRPr="00F36B2C">
        <w:rPr>
          <w:i/>
          <w:iCs/>
        </w:rPr>
        <w:t>9537</w:t>
      </w:r>
      <w:r w:rsidR="004026C3">
        <w:rPr>
          <w:i/>
          <w:iCs/>
        </w:rPr>
        <w:t> </w:t>
      </w:r>
      <w:r w:rsidRPr="00F36B2C">
        <w:rPr>
          <w:i/>
          <w:iCs/>
        </w:rPr>
        <w:t>final</w:t>
      </w:r>
      <w:r>
        <w:t xml:space="preserve"> </w:t>
      </w:r>
      <w:r w:rsidR="00480CDD">
        <w:t>8</w:t>
      </w:r>
      <w:r>
        <w:t>.</w:t>
      </w:r>
      <w:r w:rsidR="00CF4CA4">
        <w:t xml:space="preserve"> un 20.</w:t>
      </w:r>
      <w:r>
        <w:t xml:space="preserve">punktā </w:t>
      </w:r>
      <w:r w:rsidR="00480CDD">
        <w:t xml:space="preserve">izklāstīts, ka attiecībā uz atbalstu par </w:t>
      </w:r>
      <w:r w:rsidR="00F52BA5">
        <w:t>periodu</w:t>
      </w:r>
      <w:r w:rsidR="00480CDD">
        <w:t xml:space="preserve"> </w:t>
      </w:r>
      <w:r w:rsidR="005C5519">
        <w:t>no 2021.gada oktobra līdz 202</w:t>
      </w:r>
      <w:r w:rsidR="00A13DF5">
        <w:t>1</w:t>
      </w:r>
      <w:r w:rsidR="005C5519">
        <w:t xml:space="preserve">.gada </w:t>
      </w:r>
      <w:r w:rsidR="00CF4CA4">
        <w:t>novembrim</w:t>
      </w:r>
      <w:r w:rsidR="005C5519">
        <w:t xml:space="preserve"> nosacījums ir, ka apgrozījuma samazinājums ir saiknē ar darbīb</w:t>
      </w:r>
      <w:r w:rsidR="001B6E1F">
        <w:t>a</w:t>
      </w:r>
      <w:r w:rsidR="005C5519">
        <w:t>s ierobežojumiem, kas saistīti ar epidemioloģiskās drošības pasākumiem, kas ieviesti</w:t>
      </w:r>
      <w:r w:rsidR="00BD1B7D">
        <w:t>,</w:t>
      </w:r>
      <w:r w:rsidR="005C5519">
        <w:t xml:space="preserve"> lai samazinātu Covid-19 izplatību. (orģ. angļu valodā </w:t>
      </w:r>
      <w:r w:rsidR="0058307E" w:rsidRPr="0058307E">
        <w:rPr>
          <w:i/>
          <w:iCs/>
        </w:rPr>
        <w:t>„</w:t>
      </w:r>
      <w:r w:rsidR="005C5519" w:rsidRPr="005C5519">
        <w:rPr>
          <w:i/>
          <w:iCs/>
        </w:rPr>
        <w:t>decrease in turnover is linked to operating restrictions related to epidemiological security measures limiting the spread of COVID-19 infection</w:t>
      </w:r>
      <w:r w:rsidR="005C5519" w:rsidRPr="00B321D9">
        <w:rPr>
          <w:i/>
          <w:iCs/>
        </w:rPr>
        <w:t>”</w:t>
      </w:r>
      <w:r w:rsidR="005C5519">
        <w:t>)</w:t>
      </w:r>
      <w:r>
        <w:t>.</w:t>
      </w:r>
      <w:r w:rsidR="005C5519">
        <w:t xml:space="preserve"> Lietotais formulējums acīmredzami nesaista atbalsta piešķiršanu ar to, ka uz konkrēto uzņēmumu ir attiecināmi rīkojumā paredzētie</w:t>
      </w:r>
      <w:r w:rsidR="00060749">
        <w:t xml:space="preserve"> epidemioloģiskie drošības</w:t>
      </w:r>
      <w:r w:rsidR="005C5519">
        <w:t xml:space="preserve"> pasākumi, jo apgrozījuma samazinājumam ir jābūt tikai </w:t>
      </w:r>
      <w:r w:rsidR="00B321D9">
        <w:t>„</w:t>
      </w:r>
      <w:r w:rsidR="005C5519">
        <w:t xml:space="preserve">saiknē” ar </w:t>
      </w:r>
      <w:r w:rsidR="00B321D9">
        <w:t>„</w:t>
      </w:r>
      <w:r w:rsidR="005C5519">
        <w:t xml:space="preserve">darbības ierobežojumiem”, kas saistīti ar </w:t>
      </w:r>
      <w:r w:rsidR="004026C3">
        <w:t>„</w:t>
      </w:r>
      <w:r w:rsidR="005C5519">
        <w:t xml:space="preserve">epidemioloģiskās drošības pasākumiem”. Tādējādi var secināt, ka </w:t>
      </w:r>
      <w:r w:rsidR="00F52BA5">
        <w:t xml:space="preserve">Atbalsta noteikumu 4.2.1.apakšpunktā nav </w:t>
      </w:r>
      <w:r w:rsidR="00FE41CB">
        <w:t xml:space="preserve">paredzēts, ka </w:t>
      </w:r>
      <w:r w:rsidR="005C5519">
        <w:t xml:space="preserve">atbalsts piešķirams tikai uzņēmumiem, </w:t>
      </w:r>
      <w:r w:rsidR="002B3CFD">
        <w:t>uz kuriem attiecināmi rīkojumā paredzētie ierobežojumi.</w:t>
      </w:r>
      <w:r w:rsidR="00F23A62">
        <w:t xml:space="preserve"> </w:t>
      </w:r>
    </w:p>
    <w:p w14:paraId="148B96A5" w14:textId="77777777" w:rsidR="00547F38" w:rsidRDefault="00547F38" w:rsidP="00137388">
      <w:pPr>
        <w:spacing w:line="276" w:lineRule="auto"/>
        <w:ind w:firstLine="720"/>
        <w:jc w:val="both"/>
      </w:pPr>
    </w:p>
    <w:p w14:paraId="4ABFAC40" w14:textId="2DF4218F" w:rsidR="005C5519" w:rsidRPr="00B52BCC" w:rsidRDefault="000C6B4B" w:rsidP="00137388">
      <w:pPr>
        <w:spacing w:line="276" w:lineRule="auto"/>
        <w:ind w:firstLine="720"/>
        <w:jc w:val="both"/>
      </w:pPr>
      <w:r>
        <w:t>[1</w:t>
      </w:r>
      <w:r w:rsidR="00747F15">
        <w:t>6</w:t>
      </w:r>
      <w:r>
        <w:t xml:space="preserve">] </w:t>
      </w:r>
      <w:r w:rsidR="002B3CFD">
        <w:t xml:space="preserve">Nepamatota ir minētā formulējuma </w:t>
      </w:r>
      <w:r w:rsidR="00547F38">
        <w:t>„</w:t>
      </w:r>
      <w:r w:rsidR="002B3CFD" w:rsidRPr="002B3CFD">
        <w:t>ir saistīts ar saimnieciskās darbības ierobežojumiem</w:t>
      </w:r>
      <w:r w:rsidR="002B3CFD">
        <w:t xml:space="preserve">” interpretācija Atbalsta noteikumu </w:t>
      </w:r>
      <w:r w:rsidR="00B52BCC">
        <w:t>2. un 3.</w:t>
      </w:r>
      <w:r w:rsidR="002B3CFD">
        <w:t>pielikum</w:t>
      </w:r>
      <w:r w:rsidR="00547F38">
        <w:t>a</w:t>
      </w:r>
      <w:r w:rsidR="002B3CFD">
        <w:t xml:space="preserve"> gaismā. </w:t>
      </w:r>
      <w:r w:rsidR="00B52BCC">
        <w:t xml:space="preserve">Šie pielikumi, kas aizvietoja līdz 2021.gada 16.decembrim spēkā esošo 2.pielikumu </w:t>
      </w:r>
      <w:r w:rsidR="00CB7A10">
        <w:t xml:space="preserve">ar nosaukumu </w:t>
      </w:r>
      <w:r w:rsidR="00547F38">
        <w:t>„</w:t>
      </w:r>
      <w:r w:rsidR="00B52BCC">
        <w:t xml:space="preserve">ierobežoto nozaru saraksts”, bija Atbalsta noteikumu sastāvdaļa, taču tie </w:t>
      </w:r>
      <w:r w:rsidR="00812597">
        <w:t>jāņem vērā</w:t>
      </w:r>
      <w:r w:rsidR="00B52BCC">
        <w:t xml:space="preserve"> tikai tad, ja atbalsts tiek prasīts par 2021.gada decembri, 2022.gada janvāri </w:t>
      </w:r>
      <w:r w:rsidR="00812597">
        <w:t>vai</w:t>
      </w:r>
      <w:r w:rsidR="00B52BCC">
        <w:t xml:space="preserve"> februāri. Šāds secinājums izriet no Eiropas Komisijas lēmuma </w:t>
      </w:r>
      <w:r w:rsidR="00B52BCC" w:rsidRPr="00060749">
        <w:rPr>
          <w:i/>
          <w:iCs/>
        </w:rPr>
        <w:t>C(2022)</w:t>
      </w:r>
      <w:r w:rsidR="004026C3">
        <w:rPr>
          <w:i/>
          <w:iCs/>
        </w:rPr>
        <w:t> </w:t>
      </w:r>
      <w:r w:rsidR="00B52BCC" w:rsidRPr="00060749">
        <w:rPr>
          <w:i/>
          <w:iCs/>
        </w:rPr>
        <w:t>579</w:t>
      </w:r>
      <w:r w:rsidR="004026C3">
        <w:rPr>
          <w:i/>
          <w:iCs/>
        </w:rPr>
        <w:t> </w:t>
      </w:r>
      <w:r w:rsidR="00B52BCC" w:rsidRPr="00060749">
        <w:rPr>
          <w:i/>
          <w:iCs/>
        </w:rPr>
        <w:t>final</w:t>
      </w:r>
      <w:r w:rsidR="00B52BCC">
        <w:rPr>
          <w:i/>
          <w:iCs/>
        </w:rPr>
        <w:t xml:space="preserve">, </w:t>
      </w:r>
      <w:r w:rsidR="00B52BCC">
        <w:t xml:space="preserve">kura 5. un 6.punktā paskaidrots, ka </w:t>
      </w:r>
      <w:r w:rsidR="00F52BA5">
        <w:t xml:space="preserve">uz atbalstu šajā periodā var pieteikties uzņēmumi, kas darbojas </w:t>
      </w:r>
      <w:r w:rsidR="00B52BCC">
        <w:t>Atbalsta noteikumu 3.pielikum</w:t>
      </w:r>
      <w:r w:rsidR="00812597">
        <w:t>ā</w:t>
      </w:r>
      <w:r w:rsidR="00B52BCC">
        <w:t xml:space="preserve"> norād</w:t>
      </w:r>
      <w:r w:rsidR="00F52BA5">
        <w:t xml:space="preserve">ītajās </w:t>
      </w:r>
      <w:r w:rsidR="00B52BCC">
        <w:t>nozar</w:t>
      </w:r>
      <w:r w:rsidR="00F52BA5">
        <w:t>ēs</w:t>
      </w:r>
      <w:r w:rsidR="00B52BCC">
        <w:t xml:space="preserve">. </w:t>
      </w:r>
      <w:r w:rsidR="00F52BA5">
        <w:t>Minētais izskaidro arī to, kā izprotams A</w:t>
      </w:r>
      <w:r w:rsidR="00B52BCC">
        <w:t>tbalsta noteikumu (</w:t>
      </w:r>
      <w:r w:rsidR="00B52BCC">
        <w:rPr>
          <w:i/>
          <w:iCs/>
        </w:rPr>
        <w:t>redakcija, kas bija spēkā no 2021.gada 17.decembra līdz 2022.gada 1.februārim</w:t>
      </w:r>
      <w:r w:rsidR="00B52BCC">
        <w:t>) 4.</w:t>
      </w:r>
      <w:r w:rsidR="00B52BCC" w:rsidRPr="00B52BCC">
        <w:rPr>
          <w:vertAlign w:val="superscript"/>
        </w:rPr>
        <w:t>4</w:t>
      </w:r>
      <w:r w:rsidR="00B52BCC">
        <w:t>punkt</w:t>
      </w:r>
      <w:r w:rsidR="00F52BA5">
        <w:t>s</w:t>
      </w:r>
      <w:r w:rsidR="00FE41CB">
        <w:t>, ka</w:t>
      </w:r>
      <w:r w:rsidR="00F52BA5">
        <w:t>s paredz ka</w:t>
      </w:r>
      <w:r w:rsidR="00FE41CB">
        <w:t xml:space="preserve"> a</w:t>
      </w:r>
      <w:r w:rsidR="00FE41CB" w:rsidRPr="00FE41CB">
        <w:t>tbalstam par laikposmu no 2021.gada 1.decembra līdz 2022</w:t>
      </w:r>
      <w:r w:rsidR="00117448">
        <w:t>.</w:t>
      </w:r>
      <w:r w:rsidR="00FE41CB" w:rsidRPr="00FE41CB">
        <w:t>gada 31.janvārim ir tiesīgi pieteikties uzņēmēji, kas veic saimniecisko darbību kā pamatdarbību šo noteikumu 3.pielikumā minētajās nozarēs</w:t>
      </w:r>
      <w:r w:rsidR="00812597">
        <w:t>.</w:t>
      </w:r>
      <w:r w:rsidR="00F52BA5">
        <w:t xml:space="preserve"> </w:t>
      </w:r>
      <w:r w:rsidR="00CB7A10">
        <w:t>Tātad m</w:t>
      </w:r>
      <w:r w:rsidR="00F52BA5">
        <w:t xml:space="preserve">inētais </w:t>
      </w:r>
      <w:r w:rsidR="00691B30">
        <w:t>4.</w:t>
      </w:r>
      <w:r w:rsidR="00691B30" w:rsidRPr="00B52BCC">
        <w:rPr>
          <w:vertAlign w:val="superscript"/>
        </w:rPr>
        <w:t>4</w:t>
      </w:r>
      <w:r w:rsidR="00691B30">
        <w:t>punkts</w:t>
      </w:r>
      <w:r w:rsidR="00F52BA5">
        <w:t xml:space="preserve"> ir </w:t>
      </w:r>
      <w:r w:rsidR="00375146">
        <w:t xml:space="preserve">speciālā tiesību </w:t>
      </w:r>
      <w:r w:rsidR="00F52BA5">
        <w:t>norma iepretim 4.2.1.apakšpunktam un ir piemērojams attiecībā uz lūgumu piešķirt atbalstu konkrētajā periodā.</w:t>
      </w:r>
      <w:r w:rsidR="00812597">
        <w:t xml:space="preserve"> T</w:t>
      </w:r>
      <w:r w:rsidR="00B52BCC">
        <w:t xml:space="preserve">ādējādi ar 3.pielikuma ieviešanu likumdevēja mērķis nebija sašaurināt </w:t>
      </w:r>
      <w:r w:rsidR="00812597">
        <w:t xml:space="preserve">atbalsta saņēmēju loku </w:t>
      </w:r>
      <w:r w:rsidR="00B52BCC">
        <w:t xml:space="preserve">vai jebkādi citādi </w:t>
      </w:r>
      <w:r w:rsidR="00812597">
        <w:t>ietekmēt</w:t>
      </w:r>
      <w:r w:rsidR="00B52BCC">
        <w:t xml:space="preserve"> </w:t>
      </w:r>
      <w:r w:rsidR="00812597">
        <w:t xml:space="preserve">nosacījumus atbalsta saņemšanai par </w:t>
      </w:r>
      <w:r w:rsidR="00B52BCC">
        <w:t>oktobra un novembra mēnešiem.</w:t>
      </w:r>
      <w:r w:rsidR="00812597">
        <w:t xml:space="preserve"> Tātad, neatkarīgi no tā, ka iesniegums par atbalsta piešķiršanu iesniegts brīdī, kad spēkā bija Atbalsta noteikumu redakcija ar 3.pielikumu, ja tiek prasīts atbalsts par </w:t>
      </w:r>
      <w:r w:rsidR="00812597">
        <w:lastRenderedPageBreak/>
        <w:t>apgrozījuma kritumu oktobrī vai novembrī, atbalsts ir jāpiešķir tad, ja uzņēmums var p</w:t>
      </w:r>
      <w:r w:rsidR="00F52BA5">
        <w:t>ierādīt</w:t>
      </w:r>
      <w:r w:rsidR="00812597">
        <w:t xml:space="preserve"> to, ka šis apgrozījums </w:t>
      </w:r>
      <w:r w:rsidR="00547F38">
        <w:t>„</w:t>
      </w:r>
      <w:r w:rsidR="00812597">
        <w:t xml:space="preserve">ir </w:t>
      </w:r>
      <w:r w:rsidR="00812597" w:rsidRPr="002B3CFD">
        <w:t>saistīts ar saimnieciskās darbības ierobežojumiem</w:t>
      </w:r>
      <w:r w:rsidR="00812597">
        <w:t>”.</w:t>
      </w:r>
    </w:p>
    <w:p w14:paraId="2A4D61E0" w14:textId="77777777" w:rsidR="000C6B4B" w:rsidRDefault="000C6B4B" w:rsidP="00137388">
      <w:pPr>
        <w:spacing w:line="276" w:lineRule="auto"/>
        <w:ind w:firstLine="720"/>
        <w:jc w:val="both"/>
      </w:pPr>
    </w:p>
    <w:p w14:paraId="553051E9" w14:textId="3E48F9AC" w:rsidR="005C5519" w:rsidRDefault="000C6B4B" w:rsidP="00137388">
      <w:pPr>
        <w:spacing w:line="276" w:lineRule="auto"/>
        <w:ind w:firstLine="720"/>
        <w:jc w:val="both"/>
        <w:rPr>
          <w:lang w:eastAsia="lv-LV"/>
        </w:rPr>
      </w:pPr>
      <w:r>
        <w:t>[1</w:t>
      </w:r>
      <w:r w:rsidR="00747F15">
        <w:t>7</w:t>
      </w:r>
      <w:r>
        <w:t xml:space="preserve">] </w:t>
      </w:r>
      <w:r w:rsidR="005C5519">
        <w:t xml:space="preserve">Tāpat nepamatota ir arī apgabaltiesas interpretācija, ka saiknei ar saimnieciskās darbības ierobežojumiem ir jābūt </w:t>
      </w:r>
      <w:r w:rsidR="00547F38">
        <w:t>„</w:t>
      </w:r>
      <w:r w:rsidR="005C5519">
        <w:t>tiešai</w:t>
      </w:r>
      <w:r w:rsidR="006A604C">
        <w:t>”</w:t>
      </w:r>
      <w:r w:rsidR="005C5519">
        <w:t xml:space="preserve">. </w:t>
      </w:r>
      <w:r w:rsidR="006D6095" w:rsidRPr="00402239">
        <w:t xml:space="preserve">Atbalsta noteikumu </w:t>
      </w:r>
      <w:r w:rsidR="006D6095" w:rsidRPr="00402239">
        <w:rPr>
          <w:lang w:eastAsia="lv-LV"/>
        </w:rPr>
        <w:t>4.2.1.apakšpunkt</w:t>
      </w:r>
      <w:r>
        <w:rPr>
          <w:lang w:eastAsia="lv-LV"/>
        </w:rPr>
        <w:t>a</w:t>
      </w:r>
      <w:r w:rsidR="006D6095">
        <w:t xml:space="preserve"> </w:t>
      </w:r>
      <w:r w:rsidR="005C5519">
        <w:t>formulējum</w:t>
      </w:r>
      <w:r w:rsidR="0010448D">
        <w:t xml:space="preserve">ā netiek lietots vārds </w:t>
      </w:r>
      <w:r>
        <w:t>„</w:t>
      </w:r>
      <w:r w:rsidR="005C5519">
        <w:t>tiešā”</w:t>
      </w:r>
      <w:r w:rsidR="00414B4E">
        <w:t xml:space="preserve">. </w:t>
      </w:r>
      <w:r w:rsidR="00F23A62">
        <w:t xml:space="preserve">Turklāt, lai gan vārdi </w:t>
      </w:r>
      <w:r>
        <w:t>„</w:t>
      </w:r>
      <w:r w:rsidR="00F23A62">
        <w:t xml:space="preserve">saistīts ar” un </w:t>
      </w:r>
      <w:r>
        <w:t>„</w:t>
      </w:r>
      <w:r w:rsidR="00F23A62">
        <w:t xml:space="preserve">sakarā ar” nevar tikt interpretēti tik plaši, ka to nozīme tiek izprasta vienādi ar </w:t>
      </w:r>
      <w:r>
        <w:t>„</w:t>
      </w:r>
      <w:r w:rsidR="00F23A62">
        <w:t xml:space="preserve">ietekmē”, Atbalsta noteikumu 4.2.1.apakšpunkts gramatiski neizslēdz situāciju, kurā saikne ar saimnieciskās darbības ierobežojumiem ir </w:t>
      </w:r>
      <w:r w:rsidR="00BD1B7D">
        <w:t xml:space="preserve">arī </w:t>
      </w:r>
      <w:r w:rsidR="00F23A62">
        <w:t xml:space="preserve">netieša. </w:t>
      </w:r>
      <w:r w:rsidR="00414B4E">
        <w:t>T</w:t>
      </w:r>
      <w:r w:rsidR="006A604C">
        <w:rPr>
          <w:lang w:eastAsia="lv-LV"/>
        </w:rPr>
        <w:t xml:space="preserve">ādējādi </w:t>
      </w:r>
      <w:r w:rsidR="0010448D">
        <w:rPr>
          <w:lang w:eastAsia="lv-LV"/>
        </w:rPr>
        <w:t>apgabaltiesa ir sašaurinājusi minētā</w:t>
      </w:r>
      <w:r w:rsidR="00B00B5A">
        <w:rPr>
          <w:lang w:eastAsia="lv-LV"/>
        </w:rPr>
        <w:t xml:space="preserve">s tiesību normas </w:t>
      </w:r>
      <w:r w:rsidR="006A604C">
        <w:rPr>
          <w:lang w:eastAsia="lv-LV"/>
        </w:rPr>
        <w:t>tvērumu</w:t>
      </w:r>
      <w:r w:rsidR="00E97400">
        <w:rPr>
          <w:lang w:eastAsia="lv-LV"/>
        </w:rPr>
        <w:t>. Tomēr</w:t>
      </w:r>
      <w:r w:rsidR="005C5519">
        <w:rPr>
          <w:lang w:eastAsia="lv-LV"/>
        </w:rPr>
        <w:t xml:space="preserve"> šādai teleoloģiska</w:t>
      </w:r>
      <w:r>
        <w:rPr>
          <w:lang w:eastAsia="lv-LV"/>
        </w:rPr>
        <w:t>ja</w:t>
      </w:r>
      <w:r w:rsidR="005C5519">
        <w:rPr>
          <w:lang w:eastAsia="lv-LV"/>
        </w:rPr>
        <w:t xml:space="preserve">i redukcijai nav pamata. No </w:t>
      </w:r>
      <w:r w:rsidR="005C5519">
        <w:t xml:space="preserve">lēmuma </w:t>
      </w:r>
      <w:r w:rsidR="005C5519" w:rsidRPr="00F36B2C">
        <w:rPr>
          <w:i/>
          <w:iCs/>
        </w:rPr>
        <w:t>C(2021)</w:t>
      </w:r>
      <w:r w:rsidR="004026C3">
        <w:rPr>
          <w:i/>
          <w:iCs/>
        </w:rPr>
        <w:t> </w:t>
      </w:r>
      <w:r w:rsidR="005C5519" w:rsidRPr="00F36B2C">
        <w:rPr>
          <w:i/>
          <w:iCs/>
        </w:rPr>
        <w:t>9537</w:t>
      </w:r>
      <w:r w:rsidR="004026C3">
        <w:rPr>
          <w:i/>
          <w:iCs/>
        </w:rPr>
        <w:t> </w:t>
      </w:r>
      <w:r w:rsidR="005C5519" w:rsidRPr="00F36B2C">
        <w:rPr>
          <w:i/>
          <w:iCs/>
        </w:rPr>
        <w:t>final</w:t>
      </w:r>
      <w:r w:rsidR="005C5519">
        <w:t xml:space="preserve"> var secināt, ka paredzētais atbalsta saņēmēju loks ir plašs. </w:t>
      </w:r>
      <w:r w:rsidR="00691B30">
        <w:rPr>
          <w:lang w:eastAsia="lv-LV"/>
        </w:rPr>
        <w:t xml:space="preserve">Minēto apstiprina arī ministru izteiktie apsvērumi Ministru kabineta sēdes, kurā pieņemti grozījumi, ar kuriem ieviests atbalsts par oktobri un novembri, laikā, jo </w:t>
      </w:r>
      <w:r w:rsidR="0004574E">
        <w:rPr>
          <w:lang w:eastAsia="lv-LV"/>
        </w:rPr>
        <w:t xml:space="preserve">sēdes dalībnieki </w:t>
      </w:r>
      <w:r w:rsidR="00691B30">
        <w:rPr>
          <w:lang w:eastAsia="lv-LV"/>
        </w:rPr>
        <w:t>paskaidro</w:t>
      </w:r>
      <w:r w:rsidR="00B00B5A">
        <w:rPr>
          <w:lang w:eastAsia="lv-LV"/>
        </w:rPr>
        <w:t>ja</w:t>
      </w:r>
      <w:r w:rsidR="00691B30">
        <w:rPr>
          <w:lang w:eastAsia="lv-LV"/>
        </w:rPr>
        <w:t xml:space="preserve">, ka atbalsta mērķis ir nodrošināt </w:t>
      </w:r>
      <w:r>
        <w:rPr>
          <w:lang w:eastAsia="lv-LV"/>
        </w:rPr>
        <w:t>„</w:t>
      </w:r>
      <w:r w:rsidR="00691B30" w:rsidRPr="00FD1082">
        <w:rPr>
          <w:lang w:eastAsia="lv-LV"/>
        </w:rPr>
        <w:t>uzņēmumiem, kas cietīs no ierobežojumiem”</w:t>
      </w:r>
      <w:r w:rsidR="00691B30">
        <w:rPr>
          <w:lang w:eastAsia="lv-LV"/>
        </w:rPr>
        <w:t xml:space="preserve"> pieeju apgrozāmajiem līdzekļiem un apstākli, ka uzņēmums ir skarts, varēs noteikt pēc tā, ka ir krities apgrozījums (</w:t>
      </w:r>
      <w:r w:rsidR="00CB7A10" w:rsidRPr="00B00B5A">
        <w:rPr>
          <w:i/>
          <w:iCs/>
          <w:lang w:eastAsia="lv-LV"/>
        </w:rPr>
        <w:t xml:space="preserve">Ministru kabineta 2021.gada 9.novembra </w:t>
      </w:r>
      <w:hyperlink r:id="rId27" w:history="1">
        <w:r w:rsidR="00691B30" w:rsidRPr="00B00B5A">
          <w:rPr>
            <w:rStyle w:val="Hyperlink"/>
            <w:i/>
            <w:iCs/>
          </w:rPr>
          <w:t>sēde</w:t>
        </w:r>
      </w:hyperlink>
      <w:r w:rsidR="00691B30" w:rsidRPr="00B00B5A">
        <w:rPr>
          <w:i/>
          <w:iCs/>
        </w:rPr>
        <w:t xml:space="preserve"> (2:</w:t>
      </w:r>
      <w:r w:rsidR="00CB7A10" w:rsidRPr="00B00B5A">
        <w:rPr>
          <w:i/>
          <w:iCs/>
        </w:rPr>
        <w:t>54</w:t>
      </w:r>
      <w:r w:rsidR="00691B30" w:rsidRPr="00B00B5A">
        <w:rPr>
          <w:i/>
          <w:iCs/>
        </w:rPr>
        <w:t>:</w:t>
      </w:r>
      <w:r w:rsidR="00CB7A10" w:rsidRPr="00B00B5A">
        <w:rPr>
          <w:i/>
          <w:iCs/>
        </w:rPr>
        <w:t>20</w:t>
      </w:r>
      <w:r w:rsidR="00691B30" w:rsidRPr="00B00B5A">
        <w:rPr>
          <w:i/>
          <w:iCs/>
        </w:rPr>
        <w:t>-2:57:20)</w:t>
      </w:r>
      <w:r>
        <w:t>)</w:t>
      </w:r>
      <w:r w:rsidR="00691B30">
        <w:rPr>
          <w:lang w:eastAsia="lv-LV"/>
        </w:rPr>
        <w:t>; šāds atbalsta saņēmēju loks ir daudz plašāks nekā tika</w:t>
      </w:r>
      <w:r>
        <w:rPr>
          <w:lang w:eastAsia="lv-LV"/>
        </w:rPr>
        <w:t>i</w:t>
      </w:r>
      <w:r w:rsidR="00691B30">
        <w:rPr>
          <w:lang w:eastAsia="lv-LV"/>
        </w:rPr>
        <w:t xml:space="preserve"> tie, kas ir rīkojumā paredzēto ierobežojumu subjekti. </w:t>
      </w:r>
      <w:r w:rsidR="005C5519">
        <w:t xml:space="preserve">Likumdevējs, bez šaubām, varēja paredzēt gan to, ka atbalsts pienākas tikai tiem </w:t>
      </w:r>
      <w:r w:rsidR="006A604C">
        <w:t xml:space="preserve">uzņēmumiem, kas ir rīkojuma subjekti, vai vismaz </w:t>
      </w:r>
      <w:r w:rsidR="00B00B5A" w:rsidRPr="00B00B5A">
        <w:t>tieši saistīt</w:t>
      </w:r>
      <w:r w:rsidR="00B00B5A">
        <w:t>i</w:t>
      </w:r>
      <w:r w:rsidR="00B00B5A" w:rsidRPr="00B00B5A">
        <w:t xml:space="preserve"> ar rīkojumā paredzētiem ierobežojumiem</w:t>
      </w:r>
      <w:r w:rsidR="00E97400">
        <w:t>, taču</w:t>
      </w:r>
      <w:r w:rsidR="00691B30">
        <w:t xml:space="preserve"> šāda izvēle nav izdarīta konkrētajā gadījumā</w:t>
      </w:r>
      <w:r w:rsidR="00F23A62">
        <w:t>. A</w:t>
      </w:r>
      <w:r w:rsidR="006A604C">
        <w:t xml:space="preserve">tteikšanās </w:t>
      </w:r>
      <w:r w:rsidR="006A604C" w:rsidRPr="00402239">
        <w:t xml:space="preserve">Atbalsta noteikumu </w:t>
      </w:r>
      <w:r w:rsidR="006A604C" w:rsidRPr="00402239">
        <w:rPr>
          <w:lang w:eastAsia="lv-LV"/>
        </w:rPr>
        <w:t>4.2.1.apakšpunkt</w:t>
      </w:r>
      <w:r w:rsidR="006A604C">
        <w:rPr>
          <w:lang w:eastAsia="lv-LV"/>
        </w:rPr>
        <w:t xml:space="preserve">ā lietot vārdu </w:t>
      </w:r>
      <w:r>
        <w:rPr>
          <w:lang w:eastAsia="lv-LV"/>
        </w:rPr>
        <w:t>„</w:t>
      </w:r>
      <w:r w:rsidR="006A604C">
        <w:rPr>
          <w:lang w:eastAsia="lv-LV"/>
        </w:rPr>
        <w:t>tieši” ir jāinterpretē</w:t>
      </w:r>
      <w:r w:rsidR="0010448D">
        <w:rPr>
          <w:lang w:eastAsia="lv-LV"/>
        </w:rPr>
        <w:t xml:space="preserve">, gluži pretēji, </w:t>
      </w:r>
      <w:r w:rsidR="006A604C">
        <w:rPr>
          <w:lang w:eastAsia="lv-LV"/>
        </w:rPr>
        <w:t>kā apzināta likumdevēja rīcība, kas neizslēdz netieš</w:t>
      </w:r>
      <w:r w:rsidR="00414B4E">
        <w:rPr>
          <w:lang w:eastAsia="lv-LV"/>
        </w:rPr>
        <w:t>i skarto</w:t>
      </w:r>
      <w:r w:rsidR="006A604C">
        <w:rPr>
          <w:lang w:eastAsia="lv-LV"/>
        </w:rPr>
        <w:t xml:space="preserve"> jeb piegāžu ķēžu uzņēmumu tiesības prasīt atbalstu. </w:t>
      </w:r>
    </w:p>
    <w:p w14:paraId="3C8A8610" w14:textId="067CBE94" w:rsidR="00610219" w:rsidRDefault="00812597" w:rsidP="00137388">
      <w:pPr>
        <w:spacing w:line="276" w:lineRule="auto"/>
        <w:ind w:firstLine="720"/>
        <w:jc w:val="both"/>
      </w:pPr>
      <w:r>
        <w:rPr>
          <w:lang w:eastAsia="lv-LV"/>
        </w:rPr>
        <w:t xml:space="preserve">Ņemot vērā minēto, apgabaltiesas spriedums ir atceļams, jo </w:t>
      </w:r>
      <w:r w:rsidRPr="00402239">
        <w:t xml:space="preserve">Atbalsta noteikumu </w:t>
      </w:r>
      <w:r w:rsidRPr="00402239">
        <w:rPr>
          <w:lang w:eastAsia="lv-LV"/>
        </w:rPr>
        <w:t>4.2.1.apakšpunkt</w:t>
      </w:r>
      <w:r>
        <w:rPr>
          <w:lang w:eastAsia="lv-LV"/>
        </w:rPr>
        <w:t xml:space="preserve">s ir interpretējams tādējādi, ka tas paredz atbalsta piešķiršanu arī tad, ja apgrozījuma samazinājums ir </w:t>
      </w:r>
      <w:r w:rsidR="00691B30">
        <w:t>netieši</w:t>
      </w:r>
      <w:r w:rsidR="00691B30">
        <w:rPr>
          <w:lang w:eastAsia="lv-LV"/>
        </w:rPr>
        <w:t xml:space="preserve"> </w:t>
      </w:r>
      <w:r>
        <w:rPr>
          <w:lang w:eastAsia="lv-LV"/>
        </w:rPr>
        <w:t xml:space="preserve">saistīts ar </w:t>
      </w:r>
      <w:r w:rsidRPr="002B3CFD">
        <w:t>saimnieciskās darbības ierobežojumi</w:t>
      </w:r>
      <w:r>
        <w:t>em.</w:t>
      </w:r>
      <w:bookmarkEnd w:id="1"/>
    </w:p>
    <w:p w14:paraId="357A5038" w14:textId="77777777" w:rsidR="000C6B4B" w:rsidRPr="00402239" w:rsidRDefault="000C6B4B" w:rsidP="00137388">
      <w:pPr>
        <w:spacing w:line="276" w:lineRule="auto"/>
        <w:ind w:firstLine="720"/>
        <w:jc w:val="both"/>
        <w:rPr>
          <w:lang w:eastAsia="lv-LV"/>
        </w:rPr>
      </w:pPr>
    </w:p>
    <w:p w14:paraId="5779CA44" w14:textId="06E34EFB" w:rsidR="006A604C" w:rsidRPr="000C6B4B" w:rsidRDefault="006A604C" w:rsidP="00137388">
      <w:pPr>
        <w:spacing w:line="276" w:lineRule="auto"/>
        <w:jc w:val="center"/>
        <w:rPr>
          <w:b/>
          <w:bCs/>
        </w:rPr>
      </w:pPr>
      <w:r w:rsidRPr="000C6B4B">
        <w:rPr>
          <w:b/>
          <w:bCs/>
        </w:rPr>
        <w:t>IV</w:t>
      </w:r>
    </w:p>
    <w:p w14:paraId="7651687E" w14:textId="05A958D9" w:rsidR="006A604C" w:rsidRPr="00EE718C" w:rsidRDefault="004026C3" w:rsidP="00137388">
      <w:pPr>
        <w:spacing w:line="276" w:lineRule="auto"/>
        <w:jc w:val="center"/>
        <w:rPr>
          <w:i/>
          <w:iCs/>
        </w:rPr>
      </w:pPr>
      <w:r>
        <w:rPr>
          <w:i/>
          <w:iCs/>
        </w:rPr>
        <w:t>Par a</w:t>
      </w:r>
      <w:r w:rsidR="00234205">
        <w:rPr>
          <w:i/>
          <w:iCs/>
        </w:rPr>
        <w:t xml:space="preserve">pgrozījuma </w:t>
      </w:r>
      <w:r>
        <w:rPr>
          <w:i/>
          <w:iCs/>
        </w:rPr>
        <w:t xml:space="preserve">krituma </w:t>
      </w:r>
      <w:r w:rsidR="00281AE4">
        <w:rPr>
          <w:i/>
          <w:iCs/>
        </w:rPr>
        <w:t>cēloņa</w:t>
      </w:r>
      <w:r w:rsidR="00234205">
        <w:rPr>
          <w:i/>
          <w:iCs/>
        </w:rPr>
        <w:t xml:space="preserve"> p</w:t>
      </w:r>
      <w:r w:rsidR="006A604C">
        <w:rPr>
          <w:i/>
          <w:iCs/>
        </w:rPr>
        <w:t>ierādīšanas aspekti</w:t>
      </w:r>
      <w:r>
        <w:rPr>
          <w:i/>
          <w:iCs/>
        </w:rPr>
        <w:t>em</w:t>
      </w:r>
    </w:p>
    <w:p w14:paraId="7D1B1FA8" w14:textId="77777777" w:rsidR="00C25B46" w:rsidRPr="00402239" w:rsidRDefault="00C25B46" w:rsidP="00137388">
      <w:pPr>
        <w:spacing w:line="276" w:lineRule="auto"/>
        <w:ind w:firstLine="720"/>
        <w:jc w:val="both"/>
      </w:pPr>
    </w:p>
    <w:p w14:paraId="7C28CD55" w14:textId="1717D190" w:rsidR="00835788" w:rsidRDefault="00C25B46" w:rsidP="00137388">
      <w:pPr>
        <w:spacing w:line="276" w:lineRule="auto"/>
        <w:ind w:firstLine="720"/>
        <w:jc w:val="both"/>
      </w:pPr>
      <w:r w:rsidRPr="00402239">
        <w:t>[</w:t>
      </w:r>
      <w:r w:rsidR="000C6B4B">
        <w:t>1</w:t>
      </w:r>
      <w:r w:rsidR="00747F15">
        <w:t>8</w:t>
      </w:r>
      <w:r w:rsidRPr="00402239">
        <w:t>]</w:t>
      </w:r>
      <w:r w:rsidR="008E171E">
        <w:t xml:space="preserve"> </w:t>
      </w:r>
      <w:r w:rsidR="00146566">
        <w:t xml:space="preserve">Apgabaltiesa sprieduma 6.punktā atzīst, ka </w:t>
      </w:r>
      <w:r w:rsidR="000C6B4B">
        <w:t>„</w:t>
      </w:r>
      <w:r w:rsidR="00146566" w:rsidRPr="00146566">
        <w:t>tas, ka pieteicējas klienti samazināja iegādes no</w:t>
      </w:r>
      <w:r w:rsidR="00146566">
        <w:t xml:space="preserve"> </w:t>
      </w:r>
      <w:r w:rsidR="00146566" w:rsidRPr="00146566">
        <w:t>pieteicējas, vērtējams kā vispārējs uzņēmējdarbības risks”</w:t>
      </w:r>
      <w:r w:rsidR="00146566">
        <w:t xml:space="preserve">. </w:t>
      </w:r>
      <w:r w:rsidR="006452F7">
        <w:t xml:space="preserve">Apgabaltiesa savu secinājumu pamato, norādot, ka </w:t>
      </w:r>
      <w:r w:rsidR="000C6B4B">
        <w:t>„</w:t>
      </w:r>
      <w:r w:rsidR="006452F7">
        <w:t>pieteicēja saimniecisko darbību veic kopš 1999.gada, t.i., tā uzskatāma par pieredzējušu konkrētā tirgus dalībnieku, kuram darījumu attiecības ar citiem komersantiem lielākoties jau ir nodibinātas”</w:t>
      </w:r>
      <w:r w:rsidR="009528F5">
        <w:t xml:space="preserve"> un </w:t>
      </w:r>
      <w:r w:rsidR="006452F7">
        <w:t xml:space="preserve">norāda, ka </w:t>
      </w:r>
      <w:r w:rsidR="000C6B4B">
        <w:t>„</w:t>
      </w:r>
      <w:r w:rsidR="006452F7" w:rsidRPr="00691B30">
        <w:t>Covid-19 infekcijas izplatības</w:t>
      </w:r>
      <w:r w:rsidR="006452F7">
        <w:t xml:space="preserve"> </w:t>
      </w:r>
      <w:r w:rsidR="006452F7" w:rsidRPr="00691B30">
        <w:t>laikā</w:t>
      </w:r>
      <w:r w:rsidR="006452F7">
        <w:t xml:space="preserve"> </w:t>
      </w:r>
      <w:r w:rsidR="006452F7" w:rsidRPr="00691B30">
        <w:t>pārtikas produktu vairumtirdzniecības iespējas komersantiem nemazinājās, jo iedzīvotāji turpināja</w:t>
      </w:r>
      <w:r w:rsidR="006452F7">
        <w:t xml:space="preserve"> </w:t>
      </w:r>
      <w:r w:rsidR="006452F7" w:rsidRPr="00691B30">
        <w:t>iegādāties pārtikas produktus gan tiešsaistē, gan, izmantojot palielinājušās un par populāriem</w:t>
      </w:r>
      <w:r w:rsidR="006452F7">
        <w:t xml:space="preserve"> </w:t>
      </w:r>
      <w:r w:rsidR="006452F7" w:rsidRPr="00691B30">
        <w:t>kļuvušās pasūtījumu piegādes iespējas</w:t>
      </w:r>
      <w:r w:rsidR="006452F7">
        <w:t xml:space="preserve">”. </w:t>
      </w:r>
    </w:p>
    <w:p w14:paraId="76F62A3E" w14:textId="006A5B25" w:rsidR="006452F7" w:rsidRDefault="00146566" w:rsidP="00137388">
      <w:pPr>
        <w:spacing w:line="276" w:lineRule="auto"/>
        <w:ind w:firstLine="720"/>
        <w:jc w:val="both"/>
      </w:pPr>
      <w:r>
        <w:t>Senāts atzīst šādu</w:t>
      </w:r>
      <w:r w:rsidR="009528F5">
        <w:t>s</w:t>
      </w:r>
      <w:r>
        <w:t xml:space="preserve"> apgabaltiesas secinājumu</w:t>
      </w:r>
      <w:r w:rsidR="009528F5">
        <w:t>s</w:t>
      </w:r>
      <w:r>
        <w:t xml:space="preserve"> par</w:t>
      </w:r>
      <w:r w:rsidR="00691B30">
        <w:t xml:space="preserve"> vispārīg</w:t>
      </w:r>
      <w:r w:rsidR="009528F5">
        <w:t>iem</w:t>
      </w:r>
      <w:r w:rsidR="00835788">
        <w:t>,</w:t>
      </w:r>
      <w:r w:rsidR="00691B30">
        <w:t xml:space="preserve"> nepamatot</w:t>
      </w:r>
      <w:r w:rsidR="009528F5">
        <w:t>iem</w:t>
      </w:r>
      <w:r w:rsidR="00835788">
        <w:t xml:space="preserve"> un pretrunīg</w:t>
      </w:r>
      <w:r w:rsidR="009528F5">
        <w:t>iem</w:t>
      </w:r>
      <w:r w:rsidR="00691B30">
        <w:t>.</w:t>
      </w:r>
      <w:r w:rsidR="00835788">
        <w:t xml:space="preserve"> Apgabaltiesa nav atsaukusies uz jebkādiem pierādījumiem, kas nodibinātu minēt</w:t>
      </w:r>
      <w:r w:rsidR="009528F5">
        <w:t>ajos motīvos ietvertos</w:t>
      </w:r>
      <w:r w:rsidR="00835788">
        <w:t xml:space="preserve"> kontekstuālos faktus un faktus par pieteicējas saimnieciskās darbības </w:t>
      </w:r>
      <w:r w:rsidR="009528F5">
        <w:t>raksturu. Tāpat apgabaltiesa</w:t>
      </w:r>
      <w:r w:rsidR="00835788">
        <w:t xml:space="preserve"> nav </w:t>
      </w:r>
      <w:r w:rsidR="003E5A82">
        <w:t xml:space="preserve">sniegusi skaidrojumu </w:t>
      </w:r>
      <w:r w:rsidR="00234205">
        <w:t>tās izpratnei par frāžu</w:t>
      </w:r>
      <w:r w:rsidR="00835788">
        <w:t xml:space="preserve"> </w:t>
      </w:r>
      <w:r w:rsidR="000C6B4B">
        <w:t>„</w:t>
      </w:r>
      <w:r w:rsidR="00835788">
        <w:t xml:space="preserve">darījumu attiecības ar citiem komersantiem lielākoties jau ir nodibinātas” </w:t>
      </w:r>
      <w:r w:rsidR="00234205">
        <w:t xml:space="preserve">un </w:t>
      </w:r>
      <w:r w:rsidR="000C6B4B">
        <w:t>„</w:t>
      </w:r>
      <w:r w:rsidR="00234205">
        <w:t>uzskatāma pieredzējušu konkrētā tirgus dalībnieku” nozīmi un būtiskumu lietā izvirzīto apsvērumu kontekstā vai</w:t>
      </w:r>
      <w:r w:rsidR="009528F5">
        <w:t xml:space="preserve"> to, </w:t>
      </w:r>
      <w:r w:rsidR="00835788">
        <w:t xml:space="preserve">kā </w:t>
      </w:r>
      <w:r w:rsidR="009528F5">
        <w:t>šie motīvi</w:t>
      </w:r>
      <w:r w:rsidR="00835788">
        <w:t xml:space="preserve"> pamato, k</w:t>
      </w:r>
      <w:r w:rsidR="00835788" w:rsidRPr="00470B6D">
        <w:t>a</w:t>
      </w:r>
      <w:r w:rsidR="002D46FD">
        <w:t xml:space="preserve"> atbilstoši Atbalsta noteikumiem</w:t>
      </w:r>
      <w:r w:rsidR="00835788">
        <w:t xml:space="preserve"> piegādes ķēdes </w:t>
      </w:r>
      <w:r w:rsidR="00835788">
        <w:lastRenderedPageBreak/>
        <w:t>uzņēmumam nav iespēj</w:t>
      </w:r>
      <w:r w:rsidR="009528F5">
        <w:t>a</w:t>
      </w:r>
      <w:r w:rsidR="00835788">
        <w:t xml:space="preserve"> saņemt atbalstu</w:t>
      </w:r>
      <w:r w:rsidR="00234205">
        <w:t>. T</w:t>
      </w:r>
      <w:r w:rsidR="009528F5">
        <w:t>urklāt minētie motīvi ir</w:t>
      </w:r>
      <w:r w:rsidR="002D46FD">
        <w:t xml:space="preserve"> </w:t>
      </w:r>
      <w:r w:rsidR="009528F5">
        <w:t xml:space="preserve">pretrunā </w:t>
      </w:r>
      <w:r w:rsidR="002D46FD">
        <w:t>ar</w:t>
      </w:r>
      <w:r w:rsidR="009528F5">
        <w:t xml:space="preserve"> izteikumu, ka </w:t>
      </w:r>
      <w:r w:rsidR="000C6B4B">
        <w:t>„</w:t>
      </w:r>
      <w:r w:rsidR="009528F5" w:rsidRPr="00691B30">
        <w:t>iedzīvotāji turpināja</w:t>
      </w:r>
      <w:r w:rsidR="009528F5">
        <w:t xml:space="preserve"> </w:t>
      </w:r>
      <w:r w:rsidR="009528F5" w:rsidRPr="00691B30">
        <w:t>iegādāties pārtikas produktus tiešsaistē</w:t>
      </w:r>
      <w:r w:rsidR="009528F5">
        <w:t>”, jo šāda pārdošanas forma prasa zināmu saimnieciskās darbības pārorientēšanu</w:t>
      </w:r>
      <w:r w:rsidR="002D46FD">
        <w:t xml:space="preserve"> un tādēļ </w:t>
      </w:r>
      <w:r w:rsidR="000C6B4B">
        <w:t xml:space="preserve">būtu vērtējams, vai </w:t>
      </w:r>
      <w:r w:rsidR="002D46FD">
        <w:t xml:space="preserve">aspektam par </w:t>
      </w:r>
      <w:r w:rsidR="000C6B4B">
        <w:t>„</w:t>
      </w:r>
      <w:r w:rsidR="002D46FD">
        <w:t>pieredzējuš</w:t>
      </w:r>
      <w:r w:rsidR="000C6B4B">
        <w:t>o</w:t>
      </w:r>
      <w:r w:rsidR="002D46FD">
        <w:t xml:space="preserve"> tirgus dalībniek</w:t>
      </w:r>
      <w:r w:rsidR="000C6B4B">
        <w:t>u</w:t>
      </w:r>
      <w:r w:rsidR="002D46FD">
        <w:t xml:space="preserve">” </w:t>
      </w:r>
      <w:r w:rsidR="00C54E32">
        <w:t xml:space="preserve">un </w:t>
      </w:r>
      <w:r w:rsidR="000C6B4B">
        <w:t>„</w:t>
      </w:r>
      <w:r w:rsidR="00C54E32">
        <w:t xml:space="preserve">jau nodibinātām darījuma attiecībām” </w:t>
      </w:r>
      <w:r w:rsidR="000C6B4B">
        <w:t xml:space="preserve">konkrētajā situācijā ir </w:t>
      </w:r>
      <w:r w:rsidR="00C54E32">
        <w:t>nozīme. T</w:t>
      </w:r>
      <w:r w:rsidR="002D46FD">
        <w:t>urklāt</w:t>
      </w:r>
      <w:r w:rsidR="00C17EB7">
        <w:t xml:space="preserve"> </w:t>
      </w:r>
      <w:r w:rsidR="00C54E32">
        <w:t xml:space="preserve">šāda prasība pārorientēt piegādes formu </w:t>
      </w:r>
      <w:r w:rsidR="00C17EB7">
        <w:t xml:space="preserve">nevar tikt uzskatīta </w:t>
      </w:r>
      <w:r w:rsidR="00234205">
        <w:t>par acīmredzami komerciāli saprātīgu rīcību, kuras rezultātā pieteicēja varēja izvairīties no apgrozījuma samazinājuma</w:t>
      </w:r>
      <w:r w:rsidR="00C54E32">
        <w:t>; šis aspekts gan ir jāpārbauda apgabaltiesai</w:t>
      </w:r>
      <w:r w:rsidR="009528F5">
        <w:t>.</w:t>
      </w:r>
    </w:p>
    <w:p w14:paraId="6A25236A" w14:textId="2522EE3B" w:rsidR="009528F5" w:rsidRDefault="00317B4B" w:rsidP="00137388">
      <w:pPr>
        <w:spacing w:line="276" w:lineRule="auto"/>
        <w:ind w:firstLine="720"/>
        <w:jc w:val="both"/>
      </w:pPr>
      <w:r>
        <w:t xml:space="preserve">Ievērojot minēto, atzīstams, ka </w:t>
      </w:r>
      <w:r w:rsidR="009528F5">
        <w:t xml:space="preserve">apgabaltiesa </w:t>
      </w:r>
      <w:r w:rsidR="00DD5315">
        <w:t>nav pienācīgi pamatojusi savus secinājumus un</w:t>
      </w:r>
      <w:r w:rsidR="00234205">
        <w:t xml:space="preserve"> tādējādi</w:t>
      </w:r>
      <w:r w:rsidR="009528F5">
        <w:t xml:space="preserve"> </w:t>
      </w:r>
      <w:r>
        <w:t xml:space="preserve">ir </w:t>
      </w:r>
      <w:r w:rsidR="009528F5">
        <w:t xml:space="preserve">izdarījusi būtisku procesuālu pārkāpumu. </w:t>
      </w:r>
    </w:p>
    <w:p w14:paraId="19567DE2" w14:textId="77777777" w:rsidR="003C3122" w:rsidRPr="00402239" w:rsidRDefault="003C3122" w:rsidP="00137388">
      <w:pPr>
        <w:spacing w:line="276" w:lineRule="auto"/>
        <w:ind w:firstLine="720"/>
        <w:jc w:val="both"/>
        <w:rPr>
          <w:color w:val="000000" w:themeColor="text1"/>
        </w:rPr>
      </w:pPr>
    </w:p>
    <w:p w14:paraId="3565C2E9" w14:textId="47093922" w:rsidR="00105686" w:rsidRDefault="003C3122" w:rsidP="00137388">
      <w:pPr>
        <w:spacing w:line="276" w:lineRule="auto"/>
        <w:ind w:firstLine="720"/>
        <w:jc w:val="both"/>
        <w:rPr>
          <w:color w:val="000000" w:themeColor="text1"/>
        </w:rPr>
      </w:pPr>
      <w:r w:rsidRPr="00402239">
        <w:rPr>
          <w:color w:val="000000" w:themeColor="text1"/>
        </w:rPr>
        <w:t>[</w:t>
      </w:r>
      <w:r w:rsidR="000C6B4B">
        <w:rPr>
          <w:color w:val="000000" w:themeColor="text1"/>
        </w:rPr>
        <w:t>1</w:t>
      </w:r>
      <w:r w:rsidR="00747F15">
        <w:rPr>
          <w:color w:val="000000" w:themeColor="text1"/>
        </w:rPr>
        <w:t>9</w:t>
      </w:r>
      <w:r w:rsidRPr="00402239">
        <w:rPr>
          <w:color w:val="000000" w:themeColor="text1"/>
        </w:rPr>
        <w:t>]</w:t>
      </w:r>
      <w:r w:rsidR="008E171E">
        <w:rPr>
          <w:color w:val="000000" w:themeColor="text1"/>
        </w:rPr>
        <w:t xml:space="preserve"> </w:t>
      </w:r>
      <w:r w:rsidR="00146566">
        <w:rPr>
          <w:color w:val="000000" w:themeColor="text1"/>
        </w:rPr>
        <w:t>Papildus Senāts akcentē divus administratīvo tiesību principus, kas ir būtiski š</w:t>
      </w:r>
      <w:r w:rsidR="00B00B5A">
        <w:rPr>
          <w:color w:val="000000" w:themeColor="text1"/>
        </w:rPr>
        <w:t>ā</w:t>
      </w:r>
      <w:r w:rsidR="00146566">
        <w:rPr>
          <w:color w:val="000000" w:themeColor="text1"/>
        </w:rPr>
        <w:t xml:space="preserve"> tiesību jautājuma </w:t>
      </w:r>
      <w:r w:rsidR="00234205">
        <w:rPr>
          <w:color w:val="000000" w:themeColor="text1"/>
        </w:rPr>
        <w:t xml:space="preserve">taisnīgā </w:t>
      </w:r>
      <w:r w:rsidR="00146566">
        <w:rPr>
          <w:color w:val="000000" w:themeColor="text1"/>
        </w:rPr>
        <w:t>izskatīšanā</w:t>
      </w:r>
      <w:r w:rsidR="00E05F0A">
        <w:rPr>
          <w:color w:val="000000" w:themeColor="text1"/>
        </w:rPr>
        <w:t xml:space="preserve"> </w:t>
      </w:r>
      <w:r w:rsidR="00146566">
        <w:rPr>
          <w:color w:val="000000" w:themeColor="text1"/>
        </w:rPr>
        <w:t>–</w:t>
      </w:r>
      <w:r w:rsidR="00E05F0A">
        <w:rPr>
          <w:color w:val="000000" w:themeColor="text1"/>
        </w:rPr>
        <w:t xml:space="preserve"> </w:t>
      </w:r>
      <w:r w:rsidR="00146566">
        <w:rPr>
          <w:color w:val="000000" w:themeColor="text1"/>
        </w:rPr>
        <w:t>objektīvās izmeklēšanas principu un privātpersonas</w:t>
      </w:r>
      <w:r w:rsidR="00281AE4">
        <w:rPr>
          <w:color w:val="000000" w:themeColor="text1"/>
        </w:rPr>
        <w:t xml:space="preserve"> pienākumu piedalīties pierādīšanā</w:t>
      </w:r>
      <w:r w:rsidR="00146566">
        <w:rPr>
          <w:color w:val="000000" w:themeColor="text1"/>
        </w:rPr>
        <w:t>.</w:t>
      </w:r>
    </w:p>
    <w:p w14:paraId="203C447A" w14:textId="0D0F1CCE" w:rsidR="00835788" w:rsidRDefault="00146566" w:rsidP="00137388">
      <w:pPr>
        <w:spacing w:line="276" w:lineRule="auto"/>
        <w:ind w:firstLine="720"/>
        <w:jc w:val="both"/>
        <w:rPr>
          <w:color w:val="000000" w:themeColor="text1"/>
        </w:rPr>
      </w:pPr>
      <w:r>
        <w:rPr>
          <w:color w:val="000000" w:themeColor="text1"/>
        </w:rPr>
        <w:t xml:space="preserve">Administratīvā procesa likuma </w:t>
      </w:r>
      <w:r w:rsidRPr="00146566">
        <w:rPr>
          <w:color w:val="000000" w:themeColor="text1"/>
        </w:rPr>
        <w:t xml:space="preserve">150.panta </w:t>
      </w:r>
      <w:r>
        <w:rPr>
          <w:color w:val="000000" w:themeColor="text1"/>
        </w:rPr>
        <w:t xml:space="preserve">ceturtā </w:t>
      </w:r>
      <w:r w:rsidRPr="00146566">
        <w:rPr>
          <w:color w:val="000000" w:themeColor="text1"/>
        </w:rPr>
        <w:t>daļa</w:t>
      </w:r>
      <w:r w:rsidR="00D00CAF">
        <w:rPr>
          <w:color w:val="000000" w:themeColor="text1"/>
        </w:rPr>
        <w:t xml:space="preserve"> </w:t>
      </w:r>
      <w:r w:rsidR="009D2380">
        <w:rPr>
          <w:color w:val="000000" w:themeColor="text1"/>
        </w:rPr>
        <w:t>paredz</w:t>
      </w:r>
      <w:r w:rsidR="000C6B4B">
        <w:rPr>
          <w:color w:val="000000" w:themeColor="text1"/>
        </w:rPr>
        <w:t xml:space="preserve"> – </w:t>
      </w:r>
      <w:r w:rsidR="009D2380">
        <w:rPr>
          <w:color w:val="000000" w:themeColor="text1"/>
        </w:rPr>
        <w:t>j</w:t>
      </w:r>
      <w:r w:rsidR="009D2380" w:rsidRPr="009D2380">
        <w:rPr>
          <w:color w:val="000000" w:themeColor="text1"/>
        </w:rPr>
        <w:t>a administratīvā procesa dalībnieku iesniegtie pierādījumi nav pietiekami, tiesa savāc tos pēc savas iniciatīvas</w:t>
      </w:r>
      <w:r w:rsidR="00D00CAF">
        <w:rPr>
          <w:color w:val="000000" w:themeColor="text1"/>
        </w:rPr>
        <w:t>.</w:t>
      </w:r>
      <w:r w:rsidR="00234205">
        <w:rPr>
          <w:color w:val="000000" w:themeColor="text1"/>
        </w:rPr>
        <w:t xml:space="preserve"> </w:t>
      </w:r>
      <w:r w:rsidR="00D00CAF">
        <w:rPr>
          <w:color w:val="000000" w:themeColor="text1"/>
        </w:rPr>
        <w:t xml:space="preserve">Apgabaltiesai, izskatot lietu atkārtoti, ir jāpamato, balstoties uz </w:t>
      </w:r>
      <w:r w:rsidR="00DD5315">
        <w:rPr>
          <w:color w:val="000000" w:themeColor="text1"/>
        </w:rPr>
        <w:t>lietā esošajiem pierādījumiem,</w:t>
      </w:r>
      <w:r w:rsidR="00D00CAF">
        <w:rPr>
          <w:color w:val="000000" w:themeColor="text1"/>
        </w:rPr>
        <w:t xml:space="preserve"> kādēļ</w:t>
      </w:r>
      <w:r w:rsidR="00DD5315">
        <w:rPr>
          <w:color w:val="000000" w:themeColor="text1"/>
        </w:rPr>
        <w:t xml:space="preserve"> </w:t>
      </w:r>
      <w:r w:rsidR="00D00CAF">
        <w:rPr>
          <w:color w:val="000000" w:themeColor="text1"/>
        </w:rPr>
        <w:t xml:space="preserve">pieteicēja </w:t>
      </w:r>
      <w:r w:rsidR="00DD5315">
        <w:rPr>
          <w:color w:val="000000" w:themeColor="text1"/>
        </w:rPr>
        <w:t xml:space="preserve">ir vai </w:t>
      </w:r>
      <w:r w:rsidR="00D00CAF">
        <w:rPr>
          <w:color w:val="000000" w:themeColor="text1"/>
        </w:rPr>
        <w:t>nav nodibinājusi cēloņsakarību starp apgrozījuma samazinājumu un ierobežojumiem</w:t>
      </w:r>
      <w:r w:rsidR="00272810">
        <w:rPr>
          <w:color w:val="000000" w:themeColor="text1"/>
        </w:rPr>
        <w:t>,</w:t>
      </w:r>
      <w:r w:rsidR="009D2380">
        <w:rPr>
          <w:color w:val="000000" w:themeColor="text1"/>
        </w:rPr>
        <w:t xml:space="preserve"> vai</w:t>
      </w:r>
      <w:r w:rsidR="00DD5315">
        <w:rPr>
          <w:color w:val="000000" w:themeColor="text1"/>
        </w:rPr>
        <w:t>, gluži pretēji,</w:t>
      </w:r>
      <w:r w:rsidR="009D2380">
        <w:rPr>
          <w:color w:val="000000" w:themeColor="text1"/>
        </w:rPr>
        <w:t xml:space="preserve"> iestāde pienācīgi nodibinājusi alternatīvu cēloni apgrozījuma samazinājum</w:t>
      </w:r>
      <w:r w:rsidR="00DD5315">
        <w:rPr>
          <w:color w:val="000000" w:themeColor="text1"/>
        </w:rPr>
        <w:t>am</w:t>
      </w:r>
      <w:r w:rsidR="00D00CAF">
        <w:rPr>
          <w:color w:val="000000" w:themeColor="text1"/>
        </w:rPr>
        <w:t xml:space="preserve">. Tāpat šajā ziņā jo īpaši jāpārbauda pieteicējas spēja kontrolēt savu apgrozījumu un </w:t>
      </w:r>
      <w:r w:rsidR="00272810">
        <w:rPr>
          <w:color w:val="000000" w:themeColor="text1"/>
        </w:rPr>
        <w:t xml:space="preserve">konkrēti </w:t>
      </w:r>
      <w:r w:rsidR="00D00CAF">
        <w:rPr>
          <w:color w:val="000000" w:themeColor="text1"/>
        </w:rPr>
        <w:t>jānorāda</w:t>
      </w:r>
      <w:r w:rsidR="00272810">
        <w:rPr>
          <w:color w:val="000000" w:themeColor="text1"/>
        </w:rPr>
        <w:t xml:space="preserve"> tas</w:t>
      </w:r>
      <w:r w:rsidR="00DD5315">
        <w:rPr>
          <w:color w:val="000000" w:themeColor="text1"/>
        </w:rPr>
        <w:t>,</w:t>
      </w:r>
      <w:r w:rsidR="00D00CAF">
        <w:rPr>
          <w:color w:val="000000" w:themeColor="text1"/>
        </w:rPr>
        <w:t xml:space="preserve"> kādus saprātīgus komerciāli iespējamus pasākumus</w:t>
      </w:r>
      <w:r w:rsidR="00272810">
        <w:rPr>
          <w:color w:val="000000" w:themeColor="text1"/>
        </w:rPr>
        <w:t xml:space="preserve"> tāds tirgus dalībnieks kā</w:t>
      </w:r>
      <w:r w:rsidR="00D00CAF">
        <w:rPr>
          <w:color w:val="000000" w:themeColor="text1"/>
        </w:rPr>
        <w:t xml:space="preserve"> pieteicēja</w:t>
      </w:r>
      <w:r w:rsidR="00272810">
        <w:rPr>
          <w:color w:val="000000" w:themeColor="text1"/>
        </w:rPr>
        <w:t xml:space="preserve"> varēja un</w:t>
      </w:r>
      <w:r w:rsidR="006556E5">
        <w:rPr>
          <w:color w:val="000000" w:themeColor="text1"/>
        </w:rPr>
        <w:t xml:space="preserve"> tai</w:t>
      </w:r>
      <w:r w:rsidR="00272810">
        <w:rPr>
          <w:color w:val="000000" w:themeColor="text1"/>
        </w:rPr>
        <w:t xml:space="preserve"> </w:t>
      </w:r>
      <w:r w:rsidR="00D00CAF">
        <w:rPr>
          <w:color w:val="000000" w:themeColor="text1"/>
        </w:rPr>
        <w:t>vajadzēja veikt, lai novērstu apgrozījuma kritumu pilnībā vai daļā.</w:t>
      </w:r>
    </w:p>
    <w:p w14:paraId="4D933B1C" w14:textId="4B56CC90" w:rsidR="0076137B" w:rsidRPr="00234205" w:rsidRDefault="00B00B5A" w:rsidP="00137388">
      <w:pPr>
        <w:spacing w:line="276" w:lineRule="auto"/>
        <w:ind w:firstLine="720"/>
        <w:jc w:val="both"/>
        <w:rPr>
          <w:color w:val="000000" w:themeColor="text1"/>
        </w:rPr>
      </w:pPr>
      <w:r>
        <w:rPr>
          <w:color w:val="000000" w:themeColor="text1"/>
        </w:rPr>
        <w:t>Vi</w:t>
      </w:r>
      <w:r w:rsidR="00FE41CB">
        <w:rPr>
          <w:color w:val="000000" w:themeColor="text1"/>
        </w:rPr>
        <w:t xml:space="preserve">enlaikus jo īpaši </w:t>
      </w:r>
      <w:r w:rsidR="00234205">
        <w:rPr>
          <w:color w:val="000000" w:themeColor="text1"/>
        </w:rPr>
        <w:t>jā</w:t>
      </w:r>
      <w:r w:rsidR="00FE41CB">
        <w:rPr>
          <w:color w:val="000000" w:themeColor="text1"/>
        </w:rPr>
        <w:t>uzsver privātpersonas pienākumu sadarboties ar tiesu</w:t>
      </w:r>
      <w:r w:rsidR="00234205">
        <w:rPr>
          <w:color w:val="000000" w:themeColor="text1"/>
        </w:rPr>
        <w:t>.</w:t>
      </w:r>
      <w:r w:rsidR="00FE41CB">
        <w:rPr>
          <w:color w:val="000000" w:themeColor="text1"/>
        </w:rPr>
        <w:t xml:space="preserve"> Administratīvā procesa likuma </w:t>
      </w:r>
      <w:r w:rsidR="00FE41CB" w:rsidRPr="00146566">
        <w:rPr>
          <w:color w:val="000000" w:themeColor="text1"/>
        </w:rPr>
        <w:t>150.panta trešā daļa</w:t>
      </w:r>
      <w:r w:rsidR="00FE41CB">
        <w:rPr>
          <w:color w:val="000000" w:themeColor="text1"/>
        </w:rPr>
        <w:t xml:space="preserve"> </w:t>
      </w:r>
      <w:r w:rsidR="009D2380">
        <w:rPr>
          <w:color w:val="000000" w:themeColor="text1"/>
        </w:rPr>
        <w:t>paredz, ka p</w:t>
      </w:r>
      <w:r w:rsidR="009D2380" w:rsidRPr="009D2380">
        <w:rPr>
          <w:color w:val="000000" w:themeColor="text1"/>
        </w:rPr>
        <w:t xml:space="preserve">ieteicējam atbilstoši savām iespējām jāpiedalās pierādījumu savākšanā. </w:t>
      </w:r>
      <w:r w:rsidR="0076137B">
        <w:rPr>
          <w:color w:val="000000" w:themeColor="text1"/>
        </w:rPr>
        <w:t xml:space="preserve">Senāts jau ir atzinis, ka </w:t>
      </w:r>
      <w:r w:rsidR="000C6B4B">
        <w:rPr>
          <w:color w:val="000000" w:themeColor="text1"/>
        </w:rPr>
        <w:t>a</w:t>
      </w:r>
      <w:r w:rsidR="0076137B" w:rsidRPr="0076137B">
        <w:rPr>
          <w:color w:val="000000" w:themeColor="text1"/>
        </w:rPr>
        <w:t>dministratīvajā procesā iedibinātais objektīvās izmeklēšanas princips prasa no tiesas aktīvu iesaisti lietas izskatīšanā. Vienlaikus no tā neizriet tiesas pienākums iestāties pieteicēja vietā un meklēt pieteicēja pozīcijas apstiprinošus pierādījumus. Šāda pieeja balstīta gan tajā, ka tiesai vispār nav jānostājas viena procesa dalībnieka pusē, gan tajā, ka zaudējumu atlīdzināšanas lietās informācija par ciestajiem zaudējumiem vislabāk ir zināma tieši pašai cietušajai personai</w:t>
      </w:r>
      <w:r w:rsidR="0076137B">
        <w:rPr>
          <w:color w:val="000000" w:themeColor="text1"/>
        </w:rPr>
        <w:t xml:space="preserve"> (</w:t>
      </w:r>
      <w:r w:rsidR="0076137B" w:rsidRPr="0076137B">
        <w:rPr>
          <w:i/>
          <w:iCs/>
          <w:color w:val="000000" w:themeColor="text1"/>
        </w:rPr>
        <w:t>Senāta 2024.gada 27.decembra spriedum</w:t>
      </w:r>
      <w:r w:rsidR="00281AE4">
        <w:rPr>
          <w:i/>
          <w:iCs/>
          <w:color w:val="000000" w:themeColor="text1"/>
        </w:rPr>
        <w:t>a</w:t>
      </w:r>
      <w:r w:rsidR="0076137B" w:rsidRPr="0076137B">
        <w:rPr>
          <w:i/>
          <w:iCs/>
          <w:color w:val="000000" w:themeColor="text1"/>
        </w:rPr>
        <w:t xml:space="preserve"> lietā Nr. SKA-297/2024</w:t>
      </w:r>
      <w:r w:rsidR="004026C3">
        <w:rPr>
          <w:i/>
          <w:iCs/>
          <w:color w:val="000000" w:themeColor="text1"/>
        </w:rPr>
        <w:t>,</w:t>
      </w:r>
      <w:r w:rsidR="0076137B">
        <w:rPr>
          <w:i/>
          <w:iCs/>
          <w:color w:val="000000" w:themeColor="text1"/>
        </w:rPr>
        <w:t xml:space="preserve"> </w:t>
      </w:r>
      <w:hyperlink r:id="rId28" w:history="1">
        <w:r w:rsidR="0076137B" w:rsidRPr="0076137B">
          <w:rPr>
            <w:rStyle w:val="Hyperlink"/>
            <w:i/>
            <w:iCs/>
          </w:rPr>
          <w:t>ECLI:LV:AT:2024:1227.A420340016.19.S</w:t>
        </w:r>
      </w:hyperlink>
      <w:r w:rsidR="0076137B" w:rsidRPr="0076137B">
        <w:rPr>
          <w:i/>
          <w:iCs/>
          <w:color w:val="000000" w:themeColor="text1"/>
        </w:rPr>
        <w:t>, 16.punkts</w:t>
      </w:r>
      <w:r w:rsidR="0076137B">
        <w:rPr>
          <w:color w:val="000000" w:themeColor="text1"/>
        </w:rPr>
        <w:t>)</w:t>
      </w:r>
      <w:r w:rsidR="004026C3">
        <w:rPr>
          <w:color w:val="000000" w:themeColor="text1"/>
        </w:rPr>
        <w:t>.</w:t>
      </w:r>
    </w:p>
    <w:p w14:paraId="301D7B6A" w14:textId="0E22F616" w:rsidR="00D00CAF" w:rsidRDefault="00FE41CB" w:rsidP="00137388">
      <w:pPr>
        <w:spacing w:line="276" w:lineRule="auto"/>
        <w:ind w:firstLine="720"/>
        <w:jc w:val="both"/>
        <w:rPr>
          <w:color w:val="000000" w:themeColor="text1"/>
        </w:rPr>
      </w:pPr>
      <w:r>
        <w:rPr>
          <w:color w:val="000000" w:themeColor="text1"/>
        </w:rPr>
        <w:t xml:space="preserve">Lietās, kurās </w:t>
      </w:r>
      <w:r w:rsidR="00D8211B">
        <w:rPr>
          <w:color w:val="000000" w:themeColor="text1"/>
        </w:rPr>
        <w:t>komersants</w:t>
      </w:r>
      <w:r>
        <w:rPr>
          <w:color w:val="000000" w:themeColor="text1"/>
        </w:rPr>
        <w:t xml:space="preserve"> vēlas saņemt </w:t>
      </w:r>
      <w:r w:rsidR="00281AE4">
        <w:rPr>
          <w:color w:val="000000" w:themeColor="text1"/>
        </w:rPr>
        <w:t>komercdarbības</w:t>
      </w:r>
      <w:r w:rsidR="00D8211B">
        <w:rPr>
          <w:color w:val="000000" w:themeColor="text1"/>
        </w:rPr>
        <w:t xml:space="preserve"> atbalstu</w:t>
      </w:r>
      <w:r>
        <w:rPr>
          <w:color w:val="000000" w:themeColor="text1"/>
        </w:rPr>
        <w:t xml:space="preserve">, </w:t>
      </w:r>
      <w:r w:rsidR="00835788">
        <w:rPr>
          <w:color w:val="000000" w:themeColor="text1"/>
        </w:rPr>
        <w:t xml:space="preserve">tāpat kā lietās, kurās persona lūdz zaudējumu atlīdzību, </w:t>
      </w:r>
      <w:r>
        <w:rPr>
          <w:color w:val="000000" w:themeColor="text1"/>
        </w:rPr>
        <w:t xml:space="preserve">no </w:t>
      </w:r>
      <w:r w:rsidR="00835788">
        <w:rPr>
          <w:color w:val="000000" w:themeColor="text1"/>
        </w:rPr>
        <w:t>pieteicēja</w:t>
      </w:r>
      <w:r>
        <w:rPr>
          <w:color w:val="000000" w:themeColor="text1"/>
        </w:rPr>
        <w:t xml:space="preserve"> var sagaidīt lielāku iesaisti pierādīšanas procesā. </w:t>
      </w:r>
      <w:r w:rsidR="00835788">
        <w:rPr>
          <w:color w:val="000000" w:themeColor="text1"/>
        </w:rPr>
        <w:t>Turklāt t</w:t>
      </w:r>
      <w:r w:rsidR="00835788" w:rsidRPr="00FE41CB">
        <w:rPr>
          <w:color w:val="000000" w:themeColor="text1"/>
        </w:rPr>
        <w:t>iesa nevar izpildīt A</w:t>
      </w:r>
      <w:r w:rsidR="008E171E">
        <w:rPr>
          <w:color w:val="000000" w:themeColor="text1"/>
        </w:rPr>
        <w:t xml:space="preserve">dministratīvā procesa likuma </w:t>
      </w:r>
      <w:r w:rsidR="00835788" w:rsidRPr="00FE41CB">
        <w:rPr>
          <w:color w:val="000000" w:themeColor="text1"/>
        </w:rPr>
        <w:t>150.panta ceturtās daļas pienākumu – savākt pierādījumus –</w:t>
      </w:r>
      <w:r w:rsidR="00B00B5A">
        <w:rPr>
          <w:color w:val="000000" w:themeColor="text1"/>
        </w:rPr>
        <w:t>,</w:t>
      </w:r>
      <w:r w:rsidR="00835788" w:rsidRPr="00FE41CB">
        <w:rPr>
          <w:color w:val="000000" w:themeColor="text1"/>
        </w:rPr>
        <w:t xml:space="preserve"> ja </w:t>
      </w:r>
      <w:r w:rsidR="00835788">
        <w:rPr>
          <w:color w:val="000000" w:themeColor="text1"/>
        </w:rPr>
        <w:t>p</w:t>
      </w:r>
      <w:r w:rsidR="00835788" w:rsidRPr="00FE41CB">
        <w:rPr>
          <w:color w:val="000000" w:themeColor="text1"/>
        </w:rPr>
        <w:t>ieteicēja</w:t>
      </w:r>
      <w:r w:rsidR="00835788">
        <w:rPr>
          <w:color w:val="000000" w:themeColor="text1"/>
        </w:rPr>
        <w:t xml:space="preserve"> </w:t>
      </w:r>
      <w:r w:rsidR="004026C3">
        <w:rPr>
          <w:color w:val="000000" w:themeColor="text1"/>
        </w:rPr>
        <w:t xml:space="preserve">tos tur </w:t>
      </w:r>
      <w:r w:rsidR="00835788">
        <w:rPr>
          <w:color w:val="000000" w:themeColor="text1"/>
        </w:rPr>
        <w:t xml:space="preserve">un neizmanto pierādīšanā. </w:t>
      </w:r>
      <w:r>
        <w:rPr>
          <w:color w:val="000000" w:themeColor="text1"/>
        </w:rPr>
        <w:t>Ievērojot minēto, apgrozījuma krituma cēloņsakarības ar rīkojumu noteiktajiem ierobežojumiem pierādīšanas pienākums ir pieteicējai. P</w:t>
      </w:r>
      <w:r w:rsidRPr="00FE41CB">
        <w:rPr>
          <w:color w:val="000000" w:themeColor="text1"/>
        </w:rPr>
        <w:t>ieteicējai</w:t>
      </w:r>
      <w:r>
        <w:rPr>
          <w:color w:val="000000" w:themeColor="text1"/>
        </w:rPr>
        <w:t xml:space="preserve"> </w:t>
      </w:r>
      <w:r w:rsidRPr="00FE41CB">
        <w:rPr>
          <w:color w:val="000000" w:themeColor="text1"/>
        </w:rPr>
        <w:t xml:space="preserve">jāskaidro un jāpamato tas, kādam sabiedrisko ēdināšanas pakalpojumu segmentam tā piegādā produktus un kādēļ </w:t>
      </w:r>
      <w:r>
        <w:rPr>
          <w:color w:val="000000" w:themeColor="text1"/>
        </w:rPr>
        <w:t>rīkojumā</w:t>
      </w:r>
      <w:r w:rsidRPr="00FE41CB">
        <w:rPr>
          <w:color w:val="000000" w:themeColor="text1"/>
        </w:rPr>
        <w:t xml:space="preserve"> paredzētie ierobežojumi to ietekmēja</w:t>
      </w:r>
      <w:r>
        <w:rPr>
          <w:color w:val="000000" w:themeColor="text1"/>
        </w:rPr>
        <w:t xml:space="preserve">, tostarp pamatojot savas darbības </w:t>
      </w:r>
      <w:r w:rsidRPr="00FE41CB">
        <w:rPr>
          <w:color w:val="000000" w:themeColor="text1"/>
        </w:rPr>
        <w:t>komerciālo loģiku</w:t>
      </w:r>
      <w:r>
        <w:rPr>
          <w:color w:val="000000" w:themeColor="text1"/>
        </w:rPr>
        <w:t>.</w:t>
      </w:r>
    </w:p>
    <w:p w14:paraId="15A7A9B9" w14:textId="77777777" w:rsidR="004026C3" w:rsidRDefault="004026C3" w:rsidP="00137388">
      <w:pPr>
        <w:spacing w:line="276" w:lineRule="auto"/>
        <w:ind w:firstLine="720"/>
        <w:jc w:val="both"/>
        <w:rPr>
          <w:color w:val="000000" w:themeColor="text1"/>
        </w:rPr>
      </w:pPr>
    </w:p>
    <w:p w14:paraId="54441019" w14:textId="77777777" w:rsidR="00224181" w:rsidRDefault="00224181" w:rsidP="00137388">
      <w:pPr>
        <w:spacing w:line="276" w:lineRule="auto"/>
        <w:ind w:firstLine="720"/>
        <w:jc w:val="both"/>
        <w:rPr>
          <w:color w:val="000000" w:themeColor="text1"/>
        </w:rPr>
      </w:pPr>
    </w:p>
    <w:p w14:paraId="0E4D9C3F" w14:textId="77777777" w:rsidR="00224181" w:rsidRDefault="00224181" w:rsidP="00137388">
      <w:pPr>
        <w:spacing w:line="276" w:lineRule="auto"/>
        <w:ind w:firstLine="720"/>
        <w:jc w:val="both"/>
        <w:rPr>
          <w:color w:val="000000" w:themeColor="text1"/>
        </w:rPr>
      </w:pPr>
    </w:p>
    <w:p w14:paraId="04971CE0" w14:textId="7F54539E" w:rsidR="00EE718C" w:rsidRPr="004026C3" w:rsidRDefault="00EE718C" w:rsidP="00137388">
      <w:pPr>
        <w:spacing w:line="276" w:lineRule="auto"/>
        <w:jc w:val="center"/>
        <w:rPr>
          <w:b/>
          <w:bCs/>
        </w:rPr>
      </w:pPr>
      <w:r w:rsidRPr="004026C3">
        <w:rPr>
          <w:b/>
          <w:bCs/>
        </w:rPr>
        <w:t>V</w:t>
      </w:r>
    </w:p>
    <w:p w14:paraId="343B7858" w14:textId="6A96C075" w:rsidR="00EE718C" w:rsidRPr="00EE718C" w:rsidRDefault="004026C3" w:rsidP="00137388">
      <w:pPr>
        <w:spacing w:line="276" w:lineRule="auto"/>
        <w:jc w:val="center"/>
        <w:rPr>
          <w:i/>
          <w:iCs/>
        </w:rPr>
      </w:pPr>
      <w:r>
        <w:rPr>
          <w:i/>
          <w:iCs/>
        </w:rPr>
        <w:t>Par v</w:t>
      </w:r>
      <w:r w:rsidR="00EE718C">
        <w:rPr>
          <w:i/>
          <w:iCs/>
        </w:rPr>
        <w:t>ienlīdzīgas attieksmes principa pārkāpum</w:t>
      </w:r>
      <w:r>
        <w:rPr>
          <w:i/>
          <w:iCs/>
        </w:rPr>
        <w:t>u</w:t>
      </w:r>
    </w:p>
    <w:p w14:paraId="613A1346" w14:textId="77777777" w:rsidR="00EE718C" w:rsidRDefault="00EE718C" w:rsidP="00137388">
      <w:pPr>
        <w:spacing w:line="276" w:lineRule="auto"/>
        <w:ind w:firstLine="720"/>
        <w:jc w:val="both"/>
        <w:rPr>
          <w:color w:val="000000" w:themeColor="text1"/>
        </w:rPr>
      </w:pPr>
    </w:p>
    <w:p w14:paraId="6A382014" w14:textId="78084197" w:rsidR="00EE718C" w:rsidRPr="00402239" w:rsidRDefault="00EE718C" w:rsidP="00137388">
      <w:pPr>
        <w:spacing w:line="276" w:lineRule="auto"/>
        <w:ind w:firstLine="720"/>
        <w:jc w:val="both"/>
        <w:rPr>
          <w:color w:val="000000" w:themeColor="text1"/>
        </w:rPr>
      </w:pPr>
      <w:r w:rsidRPr="00402239">
        <w:rPr>
          <w:color w:val="000000" w:themeColor="text1"/>
        </w:rPr>
        <w:t>[</w:t>
      </w:r>
      <w:r w:rsidR="00747F15">
        <w:rPr>
          <w:color w:val="000000" w:themeColor="text1"/>
        </w:rPr>
        <w:t>20</w:t>
      </w:r>
      <w:r w:rsidRPr="00402239">
        <w:rPr>
          <w:color w:val="000000" w:themeColor="text1"/>
        </w:rPr>
        <w:t xml:space="preserve">] Ņemot vērā </w:t>
      </w:r>
      <w:r>
        <w:rPr>
          <w:color w:val="000000" w:themeColor="text1"/>
        </w:rPr>
        <w:t xml:space="preserve">to, ka pieteicējas kasācijas sūdzība ir pamatota, jo apgabaltiesa nepareizi interpretēja </w:t>
      </w:r>
      <w:r w:rsidRPr="00402239">
        <w:t xml:space="preserve">Atbalsta noteikumu </w:t>
      </w:r>
      <w:r w:rsidRPr="00402239">
        <w:rPr>
          <w:lang w:eastAsia="lv-LV"/>
        </w:rPr>
        <w:t>4.2.1.apakšpunkt</w:t>
      </w:r>
      <w:r>
        <w:rPr>
          <w:lang w:eastAsia="lv-LV"/>
        </w:rPr>
        <w:t>u un to, ka pieteicējas galvenais kasācijas mērķis ir iegūt secinājumu par to, vai minētā norma liedz piešķirt atbalstu netiešas saiknes gadījumā</w:t>
      </w:r>
      <w:r w:rsidRPr="00402239">
        <w:rPr>
          <w:color w:val="000000" w:themeColor="text1"/>
        </w:rPr>
        <w:t xml:space="preserve">, Senāts atzīst, ka </w:t>
      </w:r>
      <w:r>
        <w:rPr>
          <w:color w:val="000000" w:themeColor="text1"/>
        </w:rPr>
        <w:t>nav nepieciešams izskatīt pieteicējas otro kasācijas pamatu</w:t>
      </w:r>
      <w:r w:rsidR="008E171E">
        <w:rPr>
          <w:color w:val="000000" w:themeColor="text1"/>
        </w:rPr>
        <w:t xml:space="preserve"> </w:t>
      </w:r>
      <w:r>
        <w:rPr>
          <w:color w:val="000000" w:themeColor="text1"/>
        </w:rPr>
        <w:t>–</w:t>
      </w:r>
      <w:r w:rsidR="008E171E">
        <w:rPr>
          <w:color w:val="000000" w:themeColor="text1"/>
        </w:rPr>
        <w:t xml:space="preserve"> </w:t>
      </w:r>
      <w:r>
        <w:rPr>
          <w:color w:val="000000" w:themeColor="text1"/>
        </w:rPr>
        <w:t>vienlīdzīgas attieksmes principa pārkāpumu</w:t>
      </w:r>
      <w:r w:rsidRPr="00402239">
        <w:rPr>
          <w:color w:val="000000" w:themeColor="text1"/>
        </w:rPr>
        <w:t>.</w:t>
      </w:r>
    </w:p>
    <w:p w14:paraId="3A39DEAA" w14:textId="6D910055" w:rsidR="00706247" w:rsidRPr="00402239" w:rsidRDefault="00706247" w:rsidP="00137388">
      <w:pPr>
        <w:spacing w:line="276" w:lineRule="auto"/>
        <w:ind w:firstLine="720"/>
        <w:jc w:val="both"/>
        <w:rPr>
          <w:rFonts w:eastAsia="Calibri"/>
        </w:rPr>
      </w:pPr>
    </w:p>
    <w:p w14:paraId="5496836E" w14:textId="77777777" w:rsidR="00E810BB" w:rsidRPr="00402239" w:rsidRDefault="00E810BB" w:rsidP="00137388">
      <w:pPr>
        <w:spacing w:line="276" w:lineRule="auto"/>
        <w:jc w:val="center"/>
        <w:outlineLvl w:val="0"/>
        <w:rPr>
          <w:b/>
        </w:rPr>
      </w:pPr>
      <w:r w:rsidRPr="00402239">
        <w:rPr>
          <w:b/>
        </w:rPr>
        <w:t>Rezolutīvā daļa</w:t>
      </w:r>
    </w:p>
    <w:p w14:paraId="2D3CF15F" w14:textId="77777777" w:rsidR="00E810BB" w:rsidRPr="00402239" w:rsidRDefault="00E810BB" w:rsidP="00137388">
      <w:pPr>
        <w:spacing w:line="276" w:lineRule="auto"/>
        <w:ind w:firstLine="720"/>
        <w:jc w:val="both"/>
        <w:rPr>
          <w:bCs/>
          <w:spacing w:val="70"/>
        </w:rPr>
      </w:pPr>
    </w:p>
    <w:p w14:paraId="16049E42" w14:textId="4029D03D" w:rsidR="00E810BB" w:rsidRPr="00402239" w:rsidRDefault="00E810BB" w:rsidP="00137388">
      <w:pPr>
        <w:spacing w:line="276" w:lineRule="auto"/>
        <w:ind w:firstLine="720"/>
        <w:jc w:val="both"/>
      </w:pPr>
      <w:r w:rsidRPr="00402239">
        <w:rPr>
          <w:rFonts w:eastAsia="Calibri"/>
        </w:rPr>
        <w:t>Pamatojoties</w:t>
      </w:r>
      <w:r w:rsidRPr="00402239">
        <w:t xml:space="preserve"> uz Administratīvā procesa likuma 348.panta pirmās daļas </w:t>
      </w:r>
      <w:r w:rsidR="0015633D">
        <w:t>2</w:t>
      </w:r>
      <w:r w:rsidRPr="00402239">
        <w:t>.punktu</w:t>
      </w:r>
      <w:r w:rsidR="00F65BA8">
        <w:t xml:space="preserve">, </w:t>
      </w:r>
      <w:r w:rsidR="00F65BA8" w:rsidRPr="00F65BA8">
        <w:t>129.</w:t>
      </w:r>
      <w:r w:rsidR="00F65BA8" w:rsidRPr="00F65BA8">
        <w:rPr>
          <w:vertAlign w:val="superscript"/>
        </w:rPr>
        <w:t>1</w:t>
      </w:r>
      <w:r w:rsidR="00F65BA8" w:rsidRPr="00F65BA8">
        <w:t xml:space="preserve"> pant</w:t>
      </w:r>
      <w:r w:rsidR="00F65BA8">
        <w:t xml:space="preserve">a pirmās daļas 1.punktu </w:t>
      </w:r>
      <w:r w:rsidRPr="00402239">
        <w:t>un 351.pantu, Senāts</w:t>
      </w:r>
    </w:p>
    <w:p w14:paraId="173F83B0" w14:textId="77777777" w:rsidR="00FF1909" w:rsidRPr="00402239" w:rsidRDefault="00FF1909" w:rsidP="00137388">
      <w:pPr>
        <w:spacing w:line="276" w:lineRule="auto"/>
        <w:ind w:firstLine="720"/>
        <w:jc w:val="both"/>
      </w:pPr>
    </w:p>
    <w:p w14:paraId="63841FF9" w14:textId="4A0FF362" w:rsidR="00E810BB" w:rsidRPr="00402239" w:rsidRDefault="00E810BB" w:rsidP="00137388">
      <w:pPr>
        <w:spacing w:line="276" w:lineRule="auto"/>
        <w:jc w:val="center"/>
        <w:rPr>
          <w:b/>
        </w:rPr>
      </w:pPr>
      <w:r w:rsidRPr="00402239">
        <w:rPr>
          <w:b/>
        </w:rPr>
        <w:t>nosprieda</w:t>
      </w:r>
    </w:p>
    <w:p w14:paraId="5ECB6E91" w14:textId="77777777" w:rsidR="00E810BB" w:rsidRPr="00402239" w:rsidRDefault="00E810BB" w:rsidP="00137388">
      <w:pPr>
        <w:spacing w:line="276" w:lineRule="auto"/>
        <w:ind w:firstLine="720"/>
        <w:jc w:val="center"/>
        <w:rPr>
          <w:b/>
        </w:rPr>
      </w:pPr>
    </w:p>
    <w:p w14:paraId="152B3887" w14:textId="2B5B23F1" w:rsidR="00DD5315" w:rsidRDefault="00DD5315" w:rsidP="00137388">
      <w:pPr>
        <w:keepNext/>
        <w:tabs>
          <w:tab w:val="left" w:pos="2700"/>
          <w:tab w:val="left" w:pos="6660"/>
        </w:tabs>
        <w:spacing w:line="276" w:lineRule="auto"/>
        <w:ind w:firstLine="567"/>
        <w:jc w:val="both"/>
      </w:pPr>
      <w:r>
        <w:t>a</w:t>
      </w:r>
      <w:r w:rsidRPr="00402239">
        <w:t>t</w:t>
      </w:r>
      <w:r>
        <w:t>celt</w:t>
      </w:r>
      <w:r w:rsidRPr="00402239">
        <w:t xml:space="preserve"> </w:t>
      </w:r>
      <w:r w:rsidRPr="005B6461">
        <w:t xml:space="preserve">Administratīvās apgabaltiesas </w:t>
      </w:r>
      <w:r w:rsidR="0031025A" w:rsidRPr="0031025A">
        <w:t xml:space="preserve">2023.gada 16.oktobra </w:t>
      </w:r>
      <w:r w:rsidRPr="005B6461">
        <w:t xml:space="preserve">spriedumu </w:t>
      </w:r>
      <w:r>
        <w:t xml:space="preserve">pilnībā un nosūtīt lietu atkārtotai izskatīšanai </w:t>
      </w:r>
      <w:r w:rsidRPr="00891001">
        <w:t>Administratīv</w:t>
      </w:r>
      <w:r>
        <w:t>ajā</w:t>
      </w:r>
      <w:r w:rsidRPr="00891001">
        <w:t xml:space="preserve"> </w:t>
      </w:r>
      <w:r>
        <w:t>apgabaltiesā</w:t>
      </w:r>
      <w:r w:rsidR="00B00B5A">
        <w:t>;</w:t>
      </w:r>
    </w:p>
    <w:p w14:paraId="5D384022" w14:textId="7E99A572" w:rsidR="00A83E60" w:rsidRPr="00B00B5A" w:rsidRDefault="00DD5315" w:rsidP="00137388">
      <w:pPr>
        <w:spacing w:line="276" w:lineRule="auto"/>
        <w:ind w:firstLine="567"/>
        <w:jc w:val="both"/>
      </w:pPr>
      <w:r>
        <w:rPr>
          <w:lang w:eastAsia="en-US"/>
        </w:rPr>
        <w:t xml:space="preserve">atmaksāt </w:t>
      </w:r>
      <w:r>
        <w:t>SIA</w:t>
      </w:r>
      <w:r w:rsidR="008E171E">
        <w:t> </w:t>
      </w:r>
      <w:r>
        <w:t>„</w:t>
      </w:r>
      <w:r w:rsidR="006556E5">
        <w:t>SALAS ZIVIS</w:t>
      </w:r>
      <w:r>
        <w:t>”</w:t>
      </w:r>
      <w:r>
        <w:rPr>
          <w:rFonts w:asciiTheme="majorBidi" w:eastAsiaTheme="minorHAnsi" w:hAnsiTheme="majorBidi" w:cstheme="majorBidi"/>
          <w:lang w:eastAsia="en-US"/>
        </w:rPr>
        <w:t xml:space="preserve"> </w:t>
      </w:r>
      <w:r>
        <w:rPr>
          <w:shd w:val="clear" w:color="auto" w:fill="FFFFFF"/>
        </w:rPr>
        <w:t>par</w:t>
      </w:r>
      <w:r>
        <w:rPr>
          <w:lang w:eastAsia="en-US"/>
        </w:rPr>
        <w:t xml:space="preserve"> kasācijas sūdzību samaksāto drošības naudu 70 </w:t>
      </w:r>
      <w:r>
        <w:rPr>
          <w:i/>
          <w:iCs/>
          <w:lang w:eastAsia="en-US"/>
        </w:rPr>
        <w:t>euro</w:t>
      </w:r>
      <w:r w:rsidR="00B00B5A">
        <w:rPr>
          <w:lang w:eastAsia="en-US"/>
        </w:rPr>
        <w:t>.</w:t>
      </w:r>
    </w:p>
    <w:p w14:paraId="4D9F81B0" w14:textId="1150A0DF" w:rsidR="00E810BB" w:rsidRPr="00402239" w:rsidRDefault="00E810BB" w:rsidP="00137388">
      <w:pPr>
        <w:spacing w:line="276" w:lineRule="auto"/>
        <w:ind w:firstLine="567"/>
        <w:jc w:val="both"/>
      </w:pPr>
      <w:r w:rsidRPr="00402239">
        <w:t>Spriedums nav pārsūdzams.</w:t>
      </w:r>
    </w:p>
    <w:p w14:paraId="7B3F1187" w14:textId="0B0374D6" w:rsidR="00E810BB" w:rsidRPr="00402239" w:rsidRDefault="00E810BB" w:rsidP="00137388">
      <w:pPr>
        <w:tabs>
          <w:tab w:val="left" w:pos="540"/>
          <w:tab w:val="left" w:pos="6660"/>
        </w:tabs>
        <w:spacing w:line="276" w:lineRule="auto"/>
        <w:ind w:firstLine="720"/>
        <w:jc w:val="both"/>
      </w:pPr>
    </w:p>
    <w:p w14:paraId="1EA5EDB7" w14:textId="175A81F9" w:rsidR="003B1EF7" w:rsidRPr="00402239" w:rsidRDefault="003B1EF7" w:rsidP="008038FB">
      <w:pPr>
        <w:tabs>
          <w:tab w:val="left" w:pos="540"/>
          <w:tab w:val="left" w:pos="6660"/>
        </w:tabs>
        <w:spacing w:line="276" w:lineRule="auto"/>
        <w:ind w:firstLine="720"/>
        <w:jc w:val="both"/>
      </w:pPr>
    </w:p>
    <w:p w14:paraId="0638F22C" w14:textId="77777777" w:rsidR="003B1EF7" w:rsidRPr="00402239" w:rsidRDefault="003B1EF7" w:rsidP="008038FB">
      <w:pPr>
        <w:tabs>
          <w:tab w:val="left" w:pos="540"/>
          <w:tab w:val="left" w:pos="6660"/>
        </w:tabs>
        <w:spacing w:line="276" w:lineRule="auto"/>
        <w:ind w:firstLine="720"/>
        <w:jc w:val="both"/>
      </w:pPr>
    </w:p>
    <w:sectPr w:rsidR="003B1EF7" w:rsidRPr="00402239" w:rsidSect="008038FB">
      <w:footerReference w:type="default" r:id="rId29"/>
      <w:pgSz w:w="11906" w:h="16838" w:code="9"/>
      <w:pgMar w:top="1134" w:right="170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C735B" w14:textId="77777777" w:rsidR="005F361F" w:rsidRDefault="005F361F" w:rsidP="003047F5">
      <w:r>
        <w:separator/>
      </w:r>
    </w:p>
  </w:endnote>
  <w:endnote w:type="continuationSeparator" w:id="0">
    <w:p w14:paraId="04D01E9F" w14:textId="77777777" w:rsidR="005F361F" w:rsidRDefault="005F361F" w:rsidP="003047F5">
      <w:r>
        <w:continuationSeparator/>
      </w:r>
    </w:p>
  </w:endnote>
  <w:endnote w:type="continuationNotice" w:id="1">
    <w:p w14:paraId="34489F71" w14:textId="77777777" w:rsidR="005F361F" w:rsidRDefault="005F3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BA"/>
    <w:family w:val="auto"/>
    <w:notTrueType/>
    <w:pitch w:val="default"/>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20ED" w14:textId="5054307C" w:rsidR="00F04C5E" w:rsidRPr="008038FB" w:rsidRDefault="00F04C5E" w:rsidP="00F43FAD">
    <w:pPr>
      <w:pStyle w:val="Footer"/>
      <w:tabs>
        <w:tab w:val="clear" w:pos="4153"/>
        <w:tab w:val="clear" w:pos="8306"/>
      </w:tabs>
      <w:jc w:val="center"/>
      <w:rPr>
        <w:sz w:val="20"/>
        <w:szCs w:val="20"/>
      </w:rPr>
    </w:pPr>
    <w:r w:rsidRPr="008038FB">
      <w:rPr>
        <w:rStyle w:val="PageNumber"/>
        <w:sz w:val="20"/>
        <w:szCs w:val="20"/>
      </w:rPr>
      <w:fldChar w:fldCharType="begin"/>
    </w:r>
    <w:r w:rsidRPr="008038FB">
      <w:rPr>
        <w:rStyle w:val="PageNumber"/>
        <w:sz w:val="20"/>
        <w:szCs w:val="20"/>
      </w:rPr>
      <w:instrText xml:space="preserve">PAGE  </w:instrText>
    </w:r>
    <w:r w:rsidRPr="008038FB">
      <w:rPr>
        <w:rStyle w:val="PageNumber"/>
        <w:sz w:val="20"/>
        <w:szCs w:val="20"/>
      </w:rPr>
      <w:fldChar w:fldCharType="separate"/>
    </w:r>
    <w:r w:rsidR="004F5DD6" w:rsidRPr="008038FB">
      <w:rPr>
        <w:rStyle w:val="PageNumber"/>
        <w:noProof/>
        <w:sz w:val="20"/>
        <w:szCs w:val="20"/>
      </w:rPr>
      <w:t>5</w:t>
    </w:r>
    <w:r w:rsidRPr="008038FB">
      <w:rPr>
        <w:rStyle w:val="PageNumber"/>
        <w:sz w:val="20"/>
        <w:szCs w:val="20"/>
      </w:rPr>
      <w:fldChar w:fldCharType="end"/>
    </w:r>
    <w:r w:rsidRPr="008038FB">
      <w:rPr>
        <w:rStyle w:val="PageNumber"/>
        <w:sz w:val="20"/>
        <w:szCs w:val="20"/>
      </w:rPr>
      <w:t xml:space="preserve"> no </w:t>
    </w:r>
    <w:r w:rsidRPr="008038FB">
      <w:rPr>
        <w:rStyle w:val="PageNumber"/>
        <w:noProof/>
        <w:sz w:val="20"/>
        <w:szCs w:val="20"/>
      </w:rPr>
      <w:fldChar w:fldCharType="begin"/>
    </w:r>
    <w:r w:rsidRPr="008038FB">
      <w:rPr>
        <w:rStyle w:val="PageNumber"/>
        <w:noProof/>
        <w:sz w:val="20"/>
        <w:szCs w:val="20"/>
      </w:rPr>
      <w:instrText xml:space="preserve"> SECTIONPAGES   \* MERGEFORMAT </w:instrText>
    </w:r>
    <w:r w:rsidRPr="008038FB">
      <w:rPr>
        <w:rStyle w:val="PageNumber"/>
        <w:noProof/>
        <w:sz w:val="20"/>
        <w:szCs w:val="20"/>
      </w:rPr>
      <w:fldChar w:fldCharType="separate"/>
    </w:r>
    <w:r w:rsidR="00451CD8">
      <w:rPr>
        <w:rStyle w:val="PageNumber"/>
        <w:noProof/>
        <w:sz w:val="20"/>
        <w:szCs w:val="20"/>
      </w:rPr>
      <w:t>10</w:t>
    </w:r>
    <w:r w:rsidRPr="008038FB">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74298" w14:textId="77777777" w:rsidR="005F361F" w:rsidRDefault="005F361F" w:rsidP="003047F5">
      <w:r>
        <w:separator/>
      </w:r>
    </w:p>
  </w:footnote>
  <w:footnote w:type="continuationSeparator" w:id="0">
    <w:p w14:paraId="76C6D939" w14:textId="77777777" w:rsidR="005F361F" w:rsidRDefault="005F361F" w:rsidP="003047F5">
      <w:r>
        <w:continuationSeparator/>
      </w:r>
    </w:p>
  </w:footnote>
  <w:footnote w:type="continuationNotice" w:id="1">
    <w:p w14:paraId="1BD71F31" w14:textId="77777777" w:rsidR="005F361F" w:rsidRDefault="005F36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86875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70C36"/>
    <w:multiLevelType w:val="hybridMultilevel"/>
    <w:tmpl w:val="37E2659A"/>
    <w:lvl w:ilvl="0" w:tplc="53D0BA3E">
      <w:start w:val="1"/>
      <w:numFmt w:val="bullet"/>
      <w:lvlText w:val=""/>
      <w:lvlJc w:val="left"/>
      <w:pPr>
        <w:tabs>
          <w:tab w:val="num" w:pos="720"/>
        </w:tabs>
        <w:ind w:left="720" w:hanging="360"/>
      </w:pPr>
      <w:rPr>
        <w:rFonts w:ascii="Wingdings 3" w:hAnsi="Wingdings 3" w:hint="default"/>
      </w:rPr>
    </w:lvl>
    <w:lvl w:ilvl="1" w:tplc="59AEE42A" w:tentative="1">
      <w:start w:val="1"/>
      <w:numFmt w:val="bullet"/>
      <w:lvlText w:val=""/>
      <w:lvlJc w:val="left"/>
      <w:pPr>
        <w:tabs>
          <w:tab w:val="num" w:pos="1440"/>
        </w:tabs>
        <w:ind w:left="1440" w:hanging="360"/>
      </w:pPr>
      <w:rPr>
        <w:rFonts w:ascii="Wingdings 3" w:hAnsi="Wingdings 3" w:hint="default"/>
      </w:rPr>
    </w:lvl>
    <w:lvl w:ilvl="2" w:tplc="CC5EE9A0" w:tentative="1">
      <w:start w:val="1"/>
      <w:numFmt w:val="bullet"/>
      <w:lvlText w:val=""/>
      <w:lvlJc w:val="left"/>
      <w:pPr>
        <w:tabs>
          <w:tab w:val="num" w:pos="2160"/>
        </w:tabs>
        <w:ind w:left="2160" w:hanging="360"/>
      </w:pPr>
      <w:rPr>
        <w:rFonts w:ascii="Wingdings 3" w:hAnsi="Wingdings 3" w:hint="default"/>
      </w:rPr>
    </w:lvl>
    <w:lvl w:ilvl="3" w:tplc="5134AE8A" w:tentative="1">
      <w:start w:val="1"/>
      <w:numFmt w:val="bullet"/>
      <w:lvlText w:val=""/>
      <w:lvlJc w:val="left"/>
      <w:pPr>
        <w:tabs>
          <w:tab w:val="num" w:pos="2880"/>
        </w:tabs>
        <w:ind w:left="2880" w:hanging="360"/>
      </w:pPr>
      <w:rPr>
        <w:rFonts w:ascii="Wingdings 3" w:hAnsi="Wingdings 3" w:hint="default"/>
      </w:rPr>
    </w:lvl>
    <w:lvl w:ilvl="4" w:tplc="8AC0638A" w:tentative="1">
      <w:start w:val="1"/>
      <w:numFmt w:val="bullet"/>
      <w:lvlText w:val=""/>
      <w:lvlJc w:val="left"/>
      <w:pPr>
        <w:tabs>
          <w:tab w:val="num" w:pos="3600"/>
        </w:tabs>
        <w:ind w:left="3600" w:hanging="360"/>
      </w:pPr>
      <w:rPr>
        <w:rFonts w:ascii="Wingdings 3" w:hAnsi="Wingdings 3" w:hint="default"/>
      </w:rPr>
    </w:lvl>
    <w:lvl w:ilvl="5" w:tplc="1F2C5A72" w:tentative="1">
      <w:start w:val="1"/>
      <w:numFmt w:val="bullet"/>
      <w:lvlText w:val=""/>
      <w:lvlJc w:val="left"/>
      <w:pPr>
        <w:tabs>
          <w:tab w:val="num" w:pos="4320"/>
        </w:tabs>
        <w:ind w:left="4320" w:hanging="360"/>
      </w:pPr>
      <w:rPr>
        <w:rFonts w:ascii="Wingdings 3" w:hAnsi="Wingdings 3" w:hint="default"/>
      </w:rPr>
    </w:lvl>
    <w:lvl w:ilvl="6" w:tplc="508A4C64" w:tentative="1">
      <w:start w:val="1"/>
      <w:numFmt w:val="bullet"/>
      <w:lvlText w:val=""/>
      <w:lvlJc w:val="left"/>
      <w:pPr>
        <w:tabs>
          <w:tab w:val="num" w:pos="5040"/>
        </w:tabs>
        <w:ind w:left="5040" w:hanging="360"/>
      </w:pPr>
      <w:rPr>
        <w:rFonts w:ascii="Wingdings 3" w:hAnsi="Wingdings 3" w:hint="default"/>
      </w:rPr>
    </w:lvl>
    <w:lvl w:ilvl="7" w:tplc="FCA4D77C" w:tentative="1">
      <w:start w:val="1"/>
      <w:numFmt w:val="bullet"/>
      <w:lvlText w:val=""/>
      <w:lvlJc w:val="left"/>
      <w:pPr>
        <w:tabs>
          <w:tab w:val="num" w:pos="5760"/>
        </w:tabs>
        <w:ind w:left="5760" w:hanging="360"/>
      </w:pPr>
      <w:rPr>
        <w:rFonts w:ascii="Wingdings 3" w:hAnsi="Wingdings 3" w:hint="default"/>
      </w:rPr>
    </w:lvl>
    <w:lvl w:ilvl="8" w:tplc="4A4CC47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3021705"/>
    <w:multiLevelType w:val="hybridMultilevel"/>
    <w:tmpl w:val="D1F8A270"/>
    <w:lvl w:ilvl="0" w:tplc="5F2691E6">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3C2F45"/>
    <w:multiLevelType w:val="hybridMultilevel"/>
    <w:tmpl w:val="6AC8E54E"/>
    <w:lvl w:ilvl="0" w:tplc="91E46DE6">
      <w:start w:val="1"/>
      <w:numFmt w:val="bullet"/>
      <w:lvlText w:val="•"/>
      <w:lvlJc w:val="left"/>
      <w:pPr>
        <w:tabs>
          <w:tab w:val="num" w:pos="720"/>
        </w:tabs>
        <w:ind w:left="720" w:hanging="360"/>
      </w:pPr>
      <w:rPr>
        <w:rFonts w:ascii="Arial" w:hAnsi="Arial" w:hint="default"/>
      </w:rPr>
    </w:lvl>
    <w:lvl w:ilvl="1" w:tplc="9962AAAC" w:tentative="1">
      <w:start w:val="1"/>
      <w:numFmt w:val="bullet"/>
      <w:lvlText w:val="•"/>
      <w:lvlJc w:val="left"/>
      <w:pPr>
        <w:tabs>
          <w:tab w:val="num" w:pos="1440"/>
        </w:tabs>
        <w:ind w:left="1440" w:hanging="360"/>
      </w:pPr>
      <w:rPr>
        <w:rFonts w:ascii="Arial" w:hAnsi="Arial" w:hint="default"/>
      </w:rPr>
    </w:lvl>
    <w:lvl w:ilvl="2" w:tplc="38E405AA" w:tentative="1">
      <w:start w:val="1"/>
      <w:numFmt w:val="bullet"/>
      <w:lvlText w:val="•"/>
      <w:lvlJc w:val="left"/>
      <w:pPr>
        <w:tabs>
          <w:tab w:val="num" w:pos="2160"/>
        </w:tabs>
        <w:ind w:left="2160" w:hanging="360"/>
      </w:pPr>
      <w:rPr>
        <w:rFonts w:ascii="Arial" w:hAnsi="Arial" w:hint="default"/>
      </w:rPr>
    </w:lvl>
    <w:lvl w:ilvl="3" w:tplc="BE9CE94E" w:tentative="1">
      <w:start w:val="1"/>
      <w:numFmt w:val="bullet"/>
      <w:lvlText w:val="•"/>
      <w:lvlJc w:val="left"/>
      <w:pPr>
        <w:tabs>
          <w:tab w:val="num" w:pos="2880"/>
        </w:tabs>
        <w:ind w:left="2880" w:hanging="360"/>
      </w:pPr>
      <w:rPr>
        <w:rFonts w:ascii="Arial" w:hAnsi="Arial" w:hint="default"/>
      </w:rPr>
    </w:lvl>
    <w:lvl w:ilvl="4" w:tplc="11A2B060" w:tentative="1">
      <w:start w:val="1"/>
      <w:numFmt w:val="bullet"/>
      <w:lvlText w:val="•"/>
      <w:lvlJc w:val="left"/>
      <w:pPr>
        <w:tabs>
          <w:tab w:val="num" w:pos="3600"/>
        </w:tabs>
        <w:ind w:left="3600" w:hanging="360"/>
      </w:pPr>
      <w:rPr>
        <w:rFonts w:ascii="Arial" w:hAnsi="Arial" w:hint="default"/>
      </w:rPr>
    </w:lvl>
    <w:lvl w:ilvl="5" w:tplc="FFA86044" w:tentative="1">
      <w:start w:val="1"/>
      <w:numFmt w:val="bullet"/>
      <w:lvlText w:val="•"/>
      <w:lvlJc w:val="left"/>
      <w:pPr>
        <w:tabs>
          <w:tab w:val="num" w:pos="4320"/>
        </w:tabs>
        <w:ind w:left="4320" w:hanging="360"/>
      </w:pPr>
      <w:rPr>
        <w:rFonts w:ascii="Arial" w:hAnsi="Arial" w:hint="default"/>
      </w:rPr>
    </w:lvl>
    <w:lvl w:ilvl="6" w:tplc="7604D360" w:tentative="1">
      <w:start w:val="1"/>
      <w:numFmt w:val="bullet"/>
      <w:lvlText w:val="•"/>
      <w:lvlJc w:val="left"/>
      <w:pPr>
        <w:tabs>
          <w:tab w:val="num" w:pos="5040"/>
        </w:tabs>
        <w:ind w:left="5040" w:hanging="360"/>
      </w:pPr>
      <w:rPr>
        <w:rFonts w:ascii="Arial" w:hAnsi="Arial" w:hint="default"/>
      </w:rPr>
    </w:lvl>
    <w:lvl w:ilvl="7" w:tplc="CBC6DE60" w:tentative="1">
      <w:start w:val="1"/>
      <w:numFmt w:val="bullet"/>
      <w:lvlText w:val="•"/>
      <w:lvlJc w:val="left"/>
      <w:pPr>
        <w:tabs>
          <w:tab w:val="num" w:pos="5760"/>
        </w:tabs>
        <w:ind w:left="5760" w:hanging="360"/>
      </w:pPr>
      <w:rPr>
        <w:rFonts w:ascii="Arial" w:hAnsi="Arial" w:hint="default"/>
      </w:rPr>
    </w:lvl>
    <w:lvl w:ilvl="8" w:tplc="A09ADF2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F8753D"/>
    <w:multiLevelType w:val="hybridMultilevel"/>
    <w:tmpl w:val="CECE5B68"/>
    <w:lvl w:ilvl="0" w:tplc="04D4A7EE">
      <w:start w:val="1"/>
      <w:numFmt w:val="bullet"/>
      <w:lvlText w:val="•"/>
      <w:lvlJc w:val="left"/>
      <w:pPr>
        <w:tabs>
          <w:tab w:val="num" w:pos="720"/>
        </w:tabs>
        <w:ind w:left="720" w:hanging="360"/>
      </w:pPr>
      <w:rPr>
        <w:rFonts w:ascii="Arial" w:hAnsi="Arial" w:hint="default"/>
      </w:rPr>
    </w:lvl>
    <w:lvl w:ilvl="1" w:tplc="059C9BE4" w:tentative="1">
      <w:start w:val="1"/>
      <w:numFmt w:val="bullet"/>
      <w:lvlText w:val="•"/>
      <w:lvlJc w:val="left"/>
      <w:pPr>
        <w:tabs>
          <w:tab w:val="num" w:pos="1440"/>
        </w:tabs>
        <w:ind w:left="1440" w:hanging="360"/>
      </w:pPr>
      <w:rPr>
        <w:rFonts w:ascii="Arial" w:hAnsi="Arial" w:hint="default"/>
      </w:rPr>
    </w:lvl>
    <w:lvl w:ilvl="2" w:tplc="F5765D90" w:tentative="1">
      <w:start w:val="1"/>
      <w:numFmt w:val="bullet"/>
      <w:lvlText w:val="•"/>
      <w:lvlJc w:val="left"/>
      <w:pPr>
        <w:tabs>
          <w:tab w:val="num" w:pos="2160"/>
        </w:tabs>
        <w:ind w:left="2160" w:hanging="360"/>
      </w:pPr>
      <w:rPr>
        <w:rFonts w:ascii="Arial" w:hAnsi="Arial" w:hint="default"/>
      </w:rPr>
    </w:lvl>
    <w:lvl w:ilvl="3" w:tplc="B268DFB6" w:tentative="1">
      <w:start w:val="1"/>
      <w:numFmt w:val="bullet"/>
      <w:lvlText w:val="•"/>
      <w:lvlJc w:val="left"/>
      <w:pPr>
        <w:tabs>
          <w:tab w:val="num" w:pos="2880"/>
        </w:tabs>
        <w:ind w:left="2880" w:hanging="360"/>
      </w:pPr>
      <w:rPr>
        <w:rFonts w:ascii="Arial" w:hAnsi="Arial" w:hint="default"/>
      </w:rPr>
    </w:lvl>
    <w:lvl w:ilvl="4" w:tplc="024EC372" w:tentative="1">
      <w:start w:val="1"/>
      <w:numFmt w:val="bullet"/>
      <w:lvlText w:val="•"/>
      <w:lvlJc w:val="left"/>
      <w:pPr>
        <w:tabs>
          <w:tab w:val="num" w:pos="3600"/>
        </w:tabs>
        <w:ind w:left="3600" w:hanging="360"/>
      </w:pPr>
      <w:rPr>
        <w:rFonts w:ascii="Arial" w:hAnsi="Arial" w:hint="default"/>
      </w:rPr>
    </w:lvl>
    <w:lvl w:ilvl="5" w:tplc="9D44DC76" w:tentative="1">
      <w:start w:val="1"/>
      <w:numFmt w:val="bullet"/>
      <w:lvlText w:val="•"/>
      <w:lvlJc w:val="left"/>
      <w:pPr>
        <w:tabs>
          <w:tab w:val="num" w:pos="4320"/>
        </w:tabs>
        <w:ind w:left="4320" w:hanging="360"/>
      </w:pPr>
      <w:rPr>
        <w:rFonts w:ascii="Arial" w:hAnsi="Arial" w:hint="default"/>
      </w:rPr>
    </w:lvl>
    <w:lvl w:ilvl="6" w:tplc="57362804" w:tentative="1">
      <w:start w:val="1"/>
      <w:numFmt w:val="bullet"/>
      <w:lvlText w:val="•"/>
      <w:lvlJc w:val="left"/>
      <w:pPr>
        <w:tabs>
          <w:tab w:val="num" w:pos="5040"/>
        </w:tabs>
        <w:ind w:left="5040" w:hanging="360"/>
      </w:pPr>
      <w:rPr>
        <w:rFonts w:ascii="Arial" w:hAnsi="Arial" w:hint="default"/>
      </w:rPr>
    </w:lvl>
    <w:lvl w:ilvl="7" w:tplc="9D7E6F8A" w:tentative="1">
      <w:start w:val="1"/>
      <w:numFmt w:val="bullet"/>
      <w:lvlText w:val="•"/>
      <w:lvlJc w:val="left"/>
      <w:pPr>
        <w:tabs>
          <w:tab w:val="num" w:pos="5760"/>
        </w:tabs>
        <w:ind w:left="5760" w:hanging="360"/>
      </w:pPr>
      <w:rPr>
        <w:rFonts w:ascii="Arial" w:hAnsi="Arial" w:hint="default"/>
      </w:rPr>
    </w:lvl>
    <w:lvl w:ilvl="8" w:tplc="9F6C72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EB2FEC"/>
    <w:multiLevelType w:val="hybridMultilevel"/>
    <w:tmpl w:val="3BD273B0"/>
    <w:lvl w:ilvl="0" w:tplc="9AA8B598">
      <w:start w:val="1"/>
      <w:numFmt w:val="bullet"/>
      <w:lvlText w:val="•"/>
      <w:lvlJc w:val="left"/>
      <w:pPr>
        <w:tabs>
          <w:tab w:val="num" w:pos="720"/>
        </w:tabs>
        <w:ind w:left="720" w:hanging="360"/>
      </w:pPr>
      <w:rPr>
        <w:rFonts w:ascii="Arial" w:hAnsi="Arial" w:hint="default"/>
      </w:rPr>
    </w:lvl>
    <w:lvl w:ilvl="1" w:tplc="0C6830DE" w:tentative="1">
      <w:start w:val="1"/>
      <w:numFmt w:val="bullet"/>
      <w:lvlText w:val="•"/>
      <w:lvlJc w:val="left"/>
      <w:pPr>
        <w:tabs>
          <w:tab w:val="num" w:pos="1440"/>
        </w:tabs>
        <w:ind w:left="1440" w:hanging="360"/>
      </w:pPr>
      <w:rPr>
        <w:rFonts w:ascii="Arial" w:hAnsi="Arial" w:hint="default"/>
      </w:rPr>
    </w:lvl>
    <w:lvl w:ilvl="2" w:tplc="04A48B38" w:tentative="1">
      <w:start w:val="1"/>
      <w:numFmt w:val="bullet"/>
      <w:lvlText w:val="•"/>
      <w:lvlJc w:val="left"/>
      <w:pPr>
        <w:tabs>
          <w:tab w:val="num" w:pos="2160"/>
        </w:tabs>
        <w:ind w:left="2160" w:hanging="360"/>
      </w:pPr>
      <w:rPr>
        <w:rFonts w:ascii="Arial" w:hAnsi="Arial" w:hint="default"/>
      </w:rPr>
    </w:lvl>
    <w:lvl w:ilvl="3" w:tplc="6006543E" w:tentative="1">
      <w:start w:val="1"/>
      <w:numFmt w:val="bullet"/>
      <w:lvlText w:val="•"/>
      <w:lvlJc w:val="left"/>
      <w:pPr>
        <w:tabs>
          <w:tab w:val="num" w:pos="2880"/>
        </w:tabs>
        <w:ind w:left="2880" w:hanging="360"/>
      </w:pPr>
      <w:rPr>
        <w:rFonts w:ascii="Arial" w:hAnsi="Arial" w:hint="default"/>
      </w:rPr>
    </w:lvl>
    <w:lvl w:ilvl="4" w:tplc="44784166" w:tentative="1">
      <w:start w:val="1"/>
      <w:numFmt w:val="bullet"/>
      <w:lvlText w:val="•"/>
      <w:lvlJc w:val="left"/>
      <w:pPr>
        <w:tabs>
          <w:tab w:val="num" w:pos="3600"/>
        </w:tabs>
        <w:ind w:left="3600" w:hanging="360"/>
      </w:pPr>
      <w:rPr>
        <w:rFonts w:ascii="Arial" w:hAnsi="Arial" w:hint="default"/>
      </w:rPr>
    </w:lvl>
    <w:lvl w:ilvl="5" w:tplc="3654BA7A" w:tentative="1">
      <w:start w:val="1"/>
      <w:numFmt w:val="bullet"/>
      <w:lvlText w:val="•"/>
      <w:lvlJc w:val="left"/>
      <w:pPr>
        <w:tabs>
          <w:tab w:val="num" w:pos="4320"/>
        </w:tabs>
        <w:ind w:left="4320" w:hanging="360"/>
      </w:pPr>
      <w:rPr>
        <w:rFonts w:ascii="Arial" w:hAnsi="Arial" w:hint="default"/>
      </w:rPr>
    </w:lvl>
    <w:lvl w:ilvl="6" w:tplc="655869CA" w:tentative="1">
      <w:start w:val="1"/>
      <w:numFmt w:val="bullet"/>
      <w:lvlText w:val="•"/>
      <w:lvlJc w:val="left"/>
      <w:pPr>
        <w:tabs>
          <w:tab w:val="num" w:pos="5040"/>
        </w:tabs>
        <w:ind w:left="5040" w:hanging="360"/>
      </w:pPr>
      <w:rPr>
        <w:rFonts w:ascii="Arial" w:hAnsi="Arial" w:hint="default"/>
      </w:rPr>
    </w:lvl>
    <w:lvl w:ilvl="7" w:tplc="04D25D40" w:tentative="1">
      <w:start w:val="1"/>
      <w:numFmt w:val="bullet"/>
      <w:lvlText w:val="•"/>
      <w:lvlJc w:val="left"/>
      <w:pPr>
        <w:tabs>
          <w:tab w:val="num" w:pos="5760"/>
        </w:tabs>
        <w:ind w:left="5760" w:hanging="360"/>
      </w:pPr>
      <w:rPr>
        <w:rFonts w:ascii="Arial" w:hAnsi="Arial" w:hint="default"/>
      </w:rPr>
    </w:lvl>
    <w:lvl w:ilvl="8" w:tplc="F2DA5BC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2727A0"/>
    <w:multiLevelType w:val="hybridMultilevel"/>
    <w:tmpl w:val="D370F26C"/>
    <w:lvl w:ilvl="0" w:tplc="C686A3B0">
      <w:start w:val="1"/>
      <w:numFmt w:val="bullet"/>
      <w:lvlText w:val=""/>
      <w:lvlJc w:val="left"/>
      <w:pPr>
        <w:tabs>
          <w:tab w:val="num" w:pos="720"/>
        </w:tabs>
        <w:ind w:left="720" w:hanging="360"/>
      </w:pPr>
      <w:rPr>
        <w:rFonts w:ascii="Wingdings 3" w:hAnsi="Wingdings 3" w:hint="default"/>
      </w:rPr>
    </w:lvl>
    <w:lvl w:ilvl="1" w:tplc="0A4AFF7A" w:tentative="1">
      <w:start w:val="1"/>
      <w:numFmt w:val="bullet"/>
      <w:lvlText w:val=""/>
      <w:lvlJc w:val="left"/>
      <w:pPr>
        <w:tabs>
          <w:tab w:val="num" w:pos="1440"/>
        </w:tabs>
        <w:ind w:left="1440" w:hanging="360"/>
      </w:pPr>
      <w:rPr>
        <w:rFonts w:ascii="Wingdings 3" w:hAnsi="Wingdings 3" w:hint="default"/>
      </w:rPr>
    </w:lvl>
    <w:lvl w:ilvl="2" w:tplc="995C0E66" w:tentative="1">
      <w:start w:val="1"/>
      <w:numFmt w:val="bullet"/>
      <w:lvlText w:val=""/>
      <w:lvlJc w:val="left"/>
      <w:pPr>
        <w:tabs>
          <w:tab w:val="num" w:pos="2160"/>
        </w:tabs>
        <w:ind w:left="2160" w:hanging="360"/>
      </w:pPr>
      <w:rPr>
        <w:rFonts w:ascii="Wingdings 3" w:hAnsi="Wingdings 3" w:hint="default"/>
      </w:rPr>
    </w:lvl>
    <w:lvl w:ilvl="3" w:tplc="A990AC36" w:tentative="1">
      <w:start w:val="1"/>
      <w:numFmt w:val="bullet"/>
      <w:lvlText w:val=""/>
      <w:lvlJc w:val="left"/>
      <w:pPr>
        <w:tabs>
          <w:tab w:val="num" w:pos="2880"/>
        </w:tabs>
        <w:ind w:left="2880" w:hanging="360"/>
      </w:pPr>
      <w:rPr>
        <w:rFonts w:ascii="Wingdings 3" w:hAnsi="Wingdings 3" w:hint="default"/>
      </w:rPr>
    </w:lvl>
    <w:lvl w:ilvl="4" w:tplc="2076A0C4" w:tentative="1">
      <w:start w:val="1"/>
      <w:numFmt w:val="bullet"/>
      <w:lvlText w:val=""/>
      <w:lvlJc w:val="left"/>
      <w:pPr>
        <w:tabs>
          <w:tab w:val="num" w:pos="3600"/>
        </w:tabs>
        <w:ind w:left="3600" w:hanging="360"/>
      </w:pPr>
      <w:rPr>
        <w:rFonts w:ascii="Wingdings 3" w:hAnsi="Wingdings 3" w:hint="default"/>
      </w:rPr>
    </w:lvl>
    <w:lvl w:ilvl="5" w:tplc="E6222344" w:tentative="1">
      <w:start w:val="1"/>
      <w:numFmt w:val="bullet"/>
      <w:lvlText w:val=""/>
      <w:lvlJc w:val="left"/>
      <w:pPr>
        <w:tabs>
          <w:tab w:val="num" w:pos="4320"/>
        </w:tabs>
        <w:ind w:left="4320" w:hanging="360"/>
      </w:pPr>
      <w:rPr>
        <w:rFonts w:ascii="Wingdings 3" w:hAnsi="Wingdings 3" w:hint="default"/>
      </w:rPr>
    </w:lvl>
    <w:lvl w:ilvl="6" w:tplc="5184CD1C" w:tentative="1">
      <w:start w:val="1"/>
      <w:numFmt w:val="bullet"/>
      <w:lvlText w:val=""/>
      <w:lvlJc w:val="left"/>
      <w:pPr>
        <w:tabs>
          <w:tab w:val="num" w:pos="5040"/>
        </w:tabs>
        <w:ind w:left="5040" w:hanging="360"/>
      </w:pPr>
      <w:rPr>
        <w:rFonts w:ascii="Wingdings 3" w:hAnsi="Wingdings 3" w:hint="default"/>
      </w:rPr>
    </w:lvl>
    <w:lvl w:ilvl="7" w:tplc="6AE67696" w:tentative="1">
      <w:start w:val="1"/>
      <w:numFmt w:val="bullet"/>
      <w:lvlText w:val=""/>
      <w:lvlJc w:val="left"/>
      <w:pPr>
        <w:tabs>
          <w:tab w:val="num" w:pos="5760"/>
        </w:tabs>
        <w:ind w:left="5760" w:hanging="360"/>
      </w:pPr>
      <w:rPr>
        <w:rFonts w:ascii="Wingdings 3" w:hAnsi="Wingdings 3" w:hint="default"/>
      </w:rPr>
    </w:lvl>
    <w:lvl w:ilvl="8" w:tplc="F8BE16CA"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17B1175D"/>
    <w:multiLevelType w:val="hybridMultilevel"/>
    <w:tmpl w:val="15DE6D2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7C93D25"/>
    <w:multiLevelType w:val="hybridMultilevel"/>
    <w:tmpl w:val="0F4897C0"/>
    <w:lvl w:ilvl="0" w:tplc="16EEEBC6">
      <w:start w:val="1"/>
      <w:numFmt w:val="bullet"/>
      <w:lvlText w:val=""/>
      <w:lvlJc w:val="left"/>
      <w:pPr>
        <w:tabs>
          <w:tab w:val="num" w:pos="720"/>
        </w:tabs>
        <w:ind w:left="720" w:hanging="360"/>
      </w:pPr>
      <w:rPr>
        <w:rFonts w:ascii="Wingdings 3" w:hAnsi="Wingdings 3" w:hint="default"/>
      </w:rPr>
    </w:lvl>
    <w:lvl w:ilvl="1" w:tplc="8A1018F6" w:tentative="1">
      <w:start w:val="1"/>
      <w:numFmt w:val="bullet"/>
      <w:lvlText w:val=""/>
      <w:lvlJc w:val="left"/>
      <w:pPr>
        <w:tabs>
          <w:tab w:val="num" w:pos="1440"/>
        </w:tabs>
        <w:ind w:left="1440" w:hanging="360"/>
      </w:pPr>
      <w:rPr>
        <w:rFonts w:ascii="Wingdings 3" w:hAnsi="Wingdings 3" w:hint="default"/>
      </w:rPr>
    </w:lvl>
    <w:lvl w:ilvl="2" w:tplc="152CA532" w:tentative="1">
      <w:start w:val="1"/>
      <w:numFmt w:val="bullet"/>
      <w:lvlText w:val=""/>
      <w:lvlJc w:val="left"/>
      <w:pPr>
        <w:tabs>
          <w:tab w:val="num" w:pos="2160"/>
        </w:tabs>
        <w:ind w:left="2160" w:hanging="360"/>
      </w:pPr>
      <w:rPr>
        <w:rFonts w:ascii="Wingdings 3" w:hAnsi="Wingdings 3" w:hint="default"/>
      </w:rPr>
    </w:lvl>
    <w:lvl w:ilvl="3" w:tplc="16DC7DA4" w:tentative="1">
      <w:start w:val="1"/>
      <w:numFmt w:val="bullet"/>
      <w:lvlText w:val=""/>
      <w:lvlJc w:val="left"/>
      <w:pPr>
        <w:tabs>
          <w:tab w:val="num" w:pos="2880"/>
        </w:tabs>
        <w:ind w:left="2880" w:hanging="360"/>
      </w:pPr>
      <w:rPr>
        <w:rFonts w:ascii="Wingdings 3" w:hAnsi="Wingdings 3" w:hint="default"/>
      </w:rPr>
    </w:lvl>
    <w:lvl w:ilvl="4" w:tplc="66D69FFC" w:tentative="1">
      <w:start w:val="1"/>
      <w:numFmt w:val="bullet"/>
      <w:lvlText w:val=""/>
      <w:lvlJc w:val="left"/>
      <w:pPr>
        <w:tabs>
          <w:tab w:val="num" w:pos="3600"/>
        </w:tabs>
        <w:ind w:left="3600" w:hanging="360"/>
      </w:pPr>
      <w:rPr>
        <w:rFonts w:ascii="Wingdings 3" w:hAnsi="Wingdings 3" w:hint="default"/>
      </w:rPr>
    </w:lvl>
    <w:lvl w:ilvl="5" w:tplc="FBF4551C" w:tentative="1">
      <w:start w:val="1"/>
      <w:numFmt w:val="bullet"/>
      <w:lvlText w:val=""/>
      <w:lvlJc w:val="left"/>
      <w:pPr>
        <w:tabs>
          <w:tab w:val="num" w:pos="4320"/>
        </w:tabs>
        <w:ind w:left="4320" w:hanging="360"/>
      </w:pPr>
      <w:rPr>
        <w:rFonts w:ascii="Wingdings 3" w:hAnsi="Wingdings 3" w:hint="default"/>
      </w:rPr>
    </w:lvl>
    <w:lvl w:ilvl="6" w:tplc="9DD8E932" w:tentative="1">
      <w:start w:val="1"/>
      <w:numFmt w:val="bullet"/>
      <w:lvlText w:val=""/>
      <w:lvlJc w:val="left"/>
      <w:pPr>
        <w:tabs>
          <w:tab w:val="num" w:pos="5040"/>
        </w:tabs>
        <w:ind w:left="5040" w:hanging="360"/>
      </w:pPr>
      <w:rPr>
        <w:rFonts w:ascii="Wingdings 3" w:hAnsi="Wingdings 3" w:hint="default"/>
      </w:rPr>
    </w:lvl>
    <w:lvl w:ilvl="7" w:tplc="A6EC2386" w:tentative="1">
      <w:start w:val="1"/>
      <w:numFmt w:val="bullet"/>
      <w:lvlText w:val=""/>
      <w:lvlJc w:val="left"/>
      <w:pPr>
        <w:tabs>
          <w:tab w:val="num" w:pos="5760"/>
        </w:tabs>
        <w:ind w:left="5760" w:hanging="360"/>
      </w:pPr>
      <w:rPr>
        <w:rFonts w:ascii="Wingdings 3" w:hAnsi="Wingdings 3" w:hint="default"/>
      </w:rPr>
    </w:lvl>
    <w:lvl w:ilvl="8" w:tplc="2786B69E"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2FB8680A"/>
    <w:multiLevelType w:val="hybridMultilevel"/>
    <w:tmpl w:val="3B966CA4"/>
    <w:lvl w:ilvl="0" w:tplc="51E424D2">
      <w:start w:val="1"/>
      <w:numFmt w:val="decimal"/>
      <w:lvlText w:val="%1."/>
      <w:lvlJc w:val="left"/>
      <w:pPr>
        <w:tabs>
          <w:tab w:val="num" w:pos="720"/>
        </w:tabs>
        <w:ind w:left="720" w:hanging="360"/>
      </w:pPr>
    </w:lvl>
    <w:lvl w:ilvl="1" w:tplc="D1A429BE">
      <w:start w:val="1"/>
      <w:numFmt w:val="decimal"/>
      <w:lvlText w:val="%2."/>
      <w:lvlJc w:val="left"/>
      <w:pPr>
        <w:tabs>
          <w:tab w:val="num" w:pos="1440"/>
        </w:tabs>
        <w:ind w:left="1440" w:hanging="360"/>
      </w:pPr>
    </w:lvl>
    <w:lvl w:ilvl="2" w:tplc="A7CE1CD8">
      <w:start w:val="1"/>
      <w:numFmt w:val="decimal"/>
      <w:lvlText w:val="%3."/>
      <w:lvlJc w:val="left"/>
      <w:pPr>
        <w:tabs>
          <w:tab w:val="num" w:pos="2160"/>
        </w:tabs>
        <w:ind w:left="2160" w:hanging="360"/>
      </w:pPr>
    </w:lvl>
    <w:lvl w:ilvl="3" w:tplc="02FAA6CC">
      <w:start w:val="1"/>
      <w:numFmt w:val="decimal"/>
      <w:lvlText w:val="%4."/>
      <w:lvlJc w:val="left"/>
      <w:pPr>
        <w:tabs>
          <w:tab w:val="num" w:pos="2880"/>
        </w:tabs>
        <w:ind w:left="2880" w:hanging="360"/>
      </w:pPr>
    </w:lvl>
    <w:lvl w:ilvl="4" w:tplc="69E2855E">
      <w:start w:val="1"/>
      <w:numFmt w:val="decimal"/>
      <w:lvlText w:val="%5."/>
      <w:lvlJc w:val="left"/>
      <w:pPr>
        <w:tabs>
          <w:tab w:val="num" w:pos="3600"/>
        </w:tabs>
        <w:ind w:left="3600" w:hanging="360"/>
      </w:pPr>
    </w:lvl>
    <w:lvl w:ilvl="5" w:tplc="F6303948">
      <w:start w:val="1"/>
      <w:numFmt w:val="decimal"/>
      <w:lvlText w:val="%6."/>
      <w:lvlJc w:val="left"/>
      <w:pPr>
        <w:tabs>
          <w:tab w:val="num" w:pos="4320"/>
        </w:tabs>
        <w:ind w:left="4320" w:hanging="360"/>
      </w:pPr>
    </w:lvl>
    <w:lvl w:ilvl="6" w:tplc="0428D612">
      <w:start w:val="1"/>
      <w:numFmt w:val="decimal"/>
      <w:lvlText w:val="%7."/>
      <w:lvlJc w:val="left"/>
      <w:pPr>
        <w:tabs>
          <w:tab w:val="num" w:pos="5040"/>
        </w:tabs>
        <w:ind w:left="5040" w:hanging="360"/>
      </w:pPr>
    </w:lvl>
    <w:lvl w:ilvl="7" w:tplc="079C2EA4">
      <w:start w:val="1"/>
      <w:numFmt w:val="decimal"/>
      <w:lvlText w:val="%8."/>
      <w:lvlJc w:val="left"/>
      <w:pPr>
        <w:tabs>
          <w:tab w:val="num" w:pos="5760"/>
        </w:tabs>
        <w:ind w:left="5760" w:hanging="360"/>
      </w:pPr>
    </w:lvl>
    <w:lvl w:ilvl="8" w:tplc="AE6C02AC">
      <w:start w:val="1"/>
      <w:numFmt w:val="decimal"/>
      <w:lvlText w:val="%9."/>
      <w:lvlJc w:val="left"/>
      <w:pPr>
        <w:tabs>
          <w:tab w:val="num" w:pos="6480"/>
        </w:tabs>
        <w:ind w:left="6480" w:hanging="360"/>
      </w:pPr>
    </w:lvl>
  </w:abstractNum>
  <w:abstractNum w:abstractNumId="10" w15:restartNumberingAfterBreak="0">
    <w:nsid w:val="314B3E7F"/>
    <w:multiLevelType w:val="hybridMultilevel"/>
    <w:tmpl w:val="BF302BE8"/>
    <w:lvl w:ilvl="0" w:tplc="DD4076BE">
      <w:start w:val="1"/>
      <w:numFmt w:val="bullet"/>
      <w:lvlText w:val=""/>
      <w:lvlJc w:val="left"/>
      <w:pPr>
        <w:tabs>
          <w:tab w:val="num" w:pos="720"/>
        </w:tabs>
        <w:ind w:left="720" w:hanging="360"/>
      </w:pPr>
      <w:rPr>
        <w:rFonts w:ascii="Wingdings 3" w:hAnsi="Wingdings 3" w:hint="default"/>
      </w:rPr>
    </w:lvl>
    <w:lvl w:ilvl="1" w:tplc="BB02D1C6" w:tentative="1">
      <w:start w:val="1"/>
      <w:numFmt w:val="bullet"/>
      <w:lvlText w:val=""/>
      <w:lvlJc w:val="left"/>
      <w:pPr>
        <w:tabs>
          <w:tab w:val="num" w:pos="1440"/>
        </w:tabs>
        <w:ind w:left="1440" w:hanging="360"/>
      </w:pPr>
      <w:rPr>
        <w:rFonts w:ascii="Wingdings 3" w:hAnsi="Wingdings 3" w:hint="default"/>
      </w:rPr>
    </w:lvl>
    <w:lvl w:ilvl="2" w:tplc="29DC4C42" w:tentative="1">
      <w:start w:val="1"/>
      <w:numFmt w:val="bullet"/>
      <w:lvlText w:val=""/>
      <w:lvlJc w:val="left"/>
      <w:pPr>
        <w:tabs>
          <w:tab w:val="num" w:pos="2160"/>
        </w:tabs>
        <w:ind w:left="2160" w:hanging="360"/>
      </w:pPr>
      <w:rPr>
        <w:rFonts w:ascii="Wingdings 3" w:hAnsi="Wingdings 3" w:hint="default"/>
      </w:rPr>
    </w:lvl>
    <w:lvl w:ilvl="3" w:tplc="0E960832" w:tentative="1">
      <w:start w:val="1"/>
      <w:numFmt w:val="bullet"/>
      <w:lvlText w:val=""/>
      <w:lvlJc w:val="left"/>
      <w:pPr>
        <w:tabs>
          <w:tab w:val="num" w:pos="2880"/>
        </w:tabs>
        <w:ind w:left="2880" w:hanging="360"/>
      </w:pPr>
      <w:rPr>
        <w:rFonts w:ascii="Wingdings 3" w:hAnsi="Wingdings 3" w:hint="default"/>
      </w:rPr>
    </w:lvl>
    <w:lvl w:ilvl="4" w:tplc="B60C91A0" w:tentative="1">
      <w:start w:val="1"/>
      <w:numFmt w:val="bullet"/>
      <w:lvlText w:val=""/>
      <w:lvlJc w:val="left"/>
      <w:pPr>
        <w:tabs>
          <w:tab w:val="num" w:pos="3600"/>
        </w:tabs>
        <w:ind w:left="3600" w:hanging="360"/>
      </w:pPr>
      <w:rPr>
        <w:rFonts w:ascii="Wingdings 3" w:hAnsi="Wingdings 3" w:hint="default"/>
      </w:rPr>
    </w:lvl>
    <w:lvl w:ilvl="5" w:tplc="2C705410" w:tentative="1">
      <w:start w:val="1"/>
      <w:numFmt w:val="bullet"/>
      <w:lvlText w:val=""/>
      <w:lvlJc w:val="left"/>
      <w:pPr>
        <w:tabs>
          <w:tab w:val="num" w:pos="4320"/>
        </w:tabs>
        <w:ind w:left="4320" w:hanging="360"/>
      </w:pPr>
      <w:rPr>
        <w:rFonts w:ascii="Wingdings 3" w:hAnsi="Wingdings 3" w:hint="default"/>
      </w:rPr>
    </w:lvl>
    <w:lvl w:ilvl="6" w:tplc="7EE45902" w:tentative="1">
      <w:start w:val="1"/>
      <w:numFmt w:val="bullet"/>
      <w:lvlText w:val=""/>
      <w:lvlJc w:val="left"/>
      <w:pPr>
        <w:tabs>
          <w:tab w:val="num" w:pos="5040"/>
        </w:tabs>
        <w:ind w:left="5040" w:hanging="360"/>
      </w:pPr>
      <w:rPr>
        <w:rFonts w:ascii="Wingdings 3" w:hAnsi="Wingdings 3" w:hint="default"/>
      </w:rPr>
    </w:lvl>
    <w:lvl w:ilvl="7" w:tplc="1610BD08" w:tentative="1">
      <w:start w:val="1"/>
      <w:numFmt w:val="bullet"/>
      <w:lvlText w:val=""/>
      <w:lvlJc w:val="left"/>
      <w:pPr>
        <w:tabs>
          <w:tab w:val="num" w:pos="5760"/>
        </w:tabs>
        <w:ind w:left="5760" w:hanging="360"/>
      </w:pPr>
      <w:rPr>
        <w:rFonts w:ascii="Wingdings 3" w:hAnsi="Wingdings 3" w:hint="default"/>
      </w:rPr>
    </w:lvl>
    <w:lvl w:ilvl="8" w:tplc="8876AAE2"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331F6A7C"/>
    <w:multiLevelType w:val="hybridMultilevel"/>
    <w:tmpl w:val="61DEF27E"/>
    <w:lvl w:ilvl="0" w:tplc="01DEEC28">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15:restartNumberingAfterBreak="0">
    <w:nsid w:val="36BD29AF"/>
    <w:multiLevelType w:val="hybridMultilevel"/>
    <w:tmpl w:val="D3F2775C"/>
    <w:lvl w:ilvl="0" w:tplc="7FAC87B0">
      <w:start w:val="1"/>
      <w:numFmt w:val="bullet"/>
      <w:lvlText w:val="•"/>
      <w:lvlJc w:val="left"/>
      <w:pPr>
        <w:tabs>
          <w:tab w:val="num" w:pos="720"/>
        </w:tabs>
        <w:ind w:left="720" w:hanging="360"/>
      </w:pPr>
      <w:rPr>
        <w:rFonts w:ascii="Arial" w:hAnsi="Arial" w:hint="default"/>
      </w:rPr>
    </w:lvl>
    <w:lvl w:ilvl="1" w:tplc="F64C6F2E" w:tentative="1">
      <w:start w:val="1"/>
      <w:numFmt w:val="bullet"/>
      <w:lvlText w:val="•"/>
      <w:lvlJc w:val="left"/>
      <w:pPr>
        <w:tabs>
          <w:tab w:val="num" w:pos="1440"/>
        </w:tabs>
        <w:ind w:left="1440" w:hanging="360"/>
      </w:pPr>
      <w:rPr>
        <w:rFonts w:ascii="Arial" w:hAnsi="Arial" w:hint="default"/>
      </w:rPr>
    </w:lvl>
    <w:lvl w:ilvl="2" w:tplc="95323984" w:tentative="1">
      <w:start w:val="1"/>
      <w:numFmt w:val="bullet"/>
      <w:lvlText w:val="•"/>
      <w:lvlJc w:val="left"/>
      <w:pPr>
        <w:tabs>
          <w:tab w:val="num" w:pos="2160"/>
        </w:tabs>
        <w:ind w:left="2160" w:hanging="360"/>
      </w:pPr>
      <w:rPr>
        <w:rFonts w:ascii="Arial" w:hAnsi="Arial" w:hint="default"/>
      </w:rPr>
    </w:lvl>
    <w:lvl w:ilvl="3" w:tplc="E24043BC" w:tentative="1">
      <w:start w:val="1"/>
      <w:numFmt w:val="bullet"/>
      <w:lvlText w:val="•"/>
      <w:lvlJc w:val="left"/>
      <w:pPr>
        <w:tabs>
          <w:tab w:val="num" w:pos="2880"/>
        </w:tabs>
        <w:ind w:left="2880" w:hanging="360"/>
      </w:pPr>
      <w:rPr>
        <w:rFonts w:ascii="Arial" w:hAnsi="Arial" w:hint="default"/>
      </w:rPr>
    </w:lvl>
    <w:lvl w:ilvl="4" w:tplc="E35A81FA" w:tentative="1">
      <w:start w:val="1"/>
      <w:numFmt w:val="bullet"/>
      <w:lvlText w:val="•"/>
      <w:lvlJc w:val="left"/>
      <w:pPr>
        <w:tabs>
          <w:tab w:val="num" w:pos="3600"/>
        </w:tabs>
        <w:ind w:left="3600" w:hanging="360"/>
      </w:pPr>
      <w:rPr>
        <w:rFonts w:ascii="Arial" w:hAnsi="Arial" w:hint="default"/>
      </w:rPr>
    </w:lvl>
    <w:lvl w:ilvl="5" w:tplc="B2E81804" w:tentative="1">
      <w:start w:val="1"/>
      <w:numFmt w:val="bullet"/>
      <w:lvlText w:val="•"/>
      <w:lvlJc w:val="left"/>
      <w:pPr>
        <w:tabs>
          <w:tab w:val="num" w:pos="4320"/>
        </w:tabs>
        <w:ind w:left="4320" w:hanging="360"/>
      </w:pPr>
      <w:rPr>
        <w:rFonts w:ascii="Arial" w:hAnsi="Arial" w:hint="default"/>
      </w:rPr>
    </w:lvl>
    <w:lvl w:ilvl="6" w:tplc="A9523342" w:tentative="1">
      <w:start w:val="1"/>
      <w:numFmt w:val="bullet"/>
      <w:lvlText w:val="•"/>
      <w:lvlJc w:val="left"/>
      <w:pPr>
        <w:tabs>
          <w:tab w:val="num" w:pos="5040"/>
        </w:tabs>
        <w:ind w:left="5040" w:hanging="360"/>
      </w:pPr>
      <w:rPr>
        <w:rFonts w:ascii="Arial" w:hAnsi="Arial" w:hint="default"/>
      </w:rPr>
    </w:lvl>
    <w:lvl w:ilvl="7" w:tplc="E22406E6" w:tentative="1">
      <w:start w:val="1"/>
      <w:numFmt w:val="bullet"/>
      <w:lvlText w:val="•"/>
      <w:lvlJc w:val="left"/>
      <w:pPr>
        <w:tabs>
          <w:tab w:val="num" w:pos="5760"/>
        </w:tabs>
        <w:ind w:left="5760" w:hanging="360"/>
      </w:pPr>
      <w:rPr>
        <w:rFonts w:ascii="Arial" w:hAnsi="Arial" w:hint="default"/>
      </w:rPr>
    </w:lvl>
    <w:lvl w:ilvl="8" w:tplc="E9E22CD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CC05D80"/>
    <w:multiLevelType w:val="hybridMultilevel"/>
    <w:tmpl w:val="A16A0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52036D"/>
    <w:multiLevelType w:val="hybridMultilevel"/>
    <w:tmpl w:val="4E708CD4"/>
    <w:lvl w:ilvl="0" w:tplc="6C8A60DC">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5" w15:restartNumberingAfterBreak="0">
    <w:nsid w:val="4B6D5BAE"/>
    <w:multiLevelType w:val="multilevel"/>
    <w:tmpl w:val="D29AF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21559F"/>
    <w:multiLevelType w:val="hybridMultilevel"/>
    <w:tmpl w:val="6C4058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E05F1E"/>
    <w:multiLevelType w:val="hybridMultilevel"/>
    <w:tmpl w:val="993AAB9E"/>
    <w:lvl w:ilvl="0" w:tplc="71C89CCA">
      <w:start w:val="1"/>
      <w:numFmt w:val="bullet"/>
      <w:lvlText w:val=""/>
      <w:lvlJc w:val="left"/>
      <w:pPr>
        <w:tabs>
          <w:tab w:val="num" w:pos="720"/>
        </w:tabs>
        <w:ind w:left="720" w:hanging="360"/>
      </w:pPr>
      <w:rPr>
        <w:rFonts w:ascii="Wingdings 3" w:hAnsi="Wingdings 3" w:hint="default"/>
      </w:rPr>
    </w:lvl>
    <w:lvl w:ilvl="1" w:tplc="A2701AC6" w:tentative="1">
      <w:start w:val="1"/>
      <w:numFmt w:val="bullet"/>
      <w:lvlText w:val=""/>
      <w:lvlJc w:val="left"/>
      <w:pPr>
        <w:tabs>
          <w:tab w:val="num" w:pos="1440"/>
        </w:tabs>
        <w:ind w:left="1440" w:hanging="360"/>
      </w:pPr>
      <w:rPr>
        <w:rFonts w:ascii="Wingdings 3" w:hAnsi="Wingdings 3" w:hint="default"/>
      </w:rPr>
    </w:lvl>
    <w:lvl w:ilvl="2" w:tplc="73CE16C0" w:tentative="1">
      <w:start w:val="1"/>
      <w:numFmt w:val="bullet"/>
      <w:lvlText w:val=""/>
      <w:lvlJc w:val="left"/>
      <w:pPr>
        <w:tabs>
          <w:tab w:val="num" w:pos="2160"/>
        </w:tabs>
        <w:ind w:left="2160" w:hanging="360"/>
      </w:pPr>
      <w:rPr>
        <w:rFonts w:ascii="Wingdings 3" w:hAnsi="Wingdings 3" w:hint="default"/>
      </w:rPr>
    </w:lvl>
    <w:lvl w:ilvl="3" w:tplc="19D45AF8" w:tentative="1">
      <w:start w:val="1"/>
      <w:numFmt w:val="bullet"/>
      <w:lvlText w:val=""/>
      <w:lvlJc w:val="left"/>
      <w:pPr>
        <w:tabs>
          <w:tab w:val="num" w:pos="2880"/>
        </w:tabs>
        <w:ind w:left="2880" w:hanging="360"/>
      </w:pPr>
      <w:rPr>
        <w:rFonts w:ascii="Wingdings 3" w:hAnsi="Wingdings 3" w:hint="default"/>
      </w:rPr>
    </w:lvl>
    <w:lvl w:ilvl="4" w:tplc="598EEF2E" w:tentative="1">
      <w:start w:val="1"/>
      <w:numFmt w:val="bullet"/>
      <w:lvlText w:val=""/>
      <w:lvlJc w:val="left"/>
      <w:pPr>
        <w:tabs>
          <w:tab w:val="num" w:pos="3600"/>
        </w:tabs>
        <w:ind w:left="3600" w:hanging="360"/>
      </w:pPr>
      <w:rPr>
        <w:rFonts w:ascii="Wingdings 3" w:hAnsi="Wingdings 3" w:hint="default"/>
      </w:rPr>
    </w:lvl>
    <w:lvl w:ilvl="5" w:tplc="390ABE66" w:tentative="1">
      <w:start w:val="1"/>
      <w:numFmt w:val="bullet"/>
      <w:lvlText w:val=""/>
      <w:lvlJc w:val="left"/>
      <w:pPr>
        <w:tabs>
          <w:tab w:val="num" w:pos="4320"/>
        </w:tabs>
        <w:ind w:left="4320" w:hanging="360"/>
      </w:pPr>
      <w:rPr>
        <w:rFonts w:ascii="Wingdings 3" w:hAnsi="Wingdings 3" w:hint="default"/>
      </w:rPr>
    </w:lvl>
    <w:lvl w:ilvl="6" w:tplc="DB3C3566" w:tentative="1">
      <w:start w:val="1"/>
      <w:numFmt w:val="bullet"/>
      <w:lvlText w:val=""/>
      <w:lvlJc w:val="left"/>
      <w:pPr>
        <w:tabs>
          <w:tab w:val="num" w:pos="5040"/>
        </w:tabs>
        <w:ind w:left="5040" w:hanging="360"/>
      </w:pPr>
      <w:rPr>
        <w:rFonts w:ascii="Wingdings 3" w:hAnsi="Wingdings 3" w:hint="default"/>
      </w:rPr>
    </w:lvl>
    <w:lvl w:ilvl="7" w:tplc="180CF00C" w:tentative="1">
      <w:start w:val="1"/>
      <w:numFmt w:val="bullet"/>
      <w:lvlText w:val=""/>
      <w:lvlJc w:val="left"/>
      <w:pPr>
        <w:tabs>
          <w:tab w:val="num" w:pos="5760"/>
        </w:tabs>
        <w:ind w:left="5760" w:hanging="360"/>
      </w:pPr>
      <w:rPr>
        <w:rFonts w:ascii="Wingdings 3" w:hAnsi="Wingdings 3" w:hint="default"/>
      </w:rPr>
    </w:lvl>
    <w:lvl w:ilvl="8" w:tplc="B5A4F8C2"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4F582A68"/>
    <w:multiLevelType w:val="hybridMultilevel"/>
    <w:tmpl w:val="1408D9E2"/>
    <w:lvl w:ilvl="0" w:tplc="31C85124">
      <w:start w:val="1"/>
      <w:numFmt w:val="bullet"/>
      <w:lvlText w:val=""/>
      <w:lvlJc w:val="left"/>
      <w:pPr>
        <w:tabs>
          <w:tab w:val="num" w:pos="720"/>
        </w:tabs>
        <w:ind w:left="720" w:hanging="360"/>
      </w:pPr>
      <w:rPr>
        <w:rFonts w:ascii="Wingdings 3" w:hAnsi="Wingdings 3" w:hint="default"/>
      </w:rPr>
    </w:lvl>
    <w:lvl w:ilvl="1" w:tplc="5A5000F8" w:tentative="1">
      <w:start w:val="1"/>
      <w:numFmt w:val="bullet"/>
      <w:lvlText w:val=""/>
      <w:lvlJc w:val="left"/>
      <w:pPr>
        <w:tabs>
          <w:tab w:val="num" w:pos="1440"/>
        </w:tabs>
        <w:ind w:left="1440" w:hanging="360"/>
      </w:pPr>
      <w:rPr>
        <w:rFonts w:ascii="Wingdings 3" w:hAnsi="Wingdings 3" w:hint="default"/>
      </w:rPr>
    </w:lvl>
    <w:lvl w:ilvl="2" w:tplc="7158CC08" w:tentative="1">
      <w:start w:val="1"/>
      <w:numFmt w:val="bullet"/>
      <w:lvlText w:val=""/>
      <w:lvlJc w:val="left"/>
      <w:pPr>
        <w:tabs>
          <w:tab w:val="num" w:pos="2160"/>
        </w:tabs>
        <w:ind w:left="2160" w:hanging="360"/>
      </w:pPr>
      <w:rPr>
        <w:rFonts w:ascii="Wingdings 3" w:hAnsi="Wingdings 3" w:hint="default"/>
      </w:rPr>
    </w:lvl>
    <w:lvl w:ilvl="3" w:tplc="F2765808" w:tentative="1">
      <w:start w:val="1"/>
      <w:numFmt w:val="bullet"/>
      <w:lvlText w:val=""/>
      <w:lvlJc w:val="left"/>
      <w:pPr>
        <w:tabs>
          <w:tab w:val="num" w:pos="2880"/>
        </w:tabs>
        <w:ind w:left="2880" w:hanging="360"/>
      </w:pPr>
      <w:rPr>
        <w:rFonts w:ascii="Wingdings 3" w:hAnsi="Wingdings 3" w:hint="default"/>
      </w:rPr>
    </w:lvl>
    <w:lvl w:ilvl="4" w:tplc="C76E4F58" w:tentative="1">
      <w:start w:val="1"/>
      <w:numFmt w:val="bullet"/>
      <w:lvlText w:val=""/>
      <w:lvlJc w:val="left"/>
      <w:pPr>
        <w:tabs>
          <w:tab w:val="num" w:pos="3600"/>
        </w:tabs>
        <w:ind w:left="3600" w:hanging="360"/>
      </w:pPr>
      <w:rPr>
        <w:rFonts w:ascii="Wingdings 3" w:hAnsi="Wingdings 3" w:hint="default"/>
      </w:rPr>
    </w:lvl>
    <w:lvl w:ilvl="5" w:tplc="3C9C9CBE" w:tentative="1">
      <w:start w:val="1"/>
      <w:numFmt w:val="bullet"/>
      <w:lvlText w:val=""/>
      <w:lvlJc w:val="left"/>
      <w:pPr>
        <w:tabs>
          <w:tab w:val="num" w:pos="4320"/>
        </w:tabs>
        <w:ind w:left="4320" w:hanging="360"/>
      </w:pPr>
      <w:rPr>
        <w:rFonts w:ascii="Wingdings 3" w:hAnsi="Wingdings 3" w:hint="default"/>
      </w:rPr>
    </w:lvl>
    <w:lvl w:ilvl="6" w:tplc="A84E30E6" w:tentative="1">
      <w:start w:val="1"/>
      <w:numFmt w:val="bullet"/>
      <w:lvlText w:val=""/>
      <w:lvlJc w:val="left"/>
      <w:pPr>
        <w:tabs>
          <w:tab w:val="num" w:pos="5040"/>
        </w:tabs>
        <w:ind w:left="5040" w:hanging="360"/>
      </w:pPr>
      <w:rPr>
        <w:rFonts w:ascii="Wingdings 3" w:hAnsi="Wingdings 3" w:hint="default"/>
      </w:rPr>
    </w:lvl>
    <w:lvl w:ilvl="7" w:tplc="6B249CE6" w:tentative="1">
      <w:start w:val="1"/>
      <w:numFmt w:val="bullet"/>
      <w:lvlText w:val=""/>
      <w:lvlJc w:val="left"/>
      <w:pPr>
        <w:tabs>
          <w:tab w:val="num" w:pos="5760"/>
        </w:tabs>
        <w:ind w:left="5760" w:hanging="360"/>
      </w:pPr>
      <w:rPr>
        <w:rFonts w:ascii="Wingdings 3" w:hAnsi="Wingdings 3" w:hint="default"/>
      </w:rPr>
    </w:lvl>
    <w:lvl w:ilvl="8" w:tplc="B2A88CAC"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55C2453D"/>
    <w:multiLevelType w:val="hybridMultilevel"/>
    <w:tmpl w:val="CCCA10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A1B75E4"/>
    <w:multiLevelType w:val="hybridMultilevel"/>
    <w:tmpl w:val="17FEF076"/>
    <w:lvl w:ilvl="0" w:tplc="7A7429DC">
      <w:start w:val="1"/>
      <w:numFmt w:val="bullet"/>
      <w:lvlText w:val=""/>
      <w:lvlJc w:val="left"/>
      <w:pPr>
        <w:tabs>
          <w:tab w:val="num" w:pos="720"/>
        </w:tabs>
        <w:ind w:left="720" w:hanging="360"/>
      </w:pPr>
      <w:rPr>
        <w:rFonts w:ascii="Wingdings 3" w:hAnsi="Wingdings 3" w:hint="default"/>
      </w:rPr>
    </w:lvl>
    <w:lvl w:ilvl="1" w:tplc="5658E2DC" w:tentative="1">
      <w:start w:val="1"/>
      <w:numFmt w:val="bullet"/>
      <w:lvlText w:val=""/>
      <w:lvlJc w:val="left"/>
      <w:pPr>
        <w:tabs>
          <w:tab w:val="num" w:pos="1440"/>
        </w:tabs>
        <w:ind w:left="1440" w:hanging="360"/>
      </w:pPr>
      <w:rPr>
        <w:rFonts w:ascii="Wingdings 3" w:hAnsi="Wingdings 3" w:hint="default"/>
      </w:rPr>
    </w:lvl>
    <w:lvl w:ilvl="2" w:tplc="B53C6E3C" w:tentative="1">
      <w:start w:val="1"/>
      <w:numFmt w:val="bullet"/>
      <w:lvlText w:val=""/>
      <w:lvlJc w:val="left"/>
      <w:pPr>
        <w:tabs>
          <w:tab w:val="num" w:pos="2160"/>
        </w:tabs>
        <w:ind w:left="2160" w:hanging="360"/>
      </w:pPr>
      <w:rPr>
        <w:rFonts w:ascii="Wingdings 3" w:hAnsi="Wingdings 3" w:hint="default"/>
      </w:rPr>
    </w:lvl>
    <w:lvl w:ilvl="3" w:tplc="7BF628C4" w:tentative="1">
      <w:start w:val="1"/>
      <w:numFmt w:val="bullet"/>
      <w:lvlText w:val=""/>
      <w:lvlJc w:val="left"/>
      <w:pPr>
        <w:tabs>
          <w:tab w:val="num" w:pos="2880"/>
        </w:tabs>
        <w:ind w:left="2880" w:hanging="360"/>
      </w:pPr>
      <w:rPr>
        <w:rFonts w:ascii="Wingdings 3" w:hAnsi="Wingdings 3" w:hint="default"/>
      </w:rPr>
    </w:lvl>
    <w:lvl w:ilvl="4" w:tplc="704A61BC" w:tentative="1">
      <w:start w:val="1"/>
      <w:numFmt w:val="bullet"/>
      <w:lvlText w:val=""/>
      <w:lvlJc w:val="left"/>
      <w:pPr>
        <w:tabs>
          <w:tab w:val="num" w:pos="3600"/>
        </w:tabs>
        <w:ind w:left="3600" w:hanging="360"/>
      </w:pPr>
      <w:rPr>
        <w:rFonts w:ascii="Wingdings 3" w:hAnsi="Wingdings 3" w:hint="default"/>
      </w:rPr>
    </w:lvl>
    <w:lvl w:ilvl="5" w:tplc="FB62900E" w:tentative="1">
      <w:start w:val="1"/>
      <w:numFmt w:val="bullet"/>
      <w:lvlText w:val=""/>
      <w:lvlJc w:val="left"/>
      <w:pPr>
        <w:tabs>
          <w:tab w:val="num" w:pos="4320"/>
        </w:tabs>
        <w:ind w:left="4320" w:hanging="360"/>
      </w:pPr>
      <w:rPr>
        <w:rFonts w:ascii="Wingdings 3" w:hAnsi="Wingdings 3" w:hint="default"/>
      </w:rPr>
    </w:lvl>
    <w:lvl w:ilvl="6" w:tplc="F31E5ABE" w:tentative="1">
      <w:start w:val="1"/>
      <w:numFmt w:val="bullet"/>
      <w:lvlText w:val=""/>
      <w:lvlJc w:val="left"/>
      <w:pPr>
        <w:tabs>
          <w:tab w:val="num" w:pos="5040"/>
        </w:tabs>
        <w:ind w:left="5040" w:hanging="360"/>
      </w:pPr>
      <w:rPr>
        <w:rFonts w:ascii="Wingdings 3" w:hAnsi="Wingdings 3" w:hint="default"/>
      </w:rPr>
    </w:lvl>
    <w:lvl w:ilvl="7" w:tplc="A364D124" w:tentative="1">
      <w:start w:val="1"/>
      <w:numFmt w:val="bullet"/>
      <w:lvlText w:val=""/>
      <w:lvlJc w:val="left"/>
      <w:pPr>
        <w:tabs>
          <w:tab w:val="num" w:pos="5760"/>
        </w:tabs>
        <w:ind w:left="5760" w:hanging="360"/>
      </w:pPr>
      <w:rPr>
        <w:rFonts w:ascii="Wingdings 3" w:hAnsi="Wingdings 3" w:hint="default"/>
      </w:rPr>
    </w:lvl>
    <w:lvl w:ilvl="8" w:tplc="CC42B23E"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61776E0F"/>
    <w:multiLevelType w:val="hybridMultilevel"/>
    <w:tmpl w:val="050CE168"/>
    <w:lvl w:ilvl="0" w:tplc="152A7354">
      <w:start w:val="1"/>
      <w:numFmt w:val="bullet"/>
      <w:lvlText w:val=""/>
      <w:lvlJc w:val="left"/>
      <w:pPr>
        <w:tabs>
          <w:tab w:val="num" w:pos="720"/>
        </w:tabs>
        <w:ind w:left="720" w:hanging="360"/>
      </w:pPr>
      <w:rPr>
        <w:rFonts w:ascii="Wingdings 3" w:hAnsi="Wingdings 3" w:hint="default"/>
      </w:rPr>
    </w:lvl>
    <w:lvl w:ilvl="1" w:tplc="E2FC7C20" w:tentative="1">
      <w:start w:val="1"/>
      <w:numFmt w:val="bullet"/>
      <w:lvlText w:val=""/>
      <w:lvlJc w:val="left"/>
      <w:pPr>
        <w:tabs>
          <w:tab w:val="num" w:pos="1440"/>
        </w:tabs>
        <w:ind w:left="1440" w:hanging="360"/>
      </w:pPr>
      <w:rPr>
        <w:rFonts w:ascii="Wingdings 3" w:hAnsi="Wingdings 3" w:hint="default"/>
      </w:rPr>
    </w:lvl>
    <w:lvl w:ilvl="2" w:tplc="6DB425FC" w:tentative="1">
      <w:start w:val="1"/>
      <w:numFmt w:val="bullet"/>
      <w:lvlText w:val=""/>
      <w:lvlJc w:val="left"/>
      <w:pPr>
        <w:tabs>
          <w:tab w:val="num" w:pos="2160"/>
        </w:tabs>
        <w:ind w:left="2160" w:hanging="360"/>
      </w:pPr>
      <w:rPr>
        <w:rFonts w:ascii="Wingdings 3" w:hAnsi="Wingdings 3" w:hint="default"/>
      </w:rPr>
    </w:lvl>
    <w:lvl w:ilvl="3" w:tplc="9D10FAA8" w:tentative="1">
      <w:start w:val="1"/>
      <w:numFmt w:val="bullet"/>
      <w:lvlText w:val=""/>
      <w:lvlJc w:val="left"/>
      <w:pPr>
        <w:tabs>
          <w:tab w:val="num" w:pos="2880"/>
        </w:tabs>
        <w:ind w:left="2880" w:hanging="360"/>
      </w:pPr>
      <w:rPr>
        <w:rFonts w:ascii="Wingdings 3" w:hAnsi="Wingdings 3" w:hint="default"/>
      </w:rPr>
    </w:lvl>
    <w:lvl w:ilvl="4" w:tplc="AED0070E" w:tentative="1">
      <w:start w:val="1"/>
      <w:numFmt w:val="bullet"/>
      <w:lvlText w:val=""/>
      <w:lvlJc w:val="left"/>
      <w:pPr>
        <w:tabs>
          <w:tab w:val="num" w:pos="3600"/>
        </w:tabs>
        <w:ind w:left="3600" w:hanging="360"/>
      </w:pPr>
      <w:rPr>
        <w:rFonts w:ascii="Wingdings 3" w:hAnsi="Wingdings 3" w:hint="default"/>
      </w:rPr>
    </w:lvl>
    <w:lvl w:ilvl="5" w:tplc="EBDA8B08" w:tentative="1">
      <w:start w:val="1"/>
      <w:numFmt w:val="bullet"/>
      <w:lvlText w:val=""/>
      <w:lvlJc w:val="left"/>
      <w:pPr>
        <w:tabs>
          <w:tab w:val="num" w:pos="4320"/>
        </w:tabs>
        <w:ind w:left="4320" w:hanging="360"/>
      </w:pPr>
      <w:rPr>
        <w:rFonts w:ascii="Wingdings 3" w:hAnsi="Wingdings 3" w:hint="default"/>
      </w:rPr>
    </w:lvl>
    <w:lvl w:ilvl="6" w:tplc="3AF408C4" w:tentative="1">
      <w:start w:val="1"/>
      <w:numFmt w:val="bullet"/>
      <w:lvlText w:val=""/>
      <w:lvlJc w:val="left"/>
      <w:pPr>
        <w:tabs>
          <w:tab w:val="num" w:pos="5040"/>
        </w:tabs>
        <w:ind w:left="5040" w:hanging="360"/>
      </w:pPr>
      <w:rPr>
        <w:rFonts w:ascii="Wingdings 3" w:hAnsi="Wingdings 3" w:hint="default"/>
      </w:rPr>
    </w:lvl>
    <w:lvl w:ilvl="7" w:tplc="C1987ADC" w:tentative="1">
      <w:start w:val="1"/>
      <w:numFmt w:val="bullet"/>
      <w:lvlText w:val=""/>
      <w:lvlJc w:val="left"/>
      <w:pPr>
        <w:tabs>
          <w:tab w:val="num" w:pos="5760"/>
        </w:tabs>
        <w:ind w:left="5760" w:hanging="360"/>
      </w:pPr>
      <w:rPr>
        <w:rFonts w:ascii="Wingdings 3" w:hAnsi="Wingdings 3" w:hint="default"/>
      </w:rPr>
    </w:lvl>
    <w:lvl w:ilvl="8" w:tplc="A79C9F9C"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658622D0"/>
    <w:multiLevelType w:val="hybridMultilevel"/>
    <w:tmpl w:val="6B287DA2"/>
    <w:lvl w:ilvl="0" w:tplc="2ED4D9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AC137C"/>
    <w:multiLevelType w:val="hybridMultilevel"/>
    <w:tmpl w:val="5E042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88F71CC"/>
    <w:multiLevelType w:val="hybridMultilevel"/>
    <w:tmpl w:val="DF6481F4"/>
    <w:lvl w:ilvl="0" w:tplc="F07ECF14">
      <w:start w:val="1"/>
      <w:numFmt w:val="bullet"/>
      <w:lvlText w:val=""/>
      <w:lvlJc w:val="left"/>
      <w:pPr>
        <w:tabs>
          <w:tab w:val="num" w:pos="720"/>
        </w:tabs>
        <w:ind w:left="720" w:hanging="360"/>
      </w:pPr>
      <w:rPr>
        <w:rFonts w:ascii="Wingdings 3" w:hAnsi="Wingdings 3" w:hint="default"/>
      </w:rPr>
    </w:lvl>
    <w:lvl w:ilvl="1" w:tplc="ACE67FB6" w:tentative="1">
      <w:start w:val="1"/>
      <w:numFmt w:val="bullet"/>
      <w:lvlText w:val=""/>
      <w:lvlJc w:val="left"/>
      <w:pPr>
        <w:tabs>
          <w:tab w:val="num" w:pos="1440"/>
        </w:tabs>
        <w:ind w:left="1440" w:hanging="360"/>
      </w:pPr>
      <w:rPr>
        <w:rFonts w:ascii="Wingdings 3" w:hAnsi="Wingdings 3" w:hint="default"/>
      </w:rPr>
    </w:lvl>
    <w:lvl w:ilvl="2" w:tplc="FECEBAC2" w:tentative="1">
      <w:start w:val="1"/>
      <w:numFmt w:val="bullet"/>
      <w:lvlText w:val=""/>
      <w:lvlJc w:val="left"/>
      <w:pPr>
        <w:tabs>
          <w:tab w:val="num" w:pos="2160"/>
        </w:tabs>
        <w:ind w:left="2160" w:hanging="360"/>
      </w:pPr>
      <w:rPr>
        <w:rFonts w:ascii="Wingdings 3" w:hAnsi="Wingdings 3" w:hint="default"/>
      </w:rPr>
    </w:lvl>
    <w:lvl w:ilvl="3" w:tplc="598243B2" w:tentative="1">
      <w:start w:val="1"/>
      <w:numFmt w:val="bullet"/>
      <w:lvlText w:val=""/>
      <w:lvlJc w:val="left"/>
      <w:pPr>
        <w:tabs>
          <w:tab w:val="num" w:pos="2880"/>
        </w:tabs>
        <w:ind w:left="2880" w:hanging="360"/>
      </w:pPr>
      <w:rPr>
        <w:rFonts w:ascii="Wingdings 3" w:hAnsi="Wingdings 3" w:hint="default"/>
      </w:rPr>
    </w:lvl>
    <w:lvl w:ilvl="4" w:tplc="5F1414D4" w:tentative="1">
      <w:start w:val="1"/>
      <w:numFmt w:val="bullet"/>
      <w:lvlText w:val=""/>
      <w:lvlJc w:val="left"/>
      <w:pPr>
        <w:tabs>
          <w:tab w:val="num" w:pos="3600"/>
        </w:tabs>
        <w:ind w:left="3600" w:hanging="360"/>
      </w:pPr>
      <w:rPr>
        <w:rFonts w:ascii="Wingdings 3" w:hAnsi="Wingdings 3" w:hint="default"/>
      </w:rPr>
    </w:lvl>
    <w:lvl w:ilvl="5" w:tplc="600C0FEA" w:tentative="1">
      <w:start w:val="1"/>
      <w:numFmt w:val="bullet"/>
      <w:lvlText w:val=""/>
      <w:lvlJc w:val="left"/>
      <w:pPr>
        <w:tabs>
          <w:tab w:val="num" w:pos="4320"/>
        </w:tabs>
        <w:ind w:left="4320" w:hanging="360"/>
      </w:pPr>
      <w:rPr>
        <w:rFonts w:ascii="Wingdings 3" w:hAnsi="Wingdings 3" w:hint="default"/>
      </w:rPr>
    </w:lvl>
    <w:lvl w:ilvl="6" w:tplc="E200C326" w:tentative="1">
      <w:start w:val="1"/>
      <w:numFmt w:val="bullet"/>
      <w:lvlText w:val=""/>
      <w:lvlJc w:val="left"/>
      <w:pPr>
        <w:tabs>
          <w:tab w:val="num" w:pos="5040"/>
        </w:tabs>
        <w:ind w:left="5040" w:hanging="360"/>
      </w:pPr>
      <w:rPr>
        <w:rFonts w:ascii="Wingdings 3" w:hAnsi="Wingdings 3" w:hint="default"/>
      </w:rPr>
    </w:lvl>
    <w:lvl w:ilvl="7" w:tplc="FF8C4914" w:tentative="1">
      <w:start w:val="1"/>
      <w:numFmt w:val="bullet"/>
      <w:lvlText w:val=""/>
      <w:lvlJc w:val="left"/>
      <w:pPr>
        <w:tabs>
          <w:tab w:val="num" w:pos="5760"/>
        </w:tabs>
        <w:ind w:left="5760" w:hanging="360"/>
      </w:pPr>
      <w:rPr>
        <w:rFonts w:ascii="Wingdings 3" w:hAnsi="Wingdings 3" w:hint="default"/>
      </w:rPr>
    </w:lvl>
    <w:lvl w:ilvl="8" w:tplc="E7DA3184"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6A2E38A5"/>
    <w:multiLevelType w:val="hybridMultilevel"/>
    <w:tmpl w:val="132CEDE2"/>
    <w:lvl w:ilvl="0" w:tplc="0BF03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E22DDB"/>
    <w:multiLevelType w:val="hybridMultilevel"/>
    <w:tmpl w:val="D2664356"/>
    <w:lvl w:ilvl="0" w:tplc="AF528474">
      <w:start w:val="1"/>
      <w:numFmt w:val="bullet"/>
      <w:lvlText w:val=""/>
      <w:lvlJc w:val="left"/>
      <w:pPr>
        <w:tabs>
          <w:tab w:val="num" w:pos="3763"/>
        </w:tabs>
        <w:ind w:left="3763" w:hanging="360"/>
      </w:pPr>
      <w:rPr>
        <w:rFonts w:ascii="Wingdings 3" w:hAnsi="Wingdings 3" w:hint="default"/>
      </w:rPr>
    </w:lvl>
    <w:lvl w:ilvl="1" w:tplc="DD8CF400" w:tentative="1">
      <w:start w:val="1"/>
      <w:numFmt w:val="bullet"/>
      <w:lvlText w:val=""/>
      <w:lvlJc w:val="left"/>
      <w:pPr>
        <w:tabs>
          <w:tab w:val="num" w:pos="4483"/>
        </w:tabs>
        <w:ind w:left="4483" w:hanging="360"/>
      </w:pPr>
      <w:rPr>
        <w:rFonts w:ascii="Wingdings 3" w:hAnsi="Wingdings 3" w:hint="default"/>
      </w:rPr>
    </w:lvl>
    <w:lvl w:ilvl="2" w:tplc="482075B6" w:tentative="1">
      <w:start w:val="1"/>
      <w:numFmt w:val="bullet"/>
      <w:lvlText w:val=""/>
      <w:lvlJc w:val="left"/>
      <w:pPr>
        <w:tabs>
          <w:tab w:val="num" w:pos="5203"/>
        </w:tabs>
        <w:ind w:left="5203" w:hanging="360"/>
      </w:pPr>
      <w:rPr>
        <w:rFonts w:ascii="Wingdings 3" w:hAnsi="Wingdings 3" w:hint="default"/>
      </w:rPr>
    </w:lvl>
    <w:lvl w:ilvl="3" w:tplc="5A2EF27C" w:tentative="1">
      <w:start w:val="1"/>
      <w:numFmt w:val="bullet"/>
      <w:lvlText w:val=""/>
      <w:lvlJc w:val="left"/>
      <w:pPr>
        <w:tabs>
          <w:tab w:val="num" w:pos="5923"/>
        </w:tabs>
        <w:ind w:left="5923" w:hanging="360"/>
      </w:pPr>
      <w:rPr>
        <w:rFonts w:ascii="Wingdings 3" w:hAnsi="Wingdings 3" w:hint="default"/>
      </w:rPr>
    </w:lvl>
    <w:lvl w:ilvl="4" w:tplc="3D18226A" w:tentative="1">
      <w:start w:val="1"/>
      <w:numFmt w:val="bullet"/>
      <w:lvlText w:val=""/>
      <w:lvlJc w:val="left"/>
      <w:pPr>
        <w:tabs>
          <w:tab w:val="num" w:pos="6643"/>
        </w:tabs>
        <w:ind w:left="6643" w:hanging="360"/>
      </w:pPr>
      <w:rPr>
        <w:rFonts w:ascii="Wingdings 3" w:hAnsi="Wingdings 3" w:hint="default"/>
      </w:rPr>
    </w:lvl>
    <w:lvl w:ilvl="5" w:tplc="BE2E837E" w:tentative="1">
      <w:start w:val="1"/>
      <w:numFmt w:val="bullet"/>
      <w:lvlText w:val=""/>
      <w:lvlJc w:val="left"/>
      <w:pPr>
        <w:tabs>
          <w:tab w:val="num" w:pos="7363"/>
        </w:tabs>
        <w:ind w:left="7363" w:hanging="360"/>
      </w:pPr>
      <w:rPr>
        <w:rFonts w:ascii="Wingdings 3" w:hAnsi="Wingdings 3" w:hint="default"/>
      </w:rPr>
    </w:lvl>
    <w:lvl w:ilvl="6" w:tplc="F8EC0414" w:tentative="1">
      <w:start w:val="1"/>
      <w:numFmt w:val="bullet"/>
      <w:lvlText w:val=""/>
      <w:lvlJc w:val="left"/>
      <w:pPr>
        <w:tabs>
          <w:tab w:val="num" w:pos="8083"/>
        </w:tabs>
        <w:ind w:left="8083" w:hanging="360"/>
      </w:pPr>
      <w:rPr>
        <w:rFonts w:ascii="Wingdings 3" w:hAnsi="Wingdings 3" w:hint="default"/>
      </w:rPr>
    </w:lvl>
    <w:lvl w:ilvl="7" w:tplc="D130CF4C" w:tentative="1">
      <w:start w:val="1"/>
      <w:numFmt w:val="bullet"/>
      <w:lvlText w:val=""/>
      <w:lvlJc w:val="left"/>
      <w:pPr>
        <w:tabs>
          <w:tab w:val="num" w:pos="8803"/>
        </w:tabs>
        <w:ind w:left="8803" w:hanging="360"/>
      </w:pPr>
      <w:rPr>
        <w:rFonts w:ascii="Wingdings 3" w:hAnsi="Wingdings 3" w:hint="default"/>
      </w:rPr>
    </w:lvl>
    <w:lvl w:ilvl="8" w:tplc="15D61848" w:tentative="1">
      <w:start w:val="1"/>
      <w:numFmt w:val="bullet"/>
      <w:lvlText w:val=""/>
      <w:lvlJc w:val="left"/>
      <w:pPr>
        <w:tabs>
          <w:tab w:val="num" w:pos="9523"/>
        </w:tabs>
        <w:ind w:left="9523" w:hanging="360"/>
      </w:pPr>
      <w:rPr>
        <w:rFonts w:ascii="Wingdings 3" w:hAnsi="Wingdings 3" w:hint="default"/>
      </w:rPr>
    </w:lvl>
  </w:abstractNum>
  <w:abstractNum w:abstractNumId="27" w15:restartNumberingAfterBreak="0">
    <w:nsid w:val="6EB43058"/>
    <w:multiLevelType w:val="hybridMultilevel"/>
    <w:tmpl w:val="D98C6914"/>
    <w:lvl w:ilvl="0" w:tplc="B11C1B9A">
      <w:start w:val="1"/>
      <w:numFmt w:val="bullet"/>
      <w:lvlText w:val=""/>
      <w:lvlJc w:val="left"/>
      <w:pPr>
        <w:tabs>
          <w:tab w:val="num" w:pos="720"/>
        </w:tabs>
        <w:ind w:left="720" w:hanging="360"/>
      </w:pPr>
      <w:rPr>
        <w:rFonts w:ascii="Wingdings 3" w:hAnsi="Wingdings 3" w:hint="default"/>
      </w:rPr>
    </w:lvl>
    <w:lvl w:ilvl="1" w:tplc="6C462B4A" w:tentative="1">
      <w:start w:val="1"/>
      <w:numFmt w:val="bullet"/>
      <w:lvlText w:val=""/>
      <w:lvlJc w:val="left"/>
      <w:pPr>
        <w:tabs>
          <w:tab w:val="num" w:pos="1440"/>
        </w:tabs>
        <w:ind w:left="1440" w:hanging="360"/>
      </w:pPr>
      <w:rPr>
        <w:rFonts w:ascii="Wingdings 3" w:hAnsi="Wingdings 3" w:hint="default"/>
      </w:rPr>
    </w:lvl>
    <w:lvl w:ilvl="2" w:tplc="119CEA60" w:tentative="1">
      <w:start w:val="1"/>
      <w:numFmt w:val="bullet"/>
      <w:lvlText w:val=""/>
      <w:lvlJc w:val="left"/>
      <w:pPr>
        <w:tabs>
          <w:tab w:val="num" w:pos="2160"/>
        </w:tabs>
        <w:ind w:left="2160" w:hanging="360"/>
      </w:pPr>
      <w:rPr>
        <w:rFonts w:ascii="Wingdings 3" w:hAnsi="Wingdings 3" w:hint="default"/>
      </w:rPr>
    </w:lvl>
    <w:lvl w:ilvl="3" w:tplc="029ED812" w:tentative="1">
      <w:start w:val="1"/>
      <w:numFmt w:val="bullet"/>
      <w:lvlText w:val=""/>
      <w:lvlJc w:val="left"/>
      <w:pPr>
        <w:tabs>
          <w:tab w:val="num" w:pos="2880"/>
        </w:tabs>
        <w:ind w:left="2880" w:hanging="360"/>
      </w:pPr>
      <w:rPr>
        <w:rFonts w:ascii="Wingdings 3" w:hAnsi="Wingdings 3" w:hint="default"/>
      </w:rPr>
    </w:lvl>
    <w:lvl w:ilvl="4" w:tplc="ACB660E8" w:tentative="1">
      <w:start w:val="1"/>
      <w:numFmt w:val="bullet"/>
      <w:lvlText w:val=""/>
      <w:lvlJc w:val="left"/>
      <w:pPr>
        <w:tabs>
          <w:tab w:val="num" w:pos="3600"/>
        </w:tabs>
        <w:ind w:left="3600" w:hanging="360"/>
      </w:pPr>
      <w:rPr>
        <w:rFonts w:ascii="Wingdings 3" w:hAnsi="Wingdings 3" w:hint="default"/>
      </w:rPr>
    </w:lvl>
    <w:lvl w:ilvl="5" w:tplc="337CA07C" w:tentative="1">
      <w:start w:val="1"/>
      <w:numFmt w:val="bullet"/>
      <w:lvlText w:val=""/>
      <w:lvlJc w:val="left"/>
      <w:pPr>
        <w:tabs>
          <w:tab w:val="num" w:pos="4320"/>
        </w:tabs>
        <w:ind w:left="4320" w:hanging="360"/>
      </w:pPr>
      <w:rPr>
        <w:rFonts w:ascii="Wingdings 3" w:hAnsi="Wingdings 3" w:hint="default"/>
      </w:rPr>
    </w:lvl>
    <w:lvl w:ilvl="6" w:tplc="4AF8610E" w:tentative="1">
      <w:start w:val="1"/>
      <w:numFmt w:val="bullet"/>
      <w:lvlText w:val=""/>
      <w:lvlJc w:val="left"/>
      <w:pPr>
        <w:tabs>
          <w:tab w:val="num" w:pos="5040"/>
        </w:tabs>
        <w:ind w:left="5040" w:hanging="360"/>
      </w:pPr>
      <w:rPr>
        <w:rFonts w:ascii="Wingdings 3" w:hAnsi="Wingdings 3" w:hint="default"/>
      </w:rPr>
    </w:lvl>
    <w:lvl w:ilvl="7" w:tplc="C2BC259A" w:tentative="1">
      <w:start w:val="1"/>
      <w:numFmt w:val="bullet"/>
      <w:lvlText w:val=""/>
      <w:lvlJc w:val="left"/>
      <w:pPr>
        <w:tabs>
          <w:tab w:val="num" w:pos="5760"/>
        </w:tabs>
        <w:ind w:left="5760" w:hanging="360"/>
      </w:pPr>
      <w:rPr>
        <w:rFonts w:ascii="Wingdings 3" w:hAnsi="Wingdings 3" w:hint="default"/>
      </w:rPr>
    </w:lvl>
    <w:lvl w:ilvl="8" w:tplc="034CD044" w:tentative="1">
      <w:start w:val="1"/>
      <w:numFmt w:val="bullet"/>
      <w:lvlText w:val=""/>
      <w:lvlJc w:val="left"/>
      <w:pPr>
        <w:tabs>
          <w:tab w:val="num" w:pos="6480"/>
        </w:tabs>
        <w:ind w:left="6480" w:hanging="360"/>
      </w:pPr>
      <w:rPr>
        <w:rFonts w:ascii="Wingdings 3" w:hAnsi="Wingdings 3" w:hint="default"/>
      </w:rPr>
    </w:lvl>
  </w:abstractNum>
  <w:num w:numId="1" w16cid:durableId="624314881">
    <w:abstractNumId w:val="17"/>
  </w:num>
  <w:num w:numId="2" w16cid:durableId="540290198">
    <w:abstractNumId w:val="27"/>
  </w:num>
  <w:num w:numId="3" w16cid:durableId="710153867">
    <w:abstractNumId w:val="6"/>
  </w:num>
  <w:num w:numId="4" w16cid:durableId="2012833901">
    <w:abstractNumId w:val="21"/>
  </w:num>
  <w:num w:numId="5" w16cid:durableId="283509930">
    <w:abstractNumId w:val="26"/>
  </w:num>
  <w:num w:numId="6" w16cid:durableId="1209608576">
    <w:abstractNumId w:val="1"/>
  </w:num>
  <w:num w:numId="7" w16cid:durableId="2123257998">
    <w:abstractNumId w:val="4"/>
  </w:num>
  <w:num w:numId="8" w16cid:durableId="382754259">
    <w:abstractNumId w:val="3"/>
  </w:num>
  <w:num w:numId="9" w16cid:durableId="134416562">
    <w:abstractNumId w:val="18"/>
  </w:num>
  <w:num w:numId="10" w16cid:durableId="1787045302">
    <w:abstractNumId w:val="24"/>
  </w:num>
  <w:num w:numId="11" w16cid:durableId="232084307">
    <w:abstractNumId w:val="8"/>
  </w:num>
  <w:num w:numId="12" w16cid:durableId="1768967165">
    <w:abstractNumId w:val="20"/>
  </w:num>
  <w:num w:numId="13" w16cid:durableId="487552053">
    <w:abstractNumId w:val="10"/>
  </w:num>
  <w:num w:numId="14" w16cid:durableId="1803695397">
    <w:abstractNumId w:val="5"/>
  </w:num>
  <w:num w:numId="15" w16cid:durableId="568733421">
    <w:abstractNumId w:val="12"/>
  </w:num>
  <w:num w:numId="16" w16cid:durableId="816185401">
    <w:abstractNumId w:val="14"/>
  </w:num>
  <w:num w:numId="17" w16cid:durableId="283536104">
    <w:abstractNumId w:val="25"/>
  </w:num>
  <w:num w:numId="18" w16cid:durableId="662511728">
    <w:abstractNumId w:val="15"/>
  </w:num>
  <w:num w:numId="19" w16cid:durableId="1230265403">
    <w:abstractNumId w:val="11"/>
  </w:num>
  <w:num w:numId="20" w16cid:durableId="1990790850">
    <w:abstractNumId w:val="0"/>
  </w:num>
  <w:num w:numId="21" w16cid:durableId="230890913">
    <w:abstractNumId w:val="23"/>
  </w:num>
  <w:num w:numId="22" w16cid:durableId="1956060943">
    <w:abstractNumId w:val="2"/>
  </w:num>
  <w:num w:numId="23" w16cid:durableId="1427769943">
    <w:abstractNumId w:val="19"/>
  </w:num>
  <w:num w:numId="24" w16cid:durableId="7992259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3143100">
    <w:abstractNumId w:val="22"/>
  </w:num>
  <w:num w:numId="26" w16cid:durableId="222061719">
    <w:abstractNumId w:val="13"/>
  </w:num>
  <w:num w:numId="27" w16cid:durableId="97482487">
    <w:abstractNumId w:val="16"/>
  </w:num>
  <w:num w:numId="28" w16cid:durableId="10993742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26E"/>
    <w:rsid w:val="000005EC"/>
    <w:rsid w:val="00000666"/>
    <w:rsid w:val="000006C4"/>
    <w:rsid w:val="000011DC"/>
    <w:rsid w:val="00002CB4"/>
    <w:rsid w:val="000040D9"/>
    <w:rsid w:val="000042E8"/>
    <w:rsid w:val="00004BB6"/>
    <w:rsid w:val="00005475"/>
    <w:rsid w:val="00005B18"/>
    <w:rsid w:val="00006CD3"/>
    <w:rsid w:val="00007C8F"/>
    <w:rsid w:val="0001066B"/>
    <w:rsid w:val="00010F0E"/>
    <w:rsid w:val="0001237A"/>
    <w:rsid w:val="00012772"/>
    <w:rsid w:val="00013A68"/>
    <w:rsid w:val="00013C22"/>
    <w:rsid w:val="0001536D"/>
    <w:rsid w:val="00016041"/>
    <w:rsid w:val="0002115C"/>
    <w:rsid w:val="00025832"/>
    <w:rsid w:val="00026E0C"/>
    <w:rsid w:val="00030BF9"/>
    <w:rsid w:val="0003163C"/>
    <w:rsid w:val="000348D9"/>
    <w:rsid w:val="00034AC1"/>
    <w:rsid w:val="00036275"/>
    <w:rsid w:val="00041CB3"/>
    <w:rsid w:val="00042FD2"/>
    <w:rsid w:val="000443F3"/>
    <w:rsid w:val="00044D6A"/>
    <w:rsid w:val="0004574E"/>
    <w:rsid w:val="000468FE"/>
    <w:rsid w:val="00050209"/>
    <w:rsid w:val="00051933"/>
    <w:rsid w:val="0005518D"/>
    <w:rsid w:val="00055F76"/>
    <w:rsid w:val="00057384"/>
    <w:rsid w:val="00060749"/>
    <w:rsid w:val="00060829"/>
    <w:rsid w:val="000615AE"/>
    <w:rsid w:val="00061A0B"/>
    <w:rsid w:val="00062E88"/>
    <w:rsid w:val="0006490C"/>
    <w:rsid w:val="00066036"/>
    <w:rsid w:val="00066975"/>
    <w:rsid w:val="00067F52"/>
    <w:rsid w:val="000708AF"/>
    <w:rsid w:val="000716AB"/>
    <w:rsid w:val="00072833"/>
    <w:rsid w:val="000743D0"/>
    <w:rsid w:val="00076217"/>
    <w:rsid w:val="000768A8"/>
    <w:rsid w:val="00076B47"/>
    <w:rsid w:val="00076BB3"/>
    <w:rsid w:val="0008164A"/>
    <w:rsid w:val="00082F68"/>
    <w:rsid w:val="00084B43"/>
    <w:rsid w:val="000858AA"/>
    <w:rsid w:val="000862CC"/>
    <w:rsid w:val="000867C6"/>
    <w:rsid w:val="00087EEE"/>
    <w:rsid w:val="00090FB5"/>
    <w:rsid w:val="00092D2B"/>
    <w:rsid w:val="00093B45"/>
    <w:rsid w:val="00094E24"/>
    <w:rsid w:val="00096544"/>
    <w:rsid w:val="000966B4"/>
    <w:rsid w:val="00097227"/>
    <w:rsid w:val="000A09CD"/>
    <w:rsid w:val="000A1825"/>
    <w:rsid w:val="000A39FD"/>
    <w:rsid w:val="000A5776"/>
    <w:rsid w:val="000A5D18"/>
    <w:rsid w:val="000B045F"/>
    <w:rsid w:val="000B0A3A"/>
    <w:rsid w:val="000B0D96"/>
    <w:rsid w:val="000B3202"/>
    <w:rsid w:val="000B4480"/>
    <w:rsid w:val="000B60A9"/>
    <w:rsid w:val="000B67F6"/>
    <w:rsid w:val="000C4697"/>
    <w:rsid w:val="000C4F62"/>
    <w:rsid w:val="000C5881"/>
    <w:rsid w:val="000C59E3"/>
    <w:rsid w:val="000C677A"/>
    <w:rsid w:val="000C6891"/>
    <w:rsid w:val="000C6B4B"/>
    <w:rsid w:val="000C7500"/>
    <w:rsid w:val="000C7BDB"/>
    <w:rsid w:val="000D2253"/>
    <w:rsid w:val="000D258F"/>
    <w:rsid w:val="000D3BB1"/>
    <w:rsid w:val="000E0402"/>
    <w:rsid w:val="000E1121"/>
    <w:rsid w:val="000E20A3"/>
    <w:rsid w:val="000E2B19"/>
    <w:rsid w:val="000E2E12"/>
    <w:rsid w:val="000E3569"/>
    <w:rsid w:val="000E36CB"/>
    <w:rsid w:val="000E6B16"/>
    <w:rsid w:val="000E70BE"/>
    <w:rsid w:val="000E7C3F"/>
    <w:rsid w:val="000E7CE9"/>
    <w:rsid w:val="000F09D0"/>
    <w:rsid w:val="000F17B5"/>
    <w:rsid w:val="000F3FE3"/>
    <w:rsid w:val="000F5AFA"/>
    <w:rsid w:val="000F6B0B"/>
    <w:rsid w:val="000F77B3"/>
    <w:rsid w:val="000F7FDC"/>
    <w:rsid w:val="00102A78"/>
    <w:rsid w:val="00102EE3"/>
    <w:rsid w:val="001035C0"/>
    <w:rsid w:val="0010448D"/>
    <w:rsid w:val="00104B23"/>
    <w:rsid w:val="00104B52"/>
    <w:rsid w:val="0010546C"/>
    <w:rsid w:val="00105686"/>
    <w:rsid w:val="001064D3"/>
    <w:rsid w:val="00110110"/>
    <w:rsid w:val="001108D8"/>
    <w:rsid w:val="00110C97"/>
    <w:rsid w:val="00111681"/>
    <w:rsid w:val="00111F73"/>
    <w:rsid w:val="00112095"/>
    <w:rsid w:val="00112BD8"/>
    <w:rsid w:val="00113752"/>
    <w:rsid w:val="00117448"/>
    <w:rsid w:val="00117652"/>
    <w:rsid w:val="00120BED"/>
    <w:rsid w:val="001238CF"/>
    <w:rsid w:val="001250F5"/>
    <w:rsid w:val="00125821"/>
    <w:rsid w:val="00125DF7"/>
    <w:rsid w:val="00127500"/>
    <w:rsid w:val="00127562"/>
    <w:rsid w:val="001303E0"/>
    <w:rsid w:val="00131AA5"/>
    <w:rsid w:val="00131B3E"/>
    <w:rsid w:val="00131E1A"/>
    <w:rsid w:val="0013210C"/>
    <w:rsid w:val="001324A2"/>
    <w:rsid w:val="00132869"/>
    <w:rsid w:val="00134406"/>
    <w:rsid w:val="00134E98"/>
    <w:rsid w:val="00135EC4"/>
    <w:rsid w:val="00137388"/>
    <w:rsid w:val="0014146C"/>
    <w:rsid w:val="00141A63"/>
    <w:rsid w:val="00141B66"/>
    <w:rsid w:val="00141BEF"/>
    <w:rsid w:val="001421F2"/>
    <w:rsid w:val="001422C5"/>
    <w:rsid w:val="00143ED8"/>
    <w:rsid w:val="00144452"/>
    <w:rsid w:val="00144CB6"/>
    <w:rsid w:val="00146566"/>
    <w:rsid w:val="001500E6"/>
    <w:rsid w:val="001503DA"/>
    <w:rsid w:val="0015174D"/>
    <w:rsid w:val="001525CA"/>
    <w:rsid w:val="00152687"/>
    <w:rsid w:val="001546D2"/>
    <w:rsid w:val="00156098"/>
    <w:rsid w:val="0015633D"/>
    <w:rsid w:val="00157679"/>
    <w:rsid w:val="001605BE"/>
    <w:rsid w:val="00161B7C"/>
    <w:rsid w:val="001623AC"/>
    <w:rsid w:val="00162E38"/>
    <w:rsid w:val="0016381F"/>
    <w:rsid w:val="00163AFF"/>
    <w:rsid w:val="001646E9"/>
    <w:rsid w:val="00165463"/>
    <w:rsid w:val="001656DE"/>
    <w:rsid w:val="00165B0E"/>
    <w:rsid w:val="00166A7E"/>
    <w:rsid w:val="001670F6"/>
    <w:rsid w:val="001676D2"/>
    <w:rsid w:val="00167961"/>
    <w:rsid w:val="00167B0D"/>
    <w:rsid w:val="001712EB"/>
    <w:rsid w:val="001717C2"/>
    <w:rsid w:val="0017397C"/>
    <w:rsid w:val="00174E5B"/>
    <w:rsid w:val="00175061"/>
    <w:rsid w:val="0017630D"/>
    <w:rsid w:val="00177A86"/>
    <w:rsid w:val="00181387"/>
    <w:rsid w:val="00182B65"/>
    <w:rsid w:val="00183305"/>
    <w:rsid w:val="001846EB"/>
    <w:rsid w:val="00184D3E"/>
    <w:rsid w:val="00184EE9"/>
    <w:rsid w:val="00185678"/>
    <w:rsid w:val="00185F09"/>
    <w:rsid w:val="001877F7"/>
    <w:rsid w:val="001879DD"/>
    <w:rsid w:val="00187EB2"/>
    <w:rsid w:val="001906F5"/>
    <w:rsid w:val="00190F55"/>
    <w:rsid w:val="00191B3A"/>
    <w:rsid w:val="00191B4B"/>
    <w:rsid w:val="00191E73"/>
    <w:rsid w:val="0019238A"/>
    <w:rsid w:val="0019247B"/>
    <w:rsid w:val="00192ECB"/>
    <w:rsid w:val="0019350D"/>
    <w:rsid w:val="00193FCC"/>
    <w:rsid w:val="00197792"/>
    <w:rsid w:val="001A0495"/>
    <w:rsid w:val="001A0F87"/>
    <w:rsid w:val="001A0FFA"/>
    <w:rsid w:val="001A17DE"/>
    <w:rsid w:val="001A234B"/>
    <w:rsid w:val="001A4574"/>
    <w:rsid w:val="001A4FB0"/>
    <w:rsid w:val="001A51B6"/>
    <w:rsid w:val="001A6E60"/>
    <w:rsid w:val="001B19AC"/>
    <w:rsid w:val="001B2223"/>
    <w:rsid w:val="001B252A"/>
    <w:rsid w:val="001B366F"/>
    <w:rsid w:val="001B3E7F"/>
    <w:rsid w:val="001B3F36"/>
    <w:rsid w:val="001B6E1F"/>
    <w:rsid w:val="001B6FAD"/>
    <w:rsid w:val="001B748C"/>
    <w:rsid w:val="001C0136"/>
    <w:rsid w:val="001C040A"/>
    <w:rsid w:val="001C21D5"/>
    <w:rsid w:val="001C3457"/>
    <w:rsid w:val="001C51B2"/>
    <w:rsid w:val="001C564E"/>
    <w:rsid w:val="001C5F57"/>
    <w:rsid w:val="001C6C90"/>
    <w:rsid w:val="001C7072"/>
    <w:rsid w:val="001D0DF4"/>
    <w:rsid w:val="001D21D9"/>
    <w:rsid w:val="001D3139"/>
    <w:rsid w:val="001D3BF4"/>
    <w:rsid w:val="001D4EC6"/>
    <w:rsid w:val="001D5040"/>
    <w:rsid w:val="001D5835"/>
    <w:rsid w:val="001D750F"/>
    <w:rsid w:val="001D7C30"/>
    <w:rsid w:val="001E0502"/>
    <w:rsid w:val="001E0B8F"/>
    <w:rsid w:val="001E1A53"/>
    <w:rsid w:val="001E3840"/>
    <w:rsid w:val="001E39EB"/>
    <w:rsid w:val="001E3A09"/>
    <w:rsid w:val="001E574F"/>
    <w:rsid w:val="001E62EE"/>
    <w:rsid w:val="001E665A"/>
    <w:rsid w:val="001E71AA"/>
    <w:rsid w:val="001F0D7E"/>
    <w:rsid w:val="001F3ACD"/>
    <w:rsid w:val="001F48FF"/>
    <w:rsid w:val="001F50AB"/>
    <w:rsid w:val="001F5CDA"/>
    <w:rsid w:val="001F6359"/>
    <w:rsid w:val="001F6A8B"/>
    <w:rsid w:val="001F7731"/>
    <w:rsid w:val="0020035E"/>
    <w:rsid w:val="00202AFF"/>
    <w:rsid w:val="002045C9"/>
    <w:rsid w:val="0020516C"/>
    <w:rsid w:val="002064AB"/>
    <w:rsid w:val="00207E2B"/>
    <w:rsid w:val="002111AD"/>
    <w:rsid w:val="002132CB"/>
    <w:rsid w:val="0021608E"/>
    <w:rsid w:val="00216297"/>
    <w:rsid w:val="00216E3B"/>
    <w:rsid w:val="00216FF4"/>
    <w:rsid w:val="00221600"/>
    <w:rsid w:val="00222818"/>
    <w:rsid w:val="0022343D"/>
    <w:rsid w:val="00224181"/>
    <w:rsid w:val="00224E3B"/>
    <w:rsid w:val="00225038"/>
    <w:rsid w:val="002313C0"/>
    <w:rsid w:val="002328A8"/>
    <w:rsid w:val="00234205"/>
    <w:rsid w:val="002352D8"/>
    <w:rsid w:val="002358D1"/>
    <w:rsid w:val="00235CE9"/>
    <w:rsid w:val="00236E52"/>
    <w:rsid w:val="00237F92"/>
    <w:rsid w:val="002404E9"/>
    <w:rsid w:val="002404EA"/>
    <w:rsid w:val="00240832"/>
    <w:rsid w:val="00242283"/>
    <w:rsid w:val="00242FE8"/>
    <w:rsid w:val="00245778"/>
    <w:rsid w:val="00246094"/>
    <w:rsid w:val="00246CF4"/>
    <w:rsid w:val="00246F9A"/>
    <w:rsid w:val="00250C12"/>
    <w:rsid w:val="00251061"/>
    <w:rsid w:val="002512C9"/>
    <w:rsid w:val="002512DE"/>
    <w:rsid w:val="00251578"/>
    <w:rsid w:val="002542BB"/>
    <w:rsid w:val="00254371"/>
    <w:rsid w:val="0025458C"/>
    <w:rsid w:val="00254CE6"/>
    <w:rsid w:val="0025596E"/>
    <w:rsid w:val="002568B6"/>
    <w:rsid w:val="002578A6"/>
    <w:rsid w:val="00257EF9"/>
    <w:rsid w:val="002608B1"/>
    <w:rsid w:val="00260E6E"/>
    <w:rsid w:val="00262B13"/>
    <w:rsid w:val="00262ED8"/>
    <w:rsid w:val="0026326A"/>
    <w:rsid w:val="00265F66"/>
    <w:rsid w:val="00267386"/>
    <w:rsid w:val="0026742D"/>
    <w:rsid w:val="00267E9A"/>
    <w:rsid w:val="00272810"/>
    <w:rsid w:val="00272897"/>
    <w:rsid w:val="0027469B"/>
    <w:rsid w:val="00277E4E"/>
    <w:rsid w:val="00280B22"/>
    <w:rsid w:val="002817BA"/>
    <w:rsid w:val="00281AE4"/>
    <w:rsid w:val="002823FF"/>
    <w:rsid w:val="00283CC0"/>
    <w:rsid w:val="00284A4B"/>
    <w:rsid w:val="00284B2D"/>
    <w:rsid w:val="00285285"/>
    <w:rsid w:val="00286DCA"/>
    <w:rsid w:val="002874E6"/>
    <w:rsid w:val="00287CDA"/>
    <w:rsid w:val="0029008E"/>
    <w:rsid w:val="002914CE"/>
    <w:rsid w:val="00291B1B"/>
    <w:rsid w:val="00293462"/>
    <w:rsid w:val="002936BD"/>
    <w:rsid w:val="00294D76"/>
    <w:rsid w:val="0029547A"/>
    <w:rsid w:val="0029694B"/>
    <w:rsid w:val="00296C60"/>
    <w:rsid w:val="00297A05"/>
    <w:rsid w:val="002A08F8"/>
    <w:rsid w:val="002A1D91"/>
    <w:rsid w:val="002A21C2"/>
    <w:rsid w:val="002A23A9"/>
    <w:rsid w:val="002A2CCD"/>
    <w:rsid w:val="002A3751"/>
    <w:rsid w:val="002A50B5"/>
    <w:rsid w:val="002A6446"/>
    <w:rsid w:val="002A7766"/>
    <w:rsid w:val="002A7893"/>
    <w:rsid w:val="002B0218"/>
    <w:rsid w:val="002B16EC"/>
    <w:rsid w:val="002B1A6E"/>
    <w:rsid w:val="002B255B"/>
    <w:rsid w:val="002B277A"/>
    <w:rsid w:val="002B3320"/>
    <w:rsid w:val="002B3CFD"/>
    <w:rsid w:val="002B4B2F"/>
    <w:rsid w:val="002B4F80"/>
    <w:rsid w:val="002C08F8"/>
    <w:rsid w:val="002C1A91"/>
    <w:rsid w:val="002C43FD"/>
    <w:rsid w:val="002C49D2"/>
    <w:rsid w:val="002C5603"/>
    <w:rsid w:val="002C5DBD"/>
    <w:rsid w:val="002C5DD9"/>
    <w:rsid w:val="002C7B42"/>
    <w:rsid w:val="002D0100"/>
    <w:rsid w:val="002D07F3"/>
    <w:rsid w:val="002D1794"/>
    <w:rsid w:val="002D1A34"/>
    <w:rsid w:val="002D2374"/>
    <w:rsid w:val="002D46FD"/>
    <w:rsid w:val="002D65A3"/>
    <w:rsid w:val="002D698A"/>
    <w:rsid w:val="002E00AB"/>
    <w:rsid w:val="002E0197"/>
    <w:rsid w:val="002E06D5"/>
    <w:rsid w:val="002E1197"/>
    <w:rsid w:val="002E2C73"/>
    <w:rsid w:val="002E306E"/>
    <w:rsid w:val="002E337C"/>
    <w:rsid w:val="002E390D"/>
    <w:rsid w:val="002E5236"/>
    <w:rsid w:val="002E615E"/>
    <w:rsid w:val="002E68AD"/>
    <w:rsid w:val="002E700A"/>
    <w:rsid w:val="002E70F5"/>
    <w:rsid w:val="002E772F"/>
    <w:rsid w:val="002F1039"/>
    <w:rsid w:val="002F5037"/>
    <w:rsid w:val="002F6757"/>
    <w:rsid w:val="003000C0"/>
    <w:rsid w:val="0030128F"/>
    <w:rsid w:val="00301A51"/>
    <w:rsid w:val="00301E9E"/>
    <w:rsid w:val="00302E66"/>
    <w:rsid w:val="003045AB"/>
    <w:rsid w:val="0030468D"/>
    <w:rsid w:val="003047F5"/>
    <w:rsid w:val="00304B59"/>
    <w:rsid w:val="003064C3"/>
    <w:rsid w:val="00306E6F"/>
    <w:rsid w:val="0031025A"/>
    <w:rsid w:val="00310CAA"/>
    <w:rsid w:val="00311CEF"/>
    <w:rsid w:val="003129AD"/>
    <w:rsid w:val="00312B4A"/>
    <w:rsid w:val="00313BA8"/>
    <w:rsid w:val="00314BE9"/>
    <w:rsid w:val="00314E82"/>
    <w:rsid w:val="003162DD"/>
    <w:rsid w:val="00317636"/>
    <w:rsid w:val="00317B4B"/>
    <w:rsid w:val="00322057"/>
    <w:rsid w:val="0032407A"/>
    <w:rsid w:val="003246B1"/>
    <w:rsid w:val="00325E0F"/>
    <w:rsid w:val="003266A6"/>
    <w:rsid w:val="00330F3A"/>
    <w:rsid w:val="00331C8F"/>
    <w:rsid w:val="00333164"/>
    <w:rsid w:val="00333C16"/>
    <w:rsid w:val="00334ED9"/>
    <w:rsid w:val="00335660"/>
    <w:rsid w:val="003374F7"/>
    <w:rsid w:val="0034263A"/>
    <w:rsid w:val="00343FD9"/>
    <w:rsid w:val="00344741"/>
    <w:rsid w:val="00344898"/>
    <w:rsid w:val="00344FBE"/>
    <w:rsid w:val="00345051"/>
    <w:rsid w:val="003466E7"/>
    <w:rsid w:val="00347669"/>
    <w:rsid w:val="00347688"/>
    <w:rsid w:val="0034795C"/>
    <w:rsid w:val="0035210F"/>
    <w:rsid w:val="00352FFD"/>
    <w:rsid w:val="0035346E"/>
    <w:rsid w:val="00354AD1"/>
    <w:rsid w:val="00362746"/>
    <w:rsid w:val="00363B76"/>
    <w:rsid w:val="00363FAD"/>
    <w:rsid w:val="00364312"/>
    <w:rsid w:val="00364C1A"/>
    <w:rsid w:val="00365B30"/>
    <w:rsid w:val="00366244"/>
    <w:rsid w:val="00367489"/>
    <w:rsid w:val="003700BE"/>
    <w:rsid w:val="00372636"/>
    <w:rsid w:val="00372D1B"/>
    <w:rsid w:val="00373EF0"/>
    <w:rsid w:val="00374266"/>
    <w:rsid w:val="00375146"/>
    <w:rsid w:val="00375E84"/>
    <w:rsid w:val="00376852"/>
    <w:rsid w:val="003774D0"/>
    <w:rsid w:val="0038113B"/>
    <w:rsid w:val="00381510"/>
    <w:rsid w:val="00381C2F"/>
    <w:rsid w:val="00382C94"/>
    <w:rsid w:val="00382D88"/>
    <w:rsid w:val="00383A1C"/>
    <w:rsid w:val="00384706"/>
    <w:rsid w:val="00384FAB"/>
    <w:rsid w:val="00385550"/>
    <w:rsid w:val="0038577D"/>
    <w:rsid w:val="00385DDD"/>
    <w:rsid w:val="003869B6"/>
    <w:rsid w:val="003873CB"/>
    <w:rsid w:val="003874A2"/>
    <w:rsid w:val="0039104D"/>
    <w:rsid w:val="003921FD"/>
    <w:rsid w:val="003934B5"/>
    <w:rsid w:val="003943AB"/>
    <w:rsid w:val="003968E5"/>
    <w:rsid w:val="00396DE6"/>
    <w:rsid w:val="00396F46"/>
    <w:rsid w:val="003A09DD"/>
    <w:rsid w:val="003A0FD2"/>
    <w:rsid w:val="003A27DD"/>
    <w:rsid w:val="003A387D"/>
    <w:rsid w:val="003A3BD8"/>
    <w:rsid w:val="003A4DAC"/>
    <w:rsid w:val="003B1EF7"/>
    <w:rsid w:val="003B3365"/>
    <w:rsid w:val="003B3E4F"/>
    <w:rsid w:val="003B514E"/>
    <w:rsid w:val="003B5D59"/>
    <w:rsid w:val="003B6FAB"/>
    <w:rsid w:val="003B7E25"/>
    <w:rsid w:val="003C049F"/>
    <w:rsid w:val="003C082A"/>
    <w:rsid w:val="003C0870"/>
    <w:rsid w:val="003C3122"/>
    <w:rsid w:val="003C47AC"/>
    <w:rsid w:val="003C541D"/>
    <w:rsid w:val="003C5933"/>
    <w:rsid w:val="003C6576"/>
    <w:rsid w:val="003C67F5"/>
    <w:rsid w:val="003C7A1D"/>
    <w:rsid w:val="003D09BC"/>
    <w:rsid w:val="003D0FE7"/>
    <w:rsid w:val="003D2174"/>
    <w:rsid w:val="003D2A13"/>
    <w:rsid w:val="003D4608"/>
    <w:rsid w:val="003D4956"/>
    <w:rsid w:val="003D5CF9"/>
    <w:rsid w:val="003E1073"/>
    <w:rsid w:val="003E10FB"/>
    <w:rsid w:val="003E1CAA"/>
    <w:rsid w:val="003E21C9"/>
    <w:rsid w:val="003E221B"/>
    <w:rsid w:val="003E2A0B"/>
    <w:rsid w:val="003E2A2B"/>
    <w:rsid w:val="003E3B79"/>
    <w:rsid w:val="003E5A82"/>
    <w:rsid w:val="003E73F4"/>
    <w:rsid w:val="003E7A0E"/>
    <w:rsid w:val="003E7D82"/>
    <w:rsid w:val="003F0144"/>
    <w:rsid w:val="003F0B63"/>
    <w:rsid w:val="003F0BDA"/>
    <w:rsid w:val="003F16DD"/>
    <w:rsid w:val="003F69DB"/>
    <w:rsid w:val="0040213F"/>
    <w:rsid w:val="00402239"/>
    <w:rsid w:val="004026C3"/>
    <w:rsid w:val="00402A5B"/>
    <w:rsid w:val="004035DC"/>
    <w:rsid w:val="004052F5"/>
    <w:rsid w:val="00405312"/>
    <w:rsid w:val="00407B24"/>
    <w:rsid w:val="00410C0C"/>
    <w:rsid w:val="00414B4E"/>
    <w:rsid w:val="00415F09"/>
    <w:rsid w:val="00416FDD"/>
    <w:rsid w:val="00422CC8"/>
    <w:rsid w:val="00422DDA"/>
    <w:rsid w:val="00422FA6"/>
    <w:rsid w:val="00422FA7"/>
    <w:rsid w:val="004235DA"/>
    <w:rsid w:val="00424B84"/>
    <w:rsid w:val="004251EB"/>
    <w:rsid w:val="00427640"/>
    <w:rsid w:val="00430F78"/>
    <w:rsid w:val="004315C7"/>
    <w:rsid w:val="0043182C"/>
    <w:rsid w:val="00431C28"/>
    <w:rsid w:val="0043239A"/>
    <w:rsid w:val="0043387D"/>
    <w:rsid w:val="00433DB6"/>
    <w:rsid w:val="00434B02"/>
    <w:rsid w:val="00435D85"/>
    <w:rsid w:val="00436E5A"/>
    <w:rsid w:val="004375C1"/>
    <w:rsid w:val="00437600"/>
    <w:rsid w:val="00437C81"/>
    <w:rsid w:val="004405BB"/>
    <w:rsid w:val="00442895"/>
    <w:rsid w:val="00443A6A"/>
    <w:rsid w:val="00443B74"/>
    <w:rsid w:val="00447889"/>
    <w:rsid w:val="00451CD8"/>
    <w:rsid w:val="004545FC"/>
    <w:rsid w:val="00455544"/>
    <w:rsid w:val="00455A57"/>
    <w:rsid w:val="0045683D"/>
    <w:rsid w:val="0045685B"/>
    <w:rsid w:val="00456A64"/>
    <w:rsid w:val="00456B28"/>
    <w:rsid w:val="004571B1"/>
    <w:rsid w:val="0045758A"/>
    <w:rsid w:val="00460115"/>
    <w:rsid w:val="00460502"/>
    <w:rsid w:val="0046083F"/>
    <w:rsid w:val="00462227"/>
    <w:rsid w:val="00463D8B"/>
    <w:rsid w:val="00465197"/>
    <w:rsid w:val="00467F9B"/>
    <w:rsid w:val="00470B6D"/>
    <w:rsid w:val="00471BED"/>
    <w:rsid w:val="004727C1"/>
    <w:rsid w:val="00473415"/>
    <w:rsid w:val="00473958"/>
    <w:rsid w:val="0047584C"/>
    <w:rsid w:val="00476C9A"/>
    <w:rsid w:val="0048077E"/>
    <w:rsid w:val="00480CD5"/>
    <w:rsid w:val="00480CDD"/>
    <w:rsid w:val="00481352"/>
    <w:rsid w:val="004815DD"/>
    <w:rsid w:val="00481C52"/>
    <w:rsid w:val="00484B13"/>
    <w:rsid w:val="00485C7C"/>
    <w:rsid w:val="00487052"/>
    <w:rsid w:val="004874FF"/>
    <w:rsid w:val="004907CE"/>
    <w:rsid w:val="0049098E"/>
    <w:rsid w:val="00490EDC"/>
    <w:rsid w:val="004910EC"/>
    <w:rsid w:val="00491ABC"/>
    <w:rsid w:val="00491DEC"/>
    <w:rsid w:val="00493545"/>
    <w:rsid w:val="00497E72"/>
    <w:rsid w:val="004A0394"/>
    <w:rsid w:val="004A0B56"/>
    <w:rsid w:val="004A349F"/>
    <w:rsid w:val="004A3E3D"/>
    <w:rsid w:val="004A429F"/>
    <w:rsid w:val="004A4473"/>
    <w:rsid w:val="004A4903"/>
    <w:rsid w:val="004A4D2C"/>
    <w:rsid w:val="004A5EFF"/>
    <w:rsid w:val="004A60DE"/>
    <w:rsid w:val="004A6BD8"/>
    <w:rsid w:val="004A7405"/>
    <w:rsid w:val="004B0C7B"/>
    <w:rsid w:val="004B41BE"/>
    <w:rsid w:val="004B5286"/>
    <w:rsid w:val="004B61D2"/>
    <w:rsid w:val="004B6522"/>
    <w:rsid w:val="004B7827"/>
    <w:rsid w:val="004C07EC"/>
    <w:rsid w:val="004C2C37"/>
    <w:rsid w:val="004C3194"/>
    <w:rsid w:val="004C4610"/>
    <w:rsid w:val="004C5214"/>
    <w:rsid w:val="004C5692"/>
    <w:rsid w:val="004D0C8C"/>
    <w:rsid w:val="004D1AC4"/>
    <w:rsid w:val="004D2487"/>
    <w:rsid w:val="004D34F9"/>
    <w:rsid w:val="004D4A21"/>
    <w:rsid w:val="004D5661"/>
    <w:rsid w:val="004D56C2"/>
    <w:rsid w:val="004D68AD"/>
    <w:rsid w:val="004D78E1"/>
    <w:rsid w:val="004E0017"/>
    <w:rsid w:val="004E0A26"/>
    <w:rsid w:val="004E1388"/>
    <w:rsid w:val="004E291B"/>
    <w:rsid w:val="004E2F1C"/>
    <w:rsid w:val="004E4059"/>
    <w:rsid w:val="004E454A"/>
    <w:rsid w:val="004E5794"/>
    <w:rsid w:val="004E5A8D"/>
    <w:rsid w:val="004E6804"/>
    <w:rsid w:val="004E764B"/>
    <w:rsid w:val="004E775E"/>
    <w:rsid w:val="004F0957"/>
    <w:rsid w:val="004F0B90"/>
    <w:rsid w:val="004F5081"/>
    <w:rsid w:val="004F5D85"/>
    <w:rsid w:val="004F5DD6"/>
    <w:rsid w:val="004F7D6F"/>
    <w:rsid w:val="00500F2F"/>
    <w:rsid w:val="00502B14"/>
    <w:rsid w:val="00502FDB"/>
    <w:rsid w:val="00503BEE"/>
    <w:rsid w:val="0050596D"/>
    <w:rsid w:val="00505A62"/>
    <w:rsid w:val="0050741F"/>
    <w:rsid w:val="00510640"/>
    <w:rsid w:val="00512170"/>
    <w:rsid w:val="00512E7B"/>
    <w:rsid w:val="00513BA9"/>
    <w:rsid w:val="005143F6"/>
    <w:rsid w:val="00515639"/>
    <w:rsid w:val="00515D47"/>
    <w:rsid w:val="0051693D"/>
    <w:rsid w:val="00516F00"/>
    <w:rsid w:val="0051723B"/>
    <w:rsid w:val="005175FF"/>
    <w:rsid w:val="00520014"/>
    <w:rsid w:val="00520265"/>
    <w:rsid w:val="00521A02"/>
    <w:rsid w:val="00521A51"/>
    <w:rsid w:val="00521E9F"/>
    <w:rsid w:val="00522967"/>
    <w:rsid w:val="00522CA9"/>
    <w:rsid w:val="00522F43"/>
    <w:rsid w:val="0052323E"/>
    <w:rsid w:val="005232C7"/>
    <w:rsid w:val="00523363"/>
    <w:rsid w:val="005238FF"/>
    <w:rsid w:val="005239BA"/>
    <w:rsid w:val="00524FE6"/>
    <w:rsid w:val="005259C8"/>
    <w:rsid w:val="00532786"/>
    <w:rsid w:val="00532963"/>
    <w:rsid w:val="00532A1D"/>
    <w:rsid w:val="00533B10"/>
    <w:rsid w:val="005341F4"/>
    <w:rsid w:val="00534F4A"/>
    <w:rsid w:val="00537889"/>
    <w:rsid w:val="00540031"/>
    <w:rsid w:val="00540092"/>
    <w:rsid w:val="005405DB"/>
    <w:rsid w:val="005425E3"/>
    <w:rsid w:val="00542F2B"/>
    <w:rsid w:val="00543E46"/>
    <w:rsid w:val="00544A9C"/>
    <w:rsid w:val="00545916"/>
    <w:rsid w:val="005459BF"/>
    <w:rsid w:val="00545B7C"/>
    <w:rsid w:val="00545CA2"/>
    <w:rsid w:val="0054677D"/>
    <w:rsid w:val="00547F38"/>
    <w:rsid w:val="00547FA1"/>
    <w:rsid w:val="00551498"/>
    <w:rsid w:val="005529AA"/>
    <w:rsid w:val="005543C5"/>
    <w:rsid w:val="00555032"/>
    <w:rsid w:val="00555045"/>
    <w:rsid w:val="00555FB8"/>
    <w:rsid w:val="00556B39"/>
    <w:rsid w:val="00557082"/>
    <w:rsid w:val="0056091F"/>
    <w:rsid w:val="005629F5"/>
    <w:rsid w:val="00563615"/>
    <w:rsid w:val="005637C8"/>
    <w:rsid w:val="00563BD0"/>
    <w:rsid w:val="00564253"/>
    <w:rsid w:val="005646C9"/>
    <w:rsid w:val="00564E64"/>
    <w:rsid w:val="00571277"/>
    <w:rsid w:val="00571957"/>
    <w:rsid w:val="00572F64"/>
    <w:rsid w:val="00573204"/>
    <w:rsid w:val="00576B6E"/>
    <w:rsid w:val="00576FE4"/>
    <w:rsid w:val="0057715C"/>
    <w:rsid w:val="00581E0E"/>
    <w:rsid w:val="005825CE"/>
    <w:rsid w:val="0058307E"/>
    <w:rsid w:val="005862E8"/>
    <w:rsid w:val="00586C70"/>
    <w:rsid w:val="00587A29"/>
    <w:rsid w:val="00587EBA"/>
    <w:rsid w:val="0059088A"/>
    <w:rsid w:val="005914D1"/>
    <w:rsid w:val="005916D8"/>
    <w:rsid w:val="00592EED"/>
    <w:rsid w:val="005937A9"/>
    <w:rsid w:val="00593856"/>
    <w:rsid w:val="00593B84"/>
    <w:rsid w:val="00594420"/>
    <w:rsid w:val="00594779"/>
    <w:rsid w:val="00594885"/>
    <w:rsid w:val="00594F29"/>
    <w:rsid w:val="005950C8"/>
    <w:rsid w:val="00595474"/>
    <w:rsid w:val="0059646D"/>
    <w:rsid w:val="005969B7"/>
    <w:rsid w:val="005A00E1"/>
    <w:rsid w:val="005A214A"/>
    <w:rsid w:val="005A2CA3"/>
    <w:rsid w:val="005A44C5"/>
    <w:rsid w:val="005A62B9"/>
    <w:rsid w:val="005A63D8"/>
    <w:rsid w:val="005B0E75"/>
    <w:rsid w:val="005B1039"/>
    <w:rsid w:val="005B2668"/>
    <w:rsid w:val="005B2D25"/>
    <w:rsid w:val="005B3EB5"/>
    <w:rsid w:val="005B48F7"/>
    <w:rsid w:val="005B508A"/>
    <w:rsid w:val="005B5C29"/>
    <w:rsid w:val="005C06C9"/>
    <w:rsid w:val="005C0D54"/>
    <w:rsid w:val="005C0E7A"/>
    <w:rsid w:val="005C1BBA"/>
    <w:rsid w:val="005C2352"/>
    <w:rsid w:val="005C28E6"/>
    <w:rsid w:val="005C34EC"/>
    <w:rsid w:val="005C43FE"/>
    <w:rsid w:val="005C5519"/>
    <w:rsid w:val="005C688A"/>
    <w:rsid w:val="005C68B9"/>
    <w:rsid w:val="005C7EFB"/>
    <w:rsid w:val="005D1350"/>
    <w:rsid w:val="005D5A48"/>
    <w:rsid w:val="005D7561"/>
    <w:rsid w:val="005E07C5"/>
    <w:rsid w:val="005E15F6"/>
    <w:rsid w:val="005E2AA9"/>
    <w:rsid w:val="005E3667"/>
    <w:rsid w:val="005E393B"/>
    <w:rsid w:val="005E741C"/>
    <w:rsid w:val="005E7B75"/>
    <w:rsid w:val="005F12FB"/>
    <w:rsid w:val="005F25ED"/>
    <w:rsid w:val="005F361F"/>
    <w:rsid w:val="005F3997"/>
    <w:rsid w:val="005F3A67"/>
    <w:rsid w:val="005F53A6"/>
    <w:rsid w:val="005F5C1D"/>
    <w:rsid w:val="005F6B0F"/>
    <w:rsid w:val="005F6B8F"/>
    <w:rsid w:val="005F7567"/>
    <w:rsid w:val="00600173"/>
    <w:rsid w:val="00604FAE"/>
    <w:rsid w:val="00605295"/>
    <w:rsid w:val="00606284"/>
    <w:rsid w:val="00606EBE"/>
    <w:rsid w:val="006078DC"/>
    <w:rsid w:val="00607D88"/>
    <w:rsid w:val="00607E26"/>
    <w:rsid w:val="006100BF"/>
    <w:rsid w:val="00610219"/>
    <w:rsid w:val="006111A6"/>
    <w:rsid w:val="0061276B"/>
    <w:rsid w:val="00612775"/>
    <w:rsid w:val="006128CD"/>
    <w:rsid w:val="00612C12"/>
    <w:rsid w:val="00613404"/>
    <w:rsid w:val="0061428A"/>
    <w:rsid w:val="00614C73"/>
    <w:rsid w:val="006152FA"/>
    <w:rsid w:val="00615DF7"/>
    <w:rsid w:val="00617630"/>
    <w:rsid w:val="00617D69"/>
    <w:rsid w:val="0062070A"/>
    <w:rsid w:val="00620BAB"/>
    <w:rsid w:val="00620C9D"/>
    <w:rsid w:val="00622E51"/>
    <w:rsid w:val="006242B3"/>
    <w:rsid w:val="00624F80"/>
    <w:rsid w:val="00624FA5"/>
    <w:rsid w:val="006254B1"/>
    <w:rsid w:val="006265B9"/>
    <w:rsid w:val="0062794E"/>
    <w:rsid w:val="006313F2"/>
    <w:rsid w:val="006321B2"/>
    <w:rsid w:val="00632E23"/>
    <w:rsid w:val="006348C7"/>
    <w:rsid w:val="00636385"/>
    <w:rsid w:val="0063796F"/>
    <w:rsid w:val="00641EC2"/>
    <w:rsid w:val="00641FF5"/>
    <w:rsid w:val="0064222E"/>
    <w:rsid w:val="00642397"/>
    <w:rsid w:val="006426B8"/>
    <w:rsid w:val="006435D1"/>
    <w:rsid w:val="0064386A"/>
    <w:rsid w:val="00643C03"/>
    <w:rsid w:val="006450B8"/>
    <w:rsid w:val="006452F7"/>
    <w:rsid w:val="00647CF2"/>
    <w:rsid w:val="00647E97"/>
    <w:rsid w:val="00652AAD"/>
    <w:rsid w:val="00652AE8"/>
    <w:rsid w:val="00654A7C"/>
    <w:rsid w:val="006556E5"/>
    <w:rsid w:val="006600A3"/>
    <w:rsid w:val="00661394"/>
    <w:rsid w:val="00661575"/>
    <w:rsid w:val="006624A0"/>
    <w:rsid w:val="006628E7"/>
    <w:rsid w:val="00663D81"/>
    <w:rsid w:val="00667249"/>
    <w:rsid w:val="0066739F"/>
    <w:rsid w:val="00672801"/>
    <w:rsid w:val="00673BEF"/>
    <w:rsid w:val="00674335"/>
    <w:rsid w:val="006748D1"/>
    <w:rsid w:val="00675451"/>
    <w:rsid w:val="00677FC1"/>
    <w:rsid w:val="006804F8"/>
    <w:rsid w:val="00680573"/>
    <w:rsid w:val="0068138D"/>
    <w:rsid w:val="006814EA"/>
    <w:rsid w:val="006816E6"/>
    <w:rsid w:val="00681B2A"/>
    <w:rsid w:val="006825E6"/>
    <w:rsid w:val="00682FFF"/>
    <w:rsid w:val="0068316E"/>
    <w:rsid w:val="006833EB"/>
    <w:rsid w:val="00683401"/>
    <w:rsid w:val="00683DCA"/>
    <w:rsid w:val="00684FF0"/>
    <w:rsid w:val="0068563C"/>
    <w:rsid w:val="00691B30"/>
    <w:rsid w:val="0069413F"/>
    <w:rsid w:val="0069566A"/>
    <w:rsid w:val="006A2377"/>
    <w:rsid w:val="006A3ADF"/>
    <w:rsid w:val="006A47CF"/>
    <w:rsid w:val="006A4BF1"/>
    <w:rsid w:val="006A604C"/>
    <w:rsid w:val="006B07AC"/>
    <w:rsid w:val="006B119F"/>
    <w:rsid w:val="006B3AED"/>
    <w:rsid w:val="006B401A"/>
    <w:rsid w:val="006B497A"/>
    <w:rsid w:val="006B5E6C"/>
    <w:rsid w:val="006B62A4"/>
    <w:rsid w:val="006B7BBC"/>
    <w:rsid w:val="006C29A2"/>
    <w:rsid w:val="006C3059"/>
    <w:rsid w:val="006C49EB"/>
    <w:rsid w:val="006C6B84"/>
    <w:rsid w:val="006C7551"/>
    <w:rsid w:val="006C7ED5"/>
    <w:rsid w:val="006D05AF"/>
    <w:rsid w:val="006D1934"/>
    <w:rsid w:val="006D3088"/>
    <w:rsid w:val="006D3590"/>
    <w:rsid w:val="006D38A0"/>
    <w:rsid w:val="006D5828"/>
    <w:rsid w:val="006D6095"/>
    <w:rsid w:val="006D68AF"/>
    <w:rsid w:val="006D6CBD"/>
    <w:rsid w:val="006D75C9"/>
    <w:rsid w:val="006D76B6"/>
    <w:rsid w:val="006E2883"/>
    <w:rsid w:val="006E4286"/>
    <w:rsid w:val="006E4B81"/>
    <w:rsid w:val="006E65EC"/>
    <w:rsid w:val="006E7CCE"/>
    <w:rsid w:val="006F0306"/>
    <w:rsid w:val="006F2299"/>
    <w:rsid w:val="006F2447"/>
    <w:rsid w:val="006F2F6F"/>
    <w:rsid w:val="006F3461"/>
    <w:rsid w:val="006F4B45"/>
    <w:rsid w:val="006F557D"/>
    <w:rsid w:val="006F5A37"/>
    <w:rsid w:val="006F5D3B"/>
    <w:rsid w:val="006F78E6"/>
    <w:rsid w:val="006F7A8C"/>
    <w:rsid w:val="00700388"/>
    <w:rsid w:val="007014E1"/>
    <w:rsid w:val="00702293"/>
    <w:rsid w:val="00703006"/>
    <w:rsid w:val="00703FF3"/>
    <w:rsid w:val="00704F60"/>
    <w:rsid w:val="00706247"/>
    <w:rsid w:val="007078EA"/>
    <w:rsid w:val="00710B49"/>
    <w:rsid w:val="00711392"/>
    <w:rsid w:val="00713EBB"/>
    <w:rsid w:val="00716FA1"/>
    <w:rsid w:val="00717054"/>
    <w:rsid w:val="00717D1E"/>
    <w:rsid w:val="00721840"/>
    <w:rsid w:val="0072288B"/>
    <w:rsid w:val="00722E9D"/>
    <w:rsid w:val="00724790"/>
    <w:rsid w:val="00724874"/>
    <w:rsid w:val="007305C4"/>
    <w:rsid w:val="00730965"/>
    <w:rsid w:val="00731279"/>
    <w:rsid w:val="007316CE"/>
    <w:rsid w:val="00732022"/>
    <w:rsid w:val="007334E1"/>
    <w:rsid w:val="0073405C"/>
    <w:rsid w:val="00735C27"/>
    <w:rsid w:val="0073725C"/>
    <w:rsid w:val="0074049B"/>
    <w:rsid w:val="007408C5"/>
    <w:rsid w:val="00742D59"/>
    <w:rsid w:val="00742FA0"/>
    <w:rsid w:val="00744796"/>
    <w:rsid w:val="00744967"/>
    <w:rsid w:val="00746335"/>
    <w:rsid w:val="0074707F"/>
    <w:rsid w:val="007472D5"/>
    <w:rsid w:val="00747D6E"/>
    <w:rsid w:val="00747F15"/>
    <w:rsid w:val="007518B8"/>
    <w:rsid w:val="00753539"/>
    <w:rsid w:val="00753E66"/>
    <w:rsid w:val="007547F4"/>
    <w:rsid w:val="00754C77"/>
    <w:rsid w:val="00754CDC"/>
    <w:rsid w:val="00755858"/>
    <w:rsid w:val="00761341"/>
    <w:rsid w:val="0076137B"/>
    <w:rsid w:val="007621EA"/>
    <w:rsid w:val="0076301F"/>
    <w:rsid w:val="007644E1"/>
    <w:rsid w:val="00765272"/>
    <w:rsid w:val="007665B4"/>
    <w:rsid w:val="00766B50"/>
    <w:rsid w:val="007709C7"/>
    <w:rsid w:val="00770D5B"/>
    <w:rsid w:val="0077282E"/>
    <w:rsid w:val="0077467C"/>
    <w:rsid w:val="0077509E"/>
    <w:rsid w:val="00775237"/>
    <w:rsid w:val="0078027A"/>
    <w:rsid w:val="00780593"/>
    <w:rsid w:val="00780782"/>
    <w:rsid w:val="00780C75"/>
    <w:rsid w:val="00780E09"/>
    <w:rsid w:val="00781010"/>
    <w:rsid w:val="00781687"/>
    <w:rsid w:val="00781EC2"/>
    <w:rsid w:val="00782AE0"/>
    <w:rsid w:val="00783DFB"/>
    <w:rsid w:val="00785F92"/>
    <w:rsid w:val="00786DAD"/>
    <w:rsid w:val="00787E3B"/>
    <w:rsid w:val="00791FF7"/>
    <w:rsid w:val="00792096"/>
    <w:rsid w:val="0079230A"/>
    <w:rsid w:val="00792609"/>
    <w:rsid w:val="00792A23"/>
    <w:rsid w:val="00793832"/>
    <w:rsid w:val="00793D75"/>
    <w:rsid w:val="00794176"/>
    <w:rsid w:val="00794664"/>
    <w:rsid w:val="007946CF"/>
    <w:rsid w:val="007A0F8E"/>
    <w:rsid w:val="007A227C"/>
    <w:rsid w:val="007A27BD"/>
    <w:rsid w:val="007A3996"/>
    <w:rsid w:val="007A44A2"/>
    <w:rsid w:val="007A4F3C"/>
    <w:rsid w:val="007A64DB"/>
    <w:rsid w:val="007A6D51"/>
    <w:rsid w:val="007A7BEE"/>
    <w:rsid w:val="007B3181"/>
    <w:rsid w:val="007B3C6C"/>
    <w:rsid w:val="007B5C7B"/>
    <w:rsid w:val="007B5F88"/>
    <w:rsid w:val="007B725B"/>
    <w:rsid w:val="007B72E1"/>
    <w:rsid w:val="007B7A51"/>
    <w:rsid w:val="007C037D"/>
    <w:rsid w:val="007C072D"/>
    <w:rsid w:val="007C1DC6"/>
    <w:rsid w:val="007C2263"/>
    <w:rsid w:val="007C266C"/>
    <w:rsid w:val="007C2BC6"/>
    <w:rsid w:val="007C2FF3"/>
    <w:rsid w:val="007C5A23"/>
    <w:rsid w:val="007D008F"/>
    <w:rsid w:val="007D0342"/>
    <w:rsid w:val="007D0D7F"/>
    <w:rsid w:val="007D4F31"/>
    <w:rsid w:val="007D524A"/>
    <w:rsid w:val="007D5322"/>
    <w:rsid w:val="007E0F4B"/>
    <w:rsid w:val="007E1277"/>
    <w:rsid w:val="007E26CA"/>
    <w:rsid w:val="007E292A"/>
    <w:rsid w:val="007E409E"/>
    <w:rsid w:val="007E52A2"/>
    <w:rsid w:val="007E5BCA"/>
    <w:rsid w:val="007E644D"/>
    <w:rsid w:val="007E6A45"/>
    <w:rsid w:val="007E7531"/>
    <w:rsid w:val="007E7750"/>
    <w:rsid w:val="007F07E3"/>
    <w:rsid w:val="007F0E32"/>
    <w:rsid w:val="007F1449"/>
    <w:rsid w:val="007F1AA3"/>
    <w:rsid w:val="007F1F3E"/>
    <w:rsid w:val="007F6355"/>
    <w:rsid w:val="007F6FB5"/>
    <w:rsid w:val="007F7D21"/>
    <w:rsid w:val="00800337"/>
    <w:rsid w:val="00800592"/>
    <w:rsid w:val="00800961"/>
    <w:rsid w:val="00801CD9"/>
    <w:rsid w:val="00802835"/>
    <w:rsid w:val="00802C2A"/>
    <w:rsid w:val="008038FB"/>
    <w:rsid w:val="00803A8B"/>
    <w:rsid w:val="008043C0"/>
    <w:rsid w:val="00806548"/>
    <w:rsid w:val="00806ADD"/>
    <w:rsid w:val="00810A83"/>
    <w:rsid w:val="0081172F"/>
    <w:rsid w:val="00812175"/>
    <w:rsid w:val="00812597"/>
    <w:rsid w:val="00815769"/>
    <w:rsid w:val="00815A24"/>
    <w:rsid w:val="00815D10"/>
    <w:rsid w:val="0081607E"/>
    <w:rsid w:val="008161A7"/>
    <w:rsid w:val="00816CBF"/>
    <w:rsid w:val="00817AD3"/>
    <w:rsid w:val="00817CAA"/>
    <w:rsid w:val="00817DEE"/>
    <w:rsid w:val="008201CA"/>
    <w:rsid w:val="008203C0"/>
    <w:rsid w:val="00820D06"/>
    <w:rsid w:val="00820F5B"/>
    <w:rsid w:val="00821A54"/>
    <w:rsid w:val="00822C8E"/>
    <w:rsid w:val="00822E2A"/>
    <w:rsid w:val="0082381C"/>
    <w:rsid w:val="00824AA3"/>
    <w:rsid w:val="00825290"/>
    <w:rsid w:val="00826A9A"/>
    <w:rsid w:val="00826DC5"/>
    <w:rsid w:val="00830359"/>
    <w:rsid w:val="008310FA"/>
    <w:rsid w:val="008318CA"/>
    <w:rsid w:val="00831D0F"/>
    <w:rsid w:val="00832458"/>
    <w:rsid w:val="00832879"/>
    <w:rsid w:val="00832FF1"/>
    <w:rsid w:val="00833668"/>
    <w:rsid w:val="00834D35"/>
    <w:rsid w:val="00835788"/>
    <w:rsid w:val="0083587F"/>
    <w:rsid w:val="00836BE7"/>
    <w:rsid w:val="00840993"/>
    <w:rsid w:val="00841D55"/>
    <w:rsid w:val="00843B21"/>
    <w:rsid w:val="00844B6C"/>
    <w:rsid w:val="008454F5"/>
    <w:rsid w:val="0084553A"/>
    <w:rsid w:val="00846597"/>
    <w:rsid w:val="00850FAD"/>
    <w:rsid w:val="0085117E"/>
    <w:rsid w:val="00851460"/>
    <w:rsid w:val="00852E44"/>
    <w:rsid w:val="00854571"/>
    <w:rsid w:val="00854B0B"/>
    <w:rsid w:val="00854B74"/>
    <w:rsid w:val="00854DD6"/>
    <w:rsid w:val="008570F8"/>
    <w:rsid w:val="00860235"/>
    <w:rsid w:val="00860F7C"/>
    <w:rsid w:val="008631F5"/>
    <w:rsid w:val="008645CA"/>
    <w:rsid w:val="00865943"/>
    <w:rsid w:val="00865A0E"/>
    <w:rsid w:val="008713E7"/>
    <w:rsid w:val="00872CC7"/>
    <w:rsid w:val="008734A4"/>
    <w:rsid w:val="00874E80"/>
    <w:rsid w:val="0087775D"/>
    <w:rsid w:val="008836CF"/>
    <w:rsid w:val="00884F7B"/>
    <w:rsid w:val="0088507B"/>
    <w:rsid w:val="0088548B"/>
    <w:rsid w:val="0088799E"/>
    <w:rsid w:val="00890CE7"/>
    <w:rsid w:val="00890F35"/>
    <w:rsid w:val="0089316B"/>
    <w:rsid w:val="008937C9"/>
    <w:rsid w:val="0089619C"/>
    <w:rsid w:val="00896456"/>
    <w:rsid w:val="00897754"/>
    <w:rsid w:val="008978EB"/>
    <w:rsid w:val="008A1F24"/>
    <w:rsid w:val="008A1FB9"/>
    <w:rsid w:val="008A242A"/>
    <w:rsid w:val="008A318C"/>
    <w:rsid w:val="008A36FF"/>
    <w:rsid w:val="008A3DA2"/>
    <w:rsid w:val="008A5514"/>
    <w:rsid w:val="008A58C7"/>
    <w:rsid w:val="008A6536"/>
    <w:rsid w:val="008A7351"/>
    <w:rsid w:val="008B019E"/>
    <w:rsid w:val="008B0909"/>
    <w:rsid w:val="008B0BB9"/>
    <w:rsid w:val="008B220A"/>
    <w:rsid w:val="008B2545"/>
    <w:rsid w:val="008B2641"/>
    <w:rsid w:val="008B3509"/>
    <w:rsid w:val="008B5518"/>
    <w:rsid w:val="008C17B9"/>
    <w:rsid w:val="008C2812"/>
    <w:rsid w:val="008C2818"/>
    <w:rsid w:val="008C3683"/>
    <w:rsid w:val="008C3987"/>
    <w:rsid w:val="008C505B"/>
    <w:rsid w:val="008C51C7"/>
    <w:rsid w:val="008C5AA6"/>
    <w:rsid w:val="008C5BAC"/>
    <w:rsid w:val="008C6619"/>
    <w:rsid w:val="008D0905"/>
    <w:rsid w:val="008D1200"/>
    <w:rsid w:val="008D204D"/>
    <w:rsid w:val="008D2F74"/>
    <w:rsid w:val="008D5A72"/>
    <w:rsid w:val="008D5EA3"/>
    <w:rsid w:val="008D6103"/>
    <w:rsid w:val="008D78A7"/>
    <w:rsid w:val="008D7A17"/>
    <w:rsid w:val="008E171E"/>
    <w:rsid w:val="008E2CFE"/>
    <w:rsid w:val="008E3DB8"/>
    <w:rsid w:val="008E5AFF"/>
    <w:rsid w:val="008E6BAA"/>
    <w:rsid w:val="008E7E43"/>
    <w:rsid w:val="008F0019"/>
    <w:rsid w:val="008F11B1"/>
    <w:rsid w:val="008F13F0"/>
    <w:rsid w:val="008F20B6"/>
    <w:rsid w:val="008F3058"/>
    <w:rsid w:val="008F7E16"/>
    <w:rsid w:val="00900068"/>
    <w:rsid w:val="0090039A"/>
    <w:rsid w:val="0090484E"/>
    <w:rsid w:val="009055AC"/>
    <w:rsid w:val="009065A0"/>
    <w:rsid w:val="0090685B"/>
    <w:rsid w:val="00907045"/>
    <w:rsid w:val="0091049F"/>
    <w:rsid w:val="00910CDB"/>
    <w:rsid w:val="00910E9D"/>
    <w:rsid w:val="009116AC"/>
    <w:rsid w:val="00911A36"/>
    <w:rsid w:val="00912776"/>
    <w:rsid w:val="009144B7"/>
    <w:rsid w:val="00914835"/>
    <w:rsid w:val="00914B2A"/>
    <w:rsid w:val="0091526C"/>
    <w:rsid w:val="009208C8"/>
    <w:rsid w:val="00920C7C"/>
    <w:rsid w:val="00920FE7"/>
    <w:rsid w:val="00921670"/>
    <w:rsid w:val="00921D5D"/>
    <w:rsid w:val="009229FE"/>
    <w:rsid w:val="00923549"/>
    <w:rsid w:val="00925691"/>
    <w:rsid w:val="00925BD4"/>
    <w:rsid w:val="0092656F"/>
    <w:rsid w:val="00926824"/>
    <w:rsid w:val="00927D8D"/>
    <w:rsid w:val="00927EA1"/>
    <w:rsid w:val="00930010"/>
    <w:rsid w:val="009314AC"/>
    <w:rsid w:val="00933270"/>
    <w:rsid w:val="009334CA"/>
    <w:rsid w:val="009337B4"/>
    <w:rsid w:val="00934181"/>
    <w:rsid w:val="00934316"/>
    <w:rsid w:val="00934AFB"/>
    <w:rsid w:val="00936B8F"/>
    <w:rsid w:val="00936C9F"/>
    <w:rsid w:val="00937EE7"/>
    <w:rsid w:val="00940A99"/>
    <w:rsid w:val="00940B34"/>
    <w:rsid w:val="00941244"/>
    <w:rsid w:val="009413DB"/>
    <w:rsid w:val="00941626"/>
    <w:rsid w:val="00944889"/>
    <w:rsid w:val="00944A5F"/>
    <w:rsid w:val="0094504D"/>
    <w:rsid w:val="009466D0"/>
    <w:rsid w:val="009469D2"/>
    <w:rsid w:val="00946E48"/>
    <w:rsid w:val="009500C4"/>
    <w:rsid w:val="0095037D"/>
    <w:rsid w:val="00951244"/>
    <w:rsid w:val="009528F5"/>
    <w:rsid w:val="00952994"/>
    <w:rsid w:val="00952CA1"/>
    <w:rsid w:val="00952DA4"/>
    <w:rsid w:val="00953781"/>
    <w:rsid w:val="0095599C"/>
    <w:rsid w:val="00955BBA"/>
    <w:rsid w:val="0095608C"/>
    <w:rsid w:val="009562DC"/>
    <w:rsid w:val="00956880"/>
    <w:rsid w:val="00956E38"/>
    <w:rsid w:val="00957DF4"/>
    <w:rsid w:val="00960442"/>
    <w:rsid w:val="009629FF"/>
    <w:rsid w:val="00962D09"/>
    <w:rsid w:val="009639F7"/>
    <w:rsid w:val="00963B62"/>
    <w:rsid w:val="00964262"/>
    <w:rsid w:val="009657BA"/>
    <w:rsid w:val="00965E43"/>
    <w:rsid w:val="00966B3A"/>
    <w:rsid w:val="00967396"/>
    <w:rsid w:val="00970DC2"/>
    <w:rsid w:val="00970DCF"/>
    <w:rsid w:val="0097115E"/>
    <w:rsid w:val="009713F4"/>
    <w:rsid w:val="0097313A"/>
    <w:rsid w:val="0097471D"/>
    <w:rsid w:val="00974ED5"/>
    <w:rsid w:val="00975204"/>
    <w:rsid w:val="009752A0"/>
    <w:rsid w:val="0097624A"/>
    <w:rsid w:val="0098100C"/>
    <w:rsid w:val="0098338F"/>
    <w:rsid w:val="00986868"/>
    <w:rsid w:val="00987D96"/>
    <w:rsid w:val="00994B00"/>
    <w:rsid w:val="0099669C"/>
    <w:rsid w:val="00996ED5"/>
    <w:rsid w:val="00997C39"/>
    <w:rsid w:val="009A023A"/>
    <w:rsid w:val="009A165B"/>
    <w:rsid w:val="009A21DD"/>
    <w:rsid w:val="009A4C28"/>
    <w:rsid w:val="009A6125"/>
    <w:rsid w:val="009A6214"/>
    <w:rsid w:val="009A6426"/>
    <w:rsid w:val="009A6971"/>
    <w:rsid w:val="009A7505"/>
    <w:rsid w:val="009B0030"/>
    <w:rsid w:val="009B00D0"/>
    <w:rsid w:val="009B061C"/>
    <w:rsid w:val="009B0A4D"/>
    <w:rsid w:val="009B1427"/>
    <w:rsid w:val="009B1A6A"/>
    <w:rsid w:val="009B2BC8"/>
    <w:rsid w:val="009B4345"/>
    <w:rsid w:val="009B4FED"/>
    <w:rsid w:val="009B5075"/>
    <w:rsid w:val="009B63FC"/>
    <w:rsid w:val="009C0E94"/>
    <w:rsid w:val="009C25ED"/>
    <w:rsid w:val="009C2697"/>
    <w:rsid w:val="009C47DB"/>
    <w:rsid w:val="009C4908"/>
    <w:rsid w:val="009C621C"/>
    <w:rsid w:val="009C6594"/>
    <w:rsid w:val="009C6F67"/>
    <w:rsid w:val="009C7BA3"/>
    <w:rsid w:val="009C7D91"/>
    <w:rsid w:val="009D2380"/>
    <w:rsid w:val="009D26C6"/>
    <w:rsid w:val="009D2C1F"/>
    <w:rsid w:val="009D3709"/>
    <w:rsid w:val="009D3827"/>
    <w:rsid w:val="009D3B19"/>
    <w:rsid w:val="009D442A"/>
    <w:rsid w:val="009D4734"/>
    <w:rsid w:val="009D62B7"/>
    <w:rsid w:val="009E0859"/>
    <w:rsid w:val="009E1659"/>
    <w:rsid w:val="009E2AD5"/>
    <w:rsid w:val="009E3172"/>
    <w:rsid w:val="009E3210"/>
    <w:rsid w:val="009E4D70"/>
    <w:rsid w:val="009E4EFE"/>
    <w:rsid w:val="009E636B"/>
    <w:rsid w:val="009F2544"/>
    <w:rsid w:val="009F3530"/>
    <w:rsid w:val="009F3ADA"/>
    <w:rsid w:val="009F426F"/>
    <w:rsid w:val="009F46DA"/>
    <w:rsid w:val="009F5C60"/>
    <w:rsid w:val="009F66FF"/>
    <w:rsid w:val="009F74C1"/>
    <w:rsid w:val="00A00062"/>
    <w:rsid w:val="00A011B4"/>
    <w:rsid w:val="00A02089"/>
    <w:rsid w:val="00A02773"/>
    <w:rsid w:val="00A033BC"/>
    <w:rsid w:val="00A03F0A"/>
    <w:rsid w:val="00A0542E"/>
    <w:rsid w:val="00A059D5"/>
    <w:rsid w:val="00A05A46"/>
    <w:rsid w:val="00A06C5F"/>
    <w:rsid w:val="00A07467"/>
    <w:rsid w:val="00A07538"/>
    <w:rsid w:val="00A076CE"/>
    <w:rsid w:val="00A11ED5"/>
    <w:rsid w:val="00A129E2"/>
    <w:rsid w:val="00A12DAA"/>
    <w:rsid w:val="00A13DF5"/>
    <w:rsid w:val="00A16254"/>
    <w:rsid w:val="00A1625F"/>
    <w:rsid w:val="00A1627B"/>
    <w:rsid w:val="00A169B6"/>
    <w:rsid w:val="00A22D97"/>
    <w:rsid w:val="00A24839"/>
    <w:rsid w:val="00A25568"/>
    <w:rsid w:val="00A303C5"/>
    <w:rsid w:val="00A31905"/>
    <w:rsid w:val="00A32D40"/>
    <w:rsid w:val="00A33EDA"/>
    <w:rsid w:val="00A34EE2"/>
    <w:rsid w:val="00A3599B"/>
    <w:rsid w:val="00A36150"/>
    <w:rsid w:val="00A36311"/>
    <w:rsid w:val="00A36A54"/>
    <w:rsid w:val="00A37946"/>
    <w:rsid w:val="00A37D27"/>
    <w:rsid w:val="00A37E9E"/>
    <w:rsid w:val="00A40A20"/>
    <w:rsid w:val="00A40BB0"/>
    <w:rsid w:val="00A4169F"/>
    <w:rsid w:val="00A416B1"/>
    <w:rsid w:val="00A416DE"/>
    <w:rsid w:val="00A42BD6"/>
    <w:rsid w:val="00A44B73"/>
    <w:rsid w:val="00A45D74"/>
    <w:rsid w:val="00A46611"/>
    <w:rsid w:val="00A54793"/>
    <w:rsid w:val="00A55785"/>
    <w:rsid w:val="00A602C1"/>
    <w:rsid w:val="00A6076B"/>
    <w:rsid w:val="00A60A85"/>
    <w:rsid w:val="00A60E81"/>
    <w:rsid w:val="00A619D8"/>
    <w:rsid w:val="00A61EF9"/>
    <w:rsid w:val="00A62F3E"/>
    <w:rsid w:val="00A63EA0"/>
    <w:rsid w:val="00A64264"/>
    <w:rsid w:val="00A64672"/>
    <w:rsid w:val="00A64AEC"/>
    <w:rsid w:val="00A6596A"/>
    <w:rsid w:val="00A65F58"/>
    <w:rsid w:val="00A70295"/>
    <w:rsid w:val="00A716EC"/>
    <w:rsid w:val="00A71C75"/>
    <w:rsid w:val="00A73F48"/>
    <w:rsid w:val="00A75455"/>
    <w:rsid w:val="00A75A2C"/>
    <w:rsid w:val="00A77E5F"/>
    <w:rsid w:val="00A77F51"/>
    <w:rsid w:val="00A82150"/>
    <w:rsid w:val="00A831F1"/>
    <w:rsid w:val="00A83D00"/>
    <w:rsid w:val="00A83E60"/>
    <w:rsid w:val="00A862A7"/>
    <w:rsid w:val="00A902D5"/>
    <w:rsid w:val="00A90DB1"/>
    <w:rsid w:val="00A91C34"/>
    <w:rsid w:val="00A9200A"/>
    <w:rsid w:val="00A92EA8"/>
    <w:rsid w:val="00A95434"/>
    <w:rsid w:val="00AA2502"/>
    <w:rsid w:val="00AA2E2D"/>
    <w:rsid w:val="00AA4455"/>
    <w:rsid w:val="00AA627D"/>
    <w:rsid w:val="00AA6AF9"/>
    <w:rsid w:val="00AA6BF9"/>
    <w:rsid w:val="00AB19D8"/>
    <w:rsid w:val="00AB1DDF"/>
    <w:rsid w:val="00AB2839"/>
    <w:rsid w:val="00AB302F"/>
    <w:rsid w:val="00AB58B8"/>
    <w:rsid w:val="00AC0A09"/>
    <w:rsid w:val="00AC3290"/>
    <w:rsid w:val="00AC33DE"/>
    <w:rsid w:val="00AC4F84"/>
    <w:rsid w:val="00AC5FCF"/>
    <w:rsid w:val="00AD023C"/>
    <w:rsid w:val="00AD12EB"/>
    <w:rsid w:val="00AD144E"/>
    <w:rsid w:val="00AD5206"/>
    <w:rsid w:val="00AD527D"/>
    <w:rsid w:val="00AD5B2D"/>
    <w:rsid w:val="00AD6112"/>
    <w:rsid w:val="00AD7A4A"/>
    <w:rsid w:val="00AE24C3"/>
    <w:rsid w:val="00AE5383"/>
    <w:rsid w:val="00AE6172"/>
    <w:rsid w:val="00AF066A"/>
    <w:rsid w:val="00AF21A5"/>
    <w:rsid w:val="00AF2237"/>
    <w:rsid w:val="00AF2B27"/>
    <w:rsid w:val="00AF466A"/>
    <w:rsid w:val="00AF4B8B"/>
    <w:rsid w:val="00B0047C"/>
    <w:rsid w:val="00B008F5"/>
    <w:rsid w:val="00B00B5A"/>
    <w:rsid w:val="00B02625"/>
    <w:rsid w:val="00B02DB3"/>
    <w:rsid w:val="00B03E35"/>
    <w:rsid w:val="00B055A7"/>
    <w:rsid w:val="00B0586A"/>
    <w:rsid w:val="00B05C45"/>
    <w:rsid w:val="00B10970"/>
    <w:rsid w:val="00B15DC2"/>
    <w:rsid w:val="00B16E03"/>
    <w:rsid w:val="00B17924"/>
    <w:rsid w:val="00B17E35"/>
    <w:rsid w:val="00B223CB"/>
    <w:rsid w:val="00B22532"/>
    <w:rsid w:val="00B22B23"/>
    <w:rsid w:val="00B23412"/>
    <w:rsid w:val="00B23D2F"/>
    <w:rsid w:val="00B23F61"/>
    <w:rsid w:val="00B2413F"/>
    <w:rsid w:val="00B256BF"/>
    <w:rsid w:val="00B25B98"/>
    <w:rsid w:val="00B260F0"/>
    <w:rsid w:val="00B26C05"/>
    <w:rsid w:val="00B2700F"/>
    <w:rsid w:val="00B2730F"/>
    <w:rsid w:val="00B27391"/>
    <w:rsid w:val="00B321D9"/>
    <w:rsid w:val="00B32280"/>
    <w:rsid w:val="00B33A26"/>
    <w:rsid w:val="00B33F61"/>
    <w:rsid w:val="00B34BC8"/>
    <w:rsid w:val="00B34D4D"/>
    <w:rsid w:val="00B354F2"/>
    <w:rsid w:val="00B3761D"/>
    <w:rsid w:val="00B379AF"/>
    <w:rsid w:val="00B42F43"/>
    <w:rsid w:val="00B43857"/>
    <w:rsid w:val="00B4407B"/>
    <w:rsid w:val="00B44CF4"/>
    <w:rsid w:val="00B44D12"/>
    <w:rsid w:val="00B45203"/>
    <w:rsid w:val="00B457EE"/>
    <w:rsid w:val="00B45CE8"/>
    <w:rsid w:val="00B45D4F"/>
    <w:rsid w:val="00B45DD0"/>
    <w:rsid w:val="00B47077"/>
    <w:rsid w:val="00B47E45"/>
    <w:rsid w:val="00B47ED3"/>
    <w:rsid w:val="00B504BD"/>
    <w:rsid w:val="00B5071E"/>
    <w:rsid w:val="00B50798"/>
    <w:rsid w:val="00B511BF"/>
    <w:rsid w:val="00B52BCC"/>
    <w:rsid w:val="00B53739"/>
    <w:rsid w:val="00B54E99"/>
    <w:rsid w:val="00B55C7B"/>
    <w:rsid w:val="00B6003E"/>
    <w:rsid w:val="00B63337"/>
    <w:rsid w:val="00B63660"/>
    <w:rsid w:val="00B64636"/>
    <w:rsid w:val="00B66706"/>
    <w:rsid w:val="00B66864"/>
    <w:rsid w:val="00B67416"/>
    <w:rsid w:val="00B67867"/>
    <w:rsid w:val="00B705DC"/>
    <w:rsid w:val="00B7065E"/>
    <w:rsid w:val="00B70F73"/>
    <w:rsid w:val="00B70FE5"/>
    <w:rsid w:val="00B71AA1"/>
    <w:rsid w:val="00B729E8"/>
    <w:rsid w:val="00B72D82"/>
    <w:rsid w:val="00B72F45"/>
    <w:rsid w:val="00B7441E"/>
    <w:rsid w:val="00B74552"/>
    <w:rsid w:val="00B75A4A"/>
    <w:rsid w:val="00B76779"/>
    <w:rsid w:val="00B769DA"/>
    <w:rsid w:val="00B76FB0"/>
    <w:rsid w:val="00B77616"/>
    <w:rsid w:val="00B81498"/>
    <w:rsid w:val="00B81662"/>
    <w:rsid w:val="00B82F65"/>
    <w:rsid w:val="00B83D28"/>
    <w:rsid w:val="00B8519E"/>
    <w:rsid w:val="00B870D0"/>
    <w:rsid w:val="00B8780F"/>
    <w:rsid w:val="00B87F81"/>
    <w:rsid w:val="00B9077F"/>
    <w:rsid w:val="00B911F6"/>
    <w:rsid w:val="00B92E99"/>
    <w:rsid w:val="00B9363F"/>
    <w:rsid w:val="00B93BA2"/>
    <w:rsid w:val="00B9610D"/>
    <w:rsid w:val="00B96C1A"/>
    <w:rsid w:val="00BA1FA3"/>
    <w:rsid w:val="00BA40BC"/>
    <w:rsid w:val="00BA5726"/>
    <w:rsid w:val="00BA791F"/>
    <w:rsid w:val="00BB079B"/>
    <w:rsid w:val="00BB3F2C"/>
    <w:rsid w:val="00BB4182"/>
    <w:rsid w:val="00BB430A"/>
    <w:rsid w:val="00BB5382"/>
    <w:rsid w:val="00BB590E"/>
    <w:rsid w:val="00BB72ED"/>
    <w:rsid w:val="00BB7DAC"/>
    <w:rsid w:val="00BB7EF2"/>
    <w:rsid w:val="00BC0FA6"/>
    <w:rsid w:val="00BC12DB"/>
    <w:rsid w:val="00BC24E3"/>
    <w:rsid w:val="00BC319C"/>
    <w:rsid w:val="00BC31A2"/>
    <w:rsid w:val="00BC350F"/>
    <w:rsid w:val="00BC4365"/>
    <w:rsid w:val="00BC56A7"/>
    <w:rsid w:val="00BC5BF2"/>
    <w:rsid w:val="00BC6426"/>
    <w:rsid w:val="00BC669E"/>
    <w:rsid w:val="00BC70F0"/>
    <w:rsid w:val="00BD0078"/>
    <w:rsid w:val="00BD102C"/>
    <w:rsid w:val="00BD1B7D"/>
    <w:rsid w:val="00BD3B25"/>
    <w:rsid w:val="00BD4A5F"/>
    <w:rsid w:val="00BD5033"/>
    <w:rsid w:val="00BD5958"/>
    <w:rsid w:val="00BD6812"/>
    <w:rsid w:val="00BE0367"/>
    <w:rsid w:val="00BE037A"/>
    <w:rsid w:val="00BE05D6"/>
    <w:rsid w:val="00BE072B"/>
    <w:rsid w:val="00BE1860"/>
    <w:rsid w:val="00BE420C"/>
    <w:rsid w:val="00BE57F2"/>
    <w:rsid w:val="00BE62A1"/>
    <w:rsid w:val="00BE6927"/>
    <w:rsid w:val="00BE69F9"/>
    <w:rsid w:val="00BE7AD3"/>
    <w:rsid w:val="00BF158A"/>
    <w:rsid w:val="00BF24BE"/>
    <w:rsid w:val="00BF24DC"/>
    <w:rsid w:val="00BF2BA7"/>
    <w:rsid w:val="00BF5346"/>
    <w:rsid w:val="00BF543A"/>
    <w:rsid w:val="00BF5EE2"/>
    <w:rsid w:val="00BF7A1D"/>
    <w:rsid w:val="00C009B8"/>
    <w:rsid w:val="00C01521"/>
    <w:rsid w:val="00C0483F"/>
    <w:rsid w:val="00C0796C"/>
    <w:rsid w:val="00C07E6D"/>
    <w:rsid w:val="00C102CC"/>
    <w:rsid w:val="00C104DF"/>
    <w:rsid w:val="00C10944"/>
    <w:rsid w:val="00C10D84"/>
    <w:rsid w:val="00C144AB"/>
    <w:rsid w:val="00C15499"/>
    <w:rsid w:val="00C156B6"/>
    <w:rsid w:val="00C16646"/>
    <w:rsid w:val="00C16BA1"/>
    <w:rsid w:val="00C17EB7"/>
    <w:rsid w:val="00C2089D"/>
    <w:rsid w:val="00C21871"/>
    <w:rsid w:val="00C22299"/>
    <w:rsid w:val="00C22B0F"/>
    <w:rsid w:val="00C23897"/>
    <w:rsid w:val="00C23DDA"/>
    <w:rsid w:val="00C2514E"/>
    <w:rsid w:val="00C253CB"/>
    <w:rsid w:val="00C25B46"/>
    <w:rsid w:val="00C26304"/>
    <w:rsid w:val="00C27498"/>
    <w:rsid w:val="00C27809"/>
    <w:rsid w:val="00C30F68"/>
    <w:rsid w:val="00C31942"/>
    <w:rsid w:val="00C32D79"/>
    <w:rsid w:val="00C3406C"/>
    <w:rsid w:val="00C34FFD"/>
    <w:rsid w:val="00C369DA"/>
    <w:rsid w:val="00C40BDD"/>
    <w:rsid w:val="00C40FF9"/>
    <w:rsid w:val="00C41843"/>
    <w:rsid w:val="00C41973"/>
    <w:rsid w:val="00C422DC"/>
    <w:rsid w:val="00C43FD7"/>
    <w:rsid w:val="00C441C5"/>
    <w:rsid w:val="00C444D7"/>
    <w:rsid w:val="00C45B92"/>
    <w:rsid w:val="00C46626"/>
    <w:rsid w:val="00C46EF9"/>
    <w:rsid w:val="00C50BC1"/>
    <w:rsid w:val="00C50F08"/>
    <w:rsid w:val="00C531B5"/>
    <w:rsid w:val="00C53B24"/>
    <w:rsid w:val="00C54E32"/>
    <w:rsid w:val="00C56EB4"/>
    <w:rsid w:val="00C575B7"/>
    <w:rsid w:val="00C611EA"/>
    <w:rsid w:val="00C613AB"/>
    <w:rsid w:val="00C62C3C"/>
    <w:rsid w:val="00C62F94"/>
    <w:rsid w:val="00C6339B"/>
    <w:rsid w:val="00C63BB4"/>
    <w:rsid w:val="00C64408"/>
    <w:rsid w:val="00C649CF"/>
    <w:rsid w:val="00C71788"/>
    <w:rsid w:val="00C7282F"/>
    <w:rsid w:val="00C74308"/>
    <w:rsid w:val="00C74ED3"/>
    <w:rsid w:val="00C753E3"/>
    <w:rsid w:val="00C756A7"/>
    <w:rsid w:val="00C77E8C"/>
    <w:rsid w:val="00C80280"/>
    <w:rsid w:val="00C81589"/>
    <w:rsid w:val="00C81FD5"/>
    <w:rsid w:val="00C83342"/>
    <w:rsid w:val="00C83B38"/>
    <w:rsid w:val="00C86107"/>
    <w:rsid w:val="00C86579"/>
    <w:rsid w:val="00C86663"/>
    <w:rsid w:val="00C86759"/>
    <w:rsid w:val="00C86859"/>
    <w:rsid w:val="00C86F0B"/>
    <w:rsid w:val="00C876D5"/>
    <w:rsid w:val="00C8798A"/>
    <w:rsid w:val="00C91292"/>
    <w:rsid w:val="00C915D7"/>
    <w:rsid w:val="00C923F2"/>
    <w:rsid w:val="00C93A3E"/>
    <w:rsid w:val="00C93AFC"/>
    <w:rsid w:val="00C9409B"/>
    <w:rsid w:val="00C94446"/>
    <w:rsid w:val="00C95250"/>
    <w:rsid w:val="00C9568E"/>
    <w:rsid w:val="00C9606D"/>
    <w:rsid w:val="00CA0450"/>
    <w:rsid w:val="00CA05B6"/>
    <w:rsid w:val="00CA0617"/>
    <w:rsid w:val="00CA0B9F"/>
    <w:rsid w:val="00CA1D25"/>
    <w:rsid w:val="00CA2394"/>
    <w:rsid w:val="00CA25EF"/>
    <w:rsid w:val="00CA3857"/>
    <w:rsid w:val="00CA4606"/>
    <w:rsid w:val="00CA75DC"/>
    <w:rsid w:val="00CA7E9C"/>
    <w:rsid w:val="00CB3B13"/>
    <w:rsid w:val="00CB4481"/>
    <w:rsid w:val="00CB7A10"/>
    <w:rsid w:val="00CB7BB0"/>
    <w:rsid w:val="00CC0ED8"/>
    <w:rsid w:val="00CC1B17"/>
    <w:rsid w:val="00CC2C68"/>
    <w:rsid w:val="00CC3910"/>
    <w:rsid w:val="00CC42D6"/>
    <w:rsid w:val="00CC5586"/>
    <w:rsid w:val="00CC5C40"/>
    <w:rsid w:val="00CC604E"/>
    <w:rsid w:val="00CC7596"/>
    <w:rsid w:val="00CD0AF3"/>
    <w:rsid w:val="00CD4EA6"/>
    <w:rsid w:val="00CD7E60"/>
    <w:rsid w:val="00CE07E9"/>
    <w:rsid w:val="00CE0B9C"/>
    <w:rsid w:val="00CE0BB9"/>
    <w:rsid w:val="00CE14E4"/>
    <w:rsid w:val="00CE1529"/>
    <w:rsid w:val="00CE37E6"/>
    <w:rsid w:val="00CE414D"/>
    <w:rsid w:val="00CE445D"/>
    <w:rsid w:val="00CE4BC3"/>
    <w:rsid w:val="00CE655F"/>
    <w:rsid w:val="00CE670A"/>
    <w:rsid w:val="00CE7073"/>
    <w:rsid w:val="00CF0183"/>
    <w:rsid w:val="00CF020B"/>
    <w:rsid w:val="00CF11A1"/>
    <w:rsid w:val="00CF1260"/>
    <w:rsid w:val="00CF1507"/>
    <w:rsid w:val="00CF212E"/>
    <w:rsid w:val="00CF287B"/>
    <w:rsid w:val="00CF2D50"/>
    <w:rsid w:val="00CF4CA4"/>
    <w:rsid w:val="00CF4E63"/>
    <w:rsid w:val="00CF6CA3"/>
    <w:rsid w:val="00CF6E44"/>
    <w:rsid w:val="00CF77A9"/>
    <w:rsid w:val="00D0040D"/>
    <w:rsid w:val="00D00CAF"/>
    <w:rsid w:val="00D0128E"/>
    <w:rsid w:val="00D02754"/>
    <w:rsid w:val="00D06F3D"/>
    <w:rsid w:val="00D0782A"/>
    <w:rsid w:val="00D1165D"/>
    <w:rsid w:val="00D11B6A"/>
    <w:rsid w:val="00D11F48"/>
    <w:rsid w:val="00D1213E"/>
    <w:rsid w:val="00D1268F"/>
    <w:rsid w:val="00D1283B"/>
    <w:rsid w:val="00D14CDD"/>
    <w:rsid w:val="00D15B37"/>
    <w:rsid w:val="00D176FC"/>
    <w:rsid w:val="00D17A42"/>
    <w:rsid w:val="00D2039E"/>
    <w:rsid w:val="00D20472"/>
    <w:rsid w:val="00D21BF0"/>
    <w:rsid w:val="00D2357C"/>
    <w:rsid w:val="00D2442C"/>
    <w:rsid w:val="00D2452D"/>
    <w:rsid w:val="00D252DE"/>
    <w:rsid w:val="00D27AEF"/>
    <w:rsid w:val="00D30B8F"/>
    <w:rsid w:val="00D3146A"/>
    <w:rsid w:val="00D320D9"/>
    <w:rsid w:val="00D3210B"/>
    <w:rsid w:val="00D3304A"/>
    <w:rsid w:val="00D33243"/>
    <w:rsid w:val="00D33B30"/>
    <w:rsid w:val="00D33CD6"/>
    <w:rsid w:val="00D351C2"/>
    <w:rsid w:val="00D35BBC"/>
    <w:rsid w:val="00D37050"/>
    <w:rsid w:val="00D377F8"/>
    <w:rsid w:val="00D40AC8"/>
    <w:rsid w:val="00D412BB"/>
    <w:rsid w:val="00D413E8"/>
    <w:rsid w:val="00D41B37"/>
    <w:rsid w:val="00D44121"/>
    <w:rsid w:val="00D44327"/>
    <w:rsid w:val="00D44773"/>
    <w:rsid w:val="00D4484F"/>
    <w:rsid w:val="00D46FBF"/>
    <w:rsid w:val="00D5065D"/>
    <w:rsid w:val="00D5079E"/>
    <w:rsid w:val="00D52186"/>
    <w:rsid w:val="00D52275"/>
    <w:rsid w:val="00D522F3"/>
    <w:rsid w:val="00D52E21"/>
    <w:rsid w:val="00D52E27"/>
    <w:rsid w:val="00D53AE2"/>
    <w:rsid w:val="00D55C8C"/>
    <w:rsid w:val="00D6148F"/>
    <w:rsid w:val="00D62669"/>
    <w:rsid w:val="00D62D02"/>
    <w:rsid w:val="00D64CA4"/>
    <w:rsid w:val="00D65B88"/>
    <w:rsid w:val="00D65E07"/>
    <w:rsid w:val="00D67423"/>
    <w:rsid w:val="00D7028E"/>
    <w:rsid w:val="00D7177F"/>
    <w:rsid w:val="00D71C17"/>
    <w:rsid w:val="00D725FA"/>
    <w:rsid w:val="00D72948"/>
    <w:rsid w:val="00D75CD8"/>
    <w:rsid w:val="00D76BB1"/>
    <w:rsid w:val="00D76C4C"/>
    <w:rsid w:val="00D7750F"/>
    <w:rsid w:val="00D77949"/>
    <w:rsid w:val="00D8146F"/>
    <w:rsid w:val="00D8211B"/>
    <w:rsid w:val="00D831FD"/>
    <w:rsid w:val="00D83213"/>
    <w:rsid w:val="00D8589B"/>
    <w:rsid w:val="00D858E4"/>
    <w:rsid w:val="00D85C4E"/>
    <w:rsid w:val="00D85E00"/>
    <w:rsid w:val="00D85F6B"/>
    <w:rsid w:val="00D86BBC"/>
    <w:rsid w:val="00D86C4F"/>
    <w:rsid w:val="00D87160"/>
    <w:rsid w:val="00D87E89"/>
    <w:rsid w:val="00D90551"/>
    <w:rsid w:val="00D90E0F"/>
    <w:rsid w:val="00D916C6"/>
    <w:rsid w:val="00D94138"/>
    <w:rsid w:val="00D959DD"/>
    <w:rsid w:val="00D960D0"/>
    <w:rsid w:val="00D96C3C"/>
    <w:rsid w:val="00D97101"/>
    <w:rsid w:val="00DA198F"/>
    <w:rsid w:val="00DA19F3"/>
    <w:rsid w:val="00DA2B20"/>
    <w:rsid w:val="00DA2E4E"/>
    <w:rsid w:val="00DA3BF3"/>
    <w:rsid w:val="00DA476B"/>
    <w:rsid w:val="00DA6750"/>
    <w:rsid w:val="00DA6ED5"/>
    <w:rsid w:val="00DA76E3"/>
    <w:rsid w:val="00DB2B43"/>
    <w:rsid w:val="00DB337A"/>
    <w:rsid w:val="00DB3455"/>
    <w:rsid w:val="00DB4ADB"/>
    <w:rsid w:val="00DB5E24"/>
    <w:rsid w:val="00DB6D23"/>
    <w:rsid w:val="00DC0A0B"/>
    <w:rsid w:val="00DC13EF"/>
    <w:rsid w:val="00DC13FB"/>
    <w:rsid w:val="00DC2202"/>
    <w:rsid w:val="00DC2641"/>
    <w:rsid w:val="00DC2917"/>
    <w:rsid w:val="00DC47DC"/>
    <w:rsid w:val="00DC4C51"/>
    <w:rsid w:val="00DC4F29"/>
    <w:rsid w:val="00DC66B9"/>
    <w:rsid w:val="00DC6C01"/>
    <w:rsid w:val="00DC71E2"/>
    <w:rsid w:val="00DC71FD"/>
    <w:rsid w:val="00DC7367"/>
    <w:rsid w:val="00DD0206"/>
    <w:rsid w:val="00DD053B"/>
    <w:rsid w:val="00DD0B88"/>
    <w:rsid w:val="00DD1577"/>
    <w:rsid w:val="00DD2031"/>
    <w:rsid w:val="00DD277A"/>
    <w:rsid w:val="00DD2D2B"/>
    <w:rsid w:val="00DD2F53"/>
    <w:rsid w:val="00DD5315"/>
    <w:rsid w:val="00DD65BC"/>
    <w:rsid w:val="00DD747D"/>
    <w:rsid w:val="00DE00C3"/>
    <w:rsid w:val="00DE0477"/>
    <w:rsid w:val="00DE0A80"/>
    <w:rsid w:val="00DE178B"/>
    <w:rsid w:val="00DE5235"/>
    <w:rsid w:val="00DE53E5"/>
    <w:rsid w:val="00DE6947"/>
    <w:rsid w:val="00DE7705"/>
    <w:rsid w:val="00DF26BE"/>
    <w:rsid w:val="00DF38C1"/>
    <w:rsid w:val="00DF5125"/>
    <w:rsid w:val="00DF52C1"/>
    <w:rsid w:val="00DF5990"/>
    <w:rsid w:val="00DF7326"/>
    <w:rsid w:val="00DF73EE"/>
    <w:rsid w:val="00E0008A"/>
    <w:rsid w:val="00E00500"/>
    <w:rsid w:val="00E015F6"/>
    <w:rsid w:val="00E016A5"/>
    <w:rsid w:val="00E01E83"/>
    <w:rsid w:val="00E0476E"/>
    <w:rsid w:val="00E048A9"/>
    <w:rsid w:val="00E04DBA"/>
    <w:rsid w:val="00E05312"/>
    <w:rsid w:val="00E0594A"/>
    <w:rsid w:val="00E05F0A"/>
    <w:rsid w:val="00E0798A"/>
    <w:rsid w:val="00E07E99"/>
    <w:rsid w:val="00E11165"/>
    <w:rsid w:val="00E11599"/>
    <w:rsid w:val="00E11F70"/>
    <w:rsid w:val="00E1305A"/>
    <w:rsid w:val="00E13DE5"/>
    <w:rsid w:val="00E1445B"/>
    <w:rsid w:val="00E1610E"/>
    <w:rsid w:val="00E171FC"/>
    <w:rsid w:val="00E21ABD"/>
    <w:rsid w:val="00E21F7F"/>
    <w:rsid w:val="00E2496D"/>
    <w:rsid w:val="00E26D67"/>
    <w:rsid w:val="00E27B8B"/>
    <w:rsid w:val="00E3122B"/>
    <w:rsid w:val="00E31A80"/>
    <w:rsid w:val="00E342F8"/>
    <w:rsid w:val="00E34542"/>
    <w:rsid w:val="00E36336"/>
    <w:rsid w:val="00E369A3"/>
    <w:rsid w:val="00E37727"/>
    <w:rsid w:val="00E42CF9"/>
    <w:rsid w:val="00E43F57"/>
    <w:rsid w:val="00E44162"/>
    <w:rsid w:val="00E449FD"/>
    <w:rsid w:val="00E45A32"/>
    <w:rsid w:val="00E4618B"/>
    <w:rsid w:val="00E46422"/>
    <w:rsid w:val="00E467F0"/>
    <w:rsid w:val="00E47004"/>
    <w:rsid w:val="00E472AC"/>
    <w:rsid w:val="00E47645"/>
    <w:rsid w:val="00E501F1"/>
    <w:rsid w:val="00E504AD"/>
    <w:rsid w:val="00E50979"/>
    <w:rsid w:val="00E511C1"/>
    <w:rsid w:val="00E51442"/>
    <w:rsid w:val="00E5207C"/>
    <w:rsid w:val="00E56290"/>
    <w:rsid w:val="00E567F6"/>
    <w:rsid w:val="00E576F8"/>
    <w:rsid w:val="00E57FCC"/>
    <w:rsid w:val="00E60949"/>
    <w:rsid w:val="00E61668"/>
    <w:rsid w:val="00E61A59"/>
    <w:rsid w:val="00E62034"/>
    <w:rsid w:val="00E6228C"/>
    <w:rsid w:val="00E62E98"/>
    <w:rsid w:val="00E6394C"/>
    <w:rsid w:val="00E63C3A"/>
    <w:rsid w:val="00E63D3E"/>
    <w:rsid w:val="00E64356"/>
    <w:rsid w:val="00E650D6"/>
    <w:rsid w:val="00E65E1A"/>
    <w:rsid w:val="00E66425"/>
    <w:rsid w:val="00E675B7"/>
    <w:rsid w:val="00E72649"/>
    <w:rsid w:val="00E73BEA"/>
    <w:rsid w:val="00E76076"/>
    <w:rsid w:val="00E77CEE"/>
    <w:rsid w:val="00E81080"/>
    <w:rsid w:val="00E810BB"/>
    <w:rsid w:val="00E828CC"/>
    <w:rsid w:val="00E833BB"/>
    <w:rsid w:val="00E83A69"/>
    <w:rsid w:val="00E83D75"/>
    <w:rsid w:val="00E848A4"/>
    <w:rsid w:val="00E90CAE"/>
    <w:rsid w:val="00E91382"/>
    <w:rsid w:val="00E91ABB"/>
    <w:rsid w:val="00E91AC6"/>
    <w:rsid w:val="00E91DDC"/>
    <w:rsid w:val="00E92C9E"/>
    <w:rsid w:val="00E9364C"/>
    <w:rsid w:val="00E94A96"/>
    <w:rsid w:val="00E970DE"/>
    <w:rsid w:val="00E9716A"/>
    <w:rsid w:val="00E97400"/>
    <w:rsid w:val="00EA0F2D"/>
    <w:rsid w:val="00EA22CA"/>
    <w:rsid w:val="00EA24BD"/>
    <w:rsid w:val="00EA2914"/>
    <w:rsid w:val="00EA4A4A"/>
    <w:rsid w:val="00EA6D0C"/>
    <w:rsid w:val="00EA6DB3"/>
    <w:rsid w:val="00EB004E"/>
    <w:rsid w:val="00EB2D48"/>
    <w:rsid w:val="00EB2F85"/>
    <w:rsid w:val="00EB3E0C"/>
    <w:rsid w:val="00EB3FBB"/>
    <w:rsid w:val="00EC008B"/>
    <w:rsid w:val="00EC2253"/>
    <w:rsid w:val="00EC319A"/>
    <w:rsid w:val="00EC417F"/>
    <w:rsid w:val="00EC4E84"/>
    <w:rsid w:val="00EC4E85"/>
    <w:rsid w:val="00EC5730"/>
    <w:rsid w:val="00EC574E"/>
    <w:rsid w:val="00ED19D6"/>
    <w:rsid w:val="00ED2876"/>
    <w:rsid w:val="00ED3B4C"/>
    <w:rsid w:val="00ED3ECC"/>
    <w:rsid w:val="00ED464C"/>
    <w:rsid w:val="00ED4DE5"/>
    <w:rsid w:val="00ED7C3F"/>
    <w:rsid w:val="00EE17BA"/>
    <w:rsid w:val="00EE683F"/>
    <w:rsid w:val="00EE6B87"/>
    <w:rsid w:val="00EE6C38"/>
    <w:rsid w:val="00EE6CBD"/>
    <w:rsid w:val="00EE718C"/>
    <w:rsid w:val="00EF096B"/>
    <w:rsid w:val="00EF2E74"/>
    <w:rsid w:val="00EF2FB5"/>
    <w:rsid w:val="00EF53D5"/>
    <w:rsid w:val="00EF5D2D"/>
    <w:rsid w:val="00EF6881"/>
    <w:rsid w:val="00EF720D"/>
    <w:rsid w:val="00EF7BEE"/>
    <w:rsid w:val="00F00A5F"/>
    <w:rsid w:val="00F00D3D"/>
    <w:rsid w:val="00F02278"/>
    <w:rsid w:val="00F023AC"/>
    <w:rsid w:val="00F031CD"/>
    <w:rsid w:val="00F03639"/>
    <w:rsid w:val="00F03BCD"/>
    <w:rsid w:val="00F03C74"/>
    <w:rsid w:val="00F04C5E"/>
    <w:rsid w:val="00F0579F"/>
    <w:rsid w:val="00F065E6"/>
    <w:rsid w:val="00F07931"/>
    <w:rsid w:val="00F07DCC"/>
    <w:rsid w:val="00F10441"/>
    <w:rsid w:val="00F105DC"/>
    <w:rsid w:val="00F10CE1"/>
    <w:rsid w:val="00F11407"/>
    <w:rsid w:val="00F123C3"/>
    <w:rsid w:val="00F134A3"/>
    <w:rsid w:val="00F13DA9"/>
    <w:rsid w:val="00F13F77"/>
    <w:rsid w:val="00F1618A"/>
    <w:rsid w:val="00F16FAB"/>
    <w:rsid w:val="00F1751A"/>
    <w:rsid w:val="00F2111A"/>
    <w:rsid w:val="00F21A5F"/>
    <w:rsid w:val="00F22009"/>
    <w:rsid w:val="00F23A62"/>
    <w:rsid w:val="00F23B8C"/>
    <w:rsid w:val="00F2442A"/>
    <w:rsid w:val="00F25BFF"/>
    <w:rsid w:val="00F273A2"/>
    <w:rsid w:val="00F27D7A"/>
    <w:rsid w:val="00F27EEE"/>
    <w:rsid w:val="00F31167"/>
    <w:rsid w:val="00F3137C"/>
    <w:rsid w:val="00F315E4"/>
    <w:rsid w:val="00F31E42"/>
    <w:rsid w:val="00F32CFB"/>
    <w:rsid w:val="00F333C8"/>
    <w:rsid w:val="00F339DB"/>
    <w:rsid w:val="00F33B6E"/>
    <w:rsid w:val="00F33D0B"/>
    <w:rsid w:val="00F36B2C"/>
    <w:rsid w:val="00F4032A"/>
    <w:rsid w:val="00F4174A"/>
    <w:rsid w:val="00F43FAD"/>
    <w:rsid w:val="00F453DF"/>
    <w:rsid w:val="00F459DA"/>
    <w:rsid w:val="00F45F6B"/>
    <w:rsid w:val="00F4628E"/>
    <w:rsid w:val="00F47863"/>
    <w:rsid w:val="00F516D4"/>
    <w:rsid w:val="00F52A3C"/>
    <w:rsid w:val="00F52BA5"/>
    <w:rsid w:val="00F52DFD"/>
    <w:rsid w:val="00F5482E"/>
    <w:rsid w:val="00F558B0"/>
    <w:rsid w:val="00F55DB3"/>
    <w:rsid w:val="00F56244"/>
    <w:rsid w:val="00F56396"/>
    <w:rsid w:val="00F6049B"/>
    <w:rsid w:val="00F612E4"/>
    <w:rsid w:val="00F619BD"/>
    <w:rsid w:val="00F61F65"/>
    <w:rsid w:val="00F61F96"/>
    <w:rsid w:val="00F628EA"/>
    <w:rsid w:val="00F62D62"/>
    <w:rsid w:val="00F65BA8"/>
    <w:rsid w:val="00F66A3A"/>
    <w:rsid w:val="00F66BFE"/>
    <w:rsid w:val="00F67913"/>
    <w:rsid w:val="00F72547"/>
    <w:rsid w:val="00F74619"/>
    <w:rsid w:val="00F750E5"/>
    <w:rsid w:val="00F75446"/>
    <w:rsid w:val="00F758C5"/>
    <w:rsid w:val="00F75FEB"/>
    <w:rsid w:val="00F76D19"/>
    <w:rsid w:val="00F7724A"/>
    <w:rsid w:val="00F77AE6"/>
    <w:rsid w:val="00F77B9A"/>
    <w:rsid w:val="00F803A4"/>
    <w:rsid w:val="00F80735"/>
    <w:rsid w:val="00F81367"/>
    <w:rsid w:val="00F82773"/>
    <w:rsid w:val="00F84B03"/>
    <w:rsid w:val="00F84C8A"/>
    <w:rsid w:val="00F8556B"/>
    <w:rsid w:val="00F858B7"/>
    <w:rsid w:val="00F85C4F"/>
    <w:rsid w:val="00F916A8"/>
    <w:rsid w:val="00F91733"/>
    <w:rsid w:val="00F91B29"/>
    <w:rsid w:val="00F920D4"/>
    <w:rsid w:val="00F92696"/>
    <w:rsid w:val="00F928C3"/>
    <w:rsid w:val="00F929F0"/>
    <w:rsid w:val="00F93530"/>
    <w:rsid w:val="00F9366C"/>
    <w:rsid w:val="00F957A5"/>
    <w:rsid w:val="00F97447"/>
    <w:rsid w:val="00F97A29"/>
    <w:rsid w:val="00F97E7D"/>
    <w:rsid w:val="00FA2519"/>
    <w:rsid w:val="00FA2AF0"/>
    <w:rsid w:val="00FA4244"/>
    <w:rsid w:val="00FA6364"/>
    <w:rsid w:val="00FA65D5"/>
    <w:rsid w:val="00FA6726"/>
    <w:rsid w:val="00FB165A"/>
    <w:rsid w:val="00FB1BF4"/>
    <w:rsid w:val="00FB1F94"/>
    <w:rsid w:val="00FB21B5"/>
    <w:rsid w:val="00FB26D3"/>
    <w:rsid w:val="00FB2AD1"/>
    <w:rsid w:val="00FB321D"/>
    <w:rsid w:val="00FB3873"/>
    <w:rsid w:val="00FB401A"/>
    <w:rsid w:val="00FB5E8A"/>
    <w:rsid w:val="00FB6315"/>
    <w:rsid w:val="00FB76E5"/>
    <w:rsid w:val="00FC05BD"/>
    <w:rsid w:val="00FC06F6"/>
    <w:rsid w:val="00FC1E4E"/>
    <w:rsid w:val="00FC2104"/>
    <w:rsid w:val="00FC2B56"/>
    <w:rsid w:val="00FC2D26"/>
    <w:rsid w:val="00FC3D92"/>
    <w:rsid w:val="00FC5AE2"/>
    <w:rsid w:val="00FC6948"/>
    <w:rsid w:val="00FC7E7E"/>
    <w:rsid w:val="00FD0049"/>
    <w:rsid w:val="00FD0371"/>
    <w:rsid w:val="00FD1082"/>
    <w:rsid w:val="00FD25E0"/>
    <w:rsid w:val="00FD28A3"/>
    <w:rsid w:val="00FD3DE6"/>
    <w:rsid w:val="00FD5AD3"/>
    <w:rsid w:val="00FD5EA4"/>
    <w:rsid w:val="00FE0701"/>
    <w:rsid w:val="00FE0D90"/>
    <w:rsid w:val="00FE0F43"/>
    <w:rsid w:val="00FE134C"/>
    <w:rsid w:val="00FE2C04"/>
    <w:rsid w:val="00FE4079"/>
    <w:rsid w:val="00FE41CB"/>
    <w:rsid w:val="00FE5686"/>
    <w:rsid w:val="00FF0695"/>
    <w:rsid w:val="00FF1816"/>
    <w:rsid w:val="00FF1909"/>
    <w:rsid w:val="00FF2007"/>
    <w:rsid w:val="00FF23EB"/>
    <w:rsid w:val="00FF2DDA"/>
    <w:rsid w:val="00FF2F39"/>
    <w:rsid w:val="00FF376F"/>
    <w:rsid w:val="00FF3A5F"/>
    <w:rsid w:val="00FF5F53"/>
    <w:rsid w:val="00FF6C8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1">
    <w:name w:val="heading 1"/>
    <w:basedOn w:val="Normal"/>
    <w:next w:val="Normal"/>
    <w:link w:val="Heading1Char"/>
    <w:uiPriority w:val="9"/>
    <w:qFormat/>
    <w:rsid w:val="00F36B2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610219"/>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22CA"/>
    <w:pPr>
      <w:spacing w:before="100" w:beforeAutospacing="1" w:after="100" w:afterAutospacing="1"/>
    </w:pPr>
    <w:rPr>
      <w:lang w:val="en-US" w:eastAsia="en-US"/>
    </w:rPr>
  </w:style>
  <w:style w:type="paragraph" w:styleId="Revision">
    <w:name w:val="Revision"/>
    <w:hidden/>
    <w:uiPriority w:val="99"/>
    <w:semiHidden/>
    <w:rsid w:val="009D2C1F"/>
    <w:pPr>
      <w:spacing w:after="0" w:line="240" w:lineRule="auto"/>
    </w:pPr>
    <w:rPr>
      <w:rFonts w:eastAsia="Times New Roman" w:cs="Times New Roman"/>
      <w:szCs w:val="24"/>
      <w:lang w:eastAsia="ru-RU"/>
    </w:rPr>
  </w:style>
  <w:style w:type="paragraph" w:styleId="ListParagraph">
    <w:name w:val="List Paragraph"/>
    <w:aliases w:val="2,Strip,H&amp;P List Paragraph,Saraksta rindkopa,Saraksta rindkopa1"/>
    <w:basedOn w:val="Normal"/>
    <w:link w:val="ListParagraphChar"/>
    <w:uiPriority w:val="34"/>
    <w:qFormat/>
    <w:rsid w:val="00C50BC1"/>
    <w:pPr>
      <w:ind w:left="720"/>
      <w:contextualSpacing/>
    </w:pPr>
    <w:rPr>
      <w:lang w:eastAsia="lv-LV"/>
    </w:rPr>
  </w:style>
  <w:style w:type="paragraph" w:customStyle="1" w:styleId="tv213">
    <w:name w:val="tv213"/>
    <w:basedOn w:val="Normal"/>
    <w:rsid w:val="009B4FED"/>
    <w:pPr>
      <w:spacing w:before="100" w:beforeAutospacing="1" w:after="100" w:afterAutospacing="1"/>
    </w:pPr>
    <w:rPr>
      <w:lang w:eastAsia="lv-LV"/>
    </w:rPr>
  </w:style>
  <w:style w:type="character" w:styleId="Hyperlink">
    <w:name w:val="Hyperlink"/>
    <w:basedOn w:val="DefaultParagraphFont"/>
    <w:uiPriority w:val="99"/>
    <w:unhideWhenUsed/>
    <w:rsid w:val="00CD0AF3"/>
    <w:rPr>
      <w:color w:val="0000FF"/>
      <w:u w:val="single"/>
    </w:rPr>
  </w:style>
  <w:style w:type="paragraph" w:styleId="FootnoteText">
    <w:name w:val="footnote text"/>
    <w:basedOn w:val="Normal"/>
    <w:link w:val="FootnoteTextChar"/>
    <w:uiPriority w:val="99"/>
    <w:semiHidden/>
    <w:unhideWhenUsed/>
    <w:rsid w:val="00F628EA"/>
    <w:pPr>
      <w:spacing w:after="200" w:line="276" w:lineRule="auto"/>
    </w:pPr>
    <w:rPr>
      <w:rFonts w:ascii="Calibri" w:eastAsia="Calibri" w:hAnsi="Calibri"/>
      <w:sz w:val="20"/>
      <w:szCs w:val="20"/>
      <w:lang w:val="x-none" w:eastAsia="en-US"/>
    </w:rPr>
  </w:style>
  <w:style w:type="character" w:customStyle="1" w:styleId="FootnoteTextChar">
    <w:name w:val="Footnote Text Char"/>
    <w:basedOn w:val="DefaultParagraphFont"/>
    <w:link w:val="FootnoteText"/>
    <w:uiPriority w:val="99"/>
    <w:semiHidden/>
    <w:rsid w:val="00F628EA"/>
    <w:rPr>
      <w:rFonts w:ascii="Calibri" w:eastAsia="Calibri" w:hAnsi="Calibri" w:cs="Times New Roman"/>
      <w:sz w:val="20"/>
      <w:szCs w:val="20"/>
      <w:lang w:val="x-none"/>
    </w:rPr>
  </w:style>
  <w:style w:type="character" w:styleId="FootnoteReference">
    <w:name w:val="footnote reference"/>
    <w:uiPriority w:val="99"/>
    <w:semiHidden/>
    <w:unhideWhenUsed/>
    <w:rsid w:val="00F628EA"/>
    <w:rPr>
      <w:vertAlign w:val="superscript"/>
    </w:rPr>
  </w:style>
  <w:style w:type="table" w:customStyle="1" w:styleId="TableGrid1">
    <w:name w:val="Table Grid1"/>
    <w:basedOn w:val="TableNormal"/>
    <w:next w:val="TableGrid"/>
    <w:uiPriority w:val="39"/>
    <w:rsid w:val="00E810BB"/>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art">
    <w:name w:val="sti-art"/>
    <w:basedOn w:val="Normal"/>
    <w:rsid w:val="001B3F36"/>
    <w:pPr>
      <w:spacing w:before="100" w:beforeAutospacing="1" w:after="100" w:afterAutospacing="1"/>
    </w:pPr>
    <w:rPr>
      <w:lang w:eastAsia="lv-LV"/>
    </w:rPr>
  </w:style>
  <w:style w:type="paragraph" w:customStyle="1" w:styleId="Parasts1">
    <w:name w:val="Parasts1"/>
    <w:basedOn w:val="Normal"/>
    <w:rsid w:val="001B3F36"/>
    <w:pPr>
      <w:spacing w:before="100" w:beforeAutospacing="1" w:after="100" w:afterAutospacing="1"/>
    </w:pPr>
    <w:rPr>
      <w:lang w:eastAsia="lv-LV"/>
    </w:rPr>
  </w:style>
  <w:style w:type="character" w:customStyle="1" w:styleId="UnresolvedMention1">
    <w:name w:val="Unresolved Mention1"/>
    <w:basedOn w:val="DefaultParagraphFont"/>
    <w:uiPriority w:val="99"/>
    <w:semiHidden/>
    <w:unhideWhenUsed/>
    <w:rsid w:val="00944889"/>
    <w:rPr>
      <w:color w:val="605E5C"/>
      <w:shd w:val="clear" w:color="auto" w:fill="E1DFDD"/>
    </w:rPr>
  </w:style>
  <w:style w:type="character" w:styleId="FollowedHyperlink">
    <w:name w:val="FollowedHyperlink"/>
    <w:basedOn w:val="DefaultParagraphFont"/>
    <w:uiPriority w:val="99"/>
    <w:semiHidden/>
    <w:unhideWhenUsed/>
    <w:rsid w:val="00B0047C"/>
    <w:rPr>
      <w:color w:val="954F72" w:themeColor="followedHyperlink"/>
      <w:u w:val="single"/>
    </w:rPr>
  </w:style>
  <w:style w:type="paragraph" w:customStyle="1" w:styleId="moze-center">
    <w:name w:val="moze-center"/>
    <w:basedOn w:val="Normal"/>
    <w:rsid w:val="005D1350"/>
    <w:pPr>
      <w:spacing w:before="100" w:beforeAutospacing="1" w:after="100" w:afterAutospacing="1"/>
    </w:pPr>
    <w:rPr>
      <w:lang w:val="en-US" w:eastAsia="en-US"/>
    </w:rPr>
  </w:style>
  <w:style w:type="paragraph" w:styleId="ListBullet">
    <w:name w:val="List Bullet"/>
    <w:basedOn w:val="Normal"/>
    <w:uiPriority w:val="99"/>
    <w:unhideWhenUsed/>
    <w:rsid w:val="00D412BB"/>
    <w:pPr>
      <w:numPr>
        <w:numId w:val="20"/>
      </w:numPr>
      <w:contextualSpacing/>
    </w:pPr>
  </w:style>
  <w:style w:type="character" w:styleId="UnresolvedMention">
    <w:name w:val="Unresolved Mention"/>
    <w:basedOn w:val="DefaultParagraphFont"/>
    <w:uiPriority w:val="99"/>
    <w:semiHidden/>
    <w:unhideWhenUsed/>
    <w:rsid w:val="00491ABC"/>
    <w:rPr>
      <w:color w:val="605E5C"/>
      <w:shd w:val="clear" w:color="auto" w:fill="E1DFDD"/>
    </w:rPr>
  </w:style>
  <w:style w:type="character" w:customStyle="1" w:styleId="eop">
    <w:name w:val="eop"/>
    <w:basedOn w:val="DefaultParagraphFont"/>
    <w:rsid w:val="00896456"/>
  </w:style>
  <w:style w:type="character" w:customStyle="1" w:styleId="ListParagraphChar">
    <w:name w:val="List Paragraph Char"/>
    <w:aliases w:val="2 Char,Strip Char,H&amp;P List Paragraph Char,Saraksta rindkopa Char,Saraksta rindkopa1 Char"/>
    <w:link w:val="ListParagraph"/>
    <w:uiPriority w:val="34"/>
    <w:locked/>
    <w:rsid w:val="00A64AEC"/>
    <w:rPr>
      <w:rFonts w:eastAsia="Times New Roman" w:cs="Times New Roman"/>
      <w:szCs w:val="24"/>
      <w:lang w:eastAsia="lv-LV"/>
    </w:rPr>
  </w:style>
  <w:style w:type="paragraph" w:customStyle="1" w:styleId="labojumupamats">
    <w:name w:val="labojumu_pamats"/>
    <w:basedOn w:val="Normal"/>
    <w:rsid w:val="00610219"/>
    <w:pPr>
      <w:spacing w:before="100" w:beforeAutospacing="1" w:after="100" w:afterAutospacing="1"/>
    </w:pPr>
    <w:rPr>
      <w:lang w:val="en-US" w:eastAsia="en-US"/>
    </w:rPr>
  </w:style>
  <w:style w:type="character" w:customStyle="1" w:styleId="Heading3Char">
    <w:name w:val="Heading 3 Char"/>
    <w:basedOn w:val="DefaultParagraphFont"/>
    <w:link w:val="Heading3"/>
    <w:uiPriority w:val="9"/>
    <w:rsid w:val="00610219"/>
    <w:rPr>
      <w:rFonts w:eastAsia="Times New Roman" w:cs="Times New Roman"/>
      <w:b/>
      <w:bCs/>
      <w:sz w:val="27"/>
      <w:szCs w:val="27"/>
      <w:lang w:val="en-US"/>
    </w:rPr>
  </w:style>
  <w:style w:type="character" w:customStyle="1" w:styleId="Heading1Char">
    <w:name w:val="Heading 1 Char"/>
    <w:basedOn w:val="DefaultParagraphFont"/>
    <w:link w:val="Heading1"/>
    <w:uiPriority w:val="9"/>
    <w:rsid w:val="00F36B2C"/>
    <w:rPr>
      <w:rFonts w:asciiTheme="majorHAnsi" w:eastAsiaTheme="majorEastAsia" w:hAnsiTheme="majorHAnsi" w:cstheme="majorBidi"/>
      <w:color w:val="2E74B5" w:themeColor="accent1" w:themeShade="BF"/>
      <w:sz w:val="32"/>
      <w:szCs w:val="32"/>
      <w:lang w:eastAsia="ru-RU"/>
    </w:rPr>
  </w:style>
  <w:style w:type="paragraph" w:customStyle="1" w:styleId="Default">
    <w:name w:val="Default"/>
    <w:rsid w:val="00137388"/>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2511">
      <w:bodyDiv w:val="1"/>
      <w:marLeft w:val="0"/>
      <w:marRight w:val="0"/>
      <w:marTop w:val="0"/>
      <w:marBottom w:val="0"/>
      <w:divBdr>
        <w:top w:val="none" w:sz="0" w:space="0" w:color="auto"/>
        <w:left w:val="none" w:sz="0" w:space="0" w:color="auto"/>
        <w:bottom w:val="none" w:sz="0" w:space="0" w:color="auto"/>
        <w:right w:val="none" w:sz="0" w:space="0" w:color="auto"/>
      </w:divBdr>
    </w:div>
    <w:div w:id="207569681">
      <w:bodyDiv w:val="1"/>
      <w:marLeft w:val="0"/>
      <w:marRight w:val="0"/>
      <w:marTop w:val="0"/>
      <w:marBottom w:val="0"/>
      <w:divBdr>
        <w:top w:val="none" w:sz="0" w:space="0" w:color="auto"/>
        <w:left w:val="none" w:sz="0" w:space="0" w:color="auto"/>
        <w:bottom w:val="none" w:sz="0" w:space="0" w:color="auto"/>
        <w:right w:val="none" w:sz="0" w:space="0" w:color="auto"/>
      </w:divBdr>
      <w:divsChild>
        <w:div w:id="463618623">
          <w:marLeft w:val="547"/>
          <w:marRight w:val="0"/>
          <w:marTop w:val="200"/>
          <w:marBottom w:val="0"/>
          <w:divBdr>
            <w:top w:val="none" w:sz="0" w:space="0" w:color="auto"/>
            <w:left w:val="none" w:sz="0" w:space="0" w:color="auto"/>
            <w:bottom w:val="none" w:sz="0" w:space="0" w:color="auto"/>
            <w:right w:val="none" w:sz="0" w:space="0" w:color="auto"/>
          </w:divBdr>
        </w:div>
      </w:divsChild>
    </w:div>
    <w:div w:id="225144225">
      <w:bodyDiv w:val="1"/>
      <w:marLeft w:val="0"/>
      <w:marRight w:val="0"/>
      <w:marTop w:val="0"/>
      <w:marBottom w:val="0"/>
      <w:divBdr>
        <w:top w:val="none" w:sz="0" w:space="0" w:color="auto"/>
        <w:left w:val="none" w:sz="0" w:space="0" w:color="auto"/>
        <w:bottom w:val="none" w:sz="0" w:space="0" w:color="auto"/>
        <w:right w:val="none" w:sz="0" w:space="0" w:color="auto"/>
      </w:divBdr>
      <w:divsChild>
        <w:div w:id="507140662">
          <w:marLeft w:val="0"/>
          <w:marRight w:val="0"/>
          <w:marTop w:val="0"/>
          <w:marBottom w:val="0"/>
          <w:divBdr>
            <w:top w:val="none" w:sz="0" w:space="0" w:color="auto"/>
            <w:left w:val="none" w:sz="0" w:space="0" w:color="auto"/>
            <w:bottom w:val="none" w:sz="0" w:space="0" w:color="auto"/>
            <w:right w:val="none" w:sz="0" w:space="0" w:color="auto"/>
          </w:divBdr>
        </w:div>
      </w:divsChild>
    </w:div>
    <w:div w:id="276176722">
      <w:bodyDiv w:val="1"/>
      <w:marLeft w:val="0"/>
      <w:marRight w:val="0"/>
      <w:marTop w:val="0"/>
      <w:marBottom w:val="0"/>
      <w:divBdr>
        <w:top w:val="none" w:sz="0" w:space="0" w:color="auto"/>
        <w:left w:val="none" w:sz="0" w:space="0" w:color="auto"/>
        <w:bottom w:val="none" w:sz="0" w:space="0" w:color="auto"/>
        <w:right w:val="none" w:sz="0" w:space="0" w:color="auto"/>
      </w:divBdr>
      <w:divsChild>
        <w:div w:id="614215710">
          <w:marLeft w:val="547"/>
          <w:marRight w:val="0"/>
          <w:marTop w:val="200"/>
          <w:marBottom w:val="0"/>
          <w:divBdr>
            <w:top w:val="none" w:sz="0" w:space="0" w:color="auto"/>
            <w:left w:val="none" w:sz="0" w:space="0" w:color="auto"/>
            <w:bottom w:val="none" w:sz="0" w:space="0" w:color="auto"/>
            <w:right w:val="none" w:sz="0" w:space="0" w:color="auto"/>
          </w:divBdr>
        </w:div>
      </w:divsChild>
    </w:div>
    <w:div w:id="293945346">
      <w:bodyDiv w:val="1"/>
      <w:marLeft w:val="0"/>
      <w:marRight w:val="0"/>
      <w:marTop w:val="0"/>
      <w:marBottom w:val="0"/>
      <w:divBdr>
        <w:top w:val="none" w:sz="0" w:space="0" w:color="auto"/>
        <w:left w:val="none" w:sz="0" w:space="0" w:color="auto"/>
        <w:bottom w:val="none" w:sz="0" w:space="0" w:color="auto"/>
        <w:right w:val="none" w:sz="0" w:space="0" w:color="auto"/>
      </w:divBdr>
      <w:divsChild>
        <w:div w:id="669333238">
          <w:marLeft w:val="360"/>
          <w:marRight w:val="0"/>
          <w:marTop w:val="200"/>
          <w:marBottom w:val="0"/>
          <w:divBdr>
            <w:top w:val="none" w:sz="0" w:space="0" w:color="auto"/>
            <w:left w:val="none" w:sz="0" w:space="0" w:color="auto"/>
            <w:bottom w:val="none" w:sz="0" w:space="0" w:color="auto"/>
            <w:right w:val="none" w:sz="0" w:space="0" w:color="auto"/>
          </w:divBdr>
        </w:div>
      </w:divsChild>
    </w:div>
    <w:div w:id="297685098">
      <w:bodyDiv w:val="1"/>
      <w:marLeft w:val="0"/>
      <w:marRight w:val="0"/>
      <w:marTop w:val="0"/>
      <w:marBottom w:val="0"/>
      <w:divBdr>
        <w:top w:val="none" w:sz="0" w:space="0" w:color="auto"/>
        <w:left w:val="none" w:sz="0" w:space="0" w:color="auto"/>
        <w:bottom w:val="none" w:sz="0" w:space="0" w:color="auto"/>
        <w:right w:val="none" w:sz="0" w:space="0" w:color="auto"/>
      </w:divBdr>
    </w:div>
    <w:div w:id="31884722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400324708">
      <w:bodyDiv w:val="1"/>
      <w:marLeft w:val="0"/>
      <w:marRight w:val="0"/>
      <w:marTop w:val="0"/>
      <w:marBottom w:val="0"/>
      <w:divBdr>
        <w:top w:val="none" w:sz="0" w:space="0" w:color="auto"/>
        <w:left w:val="none" w:sz="0" w:space="0" w:color="auto"/>
        <w:bottom w:val="none" w:sz="0" w:space="0" w:color="auto"/>
        <w:right w:val="none" w:sz="0" w:space="0" w:color="auto"/>
      </w:divBdr>
    </w:div>
    <w:div w:id="411514218">
      <w:bodyDiv w:val="1"/>
      <w:marLeft w:val="0"/>
      <w:marRight w:val="0"/>
      <w:marTop w:val="0"/>
      <w:marBottom w:val="0"/>
      <w:divBdr>
        <w:top w:val="none" w:sz="0" w:space="0" w:color="auto"/>
        <w:left w:val="none" w:sz="0" w:space="0" w:color="auto"/>
        <w:bottom w:val="none" w:sz="0" w:space="0" w:color="auto"/>
        <w:right w:val="none" w:sz="0" w:space="0" w:color="auto"/>
      </w:divBdr>
      <w:divsChild>
        <w:div w:id="1709986611">
          <w:marLeft w:val="0"/>
          <w:marRight w:val="0"/>
          <w:marTop w:val="480"/>
          <w:marBottom w:val="240"/>
          <w:divBdr>
            <w:top w:val="none" w:sz="0" w:space="0" w:color="auto"/>
            <w:left w:val="none" w:sz="0" w:space="0" w:color="auto"/>
            <w:bottom w:val="none" w:sz="0" w:space="0" w:color="auto"/>
            <w:right w:val="none" w:sz="0" w:space="0" w:color="auto"/>
          </w:divBdr>
        </w:div>
        <w:div w:id="1850481543">
          <w:marLeft w:val="0"/>
          <w:marRight w:val="0"/>
          <w:marTop w:val="0"/>
          <w:marBottom w:val="567"/>
          <w:divBdr>
            <w:top w:val="none" w:sz="0" w:space="0" w:color="auto"/>
            <w:left w:val="none" w:sz="0" w:space="0" w:color="auto"/>
            <w:bottom w:val="none" w:sz="0" w:space="0" w:color="auto"/>
            <w:right w:val="none" w:sz="0" w:space="0" w:color="auto"/>
          </w:divBdr>
        </w:div>
      </w:divsChild>
    </w:div>
    <w:div w:id="424497295">
      <w:bodyDiv w:val="1"/>
      <w:marLeft w:val="0"/>
      <w:marRight w:val="0"/>
      <w:marTop w:val="0"/>
      <w:marBottom w:val="0"/>
      <w:divBdr>
        <w:top w:val="none" w:sz="0" w:space="0" w:color="auto"/>
        <w:left w:val="none" w:sz="0" w:space="0" w:color="auto"/>
        <w:bottom w:val="none" w:sz="0" w:space="0" w:color="auto"/>
        <w:right w:val="none" w:sz="0" w:space="0" w:color="auto"/>
      </w:divBdr>
      <w:divsChild>
        <w:div w:id="966737882">
          <w:marLeft w:val="0"/>
          <w:marRight w:val="0"/>
          <w:marTop w:val="0"/>
          <w:marBottom w:val="0"/>
          <w:divBdr>
            <w:top w:val="none" w:sz="0" w:space="0" w:color="auto"/>
            <w:left w:val="none" w:sz="0" w:space="0" w:color="auto"/>
            <w:bottom w:val="none" w:sz="0" w:space="0" w:color="auto"/>
            <w:right w:val="none" w:sz="0" w:space="0" w:color="auto"/>
          </w:divBdr>
        </w:div>
        <w:div w:id="900016287">
          <w:marLeft w:val="0"/>
          <w:marRight w:val="0"/>
          <w:marTop w:val="0"/>
          <w:marBottom w:val="0"/>
          <w:divBdr>
            <w:top w:val="none" w:sz="0" w:space="0" w:color="auto"/>
            <w:left w:val="none" w:sz="0" w:space="0" w:color="auto"/>
            <w:bottom w:val="none" w:sz="0" w:space="0" w:color="auto"/>
            <w:right w:val="none" w:sz="0" w:space="0" w:color="auto"/>
          </w:divBdr>
        </w:div>
        <w:div w:id="2132046049">
          <w:marLeft w:val="0"/>
          <w:marRight w:val="0"/>
          <w:marTop w:val="0"/>
          <w:marBottom w:val="0"/>
          <w:divBdr>
            <w:top w:val="none" w:sz="0" w:space="0" w:color="auto"/>
            <w:left w:val="none" w:sz="0" w:space="0" w:color="auto"/>
            <w:bottom w:val="none" w:sz="0" w:space="0" w:color="auto"/>
            <w:right w:val="none" w:sz="0" w:space="0" w:color="auto"/>
          </w:divBdr>
        </w:div>
      </w:divsChild>
    </w:div>
    <w:div w:id="490096243">
      <w:bodyDiv w:val="1"/>
      <w:marLeft w:val="0"/>
      <w:marRight w:val="0"/>
      <w:marTop w:val="0"/>
      <w:marBottom w:val="0"/>
      <w:divBdr>
        <w:top w:val="none" w:sz="0" w:space="0" w:color="auto"/>
        <w:left w:val="none" w:sz="0" w:space="0" w:color="auto"/>
        <w:bottom w:val="none" w:sz="0" w:space="0" w:color="auto"/>
        <w:right w:val="none" w:sz="0" w:space="0" w:color="auto"/>
      </w:divBdr>
    </w:div>
    <w:div w:id="492453532">
      <w:bodyDiv w:val="1"/>
      <w:marLeft w:val="0"/>
      <w:marRight w:val="0"/>
      <w:marTop w:val="0"/>
      <w:marBottom w:val="0"/>
      <w:divBdr>
        <w:top w:val="none" w:sz="0" w:space="0" w:color="auto"/>
        <w:left w:val="none" w:sz="0" w:space="0" w:color="auto"/>
        <w:bottom w:val="none" w:sz="0" w:space="0" w:color="auto"/>
        <w:right w:val="none" w:sz="0" w:space="0" w:color="auto"/>
      </w:divBdr>
    </w:div>
    <w:div w:id="521555574">
      <w:bodyDiv w:val="1"/>
      <w:marLeft w:val="0"/>
      <w:marRight w:val="0"/>
      <w:marTop w:val="0"/>
      <w:marBottom w:val="0"/>
      <w:divBdr>
        <w:top w:val="none" w:sz="0" w:space="0" w:color="auto"/>
        <w:left w:val="none" w:sz="0" w:space="0" w:color="auto"/>
        <w:bottom w:val="none" w:sz="0" w:space="0" w:color="auto"/>
        <w:right w:val="none" w:sz="0" w:space="0" w:color="auto"/>
      </w:divBdr>
    </w:div>
    <w:div w:id="526984131">
      <w:bodyDiv w:val="1"/>
      <w:marLeft w:val="0"/>
      <w:marRight w:val="0"/>
      <w:marTop w:val="0"/>
      <w:marBottom w:val="0"/>
      <w:divBdr>
        <w:top w:val="none" w:sz="0" w:space="0" w:color="auto"/>
        <w:left w:val="none" w:sz="0" w:space="0" w:color="auto"/>
        <w:bottom w:val="none" w:sz="0" w:space="0" w:color="auto"/>
        <w:right w:val="none" w:sz="0" w:space="0" w:color="auto"/>
      </w:divBdr>
    </w:div>
    <w:div w:id="541863646">
      <w:bodyDiv w:val="1"/>
      <w:marLeft w:val="0"/>
      <w:marRight w:val="0"/>
      <w:marTop w:val="0"/>
      <w:marBottom w:val="0"/>
      <w:divBdr>
        <w:top w:val="none" w:sz="0" w:space="0" w:color="auto"/>
        <w:left w:val="none" w:sz="0" w:space="0" w:color="auto"/>
        <w:bottom w:val="none" w:sz="0" w:space="0" w:color="auto"/>
        <w:right w:val="none" w:sz="0" w:space="0" w:color="auto"/>
      </w:divBdr>
    </w:div>
    <w:div w:id="559219858">
      <w:bodyDiv w:val="1"/>
      <w:marLeft w:val="0"/>
      <w:marRight w:val="0"/>
      <w:marTop w:val="0"/>
      <w:marBottom w:val="0"/>
      <w:divBdr>
        <w:top w:val="none" w:sz="0" w:space="0" w:color="auto"/>
        <w:left w:val="none" w:sz="0" w:space="0" w:color="auto"/>
        <w:bottom w:val="none" w:sz="0" w:space="0" w:color="auto"/>
        <w:right w:val="none" w:sz="0" w:space="0" w:color="auto"/>
      </w:divBdr>
    </w:div>
    <w:div w:id="563033390">
      <w:bodyDiv w:val="1"/>
      <w:marLeft w:val="0"/>
      <w:marRight w:val="0"/>
      <w:marTop w:val="0"/>
      <w:marBottom w:val="0"/>
      <w:divBdr>
        <w:top w:val="none" w:sz="0" w:space="0" w:color="auto"/>
        <w:left w:val="none" w:sz="0" w:space="0" w:color="auto"/>
        <w:bottom w:val="none" w:sz="0" w:space="0" w:color="auto"/>
        <w:right w:val="none" w:sz="0" w:space="0" w:color="auto"/>
      </w:divBdr>
    </w:div>
    <w:div w:id="609356174">
      <w:bodyDiv w:val="1"/>
      <w:marLeft w:val="0"/>
      <w:marRight w:val="0"/>
      <w:marTop w:val="0"/>
      <w:marBottom w:val="0"/>
      <w:divBdr>
        <w:top w:val="none" w:sz="0" w:space="0" w:color="auto"/>
        <w:left w:val="none" w:sz="0" w:space="0" w:color="auto"/>
        <w:bottom w:val="none" w:sz="0" w:space="0" w:color="auto"/>
        <w:right w:val="none" w:sz="0" w:space="0" w:color="auto"/>
      </w:divBdr>
    </w:div>
    <w:div w:id="615218808">
      <w:bodyDiv w:val="1"/>
      <w:marLeft w:val="0"/>
      <w:marRight w:val="0"/>
      <w:marTop w:val="0"/>
      <w:marBottom w:val="0"/>
      <w:divBdr>
        <w:top w:val="none" w:sz="0" w:space="0" w:color="auto"/>
        <w:left w:val="none" w:sz="0" w:space="0" w:color="auto"/>
        <w:bottom w:val="none" w:sz="0" w:space="0" w:color="auto"/>
        <w:right w:val="none" w:sz="0" w:space="0" w:color="auto"/>
      </w:divBdr>
    </w:div>
    <w:div w:id="622270182">
      <w:bodyDiv w:val="1"/>
      <w:marLeft w:val="0"/>
      <w:marRight w:val="0"/>
      <w:marTop w:val="0"/>
      <w:marBottom w:val="0"/>
      <w:divBdr>
        <w:top w:val="none" w:sz="0" w:space="0" w:color="auto"/>
        <w:left w:val="none" w:sz="0" w:space="0" w:color="auto"/>
        <w:bottom w:val="none" w:sz="0" w:space="0" w:color="auto"/>
        <w:right w:val="none" w:sz="0" w:space="0" w:color="auto"/>
      </w:divBdr>
    </w:div>
    <w:div w:id="632250248">
      <w:bodyDiv w:val="1"/>
      <w:marLeft w:val="0"/>
      <w:marRight w:val="0"/>
      <w:marTop w:val="0"/>
      <w:marBottom w:val="0"/>
      <w:divBdr>
        <w:top w:val="none" w:sz="0" w:space="0" w:color="auto"/>
        <w:left w:val="none" w:sz="0" w:space="0" w:color="auto"/>
        <w:bottom w:val="none" w:sz="0" w:space="0" w:color="auto"/>
        <w:right w:val="none" w:sz="0" w:space="0" w:color="auto"/>
      </w:divBdr>
    </w:div>
    <w:div w:id="653531381">
      <w:bodyDiv w:val="1"/>
      <w:marLeft w:val="0"/>
      <w:marRight w:val="0"/>
      <w:marTop w:val="0"/>
      <w:marBottom w:val="0"/>
      <w:divBdr>
        <w:top w:val="none" w:sz="0" w:space="0" w:color="auto"/>
        <w:left w:val="none" w:sz="0" w:space="0" w:color="auto"/>
        <w:bottom w:val="none" w:sz="0" w:space="0" w:color="auto"/>
        <w:right w:val="none" w:sz="0" w:space="0" w:color="auto"/>
      </w:divBdr>
    </w:div>
    <w:div w:id="704403663">
      <w:bodyDiv w:val="1"/>
      <w:marLeft w:val="0"/>
      <w:marRight w:val="0"/>
      <w:marTop w:val="0"/>
      <w:marBottom w:val="0"/>
      <w:divBdr>
        <w:top w:val="none" w:sz="0" w:space="0" w:color="auto"/>
        <w:left w:val="none" w:sz="0" w:space="0" w:color="auto"/>
        <w:bottom w:val="none" w:sz="0" w:space="0" w:color="auto"/>
        <w:right w:val="none" w:sz="0" w:space="0" w:color="auto"/>
      </w:divBdr>
    </w:div>
    <w:div w:id="710572500">
      <w:bodyDiv w:val="1"/>
      <w:marLeft w:val="0"/>
      <w:marRight w:val="0"/>
      <w:marTop w:val="0"/>
      <w:marBottom w:val="0"/>
      <w:divBdr>
        <w:top w:val="none" w:sz="0" w:space="0" w:color="auto"/>
        <w:left w:val="none" w:sz="0" w:space="0" w:color="auto"/>
        <w:bottom w:val="none" w:sz="0" w:space="0" w:color="auto"/>
        <w:right w:val="none" w:sz="0" w:space="0" w:color="auto"/>
      </w:divBdr>
    </w:div>
    <w:div w:id="713429031">
      <w:bodyDiv w:val="1"/>
      <w:marLeft w:val="0"/>
      <w:marRight w:val="0"/>
      <w:marTop w:val="0"/>
      <w:marBottom w:val="0"/>
      <w:divBdr>
        <w:top w:val="none" w:sz="0" w:space="0" w:color="auto"/>
        <w:left w:val="none" w:sz="0" w:space="0" w:color="auto"/>
        <w:bottom w:val="none" w:sz="0" w:space="0" w:color="auto"/>
        <w:right w:val="none" w:sz="0" w:space="0" w:color="auto"/>
      </w:divBdr>
      <w:divsChild>
        <w:div w:id="1826624365">
          <w:marLeft w:val="360"/>
          <w:marRight w:val="0"/>
          <w:marTop w:val="200"/>
          <w:marBottom w:val="0"/>
          <w:divBdr>
            <w:top w:val="none" w:sz="0" w:space="0" w:color="auto"/>
            <w:left w:val="none" w:sz="0" w:space="0" w:color="auto"/>
            <w:bottom w:val="none" w:sz="0" w:space="0" w:color="auto"/>
            <w:right w:val="none" w:sz="0" w:space="0" w:color="auto"/>
          </w:divBdr>
        </w:div>
        <w:div w:id="932979906">
          <w:marLeft w:val="360"/>
          <w:marRight w:val="0"/>
          <w:marTop w:val="200"/>
          <w:marBottom w:val="0"/>
          <w:divBdr>
            <w:top w:val="none" w:sz="0" w:space="0" w:color="auto"/>
            <w:left w:val="none" w:sz="0" w:space="0" w:color="auto"/>
            <w:bottom w:val="none" w:sz="0" w:space="0" w:color="auto"/>
            <w:right w:val="none" w:sz="0" w:space="0" w:color="auto"/>
          </w:divBdr>
        </w:div>
      </w:divsChild>
    </w:div>
    <w:div w:id="782112552">
      <w:bodyDiv w:val="1"/>
      <w:marLeft w:val="0"/>
      <w:marRight w:val="0"/>
      <w:marTop w:val="0"/>
      <w:marBottom w:val="0"/>
      <w:divBdr>
        <w:top w:val="none" w:sz="0" w:space="0" w:color="auto"/>
        <w:left w:val="none" w:sz="0" w:space="0" w:color="auto"/>
        <w:bottom w:val="none" w:sz="0" w:space="0" w:color="auto"/>
        <w:right w:val="none" w:sz="0" w:space="0" w:color="auto"/>
      </w:divBdr>
    </w:div>
    <w:div w:id="806823742">
      <w:bodyDiv w:val="1"/>
      <w:marLeft w:val="0"/>
      <w:marRight w:val="0"/>
      <w:marTop w:val="0"/>
      <w:marBottom w:val="0"/>
      <w:divBdr>
        <w:top w:val="none" w:sz="0" w:space="0" w:color="auto"/>
        <w:left w:val="none" w:sz="0" w:space="0" w:color="auto"/>
        <w:bottom w:val="none" w:sz="0" w:space="0" w:color="auto"/>
        <w:right w:val="none" w:sz="0" w:space="0" w:color="auto"/>
      </w:divBdr>
    </w:div>
    <w:div w:id="953485308">
      <w:bodyDiv w:val="1"/>
      <w:marLeft w:val="0"/>
      <w:marRight w:val="0"/>
      <w:marTop w:val="0"/>
      <w:marBottom w:val="0"/>
      <w:divBdr>
        <w:top w:val="none" w:sz="0" w:space="0" w:color="auto"/>
        <w:left w:val="none" w:sz="0" w:space="0" w:color="auto"/>
        <w:bottom w:val="none" w:sz="0" w:space="0" w:color="auto"/>
        <w:right w:val="none" w:sz="0" w:space="0" w:color="auto"/>
      </w:divBdr>
      <w:divsChild>
        <w:div w:id="628509052">
          <w:marLeft w:val="547"/>
          <w:marRight w:val="0"/>
          <w:marTop w:val="200"/>
          <w:marBottom w:val="0"/>
          <w:divBdr>
            <w:top w:val="none" w:sz="0" w:space="0" w:color="auto"/>
            <w:left w:val="none" w:sz="0" w:space="0" w:color="auto"/>
            <w:bottom w:val="none" w:sz="0" w:space="0" w:color="auto"/>
            <w:right w:val="none" w:sz="0" w:space="0" w:color="auto"/>
          </w:divBdr>
        </w:div>
      </w:divsChild>
    </w:div>
    <w:div w:id="955797677">
      <w:bodyDiv w:val="1"/>
      <w:marLeft w:val="0"/>
      <w:marRight w:val="0"/>
      <w:marTop w:val="0"/>
      <w:marBottom w:val="0"/>
      <w:divBdr>
        <w:top w:val="none" w:sz="0" w:space="0" w:color="auto"/>
        <w:left w:val="none" w:sz="0" w:space="0" w:color="auto"/>
        <w:bottom w:val="none" w:sz="0" w:space="0" w:color="auto"/>
        <w:right w:val="none" w:sz="0" w:space="0" w:color="auto"/>
      </w:divBdr>
      <w:divsChild>
        <w:div w:id="93552367">
          <w:marLeft w:val="547"/>
          <w:marRight w:val="0"/>
          <w:marTop w:val="200"/>
          <w:marBottom w:val="0"/>
          <w:divBdr>
            <w:top w:val="none" w:sz="0" w:space="0" w:color="auto"/>
            <w:left w:val="none" w:sz="0" w:space="0" w:color="auto"/>
            <w:bottom w:val="none" w:sz="0" w:space="0" w:color="auto"/>
            <w:right w:val="none" w:sz="0" w:space="0" w:color="auto"/>
          </w:divBdr>
        </w:div>
      </w:divsChild>
    </w:div>
    <w:div w:id="958805939">
      <w:bodyDiv w:val="1"/>
      <w:marLeft w:val="0"/>
      <w:marRight w:val="0"/>
      <w:marTop w:val="0"/>
      <w:marBottom w:val="0"/>
      <w:divBdr>
        <w:top w:val="none" w:sz="0" w:space="0" w:color="auto"/>
        <w:left w:val="none" w:sz="0" w:space="0" w:color="auto"/>
        <w:bottom w:val="none" w:sz="0" w:space="0" w:color="auto"/>
        <w:right w:val="none" w:sz="0" w:space="0" w:color="auto"/>
      </w:divBdr>
    </w:div>
    <w:div w:id="973290128">
      <w:bodyDiv w:val="1"/>
      <w:marLeft w:val="0"/>
      <w:marRight w:val="0"/>
      <w:marTop w:val="0"/>
      <w:marBottom w:val="0"/>
      <w:divBdr>
        <w:top w:val="none" w:sz="0" w:space="0" w:color="auto"/>
        <w:left w:val="none" w:sz="0" w:space="0" w:color="auto"/>
        <w:bottom w:val="none" w:sz="0" w:space="0" w:color="auto"/>
        <w:right w:val="none" w:sz="0" w:space="0" w:color="auto"/>
      </w:divBdr>
    </w:div>
    <w:div w:id="976225468">
      <w:bodyDiv w:val="1"/>
      <w:marLeft w:val="0"/>
      <w:marRight w:val="0"/>
      <w:marTop w:val="0"/>
      <w:marBottom w:val="0"/>
      <w:divBdr>
        <w:top w:val="none" w:sz="0" w:space="0" w:color="auto"/>
        <w:left w:val="none" w:sz="0" w:space="0" w:color="auto"/>
        <w:bottom w:val="none" w:sz="0" w:space="0" w:color="auto"/>
        <w:right w:val="none" w:sz="0" w:space="0" w:color="auto"/>
      </w:divBdr>
    </w:div>
    <w:div w:id="980813558">
      <w:bodyDiv w:val="1"/>
      <w:marLeft w:val="0"/>
      <w:marRight w:val="0"/>
      <w:marTop w:val="0"/>
      <w:marBottom w:val="0"/>
      <w:divBdr>
        <w:top w:val="none" w:sz="0" w:space="0" w:color="auto"/>
        <w:left w:val="none" w:sz="0" w:space="0" w:color="auto"/>
        <w:bottom w:val="none" w:sz="0" w:space="0" w:color="auto"/>
        <w:right w:val="none" w:sz="0" w:space="0" w:color="auto"/>
      </w:divBdr>
    </w:div>
    <w:div w:id="991525943">
      <w:bodyDiv w:val="1"/>
      <w:marLeft w:val="0"/>
      <w:marRight w:val="0"/>
      <w:marTop w:val="0"/>
      <w:marBottom w:val="0"/>
      <w:divBdr>
        <w:top w:val="none" w:sz="0" w:space="0" w:color="auto"/>
        <w:left w:val="none" w:sz="0" w:space="0" w:color="auto"/>
        <w:bottom w:val="none" w:sz="0" w:space="0" w:color="auto"/>
        <w:right w:val="none" w:sz="0" w:space="0" w:color="auto"/>
      </w:divBdr>
      <w:divsChild>
        <w:div w:id="2111927773">
          <w:marLeft w:val="547"/>
          <w:marRight w:val="0"/>
          <w:marTop w:val="200"/>
          <w:marBottom w:val="0"/>
          <w:divBdr>
            <w:top w:val="none" w:sz="0" w:space="0" w:color="auto"/>
            <w:left w:val="none" w:sz="0" w:space="0" w:color="auto"/>
            <w:bottom w:val="none" w:sz="0" w:space="0" w:color="auto"/>
            <w:right w:val="none" w:sz="0" w:space="0" w:color="auto"/>
          </w:divBdr>
        </w:div>
      </w:divsChild>
    </w:div>
    <w:div w:id="1036077383">
      <w:bodyDiv w:val="1"/>
      <w:marLeft w:val="0"/>
      <w:marRight w:val="0"/>
      <w:marTop w:val="0"/>
      <w:marBottom w:val="0"/>
      <w:divBdr>
        <w:top w:val="none" w:sz="0" w:space="0" w:color="auto"/>
        <w:left w:val="none" w:sz="0" w:space="0" w:color="auto"/>
        <w:bottom w:val="none" w:sz="0" w:space="0" w:color="auto"/>
        <w:right w:val="none" w:sz="0" w:space="0" w:color="auto"/>
      </w:divBdr>
    </w:div>
    <w:div w:id="1066612130">
      <w:bodyDiv w:val="1"/>
      <w:marLeft w:val="0"/>
      <w:marRight w:val="0"/>
      <w:marTop w:val="0"/>
      <w:marBottom w:val="0"/>
      <w:divBdr>
        <w:top w:val="none" w:sz="0" w:space="0" w:color="auto"/>
        <w:left w:val="none" w:sz="0" w:space="0" w:color="auto"/>
        <w:bottom w:val="none" w:sz="0" w:space="0" w:color="auto"/>
        <w:right w:val="none" w:sz="0" w:space="0" w:color="auto"/>
      </w:divBdr>
    </w:div>
    <w:div w:id="1072773536">
      <w:bodyDiv w:val="1"/>
      <w:marLeft w:val="0"/>
      <w:marRight w:val="0"/>
      <w:marTop w:val="0"/>
      <w:marBottom w:val="0"/>
      <w:divBdr>
        <w:top w:val="none" w:sz="0" w:space="0" w:color="auto"/>
        <w:left w:val="none" w:sz="0" w:space="0" w:color="auto"/>
        <w:bottom w:val="none" w:sz="0" w:space="0" w:color="auto"/>
        <w:right w:val="none" w:sz="0" w:space="0" w:color="auto"/>
      </w:divBdr>
    </w:div>
    <w:div w:id="1091900189">
      <w:bodyDiv w:val="1"/>
      <w:marLeft w:val="0"/>
      <w:marRight w:val="0"/>
      <w:marTop w:val="0"/>
      <w:marBottom w:val="0"/>
      <w:divBdr>
        <w:top w:val="none" w:sz="0" w:space="0" w:color="auto"/>
        <w:left w:val="none" w:sz="0" w:space="0" w:color="auto"/>
        <w:bottom w:val="none" w:sz="0" w:space="0" w:color="auto"/>
        <w:right w:val="none" w:sz="0" w:space="0" w:color="auto"/>
      </w:divBdr>
    </w:div>
    <w:div w:id="1147356170">
      <w:bodyDiv w:val="1"/>
      <w:marLeft w:val="0"/>
      <w:marRight w:val="0"/>
      <w:marTop w:val="0"/>
      <w:marBottom w:val="0"/>
      <w:divBdr>
        <w:top w:val="none" w:sz="0" w:space="0" w:color="auto"/>
        <w:left w:val="none" w:sz="0" w:space="0" w:color="auto"/>
        <w:bottom w:val="none" w:sz="0" w:space="0" w:color="auto"/>
        <w:right w:val="none" w:sz="0" w:space="0" w:color="auto"/>
      </w:divBdr>
      <w:divsChild>
        <w:div w:id="1820921435">
          <w:marLeft w:val="547"/>
          <w:marRight w:val="0"/>
          <w:marTop w:val="200"/>
          <w:marBottom w:val="0"/>
          <w:divBdr>
            <w:top w:val="none" w:sz="0" w:space="0" w:color="auto"/>
            <w:left w:val="none" w:sz="0" w:space="0" w:color="auto"/>
            <w:bottom w:val="none" w:sz="0" w:space="0" w:color="auto"/>
            <w:right w:val="none" w:sz="0" w:space="0" w:color="auto"/>
          </w:divBdr>
        </w:div>
      </w:divsChild>
    </w:div>
    <w:div w:id="1188178897">
      <w:bodyDiv w:val="1"/>
      <w:marLeft w:val="0"/>
      <w:marRight w:val="0"/>
      <w:marTop w:val="0"/>
      <w:marBottom w:val="0"/>
      <w:divBdr>
        <w:top w:val="none" w:sz="0" w:space="0" w:color="auto"/>
        <w:left w:val="none" w:sz="0" w:space="0" w:color="auto"/>
        <w:bottom w:val="none" w:sz="0" w:space="0" w:color="auto"/>
        <w:right w:val="none" w:sz="0" w:space="0" w:color="auto"/>
      </w:divBdr>
      <w:divsChild>
        <w:div w:id="870219593">
          <w:marLeft w:val="360"/>
          <w:marRight w:val="0"/>
          <w:marTop w:val="200"/>
          <w:marBottom w:val="0"/>
          <w:divBdr>
            <w:top w:val="none" w:sz="0" w:space="0" w:color="auto"/>
            <w:left w:val="none" w:sz="0" w:space="0" w:color="auto"/>
            <w:bottom w:val="none" w:sz="0" w:space="0" w:color="auto"/>
            <w:right w:val="none" w:sz="0" w:space="0" w:color="auto"/>
          </w:divBdr>
        </w:div>
      </w:divsChild>
    </w:div>
    <w:div w:id="1213955827">
      <w:bodyDiv w:val="1"/>
      <w:marLeft w:val="0"/>
      <w:marRight w:val="0"/>
      <w:marTop w:val="0"/>
      <w:marBottom w:val="0"/>
      <w:divBdr>
        <w:top w:val="none" w:sz="0" w:space="0" w:color="auto"/>
        <w:left w:val="none" w:sz="0" w:space="0" w:color="auto"/>
        <w:bottom w:val="none" w:sz="0" w:space="0" w:color="auto"/>
        <w:right w:val="none" w:sz="0" w:space="0" w:color="auto"/>
      </w:divBdr>
      <w:divsChild>
        <w:div w:id="1778400552">
          <w:marLeft w:val="547"/>
          <w:marRight w:val="0"/>
          <w:marTop w:val="200"/>
          <w:marBottom w:val="0"/>
          <w:divBdr>
            <w:top w:val="none" w:sz="0" w:space="0" w:color="auto"/>
            <w:left w:val="none" w:sz="0" w:space="0" w:color="auto"/>
            <w:bottom w:val="none" w:sz="0" w:space="0" w:color="auto"/>
            <w:right w:val="none" w:sz="0" w:space="0" w:color="auto"/>
          </w:divBdr>
        </w:div>
      </w:divsChild>
    </w:div>
    <w:div w:id="1216314560">
      <w:bodyDiv w:val="1"/>
      <w:marLeft w:val="0"/>
      <w:marRight w:val="0"/>
      <w:marTop w:val="0"/>
      <w:marBottom w:val="0"/>
      <w:divBdr>
        <w:top w:val="none" w:sz="0" w:space="0" w:color="auto"/>
        <w:left w:val="none" w:sz="0" w:space="0" w:color="auto"/>
        <w:bottom w:val="none" w:sz="0" w:space="0" w:color="auto"/>
        <w:right w:val="none" w:sz="0" w:space="0" w:color="auto"/>
      </w:divBdr>
    </w:div>
    <w:div w:id="1269118794">
      <w:bodyDiv w:val="1"/>
      <w:marLeft w:val="0"/>
      <w:marRight w:val="0"/>
      <w:marTop w:val="0"/>
      <w:marBottom w:val="0"/>
      <w:divBdr>
        <w:top w:val="none" w:sz="0" w:space="0" w:color="auto"/>
        <w:left w:val="none" w:sz="0" w:space="0" w:color="auto"/>
        <w:bottom w:val="none" w:sz="0" w:space="0" w:color="auto"/>
        <w:right w:val="none" w:sz="0" w:space="0" w:color="auto"/>
      </w:divBdr>
    </w:div>
    <w:div w:id="1303385818">
      <w:bodyDiv w:val="1"/>
      <w:marLeft w:val="0"/>
      <w:marRight w:val="0"/>
      <w:marTop w:val="0"/>
      <w:marBottom w:val="0"/>
      <w:divBdr>
        <w:top w:val="none" w:sz="0" w:space="0" w:color="auto"/>
        <w:left w:val="none" w:sz="0" w:space="0" w:color="auto"/>
        <w:bottom w:val="none" w:sz="0" w:space="0" w:color="auto"/>
        <w:right w:val="none" w:sz="0" w:space="0" w:color="auto"/>
      </w:divBdr>
    </w:div>
    <w:div w:id="1308242262">
      <w:bodyDiv w:val="1"/>
      <w:marLeft w:val="0"/>
      <w:marRight w:val="0"/>
      <w:marTop w:val="0"/>
      <w:marBottom w:val="0"/>
      <w:divBdr>
        <w:top w:val="none" w:sz="0" w:space="0" w:color="auto"/>
        <w:left w:val="none" w:sz="0" w:space="0" w:color="auto"/>
        <w:bottom w:val="none" w:sz="0" w:space="0" w:color="auto"/>
        <w:right w:val="none" w:sz="0" w:space="0" w:color="auto"/>
      </w:divBdr>
    </w:div>
    <w:div w:id="1312909486">
      <w:bodyDiv w:val="1"/>
      <w:marLeft w:val="0"/>
      <w:marRight w:val="0"/>
      <w:marTop w:val="0"/>
      <w:marBottom w:val="0"/>
      <w:divBdr>
        <w:top w:val="none" w:sz="0" w:space="0" w:color="auto"/>
        <w:left w:val="none" w:sz="0" w:space="0" w:color="auto"/>
        <w:bottom w:val="none" w:sz="0" w:space="0" w:color="auto"/>
        <w:right w:val="none" w:sz="0" w:space="0" w:color="auto"/>
      </w:divBdr>
    </w:div>
    <w:div w:id="1323965444">
      <w:bodyDiv w:val="1"/>
      <w:marLeft w:val="0"/>
      <w:marRight w:val="0"/>
      <w:marTop w:val="0"/>
      <w:marBottom w:val="0"/>
      <w:divBdr>
        <w:top w:val="none" w:sz="0" w:space="0" w:color="auto"/>
        <w:left w:val="none" w:sz="0" w:space="0" w:color="auto"/>
        <w:bottom w:val="none" w:sz="0" w:space="0" w:color="auto"/>
        <w:right w:val="none" w:sz="0" w:space="0" w:color="auto"/>
      </w:divBdr>
    </w:div>
    <w:div w:id="1400715493">
      <w:bodyDiv w:val="1"/>
      <w:marLeft w:val="0"/>
      <w:marRight w:val="0"/>
      <w:marTop w:val="0"/>
      <w:marBottom w:val="0"/>
      <w:divBdr>
        <w:top w:val="none" w:sz="0" w:space="0" w:color="auto"/>
        <w:left w:val="none" w:sz="0" w:space="0" w:color="auto"/>
        <w:bottom w:val="none" w:sz="0" w:space="0" w:color="auto"/>
        <w:right w:val="none" w:sz="0" w:space="0" w:color="auto"/>
      </w:divBdr>
    </w:div>
    <w:div w:id="1487018062">
      <w:bodyDiv w:val="1"/>
      <w:marLeft w:val="0"/>
      <w:marRight w:val="0"/>
      <w:marTop w:val="0"/>
      <w:marBottom w:val="0"/>
      <w:divBdr>
        <w:top w:val="none" w:sz="0" w:space="0" w:color="auto"/>
        <w:left w:val="none" w:sz="0" w:space="0" w:color="auto"/>
        <w:bottom w:val="none" w:sz="0" w:space="0" w:color="auto"/>
        <w:right w:val="none" w:sz="0" w:space="0" w:color="auto"/>
      </w:divBdr>
      <w:divsChild>
        <w:div w:id="1432507513">
          <w:marLeft w:val="0"/>
          <w:marRight w:val="0"/>
          <w:marTop w:val="0"/>
          <w:marBottom w:val="0"/>
          <w:divBdr>
            <w:top w:val="none" w:sz="0" w:space="0" w:color="auto"/>
            <w:left w:val="none" w:sz="0" w:space="0" w:color="auto"/>
            <w:bottom w:val="none" w:sz="0" w:space="0" w:color="auto"/>
            <w:right w:val="none" w:sz="0" w:space="0" w:color="auto"/>
          </w:divBdr>
        </w:div>
      </w:divsChild>
    </w:div>
    <w:div w:id="1535340708">
      <w:bodyDiv w:val="1"/>
      <w:marLeft w:val="0"/>
      <w:marRight w:val="0"/>
      <w:marTop w:val="0"/>
      <w:marBottom w:val="0"/>
      <w:divBdr>
        <w:top w:val="none" w:sz="0" w:space="0" w:color="auto"/>
        <w:left w:val="none" w:sz="0" w:space="0" w:color="auto"/>
        <w:bottom w:val="none" w:sz="0" w:space="0" w:color="auto"/>
        <w:right w:val="none" w:sz="0" w:space="0" w:color="auto"/>
      </w:divBdr>
      <w:divsChild>
        <w:div w:id="1499151738">
          <w:marLeft w:val="547"/>
          <w:marRight w:val="0"/>
          <w:marTop w:val="200"/>
          <w:marBottom w:val="0"/>
          <w:divBdr>
            <w:top w:val="none" w:sz="0" w:space="0" w:color="auto"/>
            <w:left w:val="none" w:sz="0" w:space="0" w:color="auto"/>
            <w:bottom w:val="none" w:sz="0" w:space="0" w:color="auto"/>
            <w:right w:val="none" w:sz="0" w:space="0" w:color="auto"/>
          </w:divBdr>
        </w:div>
        <w:div w:id="1747535939">
          <w:marLeft w:val="547"/>
          <w:marRight w:val="0"/>
          <w:marTop w:val="200"/>
          <w:marBottom w:val="0"/>
          <w:divBdr>
            <w:top w:val="none" w:sz="0" w:space="0" w:color="auto"/>
            <w:left w:val="none" w:sz="0" w:space="0" w:color="auto"/>
            <w:bottom w:val="none" w:sz="0" w:space="0" w:color="auto"/>
            <w:right w:val="none" w:sz="0" w:space="0" w:color="auto"/>
          </w:divBdr>
        </w:div>
      </w:divsChild>
    </w:div>
    <w:div w:id="1554081384">
      <w:bodyDiv w:val="1"/>
      <w:marLeft w:val="0"/>
      <w:marRight w:val="0"/>
      <w:marTop w:val="0"/>
      <w:marBottom w:val="0"/>
      <w:divBdr>
        <w:top w:val="none" w:sz="0" w:space="0" w:color="auto"/>
        <w:left w:val="none" w:sz="0" w:space="0" w:color="auto"/>
        <w:bottom w:val="none" w:sz="0" w:space="0" w:color="auto"/>
        <w:right w:val="none" w:sz="0" w:space="0" w:color="auto"/>
      </w:divBdr>
    </w:div>
    <w:div w:id="1587491438">
      <w:bodyDiv w:val="1"/>
      <w:marLeft w:val="0"/>
      <w:marRight w:val="0"/>
      <w:marTop w:val="0"/>
      <w:marBottom w:val="0"/>
      <w:divBdr>
        <w:top w:val="none" w:sz="0" w:space="0" w:color="auto"/>
        <w:left w:val="none" w:sz="0" w:space="0" w:color="auto"/>
        <w:bottom w:val="none" w:sz="0" w:space="0" w:color="auto"/>
        <w:right w:val="none" w:sz="0" w:space="0" w:color="auto"/>
      </w:divBdr>
    </w:div>
    <w:div w:id="1642147244">
      <w:bodyDiv w:val="1"/>
      <w:marLeft w:val="0"/>
      <w:marRight w:val="0"/>
      <w:marTop w:val="0"/>
      <w:marBottom w:val="0"/>
      <w:divBdr>
        <w:top w:val="none" w:sz="0" w:space="0" w:color="auto"/>
        <w:left w:val="none" w:sz="0" w:space="0" w:color="auto"/>
        <w:bottom w:val="none" w:sz="0" w:space="0" w:color="auto"/>
        <w:right w:val="none" w:sz="0" w:space="0" w:color="auto"/>
      </w:divBdr>
    </w:div>
    <w:div w:id="1646354840">
      <w:bodyDiv w:val="1"/>
      <w:marLeft w:val="0"/>
      <w:marRight w:val="0"/>
      <w:marTop w:val="0"/>
      <w:marBottom w:val="0"/>
      <w:divBdr>
        <w:top w:val="none" w:sz="0" w:space="0" w:color="auto"/>
        <w:left w:val="none" w:sz="0" w:space="0" w:color="auto"/>
        <w:bottom w:val="none" w:sz="0" w:space="0" w:color="auto"/>
        <w:right w:val="none" w:sz="0" w:space="0" w:color="auto"/>
      </w:divBdr>
    </w:div>
    <w:div w:id="1679456685">
      <w:bodyDiv w:val="1"/>
      <w:marLeft w:val="0"/>
      <w:marRight w:val="0"/>
      <w:marTop w:val="0"/>
      <w:marBottom w:val="0"/>
      <w:divBdr>
        <w:top w:val="none" w:sz="0" w:space="0" w:color="auto"/>
        <w:left w:val="none" w:sz="0" w:space="0" w:color="auto"/>
        <w:bottom w:val="none" w:sz="0" w:space="0" w:color="auto"/>
        <w:right w:val="none" w:sz="0" w:space="0" w:color="auto"/>
      </w:divBdr>
    </w:div>
    <w:div w:id="1689287859">
      <w:bodyDiv w:val="1"/>
      <w:marLeft w:val="0"/>
      <w:marRight w:val="0"/>
      <w:marTop w:val="0"/>
      <w:marBottom w:val="0"/>
      <w:divBdr>
        <w:top w:val="none" w:sz="0" w:space="0" w:color="auto"/>
        <w:left w:val="none" w:sz="0" w:space="0" w:color="auto"/>
        <w:bottom w:val="none" w:sz="0" w:space="0" w:color="auto"/>
        <w:right w:val="none" w:sz="0" w:space="0" w:color="auto"/>
      </w:divBdr>
    </w:div>
    <w:div w:id="1723866947">
      <w:bodyDiv w:val="1"/>
      <w:marLeft w:val="0"/>
      <w:marRight w:val="0"/>
      <w:marTop w:val="0"/>
      <w:marBottom w:val="0"/>
      <w:divBdr>
        <w:top w:val="none" w:sz="0" w:space="0" w:color="auto"/>
        <w:left w:val="none" w:sz="0" w:space="0" w:color="auto"/>
        <w:bottom w:val="none" w:sz="0" w:space="0" w:color="auto"/>
        <w:right w:val="none" w:sz="0" w:space="0" w:color="auto"/>
      </w:divBdr>
      <w:divsChild>
        <w:div w:id="1401247986">
          <w:marLeft w:val="547"/>
          <w:marRight w:val="0"/>
          <w:marTop w:val="200"/>
          <w:marBottom w:val="0"/>
          <w:divBdr>
            <w:top w:val="none" w:sz="0" w:space="0" w:color="auto"/>
            <w:left w:val="none" w:sz="0" w:space="0" w:color="auto"/>
            <w:bottom w:val="none" w:sz="0" w:space="0" w:color="auto"/>
            <w:right w:val="none" w:sz="0" w:space="0" w:color="auto"/>
          </w:divBdr>
        </w:div>
      </w:divsChild>
    </w:div>
    <w:div w:id="1752046747">
      <w:bodyDiv w:val="1"/>
      <w:marLeft w:val="0"/>
      <w:marRight w:val="0"/>
      <w:marTop w:val="0"/>
      <w:marBottom w:val="0"/>
      <w:divBdr>
        <w:top w:val="none" w:sz="0" w:space="0" w:color="auto"/>
        <w:left w:val="none" w:sz="0" w:space="0" w:color="auto"/>
        <w:bottom w:val="none" w:sz="0" w:space="0" w:color="auto"/>
        <w:right w:val="none" w:sz="0" w:space="0" w:color="auto"/>
      </w:divBdr>
    </w:div>
    <w:div w:id="1788234238">
      <w:bodyDiv w:val="1"/>
      <w:marLeft w:val="0"/>
      <w:marRight w:val="0"/>
      <w:marTop w:val="0"/>
      <w:marBottom w:val="0"/>
      <w:divBdr>
        <w:top w:val="none" w:sz="0" w:space="0" w:color="auto"/>
        <w:left w:val="none" w:sz="0" w:space="0" w:color="auto"/>
        <w:bottom w:val="none" w:sz="0" w:space="0" w:color="auto"/>
        <w:right w:val="none" w:sz="0" w:space="0" w:color="auto"/>
      </w:divBdr>
    </w:div>
    <w:div w:id="1801266519">
      <w:bodyDiv w:val="1"/>
      <w:marLeft w:val="0"/>
      <w:marRight w:val="0"/>
      <w:marTop w:val="0"/>
      <w:marBottom w:val="0"/>
      <w:divBdr>
        <w:top w:val="none" w:sz="0" w:space="0" w:color="auto"/>
        <w:left w:val="none" w:sz="0" w:space="0" w:color="auto"/>
        <w:bottom w:val="none" w:sz="0" w:space="0" w:color="auto"/>
        <w:right w:val="none" w:sz="0" w:space="0" w:color="auto"/>
      </w:divBdr>
    </w:div>
    <w:div w:id="1850949173">
      <w:bodyDiv w:val="1"/>
      <w:marLeft w:val="0"/>
      <w:marRight w:val="0"/>
      <w:marTop w:val="0"/>
      <w:marBottom w:val="0"/>
      <w:divBdr>
        <w:top w:val="none" w:sz="0" w:space="0" w:color="auto"/>
        <w:left w:val="none" w:sz="0" w:space="0" w:color="auto"/>
        <w:bottom w:val="none" w:sz="0" w:space="0" w:color="auto"/>
        <w:right w:val="none" w:sz="0" w:space="0" w:color="auto"/>
      </w:divBdr>
      <w:divsChild>
        <w:div w:id="712461817">
          <w:marLeft w:val="547"/>
          <w:marRight w:val="0"/>
          <w:marTop w:val="200"/>
          <w:marBottom w:val="0"/>
          <w:divBdr>
            <w:top w:val="none" w:sz="0" w:space="0" w:color="auto"/>
            <w:left w:val="none" w:sz="0" w:space="0" w:color="auto"/>
            <w:bottom w:val="none" w:sz="0" w:space="0" w:color="auto"/>
            <w:right w:val="none" w:sz="0" w:space="0" w:color="auto"/>
          </w:divBdr>
        </w:div>
      </w:divsChild>
    </w:div>
    <w:div w:id="1855025835">
      <w:bodyDiv w:val="1"/>
      <w:marLeft w:val="0"/>
      <w:marRight w:val="0"/>
      <w:marTop w:val="0"/>
      <w:marBottom w:val="0"/>
      <w:divBdr>
        <w:top w:val="none" w:sz="0" w:space="0" w:color="auto"/>
        <w:left w:val="none" w:sz="0" w:space="0" w:color="auto"/>
        <w:bottom w:val="none" w:sz="0" w:space="0" w:color="auto"/>
        <w:right w:val="none" w:sz="0" w:space="0" w:color="auto"/>
      </w:divBdr>
    </w:div>
    <w:div w:id="1896157549">
      <w:bodyDiv w:val="1"/>
      <w:marLeft w:val="0"/>
      <w:marRight w:val="0"/>
      <w:marTop w:val="0"/>
      <w:marBottom w:val="0"/>
      <w:divBdr>
        <w:top w:val="none" w:sz="0" w:space="0" w:color="auto"/>
        <w:left w:val="none" w:sz="0" w:space="0" w:color="auto"/>
        <w:bottom w:val="none" w:sz="0" w:space="0" w:color="auto"/>
        <w:right w:val="none" w:sz="0" w:space="0" w:color="auto"/>
      </w:divBdr>
      <w:divsChild>
        <w:div w:id="46340614">
          <w:marLeft w:val="360"/>
          <w:marRight w:val="0"/>
          <w:marTop w:val="200"/>
          <w:marBottom w:val="0"/>
          <w:divBdr>
            <w:top w:val="none" w:sz="0" w:space="0" w:color="auto"/>
            <w:left w:val="none" w:sz="0" w:space="0" w:color="auto"/>
            <w:bottom w:val="none" w:sz="0" w:space="0" w:color="auto"/>
            <w:right w:val="none" w:sz="0" w:space="0" w:color="auto"/>
          </w:divBdr>
        </w:div>
      </w:divsChild>
    </w:div>
    <w:div w:id="1908687561">
      <w:bodyDiv w:val="1"/>
      <w:marLeft w:val="0"/>
      <w:marRight w:val="0"/>
      <w:marTop w:val="0"/>
      <w:marBottom w:val="0"/>
      <w:divBdr>
        <w:top w:val="none" w:sz="0" w:space="0" w:color="auto"/>
        <w:left w:val="none" w:sz="0" w:space="0" w:color="auto"/>
        <w:bottom w:val="none" w:sz="0" w:space="0" w:color="auto"/>
        <w:right w:val="none" w:sz="0" w:space="0" w:color="auto"/>
      </w:divBdr>
    </w:div>
    <w:div w:id="1945721649">
      <w:bodyDiv w:val="1"/>
      <w:marLeft w:val="0"/>
      <w:marRight w:val="0"/>
      <w:marTop w:val="0"/>
      <w:marBottom w:val="0"/>
      <w:divBdr>
        <w:top w:val="none" w:sz="0" w:space="0" w:color="auto"/>
        <w:left w:val="none" w:sz="0" w:space="0" w:color="auto"/>
        <w:bottom w:val="none" w:sz="0" w:space="0" w:color="auto"/>
        <w:right w:val="none" w:sz="0" w:space="0" w:color="auto"/>
      </w:divBdr>
    </w:div>
    <w:div w:id="1951621366">
      <w:bodyDiv w:val="1"/>
      <w:marLeft w:val="0"/>
      <w:marRight w:val="0"/>
      <w:marTop w:val="0"/>
      <w:marBottom w:val="0"/>
      <w:divBdr>
        <w:top w:val="none" w:sz="0" w:space="0" w:color="auto"/>
        <w:left w:val="none" w:sz="0" w:space="0" w:color="auto"/>
        <w:bottom w:val="none" w:sz="0" w:space="0" w:color="auto"/>
        <w:right w:val="none" w:sz="0" w:space="0" w:color="auto"/>
      </w:divBdr>
    </w:div>
    <w:div w:id="1969581455">
      <w:bodyDiv w:val="1"/>
      <w:marLeft w:val="0"/>
      <w:marRight w:val="0"/>
      <w:marTop w:val="0"/>
      <w:marBottom w:val="0"/>
      <w:divBdr>
        <w:top w:val="none" w:sz="0" w:space="0" w:color="auto"/>
        <w:left w:val="none" w:sz="0" w:space="0" w:color="auto"/>
        <w:bottom w:val="none" w:sz="0" w:space="0" w:color="auto"/>
        <w:right w:val="none" w:sz="0" w:space="0" w:color="auto"/>
      </w:divBdr>
    </w:div>
    <w:div w:id="1971939858">
      <w:bodyDiv w:val="1"/>
      <w:marLeft w:val="0"/>
      <w:marRight w:val="0"/>
      <w:marTop w:val="0"/>
      <w:marBottom w:val="0"/>
      <w:divBdr>
        <w:top w:val="none" w:sz="0" w:space="0" w:color="auto"/>
        <w:left w:val="none" w:sz="0" w:space="0" w:color="auto"/>
        <w:bottom w:val="none" w:sz="0" w:space="0" w:color="auto"/>
        <w:right w:val="none" w:sz="0" w:space="0" w:color="auto"/>
      </w:divBdr>
    </w:div>
    <w:div w:id="1992371612">
      <w:bodyDiv w:val="1"/>
      <w:marLeft w:val="0"/>
      <w:marRight w:val="0"/>
      <w:marTop w:val="0"/>
      <w:marBottom w:val="0"/>
      <w:divBdr>
        <w:top w:val="none" w:sz="0" w:space="0" w:color="auto"/>
        <w:left w:val="none" w:sz="0" w:space="0" w:color="auto"/>
        <w:bottom w:val="none" w:sz="0" w:space="0" w:color="auto"/>
        <w:right w:val="none" w:sz="0" w:space="0" w:color="auto"/>
      </w:divBdr>
    </w:div>
    <w:div w:id="1993829259">
      <w:bodyDiv w:val="1"/>
      <w:marLeft w:val="0"/>
      <w:marRight w:val="0"/>
      <w:marTop w:val="0"/>
      <w:marBottom w:val="0"/>
      <w:divBdr>
        <w:top w:val="none" w:sz="0" w:space="0" w:color="auto"/>
        <w:left w:val="none" w:sz="0" w:space="0" w:color="auto"/>
        <w:bottom w:val="none" w:sz="0" w:space="0" w:color="auto"/>
        <w:right w:val="none" w:sz="0" w:space="0" w:color="auto"/>
      </w:divBdr>
      <w:divsChild>
        <w:div w:id="682585732">
          <w:marLeft w:val="0"/>
          <w:marRight w:val="0"/>
          <w:marTop w:val="480"/>
          <w:marBottom w:val="240"/>
          <w:divBdr>
            <w:top w:val="none" w:sz="0" w:space="0" w:color="auto"/>
            <w:left w:val="none" w:sz="0" w:space="0" w:color="auto"/>
            <w:bottom w:val="none" w:sz="0" w:space="0" w:color="auto"/>
            <w:right w:val="none" w:sz="0" w:space="0" w:color="auto"/>
          </w:divBdr>
        </w:div>
        <w:div w:id="1413890943">
          <w:marLeft w:val="0"/>
          <w:marRight w:val="0"/>
          <w:marTop w:val="0"/>
          <w:marBottom w:val="567"/>
          <w:divBdr>
            <w:top w:val="none" w:sz="0" w:space="0" w:color="auto"/>
            <w:left w:val="none" w:sz="0" w:space="0" w:color="auto"/>
            <w:bottom w:val="none" w:sz="0" w:space="0" w:color="auto"/>
            <w:right w:val="none" w:sz="0" w:space="0" w:color="auto"/>
          </w:divBdr>
        </w:div>
      </w:divsChild>
    </w:div>
    <w:div w:id="2003776103">
      <w:bodyDiv w:val="1"/>
      <w:marLeft w:val="0"/>
      <w:marRight w:val="0"/>
      <w:marTop w:val="0"/>
      <w:marBottom w:val="0"/>
      <w:divBdr>
        <w:top w:val="none" w:sz="0" w:space="0" w:color="auto"/>
        <w:left w:val="none" w:sz="0" w:space="0" w:color="auto"/>
        <w:bottom w:val="none" w:sz="0" w:space="0" w:color="auto"/>
        <w:right w:val="none" w:sz="0" w:space="0" w:color="auto"/>
      </w:divBdr>
    </w:div>
    <w:div w:id="2005929804">
      <w:bodyDiv w:val="1"/>
      <w:marLeft w:val="0"/>
      <w:marRight w:val="0"/>
      <w:marTop w:val="0"/>
      <w:marBottom w:val="0"/>
      <w:divBdr>
        <w:top w:val="none" w:sz="0" w:space="0" w:color="auto"/>
        <w:left w:val="none" w:sz="0" w:space="0" w:color="auto"/>
        <w:bottom w:val="none" w:sz="0" w:space="0" w:color="auto"/>
        <w:right w:val="none" w:sz="0" w:space="0" w:color="auto"/>
      </w:divBdr>
      <w:divsChild>
        <w:div w:id="1030573151">
          <w:marLeft w:val="547"/>
          <w:marRight w:val="0"/>
          <w:marTop w:val="200"/>
          <w:marBottom w:val="0"/>
          <w:divBdr>
            <w:top w:val="none" w:sz="0" w:space="0" w:color="auto"/>
            <w:left w:val="none" w:sz="0" w:space="0" w:color="auto"/>
            <w:bottom w:val="none" w:sz="0" w:space="0" w:color="auto"/>
            <w:right w:val="none" w:sz="0" w:space="0" w:color="auto"/>
          </w:divBdr>
        </w:div>
        <w:div w:id="254486783">
          <w:marLeft w:val="547"/>
          <w:marRight w:val="0"/>
          <w:marTop w:val="200"/>
          <w:marBottom w:val="0"/>
          <w:divBdr>
            <w:top w:val="none" w:sz="0" w:space="0" w:color="auto"/>
            <w:left w:val="none" w:sz="0" w:space="0" w:color="auto"/>
            <w:bottom w:val="none" w:sz="0" w:space="0" w:color="auto"/>
            <w:right w:val="none" w:sz="0" w:space="0" w:color="auto"/>
          </w:divBdr>
        </w:div>
        <w:div w:id="1800760751">
          <w:marLeft w:val="547"/>
          <w:marRight w:val="0"/>
          <w:marTop w:val="200"/>
          <w:marBottom w:val="0"/>
          <w:divBdr>
            <w:top w:val="none" w:sz="0" w:space="0" w:color="auto"/>
            <w:left w:val="none" w:sz="0" w:space="0" w:color="auto"/>
            <w:bottom w:val="none" w:sz="0" w:space="0" w:color="auto"/>
            <w:right w:val="none" w:sz="0" w:space="0" w:color="auto"/>
          </w:divBdr>
        </w:div>
        <w:div w:id="410808778">
          <w:marLeft w:val="547"/>
          <w:marRight w:val="0"/>
          <w:marTop w:val="200"/>
          <w:marBottom w:val="0"/>
          <w:divBdr>
            <w:top w:val="none" w:sz="0" w:space="0" w:color="auto"/>
            <w:left w:val="none" w:sz="0" w:space="0" w:color="auto"/>
            <w:bottom w:val="none" w:sz="0" w:space="0" w:color="auto"/>
            <w:right w:val="none" w:sz="0" w:space="0" w:color="auto"/>
          </w:divBdr>
        </w:div>
        <w:div w:id="1449931180">
          <w:marLeft w:val="547"/>
          <w:marRight w:val="0"/>
          <w:marTop w:val="200"/>
          <w:marBottom w:val="0"/>
          <w:divBdr>
            <w:top w:val="none" w:sz="0" w:space="0" w:color="auto"/>
            <w:left w:val="none" w:sz="0" w:space="0" w:color="auto"/>
            <w:bottom w:val="none" w:sz="0" w:space="0" w:color="auto"/>
            <w:right w:val="none" w:sz="0" w:space="0" w:color="auto"/>
          </w:divBdr>
        </w:div>
        <w:div w:id="1570264053">
          <w:marLeft w:val="547"/>
          <w:marRight w:val="0"/>
          <w:marTop w:val="200"/>
          <w:marBottom w:val="0"/>
          <w:divBdr>
            <w:top w:val="none" w:sz="0" w:space="0" w:color="auto"/>
            <w:left w:val="none" w:sz="0" w:space="0" w:color="auto"/>
            <w:bottom w:val="none" w:sz="0" w:space="0" w:color="auto"/>
            <w:right w:val="none" w:sz="0" w:space="0" w:color="auto"/>
          </w:divBdr>
        </w:div>
      </w:divsChild>
    </w:div>
    <w:div w:id="2040934260">
      <w:bodyDiv w:val="1"/>
      <w:marLeft w:val="0"/>
      <w:marRight w:val="0"/>
      <w:marTop w:val="0"/>
      <w:marBottom w:val="0"/>
      <w:divBdr>
        <w:top w:val="none" w:sz="0" w:space="0" w:color="auto"/>
        <w:left w:val="none" w:sz="0" w:space="0" w:color="auto"/>
        <w:bottom w:val="none" w:sz="0" w:space="0" w:color="auto"/>
        <w:right w:val="none" w:sz="0" w:space="0" w:color="auto"/>
      </w:divBdr>
    </w:div>
    <w:div w:id="205869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cd12420a-9323-4ccb-91ca-9f3d7eaa1f05" TargetMode="External"/><Relationship Id="rId13" Type="http://schemas.openxmlformats.org/officeDocument/2006/relationships/hyperlink" Target="https://ec.europa.eu/competition/state_aid/cases1/202151/SA_100596_B0C4BE7D-0000-C7C1-A930-C0D9CEA5C143_61_1.pdf" TargetMode="External"/><Relationship Id="rId18" Type="http://schemas.openxmlformats.org/officeDocument/2006/relationships/hyperlink" Target="https://curia.europa.eu/juris/document/document.jsf?text=&amp;docid=65607&amp;pageIndex=0&amp;doclang=LV&amp;mode=req&amp;dir=&amp;occ=first&amp;part=1&amp;cid=3645030" TargetMode="External"/><Relationship Id="rId26" Type="http://schemas.openxmlformats.org/officeDocument/2006/relationships/hyperlink" Target="https://ec.europa.eu/competition/state_aid/cases1/202205/SA_101506_60329C7E-0000-C96F-9CCD-FC47F3738A65_22_1.pdf" TargetMode="External"/><Relationship Id="rId3" Type="http://schemas.openxmlformats.org/officeDocument/2006/relationships/styles" Target="styles.xml"/><Relationship Id="rId21" Type="http://schemas.openxmlformats.org/officeDocument/2006/relationships/hyperlink" Target="https://curia.europa.eu/juris/document/document.jsf?text=&amp;docid=183362&amp;pageIndex=0&amp;doclang=LV&amp;mode=lst&amp;dir=&amp;occ=first&amp;part=1&amp;cid=554850" TargetMode="External"/><Relationship Id="rId7" Type="http://schemas.openxmlformats.org/officeDocument/2006/relationships/endnotes" Target="endnotes.xml"/><Relationship Id="rId12" Type="http://schemas.openxmlformats.org/officeDocument/2006/relationships/hyperlink" Target="https://gateway.elieta.lv/api/v1/PublicMaterialDownload/50b5d674-d573-4355-90cc-aac2e7c4e014" TargetMode="External"/><Relationship Id="rId17" Type="http://schemas.openxmlformats.org/officeDocument/2006/relationships/hyperlink" Target="https://curia.europa.eu/juris/document/document.jsf?text=&amp;docid=181947&amp;pageIndex=0&amp;doclang=LV&amp;mode=lst&amp;dir=&amp;occ=first&amp;part=1&amp;cid=11362197" TargetMode="External"/><Relationship Id="rId25" Type="http://schemas.openxmlformats.org/officeDocument/2006/relationships/hyperlink" Target="https://ec.europa.eu/competition/state_aid/cases1/202151/SA_100596_B0C4BE7D-0000-C7C1-A930-C0D9CEA5C143_61_1.pdf" TargetMode="External"/><Relationship Id="rId2" Type="http://schemas.openxmlformats.org/officeDocument/2006/relationships/numbering" Target="numbering.xml"/><Relationship Id="rId16" Type="http://schemas.openxmlformats.org/officeDocument/2006/relationships/hyperlink" Target="https://curia.europa.eu/juris/document/document.jsf?text=&amp;docid=65607&amp;pageIndex=0&amp;doclang=LV&amp;mode=req&amp;dir=&amp;occ=first&amp;part=1&amp;cid=3645030" TargetMode="External"/><Relationship Id="rId20" Type="http://schemas.openxmlformats.org/officeDocument/2006/relationships/hyperlink" Target="https://curia.europa.eu/juris/document/document.jsf?text=&amp;docid=189262&amp;pageIndex=0&amp;doclang=LV&amp;mode=lst&amp;dir=&amp;occ=first&amp;part=1&amp;cid=364503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tv.tiesa.gov.lv/web/viewer.html?file=https://www.satv.tiesa.gov.lv/wp-content/uploads/2020/05/2020-30-01_spriedums.pdf" TargetMode="External"/><Relationship Id="rId24" Type="http://schemas.openxmlformats.org/officeDocument/2006/relationships/hyperlink" Target="https://competition-cases.ec.europa.eu/cases/SA.59592" TargetMode="External"/><Relationship Id="rId5" Type="http://schemas.openxmlformats.org/officeDocument/2006/relationships/webSettings" Target="webSettings.xml"/><Relationship Id="rId15" Type="http://schemas.openxmlformats.org/officeDocument/2006/relationships/hyperlink" Target="https://www.satv.tiesa.gov.lv/web/viewer.html?file=https://www.satv.tiesa.gov.lv/wp-content/uploads/2020/09/2020_49_01_Spriedums.pdf" TargetMode="External"/><Relationship Id="rId23" Type="http://schemas.openxmlformats.org/officeDocument/2006/relationships/hyperlink" Target="https://curia.europa.eu/juris/document/document.jsf?text=&amp;docid=189262&amp;pageIndex=0&amp;doclang=LV&amp;mode=lst&amp;dir=&amp;occ=first&amp;part=1&amp;cid=3645030" TargetMode="External"/><Relationship Id="rId28" Type="http://schemas.openxmlformats.org/officeDocument/2006/relationships/hyperlink" Target="https://manas.tiesas.lv/eTiesasMvc/nolemumi/pdf/546633.pdf" TargetMode="External"/><Relationship Id="rId10" Type="http://schemas.openxmlformats.org/officeDocument/2006/relationships/hyperlink" Target="https://gateway.elieta.lv/api/v1/PublicMaterialDownload/08c18e6a-d9a6-40a8-a51d-432b2cb6b42f" TargetMode="External"/><Relationship Id="rId19" Type="http://schemas.openxmlformats.org/officeDocument/2006/relationships/hyperlink" Target="https://curia.europa.eu/juris/document/document.jsf?text=&amp;docid=296554&amp;pageIndex=0&amp;doclang=LV&amp;mode=lst&amp;dir=&amp;occ=first&amp;part=1&amp;cid=364503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uria.europa.eu/juris/document/document.jsf?text=&amp;docid=302056&amp;pageIndex=0&amp;doclang=LV&amp;mode=lst&amp;dir=&amp;occ=first&amp;part=1&amp;cid=224258" TargetMode="External"/><Relationship Id="rId14" Type="http://schemas.openxmlformats.org/officeDocument/2006/relationships/hyperlink" Target="https://www.satv.tiesa.gov.lv/web/viewer.html?file=/wp-content/uploads/2016/02/2014-36-01_Spriedums.pdf" TargetMode="External"/><Relationship Id="rId22" Type="http://schemas.openxmlformats.org/officeDocument/2006/relationships/hyperlink" Target="https://curia.europa.eu/juris/document/document.jsf?text=&amp;docid=94312&amp;pageIndex=0&amp;doclang=LV&amp;mode=lst&amp;dir=&amp;occ=first&amp;part=1&amp;cid=3645030" TargetMode="External"/><Relationship Id="rId27" Type="http://schemas.openxmlformats.org/officeDocument/2006/relationships/hyperlink" Target="https://www.youtube.com/watch?v=y1xm52zUcT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CD7AF-05B7-41F0-992F-6BCE47230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21031</Words>
  <Characters>11989</Characters>
  <Application>Microsoft Office Word</Application>
  <DocSecurity>0</DocSecurity>
  <Lines>99</Lines>
  <Paragraphs>65</Paragraphs>
  <ScaleCrop>false</ScaleCrop>
  <Company/>
  <LinksUpToDate>false</LinksUpToDate>
  <CharactersWithSpaces>32955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2025-12-22T16:09:00Z</dcterms:created>
  <dcterms:modified xsi:type="dcterms:W3CDTF">2025-12-22T16:09:00Z</dcterms:modified>
</cp:coreProperties>
</file>