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38232" w14:textId="77777777" w:rsidR="00442A9C" w:rsidRDefault="00442A9C" w:rsidP="00442A9C">
      <w:pPr>
        <w:spacing w:line="276" w:lineRule="auto"/>
        <w:jc w:val="both"/>
        <w:rPr>
          <w:b/>
          <w:bCs/>
          <w:lang w:eastAsia="lv-LV"/>
        </w:rPr>
      </w:pPr>
      <w:r>
        <w:rPr>
          <w:b/>
          <w:bCs/>
        </w:rPr>
        <w:t>Atteikuma izsniegt krimināllietas materiālus apstrīdēšanas un pārsūdzības kārtība, ja lieta izskatīta slēgtā tiesas sēdē</w:t>
      </w:r>
    </w:p>
    <w:p w14:paraId="2CF457E8" w14:textId="45256375" w:rsidR="003047F5" w:rsidRPr="000F6065" w:rsidRDefault="00442A9C" w:rsidP="00442A9C">
      <w:pPr>
        <w:spacing w:line="276" w:lineRule="auto"/>
        <w:jc w:val="both"/>
      </w:pPr>
      <w:r>
        <w:t>Likumā „Par tiesu varu” un Kriminālprocesa likumā nav ietvertas speciālas tiesību normas, kas regulētu apstrīdēšanas un pārsūdzības kārtību atteikumam izsniegt krimināllietas, kura izskatīta slēgtā tiesas sēdē un kurā stājies spēkā galīgais nolēmums, materiālus. Tieši pretēji – likuma „Par tiesu varu” 28.</w:t>
      </w:r>
      <w:r>
        <w:rPr>
          <w:vertAlign w:val="superscript"/>
        </w:rPr>
        <w:t>5</w:t>
      </w:r>
      <w:r>
        <w:t>panta pirmā daļa apstiprina, ka tiesas atteikums izsniegt pieprasīto informāciju ir apstrīdams un pārsūdzams vispārējā – Administratīvā procesa likumā noteiktajā – kārtībā. Līdz ar to tiesai šādā gadījumā jārīkojas atbilstoši Informācijas atklātības likumam (tostarp ņemot vērā informācijas atklātības un pieejamības principus).</w:t>
      </w:r>
    </w:p>
    <w:p w14:paraId="765AF8A4" w14:textId="68F6E006" w:rsidR="006F5D3B" w:rsidRPr="00C24583" w:rsidRDefault="006F5D3B" w:rsidP="00442A9C">
      <w:pPr>
        <w:spacing w:before="240" w:line="276" w:lineRule="auto"/>
        <w:jc w:val="center"/>
        <w:rPr>
          <w:b/>
        </w:rPr>
      </w:pPr>
      <w:r w:rsidRPr="00C24583">
        <w:rPr>
          <w:b/>
        </w:rPr>
        <w:t xml:space="preserve">Latvijas Republikas </w:t>
      </w:r>
      <w:r w:rsidR="0015480A" w:rsidRPr="00C24583">
        <w:rPr>
          <w:b/>
        </w:rPr>
        <w:t>Senāt</w:t>
      </w:r>
      <w:r w:rsidR="00442A9C">
        <w:rPr>
          <w:b/>
        </w:rPr>
        <w:t>a</w:t>
      </w:r>
      <w:r w:rsidR="00442A9C">
        <w:rPr>
          <w:b/>
        </w:rPr>
        <w:br/>
        <w:t>Administratīvo lietu departamenta</w:t>
      </w:r>
      <w:r w:rsidR="00442A9C">
        <w:rPr>
          <w:b/>
        </w:rPr>
        <w:br/>
        <w:t xml:space="preserve">2025.gada 28.oktobra </w:t>
      </w:r>
    </w:p>
    <w:p w14:paraId="1B019AD9" w14:textId="7791D851" w:rsidR="003047F5" w:rsidRDefault="003047F5" w:rsidP="00442A9C">
      <w:pPr>
        <w:spacing w:line="276" w:lineRule="auto"/>
        <w:jc w:val="center"/>
        <w:rPr>
          <w:b/>
        </w:rPr>
      </w:pPr>
      <w:r w:rsidRPr="00C24583">
        <w:rPr>
          <w:b/>
        </w:rPr>
        <w:t>LĒMUMS</w:t>
      </w:r>
    </w:p>
    <w:p w14:paraId="32D8474A" w14:textId="1F748681" w:rsidR="00442A9C" w:rsidRPr="00442A9C" w:rsidRDefault="00442A9C" w:rsidP="00442A9C">
      <w:pPr>
        <w:spacing w:line="276" w:lineRule="auto"/>
        <w:jc w:val="center"/>
        <w:rPr>
          <w:b/>
          <w:bCs/>
        </w:rPr>
      </w:pPr>
      <w:r>
        <w:rPr>
          <w:b/>
        </w:rPr>
        <w:t xml:space="preserve">Lieta </w:t>
      </w:r>
      <w:r w:rsidRPr="00442A9C">
        <w:rPr>
          <w:b/>
          <w:bCs/>
        </w:rPr>
        <w:t>Nr. 680031125, SKA-800/2025</w:t>
      </w:r>
    </w:p>
    <w:p w14:paraId="4AFC7CA4" w14:textId="763826B1" w:rsidR="00442A9C" w:rsidRPr="00442A9C" w:rsidRDefault="00442A9C" w:rsidP="00442A9C">
      <w:pPr>
        <w:spacing w:line="276" w:lineRule="auto"/>
        <w:jc w:val="center"/>
        <w:rPr>
          <w:b/>
        </w:rPr>
      </w:pPr>
      <w:hyperlink r:id="rId7" w:history="1">
        <w:r w:rsidRPr="00442A9C">
          <w:rPr>
            <w:rStyle w:val="Hyperlink"/>
          </w:rPr>
          <w:t xml:space="preserve"> ECLI:LV:AT:2025:1028.SKA0800</w:t>
        </w:r>
        <w:r w:rsidRPr="00442A9C">
          <w:rPr>
            <w:rStyle w:val="Hyperlink"/>
          </w:rPr>
          <w:t>25.5.L</w:t>
        </w:r>
      </w:hyperlink>
    </w:p>
    <w:p w14:paraId="7E08797B" w14:textId="77777777" w:rsidR="003047F5" w:rsidRPr="00F902DB" w:rsidRDefault="003047F5" w:rsidP="00442A9C">
      <w:pPr>
        <w:spacing w:line="276" w:lineRule="auto"/>
        <w:jc w:val="center"/>
      </w:pPr>
    </w:p>
    <w:p w14:paraId="26297293" w14:textId="205C9A81" w:rsidR="00A6596A" w:rsidRDefault="00AA6E95" w:rsidP="00442A9C">
      <w:pPr>
        <w:spacing w:line="276" w:lineRule="auto"/>
        <w:ind w:firstLine="720"/>
        <w:jc w:val="both"/>
      </w:pPr>
      <w:r>
        <w:t xml:space="preserve">Senāts </w:t>
      </w:r>
      <w:r w:rsidR="0015480A" w:rsidRPr="0015480A">
        <w:t>šādā sastāvā: senator</w:t>
      </w:r>
      <w:r w:rsidR="00DD5338">
        <w:t>s</w:t>
      </w:r>
      <w:r>
        <w:t xml:space="preserve"> referent</w:t>
      </w:r>
      <w:r w:rsidR="00DD5338">
        <w:t>s</w:t>
      </w:r>
      <w:r>
        <w:t xml:space="preserve"> </w:t>
      </w:r>
      <w:r w:rsidR="00DD5338">
        <w:t>Jānis Pleps</w:t>
      </w:r>
      <w:r w:rsidR="0015480A" w:rsidRPr="0015480A">
        <w:t xml:space="preserve">, </w:t>
      </w:r>
      <w:r>
        <w:t>senator</w:t>
      </w:r>
      <w:r w:rsidR="00DD5338">
        <w:t>es</w:t>
      </w:r>
      <w:r>
        <w:t xml:space="preserve"> </w:t>
      </w:r>
      <w:r w:rsidR="00DD5338">
        <w:t>Vēsma Kakste</w:t>
      </w:r>
      <w:r>
        <w:t xml:space="preserve"> un</w:t>
      </w:r>
      <w:r w:rsidR="007509E2">
        <w:t xml:space="preserve"> </w:t>
      </w:r>
      <w:r w:rsidR="00DD5338">
        <w:t>Līvija Slica</w:t>
      </w:r>
    </w:p>
    <w:p w14:paraId="2807957F" w14:textId="77777777" w:rsidR="003047F5" w:rsidRPr="00F902DB" w:rsidRDefault="003047F5" w:rsidP="00442A9C">
      <w:pPr>
        <w:spacing w:line="276" w:lineRule="auto"/>
        <w:ind w:firstLine="720"/>
        <w:jc w:val="both"/>
      </w:pPr>
    </w:p>
    <w:p w14:paraId="45FEDFF2" w14:textId="18DC234C" w:rsidR="003047F5" w:rsidRDefault="009F6F33" w:rsidP="00442A9C">
      <w:pPr>
        <w:spacing w:line="276" w:lineRule="auto"/>
        <w:ind w:firstLine="720"/>
        <w:jc w:val="both"/>
      </w:pPr>
      <w:r>
        <w:t xml:space="preserve">rakstveida procesā izskatīja </w:t>
      </w:r>
      <w:r w:rsidR="00442A9C">
        <w:t xml:space="preserve">[pers. A] </w:t>
      </w:r>
      <w:r w:rsidR="001F40A0">
        <w:t xml:space="preserve">blakus sūdzību par </w:t>
      </w:r>
      <w:r w:rsidR="003135C6">
        <w:t xml:space="preserve">Administratīvās </w:t>
      </w:r>
      <w:r w:rsidR="00DD5338">
        <w:t>rajona tiesas tiesneša 2025.gada 16.jūlija</w:t>
      </w:r>
      <w:r w:rsidR="001F40A0">
        <w:t xml:space="preserve"> lēmumu</w:t>
      </w:r>
      <w:r w:rsidR="00D10538">
        <w:t>, ar kuru</w:t>
      </w:r>
      <w:r w:rsidR="001F40A0">
        <w:t xml:space="preserve"> </w:t>
      </w:r>
      <w:r w:rsidR="00DD5338">
        <w:t>atteikts pieņemt pieteikumu</w:t>
      </w:r>
      <w:r w:rsidR="001F40A0" w:rsidRPr="00E70B6A">
        <w:t>.</w:t>
      </w:r>
    </w:p>
    <w:p w14:paraId="5DE22EF3" w14:textId="77777777" w:rsidR="00A6596A" w:rsidRDefault="00A6596A" w:rsidP="00442A9C">
      <w:pPr>
        <w:spacing w:line="276" w:lineRule="auto"/>
        <w:ind w:firstLine="567"/>
        <w:jc w:val="both"/>
      </w:pPr>
    </w:p>
    <w:p w14:paraId="49301551" w14:textId="77777777" w:rsidR="003047F5" w:rsidRPr="009D6594" w:rsidRDefault="003047F5" w:rsidP="00442A9C">
      <w:pPr>
        <w:spacing w:line="276" w:lineRule="auto"/>
        <w:jc w:val="center"/>
        <w:rPr>
          <w:b/>
        </w:rPr>
      </w:pPr>
      <w:r w:rsidRPr="009D6594">
        <w:rPr>
          <w:b/>
        </w:rPr>
        <w:t>Aprakstošā daļa</w:t>
      </w:r>
    </w:p>
    <w:p w14:paraId="54AE93A0" w14:textId="77777777" w:rsidR="003047F5" w:rsidRDefault="003047F5" w:rsidP="00442A9C">
      <w:pPr>
        <w:spacing w:line="276" w:lineRule="auto"/>
        <w:ind w:firstLine="567"/>
        <w:jc w:val="both"/>
      </w:pPr>
    </w:p>
    <w:p w14:paraId="6E8756E2" w14:textId="269880C2" w:rsidR="00D53760" w:rsidRDefault="003047F5" w:rsidP="00442A9C">
      <w:pPr>
        <w:spacing w:line="276" w:lineRule="auto"/>
        <w:ind w:firstLine="720"/>
        <w:jc w:val="both"/>
      </w:pPr>
      <w:r>
        <w:t>[1] </w:t>
      </w:r>
      <w:r w:rsidR="009357DD">
        <w:t xml:space="preserve">Pieteicējs </w:t>
      </w:r>
      <w:r w:rsidR="00442A9C">
        <w:t xml:space="preserve">[pers. A] </w:t>
      </w:r>
      <w:r w:rsidR="009357DD">
        <w:t>vērsās Kurzemes rajona tiesā, lūdzot izsniegt kriminālprocesa Nr. 11250020620 materiālu kopijas un atbrīvot pieteicēju no maksas par krimināllietas materiālu kopiju izgatavošanu.</w:t>
      </w:r>
      <w:r w:rsidR="00D53760">
        <w:t xml:space="preserve"> Attiecīgā lieta, kur</w:t>
      </w:r>
      <w:r w:rsidR="00BD10B1">
        <w:t>ā</w:t>
      </w:r>
      <w:r w:rsidR="00D53760">
        <w:t xml:space="preserve"> pieteicējs ir </w:t>
      </w:r>
      <w:r w:rsidR="00BD10B1">
        <w:t>notiesātais</w:t>
      </w:r>
      <w:r w:rsidR="00D53760">
        <w:t>, ir izskatīta slēgtā tiesas sēdē, un galīgais tiesas nolēmums šajā lietā ir stājies spēkā.</w:t>
      </w:r>
    </w:p>
    <w:p w14:paraId="553028C6" w14:textId="1C58C136" w:rsidR="009357DD" w:rsidRDefault="009357DD" w:rsidP="00442A9C">
      <w:pPr>
        <w:spacing w:line="276" w:lineRule="auto"/>
        <w:ind w:firstLine="720"/>
        <w:jc w:val="both"/>
      </w:pPr>
      <w:r>
        <w:t>2025.gada 7.janvārī notika videokonference starp Kurzemes rajona tiesu un Jelgavas cietumu, lai izlemtu jautājumu par krimināllietas materiālu kopiju izsniegšanu.</w:t>
      </w:r>
    </w:p>
    <w:p w14:paraId="6A2A760F" w14:textId="4131A394" w:rsidR="009357DD" w:rsidRDefault="009357DD" w:rsidP="00442A9C">
      <w:pPr>
        <w:spacing w:line="276" w:lineRule="auto"/>
        <w:ind w:firstLine="720"/>
        <w:jc w:val="both"/>
      </w:pPr>
      <w:r>
        <w:t>Kurzemes rajona tiesas</w:t>
      </w:r>
      <w:r w:rsidR="00524C9A">
        <w:t xml:space="preserve"> priekšsēdētājs</w:t>
      </w:r>
      <w:r w:rsidR="00367B98">
        <w:t xml:space="preserve"> </w:t>
      </w:r>
      <w:r>
        <w:t>2025.gada 7.februār</w:t>
      </w:r>
      <w:r w:rsidR="00524C9A">
        <w:t>ī pieteicējam nosūtīja vēstuli, kurā norādīts, ka</w:t>
      </w:r>
      <w:r>
        <w:t xml:space="preserve"> pieteicējam </w:t>
      </w:r>
      <w:r w:rsidR="00A6446C">
        <w:t>tiks izsniegtas</w:t>
      </w:r>
      <w:r>
        <w:t xml:space="preserve"> krimināllietas materiālu kopijas, piemērojot 50 % atbrīvojumu no samaksas par kopiju izgatavošanu.</w:t>
      </w:r>
    </w:p>
    <w:p w14:paraId="4B406D66" w14:textId="77777777" w:rsidR="009357DD" w:rsidRDefault="009357DD" w:rsidP="00442A9C">
      <w:pPr>
        <w:spacing w:line="276" w:lineRule="auto"/>
        <w:ind w:firstLine="720"/>
        <w:jc w:val="both"/>
      </w:pPr>
    </w:p>
    <w:p w14:paraId="6F08CCD5" w14:textId="0A66CE46" w:rsidR="009357DD" w:rsidRDefault="009357DD" w:rsidP="00442A9C">
      <w:pPr>
        <w:spacing w:line="276" w:lineRule="auto"/>
        <w:ind w:firstLine="720"/>
        <w:jc w:val="both"/>
      </w:pPr>
      <w:r>
        <w:t>[2] </w:t>
      </w:r>
      <w:r w:rsidR="00524C9A">
        <w:t>Pieteicējs vērsās Kurzemes rajona tiesā, lūdzot viņam nosūtīt 2025.gada 7.janvāra tiesas sēdes protokolu un audioierakstu.</w:t>
      </w:r>
    </w:p>
    <w:p w14:paraId="583622A6" w14:textId="7447EC3D" w:rsidR="009357DD" w:rsidRDefault="00524C9A" w:rsidP="00442A9C">
      <w:pPr>
        <w:spacing w:line="276" w:lineRule="auto"/>
        <w:ind w:firstLine="720"/>
        <w:jc w:val="both"/>
      </w:pPr>
      <w:r>
        <w:t>Kurzemes rajona tiesas tiesnes</w:t>
      </w:r>
      <w:r w:rsidR="00A769A8">
        <w:t>is</w:t>
      </w:r>
      <w:r>
        <w:t xml:space="preserve"> 2025.gada 13.marta vēstulē </w:t>
      </w:r>
      <w:r w:rsidR="0042352D">
        <w:t>atteica apmierināt pieteicēja lūgumu</w:t>
      </w:r>
      <w:r>
        <w:t>.</w:t>
      </w:r>
    </w:p>
    <w:p w14:paraId="7B7447C9" w14:textId="77777777" w:rsidR="003047F5" w:rsidRDefault="003047F5" w:rsidP="00442A9C">
      <w:pPr>
        <w:spacing w:line="276" w:lineRule="auto"/>
        <w:ind w:firstLine="720"/>
        <w:jc w:val="both"/>
      </w:pPr>
    </w:p>
    <w:p w14:paraId="410AEE24" w14:textId="4400FD2D" w:rsidR="005F1028" w:rsidRDefault="005F1028" w:rsidP="00442A9C">
      <w:pPr>
        <w:spacing w:line="276" w:lineRule="auto"/>
        <w:ind w:firstLine="720"/>
        <w:jc w:val="both"/>
      </w:pPr>
      <w:r w:rsidRPr="00D7630E">
        <w:t>[</w:t>
      </w:r>
      <w:r w:rsidR="002D363C">
        <w:t>3</w:t>
      </w:r>
      <w:r w:rsidRPr="00D7630E">
        <w:t>] </w:t>
      </w:r>
      <w:r w:rsidR="00A174BF" w:rsidRPr="00D7630E">
        <w:t>Pieteicējs minēto Kurzemes rajona tiesas rīcību</w:t>
      </w:r>
      <w:r w:rsidR="00D7630E" w:rsidRPr="00D7630E">
        <w:t xml:space="preserve">, izsniedzot krimināllietas materiālu kopijas par maksu un neizsniedzot tiesas sēdes protokolu un audioierakstu, </w:t>
      </w:r>
      <w:r w:rsidR="0006364D">
        <w:t>apstrīdēja ar 2025.gada 30.marta iesniegumu (turpmāk</w:t>
      </w:r>
      <w:r w:rsidR="00C83D77">
        <w:t xml:space="preserve"> </w:t>
      </w:r>
      <w:r w:rsidR="0006364D">
        <w:t>– apstrīdēšanas iesniegums) Tieslietu ministrijai (turpmāk</w:t>
      </w:r>
      <w:r w:rsidR="00C83D77">
        <w:t xml:space="preserve"> </w:t>
      </w:r>
      <w:r w:rsidR="0006364D">
        <w:t>– ministrija)</w:t>
      </w:r>
      <w:r w:rsidR="00D7630E" w:rsidRPr="00D7630E">
        <w:t>, lūdzot viņam atlīdzināt zaudējumus 51,29 </w:t>
      </w:r>
      <w:proofErr w:type="spellStart"/>
      <w:r w:rsidR="00D7630E" w:rsidRPr="00D7630E">
        <w:rPr>
          <w:i/>
          <w:iCs/>
        </w:rPr>
        <w:t>euro</w:t>
      </w:r>
      <w:proofErr w:type="spellEnd"/>
      <w:r w:rsidR="00D7630E" w:rsidRPr="00D7630E">
        <w:t xml:space="preserve"> apmērā un nemantisko kaitējumu 30 000 </w:t>
      </w:r>
      <w:proofErr w:type="spellStart"/>
      <w:r w:rsidR="00D7630E" w:rsidRPr="00D7630E">
        <w:rPr>
          <w:i/>
          <w:iCs/>
        </w:rPr>
        <w:t>euro</w:t>
      </w:r>
      <w:proofErr w:type="spellEnd"/>
      <w:r w:rsidR="00D7630E" w:rsidRPr="00D7630E">
        <w:t xml:space="preserve"> apmērā</w:t>
      </w:r>
      <w:r w:rsidR="004E0D9E" w:rsidRPr="00D7630E">
        <w:t>.</w:t>
      </w:r>
      <w:r w:rsidR="00025F7A" w:rsidRPr="00D7630E">
        <w:t xml:space="preserve"> Papildus pieteicējs </w:t>
      </w:r>
      <w:r w:rsidR="00025F7A" w:rsidRPr="00D7630E">
        <w:lastRenderedPageBreak/>
        <w:t xml:space="preserve">lūdza lemt jautājumu par disciplinārlietas ierosināšanu pret </w:t>
      </w:r>
      <w:r w:rsidR="00ED39B4">
        <w:t>Kurzemes rajona tiesas priekšsēdētāju</w:t>
      </w:r>
      <w:r w:rsidR="00367B98">
        <w:t xml:space="preserve"> un </w:t>
      </w:r>
      <w:r w:rsidR="00ED39B4">
        <w:t>tiesnesi</w:t>
      </w:r>
      <w:r w:rsidR="0006364D">
        <w:t>, kā arī nosūtīt viņam apstrīdēšanas iesnieguma kopiju</w:t>
      </w:r>
      <w:r w:rsidR="00025F7A" w:rsidRPr="00D7630E">
        <w:t>.</w:t>
      </w:r>
    </w:p>
    <w:p w14:paraId="47745A4C" w14:textId="6BC19B12" w:rsidR="005539C2" w:rsidRDefault="0006364D" w:rsidP="00442A9C">
      <w:pPr>
        <w:spacing w:line="276" w:lineRule="auto"/>
        <w:ind w:firstLine="720"/>
        <w:jc w:val="both"/>
      </w:pPr>
      <w:r>
        <w:t>Ministrija</w:t>
      </w:r>
      <w:r w:rsidR="004B3CE1">
        <w:t xml:space="preserve"> </w:t>
      </w:r>
      <w:r w:rsidR="005539C2">
        <w:t xml:space="preserve">2025.gada 30.aprīlī pieteicējam sniedza atbildi (turpmāk – ministrijas lēmums), </w:t>
      </w:r>
      <w:r w:rsidR="004B3CE1">
        <w:t>ka tiesas rīcība, izsniedzot pieteicējam krimināllietas materiālus par maksu, nav apstrīdama ministrijā, jo tiesa ir rīkojusies kriminālprocesa ietvaros, nevis kā iestāde saskaņā ar Informācijas atklātības likumu.</w:t>
      </w:r>
      <w:r w:rsidR="0042352D">
        <w:t xml:space="preserve"> Ministrija</w:t>
      </w:r>
      <w:r w:rsidR="001F406D">
        <w:t xml:space="preserve"> arī</w:t>
      </w:r>
      <w:r w:rsidR="0042352D">
        <w:t xml:space="preserve"> nekonstatēja pamatu </w:t>
      </w:r>
      <w:r w:rsidR="00693D45">
        <w:t>apmierināt pārējos pieteicēja lūgumus.</w:t>
      </w:r>
    </w:p>
    <w:p w14:paraId="41658FFB" w14:textId="77777777" w:rsidR="0042352D" w:rsidRDefault="0042352D" w:rsidP="00442A9C">
      <w:pPr>
        <w:spacing w:line="276" w:lineRule="auto"/>
        <w:ind w:firstLine="720"/>
        <w:jc w:val="both"/>
      </w:pPr>
    </w:p>
    <w:p w14:paraId="16FC717E" w14:textId="1321CC9A" w:rsidR="0042352D" w:rsidRPr="0082381C" w:rsidRDefault="0042352D" w:rsidP="00442A9C">
      <w:pPr>
        <w:spacing w:line="276" w:lineRule="auto"/>
        <w:ind w:firstLine="720"/>
        <w:jc w:val="both"/>
      </w:pPr>
      <w:r>
        <w:t xml:space="preserve">[4] Pieteicējs vērsās Administratīvajā rajona tiesā, </w:t>
      </w:r>
      <w:r w:rsidR="005F3963">
        <w:t>lūdzot atcelt ministrijas lēmumu, atlīdzināt zaudējumus 55,89 </w:t>
      </w:r>
      <w:proofErr w:type="spellStart"/>
      <w:r w:rsidR="005F3963" w:rsidRPr="000E0090">
        <w:rPr>
          <w:i/>
          <w:iCs/>
        </w:rPr>
        <w:t>euro</w:t>
      </w:r>
      <w:proofErr w:type="spellEnd"/>
      <w:r w:rsidR="005F3963">
        <w:t xml:space="preserve"> apmērā (krimināllietas materiālu kopiju izmaksas 51,29 </w:t>
      </w:r>
      <w:proofErr w:type="spellStart"/>
      <w:r w:rsidR="005F3963" w:rsidRPr="005F3963">
        <w:rPr>
          <w:i/>
          <w:iCs/>
        </w:rPr>
        <w:t>euro</w:t>
      </w:r>
      <w:proofErr w:type="spellEnd"/>
      <w:r w:rsidR="005F3963">
        <w:t xml:space="preserve"> apmērā un izdevumus par apstrīdēšanas iesnieguma nosūtīšanu 4,60 </w:t>
      </w:r>
      <w:proofErr w:type="spellStart"/>
      <w:r w:rsidR="005F3963" w:rsidRPr="005F3963">
        <w:rPr>
          <w:i/>
          <w:iCs/>
        </w:rPr>
        <w:t>euro</w:t>
      </w:r>
      <w:proofErr w:type="spellEnd"/>
      <w:r w:rsidR="005F3963">
        <w:t xml:space="preserve"> apmērā), </w:t>
      </w:r>
      <w:r w:rsidR="00D77A9D">
        <w:t xml:space="preserve">kompensēt </w:t>
      </w:r>
      <w:r w:rsidR="00947A56">
        <w:t xml:space="preserve">nemantisko </w:t>
      </w:r>
      <w:r w:rsidR="00D77A9D">
        <w:t>kaitējumu 30 000 </w:t>
      </w:r>
      <w:proofErr w:type="spellStart"/>
      <w:r w:rsidR="00D77A9D" w:rsidRPr="00D77A9D">
        <w:rPr>
          <w:i/>
          <w:iCs/>
        </w:rPr>
        <w:t>euro</w:t>
      </w:r>
      <w:proofErr w:type="spellEnd"/>
      <w:r w:rsidR="00D77A9D">
        <w:t xml:space="preserve"> apmērā, </w:t>
      </w:r>
      <w:r w:rsidR="005F3963">
        <w:t>uzlikt Kurzemes rajona tiesai pienākumu izsniegt 2025.gada 7.janvāra tiesas sēdes protokolu un audioierakstu</w:t>
      </w:r>
      <w:r w:rsidR="00D77A9D">
        <w:t>, kā arī izprasīt ministrijai apstrīdēšanas iesniegumu.</w:t>
      </w:r>
    </w:p>
    <w:p w14:paraId="7C468456" w14:textId="77777777" w:rsidR="00A769A8" w:rsidRDefault="00A769A8" w:rsidP="00442A9C">
      <w:pPr>
        <w:spacing w:line="276" w:lineRule="auto"/>
        <w:ind w:firstLine="720"/>
        <w:jc w:val="both"/>
      </w:pPr>
    </w:p>
    <w:p w14:paraId="1EAD98E9" w14:textId="24DCDC53" w:rsidR="00367E52" w:rsidRDefault="00A769A8" w:rsidP="00442A9C">
      <w:pPr>
        <w:spacing w:line="276" w:lineRule="auto"/>
        <w:ind w:firstLine="720"/>
        <w:jc w:val="both"/>
      </w:pPr>
      <w:r>
        <w:t>[5] </w:t>
      </w:r>
      <w:r w:rsidR="006D3DA1">
        <w:t>Ar Administratīvās rajona tiesas tiesneša 2025.gada 16.jūlija lēmumu pieteikumu atteikts pieņemt, pamatojoties uz Administratīvā procesa likuma 191.panta pirmās daļas 1.punktu (lieta nav izskatāma administratīvā procesa kārtībā). Lēmums motivēts ar turpmāk minētajiem argumentiem.</w:t>
      </w:r>
    </w:p>
    <w:p w14:paraId="3055DA7F" w14:textId="418096EC" w:rsidR="006D3DA1" w:rsidRDefault="006D3DA1" w:rsidP="00442A9C">
      <w:pPr>
        <w:spacing w:line="276" w:lineRule="auto"/>
        <w:ind w:firstLine="720"/>
        <w:jc w:val="both"/>
      </w:pPr>
      <w:r>
        <w:t>[</w:t>
      </w:r>
      <w:r w:rsidR="00195338">
        <w:t>5</w:t>
      </w:r>
      <w:r>
        <w:t>.1] </w:t>
      </w:r>
      <w:r w:rsidR="00F35C8F">
        <w:t xml:space="preserve">Vērtējot pieteicēja prasījumu par zaudējumu </w:t>
      </w:r>
      <w:r w:rsidR="0028059D">
        <w:t>51,29 </w:t>
      </w:r>
      <w:proofErr w:type="spellStart"/>
      <w:r w:rsidR="0028059D" w:rsidRPr="00F35C8F">
        <w:rPr>
          <w:i/>
          <w:iCs/>
        </w:rPr>
        <w:t>euro</w:t>
      </w:r>
      <w:proofErr w:type="spellEnd"/>
      <w:r w:rsidR="0028059D">
        <w:t xml:space="preserve"> </w:t>
      </w:r>
      <w:r w:rsidR="00F35C8F">
        <w:t>atlīdzināšanu</w:t>
      </w:r>
      <w:r w:rsidR="00FB128F">
        <w:t>,</w:t>
      </w:r>
      <w:r w:rsidR="00F35C8F">
        <w:t xml:space="preserve"> ir noskaidrojams, vai ar šādu procesuālu pārkāpumu ir nodarīts būtisks personas tiesību vai tiesisko interešu aizskārums un ir tikušas būtiski aizskartas pieteicēja </w:t>
      </w:r>
      <w:proofErr w:type="spellStart"/>
      <w:r w:rsidR="00F35C8F">
        <w:t>pamattiesības</w:t>
      </w:r>
      <w:proofErr w:type="spellEnd"/>
      <w:r w:rsidR="00F35C8F">
        <w:t xml:space="preserve">. </w:t>
      </w:r>
      <w:r w:rsidR="0028059D">
        <w:t xml:space="preserve">Konkrētajā gadījumā šāds aizskārums nav saskatāms, ņemot vērā pieteicēja ienākumus maksājuma pieprasīšanas brīdī (2025.gada novembrī </w:t>
      </w:r>
      <w:r w:rsidR="00232FA6">
        <w:t xml:space="preserve">pieteicējs </w:t>
      </w:r>
      <w:r w:rsidR="0028059D">
        <w:t>saņēma vecuma pensiju 232,97 </w:t>
      </w:r>
      <w:proofErr w:type="spellStart"/>
      <w:r w:rsidR="0028059D" w:rsidRPr="0028059D">
        <w:rPr>
          <w:i/>
          <w:iCs/>
        </w:rPr>
        <w:t>euro</w:t>
      </w:r>
      <w:proofErr w:type="spellEnd"/>
      <w:r w:rsidR="0028059D">
        <w:t xml:space="preserve"> un pārskaitījumu no fiziskās personas 70 </w:t>
      </w:r>
      <w:proofErr w:type="spellStart"/>
      <w:r w:rsidR="0028059D" w:rsidRPr="0028059D">
        <w:rPr>
          <w:i/>
          <w:iCs/>
        </w:rPr>
        <w:t>euro</w:t>
      </w:r>
      <w:proofErr w:type="spellEnd"/>
      <w:r w:rsidR="0028059D">
        <w:t>)</w:t>
      </w:r>
      <w:r w:rsidR="00691DCC">
        <w:t xml:space="preserve"> un faktu, ka pieteicējs, atrodoties ieslodzījuma vietā, atrodas pilnīgā valsts apgādībā.</w:t>
      </w:r>
    </w:p>
    <w:p w14:paraId="2B878BB6" w14:textId="3F8CE37F" w:rsidR="00691DCC" w:rsidRDefault="00FB128F" w:rsidP="00442A9C">
      <w:pPr>
        <w:spacing w:line="276" w:lineRule="auto"/>
        <w:ind w:firstLine="720"/>
        <w:jc w:val="both"/>
      </w:pPr>
      <w:r>
        <w:t>[</w:t>
      </w:r>
      <w:r w:rsidR="00195338">
        <w:t>5</w:t>
      </w:r>
      <w:r>
        <w:t xml:space="preserve">.2] Ar videokonferences audioieraksta un protokola neizsniegšanu nav nodarīts būtisks pieteicēja </w:t>
      </w:r>
      <w:proofErr w:type="spellStart"/>
      <w:r>
        <w:t>pamattiesību</w:t>
      </w:r>
      <w:proofErr w:type="spellEnd"/>
      <w:r>
        <w:t xml:space="preserve"> aizskārums, un pieteicējs nav norādījis, kādas būtiskas sekas viņam būtu radītas.</w:t>
      </w:r>
    </w:p>
    <w:p w14:paraId="15326327" w14:textId="6CF1C17E" w:rsidR="00FB128F" w:rsidRDefault="00FB128F" w:rsidP="00442A9C">
      <w:pPr>
        <w:spacing w:line="276" w:lineRule="auto"/>
        <w:ind w:firstLine="720"/>
        <w:jc w:val="both"/>
      </w:pPr>
      <w:r>
        <w:t>[</w:t>
      </w:r>
      <w:r w:rsidR="00195338">
        <w:t>5</w:t>
      </w:r>
      <w:r>
        <w:t>.3] Senāta judikatūrā ir atzīts, ka prasījums par tiesnešu disciplināru sodīšanu nav izskatāms administratīvā procesa kārtībā</w:t>
      </w:r>
      <w:r w:rsidR="009A0F35">
        <w:t xml:space="preserve">. Attiecīgi </w:t>
      </w:r>
      <w:r>
        <w:t>prasījums par Kurzemes rajona tiesas priekšsēdētāja un tiesneša saukšanu pie disciplinārās atbildības</w:t>
      </w:r>
      <w:r w:rsidR="005B4C11">
        <w:t xml:space="preserve"> nav </w:t>
      </w:r>
      <w:r w:rsidR="002F2966">
        <w:t>iz</w:t>
      </w:r>
      <w:r w:rsidR="005B4C11">
        <w:t>skatāms administratīvajā tiesā</w:t>
      </w:r>
      <w:r>
        <w:t>.</w:t>
      </w:r>
    </w:p>
    <w:p w14:paraId="71F5017E" w14:textId="74FD7113" w:rsidR="00FB128F" w:rsidRDefault="00FB128F" w:rsidP="00442A9C">
      <w:pPr>
        <w:spacing w:line="276" w:lineRule="auto"/>
        <w:ind w:firstLine="720"/>
        <w:jc w:val="both"/>
      </w:pPr>
      <w:r>
        <w:t>[</w:t>
      </w:r>
      <w:r w:rsidR="00672E4F">
        <w:t>5</w:t>
      </w:r>
      <w:r>
        <w:t>.4] </w:t>
      </w:r>
      <w:r w:rsidR="002C0790">
        <w:t xml:space="preserve">Pieteicēja </w:t>
      </w:r>
      <w:proofErr w:type="spellStart"/>
      <w:r w:rsidR="002C0790">
        <w:t>pamatprasījumi</w:t>
      </w:r>
      <w:proofErr w:type="spellEnd"/>
      <w:r w:rsidR="002C0790">
        <w:t xml:space="preserve"> nav izskatāmi administratīvā procesa kārtībā, tāpēc arī tiem pakārtotie prasījumi</w:t>
      </w:r>
      <w:r w:rsidR="003D33F3">
        <w:t xml:space="preserve"> – </w:t>
      </w:r>
      <w:r w:rsidR="002C0790">
        <w:t>atlīdzināt zaudējumus</w:t>
      </w:r>
      <w:r w:rsidR="003D33F3">
        <w:t xml:space="preserve"> par apstrīdēšanas iesnieguma nosūtīšanu, atlīdzināt</w:t>
      </w:r>
      <w:r w:rsidR="002C0790">
        <w:t xml:space="preserve"> nemantisko kaitējumu un nosūtīt pieteicējam apstrīdēšanas iesnieguma kopiju</w:t>
      </w:r>
      <w:r w:rsidR="003D33F3">
        <w:t> –</w:t>
      </w:r>
      <w:r w:rsidR="002C0790">
        <w:t xml:space="preserve"> nav pieļaujami uz tā paša pamata.</w:t>
      </w:r>
    </w:p>
    <w:p w14:paraId="25A80309" w14:textId="39E7DBEA" w:rsidR="002C0790" w:rsidRDefault="000A3088" w:rsidP="00442A9C">
      <w:pPr>
        <w:spacing w:line="276" w:lineRule="auto"/>
        <w:ind w:firstLine="720"/>
        <w:jc w:val="both"/>
      </w:pPr>
      <w:r>
        <w:t>[</w:t>
      </w:r>
      <w:r w:rsidR="00672E4F">
        <w:t>5</w:t>
      </w:r>
      <w:r>
        <w:t>.5] </w:t>
      </w:r>
      <w:r w:rsidR="00C91BCA">
        <w:t>Pieteicējs kļūdās, uzskatot, ka ministrija nav ievērojusi Iesniegumu likumā noteikto termiņu atbildes sniegšanai uz apstrīdēšanas iesniegumu.</w:t>
      </w:r>
    </w:p>
    <w:p w14:paraId="7C32FB4C" w14:textId="77777777" w:rsidR="001A57E6" w:rsidRDefault="001A57E6" w:rsidP="00442A9C">
      <w:pPr>
        <w:spacing w:line="276" w:lineRule="auto"/>
        <w:ind w:firstLine="720"/>
        <w:jc w:val="both"/>
      </w:pPr>
    </w:p>
    <w:p w14:paraId="57FE208F" w14:textId="7688E347" w:rsidR="001A57E6" w:rsidRDefault="001A57E6" w:rsidP="00442A9C">
      <w:pPr>
        <w:spacing w:line="276" w:lineRule="auto"/>
        <w:ind w:firstLine="720"/>
        <w:jc w:val="both"/>
      </w:pPr>
      <w:r>
        <w:t>[</w:t>
      </w:r>
      <w:r w:rsidR="00CF39B3">
        <w:t>6</w:t>
      </w:r>
      <w:r>
        <w:t>]</w:t>
      </w:r>
      <w:r w:rsidR="002A5B44">
        <w:t xml:space="preserve"> Pieteicējs </w:t>
      </w:r>
      <w:r w:rsidR="00A07C49">
        <w:t xml:space="preserve">iesniedza blakus sūdzību </w:t>
      </w:r>
      <w:r w:rsidR="002A5B44">
        <w:t xml:space="preserve">par Administratīvās rajona tiesas tiesneša 2025.gada 16.jūlija lēmumu, </w:t>
      </w:r>
      <w:r w:rsidR="00C83085">
        <w:t xml:space="preserve">to </w:t>
      </w:r>
      <w:r w:rsidR="002A5B44">
        <w:t>pamatojot ar turpmāk minētajiem argumentiem.</w:t>
      </w:r>
    </w:p>
    <w:p w14:paraId="50BB378A" w14:textId="6AED70B8" w:rsidR="002A5B44" w:rsidRDefault="00906633" w:rsidP="00442A9C">
      <w:pPr>
        <w:spacing w:line="276" w:lineRule="auto"/>
        <w:ind w:firstLine="720"/>
        <w:jc w:val="both"/>
      </w:pPr>
      <w:r>
        <w:t>[</w:t>
      </w:r>
      <w:r w:rsidR="00CF39B3">
        <w:t>6</w:t>
      </w:r>
      <w:r>
        <w:t>.1] </w:t>
      </w:r>
      <w:r w:rsidR="00ED710E">
        <w:t xml:space="preserve">Pārsūdzētais lēmums ir prettiesisks un būtiski skar pieteicēja </w:t>
      </w:r>
      <w:proofErr w:type="spellStart"/>
      <w:r w:rsidR="00ED710E">
        <w:t>pamattiesības</w:t>
      </w:r>
      <w:proofErr w:type="spellEnd"/>
      <w:r w:rsidR="00ED710E">
        <w:t>, kuras noteiktas Latvijas Republikas Satversmes (turpmāk – Satversme) 92.pantā.</w:t>
      </w:r>
      <w:r w:rsidR="007A386C">
        <w:t xml:space="preserve"> Tāpat pieteicējs </w:t>
      </w:r>
      <w:r w:rsidR="00185ADB">
        <w:t>ir atsaucies</w:t>
      </w:r>
      <w:r w:rsidR="007A386C">
        <w:t xml:space="preserve"> uz Satversmes 83. un 91.pantu, likuma „Par tiesu varu” 1.panta otro un ceturto dalu, 3.panta otro daļu, 4.panta pirmo daļu un 7.panta pirmo daļu, Ministru </w:t>
      </w:r>
      <w:r w:rsidR="007A386C">
        <w:lastRenderedPageBreak/>
        <w:t>kabineta 2013.gada 19.februāra noteikumu Nr. 96 „Noteikumi par tiesas sniegtajiem maksas pakalpojumiem” 5.1.3.apakšpunktu, kā arī Kriminālprocesa likuma 44.nodaļu un 375.panta otro daļu.</w:t>
      </w:r>
    </w:p>
    <w:p w14:paraId="6BED7659" w14:textId="6D71DEA7" w:rsidR="001A2A5A" w:rsidRPr="0082381C" w:rsidRDefault="001A2A5A" w:rsidP="00442A9C">
      <w:pPr>
        <w:spacing w:line="276" w:lineRule="auto"/>
        <w:ind w:firstLine="720"/>
        <w:jc w:val="both"/>
      </w:pPr>
      <w:r>
        <w:t>[</w:t>
      </w:r>
      <w:r w:rsidR="00CF39B3">
        <w:t>6</w:t>
      </w:r>
      <w:r>
        <w:t>.2] Rajona tiesas tiesnesis ir pārkāpis privātpersonas tiesību ievērošanas principu. Minētais princips jāņem vērā, ne tikai izlemjot lietu pēc būtības, bet arī izlemjot procesa gaitā radušos procesuālos jautājumus.</w:t>
      </w:r>
    </w:p>
    <w:p w14:paraId="51D5FABC" w14:textId="77777777" w:rsidR="003047F5" w:rsidRDefault="003047F5" w:rsidP="00442A9C">
      <w:pPr>
        <w:spacing w:line="276" w:lineRule="auto"/>
        <w:ind w:firstLine="720"/>
        <w:jc w:val="both"/>
      </w:pPr>
    </w:p>
    <w:p w14:paraId="1900DA50" w14:textId="77777777" w:rsidR="003047F5" w:rsidRDefault="003047F5" w:rsidP="00442A9C">
      <w:pPr>
        <w:spacing w:line="276" w:lineRule="auto"/>
        <w:jc w:val="center"/>
        <w:rPr>
          <w:b/>
        </w:rPr>
      </w:pPr>
      <w:r>
        <w:rPr>
          <w:b/>
        </w:rPr>
        <w:t>Motīvu daļa</w:t>
      </w:r>
    </w:p>
    <w:p w14:paraId="50C3E4A3" w14:textId="77777777" w:rsidR="003047F5" w:rsidRDefault="003047F5" w:rsidP="00442A9C">
      <w:pPr>
        <w:spacing w:line="276" w:lineRule="auto"/>
        <w:ind w:firstLine="567"/>
        <w:jc w:val="both"/>
      </w:pPr>
    </w:p>
    <w:p w14:paraId="61AB8A36" w14:textId="69ABB925" w:rsidR="00D43189" w:rsidRDefault="00D43189" w:rsidP="00442A9C">
      <w:pPr>
        <w:spacing w:line="276" w:lineRule="auto"/>
        <w:ind w:firstLine="720"/>
        <w:jc w:val="both"/>
      </w:pPr>
      <w:r>
        <w:t>[</w:t>
      </w:r>
      <w:r w:rsidR="00CF39B3">
        <w:t>7</w:t>
      </w:r>
      <w:r>
        <w:t>] Pieteicējs uzskata, ka rajona tiesas tiesnesis, pieņemot pārsūdzēto lēmumu, ir pārkāpis privātpersonas tiesību ievērošanas principu.</w:t>
      </w:r>
    </w:p>
    <w:p w14:paraId="0CE22465" w14:textId="158B84CE" w:rsidR="00D43189" w:rsidRDefault="008D4EEE" w:rsidP="00442A9C">
      <w:pPr>
        <w:spacing w:line="276" w:lineRule="auto"/>
        <w:ind w:firstLine="720"/>
        <w:jc w:val="both"/>
      </w:pPr>
      <w:r>
        <w:t>Senāta j</w:t>
      </w:r>
      <w:r w:rsidR="00D43189">
        <w:t>udikatūrā ir atzīts, ka privātpersonas tiesību ievērošanas princips uzliek tiesai pienākumu nodrošināt tādu lietas izskatīšanas procesu, kurā privātpersonas tiesības tiek ievērotas visefektīvākajā veidā. Nepieciešamības gadījumā tas nozīmē arī pienākumu administratīvajai tiesai iedziļināties jautājuma būtībā, notikumu attīstībā vai plašākā apstākļu kontekstā, lai palīdzētu personai pārvarēt formālus šķēršļus pieteikuma pieņemšanai. Formāla pieeja ir pretēja administratīvā procesa būtībai. Ja tiesa piemērojamo tiesību normu ietvaros redz risinājumu, kas novērš šķēršļus pieteikuma pieņemšanai, tad tas nebūtu ignorējams tikai tāpēc, ka persona uz šādu risinājumu pati nav norādījusi</w:t>
      </w:r>
      <w:r>
        <w:t xml:space="preserve"> (</w:t>
      </w:r>
      <w:r w:rsidRPr="000B4A55">
        <w:rPr>
          <w:i/>
          <w:iCs/>
        </w:rPr>
        <w:t>Senāta 2021.gada 30.marta lēmuma lietā Nr. SKA</w:t>
      </w:r>
      <w:r w:rsidRPr="000B4A55">
        <w:rPr>
          <w:i/>
          <w:iCs/>
        </w:rPr>
        <w:noBreakHyphen/>
        <w:t>709/2021</w:t>
      </w:r>
      <w:r w:rsidR="000B4A55" w:rsidRPr="000B4A55">
        <w:rPr>
          <w:i/>
          <w:iCs/>
        </w:rPr>
        <w:t xml:space="preserve">, </w:t>
      </w:r>
      <w:hyperlink r:id="rId8" w:history="1">
        <w:r w:rsidR="000B4A55" w:rsidRPr="000B4A55">
          <w:rPr>
            <w:rStyle w:val="Hyperlink"/>
            <w:i/>
            <w:iCs/>
          </w:rPr>
          <w:t>ECLI:LV:AT:2021:0330.A420200720.9.L</w:t>
        </w:r>
      </w:hyperlink>
      <w:r w:rsidR="000B4A55" w:rsidRPr="000B4A55">
        <w:rPr>
          <w:i/>
          <w:iCs/>
        </w:rPr>
        <w:t>,</w:t>
      </w:r>
      <w:r w:rsidRPr="000B4A55">
        <w:rPr>
          <w:i/>
          <w:iCs/>
        </w:rPr>
        <w:t xml:space="preserve"> 9.punkts</w:t>
      </w:r>
      <w:r>
        <w:t>)</w:t>
      </w:r>
      <w:r w:rsidR="00D43189">
        <w:t>.</w:t>
      </w:r>
      <w:r w:rsidR="00641C66">
        <w:t xml:space="preserve"> Tāpat</w:t>
      </w:r>
      <w:r w:rsidR="00A13565">
        <w:t xml:space="preserve"> Senāts</w:t>
      </w:r>
      <w:r w:rsidR="00641C66">
        <w:t xml:space="preserve"> ir </w:t>
      </w:r>
      <w:r w:rsidR="00A13565">
        <w:t>atzinis</w:t>
      </w:r>
      <w:r w:rsidR="00641C66">
        <w:t>, ka gadījumos, kad pietei</w:t>
      </w:r>
      <w:r w:rsidR="00A13565">
        <w:t xml:space="preserve">cēja prasījums nav pietiekoši skaidrs, tiesa pati var interpretēt to tā, kā saprātīgs pieteicējs to būtu formulējis. Pieteikuma priekšmets ir saistāms ar to mērķi, kuru pieteicējs vēlējies panākt, vēršoties iestādē </w:t>
      </w:r>
      <w:r w:rsidR="00641C66">
        <w:t>(</w:t>
      </w:r>
      <w:r w:rsidR="00A13565" w:rsidRPr="00A13565">
        <w:rPr>
          <w:i/>
          <w:iCs/>
        </w:rPr>
        <w:t>Senāta 2014.gada 3.aprīļa lēmuma lietā Nr. </w:t>
      </w:r>
      <w:hyperlink r:id="rId9" w:history="1">
        <w:r w:rsidR="00A13565" w:rsidRPr="00A13565">
          <w:rPr>
            <w:rStyle w:val="Hyperlink"/>
            <w:i/>
            <w:iCs/>
          </w:rPr>
          <w:t>SKA</w:t>
        </w:r>
        <w:r w:rsidR="00A13565" w:rsidRPr="00A13565">
          <w:rPr>
            <w:rStyle w:val="Hyperlink"/>
            <w:i/>
            <w:iCs/>
          </w:rPr>
          <w:noBreakHyphen/>
          <w:t>261/2014</w:t>
        </w:r>
      </w:hyperlink>
      <w:r w:rsidR="00A13565" w:rsidRPr="00A13565">
        <w:rPr>
          <w:i/>
          <w:iCs/>
        </w:rPr>
        <w:t>, 6</w:t>
      </w:r>
      <w:r w:rsidR="00A13565" w:rsidRPr="00A13565">
        <w:rPr>
          <w:i/>
          <w:iCs/>
        </w:rPr>
        <w:noBreakHyphen/>
        <w:t>80117213, 8.punkts, 2023.gada 5.decembra lēmuma lietā Nr. SKA</w:t>
      </w:r>
      <w:r w:rsidR="00A13565" w:rsidRPr="00A13565">
        <w:rPr>
          <w:i/>
          <w:iCs/>
        </w:rPr>
        <w:noBreakHyphen/>
        <w:t xml:space="preserve">973/2023, </w:t>
      </w:r>
      <w:hyperlink r:id="rId10" w:history="1">
        <w:r w:rsidR="00A13565" w:rsidRPr="00A13565">
          <w:rPr>
            <w:rStyle w:val="Hyperlink"/>
            <w:i/>
            <w:iCs/>
          </w:rPr>
          <w:t>ECLI:LV:AT:2023:1205.A420163023.10.L</w:t>
        </w:r>
      </w:hyperlink>
      <w:r w:rsidR="00A13565" w:rsidRPr="00A13565">
        <w:rPr>
          <w:i/>
          <w:iCs/>
        </w:rPr>
        <w:t>, 7.punkts</w:t>
      </w:r>
      <w:r w:rsidR="00A13565">
        <w:t>)</w:t>
      </w:r>
      <w:r w:rsidR="00641C66" w:rsidRPr="00641C66">
        <w:t>.</w:t>
      </w:r>
    </w:p>
    <w:p w14:paraId="093286A5" w14:textId="63062D8C" w:rsidR="00F3597D" w:rsidRDefault="00D43189" w:rsidP="00442A9C">
      <w:pPr>
        <w:spacing w:line="276" w:lineRule="auto"/>
        <w:ind w:firstLine="720"/>
        <w:jc w:val="both"/>
      </w:pPr>
      <w:r>
        <w:t xml:space="preserve">Senāts arī vērš uzmanību, ka pieteicējs šajā lietā lūdza viņam piešķirt valsts nodrošināto juridisko palīdzību, pamatojot </w:t>
      </w:r>
      <w:r w:rsidR="00163807">
        <w:t xml:space="preserve">šo </w:t>
      </w:r>
      <w:r>
        <w:t>lūgumu ar savu vecumu (pieteicējs ir pensionārs 70 gadu vecumā), juridisko zināšanu trūkumu un mantisko stāvokli. Ar Administratīvās rajona tiesas tiesneša 2025.gada 3.jūlija lēmumu lūgums tika noraidīts, jo pieteicējs kā ieslodzītais atrodoties pilnā valsts apgādībā, konkrētā lieta neesot tik sarežģīta, lai pieteicējs pats nebūtu spējīgs pilnvērtīgi aizstāvēt savas tiesības vai likumiskās intereses, kā arī tiesai neesot šķēršļu pašai noskaidrot objektīvo patiesību, veicot pierādījumu pārbaudi (</w:t>
      </w:r>
      <w:r w:rsidRPr="004A4C8E">
        <w:rPr>
          <w:i/>
          <w:iCs/>
        </w:rPr>
        <w:t>lietas materiālu 58.–59.lapa</w:t>
      </w:r>
      <w:r>
        <w:t>).</w:t>
      </w:r>
      <w:r w:rsidR="00134992">
        <w:t xml:space="preserve"> </w:t>
      </w:r>
      <w:r>
        <w:t xml:space="preserve">Šādā situācijā ir sevišķi svarīgi, lai tiesa </w:t>
      </w:r>
      <w:r w:rsidR="00A900E2">
        <w:t xml:space="preserve">pati </w:t>
      </w:r>
      <w:r>
        <w:t xml:space="preserve">noskaidrotu pieteicēja mērķi, vēršoties tiesā, un tiesību normu robežās </w:t>
      </w:r>
      <w:r w:rsidR="00301B6D">
        <w:t xml:space="preserve">sekmētu </w:t>
      </w:r>
      <w:r>
        <w:t>pieteicējam labvēlīgāk</w:t>
      </w:r>
      <w:r w:rsidR="00301B6D">
        <w:t>ā</w:t>
      </w:r>
      <w:r>
        <w:t xml:space="preserve"> risinājum</w:t>
      </w:r>
      <w:r w:rsidR="00301B6D">
        <w:t>a panākšan</w:t>
      </w:r>
      <w:r>
        <w:t>u.</w:t>
      </w:r>
    </w:p>
    <w:p w14:paraId="421E2EC6" w14:textId="350599FB" w:rsidR="005C7112" w:rsidRDefault="005C7112" w:rsidP="00442A9C">
      <w:pPr>
        <w:spacing w:line="276" w:lineRule="auto"/>
        <w:ind w:firstLine="720"/>
        <w:jc w:val="both"/>
      </w:pPr>
      <w:r>
        <w:t>Līdz ar to Senāts pārbaudīs, vai pieteikumā</w:t>
      </w:r>
      <w:r w:rsidR="00F52853">
        <w:t>, ņemot vērā pieteicēja mērķi,</w:t>
      </w:r>
      <w:r>
        <w:t xml:space="preserve"> ir ietverti prasījumi, kuri varētu būt izskatāmi administratīvā procesa kārtībā, un attiecīgi vai pārsūdzētajā lēmumā ietvertie secinājumi nav pretrunā ar tiesību normām un pastāvošo judikatūru.</w:t>
      </w:r>
    </w:p>
    <w:p w14:paraId="0D7DBE27" w14:textId="77777777" w:rsidR="00D43189" w:rsidRDefault="00D43189" w:rsidP="00442A9C">
      <w:pPr>
        <w:spacing w:line="276" w:lineRule="auto"/>
        <w:ind w:firstLine="567"/>
        <w:jc w:val="both"/>
      </w:pPr>
    </w:p>
    <w:p w14:paraId="350675CF" w14:textId="698F3CD8" w:rsidR="00B04728" w:rsidRPr="00B04728" w:rsidRDefault="00B04728" w:rsidP="00442A9C">
      <w:pPr>
        <w:spacing w:line="276" w:lineRule="auto"/>
        <w:ind w:firstLine="720"/>
        <w:jc w:val="both"/>
        <w:rPr>
          <w:i/>
          <w:iCs/>
        </w:rPr>
      </w:pPr>
      <w:r w:rsidRPr="00B04728">
        <w:rPr>
          <w:i/>
          <w:iCs/>
        </w:rPr>
        <w:t xml:space="preserve">Par krimināllietas materiālu kopiju, </w:t>
      </w:r>
      <w:r w:rsidR="00D23DB7" w:rsidRPr="00EB68E3">
        <w:rPr>
          <w:i/>
          <w:iCs/>
        </w:rPr>
        <w:t>2025.gada 7.janvāra videokonferences (pieteicēja ieskatā</w:t>
      </w:r>
      <w:r w:rsidR="001F7A33">
        <w:rPr>
          <w:i/>
          <w:iCs/>
        </w:rPr>
        <w:t> –</w:t>
      </w:r>
      <w:r w:rsidR="00D23DB7" w:rsidRPr="00EB68E3">
        <w:rPr>
          <w:i/>
          <w:iCs/>
        </w:rPr>
        <w:t xml:space="preserve"> tiesas sēdes) </w:t>
      </w:r>
      <w:r w:rsidRPr="00B04728">
        <w:rPr>
          <w:i/>
          <w:iCs/>
        </w:rPr>
        <w:t>protokola un audioieraksta izsniegšanu</w:t>
      </w:r>
    </w:p>
    <w:p w14:paraId="66349BD3" w14:textId="521F1FE2" w:rsidR="0063619E" w:rsidRDefault="003047F5" w:rsidP="00442A9C">
      <w:pPr>
        <w:spacing w:line="276" w:lineRule="auto"/>
        <w:ind w:firstLine="720"/>
        <w:jc w:val="both"/>
      </w:pPr>
      <w:r>
        <w:t>[</w:t>
      </w:r>
      <w:r w:rsidR="00F6281A">
        <w:t>8</w:t>
      </w:r>
      <w:r>
        <w:t>] </w:t>
      </w:r>
      <w:r w:rsidR="002158AC">
        <w:t xml:space="preserve">Senātam konkrētajā gadījumā jāatbild, vai rajona tiesas tiesnesis pamatoti secinājis, ka jautājums par krimināllietas materiālu kopiju izsniegšanu par maksu un </w:t>
      </w:r>
      <w:r w:rsidR="00D23DB7">
        <w:lastRenderedPageBreak/>
        <w:t>2025.gada 7.janvāra videokonferences (pieteicēja ieskatā</w:t>
      </w:r>
      <w:r w:rsidR="0003242E">
        <w:t> –</w:t>
      </w:r>
      <w:r w:rsidR="00D23DB7">
        <w:t xml:space="preserve"> tiesas sēdes)</w:t>
      </w:r>
      <w:r w:rsidR="002158AC">
        <w:t xml:space="preserve"> protokola un audioieraksta neizsniegšanu nav izskatāms administratīvā procesa kārtībā.</w:t>
      </w:r>
    </w:p>
    <w:p w14:paraId="4ECFC00A" w14:textId="77777777" w:rsidR="002158AC" w:rsidRDefault="002158AC" w:rsidP="00442A9C">
      <w:pPr>
        <w:spacing w:line="276" w:lineRule="auto"/>
        <w:jc w:val="both"/>
      </w:pPr>
    </w:p>
    <w:p w14:paraId="0DB71A51" w14:textId="1ABDF2C4" w:rsidR="00FB7E98" w:rsidRDefault="002158AC" w:rsidP="00442A9C">
      <w:pPr>
        <w:spacing w:line="276" w:lineRule="auto"/>
        <w:ind w:firstLine="720"/>
        <w:jc w:val="both"/>
      </w:pPr>
      <w:r>
        <w:t>[</w:t>
      </w:r>
      <w:r w:rsidR="00F6281A">
        <w:t>9</w:t>
      </w:r>
      <w:r>
        <w:t>] </w:t>
      </w:r>
      <w:r w:rsidR="00FB7E98">
        <w:t xml:space="preserve">Pieteicējs savu pieteikumu </w:t>
      </w:r>
      <w:proofErr w:type="spellStart"/>
      <w:r w:rsidR="00FB7E98">
        <w:t>citstarp</w:t>
      </w:r>
      <w:proofErr w:type="spellEnd"/>
      <w:r w:rsidR="00FB7E98">
        <w:t xml:space="preserve"> ir pamatojis ar Satversmes 100.pantu un Senāta judikatūru, kurā atzīts, ka tiesības saņemt informāciju ir garantētas Satversmes 100.pantā kā tiesību uz vārda brīvību sastāvdaļa un</w:t>
      </w:r>
      <w:r w:rsidR="00F37357">
        <w:t xml:space="preserve"> </w:t>
      </w:r>
      <w:r w:rsidR="00FB7E98">
        <w:t>ir viens no demokrātiskas sabiedrības pamatiem (</w:t>
      </w:r>
      <w:r w:rsidR="00FB7E98" w:rsidRPr="00FB7E98">
        <w:rPr>
          <w:i/>
          <w:iCs/>
        </w:rPr>
        <w:t>lietas materiālu 5.–6.lapa</w:t>
      </w:r>
      <w:r w:rsidR="00FB7E98">
        <w:t>). Līdz ar to pieteicēja ieskatā konkrētajā gadījumā ir skartas viņa tiesības uz informāciju.</w:t>
      </w:r>
    </w:p>
    <w:p w14:paraId="034647FE" w14:textId="06F7117C" w:rsidR="006A2A50" w:rsidRDefault="002158AC" w:rsidP="00442A9C">
      <w:pPr>
        <w:spacing w:line="276" w:lineRule="auto"/>
        <w:ind w:firstLine="720"/>
        <w:jc w:val="both"/>
      </w:pPr>
      <w:r>
        <w:t>Senāta judikatūrā ir atzīts, ka pēc galīgā nolēmuma stāšanās spēkā informācija, kas saistīta ar konkrētu krimināllietu, ir pieejama saskaņā ar Informācijas atklātības likumu (</w:t>
      </w:r>
      <w:r w:rsidRPr="002158AC">
        <w:rPr>
          <w:i/>
          <w:iCs/>
        </w:rPr>
        <w:t>Senāta 2020.gada 15.jūnija lēmuma lietā Nr. SKA</w:t>
      </w:r>
      <w:r w:rsidRPr="002158AC">
        <w:rPr>
          <w:i/>
          <w:iCs/>
        </w:rPr>
        <w:noBreakHyphen/>
        <w:t xml:space="preserve">926/2020, </w:t>
      </w:r>
      <w:hyperlink r:id="rId11" w:history="1">
        <w:r w:rsidRPr="002158AC">
          <w:rPr>
            <w:rStyle w:val="Hyperlink"/>
            <w:i/>
            <w:iCs/>
          </w:rPr>
          <w:t>ECLI:LV:AT:2020:0615.SKA092620.8.L</w:t>
        </w:r>
      </w:hyperlink>
      <w:r w:rsidRPr="002158AC">
        <w:rPr>
          <w:i/>
          <w:iCs/>
        </w:rPr>
        <w:t>, 7.punkts</w:t>
      </w:r>
      <w:r w:rsidR="00A35015">
        <w:t xml:space="preserve"> un tajā norādītā judikatūra</w:t>
      </w:r>
      <w:r>
        <w:t>).</w:t>
      </w:r>
    </w:p>
    <w:p w14:paraId="325EE698" w14:textId="78DD9DCB" w:rsidR="00D37C75" w:rsidRDefault="0092383B" w:rsidP="00442A9C">
      <w:pPr>
        <w:spacing w:line="276" w:lineRule="auto"/>
        <w:ind w:firstLine="720"/>
        <w:jc w:val="both"/>
      </w:pPr>
      <w:r>
        <w:t>Šajā</w:t>
      </w:r>
      <w:r w:rsidR="006A2A50">
        <w:t xml:space="preserve"> gadījumā nav strīda, ka pieteicējs lūdza izsniegt tādas krimināllietas materiālu kopijas, kurā jau bija stājies spēkā galīgais</w:t>
      </w:r>
      <w:r w:rsidR="007D20CC">
        <w:t xml:space="preserve"> </w:t>
      </w:r>
      <w:r w:rsidR="006A2A50">
        <w:t>nolēmums (</w:t>
      </w:r>
      <w:r w:rsidR="006A2A50" w:rsidRPr="00B602B4">
        <w:rPr>
          <w:i/>
          <w:iCs/>
        </w:rPr>
        <w:t>lietas materiālu 12.lapa</w:t>
      </w:r>
      <w:r w:rsidR="006A2A50">
        <w:t>).</w:t>
      </w:r>
    </w:p>
    <w:p w14:paraId="17A8D865" w14:textId="61C68E44" w:rsidR="00820EAC" w:rsidRDefault="00D37C75" w:rsidP="00442A9C">
      <w:pPr>
        <w:spacing w:line="276" w:lineRule="auto"/>
        <w:ind w:firstLine="720"/>
        <w:jc w:val="both"/>
      </w:pPr>
      <w:r>
        <w:t xml:space="preserve">Konkrētajā gadījumā </w:t>
      </w:r>
      <w:r w:rsidR="00E45579">
        <w:t>vērā ņemams, ka pieteicējs pieprasījis tādas krimināllietas materiālus, kas izskatīt</w:t>
      </w:r>
      <w:r w:rsidR="0003242E">
        <w:t>a</w:t>
      </w:r>
      <w:r w:rsidR="00E45579">
        <w:t xml:space="preserve"> slēgtā tiesas sēdē. </w:t>
      </w:r>
      <w:r w:rsidR="00BA5B58">
        <w:t xml:space="preserve">Kā Senāts iepriekš jau ir atzinis, </w:t>
      </w:r>
      <w:r w:rsidR="00BA5B58" w:rsidRPr="00BA5B58">
        <w:t>kaut arī vispārīgi informācijas pieejamību pēc lietas izskatīšanas un nolēmuma stāšanās spēkā regulē Informācijas atklātības likums, jāņem vērā, ka ir iespējamas situācijas, kad cita likuma speciālā tiesību norma noteic īpašu regulējumu informācijas pieejamībai.</w:t>
      </w:r>
      <w:r w:rsidR="00BA5B58">
        <w:t xml:space="preserve"> Attiecīgi personas </w:t>
      </w:r>
      <w:r w:rsidR="00BA5B58" w:rsidRPr="00BA5B58">
        <w:t>lūgums iepazīties ar krimināllietas materiāliem ir aplūkojams atbilstoši Informācijas atklātības likumam (tostarp ņemot vērā informācijas atklātības un pieejamības principus) tiktāl, ciktāl tā piemērošanu neierobežo speciālā tiesību norma</w:t>
      </w:r>
      <w:r w:rsidR="004052AF">
        <w:t xml:space="preserve"> (</w:t>
      </w:r>
      <w:r w:rsidR="004052AF" w:rsidRPr="0007749F">
        <w:rPr>
          <w:i/>
          <w:iCs/>
        </w:rPr>
        <w:t xml:space="preserve">Senāta </w:t>
      </w:r>
      <w:r w:rsidR="00D53337" w:rsidRPr="0007749F">
        <w:rPr>
          <w:i/>
          <w:iCs/>
        </w:rPr>
        <w:t xml:space="preserve">2017.gada </w:t>
      </w:r>
      <w:r w:rsidR="006D456A" w:rsidRPr="0007749F">
        <w:rPr>
          <w:i/>
          <w:iCs/>
        </w:rPr>
        <w:t xml:space="preserve">21.decembra sprieduma lietā Nr. SKA-453/2017, </w:t>
      </w:r>
      <w:hyperlink r:id="rId12" w:history="1">
        <w:r w:rsidR="006D456A" w:rsidRPr="0007749F">
          <w:rPr>
            <w:rStyle w:val="Hyperlink"/>
            <w:i/>
            <w:iCs/>
          </w:rPr>
          <w:t>ECLI:LV:AT:2017:1221.A420346515.2.S</w:t>
        </w:r>
      </w:hyperlink>
      <w:r w:rsidR="006D456A" w:rsidRPr="0007749F">
        <w:rPr>
          <w:i/>
          <w:iCs/>
        </w:rPr>
        <w:t>, 7.punkts</w:t>
      </w:r>
      <w:r w:rsidR="006D456A">
        <w:t>).</w:t>
      </w:r>
    </w:p>
    <w:p w14:paraId="00E89659" w14:textId="2003DC87" w:rsidR="00820EAC" w:rsidRDefault="0007749F" w:rsidP="00442A9C">
      <w:pPr>
        <w:spacing w:line="276" w:lineRule="auto"/>
        <w:ind w:firstLine="720"/>
        <w:jc w:val="both"/>
      </w:pPr>
      <w:r>
        <w:t xml:space="preserve">Likuma „Par tiesu varu” </w:t>
      </w:r>
      <w:r w:rsidR="00680A90">
        <w:t>28.</w:t>
      </w:r>
      <w:r w:rsidR="00680A90" w:rsidRPr="00577766">
        <w:rPr>
          <w:vertAlign w:val="superscript"/>
        </w:rPr>
        <w:t>4</w:t>
      </w:r>
      <w:r w:rsidR="00680A90">
        <w:t>panta pirmā daļa paredz, ka</w:t>
      </w:r>
      <w:r w:rsidR="00577766">
        <w:t xml:space="preserve"> s</w:t>
      </w:r>
      <w:r w:rsidR="00577766" w:rsidRPr="00577766">
        <w:t>lēgtā tiesas sēdē izskatītās lietas materiāli pirms šā panta otrajā, trešajā un ceturtajā daļā noteikto termiņu izbeigšanās ir pieejami tikai tām personām, kurām šādas tiesības paredzētas procesuālajos likumos un šā likuma</w:t>
      </w:r>
      <w:r w:rsidR="00577766">
        <w:t xml:space="preserve"> 28.</w:t>
      </w:r>
      <w:r w:rsidR="00577766" w:rsidRPr="00AE3214">
        <w:rPr>
          <w:vertAlign w:val="superscript"/>
        </w:rPr>
        <w:t>3</w:t>
      </w:r>
      <w:r w:rsidR="00577766">
        <w:t xml:space="preserve">panta </w:t>
      </w:r>
      <w:r w:rsidR="00577766" w:rsidRPr="00577766">
        <w:t>trešajā daļā</w:t>
      </w:r>
      <w:r w:rsidR="00AE3214">
        <w:t>. Tas nozīmē, ka speciālā tiesību norma konkrētajā gadījumā paredz personu loku, kur</w:t>
      </w:r>
      <w:r w:rsidR="00A055BA">
        <w:t>a</w:t>
      </w:r>
      <w:r w:rsidR="00AE3214">
        <w:t>m būtu tiesības iepazīties ar krimināllietas materiāliem. Lietā nav strīda, ka pieteicējam ir šādas tiesības un tiesa arī ir nodrošinājusi viņam iespēju saņemt krimināllietas materiālus.</w:t>
      </w:r>
    </w:p>
    <w:p w14:paraId="4E5A56E2" w14:textId="37E82186" w:rsidR="00D37C75" w:rsidRDefault="00820EAC" w:rsidP="00442A9C">
      <w:pPr>
        <w:spacing w:line="276" w:lineRule="auto"/>
        <w:ind w:firstLine="720"/>
        <w:jc w:val="both"/>
      </w:pPr>
      <w:r>
        <w:t>Savukārt attiecībā uz to, kādā veidā tiesai šajā gadījumā bija jāizskata pieteicēja lūgums, citos likumos, tostarp arī likumā „Par tiesu varu” un Kriminālprocesa likumā, nav ietvertas speciālas tiesību normas.</w:t>
      </w:r>
      <w:r w:rsidR="0003242E">
        <w:t xml:space="preserve"> Tieši pretēji – likuma „Par tiesu varu” </w:t>
      </w:r>
      <w:r w:rsidR="004B37A7">
        <w:t>28.</w:t>
      </w:r>
      <w:r w:rsidR="004B37A7" w:rsidRPr="00EB68E3">
        <w:rPr>
          <w:vertAlign w:val="superscript"/>
        </w:rPr>
        <w:t>5</w:t>
      </w:r>
      <w:r w:rsidR="004B37A7">
        <w:t>panta pirmā daļa apstiprina, ka tiesas atteikums izsniegt pieprasīto informāciju ir apstrīdams un pārsūdzams vispārējā – Administratīvā procesa likumā noteiktajā – kārtībā.</w:t>
      </w:r>
      <w:r>
        <w:t xml:space="preserve"> </w:t>
      </w:r>
      <w:r w:rsidR="00F6281A">
        <w:t>Līdz ar to</w:t>
      </w:r>
      <w:r>
        <w:t xml:space="preserve"> </w:t>
      </w:r>
      <w:r w:rsidR="002855A6">
        <w:t xml:space="preserve">tiesai šajā gadījumā jārīkojas </w:t>
      </w:r>
      <w:r w:rsidR="002855A6" w:rsidRPr="00BA5B58">
        <w:t>atbilstoši Informācijas atklātības likumam (tostarp ņemot vērā informācijas atklātības un pieejamības principus)</w:t>
      </w:r>
      <w:r w:rsidR="002855A6">
        <w:t>.</w:t>
      </w:r>
    </w:p>
    <w:p w14:paraId="4981978F" w14:textId="0523ED7C" w:rsidR="002158AC" w:rsidRDefault="00742798" w:rsidP="00442A9C">
      <w:pPr>
        <w:spacing w:line="276" w:lineRule="auto"/>
        <w:ind w:firstLine="720"/>
        <w:jc w:val="both"/>
      </w:pPr>
      <w:r>
        <w:t xml:space="preserve">Attiecīgi </w:t>
      </w:r>
      <w:r w:rsidR="006A2A50">
        <w:t>šāds pieteicēja lūgums</w:t>
      </w:r>
      <w:r>
        <w:t xml:space="preserve"> ir </w:t>
      </w:r>
      <w:r w:rsidR="00EF5964">
        <w:t>uzskatāms par informācijas pieprasījumu Informācijas atklātības likuma nozīmē.</w:t>
      </w:r>
    </w:p>
    <w:p w14:paraId="28625A0C" w14:textId="77777777" w:rsidR="006A2A50" w:rsidRDefault="006A2A50" w:rsidP="00442A9C">
      <w:pPr>
        <w:spacing w:line="276" w:lineRule="auto"/>
        <w:ind w:firstLine="720"/>
        <w:jc w:val="both"/>
      </w:pPr>
    </w:p>
    <w:p w14:paraId="30C5E9C7" w14:textId="7B3129C2" w:rsidR="00EF5964" w:rsidRDefault="006A2A50" w:rsidP="00442A9C">
      <w:pPr>
        <w:spacing w:line="276" w:lineRule="auto"/>
        <w:ind w:firstLine="720"/>
        <w:jc w:val="both"/>
      </w:pPr>
      <w:r>
        <w:t>[</w:t>
      </w:r>
      <w:r w:rsidR="00270B86">
        <w:t>10</w:t>
      </w:r>
      <w:r>
        <w:t>] </w:t>
      </w:r>
      <w:r w:rsidR="00AB0696">
        <w:t>Senāta j</w:t>
      </w:r>
      <w:r w:rsidR="002A1FA9">
        <w:t>udikatūrā ir secināts</w:t>
      </w:r>
      <w:r w:rsidR="007C20C1">
        <w:t xml:space="preserve">, ka lēmums par informācijas sniegšanu tad, ja persona samaksās konkrētu maksu, ir administratīvais akts par informācijas sniegšanu ar nosacījumu. Citiem vārdiem, tas ir atteikums sniegt informāciju, ja netiks izpildīts norādītais nosacījums. Pieteikums par administratīvo aktu daļā par nosacījumu ir pakļauts </w:t>
      </w:r>
      <w:r w:rsidR="007C20C1">
        <w:lastRenderedPageBreak/>
        <w:t>administratīvajai tiesai (</w:t>
      </w:r>
      <w:r w:rsidR="007C20C1" w:rsidRPr="007C20C1">
        <w:rPr>
          <w:i/>
          <w:iCs/>
        </w:rPr>
        <w:t>Senāta 2010.gada 14.maija lēmuma lietā Nr. </w:t>
      </w:r>
      <w:hyperlink r:id="rId13" w:history="1">
        <w:r w:rsidR="007C20C1" w:rsidRPr="007C20C1">
          <w:rPr>
            <w:rStyle w:val="Hyperlink"/>
            <w:i/>
            <w:iCs/>
          </w:rPr>
          <w:t>SKA</w:t>
        </w:r>
        <w:r w:rsidR="007C20C1" w:rsidRPr="007C20C1">
          <w:rPr>
            <w:rStyle w:val="Hyperlink"/>
            <w:i/>
            <w:iCs/>
          </w:rPr>
          <w:noBreakHyphen/>
          <w:t>511/2010</w:t>
        </w:r>
      </w:hyperlink>
      <w:r w:rsidR="007C20C1" w:rsidRPr="007C20C1">
        <w:rPr>
          <w:i/>
          <w:iCs/>
        </w:rPr>
        <w:t xml:space="preserve"> 9.punkts</w:t>
      </w:r>
      <w:r w:rsidR="007C20C1">
        <w:t xml:space="preserve">). Tāpat Senāts ir atzinis, ka tas, ka persona pārsūdz lēmumu par informācijas izsniegšanu tikai daļā par piemēroto maksu, nemaina šā lēmuma pārsūdzības kārtību </w:t>
      </w:r>
      <w:r w:rsidR="00407C35">
        <w:t>saskaņā ar</w:t>
      </w:r>
      <w:r w:rsidR="007C20C1">
        <w:t xml:space="preserve"> Informācijas atklātības likuma 15.panta pirm</w:t>
      </w:r>
      <w:r w:rsidR="00407C35">
        <w:t>o</w:t>
      </w:r>
      <w:r w:rsidR="007C20C1">
        <w:t xml:space="preserve"> daļ</w:t>
      </w:r>
      <w:r w:rsidR="00407C35">
        <w:t>u (</w:t>
      </w:r>
      <w:r w:rsidR="00374D17" w:rsidRPr="00374D17">
        <w:rPr>
          <w:i/>
          <w:iCs/>
        </w:rPr>
        <w:t>Senāta 2009.gada 20.augusta lēmuma lietā Nr. </w:t>
      </w:r>
      <w:hyperlink r:id="rId14" w:history="1">
        <w:r w:rsidR="00374D17" w:rsidRPr="00374D17">
          <w:rPr>
            <w:rStyle w:val="Hyperlink"/>
            <w:i/>
            <w:iCs/>
          </w:rPr>
          <w:t>SKA</w:t>
        </w:r>
        <w:r w:rsidR="00374D17" w:rsidRPr="00374D17">
          <w:rPr>
            <w:rStyle w:val="Hyperlink"/>
            <w:i/>
            <w:iCs/>
          </w:rPr>
          <w:noBreakHyphen/>
          <w:t>573/2009</w:t>
        </w:r>
      </w:hyperlink>
      <w:r w:rsidR="00374D17" w:rsidRPr="00374D17">
        <w:rPr>
          <w:i/>
          <w:iCs/>
        </w:rPr>
        <w:t>, A42511307, 8.punkts</w:t>
      </w:r>
      <w:r w:rsidR="00374D17">
        <w:t>)</w:t>
      </w:r>
      <w:r w:rsidR="007C20C1">
        <w:t>.</w:t>
      </w:r>
    </w:p>
    <w:p w14:paraId="6640820F" w14:textId="6F402401" w:rsidR="00F009F3" w:rsidRDefault="002E5158" w:rsidP="00442A9C">
      <w:pPr>
        <w:spacing w:line="276" w:lineRule="auto"/>
        <w:ind w:firstLine="720"/>
        <w:jc w:val="both"/>
      </w:pPr>
      <w:r>
        <w:t xml:space="preserve">Senāts konstatē, ka pieteicējs jau ir saņēmis lūgtās lietas materiālu kopijas un samaksājis par to izsniegšanu, taču nepiekrīt minētajai maksai un vēlas to atgūt. </w:t>
      </w:r>
      <w:r w:rsidR="00F009F3">
        <w:t>Attiecīgi pieteicējs lūdz atzīt administratīvā akta nosacījumu par prettiesisku, lai saņemtu atlīdzinājumu (</w:t>
      </w:r>
      <w:r w:rsidR="00F009F3" w:rsidRPr="00F009F3">
        <w:rPr>
          <w:i/>
          <w:iCs/>
        </w:rPr>
        <w:t>Administratīvā procesa likuma 184.panta otrās daļas 1.punkts</w:t>
      </w:r>
      <w:r w:rsidR="00F009F3">
        <w:t>).</w:t>
      </w:r>
      <w:r>
        <w:t xml:space="preserve"> </w:t>
      </w:r>
      <w:r w:rsidR="0020603A">
        <w:t>Š</w:t>
      </w:r>
      <w:r w:rsidR="00F009F3">
        <w:t>āds prasījums</w:t>
      </w:r>
      <w:r w:rsidR="0020603A">
        <w:t xml:space="preserve"> </w:t>
      </w:r>
      <w:r w:rsidR="00F009F3">
        <w:t xml:space="preserve">ir izskatāms administratīvā procesa kārtībā. </w:t>
      </w:r>
      <w:r w:rsidR="000D77E7">
        <w:t>Savukārt</w:t>
      </w:r>
      <w:r w:rsidR="00F009F3">
        <w:t xml:space="preserve"> rajona tiesas tiesnesis ir nepareizi konstatējis, ka maksas prasīšana par krimināllietas materiālu kopiju izsniegšanu ir procesuāls pārkāpums</w:t>
      </w:r>
      <w:r w:rsidR="004476EC">
        <w:t>,</w:t>
      </w:r>
      <w:r w:rsidR="00F009F3">
        <w:t xml:space="preserve"> un līdz ar to </w:t>
      </w:r>
      <w:r w:rsidR="00600CAD">
        <w:t xml:space="preserve">pārsteidzīgi atzinis, ka </w:t>
      </w:r>
      <w:r w:rsidR="00F009F3">
        <w:t>būtu jāvērtē pieteicēja tiesību aizskāruma būtiskums.</w:t>
      </w:r>
    </w:p>
    <w:p w14:paraId="304FA896" w14:textId="77777777" w:rsidR="00EA6DFA" w:rsidRDefault="00EA6DFA" w:rsidP="00442A9C">
      <w:pPr>
        <w:spacing w:line="276" w:lineRule="auto"/>
        <w:ind w:firstLine="720"/>
        <w:jc w:val="both"/>
      </w:pPr>
    </w:p>
    <w:p w14:paraId="4F04015A" w14:textId="436833A5" w:rsidR="000D77E7" w:rsidRDefault="00EA6DFA" w:rsidP="00442A9C">
      <w:pPr>
        <w:spacing w:line="276" w:lineRule="auto"/>
        <w:ind w:firstLine="720"/>
        <w:jc w:val="both"/>
      </w:pPr>
      <w:r>
        <w:t>[</w:t>
      </w:r>
      <w:r w:rsidR="00D70B5A">
        <w:t>11</w:t>
      </w:r>
      <w:r>
        <w:t>] </w:t>
      </w:r>
      <w:r w:rsidR="00F009F3">
        <w:t>Senāts papildus konstatē, ka ministrija ir atteikusies vērtēt minētās Kurzemes rajona tiesas rīcības tiesiskumu, uzskatot, ka nav piemērojams Informācijas atklātības likums un līdz ar to ministrija nav uzskatāma par augstāku iestādi.</w:t>
      </w:r>
      <w:r w:rsidR="00B31963">
        <w:t xml:space="preserve"> Ņemot vērā </w:t>
      </w:r>
      <w:r>
        <w:t xml:space="preserve">Senāta iepriekš </w:t>
      </w:r>
      <w:r w:rsidR="00FE1E88">
        <w:t>izteiktos</w:t>
      </w:r>
      <w:r w:rsidR="00B31963">
        <w:t xml:space="preserve"> apsvērumus</w:t>
      </w:r>
      <w:r>
        <w:t xml:space="preserve">, </w:t>
      </w:r>
      <w:r w:rsidR="00B31963">
        <w:t xml:space="preserve">pieteicējs Kurzemes rajona tiesas atteikumus ir pamatoti apstrīdējis </w:t>
      </w:r>
      <w:r>
        <w:t>ministrijā saskaņā ar likuma „Par tiesu varu” 28.</w:t>
      </w:r>
      <w:r w:rsidRPr="00EA6DFA">
        <w:rPr>
          <w:vertAlign w:val="superscript"/>
        </w:rPr>
        <w:t>5</w:t>
      </w:r>
      <w:r>
        <w:t>panta pirmo daļu.</w:t>
      </w:r>
    </w:p>
    <w:p w14:paraId="16C9B5AB" w14:textId="2CC65051" w:rsidR="00F009F3" w:rsidRDefault="00EA6DFA" w:rsidP="00442A9C">
      <w:pPr>
        <w:spacing w:line="276" w:lineRule="auto"/>
        <w:ind w:firstLine="720"/>
        <w:jc w:val="both"/>
      </w:pPr>
      <w:r>
        <w:t xml:space="preserve">Senāta judikatūrā ir atzīts – </w:t>
      </w:r>
      <w:r w:rsidRPr="00EA6DFA">
        <w:t xml:space="preserve">ja vien privātpersona ir izpildījusi savu pienākumu ievērot likumā noteikto lietas iepriekšējās </w:t>
      </w:r>
      <w:proofErr w:type="spellStart"/>
      <w:r w:rsidRPr="00EA6DFA">
        <w:t>ārpustiesas</w:t>
      </w:r>
      <w:proofErr w:type="spellEnd"/>
      <w:r w:rsidRPr="00EA6DFA">
        <w:t xml:space="preserve"> izskatīšanas kārtību, vēršoties ar iesniegumu iestādē, tad tas, ka iestāde, iespējams, nepamatoti atteikusies pēc būtības izskatīt apstrīdēšanas iesniegumu vai vispār uz to nav atbildējusi likumā noteiktajā termiņā, nekādi neietekmē iesniedzēja procesuālās tiesības vērsties tiesā</w:t>
      </w:r>
      <w:r>
        <w:t xml:space="preserve"> (</w:t>
      </w:r>
      <w:r w:rsidRPr="00EA6DFA">
        <w:rPr>
          <w:i/>
          <w:iCs/>
        </w:rPr>
        <w:t>Senāta 2017.gada 5.septembra lēmuma lietā Nr. SKA</w:t>
      </w:r>
      <w:r w:rsidRPr="00EA6DFA">
        <w:rPr>
          <w:i/>
          <w:iCs/>
        </w:rPr>
        <w:noBreakHyphen/>
        <w:t xml:space="preserve">1317/2017, </w:t>
      </w:r>
      <w:hyperlink r:id="rId15" w:history="1">
        <w:r w:rsidRPr="00EA6DFA">
          <w:rPr>
            <w:rStyle w:val="Hyperlink"/>
            <w:i/>
            <w:iCs/>
          </w:rPr>
          <w:t>ECLI:LV:AT:2017:0905.A420220917.1.L</w:t>
        </w:r>
      </w:hyperlink>
      <w:r w:rsidRPr="00EA6DFA">
        <w:rPr>
          <w:i/>
          <w:iCs/>
        </w:rPr>
        <w:t>, 4.punkts</w:t>
      </w:r>
      <w:r>
        <w:t>)</w:t>
      </w:r>
      <w:r w:rsidRPr="00EA6DFA">
        <w:t>.</w:t>
      </w:r>
    </w:p>
    <w:p w14:paraId="7987455C" w14:textId="77777777" w:rsidR="00A82DDA" w:rsidRDefault="00A82DDA" w:rsidP="00442A9C">
      <w:pPr>
        <w:spacing w:line="276" w:lineRule="auto"/>
        <w:ind w:firstLine="720"/>
        <w:jc w:val="both"/>
      </w:pPr>
    </w:p>
    <w:p w14:paraId="3521ECD4" w14:textId="0A87C733" w:rsidR="00A82DDA" w:rsidRDefault="00A82DDA" w:rsidP="00442A9C">
      <w:pPr>
        <w:spacing w:line="276" w:lineRule="auto"/>
        <w:ind w:firstLine="720"/>
        <w:jc w:val="both"/>
      </w:pPr>
      <w:r>
        <w:t>[</w:t>
      </w:r>
      <w:r w:rsidR="00F8775C">
        <w:t>12</w:t>
      </w:r>
      <w:r>
        <w:t>] </w:t>
      </w:r>
      <w:r w:rsidR="00C318BD">
        <w:t xml:space="preserve">Rajona tiesas tiesnesis nav arī vērtējis, vai pieteicēja lūgums izsniegt viņam </w:t>
      </w:r>
      <w:r w:rsidR="00805DF7">
        <w:t>2025.gada 7.janvāra videokonferences (pieteicēja ieskatā</w:t>
      </w:r>
      <w:r w:rsidR="002A4055">
        <w:t> –</w:t>
      </w:r>
      <w:r w:rsidR="00805DF7">
        <w:t xml:space="preserve"> </w:t>
      </w:r>
      <w:r w:rsidR="00C318BD">
        <w:t>tiesas sēdes</w:t>
      </w:r>
      <w:r w:rsidR="00805DF7">
        <w:t>)</w:t>
      </w:r>
      <w:r w:rsidR="00C318BD">
        <w:t xml:space="preserve"> protokolu un audioierakstu ir uzskatāms par informācijas pieprasījumu Informācijas atklātības likuma izpratnē, vien norādot, ka </w:t>
      </w:r>
      <w:r w:rsidR="00307B89">
        <w:t>neesot</w:t>
      </w:r>
      <w:r w:rsidR="00C318BD">
        <w:t xml:space="preserve"> </w:t>
      </w:r>
      <w:r w:rsidR="007A3434">
        <w:t>nodarīts</w:t>
      </w:r>
      <w:r w:rsidR="00C318BD">
        <w:t xml:space="preserve"> būtisks pieteicēja </w:t>
      </w:r>
      <w:proofErr w:type="spellStart"/>
      <w:r w:rsidR="00C318BD">
        <w:t>pamattiesību</w:t>
      </w:r>
      <w:proofErr w:type="spellEnd"/>
      <w:r w:rsidR="00C318BD">
        <w:t xml:space="preserve"> aizskārums (</w:t>
      </w:r>
      <w:r w:rsidR="00C318BD" w:rsidRPr="00C318BD">
        <w:rPr>
          <w:i/>
          <w:iCs/>
        </w:rPr>
        <w:t>pārsūdzētā lēmuma 9.punkts</w:t>
      </w:r>
      <w:r w:rsidR="00C318BD">
        <w:t xml:space="preserve">). Senāts atkārtoti vērš uzmanību, ka Informācijas atklātības likums neparedz </w:t>
      </w:r>
      <w:proofErr w:type="spellStart"/>
      <w:r w:rsidR="00C318BD">
        <w:t>pamattiesību</w:t>
      </w:r>
      <w:proofErr w:type="spellEnd"/>
      <w:r w:rsidR="00C318BD">
        <w:t xml:space="preserve"> aizskāruma būtiskumu kā priekšnoteikumu, lai persona varētu vērsties tiesā par atteikumu sniegt informāciju.</w:t>
      </w:r>
    </w:p>
    <w:p w14:paraId="6A8637CC" w14:textId="77777777" w:rsidR="002E741C" w:rsidRDefault="002E741C" w:rsidP="00442A9C">
      <w:pPr>
        <w:spacing w:line="276" w:lineRule="auto"/>
        <w:ind w:firstLine="720"/>
        <w:jc w:val="both"/>
      </w:pPr>
    </w:p>
    <w:p w14:paraId="112FB2E3" w14:textId="513AE263" w:rsidR="002E741C" w:rsidRDefault="002E741C" w:rsidP="00442A9C">
      <w:pPr>
        <w:spacing w:line="276" w:lineRule="auto"/>
        <w:ind w:firstLine="720"/>
        <w:jc w:val="both"/>
      </w:pPr>
      <w:r>
        <w:t>[</w:t>
      </w:r>
      <w:r w:rsidR="00B41214">
        <w:t>13</w:t>
      </w:r>
      <w:r>
        <w:t>] Ņemot vērā iepriekš izklāstītos apsvērumus, pārsūdzētais lēmums ir atceļams</w:t>
      </w:r>
      <w:r w:rsidR="00A85F29">
        <w:t xml:space="preserve"> daļā</w:t>
      </w:r>
      <w:r>
        <w:t>,</w:t>
      </w:r>
      <w:r w:rsidR="00A85F29">
        <w:t xml:space="preserve"> </w:t>
      </w:r>
      <w:r w:rsidR="00106300">
        <w:t>kurā</w:t>
      </w:r>
      <w:r w:rsidR="00A85F29">
        <w:t xml:space="preserve"> atteikts pieņemt pieteikumu </w:t>
      </w:r>
      <w:r w:rsidR="004143DE">
        <w:t xml:space="preserve">daļā par krimināllietas materiālu kopiju izsniegšanas maksas atzīšanu par prettiesisku, tam pakārtoto prasījumu par minētās maksas atlīdzināšanu, kā arī par </w:t>
      </w:r>
      <w:r w:rsidR="00C82D08" w:rsidRPr="00C82D08">
        <w:t>videokonferences (pieteicēja ieskatā – tiesas sēdes) protokol</w:t>
      </w:r>
      <w:r w:rsidR="00106300">
        <w:t>a</w:t>
      </w:r>
      <w:r w:rsidR="00C82D08" w:rsidRPr="00C82D08">
        <w:t xml:space="preserve"> un audioierakst</w:t>
      </w:r>
      <w:r w:rsidR="00106300">
        <w:t>a</w:t>
      </w:r>
      <w:r w:rsidR="001E612A">
        <w:t xml:space="preserve"> izsniegšanu.</w:t>
      </w:r>
      <w:r>
        <w:t xml:space="preserve"> </w:t>
      </w:r>
      <w:r w:rsidR="00A85F29">
        <w:t>R</w:t>
      </w:r>
      <w:r>
        <w:t xml:space="preserve">ajona tiesas tiesnesim, no jauna </w:t>
      </w:r>
      <w:r w:rsidR="00563974">
        <w:t xml:space="preserve">izskatot jautājumu par </w:t>
      </w:r>
      <w:r w:rsidR="00985DA5">
        <w:t>pieteikuma</w:t>
      </w:r>
      <w:r w:rsidR="00563974">
        <w:t xml:space="preserve"> virzību, ir jāvērtē, vai konkrētie pieteicēja prasījumi </w:t>
      </w:r>
      <w:r w:rsidR="00BE5173">
        <w:t>ir</w:t>
      </w:r>
      <w:r w:rsidR="00563974">
        <w:t xml:space="preserve"> pakļauti administratīvās tiesas kontrolei</w:t>
      </w:r>
      <w:r>
        <w:t xml:space="preserve"> </w:t>
      </w:r>
      <w:r w:rsidR="008036C0">
        <w:t>atbilstoši</w:t>
      </w:r>
      <w:r w:rsidR="00426200">
        <w:t xml:space="preserve"> Informācijas atklātības likum</w:t>
      </w:r>
      <w:r w:rsidR="008036C0">
        <w:t>am</w:t>
      </w:r>
      <w:r w:rsidR="00426200">
        <w:t>.</w:t>
      </w:r>
    </w:p>
    <w:p w14:paraId="6659FDF8" w14:textId="77777777" w:rsidR="00B04728" w:rsidRDefault="00B04728" w:rsidP="00442A9C">
      <w:pPr>
        <w:spacing w:line="276" w:lineRule="auto"/>
        <w:ind w:firstLine="720"/>
        <w:jc w:val="both"/>
      </w:pPr>
    </w:p>
    <w:p w14:paraId="766E23F3" w14:textId="1AA79DDA" w:rsidR="00B04728" w:rsidRDefault="00C31D7B" w:rsidP="00442A9C">
      <w:pPr>
        <w:spacing w:line="276" w:lineRule="auto"/>
        <w:ind w:firstLine="720"/>
        <w:jc w:val="both"/>
        <w:rPr>
          <w:i/>
          <w:iCs/>
        </w:rPr>
      </w:pPr>
      <w:r>
        <w:rPr>
          <w:i/>
          <w:iCs/>
        </w:rPr>
        <w:t xml:space="preserve">Par lūgumu disciplināri sodīt Kurzemes rajona tiesas </w:t>
      </w:r>
      <w:r w:rsidR="00413AAA">
        <w:rPr>
          <w:i/>
          <w:iCs/>
        </w:rPr>
        <w:t>priekšsēdētāju un tiesnesi</w:t>
      </w:r>
    </w:p>
    <w:p w14:paraId="377A6836" w14:textId="54E1FE83" w:rsidR="00C31D7B" w:rsidRPr="00873BB3" w:rsidRDefault="00F34A23" w:rsidP="00442A9C">
      <w:pPr>
        <w:spacing w:line="276" w:lineRule="auto"/>
        <w:ind w:firstLine="720"/>
        <w:jc w:val="both"/>
      </w:pPr>
      <w:r>
        <w:t>[</w:t>
      </w:r>
      <w:r w:rsidR="00B41214">
        <w:t>14</w:t>
      </w:r>
      <w:r>
        <w:t xml:space="preserve">] Senāts konstatē, ka rajona tiesas tiesnesis ir pareizi piemērojis Senāta judikatūru un pamatoti secinājis, ka pieteicēja prasījums par Kurzemes rajona tiesas </w:t>
      </w:r>
      <w:r w:rsidR="00B41214">
        <w:lastRenderedPageBreak/>
        <w:t xml:space="preserve">priekšsēdētāja un </w:t>
      </w:r>
      <w:r>
        <w:t>tiesneš</w:t>
      </w:r>
      <w:r w:rsidR="00B41214">
        <w:t>a</w:t>
      </w:r>
      <w:r>
        <w:t xml:space="preserve"> disciplināru sodīšanu nav pakļauts izskatīšanai administratīvā procesa kārtībā (</w:t>
      </w:r>
      <w:r w:rsidRPr="00F34A23">
        <w:rPr>
          <w:i/>
          <w:iCs/>
        </w:rPr>
        <w:t>pārsūdzētā lēmuma 11.punkts</w:t>
      </w:r>
      <w:r>
        <w:t xml:space="preserve">). </w:t>
      </w:r>
      <w:r w:rsidR="009B0FD4">
        <w:t>Turklāt pieteicējs</w:t>
      </w:r>
      <w:r w:rsidR="00AD44B0">
        <w:t xml:space="preserve"> blakus sūdzībā</w:t>
      </w:r>
      <w:r w:rsidR="009B0FD4">
        <w:t xml:space="preserve"> nav</w:t>
      </w:r>
      <w:r w:rsidR="00AD44B0">
        <w:t xml:space="preserve"> izteicis konkrētus argumentus attiecībā uz šo secinājumu. </w:t>
      </w:r>
      <w:r>
        <w:t>Līdz ar to pārsūdzētais lēmums šajā daļā ir atstājams negrozīts.</w:t>
      </w:r>
    </w:p>
    <w:p w14:paraId="1FD5BC98" w14:textId="77777777" w:rsidR="00C31D7B" w:rsidRDefault="00C31D7B" w:rsidP="00442A9C">
      <w:pPr>
        <w:spacing w:line="276" w:lineRule="auto"/>
        <w:ind w:firstLine="720"/>
        <w:jc w:val="both"/>
        <w:rPr>
          <w:i/>
          <w:iCs/>
        </w:rPr>
      </w:pPr>
    </w:p>
    <w:p w14:paraId="688FFD80" w14:textId="15FC034D" w:rsidR="00C31D7B" w:rsidRPr="00C31D7B" w:rsidRDefault="00C31D7B" w:rsidP="00442A9C">
      <w:pPr>
        <w:spacing w:line="276" w:lineRule="auto"/>
        <w:ind w:firstLine="720"/>
        <w:jc w:val="both"/>
        <w:rPr>
          <w:i/>
          <w:iCs/>
        </w:rPr>
      </w:pPr>
      <w:r>
        <w:rPr>
          <w:i/>
          <w:iCs/>
        </w:rPr>
        <w:t>Par pārējiem prasījumiem</w:t>
      </w:r>
    </w:p>
    <w:p w14:paraId="7703A087" w14:textId="09BF7F70" w:rsidR="00271F5D" w:rsidRDefault="00E24D61" w:rsidP="00442A9C">
      <w:pPr>
        <w:spacing w:line="276" w:lineRule="auto"/>
        <w:ind w:firstLine="720"/>
        <w:jc w:val="both"/>
      </w:pPr>
      <w:r>
        <w:t>[</w:t>
      </w:r>
      <w:r w:rsidR="00D23DB7">
        <w:t>15</w:t>
      </w:r>
      <w:r>
        <w:t xml:space="preserve">] Rajona tiesas tiesnesis ir atteicis pieņemt pieteicēja prasījumus </w:t>
      </w:r>
      <w:r w:rsidR="003D33F3">
        <w:t>par zaudējumu, kas radušies, nosūtot apstrīdēšanas iesniegumu,</w:t>
      </w:r>
      <w:r>
        <w:t xml:space="preserve"> un nemantiskā kaitējuma atlīdzināšanu, kā arī apstrīdēšanas iesnieguma kopijas izprasīšanu, jo esot atsakāms pieņemt </w:t>
      </w:r>
      <w:proofErr w:type="spellStart"/>
      <w:r>
        <w:t>pamatprasījumus</w:t>
      </w:r>
      <w:proofErr w:type="spellEnd"/>
      <w:r>
        <w:t>, ar kuriem pieteicējs ir vērsies ministrijā (</w:t>
      </w:r>
      <w:r w:rsidRPr="00E24D61">
        <w:rPr>
          <w:i/>
          <w:iCs/>
        </w:rPr>
        <w:t>pārsūdzētā lēmuma 12.punkts</w:t>
      </w:r>
      <w:r>
        <w:t xml:space="preserve">). Senāts jau </w:t>
      </w:r>
      <w:r w:rsidR="00D72A89">
        <w:t>secināja</w:t>
      </w:r>
      <w:r>
        <w:t xml:space="preserve">, ka pārsūdzētais lēmums ir atceļams daļā, ar kuru atteikts pieņemt pieteikumu daļā par </w:t>
      </w:r>
      <w:r w:rsidRPr="00E24D61">
        <w:t>krimināllietas materiālu kopiju</w:t>
      </w:r>
      <w:r w:rsidR="00D5664D">
        <w:t xml:space="preserve"> (</w:t>
      </w:r>
      <w:r w:rsidR="00964454">
        <w:t xml:space="preserve">pieteicējam </w:t>
      </w:r>
      <w:r w:rsidR="00D5664D">
        <w:t>prasot par t</w:t>
      </w:r>
      <w:r w:rsidR="00964454">
        <w:t>ām</w:t>
      </w:r>
      <w:r w:rsidR="00D5664D">
        <w:t xml:space="preserve"> </w:t>
      </w:r>
      <w:r w:rsidR="001401CA">
        <w:t>maksu</w:t>
      </w:r>
      <w:r w:rsidR="0015522D">
        <w:t xml:space="preserve">, kuru </w:t>
      </w:r>
      <w:r w:rsidR="00964454">
        <w:t xml:space="preserve">viņš </w:t>
      </w:r>
      <w:r w:rsidR="0015522D">
        <w:t>ir samaksājis un vēlas atgūt</w:t>
      </w:r>
      <w:r w:rsidR="001401CA">
        <w:t>)</w:t>
      </w:r>
      <w:r w:rsidRPr="00E24D61">
        <w:t xml:space="preserve">, </w:t>
      </w:r>
      <w:r w:rsidR="00D23DB7">
        <w:t>2025.gada 7.janvāra videokonferences (pieteicēja ieskatā</w:t>
      </w:r>
      <w:r w:rsidR="00964454">
        <w:t xml:space="preserve"> –</w:t>
      </w:r>
      <w:r w:rsidR="00D23DB7">
        <w:t xml:space="preserve"> tiesas sēdes) </w:t>
      </w:r>
      <w:r w:rsidRPr="00E24D61">
        <w:t>protokola un audioieraksta izsniegšanu</w:t>
      </w:r>
      <w:r>
        <w:t>, tāpēc pārsūdzētais lēmums ir nepareizs un atceļams arī šajā daļā.</w:t>
      </w:r>
    </w:p>
    <w:p w14:paraId="248AE22A" w14:textId="77777777" w:rsidR="003047F5" w:rsidRPr="00207638" w:rsidRDefault="003047F5" w:rsidP="00442A9C">
      <w:pPr>
        <w:spacing w:line="276" w:lineRule="auto"/>
        <w:ind w:firstLine="567"/>
        <w:jc w:val="both"/>
      </w:pPr>
    </w:p>
    <w:p w14:paraId="7F133DF8" w14:textId="77777777" w:rsidR="003047F5" w:rsidRPr="00E44582" w:rsidRDefault="003047F5" w:rsidP="00442A9C">
      <w:pPr>
        <w:spacing w:line="276" w:lineRule="auto"/>
        <w:jc w:val="center"/>
        <w:rPr>
          <w:b/>
        </w:rPr>
      </w:pPr>
      <w:r>
        <w:rPr>
          <w:b/>
        </w:rPr>
        <w:t>Rezolutīvā daļa</w:t>
      </w:r>
    </w:p>
    <w:p w14:paraId="203D55B2" w14:textId="77777777" w:rsidR="003047F5" w:rsidRDefault="003047F5" w:rsidP="00442A9C">
      <w:pPr>
        <w:spacing w:line="276" w:lineRule="auto"/>
        <w:ind w:firstLine="567"/>
        <w:jc w:val="both"/>
        <w:rPr>
          <w:bCs/>
          <w:spacing w:val="70"/>
        </w:rPr>
      </w:pPr>
    </w:p>
    <w:p w14:paraId="56FE2BEB" w14:textId="40762D6A" w:rsidR="003047F5" w:rsidRDefault="003047F5" w:rsidP="00442A9C">
      <w:pPr>
        <w:spacing w:line="276" w:lineRule="auto"/>
        <w:ind w:firstLine="720"/>
        <w:jc w:val="both"/>
      </w:pPr>
      <w:r w:rsidRPr="00F8473C">
        <w:t xml:space="preserve">Pamatojoties uz </w:t>
      </w:r>
      <w:r w:rsidR="001F40A0" w:rsidRPr="00523010">
        <w:t xml:space="preserve">Administratīvā </w:t>
      </w:r>
      <w:r w:rsidR="001F40A0" w:rsidRPr="00A747B7">
        <w:t xml:space="preserve">procesa likuma </w:t>
      </w:r>
      <w:r w:rsidR="001F40A0" w:rsidRPr="005B4A04">
        <w:t>129.</w:t>
      </w:r>
      <w:r w:rsidR="001F40A0" w:rsidRPr="005B4A04">
        <w:rPr>
          <w:vertAlign w:val="superscript"/>
        </w:rPr>
        <w:t>1</w:t>
      </w:r>
      <w:r w:rsidR="00247BA2" w:rsidRPr="005B4A04">
        <w:t>panta pirmās daļas 1.punktu</w:t>
      </w:r>
      <w:r w:rsidR="001F40A0" w:rsidRPr="005B4A04">
        <w:t>,</w:t>
      </w:r>
      <w:r w:rsidR="001F40A0" w:rsidRPr="00A747B7">
        <w:t xml:space="preserve"> 323.panta pirmās daļas </w:t>
      </w:r>
      <w:r w:rsidR="00107170">
        <w:t>2.punktu</w:t>
      </w:r>
      <w:r w:rsidR="001F40A0" w:rsidRPr="00A747B7">
        <w:t xml:space="preserve"> un 324.panta pirmo daļu</w:t>
      </w:r>
      <w:r w:rsidR="001F40A0" w:rsidRPr="00E70B6A">
        <w:t xml:space="preserve">, </w:t>
      </w:r>
      <w:r w:rsidR="0015480A" w:rsidRPr="00216940">
        <w:t>Senāts</w:t>
      </w:r>
    </w:p>
    <w:p w14:paraId="5AB6F69F" w14:textId="77777777" w:rsidR="001F40A0" w:rsidRDefault="001F40A0" w:rsidP="00442A9C">
      <w:pPr>
        <w:spacing w:line="276" w:lineRule="auto"/>
        <w:ind w:firstLine="567"/>
        <w:jc w:val="both"/>
      </w:pPr>
    </w:p>
    <w:p w14:paraId="6FE7AC9C" w14:textId="300CCC17" w:rsidR="003047F5" w:rsidRPr="001F40A0" w:rsidRDefault="003047F5" w:rsidP="00442A9C">
      <w:pPr>
        <w:spacing w:line="276" w:lineRule="auto"/>
        <w:jc w:val="center"/>
        <w:rPr>
          <w:b/>
        </w:rPr>
      </w:pPr>
      <w:r w:rsidRPr="001F40A0">
        <w:rPr>
          <w:b/>
        </w:rPr>
        <w:t>nolēma</w:t>
      </w:r>
    </w:p>
    <w:p w14:paraId="25D5DF80" w14:textId="77777777" w:rsidR="00A6596A" w:rsidRPr="001F40A0" w:rsidRDefault="00A6596A" w:rsidP="00442A9C">
      <w:pPr>
        <w:spacing w:line="276" w:lineRule="auto"/>
        <w:jc w:val="center"/>
        <w:rPr>
          <w:b/>
        </w:rPr>
      </w:pPr>
    </w:p>
    <w:p w14:paraId="1D45EE9B" w14:textId="7212B186" w:rsidR="00107170" w:rsidRDefault="005A33D6" w:rsidP="00442A9C">
      <w:pPr>
        <w:spacing w:line="276" w:lineRule="auto"/>
        <w:ind w:firstLine="720"/>
        <w:jc w:val="both"/>
      </w:pPr>
      <w:r>
        <w:t xml:space="preserve">atstāt negrozītu Administratīvās rajona tiesas tiesneša </w:t>
      </w:r>
      <w:r w:rsidRPr="005A33D6">
        <w:t>2025.gada 16.jūlija lēmumu</w:t>
      </w:r>
      <w:r>
        <w:t xml:space="preserve"> daļā</w:t>
      </w:r>
      <w:r w:rsidR="006B2102">
        <w:t xml:space="preserve">, kurā atteikts pieņemt </w:t>
      </w:r>
      <w:r w:rsidR="00442A9C">
        <w:t xml:space="preserve">[pers. A] </w:t>
      </w:r>
      <w:r w:rsidR="006B2102">
        <w:t>pieteikumu daļā par disciplinārlietas ierosināšanu pret Kurzemes rajona tiesas priekšsēdētāju un tiesnesi;</w:t>
      </w:r>
    </w:p>
    <w:p w14:paraId="30A16205" w14:textId="0D10EE06" w:rsidR="00FC5963" w:rsidRDefault="00AA6E95" w:rsidP="00442A9C">
      <w:pPr>
        <w:spacing w:line="276" w:lineRule="auto"/>
        <w:ind w:firstLine="720"/>
        <w:jc w:val="both"/>
      </w:pPr>
      <w:r>
        <w:t>a</w:t>
      </w:r>
      <w:r w:rsidR="00FC5963">
        <w:t xml:space="preserve">tcelt Administratīvās </w:t>
      </w:r>
      <w:r w:rsidR="00985DA5">
        <w:t>rajona tiesas tiesneša</w:t>
      </w:r>
      <w:r w:rsidR="00FC5963">
        <w:t xml:space="preserve"> </w:t>
      </w:r>
      <w:r w:rsidR="00985DA5">
        <w:t>2025.gada 16.jūlija</w:t>
      </w:r>
      <w:r w:rsidR="00FC5963">
        <w:t xml:space="preserve"> lēmumu</w:t>
      </w:r>
      <w:r w:rsidR="00985DA5">
        <w:t xml:space="preserve"> pārējā daļā</w:t>
      </w:r>
      <w:r w:rsidR="00FC5963">
        <w:t xml:space="preserve"> un nodot jautājumu par </w:t>
      </w:r>
      <w:r w:rsidR="00985DA5">
        <w:t>pieteikuma</w:t>
      </w:r>
      <w:r w:rsidR="00FC5963">
        <w:t xml:space="preserve"> virzību</w:t>
      </w:r>
      <w:r w:rsidR="00985DA5">
        <w:t xml:space="preserve"> šajā daļā</w:t>
      </w:r>
      <w:r w:rsidR="00FC5963">
        <w:t xml:space="preserve"> jaunai izskatīšanai Administratīvajai </w:t>
      </w:r>
      <w:r w:rsidR="00985DA5">
        <w:t>rajona tiesai</w:t>
      </w:r>
      <w:r>
        <w:t>;</w:t>
      </w:r>
    </w:p>
    <w:p w14:paraId="23F2670D" w14:textId="25CFA5B8" w:rsidR="00FC5963" w:rsidRDefault="00AA6E95" w:rsidP="00442A9C">
      <w:pPr>
        <w:spacing w:line="276" w:lineRule="auto"/>
        <w:ind w:firstLine="720"/>
        <w:jc w:val="both"/>
      </w:pPr>
      <w:r>
        <w:t>a</w:t>
      </w:r>
      <w:r w:rsidR="00FC5963">
        <w:t xml:space="preserve">tmaksāt </w:t>
      </w:r>
      <w:r w:rsidR="00442A9C">
        <w:t xml:space="preserve">[pers. A] </w:t>
      </w:r>
      <w:r w:rsidR="00FC5963">
        <w:t>drošības naudu 15 </w:t>
      </w:r>
      <w:proofErr w:type="spellStart"/>
      <w:r w:rsidR="00FC5963" w:rsidRPr="001A2A87">
        <w:rPr>
          <w:i/>
        </w:rPr>
        <w:t>euro</w:t>
      </w:r>
      <w:proofErr w:type="spellEnd"/>
      <w:r w:rsidR="00FC5963">
        <w:t>.</w:t>
      </w:r>
    </w:p>
    <w:p w14:paraId="2E909118" w14:textId="77777777" w:rsidR="00AA6E95" w:rsidRDefault="00AA6E95" w:rsidP="00442A9C">
      <w:pPr>
        <w:spacing w:line="276" w:lineRule="auto"/>
        <w:ind w:firstLine="720"/>
        <w:jc w:val="both"/>
      </w:pPr>
    </w:p>
    <w:p w14:paraId="1F119425" w14:textId="5B353800" w:rsidR="00FC5963" w:rsidRPr="001F40A0" w:rsidRDefault="00FC5963" w:rsidP="00442A9C">
      <w:pPr>
        <w:spacing w:line="276" w:lineRule="auto"/>
        <w:ind w:firstLine="720"/>
        <w:jc w:val="both"/>
      </w:pPr>
      <w:r>
        <w:t>Lēmums nav pārsūdzams.</w:t>
      </w:r>
    </w:p>
    <w:p w14:paraId="0A61D3E6" w14:textId="77777777" w:rsidR="00A6596A" w:rsidRDefault="00A6596A" w:rsidP="00442A9C">
      <w:pPr>
        <w:spacing w:line="276" w:lineRule="auto"/>
        <w:ind w:firstLine="567"/>
        <w:jc w:val="both"/>
        <w:rPr>
          <w:bCs/>
        </w:rPr>
      </w:pPr>
    </w:p>
    <w:p w14:paraId="29BBD70B" w14:textId="77777777" w:rsidR="0090320F" w:rsidRDefault="0090320F" w:rsidP="00B63D9D">
      <w:pPr>
        <w:spacing w:line="276" w:lineRule="auto"/>
        <w:ind w:firstLine="567"/>
        <w:jc w:val="both"/>
        <w:rPr>
          <w:bCs/>
        </w:rPr>
      </w:pPr>
    </w:p>
    <w:p w14:paraId="1E495D1F" w14:textId="77777777" w:rsidR="003352C5" w:rsidRDefault="003352C5" w:rsidP="00B63D9D">
      <w:pPr>
        <w:spacing w:line="276" w:lineRule="auto"/>
        <w:ind w:firstLine="567"/>
        <w:jc w:val="both"/>
        <w:rPr>
          <w:bCs/>
        </w:rPr>
      </w:pPr>
    </w:p>
    <w:p w14:paraId="2C75F1EA" w14:textId="77777777" w:rsidR="003352C5" w:rsidRDefault="003352C5" w:rsidP="00B63D9D">
      <w:pPr>
        <w:spacing w:line="276" w:lineRule="auto"/>
        <w:ind w:firstLine="567"/>
        <w:jc w:val="both"/>
        <w:rPr>
          <w:bCs/>
        </w:rPr>
      </w:pPr>
    </w:p>
    <w:p w14:paraId="7F37890E" w14:textId="77777777" w:rsidR="00256D56" w:rsidRPr="00A6596A" w:rsidRDefault="00256D56" w:rsidP="003352C5">
      <w:pPr>
        <w:spacing w:line="276" w:lineRule="auto"/>
        <w:jc w:val="both"/>
        <w:rPr>
          <w:bCs/>
        </w:rPr>
      </w:pPr>
    </w:p>
    <w:p w14:paraId="5B8C0CE8" w14:textId="2F8AF0FB" w:rsidR="00A905BA" w:rsidRDefault="00A905BA" w:rsidP="00A905BA">
      <w:pPr>
        <w:tabs>
          <w:tab w:val="center" w:pos="1276"/>
          <w:tab w:val="center" w:pos="4678"/>
          <w:tab w:val="center" w:pos="8080"/>
        </w:tabs>
        <w:spacing w:line="276" w:lineRule="auto"/>
        <w:jc w:val="both"/>
        <w:rPr>
          <w:color w:val="000000"/>
        </w:rPr>
      </w:pPr>
      <w:r>
        <w:rPr>
          <w:color w:val="000000"/>
        </w:rPr>
        <w:tab/>
      </w:r>
    </w:p>
    <w:p w14:paraId="660AC4D7" w14:textId="3B052D28" w:rsidR="00EE683F" w:rsidRPr="00A6596A" w:rsidRDefault="00A905BA" w:rsidP="00A905BA">
      <w:pPr>
        <w:tabs>
          <w:tab w:val="center" w:pos="1276"/>
          <w:tab w:val="center" w:pos="4678"/>
          <w:tab w:val="center" w:pos="8080"/>
        </w:tabs>
        <w:spacing w:line="276" w:lineRule="auto"/>
        <w:jc w:val="both"/>
        <w:rPr>
          <w:color w:val="000000"/>
        </w:rPr>
      </w:pPr>
      <w:r>
        <w:rPr>
          <w:color w:val="000000"/>
        </w:rPr>
        <w:tab/>
      </w:r>
      <w:r>
        <w:rPr>
          <w:color w:val="000000"/>
        </w:rPr>
        <w:tab/>
      </w:r>
      <w:r>
        <w:rPr>
          <w:color w:val="000000"/>
        </w:rPr>
        <w:tab/>
      </w:r>
    </w:p>
    <w:p w14:paraId="4D6BFB4E" w14:textId="77777777" w:rsidR="00F43FAD" w:rsidRPr="0015480A" w:rsidRDefault="00F43FAD" w:rsidP="0015480A">
      <w:pPr>
        <w:tabs>
          <w:tab w:val="left" w:pos="2880"/>
          <w:tab w:val="left" w:pos="4680"/>
          <w:tab w:val="left" w:pos="7797"/>
        </w:tabs>
        <w:spacing w:line="276" w:lineRule="auto"/>
        <w:ind w:firstLine="567"/>
        <w:jc w:val="center"/>
        <w:rPr>
          <w:color w:val="000000"/>
        </w:rPr>
      </w:pPr>
    </w:p>
    <w:p w14:paraId="4B4C74F8" w14:textId="77777777" w:rsidR="00F43FAD" w:rsidRPr="00D7028E" w:rsidRDefault="00F43FAD" w:rsidP="00B63D9D">
      <w:pPr>
        <w:tabs>
          <w:tab w:val="left" w:pos="2880"/>
          <w:tab w:val="left" w:pos="4680"/>
          <w:tab w:val="left" w:pos="6660"/>
        </w:tabs>
        <w:spacing w:line="276" w:lineRule="auto"/>
        <w:ind w:firstLine="567"/>
        <w:jc w:val="both"/>
        <w:rPr>
          <w:color w:val="000000"/>
        </w:rPr>
      </w:pPr>
    </w:p>
    <w:sectPr w:rsidR="00F43FAD" w:rsidRPr="00D7028E" w:rsidSect="00AA6E95">
      <w:footerReference w:type="default" r:id="rId16"/>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77390" w14:textId="77777777" w:rsidR="00D04501" w:rsidRDefault="00D04501" w:rsidP="003047F5">
      <w:r>
        <w:separator/>
      </w:r>
    </w:p>
  </w:endnote>
  <w:endnote w:type="continuationSeparator" w:id="0">
    <w:p w14:paraId="48A3BE2F" w14:textId="77777777" w:rsidR="00D04501" w:rsidRDefault="00D04501"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20ED" w14:textId="50AB774C" w:rsidR="00F43FAD" w:rsidRPr="00B81698" w:rsidRDefault="00F43FAD" w:rsidP="00F43FAD">
    <w:pPr>
      <w:pStyle w:val="Footer"/>
      <w:tabs>
        <w:tab w:val="clear" w:pos="4153"/>
        <w:tab w:val="clear" w:pos="8306"/>
      </w:tabs>
      <w:jc w:val="center"/>
      <w:rPr>
        <w:sz w:val="20"/>
        <w:szCs w:val="20"/>
      </w:rPr>
    </w:pPr>
    <w:r w:rsidRPr="00B81698">
      <w:rPr>
        <w:rStyle w:val="PageNumber"/>
        <w:sz w:val="20"/>
        <w:szCs w:val="20"/>
      </w:rPr>
      <w:fldChar w:fldCharType="begin"/>
    </w:r>
    <w:r w:rsidRPr="00B81698">
      <w:rPr>
        <w:rStyle w:val="PageNumber"/>
        <w:sz w:val="20"/>
        <w:szCs w:val="20"/>
      </w:rPr>
      <w:instrText xml:space="preserve">PAGE  </w:instrText>
    </w:r>
    <w:r w:rsidRPr="00B81698">
      <w:rPr>
        <w:rStyle w:val="PageNumber"/>
        <w:sz w:val="20"/>
        <w:szCs w:val="20"/>
      </w:rPr>
      <w:fldChar w:fldCharType="separate"/>
    </w:r>
    <w:r w:rsidR="00B23330" w:rsidRPr="00B81698">
      <w:rPr>
        <w:rStyle w:val="PageNumber"/>
        <w:noProof/>
        <w:sz w:val="20"/>
        <w:szCs w:val="20"/>
      </w:rPr>
      <w:t>2</w:t>
    </w:r>
    <w:r w:rsidRPr="00B81698">
      <w:rPr>
        <w:rStyle w:val="PageNumber"/>
        <w:sz w:val="20"/>
        <w:szCs w:val="20"/>
      </w:rPr>
      <w:fldChar w:fldCharType="end"/>
    </w:r>
    <w:r w:rsidRPr="00B81698">
      <w:rPr>
        <w:rStyle w:val="PageNumber"/>
        <w:sz w:val="20"/>
        <w:szCs w:val="20"/>
      </w:rPr>
      <w:t xml:space="preserve"> no </w:t>
    </w:r>
    <w:r w:rsidR="00A25BC6" w:rsidRPr="00B81698">
      <w:rPr>
        <w:rStyle w:val="PageNumber"/>
        <w:noProof/>
        <w:sz w:val="20"/>
        <w:szCs w:val="20"/>
      </w:rPr>
      <w:fldChar w:fldCharType="begin"/>
    </w:r>
    <w:r w:rsidR="00A25BC6" w:rsidRPr="00B81698">
      <w:rPr>
        <w:rStyle w:val="PageNumber"/>
        <w:noProof/>
        <w:sz w:val="20"/>
        <w:szCs w:val="20"/>
      </w:rPr>
      <w:instrText xml:space="preserve"> SECTIONPAGES   \* MERGEFORMAT </w:instrText>
    </w:r>
    <w:r w:rsidR="00A25BC6" w:rsidRPr="00B81698">
      <w:rPr>
        <w:rStyle w:val="PageNumber"/>
        <w:noProof/>
        <w:sz w:val="20"/>
        <w:szCs w:val="20"/>
      </w:rPr>
      <w:fldChar w:fldCharType="separate"/>
    </w:r>
    <w:r w:rsidR="004A6084">
      <w:rPr>
        <w:rStyle w:val="PageNumber"/>
        <w:noProof/>
        <w:sz w:val="20"/>
        <w:szCs w:val="20"/>
      </w:rPr>
      <w:t>6</w:t>
    </w:r>
    <w:r w:rsidR="00A25BC6" w:rsidRPr="00B8169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CF6E5" w14:textId="77777777" w:rsidR="00D04501" w:rsidRDefault="00D04501" w:rsidP="003047F5">
      <w:r>
        <w:separator/>
      </w:r>
    </w:p>
  </w:footnote>
  <w:footnote w:type="continuationSeparator" w:id="0">
    <w:p w14:paraId="4AED8F6B" w14:textId="77777777" w:rsidR="00D04501" w:rsidRDefault="00D04501"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1D65"/>
    <w:rsid w:val="00002736"/>
    <w:rsid w:val="0001291E"/>
    <w:rsid w:val="00025F7A"/>
    <w:rsid w:val="0003118A"/>
    <w:rsid w:val="0003242E"/>
    <w:rsid w:val="00051E06"/>
    <w:rsid w:val="0006364D"/>
    <w:rsid w:val="00064F57"/>
    <w:rsid w:val="0007749F"/>
    <w:rsid w:val="000839B1"/>
    <w:rsid w:val="000A3088"/>
    <w:rsid w:val="000B0A3A"/>
    <w:rsid w:val="000B15AA"/>
    <w:rsid w:val="000B4A55"/>
    <w:rsid w:val="000C6923"/>
    <w:rsid w:val="000C7755"/>
    <w:rsid w:val="000D078F"/>
    <w:rsid w:val="000D0865"/>
    <w:rsid w:val="000D77E7"/>
    <w:rsid w:val="000E0090"/>
    <w:rsid w:val="000F287A"/>
    <w:rsid w:val="00106300"/>
    <w:rsid w:val="00107170"/>
    <w:rsid w:val="001108D8"/>
    <w:rsid w:val="00117F42"/>
    <w:rsid w:val="00122C40"/>
    <w:rsid w:val="00134992"/>
    <w:rsid w:val="001401CA"/>
    <w:rsid w:val="00146F9E"/>
    <w:rsid w:val="0015480A"/>
    <w:rsid w:val="0015522D"/>
    <w:rsid w:val="00163807"/>
    <w:rsid w:val="001646E9"/>
    <w:rsid w:val="00164782"/>
    <w:rsid w:val="001670B8"/>
    <w:rsid w:val="00172FA6"/>
    <w:rsid w:val="001732EB"/>
    <w:rsid w:val="0018252E"/>
    <w:rsid w:val="00184B58"/>
    <w:rsid w:val="00185ADB"/>
    <w:rsid w:val="0019238A"/>
    <w:rsid w:val="00195338"/>
    <w:rsid w:val="001A0495"/>
    <w:rsid w:val="001A2A5A"/>
    <w:rsid w:val="001A2A87"/>
    <w:rsid w:val="001A57E6"/>
    <w:rsid w:val="001B2695"/>
    <w:rsid w:val="001B6F51"/>
    <w:rsid w:val="001C3BD9"/>
    <w:rsid w:val="001D13AD"/>
    <w:rsid w:val="001E3A09"/>
    <w:rsid w:val="001E612A"/>
    <w:rsid w:val="001E6951"/>
    <w:rsid w:val="001F406D"/>
    <w:rsid w:val="001F40A0"/>
    <w:rsid w:val="001F55E1"/>
    <w:rsid w:val="001F64DC"/>
    <w:rsid w:val="001F7A33"/>
    <w:rsid w:val="002012CB"/>
    <w:rsid w:val="0020603A"/>
    <w:rsid w:val="0021265E"/>
    <w:rsid w:val="002158AC"/>
    <w:rsid w:val="00216940"/>
    <w:rsid w:val="00221330"/>
    <w:rsid w:val="00224BA3"/>
    <w:rsid w:val="002309A7"/>
    <w:rsid w:val="00232FA6"/>
    <w:rsid w:val="00234D88"/>
    <w:rsid w:val="00237F92"/>
    <w:rsid w:val="00243B5D"/>
    <w:rsid w:val="00247BA2"/>
    <w:rsid w:val="00256D56"/>
    <w:rsid w:val="002615FE"/>
    <w:rsid w:val="00267B4D"/>
    <w:rsid w:val="00270B86"/>
    <w:rsid w:val="00271F5D"/>
    <w:rsid w:val="0027469B"/>
    <w:rsid w:val="0028059D"/>
    <w:rsid w:val="0028079B"/>
    <w:rsid w:val="002855A6"/>
    <w:rsid w:val="00293462"/>
    <w:rsid w:val="00294A2A"/>
    <w:rsid w:val="002A06D1"/>
    <w:rsid w:val="002A1FA9"/>
    <w:rsid w:val="002A349F"/>
    <w:rsid w:val="002A4055"/>
    <w:rsid w:val="002A5B44"/>
    <w:rsid w:val="002A75C6"/>
    <w:rsid w:val="002C0676"/>
    <w:rsid w:val="002C0790"/>
    <w:rsid w:val="002D363C"/>
    <w:rsid w:val="002E2249"/>
    <w:rsid w:val="002E5158"/>
    <w:rsid w:val="002E6B04"/>
    <w:rsid w:val="002E741C"/>
    <w:rsid w:val="002F2966"/>
    <w:rsid w:val="00300976"/>
    <w:rsid w:val="00301A51"/>
    <w:rsid w:val="00301B6D"/>
    <w:rsid w:val="003047F5"/>
    <w:rsid w:val="00307B89"/>
    <w:rsid w:val="00310B27"/>
    <w:rsid w:val="003135C6"/>
    <w:rsid w:val="00313B5E"/>
    <w:rsid w:val="00320422"/>
    <w:rsid w:val="00323AD6"/>
    <w:rsid w:val="00331315"/>
    <w:rsid w:val="00331BFD"/>
    <w:rsid w:val="00333950"/>
    <w:rsid w:val="00333A1B"/>
    <w:rsid w:val="003352C5"/>
    <w:rsid w:val="0033697F"/>
    <w:rsid w:val="0035346E"/>
    <w:rsid w:val="00356335"/>
    <w:rsid w:val="00367B98"/>
    <w:rsid w:val="00367E52"/>
    <w:rsid w:val="00374D17"/>
    <w:rsid w:val="00375A24"/>
    <w:rsid w:val="003859FB"/>
    <w:rsid w:val="00391F91"/>
    <w:rsid w:val="00397C7E"/>
    <w:rsid w:val="003A4A90"/>
    <w:rsid w:val="003B3E39"/>
    <w:rsid w:val="003B578F"/>
    <w:rsid w:val="003C76E6"/>
    <w:rsid w:val="003D33F3"/>
    <w:rsid w:val="003E07FF"/>
    <w:rsid w:val="003E73F4"/>
    <w:rsid w:val="003F52DB"/>
    <w:rsid w:val="003F54F7"/>
    <w:rsid w:val="00402344"/>
    <w:rsid w:val="004052AF"/>
    <w:rsid w:val="00407C35"/>
    <w:rsid w:val="00413AAA"/>
    <w:rsid w:val="004143DE"/>
    <w:rsid w:val="0042352D"/>
    <w:rsid w:val="00424B84"/>
    <w:rsid w:val="00426200"/>
    <w:rsid w:val="0043182C"/>
    <w:rsid w:val="00435D2F"/>
    <w:rsid w:val="00442A9C"/>
    <w:rsid w:val="00443FE9"/>
    <w:rsid w:val="004476EC"/>
    <w:rsid w:val="00454065"/>
    <w:rsid w:val="00454DDD"/>
    <w:rsid w:val="00463315"/>
    <w:rsid w:val="004638B9"/>
    <w:rsid w:val="00464784"/>
    <w:rsid w:val="00481C6F"/>
    <w:rsid w:val="00484B13"/>
    <w:rsid w:val="00491DEC"/>
    <w:rsid w:val="004971E3"/>
    <w:rsid w:val="004A4903"/>
    <w:rsid w:val="004A4C8E"/>
    <w:rsid w:val="004A532E"/>
    <w:rsid w:val="004A6084"/>
    <w:rsid w:val="004B27AB"/>
    <w:rsid w:val="004B37A7"/>
    <w:rsid w:val="004B3CE1"/>
    <w:rsid w:val="004D5DA7"/>
    <w:rsid w:val="004E0D9E"/>
    <w:rsid w:val="004F39A6"/>
    <w:rsid w:val="00501990"/>
    <w:rsid w:val="00507FB3"/>
    <w:rsid w:val="00521A02"/>
    <w:rsid w:val="00524C9A"/>
    <w:rsid w:val="00526124"/>
    <w:rsid w:val="00543E46"/>
    <w:rsid w:val="00551EFA"/>
    <w:rsid w:val="005539C2"/>
    <w:rsid w:val="00554408"/>
    <w:rsid w:val="00563974"/>
    <w:rsid w:val="00576DA4"/>
    <w:rsid w:val="00577766"/>
    <w:rsid w:val="00584FCF"/>
    <w:rsid w:val="00592552"/>
    <w:rsid w:val="00597367"/>
    <w:rsid w:val="005A33D6"/>
    <w:rsid w:val="005B3562"/>
    <w:rsid w:val="005B4A04"/>
    <w:rsid w:val="005B4C11"/>
    <w:rsid w:val="005C7112"/>
    <w:rsid w:val="005D2153"/>
    <w:rsid w:val="005D2C14"/>
    <w:rsid w:val="005D4D60"/>
    <w:rsid w:val="005D7441"/>
    <w:rsid w:val="005E5AA5"/>
    <w:rsid w:val="005F1028"/>
    <w:rsid w:val="005F3963"/>
    <w:rsid w:val="005F396E"/>
    <w:rsid w:val="005F5A48"/>
    <w:rsid w:val="00600CAD"/>
    <w:rsid w:val="00603883"/>
    <w:rsid w:val="00603D44"/>
    <w:rsid w:val="00620768"/>
    <w:rsid w:val="00622D83"/>
    <w:rsid w:val="0062775B"/>
    <w:rsid w:val="0063055A"/>
    <w:rsid w:val="0063619E"/>
    <w:rsid w:val="00637BCC"/>
    <w:rsid w:val="00641C66"/>
    <w:rsid w:val="0066359C"/>
    <w:rsid w:val="00672E4F"/>
    <w:rsid w:val="00676DD9"/>
    <w:rsid w:val="00680A90"/>
    <w:rsid w:val="00691DCC"/>
    <w:rsid w:val="00693D45"/>
    <w:rsid w:val="006A1EC6"/>
    <w:rsid w:val="006A2A50"/>
    <w:rsid w:val="006A6AC5"/>
    <w:rsid w:val="006B2102"/>
    <w:rsid w:val="006C33BE"/>
    <w:rsid w:val="006D34D7"/>
    <w:rsid w:val="006D3DA1"/>
    <w:rsid w:val="006D456A"/>
    <w:rsid w:val="006E15D4"/>
    <w:rsid w:val="006E70D6"/>
    <w:rsid w:val="006F5C9C"/>
    <w:rsid w:val="006F5D3B"/>
    <w:rsid w:val="00721332"/>
    <w:rsid w:val="007225C7"/>
    <w:rsid w:val="00726724"/>
    <w:rsid w:val="00742798"/>
    <w:rsid w:val="00746B01"/>
    <w:rsid w:val="007509E2"/>
    <w:rsid w:val="00752ABC"/>
    <w:rsid w:val="00762DEF"/>
    <w:rsid w:val="00774D56"/>
    <w:rsid w:val="00776CF9"/>
    <w:rsid w:val="00781C53"/>
    <w:rsid w:val="00783DF7"/>
    <w:rsid w:val="007846D9"/>
    <w:rsid w:val="007947A0"/>
    <w:rsid w:val="00796D90"/>
    <w:rsid w:val="007A245F"/>
    <w:rsid w:val="007A3434"/>
    <w:rsid w:val="007A386C"/>
    <w:rsid w:val="007A49FC"/>
    <w:rsid w:val="007C20C1"/>
    <w:rsid w:val="007C3CD3"/>
    <w:rsid w:val="007D20CC"/>
    <w:rsid w:val="007E1AF3"/>
    <w:rsid w:val="007E6159"/>
    <w:rsid w:val="007F4E98"/>
    <w:rsid w:val="008036C0"/>
    <w:rsid w:val="00805DF7"/>
    <w:rsid w:val="00820EAC"/>
    <w:rsid w:val="00837E90"/>
    <w:rsid w:val="00840E0C"/>
    <w:rsid w:val="00841648"/>
    <w:rsid w:val="00852A39"/>
    <w:rsid w:val="00861C37"/>
    <w:rsid w:val="00862095"/>
    <w:rsid w:val="00864446"/>
    <w:rsid w:val="00872692"/>
    <w:rsid w:val="008733F6"/>
    <w:rsid w:val="00873BB3"/>
    <w:rsid w:val="00877F43"/>
    <w:rsid w:val="00884249"/>
    <w:rsid w:val="00886368"/>
    <w:rsid w:val="0089136B"/>
    <w:rsid w:val="008A01AA"/>
    <w:rsid w:val="008B667E"/>
    <w:rsid w:val="008D4EEE"/>
    <w:rsid w:val="008E49FD"/>
    <w:rsid w:val="008F1C6F"/>
    <w:rsid w:val="008F5CE6"/>
    <w:rsid w:val="0090320F"/>
    <w:rsid w:val="00906633"/>
    <w:rsid w:val="0090719C"/>
    <w:rsid w:val="00910987"/>
    <w:rsid w:val="0092245B"/>
    <w:rsid w:val="009229FE"/>
    <w:rsid w:val="0092383B"/>
    <w:rsid w:val="009315F2"/>
    <w:rsid w:val="009357DD"/>
    <w:rsid w:val="00937672"/>
    <w:rsid w:val="0094136B"/>
    <w:rsid w:val="00947A56"/>
    <w:rsid w:val="009639F7"/>
    <w:rsid w:val="00964454"/>
    <w:rsid w:val="009674F9"/>
    <w:rsid w:val="009760E8"/>
    <w:rsid w:val="00985DA5"/>
    <w:rsid w:val="009A0F35"/>
    <w:rsid w:val="009A5D32"/>
    <w:rsid w:val="009B0FD4"/>
    <w:rsid w:val="009C4B3C"/>
    <w:rsid w:val="009E6D01"/>
    <w:rsid w:val="009F1E17"/>
    <w:rsid w:val="009F6F33"/>
    <w:rsid w:val="00A00062"/>
    <w:rsid w:val="00A055BA"/>
    <w:rsid w:val="00A07C49"/>
    <w:rsid w:val="00A10884"/>
    <w:rsid w:val="00A13565"/>
    <w:rsid w:val="00A174BF"/>
    <w:rsid w:val="00A20260"/>
    <w:rsid w:val="00A218DC"/>
    <w:rsid w:val="00A23F93"/>
    <w:rsid w:val="00A25BC6"/>
    <w:rsid w:val="00A35015"/>
    <w:rsid w:val="00A44EC9"/>
    <w:rsid w:val="00A50641"/>
    <w:rsid w:val="00A50BB7"/>
    <w:rsid w:val="00A6446C"/>
    <w:rsid w:val="00A6596A"/>
    <w:rsid w:val="00A769A8"/>
    <w:rsid w:val="00A82DDA"/>
    <w:rsid w:val="00A831F1"/>
    <w:rsid w:val="00A840AB"/>
    <w:rsid w:val="00A85F29"/>
    <w:rsid w:val="00A900E2"/>
    <w:rsid w:val="00A905BA"/>
    <w:rsid w:val="00A91E4C"/>
    <w:rsid w:val="00AA1002"/>
    <w:rsid w:val="00AA6E95"/>
    <w:rsid w:val="00AB0696"/>
    <w:rsid w:val="00AC35FD"/>
    <w:rsid w:val="00AD44B0"/>
    <w:rsid w:val="00AD6FB9"/>
    <w:rsid w:val="00AE3214"/>
    <w:rsid w:val="00AF3545"/>
    <w:rsid w:val="00B04728"/>
    <w:rsid w:val="00B201F5"/>
    <w:rsid w:val="00B23330"/>
    <w:rsid w:val="00B31963"/>
    <w:rsid w:val="00B3577F"/>
    <w:rsid w:val="00B41214"/>
    <w:rsid w:val="00B548CF"/>
    <w:rsid w:val="00B602B4"/>
    <w:rsid w:val="00B63D9D"/>
    <w:rsid w:val="00B6580E"/>
    <w:rsid w:val="00B8036A"/>
    <w:rsid w:val="00B81698"/>
    <w:rsid w:val="00B873B0"/>
    <w:rsid w:val="00BA105F"/>
    <w:rsid w:val="00BA3FB9"/>
    <w:rsid w:val="00BA5B58"/>
    <w:rsid w:val="00BB3A36"/>
    <w:rsid w:val="00BB4182"/>
    <w:rsid w:val="00BB48B2"/>
    <w:rsid w:val="00BC6D81"/>
    <w:rsid w:val="00BD10B1"/>
    <w:rsid w:val="00BE5173"/>
    <w:rsid w:val="00BE783F"/>
    <w:rsid w:val="00BF0C0F"/>
    <w:rsid w:val="00BF5C17"/>
    <w:rsid w:val="00C05798"/>
    <w:rsid w:val="00C078D9"/>
    <w:rsid w:val="00C233A2"/>
    <w:rsid w:val="00C24583"/>
    <w:rsid w:val="00C318BD"/>
    <w:rsid w:val="00C31D7B"/>
    <w:rsid w:val="00C3373E"/>
    <w:rsid w:val="00C4467D"/>
    <w:rsid w:val="00C6376E"/>
    <w:rsid w:val="00C71489"/>
    <w:rsid w:val="00C72FDA"/>
    <w:rsid w:val="00C82D08"/>
    <w:rsid w:val="00C83085"/>
    <w:rsid w:val="00C83108"/>
    <w:rsid w:val="00C83D77"/>
    <w:rsid w:val="00C91BCA"/>
    <w:rsid w:val="00CB1053"/>
    <w:rsid w:val="00CC619E"/>
    <w:rsid w:val="00CE77D2"/>
    <w:rsid w:val="00CF32D6"/>
    <w:rsid w:val="00CF39B3"/>
    <w:rsid w:val="00CF3A50"/>
    <w:rsid w:val="00D04501"/>
    <w:rsid w:val="00D10538"/>
    <w:rsid w:val="00D10D26"/>
    <w:rsid w:val="00D143EC"/>
    <w:rsid w:val="00D23DB7"/>
    <w:rsid w:val="00D3210B"/>
    <w:rsid w:val="00D37720"/>
    <w:rsid w:val="00D37C75"/>
    <w:rsid w:val="00D43189"/>
    <w:rsid w:val="00D53337"/>
    <w:rsid w:val="00D53760"/>
    <w:rsid w:val="00D5664D"/>
    <w:rsid w:val="00D7028E"/>
    <w:rsid w:val="00D70B5A"/>
    <w:rsid w:val="00D72A89"/>
    <w:rsid w:val="00D72AA0"/>
    <w:rsid w:val="00D7630E"/>
    <w:rsid w:val="00D76F9E"/>
    <w:rsid w:val="00D77A9D"/>
    <w:rsid w:val="00D82A8B"/>
    <w:rsid w:val="00D96835"/>
    <w:rsid w:val="00DB15E9"/>
    <w:rsid w:val="00DB2125"/>
    <w:rsid w:val="00DB2A51"/>
    <w:rsid w:val="00DD5338"/>
    <w:rsid w:val="00DD5C7A"/>
    <w:rsid w:val="00DF17BB"/>
    <w:rsid w:val="00E05B53"/>
    <w:rsid w:val="00E1261E"/>
    <w:rsid w:val="00E2045F"/>
    <w:rsid w:val="00E24D61"/>
    <w:rsid w:val="00E330B8"/>
    <w:rsid w:val="00E33719"/>
    <w:rsid w:val="00E3727C"/>
    <w:rsid w:val="00E401D4"/>
    <w:rsid w:val="00E45579"/>
    <w:rsid w:val="00E50000"/>
    <w:rsid w:val="00E61BDC"/>
    <w:rsid w:val="00E624B8"/>
    <w:rsid w:val="00E66256"/>
    <w:rsid w:val="00E938E0"/>
    <w:rsid w:val="00EA6DFA"/>
    <w:rsid w:val="00EB68E3"/>
    <w:rsid w:val="00EB7994"/>
    <w:rsid w:val="00EC24A5"/>
    <w:rsid w:val="00EC7778"/>
    <w:rsid w:val="00ED39B4"/>
    <w:rsid w:val="00ED710E"/>
    <w:rsid w:val="00EE0FC9"/>
    <w:rsid w:val="00EE1C92"/>
    <w:rsid w:val="00EE4F18"/>
    <w:rsid w:val="00EE5267"/>
    <w:rsid w:val="00EE683F"/>
    <w:rsid w:val="00EE69E8"/>
    <w:rsid w:val="00EF06F7"/>
    <w:rsid w:val="00EF0CBF"/>
    <w:rsid w:val="00EF34CB"/>
    <w:rsid w:val="00EF5964"/>
    <w:rsid w:val="00F009F3"/>
    <w:rsid w:val="00F04274"/>
    <w:rsid w:val="00F103DB"/>
    <w:rsid w:val="00F31A72"/>
    <w:rsid w:val="00F338A5"/>
    <w:rsid w:val="00F34A23"/>
    <w:rsid w:val="00F3597D"/>
    <w:rsid w:val="00F35C8F"/>
    <w:rsid w:val="00F37357"/>
    <w:rsid w:val="00F43FAD"/>
    <w:rsid w:val="00F4445F"/>
    <w:rsid w:val="00F44894"/>
    <w:rsid w:val="00F4508D"/>
    <w:rsid w:val="00F45F39"/>
    <w:rsid w:val="00F51E09"/>
    <w:rsid w:val="00F52853"/>
    <w:rsid w:val="00F573E7"/>
    <w:rsid w:val="00F60B5B"/>
    <w:rsid w:val="00F6281A"/>
    <w:rsid w:val="00F6765D"/>
    <w:rsid w:val="00F7455A"/>
    <w:rsid w:val="00F74EBB"/>
    <w:rsid w:val="00F7736E"/>
    <w:rsid w:val="00F814AC"/>
    <w:rsid w:val="00F8775C"/>
    <w:rsid w:val="00F9106F"/>
    <w:rsid w:val="00FB128F"/>
    <w:rsid w:val="00FB7E98"/>
    <w:rsid w:val="00FC151E"/>
    <w:rsid w:val="00FC3B48"/>
    <w:rsid w:val="00FC5963"/>
    <w:rsid w:val="00FC5AE2"/>
    <w:rsid w:val="00FD41E9"/>
    <w:rsid w:val="00FD6CA3"/>
    <w:rsid w:val="00FE1E88"/>
    <w:rsid w:val="00FE418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58AC"/>
    <w:rPr>
      <w:color w:val="0563C1" w:themeColor="hyperlink"/>
      <w:u w:val="single"/>
    </w:rPr>
  </w:style>
  <w:style w:type="character" w:styleId="UnresolvedMention">
    <w:name w:val="Unresolved Mention"/>
    <w:basedOn w:val="DefaultParagraphFont"/>
    <w:uiPriority w:val="99"/>
    <w:semiHidden/>
    <w:unhideWhenUsed/>
    <w:rsid w:val="002158AC"/>
    <w:rPr>
      <w:color w:val="605E5C"/>
      <w:shd w:val="clear" w:color="auto" w:fill="E1DFDD"/>
    </w:rPr>
  </w:style>
  <w:style w:type="character" w:styleId="FollowedHyperlink">
    <w:name w:val="FollowedHyperlink"/>
    <w:basedOn w:val="DefaultParagraphFont"/>
    <w:uiPriority w:val="99"/>
    <w:semiHidden/>
    <w:unhideWhenUsed/>
    <w:rsid w:val="007947A0"/>
    <w:rPr>
      <w:color w:val="954F72" w:themeColor="followedHyperlink"/>
      <w:u w:val="single"/>
    </w:rPr>
  </w:style>
  <w:style w:type="paragraph" w:styleId="Revision">
    <w:name w:val="Revision"/>
    <w:hidden/>
    <w:uiPriority w:val="99"/>
    <w:semiHidden/>
    <w:rsid w:val="00526124"/>
    <w:pPr>
      <w:spacing w:after="0" w:line="240" w:lineRule="auto"/>
    </w:pPr>
    <w:rPr>
      <w:rFonts w:eastAsia="Times New Roman" w:cs="Times New Roman"/>
      <w:szCs w:val="24"/>
      <w:lang w:eastAsia="ru-RU"/>
    </w:rPr>
  </w:style>
  <w:style w:type="paragraph" w:customStyle="1" w:styleId="Default">
    <w:name w:val="Default"/>
    <w:rsid w:val="00442A9C"/>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9461409b-2e4c-4e88-a85f-775f87e85aa4" TargetMode="External"/><Relationship Id="rId13" Type="http://schemas.openxmlformats.org/officeDocument/2006/relationships/hyperlink" Target="https://www.at.gov.lv/downloadlawfile/471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ateway.elieta.lv/api/v1/PublicMaterialDownload/1c72eee6-195f-4b7f-8487-d66f00fd7d65" TargetMode="External"/><Relationship Id="rId12" Type="http://schemas.openxmlformats.org/officeDocument/2006/relationships/hyperlink" Target="https://gateway.elieta.lv/api/v1/PublicMaterialDownload/2dbf25d6-78ac-4355-8807-67504222b5a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gateway.elieta.lv/api/v1/PublicMaterialDownload/196d7d39-1d50-4e1b-b8aa-b2abba6f608f" TargetMode="External"/><Relationship Id="rId5" Type="http://schemas.openxmlformats.org/officeDocument/2006/relationships/footnotes" Target="footnotes.xml"/><Relationship Id="rId15" Type="http://schemas.openxmlformats.org/officeDocument/2006/relationships/hyperlink" Target="https://gateway.elieta.lv/api/v1/PublicMaterialDownload/4656313f-9d27-4e0f-87c8-e8306d1abe4e" TargetMode="External"/><Relationship Id="rId10" Type="http://schemas.openxmlformats.org/officeDocument/2006/relationships/hyperlink" Target="https://gateway.elieta.lv/api/v1/PublicMaterialDownload/768a134e-1691-4404-a6ef-cf3800af6bd0" TargetMode="External"/><Relationship Id="rId4" Type="http://schemas.openxmlformats.org/officeDocument/2006/relationships/webSettings" Target="webSettings.xml"/><Relationship Id="rId9" Type="http://schemas.openxmlformats.org/officeDocument/2006/relationships/hyperlink" Target="https://gateway.elieta.lv/api/v1/PublicMaterialDownload/84793382-615d-4588-9d57-7cd73572174a" TargetMode="External"/><Relationship Id="rId14" Type="http://schemas.openxmlformats.org/officeDocument/2006/relationships/hyperlink" Target="https://www.at.gov.lv/downloadlawfile/4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CBD51-CD97-4604-9DD3-08558B0DA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11794</Words>
  <Characters>6723</Characters>
  <Application>Microsoft Office Word</Application>
  <DocSecurity>0</DocSecurity>
  <Lines>56</Lines>
  <Paragraphs>36</Paragraphs>
  <ScaleCrop>false</ScaleCrop>
  <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2025-12-15T12:24:00Z</dcterms:created>
  <dcterms:modified xsi:type="dcterms:W3CDTF">2025-12-15T12:24:00Z</dcterms:modified>
</cp:coreProperties>
</file>