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5ED4" w14:textId="77777777" w:rsidR="00C4178F" w:rsidRDefault="00C4178F" w:rsidP="00C4178F">
      <w:pPr>
        <w:spacing w:line="276" w:lineRule="auto"/>
        <w:rPr>
          <w:b/>
          <w:bCs/>
          <w:lang w:eastAsia="lv-LV"/>
        </w:rPr>
      </w:pPr>
      <w:r>
        <w:rPr>
          <w:b/>
          <w:bCs/>
        </w:rPr>
        <w:t>Valsts nodevas nesamaksāšana nav pamats vilcināt administratīvā akta izdošanu</w:t>
      </w:r>
    </w:p>
    <w:p w14:paraId="1D35B546" w14:textId="538D782D" w:rsidR="00C4178F" w:rsidRDefault="00C4178F" w:rsidP="00C4178F">
      <w:pPr>
        <w:spacing w:line="276" w:lineRule="auto"/>
        <w:jc w:val="both"/>
        <w:rPr>
          <w14:ligatures w14:val="standardContextual"/>
        </w:rPr>
      </w:pPr>
      <w:r>
        <w:rPr>
          <w14:ligatures w14:val="standardContextual"/>
        </w:rPr>
        <w:t>Arī tad, j</w:t>
      </w:r>
      <w:r>
        <w:rPr>
          <w14:ligatures w14:val="standardContextual"/>
        </w:rPr>
        <w:t xml:space="preserve">a persona iestādes ieskatā nav izpildījusi visus priekšnoteikumus labvēlīga administratīvā akta izdošanai, iestādei jāievēro Administratīvā procesa likuma 64.pantā noteiktais termiņš lēmuma pieņemšanai par administratīvā akta izdošanu vai atteikšanos šādu aktu izdot. </w:t>
      </w:r>
    </w:p>
    <w:p w14:paraId="7F01CEF0" w14:textId="3B7BACB6" w:rsidR="007D376D" w:rsidRPr="00C4178F" w:rsidRDefault="00C4178F" w:rsidP="00C4178F">
      <w:pPr>
        <w:spacing w:line="276" w:lineRule="auto"/>
        <w:jc w:val="both"/>
        <w:rPr>
          <w14:ligatures w14:val="standardContextual"/>
        </w:rPr>
      </w:pPr>
      <w:r>
        <w:rPr>
          <w14:ligatures w14:val="standardContextual"/>
        </w:rPr>
        <w:t xml:space="preserve">Ja iestāde minētajā normā paredzētajā termiņā secina, ka konkrētajos faktiskajos vai tiesiskajos apstākļos pastāv kādi šķēršļi labvēlīga administratīvā akta izdošanai, administratīvā akta izdošana ir jāatsaka. Līdz ar to, ja iestāde likumā noteiktajā termiņā neizdod administratīvo aktu, personai ir tiesības ar prasījumu </w:t>
      </w:r>
      <w:r>
        <w:t>par labvēlīga administratīvā akta izdošana</w:t>
      </w:r>
      <w:r>
        <w:rPr>
          <w14:ligatures w14:val="standardContextual"/>
        </w:rPr>
        <w:t xml:space="preserve"> vērsties attiecīgi augstākā iestādē (ja tāda ir) un tiesā, un iestādes vilcināšanās izdot administratīvo aktu ir vērtējama kā atteikums.</w:t>
      </w:r>
    </w:p>
    <w:p w14:paraId="7027FF25" w14:textId="1610FFA6" w:rsidR="00C4178F" w:rsidRPr="00011547" w:rsidRDefault="007D376D" w:rsidP="00C4178F">
      <w:pPr>
        <w:spacing w:before="240" w:line="276" w:lineRule="auto"/>
        <w:jc w:val="center"/>
        <w:rPr>
          <w:b/>
        </w:rPr>
      </w:pPr>
      <w:r w:rsidRPr="00011547">
        <w:rPr>
          <w:b/>
        </w:rPr>
        <w:t>Latvijas Republikas Senāt</w:t>
      </w:r>
      <w:r w:rsidR="00C4178F">
        <w:rPr>
          <w:b/>
        </w:rPr>
        <w:t>a</w:t>
      </w:r>
      <w:r w:rsidR="00C4178F">
        <w:rPr>
          <w:b/>
        </w:rPr>
        <w:br/>
        <w:t>Administratīvo lietu departamenta</w:t>
      </w:r>
      <w:r w:rsidR="00C4178F">
        <w:rPr>
          <w:b/>
        </w:rPr>
        <w:br/>
        <w:t>2025.gada 7.novembra</w:t>
      </w:r>
    </w:p>
    <w:p w14:paraId="733C4FF4" w14:textId="77777777" w:rsidR="00C4178F" w:rsidRDefault="00BA57C4" w:rsidP="00C4178F">
      <w:pPr>
        <w:spacing w:line="276" w:lineRule="auto"/>
        <w:contextualSpacing/>
        <w:jc w:val="center"/>
        <w:rPr>
          <w:b/>
        </w:rPr>
      </w:pPr>
      <w:r w:rsidRPr="001E0942">
        <w:rPr>
          <w:b/>
        </w:rPr>
        <w:t>LĒMUMS</w:t>
      </w:r>
    </w:p>
    <w:p w14:paraId="3E8FA667" w14:textId="126459EE" w:rsidR="00C4178F" w:rsidRPr="00C4178F" w:rsidRDefault="00C4178F" w:rsidP="00C4178F">
      <w:pPr>
        <w:spacing w:line="276" w:lineRule="auto"/>
        <w:contextualSpacing/>
        <w:jc w:val="center"/>
        <w:rPr>
          <w:b/>
          <w:bCs/>
        </w:rPr>
      </w:pPr>
      <w:r w:rsidRPr="00C4178F">
        <w:rPr>
          <w:b/>
          <w:bCs/>
        </w:rPr>
        <w:t xml:space="preserve">Lieta </w:t>
      </w:r>
      <w:r w:rsidRPr="00C4178F">
        <w:rPr>
          <w:b/>
          <w:bCs/>
        </w:rPr>
        <w:t>Nr. 680036125</w:t>
      </w:r>
      <w:r w:rsidRPr="00C4178F">
        <w:rPr>
          <w:b/>
          <w:bCs/>
          <w:lang w:eastAsia="lv-LV"/>
        </w:rPr>
        <w:t>, SKA-846/2025</w:t>
      </w:r>
    </w:p>
    <w:p w14:paraId="2C60E6C7" w14:textId="102CB963" w:rsidR="00C4178F" w:rsidRPr="00C4178F" w:rsidRDefault="00C4178F" w:rsidP="00C4178F">
      <w:pPr>
        <w:spacing w:line="276" w:lineRule="auto"/>
        <w:contextualSpacing/>
        <w:jc w:val="center"/>
        <w:rPr>
          <w:b/>
        </w:rPr>
      </w:pPr>
      <w:r w:rsidRPr="00C4178F">
        <w:t xml:space="preserve"> </w:t>
      </w:r>
      <w:hyperlink r:id="rId8" w:history="1">
        <w:r w:rsidRPr="00C4178F">
          <w:rPr>
            <w:rStyle w:val="Hyperlink"/>
          </w:rPr>
          <w:t>ECLI:LV:AT:2025:1107.SKA084625.4.L</w:t>
        </w:r>
      </w:hyperlink>
    </w:p>
    <w:p w14:paraId="7216479B" w14:textId="77777777" w:rsidR="00975F0F" w:rsidRDefault="00975F0F" w:rsidP="00C4178F">
      <w:pPr>
        <w:spacing w:line="276" w:lineRule="auto"/>
        <w:ind w:firstLine="720"/>
        <w:contextualSpacing/>
        <w:jc w:val="both"/>
      </w:pPr>
    </w:p>
    <w:p w14:paraId="6540BF89" w14:textId="0B2BCEA4" w:rsidR="007821A7" w:rsidRDefault="007821A7" w:rsidP="00C4178F">
      <w:pPr>
        <w:spacing w:line="276" w:lineRule="auto"/>
        <w:ind w:firstLine="720"/>
        <w:contextualSpacing/>
        <w:jc w:val="both"/>
      </w:pPr>
      <w:r>
        <w:t>Senāts</w:t>
      </w:r>
      <w:r w:rsidRPr="009F1565">
        <w:t xml:space="preserve"> šādā sastāvā: senator</w:t>
      </w:r>
      <w:r>
        <w:t>e referente</w:t>
      </w:r>
      <w:r w:rsidR="00A73E67">
        <w:t xml:space="preserve"> Dzintra Amerika</w:t>
      </w:r>
      <w:r w:rsidRPr="001B3C31">
        <w:t>, senator</w:t>
      </w:r>
      <w:r w:rsidR="00A73E67">
        <w:t>es Laura Konošonoka un Diāna Makarova</w:t>
      </w:r>
    </w:p>
    <w:p w14:paraId="0000D3C0" w14:textId="77777777" w:rsidR="007821A7" w:rsidRDefault="007821A7" w:rsidP="00C4178F">
      <w:pPr>
        <w:spacing w:line="276" w:lineRule="auto"/>
        <w:ind w:firstLine="720"/>
        <w:contextualSpacing/>
        <w:jc w:val="both"/>
      </w:pPr>
    </w:p>
    <w:p w14:paraId="3AC80C38" w14:textId="46E73134" w:rsidR="007821A7" w:rsidRDefault="00E71267" w:rsidP="00C4178F">
      <w:pPr>
        <w:spacing w:line="276" w:lineRule="auto"/>
        <w:ind w:firstLine="720"/>
        <w:contextualSpacing/>
        <w:jc w:val="both"/>
      </w:pPr>
      <w:r>
        <w:t xml:space="preserve">izskatīja </w:t>
      </w:r>
      <w:r w:rsidR="00C4178F">
        <w:t xml:space="preserve">[pers. A] </w:t>
      </w:r>
      <w:r w:rsidRPr="00E71267">
        <w:t>(</w:t>
      </w:r>
      <w:r w:rsidR="00C4178F">
        <w:rPr>
          <w:i/>
          <w:iCs/>
        </w:rPr>
        <w:t>[pers. A]</w:t>
      </w:r>
      <w:r w:rsidRPr="00E71267">
        <w:t xml:space="preserve">) un </w:t>
      </w:r>
      <w:r w:rsidR="00C4178F">
        <w:t xml:space="preserve">[pers. B] </w:t>
      </w:r>
      <w:r>
        <w:t>blakus sūdzību par Administratīvās rajona tiesas tiesneša 2025.gada 2</w:t>
      </w:r>
      <w:r w:rsidR="003B58BA">
        <w:t>4.jūlija</w:t>
      </w:r>
      <w:r>
        <w:t xml:space="preserve"> lēmumu, ar kuru atteikts pieņemt pieteicēj</w:t>
      </w:r>
      <w:r w:rsidR="00D56CE0">
        <w:t>u</w:t>
      </w:r>
      <w:r>
        <w:t xml:space="preserve"> pieteikumu</w:t>
      </w:r>
      <w:r w:rsidR="00904D45">
        <w:t>.</w:t>
      </w:r>
      <w:r>
        <w:t xml:space="preserve"> </w:t>
      </w:r>
    </w:p>
    <w:p w14:paraId="2789A546" w14:textId="4C5DD6D0" w:rsidR="007821A7" w:rsidRPr="001E0942" w:rsidRDefault="007821A7" w:rsidP="00C4178F">
      <w:pPr>
        <w:spacing w:line="276" w:lineRule="auto"/>
        <w:ind w:firstLine="720"/>
        <w:contextualSpacing/>
        <w:jc w:val="both"/>
      </w:pPr>
    </w:p>
    <w:p w14:paraId="66964964" w14:textId="77777777" w:rsidR="007821A7" w:rsidRDefault="007821A7" w:rsidP="00C4178F">
      <w:pPr>
        <w:spacing w:line="276" w:lineRule="auto"/>
        <w:jc w:val="center"/>
        <w:rPr>
          <w:b/>
        </w:rPr>
      </w:pPr>
      <w:r w:rsidRPr="009F1565">
        <w:rPr>
          <w:b/>
        </w:rPr>
        <w:t>Aprakstošā daļa</w:t>
      </w:r>
    </w:p>
    <w:p w14:paraId="27F9CF02" w14:textId="77777777" w:rsidR="00373081" w:rsidRDefault="00373081" w:rsidP="00C4178F">
      <w:pPr>
        <w:spacing w:line="276" w:lineRule="auto"/>
        <w:ind w:firstLine="720"/>
        <w:jc w:val="both"/>
        <w:rPr>
          <w:color w:val="000000"/>
        </w:rPr>
      </w:pPr>
    </w:p>
    <w:p w14:paraId="63666BE8" w14:textId="29E4AD29" w:rsidR="00F11AD9" w:rsidRPr="008A097E" w:rsidRDefault="00E367DA" w:rsidP="00C4178F">
      <w:pPr>
        <w:spacing w:line="276" w:lineRule="auto"/>
        <w:ind w:firstLine="720"/>
        <w:jc w:val="both"/>
      </w:pPr>
      <w:r w:rsidRPr="007D376D">
        <w:rPr>
          <w:color w:val="000000"/>
        </w:rPr>
        <w:t>[1] </w:t>
      </w:r>
      <w:r w:rsidR="00F11AD9" w:rsidRPr="001534F3">
        <w:t>Pieteicēj</w:t>
      </w:r>
      <w:r w:rsidR="009E2C66">
        <w:t>i</w:t>
      </w:r>
      <w:r w:rsidR="00F11AD9" w:rsidRPr="001534F3">
        <w:t xml:space="preserve"> </w:t>
      </w:r>
      <w:r w:rsidR="00A83AA9">
        <w:t>–</w:t>
      </w:r>
      <w:r w:rsidR="00C4178F">
        <w:t xml:space="preserve"> </w:t>
      </w:r>
      <w:r w:rsidR="00C4178F">
        <w:t xml:space="preserve">[pers. A] </w:t>
      </w:r>
      <w:r w:rsidR="009D45D1">
        <w:t>un</w:t>
      </w:r>
      <w:r w:rsidR="00C4178F">
        <w:t xml:space="preserve"> [pers. B] </w:t>
      </w:r>
      <w:r w:rsidR="00A83AA9">
        <w:t xml:space="preserve">– </w:t>
      </w:r>
      <w:r w:rsidR="00F11AD9" w:rsidRPr="001534F3">
        <w:t xml:space="preserve">2025.gada 24.martā iesniedza </w:t>
      </w:r>
      <w:r w:rsidR="00A83AA9" w:rsidRPr="008A097E">
        <w:t xml:space="preserve">Pilsonības un migrācijas lietu </w:t>
      </w:r>
      <w:r w:rsidR="00F11AD9" w:rsidRPr="008A097E">
        <w:t>pārvaldē</w:t>
      </w:r>
      <w:r w:rsidR="00A83AA9" w:rsidRPr="008A097E">
        <w:t xml:space="preserve"> (turpmāk – pārvalde)</w:t>
      </w:r>
      <w:r w:rsidR="00F11AD9" w:rsidRPr="008A097E">
        <w:t xml:space="preserve"> dokumentus atkārtotas uzturēšanās atļaujas pieprasīšanai</w:t>
      </w:r>
      <w:r w:rsidR="008E34ED" w:rsidRPr="008A097E">
        <w:t xml:space="preserve"> </w:t>
      </w:r>
      <w:r w:rsidR="00E04B69" w:rsidRPr="008A097E">
        <w:t>pieteicējai</w:t>
      </w:r>
      <w:r w:rsidR="00C4178F">
        <w:t xml:space="preserve"> </w:t>
      </w:r>
      <w:r w:rsidR="00C4178F">
        <w:t>[pers. A]</w:t>
      </w:r>
      <w:r w:rsidR="00F11AD9" w:rsidRPr="008A097E">
        <w:t>.</w:t>
      </w:r>
    </w:p>
    <w:p w14:paraId="6B469CBD" w14:textId="683213D7" w:rsidR="00F11AD9" w:rsidRPr="008A097E" w:rsidRDefault="00F11AD9" w:rsidP="00C4178F">
      <w:pPr>
        <w:spacing w:line="276" w:lineRule="auto"/>
        <w:ind w:firstLine="720"/>
        <w:jc w:val="both"/>
      </w:pPr>
      <w:r w:rsidRPr="008A097E">
        <w:t>2025.gada 27.martā pārvalde nosūtīja pieteicē</w:t>
      </w:r>
      <w:r w:rsidR="001E7656" w:rsidRPr="008A097E">
        <w:t>jiem</w:t>
      </w:r>
      <w:r w:rsidRPr="008A097E">
        <w:t xml:space="preserve"> elektroniskā pasta vēstuli, kurā norādīja, ka</w:t>
      </w:r>
      <w:r w:rsidR="009E2C66" w:rsidRPr="008A097E">
        <w:t xml:space="preserve"> </w:t>
      </w:r>
      <w:r w:rsidRPr="008A097E">
        <w:t xml:space="preserve">dokumenti jāiesniedz, nepārsniedzot ārzemnieka likumīgās uzturēšanās termiņu Latvijā, </w:t>
      </w:r>
      <w:r w:rsidR="009E2C66" w:rsidRPr="008A097E">
        <w:t xml:space="preserve">tāpēc </w:t>
      </w:r>
      <w:r w:rsidR="00E646B3" w:rsidRPr="008A097E">
        <w:t xml:space="preserve">pieteicējiem </w:t>
      </w:r>
      <w:r w:rsidR="00A83AA9" w:rsidRPr="008A097E">
        <w:t>jāsamaksā</w:t>
      </w:r>
      <w:r w:rsidRPr="008A097E">
        <w:t xml:space="preserve"> valsts nodev</w:t>
      </w:r>
      <w:r w:rsidR="00A83AA9" w:rsidRPr="008A097E">
        <w:t>a</w:t>
      </w:r>
      <w:r w:rsidRPr="008A097E">
        <w:t xml:space="preserve"> </w:t>
      </w:r>
      <w:r w:rsidR="009E2C66" w:rsidRPr="008A097E">
        <w:t>120 </w:t>
      </w:r>
      <w:r w:rsidR="009E2C66" w:rsidRPr="008A097E">
        <w:rPr>
          <w:i/>
          <w:iCs/>
        </w:rPr>
        <w:t>euro</w:t>
      </w:r>
      <w:r w:rsidR="009E2C66" w:rsidRPr="008A097E">
        <w:t xml:space="preserve"> </w:t>
      </w:r>
      <w:r w:rsidRPr="008A097E">
        <w:t xml:space="preserve">par iesniegto dokumentu izskatīšanu 10 darba dienās. </w:t>
      </w:r>
      <w:r w:rsidR="00A82AE0" w:rsidRPr="008A097E">
        <w:t>J</w:t>
      </w:r>
      <w:r w:rsidRPr="008A097E">
        <w:t>a līdz 2025.gada 31.martam valsts nodeva netiks saņemta Valsts kasē, iesniegtie dokumenti tiks atstāti bez izskatīšanas</w:t>
      </w:r>
      <w:r w:rsidR="009E2C66" w:rsidRPr="008A097E">
        <w:t xml:space="preserve">. </w:t>
      </w:r>
    </w:p>
    <w:p w14:paraId="0EF7E95D" w14:textId="3685B711" w:rsidR="00F11AD9" w:rsidRDefault="00F11AD9" w:rsidP="00C4178F">
      <w:pPr>
        <w:spacing w:line="276" w:lineRule="auto"/>
        <w:ind w:firstLine="720"/>
        <w:jc w:val="both"/>
      </w:pPr>
      <w:r w:rsidRPr="008A097E">
        <w:t xml:space="preserve">Ar </w:t>
      </w:r>
      <w:r w:rsidR="00AF7739" w:rsidRPr="008A097E">
        <w:t>p</w:t>
      </w:r>
      <w:r w:rsidRPr="008A097E">
        <w:t xml:space="preserve">ārvaldes 2025.gada 8.aprīļa </w:t>
      </w:r>
      <w:r w:rsidR="00903551" w:rsidRPr="008A097E">
        <w:t xml:space="preserve">lēmumu </w:t>
      </w:r>
      <w:r w:rsidRPr="008A097E">
        <w:t>sniegta atbilde uz pieteicēju iesniegumu, kurā pieteicēji iebilda pret to, ka dokumentu izskatīšanai jāpiemaksā 120 </w:t>
      </w:r>
      <w:r w:rsidRPr="008A097E">
        <w:rPr>
          <w:i/>
          <w:iCs/>
        </w:rPr>
        <w:t>euro</w:t>
      </w:r>
      <w:r w:rsidRPr="008A097E">
        <w:t xml:space="preserve">. </w:t>
      </w:r>
      <w:r w:rsidR="004B3CC8" w:rsidRPr="008A097E">
        <w:t xml:space="preserve">Lēmumā </w:t>
      </w:r>
      <w:r w:rsidRPr="008A097E">
        <w:t xml:space="preserve">norādīts, ka </w:t>
      </w:r>
      <w:r w:rsidR="00AF7739" w:rsidRPr="008A097E">
        <w:t xml:space="preserve">prasība par lielākas valsts nodevas samaksu ir pamatota. </w:t>
      </w:r>
      <w:r w:rsidR="00904D45">
        <w:t>Pieteicēji šo lēmumu pārsūdzēja administratīvajā tiesā.</w:t>
      </w:r>
    </w:p>
    <w:p w14:paraId="49D85D01" w14:textId="2CA12FC4" w:rsidR="00904D45" w:rsidRDefault="00904D45" w:rsidP="00C4178F">
      <w:pPr>
        <w:spacing w:line="276" w:lineRule="auto"/>
        <w:ind w:firstLine="720"/>
        <w:jc w:val="both"/>
      </w:pPr>
      <w:r w:rsidRPr="00904D45">
        <w:t xml:space="preserve">2025.gada 22.maijā </w:t>
      </w:r>
      <w:r>
        <w:t xml:space="preserve">pieteicēji </w:t>
      </w:r>
      <w:r w:rsidR="00A14B41">
        <w:t xml:space="preserve">atkārtoti </w:t>
      </w:r>
      <w:r w:rsidRPr="00904D45">
        <w:t>iesniedza dokumentus Pilsonības un migrācijas lietu pārvaldē uzturēšanās atļaujas pieprasīšanai.</w:t>
      </w:r>
      <w:r w:rsidR="00682427">
        <w:t xml:space="preserve"> </w:t>
      </w:r>
    </w:p>
    <w:p w14:paraId="29527395" w14:textId="5D122453" w:rsidR="00301B76" w:rsidRPr="000120F3" w:rsidRDefault="00B41E43" w:rsidP="00C4178F">
      <w:pPr>
        <w:spacing w:line="276" w:lineRule="auto"/>
        <w:ind w:firstLine="720"/>
        <w:jc w:val="both"/>
      </w:pPr>
      <w:r>
        <w:t>Process iestādē noslēdzās a</w:t>
      </w:r>
      <w:r w:rsidR="000120F3">
        <w:t xml:space="preserve">r </w:t>
      </w:r>
      <w:r w:rsidRPr="00301B76">
        <w:t>Pilsonības un migrācijas lietu pārvalde</w:t>
      </w:r>
      <w:r>
        <w:t xml:space="preserve">s </w:t>
      </w:r>
      <w:r w:rsidR="00301B76" w:rsidRPr="00301B76">
        <w:t>2025.gada 26.jūnija vēstul</w:t>
      </w:r>
      <w:r w:rsidR="000120F3">
        <w:t>i</w:t>
      </w:r>
      <w:r w:rsidR="00301B76" w:rsidRPr="00301B76">
        <w:t xml:space="preserve"> Nr.</w:t>
      </w:r>
      <w:r w:rsidR="00301B76">
        <w:t> </w:t>
      </w:r>
      <w:r w:rsidR="00301B76" w:rsidRPr="00301B76">
        <w:t>24/1</w:t>
      </w:r>
      <w:r w:rsidR="00301B76" w:rsidRPr="00301B76">
        <w:noBreakHyphen/>
        <w:t>44/3079/N</w:t>
      </w:r>
      <w:r>
        <w:t>, kurā pieteicēji</w:t>
      </w:r>
      <w:r w:rsidR="000120F3">
        <w:t xml:space="preserve"> </w:t>
      </w:r>
      <w:r w:rsidR="00AA729A">
        <w:t xml:space="preserve">atkal </w:t>
      </w:r>
      <w:r w:rsidR="00301B76" w:rsidRPr="00301B76">
        <w:t>inform</w:t>
      </w:r>
      <w:r>
        <w:t>ēti</w:t>
      </w:r>
      <w:r w:rsidR="00301B76" w:rsidRPr="00301B76">
        <w:t xml:space="preserve">, ka </w:t>
      </w:r>
      <w:r w:rsidR="000120F3" w:rsidRPr="008A097E">
        <w:t xml:space="preserve">dokumentu izskatīšanai jāpiemaksā </w:t>
      </w:r>
      <w:r w:rsidR="007A1708">
        <w:t xml:space="preserve">valsts nodeva </w:t>
      </w:r>
      <w:r w:rsidR="000120F3" w:rsidRPr="008A097E">
        <w:t>120 </w:t>
      </w:r>
      <w:r w:rsidR="000120F3" w:rsidRPr="008A097E">
        <w:rPr>
          <w:i/>
          <w:iCs/>
        </w:rPr>
        <w:t>euro</w:t>
      </w:r>
      <w:r w:rsidR="000120F3">
        <w:t>.</w:t>
      </w:r>
    </w:p>
    <w:p w14:paraId="47675165" w14:textId="3EB24EAA" w:rsidR="00301B76" w:rsidRPr="008A097E" w:rsidRDefault="00301B76" w:rsidP="00C4178F">
      <w:pPr>
        <w:spacing w:line="276" w:lineRule="auto"/>
        <w:ind w:firstLine="720"/>
        <w:jc w:val="both"/>
      </w:pPr>
      <w:r>
        <w:lastRenderedPageBreak/>
        <w:t xml:space="preserve">Pieteicēji vērsās tiesā un lūdza </w:t>
      </w:r>
      <w:r w:rsidRPr="00301B76">
        <w:t>atcelt Pilsonības un migrācijas lietu pārvaldes 2025.gada 26.jūnija lēmumu Nr.</w:t>
      </w:r>
      <w:r>
        <w:t> </w:t>
      </w:r>
      <w:r w:rsidRPr="00301B76">
        <w:t>24/1</w:t>
      </w:r>
      <w:r w:rsidRPr="00301B76">
        <w:noBreakHyphen/>
        <w:t>44/3079/N</w:t>
      </w:r>
      <w:r>
        <w:t xml:space="preserve"> un uzlikt </w:t>
      </w:r>
      <w:r w:rsidRPr="00301B76">
        <w:t>pienākumu pārvaldei pieņemt izskatīšanai pieteicējas dokumentus atkārtotas uzturēšanās atļaujas pieprasīšanai bez valsts nodevas piemaksas</w:t>
      </w:r>
      <w:r>
        <w:t xml:space="preserve">. </w:t>
      </w:r>
    </w:p>
    <w:p w14:paraId="10B4E5EF" w14:textId="77777777" w:rsidR="00E14F6A" w:rsidRPr="008A097E" w:rsidRDefault="00E14F6A" w:rsidP="00C4178F">
      <w:pPr>
        <w:spacing w:line="276" w:lineRule="auto"/>
        <w:jc w:val="both"/>
        <w:rPr>
          <w:color w:val="000000"/>
        </w:rPr>
      </w:pPr>
    </w:p>
    <w:p w14:paraId="3EA376AD" w14:textId="632DA03A" w:rsidR="00A055DA" w:rsidRPr="008A097E" w:rsidRDefault="00E14F6A" w:rsidP="00C4178F">
      <w:pPr>
        <w:spacing w:line="276" w:lineRule="auto"/>
        <w:ind w:firstLine="720"/>
        <w:jc w:val="both"/>
        <w:rPr>
          <w:color w:val="000000"/>
        </w:rPr>
      </w:pPr>
      <w:r w:rsidRPr="008A097E">
        <w:rPr>
          <w:color w:val="000000"/>
        </w:rPr>
        <w:t>[2] </w:t>
      </w:r>
      <w:r w:rsidR="00F11AD9" w:rsidRPr="008A097E">
        <w:t xml:space="preserve">Ar Administratīvās rajona tiesas tiesneša 2025.gada </w:t>
      </w:r>
      <w:r w:rsidR="00301B76">
        <w:t>24.jūlija</w:t>
      </w:r>
      <w:r w:rsidR="00F11AD9" w:rsidRPr="008A097E">
        <w:t xml:space="preserve"> lēmumu pieteikumu atteikts pieņemt, pamatojoties uz Administratīvā procesa likuma 191.panta pirmās daļas 1.punktu. </w:t>
      </w:r>
      <w:r w:rsidR="00C56B2E" w:rsidRPr="008A097E">
        <w:t>Tiesneša l</w:t>
      </w:r>
      <w:r w:rsidR="00F11AD9" w:rsidRPr="008A097E">
        <w:t xml:space="preserve">ēmumā norādīts, ka pārvaldes 2025.gada </w:t>
      </w:r>
      <w:r w:rsidR="004E7D04">
        <w:t>2</w:t>
      </w:r>
      <w:r w:rsidR="006F32A8">
        <w:t>6</w:t>
      </w:r>
      <w:r w:rsidR="004E7D04">
        <w:t>.jū</w:t>
      </w:r>
      <w:r w:rsidR="006F32A8">
        <w:t>n</w:t>
      </w:r>
      <w:r w:rsidR="004E7D04">
        <w:t>ija</w:t>
      </w:r>
      <w:r w:rsidR="00F11AD9" w:rsidRPr="008A097E">
        <w:t xml:space="preserve"> </w:t>
      </w:r>
      <w:r w:rsidR="00C56B2E" w:rsidRPr="008A097E">
        <w:t xml:space="preserve">lēmums </w:t>
      </w:r>
      <w:r w:rsidR="00F11AD9" w:rsidRPr="008A097E">
        <w:t>ir starplēmums jeb procesuāls lēmums</w:t>
      </w:r>
      <w:r w:rsidR="00B25C31">
        <w:t xml:space="preserve">, kurš </w:t>
      </w:r>
      <w:r w:rsidR="0053788E" w:rsidRPr="008A097E">
        <w:t>konkrētajā gadījumā nav atsevišķi pārsūdzams.</w:t>
      </w:r>
      <w:r w:rsidR="00ED45A9">
        <w:t xml:space="preserve"> Tiesnesis arī konstatēj</w:t>
      </w:r>
      <w:r w:rsidR="00C96994">
        <w:t>is</w:t>
      </w:r>
      <w:r w:rsidR="00ED45A9">
        <w:t xml:space="preserve">, ka </w:t>
      </w:r>
      <w:r w:rsidR="00ED45A9" w:rsidRPr="008A097E">
        <w:rPr>
          <w:lang w:eastAsia="lv-LV"/>
        </w:rPr>
        <w:t xml:space="preserve">pārvalde 2025.gada 17.jūlijā </w:t>
      </w:r>
      <w:r w:rsidR="00ED45A9">
        <w:rPr>
          <w:lang w:eastAsia="lv-LV"/>
        </w:rPr>
        <w:t xml:space="preserve">ir </w:t>
      </w:r>
      <w:r w:rsidR="00ED45A9" w:rsidRPr="008A097E">
        <w:rPr>
          <w:lang w:eastAsia="lv-LV"/>
        </w:rPr>
        <w:t>pieņēm</w:t>
      </w:r>
      <w:r w:rsidR="00ED45A9">
        <w:rPr>
          <w:lang w:eastAsia="lv-LV"/>
        </w:rPr>
        <w:t>usi</w:t>
      </w:r>
      <w:r w:rsidR="00ED45A9" w:rsidRPr="008A097E">
        <w:rPr>
          <w:lang w:eastAsia="lv-LV"/>
        </w:rPr>
        <w:t xml:space="preserve"> lēmumu Nr.</w:t>
      </w:r>
      <w:r w:rsidR="00ED45A9">
        <w:rPr>
          <w:lang w:eastAsia="lv-LV"/>
        </w:rPr>
        <w:t> </w:t>
      </w:r>
      <w:r w:rsidR="00ED45A9" w:rsidRPr="008A097E">
        <w:rPr>
          <w:lang w:eastAsia="lv-LV"/>
        </w:rPr>
        <w:t>1356/2025, ar kuru pieteicējai</w:t>
      </w:r>
      <w:r w:rsidR="00533668">
        <w:rPr>
          <w:lang w:eastAsia="lv-LV"/>
        </w:rPr>
        <w:t xml:space="preserve"> atteikts</w:t>
      </w:r>
      <w:r w:rsidR="00ED45A9" w:rsidRPr="008A097E">
        <w:rPr>
          <w:lang w:eastAsia="lv-LV"/>
        </w:rPr>
        <w:t xml:space="preserve"> izsniegt uzturēšanās atļauju</w:t>
      </w:r>
      <w:r w:rsidR="00873FA8">
        <w:rPr>
          <w:lang w:eastAsia="lv-LV"/>
        </w:rPr>
        <w:t>. Tiesnesis norādījis, ka</w:t>
      </w:r>
      <w:r w:rsidR="00443E23">
        <w:rPr>
          <w:lang w:eastAsia="lv-LV"/>
        </w:rPr>
        <w:t xml:space="preserve"> </w:t>
      </w:r>
      <w:r w:rsidR="00B25C31" w:rsidRPr="00B25C31">
        <w:rPr>
          <w:lang w:eastAsia="lv-LV"/>
        </w:rPr>
        <w:t>pieteicēja var panākt savu tiesību aizsardzību, apstrīdot un pārsūdzot</w:t>
      </w:r>
      <w:r w:rsidR="00B25C31">
        <w:rPr>
          <w:lang w:eastAsia="lv-LV"/>
        </w:rPr>
        <w:t xml:space="preserve"> šo lēmumu. </w:t>
      </w:r>
    </w:p>
    <w:p w14:paraId="34A2505E" w14:textId="77777777" w:rsidR="001B3B1A" w:rsidRDefault="001B3B1A" w:rsidP="00C4178F">
      <w:pPr>
        <w:spacing w:line="276" w:lineRule="auto"/>
        <w:ind w:firstLine="720"/>
        <w:jc w:val="both"/>
        <w:rPr>
          <w:color w:val="000000"/>
        </w:rPr>
      </w:pPr>
    </w:p>
    <w:p w14:paraId="735F8EDC" w14:textId="6725E7AC" w:rsidR="00C70682" w:rsidRPr="008A097E" w:rsidRDefault="002F3FB4" w:rsidP="00C4178F">
      <w:pPr>
        <w:spacing w:line="276" w:lineRule="auto"/>
        <w:ind w:firstLine="720"/>
        <w:jc w:val="both"/>
        <w:rPr>
          <w:lang w:eastAsia="lv-LV"/>
        </w:rPr>
      </w:pPr>
      <w:r w:rsidRPr="008A097E">
        <w:rPr>
          <w:color w:val="000000"/>
        </w:rPr>
        <w:t>[</w:t>
      </w:r>
      <w:r w:rsidR="00BC7585" w:rsidRPr="008A097E">
        <w:rPr>
          <w:color w:val="000000"/>
        </w:rPr>
        <w:t>3</w:t>
      </w:r>
      <w:r w:rsidRPr="008A097E">
        <w:rPr>
          <w:color w:val="000000"/>
        </w:rPr>
        <w:t>] </w:t>
      </w:r>
      <w:r w:rsidR="00BC7585" w:rsidRPr="008A097E">
        <w:t>Par tiesneša lēmumu pieteicēj</w:t>
      </w:r>
      <w:r w:rsidR="0053788E" w:rsidRPr="008A097E">
        <w:t xml:space="preserve">i </w:t>
      </w:r>
      <w:r w:rsidR="00BC7585" w:rsidRPr="008A097E">
        <w:t>iesniedza bl</w:t>
      </w:r>
      <w:r w:rsidR="00BC7585" w:rsidRPr="008A097E">
        <w:rPr>
          <w:lang w:eastAsia="lv-LV"/>
        </w:rPr>
        <w:t>akus sūdzību.</w:t>
      </w:r>
      <w:r w:rsidR="00636ECD" w:rsidRPr="008A097E">
        <w:rPr>
          <w:lang w:eastAsia="lv-LV"/>
        </w:rPr>
        <w:t xml:space="preserve"> </w:t>
      </w:r>
      <w:r w:rsidR="00975F0F" w:rsidRPr="008A097E">
        <w:rPr>
          <w:lang w:eastAsia="lv-LV"/>
        </w:rPr>
        <w:t xml:space="preserve">Blakus sūdzībā norādīts, </w:t>
      </w:r>
      <w:r w:rsidR="00C70682" w:rsidRPr="008A097E">
        <w:rPr>
          <w:lang w:eastAsia="lv-LV"/>
        </w:rPr>
        <w:t xml:space="preserve">ka </w:t>
      </w:r>
      <w:r w:rsidR="0053788E" w:rsidRPr="008A097E">
        <w:rPr>
          <w:lang w:eastAsia="lv-LV"/>
        </w:rPr>
        <w:t xml:space="preserve">2025.gada </w:t>
      </w:r>
      <w:r w:rsidR="001B3B1A">
        <w:rPr>
          <w:lang w:eastAsia="lv-LV"/>
        </w:rPr>
        <w:t>2</w:t>
      </w:r>
      <w:r w:rsidR="00B25C31">
        <w:rPr>
          <w:lang w:eastAsia="lv-LV"/>
        </w:rPr>
        <w:t>6</w:t>
      </w:r>
      <w:r w:rsidR="001B3B1A">
        <w:rPr>
          <w:lang w:eastAsia="lv-LV"/>
        </w:rPr>
        <w:t>.</w:t>
      </w:r>
      <w:r w:rsidR="00B25C31">
        <w:rPr>
          <w:lang w:eastAsia="lv-LV"/>
        </w:rPr>
        <w:t>jūnija</w:t>
      </w:r>
      <w:r w:rsidR="0053788E" w:rsidRPr="008A097E">
        <w:rPr>
          <w:lang w:eastAsia="lv-LV"/>
        </w:rPr>
        <w:t xml:space="preserve"> </w:t>
      </w:r>
      <w:r w:rsidR="00C17738" w:rsidRPr="008A097E">
        <w:rPr>
          <w:lang w:eastAsia="lv-LV"/>
        </w:rPr>
        <w:t xml:space="preserve">lēmums </w:t>
      </w:r>
      <w:r w:rsidR="0053788E" w:rsidRPr="008A097E">
        <w:rPr>
          <w:lang w:eastAsia="lv-LV"/>
        </w:rPr>
        <w:t xml:space="preserve">nav starplēmums, bet </w:t>
      </w:r>
      <w:r w:rsidR="0044455C" w:rsidRPr="008A097E">
        <w:rPr>
          <w:lang w:eastAsia="lv-LV"/>
        </w:rPr>
        <w:t>gan</w:t>
      </w:r>
      <w:r w:rsidR="0053788E" w:rsidRPr="008A097E">
        <w:rPr>
          <w:lang w:eastAsia="lv-LV"/>
        </w:rPr>
        <w:t xml:space="preserve"> atteikums pieņemt dokumentus atkārtotas uzturēšanās atļaujas</w:t>
      </w:r>
      <w:r w:rsidR="00A85AB8" w:rsidRPr="008A097E">
        <w:rPr>
          <w:lang w:eastAsia="lv-LV"/>
        </w:rPr>
        <w:t xml:space="preserve"> pieprasīšanai</w:t>
      </w:r>
      <w:r w:rsidR="0053788E" w:rsidRPr="008A097E">
        <w:rPr>
          <w:lang w:eastAsia="lv-LV"/>
        </w:rPr>
        <w:t xml:space="preserve">. </w:t>
      </w:r>
    </w:p>
    <w:p w14:paraId="76702961" w14:textId="77777777" w:rsidR="00975F0F" w:rsidRPr="008A097E" w:rsidRDefault="00975F0F" w:rsidP="00C4178F">
      <w:pPr>
        <w:spacing w:line="276" w:lineRule="auto"/>
        <w:ind w:firstLine="720"/>
        <w:jc w:val="both"/>
        <w:rPr>
          <w:lang w:eastAsia="lv-LV"/>
        </w:rPr>
      </w:pPr>
    </w:p>
    <w:p w14:paraId="387286F4" w14:textId="791B955D" w:rsidR="009B57D7" w:rsidRPr="009B57D7" w:rsidRDefault="00975F0F" w:rsidP="00C4178F">
      <w:pPr>
        <w:spacing w:line="276" w:lineRule="auto"/>
        <w:ind w:firstLine="720"/>
        <w:jc w:val="both"/>
        <w:rPr>
          <w:bCs/>
          <w:lang w:bidi="lv-LV"/>
        </w:rPr>
      </w:pPr>
      <w:r w:rsidRPr="008A097E">
        <w:rPr>
          <w:lang w:eastAsia="lv-LV"/>
        </w:rPr>
        <w:t>[</w:t>
      </w:r>
      <w:r w:rsidR="006F32A8">
        <w:rPr>
          <w:lang w:eastAsia="lv-LV"/>
        </w:rPr>
        <w:t>4</w:t>
      </w:r>
      <w:r w:rsidRPr="008A097E">
        <w:rPr>
          <w:lang w:eastAsia="lv-LV"/>
        </w:rPr>
        <w:t>] </w:t>
      </w:r>
      <w:r w:rsidR="000E0335">
        <w:t>Vēlāk</w:t>
      </w:r>
      <w:r w:rsidR="00816C43" w:rsidRPr="008A097E">
        <w:t xml:space="preserve"> p</w:t>
      </w:r>
      <w:r w:rsidR="009B57D7" w:rsidRPr="008A097E">
        <w:t xml:space="preserve">ieteicēji Senātā </w:t>
      </w:r>
      <w:r w:rsidR="00975E49" w:rsidRPr="008A097E">
        <w:t xml:space="preserve">iesniedza </w:t>
      </w:r>
      <w:r w:rsidR="000E0335">
        <w:t xml:space="preserve">2025.gada </w:t>
      </w:r>
      <w:r w:rsidR="002E4FBB">
        <w:t>9</w:t>
      </w:r>
      <w:r w:rsidR="000E0335">
        <w:t xml:space="preserve">.oktobra </w:t>
      </w:r>
      <w:r w:rsidR="009B57D7" w:rsidRPr="008A097E">
        <w:t xml:space="preserve">iesniegumu, </w:t>
      </w:r>
      <w:r w:rsidR="00D61D96" w:rsidRPr="008A097E">
        <w:t>kurā</w:t>
      </w:r>
      <w:r w:rsidR="00D61D96">
        <w:t xml:space="preserve"> norādī</w:t>
      </w:r>
      <w:r w:rsidR="00A639B6">
        <w:t>ja</w:t>
      </w:r>
      <w:r w:rsidR="009B57D7">
        <w:t xml:space="preserve">, ka pārvalde 2025.gada </w:t>
      </w:r>
      <w:r w:rsidR="00780CF8">
        <w:t>18.septembrī</w:t>
      </w:r>
      <w:r w:rsidR="009B57D7">
        <w:t xml:space="preserve"> pieņēm</w:t>
      </w:r>
      <w:r w:rsidR="007B12E0">
        <w:t>usi</w:t>
      </w:r>
      <w:r w:rsidR="009B57D7">
        <w:t xml:space="preserve"> lēmumu Nr. </w:t>
      </w:r>
      <w:r w:rsidR="009B57D7" w:rsidRPr="0078675C">
        <w:rPr>
          <w:bCs/>
          <w:lang w:bidi="lv-LV"/>
        </w:rPr>
        <w:t>2089/2025</w:t>
      </w:r>
      <w:r w:rsidR="009B57D7">
        <w:rPr>
          <w:bCs/>
          <w:lang w:bidi="lv-LV"/>
        </w:rPr>
        <w:t xml:space="preserve">, ar kuru pieteicējai piešķirta </w:t>
      </w:r>
      <w:r w:rsidR="00C019C4">
        <w:rPr>
          <w:bCs/>
          <w:lang w:bidi="lv-LV"/>
        </w:rPr>
        <w:t xml:space="preserve">uzturēšanās </w:t>
      </w:r>
      <w:r w:rsidR="009B57D7">
        <w:rPr>
          <w:bCs/>
          <w:lang w:bidi="lv-LV"/>
        </w:rPr>
        <w:t>atļauja. Iesniegumā pieteicēji norāda, ka atstāj tiesas ziņā, vai izskatīt pieteicēju blakus sūdzību, lūdz a</w:t>
      </w:r>
      <w:r w:rsidR="009B57D7" w:rsidRPr="009D442A">
        <w:rPr>
          <w:bCs/>
          <w:lang w:bidi="lv-LV"/>
        </w:rPr>
        <w:t xml:space="preserve">psvērt nepieciešamību pieņemt blakus lēmumu par </w:t>
      </w:r>
      <w:r w:rsidR="009B57D7">
        <w:rPr>
          <w:bCs/>
          <w:lang w:bidi="lv-LV"/>
        </w:rPr>
        <w:t>p</w:t>
      </w:r>
      <w:r w:rsidR="009B57D7" w:rsidRPr="009D442A">
        <w:rPr>
          <w:bCs/>
          <w:lang w:bidi="lv-LV"/>
        </w:rPr>
        <w:t>ārvaldes amatpersonu rīcību</w:t>
      </w:r>
      <w:r w:rsidR="009B57D7">
        <w:rPr>
          <w:bCs/>
          <w:lang w:bidi="lv-LV"/>
        </w:rPr>
        <w:t xml:space="preserve">, </w:t>
      </w:r>
      <w:r w:rsidR="00E13D3B">
        <w:rPr>
          <w:bCs/>
          <w:lang w:bidi="lv-LV"/>
        </w:rPr>
        <w:t xml:space="preserve">kā arī </w:t>
      </w:r>
      <w:r w:rsidR="009B57D7">
        <w:rPr>
          <w:bCs/>
          <w:lang w:bidi="lv-LV"/>
        </w:rPr>
        <w:t xml:space="preserve">atmaksāt </w:t>
      </w:r>
      <w:r w:rsidR="009B57D7" w:rsidRPr="000A532B">
        <w:rPr>
          <w:bCs/>
          <w:lang w:bidi="lv-LV"/>
        </w:rPr>
        <w:t xml:space="preserve">valsts nodevu un drošības naudu, jo tiesiskais strīds, kas bija par pamatu pieteikuma iesniegšanai tiesā, </w:t>
      </w:r>
      <w:r w:rsidR="00133CA4">
        <w:rPr>
          <w:bCs/>
          <w:lang w:bidi="lv-LV"/>
        </w:rPr>
        <w:t xml:space="preserve">ir </w:t>
      </w:r>
      <w:r w:rsidR="009B57D7" w:rsidRPr="000A532B">
        <w:rPr>
          <w:bCs/>
          <w:lang w:bidi="lv-LV"/>
        </w:rPr>
        <w:t>izbeidzies</w:t>
      </w:r>
      <w:r w:rsidR="009B57D7">
        <w:rPr>
          <w:bCs/>
          <w:lang w:bidi="lv-LV"/>
        </w:rPr>
        <w:t>.</w:t>
      </w:r>
    </w:p>
    <w:p w14:paraId="6895DBE8" w14:textId="77777777" w:rsidR="001D2DA5" w:rsidRDefault="001D2DA5" w:rsidP="00C4178F">
      <w:pPr>
        <w:spacing w:line="276" w:lineRule="auto"/>
        <w:ind w:firstLine="720"/>
        <w:jc w:val="both"/>
      </w:pPr>
    </w:p>
    <w:p w14:paraId="33EA21B5" w14:textId="77777777" w:rsidR="00CA527B" w:rsidRPr="00EC55A4" w:rsidRDefault="00CA527B" w:rsidP="00C4178F">
      <w:pPr>
        <w:spacing w:line="276" w:lineRule="auto"/>
        <w:jc w:val="center"/>
        <w:rPr>
          <w:b/>
        </w:rPr>
      </w:pPr>
      <w:r w:rsidRPr="00EC55A4">
        <w:rPr>
          <w:b/>
        </w:rPr>
        <w:t>Motīvu daļa</w:t>
      </w:r>
    </w:p>
    <w:p w14:paraId="23F2C7DD" w14:textId="77777777" w:rsidR="00CA527B" w:rsidRPr="001E0942" w:rsidRDefault="00CA527B" w:rsidP="00C4178F">
      <w:pPr>
        <w:spacing w:line="276" w:lineRule="auto"/>
        <w:ind w:firstLine="720"/>
        <w:jc w:val="both"/>
      </w:pPr>
    </w:p>
    <w:p w14:paraId="2C244C40" w14:textId="520E0DD2" w:rsidR="00C067E2" w:rsidRDefault="00C067E2" w:rsidP="00C4178F">
      <w:pPr>
        <w:tabs>
          <w:tab w:val="left" w:pos="1276"/>
        </w:tabs>
        <w:spacing w:line="276" w:lineRule="auto"/>
        <w:ind w:firstLine="720"/>
        <w:jc w:val="both"/>
      </w:pPr>
      <w:r>
        <w:t xml:space="preserve">[5] Tiesnesis atzinis, ka pārvaldes 2025.gada </w:t>
      </w:r>
      <w:r w:rsidR="00E40B1A">
        <w:t>26.jūnija</w:t>
      </w:r>
      <w:r>
        <w:t xml:space="preserve"> lēmums ir starplēmums, ar kuru iestāde ir informējusi pieteicējus par priekšnoteikumiem dokumentu izskatīšanai un lēmuma par uzturēšanās atļaujas izsniegšanu pieņemšanai. </w:t>
      </w:r>
    </w:p>
    <w:p w14:paraId="078DED66" w14:textId="77777777" w:rsidR="00C067E2" w:rsidRDefault="00C067E2" w:rsidP="00C4178F">
      <w:pPr>
        <w:tabs>
          <w:tab w:val="left" w:pos="1276"/>
        </w:tabs>
        <w:spacing w:line="276" w:lineRule="auto"/>
        <w:ind w:firstLine="720"/>
        <w:jc w:val="both"/>
      </w:pPr>
      <w:r>
        <w:t>Senāts tam nepiekrīt.</w:t>
      </w:r>
    </w:p>
    <w:p w14:paraId="6AD913BB" w14:textId="77777777" w:rsidR="00C067E2" w:rsidRDefault="00C067E2" w:rsidP="00C4178F">
      <w:pPr>
        <w:tabs>
          <w:tab w:val="left" w:pos="1276"/>
        </w:tabs>
        <w:spacing w:line="276" w:lineRule="auto"/>
        <w:ind w:firstLine="720"/>
        <w:jc w:val="both"/>
      </w:pPr>
      <w:r>
        <w:t>Jāņem vērā, ka tas vien, ka pieteicēji iestādes ieskatā nav izpildījuši visus priekšnoteikumus labvēlīga administratīvā akta izdošanai, nenozīmē, ka iestāde varētu neievērot Administratīvā procesa likuma 64.pantā noteikto termiņu, kurā lemjams par administratīvā akta izdošanu vai atteikšanos šādu aktu izdot. Tāpēc, ja iestāde minētajā normā paredzētajā termiņā secina, ka konkrētajos faktiskajos vai tiesiskajos apstākļos pastāv kādi šķēršļi labvēlīga administratīvā akta izdošanai, administratīvā akta izdošana ir jāatsaka, nevis jāatliek. Līdz ar to, ja iestāde likumā noteiktajā termiņā neizdod administratīvo aktu, personai ir tiesības ar konkrēto prasījumu vērsties attiecīgi augstākā iestādē (ja tāda ir) un tiesā, un iestādes vilcināšanās izdot administratīvo aktu ir vērtējama kā atteikums. Tāpat arī gadījumā, ja iestāde pieņem lēmumu atteikt uzsākt administratīvo procesu par administratīvā akta izdošanu, jo uzskata, ka iesniedzējs nav izpildījis visus priekšnoteikumus, lai process tiktu uzsākts un iestāde lemtu par jautājumu pēc būtības, bet iesniedzējs tam nepiekrīt un uzskata, ka iestādei ir pienākums pieņemt lēmumu, šāda iestādes atteikšanās ir pakļaujama tiesas kontrolei (</w:t>
      </w:r>
      <w:r w:rsidRPr="007954D6">
        <w:rPr>
          <w:i/>
          <w:iCs/>
        </w:rPr>
        <w:t>Senāta 2017.gada 26.septembra lēmum</w:t>
      </w:r>
      <w:r>
        <w:rPr>
          <w:i/>
          <w:iCs/>
        </w:rPr>
        <w:t>a</w:t>
      </w:r>
      <w:r w:rsidRPr="007954D6">
        <w:rPr>
          <w:i/>
          <w:iCs/>
        </w:rPr>
        <w:t xml:space="preserve"> lietā Nr. SKA-1323/2017, </w:t>
      </w:r>
      <w:hyperlink r:id="rId9" w:history="1">
        <w:r w:rsidRPr="00C2255A">
          <w:rPr>
            <w:rStyle w:val="Hyperlink"/>
            <w:i/>
            <w:iCs/>
          </w:rPr>
          <w:t>680026317</w:t>
        </w:r>
      </w:hyperlink>
      <w:r w:rsidRPr="007954D6">
        <w:rPr>
          <w:i/>
          <w:iCs/>
        </w:rPr>
        <w:t>, 8.punkts</w:t>
      </w:r>
      <w:r>
        <w:t>).</w:t>
      </w:r>
    </w:p>
    <w:p w14:paraId="24D6D72F" w14:textId="0761C7F9" w:rsidR="00C067E2" w:rsidRDefault="00C067E2" w:rsidP="00C4178F">
      <w:pPr>
        <w:tabs>
          <w:tab w:val="left" w:pos="1276"/>
        </w:tabs>
        <w:spacing w:line="276" w:lineRule="auto"/>
        <w:ind w:firstLine="720"/>
        <w:jc w:val="both"/>
      </w:pPr>
      <w:r>
        <w:lastRenderedPageBreak/>
        <w:t xml:space="preserve">Konkrētajā gadījumā pārvaldes 2025.gada </w:t>
      </w:r>
      <w:r w:rsidR="007266B4">
        <w:t>26</w:t>
      </w:r>
      <w:r>
        <w:t>.</w:t>
      </w:r>
      <w:r w:rsidR="007266B4">
        <w:t>jūnija</w:t>
      </w:r>
      <w:r>
        <w:t xml:space="preserve"> lēmumā pieteicējiem tika norādīts, ka, lai pārvalde vispār lemtu par labvēlīga administratīvā akta izdošanu, ir jāsamaksā lielāka valsts nodeva. Tātad iestāde būtībā liedza pieteicējiem saņemt prasīto administratīvo aktu, ja vien pieteicēji neizpildīs iestādes prasības, kurām pieteicēji nepiekrīt pēc būtības. Šādos apstākļos iestādes sniegtā atbilde ar norādi par lielākas valsts nodevas samaksu ir uzskatāma par atteikumu izdot pieteicējiem labvēlīgu administratīvo aktu. Šāds atteikums ir pakļauts administratīvās tiesas kontrolei. Pieteicēju mērķim atbilstošs pieteikuma priekšmets konkrētajā gadījumā būtu labvēlīga administratīvā akta izdošana. </w:t>
      </w:r>
    </w:p>
    <w:p w14:paraId="6109EF6D" w14:textId="77777777" w:rsidR="00C067E2" w:rsidRPr="00BC1913" w:rsidRDefault="00C067E2" w:rsidP="00C4178F">
      <w:pPr>
        <w:tabs>
          <w:tab w:val="left" w:pos="1276"/>
        </w:tabs>
        <w:spacing w:line="276" w:lineRule="auto"/>
        <w:ind w:firstLine="720"/>
        <w:jc w:val="both"/>
      </w:pPr>
      <w:r w:rsidRPr="00BC1913">
        <w:t xml:space="preserve">Ievērojot minēto, pieteicēju blakus sūdzība ir pamatota, un tiesnesis ar pārsūdzēto lēmumu ir nepamatoti atteicies pieņemt pieteicēju pieteikumu, tāpēc tiesneša lēmums ir atceļams. Šādā gadījumā Senātam būtu jānodod jautājums par pieteikuma virzību jaunai izskatīšanai Administratīvajā rajona tiesā, bet, ņemot vērā turpmāk minētos apstākļus, Senāts atzīst, ka tas nebūtu procesuāli lietderīgi. </w:t>
      </w:r>
    </w:p>
    <w:p w14:paraId="55332221" w14:textId="77777777" w:rsidR="00C067E2" w:rsidRPr="00BC1913" w:rsidRDefault="00C067E2" w:rsidP="00C4178F">
      <w:pPr>
        <w:tabs>
          <w:tab w:val="left" w:pos="1276"/>
        </w:tabs>
        <w:spacing w:line="276" w:lineRule="auto"/>
        <w:ind w:firstLine="720"/>
        <w:jc w:val="both"/>
      </w:pPr>
    </w:p>
    <w:p w14:paraId="25B13DA8" w14:textId="3F7B236F" w:rsidR="00C067E2" w:rsidRPr="00BC1913" w:rsidRDefault="00C067E2" w:rsidP="00C4178F">
      <w:pPr>
        <w:tabs>
          <w:tab w:val="left" w:pos="1276"/>
        </w:tabs>
        <w:spacing w:line="276" w:lineRule="auto"/>
        <w:ind w:firstLine="720"/>
        <w:jc w:val="both"/>
        <w:rPr>
          <w:bCs/>
          <w:lang w:bidi="lv-LV"/>
        </w:rPr>
      </w:pPr>
      <w:r w:rsidRPr="00BC1913">
        <w:t>[</w:t>
      </w:r>
      <w:r>
        <w:t>6</w:t>
      </w:r>
      <w:r w:rsidRPr="00BC1913">
        <w:t>] Tā kā pieteicēju mērķis, vēršoties tiesā, bija labvēlīga administratīvā akta izdošana, un pārvalde ir izdevusi pieteicējiem labvēlīgu administratīvo aktu, proti, 2025.gada 18.septembrī pieņēmusi lēmumu Nr. </w:t>
      </w:r>
      <w:r w:rsidRPr="00BC1913">
        <w:rPr>
          <w:bCs/>
          <w:lang w:bidi="lv-LV"/>
        </w:rPr>
        <w:t xml:space="preserve">2089/2025, ar kuru pieteicējai piešķirta uzturēšanās atļauja, tad strīds, kas bija par pamatu pieteikuma iesniegšanai tiesā, ir izbeidzies. </w:t>
      </w:r>
    </w:p>
    <w:p w14:paraId="1B971E90" w14:textId="5945F60C" w:rsidR="00C067E2" w:rsidRPr="00BC1913" w:rsidRDefault="00C067E2" w:rsidP="00C4178F">
      <w:pPr>
        <w:tabs>
          <w:tab w:val="left" w:pos="1276"/>
        </w:tabs>
        <w:spacing w:line="276" w:lineRule="auto"/>
        <w:ind w:firstLine="720"/>
        <w:jc w:val="both"/>
      </w:pPr>
      <w:r w:rsidRPr="00BC1913">
        <w:rPr>
          <w:bCs/>
          <w:lang w:bidi="lv-LV"/>
        </w:rPr>
        <w:t xml:space="preserve">Uz to norādījuši arī pieteicēji Senātam adresētajā </w:t>
      </w:r>
      <w:r w:rsidRPr="00BC1913">
        <w:t xml:space="preserve">2025.gada </w:t>
      </w:r>
      <w:r w:rsidR="00EF61FC">
        <w:t>9</w:t>
      </w:r>
      <w:r w:rsidRPr="00BC1913">
        <w:t xml:space="preserve">.oktobra </w:t>
      </w:r>
      <w:r w:rsidRPr="00BC1913">
        <w:rPr>
          <w:bCs/>
          <w:lang w:bidi="lv-LV"/>
        </w:rPr>
        <w:t>iesniegumā. Proti, l</w:t>
      </w:r>
      <w:r w:rsidRPr="00BC1913">
        <w:t>ai arī pieteicēji minētajā iesniegumā norādījuši, ka atstāj Senāta ziņā, vai turpināt blakus sūdzības izskatīšanu, tomēr kopumā no iesnieguma satura izriet pieteicēju uzskats, ka tiesiskais strīds, kas kalpojis par pamatu pieteikuma iesniegšanai tiesā, ir izbeidzies. Tāpat no iesnieguma, it īpaši no lūgumu daļas, kurā tiek lūgts atmaksāt gan valsts nodevu par pieteikumu, gan drošības naudu par blakus sūdzību, jo tiesiskais strīds ir izbeidzies, pēc būtības izriet, ka pieteicēji neuzskata par nepieciešamu turpināt blakus sūdzības tiesvedību, nedz arī tiesvedību par pieteikumu.</w:t>
      </w:r>
    </w:p>
    <w:p w14:paraId="0F7C4D90" w14:textId="77777777" w:rsidR="00C067E2" w:rsidRDefault="00C067E2" w:rsidP="00C4178F">
      <w:pPr>
        <w:tabs>
          <w:tab w:val="left" w:pos="1276"/>
        </w:tabs>
        <w:spacing w:line="276" w:lineRule="auto"/>
        <w:ind w:firstLine="720"/>
        <w:jc w:val="both"/>
      </w:pPr>
      <w:r w:rsidRPr="00BC1913">
        <w:rPr>
          <w:bCs/>
          <w:lang w:bidi="lv-LV"/>
        </w:rPr>
        <w:t xml:space="preserve">Tiesiskā strīda, kas bija par pamatu pieteikuma iesniegšanai tiesā, izbeigšanās parasti ir pamats tiesvedības izbeigšanai atbilstoši </w:t>
      </w:r>
      <w:r w:rsidRPr="00BC1913">
        <w:t>Administratīvā procesa likuma 282.panta 7.punktam. Ņemot vērā minēto un ievērojot procesuālās ekonomijas principu un lietderības apsvērumus, Senāts secina, ka jautājums par pieteikuma virzību nav jānodod jaunai izskatīšanai Administratīvajā rajona tiesā, jo, ja lieta tiktu ierosināta, tā būtu uzreiz jāizbeidz.</w:t>
      </w:r>
    </w:p>
    <w:p w14:paraId="2EB83939" w14:textId="77777777" w:rsidR="00C067E2" w:rsidRDefault="00C067E2" w:rsidP="00C4178F">
      <w:pPr>
        <w:tabs>
          <w:tab w:val="left" w:pos="1276"/>
        </w:tabs>
        <w:spacing w:line="276" w:lineRule="auto"/>
        <w:ind w:firstLine="720"/>
        <w:jc w:val="both"/>
      </w:pPr>
    </w:p>
    <w:p w14:paraId="6C78041D" w14:textId="3420D3A3" w:rsidR="00C067E2" w:rsidRDefault="00C067E2" w:rsidP="00C4178F">
      <w:pPr>
        <w:tabs>
          <w:tab w:val="left" w:pos="1276"/>
        </w:tabs>
        <w:spacing w:line="276" w:lineRule="auto"/>
        <w:ind w:firstLine="720"/>
        <w:jc w:val="both"/>
      </w:pPr>
      <w:r>
        <w:t>[7] Administratīvā procesa likuma 126.panta pirmā daļa paredz: j</w:t>
      </w:r>
      <w:r w:rsidRPr="006B255A">
        <w:t xml:space="preserve">a tiesvedība lietā izbeigta, pamatojoties uz šā </w:t>
      </w:r>
      <w:r w:rsidRPr="006B255A">
        <w:rPr>
          <w:color w:val="000000" w:themeColor="text1"/>
        </w:rPr>
        <w:t>likuma</w:t>
      </w:r>
      <w:r>
        <w:rPr>
          <w:color w:val="000000" w:themeColor="text1"/>
        </w:rPr>
        <w:t xml:space="preserve"> </w:t>
      </w:r>
      <w:hyperlink r:id="rId10" w:anchor="p282" w:history="1">
        <w:r w:rsidRPr="006B255A">
          <w:rPr>
            <w:rStyle w:val="Hyperlink"/>
            <w:color w:val="000000" w:themeColor="text1"/>
            <w:u w:val="none"/>
          </w:rPr>
          <w:t>282.panta</w:t>
        </w:r>
      </w:hyperlink>
      <w:r>
        <w:rPr>
          <w:color w:val="000000" w:themeColor="text1"/>
        </w:rPr>
        <w:t xml:space="preserve"> </w:t>
      </w:r>
      <w:r w:rsidRPr="006B255A">
        <w:rPr>
          <w:color w:val="000000" w:themeColor="text1"/>
        </w:rPr>
        <w:t>7.punktu</w:t>
      </w:r>
      <w:r w:rsidRPr="006B255A">
        <w:t>, tiesa (tiesnesis) piespriež no atbildētāja (iespējamā atbildētāja) par labu pieteicējam viņa samaksāto valsts nodevu.</w:t>
      </w:r>
    </w:p>
    <w:p w14:paraId="5342C684" w14:textId="77777777" w:rsidR="00C067E2" w:rsidRDefault="00C067E2" w:rsidP="00C4178F">
      <w:pPr>
        <w:tabs>
          <w:tab w:val="left" w:pos="1276"/>
        </w:tabs>
        <w:spacing w:line="276" w:lineRule="auto"/>
        <w:ind w:firstLine="720"/>
        <w:jc w:val="both"/>
      </w:pPr>
      <w:r>
        <w:t>Ņemot vērā visu iepriekš minēto, it īpaši Senāta atzīto, ka tiesvedība lietā vispārīgi bija ierosināma un ka, ja tiesvedība būtu ierosināta, tā būtu jāizbeidz, pamatojoties uz Administratīvā procesa likuma 282.panta 7.punktu, Senāts atzīst, ka konkrētajā gadījumā pārvaldei uzliekams pienākums atlīdzināt pieteicējiem valsts nodevu par pieteikuma iesniegšanu tiesā.</w:t>
      </w:r>
    </w:p>
    <w:p w14:paraId="43C6AB11" w14:textId="77777777" w:rsidR="00C067E2" w:rsidRDefault="00C067E2" w:rsidP="00C4178F">
      <w:pPr>
        <w:tabs>
          <w:tab w:val="left" w:pos="1276"/>
        </w:tabs>
        <w:spacing w:line="276" w:lineRule="auto"/>
        <w:ind w:firstLine="720"/>
        <w:jc w:val="both"/>
      </w:pPr>
    </w:p>
    <w:p w14:paraId="379D8158" w14:textId="138B84F9" w:rsidR="00C067E2" w:rsidRDefault="00C067E2" w:rsidP="00C4178F">
      <w:pPr>
        <w:tabs>
          <w:tab w:val="left" w:pos="1276"/>
        </w:tabs>
        <w:spacing w:line="276" w:lineRule="auto"/>
        <w:ind w:firstLine="720"/>
        <w:jc w:val="both"/>
      </w:pPr>
      <w:r>
        <w:t>[8] Pieteicēji lūguši Senātu apsvērt nepieciešamību taisīt blakus lēmumu lietā.</w:t>
      </w:r>
    </w:p>
    <w:p w14:paraId="3077E277" w14:textId="77777777" w:rsidR="00C067E2" w:rsidRDefault="00C067E2" w:rsidP="00C4178F">
      <w:pPr>
        <w:tabs>
          <w:tab w:val="left" w:pos="1276"/>
        </w:tabs>
        <w:spacing w:line="276" w:lineRule="auto"/>
        <w:ind w:firstLine="720"/>
        <w:jc w:val="both"/>
      </w:pPr>
      <w:r w:rsidRPr="00DB06E0">
        <w:lastRenderedPageBreak/>
        <w:t xml:space="preserve">Senāts norāda, ka saskaņā ar Administratīvā procesa likuma 288.panta pirmo daļu blakus lēmuma pieņemšana ir tiesas tiesības, nevis pienākums. Senāts </w:t>
      </w:r>
      <w:r>
        <w:t xml:space="preserve">konstatē, ka šī pieteicēju lūguma pamatā ir pieteicēju neapmierinātība ar administratīvā procesa iestādē norisi (proti, iestāde vairākkārtīgi pievērsusies vienam un tam pašam jautājumam, tādējādi neefektīvi izmantojot </w:t>
      </w:r>
      <w:r w:rsidRPr="008E6682">
        <w:t>tehnisko</w:t>
      </w:r>
      <w:r>
        <w:t>s</w:t>
      </w:r>
      <w:r w:rsidRPr="008E6682">
        <w:t xml:space="preserve"> </w:t>
      </w:r>
      <w:r>
        <w:t xml:space="preserve">un </w:t>
      </w:r>
      <w:r w:rsidRPr="008E6682">
        <w:t>cilvēkresursu</w:t>
      </w:r>
      <w:r>
        <w:t xml:space="preserve">s). Senāts atzīst, ka pieteicēju norādītie apstākļi un iebildumi faktiski vērsti uz konkrētā administratīvā procesa norises tiesiskuma apšaubīšanu, kas būtu pārbaudāmi, ja konkrētā lieta tiktu skatīta pēc būtības. Taču </w:t>
      </w:r>
      <w:r w:rsidRPr="00DB45CD">
        <w:t>blakus lēmumu pieņem jautājumos, kas nav saistīti ar strīda izšķiršanu, bet tie izriet no lietas apstākļiem un saistīti ar citu tiesību pārkāpumu vai citu negatīvu parādību (</w:t>
      </w:r>
      <w:r w:rsidRPr="00DB45CD">
        <w:rPr>
          <w:i/>
          <w:iCs/>
        </w:rPr>
        <w:t xml:space="preserve">Senāta 2012.gada 31.augusta sprieduma lietā Nr. SKA-342/2012, </w:t>
      </w:r>
      <w:hyperlink r:id="rId11" w:history="1">
        <w:r w:rsidRPr="00ED1D73">
          <w:rPr>
            <w:rStyle w:val="Hyperlink"/>
            <w:i/>
            <w:iCs/>
          </w:rPr>
          <w:t>A42562108</w:t>
        </w:r>
      </w:hyperlink>
      <w:r w:rsidRPr="00DB45CD">
        <w:rPr>
          <w:i/>
          <w:iCs/>
        </w:rPr>
        <w:t>, 12.punkts</w:t>
      </w:r>
      <w:r w:rsidRPr="00DB45CD">
        <w:t>).</w:t>
      </w:r>
      <w:r>
        <w:t xml:space="preserve"> Šādos apstākļos Senāts </w:t>
      </w:r>
      <w:r w:rsidRPr="00DB06E0">
        <w:t>nesaskata pamatu blakus lēmuma pieņemšanai.</w:t>
      </w:r>
    </w:p>
    <w:p w14:paraId="66ED14DB" w14:textId="77777777" w:rsidR="00DB06E0" w:rsidRDefault="00DB06E0" w:rsidP="00C4178F">
      <w:pPr>
        <w:tabs>
          <w:tab w:val="left" w:pos="1276"/>
        </w:tabs>
        <w:spacing w:line="276" w:lineRule="auto"/>
        <w:ind w:firstLine="720"/>
        <w:jc w:val="both"/>
      </w:pPr>
    </w:p>
    <w:p w14:paraId="44F7DD7A" w14:textId="77777777" w:rsidR="00CA527B" w:rsidRPr="00287404" w:rsidRDefault="00CA527B" w:rsidP="00C4178F">
      <w:pPr>
        <w:spacing w:line="276" w:lineRule="auto"/>
        <w:jc w:val="center"/>
        <w:rPr>
          <w:b/>
        </w:rPr>
      </w:pPr>
      <w:r>
        <w:rPr>
          <w:b/>
        </w:rPr>
        <w:t>Rezolutīvā</w:t>
      </w:r>
      <w:r w:rsidRPr="00287404">
        <w:rPr>
          <w:b/>
        </w:rPr>
        <w:t xml:space="preserve"> daļa</w:t>
      </w:r>
    </w:p>
    <w:p w14:paraId="73F86CBB" w14:textId="77777777" w:rsidR="00CA527B" w:rsidRPr="005955BC" w:rsidRDefault="00CA527B" w:rsidP="00C4178F">
      <w:pPr>
        <w:spacing w:line="276" w:lineRule="auto"/>
        <w:ind w:firstLine="720"/>
        <w:jc w:val="both"/>
        <w:rPr>
          <w:szCs w:val="32"/>
        </w:rPr>
      </w:pPr>
    </w:p>
    <w:p w14:paraId="1419882F" w14:textId="6CB0D9AD" w:rsidR="00EF1646" w:rsidRPr="00C2255A" w:rsidRDefault="00EF1646" w:rsidP="00C4178F">
      <w:pPr>
        <w:tabs>
          <w:tab w:val="left" w:pos="1276"/>
        </w:tabs>
        <w:spacing w:line="276" w:lineRule="auto"/>
        <w:ind w:firstLine="720"/>
        <w:jc w:val="both"/>
        <w:rPr>
          <w:color w:val="000000" w:themeColor="text1"/>
        </w:rPr>
      </w:pPr>
      <w:r w:rsidRPr="00C2255A">
        <w:rPr>
          <w:color w:val="000000" w:themeColor="text1"/>
        </w:rPr>
        <w:t xml:space="preserve">Pamatojoties uz Administratīvā procesa likuma </w:t>
      </w:r>
      <w:r w:rsidR="00214FE1" w:rsidRPr="00C2255A">
        <w:rPr>
          <w:color w:val="000000" w:themeColor="text1"/>
        </w:rPr>
        <w:t>126.panta pirmo daļu, 129.</w:t>
      </w:r>
      <w:r w:rsidR="00214FE1" w:rsidRPr="00C2255A">
        <w:rPr>
          <w:color w:val="000000" w:themeColor="text1"/>
          <w:vertAlign w:val="superscript"/>
        </w:rPr>
        <w:t>1</w:t>
      </w:r>
      <w:r w:rsidR="00214FE1" w:rsidRPr="00C2255A">
        <w:rPr>
          <w:color w:val="000000" w:themeColor="text1"/>
        </w:rPr>
        <w:t xml:space="preserve">panta pirmās daļas 1.punktu, </w:t>
      </w:r>
      <w:r w:rsidR="007C3BC4" w:rsidRPr="00743377">
        <w:t xml:space="preserve">323.panta pirmās daļas </w:t>
      </w:r>
      <w:r w:rsidR="00734E4B">
        <w:t>3</w:t>
      </w:r>
      <w:r w:rsidR="007C3BC4" w:rsidRPr="00743377">
        <w:t>.punktu un 324.panta pirmo daļu</w:t>
      </w:r>
      <w:r w:rsidR="007C3BC4">
        <w:t>,</w:t>
      </w:r>
      <w:r w:rsidR="007C3BC4" w:rsidRPr="00C2255A">
        <w:rPr>
          <w:color w:val="000000" w:themeColor="text1"/>
        </w:rPr>
        <w:t xml:space="preserve"> </w:t>
      </w:r>
      <w:r w:rsidRPr="00C2255A">
        <w:rPr>
          <w:color w:val="000000" w:themeColor="text1"/>
        </w:rPr>
        <w:t>Senāts</w:t>
      </w:r>
    </w:p>
    <w:p w14:paraId="175BA4D9" w14:textId="77777777" w:rsidR="00CA527B" w:rsidRPr="00C2255A" w:rsidRDefault="00CA527B" w:rsidP="00C4178F">
      <w:pPr>
        <w:spacing w:line="276" w:lineRule="auto"/>
        <w:ind w:firstLine="720"/>
        <w:jc w:val="both"/>
        <w:rPr>
          <w:color w:val="000000" w:themeColor="text1"/>
        </w:rPr>
      </w:pPr>
    </w:p>
    <w:p w14:paraId="31CFCF88" w14:textId="77777777" w:rsidR="00CA527B" w:rsidRPr="00C2255A" w:rsidRDefault="00CA527B" w:rsidP="00C4178F">
      <w:pPr>
        <w:tabs>
          <w:tab w:val="left" w:pos="2700"/>
          <w:tab w:val="left" w:pos="6660"/>
        </w:tabs>
        <w:spacing w:line="276" w:lineRule="auto"/>
        <w:jc w:val="center"/>
        <w:rPr>
          <w:b/>
          <w:bCs/>
          <w:color w:val="000000" w:themeColor="text1"/>
        </w:rPr>
      </w:pPr>
      <w:r w:rsidRPr="00C2255A">
        <w:rPr>
          <w:b/>
          <w:color w:val="000000" w:themeColor="text1"/>
        </w:rPr>
        <w:t>nolēma</w:t>
      </w:r>
    </w:p>
    <w:p w14:paraId="0C595ED0" w14:textId="77777777" w:rsidR="00CA527B" w:rsidRPr="00C2255A" w:rsidRDefault="00CA527B" w:rsidP="00C4178F">
      <w:pPr>
        <w:tabs>
          <w:tab w:val="left" w:pos="2700"/>
          <w:tab w:val="left" w:pos="6660"/>
        </w:tabs>
        <w:spacing w:line="276" w:lineRule="auto"/>
        <w:jc w:val="center"/>
        <w:rPr>
          <w:b/>
          <w:bCs/>
          <w:color w:val="000000" w:themeColor="text1"/>
          <w:spacing w:val="70"/>
        </w:rPr>
      </w:pPr>
    </w:p>
    <w:p w14:paraId="1533CC40" w14:textId="604C6461" w:rsidR="00753E5C" w:rsidRDefault="00753E5C" w:rsidP="00C4178F">
      <w:pPr>
        <w:tabs>
          <w:tab w:val="left" w:pos="540"/>
          <w:tab w:val="left" w:pos="6660"/>
        </w:tabs>
        <w:spacing w:line="276" w:lineRule="auto"/>
        <w:ind w:firstLine="720"/>
        <w:jc w:val="both"/>
        <w:rPr>
          <w:color w:val="000000" w:themeColor="text1"/>
        </w:rPr>
      </w:pPr>
      <w:r>
        <w:rPr>
          <w:color w:val="000000" w:themeColor="text1"/>
        </w:rPr>
        <w:t xml:space="preserve">atcelt Administratīvās rajona tiesas tiesneša </w:t>
      </w:r>
      <w:r>
        <w:t>2025.gada 2</w:t>
      </w:r>
      <w:r w:rsidR="006C2A28">
        <w:t>4</w:t>
      </w:r>
      <w:r>
        <w:t>.</w:t>
      </w:r>
      <w:r w:rsidR="006C2A28">
        <w:t>jūlija</w:t>
      </w:r>
      <w:r>
        <w:t xml:space="preserve"> lēmumu</w:t>
      </w:r>
      <w:r w:rsidR="006C2A28">
        <w:t>;</w:t>
      </w:r>
      <w:r>
        <w:t xml:space="preserve"> </w:t>
      </w:r>
    </w:p>
    <w:p w14:paraId="6B16E8BB" w14:textId="385958C3" w:rsidR="00214FE1" w:rsidRDefault="00214FE1" w:rsidP="00C4178F">
      <w:pPr>
        <w:tabs>
          <w:tab w:val="left" w:pos="540"/>
          <w:tab w:val="left" w:pos="6660"/>
        </w:tabs>
        <w:spacing w:line="276" w:lineRule="auto"/>
        <w:ind w:firstLine="720"/>
        <w:jc w:val="both"/>
        <w:rPr>
          <w:color w:val="000000" w:themeColor="text1"/>
        </w:rPr>
      </w:pPr>
      <w:r w:rsidRPr="00C2255A">
        <w:rPr>
          <w:color w:val="000000" w:themeColor="text1"/>
        </w:rPr>
        <w:t xml:space="preserve">atmaksāt </w:t>
      </w:r>
      <w:r w:rsidR="00C4178F">
        <w:t xml:space="preserve">[pers. </w:t>
      </w:r>
      <w:r w:rsidR="00C4178F">
        <w:t>B</w:t>
      </w:r>
      <w:r w:rsidR="00C4178F">
        <w:t xml:space="preserve">] </w:t>
      </w:r>
      <w:r w:rsidRPr="00C2255A">
        <w:rPr>
          <w:color w:val="000000" w:themeColor="text1"/>
        </w:rPr>
        <w:t xml:space="preserve">drošības naudu 15 </w:t>
      </w:r>
      <w:r w:rsidRPr="00C2255A">
        <w:rPr>
          <w:i/>
          <w:iCs/>
          <w:color w:val="000000" w:themeColor="text1"/>
        </w:rPr>
        <w:t>euro</w:t>
      </w:r>
      <w:r w:rsidR="006633C4">
        <w:rPr>
          <w:color w:val="000000" w:themeColor="text1"/>
        </w:rPr>
        <w:t>;</w:t>
      </w:r>
    </w:p>
    <w:p w14:paraId="03F831D3" w14:textId="3A59B0FB" w:rsidR="006633C4" w:rsidRPr="00C2255A" w:rsidRDefault="006633C4" w:rsidP="00C4178F">
      <w:pPr>
        <w:tabs>
          <w:tab w:val="left" w:pos="540"/>
          <w:tab w:val="left" w:pos="6660"/>
        </w:tabs>
        <w:spacing w:line="276" w:lineRule="auto"/>
        <w:ind w:firstLine="720"/>
        <w:jc w:val="both"/>
        <w:rPr>
          <w:color w:val="000000" w:themeColor="text1"/>
        </w:rPr>
      </w:pPr>
      <w:r w:rsidRPr="00C2255A">
        <w:rPr>
          <w:color w:val="000000" w:themeColor="text1"/>
        </w:rPr>
        <w:t xml:space="preserve">uzlikt pienākumu Pilsonības un migrācijas lietu pārvaldei atlīdzināt </w:t>
      </w:r>
      <w:r w:rsidR="00C4178F">
        <w:t xml:space="preserve">[pers. </w:t>
      </w:r>
      <w:r w:rsidR="00C4178F">
        <w:t>B</w:t>
      </w:r>
      <w:r w:rsidR="00C4178F">
        <w:t>]</w:t>
      </w:r>
      <w:r w:rsidRPr="00C2255A">
        <w:rPr>
          <w:color w:val="000000" w:themeColor="text1"/>
        </w:rPr>
        <w:t xml:space="preserve"> valsts nodevu 30 </w:t>
      </w:r>
      <w:proofErr w:type="spellStart"/>
      <w:r w:rsidRPr="00C2255A">
        <w:rPr>
          <w:i/>
          <w:iCs/>
          <w:color w:val="000000" w:themeColor="text1"/>
        </w:rPr>
        <w:t>euro</w:t>
      </w:r>
      <w:proofErr w:type="spellEnd"/>
      <w:r>
        <w:rPr>
          <w:color w:val="000000" w:themeColor="text1"/>
        </w:rPr>
        <w:t>.</w:t>
      </w:r>
    </w:p>
    <w:p w14:paraId="556A14FB" w14:textId="77777777" w:rsidR="003C524A" w:rsidRDefault="003C524A" w:rsidP="00C4178F">
      <w:pPr>
        <w:spacing w:line="276" w:lineRule="auto"/>
        <w:ind w:firstLine="720"/>
        <w:jc w:val="both"/>
        <w:rPr>
          <w:color w:val="000000" w:themeColor="text1"/>
        </w:rPr>
      </w:pPr>
    </w:p>
    <w:p w14:paraId="6E74B4FE" w14:textId="6C5D1084" w:rsidR="00FF4995" w:rsidRDefault="00BA57C4" w:rsidP="00C4178F">
      <w:pPr>
        <w:spacing w:line="276" w:lineRule="auto"/>
        <w:ind w:firstLine="720"/>
        <w:jc w:val="both"/>
        <w:rPr>
          <w:color w:val="000000" w:themeColor="text1"/>
        </w:rPr>
      </w:pPr>
      <w:r w:rsidRPr="00C2255A">
        <w:rPr>
          <w:color w:val="000000" w:themeColor="text1"/>
        </w:rPr>
        <w:t>Lēmums nav pārsūdzams.</w:t>
      </w:r>
    </w:p>
    <w:p w14:paraId="0C89D48B" w14:textId="77777777" w:rsidR="0035533F" w:rsidRDefault="0035533F" w:rsidP="0035533F">
      <w:pPr>
        <w:spacing w:line="276" w:lineRule="auto"/>
        <w:ind w:firstLine="720"/>
        <w:jc w:val="both"/>
        <w:rPr>
          <w:color w:val="000000" w:themeColor="text1"/>
        </w:rPr>
      </w:pPr>
    </w:p>
    <w:p w14:paraId="366D7DE6" w14:textId="77777777" w:rsidR="0035533F" w:rsidRDefault="0035533F" w:rsidP="0035533F">
      <w:pPr>
        <w:spacing w:line="276" w:lineRule="auto"/>
        <w:ind w:firstLine="720"/>
        <w:jc w:val="both"/>
        <w:rPr>
          <w:color w:val="000000" w:themeColor="text1"/>
        </w:rPr>
      </w:pPr>
    </w:p>
    <w:sectPr w:rsidR="0035533F" w:rsidSect="000C451B">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0775" w14:textId="77777777" w:rsidR="00A6236F" w:rsidRDefault="00A6236F" w:rsidP="00D657BA">
      <w:r>
        <w:separator/>
      </w:r>
    </w:p>
  </w:endnote>
  <w:endnote w:type="continuationSeparator" w:id="0">
    <w:p w14:paraId="4B6F1FD0" w14:textId="77777777" w:rsidR="00A6236F" w:rsidRDefault="00A6236F"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2FA1" w14:textId="77777777" w:rsidR="00A6236F" w:rsidRDefault="00A6236F" w:rsidP="00D657BA">
      <w:r>
        <w:separator/>
      </w:r>
    </w:p>
  </w:footnote>
  <w:footnote w:type="continuationSeparator" w:id="0">
    <w:p w14:paraId="16CAD88B" w14:textId="77777777" w:rsidR="00A6236F" w:rsidRDefault="00A6236F"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756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08F5"/>
    <w:rsid w:val="0001104C"/>
    <w:rsid w:val="0001157F"/>
    <w:rsid w:val="000120F3"/>
    <w:rsid w:val="00017086"/>
    <w:rsid w:val="000238D5"/>
    <w:rsid w:val="0002632A"/>
    <w:rsid w:val="000266ED"/>
    <w:rsid w:val="00026725"/>
    <w:rsid w:val="0002673E"/>
    <w:rsid w:val="00026782"/>
    <w:rsid w:val="00030128"/>
    <w:rsid w:val="000302F0"/>
    <w:rsid w:val="000322E3"/>
    <w:rsid w:val="000328B3"/>
    <w:rsid w:val="00035C4F"/>
    <w:rsid w:val="00035E63"/>
    <w:rsid w:val="00041CB6"/>
    <w:rsid w:val="00045503"/>
    <w:rsid w:val="0004680C"/>
    <w:rsid w:val="00071D1F"/>
    <w:rsid w:val="00071D83"/>
    <w:rsid w:val="0007271A"/>
    <w:rsid w:val="00074640"/>
    <w:rsid w:val="00076317"/>
    <w:rsid w:val="0007642B"/>
    <w:rsid w:val="000805D1"/>
    <w:rsid w:val="00086D5E"/>
    <w:rsid w:val="00093190"/>
    <w:rsid w:val="00097ED5"/>
    <w:rsid w:val="000A15B1"/>
    <w:rsid w:val="000A1D61"/>
    <w:rsid w:val="000A2E48"/>
    <w:rsid w:val="000A6E67"/>
    <w:rsid w:val="000A7224"/>
    <w:rsid w:val="000B0CA4"/>
    <w:rsid w:val="000B163B"/>
    <w:rsid w:val="000B1DA4"/>
    <w:rsid w:val="000B2147"/>
    <w:rsid w:val="000B2326"/>
    <w:rsid w:val="000B51C1"/>
    <w:rsid w:val="000B7CA5"/>
    <w:rsid w:val="000C04BF"/>
    <w:rsid w:val="000C14C9"/>
    <w:rsid w:val="000C257C"/>
    <w:rsid w:val="000C451B"/>
    <w:rsid w:val="000C597D"/>
    <w:rsid w:val="000C652A"/>
    <w:rsid w:val="000C762C"/>
    <w:rsid w:val="000C7D0C"/>
    <w:rsid w:val="000D0D53"/>
    <w:rsid w:val="000D0E1D"/>
    <w:rsid w:val="000D1A2C"/>
    <w:rsid w:val="000D1CAA"/>
    <w:rsid w:val="000D4255"/>
    <w:rsid w:val="000E0335"/>
    <w:rsid w:val="000E2205"/>
    <w:rsid w:val="000E7065"/>
    <w:rsid w:val="000F4D06"/>
    <w:rsid w:val="000F5859"/>
    <w:rsid w:val="000F64A9"/>
    <w:rsid w:val="000F72F9"/>
    <w:rsid w:val="00101AA5"/>
    <w:rsid w:val="001022C7"/>
    <w:rsid w:val="00107F2C"/>
    <w:rsid w:val="00111E71"/>
    <w:rsid w:val="0011307D"/>
    <w:rsid w:val="00113E66"/>
    <w:rsid w:val="00120869"/>
    <w:rsid w:val="00124E0A"/>
    <w:rsid w:val="00125244"/>
    <w:rsid w:val="0013314F"/>
    <w:rsid w:val="00133CA4"/>
    <w:rsid w:val="0013422C"/>
    <w:rsid w:val="00141B7C"/>
    <w:rsid w:val="00142F3A"/>
    <w:rsid w:val="0015172D"/>
    <w:rsid w:val="00151861"/>
    <w:rsid w:val="0015186D"/>
    <w:rsid w:val="00152516"/>
    <w:rsid w:val="00162F60"/>
    <w:rsid w:val="00163389"/>
    <w:rsid w:val="00165FA0"/>
    <w:rsid w:val="00167023"/>
    <w:rsid w:val="00167EB5"/>
    <w:rsid w:val="00171097"/>
    <w:rsid w:val="00176C22"/>
    <w:rsid w:val="00177F53"/>
    <w:rsid w:val="0018070F"/>
    <w:rsid w:val="00180A56"/>
    <w:rsid w:val="00183880"/>
    <w:rsid w:val="00183A64"/>
    <w:rsid w:val="00184AD4"/>
    <w:rsid w:val="00186C67"/>
    <w:rsid w:val="0019033C"/>
    <w:rsid w:val="00191112"/>
    <w:rsid w:val="00192D5E"/>
    <w:rsid w:val="00195ACC"/>
    <w:rsid w:val="00197DF0"/>
    <w:rsid w:val="001A0234"/>
    <w:rsid w:val="001A2E14"/>
    <w:rsid w:val="001A5AA6"/>
    <w:rsid w:val="001A7962"/>
    <w:rsid w:val="001A7C59"/>
    <w:rsid w:val="001A7D5B"/>
    <w:rsid w:val="001B2080"/>
    <w:rsid w:val="001B228D"/>
    <w:rsid w:val="001B2449"/>
    <w:rsid w:val="001B3B1A"/>
    <w:rsid w:val="001B6902"/>
    <w:rsid w:val="001C22FB"/>
    <w:rsid w:val="001C2B8A"/>
    <w:rsid w:val="001C53A3"/>
    <w:rsid w:val="001C66AE"/>
    <w:rsid w:val="001C6B44"/>
    <w:rsid w:val="001D069C"/>
    <w:rsid w:val="001D1CB0"/>
    <w:rsid w:val="001D2D0E"/>
    <w:rsid w:val="001D2DA5"/>
    <w:rsid w:val="001D3163"/>
    <w:rsid w:val="001D742E"/>
    <w:rsid w:val="001E0942"/>
    <w:rsid w:val="001E1A63"/>
    <w:rsid w:val="001E1DE3"/>
    <w:rsid w:val="001E3C28"/>
    <w:rsid w:val="001E5BBA"/>
    <w:rsid w:val="001E6CED"/>
    <w:rsid w:val="001E7656"/>
    <w:rsid w:val="001E7EFF"/>
    <w:rsid w:val="001F07BD"/>
    <w:rsid w:val="00200D0B"/>
    <w:rsid w:val="00201038"/>
    <w:rsid w:val="0020278D"/>
    <w:rsid w:val="002054F0"/>
    <w:rsid w:val="0020629D"/>
    <w:rsid w:val="0020706D"/>
    <w:rsid w:val="002072DA"/>
    <w:rsid w:val="0020745C"/>
    <w:rsid w:val="00212017"/>
    <w:rsid w:val="002125D9"/>
    <w:rsid w:val="00212C8A"/>
    <w:rsid w:val="00214FE1"/>
    <w:rsid w:val="00221D53"/>
    <w:rsid w:val="00222E7F"/>
    <w:rsid w:val="002239B3"/>
    <w:rsid w:val="002251C6"/>
    <w:rsid w:val="00225409"/>
    <w:rsid w:val="002262A8"/>
    <w:rsid w:val="002308F7"/>
    <w:rsid w:val="00231B34"/>
    <w:rsid w:val="00232247"/>
    <w:rsid w:val="00240FAA"/>
    <w:rsid w:val="00242622"/>
    <w:rsid w:val="0024335F"/>
    <w:rsid w:val="00245F1C"/>
    <w:rsid w:val="002502C3"/>
    <w:rsid w:val="002525C2"/>
    <w:rsid w:val="0025470A"/>
    <w:rsid w:val="00254BB6"/>
    <w:rsid w:val="00256577"/>
    <w:rsid w:val="002566D5"/>
    <w:rsid w:val="00260B60"/>
    <w:rsid w:val="002641AE"/>
    <w:rsid w:val="00265DF4"/>
    <w:rsid w:val="00270632"/>
    <w:rsid w:val="00272B01"/>
    <w:rsid w:val="00276D78"/>
    <w:rsid w:val="00277484"/>
    <w:rsid w:val="002837DF"/>
    <w:rsid w:val="002840F8"/>
    <w:rsid w:val="002851BA"/>
    <w:rsid w:val="002874E2"/>
    <w:rsid w:val="0029102B"/>
    <w:rsid w:val="002917F5"/>
    <w:rsid w:val="00292527"/>
    <w:rsid w:val="00294707"/>
    <w:rsid w:val="00294770"/>
    <w:rsid w:val="00295DC8"/>
    <w:rsid w:val="002974BF"/>
    <w:rsid w:val="002A0096"/>
    <w:rsid w:val="002A6393"/>
    <w:rsid w:val="002A7B9B"/>
    <w:rsid w:val="002B581A"/>
    <w:rsid w:val="002C1396"/>
    <w:rsid w:val="002C3558"/>
    <w:rsid w:val="002C4247"/>
    <w:rsid w:val="002C4C1C"/>
    <w:rsid w:val="002C66B7"/>
    <w:rsid w:val="002C7D40"/>
    <w:rsid w:val="002D14F7"/>
    <w:rsid w:val="002D1675"/>
    <w:rsid w:val="002D24DA"/>
    <w:rsid w:val="002D341F"/>
    <w:rsid w:val="002D5E27"/>
    <w:rsid w:val="002D6B0F"/>
    <w:rsid w:val="002D708E"/>
    <w:rsid w:val="002D78CD"/>
    <w:rsid w:val="002E2D30"/>
    <w:rsid w:val="002E34D9"/>
    <w:rsid w:val="002E3B8E"/>
    <w:rsid w:val="002E4FBB"/>
    <w:rsid w:val="002E5426"/>
    <w:rsid w:val="002F3279"/>
    <w:rsid w:val="002F3C1F"/>
    <w:rsid w:val="002F3FB4"/>
    <w:rsid w:val="002F44DB"/>
    <w:rsid w:val="002F760B"/>
    <w:rsid w:val="002F7CA7"/>
    <w:rsid w:val="00301B76"/>
    <w:rsid w:val="003040B0"/>
    <w:rsid w:val="0030451E"/>
    <w:rsid w:val="0030568F"/>
    <w:rsid w:val="003063F5"/>
    <w:rsid w:val="00310AB0"/>
    <w:rsid w:val="00313D23"/>
    <w:rsid w:val="00314D02"/>
    <w:rsid w:val="003172C8"/>
    <w:rsid w:val="003210DF"/>
    <w:rsid w:val="003243D2"/>
    <w:rsid w:val="00330A62"/>
    <w:rsid w:val="00330F6D"/>
    <w:rsid w:val="00331E78"/>
    <w:rsid w:val="00332BE7"/>
    <w:rsid w:val="00333844"/>
    <w:rsid w:val="00333862"/>
    <w:rsid w:val="00337094"/>
    <w:rsid w:val="00337EA3"/>
    <w:rsid w:val="003405E7"/>
    <w:rsid w:val="00344BA5"/>
    <w:rsid w:val="00350F3F"/>
    <w:rsid w:val="0035533F"/>
    <w:rsid w:val="0036023C"/>
    <w:rsid w:val="003632DC"/>
    <w:rsid w:val="003646AB"/>
    <w:rsid w:val="003679E8"/>
    <w:rsid w:val="0037018C"/>
    <w:rsid w:val="00372179"/>
    <w:rsid w:val="00373081"/>
    <w:rsid w:val="003744C7"/>
    <w:rsid w:val="003745B5"/>
    <w:rsid w:val="003765FA"/>
    <w:rsid w:val="00380C80"/>
    <w:rsid w:val="00380C8E"/>
    <w:rsid w:val="003821AA"/>
    <w:rsid w:val="003829C2"/>
    <w:rsid w:val="003833AC"/>
    <w:rsid w:val="00384818"/>
    <w:rsid w:val="0038745D"/>
    <w:rsid w:val="00391EAC"/>
    <w:rsid w:val="00392405"/>
    <w:rsid w:val="003941F7"/>
    <w:rsid w:val="003959C9"/>
    <w:rsid w:val="00395C15"/>
    <w:rsid w:val="003A2149"/>
    <w:rsid w:val="003A5F27"/>
    <w:rsid w:val="003B1943"/>
    <w:rsid w:val="003B5838"/>
    <w:rsid w:val="003B58BA"/>
    <w:rsid w:val="003C01CD"/>
    <w:rsid w:val="003C0DA5"/>
    <w:rsid w:val="003C0ED3"/>
    <w:rsid w:val="003C25BE"/>
    <w:rsid w:val="003C3743"/>
    <w:rsid w:val="003C4816"/>
    <w:rsid w:val="003C524A"/>
    <w:rsid w:val="003C65E2"/>
    <w:rsid w:val="003D6E80"/>
    <w:rsid w:val="003D78A9"/>
    <w:rsid w:val="003D7D6B"/>
    <w:rsid w:val="003E07AA"/>
    <w:rsid w:val="003E46D5"/>
    <w:rsid w:val="003E524E"/>
    <w:rsid w:val="003E6FEF"/>
    <w:rsid w:val="003F20BF"/>
    <w:rsid w:val="003F551E"/>
    <w:rsid w:val="003F600D"/>
    <w:rsid w:val="00401EAE"/>
    <w:rsid w:val="0040784C"/>
    <w:rsid w:val="004079A3"/>
    <w:rsid w:val="00410AB2"/>
    <w:rsid w:val="00416552"/>
    <w:rsid w:val="0042698C"/>
    <w:rsid w:val="004277B4"/>
    <w:rsid w:val="00427DA8"/>
    <w:rsid w:val="004321CF"/>
    <w:rsid w:val="00433A13"/>
    <w:rsid w:val="00436309"/>
    <w:rsid w:val="00442695"/>
    <w:rsid w:val="00442837"/>
    <w:rsid w:val="00443C32"/>
    <w:rsid w:val="00443E23"/>
    <w:rsid w:val="00444285"/>
    <w:rsid w:val="0044455C"/>
    <w:rsid w:val="00444A65"/>
    <w:rsid w:val="00447D17"/>
    <w:rsid w:val="004515CE"/>
    <w:rsid w:val="0045640D"/>
    <w:rsid w:val="00462CB2"/>
    <w:rsid w:val="004675E3"/>
    <w:rsid w:val="004712CE"/>
    <w:rsid w:val="004716A6"/>
    <w:rsid w:val="00476509"/>
    <w:rsid w:val="00480E14"/>
    <w:rsid w:val="004821DE"/>
    <w:rsid w:val="004859F3"/>
    <w:rsid w:val="00485A10"/>
    <w:rsid w:val="004867C8"/>
    <w:rsid w:val="00487CA4"/>
    <w:rsid w:val="00490766"/>
    <w:rsid w:val="004908F8"/>
    <w:rsid w:val="0049116C"/>
    <w:rsid w:val="0049502C"/>
    <w:rsid w:val="00495534"/>
    <w:rsid w:val="0049615B"/>
    <w:rsid w:val="004961C2"/>
    <w:rsid w:val="00496659"/>
    <w:rsid w:val="004A18F2"/>
    <w:rsid w:val="004A41E3"/>
    <w:rsid w:val="004A52E8"/>
    <w:rsid w:val="004A5554"/>
    <w:rsid w:val="004A6FE2"/>
    <w:rsid w:val="004A7AEB"/>
    <w:rsid w:val="004B1C33"/>
    <w:rsid w:val="004B2B2E"/>
    <w:rsid w:val="004B3CC8"/>
    <w:rsid w:val="004B501A"/>
    <w:rsid w:val="004B634D"/>
    <w:rsid w:val="004B77B1"/>
    <w:rsid w:val="004C11EA"/>
    <w:rsid w:val="004C182D"/>
    <w:rsid w:val="004C4089"/>
    <w:rsid w:val="004C4A3D"/>
    <w:rsid w:val="004C59CD"/>
    <w:rsid w:val="004C5AD6"/>
    <w:rsid w:val="004C5DEB"/>
    <w:rsid w:val="004D0855"/>
    <w:rsid w:val="004D5F35"/>
    <w:rsid w:val="004E0476"/>
    <w:rsid w:val="004E1F4F"/>
    <w:rsid w:val="004E6738"/>
    <w:rsid w:val="004E7D04"/>
    <w:rsid w:val="004F1B61"/>
    <w:rsid w:val="004F6473"/>
    <w:rsid w:val="004F6A57"/>
    <w:rsid w:val="005003B1"/>
    <w:rsid w:val="0050274B"/>
    <w:rsid w:val="00503CB7"/>
    <w:rsid w:val="005058C6"/>
    <w:rsid w:val="00505950"/>
    <w:rsid w:val="00505966"/>
    <w:rsid w:val="00510818"/>
    <w:rsid w:val="00512638"/>
    <w:rsid w:val="00515AEA"/>
    <w:rsid w:val="0051622C"/>
    <w:rsid w:val="00520798"/>
    <w:rsid w:val="005277CF"/>
    <w:rsid w:val="005327C1"/>
    <w:rsid w:val="00532C83"/>
    <w:rsid w:val="00533171"/>
    <w:rsid w:val="00533668"/>
    <w:rsid w:val="00534451"/>
    <w:rsid w:val="00535195"/>
    <w:rsid w:val="00535687"/>
    <w:rsid w:val="0053788E"/>
    <w:rsid w:val="00540AF3"/>
    <w:rsid w:val="0054185A"/>
    <w:rsid w:val="00545D9D"/>
    <w:rsid w:val="00551A32"/>
    <w:rsid w:val="00556BBB"/>
    <w:rsid w:val="00557F87"/>
    <w:rsid w:val="005608BF"/>
    <w:rsid w:val="00561AA1"/>
    <w:rsid w:val="005621F3"/>
    <w:rsid w:val="00562743"/>
    <w:rsid w:val="00565008"/>
    <w:rsid w:val="00567916"/>
    <w:rsid w:val="0057135D"/>
    <w:rsid w:val="00571F41"/>
    <w:rsid w:val="00575F1C"/>
    <w:rsid w:val="00576E29"/>
    <w:rsid w:val="005803D2"/>
    <w:rsid w:val="00581481"/>
    <w:rsid w:val="0058170F"/>
    <w:rsid w:val="005818B7"/>
    <w:rsid w:val="00582712"/>
    <w:rsid w:val="00582E53"/>
    <w:rsid w:val="00584AF5"/>
    <w:rsid w:val="00585777"/>
    <w:rsid w:val="00585F81"/>
    <w:rsid w:val="00586D17"/>
    <w:rsid w:val="0058790D"/>
    <w:rsid w:val="00587CF5"/>
    <w:rsid w:val="00587DA8"/>
    <w:rsid w:val="00590731"/>
    <w:rsid w:val="00591DE2"/>
    <w:rsid w:val="00592B14"/>
    <w:rsid w:val="005955BC"/>
    <w:rsid w:val="00596059"/>
    <w:rsid w:val="0059633E"/>
    <w:rsid w:val="0059648F"/>
    <w:rsid w:val="00597155"/>
    <w:rsid w:val="00597C8B"/>
    <w:rsid w:val="005A6780"/>
    <w:rsid w:val="005B0596"/>
    <w:rsid w:val="005B2733"/>
    <w:rsid w:val="005B3F3E"/>
    <w:rsid w:val="005B5D31"/>
    <w:rsid w:val="005C350C"/>
    <w:rsid w:val="005C39BE"/>
    <w:rsid w:val="005C4232"/>
    <w:rsid w:val="005C7FF1"/>
    <w:rsid w:val="005D0823"/>
    <w:rsid w:val="005D0FCA"/>
    <w:rsid w:val="005D2833"/>
    <w:rsid w:val="005E1CDE"/>
    <w:rsid w:val="005E2908"/>
    <w:rsid w:val="005E330A"/>
    <w:rsid w:val="005E3A1E"/>
    <w:rsid w:val="005E5AA8"/>
    <w:rsid w:val="005E5E82"/>
    <w:rsid w:val="005E6042"/>
    <w:rsid w:val="005F18FC"/>
    <w:rsid w:val="005F2CEA"/>
    <w:rsid w:val="005F4555"/>
    <w:rsid w:val="005F6D23"/>
    <w:rsid w:val="0060045C"/>
    <w:rsid w:val="00602069"/>
    <w:rsid w:val="0060252A"/>
    <w:rsid w:val="006078CF"/>
    <w:rsid w:val="00610FDE"/>
    <w:rsid w:val="00613BEB"/>
    <w:rsid w:val="00616FD6"/>
    <w:rsid w:val="006203CA"/>
    <w:rsid w:val="00622C0C"/>
    <w:rsid w:val="00623832"/>
    <w:rsid w:val="0062440D"/>
    <w:rsid w:val="00633FD7"/>
    <w:rsid w:val="006359C2"/>
    <w:rsid w:val="00636ECD"/>
    <w:rsid w:val="00640CBD"/>
    <w:rsid w:val="00641825"/>
    <w:rsid w:val="006426C8"/>
    <w:rsid w:val="00642E09"/>
    <w:rsid w:val="0064542C"/>
    <w:rsid w:val="006456DF"/>
    <w:rsid w:val="006517F1"/>
    <w:rsid w:val="00656DBC"/>
    <w:rsid w:val="00660CF6"/>
    <w:rsid w:val="00660EB7"/>
    <w:rsid w:val="006615C8"/>
    <w:rsid w:val="0066224E"/>
    <w:rsid w:val="006622F3"/>
    <w:rsid w:val="00662EC6"/>
    <w:rsid w:val="006633C4"/>
    <w:rsid w:val="006645B0"/>
    <w:rsid w:val="00666E2D"/>
    <w:rsid w:val="00670551"/>
    <w:rsid w:val="00670758"/>
    <w:rsid w:val="0067078D"/>
    <w:rsid w:val="0067278A"/>
    <w:rsid w:val="00677F02"/>
    <w:rsid w:val="00682427"/>
    <w:rsid w:val="00684604"/>
    <w:rsid w:val="00684A29"/>
    <w:rsid w:val="00684DFF"/>
    <w:rsid w:val="00695C92"/>
    <w:rsid w:val="006978EC"/>
    <w:rsid w:val="006A1AE8"/>
    <w:rsid w:val="006A282D"/>
    <w:rsid w:val="006A3F31"/>
    <w:rsid w:val="006A470A"/>
    <w:rsid w:val="006A5CDE"/>
    <w:rsid w:val="006A7257"/>
    <w:rsid w:val="006B255A"/>
    <w:rsid w:val="006B2ECC"/>
    <w:rsid w:val="006C11FF"/>
    <w:rsid w:val="006C1B45"/>
    <w:rsid w:val="006C2231"/>
    <w:rsid w:val="006C2A28"/>
    <w:rsid w:val="006C7D00"/>
    <w:rsid w:val="006D4254"/>
    <w:rsid w:val="006D50C7"/>
    <w:rsid w:val="006D5115"/>
    <w:rsid w:val="006D51BE"/>
    <w:rsid w:val="006D6D4B"/>
    <w:rsid w:val="006D715B"/>
    <w:rsid w:val="006E1909"/>
    <w:rsid w:val="006E4621"/>
    <w:rsid w:val="006E493A"/>
    <w:rsid w:val="006E5460"/>
    <w:rsid w:val="006E5A7C"/>
    <w:rsid w:val="006F1192"/>
    <w:rsid w:val="006F270F"/>
    <w:rsid w:val="006F32A8"/>
    <w:rsid w:val="006F62CF"/>
    <w:rsid w:val="006F65B6"/>
    <w:rsid w:val="00700B14"/>
    <w:rsid w:val="007022B1"/>
    <w:rsid w:val="00703824"/>
    <w:rsid w:val="00703A9D"/>
    <w:rsid w:val="00704720"/>
    <w:rsid w:val="00704B3A"/>
    <w:rsid w:val="00704BD3"/>
    <w:rsid w:val="00704F22"/>
    <w:rsid w:val="00705151"/>
    <w:rsid w:val="00705741"/>
    <w:rsid w:val="00707226"/>
    <w:rsid w:val="00724225"/>
    <w:rsid w:val="00725511"/>
    <w:rsid w:val="007266B4"/>
    <w:rsid w:val="007307E8"/>
    <w:rsid w:val="007315DD"/>
    <w:rsid w:val="00734E4B"/>
    <w:rsid w:val="00735A51"/>
    <w:rsid w:val="00740523"/>
    <w:rsid w:val="00740CF4"/>
    <w:rsid w:val="00742B4E"/>
    <w:rsid w:val="00750126"/>
    <w:rsid w:val="00751A84"/>
    <w:rsid w:val="00753E5C"/>
    <w:rsid w:val="0075532E"/>
    <w:rsid w:val="007570FD"/>
    <w:rsid w:val="0075799B"/>
    <w:rsid w:val="00761E11"/>
    <w:rsid w:val="00764538"/>
    <w:rsid w:val="00764875"/>
    <w:rsid w:val="007662E9"/>
    <w:rsid w:val="007705D5"/>
    <w:rsid w:val="00771797"/>
    <w:rsid w:val="007729C5"/>
    <w:rsid w:val="007738CD"/>
    <w:rsid w:val="00773E74"/>
    <w:rsid w:val="007742B6"/>
    <w:rsid w:val="007751A4"/>
    <w:rsid w:val="007773CA"/>
    <w:rsid w:val="00777D6A"/>
    <w:rsid w:val="0078069A"/>
    <w:rsid w:val="00780CF8"/>
    <w:rsid w:val="007821A7"/>
    <w:rsid w:val="00782854"/>
    <w:rsid w:val="00783BB2"/>
    <w:rsid w:val="00784B15"/>
    <w:rsid w:val="00784CA7"/>
    <w:rsid w:val="00790508"/>
    <w:rsid w:val="00792794"/>
    <w:rsid w:val="00792E39"/>
    <w:rsid w:val="007954D6"/>
    <w:rsid w:val="007A1708"/>
    <w:rsid w:val="007A18EE"/>
    <w:rsid w:val="007A26C1"/>
    <w:rsid w:val="007A2815"/>
    <w:rsid w:val="007A38CF"/>
    <w:rsid w:val="007A3BCB"/>
    <w:rsid w:val="007A6942"/>
    <w:rsid w:val="007A7C2D"/>
    <w:rsid w:val="007B12E0"/>
    <w:rsid w:val="007B459B"/>
    <w:rsid w:val="007C0BD2"/>
    <w:rsid w:val="007C27B6"/>
    <w:rsid w:val="007C3855"/>
    <w:rsid w:val="007C3BC4"/>
    <w:rsid w:val="007D286E"/>
    <w:rsid w:val="007D376D"/>
    <w:rsid w:val="007D78C4"/>
    <w:rsid w:val="007E00FB"/>
    <w:rsid w:val="007E1176"/>
    <w:rsid w:val="007E1A10"/>
    <w:rsid w:val="007E1A1D"/>
    <w:rsid w:val="007E49D0"/>
    <w:rsid w:val="007E4EBD"/>
    <w:rsid w:val="007E567B"/>
    <w:rsid w:val="007E60E0"/>
    <w:rsid w:val="007E68BB"/>
    <w:rsid w:val="007E767E"/>
    <w:rsid w:val="007F065A"/>
    <w:rsid w:val="007F2E0B"/>
    <w:rsid w:val="007F2E96"/>
    <w:rsid w:val="007F32A4"/>
    <w:rsid w:val="00800AC5"/>
    <w:rsid w:val="00802F78"/>
    <w:rsid w:val="00806BEE"/>
    <w:rsid w:val="00806FDE"/>
    <w:rsid w:val="0080794A"/>
    <w:rsid w:val="00810555"/>
    <w:rsid w:val="008113AC"/>
    <w:rsid w:val="008156E9"/>
    <w:rsid w:val="008166C2"/>
    <w:rsid w:val="00816C43"/>
    <w:rsid w:val="00820822"/>
    <w:rsid w:val="00821181"/>
    <w:rsid w:val="00824211"/>
    <w:rsid w:val="008246CD"/>
    <w:rsid w:val="00825900"/>
    <w:rsid w:val="008328D4"/>
    <w:rsid w:val="008356B4"/>
    <w:rsid w:val="0084012E"/>
    <w:rsid w:val="00840365"/>
    <w:rsid w:val="008411BF"/>
    <w:rsid w:val="00841CB8"/>
    <w:rsid w:val="00843A01"/>
    <w:rsid w:val="00846BFB"/>
    <w:rsid w:val="00851164"/>
    <w:rsid w:val="00852305"/>
    <w:rsid w:val="00852AA2"/>
    <w:rsid w:val="008540A0"/>
    <w:rsid w:val="008554BA"/>
    <w:rsid w:val="0085609D"/>
    <w:rsid w:val="0085658A"/>
    <w:rsid w:val="00862AE8"/>
    <w:rsid w:val="00866CFA"/>
    <w:rsid w:val="0087191C"/>
    <w:rsid w:val="008725F4"/>
    <w:rsid w:val="00872D38"/>
    <w:rsid w:val="00872EED"/>
    <w:rsid w:val="00873FA8"/>
    <w:rsid w:val="00875222"/>
    <w:rsid w:val="008759CE"/>
    <w:rsid w:val="00884A3D"/>
    <w:rsid w:val="00887538"/>
    <w:rsid w:val="008876AB"/>
    <w:rsid w:val="00890B9A"/>
    <w:rsid w:val="00897BBB"/>
    <w:rsid w:val="00897D64"/>
    <w:rsid w:val="008A097E"/>
    <w:rsid w:val="008A1576"/>
    <w:rsid w:val="008A20AC"/>
    <w:rsid w:val="008A3BAB"/>
    <w:rsid w:val="008A50B1"/>
    <w:rsid w:val="008A53F5"/>
    <w:rsid w:val="008A7E50"/>
    <w:rsid w:val="008B2901"/>
    <w:rsid w:val="008B6555"/>
    <w:rsid w:val="008C4BE3"/>
    <w:rsid w:val="008C6D7E"/>
    <w:rsid w:val="008C7336"/>
    <w:rsid w:val="008C789F"/>
    <w:rsid w:val="008D1284"/>
    <w:rsid w:val="008D13BD"/>
    <w:rsid w:val="008D4936"/>
    <w:rsid w:val="008D6775"/>
    <w:rsid w:val="008D68F7"/>
    <w:rsid w:val="008E34ED"/>
    <w:rsid w:val="008E366B"/>
    <w:rsid w:val="008E485B"/>
    <w:rsid w:val="008E4E6C"/>
    <w:rsid w:val="008E5D68"/>
    <w:rsid w:val="008E618A"/>
    <w:rsid w:val="008E6682"/>
    <w:rsid w:val="008F0592"/>
    <w:rsid w:val="008F2304"/>
    <w:rsid w:val="008F51B2"/>
    <w:rsid w:val="008F70D2"/>
    <w:rsid w:val="00900FA9"/>
    <w:rsid w:val="009017C4"/>
    <w:rsid w:val="0090201C"/>
    <w:rsid w:val="00903551"/>
    <w:rsid w:val="00904090"/>
    <w:rsid w:val="00904D45"/>
    <w:rsid w:val="00905A1E"/>
    <w:rsid w:val="0091172B"/>
    <w:rsid w:val="00911CC1"/>
    <w:rsid w:val="0091301B"/>
    <w:rsid w:val="00913D36"/>
    <w:rsid w:val="009144EC"/>
    <w:rsid w:val="009153B2"/>
    <w:rsid w:val="00915822"/>
    <w:rsid w:val="00921496"/>
    <w:rsid w:val="00921965"/>
    <w:rsid w:val="009223EF"/>
    <w:rsid w:val="009258F9"/>
    <w:rsid w:val="009275BC"/>
    <w:rsid w:val="00931787"/>
    <w:rsid w:val="00931C53"/>
    <w:rsid w:val="00937A4B"/>
    <w:rsid w:val="0094063A"/>
    <w:rsid w:val="00942F32"/>
    <w:rsid w:val="00943577"/>
    <w:rsid w:val="00944B12"/>
    <w:rsid w:val="00945978"/>
    <w:rsid w:val="009459BC"/>
    <w:rsid w:val="00946732"/>
    <w:rsid w:val="00946931"/>
    <w:rsid w:val="00951173"/>
    <w:rsid w:val="00951F8A"/>
    <w:rsid w:val="00952778"/>
    <w:rsid w:val="009527E4"/>
    <w:rsid w:val="0095387A"/>
    <w:rsid w:val="00953ABA"/>
    <w:rsid w:val="00955A2C"/>
    <w:rsid w:val="00957D0D"/>
    <w:rsid w:val="00962C6C"/>
    <w:rsid w:val="009670F0"/>
    <w:rsid w:val="009704D9"/>
    <w:rsid w:val="00975C1D"/>
    <w:rsid w:val="00975E49"/>
    <w:rsid w:val="00975F0F"/>
    <w:rsid w:val="00980EDD"/>
    <w:rsid w:val="00980F14"/>
    <w:rsid w:val="009810C2"/>
    <w:rsid w:val="009817EC"/>
    <w:rsid w:val="009900B2"/>
    <w:rsid w:val="00990739"/>
    <w:rsid w:val="0099655D"/>
    <w:rsid w:val="009A7AA8"/>
    <w:rsid w:val="009B0157"/>
    <w:rsid w:val="009B0385"/>
    <w:rsid w:val="009B0E30"/>
    <w:rsid w:val="009B4578"/>
    <w:rsid w:val="009B528C"/>
    <w:rsid w:val="009B57D7"/>
    <w:rsid w:val="009B7047"/>
    <w:rsid w:val="009C0676"/>
    <w:rsid w:val="009C07E7"/>
    <w:rsid w:val="009C11B8"/>
    <w:rsid w:val="009D18BB"/>
    <w:rsid w:val="009D3A56"/>
    <w:rsid w:val="009D45D1"/>
    <w:rsid w:val="009D6ABE"/>
    <w:rsid w:val="009D6DE1"/>
    <w:rsid w:val="009D7C65"/>
    <w:rsid w:val="009E2C66"/>
    <w:rsid w:val="009E3825"/>
    <w:rsid w:val="009E641D"/>
    <w:rsid w:val="009F1089"/>
    <w:rsid w:val="009F26EB"/>
    <w:rsid w:val="009F2DBA"/>
    <w:rsid w:val="009F32DC"/>
    <w:rsid w:val="009F6CA4"/>
    <w:rsid w:val="009F7BB8"/>
    <w:rsid w:val="00A020F1"/>
    <w:rsid w:val="00A02DF1"/>
    <w:rsid w:val="00A03649"/>
    <w:rsid w:val="00A037CF"/>
    <w:rsid w:val="00A051AF"/>
    <w:rsid w:val="00A055DA"/>
    <w:rsid w:val="00A0680B"/>
    <w:rsid w:val="00A102D9"/>
    <w:rsid w:val="00A10435"/>
    <w:rsid w:val="00A14A64"/>
    <w:rsid w:val="00A14B41"/>
    <w:rsid w:val="00A218A5"/>
    <w:rsid w:val="00A26E9E"/>
    <w:rsid w:val="00A3474D"/>
    <w:rsid w:val="00A3536C"/>
    <w:rsid w:val="00A371FD"/>
    <w:rsid w:val="00A376F2"/>
    <w:rsid w:val="00A428C8"/>
    <w:rsid w:val="00A43413"/>
    <w:rsid w:val="00A466F5"/>
    <w:rsid w:val="00A505B5"/>
    <w:rsid w:val="00A51FDF"/>
    <w:rsid w:val="00A52D9C"/>
    <w:rsid w:val="00A54943"/>
    <w:rsid w:val="00A558BA"/>
    <w:rsid w:val="00A55AC8"/>
    <w:rsid w:val="00A57D30"/>
    <w:rsid w:val="00A61B4F"/>
    <w:rsid w:val="00A6236F"/>
    <w:rsid w:val="00A6274D"/>
    <w:rsid w:val="00A639B6"/>
    <w:rsid w:val="00A65493"/>
    <w:rsid w:val="00A67AE8"/>
    <w:rsid w:val="00A73E67"/>
    <w:rsid w:val="00A74D05"/>
    <w:rsid w:val="00A75714"/>
    <w:rsid w:val="00A7797F"/>
    <w:rsid w:val="00A81877"/>
    <w:rsid w:val="00A82746"/>
    <w:rsid w:val="00A82AE0"/>
    <w:rsid w:val="00A83AA9"/>
    <w:rsid w:val="00A85AB8"/>
    <w:rsid w:val="00A87742"/>
    <w:rsid w:val="00A87BD6"/>
    <w:rsid w:val="00A90219"/>
    <w:rsid w:val="00A90AEC"/>
    <w:rsid w:val="00A91624"/>
    <w:rsid w:val="00A938F9"/>
    <w:rsid w:val="00A94780"/>
    <w:rsid w:val="00A968C7"/>
    <w:rsid w:val="00AA56EB"/>
    <w:rsid w:val="00AA618A"/>
    <w:rsid w:val="00AA729A"/>
    <w:rsid w:val="00AB0260"/>
    <w:rsid w:val="00AB0FC9"/>
    <w:rsid w:val="00AB3BDC"/>
    <w:rsid w:val="00AB4FCC"/>
    <w:rsid w:val="00AC173F"/>
    <w:rsid w:val="00AC229B"/>
    <w:rsid w:val="00AC3107"/>
    <w:rsid w:val="00AC60E0"/>
    <w:rsid w:val="00AD0DE4"/>
    <w:rsid w:val="00AD6BB3"/>
    <w:rsid w:val="00AE14E8"/>
    <w:rsid w:val="00AE3254"/>
    <w:rsid w:val="00AE4CA6"/>
    <w:rsid w:val="00AE52D2"/>
    <w:rsid w:val="00AE57A9"/>
    <w:rsid w:val="00AE57E3"/>
    <w:rsid w:val="00AF03AE"/>
    <w:rsid w:val="00AF2253"/>
    <w:rsid w:val="00AF2699"/>
    <w:rsid w:val="00AF2F5E"/>
    <w:rsid w:val="00AF2FF2"/>
    <w:rsid w:val="00AF6758"/>
    <w:rsid w:val="00AF7289"/>
    <w:rsid w:val="00AF7739"/>
    <w:rsid w:val="00AF7D3C"/>
    <w:rsid w:val="00B00464"/>
    <w:rsid w:val="00B03D09"/>
    <w:rsid w:val="00B04D22"/>
    <w:rsid w:val="00B13799"/>
    <w:rsid w:val="00B16853"/>
    <w:rsid w:val="00B2051C"/>
    <w:rsid w:val="00B220F8"/>
    <w:rsid w:val="00B25C31"/>
    <w:rsid w:val="00B263E7"/>
    <w:rsid w:val="00B26CF8"/>
    <w:rsid w:val="00B27D33"/>
    <w:rsid w:val="00B3045A"/>
    <w:rsid w:val="00B31D53"/>
    <w:rsid w:val="00B325B7"/>
    <w:rsid w:val="00B377DD"/>
    <w:rsid w:val="00B40F47"/>
    <w:rsid w:val="00B41E43"/>
    <w:rsid w:val="00B41F6C"/>
    <w:rsid w:val="00B42F6A"/>
    <w:rsid w:val="00B44462"/>
    <w:rsid w:val="00B4523A"/>
    <w:rsid w:val="00B45C11"/>
    <w:rsid w:val="00B461F2"/>
    <w:rsid w:val="00B5189C"/>
    <w:rsid w:val="00B54A97"/>
    <w:rsid w:val="00B54E1D"/>
    <w:rsid w:val="00B575FC"/>
    <w:rsid w:val="00B57CAA"/>
    <w:rsid w:val="00B57D73"/>
    <w:rsid w:val="00B668FD"/>
    <w:rsid w:val="00B7135D"/>
    <w:rsid w:val="00B71B9F"/>
    <w:rsid w:val="00B73D71"/>
    <w:rsid w:val="00B76409"/>
    <w:rsid w:val="00B801AA"/>
    <w:rsid w:val="00B8086B"/>
    <w:rsid w:val="00B814DB"/>
    <w:rsid w:val="00B82DE5"/>
    <w:rsid w:val="00B857ED"/>
    <w:rsid w:val="00B9507B"/>
    <w:rsid w:val="00B9735C"/>
    <w:rsid w:val="00BA0681"/>
    <w:rsid w:val="00BA1A3C"/>
    <w:rsid w:val="00BA57C4"/>
    <w:rsid w:val="00BA5F87"/>
    <w:rsid w:val="00BA69DE"/>
    <w:rsid w:val="00BA72EA"/>
    <w:rsid w:val="00BB0ACF"/>
    <w:rsid w:val="00BB74AC"/>
    <w:rsid w:val="00BC03E3"/>
    <w:rsid w:val="00BC28B2"/>
    <w:rsid w:val="00BC30AD"/>
    <w:rsid w:val="00BC458C"/>
    <w:rsid w:val="00BC6B82"/>
    <w:rsid w:val="00BC7001"/>
    <w:rsid w:val="00BC7585"/>
    <w:rsid w:val="00BC7F9C"/>
    <w:rsid w:val="00BD1368"/>
    <w:rsid w:val="00BD2306"/>
    <w:rsid w:val="00BD2EB0"/>
    <w:rsid w:val="00BD5171"/>
    <w:rsid w:val="00BD56C3"/>
    <w:rsid w:val="00BE12AD"/>
    <w:rsid w:val="00BE14A1"/>
    <w:rsid w:val="00BE735C"/>
    <w:rsid w:val="00BE7A5C"/>
    <w:rsid w:val="00BF3158"/>
    <w:rsid w:val="00BF5323"/>
    <w:rsid w:val="00BF59DF"/>
    <w:rsid w:val="00BF6F99"/>
    <w:rsid w:val="00BF7845"/>
    <w:rsid w:val="00C0146F"/>
    <w:rsid w:val="00C019C4"/>
    <w:rsid w:val="00C02049"/>
    <w:rsid w:val="00C02568"/>
    <w:rsid w:val="00C03C8F"/>
    <w:rsid w:val="00C03FB9"/>
    <w:rsid w:val="00C04927"/>
    <w:rsid w:val="00C04938"/>
    <w:rsid w:val="00C05034"/>
    <w:rsid w:val="00C067E2"/>
    <w:rsid w:val="00C12F4F"/>
    <w:rsid w:val="00C13AFE"/>
    <w:rsid w:val="00C15BF7"/>
    <w:rsid w:val="00C17738"/>
    <w:rsid w:val="00C2255A"/>
    <w:rsid w:val="00C2321B"/>
    <w:rsid w:val="00C23D76"/>
    <w:rsid w:val="00C24066"/>
    <w:rsid w:val="00C25BC6"/>
    <w:rsid w:val="00C26F24"/>
    <w:rsid w:val="00C30146"/>
    <w:rsid w:val="00C32A76"/>
    <w:rsid w:val="00C32F8D"/>
    <w:rsid w:val="00C3447D"/>
    <w:rsid w:val="00C35340"/>
    <w:rsid w:val="00C37EB2"/>
    <w:rsid w:val="00C4098E"/>
    <w:rsid w:val="00C4153E"/>
    <w:rsid w:val="00C4178F"/>
    <w:rsid w:val="00C44680"/>
    <w:rsid w:val="00C4470B"/>
    <w:rsid w:val="00C45DEF"/>
    <w:rsid w:val="00C507BA"/>
    <w:rsid w:val="00C52CCF"/>
    <w:rsid w:val="00C56B2E"/>
    <w:rsid w:val="00C610D8"/>
    <w:rsid w:val="00C62B74"/>
    <w:rsid w:val="00C67398"/>
    <w:rsid w:val="00C67CCE"/>
    <w:rsid w:val="00C70682"/>
    <w:rsid w:val="00C709E0"/>
    <w:rsid w:val="00C70DD3"/>
    <w:rsid w:val="00C71305"/>
    <w:rsid w:val="00C717F5"/>
    <w:rsid w:val="00C74CC9"/>
    <w:rsid w:val="00C76FFC"/>
    <w:rsid w:val="00C87999"/>
    <w:rsid w:val="00C92ACD"/>
    <w:rsid w:val="00C94880"/>
    <w:rsid w:val="00C94EFB"/>
    <w:rsid w:val="00C9503B"/>
    <w:rsid w:val="00C95D9C"/>
    <w:rsid w:val="00C96994"/>
    <w:rsid w:val="00CA082E"/>
    <w:rsid w:val="00CA2472"/>
    <w:rsid w:val="00CA2D8E"/>
    <w:rsid w:val="00CA519C"/>
    <w:rsid w:val="00CA527B"/>
    <w:rsid w:val="00CA63DE"/>
    <w:rsid w:val="00CA67A0"/>
    <w:rsid w:val="00CB1210"/>
    <w:rsid w:val="00CB303E"/>
    <w:rsid w:val="00CB407C"/>
    <w:rsid w:val="00CC1906"/>
    <w:rsid w:val="00CC1BDD"/>
    <w:rsid w:val="00CC226D"/>
    <w:rsid w:val="00CC5715"/>
    <w:rsid w:val="00CC60E7"/>
    <w:rsid w:val="00CC6C0E"/>
    <w:rsid w:val="00CD387B"/>
    <w:rsid w:val="00CD52A7"/>
    <w:rsid w:val="00CD67DF"/>
    <w:rsid w:val="00CE1BCA"/>
    <w:rsid w:val="00CE3915"/>
    <w:rsid w:val="00CF0FDB"/>
    <w:rsid w:val="00CF2937"/>
    <w:rsid w:val="00CF3568"/>
    <w:rsid w:val="00CF3F34"/>
    <w:rsid w:val="00CF4607"/>
    <w:rsid w:val="00CF5C42"/>
    <w:rsid w:val="00D0377F"/>
    <w:rsid w:val="00D03F61"/>
    <w:rsid w:val="00D06FF8"/>
    <w:rsid w:val="00D15FA3"/>
    <w:rsid w:val="00D16D8D"/>
    <w:rsid w:val="00D17F55"/>
    <w:rsid w:val="00D24DF2"/>
    <w:rsid w:val="00D25285"/>
    <w:rsid w:val="00D27138"/>
    <w:rsid w:val="00D30388"/>
    <w:rsid w:val="00D40D4A"/>
    <w:rsid w:val="00D43310"/>
    <w:rsid w:val="00D50FB5"/>
    <w:rsid w:val="00D52FA8"/>
    <w:rsid w:val="00D53B30"/>
    <w:rsid w:val="00D53CBF"/>
    <w:rsid w:val="00D56CE0"/>
    <w:rsid w:val="00D61CEB"/>
    <w:rsid w:val="00D61D96"/>
    <w:rsid w:val="00D657BA"/>
    <w:rsid w:val="00D67AE7"/>
    <w:rsid w:val="00D753BA"/>
    <w:rsid w:val="00D81459"/>
    <w:rsid w:val="00D81CF3"/>
    <w:rsid w:val="00D853C0"/>
    <w:rsid w:val="00D8791E"/>
    <w:rsid w:val="00D87D7B"/>
    <w:rsid w:val="00D94DB3"/>
    <w:rsid w:val="00DA1BE8"/>
    <w:rsid w:val="00DA2621"/>
    <w:rsid w:val="00DA30B0"/>
    <w:rsid w:val="00DA5682"/>
    <w:rsid w:val="00DA5AC4"/>
    <w:rsid w:val="00DA5D41"/>
    <w:rsid w:val="00DA7668"/>
    <w:rsid w:val="00DA7683"/>
    <w:rsid w:val="00DB06E0"/>
    <w:rsid w:val="00DB0D5E"/>
    <w:rsid w:val="00DB18C9"/>
    <w:rsid w:val="00DB1BEF"/>
    <w:rsid w:val="00DB27FA"/>
    <w:rsid w:val="00DB45CD"/>
    <w:rsid w:val="00DB63D6"/>
    <w:rsid w:val="00DB696E"/>
    <w:rsid w:val="00DC349D"/>
    <w:rsid w:val="00DC3A3A"/>
    <w:rsid w:val="00DC5EF6"/>
    <w:rsid w:val="00DD0462"/>
    <w:rsid w:val="00DD1970"/>
    <w:rsid w:val="00DD2460"/>
    <w:rsid w:val="00DD36C5"/>
    <w:rsid w:val="00DD6858"/>
    <w:rsid w:val="00DE018F"/>
    <w:rsid w:val="00DE0D89"/>
    <w:rsid w:val="00DE18EE"/>
    <w:rsid w:val="00DE2D5B"/>
    <w:rsid w:val="00DE3537"/>
    <w:rsid w:val="00DE4253"/>
    <w:rsid w:val="00DE56AE"/>
    <w:rsid w:val="00DE7452"/>
    <w:rsid w:val="00DE76D8"/>
    <w:rsid w:val="00DF43A9"/>
    <w:rsid w:val="00DF4A5F"/>
    <w:rsid w:val="00DF4BDD"/>
    <w:rsid w:val="00E01A01"/>
    <w:rsid w:val="00E02477"/>
    <w:rsid w:val="00E02841"/>
    <w:rsid w:val="00E04B69"/>
    <w:rsid w:val="00E0655B"/>
    <w:rsid w:val="00E101ED"/>
    <w:rsid w:val="00E1210F"/>
    <w:rsid w:val="00E1246A"/>
    <w:rsid w:val="00E12512"/>
    <w:rsid w:val="00E128F2"/>
    <w:rsid w:val="00E13D3B"/>
    <w:rsid w:val="00E14476"/>
    <w:rsid w:val="00E14F6A"/>
    <w:rsid w:val="00E170A0"/>
    <w:rsid w:val="00E214B7"/>
    <w:rsid w:val="00E2193C"/>
    <w:rsid w:val="00E23B1E"/>
    <w:rsid w:val="00E35481"/>
    <w:rsid w:val="00E367DA"/>
    <w:rsid w:val="00E3719F"/>
    <w:rsid w:val="00E3789E"/>
    <w:rsid w:val="00E409C6"/>
    <w:rsid w:val="00E40B1A"/>
    <w:rsid w:val="00E42402"/>
    <w:rsid w:val="00E43F9A"/>
    <w:rsid w:val="00E47B99"/>
    <w:rsid w:val="00E513A6"/>
    <w:rsid w:val="00E528EC"/>
    <w:rsid w:val="00E54B67"/>
    <w:rsid w:val="00E56FDE"/>
    <w:rsid w:val="00E608CF"/>
    <w:rsid w:val="00E646B3"/>
    <w:rsid w:val="00E65746"/>
    <w:rsid w:val="00E71267"/>
    <w:rsid w:val="00E7295B"/>
    <w:rsid w:val="00E7507F"/>
    <w:rsid w:val="00E757A0"/>
    <w:rsid w:val="00E75D2B"/>
    <w:rsid w:val="00E76243"/>
    <w:rsid w:val="00E80FBB"/>
    <w:rsid w:val="00E815DA"/>
    <w:rsid w:val="00E8220F"/>
    <w:rsid w:val="00E84173"/>
    <w:rsid w:val="00E87996"/>
    <w:rsid w:val="00E87CC7"/>
    <w:rsid w:val="00E95F05"/>
    <w:rsid w:val="00E962C7"/>
    <w:rsid w:val="00EA2C10"/>
    <w:rsid w:val="00EA3A62"/>
    <w:rsid w:val="00EA4A23"/>
    <w:rsid w:val="00EC10A0"/>
    <w:rsid w:val="00EC1548"/>
    <w:rsid w:val="00EC3FE0"/>
    <w:rsid w:val="00ED13FF"/>
    <w:rsid w:val="00ED1D73"/>
    <w:rsid w:val="00ED1F0D"/>
    <w:rsid w:val="00ED364B"/>
    <w:rsid w:val="00ED45A9"/>
    <w:rsid w:val="00ED49EF"/>
    <w:rsid w:val="00ED5C03"/>
    <w:rsid w:val="00ED6A1E"/>
    <w:rsid w:val="00EE1324"/>
    <w:rsid w:val="00EE6240"/>
    <w:rsid w:val="00EE65CD"/>
    <w:rsid w:val="00EF1646"/>
    <w:rsid w:val="00EF2650"/>
    <w:rsid w:val="00EF268D"/>
    <w:rsid w:val="00EF2B02"/>
    <w:rsid w:val="00EF4334"/>
    <w:rsid w:val="00EF591E"/>
    <w:rsid w:val="00EF61FC"/>
    <w:rsid w:val="00F04C99"/>
    <w:rsid w:val="00F0597C"/>
    <w:rsid w:val="00F05C1D"/>
    <w:rsid w:val="00F071FF"/>
    <w:rsid w:val="00F11AD9"/>
    <w:rsid w:val="00F12CFE"/>
    <w:rsid w:val="00F226CF"/>
    <w:rsid w:val="00F324DB"/>
    <w:rsid w:val="00F35B0E"/>
    <w:rsid w:val="00F42CCA"/>
    <w:rsid w:val="00F45322"/>
    <w:rsid w:val="00F45C29"/>
    <w:rsid w:val="00F4685D"/>
    <w:rsid w:val="00F51A8A"/>
    <w:rsid w:val="00F5200A"/>
    <w:rsid w:val="00F523F0"/>
    <w:rsid w:val="00F537F6"/>
    <w:rsid w:val="00F54BFA"/>
    <w:rsid w:val="00F550AA"/>
    <w:rsid w:val="00F55622"/>
    <w:rsid w:val="00F55989"/>
    <w:rsid w:val="00F60039"/>
    <w:rsid w:val="00F601F1"/>
    <w:rsid w:val="00F611CE"/>
    <w:rsid w:val="00F620CB"/>
    <w:rsid w:val="00F64AA6"/>
    <w:rsid w:val="00F64E84"/>
    <w:rsid w:val="00F6538F"/>
    <w:rsid w:val="00F66408"/>
    <w:rsid w:val="00F66B6F"/>
    <w:rsid w:val="00F67164"/>
    <w:rsid w:val="00F7342B"/>
    <w:rsid w:val="00F74753"/>
    <w:rsid w:val="00F83448"/>
    <w:rsid w:val="00F84F30"/>
    <w:rsid w:val="00F859F3"/>
    <w:rsid w:val="00F85E82"/>
    <w:rsid w:val="00F9221A"/>
    <w:rsid w:val="00F939A7"/>
    <w:rsid w:val="00F95555"/>
    <w:rsid w:val="00F96519"/>
    <w:rsid w:val="00F96987"/>
    <w:rsid w:val="00F977B6"/>
    <w:rsid w:val="00FA0628"/>
    <w:rsid w:val="00FA5431"/>
    <w:rsid w:val="00FA5D1A"/>
    <w:rsid w:val="00FA7626"/>
    <w:rsid w:val="00FB0256"/>
    <w:rsid w:val="00FB1330"/>
    <w:rsid w:val="00FB138D"/>
    <w:rsid w:val="00FB2B22"/>
    <w:rsid w:val="00FC1A19"/>
    <w:rsid w:val="00FC1EC0"/>
    <w:rsid w:val="00FC3FB6"/>
    <w:rsid w:val="00FC5813"/>
    <w:rsid w:val="00FC7A44"/>
    <w:rsid w:val="00FD02DA"/>
    <w:rsid w:val="00FD0E32"/>
    <w:rsid w:val="00FD1E4E"/>
    <w:rsid w:val="00FD3B33"/>
    <w:rsid w:val="00FD756C"/>
    <w:rsid w:val="00FE0BB6"/>
    <w:rsid w:val="00FE1167"/>
    <w:rsid w:val="00FE1C94"/>
    <w:rsid w:val="00FE2105"/>
    <w:rsid w:val="00FE2F19"/>
    <w:rsid w:val="00FE3278"/>
    <w:rsid w:val="00FE3801"/>
    <w:rsid w:val="00FE5CB7"/>
    <w:rsid w:val="00FE7E92"/>
    <w:rsid w:val="00FF1069"/>
    <w:rsid w:val="00FF14AC"/>
    <w:rsid w:val="00FF1DDE"/>
    <w:rsid w:val="00FF412E"/>
    <w:rsid w:val="00FF437D"/>
    <w:rsid w:val="00FF4995"/>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styleId="NoSpacing">
    <w:name w:val="No Spacing"/>
    <w:basedOn w:val="Normal"/>
    <w:link w:val="NoSpacingChar"/>
    <w:uiPriority w:val="1"/>
    <w:qFormat/>
    <w:rsid w:val="001D2DA5"/>
    <w:pPr>
      <w:spacing w:before="100" w:after="100"/>
    </w:pPr>
    <w:rPr>
      <w:lang w:eastAsia="en-GB"/>
    </w:rPr>
  </w:style>
  <w:style w:type="character" w:customStyle="1" w:styleId="NoSpacingChar">
    <w:name w:val="No Spacing Char"/>
    <w:link w:val="NoSpacing"/>
    <w:uiPriority w:val="1"/>
    <w:locked/>
    <w:rsid w:val="001D2DA5"/>
    <w:rPr>
      <w:rFonts w:eastAsia="Times New Roman" w:cs="Times New Roman"/>
      <w:szCs w:val="24"/>
      <w:lang w:val="lv-LV" w:eastAsia="en-GB"/>
    </w:rPr>
  </w:style>
  <w:style w:type="table" w:customStyle="1" w:styleId="TableGrid1">
    <w:name w:val="Table Grid1"/>
    <w:basedOn w:val="TableNormal"/>
    <w:next w:val="TableGrid"/>
    <w:uiPriority w:val="39"/>
    <w:rsid w:val="00FF499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4B7"/>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DB1BEF"/>
    <w:rPr>
      <w:color w:val="954F72" w:themeColor="followedHyperlink"/>
      <w:u w:val="single"/>
    </w:rPr>
  </w:style>
  <w:style w:type="character" w:styleId="CommentReference">
    <w:name w:val="annotation reference"/>
    <w:basedOn w:val="DefaultParagraphFont"/>
    <w:uiPriority w:val="99"/>
    <w:semiHidden/>
    <w:unhideWhenUsed/>
    <w:rsid w:val="004859F3"/>
    <w:rPr>
      <w:sz w:val="16"/>
      <w:szCs w:val="16"/>
    </w:rPr>
  </w:style>
  <w:style w:type="paragraph" w:styleId="CommentText">
    <w:name w:val="annotation text"/>
    <w:basedOn w:val="Normal"/>
    <w:link w:val="CommentTextChar"/>
    <w:uiPriority w:val="99"/>
    <w:unhideWhenUsed/>
    <w:rsid w:val="004859F3"/>
    <w:rPr>
      <w:sz w:val="20"/>
      <w:szCs w:val="20"/>
    </w:rPr>
  </w:style>
  <w:style w:type="character" w:customStyle="1" w:styleId="CommentTextChar">
    <w:name w:val="Comment Text Char"/>
    <w:basedOn w:val="DefaultParagraphFont"/>
    <w:link w:val="CommentText"/>
    <w:uiPriority w:val="99"/>
    <w:rsid w:val="004859F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859F3"/>
    <w:rPr>
      <w:b/>
      <w:bCs/>
    </w:rPr>
  </w:style>
  <w:style w:type="character" w:customStyle="1" w:styleId="CommentSubjectChar">
    <w:name w:val="Comment Subject Char"/>
    <w:basedOn w:val="CommentTextChar"/>
    <w:link w:val="CommentSubject"/>
    <w:uiPriority w:val="99"/>
    <w:semiHidden/>
    <w:rsid w:val="004859F3"/>
    <w:rPr>
      <w:rFonts w:eastAsia="Times New Roman" w:cs="Times New Roman"/>
      <w:b/>
      <w:bCs/>
      <w:sz w:val="20"/>
      <w:szCs w:val="20"/>
      <w:lang w:eastAsia="ru-RU"/>
    </w:rPr>
  </w:style>
  <w:style w:type="paragraph" w:customStyle="1" w:styleId="Default">
    <w:name w:val="Default"/>
    <w:rsid w:val="00C4178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26fa670-86e4-4e5f-a2cf-1d4079adfc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cda16442-2a5e-433c-b829-99fa3b55cf1c" TargetMode="Externa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gateway.elieta.lv/api/v1/PublicMaterialDownload/99392f7f-7a99-4641-be77-91e0afa277f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3A5C-662D-47CC-8318-0F0B6F31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6861</Words>
  <Characters>3911</Characters>
  <Application>Microsoft Office Word</Application>
  <DocSecurity>0</DocSecurity>
  <Lines>32</Lines>
  <Paragraphs>21</Paragraphs>
  <ScaleCrop>false</ScaleCrop>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2025-12-15T08:56:00Z</dcterms:created>
  <dcterms:modified xsi:type="dcterms:W3CDTF">2025-12-15T08:57:00Z</dcterms:modified>
</cp:coreProperties>
</file>