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5A6E" w14:textId="77777777" w:rsidR="00971C9A" w:rsidRDefault="00971C9A" w:rsidP="00971C9A">
      <w:pPr>
        <w:autoSpaceDE w:val="0"/>
        <w:autoSpaceDN w:val="0"/>
        <w:spacing w:line="276" w:lineRule="auto"/>
        <w:jc w:val="both"/>
        <w:rPr>
          <w:b/>
          <w:bCs/>
          <w:color w:val="000000"/>
          <w:lang w:eastAsia="lv-LV"/>
          <w14:ligatures w14:val="standardContextual"/>
        </w:rPr>
      </w:pPr>
      <w:r>
        <w:rPr>
          <w:b/>
          <w:bCs/>
          <w:color w:val="000000"/>
          <w14:ligatures w14:val="standardContextual"/>
        </w:rPr>
        <w:t>Prettiesiski atteikta labvēlīga administratīvā akta izdošana par valsts atbalsta maksājumu</w:t>
      </w:r>
    </w:p>
    <w:p w14:paraId="716C37C0" w14:textId="77777777" w:rsidR="00971C9A" w:rsidRDefault="00971C9A" w:rsidP="00971C9A">
      <w:pPr>
        <w:spacing w:line="276" w:lineRule="auto"/>
        <w:rPr>
          <w:lang w:eastAsia="en-US"/>
        </w:rPr>
      </w:pPr>
      <w:r>
        <w:rPr>
          <w:lang w:eastAsia="en-US"/>
        </w:rPr>
        <w:t>Atbalstu var izmaksāt arī tad, kad ir beidzies tiesību normās paredzētais termiņš atbalsta piešķiršanai, ja tiek konstatēts, ka kompetentā iestāde ir nepamatoti atteikusies atbalstu piešķirt personai, kura bija to pieprasījusi piešķiršanai paredzētajā termiņā.</w:t>
      </w:r>
    </w:p>
    <w:p w14:paraId="6A113DCE" w14:textId="5494A36B" w:rsidR="00744CE3" w:rsidRPr="00402239" w:rsidRDefault="00744CE3" w:rsidP="00971C9A">
      <w:pPr>
        <w:pStyle w:val="BodyText2"/>
        <w:spacing w:line="276" w:lineRule="auto"/>
      </w:pPr>
    </w:p>
    <w:p w14:paraId="327CEE57" w14:textId="307E68DA" w:rsidR="00744CE3" w:rsidRPr="00402239" w:rsidRDefault="00744CE3" w:rsidP="00971C9A">
      <w:pPr>
        <w:spacing w:line="276" w:lineRule="auto"/>
        <w:jc w:val="center"/>
        <w:rPr>
          <w:b/>
        </w:rPr>
      </w:pPr>
      <w:r w:rsidRPr="00402239">
        <w:rPr>
          <w:b/>
        </w:rPr>
        <w:t>Latvijas Republikas Senāt</w:t>
      </w:r>
      <w:r w:rsidR="00971C9A">
        <w:rPr>
          <w:b/>
        </w:rPr>
        <w:t>a</w:t>
      </w:r>
      <w:r w:rsidR="00971C9A">
        <w:rPr>
          <w:b/>
        </w:rPr>
        <w:br/>
        <w:t>Administratīvo lietu departamenta</w:t>
      </w:r>
      <w:r w:rsidR="00971C9A">
        <w:rPr>
          <w:b/>
        </w:rPr>
        <w:br/>
        <w:t>2025.gada 23.oktobra</w:t>
      </w:r>
    </w:p>
    <w:p w14:paraId="372B9BA4" w14:textId="77777777" w:rsidR="00971C9A" w:rsidRDefault="00744CE3" w:rsidP="00971C9A">
      <w:pPr>
        <w:spacing w:line="276" w:lineRule="auto"/>
        <w:jc w:val="center"/>
        <w:rPr>
          <w:b/>
        </w:rPr>
      </w:pPr>
      <w:r w:rsidRPr="00402239">
        <w:rPr>
          <w:b/>
        </w:rPr>
        <w:t>SPRIEDUMS</w:t>
      </w:r>
    </w:p>
    <w:p w14:paraId="7A7CEA8D" w14:textId="3BA3C339" w:rsidR="00971C9A" w:rsidRPr="00971C9A" w:rsidRDefault="00971C9A" w:rsidP="00971C9A">
      <w:pPr>
        <w:spacing w:line="276" w:lineRule="auto"/>
        <w:jc w:val="center"/>
        <w:rPr>
          <w:b/>
          <w:bCs/>
        </w:rPr>
      </w:pPr>
      <w:r w:rsidRPr="00971C9A">
        <w:rPr>
          <w:b/>
          <w:bCs/>
        </w:rPr>
        <w:t>Lieta Nr. A420202321</w:t>
      </w:r>
      <w:r w:rsidRPr="00971C9A">
        <w:rPr>
          <w:b/>
          <w:bCs/>
          <w:lang w:eastAsia="lv-LV"/>
        </w:rPr>
        <w:t xml:space="preserve">, </w:t>
      </w:r>
      <w:r w:rsidRPr="00971C9A">
        <w:rPr>
          <w:b/>
          <w:bCs/>
        </w:rPr>
        <w:t>SKA-47/2025</w:t>
      </w:r>
    </w:p>
    <w:p w14:paraId="7529BC81" w14:textId="16897A09" w:rsidR="00971C9A" w:rsidRPr="00971C9A" w:rsidRDefault="00971C9A" w:rsidP="00971C9A">
      <w:pPr>
        <w:spacing w:line="276" w:lineRule="auto"/>
        <w:jc w:val="center"/>
        <w:rPr>
          <w:b/>
        </w:rPr>
      </w:pPr>
      <w:r>
        <w:t xml:space="preserve"> </w:t>
      </w:r>
      <w:hyperlink r:id="rId8" w:history="1">
        <w:r w:rsidRPr="00971C9A">
          <w:rPr>
            <w:rStyle w:val="Hyperlink"/>
          </w:rPr>
          <w:t>ECLI:LV:AT:2025:1023.A420202321.15.S</w:t>
        </w:r>
      </w:hyperlink>
    </w:p>
    <w:p w14:paraId="2DE4BE66" w14:textId="77777777" w:rsidR="00744CE3" w:rsidRPr="00402239" w:rsidRDefault="00744CE3" w:rsidP="00971C9A">
      <w:pPr>
        <w:spacing w:line="276" w:lineRule="auto"/>
        <w:ind w:firstLine="720"/>
        <w:jc w:val="center"/>
      </w:pPr>
    </w:p>
    <w:p w14:paraId="3B69150A" w14:textId="77777777" w:rsidR="00744CE3" w:rsidRPr="00402239" w:rsidRDefault="00744CE3" w:rsidP="00971C9A">
      <w:pPr>
        <w:spacing w:line="276" w:lineRule="auto"/>
        <w:ind w:firstLine="720"/>
        <w:jc w:val="both"/>
      </w:pPr>
      <w:r w:rsidRPr="00402239">
        <w:t xml:space="preserve">Senāts šādā sastāvā: senatore referente Dzintra Amerika, senatores </w:t>
      </w:r>
      <w:r>
        <w:t>Laura Konošonoka</w:t>
      </w:r>
      <w:r w:rsidRPr="00402239">
        <w:t xml:space="preserve"> un Diāna Makarova</w:t>
      </w:r>
    </w:p>
    <w:p w14:paraId="4958ED22" w14:textId="77777777" w:rsidR="00744CE3" w:rsidRPr="00402239" w:rsidRDefault="00744CE3" w:rsidP="00971C9A">
      <w:pPr>
        <w:spacing w:line="276" w:lineRule="auto"/>
        <w:ind w:firstLine="720"/>
        <w:jc w:val="both"/>
      </w:pPr>
    </w:p>
    <w:p w14:paraId="738E1CA5" w14:textId="77777777" w:rsidR="00744CE3" w:rsidRPr="00402239" w:rsidRDefault="00744CE3" w:rsidP="00971C9A">
      <w:pPr>
        <w:spacing w:line="276" w:lineRule="auto"/>
        <w:ind w:firstLine="720"/>
        <w:jc w:val="both"/>
      </w:pPr>
      <w:r w:rsidRPr="00402239">
        <w:t>rakstveida procesā izskatīja administratīvo lietu, kas ierosināta, pamatojoties uz SIA</w:t>
      </w:r>
      <w:r>
        <w:t> </w:t>
      </w:r>
      <w:r w:rsidRPr="00402239">
        <w:t>„</w:t>
      </w:r>
      <w:r>
        <w:t>Limbažu ceļi</w:t>
      </w:r>
      <w:r w:rsidRPr="00402239">
        <w:t>” pieteikumu par labvēlīga administratīvā akta izdošanu, sakarā ar SIA</w:t>
      </w:r>
      <w:r>
        <w:t> </w:t>
      </w:r>
      <w:r w:rsidRPr="00402239">
        <w:t>„</w:t>
      </w:r>
      <w:r>
        <w:t>Limbažu ceļi</w:t>
      </w:r>
      <w:r w:rsidRPr="00402239">
        <w:t>”</w:t>
      </w:r>
      <w:r>
        <w:t xml:space="preserve"> </w:t>
      </w:r>
      <w:r w:rsidRPr="00402239">
        <w:t>kasācijas sūdzību par Administratīvās apgabaltiesas 202</w:t>
      </w:r>
      <w:r>
        <w:t>3</w:t>
      </w:r>
      <w:r w:rsidRPr="00402239">
        <w:t xml:space="preserve">.gada </w:t>
      </w:r>
      <w:r>
        <w:t>28</w:t>
      </w:r>
      <w:r w:rsidRPr="00402239">
        <w:t>.</w:t>
      </w:r>
      <w:r>
        <w:t>februāra</w:t>
      </w:r>
      <w:r w:rsidRPr="00402239">
        <w:t xml:space="preserve"> spriedumu.</w:t>
      </w:r>
    </w:p>
    <w:p w14:paraId="2DEDEA57" w14:textId="77777777" w:rsidR="00744CE3" w:rsidRPr="00402239" w:rsidRDefault="00744CE3" w:rsidP="00971C9A">
      <w:pPr>
        <w:spacing w:line="276" w:lineRule="auto"/>
        <w:ind w:firstLine="720"/>
        <w:jc w:val="both"/>
      </w:pPr>
    </w:p>
    <w:p w14:paraId="1B43E3F3" w14:textId="77777777" w:rsidR="00744CE3" w:rsidRPr="00402239" w:rsidRDefault="00744CE3" w:rsidP="00971C9A">
      <w:pPr>
        <w:pStyle w:val="ATpamattesksts"/>
        <w:ind w:firstLine="0"/>
        <w:jc w:val="center"/>
      </w:pPr>
      <w:r w:rsidRPr="00402239">
        <w:rPr>
          <w:b/>
        </w:rPr>
        <w:t>Aprakstošā</w:t>
      </w:r>
      <w:r w:rsidRPr="00402239">
        <w:t xml:space="preserve"> </w:t>
      </w:r>
      <w:r w:rsidRPr="00402239">
        <w:rPr>
          <w:b/>
        </w:rPr>
        <w:t>daļa</w:t>
      </w:r>
    </w:p>
    <w:p w14:paraId="168C9AAD" w14:textId="77777777" w:rsidR="00744CE3" w:rsidRPr="00402239" w:rsidRDefault="00744CE3" w:rsidP="00971C9A">
      <w:pPr>
        <w:spacing w:line="276" w:lineRule="auto"/>
        <w:ind w:firstLine="720"/>
        <w:jc w:val="both"/>
      </w:pPr>
    </w:p>
    <w:p w14:paraId="2B169792" w14:textId="77777777" w:rsidR="00744CE3" w:rsidRPr="00402239" w:rsidRDefault="00744CE3" w:rsidP="00971C9A">
      <w:pPr>
        <w:spacing w:line="276" w:lineRule="auto"/>
        <w:ind w:firstLine="720"/>
        <w:jc w:val="both"/>
      </w:pPr>
      <w:r w:rsidRPr="00402239">
        <w:t xml:space="preserve">[1] Pieteicēja </w:t>
      </w:r>
      <w:r>
        <w:t xml:space="preserve">– </w:t>
      </w:r>
      <w:r w:rsidRPr="00402239">
        <w:t>SIA „</w:t>
      </w:r>
      <w:r>
        <w:t>Limbažu ceļi</w:t>
      </w:r>
      <w:r w:rsidRPr="00402239">
        <w:t xml:space="preserve">” </w:t>
      </w:r>
      <w:r>
        <w:t xml:space="preserve">– </w:t>
      </w:r>
      <w:r w:rsidRPr="00402239">
        <w:t>2021.gada 1</w:t>
      </w:r>
      <w:r>
        <w:t>5</w:t>
      </w:r>
      <w:r w:rsidRPr="00402239">
        <w:t>.</w:t>
      </w:r>
      <w:r>
        <w:t>martā</w:t>
      </w:r>
      <w:r w:rsidRPr="00402239">
        <w:t xml:space="preserve"> vērsās Valsts ieņēmumu dienestā, lūdzot piešķirt valsts atbalstu Covid-19 krīzes skartam uzņēmumam apgrozāmo līdzekļu plūsmas krituma kompensēšanai (turpmāk – atbalsts) par 2021.gada</w:t>
      </w:r>
      <w:r>
        <w:t xml:space="preserve"> janvāri</w:t>
      </w:r>
      <w:r w:rsidRPr="00402239">
        <w:t>.</w:t>
      </w:r>
    </w:p>
    <w:p w14:paraId="1CC182C6" w14:textId="77777777" w:rsidR="00744CE3" w:rsidRPr="00402239" w:rsidRDefault="00744CE3" w:rsidP="00971C9A">
      <w:pPr>
        <w:spacing w:line="276" w:lineRule="auto"/>
        <w:ind w:firstLine="720"/>
        <w:jc w:val="both"/>
      </w:pPr>
    </w:p>
    <w:p w14:paraId="46C2AB63" w14:textId="77777777" w:rsidR="00744CE3" w:rsidRPr="00402239" w:rsidRDefault="00744CE3" w:rsidP="00971C9A">
      <w:pPr>
        <w:spacing w:line="276" w:lineRule="auto"/>
        <w:ind w:firstLine="720"/>
        <w:jc w:val="both"/>
      </w:pPr>
      <w:r w:rsidRPr="00402239">
        <w:t xml:space="preserve">[2] Valsts ieņēmumu dienests 2021.gada </w:t>
      </w:r>
      <w:r>
        <w:t>15</w:t>
      </w:r>
      <w:r w:rsidRPr="00402239">
        <w:t>.jū</w:t>
      </w:r>
      <w:r>
        <w:t>nijā</w:t>
      </w:r>
      <w:r w:rsidRPr="00402239">
        <w:t xml:space="preserve"> ar lēmumu </w:t>
      </w:r>
      <w:r w:rsidRPr="00715DE7">
        <w:t>Nr.</w:t>
      </w:r>
      <w:r>
        <w:t> </w:t>
      </w:r>
      <w:r w:rsidRPr="00BF1040">
        <w:t>33.17</w:t>
      </w:r>
      <w:r>
        <w:noBreakHyphen/>
      </w:r>
      <w:r w:rsidRPr="00BF1040">
        <w:t>6/22.13/6767</w:t>
      </w:r>
      <w:r w:rsidRPr="00715DE7">
        <w:t xml:space="preserve"> </w:t>
      </w:r>
      <w:r w:rsidRPr="00402239">
        <w:t>kā administratīvo procesu iestādē noslēdzošo administratīvo aktu atteica pieteicējai piešķirt atbalstu, jo nekonstatēja, ka pieteicējas apgrozījuma kritums atbalsta mēnesī atbilst Ministru kabineta 2020.gada 10.novembra noteikumos Nr. 676 „Noteikumi par atbalstu Covid-19 krīzes skartajiem uzņēmumiem apgrozāmo līdzekļu plūsmas nodrošināšanai</w:t>
      </w:r>
      <w:r w:rsidRPr="00E37E28">
        <w:t>” (turpmāk – Atbalsta noteikumi) noteiktajam</w:t>
      </w:r>
      <w:r w:rsidRPr="00402239">
        <w:t xml:space="preserve"> apmēram. Lēmumā norādīts, ka, vērtējot apgrozījuma kritumu, ņemams vērā darījumu apjoms (apgrozījums), </w:t>
      </w:r>
      <w:r w:rsidRPr="00431C28">
        <w:t>kurš ir uzrādīts pieteicējas pievienotās vērtības nodokļa deklarācijās, nevis grāmatvedības uzskaites reģistros vai peļņas vai zaudējumu aprēķinos</w:t>
      </w:r>
      <w:r>
        <w:t>.</w:t>
      </w:r>
    </w:p>
    <w:p w14:paraId="3535DD6A" w14:textId="77777777" w:rsidR="00744CE3" w:rsidRPr="00E37E28" w:rsidRDefault="00744CE3" w:rsidP="00971C9A">
      <w:pPr>
        <w:spacing w:line="276" w:lineRule="auto"/>
        <w:ind w:firstLine="720"/>
        <w:jc w:val="both"/>
        <w:rPr>
          <w:rFonts w:asciiTheme="majorBidi" w:hAnsiTheme="majorBidi" w:cstheme="majorBidi"/>
        </w:rPr>
      </w:pPr>
      <w:r>
        <w:rPr>
          <w:lang w:eastAsia="lv-LV"/>
        </w:rPr>
        <w:t>Pieteicēja uzskatīja</w:t>
      </w:r>
      <w:r w:rsidRPr="00402239">
        <w:rPr>
          <w:lang w:eastAsia="lv-LV"/>
        </w:rPr>
        <w:t xml:space="preserve">, ka 2021.gada </w:t>
      </w:r>
      <w:r>
        <w:rPr>
          <w:lang w:eastAsia="lv-LV"/>
        </w:rPr>
        <w:t xml:space="preserve">janvāra </w:t>
      </w:r>
      <w:r w:rsidRPr="00402239">
        <w:rPr>
          <w:lang w:eastAsia="lv-LV"/>
        </w:rPr>
        <w:t xml:space="preserve">apgrozījuma kritums ir </w:t>
      </w:r>
      <w:r w:rsidRPr="00402239">
        <w:t xml:space="preserve">jānosaka atbilstoši Gada pārskatu un konsolidēto gada pārskatu </w:t>
      </w:r>
      <w:r w:rsidRPr="00E37E28">
        <w:t>likumā (turpmāk – Gada pārskatu likums)</w:t>
      </w:r>
      <w:r w:rsidRPr="00402239">
        <w:t xml:space="preserve"> ietvertajiem nosacījumiem, nevis kā pievienotās vērtības nodokļa deklarācijā norādītā taksācijas perioda kopējo darījumu vērtība bez pievienotās vērtības nodokļa</w:t>
      </w:r>
      <w:r>
        <w:rPr>
          <w:lang w:eastAsia="lv-LV"/>
        </w:rPr>
        <w:t>. Tāpēc</w:t>
      </w:r>
      <w:r w:rsidRPr="00402239">
        <w:rPr>
          <w:lang w:eastAsia="lv-LV"/>
        </w:rPr>
        <w:t xml:space="preserve"> pieteicēja vērsās administratīvajā tiesā</w:t>
      </w:r>
      <w:r>
        <w:rPr>
          <w:lang w:eastAsia="lv-LV"/>
        </w:rPr>
        <w:t>.</w:t>
      </w:r>
    </w:p>
    <w:p w14:paraId="6E7C0D49" w14:textId="77777777" w:rsidR="00744CE3" w:rsidRPr="00402239" w:rsidRDefault="00744CE3" w:rsidP="00971C9A">
      <w:pPr>
        <w:spacing w:line="276" w:lineRule="auto"/>
        <w:ind w:firstLine="720"/>
        <w:jc w:val="both"/>
        <w:rPr>
          <w:lang w:eastAsia="lv-LV"/>
        </w:rPr>
      </w:pPr>
    </w:p>
    <w:p w14:paraId="2816AB4C" w14:textId="77777777" w:rsidR="00744CE3" w:rsidRDefault="00744CE3" w:rsidP="00971C9A">
      <w:pPr>
        <w:spacing w:line="276" w:lineRule="auto"/>
        <w:ind w:firstLine="720"/>
        <w:jc w:val="both"/>
        <w:rPr>
          <w:lang w:eastAsia="lv-LV"/>
        </w:rPr>
      </w:pPr>
      <w:r w:rsidRPr="00402239">
        <w:rPr>
          <w:lang w:eastAsia="lv-LV"/>
        </w:rPr>
        <w:t xml:space="preserve">[3] Administratīvā apgabaltiesa pieteikumu </w:t>
      </w:r>
      <w:r>
        <w:rPr>
          <w:lang w:eastAsia="lv-LV"/>
        </w:rPr>
        <w:t xml:space="preserve">noraidīja. </w:t>
      </w:r>
      <w:r w:rsidRPr="00402239">
        <w:rPr>
          <w:lang w:eastAsia="lv-LV"/>
        </w:rPr>
        <w:t>Spriedums</w:t>
      </w:r>
      <w:r>
        <w:rPr>
          <w:lang w:eastAsia="lv-LV"/>
        </w:rPr>
        <w:t>, pievienojoties arī rajona tiesas motivācijai,</w:t>
      </w:r>
      <w:r w:rsidRPr="00402239">
        <w:rPr>
          <w:lang w:eastAsia="lv-LV"/>
        </w:rPr>
        <w:t xml:space="preserve"> pamatots ar turpmāk minētajiem apsvērumiem.</w:t>
      </w:r>
    </w:p>
    <w:p w14:paraId="08B64D2B" w14:textId="77777777" w:rsidR="00744CE3" w:rsidRDefault="00744CE3" w:rsidP="00971C9A">
      <w:pPr>
        <w:spacing w:line="276" w:lineRule="auto"/>
        <w:ind w:firstLine="720"/>
        <w:jc w:val="both"/>
        <w:rPr>
          <w:lang w:eastAsia="lv-LV"/>
        </w:rPr>
      </w:pPr>
      <w:r w:rsidRPr="000612C8">
        <w:rPr>
          <w:lang w:eastAsia="lv-LV"/>
        </w:rPr>
        <w:t>[3.1]</w:t>
      </w:r>
      <w:r>
        <w:rPr>
          <w:lang w:eastAsia="lv-LV"/>
        </w:rPr>
        <w:t xml:space="preserve"> </w:t>
      </w:r>
      <w:r w:rsidRPr="00E77E51">
        <w:rPr>
          <w:lang w:eastAsia="lv-LV"/>
        </w:rPr>
        <w:t>Administratīvā lieta ir ierosināta un pirmās instances tiesā izskatīta par labvēlīga administratīvā akta izdošanu, ar kuru pieteicējai tiktu piešķirts atbalsts apgrozāmo līdzekļu plūsmas nodrošināšanai par 2021.gada janvāri.</w:t>
      </w:r>
    </w:p>
    <w:p w14:paraId="54BB13D5" w14:textId="77777777" w:rsidR="00744CE3" w:rsidRDefault="00744CE3" w:rsidP="00971C9A">
      <w:pPr>
        <w:spacing w:line="276" w:lineRule="auto"/>
        <w:ind w:firstLine="720"/>
        <w:jc w:val="both"/>
        <w:rPr>
          <w:lang w:eastAsia="lv-LV"/>
        </w:rPr>
      </w:pPr>
      <w:r w:rsidRPr="00E77E51">
        <w:rPr>
          <w:lang w:eastAsia="lv-LV"/>
        </w:rPr>
        <w:lastRenderedPageBreak/>
        <w:t xml:space="preserve">Taču </w:t>
      </w:r>
      <w:r>
        <w:rPr>
          <w:lang w:eastAsia="lv-LV"/>
        </w:rPr>
        <w:t xml:space="preserve">Atbalsta noteikumu </w:t>
      </w:r>
      <w:r w:rsidRPr="00E77E51">
        <w:rPr>
          <w:lang w:eastAsia="lv-LV"/>
        </w:rPr>
        <w:t>24.punkts (spēkā esošajā redakcijā) noteic, ka lēmumu par atbalsta piešķiršanu pieņem līdz 2022.gada 30.jūnijam saskaņā ar Eiropas Komisijas 2020.gada 19.marta paziņojumu „Pagaidu regulējums valsts atbalsta pasākumiem, ar ko atbalsta ekonomiku pašreizējā Covid19 uzliesmojuma situācijā” (C(2020)1863</w:t>
      </w:r>
      <w:r w:rsidRPr="00426755">
        <w:rPr>
          <w:lang w:eastAsia="lv-LV"/>
        </w:rPr>
        <w:t>) (turpmāk – Pagaidu regulējums).</w:t>
      </w:r>
    </w:p>
    <w:p w14:paraId="27F4A879" w14:textId="77777777" w:rsidR="00744CE3" w:rsidRDefault="00744CE3" w:rsidP="00971C9A">
      <w:pPr>
        <w:spacing w:line="276" w:lineRule="auto"/>
        <w:ind w:firstLine="720"/>
        <w:jc w:val="both"/>
        <w:rPr>
          <w:lang w:eastAsia="lv-LV"/>
        </w:rPr>
      </w:pPr>
      <w:r w:rsidRPr="00E77E51">
        <w:rPr>
          <w:lang w:eastAsia="lv-LV"/>
        </w:rPr>
        <w:t xml:space="preserve">Ņemot vērā </w:t>
      </w:r>
      <w:r>
        <w:rPr>
          <w:lang w:eastAsia="lv-LV"/>
        </w:rPr>
        <w:t xml:space="preserve">Atbalsta </w:t>
      </w:r>
      <w:r w:rsidRPr="00E77E51">
        <w:rPr>
          <w:lang w:eastAsia="lv-LV"/>
        </w:rPr>
        <w:t xml:space="preserve">noteikumu 24.punktā noteikto termiņu atbalsta piešķiršanai, kas ir beidzies, izskatāmajā lietā tiesa vairs nevar lemt par labvēlīga administratīvā akta izdošanu. Tiesa var izvērtēt tikai </w:t>
      </w:r>
      <w:r>
        <w:rPr>
          <w:lang w:eastAsia="lv-LV"/>
        </w:rPr>
        <w:t>l</w:t>
      </w:r>
      <w:r w:rsidRPr="00E77E51">
        <w:rPr>
          <w:lang w:eastAsia="lv-LV"/>
        </w:rPr>
        <w:t>ēmuma tiesiskumu.</w:t>
      </w:r>
    </w:p>
    <w:p w14:paraId="6FEFF87B" w14:textId="77777777" w:rsidR="00744CE3" w:rsidRDefault="00744CE3" w:rsidP="00971C9A">
      <w:pPr>
        <w:spacing w:line="276" w:lineRule="auto"/>
        <w:ind w:firstLine="720"/>
        <w:jc w:val="both"/>
        <w:rPr>
          <w:lang w:eastAsia="lv-LV"/>
        </w:rPr>
      </w:pPr>
      <w:r>
        <w:rPr>
          <w:lang w:eastAsia="lv-LV"/>
        </w:rPr>
        <w:t xml:space="preserve">[3.2] </w:t>
      </w:r>
      <w:r w:rsidRPr="00E77E51">
        <w:rPr>
          <w:lang w:eastAsia="lv-LV"/>
        </w:rPr>
        <w:t xml:space="preserve">Saskaņā ar </w:t>
      </w:r>
      <w:r>
        <w:rPr>
          <w:lang w:eastAsia="lv-LV"/>
        </w:rPr>
        <w:t xml:space="preserve">Atbalsta </w:t>
      </w:r>
      <w:r w:rsidRPr="00E77E51">
        <w:rPr>
          <w:lang w:eastAsia="lv-LV"/>
        </w:rPr>
        <w:t>noteikumu 4.2.</w:t>
      </w:r>
      <w:r>
        <w:rPr>
          <w:lang w:eastAsia="lv-LV"/>
        </w:rPr>
        <w:t>1.</w:t>
      </w:r>
      <w:r w:rsidRPr="00E77E51">
        <w:rPr>
          <w:lang w:eastAsia="lv-LV"/>
        </w:rPr>
        <w:t xml:space="preserve">apakšpunktu (redakcijā, kas bija spēkā no 2021.gada 4.marta līdz 2021.gada 17.decembrim) atbalstu apgrozāmo līdzekļu plūsmas krituma kompensēšanai var saņemt uzņēmums, kas reģistrēts dienestā kā nodokļu maksātājs un </w:t>
      </w:r>
      <w:r>
        <w:rPr>
          <w:lang w:eastAsia="lv-LV"/>
        </w:rPr>
        <w:t xml:space="preserve">kuram </w:t>
      </w:r>
      <w:r w:rsidRPr="00E77E51">
        <w:rPr>
          <w:lang w:eastAsia="lv-LV"/>
        </w:rPr>
        <w:t>atbalsta perioda mēnesī apgrozījums ir krities vismaz par 20</w:t>
      </w:r>
      <w:r>
        <w:rPr>
          <w:lang w:eastAsia="lv-LV"/>
        </w:rPr>
        <w:t> </w:t>
      </w:r>
      <w:r w:rsidRPr="00E77E51">
        <w:rPr>
          <w:lang w:eastAsia="lv-LV"/>
        </w:rPr>
        <w:t>procentiem, salīdzinot ar vidējo apgrozījumu 2020.gada augustā, septembrī un oktobrī kopā, un atbalsta perioda mēnesī apgrozījums krities vismaz par 30 procentiem, salīdzinot ar apgrozījumu 2019. vai 2020.gada atbilstošajā mēnesī</w:t>
      </w:r>
      <w:r>
        <w:rPr>
          <w:lang w:eastAsia="lv-LV"/>
        </w:rPr>
        <w:t>.</w:t>
      </w:r>
    </w:p>
    <w:p w14:paraId="641C6E4F" w14:textId="77777777" w:rsidR="00744CE3" w:rsidRDefault="00744CE3" w:rsidP="00971C9A">
      <w:pPr>
        <w:spacing w:line="276" w:lineRule="auto"/>
        <w:ind w:firstLine="720"/>
        <w:jc w:val="both"/>
        <w:rPr>
          <w:lang w:eastAsia="lv-LV"/>
        </w:rPr>
      </w:pPr>
      <w:r w:rsidRPr="0005416A">
        <w:rPr>
          <w:lang w:eastAsia="lv-LV"/>
        </w:rPr>
        <w:t xml:space="preserve">Dienests, vērtējot pieteicējas apgrozījumu, ņēmis vērā pieteicējas pievienotās vērtības nodokļa deklarācijās 40.rindā norādītās kopējās darījumu vērtības. Savukārt pieteicēja uzskata, ka dienests nepamatoti, vērtējot uzņēmuma apgrozījumu, ņēmis vērā pievienotās vērtības nodokļa deklarācijas 40.rindā norādīto kopējo darījumu vērtību, jo tajā iekļauti ne tikai dati par mēneša apgrozījumu no pamatdarbības, bet arī dati par pamatlīdzekļu realizāciju atgriezeniskā līzinga līgumu noslēgšanai un saņemtie/dzēstie avansa maksājumi. </w:t>
      </w:r>
      <w:r>
        <w:rPr>
          <w:lang w:eastAsia="lv-LV"/>
        </w:rPr>
        <w:t>A</w:t>
      </w:r>
      <w:r w:rsidRPr="0005416A">
        <w:rPr>
          <w:lang w:eastAsia="lv-LV"/>
        </w:rPr>
        <w:t>tbilstoši grāmatvedības politikā noteiktajiem uzskaites un</w:t>
      </w:r>
      <w:r w:rsidRPr="00E77E51">
        <w:rPr>
          <w:lang w:eastAsia="lv-LV"/>
        </w:rPr>
        <w:t xml:space="preserve"> ieņēmumu atzīšanas principiem pamatlīdzekļa realizācijas darījumi atgriezeniskā līzinga līguma noslēgšanai neveido uzņēmuma neto apgrozījumu un nav uzskatāmi par saimnieciskās darbības ieņēmumiem.</w:t>
      </w:r>
    </w:p>
    <w:p w14:paraId="31C0AEA2" w14:textId="77777777" w:rsidR="00744CE3" w:rsidRDefault="00744CE3" w:rsidP="00971C9A">
      <w:pPr>
        <w:spacing w:line="276" w:lineRule="auto"/>
        <w:ind w:firstLine="720"/>
        <w:jc w:val="both"/>
        <w:rPr>
          <w:lang w:eastAsia="lv-LV"/>
        </w:rPr>
      </w:pPr>
      <w:r w:rsidRPr="00E77E51">
        <w:rPr>
          <w:lang w:eastAsia="lv-LV"/>
        </w:rPr>
        <w:t xml:space="preserve">Tātad strīds ir par </w:t>
      </w:r>
      <w:r>
        <w:rPr>
          <w:lang w:eastAsia="lv-LV"/>
        </w:rPr>
        <w:t xml:space="preserve">Atbalsta </w:t>
      </w:r>
      <w:r w:rsidRPr="00E77E51">
        <w:rPr>
          <w:lang w:eastAsia="lv-LV"/>
        </w:rPr>
        <w:t>noteikum</w:t>
      </w:r>
      <w:r>
        <w:rPr>
          <w:lang w:eastAsia="lv-LV"/>
        </w:rPr>
        <w:t xml:space="preserve">os </w:t>
      </w:r>
      <w:r w:rsidRPr="00E77E51">
        <w:rPr>
          <w:lang w:eastAsia="lv-LV"/>
        </w:rPr>
        <w:t>ietvertā jēdziena „uzņēmuma apgrozījums” interpretāciju.</w:t>
      </w:r>
    </w:p>
    <w:p w14:paraId="47F83FD6" w14:textId="77777777" w:rsidR="00744CE3" w:rsidRDefault="00744CE3" w:rsidP="00971C9A">
      <w:pPr>
        <w:spacing w:line="276" w:lineRule="auto"/>
        <w:ind w:firstLine="720"/>
        <w:jc w:val="both"/>
        <w:rPr>
          <w:lang w:eastAsia="lv-LV"/>
        </w:rPr>
      </w:pPr>
      <w:r w:rsidRPr="009C620D">
        <w:rPr>
          <w:lang w:eastAsia="lv-LV"/>
        </w:rPr>
        <w:t>[3.3] Pieteicēja</w:t>
      </w:r>
      <w:r w:rsidRPr="00E77E51">
        <w:rPr>
          <w:lang w:eastAsia="lv-LV"/>
        </w:rPr>
        <w:t xml:space="preserve"> vērsās dienestā ar 2021.gada 15.marta iesniegumu, lūdzot piešķirt atbalstu par 2021.gada janvāri</w:t>
      </w:r>
      <w:r>
        <w:rPr>
          <w:lang w:eastAsia="lv-LV"/>
        </w:rPr>
        <w:t xml:space="preserve">, </w:t>
      </w:r>
      <w:r w:rsidRPr="008E7469">
        <w:rPr>
          <w:lang w:eastAsia="lv-LV"/>
        </w:rPr>
        <w:t xml:space="preserve">pamatojot to ar </w:t>
      </w:r>
      <w:r>
        <w:rPr>
          <w:lang w:eastAsia="lv-LV"/>
        </w:rPr>
        <w:t>A</w:t>
      </w:r>
      <w:r w:rsidRPr="008E7469">
        <w:rPr>
          <w:lang w:eastAsia="lv-LV"/>
        </w:rPr>
        <w:t>tbalsta noteikumu 4.2.1.apakšpunktu</w:t>
      </w:r>
      <w:r w:rsidRPr="00E77E51">
        <w:rPr>
          <w:lang w:eastAsia="lv-LV"/>
        </w:rPr>
        <w:t>. Tas nozīmē, ka pieteicējas tiesības saņemt valsts atbalstu, ko piešķir Covid-19 krīzes skartam uzņēmumam apgrozāmo līdzekļu plūsmas krituma kompensēšanai, lai pārvarētu Covid</w:t>
      </w:r>
      <w:r>
        <w:rPr>
          <w:lang w:eastAsia="lv-LV"/>
        </w:rPr>
        <w:noBreakHyphen/>
      </w:r>
      <w:r w:rsidRPr="00E77E51">
        <w:rPr>
          <w:lang w:eastAsia="lv-LV"/>
        </w:rPr>
        <w:t>19 infekcijas otro izplatīšanās vilni, un kas savā būtībā pielīdzināmas sociālajām tiesībām, kad privātpersona pretendē uz zināmā labuma saņemšanu no valsts, tiesiskās situācijas maiņa (tiesību normas grozīšana vai izslēgšana) neietekmē tiesības, kuras personai bija brīdī, kad</w:t>
      </w:r>
      <w:r>
        <w:rPr>
          <w:lang w:eastAsia="lv-LV"/>
        </w:rPr>
        <w:t xml:space="preserve"> tā </w:t>
      </w:r>
      <w:r w:rsidRPr="00E77E51">
        <w:rPr>
          <w:lang w:eastAsia="lv-LV"/>
        </w:rPr>
        <w:t>ar iesniegumu par</w:t>
      </w:r>
      <w:r>
        <w:rPr>
          <w:lang w:eastAsia="lv-LV"/>
        </w:rPr>
        <w:t xml:space="preserve"> </w:t>
      </w:r>
      <w:r w:rsidRPr="00E77E51">
        <w:rPr>
          <w:lang w:eastAsia="lv-LV"/>
        </w:rPr>
        <w:t xml:space="preserve">šā labuma saņemšanu vērsās iestādē. </w:t>
      </w:r>
      <w:r>
        <w:rPr>
          <w:lang w:eastAsia="lv-LV"/>
        </w:rPr>
        <w:t xml:space="preserve">Tāpēc </w:t>
      </w:r>
      <w:r w:rsidRPr="00E77E51">
        <w:rPr>
          <w:lang w:eastAsia="lv-LV"/>
        </w:rPr>
        <w:t>pieteicējas tiesības uz atbalsta saņemšanu ir apspriežamas pēc tām tiesību normām, kas bija spēkā laikā, kad pieteicēja vērsusies dienestā ar attiecīgo lūgumu.</w:t>
      </w:r>
    </w:p>
    <w:p w14:paraId="19B5DD6B" w14:textId="77777777" w:rsidR="00744CE3" w:rsidRPr="00066EBB" w:rsidRDefault="00744CE3" w:rsidP="00971C9A">
      <w:pPr>
        <w:spacing w:line="276" w:lineRule="auto"/>
        <w:ind w:firstLine="720"/>
        <w:jc w:val="both"/>
        <w:rPr>
          <w:lang w:eastAsia="lv-LV"/>
        </w:rPr>
      </w:pPr>
      <w:r>
        <w:rPr>
          <w:lang w:eastAsia="lv-LV"/>
        </w:rPr>
        <w:t xml:space="preserve">[3.4] </w:t>
      </w:r>
      <w:r w:rsidRPr="00E77E51">
        <w:rPr>
          <w:lang w:eastAsia="lv-LV"/>
        </w:rPr>
        <w:t>No likuma „Par nodokļiem un nodevām” 32.</w:t>
      </w:r>
      <w:r w:rsidRPr="00254697">
        <w:rPr>
          <w:vertAlign w:val="superscript"/>
          <w:lang w:eastAsia="lv-LV"/>
        </w:rPr>
        <w:t>5</w:t>
      </w:r>
      <w:r w:rsidRPr="00E77E51">
        <w:rPr>
          <w:lang w:eastAsia="lv-LV"/>
        </w:rPr>
        <w:t>panta pirmās un otrās daļas, likuma „Par grāmatvedību”</w:t>
      </w:r>
      <w:r>
        <w:rPr>
          <w:lang w:eastAsia="lv-LV"/>
        </w:rPr>
        <w:t xml:space="preserve"> </w:t>
      </w:r>
      <w:r w:rsidRPr="00E77E51">
        <w:rPr>
          <w:lang w:eastAsia="lv-LV"/>
        </w:rPr>
        <w:t xml:space="preserve">13.panta piektās un sestās daļas (likums bija spēkā līdz </w:t>
      </w:r>
      <w:r w:rsidRPr="00066EBB">
        <w:rPr>
          <w:lang w:eastAsia="lv-LV"/>
        </w:rPr>
        <w:t>2021.gada 31.decembrim) un Gada pārskatu likuma 3.panta pirmās un trešās daļas ir secināms, ka nodokļu un grāmatvedības jomā ar jēdzienu „apgrozījums” saprot ieņēmumus. Tātad ne tikai pieteicējas minētos ieņēmumus no tās pamatdarbības – ceļu un maģistrāļu būvniecības</w:t>
      </w:r>
      <w:r>
        <w:rPr>
          <w:lang w:eastAsia="lv-LV"/>
        </w:rPr>
        <w:t xml:space="preserve"> –</w:t>
      </w:r>
      <w:r w:rsidRPr="00066EBB">
        <w:rPr>
          <w:lang w:eastAsia="lv-LV"/>
        </w:rPr>
        <w:t>, bet arī dažādus citus ieņēmumus, kas nav norādīti postenī „neto apgrozījums” vai citos attiecīgajos ieņēmumu posteņos un kas radušies saimnieciskās darbības rezultātā vai izriet no tās. Līdz ar to arī ieņēmumi no pamatlīdzekļu realizācijas atgriezeniskā līzinga pretēji pieteicējas viedoklim ietilpst jēdziena „uzņēmuma apgrozījums” saturā. Šo secinājumu apstiprina arī Atbalsta noteikumu 4.</w:t>
      </w:r>
      <w:r w:rsidRPr="00066EBB">
        <w:rPr>
          <w:vertAlign w:val="superscript"/>
          <w:lang w:eastAsia="lv-LV"/>
        </w:rPr>
        <w:t>1</w:t>
      </w:r>
      <w:r w:rsidRPr="00066EBB">
        <w:rPr>
          <w:lang w:eastAsia="lv-LV"/>
        </w:rPr>
        <w:t xml:space="preserve">punkts (stājās spēkā vienlaicīgi ar strīdus atbalsta saņemšanas </w:t>
      </w:r>
      <w:r w:rsidRPr="00066EBB">
        <w:rPr>
          <w:lang w:eastAsia="lv-LV"/>
        </w:rPr>
        <w:lastRenderedPageBreak/>
        <w:t xml:space="preserve">nosacījumiem), kas noteic, ka, aprēķinot apgrozījuma kritumu, neņem vērā šajos noteikumos noteikto iepriekš saņemtā atbalsta apmēru. Proti, ja jēdziena „uzņēmuma apgrozījums” saturā ietilptu tikai ieņēmumi no uzņēmuma pamatdarbības, nebūtu saprotams, kādēļ noteikumu izdevējs ir ietvēris šādu nosacījumu. </w:t>
      </w:r>
    </w:p>
    <w:p w14:paraId="70FC2231" w14:textId="77777777" w:rsidR="00744CE3" w:rsidRPr="00066EBB" w:rsidRDefault="00744CE3" w:rsidP="00971C9A">
      <w:pPr>
        <w:spacing w:line="276" w:lineRule="auto"/>
        <w:ind w:firstLine="720"/>
        <w:jc w:val="both"/>
        <w:rPr>
          <w:lang w:eastAsia="lv-LV"/>
        </w:rPr>
      </w:pPr>
      <w:r w:rsidRPr="00066EBB">
        <w:rPr>
          <w:lang w:eastAsia="lv-LV"/>
        </w:rPr>
        <w:t>[3.5] Saskaņā ar Atbalsta noteikumu 10.punktu dienests, pamatojoties uz uzņēmuma iesniegumā norādīto informāciju, pieņem lēmumu. Tomēr tas nenozīmē, ka dienestam nav pienākuma pārbaudīt uzņēmuma sniegto informāciju, pamatojoties uz ticamiem pierādījumiem.</w:t>
      </w:r>
    </w:p>
    <w:p w14:paraId="13B8A737" w14:textId="77777777" w:rsidR="00744CE3" w:rsidRDefault="00744CE3" w:rsidP="00971C9A">
      <w:pPr>
        <w:spacing w:line="276" w:lineRule="auto"/>
        <w:ind w:firstLine="720"/>
        <w:jc w:val="both"/>
        <w:rPr>
          <w:lang w:eastAsia="lv-LV"/>
        </w:rPr>
      </w:pPr>
      <w:r w:rsidRPr="00066EBB">
        <w:rPr>
          <w:lang w:eastAsia="lv-LV"/>
        </w:rPr>
        <w:t>Konkrētajā gadījumā pieteicēja ir pievienotās vērtības nodokļa maksātāja, kuras pienākums saskaņā ar Pievienotās vērtības nodokļa likuma 117.panta pirm</w:t>
      </w:r>
      <w:r w:rsidRPr="00E77E51">
        <w:rPr>
          <w:lang w:eastAsia="lv-LV"/>
        </w:rPr>
        <w:t xml:space="preserve">o daļu ir </w:t>
      </w:r>
      <w:r>
        <w:rPr>
          <w:lang w:eastAsia="lv-LV"/>
        </w:rPr>
        <w:t>pievienotās vērtības nodokļa</w:t>
      </w:r>
      <w:r w:rsidRPr="00E77E51">
        <w:rPr>
          <w:lang w:eastAsia="lv-LV"/>
        </w:rPr>
        <w:t xml:space="preserve"> deklarācijas iesniegšana dienestā, lai tas savukārt varētu veikt pieteicējas saimnieciskās darbības pārbaudi. Tādējādi tieši </w:t>
      </w:r>
      <w:r>
        <w:rPr>
          <w:lang w:eastAsia="lv-LV"/>
        </w:rPr>
        <w:t>pievienotās vērtības nodokļa</w:t>
      </w:r>
      <w:r w:rsidRPr="00E77E51">
        <w:rPr>
          <w:lang w:eastAsia="lv-LV"/>
        </w:rPr>
        <w:t xml:space="preserve"> deklarācija</w:t>
      </w:r>
      <w:r>
        <w:rPr>
          <w:lang w:eastAsia="lv-LV"/>
        </w:rPr>
        <w:t xml:space="preserve"> </w:t>
      </w:r>
      <w:r w:rsidRPr="00E77E51">
        <w:rPr>
          <w:lang w:eastAsia="lv-LV"/>
        </w:rPr>
        <w:t>ir pierādījums, kuru dienests pamatoti izmantojis, vērtējot pieteicējas atbilstību konkrētā atbalsta saņemšanas nosacījumiem.</w:t>
      </w:r>
    </w:p>
    <w:p w14:paraId="2DF3B4BC" w14:textId="77777777" w:rsidR="00744CE3" w:rsidRDefault="00744CE3" w:rsidP="00971C9A">
      <w:pPr>
        <w:spacing w:line="276" w:lineRule="auto"/>
        <w:ind w:firstLine="720"/>
        <w:jc w:val="both"/>
        <w:rPr>
          <w:lang w:eastAsia="lv-LV"/>
        </w:rPr>
      </w:pPr>
      <w:r w:rsidRPr="00E77E51">
        <w:rPr>
          <w:lang w:eastAsia="lv-LV"/>
        </w:rPr>
        <w:t xml:space="preserve">Turklāt tiešā tekstā šo secinājumu apstiprinājis arī Ministru kabinets. Proti, </w:t>
      </w:r>
      <w:r w:rsidRPr="00E6478E">
        <w:rPr>
          <w:lang w:eastAsia="lv-LV"/>
        </w:rPr>
        <w:t>Ministru kabineta 2021.gada 27.maija noteikumu Nr.</w:t>
      </w:r>
      <w:r>
        <w:rPr>
          <w:lang w:eastAsia="lv-LV"/>
        </w:rPr>
        <w:t> </w:t>
      </w:r>
      <w:r w:rsidRPr="00E6478E">
        <w:rPr>
          <w:lang w:eastAsia="lv-LV"/>
        </w:rPr>
        <w:t>334 „Grozījumi Ministru kabineta 2020.gada 10.novembra noteikumos Nr.</w:t>
      </w:r>
      <w:r>
        <w:rPr>
          <w:lang w:eastAsia="lv-LV"/>
        </w:rPr>
        <w:t> </w:t>
      </w:r>
      <w:r w:rsidRPr="00E6478E">
        <w:rPr>
          <w:lang w:eastAsia="lv-LV"/>
        </w:rPr>
        <w:t xml:space="preserve">676 „Noteikumi par atbalstu Covid-19 krīzes skartajiem uzņēmumiem apgrozāmo līdzekļu plūsmas nodrošināšanai”” </w:t>
      </w:r>
      <w:r w:rsidRPr="00423EFD">
        <w:rPr>
          <w:lang w:eastAsia="lv-LV"/>
        </w:rPr>
        <w:t>(turpmāk – Atbalsta noteikumu 2021.gada 27.maija grozījumi)</w:t>
      </w:r>
      <w:r>
        <w:rPr>
          <w:lang w:eastAsia="lv-LV"/>
        </w:rPr>
        <w:t xml:space="preserve"> </w:t>
      </w:r>
      <w:r w:rsidRPr="00E77E51">
        <w:rPr>
          <w:lang w:eastAsia="lv-LV"/>
        </w:rPr>
        <w:t xml:space="preserve">anotācijā norādīts, ka grozījumos ir iekļautas tiesiskās skaidrības normas un tehniski precizējumi. Proti, esošā situācija liecina, ka praksē, ņemot vērā uzņēmuma individuālo grāmatvedības politiku un no tās izrietošo darījumu noformēšanu, var atšķirties konkrētā perioda uzņēmuma apgrozījuma krituma rezultāts, tādējādi ietekmējot granta atbalsta saņemšanu. Minēto situāciju ietekmē avansa rēķina formas izvēle darījuma noformēšanai un iegrāmatošanai, kā arī ieņēmumu deklarēšanas brīža izvēle. Lai risinātu minēto situāciju, noteikumu projekts precizē, ka apgrozījumu un tā kritumu nosaka, vērtējot </w:t>
      </w:r>
      <w:r>
        <w:rPr>
          <w:lang w:eastAsia="lv-LV"/>
        </w:rPr>
        <w:t>pievienotās vērtības nodokļa</w:t>
      </w:r>
      <w:r w:rsidRPr="00E77E51">
        <w:rPr>
          <w:lang w:eastAsia="lv-LV"/>
        </w:rPr>
        <w:t xml:space="preserve"> deklarācijas datus. </w:t>
      </w:r>
    </w:p>
    <w:p w14:paraId="79695C45" w14:textId="77777777" w:rsidR="00744CE3" w:rsidRDefault="00744CE3" w:rsidP="00971C9A">
      <w:pPr>
        <w:spacing w:line="276" w:lineRule="auto"/>
        <w:ind w:firstLine="720"/>
        <w:jc w:val="both"/>
        <w:rPr>
          <w:lang w:eastAsia="lv-LV"/>
        </w:rPr>
      </w:pPr>
      <w:r>
        <w:rPr>
          <w:lang w:eastAsia="lv-LV"/>
        </w:rPr>
        <w:t>A</w:t>
      </w:r>
      <w:r w:rsidRPr="00E77E51">
        <w:rPr>
          <w:lang w:eastAsia="lv-LV"/>
        </w:rPr>
        <w:t xml:space="preserve">r 2021.gada 8.jūniju tiesiskās skaidrības precizējumi iekļauti </w:t>
      </w:r>
      <w:r>
        <w:rPr>
          <w:lang w:eastAsia="lv-LV"/>
        </w:rPr>
        <w:t xml:space="preserve">Atbalsta </w:t>
      </w:r>
      <w:r w:rsidRPr="00E77E51">
        <w:rPr>
          <w:lang w:eastAsia="lv-LV"/>
        </w:rPr>
        <w:t>noteikumu 4.</w:t>
      </w:r>
      <w:r w:rsidRPr="00554490">
        <w:rPr>
          <w:vertAlign w:val="superscript"/>
          <w:lang w:eastAsia="lv-LV"/>
        </w:rPr>
        <w:t>3</w:t>
      </w:r>
      <w:r w:rsidRPr="00E77E51">
        <w:rPr>
          <w:lang w:eastAsia="lv-LV"/>
        </w:rPr>
        <w:t xml:space="preserve">punktā, kas paredz, ka, nosakot apgrozījuma kritumu, dienests ņem vērā </w:t>
      </w:r>
      <w:r>
        <w:rPr>
          <w:lang w:eastAsia="lv-LV"/>
        </w:rPr>
        <w:t>pievienotās vērtības nodokļa</w:t>
      </w:r>
      <w:r w:rsidRPr="00E77E51">
        <w:rPr>
          <w:lang w:eastAsia="lv-LV"/>
        </w:rPr>
        <w:t xml:space="preserve"> deklarācijā norādīto taksācijas perioda kopējo darījumu vērtību bez</w:t>
      </w:r>
      <w:r>
        <w:rPr>
          <w:lang w:eastAsia="lv-LV"/>
        </w:rPr>
        <w:t xml:space="preserve"> pievienotās vērtības nodokļa</w:t>
      </w:r>
      <w:r w:rsidRPr="00E77E51">
        <w:rPr>
          <w:lang w:eastAsia="lv-LV"/>
        </w:rPr>
        <w:t xml:space="preserve">. Izvērtējot attiecīgās anotācijas tekstu, </w:t>
      </w:r>
      <w:r>
        <w:rPr>
          <w:lang w:eastAsia="lv-LV"/>
        </w:rPr>
        <w:t>jāsecina</w:t>
      </w:r>
      <w:r w:rsidRPr="00E77E51">
        <w:rPr>
          <w:lang w:eastAsia="lv-LV"/>
        </w:rPr>
        <w:t xml:space="preserve">, ka </w:t>
      </w:r>
      <w:r>
        <w:rPr>
          <w:lang w:eastAsia="lv-LV"/>
        </w:rPr>
        <w:t xml:space="preserve">Atbalsta </w:t>
      </w:r>
      <w:r w:rsidRPr="00E77E51">
        <w:rPr>
          <w:lang w:eastAsia="lv-LV"/>
        </w:rPr>
        <w:t>noteikumu papildināšanas ar 4.</w:t>
      </w:r>
      <w:r w:rsidRPr="00A31575">
        <w:rPr>
          <w:vertAlign w:val="superscript"/>
          <w:lang w:eastAsia="lv-LV"/>
        </w:rPr>
        <w:t>3</w:t>
      </w:r>
      <w:r w:rsidRPr="00E77E51">
        <w:rPr>
          <w:lang w:eastAsia="lv-LV"/>
        </w:rPr>
        <w:t>punktu mērķis ir bijis precizēt noteikumu normu piemērošanu, aprēķinot uzņēm</w:t>
      </w:r>
      <w:r>
        <w:rPr>
          <w:lang w:eastAsia="lv-LV"/>
        </w:rPr>
        <w:t>umu</w:t>
      </w:r>
      <w:r w:rsidRPr="00E77E51">
        <w:rPr>
          <w:lang w:eastAsia="lv-LV"/>
        </w:rPr>
        <w:t xml:space="preserve"> apgrozījuma kritumu, nevis grozīt regulējumu pēc būtības.</w:t>
      </w:r>
      <w:r>
        <w:rPr>
          <w:lang w:eastAsia="lv-LV"/>
        </w:rPr>
        <w:t xml:space="preserve"> </w:t>
      </w:r>
      <w:r w:rsidRPr="00E77E51">
        <w:rPr>
          <w:lang w:eastAsia="lv-LV"/>
        </w:rPr>
        <w:t xml:space="preserve">Līdz ar to, ievērojot, ka pieteicēja 2021.gada janvārī ir bijusi reģistrēta kā </w:t>
      </w:r>
      <w:r>
        <w:rPr>
          <w:lang w:eastAsia="lv-LV"/>
        </w:rPr>
        <w:t xml:space="preserve">pievienotās vērtības nodokļa </w:t>
      </w:r>
      <w:r w:rsidRPr="00E77E51">
        <w:rPr>
          <w:lang w:eastAsia="lv-LV"/>
        </w:rPr>
        <w:t xml:space="preserve">maksātāja, pieteicējas apgrozījumu un tā kritumu nosaka, vērtējot </w:t>
      </w:r>
      <w:r>
        <w:rPr>
          <w:lang w:eastAsia="lv-LV"/>
        </w:rPr>
        <w:t>pievienotās vērtības nodokļa</w:t>
      </w:r>
      <w:r w:rsidRPr="00E77E51">
        <w:rPr>
          <w:lang w:eastAsia="lv-LV"/>
        </w:rPr>
        <w:t xml:space="preserve"> deklarāciju datus.</w:t>
      </w:r>
    </w:p>
    <w:p w14:paraId="5A05CA50" w14:textId="77777777" w:rsidR="00744CE3" w:rsidRDefault="00744CE3" w:rsidP="00971C9A">
      <w:pPr>
        <w:spacing w:line="276" w:lineRule="auto"/>
        <w:ind w:firstLine="720"/>
        <w:jc w:val="both"/>
        <w:rPr>
          <w:lang w:eastAsia="lv-LV"/>
        </w:rPr>
      </w:pPr>
      <w:r>
        <w:rPr>
          <w:lang w:eastAsia="lv-LV"/>
        </w:rPr>
        <w:t>[3.6] Atbalsta n</w:t>
      </w:r>
      <w:r w:rsidRPr="00E77E51">
        <w:rPr>
          <w:lang w:eastAsia="lv-LV"/>
        </w:rPr>
        <w:t>oteikumu 4.</w:t>
      </w:r>
      <w:r w:rsidRPr="001E7C48">
        <w:rPr>
          <w:vertAlign w:val="superscript"/>
          <w:lang w:eastAsia="lv-LV"/>
        </w:rPr>
        <w:t>1</w:t>
      </w:r>
      <w:r w:rsidRPr="00E77E51">
        <w:rPr>
          <w:lang w:eastAsia="lv-LV"/>
        </w:rPr>
        <w:t>punkts (</w:t>
      </w:r>
      <w:r>
        <w:rPr>
          <w:lang w:eastAsia="lv-LV"/>
        </w:rPr>
        <w:t xml:space="preserve">iekļauts </w:t>
      </w:r>
      <w:r w:rsidRPr="00E77E51">
        <w:rPr>
          <w:lang w:eastAsia="lv-LV"/>
        </w:rPr>
        <w:t xml:space="preserve">ar 2021.gada 18.februāra </w:t>
      </w:r>
      <w:r w:rsidRPr="00066EBB">
        <w:rPr>
          <w:lang w:eastAsia="lv-LV"/>
        </w:rPr>
        <w:t>grozījumiem) noteic, ka, aprēķinot apgrozījuma kritumu, neņem vērā šajos noteikumos noteikto iepriekš saņemtā atbalsta apmēru. Pieteicējas ieskatā pēc analoģijas šis princips būtu attiecināms arī uz pieteicējas ieņēmumiem no pamatlīdzekļu realizācijas atgriezeniskā līzinga ietvaros, jo arī šī darījuma mērķis bija palielināt apgrozāmo līdzekļu plūsmu, nevis uzņēmuma kopējos ienākumus no saimnieciskās darbības. Tomēr, ievērojot, ka minētajā tiesību normā ir ietverts to pozīciju, kas neietekmē uzņēmuma apgrozījuma krituma aprēķinu, uzskaitījums, likumsakarīgi secināms, ka visas pār</w:t>
      </w:r>
      <w:r>
        <w:rPr>
          <w:lang w:eastAsia="lv-LV"/>
        </w:rPr>
        <w:t>ē</w:t>
      </w:r>
      <w:r w:rsidRPr="00066EBB">
        <w:rPr>
          <w:lang w:eastAsia="lv-LV"/>
        </w:rPr>
        <w:t>jās ieņēmumu pozīcijas, tostarp arī atgriezeniskā līzinga darījums, šādā aprēķinā ir iekļaujamas. Ne dienestam, ne arī tiesai nav pamata paplašināt 4.</w:t>
      </w:r>
      <w:r w:rsidRPr="00066EBB">
        <w:rPr>
          <w:vertAlign w:val="superscript"/>
          <w:lang w:eastAsia="lv-LV"/>
        </w:rPr>
        <w:t>1</w:t>
      </w:r>
      <w:r w:rsidRPr="00066EBB">
        <w:rPr>
          <w:lang w:eastAsia="lv-LV"/>
        </w:rPr>
        <w:t>punktā ietverto uzskaitījumu.</w:t>
      </w:r>
    </w:p>
    <w:p w14:paraId="2B2F33A8" w14:textId="77777777" w:rsidR="00744CE3" w:rsidRDefault="00744CE3" w:rsidP="00971C9A">
      <w:pPr>
        <w:spacing w:line="276" w:lineRule="auto"/>
        <w:ind w:firstLine="720"/>
        <w:jc w:val="both"/>
        <w:rPr>
          <w:lang w:eastAsia="lv-LV"/>
        </w:rPr>
      </w:pPr>
      <w:r>
        <w:rPr>
          <w:lang w:eastAsia="lv-LV"/>
        </w:rPr>
        <w:lastRenderedPageBreak/>
        <w:t>[3.7] Atbalsta n</w:t>
      </w:r>
      <w:r w:rsidRPr="00E77E51">
        <w:rPr>
          <w:lang w:eastAsia="lv-LV"/>
        </w:rPr>
        <w:t>oteikum</w:t>
      </w:r>
      <w:r>
        <w:rPr>
          <w:lang w:eastAsia="lv-LV"/>
        </w:rPr>
        <w:t>os</w:t>
      </w:r>
      <w:r w:rsidRPr="00E77E51">
        <w:rPr>
          <w:lang w:eastAsia="lv-LV"/>
        </w:rPr>
        <w:t xml:space="preserve"> </w:t>
      </w:r>
      <w:r>
        <w:rPr>
          <w:lang w:eastAsia="lv-LV"/>
        </w:rPr>
        <w:t xml:space="preserve">ir </w:t>
      </w:r>
      <w:r w:rsidRPr="00E77E51">
        <w:rPr>
          <w:lang w:eastAsia="lv-LV"/>
        </w:rPr>
        <w:t>konkrēt</w:t>
      </w:r>
      <w:r>
        <w:rPr>
          <w:lang w:eastAsia="lv-LV"/>
        </w:rPr>
        <w:t>s</w:t>
      </w:r>
      <w:r w:rsidRPr="00E77E51">
        <w:rPr>
          <w:lang w:eastAsia="lv-LV"/>
        </w:rPr>
        <w:t xml:space="preserve"> un īpaš</w:t>
      </w:r>
      <w:r>
        <w:rPr>
          <w:lang w:eastAsia="lv-LV"/>
        </w:rPr>
        <w:t>s</w:t>
      </w:r>
      <w:r w:rsidRPr="00E77E51">
        <w:rPr>
          <w:lang w:eastAsia="lv-LV"/>
        </w:rPr>
        <w:t xml:space="preserve"> regulējumu pasākumiem un atbalsta mehānismiem, kas attiecas uz nodokļu maksātājiem, kurus skārusi Covid-19 izraisītā krīze. Līdz ar to, lai nodokļu maksātājs varētu saņemt atbalstu, dienestam ir precīzi jāpiemēro Ministru kabineta noteikumos ietvertie nosacījumi. Pieteicējas gadījumā atbalsta saņemšanai bija jāņem vērā </w:t>
      </w:r>
      <w:r>
        <w:rPr>
          <w:lang w:eastAsia="lv-LV"/>
        </w:rPr>
        <w:t>pievienotās vērtības nodokļa</w:t>
      </w:r>
      <w:r w:rsidRPr="00E77E51">
        <w:rPr>
          <w:lang w:eastAsia="lv-LV"/>
        </w:rPr>
        <w:t xml:space="preserve"> deklarācijā norādītie dati (summas), nevis kādas citas ziņas.</w:t>
      </w:r>
    </w:p>
    <w:p w14:paraId="4CDD90A4" w14:textId="77777777" w:rsidR="00744CE3" w:rsidRDefault="00744CE3" w:rsidP="00971C9A">
      <w:pPr>
        <w:spacing w:line="276" w:lineRule="auto"/>
        <w:ind w:firstLine="720"/>
        <w:jc w:val="both"/>
        <w:rPr>
          <w:lang w:eastAsia="lv-LV"/>
        </w:rPr>
      </w:pPr>
      <w:r w:rsidRPr="00066EBB">
        <w:rPr>
          <w:lang w:eastAsia="lv-LV"/>
        </w:rPr>
        <w:t>Tā kā pieteicējas pamatlīdzekļu realizācijas atgriezeniskā līzinga darījums bija apliekams ar pievienotās vērtības nodokli, tas bija iekļaujams un arī tika iekļauts pievienotās vērtības nodokļa deklarācijā. Secīgi dienests šo darījumu pamatoti ņēma vērā,</w:t>
      </w:r>
      <w:r w:rsidRPr="00E77E51">
        <w:rPr>
          <w:lang w:eastAsia="lv-LV"/>
        </w:rPr>
        <w:t xml:space="preserve"> nosakot pieteicējas apgrozījumu tā, kā to reglamentēja </w:t>
      </w:r>
      <w:r>
        <w:rPr>
          <w:lang w:eastAsia="lv-LV"/>
        </w:rPr>
        <w:t xml:space="preserve">Atbalsta </w:t>
      </w:r>
      <w:r w:rsidRPr="00E77E51">
        <w:rPr>
          <w:lang w:eastAsia="lv-LV"/>
        </w:rPr>
        <w:t xml:space="preserve">noteikumi. </w:t>
      </w:r>
    </w:p>
    <w:p w14:paraId="6B02D0E5" w14:textId="77777777" w:rsidR="00744CE3" w:rsidRDefault="00744CE3" w:rsidP="00971C9A">
      <w:pPr>
        <w:spacing w:line="276" w:lineRule="auto"/>
        <w:ind w:firstLine="720"/>
        <w:jc w:val="both"/>
        <w:rPr>
          <w:lang w:eastAsia="lv-LV"/>
        </w:rPr>
      </w:pPr>
      <w:r w:rsidRPr="00E77E51">
        <w:rPr>
          <w:lang w:eastAsia="lv-LV"/>
        </w:rPr>
        <w:t>Turklāt gadījumā, ja uzņēmuma apgrozījuma apmēr</w:t>
      </w:r>
      <w:r>
        <w:rPr>
          <w:lang w:eastAsia="lv-LV"/>
        </w:rPr>
        <w:t>s netiktu</w:t>
      </w:r>
      <w:r w:rsidRPr="00E77E51">
        <w:rPr>
          <w:lang w:eastAsia="lv-LV"/>
        </w:rPr>
        <w:t xml:space="preserve"> aprēķinā</w:t>
      </w:r>
      <w:r>
        <w:rPr>
          <w:lang w:eastAsia="lv-LV"/>
        </w:rPr>
        <w:t>ts</w:t>
      </w:r>
      <w:r w:rsidRPr="00E77E51">
        <w:rPr>
          <w:lang w:eastAsia="lv-LV"/>
        </w:rPr>
        <w:t xml:space="preserve"> vienveidīgi (vērtējot </w:t>
      </w:r>
      <w:r>
        <w:rPr>
          <w:lang w:eastAsia="lv-LV"/>
        </w:rPr>
        <w:t>pievienotās vērtības nodokļa</w:t>
      </w:r>
      <w:r w:rsidRPr="00E77E51">
        <w:rPr>
          <w:lang w:eastAsia="lv-LV"/>
        </w:rPr>
        <w:t xml:space="preserve"> deklarāciju datus), bet, piemēram, balstoties uz katra uzņēmuma individuālo grāmatvedības politiku (šādu pieeju piedāvā pieteicēja), varētu tikt iegūti atšķirīgi apgrozījuma krituma rezultāti, turklāt šīs atšķirības nebūtu pamatotas ar vienotiem un objektīviem rādītājiem. Tādā gadījumā tiktu piemērota atšķirīga pieeja atbalsta pretendentu iesniegumu izvērtēšanā, kas nebūtu pieļaujams, jo atbalsta piešķiršanai jānotiek pēc vienādiem kritērijiem.</w:t>
      </w:r>
    </w:p>
    <w:p w14:paraId="6614E1EB" w14:textId="77777777" w:rsidR="00744CE3" w:rsidRDefault="00744CE3" w:rsidP="00971C9A">
      <w:pPr>
        <w:spacing w:line="276" w:lineRule="auto"/>
        <w:ind w:firstLine="720"/>
        <w:jc w:val="both"/>
        <w:rPr>
          <w:lang w:eastAsia="lv-LV"/>
        </w:rPr>
      </w:pPr>
      <w:r w:rsidRPr="00E77E51">
        <w:rPr>
          <w:lang w:eastAsia="lv-LV"/>
        </w:rPr>
        <w:t xml:space="preserve">Līdz ar to secināms, ka arī pirms 2021.gada 27.maija grozījumu stāšanās spēkā (proti, pirms 2021.gada 8.jūnija) dienestam bija pienākums visus iesniegumus par atbalsta piešķiršanu izskatīt pēc vienādiem kritērijiem. Tādējādi apstāklim, ka sākotnēji </w:t>
      </w:r>
      <w:r>
        <w:rPr>
          <w:lang w:eastAsia="lv-LV"/>
        </w:rPr>
        <w:t xml:space="preserve">Atbalsta </w:t>
      </w:r>
      <w:r w:rsidRPr="00E77E51">
        <w:rPr>
          <w:lang w:eastAsia="lv-LV"/>
        </w:rPr>
        <w:t>noteikumu normās nebija precīzi definēta kārtība, kādā nosakāms uzņēmuma apgrozījuma kritums, ievērojot iepriekš minēto, nenozīmē, ka dienests būtu bijis tiesīgs piemērot atbalsta pretendentiem atšķirīgus kritērijus vai arī neņemt vērā dienesta rīcībā esošo informāciju, kas nepieciešama uzņēmuma apgrozījuma krituma pareizai noteikšanai. Pretējā gadījumā tiktu pārkāpts tiesiskās vienlīdzības princips.</w:t>
      </w:r>
    </w:p>
    <w:p w14:paraId="4A2BD09C" w14:textId="77777777" w:rsidR="00744CE3" w:rsidRDefault="00744CE3" w:rsidP="00971C9A">
      <w:pPr>
        <w:spacing w:line="276" w:lineRule="auto"/>
        <w:ind w:firstLine="720"/>
        <w:jc w:val="both"/>
        <w:rPr>
          <w:lang w:eastAsia="lv-LV"/>
        </w:rPr>
      </w:pPr>
      <w:r w:rsidRPr="00E77E51">
        <w:rPr>
          <w:lang w:eastAsia="lv-LV"/>
        </w:rPr>
        <w:t>Apkopojot minēto, pieteikums ir noraidāms kā nepamatots.</w:t>
      </w:r>
    </w:p>
    <w:p w14:paraId="0DEEBB27" w14:textId="77777777" w:rsidR="00744CE3" w:rsidRPr="00402239" w:rsidRDefault="00744CE3" w:rsidP="00971C9A">
      <w:pPr>
        <w:spacing w:line="276" w:lineRule="auto"/>
        <w:ind w:firstLine="720"/>
        <w:jc w:val="both"/>
        <w:rPr>
          <w:lang w:eastAsia="lv-LV"/>
        </w:rPr>
      </w:pPr>
    </w:p>
    <w:p w14:paraId="1A8E8FC7" w14:textId="77777777" w:rsidR="00744CE3" w:rsidRDefault="00744CE3" w:rsidP="00971C9A">
      <w:pPr>
        <w:spacing w:line="276" w:lineRule="auto"/>
        <w:ind w:firstLine="720"/>
        <w:jc w:val="both"/>
        <w:rPr>
          <w:lang w:eastAsia="lv-LV"/>
        </w:rPr>
      </w:pPr>
      <w:r w:rsidRPr="00402239">
        <w:rPr>
          <w:lang w:eastAsia="lv-LV"/>
        </w:rPr>
        <w:t xml:space="preserve">[4] </w:t>
      </w:r>
      <w:r>
        <w:rPr>
          <w:lang w:eastAsia="lv-LV"/>
        </w:rPr>
        <w:t xml:space="preserve">Pieteicēja </w:t>
      </w:r>
      <w:r w:rsidRPr="00402239">
        <w:rPr>
          <w:lang w:eastAsia="lv-LV"/>
        </w:rPr>
        <w:t xml:space="preserve">iesniedza kasācijas sūdzību, norādot turpmāk minētos argumentus. </w:t>
      </w:r>
    </w:p>
    <w:p w14:paraId="6A2E7924" w14:textId="77777777" w:rsidR="00744CE3" w:rsidRPr="000279CB" w:rsidRDefault="00744CE3" w:rsidP="00971C9A">
      <w:pPr>
        <w:spacing w:line="276" w:lineRule="auto"/>
        <w:ind w:firstLine="720"/>
        <w:jc w:val="both"/>
        <w:rPr>
          <w:lang w:eastAsia="lv-LV"/>
        </w:rPr>
      </w:pPr>
      <w:r>
        <w:rPr>
          <w:lang w:eastAsia="lv-LV"/>
        </w:rPr>
        <w:t xml:space="preserve">[4.1] Tiesa ir nepamatoti mainījusi pieteikuma priekšmetu. Ja pārsūdzētais lēmums tiks atzīts par prettiesisku, pieteicējai jābūt vienlīdzīgām tiesībām uz labvēlīga administratīvā akta izdošanu, salīdzinot ar uzņēmumiem, kuriem pozitīvs lēmums par atbalsta piešķiršanu tika pieņemts līdz 2022.gada 30.jūnijam. Pieteicēja nevar būt vainojama par to, ka atbildētāja </w:t>
      </w:r>
      <w:r w:rsidRPr="00AB6E0B">
        <w:rPr>
          <w:rFonts w:cstheme="minorHAnsi"/>
        </w:rPr>
        <w:t xml:space="preserve">kļūdas </w:t>
      </w:r>
      <w:r>
        <w:rPr>
          <w:rFonts w:cstheme="minorHAnsi"/>
        </w:rPr>
        <w:t xml:space="preserve">un tiesvedības ilguma dēļ </w:t>
      </w:r>
      <w:r w:rsidRPr="00AB6E0B">
        <w:rPr>
          <w:rFonts w:cstheme="minorHAnsi"/>
        </w:rPr>
        <w:t>labvēlīgs administratīvais akts</w:t>
      </w:r>
      <w:r w:rsidRPr="00610079">
        <w:rPr>
          <w:rFonts w:cstheme="minorHAnsi"/>
        </w:rPr>
        <w:t xml:space="preserve"> </w:t>
      </w:r>
      <w:r>
        <w:rPr>
          <w:rFonts w:cstheme="minorHAnsi"/>
        </w:rPr>
        <w:t xml:space="preserve">netika izdots ātrāk. </w:t>
      </w:r>
    </w:p>
    <w:p w14:paraId="13EA4E98" w14:textId="77777777" w:rsidR="00744CE3" w:rsidRDefault="00744CE3" w:rsidP="00971C9A">
      <w:pPr>
        <w:spacing w:line="276" w:lineRule="auto"/>
        <w:ind w:firstLine="720"/>
        <w:jc w:val="both"/>
        <w:rPr>
          <w:rFonts w:cstheme="minorHAnsi"/>
        </w:rPr>
      </w:pPr>
      <w:r>
        <w:rPr>
          <w:rFonts w:cstheme="minorHAnsi"/>
        </w:rPr>
        <w:t>[4.2] Lai gan spriedumā norādīts, ka p</w:t>
      </w:r>
      <w:r w:rsidRPr="003620B8">
        <w:rPr>
          <w:rFonts w:cstheme="minorHAnsi"/>
        </w:rPr>
        <w:t xml:space="preserve">ieteicējas tiesības uz atbalsta saņemšanu ir apspriežamas pēc tām tiesību normām, kas bija spēkā laikā, kad </w:t>
      </w:r>
      <w:r>
        <w:rPr>
          <w:rFonts w:cstheme="minorHAnsi"/>
        </w:rPr>
        <w:t>p</w:t>
      </w:r>
      <w:r w:rsidRPr="003620B8">
        <w:rPr>
          <w:rFonts w:cstheme="minorHAnsi"/>
        </w:rPr>
        <w:t xml:space="preserve">ieteicēja </w:t>
      </w:r>
      <w:r>
        <w:rPr>
          <w:rFonts w:cstheme="minorHAnsi"/>
        </w:rPr>
        <w:t xml:space="preserve">vērsās Valsts ieņēmumu </w:t>
      </w:r>
      <w:r w:rsidRPr="003620B8">
        <w:rPr>
          <w:rFonts w:cstheme="minorHAnsi"/>
        </w:rPr>
        <w:t>dienestā ar</w:t>
      </w:r>
      <w:r>
        <w:rPr>
          <w:rFonts w:cstheme="minorHAnsi"/>
        </w:rPr>
        <w:t xml:space="preserve"> iesniegumu</w:t>
      </w:r>
      <w:r w:rsidRPr="003620B8">
        <w:rPr>
          <w:rFonts w:cstheme="minorHAnsi"/>
        </w:rPr>
        <w:t>, tomēr</w:t>
      </w:r>
      <w:r>
        <w:rPr>
          <w:rFonts w:cstheme="minorHAnsi"/>
        </w:rPr>
        <w:t xml:space="preserve"> tiesa spriedumā ir piemērojusi Atbalsta noteikumu 4.</w:t>
      </w:r>
      <w:r>
        <w:rPr>
          <w:rFonts w:cstheme="minorHAnsi"/>
          <w:vertAlign w:val="superscript"/>
        </w:rPr>
        <w:t>3</w:t>
      </w:r>
      <w:r>
        <w:rPr>
          <w:rFonts w:cstheme="minorHAnsi"/>
        </w:rPr>
        <w:t xml:space="preserve">punktu, kurš vēl nebija spēkā. </w:t>
      </w:r>
    </w:p>
    <w:p w14:paraId="1ED5E201" w14:textId="77777777" w:rsidR="00744CE3" w:rsidRDefault="00744CE3" w:rsidP="00971C9A">
      <w:pPr>
        <w:spacing w:line="276" w:lineRule="auto"/>
        <w:ind w:firstLine="720"/>
        <w:jc w:val="both"/>
        <w:rPr>
          <w:rFonts w:cstheme="minorHAnsi"/>
        </w:rPr>
      </w:pPr>
      <w:r>
        <w:rPr>
          <w:lang w:eastAsia="lv-LV"/>
        </w:rPr>
        <w:t xml:space="preserve">[4.3] Nepamatots ir tiesas secinājums, ka </w:t>
      </w:r>
      <w:r w:rsidRPr="00AB6E0B">
        <w:rPr>
          <w:rFonts w:cstheme="minorHAnsi"/>
        </w:rPr>
        <w:t>likumdevēja vēlāk</w:t>
      </w:r>
      <w:r>
        <w:rPr>
          <w:rFonts w:cstheme="minorHAnsi"/>
        </w:rPr>
        <w:t>ie</w:t>
      </w:r>
      <w:r w:rsidRPr="00AB6E0B">
        <w:rPr>
          <w:rFonts w:cstheme="minorHAnsi"/>
        </w:rPr>
        <w:t xml:space="preserve"> grozījumi </w:t>
      </w:r>
      <w:r>
        <w:rPr>
          <w:rFonts w:cstheme="minorHAnsi"/>
        </w:rPr>
        <w:t xml:space="preserve">Atbalsta noteikumos </w:t>
      </w:r>
      <w:r w:rsidRPr="00AB6E0B">
        <w:rPr>
          <w:rFonts w:cstheme="minorHAnsi"/>
        </w:rPr>
        <w:t>ir iekļauti tiesiskās skaidrības nodrošināšanai un ir uzskatāmi par tehniskiem precizējumiem</w:t>
      </w:r>
      <w:r>
        <w:rPr>
          <w:rFonts w:cstheme="minorHAnsi"/>
        </w:rPr>
        <w:t xml:space="preserve">. </w:t>
      </w:r>
      <w:r w:rsidRPr="003620B8">
        <w:rPr>
          <w:rFonts w:cstheme="minorHAnsi"/>
        </w:rPr>
        <w:t>Pat ja likumdevējs anotācijā grozījumus nosauc par tehniskiem, jebkurā gadījumā ir secināms, ka normatīvais regulējums, papildinot to ar jaunu normu</w:t>
      </w:r>
      <w:r>
        <w:rPr>
          <w:rFonts w:cstheme="minorHAnsi"/>
        </w:rPr>
        <w:t xml:space="preserve">, </w:t>
      </w:r>
      <w:r w:rsidRPr="003620B8">
        <w:rPr>
          <w:rFonts w:cstheme="minorHAnsi"/>
        </w:rPr>
        <w:t>ir ticis mainīts.</w:t>
      </w:r>
    </w:p>
    <w:p w14:paraId="0E4C1077" w14:textId="77777777" w:rsidR="00744CE3" w:rsidRDefault="00744CE3" w:rsidP="00971C9A">
      <w:pPr>
        <w:spacing w:line="276" w:lineRule="auto"/>
        <w:ind w:firstLine="720"/>
        <w:jc w:val="both"/>
        <w:rPr>
          <w:rFonts w:cstheme="minorHAnsi"/>
        </w:rPr>
      </w:pPr>
      <w:r>
        <w:rPr>
          <w:rFonts w:cstheme="minorHAnsi"/>
        </w:rPr>
        <w:t xml:space="preserve">[4.4] No grozījumu anotācijas ir secināms, ka pirms grozījumiem apgrozījuma kritums tika </w:t>
      </w:r>
      <w:r w:rsidRPr="003620B8">
        <w:rPr>
          <w:rFonts w:cstheme="minorHAnsi"/>
        </w:rPr>
        <w:t>un arī varēja tikt aprēķināts dažādi,</w:t>
      </w:r>
      <w:r>
        <w:rPr>
          <w:rFonts w:cstheme="minorHAnsi"/>
        </w:rPr>
        <w:t xml:space="preserve"> ņemot vērā uzņēmumu individuālo grāmatvedības politiku. Savukārt pēc precizējumu veikšanas kārtība tika mainīta, paredzot tikai vienu aprēķina metodiku.</w:t>
      </w:r>
    </w:p>
    <w:p w14:paraId="17205F61" w14:textId="77777777" w:rsidR="00744CE3" w:rsidRPr="00711E83" w:rsidRDefault="00744CE3" w:rsidP="00971C9A">
      <w:pPr>
        <w:spacing w:line="276" w:lineRule="auto"/>
        <w:ind w:firstLine="720"/>
        <w:jc w:val="both"/>
        <w:rPr>
          <w:lang w:eastAsia="lv-LV"/>
        </w:rPr>
      </w:pPr>
      <w:r>
        <w:rPr>
          <w:lang w:eastAsia="lv-LV"/>
        </w:rPr>
        <w:lastRenderedPageBreak/>
        <w:t xml:space="preserve">[4.5] Atbalsta noteikumos nav skaidrots tajos ietvertā jēdziena „uzņēmuma apgrozījums” saturs. Šī jēdziena saturs nav skaidrots arī Covid-19 infekcijas izplatības seku pārvarēšanas likumā, saskaņā ar kura 2.pantā un 15.panta trešajā daļā ietverto deleģējumu šie noteikumi izdoti. Tādēļ jēdziena saturs tiesai bija jānosaka, ņemot vērā Gada pārskatu likuma 41.pantā noteikto. No šīs normas izriet, ka jēdziena „uzņēmuma apgrozījums” saturā ietilpst uzņēmuma neto apgrozījums Gada pārskatu likuma izpratnē, bet neietilpst citi uzņēmuma saimnieciskās darbības ieņēmumi (piemēram, ieņēmumi no pamatlīdzekļu realizācijas atgriezeniskā līzinga ietvaros). </w:t>
      </w:r>
    </w:p>
    <w:p w14:paraId="4FF7BDEA" w14:textId="77777777" w:rsidR="00744CE3" w:rsidRPr="00CC7FE5" w:rsidRDefault="00744CE3" w:rsidP="00971C9A">
      <w:pPr>
        <w:spacing w:line="276" w:lineRule="auto"/>
        <w:ind w:firstLine="720"/>
        <w:jc w:val="both"/>
        <w:rPr>
          <w:lang w:eastAsia="lv-LV"/>
        </w:rPr>
      </w:pPr>
      <w:r>
        <w:rPr>
          <w:rFonts w:cstheme="minorHAnsi"/>
        </w:rPr>
        <w:t xml:space="preserve">[4.6] </w:t>
      </w:r>
      <w:r>
        <w:rPr>
          <w:lang w:eastAsia="lv-LV"/>
        </w:rPr>
        <w:t xml:space="preserve">Tiesa nav izvērtējusi </w:t>
      </w:r>
      <w:r w:rsidRPr="00C266B8">
        <w:rPr>
          <w:rFonts w:cstheme="minorHAnsi"/>
        </w:rPr>
        <w:t>atgriezeniskā līzinga un saņemto/dzēsto avansa maksājumu darījumus pēc būtības</w:t>
      </w:r>
      <w:r>
        <w:rPr>
          <w:rFonts w:cstheme="minorHAnsi"/>
        </w:rPr>
        <w:t xml:space="preserve"> un nav ņēmusi vērā pieteicējas argumentus saistībā ar šiem darījumiem</w:t>
      </w:r>
      <w:r w:rsidRPr="00C266B8">
        <w:rPr>
          <w:rFonts w:cstheme="minorHAnsi"/>
        </w:rPr>
        <w:t xml:space="preserve">, kā rezultātā </w:t>
      </w:r>
      <w:r>
        <w:rPr>
          <w:rFonts w:cstheme="minorHAnsi"/>
        </w:rPr>
        <w:t xml:space="preserve">tiesa ir </w:t>
      </w:r>
      <w:r w:rsidRPr="00C266B8">
        <w:rPr>
          <w:rFonts w:cstheme="minorHAnsi"/>
        </w:rPr>
        <w:t>nepareizi interpretēju</w:t>
      </w:r>
      <w:r>
        <w:rPr>
          <w:rFonts w:cstheme="minorHAnsi"/>
        </w:rPr>
        <w:t>si</w:t>
      </w:r>
      <w:r w:rsidRPr="00C266B8">
        <w:rPr>
          <w:rFonts w:cstheme="minorHAnsi"/>
        </w:rPr>
        <w:t xml:space="preserve"> </w:t>
      </w:r>
      <w:r>
        <w:rPr>
          <w:rFonts w:cstheme="minorHAnsi"/>
        </w:rPr>
        <w:t xml:space="preserve">Atbalsta noteikumu </w:t>
      </w:r>
      <w:r w:rsidRPr="00E73AB7">
        <w:rPr>
          <w:rFonts w:cstheme="minorHAnsi"/>
        </w:rPr>
        <w:t>4.2.apakšpunktu</w:t>
      </w:r>
      <w:r>
        <w:rPr>
          <w:rFonts w:cstheme="minorHAnsi"/>
        </w:rPr>
        <w:t xml:space="preserve">. </w:t>
      </w:r>
    </w:p>
    <w:p w14:paraId="6E3DA441" w14:textId="77777777" w:rsidR="00744CE3" w:rsidRDefault="00744CE3" w:rsidP="00971C9A">
      <w:pPr>
        <w:spacing w:line="276" w:lineRule="auto"/>
        <w:ind w:firstLine="720"/>
        <w:jc w:val="both"/>
        <w:rPr>
          <w:rFonts w:cstheme="minorHAnsi"/>
        </w:rPr>
      </w:pPr>
      <w:r>
        <w:rPr>
          <w:rFonts w:cstheme="minorHAnsi"/>
        </w:rPr>
        <w:t>[4.7] Atbalsta noteikumu 4.</w:t>
      </w:r>
      <w:r>
        <w:rPr>
          <w:rFonts w:cstheme="minorHAnsi"/>
          <w:vertAlign w:val="superscript"/>
        </w:rPr>
        <w:t>1</w:t>
      </w:r>
      <w:r>
        <w:rPr>
          <w:rFonts w:cstheme="minorHAnsi"/>
        </w:rPr>
        <w:t xml:space="preserve">punkts noteic, ka, </w:t>
      </w:r>
      <w:r w:rsidRPr="00950369">
        <w:rPr>
          <w:rFonts w:cstheme="minorHAnsi"/>
        </w:rPr>
        <w:t>aprēķinot apgrozījuma kritumu, neņem vērā šajos noteikumos noteikto iepriekš saņemtā atbalsta apmēru.</w:t>
      </w:r>
      <w:r>
        <w:rPr>
          <w:rFonts w:cstheme="minorHAnsi"/>
        </w:rPr>
        <w:t xml:space="preserve"> </w:t>
      </w:r>
      <w:r w:rsidRPr="00950369">
        <w:rPr>
          <w:rFonts w:cstheme="minorHAnsi"/>
        </w:rPr>
        <w:t xml:space="preserve">Tātad ieņēmumi, kas palielinājuši apgrozāmo līdzekļu plūsmu atbalsta maksājumu veidā, netiek ieskaitīti kopējā uzņēmuma apgrozījumā un secīgi netiek atzīti par ieņēmumiem. Pēc analoģijas šis princips būtu attiecināms arī uz </w:t>
      </w:r>
      <w:r>
        <w:rPr>
          <w:rFonts w:cstheme="minorHAnsi"/>
        </w:rPr>
        <w:t>p</w:t>
      </w:r>
      <w:r w:rsidRPr="00950369">
        <w:rPr>
          <w:rFonts w:cstheme="minorHAnsi"/>
        </w:rPr>
        <w:t>ieteicējas ieņēmumiem no pamatlīdzekļu realizācijas atgriezeniskā līzinga ietvaros</w:t>
      </w:r>
      <w:r>
        <w:rPr>
          <w:rFonts w:cstheme="minorHAnsi"/>
        </w:rPr>
        <w:t>.</w:t>
      </w:r>
    </w:p>
    <w:p w14:paraId="4DD3412E" w14:textId="77777777" w:rsidR="00744CE3" w:rsidRDefault="00744CE3" w:rsidP="00971C9A">
      <w:pPr>
        <w:spacing w:line="276" w:lineRule="auto"/>
        <w:jc w:val="both"/>
        <w:rPr>
          <w:lang w:eastAsia="lv-LV"/>
        </w:rPr>
      </w:pPr>
    </w:p>
    <w:p w14:paraId="3C786D62" w14:textId="77777777" w:rsidR="00744CE3" w:rsidRPr="00402239" w:rsidRDefault="00744CE3" w:rsidP="00971C9A">
      <w:pPr>
        <w:spacing w:line="276" w:lineRule="auto"/>
        <w:ind w:firstLine="720"/>
        <w:jc w:val="both"/>
        <w:rPr>
          <w:lang w:eastAsia="lv-LV"/>
        </w:rPr>
      </w:pPr>
      <w:r>
        <w:rPr>
          <w:lang w:eastAsia="lv-LV"/>
        </w:rPr>
        <w:t xml:space="preserve">[5] </w:t>
      </w:r>
      <w:r w:rsidRPr="00CB419E">
        <w:rPr>
          <w:rFonts w:asciiTheme="majorBidi" w:hAnsiTheme="majorBidi" w:cstheme="majorBidi"/>
        </w:rPr>
        <w:t>Valsts ieņēmumu dienests paskaidrojumos par kasācijas sūdzību norāda, ka apgabaltiesas spriedums ir tiesisks.</w:t>
      </w:r>
    </w:p>
    <w:p w14:paraId="7309231D" w14:textId="77777777" w:rsidR="00744CE3" w:rsidRPr="00402239" w:rsidRDefault="00744CE3" w:rsidP="00971C9A">
      <w:pPr>
        <w:spacing w:line="276" w:lineRule="auto"/>
        <w:jc w:val="both"/>
      </w:pPr>
    </w:p>
    <w:p w14:paraId="4094F98F" w14:textId="77777777" w:rsidR="00744CE3" w:rsidRPr="00402239" w:rsidRDefault="00744CE3" w:rsidP="00971C9A">
      <w:pPr>
        <w:spacing w:line="276" w:lineRule="auto"/>
        <w:jc w:val="center"/>
        <w:rPr>
          <w:b/>
        </w:rPr>
      </w:pPr>
      <w:r w:rsidRPr="00402239">
        <w:rPr>
          <w:b/>
        </w:rPr>
        <w:t>Motīvu daļa</w:t>
      </w:r>
    </w:p>
    <w:p w14:paraId="2E36BDB0" w14:textId="77777777" w:rsidR="00744CE3" w:rsidRDefault="00744CE3" w:rsidP="00971C9A">
      <w:pPr>
        <w:spacing w:line="276" w:lineRule="auto"/>
        <w:jc w:val="both"/>
      </w:pPr>
    </w:p>
    <w:p w14:paraId="0517E182" w14:textId="77777777" w:rsidR="00744CE3" w:rsidRDefault="00744CE3" w:rsidP="00971C9A">
      <w:pPr>
        <w:spacing w:line="276" w:lineRule="auto"/>
        <w:ind w:firstLine="720"/>
        <w:jc w:val="both"/>
      </w:pPr>
      <w:r w:rsidRPr="00402239">
        <w:t>[</w:t>
      </w:r>
      <w:r>
        <w:t>6</w:t>
      </w:r>
      <w:r w:rsidRPr="00402239">
        <w:t>]</w:t>
      </w:r>
      <w:r>
        <w:t xml:space="preserve"> Kasācijas tiesvedībā ir izšķirams strīds </w:t>
      </w:r>
      <w:r w:rsidRPr="00402239">
        <w:t xml:space="preserve">par Atbalsta noteikumu </w:t>
      </w:r>
      <w:r w:rsidRPr="00402239">
        <w:rPr>
          <w:lang w:eastAsia="lv-LV"/>
        </w:rPr>
        <w:t xml:space="preserve">4.2.1.apakšpunktā lietotā termina „apgrozījums” interpretāciju. Pieteicēja uzskata, ka apgrozījuma kritums ir aprēķināms, ņemot vērā apgrozījumu Gada pārskatu likuma regulējuma kontekstā, savukārt Valsts ieņēmumu dienests –, ka apgrozījuma kritums ir aprēķināms, ņemot vērā </w:t>
      </w:r>
      <w:r w:rsidRPr="00402239">
        <w:t>pievienotās vērtības nodokļa deklarācijā norādīto</w:t>
      </w:r>
      <w:r>
        <w:t xml:space="preserve"> </w:t>
      </w:r>
      <w:r w:rsidRPr="00402239">
        <w:t>taksācijas perioda kopējo darījumu vērtību bez pievienotās vērtības nodokļa</w:t>
      </w:r>
      <w:r>
        <w:t xml:space="preserve">. Apgabaltiesa par pareizu atzinusi dienesta pieeju.  </w:t>
      </w:r>
    </w:p>
    <w:p w14:paraId="0032E02B" w14:textId="77777777" w:rsidR="00744CE3" w:rsidRDefault="00744CE3" w:rsidP="00971C9A">
      <w:pPr>
        <w:spacing w:line="276" w:lineRule="auto"/>
        <w:ind w:firstLine="720"/>
        <w:jc w:val="both"/>
      </w:pPr>
    </w:p>
    <w:p w14:paraId="3ACE7DFB" w14:textId="77777777" w:rsidR="00744CE3" w:rsidRDefault="00744CE3" w:rsidP="00971C9A">
      <w:pPr>
        <w:spacing w:line="276" w:lineRule="auto"/>
        <w:ind w:firstLine="720"/>
        <w:jc w:val="both"/>
      </w:pPr>
      <w:r>
        <w:t xml:space="preserve">[7] </w:t>
      </w:r>
      <w:r w:rsidRPr="00E255D2">
        <w:t xml:space="preserve">Izskatāmajā lietā piemērojamās tiesību normas </w:t>
      </w:r>
      <w:r>
        <w:t xml:space="preserve">un </w:t>
      </w:r>
      <w:r w:rsidRPr="00E255D2">
        <w:t xml:space="preserve">vērtējamie faktiskie apstākļi </w:t>
      </w:r>
      <w:r>
        <w:t xml:space="preserve">ir </w:t>
      </w:r>
      <w:r w:rsidRPr="00B835C8">
        <w:t>līdzīgi Senāta 202</w:t>
      </w:r>
      <w:r>
        <w:t>5</w:t>
      </w:r>
      <w:r w:rsidRPr="00B835C8">
        <w:t xml:space="preserve">.gada </w:t>
      </w:r>
      <w:r>
        <w:t>22</w:t>
      </w:r>
      <w:r w:rsidRPr="00B835C8">
        <w:t>.oktobra spriedumā lietā Nr. SKA-</w:t>
      </w:r>
      <w:r>
        <w:t>16</w:t>
      </w:r>
      <w:r w:rsidRPr="00B835C8">
        <w:t>/2021 (</w:t>
      </w:r>
      <w:r w:rsidRPr="00606609">
        <w:rPr>
          <w:i/>
          <w:iCs/>
          <w:highlight w:val="yellow"/>
        </w:rPr>
        <w:t>ecli</w:t>
      </w:r>
      <w:r w:rsidRPr="00B835C8">
        <w:t xml:space="preserve">) </w:t>
      </w:r>
      <w:r w:rsidRPr="00E255D2">
        <w:t xml:space="preserve">ietvertajiem apstākļiem. Līdz ar to Senāts šajā spriedumā </w:t>
      </w:r>
      <w:r w:rsidRPr="00E255D2">
        <w:rPr>
          <w:i/>
        </w:rPr>
        <w:t>mutatis mutandis</w:t>
      </w:r>
      <w:r w:rsidRPr="00E255D2">
        <w:t xml:space="preserve"> izmantos minētajā spriedumā ietvertos argumentus.</w:t>
      </w:r>
    </w:p>
    <w:p w14:paraId="1EC3CE0B" w14:textId="77777777" w:rsidR="00744CE3" w:rsidRDefault="00744CE3" w:rsidP="00971C9A">
      <w:pPr>
        <w:spacing w:line="276" w:lineRule="auto"/>
        <w:ind w:firstLine="720"/>
        <w:jc w:val="both"/>
      </w:pPr>
    </w:p>
    <w:p w14:paraId="58C44546" w14:textId="77777777" w:rsidR="00744CE3" w:rsidRPr="00402239" w:rsidRDefault="00744CE3" w:rsidP="00971C9A">
      <w:pPr>
        <w:spacing w:line="276" w:lineRule="auto"/>
        <w:ind w:firstLine="720"/>
        <w:jc w:val="both"/>
      </w:pPr>
      <w:r>
        <w:t xml:space="preserve">[8] </w:t>
      </w:r>
      <w:r w:rsidRPr="00402239">
        <w:t xml:space="preserve">Atbalsta </w:t>
      </w:r>
      <w:r w:rsidRPr="00402239">
        <w:rPr>
          <w:lang w:eastAsia="lv-LV"/>
        </w:rPr>
        <w:t xml:space="preserve">noteikumu (redakcijā, kas bija spēkā no 2021.gada 4.marta līdz 2021.gada 7.jūnijam) 4.2.1.apakšpunkts noteica, ka šo noteikumu ietvaros atbalstu var saņemt tāds uzņēmums, kas reģistrēts Valsts ieņēmumu dienestā kā nodokļu maksātājs, atbalsta perioda mēnesī uzņēmuma </w:t>
      </w:r>
      <w:r w:rsidRPr="00396DE6">
        <w:rPr>
          <w:lang w:eastAsia="lv-LV"/>
        </w:rPr>
        <w:t>apgrozījums</w:t>
      </w:r>
      <w:r w:rsidRPr="00402239">
        <w:rPr>
          <w:lang w:eastAsia="lv-LV"/>
        </w:rPr>
        <w:t xml:space="preserve"> ir krities vismaz par 20 %, salīdzinot ar vidējo apgrozījumu 2020.gada augustā, septembrī un oktobrī kopā, un atbalsta perioda mēnesī apgrozījums krities vismaz par 30 %, salīdzinot ar apgrozījumu 2019.</w:t>
      </w:r>
      <w:r>
        <w:rPr>
          <w:lang w:eastAsia="lv-LV"/>
        </w:rPr>
        <w:t xml:space="preserve"> </w:t>
      </w:r>
      <w:r w:rsidRPr="00402239">
        <w:rPr>
          <w:lang w:eastAsia="lv-LV"/>
        </w:rPr>
        <w:t>vai 2020.gada atbilstošajā mēnesī.</w:t>
      </w:r>
      <w:bookmarkStart w:id="0" w:name="_Hlk127285829"/>
    </w:p>
    <w:p w14:paraId="7CA280FE" w14:textId="77777777" w:rsidR="00744CE3" w:rsidRPr="00402239" w:rsidRDefault="00744CE3" w:rsidP="00971C9A">
      <w:pPr>
        <w:spacing w:line="276" w:lineRule="auto"/>
        <w:ind w:firstLine="720"/>
        <w:jc w:val="both"/>
        <w:rPr>
          <w:shd w:val="clear" w:color="auto" w:fill="FFFFFF"/>
        </w:rPr>
      </w:pPr>
      <w:r w:rsidRPr="00402239">
        <w:t xml:space="preserve">Vienlaikus minēto noteikumu </w:t>
      </w:r>
      <w:r w:rsidRPr="00402239">
        <w:rPr>
          <w:shd w:val="clear" w:color="auto" w:fill="FFFFFF"/>
        </w:rPr>
        <w:t>4.</w:t>
      </w:r>
      <w:r w:rsidRPr="00402239">
        <w:rPr>
          <w:shd w:val="clear" w:color="auto" w:fill="FFFFFF"/>
          <w:vertAlign w:val="superscript"/>
        </w:rPr>
        <w:t>1</w:t>
      </w:r>
      <w:r w:rsidRPr="00402239">
        <w:rPr>
          <w:shd w:val="clear" w:color="auto" w:fill="FFFFFF"/>
        </w:rPr>
        <w:t>punkts paredzēja, ka, aprēķinot apgrozījuma kritumu, neņem vērā šajos noteikumos noteikto iepriekš saņemtā atbalsta apmēru.</w:t>
      </w:r>
    </w:p>
    <w:p w14:paraId="013B8611" w14:textId="77777777" w:rsidR="00744CE3" w:rsidRPr="00402239" w:rsidRDefault="00744CE3" w:rsidP="00971C9A">
      <w:pPr>
        <w:spacing w:line="276" w:lineRule="auto"/>
        <w:ind w:firstLine="720"/>
        <w:jc w:val="both"/>
      </w:pPr>
      <w:r w:rsidRPr="00402239">
        <w:rPr>
          <w:shd w:val="clear" w:color="auto" w:fill="FFFFFF"/>
        </w:rPr>
        <w:t>Ar</w:t>
      </w:r>
      <w:r>
        <w:t xml:space="preserve"> </w:t>
      </w:r>
      <w:r w:rsidRPr="00402239">
        <w:rPr>
          <w:shd w:val="clear" w:color="auto" w:fill="FFFFFF"/>
        </w:rPr>
        <w:t>Ministru kabineta 2021.gada 29.aprīļa noteikumiem Nr. 276 „</w:t>
      </w:r>
      <w:r w:rsidRPr="00402239">
        <w:t xml:space="preserve">Grozījumi Ministru kabineta 2020.gada 10.novembra noteikumos Nr. 676 „Noteikumi par atbalstu </w:t>
      </w:r>
      <w:r w:rsidRPr="00285285">
        <w:lastRenderedPageBreak/>
        <w:t xml:space="preserve">Covid-19 krīzes skartajiem uzņēmumiem apgrozāmo līdzekļu plūsmas nodrošināšanai”” (turpmāk – Atbalsta noteikumu </w:t>
      </w:r>
      <w:r w:rsidRPr="00285285">
        <w:rPr>
          <w:shd w:val="clear" w:color="auto" w:fill="FFFFFF"/>
        </w:rPr>
        <w:t>2021.gada 29.aprīļa grozījumi)</w:t>
      </w:r>
      <w:r w:rsidRPr="00285285">
        <w:t>, kas stājās spēkā 2021.gada 8.jūnijā, Atbalsta noteikumi papildināti ar 4.</w:t>
      </w:r>
      <w:r w:rsidRPr="00285285">
        <w:rPr>
          <w:vertAlign w:val="superscript"/>
        </w:rPr>
        <w:t>2</w:t>
      </w:r>
      <w:r w:rsidRPr="00285285">
        <w:t>punktu, kas paredz, ka, aprēķinot apgrozījuma kritumu, ņem vērā apgrozījumu no saimnieciskās darbības.</w:t>
      </w:r>
    </w:p>
    <w:p w14:paraId="6392DBF7" w14:textId="77777777" w:rsidR="00744CE3" w:rsidRPr="00402239" w:rsidRDefault="00744CE3" w:rsidP="00971C9A">
      <w:pPr>
        <w:spacing w:line="276" w:lineRule="auto"/>
        <w:ind w:firstLine="720"/>
        <w:jc w:val="both"/>
      </w:pPr>
      <w:bookmarkStart w:id="1" w:name="p4_3"/>
      <w:bookmarkStart w:id="2" w:name="p-784919"/>
      <w:bookmarkStart w:id="3" w:name="p5"/>
      <w:bookmarkStart w:id="4" w:name="p-759363"/>
      <w:bookmarkEnd w:id="1"/>
      <w:bookmarkEnd w:id="2"/>
      <w:bookmarkEnd w:id="3"/>
      <w:bookmarkEnd w:id="4"/>
      <w:r w:rsidRPr="00402239">
        <w:t xml:space="preserve">Savukārt ar </w:t>
      </w:r>
      <w:bookmarkEnd w:id="0"/>
      <w:r w:rsidRPr="00402239">
        <w:t xml:space="preserve">Atbalsta noteikumu 2021.gada 27.maija grozījumiem, kas, tāpat kā </w:t>
      </w:r>
      <w:r w:rsidRPr="00A60E81">
        <w:t>iepriekšējie grozījumi, stājās spēkā 2021.gada 8.jūnijā, Atbalsta noteikumi papildināti ar 4.</w:t>
      </w:r>
      <w:r w:rsidRPr="00A60E81">
        <w:rPr>
          <w:vertAlign w:val="superscript"/>
        </w:rPr>
        <w:t>3</w:t>
      </w:r>
      <w:r w:rsidRPr="00A60E81">
        <w:t xml:space="preserve">punktu, kas paredz, ka, </w:t>
      </w:r>
      <w:bookmarkStart w:id="5" w:name="_Hlk210388560"/>
      <w:r w:rsidRPr="00A60E81">
        <w:t>nosakot apgrozījuma kritumu, Valsts ieņēmumu dienests ņem vērā pievienotās vērtības nodokļa deklarācijā norādīto taksācijas perioda kopējo darījumu vērtību bez pievienotās vērtības nodokļa</w:t>
      </w:r>
      <w:bookmarkEnd w:id="5"/>
      <w:r w:rsidRPr="00A60E81">
        <w:t>. Uzņēmumiem, kas nav reģistrēti Valsts</w:t>
      </w:r>
      <w:r w:rsidRPr="00402239">
        <w:t xml:space="preserve"> ieņēmumu dienesta pievienotās vērtības nodokļa maksātāju reģistrā, apgrozījuma kritumu vērtē, ņemot vērā ieņēmumus no saimnieciskās darbības.</w:t>
      </w:r>
    </w:p>
    <w:p w14:paraId="140D8FDD" w14:textId="77777777" w:rsidR="00744CE3" w:rsidRPr="00402239" w:rsidRDefault="00744CE3" w:rsidP="00971C9A">
      <w:pPr>
        <w:spacing w:line="276" w:lineRule="auto"/>
        <w:ind w:firstLine="720"/>
        <w:jc w:val="both"/>
      </w:pPr>
      <w:r w:rsidRPr="00402239">
        <w:t>Nedz ar 2021.gada 29.aprīļa, nedz ar 2021.gada 27.maija grozījumiem Atbalsta noteikumu 4.2.1</w:t>
      </w:r>
      <w:r>
        <w:t>.</w:t>
      </w:r>
      <w:r w:rsidRPr="00402239">
        <w:t xml:space="preserve">apakšpunkts un </w:t>
      </w:r>
      <w:r w:rsidRPr="00402239">
        <w:rPr>
          <w:shd w:val="clear" w:color="auto" w:fill="FFFFFF"/>
        </w:rPr>
        <w:t>4.</w:t>
      </w:r>
      <w:r w:rsidRPr="00402239">
        <w:rPr>
          <w:shd w:val="clear" w:color="auto" w:fill="FFFFFF"/>
          <w:vertAlign w:val="superscript"/>
        </w:rPr>
        <w:t>1</w:t>
      </w:r>
      <w:r w:rsidRPr="00402239">
        <w:rPr>
          <w:shd w:val="clear" w:color="auto" w:fill="FFFFFF"/>
        </w:rPr>
        <w:t>punkts netika grozīti.</w:t>
      </w:r>
    </w:p>
    <w:p w14:paraId="6754DD43" w14:textId="77777777" w:rsidR="00744CE3" w:rsidRPr="00402239" w:rsidRDefault="00744CE3" w:rsidP="00971C9A">
      <w:pPr>
        <w:spacing w:line="276" w:lineRule="auto"/>
        <w:ind w:firstLine="720"/>
        <w:jc w:val="both"/>
      </w:pPr>
      <w:r w:rsidRPr="00402239">
        <w:t>No minētajām tiesību normām izriet, ka brīdī, kad pieteicēja pieprasīja atbalstu, t.i., 2021.gada 1</w:t>
      </w:r>
      <w:r>
        <w:t>5</w:t>
      </w:r>
      <w:r w:rsidRPr="00402239">
        <w:t>.</w:t>
      </w:r>
      <w:r>
        <w:t>martā</w:t>
      </w:r>
      <w:r w:rsidRPr="00402239">
        <w:t xml:space="preserve">, tiesību normas </w:t>
      </w:r>
      <w:r w:rsidRPr="00402239">
        <w:rPr>
          <w:i/>
          <w:iCs/>
        </w:rPr>
        <w:t>expressis verbis</w:t>
      </w:r>
      <w:r w:rsidRPr="00402239">
        <w:t xml:space="preserve"> nereglamentēja, kādi dati ir ņemami vērā, nosakot Atbalsta noteikumu 4.2.1.apakšpunktā minēto apgrozījuma kritumu. Tādējādi tas bija izsecināms, interpretējot 4.2.1.apakšpunktā minēto jēdzienu „apgrozījums”, tiesību normu piemērotājam izmantojot citas tiesību normu interpretācijas metodes. Savukārt ar 2021.gada 8.jūniju likumdevējs, papildinot Atbalsta noteikumus ar 4.</w:t>
      </w:r>
      <w:r w:rsidRPr="00402239">
        <w:rPr>
          <w:vertAlign w:val="superscript"/>
        </w:rPr>
        <w:t>3</w:t>
      </w:r>
      <w:r w:rsidRPr="00402239">
        <w:t xml:space="preserve">punktu, </w:t>
      </w:r>
      <w:r w:rsidRPr="00402239">
        <w:rPr>
          <w:i/>
          <w:iCs/>
        </w:rPr>
        <w:t>expressis verbis</w:t>
      </w:r>
      <w:r w:rsidRPr="00402239">
        <w:t xml:space="preserve"> ir noteicis, kādi dati ņemami vērā, nosakot apgrozījuma kritumu.</w:t>
      </w:r>
    </w:p>
    <w:p w14:paraId="3DB93439" w14:textId="77777777" w:rsidR="00744CE3" w:rsidRDefault="00744CE3" w:rsidP="00971C9A">
      <w:pPr>
        <w:spacing w:line="276" w:lineRule="auto"/>
        <w:ind w:firstLine="720"/>
        <w:jc w:val="both"/>
      </w:pPr>
      <w:r w:rsidRPr="00402239">
        <w:t xml:space="preserve">Vienlaikus, aplūkojot Atbalsta noteikumus redakcijā, kas bija spēkā jau pēc 2021.gada 27.maija grozījumu izdarīšanas, proti, pēc 2021.gada 8.jūnija, var </w:t>
      </w:r>
      <w:r>
        <w:t>secināt</w:t>
      </w:r>
      <w:r w:rsidRPr="00402239">
        <w:t>, ka 4.</w:t>
      </w:r>
      <w:r w:rsidRPr="00402239">
        <w:rPr>
          <w:vertAlign w:val="superscript"/>
        </w:rPr>
        <w:t>3</w:t>
      </w:r>
      <w:r w:rsidRPr="00402239">
        <w:t xml:space="preserve">punktā noteiktie apgrozījuma krituma noteikšanai izmantojamie dati ir piemērojami attiecībā uz visu atbalsta periodu, kas atbilstoši Atbalsta noteikumu 2.punktam ir </w:t>
      </w:r>
      <w:r w:rsidRPr="00402239">
        <w:rPr>
          <w:shd w:val="clear" w:color="auto" w:fill="FFFFFF"/>
        </w:rPr>
        <w:t xml:space="preserve">laikposms no 2020.gada 1.novembra līdz 2021.gada 30.jūnijam. Tāpēc ir būtiski noskaidrot, kas ir tie apsvērumi, kas noteic </w:t>
      </w:r>
      <w:r w:rsidRPr="00402239">
        <w:t>Atbalsta noteikumu 2021.gada 27.maija grozījumu iedarbības laiku katrā konkrētā gadījumā.</w:t>
      </w:r>
    </w:p>
    <w:p w14:paraId="0515433B" w14:textId="77777777" w:rsidR="00744CE3" w:rsidRDefault="00744CE3" w:rsidP="00971C9A">
      <w:pPr>
        <w:spacing w:line="276" w:lineRule="auto"/>
        <w:ind w:firstLine="720"/>
        <w:jc w:val="both"/>
      </w:pPr>
    </w:p>
    <w:p w14:paraId="1BC0DDB7" w14:textId="77777777" w:rsidR="00744CE3" w:rsidRPr="00402239" w:rsidRDefault="00744CE3" w:rsidP="00971C9A">
      <w:pPr>
        <w:spacing w:line="276" w:lineRule="auto"/>
        <w:ind w:firstLine="720"/>
        <w:jc w:val="both"/>
        <w:rPr>
          <w:lang w:eastAsia="lv-LV"/>
        </w:rPr>
      </w:pPr>
      <w:r>
        <w:t xml:space="preserve">[9] </w:t>
      </w:r>
      <w:r w:rsidRPr="00402239">
        <w:rPr>
          <w:lang w:eastAsia="lv-LV"/>
        </w:rPr>
        <w:t xml:space="preserve">No Atbalsta noteikumiem kopumā izriet, ka atbalsts tiek piešķirts par konkrētiem atbalsta perioda mēnešiem. Turklāt no Atbalsta noteikumu 4.2.apakšpunkta izriet, ka nosacījumiem, kas ļauj pretendēt uz atbalstu, ir </w:t>
      </w:r>
      <w:r>
        <w:rPr>
          <w:lang w:eastAsia="lv-LV"/>
        </w:rPr>
        <w:t xml:space="preserve">jāīstenojas </w:t>
      </w:r>
      <w:r w:rsidRPr="00402239">
        <w:rPr>
          <w:lang w:eastAsia="lv-LV"/>
        </w:rPr>
        <w:t>konkrētā atbalsta perioda mēnesī. Likumsakarīgi, ka atbalstu var pieprasīt tikai pēc konkrētā atbalsta perioda mēneša, tā kā datus, kas pierāda atbalsta nepieciešamību, var iegūt, tikai šim periodam noslēdzoties. Izskatāmajā lietā pieteicēja pieprasījusi atbalstu par 2021.gada</w:t>
      </w:r>
      <w:r>
        <w:rPr>
          <w:lang w:eastAsia="lv-LV"/>
        </w:rPr>
        <w:t xml:space="preserve"> janvāri</w:t>
      </w:r>
      <w:r w:rsidRPr="00402239">
        <w:rPr>
          <w:lang w:eastAsia="lv-LV"/>
        </w:rPr>
        <w:t xml:space="preserve">. </w:t>
      </w:r>
    </w:p>
    <w:p w14:paraId="5106808F" w14:textId="6036386F" w:rsidR="00744CE3" w:rsidRDefault="00744CE3" w:rsidP="00971C9A">
      <w:pPr>
        <w:spacing w:line="276" w:lineRule="auto"/>
        <w:ind w:firstLine="720"/>
        <w:jc w:val="both"/>
      </w:pPr>
      <w:r w:rsidRPr="00402239">
        <w:rPr>
          <w:rFonts w:eastAsia="Calibri"/>
        </w:rPr>
        <w:t>Ja tiesa izskata pieteikumu par labvēlīga administratīvā akta izdošanu, tiesai, kas izskata lietu pēc būtības, jāvērtē tie tiesiskie un faktiskie apstākļi, kas pastāvēja līdz lietas izskatīšanas pabeigšanai. Izņēmums ir gadījumā, ja pieprasītais labums ir saistīts ar konkrētu laika periodu vai ja tiesību normas grozījuma gadījumā pārejas noteikumos ir atrunāts citādi (</w:t>
      </w:r>
      <w:r w:rsidRPr="00402239">
        <w:rPr>
          <w:rFonts w:eastAsia="Calibri"/>
          <w:i/>
          <w:iCs/>
        </w:rPr>
        <w:t>Senāta 2009.gada 11.decembra sprieduma lietā Nr. </w:t>
      </w:r>
      <w:hyperlink r:id="rId9" w:history="1">
        <w:r w:rsidRPr="00402239">
          <w:rPr>
            <w:rStyle w:val="Hyperlink"/>
            <w:rFonts w:eastAsia="Calibri"/>
            <w:i/>
            <w:iCs/>
            <w:color w:val="auto"/>
            <w:u w:val="none"/>
          </w:rPr>
          <w:t>SKA-345/2009</w:t>
        </w:r>
      </w:hyperlink>
      <w:r w:rsidRPr="00402239">
        <w:rPr>
          <w:rFonts w:eastAsia="Calibri"/>
          <w:i/>
          <w:iCs/>
        </w:rPr>
        <w:t xml:space="preserve">, </w:t>
      </w:r>
      <w:hyperlink r:id="rId10" w:history="1">
        <w:r w:rsidRPr="002D0760">
          <w:rPr>
            <w:rStyle w:val="Hyperlink"/>
            <w:rFonts w:eastAsia="Calibri"/>
            <w:i/>
            <w:iCs/>
          </w:rPr>
          <w:t>A42283905</w:t>
        </w:r>
      </w:hyperlink>
      <w:r w:rsidRPr="001F3ACD">
        <w:rPr>
          <w:rFonts w:eastAsia="Calibri"/>
          <w:i/>
          <w:iCs/>
        </w:rPr>
        <w:t xml:space="preserve">, 10.punkts; 2015.gada 3.marta sprieduma lietā Nr. SKA-53/2015, </w:t>
      </w:r>
      <w:hyperlink r:id="rId11" w:history="1">
        <w:r w:rsidRPr="002D0760">
          <w:rPr>
            <w:rStyle w:val="Hyperlink"/>
            <w:rFonts w:eastAsia="Calibri"/>
            <w:i/>
            <w:iCs/>
          </w:rPr>
          <w:t>A420635711</w:t>
        </w:r>
      </w:hyperlink>
      <w:r w:rsidRPr="001F3ACD">
        <w:rPr>
          <w:rFonts w:eastAsia="Calibri"/>
          <w:i/>
          <w:iCs/>
        </w:rPr>
        <w:t>, 5.punkts</w:t>
      </w:r>
      <w:r w:rsidRPr="001F3ACD">
        <w:rPr>
          <w:rFonts w:eastAsia="Calibri"/>
        </w:rPr>
        <w:t xml:space="preserve">). </w:t>
      </w:r>
      <w:r w:rsidRPr="001F3ACD">
        <w:t xml:space="preserve">Atziņa par izņēmumu gadījumā, ja pieprasītais labums ir saistīts ar konkrētu laika periodu, balstīta uz nepieciešamību pasargāt personas tiesisko paļāvību, kas tai radusies saistībā ar konkrēto tiesību normu. Tādējādi tiek nodrošināts, ka labums </w:t>
      </w:r>
      <w:r w:rsidRPr="00402239">
        <w:t xml:space="preserve">par attiecīgo laiku tiek piešķirts neatkarīgi no tā, vai lietas izskatīšanas laikā tiesību </w:t>
      </w:r>
      <w:r w:rsidRPr="00285285">
        <w:t xml:space="preserve">normas tādu joprojām paredz (sal. </w:t>
      </w:r>
      <w:r w:rsidRPr="00285285">
        <w:rPr>
          <w:i/>
          <w:iCs/>
        </w:rPr>
        <w:t>Senāta 2015.gada 10.jūlija sprieduma lietā Nr. SKA</w:t>
      </w:r>
      <w:r>
        <w:rPr>
          <w:i/>
          <w:iCs/>
        </w:rPr>
        <w:noBreakHyphen/>
      </w:r>
      <w:r w:rsidRPr="00285285">
        <w:rPr>
          <w:i/>
          <w:iCs/>
        </w:rPr>
        <w:t xml:space="preserve">39/2015, </w:t>
      </w:r>
      <w:hyperlink r:id="rId12" w:history="1">
        <w:r w:rsidRPr="002D0760">
          <w:rPr>
            <w:rStyle w:val="Hyperlink"/>
            <w:i/>
            <w:iCs/>
          </w:rPr>
          <w:t>A420794710</w:t>
        </w:r>
      </w:hyperlink>
      <w:r w:rsidRPr="00285285">
        <w:rPr>
          <w:i/>
          <w:iCs/>
        </w:rPr>
        <w:t>, 11.punkts</w:t>
      </w:r>
      <w:r w:rsidRPr="00285285">
        <w:t xml:space="preserve">; </w:t>
      </w:r>
      <w:r w:rsidRPr="00285285">
        <w:rPr>
          <w:i/>
          <w:iCs/>
        </w:rPr>
        <w:t xml:space="preserve">Senāta 2019.gada 28.marta rīcības sēdes </w:t>
      </w:r>
      <w:r w:rsidRPr="00285285">
        <w:rPr>
          <w:i/>
          <w:iCs/>
        </w:rPr>
        <w:lastRenderedPageBreak/>
        <w:t xml:space="preserve">lēmuma lietā Nr. SKA-189/2019, </w:t>
      </w:r>
      <w:hyperlink r:id="rId13" w:history="1">
        <w:r w:rsidRPr="006432D2">
          <w:rPr>
            <w:rStyle w:val="Hyperlink"/>
            <w:rFonts w:eastAsiaTheme="minorHAnsi"/>
            <w:i/>
            <w:iCs/>
            <w:lang w:eastAsia="en-US"/>
          </w:rPr>
          <w:t>ECLI:LV:AT:2019:0328.A420200515.1.L</w:t>
        </w:r>
      </w:hyperlink>
      <w:r w:rsidRPr="00285285">
        <w:rPr>
          <w:i/>
          <w:iCs/>
        </w:rPr>
        <w:t xml:space="preserve">, </w:t>
      </w:r>
      <w:r>
        <w:rPr>
          <w:i/>
          <w:iCs/>
        </w:rPr>
        <w:t>4</w:t>
      </w:r>
      <w:r w:rsidRPr="00285285">
        <w:rPr>
          <w:i/>
          <w:iCs/>
        </w:rPr>
        <w:t>.punkts</w:t>
      </w:r>
      <w:r w:rsidRPr="00285285">
        <w:t>), un secīgi – neatkarīgi no tā, kad lieta tiek izskatīta.</w:t>
      </w:r>
    </w:p>
    <w:p w14:paraId="017EC7F1" w14:textId="77777777" w:rsidR="00744CE3" w:rsidRPr="00402239" w:rsidRDefault="00744CE3" w:rsidP="00971C9A">
      <w:pPr>
        <w:spacing w:line="276" w:lineRule="auto"/>
        <w:ind w:firstLine="720"/>
        <w:jc w:val="both"/>
      </w:pPr>
      <w:bookmarkStart w:id="6" w:name="_Hlk210742215"/>
      <w:r w:rsidRPr="00402239">
        <w:t xml:space="preserve">Līdz ar to apgabaltiesa pamatoti atzinusi, ka lietā </w:t>
      </w:r>
      <w:r>
        <w:t xml:space="preserve">apgrozījuma krituma aprēķināšanai </w:t>
      </w:r>
      <w:r w:rsidRPr="00402239">
        <w:t xml:space="preserve">nav piemērojamas tiesību </w:t>
      </w:r>
      <w:r w:rsidRPr="00D52186">
        <w:t>normas, kuras bija spēkā laikā, kad pieteicējas iesniegums tika izskatīts.</w:t>
      </w:r>
    </w:p>
    <w:bookmarkEnd w:id="6"/>
    <w:p w14:paraId="77C921CB" w14:textId="77777777" w:rsidR="00744CE3" w:rsidRPr="00402239" w:rsidRDefault="00744CE3" w:rsidP="00971C9A">
      <w:pPr>
        <w:spacing w:line="276" w:lineRule="auto"/>
        <w:ind w:firstLine="720"/>
        <w:jc w:val="both"/>
      </w:pPr>
      <w:r w:rsidRPr="00402239">
        <w:t xml:space="preserve">Vienlaikus Senāts vērš uzmanību, ka tiesību normās paredzētā labuma piešķiršana ir atkarīga no pašas personas rīcības, proti, no tā, vai un kad tā pieprasa šo labumu. Tas izriet no apstākļa, ka tiesiskais regulējums nav statisks un likumdevējam ir tiesības grozīt vai atcelt tiesību normas, tostarp grozīt vai papildināt priekšnoteikumus, no kuru izpildīšanās ir atkarīga labuma piešķiršana. Šādos apstākļos ir jārēķinās ar to, ka subjektīvās publiskās tiesības prasīt labvēlīgu administratīvo aktu pastāv tad, ja tas izriet no tiesību normām. Arī pamats piešķirt prasīto labumu ir atkarīgs no tā, vai izpildās visi priekšnoteikumi šā labuma saņemšanai. Tāpat ir jāņem vērā, ka likumdevējam ir tiesības </w:t>
      </w:r>
      <w:r w:rsidRPr="00285285">
        <w:t>pieteikšanos uz konkrētu labumu ierobežot laikā. Ievērojot minēto, ir būtiski, ka brīdī, kad persona izmanto tiesības pieteikties uz kādu labumu, tiesību normas to vispār paredz un persona ir izpildījusi visus priekšnoteikumus, ko prasa uz iesnieguma iesniegšanas brīdi spēkā esošās tiesību normas, lai prasīto labumu par konkrēto laika periodu tai varētu piešķirt.</w:t>
      </w:r>
      <w:r w:rsidRPr="00402239">
        <w:t xml:space="preserve"> </w:t>
      </w:r>
    </w:p>
    <w:p w14:paraId="7A226041" w14:textId="77777777" w:rsidR="00744CE3" w:rsidRPr="00402239" w:rsidRDefault="00744CE3" w:rsidP="00971C9A">
      <w:pPr>
        <w:spacing w:line="276" w:lineRule="auto"/>
        <w:ind w:firstLine="720"/>
        <w:jc w:val="both"/>
      </w:pPr>
      <w:r w:rsidRPr="00285285">
        <w:t>Tādējādi, noskaidrojot, vai personai ir tiesības uz prasīto labumu par konkrēto periodu, ir jāņem vērā, vai tiesību normas uz iesnieguma iesniegšanas brīdi šādu labumu paredzēja un vai persona ir izpildījusi uz iesnieguma brīdi spēkā esošajās tiesību normās norādītos priekšnoteikumus.</w:t>
      </w:r>
      <w:r w:rsidRPr="00402239">
        <w:t xml:space="preserve"> </w:t>
      </w:r>
    </w:p>
    <w:p w14:paraId="13D39E91" w14:textId="77777777" w:rsidR="00744CE3" w:rsidRDefault="00744CE3" w:rsidP="00971C9A">
      <w:pPr>
        <w:spacing w:line="276" w:lineRule="auto"/>
        <w:ind w:firstLine="720"/>
        <w:jc w:val="both"/>
      </w:pPr>
    </w:p>
    <w:p w14:paraId="3876EB61" w14:textId="77777777" w:rsidR="00744CE3" w:rsidRPr="00402239" w:rsidRDefault="00744CE3" w:rsidP="00971C9A">
      <w:pPr>
        <w:spacing w:line="276" w:lineRule="auto"/>
        <w:ind w:firstLine="720"/>
        <w:jc w:val="both"/>
      </w:pPr>
      <w:r>
        <w:t xml:space="preserve">[10] Vienlaikus jāpievēršas jautājumam par to, vai Atbalsta noteikumu </w:t>
      </w:r>
      <w:r w:rsidRPr="00402239">
        <w:t xml:space="preserve">2021.gada 27.maija grozījumi būtu piemērojami, jo vispārīgi vēlāk pieņemtām tiesību normām var būt arī atpakaļejošs spēks. </w:t>
      </w:r>
    </w:p>
    <w:p w14:paraId="4530C5C0" w14:textId="77777777" w:rsidR="00744CE3" w:rsidRDefault="00744CE3" w:rsidP="00971C9A">
      <w:pPr>
        <w:spacing w:line="276" w:lineRule="auto"/>
        <w:ind w:firstLine="720"/>
        <w:jc w:val="both"/>
        <w:rPr>
          <w:rFonts w:ascii="TimesNewRomanPSMT" w:eastAsiaTheme="minorHAnsi" w:hAnsi="TimesNewRomanPSMT" w:cs="TimesNewRomanPSMT"/>
          <w:lang w:eastAsia="en-US"/>
        </w:rPr>
      </w:pPr>
      <w:r w:rsidRPr="00402239">
        <w:rPr>
          <w:rFonts w:ascii="TimesNewRomanPSMT" w:eastAsiaTheme="minorHAnsi" w:hAnsi="TimesNewRomanPSMT" w:cs="TimesNewRomanPSMT"/>
          <w:lang w:eastAsia="en-US"/>
        </w:rPr>
        <w:t xml:space="preserve">Ņemot vērā anotācijā norādīto, secināms, ka Atbalsta noteikumu 2021.gada 27.maija grozījumi ir vērsti uz to, lai turpinātu aktivitātes tautsaimniecības ilgtspējīgai attīstībai, atbalsta programma tiek pagarināta par vienu mēnesi, samazinot atbalsta </w:t>
      </w:r>
      <w:r w:rsidRPr="00431C28">
        <w:rPr>
          <w:rFonts w:ascii="TimesNewRomanPSMT" w:eastAsiaTheme="minorHAnsi" w:hAnsi="TimesNewRomanPSMT" w:cs="TimesNewRomanPSMT"/>
          <w:lang w:eastAsia="en-US"/>
        </w:rPr>
        <w:t>apmēru, jo epidemioloģiskā situācija uzlabojas; noteikumos tiek precizēta apgrozījuma noteikšanas kārtība un precizēta norma atbalsta apmēram par 2021.gada maij</w:t>
      </w:r>
      <w:r>
        <w:rPr>
          <w:rFonts w:ascii="TimesNewRomanPSMT" w:eastAsiaTheme="minorHAnsi" w:hAnsi="TimesNewRomanPSMT" w:cs="TimesNewRomanPSMT"/>
          <w:lang w:eastAsia="en-US"/>
        </w:rPr>
        <w:t>u</w:t>
      </w:r>
      <w:r w:rsidRPr="00431C28">
        <w:rPr>
          <w:rFonts w:ascii="TimesNewRomanPSMT" w:eastAsiaTheme="minorHAnsi" w:hAnsi="TimesNewRomanPSMT" w:cs="TimesNewRomanPSMT"/>
          <w:lang w:eastAsia="en-US"/>
        </w:rPr>
        <w:t xml:space="preserve"> un jūnij</w:t>
      </w:r>
      <w:r>
        <w:rPr>
          <w:rFonts w:ascii="TimesNewRomanPSMT" w:eastAsiaTheme="minorHAnsi" w:hAnsi="TimesNewRomanPSMT" w:cs="TimesNewRomanPSMT"/>
          <w:lang w:eastAsia="en-US"/>
        </w:rPr>
        <w:t>u</w:t>
      </w:r>
      <w:r w:rsidRPr="00431C28">
        <w:rPr>
          <w:rFonts w:ascii="TimesNewRomanPSMT" w:eastAsiaTheme="minorHAnsi" w:hAnsi="TimesNewRomanPSMT" w:cs="TimesNewRomanPSMT"/>
          <w:lang w:eastAsia="en-US"/>
        </w:rPr>
        <w:t>. Atbalsta noteikumu 2021.gada 27.maija grozījumi tika pieņemti saistībā ar to, ka</w:t>
      </w:r>
      <w:r w:rsidRPr="00402239">
        <w:rPr>
          <w:rFonts w:ascii="TimesNewRomanPSMT" w:eastAsiaTheme="minorHAnsi" w:hAnsi="TimesNewRomanPSMT" w:cs="TimesNewRomanPSMT"/>
          <w:lang w:eastAsia="en-US"/>
        </w:rPr>
        <w:t xml:space="preserve"> valstī mainījās epidemioloģiskā situācija un bija nepieciešams pārskatīt atbalsta pasākumu apjomu. Grozījumu raksturs norāda uz to, ka regulējums ir vērsts uz nākotni. </w:t>
      </w:r>
    </w:p>
    <w:p w14:paraId="7B1F2499" w14:textId="77777777" w:rsidR="00744CE3" w:rsidRPr="00D27EC7" w:rsidRDefault="00744CE3" w:rsidP="00971C9A">
      <w:pPr>
        <w:spacing w:line="276" w:lineRule="auto"/>
        <w:ind w:firstLine="720"/>
        <w:jc w:val="both"/>
      </w:pPr>
      <w:r>
        <w:rPr>
          <w:rFonts w:ascii="TimesNewRomanPSMT" w:eastAsiaTheme="minorHAnsi" w:hAnsi="TimesNewRomanPSMT" w:cs="TimesNewRomanPSMT"/>
          <w:lang w:eastAsia="en-US"/>
        </w:rPr>
        <w:t xml:space="preserve">Ievērojot visu iepriekš minēto, </w:t>
      </w:r>
      <w:r w:rsidRPr="00402239">
        <w:t>konkrētajā lietā Atbalsta noteikumu 2021.gada 27.maija grozījumi</w:t>
      </w:r>
      <w:r>
        <w:t xml:space="preserve"> </w:t>
      </w:r>
      <w:r w:rsidRPr="00402239">
        <w:t xml:space="preserve">nav piemērojami, bet lietā ir piemērojami Atbalsta noteikumi redakcijā, kas bija spēkā uz pieteicējas iesnieguma iesniegšanas brīdi. </w:t>
      </w:r>
    </w:p>
    <w:p w14:paraId="74CBF737" w14:textId="77777777" w:rsidR="00744CE3" w:rsidRPr="00A21BB2" w:rsidRDefault="00744CE3" w:rsidP="00971C9A">
      <w:pPr>
        <w:spacing w:line="276" w:lineRule="auto"/>
        <w:ind w:firstLine="720"/>
        <w:jc w:val="both"/>
      </w:pPr>
    </w:p>
    <w:p w14:paraId="4FD80013" w14:textId="77777777" w:rsidR="00744CE3" w:rsidRPr="00402239" w:rsidRDefault="00744CE3" w:rsidP="00971C9A">
      <w:pPr>
        <w:spacing w:line="276" w:lineRule="auto"/>
        <w:ind w:firstLine="720"/>
        <w:jc w:val="both"/>
      </w:pPr>
      <w:r>
        <w:t xml:space="preserve">[11] Tālāk jānoskaidro, vai </w:t>
      </w:r>
      <w:r w:rsidRPr="00402239">
        <w:rPr>
          <w:lang w:eastAsia="lv-LV"/>
        </w:rPr>
        <w:t>saskaņā ar Atbalsta noteikumiem redakcijā, kas bija spēkā līdz 2021.gada 7.jūnijam, uzņēmuma apgrozījums nosakāms</w:t>
      </w:r>
      <w:r w:rsidRPr="00402239">
        <w:t xml:space="preserve"> atbilstoši Gada pārskatu likuma izpratnei vai arī ar apgrozījumu ir jāsaprot pievienotās vērtības nodokļa taksācijas perioda deklarācijā iekļautā kopējā darījumu vērtība.</w:t>
      </w:r>
    </w:p>
    <w:p w14:paraId="2C87C5ED" w14:textId="77777777" w:rsidR="00744CE3" w:rsidRDefault="00744CE3" w:rsidP="00971C9A">
      <w:pPr>
        <w:spacing w:line="276" w:lineRule="auto"/>
        <w:ind w:firstLine="720"/>
        <w:jc w:val="both"/>
      </w:pPr>
    </w:p>
    <w:p w14:paraId="6FC0D396" w14:textId="77777777" w:rsidR="00744CE3" w:rsidRDefault="00744CE3" w:rsidP="00971C9A">
      <w:pPr>
        <w:spacing w:line="276" w:lineRule="auto"/>
        <w:ind w:firstLine="720"/>
        <w:jc w:val="both"/>
      </w:pPr>
      <w:r>
        <w:t xml:space="preserve">[12] Atbilstoši Pievienotās vērtības nodokļa likumam pievienotās vērtības nodokļa deklarācijā tiek iekļauti visi darījumi, par kuriem ir izrakstīti pievienotās vērtības nodokļa rēķini. Savukārt </w:t>
      </w:r>
      <w:r w:rsidRPr="00CF6EA3">
        <w:t>Gada pārskatu likum</w:t>
      </w:r>
      <w:r>
        <w:t>s, uz ko atsaucas pieteicēja, pared</w:t>
      </w:r>
      <w:r w:rsidRPr="00CF6EA3">
        <w:t xml:space="preserve">z, ka neto apgrozījums ir ieņēmumi no produkcijas vai preču pārdošanas un pakalpojumu sniegšanas, no kuriem atskaitīta tirdzniecības atlaide un citas piešķirtās atlaides, kā arī </w:t>
      </w:r>
      <w:r w:rsidRPr="00CF6EA3">
        <w:lastRenderedPageBreak/>
        <w:t>pievienotās vērtības nodoklis un citi nodokļi, kas tieši saistīti ar apgrozījumu</w:t>
      </w:r>
      <w:r>
        <w:t xml:space="preserve"> (41.panta pirmā daļa)</w:t>
      </w:r>
      <w:r w:rsidRPr="00CF6EA3">
        <w:t xml:space="preserve">. </w:t>
      </w:r>
      <w:r>
        <w:t xml:space="preserve">Ministru kabineta 2015.gada 22.decembra noteikumu Nr. 775 „Gada pārskatu un konsolidēto gada pārskatu likuma piemērošanas noteikumi” </w:t>
      </w:r>
      <w:r w:rsidRPr="003C60A8">
        <w:t>(turpmāk – Gada pārskatu likuma piemērošanas noteikumi) 50.punkts noteic, ka ar pārskat</w:t>
      </w:r>
      <w:r w:rsidRPr="00CF6EA3">
        <w:t xml:space="preserve">a gadu saistītos ieņēmumus no produkcijas vai preču (turpmāk – preces) pārdošanas un pakalpojumu sniegšanas iekļauj peļņas vai zaudējumu aprēķina postenī „Neto apgrozījums” Gada pārskatu likuma 41.panta noteiktajā kārtībā. Ieņēmumus no preču pārdošanas un pakalpojumu sniegšanas neatkarīgi no maksājuma datuma un rēķina izrakstīšanas datuma uzskaita tad, kad ir izpildīti attiecīgie ieņēmumu uzskaites nosacījumi. </w:t>
      </w:r>
      <w:r>
        <w:t xml:space="preserve">Gada pārskatu likuma piemērošanas </w:t>
      </w:r>
      <w:r w:rsidRPr="00CF6EA3">
        <w:t>noteikumu sadaļā „4.1.</w:t>
      </w:r>
      <w:r>
        <w:t xml:space="preserve"> </w:t>
      </w:r>
      <w:r w:rsidRPr="00CF6EA3">
        <w:t xml:space="preserve">Ieņēmumi no produkcijas vai preču pārdošanas un pakalpojumu sniegšanas” </w:t>
      </w:r>
      <w:r>
        <w:t xml:space="preserve">ir </w:t>
      </w:r>
      <w:r w:rsidRPr="00CF6EA3">
        <w:t xml:space="preserve">norādīti </w:t>
      </w:r>
      <w:r>
        <w:t>noteikumi</w:t>
      </w:r>
      <w:r w:rsidRPr="00CF6EA3">
        <w:t>, kuriem jā</w:t>
      </w:r>
      <w:r>
        <w:t>iestājas</w:t>
      </w:r>
      <w:r w:rsidRPr="00CF6EA3">
        <w:t xml:space="preserve">, lai preču pārdošanas un pakalpojumu sniegšanas darījumus attiecinātu uz neto apgrozījumu. </w:t>
      </w:r>
      <w:r>
        <w:t>P</w:t>
      </w:r>
      <w:r w:rsidRPr="00CF6EA3">
        <w:t>iemēram, Gada pārskatu noteikumu 53.1.apakšpunkts paredz, ka ieņēmumus no preču pārdošanas uzskaita tad, ja preces (attiecīgos gadījumos – īpašumtiesības uz precēm), viss risks par to bojāšanos vai bojāeju un visi varbūtējie ieguvumi no šīm precēm (piemēram, ienākumi un vērtības pieaugums) ir nodoti pircējam. 54.punkt</w:t>
      </w:r>
      <w:r>
        <w:t xml:space="preserve">s noteic, ka </w:t>
      </w:r>
      <w:r w:rsidRPr="00CF6EA3">
        <w:t>preču pārdošanu atzīst, ņemot vērā saimnieciskā darījuma saturu un būtību, nevis tikai juridisko formu. Ja sabiedrība patur nozīmīgus īpašuma tiesībām uz precēm raksturīgos riskus, darījums nav pārdošana un ieņēmumus neatzīst. 57.punkt</w:t>
      </w:r>
      <w:r>
        <w:t>s noteic, ka tad</w:t>
      </w:r>
      <w:r w:rsidRPr="00CF6EA3">
        <w:t>, ja bilances datumā pakalpojumu sniegšanas līgums nav pilnībā izpildīts, bet ir iespējams ticami aplēst tā izpildes finansiālos rezultātus, ar šo līgumu saistītos ieņēmumus uzskaita, ņemot vērā minētā līguma izpildes pakāpi bilances datumā. Savukārt 59.punkts paredz, ka dāvanu karšu pārdošana uzskatāma par avansa maksājuma saņemšanu par preču piegādi vai pakalpojumu sniegšanu. Ieņēmumus atzīst brīdī, kad pircējam apmaiņā pret dāvanu karti ir izsniegtas preces vai sniegti pakalpojumi.</w:t>
      </w:r>
    </w:p>
    <w:p w14:paraId="53820E10" w14:textId="77777777" w:rsidR="00744CE3" w:rsidRDefault="00744CE3" w:rsidP="00971C9A">
      <w:pPr>
        <w:spacing w:line="276" w:lineRule="auto"/>
        <w:ind w:firstLine="720"/>
        <w:jc w:val="both"/>
        <w:rPr>
          <w:lang w:eastAsia="lv-LV"/>
        </w:rPr>
      </w:pPr>
      <w:r>
        <w:t xml:space="preserve">No minētajām tiesību normām izriet, ka neto apgrozījumā iekļaujamie ieņēmumi netiek saistīti tikai ar konkrēti izrakstītiem rēķiniem, bet uzņēmumam ir piešķirtas tiesības vērtēt saimnieciskā darījuma saturu un būtību un tā izpildes pakāpi. Ieņēmumus no preču pārdošanas uzskaita tad, kad tās ir nodotas pircējam, nevis kad ir veikts maksājums. </w:t>
      </w:r>
      <w:r w:rsidRPr="00402239">
        <w:rPr>
          <w:lang w:eastAsia="lv-LV"/>
        </w:rPr>
        <w:t xml:space="preserve">Savukārt atbilstoši Pievienotās vērtības nodokļa likumam pievienotās vērtības nodokļa deklarācijā tiek iekļauti visi darījumi. </w:t>
      </w:r>
    </w:p>
    <w:p w14:paraId="3F625D4B" w14:textId="5E99C1BD" w:rsidR="00744CE3" w:rsidRDefault="00744CE3" w:rsidP="00971C9A">
      <w:pPr>
        <w:spacing w:line="276" w:lineRule="auto"/>
        <w:ind w:firstLine="720"/>
        <w:jc w:val="both"/>
        <w:rPr>
          <w:lang w:eastAsia="lv-LV"/>
        </w:rPr>
      </w:pPr>
      <w:r w:rsidRPr="008013D4">
        <w:rPr>
          <w:lang w:eastAsia="lv-LV"/>
        </w:rPr>
        <w:t xml:space="preserve">Līdz ar to Senāts atzīst, ka Gada pārskatu likumā noteiktajā postenī „Neto apgrozījums” un pievienotās vērtības nodokļa deklarācijas 40.ailē „Kopējā darījumu vērtība” iekļaujamā informācija ir atšķirīga, jo tās iekļaušanai ir izvirzītas atšķirīgas prasības. Minēto apstiprina arī Atbalsta noteikumu </w:t>
      </w:r>
      <w:r>
        <w:rPr>
          <w:lang w:eastAsia="lv-LV"/>
        </w:rPr>
        <w:t xml:space="preserve">2021.gada </w:t>
      </w:r>
      <w:r w:rsidRPr="008013D4">
        <w:rPr>
          <w:lang w:eastAsia="lv-LV"/>
        </w:rPr>
        <w:t xml:space="preserve">27.maija grozījumu </w:t>
      </w:r>
      <w:r w:rsidRPr="006432D2">
        <w:rPr>
          <w:lang w:eastAsia="lv-LV"/>
        </w:rPr>
        <w:t xml:space="preserve">anotācija (pieejama: </w:t>
      </w:r>
      <w:hyperlink r:id="rId14" w:history="1">
        <w:r w:rsidRPr="006432D2">
          <w:rPr>
            <w:rStyle w:val="Hyperlink"/>
            <w:i/>
            <w:iCs/>
            <w:lang w:eastAsia="lv-LV"/>
          </w:rPr>
          <w:t>https://likumi.lv/wwwraksti/ANOTACIJAS/TAP/2021_06/EMANOT_270521_APGROZLIDZ.1262.DOCX</w:t>
        </w:r>
      </w:hyperlink>
      <w:r w:rsidRPr="006432D2">
        <w:rPr>
          <w:lang w:eastAsia="lv-LV"/>
        </w:rPr>
        <w:t>),</w:t>
      </w:r>
      <w:r w:rsidRPr="008013D4">
        <w:rPr>
          <w:lang w:eastAsia="lv-LV"/>
        </w:rPr>
        <w:t xml:space="preserve"> kur norādīts, ka praksē, ņemot vērā uzņēmuma individuālo grāmatvedības politiku un no tās izrietošo darījumu noformēšanu, var atšķirties konkrētā laika posma uzņēmuma apgrozījuma krituma rezultāts, tādējādi ietekmējot atbalsta saņemšanu. Minēto situāciju ietekmē avansa rēķina formas izvēle darījuma noformēšanai un iegrāmatošanai, kā arī ieņēmumu deklarēšanas brīža izvēle. Lai risinātu minēto situāciju, noteikumu projekts precizē, ka apgrozījumu un tā kritumu nosaka, vērtējot pievienotās vērtības nodokļa deklarācijas datus</w:t>
      </w:r>
      <w:r>
        <w:rPr>
          <w:lang w:eastAsia="lv-LV"/>
        </w:rPr>
        <w:t>.</w:t>
      </w:r>
    </w:p>
    <w:p w14:paraId="3BA1EC26" w14:textId="77777777" w:rsidR="00744CE3" w:rsidRDefault="00744CE3" w:rsidP="00971C9A">
      <w:pPr>
        <w:spacing w:line="276" w:lineRule="auto"/>
        <w:ind w:firstLine="720"/>
        <w:jc w:val="both"/>
        <w:rPr>
          <w:lang w:eastAsia="lv-LV"/>
        </w:rPr>
      </w:pPr>
      <w:r w:rsidRPr="008013D4">
        <w:rPr>
          <w:lang w:eastAsia="lv-LV"/>
        </w:rPr>
        <w:t>Ievērojot minēto, Senāts atzīst, ka,</w:t>
      </w:r>
      <w:r>
        <w:rPr>
          <w:lang w:eastAsia="lv-LV"/>
        </w:rPr>
        <w:t xml:space="preserve"> t</w:t>
      </w:r>
      <w:r w:rsidRPr="00402239">
        <w:rPr>
          <w:lang w:eastAsia="lv-LV"/>
        </w:rPr>
        <w:t xml:space="preserve">ā kā </w:t>
      </w:r>
      <w:r w:rsidRPr="00402239">
        <w:rPr>
          <w:rFonts w:eastAsiaTheme="minorHAnsi"/>
          <w:lang w:eastAsia="en-US"/>
        </w:rPr>
        <w:t xml:space="preserve">Pievienotās vērtības nodokļa likumā un citos normatīvajos aktos nav normu par apgrozījuma noteikšanu, Atbalsta noteikumos ar terminu „apgrozījums” sākotnēji bija domāts tieši neto apgrozījums Gada pārskatu likuma izpratnē. Savukārt, ņemot vērā, ka </w:t>
      </w:r>
      <w:r w:rsidRPr="00402239">
        <w:rPr>
          <w:lang w:eastAsia="lv-LV"/>
        </w:rPr>
        <w:t xml:space="preserve">uzņēmumu gada pārskatos un pievienotās vērtības </w:t>
      </w:r>
      <w:r w:rsidRPr="00402239">
        <w:rPr>
          <w:lang w:eastAsia="lv-LV"/>
        </w:rPr>
        <w:lastRenderedPageBreak/>
        <w:t xml:space="preserve">nodokļa deklarācijās iekļaujamā informācija atšķiras, </w:t>
      </w:r>
      <w:r>
        <w:rPr>
          <w:lang w:eastAsia="lv-LV"/>
        </w:rPr>
        <w:t xml:space="preserve">nav </w:t>
      </w:r>
      <w:r w:rsidRPr="00402239">
        <w:rPr>
          <w:lang w:eastAsia="lv-LV"/>
        </w:rPr>
        <w:t xml:space="preserve">pamata atzīt, ka pirms Atbalsta noteikumu </w:t>
      </w:r>
      <w:r w:rsidRPr="00402239">
        <w:t xml:space="preserve">2021.gada 27.maija </w:t>
      </w:r>
      <w:r w:rsidRPr="00402239">
        <w:rPr>
          <w:lang w:eastAsia="lv-LV"/>
        </w:rPr>
        <w:t xml:space="preserve">grozījumu pieņemšanas apgrozījuma noteikšanā Valsts ieņēmumu dienestam bija tiesības izmantot pievienotās vērtības nodokļa deklarācijās iekļauto informāciju. </w:t>
      </w:r>
    </w:p>
    <w:p w14:paraId="4DED48D8" w14:textId="77777777" w:rsidR="00744CE3" w:rsidRDefault="00744CE3" w:rsidP="00971C9A">
      <w:pPr>
        <w:spacing w:line="276" w:lineRule="auto"/>
        <w:ind w:firstLine="720"/>
        <w:jc w:val="both"/>
      </w:pPr>
    </w:p>
    <w:p w14:paraId="2310548C" w14:textId="77777777" w:rsidR="00744CE3" w:rsidRPr="00402239" w:rsidRDefault="00744CE3" w:rsidP="00971C9A">
      <w:pPr>
        <w:spacing w:line="276" w:lineRule="auto"/>
        <w:ind w:firstLine="720"/>
        <w:jc w:val="both"/>
      </w:pPr>
      <w:r>
        <w:t>[13] Papildus norādāms, ka, t</w:t>
      </w:r>
      <w:r w:rsidRPr="00402239">
        <w:t xml:space="preserve">ulkojot to, </w:t>
      </w:r>
      <w:r w:rsidRPr="00402239">
        <w:rPr>
          <w:lang w:eastAsia="lv-LV"/>
        </w:rPr>
        <w:t>kā Atbalsta noteikumu izpratnē ir nosakāms uzņēmuma apgrozījums,</w:t>
      </w:r>
      <w:r w:rsidRPr="00402239">
        <w:t xml:space="preserve"> ir jāņem vērā likumdevēja griba, kas visupirms ir atspoguļota pašā tiesību aktā un </w:t>
      </w:r>
      <w:r>
        <w:t xml:space="preserve">izriet no </w:t>
      </w:r>
      <w:r w:rsidRPr="00402239">
        <w:t>tā anotācij</w:t>
      </w:r>
      <w:r>
        <w:t>as</w:t>
      </w:r>
      <w:r w:rsidRPr="00402239">
        <w:t xml:space="preserve">. </w:t>
      </w:r>
    </w:p>
    <w:p w14:paraId="44883CAD" w14:textId="77777777" w:rsidR="00744CE3" w:rsidRPr="00402239" w:rsidRDefault="00744CE3" w:rsidP="00971C9A">
      <w:pPr>
        <w:spacing w:line="276" w:lineRule="auto"/>
        <w:ind w:firstLine="720"/>
        <w:jc w:val="both"/>
        <w:rPr>
          <w:rFonts w:eastAsia="Calibri"/>
        </w:rPr>
      </w:pPr>
      <w:r w:rsidRPr="00402239">
        <w:rPr>
          <w:rFonts w:eastAsia="Calibri"/>
        </w:rPr>
        <w:t>Atbalsta noteikumu 4.</w:t>
      </w:r>
      <w:r w:rsidRPr="00402239">
        <w:rPr>
          <w:rFonts w:eastAsia="Calibri"/>
          <w:vertAlign w:val="superscript"/>
        </w:rPr>
        <w:t>1</w:t>
      </w:r>
      <w:r w:rsidRPr="00402239">
        <w:rPr>
          <w:rFonts w:eastAsia="Calibri"/>
        </w:rPr>
        <w:t>punktā ir skaidrota 4.2.apakšpunktā minētā apgrozījuma krituma aprēķināšanas kārtība, un tas paredz, ka, aprēķinot apgrozījuma kritumu, neņem vērā šajos noteikumos noteikto iepriekš saņemtā atbalsta apmēru.</w:t>
      </w:r>
    </w:p>
    <w:p w14:paraId="398C8D11" w14:textId="77777777" w:rsidR="00744CE3" w:rsidRPr="00402239" w:rsidRDefault="00744CE3" w:rsidP="00971C9A">
      <w:pPr>
        <w:spacing w:line="276" w:lineRule="auto"/>
        <w:ind w:firstLine="720"/>
        <w:jc w:val="both"/>
        <w:rPr>
          <w:rFonts w:eastAsia="Calibri"/>
        </w:rPr>
      </w:pPr>
      <w:r w:rsidRPr="00402239">
        <w:rPr>
          <w:rFonts w:eastAsia="Calibri"/>
        </w:rPr>
        <w:t>Šāds normas formulējums liecina par apgrozījuma izpratni, kāda tā ir noteikta Gada pārskatu likuma 41.pantā, jo šā panta otrā daļa paredz, ka postenī „Pārējie saimnieciskās darbības ieņēmumi” norāda dažādus citus ieņēmumus (t.sk. no saņemtās finanšu palīdzības vai finansiālā atbalsta), kas nav norādīti postenī „Neto</w:t>
      </w:r>
      <w:r w:rsidRPr="00402239">
        <w:t xml:space="preserve"> apgrozījums” vai citos attiecīgajos </w:t>
      </w:r>
      <w:r w:rsidRPr="00F942A3">
        <w:t xml:space="preserve">ieņēmumu posteņos un kas radušies saimnieciskās darbības rezultātā vai izriet no tās. </w:t>
      </w:r>
      <w:r w:rsidRPr="00F942A3">
        <w:rPr>
          <w:rFonts w:eastAsia="Calibri"/>
        </w:rPr>
        <w:t>Savukārt saskaņā ar Pievienotās vērtības nodokļa likumu deklarējamie darījumi atšķirībā no Gada pārskatu likuma neaptver Atbalsta noteikumos paredzēto atbalstu. Tādējā</w:t>
      </w:r>
      <w:r w:rsidRPr="00285285">
        <w:rPr>
          <w:rFonts w:eastAsia="Calibri"/>
        </w:rPr>
        <w:t>di, ja uzņēmuma apgrozījums tiktu noteikts pēc pievienotās vērtības</w:t>
      </w:r>
      <w:r w:rsidRPr="00402239">
        <w:rPr>
          <w:rFonts w:eastAsia="Calibri"/>
        </w:rPr>
        <w:t xml:space="preserve"> nodokļa deklarācijas, šāds Atbalsta noteikumu 4.</w:t>
      </w:r>
      <w:r w:rsidRPr="00402239">
        <w:rPr>
          <w:rFonts w:eastAsia="Calibri"/>
          <w:vertAlign w:val="superscript"/>
        </w:rPr>
        <w:t>1</w:t>
      </w:r>
      <w:r w:rsidRPr="00402239">
        <w:rPr>
          <w:rFonts w:eastAsia="Calibri"/>
        </w:rPr>
        <w:t>punkts nebūtu nepieciešams.</w:t>
      </w:r>
    </w:p>
    <w:p w14:paraId="600CA54F" w14:textId="77777777" w:rsidR="00744CE3" w:rsidRDefault="00744CE3" w:rsidP="00971C9A">
      <w:pPr>
        <w:spacing w:line="276" w:lineRule="auto"/>
        <w:ind w:firstLine="720"/>
        <w:jc w:val="both"/>
        <w:rPr>
          <w:rFonts w:eastAsia="Calibri"/>
        </w:rPr>
      </w:pPr>
      <w:r w:rsidRPr="005B1409">
        <w:rPr>
          <w:rFonts w:eastAsia="Calibri"/>
        </w:rPr>
        <w:t>Šim secinājumam pirmšķietami pretēju priekšstatu var radīt fakts, ka ar 2021.gada 29.aprīļa un 2021.gada 27.maija grozījumiem Atbalsta noteikumu 4.</w:t>
      </w:r>
      <w:r w:rsidRPr="009D4B70">
        <w:rPr>
          <w:rFonts w:eastAsia="Calibri"/>
          <w:vertAlign w:val="superscript"/>
        </w:rPr>
        <w:t>1</w:t>
      </w:r>
      <w:r w:rsidRPr="005B1409">
        <w:rPr>
          <w:rFonts w:eastAsia="Calibri"/>
        </w:rPr>
        <w:t>punkts netika grozīts vai izslēgts no noteikumiem, kas varētu liecināt, ka tajā tomēr ir runa par pievienotās vērtības nodokļa deklarāciju. Tomēr, ņemot vērā Senāta iepriekš minētos apsvērumus, jāatzīst, ka šādam secinājumam nav pamata, jo tas nonāk pretrunā ar pašas normas tekstu un jēgu, un tas faktiski liecina par to, ka norma attiecīgajā brīdī netika grozīta vai izslēgta no noteikumiem kļūdas pēc.</w:t>
      </w:r>
    </w:p>
    <w:p w14:paraId="602EA343" w14:textId="77777777" w:rsidR="00744CE3" w:rsidRPr="00402239" w:rsidRDefault="00744CE3" w:rsidP="00971C9A">
      <w:pPr>
        <w:spacing w:line="276" w:lineRule="auto"/>
        <w:ind w:firstLine="720"/>
        <w:jc w:val="both"/>
        <w:rPr>
          <w:rFonts w:eastAsia="Calibri"/>
        </w:rPr>
      </w:pPr>
      <w:r w:rsidRPr="00564D94">
        <w:rPr>
          <w:rFonts w:eastAsia="Calibri"/>
        </w:rPr>
        <w:t>Tātad par tādu pašu apgrozījuma</w:t>
      </w:r>
      <w:r w:rsidRPr="00402239">
        <w:rPr>
          <w:rFonts w:eastAsia="Calibri"/>
        </w:rPr>
        <w:t xml:space="preserve"> izpratni liecina arī </w:t>
      </w:r>
      <w:r w:rsidRPr="00402239">
        <w:t xml:space="preserve">Atbalsta noteikumu </w:t>
      </w:r>
      <w:r w:rsidRPr="00402239">
        <w:rPr>
          <w:shd w:val="clear" w:color="auto" w:fill="FFFFFF"/>
        </w:rPr>
        <w:t>2021.gada 29.aprīļa grozījumi</w:t>
      </w:r>
      <w:r w:rsidRPr="00402239">
        <w:rPr>
          <w:rFonts w:eastAsia="Calibri"/>
        </w:rPr>
        <w:t>, kas stājās spēkā 2021.gada 8.jūnijā, un to anotācija. Ar šiem grozījumiem Atbalsta noteikumi tika papildināti ar 4.</w:t>
      </w:r>
      <w:r w:rsidRPr="00402239">
        <w:rPr>
          <w:rFonts w:eastAsia="Calibri"/>
          <w:vertAlign w:val="superscript"/>
        </w:rPr>
        <w:t>2</w:t>
      </w:r>
      <w:r w:rsidRPr="00402239">
        <w:rPr>
          <w:rFonts w:eastAsia="Calibri"/>
        </w:rPr>
        <w:t>punktu, kas paredz, ka, aprēķinot apgrozījuma kritumu, ņem vērā apgrozījumu no saimnieciskās darbības. A</w:t>
      </w:r>
      <w:r w:rsidRPr="00402239">
        <w:t>notācijas (</w:t>
      </w:r>
      <w:r w:rsidRPr="00402239">
        <w:rPr>
          <w:iCs/>
        </w:rPr>
        <w:t>pieejama:</w:t>
      </w:r>
      <w:r w:rsidRPr="00402239">
        <w:rPr>
          <w:i/>
        </w:rPr>
        <w:t> </w:t>
      </w:r>
      <w:hyperlink r:id="rId15" w:history="1">
        <w:r w:rsidRPr="00402239">
          <w:rPr>
            <w:rStyle w:val="Hyperlink"/>
            <w:i/>
            <w:iCs/>
          </w:rPr>
          <w:t>https://likumi.lv/wwwraksti/ANOTACIJAS/TAP/2021_05/EMANOT_260421_APGROZLIDZ.975.DOCX</w:t>
        </w:r>
      </w:hyperlink>
      <w:r w:rsidRPr="00402239">
        <w:t xml:space="preserve">) sadaļā </w:t>
      </w:r>
      <w:r w:rsidRPr="00402239">
        <w:rPr>
          <w:rFonts w:eastAsia="Calibri"/>
        </w:rPr>
        <w:t xml:space="preserve">„Pašreizējā situācija un problēmas” skaidrots, ka šie grozījumi izdarīti, lai novērstu dažādo interpretāciju par apgrozījumā ieskaitāmajiem līdzekļiem, Ministru kabineta noteikumu projekts precizē, ka, aprēķinot Atbalsta noteikumu 4.2.apakšpunktā noteikto apgrozījuma kritumu, ņem vērā tikai apgrozījumu no saimnieciskās darbības (t.i., pārējos saimnieciskās darbības ieņēmumos neieskaita saņemto finanšu palīdzības vai finansiālo atbalstu, tādējādi secināms, ka uzņēmumu saņemtie ziedojumi, dotācijas un valsts atbalsti nav jāskaita apgrozījumā). </w:t>
      </w:r>
    </w:p>
    <w:p w14:paraId="783A19D4" w14:textId="77777777" w:rsidR="00744CE3" w:rsidRPr="00402239" w:rsidRDefault="00744CE3" w:rsidP="00971C9A">
      <w:pPr>
        <w:spacing w:line="276" w:lineRule="auto"/>
        <w:ind w:firstLine="720"/>
        <w:jc w:val="both"/>
        <w:rPr>
          <w:rFonts w:eastAsia="Calibri"/>
        </w:rPr>
      </w:pPr>
      <w:r w:rsidRPr="00402239">
        <w:rPr>
          <w:rFonts w:eastAsia="Calibri"/>
        </w:rPr>
        <w:t>Gan no 4.</w:t>
      </w:r>
      <w:r w:rsidRPr="00402239">
        <w:rPr>
          <w:rFonts w:eastAsia="Calibri"/>
          <w:vertAlign w:val="superscript"/>
        </w:rPr>
        <w:t>2</w:t>
      </w:r>
      <w:r w:rsidRPr="00402239">
        <w:rPr>
          <w:rFonts w:eastAsia="Calibri"/>
        </w:rPr>
        <w:t xml:space="preserve">punkta tiešā teksta, gan arī no minētās anotācijas ir secināms, ka ar apgrozījumu ir ticis domāts apgrozījums </w:t>
      </w:r>
      <w:r w:rsidRPr="00402239">
        <w:t xml:space="preserve">Gada pārskatu likuma izpratnē, jo </w:t>
      </w:r>
      <w:r w:rsidRPr="00402239">
        <w:rPr>
          <w:rFonts w:eastAsia="Calibri"/>
        </w:rPr>
        <w:t>pievienotās vērtības nodokļa deklarācijā iepriekš minētie ieņēmumi netiek ieskaitīti.</w:t>
      </w:r>
    </w:p>
    <w:p w14:paraId="67FDC7B5" w14:textId="77777777" w:rsidR="00744CE3" w:rsidRPr="00285285" w:rsidRDefault="00744CE3" w:rsidP="00971C9A">
      <w:pPr>
        <w:spacing w:line="276" w:lineRule="auto"/>
        <w:ind w:firstLine="720"/>
        <w:jc w:val="both"/>
      </w:pPr>
      <w:r w:rsidRPr="00402239">
        <w:rPr>
          <w:rFonts w:eastAsia="Calibri"/>
        </w:rPr>
        <w:t xml:space="preserve">Tādi paši secinājumi ir izdarāmi arī no Atbalsta noteikumu </w:t>
      </w:r>
      <w:r w:rsidRPr="00402239">
        <w:rPr>
          <w:shd w:val="clear" w:color="auto" w:fill="FFFFFF"/>
        </w:rPr>
        <w:t xml:space="preserve">2021.gada 27.maija </w:t>
      </w:r>
      <w:r w:rsidRPr="00402239">
        <w:rPr>
          <w:rFonts w:eastAsia="Calibri"/>
        </w:rPr>
        <w:t>grozījumu, ar kuriem Atbalsta noteikumi tika papildināti ar 4.</w:t>
      </w:r>
      <w:r w:rsidRPr="00402239">
        <w:rPr>
          <w:rFonts w:eastAsia="Calibri"/>
          <w:vertAlign w:val="superscript"/>
        </w:rPr>
        <w:t>3</w:t>
      </w:r>
      <w:r w:rsidRPr="00402239">
        <w:rPr>
          <w:rFonts w:eastAsia="Calibri"/>
        </w:rPr>
        <w:t xml:space="preserve">punktu, anotācijas </w:t>
      </w:r>
      <w:r w:rsidRPr="00402239">
        <w:t>(</w:t>
      </w:r>
      <w:r w:rsidRPr="00402239">
        <w:rPr>
          <w:iCs/>
        </w:rPr>
        <w:t>pieejama:</w:t>
      </w:r>
      <w:r w:rsidRPr="00402239">
        <w:rPr>
          <w:i/>
        </w:rPr>
        <w:t xml:space="preserve"> </w:t>
      </w:r>
      <w:hyperlink r:id="rId16" w:history="1">
        <w:r w:rsidRPr="00402239">
          <w:rPr>
            <w:rStyle w:val="Hyperlink"/>
            <w:rFonts w:eastAsia="Calibri"/>
            <w:i/>
            <w:iCs/>
          </w:rPr>
          <w:t>https://likumi.lv/wwwraksti/ANOTACIJAS/TAP/2021_06/EMANOT_270521_APGROZLIDZ.1262.DOCX</w:t>
        </w:r>
      </w:hyperlink>
      <w:r w:rsidRPr="00402239">
        <w:rPr>
          <w:rFonts w:eastAsia="Calibri"/>
        </w:rPr>
        <w:t xml:space="preserve">). Anotācijas </w:t>
      </w:r>
      <w:r w:rsidRPr="00402239">
        <w:t xml:space="preserve">sadaļā </w:t>
      </w:r>
      <w:r w:rsidRPr="00402239">
        <w:rPr>
          <w:rFonts w:eastAsia="Calibri"/>
        </w:rPr>
        <w:t xml:space="preserve">„Pašreizējā situācija un problēmas” ir norādīts, ka </w:t>
      </w:r>
      <w:r w:rsidRPr="00285285">
        <w:rPr>
          <w:rFonts w:eastAsia="Calibri"/>
        </w:rPr>
        <w:lastRenderedPageBreak/>
        <w:t xml:space="preserve">Atbalsta noteikumos ir iekļautas tiesiskās skaidrības normas un tehniski precizējumi. Anotācijā skaidrots, ka esošā situācija liecina, ka praksē, ņemot vērā uzņēmuma individuālo grāmatvedības politiku un no tās izrietošo darījumu noformēšanu, var atšķirties konkrētā perioda uzņēmuma apgrozījuma krituma rezultāts, tādējādi ietekmējot granta atbalsta saņemšanu. Minēto situāciju ietekmē avansa rēķina formas </w:t>
      </w:r>
      <w:r w:rsidRPr="00285285">
        <w:rPr>
          <w:color w:val="000000" w:themeColor="text1"/>
        </w:rPr>
        <w:t xml:space="preserve">izvēle darījuma noformēšanai un iegrāmatošanai, kā arī ieņēmumu deklarēšanas brīža izvēle. </w:t>
      </w:r>
      <w:r w:rsidRPr="00285285">
        <w:rPr>
          <w:rStyle w:val="eop"/>
          <w:color w:val="000000" w:themeColor="text1"/>
          <w:szCs w:val="26"/>
          <w:shd w:val="clear" w:color="auto" w:fill="FFFFFF"/>
        </w:rPr>
        <w:t xml:space="preserve">Lai to risinātu, noteikumu projekts precizē, ka apgrozījumu un tā kritumu nosaka, </w:t>
      </w:r>
      <w:r w:rsidRPr="00285285">
        <w:rPr>
          <w:color w:val="000000" w:themeColor="text1"/>
          <w:szCs w:val="26"/>
        </w:rPr>
        <w:t xml:space="preserve">vērtējot </w:t>
      </w:r>
      <w:r w:rsidRPr="00285285">
        <w:t>pievienotās vērtības nodokļa deklarācijas datus.</w:t>
      </w:r>
    </w:p>
    <w:p w14:paraId="0DE367F6" w14:textId="77777777" w:rsidR="00744CE3" w:rsidRPr="006E30B4" w:rsidRDefault="00744CE3" w:rsidP="00971C9A">
      <w:pPr>
        <w:spacing w:line="276" w:lineRule="auto"/>
        <w:ind w:firstLine="720"/>
        <w:jc w:val="both"/>
        <w:rPr>
          <w:lang w:eastAsia="lv-LV"/>
        </w:rPr>
      </w:pPr>
      <w:r w:rsidRPr="00285285">
        <w:rPr>
          <w:color w:val="000000" w:themeColor="text1"/>
        </w:rPr>
        <w:t>No tā, ka anotācijā ir atsauce uz uzņēmumu grāmatvedības politiku, kas katrā uzņēmumā var būt atšķirīga un kas tādējādi var radīt dažādus rezultātus, var secināt, ka normatīvā akta izdevējs vēlējies novērst problēmas, kas praksē radušās, apgrozījumu aprēķinot tieši saskaņā ar Gada pārskatu likumu, un tādēļ ar grozījumiem noteicis skaidru un nepārprotamu apgrozījuma aprēķināšanas metodi.</w:t>
      </w:r>
      <w:r>
        <w:rPr>
          <w:color w:val="000000" w:themeColor="text1"/>
        </w:rPr>
        <w:t xml:space="preserve"> </w:t>
      </w:r>
    </w:p>
    <w:p w14:paraId="68180FD9" w14:textId="77777777" w:rsidR="00744CE3" w:rsidRDefault="00744CE3" w:rsidP="00971C9A">
      <w:pPr>
        <w:spacing w:line="276" w:lineRule="auto"/>
        <w:ind w:firstLine="720"/>
        <w:jc w:val="both"/>
      </w:pPr>
      <w:r w:rsidRPr="00285285">
        <w:t>Proti, apgrozījuma aprēķināšana saskaņā</w:t>
      </w:r>
      <w:r w:rsidRPr="00402239">
        <w:t xml:space="preserve"> ar Gada pārskatu likumu un rezultāti lielā mērā ir atkarīgi no uzņēmuma grāmatvedības kārtošanas politikas, atbilstoši kurai uzņēm</w:t>
      </w:r>
      <w:r>
        <w:t>ums</w:t>
      </w:r>
      <w:r w:rsidRPr="00402239">
        <w:t xml:space="preserve"> patstāvīgi nosaka </w:t>
      </w:r>
      <w:r w:rsidRPr="00402239">
        <w:rPr>
          <w:shd w:val="clear" w:color="auto" w:fill="FFFFFF"/>
        </w:rPr>
        <w:t xml:space="preserve">saimniecisko darījumu, faktu, notikumu un finanšu pārskata posteņu uzskaites, novērtēšanas un atspoguļošanas principus, metodes un noteikumus, </w:t>
      </w:r>
      <w:r w:rsidRPr="00402239">
        <w:t xml:space="preserve">tostarp </w:t>
      </w:r>
      <w:r w:rsidRPr="00402239">
        <w:rPr>
          <w:shd w:val="clear" w:color="auto" w:fill="FFFFFF"/>
        </w:rPr>
        <w:t>metodes, kas tiek izmantotas peļņas vai zaudējumu vai naudas plūsmas norādīšanai finanšu pārskatā (Ministru kabineta 2003.gada 21.oktobra noteikumu Nr. 585 „</w:t>
      </w:r>
      <w:r w:rsidRPr="00402239">
        <w:t xml:space="preserve">Noteikumi par grāmatvedības kārtošanu un organizāciju” (spēkā līdz 2021.gada 31.decembrim) </w:t>
      </w:r>
      <w:r w:rsidRPr="00402239">
        <w:rPr>
          <w:shd w:val="clear" w:color="auto" w:fill="FFFFFF"/>
        </w:rPr>
        <w:t>41.</w:t>
      </w:r>
      <w:r w:rsidRPr="00402239">
        <w:rPr>
          <w:shd w:val="clear" w:color="auto" w:fill="FFFFFF"/>
          <w:vertAlign w:val="superscript"/>
        </w:rPr>
        <w:t>1</w:t>
      </w:r>
      <w:r w:rsidRPr="00402239">
        <w:rPr>
          <w:shd w:val="clear" w:color="auto" w:fill="FFFFFF"/>
        </w:rPr>
        <w:t xml:space="preserve">3.apakšpunkts, sk. arī </w:t>
      </w:r>
      <w:r>
        <w:rPr>
          <w:shd w:val="clear" w:color="auto" w:fill="FFFFFF"/>
        </w:rPr>
        <w:t>Gada pārskatu likuma piemērošanas noteikumus</w:t>
      </w:r>
      <w:r w:rsidRPr="00402239">
        <w:t xml:space="preserve">). </w:t>
      </w:r>
    </w:p>
    <w:p w14:paraId="7E24DC9B" w14:textId="77777777" w:rsidR="00744CE3" w:rsidRDefault="00744CE3" w:rsidP="00971C9A">
      <w:pPr>
        <w:spacing w:line="276" w:lineRule="auto"/>
        <w:ind w:firstLine="720"/>
        <w:jc w:val="both"/>
        <w:rPr>
          <w:color w:val="000000" w:themeColor="text1"/>
        </w:rPr>
      </w:pPr>
      <w:r w:rsidRPr="00402239">
        <w:rPr>
          <w:color w:val="000000" w:themeColor="text1"/>
        </w:rPr>
        <w:t xml:space="preserve">Lai arī normatīvā akta izdevējs anotācijā norādījis, ka </w:t>
      </w:r>
      <w:r w:rsidRPr="00402239">
        <w:rPr>
          <w:rFonts w:eastAsia="Calibri"/>
        </w:rPr>
        <w:t xml:space="preserve">Atbalsta noteikumos ir iekļautas tiesiskās skaidrības normas un tehniski precizējumi un ka tiek precizēts, kā apgrozījums ir nosakāms, </w:t>
      </w:r>
      <w:r w:rsidRPr="00402239">
        <w:rPr>
          <w:color w:val="000000" w:themeColor="text1"/>
        </w:rPr>
        <w:t xml:space="preserve">tomēr, kā tas izriet no iepriekš minētā, ar Atbalsta noteikumu 2021.gada 27.maija grozījumiem jēdziens „apgrozījums” netiek precizēts redakcionāli, bet gan pēc būtības tiek noteikts jauns regulējums, kas bijis nepieciešams, lai normu būtu iespējams </w:t>
      </w:r>
      <w:r>
        <w:rPr>
          <w:color w:val="000000" w:themeColor="text1"/>
        </w:rPr>
        <w:t xml:space="preserve">pareizāk </w:t>
      </w:r>
      <w:r w:rsidRPr="00402239">
        <w:rPr>
          <w:color w:val="000000" w:themeColor="text1"/>
        </w:rPr>
        <w:t xml:space="preserve">piemērot, jo iepriekšējais regulējums, paredzot aprēķināt apgrozījumu no saimnieciskās darbības, nostādīja uzņēmumus dažādās situācijās tikai tāpēc, ka uzņēmumiem atšķiras grāmatvedības politikas un bija dažāda uzņēmuma apgrozījuma aprēķināšanas metodoloģija. Ievērojot minēto, Senāts atzīst, ka ir radīts jauns regulējums, </w:t>
      </w:r>
      <w:r>
        <w:rPr>
          <w:color w:val="000000" w:themeColor="text1"/>
        </w:rPr>
        <w:t>savukārt apgabaltiesas viedoklis</w:t>
      </w:r>
      <w:r w:rsidRPr="00402239">
        <w:rPr>
          <w:color w:val="000000" w:themeColor="text1"/>
        </w:rPr>
        <w:t>, ka vecā norma ir interpretējama jaunās normas gaismā, jo jaunā norma esot tikai tehnisks vecās normas precizējums</w:t>
      </w:r>
      <w:r>
        <w:rPr>
          <w:color w:val="000000" w:themeColor="text1"/>
        </w:rPr>
        <w:t>, ir nepareizs</w:t>
      </w:r>
      <w:r w:rsidRPr="00402239">
        <w:rPr>
          <w:color w:val="000000" w:themeColor="text1"/>
        </w:rPr>
        <w:t>.</w:t>
      </w:r>
    </w:p>
    <w:p w14:paraId="67303246" w14:textId="77777777" w:rsidR="00744CE3" w:rsidRPr="00402239" w:rsidRDefault="00744CE3" w:rsidP="00971C9A">
      <w:pPr>
        <w:spacing w:line="276" w:lineRule="auto"/>
        <w:ind w:firstLine="720"/>
        <w:jc w:val="both"/>
        <w:rPr>
          <w:color w:val="000000" w:themeColor="text1"/>
        </w:rPr>
      </w:pPr>
    </w:p>
    <w:p w14:paraId="3F058CF5" w14:textId="77777777" w:rsidR="00744CE3" w:rsidRDefault="00744CE3" w:rsidP="00971C9A">
      <w:pPr>
        <w:spacing w:line="276" w:lineRule="auto"/>
        <w:ind w:firstLine="720"/>
        <w:jc w:val="both"/>
        <w:rPr>
          <w:color w:val="000000" w:themeColor="text1"/>
        </w:rPr>
      </w:pPr>
      <w:r w:rsidRPr="00402239">
        <w:rPr>
          <w:color w:val="000000" w:themeColor="text1"/>
        </w:rPr>
        <w:t>[1</w:t>
      </w:r>
      <w:r>
        <w:rPr>
          <w:color w:val="000000" w:themeColor="text1"/>
        </w:rPr>
        <w:t>4</w:t>
      </w:r>
      <w:r w:rsidRPr="00402239">
        <w:rPr>
          <w:color w:val="000000" w:themeColor="text1"/>
        </w:rPr>
        <w:t>] Ņemot vērā iepriekš minēto, Senāts atzīst, ka ar jēdzienu „apgrozījums” brīdī, kad pieteicēja iesniedza iesniegumu atbalsta saņemšanai par 2021.gada</w:t>
      </w:r>
      <w:r>
        <w:rPr>
          <w:color w:val="000000" w:themeColor="text1"/>
        </w:rPr>
        <w:t xml:space="preserve"> janvāri</w:t>
      </w:r>
      <w:r w:rsidRPr="00402239">
        <w:rPr>
          <w:color w:val="000000" w:themeColor="text1"/>
        </w:rPr>
        <w:t>, bija jāsaprot apgrozījums Gada pārskatu likuma izpratnē</w:t>
      </w:r>
      <w:r>
        <w:rPr>
          <w:color w:val="000000" w:themeColor="text1"/>
        </w:rPr>
        <w:t xml:space="preserve">. </w:t>
      </w:r>
    </w:p>
    <w:p w14:paraId="52FD7190" w14:textId="77777777" w:rsidR="00744CE3" w:rsidRDefault="00744CE3" w:rsidP="00971C9A">
      <w:pPr>
        <w:spacing w:line="276" w:lineRule="auto"/>
        <w:ind w:firstLine="720"/>
        <w:jc w:val="both"/>
        <w:rPr>
          <w:color w:val="000000" w:themeColor="text1"/>
        </w:rPr>
      </w:pPr>
    </w:p>
    <w:p w14:paraId="5FFA83FE" w14:textId="77777777" w:rsidR="00744CE3" w:rsidRDefault="00744CE3" w:rsidP="00971C9A">
      <w:pPr>
        <w:spacing w:line="276" w:lineRule="auto"/>
        <w:ind w:firstLine="720"/>
        <w:jc w:val="both"/>
        <w:rPr>
          <w:color w:val="000000" w:themeColor="text1"/>
        </w:rPr>
      </w:pPr>
      <w:r>
        <w:rPr>
          <w:color w:val="000000" w:themeColor="text1"/>
        </w:rPr>
        <w:t>[15] Senāts nepievērsīsies pieteicējas argumentiem par to, vai atgriezeniskā līzinga darījums bija jāņem vērā, vērtējot pieteicējas apgrozījuma kritumu, jo tiesas secinājumi attiecībā uz šo pieteicējas argumentu ir balstīti kļūdainā tiesību normu izpratnē, ka, vērtējot apgrozījumu, ir jāņem vērā pievienotās vērtības nodokļa deklarācijās norādītie dati.</w:t>
      </w:r>
    </w:p>
    <w:p w14:paraId="28A68995" w14:textId="77777777" w:rsidR="00744CE3" w:rsidRDefault="00744CE3" w:rsidP="00971C9A">
      <w:pPr>
        <w:spacing w:line="276" w:lineRule="auto"/>
        <w:ind w:firstLine="720"/>
        <w:jc w:val="both"/>
        <w:rPr>
          <w:color w:val="000000" w:themeColor="text1"/>
        </w:rPr>
      </w:pPr>
    </w:p>
    <w:p w14:paraId="17F8D899" w14:textId="77777777" w:rsidR="00744CE3" w:rsidRDefault="00744CE3" w:rsidP="00971C9A">
      <w:pPr>
        <w:spacing w:line="276" w:lineRule="auto"/>
        <w:ind w:firstLine="720"/>
        <w:jc w:val="both"/>
        <w:rPr>
          <w:rFonts w:asciiTheme="majorBidi" w:hAnsiTheme="majorBidi" w:cstheme="majorBidi"/>
        </w:rPr>
      </w:pPr>
      <w:r>
        <w:rPr>
          <w:rFonts w:asciiTheme="majorBidi" w:hAnsiTheme="majorBidi" w:cstheme="majorBidi"/>
        </w:rPr>
        <w:t xml:space="preserve">[16] Attiecībā uz pieteikuma priekšmeta maiņu Senāts norāda turpmāko. </w:t>
      </w:r>
    </w:p>
    <w:p w14:paraId="409A134A" w14:textId="77777777" w:rsidR="00744CE3" w:rsidRDefault="00744CE3" w:rsidP="00971C9A">
      <w:pPr>
        <w:spacing w:line="276" w:lineRule="auto"/>
        <w:ind w:firstLine="720"/>
        <w:jc w:val="both"/>
        <w:rPr>
          <w:rFonts w:asciiTheme="majorBidi" w:hAnsiTheme="majorBidi" w:cstheme="majorBidi"/>
        </w:rPr>
      </w:pPr>
      <w:r>
        <w:rPr>
          <w:rFonts w:asciiTheme="majorBidi" w:hAnsiTheme="majorBidi" w:cstheme="majorBidi"/>
        </w:rPr>
        <w:t xml:space="preserve">Apgabaltiesa ir atzinusi, ka tiesa vairs nevar lemt par labvēlīga administratīvā akta izdošanu, jo ir beidzies Atbalsta noteikumos saskaņā ar Pagaidu regulējumu noteiktais termiņš atbalsta piešķiršanai. Taču </w:t>
      </w:r>
      <w:r>
        <w:t xml:space="preserve">Eiropas Savienības Tiesa, vērtējot Pagaidu regulējumā </w:t>
      </w:r>
      <w:r>
        <w:lastRenderedPageBreak/>
        <w:t xml:space="preserve">ietverto termiņu atbalsta piešķiršanai, ir norādījusi, ka atbalsts ir uzskatāms par piešķirtu </w:t>
      </w:r>
      <w:r w:rsidRPr="00821FC6">
        <w:t>datumā, kad kompetentā iestāde ir nepamatoti atteikusies to piešķirt privātpersonai, kura bija to pieprasījusi tā piešķiršanai paredzētajā termiņā, bet kas šai privātpersonai tiek izmaksāts, izpildot labvēlīgu administratīvo aktu, kurš izdots, jo tiesa to ir uzdevusi nolēmumā, ar ko pēc šā termiņa beigām konstatēts šā atteikuma prettiesiskums</w:t>
      </w:r>
      <w:r>
        <w:t xml:space="preserve"> (</w:t>
      </w:r>
      <w:r w:rsidRPr="003464A0">
        <w:rPr>
          <w:i/>
          <w:iCs/>
        </w:rPr>
        <w:t xml:space="preserve">Eiropas Savienības Tiesas 2025.gada 3.jūlija sprieduma lietā </w:t>
      </w:r>
      <w:r>
        <w:rPr>
          <w:i/>
          <w:iCs/>
        </w:rPr>
        <w:t>„</w:t>
      </w:r>
      <w:r w:rsidRPr="00F02FDC">
        <w:rPr>
          <w:i/>
          <w:iCs/>
        </w:rPr>
        <w:t xml:space="preserve">SIA </w:t>
      </w:r>
      <w:r>
        <w:rPr>
          <w:i/>
          <w:iCs/>
        </w:rPr>
        <w:t>„</w:t>
      </w:r>
      <w:r w:rsidRPr="00F02FDC">
        <w:rPr>
          <w:i/>
          <w:iCs/>
        </w:rPr>
        <w:t>TOODE</w:t>
      </w:r>
      <w:r>
        <w:rPr>
          <w:i/>
          <w:iCs/>
        </w:rPr>
        <w:t xml:space="preserve">””, </w:t>
      </w:r>
      <w:r w:rsidRPr="003464A0">
        <w:rPr>
          <w:i/>
          <w:iCs/>
        </w:rPr>
        <w:t xml:space="preserve">C‑653/23, </w:t>
      </w:r>
      <w:hyperlink r:id="rId17" w:history="1">
        <w:r w:rsidRPr="003464A0">
          <w:rPr>
            <w:rStyle w:val="Hyperlink"/>
            <w:i/>
            <w:iCs/>
          </w:rPr>
          <w:t>ECLI:EU:C:2025:517</w:t>
        </w:r>
      </w:hyperlink>
      <w:r w:rsidRPr="003464A0">
        <w:rPr>
          <w:i/>
          <w:iCs/>
        </w:rPr>
        <w:t>, 37.punkts</w:t>
      </w:r>
      <w:r>
        <w:t>)</w:t>
      </w:r>
      <w:r w:rsidRPr="00821FC6">
        <w:t>.</w:t>
      </w:r>
      <w:r>
        <w:t xml:space="preserve"> Ņemot vērā minēto, ne no Pagaidu regulējuma, ne no Atbalsta noteikumiem neizriet aizliegums izmaksāt atbalstu arī pēc Pagaidu regulējumā noteiktā datuma, ja tiek konstatēts, ka sākotnēji personai prettiesiski atteikts atbalstu piešķirt. </w:t>
      </w:r>
      <w:r>
        <w:rPr>
          <w:rFonts w:asciiTheme="majorBidi" w:hAnsiTheme="majorBidi" w:cstheme="majorBidi"/>
          <w:lang w:eastAsia="lv-LV"/>
        </w:rPr>
        <w:t>Līdz ar to tiesa ir nepamatoti mainījusi pieteikuma priekšmetu.</w:t>
      </w:r>
    </w:p>
    <w:p w14:paraId="71E2D014" w14:textId="77777777" w:rsidR="00744CE3" w:rsidRDefault="00744CE3" w:rsidP="00971C9A">
      <w:pPr>
        <w:spacing w:line="276" w:lineRule="auto"/>
        <w:jc w:val="both"/>
        <w:rPr>
          <w:color w:val="000000" w:themeColor="text1"/>
        </w:rPr>
      </w:pPr>
    </w:p>
    <w:p w14:paraId="25557312" w14:textId="77777777" w:rsidR="00744CE3" w:rsidRPr="002842DB" w:rsidRDefault="00744CE3" w:rsidP="00971C9A">
      <w:pPr>
        <w:spacing w:line="276" w:lineRule="auto"/>
        <w:ind w:firstLine="720"/>
        <w:jc w:val="both"/>
        <w:rPr>
          <w:color w:val="000000" w:themeColor="text1"/>
        </w:rPr>
      </w:pPr>
      <w:r>
        <w:rPr>
          <w:color w:val="000000" w:themeColor="text1"/>
        </w:rPr>
        <w:t xml:space="preserve">[17] Tā kā tiesa spriedumā ir nepareizi interpretējusi piemērojamās normas, spriedums ir atceļams. </w:t>
      </w:r>
    </w:p>
    <w:p w14:paraId="5A2C5147" w14:textId="77777777" w:rsidR="00744CE3" w:rsidRPr="00402239" w:rsidRDefault="00744CE3" w:rsidP="00971C9A">
      <w:pPr>
        <w:spacing w:line="276" w:lineRule="auto"/>
        <w:jc w:val="both"/>
        <w:rPr>
          <w:rFonts w:eastAsia="Calibri"/>
        </w:rPr>
      </w:pPr>
    </w:p>
    <w:p w14:paraId="71370587" w14:textId="77777777" w:rsidR="00744CE3" w:rsidRPr="00402239" w:rsidRDefault="00744CE3" w:rsidP="00971C9A">
      <w:pPr>
        <w:spacing w:line="276" w:lineRule="auto"/>
        <w:jc w:val="center"/>
        <w:outlineLvl w:val="0"/>
        <w:rPr>
          <w:b/>
        </w:rPr>
      </w:pPr>
      <w:r w:rsidRPr="00402239">
        <w:rPr>
          <w:b/>
        </w:rPr>
        <w:t>Rezolutīvā daļa</w:t>
      </w:r>
    </w:p>
    <w:p w14:paraId="66DC0C18" w14:textId="77777777" w:rsidR="00744CE3" w:rsidRPr="00066EBB" w:rsidRDefault="00744CE3" w:rsidP="00971C9A">
      <w:pPr>
        <w:spacing w:line="276" w:lineRule="auto"/>
        <w:ind w:firstLine="720"/>
        <w:jc w:val="both"/>
        <w:rPr>
          <w:bCs/>
          <w:spacing w:val="70"/>
        </w:rPr>
      </w:pPr>
    </w:p>
    <w:p w14:paraId="22C8DEE5" w14:textId="77777777" w:rsidR="00744CE3" w:rsidRPr="00066EBB" w:rsidRDefault="00744CE3" w:rsidP="00971C9A">
      <w:pPr>
        <w:spacing w:line="276" w:lineRule="auto"/>
        <w:ind w:firstLine="720"/>
        <w:jc w:val="both"/>
      </w:pPr>
      <w:r w:rsidRPr="00066EBB">
        <w:rPr>
          <w:rFonts w:eastAsia="Calibri"/>
        </w:rPr>
        <w:t>Pamatojoties</w:t>
      </w:r>
      <w:r w:rsidRPr="00066EBB">
        <w:t xml:space="preserve"> uz Administratīvā procesa likuma </w:t>
      </w:r>
      <w:r w:rsidRPr="00066EBB">
        <w:rPr>
          <w:rFonts w:asciiTheme="majorBidi" w:hAnsiTheme="majorBidi" w:cstheme="majorBidi"/>
        </w:rPr>
        <w:t>129.</w:t>
      </w:r>
      <w:r w:rsidRPr="00066EBB">
        <w:rPr>
          <w:rFonts w:asciiTheme="majorBidi" w:hAnsiTheme="majorBidi" w:cstheme="majorBidi"/>
          <w:vertAlign w:val="superscript"/>
        </w:rPr>
        <w:t>1</w:t>
      </w:r>
      <w:r w:rsidRPr="00066EBB">
        <w:rPr>
          <w:rFonts w:asciiTheme="majorBidi" w:hAnsiTheme="majorBidi" w:cstheme="majorBidi"/>
        </w:rPr>
        <w:t>panta pirmās daļas 1.punktu, 348.panta pirmās daļas 2.punktu un 351.pantu</w:t>
      </w:r>
      <w:r w:rsidRPr="00066EBB">
        <w:t>, Senāts</w:t>
      </w:r>
    </w:p>
    <w:p w14:paraId="0F1BB96E" w14:textId="77777777" w:rsidR="00744CE3" w:rsidRPr="00066EBB" w:rsidRDefault="00744CE3" w:rsidP="00971C9A">
      <w:pPr>
        <w:spacing w:line="276" w:lineRule="auto"/>
        <w:ind w:firstLine="720"/>
        <w:jc w:val="both"/>
      </w:pPr>
    </w:p>
    <w:p w14:paraId="35A57A51" w14:textId="77777777" w:rsidR="00744CE3" w:rsidRPr="00066EBB" w:rsidRDefault="00744CE3" w:rsidP="00971C9A">
      <w:pPr>
        <w:spacing w:line="276" w:lineRule="auto"/>
        <w:jc w:val="center"/>
        <w:rPr>
          <w:b/>
        </w:rPr>
      </w:pPr>
      <w:r w:rsidRPr="00066EBB">
        <w:rPr>
          <w:b/>
        </w:rPr>
        <w:t>nosprieda</w:t>
      </w:r>
    </w:p>
    <w:p w14:paraId="28524899" w14:textId="77777777" w:rsidR="00744CE3" w:rsidRPr="00066EBB" w:rsidRDefault="00744CE3" w:rsidP="00971C9A">
      <w:pPr>
        <w:spacing w:line="276" w:lineRule="auto"/>
        <w:ind w:firstLine="720"/>
        <w:jc w:val="center"/>
        <w:rPr>
          <w:b/>
        </w:rPr>
      </w:pPr>
    </w:p>
    <w:p w14:paraId="77B7E0E2" w14:textId="77777777" w:rsidR="00744CE3" w:rsidRPr="00CB1A6E" w:rsidRDefault="00744CE3" w:rsidP="00971C9A">
      <w:pPr>
        <w:spacing w:line="276" w:lineRule="auto"/>
        <w:ind w:firstLine="720"/>
        <w:jc w:val="both"/>
      </w:pPr>
      <w:r w:rsidRPr="00CB1A6E">
        <w:t xml:space="preserve">atcelt Administratīvās apgabaltiesas 2023.gada </w:t>
      </w:r>
      <w:r>
        <w:t>28.februāra</w:t>
      </w:r>
      <w:r w:rsidRPr="00CB1A6E">
        <w:t xml:space="preserve"> spriedumu un nosūtīt lietu jaunai izskatīšanai Administratīvajai apgabaltiesai</w:t>
      </w:r>
      <w:r>
        <w:t>;</w:t>
      </w:r>
    </w:p>
    <w:p w14:paraId="643B2CFE" w14:textId="77777777" w:rsidR="00744CE3" w:rsidRPr="00402239" w:rsidRDefault="00744CE3" w:rsidP="00971C9A">
      <w:pPr>
        <w:spacing w:line="276" w:lineRule="auto"/>
        <w:ind w:firstLine="720"/>
        <w:jc w:val="both"/>
      </w:pPr>
      <w:r w:rsidRPr="00554305">
        <w:t>atmaksāt SIA „</w:t>
      </w:r>
      <w:r>
        <w:t>Limbažu ceļi</w:t>
      </w:r>
      <w:r w:rsidRPr="00554305">
        <w:t xml:space="preserve">” drošības </w:t>
      </w:r>
      <w:r w:rsidRPr="00CB1A6E">
        <w:t>naudu 70</w:t>
      </w:r>
      <w:r>
        <w:t> </w:t>
      </w:r>
      <w:r w:rsidRPr="00CB1A6E">
        <w:rPr>
          <w:i/>
          <w:iCs/>
        </w:rPr>
        <w:t>euro</w:t>
      </w:r>
      <w:r w:rsidRPr="00CB1A6E">
        <w:t>.</w:t>
      </w:r>
    </w:p>
    <w:p w14:paraId="4D3A05E2" w14:textId="77777777" w:rsidR="00744CE3" w:rsidRDefault="00744CE3" w:rsidP="00971C9A">
      <w:pPr>
        <w:spacing w:line="276" w:lineRule="auto"/>
        <w:ind w:firstLine="720"/>
        <w:jc w:val="both"/>
      </w:pPr>
    </w:p>
    <w:p w14:paraId="4600815F" w14:textId="77777777" w:rsidR="00744CE3" w:rsidRPr="00402239" w:rsidRDefault="00744CE3" w:rsidP="00971C9A">
      <w:pPr>
        <w:spacing w:line="276" w:lineRule="auto"/>
        <w:ind w:firstLine="720"/>
        <w:jc w:val="both"/>
      </w:pPr>
      <w:r w:rsidRPr="00402239">
        <w:t>Spr</w:t>
      </w:r>
      <w:r>
        <w:t>i</w:t>
      </w:r>
      <w:r w:rsidRPr="00402239">
        <w:t>edums nav pārsūdzams.</w:t>
      </w:r>
    </w:p>
    <w:p w14:paraId="1C700449" w14:textId="77777777" w:rsidR="00744CE3" w:rsidRPr="00402239" w:rsidRDefault="00744CE3" w:rsidP="00744CE3">
      <w:pPr>
        <w:tabs>
          <w:tab w:val="left" w:pos="540"/>
          <w:tab w:val="left" w:pos="6660"/>
        </w:tabs>
        <w:spacing w:line="276" w:lineRule="auto"/>
        <w:ind w:firstLine="720"/>
        <w:jc w:val="both"/>
      </w:pPr>
    </w:p>
    <w:p w14:paraId="10613825" w14:textId="77777777" w:rsidR="00744CE3" w:rsidRPr="00402239" w:rsidRDefault="00744CE3" w:rsidP="00744CE3">
      <w:pPr>
        <w:tabs>
          <w:tab w:val="left" w:pos="540"/>
          <w:tab w:val="left" w:pos="6660"/>
        </w:tabs>
        <w:spacing w:line="276" w:lineRule="auto"/>
        <w:ind w:firstLine="720"/>
        <w:jc w:val="both"/>
      </w:pPr>
    </w:p>
    <w:p w14:paraId="7CB38BD3" w14:textId="77777777" w:rsidR="00744CE3" w:rsidRDefault="00744CE3" w:rsidP="00744CE3">
      <w:pPr>
        <w:tabs>
          <w:tab w:val="left" w:pos="540"/>
          <w:tab w:val="left" w:pos="6660"/>
        </w:tabs>
        <w:spacing w:line="276" w:lineRule="auto"/>
        <w:jc w:val="both"/>
      </w:pPr>
    </w:p>
    <w:p w14:paraId="0F081A30" w14:textId="77777777" w:rsidR="00744CE3" w:rsidRPr="00402239" w:rsidRDefault="00744CE3" w:rsidP="00744CE3">
      <w:pPr>
        <w:tabs>
          <w:tab w:val="left" w:pos="540"/>
          <w:tab w:val="left" w:pos="6660"/>
        </w:tabs>
        <w:spacing w:line="276" w:lineRule="auto"/>
        <w:jc w:val="both"/>
      </w:pPr>
    </w:p>
    <w:p w14:paraId="55554D12" w14:textId="77777777" w:rsidR="00744CE3" w:rsidRPr="00614C73" w:rsidRDefault="00744CE3" w:rsidP="00744CE3">
      <w:pPr>
        <w:spacing w:line="276" w:lineRule="auto"/>
        <w:jc w:val="both"/>
        <w:rPr>
          <w:color w:val="FFFFFF" w:themeColor="background1"/>
        </w:rPr>
      </w:pPr>
    </w:p>
    <w:p w14:paraId="0A2B36C3" w14:textId="77777777" w:rsidR="008038FB" w:rsidRPr="00744CE3" w:rsidRDefault="008038FB" w:rsidP="00744CE3"/>
    <w:sectPr w:rsidR="008038FB" w:rsidRPr="00744CE3" w:rsidSect="007B294E">
      <w:footerReference w:type="default" r:id="rId18"/>
      <w:pgSz w:w="11906" w:h="16838" w:code="9"/>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E93E" w14:textId="77777777" w:rsidR="009E43E3" w:rsidRDefault="009E43E3" w:rsidP="003047F5">
      <w:r>
        <w:separator/>
      </w:r>
    </w:p>
  </w:endnote>
  <w:endnote w:type="continuationSeparator" w:id="0">
    <w:p w14:paraId="0C2A374A" w14:textId="77777777" w:rsidR="009E43E3" w:rsidRDefault="009E43E3" w:rsidP="003047F5">
      <w:r>
        <w:continuationSeparator/>
      </w:r>
    </w:p>
  </w:endnote>
  <w:endnote w:type="continuationNotice" w:id="1">
    <w:p w14:paraId="3C3603B0" w14:textId="77777777" w:rsidR="009E43E3" w:rsidRDefault="009E4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10943AD6" w:rsidR="00F04C5E" w:rsidRPr="008038FB" w:rsidRDefault="00F04C5E" w:rsidP="00F43FAD">
    <w:pPr>
      <w:pStyle w:val="Footer"/>
      <w:tabs>
        <w:tab w:val="clear" w:pos="4153"/>
        <w:tab w:val="clear" w:pos="8306"/>
      </w:tabs>
      <w:jc w:val="center"/>
      <w:rPr>
        <w:sz w:val="20"/>
        <w:szCs w:val="20"/>
      </w:rPr>
    </w:pPr>
    <w:r w:rsidRPr="008038FB">
      <w:rPr>
        <w:rStyle w:val="PageNumber"/>
        <w:sz w:val="20"/>
        <w:szCs w:val="20"/>
      </w:rPr>
      <w:fldChar w:fldCharType="begin"/>
    </w:r>
    <w:r w:rsidRPr="008038FB">
      <w:rPr>
        <w:rStyle w:val="PageNumber"/>
        <w:sz w:val="20"/>
        <w:szCs w:val="20"/>
      </w:rPr>
      <w:instrText xml:space="preserve">PAGE  </w:instrText>
    </w:r>
    <w:r w:rsidRPr="008038FB">
      <w:rPr>
        <w:rStyle w:val="PageNumber"/>
        <w:sz w:val="20"/>
        <w:szCs w:val="20"/>
      </w:rPr>
      <w:fldChar w:fldCharType="separate"/>
    </w:r>
    <w:r w:rsidR="004F5DD6" w:rsidRPr="008038FB">
      <w:rPr>
        <w:rStyle w:val="PageNumber"/>
        <w:noProof/>
        <w:sz w:val="20"/>
        <w:szCs w:val="20"/>
      </w:rPr>
      <w:t>5</w:t>
    </w:r>
    <w:r w:rsidRPr="008038FB">
      <w:rPr>
        <w:rStyle w:val="PageNumber"/>
        <w:sz w:val="20"/>
        <w:szCs w:val="20"/>
      </w:rPr>
      <w:fldChar w:fldCharType="end"/>
    </w:r>
    <w:r w:rsidRPr="008038FB">
      <w:rPr>
        <w:rStyle w:val="PageNumber"/>
        <w:sz w:val="20"/>
        <w:szCs w:val="20"/>
      </w:rPr>
      <w:t xml:space="preserve"> no </w:t>
    </w:r>
    <w:r w:rsidRPr="008038FB">
      <w:rPr>
        <w:rStyle w:val="PageNumber"/>
        <w:noProof/>
        <w:sz w:val="20"/>
        <w:szCs w:val="20"/>
      </w:rPr>
      <w:fldChar w:fldCharType="begin"/>
    </w:r>
    <w:r w:rsidRPr="008038FB">
      <w:rPr>
        <w:rStyle w:val="PageNumber"/>
        <w:noProof/>
        <w:sz w:val="20"/>
        <w:szCs w:val="20"/>
      </w:rPr>
      <w:instrText xml:space="preserve"> SECTIONPAGES   \* MERGEFORMAT </w:instrText>
    </w:r>
    <w:r w:rsidRPr="008038FB">
      <w:rPr>
        <w:rStyle w:val="PageNumber"/>
        <w:noProof/>
        <w:sz w:val="20"/>
        <w:szCs w:val="20"/>
      </w:rPr>
      <w:fldChar w:fldCharType="separate"/>
    </w:r>
    <w:r w:rsidR="00F61875">
      <w:rPr>
        <w:rStyle w:val="PageNumber"/>
        <w:noProof/>
        <w:sz w:val="20"/>
        <w:szCs w:val="20"/>
      </w:rPr>
      <w:t>11</w:t>
    </w:r>
    <w:r w:rsidRPr="008038FB">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B12F" w14:textId="77777777" w:rsidR="009E43E3" w:rsidRDefault="009E43E3" w:rsidP="003047F5">
      <w:r>
        <w:separator/>
      </w:r>
    </w:p>
  </w:footnote>
  <w:footnote w:type="continuationSeparator" w:id="0">
    <w:p w14:paraId="38EEB5D5" w14:textId="77777777" w:rsidR="009E43E3" w:rsidRDefault="009E43E3" w:rsidP="003047F5">
      <w:r>
        <w:continuationSeparator/>
      </w:r>
    </w:p>
  </w:footnote>
  <w:footnote w:type="continuationNotice" w:id="1">
    <w:p w14:paraId="17C9995B" w14:textId="77777777" w:rsidR="009E43E3" w:rsidRDefault="009E43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6875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3021705"/>
    <w:multiLevelType w:val="hybridMultilevel"/>
    <w:tmpl w:val="D1F8A270"/>
    <w:lvl w:ilvl="0" w:tplc="5F2691E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7B1175D"/>
    <w:multiLevelType w:val="hybridMultilevel"/>
    <w:tmpl w:val="15DE6D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FB8680A"/>
    <w:multiLevelType w:val="hybridMultilevel"/>
    <w:tmpl w:val="3B966CA4"/>
    <w:lvl w:ilvl="0" w:tplc="51E424D2">
      <w:start w:val="1"/>
      <w:numFmt w:val="decimal"/>
      <w:lvlText w:val="%1."/>
      <w:lvlJc w:val="left"/>
      <w:pPr>
        <w:tabs>
          <w:tab w:val="num" w:pos="720"/>
        </w:tabs>
        <w:ind w:left="720" w:hanging="360"/>
      </w:pPr>
    </w:lvl>
    <w:lvl w:ilvl="1" w:tplc="D1A429BE">
      <w:start w:val="1"/>
      <w:numFmt w:val="decimal"/>
      <w:lvlText w:val="%2."/>
      <w:lvlJc w:val="left"/>
      <w:pPr>
        <w:tabs>
          <w:tab w:val="num" w:pos="1440"/>
        </w:tabs>
        <w:ind w:left="1440" w:hanging="360"/>
      </w:pPr>
    </w:lvl>
    <w:lvl w:ilvl="2" w:tplc="A7CE1CD8">
      <w:start w:val="1"/>
      <w:numFmt w:val="decimal"/>
      <w:lvlText w:val="%3."/>
      <w:lvlJc w:val="left"/>
      <w:pPr>
        <w:tabs>
          <w:tab w:val="num" w:pos="2160"/>
        </w:tabs>
        <w:ind w:left="2160" w:hanging="360"/>
      </w:pPr>
    </w:lvl>
    <w:lvl w:ilvl="3" w:tplc="02FAA6CC">
      <w:start w:val="1"/>
      <w:numFmt w:val="decimal"/>
      <w:lvlText w:val="%4."/>
      <w:lvlJc w:val="left"/>
      <w:pPr>
        <w:tabs>
          <w:tab w:val="num" w:pos="2880"/>
        </w:tabs>
        <w:ind w:left="2880" w:hanging="360"/>
      </w:pPr>
    </w:lvl>
    <w:lvl w:ilvl="4" w:tplc="69E2855E">
      <w:start w:val="1"/>
      <w:numFmt w:val="decimal"/>
      <w:lvlText w:val="%5."/>
      <w:lvlJc w:val="left"/>
      <w:pPr>
        <w:tabs>
          <w:tab w:val="num" w:pos="3600"/>
        </w:tabs>
        <w:ind w:left="3600" w:hanging="360"/>
      </w:pPr>
    </w:lvl>
    <w:lvl w:ilvl="5" w:tplc="F6303948">
      <w:start w:val="1"/>
      <w:numFmt w:val="decimal"/>
      <w:lvlText w:val="%6."/>
      <w:lvlJc w:val="left"/>
      <w:pPr>
        <w:tabs>
          <w:tab w:val="num" w:pos="4320"/>
        </w:tabs>
        <w:ind w:left="4320" w:hanging="360"/>
      </w:pPr>
    </w:lvl>
    <w:lvl w:ilvl="6" w:tplc="0428D612">
      <w:start w:val="1"/>
      <w:numFmt w:val="decimal"/>
      <w:lvlText w:val="%7."/>
      <w:lvlJc w:val="left"/>
      <w:pPr>
        <w:tabs>
          <w:tab w:val="num" w:pos="5040"/>
        </w:tabs>
        <w:ind w:left="5040" w:hanging="360"/>
      </w:pPr>
    </w:lvl>
    <w:lvl w:ilvl="7" w:tplc="079C2EA4">
      <w:start w:val="1"/>
      <w:numFmt w:val="decimal"/>
      <w:lvlText w:val="%8."/>
      <w:lvlJc w:val="left"/>
      <w:pPr>
        <w:tabs>
          <w:tab w:val="num" w:pos="5760"/>
        </w:tabs>
        <w:ind w:left="5760" w:hanging="360"/>
      </w:pPr>
    </w:lvl>
    <w:lvl w:ilvl="8" w:tplc="AE6C02AC">
      <w:start w:val="1"/>
      <w:numFmt w:val="decimal"/>
      <w:lvlText w:val="%9."/>
      <w:lvlJc w:val="left"/>
      <w:pPr>
        <w:tabs>
          <w:tab w:val="num" w:pos="6480"/>
        </w:tabs>
        <w:ind w:left="6480" w:hanging="360"/>
      </w:pPr>
    </w:lvl>
  </w:abstractNum>
  <w:abstractNum w:abstractNumId="10"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31F6A7C"/>
    <w:multiLevelType w:val="hybridMultilevel"/>
    <w:tmpl w:val="61DEF27E"/>
    <w:lvl w:ilvl="0" w:tplc="01DEEC2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C05D80"/>
    <w:multiLevelType w:val="hybridMultilevel"/>
    <w:tmpl w:val="A16A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0">
    <w:nsid w:val="4B6D5BAE"/>
    <w:multiLevelType w:val="multilevel"/>
    <w:tmpl w:val="D29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1559F"/>
    <w:multiLevelType w:val="hybridMultilevel"/>
    <w:tmpl w:val="6C405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5C2453D"/>
    <w:multiLevelType w:val="hybridMultilevel"/>
    <w:tmpl w:val="CCCA10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58622D0"/>
    <w:multiLevelType w:val="hybridMultilevel"/>
    <w:tmpl w:val="6B287DA2"/>
    <w:lvl w:ilvl="0" w:tplc="2ED4D9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C137C"/>
    <w:multiLevelType w:val="hybridMultilevel"/>
    <w:tmpl w:val="5E042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A2E38A5"/>
    <w:multiLevelType w:val="hybridMultilevel"/>
    <w:tmpl w:val="132CEDE2"/>
    <w:lvl w:ilvl="0" w:tplc="0BF03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27"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16cid:durableId="624314881">
    <w:abstractNumId w:val="17"/>
  </w:num>
  <w:num w:numId="2" w16cid:durableId="540290198">
    <w:abstractNumId w:val="27"/>
  </w:num>
  <w:num w:numId="3" w16cid:durableId="710153867">
    <w:abstractNumId w:val="6"/>
  </w:num>
  <w:num w:numId="4" w16cid:durableId="2012833901">
    <w:abstractNumId w:val="21"/>
  </w:num>
  <w:num w:numId="5" w16cid:durableId="283509930">
    <w:abstractNumId w:val="26"/>
  </w:num>
  <w:num w:numId="6" w16cid:durableId="1209608576">
    <w:abstractNumId w:val="1"/>
  </w:num>
  <w:num w:numId="7" w16cid:durableId="2123257998">
    <w:abstractNumId w:val="4"/>
  </w:num>
  <w:num w:numId="8" w16cid:durableId="382754259">
    <w:abstractNumId w:val="3"/>
  </w:num>
  <w:num w:numId="9" w16cid:durableId="134416562">
    <w:abstractNumId w:val="18"/>
  </w:num>
  <w:num w:numId="10" w16cid:durableId="1787045302">
    <w:abstractNumId w:val="24"/>
  </w:num>
  <w:num w:numId="11" w16cid:durableId="232084307">
    <w:abstractNumId w:val="8"/>
  </w:num>
  <w:num w:numId="12" w16cid:durableId="1768967165">
    <w:abstractNumId w:val="20"/>
  </w:num>
  <w:num w:numId="13" w16cid:durableId="487552053">
    <w:abstractNumId w:val="10"/>
  </w:num>
  <w:num w:numId="14" w16cid:durableId="1803695397">
    <w:abstractNumId w:val="5"/>
  </w:num>
  <w:num w:numId="15" w16cid:durableId="568733421">
    <w:abstractNumId w:val="12"/>
  </w:num>
  <w:num w:numId="16" w16cid:durableId="816185401">
    <w:abstractNumId w:val="14"/>
  </w:num>
  <w:num w:numId="17" w16cid:durableId="283536104">
    <w:abstractNumId w:val="25"/>
  </w:num>
  <w:num w:numId="18" w16cid:durableId="662511728">
    <w:abstractNumId w:val="15"/>
  </w:num>
  <w:num w:numId="19" w16cid:durableId="1230265403">
    <w:abstractNumId w:val="11"/>
  </w:num>
  <w:num w:numId="20" w16cid:durableId="1990790850">
    <w:abstractNumId w:val="0"/>
  </w:num>
  <w:num w:numId="21" w16cid:durableId="230890913">
    <w:abstractNumId w:val="23"/>
  </w:num>
  <w:num w:numId="22" w16cid:durableId="1956060943">
    <w:abstractNumId w:val="2"/>
  </w:num>
  <w:num w:numId="23" w16cid:durableId="1427769943">
    <w:abstractNumId w:val="19"/>
  </w:num>
  <w:num w:numId="24" w16cid:durableId="799225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3143100">
    <w:abstractNumId w:val="22"/>
  </w:num>
  <w:num w:numId="26" w16cid:durableId="222061719">
    <w:abstractNumId w:val="13"/>
  </w:num>
  <w:num w:numId="27" w16cid:durableId="97482487">
    <w:abstractNumId w:val="16"/>
  </w:num>
  <w:num w:numId="28" w16cid:durableId="1099374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666"/>
    <w:rsid w:val="000006C4"/>
    <w:rsid w:val="000011DC"/>
    <w:rsid w:val="00002CB4"/>
    <w:rsid w:val="00003D35"/>
    <w:rsid w:val="000040D9"/>
    <w:rsid w:val="000042E8"/>
    <w:rsid w:val="00004BB6"/>
    <w:rsid w:val="000050E4"/>
    <w:rsid w:val="00005475"/>
    <w:rsid w:val="00005B18"/>
    <w:rsid w:val="00006CD3"/>
    <w:rsid w:val="00007C8F"/>
    <w:rsid w:val="00010466"/>
    <w:rsid w:val="0001066B"/>
    <w:rsid w:val="00010F0E"/>
    <w:rsid w:val="0001237A"/>
    <w:rsid w:val="00012772"/>
    <w:rsid w:val="00013A68"/>
    <w:rsid w:val="00013C22"/>
    <w:rsid w:val="0001536D"/>
    <w:rsid w:val="00016041"/>
    <w:rsid w:val="00020118"/>
    <w:rsid w:val="0002115C"/>
    <w:rsid w:val="00021EC9"/>
    <w:rsid w:val="00025832"/>
    <w:rsid w:val="000258F7"/>
    <w:rsid w:val="00026E0C"/>
    <w:rsid w:val="000279CB"/>
    <w:rsid w:val="00030BF9"/>
    <w:rsid w:val="00030C6D"/>
    <w:rsid w:val="0003163C"/>
    <w:rsid w:val="000348D9"/>
    <w:rsid w:val="00034AC1"/>
    <w:rsid w:val="00036275"/>
    <w:rsid w:val="00036582"/>
    <w:rsid w:val="00041CB3"/>
    <w:rsid w:val="00042FD2"/>
    <w:rsid w:val="000443F3"/>
    <w:rsid w:val="00044D6A"/>
    <w:rsid w:val="000468FE"/>
    <w:rsid w:val="00050209"/>
    <w:rsid w:val="00051933"/>
    <w:rsid w:val="0005416A"/>
    <w:rsid w:val="00055F76"/>
    <w:rsid w:val="000567F7"/>
    <w:rsid w:val="000572D8"/>
    <w:rsid w:val="00057384"/>
    <w:rsid w:val="00060829"/>
    <w:rsid w:val="000612C8"/>
    <w:rsid w:val="000615AE"/>
    <w:rsid w:val="00061A0B"/>
    <w:rsid w:val="00062E88"/>
    <w:rsid w:val="0006490C"/>
    <w:rsid w:val="00066975"/>
    <w:rsid w:val="00066EBB"/>
    <w:rsid w:val="00067F52"/>
    <w:rsid w:val="000708AF"/>
    <w:rsid w:val="000716AB"/>
    <w:rsid w:val="00072833"/>
    <w:rsid w:val="000743D0"/>
    <w:rsid w:val="00076217"/>
    <w:rsid w:val="000768A8"/>
    <w:rsid w:val="00076B47"/>
    <w:rsid w:val="00076BB3"/>
    <w:rsid w:val="00077553"/>
    <w:rsid w:val="0008164A"/>
    <w:rsid w:val="000817FD"/>
    <w:rsid w:val="00084B43"/>
    <w:rsid w:val="00085082"/>
    <w:rsid w:val="000858AA"/>
    <w:rsid w:val="000862CC"/>
    <w:rsid w:val="000867C6"/>
    <w:rsid w:val="00087EEE"/>
    <w:rsid w:val="00090FB5"/>
    <w:rsid w:val="00092D2B"/>
    <w:rsid w:val="00093B45"/>
    <w:rsid w:val="00094E24"/>
    <w:rsid w:val="00096544"/>
    <w:rsid w:val="000966B4"/>
    <w:rsid w:val="00097227"/>
    <w:rsid w:val="000A09CD"/>
    <w:rsid w:val="000A1825"/>
    <w:rsid w:val="000A357A"/>
    <w:rsid w:val="000A39FD"/>
    <w:rsid w:val="000A4902"/>
    <w:rsid w:val="000A5776"/>
    <w:rsid w:val="000A5D18"/>
    <w:rsid w:val="000A6FB6"/>
    <w:rsid w:val="000B045F"/>
    <w:rsid w:val="000B08CB"/>
    <w:rsid w:val="000B0A3A"/>
    <w:rsid w:val="000B0D96"/>
    <w:rsid w:val="000B3202"/>
    <w:rsid w:val="000B4480"/>
    <w:rsid w:val="000B60A9"/>
    <w:rsid w:val="000C4697"/>
    <w:rsid w:val="000C4F62"/>
    <w:rsid w:val="000C5881"/>
    <w:rsid w:val="000C59E3"/>
    <w:rsid w:val="000C677A"/>
    <w:rsid w:val="000C6891"/>
    <w:rsid w:val="000C7500"/>
    <w:rsid w:val="000C7BDB"/>
    <w:rsid w:val="000D180E"/>
    <w:rsid w:val="000D2253"/>
    <w:rsid w:val="000D258F"/>
    <w:rsid w:val="000D3BB1"/>
    <w:rsid w:val="000E0402"/>
    <w:rsid w:val="000E1121"/>
    <w:rsid w:val="000E20A3"/>
    <w:rsid w:val="000E2B19"/>
    <w:rsid w:val="000E2E12"/>
    <w:rsid w:val="000E3569"/>
    <w:rsid w:val="000E36CB"/>
    <w:rsid w:val="000E6B16"/>
    <w:rsid w:val="000E70BE"/>
    <w:rsid w:val="000E7C3F"/>
    <w:rsid w:val="000E7CE9"/>
    <w:rsid w:val="000F17B5"/>
    <w:rsid w:val="000F2BA0"/>
    <w:rsid w:val="000F3FE3"/>
    <w:rsid w:val="000F5AFA"/>
    <w:rsid w:val="000F6B0B"/>
    <w:rsid w:val="000F77B3"/>
    <w:rsid w:val="000F7FDC"/>
    <w:rsid w:val="00102A78"/>
    <w:rsid w:val="00102EE3"/>
    <w:rsid w:val="001035C0"/>
    <w:rsid w:val="00104B23"/>
    <w:rsid w:val="00104B52"/>
    <w:rsid w:val="00105686"/>
    <w:rsid w:val="001064D3"/>
    <w:rsid w:val="00110110"/>
    <w:rsid w:val="00110410"/>
    <w:rsid w:val="001108D8"/>
    <w:rsid w:val="00110C97"/>
    <w:rsid w:val="00111F73"/>
    <w:rsid w:val="00112095"/>
    <w:rsid w:val="00112BD8"/>
    <w:rsid w:val="00113752"/>
    <w:rsid w:val="001140E9"/>
    <w:rsid w:val="00120BED"/>
    <w:rsid w:val="001238CF"/>
    <w:rsid w:val="001250F5"/>
    <w:rsid w:val="00125821"/>
    <w:rsid w:val="00125DF7"/>
    <w:rsid w:val="00127500"/>
    <w:rsid w:val="00127562"/>
    <w:rsid w:val="001303E0"/>
    <w:rsid w:val="00131AA5"/>
    <w:rsid w:val="00131B3E"/>
    <w:rsid w:val="00131E1A"/>
    <w:rsid w:val="0013210C"/>
    <w:rsid w:val="00132869"/>
    <w:rsid w:val="00134406"/>
    <w:rsid w:val="00134E98"/>
    <w:rsid w:val="00140E32"/>
    <w:rsid w:val="0014146C"/>
    <w:rsid w:val="00141A63"/>
    <w:rsid w:val="00141B66"/>
    <w:rsid w:val="00141BEF"/>
    <w:rsid w:val="001421F2"/>
    <w:rsid w:val="00143ED8"/>
    <w:rsid w:val="00144452"/>
    <w:rsid w:val="00144CB6"/>
    <w:rsid w:val="001500E6"/>
    <w:rsid w:val="001503DA"/>
    <w:rsid w:val="0015174D"/>
    <w:rsid w:val="001525CA"/>
    <w:rsid w:val="00152687"/>
    <w:rsid w:val="001546D2"/>
    <w:rsid w:val="00156098"/>
    <w:rsid w:val="00157679"/>
    <w:rsid w:val="00161B7C"/>
    <w:rsid w:val="001623AC"/>
    <w:rsid w:val="0016381F"/>
    <w:rsid w:val="00163AFF"/>
    <w:rsid w:val="001646E9"/>
    <w:rsid w:val="00165463"/>
    <w:rsid w:val="001656DE"/>
    <w:rsid w:val="00165B0E"/>
    <w:rsid w:val="001669F3"/>
    <w:rsid w:val="00166A7E"/>
    <w:rsid w:val="00167002"/>
    <w:rsid w:val="001670F6"/>
    <w:rsid w:val="00167961"/>
    <w:rsid w:val="00167B0D"/>
    <w:rsid w:val="001712EB"/>
    <w:rsid w:val="001717C2"/>
    <w:rsid w:val="00173482"/>
    <w:rsid w:val="0017397C"/>
    <w:rsid w:val="00174E5B"/>
    <w:rsid w:val="00175061"/>
    <w:rsid w:val="0017630D"/>
    <w:rsid w:val="00177A86"/>
    <w:rsid w:val="00181387"/>
    <w:rsid w:val="00182B65"/>
    <w:rsid w:val="00183305"/>
    <w:rsid w:val="001846EB"/>
    <w:rsid w:val="00184D3E"/>
    <w:rsid w:val="00184EE9"/>
    <w:rsid w:val="00185678"/>
    <w:rsid w:val="00185F09"/>
    <w:rsid w:val="001877F7"/>
    <w:rsid w:val="001879DD"/>
    <w:rsid w:val="001906F5"/>
    <w:rsid w:val="00190F55"/>
    <w:rsid w:val="00191B3A"/>
    <w:rsid w:val="00191B4B"/>
    <w:rsid w:val="00191E73"/>
    <w:rsid w:val="0019238A"/>
    <w:rsid w:val="0019247B"/>
    <w:rsid w:val="00192ECB"/>
    <w:rsid w:val="0019350D"/>
    <w:rsid w:val="00193FCC"/>
    <w:rsid w:val="00197792"/>
    <w:rsid w:val="001A0495"/>
    <w:rsid w:val="001A0F87"/>
    <w:rsid w:val="001A0FFA"/>
    <w:rsid w:val="001A17DE"/>
    <w:rsid w:val="001A234B"/>
    <w:rsid w:val="001A4FB0"/>
    <w:rsid w:val="001A51B6"/>
    <w:rsid w:val="001A6F86"/>
    <w:rsid w:val="001B19AC"/>
    <w:rsid w:val="001B2223"/>
    <w:rsid w:val="001B252A"/>
    <w:rsid w:val="001B366F"/>
    <w:rsid w:val="001B3E7F"/>
    <w:rsid w:val="001B3F36"/>
    <w:rsid w:val="001B6FAD"/>
    <w:rsid w:val="001B748C"/>
    <w:rsid w:val="001C0136"/>
    <w:rsid w:val="001C040A"/>
    <w:rsid w:val="001C21D5"/>
    <w:rsid w:val="001C3457"/>
    <w:rsid w:val="001C51B2"/>
    <w:rsid w:val="001C564E"/>
    <w:rsid w:val="001C5F57"/>
    <w:rsid w:val="001C6C90"/>
    <w:rsid w:val="001C7072"/>
    <w:rsid w:val="001D0DF4"/>
    <w:rsid w:val="001D21D9"/>
    <w:rsid w:val="001D3BF4"/>
    <w:rsid w:val="001D4EC6"/>
    <w:rsid w:val="001D5835"/>
    <w:rsid w:val="001D7C30"/>
    <w:rsid w:val="001E0502"/>
    <w:rsid w:val="001E0B8F"/>
    <w:rsid w:val="001E1A53"/>
    <w:rsid w:val="001E3840"/>
    <w:rsid w:val="001E39EB"/>
    <w:rsid w:val="001E3A09"/>
    <w:rsid w:val="001E574F"/>
    <w:rsid w:val="001E62EE"/>
    <w:rsid w:val="001E665A"/>
    <w:rsid w:val="001E71AA"/>
    <w:rsid w:val="001E7C48"/>
    <w:rsid w:val="001F0D7E"/>
    <w:rsid w:val="001F3170"/>
    <w:rsid w:val="001F39B3"/>
    <w:rsid w:val="001F3ACD"/>
    <w:rsid w:val="001F48FF"/>
    <w:rsid w:val="001F50AB"/>
    <w:rsid w:val="001F5CDA"/>
    <w:rsid w:val="001F6359"/>
    <w:rsid w:val="001F6A8B"/>
    <w:rsid w:val="001F7731"/>
    <w:rsid w:val="0020035E"/>
    <w:rsid w:val="00202AFF"/>
    <w:rsid w:val="002045C9"/>
    <w:rsid w:val="0020516C"/>
    <w:rsid w:val="002054EA"/>
    <w:rsid w:val="002064AB"/>
    <w:rsid w:val="00207E2B"/>
    <w:rsid w:val="002111AD"/>
    <w:rsid w:val="002132CB"/>
    <w:rsid w:val="0021608E"/>
    <w:rsid w:val="00216E3B"/>
    <w:rsid w:val="00216FF1"/>
    <w:rsid w:val="00216FF4"/>
    <w:rsid w:val="00221483"/>
    <w:rsid w:val="00221600"/>
    <w:rsid w:val="00222761"/>
    <w:rsid w:val="00222818"/>
    <w:rsid w:val="0022343D"/>
    <w:rsid w:val="00224E3B"/>
    <w:rsid w:val="00225038"/>
    <w:rsid w:val="00226C43"/>
    <w:rsid w:val="002313C0"/>
    <w:rsid w:val="002328A8"/>
    <w:rsid w:val="002352D8"/>
    <w:rsid w:val="002358D1"/>
    <w:rsid w:val="00235CE9"/>
    <w:rsid w:val="0023633E"/>
    <w:rsid w:val="00236E52"/>
    <w:rsid w:val="00237F92"/>
    <w:rsid w:val="002404E9"/>
    <w:rsid w:val="002404EA"/>
    <w:rsid w:val="00240832"/>
    <w:rsid w:val="00242283"/>
    <w:rsid w:val="00242FE8"/>
    <w:rsid w:val="00246094"/>
    <w:rsid w:val="00246CF4"/>
    <w:rsid w:val="00250C12"/>
    <w:rsid w:val="00251061"/>
    <w:rsid w:val="002512C9"/>
    <w:rsid w:val="002512DE"/>
    <w:rsid w:val="00251578"/>
    <w:rsid w:val="002542BB"/>
    <w:rsid w:val="00254371"/>
    <w:rsid w:val="0025458C"/>
    <w:rsid w:val="00254697"/>
    <w:rsid w:val="00254CE6"/>
    <w:rsid w:val="0025596E"/>
    <w:rsid w:val="002568B6"/>
    <w:rsid w:val="002578A6"/>
    <w:rsid w:val="00257EF9"/>
    <w:rsid w:val="002608B1"/>
    <w:rsid w:val="00260E6E"/>
    <w:rsid w:val="00262B13"/>
    <w:rsid w:val="00262ED8"/>
    <w:rsid w:val="0026326A"/>
    <w:rsid w:val="00265F66"/>
    <w:rsid w:val="00267386"/>
    <w:rsid w:val="0026742D"/>
    <w:rsid w:val="00267E9A"/>
    <w:rsid w:val="002706F2"/>
    <w:rsid w:val="00272897"/>
    <w:rsid w:val="0027469B"/>
    <w:rsid w:val="00277BDD"/>
    <w:rsid w:val="00277E4E"/>
    <w:rsid w:val="00280B22"/>
    <w:rsid w:val="002817BA"/>
    <w:rsid w:val="002823FF"/>
    <w:rsid w:val="00283CC0"/>
    <w:rsid w:val="002842DB"/>
    <w:rsid w:val="00284A4B"/>
    <w:rsid w:val="00285285"/>
    <w:rsid w:val="00286DCA"/>
    <w:rsid w:val="002874E6"/>
    <w:rsid w:val="00287CDA"/>
    <w:rsid w:val="0029008E"/>
    <w:rsid w:val="002914CE"/>
    <w:rsid w:val="00291B1B"/>
    <w:rsid w:val="002924EE"/>
    <w:rsid w:val="00293462"/>
    <w:rsid w:val="002936BD"/>
    <w:rsid w:val="00294D76"/>
    <w:rsid w:val="0029547A"/>
    <w:rsid w:val="0029694B"/>
    <w:rsid w:val="00296C60"/>
    <w:rsid w:val="00297A05"/>
    <w:rsid w:val="002A08F8"/>
    <w:rsid w:val="002A0DED"/>
    <w:rsid w:val="002A1D91"/>
    <w:rsid w:val="002A21C2"/>
    <w:rsid w:val="002A23A9"/>
    <w:rsid w:val="002A2CCD"/>
    <w:rsid w:val="002A34F2"/>
    <w:rsid w:val="002A3751"/>
    <w:rsid w:val="002A50B5"/>
    <w:rsid w:val="002A6446"/>
    <w:rsid w:val="002A7766"/>
    <w:rsid w:val="002A7893"/>
    <w:rsid w:val="002B0218"/>
    <w:rsid w:val="002B16EC"/>
    <w:rsid w:val="002B1A6E"/>
    <w:rsid w:val="002B255B"/>
    <w:rsid w:val="002B3320"/>
    <w:rsid w:val="002B4B2F"/>
    <w:rsid w:val="002B4F80"/>
    <w:rsid w:val="002C08F8"/>
    <w:rsid w:val="002C17A8"/>
    <w:rsid w:val="002C1A91"/>
    <w:rsid w:val="002C1FA7"/>
    <w:rsid w:val="002C43FD"/>
    <w:rsid w:val="002C49D2"/>
    <w:rsid w:val="002C5603"/>
    <w:rsid w:val="002C5DBD"/>
    <w:rsid w:val="002C5DD9"/>
    <w:rsid w:val="002C7B42"/>
    <w:rsid w:val="002D0100"/>
    <w:rsid w:val="002D0760"/>
    <w:rsid w:val="002D07F3"/>
    <w:rsid w:val="002D1794"/>
    <w:rsid w:val="002D1A34"/>
    <w:rsid w:val="002D2374"/>
    <w:rsid w:val="002D65A3"/>
    <w:rsid w:val="002D698A"/>
    <w:rsid w:val="002D7173"/>
    <w:rsid w:val="002E00AB"/>
    <w:rsid w:val="002E0197"/>
    <w:rsid w:val="002E06D5"/>
    <w:rsid w:val="002E1197"/>
    <w:rsid w:val="002E306E"/>
    <w:rsid w:val="002E337C"/>
    <w:rsid w:val="002E390D"/>
    <w:rsid w:val="002E4CE8"/>
    <w:rsid w:val="002E5236"/>
    <w:rsid w:val="002E615E"/>
    <w:rsid w:val="002E68AD"/>
    <w:rsid w:val="002E700A"/>
    <w:rsid w:val="002E70F5"/>
    <w:rsid w:val="002E772F"/>
    <w:rsid w:val="002F1039"/>
    <w:rsid w:val="002F5037"/>
    <w:rsid w:val="002F6757"/>
    <w:rsid w:val="003000C0"/>
    <w:rsid w:val="0030128F"/>
    <w:rsid w:val="00301A51"/>
    <w:rsid w:val="00301E9E"/>
    <w:rsid w:val="00304505"/>
    <w:rsid w:val="003045AB"/>
    <w:rsid w:val="0030468D"/>
    <w:rsid w:val="003047F5"/>
    <w:rsid w:val="00304B59"/>
    <w:rsid w:val="003064C3"/>
    <w:rsid w:val="00306E6F"/>
    <w:rsid w:val="00310CAA"/>
    <w:rsid w:val="00311CEF"/>
    <w:rsid w:val="003129AD"/>
    <w:rsid w:val="00313BA8"/>
    <w:rsid w:val="00314BE9"/>
    <w:rsid w:val="00314E82"/>
    <w:rsid w:val="003154C5"/>
    <w:rsid w:val="003162DD"/>
    <w:rsid w:val="00317636"/>
    <w:rsid w:val="00322057"/>
    <w:rsid w:val="0032407A"/>
    <w:rsid w:val="00325E0F"/>
    <w:rsid w:val="003266A6"/>
    <w:rsid w:val="00330F3A"/>
    <w:rsid w:val="00331C8F"/>
    <w:rsid w:val="00333164"/>
    <w:rsid w:val="00333C16"/>
    <w:rsid w:val="00334ECF"/>
    <w:rsid w:val="00334ED9"/>
    <w:rsid w:val="00335660"/>
    <w:rsid w:val="00336056"/>
    <w:rsid w:val="003374F7"/>
    <w:rsid w:val="0034263A"/>
    <w:rsid w:val="00343FD9"/>
    <w:rsid w:val="00344741"/>
    <w:rsid w:val="00344FBE"/>
    <w:rsid w:val="00345051"/>
    <w:rsid w:val="003464A0"/>
    <w:rsid w:val="003466E7"/>
    <w:rsid w:val="00347688"/>
    <w:rsid w:val="0034795C"/>
    <w:rsid w:val="0035210F"/>
    <w:rsid w:val="00352FFD"/>
    <w:rsid w:val="0035346E"/>
    <w:rsid w:val="00354A04"/>
    <w:rsid w:val="00354AD1"/>
    <w:rsid w:val="003620B8"/>
    <w:rsid w:val="00362336"/>
    <w:rsid w:val="00362746"/>
    <w:rsid w:val="00363AF4"/>
    <w:rsid w:val="00363B76"/>
    <w:rsid w:val="00363FAD"/>
    <w:rsid w:val="00364312"/>
    <w:rsid w:val="00364C1A"/>
    <w:rsid w:val="00365B30"/>
    <w:rsid w:val="00366244"/>
    <w:rsid w:val="00367489"/>
    <w:rsid w:val="003700BE"/>
    <w:rsid w:val="00372636"/>
    <w:rsid w:val="00372D1B"/>
    <w:rsid w:val="00373EF0"/>
    <w:rsid w:val="00375E84"/>
    <w:rsid w:val="003774D0"/>
    <w:rsid w:val="0038113B"/>
    <w:rsid w:val="00381510"/>
    <w:rsid w:val="00382C94"/>
    <w:rsid w:val="00382D88"/>
    <w:rsid w:val="00383A1C"/>
    <w:rsid w:val="003844A5"/>
    <w:rsid w:val="00384706"/>
    <w:rsid w:val="00384FAB"/>
    <w:rsid w:val="00385550"/>
    <w:rsid w:val="00385DDD"/>
    <w:rsid w:val="003869B6"/>
    <w:rsid w:val="003873CB"/>
    <w:rsid w:val="003874A2"/>
    <w:rsid w:val="0039104D"/>
    <w:rsid w:val="003921FD"/>
    <w:rsid w:val="003934B5"/>
    <w:rsid w:val="003943AB"/>
    <w:rsid w:val="00396387"/>
    <w:rsid w:val="003968E5"/>
    <w:rsid w:val="00396DE6"/>
    <w:rsid w:val="00396F46"/>
    <w:rsid w:val="003977A3"/>
    <w:rsid w:val="003A09DD"/>
    <w:rsid w:val="003A0FD2"/>
    <w:rsid w:val="003A2200"/>
    <w:rsid w:val="003A27DD"/>
    <w:rsid w:val="003A3BD8"/>
    <w:rsid w:val="003B1EF7"/>
    <w:rsid w:val="003B3365"/>
    <w:rsid w:val="003B38D7"/>
    <w:rsid w:val="003B5D59"/>
    <w:rsid w:val="003B7E25"/>
    <w:rsid w:val="003C049F"/>
    <w:rsid w:val="003C082A"/>
    <w:rsid w:val="003C0870"/>
    <w:rsid w:val="003C1C01"/>
    <w:rsid w:val="003C3122"/>
    <w:rsid w:val="003C47AC"/>
    <w:rsid w:val="003C541D"/>
    <w:rsid w:val="003C5933"/>
    <w:rsid w:val="003C6576"/>
    <w:rsid w:val="003C67F5"/>
    <w:rsid w:val="003C74F7"/>
    <w:rsid w:val="003C7A1D"/>
    <w:rsid w:val="003D09BC"/>
    <w:rsid w:val="003D0FE7"/>
    <w:rsid w:val="003D2174"/>
    <w:rsid w:val="003D2A13"/>
    <w:rsid w:val="003D4608"/>
    <w:rsid w:val="003D4956"/>
    <w:rsid w:val="003D5681"/>
    <w:rsid w:val="003D5CF9"/>
    <w:rsid w:val="003E1073"/>
    <w:rsid w:val="003E10FB"/>
    <w:rsid w:val="003E1CAA"/>
    <w:rsid w:val="003E21C9"/>
    <w:rsid w:val="003E2A0B"/>
    <w:rsid w:val="003E2A2B"/>
    <w:rsid w:val="003E3B79"/>
    <w:rsid w:val="003E6BA0"/>
    <w:rsid w:val="003E73F4"/>
    <w:rsid w:val="003E7A0E"/>
    <w:rsid w:val="003E7D82"/>
    <w:rsid w:val="003F0144"/>
    <w:rsid w:val="003F0B63"/>
    <w:rsid w:val="003F0BDA"/>
    <w:rsid w:val="003F16DD"/>
    <w:rsid w:val="003F32B3"/>
    <w:rsid w:val="003F69DB"/>
    <w:rsid w:val="0040213F"/>
    <w:rsid w:val="00402239"/>
    <w:rsid w:val="00402A5B"/>
    <w:rsid w:val="004035DC"/>
    <w:rsid w:val="004052F5"/>
    <w:rsid w:val="00405312"/>
    <w:rsid w:val="00407B24"/>
    <w:rsid w:val="00410C0C"/>
    <w:rsid w:val="0041585E"/>
    <w:rsid w:val="00415F09"/>
    <w:rsid w:val="00416833"/>
    <w:rsid w:val="00416FDD"/>
    <w:rsid w:val="00422CC8"/>
    <w:rsid w:val="00422DDA"/>
    <w:rsid w:val="00422FA6"/>
    <w:rsid w:val="00422FA7"/>
    <w:rsid w:val="004235DA"/>
    <w:rsid w:val="00423EFD"/>
    <w:rsid w:val="00424B84"/>
    <w:rsid w:val="00426755"/>
    <w:rsid w:val="00427346"/>
    <w:rsid w:val="00427640"/>
    <w:rsid w:val="00430F78"/>
    <w:rsid w:val="0043182C"/>
    <w:rsid w:val="00431C28"/>
    <w:rsid w:val="0043239A"/>
    <w:rsid w:val="0043387D"/>
    <w:rsid w:val="00433DB6"/>
    <w:rsid w:val="00434B02"/>
    <w:rsid w:val="00435D85"/>
    <w:rsid w:val="00436E5A"/>
    <w:rsid w:val="004375C1"/>
    <w:rsid w:val="00437600"/>
    <w:rsid w:val="004405BB"/>
    <w:rsid w:val="00442895"/>
    <w:rsid w:val="00443A6A"/>
    <w:rsid w:val="00443B74"/>
    <w:rsid w:val="00447889"/>
    <w:rsid w:val="004545FC"/>
    <w:rsid w:val="00455544"/>
    <w:rsid w:val="00455A57"/>
    <w:rsid w:val="0045685B"/>
    <w:rsid w:val="00456A64"/>
    <w:rsid w:val="00456B28"/>
    <w:rsid w:val="004571B1"/>
    <w:rsid w:val="0045758A"/>
    <w:rsid w:val="00460115"/>
    <w:rsid w:val="00460502"/>
    <w:rsid w:val="0046083F"/>
    <w:rsid w:val="00462227"/>
    <w:rsid w:val="00463D8B"/>
    <w:rsid w:val="004641D5"/>
    <w:rsid w:val="00465197"/>
    <w:rsid w:val="00465BF8"/>
    <w:rsid w:val="00467F9B"/>
    <w:rsid w:val="00471BED"/>
    <w:rsid w:val="004727C1"/>
    <w:rsid w:val="00473415"/>
    <w:rsid w:val="00473958"/>
    <w:rsid w:val="00475703"/>
    <w:rsid w:val="0047584C"/>
    <w:rsid w:val="00476C9A"/>
    <w:rsid w:val="0048077E"/>
    <w:rsid w:val="00480CD5"/>
    <w:rsid w:val="00480E14"/>
    <w:rsid w:val="00481352"/>
    <w:rsid w:val="004815DD"/>
    <w:rsid w:val="00481C52"/>
    <w:rsid w:val="00482AB9"/>
    <w:rsid w:val="00484B13"/>
    <w:rsid w:val="00485C7C"/>
    <w:rsid w:val="00487052"/>
    <w:rsid w:val="0049098E"/>
    <w:rsid w:val="00490EDC"/>
    <w:rsid w:val="004910EC"/>
    <w:rsid w:val="00491ABC"/>
    <w:rsid w:val="00491DEC"/>
    <w:rsid w:val="00493545"/>
    <w:rsid w:val="00496DBE"/>
    <w:rsid w:val="00497E72"/>
    <w:rsid w:val="004A0394"/>
    <w:rsid w:val="004A0B56"/>
    <w:rsid w:val="004A16C2"/>
    <w:rsid w:val="004A349F"/>
    <w:rsid w:val="004A3E3D"/>
    <w:rsid w:val="004A429F"/>
    <w:rsid w:val="004A4473"/>
    <w:rsid w:val="004A4903"/>
    <w:rsid w:val="004A4932"/>
    <w:rsid w:val="004A4D2C"/>
    <w:rsid w:val="004A5EFF"/>
    <w:rsid w:val="004A60DE"/>
    <w:rsid w:val="004A7405"/>
    <w:rsid w:val="004B0C7B"/>
    <w:rsid w:val="004B20A4"/>
    <w:rsid w:val="004B3916"/>
    <w:rsid w:val="004B41BE"/>
    <w:rsid w:val="004B5286"/>
    <w:rsid w:val="004B61D2"/>
    <w:rsid w:val="004B7827"/>
    <w:rsid w:val="004C07EC"/>
    <w:rsid w:val="004C2C37"/>
    <w:rsid w:val="004C4610"/>
    <w:rsid w:val="004C5214"/>
    <w:rsid w:val="004C5692"/>
    <w:rsid w:val="004D0C8C"/>
    <w:rsid w:val="004D2487"/>
    <w:rsid w:val="004D4A21"/>
    <w:rsid w:val="004D5661"/>
    <w:rsid w:val="004D56C2"/>
    <w:rsid w:val="004D68AD"/>
    <w:rsid w:val="004D78E1"/>
    <w:rsid w:val="004E0017"/>
    <w:rsid w:val="004E0A26"/>
    <w:rsid w:val="004E1388"/>
    <w:rsid w:val="004E291B"/>
    <w:rsid w:val="004E2F1C"/>
    <w:rsid w:val="004E4059"/>
    <w:rsid w:val="004E454A"/>
    <w:rsid w:val="004E5794"/>
    <w:rsid w:val="004E5A8D"/>
    <w:rsid w:val="004E6804"/>
    <w:rsid w:val="004E764B"/>
    <w:rsid w:val="004F0957"/>
    <w:rsid w:val="004F0B90"/>
    <w:rsid w:val="004F5081"/>
    <w:rsid w:val="004F5DD6"/>
    <w:rsid w:val="004F7D6F"/>
    <w:rsid w:val="00500F2F"/>
    <w:rsid w:val="00502B14"/>
    <w:rsid w:val="00502FDB"/>
    <w:rsid w:val="00503BEE"/>
    <w:rsid w:val="0050596D"/>
    <w:rsid w:val="00505A62"/>
    <w:rsid w:val="0050741F"/>
    <w:rsid w:val="00510640"/>
    <w:rsid w:val="00512170"/>
    <w:rsid w:val="00512E7B"/>
    <w:rsid w:val="00513BA9"/>
    <w:rsid w:val="005143F6"/>
    <w:rsid w:val="00515639"/>
    <w:rsid w:val="0051693D"/>
    <w:rsid w:val="00516F00"/>
    <w:rsid w:val="0051723B"/>
    <w:rsid w:val="005175FF"/>
    <w:rsid w:val="00520014"/>
    <w:rsid w:val="00521A02"/>
    <w:rsid w:val="00521A51"/>
    <w:rsid w:val="00521E9F"/>
    <w:rsid w:val="00522967"/>
    <w:rsid w:val="00522CA9"/>
    <w:rsid w:val="00522F43"/>
    <w:rsid w:val="0052323E"/>
    <w:rsid w:val="005232C7"/>
    <w:rsid w:val="00523363"/>
    <w:rsid w:val="005238FF"/>
    <w:rsid w:val="005239BA"/>
    <w:rsid w:val="00524FE6"/>
    <w:rsid w:val="005259C8"/>
    <w:rsid w:val="00532786"/>
    <w:rsid w:val="00532963"/>
    <w:rsid w:val="00532A1D"/>
    <w:rsid w:val="00533B10"/>
    <w:rsid w:val="005341F4"/>
    <w:rsid w:val="00534F4A"/>
    <w:rsid w:val="00537889"/>
    <w:rsid w:val="00537D8C"/>
    <w:rsid w:val="00540031"/>
    <w:rsid w:val="00540092"/>
    <w:rsid w:val="005405DB"/>
    <w:rsid w:val="005425E3"/>
    <w:rsid w:val="00542F2B"/>
    <w:rsid w:val="00543D01"/>
    <w:rsid w:val="00543E46"/>
    <w:rsid w:val="00544A9C"/>
    <w:rsid w:val="00545916"/>
    <w:rsid w:val="00545B7C"/>
    <w:rsid w:val="00545CA2"/>
    <w:rsid w:val="0054677D"/>
    <w:rsid w:val="00547FA1"/>
    <w:rsid w:val="00551498"/>
    <w:rsid w:val="005529AA"/>
    <w:rsid w:val="00554305"/>
    <w:rsid w:val="00554490"/>
    <w:rsid w:val="00555032"/>
    <w:rsid w:val="00555FB8"/>
    <w:rsid w:val="00556B39"/>
    <w:rsid w:val="00557082"/>
    <w:rsid w:val="00557E94"/>
    <w:rsid w:val="0056091F"/>
    <w:rsid w:val="005629F5"/>
    <w:rsid w:val="00563615"/>
    <w:rsid w:val="005637C8"/>
    <w:rsid w:val="00563BD0"/>
    <w:rsid w:val="00564253"/>
    <w:rsid w:val="00564E64"/>
    <w:rsid w:val="00570311"/>
    <w:rsid w:val="00571277"/>
    <w:rsid w:val="00571957"/>
    <w:rsid w:val="00571CB3"/>
    <w:rsid w:val="00572F64"/>
    <w:rsid w:val="00573277"/>
    <w:rsid w:val="00573D5E"/>
    <w:rsid w:val="00576B6E"/>
    <w:rsid w:val="00576FE4"/>
    <w:rsid w:val="0057715C"/>
    <w:rsid w:val="00581E0E"/>
    <w:rsid w:val="005825CE"/>
    <w:rsid w:val="005862E8"/>
    <w:rsid w:val="00587EBA"/>
    <w:rsid w:val="0059088A"/>
    <w:rsid w:val="005914D1"/>
    <w:rsid w:val="005916D8"/>
    <w:rsid w:val="00592EED"/>
    <w:rsid w:val="005937A9"/>
    <w:rsid w:val="00593856"/>
    <w:rsid w:val="00593B84"/>
    <w:rsid w:val="00594420"/>
    <w:rsid w:val="00594779"/>
    <w:rsid w:val="00594885"/>
    <w:rsid w:val="00594F29"/>
    <w:rsid w:val="005950C8"/>
    <w:rsid w:val="00595474"/>
    <w:rsid w:val="0059646D"/>
    <w:rsid w:val="005A00E1"/>
    <w:rsid w:val="005A214A"/>
    <w:rsid w:val="005A2CA3"/>
    <w:rsid w:val="005A44C5"/>
    <w:rsid w:val="005A62B9"/>
    <w:rsid w:val="005A63D8"/>
    <w:rsid w:val="005B0E75"/>
    <w:rsid w:val="005B1409"/>
    <w:rsid w:val="005B2668"/>
    <w:rsid w:val="005B2D25"/>
    <w:rsid w:val="005B3EB5"/>
    <w:rsid w:val="005B48F7"/>
    <w:rsid w:val="005B508A"/>
    <w:rsid w:val="005B568B"/>
    <w:rsid w:val="005B5C29"/>
    <w:rsid w:val="005C06C9"/>
    <w:rsid w:val="005C0D54"/>
    <w:rsid w:val="005C0E7A"/>
    <w:rsid w:val="005C1BBA"/>
    <w:rsid w:val="005C2352"/>
    <w:rsid w:val="005C28E6"/>
    <w:rsid w:val="005C34EC"/>
    <w:rsid w:val="005C43FE"/>
    <w:rsid w:val="005C4622"/>
    <w:rsid w:val="005C4B11"/>
    <w:rsid w:val="005C688A"/>
    <w:rsid w:val="005C68B9"/>
    <w:rsid w:val="005C7EFB"/>
    <w:rsid w:val="005D1350"/>
    <w:rsid w:val="005D5A48"/>
    <w:rsid w:val="005D7561"/>
    <w:rsid w:val="005E07C5"/>
    <w:rsid w:val="005E15F6"/>
    <w:rsid w:val="005E2AA9"/>
    <w:rsid w:val="005E3667"/>
    <w:rsid w:val="005E393B"/>
    <w:rsid w:val="005E741C"/>
    <w:rsid w:val="005E7B75"/>
    <w:rsid w:val="005F12FB"/>
    <w:rsid w:val="005F25ED"/>
    <w:rsid w:val="005F3997"/>
    <w:rsid w:val="005F3A67"/>
    <w:rsid w:val="005F486A"/>
    <w:rsid w:val="005F53A6"/>
    <w:rsid w:val="005F5C1D"/>
    <w:rsid w:val="005F6B0F"/>
    <w:rsid w:val="005F6B8F"/>
    <w:rsid w:val="005F7567"/>
    <w:rsid w:val="00600173"/>
    <w:rsid w:val="0060121D"/>
    <w:rsid w:val="00604FAE"/>
    <w:rsid w:val="00605295"/>
    <w:rsid w:val="00606284"/>
    <w:rsid w:val="00606609"/>
    <w:rsid w:val="00606EBE"/>
    <w:rsid w:val="006078B7"/>
    <w:rsid w:val="006078DC"/>
    <w:rsid w:val="00607D88"/>
    <w:rsid w:val="00607E26"/>
    <w:rsid w:val="00610079"/>
    <w:rsid w:val="006100BF"/>
    <w:rsid w:val="00610219"/>
    <w:rsid w:val="006111A6"/>
    <w:rsid w:val="0061276B"/>
    <w:rsid w:val="00612775"/>
    <w:rsid w:val="00613404"/>
    <w:rsid w:val="0061428A"/>
    <w:rsid w:val="00614C73"/>
    <w:rsid w:val="006152FA"/>
    <w:rsid w:val="00615E29"/>
    <w:rsid w:val="006163FA"/>
    <w:rsid w:val="006169D2"/>
    <w:rsid w:val="00617630"/>
    <w:rsid w:val="00617D69"/>
    <w:rsid w:val="00620BAB"/>
    <w:rsid w:val="00620C9D"/>
    <w:rsid w:val="006218FF"/>
    <w:rsid w:val="00622E51"/>
    <w:rsid w:val="006242B3"/>
    <w:rsid w:val="00624F80"/>
    <w:rsid w:val="00624FA5"/>
    <w:rsid w:val="006254B1"/>
    <w:rsid w:val="006265B9"/>
    <w:rsid w:val="00626F9A"/>
    <w:rsid w:val="0062794E"/>
    <w:rsid w:val="006313F2"/>
    <w:rsid w:val="006321B2"/>
    <w:rsid w:val="00632E23"/>
    <w:rsid w:val="006348C7"/>
    <w:rsid w:val="00636385"/>
    <w:rsid w:val="0063796F"/>
    <w:rsid w:val="00641EC2"/>
    <w:rsid w:val="00641FF5"/>
    <w:rsid w:val="00642397"/>
    <w:rsid w:val="006426B8"/>
    <w:rsid w:val="006432D2"/>
    <w:rsid w:val="006435D1"/>
    <w:rsid w:val="0064386A"/>
    <w:rsid w:val="00643C03"/>
    <w:rsid w:val="00644851"/>
    <w:rsid w:val="006450B8"/>
    <w:rsid w:val="00647CF2"/>
    <w:rsid w:val="00647E97"/>
    <w:rsid w:val="00652AAD"/>
    <w:rsid w:val="00652AE8"/>
    <w:rsid w:val="00653C2E"/>
    <w:rsid w:val="00654A7C"/>
    <w:rsid w:val="00656D8D"/>
    <w:rsid w:val="006600A3"/>
    <w:rsid w:val="00660AB5"/>
    <w:rsid w:val="00661394"/>
    <w:rsid w:val="00661575"/>
    <w:rsid w:val="006624A0"/>
    <w:rsid w:val="006628E7"/>
    <w:rsid w:val="00663D81"/>
    <w:rsid w:val="00665C38"/>
    <w:rsid w:val="00666063"/>
    <w:rsid w:val="00667249"/>
    <w:rsid w:val="0066739F"/>
    <w:rsid w:val="006677D7"/>
    <w:rsid w:val="00672801"/>
    <w:rsid w:val="00674335"/>
    <w:rsid w:val="006748D1"/>
    <w:rsid w:val="00675451"/>
    <w:rsid w:val="00677FC1"/>
    <w:rsid w:val="006804F8"/>
    <w:rsid w:val="0068138D"/>
    <w:rsid w:val="006814EA"/>
    <w:rsid w:val="006816E6"/>
    <w:rsid w:val="00681B2A"/>
    <w:rsid w:val="00682FFF"/>
    <w:rsid w:val="0068316E"/>
    <w:rsid w:val="006833EB"/>
    <w:rsid w:val="00683401"/>
    <w:rsid w:val="00683DCA"/>
    <w:rsid w:val="00684FF0"/>
    <w:rsid w:val="0068563C"/>
    <w:rsid w:val="00692A74"/>
    <w:rsid w:val="0069413F"/>
    <w:rsid w:val="006A2377"/>
    <w:rsid w:val="006A47CF"/>
    <w:rsid w:val="006A4BF1"/>
    <w:rsid w:val="006B07AC"/>
    <w:rsid w:val="006B119F"/>
    <w:rsid w:val="006B3AED"/>
    <w:rsid w:val="006B401A"/>
    <w:rsid w:val="006B497A"/>
    <w:rsid w:val="006B5E6C"/>
    <w:rsid w:val="006B7BBC"/>
    <w:rsid w:val="006C19D0"/>
    <w:rsid w:val="006C1FBA"/>
    <w:rsid w:val="006C29A2"/>
    <w:rsid w:val="006C3059"/>
    <w:rsid w:val="006C49EB"/>
    <w:rsid w:val="006C6B84"/>
    <w:rsid w:val="006C7551"/>
    <w:rsid w:val="006C7ED5"/>
    <w:rsid w:val="006D05AF"/>
    <w:rsid w:val="006D1934"/>
    <w:rsid w:val="006D3088"/>
    <w:rsid w:val="006D3590"/>
    <w:rsid w:val="006D38A0"/>
    <w:rsid w:val="006D5828"/>
    <w:rsid w:val="006D68AF"/>
    <w:rsid w:val="006D6CBD"/>
    <w:rsid w:val="006D75C9"/>
    <w:rsid w:val="006D76B6"/>
    <w:rsid w:val="006E2883"/>
    <w:rsid w:val="006E29B4"/>
    <w:rsid w:val="006E30B4"/>
    <w:rsid w:val="006E4286"/>
    <w:rsid w:val="006E4B81"/>
    <w:rsid w:val="006E65EC"/>
    <w:rsid w:val="006F0306"/>
    <w:rsid w:val="006F2299"/>
    <w:rsid w:val="006F2447"/>
    <w:rsid w:val="006F2F6F"/>
    <w:rsid w:val="006F3461"/>
    <w:rsid w:val="006F3A2B"/>
    <w:rsid w:val="006F557D"/>
    <w:rsid w:val="006F5A37"/>
    <w:rsid w:val="006F5D3B"/>
    <w:rsid w:val="006F78E6"/>
    <w:rsid w:val="006F7A8C"/>
    <w:rsid w:val="00700388"/>
    <w:rsid w:val="007014E1"/>
    <w:rsid w:val="00702293"/>
    <w:rsid w:val="00703006"/>
    <w:rsid w:val="00703088"/>
    <w:rsid w:val="00703AA8"/>
    <w:rsid w:val="00704F60"/>
    <w:rsid w:val="00706247"/>
    <w:rsid w:val="007078EA"/>
    <w:rsid w:val="00707A1C"/>
    <w:rsid w:val="00710B49"/>
    <w:rsid w:val="00711392"/>
    <w:rsid w:val="00711E83"/>
    <w:rsid w:val="00713EBB"/>
    <w:rsid w:val="00715DE7"/>
    <w:rsid w:val="00716FA1"/>
    <w:rsid w:val="00717054"/>
    <w:rsid w:val="007178F4"/>
    <w:rsid w:val="00717D1E"/>
    <w:rsid w:val="00721840"/>
    <w:rsid w:val="0072288B"/>
    <w:rsid w:val="00722E9D"/>
    <w:rsid w:val="00724790"/>
    <w:rsid w:val="00724874"/>
    <w:rsid w:val="007305C4"/>
    <w:rsid w:val="00730965"/>
    <w:rsid w:val="00731279"/>
    <w:rsid w:val="007316CE"/>
    <w:rsid w:val="00732022"/>
    <w:rsid w:val="007334E1"/>
    <w:rsid w:val="0073405C"/>
    <w:rsid w:val="00735039"/>
    <w:rsid w:val="00735C27"/>
    <w:rsid w:val="0073725C"/>
    <w:rsid w:val="0074049B"/>
    <w:rsid w:val="007408C5"/>
    <w:rsid w:val="00742D59"/>
    <w:rsid w:val="00742FA0"/>
    <w:rsid w:val="00744796"/>
    <w:rsid w:val="00744967"/>
    <w:rsid w:val="00744CE3"/>
    <w:rsid w:val="00746335"/>
    <w:rsid w:val="0074707F"/>
    <w:rsid w:val="007472D5"/>
    <w:rsid w:val="00747D6E"/>
    <w:rsid w:val="007518B8"/>
    <w:rsid w:val="00753E66"/>
    <w:rsid w:val="00754C77"/>
    <w:rsid w:val="00754CDC"/>
    <w:rsid w:val="00755858"/>
    <w:rsid w:val="00760675"/>
    <w:rsid w:val="00761341"/>
    <w:rsid w:val="007644E1"/>
    <w:rsid w:val="007652DA"/>
    <w:rsid w:val="007665B4"/>
    <w:rsid w:val="00766B50"/>
    <w:rsid w:val="00766CA9"/>
    <w:rsid w:val="007709C7"/>
    <w:rsid w:val="00770D5B"/>
    <w:rsid w:val="0077282E"/>
    <w:rsid w:val="0077467C"/>
    <w:rsid w:val="0077509E"/>
    <w:rsid w:val="00775237"/>
    <w:rsid w:val="00775DDC"/>
    <w:rsid w:val="0078027A"/>
    <w:rsid w:val="00780593"/>
    <w:rsid w:val="00780782"/>
    <w:rsid w:val="00780A8E"/>
    <w:rsid w:val="00780C75"/>
    <w:rsid w:val="00780E09"/>
    <w:rsid w:val="00781010"/>
    <w:rsid w:val="00781EC2"/>
    <w:rsid w:val="00782AE0"/>
    <w:rsid w:val="00783DFB"/>
    <w:rsid w:val="00785280"/>
    <w:rsid w:val="00785F92"/>
    <w:rsid w:val="00786DAD"/>
    <w:rsid w:val="00787E3B"/>
    <w:rsid w:val="00790BDC"/>
    <w:rsid w:val="007913E8"/>
    <w:rsid w:val="00791FF7"/>
    <w:rsid w:val="00792096"/>
    <w:rsid w:val="0079230A"/>
    <w:rsid w:val="00792609"/>
    <w:rsid w:val="00792A23"/>
    <w:rsid w:val="00793832"/>
    <w:rsid w:val="00793CC8"/>
    <w:rsid w:val="00793D75"/>
    <w:rsid w:val="00794176"/>
    <w:rsid w:val="00794664"/>
    <w:rsid w:val="007946CF"/>
    <w:rsid w:val="00794CA0"/>
    <w:rsid w:val="00796B22"/>
    <w:rsid w:val="007A0F8E"/>
    <w:rsid w:val="007A227C"/>
    <w:rsid w:val="007A27BD"/>
    <w:rsid w:val="007A3996"/>
    <w:rsid w:val="007A44A2"/>
    <w:rsid w:val="007A4F3C"/>
    <w:rsid w:val="007A64DB"/>
    <w:rsid w:val="007A6D51"/>
    <w:rsid w:val="007A7BEE"/>
    <w:rsid w:val="007B294E"/>
    <w:rsid w:val="007B3181"/>
    <w:rsid w:val="007B3C6C"/>
    <w:rsid w:val="007B5C7B"/>
    <w:rsid w:val="007B5F88"/>
    <w:rsid w:val="007B725B"/>
    <w:rsid w:val="007B7A51"/>
    <w:rsid w:val="007C072D"/>
    <w:rsid w:val="007C1DC6"/>
    <w:rsid w:val="007C213D"/>
    <w:rsid w:val="007C2263"/>
    <w:rsid w:val="007C266C"/>
    <w:rsid w:val="007C2BC6"/>
    <w:rsid w:val="007C2FF3"/>
    <w:rsid w:val="007D008F"/>
    <w:rsid w:val="007D0342"/>
    <w:rsid w:val="007D0D7F"/>
    <w:rsid w:val="007D4F31"/>
    <w:rsid w:val="007D5322"/>
    <w:rsid w:val="007E0F4B"/>
    <w:rsid w:val="007E26CA"/>
    <w:rsid w:val="007E292A"/>
    <w:rsid w:val="007E409E"/>
    <w:rsid w:val="007E52A2"/>
    <w:rsid w:val="007E5BCA"/>
    <w:rsid w:val="007E644D"/>
    <w:rsid w:val="007E6A45"/>
    <w:rsid w:val="007E7531"/>
    <w:rsid w:val="007F07E3"/>
    <w:rsid w:val="007F0E32"/>
    <w:rsid w:val="007F1449"/>
    <w:rsid w:val="007F1F3E"/>
    <w:rsid w:val="007F6FB5"/>
    <w:rsid w:val="007F7D21"/>
    <w:rsid w:val="00800337"/>
    <w:rsid w:val="00800592"/>
    <w:rsid w:val="00800961"/>
    <w:rsid w:val="00801759"/>
    <w:rsid w:val="00801CD9"/>
    <w:rsid w:val="00802835"/>
    <w:rsid w:val="00802C2A"/>
    <w:rsid w:val="008038FB"/>
    <w:rsid w:val="00803A8B"/>
    <w:rsid w:val="008043C0"/>
    <w:rsid w:val="00806ADD"/>
    <w:rsid w:val="00810A83"/>
    <w:rsid w:val="0081172F"/>
    <w:rsid w:val="00812175"/>
    <w:rsid w:val="00815769"/>
    <w:rsid w:val="00815A24"/>
    <w:rsid w:val="00815D10"/>
    <w:rsid w:val="0081607E"/>
    <w:rsid w:val="008161A7"/>
    <w:rsid w:val="00816CBF"/>
    <w:rsid w:val="00817AD3"/>
    <w:rsid w:val="00817CAA"/>
    <w:rsid w:val="00817DEE"/>
    <w:rsid w:val="008203C0"/>
    <w:rsid w:val="00820D06"/>
    <w:rsid w:val="00820F5B"/>
    <w:rsid w:val="00821A54"/>
    <w:rsid w:val="00821FC6"/>
    <w:rsid w:val="00822C8E"/>
    <w:rsid w:val="0082381C"/>
    <w:rsid w:val="00824AA3"/>
    <w:rsid w:val="00825290"/>
    <w:rsid w:val="00826A9A"/>
    <w:rsid w:val="00826DC5"/>
    <w:rsid w:val="00830359"/>
    <w:rsid w:val="008310FA"/>
    <w:rsid w:val="008318CA"/>
    <w:rsid w:val="00831D0F"/>
    <w:rsid w:val="00832879"/>
    <w:rsid w:val="00832FF1"/>
    <w:rsid w:val="00833668"/>
    <w:rsid w:val="00834D35"/>
    <w:rsid w:val="0083587F"/>
    <w:rsid w:val="00836BE7"/>
    <w:rsid w:val="00840993"/>
    <w:rsid w:val="00841D55"/>
    <w:rsid w:val="00843B21"/>
    <w:rsid w:val="00843D4F"/>
    <w:rsid w:val="008452DC"/>
    <w:rsid w:val="008454F5"/>
    <w:rsid w:val="0084553A"/>
    <w:rsid w:val="00846597"/>
    <w:rsid w:val="00850FAD"/>
    <w:rsid w:val="0085117E"/>
    <w:rsid w:val="00851460"/>
    <w:rsid w:val="00854571"/>
    <w:rsid w:val="00854B0B"/>
    <w:rsid w:val="00854B74"/>
    <w:rsid w:val="00854DD6"/>
    <w:rsid w:val="00856A4C"/>
    <w:rsid w:val="008570F8"/>
    <w:rsid w:val="00860235"/>
    <w:rsid w:val="00862135"/>
    <w:rsid w:val="00862611"/>
    <w:rsid w:val="00862B16"/>
    <w:rsid w:val="008631F5"/>
    <w:rsid w:val="008645CA"/>
    <w:rsid w:val="00865943"/>
    <w:rsid w:val="00865A0E"/>
    <w:rsid w:val="008713E7"/>
    <w:rsid w:val="008734A4"/>
    <w:rsid w:val="00874E80"/>
    <w:rsid w:val="0087775D"/>
    <w:rsid w:val="00884F7B"/>
    <w:rsid w:val="0088507B"/>
    <w:rsid w:val="0088548B"/>
    <w:rsid w:val="0088799E"/>
    <w:rsid w:val="00890CE7"/>
    <w:rsid w:val="00890F35"/>
    <w:rsid w:val="0089316B"/>
    <w:rsid w:val="008937C9"/>
    <w:rsid w:val="0089392C"/>
    <w:rsid w:val="0089619C"/>
    <w:rsid w:val="00896456"/>
    <w:rsid w:val="00897754"/>
    <w:rsid w:val="008978EB"/>
    <w:rsid w:val="008A1F24"/>
    <w:rsid w:val="008A242A"/>
    <w:rsid w:val="008A318C"/>
    <w:rsid w:val="008A36FF"/>
    <w:rsid w:val="008A3DA2"/>
    <w:rsid w:val="008A5514"/>
    <w:rsid w:val="008A56E9"/>
    <w:rsid w:val="008A58C7"/>
    <w:rsid w:val="008A6536"/>
    <w:rsid w:val="008A7351"/>
    <w:rsid w:val="008B019E"/>
    <w:rsid w:val="008B0909"/>
    <w:rsid w:val="008B220A"/>
    <w:rsid w:val="008B2545"/>
    <w:rsid w:val="008B3509"/>
    <w:rsid w:val="008B5518"/>
    <w:rsid w:val="008C2812"/>
    <w:rsid w:val="008C2818"/>
    <w:rsid w:val="008C3683"/>
    <w:rsid w:val="008C3987"/>
    <w:rsid w:val="008C4527"/>
    <w:rsid w:val="008C505B"/>
    <w:rsid w:val="008C51C7"/>
    <w:rsid w:val="008C5AA6"/>
    <w:rsid w:val="008C5BAC"/>
    <w:rsid w:val="008C6619"/>
    <w:rsid w:val="008D0905"/>
    <w:rsid w:val="008D1200"/>
    <w:rsid w:val="008D2F74"/>
    <w:rsid w:val="008D5A72"/>
    <w:rsid w:val="008D5EA3"/>
    <w:rsid w:val="008D6103"/>
    <w:rsid w:val="008D78A7"/>
    <w:rsid w:val="008D7A17"/>
    <w:rsid w:val="008E3DB8"/>
    <w:rsid w:val="008E5AFF"/>
    <w:rsid w:val="008E638B"/>
    <w:rsid w:val="008E6BAA"/>
    <w:rsid w:val="008E7469"/>
    <w:rsid w:val="008E7E43"/>
    <w:rsid w:val="008F0019"/>
    <w:rsid w:val="008F11B1"/>
    <w:rsid w:val="008F13F0"/>
    <w:rsid w:val="008F20B6"/>
    <w:rsid w:val="008F3058"/>
    <w:rsid w:val="008F7708"/>
    <w:rsid w:val="008F7E16"/>
    <w:rsid w:val="00900068"/>
    <w:rsid w:val="0090039A"/>
    <w:rsid w:val="0090484E"/>
    <w:rsid w:val="009055AC"/>
    <w:rsid w:val="009065A0"/>
    <w:rsid w:val="0090685B"/>
    <w:rsid w:val="00907045"/>
    <w:rsid w:val="0091049F"/>
    <w:rsid w:val="00910CDB"/>
    <w:rsid w:val="00910E9D"/>
    <w:rsid w:val="009116AC"/>
    <w:rsid w:val="00911A36"/>
    <w:rsid w:val="00912776"/>
    <w:rsid w:val="009144B7"/>
    <w:rsid w:val="00914835"/>
    <w:rsid w:val="00914B2A"/>
    <w:rsid w:val="0091526C"/>
    <w:rsid w:val="009208C8"/>
    <w:rsid w:val="00920C7C"/>
    <w:rsid w:val="00920FE7"/>
    <w:rsid w:val="00921670"/>
    <w:rsid w:val="00921D5D"/>
    <w:rsid w:val="009229FE"/>
    <w:rsid w:val="00923549"/>
    <w:rsid w:val="0092558D"/>
    <w:rsid w:val="00925BD4"/>
    <w:rsid w:val="0092656F"/>
    <w:rsid w:val="00926824"/>
    <w:rsid w:val="00927D8D"/>
    <w:rsid w:val="00927EA1"/>
    <w:rsid w:val="00930010"/>
    <w:rsid w:val="009314AC"/>
    <w:rsid w:val="00933270"/>
    <w:rsid w:val="009334CA"/>
    <w:rsid w:val="009337B4"/>
    <w:rsid w:val="00934181"/>
    <w:rsid w:val="00934316"/>
    <w:rsid w:val="00934AFB"/>
    <w:rsid w:val="00936B8F"/>
    <w:rsid w:val="00936C9F"/>
    <w:rsid w:val="00937EE7"/>
    <w:rsid w:val="00940B34"/>
    <w:rsid w:val="00941244"/>
    <w:rsid w:val="009413DB"/>
    <w:rsid w:val="00941626"/>
    <w:rsid w:val="00941E3A"/>
    <w:rsid w:val="00944889"/>
    <w:rsid w:val="0094504D"/>
    <w:rsid w:val="009469D2"/>
    <w:rsid w:val="00946B1F"/>
    <w:rsid w:val="00946E48"/>
    <w:rsid w:val="0095037D"/>
    <w:rsid w:val="00952994"/>
    <w:rsid w:val="00952CA1"/>
    <w:rsid w:val="00952DA4"/>
    <w:rsid w:val="00953781"/>
    <w:rsid w:val="0095599C"/>
    <w:rsid w:val="00955BBA"/>
    <w:rsid w:val="0095608C"/>
    <w:rsid w:val="009562DC"/>
    <w:rsid w:val="00956880"/>
    <w:rsid w:val="00956E38"/>
    <w:rsid w:val="00957DF4"/>
    <w:rsid w:val="00960442"/>
    <w:rsid w:val="00962D09"/>
    <w:rsid w:val="00963878"/>
    <w:rsid w:val="009639F7"/>
    <w:rsid w:val="00963B62"/>
    <w:rsid w:val="00964262"/>
    <w:rsid w:val="00964C0F"/>
    <w:rsid w:val="0096565F"/>
    <w:rsid w:val="00965E43"/>
    <w:rsid w:val="00966B3A"/>
    <w:rsid w:val="00967396"/>
    <w:rsid w:val="00970DC2"/>
    <w:rsid w:val="00970DCF"/>
    <w:rsid w:val="0097115E"/>
    <w:rsid w:val="009713F4"/>
    <w:rsid w:val="00971C9A"/>
    <w:rsid w:val="0097313A"/>
    <w:rsid w:val="0097471D"/>
    <w:rsid w:val="00974ED5"/>
    <w:rsid w:val="00975204"/>
    <w:rsid w:val="009752A0"/>
    <w:rsid w:val="0097624A"/>
    <w:rsid w:val="00976C26"/>
    <w:rsid w:val="0098100C"/>
    <w:rsid w:val="0098338F"/>
    <w:rsid w:val="00986868"/>
    <w:rsid w:val="00994B00"/>
    <w:rsid w:val="0099669C"/>
    <w:rsid w:val="00996AFF"/>
    <w:rsid w:val="00996ED5"/>
    <w:rsid w:val="00997C39"/>
    <w:rsid w:val="009A023A"/>
    <w:rsid w:val="009A165B"/>
    <w:rsid w:val="009A17DA"/>
    <w:rsid w:val="009A21DD"/>
    <w:rsid w:val="009A2EB2"/>
    <w:rsid w:val="009A4C28"/>
    <w:rsid w:val="009A6125"/>
    <w:rsid w:val="009A6214"/>
    <w:rsid w:val="009A6426"/>
    <w:rsid w:val="009A6971"/>
    <w:rsid w:val="009B0030"/>
    <w:rsid w:val="009B061C"/>
    <w:rsid w:val="009B0A4D"/>
    <w:rsid w:val="009B1427"/>
    <w:rsid w:val="009B1A6A"/>
    <w:rsid w:val="009B2BC8"/>
    <w:rsid w:val="009B3ABF"/>
    <w:rsid w:val="009B4345"/>
    <w:rsid w:val="009B4FED"/>
    <w:rsid w:val="009B5075"/>
    <w:rsid w:val="009B63FC"/>
    <w:rsid w:val="009C0E94"/>
    <w:rsid w:val="009C1AB5"/>
    <w:rsid w:val="009C25ED"/>
    <w:rsid w:val="009C2697"/>
    <w:rsid w:val="009C47DB"/>
    <w:rsid w:val="009C4908"/>
    <w:rsid w:val="009C620D"/>
    <w:rsid w:val="009C621C"/>
    <w:rsid w:val="009C6594"/>
    <w:rsid w:val="009C7BA3"/>
    <w:rsid w:val="009C7D91"/>
    <w:rsid w:val="009D26C6"/>
    <w:rsid w:val="009D2C1F"/>
    <w:rsid w:val="009D2C85"/>
    <w:rsid w:val="009D3709"/>
    <w:rsid w:val="009D3827"/>
    <w:rsid w:val="009D3B19"/>
    <w:rsid w:val="009D442A"/>
    <w:rsid w:val="009D4734"/>
    <w:rsid w:val="009D4B70"/>
    <w:rsid w:val="009D62B7"/>
    <w:rsid w:val="009E0859"/>
    <w:rsid w:val="009E1234"/>
    <w:rsid w:val="009E1659"/>
    <w:rsid w:val="009E2AD5"/>
    <w:rsid w:val="009E3172"/>
    <w:rsid w:val="009E3210"/>
    <w:rsid w:val="009E43E3"/>
    <w:rsid w:val="009E4D70"/>
    <w:rsid w:val="009E4EFE"/>
    <w:rsid w:val="009E5B5D"/>
    <w:rsid w:val="009E636B"/>
    <w:rsid w:val="009F2544"/>
    <w:rsid w:val="009F3530"/>
    <w:rsid w:val="009F3ADA"/>
    <w:rsid w:val="009F426F"/>
    <w:rsid w:val="009F46DA"/>
    <w:rsid w:val="009F5C60"/>
    <w:rsid w:val="009F66FF"/>
    <w:rsid w:val="009F74C1"/>
    <w:rsid w:val="00A00062"/>
    <w:rsid w:val="00A011B4"/>
    <w:rsid w:val="00A02089"/>
    <w:rsid w:val="00A02773"/>
    <w:rsid w:val="00A033BC"/>
    <w:rsid w:val="00A0542E"/>
    <w:rsid w:val="00A059D5"/>
    <w:rsid w:val="00A05A46"/>
    <w:rsid w:val="00A06A5D"/>
    <w:rsid w:val="00A06C5F"/>
    <w:rsid w:val="00A07467"/>
    <w:rsid w:val="00A07538"/>
    <w:rsid w:val="00A076CE"/>
    <w:rsid w:val="00A11ED5"/>
    <w:rsid w:val="00A129E2"/>
    <w:rsid w:val="00A12DAA"/>
    <w:rsid w:val="00A1627B"/>
    <w:rsid w:val="00A169B6"/>
    <w:rsid w:val="00A177B1"/>
    <w:rsid w:val="00A21BB2"/>
    <w:rsid w:val="00A22D97"/>
    <w:rsid w:val="00A24839"/>
    <w:rsid w:val="00A25568"/>
    <w:rsid w:val="00A303C5"/>
    <w:rsid w:val="00A31575"/>
    <w:rsid w:val="00A31905"/>
    <w:rsid w:val="00A32BEF"/>
    <w:rsid w:val="00A32D40"/>
    <w:rsid w:val="00A33EDA"/>
    <w:rsid w:val="00A34EE2"/>
    <w:rsid w:val="00A3599B"/>
    <w:rsid w:val="00A36150"/>
    <w:rsid w:val="00A36311"/>
    <w:rsid w:val="00A36A54"/>
    <w:rsid w:val="00A37946"/>
    <w:rsid w:val="00A37D27"/>
    <w:rsid w:val="00A40A20"/>
    <w:rsid w:val="00A40BB0"/>
    <w:rsid w:val="00A40FEA"/>
    <w:rsid w:val="00A4169F"/>
    <w:rsid w:val="00A416B1"/>
    <w:rsid w:val="00A42BD6"/>
    <w:rsid w:val="00A44B73"/>
    <w:rsid w:val="00A45D74"/>
    <w:rsid w:val="00A46611"/>
    <w:rsid w:val="00A54793"/>
    <w:rsid w:val="00A55785"/>
    <w:rsid w:val="00A602C1"/>
    <w:rsid w:val="00A6076B"/>
    <w:rsid w:val="00A60A85"/>
    <w:rsid w:val="00A60E81"/>
    <w:rsid w:val="00A619D8"/>
    <w:rsid w:val="00A61EF9"/>
    <w:rsid w:val="00A62F3E"/>
    <w:rsid w:val="00A63EA0"/>
    <w:rsid w:val="00A64264"/>
    <w:rsid w:val="00A64672"/>
    <w:rsid w:val="00A64AEC"/>
    <w:rsid w:val="00A6596A"/>
    <w:rsid w:val="00A65F58"/>
    <w:rsid w:val="00A70295"/>
    <w:rsid w:val="00A70DB8"/>
    <w:rsid w:val="00A716EC"/>
    <w:rsid w:val="00A71C75"/>
    <w:rsid w:val="00A737B7"/>
    <w:rsid w:val="00A73F48"/>
    <w:rsid w:val="00A75A2C"/>
    <w:rsid w:val="00A77E5F"/>
    <w:rsid w:val="00A77F51"/>
    <w:rsid w:val="00A82150"/>
    <w:rsid w:val="00A831F1"/>
    <w:rsid w:val="00A83D00"/>
    <w:rsid w:val="00A83E60"/>
    <w:rsid w:val="00A84E34"/>
    <w:rsid w:val="00A850A8"/>
    <w:rsid w:val="00A862A7"/>
    <w:rsid w:val="00A902D5"/>
    <w:rsid w:val="00A90767"/>
    <w:rsid w:val="00A90DB1"/>
    <w:rsid w:val="00A91C34"/>
    <w:rsid w:val="00A9200A"/>
    <w:rsid w:val="00A95434"/>
    <w:rsid w:val="00AA104C"/>
    <w:rsid w:val="00AA2502"/>
    <w:rsid w:val="00AA4455"/>
    <w:rsid w:val="00AA627D"/>
    <w:rsid w:val="00AA6AF9"/>
    <w:rsid w:val="00AA6BF9"/>
    <w:rsid w:val="00AB018B"/>
    <w:rsid w:val="00AB19D8"/>
    <w:rsid w:val="00AB1DDF"/>
    <w:rsid w:val="00AB2839"/>
    <w:rsid w:val="00AB302F"/>
    <w:rsid w:val="00AB58B8"/>
    <w:rsid w:val="00AC0A09"/>
    <w:rsid w:val="00AC3290"/>
    <w:rsid w:val="00AC33DE"/>
    <w:rsid w:val="00AC4F84"/>
    <w:rsid w:val="00AC5FCF"/>
    <w:rsid w:val="00AD023C"/>
    <w:rsid w:val="00AD12EB"/>
    <w:rsid w:val="00AD144E"/>
    <w:rsid w:val="00AD5206"/>
    <w:rsid w:val="00AD527D"/>
    <w:rsid w:val="00AD5B2D"/>
    <w:rsid w:val="00AD7A4A"/>
    <w:rsid w:val="00AE24C3"/>
    <w:rsid w:val="00AE5288"/>
    <w:rsid w:val="00AE5383"/>
    <w:rsid w:val="00AE6172"/>
    <w:rsid w:val="00AF066A"/>
    <w:rsid w:val="00AF21A5"/>
    <w:rsid w:val="00AF2237"/>
    <w:rsid w:val="00AF2B27"/>
    <w:rsid w:val="00AF466A"/>
    <w:rsid w:val="00AF4B8B"/>
    <w:rsid w:val="00AF504D"/>
    <w:rsid w:val="00B0047C"/>
    <w:rsid w:val="00B008F5"/>
    <w:rsid w:val="00B015AC"/>
    <w:rsid w:val="00B02625"/>
    <w:rsid w:val="00B02DB3"/>
    <w:rsid w:val="00B03E35"/>
    <w:rsid w:val="00B04108"/>
    <w:rsid w:val="00B055A7"/>
    <w:rsid w:val="00B0586A"/>
    <w:rsid w:val="00B05C45"/>
    <w:rsid w:val="00B10970"/>
    <w:rsid w:val="00B14EF3"/>
    <w:rsid w:val="00B15DC2"/>
    <w:rsid w:val="00B16E03"/>
    <w:rsid w:val="00B17924"/>
    <w:rsid w:val="00B17E35"/>
    <w:rsid w:val="00B22532"/>
    <w:rsid w:val="00B22B23"/>
    <w:rsid w:val="00B23412"/>
    <w:rsid w:val="00B23D2F"/>
    <w:rsid w:val="00B23F61"/>
    <w:rsid w:val="00B256BF"/>
    <w:rsid w:val="00B25B98"/>
    <w:rsid w:val="00B260F0"/>
    <w:rsid w:val="00B26C05"/>
    <w:rsid w:val="00B2700F"/>
    <w:rsid w:val="00B271E9"/>
    <w:rsid w:val="00B2730F"/>
    <w:rsid w:val="00B32280"/>
    <w:rsid w:val="00B33907"/>
    <w:rsid w:val="00B33A26"/>
    <w:rsid w:val="00B354F2"/>
    <w:rsid w:val="00B3761D"/>
    <w:rsid w:val="00B379AF"/>
    <w:rsid w:val="00B42F43"/>
    <w:rsid w:val="00B43857"/>
    <w:rsid w:val="00B4407B"/>
    <w:rsid w:val="00B44CF4"/>
    <w:rsid w:val="00B44D12"/>
    <w:rsid w:val="00B45203"/>
    <w:rsid w:val="00B457EE"/>
    <w:rsid w:val="00B45CE8"/>
    <w:rsid w:val="00B45D4F"/>
    <w:rsid w:val="00B45DD0"/>
    <w:rsid w:val="00B47077"/>
    <w:rsid w:val="00B47E45"/>
    <w:rsid w:val="00B47ED3"/>
    <w:rsid w:val="00B504BD"/>
    <w:rsid w:val="00B5071E"/>
    <w:rsid w:val="00B50798"/>
    <w:rsid w:val="00B511BF"/>
    <w:rsid w:val="00B53739"/>
    <w:rsid w:val="00B54E99"/>
    <w:rsid w:val="00B55C7B"/>
    <w:rsid w:val="00B6003E"/>
    <w:rsid w:val="00B63337"/>
    <w:rsid w:val="00B63660"/>
    <w:rsid w:val="00B64636"/>
    <w:rsid w:val="00B66706"/>
    <w:rsid w:val="00B66864"/>
    <w:rsid w:val="00B67416"/>
    <w:rsid w:val="00B67867"/>
    <w:rsid w:val="00B67F08"/>
    <w:rsid w:val="00B705DC"/>
    <w:rsid w:val="00B7065E"/>
    <w:rsid w:val="00B70F73"/>
    <w:rsid w:val="00B70FE5"/>
    <w:rsid w:val="00B71AA1"/>
    <w:rsid w:val="00B729E8"/>
    <w:rsid w:val="00B72D82"/>
    <w:rsid w:val="00B72F45"/>
    <w:rsid w:val="00B7441E"/>
    <w:rsid w:val="00B74552"/>
    <w:rsid w:val="00B75A4A"/>
    <w:rsid w:val="00B76779"/>
    <w:rsid w:val="00B769DA"/>
    <w:rsid w:val="00B76FB0"/>
    <w:rsid w:val="00B77616"/>
    <w:rsid w:val="00B81498"/>
    <w:rsid w:val="00B81662"/>
    <w:rsid w:val="00B82F65"/>
    <w:rsid w:val="00B83D28"/>
    <w:rsid w:val="00B8519E"/>
    <w:rsid w:val="00B870D0"/>
    <w:rsid w:val="00B8780F"/>
    <w:rsid w:val="00B9077F"/>
    <w:rsid w:val="00B911F6"/>
    <w:rsid w:val="00B9363F"/>
    <w:rsid w:val="00B93BA2"/>
    <w:rsid w:val="00B9610D"/>
    <w:rsid w:val="00B96C1A"/>
    <w:rsid w:val="00BA1FA3"/>
    <w:rsid w:val="00BA40BC"/>
    <w:rsid w:val="00BA5726"/>
    <w:rsid w:val="00BA791F"/>
    <w:rsid w:val="00BB079B"/>
    <w:rsid w:val="00BB3F2C"/>
    <w:rsid w:val="00BB4182"/>
    <w:rsid w:val="00BB430A"/>
    <w:rsid w:val="00BB5382"/>
    <w:rsid w:val="00BB590E"/>
    <w:rsid w:val="00BB63B9"/>
    <w:rsid w:val="00BB72ED"/>
    <w:rsid w:val="00BB7DAC"/>
    <w:rsid w:val="00BB7EF2"/>
    <w:rsid w:val="00BC0FA6"/>
    <w:rsid w:val="00BC24E3"/>
    <w:rsid w:val="00BC3107"/>
    <w:rsid w:val="00BC31A2"/>
    <w:rsid w:val="00BC350F"/>
    <w:rsid w:val="00BC4365"/>
    <w:rsid w:val="00BC56A7"/>
    <w:rsid w:val="00BC5BF2"/>
    <w:rsid w:val="00BC6426"/>
    <w:rsid w:val="00BC669E"/>
    <w:rsid w:val="00BC70F0"/>
    <w:rsid w:val="00BD0078"/>
    <w:rsid w:val="00BD102C"/>
    <w:rsid w:val="00BD3B25"/>
    <w:rsid w:val="00BD5033"/>
    <w:rsid w:val="00BD51D0"/>
    <w:rsid w:val="00BD5958"/>
    <w:rsid w:val="00BD6812"/>
    <w:rsid w:val="00BE0367"/>
    <w:rsid w:val="00BE037A"/>
    <w:rsid w:val="00BE0415"/>
    <w:rsid w:val="00BE05D6"/>
    <w:rsid w:val="00BE072B"/>
    <w:rsid w:val="00BE1860"/>
    <w:rsid w:val="00BE420C"/>
    <w:rsid w:val="00BE57F2"/>
    <w:rsid w:val="00BE62A1"/>
    <w:rsid w:val="00BE6927"/>
    <w:rsid w:val="00BE69F9"/>
    <w:rsid w:val="00BE7AD3"/>
    <w:rsid w:val="00BF1040"/>
    <w:rsid w:val="00BF24BE"/>
    <w:rsid w:val="00BF24DC"/>
    <w:rsid w:val="00BF2BA7"/>
    <w:rsid w:val="00BF5346"/>
    <w:rsid w:val="00BF543A"/>
    <w:rsid w:val="00BF5EE2"/>
    <w:rsid w:val="00BF7A1D"/>
    <w:rsid w:val="00BF7E6F"/>
    <w:rsid w:val="00C009B8"/>
    <w:rsid w:val="00C01521"/>
    <w:rsid w:val="00C0483F"/>
    <w:rsid w:val="00C0796C"/>
    <w:rsid w:val="00C07E6D"/>
    <w:rsid w:val="00C102CC"/>
    <w:rsid w:val="00C104DF"/>
    <w:rsid w:val="00C10944"/>
    <w:rsid w:val="00C10D84"/>
    <w:rsid w:val="00C144AB"/>
    <w:rsid w:val="00C156B6"/>
    <w:rsid w:val="00C16646"/>
    <w:rsid w:val="00C2089D"/>
    <w:rsid w:val="00C21046"/>
    <w:rsid w:val="00C21871"/>
    <w:rsid w:val="00C22299"/>
    <w:rsid w:val="00C22B0F"/>
    <w:rsid w:val="00C23897"/>
    <w:rsid w:val="00C23DDA"/>
    <w:rsid w:val="00C2514E"/>
    <w:rsid w:val="00C253CB"/>
    <w:rsid w:val="00C25B46"/>
    <w:rsid w:val="00C26304"/>
    <w:rsid w:val="00C27498"/>
    <w:rsid w:val="00C27809"/>
    <w:rsid w:val="00C30F68"/>
    <w:rsid w:val="00C31942"/>
    <w:rsid w:val="00C33C60"/>
    <w:rsid w:val="00C34FFD"/>
    <w:rsid w:val="00C369DA"/>
    <w:rsid w:val="00C40936"/>
    <w:rsid w:val="00C40BDD"/>
    <w:rsid w:val="00C40FF9"/>
    <w:rsid w:val="00C41843"/>
    <w:rsid w:val="00C41973"/>
    <w:rsid w:val="00C422DC"/>
    <w:rsid w:val="00C43FD7"/>
    <w:rsid w:val="00C441C5"/>
    <w:rsid w:val="00C44413"/>
    <w:rsid w:val="00C444D7"/>
    <w:rsid w:val="00C45B92"/>
    <w:rsid w:val="00C46626"/>
    <w:rsid w:val="00C46EF9"/>
    <w:rsid w:val="00C50BC1"/>
    <w:rsid w:val="00C531B5"/>
    <w:rsid w:val="00C53542"/>
    <w:rsid w:val="00C53B24"/>
    <w:rsid w:val="00C575B7"/>
    <w:rsid w:val="00C611EA"/>
    <w:rsid w:val="00C613AB"/>
    <w:rsid w:val="00C62C3C"/>
    <w:rsid w:val="00C62F94"/>
    <w:rsid w:val="00C6339B"/>
    <w:rsid w:val="00C63BB4"/>
    <w:rsid w:val="00C64408"/>
    <w:rsid w:val="00C649CF"/>
    <w:rsid w:val="00C70384"/>
    <w:rsid w:val="00C71300"/>
    <w:rsid w:val="00C71788"/>
    <w:rsid w:val="00C7182A"/>
    <w:rsid w:val="00C7282F"/>
    <w:rsid w:val="00C74ED3"/>
    <w:rsid w:val="00C753E3"/>
    <w:rsid w:val="00C756A7"/>
    <w:rsid w:val="00C77E8C"/>
    <w:rsid w:val="00C80280"/>
    <w:rsid w:val="00C81589"/>
    <w:rsid w:val="00C81FD5"/>
    <w:rsid w:val="00C83342"/>
    <w:rsid w:val="00C83B38"/>
    <w:rsid w:val="00C85A52"/>
    <w:rsid w:val="00C86107"/>
    <w:rsid w:val="00C86579"/>
    <w:rsid w:val="00C86663"/>
    <w:rsid w:val="00C86759"/>
    <w:rsid w:val="00C86859"/>
    <w:rsid w:val="00C86F0B"/>
    <w:rsid w:val="00C876D5"/>
    <w:rsid w:val="00C91292"/>
    <w:rsid w:val="00C915D7"/>
    <w:rsid w:val="00C923F2"/>
    <w:rsid w:val="00C93A3E"/>
    <w:rsid w:val="00C93AFC"/>
    <w:rsid w:val="00C9409B"/>
    <w:rsid w:val="00C94446"/>
    <w:rsid w:val="00C95250"/>
    <w:rsid w:val="00C9568E"/>
    <w:rsid w:val="00C9606D"/>
    <w:rsid w:val="00CA05B6"/>
    <w:rsid w:val="00CA0617"/>
    <w:rsid w:val="00CA0B9F"/>
    <w:rsid w:val="00CA1D25"/>
    <w:rsid w:val="00CA2394"/>
    <w:rsid w:val="00CA25EF"/>
    <w:rsid w:val="00CA3857"/>
    <w:rsid w:val="00CA3BF1"/>
    <w:rsid w:val="00CA4606"/>
    <w:rsid w:val="00CA7E9C"/>
    <w:rsid w:val="00CB1A6E"/>
    <w:rsid w:val="00CB2CC4"/>
    <w:rsid w:val="00CB3B13"/>
    <w:rsid w:val="00CB4481"/>
    <w:rsid w:val="00CB7BB0"/>
    <w:rsid w:val="00CC0ED8"/>
    <w:rsid w:val="00CC1B17"/>
    <w:rsid w:val="00CC20F4"/>
    <w:rsid w:val="00CC2C68"/>
    <w:rsid w:val="00CC3910"/>
    <w:rsid w:val="00CC42D6"/>
    <w:rsid w:val="00CC5586"/>
    <w:rsid w:val="00CC7596"/>
    <w:rsid w:val="00CC7FE5"/>
    <w:rsid w:val="00CD0AF3"/>
    <w:rsid w:val="00CD4EA6"/>
    <w:rsid w:val="00CE0B9C"/>
    <w:rsid w:val="00CE0BB9"/>
    <w:rsid w:val="00CE14E4"/>
    <w:rsid w:val="00CE1529"/>
    <w:rsid w:val="00CE37E6"/>
    <w:rsid w:val="00CE414D"/>
    <w:rsid w:val="00CE445D"/>
    <w:rsid w:val="00CE655F"/>
    <w:rsid w:val="00CE670A"/>
    <w:rsid w:val="00CE7073"/>
    <w:rsid w:val="00CF0183"/>
    <w:rsid w:val="00CF020B"/>
    <w:rsid w:val="00CF11A1"/>
    <w:rsid w:val="00CF1260"/>
    <w:rsid w:val="00CF1507"/>
    <w:rsid w:val="00CF212E"/>
    <w:rsid w:val="00CF287B"/>
    <w:rsid w:val="00CF2D50"/>
    <w:rsid w:val="00CF4E63"/>
    <w:rsid w:val="00CF6E44"/>
    <w:rsid w:val="00CF77A9"/>
    <w:rsid w:val="00D0040D"/>
    <w:rsid w:val="00D0128E"/>
    <w:rsid w:val="00D02754"/>
    <w:rsid w:val="00D06F3D"/>
    <w:rsid w:val="00D0782A"/>
    <w:rsid w:val="00D11B6A"/>
    <w:rsid w:val="00D11F48"/>
    <w:rsid w:val="00D1213E"/>
    <w:rsid w:val="00D1268F"/>
    <w:rsid w:val="00D1283B"/>
    <w:rsid w:val="00D14CDD"/>
    <w:rsid w:val="00D15B37"/>
    <w:rsid w:val="00D176FC"/>
    <w:rsid w:val="00D17A42"/>
    <w:rsid w:val="00D2039E"/>
    <w:rsid w:val="00D20472"/>
    <w:rsid w:val="00D21984"/>
    <w:rsid w:val="00D21BF0"/>
    <w:rsid w:val="00D224CC"/>
    <w:rsid w:val="00D2357C"/>
    <w:rsid w:val="00D2442C"/>
    <w:rsid w:val="00D2452D"/>
    <w:rsid w:val="00D252DE"/>
    <w:rsid w:val="00D27AEF"/>
    <w:rsid w:val="00D27EC7"/>
    <w:rsid w:val="00D30B8F"/>
    <w:rsid w:val="00D3146A"/>
    <w:rsid w:val="00D3210B"/>
    <w:rsid w:val="00D3304A"/>
    <w:rsid w:val="00D33243"/>
    <w:rsid w:val="00D33B30"/>
    <w:rsid w:val="00D351C2"/>
    <w:rsid w:val="00D35BBC"/>
    <w:rsid w:val="00D37050"/>
    <w:rsid w:val="00D377F8"/>
    <w:rsid w:val="00D40AC8"/>
    <w:rsid w:val="00D412BB"/>
    <w:rsid w:val="00D413E8"/>
    <w:rsid w:val="00D41B37"/>
    <w:rsid w:val="00D428BB"/>
    <w:rsid w:val="00D44121"/>
    <w:rsid w:val="00D44327"/>
    <w:rsid w:val="00D44773"/>
    <w:rsid w:val="00D4484F"/>
    <w:rsid w:val="00D45059"/>
    <w:rsid w:val="00D45FF3"/>
    <w:rsid w:val="00D46FBF"/>
    <w:rsid w:val="00D47B2A"/>
    <w:rsid w:val="00D503FC"/>
    <w:rsid w:val="00D5065D"/>
    <w:rsid w:val="00D5079E"/>
    <w:rsid w:val="00D52186"/>
    <w:rsid w:val="00D52E21"/>
    <w:rsid w:val="00D52E27"/>
    <w:rsid w:val="00D53AE2"/>
    <w:rsid w:val="00D54826"/>
    <w:rsid w:val="00D55C8C"/>
    <w:rsid w:val="00D6148F"/>
    <w:rsid w:val="00D62669"/>
    <w:rsid w:val="00D62D02"/>
    <w:rsid w:val="00D633CC"/>
    <w:rsid w:val="00D64CA4"/>
    <w:rsid w:val="00D65B88"/>
    <w:rsid w:val="00D65E07"/>
    <w:rsid w:val="00D67423"/>
    <w:rsid w:val="00D7028E"/>
    <w:rsid w:val="00D7177F"/>
    <w:rsid w:val="00D71C17"/>
    <w:rsid w:val="00D725FA"/>
    <w:rsid w:val="00D72948"/>
    <w:rsid w:val="00D75CD8"/>
    <w:rsid w:val="00D76BB1"/>
    <w:rsid w:val="00D76C4C"/>
    <w:rsid w:val="00D7750F"/>
    <w:rsid w:val="00D77949"/>
    <w:rsid w:val="00D8146F"/>
    <w:rsid w:val="00D831FD"/>
    <w:rsid w:val="00D83213"/>
    <w:rsid w:val="00D837C4"/>
    <w:rsid w:val="00D841A4"/>
    <w:rsid w:val="00D8589B"/>
    <w:rsid w:val="00D858E4"/>
    <w:rsid w:val="00D85E00"/>
    <w:rsid w:val="00D85F6B"/>
    <w:rsid w:val="00D86BBC"/>
    <w:rsid w:val="00D86C4F"/>
    <w:rsid w:val="00D87160"/>
    <w:rsid w:val="00D87E89"/>
    <w:rsid w:val="00D90551"/>
    <w:rsid w:val="00D90E0F"/>
    <w:rsid w:val="00D916C6"/>
    <w:rsid w:val="00D94138"/>
    <w:rsid w:val="00D959DD"/>
    <w:rsid w:val="00D960D0"/>
    <w:rsid w:val="00D96C3C"/>
    <w:rsid w:val="00D97101"/>
    <w:rsid w:val="00DA198F"/>
    <w:rsid w:val="00DA19F3"/>
    <w:rsid w:val="00DA2B20"/>
    <w:rsid w:val="00DA3BF3"/>
    <w:rsid w:val="00DA476B"/>
    <w:rsid w:val="00DA5EB4"/>
    <w:rsid w:val="00DA6750"/>
    <w:rsid w:val="00DA6ED5"/>
    <w:rsid w:val="00DA76E3"/>
    <w:rsid w:val="00DB29D1"/>
    <w:rsid w:val="00DB2B43"/>
    <w:rsid w:val="00DB337A"/>
    <w:rsid w:val="00DB3455"/>
    <w:rsid w:val="00DB4ADB"/>
    <w:rsid w:val="00DB5E24"/>
    <w:rsid w:val="00DC0A0B"/>
    <w:rsid w:val="00DC0C67"/>
    <w:rsid w:val="00DC13EF"/>
    <w:rsid w:val="00DC2202"/>
    <w:rsid w:val="00DC2641"/>
    <w:rsid w:val="00DC2917"/>
    <w:rsid w:val="00DC4F29"/>
    <w:rsid w:val="00DC66B9"/>
    <w:rsid w:val="00DC6C01"/>
    <w:rsid w:val="00DC71E2"/>
    <w:rsid w:val="00DC71FD"/>
    <w:rsid w:val="00DC7367"/>
    <w:rsid w:val="00DD0206"/>
    <w:rsid w:val="00DD053B"/>
    <w:rsid w:val="00DD0B88"/>
    <w:rsid w:val="00DD1577"/>
    <w:rsid w:val="00DD2031"/>
    <w:rsid w:val="00DD277A"/>
    <w:rsid w:val="00DD2D2B"/>
    <w:rsid w:val="00DD65BC"/>
    <w:rsid w:val="00DE0477"/>
    <w:rsid w:val="00DE0A80"/>
    <w:rsid w:val="00DE0F60"/>
    <w:rsid w:val="00DE178B"/>
    <w:rsid w:val="00DE4A9A"/>
    <w:rsid w:val="00DE5235"/>
    <w:rsid w:val="00DE53E5"/>
    <w:rsid w:val="00DE6947"/>
    <w:rsid w:val="00DE7705"/>
    <w:rsid w:val="00DF26BE"/>
    <w:rsid w:val="00DF37DC"/>
    <w:rsid w:val="00DF5125"/>
    <w:rsid w:val="00DF52C1"/>
    <w:rsid w:val="00DF5990"/>
    <w:rsid w:val="00DF7326"/>
    <w:rsid w:val="00DF73EE"/>
    <w:rsid w:val="00E0008A"/>
    <w:rsid w:val="00E00500"/>
    <w:rsid w:val="00E015F6"/>
    <w:rsid w:val="00E016A5"/>
    <w:rsid w:val="00E01E83"/>
    <w:rsid w:val="00E02A4C"/>
    <w:rsid w:val="00E048A9"/>
    <w:rsid w:val="00E04DBA"/>
    <w:rsid w:val="00E0594A"/>
    <w:rsid w:val="00E0798A"/>
    <w:rsid w:val="00E07DF7"/>
    <w:rsid w:val="00E07E99"/>
    <w:rsid w:val="00E11165"/>
    <w:rsid w:val="00E11599"/>
    <w:rsid w:val="00E11F70"/>
    <w:rsid w:val="00E1305A"/>
    <w:rsid w:val="00E13DE5"/>
    <w:rsid w:val="00E1445B"/>
    <w:rsid w:val="00E1610E"/>
    <w:rsid w:val="00E171FC"/>
    <w:rsid w:val="00E21ABD"/>
    <w:rsid w:val="00E21F7F"/>
    <w:rsid w:val="00E220EA"/>
    <w:rsid w:val="00E2496D"/>
    <w:rsid w:val="00E27B8B"/>
    <w:rsid w:val="00E3122B"/>
    <w:rsid w:val="00E318CB"/>
    <w:rsid w:val="00E31A3A"/>
    <w:rsid w:val="00E31A80"/>
    <w:rsid w:val="00E33D4E"/>
    <w:rsid w:val="00E342F8"/>
    <w:rsid w:val="00E34542"/>
    <w:rsid w:val="00E36336"/>
    <w:rsid w:val="00E369A3"/>
    <w:rsid w:val="00E37727"/>
    <w:rsid w:val="00E37E28"/>
    <w:rsid w:val="00E42CF9"/>
    <w:rsid w:val="00E43F57"/>
    <w:rsid w:val="00E44162"/>
    <w:rsid w:val="00E449FD"/>
    <w:rsid w:val="00E45A32"/>
    <w:rsid w:val="00E4618B"/>
    <w:rsid w:val="00E46422"/>
    <w:rsid w:val="00E467F0"/>
    <w:rsid w:val="00E47004"/>
    <w:rsid w:val="00E472AC"/>
    <w:rsid w:val="00E47645"/>
    <w:rsid w:val="00E501F1"/>
    <w:rsid w:val="00E50979"/>
    <w:rsid w:val="00E511C1"/>
    <w:rsid w:val="00E51442"/>
    <w:rsid w:val="00E5207C"/>
    <w:rsid w:val="00E56290"/>
    <w:rsid w:val="00E567F6"/>
    <w:rsid w:val="00E576F8"/>
    <w:rsid w:val="00E57FCC"/>
    <w:rsid w:val="00E60949"/>
    <w:rsid w:val="00E61668"/>
    <w:rsid w:val="00E61A59"/>
    <w:rsid w:val="00E62034"/>
    <w:rsid w:val="00E6228C"/>
    <w:rsid w:val="00E62E98"/>
    <w:rsid w:val="00E63564"/>
    <w:rsid w:val="00E6394C"/>
    <w:rsid w:val="00E63C3A"/>
    <w:rsid w:val="00E63D3E"/>
    <w:rsid w:val="00E64356"/>
    <w:rsid w:val="00E6478E"/>
    <w:rsid w:val="00E65E1A"/>
    <w:rsid w:val="00E66425"/>
    <w:rsid w:val="00E67DEC"/>
    <w:rsid w:val="00E72649"/>
    <w:rsid w:val="00E72DC4"/>
    <w:rsid w:val="00E73BEA"/>
    <w:rsid w:val="00E76076"/>
    <w:rsid w:val="00E77CEE"/>
    <w:rsid w:val="00E77E51"/>
    <w:rsid w:val="00E81080"/>
    <w:rsid w:val="00E810BB"/>
    <w:rsid w:val="00E828CC"/>
    <w:rsid w:val="00E833BB"/>
    <w:rsid w:val="00E83A69"/>
    <w:rsid w:val="00E83D75"/>
    <w:rsid w:val="00E848A4"/>
    <w:rsid w:val="00E90BCB"/>
    <w:rsid w:val="00E90CAE"/>
    <w:rsid w:val="00E91382"/>
    <w:rsid w:val="00E91ABB"/>
    <w:rsid w:val="00E91DDC"/>
    <w:rsid w:val="00E92C9E"/>
    <w:rsid w:val="00E9364C"/>
    <w:rsid w:val="00E94A96"/>
    <w:rsid w:val="00E970DE"/>
    <w:rsid w:val="00E9716A"/>
    <w:rsid w:val="00EA0849"/>
    <w:rsid w:val="00EA0F2D"/>
    <w:rsid w:val="00EA22CA"/>
    <w:rsid w:val="00EA24BD"/>
    <w:rsid w:val="00EA2914"/>
    <w:rsid w:val="00EA4A4A"/>
    <w:rsid w:val="00EA6D0C"/>
    <w:rsid w:val="00EA6DB3"/>
    <w:rsid w:val="00EB004E"/>
    <w:rsid w:val="00EB2D48"/>
    <w:rsid w:val="00EB3B5B"/>
    <w:rsid w:val="00EB3E0C"/>
    <w:rsid w:val="00EB3FBB"/>
    <w:rsid w:val="00EC008B"/>
    <w:rsid w:val="00EC09D7"/>
    <w:rsid w:val="00EC2253"/>
    <w:rsid w:val="00EC319A"/>
    <w:rsid w:val="00EC417F"/>
    <w:rsid w:val="00EC4E84"/>
    <w:rsid w:val="00EC4E85"/>
    <w:rsid w:val="00EC5730"/>
    <w:rsid w:val="00EC574E"/>
    <w:rsid w:val="00ED055C"/>
    <w:rsid w:val="00ED19D6"/>
    <w:rsid w:val="00ED2876"/>
    <w:rsid w:val="00ED3B4C"/>
    <w:rsid w:val="00ED3ECC"/>
    <w:rsid w:val="00ED464C"/>
    <w:rsid w:val="00ED498C"/>
    <w:rsid w:val="00ED4DE5"/>
    <w:rsid w:val="00ED50F4"/>
    <w:rsid w:val="00ED7C3F"/>
    <w:rsid w:val="00EE17BA"/>
    <w:rsid w:val="00EE2886"/>
    <w:rsid w:val="00EE683F"/>
    <w:rsid w:val="00EE6B87"/>
    <w:rsid w:val="00EE6C38"/>
    <w:rsid w:val="00EE6CBD"/>
    <w:rsid w:val="00EF096B"/>
    <w:rsid w:val="00EF0A19"/>
    <w:rsid w:val="00EF2E74"/>
    <w:rsid w:val="00EF53D5"/>
    <w:rsid w:val="00EF6881"/>
    <w:rsid w:val="00EF720D"/>
    <w:rsid w:val="00EF7BEE"/>
    <w:rsid w:val="00F00A5F"/>
    <w:rsid w:val="00F00D3D"/>
    <w:rsid w:val="00F01054"/>
    <w:rsid w:val="00F02278"/>
    <w:rsid w:val="00F023AC"/>
    <w:rsid w:val="00F02FDC"/>
    <w:rsid w:val="00F031CD"/>
    <w:rsid w:val="00F03639"/>
    <w:rsid w:val="00F04C5E"/>
    <w:rsid w:val="00F0579F"/>
    <w:rsid w:val="00F065E6"/>
    <w:rsid w:val="00F06979"/>
    <w:rsid w:val="00F07931"/>
    <w:rsid w:val="00F10441"/>
    <w:rsid w:val="00F105DC"/>
    <w:rsid w:val="00F10CE1"/>
    <w:rsid w:val="00F11407"/>
    <w:rsid w:val="00F123C3"/>
    <w:rsid w:val="00F134A3"/>
    <w:rsid w:val="00F13DA9"/>
    <w:rsid w:val="00F13F77"/>
    <w:rsid w:val="00F1618A"/>
    <w:rsid w:val="00F16FAB"/>
    <w:rsid w:val="00F1751A"/>
    <w:rsid w:val="00F2111A"/>
    <w:rsid w:val="00F21A5F"/>
    <w:rsid w:val="00F22009"/>
    <w:rsid w:val="00F23B8C"/>
    <w:rsid w:val="00F2442A"/>
    <w:rsid w:val="00F25BFF"/>
    <w:rsid w:val="00F273A2"/>
    <w:rsid w:val="00F27D7A"/>
    <w:rsid w:val="00F27EEE"/>
    <w:rsid w:val="00F31167"/>
    <w:rsid w:val="00F3137C"/>
    <w:rsid w:val="00F315E4"/>
    <w:rsid w:val="00F31E42"/>
    <w:rsid w:val="00F32CFB"/>
    <w:rsid w:val="00F333C8"/>
    <w:rsid w:val="00F339DB"/>
    <w:rsid w:val="00F33B6E"/>
    <w:rsid w:val="00F33D0B"/>
    <w:rsid w:val="00F35B1F"/>
    <w:rsid w:val="00F4032A"/>
    <w:rsid w:val="00F421D2"/>
    <w:rsid w:val="00F43FAD"/>
    <w:rsid w:val="00F453DF"/>
    <w:rsid w:val="00F459DA"/>
    <w:rsid w:val="00F45F6B"/>
    <w:rsid w:val="00F4628E"/>
    <w:rsid w:val="00F516D4"/>
    <w:rsid w:val="00F52A3C"/>
    <w:rsid w:val="00F52DFD"/>
    <w:rsid w:val="00F558B0"/>
    <w:rsid w:val="00F55DB3"/>
    <w:rsid w:val="00F56244"/>
    <w:rsid w:val="00F56396"/>
    <w:rsid w:val="00F612E4"/>
    <w:rsid w:val="00F61875"/>
    <w:rsid w:val="00F619BD"/>
    <w:rsid w:val="00F61F65"/>
    <w:rsid w:val="00F61F96"/>
    <w:rsid w:val="00F628EA"/>
    <w:rsid w:val="00F62D62"/>
    <w:rsid w:val="00F66A3A"/>
    <w:rsid w:val="00F66BFE"/>
    <w:rsid w:val="00F66D64"/>
    <w:rsid w:val="00F67913"/>
    <w:rsid w:val="00F72547"/>
    <w:rsid w:val="00F74619"/>
    <w:rsid w:val="00F750E5"/>
    <w:rsid w:val="00F75446"/>
    <w:rsid w:val="00F758C5"/>
    <w:rsid w:val="00F75FEB"/>
    <w:rsid w:val="00F76D19"/>
    <w:rsid w:val="00F7724A"/>
    <w:rsid w:val="00F77AE6"/>
    <w:rsid w:val="00F77B9A"/>
    <w:rsid w:val="00F80735"/>
    <w:rsid w:val="00F81367"/>
    <w:rsid w:val="00F82773"/>
    <w:rsid w:val="00F84C8A"/>
    <w:rsid w:val="00F8556B"/>
    <w:rsid w:val="00F858B7"/>
    <w:rsid w:val="00F85C4F"/>
    <w:rsid w:val="00F916A8"/>
    <w:rsid w:val="00F91733"/>
    <w:rsid w:val="00F91B29"/>
    <w:rsid w:val="00F920D4"/>
    <w:rsid w:val="00F92696"/>
    <w:rsid w:val="00F928C3"/>
    <w:rsid w:val="00F929F0"/>
    <w:rsid w:val="00F93530"/>
    <w:rsid w:val="00F9366C"/>
    <w:rsid w:val="00F942A3"/>
    <w:rsid w:val="00F947AC"/>
    <w:rsid w:val="00F957A5"/>
    <w:rsid w:val="00F97447"/>
    <w:rsid w:val="00F97A29"/>
    <w:rsid w:val="00F97E7D"/>
    <w:rsid w:val="00FA2519"/>
    <w:rsid w:val="00FA4244"/>
    <w:rsid w:val="00FA6364"/>
    <w:rsid w:val="00FA65D5"/>
    <w:rsid w:val="00FA6726"/>
    <w:rsid w:val="00FB165A"/>
    <w:rsid w:val="00FB1BF4"/>
    <w:rsid w:val="00FB1F94"/>
    <w:rsid w:val="00FB21B5"/>
    <w:rsid w:val="00FB26D3"/>
    <w:rsid w:val="00FB2AD1"/>
    <w:rsid w:val="00FB321D"/>
    <w:rsid w:val="00FB3873"/>
    <w:rsid w:val="00FB401A"/>
    <w:rsid w:val="00FB5E8A"/>
    <w:rsid w:val="00FB76E5"/>
    <w:rsid w:val="00FC05BD"/>
    <w:rsid w:val="00FC06F6"/>
    <w:rsid w:val="00FC1E4E"/>
    <w:rsid w:val="00FC2104"/>
    <w:rsid w:val="00FC2B56"/>
    <w:rsid w:val="00FC2D26"/>
    <w:rsid w:val="00FC3D92"/>
    <w:rsid w:val="00FC5AE2"/>
    <w:rsid w:val="00FC6948"/>
    <w:rsid w:val="00FC7E7E"/>
    <w:rsid w:val="00FD0049"/>
    <w:rsid w:val="00FD0371"/>
    <w:rsid w:val="00FD25E0"/>
    <w:rsid w:val="00FD28A3"/>
    <w:rsid w:val="00FD3DE6"/>
    <w:rsid w:val="00FD5AD3"/>
    <w:rsid w:val="00FD5EA4"/>
    <w:rsid w:val="00FE0701"/>
    <w:rsid w:val="00FE0D90"/>
    <w:rsid w:val="00FE0F43"/>
    <w:rsid w:val="00FE134C"/>
    <w:rsid w:val="00FE2C04"/>
    <w:rsid w:val="00FE4079"/>
    <w:rsid w:val="00FE5686"/>
    <w:rsid w:val="00FF0695"/>
    <w:rsid w:val="00FF1816"/>
    <w:rsid w:val="00FF1909"/>
    <w:rsid w:val="00FF2007"/>
    <w:rsid w:val="00FF23EB"/>
    <w:rsid w:val="00FF2DDA"/>
    <w:rsid w:val="00FF2F39"/>
    <w:rsid w:val="00FF376F"/>
    <w:rsid w:val="00FF3A5F"/>
    <w:rsid w:val="00FF4EF8"/>
    <w:rsid w:val="00FF6C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610219"/>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aliases w:val="2,Strip,H&amp;P List Paragraph,Saraksta rindkopa,Saraksta rindkopa1"/>
    <w:basedOn w:val="Normal"/>
    <w:link w:val="ListParagraphChar"/>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character" w:styleId="FollowedHyperlink">
    <w:name w:val="FollowedHyperlink"/>
    <w:basedOn w:val="DefaultParagraphFont"/>
    <w:uiPriority w:val="99"/>
    <w:semiHidden/>
    <w:unhideWhenUsed/>
    <w:rsid w:val="00B0047C"/>
    <w:rPr>
      <w:color w:val="954F72" w:themeColor="followedHyperlink"/>
      <w:u w:val="single"/>
    </w:rPr>
  </w:style>
  <w:style w:type="paragraph" w:customStyle="1" w:styleId="moze-center">
    <w:name w:val="moze-center"/>
    <w:basedOn w:val="Normal"/>
    <w:rsid w:val="005D1350"/>
    <w:pPr>
      <w:spacing w:before="100" w:beforeAutospacing="1" w:after="100" w:afterAutospacing="1"/>
    </w:pPr>
    <w:rPr>
      <w:lang w:val="en-US" w:eastAsia="en-US"/>
    </w:rPr>
  </w:style>
  <w:style w:type="paragraph" w:styleId="ListBullet">
    <w:name w:val="List Bullet"/>
    <w:basedOn w:val="Normal"/>
    <w:uiPriority w:val="99"/>
    <w:unhideWhenUsed/>
    <w:rsid w:val="00D412BB"/>
    <w:pPr>
      <w:numPr>
        <w:numId w:val="20"/>
      </w:numPr>
      <w:contextualSpacing/>
    </w:pPr>
  </w:style>
  <w:style w:type="character" w:styleId="UnresolvedMention">
    <w:name w:val="Unresolved Mention"/>
    <w:basedOn w:val="DefaultParagraphFont"/>
    <w:uiPriority w:val="99"/>
    <w:semiHidden/>
    <w:unhideWhenUsed/>
    <w:rsid w:val="00491ABC"/>
    <w:rPr>
      <w:color w:val="605E5C"/>
      <w:shd w:val="clear" w:color="auto" w:fill="E1DFDD"/>
    </w:rPr>
  </w:style>
  <w:style w:type="character" w:customStyle="1" w:styleId="eop">
    <w:name w:val="eop"/>
    <w:basedOn w:val="DefaultParagraphFont"/>
    <w:rsid w:val="00896456"/>
  </w:style>
  <w:style w:type="character" w:customStyle="1" w:styleId="ListParagraphChar">
    <w:name w:val="List Paragraph Char"/>
    <w:aliases w:val="2 Char,Strip Char,H&amp;P List Paragraph Char,Saraksta rindkopa Char,Saraksta rindkopa1 Char"/>
    <w:link w:val="ListParagraph"/>
    <w:uiPriority w:val="34"/>
    <w:locked/>
    <w:rsid w:val="00A64AEC"/>
    <w:rPr>
      <w:rFonts w:eastAsia="Times New Roman" w:cs="Times New Roman"/>
      <w:szCs w:val="24"/>
      <w:lang w:eastAsia="lv-LV"/>
    </w:rPr>
  </w:style>
  <w:style w:type="paragraph" w:customStyle="1" w:styleId="labojumupamats">
    <w:name w:val="labojumu_pamats"/>
    <w:basedOn w:val="Normal"/>
    <w:rsid w:val="00610219"/>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610219"/>
    <w:rPr>
      <w:rFonts w:eastAsia="Times New Roman" w:cs="Times New Roman"/>
      <w:b/>
      <w:bCs/>
      <w:sz w:val="27"/>
      <w:szCs w:val="27"/>
      <w:lang w:val="en-US"/>
    </w:rPr>
  </w:style>
  <w:style w:type="paragraph" w:customStyle="1" w:styleId="Default">
    <w:name w:val="Default"/>
    <w:rsid w:val="00971C9A"/>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511">
      <w:bodyDiv w:val="1"/>
      <w:marLeft w:val="0"/>
      <w:marRight w:val="0"/>
      <w:marTop w:val="0"/>
      <w:marBottom w:val="0"/>
      <w:divBdr>
        <w:top w:val="none" w:sz="0" w:space="0" w:color="auto"/>
        <w:left w:val="none" w:sz="0" w:space="0" w:color="auto"/>
        <w:bottom w:val="none" w:sz="0" w:space="0" w:color="auto"/>
        <w:right w:val="none" w:sz="0" w:space="0" w:color="auto"/>
      </w:divBdr>
    </w:div>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25144225">
      <w:bodyDiv w:val="1"/>
      <w:marLeft w:val="0"/>
      <w:marRight w:val="0"/>
      <w:marTop w:val="0"/>
      <w:marBottom w:val="0"/>
      <w:divBdr>
        <w:top w:val="none" w:sz="0" w:space="0" w:color="auto"/>
        <w:left w:val="none" w:sz="0" w:space="0" w:color="auto"/>
        <w:bottom w:val="none" w:sz="0" w:space="0" w:color="auto"/>
        <w:right w:val="none" w:sz="0" w:space="0" w:color="auto"/>
      </w:divBdr>
      <w:divsChild>
        <w:div w:id="507140662">
          <w:marLeft w:val="0"/>
          <w:marRight w:val="0"/>
          <w:marTop w:val="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297685098">
      <w:bodyDiv w:val="1"/>
      <w:marLeft w:val="0"/>
      <w:marRight w:val="0"/>
      <w:marTop w:val="0"/>
      <w:marBottom w:val="0"/>
      <w:divBdr>
        <w:top w:val="none" w:sz="0" w:space="0" w:color="auto"/>
        <w:left w:val="none" w:sz="0" w:space="0" w:color="auto"/>
        <w:bottom w:val="none" w:sz="0" w:space="0" w:color="auto"/>
        <w:right w:val="none" w:sz="0" w:space="0" w:color="auto"/>
      </w:divBdr>
    </w:div>
    <w:div w:id="31884722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00324708">
      <w:bodyDiv w:val="1"/>
      <w:marLeft w:val="0"/>
      <w:marRight w:val="0"/>
      <w:marTop w:val="0"/>
      <w:marBottom w:val="0"/>
      <w:divBdr>
        <w:top w:val="none" w:sz="0" w:space="0" w:color="auto"/>
        <w:left w:val="none" w:sz="0" w:space="0" w:color="auto"/>
        <w:bottom w:val="none" w:sz="0" w:space="0" w:color="auto"/>
        <w:right w:val="none" w:sz="0" w:space="0" w:color="auto"/>
      </w:divBdr>
    </w:div>
    <w:div w:id="411514218">
      <w:bodyDiv w:val="1"/>
      <w:marLeft w:val="0"/>
      <w:marRight w:val="0"/>
      <w:marTop w:val="0"/>
      <w:marBottom w:val="0"/>
      <w:divBdr>
        <w:top w:val="none" w:sz="0" w:space="0" w:color="auto"/>
        <w:left w:val="none" w:sz="0" w:space="0" w:color="auto"/>
        <w:bottom w:val="none" w:sz="0" w:space="0" w:color="auto"/>
        <w:right w:val="none" w:sz="0" w:space="0" w:color="auto"/>
      </w:divBdr>
      <w:divsChild>
        <w:div w:id="1709986611">
          <w:marLeft w:val="0"/>
          <w:marRight w:val="0"/>
          <w:marTop w:val="480"/>
          <w:marBottom w:val="240"/>
          <w:divBdr>
            <w:top w:val="none" w:sz="0" w:space="0" w:color="auto"/>
            <w:left w:val="none" w:sz="0" w:space="0" w:color="auto"/>
            <w:bottom w:val="none" w:sz="0" w:space="0" w:color="auto"/>
            <w:right w:val="none" w:sz="0" w:space="0" w:color="auto"/>
          </w:divBdr>
        </w:div>
        <w:div w:id="1850481543">
          <w:marLeft w:val="0"/>
          <w:marRight w:val="0"/>
          <w:marTop w:val="0"/>
          <w:marBottom w:val="567"/>
          <w:divBdr>
            <w:top w:val="none" w:sz="0" w:space="0" w:color="auto"/>
            <w:left w:val="none" w:sz="0" w:space="0" w:color="auto"/>
            <w:bottom w:val="none" w:sz="0" w:space="0" w:color="auto"/>
            <w:right w:val="none" w:sz="0" w:space="0" w:color="auto"/>
          </w:divBdr>
        </w:div>
      </w:divsChild>
    </w:div>
    <w:div w:id="424497295">
      <w:bodyDiv w:val="1"/>
      <w:marLeft w:val="0"/>
      <w:marRight w:val="0"/>
      <w:marTop w:val="0"/>
      <w:marBottom w:val="0"/>
      <w:divBdr>
        <w:top w:val="none" w:sz="0" w:space="0" w:color="auto"/>
        <w:left w:val="none" w:sz="0" w:space="0" w:color="auto"/>
        <w:bottom w:val="none" w:sz="0" w:space="0" w:color="auto"/>
        <w:right w:val="none" w:sz="0" w:space="0" w:color="auto"/>
      </w:divBdr>
      <w:divsChild>
        <w:div w:id="966737882">
          <w:marLeft w:val="0"/>
          <w:marRight w:val="0"/>
          <w:marTop w:val="0"/>
          <w:marBottom w:val="0"/>
          <w:divBdr>
            <w:top w:val="none" w:sz="0" w:space="0" w:color="auto"/>
            <w:left w:val="none" w:sz="0" w:space="0" w:color="auto"/>
            <w:bottom w:val="none" w:sz="0" w:space="0" w:color="auto"/>
            <w:right w:val="none" w:sz="0" w:space="0" w:color="auto"/>
          </w:divBdr>
        </w:div>
        <w:div w:id="900016287">
          <w:marLeft w:val="0"/>
          <w:marRight w:val="0"/>
          <w:marTop w:val="0"/>
          <w:marBottom w:val="0"/>
          <w:divBdr>
            <w:top w:val="none" w:sz="0" w:space="0" w:color="auto"/>
            <w:left w:val="none" w:sz="0" w:space="0" w:color="auto"/>
            <w:bottom w:val="none" w:sz="0" w:space="0" w:color="auto"/>
            <w:right w:val="none" w:sz="0" w:space="0" w:color="auto"/>
          </w:divBdr>
        </w:div>
        <w:div w:id="2132046049">
          <w:marLeft w:val="0"/>
          <w:marRight w:val="0"/>
          <w:marTop w:val="0"/>
          <w:marBottom w:val="0"/>
          <w:divBdr>
            <w:top w:val="none" w:sz="0" w:space="0" w:color="auto"/>
            <w:left w:val="none" w:sz="0" w:space="0" w:color="auto"/>
            <w:bottom w:val="none" w:sz="0" w:space="0" w:color="auto"/>
            <w:right w:val="none" w:sz="0" w:space="0" w:color="auto"/>
          </w:divBdr>
        </w:div>
      </w:divsChild>
    </w:div>
    <w:div w:id="490096243">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609356174">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653531381">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58805939">
      <w:bodyDiv w:val="1"/>
      <w:marLeft w:val="0"/>
      <w:marRight w:val="0"/>
      <w:marTop w:val="0"/>
      <w:marBottom w:val="0"/>
      <w:divBdr>
        <w:top w:val="none" w:sz="0" w:space="0" w:color="auto"/>
        <w:left w:val="none" w:sz="0" w:space="0" w:color="auto"/>
        <w:bottom w:val="none" w:sz="0" w:space="0" w:color="auto"/>
        <w:right w:val="none" w:sz="0" w:space="0" w:color="auto"/>
      </w:divBdr>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76225468">
      <w:bodyDiv w:val="1"/>
      <w:marLeft w:val="0"/>
      <w:marRight w:val="0"/>
      <w:marTop w:val="0"/>
      <w:marBottom w:val="0"/>
      <w:divBdr>
        <w:top w:val="none" w:sz="0" w:space="0" w:color="auto"/>
        <w:left w:val="none" w:sz="0" w:space="0" w:color="auto"/>
        <w:bottom w:val="none" w:sz="0" w:space="0" w:color="auto"/>
        <w:right w:val="none" w:sz="0" w:space="0" w:color="auto"/>
      </w:divBdr>
    </w:div>
    <w:div w:id="98081355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072773536">
      <w:bodyDiv w:val="1"/>
      <w:marLeft w:val="0"/>
      <w:marRight w:val="0"/>
      <w:marTop w:val="0"/>
      <w:marBottom w:val="0"/>
      <w:divBdr>
        <w:top w:val="none" w:sz="0" w:space="0" w:color="auto"/>
        <w:left w:val="none" w:sz="0" w:space="0" w:color="auto"/>
        <w:bottom w:val="none" w:sz="0" w:space="0" w:color="auto"/>
        <w:right w:val="none" w:sz="0" w:space="0" w:color="auto"/>
      </w:divBdr>
    </w:div>
    <w:div w:id="1091900189">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16314560">
      <w:bodyDiv w:val="1"/>
      <w:marLeft w:val="0"/>
      <w:marRight w:val="0"/>
      <w:marTop w:val="0"/>
      <w:marBottom w:val="0"/>
      <w:divBdr>
        <w:top w:val="none" w:sz="0" w:space="0" w:color="auto"/>
        <w:left w:val="none" w:sz="0" w:space="0" w:color="auto"/>
        <w:bottom w:val="none" w:sz="0" w:space="0" w:color="auto"/>
        <w:right w:val="none" w:sz="0" w:space="0" w:color="auto"/>
      </w:divBdr>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12909486">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487018062">
      <w:bodyDiv w:val="1"/>
      <w:marLeft w:val="0"/>
      <w:marRight w:val="0"/>
      <w:marTop w:val="0"/>
      <w:marBottom w:val="0"/>
      <w:divBdr>
        <w:top w:val="none" w:sz="0" w:space="0" w:color="auto"/>
        <w:left w:val="none" w:sz="0" w:space="0" w:color="auto"/>
        <w:bottom w:val="none" w:sz="0" w:space="0" w:color="auto"/>
        <w:right w:val="none" w:sz="0" w:space="0" w:color="auto"/>
      </w:divBdr>
      <w:divsChild>
        <w:div w:id="1432507513">
          <w:marLeft w:val="0"/>
          <w:marRight w:val="0"/>
          <w:marTop w:val="0"/>
          <w:marBottom w:val="0"/>
          <w:divBdr>
            <w:top w:val="none" w:sz="0" w:space="0" w:color="auto"/>
            <w:left w:val="none" w:sz="0" w:space="0" w:color="auto"/>
            <w:bottom w:val="none" w:sz="0" w:space="0" w:color="auto"/>
            <w:right w:val="none" w:sz="0" w:space="0" w:color="auto"/>
          </w:divBdr>
        </w:div>
      </w:divsChild>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54081384">
      <w:bodyDiv w:val="1"/>
      <w:marLeft w:val="0"/>
      <w:marRight w:val="0"/>
      <w:marTop w:val="0"/>
      <w:marBottom w:val="0"/>
      <w:divBdr>
        <w:top w:val="none" w:sz="0" w:space="0" w:color="auto"/>
        <w:left w:val="none" w:sz="0" w:space="0" w:color="auto"/>
        <w:bottom w:val="none" w:sz="0" w:space="0" w:color="auto"/>
        <w:right w:val="none" w:sz="0" w:space="0" w:color="auto"/>
      </w:divBdr>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46354840">
      <w:bodyDiv w:val="1"/>
      <w:marLeft w:val="0"/>
      <w:marRight w:val="0"/>
      <w:marTop w:val="0"/>
      <w:marBottom w:val="0"/>
      <w:divBdr>
        <w:top w:val="none" w:sz="0" w:space="0" w:color="auto"/>
        <w:left w:val="none" w:sz="0" w:space="0" w:color="auto"/>
        <w:bottom w:val="none" w:sz="0" w:space="0" w:color="auto"/>
        <w:right w:val="none" w:sz="0" w:space="0" w:color="auto"/>
      </w:divBdr>
    </w:div>
    <w:div w:id="1679456685">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52046747">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55025835">
      <w:bodyDiv w:val="1"/>
      <w:marLeft w:val="0"/>
      <w:marRight w:val="0"/>
      <w:marTop w:val="0"/>
      <w:marBottom w:val="0"/>
      <w:divBdr>
        <w:top w:val="none" w:sz="0" w:space="0" w:color="auto"/>
        <w:left w:val="none" w:sz="0" w:space="0" w:color="auto"/>
        <w:bottom w:val="none" w:sz="0" w:space="0" w:color="auto"/>
        <w:right w:val="none" w:sz="0" w:space="0" w:color="auto"/>
      </w:divBdr>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51621366">
      <w:bodyDiv w:val="1"/>
      <w:marLeft w:val="0"/>
      <w:marRight w:val="0"/>
      <w:marTop w:val="0"/>
      <w:marBottom w:val="0"/>
      <w:divBdr>
        <w:top w:val="none" w:sz="0" w:space="0" w:color="auto"/>
        <w:left w:val="none" w:sz="0" w:space="0" w:color="auto"/>
        <w:bottom w:val="none" w:sz="0" w:space="0" w:color="auto"/>
        <w:right w:val="none" w:sz="0" w:space="0" w:color="auto"/>
      </w:divBdr>
    </w:div>
    <w:div w:id="1969581455">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1993829259">
      <w:bodyDiv w:val="1"/>
      <w:marLeft w:val="0"/>
      <w:marRight w:val="0"/>
      <w:marTop w:val="0"/>
      <w:marBottom w:val="0"/>
      <w:divBdr>
        <w:top w:val="none" w:sz="0" w:space="0" w:color="auto"/>
        <w:left w:val="none" w:sz="0" w:space="0" w:color="auto"/>
        <w:bottom w:val="none" w:sz="0" w:space="0" w:color="auto"/>
        <w:right w:val="none" w:sz="0" w:space="0" w:color="auto"/>
      </w:divBdr>
      <w:divsChild>
        <w:div w:id="682585732">
          <w:marLeft w:val="0"/>
          <w:marRight w:val="0"/>
          <w:marTop w:val="480"/>
          <w:marBottom w:val="240"/>
          <w:divBdr>
            <w:top w:val="none" w:sz="0" w:space="0" w:color="auto"/>
            <w:left w:val="none" w:sz="0" w:space="0" w:color="auto"/>
            <w:bottom w:val="none" w:sz="0" w:space="0" w:color="auto"/>
            <w:right w:val="none" w:sz="0" w:space="0" w:color="auto"/>
          </w:divBdr>
        </w:div>
        <w:div w:id="1413890943">
          <w:marLeft w:val="0"/>
          <w:marRight w:val="0"/>
          <w:marTop w:val="0"/>
          <w:marBottom w:val="567"/>
          <w:divBdr>
            <w:top w:val="none" w:sz="0" w:space="0" w:color="auto"/>
            <w:left w:val="none" w:sz="0" w:space="0" w:color="auto"/>
            <w:bottom w:val="none" w:sz="0" w:space="0" w:color="auto"/>
            <w:right w:val="none" w:sz="0" w:space="0" w:color="auto"/>
          </w:divBdr>
        </w:div>
      </w:divsChild>
    </w:div>
    <w:div w:id="2003776103">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e5744b7-3609-43d3-a17f-ae5a0399d841" TargetMode="External"/><Relationship Id="rId13" Type="http://schemas.openxmlformats.org/officeDocument/2006/relationships/hyperlink" Target="https://gateway.elieta.lv/api/v1/PublicMaterialDownload/4341e58b-b315-4c1a-8115-e8523f01a3f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18755833-68bc-49f7-8217-c003607a4983" TargetMode="External"/><Relationship Id="rId17" Type="http://schemas.openxmlformats.org/officeDocument/2006/relationships/hyperlink" Target="https://curia.europa.eu/juris/document/document.jsf?text=&amp;docid=302056&amp;pageIndex=0&amp;doclang=LV&amp;mode=lst&amp;dir=&amp;occ=first&amp;part=1&amp;cid=5918902" TargetMode="External"/><Relationship Id="rId2" Type="http://schemas.openxmlformats.org/officeDocument/2006/relationships/numbering" Target="numbering.xml"/><Relationship Id="rId16" Type="http://schemas.openxmlformats.org/officeDocument/2006/relationships/hyperlink" Target="https://likumi.lv/wwwraksti/ANOTACIJAS/TAP/2021_06/EMANOT_270521_APGROZLIDZ.1262.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701895a4-3365-4a37-a478-2535757e6933" TargetMode="External"/><Relationship Id="rId5" Type="http://schemas.openxmlformats.org/officeDocument/2006/relationships/webSettings" Target="webSettings.xml"/><Relationship Id="rId15" Type="http://schemas.openxmlformats.org/officeDocument/2006/relationships/hyperlink" Target="https://likumi.lv/wwwraksti/ANOTACIJAS/TAP/2021_05/EMANOT_260421_APGROZLIDZ.975.DOCX" TargetMode="External"/><Relationship Id="rId10" Type="http://schemas.openxmlformats.org/officeDocument/2006/relationships/hyperlink" Target="https://gateway.elieta.lv/api/v1/PublicMaterialDownload/15db6dd2-02b4-44eb-8e53-1e268f8f2f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gov.lv/downloadlawfile/4785" TargetMode="External"/><Relationship Id="rId14" Type="http://schemas.openxmlformats.org/officeDocument/2006/relationships/hyperlink" Target="https://likumi.lv/wwwraksti/ANOTACIJAS/TAP/2021_06/EMANOT_270521_APGROZLIDZ.126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9FC5-6FA5-46C7-8E70-DDCA0DBB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23777</Words>
  <Characters>13554</Characters>
  <Application>Microsoft Office Word</Application>
  <DocSecurity>0</DocSecurity>
  <Lines>112</Lines>
  <Paragraphs>74</Paragraphs>
  <ScaleCrop>false</ScaleCrop>
  <Company/>
  <LinksUpToDate>false</LinksUpToDate>
  <CharactersWithSpaces>37257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2025-11-12T13:44:00Z</dcterms:created>
  <dcterms:modified xsi:type="dcterms:W3CDTF">2025-11-12T13:44:00Z</dcterms:modified>
</cp:coreProperties>
</file>