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A40B" w14:textId="12095F67" w:rsidR="006A3E86" w:rsidRDefault="00990803" w:rsidP="00990803">
      <w:pPr>
        <w:tabs>
          <w:tab w:val="left" w:pos="0"/>
        </w:tabs>
        <w:spacing w:line="264" w:lineRule="auto"/>
        <w:ind w:right="-1"/>
        <w:jc w:val="both"/>
        <w:rPr>
          <w:rFonts w:asciiTheme="majorBidi" w:hAnsiTheme="majorBidi" w:cstheme="majorBidi"/>
        </w:rPr>
      </w:pPr>
      <w:r w:rsidRPr="00735ABD">
        <w:rPr>
          <w:b/>
          <w:bCs/>
        </w:rPr>
        <w:t>Vienādas prasības Latvijas Republikas pilsoņa un ārvalstnieka atbrīvošanai no drošības naudas</w:t>
      </w:r>
      <w:r>
        <w:rPr>
          <w:b/>
          <w:bCs/>
        </w:rPr>
        <w:t xml:space="preserve"> samaksas</w:t>
      </w:r>
    </w:p>
    <w:p w14:paraId="395E176F" w14:textId="388AF12E" w:rsidR="006A3E86" w:rsidRPr="00D40380" w:rsidRDefault="006A3E86" w:rsidP="006A3E86">
      <w:pPr>
        <w:tabs>
          <w:tab w:val="left" w:pos="0"/>
        </w:tabs>
        <w:spacing w:line="264" w:lineRule="auto"/>
        <w:ind w:right="-1"/>
        <w:jc w:val="center"/>
        <w:rPr>
          <w:rFonts w:asciiTheme="majorBidi" w:hAnsiTheme="majorBidi" w:cstheme="majorBidi"/>
        </w:rPr>
      </w:pPr>
    </w:p>
    <w:p w14:paraId="69B5C434" w14:textId="28FBE115" w:rsidR="006A3E86" w:rsidRDefault="006A3E86" w:rsidP="006A3E86">
      <w:pPr>
        <w:tabs>
          <w:tab w:val="left" w:pos="0"/>
        </w:tabs>
        <w:spacing w:line="264" w:lineRule="auto"/>
        <w:ind w:right="-1"/>
        <w:jc w:val="center"/>
        <w:rPr>
          <w:rFonts w:asciiTheme="majorBidi" w:hAnsiTheme="majorBidi" w:cstheme="majorBidi"/>
          <w:b/>
        </w:rPr>
      </w:pPr>
      <w:r w:rsidRPr="00D40380">
        <w:rPr>
          <w:rFonts w:asciiTheme="majorBidi" w:hAnsiTheme="majorBidi" w:cstheme="majorBidi"/>
          <w:b/>
        </w:rPr>
        <w:t>Latvijas Republikas Senāt</w:t>
      </w:r>
      <w:r w:rsidR="006C4CF8">
        <w:rPr>
          <w:rFonts w:asciiTheme="majorBidi" w:hAnsiTheme="majorBidi" w:cstheme="majorBidi"/>
          <w:b/>
        </w:rPr>
        <w:t>a</w:t>
      </w:r>
    </w:p>
    <w:p w14:paraId="51CB97B7" w14:textId="414631EC" w:rsidR="006C4CF8" w:rsidRDefault="006C4CF8" w:rsidP="006A3E86">
      <w:pPr>
        <w:tabs>
          <w:tab w:val="left" w:pos="0"/>
        </w:tabs>
        <w:spacing w:line="264" w:lineRule="auto"/>
        <w:ind w:right="-1"/>
        <w:jc w:val="center"/>
        <w:rPr>
          <w:rFonts w:asciiTheme="majorBidi" w:hAnsiTheme="majorBidi" w:cstheme="majorBidi"/>
          <w:b/>
        </w:rPr>
      </w:pPr>
      <w:r>
        <w:rPr>
          <w:rFonts w:asciiTheme="majorBidi" w:hAnsiTheme="majorBidi" w:cstheme="majorBidi"/>
          <w:b/>
        </w:rPr>
        <w:t>Civillietu departamenta</w:t>
      </w:r>
    </w:p>
    <w:p w14:paraId="43542182" w14:textId="3364D8D1" w:rsidR="006C4CF8" w:rsidRPr="006C4CF8" w:rsidRDefault="006C4CF8" w:rsidP="006A3E86">
      <w:pPr>
        <w:tabs>
          <w:tab w:val="left" w:pos="0"/>
        </w:tabs>
        <w:spacing w:line="264" w:lineRule="auto"/>
        <w:ind w:right="-1"/>
        <w:jc w:val="center"/>
        <w:rPr>
          <w:rFonts w:asciiTheme="majorBidi" w:hAnsiTheme="majorBidi" w:cstheme="majorBidi"/>
          <w:b/>
          <w:bCs/>
        </w:rPr>
      </w:pPr>
      <w:r w:rsidRPr="006C4CF8">
        <w:rPr>
          <w:rFonts w:asciiTheme="majorBidi" w:hAnsiTheme="majorBidi" w:cstheme="majorBidi"/>
          <w:b/>
          <w:bCs/>
        </w:rPr>
        <w:t>2025. gada 9. jūlija</w:t>
      </w:r>
    </w:p>
    <w:p w14:paraId="7D34F8A5" w14:textId="77777777" w:rsidR="006A3E86" w:rsidRPr="00D40380" w:rsidRDefault="006A3E86" w:rsidP="006A3E86">
      <w:pPr>
        <w:tabs>
          <w:tab w:val="left" w:pos="0"/>
        </w:tabs>
        <w:spacing w:line="264" w:lineRule="auto"/>
        <w:ind w:right="-1"/>
        <w:jc w:val="center"/>
        <w:rPr>
          <w:rFonts w:asciiTheme="majorBidi" w:hAnsiTheme="majorBidi" w:cstheme="majorBidi"/>
          <w:b/>
        </w:rPr>
      </w:pPr>
      <w:r w:rsidRPr="00D40380">
        <w:rPr>
          <w:rFonts w:asciiTheme="majorBidi" w:hAnsiTheme="majorBidi" w:cstheme="majorBidi"/>
          <w:b/>
        </w:rPr>
        <w:t xml:space="preserve">RĪCĪBAS SĒDES LĒMUMS </w:t>
      </w:r>
    </w:p>
    <w:p w14:paraId="4DCF213A" w14:textId="47293F8F" w:rsidR="006C4CF8" w:rsidRPr="006C4CF8" w:rsidRDefault="006C4CF8" w:rsidP="006C4CF8">
      <w:pPr>
        <w:spacing w:line="264" w:lineRule="auto"/>
        <w:ind w:right="-1"/>
        <w:jc w:val="center"/>
        <w:rPr>
          <w:rFonts w:asciiTheme="majorBidi" w:hAnsiTheme="majorBidi" w:cstheme="majorBidi"/>
          <w:b/>
          <w:bCs/>
        </w:rPr>
      </w:pPr>
      <w:r w:rsidRPr="006C4CF8">
        <w:rPr>
          <w:rFonts w:asciiTheme="majorBidi" w:hAnsiTheme="majorBidi" w:cstheme="majorBidi"/>
          <w:b/>
          <w:bCs/>
        </w:rPr>
        <w:t>Lieta Nr. </w:t>
      </w:r>
      <w:r w:rsidRPr="006C4CF8">
        <w:rPr>
          <w:b/>
          <w:bCs/>
        </w:rPr>
        <w:t>C30686719, SKC-715/2025</w:t>
      </w:r>
    </w:p>
    <w:bookmarkStart w:id="0" w:name="_Hlk207005478"/>
    <w:p w14:paraId="7433D882" w14:textId="159F6C75" w:rsidR="006A3E86" w:rsidRPr="00D40380" w:rsidRDefault="00153C67" w:rsidP="006C4CF8">
      <w:pPr>
        <w:tabs>
          <w:tab w:val="left" w:pos="0"/>
        </w:tabs>
        <w:spacing w:line="264" w:lineRule="auto"/>
        <w:ind w:right="-1"/>
        <w:jc w:val="center"/>
      </w:pPr>
      <w:r>
        <w:fldChar w:fldCharType="begin"/>
      </w:r>
      <w:r>
        <w:instrText>HYPERLINK "https://gateway.elieta.lv/api/v1/PublicMaterialDownload/81658c02-c2c7-42c3-baf2-ff23a844f05e"</w:instrText>
      </w:r>
      <w:r>
        <w:fldChar w:fldCharType="separate"/>
      </w:r>
      <w:r w:rsidR="006C4CF8" w:rsidRPr="00153C67">
        <w:rPr>
          <w:rStyle w:val="Hyperlink"/>
        </w:rPr>
        <w:t>ECLI:LV:AT:2025:0709.C30686719.22.L</w:t>
      </w:r>
      <w:r>
        <w:fldChar w:fldCharType="end"/>
      </w:r>
    </w:p>
    <w:bookmarkEnd w:id="0"/>
    <w:p w14:paraId="0405FC20" w14:textId="77777777" w:rsidR="006A3E86" w:rsidRPr="00D40380" w:rsidRDefault="006A3E86" w:rsidP="006A3E86">
      <w:pPr>
        <w:tabs>
          <w:tab w:val="left" w:pos="0"/>
        </w:tabs>
        <w:spacing w:line="264" w:lineRule="auto"/>
        <w:ind w:right="-1" w:firstLine="709"/>
        <w:jc w:val="both"/>
        <w:rPr>
          <w:rFonts w:asciiTheme="majorBidi" w:hAnsiTheme="majorBidi" w:cstheme="majorBidi"/>
        </w:rPr>
      </w:pPr>
    </w:p>
    <w:p w14:paraId="74A605B4" w14:textId="021FC7A8" w:rsidR="006A3E86" w:rsidRPr="00D40380" w:rsidRDefault="006A3E86" w:rsidP="006A3E86">
      <w:pPr>
        <w:tabs>
          <w:tab w:val="left" w:pos="0"/>
        </w:tabs>
        <w:spacing w:line="264" w:lineRule="auto"/>
        <w:ind w:right="-1" w:firstLine="709"/>
        <w:jc w:val="both"/>
      </w:pPr>
      <w:r w:rsidRPr="00D40380">
        <w:t>Senatoru kolēģija šādā sastāvā: senators referents Erlens Kalniņš, senator</w:t>
      </w:r>
      <w:r w:rsidR="00CB3880">
        <w:t>i</w:t>
      </w:r>
      <w:r>
        <w:t xml:space="preserve"> </w:t>
      </w:r>
      <w:r w:rsidR="00CB3880">
        <w:t>Intars Bisters</w:t>
      </w:r>
      <w:r>
        <w:t xml:space="preserve"> un Kristīne Zīle</w:t>
      </w:r>
    </w:p>
    <w:p w14:paraId="2035BF6E" w14:textId="77777777" w:rsidR="006A3E86" w:rsidRPr="00D40380" w:rsidRDefault="006A3E86" w:rsidP="006A3E86">
      <w:pPr>
        <w:tabs>
          <w:tab w:val="left" w:pos="0"/>
        </w:tabs>
        <w:spacing w:line="264" w:lineRule="auto"/>
        <w:ind w:firstLine="709"/>
        <w:jc w:val="both"/>
      </w:pPr>
    </w:p>
    <w:p w14:paraId="48FDAE4F" w14:textId="0EF67F2D" w:rsidR="006A3E86" w:rsidRPr="008924E8" w:rsidRDefault="006A3E86" w:rsidP="008924E8">
      <w:pPr>
        <w:tabs>
          <w:tab w:val="left" w:pos="709"/>
        </w:tabs>
        <w:spacing w:line="264" w:lineRule="auto"/>
        <w:ind w:firstLine="709"/>
        <w:jc w:val="both"/>
        <w:rPr>
          <w:color w:val="000000"/>
          <w:shd w:val="clear" w:color="auto" w:fill="FFFFFF"/>
        </w:rPr>
      </w:pPr>
      <w:r w:rsidRPr="00D40380">
        <w:t>rīcības sēdē izskatīja</w:t>
      </w:r>
      <w:r w:rsidRPr="00D40380">
        <w:rPr>
          <w:color w:val="000000"/>
          <w:shd w:val="clear" w:color="auto" w:fill="FFFFFF"/>
        </w:rPr>
        <w:t xml:space="preserve"> </w:t>
      </w:r>
      <w:r w:rsidR="006C4CF8">
        <w:rPr>
          <w:color w:val="000000"/>
          <w:shd w:val="clear" w:color="auto" w:fill="FFFFFF"/>
        </w:rPr>
        <w:t xml:space="preserve">[pers. A] </w:t>
      </w:r>
      <w:r w:rsidR="00CB3880">
        <w:rPr>
          <w:color w:val="000000"/>
          <w:shd w:val="clear" w:color="auto" w:fill="FFFFFF"/>
        </w:rPr>
        <w:t>(</w:t>
      </w:r>
      <w:r w:rsidR="006C4CF8" w:rsidRPr="006C4CF8">
        <w:rPr>
          <w:color w:val="000000"/>
          <w:shd w:val="clear" w:color="auto" w:fill="FFFFFF"/>
        </w:rPr>
        <w:t>[</w:t>
      </w:r>
      <w:r w:rsidR="006C4CF8" w:rsidRPr="006C4CF8">
        <w:rPr>
          <w:i/>
          <w:iCs/>
          <w:color w:val="000000"/>
          <w:shd w:val="clear" w:color="auto" w:fill="FFFFFF"/>
        </w:rPr>
        <w:t>pers. A</w:t>
      </w:r>
      <w:r w:rsidR="006C4CF8" w:rsidRPr="006C4CF8">
        <w:rPr>
          <w:color w:val="000000"/>
          <w:shd w:val="clear" w:color="auto" w:fill="FFFFFF"/>
        </w:rPr>
        <w:t>]</w:t>
      </w:r>
      <w:r w:rsidR="00CB3880">
        <w:rPr>
          <w:color w:val="000000"/>
          <w:shd w:val="clear" w:color="auto" w:fill="FFFFFF"/>
        </w:rPr>
        <w:t xml:space="preserve">) </w:t>
      </w:r>
      <w:r>
        <w:rPr>
          <w:color w:val="000000"/>
          <w:shd w:val="clear" w:color="auto" w:fill="FFFFFF"/>
        </w:rPr>
        <w:t xml:space="preserve">blakus sūdzību par </w:t>
      </w:r>
      <w:r w:rsidR="00C803BE">
        <w:rPr>
          <w:color w:val="000000"/>
          <w:shd w:val="clear" w:color="auto" w:fill="FFFFFF"/>
        </w:rPr>
        <w:t>Latgales</w:t>
      </w:r>
      <w:r>
        <w:rPr>
          <w:color w:val="000000"/>
          <w:shd w:val="clear" w:color="auto" w:fill="FFFFFF"/>
        </w:rPr>
        <w:t xml:space="preserve"> apgabaltiesas </w:t>
      </w:r>
      <w:r w:rsidR="008924E8">
        <w:rPr>
          <w:color w:val="000000"/>
          <w:shd w:val="clear" w:color="auto" w:fill="FFFFFF"/>
        </w:rPr>
        <w:t xml:space="preserve">tiesneša </w:t>
      </w:r>
      <w:r>
        <w:rPr>
          <w:color w:val="000000"/>
          <w:shd w:val="clear" w:color="auto" w:fill="FFFFFF"/>
        </w:rPr>
        <w:t xml:space="preserve">2025. gada </w:t>
      </w:r>
      <w:r w:rsidR="00C803BE">
        <w:rPr>
          <w:color w:val="000000"/>
          <w:shd w:val="clear" w:color="auto" w:fill="FFFFFF"/>
        </w:rPr>
        <w:t>11. jūnija</w:t>
      </w:r>
      <w:r>
        <w:rPr>
          <w:color w:val="000000"/>
          <w:shd w:val="clear" w:color="auto" w:fill="FFFFFF"/>
        </w:rPr>
        <w:t xml:space="preserve"> lēmumu.</w:t>
      </w:r>
    </w:p>
    <w:p w14:paraId="4714F440" w14:textId="77777777" w:rsidR="006A3E86" w:rsidRPr="00D40380" w:rsidRDefault="006A3E86" w:rsidP="006A3E86">
      <w:pPr>
        <w:tabs>
          <w:tab w:val="left" w:pos="0"/>
        </w:tabs>
        <w:spacing w:line="264" w:lineRule="auto"/>
        <w:ind w:firstLine="709"/>
        <w:jc w:val="both"/>
        <w:rPr>
          <w:rFonts w:asciiTheme="majorBidi" w:hAnsiTheme="majorBidi" w:cstheme="majorBidi"/>
        </w:rPr>
      </w:pPr>
      <w:r w:rsidRPr="00D40380">
        <w:rPr>
          <w:rFonts w:asciiTheme="majorBidi" w:hAnsiTheme="majorBidi" w:cstheme="majorBidi"/>
        </w:rPr>
        <w:t>Senatoru kolēģija</w:t>
      </w:r>
    </w:p>
    <w:p w14:paraId="09EB1624" w14:textId="77777777" w:rsidR="006A3E86" w:rsidRPr="00D40380" w:rsidRDefault="006A3E86" w:rsidP="007A36B3">
      <w:pPr>
        <w:tabs>
          <w:tab w:val="left" w:pos="0"/>
        </w:tabs>
        <w:spacing w:line="264" w:lineRule="auto"/>
        <w:jc w:val="center"/>
        <w:rPr>
          <w:rFonts w:asciiTheme="majorBidi" w:hAnsiTheme="majorBidi" w:cstheme="majorBidi"/>
        </w:rPr>
      </w:pPr>
    </w:p>
    <w:p w14:paraId="1ABD2338" w14:textId="77777777" w:rsidR="006A3E86" w:rsidRPr="00D40380" w:rsidRDefault="006A3E86" w:rsidP="006A3E86">
      <w:pPr>
        <w:tabs>
          <w:tab w:val="left" w:pos="0"/>
        </w:tabs>
        <w:spacing w:line="264" w:lineRule="auto"/>
        <w:jc w:val="center"/>
        <w:rPr>
          <w:rFonts w:asciiTheme="majorBidi" w:hAnsiTheme="majorBidi" w:cstheme="majorBidi"/>
          <w:b/>
          <w:bCs/>
        </w:rPr>
      </w:pPr>
      <w:r w:rsidRPr="00D40380">
        <w:rPr>
          <w:rFonts w:asciiTheme="majorBidi" w:hAnsiTheme="majorBidi" w:cstheme="majorBidi"/>
          <w:b/>
          <w:bCs/>
        </w:rPr>
        <w:t>konstatēja</w:t>
      </w:r>
    </w:p>
    <w:p w14:paraId="64FCE166" w14:textId="77777777" w:rsidR="006A3E86" w:rsidRPr="00D40380" w:rsidRDefault="006A3E86" w:rsidP="007A36B3">
      <w:pPr>
        <w:tabs>
          <w:tab w:val="left" w:pos="0"/>
        </w:tabs>
        <w:spacing w:line="276" w:lineRule="auto"/>
        <w:jc w:val="center"/>
        <w:rPr>
          <w:rFonts w:asciiTheme="majorBidi" w:hAnsiTheme="majorBidi" w:cstheme="majorBidi"/>
        </w:rPr>
      </w:pPr>
    </w:p>
    <w:p w14:paraId="152E811C" w14:textId="1700EE54" w:rsidR="000D439F" w:rsidRDefault="007A36B3" w:rsidP="007A36B3">
      <w:pPr>
        <w:spacing w:line="276" w:lineRule="auto"/>
        <w:ind w:firstLine="709"/>
        <w:jc w:val="both"/>
      </w:pPr>
      <w:r>
        <w:t>[1] </w:t>
      </w:r>
      <w:r w:rsidR="006A3E86">
        <w:t xml:space="preserve">Ar </w:t>
      </w:r>
      <w:r w:rsidR="000D439F">
        <w:t>Latgales</w:t>
      </w:r>
      <w:r w:rsidR="006A3E86">
        <w:t xml:space="preserve"> apgabaltiesas </w:t>
      </w:r>
      <w:r w:rsidR="008924E8">
        <w:t xml:space="preserve">tiesneša </w:t>
      </w:r>
      <w:r w:rsidR="006A3E86">
        <w:t xml:space="preserve">2025. gada </w:t>
      </w:r>
      <w:r w:rsidR="000D439F">
        <w:t>11. jūnija</w:t>
      </w:r>
      <w:r w:rsidR="006A3E86">
        <w:t xml:space="preserve"> lēmumu </w:t>
      </w:r>
      <w:r w:rsidR="000D439F">
        <w:t xml:space="preserve">noraidīts </w:t>
      </w:r>
      <w:r w:rsidR="006C4CF8">
        <w:rPr>
          <w:color w:val="000000"/>
          <w:shd w:val="clear" w:color="auto" w:fill="FFFFFF"/>
        </w:rPr>
        <w:t>[pers. A]</w:t>
      </w:r>
      <w:r w:rsidR="000D439F">
        <w:t xml:space="preserve"> lūgums par viņa atbrīvošanu no drošības naudas samaksas par blakus sūdzības iesniegšanu civillietā </w:t>
      </w:r>
      <w:r w:rsidR="006C4CF8">
        <w:rPr>
          <w:color w:val="000000"/>
          <w:shd w:val="clear" w:color="auto" w:fill="FFFFFF"/>
        </w:rPr>
        <w:t>[pers. B]</w:t>
      </w:r>
      <w:r w:rsidR="006C4CF8">
        <w:t xml:space="preserve"> </w:t>
      </w:r>
      <w:r w:rsidR="000D439F">
        <w:t>(</w:t>
      </w:r>
      <w:r w:rsidR="006C4CF8">
        <w:rPr>
          <w:color w:val="000000"/>
          <w:shd w:val="clear" w:color="auto" w:fill="FFFFFF"/>
        </w:rPr>
        <w:t>[</w:t>
      </w:r>
      <w:r w:rsidR="006C4CF8" w:rsidRPr="006C4CF8">
        <w:rPr>
          <w:i/>
          <w:iCs/>
          <w:color w:val="000000"/>
          <w:shd w:val="clear" w:color="auto" w:fill="FFFFFF"/>
        </w:rPr>
        <w:t>pers. B</w:t>
      </w:r>
      <w:r w:rsidR="006C4CF8">
        <w:rPr>
          <w:color w:val="000000"/>
          <w:shd w:val="clear" w:color="auto" w:fill="FFFFFF"/>
        </w:rPr>
        <w:t>]</w:t>
      </w:r>
      <w:r w:rsidR="000D439F">
        <w:t xml:space="preserve">) prasībā pret </w:t>
      </w:r>
      <w:r w:rsidR="006C4CF8">
        <w:rPr>
          <w:color w:val="000000"/>
          <w:shd w:val="clear" w:color="auto" w:fill="FFFFFF"/>
        </w:rPr>
        <w:t xml:space="preserve">[pers. A] </w:t>
      </w:r>
      <w:r w:rsidR="000D439F">
        <w:t xml:space="preserve">un </w:t>
      </w:r>
      <w:r w:rsidR="006C4CF8">
        <w:rPr>
          <w:color w:val="000000"/>
          <w:shd w:val="clear" w:color="auto" w:fill="FFFFFF"/>
        </w:rPr>
        <w:t>[pers. C]</w:t>
      </w:r>
      <w:r w:rsidR="006C4CF8">
        <w:t xml:space="preserve"> </w:t>
      </w:r>
      <w:r w:rsidR="000D439F">
        <w:t>(</w:t>
      </w:r>
      <w:r w:rsidR="006C4CF8">
        <w:rPr>
          <w:color w:val="000000"/>
          <w:shd w:val="clear" w:color="auto" w:fill="FFFFFF"/>
        </w:rPr>
        <w:t>[</w:t>
      </w:r>
      <w:r w:rsidR="006C4CF8" w:rsidRPr="006C4CF8">
        <w:rPr>
          <w:i/>
          <w:iCs/>
          <w:color w:val="000000"/>
          <w:shd w:val="clear" w:color="auto" w:fill="FFFFFF"/>
        </w:rPr>
        <w:t>pers. C</w:t>
      </w:r>
      <w:r w:rsidR="006C4CF8">
        <w:rPr>
          <w:color w:val="000000"/>
          <w:shd w:val="clear" w:color="auto" w:fill="FFFFFF"/>
        </w:rPr>
        <w:t>]</w:t>
      </w:r>
      <w:r w:rsidR="000D439F">
        <w:t xml:space="preserve">) par piedziņas vēršanu uz parādnieka atsavināto mantu un atstāta bez virzības </w:t>
      </w:r>
      <w:r w:rsidR="006C4CF8">
        <w:rPr>
          <w:color w:val="000000"/>
          <w:shd w:val="clear" w:color="auto" w:fill="FFFFFF"/>
        </w:rPr>
        <w:t xml:space="preserve">[pers. A] </w:t>
      </w:r>
      <w:r w:rsidR="000D439F">
        <w:t xml:space="preserve">blakus sūdzība par Latgales apgabaltiesas 2025. gada 28. maija lēmumu, ar kuru atteikts taisīt papildspriedumu, </w:t>
      </w:r>
      <w:r w:rsidR="008924E8">
        <w:t xml:space="preserve">vienlaikus </w:t>
      </w:r>
      <w:r w:rsidR="000D439F">
        <w:t>nosakot termiņu līdz 2025. gada 11. </w:t>
      </w:r>
      <w:r w:rsidR="0030530E">
        <w:t>j</w:t>
      </w:r>
      <w:r w:rsidR="000D439F">
        <w:t>ūlijam trūkuma novēršanai – drošības naudas 80 </w:t>
      </w:r>
      <w:proofErr w:type="spellStart"/>
      <w:r w:rsidR="000D439F" w:rsidRPr="000D439F">
        <w:rPr>
          <w:i/>
          <w:iCs/>
        </w:rPr>
        <w:t>euro</w:t>
      </w:r>
      <w:proofErr w:type="spellEnd"/>
      <w:r w:rsidR="000D439F">
        <w:t xml:space="preserve"> samaksai un samaksu apliecinoša dokumenta iesniegšanai Latgales apgabaltiesā. </w:t>
      </w:r>
    </w:p>
    <w:p w14:paraId="022F8BBF" w14:textId="77777777" w:rsidR="007A36B3" w:rsidRDefault="007A36B3" w:rsidP="007A36B3">
      <w:pPr>
        <w:spacing w:line="276" w:lineRule="auto"/>
        <w:ind w:firstLine="709"/>
        <w:jc w:val="both"/>
        <w:rPr>
          <w:rFonts w:asciiTheme="majorBidi" w:hAnsiTheme="majorBidi" w:cstheme="majorBidi"/>
        </w:rPr>
      </w:pPr>
    </w:p>
    <w:p w14:paraId="1154E8D5" w14:textId="05D742E1" w:rsidR="007A36B3" w:rsidRDefault="007A36B3" w:rsidP="007A36B3">
      <w:pPr>
        <w:spacing w:line="276" w:lineRule="auto"/>
        <w:ind w:firstLine="709"/>
        <w:jc w:val="both"/>
        <w:rPr>
          <w:rFonts w:asciiTheme="majorBidi" w:hAnsiTheme="majorBidi" w:cstheme="majorBidi"/>
        </w:rPr>
      </w:pPr>
      <w:r>
        <w:rPr>
          <w:rFonts w:asciiTheme="majorBidi" w:hAnsiTheme="majorBidi" w:cstheme="majorBidi"/>
        </w:rPr>
        <w:t>[2] P</w:t>
      </w:r>
      <w:r>
        <w:rPr>
          <w:color w:val="000000"/>
          <w:shd w:val="clear" w:color="auto" w:fill="FFFFFF"/>
        </w:rPr>
        <w:t xml:space="preserve">ar </w:t>
      </w:r>
      <w:r w:rsidR="000D439F">
        <w:rPr>
          <w:color w:val="000000"/>
          <w:shd w:val="clear" w:color="auto" w:fill="FFFFFF"/>
        </w:rPr>
        <w:t>Latgales</w:t>
      </w:r>
      <w:r>
        <w:rPr>
          <w:color w:val="000000"/>
          <w:shd w:val="clear" w:color="auto" w:fill="FFFFFF"/>
        </w:rPr>
        <w:t xml:space="preserve"> apgabaltiesas </w:t>
      </w:r>
      <w:r w:rsidR="008924E8">
        <w:rPr>
          <w:color w:val="000000"/>
          <w:shd w:val="clear" w:color="auto" w:fill="FFFFFF"/>
        </w:rPr>
        <w:t xml:space="preserve">tiesneša </w:t>
      </w:r>
      <w:r>
        <w:rPr>
          <w:color w:val="000000"/>
          <w:shd w:val="clear" w:color="auto" w:fill="FFFFFF"/>
        </w:rPr>
        <w:t xml:space="preserve">2025. gada </w:t>
      </w:r>
      <w:r w:rsidR="000D439F">
        <w:rPr>
          <w:color w:val="000000"/>
          <w:shd w:val="clear" w:color="auto" w:fill="FFFFFF"/>
        </w:rPr>
        <w:t>11. jūnija</w:t>
      </w:r>
      <w:r>
        <w:rPr>
          <w:color w:val="000000"/>
          <w:shd w:val="clear" w:color="auto" w:fill="FFFFFF"/>
        </w:rPr>
        <w:t xml:space="preserve"> lēmumu </w:t>
      </w:r>
      <w:r w:rsidR="006C4CF8">
        <w:rPr>
          <w:color w:val="000000"/>
          <w:shd w:val="clear" w:color="auto" w:fill="FFFFFF"/>
        </w:rPr>
        <w:t>[pers. A]</w:t>
      </w:r>
      <w:r w:rsidR="000D439F">
        <w:rPr>
          <w:color w:val="000000"/>
          <w:shd w:val="clear" w:color="auto" w:fill="FFFFFF"/>
        </w:rPr>
        <w:t xml:space="preserve"> iesniedzis</w:t>
      </w:r>
      <w:r>
        <w:rPr>
          <w:color w:val="000000"/>
          <w:shd w:val="clear" w:color="auto" w:fill="FFFFFF"/>
        </w:rPr>
        <w:t xml:space="preserve"> blakus sūdzību.</w:t>
      </w:r>
    </w:p>
    <w:p w14:paraId="03A4D5EC" w14:textId="69A6BD06" w:rsidR="006A3E86" w:rsidRDefault="006A3E86" w:rsidP="007A36B3">
      <w:pPr>
        <w:tabs>
          <w:tab w:val="left" w:pos="709"/>
        </w:tabs>
        <w:spacing w:line="276" w:lineRule="auto"/>
        <w:ind w:firstLine="709"/>
        <w:jc w:val="both"/>
      </w:pPr>
    </w:p>
    <w:p w14:paraId="01E88EA5" w14:textId="10218418" w:rsidR="006A3E86" w:rsidRDefault="007A36B3" w:rsidP="007A36B3">
      <w:pPr>
        <w:tabs>
          <w:tab w:val="left" w:pos="709"/>
        </w:tabs>
        <w:spacing w:line="276" w:lineRule="auto"/>
        <w:ind w:firstLine="709"/>
        <w:jc w:val="both"/>
      </w:pPr>
      <w:r>
        <w:t>[3] </w:t>
      </w:r>
      <w:r w:rsidR="006A3E86" w:rsidRPr="00D40380">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1C58F0E2" w14:textId="2430B4F9" w:rsidR="00331D2E" w:rsidRDefault="005904A8" w:rsidP="009C28C7">
      <w:pPr>
        <w:tabs>
          <w:tab w:val="left" w:pos="709"/>
        </w:tabs>
        <w:spacing w:line="276" w:lineRule="auto"/>
        <w:ind w:firstLine="709"/>
        <w:jc w:val="both"/>
      </w:pPr>
      <w:r>
        <w:t>[3.1] </w:t>
      </w:r>
      <w:r w:rsidR="000D439F">
        <w:t xml:space="preserve">Noraidot </w:t>
      </w:r>
      <w:r w:rsidR="006C4CF8">
        <w:rPr>
          <w:color w:val="000000"/>
          <w:shd w:val="clear" w:color="auto" w:fill="FFFFFF"/>
        </w:rPr>
        <w:t xml:space="preserve">[pers. A] </w:t>
      </w:r>
      <w:r w:rsidR="000D439F">
        <w:t xml:space="preserve">lūgumu par </w:t>
      </w:r>
      <w:r w:rsidR="009C28C7">
        <w:t xml:space="preserve">viņa kā Ukrainas pilsoņa atbrīvošanu no drošības naudas samaksu par blakus sūdzības iesniegšanu, kas pamatots ar </w:t>
      </w:r>
      <w:r w:rsidR="000D1616">
        <w:t xml:space="preserve">norādi uz </w:t>
      </w:r>
      <w:r w:rsidR="009C28C7" w:rsidRPr="009C28C7">
        <w:t>Latvijas Republikas un Ukrainas līgum</w:t>
      </w:r>
      <w:r w:rsidR="009C28C7">
        <w:t>a</w:t>
      </w:r>
      <w:r w:rsidR="009C28C7" w:rsidRPr="009C28C7">
        <w:t xml:space="preserve"> par tiesisko palīdzību un tiesiskajām attiecībām civilajās, ģimenes, darba un krimināllietās</w:t>
      </w:r>
      <w:r w:rsidR="009C28C7">
        <w:t xml:space="preserve"> </w:t>
      </w:r>
      <w:r w:rsidR="00331D2E">
        <w:t xml:space="preserve">(turpmāk – Tiesiskās palīdzības līgums) </w:t>
      </w:r>
      <w:r w:rsidR="009C28C7">
        <w:t>43. pantu („</w:t>
      </w:r>
      <w:r w:rsidR="009C28C7" w:rsidRPr="009C28C7">
        <w:rPr>
          <w:i/>
          <w:iCs/>
        </w:rPr>
        <w:t>vienas Līgumslēdzējas Puses pilsoņiem, kuri dzīvo vai atrodas jebkurā no šo Pušu teritorijām un uzstājas otras Līgumslēdzējas Puses tiesās, nevar piespiest samaksāt drošības naudu procesa izmaksu nodrošināšanai tikai tā iemesla dēļ, ka viņi ir ārvalstnieki vai ka viņu dzīvesvieta vai atrašanās vieta neatrodas tās Līgumslēdzējas Puses teritorijā, kuras tiesā viņi griežas</w:t>
      </w:r>
      <w:r w:rsidR="009C28C7">
        <w:t>”), tiesai ir pareizi iztulkojusi šo normu.</w:t>
      </w:r>
    </w:p>
    <w:p w14:paraId="034534E5" w14:textId="711277C9" w:rsidR="00331D2E" w:rsidRDefault="009C28C7" w:rsidP="00505496">
      <w:pPr>
        <w:tabs>
          <w:tab w:val="left" w:pos="709"/>
        </w:tabs>
        <w:spacing w:line="276" w:lineRule="auto"/>
        <w:ind w:firstLine="709"/>
        <w:jc w:val="both"/>
      </w:pPr>
      <w:r>
        <w:t xml:space="preserve">Proti, </w:t>
      </w:r>
      <w:r w:rsidR="00331D2E">
        <w:t>Tiesiskās palīdzības līguma 43. pantā, kurā paregulēta „atbrīvošana no drošības naudas samaksas”, ir paredzēts</w:t>
      </w:r>
      <w:r>
        <w:t xml:space="preserve"> nevis t</w:t>
      </w:r>
      <w:r w:rsidR="00505496">
        <w:t>as</w:t>
      </w:r>
      <w:r>
        <w:t xml:space="preserve">, ka ikviens Ukrainas pilsonis, kurš </w:t>
      </w:r>
      <w:r>
        <w:lastRenderedPageBreak/>
        <w:t xml:space="preserve">vēršas Latvijas Republikas tiesā, </w:t>
      </w:r>
      <w:r w:rsidR="00331D2E">
        <w:t>jau „saskaņā ar likumu” (</w:t>
      </w:r>
      <w:r w:rsidR="00331D2E" w:rsidRPr="000D1616">
        <w:rPr>
          <w:i/>
          <w:iCs/>
        </w:rPr>
        <w:t>Civilprocesa likuma 43.</w:t>
      </w:r>
      <w:r w:rsidR="00331D2E" w:rsidRPr="000D1616">
        <w:rPr>
          <w:i/>
          <w:iCs/>
          <w:vertAlign w:val="superscript"/>
        </w:rPr>
        <w:t>1</w:t>
      </w:r>
      <w:r w:rsidR="00331D2E" w:rsidRPr="000D1616">
        <w:rPr>
          <w:i/>
          <w:iCs/>
        </w:rPr>
        <w:t> panta otrās daļas izpratnē</w:t>
      </w:r>
      <w:r w:rsidR="00331D2E">
        <w:t xml:space="preserve">) </w:t>
      </w:r>
      <w:r>
        <w:t>ir atbrīvots no Civilprocesa likuma 43.</w:t>
      </w:r>
      <w:r w:rsidRPr="009C28C7">
        <w:rPr>
          <w:vertAlign w:val="superscript"/>
        </w:rPr>
        <w:t>1</w:t>
      </w:r>
      <w:r>
        <w:t> pant</w:t>
      </w:r>
      <w:r w:rsidR="00505496">
        <w:t>a pirmajā daļā</w:t>
      </w:r>
      <w:r>
        <w:t xml:space="preserve"> paredzētā pienākuma maksāt drošības naud</w:t>
      </w:r>
      <w:r w:rsidR="00505496">
        <w:t>u</w:t>
      </w:r>
      <w:r w:rsidR="000D1616">
        <w:t xml:space="preserve">, </w:t>
      </w:r>
      <w:r>
        <w:t>kas i</w:t>
      </w:r>
      <w:r w:rsidR="00505496">
        <w:t>r</w:t>
      </w:r>
      <w:r>
        <w:t xml:space="preserve"> viena no tiesāšanās izdevumu veidiem</w:t>
      </w:r>
      <w:r w:rsidR="000D1616">
        <w:t xml:space="preserve"> (</w:t>
      </w:r>
      <w:r>
        <w:t>sk.</w:t>
      </w:r>
      <w:r w:rsidR="000D1616">
        <w:t> </w:t>
      </w:r>
      <w:r w:rsidRPr="009C28C7">
        <w:rPr>
          <w:i/>
          <w:iCs/>
        </w:rPr>
        <w:t>Civilprocesa likuma 33. panta pirmo daļu</w:t>
      </w:r>
      <w:r>
        <w:t>), bet gan t</w:t>
      </w:r>
      <w:r w:rsidR="00505496">
        <w:t>as</w:t>
      </w:r>
      <w:r>
        <w:t>, ka Ukrainas pilsoņiem</w:t>
      </w:r>
      <w:r w:rsidR="00331D2E">
        <w:t>, kur</w:t>
      </w:r>
      <w:r w:rsidR="000D1616">
        <w:t>i</w:t>
      </w:r>
      <w:r w:rsidR="00331D2E">
        <w:t xml:space="preserve"> vēršas Latvijas Republikas tiesā, ir tādas pašas procesuālās tiesība un pienākumi kā Latvijas Republikas pilso</w:t>
      </w:r>
      <w:r w:rsidR="0040542C">
        <w:t>ņiem</w:t>
      </w:r>
      <w:r w:rsidR="00505496">
        <w:t xml:space="preserve"> (sk. arī </w:t>
      </w:r>
      <w:r w:rsidR="00505496" w:rsidRPr="00505496">
        <w:rPr>
          <w:i/>
          <w:iCs/>
        </w:rPr>
        <w:t>Tiesiskās palīdzības līguma 1. pantu</w:t>
      </w:r>
      <w:r w:rsidR="00505496">
        <w:t>)</w:t>
      </w:r>
      <w:r w:rsidRPr="009C28C7">
        <w:t>.</w:t>
      </w:r>
      <w:r w:rsidR="00331D2E">
        <w:t xml:space="preserve"> Tāpēc no Ukrainas pilsoņa, kurš vēršas Latvijas Republikas tiesā, nedrīkst pieprasīt, lai </w:t>
      </w:r>
      <w:r w:rsidR="00505496">
        <w:t xml:space="preserve">tikai tā iemesla dēļ, ka </w:t>
      </w:r>
      <w:r w:rsidR="00331D2E">
        <w:t xml:space="preserve">viņš </w:t>
      </w:r>
      <w:r w:rsidR="00505496">
        <w:t>ir ārvalstnieks</w:t>
      </w:r>
      <w:r w:rsidR="0040542C">
        <w:t xml:space="preserve"> vai</w:t>
      </w:r>
      <w:r w:rsidR="00505496">
        <w:t xml:space="preserve"> ka viņa dzīvesvieta neatrodas Latvijas Republikas teritorijā, šis Ukrainas pilsonis </w:t>
      </w:r>
      <w:r w:rsidR="00331D2E">
        <w:t>samaksātu „drošības naudu”</w:t>
      </w:r>
      <w:r w:rsidR="00505496">
        <w:t xml:space="preserve"> Tiesiskās palīdzības līguma 43. panta izpratnē</w:t>
      </w:r>
      <w:r w:rsidR="00331D2E">
        <w:t xml:space="preserve">, </w:t>
      </w:r>
      <w:r w:rsidR="00505496">
        <w:t xml:space="preserve">t. i., tādu iepriekšēju nodrošinājumu zināmas naudas summas veidā, </w:t>
      </w:r>
      <w:r w:rsidR="00331D2E">
        <w:t xml:space="preserve">kura mērķis </w:t>
      </w:r>
      <w:r w:rsidR="00505496">
        <w:t>būtu</w:t>
      </w:r>
      <w:r w:rsidR="00331D2E">
        <w:t xml:space="preserve"> </w:t>
      </w:r>
      <w:r w:rsidR="00505496">
        <w:t>garantēt</w:t>
      </w:r>
      <w:r w:rsidR="00331D2E">
        <w:t xml:space="preserve"> Latvijas Republikas valsts, kā arī konkrētās tiesvedības citu dalībnieku iespējam</w:t>
      </w:r>
      <w:r w:rsidR="00B05FA2">
        <w:t>o</w:t>
      </w:r>
      <w:r w:rsidR="00331D2E">
        <w:t xml:space="preserve"> procesa izmaks</w:t>
      </w:r>
      <w:r w:rsidR="00B05FA2">
        <w:t>u segšanu</w:t>
      </w:r>
      <w:r w:rsidR="0040542C">
        <w:t xml:space="preserve"> nākotnē</w:t>
      </w:r>
      <w:r w:rsidR="00331D2E">
        <w:t>.</w:t>
      </w:r>
      <w:r w:rsidR="00505496">
        <w:t xml:space="preserve"> Tajā pašā laikā Tiesiskās palīdzības līguma 43. pants neatbrīvo Ukrainas pilsoņus, kuri vēršas Latvijas Republikas tiesā, no Civilprocesa likuma 43.</w:t>
      </w:r>
      <w:r w:rsidR="00505496" w:rsidRPr="009C28C7">
        <w:rPr>
          <w:vertAlign w:val="superscript"/>
        </w:rPr>
        <w:t>1</w:t>
      </w:r>
      <w:r w:rsidR="00505496">
        <w:t xml:space="preserve"> panta pirmajā daļā paredzētā pienākuma maksāt drošības naudu, kāds ir ikvienam tiesību subjektam, kurš vēršas Latvijas Republikas tiesā ar </w:t>
      </w:r>
      <w:r w:rsidR="0040542C">
        <w:t xml:space="preserve">kādu no </w:t>
      </w:r>
      <w:r w:rsidR="00B05FA2">
        <w:t>minētajā</w:t>
      </w:r>
      <w:r w:rsidR="00505496">
        <w:t xml:space="preserve"> normā paredzētajām sūdzībām vai </w:t>
      </w:r>
      <w:r w:rsidR="005904A8">
        <w:t>pieteikumiem.</w:t>
      </w:r>
    </w:p>
    <w:p w14:paraId="20C4B74C" w14:textId="58A821B0" w:rsidR="000D439F" w:rsidRDefault="005904A8" w:rsidP="000D1616">
      <w:pPr>
        <w:tabs>
          <w:tab w:val="left" w:pos="709"/>
        </w:tabs>
        <w:spacing w:line="276" w:lineRule="auto"/>
        <w:ind w:firstLine="709"/>
        <w:jc w:val="both"/>
      </w:pPr>
      <w:r>
        <w:t xml:space="preserve">[3.2] Tāpat tiesa pareizi </w:t>
      </w:r>
      <w:r w:rsidR="0040542C">
        <w:t>konstatējusi</w:t>
      </w:r>
      <w:r>
        <w:t xml:space="preserve">, ka </w:t>
      </w:r>
      <w:r w:rsidR="006C4CF8">
        <w:rPr>
          <w:color w:val="000000"/>
          <w:shd w:val="clear" w:color="auto" w:fill="FFFFFF"/>
        </w:rPr>
        <w:t xml:space="preserve">[pers. A] </w:t>
      </w:r>
      <w:r>
        <w:t xml:space="preserve">ar savu 2025. gada 9. jūnija blakus sūdzību par Latgales apgabaltiesas </w:t>
      </w:r>
      <w:r w:rsidRPr="005904A8">
        <w:t>2025. gada 28. maija lēmumu</w:t>
      </w:r>
      <w:r>
        <w:t xml:space="preserve"> (sk. </w:t>
      </w:r>
      <w:r w:rsidRPr="005904A8">
        <w:rPr>
          <w:i/>
          <w:iCs/>
        </w:rPr>
        <w:t>lietas 4. sējuma 174.–177. lapu</w:t>
      </w:r>
      <w:r>
        <w:t xml:space="preserve">) nebija pieteicis lūgumu atbrīvot viņu no drošības naudas samaksas mantiskā stāvokļa dēļ, šim lūgumam pievienojot pierādījumus, kas apliecinātu </w:t>
      </w:r>
      <w:r w:rsidR="001A3434">
        <w:rPr>
          <w:color w:val="000000"/>
          <w:shd w:val="clear" w:color="auto" w:fill="FFFFFF"/>
        </w:rPr>
        <w:t xml:space="preserve">[pers. A] </w:t>
      </w:r>
      <w:r>
        <w:t xml:space="preserve">apgalvojumus par viņa mantisko stāvokli, lai tādējādi izpildītu </w:t>
      </w:r>
      <w:r w:rsidR="000D1616">
        <w:t>no Civilprocesa likuma 43.</w:t>
      </w:r>
      <w:r w:rsidR="000D1616" w:rsidRPr="000D1616">
        <w:rPr>
          <w:vertAlign w:val="superscript"/>
        </w:rPr>
        <w:t>1</w:t>
      </w:r>
      <w:r w:rsidR="000D1616">
        <w:t> panta otrās daļas otrā teikuma izrietošo</w:t>
      </w:r>
      <w:r>
        <w:t xml:space="preserve"> pienākumu pierādīt to, ka viņa </w:t>
      </w:r>
      <w:r w:rsidR="000D1616">
        <w:t xml:space="preserve">kā sūdzības iesniedzēja </w:t>
      </w:r>
      <w:r>
        <w:t>mantiskais stāvoklis liedz iespēju samaksāt drošības naudu likumā noteiktajā apmērā</w:t>
      </w:r>
      <w:r w:rsidR="000D1616">
        <w:t xml:space="preserve"> (sk. </w:t>
      </w:r>
      <w:r w:rsidR="000D1616" w:rsidRPr="000D1616">
        <w:rPr>
          <w:i/>
          <w:iCs/>
        </w:rPr>
        <w:t>Senāta 2024. gada 26. jūnija lēmuma lietā Nr. SKC-604/2024, ECLI:LV:AT:2024:0626.C68323622.23.L, 6.1. punktu</w:t>
      </w:r>
      <w:r w:rsidR="000D1616">
        <w:t>).</w:t>
      </w:r>
    </w:p>
    <w:p w14:paraId="7D4E0F8B" w14:textId="5A11CB96" w:rsidR="0030530E" w:rsidRPr="00D40380" w:rsidRDefault="000D1616" w:rsidP="0030530E">
      <w:pPr>
        <w:tabs>
          <w:tab w:val="left" w:pos="709"/>
        </w:tabs>
        <w:spacing w:line="264" w:lineRule="auto"/>
        <w:ind w:firstLine="709"/>
        <w:jc w:val="both"/>
      </w:pPr>
      <w:r>
        <w:t>[3.3] </w:t>
      </w:r>
      <w:r w:rsidR="0030530E">
        <w:t xml:space="preserve">Senatoru kolēģija nosaka </w:t>
      </w:r>
      <w:r w:rsidR="001A3434">
        <w:rPr>
          <w:color w:val="000000"/>
          <w:shd w:val="clear" w:color="auto" w:fill="FFFFFF"/>
        </w:rPr>
        <w:t xml:space="preserve">[pers. A] </w:t>
      </w:r>
      <w:r w:rsidR="0030530E">
        <w:t>jaunu termiņu pārsūdzētajā lēmumā norādīto trūkumu novēršanai līdz 2025. gada 11. augustam.</w:t>
      </w:r>
    </w:p>
    <w:p w14:paraId="5F2B43FA" w14:textId="77777777" w:rsidR="008924E8" w:rsidRDefault="008924E8" w:rsidP="007A36B3">
      <w:pPr>
        <w:tabs>
          <w:tab w:val="left" w:pos="709"/>
        </w:tabs>
        <w:spacing w:line="276" w:lineRule="auto"/>
        <w:ind w:firstLine="709"/>
        <w:jc w:val="both"/>
      </w:pPr>
    </w:p>
    <w:p w14:paraId="290049A8" w14:textId="79A58D51" w:rsidR="006A3E86" w:rsidRPr="00D40380" w:rsidRDefault="006A3E86" w:rsidP="007A36B3">
      <w:pPr>
        <w:tabs>
          <w:tab w:val="left" w:pos="709"/>
        </w:tabs>
        <w:spacing w:line="276" w:lineRule="auto"/>
        <w:ind w:firstLine="709"/>
        <w:jc w:val="both"/>
      </w:pPr>
      <w:r w:rsidRPr="00D40380">
        <w:t xml:space="preserve">Pamatojoties uz Civilprocesa likuma </w:t>
      </w:r>
      <w:r w:rsidRPr="00D40380">
        <w:rPr>
          <w:rFonts w:asciiTheme="majorBidi" w:hAnsiTheme="majorBidi" w:cstheme="majorBidi"/>
        </w:rPr>
        <w:t>464. panta septīto daļu</w:t>
      </w:r>
      <w:r w:rsidRPr="00D40380">
        <w:t>, senatoru kolēģija</w:t>
      </w:r>
    </w:p>
    <w:p w14:paraId="2DA9E5A4" w14:textId="77777777" w:rsidR="007A36B3" w:rsidRDefault="007A36B3" w:rsidP="007A36B3">
      <w:pPr>
        <w:autoSpaceDE w:val="0"/>
        <w:autoSpaceDN w:val="0"/>
        <w:adjustRightInd w:val="0"/>
        <w:spacing w:line="276" w:lineRule="auto"/>
        <w:jc w:val="center"/>
        <w:rPr>
          <w:rFonts w:asciiTheme="majorBidi" w:hAnsiTheme="majorBidi" w:cstheme="majorBidi"/>
          <w:b/>
          <w:bCs/>
        </w:rPr>
      </w:pPr>
    </w:p>
    <w:p w14:paraId="7B34795A" w14:textId="3DE8F91F" w:rsidR="006A3E86" w:rsidRPr="00D40380" w:rsidRDefault="006A3E86" w:rsidP="007A36B3">
      <w:pPr>
        <w:autoSpaceDE w:val="0"/>
        <w:autoSpaceDN w:val="0"/>
        <w:adjustRightInd w:val="0"/>
        <w:spacing w:line="276" w:lineRule="auto"/>
        <w:jc w:val="center"/>
        <w:rPr>
          <w:rFonts w:asciiTheme="majorBidi" w:hAnsiTheme="majorBidi" w:cstheme="majorBidi"/>
          <w:b/>
          <w:bCs/>
        </w:rPr>
      </w:pPr>
      <w:r w:rsidRPr="00D40380">
        <w:rPr>
          <w:rFonts w:asciiTheme="majorBidi" w:hAnsiTheme="majorBidi" w:cstheme="majorBidi"/>
          <w:b/>
          <w:bCs/>
        </w:rPr>
        <w:t>nolēma</w:t>
      </w:r>
    </w:p>
    <w:p w14:paraId="272073FF" w14:textId="77777777" w:rsidR="006A3E86" w:rsidRPr="00060F70" w:rsidRDefault="006A3E86" w:rsidP="007A36B3">
      <w:pPr>
        <w:autoSpaceDE w:val="0"/>
        <w:autoSpaceDN w:val="0"/>
        <w:adjustRightInd w:val="0"/>
        <w:spacing w:line="276" w:lineRule="auto"/>
        <w:jc w:val="both"/>
        <w:rPr>
          <w:rFonts w:asciiTheme="majorBidi" w:hAnsiTheme="majorBidi" w:cstheme="majorBidi"/>
        </w:rPr>
      </w:pPr>
    </w:p>
    <w:p w14:paraId="230ED2AF" w14:textId="5F9EBDFD" w:rsidR="006A3E86" w:rsidRDefault="006A3E86" w:rsidP="007A36B3">
      <w:pPr>
        <w:tabs>
          <w:tab w:val="left" w:pos="0"/>
        </w:tabs>
        <w:spacing w:line="276" w:lineRule="auto"/>
        <w:ind w:right="28" w:firstLine="709"/>
        <w:jc w:val="both"/>
        <w:rPr>
          <w:color w:val="000000"/>
          <w:shd w:val="clear" w:color="auto" w:fill="FFFFFF"/>
        </w:rPr>
      </w:pPr>
      <w:r w:rsidRPr="00D40380">
        <w:rPr>
          <w:rFonts w:asciiTheme="majorBidi" w:hAnsiTheme="majorBidi" w:cstheme="majorBidi"/>
        </w:rPr>
        <w:t>atteikt pieņemt</w:t>
      </w:r>
      <w:r>
        <w:rPr>
          <w:rFonts w:asciiTheme="majorBidi" w:hAnsiTheme="majorBidi" w:cstheme="majorBidi"/>
        </w:rPr>
        <w:t xml:space="preserve"> </w:t>
      </w:r>
      <w:r w:rsidR="001A3434">
        <w:rPr>
          <w:color w:val="000000"/>
          <w:shd w:val="clear" w:color="auto" w:fill="FFFFFF"/>
        </w:rPr>
        <w:t xml:space="preserve">[pers. A] </w:t>
      </w:r>
      <w:r w:rsidR="007A36B3">
        <w:rPr>
          <w:color w:val="000000"/>
          <w:shd w:val="clear" w:color="auto" w:fill="FFFFFF"/>
        </w:rPr>
        <w:t xml:space="preserve">blakus sūdzību par </w:t>
      </w:r>
      <w:r w:rsidR="000D1616">
        <w:rPr>
          <w:color w:val="000000"/>
          <w:shd w:val="clear" w:color="auto" w:fill="FFFFFF"/>
        </w:rPr>
        <w:t>Latgales</w:t>
      </w:r>
      <w:r w:rsidR="007A36B3">
        <w:rPr>
          <w:color w:val="000000"/>
          <w:shd w:val="clear" w:color="auto" w:fill="FFFFFF"/>
        </w:rPr>
        <w:t xml:space="preserve"> apgabaltiesas </w:t>
      </w:r>
      <w:r w:rsidR="00A51AD4">
        <w:rPr>
          <w:color w:val="000000"/>
          <w:shd w:val="clear" w:color="auto" w:fill="FFFFFF"/>
        </w:rPr>
        <w:t xml:space="preserve">tiesneša </w:t>
      </w:r>
      <w:r w:rsidR="007A36B3">
        <w:rPr>
          <w:color w:val="000000"/>
          <w:shd w:val="clear" w:color="auto" w:fill="FFFFFF"/>
        </w:rPr>
        <w:t xml:space="preserve">2025. gada </w:t>
      </w:r>
      <w:r w:rsidR="000D1616">
        <w:rPr>
          <w:color w:val="000000"/>
          <w:shd w:val="clear" w:color="auto" w:fill="FFFFFF"/>
        </w:rPr>
        <w:t>11. jūnija</w:t>
      </w:r>
      <w:r w:rsidR="007A36B3">
        <w:rPr>
          <w:color w:val="000000"/>
          <w:shd w:val="clear" w:color="auto" w:fill="FFFFFF"/>
        </w:rPr>
        <w:t xml:space="preserve"> lēmumu</w:t>
      </w:r>
      <w:r w:rsidR="0040542C">
        <w:rPr>
          <w:color w:val="000000"/>
          <w:shd w:val="clear" w:color="auto" w:fill="FFFFFF"/>
        </w:rPr>
        <w:t>;</w:t>
      </w:r>
    </w:p>
    <w:p w14:paraId="0E273E7F" w14:textId="537C8DE3" w:rsidR="0030530E" w:rsidRPr="00D40380" w:rsidRDefault="0030530E" w:rsidP="0030530E">
      <w:pPr>
        <w:tabs>
          <w:tab w:val="left" w:pos="0"/>
        </w:tabs>
        <w:spacing w:line="264" w:lineRule="auto"/>
        <w:ind w:right="28" w:firstLine="709"/>
        <w:jc w:val="both"/>
        <w:rPr>
          <w:rFonts w:asciiTheme="majorBidi" w:hAnsiTheme="majorBidi" w:cstheme="majorBidi"/>
        </w:rPr>
      </w:pPr>
      <w:r>
        <w:rPr>
          <w:color w:val="000000"/>
          <w:shd w:val="clear" w:color="auto" w:fill="FFFFFF"/>
        </w:rPr>
        <w:t xml:space="preserve">noteikt </w:t>
      </w:r>
      <w:r w:rsidR="001A3434">
        <w:rPr>
          <w:color w:val="000000"/>
          <w:shd w:val="clear" w:color="auto" w:fill="FFFFFF"/>
        </w:rPr>
        <w:t xml:space="preserve">[pers. A] </w:t>
      </w:r>
      <w:r>
        <w:rPr>
          <w:color w:val="000000"/>
          <w:shd w:val="clear" w:color="auto" w:fill="FFFFFF"/>
        </w:rPr>
        <w:t xml:space="preserve">termiņu līdz 2025. gada 11. augustam Latgales apgabaltiesas </w:t>
      </w:r>
      <w:r w:rsidR="0000609C">
        <w:rPr>
          <w:color w:val="000000"/>
          <w:shd w:val="clear" w:color="auto" w:fill="FFFFFF"/>
        </w:rPr>
        <w:t xml:space="preserve">tiesneša </w:t>
      </w:r>
      <w:r>
        <w:rPr>
          <w:color w:val="000000"/>
          <w:shd w:val="clear" w:color="auto" w:fill="FFFFFF"/>
        </w:rPr>
        <w:t>2025. gada 11.</w:t>
      </w:r>
      <w:r w:rsidR="0000609C">
        <w:rPr>
          <w:color w:val="000000"/>
          <w:shd w:val="clear" w:color="auto" w:fill="FFFFFF"/>
        </w:rPr>
        <w:t> </w:t>
      </w:r>
      <w:r>
        <w:rPr>
          <w:color w:val="000000"/>
          <w:shd w:val="clear" w:color="auto" w:fill="FFFFFF"/>
        </w:rPr>
        <w:t>jūnija lēmumā norādīto trūkumu novēršanai.</w:t>
      </w:r>
    </w:p>
    <w:p w14:paraId="3764F8BC" w14:textId="7FE84EE2" w:rsidR="0040542C" w:rsidRDefault="0040542C" w:rsidP="007A36B3">
      <w:pPr>
        <w:tabs>
          <w:tab w:val="left" w:pos="0"/>
        </w:tabs>
        <w:spacing w:line="276" w:lineRule="auto"/>
        <w:ind w:right="28" w:firstLine="709"/>
        <w:jc w:val="both"/>
        <w:rPr>
          <w:color w:val="000000"/>
          <w:shd w:val="clear" w:color="auto" w:fill="FFFFFF"/>
        </w:rPr>
      </w:pPr>
    </w:p>
    <w:p w14:paraId="1C48B402" w14:textId="77777777" w:rsidR="006A3E86" w:rsidRPr="00D40380" w:rsidRDefault="006A3E86" w:rsidP="007A36B3">
      <w:pPr>
        <w:tabs>
          <w:tab w:val="left" w:pos="0"/>
        </w:tabs>
        <w:spacing w:line="276" w:lineRule="auto"/>
        <w:ind w:right="-1" w:firstLine="709"/>
        <w:jc w:val="both"/>
        <w:rPr>
          <w:rFonts w:asciiTheme="majorBidi" w:hAnsiTheme="majorBidi" w:cstheme="majorBidi"/>
          <w:lang w:eastAsia="en-US"/>
        </w:rPr>
      </w:pPr>
      <w:r w:rsidRPr="00D40380">
        <w:rPr>
          <w:rFonts w:asciiTheme="majorBidi" w:hAnsiTheme="majorBidi" w:cstheme="majorBidi"/>
          <w:lang w:eastAsia="en-US"/>
        </w:rPr>
        <w:t>Lēmums nav pārsūdzams.</w:t>
      </w:r>
    </w:p>
    <w:sectPr w:rsidR="006A3E86" w:rsidRPr="00D40380" w:rsidSect="00A9456C">
      <w:footerReference w:type="default" r:id="rId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08E2" w14:textId="77777777" w:rsidR="00686F56" w:rsidRDefault="00686F56" w:rsidP="007A36B3">
      <w:r>
        <w:separator/>
      </w:r>
    </w:p>
  </w:endnote>
  <w:endnote w:type="continuationSeparator" w:id="0">
    <w:p w14:paraId="19EEE71A" w14:textId="77777777" w:rsidR="00686F56" w:rsidRDefault="00686F56" w:rsidP="007A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8647"/>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02A2F885" w14:textId="77777777" w:rsidR="009C1257" w:rsidRPr="00656406" w:rsidRDefault="009C1257" w:rsidP="009C1257">
            <w:pPr>
              <w:pStyle w:val="Footer"/>
              <w:jc w:val="center"/>
              <w:rPr>
                <w:sz w:val="22"/>
                <w:szCs w:val="22"/>
              </w:rPr>
            </w:pPr>
            <w:r w:rsidRPr="00656406">
              <w:rPr>
                <w:sz w:val="22"/>
                <w:szCs w:val="22"/>
              </w:rPr>
              <w:fldChar w:fldCharType="begin"/>
            </w:r>
            <w:r w:rsidRPr="00656406">
              <w:rPr>
                <w:sz w:val="22"/>
                <w:szCs w:val="22"/>
              </w:rPr>
              <w:instrText xml:space="preserve"> PAGE </w:instrText>
            </w:r>
            <w:r w:rsidRPr="00656406">
              <w:rPr>
                <w:sz w:val="22"/>
                <w:szCs w:val="22"/>
              </w:rPr>
              <w:fldChar w:fldCharType="separate"/>
            </w:r>
            <w:r>
              <w:rPr>
                <w:sz w:val="22"/>
                <w:szCs w:val="22"/>
              </w:rPr>
              <w:t>1</w:t>
            </w:r>
            <w:r w:rsidRPr="00656406">
              <w:rPr>
                <w:sz w:val="22"/>
                <w:szCs w:val="22"/>
              </w:rPr>
              <w:fldChar w:fldCharType="end"/>
            </w:r>
            <w:r w:rsidRPr="00656406">
              <w:rPr>
                <w:sz w:val="22"/>
                <w:szCs w:val="22"/>
              </w:rPr>
              <w:t xml:space="preserve"> no </w:t>
            </w:r>
            <w:r w:rsidRPr="00656406">
              <w:rPr>
                <w:sz w:val="22"/>
                <w:szCs w:val="22"/>
              </w:rPr>
              <w:fldChar w:fldCharType="begin"/>
            </w:r>
            <w:r w:rsidRPr="00656406">
              <w:rPr>
                <w:sz w:val="22"/>
                <w:szCs w:val="22"/>
              </w:rPr>
              <w:instrText xml:space="preserve"> NUMPAGES  </w:instrText>
            </w:r>
            <w:r w:rsidRPr="00656406">
              <w:rPr>
                <w:sz w:val="22"/>
                <w:szCs w:val="22"/>
              </w:rPr>
              <w:fldChar w:fldCharType="separate"/>
            </w:r>
            <w:r>
              <w:rPr>
                <w:sz w:val="22"/>
                <w:szCs w:val="22"/>
              </w:rPr>
              <w:t>2</w:t>
            </w:r>
            <w:r w:rsidRPr="00656406">
              <w:rPr>
                <w:noProof/>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A88D" w14:textId="77777777" w:rsidR="00686F56" w:rsidRDefault="00686F56" w:rsidP="007A36B3">
      <w:r>
        <w:separator/>
      </w:r>
    </w:p>
  </w:footnote>
  <w:footnote w:type="continuationSeparator" w:id="0">
    <w:p w14:paraId="09A1A142" w14:textId="77777777" w:rsidR="00686F56" w:rsidRDefault="00686F56" w:rsidP="007A3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86"/>
    <w:rsid w:val="0000609C"/>
    <w:rsid w:val="000214EC"/>
    <w:rsid w:val="00060F70"/>
    <w:rsid w:val="000D1616"/>
    <w:rsid w:val="000D439F"/>
    <w:rsid w:val="00106996"/>
    <w:rsid w:val="00153C67"/>
    <w:rsid w:val="00185A77"/>
    <w:rsid w:val="001A3434"/>
    <w:rsid w:val="001F74E1"/>
    <w:rsid w:val="002353EA"/>
    <w:rsid w:val="002F605E"/>
    <w:rsid w:val="0030530E"/>
    <w:rsid w:val="00331D2E"/>
    <w:rsid w:val="003F2DD4"/>
    <w:rsid w:val="0040542C"/>
    <w:rsid w:val="004140C3"/>
    <w:rsid w:val="00505496"/>
    <w:rsid w:val="005904A8"/>
    <w:rsid w:val="00656406"/>
    <w:rsid w:val="00686F56"/>
    <w:rsid w:val="006A3E86"/>
    <w:rsid w:val="006C4CF8"/>
    <w:rsid w:val="007A36B3"/>
    <w:rsid w:val="00812BDB"/>
    <w:rsid w:val="008924E8"/>
    <w:rsid w:val="00990803"/>
    <w:rsid w:val="009C1257"/>
    <w:rsid w:val="009C28C7"/>
    <w:rsid w:val="00A51AD4"/>
    <w:rsid w:val="00A9456C"/>
    <w:rsid w:val="00AF4C0A"/>
    <w:rsid w:val="00B03C79"/>
    <w:rsid w:val="00B05FA2"/>
    <w:rsid w:val="00B17214"/>
    <w:rsid w:val="00B808F2"/>
    <w:rsid w:val="00B82123"/>
    <w:rsid w:val="00C41C0F"/>
    <w:rsid w:val="00C803BE"/>
    <w:rsid w:val="00CB3880"/>
    <w:rsid w:val="00D045CC"/>
    <w:rsid w:val="00D65E32"/>
    <w:rsid w:val="00D810D9"/>
    <w:rsid w:val="00E44040"/>
    <w:rsid w:val="00EB0FF8"/>
    <w:rsid w:val="00EF6C7D"/>
    <w:rsid w:val="00F813C1"/>
    <w:rsid w:val="00FB51E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9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86"/>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6A3E8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3E8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3E8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3E86"/>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A3E86"/>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A3E86"/>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A3E86"/>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A3E86"/>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A3E86"/>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E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E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3E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3E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3E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3E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3E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3E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3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E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3E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3E86"/>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A3E86"/>
    <w:rPr>
      <w:i/>
      <w:iCs/>
      <w:color w:val="404040" w:themeColor="text1" w:themeTint="BF"/>
    </w:rPr>
  </w:style>
  <w:style w:type="paragraph" w:styleId="ListParagraph">
    <w:name w:val="List Paragraph"/>
    <w:basedOn w:val="Normal"/>
    <w:uiPriority w:val="34"/>
    <w:qFormat/>
    <w:rsid w:val="006A3E86"/>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6A3E86"/>
    <w:rPr>
      <w:i/>
      <w:iCs/>
      <w:color w:val="2F5496" w:themeColor="accent1" w:themeShade="BF"/>
    </w:rPr>
  </w:style>
  <w:style w:type="paragraph" w:styleId="IntenseQuote">
    <w:name w:val="Intense Quote"/>
    <w:basedOn w:val="Normal"/>
    <w:next w:val="Normal"/>
    <w:link w:val="IntenseQuoteChar"/>
    <w:uiPriority w:val="30"/>
    <w:qFormat/>
    <w:rsid w:val="006A3E8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A3E86"/>
    <w:rPr>
      <w:i/>
      <w:iCs/>
      <w:color w:val="2F5496" w:themeColor="accent1" w:themeShade="BF"/>
    </w:rPr>
  </w:style>
  <w:style w:type="character" w:styleId="IntenseReference">
    <w:name w:val="Intense Reference"/>
    <w:basedOn w:val="DefaultParagraphFont"/>
    <w:uiPriority w:val="32"/>
    <w:qFormat/>
    <w:rsid w:val="006A3E86"/>
    <w:rPr>
      <w:b/>
      <w:bCs/>
      <w:smallCaps/>
      <w:color w:val="2F5496" w:themeColor="accent1" w:themeShade="BF"/>
      <w:spacing w:val="5"/>
    </w:rPr>
  </w:style>
  <w:style w:type="paragraph" w:styleId="Footer">
    <w:name w:val="footer"/>
    <w:basedOn w:val="Normal"/>
    <w:link w:val="FooterChar"/>
    <w:uiPriority w:val="99"/>
    <w:unhideWhenUsed/>
    <w:rsid w:val="006A3E86"/>
    <w:pPr>
      <w:tabs>
        <w:tab w:val="center" w:pos="4513"/>
        <w:tab w:val="right" w:pos="9026"/>
      </w:tabs>
    </w:pPr>
  </w:style>
  <w:style w:type="character" w:customStyle="1" w:styleId="FooterChar">
    <w:name w:val="Footer Char"/>
    <w:basedOn w:val="DefaultParagraphFont"/>
    <w:link w:val="Footer"/>
    <w:uiPriority w:val="99"/>
    <w:rsid w:val="006A3E86"/>
    <w:rPr>
      <w:rFonts w:eastAsia="Calibri" w:cs="Times New Roman"/>
      <w:kern w:val="0"/>
      <w:szCs w:val="24"/>
      <w:lang w:eastAsia="lv-LV"/>
      <w14:ligatures w14:val="none"/>
    </w:rPr>
  </w:style>
  <w:style w:type="paragraph" w:styleId="Header">
    <w:name w:val="header"/>
    <w:basedOn w:val="Normal"/>
    <w:link w:val="HeaderChar"/>
    <w:uiPriority w:val="99"/>
    <w:unhideWhenUsed/>
    <w:rsid w:val="007A36B3"/>
    <w:pPr>
      <w:tabs>
        <w:tab w:val="center" w:pos="4513"/>
        <w:tab w:val="right" w:pos="9026"/>
      </w:tabs>
    </w:pPr>
  </w:style>
  <w:style w:type="character" w:customStyle="1" w:styleId="HeaderChar">
    <w:name w:val="Header Char"/>
    <w:basedOn w:val="DefaultParagraphFont"/>
    <w:link w:val="Header"/>
    <w:uiPriority w:val="99"/>
    <w:rsid w:val="007A36B3"/>
    <w:rPr>
      <w:rFonts w:eastAsia="Calibri" w:cs="Times New Roman"/>
      <w:kern w:val="0"/>
      <w:szCs w:val="24"/>
      <w:lang w:eastAsia="lv-LV"/>
      <w14:ligatures w14:val="none"/>
    </w:rPr>
  </w:style>
  <w:style w:type="character" w:styleId="Hyperlink">
    <w:name w:val="Hyperlink"/>
    <w:basedOn w:val="DefaultParagraphFont"/>
    <w:uiPriority w:val="99"/>
    <w:unhideWhenUsed/>
    <w:rsid w:val="00153C67"/>
    <w:rPr>
      <w:color w:val="0563C1" w:themeColor="hyperlink"/>
      <w:u w:val="single"/>
    </w:rPr>
  </w:style>
  <w:style w:type="character" w:styleId="UnresolvedMention">
    <w:name w:val="Unresolved Mention"/>
    <w:basedOn w:val="DefaultParagraphFont"/>
    <w:uiPriority w:val="99"/>
    <w:semiHidden/>
    <w:unhideWhenUsed/>
    <w:rsid w:val="0015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3309</Words>
  <Characters>1887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2025-07-21T12:03:00Z</dcterms:created>
  <dcterms:modified xsi:type="dcterms:W3CDTF">2025-08-27T10:12:00Z</dcterms:modified>
</cp:coreProperties>
</file>