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EECE4" w14:textId="77777777" w:rsidR="00663F90" w:rsidRDefault="00663F90" w:rsidP="00663F90">
      <w:pPr>
        <w:spacing w:line="276" w:lineRule="auto"/>
        <w:rPr>
          <w:b/>
          <w:bCs/>
          <w:color w:val="000000"/>
          <w:lang w:eastAsia="lv-LV"/>
          <w14:ligatures w14:val="standardContextual"/>
        </w:rPr>
      </w:pPr>
      <w:r>
        <w:rPr>
          <w:b/>
          <w:bCs/>
          <w:color w:val="000000"/>
          <w14:ligatures w14:val="standardContextual"/>
        </w:rPr>
        <w:t>Priekšnodokļa atskaitīšanas tiesību ierobežošana par fiktīva uzņēmuma veiktu preču piegādi</w:t>
      </w:r>
    </w:p>
    <w:p w14:paraId="4652D8DE" w14:textId="77777777" w:rsidR="00663F90" w:rsidRDefault="00663F90" w:rsidP="00663F90">
      <w:pPr>
        <w:spacing w:line="276" w:lineRule="auto"/>
        <w:rPr>
          <w:b/>
          <w:bCs/>
          <w:color w:val="000000"/>
          <w14:ligatures w14:val="standardContextual"/>
        </w:rPr>
      </w:pPr>
    </w:p>
    <w:p w14:paraId="7356A805" w14:textId="77777777" w:rsidR="00663F90" w:rsidRDefault="00663F90" w:rsidP="00663F90">
      <w:pPr>
        <w:spacing w:line="276" w:lineRule="auto"/>
        <w:rPr>
          <w:color w:val="000000"/>
          <w14:ligatures w14:val="standardContextual"/>
        </w:rPr>
      </w:pPr>
      <w:r>
        <w:rPr>
          <w:b/>
          <w:bCs/>
          <w:color w:val="000000"/>
          <w14:ligatures w14:val="standardContextual"/>
        </w:rPr>
        <w:t xml:space="preserve">Nodokļa maksātāja dalības ļaunprātīgā pievienotās vērtības nodokļa sistēmas izmantošanā </w:t>
      </w:r>
      <w:proofErr w:type="spellStart"/>
      <w:r>
        <w:rPr>
          <w:b/>
          <w:bCs/>
          <w:color w:val="000000"/>
          <w14:ligatures w14:val="standardContextual"/>
        </w:rPr>
        <w:t>izvērtējums</w:t>
      </w:r>
      <w:proofErr w:type="spellEnd"/>
      <w:r>
        <w:rPr>
          <w:color w:val="000000"/>
          <w14:ligatures w14:val="standardContextual"/>
        </w:rPr>
        <w:t xml:space="preserve"> </w:t>
      </w:r>
    </w:p>
    <w:p w14:paraId="25A21334" w14:textId="77777777" w:rsidR="00663F90" w:rsidRDefault="00663F90" w:rsidP="00663F90">
      <w:pPr>
        <w:spacing w:line="276" w:lineRule="auto"/>
        <w:contextualSpacing/>
        <w:jc w:val="right"/>
      </w:pPr>
    </w:p>
    <w:p w14:paraId="71A3CA25" w14:textId="1762F557" w:rsidR="008B7CCD" w:rsidRPr="005601FC" w:rsidRDefault="008B7CCD" w:rsidP="00663F90">
      <w:pPr>
        <w:spacing w:before="120" w:line="276" w:lineRule="auto"/>
        <w:contextualSpacing/>
        <w:jc w:val="center"/>
        <w:rPr>
          <w:b/>
        </w:rPr>
      </w:pPr>
      <w:r w:rsidRPr="005601FC">
        <w:rPr>
          <w:b/>
        </w:rPr>
        <w:t>Latvijas Republikas Senāt</w:t>
      </w:r>
      <w:r w:rsidR="00663F90">
        <w:rPr>
          <w:b/>
        </w:rPr>
        <w:t>a</w:t>
      </w:r>
      <w:r w:rsidR="00663F90">
        <w:rPr>
          <w:b/>
        </w:rPr>
        <w:br/>
        <w:t>Administratīvo lietu departamenta</w:t>
      </w:r>
      <w:r w:rsidR="00663F90">
        <w:rPr>
          <w:b/>
        </w:rPr>
        <w:br/>
        <w:t xml:space="preserve">2025.gada 13.maija </w:t>
      </w:r>
    </w:p>
    <w:p w14:paraId="338EDD9C" w14:textId="3A30079D" w:rsidR="008B7CCD" w:rsidRDefault="008B7CCD" w:rsidP="00663F90">
      <w:pPr>
        <w:spacing w:line="276" w:lineRule="auto"/>
        <w:contextualSpacing/>
        <w:jc w:val="center"/>
      </w:pPr>
      <w:r w:rsidRPr="005601FC">
        <w:rPr>
          <w:b/>
        </w:rPr>
        <w:t>SPRIEDUMS</w:t>
      </w:r>
    </w:p>
    <w:p w14:paraId="6A674C15" w14:textId="1A8D2210" w:rsidR="00663F90" w:rsidRPr="00663F90" w:rsidRDefault="00663F90" w:rsidP="00663F90">
      <w:pPr>
        <w:spacing w:line="276" w:lineRule="auto"/>
        <w:contextualSpacing/>
        <w:jc w:val="center"/>
        <w:rPr>
          <w:b/>
          <w:bCs/>
        </w:rPr>
      </w:pPr>
      <w:r w:rsidRPr="00663F90">
        <w:rPr>
          <w:b/>
          <w:bCs/>
        </w:rPr>
        <w:t>Lieta Nr. A420168118, SKA</w:t>
      </w:r>
      <w:r w:rsidRPr="00663F90">
        <w:rPr>
          <w:b/>
          <w:bCs/>
        </w:rPr>
        <w:noBreakHyphen/>
        <w:t>173/2025</w:t>
      </w:r>
    </w:p>
    <w:p w14:paraId="38BCED96" w14:textId="60ED310F" w:rsidR="00663F90" w:rsidRPr="00663F90" w:rsidRDefault="00663F90" w:rsidP="00663F90">
      <w:pPr>
        <w:spacing w:line="276" w:lineRule="auto"/>
        <w:contextualSpacing/>
        <w:jc w:val="center"/>
      </w:pPr>
      <w:r w:rsidRPr="00663F90">
        <w:t xml:space="preserve"> </w:t>
      </w:r>
      <w:hyperlink r:id="rId8" w:history="1">
        <w:r w:rsidRPr="000B4C24">
          <w:rPr>
            <w:rStyle w:val="Hyperlink"/>
          </w:rPr>
          <w:t>ECLI:LV:AT:2025:0513.A420168118.28.S</w:t>
        </w:r>
      </w:hyperlink>
    </w:p>
    <w:p w14:paraId="2EC14FB2" w14:textId="77777777" w:rsidR="008B7CCD" w:rsidRPr="00EC00F0" w:rsidRDefault="008B7CCD" w:rsidP="00663F90">
      <w:pPr>
        <w:spacing w:line="276" w:lineRule="auto"/>
        <w:ind w:firstLine="720"/>
        <w:jc w:val="both"/>
        <w:rPr>
          <w:rFonts w:asciiTheme="majorBidi" w:hAnsiTheme="majorBidi" w:cstheme="majorBidi"/>
        </w:rPr>
      </w:pPr>
    </w:p>
    <w:p w14:paraId="24CBA226" w14:textId="25FD34E1" w:rsidR="00EF7AC4" w:rsidRDefault="00EF7AC4" w:rsidP="00663F90">
      <w:pPr>
        <w:spacing w:line="276" w:lineRule="auto"/>
        <w:ind w:firstLine="720"/>
        <w:jc w:val="both"/>
      </w:pPr>
      <w:r>
        <w:t xml:space="preserve">Senāts </w:t>
      </w:r>
      <w:r w:rsidRPr="00011547">
        <w:t>šādā sastāvā</w:t>
      </w:r>
      <w:r>
        <w:t>: senatore referente Rudīte Vīduša, senator</w:t>
      </w:r>
      <w:r w:rsidR="00A209B2">
        <w:t>es</w:t>
      </w:r>
      <w:r>
        <w:t xml:space="preserve"> </w:t>
      </w:r>
      <w:r w:rsidR="00584E3B">
        <w:t>Anita Kovaļevska</w:t>
      </w:r>
      <w:r w:rsidR="00A209B2">
        <w:t xml:space="preserve"> un Indra Meldere</w:t>
      </w:r>
    </w:p>
    <w:p w14:paraId="3199FCA5" w14:textId="77777777" w:rsidR="008B7CCD" w:rsidRPr="00EC00F0" w:rsidRDefault="008B7CCD" w:rsidP="00663F90">
      <w:pPr>
        <w:spacing w:line="276" w:lineRule="auto"/>
        <w:ind w:firstLine="720"/>
        <w:jc w:val="both"/>
      </w:pPr>
    </w:p>
    <w:p w14:paraId="1CCB55A1" w14:textId="0F0E2717" w:rsidR="00584E3B" w:rsidRDefault="008B7CCD" w:rsidP="00663F90">
      <w:pPr>
        <w:spacing w:line="276" w:lineRule="auto"/>
        <w:ind w:firstLine="720"/>
        <w:jc w:val="both"/>
        <w:rPr>
          <w:iCs/>
        </w:rPr>
      </w:pPr>
      <w:r w:rsidRPr="00EC00F0">
        <w:t xml:space="preserve">rakstveida procesā izskatīja administratīvo lietu, kas ierosināta, </w:t>
      </w:r>
      <w:r w:rsidR="00A42AEC" w:rsidRPr="00EC00F0">
        <w:rPr>
          <w:rFonts w:eastAsiaTheme="minorHAnsi"/>
          <w:lang w:eastAsia="en-US"/>
        </w:rPr>
        <w:t>pamatojoties uz</w:t>
      </w:r>
      <w:r w:rsidR="0078394D">
        <w:rPr>
          <w:rFonts w:eastAsiaTheme="minorHAnsi"/>
          <w:lang w:eastAsia="en-US"/>
        </w:rPr>
        <w:t xml:space="preserve"> </w:t>
      </w:r>
      <w:r w:rsidR="00584E3B" w:rsidRPr="00E22B0B">
        <w:rPr>
          <w:rFonts w:asciiTheme="majorBidi" w:hAnsiTheme="majorBidi" w:cstheme="majorBidi"/>
          <w:color w:val="000000"/>
          <w:shd w:val="clear" w:color="auto" w:fill="FFFFFF"/>
        </w:rPr>
        <w:t>sabiedrība</w:t>
      </w:r>
      <w:r w:rsidR="00584E3B">
        <w:rPr>
          <w:rFonts w:asciiTheme="majorBidi" w:hAnsiTheme="majorBidi" w:cstheme="majorBidi"/>
          <w:color w:val="000000"/>
          <w:shd w:val="clear" w:color="auto" w:fill="FFFFFF"/>
        </w:rPr>
        <w:t>s</w:t>
      </w:r>
      <w:r w:rsidR="00584E3B" w:rsidRPr="00E22B0B">
        <w:rPr>
          <w:rFonts w:asciiTheme="majorBidi" w:hAnsiTheme="majorBidi" w:cstheme="majorBidi"/>
          <w:color w:val="000000"/>
          <w:shd w:val="clear" w:color="auto" w:fill="FFFFFF"/>
        </w:rPr>
        <w:t xml:space="preserve"> ar ierobežotu atbildību</w:t>
      </w:r>
      <w:r w:rsidR="00584E3B">
        <w:rPr>
          <w:rFonts w:asciiTheme="majorBidi" w:hAnsiTheme="majorBidi" w:cstheme="majorBidi"/>
          <w:color w:val="000000"/>
          <w:shd w:val="clear" w:color="auto" w:fill="FFFFFF"/>
        </w:rPr>
        <w:t> </w:t>
      </w:r>
      <w:r w:rsidR="00584E3B" w:rsidRPr="00E22B0B">
        <w:rPr>
          <w:rFonts w:asciiTheme="majorBidi" w:hAnsiTheme="majorBidi" w:cstheme="majorBidi"/>
          <w:color w:val="000000"/>
          <w:shd w:val="clear" w:color="auto" w:fill="FFFFFF"/>
        </w:rPr>
        <w:t>„</w:t>
      </w:r>
      <w:r w:rsidR="00584E3B">
        <w:rPr>
          <w:rFonts w:asciiTheme="majorBidi" w:hAnsiTheme="majorBidi" w:cstheme="majorBidi"/>
          <w:color w:val="000000"/>
          <w:shd w:val="clear" w:color="auto" w:fill="FFFFFF"/>
        </w:rPr>
        <w:t>IunA gultņi</w:t>
      </w:r>
      <w:r w:rsidR="00584E3B" w:rsidRPr="00E22B0B">
        <w:rPr>
          <w:rFonts w:asciiTheme="majorBidi" w:hAnsiTheme="majorBidi" w:cstheme="majorBidi"/>
          <w:color w:val="000000"/>
          <w:shd w:val="clear" w:color="auto" w:fill="FFFFFF"/>
        </w:rPr>
        <w:t>”</w:t>
      </w:r>
      <w:r w:rsidR="00584E3B">
        <w:rPr>
          <w:rFonts w:asciiTheme="majorBidi" w:hAnsiTheme="majorBidi" w:cstheme="majorBidi"/>
          <w:color w:val="000000"/>
          <w:shd w:val="clear" w:color="auto" w:fill="FFFFFF"/>
        </w:rPr>
        <w:t xml:space="preserve"> pieteikumu par </w:t>
      </w:r>
      <w:r w:rsidR="00584E3B" w:rsidRPr="00BB4861">
        <w:rPr>
          <w:iCs/>
        </w:rPr>
        <w:t xml:space="preserve">Valsts ieņēmumu dienesta </w:t>
      </w:r>
      <w:r w:rsidR="00584E3B">
        <w:rPr>
          <w:iCs/>
        </w:rPr>
        <w:t xml:space="preserve">2018.gada 8.februāra </w:t>
      </w:r>
      <w:r w:rsidR="00584E3B" w:rsidRPr="00BB4861">
        <w:rPr>
          <w:iCs/>
        </w:rPr>
        <w:t>lēmum</w:t>
      </w:r>
      <w:r w:rsidR="00584E3B">
        <w:rPr>
          <w:iCs/>
        </w:rPr>
        <w:t>a</w:t>
      </w:r>
      <w:r w:rsidR="00584E3B" w:rsidRPr="00BB4861">
        <w:rPr>
          <w:iCs/>
        </w:rPr>
        <w:t xml:space="preserve"> </w:t>
      </w:r>
      <w:r w:rsidR="00584E3B" w:rsidRPr="00BC3481">
        <w:rPr>
          <w:iCs/>
        </w:rPr>
        <w:t>Nr.</w:t>
      </w:r>
      <w:r w:rsidR="00584E3B">
        <w:rPr>
          <w:iCs/>
        </w:rPr>
        <w:t> </w:t>
      </w:r>
      <w:r w:rsidR="00584E3B" w:rsidRPr="00BC3481">
        <w:rPr>
          <w:iCs/>
        </w:rPr>
        <w:t>30.2-22.7/594</w:t>
      </w:r>
      <w:r w:rsidR="00584E3B">
        <w:rPr>
          <w:iCs/>
        </w:rPr>
        <w:t xml:space="preserve"> atcelšanu daļā, sakarā ar </w:t>
      </w:r>
      <w:r w:rsidR="008943AC" w:rsidRPr="00E22B0B">
        <w:rPr>
          <w:rFonts w:asciiTheme="majorBidi" w:hAnsiTheme="majorBidi" w:cstheme="majorBidi"/>
          <w:color w:val="000000"/>
          <w:shd w:val="clear" w:color="auto" w:fill="FFFFFF"/>
        </w:rPr>
        <w:t>sabiedrība</w:t>
      </w:r>
      <w:r w:rsidR="008943AC">
        <w:rPr>
          <w:rFonts w:asciiTheme="majorBidi" w:hAnsiTheme="majorBidi" w:cstheme="majorBidi"/>
          <w:color w:val="000000"/>
          <w:shd w:val="clear" w:color="auto" w:fill="FFFFFF"/>
        </w:rPr>
        <w:t>s</w:t>
      </w:r>
      <w:r w:rsidR="008943AC" w:rsidRPr="00E22B0B">
        <w:rPr>
          <w:rFonts w:asciiTheme="majorBidi" w:hAnsiTheme="majorBidi" w:cstheme="majorBidi"/>
          <w:color w:val="000000"/>
          <w:shd w:val="clear" w:color="auto" w:fill="FFFFFF"/>
        </w:rPr>
        <w:t xml:space="preserve"> ar ierobežotu atbildību</w:t>
      </w:r>
      <w:r w:rsidR="008943AC">
        <w:rPr>
          <w:rFonts w:asciiTheme="majorBidi" w:hAnsiTheme="majorBidi" w:cstheme="majorBidi"/>
          <w:color w:val="000000"/>
          <w:shd w:val="clear" w:color="auto" w:fill="FFFFFF"/>
        </w:rPr>
        <w:t> </w:t>
      </w:r>
      <w:r w:rsidR="008943AC" w:rsidRPr="00E22B0B">
        <w:rPr>
          <w:rFonts w:asciiTheme="majorBidi" w:hAnsiTheme="majorBidi" w:cstheme="majorBidi"/>
          <w:color w:val="000000"/>
          <w:shd w:val="clear" w:color="auto" w:fill="FFFFFF"/>
        </w:rPr>
        <w:t>„</w:t>
      </w:r>
      <w:r w:rsidR="008943AC">
        <w:rPr>
          <w:rFonts w:asciiTheme="majorBidi" w:hAnsiTheme="majorBidi" w:cstheme="majorBidi"/>
          <w:color w:val="000000"/>
          <w:shd w:val="clear" w:color="auto" w:fill="FFFFFF"/>
        </w:rPr>
        <w:t>IunA gultņi</w:t>
      </w:r>
      <w:r w:rsidR="008943AC" w:rsidRPr="00E22B0B">
        <w:rPr>
          <w:rFonts w:asciiTheme="majorBidi" w:hAnsiTheme="majorBidi" w:cstheme="majorBidi"/>
          <w:color w:val="000000"/>
          <w:shd w:val="clear" w:color="auto" w:fill="FFFFFF"/>
        </w:rPr>
        <w:t>”</w:t>
      </w:r>
      <w:r w:rsidR="00584E3B">
        <w:rPr>
          <w:iCs/>
        </w:rPr>
        <w:t xml:space="preserve"> </w:t>
      </w:r>
      <w:r w:rsidR="00584E3B">
        <w:rPr>
          <w:rFonts w:asciiTheme="majorBidi" w:hAnsiTheme="majorBidi" w:cstheme="majorBidi"/>
          <w:color w:val="000000"/>
          <w:shd w:val="clear" w:color="auto" w:fill="FFFFFF"/>
        </w:rPr>
        <w:t xml:space="preserve">kasācijas sūdzību </w:t>
      </w:r>
      <w:r w:rsidR="00584E3B">
        <w:rPr>
          <w:bCs/>
        </w:rPr>
        <w:t xml:space="preserve">par </w:t>
      </w:r>
      <w:r w:rsidR="00584E3B" w:rsidRPr="00E30688">
        <w:t>Administratīvās apgabaltiesas 202</w:t>
      </w:r>
      <w:r w:rsidR="00584E3B">
        <w:t>4</w:t>
      </w:r>
      <w:r w:rsidR="00584E3B" w:rsidRPr="00E30688">
        <w:t xml:space="preserve">.gada </w:t>
      </w:r>
      <w:r w:rsidR="00584E3B">
        <w:t>15</w:t>
      </w:r>
      <w:r w:rsidR="00584E3B" w:rsidRPr="00E30688">
        <w:t>.</w:t>
      </w:r>
      <w:r w:rsidR="00584E3B">
        <w:t>februāra</w:t>
      </w:r>
      <w:r w:rsidR="00584E3B" w:rsidRPr="00E30688">
        <w:t xml:space="preserve"> spriedumu</w:t>
      </w:r>
      <w:r w:rsidR="00584E3B">
        <w:t xml:space="preserve"> daļā</w:t>
      </w:r>
      <w:r w:rsidR="00EC67DC">
        <w:t>.</w:t>
      </w:r>
    </w:p>
    <w:p w14:paraId="629EA860" w14:textId="77777777" w:rsidR="0078394D" w:rsidRDefault="0078394D" w:rsidP="00663F90">
      <w:pPr>
        <w:spacing w:line="276" w:lineRule="auto"/>
        <w:ind w:firstLine="720"/>
        <w:jc w:val="both"/>
        <w:rPr>
          <w:rFonts w:eastAsiaTheme="minorHAnsi"/>
          <w:lang w:eastAsia="en-US"/>
        </w:rPr>
      </w:pPr>
    </w:p>
    <w:p w14:paraId="2B79C98E" w14:textId="77777777" w:rsidR="008B7CCD" w:rsidRDefault="008B7CCD" w:rsidP="00663F90">
      <w:pPr>
        <w:pStyle w:val="ATvirsraksts"/>
        <w:contextualSpacing/>
      </w:pPr>
      <w:r w:rsidRPr="00EC00F0">
        <w:t>Aprakstošā daļa</w:t>
      </w:r>
    </w:p>
    <w:p w14:paraId="5B040BB3" w14:textId="77777777" w:rsidR="000766E6" w:rsidRPr="00EC00F0" w:rsidRDefault="000766E6" w:rsidP="00663F90">
      <w:pPr>
        <w:pStyle w:val="ATvirsraksts"/>
        <w:contextualSpacing/>
      </w:pPr>
    </w:p>
    <w:p w14:paraId="54C3FD12" w14:textId="77777777" w:rsidR="00C52431" w:rsidRDefault="00C52431" w:rsidP="00663F90">
      <w:pPr>
        <w:pStyle w:val="NormalWeb"/>
        <w:shd w:val="clear" w:color="auto" w:fill="FFFFFF"/>
        <w:spacing w:line="276" w:lineRule="auto"/>
        <w:ind w:firstLine="720"/>
        <w:jc w:val="both"/>
        <w:rPr>
          <w:i/>
          <w:iCs/>
          <w:shd w:val="clear" w:color="auto" w:fill="FFFFFF"/>
        </w:rPr>
      </w:pPr>
      <w:r w:rsidRPr="00F624DD">
        <w:rPr>
          <w:i/>
          <w:iCs/>
          <w:shd w:val="clear" w:color="auto" w:fill="FFFFFF"/>
        </w:rPr>
        <w:t>Lietas apstākļi</w:t>
      </w:r>
    </w:p>
    <w:p w14:paraId="5CD8B979" w14:textId="4921A969" w:rsidR="00B8015C" w:rsidRDefault="008B7CCD" w:rsidP="00663F90">
      <w:pPr>
        <w:autoSpaceDE w:val="0"/>
        <w:autoSpaceDN w:val="0"/>
        <w:adjustRightInd w:val="0"/>
        <w:spacing w:line="276" w:lineRule="auto"/>
        <w:ind w:firstLine="720"/>
        <w:jc w:val="both"/>
      </w:pPr>
      <w:r w:rsidRPr="00682FC0">
        <w:t>[1]</w:t>
      </w:r>
      <w:r w:rsidR="00AF299F">
        <w:t> </w:t>
      </w:r>
      <w:r w:rsidR="00B43F2F">
        <w:t>Valsts ieņēmumu dienests</w:t>
      </w:r>
      <w:r w:rsidR="00620A6B" w:rsidRPr="00620A6B">
        <w:t xml:space="preserve"> </w:t>
      </w:r>
      <w:r w:rsidR="008B4082">
        <w:t xml:space="preserve">veica </w:t>
      </w:r>
      <w:r w:rsidR="00B8015C">
        <w:t xml:space="preserve">pieteicējai </w:t>
      </w:r>
      <w:r w:rsidR="008943AC" w:rsidRPr="00E22B0B">
        <w:rPr>
          <w:rFonts w:asciiTheme="majorBidi" w:hAnsiTheme="majorBidi" w:cstheme="majorBidi"/>
          <w:color w:val="000000"/>
          <w:shd w:val="clear" w:color="auto" w:fill="FFFFFF"/>
        </w:rPr>
        <w:t>sabiedrība</w:t>
      </w:r>
      <w:r w:rsidR="008943AC">
        <w:rPr>
          <w:rFonts w:asciiTheme="majorBidi" w:hAnsiTheme="majorBidi" w:cstheme="majorBidi"/>
          <w:color w:val="000000"/>
          <w:shd w:val="clear" w:color="auto" w:fill="FFFFFF"/>
        </w:rPr>
        <w:t>i</w:t>
      </w:r>
      <w:r w:rsidR="008943AC" w:rsidRPr="00E22B0B">
        <w:rPr>
          <w:rFonts w:asciiTheme="majorBidi" w:hAnsiTheme="majorBidi" w:cstheme="majorBidi"/>
          <w:color w:val="000000"/>
          <w:shd w:val="clear" w:color="auto" w:fill="FFFFFF"/>
        </w:rPr>
        <w:t xml:space="preserve"> ar ierobežotu atbildību</w:t>
      </w:r>
      <w:r w:rsidR="008943AC">
        <w:rPr>
          <w:rFonts w:asciiTheme="majorBidi" w:hAnsiTheme="majorBidi" w:cstheme="majorBidi"/>
          <w:color w:val="000000"/>
          <w:shd w:val="clear" w:color="auto" w:fill="FFFFFF"/>
        </w:rPr>
        <w:t> </w:t>
      </w:r>
      <w:r w:rsidR="008943AC" w:rsidRPr="00E22B0B">
        <w:rPr>
          <w:rFonts w:asciiTheme="majorBidi" w:hAnsiTheme="majorBidi" w:cstheme="majorBidi"/>
          <w:color w:val="000000"/>
          <w:shd w:val="clear" w:color="auto" w:fill="FFFFFF"/>
        </w:rPr>
        <w:t>„</w:t>
      </w:r>
      <w:r w:rsidR="008943AC">
        <w:rPr>
          <w:rFonts w:asciiTheme="majorBidi" w:hAnsiTheme="majorBidi" w:cstheme="majorBidi"/>
          <w:color w:val="000000"/>
          <w:shd w:val="clear" w:color="auto" w:fill="FFFFFF"/>
        </w:rPr>
        <w:t>IunA gultņi</w:t>
      </w:r>
      <w:r w:rsidR="008943AC" w:rsidRPr="00E22B0B">
        <w:rPr>
          <w:rFonts w:asciiTheme="majorBidi" w:hAnsiTheme="majorBidi" w:cstheme="majorBidi"/>
          <w:color w:val="000000"/>
          <w:shd w:val="clear" w:color="auto" w:fill="FFFFFF"/>
        </w:rPr>
        <w:t>”</w:t>
      </w:r>
      <w:r w:rsidR="008943AC">
        <w:rPr>
          <w:rFonts w:asciiTheme="majorBidi" w:hAnsiTheme="majorBidi" w:cstheme="majorBidi"/>
          <w:color w:val="000000"/>
          <w:shd w:val="clear" w:color="auto" w:fill="FFFFFF"/>
        </w:rPr>
        <w:t xml:space="preserve"> </w:t>
      </w:r>
      <w:r w:rsidR="00B8015C">
        <w:t xml:space="preserve">pievienotās vērtības nodokļa auditu par </w:t>
      </w:r>
      <w:r w:rsidR="00A77BA9">
        <w:t>laik</w:t>
      </w:r>
      <w:r w:rsidR="00E77760">
        <w:t>u</w:t>
      </w:r>
      <w:r w:rsidR="00A77BA9">
        <w:t xml:space="preserve"> no </w:t>
      </w:r>
      <w:r w:rsidR="00B8015C">
        <w:t>2015.gada janvār</w:t>
      </w:r>
      <w:r w:rsidR="00A77BA9">
        <w:t>a</w:t>
      </w:r>
      <w:r w:rsidR="00B8015C">
        <w:t xml:space="preserve"> </w:t>
      </w:r>
      <w:r w:rsidR="00A77BA9">
        <w:t xml:space="preserve">līdz </w:t>
      </w:r>
      <w:r w:rsidR="00B8015C">
        <w:t>2016.gada septembri</w:t>
      </w:r>
      <w:r w:rsidR="00A77BA9">
        <w:t>m</w:t>
      </w:r>
      <w:r w:rsidR="00B8015C">
        <w:t xml:space="preserve"> un uzņēmumu ienākuma nodokļa auditu par 2015.gadu.</w:t>
      </w:r>
      <w:r w:rsidR="00951ED6">
        <w:t xml:space="preserve"> </w:t>
      </w:r>
    </w:p>
    <w:p w14:paraId="7AEA3E3C" w14:textId="14AE40A7" w:rsidR="00951ED6" w:rsidRPr="00951ED6" w:rsidRDefault="00951ED6" w:rsidP="00663F90">
      <w:pPr>
        <w:tabs>
          <w:tab w:val="left" w:pos="540"/>
          <w:tab w:val="left" w:pos="720"/>
        </w:tabs>
        <w:spacing w:line="276" w:lineRule="auto"/>
        <w:ind w:firstLine="720"/>
        <w:jc w:val="both"/>
        <w:rPr>
          <w:rFonts w:asciiTheme="majorBidi" w:hAnsiTheme="majorBidi" w:cstheme="majorBidi"/>
        </w:rPr>
      </w:pPr>
      <w:r>
        <w:rPr>
          <w:rFonts w:asciiTheme="majorBidi" w:hAnsiTheme="majorBidi" w:cstheme="majorBidi"/>
        </w:rPr>
        <w:t xml:space="preserve">Administratīvais process iestādē noslēdzās ar Valsts ieņēmumu dienesta </w:t>
      </w:r>
      <w:r>
        <w:rPr>
          <w:iCs/>
        </w:rPr>
        <w:t xml:space="preserve">2018.gada 8.februāra </w:t>
      </w:r>
      <w:r w:rsidRPr="00BB4861">
        <w:rPr>
          <w:iCs/>
        </w:rPr>
        <w:t>lēmum</w:t>
      </w:r>
      <w:r>
        <w:rPr>
          <w:iCs/>
        </w:rPr>
        <w:t>u</w:t>
      </w:r>
      <w:r w:rsidRPr="00BB4861">
        <w:rPr>
          <w:iCs/>
        </w:rPr>
        <w:t xml:space="preserve"> </w:t>
      </w:r>
      <w:r w:rsidRPr="00BC3481">
        <w:rPr>
          <w:iCs/>
        </w:rPr>
        <w:t>Nr.</w:t>
      </w:r>
      <w:r>
        <w:rPr>
          <w:iCs/>
        </w:rPr>
        <w:t> </w:t>
      </w:r>
      <w:r w:rsidRPr="00BC3481">
        <w:rPr>
          <w:iCs/>
        </w:rPr>
        <w:t>30.2-22.7/594</w:t>
      </w:r>
      <w:r>
        <w:rPr>
          <w:iCs/>
        </w:rPr>
        <w:t xml:space="preserve">, </w:t>
      </w:r>
      <w:r w:rsidR="008943AC">
        <w:rPr>
          <w:iCs/>
        </w:rPr>
        <w:t>ar kuru</w:t>
      </w:r>
      <w:r>
        <w:rPr>
          <w:iCs/>
        </w:rPr>
        <w:t xml:space="preserve"> </w:t>
      </w:r>
      <w:r w:rsidR="0068097E">
        <w:rPr>
          <w:iCs/>
        </w:rPr>
        <w:t>cit</w:t>
      </w:r>
      <w:r>
        <w:rPr>
          <w:iCs/>
        </w:rPr>
        <w:t>starp atzīts</w:t>
      </w:r>
      <w:r>
        <w:rPr>
          <w:rFonts w:asciiTheme="majorBidi" w:hAnsiTheme="majorBidi" w:cstheme="majorBidi"/>
        </w:rPr>
        <w:t xml:space="preserve">, ka </w:t>
      </w:r>
      <w:r>
        <w:t xml:space="preserve">pieteicējas </w:t>
      </w:r>
      <w:r w:rsidR="003807E6">
        <w:t xml:space="preserve">2015.gada jūnijā un augustā </w:t>
      </w:r>
      <w:r>
        <w:t>deklarētie darījumi par kombain</w:t>
      </w:r>
      <w:r w:rsidR="00430C47">
        <w:t>u</w:t>
      </w:r>
      <w:r>
        <w:t xml:space="preserve"> siksnu un lineāro gultņu iegādi no SIA „IMEKSPO” faktiski nav notikuši atbilstoši darījumu dokumentiem un pieteicēja</w:t>
      </w:r>
      <w:r w:rsidR="005F217C">
        <w:t>i</w:t>
      </w:r>
      <w:r>
        <w:t xml:space="preserve"> par to </w:t>
      </w:r>
      <w:r w:rsidR="00832B22">
        <w:t>vajadzēja zināt</w:t>
      </w:r>
      <w:r>
        <w:t>. Tāpēc dienests ierobežoja pieteicējas tiesības atskaitīt pievienotās vērtības nodokli par šiem darījumiem, kā arī noteica papildu samaksai budžetā uzņēmumu ienākuma nodokli un soda naudu.</w:t>
      </w:r>
    </w:p>
    <w:p w14:paraId="794732BD" w14:textId="060B65F5" w:rsidR="00795839" w:rsidRPr="00E302C2" w:rsidRDefault="00795839" w:rsidP="00663F90">
      <w:pPr>
        <w:autoSpaceDE w:val="0"/>
        <w:autoSpaceDN w:val="0"/>
        <w:adjustRightInd w:val="0"/>
        <w:spacing w:line="276" w:lineRule="auto"/>
        <w:ind w:firstLine="720"/>
        <w:jc w:val="both"/>
        <w:rPr>
          <w:rFonts w:asciiTheme="majorBidi" w:eastAsiaTheme="minorHAnsi" w:hAnsiTheme="majorBidi" w:cstheme="majorBidi"/>
          <w:lang w:eastAsia="en-US"/>
        </w:rPr>
      </w:pPr>
      <w:r w:rsidRPr="00682FC0">
        <w:rPr>
          <w:rFonts w:eastAsiaTheme="minorHAnsi"/>
          <w:lang w:eastAsia="en-US"/>
        </w:rPr>
        <w:t>Pieteicēj</w:t>
      </w:r>
      <w:r w:rsidR="003807E6">
        <w:rPr>
          <w:rFonts w:eastAsiaTheme="minorHAnsi"/>
          <w:lang w:eastAsia="en-US"/>
        </w:rPr>
        <w:t>a</w:t>
      </w:r>
      <w:r w:rsidRPr="00682FC0">
        <w:rPr>
          <w:rFonts w:eastAsiaTheme="minorHAnsi"/>
          <w:lang w:eastAsia="en-US"/>
        </w:rPr>
        <w:t xml:space="preserve"> </w:t>
      </w:r>
      <w:r>
        <w:rPr>
          <w:rFonts w:eastAsiaTheme="minorHAnsi"/>
          <w:lang w:eastAsia="en-US"/>
        </w:rPr>
        <w:t>iesniedza tiesā pieteikumu</w:t>
      </w:r>
      <w:r w:rsidR="002F618C">
        <w:rPr>
          <w:rFonts w:eastAsiaTheme="minorHAnsi"/>
          <w:lang w:eastAsia="en-US"/>
        </w:rPr>
        <w:t>,</w:t>
      </w:r>
      <w:r w:rsidR="003807E6">
        <w:rPr>
          <w:rFonts w:eastAsiaTheme="minorHAnsi"/>
          <w:lang w:eastAsia="en-US"/>
        </w:rPr>
        <w:t xml:space="preserve"> </w:t>
      </w:r>
      <w:r w:rsidR="005D63FF">
        <w:rPr>
          <w:rFonts w:eastAsiaTheme="minorHAnsi"/>
          <w:lang w:eastAsia="en-US"/>
        </w:rPr>
        <w:t>citstarp pārsūdzot Valsts ieņēmumu dienesta lēmumu</w:t>
      </w:r>
      <w:r w:rsidR="002F618C">
        <w:rPr>
          <w:rFonts w:eastAsiaTheme="minorHAnsi"/>
          <w:lang w:eastAsia="en-US"/>
        </w:rPr>
        <w:t xml:space="preserve"> </w:t>
      </w:r>
      <w:r w:rsidR="003807E6">
        <w:rPr>
          <w:rFonts w:eastAsiaTheme="minorHAnsi"/>
          <w:lang w:eastAsia="en-US"/>
        </w:rPr>
        <w:t xml:space="preserve">daļā, kas attiecas </w:t>
      </w:r>
      <w:r w:rsidR="005D63FF">
        <w:rPr>
          <w:rFonts w:eastAsiaTheme="minorHAnsi"/>
          <w:lang w:eastAsia="en-US"/>
        </w:rPr>
        <w:t xml:space="preserve">uz </w:t>
      </w:r>
      <w:r w:rsidR="003807E6">
        <w:rPr>
          <w:iCs/>
        </w:rPr>
        <w:t>pieteicējas darījumiem ar SIA ,,IMEKSPO”</w:t>
      </w:r>
      <w:r>
        <w:rPr>
          <w:rFonts w:eastAsiaTheme="minorHAnsi"/>
          <w:lang w:eastAsia="en-US"/>
        </w:rPr>
        <w:t>.</w:t>
      </w:r>
    </w:p>
    <w:p w14:paraId="70BC225D" w14:textId="77777777" w:rsidR="00902187" w:rsidRDefault="00902187" w:rsidP="00663F90">
      <w:pPr>
        <w:autoSpaceDE w:val="0"/>
        <w:autoSpaceDN w:val="0"/>
        <w:adjustRightInd w:val="0"/>
        <w:spacing w:line="276" w:lineRule="auto"/>
        <w:ind w:firstLine="720"/>
        <w:jc w:val="both"/>
        <w:rPr>
          <w:rFonts w:asciiTheme="majorBidi" w:eastAsiaTheme="minorHAnsi" w:hAnsiTheme="majorBidi" w:cstheme="majorBidi"/>
          <w:lang w:eastAsia="en-US"/>
        </w:rPr>
      </w:pPr>
    </w:p>
    <w:p w14:paraId="022BB8BE" w14:textId="77777777" w:rsidR="00C52431" w:rsidRPr="00AE1BF2" w:rsidRDefault="00C52431" w:rsidP="00663F90">
      <w:pPr>
        <w:pStyle w:val="NormalWeb"/>
        <w:shd w:val="clear" w:color="auto" w:fill="FFFFFF"/>
        <w:spacing w:line="276" w:lineRule="auto"/>
        <w:ind w:firstLine="720"/>
        <w:jc w:val="both"/>
        <w:rPr>
          <w:i/>
          <w:iCs/>
          <w:shd w:val="clear" w:color="auto" w:fill="FFFFFF"/>
        </w:rPr>
      </w:pPr>
      <w:r w:rsidRPr="00AE1BF2">
        <w:rPr>
          <w:i/>
          <w:iCs/>
          <w:shd w:val="clear" w:color="auto" w:fill="FFFFFF"/>
        </w:rPr>
        <w:t>Apelācijas instances tiesas spriedums</w:t>
      </w:r>
    </w:p>
    <w:p w14:paraId="18401A90" w14:textId="0CCEBF47" w:rsidR="00550CD7" w:rsidRPr="00550CD7" w:rsidRDefault="00A17711" w:rsidP="00663F90">
      <w:pPr>
        <w:autoSpaceDE w:val="0"/>
        <w:autoSpaceDN w:val="0"/>
        <w:adjustRightInd w:val="0"/>
        <w:spacing w:line="276" w:lineRule="auto"/>
        <w:ind w:firstLine="720"/>
        <w:jc w:val="both"/>
        <w:rPr>
          <w:rFonts w:eastAsiaTheme="minorHAnsi"/>
          <w:lang w:eastAsia="en-US"/>
        </w:rPr>
      </w:pPr>
      <w:r w:rsidRPr="00682FC0">
        <w:rPr>
          <w:rFonts w:eastAsiaTheme="minorHAnsi"/>
          <w:lang w:eastAsia="en-US"/>
        </w:rPr>
        <w:t>[2]</w:t>
      </w:r>
      <w:r w:rsidR="00AF299F">
        <w:rPr>
          <w:rFonts w:eastAsiaTheme="minorHAnsi"/>
          <w:lang w:eastAsia="en-US"/>
        </w:rPr>
        <w:t> </w:t>
      </w:r>
      <w:r w:rsidR="00550CD7" w:rsidRPr="005B68BC">
        <w:t>Admin</w:t>
      </w:r>
      <w:r w:rsidR="00550CD7">
        <w:t>istratīvā apgabaltiesa</w:t>
      </w:r>
      <w:r w:rsidR="003807E6">
        <w:t xml:space="preserve"> </w:t>
      </w:r>
      <w:r w:rsidR="00550CD7">
        <w:t xml:space="preserve">ar </w:t>
      </w:r>
      <w:r w:rsidR="00513053" w:rsidRPr="00EC00F0">
        <w:rPr>
          <w:rFonts w:eastAsiaTheme="minorHAnsi"/>
          <w:lang w:eastAsia="en-US"/>
        </w:rPr>
        <w:t>202</w:t>
      </w:r>
      <w:r w:rsidR="003807E6">
        <w:rPr>
          <w:rFonts w:eastAsiaTheme="minorHAnsi"/>
          <w:lang w:eastAsia="en-US"/>
        </w:rPr>
        <w:t>4</w:t>
      </w:r>
      <w:r w:rsidR="00513053" w:rsidRPr="00EC00F0">
        <w:rPr>
          <w:rFonts w:eastAsiaTheme="minorHAnsi"/>
          <w:lang w:eastAsia="en-US"/>
        </w:rPr>
        <w:t xml:space="preserve">.gada </w:t>
      </w:r>
      <w:r w:rsidR="003807E6">
        <w:rPr>
          <w:rFonts w:eastAsiaTheme="minorHAnsi"/>
          <w:lang w:eastAsia="en-US"/>
        </w:rPr>
        <w:t>15</w:t>
      </w:r>
      <w:r w:rsidR="00513053" w:rsidRPr="00EC00F0">
        <w:rPr>
          <w:rFonts w:eastAsiaTheme="minorHAnsi"/>
          <w:lang w:eastAsia="en-US"/>
        </w:rPr>
        <w:t>.</w:t>
      </w:r>
      <w:r w:rsidR="003807E6">
        <w:rPr>
          <w:rFonts w:eastAsiaTheme="minorHAnsi"/>
          <w:lang w:eastAsia="en-US"/>
        </w:rPr>
        <w:t>februāra</w:t>
      </w:r>
      <w:r w:rsidR="00513053" w:rsidRPr="00EC00F0">
        <w:rPr>
          <w:rFonts w:eastAsiaTheme="minorHAnsi"/>
          <w:lang w:eastAsia="en-US"/>
        </w:rPr>
        <w:t xml:space="preserve"> </w:t>
      </w:r>
      <w:r w:rsidR="00550CD7" w:rsidRPr="005B68BC">
        <w:t>spriedumu pieteikumu</w:t>
      </w:r>
      <w:r w:rsidR="008943AC">
        <w:t xml:space="preserve"> par pārsūdzētā lēmuma atcelšanu daļā</w:t>
      </w:r>
      <w:r w:rsidR="003807E6">
        <w:t xml:space="preserve">, </w:t>
      </w:r>
      <w:r w:rsidR="00753A6B">
        <w:rPr>
          <w:rFonts w:eastAsiaTheme="minorHAnsi"/>
          <w:lang w:eastAsia="en-US"/>
        </w:rPr>
        <w:t>kas attiecas uz</w:t>
      </w:r>
      <w:r w:rsidR="003807E6">
        <w:rPr>
          <w:rFonts w:eastAsiaTheme="minorHAnsi"/>
          <w:lang w:eastAsia="en-US"/>
        </w:rPr>
        <w:t xml:space="preserve"> </w:t>
      </w:r>
      <w:r w:rsidR="003807E6">
        <w:rPr>
          <w:iCs/>
        </w:rPr>
        <w:t>pieteicējas darījumiem ar SIA ,,IMEKSPO”,</w:t>
      </w:r>
      <w:r w:rsidR="003807E6">
        <w:t xml:space="preserve"> </w:t>
      </w:r>
      <w:r w:rsidR="00550CD7" w:rsidRPr="005B68BC">
        <w:t>noraidīja</w:t>
      </w:r>
      <w:r w:rsidR="00450CEA">
        <w:t xml:space="preserve">, </w:t>
      </w:r>
      <w:r w:rsidR="00550CD7" w:rsidRPr="005B68BC">
        <w:t>pamato</w:t>
      </w:r>
      <w:r w:rsidR="00620A6B">
        <w:t>j</w:t>
      </w:r>
      <w:r w:rsidR="00450CEA">
        <w:t>oties uz</w:t>
      </w:r>
      <w:r w:rsidR="00550CD7" w:rsidRPr="005B68BC">
        <w:t xml:space="preserve"> turpmāk minētajiem argumentiem.</w:t>
      </w:r>
    </w:p>
    <w:p w14:paraId="2EC76AEE" w14:textId="1BA4BCCF" w:rsidR="005F217C" w:rsidRDefault="00E734A1" w:rsidP="00663F90">
      <w:pPr>
        <w:autoSpaceDE w:val="0"/>
        <w:autoSpaceDN w:val="0"/>
        <w:adjustRightInd w:val="0"/>
        <w:spacing w:line="276" w:lineRule="auto"/>
        <w:ind w:firstLine="720"/>
        <w:jc w:val="both"/>
      </w:pPr>
      <w:r>
        <w:rPr>
          <w:rFonts w:eastAsiaTheme="minorHAnsi"/>
          <w:lang w:eastAsia="en-US"/>
        </w:rPr>
        <w:t>[</w:t>
      </w:r>
      <w:r w:rsidR="00E816B6">
        <w:rPr>
          <w:rFonts w:eastAsiaTheme="minorHAnsi"/>
          <w:lang w:eastAsia="en-US"/>
        </w:rPr>
        <w:t>2</w:t>
      </w:r>
      <w:r>
        <w:rPr>
          <w:rFonts w:eastAsiaTheme="minorHAnsi"/>
          <w:lang w:eastAsia="en-US"/>
        </w:rPr>
        <w:t>.1]</w:t>
      </w:r>
      <w:r w:rsidR="00AF299F">
        <w:rPr>
          <w:rFonts w:eastAsiaTheme="minorHAnsi"/>
          <w:lang w:eastAsia="en-US"/>
        </w:rPr>
        <w:t> </w:t>
      </w:r>
      <w:r w:rsidR="008943AC">
        <w:rPr>
          <w:rFonts w:eastAsiaTheme="minorHAnsi"/>
          <w:lang w:eastAsia="en-US"/>
        </w:rPr>
        <w:t>Valsts ieņēmumu d</w:t>
      </w:r>
      <w:r w:rsidR="00DF3202">
        <w:t xml:space="preserve">ienesta iegūtā informācija par SIA „IMEKSPO” neliecina par tās reālu saimniecisko darbību, bet liecina par fiktīvu darbību un iesaisti ar pievienotās vērtības nodokļa krāpšanu saistītās shēmās. Proti, uzņēmumam nebija ne </w:t>
      </w:r>
      <w:r w:rsidR="00DF3202">
        <w:lastRenderedPageBreak/>
        <w:t>darbinieku (tikai viens darba ņēmējs – valdes loceklis), ne deklarētajam darbības veidam atbilstoša</w:t>
      </w:r>
      <w:r w:rsidR="005D63FF">
        <w:t>s</w:t>
      </w:r>
      <w:r w:rsidR="00DF3202">
        <w:t xml:space="preserve"> materiāltehniskā</w:t>
      </w:r>
      <w:r w:rsidR="005D63FF">
        <w:t>s</w:t>
      </w:r>
      <w:r w:rsidR="00DF3202">
        <w:t xml:space="preserve"> bāze</w:t>
      </w:r>
      <w:r w:rsidR="005D63FF">
        <w:t>s</w:t>
      </w:r>
      <w:r w:rsidR="00DF3202">
        <w:t xml:space="preserve"> – nebija transportlīdzekļu, nebija reāla biroja, ne arī telpu preču apritei. SIA „IMEKSPO” juridiskās adreses norādīšanai Duntes ielā 15A</w:t>
      </w:r>
      <w:r w:rsidR="00A7118B">
        <w:t>, Rīgā</w:t>
      </w:r>
      <w:r w:rsidR="0068097E">
        <w:t>,</w:t>
      </w:r>
      <w:r w:rsidR="00DF3202">
        <w:t xml:space="preserve"> kopš 2015.gada 1.februāra nebija tiesiska pamata. Lietā nav konstatējami pierādījumi faktam, ka SIA „IMEKSPO” ir bijusi saistība ar lauksaimniecības tehnikas vai ražošanas iekārtu detaļu tirdzniecību. No informācijas par SIA „IMEKSPO” iegādes darījumiem nav konstatējama saikne ar apstrīdētajiem darījumiem. Arī SIA „IMEKSPO” deklarētājiem preču piegādātājiem ir konstatējamas fiktīvu uzņēmumu pazīmes, kas liecina, ka šo komercsabiedrību starpā nav notikuši patiesi darījumi, bet ir veidotas mākslīgu darījumu ķēdes. </w:t>
      </w:r>
      <w:r w:rsidR="005F217C">
        <w:t>Turklāt SIA „IMEKSPO” amatpersonas paraksts</w:t>
      </w:r>
      <w:r w:rsidR="0068097E">
        <w:t>, kas ietverts</w:t>
      </w:r>
      <w:r w:rsidR="005F217C">
        <w:t xml:space="preserve"> </w:t>
      </w:r>
      <w:r w:rsidR="0068097E">
        <w:t xml:space="preserve">Valsts ieņēmumu dienestam adresētajā vēstulē, </w:t>
      </w:r>
      <w:r w:rsidR="005F217C">
        <w:t xml:space="preserve">acīmredzami atšķiras no </w:t>
      </w:r>
      <w:r w:rsidR="0068097E">
        <w:t xml:space="preserve">paraksta, kas ietverts </w:t>
      </w:r>
      <w:r w:rsidR="005F217C">
        <w:t xml:space="preserve">SIA „IMEKSPO” vārdā izrakstītajās preču pavadzīmēs. Minētais rada šaubas, vai preču pavadzīmes ir parakstījusi persona, kura tajās norādīta, kas papildus liek apšaubīt darījumu patiesumu. </w:t>
      </w:r>
    </w:p>
    <w:p w14:paraId="639D8F45" w14:textId="19DC1C42" w:rsidR="003807E6" w:rsidRPr="00A65948" w:rsidRDefault="00DF3202" w:rsidP="00663F90">
      <w:pPr>
        <w:autoSpaceDE w:val="0"/>
        <w:autoSpaceDN w:val="0"/>
        <w:adjustRightInd w:val="0"/>
        <w:spacing w:line="276" w:lineRule="auto"/>
        <w:ind w:firstLine="720"/>
        <w:jc w:val="both"/>
      </w:pPr>
      <w:r w:rsidRPr="00A65948">
        <w:t xml:space="preserve">Pastāvot šādiem apstākļiem, nav iespējams identificēt strīdus preču izcelsmi </w:t>
      </w:r>
      <w:r w:rsidR="0068097E">
        <w:t xml:space="preserve">un </w:t>
      </w:r>
      <w:r w:rsidRPr="00A65948">
        <w:t>SIA „IMEKSPO” rīcībā nevarēja būt preces, kas saskaņā ar strīdus pavadzīmēm noformētas kā piegādātas pieteicējai.</w:t>
      </w:r>
    </w:p>
    <w:p w14:paraId="5A7B0B6E" w14:textId="12928373" w:rsidR="00483114" w:rsidRPr="00A65948" w:rsidRDefault="009B7EE3" w:rsidP="00663F90">
      <w:pPr>
        <w:autoSpaceDE w:val="0"/>
        <w:autoSpaceDN w:val="0"/>
        <w:adjustRightInd w:val="0"/>
        <w:spacing w:line="276" w:lineRule="auto"/>
        <w:ind w:firstLine="720"/>
        <w:jc w:val="both"/>
      </w:pPr>
      <w:r w:rsidRPr="00A65948">
        <w:t>[2.2]</w:t>
      </w:r>
      <w:r w:rsidR="00AF299F">
        <w:t> </w:t>
      </w:r>
      <w:r w:rsidR="000D115F" w:rsidRPr="00A65948">
        <w:t>Turklāt d</w:t>
      </w:r>
      <w:r w:rsidR="007B65F4" w:rsidRPr="00A65948">
        <w:t xml:space="preserve">arījumi ar SIA „IMEKSPO” neatbilst pieteicējas ierastajai </w:t>
      </w:r>
      <w:r w:rsidR="00B670AE" w:rsidRPr="00A65948">
        <w:t>komerc</w:t>
      </w:r>
      <w:r w:rsidR="00B670AE">
        <w:t xml:space="preserve">iālajai </w:t>
      </w:r>
      <w:r w:rsidR="007B65F4" w:rsidRPr="00A65948">
        <w:t>praksei</w:t>
      </w:r>
      <w:r w:rsidR="00FC474E" w:rsidRPr="00A65948">
        <w:t>, proti, parasti pieteicēja</w:t>
      </w:r>
      <w:r w:rsidR="00C9531C" w:rsidRPr="00A65948">
        <w:t xml:space="preserve"> iegādā</w:t>
      </w:r>
      <w:r w:rsidR="00FC474E" w:rsidRPr="00A65948">
        <w:t>jas</w:t>
      </w:r>
      <w:r w:rsidR="00C9531C" w:rsidRPr="00A65948">
        <w:t xml:space="preserve"> preces pa tiešo no ražotājiem</w:t>
      </w:r>
      <w:r w:rsidR="007B65F4" w:rsidRPr="00A65948">
        <w:t xml:space="preserve">, ko apliecina arī lietā esošās </w:t>
      </w:r>
      <w:r w:rsidR="000D115F" w:rsidRPr="00A65948">
        <w:t xml:space="preserve">pieteicējas </w:t>
      </w:r>
      <w:r w:rsidR="007B65F4" w:rsidRPr="00A65948">
        <w:t>pievienotās vērtības nodokļa deklarācijas</w:t>
      </w:r>
      <w:r w:rsidRPr="00A65948">
        <w:t>.</w:t>
      </w:r>
      <w:r w:rsidR="00483114" w:rsidRPr="00A65948">
        <w:t xml:space="preserve"> </w:t>
      </w:r>
      <w:r w:rsidR="007B65F4" w:rsidRPr="00A65948">
        <w:t xml:space="preserve">Līdz ar to pieteicējai būtu jāspēj ticami izskaidrot, kāpēc 2015.gada jūnijā pieteicēja izvēlējusies </w:t>
      </w:r>
      <w:r w:rsidRPr="00A65948">
        <w:t>traktoru</w:t>
      </w:r>
      <w:r w:rsidR="007B65F4" w:rsidRPr="00A65948">
        <w:t xml:space="preserve"> siksnas lielā vairumā iegādāties no konkrētajā nozarē nezināmas Latvijas komercsabiedrības. </w:t>
      </w:r>
    </w:p>
    <w:p w14:paraId="582B3B00" w14:textId="0AEB533C" w:rsidR="007B65F4" w:rsidRPr="00A65948" w:rsidRDefault="007B65F4" w:rsidP="00663F90">
      <w:pPr>
        <w:autoSpaceDE w:val="0"/>
        <w:autoSpaceDN w:val="0"/>
        <w:adjustRightInd w:val="0"/>
        <w:spacing w:line="276" w:lineRule="auto"/>
        <w:ind w:firstLine="720"/>
        <w:jc w:val="both"/>
      </w:pPr>
      <w:r w:rsidRPr="00A65948">
        <w:t xml:space="preserve">Kā paskaidro pieteicēja, strīdus preces tikušas iegādātas, lai nepieļautu iespējamu jaunu konkurentu ienākšanu tirgū, piedāvājot preci par pazeminātu cenu. </w:t>
      </w:r>
      <w:r w:rsidR="009B7EE3" w:rsidRPr="00A65948">
        <w:t>Tomēr š</w:t>
      </w:r>
      <w:r w:rsidRPr="00A65948">
        <w:t>āds pieteicējas paskaidrojums bez pierādījumiem, ka SIA</w:t>
      </w:r>
      <w:r w:rsidR="009B7EE3" w:rsidRPr="00A65948">
        <w:t> </w:t>
      </w:r>
      <w:r w:rsidRPr="00A65948">
        <w:t>„</w:t>
      </w:r>
      <w:r w:rsidRPr="00F77E4C">
        <w:t>IMEKSPO” preču cenas iepretim ražotāja cenām bija izdevīgākas, nešķiet ticams. Tāpat maz ticams, ka</w:t>
      </w:r>
      <w:r w:rsidR="00FC474E" w:rsidRPr="00F77E4C">
        <w:t xml:space="preserve"> ar</w:t>
      </w:r>
      <w:r w:rsidRPr="00F77E4C">
        <w:t xml:space="preserve"> strīdus preču pavadzīmēs norādītā preču daudzuma nonākšan</w:t>
      </w:r>
      <w:r w:rsidR="00FC474E" w:rsidRPr="00F77E4C">
        <w:t>u</w:t>
      </w:r>
      <w:r w:rsidRPr="00F77E4C">
        <w:t xml:space="preserve"> konkurentu rīcībā</w:t>
      </w:r>
      <w:r w:rsidRPr="00A65948">
        <w:t xml:space="preserve"> varētu tikt apdraudēts pieteicējas monopola stāvoklis tirgū.</w:t>
      </w:r>
    </w:p>
    <w:p w14:paraId="2C42753A" w14:textId="628984C9" w:rsidR="005E0C1B" w:rsidRPr="00A65948" w:rsidRDefault="009B7EE3" w:rsidP="00663F90">
      <w:pPr>
        <w:autoSpaceDE w:val="0"/>
        <w:autoSpaceDN w:val="0"/>
        <w:adjustRightInd w:val="0"/>
        <w:spacing w:line="276" w:lineRule="auto"/>
        <w:ind w:firstLine="720"/>
        <w:jc w:val="both"/>
      </w:pPr>
      <w:r w:rsidRPr="00A65948">
        <w:t>[2.3]</w:t>
      </w:r>
      <w:r w:rsidR="00AF299F">
        <w:t> </w:t>
      </w:r>
      <w:r w:rsidRPr="00A65948">
        <w:t xml:space="preserve">Lai gan ir konstatējams, ka SIA „IMEKSPO” nevarēja piegādāt pieteicējai strīdus preces, nav izslēgts, ka preces </w:t>
      </w:r>
      <w:r w:rsidR="00404692" w:rsidRPr="00A65948">
        <w:t>šīs</w:t>
      </w:r>
      <w:r w:rsidRPr="00A65948">
        <w:t xml:space="preserve"> sabiedrīb</w:t>
      </w:r>
      <w:r w:rsidR="00404692" w:rsidRPr="00A65948">
        <w:t>as</w:t>
      </w:r>
      <w:r w:rsidRPr="00A65948">
        <w:t xml:space="preserve"> aizsegā varēja piegādāt citas personas. Līdz ar to, lai pārliecinātos, vai strīdus preces vispār pieteicējai tika piegādāt</w:t>
      </w:r>
      <w:r w:rsidR="00404692" w:rsidRPr="00A65948">
        <w:t>a</w:t>
      </w:r>
      <w:r w:rsidRPr="00A65948">
        <w:t xml:space="preserve">s, būtiski ir pārliecināties, vai ir faktiski notikusi strīdus pavadzīmēs norādīto preču transportēšana pieteicējai. </w:t>
      </w:r>
    </w:p>
    <w:p w14:paraId="38B90842" w14:textId="3B5F1CF6" w:rsidR="005E0C1B" w:rsidRDefault="00935CF0" w:rsidP="00663F90">
      <w:pPr>
        <w:autoSpaceDE w:val="0"/>
        <w:autoSpaceDN w:val="0"/>
        <w:adjustRightInd w:val="0"/>
        <w:spacing w:line="276" w:lineRule="auto"/>
        <w:ind w:firstLine="720"/>
        <w:jc w:val="both"/>
      </w:pPr>
      <w:r>
        <w:t>Atbilstoši lietā esošajiem pierādījumiem prece</w:t>
      </w:r>
      <w:r w:rsidR="00E566C6">
        <w:t>s</w:t>
      </w:r>
      <w:r>
        <w:t xml:space="preserve"> vesta</w:t>
      </w:r>
      <w:r w:rsidR="00E566C6">
        <w:t>s</w:t>
      </w:r>
      <w:r>
        <w:t xml:space="preserve"> ar pieteicējas lietojumā esošu transportlīdzekli</w:t>
      </w:r>
      <w:r w:rsidR="000D115F">
        <w:t xml:space="preserve">. </w:t>
      </w:r>
      <w:r w:rsidR="009B7EE3">
        <w:t xml:space="preserve">Izvērtējot pieteicējas iesniegtās transportlīdzekļa maršruta lapas, konstatējams, ka </w:t>
      </w:r>
      <w:r w:rsidR="000D115F">
        <w:t>tajās</w:t>
      </w:r>
      <w:r w:rsidR="009B7EE3">
        <w:t xml:space="preserve"> nav norādīti transportlīdzekļa odometra rādījumi, nav identificētas brauciena maršrutu adreses. Līdz ar to </w:t>
      </w:r>
      <w:r w:rsidR="000D115F">
        <w:t xml:space="preserve">iesniegtās </w:t>
      </w:r>
      <w:r w:rsidR="009B7EE3">
        <w:t>maršruta lapas nav atzīstamas par objektīviem pierādījumiem strīd</w:t>
      </w:r>
      <w:r w:rsidR="000D115F">
        <w:t>us</w:t>
      </w:r>
      <w:r w:rsidR="009B7EE3">
        <w:t xml:space="preserve"> preču pārvadāšanas apliecināšanai. </w:t>
      </w:r>
      <w:r w:rsidR="000D115F">
        <w:t>Turklāt, k</w:t>
      </w:r>
      <w:r w:rsidR="009B7EE3">
        <w:t xml:space="preserve">ā izriet no pārējiem </w:t>
      </w:r>
      <w:r w:rsidR="00202373">
        <w:t xml:space="preserve">maršruta </w:t>
      </w:r>
      <w:r w:rsidR="009B7EE3">
        <w:t>lapās izdarītajiem ierakstiem, parasti transportlīdzeklis ir ticis izmantots katru darba dienu pārsvarā līdz plkst.</w:t>
      </w:r>
      <w:r w:rsidR="005E0C1B">
        <w:t> </w:t>
      </w:r>
      <w:r w:rsidR="009B7EE3">
        <w:t xml:space="preserve">17.30, tātad līdz darba dienas beigām, un </w:t>
      </w:r>
      <w:r w:rsidR="00DB74ED">
        <w:t>pieteicējas darbinieks, kurš preci vedis,</w:t>
      </w:r>
      <w:r w:rsidR="009B7EE3">
        <w:t xml:space="preserve"> trīs mēnešu laikā ar šo transportlīdzekli faktiski nav braucis, to ir darījušas citas personas. Tātad </w:t>
      </w:r>
      <w:r w:rsidR="00DB74ED">
        <w:t>pieteicējas darbiniekam</w:t>
      </w:r>
      <w:r w:rsidR="009B7EE3">
        <w:t xml:space="preserve"> konkrētā transportlīdzekļa izmantošana, turklāt laik</w:t>
      </w:r>
      <w:r w:rsidR="00C42D86">
        <w:t>ā</w:t>
      </w:r>
      <w:r w:rsidR="009B7EE3">
        <w:t xml:space="preserve"> no </w:t>
      </w:r>
      <w:r w:rsidR="00202373">
        <w:t>plkst. </w:t>
      </w:r>
      <w:r w:rsidR="009B7EE3">
        <w:t xml:space="preserve">17.00 līdz 19.00, nav ierasta prakse, bet izņēmuma gadījums. Tamdēļ būtu sagaidāms, ka </w:t>
      </w:r>
      <w:r w:rsidR="00DB74ED">
        <w:t>pieteicējas darbinieks</w:t>
      </w:r>
      <w:r w:rsidR="009B7EE3">
        <w:t xml:space="preserve"> varētu paskaidrot, kā notika preču saņemšana, pārkraušana, kādas personas no pārdevēja puses </w:t>
      </w:r>
      <w:r w:rsidR="009B7EE3">
        <w:lastRenderedPageBreak/>
        <w:t>piedalījās</w:t>
      </w:r>
      <w:r w:rsidR="00DB74ED">
        <w:t>.</w:t>
      </w:r>
      <w:r w:rsidR="009B7EE3">
        <w:t xml:space="preserve"> </w:t>
      </w:r>
      <w:r w:rsidR="00DB74ED">
        <w:t>T</w:t>
      </w:r>
      <w:r w:rsidR="009B7EE3">
        <w:t xml:space="preserve">aču paskaidrojumā dienestam </w:t>
      </w:r>
      <w:r w:rsidR="00DB74ED">
        <w:t>šis darbinieks</w:t>
      </w:r>
      <w:r w:rsidR="009B7EE3">
        <w:t xml:space="preserve"> ir </w:t>
      </w:r>
      <w:r w:rsidR="005E0C1B">
        <w:t>norādījis</w:t>
      </w:r>
      <w:r w:rsidR="009B7EE3">
        <w:t xml:space="preserve">, ka neko par </w:t>
      </w:r>
      <w:r w:rsidR="00DB74ED">
        <w:t>konkrētajiem</w:t>
      </w:r>
      <w:r w:rsidR="009B7EE3">
        <w:t xml:space="preserve"> diviem braucieniem ārpus darba laika neatceras. </w:t>
      </w:r>
    </w:p>
    <w:p w14:paraId="2C205A81" w14:textId="05ABEFEA" w:rsidR="005E0C1B" w:rsidRPr="001E17D1" w:rsidRDefault="009B7EE3" w:rsidP="00663F90">
      <w:pPr>
        <w:autoSpaceDE w:val="0"/>
        <w:autoSpaceDN w:val="0"/>
        <w:adjustRightInd w:val="0"/>
        <w:spacing w:line="276" w:lineRule="auto"/>
        <w:ind w:firstLine="720"/>
        <w:jc w:val="both"/>
      </w:pPr>
      <w:r w:rsidRPr="001E17D1">
        <w:t>Tā kā maršruta lap</w:t>
      </w:r>
      <w:r w:rsidR="00B869A1">
        <w:t xml:space="preserve">ās nav ietverta </w:t>
      </w:r>
      <w:r w:rsidRPr="001E17D1">
        <w:t>informāci</w:t>
      </w:r>
      <w:r w:rsidR="00B869A1">
        <w:t>ja</w:t>
      </w:r>
      <w:r w:rsidRPr="001E17D1">
        <w:t xml:space="preserve"> par transportlīdzekļa braucienu uz </w:t>
      </w:r>
      <w:r w:rsidR="000D115F" w:rsidRPr="001E17D1">
        <w:t>preču iekraušanas adresi</w:t>
      </w:r>
      <w:r w:rsidRPr="001E17D1">
        <w:t xml:space="preserve">, bet </w:t>
      </w:r>
      <w:r w:rsidR="00DB74ED" w:rsidRPr="001E17D1">
        <w:t>pieteicējas darbinieks</w:t>
      </w:r>
      <w:r w:rsidRPr="001E17D1">
        <w:t xml:space="preserve"> nav varējis apstiprināt preču transportēšanu, atzīst</w:t>
      </w:r>
      <w:r w:rsidR="005E0C1B" w:rsidRPr="001E17D1">
        <w:t>ams</w:t>
      </w:r>
      <w:r w:rsidRPr="001E17D1">
        <w:t xml:space="preserve">, ka lietā neapstiprinās pieteicējas paskaidrojumos izklāstītie strīdus preču transportēšanas apstākļi. </w:t>
      </w:r>
    </w:p>
    <w:p w14:paraId="75AA3E80" w14:textId="2966ED3F" w:rsidR="00202373" w:rsidRDefault="009B7EE3" w:rsidP="00663F90">
      <w:pPr>
        <w:autoSpaceDE w:val="0"/>
        <w:autoSpaceDN w:val="0"/>
        <w:adjustRightInd w:val="0"/>
        <w:spacing w:line="276" w:lineRule="auto"/>
        <w:ind w:firstLine="720"/>
        <w:jc w:val="both"/>
      </w:pPr>
      <w:r>
        <w:t>Pirmās instances tiesā tika nopratināts pieteicējas noliktavas pārzinis, taču viņa sniegtā liecība par preču saņemšanu no SIA</w:t>
      </w:r>
      <w:r w:rsidR="00202373">
        <w:t> </w:t>
      </w:r>
      <w:r>
        <w:t xml:space="preserve">„IMEKSPO” </w:t>
      </w:r>
      <w:r w:rsidR="00B869A1">
        <w:t xml:space="preserve">to </w:t>
      </w:r>
      <w:r>
        <w:t xml:space="preserve">ne noliedz, ne apstiprina. Līdz ar to </w:t>
      </w:r>
      <w:r w:rsidR="00DB74ED">
        <w:t>noliktavas pārziņa</w:t>
      </w:r>
      <w:r>
        <w:t xml:space="preserve"> liecībai par preču saņemšanas kārtību pieteicējas noliktavā nav izšķirošas nozīmes, noskaidrojot faktus par preču transportēšanu</w:t>
      </w:r>
      <w:r w:rsidR="000D115F">
        <w:t>.</w:t>
      </w:r>
      <w:r>
        <w:t xml:space="preserve"> </w:t>
      </w:r>
    </w:p>
    <w:p w14:paraId="1F810662" w14:textId="7EE06B02" w:rsidR="009B7EE3" w:rsidRPr="001E17D1" w:rsidRDefault="009B7EE3" w:rsidP="00663F90">
      <w:pPr>
        <w:autoSpaceDE w:val="0"/>
        <w:autoSpaceDN w:val="0"/>
        <w:adjustRightInd w:val="0"/>
        <w:spacing w:line="276" w:lineRule="auto"/>
        <w:ind w:firstLine="720"/>
        <w:jc w:val="both"/>
      </w:pPr>
      <w:r w:rsidRPr="001E17D1">
        <w:t>Apkopojot minēto, atzīst</w:t>
      </w:r>
      <w:r w:rsidR="00202373" w:rsidRPr="001E17D1">
        <w:t>ams</w:t>
      </w:r>
      <w:r w:rsidRPr="001E17D1">
        <w:t xml:space="preserve">, ka strīdus pavadzīmēs norādīto preču transportēšana no </w:t>
      </w:r>
      <w:r w:rsidR="00C42D86" w:rsidRPr="001E17D1">
        <w:t xml:space="preserve">pavadzīmēs norādītās adreses </w:t>
      </w:r>
      <w:r w:rsidRPr="001E17D1">
        <w:t>uz pieteicējas noliktavu nav notikusi, ir noformēti tikai dokumenti. Tādējādi secināms, ka pieteicējas darījumi ar SIA</w:t>
      </w:r>
      <w:r w:rsidR="00202373" w:rsidRPr="001E17D1">
        <w:t> </w:t>
      </w:r>
      <w:r w:rsidRPr="001E17D1">
        <w:t>„IMEKSPO” faktiski nav notikuši un pieteicēja par to nevarēja nezināt.</w:t>
      </w:r>
    </w:p>
    <w:p w14:paraId="24C27EC5" w14:textId="3C48771C" w:rsidR="00E96BCD" w:rsidRPr="001E17D1" w:rsidRDefault="00603469" w:rsidP="00663F90">
      <w:pPr>
        <w:autoSpaceDE w:val="0"/>
        <w:autoSpaceDN w:val="0"/>
        <w:adjustRightInd w:val="0"/>
        <w:spacing w:line="276" w:lineRule="auto"/>
        <w:ind w:firstLine="720"/>
        <w:jc w:val="both"/>
      </w:pPr>
      <w:r>
        <w:t>[2.</w:t>
      </w:r>
      <w:r w:rsidR="00E96BCD">
        <w:t>4</w:t>
      </w:r>
      <w:r>
        <w:t>]</w:t>
      </w:r>
      <w:r w:rsidR="00AF299F">
        <w:t> </w:t>
      </w:r>
      <w:r w:rsidR="00E96BCD">
        <w:t xml:space="preserve">Novērtējot </w:t>
      </w:r>
      <w:r w:rsidR="0011318A">
        <w:t>pieteicējas iesniegto noliktavas atlikuma sarakstu</w:t>
      </w:r>
      <w:r w:rsidR="00E96BCD">
        <w:t xml:space="preserve">, konstatējams, ka </w:t>
      </w:r>
      <w:r w:rsidR="0011318A">
        <w:t>tajā</w:t>
      </w:r>
      <w:r w:rsidR="00E96BCD">
        <w:t xml:space="preserve"> ir iekļauti strīdus pavadzīmēs norādīto preču nosaukumi, artikuli un skaits, taču nav identificējams preču piegādātājs un preču saņemšanas brīdis. Tādējādi noliktavas preču atlikuma sarakstos esošā informācija kopsakarā ar preču tālāku pārdošanu Igaunijas </w:t>
      </w:r>
      <w:r w:rsidR="00CE04F6">
        <w:t>komersantam</w:t>
      </w:r>
      <w:r w:rsidR="00E96BCD">
        <w:t xml:space="preserve"> apliecinošajiem dokumentiem ļauj pieņemt, </w:t>
      </w:r>
      <w:r w:rsidR="00E96BCD" w:rsidRPr="001E17D1">
        <w:t xml:space="preserve">ka preces pieteicējas rīcībā faktiski varētu būt bijušas, taču tās nav tikušas iegādātas no SIA „IMEKSPO”, jo tā nevarēja piegādāt strīdus preces un tās netika transportētas no strīdus preču pavadzīmēs norādītās adreses. </w:t>
      </w:r>
    </w:p>
    <w:p w14:paraId="6E37ACD2" w14:textId="17BB157F" w:rsidR="008412C4" w:rsidRDefault="00E96BCD" w:rsidP="00663F90">
      <w:pPr>
        <w:autoSpaceDE w:val="0"/>
        <w:autoSpaceDN w:val="0"/>
        <w:adjustRightInd w:val="0"/>
        <w:spacing w:line="276" w:lineRule="auto"/>
        <w:ind w:firstLine="720"/>
        <w:jc w:val="both"/>
      </w:pPr>
      <w:r>
        <w:t>Līdz ar to Valsts ieņēmumu dienests pamatoti ierobežoja pieteicējas tiesības atskaitīt priekšnodokli par deklarētajiem darījumiem ar SIA „IMEKSPO” 2015.gada jūnijā un augustā.</w:t>
      </w:r>
    </w:p>
    <w:p w14:paraId="67D57C45" w14:textId="1587D29C" w:rsidR="006A2EEC" w:rsidRDefault="00E96BCD" w:rsidP="00663F90">
      <w:pPr>
        <w:autoSpaceDE w:val="0"/>
        <w:autoSpaceDN w:val="0"/>
        <w:adjustRightInd w:val="0"/>
        <w:spacing w:line="276" w:lineRule="auto"/>
        <w:ind w:firstLine="720"/>
        <w:jc w:val="both"/>
      </w:pPr>
      <w:r>
        <w:t>[2.5]</w:t>
      </w:r>
      <w:r w:rsidR="00AF299F">
        <w:t> </w:t>
      </w:r>
      <w:r w:rsidR="006A2EEC">
        <w:t>No lietas materiāliem izriet, ka pieteicēja 2015.gada peļņas vai zaudējumu aprēķinā pārdotās produkcijas ražošanas izmaksās iekļāvusi SIA „IMEKSPO” vārdā noformētajās pavadzīmēs norādīto izdevumu summu. Tā kā izskatāmajā gadījumā lietā nav gūts apstiprinājums pieteicējas deklarēto darījumu ar SIA „IMEKSPO” faktiskajai esībai, Valsts ieņēmumu dienests pamatoti secināja, ka šīs komercsabiedrīb</w:t>
      </w:r>
      <w:r w:rsidR="007E2600">
        <w:t>as</w:t>
      </w:r>
      <w:r w:rsidR="006A2EEC">
        <w:t xml:space="preserve"> vārdā noformētie rēķini satur nepatiesu informāciju un tāpēc likuma „Par grāmatvedību” 2. un 7.panta izpratnē tie nav atzīstami par attaisnojuma dokumentiem ierakstu veikšanai grāmatvedības reģistros.</w:t>
      </w:r>
    </w:p>
    <w:p w14:paraId="0B17F5CC" w14:textId="6DA15878" w:rsidR="006A2EEC" w:rsidRPr="006A2EEC" w:rsidRDefault="006A2EEC" w:rsidP="00663F90">
      <w:pPr>
        <w:autoSpaceDE w:val="0"/>
        <w:autoSpaceDN w:val="0"/>
        <w:adjustRightInd w:val="0"/>
        <w:spacing w:line="276" w:lineRule="auto"/>
        <w:ind w:firstLine="720"/>
        <w:jc w:val="both"/>
      </w:pPr>
      <w:r>
        <w:t>Tāpēc dienests pamatoti veica korekcijas pieteicējas 2015.gada uzņēmumu ienākuma nodokļa deklarācijā, palielinot tās apliekamo ienākumu un atbilstoši likuma „Par uzņēmumu ienākuma nodokli” 26.panta pirmajai daļai, 32.panta pirmajai un ceturtajai daļai pieteicējai papildu samaksai budžetā aprēķināja uzņēmumu ienākuma nodokli un soda naudu (kā izriet no lietas materiāliem, izskatāmajā gadījumā saskaņā ar likuma „Par uzņēmumu ienākuma nodokli” 22.panta otro daļu nav aprēķināta nokavējuma nauda, jo uzņēmumam bija izveidojusies nodokļa pārmaksa).</w:t>
      </w:r>
    </w:p>
    <w:p w14:paraId="349DFE53" w14:textId="77777777" w:rsidR="005E01DF" w:rsidRDefault="005E01DF" w:rsidP="00663F90">
      <w:pPr>
        <w:autoSpaceDE w:val="0"/>
        <w:autoSpaceDN w:val="0"/>
        <w:adjustRightInd w:val="0"/>
        <w:spacing w:line="276" w:lineRule="auto"/>
        <w:ind w:firstLine="720"/>
        <w:jc w:val="both"/>
        <w:rPr>
          <w:rFonts w:eastAsiaTheme="minorHAnsi"/>
          <w:lang w:eastAsia="en-US"/>
        </w:rPr>
      </w:pPr>
    </w:p>
    <w:p w14:paraId="1EB79342" w14:textId="547ED1D0" w:rsidR="007C7179" w:rsidRDefault="006675A6" w:rsidP="00663F90">
      <w:pPr>
        <w:autoSpaceDE w:val="0"/>
        <w:autoSpaceDN w:val="0"/>
        <w:adjustRightInd w:val="0"/>
        <w:spacing w:line="276" w:lineRule="auto"/>
        <w:ind w:firstLine="720"/>
        <w:jc w:val="both"/>
        <w:rPr>
          <w:rFonts w:eastAsiaTheme="minorHAnsi"/>
          <w:lang w:eastAsia="en-US"/>
        </w:rPr>
      </w:pPr>
      <w:r>
        <w:rPr>
          <w:i/>
          <w:iCs/>
          <w:shd w:val="clear" w:color="auto" w:fill="FFFFFF"/>
        </w:rPr>
        <w:t>Pieteicējas k</w:t>
      </w:r>
      <w:r w:rsidR="007C7179" w:rsidRPr="00C803FE">
        <w:rPr>
          <w:i/>
          <w:iCs/>
          <w:shd w:val="clear" w:color="auto" w:fill="FFFFFF"/>
        </w:rPr>
        <w:t>asācijas sūdzības argumenti</w:t>
      </w:r>
    </w:p>
    <w:p w14:paraId="5978BD4C" w14:textId="2FD91233" w:rsidR="007C7179" w:rsidRPr="00DC4329" w:rsidRDefault="008B7CCD" w:rsidP="00663F90">
      <w:pPr>
        <w:pStyle w:val="NormalWeb"/>
        <w:shd w:val="clear" w:color="auto" w:fill="FFFFFF"/>
        <w:spacing w:line="276" w:lineRule="auto"/>
        <w:ind w:firstLine="720"/>
        <w:jc w:val="both"/>
      </w:pPr>
      <w:r w:rsidRPr="00055DB3">
        <w:t>[</w:t>
      </w:r>
      <w:r w:rsidR="00435E1B" w:rsidRPr="00055DB3">
        <w:t>3</w:t>
      </w:r>
      <w:r w:rsidRPr="00055DB3">
        <w:t>]</w:t>
      </w:r>
      <w:r w:rsidR="00AF299F">
        <w:t> </w:t>
      </w:r>
      <w:r w:rsidR="00CC3BE4" w:rsidRPr="00055DB3">
        <w:t>Pieteicēj</w:t>
      </w:r>
      <w:r w:rsidR="0027674E">
        <w:t>a</w:t>
      </w:r>
      <w:r w:rsidR="00061BB1" w:rsidRPr="00055DB3">
        <w:t xml:space="preserve"> </w:t>
      </w:r>
      <w:r w:rsidRPr="00055DB3">
        <w:t>par apgabaltiesas spriedumu</w:t>
      </w:r>
      <w:r w:rsidR="00DC4329">
        <w:t xml:space="preserve"> daļā, ar kuru noraidīts pieteikums par pārsūdzētā lēmuma atcelšanu daļā, </w:t>
      </w:r>
      <w:r w:rsidR="00DC4329">
        <w:rPr>
          <w:rFonts w:eastAsiaTheme="minorHAnsi"/>
          <w:lang w:eastAsia="en-US"/>
        </w:rPr>
        <w:t xml:space="preserve">kas attiecas uz </w:t>
      </w:r>
      <w:r w:rsidR="00DC4329">
        <w:rPr>
          <w:iCs/>
        </w:rPr>
        <w:t xml:space="preserve">pieteicējas darījumiem ar SIA ,,IMEKSPO”, </w:t>
      </w:r>
      <w:r w:rsidRPr="00055DB3">
        <w:t>iesniedza kasācijas sūdzību</w:t>
      </w:r>
      <w:r w:rsidR="005843A6" w:rsidRPr="00055DB3">
        <w:t xml:space="preserve">. </w:t>
      </w:r>
      <w:r w:rsidR="007C7179" w:rsidRPr="00055DB3">
        <w:rPr>
          <w:shd w:val="clear" w:color="auto" w:fill="FFFFFF"/>
        </w:rPr>
        <w:t>Sūdzībā norādīti turpmāk minētie pamati sprieduma atcelšanai.</w:t>
      </w:r>
    </w:p>
    <w:p w14:paraId="2319F832" w14:textId="3BFA26D7" w:rsidR="00C5225A" w:rsidRDefault="005843A6" w:rsidP="00663F90">
      <w:pPr>
        <w:spacing w:line="276" w:lineRule="auto"/>
        <w:ind w:firstLine="720"/>
        <w:jc w:val="both"/>
      </w:pPr>
      <w:r w:rsidRPr="00055DB3">
        <w:lastRenderedPageBreak/>
        <w:t>[3.1]</w:t>
      </w:r>
      <w:r w:rsidR="00AF299F">
        <w:t> </w:t>
      </w:r>
      <w:r w:rsidR="006272E7">
        <w:t xml:space="preserve">Pieteicēja kā kasācijas </w:t>
      </w:r>
      <w:r w:rsidR="006272E7" w:rsidRPr="00055DB3">
        <w:t>pamatu norādīj</w:t>
      </w:r>
      <w:r w:rsidR="006272E7">
        <w:t>usi</w:t>
      </w:r>
      <w:r w:rsidR="006272E7" w:rsidRPr="00055DB3">
        <w:t xml:space="preserve"> Administratīvā procesa likuma 103.pant</w:t>
      </w:r>
      <w:r w:rsidR="006272E7">
        <w:t>a, 150.panta pirmās daļas</w:t>
      </w:r>
      <w:r w:rsidR="00C5225A">
        <w:t>, 154.pant</w:t>
      </w:r>
      <w:r w:rsidR="002F618C">
        <w:t>a</w:t>
      </w:r>
      <w:r w:rsidR="006272E7">
        <w:t xml:space="preserve"> un 250.panta pirmās un otrās daļas pārkāpumu. </w:t>
      </w:r>
    </w:p>
    <w:p w14:paraId="7E9BB6CF" w14:textId="6CE66765" w:rsidR="00012F0B" w:rsidRPr="00850B7C" w:rsidRDefault="00C5225A" w:rsidP="00663F90">
      <w:pPr>
        <w:spacing w:line="276" w:lineRule="auto"/>
        <w:ind w:firstLine="720"/>
        <w:jc w:val="both"/>
        <w:rPr>
          <w:iCs/>
        </w:rPr>
      </w:pPr>
      <w:r>
        <w:t>Pieteicējas ieskatā,</w:t>
      </w:r>
      <w:r w:rsidR="006272E7">
        <w:t xml:space="preserve"> </w:t>
      </w:r>
      <w:r w:rsidR="006272E7">
        <w:rPr>
          <w:iCs/>
        </w:rPr>
        <w:t xml:space="preserve">tiesa </w:t>
      </w:r>
      <w:r>
        <w:rPr>
          <w:iCs/>
        </w:rPr>
        <w:t xml:space="preserve">atbilstoši minētajām tiesību normām </w:t>
      </w:r>
      <w:r w:rsidR="002F618C">
        <w:rPr>
          <w:iCs/>
        </w:rPr>
        <w:t xml:space="preserve">nav </w:t>
      </w:r>
      <w:r>
        <w:rPr>
          <w:iCs/>
        </w:rPr>
        <w:t>veikusi</w:t>
      </w:r>
      <w:r w:rsidR="00012F0B">
        <w:rPr>
          <w:iCs/>
        </w:rPr>
        <w:t xml:space="preserve"> kontrol</w:t>
      </w:r>
      <w:r>
        <w:rPr>
          <w:iCs/>
        </w:rPr>
        <w:t>i</w:t>
      </w:r>
      <w:r w:rsidR="00012F0B">
        <w:rPr>
          <w:iCs/>
        </w:rPr>
        <w:t xml:space="preserve"> pār iestādes izdotā administratīvā akta tiesiskumu</w:t>
      </w:r>
      <w:r>
        <w:rPr>
          <w:iCs/>
        </w:rPr>
        <w:t xml:space="preserve">. </w:t>
      </w:r>
      <w:r w:rsidR="005D63FF">
        <w:rPr>
          <w:iCs/>
        </w:rPr>
        <w:t>Proti,</w:t>
      </w:r>
      <w:r w:rsidR="00012F0B">
        <w:rPr>
          <w:iCs/>
        </w:rPr>
        <w:t xml:space="preserve"> tiesa nav ņēmusi vērā</w:t>
      </w:r>
      <w:r w:rsidR="005D63FF">
        <w:rPr>
          <w:iCs/>
        </w:rPr>
        <w:t xml:space="preserve"> to, ka</w:t>
      </w:r>
      <w:r w:rsidR="00012F0B">
        <w:rPr>
          <w:iCs/>
        </w:rPr>
        <w:t>,</w:t>
      </w:r>
      <w:r w:rsidR="002F618C">
        <w:rPr>
          <w:iCs/>
        </w:rPr>
        <w:t xml:space="preserve"> </w:t>
      </w:r>
      <w:r w:rsidR="00012F0B">
        <w:rPr>
          <w:iCs/>
        </w:rPr>
        <w:t>lai liegtu tiesības uz priekšnodokli, iestādei ir pienākums pierādīt, ka pieteicēja ir apzināti iesaistījusies darījumos ar mērķi gūt prettiesisku labumu no pievienotās vērtības nodokļa sistēmas</w:t>
      </w:r>
      <w:r w:rsidR="002F618C">
        <w:rPr>
          <w:iCs/>
        </w:rPr>
        <w:t>. Turklāt</w:t>
      </w:r>
      <w:r w:rsidR="007E2600">
        <w:rPr>
          <w:iCs/>
        </w:rPr>
        <w:t>, pieteicējas ieskatā,</w:t>
      </w:r>
      <w:r w:rsidR="002F618C">
        <w:rPr>
          <w:iCs/>
        </w:rPr>
        <w:t xml:space="preserve"> tiesa</w:t>
      </w:r>
      <w:r w:rsidR="00012F0B">
        <w:rPr>
          <w:iCs/>
        </w:rPr>
        <w:t xml:space="preserve"> </w:t>
      </w:r>
      <w:r w:rsidR="002F618C">
        <w:rPr>
          <w:iCs/>
        </w:rPr>
        <w:t>n</w:t>
      </w:r>
      <w:r w:rsidR="007E2600">
        <w:rPr>
          <w:iCs/>
        </w:rPr>
        <w:t>av</w:t>
      </w:r>
      <w:r w:rsidR="00012F0B">
        <w:rPr>
          <w:iCs/>
        </w:rPr>
        <w:t xml:space="preserve"> vērtējusi apstākli, ka vienīgie pieteicējas rīcībā esošie instrumenti</w:t>
      </w:r>
      <w:r w:rsidR="005D63FF">
        <w:rPr>
          <w:iCs/>
        </w:rPr>
        <w:t>,</w:t>
      </w:r>
      <w:r w:rsidR="00012F0B">
        <w:rPr>
          <w:iCs/>
        </w:rPr>
        <w:t xml:space="preserve"> kā pārbaudīt SIA ,,IMEKSPO”</w:t>
      </w:r>
      <w:r w:rsidR="005D63FF">
        <w:rPr>
          <w:iCs/>
        </w:rPr>
        <w:t>,</w:t>
      </w:r>
      <w:r w:rsidR="00012F0B">
        <w:rPr>
          <w:iCs/>
        </w:rPr>
        <w:t xml:space="preserve"> ir </w:t>
      </w:r>
      <w:r w:rsidR="005D63FF">
        <w:rPr>
          <w:iCs/>
        </w:rPr>
        <w:t>k</w:t>
      </w:r>
      <w:r w:rsidR="00012F0B">
        <w:rPr>
          <w:iCs/>
        </w:rPr>
        <w:t>omercreģistra un Valsts ieņēmumu dienesta publiski pieejamās datu bāzes</w:t>
      </w:r>
      <w:r>
        <w:rPr>
          <w:iCs/>
        </w:rPr>
        <w:t xml:space="preserve"> ieraksti</w:t>
      </w:r>
      <w:r w:rsidR="00012F0B">
        <w:rPr>
          <w:iCs/>
        </w:rPr>
        <w:t>. Pieteicēja nevar</w:t>
      </w:r>
      <w:r w:rsidR="002F618C">
        <w:rPr>
          <w:iCs/>
        </w:rPr>
        <w:t>ēja</w:t>
      </w:r>
      <w:r w:rsidR="00012F0B">
        <w:rPr>
          <w:iCs/>
        </w:rPr>
        <w:t xml:space="preserve"> veikt pārbaudi par SIA ,,IMEKSPO” darījumu partneriem</w:t>
      </w:r>
      <w:r w:rsidR="005A72D6">
        <w:rPr>
          <w:iCs/>
        </w:rPr>
        <w:t>, kā arī</w:t>
      </w:r>
      <w:r w:rsidR="00012F0B">
        <w:rPr>
          <w:iCs/>
        </w:rPr>
        <w:t xml:space="preserve"> salīdzināt tās amatpersonas paraksta paraugus. Turklāt noliktavas atlikumu programma nodrošina tikai ļoti konkrētu datu saglabāšanu, tāpēc objektīvi nav un nebija iespējama nekādu papildu pierādījumu iesniegšana par preču izcelsmi. </w:t>
      </w:r>
      <w:r w:rsidR="002A23FB">
        <w:rPr>
          <w:iCs/>
        </w:rPr>
        <w:t>Pieteicēja uzsver, ka tiesa</w:t>
      </w:r>
      <w:r w:rsidR="002A23FB" w:rsidRPr="002A23FB">
        <w:rPr>
          <w:iCs/>
        </w:rPr>
        <w:t xml:space="preserve"> lietas apstākļ</w:t>
      </w:r>
      <w:r w:rsidR="002A23FB">
        <w:rPr>
          <w:iCs/>
        </w:rPr>
        <w:t>us</w:t>
      </w:r>
      <w:r w:rsidR="002A23FB" w:rsidRPr="002A23FB">
        <w:rPr>
          <w:iCs/>
        </w:rPr>
        <w:t xml:space="preserve"> nav vērtē</w:t>
      </w:r>
      <w:r w:rsidR="002A23FB">
        <w:rPr>
          <w:iCs/>
        </w:rPr>
        <w:t>jusi</w:t>
      </w:r>
      <w:r w:rsidR="002A23FB" w:rsidRPr="002A23FB">
        <w:rPr>
          <w:iCs/>
        </w:rPr>
        <w:t xml:space="preserve"> to kopsakarā, bet</w:t>
      </w:r>
      <w:r w:rsidR="002A23FB">
        <w:rPr>
          <w:iCs/>
        </w:rPr>
        <w:t xml:space="preserve"> netiešus pierādījumus par atsevišķiem apstākļiem izmantojusi, lai pamatotu iestādes secinājumu pareizību.</w:t>
      </w:r>
      <w:r w:rsidR="007E2600">
        <w:rPr>
          <w:iCs/>
        </w:rPr>
        <w:t xml:space="preserve"> </w:t>
      </w:r>
      <w:r w:rsidR="00012F0B">
        <w:rPr>
          <w:iCs/>
        </w:rPr>
        <w:t xml:space="preserve">Pieteicējas ieskatā, lietā nav </w:t>
      </w:r>
      <w:r w:rsidR="00012F0B" w:rsidRPr="00850B7C">
        <w:rPr>
          <w:iCs/>
        </w:rPr>
        <w:t>iegūti ticami pierādījumi</w:t>
      </w:r>
      <w:r>
        <w:rPr>
          <w:iCs/>
        </w:rPr>
        <w:t>, kas apstiprina</w:t>
      </w:r>
      <w:r w:rsidR="00012F0B">
        <w:rPr>
          <w:iCs/>
        </w:rPr>
        <w:t xml:space="preserve"> pieteicējas </w:t>
      </w:r>
      <w:r>
        <w:rPr>
          <w:iCs/>
        </w:rPr>
        <w:t>iesaistīšanos pievienotās vērtības nodokļa sistēmas ļaunprātīgā izmantošanā</w:t>
      </w:r>
      <w:r w:rsidR="00012F0B">
        <w:rPr>
          <w:iCs/>
        </w:rPr>
        <w:t xml:space="preserve"> un </w:t>
      </w:r>
      <w:r>
        <w:rPr>
          <w:iCs/>
        </w:rPr>
        <w:t xml:space="preserve">tāpēc </w:t>
      </w:r>
      <w:r w:rsidR="00012F0B" w:rsidRPr="00850B7C">
        <w:rPr>
          <w:iCs/>
        </w:rPr>
        <w:t xml:space="preserve">liegtu tiesības atskaitīt priekšnodokli. </w:t>
      </w:r>
    </w:p>
    <w:p w14:paraId="4BA49F74" w14:textId="4B2D1158" w:rsidR="002A23FB" w:rsidRDefault="002A23FB" w:rsidP="00663F90">
      <w:pPr>
        <w:spacing w:line="276" w:lineRule="auto"/>
        <w:ind w:firstLine="720"/>
        <w:jc w:val="both"/>
        <w:rPr>
          <w:iCs/>
        </w:rPr>
      </w:pPr>
      <w:r>
        <w:rPr>
          <w:iCs/>
        </w:rPr>
        <w:t>[3.2]</w:t>
      </w:r>
      <w:r w:rsidR="00AF299F">
        <w:rPr>
          <w:iCs/>
        </w:rPr>
        <w:t> </w:t>
      </w:r>
      <w:r>
        <w:rPr>
          <w:iCs/>
        </w:rPr>
        <w:t>Pieteicēja atsaukusies uz vairākiem Eiropas Savienības Tiesas un Senāta nolēmumiem, norādot, ka tiesa nav ievērojusi tajos paustās atziņas.</w:t>
      </w:r>
    </w:p>
    <w:p w14:paraId="6BCCDC8D" w14:textId="15AD38A2" w:rsidR="002A23FB" w:rsidRPr="00850B7C" w:rsidRDefault="002A23FB" w:rsidP="00663F90">
      <w:pPr>
        <w:spacing w:line="276" w:lineRule="auto"/>
        <w:ind w:firstLine="720"/>
        <w:jc w:val="both"/>
        <w:rPr>
          <w:iCs/>
        </w:rPr>
      </w:pPr>
      <w:r>
        <w:rPr>
          <w:iCs/>
        </w:rPr>
        <w:t xml:space="preserve">Pieteicēja uzsver, ka no Eiropas Savienības Tiesas un Senāta judikatūras izriet, ka pieteicēja nevar būt atbildīga par SIA ,,IMEKSPO” iespējamo </w:t>
      </w:r>
      <w:r w:rsidRPr="00850B7C">
        <w:rPr>
          <w:iCs/>
        </w:rPr>
        <w:t xml:space="preserve">iesaistīšanos </w:t>
      </w:r>
      <w:r>
        <w:rPr>
          <w:iCs/>
        </w:rPr>
        <w:t xml:space="preserve">prettiesiskā pievienotās vērtības nodokļa sistēmas izmantošanā. </w:t>
      </w:r>
      <w:r w:rsidR="005D63FF">
        <w:rPr>
          <w:iCs/>
        </w:rPr>
        <w:t>L</w:t>
      </w:r>
      <w:r>
        <w:rPr>
          <w:iCs/>
        </w:rPr>
        <w:t>ietā</w:t>
      </w:r>
      <w:r w:rsidRPr="00850B7C">
        <w:rPr>
          <w:iCs/>
        </w:rPr>
        <w:t xml:space="preserve"> nav iegūti ticami pierādījumi, lai </w:t>
      </w:r>
      <w:r>
        <w:rPr>
          <w:iCs/>
        </w:rPr>
        <w:t>atzītu, ka pieteicēja ir veik</w:t>
      </w:r>
      <w:r w:rsidR="00E50EDB">
        <w:rPr>
          <w:iCs/>
        </w:rPr>
        <w:t>u</w:t>
      </w:r>
      <w:r>
        <w:rPr>
          <w:iCs/>
        </w:rPr>
        <w:t xml:space="preserve">si prettiesiskas darbības un tāpēc </w:t>
      </w:r>
      <w:r w:rsidR="00E50EDB">
        <w:rPr>
          <w:iCs/>
        </w:rPr>
        <w:t xml:space="preserve">būtu pamats </w:t>
      </w:r>
      <w:r w:rsidRPr="00850B7C">
        <w:rPr>
          <w:iCs/>
        </w:rPr>
        <w:t xml:space="preserve">pieteicējai liegt tiesības atskaitīt priekšnodokli. </w:t>
      </w:r>
    </w:p>
    <w:p w14:paraId="7A37A55C" w14:textId="77777777" w:rsidR="007C7179" w:rsidRDefault="007C7179" w:rsidP="00663F90">
      <w:pPr>
        <w:spacing w:line="276" w:lineRule="auto"/>
        <w:ind w:firstLine="720"/>
        <w:jc w:val="both"/>
      </w:pPr>
    </w:p>
    <w:p w14:paraId="789607AB" w14:textId="62DDA36B" w:rsidR="00797323" w:rsidRPr="00797323" w:rsidRDefault="00797323" w:rsidP="00663F90">
      <w:pPr>
        <w:spacing w:line="276" w:lineRule="auto"/>
        <w:ind w:firstLine="720"/>
        <w:jc w:val="both"/>
        <w:rPr>
          <w:i/>
          <w:iCs/>
        </w:rPr>
      </w:pPr>
      <w:r w:rsidRPr="00797323">
        <w:rPr>
          <w:i/>
          <w:iCs/>
        </w:rPr>
        <w:t>Valsts ieņēmumu dienesta paskaidrojumi</w:t>
      </w:r>
    </w:p>
    <w:p w14:paraId="46F2D824" w14:textId="4BBE36AE" w:rsidR="00245915" w:rsidRDefault="00347158" w:rsidP="00663F90">
      <w:pPr>
        <w:spacing w:line="276" w:lineRule="auto"/>
        <w:ind w:firstLine="720"/>
        <w:jc w:val="both"/>
      </w:pPr>
      <w:r w:rsidRPr="00682FC0">
        <w:t>[</w:t>
      </w:r>
      <w:r w:rsidR="001F6887">
        <w:t>4</w:t>
      </w:r>
      <w:r w:rsidRPr="00682FC0">
        <w:t>]</w:t>
      </w:r>
      <w:r w:rsidR="00AF299F">
        <w:t> </w:t>
      </w:r>
      <w:r w:rsidR="00CC3BE4">
        <w:t>Valsts ieņēmumu dienests</w:t>
      </w:r>
      <w:r w:rsidRPr="00682FC0">
        <w:t xml:space="preserve"> rakstveida paskaidrojum</w:t>
      </w:r>
      <w:r w:rsidR="00554EA2" w:rsidRPr="00682FC0">
        <w:t xml:space="preserve">os </w:t>
      </w:r>
      <w:r w:rsidR="00EA059C">
        <w:t>kasācijas sūdzību neatzīst.</w:t>
      </w:r>
    </w:p>
    <w:p w14:paraId="1A303498" w14:textId="77777777" w:rsidR="00442666" w:rsidRPr="00682FC0" w:rsidRDefault="00442666" w:rsidP="00663F90">
      <w:pPr>
        <w:spacing w:line="276" w:lineRule="auto"/>
        <w:ind w:firstLine="720"/>
        <w:jc w:val="both"/>
      </w:pPr>
    </w:p>
    <w:p w14:paraId="46BAEB97" w14:textId="7C713575" w:rsidR="008700D3" w:rsidRPr="00EC00F0" w:rsidRDefault="008700D3" w:rsidP="00663F90">
      <w:pPr>
        <w:spacing w:line="276" w:lineRule="auto"/>
        <w:contextualSpacing/>
        <w:jc w:val="center"/>
        <w:rPr>
          <w:b/>
        </w:rPr>
      </w:pPr>
      <w:r w:rsidRPr="00EC00F0">
        <w:rPr>
          <w:b/>
        </w:rPr>
        <w:t>Motīvu daļa</w:t>
      </w:r>
    </w:p>
    <w:p w14:paraId="36988A62" w14:textId="419F54F0" w:rsidR="00AD1275" w:rsidRDefault="00AD1275" w:rsidP="00663F90">
      <w:pPr>
        <w:spacing w:line="276" w:lineRule="auto"/>
        <w:ind w:firstLine="720"/>
        <w:jc w:val="both"/>
        <w:rPr>
          <w:rFonts w:asciiTheme="majorBidi" w:hAnsiTheme="majorBidi" w:cstheme="majorBidi"/>
          <w:color w:val="000000" w:themeColor="text1"/>
        </w:rPr>
      </w:pPr>
    </w:p>
    <w:p w14:paraId="45768354" w14:textId="726BA2CD" w:rsidR="00EC342C" w:rsidRPr="00EC342C" w:rsidRDefault="00314A58" w:rsidP="00663F90">
      <w:pPr>
        <w:spacing w:line="276" w:lineRule="auto"/>
        <w:ind w:firstLine="720"/>
        <w:jc w:val="both"/>
        <w:rPr>
          <w:rFonts w:asciiTheme="majorBidi" w:hAnsiTheme="majorBidi" w:cstheme="majorBidi"/>
        </w:rPr>
      </w:pPr>
      <w:r>
        <w:rPr>
          <w:rFonts w:asciiTheme="majorBidi" w:hAnsiTheme="majorBidi" w:cstheme="majorBidi"/>
          <w:color w:val="000000" w:themeColor="text1"/>
        </w:rPr>
        <w:t>[5]</w:t>
      </w:r>
      <w:r w:rsidR="00AF299F">
        <w:rPr>
          <w:rFonts w:asciiTheme="majorBidi" w:hAnsiTheme="majorBidi" w:cstheme="majorBidi"/>
          <w:color w:val="000000" w:themeColor="text1"/>
        </w:rPr>
        <w:t> </w:t>
      </w:r>
      <w:r w:rsidR="00EC342C" w:rsidRPr="00DE397A">
        <w:rPr>
          <w:rFonts w:asciiTheme="majorBidi" w:hAnsiTheme="majorBidi" w:cstheme="majorBidi"/>
          <w:color w:val="000000" w:themeColor="text1"/>
        </w:rPr>
        <w:t>Senātam ir jārod atbilde</w:t>
      </w:r>
      <w:r w:rsidR="00EC342C" w:rsidRPr="00DE397A">
        <w:rPr>
          <w:rFonts w:asciiTheme="majorBidi" w:hAnsiTheme="majorBidi" w:cstheme="majorBidi"/>
        </w:rPr>
        <w:t xml:space="preserve">, vai tiesa, secinot, ka pieteicējai nav tiesību atskaitīt priekšnodokli </w:t>
      </w:r>
      <w:r w:rsidR="00EC342C">
        <w:t>par kombain</w:t>
      </w:r>
      <w:r w:rsidR="00430C47">
        <w:t>u</w:t>
      </w:r>
      <w:r w:rsidR="00EC342C">
        <w:t xml:space="preserve"> siksnu un lineāro gultņu iegādi no SIA „IMEKSPO”</w:t>
      </w:r>
      <w:r w:rsidR="00EC342C" w:rsidRPr="00DE397A">
        <w:rPr>
          <w:rFonts w:asciiTheme="majorBidi" w:hAnsiTheme="majorBidi" w:cstheme="majorBidi"/>
        </w:rPr>
        <w:t>, ir pareizi piemērojusi Pievienotās vērtības nodokļa likuma 92.panta pirmās daļas 1</w:t>
      </w:r>
      <w:r w:rsidR="003C299F">
        <w:rPr>
          <w:rFonts w:asciiTheme="majorBidi" w:hAnsiTheme="majorBidi" w:cstheme="majorBidi"/>
        </w:rPr>
        <w:t>.</w:t>
      </w:r>
      <w:r w:rsidR="00EC342C" w:rsidRPr="00DE397A">
        <w:rPr>
          <w:rFonts w:asciiTheme="majorBidi" w:hAnsiTheme="majorBidi" w:cstheme="majorBidi"/>
        </w:rPr>
        <w:t>punktu un ievērojusi Administratīvā procesa likuma 154.panta prasības.</w:t>
      </w:r>
    </w:p>
    <w:p w14:paraId="65BBB493" w14:textId="77777777" w:rsidR="00314A58" w:rsidRPr="00AD0840" w:rsidRDefault="00314A58" w:rsidP="00663F90">
      <w:pPr>
        <w:spacing w:line="276" w:lineRule="auto"/>
        <w:ind w:firstLine="720"/>
        <w:jc w:val="both"/>
        <w:rPr>
          <w:rFonts w:asciiTheme="majorBidi" w:hAnsiTheme="majorBidi" w:cstheme="majorBidi"/>
          <w:color w:val="000000" w:themeColor="text1"/>
        </w:rPr>
      </w:pPr>
    </w:p>
    <w:p w14:paraId="4FF60457" w14:textId="4DA76900" w:rsidR="005957D1" w:rsidRPr="002B1EB4" w:rsidRDefault="0026707A" w:rsidP="00663F90">
      <w:pPr>
        <w:spacing w:line="276" w:lineRule="auto"/>
        <w:ind w:firstLine="720"/>
        <w:jc w:val="both"/>
        <w:rPr>
          <w:rFonts w:asciiTheme="majorBidi" w:hAnsiTheme="majorBidi" w:cstheme="majorBidi"/>
          <w:i/>
          <w:iCs/>
          <w:color w:val="000000" w:themeColor="text1"/>
        </w:rPr>
      </w:pPr>
      <w:r w:rsidRPr="002B1EB4">
        <w:rPr>
          <w:rFonts w:asciiTheme="majorBidi" w:hAnsiTheme="majorBidi" w:cstheme="majorBidi"/>
          <w:i/>
          <w:iCs/>
          <w:color w:val="000000" w:themeColor="text1"/>
        </w:rPr>
        <w:t xml:space="preserve">Par priekšnodokļa atskaitīšanas materiāltiesiskajiem priekšnoteikumiem </w:t>
      </w:r>
    </w:p>
    <w:p w14:paraId="29715EB9" w14:textId="21FC0E07" w:rsidR="00067F20" w:rsidRDefault="00B730BB" w:rsidP="00663F90">
      <w:pPr>
        <w:spacing w:line="276" w:lineRule="auto"/>
        <w:ind w:firstLine="720"/>
        <w:jc w:val="both"/>
        <w:rPr>
          <w:color w:val="000000" w:themeColor="text1"/>
        </w:rPr>
      </w:pPr>
      <w:r w:rsidRPr="00AD0840">
        <w:rPr>
          <w:rFonts w:asciiTheme="majorBidi" w:hAnsiTheme="majorBidi" w:cstheme="majorBidi"/>
          <w:color w:val="000000" w:themeColor="text1"/>
        </w:rPr>
        <w:t>[</w:t>
      </w:r>
      <w:r w:rsidR="00314A58">
        <w:rPr>
          <w:rFonts w:asciiTheme="majorBidi" w:hAnsiTheme="majorBidi" w:cstheme="majorBidi"/>
          <w:color w:val="000000" w:themeColor="text1"/>
        </w:rPr>
        <w:t>6</w:t>
      </w:r>
      <w:r w:rsidRPr="00AD0840">
        <w:rPr>
          <w:rFonts w:asciiTheme="majorBidi" w:hAnsiTheme="majorBidi" w:cstheme="majorBidi"/>
          <w:color w:val="000000" w:themeColor="text1"/>
        </w:rPr>
        <w:t>]</w:t>
      </w:r>
      <w:r w:rsidR="00AF299F">
        <w:rPr>
          <w:rFonts w:asciiTheme="majorBidi" w:hAnsiTheme="majorBidi" w:cstheme="majorBidi"/>
          <w:color w:val="000000" w:themeColor="text1"/>
        </w:rPr>
        <w:t> </w:t>
      </w:r>
      <w:r w:rsidR="00067F20" w:rsidRPr="00AD0840">
        <w:rPr>
          <w:color w:val="000000" w:themeColor="text1"/>
        </w:rPr>
        <w:t xml:space="preserve">Vispārīgie noteikumi priekšnodokļa atskaitīšanai ir </w:t>
      </w:r>
      <w:r w:rsidR="00B40698">
        <w:rPr>
          <w:color w:val="000000" w:themeColor="text1"/>
        </w:rPr>
        <w:t>norādīti</w:t>
      </w:r>
      <w:r w:rsidR="00067F20" w:rsidRPr="00AD0840">
        <w:rPr>
          <w:color w:val="000000" w:themeColor="text1"/>
        </w:rPr>
        <w:t xml:space="preserve"> Pievienotās vērtības nodokļa likuma 92.pantā. Saskaņā ar šā panta pirmās daļas 1.punktu, ja preces iegādātas un pakalpojumi saņemti ar nodokli apliekamu darījumu nodrošināšanai vai tādu citās valstīs veiktu darījumu nodrošināšanai, kuri būtu apliekami ar nodokli, ja tie tiktu veikti iekšzemē, priekšnodoklis ir no citiem reģistrētiem nodokļa maksātājiem saņemtajos nodokļa rēķinos norādītās nodokļa summas par iegādātajām precēm un saņemtajiem pakalpojumiem. </w:t>
      </w:r>
    </w:p>
    <w:p w14:paraId="49AC4CD3" w14:textId="7C6EAF98" w:rsidR="00223868" w:rsidRDefault="00223868" w:rsidP="00663F90">
      <w:pPr>
        <w:spacing w:line="276" w:lineRule="auto"/>
        <w:ind w:firstLine="720"/>
        <w:jc w:val="both"/>
      </w:pPr>
      <w:r>
        <w:lastRenderedPageBreak/>
        <w:t>Senāts ir norādījis, ka atbilstoši minētajai tiesību normai tiesības uz priekšnodokļa atskaitīšanu personai var liegt tad, ja preces vai pakalpojumi noformēto dokumentu aizsegā vispār nav piegādāti, vai arī tad, ja preces vai pakalpojumi ir piegādāti, bet to ir darījusi cita darījumu dokumentos nenorādīta persona, un pieteicējs par to zināja vai tam bija tas jāzina (</w:t>
      </w:r>
      <w:r w:rsidRPr="00AF4BF4">
        <w:rPr>
          <w:i/>
          <w:iCs/>
        </w:rPr>
        <w:t>Senāta 2018.gada 16.maija sprieduma lietā Nr.</w:t>
      </w:r>
      <w:r>
        <w:rPr>
          <w:i/>
          <w:iCs/>
        </w:rPr>
        <w:t> </w:t>
      </w:r>
      <w:r w:rsidRPr="00AF4BF4">
        <w:rPr>
          <w:i/>
          <w:iCs/>
        </w:rPr>
        <w:t>SKA-44/2018</w:t>
      </w:r>
      <w:r>
        <w:rPr>
          <w:i/>
          <w:iCs/>
        </w:rPr>
        <w:t xml:space="preserve">, </w:t>
      </w:r>
      <w:hyperlink r:id="rId9" w:history="1">
        <w:r w:rsidRPr="00D17DA3">
          <w:rPr>
            <w:rStyle w:val="Hyperlink"/>
            <w:i/>
            <w:iCs/>
          </w:rPr>
          <w:t>ECLI:LV:AT:2018:0516.A420462813.2.S</w:t>
        </w:r>
      </w:hyperlink>
      <w:r>
        <w:rPr>
          <w:i/>
          <w:iCs/>
        </w:rPr>
        <w:t>,</w:t>
      </w:r>
      <w:r w:rsidRPr="00AF4BF4">
        <w:rPr>
          <w:i/>
          <w:iCs/>
        </w:rPr>
        <w:t xml:space="preserve"> 5.punkts</w:t>
      </w:r>
      <w:r>
        <w:t xml:space="preserve">). </w:t>
      </w:r>
    </w:p>
    <w:p w14:paraId="3D141D2F" w14:textId="672D515D" w:rsidR="00EA29EA" w:rsidRPr="00340171" w:rsidRDefault="00EA29EA" w:rsidP="00663F90">
      <w:pPr>
        <w:spacing w:line="276" w:lineRule="auto"/>
        <w:ind w:firstLine="720"/>
        <w:jc w:val="both"/>
        <w:rPr>
          <w:rFonts w:asciiTheme="majorBidi" w:hAnsiTheme="majorBidi" w:cstheme="majorBidi"/>
        </w:rPr>
      </w:pPr>
      <w:r>
        <w:rPr>
          <w:rFonts w:asciiTheme="majorBidi" w:hAnsiTheme="majorBidi" w:cstheme="majorBidi"/>
        </w:rPr>
        <w:t xml:space="preserve">Senāts </w:t>
      </w:r>
      <w:r w:rsidR="00EB13FA">
        <w:rPr>
          <w:rFonts w:asciiTheme="majorBidi" w:hAnsiTheme="majorBidi" w:cstheme="majorBidi"/>
        </w:rPr>
        <w:t>arī</w:t>
      </w:r>
      <w:r>
        <w:rPr>
          <w:rFonts w:asciiTheme="majorBidi" w:hAnsiTheme="majorBidi" w:cstheme="majorBidi"/>
        </w:rPr>
        <w:t xml:space="preserve"> ir atgādinājis</w:t>
      </w:r>
      <w:r w:rsidRPr="00340171">
        <w:rPr>
          <w:rFonts w:asciiTheme="majorBidi" w:hAnsiTheme="majorBidi" w:cstheme="majorBidi"/>
        </w:rPr>
        <w:t>, ka pievienotās vērtības nodoklis ir maksājams par preču piegādi, pakalpojumu saņemšanu, preču iegādi Eiropas Savienībā vai preču importu (Pievienotās vērtības nodokļa likuma 5.panta pirmā daļa). Ja nav bijusi preču piegāde vai cits no norādītajiem pamatiem, tad vispār nav aprēķināms pievienotās vērtības nodoklis. Jautājums par to, kas ir preču piegāde un vai tā ir faktiski notikusi, ir svarīgs tieši tāpēc, lai konstatētu, vai vispār ir aprēķināms un iekasējams pievienotās vērtības nodoklis – ka apstākļi attiecas uz pievienotās vērtības nodokļa regulējuma jomu. Turklāt piegādes konstatēšana ir vienlīdz svarīga gan iekšzemes darījumiem, gan piegādēm uz citu Eiropas Savienības dalībvalsti. Tieši tādēļ, kā tas atzīts Eiropas Savienības Tiesas judikatūrā, vispār nav aprēķināms pievienotās vērtības nodoklis un attiecīgi arī atskaitāms priekšnodoklis, ja nav konstatējams faktiski noticis darījums jeb piegāde, bet ir notikusi formāla dokumentu noformēšana un deklarāciju iesniegšana par neesošiem darījumiem (</w:t>
      </w:r>
      <w:r w:rsidRPr="00340171">
        <w:rPr>
          <w:rFonts w:asciiTheme="majorBidi" w:hAnsiTheme="majorBidi" w:cstheme="majorBidi"/>
          <w:i/>
          <w:iCs/>
        </w:rPr>
        <w:t xml:space="preserve">Eiropas Savienības Tiesas 2018.gada 27.jūnija sprieduma apvienotajās lietās „SGI”, C‑459/17, un „Valériane SNC”, C‑460/17, </w:t>
      </w:r>
      <w:hyperlink r:id="rId10" w:history="1">
        <w:r w:rsidRPr="00340171">
          <w:rPr>
            <w:rStyle w:val="Hyperlink"/>
            <w:rFonts w:asciiTheme="majorBidi" w:hAnsiTheme="majorBidi" w:cstheme="majorBidi"/>
            <w:i/>
            <w:iCs/>
          </w:rPr>
          <w:t>ECLI:EU:C:2018:501</w:t>
        </w:r>
      </w:hyperlink>
      <w:r w:rsidRPr="00340171">
        <w:rPr>
          <w:rFonts w:asciiTheme="majorBidi" w:hAnsiTheme="majorBidi" w:cstheme="majorBidi"/>
          <w:i/>
          <w:iCs/>
        </w:rPr>
        <w:t>, 34.–38.punkts</w:t>
      </w:r>
      <w:r w:rsidRPr="00340171">
        <w:rPr>
          <w:rFonts w:asciiTheme="majorBidi" w:hAnsiTheme="majorBidi" w:cstheme="majorBidi"/>
        </w:rPr>
        <w:t xml:space="preserve">). </w:t>
      </w:r>
    </w:p>
    <w:p w14:paraId="47B06239" w14:textId="77777777" w:rsidR="00EA29EA" w:rsidRPr="00340171" w:rsidRDefault="00EA29EA" w:rsidP="00663F90">
      <w:pPr>
        <w:spacing w:line="276" w:lineRule="auto"/>
        <w:ind w:firstLine="720"/>
        <w:jc w:val="both"/>
        <w:rPr>
          <w:rFonts w:asciiTheme="majorBidi" w:hAnsiTheme="majorBidi" w:cstheme="majorBidi"/>
        </w:rPr>
      </w:pPr>
      <w:r w:rsidRPr="00340171">
        <w:rPr>
          <w:rFonts w:asciiTheme="majorBidi" w:hAnsiTheme="majorBidi" w:cstheme="majorBidi"/>
        </w:rPr>
        <w:t>Lai atbildētu uz jautājumu, kas ir uzskatāms par piegādi, Eiropas Savienības Tiesa pievērsās tam caur saimnieciskās darbības un tajā ietilpstošo ar nodokli apliekamo darījumu skaidrojumu. Tiesa skaidroja, ka pievienotās vērtības nodokļa maksātāji ir visas personas, kas patstāvīgi veic saimniecisku darbību, neatkarīgi no šīs darbības mērķiem un rezultātiem; savukārt jēdziens „saimnieciskā darbība” aptver visas ražotāju, tirgotāju vai pakalpojumu sniedzēju darbības, un saskaņā ar judikatūru tas aptver visus ražošanas, izplatīšanas un pakalpojumu sniegšanas posmus. Jēdziena „saimnieciskā darbība” piemērošanas joma ir ļoti plaša un tam ir objektīvs raksturs tādējādi, ka darbība tiek izskatīta pati par sevi, neatkarīgi no tās mērķiem vai rezultātiem.</w:t>
      </w:r>
      <w:r w:rsidRPr="00340171">
        <w:t xml:space="preserve"> No j</w:t>
      </w:r>
      <w:r w:rsidRPr="00340171">
        <w:rPr>
          <w:rFonts w:asciiTheme="majorBidi" w:hAnsiTheme="majorBidi" w:cstheme="majorBidi"/>
        </w:rPr>
        <w:t>ēdzienu „preču piegāde” un „pakalpojumu sniegšana” analīzes izriet, ka šiem jēdzieniem, kas definē darījumus, kas apliekami ar nodokli saskaņā ar Sesto direktīvu, ir objektīvs raksturs un ka tie ir piemērojami neatkarīgi no attiecīgo darījumu mērķiem un rezultātiem (</w:t>
      </w:r>
      <w:r w:rsidRPr="002E4970">
        <w:rPr>
          <w:rFonts w:asciiTheme="majorBidi" w:hAnsiTheme="majorBidi" w:cstheme="majorBidi"/>
          <w:i/>
          <w:iCs/>
        </w:rPr>
        <w:t>Eiropas Savienības Tiesas 2006.gada 21.februāra sprieduma lietā</w:t>
      </w:r>
      <w:r w:rsidRPr="00340171">
        <w:rPr>
          <w:rFonts w:asciiTheme="majorBidi" w:hAnsiTheme="majorBidi" w:cstheme="majorBidi"/>
        </w:rPr>
        <w:t xml:space="preserve"> „</w:t>
      </w:r>
      <w:r w:rsidRPr="00340171">
        <w:rPr>
          <w:rFonts w:asciiTheme="majorBidi" w:hAnsiTheme="majorBidi" w:cstheme="majorBidi"/>
          <w:i/>
          <w:iCs/>
        </w:rPr>
        <w:t xml:space="preserve">Halifax”, C-255/02, </w:t>
      </w:r>
      <w:hyperlink r:id="rId11" w:history="1">
        <w:r w:rsidRPr="00340171">
          <w:rPr>
            <w:rStyle w:val="Hyperlink"/>
            <w:rFonts w:asciiTheme="majorBidi" w:hAnsiTheme="majorBidi" w:cstheme="majorBidi"/>
            <w:i/>
            <w:iCs/>
          </w:rPr>
          <w:t>ECLI:EU:C:2006:121</w:t>
        </w:r>
      </w:hyperlink>
      <w:r w:rsidRPr="00340171">
        <w:rPr>
          <w:rFonts w:asciiTheme="majorBidi" w:hAnsiTheme="majorBidi" w:cstheme="majorBidi"/>
          <w:i/>
          <w:iCs/>
        </w:rPr>
        <w:t>, 53.–56.punkts</w:t>
      </w:r>
      <w:r w:rsidRPr="00340171">
        <w:rPr>
          <w:rFonts w:asciiTheme="majorBidi" w:hAnsiTheme="majorBidi" w:cstheme="majorBidi"/>
        </w:rPr>
        <w:t>). Darījumi ir preču piegādes vai pakalpojumu sniegšana un saimnieciska darbība, ja tie atbilst objektīvajiem kritērijiem, uz kuriem ir balstīti šie jēdzieni (</w:t>
      </w:r>
      <w:r w:rsidRPr="00340171">
        <w:rPr>
          <w:rFonts w:asciiTheme="majorBidi" w:hAnsiTheme="majorBidi" w:cstheme="majorBidi"/>
          <w:i/>
          <w:iCs/>
        </w:rPr>
        <w:t>turpat, 58.punkts</w:t>
      </w:r>
      <w:r w:rsidRPr="00340171">
        <w:rPr>
          <w:rFonts w:asciiTheme="majorBidi" w:hAnsiTheme="majorBidi" w:cstheme="majorBidi"/>
        </w:rPr>
        <w:t>). Jautājumam, vai attiecīgā darījuma vienīgais mērķis ir iegūt fiskālu priekšrocību, nav nekādas nozīmes, lai noteiktu, vai tā ir preču piegāde vai pakalpojumu sniegšana un saimnieciska darbība (</w:t>
      </w:r>
      <w:r w:rsidRPr="00340171">
        <w:rPr>
          <w:rFonts w:asciiTheme="majorBidi" w:hAnsiTheme="majorBidi" w:cstheme="majorBidi"/>
          <w:i/>
          <w:iCs/>
        </w:rPr>
        <w:t>turpat, 59.punkts</w:t>
      </w:r>
      <w:r w:rsidRPr="00340171">
        <w:rPr>
          <w:rFonts w:asciiTheme="majorBidi" w:hAnsiTheme="majorBidi" w:cstheme="majorBidi"/>
        </w:rPr>
        <w:t>).</w:t>
      </w:r>
    </w:p>
    <w:p w14:paraId="54B50FDB" w14:textId="77777777" w:rsidR="00EA29EA" w:rsidRDefault="00EA29EA" w:rsidP="00663F90">
      <w:pPr>
        <w:spacing w:line="276" w:lineRule="auto"/>
        <w:ind w:firstLine="720"/>
        <w:jc w:val="both"/>
      </w:pPr>
      <w:r w:rsidRPr="00340171">
        <w:rPr>
          <w:rFonts w:asciiTheme="majorBidi" w:hAnsiTheme="majorBidi" w:cstheme="majorBidi"/>
        </w:rPr>
        <w:t>Līdz ar to, ja ir konstatējams, ka preces vispār tikušas piegādātas par atlīdzību citai personai, tad ir konstatējams, ka ir pamats piemērot pievienotās vērtības nodokļa regulējumu un noteikt piegādes apstākļiem atbilstošu pievienotās vērtības nodokļa likmi</w:t>
      </w:r>
      <w:r>
        <w:rPr>
          <w:rFonts w:asciiTheme="majorBidi" w:hAnsiTheme="majorBidi" w:cstheme="majorBidi"/>
        </w:rPr>
        <w:t xml:space="preserve"> (</w:t>
      </w:r>
      <w:r w:rsidRPr="005B22EE">
        <w:rPr>
          <w:rFonts w:asciiTheme="majorBidi" w:hAnsiTheme="majorBidi" w:cstheme="majorBidi"/>
          <w:i/>
          <w:iCs/>
        </w:rPr>
        <w:t xml:space="preserve">Senāta </w:t>
      </w:r>
      <w:r w:rsidRPr="005B22EE">
        <w:rPr>
          <w:i/>
          <w:iCs/>
        </w:rPr>
        <w:t xml:space="preserve">2023.gada 7.novembra sprieduma lietā Nr. SKA-184/2023, </w:t>
      </w:r>
      <w:hyperlink r:id="rId12" w:history="1">
        <w:r w:rsidRPr="005B22EE">
          <w:rPr>
            <w:rStyle w:val="Hyperlink"/>
            <w:i/>
            <w:iCs/>
          </w:rPr>
          <w:t>ECLI:LV:AT:2023:1107.A420223719.11.S</w:t>
        </w:r>
      </w:hyperlink>
      <w:r w:rsidRPr="005B22EE">
        <w:rPr>
          <w:i/>
          <w:iCs/>
        </w:rPr>
        <w:t>, 9.un 10.punkts</w:t>
      </w:r>
      <w:r>
        <w:t xml:space="preserve">). </w:t>
      </w:r>
    </w:p>
    <w:p w14:paraId="2DA83018" w14:textId="488CDA62" w:rsidR="00FF2DE3" w:rsidRDefault="00371FC6" w:rsidP="00663F90">
      <w:pPr>
        <w:spacing w:line="276" w:lineRule="auto"/>
        <w:ind w:firstLine="720"/>
        <w:jc w:val="both"/>
      </w:pPr>
      <w:r>
        <w:t>Ja preču piegāde jebkādā veidā ir notikusi (tātad ir darījums, kas ir apliekams ar pievienotās vērtības nodokli), tad a</w:t>
      </w:r>
      <w:r w:rsidR="00FF2DE3">
        <w:t xml:space="preserve">tteikt tiesības uz priekšnodokļa atskaitīšanu nodokļu maksātājam var tikai tad, ja, ņemot vērā objektīvus elementus, ir konstatēts, ka šis </w:t>
      </w:r>
      <w:r w:rsidR="00FF2DE3">
        <w:lastRenderedPageBreak/>
        <w:t>nodokļu maksātājs, kuram ir piegādātas preces vai sniegti pakalpojumi, ar kuriem tiek pamatotas tiesības uz atskaitīšanu, zināja vai viņam bija jāzina, ka, iegūstot šīs preces vai pakalpojumus, viņš piedalās darījumā, kas ir iesaistīts pievienotās vērtības nodokļa krāpšanā, ko izdarījis piegādātājs vai cits uzņēmējs, kurš iepriekš vai vēlāk ir iesaistījies šajās piegādēs vai šo pakalpojumu sniegšanā (</w:t>
      </w:r>
      <w:r w:rsidR="00FF2DE3" w:rsidRPr="00223868">
        <w:rPr>
          <w:i/>
          <w:iCs/>
        </w:rPr>
        <w:t xml:space="preserve">Eiropas Savienības Tiesas 2014.gada 13.februāra sprieduma lietā „Maks Pen EOOD”, C-18/13, </w:t>
      </w:r>
      <w:hyperlink r:id="rId13" w:history="1">
        <w:r w:rsidR="00FF2DE3" w:rsidRPr="0079271A">
          <w:rPr>
            <w:rStyle w:val="Hyperlink"/>
            <w:i/>
            <w:iCs/>
          </w:rPr>
          <w:t>ECLI:EU:C:2014:69</w:t>
        </w:r>
      </w:hyperlink>
      <w:r w:rsidR="00FF2DE3" w:rsidRPr="00223868">
        <w:rPr>
          <w:i/>
          <w:iCs/>
        </w:rPr>
        <w:t>, 28.punkts</w:t>
      </w:r>
      <w:r w:rsidR="00FF2DE3">
        <w:t>).</w:t>
      </w:r>
    </w:p>
    <w:p w14:paraId="2206A9EB" w14:textId="767D42B1" w:rsidR="00223868" w:rsidRDefault="00223868" w:rsidP="00663F90">
      <w:pPr>
        <w:spacing w:line="276" w:lineRule="auto"/>
        <w:ind w:firstLine="720"/>
        <w:jc w:val="both"/>
      </w:pPr>
      <w:r>
        <w:t>Darījuma partnera nelikumīgais vai fiktīvais raksturs vien nevar būt par pamatu secinājumam, kas novestu pie priekšnodokļa atskaitīšanas tiesību ierobežošanas (</w:t>
      </w:r>
      <w:r w:rsidRPr="00223868">
        <w:rPr>
          <w:i/>
          <w:iCs/>
        </w:rPr>
        <w:t>Senāta 2013.gada 7.maija sprieduma lietā Nr.</w:t>
      </w:r>
      <w:r w:rsidR="003F0B36">
        <w:rPr>
          <w:i/>
          <w:iCs/>
        </w:rPr>
        <w:t> </w:t>
      </w:r>
      <w:r w:rsidRPr="00223868">
        <w:rPr>
          <w:i/>
          <w:iCs/>
        </w:rPr>
        <w:t xml:space="preserve">SKA-14/2013, </w:t>
      </w:r>
      <w:hyperlink r:id="rId14" w:history="1">
        <w:r w:rsidRPr="003F0B36">
          <w:rPr>
            <w:rStyle w:val="Hyperlink"/>
            <w:i/>
            <w:iCs/>
          </w:rPr>
          <w:t>A42559408</w:t>
        </w:r>
      </w:hyperlink>
      <w:r w:rsidRPr="00223868">
        <w:rPr>
          <w:i/>
          <w:iCs/>
        </w:rPr>
        <w:t>, 12.punkts</w:t>
      </w:r>
      <w:r>
        <w:t>). Tieši rēķina saņēmēja rīcības novērtējums ir izšķirošs, lai būtu pamats ierobežot priekšnodokļa atskaitīšanas tiesības (</w:t>
      </w:r>
      <w:r w:rsidRPr="00223868">
        <w:rPr>
          <w:i/>
          <w:iCs/>
        </w:rPr>
        <w:t>Senāta 2019.gada 26.aprīļa sprieduma lietā Nr.</w:t>
      </w:r>
      <w:r w:rsidR="003F0B36">
        <w:rPr>
          <w:i/>
          <w:iCs/>
        </w:rPr>
        <w:t> </w:t>
      </w:r>
      <w:r w:rsidRPr="00223868">
        <w:rPr>
          <w:i/>
          <w:iCs/>
        </w:rPr>
        <w:t xml:space="preserve">SKA-21/2019, </w:t>
      </w:r>
      <w:hyperlink r:id="rId15" w:history="1">
        <w:r w:rsidRPr="003F0B36">
          <w:rPr>
            <w:rStyle w:val="Hyperlink"/>
            <w:i/>
            <w:iCs/>
          </w:rPr>
          <w:t>ECLI:LV:AT:2019:0426.A420267714.2.S</w:t>
        </w:r>
      </w:hyperlink>
      <w:r w:rsidRPr="00223868">
        <w:rPr>
          <w:i/>
          <w:iCs/>
        </w:rPr>
        <w:t>, 11.punkts</w:t>
      </w:r>
      <w:r>
        <w:t>).</w:t>
      </w:r>
    </w:p>
    <w:p w14:paraId="6D074240" w14:textId="77777777" w:rsidR="00654C3F" w:rsidRDefault="00654C3F" w:rsidP="00663F90">
      <w:pPr>
        <w:spacing w:line="276" w:lineRule="auto"/>
        <w:ind w:firstLine="720"/>
        <w:jc w:val="both"/>
        <w:rPr>
          <w:rFonts w:asciiTheme="majorBidi" w:hAnsiTheme="majorBidi" w:cstheme="majorBidi"/>
          <w:color w:val="000000"/>
        </w:rPr>
      </w:pPr>
    </w:p>
    <w:p w14:paraId="255C99FF" w14:textId="34B4825B" w:rsidR="00314A58" w:rsidRDefault="00373C20" w:rsidP="00663F90">
      <w:pPr>
        <w:spacing w:line="276" w:lineRule="auto"/>
        <w:ind w:firstLine="720"/>
        <w:jc w:val="both"/>
        <w:rPr>
          <w:rFonts w:asciiTheme="majorBidi" w:hAnsiTheme="majorBidi" w:cstheme="majorBidi"/>
        </w:rPr>
      </w:pPr>
      <w:r>
        <w:rPr>
          <w:rFonts w:asciiTheme="majorBidi" w:hAnsiTheme="majorBidi" w:cstheme="majorBidi"/>
          <w:color w:val="000000"/>
        </w:rPr>
        <w:t>[</w:t>
      </w:r>
      <w:r w:rsidR="00314A58">
        <w:rPr>
          <w:rFonts w:asciiTheme="majorBidi" w:hAnsiTheme="majorBidi" w:cstheme="majorBidi"/>
          <w:color w:val="000000"/>
        </w:rPr>
        <w:t>7</w:t>
      </w:r>
      <w:r>
        <w:rPr>
          <w:rFonts w:asciiTheme="majorBidi" w:hAnsiTheme="majorBidi" w:cstheme="majorBidi"/>
          <w:color w:val="000000"/>
        </w:rPr>
        <w:t>]</w:t>
      </w:r>
      <w:r w:rsidR="00AF299F">
        <w:rPr>
          <w:rFonts w:asciiTheme="majorBidi" w:hAnsiTheme="majorBidi" w:cstheme="majorBidi"/>
          <w:color w:val="000000"/>
        </w:rPr>
        <w:t> </w:t>
      </w:r>
      <w:r w:rsidR="00314A58">
        <w:rPr>
          <w:rFonts w:asciiTheme="majorBidi" w:hAnsiTheme="majorBidi" w:cstheme="majorBidi"/>
        </w:rPr>
        <w:t xml:space="preserve">Pārbaudot apgabaltiesas spriedumā norādīto konkrētās situācijas novērtējumu, Senāts atzīst, ka tas nav veikts atbilstoši </w:t>
      </w:r>
      <w:r w:rsidR="00314A58" w:rsidRPr="00AD0840">
        <w:rPr>
          <w:color w:val="000000" w:themeColor="text1"/>
        </w:rPr>
        <w:t>Pievienotās vērtības nodokļa likuma 92.pant</w:t>
      </w:r>
      <w:r w:rsidR="00314A58">
        <w:rPr>
          <w:color w:val="000000" w:themeColor="text1"/>
        </w:rPr>
        <w:t>a pirmās</w:t>
      </w:r>
      <w:r w:rsidR="00314A58">
        <w:rPr>
          <w:rFonts w:asciiTheme="majorBidi" w:hAnsiTheme="majorBidi" w:cstheme="majorBidi"/>
        </w:rPr>
        <w:t xml:space="preserve"> daļas </w:t>
      </w:r>
      <w:r w:rsidR="005329BA">
        <w:rPr>
          <w:rFonts w:asciiTheme="majorBidi" w:hAnsiTheme="majorBidi" w:cstheme="majorBidi"/>
        </w:rPr>
        <w:t xml:space="preserve">1.punkta </w:t>
      </w:r>
      <w:r w:rsidR="00314A58">
        <w:rPr>
          <w:rFonts w:asciiTheme="majorBidi" w:hAnsiTheme="majorBidi" w:cstheme="majorBidi"/>
        </w:rPr>
        <w:t>tiesiskajam sastāvam, kā arī Senāta un Eiropas Savienības Tiesas norādītajām atziņām (</w:t>
      </w:r>
      <w:r w:rsidR="00314A58" w:rsidRPr="00A209B2">
        <w:rPr>
          <w:rFonts w:asciiTheme="majorBidi" w:hAnsiTheme="majorBidi" w:cstheme="majorBidi"/>
          <w:i/>
          <w:iCs/>
        </w:rPr>
        <w:t>šā sprieduma 6.punkts</w:t>
      </w:r>
      <w:r w:rsidR="00314A58">
        <w:rPr>
          <w:rFonts w:asciiTheme="majorBidi" w:hAnsiTheme="majorBidi" w:cstheme="majorBidi"/>
        </w:rPr>
        <w:t>).</w:t>
      </w:r>
      <w:r w:rsidR="00ED3CE0">
        <w:rPr>
          <w:rFonts w:asciiTheme="majorBidi" w:hAnsiTheme="majorBidi" w:cstheme="majorBidi"/>
        </w:rPr>
        <w:t xml:space="preserve"> </w:t>
      </w:r>
    </w:p>
    <w:p w14:paraId="5A3ADFC2" w14:textId="2812B15B" w:rsidR="00FD52E6" w:rsidRDefault="00FD52E6" w:rsidP="00663F90">
      <w:pPr>
        <w:spacing w:line="276" w:lineRule="auto"/>
        <w:ind w:firstLine="720"/>
        <w:jc w:val="both"/>
        <w:rPr>
          <w:rFonts w:asciiTheme="majorBidi" w:hAnsiTheme="majorBidi" w:cstheme="majorBidi"/>
        </w:rPr>
      </w:pPr>
      <w:r>
        <w:rPr>
          <w:rFonts w:asciiTheme="majorBidi" w:hAnsiTheme="majorBidi" w:cstheme="majorBidi"/>
        </w:rPr>
        <w:t xml:space="preserve">Izskatāmajā lietā Valsts ieņēmumu dienests pārsūdzētajā lēmumā norādījis, ka </w:t>
      </w:r>
      <w:r w:rsidR="0086133E">
        <w:rPr>
          <w:rFonts w:asciiTheme="majorBidi" w:hAnsiTheme="majorBidi" w:cstheme="majorBidi"/>
        </w:rPr>
        <w:t xml:space="preserve">lietā nav strīda par strīdus darījumu dokumentos norādīto preču esību, bet gan par to saņemšanu no </w:t>
      </w:r>
      <w:r w:rsidR="0086133E" w:rsidRPr="00CE04F6">
        <w:t>SIA „IMEKSPO”</w:t>
      </w:r>
      <w:r w:rsidR="0086133E">
        <w:t xml:space="preserve"> (</w:t>
      </w:r>
      <w:r w:rsidR="0086133E" w:rsidRPr="0086133E">
        <w:rPr>
          <w:i/>
          <w:iCs/>
        </w:rPr>
        <w:t>lietas 1.sējuma 67.lp., pārsūdzētā lēmuma 51.lp.</w:t>
      </w:r>
      <w:r w:rsidR="0086133E">
        <w:t>).</w:t>
      </w:r>
    </w:p>
    <w:p w14:paraId="63245BE3" w14:textId="35FF0829" w:rsidR="00CE04F6" w:rsidRDefault="00CE04F6" w:rsidP="00663F90">
      <w:pPr>
        <w:autoSpaceDE w:val="0"/>
        <w:autoSpaceDN w:val="0"/>
        <w:adjustRightInd w:val="0"/>
        <w:spacing w:line="276" w:lineRule="auto"/>
        <w:ind w:firstLine="720"/>
        <w:jc w:val="both"/>
        <w:rPr>
          <w:color w:val="000000" w:themeColor="text1"/>
        </w:rPr>
      </w:pPr>
      <w:r w:rsidRPr="00CE04F6">
        <w:t xml:space="preserve">Apgabaltiesa </w:t>
      </w:r>
      <w:r w:rsidR="0030096C">
        <w:t>secināja</w:t>
      </w:r>
      <w:r w:rsidRPr="00CE04F6">
        <w:t>, ka SIA „IMEKSPO”</w:t>
      </w:r>
      <w:r w:rsidR="00504D1F">
        <w:t xml:space="preserve"> pieteicējai</w:t>
      </w:r>
      <w:r w:rsidR="00C30E8D">
        <w:t xml:space="preserve"> nevarēja piegādāt</w:t>
      </w:r>
      <w:r w:rsidR="000B4536">
        <w:t xml:space="preserve"> </w:t>
      </w:r>
      <w:r w:rsidR="000B4536" w:rsidRPr="00CE04F6">
        <w:t>strīdus preces</w:t>
      </w:r>
      <w:r w:rsidR="00C30E8D">
        <w:t>,</w:t>
      </w:r>
      <w:r w:rsidR="000B4536">
        <w:t xml:space="preserve"> šo</w:t>
      </w:r>
      <w:r w:rsidR="00504D1F">
        <w:t xml:space="preserve"> </w:t>
      </w:r>
      <w:r w:rsidRPr="00CE04F6">
        <w:t>pre</w:t>
      </w:r>
      <w:r w:rsidR="00C30E8D">
        <w:t>ču</w:t>
      </w:r>
      <w:r w:rsidRPr="00CE04F6">
        <w:t xml:space="preserve"> transport</w:t>
      </w:r>
      <w:r w:rsidR="00C30E8D">
        <w:t>ēšana</w:t>
      </w:r>
      <w:r w:rsidRPr="00CE04F6">
        <w:t xml:space="preserve"> no preču pavadzīmēs norādītās adreses uz pieteicējas noliktavu</w:t>
      </w:r>
      <w:r w:rsidR="00C30E8D">
        <w:t xml:space="preserve"> neapstiprinās ar pierādījumiem lietā, strīdus darījumi nav raksturīgi pieteicējas </w:t>
      </w:r>
      <w:r w:rsidR="00D71593">
        <w:t xml:space="preserve">ierastajai </w:t>
      </w:r>
      <w:r w:rsidR="00C30E8D">
        <w:t>komerciālajai praksei, kuras ietvaros preces tiek pirktas no ražotājiem</w:t>
      </w:r>
      <w:r w:rsidR="006D030B">
        <w:t xml:space="preserve">. </w:t>
      </w:r>
      <w:r w:rsidRPr="00CE04F6">
        <w:t xml:space="preserve">Līdz ar to apgabaltiesa </w:t>
      </w:r>
      <w:r w:rsidR="0030096C">
        <w:t>atzina</w:t>
      </w:r>
      <w:r w:rsidRPr="00CE04F6">
        <w:t>, ka pieteicējas darījumi ar SIA „IMEKSPO” faktiski nav notikuši un pieteicēja par to nevarēja nezināt.</w:t>
      </w:r>
      <w:r w:rsidR="00486CBF">
        <w:t xml:space="preserve"> </w:t>
      </w:r>
      <w:r>
        <w:rPr>
          <w:rFonts w:asciiTheme="majorBidi" w:hAnsiTheme="majorBidi" w:cstheme="majorBidi"/>
          <w:color w:val="000000" w:themeColor="text1"/>
        </w:rPr>
        <w:t>Vienlaikus a</w:t>
      </w:r>
      <w:r w:rsidRPr="00325D25">
        <w:rPr>
          <w:rFonts w:asciiTheme="majorBidi" w:hAnsiTheme="majorBidi" w:cstheme="majorBidi"/>
          <w:color w:val="000000" w:themeColor="text1"/>
        </w:rPr>
        <w:t xml:space="preserve">pgabaltiesa </w:t>
      </w:r>
      <w:r w:rsidR="0030096C">
        <w:rPr>
          <w:rFonts w:asciiTheme="majorBidi" w:hAnsiTheme="majorBidi" w:cstheme="majorBidi"/>
          <w:color w:val="000000" w:themeColor="text1"/>
        </w:rPr>
        <w:t>norādīja</w:t>
      </w:r>
      <w:r w:rsidRPr="00325D25">
        <w:rPr>
          <w:rFonts w:asciiTheme="majorBidi" w:hAnsiTheme="majorBidi" w:cstheme="majorBidi"/>
          <w:color w:val="000000" w:themeColor="text1"/>
        </w:rPr>
        <w:t xml:space="preserve">, ka </w:t>
      </w:r>
      <w:r w:rsidRPr="00325D25">
        <w:rPr>
          <w:color w:val="000000" w:themeColor="text1"/>
        </w:rPr>
        <w:t>preces pieteicējas rīcībā faktiski varētu būt bijušas,</w:t>
      </w:r>
      <w:r>
        <w:rPr>
          <w:color w:val="000000" w:themeColor="text1"/>
        </w:rPr>
        <w:t xml:space="preserve"> jo to apstiprina pieteicējas noliktavas </w:t>
      </w:r>
      <w:r w:rsidR="00F83439">
        <w:rPr>
          <w:color w:val="000000" w:themeColor="text1"/>
        </w:rPr>
        <w:t xml:space="preserve">atlikumu </w:t>
      </w:r>
      <w:r>
        <w:rPr>
          <w:color w:val="000000" w:themeColor="text1"/>
        </w:rPr>
        <w:t>uzskaites sistēmas dati un apstāklis, ka preces ir tikušas atsavinātas Igaunijas komersantam.</w:t>
      </w:r>
    </w:p>
    <w:p w14:paraId="5CA76683" w14:textId="78C29625" w:rsidR="00371FC6" w:rsidRDefault="00371FC6" w:rsidP="00663F90">
      <w:pPr>
        <w:spacing w:line="276" w:lineRule="auto"/>
        <w:ind w:firstLine="720"/>
        <w:jc w:val="both"/>
      </w:pPr>
      <w:r>
        <w:t>Apgabaltiesas spriedums tādējādi ir pretrunīgs attiecībā uz to, vai preces vispār bija piegādātas. Secinājums, ka neskaidras darījumu ķēdes dēļ neapstiprinās preču piegāde tieši no konkrētā darījumu partnera vai neapstiprinās piegāde konkrētā veidā, vēl nenozīmē, ka vispār nav faktiski noticis darījums. Tādēļ secinājums, ka faktiski darījums</w:t>
      </w:r>
      <w:r w:rsidR="00D44FF4">
        <w:t xml:space="preserve"> nav noticis</w:t>
      </w:r>
      <w:r>
        <w:t xml:space="preserve"> balstās uz nepilnīgi noskaidrotiem faktiem un pretrunīgiem secinājumiem.</w:t>
      </w:r>
    </w:p>
    <w:p w14:paraId="698A57A3" w14:textId="77777777" w:rsidR="00371FC6" w:rsidRDefault="00371FC6" w:rsidP="00663F90">
      <w:pPr>
        <w:spacing w:line="276" w:lineRule="auto"/>
        <w:ind w:firstLine="720"/>
        <w:jc w:val="both"/>
      </w:pPr>
      <w:r>
        <w:t xml:space="preserve">Ja pieņem, ka apgabaltiesa ir atstājusi atvērtu jautājumu par preču piegādes faktisku esību, tālāk jo īpaši svarīgi ir pierādīt, ka, pat ja piegāde ir bijusi, tā ir notikusi ar mērķi krāpties vai gūt fiskālas priekšrocības no pievienotās vērtības nodokļa sistēmas, ka pieteicēja par to zināja vai tai bija par to jāzina. </w:t>
      </w:r>
    </w:p>
    <w:p w14:paraId="5DA0FC63" w14:textId="17218C38" w:rsidR="006D030B" w:rsidRDefault="006D030B" w:rsidP="00663F90">
      <w:pPr>
        <w:spacing w:line="276" w:lineRule="auto"/>
        <w:ind w:firstLine="720"/>
        <w:jc w:val="both"/>
      </w:pPr>
      <w:r>
        <w:t xml:space="preserve">Apgabaltiesas pierādījumu novērtējums norāda uz to, ka, iespējams, </w:t>
      </w:r>
      <w:r w:rsidRPr="00325D25">
        <w:rPr>
          <w:color w:val="000000" w:themeColor="text1"/>
        </w:rPr>
        <w:t>SIA „IMEKSPO”</w:t>
      </w:r>
      <w:r>
        <w:rPr>
          <w:color w:val="000000" w:themeColor="text1"/>
        </w:rPr>
        <w:t xml:space="preserve"> </w:t>
      </w:r>
      <w:r>
        <w:t>rīcība darījumu ietvaros nav bijusi labticīga</w:t>
      </w:r>
      <w:r w:rsidR="00371FC6">
        <w:t xml:space="preserve"> un tā varētu būt fiktīvs uzņēmums. Taču noskaidrotie fakti acīmredzami nesniedz pietiekamu pārliecību par </w:t>
      </w:r>
      <w:r>
        <w:t xml:space="preserve">pieteicējas apzinātu iesaisti </w:t>
      </w:r>
      <w:r w:rsidR="00371FC6">
        <w:t xml:space="preserve">pievienotās vērtības </w:t>
      </w:r>
      <w:r>
        <w:t>nodokļ</w:t>
      </w:r>
      <w:r w:rsidR="00371FC6">
        <w:t>a</w:t>
      </w:r>
      <w:r>
        <w:t xml:space="preserve"> sistēmas ļaunprātīgā izmantošanā. </w:t>
      </w:r>
    </w:p>
    <w:p w14:paraId="48D69D17" w14:textId="77777777" w:rsidR="005D0046" w:rsidRDefault="005D0046" w:rsidP="00663F90">
      <w:pPr>
        <w:spacing w:line="276" w:lineRule="auto"/>
        <w:ind w:firstLine="720"/>
        <w:jc w:val="both"/>
      </w:pPr>
    </w:p>
    <w:p w14:paraId="5BDD796B" w14:textId="12EAE36A" w:rsidR="00441957" w:rsidRDefault="005D0046" w:rsidP="00663F90">
      <w:pPr>
        <w:spacing w:line="276" w:lineRule="auto"/>
        <w:ind w:firstLine="720"/>
        <w:jc w:val="both"/>
      </w:pPr>
      <w:r>
        <w:lastRenderedPageBreak/>
        <w:t>[8]</w:t>
      </w:r>
      <w:r w:rsidR="00AF299F">
        <w:t> </w:t>
      </w:r>
      <w:r w:rsidR="00441957">
        <w:t>Apgabaltiesa no apstākļa, ka tās darījumu partnere SIA „IMEKSPO” un tās darījumu partneri augšupējā darījumu ķēdē ir fiktīvi uzņēmumi vai ar fiktīvu uzņēmumu pazīmēm</w:t>
      </w:r>
      <w:r w:rsidR="005E622A">
        <w:t xml:space="preserve">, </w:t>
      </w:r>
      <w:r w:rsidR="00441957">
        <w:t xml:space="preserve">secināja, ka </w:t>
      </w:r>
      <w:r w:rsidR="005E622A" w:rsidRPr="005E622A">
        <w:t xml:space="preserve">nav iespējams identificēt strīdus preču izcelsmi </w:t>
      </w:r>
      <w:r w:rsidR="005E622A">
        <w:t xml:space="preserve">un ka </w:t>
      </w:r>
      <w:r w:rsidR="00441957" w:rsidRPr="00441957">
        <w:t>SIA</w:t>
      </w:r>
      <w:r w:rsidR="00D71C56">
        <w:t> </w:t>
      </w:r>
      <w:r w:rsidR="00441957" w:rsidRPr="00441957">
        <w:t>„IMEKSPO” rīcībā nevarēja būt preces, kas noformētas kā piegādātas pieteicējai</w:t>
      </w:r>
      <w:r w:rsidR="00D44FF4">
        <w:t xml:space="preserve"> (</w:t>
      </w:r>
      <w:r w:rsidR="00D44FF4" w:rsidRPr="00D44FF4">
        <w:rPr>
          <w:i/>
          <w:iCs/>
        </w:rPr>
        <w:t>apgabaltiesas sprieduma 11.punkts</w:t>
      </w:r>
      <w:r w:rsidR="00D44FF4">
        <w:t>)</w:t>
      </w:r>
      <w:r w:rsidR="00441957">
        <w:t>.</w:t>
      </w:r>
    </w:p>
    <w:p w14:paraId="24084023" w14:textId="562646E7" w:rsidR="003664E0" w:rsidRPr="005E622A" w:rsidRDefault="00441957" w:rsidP="00663F90">
      <w:pPr>
        <w:spacing w:line="276" w:lineRule="auto"/>
        <w:ind w:firstLine="720"/>
        <w:jc w:val="both"/>
      </w:pPr>
      <w:r>
        <w:t>Senāts norāda, ka šāds secinājums acīmredzami nav pienācīgi pamatots un loģisks. No tā, ka augšupējā darīj</w:t>
      </w:r>
      <w:r w:rsidR="005E622A">
        <w:t xml:space="preserve">umu ķēdē ir fiktīvi uzņēmumi, nenozīmē, ka to vārdā nevarēja tikt piegādātas preces. Preces var tikt iegūtas arī nelikumīgos </w:t>
      </w:r>
      <w:r w:rsidR="00E7066E">
        <w:t>veidos</w:t>
      </w:r>
      <w:r w:rsidR="005E622A">
        <w:t xml:space="preserve">, kuros preču izcelsme nav noskaidrojama, taču tas </w:t>
      </w:r>
      <w:r w:rsidR="00E7066E">
        <w:t xml:space="preserve">vien </w:t>
      </w:r>
      <w:r w:rsidR="005E622A">
        <w:t xml:space="preserve">nenozīmē, ka preces nevarēja būt. Realitātē nevar izslēgt gadījumus, kurā dažādu apstākļu un apsvērumu dēļ tiek piegādātas preces fiktīvu uzņēmumu aizsegā un ar neskaidru izcelsmi, taču piegāde kā tāda ir notikusi. Tieši tas ir tiesas uzdevumus šādā gadījumā – noskaidrot, vai notika tāda pievienotās vērtības nodokļa sistēmas ļaunprātīga izmantošana, par kuru zināja vai vismaz vajadzēja zināt konkrētajam nodokļa maksātājam. </w:t>
      </w:r>
      <w:r w:rsidR="00E7066E">
        <w:t>Tādējādi</w:t>
      </w:r>
      <w:r w:rsidR="005E622A">
        <w:t xml:space="preserve">, kā jau iepriekš norādīts, </w:t>
      </w:r>
      <w:r w:rsidR="003664E0">
        <w:rPr>
          <w:color w:val="000000" w:themeColor="text1"/>
        </w:rPr>
        <w:t xml:space="preserve">no </w:t>
      </w:r>
      <w:r w:rsidR="00E7066E">
        <w:rPr>
          <w:color w:val="000000" w:themeColor="text1"/>
        </w:rPr>
        <w:t xml:space="preserve">tā </w:t>
      </w:r>
      <w:r w:rsidR="003664E0">
        <w:rPr>
          <w:color w:val="000000" w:themeColor="text1"/>
        </w:rPr>
        <w:t>apstākļa</w:t>
      </w:r>
      <w:r w:rsidR="00E7066E">
        <w:rPr>
          <w:color w:val="000000" w:themeColor="text1"/>
        </w:rPr>
        <w:t xml:space="preserve"> vien</w:t>
      </w:r>
      <w:r w:rsidR="003664E0">
        <w:rPr>
          <w:color w:val="000000" w:themeColor="text1"/>
        </w:rPr>
        <w:t xml:space="preserve">, ka preces nav saņemtas no konkrētā darījumu partnera, nevar </w:t>
      </w:r>
      <w:r w:rsidR="002E19C5">
        <w:rPr>
          <w:color w:val="000000" w:themeColor="text1"/>
        </w:rPr>
        <w:t xml:space="preserve">attiecīgi </w:t>
      </w:r>
      <w:r w:rsidR="003664E0">
        <w:rPr>
          <w:color w:val="000000" w:themeColor="text1"/>
        </w:rPr>
        <w:t>secināt</w:t>
      </w:r>
      <w:r w:rsidR="00D44FF4">
        <w:rPr>
          <w:color w:val="000000" w:themeColor="text1"/>
        </w:rPr>
        <w:t xml:space="preserve"> arī to</w:t>
      </w:r>
      <w:r w:rsidR="003664E0">
        <w:rPr>
          <w:color w:val="000000" w:themeColor="text1"/>
        </w:rPr>
        <w:t xml:space="preserve">, ka </w:t>
      </w:r>
      <w:r w:rsidR="005E622A">
        <w:rPr>
          <w:color w:val="000000" w:themeColor="text1"/>
        </w:rPr>
        <w:t>konkrētais nodokļa maksātājs</w:t>
      </w:r>
      <w:r w:rsidR="003664E0">
        <w:rPr>
          <w:color w:val="000000" w:themeColor="text1"/>
        </w:rPr>
        <w:t xml:space="preserve"> zināja vai ta</w:t>
      </w:r>
      <w:r w:rsidR="005E622A">
        <w:rPr>
          <w:color w:val="000000" w:themeColor="text1"/>
        </w:rPr>
        <w:t>m</w:t>
      </w:r>
      <w:r w:rsidR="003664E0">
        <w:rPr>
          <w:color w:val="000000" w:themeColor="text1"/>
        </w:rPr>
        <w:t xml:space="preserve"> bija jāzina par iesaistīšanos nepamatotā nodokļu samazināšanas plānā.</w:t>
      </w:r>
      <w:r w:rsidR="00607722">
        <w:rPr>
          <w:color w:val="000000" w:themeColor="text1"/>
        </w:rPr>
        <w:t xml:space="preserve"> </w:t>
      </w:r>
    </w:p>
    <w:p w14:paraId="118625CD" w14:textId="77777777" w:rsidR="005D0046" w:rsidRDefault="005D0046" w:rsidP="00663F90">
      <w:pPr>
        <w:spacing w:line="276" w:lineRule="auto"/>
        <w:ind w:firstLine="720"/>
        <w:jc w:val="both"/>
      </w:pPr>
    </w:p>
    <w:p w14:paraId="7F7DB778" w14:textId="60E6F9FB" w:rsidR="00577814" w:rsidRDefault="005D0046" w:rsidP="00663F90">
      <w:pPr>
        <w:spacing w:line="276" w:lineRule="auto"/>
        <w:ind w:firstLine="720"/>
        <w:jc w:val="both"/>
      </w:pPr>
      <w:r>
        <w:t>[9]</w:t>
      </w:r>
      <w:r w:rsidR="00AF299F">
        <w:t> </w:t>
      </w:r>
      <w:r w:rsidR="005E622A">
        <w:t>L</w:t>
      </w:r>
      <w:r w:rsidR="00FD51C8" w:rsidRPr="00E853AD">
        <w:t xml:space="preserve">ai nonāktu pie secinājuma, </w:t>
      </w:r>
      <w:r w:rsidR="005E622A" w:rsidRPr="003D67A0">
        <w:t>ka pieteicēja zināja vai tai bija jāzina</w:t>
      </w:r>
      <w:r w:rsidR="005E622A">
        <w:t xml:space="preserve">, ka tā iesaistās pievienotās vērtības nodokļa sistēmas ļaunprātīgā izmantošanā, </w:t>
      </w:r>
      <w:r w:rsidR="00FD51C8">
        <w:t xml:space="preserve">strīdus darījumu </w:t>
      </w:r>
      <w:r w:rsidR="00FD51C8" w:rsidRPr="00907962">
        <w:rPr>
          <w:rFonts w:asciiTheme="majorBidi" w:hAnsiTheme="majorBidi" w:cstheme="majorBidi"/>
          <w:color w:val="000000"/>
        </w:rPr>
        <w:t>faktisk</w:t>
      </w:r>
      <w:r w:rsidR="00FD51C8">
        <w:rPr>
          <w:rFonts w:asciiTheme="majorBidi" w:hAnsiTheme="majorBidi" w:cstheme="majorBidi"/>
          <w:color w:val="000000"/>
        </w:rPr>
        <w:t>ie</w:t>
      </w:r>
      <w:r w:rsidR="00FD51C8" w:rsidRPr="00907962">
        <w:rPr>
          <w:rFonts w:asciiTheme="majorBidi" w:hAnsiTheme="majorBidi" w:cstheme="majorBidi"/>
          <w:color w:val="000000"/>
        </w:rPr>
        <w:t xml:space="preserve"> apstākļ</w:t>
      </w:r>
      <w:r w:rsidR="00FD51C8">
        <w:rPr>
          <w:rFonts w:asciiTheme="majorBidi" w:hAnsiTheme="majorBidi" w:cstheme="majorBidi"/>
          <w:color w:val="000000"/>
        </w:rPr>
        <w:t>i ir</w:t>
      </w:r>
      <w:r w:rsidR="00FD51C8" w:rsidRPr="00907962">
        <w:rPr>
          <w:rFonts w:asciiTheme="majorBidi" w:hAnsiTheme="majorBidi" w:cstheme="majorBidi"/>
          <w:color w:val="000000"/>
        </w:rPr>
        <w:t xml:space="preserve"> visaptveroš</w:t>
      </w:r>
      <w:r w:rsidR="00FD51C8">
        <w:rPr>
          <w:rFonts w:asciiTheme="majorBidi" w:hAnsiTheme="majorBidi" w:cstheme="majorBidi"/>
          <w:color w:val="000000"/>
        </w:rPr>
        <w:t>i</w:t>
      </w:r>
      <w:r w:rsidR="00FD51C8" w:rsidRPr="00907962">
        <w:rPr>
          <w:rFonts w:asciiTheme="majorBidi" w:hAnsiTheme="majorBidi" w:cstheme="majorBidi"/>
          <w:color w:val="000000"/>
        </w:rPr>
        <w:t xml:space="preserve"> </w:t>
      </w:r>
      <w:r w:rsidR="00FD51C8">
        <w:rPr>
          <w:rFonts w:asciiTheme="majorBidi" w:hAnsiTheme="majorBidi" w:cstheme="majorBidi"/>
          <w:color w:val="000000"/>
        </w:rPr>
        <w:t>jānovērtē</w:t>
      </w:r>
      <w:r w:rsidR="005E622A">
        <w:rPr>
          <w:rFonts w:asciiTheme="majorBidi" w:hAnsiTheme="majorBidi" w:cstheme="majorBidi"/>
          <w:color w:val="000000"/>
        </w:rPr>
        <w:t>. T</w:t>
      </w:r>
      <w:r w:rsidR="00532530">
        <w:t xml:space="preserve">ostarp jānovērtē tieši pieteicējas rīcība, lai </w:t>
      </w:r>
      <w:r w:rsidR="008F7ADF">
        <w:t>gūtu apstiprinājumu, ka ir</w:t>
      </w:r>
      <w:r w:rsidR="00532530">
        <w:t xml:space="preserve"> pamats pieteicējai ierobežot priekšnodokļa atskaitīšanas tiesības.</w:t>
      </w:r>
      <w:r w:rsidR="00577814">
        <w:t xml:space="preserve"> </w:t>
      </w:r>
    </w:p>
    <w:p w14:paraId="484F78C2" w14:textId="71C341BA" w:rsidR="00FD51C8" w:rsidRDefault="00FD51C8" w:rsidP="00663F90">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To apstiprina gan </w:t>
      </w:r>
      <w:r w:rsidR="00D71593">
        <w:rPr>
          <w:rFonts w:asciiTheme="majorBidi" w:hAnsiTheme="majorBidi" w:cstheme="majorBidi"/>
          <w:color w:val="000000"/>
        </w:rPr>
        <w:t xml:space="preserve">šajā spriedumā </w:t>
      </w:r>
      <w:r>
        <w:rPr>
          <w:rFonts w:asciiTheme="majorBidi" w:hAnsiTheme="majorBidi" w:cstheme="majorBidi"/>
          <w:color w:val="000000"/>
        </w:rPr>
        <w:t xml:space="preserve">norādītās Senāta atziņas, gan </w:t>
      </w:r>
      <w:r w:rsidRPr="00F305AF">
        <w:rPr>
          <w:rFonts w:asciiTheme="majorBidi" w:hAnsiTheme="majorBidi" w:cstheme="majorBidi"/>
          <w:color w:val="000000"/>
        </w:rPr>
        <w:t>Eiropas Savienības Tiesa</w:t>
      </w:r>
      <w:r>
        <w:rPr>
          <w:rFonts w:asciiTheme="majorBidi" w:hAnsiTheme="majorBidi" w:cstheme="majorBidi"/>
          <w:color w:val="000000"/>
        </w:rPr>
        <w:t>s</w:t>
      </w:r>
      <w:r w:rsidRPr="00F305AF">
        <w:rPr>
          <w:rFonts w:asciiTheme="majorBidi" w:hAnsiTheme="majorBidi" w:cstheme="majorBidi"/>
          <w:color w:val="000000"/>
        </w:rPr>
        <w:t xml:space="preserve"> </w:t>
      </w:r>
      <w:r>
        <w:rPr>
          <w:rFonts w:asciiTheme="majorBidi" w:hAnsiTheme="majorBidi" w:cstheme="majorBidi"/>
          <w:color w:val="000000"/>
        </w:rPr>
        <w:t>atgādinātais</w:t>
      </w:r>
      <w:r w:rsidRPr="00F305AF">
        <w:rPr>
          <w:rFonts w:asciiTheme="majorBidi" w:hAnsiTheme="majorBidi" w:cstheme="majorBidi"/>
          <w:color w:val="000000"/>
        </w:rPr>
        <w:t xml:space="preserve">, ka </w:t>
      </w:r>
      <w:r w:rsidRPr="00F305AF">
        <w:rPr>
          <w:color w:val="000000"/>
        </w:rPr>
        <w:t>ar Padomes 2006.gada 28.novembra direktīvas</w:t>
      </w:r>
      <w:r>
        <w:rPr>
          <w:color w:val="000000"/>
        </w:rPr>
        <w:t xml:space="preserve"> </w:t>
      </w:r>
      <w:r w:rsidRPr="00F305AF">
        <w:rPr>
          <w:color w:val="000000"/>
        </w:rPr>
        <w:t>2006/112/EK par kopējo pievienotās vērtības nodokļa sistēmu</w:t>
      </w:r>
      <w:r>
        <w:rPr>
          <w:rFonts w:asciiTheme="majorBidi" w:hAnsiTheme="majorBidi" w:cstheme="majorBidi"/>
          <w:color w:val="000000"/>
        </w:rPr>
        <w:t xml:space="preserve"> </w:t>
      </w:r>
      <w:r w:rsidRPr="00F305AF">
        <w:rPr>
          <w:rFonts w:asciiTheme="majorBidi" w:hAnsiTheme="majorBidi" w:cstheme="majorBidi"/>
          <w:color w:val="000000"/>
        </w:rPr>
        <w:t xml:space="preserve">paredzēto tiesību uz nodokļa atskaitīšanu sistēmu nav saderīgi tas, ka ar šo tiesību atteikumu tiek sodīts nodokļa maksātājs, kurš nav zinājis vai nevarēja zināt, ka konkrētais darījums ir iesaistīts piegādātāja izdarītā krāpšanā vai ka cits darījums, kas ietilpst piegādes ķēdē pirms vai pēc nodokļa maksātāja veiktā darījuma, ir saistīts ar </w:t>
      </w:r>
      <w:r>
        <w:rPr>
          <w:rFonts w:asciiTheme="majorBidi" w:hAnsiTheme="majorBidi" w:cstheme="majorBidi"/>
          <w:color w:val="000000"/>
        </w:rPr>
        <w:t>pievienotās vērtības nodokļa</w:t>
      </w:r>
      <w:r w:rsidRPr="00F305AF">
        <w:rPr>
          <w:rFonts w:asciiTheme="majorBidi" w:hAnsiTheme="majorBidi" w:cstheme="majorBidi"/>
          <w:color w:val="000000"/>
        </w:rPr>
        <w:t xml:space="preserve"> krāpšanu; atbildības bez vainas sistēmas izveidošana pārsniegtu to, kas ir nepieciešams valsts kases tiesību aizsardzībai</w:t>
      </w:r>
      <w:r>
        <w:rPr>
          <w:rFonts w:asciiTheme="majorBidi" w:hAnsiTheme="majorBidi" w:cstheme="majorBidi"/>
          <w:color w:val="000000"/>
        </w:rPr>
        <w:t xml:space="preserve"> </w:t>
      </w:r>
      <w:r w:rsidRPr="00F305AF">
        <w:rPr>
          <w:rFonts w:asciiTheme="majorBidi" w:hAnsiTheme="majorBidi" w:cstheme="majorBidi"/>
          <w:color w:val="000000"/>
        </w:rPr>
        <w:t>(</w:t>
      </w:r>
      <w:r w:rsidRPr="001B0C61">
        <w:rPr>
          <w:rFonts w:asciiTheme="majorBidi" w:hAnsiTheme="majorBidi" w:cstheme="majorBidi"/>
          <w:i/>
          <w:iCs/>
          <w:color w:val="000000"/>
        </w:rPr>
        <w:t xml:space="preserve">Eiropas Savienības Tiesas 2022.gada 1.decembra sprieduma lietā ,,Aquila Part Prod Com”, </w:t>
      </w:r>
      <w:r w:rsidRPr="001B0C61">
        <w:rPr>
          <w:rFonts w:asciiTheme="majorBidi" w:hAnsiTheme="majorBidi" w:cstheme="majorBidi"/>
          <w:i/>
          <w:iCs/>
        </w:rPr>
        <w:t>C</w:t>
      </w:r>
      <w:r w:rsidRPr="001B0C61">
        <w:rPr>
          <w:rFonts w:asciiTheme="majorBidi" w:hAnsiTheme="majorBidi" w:cstheme="majorBidi"/>
          <w:i/>
          <w:iCs/>
        </w:rPr>
        <w:noBreakHyphen/>
        <w:t>512/21</w:t>
      </w:r>
      <w:r w:rsidRPr="001B0C61">
        <w:rPr>
          <w:rFonts w:asciiTheme="majorBidi" w:hAnsiTheme="majorBidi" w:cstheme="majorBidi"/>
          <w:i/>
          <w:iCs/>
          <w:color w:val="000000"/>
        </w:rPr>
        <w:t xml:space="preserve">, </w:t>
      </w:r>
      <w:hyperlink r:id="rId16" w:history="1">
        <w:r w:rsidRPr="000672B5">
          <w:rPr>
            <w:rStyle w:val="Hyperlink"/>
            <w:rFonts w:asciiTheme="majorBidi" w:hAnsiTheme="majorBidi" w:cstheme="majorBidi"/>
            <w:i/>
            <w:iCs/>
          </w:rPr>
          <w:t>ECLI:EU:C:2022:950</w:t>
        </w:r>
      </w:hyperlink>
      <w:r w:rsidRPr="001B0C61">
        <w:rPr>
          <w:rFonts w:asciiTheme="majorBidi" w:hAnsiTheme="majorBidi" w:cstheme="majorBidi"/>
          <w:i/>
          <w:iCs/>
          <w:color w:val="000000"/>
        </w:rPr>
        <w:t xml:space="preserve">, </w:t>
      </w:r>
      <w:r>
        <w:rPr>
          <w:rFonts w:asciiTheme="majorBidi" w:hAnsiTheme="majorBidi" w:cstheme="majorBidi"/>
          <w:i/>
          <w:iCs/>
          <w:color w:val="000000"/>
        </w:rPr>
        <w:t>29.</w:t>
      </w:r>
      <w:r w:rsidRPr="001B0C61">
        <w:rPr>
          <w:rFonts w:asciiTheme="majorBidi" w:hAnsiTheme="majorBidi" w:cstheme="majorBidi"/>
          <w:i/>
          <w:iCs/>
          <w:color w:val="000000"/>
        </w:rPr>
        <w:t>punkts un tajā norādītā judikatūra</w:t>
      </w:r>
      <w:r w:rsidRPr="00F305AF">
        <w:rPr>
          <w:rFonts w:asciiTheme="majorBidi" w:hAnsiTheme="majorBidi" w:cstheme="majorBidi"/>
          <w:color w:val="000000"/>
        </w:rPr>
        <w:t>).</w:t>
      </w:r>
    </w:p>
    <w:p w14:paraId="21844917" w14:textId="77777777" w:rsidR="00F82039" w:rsidRDefault="00F82039" w:rsidP="00663F90">
      <w:pPr>
        <w:spacing w:line="276" w:lineRule="auto"/>
        <w:ind w:firstLine="720"/>
        <w:jc w:val="both"/>
      </w:pPr>
    </w:p>
    <w:p w14:paraId="74F3A51B" w14:textId="60F87D46" w:rsidR="00997712" w:rsidRDefault="00F82039" w:rsidP="00663F90">
      <w:pPr>
        <w:spacing w:line="276" w:lineRule="auto"/>
        <w:ind w:firstLine="720"/>
        <w:jc w:val="both"/>
        <w:rPr>
          <w:rFonts w:asciiTheme="majorBidi" w:hAnsiTheme="majorBidi" w:cstheme="majorBidi"/>
          <w:color w:val="000000"/>
        </w:rPr>
      </w:pPr>
      <w:r>
        <w:t>[10]</w:t>
      </w:r>
      <w:r w:rsidR="00AF299F">
        <w:t> </w:t>
      </w:r>
      <w:r w:rsidR="00D71593">
        <w:t xml:space="preserve">Apgabaltiesa pamatoti </w:t>
      </w:r>
      <w:r w:rsidR="002E19C5">
        <w:t xml:space="preserve">ir vērtējusi </w:t>
      </w:r>
      <w:r w:rsidR="00D71593">
        <w:t>strīdus preču izcelsmes un transportēšanas apstākļus, lai noskaidrotu strīdus darījumu būtību. Tāpat arī pamatoti vērtējusi pieteicējas ierasto komerciālo praksi</w:t>
      </w:r>
      <w:r w:rsidR="00313F55">
        <w:t xml:space="preserve"> preču iepirkumos</w:t>
      </w:r>
      <w:r w:rsidR="00D71593">
        <w:t>.</w:t>
      </w:r>
      <w:r w:rsidR="00D71593">
        <w:rPr>
          <w:rFonts w:asciiTheme="majorBidi" w:hAnsiTheme="majorBidi" w:cstheme="majorBidi"/>
          <w:color w:val="000000"/>
        </w:rPr>
        <w:t xml:space="preserve"> </w:t>
      </w:r>
    </w:p>
    <w:p w14:paraId="39A176C9" w14:textId="5BCEE35F" w:rsidR="00F667C2" w:rsidRDefault="00D71593" w:rsidP="00663F90">
      <w:pPr>
        <w:spacing w:line="276" w:lineRule="auto"/>
        <w:ind w:firstLine="720"/>
        <w:jc w:val="both"/>
      </w:pPr>
      <w:r>
        <w:rPr>
          <w:rFonts w:asciiTheme="majorBidi" w:hAnsiTheme="majorBidi" w:cstheme="majorBidi"/>
          <w:color w:val="000000"/>
        </w:rPr>
        <w:t xml:space="preserve">Tomēr </w:t>
      </w:r>
      <w:r>
        <w:t>n</w:t>
      </w:r>
      <w:r w:rsidR="00B1291C">
        <w:t>av pietiek</w:t>
      </w:r>
      <w:r w:rsidR="00997712">
        <w:t>am</w:t>
      </w:r>
      <w:r w:rsidR="00B1291C">
        <w:t>i norādīt, ka pieteicējai strīdus darījumi ir bijuši neierasti, jo citos gadījumos tā preces iegādājās no ražotājiem,</w:t>
      </w:r>
      <w:r w:rsidR="00F963C9">
        <w:t xml:space="preserve"> </w:t>
      </w:r>
      <w:r w:rsidR="00B1291C">
        <w:t>kā arī to, ka pieteicējas darbinieki nav snieguši konkrētu informāciju par preču transportēšanu</w:t>
      </w:r>
      <w:r w:rsidR="00997712">
        <w:t>. T</w:t>
      </w:r>
      <w:r w:rsidR="00B1291C">
        <w:t xml:space="preserve">as objektīvi tā varētu būt, ka darbinieks neatceras kāda </w:t>
      </w:r>
      <w:r w:rsidR="000B4536">
        <w:t xml:space="preserve">pagātnē notikuša </w:t>
      </w:r>
      <w:r w:rsidR="00B1291C">
        <w:t>darījuma apstākļus, ja darījumu apjoms ir bijis ievērojams</w:t>
      </w:r>
      <w:r w:rsidR="000B4536">
        <w:t xml:space="preserve"> (</w:t>
      </w:r>
      <w:r w:rsidR="000F5580">
        <w:t>pieteicēja paskaidrojumos norāda, ka tās noliktavas uzskaitē ir bijušas aptuveni 60 000 preču vienības)</w:t>
      </w:r>
      <w:r w:rsidR="00B1291C">
        <w:t>. Savukārt uz citiem apstākļiem, kas norādītu uz pašas pieteicējas rīcību un kas varētu liecināt, ka tā zināja vai ka tai vajadzēja zināt par iesaisti ļaunprātīgā nodokļu sistēmas izmantošanā, spriedumā nav norādīts</w:t>
      </w:r>
      <w:r w:rsidR="00F963C9">
        <w:t xml:space="preserve">. </w:t>
      </w:r>
      <w:r w:rsidR="00997712">
        <w:t xml:space="preserve">Arī pieteicējas apsvērumi, ar ko tā pamatoja motivāciju iegādāties preces, ir noraidīti ar pašas tiesas </w:t>
      </w:r>
      <w:r w:rsidR="00997712">
        <w:lastRenderedPageBreak/>
        <w:t xml:space="preserve">nepietiekami pārliecinošiem apsvērumiem. Proti, apgabaltiesa pieteicējas norādi uz vēlmi novērst </w:t>
      </w:r>
      <w:r w:rsidR="00F667C2">
        <w:t xml:space="preserve">jaunu konkurentu ienākšanu tirgū sasaistīja ar nepieciešamību tādā gadījumā konstatēt, ka </w:t>
      </w:r>
      <w:r w:rsidR="00997712" w:rsidRPr="00997712">
        <w:t>SIA „IMEKSPO” preču cenas iepretim ražotāja cenām bija izdevīgākas</w:t>
      </w:r>
      <w:r w:rsidR="00F667C2">
        <w:t xml:space="preserve">. Bez plašāka paskaidrojuma šāds skatījums nešķiet pamatots, jo nav saprotams, kādēļ būtu pretstatāmas SIA „IMEKSPO” un ražotāja cenas, nevis iespējamās cenas, kādas konkrētajā tirgū varētu piedāvāt pieteicēja un iespējams cits tirgotājs. Turklāt no tirgus </w:t>
      </w:r>
      <w:r w:rsidR="00E7066E">
        <w:t>stāvokļa</w:t>
      </w:r>
      <w:r w:rsidR="00F667C2">
        <w:t xml:space="preserve"> saglabāšanas viedokļa jauna konkurenta atturēšana ilgtermiņā var izrādīties būtiskāks faktors nekā konkrētas iegādes izdevīgums pieteicējai. </w:t>
      </w:r>
    </w:p>
    <w:p w14:paraId="5407AC40" w14:textId="624BE1CB" w:rsidR="00F963C9" w:rsidRDefault="00F963C9" w:rsidP="00663F90">
      <w:pPr>
        <w:spacing w:line="276" w:lineRule="auto"/>
        <w:ind w:firstLine="720"/>
        <w:jc w:val="both"/>
      </w:pPr>
      <w:r>
        <w:t xml:space="preserve">Pieteicējas dalībai ļaunprātīgā </w:t>
      </w:r>
      <w:r w:rsidR="00997712">
        <w:t xml:space="preserve">pievienotās vērtības </w:t>
      </w:r>
      <w:r>
        <w:t>nodokļ</w:t>
      </w:r>
      <w:r w:rsidR="00997712">
        <w:t>a</w:t>
      </w:r>
      <w:r>
        <w:t xml:space="preserve"> sistēmas izmantošanā būtu jābūt pamatotai ar </w:t>
      </w:r>
      <w:r w:rsidR="00F667C2">
        <w:t xml:space="preserve">pierādījumiem un pierādītiem </w:t>
      </w:r>
      <w:r>
        <w:t xml:space="preserve">apstākļiem, kas ļauj to </w:t>
      </w:r>
      <w:r w:rsidR="00997712">
        <w:t>pietiekami pārliecinoši</w:t>
      </w:r>
      <w:r>
        <w:t xml:space="preserve"> konstatēt.</w:t>
      </w:r>
    </w:p>
    <w:p w14:paraId="78975DE7" w14:textId="77777777" w:rsidR="00F82039" w:rsidRDefault="00F82039" w:rsidP="00663F90">
      <w:pPr>
        <w:pStyle w:val="Default"/>
        <w:spacing w:line="276" w:lineRule="auto"/>
        <w:ind w:firstLine="720"/>
        <w:jc w:val="both"/>
      </w:pPr>
      <w:r>
        <w:t xml:space="preserve">Senāts uzskata par lietderīgu norādīt, ka izskatāmajā lietā tiek novērtēti darījumi, kas notikuši 2015.gadā, līdz ar to tiesai objektīvi var būt apgrūtinoši iegūt precīzus strīdus darījumos iesaistīto personu paskaidrojumus vai liecības, ņemot vērā preču aprites apjomu, kāds bija jānodrošina pieteicējas darbiniekiem. Tāpēc tiesai, visaptveroši novērtējot strīdus darījumu faktiskos apstākļus, tostarp ir jāvērtē, vai Valsts ieņēmumu dienests ir pienācīgi pamatojis administratīvo aktu, ievērojot </w:t>
      </w:r>
      <w:r w:rsidRPr="00907962">
        <w:rPr>
          <w:rFonts w:asciiTheme="majorBidi" w:hAnsiTheme="majorBidi" w:cstheme="majorBidi"/>
        </w:rPr>
        <w:t>pierādīšanas prasību</w:t>
      </w:r>
      <w:r>
        <w:rPr>
          <w:rFonts w:asciiTheme="majorBidi" w:hAnsiTheme="majorBidi" w:cstheme="majorBidi"/>
        </w:rPr>
        <w:t>, kas</w:t>
      </w:r>
      <w:r w:rsidRPr="00907962">
        <w:rPr>
          <w:rFonts w:asciiTheme="majorBidi" w:hAnsiTheme="majorBidi" w:cstheme="majorBidi"/>
        </w:rPr>
        <w:t xml:space="preserve"> aizlie</w:t>
      </w:r>
      <w:r>
        <w:rPr>
          <w:rFonts w:asciiTheme="majorBidi" w:hAnsiTheme="majorBidi" w:cstheme="majorBidi"/>
        </w:rPr>
        <w:t>dz</w:t>
      </w:r>
      <w:r w:rsidRPr="00907962">
        <w:rPr>
          <w:rFonts w:asciiTheme="majorBidi" w:hAnsiTheme="majorBidi" w:cstheme="majorBidi"/>
        </w:rPr>
        <w:t xml:space="preserve"> izmantot pieņēmumus vai prezumpcijas, ar ko, apvēršot pierādīšanas pienākumu, tiktu pārkāpts kopējās </w:t>
      </w:r>
      <w:r>
        <w:rPr>
          <w:rFonts w:asciiTheme="majorBidi" w:hAnsiTheme="majorBidi" w:cstheme="majorBidi"/>
        </w:rPr>
        <w:t>pievienotās vērtības nodokļa</w:t>
      </w:r>
      <w:r w:rsidRPr="00907962">
        <w:rPr>
          <w:rFonts w:asciiTheme="majorBidi" w:hAnsiTheme="majorBidi" w:cstheme="majorBidi"/>
        </w:rPr>
        <w:t xml:space="preserve"> sistēmas pamatprincips, proti, tiesības uz atskaitīšanu, un līdz ar to tiktu apdraudēta Savienības tiesību efektivitāte</w:t>
      </w:r>
      <w:r>
        <w:rPr>
          <w:rFonts w:asciiTheme="majorBidi" w:hAnsiTheme="majorBidi" w:cstheme="majorBidi"/>
        </w:rPr>
        <w:t>.</w:t>
      </w:r>
    </w:p>
    <w:p w14:paraId="050159DF" w14:textId="704BAF5A" w:rsidR="00F82039" w:rsidRDefault="00F82039" w:rsidP="00663F90">
      <w:pPr>
        <w:spacing w:line="276" w:lineRule="auto"/>
        <w:ind w:firstLine="720"/>
        <w:jc w:val="both"/>
      </w:pPr>
      <w:r>
        <w:rPr>
          <w:rFonts w:asciiTheme="majorBidi" w:hAnsiTheme="majorBidi" w:cstheme="majorBidi"/>
          <w:color w:val="000000"/>
        </w:rPr>
        <w:t>T</w:t>
      </w:r>
      <w:r w:rsidRPr="00907962">
        <w:rPr>
          <w:rFonts w:asciiTheme="majorBidi" w:hAnsiTheme="majorBidi" w:cstheme="majorBidi"/>
          <w:color w:val="000000"/>
        </w:rPr>
        <w:t xml:space="preserve">iesības uz nodokļa atskaitīšanu nodokļa maksātājam var tikt atteiktas tikai tad, ja pēc tam, kad atbilstoši valsts tiesību normām par pierādījumiem ir veikts visu konkrētas lietas elementu un faktisko apstākļu visaptverošs novērtējums, ir konstatējams, ka nodokļa maksātājs ir veicis krāpšanu </w:t>
      </w:r>
      <w:r>
        <w:rPr>
          <w:rFonts w:asciiTheme="majorBidi" w:hAnsiTheme="majorBidi" w:cstheme="majorBidi"/>
          <w:color w:val="000000"/>
        </w:rPr>
        <w:t>pievienotās vērtības nodokļa</w:t>
      </w:r>
      <w:r w:rsidRPr="00907962">
        <w:rPr>
          <w:rFonts w:asciiTheme="majorBidi" w:hAnsiTheme="majorBidi" w:cstheme="majorBidi"/>
          <w:color w:val="000000"/>
        </w:rPr>
        <w:t xml:space="preserve"> jomā vai ka tas zināja vai tam bija jāzina, ka darījums, uz kuru tas atsaucas, lai pamatotu šīs atskaitīšanas tiesības, ir iesaistīts šādā krāpšanā. Tiesības uz nodokļa atskaitīšanu var tikt atteiktas tikai tad, ja šie fakti ir pierādīti juridiski pietiekami, nevis tikai ar pieņēmumiem</w:t>
      </w:r>
      <w:r w:rsidRPr="001B0C61">
        <w:rPr>
          <w:rFonts w:asciiTheme="majorBidi" w:hAnsiTheme="majorBidi" w:cstheme="majorBidi"/>
          <w:color w:val="000000"/>
        </w:rPr>
        <w:t xml:space="preserve"> (</w:t>
      </w:r>
      <w:r w:rsidRPr="007E1E74">
        <w:rPr>
          <w:rFonts w:asciiTheme="majorBidi" w:hAnsiTheme="majorBidi" w:cstheme="majorBidi"/>
          <w:color w:val="000000"/>
        </w:rPr>
        <w:t>šajā nozīmē sk.</w:t>
      </w:r>
      <w:r w:rsidRPr="001B0C61">
        <w:rPr>
          <w:rFonts w:asciiTheme="majorBidi" w:hAnsiTheme="majorBidi" w:cstheme="majorBidi"/>
          <w:i/>
          <w:iCs/>
          <w:color w:val="000000"/>
        </w:rPr>
        <w:t xml:space="preserve"> Eiropas Savienības Tiesas 2022.gada 1.decembra sprieduma lietā ,,Aquila Part Prod Com</w:t>
      </w:r>
      <w:bookmarkStart w:id="0" w:name="ctx1"/>
      <w:r w:rsidRPr="001B0C61">
        <w:rPr>
          <w:rFonts w:asciiTheme="majorBidi" w:hAnsiTheme="majorBidi" w:cstheme="majorBidi"/>
          <w:i/>
          <w:iCs/>
          <w:color w:val="000000"/>
        </w:rPr>
        <w:t xml:space="preserve">”, </w:t>
      </w:r>
      <w:r w:rsidRPr="001B0C61">
        <w:rPr>
          <w:rFonts w:asciiTheme="majorBidi" w:hAnsiTheme="majorBidi" w:cstheme="majorBidi"/>
          <w:i/>
          <w:iCs/>
        </w:rPr>
        <w:t>C</w:t>
      </w:r>
      <w:r w:rsidRPr="001B0C61">
        <w:rPr>
          <w:rFonts w:asciiTheme="majorBidi" w:hAnsiTheme="majorBidi" w:cstheme="majorBidi"/>
          <w:i/>
          <w:iCs/>
        </w:rPr>
        <w:noBreakHyphen/>
        <w:t>512/21</w:t>
      </w:r>
      <w:bookmarkEnd w:id="0"/>
      <w:r w:rsidRPr="001B0C61">
        <w:rPr>
          <w:rFonts w:asciiTheme="majorBidi" w:hAnsiTheme="majorBidi" w:cstheme="majorBidi"/>
          <w:i/>
          <w:iCs/>
          <w:color w:val="000000"/>
        </w:rPr>
        <w:t xml:space="preserve">, </w:t>
      </w:r>
      <w:hyperlink r:id="rId17" w:history="1">
        <w:r w:rsidRPr="002D31C6">
          <w:rPr>
            <w:rStyle w:val="Hyperlink"/>
            <w:rFonts w:asciiTheme="majorBidi" w:hAnsiTheme="majorBidi" w:cstheme="majorBidi"/>
            <w:i/>
            <w:iCs/>
          </w:rPr>
          <w:t>ECLI:EU:C:2022:950</w:t>
        </w:r>
      </w:hyperlink>
      <w:r w:rsidRPr="001B0C61">
        <w:rPr>
          <w:rFonts w:asciiTheme="majorBidi" w:hAnsiTheme="majorBidi" w:cstheme="majorBidi"/>
          <w:i/>
          <w:iCs/>
          <w:color w:val="000000"/>
        </w:rPr>
        <w:t xml:space="preserve">, </w:t>
      </w:r>
      <w:r>
        <w:rPr>
          <w:rFonts w:asciiTheme="majorBidi" w:hAnsiTheme="majorBidi" w:cstheme="majorBidi"/>
          <w:i/>
          <w:iCs/>
          <w:color w:val="000000"/>
        </w:rPr>
        <w:t>32</w:t>
      </w:r>
      <w:r w:rsidRPr="001B0C61">
        <w:rPr>
          <w:rFonts w:asciiTheme="majorBidi" w:hAnsiTheme="majorBidi" w:cstheme="majorBidi"/>
          <w:i/>
          <w:iCs/>
          <w:color w:val="000000"/>
        </w:rPr>
        <w:t>.</w:t>
      </w:r>
      <w:r>
        <w:rPr>
          <w:rFonts w:asciiTheme="majorBidi" w:hAnsiTheme="majorBidi" w:cstheme="majorBidi"/>
          <w:i/>
          <w:iCs/>
          <w:color w:val="000000"/>
        </w:rPr>
        <w:t>–34.</w:t>
      </w:r>
      <w:r w:rsidRPr="001B0C61">
        <w:rPr>
          <w:rFonts w:asciiTheme="majorBidi" w:hAnsiTheme="majorBidi" w:cstheme="majorBidi"/>
          <w:i/>
          <w:iCs/>
          <w:color w:val="000000"/>
        </w:rPr>
        <w:t>punkt</w:t>
      </w:r>
      <w:r>
        <w:rPr>
          <w:rFonts w:asciiTheme="majorBidi" w:hAnsiTheme="majorBidi" w:cstheme="majorBidi"/>
          <w:i/>
          <w:iCs/>
          <w:color w:val="000000"/>
        </w:rPr>
        <w:t>u</w:t>
      </w:r>
      <w:r w:rsidRPr="001B0C61">
        <w:rPr>
          <w:rFonts w:asciiTheme="majorBidi" w:hAnsiTheme="majorBidi" w:cstheme="majorBidi"/>
          <w:i/>
          <w:iCs/>
          <w:color w:val="000000"/>
        </w:rPr>
        <w:t xml:space="preserve"> un tajā norādīt</w:t>
      </w:r>
      <w:r>
        <w:rPr>
          <w:rFonts w:asciiTheme="majorBidi" w:hAnsiTheme="majorBidi" w:cstheme="majorBidi"/>
          <w:i/>
          <w:iCs/>
          <w:color w:val="000000"/>
        </w:rPr>
        <w:t>o</w:t>
      </w:r>
      <w:r w:rsidRPr="001B0C61">
        <w:rPr>
          <w:rFonts w:asciiTheme="majorBidi" w:hAnsiTheme="majorBidi" w:cstheme="majorBidi"/>
          <w:i/>
          <w:iCs/>
          <w:color w:val="000000"/>
        </w:rPr>
        <w:t xml:space="preserve"> judikatūr</w:t>
      </w:r>
      <w:r>
        <w:rPr>
          <w:rFonts w:asciiTheme="majorBidi" w:hAnsiTheme="majorBidi" w:cstheme="majorBidi"/>
          <w:i/>
          <w:iCs/>
          <w:color w:val="000000"/>
        </w:rPr>
        <w:t>u</w:t>
      </w:r>
      <w:r w:rsidRPr="001B0C61">
        <w:rPr>
          <w:rFonts w:asciiTheme="majorBidi" w:hAnsiTheme="majorBidi" w:cstheme="majorBidi"/>
          <w:color w:val="000000"/>
        </w:rPr>
        <w:t>)</w:t>
      </w:r>
      <w:r>
        <w:rPr>
          <w:rFonts w:asciiTheme="majorBidi" w:hAnsiTheme="majorBidi" w:cstheme="majorBidi"/>
          <w:color w:val="000000"/>
        </w:rPr>
        <w:t>.</w:t>
      </w:r>
    </w:p>
    <w:p w14:paraId="34FD94C9" w14:textId="4A28E0BE" w:rsidR="00072AA2" w:rsidRDefault="00F667C2" w:rsidP="00663F90">
      <w:pPr>
        <w:spacing w:line="276" w:lineRule="auto"/>
        <w:ind w:firstLine="720"/>
        <w:jc w:val="both"/>
      </w:pPr>
      <w:r>
        <w:t>Šajā gadījumā</w:t>
      </w:r>
      <w:r w:rsidR="00577814">
        <w:t xml:space="preserve"> apgabaltiesa nav pienācīgi pamatojusi, ka pieteicēja zināja vai ka tai bija jāzina, ka tā iesaistās nodokļu sistēmas ļaunprātīgā izmantošanā, kas </w:t>
      </w:r>
      <w:r w:rsidR="002E1DDB">
        <w:t xml:space="preserve">izskatāmajā gadījumā </w:t>
      </w:r>
      <w:r w:rsidR="00577814">
        <w:t>ir obligāts priekšnoteikums, lai liegtu priekšnodokļa atskaitīšanas tiesības.</w:t>
      </w:r>
      <w:r w:rsidR="0045463C">
        <w:rPr>
          <w:rFonts w:asciiTheme="majorBidi" w:hAnsiTheme="majorBidi" w:cstheme="majorBidi"/>
        </w:rPr>
        <w:t xml:space="preserve"> </w:t>
      </w:r>
    </w:p>
    <w:p w14:paraId="098217F3" w14:textId="77777777" w:rsidR="0042040E" w:rsidRDefault="0042040E" w:rsidP="00663F90">
      <w:pPr>
        <w:pStyle w:val="Default"/>
        <w:spacing w:line="276" w:lineRule="auto"/>
        <w:ind w:firstLine="720"/>
        <w:jc w:val="both"/>
      </w:pPr>
    </w:p>
    <w:p w14:paraId="122AAB9A" w14:textId="47A4BD49" w:rsidR="00C40453" w:rsidRDefault="00C40453" w:rsidP="00663F90">
      <w:pPr>
        <w:spacing w:line="276" w:lineRule="auto"/>
        <w:ind w:firstLine="720"/>
        <w:jc w:val="both"/>
        <w:rPr>
          <w:rFonts w:asciiTheme="majorBidi" w:hAnsiTheme="majorBidi" w:cstheme="majorBidi"/>
        </w:rPr>
      </w:pPr>
      <w:r>
        <w:t>[</w:t>
      </w:r>
      <w:r w:rsidR="00B82F56">
        <w:t>11</w:t>
      </w:r>
      <w:r>
        <w:t>]</w:t>
      </w:r>
      <w:r w:rsidR="00AF299F">
        <w:t> </w:t>
      </w:r>
      <w:r w:rsidR="00B230C4" w:rsidRPr="00DE397A">
        <w:rPr>
          <w:rFonts w:asciiTheme="majorBidi" w:hAnsiTheme="majorBidi" w:cstheme="majorBidi"/>
        </w:rPr>
        <w:t>Ņemot vērā minēto, Senāts atzīst, ka apgabaltiesas sprieduma</w:t>
      </w:r>
      <w:r w:rsidR="00313F55">
        <w:rPr>
          <w:rFonts w:asciiTheme="majorBidi" w:hAnsiTheme="majorBidi" w:cstheme="majorBidi"/>
        </w:rPr>
        <w:t xml:space="preserve"> tā pārsūdzētajā daļā</w:t>
      </w:r>
      <w:r w:rsidR="00B230C4" w:rsidRPr="00DE397A">
        <w:rPr>
          <w:rFonts w:asciiTheme="majorBidi" w:hAnsiTheme="majorBidi" w:cstheme="majorBidi"/>
        </w:rPr>
        <w:t xml:space="preserve"> argumentācija liecina par nepareizu Pievienotās vērtības nodokļa likuma 92.panta pirmās daļas 1.punkta piemērošanu un procesuālo tiesību normu pārkāpumu, un tas varēja ietekmēt lietas rezultātu. Līdz ar to apgabaltiesas spriedums</w:t>
      </w:r>
      <w:r w:rsidR="00313F55">
        <w:rPr>
          <w:rFonts w:asciiTheme="majorBidi" w:hAnsiTheme="majorBidi" w:cstheme="majorBidi"/>
        </w:rPr>
        <w:t xml:space="preserve"> tā pārsūdzētajā daļā</w:t>
      </w:r>
      <w:r w:rsidR="00B230C4" w:rsidRPr="00DE397A">
        <w:rPr>
          <w:rFonts w:asciiTheme="majorBidi" w:hAnsiTheme="majorBidi" w:cstheme="majorBidi"/>
        </w:rPr>
        <w:t xml:space="preserve"> ir atceļams un lieta no</w:t>
      </w:r>
      <w:r w:rsidR="00794A64">
        <w:rPr>
          <w:rFonts w:asciiTheme="majorBidi" w:hAnsiTheme="majorBidi" w:cstheme="majorBidi"/>
        </w:rPr>
        <w:t>sūtāma</w:t>
      </w:r>
      <w:r w:rsidR="00B230C4" w:rsidRPr="00DE397A">
        <w:rPr>
          <w:rFonts w:asciiTheme="majorBidi" w:hAnsiTheme="majorBidi" w:cstheme="majorBidi"/>
        </w:rPr>
        <w:t xml:space="preserve"> jaunai izskatīšanai.</w:t>
      </w:r>
    </w:p>
    <w:p w14:paraId="2877C0CE" w14:textId="77777777" w:rsidR="00B230C4" w:rsidRPr="00891F52" w:rsidRDefault="00B230C4" w:rsidP="00663F90">
      <w:pPr>
        <w:spacing w:line="276" w:lineRule="auto"/>
        <w:ind w:firstLine="720"/>
        <w:jc w:val="both"/>
      </w:pPr>
    </w:p>
    <w:p w14:paraId="46830BC2" w14:textId="77777777" w:rsidR="00974E53" w:rsidRPr="00EC00F0" w:rsidRDefault="00974E53" w:rsidP="00663F90">
      <w:pPr>
        <w:spacing w:line="276" w:lineRule="auto"/>
        <w:jc w:val="center"/>
        <w:rPr>
          <w:b/>
        </w:rPr>
      </w:pPr>
      <w:r w:rsidRPr="00EC00F0">
        <w:rPr>
          <w:b/>
        </w:rPr>
        <w:t>Rezolutīvā daļa</w:t>
      </w:r>
    </w:p>
    <w:p w14:paraId="4EEFE9E9" w14:textId="77777777" w:rsidR="00206E28" w:rsidRDefault="00206E28" w:rsidP="00663F90">
      <w:pPr>
        <w:pStyle w:val="Title"/>
        <w:spacing w:line="276" w:lineRule="auto"/>
        <w:ind w:firstLine="720"/>
        <w:jc w:val="both"/>
        <w:rPr>
          <w:sz w:val="24"/>
          <w:szCs w:val="24"/>
        </w:rPr>
      </w:pPr>
    </w:p>
    <w:p w14:paraId="7F504E52" w14:textId="77777777" w:rsidR="00907691" w:rsidRPr="007448E3" w:rsidRDefault="00907691" w:rsidP="00663F90">
      <w:pPr>
        <w:spacing w:line="276" w:lineRule="auto"/>
        <w:ind w:firstLine="720"/>
        <w:jc w:val="both"/>
      </w:pPr>
      <w:r w:rsidRPr="007448E3">
        <w:t xml:space="preserve">Pamatojoties uz </w:t>
      </w:r>
      <w:r w:rsidRPr="007448E3">
        <w:rPr>
          <w:rFonts w:eastAsiaTheme="minorHAnsi"/>
          <w:lang w:eastAsia="en-US"/>
        </w:rPr>
        <w:t xml:space="preserve">Administratīvā procesa likuma </w:t>
      </w:r>
      <w:r w:rsidRPr="007448E3">
        <w:t>129.</w:t>
      </w:r>
      <w:r w:rsidRPr="007448E3">
        <w:rPr>
          <w:vertAlign w:val="superscript"/>
        </w:rPr>
        <w:t>1</w:t>
      </w:r>
      <w:r w:rsidRPr="007448E3">
        <w:t>panta pirmās daļas 1.punktu, 348.panta pirmās daļas 2.punktu un 351.pantu, Senāts</w:t>
      </w:r>
    </w:p>
    <w:p w14:paraId="178388A6" w14:textId="77777777" w:rsidR="00A14253" w:rsidRDefault="00A14253" w:rsidP="00663F90">
      <w:pPr>
        <w:pStyle w:val="Title"/>
        <w:spacing w:line="276" w:lineRule="auto"/>
        <w:ind w:firstLine="720"/>
        <w:jc w:val="both"/>
        <w:rPr>
          <w:sz w:val="24"/>
          <w:szCs w:val="24"/>
        </w:rPr>
      </w:pPr>
    </w:p>
    <w:p w14:paraId="53C5D34C" w14:textId="71E43674" w:rsidR="00974E53" w:rsidRDefault="00944CB2" w:rsidP="00663F90">
      <w:pPr>
        <w:keepNext/>
        <w:spacing w:line="276" w:lineRule="auto"/>
        <w:contextualSpacing/>
        <w:jc w:val="center"/>
        <w:rPr>
          <w:b/>
        </w:rPr>
      </w:pPr>
      <w:r>
        <w:rPr>
          <w:b/>
        </w:rPr>
        <w:lastRenderedPageBreak/>
        <w:t>n</w:t>
      </w:r>
      <w:r w:rsidR="00974E53" w:rsidRPr="00EC00F0">
        <w:rPr>
          <w:b/>
        </w:rPr>
        <w:t>osprieda</w:t>
      </w:r>
    </w:p>
    <w:p w14:paraId="22D6CF5B" w14:textId="77777777" w:rsidR="00D7646C" w:rsidRPr="00EC00F0" w:rsidRDefault="00D7646C" w:rsidP="00663F90">
      <w:pPr>
        <w:keepNext/>
        <w:spacing w:line="276" w:lineRule="auto"/>
        <w:ind w:firstLine="720"/>
        <w:jc w:val="center"/>
        <w:rPr>
          <w:b/>
        </w:rPr>
      </w:pPr>
    </w:p>
    <w:p w14:paraId="2D048BB2" w14:textId="1C676CF0" w:rsidR="00907691" w:rsidRDefault="00907691" w:rsidP="00663F90">
      <w:pPr>
        <w:keepNext/>
        <w:tabs>
          <w:tab w:val="left" w:pos="2700"/>
          <w:tab w:val="left" w:pos="6660"/>
        </w:tabs>
        <w:spacing w:line="276" w:lineRule="auto"/>
        <w:ind w:firstLine="720"/>
        <w:jc w:val="both"/>
      </w:pPr>
      <w:r w:rsidRPr="00B75BCD">
        <w:t xml:space="preserve">atcelt Administratīvās apgabaltiesas </w:t>
      </w:r>
      <w:r w:rsidR="005732CE" w:rsidRPr="00E30688">
        <w:t>202</w:t>
      </w:r>
      <w:r w:rsidR="005732CE">
        <w:t>4</w:t>
      </w:r>
      <w:r w:rsidR="005732CE" w:rsidRPr="00E30688">
        <w:t xml:space="preserve">.gada </w:t>
      </w:r>
      <w:r w:rsidR="005732CE">
        <w:t>15</w:t>
      </w:r>
      <w:r w:rsidR="005732CE" w:rsidRPr="00E30688">
        <w:t>.</w:t>
      </w:r>
      <w:r w:rsidR="005732CE">
        <w:t>februāra</w:t>
      </w:r>
      <w:r w:rsidR="005732CE" w:rsidRPr="00E30688">
        <w:t xml:space="preserve"> spriedumu</w:t>
      </w:r>
      <w:r w:rsidR="005732CE">
        <w:t xml:space="preserve"> daļā, </w:t>
      </w:r>
      <w:r w:rsidR="00C3317B">
        <w:t>ar kuru noraidīts</w:t>
      </w:r>
      <w:r w:rsidR="005732CE">
        <w:t xml:space="preserve"> </w:t>
      </w:r>
      <w:r w:rsidR="005732CE" w:rsidRPr="00E22B0B">
        <w:rPr>
          <w:rFonts w:asciiTheme="majorBidi" w:hAnsiTheme="majorBidi" w:cstheme="majorBidi"/>
          <w:color w:val="000000"/>
          <w:shd w:val="clear" w:color="auto" w:fill="FFFFFF"/>
        </w:rPr>
        <w:t>sabiedrība</w:t>
      </w:r>
      <w:r w:rsidR="005732CE">
        <w:rPr>
          <w:rFonts w:asciiTheme="majorBidi" w:hAnsiTheme="majorBidi" w:cstheme="majorBidi"/>
          <w:color w:val="000000"/>
          <w:shd w:val="clear" w:color="auto" w:fill="FFFFFF"/>
        </w:rPr>
        <w:t>s</w:t>
      </w:r>
      <w:r w:rsidR="005732CE" w:rsidRPr="00E22B0B">
        <w:rPr>
          <w:rFonts w:asciiTheme="majorBidi" w:hAnsiTheme="majorBidi" w:cstheme="majorBidi"/>
          <w:color w:val="000000"/>
          <w:shd w:val="clear" w:color="auto" w:fill="FFFFFF"/>
        </w:rPr>
        <w:t xml:space="preserve"> ar ierobežotu atbildību</w:t>
      </w:r>
      <w:r w:rsidR="005732CE">
        <w:rPr>
          <w:rFonts w:asciiTheme="majorBidi" w:hAnsiTheme="majorBidi" w:cstheme="majorBidi"/>
          <w:color w:val="000000"/>
          <w:shd w:val="clear" w:color="auto" w:fill="FFFFFF"/>
        </w:rPr>
        <w:t> </w:t>
      </w:r>
      <w:r w:rsidR="005732CE" w:rsidRPr="00E22B0B">
        <w:rPr>
          <w:rFonts w:asciiTheme="majorBidi" w:hAnsiTheme="majorBidi" w:cstheme="majorBidi"/>
          <w:color w:val="000000"/>
          <w:shd w:val="clear" w:color="auto" w:fill="FFFFFF"/>
        </w:rPr>
        <w:t>„</w:t>
      </w:r>
      <w:r w:rsidR="005732CE">
        <w:rPr>
          <w:rFonts w:asciiTheme="majorBidi" w:hAnsiTheme="majorBidi" w:cstheme="majorBidi"/>
          <w:color w:val="000000"/>
          <w:shd w:val="clear" w:color="auto" w:fill="FFFFFF"/>
        </w:rPr>
        <w:t>IunA gultņi</w:t>
      </w:r>
      <w:r w:rsidR="005732CE" w:rsidRPr="00E22B0B">
        <w:rPr>
          <w:rFonts w:asciiTheme="majorBidi" w:hAnsiTheme="majorBidi" w:cstheme="majorBidi"/>
          <w:color w:val="000000"/>
          <w:shd w:val="clear" w:color="auto" w:fill="FFFFFF"/>
        </w:rPr>
        <w:t>”</w:t>
      </w:r>
      <w:r w:rsidR="005732CE">
        <w:rPr>
          <w:rFonts w:asciiTheme="majorBidi" w:hAnsiTheme="majorBidi" w:cstheme="majorBidi"/>
          <w:color w:val="000000"/>
          <w:shd w:val="clear" w:color="auto" w:fill="FFFFFF"/>
        </w:rPr>
        <w:t xml:space="preserve"> pieteikum</w:t>
      </w:r>
      <w:r w:rsidR="00C3317B">
        <w:rPr>
          <w:rFonts w:asciiTheme="majorBidi" w:hAnsiTheme="majorBidi" w:cstheme="majorBidi"/>
          <w:color w:val="000000"/>
          <w:shd w:val="clear" w:color="auto" w:fill="FFFFFF"/>
        </w:rPr>
        <w:t>s</w:t>
      </w:r>
      <w:r w:rsidR="005732CE">
        <w:rPr>
          <w:rFonts w:asciiTheme="majorBidi" w:hAnsiTheme="majorBidi" w:cstheme="majorBidi"/>
          <w:color w:val="000000"/>
          <w:shd w:val="clear" w:color="auto" w:fill="FFFFFF"/>
        </w:rPr>
        <w:t xml:space="preserve"> par</w:t>
      </w:r>
      <w:r w:rsidR="005732CE">
        <w:t xml:space="preserve"> </w:t>
      </w:r>
      <w:r w:rsidR="005732CE" w:rsidRPr="00BB4861">
        <w:rPr>
          <w:iCs/>
        </w:rPr>
        <w:t xml:space="preserve">Valsts ieņēmumu dienesta </w:t>
      </w:r>
      <w:r w:rsidR="005732CE">
        <w:rPr>
          <w:iCs/>
        </w:rPr>
        <w:t xml:space="preserve">2018.gada 8.februāra </w:t>
      </w:r>
      <w:r w:rsidR="005732CE" w:rsidRPr="00BB4861">
        <w:rPr>
          <w:iCs/>
        </w:rPr>
        <w:t>lēmum</w:t>
      </w:r>
      <w:r w:rsidR="005732CE">
        <w:rPr>
          <w:iCs/>
        </w:rPr>
        <w:t>a</w:t>
      </w:r>
      <w:r w:rsidR="005732CE" w:rsidRPr="00BB4861">
        <w:rPr>
          <w:iCs/>
        </w:rPr>
        <w:t xml:space="preserve"> </w:t>
      </w:r>
      <w:r w:rsidR="005732CE" w:rsidRPr="00BC3481">
        <w:rPr>
          <w:iCs/>
        </w:rPr>
        <w:t>Nr.</w:t>
      </w:r>
      <w:r w:rsidR="005732CE">
        <w:rPr>
          <w:iCs/>
        </w:rPr>
        <w:t> </w:t>
      </w:r>
      <w:r w:rsidR="005732CE" w:rsidRPr="00BC3481">
        <w:rPr>
          <w:iCs/>
        </w:rPr>
        <w:t>30.2-22.7/594</w:t>
      </w:r>
      <w:r w:rsidR="005732CE">
        <w:rPr>
          <w:iCs/>
        </w:rPr>
        <w:t xml:space="preserve"> atcelšanu daļā, kas attiecas uz </w:t>
      </w:r>
      <w:r w:rsidR="005732CE" w:rsidRPr="00E22B0B">
        <w:rPr>
          <w:rFonts w:asciiTheme="majorBidi" w:hAnsiTheme="majorBidi" w:cstheme="majorBidi"/>
          <w:color w:val="000000"/>
          <w:shd w:val="clear" w:color="auto" w:fill="FFFFFF"/>
        </w:rPr>
        <w:t>sabiedrība</w:t>
      </w:r>
      <w:r w:rsidR="005732CE">
        <w:rPr>
          <w:rFonts w:asciiTheme="majorBidi" w:hAnsiTheme="majorBidi" w:cstheme="majorBidi"/>
          <w:color w:val="000000"/>
          <w:shd w:val="clear" w:color="auto" w:fill="FFFFFF"/>
        </w:rPr>
        <w:t>s</w:t>
      </w:r>
      <w:r w:rsidR="005732CE" w:rsidRPr="00E22B0B">
        <w:rPr>
          <w:rFonts w:asciiTheme="majorBidi" w:hAnsiTheme="majorBidi" w:cstheme="majorBidi"/>
          <w:color w:val="000000"/>
          <w:shd w:val="clear" w:color="auto" w:fill="FFFFFF"/>
        </w:rPr>
        <w:t xml:space="preserve"> ar ierobežotu atbildību</w:t>
      </w:r>
      <w:r w:rsidR="005732CE">
        <w:rPr>
          <w:rFonts w:asciiTheme="majorBidi" w:hAnsiTheme="majorBidi" w:cstheme="majorBidi"/>
          <w:color w:val="000000"/>
          <w:shd w:val="clear" w:color="auto" w:fill="FFFFFF"/>
        </w:rPr>
        <w:t> </w:t>
      </w:r>
      <w:r w:rsidR="005732CE" w:rsidRPr="00E22B0B">
        <w:rPr>
          <w:rFonts w:asciiTheme="majorBidi" w:hAnsiTheme="majorBidi" w:cstheme="majorBidi"/>
          <w:color w:val="000000"/>
          <w:shd w:val="clear" w:color="auto" w:fill="FFFFFF"/>
        </w:rPr>
        <w:t>„</w:t>
      </w:r>
      <w:r w:rsidR="005732CE">
        <w:rPr>
          <w:rFonts w:asciiTheme="majorBidi" w:hAnsiTheme="majorBidi" w:cstheme="majorBidi"/>
          <w:color w:val="000000"/>
          <w:shd w:val="clear" w:color="auto" w:fill="FFFFFF"/>
        </w:rPr>
        <w:t>IunA gultņi</w:t>
      </w:r>
      <w:r w:rsidR="005732CE" w:rsidRPr="00E22B0B">
        <w:rPr>
          <w:rFonts w:asciiTheme="majorBidi" w:hAnsiTheme="majorBidi" w:cstheme="majorBidi"/>
          <w:color w:val="000000"/>
          <w:shd w:val="clear" w:color="auto" w:fill="FFFFFF"/>
        </w:rPr>
        <w:t>”</w:t>
      </w:r>
      <w:r w:rsidR="005732CE">
        <w:rPr>
          <w:rFonts w:asciiTheme="majorBidi" w:hAnsiTheme="majorBidi" w:cstheme="majorBidi"/>
          <w:color w:val="000000"/>
          <w:shd w:val="clear" w:color="auto" w:fill="FFFFFF"/>
        </w:rPr>
        <w:t xml:space="preserve"> darījumiem ar </w:t>
      </w:r>
      <w:r w:rsidR="005732CE">
        <w:rPr>
          <w:iCs/>
        </w:rPr>
        <w:t xml:space="preserve">SIA ,,IMEKSPO”, </w:t>
      </w:r>
      <w:r w:rsidRPr="00B75BCD">
        <w:rPr>
          <w:lang w:eastAsia="en-US"/>
        </w:rPr>
        <w:t>un nosūtīt lietu</w:t>
      </w:r>
      <w:r w:rsidR="005732CE">
        <w:rPr>
          <w:lang w:eastAsia="en-US"/>
        </w:rPr>
        <w:t xml:space="preserve"> šajā daļā</w:t>
      </w:r>
      <w:r w:rsidRPr="00B75BCD">
        <w:rPr>
          <w:lang w:eastAsia="en-US"/>
        </w:rPr>
        <w:t xml:space="preserve"> jaunai izskatīšanai Administratīvajai apgabaltiesai;</w:t>
      </w:r>
    </w:p>
    <w:p w14:paraId="0FF594E7" w14:textId="1036619C" w:rsidR="00B75BCD" w:rsidRPr="00B75BCD" w:rsidRDefault="00B75BCD" w:rsidP="00663F90">
      <w:pPr>
        <w:tabs>
          <w:tab w:val="left" w:pos="2700"/>
          <w:tab w:val="left" w:pos="6660"/>
        </w:tabs>
        <w:spacing w:line="276" w:lineRule="auto"/>
        <w:ind w:firstLine="720"/>
        <w:jc w:val="both"/>
        <w:rPr>
          <w:lang w:eastAsia="en-US"/>
        </w:rPr>
      </w:pPr>
      <w:r w:rsidRPr="00B75BCD">
        <w:rPr>
          <w:lang w:eastAsia="en-US"/>
        </w:rPr>
        <w:t>atmaksāt</w:t>
      </w:r>
      <w:r w:rsidR="00A01EE4">
        <w:rPr>
          <w:lang w:eastAsia="en-US"/>
        </w:rPr>
        <w:t xml:space="preserve"> </w:t>
      </w:r>
      <w:r w:rsidR="00A01EE4" w:rsidRPr="00B80338">
        <w:rPr>
          <w:rFonts w:asciiTheme="majorBidi" w:hAnsiTheme="majorBidi" w:cstheme="majorBidi"/>
          <w:color w:val="000000"/>
          <w:shd w:val="clear" w:color="auto" w:fill="FFFFFF"/>
        </w:rPr>
        <w:t>sabiedrībai ar ierobežotu atbildību „IunA gultņi”</w:t>
      </w:r>
      <w:r w:rsidRPr="00B75BCD">
        <w:rPr>
          <w:lang w:eastAsia="en-US"/>
        </w:rPr>
        <w:t xml:space="preserve"> </w:t>
      </w:r>
      <w:r w:rsidR="00A01EE4">
        <w:rPr>
          <w:lang w:eastAsia="en-US"/>
        </w:rPr>
        <w:t xml:space="preserve">par </w:t>
      </w:r>
      <w:r w:rsidRPr="00B75BCD">
        <w:rPr>
          <w:lang w:eastAsia="en-US"/>
        </w:rPr>
        <w:t>kasācijas sūdzību samaksāto drošības naudu 70 </w:t>
      </w:r>
      <w:r w:rsidRPr="00B75BCD">
        <w:rPr>
          <w:i/>
          <w:iCs/>
          <w:lang w:eastAsia="en-US"/>
        </w:rPr>
        <w:t>euro</w:t>
      </w:r>
      <w:r w:rsidRPr="00B75BCD">
        <w:rPr>
          <w:lang w:eastAsia="en-US"/>
        </w:rPr>
        <w:t xml:space="preserve">. </w:t>
      </w:r>
    </w:p>
    <w:p w14:paraId="4B24AF4B" w14:textId="77777777" w:rsidR="00B75BCD" w:rsidRDefault="00B75BCD" w:rsidP="00663F90">
      <w:pPr>
        <w:tabs>
          <w:tab w:val="left" w:pos="2700"/>
          <w:tab w:val="left" w:pos="6660"/>
        </w:tabs>
        <w:spacing w:line="276" w:lineRule="auto"/>
        <w:ind w:firstLine="720"/>
        <w:jc w:val="both"/>
        <w:rPr>
          <w:lang w:eastAsia="en-US"/>
        </w:rPr>
      </w:pPr>
    </w:p>
    <w:p w14:paraId="3C7C073A" w14:textId="5282E81D" w:rsidR="00B75BCD" w:rsidRDefault="00B75BCD" w:rsidP="00663F90">
      <w:pPr>
        <w:tabs>
          <w:tab w:val="left" w:pos="2700"/>
          <w:tab w:val="left" w:pos="6660"/>
        </w:tabs>
        <w:spacing w:line="276" w:lineRule="auto"/>
        <w:ind w:firstLine="720"/>
        <w:jc w:val="both"/>
        <w:rPr>
          <w:lang w:eastAsia="en-US"/>
        </w:rPr>
      </w:pPr>
      <w:r>
        <w:rPr>
          <w:lang w:eastAsia="en-US"/>
        </w:rPr>
        <w:t>Spriedums nav pārsūdzams.</w:t>
      </w:r>
    </w:p>
    <w:p w14:paraId="7F7D23DB" w14:textId="7ED57B0C" w:rsidR="00E34077" w:rsidRDefault="00E34077" w:rsidP="00907691">
      <w:pPr>
        <w:tabs>
          <w:tab w:val="center" w:pos="1701"/>
          <w:tab w:val="center" w:pos="4536"/>
          <w:tab w:val="center" w:pos="7371"/>
        </w:tabs>
        <w:spacing w:line="276" w:lineRule="auto"/>
        <w:ind w:firstLine="720"/>
        <w:jc w:val="both"/>
      </w:pPr>
    </w:p>
    <w:p w14:paraId="676E89D5" w14:textId="77777777" w:rsidR="00A01EE4" w:rsidRDefault="00A01EE4" w:rsidP="00907691">
      <w:pPr>
        <w:tabs>
          <w:tab w:val="center" w:pos="1701"/>
          <w:tab w:val="center" w:pos="4536"/>
          <w:tab w:val="center" w:pos="7371"/>
        </w:tabs>
        <w:spacing w:line="276" w:lineRule="auto"/>
        <w:ind w:firstLine="720"/>
        <w:jc w:val="both"/>
      </w:pPr>
    </w:p>
    <w:p w14:paraId="2D36B673" w14:textId="77777777" w:rsidR="00A01EE4" w:rsidRDefault="00A01EE4" w:rsidP="00907691">
      <w:pPr>
        <w:tabs>
          <w:tab w:val="center" w:pos="1701"/>
          <w:tab w:val="center" w:pos="4536"/>
          <w:tab w:val="center" w:pos="7371"/>
        </w:tabs>
        <w:spacing w:line="276" w:lineRule="auto"/>
        <w:ind w:firstLine="720"/>
        <w:jc w:val="both"/>
      </w:pPr>
    </w:p>
    <w:p w14:paraId="79CF5E4C" w14:textId="77777777" w:rsidR="00A01EE4" w:rsidRPr="007137DD" w:rsidRDefault="00A01EE4" w:rsidP="00A01EE4">
      <w:pPr>
        <w:tabs>
          <w:tab w:val="center" w:pos="1701"/>
          <w:tab w:val="center" w:pos="4536"/>
          <w:tab w:val="center" w:pos="7371"/>
        </w:tabs>
        <w:spacing w:line="276" w:lineRule="auto"/>
        <w:ind w:firstLine="720"/>
        <w:jc w:val="both"/>
      </w:pPr>
    </w:p>
    <w:p w14:paraId="34D0C33F" w14:textId="77777777" w:rsidR="00A01EE4" w:rsidRDefault="00A01EE4" w:rsidP="00A01EE4">
      <w:pPr>
        <w:tabs>
          <w:tab w:val="center" w:pos="1701"/>
          <w:tab w:val="center" w:pos="4536"/>
          <w:tab w:val="center" w:pos="7371"/>
        </w:tabs>
        <w:spacing w:line="276" w:lineRule="auto"/>
        <w:jc w:val="both"/>
      </w:pPr>
    </w:p>
    <w:sectPr w:rsidR="00A01EE4" w:rsidSect="003F29DB">
      <w:footerReference w:type="default" r:id="rId1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0EE53" w14:textId="77777777" w:rsidR="00EE623F" w:rsidRDefault="00EE623F" w:rsidP="00F005AF">
      <w:r>
        <w:separator/>
      </w:r>
    </w:p>
  </w:endnote>
  <w:endnote w:type="continuationSeparator" w:id="0">
    <w:p w14:paraId="48410B15" w14:textId="77777777" w:rsidR="00EE623F" w:rsidRDefault="00EE623F" w:rsidP="00F0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0947609"/>
      <w:docPartObj>
        <w:docPartGallery w:val="Page Numbers (Bottom of Page)"/>
        <w:docPartUnique/>
      </w:docPartObj>
    </w:sdtPr>
    <w:sdtEndPr>
      <w:rPr>
        <w:sz w:val="20"/>
        <w:szCs w:val="20"/>
      </w:rPr>
    </w:sdtEndPr>
    <w:sdtContent>
      <w:sdt>
        <w:sdtPr>
          <w:id w:val="474336589"/>
          <w:docPartObj>
            <w:docPartGallery w:val="Page Numbers (Top of Page)"/>
            <w:docPartUnique/>
          </w:docPartObj>
        </w:sdtPr>
        <w:sdtEndPr>
          <w:rPr>
            <w:sz w:val="20"/>
            <w:szCs w:val="20"/>
          </w:rPr>
        </w:sdtEndPr>
        <w:sdtContent>
          <w:p w14:paraId="31D556EC" w14:textId="038ECCD1" w:rsidR="00F005AF" w:rsidRPr="00795839" w:rsidRDefault="00F005AF" w:rsidP="00795839">
            <w:pPr>
              <w:pStyle w:val="Footer"/>
              <w:jc w:val="center"/>
              <w:rPr>
                <w:sz w:val="20"/>
                <w:szCs w:val="20"/>
              </w:rPr>
            </w:pPr>
            <w:r w:rsidRPr="00795839">
              <w:rPr>
                <w:bCs/>
                <w:sz w:val="20"/>
                <w:szCs w:val="20"/>
              </w:rPr>
              <w:fldChar w:fldCharType="begin"/>
            </w:r>
            <w:r w:rsidRPr="00795839">
              <w:rPr>
                <w:bCs/>
                <w:sz w:val="20"/>
                <w:szCs w:val="20"/>
              </w:rPr>
              <w:instrText xml:space="preserve"> PAGE </w:instrText>
            </w:r>
            <w:r w:rsidRPr="00795839">
              <w:rPr>
                <w:bCs/>
                <w:sz w:val="20"/>
                <w:szCs w:val="20"/>
              </w:rPr>
              <w:fldChar w:fldCharType="separate"/>
            </w:r>
            <w:r w:rsidR="00583777" w:rsidRPr="00795839">
              <w:rPr>
                <w:bCs/>
                <w:noProof/>
                <w:sz w:val="20"/>
                <w:szCs w:val="20"/>
              </w:rPr>
              <w:t>3</w:t>
            </w:r>
            <w:r w:rsidRPr="00795839">
              <w:rPr>
                <w:bCs/>
                <w:sz w:val="20"/>
                <w:szCs w:val="20"/>
              </w:rPr>
              <w:fldChar w:fldCharType="end"/>
            </w:r>
            <w:r w:rsidRPr="00795839">
              <w:rPr>
                <w:sz w:val="20"/>
                <w:szCs w:val="20"/>
              </w:rPr>
              <w:t xml:space="preserve"> no </w:t>
            </w:r>
            <w:r w:rsidRPr="00795839">
              <w:rPr>
                <w:bCs/>
                <w:sz w:val="20"/>
                <w:szCs w:val="20"/>
              </w:rPr>
              <w:fldChar w:fldCharType="begin"/>
            </w:r>
            <w:r w:rsidRPr="00795839">
              <w:rPr>
                <w:bCs/>
                <w:sz w:val="20"/>
                <w:szCs w:val="20"/>
              </w:rPr>
              <w:instrText xml:space="preserve"> NUMPAGES  </w:instrText>
            </w:r>
            <w:r w:rsidRPr="00795839">
              <w:rPr>
                <w:bCs/>
                <w:sz w:val="20"/>
                <w:szCs w:val="20"/>
              </w:rPr>
              <w:fldChar w:fldCharType="separate"/>
            </w:r>
            <w:r w:rsidR="00583777" w:rsidRPr="00795839">
              <w:rPr>
                <w:bCs/>
                <w:noProof/>
                <w:sz w:val="20"/>
                <w:szCs w:val="20"/>
              </w:rPr>
              <w:t>8</w:t>
            </w:r>
            <w:r w:rsidRPr="00795839">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39C0B" w14:textId="77777777" w:rsidR="00EE623F" w:rsidRDefault="00EE623F" w:rsidP="00F005AF">
      <w:r>
        <w:separator/>
      </w:r>
    </w:p>
  </w:footnote>
  <w:footnote w:type="continuationSeparator" w:id="0">
    <w:p w14:paraId="55B40829" w14:textId="77777777" w:rsidR="00EE623F" w:rsidRDefault="00EE623F" w:rsidP="00F00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D840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6025666"/>
    <w:multiLevelType w:val="hybridMultilevel"/>
    <w:tmpl w:val="C3D69E56"/>
    <w:lvl w:ilvl="0" w:tplc="A6848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430419942">
    <w:abstractNumId w:val="0"/>
  </w:num>
  <w:num w:numId="2" w16cid:durableId="682584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lv-LV" w:vendorID="71" w:dllVersion="512" w:checkStyle="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CD"/>
    <w:rsid w:val="0000063F"/>
    <w:rsid w:val="00001E09"/>
    <w:rsid w:val="00003C97"/>
    <w:rsid w:val="0000468D"/>
    <w:rsid w:val="00004AD7"/>
    <w:rsid w:val="00005AA6"/>
    <w:rsid w:val="000060DD"/>
    <w:rsid w:val="000064A9"/>
    <w:rsid w:val="00007F32"/>
    <w:rsid w:val="00012F0B"/>
    <w:rsid w:val="00012FF6"/>
    <w:rsid w:val="000139D8"/>
    <w:rsid w:val="000145D4"/>
    <w:rsid w:val="0001481D"/>
    <w:rsid w:val="0001547F"/>
    <w:rsid w:val="0002182C"/>
    <w:rsid w:val="000252AD"/>
    <w:rsid w:val="0002689C"/>
    <w:rsid w:val="00027B8C"/>
    <w:rsid w:val="00031974"/>
    <w:rsid w:val="00032089"/>
    <w:rsid w:val="000325CD"/>
    <w:rsid w:val="00034E22"/>
    <w:rsid w:val="00035C90"/>
    <w:rsid w:val="0004076B"/>
    <w:rsid w:val="00041347"/>
    <w:rsid w:val="00041F45"/>
    <w:rsid w:val="00044600"/>
    <w:rsid w:val="00044867"/>
    <w:rsid w:val="00046976"/>
    <w:rsid w:val="000469E8"/>
    <w:rsid w:val="00047B0D"/>
    <w:rsid w:val="000508B2"/>
    <w:rsid w:val="00050E66"/>
    <w:rsid w:val="0005168D"/>
    <w:rsid w:val="00054BCD"/>
    <w:rsid w:val="000555EE"/>
    <w:rsid w:val="00055771"/>
    <w:rsid w:val="00055B04"/>
    <w:rsid w:val="00055DB3"/>
    <w:rsid w:val="00055E64"/>
    <w:rsid w:val="00057A6B"/>
    <w:rsid w:val="00061BB1"/>
    <w:rsid w:val="00063E57"/>
    <w:rsid w:val="00064BAE"/>
    <w:rsid w:val="00065FAA"/>
    <w:rsid w:val="000672B5"/>
    <w:rsid w:val="00067F20"/>
    <w:rsid w:val="0007243B"/>
    <w:rsid w:val="00072AA2"/>
    <w:rsid w:val="00072BDC"/>
    <w:rsid w:val="00072E75"/>
    <w:rsid w:val="000736BF"/>
    <w:rsid w:val="00073811"/>
    <w:rsid w:val="0007503F"/>
    <w:rsid w:val="00075846"/>
    <w:rsid w:val="000766E6"/>
    <w:rsid w:val="000814B3"/>
    <w:rsid w:val="00081CD0"/>
    <w:rsid w:val="00082553"/>
    <w:rsid w:val="00083FFD"/>
    <w:rsid w:val="00085D29"/>
    <w:rsid w:val="0008753F"/>
    <w:rsid w:val="00087BA9"/>
    <w:rsid w:val="0009244F"/>
    <w:rsid w:val="00094700"/>
    <w:rsid w:val="0009691F"/>
    <w:rsid w:val="00096E73"/>
    <w:rsid w:val="000A0B4B"/>
    <w:rsid w:val="000A4B6F"/>
    <w:rsid w:val="000A4B77"/>
    <w:rsid w:val="000A5AEA"/>
    <w:rsid w:val="000A6741"/>
    <w:rsid w:val="000A785A"/>
    <w:rsid w:val="000A7AFB"/>
    <w:rsid w:val="000B1457"/>
    <w:rsid w:val="000B4536"/>
    <w:rsid w:val="000B4C24"/>
    <w:rsid w:val="000C00EB"/>
    <w:rsid w:val="000C1D16"/>
    <w:rsid w:val="000C23D8"/>
    <w:rsid w:val="000C3889"/>
    <w:rsid w:val="000C3C16"/>
    <w:rsid w:val="000C4544"/>
    <w:rsid w:val="000C4EDB"/>
    <w:rsid w:val="000C60CC"/>
    <w:rsid w:val="000D115F"/>
    <w:rsid w:val="000D1356"/>
    <w:rsid w:val="000D27C9"/>
    <w:rsid w:val="000D46EE"/>
    <w:rsid w:val="000D5ECC"/>
    <w:rsid w:val="000D5F0C"/>
    <w:rsid w:val="000D6D04"/>
    <w:rsid w:val="000D70A9"/>
    <w:rsid w:val="000E2466"/>
    <w:rsid w:val="000E3EFD"/>
    <w:rsid w:val="000E49E2"/>
    <w:rsid w:val="000E5B62"/>
    <w:rsid w:val="000E5B95"/>
    <w:rsid w:val="000F140D"/>
    <w:rsid w:val="000F3186"/>
    <w:rsid w:val="000F42C6"/>
    <w:rsid w:val="000F4C17"/>
    <w:rsid w:val="000F535C"/>
    <w:rsid w:val="000F5580"/>
    <w:rsid w:val="001002EC"/>
    <w:rsid w:val="00100D6A"/>
    <w:rsid w:val="00101112"/>
    <w:rsid w:val="001023F3"/>
    <w:rsid w:val="001037D6"/>
    <w:rsid w:val="00105AB7"/>
    <w:rsid w:val="001064D6"/>
    <w:rsid w:val="00110F5F"/>
    <w:rsid w:val="00111B55"/>
    <w:rsid w:val="0011318A"/>
    <w:rsid w:val="00113AFC"/>
    <w:rsid w:val="00114B3A"/>
    <w:rsid w:val="00114CC4"/>
    <w:rsid w:val="00116ACD"/>
    <w:rsid w:val="00121DA4"/>
    <w:rsid w:val="00123E35"/>
    <w:rsid w:val="00124619"/>
    <w:rsid w:val="00126FDF"/>
    <w:rsid w:val="00127639"/>
    <w:rsid w:val="00130158"/>
    <w:rsid w:val="001317CF"/>
    <w:rsid w:val="0013233E"/>
    <w:rsid w:val="00134169"/>
    <w:rsid w:val="00134496"/>
    <w:rsid w:val="0013465D"/>
    <w:rsid w:val="00134D67"/>
    <w:rsid w:val="001352B4"/>
    <w:rsid w:val="00135454"/>
    <w:rsid w:val="00135652"/>
    <w:rsid w:val="00135DF9"/>
    <w:rsid w:val="001360A2"/>
    <w:rsid w:val="00141B34"/>
    <w:rsid w:val="001437C9"/>
    <w:rsid w:val="00144095"/>
    <w:rsid w:val="0014659F"/>
    <w:rsid w:val="00150338"/>
    <w:rsid w:val="00150CFF"/>
    <w:rsid w:val="00151E8E"/>
    <w:rsid w:val="00153B57"/>
    <w:rsid w:val="00153FDA"/>
    <w:rsid w:val="001569D4"/>
    <w:rsid w:val="00156D44"/>
    <w:rsid w:val="001610AD"/>
    <w:rsid w:val="00162007"/>
    <w:rsid w:val="00162213"/>
    <w:rsid w:val="001634A8"/>
    <w:rsid w:val="00166312"/>
    <w:rsid w:val="001709E5"/>
    <w:rsid w:val="00174A5C"/>
    <w:rsid w:val="00174DF5"/>
    <w:rsid w:val="00174EE1"/>
    <w:rsid w:val="00176564"/>
    <w:rsid w:val="00181366"/>
    <w:rsid w:val="00182DD6"/>
    <w:rsid w:val="00183AD6"/>
    <w:rsid w:val="00184C46"/>
    <w:rsid w:val="00185CE5"/>
    <w:rsid w:val="001866B1"/>
    <w:rsid w:val="00186D74"/>
    <w:rsid w:val="001877AB"/>
    <w:rsid w:val="00193336"/>
    <w:rsid w:val="00193A7D"/>
    <w:rsid w:val="001948A5"/>
    <w:rsid w:val="00195A10"/>
    <w:rsid w:val="00197126"/>
    <w:rsid w:val="001A085D"/>
    <w:rsid w:val="001A1650"/>
    <w:rsid w:val="001A19D4"/>
    <w:rsid w:val="001A385A"/>
    <w:rsid w:val="001A587C"/>
    <w:rsid w:val="001A6181"/>
    <w:rsid w:val="001B0C61"/>
    <w:rsid w:val="001B2335"/>
    <w:rsid w:val="001B65C1"/>
    <w:rsid w:val="001B7A9B"/>
    <w:rsid w:val="001B7FDB"/>
    <w:rsid w:val="001C2FF9"/>
    <w:rsid w:val="001C5A89"/>
    <w:rsid w:val="001D1194"/>
    <w:rsid w:val="001D1AC7"/>
    <w:rsid w:val="001D43F0"/>
    <w:rsid w:val="001D4757"/>
    <w:rsid w:val="001D553D"/>
    <w:rsid w:val="001D58B0"/>
    <w:rsid w:val="001D68F1"/>
    <w:rsid w:val="001D7016"/>
    <w:rsid w:val="001E17D1"/>
    <w:rsid w:val="001E2A98"/>
    <w:rsid w:val="001E4EBE"/>
    <w:rsid w:val="001E6D85"/>
    <w:rsid w:val="001F22A8"/>
    <w:rsid w:val="001F3C17"/>
    <w:rsid w:val="001F3DFE"/>
    <w:rsid w:val="001F4E54"/>
    <w:rsid w:val="001F6887"/>
    <w:rsid w:val="001F7983"/>
    <w:rsid w:val="002003C7"/>
    <w:rsid w:val="00202373"/>
    <w:rsid w:val="00203EB3"/>
    <w:rsid w:val="00206668"/>
    <w:rsid w:val="00206E28"/>
    <w:rsid w:val="0021287A"/>
    <w:rsid w:val="002128E8"/>
    <w:rsid w:val="002139A9"/>
    <w:rsid w:val="00213DF4"/>
    <w:rsid w:val="00214134"/>
    <w:rsid w:val="0021560F"/>
    <w:rsid w:val="0021786E"/>
    <w:rsid w:val="0022172F"/>
    <w:rsid w:val="0022214C"/>
    <w:rsid w:val="002221F8"/>
    <w:rsid w:val="0022292B"/>
    <w:rsid w:val="00223868"/>
    <w:rsid w:val="00230CC2"/>
    <w:rsid w:val="00230EE7"/>
    <w:rsid w:val="00231310"/>
    <w:rsid w:val="002318D8"/>
    <w:rsid w:val="00231C5A"/>
    <w:rsid w:val="00232C00"/>
    <w:rsid w:val="00233753"/>
    <w:rsid w:val="00233A9E"/>
    <w:rsid w:val="002355E7"/>
    <w:rsid w:val="00236656"/>
    <w:rsid w:val="00236FDD"/>
    <w:rsid w:val="002401A5"/>
    <w:rsid w:val="002415C7"/>
    <w:rsid w:val="0024176E"/>
    <w:rsid w:val="0024218E"/>
    <w:rsid w:val="00245915"/>
    <w:rsid w:val="0024664F"/>
    <w:rsid w:val="00247A9B"/>
    <w:rsid w:val="0025186D"/>
    <w:rsid w:val="00253FC9"/>
    <w:rsid w:val="002559D3"/>
    <w:rsid w:val="00255E35"/>
    <w:rsid w:val="00256398"/>
    <w:rsid w:val="00261F16"/>
    <w:rsid w:val="0026327C"/>
    <w:rsid w:val="002638FC"/>
    <w:rsid w:val="00264420"/>
    <w:rsid w:val="0026562D"/>
    <w:rsid w:val="00265750"/>
    <w:rsid w:val="002662EE"/>
    <w:rsid w:val="0026707A"/>
    <w:rsid w:val="00267CE2"/>
    <w:rsid w:val="00270C44"/>
    <w:rsid w:val="00272A27"/>
    <w:rsid w:val="00273B75"/>
    <w:rsid w:val="00274AF3"/>
    <w:rsid w:val="0027674E"/>
    <w:rsid w:val="00276F49"/>
    <w:rsid w:val="00280BBD"/>
    <w:rsid w:val="00281C46"/>
    <w:rsid w:val="00282339"/>
    <w:rsid w:val="00286638"/>
    <w:rsid w:val="00287096"/>
    <w:rsid w:val="0028788C"/>
    <w:rsid w:val="002905CD"/>
    <w:rsid w:val="0029072A"/>
    <w:rsid w:val="00290B37"/>
    <w:rsid w:val="002947CA"/>
    <w:rsid w:val="00294959"/>
    <w:rsid w:val="0029558D"/>
    <w:rsid w:val="002971F0"/>
    <w:rsid w:val="00297328"/>
    <w:rsid w:val="002A1B2F"/>
    <w:rsid w:val="002A23FB"/>
    <w:rsid w:val="002A2405"/>
    <w:rsid w:val="002A512D"/>
    <w:rsid w:val="002A57F2"/>
    <w:rsid w:val="002A7824"/>
    <w:rsid w:val="002A7895"/>
    <w:rsid w:val="002A7A91"/>
    <w:rsid w:val="002B0ABE"/>
    <w:rsid w:val="002B1EB4"/>
    <w:rsid w:val="002B1F49"/>
    <w:rsid w:val="002B2F7B"/>
    <w:rsid w:val="002B3FEF"/>
    <w:rsid w:val="002B6320"/>
    <w:rsid w:val="002B69A0"/>
    <w:rsid w:val="002B6F03"/>
    <w:rsid w:val="002C0500"/>
    <w:rsid w:val="002C27EA"/>
    <w:rsid w:val="002C2AE3"/>
    <w:rsid w:val="002C3088"/>
    <w:rsid w:val="002C357E"/>
    <w:rsid w:val="002C3BBB"/>
    <w:rsid w:val="002C4296"/>
    <w:rsid w:val="002C5DD3"/>
    <w:rsid w:val="002C6F0B"/>
    <w:rsid w:val="002D0E86"/>
    <w:rsid w:val="002D16F8"/>
    <w:rsid w:val="002D26F5"/>
    <w:rsid w:val="002D276F"/>
    <w:rsid w:val="002D31C6"/>
    <w:rsid w:val="002D3593"/>
    <w:rsid w:val="002D3B91"/>
    <w:rsid w:val="002D3D30"/>
    <w:rsid w:val="002D5308"/>
    <w:rsid w:val="002D5A60"/>
    <w:rsid w:val="002D7377"/>
    <w:rsid w:val="002E0C7B"/>
    <w:rsid w:val="002E19C5"/>
    <w:rsid w:val="002E1DDB"/>
    <w:rsid w:val="002E21D9"/>
    <w:rsid w:val="002E342E"/>
    <w:rsid w:val="002E34AC"/>
    <w:rsid w:val="002E3AF5"/>
    <w:rsid w:val="002E4970"/>
    <w:rsid w:val="002E4CC2"/>
    <w:rsid w:val="002E59F1"/>
    <w:rsid w:val="002E67A0"/>
    <w:rsid w:val="002F0082"/>
    <w:rsid w:val="002F079E"/>
    <w:rsid w:val="002F618C"/>
    <w:rsid w:val="002F75AD"/>
    <w:rsid w:val="002F7739"/>
    <w:rsid w:val="0030096C"/>
    <w:rsid w:val="003027CC"/>
    <w:rsid w:val="00302C0F"/>
    <w:rsid w:val="00302F32"/>
    <w:rsid w:val="0030391B"/>
    <w:rsid w:val="00304B5A"/>
    <w:rsid w:val="00305234"/>
    <w:rsid w:val="00305275"/>
    <w:rsid w:val="00306623"/>
    <w:rsid w:val="00306AFE"/>
    <w:rsid w:val="0030781A"/>
    <w:rsid w:val="0031019D"/>
    <w:rsid w:val="003104EA"/>
    <w:rsid w:val="00310BC5"/>
    <w:rsid w:val="00313F55"/>
    <w:rsid w:val="00314A58"/>
    <w:rsid w:val="00316E37"/>
    <w:rsid w:val="00316F91"/>
    <w:rsid w:val="00320A94"/>
    <w:rsid w:val="00320E9C"/>
    <w:rsid w:val="00321008"/>
    <w:rsid w:val="003211C6"/>
    <w:rsid w:val="00321504"/>
    <w:rsid w:val="00321F9E"/>
    <w:rsid w:val="0032362C"/>
    <w:rsid w:val="00325595"/>
    <w:rsid w:val="00325D25"/>
    <w:rsid w:val="003264B2"/>
    <w:rsid w:val="0032650C"/>
    <w:rsid w:val="00326A8F"/>
    <w:rsid w:val="00326B9F"/>
    <w:rsid w:val="00327011"/>
    <w:rsid w:val="003308B4"/>
    <w:rsid w:val="00332133"/>
    <w:rsid w:val="0033475A"/>
    <w:rsid w:val="00336679"/>
    <w:rsid w:val="00337A6F"/>
    <w:rsid w:val="003405D2"/>
    <w:rsid w:val="00341CAC"/>
    <w:rsid w:val="003424A5"/>
    <w:rsid w:val="003424EC"/>
    <w:rsid w:val="003451A4"/>
    <w:rsid w:val="00345F82"/>
    <w:rsid w:val="0034615E"/>
    <w:rsid w:val="00346661"/>
    <w:rsid w:val="00347158"/>
    <w:rsid w:val="00347C6A"/>
    <w:rsid w:val="003501FE"/>
    <w:rsid w:val="00350295"/>
    <w:rsid w:val="003551EF"/>
    <w:rsid w:val="003554CF"/>
    <w:rsid w:val="0035629C"/>
    <w:rsid w:val="00356C83"/>
    <w:rsid w:val="00356F71"/>
    <w:rsid w:val="00357099"/>
    <w:rsid w:val="0035785C"/>
    <w:rsid w:val="00357A87"/>
    <w:rsid w:val="003631F1"/>
    <w:rsid w:val="00363760"/>
    <w:rsid w:val="00363E4F"/>
    <w:rsid w:val="003645BA"/>
    <w:rsid w:val="00365388"/>
    <w:rsid w:val="003664E0"/>
    <w:rsid w:val="00371FC6"/>
    <w:rsid w:val="00373C20"/>
    <w:rsid w:val="00376506"/>
    <w:rsid w:val="003807E6"/>
    <w:rsid w:val="00380BF2"/>
    <w:rsid w:val="003811BA"/>
    <w:rsid w:val="00382D20"/>
    <w:rsid w:val="00383C5B"/>
    <w:rsid w:val="00384EF2"/>
    <w:rsid w:val="00386AEF"/>
    <w:rsid w:val="003877BE"/>
    <w:rsid w:val="00387B40"/>
    <w:rsid w:val="00387BC6"/>
    <w:rsid w:val="00387F98"/>
    <w:rsid w:val="00391966"/>
    <w:rsid w:val="0039346A"/>
    <w:rsid w:val="00394107"/>
    <w:rsid w:val="003965B4"/>
    <w:rsid w:val="00397FEB"/>
    <w:rsid w:val="003A0157"/>
    <w:rsid w:val="003A0489"/>
    <w:rsid w:val="003A063F"/>
    <w:rsid w:val="003A6564"/>
    <w:rsid w:val="003A7E2D"/>
    <w:rsid w:val="003B0DD9"/>
    <w:rsid w:val="003B66FA"/>
    <w:rsid w:val="003C059D"/>
    <w:rsid w:val="003C16FA"/>
    <w:rsid w:val="003C299F"/>
    <w:rsid w:val="003C3173"/>
    <w:rsid w:val="003C3360"/>
    <w:rsid w:val="003C38E3"/>
    <w:rsid w:val="003C3EDD"/>
    <w:rsid w:val="003C42C4"/>
    <w:rsid w:val="003C4C9D"/>
    <w:rsid w:val="003C63BB"/>
    <w:rsid w:val="003D1A13"/>
    <w:rsid w:val="003D44F2"/>
    <w:rsid w:val="003D67A0"/>
    <w:rsid w:val="003E14AE"/>
    <w:rsid w:val="003E20AA"/>
    <w:rsid w:val="003E2DE7"/>
    <w:rsid w:val="003E369D"/>
    <w:rsid w:val="003E68F5"/>
    <w:rsid w:val="003F0B36"/>
    <w:rsid w:val="003F11D7"/>
    <w:rsid w:val="003F21DD"/>
    <w:rsid w:val="003F29DB"/>
    <w:rsid w:val="003F3466"/>
    <w:rsid w:val="003F3598"/>
    <w:rsid w:val="003F39A2"/>
    <w:rsid w:val="003F3B37"/>
    <w:rsid w:val="003F5166"/>
    <w:rsid w:val="003F6325"/>
    <w:rsid w:val="003F690A"/>
    <w:rsid w:val="004038CE"/>
    <w:rsid w:val="004042DC"/>
    <w:rsid w:val="00404692"/>
    <w:rsid w:val="00404B4D"/>
    <w:rsid w:val="00404B95"/>
    <w:rsid w:val="00405E39"/>
    <w:rsid w:val="00406010"/>
    <w:rsid w:val="00412CE4"/>
    <w:rsid w:val="00414066"/>
    <w:rsid w:val="004148C5"/>
    <w:rsid w:val="00414A8D"/>
    <w:rsid w:val="00415877"/>
    <w:rsid w:val="0041733C"/>
    <w:rsid w:val="004173F1"/>
    <w:rsid w:val="0041768A"/>
    <w:rsid w:val="004178EE"/>
    <w:rsid w:val="00417A52"/>
    <w:rsid w:val="004203B6"/>
    <w:rsid w:val="0042040E"/>
    <w:rsid w:val="00422965"/>
    <w:rsid w:val="00424047"/>
    <w:rsid w:val="004255A2"/>
    <w:rsid w:val="00427A9A"/>
    <w:rsid w:val="00427D98"/>
    <w:rsid w:val="00430C47"/>
    <w:rsid w:val="00432DF1"/>
    <w:rsid w:val="004349C8"/>
    <w:rsid w:val="00435E1B"/>
    <w:rsid w:val="00436BA3"/>
    <w:rsid w:val="00436EF3"/>
    <w:rsid w:val="00437D14"/>
    <w:rsid w:val="004410B0"/>
    <w:rsid w:val="00441957"/>
    <w:rsid w:val="00442666"/>
    <w:rsid w:val="004429E8"/>
    <w:rsid w:val="00442B0D"/>
    <w:rsid w:val="00443015"/>
    <w:rsid w:val="004430D0"/>
    <w:rsid w:val="0044447C"/>
    <w:rsid w:val="00450CEA"/>
    <w:rsid w:val="00451131"/>
    <w:rsid w:val="00451BF8"/>
    <w:rsid w:val="00452BC6"/>
    <w:rsid w:val="0045337D"/>
    <w:rsid w:val="0045463C"/>
    <w:rsid w:val="00456371"/>
    <w:rsid w:val="00456DF9"/>
    <w:rsid w:val="0046443E"/>
    <w:rsid w:val="004650F8"/>
    <w:rsid w:val="004662C7"/>
    <w:rsid w:val="00467980"/>
    <w:rsid w:val="004716C4"/>
    <w:rsid w:val="0047219A"/>
    <w:rsid w:val="00472B70"/>
    <w:rsid w:val="004748E9"/>
    <w:rsid w:val="00476273"/>
    <w:rsid w:val="00483114"/>
    <w:rsid w:val="00484733"/>
    <w:rsid w:val="00484C76"/>
    <w:rsid w:val="00484DD8"/>
    <w:rsid w:val="00486CBF"/>
    <w:rsid w:val="00486FFF"/>
    <w:rsid w:val="00490568"/>
    <w:rsid w:val="00491DE9"/>
    <w:rsid w:val="004968A6"/>
    <w:rsid w:val="00497E33"/>
    <w:rsid w:val="004A373D"/>
    <w:rsid w:val="004A69FD"/>
    <w:rsid w:val="004B0950"/>
    <w:rsid w:val="004B13E7"/>
    <w:rsid w:val="004B186B"/>
    <w:rsid w:val="004B3AB3"/>
    <w:rsid w:val="004B483C"/>
    <w:rsid w:val="004B685A"/>
    <w:rsid w:val="004B6F3A"/>
    <w:rsid w:val="004B7F6F"/>
    <w:rsid w:val="004C123A"/>
    <w:rsid w:val="004C2EFA"/>
    <w:rsid w:val="004C2F59"/>
    <w:rsid w:val="004C4AE6"/>
    <w:rsid w:val="004C66C3"/>
    <w:rsid w:val="004D01A6"/>
    <w:rsid w:val="004D04D5"/>
    <w:rsid w:val="004D126E"/>
    <w:rsid w:val="004D37E2"/>
    <w:rsid w:val="004D39CA"/>
    <w:rsid w:val="004D532A"/>
    <w:rsid w:val="004D635E"/>
    <w:rsid w:val="004D6D3A"/>
    <w:rsid w:val="004E43E5"/>
    <w:rsid w:val="004E788C"/>
    <w:rsid w:val="004E7B9D"/>
    <w:rsid w:val="004F0411"/>
    <w:rsid w:val="004F199A"/>
    <w:rsid w:val="004F254F"/>
    <w:rsid w:val="004F2DD9"/>
    <w:rsid w:val="004F315A"/>
    <w:rsid w:val="004F31C8"/>
    <w:rsid w:val="004F3D0B"/>
    <w:rsid w:val="004F78DB"/>
    <w:rsid w:val="00500897"/>
    <w:rsid w:val="00502578"/>
    <w:rsid w:val="005025DB"/>
    <w:rsid w:val="00504D1F"/>
    <w:rsid w:val="00505947"/>
    <w:rsid w:val="00505E19"/>
    <w:rsid w:val="00507A14"/>
    <w:rsid w:val="00507AA2"/>
    <w:rsid w:val="00512820"/>
    <w:rsid w:val="00513053"/>
    <w:rsid w:val="00515746"/>
    <w:rsid w:val="00515836"/>
    <w:rsid w:val="00515E02"/>
    <w:rsid w:val="0052087D"/>
    <w:rsid w:val="005249BF"/>
    <w:rsid w:val="005254D3"/>
    <w:rsid w:val="005265CB"/>
    <w:rsid w:val="00530282"/>
    <w:rsid w:val="00532530"/>
    <w:rsid w:val="005329BA"/>
    <w:rsid w:val="00533E54"/>
    <w:rsid w:val="00534E69"/>
    <w:rsid w:val="00535A5B"/>
    <w:rsid w:val="005361BF"/>
    <w:rsid w:val="0054177F"/>
    <w:rsid w:val="00543006"/>
    <w:rsid w:val="00543841"/>
    <w:rsid w:val="00543D8B"/>
    <w:rsid w:val="0054405C"/>
    <w:rsid w:val="00544C94"/>
    <w:rsid w:val="00544DFC"/>
    <w:rsid w:val="00545B88"/>
    <w:rsid w:val="0054662C"/>
    <w:rsid w:val="005471A8"/>
    <w:rsid w:val="00547FC6"/>
    <w:rsid w:val="00550CD7"/>
    <w:rsid w:val="005515F1"/>
    <w:rsid w:val="0055225A"/>
    <w:rsid w:val="0055288D"/>
    <w:rsid w:val="00554EA2"/>
    <w:rsid w:val="005566F8"/>
    <w:rsid w:val="00557FE0"/>
    <w:rsid w:val="005601FC"/>
    <w:rsid w:val="0056173D"/>
    <w:rsid w:val="00561FBE"/>
    <w:rsid w:val="00562F4C"/>
    <w:rsid w:val="00564907"/>
    <w:rsid w:val="00564F53"/>
    <w:rsid w:val="005654A7"/>
    <w:rsid w:val="00570045"/>
    <w:rsid w:val="00570292"/>
    <w:rsid w:val="00570B23"/>
    <w:rsid w:val="005718E1"/>
    <w:rsid w:val="00572121"/>
    <w:rsid w:val="005728D2"/>
    <w:rsid w:val="005732CE"/>
    <w:rsid w:val="0057647D"/>
    <w:rsid w:val="00577814"/>
    <w:rsid w:val="00577CEB"/>
    <w:rsid w:val="00580A7F"/>
    <w:rsid w:val="00580D6E"/>
    <w:rsid w:val="00580F7A"/>
    <w:rsid w:val="00583777"/>
    <w:rsid w:val="005843A6"/>
    <w:rsid w:val="005843CD"/>
    <w:rsid w:val="00584E3B"/>
    <w:rsid w:val="00585A48"/>
    <w:rsid w:val="00585F8C"/>
    <w:rsid w:val="00587964"/>
    <w:rsid w:val="005933D9"/>
    <w:rsid w:val="00593A7A"/>
    <w:rsid w:val="005946A5"/>
    <w:rsid w:val="005957D1"/>
    <w:rsid w:val="00596A6E"/>
    <w:rsid w:val="00597FD5"/>
    <w:rsid w:val="005A1E86"/>
    <w:rsid w:val="005A30AB"/>
    <w:rsid w:val="005A31AA"/>
    <w:rsid w:val="005A3781"/>
    <w:rsid w:val="005A3DEB"/>
    <w:rsid w:val="005A4220"/>
    <w:rsid w:val="005A5D6F"/>
    <w:rsid w:val="005A72D6"/>
    <w:rsid w:val="005B22EE"/>
    <w:rsid w:val="005B313C"/>
    <w:rsid w:val="005B5437"/>
    <w:rsid w:val="005B67F8"/>
    <w:rsid w:val="005B6943"/>
    <w:rsid w:val="005C07E0"/>
    <w:rsid w:val="005C1250"/>
    <w:rsid w:val="005C1984"/>
    <w:rsid w:val="005C2CE8"/>
    <w:rsid w:val="005C30FA"/>
    <w:rsid w:val="005C3F92"/>
    <w:rsid w:val="005C423A"/>
    <w:rsid w:val="005C4A67"/>
    <w:rsid w:val="005C5CDC"/>
    <w:rsid w:val="005C66C2"/>
    <w:rsid w:val="005D0046"/>
    <w:rsid w:val="005D1AD6"/>
    <w:rsid w:val="005D50E5"/>
    <w:rsid w:val="005D63FF"/>
    <w:rsid w:val="005D786E"/>
    <w:rsid w:val="005E01DF"/>
    <w:rsid w:val="005E06FB"/>
    <w:rsid w:val="005E0A2B"/>
    <w:rsid w:val="005E0C1B"/>
    <w:rsid w:val="005E36D9"/>
    <w:rsid w:val="005E622A"/>
    <w:rsid w:val="005E7430"/>
    <w:rsid w:val="005E798B"/>
    <w:rsid w:val="005F1FE9"/>
    <w:rsid w:val="005F217C"/>
    <w:rsid w:val="005F2654"/>
    <w:rsid w:val="005F38B2"/>
    <w:rsid w:val="005F5A63"/>
    <w:rsid w:val="005F757B"/>
    <w:rsid w:val="0060086E"/>
    <w:rsid w:val="00600C0A"/>
    <w:rsid w:val="00602B7F"/>
    <w:rsid w:val="00603469"/>
    <w:rsid w:val="006036B6"/>
    <w:rsid w:val="00603D1A"/>
    <w:rsid w:val="00603DBD"/>
    <w:rsid w:val="00604763"/>
    <w:rsid w:val="00605846"/>
    <w:rsid w:val="00606089"/>
    <w:rsid w:val="00606A63"/>
    <w:rsid w:val="00607475"/>
    <w:rsid w:val="00607722"/>
    <w:rsid w:val="00610A8B"/>
    <w:rsid w:val="00612700"/>
    <w:rsid w:val="00613C36"/>
    <w:rsid w:val="00613FCA"/>
    <w:rsid w:val="0061749A"/>
    <w:rsid w:val="00617A37"/>
    <w:rsid w:val="00620207"/>
    <w:rsid w:val="00620A6B"/>
    <w:rsid w:val="006210FF"/>
    <w:rsid w:val="00621B67"/>
    <w:rsid w:val="00621CA2"/>
    <w:rsid w:val="0062232B"/>
    <w:rsid w:val="00623D8A"/>
    <w:rsid w:val="006250E3"/>
    <w:rsid w:val="00626452"/>
    <w:rsid w:val="006272E7"/>
    <w:rsid w:val="00627AB3"/>
    <w:rsid w:val="00630FCC"/>
    <w:rsid w:val="00634475"/>
    <w:rsid w:val="0063497E"/>
    <w:rsid w:val="00634B63"/>
    <w:rsid w:val="006353A3"/>
    <w:rsid w:val="0063635C"/>
    <w:rsid w:val="00642B71"/>
    <w:rsid w:val="00646BF4"/>
    <w:rsid w:val="00647B0C"/>
    <w:rsid w:val="00652B40"/>
    <w:rsid w:val="00652BE2"/>
    <w:rsid w:val="00652D65"/>
    <w:rsid w:val="00653342"/>
    <w:rsid w:val="00654846"/>
    <w:rsid w:val="00654C3F"/>
    <w:rsid w:val="00655C4D"/>
    <w:rsid w:val="0065664E"/>
    <w:rsid w:val="00656892"/>
    <w:rsid w:val="00657721"/>
    <w:rsid w:val="006600E7"/>
    <w:rsid w:val="0066091D"/>
    <w:rsid w:val="00661B5E"/>
    <w:rsid w:val="00661D4E"/>
    <w:rsid w:val="00663F90"/>
    <w:rsid w:val="00665910"/>
    <w:rsid w:val="00666379"/>
    <w:rsid w:val="006675A6"/>
    <w:rsid w:val="00667AC0"/>
    <w:rsid w:val="0067013F"/>
    <w:rsid w:val="00671599"/>
    <w:rsid w:val="00672FD6"/>
    <w:rsid w:val="006766B5"/>
    <w:rsid w:val="00677F6F"/>
    <w:rsid w:val="00680525"/>
    <w:rsid w:val="0068097E"/>
    <w:rsid w:val="00682186"/>
    <w:rsid w:val="00682FC0"/>
    <w:rsid w:val="006839C4"/>
    <w:rsid w:val="00683C93"/>
    <w:rsid w:val="006860FF"/>
    <w:rsid w:val="0068691A"/>
    <w:rsid w:val="00687DFC"/>
    <w:rsid w:val="0069291B"/>
    <w:rsid w:val="00692A03"/>
    <w:rsid w:val="00694683"/>
    <w:rsid w:val="00694BBF"/>
    <w:rsid w:val="0069538B"/>
    <w:rsid w:val="00695400"/>
    <w:rsid w:val="0069559B"/>
    <w:rsid w:val="0069585C"/>
    <w:rsid w:val="006A19B2"/>
    <w:rsid w:val="006A19BC"/>
    <w:rsid w:val="006A25A7"/>
    <w:rsid w:val="006A2EEC"/>
    <w:rsid w:val="006A4AA9"/>
    <w:rsid w:val="006A5BF1"/>
    <w:rsid w:val="006A77BE"/>
    <w:rsid w:val="006B0623"/>
    <w:rsid w:val="006B44C5"/>
    <w:rsid w:val="006B5F55"/>
    <w:rsid w:val="006B66C3"/>
    <w:rsid w:val="006B6CA0"/>
    <w:rsid w:val="006B6DFA"/>
    <w:rsid w:val="006B7EA5"/>
    <w:rsid w:val="006C28F5"/>
    <w:rsid w:val="006C48D5"/>
    <w:rsid w:val="006D030B"/>
    <w:rsid w:val="006D04F8"/>
    <w:rsid w:val="006D09EE"/>
    <w:rsid w:val="006D14CC"/>
    <w:rsid w:val="006D1845"/>
    <w:rsid w:val="006D23E7"/>
    <w:rsid w:val="006D6D29"/>
    <w:rsid w:val="006E119D"/>
    <w:rsid w:val="006E13D8"/>
    <w:rsid w:val="006E178B"/>
    <w:rsid w:val="006E5B90"/>
    <w:rsid w:val="006E68A7"/>
    <w:rsid w:val="006E6A02"/>
    <w:rsid w:val="006F1275"/>
    <w:rsid w:val="006F26FB"/>
    <w:rsid w:val="006F2DFD"/>
    <w:rsid w:val="006F3A8D"/>
    <w:rsid w:val="006F45AC"/>
    <w:rsid w:val="006F6D74"/>
    <w:rsid w:val="006F7D98"/>
    <w:rsid w:val="00702EAB"/>
    <w:rsid w:val="00710B87"/>
    <w:rsid w:val="00711020"/>
    <w:rsid w:val="00711EA1"/>
    <w:rsid w:val="007131CA"/>
    <w:rsid w:val="00715A18"/>
    <w:rsid w:val="007167DE"/>
    <w:rsid w:val="007203AA"/>
    <w:rsid w:val="0072075C"/>
    <w:rsid w:val="00721129"/>
    <w:rsid w:val="00724985"/>
    <w:rsid w:val="00725EAB"/>
    <w:rsid w:val="0072696E"/>
    <w:rsid w:val="00726F09"/>
    <w:rsid w:val="007274D2"/>
    <w:rsid w:val="00727515"/>
    <w:rsid w:val="00730081"/>
    <w:rsid w:val="007309DE"/>
    <w:rsid w:val="00731329"/>
    <w:rsid w:val="00732222"/>
    <w:rsid w:val="00737B86"/>
    <w:rsid w:val="00743B84"/>
    <w:rsid w:val="007443BD"/>
    <w:rsid w:val="00744D66"/>
    <w:rsid w:val="00745D7B"/>
    <w:rsid w:val="00745E68"/>
    <w:rsid w:val="00745F19"/>
    <w:rsid w:val="00747D56"/>
    <w:rsid w:val="00750D37"/>
    <w:rsid w:val="00751E25"/>
    <w:rsid w:val="00751FBC"/>
    <w:rsid w:val="00753A6B"/>
    <w:rsid w:val="00756523"/>
    <w:rsid w:val="00762D3D"/>
    <w:rsid w:val="00762FA6"/>
    <w:rsid w:val="00765996"/>
    <w:rsid w:val="007667B3"/>
    <w:rsid w:val="00767ECA"/>
    <w:rsid w:val="007708AC"/>
    <w:rsid w:val="00771590"/>
    <w:rsid w:val="0077161D"/>
    <w:rsid w:val="007773E3"/>
    <w:rsid w:val="007829EE"/>
    <w:rsid w:val="0078394D"/>
    <w:rsid w:val="00784B8C"/>
    <w:rsid w:val="007852C7"/>
    <w:rsid w:val="00785C54"/>
    <w:rsid w:val="00786376"/>
    <w:rsid w:val="00787F9A"/>
    <w:rsid w:val="007913B5"/>
    <w:rsid w:val="0079271A"/>
    <w:rsid w:val="00793363"/>
    <w:rsid w:val="00794A64"/>
    <w:rsid w:val="00794B0A"/>
    <w:rsid w:val="00795839"/>
    <w:rsid w:val="00797323"/>
    <w:rsid w:val="0079749C"/>
    <w:rsid w:val="007A0C1C"/>
    <w:rsid w:val="007A285F"/>
    <w:rsid w:val="007A35D9"/>
    <w:rsid w:val="007A3CFD"/>
    <w:rsid w:val="007A521B"/>
    <w:rsid w:val="007A55CA"/>
    <w:rsid w:val="007A7593"/>
    <w:rsid w:val="007A7FE6"/>
    <w:rsid w:val="007B072F"/>
    <w:rsid w:val="007B0E66"/>
    <w:rsid w:val="007B1932"/>
    <w:rsid w:val="007B5C35"/>
    <w:rsid w:val="007B65F4"/>
    <w:rsid w:val="007B6A13"/>
    <w:rsid w:val="007C003E"/>
    <w:rsid w:val="007C11E1"/>
    <w:rsid w:val="007C2294"/>
    <w:rsid w:val="007C2BCE"/>
    <w:rsid w:val="007C2CFF"/>
    <w:rsid w:val="007C644D"/>
    <w:rsid w:val="007C6884"/>
    <w:rsid w:val="007C7179"/>
    <w:rsid w:val="007C7882"/>
    <w:rsid w:val="007D281F"/>
    <w:rsid w:val="007D3B71"/>
    <w:rsid w:val="007D7C9D"/>
    <w:rsid w:val="007E10E3"/>
    <w:rsid w:val="007E1E74"/>
    <w:rsid w:val="007E2600"/>
    <w:rsid w:val="007E515B"/>
    <w:rsid w:val="007E6891"/>
    <w:rsid w:val="007F0247"/>
    <w:rsid w:val="007F1CD5"/>
    <w:rsid w:val="007F24FA"/>
    <w:rsid w:val="007F27B6"/>
    <w:rsid w:val="007F2805"/>
    <w:rsid w:val="007F32B1"/>
    <w:rsid w:val="007F4825"/>
    <w:rsid w:val="007F502E"/>
    <w:rsid w:val="007F5426"/>
    <w:rsid w:val="007F666B"/>
    <w:rsid w:val="007F6EDE"/>
    <w:rsid w:val="007F7E09"/>
    <w:rsid w:val="008024A4"/>
    <w:rsid w:val="008043D2"/>
    <w:rsid w:val="008047C3"/>
    <w:rsid w:val="00804D7C"/>
    <w:rsid w:val="00805C7B"/>
    <w:rsid w:val="00806D17"/>
    <w:rsid w:val="00807BD7"/>
    <w:rsid w:val="00810FC0"/>
    <w:rsid w:val="0081247E"/>
    <w:rsid w:val="00812711"/>
    <w:rsid w:val="00813474"/>
    <w:rsid w:val="00813C8F"/>
    <w:rsid w:val="0081628F"/>
    <w:rsid w:val="00816478"/>
    <w:rsid w:val="008171EA"/>
    <w:rsid w:val="00817BAB"/>
    <w:rsid w:val="0082126F"/>
    <w:rsid w:val="00831C4A"/>
    <w:rsid w:val="00832B22"/>
    <w:rsid w:val="00835583"/>
    <w:rsid w:val="008356A0"/>
    <w:rsid w:val="00835DA5"/>
    <w:rsid w:val="00835F00"/>
    <w:rsid w:val="00836B86"/>
    <w:rsid w:val="00837A8A"/>
    <w:rsid w:val="008412C4"/>
    <w:rsid w:val="0084195D"/>
    <w:rsid w:val="00843E47"/>
    <w:rsid w:val="00844A09"/>
    <w:rsid w:val="00846D48"/>
    <w:rsid w:val="008477B2"/>
    <w:rsid w:val="00850934"/>
    <w:rsid w:val="00853263"/>
    <w:rsid w:val="00854C11"/>
    <w:rsid w:val="0085519B"/>
    <w:rsid w:val="00857681"/>
    <w:rsid w:val="00857AA3"/>
    <w:rsid w:val="00857CAB"/>
    <w:rsid w:val="00860356"/>
    <w:rsid w:val="0086133E"/>
    <w:rsid w:val="00861A2B"/>
    <w:rsid w:val="008622A9"/>
    <w:rsid w:val="00863142"/>
    <w:rsid w:val="0086319F"/>
    <w:rsid w:val="00863821"/>
    <w:rsid w:val="00863C87"/>
    <w:rsid w:val="00864116"/>
    <w:rsid w:val="0086457E"/>
    <w:rsid w:val="00864743"/>
    <w:rsid w:val="00864B8F"/>
    <w:rsid w:val="00866286"/>
    <w:rsid w:val="00866B9E"/>
    <w:rsid w:val="008700D3"/>
    <w:rsid w:val="00876C9B"/>
    <w:rsid w:val="008774D2"/>
    <w:rsid w:val="008775B7"/>
    <w:rsid w:val="00882E52"/>
    <w:rsid w:val="00883060"/>
    <w:rsid w:val="0088419A"/>
    <w:rsid w:val="0088477C"/>
    <w:rsid w:val="00885616"/>
    <w:rsid w:val="00887B80"/>
    <w:rsid w:val="00887D51"/>
    <w:rsid w:val="008943AC"/>
    <w:rsid w:val="008946B0"/>
    <w:rsid w:val="00895670"/>
    <w:rsid w:val="00897619"/>
    <w:rsid w:val="008A09E2"/>
    <w:rsid w:val="008A1246"/>
    <w:rsid w:val="008A135D"/>
    <w:rsid w:val="008A1DD0"/>
    <w:rsid w:val="008A22CE"/>
    <w:rsid w:val="008A2B53"/>
    <w:rsid w:val="008A3783"/>
    <w:rsid w:val="008A5377"/>
    <w:rsid w:val="008A6E2B"/>
    <w:rsid w:val="008B4082"/>
    <w:rsid w:val="008B4583"/>
    <w:rsid w:val="008B5715"/>
    <w:rsid w:val="008B7097"/>
    <w:rsid w:val="008B7CCD"/>
    <w:rsid w:val="008C3515"/>
    <w:rsid w:val="008C55B3"/>
    <w:rsid w:val="008C5C05"/>
    <w:rsid w:val="008C627F"/>
    <w:rsid w:val="008C6CC7"/>
    <w:rsid w:val="008D2A62"/>
    <w:rsid w:val="008D3901"/>
    <w:rsid w:val="008D5D58"/>
    <w:rsid w:val="008E03B5"/>
    <w:rsid w:val="008E03F9"/>
    <w:rsid w:val="008E215C"/>
    <w:rsid w:val="008E3C64"/>
    <w:rsid w:val="008E3C76"/>
    <w:rsid w:val="008E494F"/>
    <w:rsid w:val="008F051D"/>
    <w:rsid w:val="008F2671"/>
    <w:rsid w:val="008F5735"/>
    <w:rsid w:val="008F6175"/>
    <w:rsid w:val="008F7ADF"/>
    <w:rsid w:val="00902187"/>
    <w:rsid w:val="00902391"/>
    <w:rsid w:val="0090471E"/>
    <w:rsid w:val="0090516D"/>
    <w:rsid w:val="009059F7"/>
    <w:rsid w:val="009068FF"/>
    <w:rsid w:val="00906A98"/>
    <w:rsid w:val="009072F2"/>
    <w:rsid w:val="00907691"/>
    <w:rsid w:val="00907962"/>
    <w:rsid w:val="00907970"/>
    <w:rsid w:val="00910590"/>
    <w:rsid w:val="0091325A"/>
    <w:rsid w:val="009154F6"/>
    <w:rsid w:val="00917A12"/>
    <w:rsid w:val="00921DF1"/>
    <w:rsid w:val="009234C8"/>
    <w:rsid w:val="00924819"/>
    <w:rsid w:val="00925B02"/>
    <w:rsid w:val="00926BB7"/>
    <w:rsid w:val="0093106B"/>
    <w:rsid w:val="009339E3"/>
    <w:rsid w:val="00934796"/>
    <w:rsid w:val="00935CF0"/>
    <w:rsid w:val="00935DD6"/>
    <w:rsid w:val="009367E8"/>
    <w:rsid w:val="009374EB"/>
    <w:rsid w:val="00940435"/>
    <w:rsid w:val="00940451"/>
    <w:rsid w:val="00941711"/>
    <w:rsid w:val="00941BA3"/>
    <w:rsid w:val="00941C76"/>
    <w:rsid w:val="00943B88"/>
    <w:rsid w:val="00944300"/>
    <w:rsid w:val="00944CB2"/>
    <w:rsid w:val="00945138"/>
    <w:rsid w:val="009460BC"/>
    <w:rsid w:val="009479C8"/>
    <w:rsid w:val="00950840"/>
    <w:rsid w:val="00950B27"/>
    <w:rsid w:val="00951ED6"/>
    <w:rsid w:val="0095218C"/>
    <w:rsid w:val="009528CE"/>
    <w:rsid w:val="00952D0B"/>
    <w:rsid w:val="00952FD5"/>
    <w:rsid w:val="00953FDA"/>
    <w:rsid w:val="009565DB"/>
    <w:rsid w:val="00956C88"/>
    <w:rsid w:val="00956EC0"/>
    <w:rsid w:val="00965595"/>
    <w:rsid w:val="00965641"/>
    <w:rsid w:val="00967EB6"/>
    <w:rsid w:val="00970DF4"/>
    <w:rsid w:val="009732F5"/>
    <w:rsid w:val="009740FD"/>
    <w:rsid w:val="00974198"/>
    <w:rsid w:val="0097463B"/>
    <w:rsid w:val="00974E53"/>
    <w:rsid w:val="0097516D"/>
    <w:rsid w:val="00980DBE"/>
    <w:rsid w:val="00983CA2"/>
    <w:rsid w:val="00983E0A"/>
    <w:rsid w:val="009858AE"/>
    <w:rsid w:val="00985DAD"/>
    <w:rsid w:val="00986BAC"/>
    <w:rsid w:val="00987E8B"/>
    <w:rsid w:val="00987ECD"/>
    <w:rsid w:val="009962F2"/>
    <w:rsid w:val="00997712"/>
    <w:rsid w:val="009A0338"/>
    <w:rsid w:val="009A0536"/>
    <w:rsid w:val="009A1C2D"/>
    <w:rsid w:val="009A35B0"/>
    <w:rsid w:val="009A3FCC"/>
    <w:rsid w:val="009A550C"/>
    <w:rsid w:val="009A6FC3"/>
    <w:rsid w:val="009B03C8"/>
    <w:rsid w:val="009B3B0E"/>
    <w:rsid w:val="009B58CC"/>
    <w:rsid w:val="009B6772"/>
    <w:rsid w:val="009B6981"/>
    <w:rsid w:val="009B725A"/>
    <w:rsid w:val="009B736A"/>
    <w:rsid w:val="009B7496"/>
    <w:rsid w:val="009B7885"/>
    <w:rsid w:val="009B7ADA"/>
    <w:rsid w:val="009B7EE3"/>
    <w:rsid w:val="009C1884"/>
    <w:rsid w:val="009C23D7"/>
    <w:rsid w:val="009C2457"/>
    <w:rsid w:val="009D48E7"/>
    <w:rsid w:val="009D55B9"/>
    <w:rsid w:val="009D56AC"/>
    <w:rsid w:val="009D663A"/>
    <w:rsid w:val="009E015B"/>
    <w:rsid w:val="009E4AE4"/>
    <w:rsid w:val="009F090B"/>
    <w:rsid w:val="009F09AD"/>
    <w:rsid w:val="009F0FE2"/>
    <w:rsid w:val="009F18B0"/>
    <w:rsid w:val="009F32A1"/>
    <w:rsid w:val="009F3A3D"/>
    <w:rsid w:val="009F41B2"/>
    <w:rsid w:val="009F4F97"/>
    <w:rsid w:val="009F5CC0"/>
    <w:rsid w:val="00A000BE"/>
    <w:rsid w:val="00A01EE4"/>
    <w:rsid w:val="00A03DE5"/>
    <w:rsid w:val="00A043AE"/>
    <w:rsid w:val="00A067D2"/>
    <w:rsid w:val="00A10E59"/>
    <w:rsid w:val="00A123A8"/>
    <w:rsid w:val="00A14253"/>
    <w:rsid w:val="00A162D4"/>
    <w:rsid w:val="00A16FD1"/>
    <w:rsid w:val="00A17295"/>
    <w:rsid w:val="00A17711"/>
    <w:rsid w:val="00A209B2"/>
    <w:rsid w:val="00A2229B"/>
    <w:rsid w:val="00A27034"/>
    <w:rsid w:val="00A30E38"/>
    <w:rsid w:val="00A329FB"/>
    <w:rsid w:val="00A33357"/>
    <w:rsid w:val="00A34712"/>
    <w:rsid w:val="00A34C05"/>
    <w:rsid w:val="00A35AE5"/>
    <w:rsid w:val="00A35F45"/>
    <w:rsid w:val="00A37AAA"/>
    <w:rsid w:val="00A37E57"/>
    <w:rsid w:val="00A40D21"/>
    <w:rsid w:val="00A42AEC"/>
    <w:rsid w:val="00A431BF"/>
    <w:rsid w:val="00A43580"/>
    <w:rsid w:val="00A44467"/>
    <w:rsid w:val="00A44DF1"/>
    <w:rsid w:val="00A50D2D"/>
    <w:rsid w:val="00A52B16"/>
    <w:rsid w:val="00A544B7"/>
    <w:rsid w:val="00A55E07"/>
    <w:rsid w:val="00A569B1"/>
    <w:rsid w:val="00A61C1D"/>
    <w:rsid w:val="00A65948"/>
    <w:rsid w:val="00A66CF8"/>
    <w:rsid w:val="00A67409"/>
    <w:rsid w:val="00A7118B"/>
    <w:rsid w:val="00A7139C"/>
    <w:rsid w:val="00A71AAE"/>
    <w:rsid w:val="00A746CE"/>
    <w:rsid w:val="00A76099"/>
    <w:rsid w:val="00A779F5"/>
    <w:rsid w:val="00A77BA9"/>
    <w:rsid w:val="00A802F9"/>
    <w:rsid w:val="00A803C6"/>
    <w:rsid w:val="00A83483"/>
    <w:rsid w:val="00A83642"/>
    <w:rsid w:val="00A8441E"/>
    <w:rsid w:val="00A905EE"/>
    <w:rsid w:val="00A912F4"/>
    <w:rsid w:val="00A94283"/>
    <w:rsid w:val="00A94C8F"/>
    <w:rsid w:val="00A94CB0"/>
    <w:rsid w:val="00A95A55"/>
    <w:rsid w:val="00A95D2D"/>
    <w:rsid w:val="00A9664A"/>
    <w:rsid w:val="00AA6AF8"/>
    <w:rsid w:val="00AB2344"/>
    <w:rsid w:val="00AB2A59"/>
    <w:rsid w:val="00AB2DFC"/>
    <w:rsid w:val="00AB3273"/>
    <w:rsid w:val="00AB63E8"/>
    <w:rsid w:val="00AB70B5"/>
    <w:rsid w:val="00AB754F"/>
    <w:rsid w:val="00AB75FC"/>
    <w:rsid w:val="00AC00AF"/>
    <w:rsid w:val="00AC0F68"/>
    <w:rsid w:val="00AC3264"/>
    <w:rsid w:val="00AC47A0"/>
    <w:rsid w:val="00AC716C"/>
    <w:rsid w:val="00AC7414"/>
    <w:rsid w:val="00AD0840"/>
    <w:rsid w:val="00AD10B7"/>
    <w:rsid w:val="00AD1275"/>
    <w:rsid w:val="00AD3992"/>
    <w:rsid w:val="00AD5F62"/>
    <w:rsid w:val="00AD721C"/>
    <w:rsid w:val="00AE3520"/>
    <w:rsid w:val="00AE38CF"/>
    <w:rsid w:val="00AE49D1"/>
    <w:rsid w:val="00AE4AB4"/>
    <w:rsid w:val="00AE5648"/>
    <w:rsid w:val="00AE7C4F"/>
    <w:rsid w:val="00AF0712"/>
    <w:rsid w:val="00AF1CD5"/>
    <w:rsid w:val="00AF1E6D"/>
    <w:rsid w:val="00AF299F"/>
    <w:rsid w:val="00AF41D0"/>
    <w:rsid w:val="00AF4A21"/>
    <w:rsid w:val="00AF4BF4"/>
    <w:rsid w:val="00AF5F64"/>
    <w:rsid w:val="00AF6AF6"/>
    <w:rsid w:val="00AF7C37"/>
    <w:rsid w:val="00B05E27"/>
    <w:rsid w:val="00B069D2"/>
    <w:rsid w:val="00B1210D"/>
    <w:rsid w:val="00B12686"/>
    <w:rsid w:val="00B1291C"/>
    <w:rsid w:val="00B135F4"/>
    <w:rsid w:val="00B14284"/>
    <w:rsid w:val="00B14AAA"/>
    <w:rsid w:val="00B16AD6"/>
    <w:rsid w:val="00B230C4"/>
    <w:rsid w:val="00B23E12"/>
    <w:rsid w:val="00B24481"/>
    <w:rsid w:val="00B247BF"/>
    <w:rsid w:val="00B27093"/>
    <w:rsid w:val="00B301EF"/>
    <w:rsid w:val="00B3139B"/>
    <w:rsid w:val="00B328A7"/>
    <w:rsid w:val="00B333FA"/>
    <w:rsid w:val="00B35033"/>
    <w:rsid w:val="00B352A0"/>
    <w:rsid w:val="00B35F68"/>
    <w:rsid w:val="00B37252"/>
    <w:rsid w:val="00B37D1F"/>
    <w:rsid w:val="00B40698"/>
    <w:rsid w:val="00B41CC2"/>
    <w:rsid w:val="00B432E0"/>
    <w:rsid w:val="00B43F2F"/>
    <w:rsid w:val="00B50354"/>
    <w:rsid w:val="00B50A6E"/>
    <w:rsid w:val="00B52079"/>
    <w:rsid w:val="00B535FC"/>
    <w:rsid w:val="00B5388D"/>
    <w:rsid w:val="00B5498A"/>
    <w:rsid w:val="00B54F84"/>
    <w:rsid w:val="00B5603F"/>
    <w:rsid w:val="00B60544"/>
    <w:rsid w:val="00B60B6A"/>
    <w:rsid w:val="00B614E9"/>
    <w:rsid w:val="00B63B4A"/>
    <w:rsid w:val="00B63BF8"/>
    <w:rsid w:val="00B64B34"/>
    <w:rsid w:val="00B653E5"/>
    <w:rsid w:val="00B66706"/>
    <w:rsid w:val="00B670AE"/>
    <w:rsid w:val="00B7073D"/>
    <w:rsid w:val="00B730BB"/>
    <w:rsid w:val="00B74FA6"/>
    <w:rsid w:val="00B75327"/>
    <w:rsid w:val="00B75AF2"/>
    <w:rsid w:val="00B75BCD"/>
    <w:rsid w:val="00B75FD5"/>
    <w:rsid w:val="00B8015C"/>
    <w:rsid w:val="00B80240"/>
    <w:rsid w:val="00B80338"/>
    <w:rsid w:val="00B81CCA"/>
    <w:rsid w:val="00B81D3C"/>
    <w:rsid w:val="00B828FD"/>
    <w:rsid w:val="00B82F56"/>
    <w:rsid w:val="00B84A18"/>
    <w:rsid w:val="00B869A1"/>
    <w:rsid w:val="00B876E8"/>
    <w:rsid w:val="00B900A0"/>
    <w:rsid w:val="00B9022E"/>
    <w:rsid w:val="00B90C72"/>
    <w:rsid w:val="00B935F9"/>
    <w:rsid w:val="00B9420A"/>
    <w:rsid w:val="00B96C7A"/>
    <w:rsid w:val="00BA00E0"/>
    <w:rsid w:val="00BA0441"/>
    <w:rsid w:val="00BA14BF"/>
    <w:rsid w:val="00BA27BE"/>
    <w:rsid w:val="00BA51F6"/>
    <w:rsid w:val="00BB14A6"/>
    <w:rsid w:val="00BB2392"/>
    <w:rsid w:val="00BB309D"/>
    <w:rsid w:val="00BB4ED5"/>
    <w:rsid w:val="00BB53F5"/>
    <w:rsid w:val="00BB6035"/>
    <w:rsid w:val="00BB6169"/>
    <w:rsid w:val="00BB7E55"/>
    <w:rsid w:val="00BC06DC"/>
    <w:rsid w:val="00BC09E7"/>
    <w:rsid w:val="00BC2047"/>
    <w:rsid w:val="00BC3293"/>
    <w:rsid w:val="00BC3880"/>
    <w:rsid w:val="00BC3DBF"/>
    <w:rsid w:val="00BC5649"/>
    <w:rsid w:val="00BD2112"/>
    <w:rsid w:val="00BD39F5"/>
    <w:rsid w:val="00BD40A2"/>
    <w:rsid w:val="00BD4366"/>
    <w:rsid w:val="00BD4EA8"/>
    <w:rsid w:val="00BD52CD"/>
    <w:rsid w:val="00BD5E8B"/>
    <w:rsid w:val="00BE0C21"/>
    <w:rsid w:val="00BE0E8C"/>
    <w:rsid w:val="00BE199A"/>
    <w:rsid w:val="00BE7A90"/>
    <w:rsid w:val="00BF1822"/>
    <w:rsid w:val="00BF3D8E"/>
    <w:rsid w:val="00BF5FE1"/>
    <w:rsid w:val="00BF7820"/>
    <w:rsid w:val="00BF7FC1"/>
    <w:rsid w:val="00C00376"/>
    <w:rsid w:val="00C01776"/>
    <w:rsid w:val="00C02479"/>
    <w:rsid w:val="00C030EE"/>
    <w:rsid w:val="00C04B2E"/>
    <w:rsid w:val="00C05427"/>
    <w:rsid w:val="00C058CD"/>
    <w:rsid w:val="00C05942"/>
    <w:rsid w:val="00C06312"/>
    <w:rsid w:val="00C06C65"/>
    <w:rsid w:val="00C10382"/>
    <w:rsid w:val="00C104A1"/>
    <w:rsid w:val="00C14E25"/>
    <w:rsid w:val="00C16781"/>
    <w:rsid w:val="00C22685"/>
    <w:rsid w:val="00C24264"/>
    <w:rsid w:val="00C26EAF"/>
    <w:rsid w:val="00C2749D"/>
    <w:rsid w:val="00C303B7"/>
    <w:rsid w:val="00C305D6"/>
    <w:rsid w:val="00C30749"/>
    <w:rsid w:val="00C30E8D"/>
    <w:rsid w:val="00C310AA"/>
    <w:rsid w:val="00C3317B"/>
    <w:rsid w:val="00C33DE0"/>
    <w:rsid w:val="00C35562"/>
    <w:rsid w:val="00C357E1"/>
    <w:rsid w:val="00C36917"/>
    <w:rsid w:val="00C40453"/>
    <w:rsid w:val="00C40D87"/>
    <w:rsid w:val="00C40FF5"/>
    <w:rsid w:val="00C42293"/>
    <w:rsid w:val="00C42AE8"/>
    <w:rsid w:val="00C42D86"/>
    <w:rsid w:val="00C42E99"/>
    <w:rsid w:val="00C43E35"/>
    <w:rsid w:val="00C46FEC"/>
    <w:rsid w:val="00C47FA9"/>
    <w:rsid w:val="00C50447"/>
    <w:rsid w:val="00C50D7D"/>
    <w:rsid w:val="00C5225A"/>
    <w:rsid w:val="00C52431"/>
    <w:rsid w:val="00C52646"/>
    <w:rsid w:val="00C53D1F"/>
    <w:rsid w:val="00C55B52"/>
    <w:rsid w:val="00C570FA"/>
    <w:rsid w:val="00C60446"/>
    <w:rsid w:val="00C642EC"/>
    <w:rsid w:val="00C669C5"/>
    <w:rsid w:val="00C70835"/>
    <w:rsid w:val="00C74AD0"/>
    <w:rsid w:val="00C75052"/>
    <w:rsid w:val="00C76EC8"/>
    <w:rsid w:val="00C77C77"/>
    <w:rsid w:val="00C77FA9"/>
    <w:rsid w:val="00C813C6"/>
    <w:rsid w:val="00C82414"/>
    <w:rsid w:val="00C86808"/>
    <w:rsid w:val="00C86CD6"/>
    <w:rsid w:val="00C90129"/>
    <w:rsid w:val="00C93989"/>
    <w:rsid w:val="00C9531C"/>
    <w:rsid w:val="00C9542D"/>
    <w:rsid w:val="00C95E28"/>
    <w:rsid w:val="00C95F69"/>
    <w:rsid w:val="00C97713"/>
    <w:rsid w:val="00CA0D2E"/>
    <w:rsid w:val="00CA19DB"/>
    <w:rsid w:val="00CA2626"/>
    <w:rsid w:val="00CA2891"/>
    <w:rsid w:val="00CA2FFA"/>
    <w:rsid w:val="00CA4F59"/>
    <w:rsid w:val="00CA7160"/>
    <w:rsid w:val="00CA79E7"/>
    <w:rsid w:val="00CA7CDC"/>
    <w:rsid w:val="00CB1933"/>
    <w:rsid w:val="00CB1F3F"/>
    <w:rsid w:val="00CB2E84"/>
    <w:rsid w:val="00CB46A0"/>
    <w:rsid w:val="00CB4F60"/>
    <w:rsid w:val="00CB64AE"/>
    <w:rsid w:val="00CC3727"/>
    <w:rsid w:val="00CC3BE4"/>
    <w:rsid w:val="00CC4834"/>
    <w:rsid w:val="00CC4ECE"/>
    <w:rsid w:val="00CD018E"/>
    <w:rsid w:val="00CD2379"/>
    <w:rsid w:val="00CD4359"/>
    <w:rsid w:val="00CD619A"/>
    <w:rsid w:val="00CD7186"/>
    <w:rsid w:val="00CE04F6"/>
    <w:rsid w:val="00CE21D5"/>
    <w:rsid w:val="00CE3127"/>
    <w:rsid w:val="00CE31F0"/>
    <w:rsid w:val="00CE38C3"/>
    <w:rsid w:val="00CE39D6"/>
    <w:rsid w:val="00CE4C77"/>
    <w:rsid w:val="00CE6AE7"/>
    <w:rsid w:val="00CE6E00"/>
    <w:rsid w:val="00CF1A03"/>
    <w:rsid w:val="00CF21F9"/>
    <w:rsid w:val="00CF340C"/>
    <w:rsid w:val="00CF3CDA"/>
    <w:rsid w:val="00CF4224"/>
    <w:rsid w:val="00CF50FC"/>
    <w:rsid w:val="00D02147"/>
    <w:rsid w:val="00D04218"/>
    <w:rsid w:val="00D04635"/>
    <w:rsid w:val="00D04724"/>
    <w:rsid w:val="00D07E9A"/>
    <w:rsid w:val="00D11E6F"/>
    <w:rsid w:val="00D13EC7"/>
    <w:rsid w:val="00D16B1C"/>
    <w:rsid w:val="00D1743C"/>
    <w:rsid w:val="00D17DA3"/>
    <w:rsid w:val="00D20FC1"/>
    <w:rsid w:val="00D214DC"/>
    <w:rsid w:val="00D22031"/>
    <w:rsid w:val="00D22896"/>
    <w:rsid w:val="00D23702"/>
    <w:rsid w:val="00D243E7"/>
    <w:rsid w:val="00D274D1"/>
    <w:rsid w:val="00D27DA0"/>
    <w:rsid w:val="00D32DDD"/>
    <w:rsid w:val="00D33FCC"/>
    <w:rsid w:val="00D34395"/>
    <w:rsid w:val="00D34A70"/>
    <w:rsid w:val="00D35572"/>
    <w:rsid w:val="00D40644"/>
    <w:rsid w:val="00D406CC"/>
    <w:rsid w:val="00D4144D"/>
    <w:rsid w:val="00D4310E"/>
    <w:rsid w:val="00D43E26"/>
    <w:rsid w:val="00D43FBB"/>
    <w:rsid w:val="00D44FF4"/>
    <w:rsid w:val="00D46D86"/>
    <w:rsid w:val="00D50387"/>
    <w:rsid w:val="00D547C1"/>
    <w:rsid w:val="00D54BF1"/>
    <w:rsid w:val="00D559F9"/>
    <w:rsid w:val="00D574C8"/>
    <w:rsid w:val="00D5784E"/>
    <w:rsid w:val="00D57F08"/>
    <w:rsid w:val="00D63234"/>
    <w:rsid w:val="00D63858"/>
    <w:rsid w:val="00D64B2A"/>
    <w:rsid w:val="00D64F50"/>
    <w:rsid w:val="00D65728"/>
    <w:rsid w:val="00D675D8"/>
    <w:rsid w:val="00D6792B"/>
    <w:rsid w:val="00D70165"/>
    <w:rsid w:val="00D71593"/>
    <w:rsid w:val="00D715AD"/>
    <w:rsid w:val="00D71C56"/>
    <w:rsid w:val="00D72570"/>
    <w:rsid w:val="00D72633"/>
    <w:rsid w:val="00D731F6"/>
    <w:rsid w:val="00D74652"/>
    <w:rsid w:val="00D74B34"/>
    <w:rsid w:val="00D75184"/>
    <w:rsid w:val="00D7646C"/>
    <w:rsid w:val="00D81343"/>
    <w:rsid w:val="00D82E0E"/>
    <w:rsid w:val="00D841E1"/>
    <w:rsid w:val="00D85AD9"/>
    <w:rsid w:val="00D878C9"/>
    <w:rsid w:val="00D90D0B"/>
    <w:rsid w:val="00D915BE"/>
    <w:rsid w:val="00D91E54"/>
    <w:rsid w:val="00D92329"/>
    <w:rsid w:val="00D93109"/>
    <w:rsid w:val="00D940BD"/>
    <w:rsid w:val="00D9585D"/>
    <w:rsid w:val="00D95E9E"/>
    <w:rsid w:val="00D964DB"/>
    <w:rsid w:val="00D97007"/>
    <w:rsid w:val="00D97230"/>
    <w:rsid w:val="00DA01DE"/>
    <w:rsid w:val="00DA1B7B"/>
    <w:rsid w:val="00DA1E2F"/>
    <w:rsid w:val="00DA2685"/>
    <w:rsid w:val="00DA3C51"/>
    <w:rsid w:val="00DA409A"/>
    <w:rsid w:val="00DA524A"/>
    <w:rsid w:val="00DA5401"/>
    <w:rsid w:val="00DA6095"/>
    <w:rsid w:val="00DA70A6"/>
    <w:rsid w:val="00DA70FA"/>
    <w:rsid w:val="00DA758C"/>
    <w:rsid w:val="00DB2BBE"/>
    <w:rsid w:val="00DB348A"/>
    <w:rsid w:val="00DB3E7C"/>
    <w:rsid w:val="00DB4559"/>
    <w:rsid w:val="00DB4A03"/>
    <w:rsid w:val="00DB4F0A"/>
    <w:rsid w:val="00DB5651"/>
    <w:rsid w:val="00DB6018"/>
    <w:rsid w:val="00DB74ED"/>
    <w:rsid w:val="00DB7B86"/>
    <w:rsid w:val="00DC2B05"/>
    <w:rsid w:val="00DC2E17"/>
    <w:rsid w:val="00DC3392"/>
    <w:rsid w:val="00DC3652"/>
    <w:rsid w:val="00DC4329"/>
    <w:rsid w:val="00DC5700"/>
    <w:rsid w:val="00DC7887"/>
    <w:rsid w:val="00DD1573"/>
    <w:rsid w:val="00DD31A9"/>
    <w:rsid w:val="00DD3CA5"/>
    <w:rsid w:val="00DD3E2F"/>
    <w:rsid w:val="00DD4BE2"/>
    <w:rsid w:val="00DD5EEA"/>
    <w:rsid w:val="00DD74DD"/>
    <w:rsid w:val="00DE06A6"/>
    <w:rsid w:val="00DE3C99"/>
    <w:rsid w:val="00DE457B"/>
    <w:rsid w:val="00DE5468"/>
    <w:rsid w:val="00DE5A55"/>
    <w:rsid w:val="00DE7015"/>
    <w:rsid w:val="00DF0803"/>
    <w:rsid w:val="00DF13CA"/>
    <w:rsid w:val="00DF1AF7"/>
    <w:rsid w:val="00DF232A"/>
    <w:rsid w:val="00DF3202"/>
    <w:rsid w:val="00E03693"/>
    <w:rsid w:val="00E04D8C"/>
    <w:rsid w:val="00E04DA6"/>
    <w:rsid w:val="00E059B2"/>
    <w:rsid w:val="00E05D38"/>
    <w:rsid w:val="00E06EED"/>
    <w:rsid w:val="00E1210C"/>
    <w:rsid w:val="00E1591A"/>
    <w:rsid w:val="00E17589"/>
    <w:rsid w:val="00E20442"/>
    <w:rsid w:val="00E20C88"/>
    <w:rsid w:val="00E2300D"/>
    <w:rsid w:val="00E240EE"/>
    <w:rsid w:val="00E24A3D"/>
    <w:rsid w:val="00E256F0"/>
    <w:rsid w:val="00E302C2"/>
    <w:rsid w:val="00E31B69"/>
    <w:rsid w:val="00E33E6F"/>
    <w:rsid w:val="00E34077"/>
    <w:rsid w:val="00E34523"/>
    <w:rsid w:val="00E35526"/>
    <w:rsid w:val="00E37F34"/>
    <w:rsid w:val="00E37F42"/>
    <w:rsid w:val="00E406C6"/>
    <w:rsid w:val="00E40D5B"/>
    <w:rsid w:val="00E41507"/>
    <w:rsid w:val="00E41F63"/>
    <w:rsid w:val="00E4282C"/>
    <w:rsid w:val="00E43927"/>
    <w:rsid w:val="00E453A1"/>
    <w:rsid w:val="00E45CBE"/>
    <w:rsid w:val="00E47DB7"/>
    <w:rsid w:val="00E50B40"/>
    <w:rsid w:val="00E50C77"/>
    <w:rsid w:val="00E50EDB"/>
    <w:rsid w:val="00E55C2C"/>
    <w:rsid w:val="00E562A1"/>
    <w:rsid w:val="00E565DD"/>
    <w:rsid w:val="00E566C6"/>
    <w:rsid w:val="00E56EE2"/>
    <w:rsid w:val="00E57522"/>
    <w:rsid w:val="00E6278A"/>
    <w:rsid w:val="00E64319"/>
    <w:rsid w:val="00E653A8"/>
    <w:rsid w:val="00E6576D"/>
    <w:rsid w:val="00E67805"/>
    <w:rsid w:val="00E7055B"/>
    <w:rsid w:val="00E7066E"/>
    <w:rsid w:val="00E70D0C"/>
    <w:rsid w:val="00E70DF3"/>
    <w:rsid w:val="00E734A1"/>
    <w:rsid w:val="00E73ECB"/>
    <w:rsid w:val="00E75AEF"/>
    <w:rsid w:val="00E77760"/>
    <w:rsid w:val="00E80571"/>
    <w:rsid w:val="00E80917"/>
    <w:rsid w:val="00E816B6"/>
    <w:rsid w:val="00E81772"/>
    <w:rsid w:val="00E81775"/>
    <w:rsid w:val="00E81963"/>
    <w:rsid w:val="00E84261"/>
    <w:rsid w:val="00E84B0C"/>
    <w:rsid w:val="00E853AD"/>
    <w:rsid w:val="00E90685"/>
    <w:rsid w:val="00E92026"/>
    <w:rsid w:val="00E932FF"/>
    <w:rsid w:val="00E94182"/>
    <w:rsid w:val="00E9495C"/>
    <w:rsid w:val="00E95990"/>
    <w:rsid w:val="00E96BCD"/>
    <w:rsid w:val="00EA059C"/>
    <w:rsid w:val="00EA27CE"/>
    <w:rsid w:val="00EA29EA"/>
    <w:rsid w:val="00EA4AEF"/>
    <w:rsid w:val="00EA4EDA"/>
    <w:rsid w:val="00EA5599"/>
    <w:rsid w:val="00EB10D6"/>
    <w:rsid w:val="00EB13FA"/>
    <w:rsid w:val="00EB1418"/>
    <w:rsid w:val="00EB1820"/>
    <w:rsid w:val="00EB19E4"/>
    <w:rsid w:val="00EB1EB0"/>
    <w:rsid w:val="00EB588B"/>
    <w:rsid w:val="00EB5D6B"/>
    <w:rsid w:val="00EB5FE1"/>
    <w:rsid w:val="00EC00F0"/>
    <w:rsid w:val="00EC1FDD"/>
    <w:rsid w:val="00EC342C"/>
    <w:rsid w:val="00EC3A08"/>
    <w:rsid w:val="00EC424F"/>
    <w:rsid w:val="00EC44B0"/>
    <w:rsid w:val="00EC67DC"/>
    <w:rsid w:val="00EC77AF"/>
    <w:rsid w:val="00ED10C2"/>
    <w:rsid w:val="00ED20D4"/>
    <w:rsid w:val="00ED2183"/>
    <w:rsid w:val="00ED3364"/>
    <w:rsid w:val="00ED3866"/>
    <w:rsid w:val="00ED3CE0"/>
    <w:rsid w:val="00EE0FBD"/>
    <w:rsid w:val="00EE26C2"/>
    <w:rsid w:val="00EE44DE"/>
    <w:rsid w:val="00EE45A3"/>
    <w:rsid w:val="00EE623F"/>
    <w:rsid w:val="00EF02D4"/>
    <w:rsid w:val="00EF0A88"/>
    <w:rsid w:val="00EF3201"/>
    <w:rsid w:val="00EF3E0B"/>
    <w:rsid w:val="00EF3E82"/>
    <w:rsid w:val="00EF5B7D"/>
    <w:rsid w:val="00EF6051"/>
    <w:rsid w:val="00EF6DA3"/>
    <w:rsid w:val="00EF7AC4"/>
    <w:rsid w:val="00F005AF"/>
    <w:rsid w:val="00F01661"/>
    <w:rsid w:val="00F0619B"/>
    <w:rsid w:val="00F071CA"/>
    <w:rsid w:val="00F10006"/>
    <w:rsid w:val="00F10505"/>
    <w:rsid w:val="00F1391C"/>
    <w:rsid w:val="00F13B21"/>
    <w:rsid w:val="00F1596B"/>
    <w:rsid w:val="00F1774B"/>
    <w:rsid w:val="00F17ECA"/>
    <w:rsid w:val="00F21493"/>
    <w:rsid w:val="00F230A7"/>
    <w:rsid w:val="00F23593"/>
    <w:rsid w:val="00F27372"/>
    <w:rsid w:val="00F305AF"/>
    <w:rsid w:val="00F323F8"/>
    <w:rsid w:val="00F34C74"/>
    <w:rsid w:val="00F36A64"/>
    <w:rsid w:val="00F37970"/>
    <w:rsid w:val="00F37C92"/>
    <w:rsid w:val="00F41AFE"/>
    <w:rsid w:val="00F4204A"/>
    <w:rsid w:val="00F42142"/>
    <w:rsid w:val="00F42E80"/>
    <w:rsid w:val="00F43BD1"/>
    <w:rsid w:val="00F44C09"/>
    <w:rsid w:val="00F45D4F"/>
    <w:rsid w:val="00F45EFE"/>
    <w:rsid w:val="00F47CF0"/>
    <w:rsid w:val="00F532CC"/>
    <w:rsid w:val="00F53CD6"/>
    <w:rsid w:val="00F544BC"/>
    <w:rsid w:val="00F54EAB"/>
    <w:rsid w:val="00F5603F"/>
    <w:rsid w:val="00F57C3B"/>
    <w:rsid w:val="00F640D7"/>
    <w:rsid w:val="00F64F89"/>
    <w:rsid w:val="00F65CBE"/>
    <w:rsid w:val="00F66372"/>
    <w:rsid w:val="00F667C2"/>
    <w:rsid w:val="00F66E9C"/>
    <w:rsid w:val="00F71690"/>
    <w:rsid w:val="00F7648A"/>
    <w:rsid w:val="00F76616"/>
    <w:rsid w:val="00F77E4C"/>
    <w:rsid w:val="00F8158C"/>
    <w:rsid w:val="00F82039"/>
    <w:rsid w:val="00F8252B"/>
    <w:rsid w:val="00F83439"/>
    <w:rsid w:val="00F85A0C"/>
    <w:rsid w:val="00F92DCA"/>
    <w:rsid w:val="00F93BF2"/>
    <w:rsid w:val="00F95294"/>
    <w:rsid w:val="00F9576F"/>
    <w:rsid w:val="00F963C9"/>
    <w:rsid w:val="00F9649C"/>
    <w:rsid w:val="00FA2385"/>
    <w:rsid w:val="00FA3E60"/>
    <w:rsid w:val="00FA4F60"/>
    <w:rsid w:val="00FA6FF4"/>
    <w:rsid w:val="00FB01CA"/>
    <w:rsid w:val="00FB0347"/>
    <w:rsid w:val="00FB2A5C"/>
    <w:rsid w:val="00FB501A"/>
    <w:rsid w:val="00FB5243"/>
    <w:rsid w:val="00FB52B7"/>
    <w:rsid w:val="00FB5523"/>
    <w:rsid w:val="00FB7565"/>
    <w:rsid w:val="00FB7EC3"/>
    <w:rsid w:val="00FC16BF"/>
    <w:rsid w:val="00FC27E5"/>
    <w:rsid w:val="00FC2F64"/>
    <w:rsid w:val="00FC31A1"/>
    <w:rsid w:val="00FC474E"/>
    <w:rsid w:val="00FC4B9F"/>
    <w:rsid w:val="00FC5E44"/>
    <w:rsid w:val="00FD0468"/>
    <w:rsid w:val="00FD16BE"/>
    <w:rsid w:val="00FD1B95"/>
    <w:rsid w:val="00FD2675"/>
    <w:rsid w:val="00FD3203"/>
    <w:rsid w:val="00FD3E54"/>
    <w:rsid w:val="00FD426E"/>
    <w:rsid w:val="00FD4E49"/>
    <w:rsid w:val="00FD51C8"/>
    <w:rsid w:val="00FD52E6"/>
    <w:rsid w:val="00FE2004"/>
    <w:rsid w:val="00FE6469"/>
    <w:rsid w:val="00FF2465"/>
    <w:rsid w:val="00FF2DE3"/>
    <w:rsid w:val="00FF50F5"/>
    <w:rsid w:val="00FF5EE6"/>
    <w:rsid w:val="00FF66C9"/>
    <w:rsid w:val="00FF77E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1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CC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7CCD"/>
    <w:pPr>
      <w:spacing w:after="120" w:line="480" w:lineRule="auto"/>
    </w:pPr>
    <w:rPr>
      <w:lang w:val="x-none"/>
    </w:rPr>
  </w:style>
  <w:style w:type="character" w:customStyle="1" w:styleId="BodyText2Char">
    <w:name w:val="Body Text 2 Char"/>
    <w:basedOn w:val="DefaultParagraphFont"/>
    <w:link w:val="BodyText2"/>
    <w:rsid w:val="008B7CCD"/>
    <w:rPr>
      <w:rFonts w:ascii="Times New Roman" w:eastAsia="Times New Roman" w:hAnsi="Times New Roman" w:cs="Times New Roman"/>
      <w:sz w:val="24"/>
      <w:szCs w:val="24"/>
      <w:lang w:val="x-none" w:eastAsia="ru-RU"/>
    </w:rPr>
  </w:style>
  <w:style w:type="paragraph" w:customStyle="1" w:styleId="ATpamattesksts">
    <w:name w:val="AT pamattesksts"/>
    <w:basedOn w:val="BodyText2"/>
    <w:link w:val="ATpamatteskstsChar"/>
    <w:qFormat/>
    <w:rsid w:val="008B7CCD"/>
    <w:pPr>
      <w:spacing w:after="0" w:line="276" w:lineRule="auto"/>
      <w:ind w:firstLine="567"/>
      <w:jc w:val="both"/>
    </w:pPr>
  </w:style>
  <w:style w:type="character" w:customStyle="1" w:styleId="ATpamatteskstsChar">
    <w:name w:val="AT pamattesksts Char"/>
    <w:basedOn w:val="BodyText2Char"/>
    <w:link w:val="ATpamattesksts"/>
    <w:rsid w:val="008B7CCD"/>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8B7CCD"/>
    <w:pPr>
      <w:spacing w:line="276" w:lineRule="auto"/>
      <w:jc w:val="center"/>
      <w:outlineLvl w:val="0"/>
    </w:pPr>
    <w:rPr>
      <w:b/>
    </w:rPr>
  </w:style>
  <w:style w:type="character" w:customStyle="1" w:styleId="ATvirsrakstsChar">
    <w:name w:val="AT virsraksts Char"/>
    <w:basedOn w:val="DefaultParagraphFont"/>
    <w:link w:val="ATvirsraksts"/>
    <w:rsid w:val="008B7CCD"/>
    <w:rPr>
      <w:rFonts w:ascii="Times New Roman" w:eastAsia="Times New Roman" w:hAnsi="Times New Roman" w:cs="Times New Roman"/>
      <w:b/>
      <w:sz w:val="24"/>
      <w:szCs w:val="24"/>
      <w:lang w:eastAsia="ru-RU"/>
    </w:rPr>
  </w:style>
  <w:style w:type="paragraph" w:styleId="BalloonText">
    <w:name w:val="Balloon Text"/>
    <w:basedOn w:val="Normal"/>
    <w:link w:val="BalloonTextChar"/>
    <w:uiPriority w:val="99"/>
    <w:semiHidden/>
    <w:unhideWhenUsed/>
    <w:rsid w:val="008B7CCD"/>
    <w:rPr>
      <w:rFonts w:ascii="Tahoma" w:hAnsi="Tahoma" w:cs="Tahoma"/>
      <w:sz w:val="16"/>
      <w:szCs w:val="16"/>
    </w:rPr>
  </w:style>
  <w:style w:type="character" w:customStyle="1" w:styleId="BalloonTextChar">
    <w:name w:val="Balloon Text Char"/>
    <w:basedOn w:val="DefaultParagraphFont"/>
    <w:link w:val="BalloonText"/>
    <w:uiPriority w:val="99"/>
    <w:semiHidden/>
    <w:rsid w:val="008B7CCD"/>
    <w:rPr>
      <w:rFonts w:ascii="Tahoma" w:eastAsia="Times New Roman" w:hAnsi="Tahoma" w:cs="Tahoma"/>
      <w:sz w:val="16"/>
      <w:szCs w:val="16"/>
      <w:lang w:eastAsia="ru-RU"/>
    </w:rPr>
  </w:style>
  <w:style w:type="paragraph" w:styleId="Header">
    <w:name w:val="header"/>
    <w:basedOn w:val="Normal"/>
    <w:link w:val="HeaderChar"/>
    <w:uiPriority w:val="99"/>
    <w:unhideWhenUsed/>
    <w:rsid w:val="00F005AF"/>
    <w:pPr>
      <w:tabs>
        <w:tab w:val="center" w:pos="4153"/>
        <w:tab w:val="right" w:pos="8306"/>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F005AF"/>
    <w:pPr>
      <w:tabs>
        <w:tab w:val="center" w:pos="4153"/>
        <w:tab w:val="right" w:pos="8306"/>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lang w:eastAsia="ru-RU"/>
    </w:rPr>
  </w:style>
  <w:style w:type="character" w:customStyle="1" w:styleId="outputecli">
    <w:name w:val="outputecli"/>
    <w:basedOn w:val="DefaultParagraphFont"/>
    <w:rsid w:val="008700D3"/>
  </w:style>
  <w:style w:type="paragraph" w:styleId="ListBullet">
    <w:name w:val="List Bullet"/>
    <w:basedOn w:val="Normal"/>
    <w:uiPriority w:val="99"/>
    <w:unhideWhenUsed/>
    <w:rsid w:val="0000468D"/>
    <w:pPr>
      <w:numPr>
        <w:numId w:val="1"/>
      </w:numPr>
      <w:contextualSpacing/>
    </w:pPr>
  </w:style>
  <w:style w:type="paragraph" w:styleId="NormalWeb">
    <w:name w:val="Normal (Web)"/>
    <w:basedOn w:val="Normal"/>
    <w:uiPriority w:val="99"/>
    <w:unhideWhenUsed/>
    <w:rsid w:val="00B27093"/>
    <w:rPr>
      <w:lang w:eastAsia="lv-LV"/>
    </w:rPr>
  </w:style>
  <w:style w:type="character" w:styleId="Emphasis">
    <w:name w:val="Emphasis"/>
    <w:basedOn w:val="DefaultParagraphFont"/>
    <w:uiPriority w:val="20"/>
    <w:qFormat/>
    <w:rsid w:val="00B27093"/>
    <w:rPr>
      <w:i/>
      <w:iCs/>
    </w:rPr>
  </w:style>
  <w:style w:type="character" w:styleId="Hyperlink">
    <w:name w:val="Hyperlink"/>
    <w:basedOn w:val="DefaultParagraphFont"/>
    <w:uiPriority w:val="99"/>
    <w:unhideWhenUsed/>
    <w:rsid w:val="005E798B"/>
    <w:rPr>
      <w:color w:val="0000FF"/>
      <w:u w:val="single"/>
    </w:rPr>
  </w:style>
  <w:style w:type="character" w:styleId="UnresolvedMention">
    <w:name w:val="Unresolved Mention"/>
    <w:basedOn w:val="DefaultParagraphFont"/>
    <w:uiPriority w:val="99"/>
    <w:semiHidden/>
    <w:unhideWhenUsed/>
    <w:rsid w:val="0030391B"/>
    <w:rPr>
      <w:color w:val="605E5C"/>
      <w:shd w:val="clear" w:color="auto" w:fill="E1DFDD"/>
    </w:rPr>
  </w:style>
  <w:style w:type="character" w:customStyle="1" w:styleId="Bodytext20">
    <w:name w:val="Body text (2)_"/>
    <w:basedOn w:val="DefaultParagraphFont"/>
    <w:link w:val="Bodytext21"/>
    <w:rsid w:val="009E4AE4"/>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9E4AE4"/>
    <w:pPr>
      <w:widowControl w:val="0"/>
      <w:shd w:val="clear" w:color="auto" w:fill="FFFFFF"/>
      <w:spacing w:line="288" w:lineRule="exact"/>
      <w:ind w:hanging="460"/>
      <w:jc w:val="right"/>
    </w:pPr>
    <w:rPr>
      <w:sz w:val="22"/>
      <w:szCs w:val="22"/>
      <w:lang w:eastAsia="en-US"/>
    </w:rPr>
  </w:style>
  <w:style w:type="table" w:styleId="TableGrid">
    <w:name w:val="Table Grid"/>
    <w:basedOn w:val="TableNormal"/>
    <w:uiPriority w:val="39"/>
    <w:rsid w:val="00E3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077"/>
    <w:pPr>
      <w:ind w:left="720"/>
      <w:contextualSpacing/>
    </w:pPr>
  </w:style>
  <w:style w:type="paragraph" w:styleId="CommentText">
    <w:name w:val="annotation text"/>
    <w:basedOn w:val="Normal"/>
    <w:link w:val="CommentTextChar"/>
    <w:uiPriority w:val="99"/>
    <w:unhideWhenUsed/>
    <w:rsid w:val="002A7A91"/>
    <w:pPr>
      <w:widowControl w:val="0"/>
    </w:pPr>
    <w:rPr>
      <w:rFonts w:ascii="Arial Unicode MS" w:hAnsi="Arial Unicode MS"/>
      <w:color w:val="000000"/>
      <w:sz w:val="20"/>
      <w:szCs w:val="20"/>
      <w:lang w:eastAsia="lv-LV" w:bidi="lv-LV"/>
    </w:rPr>
  </w:style>
  <w:style w:type="character" w:customStyle="1" w:styleId="CommentTextChar">
    <w:name w:val="Comment Text Char"/>
    <w:basedOn w:val="DefaultParagraphFont"/>
    <w:link w:val="CommentText"/>
    <w:uiPriority w:val="99"/>
    <w:rsid w:val="002A7A91"/>
    <w:rPr>
      <w:rFonts w:ascii="Arial Unicode MS" w:eastAsia="Times New Roman" w:hAnsi="Arial Unicode MS" w:cs="Times New Roman"/>
      <w:color w:val="000000"/>
      <w:sz w:val="20"/>
      <w:szCs w:val="20"/>
      <w:lang w:eastAsia="lv-LV" w:bidi="lv-LV"/>
    </w:rPr>
  </w:style>
  <w:style w:type="character" w:styleId="CommentReference">
    <w:name w:val="annotation reference"/>
    <w:basedOn w:val="DefaultParagraphFont"/>
    <w:uiPriority w:val="99"/>
    <w:semiHidden/>
    <w:unhideWhenUsed/>
    <w:rsid w:val="002A7A91"/>
    <w:rPr>
      <w:sz w:val="16"/>
      <w:szCs w:val="16"/>
    </w:rPr>
  </w:style>
  <w:style w:type="character" w:customStyle="1" w:styleId="Bodytext4">
    <w:name w:val="Body text (4)_"/>
    <w:basedOn w:val="DefaultParagraphFont"/>
    <w:link w:val="Bodytext40"/>
    <w:locked/>
    <w:rsid w:val="003F3598"/>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3F3598"/>
    <w:pPr>
      <w:widowControl w:val="0"/>
      <w:shd w:val="clear" w:color="auto" w:fill="FFFFFF"/>
      <w:spacing w:before="360" w:line="283" w:lineRule="exact"/>
      <w:ind w:hanging="340"/>
      <w:jc w:val="right"/>
    </w:pPr>
    <w:rPr>
      <w:b/>
      <w:bCs/>
      <w:sz w:val="22"/>
      <w:szCs w:val="22"/>
      <w:lang w:eastAsia="en-US"/>
    </w:rPr>
  </w:style>
  <w:style w:type="paragraph" w:styleId="CommentSubject">
    <w:name w:val="annotation subject"/>
    <w:basedOn w:val="CommentText"/>
    <w:next w:val="CommentText"/>
    <w:link w:val="CommentSubjectChar"/>
    <w:uiPriority w:val="99"/>
    <w:semiHidden/>
    <w:unhideWhenUsed/>
    <w:rsid w:val="001D68F1"/>
    <w:pPr>
      <w:widowControl/>
    </w:pPr>
    <w:rPr>
      <w:rFonts w:ascii="Times New Roman" w:hAnsi="Times New Roman"/>
      <w:b/>
      <w:bCs/>
      <w:color w:val="auto"/>
      <w:lang w:eastAsia="ru-RU" w:bidi="ar-SA"/>
    </w:rPr>
  </w:style>
  <w:style w:type="character" w:customStyle="1" w:styleId="CommentSubjectChar">
    <w:name w:val="Comment Subject Char"/>
    <w:basedOn w:val="CommentTextChar"/>
    <w:link w:val="CommentSubject"/>
    <w:uiPriority w:val="99"/>
    <w:semiHidden/>
    <w:rsid w:val="001D68F1"/>
    <w:rPr>
      <w:rFonts w:ascii="Times New Roman" w:eastAsia="Times New Roman" w:hAnsi="Times New Roman" w:cs="Times New Roman"/>
      <w:b/>
      <w:bCs/>
      <w:color w:val="000000"/>
      <w:sz w:val="20"/>
      <w:szCs w:val="20"/>
      <w:lang w:eastAsia="ru-RU" w:bidi="lv-LV"/>
    </w:rPr>
  </w:style>
  <w:style w:type="paragraph" w:customStyle="1" w:styleId="doc-ti">
    <w:name w:val="doc-ti"/>
    <w:basedOn w:val="Normal"/>
    <w:rsid w:val="000D70A9"/>
    <w:pPr>
      <w:spacing w:before="100" w:beforeAutospacing="1" w:after="100" w:afterAutospacing="1"/>
    </w:pPr>
    <w:rPr>
      <w:lang w:val="en-US" w:eastAsia="en-US"/>
    </w:rPr>
  </w:style>
  <w:style w:type="paragraph" w:customStyle="1" w:styleId="title-doc-first">
    <w:name w:val="title-doc-first"/>
    <w:basedOn w:val="Normal"/>
    <w:rsid w:val="00FA2385"/>
    <w:pPr>
      <w:spacing w:before="100" w:beforeAutospacing="1" w:after="100" w:afterAutospacing="1"/>
    </w:pPr>
    <w:rPr>
      <w:lang w:val="en-US" w:eastAsia="en-US"/>
    </w:rPr>
  </w:style>
  <w:style w:type="paragraph" w:customStyle="1" w:styleId="title-doc-last">
    <w:name w:val="title-doc-last"/>
    <w:basedOn w:val="Normal"/>
    <w:rsid w:val="00FA2385"/>
    <w:pPr>
      <w:spacing w:before="100" w:beforeAutospacing="1" w:after="100" w:afterAutospacing="1"/>
    </w:pPr>
    <w:rPr>
      <w:lang w:val="en-US" w:eastAsia="en-US"/>
    </w:rPr>
  </w:style>
  <w:style w:type="paragraph" w:customStyle="1" w:styleId="title-division-1">
    <w:name w:val="title-division-1"/>
    <w:basedOn w:val="Normal"/>
    <w:rsid w:val="005A30AB"/>
    <w:pPr>
      <w:spacing w:before="100" w:beforeAutospacing="1" w:after="100" w:afterAutospacing="1"/>
    </w:pPr>
    <w:rPr>
      <w:lang w:val="en-US" w:eastAsia="en-US"/>
    </w:rPr>
  </w:style>
  <w:style w:type="paragraph" w:customStyle="1" w:styleId="title-division-2">
    <w:name w:val="title-division-2"/>
    <w:basedOn w:val="Normal"/>
    <w:rsid w:val="005A30AB"/>
    <w:pPr>
      <w:spacing w:before="100" w:beforeAutospacing="1" w:after="100" w:afterAutospacing="1"/>
    </w:pPr>
    <w:rPr>
      <w:lang w:val="en-US" w:eastAsia="en-US"/>
    </w:rPr>
  </w:style>
  <w:style w:type="paragraph" w:customStyle="1" w:styleId="Normal1">
    <w:name w:val="Normal1"/>
    <w:basedOn w:val="Normal"/>
    <w:rsid w:val="006F45AC"/>
    <w:pPr>
      <w:spacing w:before="100" w:beforeAutospacing="1" w:after="100" w:afterAutospacing="1"/>
    </w:pPr>
    <w:rPr>
      <w:lang w:val="en-US" w:eastAsia="en-US"/>
    </w:rPr>
  </w:style>
  <w:style w:type="character" w:customStyle="1" w:styleId="italic">
    <w:name w:val="italic"/>
    <w:basedOn w:val="DefaultParagraphFont"/>
    <w:rsid w:val="00484C76"/>
  </w:style>
  <w:style w:type="paragraph" w:customStyle="1" w:styleId="norm">
    <w:name w:val="norm"/>
    <w:basedOn w:val="Normal"/>
    <w:rsid w:val="00C24264"/>
    <w:pPr>
      <w:spacing w:before="100" w:beforeAutospacing="1" w:after="100" w:afterAutospacing="1"/>
    </w:pPr>
    <w:rPr>
      <w:lang w:val="en-US" w:eastAsia="en-US"/>
    </w:rPr>
  </w:style>
  <w:style w:type="paragraph" w:customStyle="1" w:styleId="ti-section-1">
    <w:name w:val="ti-section-1"/>
    <w:basedOn w:val="Normal"/>
    <w:rsid w:val="00502578"/>
    <w:pPr>
      <w:spacing w:before="100" w:beforeAutospacing="1" w:after="100" w:afterAutospacing="1"/>
    </w:pPr>
    <w:rPr>
      <w:lang w:val="en-US" w:eastAsia="en-US"/>
    </w:rPr>
  </w:style>
  <w:style w:type="character" w:customStyle="1" w:styleId="expanded">
    <w:name w:val="expanded"/>
    <w:basedOn w:val="DefaultParagraphFont"/>
    <w:rsid w:val="00502578"/>
  </w:style>
  <w:style w:type="paragraph" w:customStyle="1" w:styleId="ti-section-2">
    <w:name w:val="ti-section-2"/>
    <w:basedOn w:val="Normal"/>
    <w:rsid w:val="00502578"/>
    <w:pPr>
      <w:spacing w:before="100" w:beforeAutospacing="1" w:after="100" w:afterAutospacing="1"/>
    </w:pPr>
    <w:rPr>
      <w:lang w:val="en-US" w:eastAsia="en-US"/>
    </w:rPr>
  </w:style>
  <w:style w:type="character" w:customStyle="1" w:styleId="bold">
    <w:name w:val="bold"/>
    <w:basedOn w:val="DefaultParagraphFont"/>
    <w:rsid w:val="00502578"/>
  </w:style>
  <w:style w:type="paragraph" w:styleId="FootnoteText">
    <w:name w:val="footnote text"/>
    <w:basedOn w:val="Normal"/>
    <w:link w:val="FootnoteTextChar"/>
    <w:uiPriority w:val="99"/>
    <w:semiHidden/>
    <w:unhideWhenUsed/>
    <w:rsid w:val="0024591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245915"/>
    <w:rPr>
      <w:sz w:val="20"/>
      <w:szCs w:val="20"/>
    </w:rPr>
  </w:style>
  <w:style w:type="character" w:styleId="FootnoteReference">
    <w:name w:val="footnote reference"/>
    <w:basedOn w:val="DefaultParagraphFont"/>
    <w:uiPriority w:val="99"/>
    <w:semiHidden/>
    <w:unhideWhenUsed/>
    <w:rsid w:val="00245915"/>
    <w:rPr>
      <w:vertAlign w:val="superscript"/>
    </w:rPr>
  </w:style>
  <w:style w:type="paragraph" w:styleId="Title">
    <w:name w:val="Title"/>
    <w:basedOn w:val="Normal"/>
    <w:link w:val="TitleChar"/>
    <w:qFormat/>
    <w:rsid w:val="00206E28"/>
    <w:pPr>
      <w:jc w:val="center"/>
    </w:pPr>
    <w:rPr>
      <w:sz w:val="28"/>
      <w:szCs w:val="20"/>
      <w:lang w:eastAsia="en-US"/>
    </w:rPr>
  </w:style>
  <w:style w:type="character" w:customStyle="1" w:styleId="TitleChar">
    <w:name w:val="Title Char"/>
    <w:basedOn w:val="DefaultParagraphFont"/>
    <w:link w:val="Title"/>
    <w:rsid w:val="00206E28"/>
    <w:rPr>
      <w:rFonts w:ascii="Times New Roman" w:eastAsia="Times New Roman" w:hAnsi="Times New Roman" w:cs="Times New Roman"/>
      <w:sz w:val="28"/>
      <w:szCs w:val="20"/>
    </w:rPr>
  </w:style>
  <w:style w:type="paragraph" w:customStyle="1" w:styleId="tv213">
    <w:name w:val="tv213"/>
    <w:basedOn w:val="Normal"/>
    <w:rsid w:val="00B37D1F"/>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3501FE"/>
    <w:rPr>
      <w:color w:val="800080" w:themeColor="followedHyperlink"/>
      <w:u w:val="single"/>
    </w:rPr>
  </w:style>
  <w:style w:type="paragraph" w:customStyle="1" w:styleId="Default">
    <w:name w:val="Default"/>
    <w:rsid w:val="00B535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01pointnumerotealtn">
    <w:name w:val="c01pointnumerotealtn"/>
    <w:basedOn w:val="Normal"/>
    <w:rsid w:val="003C16FA"/>
    <w:pPr>
      <w:spacing w:before="100" w:beforeAutospacing="1" w:after="100" w:afterAutospacing="1"/>
    </w:pPr>
    <w:rPr>
      <w:lang w:eastAsia="lv-LV"/>
    </w:rPr>
  </w:style>
  <w:style w:type="paragraph" w:customStyle="1" w:styleId="default0">
    <w:name w:val="default"/>
    <w:basedOn w:val="Normal"/>
    <w:rsid w:val="00012F0B"/>
    <w:pPr>
      <w:autoSpaceDE w:val="0"/>
      <w:autoSpaceDN w:val="0"/>
    </w:pPr>
    <w:rPr>
      <w:color w:val="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13318">
      <w:bodyDiv w:val="1"/>
      <w:marLeft w:val="0"/>
      <w:marRight w:val="0"/>
      <w:marTop w:val="0"/>
      <w:marBottom w:val="0"/>
      <w:divBdr>
        <w:top w:val="none" w:sz="0" w:space="0" w:color="auto"/>
        <w:left w:val="none" w:sz="0" w:space="0" w:color="auto"/>
        <w:bottom w:val="none" w:sz="0" w:space="0" w:color="auto"/>
        <w:right w:val="none" w:sz="0" w:space="0" w:color="auto"/>
      </w:divBdr>
    </w:div>
    <w:div w:id="252126665">
      <w:bodyDiv w:val="1"/>
      <w:marLeft w:val="0"/>
      <w:marRight w:val="0"/>
      <w:marTop w:val="0"/>
      <w:marBottom w:val="0"/>
      <w:divBdr>
        <w:top w:val="none" w:sz="0" w:space="0" w:color="auto"/>
        <w:left w:val="none" w:sz="0" w:space="0" w:color="auto"/>
        <w:bottom w:val="none" w:sz="0" w:space="0" w:color="auto"/>
        <w:right w:val="none" w:sz="0" w:space="0" w:color="auto"/>
      </w:divBdr>
    </w:div>
    <w:div w:id="263610917">
      <w:bodyDiv w:val="1"/>
      <w:marLeft w:val="0"/>
      <w:marRight w:val="0"/>
      <w:marTop w:val="0"/>
      <w:marBottom w:val="0"/>
      <w:divBdr>
        <w:top w:val="none" w:sz="0" w:space="0" w:color="auto"/>
        <w:left w:val="none" w:sz="0" w:space="0" w:color="auto"/>
        <w:bottom w:val="none" w:sz="0" w:space="0" w:color="auto"/>
        <w:right w:val="none" w:sz="0" w:space="0" w:color="auto"/>
      </w:divBdr>
    </w:div>
    <w:div w:id="349331739">
      <w:bodyDiv w:val="1"/>
      <w:marLeft w:val="0"/>
      <w:marRight w:val="0"/>
      <w:marTop w:val="0"/>
      <w:marBottom w:val="0"/>
      <w:divBdr>
        <w:top w:val="none" w:sz="0" w:space="0" w:color="auto"/>
        <w:left w:val="none" w:sz="0" w:space="0" w:color="auto"/>
        <w:bottom w:val="none" w:sz="0" w:space="0" w:color="auto"/>
        <w:right w:val="none" w:sz="0" w:space="0" w:color="auto"/>
      </w:divBdr>
    </w:div>
    <w:div w:id="511918942">
      <w:bodyDiv w:val="1"/>
      <w:marLeft w:val="0"/>
      <w:marRight w:val="0"/>
      <w:marTop w:val="0"/>
      <w:marBottom w:val="0"/>
      <w:divBdr>
        <w:top w:val="none" w:sz="0" w:space="0" w:color="auto"/>
        <w:left w:val="none" w:sz="0" w:space="0" w:color="auto"/>
        <w:bottom w:val="none" w:sz="0" w:space="0" w:color="auto"/>
        <w:right w:val="none" w:sz="0" w:space="0" w:color="auto"/>
      </w:divBdr>
    </w:div>
    <w:div w:id="529104184">
      <w:bodyDiv w:val="1"/>
      <w:marLeft w:val="0"/>
      <w:marRight w:val="0"/>
      <w:marTop w:val="0"/>
      <w:marBottom w:val="0"/>
      <w:divBdr>
        <w:top w:val="none" w:sz="0" w:space="0" w:color="auto"/>
        <w:left w:val="none" w:sz="0" w:space="0" w:color="auto"/>
        <w:bottom w:val="none" w:sz="0" w:space="0" w:color="auto"/>
        <w:right w:val="none" w:sz="0" w:space="0" w:color="auto"/>
      </w:divBdr>
    </w:div>
    <w:div w:id="551962391">
      <w:bodyDiv w:val="1"/>
      <w:marLeft w:val="0"/>
      <w:marRight w:val="0"/>
      <w:marTop w:val="0"/>
      <w:marBottom w:val="0"/>
      <w:divBdr>
        <w:top w:val="none" w:sz="0" w:space="0" w:color="auto"/>
        <w:left w:val="none" w:sz="0" w:space="0" w:color="auto"/>
        <w:bottom w:val="none" w:sz="0" w:space="0" w:color="auto"/>
        <w:right w:val="none" w:sz="0" w:space="0" w:color="auto"/>
      </w:divBdr>
    </w:div>
    <w:div w:id="786698566">
      <w:bodyDiv w:val="1"/>
      <w:marLeft w:val="0"/>
      <w:marRight w:val="0"/>
      <w:marTop w:val="0"/>
      <w:marBottom w:val="0"/>
      <w:divBdr>
        <w:top w:val="none" w:sz="0" w:space="0" w:color="auto"/>
        <w:left w:val="none" w:sz="0" w:space="0" w:color="auto"/>
        <w:bottom w:val="none" w:sz="0" w:space="0" w:color="auto"/>
        <w:right w:val="none" w:sz="0" w:space="0" w:color="auto"/>
      </w:divBdr>
    </w:div>
    <w:div w:id="855651802">
      <w:bodyDiv w:val="1"/>
      <w:marLeft w:val="0"/>
      <w:marRight w:val="0"/>
      <w:marTop w:val="0"/>
      <w:marBottom w:val="0"/>
      <w:divBdr>
        <w:top w:val="none" w:sz="0" w:space="0" w:color="auto"/>
        <w:left w:val="none" w:sz="0" w:space="0" w:color="auto"/>
        <w:bottom w:val="none" w:sz="0" w:space="0" w:color="auto"/>
        <w:right w:val="none" w:sz="0" w:space="0" w:color="auto"/>
      </w:divBdr>
      <w:divsChild>
        <w:div w:id="1311130392">
          <w:marLeft w:val="240"/>
          <w:marRight w:val="0"/>
          <w:marTop w:val="0"/>
          <w:marBottom w:val="0"/>
          <w:divBdr>
            <w:top w:val="none" w:sz="0" w:space="0" w:color="auto"/>
            <w:left w:val="none" w:sz="0" w:space="0" w:color="auto"/>
            <w:bottom w:val="none" w:sz="0" w:space="0" w:color="auto"/>
            <w:right w:val="none" w:sz="0" w:space="0" w:color="auto"/>
          </w:divBdr>
        </w:div>
        <w:div w:id="376009941">
          <w:marLeft w:val="240"/>
          <w:marRight w:val="0"/>
          <w:marTop w:val="0"/>
          <w:marBottom w:val="0"/>
          <w:divBdr>
            <w:top w:val="none" w:sz="0" w:space="0" w:color="auto"/>
            <w:left w:val="none" w:sz="0" w:space="0" w:color="auto"/>
            <w:bottom w:val="none" w:sz="0" w:space="0" w:color="auto"/>
            <w:right w:val="none" w:sz="0" w:space="0" w:color="auto"/>
          </w:divBdr>
        </w:div>
      </w:divsChild>
    </w:div>
    <w:div w:id="1040740720">
      <w:bodyDiv w:val="1"/>
      <w:marLeft w:val="0"/>
      <w:marRight w:val="0"/>
      <w:marTop w:val="0"/>
      <w:marBottom w:val="0"/>
      <w:divBdr>
        <w:top w:val="none" w:sz="0" w:space="0" w:color="auto"/>
        <w:left w:val="none" w:sz="0" w:space="0" w:color="auto"/>
        <w:bottom w:val="none" w:sz="0" w:space="0" w:color="auto"/>
        <w:right w:val="none" w:sz="0" w:space="0" w:color="auto"/>
      </w:divBdr>
    </w:div>
    <w:div w:id="1267076829">
      <w:bodyDiv w:val="1"/>
      <w:marLeft w:val="0"/>
      <w:marRight w:val="0"/>
      <w:marTop w:val="0"/>
      <w:marBottom w:val="0"/>
      <w:divBdr>
        <w:top w:val="none" w:sz="0" w:space="0" w:color="auto"/>
        <w:left w:val="none" w:sz="0" w:space="0" w:color="auto"/>
        <w:bottom w:val="none" w:sz="0" w:space="0" w:color="auto"/>
        <w:right w:val="none" w:sz="0" w:space="0" w:color="auto"/>
      </w:divBdr>
    </w:div>
    <w:div w:id="1338576193">
      <w:bodyDiv w:val="1"/>
      <w:marLeft w:val="0"/>
      <w:marRight w:val="0"/>
      <w:marTop w:val="0"/>
      <w:marBottom w:val="0"/>
      <w:divBdr>
        <w:top w:val="none" w:sz="0" w:space="0" w:color="auto"/>
        <w:left w:val="none" w:sz="0" w:space="0" w:color="auto"/>
        <w:bottom w:val="none" w:sz="0" w:space="0" w:color="auto"/>
        <w:right w:val="none" w:sz="0" w:space="0" w:color="auto"/>
      </w:divBdr>
      <w:divsChild>
        <w:div w:id="274875655">
          <w:marLeft w:val="0"/>
          <w:marRight w:val="0"/>
          <w:marTop w:val="480"/>
          <w:marBottom w:val="240"/>
          <w:divBdr>
            <w:top w:val="none" w:sz="0" w:space="0" w:color="auto"/>
            <w:left w:val="none" w:sz="0" w:space="0" w:color="auto"/>
            <w:bottom w:val="none" w:sz="0" w:space="0" w:color="auto"/>
            <w:right w:val="none" w:sz="0" w:space="0" w:color="auto"/>
          </w:divBdr>
        </w:div>
        <w:div w:id="895553996">
          <w:marLeft w:val="0"/>
          <w:marRight w:val="0"/>
          <w:marTop w:val="0"/>
          <w:marBottom w:val="567"/>
          <w:divBdr>
            <w:top w:val="none" w:sz="0" w:space="0" w:color="auto"/>
            <w:left w:val="none" w:sz="0" w:space="0" w:color="auto"/>
            <w:bottom w:val="none" w:sz="0" w:space="0" w:color="auto"/>
            <w:right w:val="none" w:sz="0" w:space="0" w:color="auto"/>
          </w:divBdr>
        </w:div>
      </w:divsChild>
    </w:div>
    <w:div w:id="1496991223">
      <w:bodyDiv w:val="1"/>
      <w:marLeft w:val="0"/>
      <w:marRight w:val="0"/>
      <w:marTop w:val="0"/>
      <w:marBottom w:val="0"/>
      <w:divBdr>
        <w:top w:val="none" w:sz="0" w:space="0" w:color="auto"/>
        <w:left w:val="none" w:sz="0" w:space="0" w:color="auto"/>
        <w:bottom w:val="none" w:sz="0" w:space="0" w:color="auto"/>
        <w:right w:val="none" w:sz="0" w:space="0" w:color="auto"/>
      </w:divBdr>
    </w:div>
    <w:div w:id="1515921096">
      <w:bodyDiv w:val="1"/>
      <w:marLeft w:val="0"/>
      <w:marRight w:val="0"/>
      <w:marTop w:val="0"/>
      <w:marBottom w:val="0"/>
      <w:divBdr>
        <w:top w:val="none" w:sz="0" w:space="0" w:color="auto"/>
        <w:left w:val="none" w:sz="0" w:space="0" w:color="auto"/>
        <w:bottom w:val="none" w:sz="0" w:space="0" w:color="auto"/>
        <w:right w:val="none" w:sz="0" w:space="0" w:color="auto"/>
      </w:divBdr>
      <w:divsChild>
        <w:div w:id="1940334654">
          <w:marLeft w:val="0"/>
          <w:marRight w:val="0"/>
          <w:marTop w:val="0"/>
          <w:marBottom w:val="0"/>
          <w:divBdr>
            <w:top w:val="none" w:sz="0" w:space="0" w:color="auto"/>
            <w:left w:val="none" w:sz="0" w:space="0" w:color="auto"/>
            <w:bottom w:val="none" w:sz="0" w:space="0" w:color="auto"/>
            <w:right w:val="none" w:sz="0" w:space="0" w:color="auto"/>
          </w:divBdr>
        </w:div>
      </w:divsChild>
    </w:div>
    <w:div w:id="1574895789">
      <w:bodyDiv w:val="1"/>
      <w:marLeft w:val="0"/>
      <w:marRight w:val="0"/>
      <w:marTop w:val="0"/>
      <w:marBottom w:val="0"/>
      <w:divBdr>
        <w:top w:val="none" w:sz="0" w:space="0" w:color="auto"/>
        <w:left w:val="none" w:sz="0" w:space="0" w:color="auto"/>
        <w:bottom w:val="none" w:sz="0" w:space="0" w:color="auto"/>
        <w:right w:val="none" w:sz="0" w:space="0" w:color="auto"/>
      </w:divBdr>
      <w:divsChild>
        <w:div w:id="1046685468">
          <w:marLeft w:val="240"/>
          <w:marRight w:val="0"/>
          <w:marTop w:val="0"/>
          <w:marBottom w:val="0"/>
          <w:divBdr>
            <w:top w:val="none" w:sz="0" w:space="0" w:color="auto"/>
            <w:left w:val="none" w:sz="0" w:space="0" w:color="auto"/>
            <w:bottom w:val="none" w:sz="0" w:space="0" w:color="auto"/>
            <w:right w:val="none" w:sz="0" w:space="0" w:color="auto"/>
          </w:divBdr>
        </w:div>
        <w:div w:id="1913157803">
          <w:marLeft w:val="240"/>
          <w:marRight w:val="0"/>
          <w:marTop w:val="0"/>
          <w:marBottom w:val="0"/>
          <w:divBdr>
            <w:top w:val="none" w:sz="0" w:space="0" w:color="auto"/>
            <w:left w:val="none" w:sz="0" w:space="0" w:color="auto"/>
            <w:bottom w:val="none" w:sz="0" w:space="0" w:color="auto"/>
            <w:right w:val="none" w:sz="0" w:space="0" w:color="auto"/>
          </w:divBdr>
        </w:div>
      </w:divsChild>
    </w:div>
    <w:div w:id="1670785945">
      <w:bodyDiv w:val="1"/>
      <w:marLeft w:val="0"/>
      <w:marRight w:val="0"/>
      <w:marTop w:val="0"/>
      <w:marBottom w:val="0"/>
      <w:divBdr>
        <w:top w:val="none" w:sz="0" w:space="0" w:color="auto"/>
        <w:left w:val="none" w:sz="0" w:space="0" w:color="auto"/>
        <w:bottom w:val="none" w:sz="0" w:space="0" w:color="auto"/>
        <w:right w:val="none" w:sz="0" w:space="0" w:color="auto"/>
      </w:divBdr>
    </w:div>
    <w:div w:id="1693411868">
      <w:bodyDiv w:val="1"/>
      <w:marLeft w:val="0"/>
      <w:marRight w:val="0"/>
      <w:marTop w:val="0"/>
      <w:marBottom w:val="0"/>
      <w:divBdr>
        <w:top w:val="none" w:sz="0" w:space="0" w:color="auto"/>
        <w:left w:val="none" w:sz="0" w:space="0" w:color="auto"/>
        <w:bottom w:val="none" w:sz="0" w:space="0" w:color="auto"/>
        <w:right w:val="none" w:sz="0" w:space="0" w:color="auto"/>
      </w:divBdr>
    </w:div>
    <w:div w:id="1748304678">
      <w:bodyDiv w:val="1"/>
      <w:marLeft w:val="0"/>
      <w:marRight w:val="0"/>
      <w:marTop w:val="0"/>
      <w:marBottom w:val="0"/>
      <w:divBdr>
        <w:top w:val="none" w:sz="0" w:space="0" w:color="auto"/>
        <w:left w:val="none" w:sz="0" w:space="0" w:color="auto"/>
        <w:bottom w:val="none" w:sz="0" w:space="0" w:color="auto"/>
        <w:right w:val="none" w:sz="0" w:space="0" w:color="auto"/>
      </w:divBdr>
    </w:div>
    <w:div w:id="1798139027">
      <w:bodyDiv w:val="1"/>
      <w:marLeft w:val="0"/>
      <w:marRight w:val="0"/>
      <w:marTop w:val="0"/>
      <w:marBottom w:val="0"/>
      <w:divBdr>
        <w:top w:val="none" w:sz="0" w:space="0" w:color="auto"/>
        <w:left w:val="none" w:sz="0" w:space="0" w:color="auto"/>
        <w:bottom w:val="none" w:sz="0" w:space="0" w:color="auto"/>
        <w:right w:val="none" w:sz="0" w:space="0" w:color="auto"/>
      </w:divBdr>
    </w:div>
    <w:div w:id="1904752777">
      <w:bodyDiv w:val="1"/>
      <w:marLeft w:val="0"/>
      <w:marRight w:val="0"/>
      <w:marTop w:val="0"/>
      <w:marBottom w:val="0"/>
      <w:divBdr>
        <w:top w:val="none" w:sz="0" w:space="0" w:color="auto"/>
        <w:left w:val="none" w:sz="0" w:space="0" w:color="auto"/>
        <w:bottom w:val="none" w:sz="0" w:space="0" w:color="auto"/>
        <w:right w:val="none" w:sz="0" w:space="0" w:color="auto"/>
      </w:divBdr>
    </w:div>
    <w:div w:id="1904827847">
      <w:bodyDiv w:val="1"/>
      <w:marLeft w:val="0"/>
      <w:marRight w:val="0"/>
      <w:marTop w:val="0"/>
      <w:marBottom w:val="0"/>
      <w:divBdr>
        <w:top w:val="none" w:sz="0" w:space="0" w:color="auto"/>
        <w:left w:val="none" w:sz="0" w:space="0" w:color="auto"/>
        <w:bottom w:val="none" w:sz="0" w:space="0" w:color="auto"/>
        <w:right w:val="none" w:sz="0" w:space="0" w:color="auto"/>
      </w:divBdr>
    </w:div>
    <w:div w:id="1922252508">
      <w:bodyDiv w:val="1"/>
      <w:marLeft w:val="0"/>
      <w:marRight w:val="0"/>
      <w:marTop w:val="0"/>
      <w:marBottom w:val="0"/>
      <w:divBdr>
        <w:top w:val="none" w:sz="0" w:space="0" w:color="auto"/>
        <w:left w:val="none" w:sz="0" w:space="0" w:color="auto"/>
        <w:bottom w:val="none" w:sz="0" w:space="0" w:color="auto"/>
        <w:right w:val="none" w:sz="0" w:space="0" w:color="auto"/>
      </w:divBdr>
    </w:div>
    <w:div w:id="1936743730">
      <w:bodyDiv w:val="1"/>
      <w:marLeft w:val="0"/>
      <w:marRight w:val="0"/>
      <w:marTop w:val="0"/>
      <w:marBottom w:val="0"/>
      <w:divBdr>
        <w:top w:val="none" w:sz="0" w:space="0" w:color="auto"/>
        <w:left w:val="none" w:sz="0" w:space="0" w:color="auto"/>
        <w:bottom w:val="none" w:sz="0" w:space="0" w:color="auto"/>
        <w:right w:val="none" w:sz="0" w:space="0" w:color="auto"/>
      </w:divBdr>
    </w:div>
    <w:div w:id="1987926294">
      <w:bodyDiv w:val="1"/>
      <w:marLeft w:val="0"/>
      <w:marRight w:val="0"/>
      <w:marTop w:val="0"/>
      <w:marBottom w:val="0"/>
      <w:divBdr>
        <w:top w:val="none" w:sz="0" w:space="0" w:color="auto"/>
        <w:left w:val="none" w:sz="0" w:space="0" w:color="auto"/>
        <w:bottom w:val="none" w:sz="0" w:space="0" w:color="auto"/>
        <w:right w:val="none" w:sz="0" w:space="0" w:color="auto"/>
      </w:divBdr>
      <w:divsChild>
        <w:div w:id="1947032515">
          <w:marLeft w:val="0"/>
          <w:marRight w:val="0"/>
          <w:marTop w:val="480"/>
          <w:marBottom w:val="240"/>
          <w:divBdr>
            <w:top w:val="none" w:sz="0" w:space="0" w:color="auto"/>
            <w:left w:val="none" w:sz="0" w:space="0" w:color="auto"/>
            <w:bottom w:val="none" w:sz="0" w:space="0" w:color="auto"/>
            <w:right w:val="none" w:sz="0" w:space="0" w:color="auto"/>
          </w:divBdr>
        </w:div>
        <w:div w:id="1726247910">
          <w:marLeft w:val="0"/>
          <w:marRight w:val="0"/>
          <w:marTop w:val="0"/>
          <w:marBottom w:val="567"/>
          <w:divBdr>
            <w:top w:val="none" w:sz="0" w:space="0" w:color="auto"/>
            <w:left w:val="none" w:sz="0" w:space="0" w:color="auto"/>
            <w:bottom w:val="none" w:sz="0" w:space="0" w:color="auto"/>
            <w:right w:val="none" w:sz="0" w:space="0" w:color="auto"/>
          </w:divBdr>
        </w:div>
      </w:divsChild>
    </w:div>
    <w:div w:id="2076971093">
      <w:bodyDiv w:val="1"/>
      <w:marLeft w:val="0"/>
      <w:marRight w:val="0"/>
      <w:marTop w:val="0"/>
      <w:marBottom w:val="0"/>
      <w:divBdr>
        <w:top w:val="none" w:sz="0" w:space="0" w:color="auto"/>
        <w:left w:val="none" w:sz="0" w:space="0" w:color="auto"/>
        <w:bottom w:val="none" w:sz="0" w:space="0" w:color="auto"/>
        <w:right w:val="none" w:sz="0" w:space="0" w:color="auto"/>
      </w:divBdr>
    </w:div>
    <w:div w:id="2119710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e6e0dcef-22a5-47c5-9877-d653d971ef2f" TargetMode="External"/><Relationship Id="rId13" Type="http://schemas.openxmlformats.org/officeDocument/2006/relationships/hyperlink" Target="https://curia.europa.eu/juris/document/document.jsf;jsessionid=7A0879DAB1A09EEF86DE151541401EFB?text=&amp;docid=147851&amp;pageIndex=0&amp;doclang=LV&amp;mode=lst&amp;dir=&amp;occ=first&amp;part=1&amp;cid=149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nolemumi/pdf/517489.pdf" TargetMode="External"/><Relationship Id="rId17" Type="http://schemas.openxmlformats.org/officeDocument/2006/relationships/hyperlink" Target="https://curia.europa.eu/juris/document/document.jsf;jsessionid=1A060544D3C4293FD2C3154A8745068E?text=&amp;docid=268235&amp;pageIndex=0&amp;doclang=LV&amp;mode=lst&amp;dir=&amp;occ=first&amp;part=1&amp;cid=13792371" TargetMode="External"/><Relationship Id="rId2" Type="http://schemas.openxmlformats.org/officeDocument/2006/relationships/numbering" Target="numbering.xml"/><Relationship Id="rId16" Type="http://schemas.openxmlformats.org/officeDocument/2006/relationships/hyperlink" Target="https://curia.europa.eu/juris/document/document.jsf;jsessionid=1A060544D3C4293FD2C3154A8745068E?text=&amp;docid=268235&amp;pageIndex=0&amp;doclang=LV&amp;mode=lst&amp;dir=&amp;occ=first&amp;part=1&amp;cid=1379237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ia.europa.eu/juris/document/document.jsf?text=&amp;docid=56198&amp;pageIndex=0&amp;doclang=LV&amp;mode=lst&amp;dir=&amp;occ=first&amp;part=1&amp;cid=117400" TargetMode="External"/><Relationship Id="rId5" Type="http://schemas.openxmlformats.org/officeDocument/2006/relationships/webSettings" Target="webSettings.xml"/><Relationship Id="rId15" Type="http://schemas.openxmlformats.org/officeDocument/2006/relationships/hyperlink" Target="https://manas.tiesas.lv/eTiesasMvc/nolemumi/pdf/381567.pdf" TargetMode="External"/><Relationship Id="rId10" Type="http://schemas.openxmlformats.org/officeDocument/2006/relationships/hyperlink" Target="https://curia.europa.eu/juris/document/document.jsf?text=&amp;docid=203402&amp;pageIndex=0&amp;doclang=lv&amp;mode=lst&amp;dir=&amp;occ=first&amp;part=1&amp;cid=11705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nas.tiesas.lv/eTiesasMvc/nolemumi/pdf/353381.pdf" TargetMode="External"/><Relationship Id="rId14" Type="http://schemas.openxmlformats.org/officeDocument/2006/relationships/hyperlink" Target="https://manas.tiesas.lv/eTiesasMvc/nolemumi/pdf/12435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0EB31-92D1-404A-ACBF-EC8F694A7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17993</Words>
  <Characters>10257</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2025-06-30T11:42:00Z</dcterms:created>
  <dcterms:modified xsi:type="dcterms:W3CDTF">2025-09-04T11:45:00Z</dcterms:modified>
</cp:coreProperties>
</file>