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AB20" w14:textId="77777777" w:rsidR="00767E12" w:rsidRPr="00932DEB" w:rsidRDefault="00767E12" w:rsidP="00767E12">
      <w:pPr>
        <w:ind w:firstLine="0"/>
        <w:rPr>
          <w:rFonts w:cs="Times New Roman"/>
          <w:b/>
          <w:bCs/>
          <w:szCs w:val="24"/>
        </w:rPr>
      </w:pPr>
      <w:r w:rsidRPr="00932DEB">
        <w:rPr>
          <w:rFonts w:cs="Times New Roman"/>
          <w:b/>
          <w:bCs/>
          <w:szCs w:val="24"/>
        </w:rPr>
        <w:t>Procesuālo izdevumu piedziņa no notiesātās personas, ja izmeklēšanas darbības vai tiesas sēdes atliktas citas personas neattaisnotas neierašanās dēļ</w:t>
      </w:r>
    </w:p>
    <w:p w14:paraId="38B7AF69" w14:textId="77777777" w:rsidR="00767E12" w:rsidRPr="00D3137F" w:rsidRDefault="00767E12" w:rsidP="00767E12">
      <w:pPr>
        <w:ind w:firstLine="0"/>
        <w:rPr>
          <w:rFonts w:asciiTheme="majorBidi" w:eastAsia="Times New Roman" w:hAnsiTheme="majorBidi" w:cstheme="majorBidi"/>
          <w:b/>
          <w:bCs/>
          <w:kern w:val="0"/>
          <w:szCs w:val="24"/>
          <w:lang w:eastAsia="lv-LV"/>
          <w14:ligatures w14:val="none"/>
        </w:rPr>
      </w:pPr>
    </w:p>
    <w:p w14:paraId="79D11F3D"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Latvijas Republikas Senāta</w:t>
      </w:r>
    </w:p>
    <w:p w14:paraId="66A86E07"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Krimināllietu departamenta</w:t>
      </w:r>
    </w:p>
    <w:p w14:paraId="669200F2"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eastAsia="Times New Roman" w:cs="Times New Roman"/>
          <w:b/>
          <w:bCs/>
          <w:kern w:val="0"/>
          <w:szCs w:val="24"/>
          <w:lang w:eastAsia="ru-RU"/>
          <w14:ligatures w14:val="none"/>
        </w:rPr>
        <w:t>2025. gada 20. maija</w:t>
      </w:r>
    </w:p>
    <w:p w14:paraId="0A3B2E2A"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LĒMUMS</w:t>
      </w:r>
    </w:p>
    <w:p w14:paraId="1B66CA77" w14:textId="77777777" w:rsidR="00767E12"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Lieta Nr. </w:t>
      </w:r>
      <w:r w:rsidRPr="00D3137F">
        <w:rPr>
          <w:rFonts w:asciiTheme="majorBidi" w:hAnsiTheme="majorBidi" w:cstheme="majorBidi"/>
          <w:b/>
          <w:bCs/>
          <w:kern w:val="0"/>
          <w:szCs w:val="24"/>
          <w:shd w:val="clear" w:color="auto" w:fill="FFFFFF"/>
          <w14:ligatures w14:val="none"/>
        </w:rPr>
        <w:t>11817002920</w:t>
      </w:r>
      <w:r w:rsidRPr="00D3137F">
        <w:rPr>
          <w:rFonts w:asciiTheme="majorBidi" w:eastAsia="Times New Roman" w:hAnsiTheme="majorBidi" w:cstheme="majorBidi"/>
          <w:b/>
          <w:bCs/>
          <w:kern w:val="0"/>
          <w:szCs w:val="24"/>
          <w:lang w:eastAsia="lv-LV"/>
          <w14:ligatures w14:val="none"/>
        </w:rPr>
        <w:t>, SKK</w:t>
      </w:r>
      <w:r w:rsidRPr="00D3137F">
        <w:rPr>
          <w:rFonts w:asciiTheme="majorBidi" w:eastAsia="Times New Roman" w:hAnsiTheme="majorBidi" w:cstheme="majorBidi"/>
          <w:b/>
          <w:bCs/>
          <w:kern w:val="0"/>
          <w:szCs w:val="24"/>
          <w:lang w:eastAsia="lv-LV"/>
          <w14:ligatures w14:val="none"/>
        </w:rPr>
        <w:noBreakHyphen/>
        <w:t>28/2025</w:t>
      </w:r>
    </w:p>
    <w:p w14:paraId="5171FC77" w14:textId="39D0C9A6" w:rsidR="00767E12" w:rsidRPr="0055639B" w:rsidRDefault="00280274" w:rsidP="00767E12">
      <w:pPr>
        <w:ind w:firstLine="0"/>
        <w:jc w:val="center"/>
        <w:rPr>
          <w:rFonts w:asciiTheme="majorBidi" w:eastAsia="Times New Roman" w:hAnsiTheme="majorBidi" w:cstheme="majorBidi"/>
          <w:kern w:val="0"/>
          <w:szCs w:val="24"/>
          <w:lang w:eastAsia="lv-LV"/>
          <w14:ligatures w14:val="none"/>
        </w:rPr>
      </w:pPr>
      <w:hyperlink r:id="rId6" w:history="1">
        <w:r w:rsidR="00767E12" w:rsidRPr="00280274">
          <w:rPr>
            <w:rStyle w:val="Hyperlink"/>
            <w:rFonts w:asciiTheme="majorBidi" w:eastAsia="Times New Roman" w:hAnsiTheme="majorBidi" w:cstheme="majorBidi"/>
            <w:kern w:val="0"/>
            <w:szCs w:val="24"/>
            <w:lang w:eastAsia="lv-LV"/>
            <w14:ligatures w14:val="none"/>
          </w:rPr>
          <w:t>ECLI:LV:AT:2025:0520.11817002920.17.L</w:t>
        </w:r>
      </w:hyperlink>
    </w:p>
    <w:p w14:paraId="3505E081" w14:textId="77777777" w:rsidR="0077002E" w:rsidRPr="007B5CD9" w:rsidRDefault="0077002E" w:rsidP="0077002E">
      <w:pPr>
        <w:ind w:firstLine="567"/>
        <w:rPr>
          <w:rFonts w:eastAsia="Times New Roman" w:cs="Times New Roman"/>
          <w:kern w:val="0"/>
          <w:szCs w:val="24"/>
          <w:lang w:eastAsia="ru-RU"/>
          <w14:ligatures w14:val="none"/>
        </w:rPr>
      </w:pPr>
    </w:p>
    <w:p w14:paraId="3D828137" w14:textId="77777777" w:rsidR="0077002E" w:rsidRPr="007B5CD9" w:rsidRDefault="0077002E" w:rsidP="0077002E">
      <w:pPr>
        <w:ind w:right="-1"/>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Senāts šādā sastāvā: senatore referente Inese Laura Zemīte, senatores Irīna Jansone un Anita Poļakova </w:t>
      </w:r>
    </w:p>
    <w:p w14:paraId="52A3F857" w14:textId="77777777" w:rsidR="0077002E" w:rsidRPr="007B5CD9" w:rsidRDefault="0077002E" w:rsidP="0077002E">
      <w:pPr>
        <w:ind w:right="-1"/>
        <w:rPr>
          <w:rFonts w:eastAsia="Times New Roman" w:cs="Times New Roman"/>
          <w:kern w:val="0"/>
          <w:szCs w:val="24"/>
          <w:lang w:eastAsia="ru-RU"/>
          <w14:ligatures w14:val="none"/>
        </w:rPr>
      </w:pPr>
    </w:p>
    <w:p w14:paraId="777B07E1" w14:textId="581F3484" w:rsidR="0077002E" w:rsidRPr="007B5CD9" w:rsidRDefault="0077002E" w:rsidP="0077002E">
      <w:pPr>
        <w:ind w:right="-1"/>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rakstveida procesā izskatīja krimināllietu sakarā ar </w:t>
      </w:r>
      <w:bookmarkStart w:id="0" w:name="_Hlk175139394"/>
      <w:bookmarkStart w:id="1" w:name="_Hlk108533050"/>
      <w:bookmarkStart w:id="2" w:name="_Hlk45528273"/>
      <w:r w:rsidRPr="007B5CD9">
        <w:rPr>
          <w:rFonts w:asciiTheme="majorBidi" w:eastAsia="Times New Roman" w:hAnsiTheme="majorBidi" w:cstheme="majorBidi"/>
          <w:kern w:val="0"/>
          <w:szCs w:val="24"/>
          <w:lang w:eastAsia="lv-LV"/>
          <w14:ligatures w14:val="none"/>
        </w:rPr>
        <w:t xml:space="preserve">apsūdzētā </w:t>
      </w:r>
      <w:r w:rsidR="00767E12">
        <w:rPr>
          <w:rFonts w:asciiTheme="majorBidi" w:eastAsia="Times New Roman" w:hAnsiTheme="majorBidi" w:cstheme="majorBidi"/>
          <w:kern w:val="0"/>
          <w:szCs w:val="24"/>
          <w:lang w:eastAsia="lv-LV"/>
          <w14:ligatures w14:val="none"/>
        </w:rPr>
        <w:t>[pers. A]</w:t>
      </w:r>
      <w:r w:rsidRPr="007B5CD9">
        <w:rPr>
          <w:rFonts w:asciiTheme="majorBidi" w:eastAsia="Times New Roman" w:hAnsiTheme="majorBidi" w:cstheme="majorBidi"/>
          <w:kern w:val="0"/>
          <w:szCs w:val="24"/>
          <w:lang w:eastAsia="lv-LV"/>
          <w14:ligatures w14:val="none"/>
        </w:rPr>
        <w:t xml:space="preserve">, apsūdzētā </w:t>
      </w:r>
      <w:r w:rsidR="00767E12">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un viņa aizstāvja zvērināta advokāta Oskara </w:t>
      </w:r>
      <w:proofErr w:type="spellStart"/>
      <w:r w:rsidRPr="007B5CD9">
        <w:rPr>
          <w:rFonts w:asciiTheme="majorBidi" w:eastAsia="Times New Roman" w:hAnsiTheme="majorBidi" w:cstheme="majorBidi"/>
          <w:kern w:val="0"/>
          <w:szCs w:val="24"/>
          <w:lang w:eastAsia="lv-LV"/>
          <w14:ligatures w14:val="none"/>
        </w:rPr>
        <w:t>Ondrupa</w:t>
      </w:r>
      <w:proofErr w:type="spellEnd"/>
      <w:r w:rsidRPr="007B5CD9">
        <w:rPr>
          <w:rFonts w:asciiTheme="majorBidi" w:eastAsia="Times New Roman" w:hAnsiTheme="majorBidi" w:cstheme="majorBidi"/>
          <w:kern w:val="0"/>
          <w:szCs w:val="24"/>
          <w:lang w:eastAsia="lv-LV"/>
          <w14:ligatures w14:val="none"/>
        </w:rPr>
        <w:t xml:space="preserve"> kasācijas sūdzībām par Rīgas apgabaltiesas 2024. gada 4. marta lēmumu</w:t>
      </w:r>
      <w:bookmarkEnd w:id="0"/>
      <w:r w:rsidRPr="007B5CD9">
        <w:rPr>
          <w:rFonts w:eastAsia="Times New Roman" w:cs="Times New Roman"/>
          <w:kern w:val="0"/>
          <w:szCs w:val="24"/>
          <w:lang w:eastAsia="ru-RU"/>
          <w14:ligatures w14:val="none"/>
        </w:rPr>
        <w:t>.</w:t>
      </w:r>
    </w:p>
    <w:p w14:paraId="45EA409E" w14:textId="77777777" w:rsidR="0077002E" w:rsidRPr="007B5CD9" w:rsidRDefault="0077002E" w:rsidP="0077002E">
      <w:pPr>
        <w:ind w:right="-1"/>
        <w:rPr>
          <w:rFonts w:eastAsia="Times New Roman" w:cs="Times New Roman"/>
          <w:kern w:val="0"/>
          <w:szCs w:val="24"/>
          <w:lang w:eastAsia="ru-RU"/>
          <w14:ligatures w14:val="none"/>
        </w:rPr>
      </w:pPr>
    </w:p>
    <w:bookmarkEnd w:id="1"/>
    <w:bookmarkEnd w:id="2"/>
    <w:p w14:paraId="46BDCD3B" w14:textId="77777777" w:rsidR="0077002E" w:rsidRPr="007B5CD9" w:rsidRDefault="0077002E" w:rsidP="0077002E">
      <w:pPr>
        <w:ind w:firstLine="0"/>
        <w:jc w:val="center"/>
        <w:rPr>
          <w:rFonts w:eastAsia="Times New Roman" w:cs="Times New Roman"/>
          <w:b/>
          <w:bCs/>
          <w:kern w:val="0"/>
          <w:szCs w:val="24"/>
          <w:lang w:eastAsia="ru-RU"/>
          <w14:ligatures w14:val="none"/>
        </w:rPr>
      </w:pPr>
      <w:r w:rsidRPr="007B5CD9">
        <w:rPr>
          <w:rFonts w:eastAsia="Times New Roman" w:cs="Times New Roman"/>
          <w:b/>
          <w:bCs/>
          <w:kern w:val="0"/>
          <w:szCs w:val="24"/>
          <w:lang w:eastAsia="ru-RU"/>
          <w14:ligatures w14:val="none"/>
        </w:rPr>
        <w:t>Aprakstošā daļa</w:t>
      </w:r>
    </w:p>
    <w:p w14:paraId="7A77367C" w14:textId="77777777" w:rsidR="0077002E" w:rsidRPr="007B5CD9" w:rsidRDefault="0077002E" w:rsidP="0077002E">
      <w:pPr>
        <w:ind w:firstLine="0"/>
        <w:rPr>
          <w:rFonts w:eastAsia="Times New Roman" w:cs="Times New Roman"/>
          <w:kern w:val="0"/>
          <w:szCs w:val="24"/>
          <w:lang w:eastAsia="ru-RU"/>
          <w14:ligatures w14:val="none"/>
        </w:rPr>
      </w:pPr>
    </w:p>
    <w:p w14:paraId="4A721C05" w14:textId="77777777" w:rsidR="0077002E" w:rsidRPr="007B5CD9" w:rsidRDefault="0077002E" w:rsidP="0077002E">
      <w:pPr>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[1] Ar </w:t>
      </w:r>
      <w:bookmarkStart w:id="3" w:name="_Hlk167781393"/>
      <w:r w:rsidRPr="007B5CD9">
        <w:rPr>
          <w:rFonts w:eastAsia="Times New Roman" w:cs="Times New Roman"/>
          <w:kern w:val="0"/>
          <w:szCs w:val="24"/>
          <w:lang w:eastAsia="ru-RU"/>
          <w14:ligatures w14:val="none"/>
        </w:rPr>
        <w:t>Rīgas rajona tiesas 2023. gada 13. jūlija spriedumu</w:t>
      </w:r>
      <w:bookmarkEnd w:id="3"/>
    </w:p>
    <w:p w14:paraId="16A9D817" w14:textId="12E4EECD" w:rsidR="0077002E" w:rsidRPr="007B5CD9" w:rsidRDefault="0077002E" w:rsidP="0077002E">
      <w:pPr>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[1.1] </w:t>
      </w:r>
      <w:r w:rsidR="00767E12">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personas kods </w:t>
      </w:r>
      <w:r w:rsidR="00767E12">
        <w:rPr>
          <w:rFonts w:eastAsia="Times New Roman" w:cs="Times New Roman"/>
          <w:kern w:val="0"/>
          <w:szCs w:val="24"/>
          <w:lang w:eastAsia="ru-RU"/>
          <w14:ligatures w14:val="none"/>
        </w:rPr>
        <w:t>[..]</w:t>
      </w:r>
      <w:r w:rsidRPr="007B5CD9">
        <w:rPr>
          <w:rFonts w:eastAsia="Times New Roman" w:cs="Times New Roman"/>
          <w:kern w:val="0"/>
          <w:szCs w:val="24"/>
          <w:lang w:eastAsia="ru-RU"/>
          <w14:ligatures w14:val="none"/>
        </w:rPr>
        <w:t>,</w:t>
      </w:r>
    </w:p>
    <w:p w14:paraId="0CD3AFE4" w14:textId="77777777" w:rsidR="0077002E" w:rsidRPr="007B5CD9" w:rsidRDefault="0077002E" w:rsidP="0077002E">
      <w:pPr>
        <w:rPr>
          <w:kern w:val="0"/>
          <w14:ligatures w14:val="none"/>
        </w:rPr>
      </w:pPr>
      <w:bookmarkStart w:id="4" w:name="_Hlk184115161"/>
      <w:r w:rsidRPr="007B5CD9">
        <w:rPr>
          <w:rFonts w:eastAsia="Times New Roman" w:cs="Times New Roman"/>
          <w:kern w:val="0"/>
          <w:szCs w:val="24"/>
          <w:lang w:eastAsia="ru-RU"/>
          <w14:ligatures w14:val="none"/>
        </w:rPr>
        <w:t>atzīts par vainīgu Krimināllikuma 231. panta otrajā daļā paredzētajā noziedzīgajā nodarījumā un sodīts ar brīvības atņemšanu</w:t>
      </w:r>
      <w:r w:rsidRPr="007B5CD9">
        <w:rPr>
          <w:kern w:val="0"/>
          <w14:ligatures w14:val="none"/>
        </w:rPr>
        <w:t xml:space="preserve"> uz 1 gadu</w:t>
      </w:r>
      <w:bookmarkEnd w:id="4"/>
      <w:r w:rsidRPr="007B5CD9">
        <w:rPr>
          <w:kern w:val="0"/>
          <w14:ligatures w14:val="none"/>
        </w:rPr>
        <w:t>.</w:t>
      </w:r>
    </w:p>
    <w:p w14:paraId="300F86E2" w14:textId="73BECF15" w:rsidR="0077002E" w:rsidRPr="007B5CD9" w:rsidRDefault="0077002E" w:rsidP="00767E12">
      <w:pPr>
        <w:widowControl w:val="0"/>
        <w:tabs>
          <w:tab w:val="left" w:pos="1710"/>
        </w:tabs>
        <w:ind w:firstLine="709"/>
        <w:rPr>
          <w:kern w:val="0"/>
          <w14:ligatures w14:val="none"/>
        </w:rPr>
      </w:pPr>
      <w:bookmarkStart w:id="5" w:name="_Hlk184124089"/>
      <w:r w:rsidRPr="007B5CD9">
        <w:rPr>
          <w:rFonts w:cs="Times New Roman"/>
          <w:kern w:val="0"/>
          <w:szCs w:val="24"/>
          <w14:ligatures w14:val="none"/>
        </w:rPr>
        <w:t xml:space="preserve">Saskaņā ar Krimināllikuma 50. panta piekto daļu </w:t>
      </w:r>
      <w:r w:rsidR="00767E12">
        <w:rPr>
          <w:rFonts w:cs="Times New Roman"/>
          <w:kern w:val="0"/>
          <w:szCs w:val="24"/>
          <w14:ligatures w14:val="none"/>
        </w:rPr>
        <w:t>[pers. A]</w:t>
      </w:r>
      <w:r w:rsidRPr="007B5CD9">
        <w:rPr>
          <w:rFonts w:cs="Times New Roman"/>
          <w:kern w:val="0"/>
          <w:szCs w:val="24"/>
          <w14:ligatures w14:val="none"/>
        </w:rPr>
        <w:t xml:space="preserve"> noteikts galīgais sods brīvības atņemšana uz 1 gadu,</w:t>
      </w:r>
      <w:r w:rsidRPr="007B5CD9">
        <w:rPr>
          <w:kern w:val="0"/>
          <w14:ligatures w14:val="none"/>
        </w:rPr>
        <w:t xml:space="preserve"> sabiedriskais darbs uz 170 stundām, atņemot transportlīdzekļa vadīšanas tiesības uz 5 gadiem.</w:t>
      </w:r>
    </w:p>
    <w:p w14:paraId="5EB669C3" w14:textId="3FCC4F04" w:rsidR="0077002E" w:rsidRPr="007B5CD9" w:rsidRDefault="0077002E" w:rsidP="0077002E">
      <w:pPr>
        <w:widowControl w:val="0"/>
        <w:tabs>
          <w:tab w:val="left" w:pos="1710"/>
        </w:tabs>
        <w:ind w:firstLine="709"/>
        <w:rPr>
          <w:kern w:val="0"/>
          <w14:ligatures w14:val="none"/>
        </w:rPr>
      </w:pPr>
      <w:r w:rsidRPr="007B5CD9">
        <w:rPr>
          <w:kern w:val="0"/>
          <w14:ligatures w14:val="none"/>
        </w:rPr>
        <w:t>[1.2] </w:t>
      </w:r>
      <w:r w:rsidR="00767E12">
        <w:rPr>
          <w:kern w:val="0"/>
          <w14:ligatures w14:val="none"/>
        </w:rPr>
        <w:t>[pers. B]</w:t>
      </w:r>
      <w:r w:rsidRPr="007B5CD9">
        <w:rPr>
          <w:kern w:val="0"/>
          <w14:ligatures w14:val="none"/>
        </w:rPr>
        <w:t xml:space="preserve">, personas kods </w:t>
      </w:r>
      <w:r w:rsidR="00767E12">
        <w:rPr>
          <w:kern w:val="0"/>
          <w14:ligatures w14:val="none"/>
        </w:rPr>
        <w:t>[..]</w:t>
      </w:r>
      <w:r w:rsidRPr="007B5CD9">
        <w:rPr>
          <w:kern w:val="0"/>
          <w14:ligatures w14:val="none"/>
        </w:rPr>
        <w:t>,</w:t>
      </w:r>
    </w:p>
    <w:p w14:paraId="170439A1" w14:textId="77777777" w:rsidR="0077002E" w:rsidRPr="007B5CD9" w:rsidRDefault="0077002E" w:rsidP="0077002E">
      <w:pPr>
        <w:rPr>
          <w:kern w:val="0"/>
          <w14:ligatures w14:val="none"/>
        </w:rPr>
      </w:pPr>
      <w:r w:rsidRPr="007B5CD9">
        <w:rPr>
          <w:kern w:val="0"/>
          <w14:ligatures w14:val="none"/>
        </w:rPr>
        <w:t xml:space="preserve">atzīts par vainīgu </w:t>
      </w:r>
      <w:r w:rsidRPr="007B5CD9">
        <w:rPr>
          <w:rFonts w:eastAsia="Times New Roman" w:cs="Times New Roman"/>
          <w:kern w:val="0"/>
          <w:szCs w:val="24"/>
          <w:lang w:eastAsia="ru-RU"/>
          <w14:ligatures w14:val="none"/>
        </w:rPr>
        <w:t>Krimināllikuma 231. panta otrajā daļā paredzētajā noziedzīgajā nodarījumā un sodīts ar brīvības atņemšanu</w:t>
      </w:r>
      <w:r w:rsidRPr="007B5CD9">
        <w:rPr>
          <w:kern w:val="0"/>
          <w14:ligatures w14:val="none"/>
        </w:rPr>
        <w:t xml:space="preserve"> uz 1 gadu;</w:t>
      </w:r>
    </w:p>
    <w:p w14:paraId="18239C86" w14:textId="77777777" w:rsidR="0077002E" w:rsidRPr="007B5CD9" w:rsidRDefault="0077002E" w:rsidP="0077002E">
      <w:pPr>
        <w:rPr>
          <w:kern w:val="0"/>
          <w14:ligatures w14:val="none"/>
        </w:rPr>
      </w:pPr>
      <w:r w:rsidRPr="007B5CD9">
        <w:rPr>
          <w:kern w:val="0"/>
          <w14:ligatures w14:val="none"/>
        </w:rPr>
        <w:t xml:space="preserve">atzīts par </w:t>
      </w:r>
      <w:r w:rsidRPr="007B5CD9">
        <w:rPr>
          <w:rFonts w:eastAsia="Times New Roman" w:cs="Times New Roman"/>
          <w:kern w:val="0"/>
          <w:szCs w:val="24"/>
          <w:lang w:eastAsia="ru-RU"/>
          <w14:ligatures w14:val="none"/>
        </w:rPr>
        <w:t>vainīgu Krimināllikuma 233. panta otrajā daļā paredzētajā noziedzīgajā nodarījumā (izdarīts no 2017. gada 15. maija līdz 2020. gada 19. maijam) un sodīts ar brīvības atņemšanu</w:t>
      </w:r>
      <w:r w:rsidRPr="007B5CD9">
        <w:rPr>
          <w:kern w:val="0"/>
          <w14:ligatures w14:val="none"/>
        </w:rPr>
        <w:t xml:space="preserve"> uz 6 mēnešiem;</w:t>
      </w:r>
    </w:p>
    <w:p w14:paraId="29387BA6" w14:textId="77777777" w:rsidR="0077002E" w:rsidRPr="007B5CD9" w:rsidRDefault="0077002E" w:rsidP="0077002E">
      <w:pPr>
        <w:rPr>
          <w:kern w:val="0"/>
          <w14:ligatures w14:val="none"/>
        </w:rPr>
      </w:pPr>
      <w:r w:rsidRPr="007B5CD9">
        <w:rPr>
          <w:kern w:val="0"/>
          <w14:ligatures w14:val="none"/>
        </w:rPr>
        <w:t xml:space="preserve">atzīts par </w:t>
      </w:r>
      <w:r w:rsidRPr="007B5CD9">
        <w:rPr>
          <w:rFonts w:eastAsia="Times New Roman" w:cs="Times New Roman"/>
          <w:kern w:val="0"/>
          <w:szCs w:val="24"/>
          <w:lang w:eastAsia="ru-RU"/>
          <w14:ligatures w14:val="none"/>
        </w:rPr>
        <w:t>vainīgu Krimināllikuma 233. panta otrajā daļā paredzētajā noziedzīgajā nodarījumā (izdarīts līdz 2020. gada 19. maijam) un sodīts ar brīvības atņemšanu</w:t>
      </w:r>
      <w:r w:rsidRPr="007B5CD9">
        <w:rPr>
          <w:kern w:val="0"/>
          <w14:ligatures w14:val="none"/>
        </w:rPr>
        <w:t xml:space="preserve"> uz 6 mēnešiem.</w:t>
      </w:r>
    </w:p>
    <w:p w14:paraId="76EC6744" w14:textId="68A9A4FF" w:rsidR="0077002E" w:rsidRPr="007B5CD9" w:rsidRDefault="0077002E" w:rsidP="0077002E">
      <w:pPr>
        <w:widowControl w:val="0"/>
        <w:tabs>
          <w:tab w:val="left" w:pos="1710"/>
        </w:tabs>
        <w:ind w:firstLine="709"/>
        <w:rPr>
          <w:rFonts w:cs="Times New Roman"/>
          <w:kern w:val="0"/>
          <w:szCs w:val="24"/>
          <w14:ligatures w14:val="none"/>
        </w:rPr>
      </w:pPr>
      <w:r w:rsidRPr="007B5CD9">
        <w:rPr>
          <w:rFonts w:cs="Times New Roman"/>
          <w:kern w:val="0"/>
          <w:szCs w:val="24"/>
          <w14:ligatures w14:val="none"/>
        </w:rPr>
        <w:t xml:space="preserve">Saskaņā ar Krimināllikuma 50. panta pirmo un otro daļu </w:t>
      </w:r>
      <w:r w:rsidR="00E313AC">
        <w:rPr>
          <w:rFonts w:cs="Times New Roman"/>
          <w:kern w:val="0"/>
          <w:szCs w:val="24"/>
          <w14:ligatures w14:val="none"/>
        </w:rPr>
        <w:t>[pers. B]</w:t>
      </w:r>
      <w:r w:rsidRPr="007B5CD9">
        <w:rPr>
          <w:rFonts w:cs="Times New Roman"/>
          <w:kern w:val="0"/>
          <w:szCs w:val="24"/>
          <w14:ligatures w14:val="none"/>
        </w:rPr>
        <w:t xml:space="preserve"> noteikts galīgais sods brīvības atņemšana uz 1 gadu un 9 mēnešiem.</w:t>
      </w:r>
    </w:p>
    <w:p w14:paraId="6642A558" w14:textId="77777777" w:rsidR="0077002E" w:rsidRPr="007B5CD9" w:rsidRDefault="0077002E" w:rsidP="0077002E">
      <w:pPr>
        <w:rPr>
          <w:kern w:val="0"/>
          <w14:ligatures w14:val="none"/>
        </w:rPr>
      </w:pPr>
    </w:p>
    <w:bookmarkEnd w:id="5"/>
    <w:p w14:paraId="25CE14BC" w14:textId="146BD16B" w:rsidR="0077002E" w:rsidRPr="007B5CD9" w:rsidRDefault="0077002E" w:rsidP="0077002E">
      <w:pPr>
        <w:ind w:firstLine="709"/>
        <w:rPr>
          <w:kern w:val="0"/>
          <w14:ligatures w14:val="none"/>
        </w:rPr>
      </w:pPr>
      <w:r w:rsidRPr="007B5CD9">
        <w:rPr>
          <w:rFonts w:eastAsia="Times New Roman" w:cs="Times New Roman"/>
          <w:kern w:val="0"/>
          <w:szCs w:val="24"/>
          <w:lang w:eastAsia="ru-RU"/>
          <w14:ligatures w14:val="none"/>
        </w:rPr>
        <w:t xml:space="preserve">[2] Ar Rīgas rajona tiesas 2023. gada 13. jūlija spriedumu </w:t>
      </w:r>
      <w:r w:rsidR="00E313AC">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un </w:t>
      </w:r>
      <w:r w:rsidR="00E313AC">
        <w:rPr>
          <w:rFonts w:eastAsia="Times New Roman" w:cs="Times New Roman"/>
          <w:kern w:val="0"/>
          <w:szCs w:val="24"/>
          <w:lang w:eastAsia="ru-RU"/>
          <w14:ligatures w14:val="none"/>
        </w:rPr>
        <w:t>[pers. B]</w:t>
      </w:r>
      <w:r w:rsidRPr="007B5CD9">
        <w:rPr>
          <w:rFonts w:eastAsia="Times New Roman" w:cs="Times New Roman"/>
          <w:kern w:val="0"/>
          <w:szCs w:val="24"/>
          <w:lang w:eastAsia="ru-RU"/>
          <w14:ligatures w14:val="none"/>
        </w:rPr>
        <w:t xml:space="preserve"> atzīti par vainīgiem un sodīti pēc </w:t>
      </w:r>
      <w:bookmarkStart w:id="6" w:name="_Hlk189219894"/>
      <w:r w:rsidRPr="007B5CD9">
        <w:rPr>
          <w:rFonts w:eastAsia="Times New Roman" w:cs="Times New Roman"/>
          <w:kern w:val="0"/>
          <w:szCs w:val="24"/>
          <w:lang w:eastAsia="ru-RU"/>
          <w14:ligatures w14:val="none"/>
        </w:rPr>
        <w:t xml:space="preserve">Krimināllikuma </w:t>
      </w:r>
      <w:bookmarkEnd w:id="6"/>
      <w:r w:rsidRPr="007B5CD9">
        <w:rPr>
          <w:rFonts w:eastAsia="Times New Roman" w:cs="Times New Roman"/>
          <w:kern w:val="0"/>
          <w:szCs w:val="24"/>
          <w:lang w:eastAsia="ru-RU"/>
          <w14:ligatures w14:val="none"/>
        </w:rPr>
        <w:t xml:space="preserve">231. panta otrās daļas </w:t>
      </w:r>
      <w:r w:rsidRPr="007B5CD9">
        <w:rPr>
          <w:kern w:val="0"/>
          <w14:ligatures w14:val="none"/>
        </w:rPr>
        <w:t xml:space="preserve">par to, ka personu grupā izdarīja rupju sabiedriskās kārtības traucēšanu, kas izpaudās acīmredzamā necieņā pret sabiedrību, ignorējot vispārpieņemtās uzvedības normas un traucējot cilvēku mieru un uzņēmumu darbu (huligānisms), kā arī </w:t>
      </w:r>
      <w:r w:rsidR="009C3251">
        <w:rPr>
          <w:kern w:val="0"/>
          <w14:ligatures w14:val="none"/>
        </w:rPr>
        <w:t>[pers. B]</w:t>
      </w:r>
      <w:r w:rsidRPr="007B5CD9">
        <w:rPr>
          <w:kern w:val="0"/>
          <w14:ligatures w14:val="none"/>
        </w:rPr>
        <w:t xml:space="preserve"> atzīts par vainīgu un sodīts par diviem noziedzīgiem nodarījumiem pēc Krimināllikuma 233. panta otrās daļas, proti, par spridzināmās ietaises un šaujamieroča un munīcijas iegādāšanos un glabāšanu bez attiecīgas atļaujas.</w:t>
      </w:r>
    </w:p>
    <w:p w14:paraId="6DFE3C1F" w14:textId="77777777" w:rsidR="0077002E" w:rsidRPr="007B5CD9" w:rsidRDefault="0077002E" w:rsidP="0077002E">
      <w:pPr>
        <w:ind w:firstLine="709"/>
        <w:rPr>
          <w:rFonts w:eastAsia="Times New Roman" w:cs="Times New Roman"/>
          <w:kern w:val="0"/>
          <w:szCs w:val="24"/>
          <w:lang w:eastAsia="ru-RU"/>
          <w14:ligatures w14:val="none"/>
        </w:rPr>
      </w:pPr>
    </w:p>
    <w:p w14:paraId="4D556A92" w14:textId="519B4AD9" w:rsidR="0077002E" w:rsidRPr="007B5CD9" w:rsidRDefault="0077002E" w:rsidP="0077002E">
      <w:pPr>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[3] Ar Rīgas apgabaltiesas 2024. gada 4. marta lēmumu, izskatot krimināllietu apelācijas kārtībā sakarā ar apsūdzētā </w:t>
      </w:r>
      <w:r w:rsidR="009C3251">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un viņa aizstāves zvērinātas advokātes Andras Ločmeles, </w:t>
      </w:r>
      <w:r w:rsidR="009C3251">
        <w:rPr>
          <w:rFonts w:eastAsia="Times New Roman" w:cs="Times New Roman"/>
          <w:kern w:val="0"/>
          <w:szCs w:val="24"/>
          <w:lang w:eastAsia="ru-RU"/>
          <w14:ligatures w14:val="none"/>
        </w:rPr>
        <w:t>[pers. B]</w:t>
      </w:r>
      <w:r w:rsidRPr="007B5CD9">
        <w:rPr>
          <w:rFonts w:eastAsia="Times New Roman" w:cs="Times New Roman"/>
          <w:kern w:val="0"/>
          <w:szCs w:val="24"/>
          <w:lang w:eastAsia="ru-RU"/>
          <w14:ligatures w14:val="none"/>
        </w:rPr>
        <w:t xml:space="preserve"> un viņa aizstāvja O. </w:t>
      </w:r>
      <w:proofErr w:type="spellStart"/>
      <w:r w:rsidRPr="007B5CD9">
        <w:rPr>
          <w:rFonts w:eastAsia="Times New Roman" w:cs="Times New Roman"/>
          <w:kern w:val="0"/>
          <w:szCs w:val="24"/>
          <w:lang w:eastAsia="ru-RU"/>
          <w14:ligatures w14:val="none"/>
        </w:rPr>
        <w:t>Ondrupa</w:t>
      </w:r>
      <w:proofErr w:type="spellEnd"/>
      <w:r w:rsidRPr="007B5CD9">
        <w:rPr>
          <w:rFonts w:eastAsia="Times New Roman" w:cs="Times New Roman"/>
          <w:kern w:val="0"/>
          <w:szCs w:val="24"/>
          <w:lang w:eastAsia="ru-RU"/>
          <w14:ligatures w14:val="none"/>
        </w:rPr>
        <w:t xml:space="preserve"> apelācijas sūdzībām, Rīgas rajona tiesas 2023. gada 13. jūlija spriedums atstāts negrozīts.</w:t>
      </w:r>
    </w:p>
    <w:p w14:paraId="60E63FE0" w14:textId="77777777" w:rsidR="0077002E" w:rsidRPr="007B5CD9" w:rsidRDefault="0077002E" w:rsidP="0077002E">
      <w:pPr>
        <w:ind w:firstLine="709"/>
        <w:rPr>
          <w:kern w:val="0"/>
          <w14:ligatures w14:val="none"/>
        </w:rPr>
      </w:pPr>
    </w:p>
    <w:p w14:paraId="7C2D503C" w14:textId="7317C45A" w:rsidR="0077002E" w:rsidRPr="007B5CD9" w:rsidRDefault="0077002E" w:rsidP="0077002E">
      <w:pPr>
        <w:widowControl w:val="0"/>
        <w:rPr>
          <w:rFonts w:asciiTheme="majorBidi" w:hAnsiTheme="majorBidi" w:cstheme="majorBidi"/>
          <w:kern w:val="0"/>
          <w:szCs w:val="24"/>
          <w14:ligatures w14:val="none"/>
        </w:rPr>
      </w:pPr>
      <w:r w:rsidRPr="007B5CD9">
        <w:rPr>
          <w:rFonts w:eastAsia="Times New Roman" w:cs="Times New Roman"/>
          <w:kern w:val="0"/>
          <w:szCs w:val="24"/>
          <w:lang w:eastAsia="ru-RU"/>
          <w14:ligatures w14:val="none"/>
        </w:rPr>
        <w:t xml:space="preserve">[4] Par </w:t>
      </w:r>
      <w:bookmarkStart w:id="7" w:name="_Hlk167801377"/>
      <w:r w:rsidRPr="007B5CD9">
        <w:rPr>
          <w:rFonts w:eastAsia="Times New Roman" w:cs="Times New Roman"/>
          <w:kern w:val="0"/>
          <w:szCs w:val="24"/>
          <w:lang w:eastAsia="ru-RU"/>
          <w14:ligatures w14:val="none"/>
        </w:rPr>
        <w:t xml:space="preserve">Rīgas apgabaltiesas 2024. gada 4. marta lēmumu kasācijas sūdzības iesnieguši apsūdzētais </w:t>
      </w:r>
      <w:r w:rsidR="009C3251">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w:t>
      </w:r>
      <w:r w:rsidR="009C3251">
        <w:rPr>
          <w:rFonts w:eastAsia="Times New Roman" w:cs="Times New Roman"/>
          <w:kern w:val="0"/>
          <w:szCs w:val="24"/>
          <w:lang w:eastAsia="ru-RU"/>
          <w14:ligatures w14:val="none"/>
        </w:rPr>
        <w:t>[pers. B]</w:t>
      </w:r>
      <w:r w:rsidRPr="007B5CD9">
        <w:rPr>
          <w:rFonts w:eastAsia="Times New Roman" w:cs="Times New Roman"/>
          <w:kern w:val="0"/>
          <w:szCs w:val="24"/>
          <w:lang w:eastAsia="ru-RU"/>
          <w14:ligatures w14:val="none"/>
        </w:rPr>
        <w:t xml:space="preserve"> un viņa aizstāvis O. </w:t>
      </w:r>
      <w:proofErr w:type="spellStart"/>
      <w:r w:rsidRPr="007B5CD9">
        <w:rPr>
          <w:rFonts w:eastAsia="Times New Roman" w:cs="Times New Roman"/>
          <w:kern w:val="0"/>
          <w:szCs w:val="24"/>
          <w:lang w:eastAsia="ru-RU"/>
          <w14:ligatures w14:val="none"/>
        </w:rPr>
        <w:t>Ondrups</w:t>
      </w:r>
      <w:proofErr w:type="spellEnd"/>
      <w:r w:rsidRPr="007B5CD9">
        <w:rPr>
          <w:rFonts w:eastAsia="Times New Roman" w:cs="Times New Roman"/>
          <w:kern w:val="0"/>
          <w:szCs w:val="24"/>
          <w:lang w:eastAsia="ru-RU"/>
          <w14:ligatures w14:val="none"/>
        </w:rPr>
        <w:t xml:space="preserve">, kurās lūguši </w:t>
      </w:r>
      <w:r w:rsidRPr="007B5CD9">
        <w:rPr>
          <w:rFonts w:asciiTheme="majorBidi" w:eastAsia="Times New Roman" w:hAnsiTheme="majorBidi" w:cstheme="majorBidi"/>
          <w:kern w:val="0"/>
          <w:szCs w:val="24"/>
          <w14:ligatures w14:val="none"/>
        </w:rPr>
        <w:t>atcelt lēmumu pilnībā un nosūtīt lietu jaunai izskatīšanai apelācijas instances tiesā.</w:t>
      </w:r>
    </w:p>
    <w:p w14:paraId="716C0228" w14:textId="77777777" w:rsidR="0077002E" w:rsidRPr="007B5CD9" w:rsidRDefault="0077002E" w:rsidP="0077002E">
      <w:pPr>
        <w:spacing w:line="259" w:lineRule="auto"/>
        <w:ind w:firstLine="709"/>
        <w:rPr>
          <w:rFonts w:asciiTheme="majorBidi" w:eastAsia="Times New Roman" w:hAnsiTheme="majorBidi" w:cstheme="majorBidi"/>
          <w:color w:val="000000"/>
          <w:kern w:val="0"/>
          <w:szCs w:val="24"/>
          <w:lang w:eastAsia="lv-LV"/>
          <w14:ligatures w14:val="none"/>
        </w:rPr>
      </w:pPr>
      <w:r w:rsidRPr="007B5CD9">
        <w:rPr>
          <w:rFonts w:asciiTheme="majorBidi" w:eastAsia="Times New Roman" w:hAnsiTheme="majorBidi" w:cstheme="majorBidi"/>
          <w:color w:val="000000"/>
          <w:kern w:val="0"/>
          <w:szCs w:val="24"/>
          <w:lang w:eastAsia="lv-LV"/>
          <w14:ligatures w14:val="none"/>
        </w:rPr>
        <w:t>Iesniedzēji kasācijas sūdzības pamatojuši ar turpmāk norādītajiem argumentiem.</w:t>
      </w:r>
    </w:p>
    <w:p w14:paraId="579BBC2E" w14:textId="3948786F" w:rsidR="0077002E" w:rsidRPr="007B5CD9" w:rsidRDefault="0077002E" w:rsidP="0077002E">
      <w:pPr>
        <w:spacing w:line="259" w:lineRule="auto"/>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[4.1] </w:t>
      </w:r>
      <w:r w:rsidRPr="007B5CD9">
        <w:rPr>
          <w:rFonts w:asciiTheme="majorBidi" w:eastAsia="Times New Roman" w:hAnsiTheme="majorBidi" w:cstheme="majorBidi"/>
          <w:color w:val="000000"/>
          <w:kern w:val="0"/>
          <w:szCs w:val="24"/>
          <w:lang w:eastAsia="lv-LV"/>
          <w14:ligatures w14:val="none"/>
        </w:rPr>
        <w:t xml:space="preserve">Apsūdzētais </w:t>
      </w:r>
      <w:r w:rsidR="009C3251">
        <w:rPr>
          <w:rFonts w:asciiTheme="majorBidi" w:eastAsia="Times New Roman" w:hAnsiTheme="majorBidi" w:cstheme="majorBidi"/>
          <w:color w:val="000000"/>
          <w:kern w:val="0"/>
          <w:szCs w:val="24"/>
          <w:lang w:eastAsia="lv-LV"/>
          <w14:ligatures w14:val="none"/>
        </w:rPr>
        <w:t>[pers. A]</w:t>
      </w:r>
      <w:r w:rsidRPr="007B5CD9">
        <w:rPr>
          <w:rFonts w:asciiTheme="majorBidi" w:eastAsia="Times New Roman" w:hAnsiTheme="majorBidi" w:cstheme="majorBidi"/>
          <w:color w:val="000000"/>
          <w:kern w:val="0"/>
          <w:szCs w:val="24"/>
          <w:lang w:eastAsia="lv-LV"/>
          <w14:ligatures w14:val="none"/>
        </w:rPr>
        <w:t xml:space="preserve"> kasācijas sūdzībā norādījis, ka atzinumu par viņa vainīgumu </w:t>
      </w:r>
      <w:r w:rsidRPr="007B5CD9">
        <w:rPr>
          <w:kern w:val="0"/>
          <w14:ligatures w14:val="none"/>
        </w:rPr>
        <w:t xml:space="preserve">Krimināllikuma 231. panta otrajā daļā paredzētajā noziedzīgajā nodarījumā </w:t>
      </w:r>
      <w:r w:rsidRPr="007B5CD9">
        <w:rPr>
          <w:rFonts w:asciiTheme="majorBidi" w:eastAsia="Times New Roman" w:hAnsiTheme="majorBidi" w:cstheme="majorBidi"/>
          <w:color w:val="000000"/>
          <w:kern w:val="0"/>
          <w:szCs w:val="24"/>
          <w:lang w:eastAsia="lv-LV"/>
          <w14:ligatures w14:val="none"/>
        </w:rPr>
        <w:t xml:space="preserve">tiesa nav pamatojusi ar lietā esošajiem pierādījumiem. Tiesa nav ņēmusi vērā </w:t>
      </w:r>
      <w:r w:rsidR="009C3251">
        <w:rPr>
          <w:rFonts w:asciiTheme="majorBidi" w:eastAsia="Times New Roman" w:hAnsiTheme="majorBidi" w:cstheme="majorBidi"/>
          <w:color w:val="000000"/>
          <w:kern w:val="0"/>
          <w:szCs w:val="24"/>
          <w:lang w:eastAsia="lv-LV"/>
          <w14:ligatures w14:val="none"/>
        </w:rPr>
        <w:t>[pers. A]</w:t>
      </w:r>
      <w:r w:rsidRPr="007B5CD9">
        <w:rPr>
          <w:rFonts w:asciiTheme="majorBidi" w:eastAsia="Times New Roman" w:hAnsiTheme="majorBidi" w:cstheme="majorBidi"/>
          <w:color w:val="000000"/>
          <w:kern w:val="0"/>
          <w:szCs w:val="24"/>
          <w:lang w:eastAsia="lv-LV"/>
          <w14:ligatures w14:val="none"/>
        </w:rPr>
        <w:t xml:space="preserve"> liecības par apstākļiem, kādos rakstījis īsziņas </w:t>
      </w:r>
      <w:r w:rsidR="009C3251">
        <w:rPr>
          <w:rFonts w:asciiTheme="majorBidi" w:eastAsia="Times New Roman" w:hAnsiTheme="majorBidi" w:cstheme="majorBidi"/>
          <w:color w:val="000000"/>
          <w:kern w:val="0"/>
          <w:szCs w:val="24"/>
          <w:lang w:eastAsia="lv-LV"/>
          <w14:ligatures w14:val="none"/>
        </w:rPr>
        <w:t>[pers. B]</w:t>
      </w:r>
      <w:r w:rsidRPr="007B5CD9">
        <w:rPr>
          <w:rFonts w:asciiTheme="majorBidi" w:eastAsia="Times New Roman" w:hAnsiTheme="majorBidi" w:cstheme="majorBidi"/>
          <w:color w:val="000000"/>
          <w:kern w:val="0"/>
          <w:szCs w:val="24"/>
          <w:lang w:eastAsia="lv-LV"/>
          <w14:ligatures w14:val="none"/>
        </w:rPr>
        <w:t xml:space="preserve">, tādēļ nepamatoti konstatējusi noziedzīgā nodarījuma sastāva subjektīvo pusi. Tiesa nav ņēmusi vērā arī to, ka </w:t>
      </w:r>
      <w:r w:rsidR="001B1C92">
        <w:rPr>
          <w:kern w:val="0"/>
          <w14:ligatures w14:val="none"/>
        </w:rPr>
        <w:t>[pers. A]</w:t>
      </w:r>
      <w:r w:rsidRPr="007B5CD9">
        <w:rPr>
          <w:kern w:val="0"/>
          <w14:ligatures w14:val="none"/>
        </w:rPr>
        <w:t xml:space="preserve"> un </w:t>
      </w:r>
      <w:r w:rsidR="001B1C92">
        <w:rPr>
          <w:kern w:val="0"/>
          <w14:ligatures w14:val="none"/>
        </w:rPr>
        <w:t>[pers. B]</w:t>
      </w:r>
      <w:r w:rsidRPr="007B5CD9">
        <w:rPr>
          <w:kern w:val="0"/>
          <w14:ligatures w14:val="none"/>
        </w:rPr>
        <w:t xml:space="preserve"> nebija vienojušies izdarīt huligāniskas darbības, tādēļ nepamatoti konstatējusi</w:t>
      </w:r>
      <w:r w:rsidRPr="007B5CD9">
        <w:rPr>
          <w:rFonts w:asciiTheme="majorBidi" w:eastAsia="Times New Roman" w:hAnsiTheme="majorBidi" w:cstheme="majorBidi"/>
          <w:color w:val="000000"/>
          <w:kern w:val="0"/>
          <w:szCs w:val="24"/>
          <w:lang w:eastAsia="lv-LV"/>
          <w14:ligatures w14:val="none"/>
        </w:rPr>
        <w:t xml:space="preserve"> inkriminētā noziedzīgā nodarījuma kvalificējošo pazīmi – personu grupa.</w:t>
      </w:r>
    </w:p>
    <w:p w14:paraId="0C8F1019" w14:textId="459C92C2" w:rsidR="0077002E" w:rsidRPr="007B5CD9" w:rsidRDefault="0077002E" w:rsidP="0077002E">
      <w:pPr>
        <w:ind w:firstLine="680"/>
        <w:rPr>
          <w:kern w:val="0"/>
          <w14:ligatures w14:val="none"/>
        </w:rPr>
      </w:pPr>
      <w:r w:rsidRPr="007B5CD9">
        <w:rPr>
          <w:kern w:val="0"/>
          <w14:ligatures w14:val="none"/>
        </w:rPr>
        <w:t xml:space="preserve">Tiesa no </w:t>
      </w:r>
      <w:r w:rsidR="001B1C92">
        <w:rPr>
          <w:kern w:val="0"/>
          <w14:ligatures w14:val="none"/>
        </w:rPr>
        <w:t>[pers. A]</w:t>
      </w:r>
      <w:r w:rsidRPr="007B5CD9">
        <w:rPr>
          <w:kern w:val="0"/>
          <w14:ligatures w14:val="none"/>
        </w:rPr>
        <w:t xml:space="preserve"> nepamatoti piedzinusi procesuālos izdevumus par valsts nodrošināto juridisko palīdzību tiesā, jo saskaņā ar Kriminālprocesa likuma 368.</w:t>
      </w:r>
      <w:r w:rsidRPr="007B5CD9">
        <w:rPr>
          <w:kern w:val="0"/>
          <w:vertAlign w:val="superscript"/>
          <w14:ligatures w14:val="none"/>
        </w:rPr>
        <w:t>1 </w:t>
      </w:r>
      <w:r w:rsidRPr="007B5CD9">
        <w:rPr>
          <w:kern w:val="0"/>
          <w14:ligatures w14:val="none"/>
        </w:rPr>
        <w:t xml:space="preserve">panta trešo daļu tiesa nav lēmusi par procesuālo izdevumu, kuri saistīti ar tiesas sēžu atlikšanu, piedziņu. Turklāt tiesa, lemjot par apsūdzētajam nosakāmo sodu, nav ņēmusi vērā ziņas par </w:t>
      </w:r>
      <w:r w:rsidR="001B1C92">
        <w:rPr>
          <w:kern w:val="0"/>
          <w14:ligatures w14:val="none"/>
        </w:rPr>
        <w:t>[pers. A]</w:t>
      </w:r>
      <w:r w:rsidRPr="007B5CD9">
        <w:rPr>
          <w:kern w:val="0"/>
          <w14:ligatures w14:val="none"/>
        </w:rPr>
        <w:t xml:space="preserve"> veselības stāvokli, kas izslēdz iespēju viņam atrasties apcietinājumā. </w:t>
      </w:r>
    </w:p>
    <w:p w14:paraId="67694B53" w14:textId="7931712A" w:rsidR="0077002E" w:rsidRPr="007B5CD9" w:rsidRDefault="0077002E" w:rsidP="0077002E">
      <w:pPr>
        <w:ind w:firstLine="680"/>
        <w:rPr>
          <w:kern w:val="0"/>
          <w14:ligatures w14:val="none"/>
        </w:rPr>
      </w:pPr>
      <w:r w:rsidRPr="007B5CD9">
        <w:rPr>
          <w:kern w:val="0"/>
          <w14:ligatures w14:val="none"/>
        </w:rPr>
        <w:t>[4.2] </w:t>
      </w:r>
      <w:r w:rsidR="001B1C92">
        <w:rPr>
          <w:kern w:val="0"/>
          <w14:ligatures w14:val="none"/>
        </w:rPr>
        <w:t>[Pers. B]</w:t>
      </w:r>
      <w:r w:rsidRPr="007B5CD9">
        <w:rPr>
          <w:kern w:val="0"/>
          <w14:ligatures w14:val="none"/>
        </w:rPr>
        <w:t xml:space="preserve"> kasācijas sūdzībā lūdzis </w:t>
      </w:r>
      <w:r w:rsidRPr="007B5CD9">
        <w:rPr>
          <w:rFonts w:asciiTheme="majorBidi" w:eastAsia="Times New Roman" w:hAnsiTheme="majorBidi" w:cstheme="majorBidi"/>
          <w:kern w:val="0"/>
          <w:szCs w:val="24"/>
          <w:lang w:eastAsia="lv-LV"/>
          <w14:ligatures w14:val="none"/>
        </w:rPr>
        <w:t>attaisnot viņu inkriminētajos noziedzīgajos nodarījumos un atbrīvot no apcietinājuma. Apsūdzētais lūgumu pamatojis ar to, ka</w:t>
      </w:r>
      <w:r w:rsidRPr="007B5CD9">
        <w:rPr>
          <w:kern w:val="0"/>
          <w14:ligatures w14:val="none"/>
        </w:rPr>
        <w:t xml:space="preserve"> viņa darbības abu instanču tiesas nepareizi kvalificējušas pēc Krimināllikuma 231. panta otrās daļas un Krimināllikuma 233. panta otrās daļas. Apelācijas instances tiesa nav ņēmusi vērā, ka apsūdzībā pēc Krimināllikuma 231. panta otrās daļas norādītās darbības veicis, lai novērstu cietušās </w:t>
      </w:r>
      <w:r w:rsidR="001B1C92">
        <w:rPr>
          <w:kern w:val="0"/>
          <w14:ligatures w14:val="none"/>
        </w:rPr>
        <w:t>[pers. C]</w:t>
      </w:r>
      <w:r w:rsidRPr="007B5CD9">
        <w:rPr>
          <w:kern w:val="0"/>
          <w14:ligatures w14:val="none"/>
        </w:rPr>
        <w:t xml:space="preserve"> (iepriekš – </w:t>
      </w:r>
      <w:r w:rsidR="001B1C92">
        <w:rPr>
          <w:kern w:val="0"/>
          <w14:ligatures w14:val="none"/>
        </w:rPr>
        <w:t>[Uzvārds]</w:t>
      </w:r>
      <w:r w:rsidRPr="007B5CD9">
        <w:rPr>
          <w:kern w:val="0"/>
          <w14:ligatures w14:val="none"/>
        </w:rPr>
        <w:t>) slepkavības mēģinājumu.</w:t>
      </w:r>
    </w:p>
    <w:p w14:paraId="4D7B8A7D" w14:textId="230ADD92" w:rsidR="0077002E" w:rsidRPr="007B5CD9" w:rsidRDefault="0077002E" w:rsidP="0077002E">
      <w:pPr>
        <w:ind w:firstLine="680"/>
        <w:rPr>
          <w:kern w:val="0"/>
          <w14:ligatures w14:val="none"/>
        </w:rPr>
      </w:pPr>
      <w:r w:rsidRPr="007B5CD9">
        <w:rPr>
          <w:kern w:val="0"/>
          <w14:ligatures w14:val="none"/>
        </w:rPr>
        <w:t xml:space="preserve">Tiesas atzinums par </w:t>
      </w:r>
      <w:r w:rsidR="00C630E8">
        <w:rPr>
          <w:kern w:val="0"/>
          <w14:ligatures w14:val="none"/>
        </w:rPr>
        <w:t>[pers. B]</w:t>
      </w:r>
      <w:r w:rsidRPr="007B5CD9">
        <w:rPr>
          <w:kern w:val="0"/>
          <w14:ligatures w14:val="none"/>
        </w:rPr>
        <w:t xml:space="preserve"> vainīgumu Krimināllikuma 233. panta otrajā daļā paredzētajā noziedzīgajā nodarījumā ir tiesas pieņēmums, jo nav pierādīts, ka viņa dzīvesvietā atrastais ierocis ir iegādāts nelikumīgi un elektrodetonatoram līdzīgais priekšmets un munīcija piederējusi apsūdzētajam, jo uz šiem priekšmetiem netika atrastas </w:t>
      </w:r>
      <w:r w:rsidR="00C630E8">
        <w:rPr>
          <w:kern w:val="0"/>
          <w14:ligatures w14:val="none"/>
        </w:rPr>
        <w:t>[pers. B]</w:t>
      </w:r>
      <w:r w:rsidRPr="007B5CD9">
        <w:rPr>
          <w:kern w:val="0"/>
          <w14:ligatures w14:val="none"/>
        </w:rPr>
        <w:t xml:space="preserve"> bioloģiskās pēdas.</w:t>
      </w:r>
    </w:p>
    <w:p w14:paraId="177CC75D" w14:textId="3DA2A1E5" w:rsidR="0077002E" w:rsidRPr="007B5CD9" w:rsidRDefault="0077002E" w:rsidP="0077002E">
      <w:pPr>
        <w:ind w:firstLine="680"/>
        <w:rPr>
          <w:kern w:val="0"/>
          <w14:ligatures w14:val="none"/>
        </w:rPr>
      </w:pPr>
      <w:r w:rsidRPr="007B5CD9">
        <w:rPr>
          <w:kern w:val="0"/>
          <w14:ligatures w14:val="none"/>
        </w:rPr>
        <w:t xml:space="preserve">Tiesa nav ņēmusi vērā, ka </w:t>
      </w:r>
      <w:r w:rsidR="00C630E8">
        <w:rPr>
          <w:kern w:val="0"/>
          <w14:ligatures w14:val="none"/>
        </w:rPr>
        <w:t>[pers. B]</w:t>
      </w:r>
      <w:r w:rsidRPr="007B5CD9">
        <w:rPr>
          <w:kern w:val="0"/>
          <w14:ligatures w14:val="none"/>
        </w:rPr>
        <w:t xml:space="preserve"> dzīvesvietā veiktās kratīšanas protokols sastādīts, pārkāpjot Kriminālprocesa likuma 139. pantu, proti, izmeklēšanas darbība – kratīšana dzīvesvietā – sākta plkst. 7.35, tas ir, pirms likumā atļautā procesuālās darbības veikšanas laika – plkst. 8.00 –, turklāt pirms dzīvesvietas kratīšanas pret </w:t>
      </w:r>
      <w:r w:rsidR="00C630E8">
        <w:rPr>
          <w:kern w:val="0"/>
          <w14:ligatures w14:val="none"/>
        </w:rPr>
        <w:t>[pers. B]</w:t>
      </w:r>
      <w:r w:rsidRPr="007B5CD9">
        <w:rPr>
          <w:kern w:val="0"/>
          <w14:ligatures w14:val="none"/>
        </w:rPr>
        <w:t xml:space="preserve"> pielietota fiziska vardarbība un nozagtas ģimenes vērtības, viņam neizskaidroja tiesības un pienākumus, nepieaicināja aizstāvi,</w:t>
      </w:r>
      <w:r w:rsidRPr="007B5CD9">
        <w:rPr>
          <w:rFonts w:cs="Times New Roman"/>
          <w:kern w:val="0"/>
          <w:szCs w:val="24"/>
          <w14:ligatures w14:val="none"/>
        </w:rPr>
        <w:t xml:space="preserve"> kā </w:t>
      </w:r>
      <w:r w:rsidRPr="007B5CD9">
        <w:rPr>
          <w:kern w:val="0"/>
          <w14:ligatures w14:val="none"/>
        </w:rPr>
        <w:t xml:space="preserve">arī kratīšanas protokolu </w:t>
      </w:r>
      <w:r w:rsidR="00C630E8">
        <w:rPr>
          <w:kern w:val="0"/>
          <w14:ligatures w14:val="none"/>
        </w:rPr>
        <w:t>[pers. B]</w:t>
      </w:r>
      <w:r w:rsidRPr="007B5CD9">
        <w:rPr>
          <w:kern w:val="0"/>
          <w14:ligatures w14:val="none"/>
        </w:rPr>
        <w:t xml:space="preserve"> nav parakstījis. Tādējādi tiesa ir pārkāpusi Eiropas Cilvēktiesību un pamatbrīvību aizsardzības konvencijas 3., 5. un 6. pantu, Kriminālprocesa likuma 8., 12., 13., 20., 21. un 182. pantu.</w:t>
      </w:r>
    </w:p>
    <w:p w14:paraId="28F8E81E" w14:textId="2A362FCE" w:rsidR="0077002E" w:rsidRPr="007B5CD9" w:rsidRDefault="0077002E" w:rsidP="0077002E">
      <w:pPr>
        <w:ind w:firstLine="680"/>
        <w:rPr>
          <w:kern w:val="0"/>
          <w14:ligatures w14:val="none"/>
        </w:rPr>
      </w:pPr>
      <w:r w:rsidRPr="007B5CD9">
        <w:rPr>
          <w:kern w:val="0"/>
          <w14:ligatures w14:val="none"/>
        </w:rPr>
        <w:t xml:space="preserve">Apelācijas instances tiesa nav ņēmusi vērā, ka apsūdzētā </w:t>
      </w:r>
      <w:r w:rsidR="00C630E8">
        <w:rPr>
          <w:kern w:val="0"/>
          <w14:ligatures w14:val="none"/>
        </w:rPr>
        <w:t>[pers. B]</w:t>
      </w:r>
      <w:r w:rsidRPr="007B5CD9">
        <w:rPr>
          <w:kern w:val="0"/>
          <w14:ligatures w14:val="none"/>
        </w:rPr>
        <w:t xml:space="preserve"> izdošana Latvijas Republikai no Spānijas notikusi, pārkāpjot starptautiskās tiesības, jo nebija stājies spēkā lēmums par viņa izdošanu tiesāšanai šajā kriminālprocesā. Šāds lēmums Spānijā pieņemts dienu pēc </w:t>
      </w:r>
      <w:r w:rsidR="00C630E8">
        <w:rPr>
          <w:kern w:val="0"/>
          <w14:ligatures w14:val="none"/>
        </w:rPr>
        <w:t>[pers. B]</w:t>
      </w:r>
      <w:r w:rsidRPr="007B5CD9">
        <w:rPr>
          <w:kern w:val="0"/>
          <w14:ligatures w14:val="none"/>
        </w:rPr>
        <w:t xml:space="preserve"> izdošanas Latvijas Republikai. Tādējādi tiesa ir </w:t>
      </w:r>
      <w:r w:rsidRPr="007B5CD9">
        <w:rPr>
          <w:kern w:val="0"/>
          <w14:ligatures w14:val="none"/>
        </w:rPr>
        <w:lastRenderedPageBreak/>
        <w:t>pārkāpusi Kriminālprocesa likuma 15. pantu un Latvijas Republikas Satversmes 92. pantu.</w:t>
      </w:r>
    </w:p>
    <w:p w14:paraId="6FED9C9D" w14:textId="27DB1F62" w:rsidR="0077002E" w:rsidRPr="007B5CD9" w:rsidRDefault="0077002E" w:rsidP="00C630E8">
      <w:pPr>
        <w:ind w:firstLine="680"/>
        <w:rPr>
          <w:kern w:val="0"/>
          <w14:ligatures w14:val="none"/>
        </w:rPr>
      </w:pPr>
      <w:r w:rsidRPr="007B5CD9">
        <w:rPr>
          <w:kern w:val="0"/>
          <w14:ligatures w14:val="none"/>
        </w:rPr>
        <w:t xml:space="preserve">[4.3] Apsūdzētā </w:t>
      </w:r>
      <w:r w:rsidR="00C630E8">
        <w:rPr>
          <w:kern w:val="0"/>
          <w14:ligatures w14:val="none"/>
        </w:rPr>
        <w:t>[pers. B]</w:t>
      </w:r>
      <w:r w:rsidRPr="007B5CD9">
        <w:rPr>
          <w:kern w:val="0"/>
          <w14:ligatures w14:val="none"/>
        </w:rPr>
        <w:t xml:space="preserve"> aizstāvis O. </w:t>
      </w:r>
      <w:proofErr w:type="spellStart"/>
      <w:r w:rsidRPr="007B5CD9">
        <w:rPr>
          <w:kern w:val="0"/>
          <w14:ligatures w14:val="none"/>
        </w:rPr>
        <w:t>Ondrups</w:t>
      </w:r>
      <w:proofErr w:type="spellEnd"/>
      <w:r w:rsidRPr="007B5CD9">
        <w:rPr>
          <w:kern w:val="0"/>
          <w14:ligatures w14:val="none"/>
        </w:rPr>
        <w:t xml:space="preserve"> kasācijas sūdzībā norādījis, ka abu instanču tiesas nepamatoti atzinušas, ka </w:t>
      </w:r>
      <w:r w:rsidR="00C630E8">
        <w:rPr>
          <w:kern w:val="0"/>
          <w14:ligatures w14:val="none"/>
        </w:rPr>
        <w:t>[pers. B]</w:t>
      </w:r>
      <w:r w:rsidRPr="007B5CD9">
        <w:rPr>
          <w:kern w:val="0"/>
          <w14:ligatures w14:val="none"/>
        </w:rPr>
        <w:t xml:space="preserve"> vaina viņam inkriminēto noziedzīgo nodarījumu izdarīšanā ir pierādīta ar liecinieku liecībām un pierādījumiem, kas izklāstīti pirmās instances tiesas spriedumā. Turklāt tiesa nav ņēmusi vērā, ka </w:t>
      </w:r>
      <w:r w:rsidR="00C630E8">
        <w:rPr>
          <w:kern w:val="0"/>
          <w14:ligatures w14:val="none"/>
        </w:rPr>
        <w:t>[pers. B]</w:t>
      </w:r>
      <w:r w:rsidRPr="007B5CD9">
        <w:rPr>
          <w:kern w:val="0"/>
          <w14:ligatures w14:val="none"/>
        </w:rPr>
        <w:t xml:space="preserve"> nevarēja tiesāt šajā kriminālprocesā, jo apsūdzētais nelikumīgi konvojēts no Spānijas, proti, nebija stājies spēkā lēmums par viņa izdošanu tiesāšanai šajā kriminālprocesā. Ar šo lēmumu pretēji pirmās instances tiesas spriedumam par </w:t>
      </w:r>
      <w:r w:rsidR="00C630E8">
        <w:rPr>
          <w:kern w:val="0"/>
          <w14:ligatures w14:val="none"/>
        </w:rPr>
        <w:t>[pers. B]</w:t>
      </w:r>
      <w:r w:rsidRPr="007B5CD9">
        <w:rPr>
          <w:kern w:val="0"/>
          <w14:ligatures w14:val="none"/>
        </w:rPr>
        <w:t xml:space="preserve"> apcietināšanu viņam bija atļauts tikai sniegt liecību tiesā.</w:t>
      </w:r>
    </w:p>
    <w:p w14:paraId="099E2B73" w14:textId="77777777" w:rsidR="0077002E" w:rsidRPr="007B5CD9" w:rsidRDefault="0077002E" w:rsidP="0077002E">
      <w:pPr>
        <w:ind w:firstLine="709"/>
        <w:rPr>
          <w:rFonts w:eastAsia="Times New Roman" w:cs="Times New Roman"/>
          <w:kern w:val="0"/>
          <w:szCs w:val="24"/>
          <w:lang w:eastAsia="ru-RU"/>
          <w14:ligatures w14:val="none"/>
        </w:rPr>
      </w:pPr>
    </w:p>
    <w:bookmarkEnd w:id="7"/>
    <w:p w14:paraId="13F58A5C" w14:textId="77777777" w:rsidR="0077002E" w:rsidRPr="007B5CD9" w:rsidRDefault="0077002E" w:rsidP="0077002E">
      <w:pPr>
        <w:ind w:firstLine="0"/>
        <w:jc w:val="center"/>
        <w:rPr>
          <w:rFonts w:eastAsia="Times New Roman" w:cs="Times New Roman"/>
          <w:b/>
          <w:bCs/>
          <w:kern w:val="0"/>
          <w:szCs w:val="24"/>
          <w:lang w:eastAsia="ru-RU"/>
          <w14:ligatures w14:val="none"/>
        </w:rPr>
      </w:pPr>
      <w:r w:rsidRPr="007B5CD9">
        <w:rPr>
          <w:rFonts w:eastAsia="Times New Roman" w:cs="Times New Roman"/>
          <w:b/>
          <w:bCs/>
          <w:kern w:val="0"/>
          <w:szCs w:val="24"/>
          <w:lang w:eastAsia="ru-RU"/>
          <w14:ligatures w14:val="none"/>
        </w:rPr>
        <w:t>Motīvu daļa</w:t>
      </w:r>
    </w:p>
    <w:p w14:paraId="4DC9AC02" w14:textId="77777777" w:rsidR="0077002E" w:rsidRPr="007B5CD9" w:rsidRDefault="0077002E" w:rsidP="0077002E">
      <w:pPr>
        <w:ind w:firstLine="0"/>
        <w:rPr>
          <w:rFonts w:eastAsia="Times New Roman" w:cs="Times New Roman"/>
          <w:b/>
          <w:bCs/>
          <w:kern w:val="0"/>
          <w:szCs w:val="24"/>
          <w:lang w:eastAsia="ru-RU"/>
          <w14:ligatures w14:val="none"/>
        </w:rPr>
      </w:pPr>
    </w:p>
    <w:p w14:paraId="4CD8B898" w14:textId="1C129CB2" w:rsidR="0077002E" w:rsidRPr="0077002E" w:rsidRDefault="0077002E" w:rsidP="0077002E">
      <w:pPr>
        <w:suppressAutoHyphens/>
        <w:autoSpaceDN w:val="0"/>
        <w:ind w:firstLine="709"/>
        <w:textAlignment w:val="baseline"/>
        <w:rPr>
          <w:bCs/>
          <w:kern w:val="0"/>
          <w14:ligatures w14:val="none"/>
        </w:rPr>
      </w:pPr>
      <w:r w:rsidRPr="007B5CD9">
        <w:rPr>
          <w:rFonts w:eastAsia="Times New Roman" w:cs="Times New Roman"/>
          <w:kern w:val="0"/>
          <w:szCs w:val="24"/>
          <w:lang w:eastAsia="ru-RU"/>
          <w14:ligatures w14:val="none"/>
        </w:rPr>
        <w:t>[5</w:t>
      </w:r>
      <w:r w:rsidRPr="007B5CD9">
        <w:rPr>
          <w:rFonts w:asciiTheme="majorBidi" w:eastAsia="Times New Roman" w:hAnsiTheme="majorBidi" w:cstheme="majorBidi"/>
          <w:kern w:val="0"/>
          <w:szCs w:val="24"/>
          <w:shd w:val="clear" w:color="auto" w:fill="FFFFFF"/>
          <w:lang w:eastAsia="lv-LV"/>
          <w14:ligatures w14:val="none"/>
        </w:rPr>
        <w:t>]</w:t>
      </w:r>
      <w:r w:rsidRPr="007B5CD9">
        <w:rPr>
          <w:rFonts w:asciiTheme="majorBidi" w:hAnsiTheme="majorBidi" w:cstheme="majorBidi"/>
          <w:kern w:val="0"/>
          <w14:ligatures w14:val="none"/>
        </w:rPr>
        <w:t> Senāta kompetencē vispirms ir sniegt atbildi, vai tiesa</w:t>
      </w:r>
      <w:r>
        <w:rPr>
          <w:rFonts w:asciiTheme="majorBidi" w:hAnsiTheme="majorBidi" w:cstheme="majorBidi"/>
          <w:kern w:val="0"/>
          <w14:ligatures w14:val="none"/>
        </w:rPr>
        <w:t xml:space="preserve"> ir pieļāvusi</w:t>
      </w:r>
      <w:r w:rsidRPr="007B5CD9">
        <w:rPr>
          <w:rFonts w:asciiTheme="majorBidi" w:hAnsiTheme="majorBidi" w:cstheme="majorBidi"/>
          <w:kern w:val="0"/>
          <w14:ligatures w14:val="none"/>
        </w:rPr>
        <w:t xml:space="preserve">: </w:t>
      </w:r>
      <w:r w:rsidRPr="0077002E">
        <w:rPr>
          <w:rFonts w:asciiTheme="majorBidi" w:hAnsiTheme="majorBidi" w:cstheme="majorBidi"/>
          <w:kern w:val="0"/>
          <w14:ligatures w14:val="none"/>
        </w:rPr>
        <w:t>1) </w:t>
      </w:r>
      <w:r w:rsidRPr="007B5CD9">
        <w:rPr>
          <w:rFonts w:asciiTheme="majorBidi" w:hAnsiTheme="majorBidi" w:cstheme="majorBidi"/>
          <w:kern w:val="0"/>
          <w14:ligatures w14:val="none"/>
        </w:rPr>
        <w:t>Kriminālprocesa likuma 15. panta pārkāpumu</w:t>
      </w:r>
      <w:r w:rsidRPr="0077002E">
        <w:rPr>
          <w:rFonts w:asciiTheme="majorBidi" w:hAnsiTheme="majorBidi" w:cstheme="majorBidi"/>
          <w:kern w:val="0"/>
          <w14:ligatures w14:val="none"/>
        </w:rPr>
        <w:t xml:space="preserve">, iztiesājot lietu pret </w:t>
      </w:r>
      <w:r w:rsidR="00E77BB3">
        <w:rPr>
          <w:rFonts w:asciiTheme="majorBidi" w:hAnsiTheme="majorBidi" w:cstheme="majorBidi"/>
          <w:kern w:val="0"/>
          <w14:ligatures w14:val="none"/>
        </w:rPr>
        <w:t>[pers. B]</w:t>
      </w:r>
      <w:r w:rsidRPr="0077002E">
        <w:rPr>
          <w:rFonts w:asciiTheme="majorBidi" w:hAnsiTheme="majorBidi" w:cstheme="majorBidi"/>
          <w:kern w:val="0"/>
          <w14:ligatures w14:val="none"/>
        </w:rPr>
        <w:t xml:space="preserve"> celtajās apsūdzībās</w:t>
      </w:r>
      <w:r w:rsidRPr="0077002E">
        <w:rPr>
          <w:bCs/>
          <w:kern w:val="0"/>
          <w14:ligatures w14:val="none"/>
        </w:rPr>
        <w:t xml:space="preserve"> un 2) </w:t>
      </w:r>
      <w:r w:rsidRPr="0077002E">
        <w:rPr>
          <w:kern w:val="0"/>
          <w14:ligatures w14:val="none"/>
        </w:rPr>
        <w:t>Kriminālprocesa likuma 368.</w:t>
      </w:r>
      <w:r w:rsidRPr="0077002E">
        <w:rPr>
          <w:kern w:val="0"/>
          <w:vertAlign w:val="superscript"/>
          <w14:ligatures w14:val="none"/>
        </w:rPr>
        <w:t>1 </w:t>
      </w:r>
      <w:r w:rsidRPr="0077002E">
        <w:rPr>
          <w:kern w:val="0"/>
          <w14:ligatures w14:val="none"/>
        </w:rPr>
        <w:t>panta trešās daļas pārkāpumu.</w:t>
      </w:r>
    </w:p>
    <w:p w14:paraId="312E8054" w14:textId="39D84877" w:rsidR="0077002E" w:rsidRPr="007B5CD9" w:rsidRDefault="0077002E" w:rsidP="0077002E">
      <w:pPr>
        <w:ind w:firstLine="709"/>
        <w:rPr>
          <w:rFonts w:eastAsia="Times New Roman" w:cs="Times New Roman"/>
          <w:kern w:val="0"/>
          <w:sz w:val="22"/>
          <w:lang w:eastAsia="lv-LV"/>
          <w14:ligatures w14:val="none"/>
        </w:rPr>
      </w:pPr>
      <w:r w:rsidRPr="007B5CD9">
        <w:rPr>
          <w:rFonts w:eastAsia="Times New Roman" w:cs="Times New Roman"/>
          <w:kern w:val="0"/>
          <w:szCs w:val="24"/>
          <w:lang w:eastAsia="lv-LV"/>
          <w14:ligatures w14:val="none"/>
        </w:rPr>
        <w:t>[5.1] Senāts konstatē, ka p</w:t>
      </w:r>
      <w:r w:rsidRPr="007B5CD9">
        <w:rPr>
          <w:kern w:val="0"/>
          <w14:ligatures w14:val="none"/>
        </w:rPr>
        <w:t xml:space="preserve">irmās instances tiesa, pamatojoties uz </w:t>
      </w:r>
      <w:r w:rsidRPr="007B5CD9">
        <w:rPr>
          <w:rFonts w:eastAsia="Times New Roman" w:cs="Times New Roman"/>
          <w:kern w:val="0"/>
          <w:szCs w:val="24"/>
          <w:lang w:eastAsia="lv-LV"/>
          <w14:ligatures w14:val="none"/>
        </w:rPr>
        <w:t xml:space="preserve">Kriminālprocesa likuma 689. panta pirmo daļu, secinājusi, ka apsūdzētais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no Spānijas izdots Latvijas Republikai saistībā ar Eiropas apcietinājuma lēmumā norādīto apsūdzību pēc Krimināllikuma 231. panta otrās daļas un 233. panta otrās daļas. Tiesa atzinusi, ka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ir tiesājams un sodāms šajā kriminālprocesā, taču viņam nav nosakāms galīgais sods pēc vairākiem spriedumiem, jo izdošanas laikā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neatteicās no tiesībām uz specialitātes principa piemērošanu </w:t>
      </w:r>
      <w:r w:rsidRPr="007B5CD9">
        <w:rPr>
          <w:kern w:val="0"/>
          <w14:ligatures w14:val="none"/>
        </w:rPr>
        <w:t>(</w:t>
      </w:r>
      <w:r w:rsidRPr="007B5CD9">
        <w:rPr>
          <w:i/>
          <w:iCs/>
          <w:kern w:val="0"/>
          <w14:ligatures w14:val="none"/>
        </w:rPr>
        <w:t>4. sējuma 35. lapa</w:t>
      </w:r>
      <w:r w:rsidRPr="007B5CD9">
        <w:rPr>
          <w:kern w:val="0"/>
          <w14:ligatures w14:val="none"/>
        </w:rPr>
        <w:t>).</w:t>
      </w:r>
    </w:p>
    <w:p w14:paraId="5FFDD993" w14:textId="1F653950" w:rsidR="0077002E" w:rsidRPr="007B5CD9" w:rsidRDefault="0077002E" w:rsidP="0077002E">
      <w:pPr>
        <w:jc w:val="lowKashida"/>
        <w:rPr>
          <w:kern w:val="0"/>
          <w14:ligatures w14:val="none"/>
        </w:rPr>
      </w:pPr>
      <w:r w:rsidRPr="007B5CD9">
        <w:rPr>
          <w:kern w:val="0"/>
          <w14:ligatures w14:val="none"/>
        </w:rPr>
        <w:t xml:space="preserve">Apelācijas instances tiesa motivēti noraidījusi </w:t>
      </w:r>
      <w:r w:rsidR="00E77BB3">
        <w:rPr>
          <w:kern w:val="0"/>
          <w14:ligatures w14:val="none"/>
        </w:rPr>
        <w:t>[pers. B]</w:t>
      </w:r>
      <w:r w:rsidRPr="007B5CD9">
        <w:rPr>
          <w:kern w:val="0"/>
          <w14:ligatures w14:val="none"/>
        </w:rPr>
        <w:t xml:space="preserve"> apelācijas sūdzības argumentu par viņa nelikumīgu izdošanu tiesāšanai šajā kriminālprocesā. </w:t>
      </w:r>
      <w:r w:rsidRPr="007B5CD9">
        <w:rPr>
          <w:rFonts w:eastAsia="Times New Roman" w:cs="Times New Roman"/>
          <w:kern w:val="0"/>
          <w:szCs w:val="24"/>
          <w:lang w:eastAsia="lv-LV"/>
          <w14:ligatures w14:val="none"/>
        </w:rPr>
        <w:t xml:space="preserve">Tiesa norādījusi, </w:t>
      </w:r>
      <w:r w:rsidRPr="007B5CD9">
        <w:rPr>
          <w:kern w:val="0"/>
          <w14:ligatures w14:val="none"/>
        </w:rPr>
        <w:t xml:space="preserve">ka </w:t>
      </w:r>
      <w:r w:rsidRPr="007B5CD9">
        <w:rPr>
          <w:rFonts w:eastAsia="Times New Roman" w:cs="Times New Roman"/>
          <w:kern w:val="0"/>
          <w:szCs w:val="24"/>
          <w:lang w:eastAsia="lv-LV"/>
          <w14:ligatures w14:val="none"/>
        </w:rPr>
        <w:t xml:space="preserve">ierosinājums par apsūdzētā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izdošanu Latvijas Republikai no Spānijas tiesāšanai un soda izpildīšanai apsūdzībā pēc Krimināllikuma 231. panta otrās daļas un 233. panta otrās daļas, Ģenerālprokuratūrā ir apmierināts, un </w:t>
      </w:r>
      <w:r w:rsidRPr="007B5CD9">
        <w:rPr>
          <w:rFonts w:eastAsia="Times New Roman" w:cs="Times New Roman"/>
          <w:color w:val="000000"/>
          <w:kern w:val="0"/>
          <w:szCs w:val="24"/>
          <w:lang w:eastAsia="lv-LV"/>
          <w14:ligatures w14:val="none"/>
        </w:rPr>
        <w:t xml:space="preserve">2022. gada 17. augustā ir pieņemts Eiropas apcietinājuma lēmums. Lietas materiālos atrodas ziņas par to, ka </w:t>
      </w:r>
      <w:r w:rsidRPr="007B5CD9">
        <w:rPr>
          <w:kern w:val="0"/>
          <w14:ligatures w14:val="none"/>
        </w:rPr>
        <w:t>2022. gada 21. septembrī Spānijā, pamatojoties uz Eiropas apcietinājuma lēmumu, apsūdzētais aizturēts un lemts jautājums par viņa izdošanu Latvijas Republikai (</w:t>
      </w:r>
      <w:r w:rsidRPr="007B5CD9">
        <w:rPr>
          <w:i/>
          <w:iCs/>
          <w:kern w:val="0"/>
          <w14:ligatures w14:val="none"/>
        </w:rPr>
        <w:t>3. sējuma 195. lapa</w:t>
      </w:r>
      <w:r w:rsidRPr="007B5CD9">
        <w:rPr>
          <w:kern w:val="0"/>
          <w14:ligatures w14:val="none"/>
        </w:rPr>
        <w:t xml:space="preserve">), savukārt 2022. gada 17. novembrī izdotais apsūdzētais </w:t>
      </w:r>
      <w:r w:rsidR="00E77BB3">
        <w:rPr>
          <w:kern w:val="0"/>
          <w14:ligatures w14:val="none"/>
        </w:rPr>
        <w:t>[pers. B]</w:t>
      </w:r>
      <w:r w:rsidRPr="007B5CD9">
        <w:rPr>
          <w:kern w:val="0"/>
          <w14:ligatures w14:val="none"/>
        </w:rPr>
        <w:t xml:space="preserve"> konvojēts no Spānijas uz Latvijas Republiku (</w:t>
      </w:r>
      <w:r w:rsidRPr="007B5CD9">
        <w:rPr>
          <w:i/>
          <w:iCs/>
          <w:kern w:val="0"/>
          <w14:ligatures w14:val="none"/>
        </w:rPr>
        <w:t>3. sējuma 224. lapa</w:t>
      </w:r>
      <w:r w:rsidRPr="007B5CD9">
        <w:rPr>
          <w:kern w:val="0"/>
          <w14:ligatures w14:val="none"/>
        </w:rPr>
        <w:t xml:space="preserve">). Tiesa atzinusi, ka apsūdzētais </w:t>
      </w:r>
      <w:r w:rsidRPr="007B5CD9">
        <w:rPr>
          <w:rFonts w:eastAsia="Times New Roman" w:cs="Times New Roman"/>
          <w:kern w:val="0"/>
          <w:szCs w:val="24"/>
          <w:lang w:eastAsia="lv-LV"/>
          <w14:ligatures w14:val="none"/>
        </w:rPr>
        <w:t>ir tiesājams un sodāms šajā kriminālprocesā.</w:t>
      </w:r>
    </w:p>
    <w:p w14:paraId="2890CC0C" w14:textId="78B59FA3"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 xml:space="preserve">Senātam nav pamata apšaubīt apelācijas instances tiesas atzinumu. Savukārt, no krimināllietas materiāliem konstatējams, ka krimināllietas iztiesāšanas laikā lēmums par </w:t>
      </w:r>
      <w:r w:rsidR="00E77BB3">
        <w:rPr>
          <w:kern w:val="0"/>
          <w14:ligatures w14:val="none"/>
        </w:rPr>
        <w:t>[pers. B]</w:t>
      </w:r>
      <w:r w:rsidRPr="007B5CD9">
        <w:rPr>
          <w:kern w:val="0"/>
          <w14:ligatures w14:val="none"/>
        </w:rPr>
        <w:t xml:space="preserve"> izdošanu Latvijai bija spēkā, tādējādi apsūdzētā </w:t>
      </w:r>
      <w:r w:rsidR="00E77BB3">
        <w:rPr>
          <w:kern w:val="0"/>
          <w14:ligatures w14:val="none"/>
        </w:rPr>
        <w:t>[pers. B]</w:t>
      </w:r>
      <w:r w:rsidRPr="007B5CD9">
        <w:rPr>
          <w:kern w:val="0"/>
          <w14:ligatures w14:val="none"/>
        </w:rPr>
        <w:t xml:space="preserve"> un viņa aizstāvja kasācijas sūdzību arguments par minētā lēmuma spēkā stāšanos vienu dienu pēc </w:t>
      </w:r>
      <w:r w:rsidR="00E77BB3">
        <w:rPr>
          <w:kern w:val="0"/>
          <w14:ligatures w14:val="none"/>
        </w:rPr>
        <w:t>[pers. B]</w:t>
      </w:r>
      <w:r w:rsidRPr="007B5CD9">
        <w:rPr>
          <w:kern w:val="0"/>
          <w14:ligatures w14:val="none"/>
        </w:rPr>
        <w:t xml:space="preserve"> izdošanas Latvijas Republikai neizraisa šaubas par apelācijas instances tiesas nolēmumu.</w:t>
      </w:r>
    </w:p>
    <w:p w14:paraId="55F0B48F" w14:textId="77777777"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Ievērojot minēto, Senāts atzīst, ka apelācijas instances tiesa nav pieļāvusi Kriminālprocesa likuma 15. panta pārkāpumu.</w:t>
      </w:r>
    </w:p>
    <w:p w14:paraId="0E4BC7BD" w14:textId="77777777" w:rsidR="0077002E" w:rsidRPr="007B5CD9" w:rsidRDefault="0077002E" w:rsidP="0077002E">
      <w:pPr>
        <w:suppressAutoHyphens/>
        <w:autoSpaceDN w:val="0"/>
        <w:ind w:firstLine="709"/>
        <w:textAlignment w:val="baseline"/>
        <w:rPr>
          <w:kern w:val="0"/>
          <w14:ligatures w14:val="none"/>
        </w:rPr>
      </w:pPr>
      <w:r w:rsidRPr="007B5CD9">
        <w:rPr>
          <w:rFonts w:eastAsia="Times New Roman" w:cs="Times New Roman"/>
          <w:kern w:val="0"/>
          <w:szCs w:val="24"/>
          <w:lang w:eastAsia="lv-LV"/>
          <w14:ligatures w14:val="none"/>
        </w:rPr>
        <w:t>[5.2] </w:t>
      </w:r>
      <w:r w:rsidRPr="007B5CD9">
        <w:rPr>
          <w:kern w:val="0"/>
          <w14:ligatures w14:val="none"/>
        </w:rPr>
        <w:t>Kriminālprocesa likuma 368.</w:t>
      </w:r>
      <w:r w:rsidRPr="007B5CD9">
        <w:rPr>
          <w:kern w:val="0"/>
          <w:vertAlign w:val="superscript"/>
          <w14:ligatures w14:val="none"/>
        </w:rPr>
        <w:t>1 </w:t>
      </w:r>
      <w:r w:rsidRPr="007B5CD9">
        <w:rPr>
          <w:kern w:val="0"/>
          <w14:ligatures w14:val="none"/>
        </w:rPr>
        <w:t>pants noteic kārtību, kādā procesa virzītājs atbilstoši kriminālprocesa stadijai lemj par Kriminālprocesa likuma 368. panta sestajā daļā minētajiem procesuālajiem izdevumiem.</w:t>
      </w:r>
    </w:p>
    <w:p w14:paraId="0C3A65D2"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 xml:space="preserve">Kriminālprocesa likuma 368. panta sestā daļa noteic, ka procesuālos izdevumus, kas saistīti ar izmeklēšanas darbību vai tiesas sēžu atlikšanu, ja tās atliktas sakarā ar </w:t>
      </w:r>
      <w:r w:rsidRPr="007B5CD9">
        <w:rPr>
          <w:kern w:val="0"/>
          <w14:ligatures w14:val="none"/>
        </w:rPr>
        <w:lastRenderedPageBreak/>
        <w:t>likumā noteiktajā kārtībā izsaukto personu neierašanos bez attaisnojoša iemesla, var piedzīt no šīm personām pirmstiesas procesa laikā, iztiesāšanas laikā un ar tiesas vai prokurora gala nolēmumu kriminālprocesā šajā likumā noteiktajā kārtībā.</w:t>
      </w:r>
    </w:p>
    <w:p w14:paraId="3760D9B2"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 xml:space="preserve">Tas nozīmē, ka minētā norma noteic tiesības piedzīt procesuālos izdevumus no personām, kuru dēļ atliktas izmeklēšanas darbības vai tiesas sēdes, ja likumā noteiktajā kārtībā izsauktās personas nav ieradušās bez attaisnojoša iemesla. </w:t>
      </w:r>
    </w:p>
    <w:p w14:paraId="198C422E"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Savukārt Kriminālprocesa likuma 368. panta pirmā daļa noteic tiesai vispārīgu pienākumu ar nolēmumu piedzīt procesuālos izdevumus no notiesātajiem, izņemot šā panta trešajā, ceturtajā un sestajā daļā minētos gadījumus. [..], tas ir, ja persona ir attaisnota, daļēji attaisnota, maznodrošināta vai trūcīga.</w:t>
      </w:r>
    </w:p>
    <w:p w14:paraId="34D3A140"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Kriminālprocesa likuma 368.</w:t>
      </w:r>
      <w:r w:rsidRPr="007B5CD9">
        <w:rPr>
          <w:kern w:val="0"/>
          <w:vertAlign w:val="superscript"/>
          <w14:ligatures w14:val="none"/>
        </w:rPr>
        <w:t>1 </w:t>
      </w:r>
      <w:r w:rsidRPr="007B5CD9">
        <w:rPr>
          <w:kern w:val="0"/>
          <w14:ligatures w14:val="none"/>
        </w:rPr>
        <w:t>panta trešā daļa noteic, ka iztiesāšanas laikā lēmumu par to procesuālo izdevumu piedziņu, kuri ir saistīti ar tiesas sēžu atlikšanu, pieņem tiesa.</w:t>
      </w:r>
    </w:p>
    <w:p w14:paraId="35DDD31E" w14:textId="383B33D3" w:rsidR="0077002E" w:rsidRPr="007B5CD9" w:rsidRDefault="00E77BB3" w:rsidP="0077002E">
      <w:pPr>
        <w:suppressAutoHyphens/>
        <w:autoSpaceDN w:val="0"/>
        <w:ind w:firstLine="709"/>
        <w:textAlignment w:val="baseline"/>
        <w:rPr>
          <w:kern w:val="0"/>
          <w14:ligatures w14:val="none"/>
        </w:rPr>
      </w:pPr>
      <w:r>
        <w:rPr>
          <w:rFonts w:eastAsia="Times New Roman" w:cs="Times New Roman"/>
          <w:kern w:val="0"/>
          <w:szCs w:val="24"/>
          <w:lang w:eastAsia="lv-LV"/>
          <w14:ligatures w14:val="none"/>
        </w:rPr>
        <w:t>[Pers. A]</w:t>
      </w:r>
      <w:r w:rsidR="0077002E" w:rsidRPr="007B5CD9">
        <w:rPr>
          <w:rFonts w:eastAsia="Times New Roman" w:cs="Times New Roman"/>
          <w:kern w:val="0"/>
          <w:szCs w:val="24"/>
          <w:lang w:eastAsia="lv-LV"/>
          <w14:ligatures w14:val="none"/>
        </w:rPr>
        <w:t xml:space="preserve"> argumentu, ka tiesa </w:t>
      </w:r>
      <w:r w:rsidR="0077002E" w:rsidRPr="007B5CD9">
        <w:rPr>
          <w:kern w:val="0"/>
          <w14:ligatures w14:val="none"/>
        </w:rPr>
        <w:t>saskaņā ar Kriminālprocesa likuma 368.</w:t>
      </w:r>
      <w:r w:rsidR="0077002E" w:rsidRPr="007B5CD9">
        <w:rPr>
          <w:kern w:val="0"/>
          <w:vertAlign w:val="superscript"/>
          <w14:ligatures w14:val="none"/>
        </w:rPr>
        <w:t>1 </w:t>
      </w:r>
      <w:r w:rsidR="0077002E" w:rsidRPr="007B5CD9">
        <w:rPr>
          <w:kern w:val="0"/>
          <w14:ligatures w14:val="none"/>
        </w:rPr>
        <w:t>panta trešo daļu nav lēmusi par procesuālo izdevumu, kuri saistīti ar tiesas sēžu atlikšanu, piedziņu</w:t>
      </w:r>
      <w:r w:rsidR="0077002E" w:rsidRPr="007B5CD9">
        <w:rPr>
          <w:rFonts w:eastAsia="Times New Roman" w:cs="Times New Roman"/>
          <w:kern w:val="0"/>
          <w:szCs w:val="24"/>
          <w:lang w:eastAsia="lv-LV"/>
          <w14:ligatures w14:val="none"/>
        </w:rPr>
        <w:t>, Senāts atzīst par neatbilstošu apelācijas instances tiesas nolēmumam, jo tiesa ir vērtējusi un lēmusi šo jautājumu</w:t>
      </w:r>
      <w:r w:rsidR="0077002E" w:rsidRPr="007B5CD9">
        <w:rPr>
          <w:kern w:val="0"/>
          <w14:ligatures w14:val="none"/>
        </w:rPr>
        <w:t>.</w:t>
      </w:r>
    </w:p>
    <w:p w14:paraId="19F8E896" w14:textId="71C38570"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No krimināllietas materiāliem konstatējams, ka tiesas sēdēs 2023. gada 14. martā, 6. aprīlī, 15. maijā un 14. jūnijā pirmās instances tiesā piedalījies apsūdzētais </w:t>
      </w:r>
      <w:r w:rsidR="00E77BB3">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un viņam juridisko palīdzību sniegusi aizstāve A. Ločmele. Šajās tiesas sēdēs iztiesāšana atlikta sakarā ar to, ka uz tiesas sēdi nebija ieradies vai nu apsūdzētais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vai viņa aizstāvis. </w:t>
      </w:r>
    </w:p>
    <w:p w14:paraId="7CFF8F4A" w14:textId="5C8B04FA"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Pirmās instances tiesa konstatējusi, ka kriminālprocesā ir procesuālie izdevumi, proti, samaksa advokātam, kura izdevumus – 1080 </w:t>
      </w:r>
      <w:r w:rsidRPr="007B5CD9">
        <w:rPr>
          <w:rFonts w:eastAsia="Times New Roman" w:cs="Times New Roman"/>
          <w:i/>
          <w:iCs/>
          <w:kern w:val="0"/>
          <w:szCs w:val="24"/>
          <w:lang w:eastAsia="lv-LV"/>
          <w14:ligatures w14:val="none"/>
        </w:rPr>
        <w:t>euro –</w:t>
      </w:r>
      <w:r w:rsidRPr="007B5CD9">
        <w:rPr>
          <w:rFonts w:eastAsia="Times New Roman" w:cs="Times New Roman"/>
          <w:kern w:val="0"/>
          <w:szCs w:val="24"/>
          <w:lang w:eastAsia="lv-LV"/>
          <w14:ligatures w14:val="none"/>
        </w:rPr>
        <w:t xml:space="preserve"> par juridisko palīdzību </w:t>
      </w:r>
      <w:r w:rsidR="00E77BB3">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sedz no valsts līdzekļiem. Tiesa ir izvērtējusi, vai apsūdzētais ir atbrīvojams no procesuālo izdevumu samaksas, un secinājusi, ka lietā nav konstatēti tādi apstākļi, kuri būtu par pamatu apsūdzētā atbrīvošanai no procesuālo izdevumu samaksas. Tiesa saskaņā ar Kriminālprocesa likuma 367. panta pirmās daļas 4. punktu un 368. panta pirmo daļu atzinusi, ka procesuālie izdevumi valsts labā piedzenami no apsūdzētā </w:t>
      </w:r>
      <w:r w:rsidR="00E77BB3">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w:t>
      </w:r>
    </w:p>
    <w:p w14:paraId="7329110D" w14:textId="77777777"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Apelācijas instances tiesa pirmās instances tiesas spriedumu arī šajā daļā atzinusi par pamatotu un atstājusi to negrozītu.</w:t>
      </w:r>
    </w:p>
    <w:p w14:paraId="098013A4"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Senātam nav pamata apšaubīt apelācijas instances tiesas atzinumu.</w:t>
      </w:r>
    </w:p>
    <w:p w14:paraId="117E2E0F"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Turklāt Senāts norāda, ka Kriminālprocesa likums nenoteic notiesātās personas atbrīvošanu no procesuālo izdevumu piedziņas, ja izmeklēšanas darbības vai tiesas sēdes atliktas citas personas neattaisnotas neierašanās dēļ, turpretī saskaņā ar Kriminālprocesa likuma 368. panta pirmo daļu tiesas pienākums ir izvērtēt un piedzīt no notiesātajiem valsts labā procesuālos izdevumus, ja tādi ir konstatēti, ievērojot minētajā tiesību normā noteiktos ierobežojumus šādai piedziņai.</w:t>
      </w:r>
    </w:p>
    <w:p w14:paraId="30B9A0C2" w14:textId="77777777" w:rsidR="0077002E" w:rsidRPr="007B5CD9" w:rsidRDefault="0077002E" w:rsidP="0077002E">
      <w:pPr>
        <w:suppressAutoHyphens/>
        <w:autoSpaceDN w:val="0"/>
        <w:ind w:firstLine="709"/>
        <w:textAlignment w:val="baseline"/>
        <w:rPr>
          <w:kern w:val="0"/>
          <w14:ligatures w14:val="none"/>
        </w:rPr>
      </w:pPr>
    </w:p>
    <w:p w14:paraId="5C590BDD" w14:textId="77777777" w:rsidR="0077002E" w:rsidRPr="0077002E" w:rsidRDefault="0077002E" w:rsidP="0077002E">
      <w:pPr>
        <w:suppressAutoHyphens/>
        <w:autoSpaceDN w:val="0"/>
        <w:ind w:firstLine="709"/>
        <w:textAlignment w:val="baseline"/>
        <w:rPr>
          <w:rFonts w:cs="Times New Roman"/>
          <w:kern w:val="0"/>
          <w:szCs w:val="24"/>
          <w14:ligatures w14:val="none"/>
        </w:rPr>
      </w:pPr>
      <w:r w:rsidRPr="0077002E">
        <w:rPr>
          <w:kern w:val="0"/>
          <w14:ligatures w14:val="none"/>
        </w:rPr>
        <w:t>[6]</w:t>
      </w:r>
      <w:r w:rsidRPr="0077002E">
        <w:rPr>
          <w:rFonts w:cs="Times New Roman"/>
          <w:kern w:val="0"/>
          <w:szCs w:val="24"/>
          <w14:ligatures w14:val="none"/>
        </w:rPr>
        <w:t> Senāts konstatē, ka sūdzību iesniedzēji kasācijas sūdzībās atkārtojuši apelācijas sūdzību argumentus par pārkāpumiem pierādījumu izvērtēšanā un apsūdzēto darbību kvalificēšanā, kurus apelācijas instances tiesa ir izvērtējusi un motivēti noraidījusi.</w:t>
      </w:r>
    </w:p>
    <w:p w14:paraId="459F8A21" w14:textId="54A36D4E" w:rsidR="0077002E" w:rsidRPr="007B5CD9" w:rsidRDefault="0077002E" w:rsidP="0077002E">
      <w:pPr>
        <w:suppressAutoHyphens/>
        <w:autoSpaceDN w:val="0"/>
        <w:ind w:firstLine="709"/>
        <w:textAlignment w:val="baseline"/>
        <w:rPr>
          <w:rFonts w:asciiTheme="majorBidi" w:hAnsiTheme="majorBidi" w:cstheme="majorBidi"/>
          <w:bCs/>
          <w:kern w:val="0"/>
          <w:szCs w:val="24"/>
          <w14:ligatures w14:val="none"/>
        </w:rPr>
      </w:pPr>
      <w:bookmarkStart w:id="8" w:name="_Hlk172190838"/>
      <w:r w:rsidRPr="007B5CD9">
        <w:rPr>
          <w:rFonts w:asciiTheme="majorBidi" w:hAnsiTheme="majorBidi" w:cstheme="majorBidi"/>
          <w:bCs/>
          <w:kern w:val="0"/>
          <w:szCs w:val="24"/>
          <w14:ligatures w14:val="none"/>
        </w:rPr>
        <w:t>[6.1] Apelācijas instances tiesa, atstājot negrozītu pirmās instances tiesas spriedumu, atzinusi, ka pirmās instances tiesa ir izvērtējusi lietā esošos pierādījumus un izdarījusi pamatotus secinājumus par apsūdzēto darbību juridisko kvalifikāciju, proti, par</w:t>
      </w:r>
      <w:r w:rsidRPr="007B5CD9">
        <w:rPr>
          <w:rFonts w:asciiTheme="majorBidi" w:eastAsia="Times New Roman" w:hAnsiTheme="majorBidi" w:cstheme="majorBidi"/>
          <w:kern w:val="0"/>
          <w:szCs w:val="24"/>
          <w:lang w:eastAsia="lv-LV"/>
          <w14:ligatures w14:val="none"/>
        </w:rPr>
        <w:t xml:space="preserve"> </w:t>
      </w:r>
      <w:bookmarkStart w:id="9" w:name="_Hlk197726608"/>
      <w:r w:rsidR="005F0DA7">
        <w:rPr>
          <w:rFonts w:asciiTheme="majorBidi" w:eastAsia="Times New Roman" w:hAnsiTheme="majorBidi" w:cstheme="majorBidi"/>
          <w:kern w:val="0"/>
          <w:szCs w:val="24"/>
          <w:lang w:eastAsia="lv-LV"/>
          <w14:ligatures w14:val="none"/>
        </w:rPr>
        <w:lastRenderedPageBreak/>
        <w:t>[pers. A]</w:t>
      </w:r>
      <w:r w:rsidRPr="007B5CD9">
        <w:rPr>
          <w:rFonts w:asciiTheme="majorBidi" w:eastAsia="Times New Roman" w:hAnsiTheme="majorBidi" w:cstheme="majorBidi"/>
          <w:kern w:val="0"/>
          <w:szCs w:val="24"/>
          <w:lang w:eastAsia="lv-LV"/>
          <w14:ligatures w14:val="none"/>
        </w:rPr>
        <w:t xml:space="preserve"> un </w:t>
      </w:r>
      <w:r w:rsidR="005F0DA7">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w:t>
      </w:r>
      <w:bookmarkEnd w:id="9"/>
      <w:r w:rsidRPr="007B5CD9">
        <w:rPr>
          <w:rFonts w:asciiTheme="majorBidi" w:hAnsiTheme="majorBidi" w:cstheme="majorBidi"/>
          <w:bCs/>
          <w:kern w:val="0"/>
          <w:szCs w:val="24"/>
          <w14:ligatures w14:val="none"/>
        </w:rPr>
        <w:t xml:space="preserve">vainīgumu </w:t>
      </w:r>
      <w:r w:rsidRPr="007B5CD9">
        <w:rPr>
          <w:rFonts w:asciiTheme="majorBidi" w:eastAsia="Times New Roman" w:hAnsiTheme="majorBidi" w:cstheme="majorBidi"/>
          <w:kern w:val="0"/>
          <w:szCs w:val="24"/>
          <w:lang w:eastAsia="lv-LV"/>
          <w14:ligatures w14:val="none"/>
        </w:rPr>
        <w:t xml:space="preserve">Krimināllikuma 231. panta otrajā daļā paredzētā noziedzīgā nodarījumā, kā arī par apsūdzētā </w:t>
      </w:r>
      <w:r w:rsidR="005F0DA7">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vainīgumu divos Krimināllikuma 233. panta otrajā daļā paredzētajos noziedzīgajos nodarījumos. Apelācijas instances tiesa norādījusi, ka pierādījumi lietā novērtēti</w:t>
      </w:r>
      <w:r w:rsidRPr="007B5CD9">
        <w:rPr>
          <w:kern w:val="0"/>
          <w14:ligatures w14:val="none"/>
        </w:rPr>
        <w:t xml:space="preserve"> atbilstoši Kriminālprocesa likuma 9. nodaļā izvirzītajām prasībām un pirmās instances tiesa pamatoti atzinusi tos par pieļaujamiem, attiecināmiem, ticamiem un pietiekamiem apsūdzēto vainīguma konstatēšanai.</w:t>
      </w:r>
      <w:r w:rsidRPr="007B5CD9">
        <w:rPr>
          <w:rFonts w:asciiTheme="majorBidi" w:hAnsiTheme="majorBidi" w:cstheme="majorBidi"/>
          <w:bCs/>
          <w:kern w:val="0"/>
          <w:szCs w:val="24"/>
          <w14:ligatures w14:val="none"/>
        </w:rPr>
        <w:t xml:space="preserve"> Ievērojot minēto, apelācijas instances tiesa, pamatojoties uz Kriminālprocesa likuma 564. panta sesto daļu, atzinusi par iespējamu neatkārtot pirmās instances tiesas spriedumā minētos pierādījumus un atzinumus, un saskaņā ar Kriminālprocesa likuma 562. panta pirmo daļu izvērtējusi apelācijas sūdzībās un tiesas sēdē paustos argumentus.</w:t>
      </w:r>
    </w:p>
    <w:p w14:paraId="1482DFF8" w14:textId="46A8BD6C" w:rsidR="0077002E" w:rsidRPr="007B5CD9" w:rsidRDefault="0077002E" w:rsidP="005F0DA7">
      <w:pPr>
        <w:suppressAutoHyphens/>
        <w:autoSpaceDN w:val="0"/>
        <w:ind w:firstLine="709"/>
        <w:textAlignment w:val="baseline"/>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 xml:space="preserve">Pirmās instances tiesa, pamatojoties uz lietā esošajiem pierādījumiem, tajā skaitā </w:t>
      </w:r>
      <w:r w:rsidRPr="007B5CD9">
        <w:rPr>
          <w:rFonts w:eastAsia="Times New Roman" w:cs="Times New Roman"/>
          <w:kern w:val="0"/>
          <w:szCs w:val="24"/>
          <w:lang w:eastAsia="lv-LV"/>
          <w14:ligatures w14:val="none"/>
        </w:rPr>
        <w:t xml:space="preserve">apsūdzēto </w:t>
      </w:r>
      <w:r w:rsidR="005F0DA7">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un </w:t>
      </w:r>
      <w:r w:rsidR="005F0DA7">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cietušās </w:t>
      </w:r>
      <w:r w:rsidR="005F0DA7">
        <w:rPr>
          <w:rFonts w:eastAsia="Times New Roman" w:cs="Times New Roman"/>
          <w:kern w:val="0"/>
          <w:szCs w:val="24"/>
          <w:lang w:eastAsia="lv-LV"/>
          <w14:ligatures w14:val="none"/>
        </w:rPr>
        <w:t>[pers. C]</w:t>
      </w:r>
      <w:r w:rsidRPr="007B5CD9">
        <w:rPr>
          <w:rFonts w:eastAsia="Times New Roman" w:cs="Times New Roman"/>
          <w:kern w:val="0"/>
          <w:szCs w:val="24"/>
          <w:lang w:eastAsia="lv-LV"/>
          <w14:ligatures w14:val="none"/>
        </w:rPr>
        <w:t xml:space="preserve">, liecinieka </w:t>
      </w:r>
      <w:r w:rsidR="005F0DA7">
        <w:rPr>
          <w:rFonts w:eastAsia="Times New Roman" w:cs="Times New Roman"/>
          <w:kern w:val="0"/>
          <w:szCs w:val="24"/>
          <w:lang w:eastAsia="lv-LV"/>
          <w14:ligatures w14:val="none"/>
        </w:rPr>
        <w:t>[pers. D]</w:t>
      </w:r>
      <w:r w:rsidRPr="007B5CD9">
        <w:rPr>
          <w:rFonts w:eastAsia="Times New Roman" w:cs="Times New Roman"/>
          <w:kern w:val="0"/>
          <w:szCs w:val="24"/>
          <w:lang w:eastAsia="lv-LV"/>
          <w14:ligatures w14:val="none"/>
        </w:rPr>
        <w:t xml:space="preserve"> liecībām, kā arī </w:t>
      </w:r>
      <w:r w:rsidR="005F0DA7">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mobilā telefona apskates protokolā fiksētajām ziņām par nosūtītajām īsziņām </w:t>
      </w:r>
      <w:r w:rsidR="005F0DA7">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un Valsts policijas sniegtajām ziņām par speciālās procesuālās aizsardzības nodrošināšanu </w:t>
      </w:r>
      <w:r w:rsidR="005F0DA7">
        <w:rPr>
          <w:rFonts w:eastAsia="Times New Roman" w:cs="Times New Roman"/>
          <w:kern w:val="0"/>
          <w:szCs w:val="24"/>
          <w:lang w:eastAsia="lv-LV"/>
          <w14:ligatures w14:val="none"/>
        </w:rPr>
        <w:t>[pers. C]</w:t>
      </w:r>
      <w:r w:rsidRPr="007B5CD9">
        <w:rPr>
          <w:rFonts w:eastAsia="Times New Roman" w:cs="Times New Roman"/>
          <w:kern w:val="0"/>
          <w:szCs w:val="24"/>
          <w:lang w:eastAsia="lv-LV"/>
          <w14:ligatures w14:val="none"/>
        </w:rPr>
        <w:t xml:space="preserve"> laikā no 2020. gada 12. līdz 18. maijam, </w:t>
      </w:r>
      <w:r w:rsidRPr="007B5CD9">
        <w:rPr>
          <w:rFonts w:asciiTheme="majorBidi" w:hAnsiTheme="majorBidi" w:cstheme="majorBidi"/>
          <w:bCs/>
          <w:kern w:val="0"/>
          <w:szCs w:val="24"/>
          <w14:ligatures w14:val="none"/>
        </w:rPr>
        <w:t xml:space="preserve">atzinusi, ka apsūdzēto </w:t>
      </w:r>
      <w:r w:rsidR="005F0DA7">
        <w:rPr>
          <w:rFonts w:asciiTheme="majorBidi" w:eastAsia="Times New Roman" w:hAnsiTheme="majorBidi" w:cstheme="majorBidi"/>
          <w:kern w:val="0"/>
          <w:szCs w:val="24"/>
          <w:lang w:eastAsia="lv-LV"/>
          <w14:ligatures w14:val="none"/>
        </w:rPr>
        <w:t>[pers. A]</w:t>
      </w:r>
      <w:r w:rsidRPr="007B5CD9">
        <w:rPr>
          <w:rFonts w:asciiTheme="majorBidi" w:eastAsia="Times New Roman" w:hAnsiTheme="majorBidi" w:cstheme="majorBidi"/>
          <w:kern w:val="0"/>
          <w:szCs w:val="24"/>
          <w:lang w:eastAsia="lv-LV"/>
          <w14:ligatures w14:val="none"/>
        </w:rPr>
        <w:t xml:space="preserve"> un </w:t>
      </w:r>
      <w:r w:rsidR="005F0DA7">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w:t>
      </w:r>
      <w:r w:rsidRPr="007B5CD9">
        <w:rPr>
          <w:rFonts w:asciiTheme="majorBidi" w:hAnsiTheme="majorBidi" w:cstheme="majorBidi"/>
          <w:bCs/>
          <w:kern w:val="0"/>
          <w:szCs w:val="24"/>
          <w14:ligatures w14:val="none"/>
        </w:rPr>
        <w:t xml:space="preserve">darbībās ir visas nepieciešamās un obligātās Krimināllikuma </w:t>
      </w:r>
      <w:r w:rsidRPr="007B5CD9">
        <w:rPr>
          <w:rFonts w:asciiTheme="majorBidi" w:eastAsia="Times New Roman" w:hAnsiTheme="majorBidi" w:cstheme="majorBidi"/>
          <w:kern w:val="0"/>
          <w:szCs w:val="24"/>
          <w:lang w:eastAsia="lv-LV"/>
          <w14:ligatures w14:val="none"/>
        </w:rPr>
        <w:t xml:space="preserve">231. panta otrajā daļā paredzētā </w:t>
      </w:r>
      <w:r w:rsidRPr="007B5CD9">
        <w:rPr>
          <w:rFonts w:asciiTheme="majorBidi" w:hAnsiTheme="majorBidi" w:cstheme="majorBidi"/>
          <w:bCs/>
          <w:kern w:val="0"/>
          <w:szCs w:val="24"/>
          <w14:ligatures w14:val="none"/>
        </w:rPr>
        <w:t xml:space="preserve">noziedzīgā nodarījuma sastāva pazīmes, tajā skaitā subjektīvā puse un kvalificējošā pazīme – personu grupa. </w:t>
      </w:r>
    </w:p>
    <w:p w14:paraId="7BD6E79C" w14:textId="77777777" w:rsidR="0077002E" w:rsidRPr="007B5CD9" w:rsidRDefault="0077002E" w:rsidP="0077002E">
      <w:pPr>
        <w:suppressAutoHyphens/>
        <w:autoSpaceDN w:val="0"/>
        <w:ind w:firstLine="709"/>
        <w:textAlignment w:val="baseline"/>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Apelācijas instances tiesai arī nav radušās saprātīgas šaubas par apsūdzēto vainīgumu inkriminētajos noziedzīgajos nodarījumos un noziedzīgo darbību kvalifikāciju</w:t>
      </w:r>
      <w:r w:rsidRPr="007B5CD9">
        <w:rPr>
          <w:kern w:val="0"/>
          <w14:ligatures w14:val="none"/>
        </w:rPr>
        <w:t xml:space="preserve"> pēc Krimināllikuma 231. panta otrās daļas</w:t>
      </w:r>
      <w:r w:rsidRPr="007B5CD9">
        <w:rPr>
          <w:rFonts w:asciiTheme="majorBidi" w:hAnsiTheme="majorBidi" w:cstheme="majorBidi"/>
          <w:bCs/>
          <w:kern w:val="0"/>
          <w:szCs w:val="24"/>
          <w14:ligatures w14:val="none"/>
        </w:rPr>
        <w:t xml:space="preserve">. </w:t>
      </w:r>
    </w:p>
    <w:p w14:paraId="7E80468D" w14:textId="6CDE717D" w:rsidR="0077002E" w:rsidRPr="007B5CD9" w:rsidRDefault="0077002E" w:rsidP="005F0DA7">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Tiesa, atsaucoties uz Senāta judikatūru par subjektīvās puses izpausmi huligānismā, atzinusi, ka apsūdzētie </w:t>
      </w:r>
      <w:r w:rsidR="005F0DA7">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un </w:t>
      </w:r>
      <w:r w:rsidR="005F0DA7">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šo noziedzīgo nodarījumu izdarījuši ar tiešu nodomu, personu grupā bez iepriekšējas vienošanās, un norādījusi, ka abu apsūdzēto tīšās darbības bija vienotas un vērstas pret konkrētu personu – zvērinātu advokāti </w:t>
      </w:r>
      <w:r w:rsidR="005F0DA7">
        <w:rPr>
          <w:rFonts w:eastAsia="Times New Roman" w:cs="Times New Roman"/>
          <w:kern w:val="0"/>
          <w:szCs w:val="24"/>
          <w:lang w:eastAsia="lv-LV"/>
          <w14:ligatures w14:val="none"/>
        </w:rPr>
        <w:t>[pers. C]</w:t>
      </w:r>
      <w:r w:rsidRPr="007B5CD9">
        <w:rPr>
          <w:rFonts w:eastAsia="Times New Roman" w:cs="Times New Roman"/>
          <w:kern w:val="0"/>
          <w:szCs w:val="24"/>
          <w:lang w:eastAsia="lv-LV"/>
          <w14:ligatures w14:val="none"/>
        </w:rPr>
        <w:t xml:space="preserve"> –, ignorējot morāles normas un nonievājot sabiedrības intereses un būtiski traucējot </w:t>
      </w:r>
      <w:r w:rsidRPr="007B5CD9">
        <w:rPr>
          <w:rFonts w:eastAsia="Times New Roman" w:cs="Times New Roman"/>
          <w:color w:val="000000"/>
          <w:kern w:val="0"/>
          <w:szCs w:val="24"/>
          <w:lang w:eastAsia="lv-LV"/>
          <w14:ligatures w14:val="none"/>
        </w:rPr>
        <w:t>cietušās mieru un darbu, kā</w:t>
      </w:r>
      <w:r w:rsidRPr="007B5CD9">
        <w:rPr>
          <w:rFonts w:eastAsia="Times New Roman" w:cs="Times New Roman"/>
          <w:kern w:val="0"/>
          <w:szCs w:val="24"/>
          <w:lang w:eastAsia="lv-LV"/>
          <w14:ligatures w14:val="none"/>
        </w:rPr>
        <w:t xml:space="preserve"> arī zvērinātu advokātu biroja darbu.</w:t>
      </w:r>
    </w:p>
    <w:p w14:paraId="1A1F8B3B" w14:textId="076DDDD8" w:rsidR="0077002E" w:rsidRPr="007B5CD9" w:rsidRDefault="0077002E" w:rsidP="0077002E">
      <w:pPr>
        <w:suppressAutoHyphens/>
        <w:autoSpaceDN w:val="0"/>
        <w:ind w:firstLine="709"/>
        <w:textAlignment w:val="baseline"/>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 xml:space="preserve">Apelācijas instances tiesa motivēti noraidījusi apsūdzētā </w:t>
      </w:r>
      <w:r w:rsidR="005F0DA7">
        <w:rPr>
          <w:rFonts w:asciiTheme="majorBidi" w:hAnsiTheme="majorBidi" w:cstheme="majorBidi"/>
          <w:bCs/>
          <w:kern w:val="0"/>
          <w:szCs w:val="24"/>
          <w14:ligatures w14:val="none"/>
        </w:rPr>
        <w:t>[pers. B]</w:t>
      </w:r>
      <w:r w:rsidRPr="007B5CD9">
        <w:rPr>
          <w:rFonts w:asciiTheme="majorBidi" w:hAnsiTheme="majorBidi" w:cstheme="majorBidi"/>
          <w:bCs/>
          <w:kern w:val="0"/>
          <w:szCs w:val="24"/>
          <w14:ligatures w14:val="none"/>
        </w:rPr>
        <w:t xml:space="preserve"> argumentu par sazināšanos ar </w:t>
      </w:r>
      <w:r w:rsidR="005F0DA7">
        <w:rPr>
          <w:rFonts w:asciiTheme="majorBidi" w:hAnsiTheme="majorBidi" w:cstheme="majorBidi"/>
          <w:bCs/>
          <w:kern w:val="0"/>
          <w:szCs w:val="24"/>
          <w14:ligatures w14:val="none"/>
        </w:rPr>
        <w:t>[pers. C]</w:t>
      </w:r>
      <w:r w:rsidRPr="007B5CD9">
        <w:rPr>
          <w:rFonts w:asciiTheme="majorBidi" w:hAnsiTheme="majorBidi" w:cstheme="majorBidi"/>
          <w:bCs/>
          <w:kern w:val="0"/>
          <w:szCs w:val="24"/>
          <w14:ligatures w14:val="none"/>
        </w:rPr>
        <w:t xml:space="preserve"> nolūkā palīdzēt novērst viņas slepkavību un norādījusi, ka </w:t>
      </w:r>
      <w:r w:rsidR="005F0DA7">
        <w:rPr>
          <w:rFonts w:asciiTheme="majorBidi" w:hAnsiTheme="majorBidi" w:cstheme="majorBidi"/>
          <w:bCs/>
          <w:kern w:val="0"/>
          <w:szCs w:val="24"/>
          <w14:ligatures w14:val="none"/>
        </w:rPr>
        <w:t>[pers. B]</w:t>
      </w:r>
      <w:r w:rsidRPr="007B5CD9">
        <w:rPr>
          <w:rFonts w:asciiTheme="majorBidi" w:hAnsiTheme="majorBidi" w:cstheme="majorBidi"/>
          <w:bCs/>
          <w:kern w:val="0"/>
          <w:szCs w:val="24"/>
          <w14:ligatures w14:val="none"/>
        </w:rPr>
        <w:t xml:space="preserve"> ar cietušo sazinājies pēc tam, kad uzzinājis, ka </w:t>
      </w:r>
      <w:r w:rsidR="005F0DA7">
        <w:rPr>
          <w:rFonts w:asciiTheme="majorBidi" w:hAnsiTheme="majorBidi" w:cstheme="majorBidi"/>
          <w:bCs/>
          <w:kern w:val="0"/>
          <w:szCs w:val="24"/>
          <w14:ligatures w14:val="none"/>
        </w:rPr>
        <w:t>[pers. C]</w:t>
      </w:r>
      <w:r w:rsidRPr="007B5CD9">
        <w:rPr>
          <w:rFonts w:asciiTheme="majorBidi" w:hAnsiTheme="majorBidi" w:cstheme="majorBidi"/>
          <w:bCs/>
          <w:kern w:val="0"/>
          <w:szCs w:val="24"/>
          <w14:ligatures w14:val="none"/>
        </w:rPr>
        <w:t xml:space="preserve"> pasūtījuma slepkavība ir izdomājums un turpinājis cietušo informēt par pastāvošo dzīvības apdraudējumu. Tiesa secinājusi, ka apsūdzētais </w:t>
      </w:r>
      <w:r w:rsidR="005F0DA7">
        <w:rPr>
          <w:rFonts w:asciiTheme="majorBidi" w:hAnsiTheme="majorBidi" w:cstheme="majorBidi"/>
          <w:bCs/>
          <w:kern w:val="0"/>
          <w:szCs w:val="24"/>
          <w14:ligatures w14:val="none"/>
        </w:rPr>
        <w:t>[pers. B]</w:t>
      </w:r>
      <w:r w:rsidRPr="007B5CD9">
        <w:rPr>
          <w:rFonts w:asciiTheme="majorBidi" w:hAnsiTheme="majorBidi" w:cstheme="majorBidi"/>
          <w:bCs/>
          <w:kern w:val="0"/>
          <w:szCs w:val="24"/>
          <w14:ligatures w14:val="none"/>
        </w:rPr>
        <w:t xml:space="preserve"> ir sapratis savas darbības un vēlējies tas izdarīt huligānisku motīvu dēļ.</w:t>
      </w:r>
    </w:p>
    <w:p w14:paraId="472D2196" w14:textId="2D37F6F4" w:rsidR="0077002E" w:rsidRPr="007B5CD9" w:rsidRDefault="0077002E" w:rsidP="0077002E">
      <w:pPr>
        <w:suppressAutoHyphens/>
        <w:autoSpaceDN w:val="0"/>
        <w:ind w:firstLine="709"/>
        <w:textAlignment w:val="baseline"/>
        <w:rPr>
          <w:rFonts w:asciiTheme="majorBidi" w:hAnsiTheme="majorBidi" w:cstheme="majorBidi"/>
          <w:kern w:val="0"/>
          <w:szCs w:val="24"/>
          <w14:ligatures w14:val="none"/>
        </w:rPr>
      </w:pPr>
      <w:r w:rsidRPr="007B5CD9">
        <w:rPr>
          <w:rFonts w:eastAsia="Times New Roman" w:cs="Times New Roman"/>
          <w:kern w:val="0"/>
          <w:szCs w:val="24"/>
          <w:lang w:eastAsia="lv-LV"/>
          <w14:ligatures w14:val="none"/>
        </w:rPr>
        <w:t xml:space="preserve">[6.2] Apelācijas instances tiesa pretēji </w:t>
      </w:r>
      <w:r w:rsidR="006165E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kasācijas sūdzībā norādītajam ir atzinusi, ka apsūdzētā </w:t>
      </w:r>
      <w:r w:rsidR="006165E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vainīgums divu Krimināllikuma 233. panta otrajā daļā paredzēto noziedzīgo nodarījumu izdarīšanā ārpus saprātīgām šaubām ir pierādīts ar lietā esošajiem pierādījumiem, tajā skaitā ar</w:t>
      </w:r>
      <w:r w:rsidRPr="007B5CD9">
        <w:rPr>
          <w:rFonts w:asciiTheme="majorBidi" w:hAnsiTheme="majorBidi" w:cstheme="majorBidi"/>
          <w:kern w:val="0"/>
          <w:szCs w:val="24"/>
          <w14:ligatures w14:val="none"/>
        </w:rPr>
        <w:t xml:space="preserve"> </w:t>
      </w:r>
      <w:r w:rsidRPr="007B5CD9">
        <w:rPr>
          <w:rFonts w:eastAsia="Times New Roman" w:cs="Times New Roman"/>
          <w:kern w:val="0"/>
          <w:szCs w:val="24"/>
          <w:lang w:eastAsia="lv-LV"/>
          <w14:ligatures w14:val="none"/>
        </w:rPr>
        <w:t xml:space="preserve">liecinieku </w:t>
      </w:r>
      <w:r w:rsidR="006165E3">
        <w:rPr>
          <w:rFonts w:eastAsia="Times New Roman" w:cs="Times New Roman"/>
          <w:kern w:val="0"/>
          <w:szCs w:val="24"/>
          <w:lang w:eastAsia="lv-LV"/>
          <w14:ligatures w14:val="none"/>
        </w:rPr>
        <w:t>[pers. E]</w:t>
      </w:r>
      <w:r w:rsidRPr="007B5CD9">
        <w:rPr>
          <w:rFonts w:eastAsia="Times New Roman" w:cs="Times New Roman"/>
          <w:kern w:val="0"/>
          <w:szCs w:val="24"/>
          <w:lang w:eastAsia="lv-LV"/>
          <w14:ligatures w14:val="none"/>
        </w:rPr>
        <w:t xml:space="preserve"> un </w:t>
      </w:r>
      <w:bookmarkStart w:id="10" w:name="_Hlk198116890"/>
      <w:r w:rsidR="006165E3">
        <w:rPr>
          <w:rFonts w:eastAsia="Times New Roman" w:cs="Times New Roman"/>
          <w:kern w:val="0"/>
          <w:szCs w:val="24"/>
          <w:lang w:eastAsia="lv-LV"/>
          <w14:ligatures w14:val="none"/>
        </w:rPr>
        <w:t>[pers. F]</w:t>
      </w:r>
      <w:r w:rsidRPr="007B5CD9">
        <w:rPr>
          <w:rFonts w:eastAsia="Times New Roman" w:cs="Times New Roman"/>
          <w:kern w:val="0"/>
          <w:szCs w:val="24"/>
          <w:lang w:eastAsia="lv-LV"/>
          <w14:ligatures w14:val="none"/>
        </w:rPr>
        <w:t xml:space="preserve"> (</w:t>
      </w:r>
      <w:r w:rsidR="006165E3">
        <w:rPr>
          <w:rFonts w:eastAsia="Times New Roman" w:cs="Times New Roman"/>
          <w:kern w:val="0"/>
          <w:szCs w:val="24"/>
          <w:lang w:eastAsia="lv-LV"/>
          <w14:ligatures w14:val="none"/>
        </w:rPr>
        <w:t>[pers. F]</w:t>
      </w:r>
      <w:r w:rsidRPr="007B5CD9">
        <w:rPr>
          <w:rFonts w:eastAsia="Times New Roman" w:cs="Times New Roman"/>
          <w:kern w:val="0"/>
          <w:szCs w:val="24"/>
          <w:lang w:eastAsia="lv-LV"/>
          <w14:ligatures w14:val="none"/>
        </w:rPr>
        <w:t xml:space="preserve">) </w:t>
      </w:r>
      <w:bookmarkEnd w:id="10"/>
      <w:r w:rsidRPr="007B5CD9">
        <w:rPr>
          <w:rFonts w:eastAsia="Times New Roman" w:cs="Times New Roman"/>
          <w:kern w:val="0"/>
          <w:szCs w:val="24"/>
          <w:lang w:eastAsia="lv-LV"/>
          <w14:ligatures w14:val="none"/>
        </w:rPr>
        <w:t xml:space="preserve">liecībām par kratīšanas norisi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dzīvesvietā un kratīšanas protokolā fiksētajām ziņām par izņemtajiem </w:t>
      </w:r>
      <w:r w:rsidRPr="007B5CD9">
        <w:rPr>
          <w:rFonts w:asciiTheme="majorBidi" w:hAnsiTheme="majorBidi" w:cstheme="majorBidi"/>
          <w:kern w:val="0"/>
          <w:szCs w:val="24"/>
          <w14:ligatures w14:val="none"/>
        </w:rPr>
        <w:t xml:space="preserve">priekšmetiem – </w:t>
      </w:r>
      <w:r w:rsidRPr="007B5CD9">
        <w:rPr>
          <w:rFonts w:eastAsia="Times New Roman" w:cs="Times New Roman"/>
          <w:kern w:val="0"/>
          <w:szCs w:val="24"/>
          <w:lang w:eastAsia="lv-LV"/>
          <w14:ligatures w14:val="none"/>
        </w:rPr>
        <w:t xml:space="preserve">elektrodetonatoru, šaujamieroci un šaujamieroča munīciju –, kā arī Valsts policijas Atļauju sistēmas nodaļas lēmumā fiksētajām ziņām par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šaujamieroča nēsāšanas atļaujas Nr. </w:t>
      </w:r>
      <w:r w:rsidR="00963DDD">
        <w:rPr>
          <w:rFonts w:eastAsia="Times New Roman" w:cs="Times New Roman"/>
          <w:kern w:val="0"/>
          <w:szCs w:val="24"/>
          <w:lang w:eastAsia="lv-LV"/>
          <w14:ligatures w14:val="none"/>
        </w:rPr>
        <w:t>[..]</w:t>
      </w:r>
      <w:r w:rsidRPr="007B5CD9">
        <w:rPr>
          <w:rFonts w:eastAsia="Times New Roman" w:cs="Times New Roman"/>
          <w:kern w:val="0"/>
          <w:szCs w:val="24"/>
          <w:lang w:eastAsia="lv-LV"/>
          <w14:ligatures w14:val="none"/>
        </w:rPr>
        <w:t xml:space="preserve"> anulēšanu pirms termiņa un ieroča izsludināšanu meklēšanā.</w:t>
      </w:r>
      <w:r w:rsidRPr="007B5CD9">
        <w:rPr>
          <w:rFonts w:asciiTheme="majorBidi" w:hAnsiTheme="majorBidi" w:cstheme="majorBidi"/>
          <w:kern w:val="0"/>
          <w:szCs w:val="24"/>
          <w14:ligatures w14:val="none"/>
        </w:rPr>
        <w:t xml:space="preserve"> </w:t>
      </w:r>
      <w:r w:rsidRPr="007B5CD9">
        <w:rPr>
          <w:rFonts w:eastAsia="Times New Roman" w:cs="Times New Roman"/>
          <w:kern w:val="0"/>
          <w:szCs w:val="24"/>
          <w:lang w:eastAsia="lv-LV"/>
          <w14:ligatures w14:val="none"/>
        </w:rPr>
        <w:t xml:space="preserve">Tiesa atzinusi, ka apsūdzībā minēto spridzināšanas ietaisi, šaujamieroci un šaujamieroča munīciju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iegādājies un glabājis bez atļaujas, jo viņam nav bijusi izsniegta atļauja iegādāties un glabāt spridzināšanas ietaises, savukārt šaujamieroču nēsāšanas un glabāšanas atļauja anulēta pirms termiņa, turklāt apsūdzētais </w:t>
      </w:r>
      <w:r w:rsidRPr="007B5CD9">
        <w:rPr>
          <w:rFonts w:eastAsia="Times New Roman" w:cs="Times New Roman"/>
          <w:kern w:val="0"/>
          <w:szCs w:val="24"/>
          <w:lang w:eastAsia="lv-LV"/>
          <w14:ligatures w14:val="none"/>
        </w:rPr>
        <w:lastRenderedPageBreak/>
        <w:t>ieroci un munīciju nav atdevis policijā, lai gan tāda iespēja viņam pastāvēja pēc atbrīvošanās no ieslodzījuma vietas.</w:t>
      </w:r>
    </w:p>
    <w:p w14:paraId="296E5873" w14:textId="5D78293B" w:rsidR="0077002E" w:rsidRPr="007B5CD9" w:rsidRDefault="0077002E" w:rsidP="00963DDD">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[6.3] </w:t>
      </w:r>
      <w:bookmarkStart w:id="11" w:name="_Hlk197953918"/>
      <w:r w:rsidRPr="007B5CD9">
        <w:rPr>
          <w:rFonts w:eastAsia="Times New Roman" w:cs="Times New Roman"/>
          <w:kern w:val="0"/>
          <w:szCs w:val="24"/>
          <w:lang w:eastAsia="lv-LV"/>
          <w14:ligatures w14:val="none"/>
        </w:rPr>
        <w:t xml:space="preserve">Senāts atzīst par nepamatotu apsūdzētā </w:t>
      </w:r>
      <w:r w:rsidR="00963DDD">
        <w:rPr>
          <w:rFonts w:eastAsia="Times New Roman" w:cs="Times New Roman"/>
          <w:kern w:val="0"/>
          <w:szCs w:val="24"/>
          <w:lang w:eastAsia="lv-LV"/>
          <w14:ligatures w14:val="none"/>
        </w:rPr>
        <w:t>[pers.</w:t>
      </w:r>
      <w:r w:rsidR="008902FC">
        <w:rPr>
          <w:rFonts w:eastAsia="Times New Roman" w:cs="Times New Roman"/>
          <w:kern w:val="0"/>
          <w:szCs w:val="24"/>
          <w:lang w:eastAsia="lv-LV"/>
          <w14:ligatures w14:val="none"/>
        </w:rPr>
        <w:t> </w:t>
      </w:r>
      <w:r w:rsidR="00963DDD">
        <w:rPr>
          <w:rFonts w:eastAsia="Times New Roman" w:cs="Times New Roman"/>
          <w:kern w:val="0"/>
          <w:szCs w:val="24"/>
          <w:lang w:eastAsia="lv-LV"/>
          <w14:ligatures w14:val="none"/>
        </w:rPr>
        <w:t>B]</w:t>
      </w:r>
      <w:r w:rsidRPr="007B5CD9">
        <w:rPr>
          <w:rFonts w:eastAsia="Times New Roman" w:cs="Times New Roman"/>
          <w:kern w:val="0"/>
          <w:szCs w:val="24"/>
          <w:lang w:eastAsia="lv-LV"/>
          <w14:ligatures w14:val="none"/>
        </w:rPr>
        <w:t xml:space="preserve"> kasācijas sūdzībā norādīto argumentu, ka </w:t>
      </w:r>
      <w:bookmarkEnd w:id="11"/>
      <w:r w:rsidRPr="007B5CD9">
        <w:rPr>
          <w:rFonts w:eastAsia="Times New Roman" w:cs="Times New Roman"/>
          <w:kern w:val="0"/>
          <w:szCs w:val="24"/>
          <w:lang w:eastAsia="lv-LV"/>
          <w14:ligatures w14:val="none"/>
        </w:rPr>
        <w:t>apelācijas instances tiesa pieļāvusi Kriminālprocesa likuma 139. panta pārkāpumu.</w:t>
      </w:r>
    </w:p>
    <w:p w14:paraId="09440F45" w14:textId="6C602917"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Pirmās instances tiesa atzinusi, ka kratīšana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dzīvesvietā notikusi atbilstoši Kriminālprocesa likuma 139. pantam, un to pamato liecinieku </w:t>
      </w:r>
      <w:r w:rsidR="00963DDD">
        <w:rPr>
          <w:rFonts w:eastAsia="Times New Roman" w:cs="Times New Roman"/>
          <w:color w:val="000000"/>
          <w:kern w:val="0"/>
          <w:szCs w:val="24"/>
          <w:lang w:eastAsia="lv-LV"/>
          <w14:ligatures w14:val="none"/>
        </w:rPr>
        <w:t>[pers. G]</w:t>
      </w:r>
      <w:r w:rsidRPr="007B5CD9">
        <w:rPr>
          <w:rFonts w:eastAsia="Times New Roman" w:cs="Times New Roman"/>
          <w:color w:val="000000"/>
          <w:kern w:val="0"/>
          <w:szCs w:val="24"/>
          <w:lang w:eastAsia="lv-LV"/>
          <w14:ligatures w14:val="none"/>
        </w:rPr>
        <w:t xml:space="preserve">, </w:t>
      </w:r>
      <w:r w:rsidR="00963DDD">
        <w:rPr>
          <w:rFonts w:eastAsia="Times New Roman" w:cs="Times New Roman"/>
          <w:color w:val="000000"/>
          <w:kern w:val="0"/>
          <w:szCs w:val="24"/>
          <w:lang w:eastAsia="lv-LV"/>
          <w14:ligatures w14:val="none"/>
        </w:rPr>
        <w:t>[pers. E]</w:t>
      </w:r>
      <w:r w:rsidRPr="007B5CD9">
        <w:rPr>
          <w:rFonts w:eastAsia="Times New Roman" w:cs="Times New Roman"/>
          <w:color w:val="000000"/>
          <w:kern w:val="0"/>
          <w:szCs w:val="24"/>
          <w:lang w:eastAsia="lv-LV"/>
          <w14:ligatures w14:val="none"/>
        </w:rPr>
        <w:t xml:space="preserve"> un </w:t>
      </w:r>
      <w:r w:rsidR="00963DDD">
        <w:rPr>
          <w:rFonts w:eastAsia="Times New Roman" w:cs="Times New Roman"/>
          <w:color w:val="000000"/>
          <w:kern w:val="0"/>
          <w:szCs w:val="24"/>
          <w:lang w:eastAsia="lv-LV"/>
          <w14:ligatures w14:val="none"/>
        </w:rPr>
        <w:t>[pers. F]</w:t>
      </w:r>
      <w:r w:rsidRPr="007B5CD9">
        <w:rPr>
          <w:rFonts w:eastAsia="Times New Roman" w:cs="Times New Roman"/>
          <w:color w:val="000000"/>
          <w:kern w:val="0"/>
          <w:szCs w:val="24"/>
          <w:lang w:eastAsia="lv-LV"/>
          <w14:ligatures w14:val="none"/>
        </w:rPr>
        <w:t xml:space="preserve"> liecībās sniegtās ziņas par policijas darbinieku rīcību kratīšanas laikā, kā arī </w:t>
      </w:r>
      <w:r w:rsidRPr="007B5CD9">
        <w:rPr>
          <w:rFonts w:eastAsia="Times New Roman" w:cs="Times New Roman"/>
          <w:kern w:val="0"/>
          <w:szCs w:val="24"/>
          <w:lang w:eastAsia="lv-LV"/>
          <w14:ligatures w14:val="none"/>
        </w:rPr>
        <w:t xml:space="preserve">kratīšanas protokolā fiksētās ziņas, kas apstiprina faktu, ka pēc uzaicinājuma apsūdzētais labprātīgi nav izsniedzis aizliegtos priekšmetus – šaujamieročus, spridzināšanas ietaises un to sastāvdaļas un sprāgstvielas –, un norādījis, ka šādu priekšmetu viņa dzīvesvietā nav, kā arī atteicies no protokola parakstīšanas. Apelācijas instances tiesa ir pievienojusies pirmās instances tiesas atzinumam un noraidījusi </w:t>
      </w:r>
      <w:r w:rsidR="00963DDD">
        <w:rPr>
          <w:rFonts w:eastAsia="Times New Roman" w:cs="Times New Roman"/>
          <w:kern w:val="0"/>
          <w:szCs w:val="24"/>
          <w:lang w:eastAsia="lv-LV"/>
          <w14:ligatures w14:val="none"/>
        </w:rPr>
        <w:t xml:space="preserve">[pers. B] </w:t>
      </w:r>
      <w:r w:rsidRPr="007B5CD9">
        <w:rPr>
          <w:rFonts w:eastAsia="Times New Roman" w:cs="Times New Roman"/>
          <w:kern w:val="0"/>
          <w:szCs w:val="24"/>
          <w:lang w:eastAsia="lv-LV"/>
          <w14:ligatures w14:val="none"/>
        </w:rPr>
        <w:t xml:space="preserve">argumentus, secinot, ka kratīšana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dzīvesvietā notikusi saskaņā ar likumu, turklāt krimināllietas materiālos nav ziņu par apsūdzētā norādītajiem pārkāpumiem kratīšanas laikā, arī protokolā nav ieraksta, ka apsūdzētajam būtu iebildumi par kratīšanu.</w:t>
      </w:r>
    </w:p>
    <w:p w14:paraId="130A753A" w14:textId="32FF913B"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Senāts konstatē, ka no kratīšanas protokola izriet, ka apsūdzētais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nav iebildis pret kratīšanas uzsākšanu 25 minūtes pirms Krimināllikuma 139. panta pirmajā daļā norādītā parastā izmeklēšanas darbības uzsākšanas laika, kā arī kasācijas sūdzībā nav pamatojis, kā tas ietekmējis izmeklēšanas darbības tiesiskumu. Senātam nav pamata apšaubīt apelācijas instances tiesas secinājumu, ka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kratīšanas laikā, ne pēc tam nav sniedzis ziņas par kratīšanas laikā un pirms tās izdarīšanas pieļautiem pārkāpumiem, par kuriem norādījis tikai kasācijas sūdzībā. Minētais ir pamats secinājumam, ka šādi apsūdzētā argumenti neizraisa šaubas par apelācijas instances tiesas nolēmumu.</w:t>
      </w:r>
    </w:p>
    <w:p w14:paraId="133FFD87" w14:textId="3071B8C7" w:rsidR="0077002E" w:rsidRPr="007B5CD9" w:rsidRDefault="0077002E" w:rsidP="00963DDD">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[6.4] Apelācijas instances tiesa, nosakot soda veidu, pretēji apsūdzētā </w:t>
      </w:r>
      <w:r w:rsidR="00963DDD">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kasācijas sūdzībā norādītajam ir izvērtējusi viņa veselības stāvokli un pievienojusies pirmās instances tiesas atzinumam, ka apsūdzētajam brīvības atņemšana uz tiesas noteikto laiku ir samērīga ar noziedzīgā nodarījuma raksturu un radīto kaitējumu, kā arī atbilstoša ne vien soda represīvo, bet arī preventīvo mērķu sasniegšanai. Apelācijas instances tiesa, pamatojoties uz Ministru kabineta 2015. gada 2. jūnija noteikumiem Nr. 276 „Apcietināto un notiesāto personu veselības aprūpes īstenošanas kārtība” un atziņu Senāta 2018. gada 11. septembra lēmumā lietā Nr. SKK-255/2018, norādījusi, ka apsūdzētā </w:t>
      </w:r>
      <w:r w:rsidR="00963DDD">
        <w:rPr>
          <w:rFonts w:eastAsia="Times New Roman" w:cs="Times New Roman"/>
          <w:kern w:val="0"/>
          <w:szCs w:val="24"/>
          <w:lang w:eastAsia="lv-LV"/>
          <w14:ligatures w14:val="none"/>
        </w:rPr>
        <w:t>[pers.</w:t>
      </w:r>
      <w:r w:rsidR="008902FC">
        <w:rPr>
          <w:rFonts w:eastAsia="Times New Roman" w:cs="Times New Roman"/>
          <w:kern w:val="0"/>
          <w:szCs w:val="24"/>
          <w:lang w:eastAsia="lv-LV"/>
          <w14:ligatures w14:val="none"/>
        </w:rPr>
        <w:t> </w:t>
      </w:r>
      <w:r w:rsidR="00963DDD">
        <w:rPr>
          <w:rFonts w:eastAsia="Times New Roman" w:cs="Times New Roman"/>
          <w:kern w:val="0"/>
          <w:szCs w:val="24"/>
          <w:lang w:eastAsia="lv-LV"/>
          <w14:ligatures w14:val="none"/>
        </w:rPr>
        <w:t>A]</w:t>
      </w:r>
      <w:r w:rsidRPr="007B5CD9">
        <w:rPr>
          <w:rFonts w:eastAsia="Times New Roman" w:cs="Times New Roman"/>
          <w:kern w:val="0"/>
          <w:szCs w:val="24"/>
          <w:lang w:eastAsia="lv-LV"/>
          <w14:ligatures w14:val="none"/>
        </w:rPr>
        <w:t xml:space="preserve"> atrašanās apcietinājumā pati par sevi neradīs cilvēktiesību pārkāpumu. Ņemot vērā apsūdzētā veselības stāvokli, tiesa secinājusi, ka viņam tiks nodrošināta normatīvajos aktos paredzētā nepieciešamā veselības aprūpe un ieslodzījuma vietā pieejamais cilvēktiesību minimuma līmenis.</w:t>
      </w:r>
    </w:p>
    <w:p w14:paraId="18EDD426" w14:textId="10EF3116" w:rsidR="0077002E" w:rsidRPr="007B5CD9" w:rsidRDefault="0077002E" w:rsidP="0077002E">
      <w:pPr>
        <w:shd w:val="clear" w:color="auto" w:fill="FFFFFF"/>
        <w:rPr>
          <w:rFonts w:eastAsia="Calibri"/>
          <w:kern w:val="0"/>
          <w14:ligatures w14:val="none"/>
        </w:rPr>
      </w:pPr>
      <w:r w:rsidRPr="007B5CD9">
        <w:rPr>
          <w:rFonts w:eastAsia="Times New Roman" w:cs="Times New Roman"/>
          <w:kern w:val="0"/>
          <w:szCs w:val="24"/>
          <w:lang w:eastAsia="lv-LV"/>
          <w14:ligatures w14:val="none"/>
        </w:rPr>
        <w:t>[6.5] </w:t>
      </w:r>
      <w:r w:rsidRPr="007B5CD9">
        <w:rPr>
          <w:rFonts w:eastAsia="Calibri"/>
          <w:kern w:val="0"/>
          <w14:ligatures w14:val="none"/>
        </w:rPr>
        <w:t>Kriminālprocesa likuma prasību pārkāpumus pierādījumu novērtēšanā, kas varētu būt par pamatu apelācijas instances tiesas lēmuma atcelšanai, Senāts nekonstatē.</w:t>
      </w:r>
    </w:p>
    <w:p w14:paraId="76F080CE" w14:textId="77777777" w:rsidR="0077002E" w:rsidRPr="007B5CD9" w:rsidRDefault="0077002E" w:rsidP="0077002E">
      <w:pPr>
        <w:shd w:val="clear" w:color="auto" w:fill="FFFFFF"/>
        <w:rPr>
          <w:rFonts w:eastAsia="Calibri"/>
          <w:kern w:val="0"/>
          <w14:ligatures w14:val="none"/>
        </w:rPr>
      </w:pPr>
      <w:r w:rsidRPr="007B5CD9">
        <w:rPr>
          <w:rFonts w:eastAsia="Calibri"/>
          <w:kern w:val="0"/>
          <w14:ligatures w14:val="none"/>
        </w:rPr>
        <w:t xml:space="preserve">Senāts norāda, ka atbilstoši Kriminālprocesa likuma 569. pantam kasācijas instances tiesa lietu pēc būtības neiztiesā, lietas faktiskos apstākļus neskaidro un pierādījumus lietā no jauna neizvērtē. </w:t>
      </w:r>
    </w:p>
    <w:p w14:paraId="038A5839" w14:textId="77777777" w:rsidR="0077002E" w:rsidRPr="007B5CD9" w:rsidRDefault="0077002E" w:rsidP="0077002E">
      <w:pPr>
        <w:shd w:val="clear" w:color="auto" w:fill="FFFFFF"/>
        <w:rPr>
          <w:kern w:val="0"/>
          <w14:ligatures w14:val="none"/>
        </w:rPr>
      </w:pPr>
      <w:r w:rsidRPr="007B5CD9">
        <w:rPr>
          <w:kern w:val="0"/>
          <w14:ligatures w14:val="none"/>
        </w:rPr>
        <w:t>Apsūdzēto un aizstāvja kasācijas sūdzībās ietvertās norādes uz Krimināllikuma pārkāpumiem un Kriminālprocesa likuma normu būtiskiem pārkāpumiem pēc būtības ir viņu subjektīvais viedoklis</w:t>
      </w:r>
      <w:r w:rsidRPr="007B5CD9">
        <w:rPr>
          <w:rFonts w:eastAsia="Calibri"/>
          <w:kern w:val="0"/>
          <w14:ligatures w14:val="none"/>
        </w:rPr>
        <w:t xml:space="preserve"> par lietā iegūto pierādījumu pieļaujamības, ticamības un pietiekamības novērtējumu, un saistīts ar </w:t>
      </w:r>
      <w:r w:rsidRPr="007B5CD9">
        <w:rPr>
          <w:kern w:val="0"/>
          <w14:ligatures w14:val="none"/>
        </w:rPr>
        <w:t xml:space="preserve">kasācijas sūdzību autoru vēlmi atkārtoti izvērtēt </w:t>
      </w:r>
      <w:r w:rsidRPr="007B5CD9">
        <w:rPr>
          <w:kern w:val="0"/>
          <w14:ligatures w14:val="none"/>
        </w:rPr>
        <w:lastRenderedPageBreak/>
        <w:t>pierādījumus kasācijas instances tiesā un panākt apelācijas instances tiesas nolēmuma atcelšanu nevis juridisku, bet faktisku iemeslu dēļ, kas ir pretrunā ar Kriminālprocesa likuma 569. panta pirmo daļu.</w:t>
      </w:r>
    </w:p>
    <w:p w14:paraId="6D674012" w14:textId="77777777" w:rsidR="0077002E" w:rsidRPr="007B5CD9" w:rsidRDefault="0077002E" w:rsidP="0077002E">
      <w:pPr>
        <w:spacing w:after="160"/>
        <w:ind w:firstLine="709"/>
        <w:rPr>
          <w:rFonts w:asciiTheme="majorBidi" w:hAnsiTheme="majorBidi" w:cstheme="majorBidi"/>
          <w:kern w:val="0"/>
          <w14:ligatures w14:val="none"/>
        </w:rPr>
      </w:pPr>
    </w:p>
    <w:p w14:paraId="2D11E9AD" w14:textId="70E5ED4F" w:rsidR="0077002E" w:rsidRPr="007B5CD9" w:rsidRDefault="0077002E" w:rsidP="0077002E">
      <w:pPr>
        <w:ind w:right="-1"/>
        <w:rPr>
          <w:rFonts w:eastAsia="Times New Roman" w:cs="Times New Roman"/>
          <w:kern w:val="0"/>
          <w:szCs w:val="24"/>
          <w:lang w:eastAsia="ru-RU"/>
          <w14:ligatures w14:val="none"/>
        </w:rPr>
      </w:pPr>
      <w:r w:rsidRPr="007B5CD9">
        <w:rPr>
          <w:rFonts w:asciiTheme="majorBidi" w:hAnsiTheme="majorBidi" w:cstheme="majorBidi"/>
          <w:kern w:val="0"/>
          <w14:ligatures w14:val="none"/>
        </w:rPr>
        <w:t xml:space="preserve">[7] Ievērojot izklāstīto, Senāts atzīst, ka </w:t>
      </w:r>
      <w:r w:rsidRPr="007B5CD9">
        <w:rPr>
          <w:rFonts w:asciiTheme="majorBidi" w:eastAsia="Times New Roman" w:hAnsiTheme="majorBidi" w:cstheme="majorBidi"/>
          <w:kern w:val="0"/>
          <w:szCs w:val="24"/>
          <w:lang w:eastAsia="lv-LV"/>
          <w14:ligatures w14:val="none"/>
        </w:rPr>
        <w:t>Rīgas apgabaltiesas 2024. gada 4. marta lēmums atstājams negrozīts, bet</w:t>
      </w:r>
      <w:r w:rsidRPr="007B5CD9">
        <w:rPr>
          <w:rFonts w:asciiTheme="majorBidi" w:hAnsiTheme="majorBidi" w:cstheme="majorBidi"/>
          <w:kern w:val="0"/>
          <w14:ligatures w14:val="none"/>
        </w:rPr>
        <w:t xml:space="preserve"> apsūdzētā </w:t>
      </w:r>
      <w:r w:rsidR="00425066">
        <w:rPr>
          <w:rFonts w:asciiTheme="majorBidi" w:hAnsiTheme="majorBidi" w:cstheme="majorBidi"/>
          <w:kern w:val="0"/>
          <w14:ligatures w14:val="none"/>
        </w:rPr>
        <w:t>[pers. A]</w:t>
      </w:r>
      <w:r w:rsidRPr="007B5CD9">
        <w:rPr>
          <w:rFonts w:asciiTheme="majorBidi" w:hAnsiTheme="majorBidi" w:cstheme="majorBidi"/>
          <w:kern w:val="0"/>
          <w14:ligatures w14:val="none"/>
        </w:rPr>
        <w:t xml:space="preserve">, apsūdzētā </w:t>
      </w:r>
      <w:r w:rsidR="00425066">
        <w:rPr>
          <w:rFonts w:asciiTheme="majorBidi" w:hAnsiTheme="majorBidi" w:cstheme="majorBidi"/>
          <w:kern w:val="0"/>
          <w14:ligatures w14:val="none"/>
        </w:rPr>
        <w:t>[pers. B]</w:t>
      </w:r>
      <w:r w:rsidRPr="007B5CD9">
        <w:rPr>
          <w:rFonts w:asciiTheme="majorBidi" w:hAnsiTheme="majorBidi" w:cstheme="majorBidi"/>
          <w:kern w:val="0"/>
          <w14:ligatures w14:val="none"/>
        </w:rPr>
        <w:t xml:space="preserve"> un viņa aizstāvja O. </w:t>
      </w:r>
      <w:proofErr w:type="spellStart"/>
      <w:r w:rsidRPr="007B5CD9">
        <w:rPr>
          <w:rFonts w:asciiTheme="majorBidi" w:hAnsiTheme="majorBidi" w:cstheme="majorBidi"/>
          <w:kern w:val="0"/>
          <w14:ligatures w14:val="none"/>
        </w:rPr>
        <w:t>Ondrupa</w:t>
      </w:r>
      <w:proofErr w:type="spellEnd"/>
      <w:r w:rsidRPr="007B5CD9">
        <w:rPr>
          <w:rFonts w:asciiTheme="majorBidi" w:hAnsiTheme="majorBidi" w:cstheme="majorBidi"/>
          <w:kern w:val="0"/>
          <w14:ligatures w14:val="none"/>
        </w:rPr>
        <w:t xml:space="preserve"> kasācijas sūdzības noraidāmas.</w:t>
      </w:r>
    </w:p>
    <w:bookmarkEnd w:id="8"/>
    <w:p w14:paraId="233E647F" w14:textId="77777777" w:rsidR="0077002E" w:rsidRPr="007B5CD9" w:rsidRDefault="0077002E" w:rsidP="0077002E">
      <w:pPr>
        <w:widowControl w:val="0"/>
        <w:shd w:val="clear" w:color="auto" w:fill="FFFFFF"/>
        <w:ind w:firstLine="0"/>
        <w:jc w:val="center"/>
        <w:rPr>
          <w:rFonts w:asciiTheme="majorBidi" w:hAnsiTheme="majorBidi" w:cstheme="majorBidi"/>
          <w:b/>
          <w:kern w:val="0"/>
          <w:szCs w:val="24"/>
          <w14:ligatures w14:val="none"/>
        </w:rPr>
      </w:pPr>
    </w:p>
    <w:p w14:paraId="2BA21D07" w14:textId="77777777" w:rsidR="0077002E" w:rsidRPr="007B5CD9" w:rsidRDefault="0077002E" w:rsidP="0077002E">
      <w:pPr>
        <w:widowControl w:val="0"/>
        <w:shd w:val="clear" w:color="auto" w:fill="FFFFFF"/>
        <w:ind w:firstLine="0"/>
        <w:jc w:val="center"/>
        <w:rPr>
          <w:rFonts w:asciiTheme="majorBidi" w:hAnsiTheme="majorBidi" w:cstheme="majorBidi"/>
          <w:b/>
          <w:kern w:val="0"/>
          <w:szCs w:val="24"/>
          <w14:ligatures w14:val="none"/>
        </w:rPr>
      </w:pPr>
      <w:r w:rsidRPr="007B5CD9">
        <w:rPr>
          <w:rFonts w:asciiTheme="majorBidi" w:hAnsiTheme="majorBidi" w:cstheme="majorBidi"/>
          <w:b/>
          <w:kern w:val="0"/>
          <w:szCs w:val="24"/>
          <w14:ligatures w14:val="none"/>
        </w:rPr>
        <w:t>Rezolutīvā daļa</w:t>
      </w:r>
    </w:p>
    <w:p w14:paraId="05405490" w14:textId="77777777" w:rsidR="0077002E" w:rsidRPr="007B5CD9" w:rsidRDefault="0077002E" w:rsidP="0077002E">
      <w:pPr>
        <w:widowControl w:val="0"/>
        <w:shd w:val="clear" w:color="auto" w:fill="FFFFFF"/>
        <w:rPr>
          <w:rFonts w:asciiTheme="majorBidi" w:hAnsiTheme="majorBidi" w:cstheme="majorBidi"/>
          <w:kern w:val="0"/>
          <w:szCs w:val="24"/>
          <w14:ligatures w14:val="none"/>
        </w:rPr>
      </w:pPr>
    </w:p>
    <w:p w14:paraId="0FF8C293" w14:textId="77777777" w:rsidR="0077002E" w:rsidRPr="007B5CD9" w:rsidRDefault="0077002E" w:rsidP="0077002E">
      <w:pPr>
        <w:widowControl w:val="0"/>
        <w:shd w:val="clear" w:color="auto" w:fill="FFFFFF"/>
        <w:rPr>
          <w:rFonts w:asciiTheme="majorBidi" w:hAnsiTheme="majorBidi" w:cstheme="majorBidi"/>
          <w:kern w:val="0"/>
          <w:szCs w:val="24"/>
          <w14:ligatures w14:val="none"/>
        </w:rPr>
      </w:pPr>
      <w:r w:rsidRPr="007B5CD9">
        <w:rPr>
          <w:rFonts w:asciiTheme="majorBidi" w:hAnsiTheme="majorBidi" w:cstheme="majorBidi"/>
          <w:kern w:val="0"/>
          <w:szCs w:val="24"/>
          <w14:ligatures w14:val="none"/>
        </w:rPr>
        <w:t>Pamatojoties uz Kriminālprocesa likuma 585. pantu un 587. panta pirmās daļas 1. punktu, Senāts</w:t>
      </w:r>
    </w:p>
    <w:p w14:paraId="554D45F6" w14:textId="77777777" w:rsidR="0077002E" w:rsidRPr="007B5CD9" w:rsidRDefault="0077002E" w:rsidP="0077002E">
      <w:pPr>
        <w:widowControl w:val="0"/>
        <w:shd w:val="clear" w:color="auto" w:fill="FFFFFF"/>
        <w:rPr>
          <w:rFonts w:asciiTheme="majorBidi" w:hAnsiTheme="majorBidi" w:cstheme="majorBidi"/>
          <w:b/>
          <w:kern w:val="0"/>
          <w:szCs w:val="24"/>
          <w14:ligatures w14:val="none"/>
        </w:rPr>
      </w:pPr>
    </w:p>
    <w:p w14:paraId="1081CFED" w14:textId="77777777" w:rsidR="0077002E" w:rsidRPr="007B5CD9" w:rsidRDefault="0077002E" w:rsidP="0077002E">
      <w:pPr>
        <w:widowControl w:val="0"/>
        <w:shd w:val="clear" w:color="auto" w:fill="FFFFFF"/>
        <w:ind w:firstLine="0"/>
        <w:jc w:val="center"/>
        <w:rPr>
          <w:rFonts w:asciiTheme="majorBidi" w:hAnsiTheme="majorBidi" w:cstheme="majorBidi"/>
          <w:b/>
          <w:kern w:val="0"/>
          <w:szCs w:val="24"/>
          <w14:ligatures w14:val="none"/>
        </w:rPr>
      </w:pPr>
      <w:r w:rsidRPr="007B5CD9">
        <w:rPr>
          <w:rFonts w:asciiTheme="majorBidi" w:hAnsiTheme="majorBidi" w:cstheme="majorBidi"/>
          <w:b/>
          <w:kern w:val="0"/>
          <w:szCs w:val="24"/>
          <w14:ligatures w14:val="none"/>
        </w:rPr>
        <w:t>nolēma</w:t>
      </w:r>
    </w:p>
    <w:p w14:paraId="5F127D9B" w14:textId="77777777" w:rsidR="0077002E" w:rsidRPr="007B5CD9" w:rsidRDefault="0077002E" w:rsidP="0077002E">
      <w:pPr>
        <w:widowControl w:val="0"/>
        <w:shd w:val="clear" w:color="auto" w:fill="FFFFFF"/>
        <w:rPr>
          <w:rFonts w:asciiTheme="majorBidi" w:hAnsiTheme="majorBidi" w:cstheme="majorBidi"/>
          <w:bCs/>
          <w:kern w:val="0"/>
          <w:szCs w:val="24"/>
          <w14:ligatures w14:val="none"/>
        </w:rPr>
      </w:pPr>
    </w:p>
    <w:p w14:paraId="63697A39" w14:textId="7B4D4F19" w:rsidR="0077002E" w:rsidRPr="007B5CD9" w:rsidRDefault="0077002E" w:rsidP="00425066">
      <w:pPr>
        <w:widowControl w:val="0"/>
        <w:shd w:val="clear" w:color="auto" w:fill="FFFFFF"/>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 xml:space="preserve">atstāt </w:t>
      </w:r>
      <w:r w:rsidRPr="007B5CD9">
        <w:rPr>
          <w:rFonts w:asciiTheme="majorBidi" w:eastAsia="Times New Roman" w:hAnsiTheme="majorBidi" w:cstheme="majorBidi"/>
          <w:kern w:val="0"/>
          <w:szCs w:val="24"/>
          <w:lang w:eastAsia="lv-LV"/>
          <w14:ligatures w14:val="none"/>
        </w:rPr>
        <w:t xml:space="preserve">Rīgas apgabaltiesas 2024. gada 4. marta lēmumu </w:t>
      </w:r>
      <w:r w:rsidRPr="007B5CD9">
        <w:rPr>
          <w:rFonts w:asciiTheme="majorBidi" w:hAnsiTheme="majorBidi" w:cstheme="majorBidi"/>
          <w:bCs/>
          <w:kern w:val="0"/>
          <w:szCs w:val="24"/>
          <w14:ligatures w14:val="none"/>
        </w:rPr>
        <w:t xml:space="preserve">negrozītu, bet </w:t>
      </w:r>
      <w:r w:rsidRPr="007B5CD9">
        <w:rPr>
          <w:rFonts w:asciiTheme="majorBidi" w:eastAsia="Times New Roman" w:hAnsiTheme="majorBidi" w:cstheme="majorBidi"/>
          <w:kern w:val="0"/>
          <w:szCs w:val="24"/>
          <w:lang w:eastAsia="lv-LV"/>
          <w14:ligatures w14:val="none"/>
        </w:rPr>
        <w:t xml:space="preserve">apsūdzētā </w:t>
      </w:r>
      <w:r w:rsidR="00425066">
        <w:rPr>
          <w:rFonts w:asciiTheme="majorBidi" w:eastAsia="Times New Roman" w:hAnsiTheme="majorBidi" w:cstheme="majorBidi"/>
          <w:kern w:val="0"/>
          <w:szCs w:val="24"/>
          <w:lang w:eastAsia="lv-LV"/>
          <w14:ligatures w14:val="none"/>
        </w:rPr>
        <w:t>[pers. A]</w:t>
      </w:r>
      <w:r w:rsidRPr="007B5CD9">
        <w:rPr>
          <w:rFonts w:asciiTheme="majorBidi" w:eastAsia="Times New Roman" w:hAnsiTheme="majorBidi" w:cstheme="majorBidi"/>
          <w:kern w:val="0"/>
          <w:szCs w:val="24"/>
          <w:lang w:eastAsia="lv-LV"/>
          <w14:ligatures w14:val="none"/>
        </w:rPr>
        <w:t xml:space="preserve">, apsūdzētā </w:t>
      </w:r>
      <w:r w:rsidR="00425066">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un viņa aizstāvja Oskara </w:t>
      </w:r>
      <w:proofErr w:type="spellStart"/>
      <w:r w:rsidRPr="007B5CD9">
        <w:rPr>
          <w:rFonts w:asciiTheme="majorBidi" w:eastAsia="Times New Roman" w:hAnsiTheme="majorBidi" w:cstheme="majorBidi"/>
          <w:kern w:val="0"/>
          <w:szCs w:val="24"/>
          <w:lang w:eastAsia="lv-LV"/>
          <w14:ligatures w14:val="none"/>
        </w:rPr>
        <w:t>Ondrupa</w:t>
      </w:r>
      <w:proofErr w:type="spellEnd"/>
      <w:r w:rsidRPr="007B5CD9">
        <w:rPr>
          <w:rFonts w:asciiTheme="majorBidi" w:eastAsia="Times New Roman" w:hAnsiTheme="majorBidi" w:cstheme="majorBidi"/>
          <w:kern w:val="0"/>
          <w:szCs w:val="24"/>
          <w:lang w:eastAsia="lv-LV"/>
          <w14:ligatures w14:val="none"/>
        </w:rPr>
        <w:t xml:space="preserve"> kasācijas </w:t>
      </w:r>
      <w:r w:rsidRPr="007B5CD9">
        <w:rPr>
          <w:rFonts w:asciiTheme="majorBidi" w:hAnsiTheme="majorBidi" w:cstheme="majorBidi"/>
          <w:bCs/>
          <w:kern w:val="0"/>
          <w:szCs w:val="24"/>
          <w14:ligatures w14:val="none"/>
        </w:rPr>
        <w:t>sūdzības noraidīt.</w:t>
      </w:r>
    </w:p>
    <w:p w14:paraId="6082D185" w14:textId="77777777" w:rsidR="0077002E" w:rsidRPr="007B5CD9" w:rsidRDefault="0077002E" w:rsidP="0077002E">
      <w:pPr>
        <w:widowControl w:val="0"/>
        <w:shd w:val="clear" w:color="auto" w:fill="FFFFFF"/>
        <w:rPr>
          <w:rFonts w:asciiTheme="majorBidi" w:hAnsiTheme="majorBidi" w:cstheme="majorBidi"/>
          <w:bCs/>
          <w:kern w:val="0"/>
          <w:szCs w:val="24"/>
          <w14:ligatures w14:val="none"/>
        </w:rPr>
      </w:pPr>
    </w:p>
    <w:p w14:paraId="15ACBBFA" w14:textId="77777777" w:rsidR="0077002E" w:rsidRPr="007B5CD9" w:rsidRDefault="0077002E" w:rsidP="0077002E">
      <w:pPr>
        <w:widowControl w:val="0"/>
        <w:shd w:val="clear" w:color="auto" w:fill="FFFFFF"/>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Lēmums nav pārsūdzams.</w:t>
      </w:r>
    </w:p>
    <w:sectPr w:rsidR="0077002E" w:rsidRPr="007B5CD9" w:rsidSect="0077002E">
      <w:footerReference w:type="default" r:id="rId7"/>
      <w:pgSz w:w="11906" w:h="16838"/>
      <w:pgMar w:top="1134" w:right="1701" w:bottom="1134" w:left="1701" w:header="709"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3D096" w14:textId="77777777" w:rsidR="005C0AAE" w:rsidRDefault="005C0AAE">
      <w:pPr>
        <w:spacing w:line="240" w:lineRule="auto"/>
      </w:pPr>
      <w:r>
        <w:separator/>
      </w:r>
    </w:p>
  </w:endnote>
  <w:endnote w:type="continuationSeparator" w:id="0">
    <w:p w14:paraId="6F802A3C" w14:textId="77777777" w:rsidR="005C0AAE" w:rsidRDefault="005C0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168A" w14:textId="77777777" w:rsidR="005C0AAE" w:rsidRPr="00C01FD4" w:rsidRDefault="005C0AAE">
    <w:pPr>
      <w:pStyle w:val="Footer"/>
      <w:jc w:val="center"/>
      <w:rPr>
        <w:sz w:val="20"/>
        <w:szCs w:val="20"/>
      </w:rPr>
    </w:pPr>
    <w:r w:rsidRPr="00C01FD4">
      <w:rPr>
        <w:sz w:val="20"/>
        <w:szCs w:val="20"/>
      </w:rPr>
      <w:fldChar w:fldCharType="begin"/>
    </w:r>
    <w:r w:rsidRPr="00C01FD4">
      <w:rPr>
        <w:sz w:val="20"/>
        <w:szCs w:val="20"/>
      </w:rPr>
      <w:instrText xml:space="preserve"> PAGE </w:instrText>
    </w:r>
    <w:r w:rsidRPr="00C01FD4">
      <w:rPr>
        <w:sz w:val="20"/>
        <w:szCs w:val="20"/>
      </w:rPr>
      <w:fldChar w:fldCharType="separate"/>
    </w:r>
    <w:r w:rsidRPr="00C01FD4">
      <w:rPr>
        <w:noProof/>
        <w:sz w:val="20"/>
        <w:szCs w:val="20"/>
      </w:rPr>
      <w:t>3</w:t>
    </w:r>
    <w:r w:rsidRPr="00C01FD4">
      <w:rPr>
        <w:sz w:val="20"/>
        <w:szCs w:val="20"/>
      </w:rPr>
      <w:fldChar w:fldCharType="end"/>
    </w:r>
    <w:r w:rsidRPr="00C01FD4">
      <w:rPr>
        <w:sz w:val="20"/>
        <w:szCs w:val="20"/>
      </w:rPr>
      <w:t xml:space="preserve"> no </w:t>
    </w:r>
    <w:r w:rsidRPr="00C01FD4">
      <w:rPr>
        <w:sz w:val="20"/>
        <w:szCs w:val="20"/>
      </w:rPr>
      <w:fldChar w:fldCharType="begin"/>
    </w:r>
    <w:r w:rsidRPr="00C01FD4">
      <w:rPr>
        <w:sz w:val="20"/>
        <w:szCs w:val="20"/>
      </w:rPr>
      <w:instrText xml:space="preserve"> NUMPAGES </w:instrText>
    </w:r>
    <w:r w:rsidRPr="00C01FD4">
      <w:rPr>
        <w:sz w:val="20"/>
        <w:szCs w:val="20"/>
      </w:rPr>
      <w:fldChar w:fldCharType="separate"/>
    </w:r>
    <w:r w:rsidRPr="00C01FD4">
      <w:rPr>
        <w:noProof/>
        <w:sz w:val="20"/>
        <w:szCs w:val="20"/>
      </w:rPr>
      <w:t>3</w:t>
    </w:r>
    <w:r w:rsidRPr="00C01FD4">
      <w:rPr>
        <w:sz w:val="20"/>
        <w:szCs w:val="20"/>
      </w:rPr>
      <w:fldChar w:fldCharType="end"/>
    </w:r>
  </w:p>
  <w:p w14:paraId="0A865BF1" w14:textId="77777777" w:rsidR="005C0AAE" w:rsidRDefault="005C0AAE" w:rsidP="00DA65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3293" w14:textId="77777777" w:rsidR="005C0AAE" w:rsidRDefault="005C0AAE">
      <w:pPr>
        <w:spacing w:line="240" w:lineRule="auto"/>
      </w:pPr>
      <w:r>
        <w:separator/>
      </w:r>
    </w:p>
  </w:footnote>
  <w:footnote w:type="continuationSeparator" w:id="0">
    <w:p w14:paraId="27E9E486" w14:textId="77777777" w:rsidR="005C0AAE" w:rsidRDefault="005C0A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2E"/>
    <w:rsid w:val="00006856"/>
    <w:rsid w:val="00011284"/>
    <w:rsid w:val="00015F6A"/>
    <w:rsid w:val="00016BC4"/>
    <w:rsid w:val="000176A0"/>
    <w:rsid w:val="00020183"/>
    <w:rsid w:val="0002536E"/>
    <w:rsid w:val="00030746"/>
    <w:rsid w:val="00033A37"/>
    <w:rsid w:val="0003605D"/>
    <w:rsid w:val="00053856"/>
    <w:rsid w:val="00053FA0"/>
    <w:rsid w:val="0006308C"/>
    <w:rsid w:val="000654C3"/>
    <w:rsid w:val="000703AF"/>
    <w:rsid w:val="00070798"/>
    <w:rsid w:val="0007317F"/>
    <w:rsid w:val="00074D80"/>
    <w:rsid w:val="0007655C"/>
    <w:rsid w:val="00080383"/>
    <w:rsid w:val="00086999"/>
    <w:rsid w:val="00086ACC"/>
    <w:rsid w:val="00086C6B"/>
    <w:rsid w:val="000925B3"/>
    <w:rsid w:val="000A03CC"/>
    <w:rsid w:val="000A39C5"/>
    <w:rsid w:val="000B0888"/>
    <w:rsid w:val="000B1526"/>
    <w:rsid w:val="000B1B3C"/>
    <w:rsid w:val="000B2623"/>
    <w:rsid w:val="000B361A"/>
    <w:rsid w:val="000B4619"/>
    <w:rsid w:val="000B549C"/>
    <w:rsid w:val="000B55D5"/>
    <w:rsid w:val="000B5A4E"/>
    <w:rsid w:val="000C1F37"/>
    <w:rsid w:val="000C3340"/>
    <w:rsid w:val="000C4EDF"/>
    <w:rsid w:val="000C500A"/>
    <w:rsid w:val="000C5065"/>
    <w:rsid w:val="000D10F1"/>
    <w:rsid w:val="000D16C6"/>
    <w:rsid w:val="000D6731"/>
    <w:rsid w:val="000D7D9F"/>
    <w:rsid w:val="000D7EED"/>
    <w:rsid w:val="000D7EF7"/>
    <w:rsid w:val="000E39B9"/>
    <w:rsid w:val="000E5442"/>
    <w:rsid w:val="000E7245"/>
    <w:rsid w:val="000E729F"/>
    <w:rsid w:val="000E7893"/>
    <w:rsid w:val="000F165F"/>
    <w:rsid w:val="000F3DD1"/>
    <w:rsid w:val="000F5554"/>
    <w:rsid w:val="000F6375"/>
    <w:rsid w:val="000F7639"/>
    <w:rsid w:val="001013BE"/>
    <w:rsid w:val="00102445"/>
    <w:rsid w:val="00103219"/>
    <w:rsid w:val="001043F5"/>
    <w:rsid w:val="00104559"/>
    <w:rsid w:val="0011205D"/>
    <w:rsid w:val="00113EC8"/>
    <w:rsid w:val="00115106"/>
    <w:rsid w:val="001154FC"/>
    <w:rsid w:val="0011621A"/>
    <w:rsid w:val="00122135"/>
    <w:rsid w:val="00127AEE"/>
    <w:rsid w:val="00133699"/>
    <w:rsid w:val="00134208"/>
    <w:rsid w:val="00135761"/>
    <w:rsid w:val="00136CAE"/>
    <w:rsid w:val="001405D1"/>
    <w:rsid w:val="001432D9"/>
    <w:rsid w:val="001437ED"/>
    <w:rsid w:val="0014601A"/>
    <w:rsid w:val="00146E36"/>
    <w:rsid w:val="00153E44"/>
    <w:rsid w:val="00155B55"/>
    <w:rsid w:val="00155D41"/>
    <w:rsid w:val="00160ECB"/>
    <w:rsid w:val="0016137B"/>
    <w:rsid w:val="00164937"/>
    <w:rsid w:val="00166D29"/>
    <w:rsid w:val="00170F2F"/>
    <w:rsid w:val="001722F1"/>
    <w:rsid w:val="00172570"/>
    <w:rsid w:val="00172A97"/>
    <w:rsid w:val="0017430F"/>
    <w:rsid w:val="001754A5"/>
    <w:rsid w:val="00176E81"/>
    <w:rsid w:val="00177D8E"/>
    <w:rsid w:val="00180619"/>
    <w:rsid w:val="00192C89"/>
    <w:rsid w:val="001950B0"/>
    <w:rsid w:val="00196770"/>
    <w:rsid w:val="001967C8"/>
    <w:rsid w:val="001A28EF"/>
    <w:rsid w:val="001A3193"/>
    <w:rsid w:val="001A34CB"/>
    <w:rsid w:val="001A40E5"/>
    <w:rsid w:val="001A4D8C"/>
    <w:rsid w:val="001B0BBA"/>
    <w:rsid w:val="001B18C5"/>
    <w:rsid w:val="001B1C92"/>
    <w:rsid w:val="001B2A4F"/>
    <w:rsid w:val="001B48F9"/>
    <w:rsid w:val="001B4998"/>
    <w:rsid w:val="001B72D9"/>
    <w:rsid w:val="001C03B8"/>
    <w:rsid w:val="001C12D1"/>
    <w:rsid w:val="001C1E25"/>
    <w:rsid w:val="001C20E2"/>
    <w:rsid w:val="001D0B75"/>
    <w:rsid w:val="001D2813"/>
    <w:rsid w:val="001D7674"/>
    <w:rsid w:val="001E025E"/>
    <w:rsid w:val="001E3A6C"/>
    <w:rsid w:val="001E4948"/>
    <w:rsid w:val="001E77CC"/>
    <w:rsid w:val="001E7EA3"/>
    <w:rsid w:val="002021D7"/>
    <w:rsid w:val="00205269"/>
    <w:rsid w:val="002060DD"/>
    <w:rsid w:val="00207BBB"/>
    <w:rsid w:val="00207FCA"/>
    <w:rsid w:val="00210409"/>
    <w:rsid w:val="00210599"/>
    <w:rsid w:val="00210BE7"/>
    <w:rsid w:val="00213518"/>
    <w:rsid w:val="0021550B"/>
    <w:rsid w:val="002173B8"/>
    <w:rsid w:val="00220371"/>
    <w:rsid w:val="00224212"/>
    <w:rsid w:val="00224FF5"/>
    <w:rsid w:val="00226581"/>
    <w:rsid w:val="002309A8"/>
    <w:rsid w:val="00231281"/>
    <w:rsid w:val="00234233"/>
    <w:rsid w:val="00234981"/>
    <w:rsid w:val="00236B08"/>
    <w:rsid w:val="00236BD6"/>
    <w:rsid w:val="00241E1D"/>
    <w:rsid w:val="002432AB"/>
    <w:rsid w:val="002452BB"/>
    <w:rsid w:val="00246BCF"/>
    <w:rsid w:val="00252093"/>
    <w:rsid w:val="00253045"/>
    <w:rsid w:val="002548FE"/>
    <w:rsid w:val="00254A1D"/>
    <w:rsid w:val="002552C4"/>
    <w:rsid w:val="00256C30"/>
    <w:rsid w:val="00260309"/>
    <w:rsid w:val="002612DE"/>
    <w:rsid w:val="00266BF3"/>
    <w:rsid w:val="002708D0"/>
    <w:rsid w:val="00270B82"/>
    <w:rsid w:val="00276F3F"/>
    <w:rsid w:val="00280274"/>
    <w:rsid w:val="002907F9"/>
    <w:rsid w:val="00291166"/>
    <w:rsid w:val="002929BB"/>
    <w:rsid w:val="00295A3B"/>
    <w:rsid w:val="0029719F"/>
    <w:rsid w:val="002A0B28"/>
    <w:rsid w:val="002A0DFF"/>
    <w:rsid w:val="002A1807"/>
    <w:rsid w:val="002A6D4A"/>
    <w:rsid w:val="002B6B8C"/>
    <w:rsid w:val="002C0B38"/>
    <w:rsid w:val="002C0D99"/>
    <w:rsid w:val="002C156D"/>
    <w:rsid w:val="002C4EA8"/>
    <w:rsid w:val="002D1895"/>
    <w:rsid w:val="002D5927"/>
    <w:rsid w:val="002D7ECB"/>
    <w:rsid w:val="002E152C"/>
    <w:rsid w:val="002E1C88"/>
    <w:rsid w:val="002E771A"/>
    <w:rsid w:val="002E7C79"/>
    <w:rsid w:val="002F0478"/>
    <w:rsid w:val="002F0A8B"/>
    <w:rsid w:val="002F127C"/>
    <w:rsid w:val="002F3140"/>
    <w:rsid w:val="002F4423"/>
    <w:rsid w:val="002F5FB2"/>
    <w:rsid w:val="00302E9E"/>
    <w:rsid w:val="00302F0D"/>
    <w:rsid w:val="003039A4"/>
    <w:rsid w:val="00305E0A"/>
    <w:rsid w:val="00315BCE"/>
    <w:rsid w:val="00315F73"/>
    <w:rsid w:val="00317D4B"/>
    <w:rsid w:val="003309AC"/>
    <w:rsid w:val="003334C8"/>
    <w:rsid w:val="00335B4F"/>
    <w:rsid w:val="00336533"/>
    <w:rsid w:val="00340FAF"/>
    <w:rsid w:val="00343D94"/>
    <w:rsid w:val="00345CF5"/>
    <w:rsid w:val="003510BF"/>
    <w:rsid w:val="0035188B"/>
    <w:rsid w:val="00352F4B"/>
    <w:rsid w:val="00353497"/>
    <w:rsid w:val="00356230"/>
    <w:rsid w:val="003569C8"/>
    <w:rsid w:val="00360084"/>
    <w:rsid w:val="003660D9"/>
    <w:rsid w:val="00366F5A"/>
    <w:rsid w:val="00375BFD"/>
    <w:rsid w:val="00376F4F"/>
    <w:rsid w:val="003821E5"/>
    <w:rsid w:val="00382514"/>
    <w:rsid w:val="0038300C"/>
    <w:rsid w:val="003849A6"/>
    <w:rsid w:val="003850D0"/>
    <w:rsid w:val="00385761"/>
    <w:rsid w:val="003904D8"/>
    <w:rsid w:val="00391B9C"/>
    <w:rsid w:val="003922DC"/>
    <w:rsid w:val="00392764"/>
    <w:rsid w:val="0039284C"/>
    <w:rsid w:val="00395E59"/>
    <w:rsid w:val="00396C1F"/>
    <w:rsid w:val="003A16A4"/>
    <w:rsid w:val="003A60A6"/>
    <w:rsid w:val="003C0730"/>
    <w:rsid w:val="003C4EE0"/>
    <w:rsid w:val="003C7FB3"/>
    <w:rsid w:val="003D1793"/>
    <w:rsid w:val="003D21F7"/>
    <w:rsid w:val="003D4723"/>
    <w:rsid w:val="003D5674"/>
    <w:rsid w:val="003E5395"/>
    <w:rsid w:val="003E6028"/>
    <w:rsid w:val="003E6B38"/>
    <w:rsid w:val="003F1AA2"/>
    <w:rsid w:val="003F1D14"/>
    <w:rsid w:val="003F5050"/>
    <w:rsid w:val="003F5DF9"/>
    <w:rsid w:val="00402B95"/>
    <w:rsid w:val="004048DE"/>
    <w:rsid w:val="00406EDB"/>
    <w:rsid w:val="004212B0"/>
    <w:rsid w:val="00424D59"/>
    <w:rsid w:val="00425066"/>
    <w:rsid w:val="00425B5E"/>
    <w:rsid w:val="004269D4"/>
    <w:rsid w:val="0043269E"/>
    <w:rsid w:val="00436A5B"/>
    <w:rsid w:val="00440A47"/>
    <w:rsid w:val="00440E25"/>
    <w:rsid w:val="004512DA"/>
    <w:rsid w:val="00453415"/>
    <w:rsid w:val="004546B0"/>
    <w:rsid w:val="00455B83"/>
    <w:rsid w:val="004562A8"/>
    <w:rsid w:val="0045794F"/>
    <w:rsid w:val="004603C8"/>
    <w:rsid w:val="004610DD"/>
    <w:rsid w:val="00463752"/>
    <w:rsid w:val="0047104A"/>
    <w:rsid w:val="00475830"/>
    <w:rsid w:val="00475FAB"/>
    <w:rsid w:val="004823EC"/>
    <w:rsid w:val="00486C1A"/>
    <w:rsid w:val="0048715C"/>
    <w:rsid w:val="00490838"/>
    <w:rsid w:val="00490C00"/>
    <w:rsid w:val="0049121C"/>
    <w:rsid w:val="00494657"/>
    <w:rsid w:val="00494DE1"/>
    <w:rsid w:val="00495A26"/>
    <w:rsid w:val="00497727"/>
    <w:rsid w:val="004A7007"/>
    <w:rsid w:val="004A70FD"/>
    <w:rsid w:val="004A7E07"/>
    <w:rsid w:val="004B0A50"/>
    <w:rsid w:val="004B1858"/>
    <w:rsid w:val="004B1882"/>
    <w:rsid w:val="004B5C93"/>
    <w:rsid w:val="004C0446"/>
    <w:rsid w:val="004C3628"/>
    <w:rsid w:val="004C6062"/>
    <w:rsid w:val="004C61B3"/>
    <w:rsid w:val="004D02A5"/>
    <w:rsid w:val="004D3B71"/>
    <w:rsid w:val="004D7280"/>
    <w:rsid w:val="004E0F34"/>
    <w:rsid w:val="004F07D5"/>
    <w:rsid w:val="004F3ADD"/>
    <w:rsid w:val="0050295B"/>
    <w:rsid w:val="00503799"/>
    <w:rsid w:val="00504C72"/>
    <w:rsid w:val="0050673A"/>
    <w:rsid w:val="00512136"/>
    <w:rsid w:val="005125A5"/>
    <w:rsid w:val="00514BA0"/>
    <w:rsid w:val="0051690B"/>
    <w:rsid w:val="00517DB4"/>
    <w:rsid w:val="00523766"/>
    <w:rsid w:val="0052392B"/>
    <w:rsid w:val="00526123"/>
    <w:rsid w:val="0052619E"/>
    <w:rsid w:val="0052644D"/>
    <w:rsid w:val="005273D1"/>
    <w:rsid w:val="00527AAF"/>
    <w:rsid w:val="00532F87"/>
    <w:rsid w:val="00533E36"/>
    <w:rsid w:val="00536B63"/>
    <w:rsid w:val="00537850"/>
    <w:rsid w:val="00540A04"/>
    <w:rsid w:val="00542117"/>
    <w:rsid w:val="00551AA5"/>
    <w:rsid w:val="00551BFA"/>
    <w:rsid w:val="0055412C"/>
    <w:rsid w:val="005541F2"/>
    <w:rsid w:val="00557F4C"/>
    <w:rsid w:val="0056420E"/>
    <w:rsid w:val="00564F0A"/>
    <w:rsid w:val="00564FEE"/>
    <w:rsid w:val="00566C38"/>
    <w:rsid w:val="00567A34"/>
    <w:rsid w:val="005716F1"/>
    <w:rsid w:val="0057485C"/>
    <w:rsid w:val="00575D57"/>
    <w:rsid w:val="0057621D"/>
    <w:rsid w:val="005825AB"/>
    <w:rsid w:val="00586A5E"/>
    <w:rsid w:val="00594AC9"/>
    <w:rsid w:val="005960AD"/>
    <w:rsid w:val="005A2045"/>
    <w:rsid w:val="005A4F88"/>
    <w:rsid w:val="005B0406"/>
    <w:rsid w:val="005B4C81"/>
    <w:rsid w:val="005C0AAE"/>
    <w:rsid w:val="005C1B52"/>
    <w:rsid w:val="005C4650"/>
    <w:rsid w:val="005D077B"/>
    <w:rsid w:val="005D3C59"/>
    <w:rsid w:val="005D3F63"/>
    <w:rsid w:val="005D748F"/>
    <w:rsid w:val="005E426A"/>
    <w:rsid w:val="005E53DB"/>
    <w:rsid w:val="005E5D0D"/>
    <w:rsid w:val="005F0DA7"/>
    <w:rsid w:val="005F3674"/>
    <w:rsid w:val="005F3C06"/>
    <w:rsid w:val="005F4243"/>
    <w:rsid w:val="005F4D36"/>
    <w:rsid w:val="005F50B0"/>
    <w:rsid w:val="00600844"/>
    <w:rsid w:val="006008A5"/>
    <w:rsid w:val="00600914"/>
    <w:rsid w:val="00601B49"/>
    <w:rsid w:val="0060341F"/>
    <w:rsid w:val="00603495"/>
    <w:rsid w:val="0060380B"/>
    <w:rsid w:val="00604515"/>
    <w:rsid w:val="00604F53"/>
    <w:rsid w:val="006051D7"/>
    <w:rsid w:val="00606373"/>
    <w:rsid w:val="00607C9C"/>
    <w:rsid w:val="0061208B"/>
    <w:rsid w:val="00613A2F"/>
    <w:rsid w:val="00615D9D"/>
    <w:rsid w:val="006165E3"/>
    <w:rsid w:val="0061696F"/>
    <w:rsid w:val="00620D27"/>
    <w:rsid w:val="00625517"/>
    <w:rsid w:val="00627E93"/>
    <w:rsid w:val="006320E9"/>
    <w:rsid w:val="00633D60"/>
    <w:rsid w:val="006340FE"/>
    <w:rsid w:val="006436EC"/>
    <w:rsid w:val="00646116"/>
    <w:rsid w:val="00646983"/>
    <w:rsid w:val="00647255"/>
    <w:rsid w:val="00647321"/>
    <w:rsid w:val="006507A9"/>
    <w:rsid w:val="00650F78"/>
    <w:rsid w:val="00652914"/>
    <w:rsid w:val="0065310C"/>
    <w:rsid w:val="006544A3"/>
    <w:rsid w:val="00655377"/>
    <w:rsid w:val="006577D2"/>
    <w:rsid w:val="00665523"/>
    <w:rsid w:val="00667E3A"/>
    <w:rsid w:val="006749E6"/>
    <w:rsid w:val="00674FDD"/>
    <w:rsid w:val="0067594D"/>
    <w:rsid w:val="00676563"/>
    <w:rsid w:val="00680D0D"/>
    <w:rsid w:val="006840BD"/>
    <w:rsid w:val="00696521"/>
    <w:rsid w:val="006A0095"/>
    <w:rsid w:val="006A0BC9"/>
    <w:rsid w:val="006A6F46"/>
    <w:rsid w:val="006B1C73"/>
    <w:rsid w:val="006B2126"/>
    <w:rsid w:val="006B2826"/>
    <w:rsid w:val="006B569E"/>
    <w:rsid w:val="006B6A5A"/>
    <w:rsid w:val="006C2B4B"/>
    <w:rsid w:val="006C545B"/>
    <w:rsid w:val="006C5D79"/>
    <w:rsid w:val="006C62E7"/>
    <w:rsid w:val="006C6500"/>
    <w:rsid w:val="006C775B"/>
    <w:rsid w:val="006D3DEA"/>
    <w:rsid w:val="006E0796"/>
    <w:rsid w:val="006E0EC1"/>
    <w:rsid w:val="006E4285"/>
    <w:rsid w:val="006E6697"/>
    <w:rsid w:val="006E6CB4"/>
    <w:rsid w:val="006F0670"/>
    <w:rsid w:val="006F0D86"/>
    <w:rsid w:val="006F1F15"/>
    <w:rsid w:val="006F22AA"/>
    <w:rsid w:val="006F25FE"/>
    <w:rsid w:val="007002F0"/>
    <w:rsid w:val="00702A66"/>
    <w:rsid w:val="00710701"/>
    <w:rsid w:val="00711C93"/>
    <w:rsid w:val="00711E6F"/>
    <w:rsid w:val="00712D9E"/>
    <w:rsid w:val="00717B39"/>
    <w:rsid w:val="00720EA3"/>
    <w:rsid w:val="00721573"/>
    <w:rsid w:val="00721682"/>
    <w:rsid w:val="0072198A"/>
    <w:rsid w:val="00721991"/>
    <w:rsid w:val="0072512E"/>
    <w:rsid w:val="007260C1"/>
    <w:rsid w:val="00734316"/>
    <w:rsid w:val="007366BE"/>
    <w:rsid w:val="00737AE6"/>
    <w:rsid w:val="00741746"/>
    <w:rsid w:val="00742BDF"/>
    <w:rsid w:val="007468C9"/>
    <w:rsid w:val="007515C4"/>
    <w:rsid w:val="007545A5"/>
    <w:rsid w:val="007602E0"/>
    <w:rsid w:val="00762896"/>
    <w:rsid w:val="00767E12"/>
    <w:rsid w:val="0077002E"/>
    <w:rsid w:val="0077584C"/>
    <w:rsid w:val="00775CF5"/>
    <w:rsid w:val="00777D49"/>
    <w:rsid w:val="00782419"/>
    <w:rsid w:val="00782832"/>
    <w:rsid w:val="00783094"/>
    <w:rsid w:val="007846F1"/>
    <w:rsid w:val="007977E5"/>
    <w:rsid w:val="007A032C"/>
    <w:rsid w:val="007A1594"/>
    <w:rsid w:val="007A2DB4"/>
    <w:rsid w:val="007A35AE"/>
    <w:rsid w:val="007A4A6A"/>
    <w:rsid w:val="007A71CB"/>
    <w:rsid w:val="007A7D4B"/>
    <w:rsid w:val="007B29D1"/>
    <w:rsid w:val="007B568B"/>
    <w:rsid w:val="007D27EF"/>
    <w:rsid w:val="007D68D7"/>
    <w:rsid w:val="007D7528"/>
    <w:rsid w:val="007D756A"/>
    <w:rsid w:val="007D79B6"/>
    <w:rsid w:val="007E07FD"/>
    <w:rsid w:val="007E3186"/>
    <w:rsid w:val="007E7139"/>
    <w:rsid w:val="007F18B3"/>
    <w:rsid w:val="007F1AC6"/>
    <w:rsid w:val="007F5BD2"/>
    <w:rsid w:val="007F6D94"/>
    <w:rsid w:val="007F6E8C"/>
    <w:rsid w:val="007F7EDB"/>
    <w:rsid w:val="00800BBD"/>
    <w:rsid w:val="00800F1A"/>
    <w:rsid w:val="008056FF"/>
    <w:rsid w:val="00806F59"/>
    <w:rsid w:val="00812644"/>
    <w:rsid w:val="0081412F"/>
    <w:rsid w:val="00815326"/>
    <w:rsid w:val="00817C60"/>
    <w:rsid w:val="0082282B"/>
    <w:rsid w:val="00822E25"/>
    <w:rsid w:val="00825EF7"/>
    <w:rsid w:val="00830863"/>
    <w:rsid w:val="00830DEC"/>
    <w:rsid w:val="00830EBF"/>
    <w:rsid w:val="008318DC"/>
    <w:rsid w:val="008364AD"/>
    <w:rsid w:val="00844337"/>
    <w:rsid w:val="00845208"/>
    <w:rsid w:val="00845E97"/>
    <w:rsid w:val="00855429"/>
    <w:rsid w:val="00863192"/>
    <w:rsid w:val="008652C7"/>
    <w:rsid w:val="00865464"/>
    <w:rsid w:val="00872780"/>
    <w:rsid w:val="00873CBE"/>
    <w:rsid w:val="00875318"/>
    <w:rsid w:val="0087542E"/>
    <w:rsid w:val="00876A6F"/>
    <w:rsid w:val="008774E8"/>
    <w:rsid w:val="00881156"/>
    <w:rsid w:val="00882A63"/>
    <w:rsid w:val="00882D49"/>
    <w:rsid w:val="008879C9"/>
    <w:rsid w:val="00887C9C"/>
    <w:rsid w:val="008902FC"/>
    <w:rsid w:val="0089082B"/>
    <w:rsid w:val="00892B6A"/>
    <w:rsid w:val="0089585C"/>
    <w:rsid w:val="008969F8"/>
    <w:rsid w:val="008A0108"/>
    <w:rsid w:val="008A0DB7"/>
    <w:rsid w:val="008A5040"/>
    <w:rsid w:val="008A5E74"/>
    <w:rsid w:val="008B0F55"/>
    <w:rsid w:val="008B45F0"/>
    <w:rsid w:val="008B4ED4"/>
    <w:rsid w:val="008B5953"/>
    <w:rsid w:val="008B626D"/>
    <w:rsid w:val="008B68FE"/>
    <w:rsid w:val="008B6F67"/>
    <w:rsid w:val="008C3AB6"/>
    <w:rsid w:val="008C5B20"/>
    <w:rsid w:val="008D03F5"/>
    <w:rsid w:val="008D4217"/>
    <w:rsid w:val="008D7ADF"/>
    <w:rsid w:val="008D7DC6"/>
    <w:rsid w:val="008E0C8F"/>
    <w:rsid w:val="008E122E"/>
    <w:rsid w:val="008E468D"/>
    <w:rsid w:val="008E497D"/>
    <w:rsid w:val="008E65E2"/>
    <w:rsid w:val="008F738C"/>
    <w:rsid w:val="00902824"/>
    <w:rsid w:val="00902A66"/>
    <w:rsid w:val="0090695B"/>
    <w:rsid w:val="009076E4"/>
    <w:rsid w:val="00910854"/>
    <w:rsid w:val="00922011"/>
    <w:rsid w:val="009256E3"/>
    <w:rsid w:val="00927586"/>
    <w:rsid w:val="00933792"/>
    <w:rsid w:val="009417FF"/>
    <w:rsid w:val="00942B23"/>
    <w:rsid w:val="009468DC"/>
    <w:rsid w:val="009523F9"/>
    <w:rsid w:val="00954ED2"/>
    <w:rsid w:val="00956600"/>
    <w:rsid w:val="00957286"/>
    <w:rsid w:val="0096082D"/>
    <w:rsid w:val="00963C32"/>
    <w:rsid w:val="00963DDD"/>
    <w:rsid w:val="0096707F"/>
    <w:rsid w:val="009674DA"/>
    <w:rsid w:val="00967511"/>
    <w:rsid w:val="00972AEB"/>
    <w:rsid w:val="00981212"/>
    <w:rsid w:val="00981BAC"/>
    <w:rsid w:val="009845E8"/>
    <w:rsid w:val="00985B1C"/>
    <w:rsid w:val="00985C25"/>
    <w:rsid w:val="00985F79"/>
    <w:rsid w:val="00987E64"/>
    <w:rsid w:val="00990406"/>
    <w:rsid w:val="00990AE3"/>
    <w:rsid w:val="009964E5"/>
    <w:rsid w:val="009B1EAC"/>
    <w:rsid w:val="009B23C6"/>
    <w:rsid w:val="009B4DF5"/>
    <w:rsid w:val="009B57B8"/>
    <w:rsid w:val="009C3251"/>
    <w:rsid w:val="009C33C2"/>
    <w:rsid w:val="009C5331"/>
    <w:rsid w:val="009C5B2D"/>
    <w:rsid w:val="009C7EE5"/>
    <w:rsid w:val="009D2862"/>
    <w:rsid w:val="009E0144"/>
    <w:rsid w:val="009E09EF"/>
    <w:rsid w:val="009E33E4"/>
    <w:rsid w:val="009E6C9A"/>
    <w:rsid w:val="009F0503"/>
    <w:rsid w:val="009F1BF1"/>
    <w:rsid w:val="009F1CAF"/>
    <w:rsid w:val="009F3DB2"/>
    <w:rsid w:val="009F672F"/>
    <w:rsid w:val="009F7AF9"/>
    <w:rsid w:val="00A00A73"/>
    <w:rsid w:val="00A0355A"/>
    <w:rsid w:val="00A035F6"/>
    <w:rsid w:val="00A07B5D"/>
    <w:rsid w:val="00A1091E"/>
    <w:rsid w:val="00A17750"/>
    <w:rsid w:val="00A17A15"/>
    <w:rsid w:val="00A2005E"/>
    <w:rsid w:val="00A22AD6"/>
    <w:rsid w:val="00A25C52"/>
    <w:rsid w:val="00A27F3D"/>
    <w:rsid w:val="00A30085"/>
    <w:rsid w:val="00A31F5D"/>
    <w:rsid w:val="00A32A35"/>
    <w:rsid w:val="00A32F5A"/>
    <w:rsid w:val="00A33499"/>
    <w:rsid w:val="00A3427F"/>
    <w:rsid w:val="00A406C9"/>
    <w:rsid w:val="00A4100E"/>
    <w:rsid w:val="00A43041"/>
    <w:rsid w:val="00A4326B"/>
    <w:rsid w:val="00A434D8"/>
    <w:rsid w:val="00A45CCD"/>
    <w:rsid w:val="00A478AA"/>
    <w:rsid w:val="00A51390"/>
    <w:rsid w:val="00A532BC"/>
    <w:rsid w:val="00A53CC7"/>
    <w:rsid w:val="00A54422"/>
    <w:rsid w:val="00A55125"/>
    <w:rsid w:val="00A5545D"/>
    <w:rsid w:val="00A56813"/>
    <w:rsid w:val="00A57B4A"/>
    <w:rsid w:val="00A60C91"/>
    <w:rsid w:val="00A66082"/>
    <w:rsid w:val="00A6641A"/>
    <w:rsid w:val="00A673B1"/>
    <w:rsid w:val="00A67CE3"/>
    <w:rsid w:val="00A716BE"/>
    <w:rsid w:val="00A748E3"/>
    <w:rsid w:val="00A75228"/>
    <w:rsid w:val="00A75790"/>
    <w:rsid w:val="00A76ED1"/>
    <w:rsid w:val="00A7762F"/>
    <w:rsid w:val="00A779E2"/>
    <w:rsid w:val="00A80C7E"/>
    <w:rsid w:val="00A8202F"/>
    <w:rsid w:val="00A9138C"/>
    <w:rsid w:val="00A93531"/>
    <w:rsid w:val="00A944C9"/>
    <w:rsid w:val="00A94E94"/>
    <w:rsid w:val="00A96313"/>
    <w:rsid w:val="00A9771B"/>
    <w:rsid w:val="00AA338D"/>
    <w:rsid w:val="00AA372D"/>
    <w:rsid w:val="00AA3CE3"/>
    <w:rsid w:val="00AA431D"/>
    <w:rsid w:val="00AA5FFB"/>
    <w:rsid w:val="00AA6765"/>
    <w:rsid w:val="00AA6CAA"/>
    <w:rsid w:val="00AB0AF2"/>
    <w:rsid w:val="00AB15B6"/>
    <w:rsid w:val="00AB1E43"/>
    <w:rsid w:val="00AB3079"/>
    <w:rsid w:val="00AB377D"/>
    <w:rsid w:val="00AB6949"/>
    <w:rsid w:val="00AB6BE9"/>
    <w:rsid w:val="00AC1A1D"/>
    <w:rsid w:val="00AC1FCE"/>
    <w:rsid w:val="00AC3020"/>
    <w:rsid w:val="00AC36A2"/>
    <w:rsid w:val="00AC3EF6"/>
    <w:rsid w:val="00AC5EB7"/>
    <w:rsid w:val="00AC64F7"/>
    <w:rsid w:val="00AC7D99"/>
    <w:rsid w:val="00AD1FAD"/>
    <w:rsid w:val="00AD2F0D"/>
    <w:rsid w:val="00AD53EB"/>
    <w:rsid w:val="00AD6802"/>
    <w:rsid w:val="00AE04F8"/>
    <w:rsid w:val="00AE7998"/>
    <w:rsid w:val="00AF03E2"/>
    <w:rsid w:val="00AF0A6C"/>
    <w:rsid w:val="00AF19DB"/>
    <w:rsid w:val="00AF625A"/>
    <w:rsid w:val="00B005EC"/>
    <w:rsid w:val="00B02911"/>
    <w:rsid w:val="00B0580C"/>
    <w:rsid w:val="00B06E9E"/>
    <w:rsid w:val="00B1292A"/>
    <w:rsid w:val="00B15098"/>
    <w:rsid w:val="00B21926"/>
    <w:rsid w:val="00B2216D"/>
    <w:rsid w:val="00B22C74"/>
    <w:rsid w:val="00B36514"/>
    <w:rsid w:val="00B3683B"/>
    <w:rsid w:val="00B36DE0"/>
    <w:rsid w:val="00B373EB"/>
    <w:rsid w:val="00B424B6"/>
    <w:rsid w:val="00B42857"/>
    <w:rsid w:val="00B44F24"/>
    <w:rsid w:val="00B45DD9"/>
    <w:rsid w:val="00B505A3"/>
    <w:rsid w:val="00B54118"/>
    <w:rsid w:val="00B557F3"/>
    <w:rsid w:val="00B5691F"/>
    <w:rsid w:val="00B57273"/>
    <w:rsid w:val="00B57C49"/>
    <w:rsid w:val="00B57F9C"/>
    <w:rsid w:val="00B65270"/>
    <w:rsid w:val="00B65BD6"/>
    <w:rsid w:val="00B705D6"/>
    <w:rsid w:val="00B706B1"/>
    <w:rsid w:val="00B74E6E"/>
    <w:rsid w:val="00B75419"/>
    <w:rsid w:val="00B75B74"/>
    <w:rsid w:val="00B76165"/>
    <w:rsid w:val="00B761B6"/>
    <w:rsid w:val="00B831E1"/>
    <w:rsid w:val="00B8773B"/>
    <w:rsid w:val="00B91370"/>
    <w:rsid w:val="00B920F1"/>
    <w:rsid w:val="00B925F5"/>
    <w:rsid w:val="00B92981"/>
    <w:rsid w:val="00B93C49"/>
    <w:rsid w:val="00B94A59"/>
    <w:rsid w:val="00B9768C"/>
    <w:rsid w:val="00BA2A2E"/>
    <w:rsid w:val="00BA2A57"/>
    <w:rsid w:val="00BA2F65"/>
    <w:rsid w:val="00BA61BB"/>
    <w:rsid w:val="00BB07E3"/>
    <w:rsid w:val="00BB18FB"/>
    <w:rsid w:val="00BB370D"/>
    <w:rsid w:val="00BB40F5"/>
    <w:rsid w:val="00BB7DE5"/>
    <w:rsid w:val="00BC1BF2"/>
    <w:rsid w:val="00BC4F96"/>
    <w:rsid w:val="00BC5D06"/>
    <w:rsid w:val="00BC671C"/>
    <w:rsid w:val="00BD1D39"/>
    <w:rsid w:val="00BE2B0F"/>
    <w:rsid w:val="00BE3809"/>
    <w:rsid w:val="00C0076F"/>
    <w:rsid w:val="00C03F8E"/>
    <w:rsid w:val="00C04400"/>
    <w:rsid w:val="00C04FCA"/>
    <w:rsid w:val="00C054DE"/>
    <w:rsid w:val="00C07007"/>
    <w:rsid w:val="00C1434A"/>
    <w:rsid w:val="00C1552A"/>
    <w:rsid w:val="00C17C18"/>
    <w:rsid w:val="00C21DEE"/>
    <w:rsid w:val="00C2627D"/>
    <w:rsid w:val="00C30673"/>
    <w:rsid w:val="00C32E5C"/>
    <w:rsid w:val="00C347D3"/>
    <w:rsid w:val="00C3502B"/>
    <w:rsid w:val="00C406B8"/>
    <w:rsid w:val="00C4510E"/>
    <w:rsid w:val="00C471AC"/>
    <w:rsid w:val="00C50E19"/>
    <w:rsid w:val="00C51BC8"/>
    <w:rsid w:val="00C529D8"/>
    <w:rsid w:val="00C6156D"/>
    <w:rsid w:val="00C61B8D"/>
    <w:rsid w:val="00C630E8"/>
    <w:rsid w:val="00C6350B"/>
    <w:rsid w:val="00C74500"/>
    <w:rsid w:val="00C75B5E"/>
    <w:rsid w:val="00C75C83"/>
    <w:rsid w:val="00C760E3"/>
    <w:rsid w:val="00C76743"/>
    <w:rsid w:val="00C76A03"/>
    <w:rsid w:val="00C76C7B"/>
    <w:rsid w:val="00C77E2C"/>
    <w:rsid w:val="00C81EEC"/>
    <w:rsid w:val="00C86B4D"/>
    <w:rsid w:val="00C87826"/>
    <w:rsid w:val="00C91B88"/>
    <w:rsid w:val="00C92714"/>
    <w:rsid w:val="00C94548"/>
    <w:rsid w:val="00C94DF6"/>
    <w:rsid w:val="00C966FD"/>
    <w:rsid w:val="00CA044F"/>
    <w:rsid w:val="00CA6B66"/>
    <w:rsid w:val="00CB370A"/>
    <w:rsid w:val="00CB5704"/>
    <w:rsid w:val="00CB638A"/>
    <w:rsid w:val="00CB7BC8"/>
    <w:rsid w:val="00CC05BE"/>
    <w:rsid w:val="00CC4ED3"/>
    <w:rsid w:val="00CC601B"/>
    <w:rsid w:val="00CC7598"/>
    <w:rsid w:val="00CD144D"/>
    <w:rsid w:val="00CD4FE8"/>
    <w:rsid w:val="00CE0957"/>
    <w:rsid w:val="00CE0C9A"/>
    <w:rsid w:val="00CF0285"/>
    <w:rsid w:val="00CF0F49"/>
    <w:rsid w:val="00CF4ECA"/>
    <w:rsid w:val="00CF51A9"/>
    <w:rsid w:val="00CF6092"/>
    <w:rsid w:val="00CF7DD5"/>
    <w:rsid w:val="00D00541"/>
    <w:rsid w:val="00D1261E"/>
    <w:rsid w:val="00D12CCF"/>
    <w:rsid w:val="00D14A65"/>
    <w:rsid w:val="00D14E4F"/>
    <w:rsid w:val="00D17BD1"/>
    <w:rsid w:val="00D2101B"/>
    <w:rsid w:val="00D22FAE"/>
    <w:rsid w:val="00D23B70"/>
    <w:rsid w:val="00D2451A"/>
    <w:rsid w:val="00D26A8C"/>
    <w:rsid w:val="00D27A59"/>
    <w:rsid w:val="00D302FF"/>
    <w:rsid w:val="00D30F13"/>
    <w:rsid w:val="00D33CCB"/>
    <w:rsid w:val="00D35726"/>
    <w:rsid w:val="00D36ABE"/>
    <w:rsid w:val="00D4233B"/>
    <w:rsid w:val="00D44122"/>
    <w:rsid w:val="00D44777"/>
    <w:rsid w:val="00D4645F"/>
    <w:rsid w:val="00D479CC"/>
    <w:rsid w:val="00D62097"/>
    <w:rsid w:val="00D626D0"/>
    <w:rsid w:val="00D71D00"/>
    <w:rsid w:val="00D851AB"/>
    <w:rsid w:val="00D91337"/>
    <w:rsid w:val="00D9288A"/>
    <w:rsid w:val="00D937EC"/>
    <w:rsid w:val="00D95008"/>
    <w:rsid w:val="00D96155"/>
    <w:rsid w:val="00D967C3"/>
    <w:rsid w:val="00D97758"/>
    <w:rsid w:val="00D97B53"/>
    <w:rsid w:val="00DA10A6"/>
    <w:rsid w:val="00DA3148"/>
    <w:rsid w:val="00DA6B7E"/>
    <w:rsid w:val="00DB2A66"/>
    <w:rsid w:val="00DB319D"/>
    <w:rsid w:val="00DC34DE"/>
    <w:rsid w:val="00DC52D6"/>
    <w:rsid w:val="00DC5AFE"/>
    <w:rsid w:val="00DD09A0"/>
    <w:rsid w:val="00DD2A32"/>
    <w:rsid w:val="00DD3AF3"/>
    <w:rsid w:val="00DD3D23"/>
    <w:rsid w:val="00DD619C"/>
    <w:rsid w:val="00DD6920"/>
    <w:rsid w:val="00DE2519"/>
    <w:rsid w:val="00DE25D8"/>
    <w:rsid w:val="00DE3D09"/>
    <w:rsid w:val="00DE7569"/>
    <w:rsid w:val="00DF197E"/>
    <w:rsid w:val="00DF70E8"/>
    <w:rsid w:val="00E02344"/>
    <w:rsid w:val="00E035E4"/>
    <w:rsid w:val="00E07BD6"/>
    <w:rsid w:val="00E1087D"/>
    <w:rsid w:val="00E10A13"/>
    <w:rsid w:val="00E12D8B"/>
    <w:rsid w:val="00E14A7A"/>
    <w:rsid w:val="00E16B8C"/>
    <w:rsid w:val="00E230A9"/>
    <w:rsid w:val="00E313AC"/>
    <w:rsid w:val="00E3142A"/>
    <w:rsid w:val="00E327EC"/>
    <w:rsid w:val="00E35F82"/>
    <w:rsid w:val="00E37A92"/>
    <w:rsid w:val="00E37C4F"/>
    <w:rsid w:val="00E37E15"/>
    <w:rsid w:val="00E403BF"/>
    <w:rsid w:val="00E5414D"/>
    <w:rsid w:val="00E55848"/>
    <w:rsid w:val="00E57975"/>
    <w:rsid w:val="00E61F56"/>
    <w:rsid w:val="00E62B5C"/>
    <w:rsid w:val="00E66A3A"/>
    <w:rsid w:val="00E70BCE"/>
    <w:rsid w:val="00E7649F"/>
    <w:rsid w:val="00E76D2A"/>
    <w:rsid w:val="00E76DDA"/>
    <w:rsid w:val="00E77BB3"/>
    <w:rsid w:val="00E81C96"/>
    <w:rsid w:val="00E82CC0"/>
    <w:rsid w:val="00E82E30"/>
    <w:rsid w:val="00EA10A6"/>
    <w:rsid w:val="00EA56CA"/>
    <w:rsid w:val="00EA6478"/>
    <w:rsid w:val="00EA7811"/>
    <w:rsid w:val="00EB2D17"/>
    <w:rsid w:val="00EB6B66"/>
    <w:rsid w:val="00EC070E"/>
    <w:rsid w:val="00EC222D"/>
    <w:rsid w:val="00EC460F"/>
    <w:rsid w:val="00EC4778"/>
    <w:rsid w:val="00EC54CE"/>
    <w:rsid w:val="00EC6E34"/>
    <w:rsid w:val="00EC7F11"/>
    <w:rsid w:val="00ED2AE0"/>
    <w:rsid w:val="00ED3241"/>
    <w:rsid w:val="00ED4FCC"/>
    <w:rsid w:val="00ED5C7E"/>
    <w:rsid w:val="00ED767C"/>
    <w:rsid w:val="00EE01F0"/>
    <w:rsid w:val="00EE2F0A"/>
    <w:rsid w:val="00EE40AE"/>
    <w:rsid w:val="00EE5378"/>
    <w:rsid w:val="00EE5AF3"/>
    <w:rsid w:val="00EE7E99"/>
    <w:rsid w:val="00EF2F48"/>
    <w:rsid w:val="00F01391"/>
    <w:rsid w:val="00F040EF"/>
    <w:rsid w:val="00F05538"/>
    <w:rsid w:val="00F17160"/>
    <w:rsid w:val="00F20455"/>
    <w:rsid w:val="00F27821"/>
    <w:rsid w:val="00F32C07"/>
    <w:rsid w:val="00F41E1C"/>
    <w:rsid w:val="00F430DF"/>
    <w:rsid w:val="00F43167"/>
    <w:rsid w:val="00F519D7"/>
    <w:rsid w:val="00F531D8"/>
    <w:rsid w:val="00F60A66"/>
    <w:rsid w:val="00F63D8C"/>
    <w:rsid w:val="00F67263"/>
    <w:rsid w:val="00F672F0"/>
    <w:rsid w:val="00F72E47"/>
    <w:rsid w:val="00F734B8"/>
    <w:rsid w:val="00F759B3"/>
    <w:rsid w:val="00F77A0E"/>
    <w:rsid w:val="00F83D17"/>
    <w:rsid w:val="00F857B6"/>
    <w:rsid w:val="00F85C2C"/>
    <w:rsid w:val="00F915C7"/>
    <w:rsid w:val="00F9197A"/>
    <w:rsid w:val="00F93D23"/>
    <w:rsid w:val="00F95867"/>
    <w:rsid w:val="00FA1046"/>
    <w:rsid w:val="00FA26E1"/>
    <w:rsid w:val="00FB0A1B"/>
    <w:rsid w:val="00FB354F"/>
    <w:rsid w:val="00FC00D6"/>
    <w:rsid w:val="00FC586D"/>
    <w:rsid w:val="00FD2A3B"/>
    <w:rsid w:val="00FD5E1F"/>
    <w:rsid w:val="00FE17F3"/>
    <w:rsid w:val="00FE78FD"/>
    <w:rsid w:val="00FE7A8E"/>
    <w:rsid w:val="00FF018F"/>
    <w:rsid w:val="00FF41F1"/>
    <w:rsid w:val="00FF6829"/>
    <w:rsid w:val="00FF7BC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58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2E"/>
  </w:style>
  <w:style w:type="paragraph" w:styleId="Heading1">
    <w:name w:val="heading 1"/>
    <w:basedOn w:val="Normal"/>
    <w:next w:val="Normal"/>
    <w:link w:val="Heading1Char"/>
    <w:uiPriority w:val="9"/>
    <w:qFormat/>
    <w:rsid w:val="00770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0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00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700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00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00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00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0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0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00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0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0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0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0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0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2E"/>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00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002E"/>
    <w:rPr>
      <w:i/>
      <w:iCs/>
      <w:color w:val="404040" w:themeColor="text1" w:themeTint="BF"/>
    </w:rPr>
  </w:style>
  <w:style w:type="paragraph" w:styleId="ListParagraph">
    <w:name w:val="List Paragraph"/>
    <w:basedOn w:val="Normal"/>
    <w:uiPriority w:val="34"/>
    <w:qFormat/>
    <w:rsid w:val="0077002E"/>
    <w:pPr>
      <w:ind w:left="720"/>
      <w:contextualSpacing/>
    </w:pPr>
  </w:style>
  <w:style w:type="character" w:styleId="IntenseEmphasis">
    <w:name w:val="Intense Emphasis"/>
    <w:basedOn w:val="DefaultParagraphFont"/>
    <w:uiPriority w:val="21"/>
    <w:qFormat/>
    <w:rsid w:val="0077002E"/>
    <w:rPr>
      <w:i/>
      <w:iCs/>
      <w:color w:val="2F5496" w:themeColor="accent1" w:themeShade="BF"/>
    </w:rPr>
  </w:style>
  <w:style w:type="paragraph" w:styleId="IntenseQuote">
    <w:name w:val="Intense Quote"/>
    <w:basedOn w:val="Normal"/>
    <w:next w:val="Normal"/>
    <w:link w:val="IntenseQuoteChar"/>
    <w:uiPriority w:val="30"/>
    <w:qFormat/>
    <w:rsid w:val="00770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02E"/>
    <w:rPr>
      <w:i/>
      <w:iCs/>
      <w:color w:val="2F5496" w:themeColor="accent1" w:themeShade="BF"/>
    </w:rPr>
  </w:style>
  <w:style w:type="character" w:styleId="IntenseReference">
    <w:name w:val="Intense Reference"/>
    <w:basedOn w:val="DefaultParagraphFont"/>
    <w:uiPriority w:val="32"/>
    <w:qFormat/>
    <w:rsid w:val="0077002E"/>
    <w:rPr>
      <w:b/>
      <w:bCs/>
      <w:smallCaps/>
      <w:color w:val="2F5496" w:themeColor="accent1" w:themeShade="BF"/>
      <w:spacing w:val="5"/>
    </w:rPr>
  </w:style>
  <w:style w:type="paragraph" w:styleId="Footer">
    <w:name w:val="footer"/>
    <w:basedOn w:val="Normal"/>
    <w:link w:val="FooterChar"/>
    <w:uiPriority w:val="99"/>
    <w:unhideWhenUsed/>
    <w:rsid w:val="0077002E"/>
    <w:pPr>
      <w:tabs>
        <w:tab w:val="center" w:pos="4513"/>
        <w:tab w:val="right" w:pos="9026"/>
      </w:tabs>
      <w:spacing w:line="240" w:lineRule="auto"/>
    </w:pPr>
  </w:style>
  <w:style w:type="character" w:customStyle="1" w:styleId="FooterChar">
    <w:name w:val="Footer Char"/>
    <w:basedOn w:val="DefaultParagraphFont"/>
    <w:link w:val="Footer"/>
    <w:uiPriority w:val="99"/>
    <w:rsid w:val="0077002E"/>
  </w:style>
  <w:style w:type="paragraph" w:styleId="CommentText">
    <w:name w:val="annotation text"/>
    <w:basedOn w:val="Normal"/>
    <w:link w:val="CommentTextChar"/>
    <w:uiPriority w:val="99"/>
    <w:semiHidden/>
    <w:unhideWhenUsed/>
    <w:rsid w:val="0077002E"/>
    <w:pPr>
      <w:spacing w:line="240" w:lineRule="auto"/>
    </w:pPr>
    <w:rPr>
      <w:sz w:val="20"/>
      <w:szCs w:val="20"/>
    </w:rPr>
  </w:style>
  <w:style w:type="character" w:customStyle="1" w:styleId="CommentTextChar">
    <w:name w:val="Comment Text Char"/>
    <w:basedOn w:val="DefaultParagraphFont"/>
    <w:link w:val="CommentText"/>
    <w:uiPriority w:val="99"/>
    <w:semiHidden/>
    <w:rsid w:val="0077002E"/>
    <w:rPr>
      <w:sz w:val="20"/>
      <w:szCs w:val="20"/>
    </w:rPr>
  </w:style>
  <w:style w:type="table" w:styleId="TableGrid">
    <w:name w:val="Table Grid"/>
    <w:basedOn w:val="TableNormal"/>
    <w:rsid w:val="0077002E"/>
    <w:pPr>
      <w:spacing w:line="240" w:lineRule="auto"/>
      <w:ind w:firstLine="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02E"/>
    <w:rPr>
      <w:sz w:val="16"/>
      <w:szCs w:val="16"/>
    </w:rPr>
  </w:style>
  <w:style w:type="paragraph" w:styleId="Header">
    <w:name w:val="header"/>
    <w:basedOn w:val="Normal"/>
    <w:link w:val="HeaderChar"/>
    <w:uiPriority w:val="99"/>
    <w:unhideWhenUsed/>
    <w:rsid w:val="001437ED"/>
    <w:pPr>
      <w:tabs>
        <w:tab w:val="center" w:pos="4513"/>
        <w:tab w:val="right" w:pos="9026"/>
      </w:tabs>
      <w:spacing w:line="240" w:lineRule="auto"/>
    </w:pPr>
  </w:style>
  <w:style w:type="character" w:customStyle="1" w:styleId="HeaderChar">
    <w:name w:val="Header Char"/>
    <w:basedOn w:val="DefaultParagraphFont"/>
    <w:link w:val="Header"/>
    <w:uiPriority w:val="99"/>
    <w:rsid w:val="001437ED"/>
  </w:style>
  <w:style w:type="character" w:styleId="Hyperlink">
    <w:name w:val="Hyperlink"/>
    <w:basedOn w:val="DefaultParagraphFont"/>
    <w:uiPriority w:val="99"/>
    <w:unhideWhenUsed/>
    <w:rsid w:val="00280274"/>
    <w:rPr>
      <w:color w:val="0563C1" w:themeColor="hyperlink"/>
      <w:u w:val="single"/>
    </w:rPr>
  </w:style>
  <w:style w:type="character" w:styleId="UnresolvedMention">
    <w:name w:val="Unresolved Mention"/>
    <w:basedOn w:val="DefaultParagraphFont"/>
    <w:uiPriority w:val="99"/>
    <w:semiHidden/>
    <w:unhideWhenUsed/>
    <w:rsid w:val="00280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way.elieta.lv/api/v1/PublicMaterialDownload/75d51db3-3ded-429b-a0b2-243aff9c493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13307</Words>
  <Characters>7585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2025-06-13T10:26:00Z</dcterms:created>
  <dcterms:modified xsi:type="dcterms:W3CDTF">2025-08-29T07:18:00Z</dcterms:modified>
</cp:coreProperties>
</file>