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A3026" w14:textId="77777777" w:rsidR="00F63AD4" w:rsidRPr="005F6E96" w:rsidRDefault="00F63AD4" w:rsidP="00091404">
      <w:pPr>
        <w:ind w:firstLine="0"/>
        <w:rPr>
          <w:b/>
          <w:bCs/>
        </w:rPr>
      </w:pPr>
      <w:r w:rsidRPr="005F6E96">
        <w:rPr>
          <w:b/>
          <w:bCs/>
        </w:rPr>
        <w:t>Ar tulkošanu saistīto procesuālo izdevumu piedziņa kriminālprocesā</w:t>
      </w:r>
    </w:p>
    <w:p w14:paraId="7D85F772" w14:textId="30D63FF0" w:rsidR="00F63AD4" w:rsidRPr="005F6E96" w:rsidRDefault="00F63AD4" w:rsidP="00091404">
      <w:pPr>
        <w:ind w:firstLine="0"/>
      </w:pPr>
      <w:r w:rsidRPr="005F6E96">
        <w:t xml:space="preserve">Personām, kuras procesa virzītājs iesaistījis kriminālprocesā, tulka palīdzība ir jānodrošina bez atlīdzības, </w:t>
      </w:r>
      <w:r w:rsidR="00091404" w:rsidRPr="00091404">
        <w:rPr>
          <w:rFonts w:cs="Times New Roman"/>
          <w:szCs w:val="24"/>
        </w:rPr>
        <w:t>neprasot atlīdzināt ar to saistītos izdevumus arī no notiesātā</w:t>
      </w:r>
      <w:r w:rsidRPr="00091404">
        <w:t xml:space="preserve">. </w:t>
      </w:r>
      <w:r w:rsidRPr="005F6E96">
        <w:t>Turklāt izņēmums no vispārīgā noteikuma par procesuālo izdevumu piedziņu no notiesātā ir interpretējams plaši – izdevumi par tulka vai tulkotāja pakalpojumiem, neatkarīgi no to veida (</w:t>
      </w:r>
      <w:r w:rsidRPr="00143A27">
        <w:t>mutisks vai rakstisks)</w:t>
      </w:r>
      <w:r w:rsidRPr="005F6E96">
        <w:t xml:space="preserve"> un personas statusa (tulkojums nodrošināts apsūdzētajam, lieciniekam vai citai kriminālprocesā iesaistītai personai), nav piedzenami no notiesātā. Šos izdevumus sedz valsts, ja vien tiesību normas izņēmuma kārtā neparedz citādi.</w:t>
      </w:r>
    </w:p>
    <w:p w14:paraId="6790EEBD" w14:textId="41138772" w:rsidR="00AF37A6" w:rsidRPr="00EE15FD" w:rsidRDefault="00AF37A6" w:rsidP="00091404">
      <w:pPr>
        <w:ind w:firstLine="0"/>
        <w:rPr>
          <w:rFonts w:eastAsia="Times New Roman" w:cs="Times New Roman"/>
          <w:szCs w:val="24"/>
          <w:lang w:eastAsia="ru-RU"/>
        </w:rPr>
      </w:pPr>
    </w:p>
    <w:p w14:paraId="7996693A" w14:textId="14BE3B66" w:rsidR="00AF37A6" w:rsidRPr="00F63AD4" w:rsidRDefault="00AF37A6" w:rsidP="00F63AD4">
      <w:pPr>
        <w:ind w:firstLine="0"/>
        <w:jc w:val="center"/>
        <w:rPr>
          <w:rFonts w:eastAsia="Times New Roman" w:cs="Times New Roman"/>
          <w:b/>
          <w:szCs w:val="24"/>
          <w:lang w:eastAsia="ru-RU"/>
        </w:rPr>
      </w:pPr>
      <w:r w:rsidRPr="00F63AD4">
        <w:rPr>
          <w:rFonts w:eastAsia="Times New Roman" w:cs="Times New Roman"/>
          <w:b/>
          <w:szCs w:val="24"/>
          <w:lang w:eastAsia="ru-RU"/>
        </w:rPr>
        <w:t>Latvijas Republikas Senāt</w:t>
      </w:r>
      <w:r w:rsidR="00F63AD4">
        <w:rPr>
          <w:rFonts w:eastAsia="Times New Roman" w:cs="Times New Roman"/>
          <w:b/>
          <w:szCs w:val="24"/>
          <w:lang w:eastAsia="ru-RU"/>
        </w:rPr>
        <w:t>a</w:t>
      </w:r>
    </w:p>
    <w:p w14:paraId="697F9840" w14:textId="5C9EE691" w:rsidR="00F63AD4" w:rsidRPr="00F63AD4" w:rsidRDefault="00F63AD4" w:rsidP="00F63AD4">
      <w:pPr>
        <w:ind w:firstLine="0"/>
        <w:jc w:val="center"/>
        <w:rPr>
          <w:rFonts w:eastAsia="Times New Roman" w:cs="Times New Roman"/>
          <w:b/>
          <w:szCs w:val="24"/>
          <w:lang w:eastAsia="ru-RU"/>
        </w:rPr>
      </w:pPr>
      <w:r w:rsidRPr="00F63AD4">
        <w:rPr>
          <w:rFonts w:eastAsia="Times New Roman" w:cs="Times New Roman"/>
          <w:b/>
          <w:szCs w:val="24"/>
          <w:lang w:eastAsia="ru-RU"/>
        </w:rPr>
        <w:t>Krimināllietu departament</w:t>
      </w:r>
      <w:r>
        <w:rPr>
          <w:rFonts w:eastAsia="Times New Roman" w:cs="Times New Roman"/>
          <w:b/>
          <w:szCs w:val="24"/>
          <w:lang w:eastAsia="ru-RU"/>
        </w:rPr>
        <w:t>a</w:t>
      </w:r>
    </w:p>
    <w:p w14:paraId="4E6BD914" w14:textId="303608F7" w:rsidR="00F63AD4" w:rsidRPr="00F63AD4" w:rsidRDefault="00F63AD4" w:rsidP="00F63AD4">
      <w:pPr>
        <w:ind w:firstLine="0"/>
        <w:jc w:val="center"/>
        <w:rPr>
          <w:rFonts w:eastAsia="Times New Roman" w:cs="Times New Roman"/>
          <w:b/>
          <w:szCs w:val="24"/>
          <w:lang w:eastAsia="ru-RU"/>
        </w:rPr>
      </w:pPr>
      <w:r w:rsidRPr="00F63AD4">
        <w:rPr>
          <w:rFonts w:eastAsia="Times New Roman" w:cs="Times New Roman"/>
          <w:b/>
          <w:szCs w:val="24"/>
          <w:lang w:eastAsia="ru-RU"/>
        </w:rPr>
        <w:t xml:space="preserve">2025. gada </w:t>
      </w:r>
      <w:r w:rsidRPr="00F63AD4">
        <w:rPr>
          <w:rFonts w:cs="Times New Roman"/>
          <w:b/>
          <w:szCs w:val="24"/>
        </w:rPr>
        <w:t>20. maij</w:t>
      </w:r>
      <w:r>
        <w:rPr>
          <w:rFonts w:cs="Times New Roman"/>
          <w:b/>
          <w:szCs w:val="24"/>
        </w:rPr>
        <w:t>a</w:t>
      </w:r>
    </w:p>
    <w:p w14:paraId="65CB6685" w14:textId="04BAED8F" w:rsidR="00F63AD4" w:rsidRPr="00F63AD4" w:rsidRDefault="00AF37A6" w:rsidP="00F63AD4">
      <w:pPr>
        <w:ind w:firstLine="0"/>
        <w:jc w:val="center"/>
        <w:rPr>
          <w:rFonts w:eastAsia="Times New Roman" w:cs="Times New Roman"/>
          <w:b/>
          <w:szCs w:val="24"/>
          <w:lang w:eastAsia="ru-RU"/>
        </w:rPr>
      </w:pPr>
      <w:r w:rsidRPr="00F63AD4">
        <w:rPr>
          <w:rFonts w:eastAsia="Times New Roman" w:cs="Times New Roman"/>
          <w:b/>
          <w:szCs w:val="24"/>
          <w:lang w:eastAsia="ru-RU"/>
        </w:rPr>
        <w:t>LĒMUMS</w:t>
      </w:r>
    </w:p>
    <w:p w14:paraId="78014B63" w14:textId="3F6A22F2" w:rsidR="00F63AD4" w:rsidRPr="00F63AD4" w:rsidRDefault="00F63AD4" w:rsidP="00F63AD4">
      <w:pPr>
        <w:ind w:firstLine="0"/>
        <w:jc w:val="center"/>
        <w:rPr>
          <w:rFonts w:cs="Times New Roman"/>
          <w:b/>
          <w:szCs w:val="24"/>
          <w:lang w:eastAsia="lv-LV"/>
        </w:rPr>
      </w:pPr>
      <w:r w:rsidRPr="00F63AD4">
        <w:rPr>
          <w:rFonts w:eastAsia="Times New Roman" w:cs="Times New Roman"/>
          <w:b/>
          <w:szCs w:val="24"/>
          <w:lang w:eastAsia="ru-RU"/>
        </w:rPr>
        <w:t>Lieta Nr. </w:t>
      </w:r>
      <w:r w:rsidRPr="00F63AD4">
        <w:rPr>
          <w:rFonts w:cs="Times New Roman"/>
          <w:b/>
          <w:szCs w:val="24"/>
          <w:lang w:eastAsia="lv-LV"/>
        </w:rPr>
        <w:t>11380035221, SKK</w:t>
      </w:r>
      <w:r w:rsidRPr="00F63AD4">
        <w:rPr>
          <w:rFonts w:cs="Times New Roman"/>
          <w:b/>
          <w:szCs w:val="24"/>
          <w:lang w:eastAsia="lv-LV"/>
        </w:rPr>
        <w:noBreakHyphen/>
        <w:t>47/2025</w:t>
      </w:r>
    </w:p>
    <w:p w14:paraId="1A4FD30E" w14:textId="536DA9C6" w:rsidR="00AF37A6" w:rsidRPr="00F63AD4" w:rsidRDefault="00F63AD4" w:rsidP="00F63AD4">
      <w:pPr>
        <w:ind w:firstLine="0"/>
        <w:jc w:val="center"/>
        <w:rPr>
          <w:rFonts w:eastAsia="Times New Roman" w:cs="Times New Roman"/>
          <w:bCs/>
          <w:szCs w:val="24"/>
          <w:lang w:eastAsia="ru-RU"/>
        </w:rPr>
      </w:pPr>
      <w:r w:rsidRPr="00F63AD4">
        <w:rPr>
          <w:rFonts w:eastAsia="Times New Roman" w:cs="Times New Roman"/>
          <w:bCs/>
          <w:szCs w:val="24"/>
          <w:lang w:eastAsia="ru-RU"/>
        </w:rPr>
        <w:t>ECLI:LV:AT:2025:0520.11380035221.7.L</w:t>
      </w:r>
    </w:p>
    <w:p w14:paraId="261BAE8A" w14:textId="77777777" w:rsidR="00AF37A6" w:rsidRPr="00EE15FD" w:rsidRDefault="00AF37A6" w:rsidP="00EE15FD">
      <w:pPr>
        <w:rPr>
          <w:rFonts w:eastAsia="Times New Roman" w:cs="Times New Roman"/>
          <w:szCs w:val="24"/>
          <w:lang w:eastAsia="ru-RU"/>
        </w:rPr>
      </w:pPr>
    </w:p>
    <w:p w14:paraId="19743AFB" w14:textId="70632F59" w:rsidR="00AF37A6" w:rsidRPr="00EE15FD" w:rsidRDefault="00AF37A6" w:rsidP="00EE15FD">
      <w:pPr>
        <w:rPr>
          <w:rFonts w:eastAsia="Times New Roman" w:cs="Times New Roman"/>
          <w:szCs w:val="24"/>
          <w:lang w:eastAsia="ru-RU"/>
        </w:rPr>
      </w:pPr>
      <w:r w:rsidRPr="00EE15FD">
        <w:rPr>
          <w:rFonts w:eastAsia="Times New Roman" w:cs="Times New Roman"/>
          <w:szCs w:val="24"/>
          <w:lang w:eastAsia="ru-RU"/>
        </w:rPr>
        <w:t xml:space="preserve">Senāts šādā sastāvā: senatore referente </w:t>
      </w:r>
      <w:r w:rsidR="0053725A" w:rsidRPr="00EE15FD">
        <w:rPr>
          <w:rFonts w:eastAsia="Times New Roman" w:cs="Times New Roman"/>
          <w:szCs w:val="24"/>
          <w:lang w:eastAsia="ru-RU"/>
        </w:rPr>
        <w:t>Sandra Kaija</w:t>
      </w:r>
      <w:r w:rsidRPr="00EE15FD">
        <w:rPr>
          <w:rFonts w:eastAsia="Times New Roman" w:cs="Times New Roman"/>
          <w:szCs w:val="24"/>
          <w:lang w:eastAsia="ru-RU"/>
        </w:rPr>
        <w:t>, senator</w:t>
      </w:r>
      <w:r w:rsidR="0053725A" w:rsidRPr="00EE15FD">
        <w:rPr>
          <w:rFonts w:eastAsia="Times New Roman" w:cs="Times New Roman"/>
          <w:szCs w:val="24"/>
          <w:lang w:eastAsia="ru-RU"/>
        </w:rPr>
        <w:t>i</w:t>
      </w:r>
      <w:r w:rsidRPr="00EE15FD">
        <w:rPr>
          <w:rFonts w:eastAsia="Times New Roman" w:cs="Times New Roman"/>
          <w:szCs w:val="24"/>
          <w:lang w:eastAsia="ru-RU"/>
        </w:rPr>
        <w:t xml:space="preserve"> </w:t>
      </w:r>
      <w:r w:rsidR="00000602" w:rsidRPr="00EE15FD">
        <w:rPr>
          <w:rFonts w:eastAsia="Times New Roman" w:cs="Times New Roman"/>
          <w:szCs w:val="24"/>
          <w:lang w:eastAsia="ru-RU"/>
        </w:rPr>
        <w:t>Ivars Bičkovičs un Inese Laura Zemīte</w:t>
      </w:r>
    </w:p>
    <w:p w14:paraId="27CA5956" w14:textId="77777777" w:rsidR="0053725A" w:rsidRPr="00EE15FD" w:rsidRDefault="0053725A" w:rsidP="00EE15FD">
      <w:pPr>
        <w:rPr>
          <w:rFonts w:eastAsia="Times New Roman" w:cs="Times New Roman"/>
          <w:szCs w:val="24"/>
          <w:lang w:eastAsia="ru-RU"/>
        </w:rPr>
      </w:pPr>
    </w:p>
    <w:p w14:paraId="1B077ED6" w14:textId="78E4BF21" w:rsidR="00AF37A6" w:rsidRPr="00EE15FD" w:rsidRDefault="00AF37A6" w:rsidP="00091404">
      <w:pPr>
        <w:rPr>
          <w:rFonts w:eastAsia="Times New Roman" w:cs="Times New Roman"/>
          <w:szCs w:val="24"/>
          <w:lang w:eastAsia="ru-RU"/>
        </w:rPr>
      </w:pPr>
      <w:r w:rsidRPr="00EE15FD">
        <w:rPr>
          <w:rFonts w:eastAsia="Times New Roman" w:cs="Times New Roman"/>
          <w:szCs w:val="24"/>
          <w:lang w:eastAsia="ru-RU"/>
        </w:rPr>
        <w:t xml:space="preserve">rakstveida procesā </w:t>
      </w:r>
      <w:r w:rsidR="00172192" w:rsidRPr="00EE15FD">
        <w:rPr>
          <w:rFonts w:eastAsia="Times New Roman" w:cs="Times New Roman"/>
          <w:szCs w:val="24"/>
          <w:lang w:eastAsia="ru-RU"/>
        </w:rPr>
        <w:t xml:space="preserve">izskatīja </w:t>
      </w:r>
      <w:r w:rsidRPr="00EE15FD">
        <w:rPr>
          <w:rFonts w:eastAsia="Times New Roman" w:cs="Times New Roman"/>
          <w:szCs w:val="24"/>
          <w:lang w:eastAsia="ru-RU"/>
        </w:rPr>
        <w:t xml:space="preserve">krimināllietu sakarā ar </w:t>
      </w:r>
      <w:bookmarkStart w:id="0" w:name="_Hlk143091203"/>
      <w:r w:rsidRPr="00EE15FD">
        <w:rPr>
          <w:rFonts w:eastAsia="Times New Roman" w:cs="Times New Roman"/>
          <w:szCs w:val="24"/>
          <w:lang w:eastAsia="ru-RU"/>
        </w:rPr>
        <w:t xml:space="preserve">apsūdzētā </w:t>
      </w:r>
      <w:r w:rsidR="00091404">
        <w:rPr>
          <w:rFonts w:eastAsia="Times New Roman" w:cs="Times New Roman"/>
          <w:szCs w:val="24"/>
          <w:lang w:eastAsia="ru-RU"/>
        </w:rPr>
        <w:t>[pers. A]</w:t>
      </w:r>
      <w:r w:rsidR="0053725A" w:rsidRPr="00EE15FD">
        <w:rPr>
          <w:rFonts w:eastAsia="Times New Roman" w:cs="Times New Roman"/>
          <w:szCs w:val="24"/>
          <w:lang w:eastAsia="ru-RU"/>
        </w:rPr>
        <w:t xml:space="preserve"> un </w:t>
      </w:r>
      <w:r w:rsidR="00F2615D" w:rsidRPr="00EE15FD">
        <w:rPr>
          <w:rFonts w:eastAsia="Times New Roman" w:cs="Times New Roman"/>
          <w:szCs w:val="24"/>
          <w:lang w:eastAsia="ru-RU"/>
        </w:rPr>
        <w:t>viņa</w:t>
      </w:r>
      <w:r w:rsidRPr="00EE15FD">
        <w:rPr>
          <w:rFonts w:eastAsia="Times New Roman" w:cs="Times New Roman"/>
          <w:szCs w:val="24"/>
          <w:lang w:eastAsia="ru-RU"/>
        </w:rPr>
        <w:t xml:space="preserve"> aizstāv</w:t>
      </w:r>
      <w:r w:rsidR="00CC681D" w:rsidRPr="00EE15FD">
        <w:rPr>
          <w:rFonts w:eastAsia="Times New Roman" w:cs="Times New Roman"/>
          <w:szCs w:val="24"/>
          <w:lang w:eastAsia="ru-RU"/>
        </w:rPr>
        <w:t>es</w:t>
      </w:r>
      <w:r w:rsidRPr="00EE15FD">
        <w:rPr>
          <w:rFonts w:eastAsia="Times New Roman" w:cs="Times New Roman"/>
          <w:szCs w:val="24"/>
          <w:lang w:eastAsia="ru-RU"/>
        </w:rPr>
        <w:t xml:space="preserve"> zvērināta</w:t>
      </w:r>
      <w:r w:rsidR="00CC681D" w:rsidRPr="00EE15FD">
        <w:rPr>
          <w:rFonts w:eastAsia="Times New Roman" w:cs="Times New Roman"/>
          <w:szCs w:val="24"/>
          <w:lang w:eastAsia="ru-RU"/>
        </w:rPr>
        <w:t>s</w:t>
      </w:r>
      <w:r w:rsidRPr="00EE15FD">
        <w:rPr>
          <w:rFonts w:eastAsia="Times New Roman" w:cs="Times New Roman"/>
          <w:szCs w:val="24"/>
          <w:lang w:eastAsia="ru-RU"/>
        </w:rPr>
        <w:t xml:space="preserve"> advokāt</w:t>
      </w:r>
      <w:r w:rsidR="00CC681D" w:rsidRPr="00EE15FD">
        <w:rPr>
          <w:rFonts w:eastAsia="Times New Roman" w:cs="Times New Roman"/>
          <w:szCs w:val="24"/>
          <w:lang w:eastAsia="ru-RU"/>
        </w:rPr>
        <w:t>es</w:t>
      </w:r>
      <w:r w:rsidRPr="00EE15FD">
        <w:rPr>
          <w:rFonts w:eastAsia="Times New Roman" w:cs="Times New Roman"/>
          <w:szCs w:val="24"/>
          <w:lang w:eastAsia="ru-RU"/>
        </w:rPr>
        <w:t xml:space="preserve"> </w:t>
      </w:r>
      <w:bookmarkEnd w:id="0"/>
      <w:r w:rsidR="00CC681D" w:rsidRPr="00EE15FD">
        <w:rPr>
          <w:rFonts w:eastAsia="Times New Roman" w:cs="Times New Roman"/>
          <w:szCs w:val="24"/>
          <w:lang w:eastAsia="ru-RU"/>
        </w:rPr>
        <w:t xml:space="preserve">Antras </w:t>
      </w:r>
      <w:proofErr w:type="spellStart"/>
      <w:r w:rsidR="00CC681D" w:rsidRPr="00EE15FD">
        <w:rPr>
          <w:rFonts w:eastAsia="Times New Roman" w:cs="Times New Roman"/>
          <w:szCs w:val="24"/>
          <w:lang w:eastAsia="ru-RU"/>
        </w:rPr>
        <w:t>Čirkšes</w:t>
      </w:r>
      <w:proofErr w:type="spellEnd"/>
      <w:r w:rsidRPr="00EE15FD">
        <w:rPr>
          <w:rFonts w:eastAsia="Times New Roman" w:cs="Times New Roman"/>
          <w:szCs w:val="24"/>
          <w:lang w:eastAsia="ru-RU"/>
        </w:rPr>
        <w:t xml:space="preserve"> kasācijas sūdzīb</w:t>
      </w:r>
      <w:r w:rsidR="0053725A" w:rsidRPr="00EE15FD">
        <w:rPr>
          <w:rFonts w:eastAsia="Times New Roman" w:cs="Times New Roman"/>
          <w:szCs w:val="24"/>
          <w:lang w:eastAsia="ru-RU"/>
        </w:rPr>
        <w:t>ām</w:t>
      </w:r>
      <w:r w:rsidRPr="00EE15FD">
        <w:rPr>
          <w:rFonts w:eastAsia="Times New Roman" w:cs="Times New Roman"/>
          <w:szCs w:val="24"/>
          <w:lang w:eastAsia="ru-RU"/>
        </w:rPr>
        <w:t xml:space="preserve"> par </w:t>
      </w:r>
      <w:r w:rsidR="00CC681D" w:rsidRPr="00EE15FD">
        <w:rPr>
          <w:rFonts w:eastAsia="Times New Roman" w:cs="Times New Roman"/>
          <w:iCs/>
          <w:szCs w:val="24"/>
          <w:lang w:eastAsia="ru-RU"/>
        </w:rPr>
        <w:t xml:space="preserve">Kurzemes </w:t>
      </w:r>
      <w:r w:rsidRPr="00EE15FD">
        <w:rPr>
          <w:rFonts w:eastAsia="Times New Roman" w:cs="Times New Roman"/>
          <w:iCs/>
          <w:szCs w:val="24"/>
          <w:lang w:eastAsia="ru-RU"/>
        </w:rPr>
        <w:t>apgabaltiesas 202</w:t>
      </w:r>
      <w:r w:rsidR="0053725A" w:rsidRPr="00EE15FD">
        <w:rPr>
          <w:rFonts w:eastAsia="Times New Roman" w:cs="Times New Roman"/>
          <w:iCs/>
          <w:szCs w:val="24"/>
          <w:lang w:eastAsia="ru-RU"/>
        </w:rPr>
        <w:t>4</w:t>
      </w:r>
      <w:r w:rsidRPr="00EE15FD">
        <w:rPr>
          <w:rFonts w:eastAsia="Times New Roman" w:cs="Times New Roman"/>
          <w:iCs/>
          <w:szCs w:val="24"/>
          <w:lang w:eastAsia="ru-RU"/>
        </w:rPr>
        <w:t xml:space="preserve">. gada </w:t>
      </w:r>
      <w:r w:rsidR="0053725A" w:rsidRPr="00EE15FD">
        <w:rPr>
          <w:rFonts w:eastAsia="Times New Roman" w:cs="Times New Roman"/>
          <w:iCs/>
          <w:szCs w:val="24"/>
          <w:lang w:eastAsia="ru-RU"/>
        </w:rPr>
        <w:t>2</w:t>
      </w:r>
      <w:r w:rsidR="00CC681D" w:rsidRPr="00EE15FD">
        <w:rPr>
          <w:rFonts w:eastAsia="Times New Roman" w:cs="Times New Roman"/>
          <w:iCs/>
          <w:szCs w:val="24"/>
          <w:lang w:eastAsia="ru-RU"/>
        </w:rPr>
        <w:t>9</w:t>
      </w:r>
      <w:r w:rsidRPr="00EE15FD">
        <w:rPr>
          <w:rFonts w:eastAsia="Times New Roman" w:cs="Times New Roman"/>
          <w:iCs/>
          <w:szCs w:val="24"/>
          <w:lang w:eastAsia="ru-RU"/>
        </w:rPr>
        <w:t>. </w:t>
      </w:r>
      <w:r w:rsidR="00CC681D" w:rsidRPr="00EE15FD">
        <w:rPr>
          <w:rFonts w:eastAsia="Times New Roman" w:cs="Times New Roman"/>
          <w:iCs/>
          <w:szCs w:val="24"/>
          <w:lang w:eastAsia="ru-RU"/>
        </w:rPr>
        <w:t>maija</w:t>
      </w:r>
      <w:r w:rsidRPr="00EE15FD">
        <w:rPr>
          <w:rFonts w:eastAsia="Times New Roman" w:cs="Times New Roman"/>
          <w:iCs/>
          <w:szCs w:val="24"/>
          <w:lang w:eastAsia="ru-RU"/>
        </w:rPr>
        <w:t xml:space="preserve"> lēmumu.</w:t>
      </w:r>
    </w:p>
    <w:p w14:paraId="09998E72" w14:textId="77777777" w:rsidR="00AF37A6" w:rsidRPr="00EE15FD" w:rsidRDefault="00AF37A6" w:rsidP="00EE15FD">
      <w:pPr>
        <w:rPr>
          <w:rFonts w:eastAsia="Times New Roman" w:cs="Times New Roman"/>
          <w:szCs w:val="24"/>
          <w:lang w:eastAsia="ru-RU"/>
        </w:rPr>
      </w:pPr>
    </w:p>
    <w:p w14:paraId="62FA4F74" w14:textId="77777777" w:rsidR="00AF37A6" w:rsidRPr="00EE15FD" w:rsidRDefault="00AF37A6" w:rsidP="00EE15FD">
      <w:pPr>
        <w:ind w:firstLine="0"/>
        <w:jc w:val="center"/>
        <w:rPr>
          <w:rFonts w:eastAsia="Times New Roman" w:cs="Times New Roman"/>
          <w:b/>
          <w:szCs w:val="24"/>
          <w:lang w:eastAsia="ru-RU"/>
        </w:rPr>
      </w:pPr>
      <w:r w:rsidRPr="00EE15FD">
        <w:rPr>
          <w:rFonts w:eastAsia="Times New Roman" w:cs="Times New Roman"/>
          <w:b/>
          <w:szCs w:val="24"/>
          <w:lang w:eastAsia="ru-RU"/>
        </w:rPr>
        <w:t>Aprakstošā daļa</w:t>
      </w:r>
    </w:p>
    <w:p w14:paraId="37C6FD24" w14:textId="77777777" w:rsidR="00AF37A6" w:rsidRPr="00EE15FD" w:rsidRDefault="00AF37A6" w:rsidP="00EE15FD">
      <w:pPr>
        <w:rPr>
          <w:rFonts w:eastAsia="Times New Roman" w:cs="Times New Roman"/>
          <w:szCs w:val="24"/>
          <w:highlight w:val="yellow"/>
          <w:lang w:eastAsia="ru-RU"/>
        </w:rPr>
      </w:pPr>
    </w:p>
    <w:p w14:paraId="67EA2C69" w14:textId="30597051" w:rsidR="00AF37A6" w:rsidRPr="00EE15FD" w:rsidRDefault="00AF37A6" w:rsidP="00EE15FD">
      <w:pPr>
        <w:rPr>
          <w:rFonts w:eastAsia="Times New Roman" w:cs="Times New Roman"/>
          <w:szCs w:val="24"/>
          <w:lang w:eastAsia="ru-RU"/>
        </w:rPr>
      </w:pPr>
      <w:r w:rsidRPr="00EE15FD">
        <w:rPr>
          <w:rFonts w:eastAsia="Times New Roman" w:cs="Times New Roman"/>
          <w:szCs w:val="24"/>
          <w:lang w:eastAsia="ru-RU"/>
        </w:rPr>
        <w:t xml:space="preserve">[1] Ar </w:t>
      </w:r>
      <w:bookmarkStart w:id="1" w:name="_Hlk122506980"/>
      <w:bookmarkStart w:id="2" w:name="_Hlk143159686"/>
      <w:r w:rsidR="00CC681D" w:rsidRPr="00EE15FD">
        <w:rPr>
          <w:rFonts w:eastAsia="Times New Roman" w:cs="Times New Roman"/>
          <w:szCs w:val="24"/>
          <w:lang w:eastAsia="ru-RU"/>
        </w:rPr>
        <w:t>Kurzemes rajona</w:t>
      </w:r>
      <w:r w:rsidR="00B1059A" w:rsidRPr="00EE15FD">
        <w:rPr>
          <w:rFonts w:eastAsia="Times New Roman" w:cs="Times New Roman"/>
          <w:szCs w:val="24"/>
          <w:lang w:eastAsia="ru-RU"/>
        </w:rPr>
        <w:t xml:space="preserve"> tiesas </w:t>
      </w:r>
      <w:r w:rsidRPr="00EE15FD">
        <w:rPr>
          <w:rFonts w:eastAsia="Times New Roman" w:cs="Times New Roman"/>
          <w:szCs w:val="24"/>
          <w:lang w:eastAsia="ru-RU"/>
        </w:rPr>
        <w:t>202</w:t>
      </w:r>
      <w:r w:rsidR="00CC681D" w:rsidRPr="00EE15FD">
        <w:rPr>
          <w:rFonts w:eastAsia="Times New Roman" w:cs="Times New Roman"/>
          <w:szCs w:val="24"/>
          <w:lang w:eastAsia="ru-RU"/>
        </w:rPr>
        <w:t>4</w:t>
      </w:r>
      <w:r w:rsidRPr="00EE15FD">
        <w:rPr>
          <w:rFonts w:eastAsia="Times New Roman" w:cs="Times New Roman"/>
          <w:szCs w:val="24"/>
          <w:lang w:eastAsia="ru-RU"/>
        </w:rPr>
        <w:t xml:space="preserve">. gada </w:t>
      </w:r>
      <w:r w:rsidR="00CC681D" w:rsidRPr="00EE15FD">
        <w:rPr>
          <w:rFonts w:eastAsia="Times New Roman" w:cs="Times New Roman"/>
          <w:szCs w:val="24"/>
          <w:lang w:eastAsia="ru-RU"/>
        </w:rPr>
        <w:t>22</w:t>
      </w:r>
      <w:r w:rsidRPr="00EE15FD">
        <w:rPr>
          <w:rFonts w:eastAsia="Times New Roman" w:cs="Times New Roman"/>
          <w:szCs w:val="24"/>
          <w:lang w:eastAsia="ru-RU"/>
        </w:rPr>
        <w:t>. </w:t>
      </w:r>
      <w:r w:rsidR="00CC681D" w:rsidRPr="00EE15FD">
        <w:rPr>
          <w:rFonts w:eastAsia="Times New Roman" w:cs="Times New Roman"/>
          <w:szCs w:val="24"/>
          <w:lang w:eastAsia="ru-RU"/>
        </w:rPr>
        <w:t>janvāra</w:t>
      </w:r>
      <w:r w:rsidRPr="00EE15FD">
        <w:rPr>
          <w:rFonts w:eastAsia="Times New Roman" w:cs="Times New Roman"/>
          <w:szCs w:val="24"/>
          <w:lang w:eastAsia="ru-RU"/>
        </w:rPr>
        <w:t xml:space="preserve"> </w:t>
      </w:r>
      <w:bookmarkEnd w:id="1"/>
      <w:r w:rsidRPr="00EE15FD">
        <w:rPr>
          <w:rFonts w:eastAsia="Times New Roman" w:cs="Times New Roman"/>
          <w:szCs w:val="24"/>
          <w:lang w:eastAsia="ru-RU"/>
        </w:rPr>
        <w:t>spriedumu</w:t>
      </w:r>
      <w:bookmarkEnd w:id="2"/>
    </w:p>
    <w:p w14:paraId="1DB6AC49" w14:textId="30ABBBAD" w:rsidR="00AF37A6" w:rsidRPr="00EE15FD" w:rsidRDefault="00091404" w:rsidP="00EE15FD">
      <w:pPr>
        <w:rPr>
          <w:rFonts w:eastAsia="Times New Roman" w:cs="Times New Roman"/>
          <w:szCs w:val="24"/>
          <w:lang w:eastAsia="ru-RU"/>
        </w:rPr>
      </w:pPr>
      <w:r>
        <w:rPr>
          <w:rFonts w:eastAsia="Times New Roman" w:cs="Times New Roman"/>
          <w:szCs w:val="24"/>
          <w:lang w:eastAsia="ru-RU"/>
        </w:rPr>
        <w:t>[pers. A]</w:t>
      </w:r>
      <w:r w:rsidR="00AF37A6" w:rsidRPr="00EE15FD">
        <w:rPr>
          <w:rFonts w:eastAsia="Times New Roman" w:cs="Times New Roman"/>
          <w:szCs w:val="24"/>
          <w:lang w:eastAsia="ru-RU"/>
        </w:rPr>
        <w:t xml:space="preserve">, </w:t>
      </w:r>
      <w:bookmarkStart w:id="3" w:name="_Hlk122505110"/>
      <w:r w:rsidR="00AF37A6" w:rsidRPr="00EE15FD">
        <w:rPr>
          <w:rFonts w:eastAsia="Times New Roman" w:cs="Times New Roman"/>
          <w:szCs w:val="24"/>
          <w:lang w:eastAsia="ru-RU"/>
        </w:rPr>
        <w:t xml:space="preserve">personas kods </w:t>
      </w:r>
      <w:r>
        <w:rPr>
          <w:rFonts w:eastAsia="Times New Roman" w:cs="Times New Roman"/>
          <w:szCs w:val="24"/>
          <w:lang w:eastAsia="ru-RU"/>
        </w:rPr>
        <w:t>[..]</w:t>
      </w:r>
      <w:r w:rsidR="00AF37A6" w:rsidRPr="00EE15FD">
        <w:rPr>
          <w:rFonts w:eastAsia="Times New Roman" w:cs="Times New Roman"/>
          <w:szCs w:val="24"/>
          <w:lang w:eastAsia="ru-RU"/>
        </w:rPr>
        <w:t>,</w:t>
      </w:r>
    </w:p>
    <w:p w14:paraId="03FC34D4" w14:textId="5658BF82" w:rsidR="00AF37A6" w:rsidRPr="00EE15FD" w:rsidRDefault="00AF37A6" w:rsidP="00EE15FD">
      <w:pPr>
        <w:rPr>
          <w:rFonts w:eastAsia="Times New Roman" w:cs="Times New Roman"/>
          <w:szCs w:val="24"/>
          <w:lang w:eastAsia="ru-RU"/>
        </w:rPr>
      </w:pPr>
      <w:bookmarkStart w:id="4" w:name="_Hlk143091039"/>
      <w:bookmarkStart w:id="5" w:name="_Hlk122505146"/>
      <w:bookmarkEnd w:id="3"/>
      <w:r w:rsidRPr="00EE15FD">
        <w:rPr>
          <w:rFonts w:eastAsia="Times New Roman" w:cs="Times New Roman"/>
          <w:szCs w:val="24"/>
          <w:lang w:eastAsia="ru-RU"/>
        </w:rPr>
        <w:t xml:space="preserve">atzīts par vainīgu </w:t>
      </w:r>
      <w:bookmarkStart w:id="6" w:name="_Hlk121319357"/>
      <w:r w:rsidRPr="00EE15FD">
        <w:rPr>
          <w:rFonts w:eastAsia="Times New Roman" w:cs="Times New Roman"/>
          <w:szCs w:val="24"/>
          <w:lang w:eastAsia="ru-RU"/>
        </w:rPr>
        <w:t xml:space="preserve">Krimināllikuma </w:t>
      </w:r>
      <w:r w:rsidR="00CC681D" w:rsidRPr="00EE15FD">
        <w:rPr>
          <w:rFonts w:eastAsia="Times New Roman" w:cs="Times New Roman"/>
          <w:szCs w:val="24"/>
          <w:lang w:eastAsia="ru-RU"/>
        </w:rPr>
        <w:t>185.</w:t>
      </w:r>
      <w:r w:rsidRPr="00EE15FD">
        <w:rPr>
          <w:rFonts w:eastAsia="Times New Roman" w:cs="Times New Roman"/>
          <w:szCs w:val="24"/>
          <w:lang w:eastAsia="ru-RU"/>
        </w:rPr>
        <w:t xml:space="preserve"> panta </w:t>
      </w:r>
      <w:r w:rsidR="00CC681D" w:rsidRPr="00EE15FD">
        <w:rPr>
          <w:rFonts w:eastAsia="Times New Roman" w:cs="Times New Roman"/>
          <w:szCs w:val="24"/>
          <w:lang w:eastAsia="ru-RU"/>
        </w:rPr>
        <w:t>otrajā</w:t>
      </w:r>
      <w:r w:rsidRPr="00EE15FD">
        <w:rPr>
          <w:rFonts w:eastAsia="Times New Roman" w:cs="Times New Roman"/>
          <w:szCs w:val="24"/>
          <w:lang w:eastAsia="ru-RU"/>
        </w:rPr>
        <w:t xml:space="preserve"> daļā paredzētajā noziedzīgajā nodarījumā</w:t>
      </w:r>
      <w:bookmarkEnd w:id="6"/>
      <w:r w:rsidRPr="00EE15FD">
        <w:rPr>
          <w:rFonts w:eastAsia="Times New Roman" w:cs="Times New Roman"/>
          <w:szCs w:val="24"/>
          <w:lang w:eastAsia="ru-RU"/>
        </w:rPr>
        <w:t xml:space="preserve"> un</w:t>
      </w:r>
      <w:r w:rsidR="00932B95" w:rsidRPr="00EE15FD">
        <w:rPr>
          <w:rFonts w:eastAsia="Times New Roman" w:cs="Times New Roman"/>
          <w:szCs w:val="24"/>
          <w:lang w:eastAsia="ru-RU"/>
        </w:rPr>
        <w:t xml:space="preserve"> </w:t>
      </w:r>
      <w:r w:rsidRPr="00EE15FD">
        <w:rPr>
          <w:rFonts w:eastAsia="Times New Roman" w:cs="Times New Roman"/>
          <w:szCs w:val="24"/>
          <w:lang w:eastAsia="ru-RU"/>
        </w:rPr>
        <w:t xml:space="preserve">sodīts ar brīvības atņemšanu uz </w:t>
      </w:r>
      <w:r w:rsidR="00CC681D" w:rsidRPr="00EE15FD">
        <w:rPr>
          <w:rFonts w:eastAsia="Times New Roman" w:cs="Times New Roman"/>
          <w:szCs w:val="24"/>
          <w:lang w:eastAsia="ru-RU"/>
        </w:rPr>
        <w:t>4</w:t>
      </w:r>
      <w:r w:rsidR="00444FA5" w:rsidRPr="00EE15FD">
        <w:rPr>
          <w:rFonts w:eastAsia="Times New Roman" w:cs="Times New Roman"/>
          <w:szCs w:val="24"/>
          <w:lang w:eastAsia="ru-RU"/>
        </w:rPr>
        <w:t xml:space="preserve"> </w:t>
      </w:r>
      <w:r w:rsidR="00CC681D" w:rsidRPr="00EE15FD">
        <w:rPr>
          <w:rFonts w:eastAsia="Times New Roman" w:cs="Times New Roman"/>
          <w:szCs w:val="24"/>
          <w:lang w:eastAsia="ru-RU"/>
        </w:rPr>
        <w:t>mēnešiem;</w:t>
      </w:r>
    </w:p>
    <w:p w14:paraId="5B548845" w14:textId="25B7BD03" w:rsidR="00932B95" w:rsidRPr="00EE15FD" w:rsidRDefault="00CC681D" w:rsidP="00EE15FD">
      <w:pPr>
        <w:rPr>
          <w:rFonts w:eastAsia="Times New Roman" w:cs="Times New Roman"/>
          <w:szCs w:val="24"/>
          <w:lang w:eastAsia="ru-RU"/>
        </w:rPr>
      </w:pPr>
      <w:r w:rsidRPr="00EE15FD">
        <w:rPr>
          <w:rFonts w:eastAsia="Times New Roman" w:cs="Times New Roman"/>
          <w:szCs w:val="24"/>
          <w:lang w:eastAsia="ru-RU"/>
        </w:rPr>
        <w:t>atzīts par vainīgu Krimināllikuma 185. panta otrajā daļā paredzētajā noziedzīgajā nodarījumā un sodīts ar brīvības atņemšanu uz 5</w:t>
      </w:r>
      <w:r w:rsidR="00444FA5" w:rsidRPr="00EE15FD">
        <w:rPr>
          <w:rFonts w:eastAsia="Times New Roman" w:cs="Times New Roman"/>
          <w:szCs w:val="24"/>
          <w:lang w:eastAsia="ru-RU"/>
        </w:rPr>
        <w:t xml:space="preserve"> </w:t>
      </w:r>
      <w:r w:rsidRPr="00EE15FD">
        <w:rPr>
          <w:rFonts w:eastAsia="Times New Roman" w:cs="Times New Roman"/>
          <w:szCs w:val="24"/>
          <w:lang w:eastAsia="ru-RU"/>
        </w:rPr>
        <w:t>mēnešiem</w:t>
      </w:r>
      <w:r w:rsidR="00E44C5A" w:rsidRPr="00EE15FD">
        <w:rPr>
          <w:rFonts w:eastAsia="Times New Roman" w:cs="Times New Roman"/>
          <w:szCs w:val="24"/>
          <w:lang w:eastAsia="ru-RU"/>
        </w:rPr>
        <w:t>.</w:t>
      </w:r>
    </w:p>
    <w:p w14:paraId="363D2E5F" w14:textId="1CEE5FAB" w:rsidR="00932B95" w:rsidRPr="00EE15FD" w:rsidRDefault="00932B95" w:rsidP="00EE15FD">
      <w:pPr>
        <w:rPr>
          <w:rFonts w:eastAsia="Times New Roman" w:cs="Times New Roman"/>
          <w:szCs w:val="24"/>
          <w:lang w:eastAsia="ru-RU"/>
        </w:rPr>
      </w:pPr>
      <w:r w:rsidRPr="00EE15FD">
        <w:rPr>
          <w:rFonts w:eastAsia="Times New Roman" w:cs="Times New Roman"/>
          <w:szCs w:val="24"/>
          <w:lang w:eastAsia="ru-RU"/>
        </w:rPr>
        <w:t>Saskaņā ar Krimināllikuma 50.</w:t>
      </w:r>
      <w:r w:rsidR="00444FA5" w:rsidRPr="00EE15FD">
        <w:rPr>
          <w:rFonts w:eastAsia="Times New Roman" w:cs="Times New Roman"/>
          <w:szCs w:val="24"/>
          <w:lang w:eastAsia="ru-RU"/>
        </w:rPr>
        <w:t> </w:t>
      </w:r>
      <w:r w:rsidRPr="00EE15FD">
        <w:rPr>
          <w:rFonts w:eastAsia="Times New Roman" w:cs="Times New Roman"/>
          <w:szCs w:val="24"/>
          <w:lang w:eastAsia="ru-RU"/>
        </w:rPr>
        <w:t>panta pirmo un trešo daļu</w:t>
      </w:r>
      <w:r w:rsidR="00DF1DA9" w:rsidRPr="00EE15FD">
        <w:rPr>
          <w:rFonts w:eastAsia="Times New Roman" w:cs="Times New Roman"/>
          <w:szCs w:val="24"/>
          <w:lang w:eastAsia="ru-RU"/>
        </w:rPr>
        <w:t xml:space="preserve"> </w:t>
      </w:r>
      <w:r w:rsidR="00D65989">
        <w:rPr>
          <w:rFonts w:eastAsia="Times New Roman" w:cs="Times New Roman"/>
          <w:szCs w:val="24"/>
          <w:lang w:eastAsia="ru-RU"/>
        </w:rPr>
        <w:t>[pers. A]</w:t>
      </w:r>
      <w:r w:rsidR="004F6710" w:rsidRPr="00EE15FD">
        <w:rPr>
          <w:rFonts w:eastAsia="Times New Roman" w:cs="Times New Roman"/>
          <w:szCs w:val="24"/>
          <w:lang w:eastAsia="ru-RU"/>
        </w:rPr>
        <w:t xml:space="preserve"> </w:t>
      </w:r>
      <w:r w:rsidR="00DF1DA9" w:rsidRPr="00EE15FD">
        <w:rPr>
          <w:rFonts w:eastAsia="Times New Roman" w:cs="Times New Roman"/>
          <w:szCs w:val="24"/>
          <w:lang w:eastAsia="ru-RU"/>
        </w:rPr>
        <w:t>galīgais sods noteikts brīvības atņemšana uz 7 mēnešiem.</w:t>
      </w:r>
    </w:p>
    <w:p w14:paraId="58F5AAF6" w14:textId="4A8918A5" w:rsidR="00DF1DA9" w:rsidRPr="00EE15FD" w:rsidRDefault="00DF1DA9" w:rsidP="00EE15FD">
      <w:pPr>
        <w:rPr>
          <w:rFonts w:eastAsia="Times New Roman" w:cs="Times New Roman"/>
          <w:szCs w:val="24"/>
          <w:lang w:eastAsia="ru-RU"/>
        </w:rPr>
      </w:pPr>
      <w:r w:rsidRPr="00EE15FD">
        <w:rPr>
          <w:rFonts w:eastAsia="Times New Roman" w:cs="Times New Roman"/>
          <w:szCs w:val="24"/>
          <w:lang w:eastAsia="ru-RU"/>
        </w:rPr>
        <w:t>Saskaņā ar Krimināllikuma 52.</w:t>
      </w:r>
      <w:r w:rsidR="00444FA5" w:rsidRPr="00EE15FD">
        <w:rPr>
          <w:rFonts w:eastAsia="Times New Roman" w:cs="Times New Roman"/>
          <w:szCs w:val="24"/>
          <w:lang w:eastAsia="ru-RU"/>
        </w:rPr>
        <w:t> </w:t>
      </w:r>
      <w:r w:rsidRPr="00EE15FD">
        <w:rPr>
          <w:rFonts w:eastAsia="Times New Roman" w:cs="Times New Roman"/>
          <w:szCs w:val="24"/>
          <w:lang w:eastAsia="ru-RU"/>
        </w:rPr>
        <w:t>pant</w:t>
      </w:r>
      <w:r w:rsidR="00F25CC1" w:rsidRPr="00EE15FD">
        <w:rPr>
          <w:rFonts w:eastAsia="Times New Roman" w:cs="Times New Roman"/>
          <w:szCs w:val="24"/>
          <w:lang w:eastAsia="ru-RU"/>
        </w:rPr>
        <w:t xml:space="preserve">a </w:t>
      </w:r>
      <w:r w:rsidR="00F25CC1" w:rsidRPr="00EE15FD">
        <w:rPr>
          <w:rFonts w:cs="Times New Roman"/>
          <w:szCs w:val="24"/>
        </w:rPr>
        <w:t>ceturto daļu</w:t>
      </w:r>
      <w:r w:rsidR="00B019F2" w:rsidRPr="00EE15FD">
        <w:rPr>
          <w:rFonts w:cs="Times New Roman"/>
          <w:szCs w:val="24"/>
        </w:rPr>
        <w:t xml:space="preserve"> </w:t>
      </w:r>
      <w:r w:rsidR="00F25CC1" w:rsidRPr="00EE15FD">
        <w:rPr>
          <w:rFonts w:cs="Times New Roman"/>
          <w:szCs w:val="24"/>
        </w:rPr>
        <w:t xml:space="preserve">brīvības atņemšanas soda laikā </w:t>
      </w:r>
      <w:r w:rsidRPr="00EE15FD">
        <w:rPr>
          <w:rFonts w:eastAsia="Times New Roman" w:cs="Times New Roman"/>
          <w:szCs w:val="24"/>
          <w:lang w:eastAsia="ru-RU"/>
        </w:rPr>
        <w:t>ieskaitīt</w:t>
      </w:r>
      <w:r w:rsidR="00F25CC1" w:rsidRPr="00EE15FD">
        <w:rPr>
          <w:rFonts w:eastAsia="Times New Roman" w:cs="Times New Roman"/>
          <w:szCs w:val="24"/>
          <w:lang w:eastAsia="ru-RU"/>
        </w:rPr>
        <w:t>a</w:t>
      </w:r>
      <w:r w:rsidR="00B019F2" w:rsidRPr="00EE15FD">
        <w:rPr>
          <w:rFonts w:eastAsia="Times New Roman" w:cs="Times New Roman"/>
          <w:szCs w:val="24"/>
          <w:lang w:eastAsia="ru-RU"/>
        </w:rPr>
        <w:t xml:space="preserve"> </w:t>
      </w:r>
      <w:r w:rsidRPr="00EE15FD">
        <w:rPr>
          <w:rFonts w:eastAsia="Times New Roman" w:cs="Times New Roman"/>
          <w:szCs w:val="24"/>
          <w:lang w:eastAsia="ru-RU"/>
        </w:rPr>
        <w:t>aizturēšana no 2021.</w:t>
      </w:r>
      <w:r w:rsidR="00444FA5" w:rsidRPr="00EE15FD">
        <w:rPr>
          <w:rFonts w:eastAsia="Times New Roman" w:cs="Times New Roman"/>
          <w:szCs w:val="24"/>
          <w:lang w:eastAsia="ru-RU"/>
        </w:rPr>
        <w:t> </w:t>
      </w:r>
      <w:r w:rsidRPr="00EE15FD">
        <w:rPr>
          <w:rFonts w:eastAsia="Times New Roman" w:cs="Times New Roman"/>
          <w:szCs w:val="24"/>
          <w:lang w:eastAsia="ru-RU"/>
        </w:rPr>
        <w:t>gada 2.</w:t>
      </w:r>
      <w:r w:rsidR="00444FA5" w:rsidRPr="00EE15FD">
        <w:rPr>
          <w:rFonts w:eastAsia="Times New Roman" w:cs="Times New Roman"/>
          <w:szCs w:val="24"/>
          <w:lang w:eastAsia="ru-RU"/>
        </w:rPr>
        <w:t> </w:t>
      </w:r>
      <w:r w:rsidRPr="00EE15FD">
        <w:rPr>
          <w:rFonts w:eastAsia="Times New Roman" w:cs="Times New Roman"/>
          <w:szCs w:val="24"/>
          <w:lang w:eastAsia="ru-RU"/>
        </w:rPr>
        <w:t>oktobra līdz 4.</w:t>
      </w:r>
      <w:r w:rsidR="00444FA5" w:rsidRPr="00EE15FD">
        <w:rPr>
          <w:rFonts w:eastAsia="Times New Roman" w:cs="Times New Roman"/>
          <w:szCs w:val="24"/>
          <w:lang w:eastAsia="ru-RU"/>
        </w:rPr>
        <w:t> </w:t>
      </w:r>
      <w:r w:rsidRPr="00EE15FD">
        <w:rPr>
          <w:rFonts w:eastAsia="Times New Roman" w:cs="Times New Roman"/>
          <w:szCs w:val="24"/>
          <w:lang w:eastAsia="ru-RU"/>
        </w:rPr>
        <w:t>oktobrim.</w:t>
      </w:r>
    </w:p>
    <w:p w14:paraId="38177943" w14:textId="06139F3E" w:rsidR="00CD526F" w:rsidRPr="00EE15FD" w:rsidRDefault="00CD526F" w:rsidP="00EE15FD">
      <w:pPr>
        <w:rPr>
          <w:rFonts w:eastAsia="Times New Roman" w:cs="Times New Roman"/>
          <w:szCs w:val="24"/>
          <w:lang w:eastAsia="ru-RU"/>
        </w:rPr>
      </w:pPr>
      <w:r w:rsidRPr="00EE15FD">
        <w:rPr>
          <w:rFonts w:eastAsia="Times New Roman" w:cs="Times New Roman"/>
          <w:szCs w:val="24"/>
          <w:lang w:eastAsia="ru-RU"/>
        </w:rPr>
        <w:t xml:space="preserve">No </w:t>
      </w:r>
      <w:r w:rsidR="00D65989">
        <w:rPr>
          <w:rFonts w:eastAsia="Times New Roman" w:cs="Times New Roman"/>
          <w:szCs w:val="24"/>
          <w:lang w:eastAsia="ru-RU"/>
        </w:rPr>
        <w:t>[pers. A]</w:t>
      </w:r>
      <w:r w:rsidRPr="00EE15FD">
        <w:rPr>
          <w:rFonts w:eastAsia="Times New Roman" w:cs="Times New Roman"/>
          <w:szCs w:val="24"/>
          <w:lang w:eastAsia="ru-RU"/>
        </w:rPr>
        <w:t xml:space="preserve"> </w:t>
      </w:r>
      <w:r w:rsidR="00F25CC1" w:rsidRPr="00EE15FD">
        <w:rPr>
          <w:rFonts w:eastAsia="Times New Roman" w:cs="Times New Roman"/>
          <w:szCs w:val="24"/>
          <w:lang w:eastAsia="ru-RU"/>
        </w:rPr>
        <w:t xml:space="preserve">cietušā </w:t>
      </w:r>
      <w:r w:rsidR="00D65989">
        <w:rPr>
          <w:rFonts w:eastAsia="Times New Roman" w:cs="Times New Roman"/>
          <w:szCs w:val="24"/>
          <w:lang w:eastAsia="ru-RU"/>
        </w:rPr>
        <w:t>[pers. B]</w:t>
      </w:r>
      <w:r w:rsidRPr="00EE15FD">
        <w:rPr>
          <w:rFonts w:eastAsia="Times New Roman" w:cs="Times New Roman"/>
          <w:szCs w:val="24"/>
          <w:lang w:eastAsia="ru-RU"/>
        </w:rPr>
        <w:t xml:space="preserve"> labā piedzīta mantiskā kaitējuma kompensācija 1660 </w:t>
      </w:r>
      <w:proofErr w:type="spellStart"/>
      <w:r w:rsidRPr="00EE15FD">
        <w:rPr>
          <w:rFonts w:eastAsia="Times New Roman" w:cs="Times New Roman"/>
          <w:i/>
          <w:iCs/>
          <w:szCs w:val="24"/>
          <w:lang w:eastAsia="ru-RU"/>
        </w:rPr>
        <w:t>euro</w:t>
      </w:r>
      <w:proofErr w:type="spellEnd"/>
      <w:r w:rsidRPr="00EE15FD">
        <w:rPr>
          <w:rFonts w:eastAsia="Times New Roman" w:cs="Times New Roman"/>
          <w:i/>
          <w:iCs/>
          <w:szCs w:val="24"/>
          <w:lang w:eastAsia="ru-RU"/>
        </w:rPr>
        <w:t xml:space="preserve"> </w:t>
      </w:r>
      <w:r w:rsidRPr="00EE15FD">
        <w:rPr>
          <w:rFonts w:eastAsia="Times New Roman" w:cs="Times New Roman"/>
          <w:szCs w:val="24"/>
          <w:lang w:eastAsia="ru-RU"/>
        </w:rPr>
        <w:t xml:space="preserve">un </w:t>
      </w:r>
      <w:r w:rsidR="00F25CC1" w:rsidRPr="00EE15FD">
        <w:rPr>
          <w:rFonts w:eastAsia="Times New Roman" w:cs="Times New Roman"/>
          <w:szCs w:val="24"/>
          <w:lang w:eastAsia="ru-RU"/>
        </w:rPr>
        <w:t xml:space="preserve">cietušā </w:t>
      </w:r>
      <w:r w:rsidR="00D65989">
        <w:rPr>
          <w:rFonts w:eastAsia="Times New Roman" w:cs="Times New Roman"/>
          <w:szCs w:val="24"/>
          <w:lang w:eastAsia="ru-RU"/>
        </w:rPr>
        <w:t>[pers. C]</w:t>
      </w:r>
      <w:r w:rsidRPr="00EE15FD">
        <w:rPr>
          <w:rFonts w:eastAsia="Times New Roman" w:cs="Times New Roman"/>
          <w:szCs w:val="24"/>
          <w:lang w:eastAsia="ru-RU"/>
        </w:rPr>
        <w:t xml:space="preserve"> labā </w:t>
      </w:r>
      <w:r w:rsidR="00444FA5" w:rsidRPr="00EE15FD">
        <w:rPr>
          <w:rFonts w:eastAsia="Times New Roman" w:cs="Times New Roman"/>
          <w:szCs w:val="24"/>
          <w:lang w:eastAsia="ru-RU"/>
        </w:rPr>
        <w:t xml:space="preserve">piedzīta </w:t>
      </w:r>
      <w:r w:rsidRPr="00EE15FD">
        <w:rPr>
          <w:rFonts w:eastAsia="Times New Roman" w:cs="Times New Roman"/>
          <w:szCs w:val="24"/>
          <w:lang w:eastAsia="ru-RU"/>
        </w:rPr>
        <w:t>mantiskā kaitējuma kompensācija 4700 </w:t>
      </w:r>
      <w:r w:rsidRPr="00EE15FD">
        <w:rPr>
          <w:rFonts w:eastAsia="Times New Roman" w:cs="Times New Roman"/>
          <w:i/>
          <w:iCs/>
          <w:szCs w:val="24"/>
          <w:lang w:eastAsia="ru-RU"/>
        </w:rPr>
        <w:t>euro</w:t>
      </w:r>
      <w:r w:rsidRPr="00EE15FD">
        <w:rPr>
          <w:rFonts w:eastAsia="Times New Roman" w:cs="Times New Roman"/>
          <w:szCs w:val="24"/>
          <w:lang w:eastAsia="ru-RU"/>
        </w:rPr>
        <w:t>.</w:t>
      </w:r>
    </w:p>
    <w:p w14:paraId="7E1E545A" w14:textId="660C992C" w:rsidR="00A45DF8" w:rsidRPr="00EE15FD" w:rsidRDefault="00A45DF8" w:rsidP="00EE15FD">
      <w:pPr>
        <w:rPr>
          <w:rFonts w:eastAsia="Times New Roman" w:cs="Times New Roman"/>
          <w:szCs w:val="24"/>
          <w:lang w:eastAsia="ru-RU"/>
        </w:rPr>
      </w:pPr>
      <w:r w:rsidRPr="00EE15FD">
        <w:rPr>
          <w:rFonts w:eastAsia="Times New Roman" w:cs="Times New Roman"/>
          <w:szCs w:val="24"/>
          <w:lang w:eastAsia="ru-RU"/>
        </w:rPr>
        <w:t xml:space="preserve">No </w:t>
      </w:r>
      <w:r w:rsidR="00EE7DED">
        <w:rPr>
          <w:rFonts w:eastAsia="Times New Roman" w:cs="Times New Roman"/>
          <w:szCs w:val="24"/>
          <w:lang w:eastAsia="ru-RU"/>
        </w:rPr>
        <w:t>[pers. A]</w:t>
      </w:r>
      <w:r w:rsidRPr="00EE15FD">
        <w:rPr>
          <w:rFonts w:eastAsia="Times New Roman" w:cs="Times New Roman"/>
          <w:szCs w:val="24"/>
          <w:lang w:eastAsia="ru-RU"/>
        </w:rPr>
        <w:t xml:space="preserve"> valsts labā piedzīti procesuālie izdevumi 57,48 </w:t>
      </w:r>
      <w:r w:rsidRPr="00EE15FD">
        <w:rPr>
          <w:rFonts w:eastAsia="Times New Roman" w:cs="Times New Roman"/>
          <w:i/>
          <w:iCs/>
          <w:szCs w:val="24"/>
          <w:lang w:eastAsia="ru-RU"/>
        </w:rPr>
        <w:t>euro</w:t>
      </w:r>
      <w:r w:rsidRPr="00EE15FD">
        <w:rPr>
          <w:rFonts w:eastAsia="Times New Roman" w:cs="Times New Roman"/>
          <w:szCs w:val="24"/>
          <w:lang w:eastAsia="ru-RU"/>
        </w:rPr>
        <w:t xml:space="preserve"> par mutisko tulkošanu un 605,50 </w:t>
      </w:r>
      <w:r w:rsidRPr="00EE15FD">
        <w:rPr>
          <w:rFonts w:eastAsia="Times New Roman" w:cs="Times New Roman"/>
          <w:i/>
          <w:iCs/>
          <w:szCs w:val="24"/>
          <w:lang w:eastAsia="ru-RU"/>
        </w:rPr>
        <w:t>euro</w:t>
      </w:r>
      <w:r w:rsidRPr="00EE15FD">
        <w:rPr>
          <w:rFonts w:eastAsia="Times New Roman" w:cs="Times New Roman"/>
          <w:szCs w:val="24"/>
          <w:lang w:eastAsia="ru-RU"/>
        </w:rPr>
        <w:t xml:space="preserve"> par</w:t>
      </w:r>
      <w:r w:rsidR="00444FA5" w:rsidRPr="00EE15FD">
        <w:rPr>
          <w:rFonts w:eastAsia="Times New Roman" w:cs="Times New Roman"/>
          <w:szCs w:val="24"/>
          <w:lang w:eastAsia="ru-RU"/>
        </w:rPr>
        <w:t xml:space="preserve"> valsts nodrošināto juridisko palīdzību</w:t>
      </w:r>
      <w:r w:rsidRPr="00EE15FD">
        <w:rPr>
          <w:rFonts w:eastAsia="Times New Roman" w:cs="Times New Roman"/>
          <w:szCs w:val="24"/>
          <w:lang w:eastAsia="ru-RU"/>
        </w:rPr>
        <w:t>.</w:t>
      </w:r>
    </w:p>
    <w:p w14:paraId="66FBA881" w14:textId="77777777" w:rsidR="00A45DF8" w:rsidRPr="00EE15FD" w:rsidRDefault="00A45DF8" w:rsidP="00EE15FD">
      <w:pPr>
        <w:rPr>
          <w:rFonts w:eastAsia="Times New Roman" w:cs="Times New Roman"/>
          <w:szCs w:val="24"/>
          <w:lang w:eastAsia="ru-RU"/>
        </w:rPr>
      </w:pPr>
    </w:p>
    <w:bookmarkEnd w:id="4"/>
    <w:bookmarkEnd w:id="5"/>
    <w:p w14:paraId="6AF9846A" w14:textId="03A41E1D" w:rsidR="00EB7320" w:rsidRPr="00EE15FD" w:rsidRDefault="00AF37A6" w:rsidP="00EE15FD">
      <w:pPr>
        <w:rPr>
          <w:rFonts w:eastAsia="Times New Roman" w:cs="Times New Roman"/>
          <w:szCs w:val="24"/>
          <w:lang w:eastAsia="ru-RU"/>
        </w:rPr>
      </w:pPr>
      <w:r w:rsidRPr="00EE15FD">
        <w:rPr>
          <w:rFonts w:eastAsia="Times New Roman" w:cs="Times New Roman"/>
          <w:szCs w:val="24"/>
          <w:lang w:eastAsia="ru-RU"/>
        </w:rPr>
        <w:t xml:space="preserve">[2] Ar pirmās instances tiesas spriedumu </w:t>
      </w:r>
      <w:r w:rsidR="00BA6715">
        <w:rPr>
          <w:rFonts w:eastAsia="Times New Roman" w:cs="Times New Roman"/>
          <w:szCs w:val="24"/>
          <w:lang w:eastAsia="ru-RU"/>
        </w:rPr>
        <w:t>[pers. A]</w:t>
      </w:r>
      <w:r w:rsidRPr="00EE15FD">
        <w:rPr>
          <w:rFonts w:eastAsia="Times New Roman" w:cs="Times New Roman"/>
          <w:szCs w:val="24"/>
          <w:lang w:eastAsia="ru-RU"/>
        </w:rPr>
        <w:t xml:space="preserve"> atzīt</w:t>
      </w:r>
      <w:r w:rsidR="000A3209" w:rsidRPr="00EE15FD">
        <w:rPr>
          <w:rFonts w:eastAsia="Times New Roman" w:cs="Times New Roman"/>
          <w:szCs w:val="24"/>
          <w:lang w:eastAsia="ru-RU"/>
        </w:rPr>
        <w:t>s</w:t>
      </w:r>
      <w:r w:rsidRPr="00EE15FD">
        <w:rPr>
          <w:rFonts w:eastAsia="Times New Roman" w:cs="Times New Roman"/>
          <w:szCs w:val="24"/>
          <w:lang w:eastAsia="ru-RU"/>
        </w:rPr>
        <w:t xml:space="preserve"> par vainīgu un sodīts pēc Krimināllikuma </w:t>
      </w:r>
      <w:r w:rsidR="00DF1DA9" w:rsidRPr="00EE15FD">
        <w:rPr>
          <w:rFonts w:eastAsia="Times New Roman" w:cs="Times New Roman"/>
          <w:szCs w:val="24"/>
          <w:lang w:eastAsia="ru-RU"/>
        </w:rPr>
        <w:t>185.</w:t>
      </w:r>
      <w:r w:rsidR="00444FA5" w:rsidRPr="00EE15FD">
        <w:rPr>
          <w:rFonts w:cs="Times New Roman"/>
          <w:szCs w:val="24"/>
        </w:rPr>
        <w:t> </w:t>
      </w:r>
      <w:r w:rsidRPr="00EE15FD">
        <w:rPr>
          <w:rFonts w:eastAsia="Times New Roman" w:cs="Times New Roman"/>
          <w:szCs w:val="24"/>
          <w:lang w:eastAsia="ru-RU"/>
        </w:rPr>
        <w:t xml:space="preserve">panta </w:t>
      </w:r>
      <w:r w:rsidR="00DF1DA9" w:rsidRPr="00EE15FD">
        <w:rPr>
          <w:rFonts w:eastAsia="Times New Roman" w:cs="Times New Roman"/>
          <w:szCs w:val="24"/>
          <w:lang w:eastAsia="ru-RU"/>
        </w:rPr>
        <w:t>otrās</w:t>
      </w:r>
      <w:r w:rsidR="00A61E5D" w:rsidRPr="00EE15FD">
        <w:rPr>
          <w:rFonts w:eastAsia="Times New Roman" w:cs="Times New Roman"/>
          <w:szCs w:val="24"/>
          <w:lang w:eastAsia="ru-RU"/>
        </w:rPr>
        <w:t xml:space="preserve"> daļas</w:t>
      </w:r>
      <w:r w:rsidRPr="00EE15FD">
        <w:rPr>
          <w:rFonts w:eastAsia="Times New Roman" w:cs="Times New Roman"/>
          <w:szCs w:val="24"/>
          <w:lang w:eastAsia="ru-RU"/>
        </w:rPr>
        <w:t xml:space="preserve"> par</w:t>
      </w:r>
      <w:r w:rsidR="00327166" w:rsidRPr="00EE15FD">
        <w:rPr>
          <w:rFonts w:eastAsia="Times New Roman" w:cs="Times New Roman"/>
          <w:szCs w:val="24"/>
          <w:lang w:eastAsia="ru-RU"/>
        </w:rPr>
        <w:t xml:space="preserve"> </w:t>
      </w:r>
      <w:r w:rsidR="00DF1DA9" w:rsidRPr="00EE15FD">
        <w:rPr>
          <w:rFonts w:eastAsia="Times New Roman" w:cs="Times New Roman"/>
          <w:szCs w:val="24"/>
          <w:lang w:eastAsia="ru-RU"/>
        </w:rPr>
        <w:t>sveš</w:t>
      </w:r>
      <w:r w:rsidR="00327166" w:rsidRPr="00EE15FD">
        <w:rPr>
          <w:rFonts w:eastAsia="Times New Roman" w:cs="Times New Roman"/>
          <w:szCs w:val="24"/>
          <w:lang w:eastAsia="ru-RU"/>
        </w:rPr>
        <w:t xml:space="preserve">as </w:t>
      </w:r>
      <w:r w:rsidR="00DF1DA9" w:rsidRPr="00EE15FD">
        <w:rPr>
          <w:rFonts w:eastAsia="Times New Roman" w:cs="Times New Roman"/>
          <w:szCs w:val="24"/>
          <w:lang w:eastAsia="ru-RU"/>
        </w:rPr>
        <w:t>mant</w:t>
      </w:r>
      <w:r w:rsidR="00327166" w:rsidRPr="00EE15FD">
        <w:rPr>
          <w:rFonts w:eastAsia="Times New Roman" w:cs="Times New Roman"/>
          <w:szCs w:val="24"/>
          <w:lang w:eastAsia="ru-RU"/>
        </w:rPr>
        <w:t xml:space="preserve">as tīšu iznīcināšanu </w:t>
      </w:r>
      <w:r w:rsidR="00037959" w:rsidRPr="00EE15FD">
        <w:rPr>
          <w:rFonts w:eastAsia="Times New Roman" w:cs="Times New Roman"/>
          <w:szCs w:val="24"/>
          <w:lang w:eastAsia="ru-RU"/>
        </w:rPr>
        <w:t>ar dedzināšanu</w:t>
      </w:r>
      <w:r w:rsidR="00327166" w:rsidRPr="00EE15FD">
        <w:rPr>
          <w:rFonts w:eastAsia="Times New Roman" w:cs="Times New Roman"/>
          <w:szCs w:val="24"/>
          <w:lang w:eastAsia="ru-RU"/>
        </w:rPr>
        <w:t xml:space="preserve">, kā arī </w:t>
      </w:r>
      <w:r w:rsidR="00EB7320" w:rsidRPr="00EE15FD">
        <w:rPr>
          <w:rFonts w:eastAsia="Times New Roman" w:cs="Times New Roman"/>
          <w:szCs w:val="24"/>
          <w:lang w:eastAsia="ru-RU"/>
        </w:rPr>
        <w:t xml:space="preserve">par </w:t>
      </w:r>
      <w:r w:rsidR="00327166" w:rsidRPr="00EE15FD">
        <w:rPr>
          <w:rFonts w:eastAsia="Times New Roman" w:cs="Times New Roman"/>
          <w:szCs w:val="24"/>
          <w:lang w:eastAsia="ru-RU"/>
        </w:rPr>
        <w:t xml:space="preserve">svešas mantas </w:t>
      </w:r>
      <w:r w:rsidR="00037959" w:rsidRPr="00EE15FD">
        <w:rPr>
          <w:rFonts w:eastAsia="Times New Roman" w:cs="Times New Roman"/>
          <w:szCs w:val="24"/>
          <w:lang w:eastAsia="ru-RU"/>
        </w:rPr>
        <w:t>tīš</w:t>
      </w:r>
      <w:r w:rsidR="00327166" w:rsidRPr="00EE15FD">
        <w:rPr>
          <w:rFonts w:eastAsia="Times New Roman" w:cs="Times New Roman"/>
          <w:szCs w:val="24"/>
          <w:lang w:eastAsia="ru-RU"/>
        </w:rPr>
        <w:t>u</w:t>
      </w:r>
      <w:r w:rsidR="00037959" w:rsidRPr="00EE15FD">
        <w:rPr>
          <w:rFonts w:eastAsia="Times New Roman" w:cs="Times New Roman"/>
          <w:szCs w:val="24"/>
          <w:lang w:eastAsia="ru-RU"/>
        </w:rPr>
        <w:t xml:space="preserve"> iznīcinā</w:t>
      </w:r>
      <w:r w:rsidR="00327166" w:rsidRPr="00EE15FD">
        <w:rPr>
          <w:rFonts w:eastAsia="Times New Roman" w:cs="Times New Roman"/>
          <w:szCs w:val="24"/>
          <w:lang w:eastAsia="ru-RU"/>
        </w:rPr>
        <w:t>šanu</w:t>
      </w:r>
      <w:r w:rsidR="00037959" w:rsidRPr="00EE15FD">
        <w:rPr>
          <w:rFonts w:eastAsia="Times New Roman" w:cs="Times New Roman"/>
          <w:szCs w:val="24"/>
          <w:lang w:eastAsia="ru-RU"/>
        </w:rPr>
        <w:t xml:space="preserve"> un bojā</w:t>
      </w:r>
      <w:r w:rsidR="00327166" w:rsidRPr="00EE15FD">
        <w:rPr>
          <w:rFonts w:eastAsia="Times New Roman" w:cs="Times New Roman"/>
          <w:szCs w:val="24"/>
          <w:lang w:eastAsia="ru-RU"/>
        </w:rPr>
        <w:t>šanu</w:t>
      </w:r>
      <w:r w:rsidR="00037959" w:rsidRPr="00EE15FD">
        <w:rPr>
          <w:rFonts w:eastAsia="Times New Roman" w:cs="Times New Roman"/>
          <w:szCs w:val="24"/>
          <w:lang w:eastAsia="ru-RU"/>
        </w:rPr>
        <w:t xml:space="preserve"> ar dedzināšanu</w:t>
      </w:r>
      <w:r w:rsidR="00EB7320" w:rsidRPr="00EE15FD">
        <w:rPr>
          <w:rFonts w:eastAsia="Times New Roman" w:cs="Times New Roman"/>
          <w:szCs w:val="24"/>
          <w:lang w:eastAsia="ru-RU"/>
        </w:rPr>
        <w:t>.</w:t>
      </w:r>
    </w:p>
    <w:p w14:paraId="4B252C06" w14:textId="77777777" w:rsidR="00AF37A6" w:rsidRPr="00EE15FD" w:rsidRDefault="00AF37A6" w:rsidP="00EE15FD">
      <w:pPr>
        <w:rPr>
          <w:rFonts w:eastAsia="Times New Roman" w:cs="Times New Roman"/>
          <w:szCs w:val="24"/>
          <w:highlight w:val="yellow"/>
          <w:lang w:eastAsia="ru-RU"/>
        </w:rPr>
      </w:pPr>
    </w:p>
    <w:p w14:paraId="6C16C755" w14:textId="611F0237" w:rsidR="00AF37A6" w:rsidRPr="00EE15FD" w:rsidRDefault="00AF37A6" w:rsidP="00EE15FD">
      <w:pPr>
        <w:rPr>
          <w:rFonts w:eastAsia="Times New Roman" w:cs="Times New Roman"/>
          <w:szCs w:val="24"/>
          <w:lang w:eastAsia="ru-RU"/>
        </w:rPr>
      </w:pPr>
      <w:r w:rsidRPr="00EE15FD">
        <w:rPr>
          <w:rFonts w:eastAsia="Times New Roman" w:cs="Times New Roman"/>
          <w:szCs w:val="24"/>
          <w:lang w:eastAsia="ru-RU"/>
        </w:rPr>
        <w:t xml:space="preserve">[3] Ar </w:t>
      </w:r>
      <w:r w:rsidR="0061458B" w:rsidRPr="00EE15FD">
        <w:rPr>
          <w:rFonts w:eastAsia="Times New Roman" w:cs="Times New Roman"/>
          <w:szCs w:val="24"/>
          <w:lang w:eastAsia="ru-RU"/>
        </w:rPr>
        <w:t>Kurzemes</w:t>
      </w:r>
      <w:r w:rsidRPr="00EE15FD">
        <w:rPr>
          <w:rFonts w:eastAsia="Times New Roman" w:cs="Times New Roman"/>
          <w:szCs w:val="24"/>
          <w:lang w:eastAsia="ru-RU"/>
        </w:rPr>
        <w:t xml:space="preserve"> apgabaltiesas 202</w:t>
      </w:r>
      <w:r w:rsidR="00F2615D" w:rsidRPr="00EE15FD">
        <w:rPr>
          <w:rFonts w:eastAsia="Times New Roman" w:cs="Times New Roman"/>
          <w:szCs w:val="24"/>
          <w:lang w:eastAsia="ru-RU"/>
        </w:rPr>
        <w:t>4</w:t>
      </w:r>
      <w:r w:rsidRPr="00EE15FD">
        <w:rPr>
          <w:rFonts w:eastAsia="Times New Roman" w:cs="Times New Roman"/>
          <w:szCs w:val="24"/>
          <w:lang w:eastAsia="ru-RU"/>
        </w:rPr>
        <w:t xml:space="preserve">. gada </w:t>
      </w:r>
      <w:r w:rsidR="00F2615D" w:rsidRPr="00EE15FD">
        <w:rPr>
          <w:rFonts w:eastAsia="Times New Roman" w:cs="Times New Roman"/>
          <w:szCs w:val="24"/>
          <w:lang w:eastAsia="ru-RU"/>
        </w:rPr>
        <w:t>2</w:t>
      </w:r>
      <w:r w:rsidR="0061458B" w:rsidRPr="00EE15FD">
        <w:rPr>
          <w:rFonts w:eastAsia="Times New Roman" w:cs="Times New Roman"/>
          <w:szCs w:val="24"/>
          <w:lang w:eastAsia="ru-RU"/>
        </w:rPr>
        <w:t>9</w:t>
      </w:r>
      <w:r w:rsidRPr="00EE15FD">
        <w:rPr>
          <w:rFonts w:eastAsia="Times New Roman" w:cs="Times New Roman"/>
          <w:szCs w:val="24"/>
          <w:lang w:eastAsia="ru-RU"/>
        </w:rPr>
        <w:t>. </w:t>
      </w:r>
      <w:r w:rsidR="0061458B" w:rsidRPr="00EE15FD">
        <w:rPr>
          <w:rFonts w:eastAsia="Times New Roman" w:cs="Times New Roman"/>
          <w:szCs w:val="24"/>
          <w:lang w:eastAsia="ru-RU"/>
        </w:rPr>
        <w:t>maija</w:t>
      </w:r>
      <w:r w:rsidRPr="00EE15FD">
        <w:rPr>
          <w:rFonts w:eastAsia="Times New Roman" w:cs="Times New Roman"/>
          <w:szCs w:val="24"/>
          <w:lang w:eastAsia="ru-RU"/>
        </w:rPr>
        <w:t xml:space="preserve"> lēmumu, iztiesājot lietu sakarā ar apsūdzētā </w:t>
      </w:r>
      <w:r w:rsidR="00BA6715">
        <w:rPr>
          <w:rFonts w:eastAsia="Times New Roman" w:cs="Times New Roman"/>
          <w:szCs w:val="24"/>
          <w:lang w:eastAsia="ru-RU"/>
        </w:rPr>
        <w:t>[pers. A]</w:t>
      </w:r>
      <w:r w:rsidR="00F2615D" w:rsidRPr="00EE15FD">
        <w:rPr>
          <w:rFonts w:eastAsia="Times New Roman" w:cs="Times New Roman"/>
          <w:szCs w:val="24"/>
          <w:lang w:eastAsia="ru-RU"/>
        </w:rPr>
        <w:t xml:space="preserve"> un viņa</w:t>
      </w:r>
      <w:r w:rsidRPr="00EE15FD">
        <w:rPr>
          <w:rFonts w:eastAsia="Times New Roman" w:cs="Times New Roman"/>
          <w:szCs w:val="24"/>
          <w:lang w:eastAsia="ru-RU"/>
        </w:rPr>
        <w:t xml:space="preserve"> aizstāv</w:t>
      </w:r>
      <w:r w:rsidR="0061458B" w:rsidRPr="00EE15FD">
        <w:rPr>
          <w:rFonts w:eastAsia="Times New Roman" w:cs="Times New Roman"/>
          <w:szCs w:val="24"/>
          <w:lang w:eastAsia="ru-RU"/>
        </w:rPr>
        <w:t>es</w:t>
      </w:r>
      <w:r w:rsidRPr="00EE15FD">
        <w:rPr>
          <w:rFonts w:eastAsia="Times New Roman" w:cs="Times New Roman"/>
          <w:szCs w:val="24"/>
          <w:lang w:eastAsia="ru-RU"/>
        </w:rPr>
        <w:t xml:space="preserve"> </w:t>
      </w:r>
      <w:r w:rsidR="00327166" w:rsidRPr="00EE15FD">
        <w:rPr>
          <w:rFonts w:eastAsia="Times New Roman" w:cs="Times New Roman"/>
          <w:szCs w:val="24"/>
          <w:lang w:eastAsia="ru-RU"/>
        </w:rPr>
        <w:t xml:space="preserve">zvērinātas advokātes </w:t>
      </w:r>
      <w:r w:rsidR="0061458B" w:rsidRPr="00EE15FD">
        <w:rPr>
          <w:rFonts w:eastAsia="Times New Roman" w:cs="Times New Roman"/>
          <w:szCs w:val="24"/>
          <w:lang w:eastAsia="ru-RU"/>
        </w:rPr>
        <w:t xml:space="preserve">Skaidrītes </w:t>
      </w:r>
      <w:r w:rsidR="0061458B" w:rsidRPr="00EE15FD">
        <w:rPr>
          <w:rFonts w:eastAsia="Times New Roman" w:cs="Times New Roman"/>
          <w:szCs w:val="24"/>
          <w:lang w:eastAsia="ru-RU"/>
        </w:rPr>
        <w:lastRenderedPageBreak/>
        <w:t xml:space="preserve">Kozlovskas </w:t>
      </w:r>
      <w:r w:rsidR="002638F1" w:rsidRPr="00EE15FD">
        <w:rPr>
          <w:rFonts w:eastAsia="Times New Roman" w:cs="Times New Roman"/>
          <w:szCs w:val="24"/>
          <w:lang w:eastAsia="ru-RU"/>
        </w:rPr>
        <w:t>apelācijas</w:t>
      </w:r>
      <w:r w:rsidRPr="00EE15FD">
        <w:rPr>
          <w:rFonts w:eastAsia="Times New Roman" w:cs="Times New Roman"/>
          <w:szCs w:val="24"/>
          <w:lang w:eastAsia="ru-RU"/>
        </w:rPr>
        <w:t xml:space="preserve"> sūdzīb</w:t>
      </w:r>
      <w:r w:rsidR="00F2615D" w:rsidRPr="00EE15FD">
        <w:rPr>
          <w:rFonts w:eastAsia="Times New Roman" w:cs="Times New Roman"/>
          <w:szCs w:val="24"/>
          <w:lang w:eastAsia="ru-RU"/>
        </w:rPr>
        <w:t>ām</w:t>
      </w:r>
      <w:r w:rsidRPr="00EE15FD">
        <w:rPr>
          <w:rFonts w:eastAsia="Times New Roman" w:cs="Times New Roman"/>
          <w:szCs w:val="24"/>
          <w:lang w:eastAsia="ru-RU"/>
        </w:rPr>
        <w:t>,</w:t>
      </w:r>
      <w:r w:rsidR="00090092" w:rsidRPr="00EE15FD">
        <w:rPr>
          <w:rFonts w:eastAsia="Times New Roman" w:cs="Times New Roman"/>
          <w:szCs w:val="24"/>
          <w:lang w:eastAsia="ru-RU"/>
        </w:rPr>
        <w:t xml:space="preserve"> </w:t>
      </w:r>
      <w:r w:rsidR="0061458B" w:rsidRPr="00EE15FD">
        <w:rPr>
          <w:rFonts w:eastAsia="Times New Roman" w:cs="Times New Roman"/>
          <w:szCs w:val="24"/>
          <w:lang w:eastAsia="ru-RU"/>
        </w:rPr>
        <w:t>Kurzemes rajona tiesas</w:t>
      </w:r>
      <w:r w:rsidRPr="00EE15FD">
        <w:rPr>
          <w:rFonts w:eastAsia="Times New Roman" w:cs="Times New Roman"/>
          <w:szCs w:val="24"/>
          <w:lang w:eastAsia="ru-RU"/>
        </w:rPr>
        <w:t xml:space="preserve"> 202</w:t>
      </w:r>
      <w:r w:rsidR="0061458B" w:rsidRPr="00EE15FD">
        <w:rPr>
          <w:rFonts w:eastAsia="Times New Roman" w:cs="Times New Roman"/>
          <w:szCs w:val="24"/>
          <w:lang w:eastAsia="ru-RU"/>
        </w:rPr>
        <w:t>4</w:t>
      </w:r>
      <w:r w:rsidRPr="00EE15FD">
        <w:rPr>
          <w:rFonts w:eastAsia="Times New Roman" w:cs="Times New Roman"/>
          <w:szCs w:val="24"/>
          <w:lang w:eastAsia="ru-RU"/>
        </w:rPr>
        <w:t xml:space="preserve">. gada </w:t>
      </w:r>
      <w:r w:rsidR="0061458B" w:rsidRPr="00EE15FD">
        <w:rPr>
          <w:rFonts w:eastAsia="Times New Roman" w:cs="Times New Roman"/>
          <w:szCs w:val="24"/>
          <w:lang w:eastAsia="ru-RU"/>
        </w:rPr>
        <w:t>22</w:t>
      </w:r>
      <w:r w:rsidRPr="00EE15FD">
        <w:rPr>
          <w:rFonts w:eastAsia="Times New Roman" w:cs="Times New Roman"/>
          <w:szCs w:val="24"/>
          <w:lang w:eastAsia="ru-RU"/>
        </w:rPr>
        <w:t>. </w:t>
      </w:r>
      <w:r w:rsidR="0061458B" w:rsidRPr="00EE15FD">
        <w:rPr>
          <w:rFonts w:eastAsia="Times New Roman" w:cs="Times New Roman"/>
          <w:szCs w:val="24"/>
          <w:lang w:eastAsia="ru-RU"/>
        </w:rPr>
        <w:t>janvāra</w:t>
      </w:r>
      <w:r w:rsidRPr="00EE15FD">
        <w:rPr>
          <w:rFonts w:eastAsiaTheme="minorEastAsia" w:cs="Times New Roman"/>
          <w:szCs w:val="24"/>
          <w:lang w:eastAsia="lv-LV"/>
          <w14:ligatures w14:val="standardContextual"/>
        </w:rPr>
        <w:t xml:space="preserve"> spriedums atstāts negrozīts</w:t>
      </w:r>
      <w:r w:rsidR="00106700" w:rsidRPr="00EE15FD">
        <w:rPr>
          <w:rFonts w:eastAsiaTheme="minorEastAsia" w:cs="Times New Roman"/>
          <w:szCs w:val="24"/>
          <w:lang w:eastAsia="lv-LV"/>
          <w14:ligatures w14:val="standardContextual"/>
        </w:rPr>
        <w:t>.</w:t>
      </w:r>
    </w:p>
    <w:p w14:paraId="68C1535D" w14:textId="3A56B154" w:rsidR="00AF37A6" w:rsidRPr="00EE15FD" w:rsidRDefault="00AF37A6" w:rsidP="00EE15FD">
      <w:pPr>
        <w:rPr>
          <w:rFonts w:eastAsia="Times New Roman" w:cs="Times New Roman"/>
          <w:szCs w:val="24"/>
          <w:lang w:eastAsia="ru-RU"/>
        </w:rPr>
      </w:pPr>
      <w:r w:rsidRPr="00EE15FD">
        <w:rPr>
          <w:rFonts w:eastAsia="Times New Roman" w:cs="Times New Roman"/>
          <w:szCs w:val="24"/>
          <w:lang w:eastAsia="ru-RU"/>
        </w:rPr>
        <w:t>[4] </w:t>
      </w:r>
      <w:bookmarkStart w:id="7" w:name="_Hlk124927615"/>
      <w:bookmarkStart w:id="8" w:name="_Hlk130464055"/>
      <w:r w:rsidRPr="00EE15FD">
        <w:rPr>
          <w:rFonts w:eastAsia="Times New Roman" w:cs="Times New Roman"/>
          <w:szCs w:val="24"/>
          <w:lang w:eastAsia="ru-RU"/>
        </w:rPr>
        <w:t xml:space="preserve">Par </w:t>
      </w:r>
      <w:r w:rsidR="00765F4B" w:rsidRPr="00EE15FD">
        <w:rPr>
          <w:rFonts w:eastAsia="Times New Roman" w:cs="Times New Roman"/>
          <w:szCs w:val="24"/>
          <w:lang w:eastAsia="ru-RU"/>
        </w:rPr>
        <w:t>Kurzemes apgabaltiesas 2024. gada 29. maija lēmumu</w:t>
      </w:r>
      <w:r w:rsidR="004B56B7" w:rsidRPr="00EE15FD">
        <w:rPr>
          <w:rFonts w:eastAsia="Times New Roman" w:cs="Times New Roman"/>
          <w:szCs w:val="24"/>
          <w:lang w:eastAsia="ru-RU"/>
        </w:rPr>
        <w:t xml:space="preserve"> </w:t>
      </w:r>
      <w:r w:rsidRPr="00EE15FD">
        <w:rPr>
          <w:rFonts w:eastAsia="Times New Roman" w:cs="Times New Roman"/>
          <w:szCs w:val="24"/>
          <w:lang w:eastAsia="ru-RU"/>
        </w:rPr>
        <w:t>apsūdzēt</w:t>
      </w:r>
      <w:r w:rsidR="004B56B7" w:rsidRPr="00EE15FD">
        <w:rPr>
          <w:rFonts w:eastAsia="Times New Roman" w:cs="Times New Roman"/>
          <w:szCs w:val="24"/>
          <w:lang w:eastAsia="ru-RU"/>
        </w:rPr>
        <w:t xml:space="preserve">ais </w:t>
      </w:r>
      <w:r w:rsidR="00BA6715">
        <w:rPr>
          <w:rFonts w:eastAsia="Times New Roman" w:cs="Times New Roman"/>
          <w:szCs w:val="24"/>
          <w:lang w:eastAsia="ru-RU"/>
        </w:rPr>
        <w:t>[pers. A]</w:t>
      </w:r>
      <w:r w:rsidR="004B56B7" w:rsidRPr="00EE15FD">
        <w:rPr>
          <w:rFonts w:eastAsia="Times New Roman" w:cs="Times New Roman"/>
          <w:szCs w:val="24"/>
          <w:lang w:eastAsia="ru-RU"/>
        </w:rPr>
        <w:t xml:space="preserve"> un viņa aizstāv</w:t>
      </w:r>
      <w:r w:rsidR="00765F4B" w:rsidRPr="00EE15FD">
        <w:rPr>
          <w:rFonts w:eastAsia="Times New Roman" w:cs="Times New Roman"/>
          <w:szCs w:val="24"/>
          <w:lang w:eastAsia="ru-RU"/>
        </w:rPr>
        <w:t>e</w:t>
      </w:r>
      <w:r w:rsidRPr="00EE15FD">
        <w:rPr>
          <w:rFonts w:eastAsia="Times New Roman" w:cs="Times New Roman"/>
          <w:szCs w:val="24"/>
          <w:lang w:eastAsia="ru-RU"/>
        </w:rPr>
        <w:t xml:space="preserve"> </w:t>
      </w:r>
      <w:r w:rsidR="00765F4B" w:rsidRPr="00EE15FD">
        <w:rPr>
          <w:rFonts w:eastAsia="Times New Roman" w:cs="Times New Roman"/>
          <w:szCs w:val="24"/>
          <w:lang w:eastAsia="ru-RU"/>
        </w:rPr>
        <w:t>A.</w:t>
      </w:r>
      <w:r w:rsidR="00AF128E" w:rsidRPr="00EE15FD">
        <w:rPr>
          <w:rFonts w:eastAsia="Times New Roman" w:cs="Times New Roman"/>
          <w:szCs w:val="24"/>
          <w:lang w:eastAsia="ru-RU"/>
        </w:rPr>
        <w:t> </w:t>
      </w:r>
      <w:proofErr w:type="spellStart"/>
      <w:r w:rsidR="00765F4B" w:rsidRPr="00EE15FD">
        <w:rPr>
          <w:rFonts w:eastAsia="Times New Roman" w:cs="Times New Roman"/>
          <w:szCs w:val="24"/>
          <w:lang w:eastAsia="ru-RU"/>
        </w:rPr>
        <w:t>Čirkše</w:t>
      </w:r>
      <w:proofErr w:type="spellEnd"/>
      <w:r w:rsidR="004B56B7" w:rsidRPr="00EE15FD">
        <w:rPr>
          <w:rFonts w:eastAsia="Times New Roman" w:cs="Times New Roman"/>
          <w:szCs w:val="24"/>
          <w:lang w:eastAsia="ru-RU"/>
        </w:rPr>
        <w:t xml:space="preserve"> </w:t>
      </w:r>
      <w:r w:rsidRPr="00EE15FD">
        <w:rPr>
          <w:rFonts w:eastAsia="Times New Roman" w:cs="Times New Roman"/>
          <w:szCs w:val="24"/>
          <w:lang w:eastAsia="ru-RU"/>
        </w:rPr>
        <w:t>iesnie</w:t>
      </w:r>
      <w:r w:rsidR="00D85CCB" w:rsidRPr="00EE15FD">
        <w:rPr>
          <w:rFonts w:eastAsia="Times New Roman" w:cs="Times New Roman"/>
          <w:szCs w:val="24"/>
          <w:lang w:eastAsia="ru-RU"/>
        </w:rPr>
        <w:t>guši</w:t>
      </w:r>
      <w:r w:rsidRPr="00EE15FD">
        <w:rPr>
          <w:rFonts w:eastAsia="Times New Roman" w:cs="Times New Roman"/>
          <w:szCs w:val="24"/>
          <w:lang w:eastAsia="ru-RU"/>
        </w:rPr>
        <w:t xml:space="preserve"> kasācijas sūdzīb</w:t>
      </w:r>
      <w:bookmarkStart w:id="9" w:name="_Hlk143167364"/>
      <w:r w:rsidR="004B56B7" w:rsidRPr="00EE15FD">
        <w:rPr>
          <w:rFonts w:eastAsia="Times New Roman" w:cs="Times New Roman"/>
          <w:szCs w:val="24"/>
          <w:lang w:eastAsia="ru-RU"/>
        </w:rPr>
        <w:t>as</w:t>
      </w:r>
      <w:r w:rsidRPr="00EE15FD">
        <w:rPr>
          <w:rFonts w:eastAsia="Times New Roman" w:cs="Times New Roman"/>
          <w:szCs w:val="24"/>
          <w:lang w:eastAsia="ru-RU"/>
        </w:rPr>
        <w:t>, kurā</w:t>
      </w:r>
      <w:r w:rsidR="004B56B7" w:rsidRPr="00EE15FD">
        <w:rPr>
          <w:rFonts w:eastAsia="Times New Roman" w:cs="Times New Roman"/>
          <w:szCs w:val="24"/>
          <w:lang w:eastAsia="ru-RU"/>
        </w:rPr>
        <w:t>s</w:t>
      </w:r>
      <w:r w:rsidRPr="00EE15FD">
        <w:rPr>
          <w:rFonts w:eastAsia="Times New Roman" w:cs="Times New Roman"/>
          <w:szCs w:val="24"/>
          <w:lang w:eastAsia="ru-RU"/>
        </w:rPr>
        <w:t xml:space="preserve"> lūdz </w:t>
      </w:r>
      <w:r w:rsidR="001C7D3E">
        <w:rPr>
          <w:rFonts w:eastAsia="Times New Roman" w:cs="Times New Roman"/>
          <w:szCs w:val="24"/>
          <w:lang w:eastAsia="ru-RU"/>
        </w:rPr>
        <w:t>minēto</w:t>
      </w:r>
      <w:r w:rsidR="001C7D3E" w:rsidRPr="00EE15FD">
        <w:rPr>
          <w:rFonts w:eastAsia="Times New Roman" w:cs="Times New Roman"/>
          <w:szCs w:val="24"/>
          <w:lang w:eastAsia="ru-RU"/>
        </w:rPr>
        <w:t xml:space="preserve"> lēmumu </w:t>
      </w:r>
      <w:r w:rsidRPr="00EE15FD">
        <w:rPr>
          <w:rFonts w:eastAsia="Times New Roman" w:cs="Times New Roman"/>
          <w:szCs w:val="24"/>
          <w:lang w:eastAsia="ru-RU"/>
        </w:rPr>
        <w:t xml:space="preserve">atcelt </w:t>
      </w:r>
      <w:r w:rsidR="00AF128E" w:rsidRPr="00EE15FD">
        <w:rPr>
          <w:rFonts w:eastAsia="Times New Roman" w:cs="Times New Roman"/>
          <w:szCs w:val="24"/>
          <w:lang w:eastAsia="ru-RU"/>
        </w:rPr>
        <w:t>un nosūtīt lietu jaunai izskatīšanai apelācijas instances tiesā</w:t>
      </w:r>
      <w:r w:rsidR="00660C36" w:rsidRPr="00EE15FD">
        <w:rPr>
          <w:rFonts w:eastAsia="Times New Roman" w:cs="Times New Roman"/>
          <w:szCs w:val="24"/>
          <w:lang w:eastAsia="ru-RU"/>
        </w:rPr>
        <w:t>.</w:t>
      </w:r>
    </w:p>
    <w:p w14:paraId="56CF4463" w14:textId="16296F95" w:rsidR="00AF37A6" w:rsidRPr="00EE15FD" w:rsidRDefault="00C92E9F" w:rsidP="00EE15FD">
      <w:pPr>
        <w:rPr>
          <w:rFonts w:cs="Times New Roman"/>
          <w:szCs w:val="24"/>
        </w:rPr>
      </w:pPr>
      <w:r w:rsidRPr="00EE15FD">
        <w:rPr>
          <w:rFonts w:eastAsia="Times New Roman" w:cs="Times New Roman"/>
          <w:szCs w:val="24"/>
          <w:lang w:eastAsia="ru-RU"/>
        </w:rPr>
        <w:t>[4.1]Aizstāv</w:t>
      </w:r>
      <w:r w:rsidR="00852E14" w:rsidRPr="00EE15FD">
        <w:rPr>
          <w:rFonts w:eastAsia="Times New Roman" w:cs="Times New Roman"/>
          <w:szCs w:val="24"/>
          <w:lang w:eastAsia="ru-RU"/>
        </w:rPr>
        <w:t>e</w:t>
      </w:r>
      <w:r w:rsidRPr="00EE15FD">
        <w:rPr>
          <w:rFonts w:eastAsia="Times New Roman" w:cs="Times New Roman"/>
          <w:szCs w:val="24"/>
          <w:lang w:eastAsia="ru-RU"/>
        </w:rPr>
        <w:t xml:space="preserve"> k</w:t>
      </w:r>
      <w:r w:rsidR="00AF37A6" w:rsidRPr="00EE15FD">
        <w:rPr>
          <w:rFonts w:eastAsia="Times New Roman" w:cs="Times New Roman"/>
          <w:szCs w:val="24"/>
          <w:lang w:eastAsia="ru-RU"/>
        </w:rPr>
        <w:t>asācijas sūdzīb</w:t>
      </w:r>
      <w:r w:rsidR="00D3037B" w:rsidRPr="00EE15FD">
        <w:rPr>
          <w:rFonts w:eastAsia="Times New Roman" w:cs="Times New Roman"/>
          <w:szCs w:val="24"/>
          <w:lang w:eastAsia="ru-RU"/>
        </w:rPr>
        <w:t>ā</w:t>
      </w:r>
      <w:r w:rsidR="00AF37A6" w:rsidRPr="00EE15FD">
        <w:rPr>
          <w:rFonts w:eastAsia="Times New Roman" w:cs="Times New Roman"/>
          <w:szCs w:val="24"/>
          <w:lang w:eastAsia="ru-RU"/>
        </w:rPr>
        <w:t xml:space="preserve"> </w:t>
      </w:r>
      <w:r w:rsidR="00D3037B" w:rsidRPr="00EE15FD">
        <w:rPr>
          <w:rFonts w:eastAsia="Times New Roman" w:cs="Times New Roman"/>
          <w:szCs w:val="24"/>
          <w:lang w:eastAsia="ru-RU"/>
        </w:rPr>
        <w:t xml:space="preserve">norādījusi, ka </w:t>
      </w:r>
      <w:r w:rsidR="00D3037B" w:rsidRPr="00EE15FD">
        <w:rPr>
          <w:rFonts w:cs="Times New Roman"/>
          <w:szCs w:val="24"/>
        </w:rPr>
        <w:t>a</w:t>
      </w:r>
      <w:r w:rsidR="00AF37A6" w:rsidRPr="00EE15FD">
        <w:rPr>
          <w:rFonts w:cs="Times New Roman"/>
          <w:szCs w:val="24"/>
        </w:rPr>
        <w:t xml:space="preserve">pelācijas instances tiesa </w:t>
      </w:r>
      <w:r w:rsidR="00C36392" w:rsidRPr="00EE15FD">
        <w:rPr>
          <w:rFonts w:cs="Times New Roman"/>
          <w:szCs w:val="24"/>
        </w:rPr>
        <w:t>ir pieļāvusi</w:t>
      </w:r>
      <w:r w:rsidR="00AF37A6" w:rsidRPr="00EE15FD">
        <w:rPr>
          <w:rFonts w:cs="Times New Roman"/>
          <w:szCs w:val="24"/>
        </w:rPr>
        <w:t xml:space="preserve"> Kriminālprocesa likuma </w:t>
      </w:r>
      <w:r w:rsidR="00D3037B" w:rsidRPr="00EE15FD">
        <w:rPr>
          <w:rFonts w:cs="Times New Roman"/>
          <w:szCs w:val="24"/>
        </w:rPr>
        <w:t xml:space="preserve">19. panta pārkāpumu, jo lietā esošās saprātīgās šaubas par to, ka tieši </w:t>
      </w:r>
      <w:r w:rsidR="00BA6715">
        <w:rPr>
          <w:rFonts w:eastAsia="Times New Roman" w:cs="Times New Roman"/>
          <w:szCs w:val="24"/>
          <w:lang w:eastAsia="ru-RU"/>
        </w:rPr>
        <w:t>[pers. A]</w:t>
      </w:r>
      <w:r w:rsidR="00D3037B" w:rsidRPr="00EE15FD">
        <w:rPr>
          <w:rFonts w:cs="Times New Roman"/>
          <w:szCs w:val="24"/>
        </w:rPr>
        <w:t xml:space="preserve"> </w:t>
      </w:r>
      <w:r w:rsidR="00D3037B" w:rsidRPr="00EE15FD">
        <w:rPr>
          <w:rFonts w:eastAsia="Times New Roman" w:cs="Times New Roman"/>
          <w:szCs w:val="24"/>
          <w:lang w:eastAsia="ru-RU"/>
        </w:rPr>
        <w:t>izdarīja Krimināllikuma 185.</w:t>
      </w:r>
      <w:r w:rsidR="00AF128E" w:rsidRPr="00EE15FD">
        <w:rPr>
          <w:rFonts w:eastAsia="Times New Roman" w:cs="Times New Roman"/>
          <w:szCs w:val="24"/>
          <w:lang w:eastAsia="ru-RU"/>
        </w:rPr>
        <w:t> </w:t>
      </w:r>
      <w:r w:rsidR="00D3037B" w:rsidRPr="00EE15FD">
        <w:rPr>
          <w:rFonts w:eastAsia="Times New Roman" w:cs="Times New Roman"/>
          <w:szCs w:val="24"/>
          <w:lang w:eastAsia="ru-RU"/>
        </w:rPr>
        <w:t>panta otrajā daļā paredzētos noziedzīgos nodarījumus,</w:t>
      </w:r>
      <w:r w:rsidR="00D3037B" w:rsidRPr="00EE15FD">
        <w:rPr>
          <w:rFonts w:cs="Times New Roman"/>
          <w:szCs w:val="24"/>
        </w:rPr>
        <w:t xml:space="preserve"> nav vērtējusi par labu apsūdzētajam. </w:t>
      </w:r>
      <w:r w:rsidR="0012439C" w:rsidRPr="00EE15FD">
        <w:rPr>
          <w:rFonts w:cs="Times New Roman"/>
          <w:szCs w:val="24"/>
        </w:rPr>
        <w:t>T</w:t>
      </w:r>
      <w:r w:rsidR="005B6079" w:rsidRPr="00EE15FD">
        <w:rPr>
          <w:rFonts w:cs="Times New Roman"/>
          <w:szCs w:val="24"/>
        </w:rPr>
        <w:t xml:space="preserve">iesa nav konstatējusi </w:t>
      </w:r>
      <w:r w:rsidR="00D3037B" w:rsidRPr="00EE15FD">
        <w:rPr>
          <w:rFonts w:cs="Times New Roman"/>
          <w:szCs w:val="24"/>
        </w:rPr>
        <w:t xml:space="preserve">tādas </w:t>
      </w:r>
      <w:r w:rsidR="005B6079" w:rsidRPr="00EE15FD">
        <w:rPr>
          <w:rFonts w:cs="Times New Roman"/>
          <w:szCs w:val="24"/>
        </w:rPr>
        <w:t xml:space="preserve">apsūdzētā darbības, kas </w:t>
      </w:r>
      <w:r w:rsidR="00ED2254" w:rsidRPr="00EE15FD">
        <w:rPr>
          <w:rFonts w:cs="Times New Roman"/>
          <w:szCs w:val="24"/>
        </w:rPr>
        <w:t>būtu izraisījušas aizdegšanos divās dažādās vietās gandrīz vienlaicīgi, kā</w:t>
      </w:r>
      <w:r w:rsidR="00AF128E" w:rsidRPr="00EE15FD">
        <w:rPr>
          <w:rFonts w:cs="Times New Roman"/>
          <w:szCs w:val="24"/>
        </w:rPr>
        <w:t xml:space="preserve"> arī</w:t>
      </w:r>
      <w:r w:rsidR="00ED2254" w:rsidRPr="00EE15FD">
        <w:rPr>
          <w:rFonts w:cs="Times New Roman"/>
          <w:szCs w:val="24"/>
        </w:rPr>
        <w:t xml:space="preserve"> </w:t>
      </w:r>
      <w:r w:rsidR="00AF128E" w:rsidRPr="00EE15FD">
        <w:rPr>
          <w:rFonts w:cs="Times New Roman"/>
          <w:szCs w:val="24"/>
        </w:rPr>
        <w:t xml:space="preserve">nav konstatējusi </w:t>
      </w:r>
      <w:r w:rsidR="005B6079" w:rsidRPr="00EE15FD">
        <w:rPr>
          <w:rFonts w:cs="Times New Roman"/>
          <w:szCs w:val="24"/>
        </w:rPr>
        <w:t>apsūdzētā t</w:t>
      </w:r>
      <w:r w:rsidR="0090310D" w:rsidRPr="00EE15FD">
        <w:rPr>
          <w:rFonts w:cs="Times New Roman"/>
          <w:szCs w:val="24"/>
        </w:rPr>
        <w:t>iešu</w:t>
      </w:r>
      <w:r w:rsidR="005B6079" w:rsidRPr="00EE15FD">
        <w:rPr>
          <w:rFonts w:cs="Times New Roman"/>
          <w:szCs w:val="24"/>
        </w:rPr>
        <w:t xml:space="preserve"> nodomu</w:t>
      </w:r>
      <w:r w:rsidR="0012439C" w:rsidRPr="00EE15FD">
        <w:rPr>
          <w:rFonts w:cs="Times New Roman"/>
          <w:szCs w:val="24"/>
        </w:rPr>
        <w:t xml:space="preserve"> </w:t>
      </w:r>
      <w:r w:rsidR="00ED2254" w:rsidRPr="00EE15FD">
        <w:rPr>
          <w:rFonts w:cs="Times New Roman"/>
          <w:szCs w:val="24"/>
        </w:rPr>
        <w:t>iznīcināt svešu mantu</w:t>
      </w:r>
      <w:r w:rsidR="0012439C" w:rsidRPr="00EE15FD">
        <w:rPr>
          <w:rFonts w:cs="Times New Roman"/>
          <w:szCs w:val="24"/>
        </w:rPr>
        <w:t xml:space="preserve">. Tiesa </w:t>
      </w:r>
      <w:r w:rsidR="00ED2254" w:rsidRPr="00EE15FD">
        <w:rPr>
          <w:rFonts w:cs="Times New Roman"/>
          <w:szCs w:val="24"/>
        </w:rPr>
        <w:t xml:space="preserve">savus atzinumus </w:t>
      </w:r>
      <w:r w:rsidR="0012439C" w:rsidRPr="00EE15FD">
        <w:rPr>
          <w:rFonts w:cs="Times New Roman"/>
          <w:szCs w:val="24"/>
        </w:rPr>
        <w:t>pamatoj</w:t>
      </w:r>
      <w:r w:rsidR="00ED2254" w:rsidRPr="00EE15FD">
        <w:rPr>
          <w:rFonts w:cs="Times New Roman"/>
          <w:szCs w:val="24"/>
        </w:rPr>
        <w:t>usi</w:t>
      </w:r>
      <w:r w:rsidR="0012439C" w:rsidRPr="00EE15FD">
        <w:rPr>
          <w:rFonts w:cs="Times New Roman"/>
          <w:szCs w:val="24"/>
        </w:rPr>
        <w:t xml:space="preserve"> uz liecinieku liecībā</w:t>
      </w:r>
      <w:r w:rsidR="00ED2254" w:rsidRPr="00EE15FD">
        <w:rPr>
          <w:rFonts w:cs="Times New Roman"/>
          <w:szCs w:val="24"/>
        </w:rPr>
        <w:t>s sniegtajām pretrunīgajām ziņām, turklāt lietā nav tiešu pierādījumu</w:t>
      </w:r>
      <w:r w:rsidR="0012439C" w:rsidRPr="00EE15FD">
        <w:rPr>
          <w:rFonts w:cs="Times New Roman"/>
          <w:szCs w:val="24"/>
        </w:rPr>
        <w:t>.</w:t>
      </w:r>
    </w:p>
    <w:p w14:paraId="7E57F1CA" w14:textId="51DF4359" w:rsidR="0025714A" w:rsidRPr="00EE15FD" w:rsidRDefault="00F45B9C" w:rsidP="00EE15FD">
      <w:pPr>
        <w:rPr>
          <w:rFonts w:eastAsia="Times New Roman" w:cs="Times New Roman"/>
          <w:szCs w:val="24"/>
          <w:lang w:eastAsia="ru-RU"/>
        </w:rPr>
      </w:pPr>
      <w:r w:rsidRPr="00EE15FD">
        <w:rPr>
          <w:rFonts w:cs="Times New Roman"/>
          <w:szCs w:val="24"/>
        </w:rPr>
        <w:t>[4.2] </w:t>
      </w:r>
      <w:r w:rsidR="00AF128E" w:rsidRPr="00EE15FD">
        <w:rPr>
          <w:rFonts w:eastAsia="Times New Roman" w:cs="Times New Roman"/>
          <w:szCs w:val="24"/>
          <w:lang w:eastAsia="ru-RU"/>
        </w:rPr>
        <w:t xml:space="preserve">Apsūdzētais </w:t>
      </w:r>
      <w:r w:rsidRPr="00EE15FD">
        <w:rPr>
          <w:rFonts w:eastAsia="Times New Roman" w:cs="Times New Roman"/>
          <w:szCs w:val="24"/>
          <w:lang w:eastAsia="ru-RU"/>
        </w:rPr>
        <w:t xml:space="preserve">kasācijas </w:t>
      </w:r>
      <w:r w:rsidR="00AF128E" w:rsidRPr="00EE15FD">
        <w:rPr>
          <w:rFonts w:eastAsia="Times New Roman" w:cs="Times New Roman"/>
          <w:szCs w:val="24"/>
          <w:lang w:eastAsia="ru-RU"/>
        </w:rPr>
        <w:t xml:space="preserve">sūdzību pamatojis </w:t>
      </w:r>
      <w:r w:rsidR="0025714A" w:rsidRPr="00EE15FD">
        <w:rPr>
          <w:rFonts w:eastAsia="Times New Roman" w:cs="Times New Roman"/>
          <w:szCs w:val="24"/>
          <w:lang w:eastAsia="ru-RU"/>
        </w:rPr>
        <w:t>ar šādiem argumentiem.</w:t>
      </w:r>
    </w:p>
    <w:p w14:paraId="365BD6F9" w14:textId="503B9B7C" w:rsidR="00055046" w:rsidRPr="00EE15FD" w:rsidRDefault="00055046" w:rsidP="00EE15FD">
      <w:pPr>
        <w:rPr>
          <w:rFonts w:eastAsia="Times New Roman" w:cs="Times New Roman"/>
          <w:szCs w:val="24"/>
          <w:lang w:eastAsia="ru-RU"/>
        </w:rPr>
      </w:pPr>
      <w:r w:rsidRPr="00EE15FD">
        <w:rPr>
          <w:rFonts w:eastAsia="Times New Roman" w:cs="Times New Roman"/>
          <w:szCs w:val="24"/>
          <w:lang w:eastAsia="ru-RU"/>
        </w:rPr>
        <w:t xml:space="preserve">[4.2.1] Apelācijas instances tiesa nepamatoti </w:t>
      </w:r>
      <w:r w:rsidR="00AF128E" w:rsidRPr="00EE15FD">
        <w:rPr>
          <w:rFonts w:eastAsia="Times New Roman" w:cs="Times New Roman"/>
          <w:szCs w:val="24"/>
          <w:lang w:eastAsia="ru-RU"/>
        </w:rPr>
        <w:t>atzinusi par ticamām</w:t>
      </w:r>
      <w:r w:rsidRPr="00EE15FD">
        <w:rPr>
          <w:rFonts w:eastAsia="Times New Roman" w:cs="Times New Roman"/>
          <w:szCs w:val="24"/>
          <w:lang w:eastAsia="ru-RU"/>
        </w:rPr>
        <w:t xml:space="preserve"> liecinieku </w:t>
      </w:r>
      <w:r w:rsidR="00BA6715">
        <w:rPr>
          <w:rFonts w:cs="Times New Roman"/>
          <w:szCs w:val="24"/>
        </w:rPr>
        <w:t>[pers. D]</w:t>
      </w:r>
      <w:r w:rsidRPr="00EE15FD">
        <w:rPr>
          <w:rFonts w:eastAsia="Times New Roman" w:cs="Times New Roman"/>
          <w:szCs w:val="24"/>
          <w:lang w:eastAsia="ru-RU"/>
        </w:rPr>
        <w:t xml:space="preserve"> un </w:t>
      </w:r>
      <w:r w:rsidR="00BA6715">
        <w:rPr>
          <w:rFonts w:eastAsia="Times New Roman" w:cs="Times New Roman"/>
          <w:szCs w:val="24"/>
          <w:lang w:eastAsia="ru-RU"/>
        </w:rPr>
        <w:t>[pers. E]</w:t>
      </w:r>
      <w:r w:rsidRPr="00EE15FD">
        <w:rPr>
          <w:rFonts w:eastAsia="Times New Roman" w:cs="Times New Roman"/>
          <w:szCs w:val="24"/>
          <w:lang w:eastAsia="ru-RU"/>
        </w:rPr>
        <w:t xml:space="preserve"> </w:t>
      </w:r>
      <w:r w:rsidR="00AF128E" w:rsidRPr="00EE15FD">
        <w:rPr>
          <w:rFonts w:eastAsia="Times New Roman" w:cs="Times New Roman"/>
          <w:szCs w:val="24"/>
          <w:lang w:eastAsia="ru-RU"/>
        </w:rPr>
        <w:t>liecīb</w:t>
      </w:r>
      <w:r w:rsidR="00B20375" w:rsidRPr="00EE15FD">
        <w:rPr>
          <w:rFonts w:eastAsia="Times New Roman" w:cs="Times New Roman"/>
          <w:szCs w:val="24"/>
          <w:lang w:eastAsia="ru-RU"/>
        </w:rPr>
        <w:t>ās sniegtās ziņas</w:t>
      </w:r>
      <w:r w:rsidRPr="00EE15FD">
        <w:rPr>
          <w:rFonts w:eastAsia="Times New Roman" w:cs="Times New Roman"/>
          <w:szCs w:val="24"/>
          <w:lang w:eastAsia="ru-RU"/>
        </w:rPr>
        <w:t xml:space="preserve">. Savukārt </w:t>
      </w:r>
      <w:r w:rsidR="009C7579" w:rsidRPr="00EE15FD">
        <w:rPr>
          <w:rFonts w:eastAsia="Times New Roman" w:cs="Times New Roman"/>
          <w:szCs w:val="24"/>
          <w:lang w:eastAsia="ru-RU"/>
        </w:rPr>
        <w:t xml:space="preserve">pirmās instances </w:t>
      </w:r>
      <w:r w:rsidR="00F04C82" w:rsidRPr="00EE15FD">
        <w:rPr>
          <w:rFonts w:eastAsia="Times New Roman" w:cs="Times New Roman"/>
          <w:szCs w:val="24"/>
          <w:lang w:eastAsia="ru-RU"/>
        </w:rPr>
        <w:t>tiesa nepamatoti noraidījusi lūgumu atkārtoti nopratināt liecinieku</w:t>
      </w:r>
      <w:r w:rsidR="009C7579" w:rsidRPr="00EE15FD">
        <w:rPr>
          <w:rFonts w:eastAsia="Times New Roman" w:cs="Times New Roman"/>
          <w:szCs w:val="24"/>
          <w:lang w:eastAsia="ru-RU"/>
        </w:rPr>
        <w:t xml:space="preserve"> </w:t>
      </w:r>
      <w:r w:rsidR="00BA6715">
        <w:rPr>
          <w:rFonts w:eastAsia="Times New Roman" w:cs="Times New Roman"/>
          <w:szCs w:val="24"/>
          <w:lang w:eastAsia="ru-RU"/>
        </w:rPr>
        <w:t>[pers. E]</w:t>
      </w:r>
      <w:r w:rsidR="00F04C82" w:rsidRPr="00EE15FD">
        <w:rPr>
          <w:rFonts w:eastAsia="Times New Roman" w:cs="Times New Roman"/>
          <w:szCs w:val="24"/>
          <w:lang w:eastAsia="ru-RU"/>
        </w:rPr>
        <w:t>.</w:t>
      </w:r>
    </w:p>
    <w:p w14:paraId="7C52D94F" w14:textId="77777777" w:rsidR="00055046" w:rsidRPr="00EE15FD" w:rsidRDefault="00055046" w:rsidP="00EE15FD">
      <w:pPr>
        <w:rPr>
          <w:rFonts w:eastAsia="Times New Roman" w:cs="Times New Roman"/>
          <w:szCs w:val="24"/>
          <w:lang w:eastAsia="ru-RU"/>
        </w:rPr>
      </w:pPr>
      <w:r w:rsidRPr="00EE15FD">
        <w:rPr>
          <w:rFonts w:eastAsia="Times New Roman" w:cs="Times New Roman"/>
          <w:szCs w:val="24"/>
          <w:lang w:eastAsia="ru-RU"/>
        </w:rPr>
        <w:t>[4.2.2] Tiesa nav ņēmusi vērā, ka apsūdzētais notikuma brīdī ir atradies medikamentu ietekmē.</w:t>
      </w:r>
    </w:p>
    <w:p w14:paraId="3D91B697" w14:textId="1A453EE5" w:rsidR="00055046" w:rsidRPr="00EE15FD" w:rsidRDefault="00055046" w:rsidP="00EE15FD">
      <w:pPr>
        <w:rPr>
          <w:rFonts w:eastAsia="Times New Roman" w:cs="Times New Roman"/>
          <w:szCs w:val="24"/>
          <w:lang w:eastAsia="ru-RU"/>
        </w:rPr>
      </w:pPr>
      <w:r w:rsidRPr="00EE15FD">
        <w:rPr>
          <w:rFonts w:eastAsia="Times New Roman" w:cs="Times New Roman"/>
          <w:szCs w:val="24"/>
          <w:lang w:eastAsia="ru-RU"/>
        </w:rPr>
        <w:t>[4.2.3] Apsūdzētais nav izdarījis noziedzīgos nodarījumus, tādēļ tiesa nepamatoti no viņa piedzinusi procesuālos izdevumus.</w:t>
      </w:r>
    </w:p>
    <w:bookmarkEnd w:id="7"/>
    <w:bookmarkEnd w:id="8"/>
    <w:bookmarkEnd w:id="9"/>
    <w:p w14:paraId="543ACA93" w14:textId="2B0EABF6" w:rsidR="00AF37A6" w:rsidRPr="00EE15FD" w:rsidRDefault="00AF37A6" w:rsidP="00EE15FD">
      <w:pPr>
        <w:rPr>
          <w:rFonts w:eastAsia="Times New Roman" w:cs="Times New Roman"/>
          <w:szCs w:val="24"/>
          <w:highlight w:val="yellow"/>
          <w:lang w:eastAsia="ru-RU"/>
        </w:rPr>
      </w:pPr>
    </w:p>
    <w:p w14:paraId="6E7A390C" w14:textId="3A5E99DF" w:rsidR="00AF37A6" w:rsidRPr="00EE15FD" w:rsidRDefault="00AF37A6" w:rsidP="00EE15FD">
      <w:pPr>
        <w:keepNext/>
        <w:ind w:firstLine="0"/>
        <w:jc w:val="center"/>
        <w:rPr>
          <w:rFonts w:eastAsia="Times New Roman" w:cs="Times New Roman"/>
          <w:b/>
          <w:szCs w:val="24"/>
          <w:lang w:eastAsia="ru-RU"/>
        </w:rPr>
      </w:pPr>
      <w:r w:rsidRPr="00EE15FD">
        <w:rPr>
          <w:rFonts w:eastAsia="Times New Roman" w:cs="Times New Roman"/>
          <w:b/>
          <w:szCs w:val="24"/>
          <w:lang w:eastAsia="ru-RU"/>
        </w:rPr>
        <w:t>Motīvu daļa</w:t>
      </w:r>
    </w:p>
    <w:p w14:paraId="61EB84C8" w14:textId="77777777" w:rsidR="00AF37A6" w:rsidRPr="00EE15FD" w:rsidRDefault="00AF37A6" w:rsidP="00EE15FD">
      <w:pPr>
        <w:keepNext/>
        <w:jc w:val="left"/>
        <w:rPr>
          <w:rFonts w:eastAsia="Times New Roman" w:cs="Times New Roman"/>
          <w:szCs w:val="24"/>
          <w:highlight w:val="yellow"/>
          <w:lang w:eastAsia="ru-RU"/>
        </w:rPr>
      </w:pPr>
    </w:p>
    <w:p w14:paraId="08137E38" w14:textId="039C9DCD" w:rsidR="001D5961" w:rsidRPr="00EE15FD" w:rsidRDefault="001D5961" w:rsidP="00EE15FD">
      <w:pPr>
        <w:shd w:val="clear" w:color="auto" w:fill="FFFFFF"/>
        <w:rPr>
          <w:rFonts w:cs="Times New Roman"/>
          <w:bCs/>
          <w:szCs w:val="24"/>
        </w:rPr>
      </w:pPr>
      <w:r w:rsidRPr="00EE15FD">
        <w:rPr>
          <w:rFonts w:cs="Times New Roman"/>
          <w:bCs/>
          <w:szCs w:val="24"/>
        </w:rPr>
        <w:t>[5] </w:t>
      </w:r>
      <w:r w:rsidRPr="00EE15FD">
        <w:rPr>
          <w:rFonts w:cs="Times New Roman"/>
          <w:szCs w:val="24"/>
        </w:rPr>
        <w:t xml:space="preserve">Senāts atzīst, ka lietā ir jāsniedz atbilde uz tiesību jautājumu, </w:t>
      </w:r>
      <w:r w:rsidRPr="00EE15FD">
        <w:rPr>
          <w:rFonts w:cs="Times New Roman"/>
          <w:bCs/>
          <w:szCs w:val="24"/>
        </w:rPr>
        <w:t>vai no notiesātā</w:t>
      </w:r>
      <w:r w:rsidR="00BA6011" w:rsidRPr="00EE15FD">
        <w:rPr>
          <w:rFonts w:cs="Times New Roman"/>
          <w:bCs/>
          <w:szCs w:val="24"/>
        </w:rPr>
        <w:t xml:space="preserve"> </w:t>
      </w:r>
      <w:r w:rsidRPr="00EE15FD">
        <w:rPr>
          <w:rFonts w:cs="Times New Roman"/>
          <w:bCs/>
          <w:szCs w:val="24"/>
        </w:rPr>
        <w:t xml:space="preserve">ir </w:t>
      </w:r>
      <w:r w:rsidRPr="00EE15FD">
        <w:rPr>
          <w:rFonts w:cs="Times New Roman"/>
          <w:szCs w:val="24"/>
        </w:rPr>
        <w:t>piedzenami procesuālie izdevumi par tulka darbu kriminālprocesā.</w:t>
      </w:r>
    </w:p>
    <w:p w14:paraId="6EDDD739" w14:textId="11BE4AA2" w:rsidR="001D5961" w:rsidRPr="00EE15FD" w:rsidRDefault="001D5961" w:rsidP="00EE15FD">
      <w:pPr>
        <w:shd w:val="clear" w:color="auto" w:fill="FFFFFF"/>
        <w:rPr>
          <w:rFonts w:cs="Times New Roman"/>
          <w:bCs/>
          <w:szCs w:val="24"/>
        </w:rPr>
      </w:pPr>
      <w:r w:rsidRPr="00EE15FD">
        <w:rPr>
          <w:rFonts w:cs="Times New Roman"/>
          <w:bCs/>
          <w:szCs w:val="24"/>
        </w:rPr>
        <w:t xml:space="preserve">[5.1] Ar </w:t>
      </w:r>
      <w:r w:rsidRPr="00EE15FD">
        <w:rPr>
          <w:rFonts w:cs="Times New Roman"/>
          <w:szCs w:val="24"/>
        </w:rPr>
        <w:t xml:space="preserve">pirmās instances tiesas spriedumu no </w:t>
      </w:r>
      <w:r w:rsidR="00BA6715">
        <w:rPr>
          <w:rFonts w:eastAsia="Times New Roman" w:cs="Times New Roman"/>
          <w:szCs w:val="24"/>
          <w:lang w:eastAsia="ru-RU"/>
        </w:rPr>
        <w:t>[pers. A]</w:t>
      </w:r>
      <w:r w:rsidRPr="00EE15FD">
        <w:rPr>
          <w:rFonts w:cs="Times New Roman"/>
          <w:szCs w:val="24"/>
        </w:rPr>
        <w:t xml:space="preserve"> valsts labā </w:t>
      </w:r>
      <w:r w:rsidRPr="00EE15FD">
        <w:rPr>
          <w:rFonts w:cs="Times New Roman"/>
          <w:bCs/>
          <w:szCs w:val="24"/>
        </w:rPr>
        <w:t xml:space="preserve">piedzīti procesuālie izdevumi </w:t>
      </w:r>
      <w:r w:rsidRPr="00EE15FD">
        <w:rPr>
          <w:rFonts w:cs="Times New Roman"/>
          <w:szCs w:val="24"/>
        </w:rPr>
        <w:t>57</w:t>
      </w:r>
      <w:r w:rsidR="009A497E" w:rsidRPr="00EE15FD">
        <w:rPr>
          <w:rFonts w:cs="Times New Roman"/>
          <w:szCs w:val="24"/>
        </w:rPr>
        <w:t>,</w:t>
      </w:r>
      <w:r w:rsidRPr="00EE15FD">
        <w:rPr>
          <w:rFonts w:cs="Times New Roman"/>
          <w:szCs w:val="24"/>
        </w:rPr>
        <w:t>48 </w:t>
      </w:r>
      <w:r w:rsidRPr="00EE15FD">
        <w:rPr>
          <w:rFonts w:cs="Times New Roman"/>
          <w:i/>
          <w:iCs/>
          <w:szCs w:val="24"/>
        </w:rPr>
        <w:t>euro</w:t>
      </w:r>
      <w:r w:rsidRPr="00EE15FD">
        <w:rPr>
          <w:rFonts w:cs="Times New Roman"/>
          <w:szCs w:val="24"/>
        </w:rPr>
        <w:t xml:space="preserve"> par mutisko tulkošanu. No lietas materiāliem konstatējams, ka minētie izdevumi radušies, nodrošinot angļu valodas tulka pakalpojumus, lai uzklausītu liecinieka liecību</w:t>
      </w:r>
      <w:r w:rsidRPr="00EE15FD">
        <w:rPr>
          <w:rFonts w:cs="Times New Roman"/>
          <w:bCs/>
          <w:szCs w:val="24"/>
        </w:rPr>
        <w:t xml:space="preserve"> pirmās instances tiesas sēdē. Apelācijas instances tiesa pirmās instances tiesas spriedumu šajā daļā atstājusi negrozītu.</w:t>
      </w:r>
    </w:p>
    <w:p w14:paraId="4F969E57" w14:textId="49A1F0BB" w:rsidR="001D5961" w:rsidRPr="00EE15FD" w:rsidRDefault="001D5961" w:rsidP="00EE15FD">
      <w:pPr>
        <w:shd w:val="clear" w:color="auto" w:fill="FFFFFF"/>
        <w:rPr>
          <w:rFonts w:cs="Times New Roman"/>
          <w:bCs/>
          <w:szCs w:val="24"/>
        </w:rPr>
      </w:pPr>
      <w:r w:rsidRPr="00EE15FD">
        <w:rPr>
          <w:rFonts w:cs="Times New Roman"/>
          <w:bCs/>
          <w:szCs w:val="24"/>
        </w:rPr>
        <w:t xml:space="preserve">Pirmās instances tiesa piedzinusi samaksu par tulkošanu no </w:t>
      </w:r>
      <w:r w:rsidR="00BA6715">
        <w:rPr>
          <w:rFonts w:eastAsia="Times New Roman" w:cs="Times New Roman"/>
          <w:szCs w:val="24"/>
          <w:lang w:eastAsia="ru-RU"/>
        </w:rPr>
        <w:t>[pers. A]</w:t>
      </w:r>
      <w:r w:rsidRPr="00EE15FD">
        <w:rPr>
          <w:rFonts w:cs="Times New Roman"/>
          <w:bCs/>
          <w:szCs w:val="24"/>
        </w:rPr>
        <w:t>, atsaucoties uz Kriminālprocesa likuma 367. panta pirmās daļas 3. punktu un 368. panta pirmo daļu.</w:t>
      </w:r>
    </w:p>
    <w:p w14:paraId="60455A87" w14:textId="68E5FE74" w:rsidR="001D5961" w:rsidRPr="00EE15FD" w:rsidRDefault="001D5961" w:rsidP="00EE15FD">
      <w:pPr>
        <w:shd w:val="clear" w:color="auto" w:fill="FFFFFF"/>
        <w:rPr>
          <w:rFonts w:cs="Times New Roman"/>
          <w:szCs w:val="24"/>
        </w:rPr>
      </w:pPr>
      <w:r w:rsidRPr="00EE15FD">
        <w:rPr>
          <w:rFonts w:cs="Times New Roman"/>
          <w:szCs w:val="24"/>
        </w:rPr>
        <w:t>[</w:t>
      </w:r>
      <w:r w:rsidR="004E5FAC" w:rsidRPr="00EE15FD">
        <w:rPr>
          <w:rFonts w:cs="Times New Roman"/>
          <w:szCs w:val="24"/>
        </w:rPr>
        <w:t>5</w:t>
      </w:r>
      <w:r w:rsidRPr="00EE15FD">
        <w:rPr>
          <w:rFonts w:cs="Times New Roman"/>
          <w:szCs w:val="24"/>
        </w:rPr>
        <w:t>.2] Kriminālprocesa likuma 367. pantā norādīti procesuālo izdevumu veidi. Šā panta pirmās daļas 3. punktā noteikts, ka procesuālie izdevumi ir samaksa ekspertiem, revidentiem, tulkiem un speciālistiem par darbu, izņemot gadījumus, kad viņi piedalās procesā, izpildot savus dienesta pienākumus.</w:t>
      </w:r>
    </w:p>
    <w:p w14:paraId="5FAECE99" w14:textId="7112883C" w:rsidR="001D5961" w:rsidRPr="00EE15FD" w:rsidRDefault="001D5961" w:rsidP="00EE15FD">
      <w:pPr>
        <w:shd w:val="clear" w:color="auto" w:fill="FFFFFF"/>
        <w:rPr>
          <w:rFonts w:cs="Times New Roman"/>
          <w:szCs w:val="24"/>
        </w:rPr>
      </w:pPr>
      <w:r w:rsidRPr="00EE15FD">
        <w:rPr>
          <w:rFonts w:cs="Times New Roman"/>
          <w:szCs w:val="24"/>
        </w:rPr>
        <w:t>Savukārt Kriminālprocesa likuma 368. pantā reglamentēta procesuālo izdevumu piedziņa. Šā panta pirmā daļa noteic, ka procesuālos izdevumus ar tiesas nolēmumu piedzen no notiesātajiem, izņemot šā panta trešajā, ceturtajā un sestajā daļā minētos gadījumus.</w:t>
      </w:r>
    </w:p>
    <w:p w14:paraId="5038B074" w14:textId="1FFBA7BF" w:rsidR="001D5961" w:rsidRPr="00EE15FD" w:rsidRDefault="001D5961" w:rsidP="00EE15FD">
      <w:pPr>
        <w:shd w:val="clear" w:color="auto" w:fill="FFFFFF"/>
        <w:rPr>
          <w:rFonts w:cs="Times New Roman"/>
          <w:szCs w:val="24"/>
        </w:rPr>
      </w:pPr>
      <w:r w:rsidRPr="00EE15FD">
        <w:rPr>
          <w:rFonts w:cs="Times New Roman"/>
          <w:szCs w:val="24"/>
        </w:rPr>
        <w:t>Savukārt Kriminālprocesa likuma 368. panta piektajā daļā, kurā saskaņā ar šā panta pirmo daļu arī bija ietverts izņēmums no vispārīgā principa par procesuālo izdevumu piedziņu no notiesātajiem, noteica, ka samaksu par tulka darbu sedz no valsts līdzekļiem. Ar 2022. gada 6. oktobra likumu „Grozījumi Kriminālprocesa likumā” Kriminālprocesa likuma 368. panta piektā daļa tika izslēgta no likuma.</w:t>
      </w:r>
    </w:p>
    <w:p w14:paraId="0FD15604" w14:textId="5A018185" w:rsidR="00162688" w:rsidRPr="00EE15FD" w:rsidRDefault="001D5961" w:rsidP="00EE15FD">
      <w:pPr>
        <w:shd w:val="clear" w:color="auto" w:fill="FFFFFF"/>
        <w:rPr>
          <w:rFonts w:cs="Times New Roman"/>
          <w:i/>
          <w:iCs/>
          <w:szCs w:val="24"/>
        </w:rPr>
      </w:pPr>
      <w:r w:rsidRPr="00EE15FD">
        <w:rPr>
          <w:rFonts w:cs="Times New Roman"/>
          <w:szCs w:val="24"/>
        </w:rPr>
        <w:lastRenderedPageBreak/>
        <w:t>Likumprojekta izstrādātāji par Kriminālprocesa likuma 368. panta piektās daļas izslēgšanu norādīja, ka jaunais regulējums attiecībā uz atbrīvošanu no procesuālo izdevumu samaksas neattiecas uz procesuālajiem izdevumiem saistībā ar tulku pakalpojumu izmantošanu, ņemot vērā, ka atbilstoši Kriminālprocesa likuma 11. panta otrajā daļā noteiktajam personām, kuras procesa virzītājs iesaistījis kriminālprocesā, ja tās neprot valsts valodu, ir tiesības bez atlīdzības izmantot tulka palīdzību. Attiecīgi jautājums par atbrīvošanu no procesuālajiem izdevumiem, kas saistīti ar tulkošanu, nav atsevišķi jāizlemj (</w:t>
      </w:r>
      <w:r w:rsidR="00C97154" w:rsidRPr="00ED0E57">
        <w:rPr>
          <w:rFonts w:cs="Times New Roman"/>
          <w:i/>
          <w:iCs/>
          <w:szCs w:val="24"/>
        </w:rPr>
        <w:t xml:space="preserve">13. Saeimas </w:t>
      </w:r>
      <w:r w:rsidR="00C97154">
        <w:rPr>
          <w:rFonts w:cs="Times New Roman"/>
          <w:i/>
          <w:iCs/>
          <w:szCs w:val="24"/>
        </w:rPr>
        <w:t>l</w:t>
      </w:r>
      <w:r w:rsidRPr="00EE15FD">
        <w:rPr>
          <w:rFonts w:cs="Times New Roman"/>
          <w:i/>
          <w:iCs/>
          <w:szCs w:val="24"/>
        </w:rPr>
        <w:t xml:space="preserve">ikumprojekta </w:t>
      </w:r>
      <w:r w:rsidR="00C97154">
        <w:rPr>
          <w:rFonts w:cs="Times New Roman"/>
          <w:i/>
          <w:iCs/>
          <w:szCs w:val="24"/>
        </w:rPr>
        <w:t>Nr. </w:t>
      </w:r>
      <w:hyperlink r:id="rId7" w:history="1">
        <w:r w:rsidR="00C97154" w:rsidRPr="006A455D">
          <w:rPr>
            <w:rStyle w:val="Hyperlink"/>
            <w:rFonts w:cs="Times New Roman"/>
            <w:i/>
            <w:iCs/>
            <w:szCs w:val="24"/>
          </w:rPr>
          <w:t>1323/Lp13</w:t>
        </w:r>
      </w:hyperlink>
      <w:r w:rsidR="00C97154">
        <w:rPr>
          <w:rFonts w:cs="Times New Roman"/>
          <w:i/>
          <w:iCs/>
          <w:szCs w:val="24"/>
        </w:rPr>
        <w:t xml:space="preserve"> </w:t>
      </w:r>
      <w:r w:rsidRPr="00EE15FD">
        <w:rPr>
          <w:rFonts w:cs="Times New Roman"/>
          <w:i/>
          <w:iCs/>
          <w:szCs w:val="24"/>
        </w:rPr>
        <w:t xml:space="preserve">„Grozījumi Kriminālprocesa likumā” papildinātā </w:t>
      </w:r>
      <w:hyperlink r:id="rId8" w:history="1">
        <w:r w:rsidRPr="00EE15FD">
          <w:rPr>
            <w:rStyle w:val="Hyperlink"/>
            <w:rFonts w:cs="Times New Roman"/>
            <w:i/>
            <w:iCs/>
            <w:szCs w:val="24"/>
          </w:rPr>
          <w:t>anotācija</w:t>
        </w:r>
      </w:hyperlink>
      <w:r w:rsidRPr="00EE15FD">
        <w:rPr>
          <w:rFonts w:cs="Times New Roman"/>
          <w:i/>
          <w:iCs/>
          <w:szCs w:val="24"/>
        </w:rPr>
        <w:t xml:space="preserve"> 43.</w:t>
      </w:r>
      <w:r w:rsidR="00162688" w:rsidRPr="00EE15FD">
        <w:rPr>
          <w:rFonts w:cs="Times New Roman"/>
          <w:i/>
          <w:iCs/>
          <w:szCs w:val="24"/>
        </w:rPr>
        <w:t>–</w:t>
      </w:r>
      <w:r w:rsidRPr="00EE15FD">
        <w:rPr>
          <w:rFonts w:cs="Times New Roman"/>
          <w:i/>
          <w:iCs/>
          <w:szCs w:val="24"/>
        </w:rPr>
        <w:t>44. lapa</w:t>
      </w:r>
      <w:r w:rsidRPr="00EE15FD">
        <w:rPr>
          <w:rFonts w:cs="Times New Roman"/>
          <w:szCs w:val="24"/>
        </w:rPr>
        <w:t>).</w:t>
      </w:r>
    </w:p>
    <w:p w14:paraId="17F1F2E7" w14:textId="55367876" w:rsidR="001D5961" w:rsidRPr="00EE15FD" w:rsidRDefault="001D5961" w:rsidP="00EE15FD">
      <w:pPr>
        <w:shd w:val="clear" w:color="auto" w:fill="FFFFFF"/>
        <w:rPr>
          <w:rFonts w:cs="Times New Roman"/>
          <w:szCs w:val="24"/>
        </w:rPr>
      </w:pPr>
      <w:r w:rsidRPr="00EE15FD">
        <w:rPr>
          <w:rFonts w:cs="Times New Roman"/>
          <w:szCs w:val="24"/>
        </w:rPr>
        <w:t>Tādējādi, lai gan Kriminālprocesa likuma 368. panta piektā daļa ir izslēgta, lemjot jautājumu par atbrīvošanu no procesuālajiem izdevumiem, kas saistīti ar tulkošanu, jāņem vērā Kriminālprocesa likuma 11. pantā noteiktais</w:t>
      </w:r>
      <w:r w:rsidR="00162688" w:rsidRPr="00EE15FD">
        <w:rPr>
          <w:rFonts w:cs="Times New Roman"/>
          <w:szCs w:val="24"/>
        </w:rPr>
        <w:t>.</w:t>
      </w:r>
    </w:p>
    <w:p w14:paraId="38004237" w14:textId="060195DF" w:rsidR="001D5961" w:rsidRPr="00EE15FD" w:rsidRDefault="001D5961" w:rsidP="00EE15FD">
      <w:pPr>
        <w:shd w:val="clear" w:color="auto" w:fill="FFFFFF"/>
        <w:rPr>
          <w:rFonts w:cs="Times New Roman"/>
          <w:szCs w:val="24"/>
        </w:rPr>
      </w:pPr>
      <w:r w:rsidRPr="00EE15FD">
        <w:rPr>
          <w:rFonts w:cs="Times New Roman"/>
          <w:szCs w:val="24"/>
        </w:rPr>
        <w:t>Kriminālprocesa likuma 11. pantā nostiprināts kriminālprocesa pamatprincips „kriminālprocesā lietojamā valoda”, kas paredz, ka kriminālprocess notiek valsts valodā. Savukārt minētā panta otrās daļas pirmais teikums noteic, ka personai, kurai ir tiesības uz aizstāvību, cietušajam un viņa pārstāvim, lieciniekam, speciālistam, ekspertam, revidentam, kā arī citām personām, kuras procesa virzītājs iesaistījis kriminālprocesā, ja tās neprot valsts valodu, procesuālo darbību veikšanas laikā ir tiesības lietot valodu, kuru šīs personas prot, un bez atlīdzības izmantot tulka palīdzību, kura piedalīšanos nodrošina procesa virzītājs.</w:t>
      </w:r>
    </w:p>
    <w:p w14:paraId="7CF8F797" w14:textId="77777777" w:rsidR="001D5961" w:rsidRPr="00EE15FD" w:rsidRDefault="001D5961" w:rsidP="00EE15FD">
      <w:pPr>
        <w:shd w:val="clear" w:color="auto" w:fill="FFFFFF"/>
        <w:rPr>
          <w:rFonts w:cs="Times New Roman"/>
          <w:szCs w:val="24"/>
        </w:rPr>
      </w:pPr>
      <w:r w:rsidRPr="00EE15FD">
        <w:rPr>
          <w:rFonts w:cs="Times New Roman"/>
          <w:szCs w:val="24"/>
        </w:rPr>
        <w:t>Tādējādi personām, kuras procesa virzītājs iesaistījis kriminālprocesā, tulka palīdzība ir jānodrošina bez atlīdzības, arī pēc tam no notiesātā nepieprasot atlīdzināt ar to saistītos izdevumus. Turklāt izņēmums no vispārīgā noteikuma par procesuālo izdevumu piedziņu no notiesātā ir interpretējams plaši – proti, izdevumi par tulka vai tulkotāja pakalpojumiem, neatkarīgi no to veida (mutiska vai rakstiska tulkošana) un personas statusa (tulkojums nodrošināts pašam apsūdzētajam, lieciniekam vai citai kriminālprocesā iesaistītai personai), nav piedzenami no notiesātā. Šos izdevumus sedz valsts, ja vien tiesību normas izņēmuma kārtā neparedz citādi.</w:t>
      </w:r>
    </w:p>
    <w:p w14:paraId="763F6439" w14:textId="76312A98" w:rsidR="001D5961" w:rsidRPr="00EE15FD" w:rsidRDefault="001D5961" w:rsidP="00EE15FD">
      <w:pPr>
        <w:shd w:val="clear" w:color="auto" w:fill="FFFFFF"/>
        <w:rPr>
          <w:rFonts w:cs="Times New Roman"/>
          <w:szCs w:val="24"/>
        </w:rPr>
      </w:pPr>
      <w:r w:rsidRPr="00EE15FD">
        <w:rPr>
          <w:rFonts w:cs="Times New Roman"/>
          <w:szCs w:val="24"/>
        </w:rPr>
        <w:t>[</w:t>
      </w:r>
      <w:r w:rsidR="004E5FAC" w:rsidRPr="00EE15FD">
        <w:rPr>
          <w:rFonts w:cs="Times New Roman"/>
          <w:szCs w:val="24"/>
        </w:rPr>
        <w:t>5</w:t>
      </w:r>
      <w:r w:rsidRPr="00EE15FD">
        <w:rPr>
          <w:rFonts w:cs="Times New Roman"/>
          <w:szCs w:val="24"/>
        </w:rPr>
        <w:t xml:space="preserve">.3] Ievērojot minēto, Senāts atzīst, ka apelācijas instances tiesa, atstājot negrozītu pirmās instances tiesas spriedumu daļā, ar kuru no </w:t>
      </w:r>
      <w:r w:rsidR="00BA6715">
        <w:rPr>
          <w:rFonts w:eastAsia="Times New Roman" w:cs="Times New Roman"/>
          <w:szCs w:val="24"/>
          <w:lang w:eastAsia="ru-RU"/>
        </w:rPr>
        <w:t>[pers. A]</w:t>
      </w:r>
      <w:r w:rsidRPr="00EE15FD">
        <w:rPr>
          <w:rFonts w:cs="Times New Roman"/>
          <w:szCs w:val="24"/>
        </w:rPr>
        <w:t xml:space="preserve"> piedzīta samaksa par tulka darbu, pieļāvusi Kriminālprocesa likuma 11. panta otrās daļas pārkāpumu. Minētais pārkāpums atzīstams par Kriminālprocesa likuma būtisku pārkāpumu šā likuma 575. panta trešās daļas izpratnē, kas novedis pie nelikumīga nolēmuma šajā daļā.</w:t>
      </w:r>
    </w:p>
    <w:p w14:paraId="2944D0B6" w14:textId="32D841B6" w:rsidR="001D5961" w:rsidRPr="00EE15FD" w:rsidRDefault="001D5961" w:rsidP="00EE15FD">
      <w:pPr>
        <w:autoSpaceDE w:val="0"/>
        <w:autoSpaceDN w:val="0"/>
        <w:adjustRightInd w:val="0"/>
        <w:rPr>
          <w:rFonts w:cs="Times New Roman"/>
          <w:szCs w:val="24"/>
        </w:rPr>
      </w:pPr>
      <w:r w:rsidRPr="00EE15FD">
        <w:rPr>
          <w:rFonts w:cs="Times New Roman"/>
          <w:szCs w:val="24"/>
        </w:rPr>
        <w:t>Ievērojot minēto, Senāts atzīst, ka apelācijas instances tiesas lēmums daļā par 57</w:t>
      </w:r>
      <w:r w:rsidR="009A497E" w:rsidRPr="00EE15FD">
        <w:rPr>
          <w:rFonts w:cs="Times New Roman"/>
          <w:szCs w:val="24"/>
        </w:rPr>
        <w:t>,</w:t>
      </w:r>
      <w:r w:rsidRPr="00EE15FD">
        <w:rPr>
          <w:rFonts w:cs="Times New Roman"/>
          <w:szCs w:val="24"/>
        </w:rPr>
        <w:t>48 </w:t>
      </w:r>
      <w:proofErr w:type="spellStart"/>
      <w:r w:rsidRPr="00EE15FD">
        <w:rPr>
          <w:rFonts w:cs="Times New Roman"/>
          <w:i/>
          <w:iCs/>
          <w:szCs w:val="24"/>
        </w:rPr>
        <w:t>euro</w:t>
      </w:r>
      <w:proofErr w:type="spellEnd"/>
      <w:r w:rsidRPr="00EE15FD">
        <w:rPr>
          <w:rFonts w:cs="Times New Roman"/>
          <w:szCs w:val="24"/>
        </w:rPr>
        <w:t xml:space="preserve"> piedziņu</w:t>
      </w:r>
      <w:r w:rsidRPr="00EE15FD">
        <w:rPr>
          <w:rFonts w:cs="Times New Roman"/>
          <w:i/>
          <w:szCs w:val="24"/>
        </w:rPr>
        <w:t xml:space="preserve"> </w:t>
      </w:r>
      <w:r w:rsidRPr="00EE15FD">
        <w:rPr>
          <w:rFonts w:cs="Times New Roman"/>
          <w:szCs w:val="24"/>
        </w:rPr>
        <w:t xml:space="preserve">no </w:t>
      </w:r>
      <w:r w:rsidR="00BA6715">
        <w:rPr>
          <w:rFonts w:eastAsia="Times New Roman" w:cs="Times New Roman"/>
          <w:szCs w:val="24"/>
          <w:lang w:eastAsia="ru-RU"/>
        </w:rPr>
        <w:t>[pers. A]</w:t>
      </w:r>
      <w:r w:rsidRPr="00EE15FD">
        <w:rPr>
          <w:rFonts w:cs="Times New Roman"/>
          <w:szCs w:val="24"/>
        </w:rPr>
        <w:t xml:space="preserve"> valsts labā par mutisko tulkošanu atceļams un kriminālprocess šajā daļā izbeidzams.</w:t>
      </w:r>
    </w:p>
    <w:p w14:paraId="6637A574" w14:textId="77777777" w:rsidR="001D5961" w:rsidRPr="00EE15FD" w:rsidRDefault="001D5961" w:rsidP="00EE15FD">
      <w:pPr>
        <w:autoSpaceDE w:val="0"/>
        <w:autoSpaceDN w:val="0"/>
        <w:adjustRightInd w:val="0"/>
        <w:rPr>
          <w:rFonts w:cs="Times New Roman"/>
          <w:szCs w:val="24"/>
        </w:rPr>
      </w:pPr>
    </w:p>
    <w:p w14:paraId="5205982C" w14:textId="3C61CD1B" w:rsidR="00055046" w:rsidRPr="00EE15FD" w:rsidRDefault="00B32061" w:rsidP="00EE15FD">
      <w:pPr>
        <w:autoSpaceDE w:val="0"/>
        <w:autoSpaceDN w:val="0"/>
        <w:adjustRightInd w:val="0"/>
        <w:rPr>
          <w:rFonts w:cs="Times New Roman"/>
          <w:color w:val="000000" w:themeColor="text1"/>
          <w:szCs w:val="24"/>
        </w:rPr>
      </w:pPr>
      <w:r w:rsidRPr="00EE15FD">
        <w:rPr>
          <w:rFonts w:cs="Times New Roman"/>
          <w:szCs w:val="24"/>
        </w:rPr>
        <w:t>[</w:t>
      </w:r>
      <w:r w:rsidR="001D5961" w:rsidRPr="00EE15FD">
        <w:rPr>
          <w:rFonts w:cs="Times New Roman"/>
          <w:szCs w:val="24"/>
        </w:rPr>
        <w:t>6</w:t>
      </w:r>
      <w:r w:rsidRPr="00EE15FD">
        <w:rPr>
          <w:rFonts w:cs="Times New Roman"/>
          <w:szCs w:val="24"/>
        </w:rPr>
        <w:t>]</w:t>
      </w:r>
      <w:r w:rsidR="00852E14" w:rsidRPr="00EE15FD">
        <w:rPr>
          <w:rFonts w:cs="Times New Roman"/>
          <w:szCs w:val="24"/>
        </w:rPr>
        <w:t> </w:t>
      </w:r>
      <w:r w:rsidR="00055046" w:rsidRPr="00EE15FD">
        <w:rPr>
          <w:rFonts w:cs="Times New Roman"/>
          <w:color w:val="000000" w:themeColor="text1"/>
          <w:szCs w:val="24"/>
        </w:rPr>
        <w:t xml:space="preserve">Senāts atzīst, ka izskatāmajā lietā kasācijas instances tiesas kompetencē ir arī pārbaudīt, vai apsūdzētā </w:t>
      </w:r>
      <w:r w:rsidR="00BA6715">
        <w:rPr>
          <w:rFonts w:eastAsia="Times New Roman" w:cs="Times New Roman"/>
          <w:szCs w:val="24"/>
          <w:lang w:eastAsia="ru-RU"/>
        </w:rPr>
        <w:t xml:space="preserve">[pers. A] </w:t>
      </w:r>
      <w:r w:rsidR="00055046" w:rsidRPr="00EE15FD">
        <w:rPr>
          <w:rFonts w:eastAsia="Times New Roman" w:cs="Times New Roman"/>
          <w:szCs w:val="24"/>
          <w:lang w:eastAsia="ru-RU"/>
        </w:rPr>
        <w:t>un viņa aizstāves A</w:t>
      </w:r>
      <w:r w:rsidR="009A497E" w:rsidRPr="00EE15FD">
        <w:rPr>
          <w:rFonts w:eastAsia="Times New Roman" w:cs="Times New Roman"/>
          <w:szCs w:val="24"/>
          <w:lang w:eastAsia="ru-RU"/>
        </w:rPr>
        <w:t>.</w:t>
      </w:r>
      <w:r w:rsidR="009A497E" w:rsidRPr="00EE15FD">
        <w:rPr>
          <w:rFonts w:cs="Times New Roman"/>
          <w:szCs w:val="24"/>
        </w:rPr>
        <w:t> </w:t>
      </w:r>
      <w:proofErr w:type="spellStart"/>
      <w:r w:rsidR="00055046" w:rsidRPr="00EE15FD">
        <w:rPr>
          <w:rFonts w:eastAsia="Times New Roman" w:cs="Times New Roman"/>
          <w:szCs w:val="24"/>
          <w:lang w:eastAsia="ru-RU"/>
        </w:rPr>
        <w:t>Čirkšes</w:t>
      </w:r>
      <w:proofErr w:type="spellEnd"/>
      <w:r w:rsidR="00055046" w:rsidRPr="00EE15FD">
        <w:rPr>
          <w:rFonts w:eastAsia="Times New Roman" w:cs="Times New Roman"/>
          <w:szCs w:val="24"/>
          <w:lang w:eastAsia="ru-RU"/>
        </w:rPr>
        <w:t xml:space="preserve"> </w:t>
      </w:r>
      <w:r w:rsidR="00055046" w:rsidRPr="00EE15FD">
        <w:rPr>
          <w:rFonts w:cs="Times New Roman"/>
          <w:color w:val="000000" w:themeColor="text1"/>
          <w:szCs w:val="24"/>
        </w:rPr>
        <w:t xml:space="preserve">kasācijas sūdzības satur </w:t>
      </w:r>
      <w:r w:rsidR="00D23C7C" w:rsidRPr="00EE15FD">
        <w:rPr>
          <w:rFonts w:cs="Times New Roman"/>
          <w:color w:val="000000" w:themeColor="text1"/>
          <w:szCs w:val="24"/>
        </w:rPr>
        <w:t>citus</w:t>
      </w:r>
      <w:r w:rsidR="00055046" w:rsidRPr="00EE15FD">
        <w:rPr>
          <w:rFonts w:cs="Times New Roman"/>
          <w:color w:val="000000" w:themeColor="text1"/>
          <w:szCs w:val="24"/>
        </w:rPr>
        <w:t xml:space="preserve"> argumentus, kas var būt par pamatu apelācijas instances tiesas nolēmuma atcelšanai.</w:t>
      </w:r>
    </w:p>
    <w:p w14:paraId="62872ACD" w14:textId="20A5D682" w:rsidR="00C5450A" w:rsidRPr="00EE15FD" w:rsidRDefault="00055046" w:rsidP="00EE15FD">
      <w:pPr>
        <w:keepNext/>
        <w:widowControl w:val="0"/>
        <w:tabs>
          <w:tab w:val="left" w:pos="709"/>
        </w:tabs>
        <w:rPr>
          <w:rFonts w:cs="Times New Roman"/>
          <w:szCs w:val="24"/>
        </w:rPr>
      </w:pPr>
      <w:r w:rsidRPr="00EE15FD">
        <w:rPr>
          <w:rFonts w:cs="Times New Roman"/>
          <w:color w:val="000000" w:themeColor="text1"/>
          <w:szCs w:val="24"/>
        </w:rPr>
        <w:t>[</w:t>
      </w:r>
      <w:r w:rsidR="001D5961" w:rsidRPr="00EE15FD">
        <w:rPr>
          <w:rFonts w:cs="Times New Roman"/>
          <w:color w:val="000000" w:themeColor="text1"/>
          <w:szCs w:val="24"/>
        </w:rPr>
        <w:t>6</w:t>
      </w:r>
      <w:r w:rsidRPr="00EE15FD">
        <w:rPr>
          <w:rFonts w:cs="Times New Roman"/>
          <w:color w:val="000000" w:themeColor="text1"/>
          <w:szCs w:val="24"/>
        </w:rPr>
        <w:t>.1]</w:t>
      </w:r>
      <w:r w:rsidR="009A497E" w:rsidRPr="00EE15FD">
        <w:rPr>
          <w:rFonts w:cs="Times New Roman"/>
          <w:color w:val="000000" w:themeColor="text1"/>
          <w:szCs w:val="24"/>
        </w:rPr>
        <w:t> </w:t>
      </w:r>
      <w:r w:rsidR="00CA4552" w:rsidRPr="00EE15FD">
        <w:rPr>
          <w:rFonts w:cs="Times New Roman"/>
          <w:color w:val="000000" w:themeColor="text1"/>
          <w:szCs w:val="24"/>
        </w:rPr>
        <w:t>Senāts konstatē, k</w:t>
      </w:r>
      <w:r w:rsidR="00D23C7C" w:rsidRPr="00EE15FD">
        <w:rPr>
          <w:rFonts w:cs="Times New Roman"/>
          <w:color w:val="000000" w:themeColor="text1"/>
          <w:szCs w:val="24"/>
        </w:rPr>
        <w:t>a</w:t>
      </w:r>
      <w:r w:rsidR="00CA4552" w:rsidRPr="00EE15FD">
        <w:rPr>
          <w:rFonts w:cs="Times New Roman"/>
          <w:color w:val="000000" w:themeColor="text1"/>
          <w:szCs w:val="24"/>
        </w:rPr>
        <w:t xml:space="preserve"> </w:t>
      </w:r>
      <w:r w:rsidR="00D23C7C" w:rsidRPr="00EE15FD">
        <w:rPr>
          <w:rFonts w:cs="Times New Roman"/>
          <w:color w:val="000000" w:themeColor="text1"/>
          <w:szCs w:val="24"/>
        </w:rPr>
        <w:t xml:space="preserve">apsūdzētais </w:t>
      </w:r>
      <w:r w:rsidR="00BA6715">
        <w:rPr>
          <w:rFonts w:eastAsia="Times New Roman" w:cs="Times New Roman"/>
          <w:szCs w:val="24"/>
          <w:lang w:eastAsia="ru-RU"/>
        </w:rPr>
        <w:t>[pers. A]</w:t>
      </w:r>
      <w:r w:rsidR="00D23C7C" w:rsidRPr="00EE15FD">
        <w:rPr>
          <w:rFonts w:eastAsia="Times New Roman" w:cs="Times New Roman"/>
          <w:szCs w:val="24"/>
          <w:lang w:eastAsia="ru-RU"/>
        </w:rPr>
        <w:t xml:space="preserve"> un viņa </w:t>
      </w:r>
      <w:r w:rsidR="00CA4552" w:rsidRPr="00EE15FD">
        <w:rPr>
          <w:rFonts w:cs="Times New Roman"/>
          <w:szCs w:val="24"/>
        </w:rPr>
        <w:t>aizstāve kasācijas sūdzībā</w:t>
      </w:r>
      <w:r w:rsidR="00D23C7C" w:rsidRPr="00EE15FD">
        <w:rPr>
          <w:rFonts w:cs="Times New Roman"/>
          <w:szCs w:val="24"/>
        </w:rPr>
        <w:t>s</w:t>
      </w:r>
      <w:r w:rsidR="00CA4552" w:rsidRPr="00EE15FD">
        <w:rPr>
          <w:rFonts w:cs="Times New Roman"/>
          <w:szCs w:val="24"/>
        </w:rPr>
        <w:t xml:space="preserve"> atkārtoju</w:t>
      </w:r>
      <w:r w:rsidR="00D23C7C" w:rsidRPr="00EE15FD">
        <w:rPr>
          <w:rFonts w:cs="Times New Roman"/>
          <w:szCs w:val="24"/>
        </w:rPr>
        <w:t>š</w:t>
      </w:r>
      <w:r w:rsidR="00CA4552" w:rsidRPr="00EE15FD">
        <w:rPr>
          <w:rFonts w:cs="Times New Roman"/>
          <w:szCs w:val="24"/>
        </w:rPr>
        <w:t>i savus apelācijas sūdzīb</w:t>
      </w:r>
      <w:r w:rsidR="00D23C7C" w:rsidRPr="00EE15FD">
        <w:rPr>
          <w:rFonts w:cs="Times New Roman"/>
          <w:szCs w:val="24"/>
        </w:rPr>
        <w:t>u</w:t>
      </w:r>
      <w:r w:rsidR="00CA4552" w:rsidRPr="00EE15FD">
        <w:rPr>
          <w:rFonts w:cs="Times New Roman"/>
          <w:szCs w:val="24"/>
        </w:rPr>
        <w:t xml:space="preserve"> argumentu</w:t>
      </w:r>
      <w:r w:rsidR="00D23C7C" w:rsidRPr="00EE15FD">
        <w:rPr>
          <w:rFonts w:cs="Times New Roman"/>
          <w:szCs w:val="24"/>
        </w:rPr>
        <w:t>s, kurus a</w:t>
      </w:r>
      <w:r w:rsidR="00CA4552" w:rsidRPr="00EE15FD">
        <w:rPr>
          <w:rFonts w:cs="Times New Roman"/>
          <w:szCs w:val="24"/>
        </w:rPr>
        <w:t xml:space="preserve">pelācijas instances tiesa ir izvērtējusi un motivēti noraidījusi, pamatojot savus atzinumus ar lietā </w:t>
      </w:r>
      <w:r w:rsidR="00D23C7C" w:rsidRPr="00EE15FD">
        <w:rPr>
          <w:rFonts w:cs="Times New Roman"/>
          <w:szCs w:val="24"/>
        </w:rPr>
        <w:t xml:space="preserve">esošiem </w:t>
      </w:r>
      <w:r w:rsidR="00CA4552" w:rsidRPr="00EE15FD">
        <w:rPr>
          <w:rFonts w:cs="Times New Roman"/>
          <w:szCs w:val="24"/>
        </w:rPr>
        <w:t>pierādījumiem. Apelācijas instances tiesa atzinusi, ka pirmās instances tiesa pareizi novērtējusi lietā</w:t>
      </w:r>
      <w:r w:rsidR="00D23C7C" w:rsidRPr="00EE15FD">
        <w:rPr>
          <w:rFonts w:cs="Times New Roman"/>
          <w:szCs w:val="24"/>
        </w:rPr>
        <w:t xml:space="preserve"> esošos </w:t>
      </w:r>
      <w:r w:rsidR="00CA4552" w:rsidRPr="00EE15FD">
        <w:rPr>
          <w:rFonts w:cs="Times New Roman"/>
          <w:szCs w:val="24"/>
        </w:rPr>
        <w:t xml:space="preserve">pierādījumus un izdarījusi pamatotus secinājumus par apsūdzētā </w:t>
      </w:r>
      <w:r w:rsidR="0084798A">
        <w:rPr>
          <w:rFonts w:eastAsia="Times New Roman" w:cs="Times New Roman"/>
          <w:szCs w:val="24"/>
          <w:lang w:eastAsia="ru-RU"/>
        </w:rPr>
        <w:t>[pers. A]</w:t>
      </w:r>
      <w:r w:rsidR="00D23C7C" w:rsidRPr="00EE15FD">
        <w:rPr>
          <w:rFonts w:eastAsia="Times New Roman" w:cs="Times New Roman"/>
          <w:szCs w:val="24"/>
          <w:lang w:eastAsia="ru-RU"/>
        </w:rPr>
        <w:t xml:space="preserve"> </w:t>
      </w:r>
      <w:r w:rsidR="00CA4552" w:rsidRPr="00EE15FD">
        <w:rPr>
          <w:rFonts w:cs="Times New Roman"/>
          <w:szCs w:val="24"/>
        </w:rPr>
        <w:t xml:space="preserve">vainīgumu </w:t>
      </w:r>
      <w:r w:rsidR="00D23C7C" w:rsidRPr="00EE15FD">
        <w:rPr>
          <w:rFonts w:cs="Times New Roman"/>
          <w:szCs w:val="24"/>
        </w:rPr>
        <w:t xml:space="preserve">divu </w:t>
      </w:r>
      <w:r w:rsidR="00CA4552" w:rsidRPr="00EE15FD">
        <w:rPr>
          <w:rFonts w:cs="Times New Roman"/>
          <w:szCs w:val="24"/>
        </w:rPr>
        <w:t xml:space="preserve">Krimināllikuma </w:t>
      </w:r>
      <w:r w:rsidR="00D23C7C" w:rsidRPr="00EE15FD">
        <w:rPr>
          <w:rFonts w:cs="Times New Roman"/>
          <w:szCs w:val="24"/>
        </w:rPr>
        <w:t>185</w:t>
      </w:r>
      <w:r w:rsidR="00CA4552" w:rsidRPr="00EE15FD">
        <w:rPr>
          <w:rFonts w:cs="Times New Roman"/>
          <w:szCs w:val="24"/>
        </w:rPr>
        <w:t>.</w:t>
      </w:r>
      <w:r w:rsidR="00D23C7C" w:rsidRPr="00EE15FD">
        <w:rPr>
          <w:rFonts w:cs="Times New Roman"/>
          <w:szCs w:val="24"/>
        </w:rPr>
        <w:t> </w:t>
      </w:r>
      <w:r w:rsidR="00CA4552" w:rsidRPr="00EE15FD">
        <w:rPr>
          <w:rFonts w:cs="Times New Roman"/>
          <w:szCs w:val="24"/>
        </w:rPr>
        <w:t xml:space="preserve">panta </w:t>
      </w:r>
      <w:r w:rsidR="00D23C7C" w:rsidRPr="00EE15FD">
        <w:rPr>
          <w:rFonts w:cs="Times New Roman"/>
          <w:szCs w:val="24"/>
        </w:rPr>
        <w:t>otraj</w:t>
      </w:r>
      <w:r w:rsidR="00CA4552" w:rsidRPr="00EE15FD">
        <w:rPr>
          <w:rFonts w:cs="Times New Roman"/>
          <w:szCs w:val="24"/>
        </w:rPr>
        <w:t>ā daļā paredzēt</w:t>
      </w:r>
      <w:r w:rsidR="00D23C7C" w:rsidRPr="00EE15FD">
        <w:rPr>
          <w:rFonts w:cs="Times New Roman"/>
          <w:szCs w:val="24"/>
        </w:rPr>
        <w:t>o</w:t>
      </w:r>
      <w:r w:rsidR="00CA4552" w:rsidRPr="00EE15FD">
        <w:rPr>
          <w:rFonts w:cs="Times New Roman"/>
          <w:szCs w:val="24"/>
        </w:rPr>
        <w:t xml:space="preserve"> noziedzīg</w:t>
      </w:r>
      <w:r w:rsidR="00D23C7C" w:rsidRPr="00EE15FD">
        <w:rPr>
          <w:rFonts w:cs="Times New Roman"/>
          <w:szCs w:val="24"/>
        </w:rPr>
        <w:t>o</w:t>
      </w:r>
      <w:r w:rsidR="00CA4552" w:rsidRPr="00EE15FD">
        <w:rPr>
          <w:rFonts w:cs="Times New Roman"/>
          <w:szCs w:val="24"/>
        </w:rPr>
        <w:t xml:space="preserve"> </w:t>
      </w:r>
      <w:r w:rsidR="00CA4552" w:rsidRPr="00EE15FD">
        <w:rPr>
          <w:rFonts w:cs="Times New Roman"/>
          <w:szCs w:val="24"/>
        </w:rPr>
        <w:lastRenderedPageBreak/>
        <w:t>nodarījum</w:t>
      </w:r>
      <w:r w:rsidR="00D23C7C" w:rsidRPr="00EE15FD">
        <w:rPr>
          <w:rFonts w:cs="Times New Roman"/>
          <w:szCs w:val="24"/>
        </w:rPr>
        <w:t>u</w:t>
      </w:r>
      <w:r w:rsidR="00CA4552" w:rsidRPr="00EE15FD">
        <w:rPr>
          <w:rFonts w:cs="Times New Roman"/>
          <w:szCs w:val="24"/>
        </w:rPr>
        <w:t xml:space="preserve"> izdarīšanā.</w:t>
      </w:r>
    </w:p>
    <w:p w14:paraId="374ACF40" w14:textId="1DA683B0" w:rsidR="00180871" w:rsidRPr="00EE15FD" w:rsidRDefault="00CA4552" w:rsidP="008058AC">
      <w:pPr>
        <w:keepNext/>
        <w:widowControl w:val="0"/>
        <w:tabs>
          <w:tab w:val="left" w:pos="709"/>
        </w:tabs>
        <w:rPr>
          <w:rFonts w:cs="Times New Roman"/>
          <w:szCs w:val="24"/>
        </w:rPr>
      </w:pPr>
      <w:r w:rsidRPr="00EE15FD">
        <w:rPr>
          <w:rFonts w:cs="Times New Roman"/>
          <w:szCs w:val="24"/>
        </w:rPr>
        <w:t xml:space="preserve">Apelācijas instances tiesa </w:t>
      </w:r>
      <w:r w:rsidR="00180871" w:rsidRPr="00EE15FD">
        <w:rPr>
          <w:rFonts w:cs="Times New Roman"/>
          <w:szCs w:val="24"/>
        </w:rPr>
        <w:t>atsaukusies uz Senāta judikatūrā norādīto, ka kriminālprocesā pierādāmo apstākļu esamības vai neesamības apstiprināšanai var tikt izmantoti arī netieši pierādījumi, kas ar saistīto faktu starpniecību dod pamatu izdarīt secinājumu par pierādāmiem apstākļiem (</w:t>
      </w:r>
      <w:bookmarkStart w:id="10" w:name="_Hlk200363444"/>
      <w:r w:rsidR="00180871" w:rsidRPr="00EE15FD">
        <w:rPr>
          <w:rFonts w:cs="Times New Roman"/>
          <w:i/>
          <w:iCs/>
          <w:szCs w:val="24"/>
        </w:rPr>
        <w:t>Senāta 2021.</w:t>
      </w:r>
      <w:r w:rsidR="009A497E" w:rsidRPr="00EE15FD">
        <w:rPr>
          <w:rFonts w:cs="Times New Roman"/>
          <w:i/>
          <w:iCs/>
          <w:szCs w:val="24"/>
        </w:rPr>
        <w:t> </w:t>
      </w:r>
      <w:r w:rsidR="00180871" w:rsidRPr="00EE15FD">
        <w:rPr>
          <w:rFonts w:cs="Times New Roman"/>
          <w:i/>
          <w:iCs/>
          <w:szCs w:val="24"/>
        </w:rPr>
        <w:t>gada 13.</w:t>
      </w:r>
      <w:r w:rsidR="005660C8" w:rsidRPr="00EE15FD">
        <w:rPr>
          <w:rFonts w:cs="Times New Roman"/>
          <w:i/>
          <w:iCs/>
          <w:szCs w:val="24"/>
        </w:rPr>
        <w:t> </w:t>
      </w:r>
      <w:r w:rsidR="00180871" w:rsidRPr="00EE15FD">
        <w:rPr>
          <w:rFonts w:cs="Times New Roman"/>
          <w:i/>
          <w:iCs/>
          <w:szCs w:val="24"/>
        </w:rPr>
        <w:t>maija lēmuma lietā Nr. </w:t>
      </w:r>
      <w:r w:rsidR="005660C8" w:rsidRPr="00EE15FD">
        <w:rPr>
          <w:rFonts w:cs="Times New Roman"/>
          <w:i/>
          <w:iCs/>
          <w:szCs w:val="24"/>
        </w:rPr>
        <w:t>SKK</w:t>
      </w:r>
      <w:r w:rsidR="00283F03">
        <w:rPr>
          <w:rFonts w:cs="Times New Roman"/>
          <w:i/>
          <w:iCs/>
          <w:szCs w:val="24"/>
        </w:rPr>
        <w:noBreakHyphen/>
      </w:r>
      <w:r w:rsidR="00180871" w:rsidRPr="00EE15FD">
        <w:rPr>
          <w:rFonts w:cs="Times New Roman"/>
          <w:i/>
          <w:iCs/>
          <w:szCs w:val="24"/>
        </w:rPr>
        <w:t xml:space="preserve">89/2021, </w:t>
      </w:r>
      <w:hyperlink r:id="rId9" w:history="1">
        <w:r w:rsidR="00283F03" w:rsidRPr="00283F03">
          <w:rPr>
            <w:rStyle w:val="Hyperlink"/>
            <w:rFonts w:cs="Times New Roman"/>
            <w:i/>
            <w:iCs/>
            <w:szCs w:val="24"/>
          </w:rPr>
          <w:t>ECLI:LV:AT:2021:0513.11091099518.5.L</w:t>
        </w:r>
      </w:hyperlink>
      <w:bookmarkEnd w:id="10"/>
      <w:r w:rsidR="00180871" w:rsidRPr="00EE15FD">
        <w:rPr>
          <w:rFonts w:cs="Times New Roman"/>
          <w:i/>
          <w:iCs/>
          <w:szCs w:val="24"/>
        </w:rPr>
        <w:t>, 5.1.</w:t>
      </w:r>
      <w:r w:rsidR="005660C8" w:rsidRPr="00EE15FD">
        <w:rPr>
          <w:rFonts w:cs="Times New Roman"/>
          <w:i/>
          <w:iCs/>
          <w:szCs w:val="24"/>
        </w:rPr>
        <w:t> </w:t>
      </w:r>
      <w:r w:rsidR="00180871" w:rsidRPr="00EE15FD">
        <w:rPr>
          <w:rFonts w:cs="Times New Roman"/>
          <w:i/>
          <w:iCs/>
          <w:szCs w:val="24"/>
        </w:rPr>
        <w:t>punkts</w:t>
      </w:r>
      <w:r w:rsidR="00180871" w:rsidRPr="00EE15FD">
        <w:rPr>
          <w:rFonts w:cs="Times New Roman"/>
          <w:szCs w:val="24"/>
        </w:rPr>
        <w:t>)</w:t>
      </w:r>
      <w:r w:rsidR="00283F03">
        <w:rPr>
          <w:rFonts w:cs="Times New Roman"/>
          <w:szCs w:val="24"/>
        </w:rPr>
        <w:t>,</w:t>
      </w:r>
      <w:r w:rsidR="00180871" w:rsidRPr="00EE15FD">
        <w:rPr>
          <w:rFonts w:cs="Times New Roman"/>
          <w:szCs w:val="24"/>
        </w:rPr>
        <w:t xml:space="preserve"> un </w:t>
      </w:r>
      <w:r w:rsidRPr="00EE15FD">
        <w:rPr>
          <w:rFonts w:cs="Times New Roman"/>
          <w:szCs w:val="24"/>
        </w:rPr>
        <w:t>atkārtoti izvērtējusi</w:t>
      </w:r>
      <w:r w:rsidR="00D23C7C" w:rsidRPr="00EE15FD">
        <w:rPr>
          <w:rFonts w:cs="Times New Roman"/>
          <w:szCs w:val="24"/>
        </w:rPr>
        <w:t xml:space="preserve"> </w:t>
      </w:r>
      <w:r w:rsidR="000D23CE" w:rsidRPr="00EE15FD">
        <w:rPr>
          <w:rFonts w:cs="Times New Roman"/>
          <w:szCs w:val="24"/>
        </w:rPr>
        <w:t xml:space="preserve">liecinieku </w:t>
      </w:r>
      <w:r w:rsidR="00BA6715">
        <w:rPr>
          <w:rFonts w:cs="Times New Roman"/>
          <w:szCs w:val="24"/>
        </w:rPr>
        <w:t>[pers. F]</w:t>
      </w:r>
      <w:r w:rsidR="000D23CE" w:rsidRPr="00EE15FD">
        <w:rPr>
          <w:rFonts w:cs="Times New Roman"/>
          <w:szCs w:val="24"/>
        </w:rPr>
        <w:t xml:space="preserve">, </w:t>
      </w:r>
      <w:r w:rsidR="00BA6715">
        <w:rPr>
          <w:rFonts w:cs="Times New Roman"/>
          <w:szCs w:val="24"/>
        </w:rPr>
        <w:t>[pers. G]</w:t>
      </w:r>
      <w:r w:rsidR="000D23CE" w:rsidRPr="00EE15FD">
        <w:rPr>
          <w:rFonts w:cs="Times New Roman"/>
          <w:szCs w:val="24"/>
        </w:rPr>
        <w:t xml:space="preserve">, </w:t>
      </w:r>
      <w:r w:rsidR="00BA6715">
        <w:rPr>
          <w:rFonts w:cs="Times New Roman"/>
          <w:szCs w:val="24"/>
        </w:rPr>
        <w:t>[pers.</w:t>
      </w:r>
      <w:r w:rsidR="008058AC">
        <w:rPr>
          <w:rFonts w:cs="Times New Roman"/>
          <w:szCs w:val="24"/>
        </w:rPr>
        <w:t> </w:t>
      </w:r>
      <w:r w:rsidR="00BA6715">
        <w:rPr>
          <w:rFonts w:cs="Times New Roman"/>
          <w:szCs w:val="24"/>
        </w:rPr>
        <w:t>E]</w:t>
      </w:r>
      <w:r w:rsidR="000D23CE" w:rsidRPr="00EE15FD">
        <w:rPr>
          <w:rFonts w:cs="Times New Roman"/>
          <w:szCs w:val="24"/>
        </w:rPr>
        <w:t xml:space="preserve">, </w:t>
      </w:r>
      <w:r w:rsidR="008058AC">
        <w:rPr>
          <w:rFonts w:cs="Times New Roman"/>
          <w:szCs w:val="24"/>
        </w:rPr>
        <w:t>[pers. D]</w:t>
      </w:r>
      <w:r w:rsidR="000D23CE" w:rsidRPr="00EE15FD">
        <w:rPr>
          <w:rFonts w:cs="Times New Roman"/>
          <w:szCs w:val="24"/>
        </w:rPr>
        <w:t xml:space="preserve">, </w:t>
      </w:r>
      <w:r w:rsidR="00BA6715">
        <w:rPr>
          <w:rFonts w:cs="Times New Roman"/>
          <w:szCs w:val="24"/>
        </w:rPr>
        <w:t>[pers. H]</w:t>
      </w:r>
      <w:r w:rsidR="00423617" w:rsidRPr="00EE15FD">
        <w:rPr>
          <w:rFonts w:cs="Times New Roman"/>
          <w:szCs w:val="24"/>
        </w:rPr>
        <w:t xml:space="preserve">, kā arī </w:t>
      </w:r>
      <w:r w:rsidR="00D23C7C" w:rsidRPr="00EE15FD">
        <w:rPr>
          <w:rFonts w:cs="Times New Roman"/>
          <w:szCs w:val="24"/>
        </w:rPr>
        <w:t xml:space="preserve">cietušā </w:t>
      </w:r>
      <w:r w:rsidR="00BA6715">
        <w:rPr>
          <w:rFonts w:cs="Times New Roman"/>
          <w:szCs w:val="24"/>
        </w:rPr>
        <w:t>[pers. B]</w:t>
      </w:r>
      <w:r w:rsidR="00423617" w:rsidRPr="00EE15FD">
        <w:rPr>
          <w:rFonts w:cs="Times New Roman"/>
          <w:szCs w:val="24"/>
        </w:rPr>
        <w:t xml:space="preserve"> pārstāves </w:t>
      </w:r>
      <w:r w:rsidR="00BA6715">
        <w:rPr>
          <w:rFonts w:cs="Times New Roman"/>
          <w:szCs w:val="24"/>
        </w:rPr>
        <w:t>[pers. I]</w:t>
      </w:r>
      <w:r w:rsidR="000D23CE" w:rsidRPr="00EE15FD">
        <w:rPr>
          <w:rFonts w:cs="Times New Roman"/>
          <w:szCs w:val="24"/>
        </w:rPr>
        <w:t xml:space="preserve"> liecīb</w:t>
      </w:r>
      <w:r w:rsidR="00D23C7C" w:rsidRPr="00EE15FD">
        <w:rPr>
          <w:rFonts w:cs="Times New Roman"/>
          <w:szCs w:val="24"/>
        </w:rPr>
        <w:t>as</w:t>
      </w:r>
      <w:r w:rsidR="00180871" w:rsidRPr="00EE15FD">
        <w:rPr>
          <w:rFonts w:cs="Times New Roman"/>
          <w:szCs w:val="24"/>
        </w:rPr>
        <w:t xml:space="preserve">. Tiesa </w:t>
      </w:r>
      <w:r w:rsidR="00D23C7C" w:rsidRPr="00EE15FD">
        <w:rPr>
          <w:rFonts w:cs="Times New Roman"/>
          <w:szCs w:val="24"/>
        </w:rPr>
        <w:t xml:space="preserve">secinājusi, ka tās nesatur tādas būtiskas pretrunas, kas ļautu apšaubīt šo liecību ticamību par to, ka </w:t>
      </w:r>
      <w:r w:rsidR="00BA6715">
        <w:rPr>
          <w:rFonts w:eastAsia="Times New Roman" w:cs="Times New Roman"/>
          <w:szCs w:val="24"/>
          <w:lang w:eastAsia="ru-RU"/>
        </w:rPr>
        <w:t>[pers. A]</w:t>
      </w:r>
      <w:r w:rsidR="00180871" w:rsidRPr="00EE15FD">
        <w:rPr>
          <w:rFonts w:cs="Times New Roman"/>
          <w:szCs w:val="24"/>
        </w:rPr>
        <w:t xml:space="preserve"> </w:t>
      </w:r>
      <w:r w:rsidR="00D23C7C" w:rsidRPr="00EE15FD">
        <w:rPr>
          <w:rFonts w:cs="Times New Roman"/>
          <w:szCs w:val="24"/>
        </w:rPr>
        <w:t>noziedzīgos nodarījumus veicis</w:t>
      </w:r>
      <w:r w:rsidR="00180871" w:rsidRPr="00EE15FD">
        <w:rPr>
          <w:rFonts w:cs="Times New Roman"/>
          <w:szCs w:val="24"/>
        </w:rPr>
        <w:t xml:space="preserve"> tīši</w:t>
      </w:r>
      <w:r w:rsidR="00D23C7C" w:rsidRPr="00EE15FD">
        <w:rPr>
          <w:rFonts w:cs="Times New Roman"/>
          <w:szCs w:val="24"/>
        </w:rPr>
        <w:t>. Tāpat tiesa</w:t>
      </w:r>
      <w:r w:rsidR="00C5450A" w:rsidRPr="00EE15FD">
        <w:rPr>
          <w:rFonts w:cs="Times New Roman"/>
          <w:szCs w:val="24"/>
        </w:rPr>
        <w:t xml:space="preserve"> atzinusi, ka lietā nav apstiprinājusies apsūdzētā versija, ka viņa dzērienam būtu piejauktas kādas vielas, kas varētu ietekmēt </w:t>
      </w:r>
      <w:r w:rsidR="00BA6715">
        <w:rPr>
          <w:rFonts w:eastAsia="Times New Roman" w:cs="Times New Roman"/>
          <w:szCs w:val="24"/>
          <w:lang w:eastAsia="ru-RU"/>
        </w:rPr>
        <w:t>[pers. A]</w:t>
      </w:r>
      <w:r w:rsidR="00C5450A" w:rsidRPr="00EE15FD">
        <w:rPr>
          <w:rFonts w:cs="Times New Roman"/>
          <w:szCs w:val="24"/>
        </w:rPr>
        <w:t xml:space="preserve"> apziņu. Tiesa </w:t>
      </w:r>
      <w:r w:rsidR="00910A53" w:rsidRPr="00EE15FD">
        <w:rPr>
          <w:rFonts w:cs="Times New Roman"/>
          <w:szCs w:val="24"/>
        </w:rPr>
        <w:t>ņēmusi</w:t>
      </w:r>
      <w:r w:rsidR="00180871" w:rsidRPr="00EE15FD">
        <w:rPr>
          <w:rFonts w:cs="Times New Roman"/>
          <w:szCs w:val="24"/>
        </w:rPr>
        <w:t xml:space="preserve"> vērā </w:t>
      </w:r>
      <w:r w:rsidR="00910A53" w:rsidRPr="00EE15FD">
        <w:rPr>
          <w:rFonts w:cs="Times New Roman"/>
          <w:szCs w:val="24"/>
        </w:rPr>
        <w:t xml:space="preserve">arī ambulatorās tiesu psihiatriskās ekspertīzes </w:t>
      </w:r>
      <w:r w:rsidR="00C5450A" w:rsidRPr="00EE15FD">
        <w:rPr>
          <w:rFonts w:cs="Times New Roman"/>
          <w:szCs w:val="24"/>
        </w:rPr>
        <w:t xml:space="preserve">eksperta </w:t>
      </w:r>
      <w:r w:rsidR="00910A53" w:rsidRPr="00EE15FD">
        <w:rPr>
          <w:rFonts w:cs="Times New Roman"/>
          <w:szCs w:val="24"/>
        </w:rPr>
        <w:t xml:space="preserve">atzinumā Nr. 69/2021 secināto, ka apsūdzētais noziedzīgā nodarījuma izdarīšanas laikā </w:t>
      </w:r>
      <w:r w:rsidR="005660C8" w:rsidRPr="00EE15FD">
        <w:rPr>
          <w:rFonts w:cs="Times New Roman"/>
          <w:szCs w:val="24"/>
        </w:rPr>
        <w:t xml:space="preserve">varējis </w:t>
      </w:r>
      <w:r w:rsidR="00910A53" w:rsidRPr="00EE15FD">
        <w:rPr>
          <w:rFonts w:cs="Times New Roman"/>
          <w:szCs w:val="24"/>
        </w:rPr>
        <w:t>saprast savas darbības un tās vadīt.</w:t>
      </w:r>
    </w:p>
    <w:p w14:paraId="415FDEB9" w14:textId="24B2FB3B" w:rsidR="00465AB1" w:rsidRPr="00EE15FD" w:rsidRDefault="00180871" w:rsidP="00EE15FD">
      <w:pPr>
        <w:keepNext/>
        <w:widowControl w:val="0"/>
        <w:tabs>
          <w:tab w:val="left" w:pos="709"/>
        </w:tabs>
        <w:rPr>
          <w:rFonts w:cs="Times New Roman"/>
          <w:szCs w:val="24"/>
        </w:rPr>
      </w:pPr>
      <w:r w:rsidRPr="00EE15FD">
        <w:rPr>
          <w:rFonts w:cs="Times New Roman"/>
          <w:szCs w:val="24"/>
        </w:rPr>
        <w:t xml:space="preserve">Tāpat tiesa atzinusi, ka, </w:t>
      </w:r>
      <w:r w:rsidR="00A87336" w:rsidRPr="00EE15FD">
        <w:rPr>
          <w:rFonts w:cs="Times New Roman"/>
          <w:szCs w:val="24"/>
        </w:rPr>
        <w:t xml:space="preserve">ievērojot liecinieku liecības kopsakarā ar ugunsgrēka tehniskās ekspertīzes </w:t>
      </w:r>
      <w:r w:rsidRPr="00EE15FD">
        <w:rPr>
          <w:rFonts w:cs="Times New Roman"/>
          <w:szCs w:val="24"/>
        </w:rPr>
        <w:t xml:space="preserve">eksperta </w:t>
      </w:r>
      <w:r w:rsidR="00A87336" w:rsidRPr="00EE15FD">
        <w:rPr>
          <w:rFonts w:cs="Times New Roman"/>
          <w:szCs w:val="24"/>
        </w:rPr>
        <w:t>atzinum</w:t>
      </w:r>
      <w:r w:rsidR="00C076C4" w:rsidRPr="00EE15FD">
        <w:rPr>
          <w:rFonts w:cs="Times New Roman"/>
          <w:szCs w:val="24"/>
        </w:rPr>
        <w:t>u</w:t>
      </w:r>
      <w:r w:rsidR="00A87336" w:rsidRPr="00EE15FD">
        <w:rPr>
          <w:rFonts w:cs="Times New Roman"/>
          <w:szCs w:val="24"/>
        </w:rPr>
        <w:t xml:space="preserve"> Nr. 2201340</w:t>
      </w:r>
      <w:r w:rsidR="00C076C4" w:rsidRPr="00EE15FD">
        <w:rPr>
          <w:rFonts w:cs="Times New Roman"/>
          <w:szCs w:val="24"/>
        </w:rPr>
        <w:t xml:space="preserve">, notikuma vietas apskates protokoliem un </w:t>
      </w:r>
      <w:proofErr w:type="spellStart"/>
      <w:r w:rsidR="00C076C4" w:rsidRPr="00EE15FD">
        <w:rPr>
          <w:rFonts w:cs="Times New Roman"/>
          <w:szCs w:val="24"/>
        </w:rPr>
        <w:t>ortofoto</w:t>
      </w:r>
      <w:proofErr w:type="spellEnd"/>
      <w:r w:rsidR="00C076C4" w:rsidRPr="00EE15FD">
        <w:rPr>
          <w:rFonts w:cs="Times New Roman"/>
          <w:szCs w:val="24"/>
        </w:rPr>
        <w:t xml:space="preserve"> karti,</w:t>
      </w:r>
      <w:r w:rsidR="00A87336" w:rsidRPr="00EE15FD">
        <w:rPr>
          <w:rFonts w:cs="Times New Roman"/>
          <w:szCs w:val="24"/>
        </w:rPr>
        <w:t xml:space="preserve"> apsūdzētajam laika intervālā starp abu objektu aizdegšanos pastāvēja objektīva iespēja nokļūt no viena objekta līdz otram</w:t>
      </w:r>
      <w:r w:rsidR="00C076C4" w:rsidRPr="00EE15FD">
        <w:rPr>
          <w:rFonts w:cs="Times New Roman"/>
          <w:szCs w:val="24"/>
        </w:rPr>
        <w:t xml:space="preserve">, starp kuriem </w:t>
      </w:r>
      <w:r w:rsidR="00283F03" w:rsidRPr="00EE15FD">
        <w:rPr>
          <w:rFonts w:cs="Times New Roman"/>
          <w:szCs w:val="24"/>
        </w:rPr>
        <w:t xml:space="preserve">attālums </w:t>
      </w:r>
      <w:r w:rsidR="00C076C4" w:rsidRPr="00EE15FD">
        <w:rPr>
          <w:rFonts w:cs="Times New Roman"/>
          <w:szCs w:val="24"/>
        </w:rPr>
        <w:t>ir salīdzinoši neliels</w:t>
      </w:r>
      <w:r w:rsidR="00D72562" w:rsidRPr="00EE15FD">
        <w:rPr>
          <w:rFonts w:cs="Times New Roman"/>
          <w:szCs w:val="24"/>
        </w:rPr>
        <w:t>,</w:t>
      </w:r>
      <w:r w:rsidR="00A87336" w:rsidRPr="00EE15FD">
        <w:rPr>
          <w:rFonts w:cs="Times New Roman"/>
          <w:szCs w:val="24"/>
        </w:rPr>
        <w:t xml:space="preserve"> un veikt darbības, kas izraisa aizdegšanos.</w:t>
      </w:r>
    </w:p>
    <w:p w14:paraId="6C51CB27" w14:textId="655B9C5E" w:rsidR="00B67B76" w:rsidRPr="00EE15FD" w:rsidRDefault="00B67B76" w:rsidP="00EE15FD">
      <w:pPr>
        <w:rPr>
          <w:rFonts w:cs="Times New Roman"/>
          <w:szCs w:val="24"/>
        </w:rPr>
      </w:pPr>
      <w:r w:rsidRPr="00EE15FD">
        <w:rPr>
          <w:rFonts w:cs="Times New Roman"/>
          <w:szCs w:val="24"/>
        </w:rPr>
        <w:t xml:space="preserve">Ievērojot minēto, Senāts atzīst, ka apsūdzētā </w:t>
      </w:r>
      <w:r w:rsidR="00BA6715">
        <w:rPr>
          <w:rFonts w:eastAsia="Times New Roman" w:cs="Times New Roman"/>
          <w:szCs w:val="24"/>
          <w:lang w:eastAsia="ru-RU"/>
        </w:rPr>
        <w:t>[pers. A]</w:t>
      </w:r>
      <w:r w:rsidR="005660C8" w:rsidRPr="00EE15FD">
        <w:rPr>
          <w:rFonts w:eastAsia="Times New Roman" w:cs="Times New Roman"/>
          <w:szCs w:val="24"/>
          <w:lang w:eastAsia="ru-RU"/>
        </w:rPr>
        <w:t xml:space="preserve"> un viņa</w:t>
      </w:r>
      <w:r w:rsidRPr="00EE15FD">
        <w:rPr>
          <w:rFonts w:eastAsia="Times New Roman" w:cs="Times New Roman"/>
          <w:szCs w:val="24"/>
          <w:lang w:eastAsia="ru-RU"/>
        </w:rPr>
        <w:t xml:space="preserve"> </w:t>
      </w:r>
      <w:r w:rsidRPr="00EE15FD">
        <w:rPr>
          <w:rFonts w:cs="Times New Roman"/>
          <w:szCs w:val="24"/>
        </w:rPr>
        <w:t xml:space="preserve">aizstāves kasācijas </w:t>
      </w:r>
      <w:r w:rsidR="005660C8" w:rsidRPr="00EE15FD">
        <w:rPr>
          <w:rFonts w:cs="Times New Roman"/>
          <w:szCs w:val="24"/>
        </w:rPr>
        <w:t xml:space="preserve">sūdzību </w:t>
      </w:r>
      <w:r w:rsidRPr="00EE15FD">
        <w:rPr>
          <w:rFonts w:cs="Times New Roman"/>
          <w:szCs w:val="24"/>
        </w:rPr>
        <w:t>argumenti šajā daļā pamatoti ar sūdzības iesniedzēju atšķirīgo viedokli par inkriminēto noziedzīgo nodarījumu faktiskajiem apstākļiem un lietā esošo pierādījumu vērtēšanu, savukārt pierādījumu izvērtēšanu atbilstoši likumam veic tā tiesa, kas izskata lietu pēc būtības. Kasācijas sūdzību argumenti pēc būtības pauž viņu neapmierinātību ar tiem secinājumiem, kādus izdarījusi apelācijas instances tiesa un vērsti uz to, lai panāktu apelācijas instances tiesas nolēmuma atcelšanu nevis juridisku, bet faktisku iemeslu dēļ, kas ir pretrunā ar Kriminālprocesa likuma 569.</w:t>
      </w:r>
      <w:r w:rsidR="005660C8" w:rsidRPr="00EE15FD">
        <w:rPr>
          <w:rFonts w:cs="Times New Roman"/>
          <w:szCs w:val="24"/>
        </w:rPr>
        <w:t> </w:t>
      </w:r>
      <w:r w:rsidRPr="00EE15FD">
        <w:rPr>
          <w:rFonts w:cs="Times New Roman"/>
          <w:szCs w:val="24"/>
        </w:rPr>
        <w:t>panta pirmo daļu.</w:t>
      </w:r>
    </w:p>
    <w:p w14:paraId="4B3D49C1" w14:textId="1282DD10" w:rsidR="004E5FAC" w:rsidRPr="00EE15FD" w:rsidRDefault="00B67B76" w:rsidP="00EE15FD">
      <w:pPr>
        <w:keepNext/>
        <w:widowControl w:val="0"/>
        <w:tabs>
          <w:tab w:val="left" w:pos="709"/>
        </w:tabs>
        <w:rPr>
          <w:rFonts w:cs="Times New Roman"/>
          <w:szCs w:val="24"/>
        </w:rPr>
      </w:pPr>
      <w:r w:rsidRPr="00EE15FD">
        <w:rPr>
          <w:rFonts w:cs="Times New Roman"/>
          <w:szCs w:val="24"/>
        </w:rPr>
        <w:t>[6.2] </w:t>
      </w:r>
      <w:r w:rsidR="004E5FAC" w:rsidRPr="00EE15FD">
        <w:rPr>
          <w:rFonts w:cs="Times New Roman"/>
          <w:szCs w:val="24"/>
        </w:rPr>
        <w:t>Senāts konstatē, ka apsūdzēt</w:t>
      </w:r>
      <w:r w:rsidR="00DC7F17" w:rsidRPr="00EE15FD">
        <w:rPr>
          <w:rFonts w:cs="Times New Roman"/>
          <w:szCs w:val="24"/>
        </w:rPr>
        <w:t>ais</w:t>
      </w:r>
      <w:r w:rsidR="004E5FAC" w:rsidRPr="00EE15FD">
        <w:rPr>
          <w:rFonts w:cs="Times New Roman"/>
          <w:szCs w:val="24"/>
        </w:rPr>
        <w:t xml:space="preserve"> </w:t>
      </w:r>
      <w:r w:rsidR="00BA6715">
        <w:rPr>
          <w:rFonts w:eastAsia="Times New Roman" w:cs="Times New Roman"/>
          <w:szCs w:val="24"/>
          <w:lang w:eastAsia="ru-RU"/>
        </w:rPr>
        <w:t>[pers. A]</w:t>
      </w:r>
      <w:r w:rsidR="00DC7F17" w:rsidRPr="00EE15FD">
        <w:rPr>
          <w:rFonts w:eastAsia="Times New Roman" w:cs="Times New Roman"/>
          <w:szCs w:val="24"/>
          <w:lang w:eastAsia="ru-RU"/>
        </w:rPr>
        <w:t xml:space="preserve"> </w:t>
      </w:r>
      <w:r w:rsidR="00DC7F17" w:rsidRPr="00EE15FD">
        <w:rPr>
          <w:rFonts w:cs="Times New Roman"/>
          <w:szCs w:val="24"/>
        </w:rPr>
        <w:t>pārējos kasācijas sūdzības</w:t>
      </w:r>
      <w:r w:rsidR="00DC7F17" w:rsidRPr="00EE15FD">
        <w:rPr>
          <w:rFonts w:eastAsia="Times New Roman" w:cs="Times New Roman"/>
          <w:szCs w:val="24"/>
          <w:lang w:eastAsia="ru-RU"/>
        </w:rPr>
        <w:t xml:space="preserve"> argumentus</w:t>
      </w:r>
      <w:r w:rsidR="004E5FAC" w:rsidRPr="00EE15FD">
        <w:rPr>
          <w:rFonts w:cs="Times New Roman"/>
          <w:szCs w:val="24"/>
        </w:rPr>
        <w:t xml:space="preserve"> nav motivējis ar apelācijas instances tiesas pieļautu Krimināllikuma pārkāpumu vai Kriminālprocesa likuma būtisku pārkāpumu.</w:t>
      </w:r>
    </w:p>
    <w:p w14:paraId="49AE6AC9" w14:textId="0E9F5860" w:rsidR="004E5FAC" w:rsidRPr="00EE15FD" w:rsidRDefault="00DC7F17" w:rsidP="00BA6715">
      <w:pPr>
        <w:rPr>
          <w:rFonts w:cs="Times New Roman"/>
          <w:szCs w:val="24"/>
        </w:rPr>
      </w:pPr>
      <w:bookmarkStart w:id="11" w:name="_Hlk197683954"/>
      <w:r w:rsidRPr="00EE15FD">
        <w:rPr>
          <w:rFonts w:cs="Times New Roman"/>
          <w:szCs w:val="24"/>
        </w:rPr>
        <w:t>[6.2.1] N</w:t>
      </w:r>
      <w:r w:rsidR="00B67B76" w:rsidRPr="00EE15FD">
        <w:rPr>
          <w:rFonts w:cs="Times New Roman"/>
          <w:szCs w:val="24"/>
        </w:rPr>
        <w:t xml:space="preserve">o pirmās instances tiesas sēžu protokoliem konstatējams, ka </w:t>
      </w:r>
      <w:r w:rsidR="0000020F" w:rsidRPr="00EE15FD">
        <w:rPr>
          <w:rFonts w:cs="Times New Roman"/>
          <w:szCs w:val="24"/>
        </w:rPr>
        <w:t xml:space="preserve">liecinieks </w:t>
      </w:r>
      <w:r w:rsidR="00BA6715">
        <w:rPr>
          <w:rFonts w:cs="Times New Roman"/>
          <w:szCs w:val="24"/>
        </w:rPr>
        <w:t>[pers. E]</w:t>
      </w:r>
      <w:r w:rsidR="00B67B76" w:rsidRPr="00EE15FD">
        <w:rPr>
          <w:rFonts w:cs="Times New Roman"/>
          <w:szCs w:val="24"/>
        </w:rPr>
        <w:t xml:space="preserve"> uz tiesas sēdi 2022. gada 24. oktobrī</w:t>
      </w:r>
      <w:r w:rsidR="0000020F" w:rsidRPr="00EE15FD">
        <w:rPr>
          <w:rFonts w:cs="Times New Roman"/>
          <w:szCs w:val="24"/>
        </w:rPr>
        <w:t xml:space="preserve"> tika aicināts</w:t>
      </w:r>
      <w:r w:rsidR="00B67B76" w:rsidRPr="00EE15FD">
        <w:rPr>
          <w:rFonts w:cs="Times New Roman"/>
          <w:szCs w:val="24"/>
        </w:rPr>
        <w:t xml:space="preserve">, </w:t>
      </w:r>
      <w:r w:rsidR="0000020F" w:rsidRPr="00EE15FD">
        <w:rPr>
          <w:rFonts w:cs="Times New Roman"/>
          <w:szCs w:val="24"/>
        </w:rPr>
        <w:t>bija</w:t>
      </w:r>
      <w:r w:rsidR="00B67B76" w:rsidRPr="00EE15FD">
        <w:rPr>
          <w:rFonts w:cs="Times New Roman"/>
          <w:szCs w:val="24"/>
        </w:rPr>
        <w:t xml:space="preserve"> ieradies un sniedzis liecību.</w:t>
      </w:r>
      <w:r w:rsidR="004E5FAC" w:rsidRPr="00EE15FD">
        <w:rPr>
          <w:rFonts w:cs="Times New Roman"/>
          <w:szCs w:val="24"/>
        </w:rPr>
        <w:t xml:space="preserve"> </w:t>
      </w:r>
      <w:r w:rsidR="00B67B76" w:rsidRPr="00EE15FD">
        <w:rPr>
          <w:rFonts w:cs="Times New Roman"/>
          <w:szCs w:val="24"/>
        </w:rPr>
        <w:t xml:space="preserve">Lūgumu par atkārtotu </w:t>
      </w:r>
      <w:r w:rsidR="00BA6715">
        <w:rPr>
          <w:rFonts w:cs="Times New Roman"/>
          <w:szCs w:val="24"/>
        </w:rPr>
        <w:t>[pers. E]</w:t>
      </w:r>
      <w:r w:rsidR="00B67B76" w:rsidRPr="00EE15FD">
        <w:rPr>
          <w:rFonts w:cs="Times New Roman"/>
          <w:szCs w:val="24"/>
        </w:rPr>
        <w:t xml:space="preserve"> nopratināšanu pirmās instances tiesā apsūdzētais nav izteicis. Arī apelācijas instances tiesā apsūdzētais nav izteicis lūgumu nopratināt liecinieku </w:t>
      </w:r>
      <w:r w:rsidR="00BA6715">
        <w:rPr>
          <w:rFonts w:cs="Times New Roman"/>
          <w:szCs w:val="24"/>
        </w:rPr>
        <w:t>[pers. E]</w:t>
      </w:r>
      <w:r w:rsidR="00B67B76" w:rsidRPr="00EE15FD">
        <w:rPr>
          <w:rFonts w:cs="Times New Roman"/>
          <w:szCs w:val="24"/>
        </w:rPr>
        <w:t>.</w:t>
      </w:r>
    </w:p>
    <w:p w14:paraId="37058689" w14:textId="15690D8B" w:rsidR="00DC7F17" w:rsidRPr="00EE15FD" w:rsidRDefault="00DC7F17" w:rsidP="00EE15FD">
      <w:pPr>
        <w:shd w:val="clear" w:color="auto" w:fill="FFFFFF"/>
        <w:rPr>
          <w:rFonts w:cs="Times New Roman"/>
          <w:bCs/>
          <w:szCs w:val="24"/>
        </w:rPr>
      </w:pPr>
      <w:r w:rsidRPr="00EE15FD">
        <w:rPr>
          <w:rFonts w:cs="Times New Roman"/>
          <w:szCs w:val="24"/>
        </w:rPr>
        <w:t>[6.2.2] </w:t>
      </w:r>
      <w:r w:rsidRPr="00EE15FD">
        <w:rPr>
          <w:rFonts w:cs="Times New Roman"/>
          <w:bCs/>
          <w:szCs w:val="24"/>
        </w:rPr>
        <w:t xml:space="preserve">Ar </w:t>
      </w:r>
      <w:r w:rsidRPr="00EE15FD">
        <w:rPr>
          <w:rFonts w:cs="Times New Roman"/>
          <w:szCs w:val="24"/>
        </w:rPr>
        <w:t xml:space="preserve">pirmās instances tiesas spriedumu no </w:t>
      </w:r>
      <w:r w:rsidR="00571528">
        <w:rPr>
          <w:rFonts w:eastAsia="Times New Roman" w:cs="Times New Roman"/>
          <w:szCs w:val="24"/>
          <w:lang w:eastAsia="ru-RU"/>
        </w:rPr>
        <w:t>[pers. A]</w:t>
      </w:r>
      <w:r w:rsidRPr="00EE15FD">
        <w:rPr>
          <w:rFonts w:cs="Times New Roman"/>
          <w:szCs w:val="24"/>
        </w:rPr>
        <w:t xml:space="preserve"> valsts labā </w:t>
      </w:r>
      <w:r w:rsidRPr="00EE15FD">
        <w:rPr>
          <w:rFonts w:cs="Times New Roman"/>
          <w:bCs/>
          <w:szCs w:val="24"/>
        </w:rPr>
        <w:t xml:space="preserve">piedzīti procesuālie izdevumi </w:t>
      </w:r>
      <w:r w:rsidRPr="00EE15FD">
        <w:rPr>
          <w:rFonts w:eastAsia="Times New Roman" w:cs="Times New Roman"/>
          <w:szCs w:val="24"/>
          <w:lang w:eastAsia="ru-RU"/>
        </w:rPr>
        <w:t>605,50 </w:t>
      </w:r>
      <w:r w:rsidRPr="00EE15FD">
        <w:rPr>
          <w:rFonts w:eastAsia="Times New Roman" w:cs="Times New Roman"/>
          <w:i/>
          <w:iCs/>
          <w:szCs w:val="24"/>
          <w:lang w:eastAsia="ru-RU"/>
        </w:rPr>
        <w:t>euro</w:t>
      </w:r>
      <w:r w:rsidRPr="00EE15FD">
        <w:rPr>
          <w:rFonts w:eastAsia="Times New Roman" w:cs="Times New Roman"/>
          <w:szCs w:val="24"/>
          <w:lang w:eastAsia="ru-RU"/>
        </w:rPr>
        <w:t xml:space="preserve"> par aizstāvju </w:t>
      </w:r>
      <w:r w:rsidR="005660C8" w:rsidRPr="00EE15FD">
        <w:rPr>
          <w:rFonts w:eastAsia="Times New Roman" w:cs="Times New Roman"/>
          <w:szCs w:val="24"/>
          <w:lang w:eastAsia="ru-RU"/>
        </w:rPr>
        <w:t xml:space="preserve">sniegto </w:t>
      </w:r>
      <w:r w:rsidRPr="00EE15FD">
        <w:rPr>
          <w:rFonts w:eastAsia="Times New Roman" w:cs="Times New Roman"/>
          <w:szCs w:val="24"/>
          <w:lang w:eastAsia="ru-RU"/>
        </w:rPr>
        <w:t>juridisko palīdzību</w:t>
      </w:r>
      <w:r w:rsidR="0072081A" w:rsidRPr="00EE15FD">
        <w:rPr>
          <w:rFonts w:cs="Times New Roman"/>
          <w:bCs/>
          <w:szCs w:val="24"/>
        </w:rPr>
        <w:t xml:space="preserve">. Tiesa nav konstatējusi pamatu </w:t>
      </w:r>
      <w:r w:rsidR="00571528">
        <w:rPr>
          <w:rFonts w:eastAsia="Times New Roman" w:cs="Times New Roman"/>
          <w:szCs w:val="24"/>
          <w:lang w:eastAsia="ru-RU"/>
        </w:rPr>
        <w:t>[pers. A]</w:t>
      </w:r>
      <w:r w:rsidR="0072081A" w:rsidRPr="00EE15FD">
        <w:rPr>
          <w:rFonts w:cs="Times New Roman"/>
          <w:szCs w:val="24"/>
        </w:rPr>
        <w:t xml:space="preserve"> atbrīvošanai no samaksas par šo palīdzību.</w:t>
      </w:r>
      <w:r w:rsidRPr="00EE15FD">
        <w:rPr>
          <w:rFonts w:cs="Times New Roman"/>
          <w:bCs/>
          <w:szCs w:val="24"/>
        </w:rPr>
        <w:t xml:space="preserve"> Apelācijas instances tiesa pirmās instances tiesas spriedumu šajā daļā atstājusi negrozītu. </w:t>
      </w:r>
      <w:r w:rsidR="0072081A" w:rsidRPr="00EE15FD">
        <w:rPr>
          <w:rFonts w:cs="Times New Roman"/>
          <w:bCs/>
          <w:szCs w:val="24"/>
        </w:rPr>
        <w:t xml:space="preserve">Apsūdzētais nav norādījis pamatu, kas piešķirtu viņam tiesības uz atbrīvošanu no samaksas par </w:t>
      </w:r>
      <w:r w:rsidR="005660C8" w:rsidRPr="00EE15FD">
        <w:rPr>
          <w:rFonts w:cs="Times New Roman"/>
          <w:bCs/>
          <w:szCs w:val="24"/>
        </w:rPr>
        <w:t>valsts nodrošināto juridisko palīdzību</w:t>
      </w:r>
      <w:r w:rsidR="0072081A" w:rsidRPr="00EE15FD">
        <w:rPr>
          <w:rFonts w:cs="Times New Roman"/>
          <w:bCs/>
          <w:szCs w:val="24"/>
        </w:rPr>
        <w:t>.</w:t>
      </w:r>
    </w:p>
    <w:bookmarkEnd w:id="11"/>
    <w:p w14:paraId="408DC08D" w14:textId="6F6BD78D" w:rsidR="004E5FAC" w:rsidRPr="00EE15FD" w:rsidRDefault="004E5FAC" w:rsidP="00EE15FD">
      <w:pPr>
        <w:widowControl w:val="0"/>
        <w:autoSpaceDE w:val="0"/>
        <w:autoSpaceDN w:val="0"/>
        <w:adjustRightInd w:val="0"/>
        <w:rPr>
          <w:rFonts w:cs="Times New Roman"/>
          <w:szCs w:val="24"/>
        </w:rPr>
      </w:pPr>
      <w:r w:rsidRPr="00EE15FD">
        <w:rPr>
          <w:rFonts w:cs="Times New Roman"/>
          <w:szCs w:val="24"/>
        </w:rPr>
        <w:t>[6.3]</w:t>
      </w:r>
      <w:r w:rsidR="00DC7F17" w:rsidRPr="00EE15FD">
        <w:rPr>
          <w:rFonts w:cs="Times New Roman"/>
          <w:szCs w:val="24"/>
        </w:rPr>
        <w:t> </w:t>
      </w:r>
      <w:r w:rsidRPr="00EE15FD">
        <w:rPr>
          <w:rFonts w:cs="Times New Roman"/>
          <w:szCs w:val="24"/>
        </w:rPr>
        <w:t>Ievērojot minēto,</w:t>
      </w:r>
      <w:r w:rsidR="005660C8" w:rsidRPr="00EE15FD">
        <w:rPr>
          <w:rFonts w:cs="Times New Roman"/>
          <w:szCs w:val="24"/>
        </w:rPr>
        <w:t xml:space="preserve"> </w:t>
      </w:r>
      <w:r w:rsidRPr="00EE15FD">
        <w:rPr>
          <w:rFonts w:cs="Times New Roman"/>
          <w:szCs w:val="24"/>
        </w:rPr>
        <w:t>Senāts atzīst, ka apelācijas instances tiesa pārējā daļā nav pieļāvusi Krimināllikuma pārkāpumu vai Kriminālprocesa likuma būtisku pārkāpumu šā likuma 575. panta trešās daļas izpratnē, kas varētu būt par pamatu apelācijas instances tiesas lēmuma</w:t>
      </w:r>
      <w:r w:rsidRPr="00EE15FD" w:rsidDel="00D4745E">
        <w:rPr>
          <w:rFonts w:cs="Times New Roman"/>
          <w:szCs w:val="24"/>
        </w:rPr>
        <w:t xml:space="preserve"> </w:t>
      </w:r>
      <w:r w:rsidRPr="00EE15FD">
        <w:rPr>
          <w:rFonts w:cs="Times New Roman"/>
          <w:szCs w:val="24"/>
        </w:rPr>
        <w:t>atcelšanai vai grozīšanai.</w:t>
      </w:r>
    </w:p>
    <w:p w14:paraId="019FA32B" w14:textId="28CE0E8A" w:rsidR="00AF37A6" w:rsidRPr="00EE15FD" w:rsidRDefault="00AF37A6" w:rsidP="00EE15FD">
      <w:pPr>
        <w:keepNext/>
        <w:ind w:firstLine="0"/>
        <w:jc w:val="center"/>
        <w:rPr>
          <w:rFonts w:eastAsia="Times New Roman" w:cs="Times New Roman"/>
          <w:b/>
          <w:szCs w:val="24"/>
          <w:lang w:eastAsia="ru-RU"/>
        </w:rPr>
      </w:pPr>
      <w:r w:rsidRPr="00EE15FD">
        <w:rPr>
          <w:rFonts w:eastAsia="Times New Roman" w:cs="Times New Roman"/>
          <w:b/>
          <w:szCs w:val="24"/>
          <w:lang w:eastAsia="ru-RU"/>
        </w:rPr>
        <w:lastRenderedPageBreak/>
        <w:t>Rezolutīvā daļa</w:t>
      </w:r>
    </w:p>
    <w:p w14:paraId="64434B89" w14:textId="77777777" w:rsidR="00AF37A6" w:rsidRPr="00EE15FD" w:rsidRDefault="00AF37A6" w:rsidP="00EE15FD">
      <w:pPr>
        <w:keepNext/>
        <w:jc w:val="center"/>
        <w:rPr>
          <w:rFonts w:eastAsia="Times New Roman" w:cs="Times New Roman"/>
          <w:b/>
          <w:szCs w:val="24"/>
          <w:lang w:eastAsia="ru-RU"/>
        </w:rPr>
      </w:pPr>
    </w:p>
    <w:p w14:paraId="04B5B957" w14:textId="4E1311B8" w:rsidR="00AF37A6" w:rsidRDefault="00AF37A6" w:rsidP="00EE15FD">
      <w:pPr>
        <w:keepNext/>
        <w:rPr>
          <w:rFonts w:eastAsia="Times New Roman" w:cs="Times New Roman"/>
          <w:szCs w:val="24"/>
          <w:lang w:eastAsia="ru-RU"/>
        </w:rPr>
      </w:pPr>
      <w:r w:rsidRPr="00EE15FD">
        <w:rPr>
          <w:rFonts w:eastAsia="Times New Roman" w:cs="Times New Roman"/>
          <w:szCs w:val="24"/>
          <w:lang w:eastAsia="ru-RU"/>
        </w:rPr>
        <w:t xml:space="preserve">Pamatojoties uz Kriminālprocesa likuma 585. un 587. panta pirmās daļas </w:t>
      </w:r>
      <w:r w:rsidR="00063CE9" w:rsidRPr="00EE15FD">
        <w:rPr>
          <w:rFonts w:eastAsia="Times New Roman" w:cs="Times New Roman"/>
          <w:szCs w:val="24"/>
          <w:lang w:eastAsia="ru-RU"/>
        </w:rPr>
        <w:t>3</w:t>
      </w:r>
      <w:r w:rsidRPr="00EE15FD">
        <w:rPr>
          <w:rFonts w:eastAsia="Times New Roman" w:cs="Times New Roman"/>
          <w:szCs w:val="24"/>
          <w:lang w:eastAsia="ru-RU"/>
        </w:rPr>
        <w:t>. punktu, Senāts</w:t>
      </w:r>
    </w:p>
    <w:p w14:paraId="6CE45A67" w14:textId="77777777" w:rsidR="00EE15FD" w:rsidRPr="00EE15FD" w:rsidRDefault="00EE15FD" w:rsidP="00EE15FD">
      <w:pPr>
        <w:keepNext/>
        <w:rPr>
          <w:rFonts w:eastAsia="Times New Roman" w:cs="Times New Roman"/>
          <w:szCs w:val="24"/>
          <w:lang w:eastAsia="ru-RU"/>
        </w:rPr>
      </w:pPr>
    </w:p>
    <w:p w14:paraId="4A93F321" w14:textId="77777777" w:rsidR="00AF37A6" w:rsidRPr="00EE15FD" w:rsidRDefault="00AF37A6" w:rsidP="00EE15FD">
      <w:pPr>
        <w:keepNext/>
        <w:ind w:firstLine="0"/>
        <w:jc w:val="center"/>
        <w:rPr>
          <w:rFonts w:eastAsia="Times New Roman" w:cs="Times New Roman"/>
          <w:b/>
          <w:szCs w:val="24"/>
          <w:lang w:eastAsia="ru-RU"/>
        </w:rPr>
      </w:pPr>
      <w:r w:rsidRPr="00EE15FD">
        <w:rPr>
          <w:rFonts w:eastAsia="Times New Roman" w:cs="Times New Roman"/>
          <w:b/>
          <w:szCs w:val="24"/>
          <w:lang w:eastAsia="ru-RU"/>
        </w:rPr>
        <w:t>nolēma</w:t>
      </w:r>
    </w:p>
    <w:p w14:paraId="28E31F7E" w14:textId="77777777" w:rsidR="00AF37A6" w:rsidRPr="00EE15FD" w:rsidRDefault="00AF37A6" w:rsidP="00EE15FD">
      <w:pPr>
        <w:keepNext/>
        <w:jc w:val="center"/>
        <w:rPr>
          <w:rFonts w:eastAsia="Times New Roman" w:cs="Times New Roman"/>
          <w:b/>
          <w:szCs w:val="24"/>
          <w:highlight w:val="yellow"/>
          <w:lang w:eastAsia="ru-RU"/>
        </w:rPr>
      </w:pPr>
    </w:p>
    <w:p w14:paraId="3140B723" w14:textId="0108876F" w:rsidR="00EE7FED" w:rsidRPr="00EE15FD" w:rsidRDefault="00A9639F" w:rsidP="00EE15FD">
      <w:pPr>
        <w:keepNext/>
        <w:widowControl w:val="0"/>
        <w:rPr>
          <w:rFonts w:eastAsia="Times New Roman" w:cs="Times New Roman"/>
          <w:szCs w:val="24"/>
          <w:highlight w:val="yellow"/>
          <w:lang w:eastAsia="ru-RU"/>
        </w:rPr>
      </w:pPr>
      <w:r w:rsidRPr="00EE15FD">
        <w:rPr>
          <w:rFonts w:cs="Times New Roman"/>
          <w:color w:val="000000"/>
          <w:szCs w:val="24"/>
        </w:rPr>
        <w:t xml:space="preserve">atcelt Kurzemes apgabaltiesas 2024. gada 29. maija lēmumu daļā </w:t>
      </w:r>
      <w:r w:rsidR="00EE7FED" w:rsidRPr="00EE15FD">
        <w:rPr>
          <w:rFonts w:eastAsia="Times New Roman" w:cs="Times New Roman"/>
          <w:szCs w:val="24"/>
          <w:lang w:eastAsia="ru-RU"/>
        </w:rPr>
        <w:t xml:space="preserve">par </w:t>
      </w:r>
      <w:r w:rsidR="00EE7FED" w:rsidRPr="00EE15FD">
        <w:rPr>
          <w:rFonts w:cs="Times New Roman"/>
          <w:szCs w:val="24"/>
        </w:rPr>
        <w:t>procesuālo izdevumu 57</w:t>
      </w:r>
      <w:r w:rsidR="005660C8" w:rsidRPr="00EE15FD">
        <w:rPr>
          <w:rFonts w:cs="Times New Roman"/>
          <w:szCs w:val="24"/>
        </w:rPr>
        <w:t>,</w:t>
      </w:r>
      <w:r w:rsidR="00EE7FED" w:rsidRPr="00EE15FD">
        <w:rPr>
          <w:rFonts w:cs="Times New Roman"/>
          <w:szCs w:val="24"/>
        </w:rPr>
        <w:t>48 </w:t>
      </w:r>
      <w:r w:rsidR="00EE7FED" w:rsidRPr="00EE15FD">
        <w:rPr>
          <w:rFonts w:cs="Times New Roman"/>
          <w:i/>
          <w:iCs/>
          <w:szCs w:val="24"/>
        </w:rPr>
        <w:t xml:space="preserve">euro </w:t>
      </w:r>
      <w:r w:rsidR="008F3A4B" w:rsidRPr="00EE15FD">
        <w:rPr>
          <w:rFonts w:cs="Times New Roman"/>
          <w:szCs w:val="24"/>
        </w:rPr>
        <w:t xml:space="preserve">par mutisku tulkošanu </w:t>
      </w:r>
      <w:r w:rsidR="00EE7FED" w:rsidRPr="00EE15FD">
        <w:rPr>
          <w:rFonts w:cs="Times New Roman"/>
          <w:szCs w:val="24"/>
        </w:rPr>
        <w:t xml:space="preserve">piedziņu no </w:t>
      </w:r>
      <w:r w:rsidR="00571528">
        <w:rPr>
          <w:rFonts w:eastAsia="Times New Roman" w:cs="Times New Roman"/>
          <w:szCs w:val="24"/>
          <w:lang w:eastAsia="ru-RU"/>
        </w:rPr>
        <w:t>[pers. A]</w:t>
      </w:r>
      <w:r w:rsidR="00EE7FED" w:rsidRPr="00EE15FD">
        <w:rPr>
          <w:rFonts w:cs="Times New Roman"/>
          <w:szCs w:val="24"/>
        </w:rPr>
        <w:t xml:space="preserve"> valsts labā</w:t>
      </w:r>
      <w:r w:rsidRPr="00EE15FD">
        <w:rPr>
          <w:rFonts w:cs="Times New Roman"/>
          <w:szCs w:val="24"/>
        </w:rPr>
        <w:t xml:space="preserve"> </w:t>
      </w:r>
      <w:r w:rsidR="00063CE9" w:rsidRPr="00EE15FD">
        <w:rPr>
          <w:rFonts w:cs="Times New Roman"/>
          <w:szCs w:val="24"/>
        </w:rPr>
        <w:t>un</w:t>
      </w:r>
      <w:r w:rsidRPr="00EE15FD">
        <w:rPr>
          <w:rFonts w:eastAsia="Times New Roman" w:cs="Times New Roman"/>
          <w:szCs w:val="24"/>
          <w:lang w:eastAsia="ru-RU"/>
        </w:rPr>
        <w:t xml:space="preserve"> kriminālprocesu </w:t>
      </w:r>
      <w:r w:rsidR="00063CE9" w:rsidRPr="00EE15FD">
        <w:rPr>
          <w:rFonts w:cs="Times New Roman"/>
          <w:color w:val="000000"/>
          <w:szCs w:val="24"/>
        </w:rPr>
        <w:t xml:space="preserve">šajā </w:t>
      </w:r>
      <w:r w:rsidRPr="00EE15FD">
        <w:rPr>
          <w:rFonts w:eastAsia="Times New Roman" w:cs="Times New Roman"/>
          <w:szCs w:val="24"/>
          <w:lang w:eastAsia="ru-RU"/>
        </w:rPr>
        <w:t>daļā</w:t>
      </w:r>
      <w:r w:rsidR="00063CE9" w:rsidRPr="00EE15FD">
        <w:rPr>
          <w:rFonts w:cs="Times New Roman"/>
          <w:color w:val="000000"/>
          <w:szCs w:val="24"/>
        </w:rPr>
        <w:t xml:space="preserve"> izbeigt;</w:t>
      </w:r>
    </w:p>
    <w:p w14:paraId="2DF19146" w14:textId="4B394005" w:rsidR="00184ADC" w:rsidRPr="00EE15FD" w:rsidRDefault="00063CE9" w:rsidP="00EE15FD">
      <w:pPr>
        <w:keepNext/>
        <w:widowControl w:val="0"/>
        <w:rPr>
          <w:rFonts w:eastAsia="Times New Roman" w:cs="Times New Roman"/>
          <w:szCs w:val="24"/>
          <w:lang w:eastAsia="ru-RU"/>
        </w:rPr>
      </w:pPr>
      <w:r w:rsidRPr="00EE15FD">
        <w:rPr>
          <w:rFonts w:cs="Times New Roman"/>
          <w:color w:val="000000"/>
          <w:szCs w:val="24"/>
        </w:rPr>
        <w:t xml:space="preserve">pārējā daļā </w:t>
      </w:r>
      <w:r w:rsidR="00EE7FED" w:rsidRPr="00EE15FD">
        <w:rPr>
          <w:rFonts w:eastAsia="Times New Roman" w:cs="Times New Roman"/>
          <w:szCs w:val="24"/>
          <w:lang w:eastAsia="ru-RU"/>
        </w:rPr>
        <w:t>Kurzemes apgabaltiesas 2024.</w:t>
      </w:r>
      <w:r w:rsidR="005660C8" w:rsidRPr="00EE15FD">
        <w:rPr>
          <w:rFonts w:eastAsia="Times New Roman" w:cs="Times New Roman"/>
          <w:szCs w:val="24"/>
          <w:lang w:eastAsia="ru-RU"/>
        </w:rPr>
        <w:t> </w:t>
      </w:r>
      <w:r w:rsidR="00EE7FED" w:rsidRPr="00EE15FD">
        <w:rPr>
          <w:rFonts w:eastAsia="Times New Roman" w:cs="Times New Roman"/>
          <w:szCs w:val="24"/>
          <w:lang w:eastAsia="ru-RU"/>
        </w:rPr>
        <w:t>gada 29.</w:t>
      </w:r>
      <w:r w:rsidR="005660C8" w:rsidRPr="00EE15FD">
        <w:rPr>
          <w:rFonts w:eastAsia="Times New Roman" w:cs="Times New Roman"/>
          <w:szCs w:val="24"/>
          <w:lang w:eastAsia="ru-RU"/>
        </w:rPr>
        <w:t> </w:t>
      </w:r>
      <w:r w:rsidR="00EE7FED" w:rsidRPr="00EE15FD">
        <w:rPr>
          <w:rFonts w:eastAsia="Times New Roman" w:cs="Times New Roman"/>
          <w:szCs w:val="24"/>
          <w:lang w:eastAsia="ru-RU"/>
        </w:rPr>
        <w:t>maija lēmumu</w:t>
      </w:r>
      <w:r w:rsidRPr="00EE15FD">
        <w:rPr>
          <w:rFonts w:eastAsia="Times New Roman" w:cs="Times New Roman"/>
          <w:szCs w:val="24"/>
          <w:lang w:eastAsia="ru-RU"/>
        </w:rPr>
        <w:t xml:space="preserve"> atstāt negrozītu</w:t>
      </w:r>
      <w:r w:rsidR="00EE7FED" w:rsidRPr="00EE15FD">
        <w:rPr>
          <w:rFonts w:eastAsia="Times New Roman" w:cs="Times New Roman"/>
          <w:szCs w:val="24"/>
          <w:lang w:eastAsia="ru-RU"/>
        </w:rPr>
        <w:t>.</w:t>
      </w:r>
    </w:p>
    <w:p w14:paraId="2532685E" w14:textId="121CF56E" w:rsidR="004C64D6" w:rsidRPr="00EE15FD" w:rsidRDefault="004C64D6" w:rsidP="00EE15FD">
      <w:pPr>
        <w:pStyle w:val="tv213"/>
        <w:keepNext/>
        <w:spacing w:before="0" w:beforeAutospacing="0" w:after="0" w:afterAutospacing="0" w:line="276" w:lineRule="auto"/>
        <w:ind w:firstLine="720"/>
        <w:jc w:val="both"/>
        <w:rPr>
          <w:rFonts w:eastAsiaTheme="minorHAnsi"/>
          <w:highlight w:val="yellow"/>
          <w:lang w:eastAsia="en-US"/>
        </w:rPr>
      </w:pPr>
    </w:p>
    <w:p w14:paraId="5B574C5D" w14:textId="3F406FF0" w:rsidR="00AF37A6" w:rsidRPr="00571528" w:rsidRDefault="00AF37A6" w:rsidP="00571528">
      <w:pPr>
        <w:keepNext/>
        <w:rPr>
          <w:rFonts w:eastAsia="Times New Roman" w:cs="Times New Roman"/>
          <w:szCs w:val="24"/>
          <w:lang w:eastAsia="ru-RU"/>
        </w:rPr>
      </w:pPr>
      <w:r w:rsidRPr="00EE15FD">
        <w:rPr>
          <w:rFonts w:eastAsia="Times New Roman" w:cs="Times New Roman"/>
          <w:szCs w:val="24"/>
          <w:lang w:eastAsia="ru-RU"/>
        </w:rPr>
        <w:t>Lēmums nav pārsūdzams.</w:t>
      </w:r>
    </w:p>
    <w:sectPr w:rsidR="00AF37A6" w:rsidRPr="00571528" w:rsidSect="00995CDF">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D1DF" w14:textId="77777777" w:rsidR="006737B5" w:rsidRDefault="006737B5">
      <w:pPr>
        <w:spacing w:line="240" w:lineRule="auto"/>
      </w:pPr>
      <w:r>
        <w:separator/>
      </w:r>
    </w:p>
  </w:endnote>
  <w:endnote w:type="continuationSeparator" w:id="0">
    <w:p w14:paraId="31CC60BE" w14:textId="77777777" w:rsidR="006737B5" w:rsidRDefault="00673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FE97446" w14:textId="77777777" w:rsidR="006C6E5B" w:rsidRPr="00DA0153" w:rsidRDefault="006C6E5B">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C9AF" w14:textId="77777777" w:rsidR="006737B5" w:rsidRDefault="006737B5">
      <w:pPr>
        <w:spacing w:line="240" w:lineRule="auto"/>
      </w:pPr>
      <w:r>
        <w:separator/>
      </w:r>
    </w:p>
  </w:footnote>
  <w:footnote w:type="continuationSeparator" w:id="0">
    <w:p w14:paraId="33830FFD" w14:textId="77777777" w:rsidR="006737B5" w:rsidRDefault="006737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D6503"/>
    <w:multiLevelType w:val="hybridMultilevel"/>
    <w:tmpl w:val="EA9E4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794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6"/>
    <w:rsid w:val="0000020F"/>
    <w:rsid w:val="00000602"/>
    <w:rsid w:val="00002C1F"/>
    <w:rsid w:val="0001489D"/>
    <w:rsid w:val="00017E23"/>
    <w:rsid w:val="00031B15"/>
    <w:rsid w:val="0003606E"/>
    <w:rsid w:val="000374F6"/>
    <w:rsid w:val="00037959"/>
    <w:rsid w:val="00053716"/>
    <w:rsid w:val="00055046"/>
    <w:rsid w:val="00055E42"/>
    <w:rsid w:val="00061C60"/>
    <w:rsid w:val="00063011"/>
    <w:rsid w:val="00063CE9"/>
    <w:rsid w:val="0007429B"/>
    <w:rsid w:val="00080F4F"/>
    <w:rsid w:val="00081D53"/>
    <w:rsid w:val="0008715A"/>
    <w:rsid w:val="00090092"/>
    <w:rsid w:val="000900B8"/>
    <w:rsid w:val="00091404"/>
    <w:rsid w:val="00091739"/>
    <w:rsid w:val="000920C2"/>
    <w:rsid w:val="000A1563"/>
    <w:rsid w:val="000A2106"/>
    <w:rsid w:val="000A3209"/>
    <w:rsid w:val="000B16B9"/>
    <w:rsid w:val="000B1DA0"/>
    <w:rsid w:val="000C757E"/>
    <w:rsid w:val="000D0F52"/>
    <w:rsid w:val="000D23CE"/>
    <w:rsid w:val="000D7179"/>
    <w:rsid w:val="000E0280"/>
    <w:rsid w:val="000E155B"/>
    <w:rsid w:val="000E2B25"/>
    <w:rsid w:val="000F01E2"/>
    <w:rsid w:val="000F58AE"/>
    <w:rsid w:val="000F5C7C"/>
    <w:rsid w:val="000F6250"/>
    <w:rsid w:val="00100F21"/>
    <w:rsid w:val="00101A91"/>
    <w:rsid w:val="00106700"/>
    <w:rsid w:val="00112F98"/>
    <w:rsid w:val="001142BD"/>
    <w:rsid w:val="001153CE"/>
    <w:rsid w:val="00116763"/>
    <w:rsid w:val="00116D3A"/>
    <w:rsid w:val="0012439C"/>
    <w:rsid w:val="00124EC3"/>
    <w:rsid w:val="00130BD8"/>
    <w:rsid w:val="00140DB7"/>
    <w:rsid w:val="001419C2"/>
    <w:rsid w:val="0014246A"/>
    <w:rsid w:val="0014268F"/>
    <w:rsid w:val="0014293D"/>
    <w:rsid w:val="00147DD0"/>
    <w:rsid w:val="00154A43"/>
    <w:rsid w:val="00160D7C"/>
    <w:rsid w:val="001613B1"/>
    <w:rsid w:val="00162688"/>
    <w:rsid w:val="00162793"/>
    <w:rsid w:val="00172192"/>
    <w:rsid w:val="001738A1"/>
    <w:rsid w:val="001801B4"/>
    <w:rsid w:val="00180871"/>
    <w:rsid w:val="001827C1"/>
    <w:rsid w:val="00184ADC"/>
    <w:rsid w:val="001851AA"/>
    <w:rsid w:val="00186057"/>
    <w:rsid w:val="00186265"/>
    <w:rsid w:val="001875EA"/>
    <w:rsid w:val="001A7854"/>
    <w:rsid w:val="001B0FCB"/>
    <w:rsid w:val="001B169F"/>
    <w:rsid w:val="001B4379"/>
    <w:rsid w:val="001C0461"/>
    <w:rsid w:val="001C2724"/>
    <w:rsid w:val="001C37F8"/>
    <w:rsid w:val="001C7D3E"/>
    <w:rsid w:val="001D18C0"/>
    <w:rsid w:val="001D2C63"/>
    <w:rsid w:val="001D5961"/>
    <w:rsid w:val="001E3F32"/>
    <w:rsid w:val="001F5E83"/>
    <w:rsid w:val="0021108F"/>
    <w:rsid w:val="002129B3"/>
    <w:rsid w:val="002136C5"/>
    <w:rsid w:val="002264BC"/>
    <w:rsid w:val="00240D94"/>
    <w:rsid w:val="0025714A"/>
    <w:rsid w:val="00260423"/>
    <w:rsid w:val="002638F1"/>
    <w:rsid w:val="00265569"/>
    <w:rsid w:val="00283F03"/>
    <w:rsid w:val="002840D2"/>
    <w:rsid w:val="00291733"/>
    <w:rsid w:val="002A5601"/>
    <w:rsid w:val="002A6771"/>
    <w:rsid w:val="002B1527"/>
    <w:rsid w:val="002B21C8"/>
    <w:rsid w:val="002B76DB"/>
    <w:rsid w:val="002C2D8D"/>
    <w:rsid w:val="002C3F34"/>
    <w:rsid w:val="002C437B"/>
    <w:rsid w:val="002C6764"/>
    <w:rsid w:val="002C77B2"/>
    <w:rsid w:val="002D0402"/>
    <w:rsid w:val="002D1EAD"/>
    <w:rsid w:val="002D4E13"/>
    <w:rsid w:val="002D7ECB"/>
    <w:rsid w:val="002E4455"/>
    <w:rsid w:val="002F0D82"/>
    <w:rsid w:val="00303C7D"/>
    <w:rsid w:val="0031071E"/>
    <w:rsid w:val="00312AFD"/>
    <w:rsid w:val="00315064"/>
    <w:rsid w:val="00322DCC"/>
    <w:rsid w:val="0032400D"/>
    <w:rsid w:val="00327166"/>
    <w:rsid w:val="00327351"/>
    <w:rsid w:val="00334843"/>
    <w:rsid w:val="00340A84"/>
    <w:rsid w:val="00375D5B"/>
    <w:rsid w:val="00377A4D"/>
    <w:rsid w:val="003809A1"/>
    <w:rsid w:val="003845E4"/>
    <w:rsid w:val="003879EB"/>
    <w:rsid w:val="0039402E"/>
    <w:rsid w:val="00397957"/>
    <w:rsid w:val="003A556F"/>
    <w:rsid w:val="003B4DE9"/>
    <w:rsid w:val="003B591F"/>
    <w:rsid w:val="003C624F"/>
    <w:rsid w:val="003D4482"/>
    <w:rsid w:val="003D4505"/>
    <w:rsid w:val="003D45D3"/>
    <w:rsid w:val="003D612D"/>
    <w:rsid w:val="003D67B2"/>
    <w:rsid w:val="003D6DA8"/>
    <w:rsid w:val="003E0A26"/>
    <w:rsid w:val="003F378B"/>
    <w:rsid w:val="004032E4"/>
    <w:rsid w:val="00406635"/>
    <w:rsid w:val="0041570F"/>
    <w:rsid w:val="00420F3D"/>
    <w:rsid w:val="00423617"/>
    <w:rsid w:val="00435D19"/>
    <w:rsid w:val="00436FF2"/>
    <w:rsid w:val="004402F5"/>
    <w:rsid w:val="00442C75"/>
    <w:rsid w:val="00442CBA"/>
    <w:rsid w:val="00444FA5"/>
    <w:rsid w:val="004504F5"/>
    <w:rsid w:val="00455B26"/>
    <w:rsid w:val="004579A5"/>
    <w:rsid w:val="00463C62"/>
    <w:rsid w:val="0046490A"/>
    <w:rsid w:val="00465AB1"/>
    <w:rsid w:val="004734ED"/>
    <w:rsid w:val="00473985"/>
    <w:rsid w:val="004761DE"/>
    <w:rsid w:val="004823EC"/>
    <w:rsid w:val="004914AA"/>
    <w:rsid w:val="00491B65"/>
    <w:rsid w:val="004953CE"/>
    <w:rsid w:val="00495A2C"/>
    <w:rsid w:val="00497972"/>
    <w:rsid w:val="004A1557"/>
    <w:rsid w:val="004B0031"/>
    <w:rsid w:val="004B13F7"/>
    <w:rsid w:val="004B3A16"/>
    <w:rsid w:val="004B56B7"/>
    <w:rsid w:val="004C0035"/>
    <w:rsid w:val="004C64D6"/>
    <w:rsid w:val="004C79FD"/>
    <w:rsid w:val="004D1206"/>
    <w:rsid w:val="004D77C2"/>
    <w:rsid w:val="004D7DE6"/>
    <w:rsid w:val="004E5FAC"/>
    <w:rsid w:val="004F6710"/>
    <w:rsid w:val="00500CFC"/>
    <w:rsid w:val="005018A6"/>
    <w:rsid w:val="00505E95"/>
    <w:rsid w:val="005262A1"/>
    <w:rsid w:val="005262B7"/>
    <w:rsid w:val="0053077F"/>
    <w:rsid w:val="0053427B"/>
    <w:rsid w:val="005342DD"/>
    <w:rsid w:val="0053725A"/>
    <w:rsid w:val="00540C34"/>
    <w:rsid w:val="00551EBC"/>
    <w:rsid w:val="0056295E"/>
    <w:rsid w:val="005660C8"/>
    <w:rsid w:val="00571528"/>
    <w:rsid w:val="00576B76"/>
    <w:rsid w:val="005814F2"/>
    <w:rsid w:val="00586013"/>
    <w:rsid w:val="00593121"/>
    <w:rsid w:val="00593CE6"/>
    <w:rsid w:val="0059585B"/>
    <w:rsid w:val="005A3DC8"/>
    <w:rsid w:val="005B6079"/>
    <w:rsid w:val="005C0638"/>
    <w:rsid w:val="005C2286"/>
    <w:rsid w:val="005C2E75"/>
    <w:rsid w:val="005C51E2"/>
    <w:rsid w:val="005C6B05"/>
    <w:rsid w:val="005D3CEC"/>
    <w:rsid w:val="005E3F88"/>
    <w:rsid w:val="005E7452"/>
    <w:rsid w:val="005F0B2A"/>
    <w:rsid w:val="005F6DC2"/>
    <w:rsid w:val="005F76B7"/>
    <w:rsid w:val="005F7CA7"/>
    <w:rsid w:val="00600F0B"/>
    <w:rsid w:val="00601921"/>
    <w:rsid w:val="006034AD"/>
    <w:rsid w:val="00610606"/>
    <w:rsid w:val="0061458B"/>
    <w:rsid w:val="00620CFE"/>
    <w:rsid w:val="006223A0"/>
    <w:rsid w:val="00637C65"/>
    <w:rsid w:val="006449C5"/>
    <w:rsid w:val="00647A53"/>
    <w:rsid w:val="00647AB6"/>
    <w:rsid w:val="006523EE"/>
    <w:rsid w:val="00653727"/>
    <w:rsid w:val="00660C36"/>
    <w:rsid w:val="00661688"/>
    <w:rsid w:val="00663A05"/>
    <w:rsid w:val="0066450F"/>
    <w:rsid w:val="006711A4"/>
    <w:rsid w:val="006737B5"/>
    <w:rsid w:val="00676563"/>
    <w:rsid w:val="00683DEB"/>
    <w:rsid w:val="00684EBE"/>
    <w:rsid w:val="006918B2"/>
    <w:rsid w:val="006960DB"/>
    <w:rsid w:val="00697AB2"/>
    <w:rsid w:val="006A0F85"/>
    <w:rsid w:val="006A455D"/>
    <w:rsid w:val="006A7891"/>
    <w:rsid w:val="006B6481"/>
    <w:rsid w:val="006C0914"/>
    <w:rsid w:val="006C6E5B"/>
    <w:rsid w:val="006D78B1"/>
    <w:rsid w:val="00704843"/>
    <w:rsid w:val="00710318"/>
    <w:rsid w:val="00715D53"/>
    <w:rsid w:val="007179F3"/>
    <w:rsid w:val="0072081A"/>
    <w:rsid w:val="007220CE"/>
    <w:rsid w:val="00722853"/>
    <w:rsid w:val="00727FE9"/>
    <w:rsid w:val="00735625"/>
    <w:rsid w:val="00740194"/>
    <w:rsid w:val="00742A6E"/>
    <w:rsid w:val="00745B95"/>
    <w:rsid w:val="00750654"/>
    <w:rsid w:val="0076411C"/>
    <w:rsid w:val="00765F4B"/>
    <w:rsid w:val="00773566"/>
    <w:rsid w:val="00795323"/>
    <w:rsid w:val="007A1B3F"/>
    <w:rsid w:val="007A64FB"/>
    <w:rsid w:val="007A6E5E"/>
    <w:rsid w:val="007A7DF9"/>
    <w:rsid w:val="007B3694"/>
    <w:rsid w:val="007C6704"/>
    <w:rsid w:val="007D383C"/>
    <w:rsid w:val="007E7A10"/>
    <w:rsid w:val="007F2302"/>
    <w:rsid w:val="007F37AB"/>
    <w:rsid w:val="00801FB3"/>
    <w:rsid w:val="0080384B"/>
    <w:rsid w:val="008058AC"/>
    <w:rsid w:val="00814536"/>
    <w:rsid w:val="0081461B"/>
    <w:rsid w:val="00815DE7"/>
    <w:rsid w:val="0081734B"/>
    <w:rsid w:val="00820E27"/>
    <w:rsid w:val="008300C1"/>
    <w:rsid w:val="00844192"/>
    <w:rsid w:val="008456F7"/>
    <w:rsid w:val="008457EF"/>
    <w:rsid w:val="0084798A"/>
    <w:rsid w:val="00852E14"/>
    <w:rsid w:val="00876794"/>
    <w:rsid w:val="008A28D5"/>
    <w:rsid w:val="008C3835"/>
    <w:rsid w:val="008D07B5"/>
    <w:rsid w:val="008D4709"/>
    <w:rsid w:val="008E06F2"/>
    <w:rsid w:val="008E3D9F"/>
    <w:rsid w:val="008E590F"/>
    <w:rsid w:val="008F36BC"/>
    <w:rsid w:val="008F3A4B"/>
    <w:rsid w:val="008F49CF"/>
    <w:rsid w:val="0090310D"/>
    <w:rsid w:val="00903748"/>
    <w:rsid w:val="00904323"/>
    <w:rsid w:val="00910A53"/>
    <w:rsid w:val="00921DBA"/>
    <w:rsid w:val="009232D6"/>
    <w:rsid w:val="0092699A"/>
    <w:rsid w:val="0093124B"/>
    <w:rsid w:val="00932B95"/>
    <w:rsid w:val="009363F4"/>
    <w:rsid w:val="00941211"/>
    <w:rsid w:val="009523EA"/>
    <w:rsid w:val="009526B5"/>
    <w:rsid w:val="009541EB"/>
    <w:rsid w:val="00954CD6"/>
    <w:rsid w:val="00973F05"/>
    <w:rsid w:val="00980D4A"/>
    <w:rsid w:val="00986685"/>
    <w:rsid w:val="009906F4"/>
    <w:rsid w:val="00995CDF"/>
    <w:rsid w:val="009A17E5"/>
    <w:rsid w:val="009A497E"/>
    <w:rsid w:val="009B4C95"/>
    <w:rsid w:val="009C7579"/>
    <w:rsid w:val="009C7DF4"/>
    <w:rsid w:val="009D41FD"/>
    <w:rsid w:val="009E38F8"/>
    <w:rsid w:val="009E5614"/>
    <w:rsid w:val="009E6534"/>
    <w:rsid w:val="009F201E"/>
    <w:rsid w:val="009F5142"/>
    <w:rsid w:val="009F7EFF"/>
    <w:rsid w:val="00A052FF"/>
    <w:rsid w:val="00A10120"/>
    <w:rsid w:val="00A12D44"/>
    <w:rsid w:val="00A27A46"/>
    <w:rsid w:val="00A34817"/>
    <w:rsid w:val="00A3575C"/>
    <w:rsid w:val="00A43FD8"/>
    <w:rsid w:val="00A45DF8"/>
    <w:rsid w:val="00A5243D"/>
    <w:rsid w:val="00A52937"/>
    <w:rsid w:val="00A53AF3"/>
    <w:rsid w:val="00A543F0"/>
    <w:rsid w:val="00A61E5D"/>
    <w:rsid w:val="00A642C9"/>
    <w:rsid w:val="00A6661C"/>
    <w:rsid w:val="00A7116A"/>
    <w:rsid w:val="00A84018"/>
    <w:rsid w:val="00A87336"/>
    <w:rsid w:val="00A9639F"/>
    <w:rsid w:val="00A9676C"/>
    <w:rsid w:val="00A96B59"/>
    <w:rsid w:val="00AB3F0D"/>
    <w:rsid w:val="00AB6243"/>
    <w:rsid w:val="00AE2FCF"/>
    <w:rsid w:val="00AE426B"/>
    <w:rsid w:val="00AE6B73"/>
    <w:rsid w:val="00AF128E"/>
    <w:rsid w:val="00AF37A6"/>
    <w:rsid w:val="00AF73E8"/>
    <w:rsid w:val="00B019F2"/>
    <w:rsid w:val="00B045F6"/>
    <w:rsid w:val="00B1059A"/>
    <w:rsid w:val="00B13BC7"/>
    <w:rsid w:val="00B15443"/>
    <w:rsid w:val="00B165F2"/>
    <w:rsid w:val="00B20375"/>
    <w:rsid w:val="00B21FC7"/>
    <w:rsid w:val="00B32061"/>
    <w:rsid w:val="00B50F51"/>
    <w:rsid w:val="00B61739"/>
    <w:rsid w:val="00B63811"/>
    <w:rsid w:val="00B67B76"/>
    <w:rsid w:val="00B7215D"/>
    <w:rsid w:val="00B75BEF"/>
    <w:rsid w:val="00B8492F"/>
    <w:rsid w:val="00B9292A"/>
    <w:rsid w:val="00B94D98"/>
    <w:rsid w:val="00B96F6E"/>
    <w:rsid w:val="00BA4F5F"/>
    <w:rsid w:val="00BA6011"/>
    <w:rsid w:val="00BA6715"/>
    <w:rsid w:val="00BB1E33"/>
    <w:rsid w:val="00BB773C"/>
    <w:rsid w:val="00BC7F10"/>
    <w:rsid w:val="00BD093C"/>
    <w:rsid w:val="00BD1180"/>
    <w:rsid w:val="00BE4748"/>
    <w:rsid w:val="00BE758E"/>
    <w:rsid w:val="00BF2AA5"/>
    <w:rsid w:val="00C0621D"/>
    <w:rsid w:val="00C07415"/>
    <w:rsid w:val="00C076C4"/>
    <w:rsid w:val="00C16DAC"/>
    <w:rsid w:val="00C31B93"/>
    <w:rsid w:val="00C36392"/>
    <w:rsid w:val="00C405BB"/>
    <w:rsid w:val="00C43A98"/>
    <w:rsid w:val="00C50924"/>
    <w:rsid w:val="00C5450A"/>
    <w:rsid w:val="00C563E4"/>
    <w:rsid w:val="00C56800"/>
    <w:rsid w:val="00C61DBC"/>
    <w:rsid w:val="00C70DA3"/>
    <w:rsid w:val="00C769E5"/>
    <w:rsid w:val="00C7795B"/>
    <w:rsid w:val="00C81D29"/>
    <w:rsid w:val="00C87B5F"/>
    <w:rsid w:val="00C92E9F"/>
    <w:rsid w:val="00C936F2"/>
    <w:rsid w:val="00C97154"/>
    <w:rsid w:val="00CA1F5D"/>
    <w:rsid w:val="00CA4552"/>
    <w:rsid w:val="00CA6346"/>
    <w:rsid w:val="00CB01F0"/>
    <w:rsid w:val="00CB2263"/>
    <w:rsid w:val="00CB2F43"/>
    <w:rsid w:val="00CB53C3"/>
    <w:rsid w:val="00CC0E4B"/>
    <w:rsid w:val="00CC681D"/>
    <w:rsid w:val="00CD13AB"/>
    <w:rsid w:val="00CD4325"/>
    <w:rsid w:val="00CD4BF0"/>
    <w:rsid w:val="00CD526F"/>
    <w:rsid w:val="00CE2AB3"/>
    <w:rsid w:val="00CE3E32"/>
    <w:rsid w:val="00CF01B4"/>
    <w:rsid w:val="00CF5699"/>
    <w:rsid w:val="00CF67CF"/>
    <w:rsid w:val="00D032E1"/>
    <w:rsid w:val="00D05438"/>
    <w:rsid w:val="00D1105E"/>
    <w:rsid w:val="00D14088"/>
    <w:rsid w:val="00D151C1"/>
    <w:rsid w:val="00D2294B"/>
    <w:rsid w:val="00D23C7C"/>
    <w:rsid w:val="00D25BB5"/>
    <w:rsid w:val="00D3037B"/>
    <w:rsid w:val="00D31AAC"/>
    <w:rsid w:val="00D41B3A"/>
    <w:rsid w:val="00D43269"/>
    <w:rsid w:val="00D4424A"/>
    <w:rsid w:val="00D50093"/>
    <w:rsid w:val="00D50B40"/>
    <w:rsid w:val="00D55F0E"/>
    <w:rsid w:val="00D61BDF"/>
    <w:rsid w:val="00D65989"/>
    <w:rsid w:val="00D70490"/>
    <w:rsid w:val="00D72562"/>
    <w:rsid w:val="00D85CCB"/>
    <w:rsid w:val="00D900A0"/>
    <w:rsid w:val="00D90BC3"/>
    <w:rsid w:val="00D939E6"/>
    <w:rsid w:val="00D9602F"/>
    <w:rsid w:val="00DA1668"/>
    <w:rsid w:val="00DA1FED"/>
    <w:rsid w:val="00DA2208"/>
    <w:rsid w:val="00DB6506"/>
    <w:rsid w:val="00DC24EE"/>
    <w:rsid w:val="00DC7F17"/>
    <w:rsid w:val="00DD22F0"/>
    <w:rsid w:val="00DE1BF8"/>
    <w:rsid w:val="00DE4064"/>
    <w:rsid w:val="00DE4E84"/>
    <w:rsid w:val="00DE6377"/>
    <w:rsid w:val="00DF1DA9"/>
    <w:rsid w:val="00E04C2A"/>
    <w:rsid w:val="00E109BB"/>
    <w:rsid w:val="00E13EFF"/>
    <w:rsid w:val="00E20A3F"/>
    <w:rsid w:val="00E2183C"/>
    <w:rsid w:val="00E25495"/>
    <w:rsid w:val="00E26B4C"/>
    <w:rsid w:val="00E43512"/>
    <w:rsid w:val="00E4395B"/>
    <w:rsid w:val="00E44C5A"/>
    <w:rsid w:val="00E476D5"/>
    <w:rsid w:val="00E5293F"/>
    <w:rsid w:val="00E52BE1"/>
    <w:rsid w:val="00E54D9F"/>
    <w:rsid w:val="00E5684C"/>
    <w:rsid w:val="00E73341"/>
    <w:rsid w:val="00E83ECC"/>
    <w:rsid w:val="00E9300B"/>
    <w:rsid w:val="00E94FE3"/>
    <w:rsid w:val="00E9623C"/>
    <w:rsid w:val="00E96F2A"/>
    <w:rsid w:val="00EA6B11"/>
    <w:rsid w:val="00EB478E"/>
    <w:rsid w:val="00EB7320"/>
    <w:rsid w:val="00EB77A9"/>
    <w:rsid w:val="00ED0E57"/>
    <w:rsid w:val="00ED2254"/>
    <w:rsid w:val="00ED4A4F"/>
    <w:rsid w:val="00EE15FD"/>
    <w:rsid w:val="00EE3015"/>
    <w:rsid w:val="00EE6EF3"/>
    <w:rsid w:val="00EE7DED"/>
    <w:rsid w:val="00EE7FED"/>
    <w:rsid w:val="00F04C82"/>
    <w:rsid w:val="00F11B50"/>
    <w:rsid w:val="00F12A4F"/>
    <w:rsid w:val="00F211DD"/>
    <w:rsid w:val="00F223B6"/>
    <w:rsid w:val="00F25CC1"/>
    <w:rsid w:val="00F2615D"/>
    <w:rsid w:val="00F26F6D"/>
    <w:rsid w:val="00F34CD6"/>
    <w:rsid w:val="00F36A86"/>
    <w:rsid w:val="00F4012D"/>
    <w:rsid w:val="00F403FB"/>
    <w:rsid w:val="00F45B9C"/>
    <w:rsid w:val="00F461DC"/>
    <w:rsid w:val="00F52CC1"/>
    <w:rsid w:val="00F57192"/>
    <w:rsid w:val="00F61AA5"/>
    <w:rsid w:val="00F63AD4"/>
    <w:rsid w:val="00F63D90"/>
    <w:rsid w:val="00F64211"/>
    <w:rsid w:val="00F65424"/>
    <w:rsid w:val="00F675A8"/>
    <w:rsid w:val="00F67C3E"/>
    <w:rsid w:val="00F76841"/>
    <w:rsid w:val="00F779E9"/>
    <w:rsid w:val="00F976C5"/>
    <w:rsid w:val="00FA36FD"/>
    <w:rsid w:val="00FA521E"/>
    <w:rsid w:val="00FC1995"/>
    <w:rsid w:val="00FC63CE"/>
    <w:rsid w:val="00FC6A76"/>
    <w:rsid w:val="00FC78D1"/>
    <w:rsid w:val="00FD04A9"/>
    <w:rsid w:val="00FD40F0"/>
    <w:rsid w:val="00FE4F3B"/>
    <w:rsid w:val="00FE5BA9"/>
    <w:rsid w:val="00FE7C0C"/>
    <w:rsid w:val="00FE7DDE"/>
    <w:rsid w:val="00FF0A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0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7A6"/>
    <w:pPr>
      <w:tabs>
        <w:tab w:val="center" w:pos="4513"/>
        <w:tab w:val="right" w:pos="9026"/>
      </w:tabs>
      <w:spacing w:line="240" w:lineRule="auto"/>
    </w:pPr>
  </w:style>
  <w:style w:type="character" w:customStyle="1" w:styleId="FooterChar">
    <w:name w:val="Footer Char"/>
    <w:basedOn w:val="DefaultParagraphFont"/>
    <w:link w:val="Footer"/>
    <w:uiPriority w:val="99"/>
    <w:rsid w:val="00AF37A6"/>
  </w:style>
  <w:style w:type="paragraph" w:styleId="Header">
    <w:name w:val="header"/>
    <w:basedOn w:val="Normal"/>
    <w:link w:val="HeaderChar"/>
    <w:uiPriority w:val="99"/>
    <w:unhideWhenUsed/>
    <w:rsid w:val="00AF37A6"/>
    <w:pPr>
      <w:tabs>
        <w:tab w:val="center" w:pos="4513"/>
        <w:tab w:val="right" w:pos="9026"/>
      </w:tabs>
      <w:spacing w:line="240" w:lineRule="auto"/>
    </w:pPr>
  </w:style>
  <w:style w:type="character" w:customStyle="1" w:styleId="HeaderChar">
    <w:name w:val="Header Char"/>
    <w:basedOn w:val="DefaultParagraphFont"/>
    <w:link w:val="Header"/>
    <w:uiPriority w:val="99"/>
    <w:rsid w:val="00AF37A6"/>
  </w:style>
  <w:style w:type="table" w:styleId="TableGrid">
    <w:name w:val="Table Grid"/>
    <w:basedOn w:val="TableNormal"/>
    <w:rsid w:val="00AF37A6"/>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7A6"/>
    <w:rPr>
      <w:color w:val="0563C1" w:themeColor="hyperlink"/>
      <w:u w:val="single"/>
    </w:rPr>
  </w:style>
  <w:style w:type="paragraph" w:styleId="NoSpacing">
    <w:name w:val="No Spacing"/>
    <w:uiPriority w:val="1"/>
    <w:qFormat/>
    <w:rsid w:val="00AF37A6"/>
    <w:pPr>
      <w:spacing w:line="240" w:lineRule="auto"/>
      <w:ind w:firstLine="0"/>
      <w:jc w:val="left"/>
    </w:pPr>
  </w:style>
  <w:style w:type="paragraph" w:styleId="NormalWeb">
    <w:name w:val="Normal (Web)"/>
    <w:basedOn w:val="Normal"/>
    <w:uiPriority w:val="99"/>
    <w:rsid w:val="00EB77A9"/>
    <w:pPr>
      <w:spacing w:before="100" w:beforeAutospacing="1" w:after="100" w:afterAutospacing="1" w:line="240" w:lineRule="auto"/>
      <w:ind w:firstLine="0"/>
      <w:jc w:val="left"/>
    </w:pPr>
    <w:rPr>
      <w:rFonts w:eastAsia="Times New Roman" w:cs="Times New Roman"/>
      <w:szCs w:val="24"/>
      <w:lang w:eastAsia="lv-LV"/>
    </w:rPr>
  </w:style>
  <w:style w:type="paragraph" w:customStyle="1" w:styleId="tv213">
    <w:name w:val="tv213"/>
    <w:basedOn w:val="Normal"/>
    <w:rsid w:val="00184ADC"/>
    <w:pPr>
      <w:spacing w:before="100" w:beforeAutospacing="1" w:after="100" w:afterAutospacing="1" w:line="240" w:lineRule="auto"/>
      <w:ind w:firstLine="0"/>
      <w:jc w:val="left"/>
    </w:pPr>
    <w:rPr>
      <w:rFonts w:eastAsia="Times New Roman" w:cs="Times New Roman"/>
      <w:szCs w:val="24"/>
      <w:lang w:eastAsia="lv-LV"/>
    </w:rPr>
  </w:style>
  <w:style w:type="character" w:styleId="CommentReference">
    <w:name w:val="annotation reference"/>
    <w:basedOn w:val="DefaultParagraphFont"/>
    <w:uiPriority w:val="99"/>
    <w:semiHidden/>
    <w:unhideWhenUsed/>
    <w:rsid w:val="003809A1"/>
    <w:rPr>
      <w:sz w:val="16"/>
      <w:szCs w:val="16"/>
    </w:rPr>
  </w:style>
  <w:style w:type="paragraph" w:styleId="CommentText">
    <w:name w:val="annotation text"/>
    <w:basedOn w:val="Normal"/>
    <w:link w:val="CommentTextChar"/>
    <w:uiPriority w:val="99"/>
    <w:unhideWhenUsed/>
    <w:rsid w:val="003809A1"/>
    <w:pPr>
      <w:spacing w:line="240" w:lineRule="auto"/>
    </w:pPr>
    <w:rPr>
      <w:sz w:val="20"/>
      <w:szCs w:val="20"/>
    </w:rPr>
  </w:style>
  <w:style w:type="character" w:customStyle="1" w:styleId="CommentTextChar">
    <w:name w:val="Comment Text Char"/>
    <w:basedOn w:val="DefaultParagraphFont"/>
    <w:link w:val="CommentText"/>
    <w:uiPriority w:val="99"/>
    <w:rsid w:val="003809A1"/>
    <w:rPr>
      <w:sz w:val="20"/>
      <w:szCs w:val="20"/>
    </w:rPr>
  </w:style>
  <w:style w:type="paragraph" w:styleId="CommentSubject">
    <w:name w:val="annotation subject"/>
    <w:basedOn w:val="CommentText"/>
    <w:next w:val="CommentText"/>
    <w:link w:val="CommentSubjectChar"/>
    <w:uiPriority w:val="99"/>
    <w:semiHidden/>
    <w:unhideWhenUsed/>
    <w:rsid w:val="003809A1"/>
    <w:rPr>
      <w:b/>
      <w:bCs/>
    </w:rPr>
  </w:style>
  <w:style w:type="character" w:customStyle="1" w:styleId="CommentSubjectChar">
    <w:name w:val="Comment Subject Char"/>
    <w:basedOn w:val="CommentTextChar"/>
    <w:link w:val="CommentSubject"/>
    <w:uiPriority w:val="99"/>
    <w:semiHidden/>
    <w:rsid w:val="003809A1"/>
    <w:rPr>
      <w:b/>
      <w:bCs/>
      <w:sz w:val="20"/>
      <w:szCs w:val="20"/>
    </w:rPr>
  </w:style>
  <w:style w:type="character" w:styleId="UnresolvedMention">
    <w:name w:val="Unresolved Mention"/>
    <w:basedOn w:val="DefaultParagraphFont"/>
    <w:uiPriority w:val="99"/>
    <w:semiHidden/>
    <w:unhideWhenUsed/>
    <w:rsid w:val="00903748"/>
    <w:rPr>
      <w:color w:val="605E5C"/>
      <w:shd w:val="clear" w:color="auto" w:fill="E1DFDD"/>
    </w:rPr>
  </w:style>
  <w:style w:type="character" w:styleId="FollowedHyperlink">
    <w:name w:val="FollowedHyperlink"/>
    <w:basedOn w:val="DefaultParagraphFont"/>
    <w:uiPriority w:val="99"/>
    <w:semiHidden/>
    <w:unhideWhenUsed/>
    <w:rsid w:val="006A0F85"/>
    <w:rPr>
      <w:color w:val="954F72" w:themeColor="followedHyperlink"/>
      <w:u w:val="single"/>
    </w:rPr>
  </w:style>
  <w:style w:type="paragraph" w:styleId="Revision">
    <w:name w:val="Revision"/>
    <w:hidden/>
    <w:uiPriority w:val="99"/>
    <w:semiHidden/>
    <w:rsid w:val="005F76B7"/>
    <w:pPr>
      <w:spacing w:line="240" w:lineRule="auto"/>
      <w:ind w:firstLine="0"/>
      <w:jc w:val="left"/>
    </w:pPr>
  </w:style>
  <w:style w:type="paragraph" w:styleId="ListParagraph">
    <w:name w:val="List Paragraph"/>
    <w:basedOn w:val="Normal"/>
    <w:uiPriority w:val="34"/>
    <w:qFormat/>
    <w:rsid w:val="008F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1616">
      <w:bodyDiv w:val="1"/>
      <w:marLeft w:val="0"/>
      <w:marRight w:val="0"/>
      <w:marTop w:val="0"/>
      <w:marBottom w:val="0"/>
      <w:divBdr>
        <w:top w:val="none" w:sz="0" w:space="0" w:color="auto"/>
        <w:left w:val="none" w:sz="0" w:space="0" w:color="auto"/>
        <w:bottom w:val="none" w:sz="0" w:space="0" w:color="auto"/>
        <w:right w:val="none" w:sz="0" w:space="0" w:color="auto"/>
      </w:divBdr>
    </w:div>
    <w:div w:id="577331238">
      <w:bodyDiv w:val="1"/>
      <w:marLeft w:val="0"/>
      <w:marRight w:val="0"/>
      <w:marTop w:val="0"/>
      <w:marBottom w:val="0"/>
      <w:divBdr>
        <w:top w:val="none" w:sz="0" w:space="0" w:color="auto"/>
        <w:left w:val="none" w:sz="0" w:space="0" w:color="auto"/>
        <w:bottom w:val="none" w:sz="0" w:space="0" w:color="auto"/>
        <w:right w:val="none" w:sz="0" w:space="0" w:color="auto"/>
      </w:divBdr>
    </w:div>
    <w:div w:id="1300645612">
      <w:bodyDiv w:val="1"/>
      <w:marLeft w:val="0"/>
      <w:marRight w:val="0"/>
      <w:marTop w:val="0"/>
      <w:marBottom w:val="0"/>
      <w:divBdr>
        <w:top w:val="none" w:sz="0" w:space="0" w:color="auto"/>
        <w:left w:val="none" w:sz="0" w:space="0" w:color="auto"/>
        <w:bottom w:val="none" w:sz="0" w:space="0" w:color="auto"/>
        <w:right w:val="none" w:sz="0" w:space="0" w:color="auto"/>
      </w:divBdr>
    </w:div>
    <w:div w:id="15331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LIKUMI/PAPILDINATAS_ANOTACIJAS/TMPAPILDIN_ANOT_GROZ_KPL_1323_211122.DOCX" TargetMode="External"/><Relationship Id="rId3" Type="http://schemas.openxmlformats.org/officeDocument/2006/relationships/settings" Target="settings.xml"/><Relationship Id="rId7" Type="http://schemas.openxmlformats.org/officeDocument/2006/relationships/hyperlink" Target="https://titania.saeima.lv/LIVS13/SaeimaLIVS13.nsf/webSasaiste?OpenView&amp;restricttocategory=1323/Lp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downloadlawfile/7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8600</Words>
  <Characters>4902</Characters>
  <Application>Microsoft Office Word</Application>
  <DocSecurity>0</DocSecurity>
  <Lines>40</Lines>
  <Paragraphs>26</Paragraphs>
  <ScaleCrop>false</ScaleCrop>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2025-06-09T10:28:00Z</dcterms:created>
  <dcterms:modified xsi:type="dcterms:W3CDTF">2025-06-09T10:29:00Z</dcterms:modified>
</cp:coreProperties>
</file>