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58F9" w14:textId="77777777" w:rsidR="00176D8C" w:rsidRPr="004F7133" w:rsidRDefault="00176D8C" w:rsidP="004F7133">
      <w:pPr>
        <w:autoSpaceDE w:val="0"/>
        <w:autoSpaceDN w:val="0"/>
        <w:spacing w:line="276" w:lineRule="auto"/>
        <w:jc w:val="both"/>
        <w:rPr>
          <w:b/>
          <w:bCs/>
          <w:lang w:eastAsia="lv-LV"/>
        </w:rPr>
      </w:pPr>
      <w:r w:rsidRPr="004F7133">
        <w:rPr>
          <w:b/>
          <w:bCs/>
        </w:rPr>
        <w:t>Personas subjektīvās tiesības prasīt konkrētu sēriju vai numuru iekļaušanu transportlīdzekļu reģistrācijai pieejamo valsts reģistrācijas numuru kopumā</w:t>
      </w:r>
    </w:p>
    <w:p w14:paraId="64B6DA48" w14:textId="6064D4FB" w:rsidR="00447EE6" w:rsidRPr="004F7133" w:rsidRDefault="00176D8C" w:rsidP="004F7133">
      <w:pPr>
        <w:autoSpaceDE w:val="0"/>
        <w:autoSpaceDN w:val="0"/>
        <w:spacing w:line="276" w:lineRule="auto"/>
        <w:jc w:val="both"/>
        <w:rPr>
          <w:color w:val="000000"/>
          <w:lang w:eastAsia="en-US"/>
        </w:rPr>
      </w:pPr>
      <w:r w:rsidRPr="004F7133">
        <w:rPr>
          <w:lang w:eastAsia="en-US"/>
        </w:rPr>
        <w:t>Lai gan Ministru kabineta 2010.gada 30.novembra noteikumu Nr. 1080 „Transportlīdzekļu reģistrācijas noteikumi” 10.punkts piešķir personai subjektīvās tiesības izvēlēties un pasūtīt transportlīdzekļa valsts reģistrācijas numuru no reģistrācijai pieejamo numuru kopumā esošajiem numuriem, šo noteikumu 10.</w:t>
      </w:r>
      <w:r w:rsidRPr="004F7133">
        <w:rPr>
          <w:vertAlign w:val="superscript"/>
          <w:lang w:eastAsia="en-US"/>
        </w:rPr>
        <w:t>2</w:t>
      </w:r>
      <w:r w:rsidRPr="004F7133">
        <w:rPr>
          <w:lang w:eastAsia="en-US"/>
        </w:rPr>
        <w:t>punkts personai nepiešķir subjektīvās tiesības prasīt konkrētu sēriju un konkrētu šo sēriju numuru iekļaušanu reģistrācijai pieejamo numuru kopumā.</w:t>
      </w:r>
    </w:p>
    <w:p w14:paraId="55E0E475" w14:textId="38A81247" w:rsidR="00447EE6" w:rsidRPr="004F7133" w:rsidRDefault="00447EE6" w:rsidP="004F7133">
      <w:pPr>
        <w:spacing w:before="240" w:line="276" w:lineRule="auto"/>
        <w:jc w:val="center"/>
        <w:rPr>
          <w:b/>
        </w:rPr>
      </w:pPr>
      <w:r w:rsidRPr="004F7133">
        <w:rPr>
          <w:b/>
        </w:rPr>
        <w:t>Latvijas Republikas Senāt</w:t>
      </w:r>
      <w:r w:rsidR="00176D8C" w:rsidRPr="004F7133">
        <w:rPr>
          <w:b/>
        </w:rPr>
        <w:t>a</w:t>
      </w:r>
      <w:r w:rsidR="00176D8C" w:rsidRPr="004F7133">
        <w:rPr>
          <w:b/>
        </w:rPr>
        <w:br/>
        <w:t>Administratīvo lietu departamenta</w:t>
      </w:r>
      <w:r w:rsidR="00176D8C" w:rsidRPr="004F7133">
        <w:rPr>
          <w:b/>
        </w:rPr>
        <w:br/>
        <w:t>2025.gada 8.maija</w:t>
      </w:r>
    </w:p>
    <w:p w14:paraId="7C7618B6" w14:textId="3BF53CF9" w:rsidR="00411CD0" w:rsidRPr="004F7133" w:rsidRDefault="000E008F" w:rsidP="004F7133">
      <w:pPr>
        <w:spacing w:line="276" w:lineRule="auto"/>
        <w:jc w:val="center"/>
      </w:pPr>
      <w:r w:rsidRPr="004F7133">
        <w:rPr>
          <w:b/>
        </w:rPr>
        <w:t>RĪCĪBAS SĒDES LĒMUMS</w:t>
      </w:r>
    </w:p>
    <w:p w14:paraId="69B50221" w14:textId="466AC962" w:rsidR="00176D8C" w:rsidRPr="004F7133" w:rsidRDefault="00176D8C" w:rsidP="004F7133">
      <w:pPr>
        <w:spacing w:line="276" w:lineRule="auto"/>
        <w:jc w:val="center"/>
        <w:rPr>
          <w:b/>
          <w:bCs/>
        </w:rPr>
      </w:pPr>
      <w:r w:rsidRPr="004F7133">
        <w:rPr>
          <w:b/>
          <w:bCs/>
        </w:rPr>
        <w:t>Lieta Nr. </w:t>
      </w:r>
      <w:r w:rsidRPr="004F7133">
        <w:rPr>
          <w:b/>
          <w:bCs/>
          <w:lang w:eastAsia="lv-LV"/>
        </w:rPr>
        <w:t xml:space="preserve">A420243722, </w:t>
      </w:r>
      <w:r w:rsidRPr="004F7133">
        <w:rPr>
          <w:b/>
          <w:bCs/>
        </w:rPr>
        <w:t>SKA-185/2025</w:t>
      </w:r>
    </w:p>
    <w:p w14:paraId="0905C789" w14:textId="5110360E" w:rsidR="00176D8C" w:rsidRPr="004F7133" w:rsidRDefault="00176D8C" w:rsidP="004F7133">
      <w:pPr>
        <w:spacing w:line="276" w:lineRule="auto"/>
        <w:jc w:val="center"/>
      </w:pPr>
      <w:r w:rsidRPr="004F7133">
        <w:t xml:space="preserve"> </w:t>
      </w:r>
      <w:hyperlink r:id="rId7" w:history="1">
        <w:r w:rsidRPr="00F8223C">
          <w:rPr>
            <w:rStyle w:val="Hyperlink"/>
          </w:rPr>
          <w:t>ECLI:LV:AT:2025:0508.A4</w:t>
        </w:r>
        <w:r w:rsidRPr="00F8223C">
          <w:rPr>
            <w:rStyle w:val="Hyperlink"/>
          </w:rPr>
          <w:t>20243722.13.L</w:t>
        </w:r>
      </w:hyperlink>
    </w:p>
    <w:p w14:paraId="72152B42" w14:textId="77777777" w:rsidR="00176D8C" w:rsidRPr="004F7133" w:rsidRDefault="00176D8C" w:rsidP="004F7133">
      <w:pPr>
        <w:spacing w:line="276" w:lineRule="auto"/>
        <w:jc w:val="center"/>
      </w:pPr>
    </w:p>
    <w:p w14:paraId="599EFB19" w14:textId="31EF02DD" w:rsidR="00A50150" w:rsidRPr="004F7133" w:rsidRDefault="00A50150" w:rsidP="004F7133">
      <w:pPr>
        <w:spacing w:line="276" w:lineRule="auto"/>
        <w:ind w:firstLine="720"/>
        <w:jc w:val="both"/>
        <w:rPr>
          <w:rFonts w:asciiTheme="majorBidi" w:hAnsiTheme="majorBidi" w:cstheme="majorBidi"/>
        </w:rPr>
      </w:pPr>
      <w:r w:rsidRPr="004F7133">
        <w:rPr>
          <w:rFonts w:asciiTheme="majorBidi" w:hAnsiTheme="majorBidi" w:cstheme="majorBidi"/>
        </w:rPr>
        <w:t xml:space="preserve">[1] Senātā saņemta </w:t>
      </w:r>
      <w:r w:rsidR="002E608A" w:rsidRPr="004F7133">
        <w:rPr>
          <w:rFonts w:asciiTheme="majorBidi" w:hAnsiTheme="majorBidi" w:cstheme="majorBidi"/>
        </w:rPr>
        <w:t xml:space="preserve">pieteicēja </w:t>
      </w:r>
      <w:r w:rsidR="00176D8C" w:rsidRPr="004F7133">
        <w:rPr>
          <w:rFonts w:asciiTheme="majorBidi" w:hAnsiTheme="majorBidi" w:cstheme="majorBidi"/>
        </w:rPr>
        <w:t xml:space="preserve">[pers. A] </w:t>
      </w:r>
      <w:r w:rsidRPr="004F7133">
        <w:rPr>
          <w:rFonts w:asciiTheme="majorBidi" w:hAnsiTheme="majorBidi" w:cstheme="majorBidi"/>
        </w:rPr>
        <w:t xml:space="preserve">kasācijas sūdzība par Administratīvās </w:t>
      </w:r>
      <w:r w:rsidR="002E608A" w:rsidRPr="004F7133">
        <w:rPr>
          <w:rFonts w:asciiTheme="majorBidi" w:hAnsiTheme="majorBidi" w:cstheme="majorBidi"/>
        </w:rPr>
        <w:t>apgabaltiesas</w:t>
      </w:r>
      <w:r w:rsidRPr="004F7133">
        <w:rPr>
          <w:rFonts w:asciiTheme="majorBidi" w:hAnsiTheme="majorBidi" w:cstheme="majorBidi"/>
        </w:rPr>
        <w:t xml:space="preserve"> </w:t>
      </w:r>
      <w:r w:rsidR="002E608A" w:rsidRPr="004F7133">
        <w:rPr>
          <w:rFonts w:asciiTheme="majorBidi" w:hAnsiTheme="majorBidi" w:cstheme="majorBidi"/>
        </w:rPr>
        <w:t>2024.gada 23.janvāra</w:t>
      </w:r>
      <w:r w:rsidRPr="004F7133">
        <w:rPr>
          <w:rFonts w:asciiTheme="majorBidi" w:hAnsiTheme="majorBidi" w:cstheme="majorBidi"/>
        </w:rPr>
        <w:t xml:space="preserve"> spriedumu, ar kuru </w:t>
      </w:r>
      <w:r w:rsidR="002E608A" w:rsidRPr="004F7133">
        <w:rPr>
          <w:rFonts w:asciiTheme="majorBidi" w:hAnsiTheme="majorBidi" w:cstheme="majorBidi"/>
        </w:rPr>
        <w:t>noraidīts pieteikums par pienākuma uzlikšanu valsts akciju sabiedrībai „Ceļu satiksmes drošības direkcija”</w:t>
      </w:r>
      <w:r w:rsidR="00BA0560" w:rsidRPr="004F7133">
        <w:rPr>
          <w:rFonts w:asciiTheme="majorBidi" w:hAnsiTheme="majorBidi" w:cstheme="majorBidi"/>
        </w:rPr>
        <w:t xml:space="preserve"> (turpmāk – direkcija) iekļaut numurus</w:t>
      </w:r>
      <w:r w:rsidR="007B7AED" w:rsidRPr="004F7133">
        <w:rPr>
          <w:rFonts w:asciiTheme="majorBidi" w:hAnsiTheme="majorBidi" w:cstheme="majorBidi"/>
        </w:rPr>
        <w:t xml:space="preserve"> [numurs A]</w:t>
      </w:r>
      <w:r w:rsidR="00BA0560" w:rsidRPr="004F7133">
        <w:rPr>
          <w:rFonts w:asciiTheme="majorBidi" w:hAnsiTheme="majorBidi" w:cstheme="majorBidi"/>
        </w:rPr>
        <w:t xml:space="preserve">, IO1 un RD1 transportlīdzekļu reģistrācijai pieejamo numuru kopumā un labvēlīga administratīvā akta, ar kuru pieteicēja īpašumā reģistrētajam transportlīdzeklim </w:t>
      </w:r>
      <w:r w:rsidR="00BA0560" w:rsidRPr="004F7133">
        <w:rPr>
          <w:rFonts w:asciiTheme="majorBidi" w:hAnsiTheme="majorBidi" w:cstheme="majorBidi"/>
          <w:i/>
          <w:iCs/>
        </w:rPr>
        <w:t>VW Golf</w:t>
      </w:r>
      <w:r w:rsidR="00BA0560" w:rsidRPr="004F7133">
        <w:rPr>
          <w:rFonts w:asciiTheme="majorBidi" w:hAnsiTheme="majorBidi" w:cstheme="majorBidi"/>
        </w:rPr>
        <w:t xml:space="preserve"> , valsts reģistrācijas numurs </w:t>
      </w:r>
      <w:r w:rsidR="007B7AED" w:rsidRPr="004F7133">
        <w:rPr>
          <w:rFonts w:asciiTheme="majorBidi" w:hAnsiTheme="majorBidi" w:cstheme="majorBidi"/>
        </w:rPr>
        <w:t>[numurs B]</w:t>
      </w:r>
      <w:r w:rsidR="00BA0560" w:rsidRPr="004F7133">
        <w:rPr>
          <w:rFonts w:asciiTheme="majorBidi" w:hAnsiTheme="majorBidi" w:cstheme="majorBidi"/>
        </w:rPr>
        <w:t>, tiktu piešķirts valsts reģistrācijas numurs</w:t>
      </w:r>
      <w:r w:rsidR="007B7AED" w:rsidRPr="004F7133">
        <w:rPr>
          <w:rFonts w:asciiTheme="majorBidi" w:hAnsiTheme="majorBidi" w:cstheme="majorBidi"/>
        </w:rPr>
        <w:t xml:space="preserve"> [numurs A]</w:t>
      </w:r>
      <w:r w:rsidR="00BA0560" w:rsidRPr="004F7133">
        <w:rPr>
          <w:rFonts w:asciiTheme="majorBidi" w:hAnsiTheme="majorBidi" w:cstheme="majorBidi"/>
        </w:rPr>
        <w:t xml:space="preserve">, transportlīdzeklim </w:t>
      </w:r>
      <w:r w:rsidR="00234A52" w:rsidRPr="004F7133">
        <w:rPr>
          <w:rFonts w:asciiTheme="majorBidi" w:hAnsiTheme="majorBidi" w:cstheme="majorBidi"/>
          <w:i/>
          <w:iCs/>
        </w:rPr>
        <w:t>Honda Civic</w:t>
      </w:r>
      <w:r w:rsidR="00234A52" w:rsidRPr="004F7133">
        <w:rPr>
          <w:rFonts w:asciiTheme="majorBidi" w:hAnsiTheme="majorBidi" w:cstheme="majorBidi"/>
        </w:rPr>
        <w:t>, valsts reģistrācijas numurs</w:t>
      </w:r>
      <w:r w:rsidR="007B7AED" w:rsidRPr="004F7133">
        <w:rPr>
          <w:rFonts w:asciiTheme="majorBidi" w:hAnsiTheme="majorBidi" w:cstheme="majorBidi"/>
        </w:rPr>
        <w:t xml:space="preserve"> [numurs C]</w:t>
      </w:r>
      <w:r w:rsidR="00234A52" w:rsidRPr="004F7133">
        <w:rPr>
          <w:rFonts w:asciiTheme="majorBidi" w:hAnsiTheme="majorBidi" w:cstheme="majorBidi"/>
        </w:rPr>
        <w:t xml:space="preserve">, tiktu piešķirts valsts reģistrācijas numurs IO1, un transportlīdzeklim </w:t>
      </w:r>
      <w:r w:rsidR="00234A52" w:rsidRPr="004F7133">
        <w:rPr>
          <w:rFonts w:asciiTheme="majorBidi" w:hAnsiTheme="majorBidi" w:cstheme="majorBidi"/>
          <w:i/>
          <w:iCs/>
        </w:rPr>
        <w:t>BMW 530</w:t>
      </w:r>
      <w:r w:rsidR="00234A52" w:rsidRPr="004F7133">
        <w:rPr>
          <w:rFonts w:asciiTheme="majorBidi" w:hAnsiTheme="majorBidi" w:cstheme="majorBidi"/>
        </w:rPr>
        <w:t>, valsts reģistrācijas numurs</w:t>
      </w:r>
      <w:r w:rsidR="007B7AED" w:rsidRPr="004F7133">
        <w:rPr>
          <w:rFonts w:asciiTheme="majorBidi" w:hAnsiTheme="majorBidi" w:cstheme="majorBidi"/>
        </w:rPr>
        <w:t xml:space="preserve"> [numurs D]</w:t>
      </w:r>
      <w:r w:rsidR="00234A52" w:rsidRPr="004F7133">
        <w:rPr>
          <w:rFonts w:asciiTheme="majorBidi" w:hAnsiTheme="majorBidi" w:cstheme="majorBidi"/>
        </w:rPr>
        <w:t>, tiktu piešķirts valsts reģistrācijas numurs RD1, izdošanu</w:t>
      </w:r>
      <w:r w:rsidRPr="004F7133">
        <w:rPr>
          <w:rFonts w:asciiTheme="majorBidi" w:hAnsiTheme="majorBidi" w:cstheme="majorBidi"/>
        </w:rPr>
        <w:t>.</w:t>
      </w:r>
    </w:p>
    <w:p w14:paraId="1CE061F2" w14:textId="45CBBA5E" w:rsidR="00A50150" w:rsidRPr="004F7133" w:rsidRDefault="00C50D5C" w:rsidP="004F7133">
      <w:pPr>
        <w:spacing w:line="276" w:lineRule="auto"/>
        <w:ind w:firstLine="720"/>
        <w:jc w:val="both"/>
        <w:rPr>
          <w:rFonts w:asciiTheme="majorBidi" w:hAnsiTheme="majorBidi" w:cstheme="majorBidi"/>
        </w:rPr>
      </w:pPr>
      <w:r w:rsidRPr="004F7133">
        <w:rPr>
          <w:rFonts w:asciiTheme="majorBidi" w:hAnsiTheme="majorBidi" w:cstheme="majorBidi"/>
        </w:rPr>
        <w:t>Apgabaltiesa pievienojās rajona tiesas sprieduma motivācijai</w:t>
      </w:r>
      <w:r w:rsidR="00CB5F62" w:rsidRPr="004F7133">
        <w:rPr>
          <w:rFonts w:asciiTheme="majorBidi" w:hAnsiTheme="majorBidi" w:cstheme="majorBidi"/>
        </w:rPr>
        <w:t xml:space="preserve"> un norādīja, ka pieteicējam </w:t>
      </w:r>
      <w:r w:rsidR="000E3619" w:rsidRPr="004F7133">
        <w:rPr>
          <w:rFonts w:asciiTheme="majorBidi" w:hAnsiTheme="majorBidi" w:cstheme="majorBidi"/>
        </w:rPr>
        <w:t>nevar piešķirt</w:t>
      </w:r>
      <w:r w:rsidR="00CB5F62" w:rsidRPr="004F7133">
        <w:rPr>
          <w:rFonts w:asciiTheme="majorBidi" w:hAnsiTheme="majorBidi" w:cstheme="majorBidi"/>
        </w:rPr>
        <w:t xml:space="preserve"> </w:t>
      </w:r>
      <w:r w:rsidR="00CD4110" w:rsidRPr="004F7133">
        <w:rPr>
          <w:rFonts w:asciiTheme="majorBidi" w:hAnsiTheme="majorBidi" w:cstheme="majorBidi"/>
        </w:rPr>
        <w:t xml:space="preserve">prasītos </w:t>
      </w:r>
      <w:r w:rsidR="00CB5F62" w:rsidRPr="004F7133">
        <w:rPr>
          <w:rFonts w:asciiTheme="majorBidi" w:hAnsiTheme="majorBidi" w:cstheme="majorBidi"/>
        </w:rPr>
        <w:t>transportlīdzekļu valsts reģistrācijas numurus, jo tie datumā, kad pieteicējs vērsās direkcijā, nebija brīvi pieejami</w:t>
      </w:r>
      <w:r w:rsidR="0079144D" w:rsidRPr="004F7133">
        <w:rPr>
          <w:rFonts w:asciiTheme="majorBidi" w:hAnsiTheme="majorBidi" w:cstheme="majorBidi"/>
        </w:rPr>
        <w:t>.</w:t>
      </w:r>
      <w:r w:rsidR="00CB5F62" w:rsidRPr="004F7133">
        <w:rPr>
          <w:rFonts w:asciiTheme="majorBidi" w:hAnsiTheme="majorBidi" w:cstheme="majorBidi"/>
        </w:rPr>
        <w:t xml:space="preserve"> </w:t>
      </w:r>
      <w:r w:rsidR="00622E91" w:rsidRPr="004F7133">
        <w:rPr>
          <w:rFonts w:asciiTheme="majorBidi" w:hAnsiTheme="majorBidi" w:cstheme="majorBidi"/>
        </w:rPr>
        <w:t xml:space="preserve">Transportlīdzekļu un to vadītāju valsts </w:t>
      </w:r>
      <w:r w:rsidR="00CB5F62" w:rsidRPr="004F7133">
        <w:rPr>
          <w:rFonts w:asciiTheme="majorBidi" w:hAnsiTheme="majorBidi" w:cstheme="majorBidi"/>
        </w:rPr>
        <w:t xml:space="preserve">reģistrā nav informācijas par numura zīmes </w:t>
      </w:r>
      <w:r w:rsidR="007B7AED" w:rsidRPr="004F7133">
        <w:rPr>
          <w:rFonts w:asciiTheme="majorBidi" w:hAnsiTheme="majorBidi" w:cstheme="majorBidi"/>
        </w:rPr>
        <w:t>[numurs A]</w:t>
      </w:r>
      <w:r w:rsidR="00CB5F62" w:rsidRPr="004F7133">
        <w:rPr>
          <w:rFonts w:asciiTheme="majorBidi" w:hAnsiTheme="majorBidi" w:cstheme="majorBidi"/>
        </w:rPr>
        <w:t xml:space="preserve"> utilizācijas faktu, </w:t>
      </w:r>
      <w:r w:rsidR="00414912" w:rsidRPr="004F7133">
        <w:rPr>
          <w:rFonts w:asciiTheme="majorBidi" w:hAnsiTheme="majorBidi" w:cstheme="majorBidi"/>
        </w:rPr>
        <w:t>līdz ar to šo numuru nevar</w:t>
      </w:r>
      <w:r w:rsidR="00253683" w:rsidRPr="004F7133">
        <w:rPr>
          <w:rFonts w:asciiTheme="majorBidi" w:hAnsiTheme="majorBidi" w:cstheme="majorBidi"/>
        </w:rPr>
        <w:t xml:space="preserve"> izmantot cita transportlīdzekļa reģistrācijai</w:t>
      </w:r>
      <w:r w:rsidR="00414912" w:rsidRPr="004F7133">
        <w:rPr>
          <w:rFonts w:asciiTheme="majorBidi" w:hAnsiTheme="majorBidi" w:cstheme="majorBidi"/>
        </w:rPr>
        <w:t xml:space="preserve">. </w:t>
      </w:r>
      <w:r w:rsidR="00CB5F62" w:rsidRPr="004F7133">
        <w:rPr>
          <w:rFonts w:asciiTheme="majorBidi" w:hAnsiTheme="majorBidi" w:cstheme="majorBidi"/>
        </w:rPr>
        <w:t xml:space="preserve"> </w:t>
      </w:r>
      <w:r w:rsidR="00414912" w:rsidRPr="004F7133">
        <w:rPr>
          <w:rFonts w:asciiTheme="majorBidi" w:hAnsiTheme="majorBidi" w:cstheme="majorBidi"/>
        </w:rPr>
        <w:t xml:space="preserve">Savukārt </w:t>
      </w:r>
      <w:r w:rsidR="00CB5F62" w:rsidRPr="004F7133">
        <w:rPr>
          <w:rFonts w:asciiTheme="majorBidi" w:hAnsiTheme="majorBidi" w:cstheme="majorBidi"/>
        </w:rPr>
        <w:t>neviens sēriju IO un RD numurs pēc 2021.gada 1.februāra</w:t>
      </w:r>
      <w:r w:rsidR="00414912" w:rsidRPr="004F7133">
        <w:rPr>
          <w:rFonts w:asciiTheme="majorBidi" w:hAnsiTheme="majorBidi" w:cstheme="majorBidi"/>
        </w:rPr>
        <w:t xml:space="preserve">, proti, pēc </w:t>
      </w:r>
      <w:r w:rsidR="00D77AA6" w:rsidRPr="004F7133">
        <w:rPr>
          <w:rFonts w:asciiTheme="majorBidi" w:hAnsiTheme="majorBidi" w:cstheme="majorBidi"/>
        </w:rPr>
        <w:t>grozījumu Ministru kabineta 2010.gada 30.novembra noteikum</w:t>
      </w:r>
      <w:r w:rsidR="00674043" w:rsidRPr="004F7133">
        <w:rPr>
          <w:rFonts w:asciiTheme="majorBidi" w:hAnsiTheme="majorBidi" w:cstheme="majorBidi"/>
        </w:rPr>
        <w:t>os</w:t>
      </w:r>
      <w:r w:rsidR="00D77AA6" w:rsidRPr="004F7133">
        <w:rPr>
          <w:rFonts w:asciiTheme="majorBidi" w:hAnsiTheme="majorBidi" w:cstheme="majorBidi"/>
        </w:rPr>
        <w:t xml:space="preserve"> Nr. 1080 „Transportlīdzekļu reģistrācijas noteikumi” (turpmāk – Reģistrācijas noteikumi) spēkā stāšanās</w:t>
      </w:r>
      <w:r w:rsidR="00674043" w:rsidRPr="004F7133">
        <w:rPr>
          <w:rFonts w:asciiTheme="majorBidi" w:hAnsiTheme="majorBidi" w:cstheme="majorBidi"/>
        </w:rPr>
        <w:t>,</w:t>
      </w:r>
      <w:r w:rsidR="00CB5F62" w:rsidRPr="004F7133">
        <w:rPr>
          <w:rFonts w:asciiTheme="majorBidi" w:hAnsiTheme="majorBidi" w:cstheme="majorBidi"/>
        </w:rPr>
        <w:t xml:space="preserve"> pirmreizēji nav piešķirts</w:t>
      </w:r>
      <w:r w:rsidR="00674043" w:rsidRPr="004F7133">
        <w:rPr>
          <w:rFonts w:asciiTheme="majorBidi" w:hAnsiTheme="majorBidi" w:cstheme="majorBidi"/>
        </w:rPr>
        <w:t>,</w:t>
      </w:r>
      <w:r w:rsidR="00352F87" w:rsidRPr="004F7133">
        <w:rPr>
          <w:rFonts w:asciiTheme="majorBidi" w:hAnsiTheme="majorBidi" w:cstheme="majorBidi"/>
        </w:rPr>
        <w:t xml:space="preserve"> un šī</w:t>
      </w:r>
      <w:r w:rsidR="00F51BB9" w:rsidRPr="004F7133">
        <w:rPr>
          <w:rFonts w:asciiTheme="majorBidi" w:hAnsiTheme="majorBidi" w:cstheme="majorBidi"/>
        </w:rPr>
        <w:t>s</w:t>
      </w:r>
      <w:r w:rsidR="00352F87" w:rsidRPr="004F7133">
        <w:rPr>
          <w:rFonts w:asciiTheme="majorBidi" w:hAnsiTheme="majorBidi" w:cstheme="majorBidi"/>
        </w:rPr>
        <w:t xml:space="preserve"> sērija</w:t>
      </w:r>
      <w:r w:rsidR="00F51BB9" w:rsidRPr="004F7133">
        <w:rPr>
          <w:rFonts w:asciiTheme="majorBidi" w:hAnsiTheme="majorBidi" w:cstheme="majorBidi"/>
        </w:rPr>
        <w:t>s</w:t>
      </w:r>
      <w:r w:rsidR="00352F87" w:rsidRPr="004F7133">
        <w:rPr>
          <w:rFonts w:asciiTheme="majorBidi" w:hAnsiTheme="majorBidi" w:cstheme="majorBidi"/>
        </w:rPr>
        <w:t xml:space="preserve"> nav uzskatām</w:t>
      </w:r>
      <w:r w:rsidR="006527A2" w:rsidRPr="004F7133">
        <w:rPr>
          <w:rFonts w:asciiTheme="majorBidi" w:hAnsiTheme="majorBidi" w:cstheme="majorBidi"/>
        </w:rPr>
        <w:t>a</w:t>
      </w:r>
      <w:r w:rsidR="00F51BB9" w:rsidRPr="004F7133">
        <w:rPr>
          <w:rFonts w:asciiTheme="majorBidi" w:hAnsiTheme="majorBidi" w:cstheme="majorBidi"/>
        </w:rPr>
        <w:t>s</w:t>
      </w:r>
      <w:r w:rsidR="006527A2" w:rsidRPr="004F7133">
        <w:rPr>
          <w:rFonts w:asciiTheme="majorBidi" w:hAnsiTheme="majorBidi" w:cstheme="majorBidi"/>
        </w:rPr>
        <w:t xml:space="preserve"> par kārtēj</w:t>
      </w:r>
      <w:r w:rsidR="00674043" w:rsidRPr="004F7133">
        <w:rPr>
          <w:rFonts w:asciiTheme="majorBidi" w:hAnsiTheme="majorBidi" w:cstheme="majorBidi"/>
        </w:rPr>
        <w:t>ām</w:t>
      </w:r>
      <w:r w:rsidR="006527A2" w:rsidRPr="004F7133">
        <w:rPr>
          <w:rFonts w:asciiTheme="majorBidi" w:hAnsiTheme="majorBidi" w:cstheme="majorBidi"/>
        </w:rPr>
        <w:t xml:space="preserve"> sērij</w:t>
      </w:r>
      <w:r w:rsidR="00674043" w:rsidRPr="004F7133">
        <w:rPr>
          <w:rFonts w:asciiTheme="majorBidi" w:hAnsiTheme="majorBidi" w:cstheme="majorBidi"/>
        </w:rPr>
        <w:t>ā</w:t>
      </w:r>
      <w:r w:rsidR="006527A2" w:rsidRPr="004F7133">
        <w:rPr>
          <w:rFonts w:asciiTheme="majorBidi" w:hAnsiTheme="majorBidi" w:cstheme="majorBidi"/>
        </w:rPr>
        <w:t xml:space="preserve">m Reģistrācijas noteikumu </w:t>
      </w:r>
      <w:r w:rsidR="00FA238B" w:rsidRPr="004F7133">
        <w:rPr>
          <w:rFonts w:asciiTheme="majorBidi" w:hAnsiTheme="majorBidi" w:cstheme="majorBidi"/>
        </w:rPr>
        <w:t>10.</w:t>
      </w:r>
      <w:r w:rsidR="00FA238B" w:rsidRPr="004F7133">
        <w:rPr>
          <w:rFonts w:asciiTheme="majorBidi" w:hAnsiTheme="majorBidi" w:cstheme="majorBidi"/>
          <w:vertAlign w:val="superscript"/>
        </w:rPr>
        <w:t>2</w:t>
      </w:r>
      <w:r w:rsidR="00FA238B" w:rsidRPr="004F7133">
        <w:rPr>
          <w:rFonts w:asciiTheme="majorBidi" w:hAnsiTheme="majorBidi" w:cstheme="majorBidi"/>
        </w:rPr>
        <w:t>1.apakšpunkta izpratnē</w:t>
      </w:r>
      <w:r w:rsidR="00F51BB9" w:rsidRPr="004F7133">
        <w:rPr>
          <w:rFonts w:asciiTheme="majorBidi" w:hAnsiTheme="majorBidi" w:cstheme="majorBidi"/>
        </w:rPr>
        <w:t>, līdz ar to šos numurus nevar piešķirt transportlīdzekļa reģistrācijai</w:t>
      </w:r>
      <w:r w:rsidR="00CB5F62" w:rsidRPr="004F7133">
        <w:rPr>
          <w:rFonts w:asciiTheme="majorBidi" w:hAnsiTheme="majorBidi" w:cstheme="majorBidi"/>
        </w:rPr>
        <w:t>. Tāpat pieteicējam nav subjektīvo tiesību pieprasīt, lai konkrēta numuru sērija tiktu iekļauta transportlīdzekļu reģistrācijai pieejamo numuru kopumā.</w:t>
      </w:r>
    </w:p>
    <w:p w14:paraId="671A379C" w14:textId="77777777" w:rsidR="00A50150" w:rsidRPr="004F7133" w:rsidRDefault="00A50150" w:rsidP="004F7133">
      <w:pPr>
        <w:spacing w:line="276" w:lineRule="auto"/>
        <w:ind w:firstLine="720"/>
        <w:rPr>
          <w:rFonts w:asciiTheme="majorBidi" w:hAnsiTheme="majorBidi" w:cstheme="majorBidi"/>
        </w:rPr>
      </w:pPr>
    </w:p>
    <w:p w14:paraId="0E0C6440" w14:textId="1101E5DD" w:rsidR="00E35CA8" w:rsidRPr="004F7133" w:rsidRDefault="00E35CA8" w:rsidP="004F7133">
      <w:pPr>
        <w:spacing w:line="276" w:lineRule="auto"/>
        <w:ind w:firstLine="720"/>
        <w:jc w:val="both"/>
        <w:rPr>
          <w:rFonts w:asciiTheme="majorBidi" w:hAnsiTheme="majorBidi" w:cstheme="majorBidi"/>
        </w:rPr>
      </w:pPr>
      <w:r w:rsidRPr="004F7133">
        <w:rPr>
          <w:rFonts w:asciiTheme="majorBidi" w:hAnsiTheme="majorBidi" w:cstheme="majorBidi"/>
        </w:rPr>
        <w:t>[2] </w:t>
      </w:r>
      <w:r w:rsidR="000C5AA7" w:rsidRPr="004F7133">
        <w:rPr>
          <w:rFonts w:asciiTheme="majorBidi" w:hAnsiTheme="majorBidi" w:cstheme="majorBidi"/>
        </w:rPr>
        <w:t>Pieteicējs uzskata, ka apgabaltiesa ir nepareizi interpretējusi Reģistrācijas noteikum</w:t>
      </w:r>
      <w:r w:rsidR="00943B8B" w:rsidRPr="004F7133">
        <w:rPr>
          <w:rFonts w:asciiTheme="majorBidi" w:hAnsiTheme="majorBidi" w:cstheme="majorBidi"/>
        </w:rPr>
        <w:t>u</w:t>
      </w:r>
      <w:r w:rsidR="000C5AA7" w:rsidRPr="004F7133">
        <w:rPr>
          <w:rFonts w:asciiTheme="majorBidi" w:hAnsiTheme="majorBidi" w:cstheme="majorBidi"/>
        </w:rPr>
        <w:t xml:space="preserve"> 10.</w:t>
      </w:r>
      <w:r w:rsidR="000C5AA7" w:rsidRPr="004F7133">
        <w:rPr>
          <w:rFonts w:asciiTheme="majorBidi" w:hAnsiTheme="majorBidi" w:cstheme="majorBidi"/>
          <w:vertAlign w:val="superscript"/>
        </w:rPr>
        <w:t>2</w:t>
      </w:r>
      <w:r w:rsidR="000C5AA7" w:rsidRPr="004F7133">
        <w:rPr>
          <w:rFonts w:asciiTheme="majorBidi" w:hAnsiTheme="majorBidi" w:cstheme="majorBidi"/>
        </w:rPr>
        <w:t>punktu</w:t>
      </w:r>
      <w:r w:rsidR="00943B8B" w:rsidRPr="004F7133">
        <w:rPr>
          <w:rFonts w:asciiTheme="majorBidi" w:hAnsiTheme="majorBidi" w:cstheme="majorBidi"/>
        </w:rPr>
        <w:t xml:space="preserve"> un nepamatoti secinājusi, ka pieteicējam </w:t>
      </w:r>
      <w:r w:rsidR="003C06D2" w:rsidRPr="004F7133">
        <w:rPr>
          <w:rFonts w:asciiTheme="majorBidi" w:hAnsiTheme="majorBidi" w:cstheme="majorBidi"/>
        </w:rPr>
        <w:t xml:space="preserve">konkrētajā gadījumā </w:t>
      </w:r>
      <w:r w:rsidR="00943B8B" w:rsidRPr="004F7133">
        <w:rPr>
          <w:rFonts w:asciiTheme="majorBidi" w:hAnsiTheme="majorBidi" w:cstheme="majorBidi"/>
        </w:rPr>
        <w:t>nav subjektīvo tiesību</w:t>
      </w:r>
      <w:r w:rsidR="000C5AA7" w:rsidRPr="004F7133">
        <w:rPr>
          <w:rFonts w:asciiTheme="majorBidi" w:hAnsiTheme="majorBidi" w:cstheme="majorBidi"/>
        </w:rPr>
        <w:t xml:space="preserve">. Pieteicēja ieskatā </w:t>
      </w:r>
      <w:r w:rsidR="00674043" w:rsidRPr="004F7133">
        <w:rPr>
          <w:rFonts w:asciiTheme="majorBidi" w:hAnsiTheme="majorBidi" w:cstheme="majorBidi"/>
        </w:rPr>
        <w:t xml:space="preserve">viņam </w:t>
      </w:r>
      <w:r w:rsidR="000C5AA7" w:rsidRPr="004F7133">
        <w:rPr>
          <w:rFonts w:asciiTheme="majorBidi" w:hAnsiTheme="majorBidi" w:cstheme="majorBidi"/>
        </w:rPr>
        <w:t xml:space="preserve">bija tiesības lūgt, lai direkcija izpilda no tiesību normām izrietošo pienākumu. Turklāt </w:t>
      </w:r>
      <w:r w:rsidR="007175AE" w:rsidRPr="004F7133">
        <w:rPr>
          <w:rFonts w:asciiTheme="majorBidi" w:hAnsiTheme="majorBidi" w:cstheme="majorBidi"/>
        </w:rPr>
        <w:t xml:space="preserve">sēriju IO un RD viencipara un divciparu numuri </w:t>
      </w:r>
      <w:r w:rsidR="00B8129F" w:rsidRPr="004F7133">
        <w:rPr>
          <w:rFonts w:asciiTheme="majorBidi" w:hAnsiTheme="majorBidi" w:cstheme="majorBidi"/>
        </w:rPr>
        <w:t xml:space="preserve">ir </w:t>
      </w:r>
      <w:r w:rsidR="007175AE" w:rsidRPr="004F7133">
        <w:rPr>
          <w:rFonts w:asciiTheme="majorBidi" w:hAnsiTheme="majorBidi" w:cstheme="majorBidi"/>
        </w:rPr>
        <w:t xml:space="preserve">piešķirti arī pēc 2021.gada 1.februāra, jo </w:t>
      </w:r>
      <w:r w:rsidR="00B8129F" w:rsidRPr="004F7133">
        <w:rPr>
          <w:rFonts w:asciiTheme="majorBidi" w:hAnsiTheme="majorBidi" w:cstheme="majorBidi"/>
        </w:rPr>
        <w:t>Reģistrācijas noteikumu grozījumi</w:t>
      </w:r>
      <w:r w:rsidR="007175AE" w:rsidRPr="004F7133">
        <w:rPr>
          <w:rFonts w:asciiTheme="majorBidi" w:hAnsiTheme="majorBidi" w:cstheme="majorBidi"/>
        </w:rPr>
        <w:t xml:space="preserve"> paplašināja numuru izsniegšanu elektroniski un tika attiecināt</w:t>
      </w:r>
      <w:r w:rsidR="00DA5858" w:rsidRPr="004F7133">
        <w:rPr>
          <w:rFonts w:asciiTheme="majorBidi" w:hAnsiTheme="majorBidi" w:cstheme="majorBidi"/>
        </w:rPr>
        <w:t>i</w:t>
      </w:r>
      <w:r w:rsidR="007175AE" w:rsidRPr="004F7133">
        <w:rPr>
          <w:rFonts w:asciiTheme="majorBidi" w:hAnsiTheme="majorBidi" w:cstheme="majorBidi"/>
        </w:rPr>
        <w:t xml:space="preserve"> uz nākamo sēriju, </w:t>
      </w:r>
      <w:r w:rsidR="00DA5858" w:rsidRPr="004F7133">
        <w:rPr>
          <w:rFonts w:asciiTheme="majorBidi" w:hAnsiTheme="majorBidi" w:cstheme="majorBidi"/>
        </w:rPr>
        <w:t xml:space="preserve">kuru </w:t>
      </w:r>
      <w:r w:rsidR="00DA5858" w:rsidRPr="004F7133">
        <w:rPr>
          <w:rFonts w:asciiTheme="majorBidi" w:hAnsiTheme="majorBidi" w:cstheme="majorBidi"/>
        </w:rPr>
        <w:lastRenderedPageBreak/>
        <w:t xml:space="preserve">direkcija piešķirs datorprogrammas noteiktā secībā, </w:t>
      </w:r>
      <w:r w:rsidR="007175AE" w:rsidRPr="004F7133">
        <w:rPr>
          <w:rFonts w:asciiTheme="majorBidi" w:hAnsiTheme="majorBidi" w:cstheme="majorBidi"/>
        </w:rPr>
        <w:t>bet neietekmēja</w:t>
      </w:r>
      <w:r w:rsidR="00DA5858" w:rsidRPr="004F7133">
        <w:rPr>
          <w:rFonts w:asciiTheme="majorBidi" w:hAnsiTheme="majorBidi" w:cstheme="majorBidi"/>
        </w:rPr>
        <w:t xml:space="preserve"> kārtējās sērijas, no kurām numuri tika piešķirti tiesiskā regulējuma maiņas brīdī</w:t>
      </w:r>
      <w:r w:rsidR="007175AE" w:rsidRPr="004F7133">
        <w:rPr>
          <w:rFonts w:asciiTheme="majorBidi" w:hAnsiTheme="majorBidi" w:cstheme="majorBidi"/>
        </w:rPr>
        <w:t>.</w:t>
      </w:r>
    </w:p>
    <w:p w14:paraId="319FA049" w14:textId="26F9F0CB" w:rsidR="007175AE" w:rsidRPr="004F7133" w:rsidRDefault="00400C0C"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konstatē, ka apgabaltiesa ir pamatoti secinājusi, ka pieteicējam nav subjektīvo tiesību pieprasīt, lai direkcija papildina transportlīdzekļu reģistrācijai pieejamo numuru kopumu. Lai gan Reģistrācijas noteikumu 10.punkts piešķir pieteicējam subjektīvās tiesības izvēlēties un pasūtīt valsts reģistrācijas numuru no reģistrācijai pieejamo numuru kopumā esošajiem numuriem, šo noteikumu 10.</w:t>
      </w:r>
      <w:r w:rsidRPr="004F7133">
        <w:rPr>
          <w:rFonts w:asciiTheme="majorBidi" w:hAnsiTheme="majorBidi" w:cstheme="majorBidi"/>
          <w:vertAlign w:val="superscript"/>
        </w:rPr>
        <w:t>2</w:t>
      </w:r>
      <w:r w:rsidRPr="004F7133">
        <w:rPr>
          <w:rFonts w:asciiTheme="majorBidi" w:hAnsiTheme="majorBidi" w:cstheme="majorBidi"/>
        </w:rPr>
        <w:t>punkt</w:t>
      </w:r>
      <w:r w:rsidR="00D8168B" w:rsidRPr="004F7133">
        <w:rPr>
          <w:rFonts w:asciiTheme="majorBidi" w:hAnsiTheme="majorBidi" w:cstheme="majorBidi"/>
        </w:rPr>
        <w:t xml:space="preserve">s </w:t>
      </w:r>
      <w:r w:rsidR="0070199A" w:rsidRPr="004F7133">
        <w:rPr>
          <w:rFonts w:asciiTheme="majorBidi" w:hAnsiTheme="majorBidi" w:cstheme="majorBidi"/>
        </w:rPr>
        <w:t xml:space="preserve">pieteicējam nepiešķir </w:t>
      </w:r>
      <w:r w:rsidR="00D8168B" w:rsidRPr="004F7133">
        <w:rPr>
          <w:rFonts w:asciiTheme="majorBidi" w:hAnsiTheme="majorBidi" w:cstheme="majorBidi"/>
        </w:rPr>
        <w:t>subjektīvās tiesības</w:t>
      </w:r>
      <w:r w:rsidR="0070199A" w:rsidRPr="004F7133">
        <w:rPr>
          <w:rFonts w:asciiTheme="majorBidi" w:hAnsiTheme="majorBidi" w:cstheme="majorBidi"/>
        </w:rPr>
        <w:t xml:space="preserve"> prasīt konkrētu sēriju un konkrētu š</w:t>
      </w:r>
      <w:r w:rsidR="00674043" w:rsidRPr="004F7133">
        <w:rPr>
          <w:rFonts w:asciiTheme="majorBidi" w:hAnsiTheme="majorBidi" w:cstheme="majorBidi"/>
        </w:rPr>
        <w:t>o</w:t>
      </w:r>
      <w:r w:rsidR="0070199A" w:rsidRPr="004F7133">
        <w:rPr>
          <w:rFonts w:asciiTheme="majorBidi" w:hAnsiTheme="majorBidi" w:cstheme="majorBidi"/>
        </w:rPr>
        <w:t xml:space="preserve"> sērij</w:t>
      </w:r>
      <w:r w:rsidR="00674043" w:rsidRPr="004F7133">
        <w:rPr>
          <w:rFonts w:asciiTheme="majorBidi" w:hAnsiTheme="majorBidi" w:cstheme="majorBidi"/>
        </w:rPr>
        <w:t>u</w:t>
      </w:r>
      <w:r w:rsidR="0070199A" w:rsidRPr="004F7133">
        <w:rPr>
          <w:rFonts w:asciiTheme="majorBidi" w:hAnsiTheme="majorBidi" w:cstheme="majorBidi"/>
        </w:rPr>
        <w:t xml:space="preserve"> numuru iekļaušanu </w:t>
      </w:r>
      <w:r w:rsidR="00AB0A2E" w:rsidRPr="004F7133">
        <w:rPr>
          <w:rFonts w:asciiTheme="majorBidi" w:hAnsiTheme="majorBidi" w:cstheme="majorBidi"/>
        </w:rPr>
        <w:t>reģistrācijai pieejamo numuru kopumā</w:t>
      </w:r>
      <w:r w:rsidRPr="004F7133">
        <w:rPr>
          <w:rFonts w:asciiTheme="majorBidi" w:hAnsiTheme="majorBidi" w:cstheme="majorBidi"/>
        </w:rPr>
        <w:t xml:space="preserve">. Apgabaltiesa ir pareizi uzskaitījusi priekšnoteikumus, </w:t>
      </w:r>
      <w:r w:rsidR="006C7BA4" w:rsidRPr="004F7133">
        <w:rPr>
          <w:rFonts w:asciiTheme="majorBidi" w:hAnsiTheme="majorBidi" w:cstheme="majorBidi"/>
        </w:rPr>
        <w:t xml:space="preserve">kam jāiestājas, </w:t>
      </w:r>
      <w:r w:rsidRPr="004F7133">
        <w:rPr>
          <w:rFonts w:asciiTheme="majorBidi" w:hAnsiTheme="majorBidi" w:cstheme="majorBidi"/>
        </w:rPr>
        <w:t>lai varētu atzīt, ka tiesību norma personai piešķir subjektīvās publiskās tiesības (</w:t>
      </w:r>
      <w:r w:rsidRPr="004F7133">
        <w:rPr>
          <w:rFonts w:asciiTheme="majorBidi" w:hAnsiTheme="majorBidi" w:cstheme="majorBidi"/>
          <w:i/>
          <w:iCs/>
        </w:rPr>
        <w:t>pārsūdzētā sprieduma 9.punkts</w:t>
      </w:r>
      <w:r w:rsidRPr="004F7133">
        <w:rPr>
          <w:rFonts w:asciiTheme="majorBidi" w:hAnsiTheme="majorBidi" w:cstheme="majorBidi"/>
        </w:rPr>
        <w:t>). Lai gan Reģistrācijas noteikumu 10.</w:t>
      </w:r>
      <w:r w:rsidRPr="004F7133">
        <w:rPr>
          <w:rFonts w:asciiTheme="majorBidi" w:hAnsiTheme="majorBidi" w:cstheme="majorBidi"/>
          <w:vertAlign w:val="superscript"/>
        </w:rPr>
        <w:t>2</w:t>
      </w:r>
      <w:r w:rsidRPr="004F7133">
        <w:rPr>
          <w:rFonts w:asciiTheme="majorBidi" w:hAnsiTheme="majorBidi" w:cstheme="majorBidi"/>
        </w:rPr>
        <w:t xml:space="preserve">punkts </w:t>
      </w:r>
      <w:r w:rsidR="005A1BED" w:rsidRPr="004F7133">
        <w:rPr>
          <w:rFonts w:asciiTheme="majorBidi" w:hAnsiTheme="majorBidi" w:cstheme="majorBidi"/>
        </w:rPr>
        <w:t xml:space="preserve">uzliek direkcijai pienākumu attiecībā uz </w:t>
      </w:r>
      <w:r w:rsidR="00A3237C" w:rsidRPr="004F7133">
        <w:rPr>
          <w:rFonts w:asciiTheme="majorBidi" w:hAnsiTheme="majorBidi" w:cstheme="majorBidi"/>
        </w:rPr>
        <w:t xml:space="preserve">reģistrācijai </w:t>
      </w:r>
      <w:r w:rsidR="005A1BED" w:rsidRPr="004F7133">
        <w:rPr>
          <w:rFonts w:asciiTheme="majorBidi" w:hAnsiTheme="majorBidi" w:cstheme="majorBidi"/>
        </w:rPr>
        <w:t xml:space="preserve">pieejamo numuru kopuma noteikšanu, šī </w:t>
      </w:r>
      <w:r w:rsidR="00435C4A" w:rsidRPr="004F7133">
        <w:rPr>
          <w:rFonts w:asciiTheme="majorBidi" w:hAnsiTheme="majorBidi" w:cstheme="majorBidi"/>
        </w:rPr>
        <w:t xml:space="preserve">tiesību </w:t>
      </w:r>
      <w:r w:rsidR="005A1BED" w:rsidRPr="004F7133">
        <w:rPr>
          <w:rFonts w:asciiTheme="majorBidi" w:hAnsiTheme="majorBidi" w:cstheme="majorBidi"/>
        </w:rPr>
        <w:t xml:space="preserve">norma nekalpo personas individuālai tiesību aizsardzībai. Turklāt fakts, ka tiesību norma ir imperatīva, </w:t>
      </w:r>
      <w:r w:rsidR="007476DD" w:rsidRPr="004F7133">
        <w:rPr>
          <w:rFonts w:asciiTheme="majorBidi" w:hAnsiTheme="majorBidi" w:cstheme="majorBidi"/>
        </w:rPr>
        <w:t xml:space="preserve">pats par sevi </w:t>
      </w:r>
      <w:r w:rsidR="005A1BED" w:rsidRPr="004F7133">
        <w:rPr>
          <w:rFonts w:asciiTheme="majorBidi" w:hAnsiTheme="majorBidi" w:cstheme="majorBidi"/>
        </w:rPr>
        <w:t xml:space="preserve">nenozīmē, ka tā piešķir </w:t>
      </w:r>
      <w:r w:rsidR="007476DD" w:rsidRPr="004F7133">
        <w:rPr>
          <w:rFonts w:asciiTheme="majorBidi" w:hAnsiTheme="majorBidi" w:cstheme="majorBidi"/>
        </w:rPr>
        <w:t>personai</w:t>
      </w:r>
      <w:r w:rsidR="005A1BED" w:rsidRPr="004F7133">
        <w:rPr>
          <w:rFonts w:asciiTheme="majorBidi" w:hAnsiTheme="majorBidi" w:cstheme="majorBidi"/>
        </w:rPr>
        <w:t xml:space="preserve"> subjektīvās</w:t>
      </w:r>
      <w:r w:rsidR="007476DD" w:rsidRPr="004F7133">
        <w:rPr>
          <w:rFonts w:asciiTheme="majorBidi" w:hAnsiTheme="majorBidi" w:cstheme="majorBidi"/>
        </w:rPr>
        <w:t xml:space="preserve"> publiskās</w:t>
      </w:r>
      <w:r w:rsidR="005A1BED" w:rsidRPr="004F7133">
        <w:rPr>
          <w:rFonts w:asciiTheme="majorBidi" w:hAnsiTheme="majorBidi" w:cstheme="majorBidi"/>
        </w:rPr>
        <w:t xml:space="preserve"> tiesības.</w:t>
      </w:r>
    </w:p>
    <w:p w14:paraId="17456CFF" w14:textId="1A9BBC26" w:rsidR="000C5AA7" w:rsidRPr="004F7133" w:rsidRDefault="00314593"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norāda, ka pieteicēja apgalvojums, ka no 2021.gada 1.februāra spēkā esošā valsts reģistrācijas numuru piešķiršanas kārtība attiecas tikai uz nākamajām, nevis kārtējām sērijām, ir pieteicēja subjektīvs viedoklis, kurš nav pamatots ar tiesību normām un neizriet no Reģistrācijas noteikumiem.</w:t>
      </w:r>
      <w:r w:rsidR="007536EE" w:rsidRPr="004F7133">
        <w:rPr>
          <w:rFonts w:asciiTheme="majorBidi" w:hAnsiTheme="majorBidi" w:cstheme="majorBidi"/>
        </w:rPr>
        <w:t xml:space="preserve"> Apgabaltiesa šo pieteicēja argumentu ir pārbaudījusi, un senatoru kolēģija nesaskata kļūdas tiesas vērtējumā (</w:t>
      </w:r>
      <w:r w:rsidR="007536EE" w:rsidRPr="004F7133">
        <w:rPr>
          <w:rFonts w:asciiTheme="majorBidi" w:hAnsiTheme="majorBidi" w:cstheme="majorBidi"/>
          <w:i/>
          <w:iCs/>
        </w:rPr>
        <w:t>pārsūdzētā sprieduma 4.4. un 10.punkts</w:t>
      </w:r>
      <w:r w:rsidR="007536EE" w:rsidRPr="004F7133">
        <w:rPr>
          <w:rFonts w:asciiTheme="majorBidi" w:hAnsiTheme="majorBidi" w:cstheme="majorBidi"/>
        </w:rPr>
        <w:t>).</w:t>
      </w:r>
    </w:p>
    <w:p w14:paraId="6E6BE194" w14:textId="2DEE34C1" w:rsidR="00314593" w:rsidRPr="004F7133" w:rsidRDefault="00914573" w:rsidP="004F7133">
      <w:pPr>
        <w:spacing w:line="276" w:lineRule="auto"/>
        <w:ind w:firstLine="720"/>
        <w:jc w:val="both"/>
        <w:rPr>
          <w:rFonts w:asciiTheme="majorBidi" w:hAnsiTheme="majorBidi" w:cstheme="majorBidi"/>
        </w:rPr>
      </w:pPr>
      <w:r w:rsidRPr="004F7133">
        <w:rPr>
          <w:rFonts w:asciiTheme="majorBidi" w:hAnsiTheme="majorBidi" w:cstheme="majorBidi"/>
        </w:rPr>
        <w:t xml:space="preserve">Pieteicēja subjektīva nepiekrišana tiesas </w:t>
      </w:r>
      <w:r w:rsidR="006D06E7" w:rsidRPr="004F7133">
        <w:rPr>
          <w:rFonts w:asciiTheme="majorBidi" w:hAnsiTheme="majorBidi" w:cstheme="majorBidi"/>
        </w:rPr>
        <w:t>secinājumiem</w:t>
      </w:r>
      <w:r w:rsidRPr="004F7133">
        <w:rPr>
          <w:rFonts w:asciiTheme="majorBidi" w:hAnsiTheme="majorBidi" w:cstheme="majorBidi"/>
        </w:rPr>
        <w:t xml:space="preserve"> nav </w:t>
      </w:r>
      <w:r w:rsidR="003639FA" w:rsidRPr="004F7133">
        <w:rPr>
          <w:rFonts w:asciiTheme="majorBidi" w:hAnsiTheme="majorBidi" w:cstheme="majorBidi"/>
        </w:rPr>
        <w:t>piet</w:t>
      </w:r>
      <w:r w:rsidR="00B86197" w:rsidRPr="004F7133">
        <w:rPr>
          <w:rFonts w:asciiTheme="majorBidi" w:hAnsiTheme="majorBidi" w:cstheme="majorBidi"/>
        </w:rPr>
        <w:t xml:space="preserve">iekams </w:t>
      </w:r>
      <w:r w:rsidRPr="004F7133">
        <w:rPr>
          <w:rFonts w:asciiTheme="majorBidi" w:hAnsiTheme="majorBidi" w:cstheme="majorBidi"/>
        </w:rPr>
        <w:t>pamats kasācijas tiesvedības ierosināšanai</w:t>
      </w:r>
      <w:r w:rsidR="00314593" w:rsidRPr="004F7133">
        <w:rPr>
          <w:rFonts w:asciiTheme="majorBidi" w:hAnsiTheme="majorBidi" w:cstheme="majorBidi"/>
        </w:rPr>
        <w:t>.</w:t>
      </w:r>
    </w:p>
    <w:p w14:paraId="51860EBA" w14:textId="77777777" w:rsidR="002B1064" w:rsidRPr="004F7133" w:rsidRDefault="002B1064" w:rsidP="004F7133">
      <w:pPr>
        <w:spacing w:line="276" w:lineRule="auto"/>
        <w:ind w:firstLine="720"/>
        <w:jc w:val="both"/>
        <w:rPr>
          <w:rFonts w:asciiTheme="majorBidi" w:hAnsiTheme="majorBidi" w:cstheme="majorBidi"/>
        </w:rPr>
      </w:pPr>
    </w:p>
    <w:p w14:paraId="0B989750" w14:textId="0895797D" w:rsidR="00595BD3" w:rsidRPr="004F7133" w:rsidRDefault="002B1064" w:rsidP="004F7133">
      <w:pPr>
        <w:spacing w:line="276" w:lineRule="auto"/>
        <w:ind w:firstLine="720"/>
        <w:jc w:val="both"/>
        <w:rPr>
          <w:rFonts w:asciiTheme="majorBidi" w:hAnsiTheme="majorBidi" w:cstheme="majorBidi"/>
        </w:rPr>
      </w:pPr>
      <w:r w:rsidRPr="004F7133">
        <w:rPr>
          <w:rFonts w:asciiTheme="majorBidi" w:hAnsiTheme="majorBidi" w:cstheme="majorBidi"/>
        </w:rPr>
        <w:t>[3] </w:t>
      </w:r>
      <w:r w:rsidR="00A269AC" w:rsidRPr="004F7133">
        <w:rPr>
          <w:rFonts w:asciiTheme="majorBidi" w:hAnsiTheme="majorBidi" w:cstheme="majorBidi"/>
        </w:rPr>
        <w:t>Tā kā apgabaltiesa</w:t>
      </w:r>
      <w:r w:rsidR="005D1BC6" w:rsidRPr="004F7133">
        <w:rPr>
          <w:rFonts w:asciiTheme="majorBidi" w:hAnsiTheme="majorBidi" w:cstheme="majorBidi"/>
        </w:rPr>
        <w:t xml:space="preserve"> pārsūdzēt</w:t>
      </w:r>
      <w:r w:rsidR="006C7BA4" w:rsidRPr="004F7133">
        <w:rPr>
          <w:rFonts w:asciiTheme="majorBidi" w:hAnsiTheme="majorBidi" w:cstheme="majorBidi"/>
        </w:rPr>
        <w:t>ajā</w:t>
      </w:r>
      <w:r w:rsidR="005D1BC6" w:rsidRPr="004F7133">
        <w:rPr>
          <w:rFonts w:asciiTheme="majorBidi" w:hAnsiTheme="majorBidi" w:cstheme="majorBidi"/>
        </w:rPr>
        <w:t xml:space="preserve"> spriedumā </w:t>
      </w:r>
      <w:r w:rsidR="00A269AC" w:rsidRPr="004F7133">
        <w:rPr>
          <w:rFonts w:asciiTheme="majorBidi" w:hAnsiTheme="majorBidi" w:cstheme="majorBidi"/>
        </w:rPr>
        <w:t>pamatoti</w:t>
      </w:r>
      <w:r w:rsidR="009809C0" w:rsidRPr="004F7133">
        <w:rPr>
          <w:rFonts w:asciiTheme="majorBidi" w:hAnsiTheme="majorBidi" w:cstheme="majorBidi"/>
        </w:rPr>
        <w:t xml:space="preserve"> </w:t>
      </w:r>
      <w:r w:rsidR="005D1BC6" w:rsidRPr="004F7133">
        <w:rPr>
          <w:rFonts w:asciiTheme="majorBidi" w:hAnsiTheme="majorBidi" w:cstheme="majorBidi"/>
        </w:rPr>
        <w:t>konstatējusi pieteicēja subjektīvo tiesību neesību</w:t>
      </w:r>
      <w:r w:rsidR="001E7251" w:rsidRPr="004F7133">
        <w:t xml:space="preserve"> prasīt direkcijai iekļaut numurus</w:t>
      </w:r>
      <w:r w:rsidR="007B7AED" w:rsidRPr="004F7133">
        <w:t xml:space="preserve"> </w:t>
      </w:r>
      <w:r w:rsidR="007B7AED" w:rsidRPr="004F7133">
        <w:rPr>
          <w:rFonts w:asciiTheme="majorBidi" w:hAnsiTheme="majorBidi" w:cstheme="majorBidi"/>
        </w:rPr>
        <w:t>[numurs A]</w:t>
      </w:r>
      <w:r w:rsidR="001E7251" w:rsidRPr="004F7133">
        <w:t xml:space="preserve">, IO1 un RD1 </w:t>
      </w:r>
      <w:r w:rsidR="001E7251" w:rsidRPr="004F7133">
        <w:rPr>
          <w:rFonts w:asciiTheme="majorBidi" w:hAnsiTheme="majorBidi" w:cstheme="majorBidi"/>
        </w:rPr>
        <w:t>transportlīdzekļu reģistrācijai pieejamo numuru kopumā</w:t>
      </w:r>
      <w:r w:rsidR="001E7251" w:rsidRPr="004F7133">
        <w:t xml:space="preserve">, </w:t>
      </w:r>
      <w:r w:rsidR="00A269AC" w:rsidRPr="004F7133">
        <w:rPr>
          <w:rFonts w:asciiTheme="majorBidi" w:hAnsiTheme="majorBidi" w:cstheme="majorBidi"/>
        </w:rPr>
        <w:t>a</w:t>
      </w:r>
      <w:r w:rsidR="005D1BC6" w:rsidRPr="004F7133">
        <w:rPr>
          <w:rFonts w:asciiTheme="majorBidi" w:hAnsiTheme="majorBidi" w:cstheme="majorBidi"/>
        </w:rPr>
        <w:t xml:space="preserve">tbilstoši Administratīvā procesa likuma </w:t>
      </w:r>
      <w:r w:rsidR="006620CF" w:rsidRPr="004F7133">
        <w:rPr>
          <w:rFonts w:asciiTheme="majorBidi" w:hAnsiTheme="majorBidi" w:cstheme="majorBidi"/>
        </w:rPr>
        <w:t xml:space="preserve">282.panta 2.punktam tiesai </w:t>
      </w:r>
      <w:r w:rsidR="004E7D53" w:rsidRPr="004F7133">
        <w:rPr>
          <w:rFonts w:asciiTheme="majorBidi" w:hAnsiTheme="majorBidi" w:cstheme="majorBidi"/>
        </w:rPr>
        <w:t xml:space="preserve">tiesvedība </w:t>
      </w:r>
      <w:r w:rsidR="005F60C0" w:rsidRPr="004F7133">
        <w:rPr>
          <w:rFonts w:asciiTheme="majorBidi" w:hAnsiTheme="majorBidi" w:cstheme="majorBidi"/>
        </w:rPr>
        <w:t xml:space="preserve">šajā daļā </w:t>
      </w:r>
      <w:r w:rsidR="004E7D53" w:rsidRPr="004F7133">
        <w:rPr>
          <w:rFonts w:asciiTheme="majorBidi" w:hAnsiTheme="majorBidi" w:cstheme="majorBidi"/>
        </w:rPr>
        <w:t>lietā</w:t>
      </w:r>
      <w:r w:rsidR="00A269AC" w:rsidRPr="004F7133">
        <w:rPr>
          <w:rFonts w:asciiTheme="majorBidi" w:hAnsiTheme="majorBidi" w:cstheme="majorBidi"/>
        </w:rPr>
        <w:t xml:space="preserve"> bija</w:t>
      </w:r>
      <w:r w:rsidR="004E7D53" w:rsidRPr="004F7133">
        <w:rPr>
          <w:rFonts w:asciiTheme="majorBidi" w:hAnsiTheme="majorBidi" w:cstheme="majorBidi"/>
        </w:rPr>
        <w:t xml:space="preserve"> jāizbeidz, nevis </w:t>
      </w:r>
      <w:r w:rsidR="00604EC6" w:rsidRPr="004F7133">
        <w:rPr>
          <w:rFonts w:asciiTheme="majorBidi" w:hAnsiTheme="majorBidi" w:cstheme="majorBidi"/>
        </w:rPr>
        <w:t xml:space="preserve">lieta </w:t>
      </w:r>
      <w:r w:rsidR="004E7D53" w:rsidRPr="004F7133">
        <w:rPr>
          <w:rFonts w:asciiTheme="majorBidi" w:hAnsiTheme="majorBidi" w:cstheme="majorBidi"/>
        </w:rPr>
        <w:t>jāizspriež ar spriedumu, noraidot pieteicēja pieteikum</w:t>
      </w:r>
      <w:r w:rsidR="007B7EF9" w:rsidRPr="004F7133">
        <w:rPr>
          <w:rFonts w:asciiTheme="majorBidi" w:hAnsiTheme="majorBidi" w:cstheme="majorBidi"/>
        </w:rPr>
        <w:t>u.</w:t>
      </w:r>
    </w:p>
    <w:p w14:paraId="32C10AD9" w14:textId="7BD037B9" w:rsidR="004E7D53" w:rsidRPr="004F7133" w:rsidRDefault="001E7251" w:rsidP="004F7133">
      <w:pPr>
        <w:spacing w:line="276" w:lineRule="auto"/>
        <w:ind w:firstLine="720"/>
        <w:jc w:val="both"/>
        <w:rPr>
          <w:rFonts w:asciiTheme="majorBidi" w:hAnsiTheme="majorBidi" w:cstheme="majorBidi"/>
        </w:rPr>
      </w:pPr>
      <w:r w:rsidRPr="004F7133">
        <w:t>Vienlaikus senatoru kolēģijai nerodas šaubas par to, ka minētā tiesas pieļautā procesuālā kļūda nav novedusi pie tā, ka pieteicējam tiktu liegtas tiesības, kas viņam pienākas. Lietas iznākums, proti, tiesas atzītais, ka pieteicējam nav tiesību prasīt uzdot direkcijai iekļaut numurus</w:t>
      </w:r>
      <w:r w:rsidR="007B7AED" w:rsidRPr="004F7133">
        <w:t xml:space="preserve"> </w:t>
      </w:r>
      <w:r w:rsidR="007B7AED" w:rsidRPr="004F7133">
        <w:rPr>
          <w:rFonts w:asciiTheme="majorBidi" w:hAnsiTheme="majorBidi" w:cstheme="majorBidi"/>
        </w:rPr>
        <w:t>[numurs A]</w:t>
      </w:r>
      <w:r w:rsidRPr="004F7133">
        <w:t xml:space="preserve">, IO1 un RD1 </w:t>
      </w:r>
      <w:r w:rsidRPr="004F7133">
        <w:rPr>
          <w:rFonts w:asciiTheme="majorBidi" w:hAnsiTheme="majorBidi" w:cstheme="majorBidi"/>
        </w:rPr>
        <w:t>transportlīdzekļu reģistrācijai pieejamo numuru kopumā</w:t>
      </w:r>
      <w:r w:rsidRPr="004F7133">
        <w:t>, pēc būtības ir pareizs. Līdz ar to tas pats par sevi nav pamats kasācijas tiesvedības ierosināšanai</w:t>
      </w:r>
      <w:r w:rsidR="00A269AC" w:rsidRPr="004F7133">
        <w:rPr>
          <w:rFonts w:asciiTheme="majorBidi" w:hAnsiTheme="majorBidi" w:cstheme="majorBidi"/>
        </w:rPr>
        <w:t>.</w:t>
      </w:r>
    </w:p>
    <w:p w14:paraId="3A63D6E2" w14:textId="77777777" w:rsidR="00314593" w:rsidRPr="004F7133" w:rsidRDefault="00314593" w:rsidP="004F7133">
      <w:pPr>
        <w:spacing w:line="276" w:lineRule="auto"/>
        <w:ind w:firstLine="720"/>
        <w:jc w:val="both"/>
        <w:rPr>
          <w:rFonts w:asciiTheme="majorBidi" w:hAnsiTheme="majorBidi" w:cstheme="majorBidi"/>
        </w:rPr>
      </w:pPr>
    </w:p>
    <w:p w14:paraId="5E8CF0BF" w14:textId="4375D251" w:rsidR="00314593" w:rsidRPr="004F7133" w:rsidRDefault="00314593"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114DD" w:rsidRPr="004F7133">
        <w:rPr>
          <w:rFonts w:asciiTheme="majorBidi" w:hAnsiTheme="majorBidi" w:cstheme="majorBidi"/>
        </w:rPr>
        <w:t>4</w:t>
      </w:r>
      <w:r w:rsidRPr="004F7133">
        <w:rPr>
          <w:rFonts w:asciiTheme="majorBidi" w:hAnsiTheme="majorBidi" w:cstheme="majorBidi"/>
        </w:rPr>
        <w:t>] </w:t>
      </w:r>
      <w:r w:rsidR="00CB66A7" w:rsidRPr="004F7133">
        <w:rPr>
          <w:rFonts w:asciiTheme="majorBidi" w:hAnsiTheme="majorBidi" w:cstheme="majorBidi"/>
        </w:rPr>
        <w:t xml:space="preserve">Kasācijas sūdzībā ir norādīts, ka apgabaltiesa nav ievērojusi objektīvās izmeklēšanas principu un </w:t>
      </w:r>
      <w:r w:rsidR="00C4158E" w:rsidRPr="004F7133">
        <w:rPr>
          <w:rFonts w:asciiTheme="majorBidi" w:hAnsiTheme="majorBidi" w:cstheme="majorBidi"/>
        </w:rPr>
        <w:t xml:space="preserve">nav </w:t>
      </w:r>
      <w:r w:rsidR="00CB66A7" w:rsidRPr="004F7133">
        <w:rPr>
          <w:rFonts w:asciiTheme="majorBidi" w:hAnsiTheme="majorBidi" w:cstheme="majorBidi"/>
        </w:rPr>
        <w:t xml:space="preserve">devusi pieteicējam iespēju iesniegt papildu pierādījumus. </w:t>
      </w:r>
      <w:r w:rsidR="000D1747" w:rsidRPr="004F7133">
        <w:rPr>
          <w:rFonts w:asciiTheme="majorBidi" w:hAnsiTheme="majorBidi" w:cstheme="majorBidi"/>
        </w:rPr>
        <w:t>Turklāt</w:t>
      </w:r>
      <w:r w:rsidR="00CB66A7" w:rsidRPr="004F7133">
        <w:rPr>
          <w:rFonts w:asciiTheme="majorBidi" w:hAnsiTheme="majorBidi" w:cstheme="majorBidi"/>
        </w:rPr>
        <w:t xml:space="preserve"> pieteicēja ieskatā ir pārkāpts patvaļas aizlieguma princips, jo lēmumā ir </w:t>
      </w:r>
      <w:r w:rsidR="000D1747" w:rsidRPr="004F7133">
        <w:rPr>
          <w:rFonts w:asciiTheme="majorBidi" w:hAnsiTheme="majorBidi" w:cstheme="majorBidi"/>
        </w:rPr>
        <w:t xml:space="preserve">ietverts </w:t>
      </w:r>
      <w:r w:rsidR="00CB66A7" w:rsidRPr="004F7133">
        <w:rPr>
          <w:rFonts w:asciiTheme="majorBidi" w:hAnsiTheme="majorBidi" w:cstheme="majorBidi"/>
        </w:rPr>
        <w:t>faktiskajiem apstākļiem pilnībā neatbilstošs pamatojums.</w:t>
      </w:r>
    </w:p>
    <w:p w14:paraId="7B7C550C" w14:textId="7F95A35B" w:rsidR="000D1747" w:rsidRPr="004F7133" w:rsidRDefault="00267AE7" w:rsidP="004F7133">
      <w:pPr>
        <w:spacing w:line="276" w:lineRule="auto"/>
        <w:ind w:firstLine="720"/>
        <w:jc w:val="both"/>
        <w:rPr>
          <w:rFonts w:asciiTheme="majorBidi" w:hAnsiTheme="majorBidi" w:cstheme="majorBidi"/>
        </w:rPr>
      </w:pPr>
      <w:r w:rsidRPr="004F7133">
        <w:rPr>
          <w:rFonts w:asciiTheme="majorBidi" w:hAnsiTheme="majorBidi" w:cstheme="majorBidi"/>
        </w:rPr>
        <w:t>Lai gan senatoru kolēģija vispārīgi piekrīt, ka tiesai, izskatot lietu pēc būtības, ir jāievēro objektīvās izmeklēšanas princips, konkrētajā gadījumā nav pieļauts minētā principa pārkāpums. Tiesa ir pārbaudījusi gan pieteicēja, gan direkcijas pausto argumentu pamatotību (</w:t>
      </w:r>
      <w:r w:rsidRPr="004F7133">
        <w:rPr>
          <w:rFonts w:asciiTheme="majorBidi" w:hAnsiTheme="majorBidi" w:cstheme="majorBidi"/>
          <w:i/>
          <w:iCs/>
        </w:rPr>
        <w:t>pārsūdzētā sprieduma 4.2.–4.7., 8. un 10.punkts</w:t>
      </w:r>
      <w:r w:rsidRPr="004F7133">
        <w:rPr>
          <w:rFonts w:asciiTheme="majorBidi" w:hAnsiTheme="majorBidi" w:cstheme="majorBidi"/>
        </w:rPr>
        <w:t xml:space="preserve">), un </w:t>
      </w:r>
      <w:r w:rsidR="000D1747" w:rsidRPr="004F7133">
        <w:rPr>
          <w:rFonts w:asciiTheme="majorBidi" w:hAnsiTheme="majorBidi" w:cstheme="majorBidi"/>
        </w:rPr>
        <w:t>senatoru kolēģija nekonstatē</w:t>
      </w:r>
      <w:r w:rsidRPr="004F7133">
        <w:rPr>
          <w:rFonts w:asciiTheme="majorBidi" w:hAnsiTheme="majorBidi" w:cstheme="majorBidi"/>
        </w:rPr>
        <w:t xml:space="preserve"> acīmredzamas kļūdas</w:t>
      </w:r>
      <w:r w:rsidR="00D8168B" w:rsidRPr="004F7133">
        <w:rPr>
          <w:rFonts w:asciiTheme="majorBidi" w:hAnsiTheme="majorBidi" w:cstheme="majorBidi"/>
        </w:rPr>
        <w:t xml:space="preserve"> tiesas veiktajā</w:t>
      </w:r>
      <w:r w:rsidRPr="004F7133">
        <w:rPr>
          <w:rFonts w:asciiTheme="majorBidi" w:hAnsiTheme="majorBidi" w:cstheme="majorBidi"/>
        </w:rPr>
        <w:t xml:space="preserve"> lietas faktisko apstākļu novērtējumā.</w:t>
      </w:r>
    </w:p>
    <w:p w14:paraId="3F0481DB" w14:textId="772A2D73" w:rsidR="00CB66A7" w:rsidRPr="004F7133" w:rsidRDefault="00267AE7" w:rsidP="004F7133">
      <w:pPr>
        <w:spacing w:line="276" w:lineRule="auto"/>
        <w:ind w:firstLine="720"/>
        <w:jc w:val="both"/>
        <w:rPr>
          <w:rFonts w:asciiTheme="majorBidi" w:hAnsiTheme="majorBidi" w:cstheme="majorBidi"/>
        </w:rPr>
      </w:pPr>
      <w:r w:rsidRPr="004F7133">
        <w:rPr>
          <w:rFonts w:asciiTheme="majorBidi" w:hAnsiTheme="majorBidi" w:cstheme="majorBidi"/>
        </w:rPr>
        <w:lastRenderedPageBreak/>
        <w:t xml:space="preserve">Objektīvās izmeklēšanas princips neparedz tiesas pienākumu vākt pierādījumus tikai pieteicēja interesēs, lai </w:t>
      </w:r>
      <w:r w:rsidR="000D1747" w:rsidRPr="004F7133">
        <w:rPr>
          <w:rFonts w:asciiTheme="majorBidi" w:hAnsiTheme="majorBidi" w:cstheme="majorBidi"/>
        </w:rPr>
        <w:t xml:space="preserve">vienmēr </w:t>
      </w:r>
      <w:r w:rsidRPr="004F7133">
        <w:rPr>
          <w:rFonts w:asciiTheme="majorBidi" w:hAnsiTheme="majorBidi" w:cstheme="majorBidi"/>
        </w:rPr>
        <w:t>sasniegtu pieteicējam vēlamu lietas iznākumu.</w:t>
      </w:r>
      <w:r w:rsidR="000D1747" w:rsidRPr="004F7133">
        <w:rPr>
          <w:rFonts w:asciiTheme="majorBidi" w:hAnsiTheme="majorBidi" w:cstheme="majorBidi"/>
        </w:rPr>
        <w:t xml:space="preserve"> </w:t>
      </w:r>
      <w:r w:rsidRPr="004F7133">
        <w:rPr>
          <w:rFonts w:asciiTheme="majorBidi" w:hAnsiTheme="majorBidi" w:cstheme="majorBidi"/>
        </w:rPr>
        <w:t xml:space="preserve">Turklāt, lai gan </w:t>
      </w:r>
      <w:r w:rsidR="000D1747" w:rsidRPr="004F7133">
        <w:rPr>
          <w:rFonts w:asciiTheme="majorBidi" w:hAnsiTheme="majorBidi" w:cstheme="majorBidi"/>
        </w:rPr>
        <w:t xml:space="preserve">tiesa tās ieskatā bija ieguvusi pietiekamu pierādījumu kopumu, lai pareizi un taisnīgi atrisinātu strīdu, senatoru kolēģija nekonstatē, ka pieteicējam bija objektīvi šķēršļi iesniegt papildu pierādījumus, ja tādi </w:t>
      </w:r>
      <w:r w:rsidR="00D8168B" w:rsidRPr="004F7133">
        <w:rPr>
          <w:rFonts w:asciiTheme="majorBidi" w:hAnsiTheme="majorBidi" w:cstheme="majorBidi"/>
        </w:rPr>
        <w:t>bija</w:t>
      </w:r>
      <w:r w:rsidR="000D1747" w:rsidRPr="004F7133">
        <w:rPr>
          <w:rFonts w:asciiTheme="majorBidi" w:hAnsiTheme="majorBidi" w:cstheme="majorBidi"/>
        </w:rPr>
        <w:t xml:space="preserve"> viņa rīcībā. Pieteicējs nav arī norādījis, kā papildu pierādījumu izprasīšana varēja ietekmēt lietas rezultātu.</w:t>
      </w:r>
    </w:p>
    <w:p w14:paraId="25696C55" w14:textId="3F033313" w:rsidR="00CB66A7" w:rsidRPr="004F7133" w:rsidRDefault="0074485A" w:rsidP="004F7133">
      <w:pPr>
        <w:spacing w:line="276" w:lineRule="auto"/>
        <w:ind w:firstLine="720"/>
        <w:jc w:val="both"/>
        <w:rPr>
          <w:rFonts w:asciiTheme="majorBidi" w:hAnsiTheme="majorBidi" w:cstheme="majorBidi"/>
        </w:rPr>
      </w:pPr>
      <w:r w:rsidRPr="004F7133">
        <w:rPr>
          <w:rFonts w:asciiTheme="majorBidi" w:hAnsiTheme="majorBidi" w:cstheme="majorBidi"/>
        </w:rPr>
        <w:t xml:space="preserve">Senatoru kolēģija konstatē, ka pieteicējs </w:t>
      </w:r>
      <w:r w:rsidR="000A17BC" w:rsidRPr="004F7133">
        <w:rPr>
          <w:rFonts w:asciiTheme="majorBidi" w:hAnsiTheme="majorBidi" w:cstheme="majorBidi"/>
        </w:rPr>
        <w:t xml:space="preserve">ir </w:t>
      </w:r>
      <w:r w:rsidRPr="004F7133">
        <w:rPr>
          <w:rFonts w:asciiTheme="majorBidi" w:hAnsiTheme="majorBidi" w:cstheme="majorBidi"/>
        </w:rPr>
        <w:t xml:space="preserve">vispārīgi norādījis </w:t>
      </w:r>
      <w:r w:rsidR="000A17BC" w:rsidRPr="004F7133">
        <w:rPr>
          <w:rFonts w:asciiTheme="majorBidi" w:hAnsiTheme="majorBidi" w:cstheme="majorBidi"/>
        </w:rPr>
        <w:t xml:space="preserve">uz </w:t>
      </w:r>
      <w:r w:rsidRPr="004F7133">
        <w:rPr>
          <w:rFonts w:asciiTheme="majorBidi" w:hAnsiTheme="majorBidi" w:cstheme="majorBidi"/>
        </w:rPr>
        <w:t>patvaļas aizlieguma princip</w:t>
      </w:r>
      <w:r w:rsidR="000A17BC" w:rsidRPr="004F7133">
        <w:rPr>
          <w:rFonts w:asciiTheme="majorBidi" w:hAnsiTheme="majorBidi" w:cstheme="majorBidi"/>
        </w:rPr>
        <w:t>a pārkāpumu</w:t>
      </w:r>
      <w:r w:rsidRPr="004F7133">
        <w:rPr>
          <w:rFonts w:asciiTheme="majorBidi" w:hAnsiTheme="majorBidi" w:cstheme="majorBidi"/>
        </w:rPr>
        <w:t>, taču nav paskaidrojis, kā izpaudusies lēmumā ietvertā pamatojuma neatbilstība lietas apstākļiem</w:t>
      </w:r>
      <w:r w:rsidR="00B56C0B" w:rsidRPr="004F7133">
        <w:rPr>
          <w:rFonts w:asciiTheme="majorBidi" w:hAnsiTheme="majorBidi" w:cstheme="majorBidi"/>
        </w:rPr>
        <w:t xml:space="preserve">. </w:t>
      </w:r>
      <w:r w:rsidR="00FE60E7" w:rsidRPr="004F7133">
        <w:rPr>
          <w:rFonts w:asciiTheme="majorBidi" w:hAnsiTheme="majorBidi" w:cstheme="majorBidi"/>
        </w:rPr>
        <w:t xml:space="preserve">Tāpat no pieteicēja kasācijas sūdzības nevar </w:t>
      </w:r>
      <w:r w:rsidR="00D15AF2" w:rsidRPr="004F7133">
        <w:rPr>
          <w:rFonts w:asciiTheme="majorBidi" w:hAnsiTheme="majorBidi" w:cstheme="majorBidi"/>
        </w:rPr>
        <w:t xml:space="preserve">nepārprotami </w:t>
      </w:r>
      <w:r w:rsidR="00FE60E7" w:rsidRPr="004F7133">
        <w:rPr>
          <w:rFonts w:asciiTheme="majorBidi" w:hAnsiTheme="majorBidi" w:cstheme="majorBidi"/>
        </w:rPr>
        <w:t xml:space="preserve">konstatēt, vai ar lēmumu </w:t>
      </w:r>
      <w:r w:rsidR="00D15AF2" w:rsidRPr="004F7133">
        <w:rPr>
          <w:rFonts w:asciiTheme="majorBidi" w:hAnsiTheme="majorBidi" w:cstheme="majorBidi"/>
        </w:rPr>
        <w:t>šā argumenta</w:t>
      </w:r>
      <w:r w:rsidR="00FE60E7" w:rsidRPr="004F7133">
        <w:rPr>
          <w:rFonts w:asciiTheme="majorBidi" w:hAnsiTheme="majorBidi" w:cstheme="majorBidi"/>
        </w:rPr>
        <w:t xml:space="preserve"> kontekstā domāts pārsūdzētais spriedums vai direkcijas atteikums, par kuru pieteicējs vērsies tiesā</w:t>
      </w:r>
      <w:r w:rsidR="001874B2" w:rsidRPr="004F7133">
        <w:rPr>
          <w:rFonts w:asciiTheme="majorBidi" w:hAnsiTheme="majorBidi" w:cstheme="majorBidi"/>
        </w:rPr>
        <w:t xml:space="preserve"> (</w:t>
      </w:r>
      <w:r w:rsidR="001874B2" w:rsidRPr="004F7133">
        <w:rPr>
          <w:rFonts w:asciiTheme="majorBidi" w:hAnsiTheme="majorBidi" w:cstheme="majorBidi"/>
          <w:i/>
          <w:iCs/>
        </w:rPr>
        <w:t>lietas 227.l</w:t>
      </w:r>
      <w:r w:rsidR="00305232" w:rsidRPr="004F7133">
        <w:rPr>
          <w:rFonts w:asciiTheme="majorBidi" w:hAnsiTheme="majorBidi" w:cstheme="majorBidi"/>
          <w:i/>
          <w:iCs/>
        </w:rPr>
        <w:t>apa</w:t>
      </w:r>
      <w:r w:rsidR="001874B2" w:rsidRPr="004F7133">
        <w:rPr>
          <w:rFonts w:asciiTheme="majorBidi" w:hAnsiTheme="majorBidi" w:cstheme="majorBidi"/>
        </w:rPr>
        <w:t>)</w:t>
      </w:r>
      <w:r w:rsidR="00FE60E7" w:rsidRPr="004F7133">
        <w:rPr>
          <w:rFonts w:asciiTheme="majorBidi" w:hAnsiTheme="majorBidi" w:cstheme="majorBidi"/>
        </w:rPr>
        <w:t xml:space="preserve">. </w:t>
      </w:r>
      <w:r w:rsidR="00B56C0B" w:rsidRPr="004F7133">
        <w:rPr>
          <w:rFonts w:asciiTheme="majorBidi" w:hAnsiTheme="majorBidi" w:cstheme="majorBidi"/>
        </w:rPr>
        <w:t>T</w:t>
      </w:r>
      <w:r w:rsidRPr="004F7133">
        <w:rPr>
          <w:rFonts w:asciiTheme="majorBidi" w:hAnsiTheme="majorBidi" w:cstheme="majorBidi"/>
        </w:rPr>
        <w:t>āpēc šis kasācijas sūdzības a</w:t>
      </w:r>
      <w:r w:rsidR="00B56C0B" w:rsidRPr="004F7133">
        <w:rPr>
          <w:rFonts w:asciiTheme="majorBidi" w:hAnsiTheme="majorBidi" w:cstheme="majorBidi"/>
        </w:rPr>
        <w:t>rguments nav izvērtējams.</w:t>
      </w:r>
    </w:p>
    <w:p w14:paraId="73D44C70" w14:textId="3AB11EE5" w:rsidR="00A50150" w:rsidRPr="004F7133" w:rsidRDefault="007F49A6" w:rsidP="004F7133">
      <w:pPr>
        <w:spacing w:line="276" w:lineRule="auto"/>
        <w:ind w:firstLine="720"/>
        <w:jc w:val="both"/>
        <w:rPr>
          <w:rFonts w:asciiTheme="majorBidi" w:hAnsiTheme="majorBidi" w:cstheme="majorBidi"/>
        </w:rPr>
      </w:pPr>
      <w:r w:rsidRPr="004F7133">
        <w:rPr>
          <w:rFonts w:asciiTheme="majorBidi" w:hAnsiTheme="majorBidi" w:cstheme="majorBidi"/>
        </w:rPr>
        <w:t>Līdz ar to minētie pieteicēja argumenti nenorāda uz pārsūdzētā sprieduma nepareizību</w:t>
      </w:r>
      <w:r w:rsidR="00DD1B18" w:rsidRPr="004F7133">
        <w:rPr>
          <w:rFonts w:asciiTheme="majorBidi" w:hAnsiTheme="majorBidi" w:cstheme="majorBidi"/>
        </w:rPr>
        <w:t xml:space="preserve"> un nav pietiekams pamats kasācijas tiesvedības ierosināšanai</w:t>
      </w:r>
      <w:r w:rsidRPr="004F7133">
        <w:rPr>
          <w:rFonts w:asciiTheme="majorBidi" w:hAnsiTheme="majorBidi" w:cstheme="majorBidi"/>
        </w:rPr>
        <w:t>.</w:t>
      </w:r>
    </w:p>
    <w:p w14:paraId="3F304A46" w14:textId="77777777" w:rsidR="007F49A6" w:rsidRPr="004F7133" w:rsidRDefault="007F49A6" w:rsidP="004F7133">
      <w:pPr>
        <w:spacing w:line="276" w:lineRule="auto"/>
        <w:ind w:firstLine="720"/>
        <w:rPr>
          <w:rFonts w:asciiTheme="majorBidi" w:hAnsiTheme="majorBidi" w:cstheme="majorBidi"/>
        </w:rPr>
      </w:pPr>
    </w:p>
    <w:p w14:paraId="0A096FFD" w14:textId="12B3A352" w:rsidR="00175339" w:rsidRPr="004F7133" w:rsidRDefault="007F49A6"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2085A" w:rsidRPr="004F7133">
        <w:rPr>
          <w:rFonts w:asciiTheme="majorBidi" w:hAnsiTheme="majorBidi" w:cstheme="majorBidi"/>
        </w:rPr>
        <w:t>5</w:t>
      </w:r>
      <w:r w:rsidRPr="004F7133">
        <w:rPr>
          <w:rFonts w:asciiTheme="majorBidi" w:hAnsiTheme="majorBidi" w:cstheme="majorBidi"/>
        </w:rPr>
        <w:t>] </w:t>
      </w:r>
      <w:r w:rsidR="00175339" w:rsidRPr="004F7133">
        <w:rPr>
          <w:rFonts w:asciiTheme="majorBidi" w:hAnsiTheme="majorBidi" w:cstheme="majorBidi"/>
        </w:rPr>
        <w:t xml:space="preserve">Pieteicējs uzskata, ka tiesa ir pārkāpusi Administratīvā procesa likuma 246.panta trešo daļu, jo spriedumā ir lietojusi jēdzienu „augsta pieprasījuma numurs”, kurš </w:t>
      </w:r>
      <w:r w:rsidR="00DD5BE4" w:rsidRPr="004F7133">
        <w:rPr>
          <w:rFonts w:asciiTheme="majorBidi" w:hAnsiTheme="majorBidi" w:cstheme="majorBidi"/>
        </w:rPr>
        <w:t xml:space="preserve">neesot </w:t>
      </w:r>
      <w:r w:rsidR="001C4025" w:rsidRPr="004F7133">
        <w:rPr>
          <w:rFonts w:asciiTheme="majorBidi" w:hAnsiTheme="majorBidi" w:cstheme="majorBidi"/>
        </w:rPr>
        <w:t xml:space="preserve">ietverts </w:t>
      </w:r>
      <w:r w:rsidR="00175339" w:rsidRPr="004F7133">
        <w:rPr>
          <w:rFonts w:asciiTheme="majorBidi" w:hAnsiTheme="majorBidi" w:cstheme="majorBidi"/>
        </w:rPr>
        <w:t>tiesību aktos.</w:t>
      </w:r>
    </w:p>
    <w:p w14:paraId="6830861F" w14:textId="6FCFDF5F" w:rsidR="00175339" w:rsidRPr="004F7133" w:rsidRDefault="00175339"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nevar piekrist šim argumentam. Fakts, ka minētais jēdziens nav tieši ietverts Reģistrācijas noteikumu tekstā, nenozīmē, ka tā saturs ir neskaidrs vai</w:t>
      </w:r>
      <w:r w:rsidR="00647327" w:rsidRPr="004F7133">
        <w:rPr>
          <w:rFonts w:asciiTheme="majorBidi" w:hAnsiTheme="majorBidi" w:cstheme="majorBidi"/>
        </w:rPr>
        <w:t xml:space="preserve"> ka</w:t>
      </w:r>
      <w:r w:rsidRPr="004F7133">
        <w:rPr>
          <w:rFonts w:asciiTheme="majorBidi" w:hAnsiTheme="majorBidi" w:cstheme="majorBidi"/>
        </w:rPr>
        <w:t xml:space="preserve"> to nevar izmantot juridiskajā argumentācijā. </w:t>
      </w:r>
      <w:r w:rsidR="00647327" w:rsidRPr="004F7133">
        <w:rPr>
          <w:rFonts w:asciiTheme="majorBidi" w:hAnsiTheme="majorBidi" w:cstheme="majorBidi"/>
        </w:rPr>
        <w:t xml:space="preserve">Piemēram, transportlīdzekļa valsts reģistrācijas numura pieprasījuma jēdziens </w:t>
      </w:r>
      <w:r w:rsidR="007822E2" w:rsidRPr="004F7133">
        <w:rPr>
          <w:rFonts w:asciiTheme="majorBidi" w:hAnsiTheme="majorBidi" w:cstheme="majorBidi"/>
        </w:rPr>
        <w:t>ir</w:t>
      </w:r>
      <w:r w:rsidR="00647327" w:rsidRPr="004F7133">
        <w:rPr>
          <w:rFonts w:asciiTheme="majorBidi" w:hAnsiTheme="majorBidi" w:cstheme="majorBidi"/>
        </w:rPr>
        <w:t xml:space="preserve"> izmantots normatīvo aktu izstrādes materiālos, lai skaidrotu nepieciešamību ierobežot personu iespējas pasūtīt konkrētas numura zīmes (</w:t>
      </w:r>
      <w:r w:rsidR="00647327" w:rsidRPr="004F7133">
        <w:rPr>
          <w:rFonts w:asciiTheme="majorBidi" w:hAnsiTheme="majorBidi" w:cstheme="majorBidi"/>
          <w:i/>
          <w:iCs/>
        </w:rPr>
        <w:t xml:space="preserve">Ministru kabineta 2020.gada 20.oktobra noteikumu Nr. 637 „Grozījumi Ministru kabineta 2010.gada 30.novembra noteikumos Nr. 1080 „Transportlīdzekļu reģistrācijas noteikumi”” </w:t>
      </w:r>
      <w:hyperlink r:id="rId8" w:history="1">
        <w:r w:rsidR="00647327" w:rsidRPr="004F7133">
          <w:rPr>
            <w:rStyle w:val="Hyperlink"/>
            <w:rFonts w:asciiTheme="majorBidi" w:hAnsiTheme="majorBidi" w:cstheme="majorBidi"/>
            <w:i/>
            <w:iCs/>
          </w:rPr>
          <w:t>anotācijas</w:t>
        </w:r>
      </w:hyperlink>
      <w:r w:rsidR="00647327" w:rsidRPr="004F7133">
        <w:rPr>
          <w:rFonts w:asciiTheme="majorBidi" w:hAnsiTheme="majorBidi" w:cstheme="majorBidi"/>
          <w:i/>
          <w:iCs/>
        </w:rPr>
        <w:t xml:space="preserve"> 3.lpp.</w:t>
      </w:r>
      <w:r w:rsidR="00647327" w:rsidRPr="004F7133">
        <w:rPr>
          <w:rFonts w:asciiTheme="majorBidi" w:hAnsiTheme="majorBidi" w:cstheme="majorBidi"/>
        </w:rPr>
        <w:t>)</w:t>
      </w:r>
      <w:r w:rsidR="003E6085" w:rsidRPr="004F7133">
        <w:rPr>
          <w:rFonts w:asciiTheme="majorBidi" w:hAnsiTheme="majorBidi" w:cstheme="majorBidi"/>
        </w:rPr>
        <w:t>.</w:t>
      </w:r>
      <w:r w:rsidR="007822E2" w:rsidRPr="004F7133">
        <w:rPr>
          <w:rFonts w:asciiTheme="majorBidi" w:hAnsiTheme="majorBidi" w:cstheme="majorBidi"/>
        </w:rPr>
        <w:t xml:space="preserve"> Senatoru kolēģijas ieskatā minētā jēdziena saturs ir skaidrs</w:t>
      </w:r>
      <w:r w:rsidR="00294DC0" w:rsidRPr="004F7133">
        <w:rPr>
          <w:rFonts w:asciiTheme="majorBidi" w:hAnsiTheme="majorBidi" w:cstheme="majorBidi"/>
        </w:rPr>
        <w:t>,</w:t>
      </w:r>
      <w:r w:rsidR="007822E2" w:rsidRPr="004F7133">
        <w:rPr>
          <w:rFonts w:asciiTheme="majorBidi" w:hAnsiTheme="majorBidi" w:cstheme="majorBidi"/>
        </w:rPr>
        <w:t xml:space="preserve"> un šis jēdziens ir pareizi izmantots pārsūdzētā sprieduma kontekstā (</w:t>
      </w:r>
      <w:r w:rsidR="007822E2" w:rsidRPr="004F7133">
        <w:rPr>
          <w:rFonts w:asciiTheme="majorBidi" w:hAnsiTheme="majorBidi" w:cstheme="majorBidi"/>
          <w:i/>
          <w:iCs/>
        </w:rPr>
        <w:t>pārsūdzētā sprieduma 10.punkts</w:t>
      </w:r>
      <w:r w:rsidR="007822E2" w:rsidRPr="004F7133">
        <w:rPr>
          <w:rFonts w:asciiTheme="majorBidi" w:hAnsiTheme="majorBidi" w:cstheme="majorBidi"/>
        </w:rPr>
        <w:t xml:space="preserve">). Pieteicēja subjektīvs </w:t>
      </w:r>
      <w:r w:rsidR="00294DC0" w:rsidRPr="004F7133">
        <w:rPr>
          <w:rFonts w:asciiTheme="majorBidi" w:hAnsiTheme="majorBidi" w:cstheme="majorBidi"/>
        </w:rPr>
        <w:t>ie</w:t>
      </w:r>
      <w:r w:rsidR="007822E2" w:rsidRPr="004F7133">
        <w:rPr>
          <w:rFonts w:asciiTheme="majorBidi" w:hAnsiTheme="majorBidi" w:cstheme="majorBidi"/>
        </w:rPr>
        <w:t xml:space="preserve">skats par to, kā </w:t>
      </w:r>
      <w:r w:rsidR="00294DC0" w:rsidRPr="004F7133">
        <w:rPr>
          <w:rFonts w:asciiTheme="majorBidi" w:hAnsiTheme="majorBidi" w:cstheme="majorBidi"/>
        </w:rPr>
        <w:t xml:space="preserve">labāk un skaidrāk būtu veidojama tiesas argumentācija, nav pamats </w:t>
      </w:r>
      <w:r w:rsidR="003B6F07" w:rsidRPr="004F7133">
        <w:rPr>
          <w:rFonts w:asciiTheme="majorBidi" w:hAnsiTheme="majorBidi" w:cstheme="majorBidi"/>
        </w:rPr>
        <w:t>kasācijas tiesvedības ierosināšanai</w:t>
      </w:r>
      <w:r w:rsidR="00294DC0" w:rsidRPr="004F7133">
        <w:rPr>
          <w:rFonts w:asciiTheme="majorBidi" w:hAnsiTheme="majorBidi" w:cstheme="majorBidi"/>
        </w:rPr>
        <w:t>.</w:t>
      </w:r>
    </w:p>
    <w:p w14:paraId="5FC54FC5" w14:textId="77777777" w:rsidR="00175339" w:rsidRPr="004F7133" w:rsidRDefault="00175339" w:rsidP="004F7133">
      <w:pPr>
        <w:spacing w:line="276" w:lineRule="auto"/>
        <w:ind w:firstLine="720"/>
        <w:jc w:val="both"/>
        <w:rPr>
          <w:rFonts w:asciiTheme="majorBidi" w:hAnsiTheme="majorBidi" w:cstheme="majorBidi"/>
        </w:rPr>
      </w:pPr>
    </w:p>
    <w:p w14:paraId="32854CB0" w14:textId="5D6620B8" w:rsidR="00A50150" w:rsidRPr="004F7133" w:rsidRDefault="00294DC0"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2085A" w:rsidRPr="004F7133">
        <w:rPr>
          <w:rFonts w:asciiTheme="majorBidi" w:hAnsiTheme="majorBidi" w:cstheme="majorBidi"/>
        </w:rPr>
        <w:t>6</w:t>
      </w:r>
      <w:r w:rsidRPr="004F7133">
        <w:rPr>
          <w:rFonts w:asciiTheme="majorBidi" w:hAnsiTheme="majorBidi" w:cstheme="majorBidi"/>
        </w:rPr>
        <w:t>] </w:t>
      </w:r>
      <w:r w:rsidR="001E0DDA" w:rsidRPr="004F7133">
        <w:rPr>
          <w:rFonts w:asciiTheme="majorBidi" w:hAnsiTheme="majorBidi" w:cstheme="majorBidi"/>
        </w:rPr>
        <w:t>Pieteicēja ieskatā pašreizējā elektroniskā transportlīdzekļu valsts reģistrācijas numuru piešķiršanas procedūra ir negodīga, jo tā būtiski un nepamatoti ierobežo</w:t>
      </w:r>
      <w:r w:rsidR="002879C4" w:rsidRPr="004F7133">
        <w:rPr>
          <w:rFonts w:asciiTheme="majorBidi" w:hAnsiTheme="majorBidi" w:cstheme="majorBidi"/>
        </w:rPr>
        <w:t>jot</w:t>
      </w:r>
      <w:r w:rsidR="001E0DDA" w:rsidRPr="004F7133">
        <w:rPr>
          <w:rFonts w:asciiTheme="majorBidi" w:hAnsiTheme="majorBidi" w:cstheme="majorBidi"/>
        </w:rPr>
        <w:t xml:space="preserve"> indivīdu iespējas izvēlēties konkrētus numurus, </w:t>
      </w:r>
      <w:r w:rsidR="00BD6CE2" w:rsidRPr="004F7133">
        <w:rPr>
          <w:rFonts w:asciiTheme="majorBidi" w:hAnsiTheme="majorBidi" w:cstheme="majorBidi"/>
        </w:rPr>
        <w:t xml:space="preserve">kā arī </w:t>
      </w:r>
      <w:r w:rsidR="001E0DDA" w:rsidRPr="004F7133">
        <w:rPr>
          <w:rFonts w:asciiTheme="majorBidi" w:hAnsiTheme="majorBidi" w:cstheme="majorBidi"/>
        </w:rPr>
        <w:t xml:space="preserve">diskriminējot personas, kurām ir </w:t>
      </w:r>
      <w:r w:rsidR="00A32A06" w:rsidRPr="004F7133">
        <w:rPr>
          <w:rFonts w:asciiTheme="majorBidi" w:hAnsiTheme="majorBidi" w:cstheme="majorBidi"/>
        </w:rPr>
        <w:t xml:space="preserve">sliktākas </w:t>
      </w:r>
      <w:r w:rsidR="001E0DDA" w:rsidRPr="004F7133">
        <w:rPr>
          <w:rFonts w:asciiTheme="majorBidi" w:hAnsiTheme="majorBidi" w:cstheme="majorBidi"/>
        </w:rPr>
        <w:t>datora lietošanas prasmes vai lēnāks internets.</w:t>
      </w:r>
    </w:p>
    <w:p w14:paraId="6556BC1A" w14:textId="381AD99D" w:rsidR="001E0DDA" w:rsidRPr="004F7133" w:rsidRDefault="001E0DDA"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norāda, ka minētā procedūra ir paredzēta tiesību normā – Reģistrācijas noteikumu 10.</w:t>
      </w:r>
      <w:r w:rsidRPr="004F7133">
        <w:rPr>
          <w:rFonts w:asciiTheme="majorBidi" w:hAnsiTheme="majorBidi" w:cstheme="majorBidi"/>
          <w:vertAlign w:val="superscript"/>
        </w:rPr>
        <w:t>2</w:t>
      </w:r>
      <w:r w:rsidRPr="004F7133">
        <w:rPr>
          <w:rFonts w:asciiTheme="majorBidi" w:hAnsiTheme="majorBidi" w:cstheme="majorBidi"/>
        </w:rPr>
        <w:t xml:space="preserve">1.apakšpunktā. </w:t>
      </w:r>
      <w:r w:rsidR="003808D4" w:rsidRPr="004F7133">
        <w:rPr>
          <w:rFonts w:asciiTheme="majorBidi" w:hAnsiTheme="majorBidi" w:cstheme="majorBidi"/>
        </w:rPr>
        <w:t>Administratīvās tiesas kompetencē neietilpst tiesību normā paredzētā risinājuma lietderīguma pārbaude. Tāpat senatoru kolēģijai nerodas šaubas par šīs tiesību normas konstitucionalitāti</w:t>
      </w:r>
      <w:r w:rsidR="00967B55" w:rsidRPr="004F7133">
        <w:rPr>
          <w:rFonts w:asciiTheme="majorBidi" w:hAnsiTheme="majorBidi" w:cstheme="majorBidi"/>
        </w:rPr>
        <w:t>; t</w:t>
      </w:r>
      <w:r w:rsidR="00216F30" w:rsidRPr="004F7133">
        <w:rPr>
          <w:rFonts w:asciiTheme="majorBidi" w:hAnsiTheme="majorBidi" w:cstheme="majorBidi"/>
        </w:rPr>
        <w:t>ā</w:t>
      </w:r>
      <w:r w:rsidR="003808D4" w:rsidRPr="004F7133">
        <w:rPr>
          <w:rFonts w:asciiTheme="majorBidi" w:hAnsiTheme="majorBidi" w:cstheme="majorBidi"/>
        </w:rPr>
        <w:t xml:space="preserve"> personām nodrošina vienlīdzīgas tiesības pasūtīt reģistrācijai pieejamo numuru kopumā esošos numurus, un </w:t>
      </w:r>
      <w:r w:rsidR="00216F30" w:rsidRPr="004F7133">
        <w:rPr>
          <w:rFonts w:asciiTheme="majorBidi" w:hAnsiTheme="majorBidi" w:cstheme="majorBidi"/>
        </w:rPr>
        <w:t xml:space="preserve">datora lietošanas prasmes vai interneta ātrums nav uzskatāms par kritēriju, </w:t>
      </w:r>
      <w:r w:rsidR="00651600" w:rsidRPr="004F7133">
        <w:rPr>
          <w:rFonts w:asciiTheme="majorBidi" w:hAnsiTheme="majorBidi" w:cstheme="majorBidi"/>
        </w:rPr>
        <w:t xml:space="preserve">ar kuru konkrētajā gadījumā </w:t>
      </w:r>
      <w:r w:rsidR="00216F30" w:rsidRPr="004F7133">
        <w:rPr>
          <w:rFonts w:asciiTheme="majorBidi" w:hAnsiTheme="majorBidi" w:cstheme="majorBidi"/>
        </w:rPr>
        <w:t>pamat</w:t>
      </w:r>
      <w:r w:rsidR="00651600" w:rsidRPr="004F7133">
        <w:rPr>
          <w:rFonts w:asciiTheme="majorBidi" w:hAnsiTheme="majorBidi" w:cstheme="majorBidi"/>
        </w:rPr>
        <w:t>oti</w:t>
      </w:r>
      <w:r w:rsidR="00216F30" w:rsidRPr="004F7133">
        <w:rPr>
          <w:rFonts w:asciiTheme="majorBidi" w:hAnsiTheme="majorBidi" w:cstheme="majorBidi"/>
        </w:rPr>
        <w:t xml:space="preserve"> var</w:t>
      </w:r>
      <w:r w:rsidR="00651600" w:rsidRPr="004F7133">
        <w:rPr>
          <w:rFonts w:asciiTheme="majorBidi" w:hAnsiTheme="majorBidi" w:cstheme="majorBidi"/>
        </w:rPr>
        <w:t>ētu</w:t>
      </w:r>
      <w:r w:rsidR="00216F30" w:rsidRPr="004F7133">
        <w:rPr>
          <w:rFonts w:asciiTheme="majorBidi" w:hAnsiTheme="majorBidi" w:cstheme="majorBidi"/>
        </w:rPr>
        <w:t xml:space="preserve"> </w:t>
      </w:r>
      <w:r w:rsidR="00651600" w:rsidRPr="004F7133">
        <w:rPr>
          <w:rFonts w:asciiTheme="majorBidi" w:hAnsiTheme="majorBidi" w:cstheme="majorBidi"/>
        </w:rPr>
        <w:t xml:space="preserve">argumentēt par </w:t>
      </w:r>
      <w:r w:rsidR="00216F30" w:rsidRPr="004F7133">
        <w:rPr>
          <w:rFonts w:asciiTheme="majorBidi" w:hAnsiTheme="majorBidi" w:cstheme="majorBidi"/>
        </w:rPr>
        <w:t>diskriminācija</w:t>
      </w:r>
      <w:r w:rsidR="00651600" w:rsidRPr="004F7133">
        <w:rPr>
          <w:rFonts w:asciiTheme="majorBidi" w:hAnsiTheme="majorBidi" w:cstheme="majorBidi"/>
        </w:rPr>
        <w:t>s aizlieguma principa pārkāpumu</w:t>
      </w:r>
      <w:r w:rsidR="00216F30" w:rsidRPr="004F7133">
        <w:rPr>
          <w:rFonts w:asciiTheme="majorBidi" w:hAnsiTheme="majorBidi" w:cstheme="majorBidi"/>
        </w:rPr>
        <w:t>.</w:t>
      </w:r>
      <w:r w:rsidR="006B6E40" w:rsidRPr="004F7133">
        <w:rPr>
          <w:rFonts w:asciiTheme="majorBidi" w:hAnsiTheme="majorBidi" w:cstheme="majorBidi"/>
        </w:rPr>
        <w:t xml:space="preserve"> Senatoru kolēģija nevar piešķirt ievērību arī pieteicēja norādei </w:t>
      </w:r>
      <w:r w:rsidR="00326FD9" w:rsidRPr="004F7133">
        <w:rPr>
          <w:rFonts w:asciiTheme="majorBidi" w:hAnsiTheme="majorBidi" w:cstheme="majorBidi"/>
        </w:rPr>
        <w:t>uz</w:t>
      </w:r>
      <w:r w:rsidR="006B6E40" w:rsidRPr="004F7133">
        <w:rPr>
          <w:rFonts w:asciiTheme="majorBidi" w:hAnsiTheme="majorBidi" w:cstheme="majorBidi"/>
        </w:rPr>
        <w:t xml:space="preserve"> automatizēto interneta robotu izmantošanu numuru elektroniskās izvēles procesā; </w:t>
      </w:r>
      <w:r w:rsidR="00BC7414" w:rsidRPr="004F7133">
        <w:rPr>
          <w:rFonts w:asciiTheme="majorBidi" w:hAnsiTheme="majorBidi" w:cstheme="majorBidi"/>
        </w:rPr>
        <w:t xml:space="preserve">pieņēmums par </w:t>
      </w:r>
      <w:r w:rsidR="006B6E40" w:rsidRPr="004F7133">
        <w:rPr>
          <w:rFonts w:asciiTheme="majorBidi" w:hAnsiTheme="majorBidi" w:cstheme="majorBidi"/>
        </w:rPr>
        <w:t>citu personu ļaunprātīg</w:t>
      </w:r>
      <w:r w:rsidR="00BC7414" w:rsidRPr="004F7133">
        <w:rPr>
          <w:rFonts w:asciiTheme="majorBidi" w:hAnsiTheme="majorBidi" w:cstheme="majorBidi"/>
        </w:rPr>
        <w:t>u</w:t>
      </w:r>
      <w:r w:rsidR="006B6E40" w:rsidRPr="004F7133">
        <w:rPr>
          <w:rFonts w:asciiTheme="majorBidi" w:hAnsiTheme="majorBidi" w:cstheme="majorBidi"/>
        </w:rPr>
        <w:t xml:space="preserve"> rīcīb</w:t>
      </w:r>
      <w:r w:rsidR="00BC7414" w:rsidRPr="004F7133">
        <w:rPr>
          <w:rFonts w:asciiTheme="majorBidi" w:hAnsiTheme="majorBidi" w:cstheme="majorBidi"/>
        </w:rPr>
        <w:t>u</w:t>
      </w:r>
      <w:r w:rsidR="006B6E40" w:rsidRPr="004F7133">
        <w:rPr>
          <w:rFonts w:asciiTheme="majorBidi" w:hAnsiTheme="majorBidi" w:cstheme="majorBidi"/>
        </w:rPr>
        <w:t xml:space="preserve">, izmantojot </w:t>
      </w:r>
      <w:r w:rsidR="00BC7414" w:rsidRPr="004F7133">
        <w:rPr>
          <w:rFonts w:asciiTheme="majorBidi" w:hAnsiTheme="majorBidi" w:cstheme="majorBidi"/>
        </w:rPr>
        <w:t xml:space="preserve">savās interesēs </w:t>
      </w:r>
      <w:r w:rsidR="006B6E40" w:rsidRPr="004F7133">
        <w:rPr>
          <w:rFonts w:asciiTheme="majorBidi" w:hAnsiTheme="majorBidi" w:cstheme="majorBidi"/>
        </w:rPr>
        <w:t xml:space="preserve">normatīvajā </w:t>
      </w:r>
      <w:r w:rsidR="00326FD9" w:rsidRPr="004F7133">
        <w:rPr>
          <w:rFonts w:asciiTheme="majorBidi" w:hAnsiTheme="majorBidi" w:cstheme="majorBidi"/>
        </w:rPr>
        <w:t>aktā</w:t>
      </w:r>
      <w:r w:rsidR="006B6E40" w:rsidRPr="004F7133">
        <w:rPr>
          <w:rFonts w:asciiTheme="majorBidi" w:hAnsiTheme="majorBidi" w:cstheme="majorBidi"/>
        </w:rPr>
        <w:t xml:space="preserve"> paredzēto procedūru, nevar būt pamats atkāpju pieļaušanai no minētās procedūras.</w:t>
      </w:r>
    </w:p>
    <w:p w14:paraId="21B4CB5F" w14:textId="6B2367EF" w:rsidR="00A50150" w:rsidRPr="004F7133" w:rsidRDefault="00967B55" w:rsidP="004F7133">
      <w:pPr>
        <w:spacing w:line="276" w:lineRule="auto"/>
        <w:ind w:firstLine="720"/>
        <w:jc w:val="both"/>
        <w:rPr>
          <w:rFonts w:asciiTheme="majorBidi" w:hAnsiTheme="majorBidi" w:cstheme="majorBidi"/>
        </w:rPr>
      </w:pPr>
      <w:r w:rsidRPr="004F7133">
        <w:rPr>
          <w:rFonts w:asciiTheme="majorBidi" w:hAnsiTheme="majorBidi" w:cstheme="majorBidi"/>
        </w:rPr>
        <w:lastRenderedPageBreak/>
        <w:t>Šis arguments nav pamats lietā nepiemērot Reģistrācijas noteikumu 10.</w:t>
      </w:r>
      <w:r w:rsidRPr="004F7133">
        <w:rPr>
          <w:rFonts w:asciiTheme="majorBidi" w:hAnsiTheme="majorBidi" w:cstheme="majorBidi"/>
          <w:vertAlign w:val="superscript"/>
        </w:rPr>
        <w:t>2</w:t>
      </w:r>
      <w:r w:rsidRPr="004F7133">
        <w:rPr>
          <w:rFonts w:asciiTheme="majorBidi" w:hAnsiTheme="majorBidi" w:cstheme="majorBidi"/>
        </w:rPr>
        <w:t>1</w:t>
      </w:r>
      <w:r w:rsidR="00326FD9" w:rsidRPr="004F7133">
        <w:rPr>
          <w:rFonts w:asciiTheme="majorBidi" w:hAnsiTheme="majorBidi" w:cstheme="majorBidi"/>
        </w:rPr>
        <w:t>.</w:t>
      </w:r>
      <w:r w:rsidRPr="004F7133">
        <w:rPr>
          <w:rFonts w:asciiTheme="majorBidi" w:hAnsiTheme="majorBidi" w:cstheme="majorBidi"/>
        </w:rPr>
        <w:t xml:space="preserve">apakšpunktu vai apšaubīt tā konstitucionalitāti, </w:t>
      </w:r>
      <w:r w:rsidR="00326FD9" w:rsidRPr="004F7133">
        <w:rPr>
          <w:rFonts w:asciiTheme="majorBidi" w:hAnsiTheme="majorBidi" w:cstheme="majorBidi"/>
        </w:rPr>
        <w:t>tāpēc</w:t>
      </w:r>
      <w:r w:rsidRPr="004F7133">
        <w:rPr>
          <w:rFonts w:asciiTheme="majorBidi" w:hAnsiTheme="majorBidi" w:cstheme="majorBidi"/>
        </w:rPr>
        <w:t xml:space="preserve"> tas </w:t>
      </w:r>
      <w:r w:rsidR="006B6E40" w:rsidRPr="004F7133">
        <w:rPr>
          <w:rFonts w:asciiTheme="majorBidi" w:hAnsiTheme="majorBidi" w:cstheme="majorBidi"/>
        </w:rPr>
        <w:t>neliecina par</w:t>
      </w:r>
      <w:r w:rsidRPr="004F7133">
        <w:rPr>
          <w:rFonts w:asciiTheme="majorBidi" w:hAnsiTheme="majorBidi" w:cstheme="majorBidi"/>
        </w:rPr>
        <w:t xml:space="preserve"> pārsūdzētā sprieduma nepareizību.</w:t>
      </w:r>
    </w:p>
    <w:p w14:paraId="2FEABAD4" w14:textId="77777777" w:rsidR="00A50150" w:rsidRPr="004F7133" w:rsidRDefault="00A50150" w:rsidP="004F7133">
      <w:pPr>
        <w:spacing w:line="276" w:lineRule="auto"/>
        <w:ind w:firstLine="720"/>
        <w:rPr>
          <w:rFonts w:asciiTheme="majorBidi" w:hAnsiTheme="majorBidi" w:cstheme="majorBidi"/>
        </w:rPr>
      </w:pPr>
    </w:p>
    <w:p w14:paraId="5B0E1D26" w14:textId="71F85CE1" w:rsidR="00A50150" w:rsidRPr="004F7133" w:rsidRDefault="00A50150"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2085A" w:rsidRPr="004F7133">
        <w:rPr>
          <w:rFonts w:asciiTheme="majorBidi" w:hAnsiTheme="majorBidi" w:cstheme="majorBidi"/>
        </w:rPr>
        <w:t>7</w:t>
      </w:r>
      <w:r w:rsidRPr="004F7133">
        <w:rPr>
          <w:rFonts w:asciiTheme="majorBidi" w:hAnsiTheme="majorBidi" w:cstheme="majorBidi"/>
        </w:rPr>
        <w:t xml:space="preserve">] Rezumējot minēto, senatoru kolēģija atzīst, ka </w:t>
      </w:r>
      <w:r w:rsidR="00C5216B" w:rsidRPr="004F7133">
        <w:rPr>
          <w:rFonts w:asciiTheme="majorBidi" w:hAnsiTheme="majorBidi" w:cstheme="majorBidi"/>
        </w:rPr>
        <w:t>pieteicēja</w:t>
      </w:r>
      <w:r w:rsidRPr="004F7133">
        <w:rPr>
          <w:rFonts w:asciiTheme="majorBidi" w:hAnsiTheme="majorBidi" w:cstheme="majorBidi"/>
        </w:rPr>
        <w:t xml:space="preserve"> kasācijas sūdzībā norādītie apsvērumi nerada šaubas par </w:t>
      </w:r>
      <w:r w:rsidR="00C5216B" w:rsidRPr="004F7133">
        <w:rPr>
          <w:rFonts w:asciiTheme="majorBidi" w:hAnsiTheme="majorBidi" w:cstheme="majorBidi"/>
        </w:rPr>
        <w:t>apelācijas instances tiesas</w:t>
      </w:r>
      <w:r w:rsidRPr="004F7133">
        <w:rPr>
          <w:rFonts w:asciiTheme="majorBidi" w:hAnsiTheme="majorBidi" w:cstheme="majorBidi"/>
        </w:rPr>
        <w:t xml:space="preserve"> sprieduma tiesiskumu. Izskatāmajai lietai arī nav nozīmes judikatūras veidošanā. Tas ir pamats atteikt ierosināt kasācijas tiesvedību.</w:t>
      </w:r>
    </w:p>
    <w:p w14:paraId="4781153E" w14:textId="77777777" w:rsidR="00A50150" w:rsidRPr="004F7133" w:rsidRDefault="00A50150" w:rsidP="004F7133">
      <w:pPr>
        <w:spacing w:line="276" w:lineRule="auto"/>
        <w:ind w:firstLine="720"/>
        <w:jc w:val="both"/>
        <w:rPr>
          <w:rFonts w:asciiTheme="majorBidi" w:hAnsiTheme="majorBidi" w:cstheme="majorBidi"/>
        </w:rPr>
      </w:pPr>
    </w:p>
    <w:p w14:paraId="3E18CE94" w14:textId="51836D30" w:rsidR="00A50150" w:rsidRPr="004F7133" w:rsidRDefault="00A50150" w:rsidP="004F7133">
      <w:pPr>
        <w:spacing w:line="276" w:lineRule="auto"/>
        <w:ind w:firstLine="720"/>
        <w:jc w:val="both"/>
        <w:rPr>
          <w:rFonts w:asciiTheme="majorBidi" w:hAnsiTheme="majorBidi" w:cstheme="majorBidi"/>
          <w:strike/>
        </w:rPr>
      </w:pPr>
      <w:r w:rsidRPr="004F7133">
        <w:rPr>
          <w:rFonts w:asciiTheme="majorBidi" w:hAnsiTheme="majorBidi" w:cstheme="majorBidi"/>
        </w:rPr>
        <w:t>Pamatojoties uz Administratīvā procesa likuma 338.panta otro daļu un 338.</w:t>
      </w:r>
      <w:r w:rsidRPr="004F7133">
        <w:rPr>
          <w:rFonts w:asciiTheme="majorBidi" w:hAnsiTheme="majorBidi" w:cstheme="majorBidi"/>
          <w:vertAlign w:val="superscript"/>
        </w:rPr>
        <w:t>1</w:t>
      </w:r>
      <w:r w:rsidRPr="004F7133">
        <w:rPr>
          <w:rFonts w:asciiTheme="majorBidi" w:hAnsiTheme="majorBidi" w:cstheme="majorBidi"/>
        </w:rPr>
        <w:t xml:space="preserve">panta </w:t>
      </w:r>
      <w:r w:rsidR="00C5216B" w:rsidRPr="004F7133">
        <w:rPr>
          <w:rFonts w:asciiTheme="majorBidi" w:hAnsiTheme="majorBidi" w:cstheme="majorBidi"/>
        </w:rPr>
        <w:t>otrās daļas</w:t>
      </w:r>
      <w:r w:rsidRPr="004F7133">
        <w:rPr>
          <w:rFonts w:asciiTheme="majorBidi" w:hAnsiTheme="majorBidi" w:cstheme="majorBidi"/>
        </w:rPr>
        <w:t xml:space="preserve"> </w:t>
      </w:r>
      <w:r w:rsidR="00C5216B" w:rsidRPr="004F7133">
        <w:rPr>
          <w:rFonts w:asciiTheme="majorBidi" w:hAnsiTheme="majorBidi" w:cstheme="majorBidi"/>
        </w:rPr>
        <w:t>2.punktu</w:t>
      </w:r>
      <w:r w:rsidRPr="004F7133">
        <w:rPr>
          <w:rFonts w:asciiTheme="majorBidi" w:hAnsiTheme="majorBidi" w:cstheme="majorBidi"/>
        </w:rPr>
        <w:t>, senatoru kolēģija</w:t>
      </w:r>
    </w:p>
    <w:p w14:paraId="6E266C77" w14:textId="77777777" w:rsidR="00A50150" w:rsidRPr="004F7133" w:rsidRDefault="00A50150" w:rsidP="004F7133">
      <w:pPr>
        <w:spacing w:line="276" w:lineRule="auto"/>
        <w:jc w:val="both"/>
        <w:rPr>
          <w:strike/>
        </w:rPr>
      </w:pPr>
    </w:p>
    <w:p w14:paraId="531C090A" w14:textId="77777777" w:rsidR="00A50150" w:rsidRPr="004F7133" w:rsidRDefault="00A50150" w:rsidP="004F7133">
      <w:pPr>
        <w:spacing w:line="276" w:lineRule="auto"/>
        <w:jc w:val="center"/>
        <w:rPr>
          <w:b/>
        </w:rPr>
      </w:pPr>
      <w:r w:rsidRPr="004F7133">
        <w:rPr>
          <w:b/>
        </w:rPr>
        <w:t>nolēma</w:t>
      </w:r>
    </w:p>
    <w:p w14:paraId="7593AF8D" w14:textId="77777777" w:rsidR="00A50150" w:rsidRPr="004F7133" w:rsidRDefault="00A50150" w:rsidP="004F7133">
      <w:pPr>
        <w:spacing w:line="276" w:lineRule="auto"/>
        <w:jc w:val="center"/>
        <w:rPr>
          <w:b/>
        </w:rPr>
      </w:pPr>
    </w:p>
    <w:p w14:paraId="3DC2BC25" w14:textId="46E3A281" w:rsidR="00A50150" w:rsidRPr="004F7133" w:rsidRDefault="00A50150" w:rsidP="004F7133">
      <w:pPr>
        <w:spacing w:line="276" w:lineRule="auto"/>
        <w:ind w:firstLine="720"/>
        <w:jc w:val="both"/>
      </w:pPr>
      <w:r w:rsidRPr="004F7133">
        <w:t xml:space="preserve">atteikt ierosināt kasācijas tiesvedību sakarā ar </w:t>
      </w:r>
      <w:r w:rsidR="00176D8C" w:rsidRPr="004F7133">
        <w:t xml:space="preserve">[pers. A] </w:t>
      </w:r>
      <w:r w:rsidRPr="004F7133">
        <w:t xml:space="preserve">kasācijas sūdzību par Administratīvās </w:t>
      </w:r>
      <w:r w:rsidR="00C5216B" w:rsidRPr="004F7133">
        <w:t>apgabaltiesas</w:t>
      </w:r>
      <w:r w:rsidRPr="004F7133">
        <w:t xml:space="preserve"> </w:t>
      </w:r>
      <w:r w:rsidR="00C5216B" w:rsidRPr="004F7133">
        <w:t>2024.gada 23.janvāra</w:t>
      </w:r>
      <w:r w:rsidRPr="004F7133">
        <w:t xml:space="preserve"> spriedumu.</w:t>
      </w:r>
    </w:p>
    <w:p w14:paraId="72B89E19" w14:textId="77777777" w:rsidR="00A50150" w:rsidRPr="004F7133" w:rsidRDefault="00A50150" w:rsidP="004F7133">
      <w:pPr>
        <w:spacing w:line="276" w:lineRule="auto"/>
        <w:ind w:firstLine="720"/>
        <w:jc w:val="both"/>
      </w:pPr>
    </w:p>
    <w:p w14:paraId="2F9609F0" w14:textId="77777777" w:rsidR="00A50150" w:rsidRPr="004F7133" w:rsidRDefault="00A50150" w:rsidP="004F7133">
      <w:pPr>
        <w:spacing w:line="276" w:lineRule="auto"/>
        <w:ind w:firstLine="720"/>
        <w:jc w:val="both"/>
      </w:pPr>
      <w:r w:rsidRPr="004F7133">
        <w:t>Lēmums nav pārsūdzams.</w:t>
      </w:r>
    </w:p>
    <w:p w14:paraId="291A5F8D" w14:textId="77777777" w:rsidR="001B2F01" w:rsidRPr="004F7133" w:rsidRDefault="001B2F01" w:rsidP="004F7133">
      <w:pPr>
        <w:spacing w:line="276" w:lineRule="auto"/>
        <w:jc w:val="both"/>
      </w:pPr>
    </w:p>
    <w:p w14:paraId="03BE8486" w14:textId="77777777" w:rsidR="001B2F01" w:rsidRPr="004F7133" w:rsidRDefault="001B2F01" w:rsidP="004F7133">
      <w:pPr>
        <w:spacing w:line="276" w:lineRule="auto"/>
        <w:jc w:val="both"/>
      </w:pPr>
    </w:p>
    <w:p w14:paraId="7E18D50E" w14:textId="77777777" w:rsidR="001B2F01" w:rsidRPr="004F7133" w:rsidRDefault="001B2F01" w:rsidP="004F7133">
      <w:pPr>
        <w:spacing w:line="276" w:lineRule="auto"/>
        <w:jc w:val="both"/>
      </w:pPr>
    </w:p>
    <w:p w14:paraId="441949FE" w14:textId="77777777" w:rsidR="00C5216B" w:rsidRPr="004F7133" w:rsidRDefault="00C5216B" w:rsidP="004F7133">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5"/>
        <w:gridCol w:w="2835"/>
      </w:tblGrid>
      <w:tr w:rsidR="001B2F01" w:rsidRPr="004F7133" w14:paraId="4A4DEA74" w14:textId="77777777" w:rsidTr="001B2F01">
        <w:tc>
          <w:tcPr>
            <w:tcW w:w="2942" w:type="dxa"/>
            <w:vAlign w:val="center"/>
          </w:tcPr>
          <w:p w14:paraId="118F7FD9" w14:textId="7A4AECD7" w:rsidR="001B2F01" w:rsidRPr="004F7133" w:rsidRDefault="001B2F01" w:rsidP="004F7133">
            <w:pPr>
              <w:spacing w:line="276" w:lineRule="auto"/>
              <w:rPr>
                <w:sz w:val="24"/>
              </w:rPr>
            </w:pPr>
            <w:r w:rsidRPr="004F7133">
              <w:rPr>
                <w:sz w:val="24"/>
              </w:rPr>
              <w:t>Senators J. Pleps</w:t>
            </w:r>
          </w:p>
        </w:tc>
        <w:tc>
          <w:tcPr>
            <w:tcW w:w="2943" w:type="dxa"/>
            <w:vAlign w:val="center"/>
          </w:tcPr>
          <w:p w14:paraId="49286952" w14:textId="3C4C35EE" w:rsidR="001B2F01" w:rsidRPr="004F7133" w:rsidRDefault="001B2F01" w:rsidP="004F7133">
            <w:pPr>
              <w:spacing w:line="276" w:lineRule="auto"/>
              <w:jc w:val="center"/>
              <w:rPr>
                <w:sz w:val="24"/>
              </w:rPr>
            </w:pPr>
            <w:r w:rsidRPr="004F7133">
              <w:rPr>
                <w:sz w:val="24"/>
              </w:rPr>
              <w:t>Senator</w:t>
            </w:r>
            <w:r w:rsidR="00C5216B" w:rsidRPr="004F7133">
              <w:rPr>
                <w:sz w:val="24"/>
              </w:rPr>
              <w:t>e L. Slica</w:t>
            </w:r>
          </w:p>
        </w:tc>
        <w:tc>
          <w:tcPr>
            <w:tcW w:w="2943" w:type="dxa"/>
            <w:vAlign w:val="center"/>
          </w:tcPr>
          <w:p w14:paraId="2E5D3F30" w14:textId="66BB6DA5" w:rsidR="001B2F01" w:rsidRPr="004F7133" w:rsidRDefault="001B2F01" w:rsidP="004F7133">
            <w:pPr>
              <w:spacing w:line="276" w:lineRule="auto"/>
              <w:jc w:val="right"/>
              <w:rPr>
                <w:sz w:val="24"/>
              </w:rPr>
            </w:pPr>
            <w:r w:rsidRPr="004F7133">
              <w:rPr>
                <w:sz w:val="24"/>
              </w:rPr>
              <w:t>Senator</w:t>
            </w:r>
            <w:r w:rsidR="00C5216B" w:rsidRPr="004F7133">
              <w:rPr>
                <w:sz w:val="24"/>
              </w:rPr>
              <w:t>e I. Višķere</w:t>
            </w:r>
          </w:p>
        </w:tc>
      </w:tr>
    </w:tbl>
    <w:p w14:paraId="1DC169D9" w14:textId="77777777" w:rsidR="00B54F4B" w:rsidRPr="004F7133" w:rsidRDefault="00B54F4B"/>
    <w:sectPr w:rsidR="00B54F4B" w:rsidRPr="004F7133" w:rsidSect="00BD286D">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EDDD" w14:textId="77777777" w:rsidR="00235DF8" w:rsidRDefault="00235DF8" w:rsidP="009F7ACE">
      <w:r>
        <w:separator/>
      </w:r>
    </w:p>
  </w:endnote>
  <w:endnote w:type="continuationSeparator" w:id="0">
    <w:p w14:paraId="0703F7E1" w14:textId="77777777" w:rsidR="00235DF8" w:rsidRDefault="00235DF8"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8278" w14:textId="13637383"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F8223C">
      <w:rPr>
        <w:rStyle w:val="PageNumber"/>
        <w:noProof/>
        <w:sz w:val="20"/>
        <w:szCs w:val="20"/>
      </w:rPr>
      <w:t>4</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45B9" w14:textId="77777777" w:rsidR="00235DF8" w:rsidRDefault="00235DF8" w:rsidP="009F7ACE">
      <w:r>
        <w:separator/>
      </w:r>
    </w:p>
  </w:footnote>
  <w:footnote w:type="continuationSeparator" w:id="0">
    <w:p w14:paraId="5E50B4AC" w14:textId="77777777" w:rsidR="00235DF8" w:rsidRDefault="00235DF8"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36F"/>
    <w:rsid w:val="00000699"/>
    <w:rsid w:val="00012C68"/>
    <w:rsid w:val="00025755"/>
    <w:rsid w:val="000528AF"/>
    <w:rsid w:val="000814FA"/>
    <w:rsid w:val="00093086"/>
    <w:rsid w:val="000A17BC"/>
    <w:rsid w:val="000A65CA"/>
    <w:rsid w:val="000B0457"/>
    <w:rsid w:val="000C45E9"/>
    <w:rsid w:val="000C5AA7"/>
    <w:rsid w:val="000D1747"/>
    <w:rsid w:val="000D3245"/>
    <w:rsid w:val="000E008F"/>
    <w:rsid w:val="000E21A9"/>
    <w:rsid w:val="000E3619"/>
    <w:rsid w:val="00104F0F"/>
    <w:rsid w:val="00112025"/>
    <w:rsid w:val="00155FE9"/>
    <w:rsid w:val="00170946"/>
    <w:rsid w:val="00175339"/>
    <w:rsid w:val="00176D8C"/>
    <w:rsid w:val="00185CD9"/>
    <w:rsid w:val="001874B2"/>
    <w:rsid w:val="00193A9D"/>
    <w:rsid w:val="00194C45"/>
    <w:rsid w:val="001B2F01"/>
    <w:rsid w:val="001B68EF"/>
    <w:rsid w:val="001C4025"/>
    <w:rsid w:val="001E0DDA"/>
    <w:rsid w:val="001E7251"/>
    <w:rsid w:val="001F0E0B"/>
    <w:rsid w:val="001F7CB2"/>
    <w:rsid w:val="00216F30"/>
    <w:rsid w:val="00231B45"/>
    <w:rsid w:val="00234A52"/>
    <w:rsid w:val="002353EE"/>
    <w:rsid w:val="00235DF8"/>
    <w:rsid w:val="00253683"/>
    <w:rsid w:val="00255F42"/>
    <w:rsid w:val="00267AE7"/>
    <w:rsid w:val="00273A50"/>
    <w:rsid w:val="002824F6"/>
    <w:rsid w:val="002879C4"/>
    <w:rsid w:val="00294DC0"/>
    <w:rsid w:val="002B1064"/>
    <w:rsid w:val="002E608A"/>
    <w:rsid w:val="002E668E"/>
    <w:rsid w:val="00305232"/>
    <w:rsid w:val="00307B8A"/>
    <w:rsid w:val="00314593"/>
    <w:rsid w:val="00326FD9"/>
    <w:rsid w:val="00352F87"/>
    <w:rsid w:val="003639FA"/>
    <w:rsid w:val="00371682"/>
    <w:rsid w:val="00372702"/>
    <w:rsid w:val="003808D4"/>
    <w:rsid w:val="00381B0D"/>
    <w:rsid w:val="003827B7"/>
    <w:rsid w:val="00383012"/>
    <w:rsid w:val="003833A1"/>
    <w:rsid w:val="003928E2"/>
    <w:rsid w:val="0039743D"/>
    <w:rsid w:val="003B6F07"/>
    <w:rsid w:val="003C06D2"/>
    <w:rsid w:val="003D6244"/>
    <w:rsid w:val="003E0220"/>
    <w:rsid w:val="003E1C2F"/>
    <w:rsid w:val="003E486C"/>
    <w:rsid w:val="003E6085"/>
    <w:rsid w:val="00400C0C"/>
    <w:rsid w:val="00411CD0"/>
    <w:rsid w:val="00414912"/>
    <w:rsid w:val="00431CFF"/>
    <w:rsid w:val="00435C4A"/>
    <w:rsid w:val="0043774E"/>
    <w:rsid w:val="00440614"/>
    <w:rsid w:val="00447EE6"/>
    <w:rsid w:val="00450BBD"/>
    <w:rsid w:val="00487B93"/>
    <w:rsid w:val="004B2A94"/>
    <w:rsid w:val="004E7D53"/>
    <w:rsid w:val="004F1E99"/>
    <w:rsid w:val="004F7133"/>
    <w:rsid w:val="005026A4"/>
    <w:rsid w:val="00547C02"/>
    <w:rsid w:val="005857F6"/>
    <w:rsid w:val="005870EC"/>
    <w:rsid w:val="00587526"/>
    <w:rsid w:val="005949EF"/>
    <w:rsid w:val="005956C8"/>
    <w:rsid w:val="00595BD3"/>
    <w:rsid w:val="005A1BED"/>
    <w:rsid w:val="005A395E"/>
    <w:rsid w:val="005D1BC6"/>
    <w:rsid w:val="005E1AE1"/>
    <w:rsid w:val="005E339B"/>
    <w:rsid w:val="005F60C0"/>
    <w:rsid w:val="00604EC6"/>
    <w:rsid w:val="00622E91"/>
    <w:rsid w:val="006266C1"/>
    <w:rsid w:val="006472FE"/>
    <w:rsid w:val="00647327"/>
    <w:rsid w:val="00651600"/>
    <w:rsid w:val="006527A2"/>
    <w:rsid w:val="00653682"/>
    <w:rsid w:val="006620CF"/>
    <w:rsid w:val="00674043"/>
    <w:rsid w:val="00677D6F"/>
    <w:rsid w:val="00691E62"/>
    <w:rsid w:val="006A0557"/>
    <w:rsid w:val="006B5E56"/>
    <w:rsid w:val="006B6E40"/>
    <w:rsid w:val="006C7BA4"/>
    <w:rsid w:val="006D06E7"/>
    <w:rsid w:val="0070199A"/>
    <w:rsid w:val="00714A23"/>
    <w:rsid w:val="007166CC"/>
    <w:rsid w:val="007175AE"/>
    <w:rsid w:val="00734E5F"/>
    <w:rsid w:val="0074485A"/>
    <w:rsid w:val="007476DD"/>
    <w:rsid w:val="007536EE"/>
    <w:rsid w:val="007564E5"/>
    <w:rsid w:val="007822E2"/>
    <w:rsid w:val="00786072"/>
    <w:rsid w:val="0079144D"/>
    <w:rsid w:val="0079779A"/>
    <w:rsid w:val="007B1F50"/>
    <w:rsid w:val="007B7AED"/>
    <w:rsid w:val="007B7EF9"/>
    <w:rsid w:val="007C32C8"/>
    <w:rsid w:val="007F49A6"/>
    <w:rsid w:val="007F57CA"/>
    <w:rsid w:val="008136C5"/>
    <w:rsid w:val="00841A2F"/>
    <w:rsid w:val="00846529"/>
    <w:rsid w:val="00863A8C"/>
    <w:rsid w:val="008744A3"/>
    <w:rsid w:val="008774FB"/>
    <w:rsid w:val="008C43F1"/>
    <w:rsid w:val="008F0317"/>
    <w:rsid w:val="00914573"/>
    <w:rsid w:val="009252DD"/>
    <w:rsid w:val="009264AC"/>
    <w:rsid w:val="00943B8B"/>
    <w:rsid w:val="00946718"/>
    <w:rsid w:val="00967B55"/>
    <w:rsid w:val="009809C0"/>
    <w:rsid w:val="009A4AD5"/>
    <w:rsid w:val="009D5503"/>
    <w:rsid w:val="009F7ACE"/>
    <w:rsid w:val="00A073F6"/>
    <w:rsid w:val="00A11873"/>
    <w:rsid w:val="00A20348"/>
    <w:rsid w:val="00A269AC"/>
    <w:rsid w:val="00A3237C"/>
    <w:rsid w:val="00A32A06"/>
    <w:rsid w:val="00A50150"/>
    <w:rsid w:val="00A56EDA"/>
    <w:rsid w:val="00A62F6A"/>
    <w:rsid w:val="00A66AD8"/>
    <w:rsid w:val="00A91681"/>
    <w:rsid w:val="00AA5275"/>
    <w:rsid w:val="00AB0A2E"/>
    <w:rsid w:val="00AD69DE"/>
    <w:rsid w:val="00B114DD"/>
    <w:rsid w:val="00B2085A"/>
    <w:rsid w:val="00B24F9B"/>
    <w:rsid w:val="00B51B3B"/>
    <w:rsid w:val="00B54F4B"/>
    <w:rsid w:val="00B56C0B"/>
    <w:rsid w:val="00B64053"/>
    <w:rsid w:val="00B8129F"/>
    <w:rsid w:val="00B86197"/>
    <w:rsid w:val="00B95E04"/>
    <w:rsid w:val="00BA0560"/>
    <w:rsid w:val="00BB07A2"/>
    <w:rsid w:val="00BC676D"/>
    <w:rsid w:val="00BC7414"/>
    <w:rsid w:val="00BC7417"/>
    <w:rsid w:val="00BD286D"/>
    <w:rsid w:val="00BD6CE2"/>
    <w:rsid w:val="00BF21E2"/>
    <w:rsid w:val="00BF62FA"/>
    <w:rsid w:val="00C04929"/>
    <w:rsid w:val="00C12315"/>
    <w:rsid w:val="00C1458D"/>
    <w:rsid w:val="00C4158E"/>
    <w:rsid w:val="00C50075"/>
    <w:rsid w:val="00C5023B"/>
    <w:rsid w:val="00C50D5C"/>
    <w:rsid w:val="00C5216B"/>
    <w:rsid w:val="00CA2D90"/>
    <w:rsid w:val="00CA750A"/>
    <w:rsid w:val="00CB5F62"/>
    <w:rsid w:val="00CB66A7"/>
    <w:rsid w:val="00CC1A08"/>
    <w:rsid w:val="00CC5F76"/>
    <w:rsid w:val="00CD4110"/>
    <w:rsid w:val="00CE126D"/>
    <w:rsid w:val="00D02883"/>
    <w:rsid w:val="00D15AF2"/>
    <w:rsid w:val="00D23BC5"/>
    <w:rsid w:val="00D25D87"/>
    <w:rsid w:val="00D504C5"/>
    <w:rsid w:val="00D67258"/>
    <w:rsid w:val="00D77AA6"/>
    <w:rsid w:val="00D8168B"/>
    <w:rsid w:val="00DA5858"/>
    <w:rsid w:val="00DB623D"/>
    <w:rsid w:val="00DD1B18"/>
    <w:rsid w:val="00DD5BE4"/>
    <w:rsid w:val="00DE0D70"/>
    <w:rsid w:val="00E35CA8"/>
    <w:rsid w:val="00E76976"/>
    <w:rsid w:val="00ED4590"/>
    <w:rsid w:val="00EF2510"/>
    <w:rsid w:val="00F27433"/>
    <w:rsid w:val="00F41262"/>
    <w:rsid w:val="00F41C2D"/>
    <w:rsid w:val="00F4326A"/>
    <w:rsid w:val="00F51BB9"/>
    <w:rsid w:val="00F5243B"/>
    <w:rsid w:val="00F54DF2"/>
    <w:rsid w:val="00F555CB"/>
    <w:rsid w:val="00F8223C"/>
    <w:rsid w:val="00FA1C3B"/>
    <w:rsid w:val="00FA238B"/>
    <w:rsid w:val="00FE5322"/>
    <w:rsid w:val="00FE6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8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647327"/>
    <w:rPr>
      <w:color w:val="0563C1" w:themeColor="hyperlink"/>
      <w:u w:val="single"/>
    </w:rPr>
  </w:style>
  <w:style w:type="character" w:styleId="UnresolvedMention">
    <w:name w:val="Unresolved Mention"/>
    <w:basedOn w:val="DefaultParagraphFont"/>
    <w:uiPriority w:val="99"/>
    <w:semiHidden/>
    <w:unhideWhenUsed/>
    <w:rsid w:val="00647327"/>
    <w:rPr>
      <w:color w:val="605E5C"/>
      <w:shd w:val="clear" w:color="auto" w:fill="E1DFDD"/>
    </w:rPr>
  </w:style>
  <w:style w:type="paragraph" w:styleId="Revision">
    <w:name w:val="Revision"/>
    <w:hidden/>
    <w:uiPriority w:val="99"/>
    <w:semiHidden/>
    <w:rsid w:val="0000036F"/>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9252DD"/>
    <w:rPr>
      <w:sz w:val="16"/>
      <w:szCs w:val="16"/>
    </w:rPr>
  </w:style>
  <w:style w:type="paragraph" w:styleId="CommentText">
    <w:name w:val="annotation text"/>
    <w:basedOn w:val="Normal"/>
    <w:link w:val="CommentTextChar"/>
    <w:uiPriority w:val="99"/>
    <w:unhideWhenUsed/>
    <w:rsid w:val="009252DD"/>
    <w:rPr>
      <w:sz w:val="20"/>
      <w:szCs w:val="20"/>
    </w:rPr>
  </w:style>
  <w:style w:type="character" w:customStyle="1" w:styleId="CommentTextChar">
    <w:name w:val="Comment Text Char"/>
    <w:basedOn w:val="DefaultParagraphFont"/>
    <w:link w:val="CommentText"/>
    <w:uiPriority w:val="99"/>
    <w:rsid w:val="009252D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9252DD"/>
    <w:rPr>
      <w:b/>
      <w:bCs/>
    </w:rPr>
  </w:style>
  <w:style w:type="character" w:customStyle="1" w:styleId="CommentSubjectChar">
    <w:name w:val="Comment Subject Char"/>
    <w:basedOn w:val="CommentTextChar"/>
    <w:link w:val="CommentSubject"/>
    <w:uiPriority w:val="99"/>
    <w:semiHidden/>
    <w:rsid w:val="009252DD"/>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5E339B"/>
    <w:rPr>
      <w:color w:val="954F72" w:themeColor="followedHyperlink"/>
      <w:u w:val="single"/>
    </w:rPr>
  </w:style>
  <w:style w:type="paragraph" w:customStyle="1" w:styleId="Default">
    <w:name w:val="Default"/>
    <w:rsid w:val="00176D8C"/>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06855">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ANOTACIJAS/TAP/2020_10/SMANOT_040920_REGNOT.1757.DOCX" TargetMode="External"/><Relationship Id="rId3" Type="http://schemas.openxmlformats.org/officeDocument/2006/relationships/settings" Target="settings.xml"/><Relationship Id="rId7" Type="http://schemas.openxmlformats.org/officeDocument/2006/relationships/hyperlink" Target="https://gateway.elieta.lv/api/v1/PublicMaterialDownload/ca162b9a-86fd-49ae-a184-c5fe842c5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7031</Words>
  <Characters>4008</Characters>
  <Application>Microsoft Office Word</Application>
  <DocSecurity>0</DocSecurity>
  <Lines>33</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2025-05-21T07:35:00Z</dcterms:created>
  <dcterms:modified xsi:type="dcterms:W3CDTF">2025-09-04T11:43:00Z</dcterms:modified>
</cp:coreProperties>
</file>