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4685" w14:textId="77777777" w:rsidR="002C63DF" w:rsidRDefault="002C63DF" w:rsidP="002C63DF">
      <w:pPr>
        <w:spacing w:line="276" w:lineRule="auto"/>
        <w:jc w:val="both"/>
        <w:rPr>
          <w:rFonts w:ascii="TimesNewRomanPSMT" w:hAnsi="TimesNewRomanPSMT"/>
          <w:b/>
          <w:bCs/>
          <w:lang w:eastAsia="lv-LV"/>
          <w14:ligatures w14:val="standardContextual"/>
        </w:rPr>
      </w:pPr>
      <w:r>
        <w:rPr>
          <w:rFonts w:ascii="TimesNewRomanPSMT" w:hAnsi="TimesNewRomanPSMT"/>
          <w:b/>
          <w:bCs/>
          <w14:ligatures w14:val="standardContextual"/>
        </w:rPr>
        <w:t>Atšķirīgas attieksmes pret Krievijas Federācijas pilsoņiem pieļaujamība uzturēšanās atļauju izsniegšanā</w:t>
      </w:r>
    </w:p>
    <w:p w14:paraId="149025E6" w14:textId="77777777" w:rsidR="002C63DF" w:rsidRDefault="002C63DF" w:rsidP="002C63DF">
      <w:pPr>
        <w:autoSpaceDE w:val="0"/>
        <w:autoSpaceDN w:val="0"/>
        <w:spacing w:line="276" w:lineRule="auto"/>
        <w:jc w:val="both"/>
        <w:rPr>
          <w:rFonts w:ascii="TimesNewRomanPSMT" w:hAnsi="TimesNewRomanPSMT"/>
          <w14:ligatures w14:val="standardContextual"/>
        </w:rPr>
      </w:pPr>
      <w:r>
        <w:rPr>
          <w:rFonts w:ascii="TimesNewRomanPSMT" w:hAnsi="TimesNewRomanPSMT"/>
          <w14:ligatures w14:val="standardContextual"/>
        </w:rPr>
        <w:t xml:space="preserve">Uzturēšanās atļauju izsniegšanas liegšana Krievijas Federācijas pilsoņiem, pamatojoties uz nekustamā īpašuma iegādi Latvijā, ir valsts autonoma politiska izšķiršanās, kas ir pamatota ar valsts drošības apsvērumiem konkrētā ģeopolitiskā situācijā (sakarā ar Krievijas uzsākto karu Ukrainā). </w:t>
      </w:r>
    </w:p>
    <w:p w14:paraId="790AAA43" w14:textId="77777777" w:rsidR="002C63DF" w:rsidRDefault="002C63DF" w:rsidP="002C63DF">
      <w:pPr>
        <w:autoSpaceDE w:val="0"/>
        <w:autoSpaceDN w:val="0"/>
        <w:spacing w:line="276" w:lineRule="auto"/>
        <w:jc w:val="both"/>
        <w:rPr>
          <w:rFonts w:ascii="TimesNewRomanPSMT" w:hAnsi="TimesNewRomanPSMT"/>
          <w14:ligatures w14:val="standardContextual"/>
        </w:rPr>
      </w:pPr>
      <w:r>
        <w:rPr>
          <w:rFonts w:ascii="TimesNewRomanPSMT" w:hAnsi="TimesNewRomanPSMT"/>
          <w14:ligatures w14:val="standardContextual"/>
        </w:rPr>
        <w:t>Izvērtējot, vai ir pieļaujama atšķirīga attieksme pret noteiktu personu grupu, būtiski ir tas, vai šādai attieksmei ir saprātīgs un objektīvs pamatojums. Proti, atšķirīga attieksme pret Krievijas Federācijas pilsoņiem ir pamatota ar valsts drošības apsvērumiem konkrētā ģeopolitiskā situācijā. Apstākļos, kad Latvijas kaimiņvalsts Krievija veic karadarbību Ukrainā, pieļaujot brutālus starptautisko tiesību normu un cilvēktiesību pārkāpumus, nav nekāda pamata uzskatīt, ka atšķirīga attieksme pret Krievijas Federācijas pilsoņiem attiecībā uz to uzturēšanos Latvijā ir pamatota vien ar vispārīgiem drošības apsvērumiem.</w:t>
      </w:r>
    </w:p>
    <w:p w14:paraId="4161AC1A" w14:textId="06C6104D" w:rsidR="002C63DF" w:rsidRPr="002C63DF" w:rsidRDefault="002C63DF" w:rsidP="002C63DF">
      <w:pPr>
        <w:autoSpaceDE w:val="0"/>
        <w:autoSpaceDN w:val="0"/>
        <w:spacing w:line="276" w:lineRule="auto"/>
        <w:jc w:val="both"/>
        <w:rPr>
          <w:rFonts w:ascii="TimesNewRomanPSMT" w:hAnsi="TimesNewRomanPSMT"/>
          <w14:ligatures w14:val="standardContextual"/>
        </w:rPr>
      </w:pPr>
      <w:r>
        <w:rPr>
          <w:rFonts w:ascii="TimesNewRomanPSMT" w:hAnsi="TimesNewRomanPSMT"/>
          <w14:ligatures w14:val="standardContextual"/>
        </w:rPr>
        <w:t xml:space="preserve">Tie ir konkrētos apstākļos balstīti apsvērumi. Lai novērstu iespējamos draudus valsts drošībai, kas var izcelties no </w:t>
      </w:r>
      <w:proofErr w:type="spellStart"/>
      <w:r>
        <w:rPr>
          <w:rFonts w:ascii="TimesNewRomanPSMT" w:hAnsi="TimesNewRomanPSMT"/>
          <w14:ligatures w14:val="standardContextual"/>
        </w:rPr>
        <w:t>agresorvalsts</w:t>
      </w:r>
      <w:proofErr w:type="spellEnd"/>
      <w:r>
        <w:rPr>
          <w:rFonts w:ascii="TimesNewRomanPSMT" w:hAnsi="TimesNewRomanPSMT"/>
          <w14:ligatures w14:val="standardContextual"/>
        </w:rPr>
        <w:t xml:space="preserve"> pilsoņu uzturēšanās Latvijā, valstij nav jāpamato, vai un kā tieši katrs individuāls Krievijas Federācijas pilsonis, kurš vēlas uzturēties Latvijā, faktiski apdraud valsts drošību.</w:t>
      </w:r>
    </w:p>
    <w:p w14:paraId="7034A896" w14:textId="59E0B6BC" w:rsidR="00B82795" w:rsidRPr="00011547" w:rsidRDefault="00B82795" w:rsidP="002C63DF">
      <w:pPr>
        <w:spacing w:before="240" w:line="276" w:lineRule="auto"/>
        <w:jc w:val="center"/>
        <w:rPr>
          <w:b/>
        </w:rPr>
      </w:pPr>
      <w:r w:rsidRPr="00011547">
        <w:rPr>
          <w:b/>
        </w:rPr>
        <w:t>Latvijas Republikas Senāt</w:t>
      </w:r>
      <w:r w:rsidR="002C63DF">
        <w:rPr>
          <w:b/>
        </w:rPr>
        <w:t>a</w:t>
      </w:r>
      <w:r w:rsidR="002C63DF">
        <w:rPr>
          <w:b/>
        </w:rPr>
        <w:br/>
        <w:t>Administratīvo lietu departamenta</w:t>
      </w:r>
      <w:r w:rsidR="002C63DF">
        <w:rPr>
          <w:b/>
        </w:rPr>
        <w:br/>
        <w:t>2025.gada 14.aprīļa</w:t>
      </w:r>
    </w:p>
    <w:p w14:paraId="2F348817" w14:textId="77777777" w:rsidR="00B82795" w:rsidRDefault="00B82795" w:rsidP="002C63DF">
      <w:pPr>
        <w:spacing w:line="276" w:lineRule="auto"/>
        <w:jc w:val="center"/>
        <w:rPr>
          <w:b/>
        </w:rPr>
      </w:pPr>
      <w:r>
        <w:rPr>
          <w:b/>
        </w:rPr>
        <w:t>RĪCĪBAS SĒDES LĒMUMS</w:t>
      </w:r>
    </w:p>
    <w:p w14:paraId="275E147B" w14:textId="77777777" w:rsidR="002C63DF" w:rsidRDefault="002C63DF" w:rsidP="002C63DF">
      <w:pPr>
        <w:spacing w:line="276" w:lineRule="auto"/>
        <w:jc w:val="center"/>
        <w:rPr>
          <w:b/>
          <w:bCs/>
        </w:rPr>
      </w:pPr>
      <w:r w:rsidRPr="002C63DF">
        <w:rPr>
          <w:b/>
          <w:bCs/>
        </w:rPr>
        <w:t>Lieta Nr. A420143723, SKA-417/2025</w:t>
      </w:r>
    </w:p>
    <w:p w14:paraId="2B2B3CA2" w14:textId="5F2F49A5" w:rsidR="00B82795" w:rsidRPr="002C63DF" w:rsidRDefault="007F4851" w:rsidP="002C63DF">
      <w:pPr>
        <w:spacing w:line="276" w:lineRule="auto"/>
        <w:jc w:val="center"/>
        <w:rPr>
          <w:b/>
          <w:bCs/>
        </w:rPr>
      </w:pPr>
      <w:hyperlink r:id="rId7" w:history="1">
        <w:r w:rsidR="002C63DF" w:rsidRPr="007F4851">
          <w:rPr>
            <w:rStyle w:val="Hyperlink"/>
            <w:rFonts w:ascii="TimesNewRomanPSMT" w:eastAsiaTheme="minorHAnsi" w:hAnsi="TimesNewRomanPSMT" w:cs="TimesNewRomanPSMT"/>
            <w:lang w:eastAsia="en-US"/>
            <w14:ligatures w14:val="standardContextual"/>
          </w:rPr>
          <w:t>ECLI:LV:AT:2025:0</w:t>
        </w:r>
        <w:r w:rsidR="002C63DF" w:rsidRPr="007F4851">
          <w:rPr>
            <w:rStyle w:val="Hyperlink"/>
            <w:rFonts w:ascii="TimesNewRomanPSMT" w:eastAsiaTheme="minorHAnsi" w:hAnsi="TimesNewRomanPSMT" w:cs="TimesNewRomanPSMT"/>
            <w:lang w:eastAsia="en-US"/>
            <w14:ligatures w14:val="standardContextual"/>
          </w:rPr>
          <w:t>414.A420143723.9.L</w:t>
        </w:r>
      </w:hyperlink>
    </w:p>
    <w:p w14:paraId="3673D585" w14:textId="77777777" w:rsidR="002C63DF" w:rsidRPr="00011547" w:rsidRDefault="002C63DF" w:rsidP="002C63DF">
      <w:pPr>
        <w:spacing w:line="276" w:lineRule="auto"/>
        <w:ind w:firstLine="720"/>
        <w:jc w:val="center"/>
      </w:pPr>
    </w:p>
    <w:p w14:paraId="59587929" w14:textId="09B01EE4" w:rsidR="00B82795" w:rsidRDefault="00B82795" w:rsidP="002C63DF">
      <w:pPr>
        <w:spacing w:line="276" w:lineRule="auto"/>
        <w:ind w:firstLine="720"/>
        <w:jc w:val="both"/>
        <w:rPr>
          <w:rFonts w:asciiTheme="majorBidi" w:hAnsiTheme="majorBidi" w:cstheme="majorBidi"/>
        </w:rPr>
      </w:pPr>
      <w:r w:rsidRPr="00A50150">
        <w:rPr>
          <w:rFonts w:asciiTheme="majorBidi" w:hAnsiTheme="majorBidi" w:cstheme="majorBidi"/>
        </w:rPr>
        <w:t xml:space="preserve">[1] Senātā saņemta </w:t>
      </w:r>
      <w:r>
        <w:rPr>
          <w:rFonts w:asciiTheme="majorBidi" w:hAnsiTheme="majorBidi" w:cstheme="majorBidi"/>
        </w:rPr>
        <w:t xml:space="preserve">pieteicēju </w:t>
      </w:r>
      <w:r w:rsidR="002C63DF">
        <w:rPr>
          <w:rFonts w:asciiTheme="majorBidi" w:hAnsiTheme="majorBidi" w:cstheme="majorBidi"/>
        </w:rPr>
        <w:t xml:space="preserve">[pers. A] </w:t>
      </w:r>
      <w:r>
        <w:rPr>
          <w:rFonts w:asciiTheme="majorBidi" w:hAnsiTheme="majorBidi" w:cstheme="majorBidi"/>
        </w:rPr>
        <w:t>(</w:t>
      </w:r>
      <w:r w:rsidR="002C63DF">
        <w:rPr>
          <w:rFonts w:asciiTheme="majorBidi" w:hAnsiTheme="majorBidi" w:cstheme="majorBidi"/>
          <w:i/>
          <w:iCs/>
        </w:rPr>
        <w:t>[pers. A]</w:t>
      </w:r>
      <w:r>
        <w:rPr>
          <w:rFonts w:asciiTheme="majorBidi" w:hAnsiTheme="majorBidi" w:cstheme="majorBidi"/>
        </w:rPr>
        <w:t xml:space="preserve">) un </w:t>
      </w:r>
      <w:r w:rsidR="002C63DF">
        <w:rPr>
          <w:rFonts w:asciiTheme="majorBidi" w:hAnsiTheme="majorBidi" w:cstheme="majorBidi"/>
        </w:rPr>
        <w:t xml:space="preserve">[pers. B] </w:t>
      </w:r>
      <w:r>
        <w:rPr>
          <w:rFonts w:asciiTheme="majorBidi" w:hAnsiTheme="majorBidi" w:cstheme="majorBidi"/>
        </w:rPr>
        <w:t>(</w:t>
      </w:r>
      <w:r w:rsidR="002C63DF">
        <w:rPr>
          <w:rFonts w:asciiTheme="majorBidi" w:hAnsiTheme="majorBidi" w:cstheme="majorBidi"/>
          <w:i/>
          <w:iCs/>
        </w:rPr>
        <w:t>[pers. B]</w:t>
      </w:r>
      <w:r>
        <w:rPr>
          <w:rFonts w:asciiTheme="majorBidi" w:hAnsiTheme="majorBidi" w:cstheme="majorBidi"/>
        </w:rPr>
        <w:t xml:space="preserve">) kasācijas sūdzība par Administratīvās apgabaltiesas 2024.gada 25.novembra spriedumu, ar kuru noraidīts pieteikums par labvēlīga administratīvā akta izdošanu, ar kuru pieteicējiem tiktu izsniegta </w:t>
      </w:r>
      <w:proofErr w:type="spellStart"/>
      <w:r>
        <w:rPr>
          <w:rFonts w:asciiTheme="majorBidi" w:hAnsiTheme="majorBidi" w:cstheme="majorBidi"/>
        </w:rPr>
        <w:t>termiņuzturēšanās</w:t>
      </w:r>
      <w:proofErr w:type="spellEnd"/>
      <w:r>
        <w:rPr>
          <w:rFonts w:asciiTheme="majorBidi" w:hAnsiTheme="majorBidi" w:cstheme="majorBidi"/>
        </w:rPr>
        <w:t xml:space="preserve"> atļauja Latvijā.</w:t>
      </w:r>
    </w:p>
    <w:p w14:paraId="4F27E9B4" w14:textId="06D866CE" w:rsidR="00897751" w:rsidRDefault="00B82795" w:rsidP="002C63DF">
      <w:pPr>
        <w:spacing w:line="276" w:lineRule="auto"/>
        <w:ind w:firstLine="720"/>
        <w:jc w:val="both"/>
        <w:rPr>
          <w:rFonts w:asciiTheme="majorBidi" w:hAnsiTheme="majorBidi" w:cstheme="majorBidi"/>
        </w:rPr>
      </w:pPr>
      <w:r>
        <w:rPr>
          <w:rFonts w:asciiTheme="majorBidi" w:hAnsiTheme="majorBidi" w:cstheme="majorBidi"/>
        </w:rPr>
        <w:t xml:space="preserve">Apgabaltiesa pievienojās rajona tiesas sprieduma motivācijai un atzina, ka Pilsonības un migrācijas lietu pārvalde </w:t>
      </w:r>
      <w:r w:rsidR="00E044BE">
        <w:rPr>
          <w:rFonts w:asciiTheme="majorBidi" w:hAnsiTheme="majorBidi" w:cstheme="majorBidi"/>
        </w:rPr>
        <w:t xml:space="preserve">(turpmāk – pārvalde) </w:t>
      </w:r>
      <w:r>
        <w:rPr>
          <w:rFonts w:asciiTheme="majorBidi" w:hAnsiTheme="majorBidi" w:cstheme="majorBidi"/>
        </w:rPr>
        <w:t xml:space="preserve">pamatoti atteikusi izdot pieteicējiem atkārtotu </w:t>
      </w:r>
      <w:proofErr w:type="spellStart"/>
      <w:r>
        <w:rPr>
          <w:rFonts w:asciiTheme="majorBidi" w:hAnsiTheme="majorBidi" w:cstheme="majorBidi"/>
        </w:rPr>
        <w:t>termiņuzturēšanās</w:t>
      </w:r>
      <w:proofErr w:type="spellEnd"/>
      <w:r>
        <w:rPr>
          <w:rFonts w:asciiTheme="majorBidi" w:hAnsiTheme="majorBidi" w:cstheme="majorBidi"/>
        </w:rPr>
        <w:t xml:space="preserve"> atļauju, pamatojoties uz Imigrācijas likuma 23.panta pirmās daļas 29.punktu (saistībā ar nekustamā īpašuma iegādi Latvijā). Spriedumā konstatēts, ka 2022.gadā stājās spēkā grozījumi Imigrācijas likumā, ar kuriem likums papildināts ar 23.</w:t>
      </w:r>
      <w:r w:rsidRPr="00B82795">
        <w:rPr>
          <w:rFonts w:asciiTheme="majorBidi" w:hAnsiTheme="majorBidi" w:cstheme="majorBidi"/>
          <w:vertAlign w:val="superscript"/>
        </w:rPr>
        <w:t>1</w:t>
      </w:r>
      <w:r>
        <w:rPr>
          <w:rFonts w:asciiTheme="majorBidi" w:hAnsiTheme="majorBidi" w:cstheme="majorBidi"/>
        </w:rPr>
        <w:t xml:space="preserve">pantu. </w:t>
      </w:r>
      <w:r w:rsidR="00897751">
        <w:rPr>
          <w:rFonts w:asciiTheme="majorBidi" w:hAnsiTheme="majorBidi" w:cstheme="majorBidi"/>
        </w:rPr>
        <w:t>Minētā panta pirmajā daļā</w:t>
      </w:r>
      <w:r>
        <w:rPr>
          <w:rFonts w:asciiTheme="majorBidi" w:hAnsiTheme="majorBidi" w:cstheme="majorBidi"/>
        </w:rPr>
        <w:t xml:space="preserve"> paredzēts, ka </w:t>
      </w:r>
      <w:r w:rsidRPr="00B82795">
        <w:rPr>
          <w:rFonts w:asciiTheme="majorBidi" w:hAnsiTheme="majorBidi" w:cstheme="majorBidi"/>
        </w:rPr>
        <w:t xml:space="preserve">Krievijas Federācijas pilsoņiem ir tiesības pieprasīt </w:t>
      </w:r>
      <w:proofErr w:type="spellStart"/>
      <w:r w:rsidRPr="00B82795">
        <w:rPr>
          <w:rFonts w:asciiTheme="majorBidi" w:hAnsiTheme="majorBidi" w:cstheme="majorBidi"/>
        </w:rPr>
        <w:t>termiņuzturēšanās</w:t>
      </w:r>
      <w:proofErr w:type="spellEnd"/>
      <w:r w:rsidRPr="00B82795">
        <w:rPr>
          <w:rFonts w:asciiTheme="majorBidi" w:hAnsiTheme="majorBidi" w:cstheme="majorBidi"/>
        </w:rPr>
        <w:t xml:space="preserve"> atļauju tikai šā likuma 23.panta trešajā, sestajā un septītajā daļā un </w:t>
      </w:r>
      <w:r w:rsidR="00161979">
        <w:rPr>
          <w:rFonts w:asciiTheme="majorBidi" w:hAnsiTheme="majorBidi" w:cstheme="majorBidi"/>
        </w:rPr>
        <w:t>23.</w:t>
      </w:r>
      <w:r w:rsidR="00161979" w:rsidRPr="00B82795">
        <w:rPr>
          <w:rFonts w:asciiTheme="majorBidi" w:hAnsiTheme="majorBidi" w:cstheme="majorBidi"/>
          <w:vertAlign w:val="superscript"/>
        </w:rPr>
        <w:t>1</w:t>
      </w:r>
      <w:r w:rsidR="00161979">
        <w:rPr>
          <w:rFonts w:asciiTheme="majorBidi" w:hAnsiTheme="majorBidi" w:cstheme="majorBidi"/>
        </w:rPr>
        <w:t>pant</w:t>
      </w:r>
      <w:r w:rsidRPr="00B82795">
        <w:rPr>
          <w:rFonts w:asciiTheme="majorBidi" w:hAnsiTheme="majorBidi" w:cstheme="majorBidi"/>
        </w:rPr>
        <w:t>ā minētajos gadījumos.</w:t>
      </w:r>
      <w:r>
        <w:rPr>
          <w:rFonts w:asciiTheme="majorBidi" w:hAnsiTheme="majorBidi" w:cstheme="majorBidi"/>
        </w:rPr>
        <w:t xml:space="preserve"> </w:t>
      </w:r>
      <w:r w:rsidR="00897751">
        <w:rPr>
          <w:rFonts w:asciiTheme="majorBidi" w:hAnsiTheme="majorBidi" w:cstheme="majorBidi"/>
        </w:rPr>
        <w:t xml:space="preserve">Tā kā pieteicēji lūguši izsniegt atkārtotu </w:t>
      </w:r>
      <w:proofErr w:type="spellStart"/>
      <w:r w:rsidR="00897751">
        <w:rPr>
          <w:rFonts w:asciiTheme="majorBidi" w:hAnsiTheme="majorBidi" w:cstheme="majorBidi"/>
        </w:rPr>
        <w:t>termiņuzturēšanās</w:t>
      </w:r>
      <w:proofErr w:type="spellEnd"/>
      <w:r w:rsidR="00897751">
        <w:rPr>
          <w:rFonts w:asciiTheme="majorBidi" w:hAnsiTheme="majorBidi" w:cstheme="majorBidi"/>
        </w:rPr>
        <w:t xml:space="preserve"> atļauju, pamatojoties uz Imigrācijas likuma 23.panta pirmās daļas 29.punktu, nevis pamatojoties uz kādu no 23.</w:t>
      </w:r>
      <w:r w:rsidR="00897751" w:rsidRPr="00B82795">
        <w:rPr>
          <w:rFonts w:asciiTheme="majorBidi" w:hAnsiTheme="majorBidi" w:cstheme="majorBidi"/>
          <w:vertAlign w:val="superscript"/>
        </w:rPr>
        <w:t>1</w:t>
      </w:r>
      <w:r w:rsidR="00897751">
        <w:rPr>
          <w:rFonts w:asciiTheme="majorBidi" w:hAnsiTheme="majorBidi" w:cstheme="majorBidi"/>
        </w:rPr>
        <w:t xml:space="preserve">panta pirmajā daļā </w:t>
      </w:r>
      <w:r w:rsidR="00FE439D">
        <w:rPr>
          <w:rFonts w:asciiTheme="majorBidi" w:hAnsiTheme="majorBidi" w:cstheme="majorBidi"/>
        </w:rPr>
        <w:t>minētajās tiesību normās norādītajiem pamatiem</w:t>
      </w:r>
      <w:r w:rsidR="00897751">
        <w:rPr>
          <w:rFonts w:asciiTheme="majorBidi" w:hAnsiTheme="majorBidi" w:cstheme="majorBidi"/>
        </w:rPr>
        <w:t>, labvēlīga administratīvā akta izdošanai nav pamata.</w:t>
      </w:r>
    </w:p>
    <w:p w14:paraId="096ABB08" w14:textId="77777777" w:rsidR="00897751" w:rsidRDefault="00897751" w:rsidP="002C63DF">
      <w:pPr>
        <w:spacing w:line="276" w:lineRule="auto"/>
        <w:ind w:firstLine="720"/>
        <w:jc w:val="both"/>
        <w:rPr>
          <w:rFonts w:asciiTheme="majorBidi" w:hAnsiTheme="majorBidi" w:cstheme="majorBidi"/>
        </w:rPr>
      </w:pPr>
    </w:p>
    <w:p w14:paraId="1E344253" w14:textId="0DDA8A62" w:rsidR="00897751" w:rsidRDefault="00897751" w:rsidP="002C63DF">
      <w:pPr>
        <w:spacing w:line="276" w:lineRule="auto"/>
        <w:ind w:firstLine="720"/>
        <w:jc w:val="both"/>
      </w:pPr>
      <w:r w:rsidRPr="00897751">
        <w:rPr>
          <w:rFonts w:asciiTheme="majorBidi" w:hAnsiTheme="majorBidi" w:cstheme="majorBidi"/>
        </w:rPr>
        <w:t>[2] </w:t>
      </w:r>
      <w:r>
        <w:rPr>
          <w:rFonts w:asciiTheme="majorBidi" w:hAnsiTheme="majorBidi" w:cstheme="majorBidi"/>
        </w:rPr>
        <w:t xml:space="preserve">Kasācijas sūdzībā norādīts, ka apgabaltiesa nepamatoti piemērojusi </w:t>
      </w:r>
      <w:r>
        <w:t xml:space="preserve">Imigrācijas likuma normas, kas stājās spēkā 2022.gada 24.septembrī, nevis </w:t>
      </w:r>
      <w:r w:rsidR="00E044BE">
        <w:t>likum</w:t>
      </w:r>
      <w:r w:rsidR="009660E1">
        <w:t>a</w:t>
      </w:r>
      <w:r w:rsidR="00E044BE">
        <w:t xml:space="preserve"> </w:t>
      </w:r>
      <w:r>
        <w:t xml:space="preserve">redakcijā, kas bija spēkā pieteicēju uzturēšanās atļaujas pieprasīšanas laikā, tas ir, 2022.gada 26.augustā.  </w:t>
      </w:r>
    </w:p>
    <w:p w14:paraId="4ABBB876" w14:textId="77777777" w:rsidR="00897751" w:rsidRDefault="00897751" w:rsidP="002C63DF">
      <w:pPr>
        <w:spacing w:line="276" w:lineRule="auto"/>
        <w:ind w:firstLine="720"/>
        <w:jc w:val="both"/>
        <w:rPr>
          <w:rFonts w:asciiTheme="majorBidi" w:hAnsiTheme="majorBidi" w:cstheme="majorBidi"/>
        </w:rPr>
      </w:pPr>
      <w:r w:rsidRPr="006F7143">
        <w:rPr>
          <w:rFonts w:asciiTheme="majorBidi" w:hAnsiTheme="majorBidi" w:cstheme="majorBidi"/>
        </w:rPr>
        <w:lastRenderedPageBreak/>
        <w:t>Senāts jau ir skaidrojis Imigrācijas likuma 23.</w:t>
      </w:r>
      <w:r w:rsidRPr="006F7143">
        <w:rPr>
          <w:rFonts w:asciiTheme="majorBidi" w:hAnsiTheme="majorBidi" w:cstheme="majorBidi"/>
          <w:vertAlign w:val="superscript"/>
        </w:rPr>
        <w:t>1</w:t>
      </w:r>
      <w:r w:rsidRPr="006F7143">
        <w:rPr>
          <w:rFonts w:asciiTheme="majorBidi" w:hAnsiTheme="majorBidi" w:cstheme="majorBidi"/>
        </w:rPr>
        <w:t xml:space="preserve">panta </w:t>
      </w:r>
      <w:proofErr w:type="spellStart"/>
      <w:r w:rsidRPr="006F7143">
        <w:rPr>
          <w:rFonts w:asciiTheme="majorBidi" w:hAnsiTheme="majorBidi" w:cstheme="majorBidi"/>
        </w:rPr>
        <w:t>intertemporālo</w:t>
      </w:r>
      <w:proofErr w:type="spellEnd"/>
      <w:r w:rsidRPr="006F7143">
        <w:rPr>
          <w:rFonts w:asciiTheme="majorBidi" w:hAnsiTheme="majorBidi" w:cstheme="majorBidi"/>
        </w:rPr>
        <w:t xml:space="preserve"> piemērojamību</w:t>
      </w:r>
      <w:r>
        <w:rPr>
          <w:rFonts w:asciiTheme="majorBidi" w:hAnsiTheme="majorBidi" w:cstheme="majorBidi"/>
        </w:rPr>
        <w:t xml:space="preserve"> kopsakarā ar attiecīgo likuma grozījumu mērķi</w:t>
      </w:r>
      <w:r w:rsidRPr="006F7143">
        <w:rPr>
          <w:rFonts w:asciiTheme="majorBidi" w:hAnsiTheme="majorBidi" w:cstheme="majorBidi"/>
        </w:rPr>
        <w:t>. Proti, likumdevējs šim regulējumam piešķīris tūlītēju spēku. Līdz ar to Imigrācijas likuma 23.</w:t>
      </w:r>
      <w:r w:rsidRPr="006F7143">
        <w:rPr>
          <w:rFonts w:asciiTheme="majorBidi" w:hAnsiTheme="majorBidi" w:cstheme="majorBidi"/>
          <w:vertAlign w:val="superscript"/>
        </w:rPr>
        <w:t>1</w:t>
      </w:r>
      <w:r w:rsidRPr="006F7143">
        <w:rPr>
          <w:rFonts w:asciiTheme="majorBidi" w:hAnsiTheme="majorBidi" w:cstheme="majorBidi"/>
        </w:rPr>
        <w:t>pantā ietvertais regulējums ir piemērojams arī tajos gadījumos, kad administratīvais process iestādē uzsākts pirms šīs tiesību normas spēkā stāšanās un pabeigts pēc tam, turklāt Imigrācijas likumā nav paredzēti atsevišķi pārejas noteikumi attiecībā uz 23.</w:t>
      </w:r>
      <w:r w:rsidRPr="006F7143">
        <w:rPr>
          <w:rFonts w:asciiTheme="majorBidi" w:hAnsiTheme="majorBidi" w:cstheme="majorBidi"/>
          <w:vertAlign w:val="superscript"/>
        </w:rPr>
        <w:t>1</w:t>
      </w:r>
      <w:r w:rsidRPr="006F7143">
        <w:rPr>
          <w:rFonts w:asciiTheme="majorBidi" w:hAnsiTheme="majorBidi" w:cstheme="majorBidi"/>
        </w:rPr>
        <w:t>panta piemērošanu</w:t>
      </w:r>
      <w:r>
        <w:rPr>
          <w:rFonts w:asciiTheme="majorBidi" w:hAnsiTheme="majorBidi" w:cstheme="majorBidi"/>
        </w:rPr>
        <w:t xml:space="preserve">. </w:t>
      </w:r>
      <w:r w:rsidRPr="006F7143">
        <w:rPr>
          <w:rFonts w:asciiTheme="majorBidi" w:hAnsiTheme="majorBidi" w:cstheme="majorBidi"/>
        </w:rPr>
        <w:t>Tas atbilst likumdevēja gribai</w:t>
      </w:r>
      <w:r>
        <w:rPr>
          <w:rFonts w:asciiTheme="majorBidi" w:hAnsiTheme="majorBidi" w:cstheme="majorBidi"/>
        </w:rPr>
        <w:t xml:space="preserve"> padarīt tiesisko regulējumu stingrāku un </w:t>
      </w:r>
      <w:r w:rsidRPr="006F7143">
        <w:rPr>
          <w:rFonts w:asciiTheme="majorBidi" w:hAnsiTheme="majorBidi" w:cstheme="majorBidi"/>
        </w:rPr>
        <w:t xml:space="preserve">vairāk nepieļaut </w:t>
      </w:r>
      <w:proofErr w:type="spellStart"/>
      <w:r w:rsidRPr="006F7143">
        <w:rPr>
          <w:rFonts w:asciiTheme="majorBidi" w:hAnsiTheme="majorBidi" w:cstheme="majorBidi"/>
        </w:rPr>
        <w:t>termiņuzturēšanās</w:t>
      </w:r>
      <w:proofErr w:type="spellEnd"/>
      <w:r w:rsidRPr="006F7143">
        <w:rPr>
          <w:rFonts w:asciiTheme="majorBidi" w:hAnsiTheme="majorBidi" w:cstheme="majorBidi"/>
        </w:rPr>
        <w:t xml:space="preserve"> atļauju pagarināšanu Krievijas un Baltkrievijas pilsoņiem saistībā ar nekustamā īpašuma iegādi Latvijā</w:t>
      </w:r>
      <w:r>
        <w:rPr>
          <w:rFonts w:asciiTheme="majorBidi" w:hAnsiTheme="majorBidi" w:cstheme="majorBidi"/>
        </w:rPr>
        <w:t xml:space="preserve"> (</w:t>
      </w:r>
      <w:r w:rsidRPr="009504DD">
        <w:rPr>
          <w:rFonts w:asciiTheme="majorBidi" w:hAnsiTheme="majorBidi" w:cstheme="majorBidi"/>
          <w:i/>
          <w:iCs/>
        </w:rPr>
        <w:t>Senāta 2024.gada 20.jūnija rīcības sēdes lēmuma lietā Nr.</w:t>
      </w:r>
      <w:r>
        <w:rPr>
          <w:rFonts w:asciiTheme="majorBidi" w:hAnsiTheme="majorBidi" w:cstheme="majorBidi"/>
          <w:i/>
          <w:iCs/>
        </w:rPr>
        <w:t> </w:t>
      </w:r>
      <w:r w:rsidRPr="009504DD">
        <w:rPr>
          <w:rFonts w:asciiTheme="majorBidi" w:hAnsiTheme="majorBidi" w:cstheme="majorBidi"/>
          <w:i/>
          <w:iCs/>
        </w:rPr>
        <w:t xml:space="preserve">SKA-697/2024, </w:t>
      </w:r>
      <w:hyperlink r:id="rId8" w:history="1">
        <w:r w:rsidRPr="009504DD">
          <w:rPr>
            <w:rStyle w:val="Hyperlink"/>
            <w:rFonts w:asciiTheme="majorBidi" w:eastAsiaTheme="majorEastAsia" w:hAnsiTheme="majorBidi"/>
            <w:i/>
            <w:iCs/>
          </w:rPr>
          <w:t>ECLI:LV:AT:2024:0620.A420117223.9.L</w:t>
        </w:r>
      </w:hyperlink>
      <w:r w:rsidRPr="009504DD">
        <w:rPr>
          <w:rFonts w:asciiTheme="majorBidi" w:hAnsiTheme="majorBidi" w:cstheme="majorBidi"/>
          <w:i/>
          <w:iCs/>
        </w:rPr>
        <w:t>, 3.punkts</w:t>
      </w:r>
      <w:r>
        <w:rPr>
          <w:rFonts w:asciiTheme="majorBidi" w:hAnsiTheme="majorBidi" w:cstheme="majorBidi"/>
          <w:i/>
          <w:iCs/>
        </w:rPr>
        <w:t xml:space="preserve">, </w:t>
      </w:r>
      <w:r w:rsidRPr="009504DD">
        <w:rPr>
          <w:rFonts w:asciiTheme="majorBidi" w:hAnsiTheme="majorBidi" w:cstheme="majorBidi"/>
          <w:i/>
          <w:iCs/>
        </w:rPr>
        <w:t>2024.gada 29.augusta rīcības sēdes lēmuma lietā Nr. SKA</w:t>
      </w:r>
      <w:r w:rsidRPr="009504DD">
        <w:rPr>
          <w:rFonts w:asciiTheme="majorBidi" w:hAnsiTheme="majorBidi" w:cstheme="majorBidi"/>
          <w:i/>
          <w:iCs/>
        </w:rPr>
        <w:noBreakHyphen/>
        <w:t xml:space="preserve">754/2024, </w:t>
      </w:r>
      <w:hyperlink r:id="rId9" w:history="1">
        <w:r w:rsidRPr="009504DD">
          <w:rPr>
            <w:rStyle w:val="Hyperlink"/>
            <w:rFonts w:asciiTheme="majorBidi" w:eastAsiaTheme="majorEastAsia" w:hAnsiTheme="majorBidi"/>
            <w:i/>
            <w:iCs/>
          </w:rPr>
          <w:t>ECLI:LV:AT:2024:0829.A420145323.9.L</w:t>
        </w:r>
      </w:hyperlink>
      <w:r w:rsidRPr="009504DD">
        <w:rPr>
          <w:rFonts w:asciiTheme="majorBidi" w:hAnsiTheme="majorBidi" w:cstheme="majorBidi"/>
          <w:i/>
          <w:iCs/>
        </w:rPr>
        <w:t>, 4.punkts</w:t>
      </w:r>
      <w:r>
        <w:rPr>
          <w:rFonts w:asciiTheme="majorBidi" w:hAnsiTheme="majorBidi" w:cstheme="majorBidi"/>
        </w:rPr>
        <w:t>).</w:t>
      </w:r>
    </w:p>
    <w:p w14:paraId="7C202734" w14:textId="77777777" w:rsidR="00897751" w:rsidRDefault="00897751" w:rsidP="002C63DF">
      <w:pPr>
        <w:spacing w:line="276" w:lineRule="auto"/>
        <w:ind w:firstLine="720"/>
        <w:jc w:val="both"/>
        <w:rPr>
          <w:rFonts w:asciiTheme="majorBidi" w:hAnsiTheme="majorBidi" w:cstheme="majorBidi"/>
        </w:rPr>
      </w:pPr>
    </w:p>
    <w:p w14:paraId="48D47121" w14:textId="3029721D" w:rsidR="00006114" w:rsidRDefault="00897751" w:rsidP="002C63DF">
      <w:pPr>
        <w:spacing w:line="276" w:lineRule="auto"/>
        <w:ind w:firstLine="720"/>
        <w:jc w:val="both"/>
      </w:pPr>
      <w:r w:rsidRPr="00897751">
        <w:rPr>
          <w:rFonts w:asciiTheme="majorBidi" w:hAnsiTheme="majorBidi" w:cstheme="majorBidi"/>
        </w:rPr>
        <w:t>[</w:t>
      </w:r>
      <w:r w:rsidR="00B676DD">
        <w:rPr>
          <w:rFonts w:asciiTheme="majorBidi" w:hAnsiTheme="majorBidi" w:cstheme="majorBidi"/>
        </w:rPr>
        <w:t>3</w:t>
      </w:r>
      <w:r w:rsidRPr="00897751">
        <w:rPr>
          <w:rFonts w:asciiTheme="majorBidi" w:hAnsiTheme="majorBidi" w:cstheme="majorBidi"/>
        </w:rPr>
        <w:t>]</w:t>
      </w:r>
      <w:r>
        <w:t> </w:t>
      </w:r>
      <w:r w:rsidR="00006114">
        <w:t xml:space="preserve">Pieteicēji uzskata par nepamatotu tiesas secinājumu, ka </w:t>
      </w:r>
      <w:r w:rsidR="00E044BE">
        <w:t>p</w:t>
      </w:r>
      <w:r w:rsidR="00006114">
        <w:t xml:space="preserve">ārvaldei </w:t>
      </w:r>
      <w:r w:rsidR="00FE439D">
        <w:t xml:space="preserve">sakarā ar nepieciešamību veikt papildu pārbaudi </w:t>
      </w:r>
      <w:r w:rsidR="00006114">
        <w:t>bija tiesības izskatīt pieteicēju uzturēšanās atļaujas pieprasījumu 90 dienu laikā</w:t>
      </w:r>
      <w:r w:rsidR="00E044BE">
        <w:t xml:space="preserve"> </w:t>
      </w:r>
      <w:r w:rsidR="00FE439D">
        <w:t xml:space="preserve">(nevis 30 dienu laikā) </w:t>
      </w:r>
      <w:r w:rsidR="00E044BE">
        <w:t xml:space="preserve">un tādējādi pieņemt lēmumu pēc tam, kad jau bija stājies spēkā jaunais tiesiskais regulējums, kas liedz piešķirt </w:t>
      </w:r>
      <w:proofErr w:type="spellStart"/>
      <w:r w:rsidR="00E044BE">
        <w:t>termiņuzturēšanās</w:t>
      </w:r>
      <w:proofErr w:type="spellEnd"/>
      <w:r w:rsidR="00E044BE">
        <w:t xml:space="preserve"> atļaujas sakarā ar nekustamā īpašuma iegādi</w:t>
      </w:r>
      <w:r w:rsidR="00006114">
        <w:t>. Pieteicēju ieskatā, tiesai bija jāņem vērā Ministru kabineta 2010.gada 21.jūnija noteikumos Nr. </w:t>
      </w:r>
      <w:r w:rsidR="00006114" w:rsidRPr="003E17F8">
        <w:t>554 „Noteikumi par</w:t>
      </w:r>
      <w:r w:rsidR="00006114">
        <w:t xml:space="preserve"> valstīm, kuru pilsoņiem, izsniedzot vīzu vai uzturēšanās atļauju, veic papildu pārbaudi”</w:t>
      </w:r>
      <w:r w:rsidR="00E044BE">
        <w:t xml:space="preserve"> </w:t>
      </w:r>
      <w:r w:rsidR="00006114">
        <w:t xml:space="preserve">redakcijā, kas bija spēkā līdz 2022.gada 1.septembrim (un tātad spēkā arī pieteicēju iesnieguma iesniegšanas dienā) noteiktais, ka papildu pārbaudes attiecināmas tikai uz tiem Krievijas pilsoņiem, kuriem ir saistība ar Čečeniju, Dagestānu, Ingušiju un </w:t>
      </w:r>
      <w:proofErr w:type="spellStart"/>
      <w:r w:rsidR="00006114">
        <w:t>Ziemeļosetiju</w:t>
      </w:r>
      <w:proofErr w:type="spellEnd"/>
      <w:r w:rsidR="00006114">
        <w:t xml:space="preserve">. </w:t>
      </w:r>
    </w:p>
    <w:p w14:paraId="1D3C909B" w14:textId="5345DBD2" w:rsidR="00E044BE" w:rsidRDefault="002F093C" w:rsidP="002C63DF">
      <w:pPr>
        <w:spacing w:line="276" w:lineRule="auto"/>
        <w:ind w:firstLine="720"/>
        <w:jc w:val="both"/>
      </w:pPr>
      <w:r>
        <w:t>Ministru kabineta noteikumi Nr.</w:t>
      </w:r>
      <w:r w:rsidR="00D84DB2">
        <w:t> </w:t>
      </w:r>
      <w:r>
        <w:t xml:space="preserve">540 „Grozījumi </w:t>
      </w:r>
      <w:r w:rsidR="00D84DB2" w:rsidRPr="00D84DB2">
        <w:t>Ministru kabineta 2010.gada 21.jūnija noteikumos Nr.</w:t>
      </w:r>
      <w:r w:rsidR="00D84DB2">
        <w:t> </w:t>
      </w:r>
      <w:r w:rsidR="00D84DB2" w:rsidRPr="00D84DB2">
        <w:t xml:space="preserve">554 </w:t>
      </w:r>
      <w:r w:rsidR="00D84DB2">
        <w:t>„</w:t>
      </w:r>
      <w:r w:rsidR="00D84DB2" w:rsidRPr="00D84DB2">
        <w:t>Noteikumi par valstīm, kuru pilsoņiem, izsniedzot vīzu vai uzturēšanās atļauju, veic papildu pārbaudi</w:t>
      </w:r>
      <w:r w:rsidR="00D84DB2">
        <w:t xml:space="preserve">””, kas stājās spēkā 2022.gada 2.septembrī, </w:t>
      </w:r>
      <w:r w:rsidR="00E044BE">
        <w:t>paredz veikt papildu pārbaudes visiem Krievijas Federācijas pilsoņiem, kuri pieprasījuši uzturēšanās atļauju</w:t>
      </w:r>
      <w:r w:rsidR="00FE439D">
        <w:t xml:space="preserve"> Latvijā</w:t>
      </w:r>
      <w:r w:rsidR="00E044BE">
        <w:t>. Senatoru kolēģija nekonstatē, ka attiecībā uz šiem grozījumiem būtu paredzēta vai būtu jāparedz kāda īpaša spēkā stāšanās kārtība. Minētajiem grozījumiem ir tūlītējs spēks. Tādējādi tie attiecināmi arī uz pieteicēju uzturēšanās atļaujas pieprasījuma izskatīšanu, pat ja tas tika iesniegts pirms attiecīgā tiesiskā regulējuma spēkā stāšanās.</w:t>
      </w:r>
    </w:p>
    <w:p w14:paraId="3BD8EE97" w14:textId="77777777" w:rsidR="00006114" w:rsidRDefault="00006114" w:rsidP="002C63DF">
      <w:pPr>
        <w:spacing w:line="276" w:lineRule="auto"/>
        <w:ind w:firstLine="720"/>
        <w:jc w:val="both"/>
      </w:pPr>
    </w:p>
    <w:p w14:paraId="129AFC30" w14:textId="0E6977CD" w:rsidR="00C2162D" w:rsidRDefault="00006114" w:rsidP="002C63DF">
      <w:pPr>
        <w:spacing w:line="276" w:lineRule="auto"/>
        <w:ind w:firstLine="720"/>
        <w:jc w:val="both"/>
      </w:pPr>
      <w:r>
        <w:t>[</w:t>
      </w:r>
      <w:r w:rsidR="00B676DD">
        <w:t>4</w:t>
      </w:r>
      <w:r>
        <w:t>]</w:t>
      </w:r>
      <w:r w:rsidR="00B676DD">
        <w:t> </w:t>
      </w:r>
      <w:r>
        <w:t>Kasācijas sūdzībā norādīts</w:t>
      </w:r>
      <w:r w:rsidR="00C2162D">
        <w:t xml:space="preserve">, ka Latvijā dzīvo pieteicēju bērni un mazbērni un </w:t>
      </w:r>
      <w:r w:rsidR="00E044BE">
        <w:t xml:space="preserve">ka </w:t>
      </w:r>
      <w:r w:rsidR="00C2162D">
        <w:t xml:space="preserve">tiesa to nepamatoti nav ņēmusi vērā, tādējādi nerespektējot pieteicēju tiesības uz ģimenes </w:t>
      </w:r>
      <w:r w:rsidR="00FE439D">
        <w:t xml:space="preserve">un privāto </w:t>
      </w:r>
      <w:r w:rsidR="00C2162D">
        <w:t>dzīvi.</w:t>
      </w:r>
    </w:p>
    <w:p w14:paraId="2A7A846E" w14:textId="5274AE76" w:rsidR="00376BEA" w:rsidRDefault="00C2162D" w:rsidP="002C63DF">
      <w:pPr>
        <w:spacing w:line="276" w:lineRule="auto"/>
        <w:ind w:firstLine="720"/>
        <w:jc w:val="both"/>
      </w:pPr>
      <w:r>
        <w:t xml:space="preserve">Senatoru kolēģija piekrīt pieteicējiem, ka apgabaltiesa nepamatoti </w:t>
      </w:r>
      <w:r w:rsidR="00E044BE">
        <w:t>secinājusi, ka pieteicēju pilngadīgie bērni nav pieteicēju ģimenes locekļi.</w:t>
      </w:r>
      <w:r>
        <w:t xml:space="preserve"> Tomēr tam un arī tiesas konstatējumam par pieteicēju bērnu faktisko dzīvesvietu konkrētajā gadījumā nav izšķirošas nozīmes.</w:t>
      </w:r>
      <w:r w:rsidR="00E044BE">
        <w:t xml:space="preserve"> </w:t>
      </w:r>
      <w:r>
        <w:t xml:space="preserve">Pieteicēji lūguši izsniegt </w:t>
      </w:r>
      <w:proofErr w:type="spellStart"/>
      <w:r>
        <w:t>termiņuzturēšanās</w:t>
      </w:r>
      <w:proofErr w:type="spellEnd"/>
      <w:r>
        <w:t xml:space="preserve"> atļauju, pamatojoties uz to, ka pieteicēj</w:t>
      </w:r>
      <w:r w:rsidR="00FE439D">
        <w:t>a</w:t>
      </w:r>
      <w:r>
        <w:t xml:space="preserve"> iegādāju</w:t>
      </w:r>
      <w:r w:rsidR="00FE439D">
        <w:t>sies</w:t>
      </w:r>
      <w:r>
        <w:t xml:space="preserve"> nekustamo īpašumu Latvijā. </w:t>
      </w:r>
      <w:r w:rsidR="00E044BE">
        <w:t>Šād</w:t>
      </w:r>
      <w:r w:rsidR="00FE439D">
        <w:t>ā</w:t>
      </w:r>
      <w:r w:rsidR="00E044BE">
        <w:t xml:space="preserve"> kontekstā</w:t>
      </w:r>
      <w:r>
        <w:t xml:space="preserve"> apstāklis, ka Latvijā uzturas pieteicēju ģimenes locekļi, nav uzskatāms par netipisku un tādēļ nevar būt par pamatu izņēmuma kārtā izsniegt uzturēšanās atļauju, pamatojoties uz nekustamā īpašuma iegādi. </w:t>
      </w:r>
      <w:r w:rsidR="00E044BE">
        <w:t>G</w:t>
      </w:r>
      <w:r>
        <w:t xml:space="preserve">adījumā, ja pieteicēji nevar </w:t>
      </w:r>
      <w:r w:rsidR="00FE439D">
        <w:t xml:space="preserve">pienācīgā līmenī </w:t>
      </w:r>
      <w:r>
        <w:t xml:space="preserve">īstenot tiesības uz ģimenes </w:t>
      </w:r>
      <w:r w:rsidR="00FE439D">
        <w:t xml:space="preserve">un privāto </w:t>
      </w:r>
      <w:r>
        <w:t xml:space="preserve">dzīvi, jo viņiem nav tiesību uzturēties Latvijā, </w:t>
      </w:r>
      <w:r w:rsidR="00E044BE">
        <w:t xml:space="preserve">bet šeit dzīvo pieteicēju ģimenes </w:t>
      </w:r>
      <w:r w:rsidR="00E044BE">
        <w:lastRenderedPageBreak/>
        <w:t xml:space="preserve">locekļi, </w:t>
      </w:r>
      <w:r>
        <w:t xml:space="preserve">viņi var apsvērt iespēju lūgt </w:t>
      </w:r>
      <w:r w:rsidR="00376BEA">
        <w:t>atļauju uzturēties Latvijā</w:t>
      </w:r>
      <w:r>
        <w:t>, pamatojoties uz humāniem apsvērumiem</w:t>
      </w:r>
      <w:r w:rsidR="00330603">
        <w:t xml:space="preserve"> (sk. Imigrācijas likuma 23.panta trešās daļas 3.punktu)</w:t>
      </w:r>
      <w:r w:rsidR="00376BEA">
        <w:t>.</w:t>
      </w:r>
    </w:p>
    <w:p w14:paraId="6DAE4657" w14:textId="77777777" w:rsidR="00376BEA" w:rsidRDefault="00376BEA" w:rsidP="002C63DF">
      <w:pPr>
        <w:spacing w:line="276" w:lineRule="auto"/>
        <w:ind w:firstLine="720"/>
        <w:jc w:val="both"/>
      </w:pPr>
    </w:p>
    <w:p w14:paraId="1F1FEA26" w14:textId="32458873" w:rsidR="00376BEA" w:rsidRDefault="00376BEA" w:rsidP="002C63DF">
      <w:pPr>
        <w:spacing w:line="276" w:lineRule="auto"/>
        <w:ind w:firstLine="720"/>
        <w:jc w:val="both"/>
      </w:pPr>
      <w:r>
        <w:t>[</w:t>
      </w:r>
      <w:r w:rsidR="00B676DD">
        <w:t>5</w:t>
      </w:r>
      <w:r>
        <w:t xml:space="preserve">] Pieteicēji </w:t>
      </w:r>
      <w:r w:rsidR="009D7C96">
        <w:t>norāda</w:t>
      </w:r>
      <w:r>
        <w:t>, ka Imigrācijas likuma 23.</w:t>
      </w:r>
      <w:r w:rsidRPr="00E044BE">
        <w:rPr>
          <w:vertAlign w:val="superscript"/>
        </w:rPr>
        <w:t>1</w:t>
      </w:r>
      <w:r>
        <w:t xml:space="preserve">panta </w:t>
      </w:r>
      <w:r w:rsidR="009D7C96">
        <w:t>normas diskriminē personas, kuras pieprasa atkārtotu uzturēšanās atļauju, pamatojoties uz nekustamā īpašuma iegādi, iepretim personām, kuras pieprasa pirmreizēju uzturēšanās atļauju nodarbinātības gadījumā. Pieteicēju ieskatā</w:t>
      </w:r>
      <w:r w:rsidR="009660E1">
        <w:t>,</w:t>
      </w:r>
      <w:r w:rsidR="009D7C96">
        <w:t xml:space="preserve"> valstij no drošības viedokļa ir vēlamāk ļaut Latvijā uzturēties personām, kuras jau iepriekš šeit uzturējušās un kuras pieprasa atkārtotu uzturēšanās atļauju, nevis pirmreizēju uzturēšanās atļauju. </w:t>
      </w:r>
    </w:p>
    <w:p w14:paraId="72C0888D" w14:textId="10DBC5BE" w:rsidR="004F7A24" w:rsidRDefault="00EB18AC" w:rsidP="002C63DF">
      <w:pPr>
        <w:spacing w:line="276" w:lineRule="auto"/>
        <w:ind w:firstLine="720"/>
        <w:jc w:val="both"/>
      </w:pPr>
      <w:r>
        <w:t>Krievijas Federācijas pilsoņu tiesīb</w:t>
      </w:r>
      <w:r w:rsidR="00995376">
        <w:t>as</w:t>
      </w:r>
      <w:r>
        <w:t xml:space="preserve"> saņemt </w:t>
      </w:r>
      <w:proofErr w:type="spellStart"/>
      <w:r>
        <w:t>termiņuzturēšanās</w:t>
      </w:r>
      <w:proofErr w:type="spellEnd"/>
      <w:r>
        <w:t xml:space="preserve"> atļaujas sakarā ar nodarbinātību (Imigrācijas likuma 23.</w:t>
      </w:r>
      <w:r w:rsidRPr="00EB18AC">
        <w:rPr>
          <w:vertAlign w:val="superscript"/>
        </w:rPr>
        <w:t>1</w:t>
      </w:r>
      <w:r>
        <w:t>panta otrās daļas 2.punkts)</w:t>
      </w:r>
      <w:r w:rsidR="00995376">
        <w:t xml:space="preserve"> ir saistītas ar Latvijas Republikas pienākumiem starptautisko tiesību, konkrēti Eiropas Savienības tiesību, jomā. Savukārt uzturēšanās atļauju izsniegšana, pamatojoties uz nekustamā īpašuma iegādi, ir valsts autonoma politiska izšķiršanās</w:t>
      </w:r>
      <w:r w:rsidR="0050643C">
        <w:t xml:space="preserve">, kas konkrētajā gadījumā </w:t>
      </w:r>
      <w:r w:rsidR="00995376">
        <w:t>ir pamatota ar valsts drošības apsvērumiem</w:t>
      </w:r>
      <w:r w:rsidR="00FE439D">
        <w:t xml:space="preserve"> konkrētā ģeopolitiskā situācijā (sakarā ar Krievijas uzsākto karu Ukrainā)</w:t>
      </w:r>
      <w:r w:rsidR="00995376">
        <w:t>. Līdz ar to</w:t>
      </w:r>
      <w:r w:rsidR="0081513C">
        <w:t xml:space="preserve"> atšķirīgai attieksmei pret personām, kuras </w:t>
      </w:r>
      <w:r w:rsidR="00995376">
        <w:t xml:space="preserve">pieprasa </w:t>
      </w:r>
      <w:proofErr w:type="spellStart"/>
      <w:r w:rsidR="00995376">
        <w:t>termiņuzturēšanās</w:t>
      </w:r>
      <w:proofErr w:type="spellEnd"/>
      <w:r w:rsidR="00995376">
        <w:t xml:space="preserve"> atļauju, pamatojoties uz nodarbinātību, un personām, kuras pieprasa šādu atļauju, pamatojoties uz nekustamā īpašuma iegādi</w:t>
      </w:r>
      <w:r w:rsidR="0081513C">
        <w:t>, ir pamatots un objektīvs iemesls</w:t>
      </w:r>
      <w:r w:rsidR="00995376">
        <w:t>. P</w:t>
      </w:r>
      <w:r w:rsidR="004F7A24">
        <w:t>ieteicēju viedokli</w:t>
      </w:r>
      <w:r w:rsidR="00995376">
        <w:t>m</w:t>
      </w:r>
      <w:r w:rsidR="004F7A24">
        <w:t xml:space="preserve"> par to, kura personu grupa vairāk apdraud valsts drošības intereses, </w:t>
      </w:r>
      <w:r w:rsidR="00995376">
        <w:t>šajā gadījumā nav juridiskas nozīmes</w:t>
      </w:r>
      <w:r w:rsidR="004F7A24">
        <w:t>.</w:t>
      </w:r>
    </w:p>
    <w:p w14:paraId="480063D5" w14:textId="77777777" w:rsidR="004F7A24" w:rsidRDefault="004F7A24" w:rsidP="002C63DF">
      <w:pPr>
        <w:spacing w:line="276" w:lineRule="auto"/>
        <w:ind w:firstLine="720"/>
        <w:jc w:val="both"/>
      </w:pPr>
    </w:p>
    <w:p w14:paraId="1177DFC3" w14:textId="3FD5DFCE" w:rsidR="00CB5BDA" w:rsidRDefault="004F7A24" w:rsidP="002C63DF">
      <w:pPr>
        <w:spacing w:line="276" w:lineRule="auto"/>
        <w:ind w:firstLine="720"/>
        <w:jc w:val="both"/>
      </w:pPr>
      <w:r>
        <w:t>[</w:t>
      </w:r>
      <w:r w:rsidR="00B676DD">
        <w:t>6</w:t>
      </w:r>
      <w:r>
        <w:t>]</w:t>
      </w:r>
      <w:r w:rsidR="00B676DD">
        <w:t> </w:t>
      </w:r>
      <w:r w:rsidR="00173370">
        <w:t>Pieteicēji kasācijas sūdzībā atsaucas uz Eiropas Cilvēktiesību tiesas spriedumu lietā „</w:t>
      </w:r>
      <w:proofErr w:type="spellStart"/>
      <w:r w:rsidR="00173370" w:rsidRPr="00FE439D">
        <w:rPr>
          <w:i/>
          <w:iCs/>
        </w:rPr>
        <w:t>Kuri</w:t>
      </w:r>
      <w:r w:rsidR="00FE439D" w:rsidRPr="00FE439D">
        <w:rPr>
          <w:i/>
          <w:iCs/>
        </w:rPr>
        <w:t>ć</w:t>
      </w:r>
      <w:proofErr w:type="spellEnd"/>
      <w:r w:rsidR="00173370" w:rsidRPr="00FE439D">
        <w:rPr>
          <w:i/>
          <w:iCs/>
        </w:rPr>
        <w:t xml:space="preserve"> </w:t>
      </w:r>
      <w:proofErr w:type="spellStart"/>
      <w:r w:rsidR="00173370" w:rsidRPr="00FE439D">
        <w:rPr>
          <w:i/>
          <w:iCs/>
        </w:rPr>
        <w:t>and</w:t>
      </w:r>
      <w:proofErr w:type="spellEnd"/>
      <w:r w:rsidR="00173370" w:rsidRPr="00FE439D">
        <w:rPr>
          <w:i/>
          <w:iCs/>
        </w:rPr>
        <w:t xml:space="preserve"> </w:t>
      </w:r>
      <w:proofErr w:type="spellStart"/>
      <w:r w:rsidR="00173370" w:rsidRPr="00FE439D">
        <w:rPr>
          <w:i/>
          <w:iCs/>
        </w:rPr>
        <w:t>Others</w:t>
      </w:r>
      <w:proofErr w:type="spellEnd"/>
      <w:r w:rsidR="00173370" w:rsidRPr="00FE439D">
        <w:rPr>
          <w:i/>
          <w:iCs/>
        </w:rPr>
        <w:t xml:space="preserve"> v. </w:t>
      </w:r>
      <w:proofErr w:type="spellStart"/>
      <w:r w:rsidR="00173370" w:rsidRPr="00FE439D">
        <w:rPr>
          <w:i/>
          <w:iCs/>
        </w:rPr>
        <w:t>Slovenia</w:t>
      </w:r>
      <w:proofErr w:type="spellEnd"/>
      <w:r w:rsidR="00173370">
        <w:t xml:space="preserve">” un norāda, ka uz valstspiederību balstīta diskriminācija nav pieļaujama, ja vien nav konkrētu pierādījumu, kas pamato apdraudējumu valsts drošībai. </w:t>
      </w:r>
      <w:r w:rsidR="00457CDB">
        <w:t xml:space="preserve">Tāpat pieteicēji atsaucas uz </w:t>
      </w:r>
      <w:r w:rsidR="00161979">
        <w:t xml:space="preserve">Eiropas </w:t>
      </w:r>
      <w:r w:rsidR="00457CDB">
        <w:t>Cilvēktiesību tiesas spriedumu lietā „</w:t>
      </w:r>
      <w:r w:rsidR="00457CDB" w:rsidRPr="00FE439D">
        <w:rPr>
          <w:i/>
          <w:iCs/>
        </w:rPr>
        <w:t xml:space="preserve">Konstantinov v. </w:t>
      </w:r>
      <w:proofErr w:type="spellStart"/>
      <w:r w:rsidR="00457CDB" w:rsidRPr="00FE439D">
        <w:rPr>
          <w:i/>
          <w:iCs/>
        </w:rPr>
        <w:t>Netherlands</w:t>
      </w:r>
      <w:proofErr w:type="spellEnd"/>
      <w:r w:rsidR="00457CDB">
        <w:t>” un norāda, ka migrācijas ierobežojumi, kas balstīti uz pieņēmumiem un vispārīgiem argumentiem, ir uzskatāmi par nes</w:t>
      </w:r>
      <w:r w:rsidR="00C61F66">
        <w:t>a</w:t>
      </w:r>
      <w:r w:rsidR="00457CDB">
        <w:t>mērīgiem.</w:t>
      </w:r>
      <w:r w:rsidR="00CB5BDA">
        <w:t xml:space="preserve"> Pieteicēji norāda, ka jau ilgstoši dzīvo Latvijā un nerada draudus valsts drošībai. Pieteicēju ieskatā, arguments par nepieciešamību stiprināt valsts drošību un veicināt starptautisko noziegumu un cilvēktiesību pārkāpumu pārtraukšanu Krievijas uzsāktā kara Ukrainā dēļ ir pārlieku vispārīgs un pārvaldei bija jāizvērtē tieši pieteicēju radītie riski valsts drošībai.</w:t>
      </w:r>
    </w:p>
    <w:p w14:paraId="1FF4A7C1" w14:textId="0FC0A8A5" w:rsidR="00173370" w:rsidRDefault="00173370" w:rsidP="002C63DF">
      <w:pPr>
        <w:spacing w:line="276" w:lineRule="auto"/>
        <w:ind w:firstLine="720"/>
        <w:jc w:val="both"/>
      </w:pPr>
      <w:r>
        <w:t xml:space="preserve">Senatoru kolēģija </w:t>
      </w:r>
      <w:r w:rsidR="00457CDB">
        <w:t>norāda, ka</w:t>
      </w:r>
      <w:r w:rsidR="00C61F66">
        <w:t xml:space="preserve"> no Eiropas Cilvēktiesību tiesas sprieduma lietā „</w:t>
      </w:r>
      <w:proofErr w:type="spellStart"/>
      <w:r w:rsidR="00C61F66" w:rsidRPr="00FE439D">
        <w:rPr>
          <w:i/>
          <w:iCs/>
        </w:rPr>
        <w:t>Kuri</w:t>
      </w:r>
      <w:r w:rsidR="00CB5BDA" w:rsidRPr="00FE439D">
        <w:rPr>
          <w:i/>
          <w:iCs/>
        </w:rPr>
        <w:t>ć</w:t>
      </w:r>
      <w:proofErr w:type="spellEnd"/>
      <w:r w:rsidR="00CB5BDA" w:rsidRPr="00FE439D">
        <w:rPr>
          <w:i/>
          <w:iCs/>
        </w:rPr>
        <w:t xml:space="preserve"> </w:t>
      </w:r>
      <w:proofErr w:type="spellStart"/>
      <w:r w:rsidR="00CB5BDA" w:rsidRPr="00FE439D">
        <w:rPr>
          <w:i/>
          <w:iCs/>
        </w:rPr>
        <w:t>and</w:t>
      </w:r>
      <w:proofErr w:type="spellEnd"/>
      <w:r w:rsidR="00CB5BDA" w:rsidRPr="00FE439D">
        <w:rPr>
          <w:i/>
          <w:iCs/>
        </w:rPr>
        <w:t xml:space="preserve"> </w:t>
      </w:r>
      <w:proofErr w:type="spellStart"/>
      <w:r w:rsidR="00CB5BDA" w:rsidRPr="00FE439D">
        <w:rPr>
          <w:i/>
          <w:iCs/>
        </w:rPr>
        <w:t>Others</w:t>
      </w:r>
      <w:proofErr w:type="spellEnd"/>
      <w:r w:rsidR="00CB5BDA" w:rsidRPr="00FE439D">
        <w:rPr>
          <w:i/>
          <w:iCs/>
        </w:rPr>
        <w:t xml:space="preserve"> v. </w:t>
      </w:r>
      <w:proofErr w:type="spellStart"/>
      <w:r w:rsidR="00CB5BDA" w:rsidRPr="00FE439D">
        <w:rPr>
          <w:i/>
          <w:iCs/>
        </w:rPr>
        <w:t>Slovenia</w:t>
      </w:r>
      <w:proofErr w:type="spellEnd"/>
      <w:r w:rsidR="00CB5BDA">
        <w:t>” izriet, ka,</w:t>
      </w:r>
      <w:r w:rsidR="00457CDB">
        <w:t xml:space="preserve"> izvērtējot, vai ir pieļaujama atšķirīga attieksme pret noteiktu personu grupu, būtiski</w:t>
      </w:r>
      <w:r>
        <w:t xml:space="preserve"> ir tas, vai </w:t>
      </w:r>
      <w:r w:rsidR="00457CDB">
        <w:t>šādai</w:t>
      </w:r>
      <w:r>
        <w:t xml:space="preserve"> attieksmei ir saprātīgs un objektīvs pamatojums</w:t>
      </w:r>
      <w:r w:rsidR="00457CDB">
        <w:t xml:space="preserve"> (</w:t>
      </w:r>
      <w:r w:rsidR="004731DD">
        <w:t xml:space="preserve">sk. </w:t>
      </w:r>
      <w:r w:rsidR="00457CDB" w:rsidRPr="004731DD">
        <w:rPr>
          <w:i/>
          <w:iCs/>
        </w:rPr>
        <w:t xml:space="preserve">Eiropas Cilvēktiesību tiesas 2012.gada 26.jūnija sprieduma lietā </w:t>
      </w:r>
      <w:r w:rsidR="004731DD" w:rsidRPr="004731DD">
        <w:rPr>
          <w:i/>
          <w:iCs/>
        </w:rPr>
        <w:t>„</w:t>
      </w:r>
      <w:proofErr w:type="spellStart"/>
      <w:r w:rsidR="004731DD" w:rsidRPr="004731DD">
        <w:rPr>
          <w:i/>
          <w:iCs/>
        </w:rPr>
        <w:t>Kuri</w:t>
      </w:r>
      <w:bookmarkStart w:id="0" w:name="_Hlk195176475"/>
      <w:r w:rsidR="004731DD" w:rsidRPr="004731DD">
        <w:rPr>
          <w:i/>
          <w:iCs/>
        </w:rPr>
        <w:t>ć</w:t>
      </w:r>
      <w:bookmarkEnd w:id="0"/>
      <w:proofErr w:type="spellEnd"/>
      <w:r w:rsidR="004731DD" w:rsidRPr="004731DD">
        <w:rPr>
          <w:i/>
          <w:iCs/>
        </w:rPr>
        <w:t> </w:t>
      </w:r>
      <w:proofErr w:type="spellStart"/>
      <w:r w:rsidR="004731DD" w:rsidRPr="004731DD">
        <w:rPr>
          <w:i/>
          <w:iCs/>
        </w:rPr>
        <w:t>and</w:t>
      </w:r>
      <w:proofErr w:type="spellEnd"/>
      <w:r w:rsidR="004731DD" w:rsidRPr="004731DD">
        <w:rPr>
          <w:i/>
          <w:iCs/>
        </w:rPr>
        <w:t xml:space="preserve"> </w:t>
      </w:r>
      <w:proofErr w:type="spellStart"/>
      <w:r w:rsidR="004731DD" w:rsidRPr="004731DD">
        <w:rPr>
          <w:i/>
          <w:iCs/>
        </w:rPr>
        <w:t>others</w:t>
      </w:r>
      <w:proofErr w:type="spellEnd"/>
      <w:r w:rsidR="004731DD" w:rsidRPr="004731DD">
        <w:rPr>
          <w:i/>
          <w:iCs/>
        </w:rPr>
        <w:t xml:space="preserve"> v. </w:t>
      </w:r>
      <w:proofErr w:type="spellStart"/>
      <w:r w:rsidR="004731DD" w:rsidRPr="004731DD">
        <w:rPr>
          <w:i/>
          <w:iCs/>
        </w:rPr>
        <w:t>Slovenia</w:t>
      </w:r>
      <w:proofErr w:type="spellEnd"/>
      <w:r w:rsidR="004731DD" w:rsidRPr="004731DD">
        <w:rPr>
          <w:i/>
          <w:iCs/>
        </w:rPr>
        <w:t xml:space="preserve">”, iesnieguma </w:t>
      </w:r>
      <w:r w:rsidR="00457CDB" w:rsidRPr="004731DD">
        <w:rPr>
          <w:i/>
          <w:iCs/>
        </w:rPr>
        <w:t>Nr. 26828/06</w:t>
      </w:r>
      <w:r w:rsidR="004731DD" w:rsidRPr="004731DD">
        <w:rPr>
          <w:i/>
          <w:iCs/>
        </w:rPr>
        <w:t>,</w:t>
      </w:r>
      <w:r w:rsidR="00457CDB" w:rsidRPr="004731DD">
        <w:rPr>
          <w:i/>
          <w:iCs/>
        </w:rPr>
        <w:t xml:space="preserve"> 386.punktu un tajā norādīto judikatūru</w:t>
      </w:r>
      <w:r w:rsidR="00457CDB">
        <w:t>)</w:t>
      </w:r>
      <w:r>
        <w:t xml:space="preserve">. </w:t>
      </w:r>
      <w:r w:rsidR="004731DD">
        <w:t>Izskatāmajā</w:t>
      </w:r>
      <w:r>
        <w:t xml:space="preserve"> gadījumā atšķirīga attieksme pret Krievijas Federācijas pilsoņiem ir pamatota ar valsts drošības apsvērumiem</w:t>
      </w:r>
      <w:r w:rsidR="00CB5BDA">
        <w:t xml:space="preserve"> </w:t>
      </w:r>
      <w:r w:rsidR="00FE439D">
        <w:t>konkrētā ģeopolitiskā situācijā</w:t>
      </w:r>
      <w:r>
        <w:t xml:space="preserve">. Apstākļos, kad Latvijas kaimiņvalsts Krievija veic karadarbību Ukrainā, pieļaujot </w:t>
      </w:r>
      <w:r w:rsidR="00457CDB">
        <w:t xml:space="preserve">brutālus </w:t>
      </w:r>
      <w:r>
        <w:t xml:space="preserve">starptautisko tiesību </w:t>
      </w:r>
      <w:r w:rsidR="00CB5BDA">
        <w:t xml:space="preserve">normu un cilvēktiesību </w:t>
      </w:r>
      <w:r>
        <w:t xml:space="preserve">pārkāpumus, nav nekāda pamata uzskatīt, ka atšķirīga attieksme pret Krievijas Federācijas pilsoņiem attiecībā uz to uzturēšanos Latvijā </w:t>
      </w:r>
      <w:r w:rsidR="00FE439D">
        <w:t>ir</w:t>
      </w:r>
      <w:r>
        <w:t xml:space="preserve"> pamatota </w:t>
      </w:r>
      <w:r w:rsidR="00457CDB">
        <w:t xml:space="preserve">vien </w:t>
      </w:r>
      <w:r>
        <w:t xml:space="preserve">ar vispārīgiem drošības apsvērumiem, kā to </w:t>
      </w:r>
      <w:r w:rsidR="00457CDB">
        <w:t>uzskata</w:t>
      </w:r>
      <w:r>
        <w:t xml:space="preserve"> pieteicēji. </w:t>
      </w:r>
      <w:r w:rsidR="00FE439D">
        <w:t xml:space="preserve">Tie ir konkrētos apstākļos balstīti apsvērumi. </w:t>
      </w:r>
      <w:r w:rsidR="00457CDB">
        <w:t xml:space="preserve">Lai novērstu iespējamos draudus valsts drošībai, kas var izcelties no </w:t>
      </w:r>
      <w:proofErr w:type="spellStart"/>
      <w:r w:rsidR="00457CDB">
        <w:t>agresorvalsts</w:t>
      </w:r>
      <w:proofErr w:type="spellEnd"/>
      <w:r w:rsidR="00457CDB">
        <w:t xml:space="preserve"> pilsoņu uzturēšanās Latvijā, valstij nav </w:t>
      </w:r>
      <w:r w:rsidR="00457CDB">
        <w:lastRenderedPageBreak/>
        <w:t>jāpamato, vai un kā tieši katrs individuāls Krievijas Federācijas pilsonis, kurš vēlas uzturēties Latvijā, faktiski apdraud valsts drošību.</w:t>
      </w:r>
    </w:p>
    <w:p w14:paraId="5EED1320" w14:textId="77777777" w:rsidR="004F7A24" w:rsidRDefault="004F7A24" w:rsidP="002C63DF">
      <w:pPr>
        <w:spacing w:line="276" w:lineRule="auto"/>
        <w:ind w:firstLine="720"/>
        <w:jc w:val="both"/>
      </w:pPr>
    </w:p>
    <w:p w14:paraId="0D4349C8" w14:textId="1C84C8B7" w:rsidR="00B82795" w:rsidRPr="00A50150" w:rsidRDefault="00B82795" w:rsidP="002C63DF">
      <w:pPr>
        <w:spacing w:line="276" w:lineRule="auto"/>
        <w:ind w:firstLine="720"/>
        <w:jc w:val="both"/>
        <w:rPr>
          <w:rFonts w:asciiTheme="majorBidi" w:hAnsiTheme="majorBidi" w:cstheme="majorBidi"/>
        </w:rPr>
      </w:pPr>
      <w:r w:rsidRPr="00A50150">
        <w:rPr>
          <w:rFonts w:asciiTheme="majorBidi" w:hAnsiTheme="majorBidi" w:cstheme="majorBidi"/>
        </w:rPr>
        <w:t>[</w:t>
      </w:r>
      <w:r w:rsidR="00B676DD">
        <w:rPr>
          <w:rFonts w:asciiTheme="majorBidi" w:hAnsiTheme="majorBidi" w:cstheme="majorBidi"/>
        </w:rPr>
        <w:t>7</w:t>
      </w:r>
      <w:r w:rsidRPr="00A50150">
        <w:rPr>
          <w:rFonts w:asciiTheme="majorBidi" w:hAnsiTheme="majorBidi" w:cstheme="majorBidi"/>
        </w:rPr>
        <w:t xml:space="preserve">] Rezumējot minēto, senatoru kolēģija atzīst, ka </w:t>
      </w:r>
      <w:r>
        <w:rPr>
          <w:rFonts w:asciiTheme="majorBidi" w:hAnsiTheme="majorBidi" w:cstheme="majorBidi"/>
        </w:rPr>
        <w:t>pieteicēj</w:t>
      </w:r>
      <w:r w:rsidR="00CB5BDA">
        <w:rPr>
          <w:rFonts w:asciiTheme="majorBidi" w:hAnsiTheme="majorBidi" w:cstheme="majorBidi"/>
        </w:rPr>
        <w:t>u</w:t>
      </w:r>
      <w:r w:rsidRPr="00A50150">
        <w:rPr>
          <w:rFonts w:asciiTheme="majorBidi" w:hAnsiTheme="majorBidi" w:cstheme="majorBidi"/>
        </w:rPr>
        <w:t xml:space="preserve"> kasācijas sūdzībā norādītie apsvērumi nerada šaubas par </w:t>
      </w:r>
      <w:r>
        <w:rPr>
          <w:rFonts w:asciiTheme="majorBidi" w:hAnsiTheme="majorBidi" w:cstheme="majorBidi"/>
        </w:rPr>
        <w:t>apelācijas instances tiesas</w:t>
      </w:r>
      <w:r w:rsidRPr="00A50150">
        <w:rPr>
          <w:rFonts w:asciiTheme="majorBidi" w:hAnsiTheme="majorBidi" w:cstheme="majorBidi"/>
        </w:rPr>
        <w:t xml:space="preserve"> sprieduma tiesiskumu. Izskatāmajai lietai arī nav nozīmes judikatūras veidošanā. Tas ir pamats atteikt ierosināt kasācijas tiesvedību.</w:t>
      </w:r>
    </w:p>
    <w:p w14:paraId="69722C56" w14:textId="77777777" w:rsidR="00B82795" w:rsidRPr="00A50150" w:rsidRDefault="00B82795" w:rsidP="002C63DF">
      <w:pPr>
        <w:spacing w:line="276" w:lineRule="auto"/>
        <w:ind w:firstLine="720"/>
        <w:jc w:val="both"/>
        <w:rPr>
          <w:rFonts w:asciiTheme="majorBidi" w:hAnsiTheme="majorBidi" w:cstheme="majorBidi"/>
        </w:rPr>
      </w:pPr>
    </w:p>
    <w:p w14:paraId="5C1BBF4D" w14:textId="77777777" w:rsidR="00B82795" w:rsidRDefault="00B82795" w:rsidP="002C63DF">
      <w:pPr>
        <w:spacing w:line="276" w:lineRule="auto"/>
        <w:ind w:firstLine="720"/>
        <w:jc w:val="both"/>
        <w:rPr>
          <w:rFonts w:asciiTheme="majorBidi" w:hAnsiTheme="majorBidi" w:cstheme="majorBidi"/>
        </w:rPr>
      </w:pPr>
      <w:r w:rsidRPr="00A50150">
        <w:rPr>
          <w:rFonts w:asciiTheme="majorBidi" w:hAnsiTheme="majorBidi" w:cstheme="majorBidi"/>
        </w:rPr>
        <w:t>Pamatojoties uz Administratīvā procesa likuma 338.panta otro daļu un 338.</w:t>
      </w:r>
      <w:r w:rsidRPr="00A50150">
        <w:rPr>
          <w:rFonts w:asciiTheme="majorBidi" w:hAnsiTheme="majorBidi" w:cstheme="majorBidi"/>
          <w:vertAlign w:val="superscript"/>
        </w:rPr>
        <w:t>1</w:t>
      </w:r>
      <w:r w:rsidRPr="00A50150">
        <w:rPr>
          <w:rFonts w:asciiTheme="majorBidi" w:hAnsiTheme="majorBidi" w:cstheme="majorBidi"/>
        </w:rPr>
        <w:t xml:space="preserve">panta </w:t>
      </w:r>
      <w:r>
        <w:rPr>
          <w:rFonts w:asciiTheme="majorBidi" w:hAnsiTheme="majorBidi" w:cstheme="majorBidi"/>
        </w:rPr>
        <w:t>otrās daļas</w:t>
      </w:r>
      <w:r w:rsidRPr="00A50150">
        <w:rPr>
          <w:rFonts w:asciiTheme="majorBidi" w:hAnsiTheme="majorBidi" w:cstheme="majorBidi"/>
        </w:rPr>
        <w:t xml:space="preserve"> </w:t>
      </w:r>
      <w:r>
        <w:rPr>
          <w:rFonts w:asciiTheme="majorBidi" w:hAnsiTheme="majorBidi" w:cstheme="majorBidi"/>
        </w:rPr>
        <w:t>2.punktu</w:t>
      </w:r>
      <w:r w:rsidRPr="00A50150">
        <w:rPr>
          <w:rFonts w:asciiTheme="majorBidi" w:hAnsiTheme="majorBidi" w:cstheme="majorBidi"/>
        </w:rPr>
        <w:t>, senatoru kolēģija</w:t>
      </w:r>
    </w:p>
    <w:p w14:paraId="3BD721D7" w14:textId="77777777" w:rsidR="00D84DB2" w:rsidRPr="00A50150" w:rsidRDefault="00D84DB2" w:rsidP="002C63DF">
      <w:pPr>
        <w:spacing w:line="276" w:lineRule="auto"/>
        <w:ind w:firstLine="720"/>
        <w:jc w:val="both"/>
        <w:rPr>
          <w:rFonts w:asciiTheme="majorBidi" w:hAnsiTheme="majorBidi" w:cstheme="majorBidi"/>
          <w:strike/>
        </w:rPr>
      </w:pPr>
    </w:p>
    <w:p w14:paraId="5FBCB449" w14:textId="662A08A6" w:rsidR="00B82795" w:rsidRPr="00B17B0C" w:rsidRDefault="00B82795" w:rsidP="002C63DF">
      <w:pPr>
        <w:spacing w:line="276" w:lineRule="auto"/>
        <w:jc w:val="center"/>
        <w:rPr>
          <w:b/>
        </w:rPr>
      </w:pPr>
      <w:r w:rsidRPr="00B17B0C">
        <w:rPr>
          <w:b/>
        </w:rPr>
        <w:t>nolēma</w:t>
      </w:r>
    </w:p>
    <w:p w14:paraId="655D41D7" w14:textId="77777777" w:rsidR="00B82795" w:rsidRPr="00B17B0C" w:rsidRDefault="00B82795" w:rsidP="002C63DF">
      <w:pPr>
        <w:spacing w:line="276" w:lineRule="auto"/>
        <w:jc w:val="center"/>
        <w:rPr>
          <w:b/>
        </w:rPr>
      </w:pPr>
    </w:p>
    <w:p w14:paraId="45B3AF78" w14:textId="176817BA" w:rsidR="00B82795" w:rsidRDefault="00B82795" w:rsidP="002C63DF">
      <w:pPr>
        <w:spacing w:line="276" w:lineRule="auto"/>
        <w:ind w:firstLine="720"/>
        <w:jc w:val="both"/>
      </w:pPr>
      <w:r>
        <w:t xml:space="preserve">atteikt ierosināt kasācijas tiesvedību sakarā ar </w:t>
      </w:r>
      <w:r w:rsidR="002C63DF">
        <w:rPr>
          <w:rFonts w:asciiTheme="majorBidi" w:hAnsiTheme="majorBidi" w:cstheme="majorBidi"/>
        </w:rPr>
        <w:t xml:space="preserve">[pers. A] </w:t>
      </w:r>
      <w:r w:rsidR="00CB5BDA">
        <w:rPr>
          <w:rFonts w:asciiTheme="majorBidi" w:hAnsiTheme="majorBidi" w:cstheme="majorBidi"/>
        </w:rPr>
        <w:t xml:space="preserve">un </w:t>
      </w:r>
      <w:r w:rsidR="002C63DF">
        <w:rPr>
          <w:rFonts w:asciiTheme="majorBidi" w:hAnsiTheme="majorBidi" w:cstheme="majorBidi"/>
        </w:rPr>
        <w:t xml:space="preserve">[pers. B] </w:t>
      </w:r>
      <w:r>
        <w:t xml:space="preserve">kasācijas sūdzību par Administratīvās apgabaltiesas </w:t>
      </w:r>
      <w:r w:rsidRPr="00C77465">
        <w:t xml:space="preserve">2024.gada </w:t>
      </w:r>
      <w:r w:rsidR="00CB5BDA">
        <w:t>25.novembra</w:t>
      </w:r>
      <w:r>
        <w:t xml:space="preserve"> spriedumu.</w:t>
      </w:r>
    </w:p>
    <w:p w14:paraId="195F6AAF" w14:textId="77777777" w:rsidR="00B82795" w:rsidRDefault="00B82795" w:rsidP="002C63DF">
      <w:pPr>
        <w:spacing w:line="276" w:lineRule="auto"/>
        <w:ind w:firstLine="720"/>
        <w:jc w:val="both"/>
      </w:pPr>
    </w:p>
    <w:p w14:paraId="7C8C781D" w14:textId="77777777" w:rsidR="00B82795" w:rsidRDefault="00B82795" w:rsidP="002C63DF">
      <w:pPr>
        <w:spacing w:line="276" w:lineRule="auto"/>
        <w:ind w:firstLine="720"/>
        <w:jc w:val="both"/>
      </w:pPr>
      <w:r w:rsidRPr="00B17B0C">
        <w:t xml:space="preserve">Lēmums </w:t>
      </w:r>
      <w:r w:rsidRPr="001F40A0">
        <w:t>nav pārsūdzams.</w:t>
      </w:r>
    </w:p>
    <w:p w14:paraId="33E8E7BF" w14:textId="77777777" w:rsidR="00B82795" w:rsidRDefault="00B82795" w:rsidP="002C63DF">
      <w:pPr>
        <w:spacing w:line="276" w:lineRule="auto"/>
        <w:jc w:val="both"/>
      </w:pPr>
    </w:p>
    <w:p w14:paraId="090F63EE" w14:textId="77777777" w:rsidR="00B82795" w:rsidRDefault="00B82795" w:rsidP="002C63DF">
      <w:pPr>
        <w:spacing w:line="276" w:lineRule="auto"/>
        <w:jc w:val="both"/>
      </w:pPr>
    </w:p>
    <w:p w14:paraId="2E795743" w14:textId="77777777" w:rsidR="00B82795" w:rsidRDefault="00B82795" w:rsidP="002C63DF">
      <w:pPr>
        <w:spacing w:line="276" w:lineRule="auto"/>
        <w:jc w:val="both"/>
      </w:pPr>
    </w:p>
    <w:p w14:paraId="001568DB" w14:textId="77777777" w:rsidR="00B82795" w:rsidRDefault="00B82795" w:rsidP="002C63DF">
      <w:pPr>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2846"/>
        <w:gridCol w:w="2847"/>
      </w:tblGrid>
      <w:tr w:rsidR="00B82795" w:rsidRPr="00CB5BDA" w14:paraId="6F9D19C0" w14:textId="77777777" w:rsidTr="00124E2F">
        <w:tc>
          <w:tcPr>
            <w:tcW w:w="2942" w:type="dxa"/>
            <w:vAlign w:val="center"/>
          </w:tcPr>
          <w:p w14:paraId="50643FEC" w14:textId="2671F95B" w:rsidR="00B82795" w:rsidRPr="001B2F01" w:rsidRDefault="00B82795" w:rsidP="002C63DF">
            <w:pPr>
              <w:spacing w:line="276" w:lineRule="auto"/>
              <w:rPr>
                <w:sz w:val="24"/>
                <w:szCs w:val="32"/>
              </w:rPr>
            </w:pPr>
            <w:r w:rsidRPr="001B2F01">
              <w:rPr>
                <w:sz w:val="24"/>
                <w:szCs w:val="32"/>
              </w:rPr>
              <w:t>Senator</w:t>
            </w:r>
            <w:r>
              <w:rPr>
                <w:sz w:val="24"/>
                <w:szCs w:val="32"/>
              </w:rPr>
              <w:t>e V. Kakste</w:t>
            </w:r>
          </w:p>
        </w:tc>
        <w:tc>
          <w:tcPr>
            <w:tcW w:w="2943" w:type="dxa"/>
            <w:vAlign w:val="center"/>
          </w:tcPr>
          <w:p w14:paraId="30F51A93" w14:textId="1444C34A" w:rsidR="00B82795" w:rsidRPr="00CB5BDA" w:rsidRDefault="00B82795" w:rsidP="002C63DF">
            <w:pPr>
              <w:spacing w:line="276" w:lineRule="auto"/>
              <w:jc w:val="center"/>
              <w:rPr>
                <w:sz w:val="24"/>
                <w:szCs w:val="32"/>
              </w:rPr>
            </w:pPr>
            <w:r w:rsidRPr="00CB5BDA">
              <w:rPr>
                <w:sz w:val="24"/>
                <w:szCs w:val="32"/>
              </w:rPr>
              <w:t xml:space="preserve">Senators </w:t>
            </w:r>
            <w:r w:rsidR="00CB5BDA" w:rsidRPr="00CB5BDA">
              <w:rPr>
                <w:sz w:val="24"/>
                <w:szCs w:val="32"/>
              </w:rPr>
              <w:t>E. Darapoļskis</w:t>
            </w:r>
          </w:p>
        </w:tc>
        <w:tc>
          <w:tcPr>
            <w:tcW w:w="2943" w:type="dxa"/>
            <w:vAlign w:val="center"/>
          </w:tcPr>
          <w:p w14:paraId="460958B6" w14:textId="4EF96601" w:rsidR="00B82795" w:rsidRPr="00CB5BDA" w:rsidRDefault="00B82795" w:rsidP="002C63DF">
            <w:pPr>
              <w:spacing w:line="276" w:lineRule="auto"/>
              <w:jc w:val="right"/>
              <w:rPr>
                <w:sz w:val="24"/>
                <w:szCs w:val="32"/>
              </w:rPr>
            </w:pPr>
            <w:r w:rsidRPr="00CB5BDA">
              <w:rPr>
                <w:sz w:val="24"/>
                <w:szCs w:val="32"/>
              </w:rPr>
              <w:t>Senator</w:t>
            </w:r>
            <w:r w:rsidR="00CB5BDA" w:rsidRPr="00CB5BDA">
              <w:rPr>
                <w:sz w:val="24"/>
                <w:szCs w:val="32"/>
              </w:rPr>
              <w:t>e A. Kovaļevska</w:t>
            </w:r>
          </w:p>
        </w:tc>
      </w:tr>
    </w:tbl>
    <w:p w14:paraId="78F1E092" w14:textId="77777777" w:rsidR="00B82795" w:rsidRDefault="00B82795" w:rsidP="002C63DF">
      <w:pPr>
        <w:spacing w:line="276" w:lineRule="auto"/>
      </w:pPr>
    </w:p>
    <w:p w14:paraId="3CAF0D75" w14:textId="77777777" w:rsidR="007A1FC5" w:rsidRDefault="007A1FC5" w:rsidP="002C63DF">
      <w:pPr>
        <w:spacing w:line="276" w:lineRule="auto"/>
      </w:pPr>
    </w:p>
    <w:sectPr w:rsidR="007A1FC5" w:rsidSect="00B82795">
      <w:footerReference w:type="default" r:id="rId10"/>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C116" w14:textId="77777777" w:rsidR="00B676DD" w:rsidRDefault="00B676DD">
      <w:r>
        <w:separator/>
      </w:r>
    </w:p>
  </w:endnote>
  <w:endnote w:type="continuationSeparator" w:id="0">
    <w:p w14:paraId="62227B74" w14:textId="77777777" w:rsidR="00B676DD" w:rsidRDefault="00B6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3E25" w14:textId="0C40A2B6" w:rsidR="004F7A24" w:rsidRPr="009F7ACE" w:rsidRDefault="004F7A24" w:rsidP="009F7ACE">
    <w:pPr>
      <w:pStyle w:val="Footer"/>
      <w:jc w:val="center"/>
      <w:rPr>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PAGE  </w:instrText>
    </w:r>
    <w:r>
      <w:rPr>
        <w:rStyle w:val="PageNumber"/>
        <w:rFonts w:eastAsiaTheme="majorEastAsia"/>
        <w:sz w:val="20"/>
        <w:szCs w:val="20"/>
      </w:rPr>
      <w:fldChar w:fldCharType="separate"/>
    </w:r>
    <w:r>
      <w:rPr>
        <w:rStyle w:val="PageNumber"/>
        <w:rFonts w:eastAsiaTheme="majorEastAsia"/>
        <w:sz w:val="20"/>
        <w:szCs w:val="20"/>
      </w:rPr>
      <w:t>1</w:t>
    </w:r>
    <w:r>
      <w:rPr>
        <w:rStyle w:val="PageNumber"/>
        <w:rFonts w:eastAsiaTheme="majorEastAsia"/>
        <w:sz w:val="20"/>
        <w:szCs w:val="20"/>
      </w:rPr>
      <w:fldChar w:fldCharType="end"/>
    </w:r>
    <w:r>
      <w:rPr>
        <w:rStyle w:val="PageNumber"/>
        <w:rFonts w:eastAsiaTheme="majorEastAsia"/>
        <w:sz w:val="20"/>
        <w:szCs w:val="20"/>
      </w:rPr>
      <w:t xml:space="preserve"> no </w:t>
    </w:r>
    <w:r>
      <w:rPr>
        <w:rStyle w:val="PageNumber"/>
        <w:rFonts w:eastAsiaTheme="majorEastAsia"/>
        <w:noProof/>
        <w:sz w:val="20"/>
        <w:szCs w:val="20"/>
      </w:rPr>
      <w:fldChar w:fldCharType="begin"/>
    </w:r>
    <w:r>
      <w:rPr>
        <w:rStyle w:val="PageNumber"/>
        <w:rFonts w:eastAsiaTheme="majorEastAsia"/>
        <w:noProof/>
        <w:sz w:val="20"/>
        <w:szCs w:val="20"/>
      </w:rPr>
      <w:instrText xml:space="preserve"> SECTIONPAGES   \* MERGEFORMAT </w:instrText>
    </w:r>
    <w:r>
      <w:rPr>
        <w:rStyle w:val="PageNumber"/>
        <w:rFonts w:eastAsiaTheme="majorEastAsia"/>
        <w:noProof/>
        <w:sz w:val="20"/>
        <w:szCs w:val="20"/>
      </w:rPr>
      <w:fldChar w:fldCharType="separate"/>
    </w:r>
    <w:r w:rsidR="007F4851">
      <w:rPr>
        <w:rStyle w:val="PageNumber"/>
        <w:rFonts w:eastAsiaTheme="majorEastAsia"/>
        <w:noProof/>
        <w:sz w:val="20"/>
        <w:szCs w:val="20"/>
      </w:rPr>
      <w:t>4</w:t>
    </w:r>
    <w:r>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E5B7" w14:textId="77777777" w:rsidR="00B676DD" w:rsidRDefault="00B676DD">
      <w:r>
        <w:separator/>
      </w:r>
    </w:p>
  </w:footnote>
  <w:footnote w:type="continuationSeparator" w:id="0">
    <w:p w14:paraId="4E3385B0" w14:textId="77777777" w:rsidR="00B676DD" w:rsidRDefault="00B67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A040C"/>
    <w:multiLevelType w:val="hybridMultilevel"/>
    <w:tmpl w:val="2EDC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93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10"/>
    <w:rsid w:val="00006114"/>
    <w:rsid w:val="0000651E"/>
    <w:rsid w:val="000076F3"/>
    <w:rsid w:val="000108F8"/>
    <w:rsid w:val="000235AB"/>
    <w:rsid w:val="000304C8"/>
    <w:rsid w:val="00032A2D"/>
    <w:rsid w:val="00035CCF"/>
    <w:rsid w:val="00036F01"/>
    <w:rsid w:val="00040F80"/>
    <w:rsid w:val="000410E3"/>
    <w:rsid w:val="00043B78"/>
    <w:rsid w:val="00047BA4"/>
    <w:rsid w:val="00050CB2"/>
    <w:rsid w:val="00052148"/>
    <w:rsid w:val="00054A2D"/>
    <w:rsid w:val="00054AAB"/>
    <w:rsid w:val="00066422"/>
    <w:rsid w:val="00073E6D"/>
    <w:rsid w:val="00077642"/>
    <w:rsid w:val="00081300"/>
    <w:rsid w:val="00084759"/>
    <w:rsid w:val="00086930"/>
    <w:rsid w:val="00090961"/>
    <w:rsid w:val="000A1BA0"/>
    <w:rsid w:val="000C6468"/>
    <w:rsid w:val="000C6F35"/>
    <w:rsid w:val="000C73AC"/>
    <w:rsid w:val="000D12FC"/>
    <w:rsid w:val="000D4653"/>
    <w:rsid w:val="000D4933"/>
    <w:rsid w:val="000D6017"/>
    <w:rsid w:val="000E7BC2"/>
    <w:rsid w:val="000F2B11"/>
    <w:rsid w:val="000F2DA1"/>
    <w:rsid w:val="000F47B7"/>
    <w:rsid w:val="000F4839"/>
    <w:rsid w:val="00100153"/>
    <w:rsid w:val="00101BE3"/>
    <w:rsid w:val="00101C18"/>
    <w:rsid w:val="001054F1"/>
    <w:rsid w:val="00111E73"/>
    <w:rsid w:val="00114345"/>
    <w:rsid w:val="00114AB2"/>
    <w:rsid w:val="00114EB3"/>
    <w:rsid w:val="00115638"/>
    <w:rsid w:val="0011631C"/>
    <w:rsid w:val="0012142B"/>
    <w:rsid w:val="001235C0"/>
    <w:rsid w:val="001238F5"/>
    <w:rsid w:val="00124B53"/>
    <w:rsid w:val="0012753F"/>
    <w:rsid w:val="00134613"/>
    <w:rsid w:val="00142588"/>
    <w:rsid w:val="00150605"/>
    <w:rsid w:val="001513B6"/>
    <w:rsid w:val="00154755"/>
    <w:rsid w:val="001565A9"/>
    <w:rsid w:val="00157AE1"/>
    <w:rsid w:val="00161979"/>
    <w:rsid w:val="00163B46"/>
    <w:rsid w:val="00165FF0"/>
    <w:rsid w:val="001679BE"/>
    <w:rsid w:val="001724FC"/>
    <w:rsid w:val="00173370"/>
    <w:rsid w:val="00174EF5"/>
    <w:rsid w:val="00174F9F"/>
    <w:rsid w:val="00175FF0"/>
    <w:rsid w:val="00182B36"/>
    <w:rsid w:val="001918BF"/>
    <w:rsid w:val="00192C6F"/>
    <w:rsid w:val="00197B05"/>
    <w:rsid w:val="001A0E8C"/>
    <w:rsid w:val="001A6A43"/>
    <w:rsid w:val="001B3D01"/>
    <w:rsid w:val="001B42F2"/>
    <w:rsid w:val="001B7D64"/>
    <w:rsid w:val="001C0E4A"/>
    <w:rsid w:val="001C1FEC"/>
    <w:rsid w:val="001D76FC"/>
    <w:rsid w:val="001E2C95"/>
    <w:rsid w:val="001E3144"/>
    <w:rsid w:val="001F2D53"/>
    <w:rsid w:val="001F3508"/>
    <w:rsid w:val="001F4CA7"/>
    <w:rsid w:val="001F7B98"/>
    <w:rsid w:val="00202B7F"/>
    <w:rsid w:val="00204BBB"/>
    <w:rsid w:val="00204FE6"/>
    <w:rsid w:val="00214DB6"/>
    <w:rsid w:val="00215D44"/>
    <w:rsid w:val="00217CEA"/>
    <w:rsid w:val="00222E9C"/>
    <w:rsid w:val="00224E31"/>
    <w:rsid w:val="00226E94"/>
    <w:rsid w:val="00230AA1"/>
    <w:rsid w:val="00234A06"/>
    <w:rsid w:val="00240783"/>
    <w:rsid w:val="00242F41"/>
    <w:rsid w:val="002454E2"/>
    <w:rsid w:val="002531FC"/>
    <w:rsid w:val="0025484E"/>
    <w:rsid w:val="002565A4"/>
    <w:rsid w:val="00256F35"/>
    <w:rsid w:val="002603DA"/>
    <w:rsid w:val="0027023B"/>
    <w:rsid w:val="00271A04"/>
    <w:rsid w:val="00275028"/>
    <w:rsid w:val="00281703"/>
    <w:rsid w:val="0028425D"/>
    <w:rsid w:val="0028577C"/>
    <w:rsid w:val="00286D13"/>
    <w:rsid w:val="00287B70"/>
    <w:rsid w:val="002A195D"/>
    <w:rsid w:val="002A4003"/>
    <w:rsid w:val="002A5827"/>
    <w:rsid w:val="002A619D"/>
    <w:rsid w:val="002B04A6"/>
    <w:rsid w:val="002B0C01"/>
    <w:rsid w:val="002B4792"/>
    <w:rsid w:val="002C18AC"/>
    <w:rsid w:val="002C18D1"/>
    <w:rsid w:val="002C18DE"/>
    <w:rsid w:val="002C396C"/>
    <w:rsid w:val="002C5668"/>
    <w:rsid w:val="002C63DF"/>
    <w:rsid w:val="002E5884"/>
    <w:rsid w:val="002F093C"/>
    <w:rsid w:val="002F0E27"/>
    <w:rsid w:val="002F2E07"/>
    <w:rsid w:val="002F5244"/>
    <w:rsid w:val="003017EB"/>
    <w:rsid w:val="00302FA0"/>
    <w:rsid w:val="00303631"/>
    <w:rsid w:val="00304B29"/>
    <w:rsid w:val="003063FA"/>
    <w:rsid w:val="0030698E"/>
    <w:rsid w:val="00311421"/>
    <w:rsid w:val="003140B8"/>
    <w:rsid w:val="00316179"/>
    <w:rsid w:val="00324719"/>
    <w:rsid w:val="003301D9"/>
    <w:rsid w:val="00330603"/>
    <w:rsid w:val="00330F44"/>
    <w:rsid w:val="003417B2"/>
    <w:rsid w:val="00345191"/>
    <w:rsid w:val="00345D1E"/>
    <w:rsid w:val="00357CC2"/>
    <w:rsid w:val="003636A6"/>
    <w:rsid w:val="00367A55"/>
    <w:rsid w:val="00373342"/>
    <w:rsid w:val="00374549"/>
    <w:rsid w:val="00376BEA"/>
    <w:rsid w:val="00377980"/>
    <w:rsid w:val="00380532"/>
    <w:rsid w:val="00384D04"/>
    <w:rsid w:val="00391081"/>
    <w:rsid w:val="003938C1"/>
    <w:rsid w:val="00393EB4"/>
    <w:rsid w:val="00396E5C"/>
    <w:rsid w:val="003A2359"/>
    <w:rsid w:val="003A283C"/>
    <w:rsid w:val="003A506F"/>
    <w:rsid w:val="003A57FD"/>
    <w:rsid w:val="003B7E52"/>
    <w:rsid w:val="003C1AF7"/>
    <w:rsid w:val="003C28F0"/>
    <w:rsid w:val="003C4254"/>
    <w:rsid w:val="003C55D1"/>
    <w:rsid w:val="003C6973"/>
    <w:rsid w:val="003C707F"/>
    <w:rsid w:val="003D2D3F"/>
    <w:rsid w:val="003D7C4C"/>
    <w:rsid w:val="003E450B"/>
    <w:rsid w:val="003F096B"/>
    <w:rsid w:val="003F7510"/>
    <w:rsid w:val="004014A7"/>
    <w:rsid w:val="00406C42"/>
    <w:rsid w:val="00424346"/>
    <w:rsid w:val="004301F4"/>
    <w:rsid w:val="00431E51"/>
    <w:rsid w:val="004432C9"/>
    <w:rsid w:val="00446903"/>
    <w:rsid w:val="00447DCE"/>
    <w:rsid w:val="00454095"/>
    <w:rsid w:val="00457CB5"/>
    <w:rsid w:val="00457CDB"/>
    <w:rsid w:val="004638C4"/>
    <w:rsid w:val="00464A94"/>
    <w:rsid w:val="00465375"/>
    <w:rsid w:val="00465802"/>
    <w:rsid w:val="004661C1"/>
    <w:rsid w:val="0046673F"/>
    <w:rsid w:val="00470137"/>
    <w:rsid w:val="004731DD"/>
    <w:rsid w:val="0047783D"/>
    <w:rsid w:val="0049000E"/>
    <w:rsid w:val="004A1820"/>
    <w:rsid w:val="004B05D1"/>
    <w:rsid w:val="004B1239"/>
    <w:rsid w:val="004B2367"/>
    <w:rsid w:val="004B5E45"/>
    <w:rsid w:val="004C0264"/>
    <w:rsid w:val="004C1923"/>
    <w:rsid w:val="004C48C8"/>
    <w:rsid w:val="004D00BE"/>
    <w:rsid w:val="004D130A"/>
    <w:rsid w:val="004D2B7B"/>
    <w:rsid w:val="004E0070"/>
    <w:rsid w:val="004E07D3"/>
    <w:rsid w:val="004E317D"/>
    <w:rsid w:val="004F18D4"/>
    <w:rsid w:val="004F311E"/>
    <w:rsid w:val="004F7A24"/>
    <w:rsid w:val="0050643C"/>
    <w:rsid w:val="00511A3D"/>
    <w:rsid w:val="00512825"/>
    <w:rsid w:val="0051415A"/>
    <w:rsid w:val="00515CA9"/>
    <w:rsid w:val="00517A23"/>
    <w:rsid w:val="00520DEF"/>
    <w:rsid w:val="00522281"/>
    <w:rsid w:val="00524DF1"/>
    <w:rsid w:val="005256E8"/>
    <w:rsid w:val="0053481C"/>
    <w:rsid w:val="00550C31"/>
    <w:rsid w:val="00554C04"/>
    <w:rsid w:val="00560203"/>
    <w:rsid w:val="00564D17"/>
    <w:rsid w:val="0057044A"/>
    <w:rsid w:val="00571D7C"/>
    <w:rsid w:val="00571F1B"/>
    <w:rsid w:val="00571FA0"/>
    <w:rsid w:val="00572626"/>
    <w:rsid w:val="00573A49"/>
    <w:rsid w:val="005809B4"/>
    <w:rsid w:val="005821AC"/>
    <w:rsid w:val="00584453"/>
    <w:rsid w:val="00584D38"/>
    <w:rsid w:val="0059739B"/>
    <w:rsid w:val="005A051A"/>
    <w:rsid w:val="005A38BF"/>
    <w:rsid w:val="005A6811"/>
    <w:rsid w:val="005B250A"/>
    <w:rsid w:val="005C112C"/>
    <w:rsid w:val="005C460C"/>
    <w:rsid w:val="005D0F45"/>
    <w:rsid w:val="005D1FB9"/>
    <w:rsid w:val="005D276F"/>
    <w:rsid w:val="005D55EE"/>
    <w:rsid w:val="005D696E"/>
    <w:rsid w:val="005E1381"/>
    <w:rsid w:val="005E2936"/>
    <w:rsid w:val="005E3CD6"/>
    <w:rsid w:val="005E52F2"/>
    <w:rsid w:val="005E760F"/>
    <w:rsid w:val="005E762B"/>
    <w:rsid w:val="005F3A9B"/>
    <w:rsid w:val="005F75FF"/>
    <w:rsid w:val="00600D4D"/>
    <w:rsid w:val="00603E43"/>
    <w:rsid w:val="00603EF4"/>
    <w:rsid w:val="00606A4D"/>
    <w:rsid w:val="00607194"/>
    <w:rsid w:val="0060743E"/>
    <w:rsid w:val="00617106"/>
    <w:rsid w:val="00621114"/>
    <w:rsid w:val="006341BE"/>
    <w:rsid w:val="00634D0D"/>
    <w:rsid w:val="00634F72"/>
    <w:rsid w:val="006415A3"/>
    <w:rsid w:val="00641BB8"/>
    <w:rsid w:val="0064339A"/>
    <w:rsid w:val="00644EA1"/>
    <w:rsid w:val="00646CB3"/>
    <w:rsid w:val="00652EBE"/>
    <w:rsid w:val="00663143"/>
    <w:rsid w:val="00673E84"/>
    <w:rsid w:val="00680CE3"/>
    <w:rsid w:val="00682AD6"/>
    <w:rsid w:val="00682B5D"/>
    <w:rsid w:val="00683C06"/>
    <w:rsid w:val="00683E21"/>
    <w:rsid w:val="006842E5"/>
    <w:rsid w:val="0068437A"/>
    <w:rsid w:val="00693D23"/>
    <w:rsid w:val="006949C5"/>
    <w:rsid w:val="0069507C"/>
    <w:rsid w:val="00696CB4"/>
    <w:rsid w:val="0069789D"/>
    <w:rsid w:val="006A3F10"/>
    <w:rsid w:val="006A42BA"/>
    <w:rsid w:val="006B5D1B"/>
    <w:rsid w:val="006C5740"/>
    <w:rsid w:val="006C5DA2"/>
    <w:rsid w:val="006C6194"/>
    <w:rsid w:val="006D4C79"/>
    <w:rsid w:val="006D6767"/>
    <w:rsid w:val="006E0462"/>
    <w:rsid w:val="006E1C5A"/>
    <w:rsid w:val="006E2474"/>
    <w:rsid w:val="006E2C36"/>
    <w:rsid w:val="006E40D0"/>
    <w:rsid w:val="006F1DDD"/>
    <w:rsid w:val="006F2414"/>
    <w:rsid w:val="006F4796"/>
    <w:rsid w:val="00700A10"/>
    <w:rsid w:val="0070152F"/>
    <w:rsid w:val="00702D7E"/>
    <w:rsid w:val="00703A13"/>
    <w:rsid w:val="00705CCA"/>
    <w:rsid w:val="00713336"/>
    <w:rsid w:val="00723D80"/>
    <w:rsid w:val="00731A5B"/>
    <w:rsid w:val="007366A6"/>
    <w:rsid w:val="00737DFF"/>
    <w:rsid w:val="007441BA"/>
    <w:rsid w:val="00747697"/>
    <w:rsid w:val="00752B07"/>
    <w:rsid w:val="00762E58"/>
    <w:rsid w:val="0076771C"/>
    <w:rsid w:val="00781FA0"/>
    <w:rsid w:val="00790516"/>
    <w:rsid w:val="00790A73"/>
    <w:rsid w:val="00791684"/>
    <w:rsid w:val="00793490"/>
    <w:rsid w:val="00793FFC"/>
    <w:rsid w:val="00796936"/>
    <w:rsid w:val="007A1FC5"/>
    <w:rsid w:val="007A3374"/>
    <w:rsid w:val="007A37B5"/>
    <w:rsid w:val="007B02D9"/>
    <w:rsid w:val="007B344B"/>
    <w:rsid w:val="007C0312"/>
    <w:rsid w:val="007C1D2D"/>
    <w:rsid w:val="007C6CA0"/>
    <w:rsid w:val="007E657C"/>
    <w:rsid w:val="007E66AB"/>
    <w:rsid w:val="007E6DDE"/>
    <w:rsid w:val="007F15BF"/>
    <w:rsid w:val="007F1E8E"/>
    <w:rsid w:val="007F2C4E"/>
    <w:rsid w:val="007F4851"/>
    <w:rsid w:val="007F6401"/>
    <w:rsid w:val="00801126"/>
    <w:rsid w:val="008015A8"/>
    <w:rsid w:val="00803A7E"/>
    <w:rsid w:val="00806D00"/>
    <w:rsid w:val="00811EBA"/>
    <w:rsid w:val="0081513C"/>
    <w:rsid w:val="0081784A"/>
    <w:rsid w:val="008216AB"/>
    <w:rsid w:val="00823215"/>
    <w:rsid w:val="008261CB"/>
    <w:rsid w:val="0082670E"/>
    <w:rsid w:val="00827354"/>
    <w:rsid w:val="008320AF"/>
    <w:rsid w:val="00840381"/>
    <w:rsid w:val="00840CC0"/>
    <w:rsid w:val="008424FC"/>
    <w:rsid w:val="0084392A"/>
    <w:rsid w:val="008449C3"/>
    <w:rsid w:val="00846875"/>
    <w:rsid w:val="008478C3"/>
    <w:rsid w:val="00853D2C"/>
    <w:rsid w:val="0087083C"/>
    <w:rsid w:val="008711C8"/>
    <w:rsid w:val="0087205C"/>
    <w:rsid w:val="0087332C"/>
    <w:rsid w:val="00873382"/>
    <w:rsid w:val="008774DA"/>
    <w:rsid w:val="0088049B"/>
    <w:rsid w:val="008819FC"/>
    <w:rsid w:val="00886A14"/>
    <w:rsid w:val="00886A24"/>
    <w:rsid w:val="00887270"/>
    <w:rsid w:val="008921A6"/>
    <w:rsid w:val="008926C3"/>
    <w:rsid w:val="00893769"/>
    <w:rsid w:val="00896224"/>
    <w:rsid w:val="00897751"/>
    <w:rsid w:val="008A2674"/>
    <w:rsid w:val="008A2E60"/>
    <w:rsid w:val="008A39FA"/>
    <w:rsid w:val="008B1088"/>
    <w:rsid w:val="008B1AE3"/>
    <w:rsid w:val="008B2C1D"/>
    <w:rsid w:val="008B5CB9"/>
    <w:rsid w:val="008C2308"/>
    <w:rsid w:val="008C41F7"/>
    <w:rsid w:val="008D17C4"/>
    <w:rsid w:val="008D2840"/>
    <w:rsid w:val="008D36B7"/>
    <w:rsid w:val="008D3824"/>
    <w:rsid w:val="008D3CB8"/>
    <w:rsid w:val="008E2913"/>
    <w:rsid w:val="008E33DB"/>
    <w:rsid w:val="008E41DF"/>
    <w:rsid w:val="008E47BE"/>
    <w:rsid w:val="008E4F94"/>
    <w:rsid w:val="008E5759"/>
    <w:rsid w:val="008E5B11"/>
    <w:rsid w:val="008F49E3"/>
    <w:rsid w:val="008F7EF6"/>
    <w:rsid w:val="009125B9"/>
    <w:rsid w:val="00912CB7"/>
    <w:rsid w:val="00921855"/>
    <w:rsid w:val="009242DA"/>
    <w:rsid w:val="00925CC2"/>
    <w:rsid w:val="009307DE"/>
    <w:rsid w:val="009402B4"/>
    <w:rsid w:val="00943A38"/>
    <w:rsid w:val="009470DE"/>
    <w:rsid w:val="00947757"/>
    <w:rsid w:val="00951D2F"/>
    <w:rsid w:val="00963DC3"/>
    <w:rsid w:val="00965C00"/>
    <w:rsid w:val="009660E1"/>
    <w:rsid w:val="00966FC0"/>
    <w:rsid w:val="00971452"/>
    <w:rsid w:val="009720D2"/>
    <w:rsid w:val="00974AB0"/>
    <w:rsid w:val="0097505A"/>
    <w:rsid w:val="009770D2"/>
    <w:rsid w:val="00981A6A"/>
    <w:rsid w:val="00983197"/>
    <w:rsid w:val="009858A8"/>
    <w:rsid w:val="009864A9"/>
    <w:rsid w:val="00994629"/>
    <w:rsid w:val="00995376"/>
    <w:rsid w:val="009959A9"/>
    <w:rsid w:val="009A2917"/>
    <w:rsid w:val="009A4E31"/>
    <w:rsid w:val="009B288B"/>
    <w:rsid w:val="009B5C29"/>
    <w:rsid w:val="009C7446"/>
    <w:rsid w:val="009D042D"/>
    <w:rsid w:val="009D0924"/>
    <w:rsid w:val="009D3999"/>
    <w:rsid w:val="009D7C96"/>
    <w:rsid w:val="009E0A8A"/>
    <w:rsid w:val="009E2F33"/>
    <w:rsid w:val="009E4A57"/>
    <w:rsid w:val="009F564C"/>
    <w:rsid w:val="00A0260C"/>
    <w:rsid w:val="00A06AF7"/>
    <w:rsid w:val="00A10B3F"/>
    <w:rsid w:val="00A11222"/>
    <w:rsid w:val="00A118E4"/>
    <w:rsid w:val="00A122B5"/>
    <w:rsid w:val="00A1398A"/>
    <w:rsid w:val="00A13F7D"/>
    <w:rsid w:val="00A21ABF"/>
    <w:rsid w:val="00A21BFA"/>
    <w:rsid w:val="00A24B71"/>
    <w:rsid w:val="00A262E3"/>
    <w:rsid w:val="00A30910"/>
    <w:rsid w:val="00A35A3C"/>
    <w:rsid w:val="00A43196"/>
    <w:rsid w:val="00A44907"/>
    <w:rsid w:val="00A50BE9"/>
    <w:rsid w:val="00A51B73"/>
    <w:rsid w:val="00A6068C"/>
    <w:rsid w:val="00A6425E"/>
    <w:rsid w:val="00A701C6"/>
    <w:rsid w:val="00A72AE1"/>
    <w:rsid w:val="00A7700F"/>
    <w:rsid w:val="00A80454"/>
    <w:rsid w:val="00A841D8"/>
    <w:rsid w:val="00A85B41"/>
    <w:rsid w:val="00A867BF"/>
    <w:rsid w:val="00A87A3A"/>
    <w:rsid w:val="00A95F8C"/>
    <w:rsid w:val="00AB038C"/>
    <w:rsid w:val="00AB0442"/>
    <w:rsid w:val="00AB2F66"/>
    <w:rsid w:val="00AB6A63"/>
    <w:rsid w:val="00AC7D33"/>
    <w:rsid w:val="00AD232B"/>
    <w:rsid w:val="00AD3975"/>
    <w:rsid w:val="00AD64CD"/>
    <w:rsid w:val="00AD6547"/>
    <w:rsid w:val="00AE05C3"/>
    <w:rsid w:val="00AE46B9"/>
    <w:rsid w:val="00AF02DB"/>
    <w:rsid w:val="00B0494F"/>
    <w:rsid w:val="00B04EFC"/>
    <w:rsid w:val="00B05691"/>
    <w:rsid w:val="00B061C4"/>
    <w:rsid w:val="00B146BC"/>
    <w:rsid w:val="00B154D5"/>
    <w:rsid w:val="00B15900"/>
    <w:rsid w:val="00B22B88"/>
    <w:rsid w:val="00B23A28"/>
    <w:rsid w:val="00B2400D"/>
    <w:rsid w:val="00B25F7D"/>
    <w:rsid w:val="00B307E4"/>
    <w:rsid w:val="00B31AA0"/>
    <w:rsid w:val="00B3219C"/>
    <w:rsid w:val="00B36E37"/>
    <w:rsid w:val="00B37423"/>
    <w:rsid w:val="00B41937"/>
    <w:rsid w:val="00B42519"/>
    <w:rsid w:val="00B459E3"/>
    <w:rsid w:val="00B500ED"/>
    <w:rsid w:val="00B527F2"/>
    <w:rsid w:val="00B53A25"/>
    <w:rsid w:val="00B53C17"/>
    <w:rsid w:val="00B676DD"/>
    <w:rsid w:val="00B7222E"/>
    <w:rsid w:val="00B733D0"/>
    <w:rsid w:val="00B7495D"/>
    <w:rsid w:val="00B809D3"/>
    <w:rsid w:val="00B80F17"/>
    <w:rsid w:val="00B8202D"/>
    <w:rsid w:val="00B82795"/>
    <w:rsid w:val="00B84326"/>
    <w:rsid w:val="00B943B5"/>
    <w:rsid w:val="00B9684A"/>
    <w:rsid w:val="00BA0401"/>
    <w:rsid w:val="00BA7C28"/>
    <w:rsid w:val="00BB3C05"/>
    <w:rsid w:val="00BD0F67"/>
    <w:rsid w:val="00BD59C3"/>
    <w:rsid w:val="00BE43FE"/>
    <w:rsid w:val="00BE4E43"/>
    <w:rsid w:val="00BE6FFB"/>
    <w:rsid w:val="00BF3C6F"/>
    <w:rsid w:val="00C015FB"/>
    <w:rsid w:val="00C03563"/>
    <w:rsid w:val="00C04A8E"/>
    <w:rsid w:val="00C0523D"/>
    <w:rsid w:val="00C05D67"/>
    <w:rsid w:val="00C06B7F"/>
    <w:rsid w:val="00C10052"/>
    <w:rsid w:val="00C12A64"/>
    <w:rsid w:val="00C15787"/>
    <w:rsid w:val="00C2162D"/>
    <w:rsid w:val="00C224FA"/>
    <w:rsid w:val="00C233A6"/>
    <w:rsid w:val="00C258AE"/>
    <w:rsid w:val="00C26CF8"/>
    <w:rsid w:val="00C30D09"/>
    <w:rsid w:val="00C34685"/>
    <w:rsid w:val="00C36E9F"/>
    <w:rsid w:val="00C43A17"/>
    <w:rsid w:val="00C5689B"/>
    <w:rsid w:val="00C577A6"/>
    <w:rsid w:val="00C6038D"/>
    <w:rsid w:val="00C61F66"/>
    <w:rsid w:val="00C7005F"/>
    <w:rsid w:val="00C717E5"/>
    <w:rsid w:val="00C8025C"/>
    <w:rsid w:val="00C82589"/>
    <w:rsid w:val="00C86394"/>
    <w:rsid w:val="00C90250"/>
    <w:rsid w:val="00C91543"/>
    <w:rsid w:val="00C936C3"/>
    <w:rsid w:val="00CA025B"/>
    <w:rsid w:val="00CA3E54"/>
    <w:rsid w:val="00CB0C26"/>
    <w:rsid w:val="00CB34BD"/>
    <w:rsid w:val="00CB3C81"/>
    <w:rsid w:val="00CB5BDA"/>
    <w:rsid w:val="00CB7CA9"/>
    <w:rsid w:val="00CC2BF8"/>
    <w:rsid w:val="00CD1EF9"/>
    <w:rsid w:val="00CD71DE"/>
    <w:rsid w:val="00CE2E25"/>
    <w:rsid w:val="00CE6007"/>
    <w:rsid w:val="00CE6A6C"/>
    <w:rsid w:val="00D055E5"/>
    <w:rsid w:val="00D06404"/>
    <w:rsid w:val="00D11F36"/>
    <w:rsid w:val="00D130F2"/>
    <w:rsid w:val="00D16664"/>
    <w:rsid w:val="00D17980"/>
    <w:rsid w:val="00D17A53"/>
    <w:rsid w:val="00D22750"/>
    <w:rsid w:val="00D24F79"/>
    <w:rsid w:val="00D252B8"/>
    <w:rsid w:val="00D265F7"/>
    <w:rsid w:val="00D3129E"/>
    <w:rsid w:val="00D32C2A"/>
    <w:rsid w:val="00D35191"/>
    <w:rsid w:val="00D44A2B"/>
    <w:rsid w:val="00D4515B"/>
    <w:rsid w:val="00D50AF6"/>
    <w:rsid w:val="00D513B1"/>
    <w:rsid w:val="00D52D5C"/>
    <w:rsid w:val="00D632FA"/>
    <w:rsid w:val="00D676EB"/>
    <w:rsid w:val="00D7068E"/>
    <w:rsid w:val="00D71981"/>
    <w:rsid w:val="00D71A71"/>
    <w:rsid w:val="00D73D41"/>
    <w:rsid w:val="00D751EA"/>
    <w:rsid w:val="00D762B5"/>
    <w:rsid w:val="00D81BCA"/>
    <w:rsid w:val="00D82EAA"/>
    <w:rsid w:val="00D84DB2"/>
    <w:rsid w:val="00D87387"/>
    <w:rsid w:val="00D91411"/>
    <w:rsid w:val="00D95142"/>
    <w:rsid w:val="00D955EE"/>
    <w:rsid w:val="00D95CDB"/>
    <w:rsid w:val="00D96736"/>
    <w:rsid w:val="00D9756C"/>
    <w:rsid w:val="00DA08CD"/>
    <w:rsid w:val="00DA4AC6"/>
    <w:rsid w:val="00DB1635"/>
    <w:rsid w:val="00DB4491"/>
    <w:rsid w:val="00DB57D8"/>
    <w:rsid w:val="00DB59DE"/>
    <w:rsid w:val="00DC09EF"/>
    <w:rsid w:val="00DC2DB3"/>
    <w:rsid w:val="00DC4763"/>
    <w:rsid w:val="00DD0735"/>
    <w:rsid w:val="00DD274F"/>
    <w:rsid w:val="00DE00B7"/>
    <w:rsid w:val="00DF2F4F"/>
    <w:rsid w:val="00DF5BD6"/>
    <w:rsid w:val="00DF6322"/>
    <w:rsid w:val="00E044BE"/>
    <w:rsid w:val="00E059BD"/>
    <w:rsid w:val="00E0619C"/>
    <w:rsid w:val="00E07EB7"/>
    <w:rsid w:val="00E12BE9"/>
    <w:rsid w:val="00E12DEC"/>
    <w:rsid w:val="00E12EFD"/>
    <w:rsid w:val="00E13CF8"/>
    <w:rsid w:val="00E14F45"/>
    <w:rsid w:val="00E23FE2"/>
    <w:rsid w:val="00E278AE"/>
    <w:rsid w:val="00E32917"/>
    <w:rsid w:val="00E32AE2"/>
    <w:rsid w:val="00E3636F"/>
    <w:rsid w:val="00E40671"/>
    <w:rsid w:val="00E42482"/>
    <w:rsid w:val="00E4412F"/>
    <w:rsid w:val="00E47096"/>
    <w:rsid w:val="00E47AF4"/>
    <w:rsid w:val="00E529D4"/>
    <w:rsid w:val="00E537FB"/>
    <w:rsid w:val="00E544F4"/>
    <w:rsid w:val="00E555E5"/>
    <w:rsid w:val="00E559B0"/>
    <w:rsid w:val="00E56A6E"/>
    <w:rsid w:val="00E5765E"/>
    <w:rsid w:val="00E6303A"/>
    <w:rsid w:val="00E66821"/>
    <w:rsid w:val="00E834BA"/>
    <w:rsid w:val="00E83518"/>
    <w:rsid w:val="00E83BCA"/>
    <w:rsid w:val="00E85C3C"/>
    <w:rsid w:val="00E92517"/>
    <w:rsid w:val="00E93DDA"/>
    <w:rsid w:val="00E9723F"/>
    <w:rsid w:val="00EA2C46"/>
    <w:rsid w:val="00EA2D60"/>
    <w:rsid w:val="00EA2D6E"/>
    <w:rsid w:val="00EA5A20"/>
    <w:rsid w:val="00EA5FF1"/>
    <w:rsid w:val="00EA790F"/>
    <w:rsid w:val="00EA7DE8"/>
    <w:rsid w:val="00EB0C67"/>
    <w:rsid w:val="00EB18AC"/>
    <w:rsid w:val="00EB65C0"/>
    <w:rsid w:val="00EB6A9C"/>
    <w:rsid w:val="00EC33D5"/>
    <w:rsid w:val="00EC3F07"/>
    <w:rsid w:val="00EC4115"/>
    <w:rsid w:val="00EC5D78"/>
    <w:rsid w:val="00ED3213"/>
    <w:rsid w:val="00ED382E"/>
    <w:rsid w:val="00EE12C5"/>
    <w:rsid w:val="00EE38B1"/>
    <w:rsid w:val="00EF4FBB"/>
    <w:rsid w:val="00EF6D90"/>
    <w:rsid w:val="00F01D2C"/>
    <w:rsid w:val="00F03233"/>
    <w:rsid w:val="00F10E90"/>
    <w:rsid w:val="00F11B1F"/>
    <w:rsid w:val="00F13DB0"/>
    <w:rsid w:val="00F1492B"/>
    <w:rsid w:val="00F20FCE"/>
    <w:rsid w:val="00F23798"/>
    <w:rsid w:val="00F244A7"/>
    <w:rsid w:val="00F25516"/>
    <w:rsid w:val="00F26EDC"/>
    <w:rsid w:val="00F26F42"/>
    <w:rsid w:val="00F273EA"/>
    <w:rsid w:val="00F3064D"/>
    <w:rsid w:val="00F316C4"/>
    <w:rsid w:val="00F32FA6"/>
    <w:rsid w:val="00F34508"/>
    <w:rsid w:val="00F34D1A"/>
    <w:rsid w:val="00F3611F"/>
    <w:rsid w:val="00F364D7"/>
    <w:rsid w:val="00F444A8"/>
    <w:rsid w:val="00F46873"/>
    <w:rsid w:val="00F53A7F"/>
    <w:rsid w:val="00F567FC"/>
    <w:rsid w:val="00F60EE7"/>
    <w:rsid w:val="00F6587F"/>
    <w:rsid w:val="00F65925"/>
    <w:rsid w:val="00F660A9"/>
    <w:rsid w:val="00F71192"/>
    <w:rsid w:val="00F74B0D"/>
    <w:rsid w:val="00F85A77"/>
    <w:rsid w:val="00F92428"/>
    <w:rsid w:val="00F9508D"/>
    <w:rsid w:val="00F95255"/>
    <w:rsid w:val="00F9675D"/>
    <w:rsid w:val="00F978D5"/>
    <w:rsid w:val="00FA775F"/>
    <w:rsid w:val="00FB0025"/>
    <w:rsid w:val="00FB177A"/>
    <w:rsid w:val="00FB4275"/>
    <w:rsid w:val="00FB79EB"/>
    <w:rsid w:val="00FB7F8D"/>
    <w:rsid w:val="00FC26B8"/>
    <w:rsid w:val="00FC7EC9"/>
    <w:rsid w:val="00FD3766"/>
    <w:rsid w:val="00FD3C47"/>
    <w:rsid w:val="00FD671F"/>
    <w:rsid w:val="00FE1097"/>
    <w:rsid w:val="00FE439D"/>
    <w:rsid w:val="00FE46D8"/>
    <w:rsid w:val="00FE4F3C"/>
    <w:rsid w:val="00FE7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AD7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795"/>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A30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0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09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09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09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09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09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09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09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0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091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9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09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09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09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09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09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09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9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9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0910"/>
    <w:pPr>
      <w:spacing w:before="160"/>
      <w:jc w:val="center"/>
    </w:pPr>
    <w:rPr>
      <w:i/>
      <w:iCs/>
      <w:color w:val="404040" w:themeColor="text1" w:themeTint="BF"/>
    </w:rPr>
  </w:style>
  <w:style w:type="character" w:customStyle="1" w:styleId="QuoteChar">
    <w:name w:val="Quote Char"/>
    <w:basedOn w:val="DefaultParagraphFont"/>
    <w:link w:val="Quote"/>
    <w:uiPriority w:val="29"/>
    <w:rsid w:val="00A30910"/>
    <w:rPr>
      <w:i/>
      <w:iCs/>
      <w:color w:val="404040" w:themeColor="text1" w:themeTint="BF"/>
    </w:rPr>
  </w:style>
  <w:style w:type="paragraph" w:styleId="ListParagraph">
    <w:name w:val="List Paragraph"/>
    <w:basedOn w:val="Normal"/>
    <w:uiPriority w:val="34"/>
    <w:qFormat/>
    <w:rsid w:val="00A30910"/>
    <w:pPr>
      <w:ind w:left="720"/>
      <w:contextualSpacing/>
    </w:pPr>
  </w:style>
  <w:style w:type="character" w:styleId="IntenseEmphasis">
    <w:name w:val="Intense Emphasis"/>
    <w:basedOn w:val="DefaultParagraphFont"/>
    <w:uiPriority w:val="21"/>
    <w:qFormat/>
    <w:rsid w:val="00A30910"/>
    <w:rPr>
      <w:i/>
      <w:iCs/>
      <w:color w:val="2F5496" w:themeColor="accent1" w:themeShade="BF"/>
    </w:rPr>
  </w:style>
  <w:style w:type="paragraph" w:styleId="IntenseQuote">
    <w:name w:val="Intense Quote"/>
    <w:basedOn w:val="Normal"/>
    <w:next w:val="Normal"/>
    <w:link w:val="IntenseQuoteChar"/>
    <w:uiPriority w:val="30"/>
    <w:qFormat/>
    <w:rsid w:val="00A30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910"/>
    <w:rPr>
      <w:i/>
      <w:iCs/>
      <w:color w:val="2F5496" w:themeColor="accent1" w:themeShade="BF"/>
    </w:rPr>
  </w:style>
  <w:style w:type="character" w:styleId="IntenseReference">
    <w:name w:val="Intense Reference"/>
    <w:basedOn w:val="DefaultParagraphFont"/>
    <w:uiPriority w:val="32"/>
    <w:qFormat/>
    <w:rsid w:val="00A30910"/>
    <w:rPr>
      <w:b/>
      <w:bCs/>
      <w:smallCaps/>
      <w:color w:val="2F5496" w:themeColor="accent1" w:themeShade="BF"/>
      <w:spacing w:val="5"/>
    </w:rPr>
  </w:style>
  <w:style w:type="table" w:styleId="TableGrid">
    <w:name w:val="Table Grid"/>
    <w:basedOn w:val="TableNormal"/>
    <w:rsid w:val="00B82795"/>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2795"/>
    <w:pPr>
      <w:tabs>
        <w:tab w:val="center" w:pos="4513"/>
        <w:tab w:val="right" w:pos="9026"/>
      </w:tabs>
    </w:pPr>
  </w:style>
  <w:style w:type="character" w:customStyle="1" w:styleId="HeaderChar">
    <w:name w:val="Header Char"/>
    <w:basedOn w:val="DefaultParagraphFont"/>
    <w:link w:val="Header"/>
    <w:uiPriority w:val="99"/>
    <w:rsid w:val="00B82795"/>
    <w:rPr>
      <w:rFonts w:eastAsia="Times New Roman" w:cs="Times New Roman"/>
      <w:kern w:val="0"/>
      <w:szCs w:val="24"/>
      <w:lang w:val="lv-LV" w:eastAsia="ru-RU"/>
      <w14:ligatures w14:val="none"/>
    </w:rPr>
  </w:style>
  <w:style w:type="paragraph" w:styleId="Footer">
    <w:name w:val="footer"/>
    <w:basedOn w:val="Normal"/>
    <w:link w:val="FooterChar"/>
    <w:unhideWhenUsed/>
    <w:rsid w:val="00B82795"/>
    <w:pPr>
      <w:tabs>
        <w:tab w:val="center" w:pos="4513"/>
        <w:tab w:val="right" w:pos="9026"/>
      </w:tabs>
    </w:pPr>
  </w:style>
  <w:style w:type="character" w:customStyle="1" w:styleId="FooterChar">
    <w:name w:val="Footer Char"/>
    <w:basedOn w:val="DefaultParagraphFont"/>
    <w:link w:val="Footer"/>
    <w:rsid w:val="00B82795"/>
    <w:rPr>
      <w:rFonts w:eastAsia="Times New Roman" w:cs="Times New Roman"/>
      <w:kern w:val="0"/>
      <w:szCs w:val="24"/>
      <w:lang w:val="lv-LV" w:eastAsia="ru-RU"/>
      <w14:ligatures w14:val="none"/>
    </w:rPr>
  </w:style>
  <w:style w:type="character" w:styleId="PageNumber">
    <w:name w:val="page number"/>
    <w:basedOn w:val="DefaultParagraphFont"/>
    <w:semiHidden/>
    <w:unhideWhenUsed/>
    <w:rsid w:val="00B82795"/>
  </w:style>
  <w:style w:type="character" w:styleId="Hyperlink">
    <w:name w:val="Hyperlink"/>
    <w:basedOn w:val="DefaultParagraphFont"/>
    <w:uiPriority w:val="99"/>
    <w:unhideWhenUsed/>
    <w:rsid w:val="00B82795"/>
    <w:rPr>
      <w:color w:val="0563C1" w:themeColor="hyperlink"/>
      <w:u w:val="single"/>
    </w:rPr>
  </w:style>
  <w:style w:type="character" w:styleId="UnresolvedMention">
    <w:name w:val="Unresolved Mention"/>
    <w:basedOn w:val="DefaultParagraphFont"/>
    <w:uiPriority w:val="99"/>
    <w:semiHidden/>
    <w:unhideWhenUsed/>
    <w:rsid w:val="007F4851"/>
    <w:rPr>
      <w:color w:val="605E5C"/>
      <w:shd w:val="clear" w:color="auto" w:fill="E1DFDD"/>
    </w:rPr>
  </w:style>
  <w:style w:type="character" w:styleId="FollowedHyperlink">
    <w:name w:val="FollowedHyperlink"/>
    <w:basedOn w:val="DefaultParagraphFont"/>
    <w:uiPriority w:val="99"/>
    <w:semiHidden/>
    <w:unhideWhenUsed/>
    <w:rsid w:val="007F48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89812">
      <w:bodyDiv w:val="1"/>
      <w:marLeft w:val="0"/>
      <w:marRight w:val="0"/>
      <w:marTop w:val="0"/>
      <w:marBottom w:val="0"/>
      <w:divBdr>
        <w:top w:val="none" w:sz="0" w:space="0" w:color="auto"/>
        <w:left w:val="none" w:sz="0" w:space="0" w:color="auto"/>
        <w:bottom w:val="none" w:sz="0" w:space="0" w:color="auto"/>
        <w:right w:val="none" w:sz="0" w:space="0" w:color="auto"/>
      </w:divBdr>
    </w:div>
    <w:div w:id="1303122518">
      <w:bodyDiv w:val="1"/>
      <w:marLeft w:val="0"/>
      <w:marRight w:val="0"/>
      <w:marTop w:val="0"/>
      <w:marBottom w:val="0"/>
      <w:divBdr>
        <w:top w:val="none" w:sz="0" w:space="0" w:color="auto"/>
        <w:left w:val="none" w:sz="0" w:space="0" w:color="auto"/>
        <w:bottom w:val="none" w:sz="0" w:space="0" w:color="auto"/>
        <w:right w:val="none" w:sz="0" w:space="0" w:color="auto"/>
      </w:divBdr>
    </w:div>
    <w:div w:id="147771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4566.pdf" TargetMode="External"/><Relationship Id="rId3" Type="http://schemas.openxmlformats.org/officeDocument/2006/relationships/settings" Target="settings.xml"/><Relationship Id="rId7" Type="http://schemas.openxmlformats.org/officeDocument/2006/relationships/hyperlink" Target="https://gateway.elieta.lv/api/v1/PublicMaterialDownload/fe550191-5580-4536-8039-1715e0cdb76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24:0829.A420145323.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7096</Words>
  <Characters>4045</Characters>
  <Application>Microsoft Office Word</Application>
  <DocSecurity>0</DocSecurity>
  <Lines>33</Lines>
  <Paragraphs>22</Paragraphs>
  <ScaleCrop>false</ScaleCrop>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2025-05-13T05:26:00Z</dcterms:created>
  <dcterms:modified xsi:type="dcterms:W3CDTF">2025-08-28T13:32:00Z</dcterms:modified>
</cp:coreProperties>
</file>