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BAD9" w14:textId="6F2C2D92" w:rsidR="00897093" w:rsidRPr="00897093" w:rsidRDefault="00897093" w:rsidP="00B35555">
      <w:pPr>
        <w:spacing w:line="276" w:lineRule="auto"/>
        <w:ind w:firstLine="0"/>
        <w:rPr>
          <w:rFonts w:ascii="TimesNewRomanPSMT" w:hAnsi="TimesNewRomanPSMT"/>
          <w:b/>
          <w:bCs/>
          <w:color w:val="auto"/>
          <w:lang w:val="lv-LV"/>
        </w:rPr>
      </w:pPr>
      <w:r w:rsidRPr="00897093">
        <w:rPr>
          <w:rFonts w:ascii="TimesNewRomanPSMT" w:hAnsi="TimesNewRomanPSMT"/>
          <w:b/>
          <w:bCs/>
          <w:lang w:val="lv-LV"/>
        </w:rPr>
        <w:t xml:space="preserve">Noziedzīgi iegūtu līdzekļu legalizācijas un terorisma un </w:t>
      </w:r>
      <w:proofErr w:type="spellStart"/>
      <w:r w:rsidRPr="00897093">
        <w:rPr>
          <w:rFonts w:ascii="TimesNewRomanPSMT" w:hAnsi="TimesNewRomanPSMT"/>
          <w:b/>
          <w:bCs/>
          <w:lang w:val="lv-LV"/>
        </w:rPr>
        <w:t>proliferācijas</w:t>
      </w:r>
      <w:proofErr w:type="spellEnd"/>
      <w:r w:rsidRPr="00897093">
        <w:rPr>
          <w:rFonts w:ascii="TimesNewRomanPSMT" w:hAnsi="TimesNewRomanPSMT"/>
          <w:b/>
          <w:bCs/>
          <w:lang w:val="lv-LV"/>
        </w:rPr>
        <w:t xml:space="preserve"> finansēšanas novēršanas likuma prasību izpildes uzraudzības un kontroles institūcijas lēmuma kontrole administratīvajā tiesā </w:t>
      </w:r>
      <w:r w:rsidRPr="00897093">
        <w:rPr>
          <w:rFonts w:ascii="TimesNewRomanPSMT" w:hAnsi="TimesNewRomanPSMT"/>
          <w:strike/>
          <w:lang w:val="lv-LV"/>
        </w:rPr>
        <w:t xml:space="preserve"> </w:t>
      </w:r>
    </w:p>
    <w:p w14:paraId="2530AE5D" w14:textId="425FF3A0" w:rsidR="00BC45A3" w:rsidRPr="00B35555" w:rsidRDefault="00897093" w:rsidP="00B35555">
      <w:pPr>
        <w:autoSpaceDE w:val="0"/>
        <w:autoSpaceDN w:val="0"/>
        <w:spacing w:line="276" w:lineRule="auto"/>
        <w:ind w:firstLine="0"/>
        <w:rPr>
          <w:rFonts w:ascii="TimesNewRomanPSMT" w:hAnsi="TimesNewRomanPSMT"/>
          <w:lang w:val="lv-LV"/>
        </w:rPr>
      </w:pPr>
      <w:r w:rsidRPr="00897093">
        <w:rPr>
          <w:rFonts w:ascii="TimesNewRomanPSMT" w:hAnsi="TimesNewRomanPSMT"/>
          <w:lang w:val="lv-LV"/>
        </w:rPr>
        <w:t xml:space="preserve">Noziedzīgi iegūtu līdzekļu legalizācijas un terorisma un </w:t>
      </w:r>
      <w:proofErr w:type="spellStart"/>
      <w:r w:rsidRPr="00897093">
        <w:rPr>
          <w:rFonts w:ascii="TimesNewRomanPSMT" w:hAnsi="TimesNewRomanPSMT"/>
          <w:lang w:val="lv-LV"/>
        </w:rPr>
        <w:t>proliferācijas</w:t>
      </w:r>
      <w:proofErr w:type="spellEnd"/>
      <w:r w:rsidRPr="00897093">
        <w:rPr>
          <w:rFonts w:ascii="TimesNewRomanPSMT" w:hAnsi="TimesNewRomanPSMT"/>
          <w:lang w:val="lv-LV"/>
        </w:rPr>
        <w:t xml:space="preserve"> finansēšanas novēršanas likums piešķīris uzraudzības un kontroles institūcijai plašu rīcības brīvību gan likuma subjektiem nosakāmo pienākumu izvēlē, gan soda naudas apmēra noteikšanā, ja konstatēts pamats tās piemērošanai. Institūcijai, īstenojot minēto rīcības brīvību, jāizvērtē virkne apstākļu, kas var ietekmēt piemērojamās soda naudas pamatotību un samērīgumu, kā arī tai ir pienākums pamatot, kā tā nonākusi pie secinājuma par konkrētajā gadījumā piemērojamo soda naudas apmēru. Savukārt tiesai, pārbaudot likuma subjektam piemēroto sodu, jānoskaidro, vai institūcija ir pareizi izmantojusi tai piešķirto rīcības brīvību, jo likums nepiešķir tiesai tiesības pašai noteikt to, kāds būtu piemērotākais sods par privātpersonas pieļautajiem pārkāpumiem.</w:t>
      </w:r>
    </w:p>
    <w:p w14:paraId="579DEBD8" w14:textId="52124F53" w:rsidR="00BC45A3" w:rsidRPr="00BC45A3" w:rsidRDefault="00BC45A3" w:rsidP="00B35555">
      <w:pPr>
        <w:spacing w:before="120" w:after="0" w:line="276" w:lineRule="auto"/>
        <w:ind w:right="0" w:firstLine="0"/>
        <w:jc w:val="center"/>
        <w:rPr>
          <w:b/>
          <w:lang w:val="lv-LV" w:eastAsia="ru-RU"/>
        </w:rPr>
      </w:pPr>
      <w:r w:rsidRPr="00BC45A3">
        <w:rPr>
          <w:b/>
          <w:lang w:val="lv-LV" w:eastAsia="ru-RU"/>
        </w:rPr>
        <w:t>Latvijas Republikas Senāt</w:t>
      </w:r>
      <w:r w:rsidR="00F15907">
        <w:rPr>
          <w:b/>
          <w:lang w:val="lv-LV" w:eastAsia="ru-RU"/>
        </w:rPr>
        <w:t>a</w:t>
      </w:r>
      <w:r w:rsidR="00F15907">
        <w:rPr>
          <w:b/>
          <w:lang w:val="lv-LV" w:eastAsia="ru-RU"/>
        </w:rPr>
        <w:br/>
        <w:t xml:space="preserve">Administratīvo lietu departamenta </w:t>
      </w:r>
      <w:r w:rsidR="00B35555">
        <w:rPr>
          <w:b/>
          <w:lang w:val="lv-LV" w:eastAsia="ru-RU"/>
        </w:rPr>
        <w:br/>
        <w:t>2025.gada 10.aprīļa</w:t>
      </w:r>
    </w:p>
    <w:p w14:paraId="606D90F0" w14:textId="77777777" w:rsidR="00BC45A3" w:rsidRDefault="00BC45A3" w:rsidP="00B35555">
      <w:pPr>
        <w:spacing w:line="276" w:lineRule="auto"/>
        <w:ind w:right="0" w:firstLine="0"/>
        <w:jc w:val="center"/>
        <w:rPr>
          <w:b/>
          <w:lang w:val="lv-LV" w:eastAsia="ru-RU"/>
        </w:rPr>
      </w:pPr>
      <w:r w:rsidRPr="00BC45A3">
        <w:rPr>
          <w:b/>
          <w:lang w:val="lv-LV" w:eastAsia="ru-RU"/>
        </w:rPr>
        <w:t>SPRIEDUMS</w:t>
      </w:r>
    </w:p>
    <w:p w14:paraId="6E202C78" w14:textId="77777777" w:rsidR="00B35555" w:rsidRPr="00B35555" w:rsidRDefault="00B35555" w:rsidP="00B35555">
      <w:pPr>
        <w:spacing w:after="18" w:line="276" w:lineRule="auto"/>
        <w:ind w:left="10" w:right="-4" w:hanging="10"/>
        <w:jc w:val="center"/>
        <w:rPr>
          <w:b/>
          <w:bCs/>
          <w:lang w:val="lv-LV"/>
        </w:rPr>
      </w:pPr>
      <w:r w:rsidRPr="00B35555">
        <w:rPr>
          <w:b/>
          <w:bCs/>
          <w:lang w:val="lv-LV"/>
        </w:rPr>
        <w:t>Lieta Nr. A420155720, SKA-452/2025</w:t>
      </w:r>
    </w:p>
    <w:p w14:paraId="6CCF7749" w14:textId="0D927F8A" w:rsidR="00B35555" w:rsidRPr="00BC45A3" w:rsidRDefault="00222329" w:rsidP="00B35555">
      <w:pPr>
        <w:spacing w:line="276" w:lineRule="auto"/>
        <w:ind w:right="0" w:firstLine="0"/>
        <w:jc w:val="center"/>
        <w:rPr>
          <w:lang w:val="lv-LV" w:eastAsia="ru-RU"/>
        </w:rPr>
      </w:pPr>
      <w:hyperlink r:id="rId7" w:history="1">
        <w:r w:rsidR="00B35555" w:rsidRPr="00222329">
          <w:rPr>
            <w:rStyle w:val="Hyperlink"/>
            <w:rFonts w:ascii="TimesNewRomanPSMT" w:eastAsiaTheme="minorEastAsia" w:hAnsi="TimesNewRomanPSMT" w:cs="TimesNewRomanPSMT"/>
            <w:kern w:val="0"/>
            <w:lang w:val="lv-LV"/>
          </w:rPr>
          <w:t>ECLI:LV:AT:2025:0410.A420155</w:t>
        </w:r>
        <w:r w:rsidR="00B35555" w:rsidRPr="00222329">
          <w:rPr>
            <w:rStyle w:val="Hyperlink"/>
            <w:rFonts w:ascii="TimesNewRomanPSMT" w:eastAsiaTheme="minorEastAsia" w:hAnsi="TimesNewRomanPSMT" w:cs="TimesNewRomanPSMT"/>
            <w:kern w:val="0"/>
            <w:lang w:val="lv-LV"/>
          </w:rPr>
          <w:t>720.16.S</w:t>
        </w:r>
      </w:hyperlink>
    </w:p>
    <w:p w14:paraId="46258432" w14:textId="77777777" w:rsidR="00BC45A3" w:rsidRPr="001F61F3" w:rsidRDefault="00BC45A3" w:rsidP="00B35555">
      <w:pPr>
        <w:spacing w:after="0" w:line="276" w:lineRule="auto"/>
        <w:ind w:right="0" w:firstLine="720"/>
        <w:rPr>
          <w:lang w:val="lv-LV"/>
        </w:rPr>
      </w:pPr>
    </w:p>
    <w:p w14:paraId="6C1AEE30" w14:textId="7A98D83C" w:rsidR="00C57933" w:rsidRPr="00BC45A3" w:rsidRDefault="0064252D" w:rsidP="00B35555">
      <w:pPr>
        <w:spacing w:after="0" w:line="276" w:lineRule="auto"/>
        <w:ind w:right="0" w:firstLine="720"/>
        <w:rPr>
          <w:lang w:val="lv-LV"/>
        </w:rPr>
      </w:pPr>
      <w:r w:rsidRPr="00BC45A3">
        <w:rPr>
          <w:lang w:val="lv-LV"/>
        </w:rPr>
        <w:t xml:space="preserve">Senāts šādā sastāvā: senatore referente Rudīte Vīduša, senatori </w:t>
      </w:r>
      <w:r w:rsidR="001F61F3">
        <w:rPr>
          <w:lang w:val="lv-LV"/>
        </w:rPr>
        <w:t>Ermīns Darapoļskis</w:t>
      </w:r>
      <w:r w:rsidRPr="00F110AE">
        <w:rPr>
          <w:lang w:val="lv-LV"/>
        </w:rPr>
        <w:t xml:space="preserve"> un Anita Kovaļevska</w:t>
      </w:r>
    </w:p>
    <w:p w14:paraId="60309129" w14:textId="77777777" w:rsidR="00C57933" w:rsidRPr="00BC45A3" w:rsidRDefault="0064252D" w:rsidP="00B35555">
      <w:pPr>
        <w:spacing w:after="0" w:line="276" w:lineRule="auto"/>
        <w:ind w:right="0" w:firstLine="720"/>
        <w:jc w:val="left"/>
        <w:rPr>
          <w:lang w:val="lv-LV"/>
        </w:rPr>
      </w:pPr>
      <w:r w:rsidRPr="00BC45A3">
        <w:rPr>
          <w:lang w:val="lv-LV"/>
        </w:rPr>
        <w:t xml:space="preserve"> </w:t>
      </w:r>
    </w:p>
    <w:p w14:paraId="423DB71F" w14:textId="2D246FBB" w:rsidR="00C57933" w:rsidRDefault="0064252D" w:rsidP="00B35555">
      <w:pPr>
        <w:spacing w:after="0" w:line="276" w:lineRule="auto"/>
        <w:ind w:right="0" w:firstLine="720"/>
        <w:rPr>
          <w:lang w:val="lv-LV"/>
        </w:rPr>
      </w:pPr>
      <w:r w:rsidRPr="00BC45A3">
        <w:rPr>
          <w:lang w:val="lv-LV"/>
        </w:rPr>
        <w:t>rakstveida procesā izskatīja administratīvo lietu, kas ierosināta, pamatojoties uz SIA</w:t>
      </w:r>
      <w:r w:rsidR="00D143A9">
        <w:rPr>
          <w:lang w:val="lv-LV"/>
        </w:rPr>
        <w:t> </w:t>
      </w:r>
      <w:r w:rsidRPr="00BC45A3">
        <w:rPr>
          <w:lang w:val="lv-LV"/>
        </w:rPr>
        <w:t>„SAFI CONSULTING” pieteikumu par Valsts ieņēmumu dienesta 2020.gada 25.februāra lēmuma Nr.</w:t>
      </w:r>
      <w:r w:rsidR="00722604">
        <w:rPr>
          <w:lang w:val="lv-LV"/>
        </w:rPr>
        <w:t> </w:t>
      </w:r>
      <w:r w:rsidRPr="00BC45A3">
        <w:rPr>
          <w:lang w:val="lv-LV"/>
        </w:rPr>
        <w:t>30.8-22.13/764 atcelšanu, sakarā ar SIA</w:t>
      </w:r>
      <w:r w:rsidR="00D143A9">
        <w:rPr>
          <w:lang w:val="lv-LV"/>
        </w:rPr>
        <w:t> </w:t>
      </w:r>
      <w:r w:rsidRPr="00BC45A3">
        <w:rPr>
          <w:lang w:val="lv-LV"/>
        </w:rPr>
        <w:t>„SAFI CONSULTING” kasācijas sūdzību par Administratīvās apgabaltiesas 202</w:t>
      </w:r>
      <w:r w:rsidR="001D1353">
        <w:rPr>
          <w:lang w:val="lv-LV"/>
        </w:rPr>
        <w:t>4</w:t>
      </w:r>
      <w:r w:rsidRPr="00BC45A3">
        <w:rPr>
          <w:lang w:val="lv-LV"/>
        </w:rPr>
        <w:t>.gada 1</w:t>
      </w:r>
      <w:r w:rsidR="001D1353">
        <w:rPr>
          <w:lang w:val="lv-LV"/>
        </w:rPr>
        <w:t>3</w:t>
      </w:r>
      <w:r w:rsidRPr="00BC45A3">
        <w:rPr>
          <w:lang w:val="lv-LV"/>
        </w:rPr>
        <w:t>.</w:t>
      </w:r>
      <w:r w:rsidR="001D1353">
        <w:rPr>
          <w:lang w:val="lv-LV"/>
        </w:rPr>
        <w:t>decembra</w:t>
      </w:r>
      <w:r w:rsidRPr="00BC45A3">
        <w:rPr>
          <w:lang w:val="lv-LV"/>
        </w:rPr>
        <w:t xml:space="preserve"> spriedumu.</w:t>
      </w:r>
    </w:p>
    <w:p w14:paraId="31CCE328" w14:textId="77777777" w:rsidR="00094A63" w:rsidRPr="00BC45A3" w:rsidRDefault="00094A63" w:rsidP="00B35555">
      <w:pPr>
        <w:spacing w:after="0" w:line="276" w:lineRule="auto"/>
        <w:ind w:right="0" w:firstLine="720"/>
        <w:rPr>
          <w:lang w:val="lv-LV"/>
        </w:rPr>
      </w:pPr>
    </w:p>
    <w:p w14:paraId="54A7094F" w14:textId="5501E326" w:rsidR="00C57933" w:rsidRPr="00094A63" w:rsidRDefault="00094A63" w:rsidP="00B35555">
      <w:pPr>
        <w:spacing w:after="0" w:line="276" w:lineRule="auto"/>
        <w:ind w:right="0" w:firstLine="0"/>
        <w:jc w:val="center"/>
        <w:rPr>
          <w:b/>
          <w:bCs/>
          <w:lang w:val="lv-LV"/>
        </w:rPr>
      </w:pPr>
      <w:r>
        <w:rPr>
          <w:b/>
          <w:bCs/>
          <w:lang w:val="lv-LV"/>
        </w:rPr>
        <w:t>Aprakstošā daļa</w:t>
      </w:r>
    </w:p>
    <w:p w14:paraId="20D01518" w14:textId="1C334D5A" w:rsidR="00C57933" w:rsidRPr="00BC45A3" w:rsidRDefault="00C57933" w:rsidP="00B35555">
      <w:pPr>
        <w:spacing w:after="0" w:line="276" w:lineRule="auto"/>
        <w:ind w:right="0" w:firstLine="720"/>
        <w:jc w:val="center"/>
        <w:rPr>
          <w:lang w:val="lv-LV"/>
        </w:rPr>
      </w:pPr>
    </w:p>
    <w:p w14:paraId="0F41B6CD" w14:textId="5149A28C" w:rsidR="00C57933" w:rsidRPr="001D1353" w:rsidRDefault="001D1353" w:rsidP="00B35555">
      <w:pPr>
        <w:spacing w:after="0" w:line="276" w:lineRule="auto"/>
        <w:ind w:right="0" w:firstLine="720"/>
        <w:jc w:val="left"/>
        <w:rPr>
          <w:i/>
          <w:iCs/>
          <w:lang w:val="lv-LV"/>
        </w:rPr>
      </w:pPr>
      <w:r w:rsidRPr="001D1353">
        <w:rPr>
          <w:i/>
          <w:iCs/>
          <w:lang w:val="lv-LV"/>
        </w:rPr>
        <w:t>Lietas apstākļi</w:t>
      </w:r>
    </w:p>
    <w:p w14:paraId="2F5CBC3C" w14:textId="32750A0F" w:rsidR="001D1353" w:rsidRPr="00BC45A3" w:rsidRDefault="001D1353" w:rsidP="00B35555">
      <w:pPr>
        <w:spacing w:after="0" w:line="276" w:lineRule="auto"/>
        <w:ind w:right="0" w:firstLine="720"/>
        <w:rPr>
          <w:lang w:val="lv-LV"/>
        </w:rPr>
      </w:pPr>
      <w:r w:rsidRPr="00BC45A3">
        <w:rPr>
          <w:lang w:val="lv-LV"/>
        </w:rPr>
        <w:t>[1]</w:t>
      </w:r>
      <w:r w:rsidR="00865212">
        <w:rPr>
          <w:lang w:val="lv-LV"/>
        </w:rPr>
        <w:t> </w:t>
      </w:r>
      <w:r w:rsidRPr="00BC45A3">
        <w:rPr>
          <w:lang w:val="lv-LV"/>
        </w:rPr>
        <w:t>Valsts ieņēmumu dienests</w:t>
      </w:r>
      <w:r w:rsidR="000F022D">
        <w:rPr>
          <w:lang w:val="lv-LV"/>
        </w:rPr>
        <w:t xml:space="preserve"> </w:t>
      </w:r>
      <w:r w:rsidRPr="00BC45A3">
        <w:rPr>
          <w:lang w:val="lv-LV"/>
        </w:rPr>
        <w:t xml:space="preserve">veica Noziedzīgi iegūtu līdzekļu legalizācijas un terorisma finansēšanas novēršanas likuma (no 2019.gada 29.jūnija likuma nosaukums: Noziedzīgi iegūtu līdzekļu legalizācijas un terorisma un proliferācijas finansēšanas novēršanas likums; turpmāk tekstā – </w:t>
      </w:r>
      <w:r w:rsidR="00D143A9">
        <w:rPr>
          <w:lang w:val="lv-LV"/>
        </w:rPr>
        <w:t>Legalizācijas n</w:t>
      </w:r>
      <w:r w:rsidRPr="00BC45A3">
        <w:rPr>
          <w:lang w:val="lv-LV"/>
        </w:rPr>
        <w:t xml:space="preserve">ovēršanas likums) prasību izpildes pārbaudi grāmatvedības ārpakalpojumu sniedzējai </w:t>
      </w:r>
      <w:r w:rsidR="00D143A9">
        <w:rPr>
          <w:lang w:val="lv-LV"/>
        </w:rPr>
        <w:t xml:space="preserve">– </w:t>
      </w:r>
      <w:r w:rsidRPr="00BC45A3">
        <w:rPr>
          <w:lang w:val="lv-LV"/>
        </w:rPr>
        <w:t>pieteicējai SIA</w:t>
      </w:r>
      <w:r w:rsidR="00D143A9">
        <w:rPr>
          <w:lang w:val="lv-LV"/>
        </w:rPr>
        <w:t> </w:t>
      </w:r>
      <w:r w:rsidRPr="00BC45A3">
        <w:rPr>
          <w:lang w:val="lv-LV"/>
        </w:rPr>
        <w:t>„SAFI</w:t>
      </w:r>
      <w:r w:rsidR="00722604">
        <w:rPr>
          <w:lang w:val="lv-LV"/>
        </w:rPr>
        <w:t> </w:t>
      </w:r>
      <w:r w:rsidRPr="00BC45A3">
        <w:rPr>
          <w:lang w:val="lv-LV"/>
        </w:rPr>
        <w:t>CONSULTING”.</w:t>
      </w:r>
    </w:p>
    <w:p w14:paraId="13AE0EE2" w14:textId="3CBD77C6" w:rsidR="001D1353" w:rsidRPr="00BC45A3" w:rsidRDefault="001D1353" w:rsidP="00B35555">
      <w:pPr>
        <w:spacing w:after="0" w:line="276" w:lineRule="auto"/>
        <w:ind w:right="0" w:firstLine="720"/>
        <w:rPr>
          <w:lang w:val="lv-LV"/>
        </w:rPr>
      </w:pPr>
      <w:r w:rsidRPr="00BC45A3">
        <w:rPr>
          <w:lang w:val="lv-LV"/>
        </w:rPr>
        <w:t>Pārbaudes rezultātā dienests konstatēja vairākus pārkāpumus un ar 2020.gada 25.februāra lēmumu Nr.</w:t>
      </w:r>
      <w:r w:rsidR="00D143A9">
        <w:rPr>
          <w:lang w:val="lv-LV"/>
        </w:rPr>
        <w:t> </w:t>
      </w:r>
      <w:r w:rsidRPr="00BC45A3">
        <w:rPr>
          <w:lang w:val="lv-LV"/>
        </w:rPr>
        <w:t xml:space="preserve">30.8-22.13/764 (administratīvais akts tā galīgajā noformējumā) pieteicējai piemēroja soda naudu 10 000 </w:t>
      </w:r>
      <w:r w:rsidRPr="00BC45A3">
        <w:rPr>
          <w:i/>
          <w:lang w:val="lv-LV"/>
        </w:rPr>
        <w:t>euro</w:t>
      </w:r>
      <w:r w:rsidRPr="00BC45A3">
        <w:rPr>
          <w:lang w:val="lv-LV"/>
        </w:rPr>
        <w:t>.</w:t>
      </w:r>
    </w:p>
    <w:p w14:paraId="177DB9B6" w14:textId="294EC277" w:rsidR="001D1353" w:rsidRDefault="001D1353" w:rsidP="00B35555">
      <w:pPr>
        <w:spacing w:after="0" w:line="276" w:lineRule="auto"/>
        <w:ind w:right="0" w:firstLine="720"/>
        <w:rPr>
          <w:lang w:val="lv-LV"/>
        </w:rPr>
      </w:pPr>
      <w:r w:rsidRPr="00BC45A3">
        <w:rPr>
          <w:lang w:val="lv-LV"/>
        </w:rPr>
        <w:t xml:space="preserve">Pieteicēja </w:t>
      </w:r>
      <w:r w:rsidR="00D143A9">
        <w:rPr>
          <w:lang w:val="lv-LV"/>
        </w:rPr>
        <w:t xml:space="preserve">Valsts ieņēmumu </w:t>
      </w:r>
      <w:r w:rsidRPr="00BC45A3">
        <w:rPr>
          <w:lang w:val="lv-LV"/>
        </w:rPr>
        <w:t>dienesta lēmumu pārsūdzēja tiesā.</w:t>
      </w:r>
    </w:p>
    <w:p w14:paraId="276FB910" w14:textId="77777777" w:rsidR="001D1353" w:rsidRDefault="001D1353" w:rsidP="00B35555">
      <w:pPr>
        <w:spacing w:after="0" w:line="276" w:lineRule="auto"/>
        <w:ind w:right="0" w:firstLine="720"/>
        <w:rPr>
          <w:lang w:val="lv-LV"/>
        </w:rPr>
      </w:pPr>
    </w:p>
    <w:p w14:paraId="18087A68" w14:textId="77777777" w:rsidR="009C4AC5" w:rsidRDefault="001D1353" w:rsidP="00B35555">
      <w:pPr>
        <w:spacing w:after="0" w:line="276" w:lineRule="auto"/>
        <w:ind w:right="0" w:firstLine="720"/>
        <w:rPr>
          <w:i/>
          <w:iCs/>
          <w:lang w:val="lv-LV"/>
        </w:rPr>
      </w:pPr>
      <w:r w:rsidRPr="001D1353">
        <w:rPr>
          <w:i/>
          <w:iCs/>
          <w:lang w:val="lv-LV"/>
        </w:rPr>
        <w:t>Apelācijas instances tiesas spriedums</w:t>
      </w:r>
    </w:p>
    <w:p w14:paraId="57BBDF71" w14:textId="14A9311F" w:rsidR="001D1353" w:rsidRPr="009C4AC5" w:rsidRDefault="009C4AC5" w:rsidP="00B35555">
      <w:pPr>
        <w:spacing w:after="0" w:line="276" w:lineRule="auto"/>
        <w:ind w:right="0" w:firstLine="720"/>
        <w:rPr>
          <w:i/>
          <w:iCs/>
          <w:lang w:val="lv-LV"/>
        </w:rPr>
      </w:pPr>
      <w:r>
        <w:rPr>
          <w:lang w:val="lv-LV"/>
        </w:rPr>
        <w:t>[2] </w:t>
      </w:r>
      <w:r w:rsidR="001D1353" w:rsidRPr="00BC45A3">
        <w:rPr>
          <w:lang w:val="lv-LV"/>
        </w:rPr>
        <w:t>Ar Administratīvās apgabaltiesas 202</w:t>
      </w:r>
      <w:r w:rsidR="001D1353">
        <w:rPr>
          <w:lang w:val="lv-LV"/>
        </w:rPr>
        <w:t>4</w:t>
      </w:r>
      <w:r w:rsidR="001D1353" w:rsidRPr="00BC45A3">
        <w:rPr>
          <w:lang w:val="lv-LV"/>
        </w:rPr>
        <w:t>.gada 1</w:t>
      </w:r>
      <w:r w:rsidR="001D1353">
        <w:rPr>
          <w:lang w:val="lv-LV"/>
        </w:rPr>
        <w:t>3</w:t>
      </w:r>
      <w:r w:rsidR="001D1353" w:rsidRPr="00BC45A3">
        <w:rPr>
          <w:lang w:val="lv-LV"/>
        </w:rPr>
        <w:t>.</w:t>
      </w:r>
      <w:r w:rsidR="001D1353">
        <w:rPr>
          <w:lang w:val="lv-LV"/>
        </w:rPr>
        <w:t>decembra</w:t>
      </w:r>
      <w:r w:rsidR="001D1353" w:rsidRPr="00BC45A3">
        <w:rPr>
          <w:lang w:val="lv-LV"/>
        </w:rPr>
        <w:t xml:space="preserve"> spriedumu pieteikums </w:t>
      </w:r>
      <w:r w:rsidR="001D1353">
        <w:rPr>
          <w:lang w:val="lv-LV"/>
        </w:rPr>
        <w:t xml:space="preserve">daļā apmierināts, atceļot </w:t>
      </w:r>
      <w:r w:rsidR="00D143A9">
        <w:rPr>
          <w:lang w:val="lv-LV"/>
        </w:rPr>
        <w:t xml:space="preserve">Valsts ieņēmumu </w:t>
      </w:r>
      <w:r w:rsidR="001D1353">
        <w:rPr>
          <w:lang w:val="lv-LV"/>
        </w:rPr>
        <w:t xml:space="preserve">dienesta </w:t>
      </w:r>
      <w:r w:rsidR="001D1353" w:rsidRPr="00BC45A3">
        <w:rPr>
          <w:lang w:val="lv-LV"/>
        </w:rPr>
        <w:t xml:space="preserve">lēmumu </w:t>
      </w:r>
      <w:r w:rsidR="001D1353">
        <w:rPr>
          <w:lang w:val="lv-LV"/>
        </w:rPr>
        <w:t xml:space="preserve">daļā, </w:t>
      </w:r>
      <w:r w:rsidR="001D1353" w:rsidRPr="001D1353">
        <w:rPr>
          <w:lang w:val="lv-LV"/>
        </w:rPr>
        <w:t xml:space="preserve">ar kuru </w:t>
      </w:r>
      <w:r w:rsidR="001D1353" w:rsidRPr="001D1353">
        <w:rPr>
          <w:lang w:val="lv-LV"/>
        </w:rPr>
        <w:lastRenderedPageBreak/>
        <w:t xml:space="preserve">konstatēts, ka </w:t>
      </w:r>
      <w:r w:rsidR="001D1353">
        <w:rPr>
          <w:lang w:val="lv-LV"/>
        </w:rPr>
        <w:t>pieteicēja</w:t>
      </w:r>
      <w:r w:rsidR="001D1353" w:rsidRPr="001D1353">
        <w:rPr>
          <w:lang w:val="lv-LV"/>
        </w:rPr>
        <w:t xml:space="preserve"> ir pieļāvusi </w:t>
      </w:r>
      <w:r w:rsidR="00D143A9">
        <w:rPr>
          <w:lang w:val="lv-LV"/>
        </w:rPr>
        <w:t>Legalizācijas n</w:t>
      </w:r>
      <w:r w:rsidR="001D1353" w:rsidRPr="001D1353">
        <w:rPr>
          <w:lang w:val="lv-LV"/>
        </w:rPr>
        <w:t>ovēršanas likuma 11.</w:t>
      </w:r>
      <w:r w:rsidR="001D1353" w:rsidRPr="001D1353">
        <w:rPr>
          <w:vertAlign w:val="superscript"/>
          <w:lang w:val="lv-LV"/>
        </w:rPr>
        <w:t>1</w:t>
      </w:r>
      <w:r w:rsidR="001D1353" w:rsidRPr="001D1353">
        <w:rPr>
          <w:lang w:val="lv-LV"/>
        </w:rPr>
        <w:t xml:space="preserve">panta trešās daļas 2.punkta </w:t>
      </w:r>
      <w:r w:rsidR="001D1353" w:rsidRPr="00BC45A3">
        <w:rPr>
          <w:lang w:val="lv-LV"/>
        </w:rPr>
        <w:t>„</w:t>
      </w:r>
      <w:r w:rsidR="001D1353" w:rsidRPr="001D1353">
        <w:rPr>
          <w:lang w:val="lv-LV"/>
        </w:rPr>
        <w:t xml:space="preserve">a” apakšpunkta pārkāpumu attiecībā uz </w:t>
      </w:r>
      <w:r w:rsidR="001D1353">
        <w:rPr>
          <w:lang w:val="lv-LV"/>
        </w:rPr>
        <w:t>pieteicējas</w:t>
      </w:r>
      <w:r w:rsidR="001D1353" w:rsidRPr="001D1353">
        <w:rPr>
          <w:lang w:val="lv-LV"/>
        </w:rPr>
        <w:t xml:space="preserve"> klientu SIA</w:t>
      </w:r>
      <w:r w:rsidR="004B6CD4">
        <w:rPr>
          <w:lang w:val="lv-LV"/>
        </w:rPr>
        <w:t> </w:t>
      </w:r>
      <w:r w:rsidR="001D1353" w:rsidRPr="00BC45A3">
        <w:rPr>
          <w:lang w:val="lv-LV"/>
        </w:rPr>
        <w:t>„</w:t>
      </w:r>
      <w:r w:rsidR="001D1353" w:rsidRPr="001D1353">
        <w:rPr>
          <w:lang w:val="lv-LV"/>
        </w:rPr>
        <w:t>JSA</w:t>
      </w:r>
      <w:r w:rsidR="00FA356E">
        <w:rPr>
          <w:lang w:val="lv-LV"/>
        </w:rPr>
        <w:t> </w:t>
      </w:r>
      <w:r w:rsidR="001D1353" w:rsidRPr="001D1353">
        <w:rPr>
          <w:lang w:val="lv-LV"/>
        </w:rPr>
        <w:t>Group”</w:t>
      </w:r>
      <w:r w:rsidR="001D1353" w:rsidRPr="00BC45A3">
        <w:rPr>
          <w:lang w:val="lv-LV"/>
        </w:rPr>
        <w:t>.</w:t>
      </w:r>
      <w:r w:rsidR="001D1353">
        <w:rPr>
          <w:lang w:val="lv-LV"/>
        </w:rPr>
        <w:t xml:space="preserve"> </w:t>
      </w:r>
      <w:r w:rsidR="006B64D6">
        <w:rPr>
          <w:lang w:val="lv-LV"/>
        </w:rPr>
        <w:t>Pārējā daļā pieteikums noraidīts, tostarp jautājumā par pieteicējai piemēroto soda naudu 10 000 </w:t>
      </w:r>
      <w:r w:rsidR="006B64D6" w:rsidRPr="006B64D6">
        <w:rPr>
          <w:i/>
          <w:iCs/>
          <w:lang w:val="lv-LV"/>
        </w:rPr>
        <w:t>euro</w:t>
      </w:r>
      <w:r w:rsidR="006B64D6">
        <w:rPr>
          <w:lang w:val="lv-LV"/>
        </w:rPr>
        <w:t>. Apgabaltiesa spriedumā secinājusi turpmāko.</w:t>
      </w:r>
    </w:p>
    <w:p w14:paraId="6DA5D868" w14:textId="2F2D403B" w:rsidR="006B64D6" w:rsidRPr="00BC45A3" w:rsidRDefault="006B64D6" w:rsidP="00B35555">
      <w:pPr>
        <w:spacing w:after="0" w:line="276" w:lineRule="auto"/>
        <w:ind w:right="0" w:firstLine="720"/>
        <w:rPr>
          <w:lang w:val="lv-LV"/>
        </w:rPr>
      </w:pPr>
      <w:r>
        <w:rPr>
          <w:lang w:val="lv-LV"/>
        </w:rPr>
        <w:t>[2.1]</w:t>
      </w:r>
      <w:r w:rsidR="00865212">
        <w:rPr>
          <w:lang w:val="lv-LV"/>
        </w:rPr>
        <w:t> </w:t>
      </w:r>
      <w:r w:rsidR="00D143A9">
        <w:rPr>
          <w:lang w:val="lv-LV"/>
        </w:rPr>
        <w:t xml:space="preserve">Valsts ieņēmumu dienests </w:t>
      </w:r>
      <w:r w:rsidR="00D143A9" w:rsidRPr="00DF2D5B">
        <w:rPr>
          <w:lang w:val="lv-LV"/>
        </w:rPr>
        <w:t>nepamatoti konstatēja</w:t>
      </w:r>
      <w:r w:rsidR="00D143A9">
        <w:rPr>
          <w:lang w:val="lv-LV"/>
        </w:rPr>
        <w:t>, ka pieteicēja pārkāpusi Legalizācijas n</w:t>
      </w:r>
      <w:r w:rsidR="00D143A9" w:rsidRPr="00DF2D5B">
        <w:rPr>
          <w:lang w:val="lv-LV"/>
        </w:rPr>
        <w:t>ovēršanas likuma 11.</w:t>
      </w:r>
      <w:r w:rsidR="00D143A9" w:rsidRPr="00DF2D5B">
        <w:rPr>
          <w:vertAlign w:val="superscript"/>
          <w:lang w:val="lv-LV"/>
        </w:rPr>
        <w:t>1</w:t>
      </w:r>
      <w:r w:rsidR="00D143A9" w:rsidRPr="00DF2D5B">
        <w:rPr>
          <w:lang w:val="lv-LV"/>
        </w:rPr>
        <w:t xml:space="preserve">panta trešās daļas 2.punkta </w:t>
      </w:r>
      <w:r w:rsidR="00D143A9" w:rsidRPr="00BC45A3">
        <w:rPr>
          <w:lang w:val="lv-LV"/>
        </w:rPr>
        <w:t>„</w:t>
      </w:r>
      <w:r w:rsidR="00D143A9" w:rsidRPr="00DF2D5B">
        <w:rPr>
          <w:lang w:val="lv-LV"/>
        </w:rPr>
        <w:t>a”</w:t>
      </w:r>
      <w:r w:rsidR="00D143A9">
        <w:rPr>
          <w:lang w:val="lv-LV"/>
        </w:rPr>
        <w:t> </w:t>
      </w:r>
      <w:r w:rsidR="00D143A9" w:rsidRPr="00DF2D5B">
        <w:rPr>
          <w:lang w:val="lv-LV"/>
        </w:rPr>
        <w:t>apakšpunkt</w:t>
      </w:r>
      <w:r w:rsidR="00D143A9">
        <w:rPr>
          <w:lang w:val="lv-LV"/>
        </w:rPr>
        <w:t xml:space="preserve">u. Dienests </w:t>
      </w:r>
      <w:r w:rsidR="00D143A9" w:rsidRPr="006B64D6">
        <w:rPr>
          <w:lang w:val="lv-LV"/>
        </w:rPr>
        <w:t xml:space="preserve">nav nošķīris un </w:t>
      </w:r>
      <w:r w:rsidR="00D143A9">
        <w:rPr>
          <w:lang w:val="lv-LV"/>
        </w:rPr>
        <w:t xml:space="preserve">nav </w:t>
      </w:r>
      <w:r w:rsidR="00D143A9" w:rsidRPr="006B64D6">
        <w:rPr>
          <w:lang w:val="lv-LV"/>
        </w:rPr>
        <w:t>pareizi piemēroj</w:t>
      </w:r>
      <w:r w:rsidR="00D143A9">
        <w:rPr>
          <w:lang w:val="lv-LV"/>
        </w:rPr>
        <w:t>is</w:t>
      </w:r>
      <w:r w:rsidR="00D143A9" w:rsidRPr="006B64D6">
        <w:rPr>
          <w:lang w:val="lv-LV"/>
        </w:rPr>
        <w:t xml:space="preserve"> jēdzienus </w:t>
      </w:r>
      <w:r w:rsidR="00D143A9" w:rsidRPr="00BC45A3">
        <w:rPr>
          <w:lang w:val="lv-LV"/>
        </w:rPr>
        <w:t>„</w:t>
      </w:r>
      <w:r w:rsidR="00D143A9" w:rsidRPr="006B64D6">
        <w:rPr>
          <w:lang w:val="lv-LV"/>
        </w:rPr>
        <w:t xml:space="preserve">paaugstināta riska jurisdikcija” un </w:t>
      </w:r>
      <w:r w:rsidR="00D143A9" w:rsidRPr="00BC45A3">
        <w:rPr>
          <w:lang w:val="lv-LV"/>
        </w:rPr>
        <w:t>„</w:t>
      </w:r>
      <w:r w:rsidR="00D143A9" w:rsidRPr="006B64D6">
        <w:rPr>
          <w:lang w:val="lv-LV"/>
        </w:rPr>
        <w:t>augsta riska trešā valsts”</w:t>
      </w:r>
      <w:r w:rsidR="00D143A9">
        <w:rPr>
          <w:lang w:val="lv-LV"/>
        </w:rPr>
        <w:t xml:space="preserve"> un rezultātā nepareizi atzinis, ka </w:t>
      </w:r>
      <w:r w:rsidR="00D143A9" w:rsidRPr="00DF2D5B">
        <w:rPr>
          <w:lang w:val="lv-LV"/>
        </w:rPr>
        <w:t>pieteicējas klient</w:t>
      </w:r>
      <w:r w:rsidR="00FF2C73">
        <w:rPr>
          <w:lang w:val="lv-LV"/>
        </w:rPr>
        <w:t>es</w:t>
      </w:r>
      <w:r w:rsidR="00D143A9" w:rsidRPr="00DF2D5B">
        <w:rPr>
          <w:lang w:val="lv-LV"/>
        </w:rPr>
        <w:t xml:space="preserve"> SIA</w:t>
      </w:r>
      <w:r w:rsidR="00D143A9">
        <w:rPr>
          <w:lang w:val="lv-LV"/>
        </w:rPr>
        <w:t> </w:t>
      </w:r>
      <w:r w:rsidR="00D143A9" w:rsidRPr="00BC45A3">
        <w:rPr>
          <w:lang w:val="lv-LV"/>
        </w:rPr>
        <w:t>„</w:t>
      </w:r>
      <w:r w:rsidR="00D143A9" w:rsidRPr="00DF2D5B">
        <w:rPr>
          <w:lang w:val="lv-LV"/>
        </w:rPr>
        <w:t xml:space="preserve">JSA Group” </w:t>
      </w:r>
      <w:r w:rsidR="00FF2C73">
        <w:rPr>
          <w:lang w:val="lv-LV"/>
        </w:rPr>
        <w:t xml:space="preserve">saistība </w:t>
      </w:r>
      <w:r w:rsidR="00D143A9" w:rsidRPr="00DF2D5B">
        <w:rPr>
          <w:lang w:val="lv-LV"/>
        </w:rPr>
        <w:t>ar Krievijas Federāciju</w:t>
      </w:r>
      <w:r w:rsidR="00D143A9">
        <w:rPr>
          <w:lang w:val="lv-LV"/>
        </w:rPr>
        <w:t xml:space="preserve"> </w:t>
      </w:r>
      <w:r w:rsidR="00FF2C73">
        <w:rPr>
          <w:lang w:val="lv-LV"/>
        </w:rPr>
        <w:t xml:space="preserve">ir saistība ar </w:t>
      </w:r>
      <w:r w:rsidR="00FF2C73" w:rsidRPr="00FF2C73">
        <w:rPr>
          <w:lang w:val="lv-LV"/>
        </w:rPr>
        <w:t>paaugstināta riska jurisdikciju</w:t>
      </w:r>
      <w:r>
        <w:rPr>
          <w:lang w:val="lv-LV"/>
        </w:rPr>
        <w:t>.</w:t>
      </w:r>
    </w:p>
    <w:p w14:paraId="37D0BAEC" w14:textId="584BB28C" w:rsidR="00B0119C" w:rsidRPr="00B0119C" w:rsidRDefault="00DF2D5B" w:rsidP="00B35555">
      <w:pPr>
        <w:spacing w:after="0" w:line="276" w:lineRule="auto"/>
        <w:ind w:right="0" w:firstLine="720"/>
        <w:rPr>
          <w:lang w:val="lv-LV"/>
        </w:rPr>
      </w:pPr>
      <w:r>
        <w:rPr>
          <w:lang w:val="lv-LV"/>
        </w:rPr>
        <w:t>[2.2]</w:t>
      </w:r>
      <w:r w:rsidR="00865212">
        <w:rPr>
          <w:lang w:val="lv-LV"/>
        </w:rPr>
        <w:t> </w:t>
      </w:r>
      <w:r w:rsidR="00FF2C73">
        <w:rPr>
          <w:lang w:val="lv-LV"/>
        </w:rPr>
        <w:t>P</w:t>
      </w:r>
      <w:r w:rsidR="00B0119C" w:rsidRPr="00B0119C">
        <w:rPr>
          <w:lang w:val="lv-LV"/>
        </w:rPr>
        <w:t xml:space="preserve">ieteicēja ir pārkāpusi ne tikai </w:t>
      </w:r>
      <w:r w:rsidR="00FF2C73">
        <w:rPr>
          <w:lang w:val="lv-LV"/>
        </w:rPr>
        <w:t>Legalizācijas n</w:t>
      </w:r>
      <w:r w:rsidR="00B0119C" w:rsidRPr="00B0119C">
        <w:rPr>
          <w:lang w:val="lv-LV"/>
        </w:rPr>
        <w:t>ovēršanas likumā noteikto</w:t>
      </w:r>
      <w:r w:rsidR="00B0119C">
        <w:rPr>
          <w:lang w:val="lv-LV"/>
        </w:rPr>
        <w:t>s</w:t>
      </w:r>
      <w:r w:rsidR="00B0119C" w:rsidRPr="00B0119C">
        <w:rPr>
          <w:lang w:val="lv-LV"/>
        </w:rPr>
        <w:t xml:space="preserve"> būtiskos pamata pienākumus </w:t>
      </w:r>
      <w:r w:rsidR="00BC71F4">
        <w:rPr>
          <w:lang w:val="lv-LV"/>
        </w:rPr>
        <w:t xml:space="preserve">– </w:t>
      </w:r>
      <w:r w:rsidR="00B0119C" w:rsidRPr="00B0119C">
        <w:rPr>
          <w:lang w:val="lv-LV"/>
        </w:rPr>
        <w:t>ziņot par neparastiem un aizdomīgiem darījumiem</w:t>
      </w:r>
      <w:r w:rsidR="00B0119C">
        <w:rPr>
          <w:lang w:val="lv-LV"/>
        </w:rPr>
        <w:t>, veikt</w:t>
      </w:r>
      <w:r w:rsidR="00B0119C" w:rsidRPr="00B0119C">
        <w:rPr>
          <w:lang w:val="lv-LV"/>
        </w:rPr>
        <w:t xml:space="preserve"> klientu identifikācij</w:t>
      </w:r>
      <w:r w:rsidR="00B0119C">
        <w:rPr>
          <w:lang w:val="lv-LV"/>
        </w:rPr>
        <w:t>u</w:t>
      </w:r>
      <w:r w:rsidR="00B0119C" w:rsidRPr="00B0119C">
        <w:rPr>
          <w:lang w:val="lv-LV"/>
        </w:rPr>
        <w:t xml:space="preserve"> un izpēt</w:t>
      </w:r>
      <w:r w:rsidR="00B0119C">
        <w:rPr>
          <w:lang w:val="lv-LV"/>
        </w:rPr>
        <w:t>i</w:t>
      </w:r>
      <w:r w:rsidR="00B0119C" w:rsidRPr="00B0119C">
        <w:rPr>
          <w:lang w:val="lv-LV"/>
        </w:rPr>
        <w:t xml:space="preserve"> (</w:t>
      </w:r>
      <w:r w:rsidR="00FF2C73">
        <w:rPr>
          <w:lang w:val="lv-LV"/>
        </w:rPr>
        <w:t>Legalizācijas n</w:t>
      </w:r>
      <w:r w:rsidR="00B0119C" w:rsidRPr="00B0119C">
        <w:rPr>
          <w:lang w:val="lv-LV"/>
        </w:rPr>
        <w:t>ovēršanas likuma 11.</w:t>
      </w:r>
      <w:r w:rsidR="00B0119C" w:rsidRPr="00B0119C">
        <w:rPr>
          <w:vertAlign w:val="superscript"/>
          <w:lang w:val="lv-LV"/>
        </w:rPr>
        <w:t>1</w:t>
      </w:r>
      <w:r w:rsidR="00B0119C" w:rsidRPr="00B0119C">
        <w:rPr>
          <w:lang w:val="lv-LV"/>
        </w:rPr>
        <w:t>panta pirmā un otrā daļa, 37.</w:t>
      </w:r>
      <w:r w:rsidR="00B0119C" w:rsidRPr="00B0119C">
        <w:rPr>
          <w:vertAlign w:val="superscript"/>
          <w:lang w:val="lv-LV"/>
        </w:rPr>
        <w:t>2</w:t>
      </w:r>
      <w:r w:rsidR="00B0119C" w:rsidRPr="00B0119C">
        <w:rPr>
          <w:lang w:val="lv-LV"/>
        </w:rPr>
        <w:t>pants un 20.panta pirmā un otrā daļa un 30.panta pirmās daļas 1.punkts)</w:t>
      </w:r>
      <w:r w:rsidR="00FF2C73">
        <w:rPr>
          <w:lang w:val="lv-LV"/>
        </w:rPr>
        <w:t xml:space="preserve"> –</w:t>
      </w:r>
      <w:r w:rsidR="00B0119C" w:rsidRPr="00B0119C">
        <w:rPr>
          <w:lang w:val="lv-LV"/>
        </w:rPr>
        <w:t>, bet pieļāvusi arī citu mazāk būtisku pienākumu pārkāpumus (</w:t>
      </w:r>
      <w:r w:rsidR="00FF2C73">
        <w:rPr>
          <w:lang w:val="lv-LV"/>
        </w:rPr>
        <w:t>Legalizācijas n</w:t>
      </w:r>
      <w:r w:rsidR="00B0119C" w:rsidRPr="00B0119C">
        <w:rPr>
          <w:lang w:val="lv-LV"/>
        </w:rPr>
        <w:t>ovēršanas likuma 6.panta pirmā daļa, 7.panta pirmā daļa, 9.pants, 37.panta otrā daļa)</w:t>
      </w:r>
      <w:r w:rsidR="00FF2C73">
        <w:rPr>
          <w:lang w:val="lv-LV"/>
        </w:rPr>
        <w:t>. T</w:t>
      </w:r>
      <w:r w:rsidR="00B0119C" w:rsidRPr="00B0119C">
        <w:rPr>
          <w:lang w:val="lv-LV"/>
        </w:rPr>
        <w:t xml:space="preserve">urklāt pārkāpumi </w:t>
      </w:r>
      <w:r w:rsidR="00FF2C73">
        <w:rPr>
          <w:lang w:val="lv-LV"/>
        </w:rPr>
        <w:t>pieļauti</w:t>
      </w:r>
      <w:r w:rsidR="00B0119C" w:rsidRPr="00B0119C">
        <w:rPr>
          <w:lang w:val="lv-LV"/>
        </w:rPr>
        <w:t xml:space="preserve"> ilgstošā laika posmā no 2017.gada 1.novembra līdz 2018.gada 30.septembrim</w:t>
      </w:r>
      <w:r w:rsidR="00FF2C73">
        <w:rPr>
          <w:lang w:val="lv-LV"/>
        </w:rPr>
        <w:t xml:space="preserve">. Ievērojot minēto, </w:t>
      </w:r>
      <w:r w:rsidR="00B0119C">
        <w:rPr>
          <w:lang w:val="lv-LV"/>
        </w:rPr>
        <w:t>tas</w:t>
      </w:r>
      <w:r w:rsidR="00B0119C" w:rsidRPr="00B0119C">
        <w:rPr>
          <w:lang w:val="lv-LV"/>
        </w:rPr>
        <w:t xml:space="preserve">, ka no konstatētā pārkāpumu loka izslēgts </w:t>
      </w:r>
      <w:r w:rsidR="00FF2C73">
        <w:rPr>
          <w:lang w:val="lv-LV"/>
        </w:rPr>
        <w:t>Legalizācijas n</w:t>
      </w:r>
      <w:r w:rsidR="00B0119C" w:rsidRPr="00B0119C">
        <w:rPr>
          <w:lang w:val="lv-LV"/>
        </w:rPr>
        <w:t>ovēršanas likuma 11</w:t>
      </w:r>
      <w:r w:rsidR="00B0119C">
        <w:rPr>
          <w:lang w:val="lv-LV"/>
        </w:rPr>
        <w:t>.</w:t>
      </w:r>
      <w:r w:rsidR="00B0119C" w:rsidRPr="00B0119C">
        <w:rPr>
          <w:vertAlign w:val="superscript"/>
          <w:lang w:val="lv-LV"/>
        </w:rPr>
        <w:t>1</w:t>
      </w:r>
      <w:r w:rsidR="00B0119C" w:rsidRPr="00B0119C">
        <w:rPr>
          <w:lang w:val="lv-LV"/>
        </w:rPr>
        <w:t xml:space="preserve">panta trešās daļas </w:t>
      </w:r>
      <w:r w:rsidR="00B0119C" w:rsidRPr="00BC45A3">
        <w:rPr>
          <w:lang w:val="lv-LV"/>
        </w:rPr>
        <w:t>„</w:t>
      </w:r>
      <w:r w:rsidR="00B0119C" w:rsidRPr="00DF2D5B">
        <w:rPr>
          <w:lang w:val="lv-LV"/>
        </w:rPr>
        <w:t>a”</w:t>
      </w:r>
      <w:r w:rsidR="00FF2C73">
        <w:rPr>
          <w:lang w:val="lv-LV"/>
        </w:rPr>
        <w:t> </w:t>
      </w:r>
      <w:r w:rsidR="00B0119C" w:rsidRPr="00B0119C">
        <w:rPr>
          <w:lang w:val="lv-LV"/>
        </w:rPr>
        <w:t xml:space="preserve">apakšpunkta pārkāpums, kas ir mazāk būtisks likuma pārkāpums, nevar kopumā ietekmēt secinājumus par piemērotās soda sankcijas pamatotību un samērīgumu. </w:t>
      </w:r>
      <w:r w:rsidR="00B0119C">
        <w:rPr>
          <w:lang w:val="lv-LV"/>
        </w:rPr>
        <w:t>Tādējādi</w:t>
      </w:r>
      <w:r w:rsidR="00B0119C" w:rsidRPr="00B0119C">
        <w:rPr>
          <w:lang w:val="lv-LV"/>
        </w:rPr>
        <w:t xml:space="preserve"> soda nauda 10 000 </w:t>
      </w:r>
      <w:r w:rsidR="00B0119C" w:rsidRPr="00B0119C">
        <w:rPr>
          <w:i/>
          <w:iCs/>
          <w:lang w:val="lv-LV"/>
        </w:rPr>
        <w:t>euro</w:t>
      </w:r>
      <w:r w:rsidR="00B0119C" w:rsidRPr="00B0119C">
        <w:rPr>
          <w:lang w:val="lv-LV"/>
        </w:rPr>
        <w:t xml:space="preserve"> </w:t>
      </w:r>
      <w:r w:rsidR="00B46C37">
        <w:rPr>
          <w:lang w:val="lv-LV"/>
        </w:rPr>
        <w:t>ir</w:t>
      </w:r>
      <w:r w:rsidR="00B0119C" w:rsidRPr="00B0119C">
        <w:rPr>
          <w:lang w:val="lv-LV"/>
        </w:rPr>
        <w:t xml:space="preserve"> samērīg</w:t>
      </w:r>
      <w:r w:rsidR="00FF2C73">
        <w:rPr>
          <w:lang w:val="lv-LV"/>
        </w:rPr>
        <w:t>a</w:t>
      </w:r>
      <w:r w:rsidR="00B0119C" w:rsidRPr="00B0119C">
        <w:rPr>
          <w:lang w:val="lv-LV"/>
        </w:rPr>
        <w:t xml:space="preserve"> </w:t>
      </w:r>
      <w:r w:rsidR="00FF2C73">
        <w:rPr>
          <w:lang w:val="lv-LV"/>
        </w:rPr>
        <w:t xml:space="preserve">ar </w:t>
      </w:r>
      <w:r w:rsidR="00B0119C" w:rsidRPr="00B0119C">
        <w:rPr>
          <w:lang w:val="lv-LV"/>
        </w:rPr>
        <w:t>pieteicējas izdarītajiem p</w:t>
      </w:r>
      <w:r w:rsidR="00443802">
        <w:rPr>
          <w:lang w:val="lv-LV"/>
        </w:rPr>
        <w:t>ā</w:t>
      </w:r>
      <w:r w:rsidR="00B0119C" w:rsidRPr="00B0119C">
        <w:rPr>
          <w:lang w:val="lv-LV"/>
        </w:rPr>
        <w:t>rkāpumu veidiem un rakstur</w:t>
      </w:r>
      <w:r w:rsidR="00FF2C73">
        <w:rPr>
          <w:lang w:val="lv-LV"/>
        </w:rPr>
        <w:t>u</w:t>
      </w:r>
      <w:r w:rsidR="00B0119C" w:rsidRPr="00B0119C">
        <w:rPr>
          <w:lang w:val="lv-LV"/>
        </w:rPr>
        <w:t>, kā arī pieteicējas finansiāl</w:t>
      </w:r>
      <w:r w:rsidR="00FF2C73">
        <w:rPr>
          <w:lang w:val="lv-LV"/>
        </w:rPr>
        <w:t>o s</w:t>
      </w:r>
      <w:r w:rsidR="00B0119C" w:rsidRPr="00B0119C">
        <w:rPr>
          <w:lang w:val="lv-LV"/>
        </w:rPr>
        <w:t xml:space="preserve">tāvokli. </w:t>
      </w:r>
      <w:r w:rsidR="00FF2C73">
        <w:rPr>
          <w:lang w:val="lv-LV"/>
        </w:rPr>
        <w:t>N</w:t>
      </w:r>
      <w:r w:rsidR="00B0119C" w:rsidRPr="00B0119C">
        <w:rPr>
          <w:lang w:val="lv-LV"/>
        </w:rPr>
        <w:t xml:space="preserve">av pamata piemērot </w:t>
      </w:r>
      <w:r w:rsidR="00FF2C73">
        <w:rPr>
          <w:lang w:val="lv-LV"/>
        </w:rPr>
        <w:t>Legalizācijas n</w:t>
      </w:r>
      <w:r w:rsidR="00B0119C" w:rsidRPr="00B0119C">
        <w:rPr>
          <w:lang w:val="lv-LV"/>
        </w:rPr>
        <w:t>ovēršanas likumā paredzētās vieglākās sankcijas, kas mazāk ierobežo</w:t>
      </w:r>
      <w:r w:rsidR="00FF2C73">
        <w:rPr>
          <w:lang w:val="lv-LV"/>
        </w:rPr>
        <w:t>tu</w:t>
      </w:r>
      <w:r w:rsidR="00B0119C" w:rsidRPr="00B0119C">
        <w:rPr>
          <w:lang w:val="lv-LV"/>
        </w:rPr>
        <w:t xml:space="preserve"> pieteicējas tiesības.</w:t>
      </w:r>
    </w:p>
    <w:p w14:paraId="1D0491EF" w14:textId="77777777" w:rsidR="00245E02" w:rsidRDefault="00245E02" w:rsidP="00B35555">
      <w:pPr>
        <w:spacing w:after="0" w:line="276" w:lineRule="auto"/>
        <w:ind w:right="0" w:firstLine="720"/>
        <w:rPr>
          <w:lang w:val="lv-LV"/>
        </w:rPr>
      </w:pPr>
    </w:p>
    <w:p w14:paraId="20A329F5" w14:textId="77777777" w:rsidR="006F156B" w:rsidRDefault="00245E02" w:rsidP="00B35555">
      <w:pPr>
        <w:spacing w:after="0" w:line="276" w:lineRule="auto"/>
        <w:ind w:right="0" w:firstLine="720"/>
        <w:rPr>
          <w:i/>
          <w:iCs/>
          <w:lang w:val="lv-LV"/>
        </w:rPr>
      </w:pPr>
      <w:r w:rsidRPr="00245E02">
        <w:rPr>
          <w:i/>
          <w:iCs/>
          <w:lang w:val="lv-LV"/>
        </w:rPr>
        <w:t>Pieteicējas kasācijas sūdzība</w:t>
      </w:r>
    </w:p>
    <w:p w14:paraId="571EDF84" w14:textId="4AB7858F" w:rsidR="00245E02" w:rsidRPr="006F156B" w:rsidRDefault="006F156B" w:rsidP="00B35555">
      <w:pPr>
        <w:spacing w:after="0" w:line="276" w:lineRule="auto"/>
        <w:ind w:right="0" w:firstLine="720"/>
        <w:rPr>
          <w:i/>
          <w:iCs/>
          <w:lang w:val="lv-LV"/>
        </w:rPr>
      </w:pPr>
      <w:r>
        <w:rPr>
          <w:lang w:val="lv-LV"/>
        </w:rPr>
        <w:t>[3] </w:t>
      </w:r>
      <w:r w:rsidR="00245E02" w:rsidRPr="00BC45A3">
        <w:rPr>
          <w:lang w:val="lv-LV"/>
        </w:rPr>
        <w:t xml:space="preserve">Pieteicēja par apgabaltiesas spriedumu iesniedza kasācijas sūdzību, </w:t>
      </w:r>
      <w:r w:rsidR="00674D71">
        <w:rPr>
          <w:lang w:val="lv-LV"/>
        </w:rPr>
        <w:t xml:space="preserve">uzskatot, ka </w:t>
      </w:r>
      <w:r w:rsidR="00771CE0">
        <w:rPr>
          <w:lang w:val="lv-LV"/>
        </w:rPr>
        <w:t>a</w:t>
      </w:r>
      <w:r w:rsidR="00674D71">
        <w:rPr>
          <w:lang w:val="lv-LV"/>
        </w:rPr>
        <w:t xml:space="preserve">pgabaltiesa nepamatoti nav samazinājusi soda naudas apmēru situācijā, kad atcelts iepriekš konstatētais pārkāpums. </w:t>
      </w:r>
      <w:r w:rsidR="001F61F3">
        <w:rPr>
          <w:lang w:val="lv-LV"/>
        </w:rPr>
        <w:t>S</w:t>
      </w:r>
      <w:r w:rsidR="00674D71" w:rsidRPr="00BC45A3">
        <w:rPr>
          <w:lang w:val="lv-LV"/>
        </w:rPr>
        <w:t xml:space="preserve">prieduma atcelšanai </w:t>
      </w:r>
      <w:r w:rsidR="00245E02" w:rsidRPr="00BC45A3">
        <w:rPr>
          <w:lang w:val="lv-LV"/>
        </w:rPr>
        <w:t>izvirz</w:t>
      </w:r>
      <w:r w:rsidR="00674D71">
        <w:rPr>
          <w:lang w:val="lv-LV"/>
        </w:rPr>
        <w:t>īti</w:t>
      </w:r>
      <w:r w:rsidR="00245E02" w:rsidRPr="00BC45A3">
        <w:rPr>
          <w:lang w:val="lv-LV"/>
        </w:rPr>
        <w:t xml:space="preserve"> turpmāk</w:t>
      </w:r>
      <w:r w:rsidR="00443802">
        <w:rPr>
          <w:lang w:val="lv-LV"/>
        </w:rPr>
        <w:t xml:space="preserve"> </w:t>
      </w:r>
      <w:r w:rsidR="00245E02" w:rsidRPr="00BC45A3">
        <w:rPr>
          <w:lang w:val="lv-LV"/>
        </w:rPr>
        <w:t>minēt</w:t>
      </w:r>
      <w:r w:rsidR="00674D71">
        <w:rPr>
          <w:lang w:val="lv-LV"/>
        </w:rPr>
        <w:t>ie</w:t>
      </w:r>
      <w:r w:rsidR="00245E02" w:rsidRPr="00BC45A3">
        <w:rPr>
          <w:lang w:val="lv-LV"/>
        </w:rPr>
        <w:t xml:space="preserve"> pamat</w:t>
      </w:r>
      <w:r w:rsidR="00674D71">
        <w:rPr>
          <w:lang w:val="lv-LV"/>
        </w:rPr>
        <w:t>i</w:t>
      </w:r>
      <w:r w:rsidR="00245E02" w:rsidRPr="00BC45A3">
        <w:rPr>
          <w:lang w:val="lv-LV"/>
        </w:rPr>
        <w:t>.</w:t>
      </w:r>
    </w:p>
    <w:p w14:paraId="405E2BD1" w14:textId="4815041D" w:rsidR="00532627" w:rsidRDefault="00245E02" w:rsidP="00B35555">
      <w:pPr>
        <w:spacing w:after="0" w:line="276" w:lineRule="auto"/>
        <w:ind w:right="0" w:firstLine="720"/>
        <w:rPr>
          <w:noProof/>
          <w:lang w:val="lv-LV"/>
        </w:rPr>
      </w:pPr>
      <w:r>
        <w:rPr>
          <w:lang w:val="lv-LV"/>
        </w:rPr>
        <w:t>[3.1]</w:t>
      </w:r>
      <w:r w:rsidR="00865212">
        <w:rPr>
          <w:lang w:val="lv-LV"/>
        </w:rPr>
        <w:t> </w:t>
      </w:r>
      <w:r w:rsidR="00532627">
        <w:rPr>
          <w:noProof/>
          <w:lang w:val="lv-LV"/>
        </w:rPr>
        <w:t>Tiesa nav ņēmusi vērā Administratīvā procesa likuma 250.panta otro daļu, kas tiesai ļauj ņemt vērā tikai to pamatojumi, kas bija ietverts administratīvajā aktā. No sprieduma n</w:t>
      </w:r>
      <w:r w:rsidR="00532627" w:rsidRPr="00B46C37">
        <w:rPr>
          <w:noProof/>
          <w:lang w:val="lv-LV"/>
        </w:rPr>
        <w:t xml:space="preserve">av gūstams pamatojums, kāpēc </w:t>
      </w:r>
      <w:r w:rsidR="00532627">
        <w:rPr>
          <w:noProof/>
          <w:lang w:val="lv-LV"/>
        </w:rPr>
        <w:t xml:space="preserve">atceltais </w:t>
      </w:r>
      <w:r w:rsidR="00532627" w:rsidRPr="00B46C37">
        <w:rPr>
          <w:noProof/>
          <w:lang w:val="lv-LV"/>
        </w:rPr>
        <w:t>pārkāpums ir mazāk būtisks</w:t>
      </w:r>
      <w:r w:rsidR="00532627">
        <w:rPr>
          <w:noProof/>
          <w:lang w:val="lv-LV"/>
        </w:rPr>
        <w:t>, salīdzinot ar citiem konstatētajiem pārkāpumiem, šāda dalījuma nebija iestādes izdotajā</w:t>
      </w:r>
      <w:r w:rsidR="002E5102">
        <w:rPr>
          <w:noProof/>
          <w:lang w:val="lv-LV"/>
        </w:rPr>
        <w:t xml:space="preserve"> </w:t>
      </w:r>
      <w:r w:rsidR="00532627">
        <w:rPr>
          <w:noProof/>
          <w:lang w:val="lv-LV"/>
        </w:rPr>
        <w:t>administratīvajā aktā.</w:t>
      </w:r>
    </w:p>
    <w:p w14:paraId="38D18DE1" w14:textId="34C00367" w:rsidR="00532627" w:rsidRPr="00B46C37" w:rsidRDefault="00B46C37" w:rsidP="00B35555">
      <w:pPr>
        <w:spacing w:after="0" w:line="276" w:lineRule="auto"/>
        <w:ind w:right="0" w:firstLine="720"/>
        <w:rPr>
          <w:noProof/>
          <w:lang w:val="lv-LV"/>
        </w:rPr>
      </w:pPr>
      <w:r w:rsidRPr="00B46C37">
        <w:rPr>
          <w:noProof/>
          <w:lang w:val="lv-LV"/>
        </w:rPr>
        <w:t>[3.2]</w:t>
      </w:r>
      <w:r w:rsidR="00865212">
        <w:rPr>
          <w:noProof/>
          <w:lang w:val="lv-LV"/>
        </w:rPr>
        <w:t> </w:t>
      </w:r>
      <w:r w:rsidR="00532627">
        <w:rPr>
          <w:noProof/>
          <w:lang w:val="lv-LV"/>
        </w:rPr>
        <w:t>Ja arī ir pieļaujams pārkāpumus dalīt būtskos</w:t>
      </w:r>
      <w:r w:rsidR="001F61F3">
        <w:rPr>
          <w:noProof/>
          <w:lang w:val="lv-LV"/>
        </w:rPr>
        <w:t xml:space="preserve"> </w:t>
      </w:r>
      <w:r w:rsidR="00532627">
        <w:rPr>
          <w:noProof/>
          <w:lang w:val="lv-LV"/>
        </w:rPr>
        <w:t xml:space="preserve">un mazāk būtiskos, tiesa nav pareizi to novērtējusi. </w:t>
      </w:r>
      <w:r w:rsidR="00532627">
        <w:rPr>
          <w:lang w:val="lv-LV"/>
        </w:rPr>
        <w:t>P</w:t>
      </w:r>
      <w:r w:rsidR="00532627" w:rsidRPr="00B46C37">
        <w:rPr>
          <w:lang w:val="lv-LV"/>
        </w:rPr>
        <w:t xml:space="preserve">ieteicējas atspēkotais pārkāpums netika konstatēts tikai par </w:t>
      </w:r>
      <w:r w:rsidR="00532627" w:rsidRPr="00B46C37">
        <w:rPr>
          <w:noProof/>
          <w:lang w:val="lv-LV"/>
        </w:rPr>
        <w:t>SIA </w:t>
      </w:r>
      <w:r w:rsidR="00532627" w:rsidRPr="00BC45A3">
        <w:rPr>
          <w:lang w:val="lv-LV"/>
        </w:rPr>
        <w:t>„</w:t>
      </w:r>
      <w:r w:rsidR="00532627" w:rsidRPr="00B46C37">
        <w:rPr>
          <w:noProof/>
          <w:lang w:val="lv-LV"/>
        </w:rPr>
        <w:t xml:space="preserve">JSA GROUP”. Minētā sabiedrība pārsūdzētajā lēmumā tika atsevišķi analizēta kā piemērs kontekstā ar konstatēto pārkāpumu, ka </w:t>
      </w:r>
      <w:r w:rsidR="00532627" w:rsidRPr="00443802">
        <w:rPr>
          <w:noProof/>
          <w:lang w:val="lv-LV"/>
        </w:rPr>
        <w:t xml:space="preserve">visās </w:t>
      </w:r>
      <w:r w:rsidR="00532627" w:rsidRPr="00B46C37">
        <w:rPr>
          <w:noProof/>
          <w:lang w:val="lv-LV"/>
        </w:rPr>
        <w:t>pieteicējas klientu anketās ir noteikts zems risks, kaut arī patiesais labuma guvējs ir Krievijas vai citas Neatkarīgo valstu sadraudzības valsts pilsonis.</w:t>
      </w:r>
      <w:r w:rsidR="00532627">
        <w:rPr>
          <w:noProof/>
          <w:lang w:val="lv-LV"/>
        </w:rPr>
        <w:t xml:space="preserve"> Tomēr a</w:t>
      </w:r>
      <w:r w:rsidR="00532627" w:rsidRPr="00B46C37">
        <w:rPr>
          <w:noProof/>
          <w:lang w:val="lv-LV"/>
        </w:rPr>
        <w:t>pgabaltiesa spriedum</w:t>
      </w:r>
      <w:r w:rsidR="00532627">
        <w:rPr>
          <w:noProof/>
          <w:lang w:val="lv-LV"/>
        </w:rPr>
        <w:t>ā</w:t>
      </w:r>
      <w:r w:rsidR="00532627" w:rsidRPr="00B46C37">
        <w:rPr>
          <w:noProof/>
          <w:lang w:val="lv-LV"/>
        </w:rPr>
        <w:t xml:space="preserve"> šim apstāklim nav pievērsusi </w:t>
      </w:r>
      <w:r w:rsidR="001F61F3">
        <w:rPr>
          <w:noProof/>
          <w:lang w:val="lv-LV"/>
        </w:rPr>
        <w:t>pienācīgu</w:t>
      </w:r>
      <w:r w:rsidR="00532627" w:rsidRPr="00B46C37">
        <w:rPr>
          <w:noProof/>
          <w:lang w:val="lv-LV"/>
        </w:rPr>
        <w:t xml:space="preserve"> vērību. </w:t>
      </w:r>
      <w:r w:rsidR="00532627">
        <w:rPr>
          <w:noProof/>
          <w:lang w:val="lv-LV"/>
        </w:rPr>
        <w:t>Līdz ar to ir</w:t>
      </w:r>
      <w:r w:rsidR="00532627" w:rsidRPr="00B46C37">
        <w:rPr>
          <w:noProof/>
          <w:lang w:val="lv-LV"/>
        </w:rPr>
        <w:t xml:space="preserve"> nepamatoti samazināta konkrētā pārkāpuma nozīmība, radot iespaidu, ka runa ir tikai par vienu pieteicējas klientu, nevis daudziem pieteicējas klientiem.</w:t>
      </w:r>
    </w:p>
    <w:p w14:paraId="5A06BEC5" w14:textId="5A3CD1B2" w:rsidR="00B46C37" w:rsidRPr="00B46C37" w:rsidRDefault="00B46C37" w:rsidP="00B35555">
      <w:pPr>
        <w:spacing w:after="0" w:line="276" w:lineRule="auto"/>
        <w:ind w:right="0" w:firstLine="720"/>
        <w:rPr>
          <w:noProof/>
          <w:lang w:val="lv-LV"/>
        </w:rPr>
      </w:pPr>
    </w:p>
    <w:p w14:paraId="3E3D8C50" w14:textId="1B72ADC5" w:rsidR="00245E02" w:rsidRDefault="00421692" w:rsidP="00B35555">
      <w:pPr>
        <w:spacing w:after="0" w:line="276" w:lineRule="auto"/>
        <w:ind w:right="0" w:firstLine="720"/>
        <w:jc w:val="left"/>
        <w:rPr>
          <w:i/>
          <w:iCs/>
          <w:lang w:val="lv-LV"/>
        </w:rPr>
      </w:pPr>
      <w:r>
        <w:rPr>
          <w:i/>
          <w:iCs/>
          <w:lang w:val="lv-LV"/>
        </w:rPr>
        <w:t>Valsts ieņēmumu d</w:t>
      </w:r>
      <w:r w:rsidR="00245E02" w:rsidRPr="00245E02">
        <w:rPr>
          <w:i/>
          <w:iCs/>
          <w:lang w:val="lv-LV"/>
        </w:rPr>
        <w:t>ienesta paskaidrojumi</w:t>
      </w:r>
    </w:p>
    <w:p w14:paraId="24EDA696" w14:textId="103840A5" w:rsidR="00245E02" w:rsidRDefault="00245E02" w:rsidP="00B35555">
      <w:pPr>
        <w:spacing w:after="0" w:line="276" w:lineRule="auto"/>
        <w:ind w:right="0" w:firstLine="709"/>
        <w:rPr>
          <w:lang w:val="lv-LV"/>
        </w:rPr>
      </w:pPr>
      <w:r w:rsidRPr="00BC45A3">
        <w:rPr>
          <w:lang w:val="lv-LV"/>
        </w:rPr>
        <w:lastRenderedPageBreak/>
        <w:t>[4]</w:t>
      </w:r>
      <w:r w:rsidR="00865212">
        <w:rPr>
          <w:lang w:val="lv-LV"/>
        </w:rPr>
        <w:t> </w:t>
      </w:r>
      <w:r w:rsidR="00421692">
        <w:rPr>
          <w:lang w:val="lv-LV"/>
        </w:rPr>
        <w:t>Valsts ieņēmumu d</w:t>
      </w:r>
      <w:r w:rsidRPr="00BC45A3">
        <w:rPr>
          <w:lang w:val="lv-LV"/>
        </w:rPr>
        <w:t xml:space="preserve">ienesta paskaidrojumos par kasācijas sūdzību norādīts, ka tā ir nepamatota un noraidāma. </w:t>
      </w:r>
    </w:p>
    <w:p w14:paraId="19984BFE" w14:textId="09FD0BA8" w:rsidR="000B6D04" w:rsidRPr="000B6D04" w:rsidRDefault="000B6D04" w:rsidP="00B35555">
      <w:pPr>
        <w:tabs>
          <w:tab w:val="left" w:pos="3686"/>
        </w:tabs>
        <w:spacing w:after="0" w:line="276" w:lineRule="auto"/>
        <w:ind w:right="0" w:firstLine="720"/>
        <w:rPr>
          <w:lang w:val="lv-LV"/>
        </w:rPr>
      </w:pPr>
      <w:r>
        <w:rPr>
          <w:lang w:val="lv-LV"/>
        </w:rPr>
        <w:t>[4.1]</w:t>
      </w:r>
      <w:r w:rsidR="00865212">
        <w:rPr>
          <w:lang w:val="lv-LV"/>
        </w:rPr>
        <w:t> </w:t>
      </w:r>
      <w:r w:rsidR="00421692">
        <w:rPr>
          <w:lang w:val="lv-LV"/>
        </w:rPr>
        <w:t>Legalizācijas n</w:t>
      </w:r>
      <w:r>
        <w:rPr>
          <w:lang w:val="lv-LV"/>
        </w:rPr>
        <w:t>ovēršanas</w:t>
      </w:r>
      <w:r w:rsidRPr="000B6D04">
        <w:rPr>
          <w:lang w:val="lv-LV"/>
        </w:rPr>
        <w:t xml:space="preserve"> likums neiedala pārkāpumus maznozīmīgos un būtiskos, tādējādi arī </w:t>
      </w:r>
      <w:r>
        <w:rPr>
          <w:lang w:val="lv-LV"/>
        </w:rPr>
        <w:t xml:space="preserve">pārsūdzētajā </w:t>
      </w:r>
      <w:r w:rsidRPr="000B6D04">
        <w:rPr>
          <w:lang w:val="lv-LV"/>
        </w:rPr>
        <w:t>lēmumā šāds pārkāpumu iedalījums nav ietverts.</w:t>
      </w:r>
      <w:r w:rsidRPr="00CF1C34">
        <w:rPr>
          <w:lang w:val="lv-LV"/>
        </w:rPr>
        <w:t xml:space="preserve"> </w:t>
      </w:r>
      <w:r w:rsidRPr="000B6D04">
        <w:rPr>
          <w:lang w:val="lv-LV"/>
        </w:rPr>
        <w:t xml:space="preserve">Lai nodrošinātu vienotu izpratni par </w:t>
      </w:r>
      <w:r w:rsidR="00421692">
        <w:rPr>
          <w:lang w:val="lv-LV"/>
        </w:rPr>
        <w:t>Legalizācijas n</w:t>
      </w:r>
      <w:r>
        <w:rPr>
          <w:lang w:val="lv-LV"/>
        </w:rPr>
        <w:t>ovēršanas</w:t>
      </w:r>
      <w:r w:rsidRPr="000B6D04">
        <w:rPr>
          <w:lang w:val="lv-LV"/>
        </w:rPr>
        <w:t xml:space="preserve"> likumā un Starptautisko un Latvijas Republikas nacionālo sankciju likumā noteikto sankciju piemērošanas principiem, saskaņā ar kuriem </w:t>
      </w:r>
      <w:r>
        <w:rPr>
          <w:lang w:val="lv-LV"/>
        </w:rPr>
        <w:t>dienests</w:t>
      </w:r>
      <w:r w:rsidRPr="000B6D04">
        <w:rPr>
          <w:lang w:val="lv-LV"/>
        </w:rPr>
        <w:t xml:space="preserve"> administratīvajā procesā piemēro sodu, kā arī lai novērstu gadījumus, kad par dažāda smaguma pārkāpumiem piemēro vienādas sankcijas, </w:t>
      </w:r>
      <w:r>
        <w:rPr>
          <w:lang w:val="lv-LV"/>
        </w:rPr>
        <w:t>dienests</w:t>
      </w:r>
      <w:r w:rsidRPr="000B6D04">
        <w:rPr>
          <w:lang w:val="lv-LV"/>
        </w:rPr>
        <w:t xml:space="preserve"> ir izstrādājis </w:t>
      </w:r>
      <w:r w:rsidRPr="00BC45A3">
        <w:rPr>
          <w:lang w:val="lv-LV"/>
        </w:rPr>
        <w:t>„</w:t>
      </w:r>
      <w:r w:rsidRPr="000B6D04">
        <w:rPr>
          <w:lang w:val="lv-LV"/>
        </w:rPr>
        <w:t xml:space="preserve">Sankciju noteikšanas vadlīnijas par Noziedzīgi iegūtu līdzekļu legalizācijas un terorisma un proliferācijas finansēšanas novēršanas likuma un Starptautisko un Latvijas Republikas nacionālo sankciju likuma pārkāpumiem </w:t>
      </w:r>
      <w:r>
        <w:rPr>
          <w:lang w:val="lv-LV"/>
        </w:rPr>
        <w:t>Valsts ieņēmumu dienesta</w:t>
      </w:r>
      <w:r w:rsidRPr="000B6D04">
        <w:rPr>
          <w:lang w:val="lv-LV"/>
        </w:rPr>
        <w:t xml:space="preserve"> uzraudzībā esošajiem likuma subjektiem” (turpmāk – vadlīnijas).</w:t>
      </w:r>
    </w:p>
    <w:p w14:paraId="02A8199B" w14:textId="06138D38" w:rsidR="000B6D04" w:rsidRPr="000B6D04" w:rsidRDefault="000B6D04" w:rsidP="00B35555">
      <w:pPr>
        <w:tabs>
          <w:tab w:val="left" w:pos="3686"/>
        </w:tabs>
        <w:spacing w:after="0" w:line="276" w:lineRule="auto"/>
        <w:ind w:right="0" w:firstLine="720"/>
        <w:rPr>
          <w:lang w:val="lv-LV"/>
        </w:rPr>
      </w:pPr>
      <w:r w:rsidRPr="000B6D04">
        <w:rPr>
          <w:lang w:val="lv-LV"/>
        </w:rPr>
        <w:t>Vadlīnijās ir notei</w:t>
      </w:r>
      <w:r>
        <w:rPr>
          <w:lang w:val="lv-LV"/>
        </w:rPr>
        <w:t>kti</w:t>
      </w:r>
      <w:r w:rsidRPr="000B6D04">
        <w:rPr>
          <w:lang w:val="lv-LV"/>
        </w:rPr>
        <w:t xml:space="preserve"> skaidr</w:t>
      </w:r>
      <w:r>
        <w:rPr>
          <w:lang w:val="lv-LV"/>
        </w:rPr>
        <w:t>i</w:t>
      </w:r>
      <w:r w:rsidRPr="000B6D04">
        <w:rPr>
          <w:lang w:val="lv-LV"/>
        </w:rPr>
        <w:t xml:space="preserve"> kritērij</w:t>
      </w:r>
      <w:r>
        <w:rPr>
          <w:lang w:val="lv-LV"/>
        </w:rPr>
        <w:t>i</w:t>
      </w:r>
      <w:r w:rsidRPr="000B6D04">
        <w:rPr>
          <w:lang w:val="lv-LV"/>
        </w:rPr>
        <w:t xml:space="preserve">, saskaņā ar kuriem </w:t>
      </w:r>
      <w:r>
        <w:rPr>
          <w:lang w:val="lv-LV"/>
        </w:rPr>
        <w:t>dienests</w:t>
      </w:r>
      <w:r w:rsidRPr="000B6D04">
        <w:rPr>
          <w:lang w:val="lv-LV"/>
        </w:rPr>
        <w:t xml:space="preserve"> rīkojas rīcības brīvības ietvaros, lemjot par piemērojamo soda veidu un apmēru. Saskaņā ar vadlīniju 9.punktu pārkāpumi iedalās būtiskos un mazāk būtiskos.</w:t>
      </w:r>
    </w:p>
    <w:p w14:paraId="05EB09FB" w14:textId="50369B89" w:rsidR="000B6D04" w:rsidRDefault="000B6D04" w:rsidP="00B35555">
      <w:pPr>
        <w:tabs>
          <w:tab w:val="left" w:pos="3686"/>
        </w:tabs>
        <w:spacing w:after="0" w:line="276" w:lineRule="auto"/>
        <w:ind w:right="0" w:firstLine="720"/>
        <w:rPr>
          <w:lang w:val="lv-LV"/>
        </w:rPr>
      </w:pPr>
      <w:r w:rsidRPr="000B6D04">
        <w:rPr>
          <w:lang w:val="lv-LV"/>
        </w:rPr>
        <w:t>Konkrēt</w:t>
      </w:r>
      <w:r>
        <w:rPr>
          <w:lang w:val="lv-LV"/>
        </w:rPr>
        <w:t>ais</w:t>
      </w:r>
      <w:r w:rsidRPr="000B6D04">
        <w:rPr>
          <w:lang w:val="lv-LV"/>
        </w:rPr>
        <w:t xml:space="preserve"> pārkāpums</w:t>
      </w:r>
      <w:r>
        <w:rPr>
          <w:lang w:val="lv-LV"/>
        </w:rPr>
        <w:t>, kad</w:t>
      </w:r>
      <w:r w:rsidRPr="000B6D04">
        <w:rPr>
          <w:lang w:val="lv-LV"/>
        </w:rPr>
        <w:t xml:space="preserve"> ir veikta klienta identifikācija un izpēte, bet</w:t>
      </w:r>
      <w:r w:rsidR="00421692">
        <w:rPr>
          <w:lang w:val="lv-LV"/>
        </w:rPr>
        <w:t>,</w:t>
      </w:r>
      <w:r w:rsidRPr="000B6D04">
        <w:rPr>
          <w:lang w:val="lv-LV"/>
        </w:rPr>
        <w:t xml:space="preserve"> dokumentējot izpēti</w:t>
      </w:r>
      <w:r w:rsidR="00421692">
        <w:rPr>
          <w:lang w:val="lv-LV"/>
        </w:rPr>
        <w:t>,</w:t>
      </w:r>
      <w:r w:rsidRPr="000B6D04">
        <w:rPr>
          <w:lang w:val="lv-LV"/>
        </w:rPr>
        <w:t xml:space="preserve"> ir pieļautas būtiskas nepilnības</w:t>
      </w:r>
      <w:r>
        <w:rPr>
          <w:lang w:val="lv-LV"/>
        </w:rPr>
        <w:t>,</w:t>
      </w:r>
      <w:r w:rsidRPr="000B6D04">
        <w:rPr>
          <w:lang w:val="lv-LV"/>
        </w:rPr>
        <w:t xml:space="preserve"> ir atzīstams par mazāk būtisku pārkāpumu. </w:t>
      </w:r>
    </w:p>
    <w:p w14:paraId="64287768" w14:textId="7770530E" w:rsidR="00DD34AE" w:rsidRDefault="00DD34AE" w:rsidP="00B35555">
      <w:pPr>
        <w:autoSpaceDE w:val="0"/>
        <w:autoSpaceDN w:val="0"/>
        <w:adjustRightInd w:val="0"/>
        <w:spacing w:after="0" w:line="276" w:lineRule="auto"/>
        <w:ind w:right="0" w:firstLine="720"/>
        <w:rPr>
          <w:lang w:val="lv-LV"/>
        </w:rPr>
      </w:pPr>
      <w:r>
        <w:rPr>
          <w:lang w:val="lv-LV"/>
        </w:rPr>
        <w:t>[4.2]</w:t>
      </w:r>
      <w:r w:rsidR="00865212">
        <w:rPr>
          <w:lang w:val="lv-LV"/>
        </w:rPr>
        <w:t> </w:t>
      </w:r>
      <w:r w:rsidRPr="00DD34AE">
        <w:rPr>
          <w:lang w:val="lv-LV"/>
        </w:rPr>
        <w:t xml:space="preserve">Konkrētajā gadījumā pieteicējai par vienpadsmit </w:t>
      </w:r>
      <w:r w:rsidR="00421692">
        <w:rPr>
          <w:lang w:val="lv-LV"/>
        </w:rPr>
        <w:t>Legalizācijas n</w:t>
      </w:r>
      <w:r>
        <w:rPr>
          <w:lang w:val="lv-LV"/>
        </w:rPr>
        <w:t xml:space="preserve">ovēršanas </w:t>
      </w:r>
      <w:r w:rsidRPr="00DD34AE">
        <w:rPr>
          <w:lang w:val="lv-LV"/>
        </w:rPr>
        <w:t xml:space="preserve">likuma prasību neievērošanu piemērotā sankcija </w:t>
      </w:r>
      <w:r>
        <w:rPr>
          <w:lang w:val="lv-LV"/>
        </w:rPr>
        <w:t>ir</w:t>
      </w:r>
      <w:r w:rsidRPr="00DD34AE">
        <w:rPr>
          <w:lang w:val="lv-LV"/>
        </w:rPr>
        <w:t xml:space="preserve"> 1</w:t>
      </w:r>
      <w:r w:rsidR="00421692">
        <w:rPr>
          <w:lang w:val="lv-LV"/>
        </w:rPr>
        <w:t> </w:t>
      </w:r>
      <w:r w:rsidRPr="00DD34AE">
        <w:rPr>
          <w:lang w:val="lv-LV"/>
        </w:rPr>
        <w:t>% no likumdevēja maksimāli noteiktās soda naudas apmēra (1</w:t>
      </w:r>
      <w:r w:rsidR="00421692">
        <w:rPr>
          <w:lang w:val="lv-LV"/>
        </w:rPr>
        <w:t> </w:t>
      </w:r>
      <w:r w:rsidRPr="00DD34AE">
        <w:rPr>
          <w:lang w:val="lv-LV"/>
        </w:rPr>
        <w:t>000</w:t>
      </w:r>
      <w:r w:rsidR="00421692">
        <w:rPr>
          <w:lang w:val="lv-LV"/>
        </w:rPr>
        <w:t> </w:t>
      </w:r>
      <w:r w:rsidRPr="00DD34AE">
        <w:rPr>
          <w:lang w:val="lv-LV"/>
        </w:rPr>
        <w:t xml:space="preserve">000 </w:t>
      </w:r>
      <w:r w:rsidRPr="00DD34AE">
        <w:rPr>
          <w:i/>
          <w:iCs/>
          <w:lang w:val="lv-LV"/>
        </w:rPr>
        <w:t>euro</w:t>
      </w:r>
      <w:r w:rsidRPr="00DD34AE">
        <w:rPr>
          <w:lang w:val="lv-LV"/>
        </w:rPr>
        <w:t>)</w:t>
      </w:r>
      <w:r w:rsidR="00421692">
        <w:rPr>
          <w:lang w:val="lv-LV"/>
        </w:rPr>
        <w:t>. T</w:t>
      </w:r>
      <w:r>
        <w:rPr>
          <w:lang w:val="lv-LV"/>
        </w:rPr>
        <w:t>ā kā</w:t>
      </w:r>
      <w:r w:rsidRPr="00DD34AE">
        <w:rPr>
          <w:lang w:val="lv-LV"/>
        </w:rPr>
        <w:t xml:space="preserve"> apgabaltiesa </w:t>
      </w:r>
      <w:r w:rsidR="00421692">
        <w:rPr>
          <w:lang w:val="lv-LV"/>
        </w:rPr>
        <w:t xml:space="preserve">tikai </w:t>
      </w:r>
      <w:r w:rsidRPr="00DD34AE">
        <w:rPr>
          <w:lang w:val="lv-LV"/>
        </w:rPr>
        <w:t xml:space="preserve">vienu no vienpadsmit pārkāpumiem atzina par nepamatotu, </w:t>
      </w:r>
      <w:r w:rsidR="00421692">
        <w:rPr>
          <w:lang w:val="lv-LV"/>
        </w:rPr>
        <w:t xml:space="preserve">tas </w:t>
      </w:r>
      <w:r w:rsidRPr="00DD34AE">
        <w:rPr>
          <w:lang w:val="lv-LV"/>
        </w:rPr>
        <w:t xml:space="preserve">nekādā veidā neietekmē piemērotās soda naudas 10 000 </w:t>
      </w:r>
      <w:r w:rsidRPr="00DD34AE">
        <w:rPr>
          <w:i/>
          <w:iCs/>
          <w:lang w:val="lv-LV"/>
        </w:rPr>
        <w:t>euro</w:t>
      </w:r>
      <w:r w:rsidRPr="00DD34AE">
        <w:rPr>
          <w:lang w:val="lv-LV"/>
        </w:rPr>
        <w:t xml:space="preserve"> apmēru.</w:t>
      </w:r>
      <w:r w:rsidR="00421692">
        <w:rPr>
          <w:lang w:val="lv-LV"/>
        </w:rPr>
        <w:t xml:space="preserve"> P</w:t>
      </w:r>
      <w:r w:rsidRPr="00DD34AE">
        <w:rPr>
          <w:lang w:val="lv-LV"/>
        </w:rPr>
        <w:t>iemērotā soda nauda</w:t>
      </w:r>
      <w:r w:rsidR="00421692">
        <w:rPr>
          <w:lang w:val="lv-LV"/>
        </w:rPr>
        <w:t xml:space="preserve"> </w:t>
      </w:r>
      <w:r w:rsidRPr="00DD34AE">
        <w:rPr>
          <w:lang w:val="lv-LV"/>
        </w:rPr>
        <w:t>ir samērīga un atbilstoša atlikušajiem desmit konstatētajiem pārkāpumiem.</w:t>
      </w:r>
    </w:p>
    <w:p w14:paraId="65C554F4" w14:textId="77777777" w:rsidR="00094A63" w:rsidRDefault="00094A63" w:rsidP="00B35555">
      <w:pPr>
        <w:autoSpaceDE w:val="0"/>
        <w:autoSpaceDN w:val="0"/>
        <w:adjustRightInd w:val="0"/>
        <w:spacing w:after="0" w:line="276" w:lineRule="auto"/>
        <w:ind w:right="0" w:firstLine="720"/>
        <w:rPr>
          <w:lang w:val="lv-LV"/>
        </w:rPr>
      </w:pPr>
    </w:p>
    <w:p w14:paraId="17F7D15F" w14:textId="27F9D531" w:rsidR="00094A63" w:rsidRPr="00094A63" w:rsidRDefault="00094A63" w:rsidP="00B35555">
      <w:pPr>
        <w:autoSpaceDE w:val="0"/>
        <w:autoSpaceDN w:val="0"/>
        <w:adjustRightInd w:val="0"/>
        <w:spacing w:after="0" w:line="276" w:lineRule="auto"/>
        <w:ind w:right="0" w:firstLine="0"/>
        <w:jc w:val="center"/>
        <w:rPr>
          <w:b/>
          <w:bCs/>
          <w:lang w:val="lv-LV"/>
        </w:rPr>
      </w:pPr>
      <w:r w:rsidRPr="00094A63">
        <w:rPr>
          <w:b/>
          <w:bCs/>
          <w:lang w:val="lv-LV"/>
        </w:rPr>
        <w:t>Motīvu daļa</w:t>
      </w:r>
    </w:p>
    <w:p w14:paraId="4E34E08B" w14:textId="6422D564" w:rsidR="00C57933" w:rsidRPr="00BC45A3" w:rsidRDefault="000B6D04" w:rsidP="00B35555">
      <w:pPr>
        <w:spacing w:after="0" w:line="276" w:lineRule="auto"/>
        <w:ind w:right="0" w:firstLine="720"/>
        <w:rPr>
          <w:lang w:val="lv-LV"/>
        </w:rPr>
      </w:pPr>
      <w:r>
        <w:rPr>
          <w:lang w:val="lv-LV"/>
        </w:rPr>
        <w:t xml:space="preserve"> </w:t>
      </w:r>
    </w:p>
    <w:p w14:paraId="33772B44" w14:textId="4EF3065B" w:rsidR="0051369F" w:rsidRDefault="00094A63" w:rsidP="00B35555">
      <w:pPr>
        <w:shd w:val="clear" w:color="auto" w:fill="FFFFFF"/>
        <w:spacing w:after="0" w:line="276" w:lineRule="auto"/>
        <w:ind w:right="0" w:firstLine="720"/>
        <w:rPr>
          <w:rFonts w:asciiTheme="majorBidi" w:hAnsiTheme="majorBidi" w:cstheme="majorBidi"/>
          <w:lang w:val="lv-LV"/>
        </w:rPr>
      </w:pPr>
      <w:r>
        <w:rPr>
          <w:lang w:val="lv-LV"/>
        </w:rPr>
        <w:t>[5]</w:t>
      </w:r>
      <w:r w:rsidR="00865212">
        <w:rPr>
          <w:lang w:val="lv-LV"/>
        </w:rPr>
        <w:t> </w:t>
      </w:r>
      <w:r w:rsidR="0051369F">
        <w:rPr>
          <w:lang w:val="lv-LV"/>
        </w:rPr>
        <w:t>Pārbaudot kasācijas sūdzības argumentus</w:t>
      </w:r>
      <w:r w:rsidR="00191A3F">
        <w:rPr>
          <w:lang w:val="lv-LV"/>
        </w:rPr>
        <w:t>,</w:t>
      </w:r>
      <w:r w:rsidR="0051369F">
        <w:rPr>
          <w:lang w:val="lv-LV"/>
        </w:rPr>
        <w:t xml:space="preserve"> </w:t>
      </w:r>
      <w:r w:rsidR="00BC71F4">
        <w:rPr>
          <w:lang w:val="lv-LV"/>
        </w:rPr>
        <w:t>S</w:t>
      </w:r>
      <w:r w:rsidR="0051369F">
        <w:rPr>
          <w:lang w:val="lv-LV"/>
        </w:rPr>
        <w:t xml:space="preserve">enātam lietā jāatbild uz jautājumu, </w:t>
      </w:r>
      <w:r w:rsidR="0051369F" w:rsidRPr="0051369F">
        <w:rPr>
          <w:rFonts w:asciiTheme="majorBidi" w:hAnsiTheme="majorBidi" w:cstheme="majorBidi"/>
          <w:lang w:val="lv-LV"/>
        </w:rPr>
        <w:t xml:space="preserve">vai </w:t>
      </w:r>
      <w:r w:rsidR="0051369F">
        <w:rPr>
          <w:rFonts w:asciiTheme="majorBidi" w:hAnsiTheme="majorBidi" w:cstheme="majorBidi"/>
          <w:lang w:val="lv-LV"/>
        </w:rPr>
        <w:t xml:space="preserve">Administratīvā apgabaltiesa </w:t>
      </w:r>
      <w:r w:rsidR="0051369F" w:rsidRPr="0051369F">
        <w:rPr>
          <w:rFonts w:asciiTheme="majorBidi" w:hAnsiTheme="majorBidi" w:cstheme="majorBidi"/>
          <w:lang w:val="lv-LV"/>
        </w:rPr>
        <w:t xml:space="preserve">pamatoti atzinusi, ka </w:t>
      </w:r>
      <w:r w:rsidR="0051369F">
        <w:rPr>
          <w:rFonts w:asciiTheme="majorBidi" w:hAnsiTheme="majorBidi" w:cstheme="majorBidi"/>
          <w:lang w:val="lv-LV"/>
        </w:rPr>
        <w:t>dienesta</w:t>
      </w:r>
      <w:r w:rsidR="0051369F" w:rsidRPr="0051369F">
        <w:rPr>
          <w:rFonts w:asciiTheme="majorBidi" w:hAnsiTheme="majorBidi" w:cstheme="majorBidi"/>
          <w:lang w:val="lv-LV"/>
        </w:rPr>
        <w:t xml:space="preserve"> kļūdaini konstatētā pārkāpuma izslēgšana no pieteicējai pamatoti konstatēto pārkāpumu loka neietekmē </w:t>
      </w:r>
      <w:r w:rsidR="0051369F">
        <w:rPr>
          <w:rFonts w:asciiTheme="majorBidi" w:hAnsiTheme="majorBidi" w:cstheme="majorBidi"/>
          <w:lang w:val="lv-LV"/>
        </w:rPr>
        <w:t>pieteicējai</w:t>
      </w:r>
      <w:r w:rsidR="0051369F" w:rsidRPr="0051369F">
        <w:rPr>
          <w:rFonts w:asciiTheme="majorBidi" w:hAnsiTheme="majorBidi" w:cstheme="majorBidi"/>
          <w:lang w:val="lv-LV"/>
        </w:rPr>
        <w:t xml:space="preserve"> </w:t>
      </w:r>
      <w:r w:rsidR="0051369F">
        <w:rPr>
          <w:rFonts w:asciiTheme="majorBidi" w:hAnsiTheme="majorBidi" w:cstheme="majorBidi"/>
          <w:lang w:val="lv-LV"/>
        </w:rPr>
        <w:t xml:space="preserve">piemērotās </w:t>
      </w:r>
      <w:r w:rsidR="0051369F" w:rsidRPr="0051369F">
        <w:rPr>
          <w:rFonts w:asciiTheme="majorBidi" w:hAnsiTheme="majorBidi" w:cstheme="majorBidi"/>
          <w:lang w:val="lv-LV"/>
        </w:rPr>
        <w:t>soda naudas tiesiskumu.</w:t>
      </w:r>
    </w:p>
    <w:p w14:paraId="6D4FAC87" w14:textId="77777777" w:rsidR="0051369F" w:rsidRDefault="0051369F" w:rsidP="00B35555">
      <w:pPr>
        <w:shd w:val="clear" w:color="auto" w:fill="FFFFFF"/>
        <w:spacing w:after="0" w:line="276" w:lineRule="auto"/>
        <w:ind w:right="0" w:firstLine="720"/>
        <w:rPr>
          <w:rFonts w:asciiTheme="majorBidi" w:hAnsiTheme="majorBidi" w:cstheme="majorBidi"/>
          <w:lang w:val="lv-LV"/>
        </w:rPr>
      </w:pPr>
    </w:p>
    <w:p w14:paraId="4C05EBC4" w14:textId="4562A07E" w:rsidR="00B21CCF" w:rsidRDefault="0051369F" w:rsidP="00B35555">
      <w:pPr>
        <w:pStyle w:val="NormalWeb"/>
        <w:spacing w:before="0" w:beforeAutospacing="0" w:after="0" w:afterAutospacing="0" w:line="276" w:lineRule="auto"/>
        <w:ind w:firstLine="720"/>
        <w:jc w:val="both"/>
        <w:rPr>
          <w:rFonts w:asciiTheme="majorBidi" w:hAnsiTheme="majorBidi" w:cstheme="majorBidi"/>
        </w:rPr>
      </w:pPr>
      <w:r w:rsidRPr="00252441">
        <w:rPr>
          <w:rFonts w:asciiTheme="majorBidi" w:hAnsiTheme="majorBidi" w:cstheme="majorBidi"/>
        </w:rPr>
        <w:t>[6]</w:t>
      </w:r>
      <w:r w:rsidR="00865212">
        <w:rPr>
          <w:rFonts w:asciiTheme="majorBidi" w:hAnsiTheme="majorBidi" w:cstheme="majorBidi"/>
        </w:rPr>
        <w:t> </w:t>
      </w:r>
      <w:r w:rsidR="00D07347">
        <w:rPr>
          <w:rFonts w:asciiTheme="majorBidi" w:hAnsiTheme="majorBidi" w:cstheme="majorBidi"/>
        </w:rPr>
        <w:t>Legalizācijas n</w:t>
      </w:r>
      <w:r w:rsidR="00B21CCF">
        <w:rPr>
          <w:rFonts w:asciiTheme="majorBidi" w:hAnsiTheme="majorBidi" w:cstheme="majorBidi"/>
        </w:rPr>
        <w:t>ovēršanas likuma 77.panta pirmā daļa noteic u</w:t>
      </w:r>
      <w:r w:rsidR="00B21CCF" w:rsidRPr="00B21CCF">
        <w:rPr>
          <w:rFonts w:asciiTheme="majorBidi" w:hAnsiTheme="majorBidi" w:cstheme="majorBidi"/>
        </w:rPr>
        <w:t>zraudzības un kontroles institūcija</w:t>
      </w:r>
      <w:r w:rsidR="00D07347">
        <w:rPr>
          <w:rFonts w:asciiTheme="majorBidi" w:hAnsiTheme="majorBidi" w:cstheme="majorBidi"/>
        </w:rPr>
        <w:t>s kompetenci</w:t>
      </w:r>
      <w:r w:rsidR="00B21CCF" w:rsidRPr="00B21CCF">
        <w:rPr>
          <w:rFonts w:asciiTheme="majorBidi" w:hAnsiTheme="majorBidi" w:cstheme="majorBidi"/>
        </w:rPr>
        <w:t xml:space="preserve"> piemēro</w:t>
      </w:r>
      <w:r w:rsidR="00D07347">
        <w:rPr>
          <w:rFonts w:asciiTheme="majorBidi" w:hAnsiTheme="majorBidi" w:cstheme="majorBidi"/>
        </w:rPr>
        <w:t>t</w:t>
      </w:r>
      <w:r w:rsidR="00B21CCF" w:rsidRPr="00B21CCF">
        <w:rPr>
          <w:rFonts w:asciiTheme="majorBidi" w:hAnsiTheme="majorBidi" w:cstheme="majorBidi"/>
        </w:rPr>
        <w:t xml:space="preserve"> šā likuma 78.pantā noteiktās sankcijas, ja tiek konstatēti normatīvo aktu pārkāpumi noziedzīgi iegūtu līdzekļu legalizācijas un terorisma un proliferācijas finansēšanas novēršanas jomā.</w:t>
      </w:r>
      <w:r w:rsidRPr="00252441">
        <w:rPr>
          <w:rFonts w:asciiTheme="majorBidi" w:hAnsiTheme="majorBidi" w:cstheme="majorBidi"/>
        </w:rPr>
        <w:t xml:space="preserve"> </w:t>
      </w:r>
    </w:p>
    <w:p w14:paraId="111A41B1" w14:textId="2C5EFA11" w:rsidR="00B21CCF" w:rsidRDefault="00BC71F4" w:rsidP="00B35555">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Nedz minētajās, nedz arī kādās citās tiesību normās a</w:t>
      </w:r>
      <w:r w:rsidR="00B21CCF">
        <w:rPr>
          <w:rFonts w:asciiTheme="majorBidi" w:hAnsiTheme="majorBidi" w:cstheme="majorBidi"/>
        </w:rPr>
        <w:t xml:space="preserve">dministratīvajai tiesai nav piešķirta kompetence piemērot </w:t>
      </w:r>
      <w:r w:rsidR="006F0EB1">
        <w:rPr>
          <w:rFonts w:asciiTheme="majorBidi" w:hAnsiTheme="majorBidi" w:cstheme="majorBidi"/>
        </w:rPr>
        <w:t xml:space="preserve">sankcijas, tostarp soda naudu, </w:t>
      </w:r>
      <w:r w:rsidR="00B21CCF">
        <w:rPr>
          <w:rFonts w:asciiTheme="majorBidi" w:hAnsiTheme="majorBidi" w:cstheme="majorBidi"/>
        </w:rPr>
        <w:t xml:space="preserve">par </w:t>
      </w:r>
      <w:r w:rsidR="004367C4">
        <w:rPr>
          <w:rFonts w:asciiTheme="majorBidi" w:hAnsiTheme="majorBidi" w:cstheme="majorBidi"/>
        </w:rPr>
        <w:t>Legalizācijas n</w:t>
      </w:r>
      <w:r w:rsidR="006F0EB1">
        <w:rPr>
          <w:rFonts w:asciiTheme="majorBidi" w:hAnsiTheme="majorBidi" w:cstheme="majorBidi"/>
        </w:rPr>
        <w:t xml:space="preserve">ovēršanas </w:t>
      </w:r>
      <w:r w:rsidR="00B21CCF" w:rsidRPr="00287661">
        <w:rPr>
          <w:rFonts w:asciiTheme="majorBidi" w:hAnsiTheme="majorBidi" w:cstheme="majorBidi"/>
        </w:rPr>
        <w:t>likum</w:t>
      </w:r>
      <w:r w:rsidR="00B21CCF">
        <w:rPr>
          <w:rFonts w:asciiTheme="majorBidi" w:hAnsiTheme="majorBidi" w:cstheme="majorBidi"/>
        </w:rPr>
        <w:t xml:space="preserve">a pārkāpumiem. Līdz ar to administratīvās tiesas kompetencē ir tikai pārbaudīt </w:t>
      </w:r>
      <w:r w:rsidR="001E45FB" w:rsidRPr="00F0281F">
        <w:rPr>
          <w:rFonts w:asciiTheme="majorBidi" w:hAnsiTheme="majorBidi" w:cstheme="majorBidi"/>
        </w:rPr>
        <w:t>uzraudzības un kontroles institūcija</w:t>
      </w:r>
      <w:r w:rsidR="00AC6DF2">
        <w:rPr>
          <w:rFonts w:asciiTheme="majorBidi" w:hAnsiTheme="majorBidi" w:cstheme="majorBidi"/>
        </w:rPr>
        <w:t>s</w:t>
      </w:r>
      <w:r w:rsidR="001E45FB">
        <w:rPr>
          <w:rFonts w:asciiTheme="majorBidi" w:hAnsiTheme="majorBidi" w:cstheme="majorBidi"/>
        </w:rPr>
        <w:t xml:space="preserve"> pieņemtā</w:t>
      </w:r>
      <w:r w:rsidR="00B21CCF">
        <w:rPr>
          <w:rFonts w:asciiTheme="majorBidi" w:hAnsiTheme="majorBidi" w:cstheme="majorBidi"/>
        </w:rPr>
        <w:t xml:space="preserve"> lēmuma tiesiskumu un lemt par tā atcelšanu</w:t>
      </w:r>
      <w:r w:rsidR="001E45FB">
        <w:rPr>
          <w:rFonts w:asciiTheme="majorBidi" w:hAnsiTheme="majorBidi" w:cstheme="majorBidi"/>
        </w:rPr>
        <w:t xml:space="preserve"> vai atstāšanu spēkā</w:t>
      </w:r>
      <w:r w:rsidR="00B21CCF">
        <w:rPr>
          <w:rFonts w:asciiTheme="majorBidi" w:hAnsiTheme="majorBidi" w:cstheme="majorBidi"/>
        </w:rPr>
        <w:t>, nevis pašai lemt par to, kāds sods personai būtu piemērojams par konkrētiem pārkāpumiem. Citiem vārdiem sakot, administratīvā tiesa nepiemēro personai sodu par pieļauto pārkāpumu, bet tikai pārbauda, vai iestādes lēmums par soda piemērošanu atzīstams par tiesisku.</w:t>
      </w:r>
    </w:p>
    <w:p w14:paraId="3756E2FE" w14:textId="5A3D0A3B" w:rsidR="00B21CCF" w:rsidRDefault="00B21CCF" w:rsidP="00B35555">
      <w:pPr>
        <w:pStyle w:val="NormalWeb"/>
        <w:shd w:val="clear" w:color="auto" w:fill="FFFFFF"/>
        <w:spacing w:before="0" w:beforeAutospacing="0" w:after="0" w:afterAutospacing="0" w:line="276" w:lineRule="auto"/>
        <w:ind w:firstLine="720"/>
        <w:jc w:val="both"/>
      </w:pPr>
      <w:r>
        <w:rPr>
          <w:rFonts w:asciiTheme="majorBidi" w:hAnsiTheme="majorBidi" w:cstheme="majorBidi"/>
        </w:rPr>
        <w:t xml:space="preserve">Šāda tiesas kompetence atbilst varas dalīšanas principam un administratīvā procesa tiesā būtībai, kas iemiesota Administratīvā procesa likuma 103.panta pirmajā </w:t>
      </w:r>
      <w:r>
        <w:rPr>
          <w:rFonts w:asciiTheme="majorBidi" w:hAnsiTheme="majorBidi" w:cstheme="majorBidi"/>
        </w:rPr>
        <w:lastRenderedPageBreak/>
        <w:t>daļā kopsakarā ar citām šā likuma normām, piemēram, 250.panta otro daļu un 253.panta trešo daļu. Minētās tiesību normas noteic, ka a</w:t>
      </w:r>
      <w:r w:rsidRPr="008223A9">
        <w:rPr>
          <w:rFonts w:asciiTheme="majorBidi" w:hAnsiTheme="majorBidi" w:cstheme="majorBidi"/>
        </w:rPr>
        <w:t>dministratīvā procesa tiesā būtība ir tiesas kontrole pār iestādes izdota administratīvā akta tiesiskumu</w:t>
      </w:r>
      <w:r>
        <w:rPr>
          <w:rFonts w:asciiTheme="majorBidi" w:hAnsiTheme="majorBidi" w:cstheme="majorBidi"/>
        </w:rPr>
        <w:t xml:space="preserve">, tostarp </w:t>
      </w:r>
      <w:r w:rsidRPr="008223A9">
        <w:rPr>
          <w:rFonts w:asciiTheme="majorBidi" w:hAnsiTheme="majorBidi" w:cstheme="majorBidi"/>
        </w:rPr>
        <w:t>lietderības apsvērumiem rīcības brīvības ietvaros</w:t>
      </w:r>
      <w:r>
        <w:rPr>
          <w:rFonts w:asciiTheme="majorBidi" w:hAnsiTheme="majorBidi" w:cstheme="majorBidi"/>
        </w:rPr>
        <w:t>; t</w:t>
      </w:r>
      <w:r w:rsidRPr="008223A9">
        <w:rPr>
          <w:rFonts w:asciiTheme="majorBidi" w:hAnsiTheme="majorBidi" w:cstheme="majorBidi"/>
        </w:rPr>
        <w:t>iesa, vērtējot administratīvā akta tiesiskumu, spriedumā ņem vērā tikai to pamatojumu, ko iestāde ietvērusi administratīvajā aktā</w:t>
      </w:r>
      <w:r>
        <w:rPr>
          <w:rFonts w:asciiTheme="majorBidi" w:hAnsiTheme="majorBidi" w:cstheme="majorBidi"/>
        </w:rPr>
        <w:t xml:space="preserve">; tiesa, izskatot lietu par administratīvā akta atcelšanu, var </w:t>
      </w:r>
      <w:r w:rsidRPr="008223A9">
        <w:rPr>
          <w:rFonts w:asciiTheme="majorBidi" w:hAnsiTheme="majorBidi" w:cstheme="majorBidi"/>
        </w:rPr>
        <w:t>grozīt administratīvo aktu un noteikt konkrētu tā saturu</w:t>
      </w:r>
      <w:r>
        <w:rPr>
          <w:rFonts w:asciiTheme="majorBidi" w:hAnsiTheme="majorBidi" w:cstheme="majorBidi"/>
        </w:rPr>
        <w:t xml:space="preserve"> tikai likumā noteiktos gadījumos. Šīs tiesību normas kopsakarā veido tiesisko regulējumu, kas </w:t>
      </w:r>
      <w:r w:rsidRPr="009A3CF3">
        <w:t>nošķir iestādes un tiesas kompetenci administratīvajā procesā</w:t>
      </w:r>
      <w:r>
        <w:t xml:space="preserve"> un noteic</w:t>
      </w:r>
      <w:r w:rsidRPr="009A3CF3">
        <w:t xml:space="preserve"> tiesas kompetences robežas administratīvā akta tiesiskuma kontrolē,</w:t>
      </w:r>
      <w:r>
        <w:t xml:space="preserve"> proti,</w:t>
      </w:r>
      <w:r w:rsidRPr="009A3CF3">
        <w:t xml:space="preserve"> to, ka tiesa īsteno kontroli pār iestādes izdot</w:t>
      </w:r>
      <w:r>
        <w:t>u</w:t>
      </w:r>
      <w:r w:rsidRPr="009A3CF3">
        <w:t xml:space="preserve"> </w:t>
      </w:r>
      <w:r>
        <w:t xml:space="preserve">privātpersonai nelabvēlīgu </w:t>
      </w:r>
      <w:r w:rsidRPr="009A3CF3">
        <w:t>administratīvo aktu, nevis iestājas iestādes vietā</w:t>
      </w:r>
      <w:r>
        <w:t xml:space="preserve"> un pati izdod šādu administratīvo aktu</w:t>
      </w:r>
      <w:r w:rsidRPr="009A3CF3">
        <w:t>.</w:t>
      </w:r>
      <w:r>
        <w:t xml:space="preserve"> Minēto atzinusi arī Satversmes tiesa, izvērsti analizējot administratīvās tiesas kompetenci gadījumā, kad pārsūdzēts iestādes lēmums par soda naudas piemērošanu privātpersonai (</w:t>
      </w:r>
      <w:r w:rsidRPr="000D1B0A">
        <w:rPr>
          <w:i/>
          <w:iCs/>
        </w:rPr>
        <w:t>Satversmes tiesas 2017.gada 22.decembra spriedum</w:t>
      </w:r>
      <w:r w:rsidR="002A69E7">
        <w:rPr>
          <w:i/>
          <w:iCs/>
        </w:rPr>
        <w:t>a</w:t>
      </w:r>
      <w:r w:rsidRPr="000D1B0A">
        <w:rPr>
          <w:i/>
          <w:iCs/>
        </w:rPr>
        <w:t xml:space="preserve"> lietā Nr. </w:t>
      </w:r>
      <w:hyperlink r:id="rId8" w:history="1">
        <w:r w:rsidRPr="001E185F">
          <w:rPr>
            <w:rStyle w:val="Hyperlink"/>
            <w:i/>
            <w:iCs/>
          </w:rPr>
          <w:t>2017-08-01</w:t>
        </w:r>
      </w:hyperlink>
      <w:r w:rsidR="002A69E7">
        <w:t xml:space="preserve"> </w:t>
      </w:r>
      <w:r w:rsidR="002A69E7" w:rsidRPr="002A69E7">
        <w:rPr>
          <w:i/>
          <w:iCs/>
        </w:rPr>
        <w:t>13.punkts</w:t>
      </w:r>
      <w:r>
        <w:t>).</w:t>
      </w:r>
    </w:p>
    <w:p w14:paraId="0AC3B598" w14:textId="77777777" w:rsidR="00B21CCF" w:rsidRPr="008F244A" w:rsidRDefault="00B21CCF" w:rsidP="00B35555">
      <w:pPr>
        <w:pStyle w:val="NormalWeb"/>
        <w:spacing w:before="0" w:beforeAutospacing="0" w:after="0" w:afterAutospacing="0" w:line="276" w:lineRule="auto"/>
        <w:ind w:firstLine="720"/>
        <w:jc w:val="both"/>
        <w:rPr>
          <w:rFonts w:asciiTheme="majorBidi" w:hAnsiTheme="majorBidi" w:cstheme="majorBidi"/>
        </w:rPr>
      </w:pPr>
    </w:p>
    <w:p w14:paraId="3885C899" w14:textId="566742EC" w:rsidR="0051369F" w:rsidRPr="001E45FB" w:rsidRDefault="001E45FB" w:rsidP="00B35555">
      <w:pPr>
        <w:spacing w:after="0" w:line="276" w:lineRule="auto"/>
        <w:ind w:right="0" w:firstLine="720"/>
        <w:rPr>
          <w:lang w:val="lv-LV"/>
        </w:rPr>
      </w:pPr>
      <w:r w:rsidRPr="001E45FB">
        <w:rPr>
          <w:rFonts w:asciiTheme="majorBidi" w:hAnsiTheme="majorBidi" w:cstheme="majorBidi"/>
          <w:lang w:val="lv-LV"/>
        </w:rPr>
        <w:t>[</w:t>
      </w:r>
      <w:r w:rsidR="00C86011">
        <w:rPr>
          <w:rFonts w:asciiTheme="majorBidi" w:hAnsiTheme="majorBidi" w:cstheme="majorBidi"/>
          <w:lang w:val="lv-LV"/>
        </w:rPr>
        <w:t>7</w:t>
      </w:r>
      <w:r w:rsidRPr="001E45FB">
        <w:rPr>
          <w:rFonts w:asciiTheme="majorBidi" w:hAnsiTheme="majorBidi" w:cstheme="majorBidi"/>
          <w:lang w:val="lv-LV"/>
        </w:rPr>
        <w:t>]</w:t>
      </w:r>
      <w:r w:rsidR="00865212">
        <w:rPr>
          <w:rFonts w:asciiTheme="majorBidi" w:hAnsiTheme="majorBidi" w:cstheme="majorBidi"/>
          <w:lang w:val="lv-LV"/>
        </w:rPr>
        <w:t> </w:t>
      </w:r>
      <w:r w:rsidRPr="001E45FB">
        <w:rPr>
          <w:rFonts w:asciiTheme="majorBidi" w:hAnsiTheme="majorBidi" w:cstheme="majorBidi"/>
          <w:lang w:val="lv-LV"/>
        </w:rPr>
        <w:t xml:space="preserve">Kā izriet no </w:t>
      </w:r>
      <w:r w:rsidR="002A69E7">
        <w:rPr>
          <w:rFonts w:asciiTheme="majorBidi" w:hAnsiTheme="majorBidi" w:cstheme="majorBidi"/>
          <w:lang w:val="lv-LV"/>
        </w:rPr>
        <w:t>Legalizācijas n</w:t>
      </w:r>
      <w:r w:rsidRPr="001E45FB">
        <w:rPr>
          <w:rFonts w:asciiTheme="majorBidi" w:hAnsiTheme="majorBidi" w:cstheme="majorBidi"/>
          <w:lang w:val="lv-LV"/>
        </w:rPr>
        <w:t xml:space="preserve">ovēršanas likuma 78.panta </w:t>
      </w:r>
      <w:r>
        <w:rPr>
          <w:rFonts w:asciiTheme="majorBidi" w:hAnsiTheme="majorBidi" w:cstheme="majorBidi"/>
          <w:lang w:val="lv-LV"/>
        </w:rPr>
        <w:t>pirmās</w:t>
      </w:r>
      <w:r w:rsidRPr="001E45FB">
        <w:rPr>
          <w:rFonts w:asciiTheme="majorBidi" w:hAnsiTheme="majorBidi" w:cstheme="majorBidi"/>
          <w:lang w:val="lv-LV"/>
        </w:rPr>
        <w:t xml:space="preserve"> daļas, </w:t>
      </w:r>
      <w:r w:rsidR="0051369F" w:rsidRPr="001E45FB">
        <w:rPr>
          <w:rFonts w:asciiTheme="majorBidi" w:hAnsiTheme="majorBidi" w:cstheme="majorBidi"/>
          <w:lang w:val="lv-LV"/>
        </w:rPr>
        <w:t>tiesiskais regulējums uzraudzības</w:t>
      </w:r>
      <w:r>
        <w:rPr>
          <w:rFonts w:asciiTheme="majorBidi" w:hAnsiTheme="majorBidi" w:cstheme="majorBidi"/>
          <w:lang w:val="lv-LV"/>
        </w:rPr>
        <w:t xml:space="preserve"> un kontroles </w:t>
      </w:r>
      <w:r w:rsidR="002A69E7">
        <w:rPr>
          <w:rFonts w:asciiTheme="majorBidi" w:hAnsiTheme="majorBidi" w:cstheme="majorBidi"/>
          <w:lang w:val="lv-LV"/>
        </w:rPr>
        <w:t>institūcijai</w:t>
      </w:r>
      <w:r w:rsidR="0051369F" w:rsidRPr="001E45FB">
        <w:rPr>
          <w:rFonts w:asciiTheme="majorBidi" w:hAnsiTheme="majorBidi" w:cstheme="majorBidi"/>
          <w:lang w:val="lv-LV"/>
        </w:rPr>
        <w:t xml:space="preserve"> ir piešķīris plašu rīcības brīvību gan </w:t>
      </w:r>
      <w:r>
        <w:rPr>
          <w:rFonts w:asciiTheme="majorBidi" w:hAnsiTheme="majorBidi" w:cstheme="majorBidi"/>
          <w:lang w:val="lv-LV"/>
        </w:rPr>
        <w:t>likuma subjektiem</w:t>
      </w:r>
      <w:r w:rsidR="0051369F" w:rsidRPr="001E45FB">
        <w:rPr>
          <w:rFonts w:asciiTheme="majorBidi" w:hAnsiTheme="majorBidi" w:cstheme="majorBidi"/>
          <w:lang w:val="lv-LV"/>
        </w:rPr>
        <w:t xml:space="preserve"> nosakāmo pienākumu </w:t>
      </w:r>
      <w:r w:rsidR="0051369F" w:rsidRPr="006058E2">
        <w:rPr>
          <w:rFonts w:asciiTheme="majorBidi" w:hAnsiTheme="majorBidi" w:cstheme="majorBidi"/>
          <w:lang w:val="lv-LV"/>
        </w:rPr>
        <w:t>izvēlē</w:t>
      </w:r>
      <w:r w:rsidR="006058E2" w:rsidRPr="006058E2">
        <w:rPr>
          <w:rFonts w:asciiTheme="majorBidi" w:hAnsiTheme="majorBidi" w:cstheme="majorBidi"/>
          <w:lang w:val="lv-LV"/>
        </w:rPr>
        <w:t xml:space="preserve"> (izteikt publisku paziņojumu, norādot par pārkāpumu atbildīgo personu un pārkāpuma būtību;</w:t>
      </w:r>
      <w:r w:rsidR="006058E2">
        <w:rPr>
          <w:rFonts w:asciiTheme="majorBidi" w:hAnsiTheme="majorBidi" w:cstheme="majorBidi"/>
          <w:lang w:val="lv-LV"/>
        </w:rPr>
        <w:t xml:space="preserve"> </w:t>
      </w:r>
      <w:r w:rsidR="006058E2" w:rsidRPr="006058E2">
        <w:rPr>
          <w:rFonts w:asciiTheme="majorBidi" w:hAnsiTheme="majorBidi" w:cstheme="majorBidi"/>
          <w:lang w:val="lv-LV"/>
        </w:rPr>
        <w:t>izteikt brīdinājumu;</w:t>
      </w:r>
      <w:r w:rsidR="006058E2">
        <w:rPr>
          <w:rFonts w:asciiTheme="majorBidi" w:hAnsiTheme="majorBidi" w:cstheme="majorBidi"/>
          <w:lang w:val="lv-LV"/>
        </w:rPr>
        <w:t xml:space="preserve"> </w:t>
      </w:r>
      <w:r w:rsidR="006058E2" w:rsidRPr="006058E2">
        <w:rPr>
          <w:rFonts w:asciiTheme="majorBidi" w:hAnsiTheme="majorBidi" w:cstheme="majorBidi"/>
          <w:lang w:val="lv-LV"/>
        </w:rPr>
        <w:t>apturēt vai pārtraukt darbību</w:t>
      </w:r>
      <w:r w:rsidR="006058E2">
        <w:rPr>
          <w:rFonts w:asciiTheme="majorBidi" w:hAnsiTheme="majorBidi" w:cstheme="majorBidi"/>
          <w:lang w:val="lv-LV"/>
        </w:rPr>
        <w:t>;</w:t>
      </w:r>
      <w:r w:rsidR="006058E2" w:rsidRPr="006058E2">
        <w:rPr>
          <w:rFonts w:asciiTheme="majorBidi" w:hAnsiTheme="majorBidi" w:cstheme="majorBidi"/>
          <w:lang w:val="lv-LV"/>
        </w:rPr>
        <w:t xml:space="preserve"> pienākumu veikt noteiktu rīcību vai atturēties no tās;</w:t>
      </w:r>
      <w:r w:rsidR="006058E2">
        <w:rPr>
          <w:rFonts w:asciiTheme="majorBidi" w:hAnsiTheme="majorBidi" w:cstheme="majorBidi"/>
          <w:lang w:val="lv-LV"/>
        </w:rPr>
        <w:t xml:space="preserve"> </w:t>
      </w:r>
      <w:r w:rsidR="006058E2" w:rsidRPr="006058E2">
        <w:rPr>
          <w:rFonts w:asciiTheme="majorBidi" w:hAnsiTheme="majorBidi" w:cstheme="majorBidi"/>
          <w:lang w:val="lv-LV"/>
        </w:rPr>
        <w:t>uzlikt par pienākumu likuma subjektam atcelt par pārkāpumu atbildīgo personu no amata</w:t>
      </w:r>
      <w:r w:rsidR="006058E2">
        <w:rPr>
          <w:rFonts w:asciiTheme="majorBidi" w:hAnsiTheme="majorBidi" w:cstheme="majorBidi"/>
          <w:lang w:val="lv-LV"/>
        </w:rPr>
        <w:t xml:space="preserve"> u.c.)</w:t>
      </w:r>
      <w:r w:rsidR="0051369F" w:rsidRPr="001E45FB">
        <w:rPr>
          <w:rFonts w:asciiTheme="majorBidi" w:hAnsiTheme="majorBidi" w:cstheme="majorBidi"/>
          <w:lang w:val="lv-LV"/>
        </w:rPr>
        <w:t xml:space="preserve">, gan – gadījumā, ja </w:t>
      </w:r>
      <w:r w:rsidR="002A69E7">
        <w:rPr>
          <w:rFonts w:asciiTheme="majorBidi" w:hAnsiTheme="majorBidi" w:cstheme="majorBidi"/>
          <w:lang w:val="lv-LV"/>
        </w:rPr>
        <w:t>institūcija</w:t>
      </w:r>
      <w:r w:rsidR="0051369F" w:rsidRPr="001E45FB">
        <w:rPr>
          <w:rFonts w:asciiTheme="majorBidi" w:hAnsiTheme="majorBidi" w:cstheme="majorBidi"/>
          <w:lang w:val="lv-LV"/>
        </w:rPr>
        <w:t xml:space="preserve"> atzīst, ka ir pamats piemērot soda naudu, – soda naudas apmēra noteikšanā. </w:t>
      </w:r>
      <w:r w:rsidR="0051369F" w:rsidRPr="001E45FB">
        <w:rPr>
          <w:lang w:val="lv-LV"/>
        </w:rPr>
        <w:t xml:space="preserve">Likums arī paredz, ka </w:t>
      </w:r>
      <w:r w:rsidR="002A69E7">
        <w:rPr>
          <w:lang w:val="lv-LV"/>
        </w:rPr>
        <w:t>institūcijai</w:t>
      </w:r>
      <w:r w:rsidR="0051369F" w:rsidRPr="001E45FB">
        <w:rPr>
          <w:lang w:val="lv-LV"/>
        </w:rPr>
        <w:t xml:space="preserve">, īstenojot attiecīgo rīcības brīvību, jāizvērtē </w:t>
      </w:r>
      <w:r w:rsidR="002A69E7">
        <w:rPr>
          <w:lang w:val="lv-LV"/>
        </w:rPr>
        <w:t xml:space="preserve">virkne </w:t>
      </w:r>
      <w:r w:rsidR="0051369F" w:rsidRPr="001E45FB">
        <w:rPr>
          <w:lang w:val="lv-LV"/>
        </w:rPr>
        <w:t>apstākļ</w:t>
      </w:r>
      <w:r w:rsidR="002A69E7">
        <w:rPr>
          <w:lang w:val="lv-LV"/>
        </w:rPr>
        <w:t>u</w:t>
      </w:r>
      <w:r w:rsidR="0051369F" w:rsidRPr="001E45FB">
        <w:rPr>
          <w:lang w:val="lv-LV"/>
        </w:rPr>
        <w:t>, kas var ietekmēt piemērojamās soda naudas pamatotību un samērīgumu</w:t>
      </w:r>
      <w:r w:rsidR="006058E2">
        <w:rPr>
          <w:lang w:val="lv-LV"/>
        </w:rPr>
        <w:t xml:space="preserve"> (</w:t>
      </w:r>
      <w:r w:rsidR="002A69E7">
        <w:rPr>
          <w:lang w:val="lv-LV"/>
        </w:rPr>
        <w:t>Legalizācijas n</w:t>
      </w:r>
      <w:r w:rsidR="006058E2">
        <w:rPr>
          <w:lang w:val="lv-LV"/>
        </w:rPr>
        <w:t>ovēršanas likuma 77.panta trešā daļa)</w:t>
      </w:r>
      <w:r w:rsidR="0051369F" w:rsidRPr="001E45FB">
        <w:rPr>
          <w:lang w:val="lv-LV"/>
        </w:rPr>
        <w:t xml:space="preserve">. </w:t>
      </w:r>
    </w:p>
    <w:p w14:paraId="7F6D721D" w14:textId="4C6BBC92" w:rsidR="0051369F" w:rsidRPr="001E45FB" w:rsidRDefault="002A69E7" w:rsidP="00B35555">
      <w:pPr>
        <w:spacing w:after="0" w:line="276" w:lineRule="auto"/>
        <w:ind w:right="0" w:firstLine="720"/>
        <w:rPr>
          <w:rFonts w:asciiTheme="majorBidi" w:hAnsiTheme="majorBidi" w:cstheme="majorBidi"/>
          <w:lang w:val="lv-LV"/>
        </w:rPr>
      </w:pPr>
      <w:r>
        <w:rPr>
          <w:rFonts w:asciiTheme="majorBidi" w:hAnsiTheme="majorBidi" w:cstheme="majorBidi"/>
          <w:lang w:val="lv-LV"/>
        </w:rPr>
        <w:t>L</w:t>
      </w:r>
      <w:r w:rsidR="0051369F" w:rsidRPr="001E45FB">
        <w:rPr>
          <w:rFonts w:asciiTheme="majorBidi" w:hAnsiTheme="majorBidi" w:cstheme="majorBidi"/>
          <w:lang w:val="lv-LV"/>
        </w:rPr>
        <w:t xml:space="preserve">īdz ar </w:t>
      </w:r>
      <w:r>
        <w:rPr>
          <w:rFonts w:asciiTheme="majorBidi" w:hAnsiTheme="majorBidi" w:cstheme="majorBidi"/>
          <w:lang w:val="lv-LV"/>
        </w:rPr>
        <w:t xml:space="preserve">uzraudzības un kontroles institūcijai </w:t>
      </w:r>
      <w:r w:rsidR="0051369F" w:rsidRPr="001E45FB">
        <w:rPr>
          <w:rFonts w:asciiTheme="majorBidi" w:hAnsiTheme="majorBidi" w:cstheme="majorBidi"/>
          <w:lang w:val="lv-LV"/>
        </w:rPr>
        <w:t xml:space="preserve">piešķirto rīcības brīvību </w:t>
      </w:r>
      <w:r>
        <w:rPr>
          <w:rFonts w:asciiTheme="majorBidi" w:hAnsiTheme="majorBidi" w:cstheme="majorBidi"/>
          <w:lang w:val="lv-LV"/>
        </w:rPr>
        <w:t xml:space="preserve">tai </w:t>
      </w:r>
      <w:r w:rsidR="006058E2">
        <w:rPr>
          <w:rFonts w:asciiTheme="majorBidi" w:hAnsiTheme="majorBidi" w:cstheme="majorBidi"/>
          <w:lang w:val="lv-LV"/>
        </w:rPr>
        <w:t>ir</w:t>
      </w:r>
      <w:r w:rsidR="0051369F" w:rsidRPr="001E45FB">
        <w:rPr>
          <w:rFonts w:asciiTheme="majorBidi" w:hAnsiTheme="majorBidi" w:cstheme="majorBidi"/>
          <w:lang w:val="lv-LV"/>
        </w:rPr>
        <w:t xml:space="preserve"> arī pienākums pamatot, kā </w:t>
      </w:r>
      <w:r>
        <w:rPr>
          <w:rFonts w:asciiTheme="majorBidi" w:hAnsiTheme="majorBidi" w:cstheme="majorBidi"/>
          <w:lang w:val="lv-LV"/>
        </w:rPr>
        <w:t>tā</w:t>
      </w:r>
      <w:r w:rsidR="0051369F" w:rsidRPr="001E45FB">
        <w:rPr>
          <w:rFonts w:asciiTheme="majorBidi" w:hAnsiTheme="majorBidi" w:cstheme="majorBidi"/>
          <w:lang w:val="lv-LV"/>
        </w:rPr>
        <w:t xml:space="preserve"> nonā</w:t>
      </w:r>
      <w:r>
        <w:rPr>
          <w:rFonts w:asciiTheme="majorBidi" w:hAnsiTheme="majorBidi" w:cstheme="majorBidi"/>
          <w:lang w:val="lv-LV"/>
        </w:rPr>
        <w:t>kusi</w:t>
      </w:r>
      <w:r w:rsidR="0051369F" w:rsidRPr="001E45FB">
        <w:rPr>
          <w:rFonts w:asciiTheme="majorBidi" w:hAnsiTheme="majorBidi" w:cstheme="majorBidi"/>
          <w:lang w:val="lv-LV"/>
        </w:rPr>
        <w:t xml:space="preserve"> pie secinājuma par konkrētajā gadījumā piemērojamo soda naudas </w:t>
      </w:r>
      <w:r>
        <w:rPr>
          <w:rFonts w:asciiTheme="majorBidi" w:hAnsiTheme="majorBidi" w:cstheme="majorBidi"/>
          <w:lang w:val="lv-LV"/>
        </w:rPr>
        <w:t>ap</w:t>
      </w:r>
      <w:r w:rsidR="0051369F" w:rsidRPr="001E45FB">
        <w:rPr>
          <w:rFonts w:asciiTheme="majorBidi" w:hAnsiTheme="majorBidi" w:cstheme="majorBidi"/>
          <w:lang w:val="lv-LV"/>
        </w:rPr>
        <w:t xml:space="preserve">mēru. Savukārt tiesai, pārbaudot likuma subjektam piemēroto sodu, jānoskaidro, vai </w:t>
      </w:r>
      <w:r>
        <w:rPr>
          <w:rFonts w:asciiTheme="majorBidi" w:hAnsiTheme="majorBidi" w:cstheme="majorBidi"/>
          <w:lang w:val="lv-LV"/>
        </w:rPr>
        <w:t>institūcija</w:t>
      </w:r>
      <w:r w:rsidR="0051369F" w:rsidRPr="001E45FB">
        <w:rPr>
          <w:rFonts w:asciiTheme="majorBidi" w:hAnsiTheme="majorBidi" w:cstheme="majorBidi"/>
          <w:lang w:val="lv-LV"/>
        </w:rPr>
        <w:t xml:space="preserve"> ir pareizi izmantojusi tai piešķirto rīcības brīvību</w:t>
      </w:r>
      <w:r w:rsidR="00803354">
        <w:rPr>
          <w:rFonts w:asciiTheme="majorBidi" w:hAnsiTheme="majorBidi" w:cstheme="majorBidi"/>
          <w:lang w:val="lv-LV"/>
        </w:rPr>
        <w:t>, jo</w:t>
      </w:r>
      <w:r w:rsidR="0051369F" w:rsidRPr="001E45FB">
        <w:rPr>
          <w:rFonts w:asciiTheme="majorBidi" w:hAnsiTheme="majorBidi" w:cstheme="majorBidi"/>
          <w:lang w:val="lv-LV"/>
        </w:rPr>
        <w:t xml:space="preserve"> </w:t>
      </w:r>
      <w:r w:rsidR="00803354">
        <w:rPr>
          <w:rFonts w:asciiTheme="majorBidi" w:hAnsiTheme="majorBidi" w:cstheme="majorBidi"/>
          <w:lang w:val="lv-LV"/>
        </w:rPr>
        <w:t>l</w:t>
      </w:r>
      <w:r w:rsidR="0051369F" w:rsidRPr="001E45FB">
        <w:rPr>
          <w:rFonts w:asciiTheme="majorBidi" w:hAnsiTheme="majorBidi" w:cstheme="majorBidi"/>
          <w:lang w:val="lv-LV"/>
        </w:rPr>
        <w:t>ikums nepiešķir tiesai tiesības pašai noteikt to, kāds būtu piemērotākais sods par privātpersonas pieļautajiem pārkāpumiem.</w:t>
      </w:r>
    </w:p>
    <w:p w14:paraId="24BFCF41" w14:textId="77777777" w:rsidR="0051369F" w:rsidRPr="0051369F" w:rsidRDefault="0051369F" w:rsidP="00B35555">
      <w:pPr>
        <w:spacing w:after="0" w:line="276" w:lineRule="auto"/>
        <w:ind w:right="0" w:firstLine="720"/>
        <w:rPr>
          <w:rFonts w:asciiTheme="majorBidi" w:hAnsiTheme="majorBidi" w:cstheme="majorBidi"/>
          <w:highlight w:val="yellow"/>
          <w:lang w:val="lv-LV"/>
        </w:rPr>
      </w:pPr>
    </w:p>
    <w:p w14:paraId="6D7EA8E2" w14:textId="59CA68FD" w:rsidR="0051369F" w:rsidRPr="00D143A9" w:rsidRDefault="0051369F" w:rsidP="00B35555">
      <w:pPr>
        <w:spacing w:after="0" w:line="276" w:lineRule="auto"/>
        <w:ind w:right="0" w:firstLine="720"/>
        <w:rPr>
          <w:i/>
          <w:iCs/>
          <w:lang w:val="lv-LV"/>
        </w:rPr>
      </w:pPr>
      <w:r w:rsidRPr="00803354">
        <w:rPr>
          <w:lang w:val="lv-LV"/>
        </w:rPr>
        <w:t>[</w:t>
      </w:r>
      <w:r w:rsidR="00C86011">
        <w:rPr>
          <w:lang w:val="lv-LV"/>
        </w:rPr>
        <w:t>8</w:t>
      </w:r>
      <w:r w:rsidRPr="00803354">
        <w:rPr>
          <w:lang w:val="lv-LV"/>
        </w:rPr>
        <w:t>]</w:t>
      </w:r>
      <w:r w:rsidR="00865212">
        <w:rPr>
          <w:lang w:val="lv-LV"/>
        </w:rPr>
        <w:t> </w:t>
      </w:r>
      <w:r w:rsidRPr="00803354">
        <w:rPr>
          <w:lang w:val="lv-LV"/>
        </w:rPr>
        <w:t xml:space="preserve">Ja iestāde lēmumā konstatējusi vairākus pārkāpumus un par tiem visiem noteikusi vienu kopīgu sodu, vispārīgi var pieņemt, ka galīgā soda apmēra noteikšanā ietekme ir bijusi visiem pārkāpumiem, kurus iestāde saskatījusi personas rīcībā. Tomēr apstākļos, kad iestādes konstatētie pārkāpumi ir dažādi, nevar arī izslēgt, ka kāds no tiem, ja iestāde to atzīst par nebūtisku, nav izšķiroši ietekmējis galīgo sodu. Līdz ar to, ja iestāde privātpersonai par vairākiem pārkāpumiem noteikusi vienu sodu, viena pārkāpuma izslēgšana no konstatēto pārkāpumu loka vispārīgi rada jautājumu, vai attiecīgi tiesisks ir iestādes noteiktais sods </w:t>
      </w:r>
      <w:r w:rsidR="0074482C">
        <w:rPr>
          <w:lang w:val="lv-LV"/>
        </w:rPr>
        <w:t>(</w:t>
      </w:r>
      <w:r w:rsidRPr="00803354">
        <w:rPr>
          <w:i/>
          <w:iCs/>
          <w:lang w:val="lv-LV"/>
        </w:rPr>
        <w:t>Senāta 2024.gada 2</w:t>
      </w:r>
      <w:r w:rsidR="00803354" w:rsidRPr="00803354">
        <w:rPr>
          <w:i/>
          <w:iCs/>
          <w:lang w:val="lv-LV"/>
        </w:rPr>
        <w:t>0</w:t>
      </w:r>
      <w:r w:rsidRPr="00803354">
        <w:rPr>
          <w:i/>
          <w:iCs/>
          <w:lang w:val="lv-LV"/>
        </w:rPr>
        <w:t>.</w:t>
      </w:r>
      <w:r w:rsidR="00803354" w:rsidRPr="00803354">
        <w:rPr>
          <w:i/>
          <w:iCs/>
          <w:lang w:val="lv-LV"/>
        </w:rPr>
        <w:t>decembra</w:t>
      </w:r>
      <w:r w:rsidRPr="00803354">
        <w:rPr>
          <w:i/>
          <w:iCs/>
          <w:lang w:val="lv-LV"/>
        </w:rPr>
        <w:t xml:space="preserve"> sprieduma lietā Nr. SKA</w:t>
      </w:r>
      <w:r w:rsidR="003D5D76">
        <w:rPr>
          <w:i/>
          <w:iCs/>
          <w:lang w:val="lv-LV"/>
        </w:rPr>
        <w:noBreakHyphen/>
      </w:r>
      <w:r w:rsidR="00803354" w:rsidRPr="00D143A9">
        <w:rPr>
          <w:i/>
          <w:iCs/>
          <w:lang w:val="lv-LV"/>
        </w:rPr>
        <w:t>700</w:t>
      </w:r>
      <w:r w:rsidRPr="00D143A9">
        <w:rPr>
          <w:i/>
          <w:iCs/>
          <w:lang w:val="lv-LV"/>
        </w:rPr>
        <w:t xml:space="preserve">/2024, </w:t>
      </w:r>
      <w:hyperlink r:id="rId9" w:history="1">
        <w:r w:rsidR="00803354" w:rsidRPr="00D143A9">
          <w:rPr>
            <w:rStyle w:val="Hyperlink"/>
            <w:i/>
            <w:iCs/>
            <w:lang w:val="lv-LV"/>
          </w:rPr>
          <w:t>ECLI:LV:AT:2024:1220.A420312417.40.S</w:t>
        </w:r>
      </w:hyperlink>
      <w:r w:rsidRPr="00D143A9">
        <w:rPr>
          <w:i/>
          <w:iCs/>
          <w:lang w:val="lv-LV"/>
        </w:rPr>
        <w:t xml:space="preserve">, </w:t>
      </w:r>
      <w:r w:rsidR="00803354" w:rsidRPr="00D143A9">
        <w:rPr>
          <w:i/>
          <w:iCs/>
          <w:lang w:val="lv-LV"/>
        </w:rPr>
        <w:t>22</w:t>
      </w:r>
      <w:r w:rsidRPr="00D143A9">
        <w:rPr>
          <w:i/>
          <w:iCs/>
          <w:lang w:val="lv-LV"/>
        </w:rPr>
        <w:t>.punkts</w:t>
      </w:r>
      <w:r w:rsidRPr="0074482C">
        <w:rPr>
          <w:lang w:val="lv-LV"/>
        </w:rPr>
        <w:t xml:space="preserve">). </w:t>
      </w:r>
    </w:p>
    <w:p w14:paraId="2F21CFC0" w14:textId="38A5D479" w:rsidR="0051369F" w:rsidRPr="00803354" w:rsidRDefault="0051369F" w:rsidP="00B35555">
      <w:pPr>
        <w:spacing w:after="0" w:line="276" w:lineRule="auto"/>
        <w:ind w:right="0" w:firstLine="720"/>
        <w:rPr>
          <w:lang w:val="lv-LV"/>
        </w:rPr>
      </w:pPr>
      <w:r w:rsidRPr="00803354">
        <w:rPr>
          <w:lang w:val="lv-LV"/>
        </w:rPr>
        <w:t xml:space="preserve">Tāpēc, pārbaudot iestādes piemērotā soda pamatotību šādā situācijā, būtiski ir pārliecināties, vai un kāda ietekme uz privātpersonai piemēroto soda apmēru pārsūdzētajā lēmumā ir bijusi iestādes kļūdaini konstatētajam pārkāpumam. Īstenojot šo pārbaudi, tiesai arī jāatceras jau </w:t>
      </w:r>
      <w:r w:rsidR="0074482C">
        <w:rPr>
          <w:lang w:val="lv-LV"/>
        </w:rPr>
        <w:t>iepriekš</w:t>
      </w:r>
      <w:r w:rsidRPr="00803354">
        <w:rPr>
          <w:lang w:val="lv-LV"/>
        </w:rPr>
        <w:t xml:space="preserve"> uzsvērtais, ka tiesas kompetence ir kontrolēt iestādes lēmuma tiesiskumu, nevis iestāties iestādes vietā un pašai lemt par to, kāda apmēra sods </w:t>
      </w:r>
      <w:r w:rsidRPr="00803354">
        <w:rPr>
          <w:lang w:val="lv-LV"/>
        </w:rPr>
        <w:lastRenderedPageBreak/>
        <w:t>personai piemērojams (sal. sk. arī</w:t>
      </w:r>
      <w:r w:rsidRPr="00803354">
        <w:rPr>
          <w:i/>
          <w:iCs/>
          <w:lang w:val="lv-LV"/>
        </w:rPr>
        <w:t xml:space="preserve"> Senāta 2015.gada 26.februāra sprieduma lietā Nr. </w:t>
      </w:r>
      <w:hyperlink r:id="rId10" w:history="1">
        <w:r w:rsidRPr="00803354">
          <w:rPr>
            <w:rStyle w:val="Hyperlink"/>
            <w:i/>
            <w:iCs/>
            <w:lang w:val="lv-LV"/>
          </w:rPr>
          <w:t>SKA-296/2015</w:t>
        </w:r>
      </w:hyperlink>
      <w:r w:rsidRPr="00803354">
        <w:rPr>
          <w:i/>
          <w:iCs/>
          <w:lang w:val="lv-LV"/>
        </w:rPr>
        <w:t>, A420314913, 10.punktu</w:t>
      </w:r>
      <w:r w:rsidR="00803354">
        <w:rPr>
          <w:i/>
          <w:iCs/>
          <w:lang w:val="lv-LV"/>
        </w:rPr>
        <w:t xml:space="preserve">, </w:t>
      </w:r>
      <w:r w:rsidR="00803354" w:rsidRPr="00803354">
        <w:rPr>
          <w:i/>
          <w:iCs/>
          <w:lang w:val="lv-LV"/>
        </w:rPr>
        <w:t xml:space="preserve">2024.gada 20.decembra sprieduma lietā Nr. SKA-700/2024, </w:t>
      </w:r>
      <w:hyperlink r:id="rId11" w:history="1">
        <w:r w:rsidR="00803354" w:rsidRPr="00803354">
          <w:rPr>
            <w:rStyle w:val="Hyperlink"/>
            <w:i/>
            <w:iCs/>
            <w:lang w:val="lv-LV"/>
          </w:rPr>
          <w:t>ECLI:LV:AT:2024:1220.A420312417.40.S</w:t>
        </w:r>
      </w:hyperlink>
      <w:r w:rsidR="00803354" w:rsidRPr="00803354">
        <w:rPr>
          <w:i/>
          <w:iCs/>
          <w:lang w:val="lv-LV"/>
        </w:rPr>
        <w:t xml:space="preserve"> , 22.punkt</w:t>
      </w:r>
      <w:r w:rsidR="0074482C">
        <w:rPr>
          <w:i/>
          <w:iCs/>
          <w:lang w:val="lv-LV"/>
        </w:rPr>
        <w:t>u</w:t>
      </w:r>
      <w:r w:rsidRPr="00803354">
        <w:rPr>
          <w:lang w:val="lv-LV"/>
        </w:rPr>
        <w:t>).</w:t>
      </w:r>
    </w:p>
    <w:p w14:paraId="3F2BD716" w14:textId="77777777" w:rsidR="0051369F" w:rsidRPr="00803354" w:rsidRDefault="0051369F" w:rsidP="00B35555">
      <w:pPr>
        <w:spacing w:after="0" w:line="276" w:lineRule="auto"/>
        <w:ind w:right="0" w:firstLine="720"/>
        <w:rPr>
          <w:lang w:val="lv-LV"/>
        </w:rPr>
      </w:pPr>
    </w:p>
    <w:p w14:paraId="0FE734C5" w14:textId="2BEF8D2B" w:rsidR="0051369F" w:rsidRPr="00803354" w:rsidRDefault="0051369F" w:rsidP="00B35555">
      <w:pPr>
        <w:spacing w:after="0" w:line="276" w:lineRule="auto"/>
        <w:ind w:right="0" w:firstLine="720"/>
        <w:rPr>
          <w:lang w:val="lv-LV"/>
        </w:rPr>
      </w:pPr>
      <w:r w:rsidRPr="00803354">
        <w:rPr>
          <w:lang w:val="lv-LV"/>
        </w:rPr>
        <w:t>[</w:t>
      </w:r>
      <w:r w:rsidR="00C86011">
        <w:rPr>
          <w:lang w:val="lv-LV"/>
        </w:rPr>
        <w:t>9</w:t>
      </w:r>
      <w:r w:rsidRPr="00803354">
        <w:rPr>
          <w:lang w:val="lv-LV"/>
        </w:rPr>
        <w:t>]</w:t>
      </w:r>
      <w:r w:rsidR="00865212">
        <w:rPr>
          <w:lang w:val="lv-LV"/>
        </w:rPr>
        <w:t> </w:t>
      </w:r>
      <w:r w:rsidRPr="00803354">
        <w:rPr>
          <w:lang w:val="lv-LV"/>
        </w:rPr>
        <w:t xml:space="preserve">Izskatāmajā gadījumā apgabaltiesa ir secinājusi, ka </w:t>
      </w:r>
      <w:r w:rsidR="0074482C">
        <w:rPr>
          <w:lang w:val="lv-LV"/>
        </w:rPr>
        <w:t xml:space="preserve">Valsts ieņēmumu </w:t>
      </w:r>
      <w:r w:rsidR="00225E28">
        <w:rPr>
          <w:lang w:val="lv-LV"/>
        </w:rPr>
        <w:t>dienesta</w:t>
      </w:r>
      <w:r w:rsidRPr="00803354">
        <w:rPr>
          <w:lang w:val="lv-LV"/>
        </w:rPr>
        <w:t xml:space="preserve"> </w:t>
      </w:r>
      <w:r w:rsidR="0074482C">
        <w:rPr>
          <w:lang w:val="lv-LV"/>
        </w:rPr>
        <w:t xml:space="preserve">kā uzraudzības un kontroles institūcijas </w:t>
      </w:r>
      <w:r w:rsidRPr="00803354">
        <w:rPr>
          <w:lang w:val="lv-LV"/>
        </w:rPr>
        <w:t xml:space="preserve">nepareizi konstatētais pārkāpums nevar būt pamats soda </w:t>
      </w:r>
      <w:r w:rsidR="00225E28">
        <w:rPr>
          <w:lang w:val="lv-LV"/>
        </w:rPr>
        <w:t>mazināšanai</w:t>
      </w:r>
      <w:r w:rsidRPr="00803354">
        <w:rPr>
          <w:lang w:val="lv-LV"/>
        </w:rPr>
        <w:t>, jo pārēj</w:t>
      </w:r>
      <w:r w:rsidR="00225E28">
        <w:rPr>
          <w:lang w:val="lv-LV"/>
        </w:rPr>
        <w:t>o</w:t>
      </w:r>
      <w:r w:rsidRPr="00803354">
        <w:rPr>
          <w:lang w:val="lv-LV"/>
        </w:rPr>
        <w:t xml:space="preserve"> </w:t>
      </w:r>
      <w:r w:rsidR="00225E28">
        <w:rPr>
          <w:lang w:val="lv-LV"/>
        </w:rPr>
        <w:t>dienesta</w:t>
      </w:r>
      <w:r w:rsidRPr="00803354">
        <w:rPr>
          <w:lang w:val="lv-LV"/>
        </w:rPr>
        <w:t xml:space="preserve"> pamatoti konstatēt</w:t>
      </w:r>
      <w:r w:rsidR="00225E28">
        <w:rPr>
          <w:lang w:val="lv-LV"/>
        </w:rPr>
        <w:t>o</w:t>
      </w:r>
      <w:r w:rsidRPr="00803354">
        <w:rPr>
          <w:lang w:val="lv-LV"/>
        </w:rPr>
        <w:t xml:space="preserve"> pārkāpum</w:t>
      </w:r>
      <w:r w:rsidR="00225E28">
        <w:rPr>
          <w:lang w:val="lv-LV"/>
        </w:rPr>
        <w:t>u</w:t>
      </w:r>
      <w:r w:rsidRPr="00803354">
        <w:rPr>
          <w:lang w:val="lv-LV"/>
        </w:rPr>
        <w:t xml:space="preserve"> </w:t>
      </w:r>
      <w:r w:rsidR="00225E28">
        <w:rPr>
          <w:lang w:val="lv-LV"/>
        </w:rPr>
        <w:t>būtiskuma</w:t>
      </w:r>
      <w:r w:rsidRPr="00803354">
        <w:rPr>
          <w:lang w:val="lv-LV"/>
        </w:rPr>
        <w:t xml:space="preserve"> dēļ </w:t>
      </w:r>
      <w:r w:rsidR="00225E28">
        <w:rPr>
          <w:lang w:val="lv-LV"/>
        </w:rPr>
        <w:t>piemērotā</w:t>
      </w:r>
      <w:r w:rsidRPr="00803354">
        <w:rPr>
          <w:lang w:val="lv-LV"/>
        </w:rPr>
        <w:t xml:space="preserve"> </w:t>
      </w:r>
      <w:r w:rsidR="00225E28">
        <w:rPr>
          <w:lang w:val="lv-LV"/>
        </w:rPr>
        <w:t xml:space="preserve">soda </w:t>
      </w:r>
      <w:r w:rsidRPr="00803354">
        <w:rPr>
          <w:lang w:val="lv-LV"/>
        </w:rPr>
        <w:t>naud</w:t>
      </w:r>
      <w:r w:rsidR="00225E28">
        <w:rPr>
          <w:lang w:val="lv-LV"/>
        </w:rPr>
        <w:t>a</w:t>
      </w:r>
      <w:r w:rsidRPr="00803354">
        <w:rPr>
          <w:lang w:val="lv-LV"/>
        </w:rPr>
        <w:t xml:space="preserve"> </w:t>
      </w:r>
      <w:r w:rsidR="00225E28">
        <w:rPr>
          <w:lang w:val="lv-LV"/>
        </w:rPr>
        <w:t>1</w:t>
      </w:r>
      <w:r w:rsidRPr="00803354">
        <w:rPr>
          <w:lang w:val="lv-LV"/>
        </w:rPr>
        <w:t xml:space="preserve">0 000 </w:t>
      </w:r>
      <w:r w:rsidRPr="00803354">
        <w:rPr>
          <w:i/>
          <w:iCs/>
          <w:lang w:val="lv-LV"/>
        </w:rPr>
        <w:t>euro</w:t>
      </w:r>
      <w:r w:rsidRPr="00803354">
        <w:rPr>
          <w:lang w:val="lv-LV"/>
        </w:rPr>
        <w:t xml:space="preserve"> </w:t>
      </w:r>
      <w:r w:rsidR="00225E28">
        <w:rPr>
          <w:lang w:val="lv-LV"/>
        </w:rPr>
        <w:t xml:space="preserve">joprojām ir </w:t>
      </w:r>
      <w:r w:rsidRPr="00803354">
        <w:rPr>
          <w:lang w:val="lv-LV"/>
        </w:rPr>
        <w:t>uzskat</w:t>
      </w:r>
      <w:r w:rsidR="00225E28">
        <w:rPr>
          <w:lang w:val="lv-LV"/>
        </w:rPr>
        <w:t>āma</w:t>
      </w:r>
      <w:r w:rsidRPr="00803354">
        <w:rPr>
          <w:lang w:val="lv-LV"/>
        </w:rPr>
        <w:t xml:space="preserve"> par samērīgu.</w:t>
      </w:r>
    </w:p>
    <w:p w14:paraId="202C5368" w14:textId="005CF164" w:rsidR="003907B0" w:rsidRPr="003907B0" w:rsidRDefault="0051369F" w:rsidP="00B35555">
      <w:pPr>
        <w:spacing w:after="0" w:line="276" w:lineRule="auto"/>
        <w:ind w:right="0" w:firstLine="720"/>
        <w:rPr>
          <w:lang w:val="lv-LV"/>
        </w:rPr>
      </w:pPr>
      <w:r w:rsidRPr="00803354">
        <w:rPr>
          <w:lang w:val="lv-LV"/>
        </w:rPr>
        <w:t xml:space="preserve">Pamatojot šo secinājumu, </w:t>
      </w:r>
      <w:r w:rsidR="003D6FA9">
        <w:rPr>
          <w:lang w:val="lv-LV"/>
        </w:rPr>
        <w:t>a</w:t>
      </w:r>
      <w:r w:rsidR="003D6FA9" w:rsidRPr="003907B0">
        <w:rPr>
          <w:lang w:val="lv-LV"/>
        </w:rPr>
        <w:t>pgabaltiesa</w:t>
      </w:r>
      <w:r w:rsidR="003D6FA9">
        <w:rPr>
          <w:lang w:val="lv-LV"/>
        </w:rPr>
        <w:t xml:space="preserve"> </w:t>
      </w:r>
      <w:r w:rsidR="00AC6DF2">
        <w:rPr>
          <w:lang w:val="lv-LV"/>
        </w:rPr>
        <w:t>norādījusi</w:t>
      </w:r>
      <w:r w:rsidRPr="00803354">
        <w:rPr>
          <w:lang w:val="lv-LV"/>
        </w:rPr>
        <w:t xml:space="preserve">, ka </w:t>
      </w:r>
      <w:r w:rsidR="003907B0" w:rsidRPr="003907B0">
        <w:rPr>
          <w:lang w:val="lv-LV"/>
        </w:rPr>
        <w:t xml:space="preserve">pieteicējas izdarītie </w:t>
      </w:r>
      <w:r w:rsidR="0074482C">
        <w:rPr>
          <w:lang w:val="lv-LV"/>
        </w:rPr>
        <w:t>Legalizācijas n</w:t>
      </w:r>
      <w:r w:rsidR="003907B0" w:rsidRPr="003907B0">
        <w:rPr>
          <w:lang w:val="lv-LV"/>
        </w:rPr>
        <w:t xml:space="preserve">ovēršanas likuma pārkāpumi ir gan būtiski, gan mazāk būtiski pārkāpumi. </w:t>
      </w:r>
      <w:r w:rsidR="00AC6DF2">
        <w:rPr>
          <w:lang w:val="lv-LV"/>
        </w:rPr>
        <w:t>N</w:t>
      </w:r>
      <w:r w:rsidR="003907B0" w:rsidRPr="003907B0">
        <w:rPr>
          <w:lang w:val="lv-LV"/>
        </w:rPr>
        <w:t xml:space="preserve">o </w:t>
      </w:r>
      <w:r w:rsidR="0074482C">
        <w:rPr>
          <w:lang w:val="lv-LV"/>
        </w:rPr>
        <w:t>Legalizācijas n</w:t>
      </w:r>
      <w:r w:rsidR="003907B0" w:rsidRPr="003907B0">
        <w:rPr>
          <w:lang w:val="lv-LV"/>
        </w:rPr>
        <w:t xml:space="preserve">ovēršanas likuma regulējuma izriet, ka neziņošana </w:t>
      </w:r>
      <w:r w:rsidR="003907B0">
        <w:rPr>
          <w:lang w:val="lv-LV"/>
        </w:rPr>
        <w:t>k</w:t>
      </w:r>
      <w:r w:rsidR="003907B0" w:rsidRPr="003907B0">
        <w:rPr>
          <w:lang w:val="lv-LV"/>
        </w:rPr>
        <w:t xml:space="preserve">ontroles dienestam par neparastiem un aizdomīgiem darījumiem un savu klientu identifikācijas un izpētes neveikšana ir vieni no galvenajiem un būtiskākajiem noziedzīgi iegūtu līdzekļu legalizācijas un terorisma finansēšanas novēršanas pasākumiem. Pieteicējai neievērojot minētos </w:t>
      </w:r>
      <w:r w:rsidR="001F61F3">
        <w:rPr>
          <w:lang w:val="lv-LV"/>
        </w:rPr>
        <w:t>Legalizācijas n</w:t>
      </w:r>
      <w:r w:rsidR="003907B0" w:rsidRPr="003907B0">
        <w:rPr>
          <w:lang w:val="lv-LV"/>
        </w:rPr>
        <w:t xml:space="preserve">ovēršanas likuma pasākumus, nav sasniegts </w:t>
      </w:r>
      <w:r w:rsidR="001F61F3">
        <w:rPr>
          <w:lang w:val="lv-LV"/>
        </w:rPr>
        <w:t>Legalizācijas n</w:t>
      </w:r>
      <w:r w:rsidR="003907B0" w:rsidRPr="003907B0">
        <w:rPr>
          <w:lang w:val="lv-LV"/>
        </w:rPr>
        <w:t>ovēršanas likuma mērķis novērst noziedzīgi iegūtu līdzekļu legalizāciju un terorisma un proliferācijas finansēšanu. Tā kā pieteicēja pārkāp</w:t>
      </w:r>
      <w:r w:rsidR="003907B0">
        <w:rPr>
          <w:lang w:val="lv-LV"/>
        </w:rPr>
        <w:t>a</w:t>
      </w:r>
      <w:r w:rsidR="003907B0" w:rsidRPr="003907B0">
        <w:rPr>
          <w:lang w:val="lv-LV"/>
        </w:rPr>
        <w:t xml:space="preserve"> ne tikai </w:t>
      </w:r>
      <w:r w:rsidR="001F61F3">
        <w:rPr>
          <w:lang w:val="lv-LV"/>
        </w:rPr>
        <w:t>Legalizācijas n</w:t>
      </w:r>
      <w:r w:rsidR="003907B0" w:rsidRPr="003907B0">
        <w:rPr>
          <w:lang w:val="lv-LV"/>
        </w:rPr>
        <w:t>ovēršanas likumā noteikto būtiskākos pamata pienākumus ziņot par neparastiem un aizdomīgiem darījumiem un klientu identifikācija un izpēte, bet pieļāv</w:t>
      </w:r>
      <w:r w:rsidR="003907B0">
        <w:rPr>
          <w:lang w:val="lv-LV"/>
        </w:rPr>
        <w:t>a</w:t>
      </w:r>
      <w:r w:rsidR="003907B0" w:rsidRPr="003907B0">
        <w:rPr>
          <w:lang w:val="lv-LV"/>
        </w:rPr>
        <w:t xml:space="preserve"> arī citu mazāk būtiskus likumā noteikto pienākumu pārkāpumus, </w:t>
      </w:r>
      <w:r w:rsidR="003907B0">
        <w:rPr>
          <w:lang w:val="lv-LV"/>
        </w:rPr>
        <w:t>kas tika</w:t>
      </w:r>
      <w:r w:rsidR="003907B0" w:rsidRPr="003907B0">
        <w:rPr>
          <w:lang w:val="lv-LV"/>
        </w:rPr>
        <w:t xml:space="preserve"> veikti ilgstošā laika posmā, apgabaltiesa atz</w:t>
      </w:r>
      <w:r w:rsidR="003907B0">
        <w:rPr>
          <w:lang w:val="lv-LV"/>
        </w:rPr>
        <w:t>ina</w:t>
      </w:r>
      <w:r w:rsidR="003907B0" w:rsidRPr="003907B0">
        <w:rPr>
          <w:lang w:val="lv-LV"/>
        </w:rPr>
        <w:t xml:space="preserve">, ka tas, ka no konstatētā pārkāpumu loka izslēgts </w:t>
      </w:r>
      <w:r w:rsidR="0074482C">
        <w:rPr>
          <w:lang w:val="lv-LV"/>
        </w:rPr>
        <w:t>Legalizācijas n</w:t>
      </w:r>
      <w:r w:rsidR="003907B0" w:rsidRPr="003907B0">
        <w:rPr>
          <w:lang w:val="lv-LV"/>
        </w:rPr>
        <w:t>ovēršanas likuma 11.</w:t>
      </w:r>
      <w:r w:rsidR="003907B0" w:rsidRPr="003907B0">
        <w:rPr>
          <w:vertAlign w:val="superscript"/>
          <w:lang w:val="lv-LV"/>
        </w:rPr>
        <w:t>1</w:t>
      </w:r>
      <w:r w:rsidR="003907B0" w:rsidRPr="003907B0">
        <w:rPr>
          <w:lang w:val="lv-LV"/>
        </w:rPr>
        <w:t xml:space="preserve">panta trešās daļas </w:t>
      </w:r>
      <w:r w:rsidR="005763E7" w:rsidRPr="00BC45A3">
        <w:rPr>
          <w:lang w:val="lv-LV"/>
        </w:rPr>
        <w:t>„</w:t>
      </w:r>
      <w:r w:rsidR="003907B0" w:rsidRPr="005763E7">
        <w:rPr>
          <w:lang w:val="lv-LV"/>
        </w:rPr>
        <w:t>a”</w:t>
      </w:r>
      <w:r w:rsidR="0074482C">
        <w:rPr>
          <w:lang w:val="lv-LV"/>
        </w:rPr>
        <w:t> </w:t>
      </w:r>
      <w:r w:rsidR="003907B0" w:rsidRPr="003907B0">
        <w:rPr>
          <w:lang w:val="lv-LV"/>
        </w:rPr>
        <w:t xml:space="preserve">apakšpunkta pārkāpums, kas ir mazāk būtisks likuma pārkāpums, nevar kopumā ietekmēt secinājumus par piemērotā soda pamatotību un samērīgumu. </w:t>
      </w:r>
    </w:p>
    <w:p w14:paraId="3AE61CB7" w14:textId="63575FEA" w:rsidR="0051369F" w:rsidRDefault="0074482C" w:rsidP="00B35555">
      <w:pPr>
        <w:spacing w:after="0" w:line="276" w:lineRule="auto"/>
        <w:ind w:right="0" w:firstLine="720"/>
        <w:rPr>
          <w:lang w:val="lv-LV"/>
        </w:rPr>
      </w:pPr>
      <w:r>
        <w:rPr>
          <w:lang w:val="lv-LV"/>
        </w:rPr>
        <w:t xml:space="preserve">Taču </w:t>
      </w:r>
      <w:r w:rsidR="003907B0">
        <w:rPr>
          <w:lang w:val="lv-LV"/>
        </w:rPr>
        <w:t xml:space="preserve">apgabaltiesa </w:t>
      </w:r>
      <w:r w:rsidR="0051369F" w:rsidRPr="00803354">
        <w:rPr>
          <w:lang w:val="lv-LV"/>
        </w:rPr>
        <w:t xml:space="preserve">nav analizējusi pārsūdzētā lēmuma pamatojumu, lai pārliecinātos par to, ko pats </w:t>
      </w:r>
      <w:r>
        <w:rPr>
          <w:lang w:val="lv-LV"/>
        </w:rPr>
        <w:t xml:space="preserve">Valsts ieņēmumu </w:t>
      </w:r>
      <w:r w:rsidR="005B2CD3">
        <w:rPr>
          <w:lang w:val="lv-LV"/>
        </w:rPr>
        <w:t>dienests</w:t>
      </w:r>
      <w:r w:rsidR="0051369F" w:rsidRPr="00803354">
        <w:rPr>
          <w:lang w:val="lv-LV"/>
        </w:rPr>
        <w:t xml:space="preserve"> pārsūdzētajā lēmumā uzskatījis par pamatu </w:t>
      </w:r>
      <w:r w:rsidR="005B2CD3">
        <w:rPr>
          <w:lang w:val="lv-LV"/>
        </w:rPr>
        <w:t>1</w:t>
      </w:r>
      <w:r w:rsidR="0051369F" w:rsidRPr="00803354">
        <w:rPr>
          <w:lang w:val="lv-LV"/>
        </w:rPr>
        <w:t xml:space="preserve">0 000 </w:t>
      </w:r>
      <w:r w:rsidR="0051369F" w:rsidRPr="00803354">
        <w:rPr>
          <w:i/>
          <w:iCs/>
          <w:lang w:val="lv-LV"/>
        </w:rPr>
        <w:t>euro</w:t>
      </w:r>
      <w:r w:rsidR="0051369F" w:rsidRPr="00803354">
        <w:rPr>
          <w:lang w:val="lv-LV"/>
        </w:rPr>
        <w:t xml:space="preserve"> </w:t>
      </w:r>
      <w:r w:rsidR="00A85BD1">
        <w:rPr>
          <w:lang w:val="lv-LV"/>
        </w:rPr>
        <w:t xml:space="preserve">soda naudas </w:t>
      </w:r>
      <w:r w:rsidR="0051369F" w:rsidRPr="00803354">
        <w:rPr>
          <w:lang w:val="lv-LV"/>
        </w:rPr>
        <w:t xml:space="preserve">piemērošanai un </w:t>
      </w:r>
      <w:r w:rsidR="00BE6D27">
        <w:rPr>
          <w:lang w:val="lv-LV"/>
        </w:rPr>
        <w:t>ciktāl</w:t>
      </w:r>
      <w:r w:rsidR="0051369F" w:rsidRPr="00803354">
        <w:rPr>
          <w:lang w:val="lv-LV"/>
        </w:rPr>
        <w:t xml:space="preserve"> </w:t>
      </w:r>
      <w:r w:rsidR="005B2CD3">
        <w:rPr>
          <w:lang w:val="lv-LV"/>
        </w:rPr>
        <w:t>dienesta</w:t>
      </w:r>
      <w:r w:rsidR="0051369F" w:rsidRPr="00803354">
        <w:rPr>
          <w:lang w:val="lv-LV"/>
        </w:rPr>
        <w:t xml:space="preserve"> lēmumā par galīgo soda mēru </w:t>
      </w:r>
      <w:r w:rsidR="005B2CD3">
        <w:rPr>
          <w:lang w:val="lv-LV"/>
        </w:rPr>
        <w:t>ir</w:t>
      </w:r>
      <w:r w:rsidR="0051369F" w:rsidRPr="00803354">
        <w:rPr>
          <w:lang w:val="lv-LV"/>
        </w:rPr>
        <w:t xml:space="preserve"> bijusi nozīme arī nepareizi konstatētajam pārkāpumam. Tomēr tieši tam ir nozīme, pārbaudot pārsūdzētā lēmuma daļā par piemēroto sodu tiesiskumu.</w:t>
      </w:r>
      <w:r w:rsidR="005B2CD3">
        <w:rPr>
          <w:lang w:val="lv-LV"/>
        </w:rPr>
        <w:t xml:space="preserve"> </w:t>
      </w:r>
    </w:p>
    <w:p w14:paraId="4B61B0AA" w14:textId="3B5B11D9" w:rsidR="0080297F" w:rsidRDefault="00BE6D27" w:rsidP="00B35555">
      <w:pPr>
        <w:spacing w:after="0" w:line="276" w:lineRule="auto"/>
        <w:ind w:right="0" w:firstLine="720"/>
        <w:rPr>
          <w:lang w:val="lv-LV"/>
        </w:rPr>
      </w:pPr>
      <w:r>
        <w:rPr>
          <w:lang w:val="lv-LV"/>
        </w:rPr>
        <w:t>A</w:t>
      </w:r>
      <w:r w:rsidR="005763E7">
        <w:rPr>
          <w:lang w:val="lv-LV"/>
        </w:rPr>
        <w:t xml:space="preserve">pgabaltiesas spriedumā nav rodams pamatojums, </w:t>
      </w:r>
      <w:r>
        <w:rPr>
          <w:lang w:val="lv-LV"/>
        </w:rPr>
        <w:t>uz kādu apsvērumu pamata</w:t>
      </w:r>
      <w:r w:rsidR="005763E7">
        <w:rPr>
          <w:lang w:val="lv-LV"/>
        </w:rPr>
        <w:t xml:space="preserve"> tiesa pieteicējas izdarītos pārkāpumus nošķīrusi būtiskos un mazāk būtiskos</w:t>
      </w:r>
      <w:r w:rsidR="0061485C">
        <w:rPr>
          <w:lang w:val="lv-LV"/>
        </w:rPr>
        <w:t>.</w:t>
      </w:r>
      <w:r w:rsidR="005763E7">
        <w:rPr>
          <w:lang w:val="lv-LV"/>
        </w:rPr>
        <w:t xml:space="preserve"> </w:t>
      </w:r>
      <w:r>
        <w:rPr>
          <w:lang w:val="lv-LV"/>
        </w:rPr>
        <w:t>P</w:t>
      </w:r>
      <w:r w:rsidR="005763E7">
        <w:rPr>
          <w:lang w:val="lv-LV"/>
        </w:rPr>
        <w:t>ārsūdzētajā lēmumā dienests, analizējot konstatētos pieteicējas pārkāpumus un vēlāk nosakot soda naudas apmēru, nav tos nošķīris nozīmīgos un mazāk nozīmīgos. Tas vien, ka dienests, sniedzot paskaidrojumus par kasācijas sūdzību, ir sniedzis skaidrojumu, ka šāds nošķīrums ir rodams vadlīnijās, nav pietiekami</w:t>
      </w:r>
      <w:r w:rsidR="0080297F">
        <w:rPr>
          <w:lang w:val="lv-LV"/>
        </w:rPr>
        <w:t>, jo pašā pārsūdzētajā lēmumā dienests</w:t>
      </w:r>
      <w:r w:rsidR="0080297F" w:rsidRPr="0080297F">
        <w:rPr>
          <w:lang w:val="lv-LV"/>
        </w:rPr>
        <w:t xml:space="preserve"> </w:t>
      </w:r>
      <w:r w:rsidR="0080297F">
        <w:rPr>
          <w:lang w:val="lv-LV"/>
        </w:rPr>
        <w:t>nav atsaucies</w:t>
      </w:r>
      <w:r w:rsidR="0080297F" w:rsidRPr="0080297F">
        <w:rPr>
          <w:lang w:val="lv-LV"/>
        </w:rPr>
        <w:t xml:space="preserve"> </w:t>
      </w:r>
      <w:r w:rsidR="0080297F">
        <w:rPr>
          <w:lang w:val="lv-LV"/>
        </w:rPr>
        <w:t xml:space="preserve">uz vadlīnijām, nosakot soda naudas apmēru </w:t>
      </w:r>
      <w:r w:rsidR="0061485C">
        <w:rPr>
          <w:lang w:val="lv-LV"/>
        </w:rPr>
        <w:t xml:space="preserve">un pārkāpuma </w:t>
      </w:r>
      <w:r w:rsidR="0080297F">
        <w:rPr>
          <w:lang w:val="lv-LV"/>
        </w:rPr>
        <w:t xml:space="preserve">būtiskuma ietekmi uz </w:t>
      </w:r>
      <w:r w:rsidR="0061485C">
        <w:rPr>
          <w:lang w:val="lv-LV"/>
        </w:rPr>
        <w:t>to</w:t>
      </w:r>
      <w:r w:rsidR="005763E7">
        <w:rPr>
          <w:lang w:val="lv-LV"/>
        </w:rPr>
        <w:t>.</w:t>
      </w:r>
      <w:r w:rsidR="0080297F">
        <w:rPr>
          <w:lang w:val="lv-LV"/>
        </w:rPr>
        <w:t xml:space="preserve"> </w:t>
      </w:r>
      <w:r w:rsidR="005763E7">
        <w:rPr>
          <w:lang w:val="lv-LV"/>
        </w:rPr>
        <w:t xml:space="preserve">Šajā </w:t>
      </w:r>
      <w:r w:rsidR="005763E7" w:rsidRPr="00803354">
        <w:rPr>
          <w:lang w:val="lv-LV"/>
        </w:rPr>
        <w:t>sakarā Senāts vērš uzmanību uz to, ka soda piemērošanas pamatojumam visupirms ir jābūt norādītam administratīvajā aktā un iestādes tiesas procesā sniegtie paskaidrojumi par soda noteikšanas apsvērumiem ņemami vērā, ciktāl tie neveido jaunu (iepriekš nebijušu) pārsūdzētā administratīvā akta pamat</w:t>
      </w:r>
      <w:r w:rsidR="00A85BD1">
        <w:rPr>
          <w:lang w:val="lv-LV"/>
        </w:rPr>
        <w:t>ojum</w:t>
      </w:r>
      <w:r w:rsidR="005763E7" w:rsidRPr="00803354">
        <w:rPr>
          <w:lang w:val="lv-LV"/>
        </w:rPr>
        <w:t xml:space="preserve">u </w:t>
      </w:r>
      <w:r w:rsidR="005763E7" w:rsidRPr="0080297F">
        <w:rPr>
          <w:i/>
          <w:iCs/>
          <w:lang w:val="lv-LV"/>
        </w:rPr>
        <w:t>(Administratīvā procesa likuma 150.panta otrā daļa un Senāta 2024.gada 26.novembra sprieduma lietā Nr. SKA</w:t>
      </w:r>
      <w:r w:rsidR="001C7468">
        <w:rPr>
          <w:i/>
          <w:iCs/>
          <w:lang w:val="lv-LV"/>
        </w:rPr>
        <w:noBreakHyphen/>
      </w:r>
      <w:r w:rsidR="005763E7" w:rsidRPr="0080297F">
        <w:rPr>
          <w:i/>
          <w:iCs/>
          <w:lang w:val="lv-LV"/>
        </w:rPr>
        <w:t xml:space="preserve">155/2024, </w:t>
      </w:r>
      <w:hyperlink r:id="rId12" w:history="1">
        <w:r w:rsidR="005763E7" w:rsidRPr="0080297F">
          <w:rPr>
            <w:rStyle w:val="Hyperlink"/>
            <w:i/>
            <w:iCs/>
            <w:lang w:val="lv-LV"/>
          </w:rPr>
          <w:t>ECLI:LV:AT:2024:1126.A420170320.10.S</w:t>
        </w:r>
      </w:hyperlink>
      <w:r w:rsidR="005763E7" w:rsidRPr="0080297F">
        <w:rPr>
          <w:i/>
          <w:iCs/>
          <w:lang w:val="lv-LV"/>
        </w:rPr>
        <w:t>, 18.–20.punkts)</w:t>
      </w:r>
      <w:r w:rsidR="005763E7" w:rsidRPr="00803354">
        <w:rPr>
          <w:lang w:val="lv-LV"/>
        </w:rPr>
        <w:t>.</w:t>
      </w:r>
    </w:p>
    <w:p w14:paraId="72C840FE" w14:textId="77777777" w:rsidR="003D6FA9" w:rsidRDefault="003D6FA9" w:rsidP="00B35555">
      <w:pPr>
        <w:spacing w:after="0" w:line="276" w:lineRule="auto"/>
        <w:ind w:right="0" w:firstLine="720"/>
        <w:rPr>
          <w:lang w:val="lv-LV"/>
        </w:rPr>
      </w:pPr>
    </w:p>
    <w:p w14:paraId="7E1526D1" w14:textId="5BE74F3C" w:rsidR="0051369F" w:rsidRPr="003D6FA9" w:rsidRDefault="0051369F" w:rsidP="00B35555">
      <w:pPr>
        <w:spacing w:after="0" w:line="276" w:lineRule="auto"/>
        <w:ind w:right="0" w:firstLine="720"/>
        <w:rPr>
          <w:lang w:val="lv-LV"/>
        </w:rPr>
      </w:pPr>
      <w:r w:rsidRPr="003D6FA9">
        <w:rPr>
          <w:lang w:val="lv-LV"/>
        </w:rPr>
        <w:t>[</w:t>
      </w:r>
      <w:r w:rsidR="003D6FA9" w:rsidRPr="003D6FA9">
        <w:rPr>
          <w:lang w:val="lv-LV"/>
        </w:rPr>
        <w:t>1</w:t>
      </w:r>
      <w:r w:rsidR="00C86011">
        <w:rPr>
          <w:lang w:val="lv-LV"/>
        </w:rPr>
        <w:t>0</w:t>
      </w:r>
      <w:r w:rsidRPr="003D6FA9">
        <w:rPr>
          <w:lang w:val="lv-LV"/>
        </w:rPr>
        <w:t>]</w:t>
      </w:r>
      <w:r w:rsidR="00865212">
        <w:rPr>
          <w:lang w:val="lv-LV"/>
        </w:rPr>
        <w:t> </w:t>
      </w:r>
      <w:r w:rsidRPr="003D6FA9">
        <w:rPr>
          <w:lang w:val="lv-LV"/>
        </w:rPr>
        <w:t xml:space="preserve">Minētie apstākļi norāda uz to, ka tiesas secinājums, ka nepareizi konstatētajam pārkāpumam nav bijusi nozīme galīgā soda noteikšanā, nav balstīts administratīvā akta pamatojuma izvērtējumā, bet gan tiesas pašas vērtējumā par to, ka </w:t>
      </w:r>
      <w:r w:rsidRPr="003D6FA9">
        <w:rPr>
          <w:lang w:val="lv-LV"/>
        </w:rPr>
        <w:lastRenderedPageBreak/>
        <w:t xml:space="preserve">pārējie pieteicējas pieļautie pārkāpumi paši par sevi attaisno </w:t>
      </w:r>
      <w:r w:rsidR="003D6FA9">
        <w:rPr>
          <w:lang w:val="lv-LV"/>
        </w:rPr>
        <w:t>1</w:t>
      </w:r>
      <w:r w:rsidRPr="003D6FA9">
        <w:rPr>
          <w:lang w:val="lv-LV"/>
        </w:rPr>
        <w:t xml:space="preserve">0 000 </w:t>
      </w:r>
      <w:r w:rsidRPr="003D6FA9">
        <w:rPr>
          <w:i/>
          <w:iCs/>
          <w:lang w:val="lv-LV"/>
        </w:rPr>
        <w:t>euro</w:t>
      </w:r>
      <w:r w:rsidRPr="003D6FA9">
        <w:rPr>
          <w:lang w:val="lv-LV"/>
        </w:rPr>
        <w:t xml:space="preserve"> soda naudas piemērošanu. Tomēr šādi tiesas apsvērumi būtībā liecina, ka tiesa ir nevis pārbaudījusi iestādes lēmuma tiesiskumu, bet gan pati ir noteikusi, kāds sods pieteicējai pienākas par tās pieļautajiem pārkāpumiem. Šāda tiesas rīcība neatbilst tiesas kompetencei. </w:t>
      </w:r>
    </w:p>
    <w:p w14:paraId="0C7F2C58" w14:textId="5C0ECBA2" w:rsidR="0051369F" w:rsidRDefault="0051369F" w:rsidP="00B35555">
      <w:pPr>
        <w:spacing w:after="0" w:line="276" w:lineRule="auto"/>
        <w:ind w:right="0" w:firstLine="720"/>
        <w:rPr>
          <w:lang w:val="lv-LV"/>
        </w:rPr>
      </w:pPr>
      <w:r w:rsidRPr="003D6FA9">
        <w:rPr>
          <w:lang w:val="lv-LV"/>
        </w:rPr>
        <w:t xml:space="preserve">Ievērojot minēto, Senāts atzīst: tas, ka tiesa, pārbaudot </w:t>
      </w:r>
      <w:r w:rsidR="003D6FA9">
        <w:rPr>
          <w:lang w:val="lv-LV"/>
        </w:rPr>
        <w:t>dienesta</w:t>
      </w:r>
      <w:r w:rsidRPr="003D6FA9">
        <w:rPr>
          <w:lang w:val="lv-LV"/>
        </w:rPr>
        <w:t xml:space="preserve"> piemērotā soda tiesiskumu kontekstā ar nepareizi konstatēto pārkāpumu, nav analizējusi to, kādi bija </w:t>
      </w:r>
      <w:r w:rsidR="003D6FA9">
        <w:rPr>
          <w:lang w:val="lv-LV"/>
        </w:rPr>
        <w:t>dienesta</w:t>
      </w:r>
      <w:r w:rsidRPr="003D6FA9">
        <w:rPr>
          <w:lang w:val="lv-LV"/>
        </w:rPr>
        <w:t xml:space="preserve"> apsvērumi, nosakot piemērojamo sodu, varēja ietekmēt lietas iznākumu. Minētais ir pamats </w:t>
      </w:r>
      <w:r w:rsidR="003D6FA9">
        <w:rPr>
          <w:lang w:val="lv-LV"/>
        </w:rPr>
        <w:t xml:space="preserve">Administratīvās </w:t>
      </w:r>
      <w:r w:rsidRPr="003D6FA9">
        <w:rPr>
          <w:lang w:val="lv-LV"/>
        </w:rPr>
        <w:t>apgabaltiesas sprieduma atcelšanai daļā, kas attiecas uz pārsūdzēto lēmumu daļā par pieteicējai piemēroto sod</w:t>
      </w:r>
      <w:r w:rsidR="003D6FA9">
        <w:rPr>
          <w:lang w:val="lv-LV"/>
        </w:rPr>
        <w:t>a naudu</w:t>
      </w:r>
      <w:r w:rsidRPr="003D6FA9">
        <w:rPr>
          <w:lang w:val="lv-LV"/>
        </w:rPr>
        <w:t xml:space="preserve">. </w:t>
      </w:r>
    </w:p>
    <w:p w14:paraId="22424216" w14:textId="77777777" w:rsidR="000F022D" w:rsidRPr="003D6FA9" w:rsidRDefault="000F022D" w:rsidP="00B35555">
      <w:pPr>
        <w:spacing w:after="0" w:line="276" w:lineRule="auto"/>
        <w:ind w:right="0" w:firstLine="720"/>
        <w:rPr>
          <w:lang w:val="lv-LV"/>
        </w:rPr>
      </w:pPr>
    </w:p>
    <w:p w14:paraId="06FABA60" w14:textId="70037CCB" w:rsidR="00094A63" w:rsidRPr="00094A63" w:rsidRDefault="00094A63" w:rsidP="00B35555">
      <w:pPr>
        <w:spacing w:after="0" w:line="276" w:lineRule="auto"/>
        <w:ind w:right="0" w:firstLine="0"/>
        <w:jc w:val="center"/>
        <w:rPr>
          <w:b/>
          <w:bCs/>
          <w:lang w:val="lv-LV"/>
        </w:rPr>
      </w:pPr>
      <w:r>
        <w:rPr>
          <w:b/>
          <w:bCs/>
          <w:lang w:val="lv-LV"/>
        </w:rPr>
        <w:t>Rezolutīvā daļa</w:t>
      </w:r>
    </w:p>
    <w:p w14:paraId="1B234295" w14:textId="77777777" w:rsidR="00C57933" w:rsidRPr="00BC45A3" w:rsidRDefault="0064252D" w:rsidP="00B35555">
      <w:pPr>
        <w:spacing w:after="0" w:line="276" w:lineRule="auto"/>
        <w:ind w:right="0" w:firstLine="0"/>
        <w:jc w:val="left"/>
        <w:rPr>
          <w:lang w:val="lv-LV"/>
        </w:rPr>
      </w:pPr>
      <w:r w:rsidRPr="00BC45A3">
        <w:rPr>
          <w:lang w:val="lv-LV"/>
        </w:rPr>
        <w:t xml:space="preserve"> </w:t>
      </w:r>
    </w:p>
    <w:p w14:paraId="31A606B4" w14:textId="77777777" w:rsidR="00C57933" w:rsidRDefault="0064252D" w:rsidP="00B35555">
      <w:pPr>
        <w:spacing w:after="0" w:line="276" w:lineRule="auto"/>
        <w:ind w:right="0" w:firstLine="720"/>
        <w:rPr>
          <w:lang w:val="lv-LV"/>
        </w:rPr>
      </w:pPr>
      <w:r w:rsidRPr="003D6FA9">
        <w:rPr>
          <w:lang w:val="lv-LV"/>
        </w:rPr>
        <w:t>Pamatojoties uz Administratīvā procesa likuma 129.</w:t>
      </w:r>
      <w:r w:rsidRPr="003D6FA9">
        <w:rPr>
          <w:vertAlign w:val="superscript"/>
          <w:lang w:val="lv-LV"/>
        </w:rPr>
        <w:t>1</w:t>
      </w:r>
      <w:r w:rsidRPr="003D6FA9">
        <w:rPr>
          <w:lang w:val="lv-LV"/>
        </w:rPr>
        <w:t>panta pirmās daļas 1.punktu, 348.panta pirmās daļas 2.punktu un 351.pantu, Senāts</w:t>
      </w:r>
    </w:p>
    <w:p w14:paraId="73289B36" w14:textId="77777777" w:rsidR="00094A63" w:rsidRDefault="00094A63" w:rsidP="00B35555">
      <w:pPr>
        <w:spacing w:after="0" w:line="276" w:lineRule="auto"/>
        <w:ind w:right="0" w:firstLine="0"/>
        <w:jc w:val="center"/>
        <w:rPr>
          <w:lang w:val="lv-LV"/>
        </w:rPr>
      </w:pPr>
    </w:p>
    <w:p w14:paraId="495BEA3A" w14:textId="3F762DD5" w:rsidR="00C57933" w:rsidRPr="00BC45A3" w:rsidRDefault="00094A63" w:rsidP="00B35555">
      <w:pPr>
        <w:spacing w:after="0" w:line="276" w:lineRule="auto"/>
        <w:ind w:right="0" w:firstLine="0"/>
        <w:jc w:val="center"/>
        <w:rPr>
          <w:lang w:val="lv-LV"/>
        </w:rPr>
      </w:pPr>
      <w:r w:rsidRPr="00094A63">
        <w:rPr>
          <w:b/>
          <w:bCs/>
          <w:lang w:val="lv-LV"/>
        </w:rPr>
        <w:t>nosprieda</w:t>
      </w:r>
      <w:r w:rsidRPr="00BC45A3">
        <w:rPr>
          <w:lang w:val="lv-LV"/>
        </w:rPr>
        <w:t xml:space="preserve"> </w:t>
      </w:r>
    </w:p>
    <w:p w14:paraId="2F8E16C4" w14:textId="77777777" w:rsidR="00C57933" w:rsidRPr="00BC45A3" w:rsidRDefault="0064252D" w:rsidP="00B35555">
      <w:pPr>
        <w:spacing w:after="0" w:line="276" w:lineRule="auto"/>
        <w:ind w:right="0" w:firstLine="0"/>
        <w:jc w:val="center"/>
        <w:rPr>
          <w:lang w:val="lv-LV"/>
        </w:rPr>
      </w:pPr>
      <w:r w:rsidRPr="00BC45A3">
        <w:rPr>
          <w:b/>
          <w:lang w:val="lv-LV"/>
        </w:rPr>
        <w:t xml:space="preserve"> </w:t>
      </w:r>
    </w:p>
    <w:p w14:paraId="7B4B3CF9" w14:textId="11CECD59" w:rsidR="000C639C" w:rsidRDefault="0064252D" w:rsidP="00B35555">
      <w:pPr>
        <w:spacing w:after="0" w:line="276" w:lineRule="auto"/>
        <w:ind w:right="0" w:firstLine="720"/>
        <w:rPr>
          <w:lang w:val="lv-LV"/>
        </w:rPr>
      </w:pPr>
      <w:r w:rsidRPr="00BC45A3">
        <w:rPr>
          <w:lang w:val="lv-LV"/>
        </w:rPr>
        <w:t>atcelt Administratīvās apgabaltiesas 202</w:t>
      </w:r>
      <w:r w:rsidR="000C639C">
        <w:rPr>
          <w:lang w:val="lv-LV"/>
        </w:rPr>
        <w:t>4</w:t>
      </w:r>
      <w:r w:rsidRPr="00BC45A3">
        <w:rPr>
          <w:lang w:val="lv-LV"/>
        </w:rPr>
        <w:t>.gada 1</w:t>
      </w:r>
      <w:r w:rsidR="000C639C">
        <w:rPr>
          <w:lang w:val="lv-LV"/>
        </w:rPr>
        <w:t>3</w:t>
      </w:r>
      <w:r w:rsidRPr="00BC45A3">
        <w:rPr>
          <w:lang w:val="lv-LV"/>
        </w:rPr>
        <w:t>.</w:t>
      </w:r>
      <w:r w:rsidR="000C639C">
        <w:rPr>
          <w:lang w:val="lv-LV"/>
        </w:rPr>
        <w:t>decembra</w:t>
      </w:r>
      <w:r w:rsidRPr="00BC45A3">
        <w:rPr>
          <w:lang w:val="lv-LV"/>
        </w:rPr>
        <w:t xml:space="preserve"> spriedumu</w:t>
      </w:r>
      <w:r w:rsidR="000C639C">
        <w:rPr>
          <w:lang w:val="lv-LV"/>
        </w:rPr>
        <w:t xml:space="preserve"> daļā par pieteicējai piemēroto soda naudu</w:t>
      </w:r>
      <w:r w:rsidRPr="00BC45A3">
        <w:rPr>
          <w:lang w:val="lv-LV"/>
        </w:rPr>
        <w:t xml:space="preserve"> un nosūtīt lietu</w:t>
      </w:r>
      <w:r w:rsidR="000C639C">
        <w:rPr>
          <w:lang w:val="lv-LV"/>
        </w:rPr>
        <w:t xml:space="preserve"> atceltajā daļā</w:t>
      </w:r>
      <w:r w:rsidRPr="00BC45A3">
        <w:rPr>
          <w:lang w:val="lv-LV"/>
        </w:rPr>
        <w:t xml:space="preserve"> jaunai</w:t>
      </w:r>
      <w:r w:rsidR="000C639C">
        <w:rPr>
          <w:lang w:val="lv-LV"/>
        </w:rPr>
        <w:t xml:space="preserve"> </w:t>
      </w:r>
      <w:r w:rsidRPr="00BC45A3">
        <w:rPr>
          <w:lang w:val="lv-LV"/>
        </w:rPr>
        <w:t xml:space="preserve">izskatīšanai Administratīvajai apgabaltiesai; </w:t>
      </w:r>
    </w:p>
    <w:p w14:paraId="62EDC695" w14:textId="4FAC6AFD" w:rsidR="00C57933" w:rsidRPr="00BC45A3" w:rsidRDefault="0064252D" w:rsidP="00B35555">
      <w:pPr>
        <w:spacing w:after="0" w:line="276" w:lineRule="auto"/>
        <w:ind w:right="0" w:firstLine="720"/>
        <w:rPr>
          <w:lang w:val="lv-LV"/>
        </w:rPr>
      </w:pPr>
      <w:r w:rsidRPr="00BC45A3">
        <w:rPr>
          <w:lang w:val="lv-LV"/>
        </w:rPr>
        <w:t>atmaksāt SIA</w:t>
      </w:r>
      <w:r w:rsidR="00E71B2D">
        <w:rPr>
          <w:lang w:val="lv-LV"/>
        </w:rPr>
        <w:t> </w:t>
      </w:r>
      <w:r w:rsidRPr="00BC45A3">
        <w:rPr>
          <w:lang w:val="lv-LV"/>
        </w:rPr>
        <w:t xml:space="preserve">„SAFI CONSULTING” drošības naudu 70 </w:t>
      </w:r>
      <w:r w:rsidRPr="00BC45A3">
        <w:rPr>
          <w:i/>
          <w:lang w:val="lv-LV"/>
        </w:rPr>
        <w:t>euro</w:t>
      </w:r>
      <w:r w:rsidRPr="00BC45A3">
        <w:rPr>
          <w:lang w:val="lv-LV"/>
        </w:rPr>
        <w:t>.</w:t>
      </w:r>
    </w:p>
    <w:p w14:paraId="56E83059" w14:textId="77777777" w:rsidR="00C57933" w:rsidRPr="00BC45A3" w:rsidRDefault="0064252D" w:rsidP="00B35555">
      <w:pPr>
        <w:spacing w:after="0" w:line="276" w:lineRule="auto"/>
        <w:ind w:left="720" w:right="0" w:firstLine="0"/>
        <w:jc w:val="left"/>
        <w:rPr>
          <w:lang w:val="lv-LV"/>
        </w:rPr>
      </w:pPr>
      <w:r w:rsidRPr="00BC45A3">
        <w:rPr>
          <w:lang w:val="lv-LV"/>
        </w:rPr>
        <w:t xml:space="preserve"> </w:t>
      </w:r>
    </w:p>
    <w:p w14:paraId="2493A797" w14:textId="77777777" w:rsidR="00C57933" w:rsidRPr="00BC45A3" w:rsidRDefault="0064252D" w:rsidP="00B35555">
      <w:pPr>
        <w:spacing w:after="0" w:line="276" w:lineRule="auto"/>
        <w:ind w:right="0" w:firstLine="720"/>
        <w:rPr>
          <w:lang w:val="lv-LV"/>
        </w:rPr>
      </w:pPr>
      <w:r w:rsidRPr="00BC45A3">
        <w:rPr>
          <w:lang w:val="lv-LV"/>
        </w:rPr>
        <w:t>Spriedums nav pārsūdzams.</w:t>
      </w:r>
    </w:p>
    <w:p w14:paraId="4F911CDA" w14:textId="77777777" w:rsidR="00C57933" w:rsidRPr="00BC45A3" w:rsidRDefault="0064252D" w:rsidP="00B35555">
      <w:pPr>
        <w:spacing w:after="0" w:line="276" w:lineRule="auto"/>
        <w:ind w:right="0" w:firstLine="0"/>
        <w:jc w:val="left"/>
        <w:rPr>
          <w:lang w:val="lv-LV"/>
        </w:rPr>
      </w:pPr>
      <w:r w:rsidRPr="00BC45A3">
        <w:rPr>
          <w:lang w:val="lv-LV"/>
        </w:rPr>
        <w:t xml:space="preserve"> </w:t>
      </w:r>
    </w:p>
    <w:p w14:paraId="0D0CBE9A" w14:textId="77777777" w:rsidR="00C57933" w:rsidRPr="00BC45A3" w:rsidRDefault="0064252D" w:rsidP="00344A62">
      <w:pPr>
        <w:spacing w:after="0" w:line="276" w:lineRule="auto"/>
        <w:ind w:right="0" w:firstLine="0"/>
        <w:jc w:val="left"/>
        <w:rPr>
          <w:lang w:val="lv-LV"/>
        </w:rPr>
      </w:pPr>
      <w:r w:rsidRPr="00BC45A3">
        <w:rPr>
          <w:lang w:val="lv-LV"/>
        </w:rPr>
        <w:t xml:space="preserve"> </w:t>
      </w:r>
    </w:p>
    <w:p w14:paraId="35352C91" w14:textId="577BE85D" w:rsidR="00C57933" w:rsidRDefault="00C57933" w:rsidP="00344A62">
      <w:pPr>
        <w:spacing w:after="0" w:line="276" w:lineRule="auto"/>
        <w:ind w:right="0" w:firstLine="0"/>
        <w:jc w:val="left"/>
        <w:rPr>
          <w:lang w:val="lv-LV"/>
        </w:rPr>
      </w:pPr>
    </w:p>
    <w:sectPr w:rsidR="00C57933" w:rsidSect="004020C1">
      <w:footerReference w:type="even" r:id="rId13"/>
      <w:footerReference w:type="default" r:id="rId14"/>
      <w:footerReference w:type="first" r:id="rId15"/>
      <w:pgSz w:w="11900" w:h="16840"/>
      <w:pgMar w:top="1134" w:right="170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F5F8" w14:textId="77777777" w:rsidR="003358E6" w:rsidRDefault="003358E6">
      <w:pPr>
        <w:spacing w:after="0" w:line="240" w:lineRule="auto"/>
      </w:pPr>
      <w:r>
        <w:separator/>
      </w:r>
    </w:p>
  </w:endnote>
  <w:endnote w:type="continuationSeparator" w:id="0">
    <w:p w14:paraId="3013B91A" w14:textId="77777777" w:rsidR="003358E6" w:rsidRDefault="0033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B49D" w14:textId="77777777" w:rsidR="00C57933" w:rsidRDefault="0064252D">
    <w:pPr>
      <w:spacing w:after="0" w:line="259" w:lineRule="auto"/>
      <w:ind w:left="1"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E2B0" w14:textId="72685BCC" w:rsidR="00C57933" w:rsidRPr="004020C1" w:rsidRDefault="0064252D">
    <w:pPr>
      <w:spacing w:after="0" w:line="259" w:lineRule="auto"/>
      <w:ind w:left="1" w:right="0" w:firstLine="0"/>
      <w:jc w:val="center"/>
      <w:rPr>
        <w:sz w:val="20"/>
        <w:szCs w:val="20"/>
      </w:rPr>
    </w:pPr>
    <w:r w:rsidRPr="004020C1">
      <w:rPr>
        <w:sz w:val="20"/>
        <w:szCs w:val="20"/>
      </w:rPr>
      <w:fldChar w:fldCharType="begin"/>
    </w:r>
    <w:r w:rsidRPr="004020C1">
      <w:rPr>
        <w:sz w:val="20"/>
        <w:szCs w:val="20"/>
      </w:rPr>
      <w:instrText xml:space="preserve"> PAGE   \* MERGEFORMAT </w:instrText>
    </w:r>
    <w:r w:rsidRPr="004020C1">
      <w:rPr>
        <w:sz w:val="20"/>
        <w:szCs w:val="20"/>
      </w:rPr>
      <w:fldChar w:fldCharType="separate"/>
    </w:r>
    <w:r w:rsidRPr="004020C1">
      <w:rPr>
        <w:sz w:val="20"/>
        <w:szCs w:val="20"/>
      </w:rPr>
      <w:t>2</w:t>
    </w:r>
    <w:r w:rsidRPr="004020C1">
      <w:rPr>
        <w:sz w:val="20"/>
        <w:szCs w:val="20"/>
      </w:rPr>
      <w:fldChar w:fldCharType="end"/>
    </w:r>
    <w:r w:rsidR="004020C1">
      <w:rPr>
        <w:sz w:val="20"/>
        <w:szCs w:val="20"/>
      </w:rPr>
      <w:t xml:space="preserve"> no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E1BA" w14:textId="77777777" w:rsidR="00C57933" w:rsidRDefault="00C5793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B5E1" w14:textId="77777777" w:rsidR="003358E6" w:rsidRDefault="003358E6">
      <w:pPr>
        <w:spacing w:after="0" w:line="240" w:lineRule="auto"/>
      </w:pPr>
      <w:r>
        <w:separator/>
      </w:r>
    </w:p>
  </w:footnote>
  <w:footnote w:type="continuationSeparator" w:id="0">
    <w:p w14:paraId="062DDE14" w14:textId="77777777" w:rsidR="003358E6" w:rsidRDefault="0033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AC6"/>
    <w:multiLevelType w:val="hybridMultilevel"/>
    <w:tmpl w:val="0F64C608"/>
    <w:lvl w:ilvl="0" w:tplc="A5A2A8B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A6C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89E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6BD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016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06B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4F0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482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8137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2C54F2"/>
    <w:multiLevelType w:val="hybridMultilevel"/>
    <w:tmpl w:val="106418F2"/>
    <w:lvl w:ilvl="0" w:tplc="50508EF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2B4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E4A8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A08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6BC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CEE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AEE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ED2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65E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AA770B"/>
    <w:multiLevelType w:val="hybridMultilevel"/>
    <w:tmpl w:val="5FAA882A"/>
    <w:lvl w:ilvl="0" w:tplc="26B2DE0A">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60E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465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EB8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237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8F49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09C5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405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AD3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1D6A12"/>
    <w:multiLevelType w:val="hybridMultilevel"/>
    <w:tmpl w:val="1BBAFB68"/>
    <w:lvl w:ilvl="0" w:tplc="7A28B4EA">
      <w:start w:val="8"/>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48BC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097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D1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C01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CBED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431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45B6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5D0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181467"/>
    <w:multiLevelType w:val="hybridMultilevel"/>
    <w:tmpl w:val="BFEAF496"/>
    <w:lvl w:ilvl="0" w:tplc="C07ABCD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A6F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91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C56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275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24A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49B6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4DF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E5B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B51600"/>
    <w:multiLevelType w:val="multilevel"/>
    <w:tmpl w:val="4BE8769C"/>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24690"/>
    <w:multiLevelType w:val="multilevel"/>
    <w:tmpl w:val="94B42CB8"/>
    <w:lvl w:ilvl="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5835113">
    <w:abstractNumId w:val="5"/>
  </w:num>
  <w:num w:numId="2" w16cid:durableId="207911630">
    <w:abstractNumId w:val="6"/>
  </w:num>
  <w:num w:numId="3" w16cid:durableId="1805342227">
    <w:abstractNumId w:val="4"/>
  </w:num>
  <w:num w:numId="4" w16cid:durableId="101924424">
    <w:abstractNumId w:val="3"/>
  </w:num>
  <w:num w:numId="5" w16cid:durableId="379480571">
    <w:abstractNumId w:val="0"/>
  </w:num>
  <w:num w:numId="6" w16cid:durableId="1605335549">
    <w:abstractNumId w:val="2"/>
  </w:num>
  <w:num w:numId="7" w16cid:durableId="106367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33"/>
    <w:rsid w:val="000118AE"/>
    <w:rsid w:val="00052449"/>
    <w:rsid w:val="00094A63"/>
    <w:rsid w:val="000A636F"/>
    <w:rsid w:val="000B6D04"/>
    <w:rsid w:val="000C639C"/>
    <w:rsid w:val="000F022D"/>
    <w:rsid w:val="00191A3F"/>
    <w:rsid w:val="001C7468"/>
    <w:rsid w:val="001D1353"/>
    <w:rsid w:val="001E45FB"/>
    <w:rsid w:val="001E55E2"/>
    <w:rsid w:val="001F61F3"/>
    <w:rsid w:val="00222329"/>
    <w:rsid w:val="00225E28"/>
    <w:rsid w:val="00245E02"/>
    <w:rsid w:val="00252441"/>
    <w:rsid w:val="002A69E7"/>
    <w:rsid w:val="002D331E"/>
    <w:rsid w:val="002E5102"/>
    <w:rsid w:val="003018A6"/>
    <w:rsid w:val="00321163"/>
    <w:rsid w:val="003358E6"/>
    <w:rsid w:val="00344A62"/>
    <w:rsid w:val="003907B0"/>
    <w:rsid w:val="003974F2"/>
    <w:rsid w:val="003D5D76"/>
    <w:rsid w:val="003D6FA9"/>
    <w:rsid w:val="004020C1"/>
    <w:rsid w:val="004125FA"/>
    <w:rsid w:val="00421692"/>
    <w:rsid w:val="00432357"/>
    <w:rsid w:val="004367C4"/>
    <w:rsid w:val="00443802"/>
    <w:rsid w:val="004B6CD4"/>
    <w:rsid w:val="004B755B"/>
    <w:rsid w:val="00501E8B"/>
    <w:rsid w:val="00506C54"/>
    <w:rsid w:val="0051369F"/>
    <w:rsid w:val="00532627"/>
    <w:rsid w:val="005763E7"/>
    <w:rsid w:val="005B2CD3"/>
    <w:rsid w:val="00601C9A"/>
    <w:rsid w:val="006058E2"/>
    <w:rsid w:val="0061485C"/>
    <w:rsid w:val="0064252D"/>
    <w:rsid w:val="00663214"/>
    <w:rsid w:val="00674D71"/>
    <w:rsid w:val="006B64D6"/>
    <w:rsid w:val="006F0EB1"/>
    <w:rsid w:val="006F156B"/>
    <w:rsid w:val="00722604"/>
    <w:rsid w:val="0074482C"/>
    <w:rsid w:val="00761A0C"/>
    <w:rsid w:val="007713FF"/>
    <w:rsid w:val="00771CE0"/>
    <w:rsid w:val="00794DAB"/>
    <w:rsid w:val="007F43EA"/>
    <w:rsid w:val="0080297F"/>
    <w:rsid w:val="00803354"/>
    <w:rsid w:val="00833CAF"/>
    <w:rsid w:val="00865212"/>
    <w:rsid w:val="00866536"/>
    <w:rsid w:val="00897093"/>
    <w:rsid w:val="008F244A"/>
    <w:rsid w:val="0096334A"/>
    <w:rsid w:val="009C4AC5"/>
    <w:rsid w:val="00A85BD1"/>
    <w:rsid w:val="00AA31E8"/>
    <w:rsid w:val="00AC239C"/>
    <w:rsid w:val="00AC6DF2"/>
    <w:rsid w:val="00B0119C"/>
    <w:rsid w:val="00B059EB"/>
    <w:rsid w:val="00B21CCF"/>
    <w:rsid w:val="00B2507C"/>
    <w:rsid w:val="00B35555"/>
    <w:rsid w:val="00B46C37"/>
    <w:rsid w:val="00B7718B"/>
    <w:rsid w:val="00BC45A3"/>
    <w:rsid w:val="00BC71F4"/>
    <w:rsid w:val="00BE6D27"/>
    <w:rsid w:val="00C57933"/>
    <w:rsid w:val="00C74252"/>
    <w:rsid w:val="00C86011"/>
    <w:rsid w:val="00D07347"/>
    <w:rsid w:val="00D143A9"/>
    <w:rsid w:val="00D60BA1"/>
    <w:rsid w:val="00DD34AE"/>
    <w:rsid w:val="00DD6886"/>
    <w:rsid w:val="00DF2D5B"/>
    <w:rsid w:val="00E27683"/>
    <w:rsid w:val="00E41AAA"/>
    <w:rsid w:val="00E71B2D"/>
    <w:rsid w:val="00F0281F"/>
    <w:rsid w:val="00F05238"/>
    <w:rsid w:val="00F110AE"/>
    <w:rsid w:val="00F15907"/>
    <w:rsid w:val="00F86524"/>
    <w:rsid w:val="00FA356E"/>
    <w:rsid w:val="00FF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4" w:lineRule="auto"/>
      <w:ind w:right="6"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9" w:line="259" w:lineRule="auto"/>
      <w:ind w:left="10" w:right="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0" w:line="267" w:lineRule="auto"/>
      <w:ind w:left="73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styleId="Hyperlink">
    <w:name w:val="Hyperlink"/>
    <w:basedOn w:val="DefaultParagraphFont"/>
    <w:uiPriority w:val="99"/>
    <w:unhideWhenUsed/>
    <w:rsid w:val="0051369F"/>
    <w:rPr>
      <w:color w:val="0563C1" w:themeColor="hyperlink"/>
      <w:u w:val="single"/>
    </w:rPr>
  </w:style>
  <w:style w:type="paragraph" w:styleId="NormalWeb">
    <w:name w:val="Normal (Web)"/>
    <w:basedOn w:val="Normal"/>
    <w:uiPriority w:val="99"/>
    <w:rsid w:val="00252441"/>
    <w:pPr>
      <w:spacing w:before="100" w:beforeAutospacing="1" w:after="100" w:afterAutospacing="1" w:line="240" w:lineRule="auto"/>
      <w:ind w:right="0" w:firstLine="0"/>
      <w:jc w:val="left"/>
    </w:pPr>
    <w:rPr>
      <w:color w:val="auto"/>
      <w:kern w:val="0"/>
      <w:lang w:val="lv-LV" w:eastAsia="lv-LV"/>
      <w14:ligatures w14:val="none"/>
    </w:rPr>
  </w:style>
  <w:style w:type="character" w:styleId="UnresolvedMention">
    <w:name w:val="Unresolved Mention"/>
    <w:basedOn w:val="DefaultParagraphFont"/>
    <w:uiPriority w:val="99"/>
    <w:semiHidden/>
    <w:unhideWhenUsed/>
    <w:rsid w:val="00F0281F"/>
    <w:rPr>
      <w:color w:val="605E5C"/>
      <w:shd w:val="clear" w:color="auto" w:fill="E1DFDD"/>
    </w:rPr>
  </w:style>
  <w:style w:type="character" w:styleId="FollowedHyperlink">
    <w:name w:val="FollowedHyperlink"/>
    <w:basedOn w:val="DefaultParagraphFont"/>
    <w:uiPriority w:val="99"/>
    <w:semiHidden/>
    <w:unhideWhenUsed/>
    <w:rsid w:val="00803354"/>
    <w:rPr>
      <w:color w:val="954F72" w:themeColor="followedHyperlink"/>
      <w:u w:val="single"/>
    </w:rPr>
  </w:style>
  <w:style w:type="table" w:styleId="TableGrid">
    <w:name w:val="Table Grid"/>
    <w:basedOn w:val="TableNormal"/>
    <w:uiPriority w:val="39"/>
    <w:rsid w:val="00C8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C1"/>
    <w:rPr>
      <w:rFonts w:ascii="Times New Roman" w:eastAsia="Times New Roman" w:hAnsi="Times New Roman" w:cs="Times New Roman"/>
      <w:color w:val="000000"/>
    </w:rPr>
  </w:style>
  <w:style w:type="paragraph" w:styleId="Footer">
    <w:name w:val="footer"/>
    <w:basedOn w:val="Normal"/>
    <w:link w:val="FooterChar"/>
    <w:uiPriority w:val="99"/>
    <w:unhideWhenUsed/>
    <w:rsid w:val="0096334A"/>
    <w:pPr>
      <w:tabs>
        <w:tab w:val="center" w:pos="4680"/>
        <w:tab w:val="right" w:pos="9360"/>
      </w:tabs>
      <w:spacing w:after="0" w:line="240" w:lineRule="auto"/>
      <w:ind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96334A"/>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615">
      <w:bodyDiv w:val="1"/>
      <w:marLeft w:val="0"/>
      <w:marRight w:val="0"/>
      <w:marTop w:val="0"/>
      <w:marBottom w:val="0"/>
      <w:divBdr>
        <w:top w:val="none" w:sz="0" w:space="0" w:color="auto"/>
        <w:left w:val="none" w:sz="0" w:space="0" w:color="auto"/>
        <w:bottom w:val="none" w:sz="0" w:space="0" w:color="auto"/>
        <w:right w:val="none" w:sz="0" w:space="0" w:color="auto"/>
      </w:divBdr>
    </w:div>
    <w:div w:id="840245256">
      <w:bodyDiv w:val="1"/>
      <w:marLeft w:val="0"/>
      <w:marRight w:val="0"/>
      <w:marTop w:val="0"/>
      <w:marBottom w:val="0"/>
      <w:divBdr>
        <w:top w:val="none" w:sz="0" w:space="0" w:color="auto"/>
        <w:left w:val="none" w:sz="0" w:space="0" w:color="auto"/>
        <w:bottom w:val="none" w:sz="0" w:space="0" w:color="auto"/>
        <w:right w:val="none" w:sz="0" w:space="0" w:color="auto"/>
      </w:divBdr>
    </w:div>
    <w:div w:id="1267426049">
      <w:bodyDiv w:val="1"/>
      <w:marLeft w:val="0"/>
      <w:marRight w:val="0"/>
      <w:marTop w:val="0"/>
      <w:marBottom w:val="0"/>
      <w:divBdr>
        <w:top w:val="none" w:sz="0" w:space="0" w:color="auto"/>
        <w:left w:val="none" w:sz="0" w:space="0" w:color="auto"/>
        <w:bottom w:val="none" w:sz="0" w:space="0" w:color="auto"/>
        <w:right w:val="none" w:sz="0" w:space="0" w:color="auto"/>
      </w:divBdr>
    </w:div>
    <w:div w:id="1673096833">
      <w:bodyDiv w:val="1"/>
      <w:marLeft w:val="0"/>
      <w:marRight w:val="0"/>
      <w:marTop w:val="0"/>
      <w:marBottom w:val="0"/>
      <w:divBdr>
        <w:top w:val="none" w:sz="0" w:space="0" w:color="auto"/>
        <w:left w:val="none" w:sz="0" w:space="0" w:color="auto"/>
        <w:bottom w:val="none" w:sz="0" w:space="0" w:color="auto"/>
        <w:right w:val="none" w:sz="0" w:space="0" w:color="auto"/>
      </w:divBdr>
    </w:div>
    <w:div w:id="1701320218">
      <w:bodyDiv w:val="1"/>
      <w:marLeft w:val="0"/>
      <w:marRight w:val="0"/>
      <w:marTop w:val="0"/>
      <w:marBottom w:val="0"/>
      <w:divBdr>
        <w:top w:val="none" w:sz="0" w:space="0" w:color="auto"/>
        <w:left w:val="none" w:sz="0" w:space="0" w:color="auto"/>
        <w:bottom w:val="none" w:sz="0" w:space="0" w:color="auto"/>
        <w:right w:val="none" w:sz="0" w:space="0" w:color="auto"/>
      </w:divBdr>
    </w:div>
    <w:div w:id="1711145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6121-par-administrativa-procesa-likuma-253-panta-tresas-dalas-atbilstibu-latvijas-republikas-satversmes-92-panta-pirmajam-teikuma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6b5406fe-512b-48cd-899f-c01c50148c51" TargetMode="External"/><Relationship Id="rId12" Type="http://schemas.openxmlformats.org/officeDocument/2006/relationships/hyperlink" Target="https://manas.tiesas.lv/eTiesasMvc/eclinolemumi/ECLI:LV:AT:2024:1126.A420170320.10.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4:1220.A420312417.40.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manas.tiesas.lv/eTiesasMvc/nolemumi/pdf/204580.pdf"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4:1220.A420312417.40.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11518</Words>
  <Characters>6566</Characters>
  <Application>Microsoft Office Word</Application>
  <DocSecurity>0</DocSecurity>
  <Lines>54</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2025-05-09T11:21:00Z</dcterms:created>
  <dcterms:modified xsi:type="dcterms:W3CDTF">2025-08-28T13:28:00Z</dcterms:modified>
</cp:coreProperties>
</file>