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3B6D8" w14:textId="77777777" w:rsidR="003000F9" w:rsidRPr="00B64B9F" w:rsidRDefault="003000F9" w:rsidP="00B64B9F">
      <w:pPr>
        <w:pStyle w:val="Default"/>
        <w:spacing w:line="276" w:lineRule="auto"/>
        <w:jc w:val="both"/>
        <w:rPr>
          <w:b/>
          <w:bCs/>
        </w:rPr>
      </w:pPr>
      <w:r w:rsidRPr="00B64B9F">
        <w:rPr>
          <w:b/>
          <w:bCs/>
        </w:rPr>
        <w:t xml:space="preserve">Aizskartā mantas īpašnieka subjektīvās tiesības prasīt atlīdzinājumu pirms kriminālprocess noslēdzies </w:t>
      </w:r>
    </w:p>
    <w:p w14:paraId="7F01CEF0" w14:textId="146B8B13" w:rsidR="007D376D" w:rsidRPr="00B64B9F" w:rsidRDefault="003000F9" w:rsidP="00B64B9F">
      <w:pPr>
        <w:pStyle w:val="Default"/>
        <w:spacing w:line="276" w:lineRule="auto"/>
        <w:jc w:val="both"/>
      </w:pPr>
      <w:r w:rsidRPr="00B64B9F">
        <w:t xml:space="preserve">Gadījumā, ja ir stājies spēkā tiesas lēmums par procesa par noziedzīgi iegūtu mantu izbeigšanu, bet kriminālprocess vēl turpinās, nav konstatējams kāds no Kriminālprocesā un administratīvo pārkāpumu lietvedībā nodarītā kaitējuma atlīdzināšanas likuma 4.panta pirmajā daļā minētajiem kaitējuma atlīdzināšanas tiesiskajiem pamatiem, kas pamatotu aizskartajam mantas īpašniekam tiesības vērsties tiesā ar pieteikumu, proti, nav noslēdzošā lēmuma kriminālprocesā.  </w:t>
      </w:r>
    </w:p>
    <w:p w14:paraId="036CB7AA" w14:textId="4C6494CC" w:rsidR="007D376D" w:rsidRPr="00B64B9F" w:rsidRDefault="007D376D" w:rsidP="00B64B9F">
      <w:pPr>
        <w:spacing w:before="240" w:line="276" w:lineRule="auto"/>
        <w:jc w:val="center"/>
        <w:rPr>
          <w:b/>
        </w:rPr>
      </w:pPr>
      <w:r w:rsidRPr="00B64B9F">
        <w:rPr>
          <w:b/>
        </w:rPr>
        <w:t>Latvijas Republikas Senāt</w:t>
      </w:r>
      <w:r w:rsidR="003000F9" w:rsidRPr="00B64B9F">
        <w:rPr>
          <w:b/>
        </w:rPr>
        <w:t>a</w:t>
      </w:r>
      <w:r w:rsidR="003000F9" w:rsidRPr="00B64B9F">
        <w:rPr>
          <w:b/>
        </w:rPr>
        <w:br/>
        <w:t>Administratīvo lietu departamenta</w:t>
      </w:r>
      <w:r w:rsidR="003000F9" w:rsidRPr="00B64B9F">
        <w:rPr>
          <w:b/>
        </w:rPr>
        <w:br/>
        <w:t>2025.gada 27.marta</w:t>
      </w:r>
    </w:p>
    <w:p w14:paraId="0DE5BD2F" w14:textId="77777777" w:rsidR="003000F9" w:rsidRPr="00B64B9F" w:rsidRDefault="00BA57C4" w:rsidP="00B64B9F">
      <w:pPr>
        <w:spacing w:line="276" w:lineRule="auto"/>
        <w:contextualSpacing/>
        <w:jc w:val="center"/>
        <w:rPr>
          <w:b/>
        </w:rPr>
      </w:pPr>
      <w:r w:rsidRPr="00B64B9F">
        <w:rPr>
          <w:b/>
        </w:rPr>
        <w:t>LĒMUMS</w:t>
      </w:r>
    </w:p>
    <w:p w14:paraId="6804E28C" w14:textId="784CC233" w:rsidR="003000F9" w:rsidRPr="003000F9" w:rsidRDefault="003000F9" w:rsidP="00B64B9F">
      <w:pPr>
        <w:spacing w:line="276" w:lineRule="auto"/>
        <w:contextualSpacing/>
        <w:jc w:val="center"/>
        <w:rPr>
          <w:b/>
          <w:bCs/>
        </w:rPr>
      </w:pPr>
      <w:r w:rsidRPr="00B64B9F">
        <w:rPr>
          <w:b/>
          <w:bCs/>
        </w:rPr>
        <w:t>Lieta Nr. 680035424</w:t>
      </w:r>
      <w:r w:rsidRPr="00B64B9F">
        <w:rPr>
          <w:b/>
          <w:bCs/>
          <w:lang w:eastAsia="lv-LV"/>
        </w:rPr>
        <w:t>, SKA-338/2025</w:t>
      </w:r>
    </w:p>
    <w:p w14:paraId="603F696D" w14:textId="57513AD3" w:rsidR="003000F9" w:rsidRPr="00B64B9F" w:rsidRDefault="003000F9" w:rsidP="00B64B9F">
      <w:pPr>
        <w:spacing w:line="276" w:lineRule="auto"/>
        <w:contextualSpacing/>
        <w:jc w:val="center"/>
        <w:rPr>
          <w:b/>
        </w:rPr>
      </w:pPr>
      <w:r w:rsidRPr="00B64B9F">
        <w:rPr>
          <w:rFonts w:eastAsiaTheme="minorHAnsi"/>
          <w:color w:val="000000"/>
          <w:lang w:eastAsia="en-US"/>
        </w:rPr>
        <w:t xml:space="preserve"> </w:t>
      </w:r>
      <w:hyperlink r:id="rId8" w:history="1">
        <w:r w:rsidRPr="00292E4D">
          <w:rPr>
            <w:rStyle w:val="Hyperlink"/>
            <w:rFonts w:eastAsiaTheme="minorHAnsi"/>
            <w:lang w:eastAsia="en-US"/>
          </w:rPr>
          <w:t>ECLI:LV:AT:2025:0327.SK</w:t>
        </w:r>
        <w:r w:rsidRPr="00292E4D">
          <w:rPr>
            <w:rStyle w:val="Hyperlink"/>
            <w:rFonts w:eastAsiaTheme="minorHAnsi"/>
            <w:lang w:eastAsia="en-US"/>
          </w:rPr>
          <w:t>A033825.5.L</w:t>
        </w:r>
      </w:hyperlink>
    </w:p>
    <w:p w14:paraId="3F9C3441" w14:textId="77777777" w:rsidR="00BA57C4" w:rsidRPr="00B64B9F" w:rsidRDefault="00BA57C4" w:rsidP="00B64B9F">
      <w:pPr>
        <w:spacing w:line="276" w:lineRule="auto"/>
        <w:ind w:firstLine="720"/>
        <w:contextualSpacing/>
        <w:jc w:val="both"/>
      </w:pPr>
    </w:p>
    <w:p w14:paraId="6C997E38" w14:textId="26D40638" w:rsidR="00213993" w:rsidRPr="00B64B9F" w:rsidRDefault="00213993" w:rsidP="00B64B9F">
      <w:pPr>
        <w:spacing w:line="276" w:lineRule="auto"/>
        <w:ind w:firstLine="720"/>
        <w:contextualSpacing/>
        <w:jc w:val="both"/>
      </w:pPr>
      <w:r w:rsidRPr="00B64B9F">
        <w:t>Senāts šādā sastāvā: senatore referente Līvija Slica, senatori Jānis Pleps</w:t>
      </w:r>
      <w:r w:rsidR="00F150F5" w:rsidRPr="00B64B9F">
        <w:t xml:space="preserve"> un Ieva Višķere</w:t>
      </w:r>
    </w:p>
    <w:p w14:paraId="651A4B48" w14:textId="77777777" w:rsidR="00213993" w:rsidRPr="00B64B9F" w:rsidRDefault="00213993" w:rsidP="00B64B9F">
      <w:pPr>
        <w:spacing w:line="276" w:lineRule="auto"/>
        <w:ind w:firstLine="720"/>
        <w:contextualSpacing/>
        <w:jc w:val="both"/>
      </w:pPr>
    </w:p>
    <w:p w14:paraId="36DC4CD7" w14:textId="3394C7C2" w:rsidR="00213993" w:rsidRPr="00B64B9F" w:rsidRDefault="00910787" w:rsidP="00B64B9F">
      <w:pPr>
        <w:spacing w:line="276" w:lineRule="auto"/>
        <w:ind w:firstLine="720"/>
        <w:contextualSpacing/>
        <w:jc w:val="both"/>
      </w:pPr>
      <w:r w:rsidRPr="00B64B9F">
        <w:t>r</w:t>
      </w:r>
      <w:r w:rsidR="00213993" w:rsidRPr="00B64B9F">
        <w:t xml:space="preserve">akstveida procesā izskatīja </w:t>
      </w:r>
      <w:r w:rsidR="003000F9" w:rsidRPr="00B64B9F">
        <w:t xml:space="preserve">[pers. A] </w:t>
      </w:r>
      <w:r w:rsidR="00632A6A" w:rsidRPr="00B64B9F">
        <w:t>(</w:t>
      </w:r>
      <w:r w:rsidR="003000F9" w:rsidRPr="00B64B9F">
        <w:rPr>
          <w:i/>
          <w:iCs/>
        </w:rPr>
        <w:t>[pers. A]</w:t>
      </w:r>
      <w:r w:rsidR="00632A6A" w:rsidRPr="00B64B9F">
        <w:t xml:space="preserve">) </w:t>
      </w:r>
      <w:r w:rsidR="00213993" w:rsidRPr="00B64B9F">
        <w:t xml:space="preserve">blakus sūdzību </w:t>
      </w:r>
      <w:r w:rsidR="00213993" w:rsidRPr="00B64B9F">
        <w:rPr>
          <w:color w:val="000000"/>
        </w:rPr>
        <w:t xml:space="preserve">par Administratīvās rajona tiesas </w:t>
      </w:r>
      <w:r w:rsidR="00632A6A" w:rsidRPr="00B64B9F">
        <w:rPr>
          <w:color w:val="000000"/>
        </w:rPr>
        <w:t xml:space="preserve">tiesneša </w:t>
      </w:r>
      <w:r w:rsidR="00213993" w:rsidRPr="00B64B9F">
        <w:rPr>
          <w:color w:val="000000"/>
        </w:rPr>
        <w:t>202</w:t>
      </w:r>
      <w:r w:rsidR="00632A6A" w:rsidRPr="00B64B9F">
        <w:rPr>
          <w:color w:val="000000"/>
        </w:rPr>
        <w:t>4</w:t>
      </w:r>
      <w:r w:rsidR="00213993" w:rsidRPr="00B64B9F">
        <w:rPr>
          <w:color w:val="000000"/>
        </w:rPr>
        <w:t xml:space="preserve">.gada </w:t>
      </w:r>
      <w:r w:rsidR="00632A6A" w:rsidRPr="00B64B9F">
        <w:rPr>
          <w:color w:val="000000"/>
        </w:rPr>
        <w:t>27</w:t>
      </w:r>
      <w:r w:rsidR="00213993" w:rsidRPr="00B64B9F">
        <w:rPr>
          <w:color w:val="000000"/>
        </w:rPr>
        <w:t>.</w:t>
      </w:r>
      <w:r w:rsidR="00632A6A" w:rsidRPr="00B64B9F">
        <w:rPr>
          <w:color w:val="000000"/>
        </w:rPr>
        <w:t>septembra</w:t>
      </w:r>
      <w:r w:rsidR="00213993" w:rsidRPr="00B64B9F">
        <w:rPr>
          <w:color w:val="000000"/>
        </w:rPr>
        <w:t xml:space="preserve"> lēmumu, ar kuru </w:t>
      </w:r>
      <w:r w:rsidR="00632A6A" w:rsidRPr="00B64B9F">
        <w:rPr>
          <w:color w:val="000000"/>
        </w:rPr>
        <w:t xml:space="preserve">atteikts pieņemt </w:t>
      </w:r>
      <w:r w:rsidR="003000F9" w:rsidRPr="00B64B9F">
        <w:t xml:space="preserve">[pers. A] </w:t>
      </w:r>
      <w:r w:rsidR="00632A6A" w:rsidRPr="00B64B9F">
        <w:rPr>
          <w:color w:val="000000"/>
        </w:rPr>
        <w:t>pieteikumu par labvēlīga administratīvā akta izdošanu, ar kuru pieteicējai tiktu atlīdzināt</w:t>
      </w:r>
      <w:r w:rsidR="000D1D8C" w:rsidRPr="00B64B9F">
        <w:rPr>
          <w:color w:val="000000"/>
        </w:rPr>
        <w:t>i</w:t>
      </w:r>
      <w:r w:rsidR="00632A6A" w:rsidRPr="00B64B9F">
        <w:rPr>
          <w:color w:val="000000"/>
        </w:rPr>
        <w:t xml:space="preserve"> zaudējum</w:t>
      </w:r>
      <w:r w:rsidR="000D1D8C" w:rsidRPr="00B64B9F">
        <w:rPr>
          <w:color w:val="000000"/>
        </w:rPr>
        <w:t>i</w:t>
      </w:r>
      <w:r w:rsidR="00632A6A" w:rsidRPr="00B64B9F">
        <w:rPr>
          <w:color w:val="000000"/>
        </w:rPr>
        <w:t xml:space="preserve"> 295 248,75 </w:t>
      </w:r>
      <w:r w:rsidR="00632A6A" w:rsidRPr="00B64B9F">
        <w:rPr>
          <w:i/>
          <w:iCs/>
          <w:color w:val="000000"/>
        </w:rPr>
        <w:t>euro</w:t>
      </w:r>
      <w:r w:rsidR="00632A6A" w:rsidRPr="00B64B9F">
        <w:rPr>
          <w:color w:val="000000"/>
        </w:rPr>
        <w:t>, kas nodarīt</w:t>
      </w:r>
      <w:r w:rsidR="000D1D8C" w:rsidRPr="00B64B9F">
        <w:rPr>
          <w:color w:val="000000"/>
        </w:rPr>
        <w:t>i</w:t>
      </w:r>
      <w:r w:rsidR="00632A6A" w:rsidRPr="00B64B9F">
        <w:rPr>
          <w:color w:val="000000"/>
        </w:rPr>
        <w:t xml:space="preserve"> ar nepamatoto mantas arestu kriminālprocesā Nr. 11816000419</w:t>
      </w:r>
      <w:r w:rsidR="00213993" w:rsidRPr="00B64B9F">
        <w:rPr>
          <w:color w:val="000000"/>
        </w:rPr>
        <w:t>.</w:t>
      </w:r>
    </w:p>
    <w:p w14:paraId="35914278" w14:textId="77777777" w:rsidR="00213993" w:rsidRPr="00B64B9F" w:rsidRDefault="00213993" w:rsidP="00B64B9F">
      <w:pPr>
        <w:spacing w:line="276" w:lineRule="auto"/>
        <w:ind w:firstLine="720"/>
        <w:contextualSpacing/>
        <w:jc w:val="both"/>
      </w:pPr>
    </w:p>
    <w:p w14:paraId="41AC4B70" w14:textId="63971B15" w:rsidR="00616FD6" w:rsidRPr="00B64B9F" w:rsidRDefault="00213993" w:rsidP="00B64B9F">
      <w:pPr>
        <w:spacing w:line="276" w:lineRule="auto"/>
        <w:jc w:val="center"/>
        <w:rPr>
          <w:b/>
        </w:rPr>
      </w:pPr>
      <w:r w:rsidRPr="00B64B9F">
        <w:rPr>
          <w:b/>
        </w:rPr>
        <w:t>Aprakstošā daļa</w:t>
      </w:r>
    </w:p>
    <w:p w14:paraId="1C3C7E03" w14:textId="77777777" w:rsidR="00213993" w:rsidRPr="00B64B9F" w:rsidRDefault="00213993" w:rsidP="00B64B9F">
      <w:pPr>
        <w:spacing w:line="276" w:lineRule="auto"/>
        <w:ind w:firstLine="720"/>
        <w:jc w:val="center"/>
        <w:rPr>
          <w:color w:val="000000"/>
        </w:rPr>
      </w:pPr>
    </w:p>
    <w:p w14:paraId="451B0B42" w14:textId="019875CB" w:rsidR="00D46588" w:rsidRPr="00B64B9F" w:rsidRDefault="00213993" w:rsidP="00B64B9F">
      <w:pPr>
        <w:spacing w:line="276" w:lineRule="auto"/>
        <w:ind w:firstLine="720"/>
        <w:jc w:val="both"/>
      </w:pPr>
      <w:r w:rsidRPr="00B64B9F">
        <w:t>[1] </w:t>
      </w:r>
      <w:r w:rsidR="00706312" w:rsidRPr="00B64B9F">
        <w:t>Valsts policijas Galvenās Kriminālpolicijas pārvaldes Ekonomisko noziegumu apkarošanas pārvaldē (turpmāk – pārvalde) 2019.gada 10.janvārī uzsākts kriminālprocess Nr. 11816000419</w:t>
      </w:r>
      <w:r w:rsidR="000D1D8C" w:rsidRPr="00B64B9F">
        <w:t xml:space="preserve"> (turpmāk – kriminālprocess)</w:t>
      </w:r>
      <w:r w:rsidR="00706312" w:rsidRPr="00B64B9F">
        <w:t>, kura ietvaros 2020.gada 30.novembr</w:t>
      </w:r>
      <w:r w:rsidR="000D1D8C" w:rsidRPr="00B64B9F">
        <w:t>ī</w:t>
      </w:r>
      <w:r w:rsidR="00706312" w:rsidRPr="00B64B9F">
        <w:t xml:space="preserve"> uzlikts arests pieteicējas </w:t>
      </w:r>
      <w:r w:rsidR="003000F9" w:rsidRPr="00B64B9F">
        <w:t xml:space="preserve">[pers. A] </w:t>
      </w:r>
      <w:r w:rsidR="00706312" w:rsidRPr="00B64B9F">
        <w:t>mantai – finanšu līdzekļiem likvidējamajā AS „ABLV Bank”.</w:t>
      </w:r>
    </w:p>
    <w:p w14:paraId="713E593F" w14:textId="36153066" w:rsidR="00706312" w:rsidRPr="00B64B9F" w:rsidRDefault="00706312" w:rsidP="00B64B9F">
      <w:pPr>
        <w:spacing w:line="276" w:lineRule="auto"/>
        <w:ind w:firstLine="720"/>
        <w:jc w:val="both"/>
      </w:pPr>
      <w:r w:rsidRPr="00B64B9F">
        <w:t>Ar Rīgas pilsētas tiesas izmeklēšanas tiesne</w:t>
      </w:r>
      <w:r w:rsidR="000D1D8C" w:rsidRPr="00B64B9F">
        <w:t>ša lēmumiem</w:t>
      </w:r>
      <w:r w:rsidR="00FE51E7" w:rsidRPr="00B64B9F">
        <w:t xml:space="preserve"> apstiprināts procesa virzītāja lēmums par aresta uzlikšanu mantai un </w:t>
      </w:r>
      <w:r w:rsidR="000D1D8C" w:rsidRPr="00B64B9F">
        <w:t>aresta termiņš</w:t>
      </w:r>
      <w:r w:rsidR="00A55BDA" w:rsidRPr="00B64B9F">
        <w:t xml:space="preserve"> </w:t>
      </w:r>
      <w:r w:rsidR="00697DA3" w:rsidRPr="00B64B9F">
        <w:t>tika vairākkārt pagarināts, pēdējais termiņš tika noteikts līd</w:t>
      </w:r>
      <w:r w:rsidRPr="00B64B9F">
        <w:t>z 2023.gada 30.jūnijam.</w:t>
      </w:r>
    </w:p>
    <w:p w14:paraId="0BEE063C" w14:textId="5685EBF6" w:rsidR="00706312" w:rsidRPr="00B64B9F" w:rsidRDefault="00706312" w:rsidP="00B64B9F">
      <w:pPr>
        <w:spacing w:line="276" w:lineRule="auto"/>
        <w:ind w:firstLine="720"/>
        <w:jc w:val="both"/>
      </w:pPr>
      <w:r w:rsidRPr="00B64B9F">
        <w:t>Ar pārvaldes 1.nodaļas galvenā inspektor</w:t>
      </w:r>
      <w:r w:rsidR="00BB2971" w:rsidRPr="00B64B9F">
        <w:t>a</w:t>
      </w:r>
      <w:r w:rsidRPr="00B64B9F">
        <w:t xml:space="preserve"> 2023.gada 30.jūnija lēmumu uzsākts process par noziedzīgi iegūtu mantu un materiāl</w:t>
      </w:r>
      <w:r w:rsidR="00FE51E7" w:rsidRPr="00B64B9F">
        <w:t>i</w:t>
      </w:r>
      <w:r w:rsidRPr="00B64B9F">
        <w:t xml:space="preserve"> par noziedzīgi iegūtu mantu nodo</w:t>
      </w:r>
      <w:r w:rsidR="00FE51E7" w:rsidRPr="00B64B9F">
        <w:t>ti</w:t>
      </w:r>
      <w:r w:rsidRPr="00B64B9F">
        <w:t xml:space="preserve"> izlemšanai tiesai. Ekonomisko lietu tiesa </w:t>
      </w:r>
      <w:r w:rsidR="00697DA3" w:rsidRPr="00B64B9F">
        <w:t xml:space="preserve">ar </w:t>
      </w:r>
      <w:r w:rsidRPr="00B64B9F">
        <w:t>2023.gada 29.decembra lēmumu</w:t>
      </w:r>
      <w:r w:rsidR="00697DA3" w:rsidRPr="00B64B9F">
        <w:t xml:space="preserve"> izbeidza</w:t>
      </w:r>
      <w:r w:rsidRPr="00B64B9F">
        <w:t xml:space="preserve"> proces</w:t>
      </w:r>
      <w:r w:rsidR="00697DA3" w:rsidRPr="00B64B9F">
        <w:t>u</w:t>
      </w:r>
      <w:r w:rsidRPr="00B64B9F">
        <w:t xml:space="preserve"> par noziedzīgi iegūtu mantu.</w:t>
      </w:r>
    </w:p>
    <w:p w14:paraId="0E3950C5" w14:textId="6D979725" w:rsidR="00706312" w:rsidRPr="00B64B9F" w:rsidRDefault="00706312" w:rsidP="00B64B9F">
      <w:pPr>
        <w:spacing w:line="276" w:lineRule="auto"/>
        <w:ind w:firstLine="720"/>
        <w:jc w:val="both"/>
      </w:pPr>
      <w:r w:rsidRPr="00B64B9F">
        <w:t>Ar pārvaldes 1.nodaļas 2024.gada 17.janvāra lēmumu atcelts arests pieteicējas mantai un 2024.gada 18.janvārī pieņemts lēmums par kriminālprocesa izbeigšanu.</w:t>
      </w:r>
    </w:p>
    <w:p w14:paraId="6AEA00AB" w14:textId="5564A607" w:rsidR="00706312" w:rsidRPr="00B64B9F" w:rsidRDefault="00706312" w:rsidP="00B64B9F">
      <w:pPr>
        <w:spacing w:line="276" w:lineRule="auto"/>
        <w:ind w:firstLine="720"/>
        <w:jc w:val="both"/>
      </w:pPr>
      <w:r w:rsidRPr="00B64B9F">
        <w:t xml:space="preserve">Pieteicēja 2024.gada 3.maijā vērsās Ģenerālprokuratūrā ar iesniegumu par kriminālprocesā nodarītā kaitējuma atlīdzināšanu. Ģenerālprokuratūra </w:t>
      </w:r>
      <w:r w:rsidR="00A55BDA" w:rsidRPr="00B64B9F">
        <w:t xml:space="preserve">ar </w:t>
      </w:r>
      <w:r w:rsidRPr="00B64B9F">
        <w:t>2024.gada 7.jūlija lēmumu Nr. N</w:t>
      </w:r>
      <w:r w:rsidRPr="00B64B9F">
        <w:noBreakHyphen/>
        <w:t>131</w:t>
      </w:r>
      <w:r w:rsidRPr="00B64B9F">
        <w:noBreakHyphen/>
        <w:t xml:space="preserve">2024-00387 (turpmāk – pārsūdzētais lēmums) atteica pieteicējai atlīdzināt kaitējumu, jo kriminālprocess ir ticis atjaunots, tādēļ nav konstatējams </w:t>
      </w:r>
      <w:bookmarkStart w:id="0" w:name="_Hlk190698470"/>
      <w:r w:rsidRPr="00B64B9F">
        <w:t xml:space="preserve">Kriminālprocesā un administratīvo pārkāpumu lietvedībā nodarītā </w:t>
      </w:r>
      <w:r w:rsidRPr="00B64B9F">
        <w:lastRenderedPageBreak/>
        <w:t xml:space="preserve">kaitējuma atlīdzināšanas likuma </w:t>
      </w:r>
      <w:bookmarkEnd w:id="0"/>
      <w:r w:rsidRPr="00B64B9F">
        <w:t>(turpmāk – Kaitējuma atlīdzināšanas likums) 4.panta pirmās daļas 2.punktā noteiktais kaitējuma atlīdzināšanas tiesiskais pamats.</w:t>
      </w:r>
    </w:p>
    <w:p w14:paraId="42542CC6" w14:textId="74D23462" w:rsidR="00706312" w:rsidRPr="00B64B9F" w:rsidRDefault="00706312" w:rsidP="00B64B9F">
      <w:pPr>
        <w:spacing w:line="276" w:lineRule="auto"/>
        <w:ind w:firstLine="720"/>
        <w:jc w:val="both"/>
      </w:pPr>
      <w:r w:rsidRPr="00B64B9F">
        <w:t>Pieteicēja pārsūdzētajam lēmuma</w:t>
      </w:r>
      <w:r w:rsidR="009803EB" w:rsidRPr="00B64B9F">
        <w:t>m</w:t>
      </w:r>
      <w:r w:rsidRPr="00B64B9F">
        <w:t xml:space="preserve"> nepiekrita, tādēļ vērsās tiesā ar pieteikumu, lūdzot izdot labvēlīgu administratīvo aktu, uzliekot pienākumu Ģenerālprokuratūrai atlīdzināt zaudējumu</w:t>
      </w:r>
      <w:r w:rsidR="00697DA3" w:rsidRPr="00B64B9F">
        <w:t>s</w:t>
      </w:r>
      <w:r w:rsidRPr="00B64B9F">
        <w:t xml:space="preserve"> 295</w:t>
      </w:r>
      <w:r w:rsidR="00697DA3" w:rsidRPr="00B64B9F">
        <w:t> </w:t>
      </w:r>
      <w:r w:rsidRPr="00B64B9F">
        <w:t>248,75</w:t>
      </w:r>
      <w:r w:rsidR="00697DA3" w:rsidRPr="00B64B9F">
        <w:t> </w:t>
      </w:r>
      <w:r w:rsidRPr="00B64B9F">
        <w:rPr>
          <w:i/>
          <w:iCs/>
        </w:rPr>
        <w:t>euro</w:t>
      </w:r>
      <w:r w:rsidRPr="00B64B9F">
        <w:t>, kas pieteicējai nodarīt</w:t>
      </w:r>
      <w:r w:rsidR="009803EB" w:rsidRPr="00B64B9F">
        <w:t>i</w:t>
      </w:r>
      <w:r w:rsidRPr="00B64B9F">
        <w:t xml:space="preserve"> ar nepamatoto mantas arestu kriminālprocesā.</w:t>
      </w:r>
    </w:p>
    <w:p w14:paraId="5A4C2C12" w14:textId="77777777" w:rsidR="00213993" w:rsidRPr="00B64B9F" w:rsidRDefault="00213993" w:rsidP="00B64B9F">
      <w:pPr>
        <w:spacing w:line="276" w:lineRule="auto"/>
        <w:ind w:firstLine="720"/>
        <w:jc w:val="both"/>
      </w:pPr>
    </w:p>
    <w:p w14:paraId="5CF9663F" w14:textId="79C8E082" w:rsidR="00213993" w:rsidRPr="00B64B9F" w:rsidRDefault="00AF64E9" w:rsidP="00B64B9F">
      <w:pPr>
        <w:spacing w:line="276" w:lineRule="auto"/>
        <w:ind w:firstLine="720"/>
        <w:jc w:val="both"/>
      </w:pPr>
      <w:r w:rsidRPr="00B64B9F">
        <w:t>[2] </w:t>
      </w:r>
      <w:r w:rsidR="00213993" w:rsidRPr="00B64B9F">
        <w:t>Administratīvā</w:t>
      </w:r>
      <w:r w:rsidR="00706312" w:rsidRPr="00B64B9F">
        <w:t>s</w:t>
      </w:r>
      <w:r w:rsidR="00213993" w:rsidRPr="00B64B9F">
        <w:t xml:space="preserve"> rajona tiesas</w:t>
      </w:r>
      <w:r w:rsidR="00706312" w:rsidRPr="00B64B9F">
        <w:t xml:space="preserve"> tiesnesis</w:t>
      </w:r>
      <w:r w:rsidR="00213993" w:rsidRPr="00B64B9F">
        <w:t xml:space="preserve"> ar 202</w:t>
      </w:r>
      <w:r w:rsidR="00706312" w:rsidRPr="00B64B9F">
        <w:t>4</w:t>
      </w:r>
      <w:r w:rsidR="00213993" w:rsidRPr="00B64B9F">
        <w:t xml:space="preserve">.gada </w:t>
      </w:r>
      <w:r w:rsidR="00706312" w:rsidRPr="00B64B9F">
        <w:t>27.septembra</w:t>
      </w:r>
      <w:r w:rsidR="00213993" w:rsidRPr="00B64B9F">
        <w:t xml:space="preserve"> lēmumu </w:t>
      </w:r>
      <w:r w:rsidR="00706312" w:rsidRPr="00B64B9F">
        <w:t>atteica pieņemt pieteicējas pieteikumu</w:t>
      </w:r>
      <w:r w:rsidR="00213993" w:rsidRPr="00B64B9F">
        <w:t xml:space="preserve">, pamatojoties uz Administratīvā procesa likuma </w:t>
      </w:r>
      <w:r w:rsidR="00706312" w:rsidRPr="00B64B9F">
        <w:t>191</w:t>
      </w:r>
      <w:r w:rsidR="00213993" w:rsidRPr="00B64B9F">
        <w:t>.panta</w:t>
      </w:r>
      <w:r w:rsidR="00706312" w:rsidRPr="00B64B9F">
        <w:t xml:space="preserve"> pirmās daļas</w:t>
      </w:r>
      <w:r w:rsidR="00213993" w:rsidRPr="00B64B9F">
        <w:t xml:space="preserve"> </w:t>
      </w:r>
      <w:r w:rsidR="00706312" w:rsidRPr="00B64B9F">
        <w:t>8</w:t>
      </w:r>
      <w:r w:rsidR="00213993" w:rsidRPr="00B64B9F">
        <w:t>.punktu. Lēmums pamatots ar turpmāk minētajiem argumentiem.</w:t>
      </w:r>
    </w:p>
    <w:p w14:paraId="2F86015C" w14:textId="16DDC7E3" w:rsidR="000632F0" w:rsidRPr="00B64B9F" w:rsidRDefault="00192D5E" w:rsidP="00B64B9F">
      <w:pPr>
        <w:spacing w:line="276" w:lineRule="auto"/>
        <w:ind w:firstLine="720"/>
        <w:jc w:val="both"/>
        <w:rPr>
          <w:lang w:eastAsia="lv-LV"/>
        </w:rPr>
      </w:pPr>
      <w:r w:rsidRPr="00B64B9F">
        <w:t>[</w:t>
      </w:r>
      <w:r w:rsidR="008B4BDF" w:rsidRPr="00B64B9F">
        <w:t>2</w:t>
      </w:r>
      <w:r w:rsidR="00213993" w:rsidRPr="00B64B9F">
        <w:t>.1</w:t>
      </w:r>
      <w:r w:rsidRPr="00B64B9F">
        <w:t>] </w:t>
      </w:r>
      <w:r w:rsidR="000632F0" w:rsidRPr="00B64B9F">
        <w:rPr>
          <w:lang w:eastAsia="lv-LV"/>
        </w:rPr>
        <w:t>Lai pieteicējai būtu tiesības vērsties tiesā ar pieteikumu par kriminālprocesā nodarītā kaitējuma atlīdzināšanu, ir jākonstatē kāds no Kaitējuma atlīdzināšanas likuma 2.panta otrajā daļā</w:t>
      </w:r>
      <w:r w:rsidR="00BB2971" w:rsidRPr="00B64B9F">
        <w:rPr>
          <w:lang w:eastAsia="lv-LV"/>
        </w:rPr>
        <w:t xml:space="preserve"> vai</w:t>
      </w:r>
      <w:r w:rsidR="000632F0" w:rsidRPr="00B64B9F">
        <w:rPr>
          <w:lang w:eastAsia="lv-LV"/>
        </w:rPr>
        <w:t xml:space="preserve"> </w:t>
      </w:r>
      <w:r w:rsidR="00BB2971" w:rsidRPr="00B64B9F">
        <w:rPr>
          <w:lang w:eastAsia="lv-LV"/>
        </w:rPr>
        <w:t xml:space="preserve">4.panta pirmajā daļā </w:t>
      </w:r>
      <w:r w:rsidR="000632F0" w:rsidRPr="00B64B9F">
        <w:rPr>
          <w:lang w:eastAsia="lv-LV"/>
        </w:rPr>
        <w:t>noteiktajiem kaitējuma atlīdzināšanas pamatiem.</w:t>
      </w:r>
    </w:p>
    <w:p w14:paraId="42EEEB48" w14:textId="55D14058" w:rsidR="000632F0" w:rsidRPr="00B64B9F" w:rsidRDefault="000632F0" w:rsidP="00B64B9F">
      <w:pPr>
        <w:spacing w:line="276" w:lineRule="auto"/>
        <w:ind w:firstLine="720"/>
        <w:jc w:val="both"/>
      </w:pPr>
      <w:r w:rsidRPr="00B64B9F">
        <w:t>Pieteicēja kaitējum</w:t>
      </w:r>
      <w:r w:rsidR="005D6B86" w:rsidRPr="00B64B9F">
        <w:t>a rašanos</w:t>
      </w:r>
      <w:r w:rsidRPr="00B64B9F">
        <w:t xml:space="preserve"> saista ar kriminālprocesā pieteicējas mantai uzlikto arestu. </w:t>
      </w:r>
      <w:r w:rsidR="008D576C" w:rsidRPr="00B64B9F">
        <w:t>P</w:t>
      </w:r>
      <w:r w:rsidRPr="00B64B9F">
        <w:t>ieteicējai kriminālprocesā bija aizskartās mantas īpašnie</w:t>
      </w:r>
      <w:r w:rsidR="00C60BA8" w:rsidRPr="00B64B9F">
        <w:t>ces</w:t>
      </w:r>
      <w:r w:rsidRPr="00B64B9F">
        <w:t xml:space="preserve"> statuss atbilstoši Kriminālprocesa likuma 111.</w:t>
      </w:r>
      <w:r w:rsidRPr="00B64B9F">
        <w:rPr>
          <w:vertAlign w:val="superscript"/>
        </w:rPr>
        <w:t>1</w:t>
      </w:r>
      <w:r w:rsidRPr="00B64B9F">
        <w:t>panta pirmajai daļai.</w:t>
      </w:r>
    </w:p>
    <w:p w14:paraId="62C50039" w14:textId="33978E40" w:rsidR="000632F0" w:rsidRPr="00B64B9F" w:rsidRDefault="000632F0" w:rsidP="00B64B9F">
      <w:pPr>
        <w:spacing w:line="276" w:lineRule="auto"/>
        <w:ind w:firstLine="720"/>
        <w:jc w:val="both"/>
      </w:pPr>
      <w:r w:rsidRPr="00B64B9F">
        <w:t xml:space="preserve">Līdz ar to nav </w:t>
      </w:r>
      <w:r w:rsidR="00BB2971" w:rsidRPr="00B64B9F">
        <w:t>konstatējams</w:t>
      </w:r>
      <w:r w:rsidRPr="00B64B9F">
        <w:t xml:space="preserve"> </w:t>
      </w:r>
      <w:r w:rsidR="00BB2971" w:rsidRPr="00B64B9F">
        <w:t xml:space="preserve">kāds no </w:t>
      </w:r>
      <w:r w:rsidRPr="00B64B9F">
        <w:t>Kaitējuma atlīdzināšanas likuma 4.panta pirmajā daļā noteiktajiem kaitējuma atlīdzināšanas pamatiem, kas varētu pamatot pieteicējas tiesības vērsties tiesā ar pieteikumu.</w:t>
      </w:r>
    </w:p>
    <w:p w14:paraId="35111E69" w14:textId="1C53A611" w:rsidR="000632F0" w:rsidRPr="00B64B9F" w:rsidRDefault="00FE7E92" w:rsidP="00B64B9F">
      <w:pPr>
        <w:spacing w:line="276" w:lineRule="auto"/>
        <w:ind w:firstLine="720"/>
        <w:jc w:val="both"/>
      </w:pPr>
      <w:r w:rsidRPr="00B64B9F">
        <w:t>[</w:t>
      </w:r>
      <w:r w:rsidR="008B4BDF" w:rsidRPr="00B64B9F">
        <w:t>2</w:t>
      </w:r>
      <w:r w:rsidR="00213993" w:rsidRPr="00B64B9F">
        <w:t>.</w:t>
      </w:r>
      <w:r w:rsidR="0037766A" w:rsidRPr="00B64B9F">
        <w:t>2</w:t>
      </w:r>
      <w:r w:rsidRPr="00B64B9F">
        <w:t>] </w:t>
      </w:r>
      <w:r w:rsidR="000632F0" w:rsidRPr="00B64B9F">
        <w:t>Lai arī likumdevējs ir paredzējis Kaitējuma atlīdzināšanas likuma kārtībā izvērtēt tādus atlīdzinājuma prasījumus, kas 4.pantā nav minēti, tomēr, lai iestātos 2.pantā noteiktais kaitējuma atlīdzināšanas pamats, ir nepieciešams konstatēt, ka kaitējums kriminālprocesā privātpersonai nodarīts iestādes, prokuratūras vai tiesas prettiesiskas rīcības dēļ.</w:t>
      </w:r>
    </w:p>
    <w:p w14:paraId="09176812" w14:textId="336A2261" w:rsidR="000632F0" w:rsidRPr="00B64B9F" w:rsidRDefault="000632F0" w:rsidP="00B64B9F">
      <w:pPr>
        <w:spacing w:line="276" w:lineRule="auto"/>
        <w:ind w:firstLine="720"/>
        <w:jc w:val="both"/>
      </w:pPr>
      <w:r w:rsidRPr="00B64B9F">
        <w:t>Pieteicēja kā aizskartā mantas īpašniece nav pārsūdzējusi tiesā lēmumu par aresta uzlikšanu mantai</w:t>
      </w:r>
      <w:r w:rsidR="00C60BA8" w:rsidRPr="00B64B9F">
        <w:t>. Pieteicēja</w:t>
      </w:r>
      <w:r w:rsidRPr="00B64B9F">
        <w:t xml:space="preserve"> vēlāk vairākkārt </w:t>
      </w:r>
      <w:r w:rsidR="00C60BA8" w:rsidRPr="00B64B9F">
        <w:t>lūgusi</w:t>
      </w:r>
      <w:r w:rsidRPr="00B64B9F">
        <w:t xml:space="preserve"> aresta atcelšanu, </w:t>
      </w:r>
      <w:r w:rsidR="00C60BA8" w:rsidRPr="00B64B9F">
        <w:t xml:space="preserve">bet šie lūgumi tikuši </w:t>
      </w:r>
      <w:r w:rsidRPr="00B64B9F">
        <w:t>noraidīt</w:t>
      </w:r>
      <w:r w:rsidR="00C60BA8" w:rsidRPr="00B64B9F">
        <w:t>i</w:t>
      </w:r>
      <w:r w:rsidRPr="00B64B9F">
        <w:t>. Šo procesa virzītāj</w:t>
      </w:r>
      <w:r w:rsidR="00E543F4" w:rsidRPr="00B64B9F">
        <w:t>a</w:t>
      </w:r>
      <w:r w:rsidRPr="00B64B9F">
        <w:t xml:space="preserve"> lēmumu pamatotību ir vērtējis gan uzraugošais prokurors, gan arī amatā augstāks prokurors, atzīstot, ka lēmum</w:t>
      </w:r>
      <w:r w:rsidR="00C60BA8" w:rsidRPr="00B64B9F">
        <w:t>i</w:t>
      </w:r>
      <w:r w:rsidRPr="00B64B9F">
        <w:t xml:space="preserve"> neatcelt arestu</w:t>
      </w:r>
      <w:r w:rsidR="00FE51E7" w:rsidRPr="00B64B9F">
        <w:t xml:space="preserve"> mantai</w:t>
      </w:r>
      <w:r w:rsidRPr="00B64B9F">
        <w:t xml:space="preserve"> ir pamatot</w:t>
      </w:r>
      <w:r w:rsidR="00C60BA8" w:rsidRPr="00B64B9F">
        <w:t>i</w:t>
      </w:r>
      <w:r w:rsidRPr="00B64B9F">
        <w:t>.</w:t>
      </w:r>
    </w:p>
    <w:p w14:paraId="620041F2" w14:textId="73EFD358" w:rsidR="000632F0" w:rsidRPr="00B64B9F" w:rsidRDefault="000632F0" w:rsidP="00B64B9F">
      <w:pPr>
        <w:spacing w:line="276" w:lineRule="auto"/>
        <w:ind w:firstLine="720"/>
        <w:jc w:val="both"/>
      </w:pPr>
      <w:r w:rsidRPr="00B64B9F">
        <w:t xml:space="preserve">Pieteicējai kā aizskartajai mantas īpašniecei ir bijusi iespēja īstenot viņai Kriminālprocesa likumā piešķirtās procesuālās tiesības, lai iebilstu pret </w:t>
      </w:r>
      <w:r w:rsidR="00E543F4" w:rsidRPr="00B64B9F">
        <w:t>t</w:t>
      </w:r>
      <w:r w:rsidRPr="00B64B9F">
        <w:t>iesību aizskārumu. Pieteicēja šīs tiesības ir izmantojusi.</w:t>
      </w:r>
    </w:p>
    <w:p w14:paraId="3EEEBEBA" w14:textId="7CB88F24" w:rsidR="000632F0" w:rsidRPr="00B64B9F" w:rsidRDefault="000632F0" w:rsidP="00B64B9F">
      <w:pPr>
        <w:spacing w:line="276" w:lineRule="auto"/>
        <w:ind w:firstLine="720"/>
        <w:jc w:val="both"/>
      </w:pPr>
      <w:r w:rsidRPr="00B64B9F">
        <w:t>Pieteicējas kriminālprocesa ietvaros iesniegto pieteikumu un sūdzību izskatīšanas rezultātā pieņemto lēmumu pārvērtēšana nav administratīvās tiesas kompetencē. Savukārt no pārvaldes 2024.gada 17.janvāra lēmuma par aresta atcelšanu</w:t>
      </w:r>
      <w:r w:rsidR="00FE51E7" w:rsidRPr="00B64B9F">
        <w:t xml:space="preserve"> mantai</w:t>
      </w:r>
      <w:r w:rsidRPr="00B64B9F">
        <w:t xml:space="preserve"> nav secināms, ka piemērotais arests būtu atzīts par prettiesisku. Minētajā lēmumā norādīts, ka mantas arests tiek atcelts, jo Ekonomisko lietu tiesa ir izbeigusi procesu par noziedzīgi iegūtu mantu un ir beigušies aresta termiņi.</w:t>
      </w:r>
    </w:p>
    <w:p w14:paraId="6EB8979D" w14:textId="149CE67B" w:rsidR="000632F0" w:rsidRPr="00B64B9F" w:rsidRDefault="000632F0" w:rsidP="00B64B9F">
      <w:pPr>
        <w:spacing w:line="276" w:lineRule="auto"/>
        <w:ind w:firstLine="720"/>
        <w:jc w:val="both"/>
      </w:pPr>
      <w:r w:rsidRPr="00B64B9F">
        <w:t>No pieteicējas iesniegtajiem dokumentiem nav konstatējams, ka kriminālprocesa ietvaros būtu pieņemts lēmums par piemērotā mantas aresta prettiesiskumu. Uz šāda lēmuma esību nav norādījusi arī pieteicēja.</w:t>
      </w:r>
      <w:r w:rsidR="008D576C" w:rsidRPr="00B64B9F">
        <w:t xml:space="preserve"> </w:t>
      </w:r>
      <w:r w:rsidRPr="00B64B9F">
        <w:t>Tādējādi secināms, ka attiecībā uz pieteicēju nepastāv zaudējuma atlīdzinājuma tiesiskais pamats atbilstoši Kaitējuma atlīdzināšanas likuma 2.panta otrajai daļai.</w:t>
      </w:r>
    </w:p>
    <w:p w14:paraId="3A9D441E" w14:textId="14A966E7" w:rsidR="000632F0" w:rsidRPr="00B64B9F" w:rsidRDefault="000632F0" w:rsidP="00B64B9F">
      <w:pPr>
        <w:spacing w:line="276" w:lineRule="auto"/>
        <w:ind w:firstLine="720"/>
        <w:jc w:val="both"/>
      </w:pPr>
      <w:r w:rsidRPr="00B64B9F">
        <w:t xml:space="preserve">Līdz ar to pieteicējai nav subjektīvo tiesību vērsties tiesā ar pieteikumu par </w:t>
      </w:r>
      <w:r w:rsidR="003F7A5F" w:rsidRPr="00B64B9F">
        <w:t xml:space="preserve">zaudējumu </w:t>
      </w:r>
      <w:r w:rsidRPr="00B64B9F">
        <w:t>atlīdzinājumu, kas viņai nodarīt</w:t>
      </w:r>
      <w:r w:rsidR="003F7A5F" w:rsidRPr="00B64B9F">
        <w:t>i</w:t>
      </w:r>
      <w:r w:rsidRPr="00B64B9F">
        <w:t xml:space="preserve"> ar kriminālproces</w:t>
      </w:r>
      <w:r w:rsidR="003F7A5F" w:rsidRPr="00B64B9F">
        <w:t>a</w:t>
      </w:r>
      <w:r w:rsidRPr="00B64B9F">
        <w:t xml:space="preserve"> ietvaros piemēroto arestu mantai.</w:t>
      </w:r>
    </w:p>
    <w:p w14:paraId="6C84B504" w14:textId="6A5D8613" w:rsidR="000632F0" w:rsidRPr="00B64B9F" w:rsidRDefault="000632F0" w:rsidP="00B64B9F">
      <w:pPr>
        <w:spacing w:line="276" w:lineRule="auto"/>
        <w:ind w:firstLine="720"/>
        <w:jc w:val="both"/>
      </w:pPr>
      <w:r w:rsidRPr="00B64B9F">
        <w:lastRenderedPageBreak/>
        <w:t>[2.</w:t>
      </w:r>
      <w:r w:rsidR="00237119" w:rsidRPr="00B64B9F">
        <w:t>3</w:t>
      </w:r>
      <w:r w:rsidRPr="00B64B9F">
        <w:t xml:space="preserve">] Pats par sevi apstāklis, ka pieteicējas gadījums nav paredzēts Kaitējuma atlīdzināšanas likuma 4.pantā, nenozīmē, ka likumā ir konstatējams robs. Gadījumus, kas nav konkrēti norādīti minētajā </w:t>
      </w:r>
      <w:r w:rsidR="00FE51E7" w:rsidRPr="00B64B9F">
        <w:t xml:space="preserve">tiesību </w:t>
      </w:r>
      <w:r w:rsidRPr="00B64B9F">
        <w:t xml:space="preserve">normā, likumdevējs ir paredzējis aptvert </w:t>
      </w:r>
      <w:r w:rsidR="009D604F" w:rsidRPr="00B64B9F">
        <w:t xml:space="preserve">ar </w:t>
      </w:r>
      <w:r w:rsidRPr="00B64B9F">
        <w:t>likuma 2.panta otr</w:t>
      </w:r>
      <w:r w:rsidR="009D604F" w:rsidRPr="00B64B9F">
        <w:t>o</w:t>
      </w:r>
      <w:r w:rsidRPr="00B64B9F">
        <w:t xml:space="preserve"> daļ</w:t>
      </w:r>
      <w:r w:rsidR="009D604F" w:rsidRPr="00B64B9F">
        <w:t>u</w:t>
      </w:r>
      <w:r w:rsidRPr="00B64B9F">
        <w:t>. Arī tas, ka attiecībā uz pieteicēju kriminālprocesa ietvaros nav pieņemts lēmums, ar kuru lēmums par mantas arestu būtu atzīts par prettiesisku, neliecina par likuma roba esību. Tas nozīmē tikai to, ka nav konstatējams zaudējum</w:t>
      </w:r>
      <w:r w:rsidR="009D604F" w:rsidRPr="00B64B9F">
        <w:t>u</w:t>
      </w:r>
      <w:r w:rsidRPr="00B64B9F">
        <w:t xml:space="preserve"> atlīdzinājuma tiesiskais pamats.</w:t>
      </w:r>
    </w:p>
    <w:p w14:paraId="3EA376AD" w14:textId="77777777" w:rsidR="00A055DA" w:rsidRPr="00B64B9F" w:rsidRDefault="00A055DA" w:rsidP="00B64B9F">
      <w:pPr>
        <w:spacing w:line="276" w:lineRule="auto"/>
        <w:ind w:firstLine="720"/>
        <w:jc w:val="both"/>
        <w:rPr>
          <w:color w:val="000000"/>
        </w:rPr>
      </w:pPr>
    </w:p>
    <w:p w14:paraId="5622AC63" w14:textId="03889038" w:rsidR="00FE58BD" w:rsidRPr="00B64B9F" w:rsidRDefault="002F3FB4" w:rsidP="00B64B9F">
      <w:pPr>
        <w:spacing w:line="276" w:lineRule="auto"/>
        <w:ind w:firstLine="720"/>
        <w:jc w:val="both"/>
        <w:rPr>
          <w:lang w:eastAsia="lv-LV"/>
        </w:rPr>
      </w:pPr>
      <w:r w:rsidRPr="00B64B9F">
        <w:rPr>
          <w:color w:val="000000"/>
        </w:rPr>
        <w:t>[</w:t>
      </w:r>
      <w:r w:rsidR="008B4BDF" w:rsidRPr="00B64B9F">
        <w:rPr>
          <w:color w:val="000000"/>
        </w:rPr>
        <w:t>3</w:t>
      </w:r>
      <w:r w:rsidRPr="00B64B9F">
        <w:rPr>
          <w:color w:val="000000"/>
        </w:rPr>
        <w:t>] </w:t>
      </w:r>
      <w:r w:rsidR="00FB1330" w:rsidRPr="00B64B9F">
        <w:t xml:space="preserve">Par </w:t>
      </w:r>
      <w:r w:rsidR="008B4BDF" w:rsidRPr="00B64B9F">
        <w:t>minēto</w:t>
      </w:r>
      <w:r w:rsidR="00540AF3" w:rsidRPr="00B64B9F">
        <w:t xml:space="preserve"> </w:t>
      </w:r>
      <w:r w:rsidR="003F7A5F" w:rsidRPr="00B64B9F">
        <w:t xml:space="preserve">tiesneša </w:t>
      </w:r>
      <w:r w:rsidR="00FB1330" w:rsidRPr="00B64B9F">
        <w:t xml:space="preserve">lēmumu </w:t>
      </w:r>
      <w:r w:rsidR="00641825" w:rsidRPr="00B64B9F">
        <w:t>pieteicēj</w:t>
      </w:r>
      <w:r w:rsidR="008B4BDF" w:rsidRPr="00B64B9F">
        <w:t>a</w:t>
      </w:r>
      <w:r w:rsidR="00FB1330" w:rsidRPr="00B64B9F">
        <w:t xml:space="preserve"> iesniedza bl</w:t>
      </w:r>
      <w:r w:rsidR="00FB1330" w:rsidRPr="00B64B9F">
        <w:rPr>
          <w:lang w:eastAsia="lv-LV"/>
        </w:rPr>
        <w:t>akus sūdzību</w:t>
      </w:r>
      <w:r w:rsidR="009D604F" w:rsidRPr="00B64B9F">
        <w:rPr>
          <w:lang w:eastAsia="lv-LV"/>
        </w:rPr>
        <w:t xml:space="preserve">, kas </w:t>
      </w:r>
      <w:r w:rsidR="00FE58BD" w:rsidRPr="00B64B9F">
        <w:rPr>
          <w:lang w:eastAsia="lv-LV"/>
        </w:rPr>
        <w:t>pamatota ar turpmāk minētajiem argumentiem.</w:t>
      </w:r>
    </w:p>
    <w:p w14:paraId="00CE473E" w14:textId="0DA42872" w:rsidR="00BF0328" w:rsidRPr="00B64B9F" w:rsidRDefault="00FE58BD" w:rsidP="00B64B9F">
      <w:pPr>
        <w:spacing w:line="276" w:lineRule="auto"/>
        <w:ind w:firstLine="720"/>
        <w:jc w:val="both"/>
      </w:pPr>
      <w:r w:rsidRPr="00B64B9F">
        <w:rPr>
          <w:lang w:eastAsia="lv-LV"/>
        </w:rPr>
        <w:t>[3.1]</w:t>
      </w:r>
      <w:r w:rsidR="003451AD" w:rsidRPr="00B64B9F">
        <w:rPr>
          <w:lang w:eastAsia="lv-LV"/>
        </w:rPr>
        <w:t> </w:t>
      </w:r>
      <w:r w:rsidR="00237119" w:rsidRPr="00B64B9F">
        <w:rPr>
          <w:lang w:eastAsia="lv-LV"/>
        </w:rPr>
        <w:t>Kaitējuma atlīdzināšanas likuma</w:t>
      </w:r>
      <w:r w:rsidR="00CA75E4" w:rsidRPr="00B64B9F">
        <w:rPr>
          <w:lang w:eastAsia="lv-LV"/>
        </w:rPr>
        <w:t xml:space="preserve"> </w:t>
      </w:r>
      <w:r w:rsidR="00783A87" w:rsidRPr="00B64B9F">
        <w:rPr>
          <w:lang w:eastAsia="lv-LV"/>
        </w:rPr>
        <w:t>4.panta pirm</w:t>
      </w:r>
      <w:r w:rsidR="00CA75E4" w:rsidRPr="00B64B9F">
        <w:rPr>
          <w:lang w:eastAsia="lv-LV"/>
        </w:rPr>
        <w:t>ajā</w:t>
      </w:r>
      <w:r w:rsidR="00783A87" w:rsidRPr="00B64B9F">
        <w:rPr>
          <w:lang w:eastAsia="lv-LV"/>
        </w:rPr>
        <w:t xml:space="preserve"> daļ</w:t>
      </w:r>
      <w:r w:rsidR="00CA75E4" w:rsidRPr="00B64B9F">
        <w:rPr>
          <w:lang w:eastAsia="lv-LV"/>
        </w:rPr>
        <w:t>ā</w:t>
      </w:r>
      <w:r w:rsidR="00783A87" w:rsidRPr="00B64B9F">
        <w:rPr>
          <w:lang w:eastAsia="lv-LV"/>
        </w:rPr>
        <w:t xml:space="preserve">, kurā ir uzskaitīti tie </w:t>
      </w:r>
      <w:r w:rsidR="003F7A5F" w:rsidRPr="00B64B9F">
        <w:rPr>
          <w:lang w:eastAsia="lv-LV"/>
        </w:rPr>
        <w:t>gadījumi</w:t>
      </w:r>
      <w:r w:rsidR="00783A87" w:rsidRPr="00B64B9F">
        <w:rPr>
          <w:lang w:eastAsia="lv-LV"/>
        </w:rPr>
        <w:t>, k</w:t>
      </w:r>
      <w:r w:rsidR="003F7A5F" w:rsidRPr="00B64B9F">
        <w:rPr>
          <w:lang w:eastAsia="lv-LV"/>
        </w:rPr>
        <w:t>ad</w:t>
      </w:r>
      <w:r w:rsidR="00783A87" w:rsidRPr="00B64B9F">
        <w:rPr>
          <w:lang w:eastAsia="lv-LV"/>
        </w:rPr>
        <w:t xml:space="preserve"> personai rodas tiesības uz kaitējuma atlīdzinājumu iestādes</w:t>
      </w:r>
      <w:r w:rsidR="00644657" w:rsidRPr="00B64B9F">
        <w:rPr>
          <w:lang w:eastAsia="lv-LV"/>
        </w:rPr>
        <w:t>, prokuratūras vai tiesas</w:t>
      </w:r>
      <w:r w:rsidR="00783A87" w:rsidRPr="00B64B9F">
        <w:rPr>
          <w:lang w:eastAsia="lv-LV"/>
        </w:rPr>
        <w:t xml:space="preserve"> nepamatotas rīcības dēļ, ir konstatējams likuma robs.</w:t>
      </w:r>
      <w:r w:rsidR="00CA75E4" w:rsidRPr="00B64B9F">
        <w:rPr>
          <w:lang w:eastAsia="lv-LV"/>
        </w:rPr>
        <w:t xml:space="preserve"> </w:t>
      </w:r>
      <w:r w:rsidR="00CA75E4" w:rsidRPr="00B64B9F">
        <w:rPr>
          <w:rFonts w:asciiTheme="majorBidi" w:hAnsiTheme="majorBidi" w:cstheme="majorBidi"/>
        </w:rPr>
        <w:t xml:space="preserve">Iztulkojot Kaitējuma atlīdzināšanas likuma 4.panta pirmo daļu vēsturiski, sistēmiski un teleoloģiski, ir secināms, ka šajā </w:t>
      </w:r>
      <w:r w:rsidR="009D604F" w:rsidRPr="00B64B9F">
        <w:rPr>
          <w:rFonts w:asciiTheme="majorBidi" w:hAnsiTheme="majorBidi" w:cstheme="majorBidi"/>
        </w:rPr>
        <w:t xml:space="preserve">tiesību </w:t>
      </w:r>
      <w:r w:rsidR="00CA75E4" w:rsidRPr="00B64B9F">
        <w:rPr>
          <w:rFonts w:asciiTheme="majorBidi" w:hAnsiTheme="majorBidi" w:cstheme="majorBidi"/>
        </w:rPr>
        <w:t>normā būtu jābūt ierakstītam</w:t>
      </w:r>
      <w:r w:rsidR="004C7105" w:rsidRPr="00B64B9F">
        <w:rPr>
          <w:rFonts w:asciiTheme="majorBidi" w:hAnsiTheme="majorBidi" w:cstheme="majorBidi"/>
        </w:rPr>
        <w:t xml:space="preserve"> arī </w:t>
      </w:r>
      <w:r w:rsidR="00CA75E4" w:rsidRPr="00B64B9F">
        <w:rPr>
          <w:rFonts w:asciiTheme="majorBidi" w:hAnsiTheme="majorBidi" w:cstheme="majorBidi"/>
        </w:rPr>
        <w:t>kriminālprocesā aizskart</w:t>
      </w:r>
      <w:r w:rsidR="004C7105" w:rsidRPr="00B64B9F">
        <w:rPr>
          <w:rFonts w:asciiTheme="majorBidi" w:hAnsiTheme="majorBidi" w:cstheme="majorBidi"/>
        </w:rPr>
        <w:t>ajam</w:t>
      </w:r>
      <w:r w:rsidR="00CA75E4" w:rsidRPr="00B64B9F">
        <w:rPr>
          <w:rFonts w:asciiTheme="majorBidi" w:hAnsiTheme="majorBidi" w:cstheme="majorBidi"/>
        </w:rPr>
        <w:t xml:space="preserve"> mantas īpašniek</w:t>
      </w:r>
      <w:r w:rsidR="004C7105" w:rsidRPr="00B64B9F">
        <w:rPr>
          <w:rFonts w:asciiTheme="majorBidi" w:hAnsiTheme="majorBidi" w:cstheme="majorBidi"/>
        </w:rPr>
        <w:t>am</w:t>
      </w:r>
      <w:r w:rsidR="00CA75E4" w:rsidRPr="00B64B9F">
        <w:rPr>
          <w:rFonts w:asciiTheme="majorBidi" w:hAnsiTheme="majorBidi" w:cstheme="majorBidi"/>
        </w:rPr>
        <w:t xml:space="preserve">, kura mantai kriminālprocesa ietvaros </w:t>
      </w:r>
      <w:r w:rsidR="00FE51E7" w:rsidRPr="00B64B9F">
        <w:rPr>
          <w:rFonts w:asciiTheme="majorBidi" w:hAnsiTheme="majorBidi" w:cstheme="majorBidi"/>
        </w:rPr>
        <w:t xml:space="preserve">uzliktais </w:t>
      </w:r>
      <w:r w:rsidR="00CA75E4" w:rsidRPr="00B64B9F">
        <w:rPr>
          <w:rFonts w:asciiTheme="majorBidi" w:hAnsiTheme="majorBidi" w:cstheme="majorBidi"/>
        </w:rPr>
        <w:t xml:space="preserve">arests ir atcelts. Taču, ņemot vērā, ka šāds </w:t>
      </w:r>
      <w:r w:rsidR="004C7105" w:rsidRPr="00B64B9F">
        <w:rPr>
          <w:rFonts w:asciiTheme="majorBidi" w:hAnsiTheme="majorBidi" w:cstheme="majorBidi"/>
        </w:rPr>
        <w:t xml:space="preserve">tiesību </w:t>
      </w:r>
      <w:r w:rsidR="00CA75E4" w:rsidRPr="00B64B9F">
        <w:rPr>
          <w:rFonts w:asciiTheme="majorBidi" w:hAnsiTheme="majorBidi" w:cstheme="majorBidi"/>
        </w:rPr>
        <w:t xml:space="preserve">normas </w:t>
      </w:r>
      <w:r w:rsidR="00FE51E7" w:rsidRPr="00B64B9F">
        <w:rPr>
          <w:rFonts w:asciiTheme="majorBidi" w:hAnsiTheme="majorBidi" w:cstheme="majorBidi"/>
        </w:rPr>
        <w:t>iz</w:t>
      </w:r>
      <w:r w:rsidR="00CA75E4" w:rsidRPr="00B64B9F">
        <w:rPr>
          <w:rFonts w:asciiTheme="majorBidi" w:hAnsiTheme="majorBidi" w:cstheme="majorBidi"/>
        </w:rPr>
        <w:t>tulkojums iziet ārpus tiesību normas teksta, konkrētajā gadījumā ir piemērojama tāda tiesību tālākveidošanas metode kā analoģija un pieteicējai būtu atzīstamas tiesības prasīt no valsts atlīdzinājumu par kaitējumu, kas tai nodarīts ar nepamatotu mantas arestu kriminālprocesā.</w:t>
      </w:r>
    </w:p>
    <w:p w14:paraId="42EB4F73" w14:textId="17095671" w:rsidR="00BF0328" w:rsidRPr="00B64B9F" w:rsidRDefault="003451AD" w:rsidP="00B64B9F">
      <w:pPr>
        <w:spacing w:line="276" w:lineRule="auto"/>
        <w:ind w:firstLine="720"/>
        <w:jc w:val="both"/>
      </w:pPr>
      <w:r w:rsidRPr="00B64B9F">
        <w:t>[3.2] </w:t>
      </w:r>
      <w:r w:rsidR="00725319" w:rsidRPr="00B64B9F">
        <w:t>Kaitējuma atlīdzināšanas likuma likumprojekta anotācijā tika iekļauta Kaitējuma atlīdzināšanas likuma 4.panta trešā daļa šādā redakcijā: „Privātpersonai (mantas īpašniekam vai likumīgajam valdītājam) tiesības uz kaitējuma atlīdzinājumu rodas, ja spēkā stājies tiesas lēmums par noziedzīgi iegūtu mantu, ar kuru atzīts, ka mantas saistība ar noziedzīgu nodarījumu nav pierādīta vai mantas izcelsme nav noziedzīga, izbeidzot procesu par noziedzīgi iegūtu mantu, un piemērotais mantas arests ir atceļams vai izņemtā manta atdodama mantas īpašniekam vai likumīgajam valdītājam.”</w:t>
      </w:r>
    </w:p>
    <w:p w14:paraId="63982549" w14:textId="58A8FDE8" w:rsidR="00725319" w:rsidRPr="00B64B9F" w:rsidRDefault="00725319" w:rsidP="00B64B9F">
      <w:pPr>
        <w:spacing w:line="276" w:lineRule="auto"/>
        <w:ind w:firstLine="720"/>
        <w:jc w:val="both"/>
      </w:pPr>
      <w:r w:rsidRPr="00B64B9F">
        <w:t xml:space="preserve">Lai arī </w:t>
      </w:r>
      <w:r w:rsidR="00DA796D" w:rsidRPr="00B64B9F">
        <w:t xml:space="preserve">tiesību </w:t>
      </w:r>
      <w:r w:rsidRPr="00B64B9F">
        <w:t xml:space="preserve">norma šādā redakcijā netika pieņemta, Saeimas Juridiskās komisijas Krimināltiesību politikas apakškomisijas sēdē pirms likumprojekta otrā lasījuma Saeimā tika norādīts, ka, diskutējot ar Ģenerālprokuratūras pārstāvjiem, secināts, ka </w:t>
      </w:r>
      <w:r w:rsidR="00DA796D" w:rsidRPr="00B64B9F">
        <w:t xml:space="preserve">tiesību </w:t>
      </w:r>
      <w:r w:rsidRPr="00B64B9F">
        <w:t xml:space="preserve">normā minētais nolēmums par noziedzīgi iegūtu mantu un tiesības uz kaitējuma atlīdzinājumu būtu saistāmas ar galīgo nolēmumu kriminālprocesā, kas noteikts likumprojekta 4.panta pirmās daļas 1.punktā un 2.punktā, līdz ar to </w:t>
      </w:r>
      <w:r w:rsidR="00FE51E7" w:rsidRPr="00B64B9F">
        <w:t>Kaitējuma atlīdzināšanas likuma 4.panta trešā daļa likumā</w:t>
      </w:r>
      <w:r w:rsidRPr="00B64B9F">
        <w:t xml:space="preserve"> nav nepieciešama. Minētais secinājums liecina nevis par to, ka kriminālprocesā aizskartajam mantas īpašniekam tiesības uz kaitējumu atlīdzinājumu nepastāv, bet par to, ka likumdevējs ir neapzināti pieļāvis kļūdu, pieņemot, ka arī uz kriminālprocesā aizskarto mantas īpašnieku būtu attiecināmas Kaitējuma atlīdzināšanas likuma 4.panta pirmās daļas 1. un 2.punktā paredzētās situācijas. Taču tas tā nav, jo kriminālprocesā aizskartā mantas īpašnieka dalība kriminālprocesā beidzas ar lēmumu par mantas aresta atcelšanu un šāds lēmums attiecībā uz kriminālprocesā aizskarto mantas īpašnieku arī ir galīgais.</w:t>
      </w:r>
    </w:p>
    <w:p w14:paraId="3B94CEA0" w14:textId="34D0EAF3" w:rsidR="008D576C" w:rsidRPr="00B64B9F" w:rsidRDefault="003451AD" w:rsidP="00B64B9F">
      <w:pPr>
        <w:spacing w:line="276" w:lineRule="auto"/>
        <w:ind w:firstLine="720"/>
        <w:jc w:val="both"/>
      </w:pPr>
      <w:r w:rsidRPr="00B64B9F">
        <w:t>[3.3] </w:t>
      </w:r>
      <w:r w:rsidR="00725319" w:rsidRPr="00B64B9F">
        <w:t>Tiesne</w:t>
      </w:r>
      <w:r w:rsidR="00B93AB7" w:rsidRPr="00B64B9F">
        <w:t>sis</w:t>
      </w:r>
      <w:r w:rsidR="00725319" w:rsidRPr="00B64B9F">
        <w:t xml:space="preserve"> nepamatoti vērtēji</w:t>
      </w:r>
      <w:r w:rsidR="0098387C" w:rsidRPr="00B64B9F">
        <w:t>s</w:t>
      </w:r>
      <w:r w:rsidR="00725319" w:rsidRPr="00B64B9F">
        <w:t xml:space="preserve"> Kaitējuma atlīdzināšanas likuma 2.panta otrās daļas piemērošanu izskatāmajā lietā.</w:t>
      </w:r>
    </w:p>
    <w:p w14:paraId="6145559A" w14:textId="11E955F4" w:rsidR="00725319" w:rsidRPr="00B64B9F" w:rsidRDefault="00725319" w:rsidP="00B64B9F">
      <w:pPr>
        <w:spacing w:line="276" w:lineRule="auto"/>
        <w:ind w:firstLine="720"/>
        <w:jc w:val="both"/>
      </w:pPr>
      <w:r w:rsidRPr="00B64B9F">
        <w:t xml:space="preserve">[3.4] Kaitējuma atlīdzināšanas likums </w:t>
      </w:r>
      <w:r w:rsidRPr="00B64B9F">
        <w:rPr>
          <w:rFonts w:asciiTheme="majorBidi" w:hAnsiTheme="majorBidi" w:cstheme="majorBidi"/>
        </w:rPr>
        <w:t xml:space="preserve">ir vienīgi instruments, ar kura palīdzību tiek konkretizēta kārtība, kādā persona var īstenot savas </w:t>
      </w:r>
      <w:r w:rsidR="008D576C" w:rsidRPr="00B64B9F">
        <w:rPr>
          <w:rFonts w:asciiTheme="majorBidi" w:hAnsiTheme="majorBidi" w:cstheme="majorBidi"/>
        </w:rPr>
        <w:t xml:space="preserve">Latvijas Republikas </w:t>
      </w:r>
      <w:r w:rsidRPr="00B64B9F">
        <w:rPr>
          <w:rFonts w:asciiTheme="majorBidi" w:hAnsiTheme="majorBidi" w:cstheme="majorBidi"/>
        </w:rPr>
        <w:t>Satversmes</w:t>
      </w:r>
      <w:r w:rsidR="008D576C" w:rsidRPr="00B64B9F">
        <w:rPr>
          <w:rFonts w:asciiTheme="majorBidi" w:hAnsiTheme="majorBidi" w:cstheme="majorBidi"/>
        </w:rPr>
        <w:t xml:space="preserve"> (turpmāk – Satversme)</w:t>
      </w:r>
      <w:r w:rsidRPr="00B64B9F">
        <w:rPr>
          <w:rFonts w:asciiTheme="majorBidi" w:hAnsiTheme="majorBidi" w:cstheme="majorBidi"/>
        </w:rPr>
        <w:t xml:space="preserve"> 92.pantā paredzētās tiesības uz atbilstīgu atlīdzinājumu par </w:t>
      </w:r>
      <w:r w:rsidRPr="00B64B9F">
        <w:rPr>
          <w:rFonts w:asciiTheme="majorBidi" w:hAnsiTheme="majorBidi" w:cstheme="majorBidi"/>
        </w:rPr>
        <w:lastRenderedPageBreak/>
        <w:t xml:space="preserve">kaitējumu, kas tai nodarīts kriminālprocesā un administratīvo pārkāpumu lietvedībā. Līdz ar to tiesai būtu jāizskata pēc būtības pieteicējas pieteikums un jāizvērtē, vai Kaitējuma atlīdzināšanas likumā nav konstatējams likuma robs. </w:t>
      </w:r>
      <w:r w:rsidR="0098387C" w:rsidRPr="00B64B9F">
        <w:rPr>
          <w:rFonts w:asciiTheme="majorBidi" w:hAnsiTheme="majorBidi" w:cstheme="majorBidi"/>
        </w:rPr>
        <w:t>Atsakot pieņemt</w:t>
      </w:r>
      <w:r w:rsidR="008D576C" w:rsidRPr="00B64B9F">
        <w:rPr>
          <w:rFonts w:asciiTheme="majorBidi" w:hAnsiTheme="majorBidi" w:cstheme="majorBidi"/>
        </w:rPr>
        <w:t xml:space="preserve"> pieteikumu, pieteicējai tiek liegtas ne vien tiesības uz kaitējuma atlīdzinājumu, bet tiek liegtas arī Satversmes 92.pantā paredzētās tiesības uz taisnīgu tiesu.</w:t>
      </w:r>
    </w:p>
    <w:p w14:paraId="167A0124" w14:textId="77777777" w:rsidR="006E1EC5" w:rsidRPr="00B64B9F" w:rsidRDefault="006E1EC5" w:rsidP="00B64B9F">
      <w:pPr>
        <w:spacing w:line="276" w:lineRule="auto"/>
        <w:ind w:firstLine="720"/>
        <w:jc w:val="both"/>
      </w:pPr>
    </w:p>
    <w:p w14:paraId="51A8875A" w14:textId="77777777" w:rsidR="009149A2" w:rsidRPr="00B64B9F" w:rsidRDefault="009149A2" w:rsidP="00B64B9F">
      <w:pPr>
        <w:spacing w:line="276" w:lineRule="auto"/>
        <w:jc w:val="center"/>
        <w:rPr>
          <w:b/>
        </w:rPr>
      </w:pPr>
      <w:r w:rsidRPr="00B64B9F">
        <w:rPr>
          <w:b/>
        </w:rPr>
        <w:t>Motīvu daļa</w:t>
      </w:r>
    </w:p>
    <w:p w14:paraId="051D573E" w14:textId="77777777" w:rsidR="009149A2" w:rsidRPr="00B64B9F" w:rsidRDefault="009149A2" w:rsidP="00B64B9F">
      <w:pPr>
        <w:spacing w:line="276" w:lineRule="auto"/>
        <w:ind w:firstLine="720"/>
        <w:jc w:val="both"/>
      </w:pPr>
    </w:p>
    <w:p w14:paraId="42225453" w14:textId="638A3D41" w:rsidR="00D13ED2" w:rsidRPr="00B64B9F" w:rsidRDefault="003E524E" w:rsidP="00B64B9F">
      <w:pPr>
        <w:spacing w:line="276" w:lineRule="auto"/>
        <w:ind w:firstLine="720"/>
        <w:jc w:val="both"/>
      </w:pPr>
      <w:r w:rsidRPr="00B64B9F">
        <w:rPr>
          <w:color w:val="000000"/>
        </w:rPr>
        <w:t>[</w:t>
      </w:r>
      <w:r w:rsidR="00FE58BD" w:rsidRPr="00B64B9F">
        <w:rPr>
          <w:color w:val="000000"/>
        </w:rPr>
        <w:t>4</w:t>
      </w:r>
      <w:r w:rsidRPr="00B64B9F">
        <w:rPr>
          <w:color w:val="000000"/>
        </w:rPr>
        <w:t>] </w:t>
      </w:r>
      <w:r w:rsidR="00D13ED2" w:rsidRPr="00B64B9F">
        <w:rPr>
          <w:color w:val="000000"/>
        </w:rPr>
        <w:t xml:space="preserve">Blakus sūdzības tiesvedībā ir izvērtējams jautājums, vai </w:t>
      </w:r>
      <w:r w:rsidR="00D13ED2" w:rsidRPr="00B64B9F">
        <w:t>pieteicējai kā aizskart</w:t>
      </w:r>
      <w:r w:rsidR="00644657" w:rsidRPr="00B64B9F">
        <w:t>ajai</w:t>
      </w:r>
      <w:r w:rsidR="00D13ED2" w:rsidRPr="00B64B9F">
        <w:t xml:space="preserve"> mantas īpašniecei ir tiesības prasīt atlīdzinājumu, ja </w:t>
      </w:r>
      <w:r w:rsidR="00644657" w:rsidRPr="00B64B9F">
        <w:t xml:space="preserve">ir stājies spēkā </w:t>
      </w:r>
      <w:r w:rsidR="00D13ED2" w:rsidRPr="00B64B9F">
        <w:t>Ekonomisko lietu tiesa</w:t>
      </w:r>
      <w:r w:rsidR="00644657" w:rsidRPr="00B64B9F">
        <w:t xml:space="preserve">s </w:t>
      </w:r>
      <w:bookmarkStart w:id="1" w:name="_Hlk192510685"/>
      <w:r w:rsidR="00644657" w:rsidRPr="00B64B9F">
        <w:t xml:space="preserve">lēmums par </w:t>
      </w:r>
      <w:r w:rsidR="00D13ED2" w:rsidRPr="00B64B9F">
        <w:t>proces</w:t>
      </w:r>
      <w:r w:rsidR="00FE51E7" w:rsidRPr="00B64B9F">
        <w:t>a</w:t>
      </w:r>
      <w:r w:rsidR="00D13ED2" w:rsidRPr="00B64B9F">
        <w:t xml:space="preserve"> par noziedzīgi iegūtu mantu</w:t>
      </w:r>
      <w:r w:rsidR="00644657" w:rsidRPr="00B64B9F">
        <w:t xml:space="preserve"> izbeigšanu</w:t>
      </w:r>
      <w:r w:rsidR="0098387C" w:rsidRPr="00B64B9F">
        <w:t>, bet kriminālprocess vēl turpinās</w:t>
      </w:r>
      <w:bookmarkEnd w:id="1"/>
      <w:r w:rsidR="00D13ED2" w:rsidRPr="00B64B9F">
        <w:t>.</w:t>
      </w:r>
    </w:p>
    <w:p w14:paraId="35DD491C" w14:textId="77777777" w:rsidR="00D13ED2" w:rsidRPr="00B64B9F" w:rsidRDefault="00D13ED2" w:rsidP="00B64B9F">
      <w:pPr>
        <w:spacing w:line="276" w:lineRule="auto"/>
        <w:ind w:firstLine="720"/>
        <w:jc w:val="both"/>
      </w:pPr>
    </w:p>
    <w:p w14:paraId="090992E0" w14:textId="77777777" w:rsidR="00FC20E3" w:rsidRPr="00B64B9F" w:rsidRDefault="00D13ED2" w:rsidP="00B64B9F">
      <w:pPr>
        <w:spacing w:line="276" w:lineRule="auto"/>
        <w:ind w:firstLine="720"/>
        <w:jc w:val="both"/>
      </w:pPr>
      <w:r w:rsidRPr="00B64B9F">
        <w:t>[5] </w:t>
      </w:r>
      <w:r w:rsidR="00FC20E3" w:rsidRPr="00B64B9F">
        <w:rPr>
          <w:rFonts w:asciiTheme="majorBidi" w:hAnsiTheme="majorBidi" w:cstheme="majorBidi"/>
          <w:shd w:val="clear" w:color="auto" w:fill="FFFFFF"/>
        </w:rPr>
        <w:t>Satversmes 92.panta trešais teikums noteic, ka nepamatota tiesību aizskāruma gadījumā ikvienam ir tiesības uz atbilstīgu atlīdzinājumu.</w:t>
      </w:r>
      <w:r w:rsidR="00FC20E3" w:rsidRPr="00B64B9F">
        <w:t xml:space="preserve"> Šī tiesību norma paredz vispārēju garantiju ikvienam saņemt atbilstīgu atlīdzinājumu par nepamatotu tiesību aizskārumu.</w:t>
      </w:r>
    </w:p>
    <w:p w14:paraId="403F6028" w14:textId="0421413B" w:rsidR="00FC20E3" w:rsidRPr="00B64B9F" w:rsidRDefault="00FC20E3" w:rsidP="00B64B9F">
      <w:pPr>
        <w:spacing w:line="276" w:lineRule="auto"/>
        <w:ind w:firstLine="720"/>
        <w:jc w:val="both"/>
        <w:rPr>
          <w:rFonts w:asciiTheme="majorBidi" w:hAnsiTheme="majorBidi" w:cstheme="majorBidi"/>
          <w:shd w:val="clear" w:color="auto" w:fill="FFFFFF"/>
        </w:rPr>
      </w:pPr>
      <w:r w:rsidRPr="00B64B9F">
        <w:rPr>
          <w:rFonts w:asciiTheme="majorBidi" w:hAnsiTheme="majorBidi" w:cstheme="majorBidi"/>
          <w:shd w:val="clear" w:color="auto" w:fill="FFFFFF"/>
        </w:rPr>
        <w:t xml:space="preserve">Kriminālprocesā nodarītā kaitējuma atlīdzināšanu regulē Kaitējuma atlīdzināšanas likums. </w:t>
      </w:r>
      <w:r w:rsidR="00644657" w:rsidRPr="00B64B9F">
        <w:rPr>
          <w:rFonts w:asciiTheme="majorBidi" w:hAnsiTheme="majorBidi" w:cstheme="majorBidi"/>
          <w:shd w:val="clear" w:color="auto" w:fill="FFFFFF"/>
        </w:rPr>
        <w:t>Š</w:t>
      </w:r>
      <w:r w:rsidRPr="00B64B9F">
        <w:rPr>
          <w:rFonts w:asciiTheme="majorBidi" w:hAnsiTheme="majorBidi" w:cstheme="majorBidi"/>
          <w:shd w:val="clear" w:color="auto" w:fill="FFFFFF"/>
        </w:rPr>
        <w:t>ā likuma mērķis ir nodrošināt privātpersonai Satversmē noteiktās tiesības uz atbilstīgu atlīdzinājumu par zaudējumu un nemantisko kaitējumu, kas tai nodarīts kriminālprocesā vai administratīvā pārkāpuma lietvedībā iestādes, prokuratūras vai tiesas prettiesiskas vai nepamatotas rīcības dēļ</w:t>
      </w:r>
      <w:r w:rsidR="00875771" w:rsidRPr="00B64B9F">
        <w:rPr>
          <w:rFonts w:asciiTheme="majorBidi" w:hAnsiTheme="majorBidi" w:cstheme="majorBidi"/>
          <w:shd w:val="clear" w:color="auto" w:fill="FFFFFF"/>
        </w:rPr>
        <w:t xml:space="preserve"> (</w:t>
      </w:r>
      <w:r w:rsidR="00875771" w:rsidRPr="00B64B9F">
        <w:rPr>
          <w:rFonts w:asciiTheme="majorBidi" w:hAnsiTheme="majorBidi" w:cstheme="majorBidi"/>
          <w:i/>
          <w:iCs/>
          <w:shd w:val="clear" w:color="auto" w:fill="FFFFFF"/>
        </w:rPr>
        <w:t>1.panta pirmā daļa</w:t>
      </w:r>
      <w:r w:rsidR="00875771" w:rsidRPr="00B64B9F">
        <w:rPr>
          <w:rFonts w:asciiTheme="majorBidi" w:hAnsiTheme="majorBidi" w:cstheme="majorBidi"/>
          <w:shd w:val="clear" w:color="auto" w:fill="FFFFFF"/>
        </w:rPr>
        <w:t>)</w:t>
      </w:r>
      <w:r w:rsidRPr="00B64B9F">
        <w:rPr>
          <w:rFonts w:asciiTheme="majorBidi" w:hAnsiTheme="majorBidi" w:cstheme="majorBidi"/>
          <w:shd w:val="clear" w:color="auto" w:fill="FFFFFF"/>
        </w:rPr>
        <w:t>.</w:t>
      </w:r>
    </w:p>
    <w:p w14:paraId="0D5CA926" w14:textId="328DFC4D" w:rsidR="00A30DF8" w:rsidRPr="00B64B9F" w:rsidRDefault="00A30DF8" w:rsidP="00B64B9F">
      <w:pPr>
        <w:spacing w:line="276" w:lineRule="auto"/>
        <w:ind w:firstLine="720"/>
        <w:jc w:val="both"/>
        <w:rPr>
          <w:color w:val="000000"/>
        </w:rPr>
      </w:pPr>
      <w:r w:rsidRPr="00B64B9F">
        <w:rPr>
          <w:color w:val="000000"/>
        </w:rPr>
        <w:t xml:space="preserve">Atbilstoši </w:t>
      </w:r>
      <w:r w:rsidRPr="00B64B9F">
        <w:rPr>
          <w:rFonts w:asciiTheme="majorBidi" w:hAnsiTheme="majorBidi" w:cstheme="majorBidi"/>
          <w:shd w:val="clear" w:color="auto" w:fill="FFFFFF"/>
        </w:rPr>
        <w:t>Kaitējuma atlīdzināšanas likum</w:t>
      </w:r>
      <w:r w:rsidR="00DC6909" w:rsidRPr="00B64B9F">
        <w:rPr>
          <w:rFonts w:asciiTheme="majorBidi" w:hAnsiTheme="majorBidi" w:cstheme="majorBidi"/>
          <w:shd w:val="clear" w:color="auto" w:fill="FFFFFF"/>
        </w:rPr>
        <w:t>a</w:t>
      </w:r>
      <w:r w:rsidRPr="00B64B9F">
        <w:rPr>
          <w:color w:val="000000"/>
        </w:rPr>
        <w:t xml:space="preserve"> 6.panta pirmajai daļai iestādes, prokuratūras vai tiesas rīcība šā likuma izpratnē ir </w:t>
      </w:r>
      <w:r w:rsidRPr="00B64B9F">
        <w:rPr>
          <w:i/>
          <w:iCs/>
          <w:color w:val="000000"/>
        </w:rPr>
        <w:t>prettiesiska</w:t>
      </w:r>
      <w:r w:rsidRPr="00B64B9F">
        <w:rPr>
          <w:color w:val="000000"/>
        </w:rPr>
        <w:t>, ja ar šo rīcību pārkāptas tiesību normas un vēlāk iestājies viens no šajā likumā norādītajiem kaitējuma atlīdzinājuma tiesiskajiem pamatiem. Prettiesisku rīcību konstatē ar iestādes, kriminālprocesā pilnvarotas amatpersonas vai tiesas nolēmumu.</w:t>
      </w:r>
    </w:p>
    <w:p w14:paraId="36D1C70F" w14:textId="69F5AF84" w:rsidR="00A30DF8" w:rsidRPr="00B64B9F" w:rsidRDefault="00A30DF8" w:rsidP="00B64B9F">
      <w:pPr>
        <w:spacing w:line="276" w:lineRule="auto"/>
        <w:ind w:firstLine="720"/>
        <w:jc w:val="both"/>
        <w:rPr>
          <w:color w:val="000000"/>
        </w:rPr>
      </w:pPr>
      <w:r w:rsidRPr="00B64B9F">
        <w:rPr>
          <w:color w:val="000000"/>
        </w:rPr>
        <w:t xml:space="preserve">Savukārt šā likuma 6.panta otrā daļa noteic, ka iestādes, prokuratūras, tiesas vai Noziedzīgi iegūtu līdzekļu legalizācijas novēršanas dienesta rīcība šā likuma izpratnē ir </w:t>
      </w:r>
      <w:r w:rsidRPr="00B64B9F">
        <w:rPr>
          <w:i/>
          <w:iCs/>
          <w:color w:val="000000"/>
        </w:rPr>
        <w:t>nepamatota</w:t>
      </w:r>
      <w:r w:rsidRPr="00B64B9F">
        <w:rPr>
          <w:color w:val="000000"/>
        </w:rPr>
        <w:t>, ja tā lēmums pieņemšanas brīdī ir atbildis tiesību normām, taču vēlāk iestājies viens no šajā likumā norādītajiem kaitējuma atlīdzinājuma tiesiskajiem pamatiem.</w:t>
      </w:r>
    </w:p>
    <w:p w14:paraId="59D4F649" w14:textId="0939D5D5" w:rsidR="00A30DF8" w:rsidRPr="00B64B9F" w:rsidRDefault="00A30DF8" w:rsidP="00B64B9F">
      <w:pPr>
        <w:spacing w:line="276" w:lineRule="auto"/>
        <w:ind w:firstLine="720"/>
        <w:jc w:val="both"/>
      </w:pPr>
      <w:r w:rsidRPr="00B64B9F">
        <w:t xml:space="preserve">Tātad no Kaitējuma atlīdzināšanas likuma normām izriet, ka personai ir tiesības uz atlīdzinājumu gan tad, ja iestāde rīkojusies prettiesiski, gan arī tad, ja iestāde rīkojusies tiesiski, taču, kā izrādījies vēlāk, nepamatoti. Pirmajā gadījumā atlīdzinājuma piešķiršanai nepieciešams kompetentās institūcijas lēmums par to, ka kāda konkrēta darbība bijusi prettiesiska, savukārt otrajā gadījumā šāds lēmums nav nepieciešams. Kaitējuma atlīdzināšanas likuma 6.panta otrā daļa kā vienīgo priekšnoteikumu tam, lai iestādes rīcība tiktu uzskatīta par nepamatotu, paredz apstākli, ka ir iestājies kāds no likumā minētajiem atlīdzinājuma tiesiskajiem pamatiem. </w:t>
      </w:r>
    </w:p>
    <w:p w14:paraId="76D656D6" w14:textId="77777777" w:rsidR="00A30DF8" w:rsidRPr="00B64B9F" w:rsidRDefault="00A30DF8" w:rsidP="00B64B9F">
      <w:pPr>
        <w:spacing w:line="276" w:lineRule="auto"/>
        <w:ind w:firstLine="720"/>
        <w:jc w:val="both"/>
      </w:pPr>
    </w:p>
    <w:p w14:paraId="7E73EC1A" w14:textId="03869924" w:rsidR="00B608B8" w:rsidRPr="00B64B9F" w:rsidRDefault="00B608B8" w:rsidP="00B64B9F">
      <w:pPr>
        <w:spacing w:line="276" w:lineRule="auto"/>
        <w:ind w:firstLine="720"/>
        <w:jc w:val="both"/>
      </w:pPr>
      <w:r w:rsidRPr="00B64B9F">
        <w:t>[6] </w:t>
      </w:r>
      <w:bookmarkStart w:id="2" w:name="_Hlk192510301"/>
      <w:r w:rsidRPr="00B64B9F">
        <w:t xml:space="preserve">Kaitējuma atlīdzināšanas likuma 2.panta otrā daļa noteic, ka šā likuma noteikumi piemērojami arī šajā likumā tieši neminētos gadījumos, ja kriminālprocesā vai administratīvā pārkāpuma lietvedībā privātpersonai nodarīts kaitējums iestādes, prokuratūras vai tiesas </w:t>
      </w:r>
      <w:r w:rsidRPr="00B64B9F">
        <w:rPr>
          <w:i/>
          <w:iCs/>
        </w:rPr>
        <w:t>prettiesiskas</w:t>
      </w:r>
      <w:r w:rsidRPr="00B64B9F">
        <w:t xml:space="preserve"> rīcības dēļ.</w:t>
      </w:r>
    </w:p>
    <w:bookmarkEnd w:id="2"/>
    <w:p w14:paraId="74B8CAFC" w14:textId="0DF6B1C2" w:rsidR="00B608B8" w:rsidRPr="00B64B9F" w:rsidRDefault="002063C2" w:rsidP="00B64B9F">
      <w:pPr>
        <w:spacing w:line="276" w:lineRule="auto"/>
        <w:ind w:firstLine="720"/>
        <w:jc w:val="both"/>
      </w:pPr>
      <w:r w:rsidRPr="00B64B9F">
        <w:lastRenderedPageBreak/>
        <w:t>Minētais kopsakarā ar</w:t>
      </w:r>
      <w:r w:rsidRPr="00B64B9F">
        <w:rPr>
          <w:rFonts w:asciiTheme="majorBidi" w:hAnsiTheme="majorBidi" w:cstheme="majorBidi"/>
          <w:shd w:val="clear" w:color="auto" w:fill="FFFFFF"/>
        </w:rPr>
        <w:t xml:space="preserve"> Kaitējuma atlīdzināšanas likums</w:t>
      </w:r>
      <w:r w:rsidRPr="00B64B9F">
        <w:t xml:space="preserve"> 6.panta pirmo daļu nozīmē, ka kaitējuma atlīdzinājuma tiesiskais pamats likumā tieši neminētos gadījumos nesaraujami ir saistīts ar prettiesisko rīcību, kā arī ir nepieciešams kompetentās iestādes, kriminālprocesā pilnvarotas amatpersonas vai tiesas nolēmumu, ar kuru konkrētā rīcība ir atzīta par prettiesisku </w:t>
      </w:r>
      <w:r w:rsidR="00B608B8" w:rsidRPr="00B64B9F">
        <w:t xml:space="preserve">(sal. </w:t>
      </w:r>
      <w:r w:rsidR="00B608B8" w:rsidRPr="00B64B9F">
        <w:rPr>
          <w:i/>
          <w:iCs/>
        </w:rPr>
        <w:t>Senāta</w:t>
      </w:r>
      <w:r w:rsidR="00DC6909" w:rsidRPr="00B64B9F">
        <w:rPr>
          <w:i/>
          <w:iCs/>
        </w:rPr>
        <w:t xml:space="preserve"> 2020.gada 17.februāra lēmuma lietā Nr. SKA</w:t>
      </w:r>
      <w:r w:rsidR="00DC6909" w:rsidRPr="00B64B9F">
        <w:rPr>
          <w:i/>
          <w:iCs/>
        </w:rPr>
        <w:noBreakHyphen/>
        <w:t xml:space="preserve">863/2020, </w:t>
      </w:r>
      <w:hyperlink r:id="rId9" w:history="1">
        <w:r w:rsidR="00DC6909" w:rsidRPr="00B64B9F">
          <w:rPr>
            <w:rStyle w:val="Hyperlink"/>
            <w:i/>
            <w:iCs/>
          </w:rPr>
          <w:t>ECLI:LV:AT:2020:0217.SKA086320.4.L</w:t>
        </w:r>
      </w:hyperlink>
      <w:r w:rsidR="00DC6909" w:rsidRPr="00B64B9F">
        <w:rPr>
          <w:i/>
          <w:iCs/>
        </w:rPr>
        <w:t xml:space="preserve">, 4.punkts, </w:t>
      </w:r>
      <w:r w:rsidR="00B608B8" w:rsidRPr="00B64B9F">
        <w:rPr>
          <w:i/>
          <w:iCs/>
        </w:rPr>
        <w:t>2020.gada 16.jūnija lēmuma lietā Nr.</w:t>
      </w:r>
      <w:r w:rsidRPr="00B64B9F">
        <w:rPr>
          <w:i/>
          <w:iCs/>
        </w:rPr>
        <w:t> </w:t>
      </w:r>
      <w:r w:rsidR="00B608B8" w:rsidRPr="00B64B9F">
        <w:rPr>
          <w:i/>
          <w:iCs/>
        </w:rPr>
        <w:t>SKA-1123/2020</w:t>
      </w:r>
      <w:r w:rsidRPr="00B64B9F">
        <w:rPr>
          <w:i/>
          <w:iCs/>
        </w:rPr>
        <w:t>,</w:t>
      </w:r>
      <w:r w:rsidR="00B608B8" w:rsidRPr="00B64B9F">
        <w:rPr>
          <w:i/>
          <w:iCs/>
        </w:rPr>
        <w:t xml:space="preserve"> </w:t>
      </w:r>
      <w:hyperlink r:id="rId10" w:history="1">
        <w:r w:rsidR="00DC6909" w:rsidRPr="00B64B9F">
          <w:rPr>
            <w:rStyle w:val="Hyperlink"/>
            <w:i/>
            <w:iCs/>
          </w:rPr>
          <w:t>ECLI:LV:AT:2020:0616.A420215019.13.L</w:t>
        </w:r>
      </w:hyperlink>
      <w:r w:rsidRPr="00B64B9F">
        <w:rPr>
          <w:i/>
          <w:iCs/>
        </w:rPr>
        <w:t>,</w:t>
      </w:r>
      <w:r w:rsidR="00B608B8" w:rsidRPr="00B64B9F">
        <w:rPr>
          <w:i/>
          <w:iCs/>
        </w:rPr>
        <w:t xml:space="preserve"> 7.punkts</w:t>
      </w:r>
      <w:r w:rsidR="00B608B8" w:rsidRPr="00B64B9F">
        <w:t>). Savukārt lēmējiestāde, pamatojoties uz kompetentās iestādes vai tiesas nolēmumu, pieņem lēmumu par kaitējuma atlīdzinājumu. Tas nozīmē</w:t>
      </w:r>
      <w:r w:rsidR="004252CB" w:rsidRPr="00B64B9F">
        <w:t xml:space="preserve">: </w:t>
      </w:r>
      <w:r w:rsidR="00B608B8" w:rsidRPr="00B64B9F">
        <w:t>ja privātpersonas iesniegumā lūgts atlīdzināt kaitējumu, kas radies iestādes prettiesiskas rīcības dēļ, būtu jābūt arī norādei uz tādu nolēmumu, ar kuru šī prettiesiskā rīcība ir konstatēta.</w:t>
      </w:r>
    </w:p>
    <w:p w14:paraId="36E699E9" w14:textId="42FD9ECB" w:rsidR="004252CB" w:rsidRPr="00B64B9F" w:rsidRDefault="00914A98" w:rsidP="00B64B9F">
      <w:pPr>
        <w:autoSpaceDE w:val="0"/>
        <w:autoSpaceDN w:val="0"/>
        <w:adjustRightInd w:val="0"/>
        <w:spacing w:line="276" w:lineRule="auto"/>
        <w:ind w:firstLine="709"/>
        <w:jc w:val="both"/>
      </w:pPr>
      <w:r w:rsidRPr="00B64B9F">
        <w:rPr>
          <w:rFonts w:asciiTheme="majorBidi" w:hAnsiTheme="majorBidi" w:cstheme="majorBidi"/>
          <w:iCs/>
        </w:rPr>
        <w:t>Tiesnesis pareizi konstatējis, ka i</w:t>
      </w:r>
      <w:r w:rsidR="00B608B8" w:rsidRPr="00B64B9F">
        <w:t>zskatāmajā gadījumā nav pieņemts tāds nolēmums, ar kuru iestādes vai tiesas rīcība</w:t>
      </w:r>
      <w:r w:rsidR="00D436C2" w:rsidRPr="00B64B9F">
        <w:t xml:space="preserve"> sakarā ar mantas arestu</w:t>
      </w:r>
      <w:r w:rsidR="00B608B8" w:rsidRPr="00B64B9F">
        <w:t xml:space="preserve"> būtu atzīta par prettiesisku</w:t>
      </w:r>
      <w:r w:rsidR="00D436C2" w:rsidRPr="00B64B9F">
        <w:t>.</w:t>
      </w:r>
      <w:r w:rsidR="004252CB" w:rsidRPr="00B64B9F">
        <w:t xml:space="preserve"> Ekonomisko lietu tiesas lēmumā par procesu par noziedzīgi iegūtu mantu izbeigšanu nav vērtēts aresta tiesiskums, tāds nav arī šā </w:t>
      </w:r>
      <w:r w:rsidR="00FE51E7" w:rsidRPr="00B64B9F">
        <w:t xml:space="preserve">tiesas </w:t>
      </w:r>
      <w:r w:rsidR="004252CB" w:rsidRPr="00B64B9F">
        <w:t xml:space="preserve">lēmuma mērķis. </w:t>
      </w:r>
      <w:r w:rsidR="008F696E" w:rsidRPr="00B64B9F">
        <w:t>Tāpēc tiesneša secinājums, ka pieteicējai nav subjektīvo tiesību vērsties tiesā ar pieteikumu par kriminālprocesā nodarītā kaitējuma atlīdzinājumu, pamatojoties uz Kaitējuma atlīdzināšanas likuma 2.panta otro daļu, vispārīgi ir pareizs.</w:t>
      </w:r>
    </w:p>
    <w:p w14:paraId="38146C96" w14:textId="30BBA0B5" w:rsidR="00FE51E7" w:rsidRPr="00B64B9F" w:rsidRDefault="008F696E" w:rsidP="00B64B9F">
      <w:pPr>
        <w:autoSpaceDE w:val="0"/>
        <w:autoSpaceDN w:val="0"/>
        <w:adjustRightInd w:val="0"/>
        <w:spacing w:line="276" w:lineRule="auto"/>
        <w:ind w:firstLine="709"/>
        <w:jc w:val="both"/>
      </w:pPr>
      <w:r w:rsidRPr="00B64B9F">
        <w:t xml:space="preserve">Vienlaikus </w:t>
      </w:r>
      <w:r w:rsidR="00FE51E7" w:rsidRPr="00B64B9F">
        <w:t>ņemams</w:t>
      </w:r>
      <w:r w:rsidRPr="00B64B9F">
        <w:t xml:space="preserve"> vērā</w:t>
      </w:r>
      <w:r w:rsidR="007577E9" w:rsidRPr="00B64B9F">
        <w:t>, k</w:t>
      </w:r>
      <w:r w:rsidR="00FE51E7" w:rsidRPr="00B64B9F">
        <w:t>a</w:t>
      </w:r>
      <w:r w:rsidR="007577E9" w:rsidRPr="00B64B9F">
        <w:t xml:space="preserve"> </w:t>
      </w:r>
      <w:r w:rsidR="00FE51E7" w:rsidRPr="00B64B9F">
        <w:t>n</w:t>
      </w:r>
      <w:r w:rsidR="004252CB" w:rsidRPr="00B64B9F">
        <w:t xml:space="preserve">e pieteicējas iesniegums iestādei, ne pieteikums tiesai nav pamatots ar Kaitējuma atlīdzināšanas likuma 2.panta otro daļu. </w:t>
      </w:r>
      <w:r w:rsidR="00FE51E7" w:rsidRPr="00B64B9F">
        <w:t>Līdz ar to pārbaudāms, vai pieteicējas tiesības vērsties tiesā ar konkrēto pieteikumu izriet no pieteicējas norādītajiem tiesību normu piemērošanas apsvērumiem.</w:t>
      </w:r>
    </w:p>
    <w:p w14:paraId="65E4080D" w14:textId="77777777" w:rsidR="008F696E" w:rsidRPr="00B64B9F" w:rsidRDefault="008F696E" w:rsidP="00B64B9F">
      <w:pPr>
        <w:autoSpaceDE w:val="0"/>
        <w:autoSpaceDN w:val="0"/>
        <w:adjustRightInd w:val="0"/>
        <w:spacing w:line="276" w:lineRule="auto"/>
        <w:ind w:firstLine="709"/>
        <w:jc w:val="both"/>
      </w:pPr>
    </w:p>
    <w:p w14:paraId="2F89BBA5" w14:textId="56CEF4E2" w:rsidR="007577E9" w:rsidRPr="00B64B9F" w:rsidRDefault="008F696E" w:rsidP="00B64B9F">
      <w:pPr>
        <w:autoSpaceDE w:val="0"/>
        <w:autoSpaceDN w:val="0"/>
        <w:adjustRightInd w:val="0"/>
        <w:spacing w:line="276" w:lineRule="auto"/>
        <w:ind w:firstLine="709"/>
        <w:jc w:val="both"/>
        <w:rPr>
          <w:color w:val="000000"/>
        </w:rPr>
      </w:pPr>
      <w:r w:rsidRPr="00B64B9F">
        <w:t>[7] </w:t>
      </w:r>
      <w:r w:rsidR="007577E9" w:rsidRPr="00B64B9F">
        <w:t xml:space="preserve">Pieteicēja blakus sūdzībā norāda, ka gan iesniegums iestādei, gan pieteikums tiesai ir pamatots ar </w:t>
      </w:r>
      <w:r w:rsidR="00CA1530" w:rsidRPr="00B64B9F">
        <w:rPr>
          <w:color w:val="000000"/>
        </w:rPr>
        <w:t>Kaitējuma atlīdzināšanas likuma 4.pant</w:t>
      </w:r>
      <w:r w:rsidR="007577E9" w:rsidRPr="00B64B9F">
        <w:rPr>
          <w:color w:val="000000"/>
        </w:rPr>
        <w:t>a pirmo daļu, kurā norādīti gadījumi, ka</w:t>
      </w:r>
      <w:r w:rsidR="00954171" w:rsidRPr="00B64B9F">
        <w:rPr>
          <w:color w:val="000000"/>
        </w:rPr>
        <w:t>d</w:t>
      </w:r>
      <w:r w:rsidR="007577E9" w:rsidRPr="00B64B9F">
        <w:rPr>
          <w:color w:val="000000"/>
        </w:rPr>
        <w:t xml:space="preserve"> persona</w:t>
      </w:r>
      <w:r w:rsidR="00B162B6" w:rsidRPr="00B64B9F">
        <w:rPr>
          <w:color w:val="000000"/>
        </w:rPr>
        <w:t>i</w:t>
      </w:r>
      <w:r w:rsidR="007577E9" w:rsidRPr="00B64B9F">
        <w:rPr>
          <w:color w:val="000000"/>
        </w:rPr>
        <w:t xml:space="preserve"> rodas tiesības uz kaitējuma atlīdzinājumu iestādes, prokuratūras, tiesas vai Noziedzīgi iegūtu līdzekļu legalizācijas novēršanas dienesta </w:t>
      </w:r>
      <w:r w:rsidR="007577E9" w:rsidRPr="00B64B9F">
        <w:rPr>
          <w:i/>
          <w:iCs/>
          <w:color w:val="000000"/>
        </w:rPr>
        <w:t xml:space="preserve">nepamatotas </w:t>
      </w:r>
      <w:r w:rsidR="007577E9" w:rsidRPr="00B64B9F">
        <w:rPr>
          <w:color w:val="000000"/>
        </w:rPr>
        <w:t xml:space="preserve">rīcības dēļ. Pieteicēja uzskata, ka ir konstatējams likuma robs, proti, ka šajā tiesību </w:t>
      </w:r>
      <w:r w:rsidR="00954171" w:rsidRPr="00B64B9F">
        <w:rPr>
          <w:color w:val="000000"/>
        </w:rPr>
        <w:t xml:space="preserve">normā </w:t>
      </w:r>
      <w:r w:rsidR="007577E9" w:rsidRPr="00B64B9F">
        <w:rPr>
          <w:color w:val="000000"/>
        </w:rPr>
        <w:t>būtu jābūt ierakstītam gadījumam, kas attiecas uz kriminālprocesā aizskarto mantas īpašnieku, kura mantai kriminālprocesa ietvaros arests ir atcelts.</w:t>
      </w:r>
    </w:p>
    <w:p w14:paraId="6603887D" w14:textId="0AB0304F" w:rsidR="00986A46" w:rsidRPr="00B64B9F" w:rsidRDefault="007577E9" w:rsidP="00B64B9F">
      <w:pPr>
        <w:autoSpaceDE w:val="0"/>
        <w:autoSpaceDN w:val="0"/>
        <w:adjustRightInd w:val="0"/>
        <w:spacing w:line="276" w:lineRule="auto"/>
        <w:ind w:firstLine="709"/>
        <w:jc w:val="both"/>
        <w:rPr>
          <w:color w:val="000000"/>
        </w:rPr>
      </w:pPr>
      <w:r w:rsidRPr="00B64B9F">
        <w:rPr>
          <w:color w:val="000000"/>
        </w:rPr>
        <w:t xml:space="preserve">Kaitējuma atlīdzināšanas likuma 4.pants </w:t>
      </w:r>
      <w:r w:rsidR="00CA1530" w:rsidRPr="00B64B9F">
        <w:rPr>
          <w:color w:val="000000"/>
        </w:rPr>
        <w:t xml:space="preserve">noteic kriminālprocesā nodarītā kaitējuma atlīdzināšanas tiesiskos pamatus. </w:t>
      </w:r>
      <w:r w:rsidR="008F696E" w:rsidRPr="00B64B9F">
        <w:rPr>
          <w:color w:val="000000"/>
        </w:rPr>
        <w:t xml:space="preserve">Panta pirmajā daļā </w:t>
      </w:r>
      <w:r w:rsidR="004655A3" w:rsidRPr="00B64B9F">
        <w:rPr>
          <w:color w:val="000000"/>
        </w:rPr>
        <w:t xml:space="preserve">uzskaitīti </w:t>
      </w:r>
      <w:r w:rsidRPr="00B64B9F">
        <w:rPr>
          <w:color w:val="000000"/>
        </w:rPr>
        <w:t>konkrēti</w:t>
      </w:r>
      <w:r w:rsidR="008F696E" w:rsidRPr="00B64B9F">
        <w:rPr>
          <w:color w:val="000000"/>
        </w:rPr>
        <w:t xml:space="preserve"> gadījumi</w:t>
      </w:r>
      <w:r w:rsidR="004655A3" w:rsidRPr="00B64B9F">
        <w:rPr>
          <w:color w:val="000000"/>
        </w:rPr>
        <w:t xml:space="preserve">, kas </w:t>
      </w:r>
      <w:r w:rsidR="00986A46" w:rsidRPr="00B64B9F">
        <w:rPr>
          <w:color w:val="000000"/>
        </w:rPr>
        <w:t>ir tiesiskais pamats prasīt atlīdzinājumu</w:t>
      </w:r>
      <w:r w:rsidR="00DA3FFC" w:rsidRPr="00B64B9F">
        <w:rPr>
          <w:color w:val="000000"/>
        </w:rPr>
        <w:t>.</w:t>
      </w:r>
      <w:r w:rsidR="00954171" w:rsidRPr="00B64B9F">
        <w:rPr>
          <w:color w:val="000000"/>
        </w:rPr>
        <w:t xml:space="preserve"> </w:t>
      </w:r>
      <w:r w:rsidR="00986A46" w:rsidRPr="00B64B9F">
        <w:rPr>
          <w:color w:val="000000"/>
        </w:rPr>
        <w:t xml:space="preserve">No </w:t>
      </w:r>
      <w:r w:rsidR="00DA3FFC" w:rsidRPr="00B64B9F">
        <w:rPr>
          <w:color w:val="000000"/>
        </w:rPr>
        <w:t>šajā</w:t>
      </w:r>
      <w:r w:rsidR="00986A46" w:rsidRPr="00B64B9F">
        <w:rPr>
          <w:color w:val="000000"/>
        </w:rPr>
        <w:t xml:space="preserve"> tiesību norm</w:t>
      </w:r>
      <w:r w:rsidR="00DA3FFC" w:rsidRPr="00B64B9F">
        <w:rPr>
          <w:color w:val="000000"/>
        </w:rPr>
        <w:t>ā minētajiem gadījumiem (piemēram, spēkā stājies attaisnojošs tiesas spriedums, ar kuru persona atzīta par nevainīgu un attaisnota visās pret to celtajās apsūdzībās (</w:t>
      </w:r>
      <w:r w:rsidR="00DA3FFC" w:rsidRPr="00B64B9F">
        <w:rPr>
          <w:i/>
          <w:iCs/>
          <w:color w:val="000000"/>
        </w:rPr>
        <w:t>4.panta pirmās daļas 1.punkts</w:t>
      </w:r>
      <w:r w:rsidR="00DA3FFC" w:rsidRPr="00B64B9F">
        <w:rPr>
          <w:color w:val="000000"/>
        </w:rPr>
        <w:t>), kriminālprocess pilnībā izbeigts personu reabilitējošu apstākļu dēļ (</w:t>
      </w:r>
      <w:r w:rsidR="00DA3FFC" w:rsidRPr="00B64B9F">
        <w:rPr>
          <w:i/>
          <w:iCs/>
          <w:color w:val="000000"/>
        </w:rPr>
        <w:t>4.panta pirmās daļas 1.punkts</w:t>
      </w:r>
      <w:r w:rsidR="00DA3FFC" w:rsidRPr="00B64B9F">
        <w:rPr>
          <w:color w:val="000000"/>
        </w:rPr>
        <w:t>))</w:t>
      </w:r>
      <w:r w:rsidR="00986A46" w:rsidRPr="00B64B9F">
        <w:rPr>
          <w:color w:val="000000"/>
        </w:rPr>
        <w:t xml:space="preserve"> secināms, ka tiesisks pamats prasīt atlīdzinājumu </w:t>
      </w:r>
      <w:r w:rsidR="00DA3FFC" w:rsidRPr="00B64B9F">
        <w:rPr>
          <w:color w:val="000000"/>
        </w:rPr>
        <w:t>rodas</w:t>
      </w:r>
      <w:r w:rsidR="00986A46" w:rsidRPr="00B64B9F">
        <w:rPr>
          <w:color w:val="000000"/>
        </w:rPr>
        <w:t xml:space="preserve"> tad, kad kriminālprocess</w:t>
      </w:r>
      <w:r w:rsidR="00DA3FFC" w:rsidRPr="00B64B9F">
        <w:rPr>
          <w:color w:val="000000"/>
        </w:rPr>
        <w:t xml:space="preserve"> pilnībā vai daļā</w:t>
      </w:r>
      <w:r w:rsidR="00986A46" w:rsidRPr="00B64B9F">
        <w:rPr>
          <w:color w:val="000000"/>
        </w:rPr>
        <w:t xml:space="preserve"> ir noslēdzies, proti, ir spēkā</w:t>
      </w:r>
      <w:r w:rsidR="00954171" w:rsidRPr="00B64B9F">
        <w:rPr>
          <w:color w:val="000000"/>
        </w:rPr>
        <w:t xml:space="preserve"> stājies</w:t>
      </w:r>
      <w:r w:rsidR="00986A46" w:rsidRPr="00B64B9F">
        <w:rPr>
          <w:color w:val="000000"/>
        </w:rPr>
        <w:t xml:space="preserve"> attaisnojošs tiesas spriedums vai galīgais spriedums par brīvības atņemšanas soda ilgumu, vai arī kriminālprocess pilnībā vai daļ</w:t>
      </w:r>
      <w:r w:rsidR="00DA3FFC" w:rsidRPr="00B64B9F">
        <w:rPr>
          <w:color w:val="000000"/>
        </w:rPr>
        <w:t>ā</w:t>
      </w:r>
      <w:r w:rsidR="00986A46" w:rsidRPr="00B64B9F">
        <w:rPr>
          <w:color w:val="000000"/>
        </w:rPr>
        <w:t xml:space="preserve"> izbeigts personu reabilitējošu apstākļu dēļ. </w:t>
      </w:r>
      <w:r w:rsidR="009A6AC5" w:rsidRPr="00B64B9F">
        <w:rPr>
          <w:color w:val="000000"/>
        </w:rPr>
        <w:t>Savukārt attiecībā uz iznīcinātu vai nesamērīgi bojātu īpašumu ir nepieciešams kriminālprocesā pilnvarotas amatpersonas nolēmums</w:t>
      </w:r>
      <w:r w:rsidR="00B162B6" w:rsidRPr="00B64B9F">
        <w:rPr>
          <w:color w:val="000000"/>
        </w:rPr>
        <w:t>, ar kuru konstatēts</w:t>
      </w:r>
      <w:r w:rsidR="009A6AC5" w:rsidRPr="00B64B9F">
        <w:rPr>
          <w:color w:val="000000"/>
        </w:rPr>
        <w:t xml:space="preserve"> pārkāpum</w:t>
      </w:r>
      <w:r w:rsidR="00B162B6" w:rsidRPr="00B64B9F">
        <w:rPr>
          <w:color w:val="000000"/>
        </w:rPr>
        <w:t>s</w:t>
      </w:r>
      <w:r w:rsidR="009A6AC5" w:rsidRPr="00B64B9F">
        <w:rPr>
          <w:color w:val="000000"/>
        </w:rPr>
        <w:t xml:space="preserve"> </w:t>
      </w:r>
      <w:r w:rsidR="00B162B6" w:rsidRPr="00B64B9F">
        <w:rPr>
          <w:color w:val="000000"/>
        </w:rPr>
        <w:t>p</w:t>
      </w:r>
      <w:r w:rsidR="009A6AC5" w:rsidRPr="00B64B9F">
        <w:rPr>
          <w:color w:val="000000"/>
        </w:rPr>
        <w:t>rocesuālo darbību norisē.</w:t>
      </w:r>
    </w:p>
    <w:p w14:paraId="04C2B1CB" w14:textId="243A08A3" w:rsidR="00DA3FFC" w:rsidRPr="00B64B9F" w:rsidRDefault="006A094C" w:rsidP="00B64B9F">
      <w:pPr>
        <w:spacing w:line="276" w:lineRule="auto"/>
        <w:ind w:firstLine="720"/>
        <w:jc w:val="both"/>
      </w:pPr>
      <w:r w:rsidRPr="00B64B9F">
        <w:rPr>
          <w:color w:val="000000"/>
        </w:rPr>
        <w:t>Pieteicēja</w:t>
      </w:r>
      <w:r w:rsidR="009A6AC5" w:rsidRPr="00B64B9F">
        <w:rPr>
          <w:color w:val="000000"/>
        </w:rPr>
        <w:t xml:space="preserve"> pareizi norādījusi, ka šajā tiesību normā nav paredzēts gadījums, ka atlīdzinājumu var prasīt</w:t>
      </w:r>
      <w:r w:rsidRPr="00B64B9F">
        <w:rPr>
          <w:color w:val="000000"/>
        </w:rPr>
        <w:t xml:space="preserve"> </w:t>
      </w:r>
      <w:r w:rsidRPr="00B64B9F">
        <w:t>aizskart</w:t>
      </w:r>
      <w:r w:rsidR="009A6AC5" w:rsidRPr="00B64B9F">
        <w:t xml:space="preserve">ais </w:t>
      </w:r>
      <w:r w:rsidRPr="00B64B9F">
        <w:t>mantas īpašnie</w:t>
      </w:r>
      <w:r w:rsidR="009A6AC5" w:rsidRPr="00B64B9F">
        <w:t>ks,</w:t>
      </w:r>
      <w:r w:rsidRPr="00B64B9F">
        <w:t xml:space="preserve"> ja ir</w:t>
      </w:r>
      <w:r w:rsidR="00954171" w:rsidRPr="00B64B9F">
        <w:t xml:space="preserve"> spēkā</w:t>
      </w:r>
      <w:r w:rsidRPr="00B64B9F">
        <w:t xml:space="preserve"> stājies tiesas lēmums, ar kuru izbeigts process par noziedzīgi iegūtu mantu</w:t>
      </w:r>
      <w:r w:rsidR="009A6AC5" w:rsidRPr="00B64B9F">
        <w:t xml:space="preserve">. </w:t>
      </w:r>
      <w:r w:rsidR="00DA3FFC" w:rsidRPr="00B64B9F">
        <w:t>Taču</w:t>
      </w:r>
      <w:r w:rsidR="009A6AC5" w:rsidRPr="00B64B9F">
        <w:t xml:space="preserve"> Senāts uzskata, ka izskatāmajā </w:t>
      </w:r>
      <w:r w:rsidR="009A6AC5" w:rsidRPr="00B64B9F">
        <w:lastRenderedPageBreak/>
        <w:t>gadījumā</w:t>
      </w:r>
      <w:r w:rsidR="00DA3FFC" w:rsidRPr="00B64B9F">
        <w:t xml:space="preserve"> </w:t>
      </w:r>
      <w:r w:rsidR="00954171" w:rsidRPr="00B64B9F">
        <w:t>ir pāragri</w:t>
      </w:r>
      <w:r w:rsidR="00DA3FFC" w:rsidRPr="00B64B9F">
        <w:t xml:space="preserve"> vērtēt, vai minētais tiesas lēmums pats par sevi varētu būt pamats atlīdzinājuma prasījumam, jo pārsūdzētajā lēmumā kā pamatojums atteikumam izmaksāt atlīdzinājumu ir norādīts fakts, ka kriminālprocess ir ticis atjaunots. Tas nozīmē, ka kriminālprocesā nav pieņemts gala lēmums ne par tā izbeigšanu, ne arī kāds attaisnojošs vai notiesājošs nolēmums, proti, kriminālprocess nav noslēdzies.</w:t>
      </w:r>
    </w:p>
    <w:p w14:paraId="56EC3CA8" w14:textId="77777777" w:rsidR="00B162B6" w:rsidRPr="00B64B9F" w:rsidRDefault="00DA3FFC" w:rsidP="00B64B9F">
      <w:pPr>
        <w:spacing w:line="276" w:lineRule="auto"/>
        <w:ind w:firstLine="720"/>
        <w:jc w:val="both"/>
      </w:pPr>
      <w:r w:rsidRPr="00B64B9F">
        <w:t xml:space="preserve">Turklāt konkrētajā gadījumā ir jāņem vērā, ka saskaņā ar Krimināllikuma 195.panta </w:t>
      </w:r>
      <w:r w:rsidR="006840F7" w:rsidRPr="00B64B9F">
        <w:t>trešo daļu (</w:t>
      </w:r>
      <w:r w:rsidR="006840F7" w:rsidRPr="00B64B9F">
        <w:rPr>
          <w:i/>
          <w:iCs/>
        </w:rPr>
        <w:t>noziedzīgi iegūtu finanšu līdzekļu vai citas mantas legalizēšana lielā apmērā vai ja tās izdarījusi organizēta grupa</w:t>
      </w:r>
      <w:r w:rsidR="006840F7" w:rsidRPr="00B64B9F">
        <w:t>) noziedzīga nodarījuma priekšmets ir tieši naudas līdzekļi un finanšu instrumenti, par kuru aresta laiku pieteicēja vēlas saņemt atlīdzinājumu. Līdz ar to, kamēr nav noslēdzies kriminālprocess, nav pamata secināt, ka jautājums par naudas līdzekļiem un finanšu instrumentiem ir galīgi izlemts. Mantas atzīšana par noziedzīgi iegūtu un tās konfiskācija ir viens no kriminālprocesā risināmajiem mantiskajiem jautājumiem</w:t>
      </w:r>
      <w:r w:rsidR="009279C5" w:rsidRPr="00B64B9F">
        <w:t>. Tas var tikt risināts kriminālprocesā vispārējā kārtībā vienlaikus ar attiecīgu nolēmumu kriminālprocesā, gan arī izdalot pirmstiesas kriminālprocesā no krimināllietas materiālus par noziedzīgi iegūtu mantu un uzsākot procesu Kriminālprocesa likuma 59.nodaļas kārtībā</w:t>
      </w:r>
      <w:r w:rsidR="00954171" w:rsidRPr="00B64B9F">
        <w:t>, kā tas ir ticis darīts izskatāmajā gadījumā</w:t>
      </w:r>
      <w:r w:rsidR="009279C5" w:rsidRPr="00B64B9F">
        <w:t xml:space="preserve">. </w:t>
      </w:r>
      <w:r w:rsidR="00954171" w:rsidRPr="00B64B9F">
        <w:t>Taču, j</w:t>
      </w:r>
      <w:r w:rsidR="009279C5" w:rsidRPr="00B64B9F">
        <w:t xml:space="preserve">a vēl turpinās kriminālprocess, nav pamata atzīt, ka mantiskais jautājums gadījumā, kad </w:t>
      </w:r>
      <w:r w:rsidR="00954171" w:rsidRPr="00B64B9F">
        <w:t xml:space="preserve">ar Ekonomisko lietu tiesas lēmumu </w:t>
      </w:r>
      <w:r w:rsidR="009279C5" w:rsidRPr="00B64B9F">
        <w:t>process par noziedzīgi iegūtu mantu ir izbeigts, ir atrisināts</w:t>
      </w:r>
      <w:r w:rsidR="00960D90" w:rsidRPr="00B64B9F">
        <w:t>. T</w:t>
      </w:r>
      <w:r w:rsidR="009279C5" w:rsidRPr="00B64B9F">
        <w:t xml:space="preserve">as </w:t>
      </w:r>
      <w:r w:rsidR="00954171" w:rsidRPr="00B64B9F">
        <w:t xml:space="preserve">arvien vēl </w:t>
      </w:r>
      <w:r w:rsidR="009279C5" w:rsidRPr="00B64B9F">
        <w:t>risinā</w:t>
      </w:r>
      <w:r w:rsidR="00954171" w:rsidRPr="00B64B9F">
        <w:t>m</w:t>
      </w:r>
      <w:r w:rsidR="009279C5" w:rsidRPr="00B64B9F">
        <w:t>s kriminālprocesā vispārējā kārtībā</w:t>
      </w:r>
      <w:r w:rsidR="00960D90" w:rsidRPr="00B64B9F">
        <w:t>, jo tas ir saistīts ar kriminālprocesā izmeklējamā noziedzīgā nodarījuma objektīvo pusi</w:t>
      </w:r>
      <w:r w:rsidR="009279C5" w:rsidRPr="00B64B9F">
        <w:t>.</w:t>
      </w:r>
    </w:p>
    <w:p w14:paraId="6029D077" w14:textId="5C9553FF" w:rsidR="00B162B6" w:rsidRPr="00B64B9F" w:rsidRDefault="00B162B6" w:rsidP="00B64B9F">
      <w:pPr>
        <w:spacing w:line="276" w:lineRule="auto"/>
        <w:ind w:firstLine="720"/>
        <w:jc w:val="both"/>
      </w:pPr>
      <w:r w:rsidRPr="00B64B9F">
        <w:t xml:space="preserve">Līdz ar to Senāts arī nepiekrīt pieteicējai, ka tas, ka likumdevējs </w:t>
      </w:r>
      <w:r w:rsidRPr="00B64B9F">
        <w:rPr>
          <w:color w:val="000000"/>
        </w:rPr>
        <w:t xml:space="preserve">Kaitējuma atlīdzināšanas likuma 4.pantā nav paredzējis, ka kriminālprocesa turpināšanās gadījumā Ekonomisko lietu tiesas lēmums par </w:t>
      </w:r>
      <w:r w:rsidRPr="00B64B9F">
        <w:t>procesa par noziedzīgi iegūtu mantu izbeigšanu dod aizskartajam mantas īpašniekam tiesības uz atlīdzinājumu, liecina par likuma robu. No likuma normām izriet likumdevēja griba atlīdzinājuma jautājumu risināt tad, kas kriminālprocess ir galīgi noslēdzies.</w:t>
      </w:r>
    </w:p>
    <w:p w14:paraId="15A2B3EF" w14:textId="77777777" w:rsidR="00B162B6" w:rsidRPr="00B64B9F" w:rsidRDefault="00B162B6" w:rsidP="00B64B9F">
      <w:pPr>
        <w:spacing w:line="276" w:lineRule="auto"/>
        <w:ind w:firstLine="720"/>
        <w:jc w:val="both"/>
      </w:pPr>
    </w:p>
    <w:p w14:paraId="1EE857EF" w14:textId="67C45765" w:rsidR="00365F4A" w:rsidRPr="00B64B9F" w:rsidRDefault="00365F4A" w:rsidP="00B64B9F">
      <w:pPr>
        <w:spacing w:line="276" w:lineRule="auto"/>
        <w:ind w:firstLine="720"/>
        <w:jc w:val="both"/>
        <w:rPr>
          <w:color w:val="000000"/>
        </w:rPr>
      </w:pPr>
      <w:r w:rsidRPr="00B64B9F">
        <w:t xml:space="preserve">[8] Ievērojot minēto, Senāts atzīst par pamatotu tiesneša lēmumā secināto, ka izskatāmajā gadījumā nav konstatējams kāds no </w:t>
      </w:r>
      <w:r w:rsidRPr="00B64B9F">
        <w:rPr>
          <w:color w:val="000000"/>
        </w:rPr>
        <w:t>Kaitējuma atlīdzināšanas likuma 4.panta pirmajā daļā minētajiem kaitējuma atlīdzināšanas tiesiskajiem pamatiem, kas pamatotu pieteicējas tiesības vērsties tiesā ar pieteikumu, proti, nav noslēdzošā lēmuma kriminālprocesā.</w:t>
      </w:r>
      <w:r w:rsidR="00B162B6" w:rsidRPr="00B64B9F">
        <w:rPr>
          <w:color w:val="000000"/>
        </w:rPr>
        <w:t xml:space="preserve"> Tāpat tiesnesis pareizi atzinis, ka konkrētajā gadījumā nav saskatāms likuma robs.</w:t>
      </w:r>
    </w:p>
    <w:p w14:paraId="12690B79" w14:textId="77777777" w:rsidR="00365F4A" w:rsidRPr="00B64B9F" w:rsidRDefault="00365F4A" w:rsidP="00B64B9F">
      <w:pPr>
        <w:spacing w:line="276" w:lineRule="auto"/>
        <w:ind w:firstLine="720"/>
        <w:jc w:val="both"/>
      </w:pPr>
      <w:r w:rsidRPr="00B64B9F">
        <w:rPr>
          <w:color w:val="000000"/>
        </w:rPr>
        <w:t xml:space="preserve">Līdz ar to tiesnesis ir pareizi atteicies pieņemt pieteikumu, pamatojoties uz </w:t>
      </w:r>
      <w:r w:rsidRPr="00B64B9F">
        <w:t>Administratīvā procesa likuma 191.panta pirmās daļas 8.punktu.</w:t>
      </w:r>
    </w:p>
    <w:p w14:paraId="40D4E8FF" w14:textId="77777777" w:rsidR="00365F4A" w:rsidRPr="00B64B9F" w:rsidRDefault="00365F4A" w:rsidP="00B64B9F">
      <w:pPr>
        <w:spacing w:line="276" w:lineRule="auto"/>
        <w:ind w:firstLine="720"/>
        <w:jc w:val="both"/>
      </w:pPr>
    </w:p>
    <w:p w14:paraId="574E3DB6" w14:textId="31B523F4" w:rsidR="00365F4A" w:rsidRPr="00B64B9F" w:rsidRDefault="00365F4A" w:rsidP="00B64B9F">
      <w:pPr>
        <w:spacing w:line="276" w:lineRule="auto"/>
        <w:ind w:firstLine="720"/>
        <w:jc w:val="both"/>
      </w:pPr>
      <w:r w:rsidRPr="00B64B9F">
        <w:t>[9] Nav pamatots</w:t>
      </w:r>
      <w:r w:rsidR="00B162B6" w:rsidRPr="00B64B9F">
        <w:t xml:space="preserve"> arī</w:t>
      </w:r>
      <w:r w:rsidRPr="00B64B9F">
        <w:t xml:space="preserve"> blakus sūdzības arguments, ka</w:t>
      </w:r>
      <w:r w:rsidR="00960D90" w:rsidRPr="00B64B9F">
        <w:t xml:space="preserve">, nepieņemot pieteikumu, </w:t>
      </w:r>
      <w:r w:rsidRPr="00B64B9F">
        <w:t xml:space="preserve">pieteicējai ir </w:t>
      </w:r>
      <w:r w:rsidRPr="00B64B9F">
        <w:rPr>
          <w:rFonts w:asciiTheme="majorBidi" w:hAnsiTheme="majorBidi" w:cstheme="majorBidi"/>
        </w:rPr>
        <w:t xml:space="preserve">liegtas Satversmes 92.pantā paredzētās tiesības uz </w:t>
      </w:r>
      <w:r w:rsidR="00960D90" w:rsidRPr="00B64B9F">
        <w:rPr>
          <w:rFonts w:asciiTheme="majorBidi" w:hAnsiTheme="majorBidi" w:cstheme="majorBidi"/>
        </w:rPr>
        <w:t xml:space="preserve">atlīdzinājumu un </w:t>
      </w:r>
      <w:r w:rsidRPr="00B64B9F">
        <w:rPr>
          <w:rFonts w:asciiTheme="majorBidi" w:hAnsiTheme="majorBidi" w:cstheme="majorBidi"/>
        </w:rPr>
        <w:t>uz taisnīgu tiesu.</w:t>
      </w:r>
      <w:r w:rsidR="00960D90" w:rsidRPr="00B64B9F">
        <w:rPr>
          <w:rFonts w:asciiTheme="majorBidi" w:hAnsiTheme="majorBidi" w:cstheme="majorBidi"/>
        </w:rPr>
        <w:t xml:space="preserve"> </w:t>
      </w:r>
      <w:r w:rsidR="00B162B6" w:rsidRPr="00B64B9F">
        <w:rPr>
          <w:rFonts w:asciiTheme="majorBidi" w:hAnsiTheme="majorBidi" w:cstheme="majorBidi"/>
        </w:rPr>
        <w:t>Satversmes tiesa ir atzinusi, ka personai savas aizskartās tiesības ir jāīsteno nevis tādā kārtībā, kādā tā vēlas vai kādu subjektīvi uzskata par lietderīgāko, bet gan tādā kārtībā, kādu noteicis likumdevējs (</w:t>
      </w:r>
      <w:r w:rsidR="00B162B6" w:rsidRPr="00B64B9F">
        <w:rPr>
          <w:rFonts w:asciiTheme="majorBidi" w:hAnsiTheme="majorBidi" w:cstheme="majorBidi"/>
          <w:i/>
          <w:iCs/>
        </w:rPr>
        <w:t>Satversmes tiesas 2012.gada 1.novembra sprieduma lietā Nr. </w:t>
      </w:r>
      <w:hyperlink r:id="rId11" w:history="1">
        <w:r w:rsidR="00B162B6" w:rsidRPr="00B64B9F">
          <w:rPr>
            <w:rStyle w:val="Hyperlink"/>
            <w:rFonts w:asciiTheme="majorBidi" w:hAnsiTheme="majorBidi" w:cstheme="majorBidi"/>
            <w:i/>
            <w:iCs/>
          </w:rPr>
          <w:t>2012-06-01</w:t>
        </w:r>
      </w:hyperlink>
      <w:r w:rsidR="00B162B6" w:rsidRPr="00B64B9F">
        <w:rPr>
          <w:rFonts w:asciiTheme="majorBidi" w:hAnsiTheme="majorBidi" w:cstheme="majorBidi"/>
          <w:i/>
          <w:iCs/>
        </w:rPr>
        <w:t xml:space="preserve"> 13.3.1.punkts</w:t>
      </w:r>
      <w:r w:rsidR="00B162B6" w:rsidRPr="00B64B9F">
        <w:rPr>
          <w:rFonts w:asciiTheme="majorBidi" w:hAnsiTheme="majorBidi" w:cstheme="majorBidi"/>
        </w:rPr>
        <w:t xml:space="preserve">). Senāts jau iepriekš konstatējis, ka atbilstoši Kaitējuma atlīdzināšanas likumā noteiktajai kārtībai šobrīd jautājums par atlīdzinājuma noteikšanu pieteicējai nevar tikt izskatīts, jo konkrētajā gadījumā vēl nav izpildīti visi likumā prasītie priekšnoteikumi. Līdz ar to šajā brīdī būtu pāragrs secinājums, ka </w:t>
      </w:r>
      <w:r w:rsidR="00B162B6" w:rsidRPr="00B64B9F">
        <w:rPr>
          <w:rFonts w:asciiTheme="majorBidi" w:hAnsiTheme="majorBidi" w:cstheme="majorBidi"/>
        </w:rPr>
        <w:lastRenderedPageBreak/>
        <w:t>Kaitējuma atlīdzināšanas likums nenodrošina pieteicējas Satversmes 92.pantā paredzēto tiesību īstenošanu.</w:t>
      </w:r>
    </w:p>
    <w:p w14:paraId="0CC8EA9A" w14:textId="77777777" w:rsidR="009A4FB5" w:rsidRPr="00B64B9F" w:rsidRDefault="009A4FB5" w:rsidP="00B64B9F">
      <w:pPr>
        <w:tabs>
          <w:tab w:val="left" w:pos="1276"/>
        </w:tabs>
        <w:spacing w:line="276" w:lineRule="auto"/>
        <w:ind w:firstLine="720"/>
        <w:jc w:val="both"/>
        <w:rPr>
          <w:color w:val="000000"/>
        </w:rPr>
      </w:pPr>
    </w:p>
    <w:p w14:paraId="1EF2CC29" w14:textId="77777777" w:rsidR="009149A2" w:rsidRPr="00B64B9F" w:rsidRDefault="009149A2" w:rsidP="00B64B9F">
      <w:pPr>
        <w:keepNext/>
        <w:spacing w:line="276" w:lineRule="auto"/>
        <w:jc w:val="center"/>
        <w:rPr>
          <w:b/>
        </w:rPr>
      </w:pPr>
      <w:r w:rsidRPr="00B64B9F">
        <w:rPr>
          <w:b/>
        </w:rPr>
        <w:t>Rezolutīvā daļa</w:t>
      </w:r>
    </w:p>
    <w:p w14:paraId="638EF8F0" w14:textId="77777777" w:rsidR="009149A2" w:rsidRPr="00B64B9F" w:rsidRDefault="009149A2" w:rsidP="00B64B9F">
      <w:pPr>
        <w:keepNext/>
        <w:spacing w:line="276" w:lineRule="auto"/>
        <w:ind w:firstLine="720"/>
        <w:jc w:val="both"/>
        <w:rPr>
          <w:bCs/>
        </w:rPr>
      </w:pPr>
    </w:p>
    <w:p w14:paraId="2EE960FA" w14:textId="76C8A624" w:rsidR="00FE58BD" w:rsidRPr="00B64B9F" w:rsidRDefault="00FE58BD" w:rsidP="00B64B9F">
      <w:pPr>
        <w:keepNext/>
        <w:spacing w:line="276" w:lineRule="auto"/>
        <w:ind w:firstLine="720"/>
        <w:jc w:val="both"/>
      </w:pPr>
      <w:r w:rsidRPr="00B64B9F">
        <w:t xml:space="preserve">Pamatojoties uz Administratīvā procesa likuma 323.panta pirmās daļas </w:t>
      </w:r>
      <w:r w:rsidR="00427AAE" w:rsidRPr="00B64B9F">
        <w:t>1</w:t>
      </w:r>
      <w:r w:rsidRPr="00B64B9F">
        <w:t>.punktu un 324.panta pirmo daļu, Senāts</w:t>
      </w:r>
    </w:p>
    <w:p w14:paraId="0024C9CC" w14:textId="77777777" w:rsidR="009149A2" w:rsidRPr="00B64B9F" w:rsidRDefault="009149A2" w:rsidP="00B64B9F">
      <w:pPr>
        <w:spacing w:line="276" w:lineRule="auto"/>
        <w:ind w:firstLine="567"/>
        <w:jc w:val="both"/>
        <w:rPr>
          <w:color w:val="000000"/>
        </w:rPr>
      </w:pPr>
    </w:p>
    <w:p w14:paraId="1E5E55FA" w14:textId="77777777" w:rsidR="009149A2" w:rsidRPr="00B64B9F" w:rsidRDefault="009149A2" w:rsidP="00B64B9F">
      <w:pPr>
        <w:tabs>
          <w:tab w:val="left" w:pos="2700"/>
          <w:tab w:val="left" w:pos="6660"/>
        </w:tabs>
        <w:spacing w:line="276" w:lineRule="auto"/>
        <w:jc w:val="center"/>
        <w:rPr>
          <w:b/>
        </w:rPr>
      </w:pPr>
      <w:bookmarkStart w:id="3" w:name="Dropdown14"/>
      <w:r w:rsidRPr="00B64B9F">
        <w:rPr>
          <w:b/>
        </w:rPr>
        <w:t>no</w:t>
      </w:r>
      <w:bookmarkEnd w:id="3"/>
      <w:r w:rsidRPr="00B64B9F">
        <w:rPr>
          <w:b/>
        </w:rPr>
        <w:t>lēma</w:t>
      </w:r>
    </w:p>
    <w:p w14:paraId="24151A83" w14:textId="77777777" w:rsidR="009149A2" w:rsidRPr="00B64B9F" w:rsidRDefault="009149A2" w:rsidP="00B64B9F">
      <w:pPr>
        <w:tabs>
          <w:tab w:val="left" w:pos="2700"/>
          <w:tab w:val="left" w:pos="6660"/>
        </w:tabs>
        <w:spacing w:line="276" w:lineRule="auto"/>
        <w:jc w:val="center"/>
        <w:rPr>
          <w:spacing w:val="70"/>
        </w:rPr>
      </w:pPr>
    </w:p>
    <w:p w14:paraId="0D313DA6" w14:textId="4EE0CADA" w:rsidR="007D376D" w:rsidRPr="00B64B9F" w:rsidRDefault="00DD77EE" w:rsidP="00B64B9F">
      <w:pPr>
        <w:spacing w:line="276" w:lineRule="auto"/>
        <w:ind w:firstLine="720"/>
        <w:jc w:val="both"/>
        <w:rPr>
          <w:color w:val="000000"/>
        </w:rPr>
      </w:pPr>
      <w:r w:rsidRPr="00B64B9F">
        <w:rPr>
          <w:color w:val="000000"/>
        </w:rPr>
        <w:t>a</w:t>
      </w:r>
      <w:r w:rsidR="00427AAE" w:rsidRPr="00B64B9F">
        <w:rPr>
          <w:color w:val="000000"/>
        </w:rPr>
        <w:t xml:space="preserve">tstāt Administratīvās rajona tiesas tiesneša 2024.gada 27.septembra lēmumu negrozītu, bet </w:t>
      </w:r>
      <w:r w:rsidR="003000F9" w:rsidRPr="00B64B9F">
        <w:t xml:space="preserve">[pers. A] </w:t>
      </w:r>
      <w:r w:rsidRPr="00B64B9F">
        <w:t>(</w:t>
      </w:r>
      <w:r w:rsidR="003000F9" w:rsidRPr="00B64B9F">
        <w:rPr>
          <w:i/>
          <w:iCs/>
        </w:rPr>
        <w:t>[pers. A]</w:t>
      </w:r>
      <w:r w:rsidRPr="00B64B9F">
        <w:t xml:space="preserve">) </w:t>
      </w:r>
      <w:r w:rsidR="00427AAE" w:rsidRPr="00B64B9F">
        <w:rPr>
          <w:color w:val="000000"/>
        </w:rPr>
        <w:t>blakus sūdzību noraidīt</w:t>
      </w:r>
      <w:r w:rsidRPr="00B64B9F">
        <w:rPr>
          <w:color w:val="000000"/>
        </w:rPr>
        <w:t>.</w:t>
      </w:r>
    </w:p>
    <w:p w14:paraId="186616FB" w14:textId="77777777" w:rsidR="00DD77EE" w:rsidRPr="00B64B9F" w:rsidRDefault="00DD77EE" w:rsidP="00B64B9F">
      <w:pPr>
        <w:spacing w:line="276" w:lineRule="auto"/>
        <w:ind w:firstLine="720"/>
        <w:jc w:val="both"/>
        <w:rPr>
          <w:color w:val="000000"/>
        </w:rPr>
      </w:pPr>
    </w:p>
    <w:p w14:paraId="6A327C11" w14:textId="213C1108" w:rsidR="00BA57C4" w:rsidRPr="00B64B9F" w:rsidRDefault="00BA57C4" w:rsidP="00B64B9F">
      <w:pPr>
        <w:spacing w:line="276" w:lineRule="auto"/>
        <w:ind w:firstLine="720"/>
        <w:jc w:val="both"/>
        <w:rPr>
          <w:color w:val="000000"/>
        </w:rPr>
      </w:pPr>
      <w:r w:rsidRPr="00B64B9F">
        <w:rPr>
          <w:color w:val="000000"/>
        </w:rPr>
        <w:t>Lēmums nav pārsūdzams.</w:t>
      </w:r>
    </w:p>
    <w:p w14:paraId="3B6A9C60" w14:textId="69D6771C" w:rsidR="00120869" w:rsidRDefault="00120869" w:rsidP="00384818">
      <w:pPr>
        <w:spacing w:line="276" w:lineRule="auto"/>
        <w:ind w:firstLine="720"/>
        <w:jc w:val="both"/>
        <w:rPr>
          <w:color w:val="000000"/>
        </w:rPr>
      </w:pPr>
    </w:p>
    <w:p w14:paraId="05629859" w14:textId="77777777" w:rsidR="00416552" w:rsidRPr="00910787" w:rsidRDefault="00416552" w:rsidP="00384818">
      <w:pPr>
        <w:spacing w:line="276" w:lineRule="auto"/>
        <w:ind w:firstLine="720"/>
        <w:jc w:val="both"/>
        <w:rPr>
          <w:color w:val="000000"/>
        </w:rPr>
      </w:pPr>
    </w:p>
    <w:p w14:paraId="63A46E32" w14:textId="48F45A65" w:rsidR="00384818" w:rsidRDefault="00384818" w:rsidP="00384818">
      <w:pPr>
        <w:spacing w:line="276" w:lineRule="auto"/>
        <w:ind w:firstLine="720"/>
        <w:jc w:val="both"/>
        <w:rPr>
          <w:color w:val="000000"/>
        </w:rPr>
      </w:pPr>
    </w:p>
    <w:p w14:paraId="3B83F0E3" w14:textId="77777777" w:rsidR="00384818" w:rsidRPr="00FE2105" w:rsidRDefault="00384818" w:rsidP="00384818">
      <w:pPr>
        <w:spacing w:line="276" w:lineRule="auto"/>
        <w:ind w:firstLine="720"/>
        <w:jc w:val="both"/>
        <w:rPr>
          <w:color w:val="000000"/>
        </w:rPr>
      </w:pPr>
    </w:p>
    <w:p w14:paraId="79CB111A" w14:textId="77777777" w:rsidR="00BA57C4" w:rsidRPr="009C0676" w:rsidRDefault="00BA57C4" w:rsidP="00384818">
      <w:pPr>
        <w:spacing w:line="276" w:lineRule="auto"/>
        <w:ind w:firstLine="720"/>
        <w:jc w:val="both"/>
        <w:rPr>
          <w:rFonts w:asciiTheme="majorBidi" w:hAnsiTheme="majorBidi" w:cstheme="majorBidi"/>
        </w:rPr>
      </w:pPr>
    </w:p>
    <w:sectPr w:rsidR="00BA57C4" w:rsidRPr="009C0676" w:rsidSect="00FC65A6">
      <w:footerReference w:type="default" r:id="rId12"/>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7BCDD" w14:textId="77777777" w:rsidR="00937781" w:rsidRDefault="00937781" w:rsidP="00D657BA">
      <w:r>
        <w:separator/>
      </w:r>
    </w:p>
  </w:endnote>
  <w:endnote w:type="continuationSeparator" w:id="0">
    <w:p w14:paraId="2D366D3C" w14:textId="77777777" w:rsidR="00937781" w:rsidRDefault="00937781" w:rsidP="00D6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78622993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56C13DC8" w14:textId="47D20E0B" w:rsidR="00684A29" w:rsidRPr="00F64E84" w:rsidRDefault="009B528C" w:rsidP="00CA63DE">
            <w:pPr>
              <w:pStyle w:val="Footer"/>
              <w:jc w:val="center"/>
              <w:rPr>
                <w:sz w:val="20"/>
                <w:szCs w:val="20"/>
              </w:rPr>
            </w:pPr>
            <w:r w:rsidRPr="00F64E84">
              <w:rPr>
                <w:sz w:val="20"/>
                <w:szCs w:val="20"/>
              </w:rPr>
              <w:fldChar w:fldCharType="begin"/>
            </w:r>
            <w:r w:rsidRPr="00F64E84">
              <w:rPr>
                <w:sz w:val="20"/>
                <w:szCs w:val="20"/>
              </w:rPr>
              <w:instrText xml:space="preserve"> PAGE </w:instrText>
            </w:r>
            <w:r w:rsidRPr="00F64E84">
              <w:rPr>
                <w:sz w:val="20"/>
                <w:szCs w:val="20"/>
              </w:rPr>
              <w:fldChar w:fldCharType="separate"/>
            </w:r>
            <w:r w:rsidR="00BC03E3" w:rsidRPr="00F64E84">
              <w:rPr>
                <w:noProof/>
                <w:sz w:val="20"/>
                <w:szCs w:val="20"/>
              </w:rPr>
              <w:t>2</w:t>
            </w:r>
            <w:r w:rsidRPr="00F64E84">
              <w:rPr>
                <w:sz w:val="20"/>
                <w:szCs w:val="20"/>
              </w:rPr>
              <w:fldChar w:fldCharType="end"/>
            </w:r>
            <w:r w:rsidRPr="00F64E84">
              <w:rPr>
                <w:sz w:val="20"/>
                <w:szCs w:val="20"/>
              </w:rPr>
              <w:t xml:space="preserve"> no </w:t>
            </w:r>
            <w:r w:rsidR="009C07E7" w:rsidRPr="00F64E84">
              <w:rPr>
                <w:noProof/>
                <w:sz w:val="20"/>
                <w:szCs w:val="20"/>
              </w:rPr>
              <w:fldChar w:fldCharType="begin"/>
            </w:r>
            <w:r w:rsidR="009C07E7" w:rsidRPr="00F64E84">
              <w:rPr>
                <w:noProof/>
                <w:sz w:val="20"/>
                <w:szCs w:val="20"/>
              </w:rPr>
              <w:instrText xml:space="preserve"> NUMPAGES  </w:instrText>
            </w:r>
            <w:r w:rsidR="009C07E7" w:rsidRPr="00F64E84">
              <w:rPr>
                <w:noProof/>
                <w:sz w:val="20"/>
                <w:szCs w:val="20"/>
              </w:rPr>
              <w:fldChar w:fldCharType="separate"/>
            </w:r>
            <w:r w:rsidR="00BC03E3" w:rsidRPr="00F64E84">
              <w:rPr>
                <w:noProof/>
                <w:sz w:val="20"/>
                <w:szCs w:val="20"/>
              </w:rPr>
              <w:t>2</w:t>
            </w:r>
            <w:r w:rsidR="009C07E7" w:rsidRPr="00F64E84">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1AC9F" w14:textId="77777777" w:rsidR="00937781" w:rsidRDefault="00937781" w:rsidP="00D657BA">
      <w:r>
        <w:separator/>
      </w:r>
    </w:p>
  </w:footnote>
  <w:footnote w:type="continuationSeparator" w:id="0">
    <w:p w14:paraId="58983568" w14:textId="77777777" w:rsidR="00937781" w:rsidRDefault="00937781" w:rsidP="00D65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F7748"/>
    <w:multiLevelType w:val="multilevel"/>
    <w:tmpl w:val="0368E62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74347A"/>
    <w:multiLevelType w:val="hybridMultilevel"/>
    <w:tmpl w:val="C7DE4662"/>
    <w:lvl w:ilvl="0" w:tplc="57EC629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5FB43945"/>
    <w:multiLevelType w:val="hybridMultilevel"/>
    <w:tmpl w:val="B0403148"/>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74C57BBD"/>
    <w:multiLevelType w:val="hybridMultilevel"/>
    <w:tmpl w:val="BB60E1B8"/>
    <w:lvl w:ilvl="0" w:tplc="57EC6298">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87565928">
    <w:abstractNumId w:val="0"/>
  </w:num>
  <w:num w:numId="2" w16cid:durableId="26804953">
    <w:abstractNumId w:val="2"/>
  </w:num>
  <w:num w:numId="3" w16cid:durableId="1023166192">
    <w:abstractNumId w:val="1"/>
  </w:num>
  <w:num w:numId="4" w16cid:durableId="1036156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2A7"/>
    <w:rsid w:val="0001104C"/>
    <w:rsid w:val="0001157F"/>
    <w:rsid w:val="00011AD9"/>
    <w:rsid w:val="000133EC"/>
    <w:rsid w:val="00017086"/>
    <w:rsid w:val="000238D5"/>
    <w:rsid w:val="00025EB2"/>
    <w:rsid w:val="0002632A"/>
    <w:rsid w:val="000266ED"/>
    <w:rsid w:val="00026725"/>
    <w:rsid w:val="0002673E"/>
    <w:rsid w:val="00026782"/>
    <w:rsid w:val="00030128"/>
    <w:rsid w:val="000302F0"/>
    <w:rsid w:val="000328B3"/>
    <w:rsid w:val="00035C4F"/>
    <w:rsid w:val="00036F89"/>
    <w:rsid w:val="00045503"/>
    <w:rsid w:val="0004680C"/>
    <w:rsid w:val="000632F0"/>
    <w:rsid w:val="00064206"/>
    <w:rsid w:val="00071D1F"/>
    <w:rsid w:val="00071D83"/>
    <w:rsid w:val="0007271A"/>
    <w:rsid w:val="00074640"/>
    <w:rsid w:val="000761DB"/>
    <w:rsid w:val="00076317"/>
    <w:rsid w:val="0007642B"/>
    <w:rsid w:val="00086D5E"/>
    <w:rsid w:val="00097ED5"/>
    <w:rsid w:val="000A1D61"/>
    <w:rsid w:val="000A2E48"/>
    <w:rsid w:val="000A6E67"/>
    <w:rsid w:val="000B07B3"/>
    <w:rsid w:val="000B0CA4"/>
    <w:rsid w:val="000B163B"/>
    <w:rsid w:val="000B1DA4"/>
    <w:rsid w:val="000B2147"/>
    <w:rsid w:val="000B2326"/>
    <w:rsid w:val="000C04BF"/>
    <w:rsid w:val="000C257C"/>
    <w:rsid w:val="000C56A9"/>
    <w:rsid w:val="000C652A"/>
    <w:rsid w:val="000C7D0C"/>
    <w:rsid w:val="000D0D53"/>
    <w:rsid w:val="000D0E1D"/>
    <w:rsid w:val="000D1D8C"/>
    <w:rsid w:val="000E7065"/>
    <w:rsid w:val="000F4D06"/>
    <w:rsid w:val="001013A4"/>
    <w:rsid w:val="00101AA5"/>
    <w:rsid w:val="001022C7"/>
    <w:rsid w:val="00111E71"/>
    <w:rsid w:val="0011307D"/>
    <w:rsid w:val="001145E6"/>
    <w:rsid w:val="00120869"/>
    <w:rsid w:val="001244E5"/>
    <w:rsid w:val="00124E0A"/>
    <w:rsid w:val="00125244"/>
    <w:rsid w:val="0013314F"/>
    <w:rsid w:val="0013422C"/>
    <w:rsid w:val="0013479E"/>
    <w:rsid w:val="00142F3A"/>
    <w:rsid w:val="001474C2"/>
    <w:rsid w:val="00151861"/>
    <w:rsid w:val="0015186D"/>
    <w:rsid w:val="00162F60"/>
    <w:rsid w:val="00163389"/>
    <w:rsid w:val="00163686"/>
    <w:rsid w:val="00165FA0"/>
    <w:rsid w:val="00167023"/>
    <w:rsid w:val="00171097"/>
    <w:rsid w:val="001723B0"/>
    <w:rsid w:val="00176C22"/>
    <w:rsid w:val="00177F53"/>
    <w:rsid w:val="0018070F"/>
    <w:rsid w:val="00183880"/>
    <w:rsid w:val="00183A64"/>
    <w:rsid w:val="00184AD4"/>
    <w:rsid w:val="00191112"/>
    <w:rsid w:val="00192D5E"/>
    <w:rsid w:val="00195ACC"/>
    <w:rsid w:val="001A0234"/>
    <w:rsid w:val="001A5AA6"/>
    <w:rsid w:val="001A7C59"/>
    <w:rsid w:val="001A7D5B"/>
    <w:rsid w:val="001B2080"/>
    <w:rsid w:val="001B228D"/>
    <w:rsid w:val="001B5652"/>
    <w:rsid w:val="001B6902"/>
    <w:rsid w:val="001C27A9"/>
    <w:rsid w:val="001C2B8A"/>
    <w:rsid w:val="001C53A3"/>
    <w:rsid w:val="001C66AE"/>
    <w:rsid w:val="001D069C"/>
    <w:rsid w:val="001D1CB0"/>
    <w:rsid w:val="001D2D0E"/>
    <w:rsid w:val="001D3163"/>
    <w:rsid w:val="001E0942"/>
    <w:rsid w:val="001E1A63"/>
    <w:rsid w:val="001E5BBA"/>
    <w:rsid w:val="001E6575"/>
    <w:rsid w:val="001E6CED"/>
    <w:rsid w:val="001E7EFF"/>
    <w:rsid w:val="001F07BD"/>
    <w:rsid w:val="00201038"/>
    <w:rsid w:val="0020278D"/>
    <w:rsid w:val="002063C2"/>
    <w:rsid w:val="0020706D"/>
    <w:rsid w:val="002072DA"/>
    <w:rsid w:val="0020745C"/>
    <w:rsid w:val="00212017"/>
    <w:rsid w:val="00212C8A"/>
    <w:rsid w:val="00213993"/>
    <w:rsid w:val="00221D53"/>
    <w:rsid w:val="002239B3"/>
    <w:rsid w:val="002251C6"/>
    <w:rsid w:val="00225409"/>
    <w:rsid w:val="002262A8"/>
    <w:rsid w:val="002308F7"/>
    <w:rsid w:val="00231B34"/>
    <w:rsid w:val="0023710E"/>
    <w:rsid w:val="00237119"/>
    <w:rsid w:val="00242622"/>
    <w:rsid w:val="0024335F"/>
    <w:rsid w:val="00247565"/>
    <w:rsid w:val="002525C2"/>
    <w:rsid w:val="00254BB6"/>
    <w:rsid w:val="002566D5"/>
    <w:rsid w:val="002641AE"/>
    <w:rsid w:val="00270632"/>
    <w:rsid w:val="00270FE5"/>
    <w:rsid w:val="00272B01"/>
    <w:rsid w:val="00277484"/>
    <w:rsid w:val="00282430"/>
    <w:rsid w:val="002840F8"/>
    <w:rsid w:val="00286592"/>
    <w:rsid w:val="0029102B"/>
    <w:rsid w:val="002917F5"/>
    <w:rsid w:val="00292527"/>
    <w:rsid w:val="00292E4D"/>
    <w:rsid w:val="00294707"/>
    <w:rsid w:val="00294770"/>
    <w:rsid w:val="00295DC8"/>
    <w:rsid w:val="002974BF"/>
    <w:rsid w:val="002A0096"/>
    <w:rsid w:val="002A21B7"/>
    <w:rsid w:val="002A7B9B"/>
    <w:rsid w:val="002B581A"/>
    <w:rsid w:val="002C1396"/>
    <w:rsid w:val="002C3558"/>
    <w:rsid w:val="002C4247"/>
    <w:rsid w:val="002C66B7"/>
    <w:rsid w:val="002C7D40"/>
    <w:rsid w:val="002D14F7"/>
    <w:rsid w:val="002D1675"/>
    <w:rsid w:val="002D24DA"/>
    <w:rsid w:val="002D341F"/>
    <w:rsid w:val="002D5E27"/>
    <w:rsid w:val="002E2D30"/>
    <w:rsid w:val="002E3B8E"/>
    <w:rsid w:val="002E5426"/>
    <w:rsid w:val="002F3FB4"/>
    <w:rsid w:val="002F44DB"/>
    <w:rsid w:val="002F760B"/>
    <w:rsid w:val="003000F9"/>
    <w:rsid w:val="0030451E"/>
    <w:rsid w:val="0030568F"/>
    <w:rsid w:val="003063F5"/>
    <w:rsid w:val="00310AB0"/>
    <w:rsid w:val="00313D23"/>
    <w:rsid w:val="003270EA"/>
    <w:rsid w:val="00330A62"/>
    <w:rsid w:val="00331E78"/>
    <w:rsid w:val="00333844"/>
    <w:rsid w:val="00333862"/>
    <w:rsid w:val="00337094"/>
    <w:rsid w:val="00344BA5"/>
    <w:rsid w:val="003451AD"/>
    <w:rsid w:val="00345A5A"/>
    <w:rsid w:val="003508AF"/>
    <w:rsid w:val="00350F3F"/>
    <w:rsid w:val="003646AB"/>
    <w:rsid w:val="00365C7A"/>
    <w:rsid w:val="00365F4A"/>
    <w:rsid w:val="003679E8"/>
    <w:rsid w:val="00372179"/>
    <w:rsid w:val="003744C7"/>
    <w:rsid w:val="003765FA"/>
    <w:rsid w:val="0037766A"/>
    <w:rsid w:val="00380C8E"/>
    <w:rsid w:val="003821AA"/>
    <w:rsid w:val="003829C2"/>
    <w:rsid w:val="003833AC"/>
    <w:rsid w:val="00384818"/>
    <w:rsid w:val="00391EAC"/>
    <w:rsid w:val="00392405"/>
    <w:rsid w:val="003941F7"/>
    <w:rsid w:val="00395C15"/>
    <w:rsid w:val="003A5F27"/>
    <w:rsid w:val="003B1943"/>
    <w:rsid w:val="003B5838"/>
    <w:rsid w:val="003C0DA5"/>
    <w:rsid w:val="003C0ED3"/>
    <w:rsid w:val="003C4D31"/>
    <w:rsid w:val="003D6E80"/>
    <w:rsid w:val="003D78A9"/>
    <w:rsid w:val="003D7D6B"/>
    <w:rsid w:val="003E07AA"/>
    <w:rsid w:val="003E46D5"/>
    <w:rsid w:val="003E524E"/>
    <w:rsid w:val="003E6FEF"/>
    <w:rsid w:val="003F1FDC"/>
    <w:rsid w:val="003F20BF"/>
    <w:rsid w:val="003F551E"/>
    <w:rsid w:val="003F7A5F"/>
    <w:rsid w:val="00401EAE"/>
    <w:rsid w:val="004079A3"/>
    <w:rsid w:val="00410AB2"/>
    <w:rsid w:val="00416552"/>
    <w:rsid w:val="004252CB"/>
    <w:rsid w:val="004277B4"/>
    <w:rsid w:val="00427AAE"/>
    <w:rsid w:val="00427DA8"/>
    <w:rsid w:val="00427F2B"/>
    <w:rsid w:val="004304C2"/>
    <w:rsid w:val="004321CF"/>
    <w:rsid w:val="00436309"/>
    <w:rsid w:val="00442837"/>
    <w:rsid w:val="00443C32"/>
    <w:rsid w:val="00444449"/>
    <w:rsid w:val="00444A65"/>
    <w:rsid w:val="00447D17"/>
    <w:rsid w:val="0045640D"/>
    <w:rsid w:val="004616CE"/>
    <w:rsid w:val="00462CB2"/>
    <w:rsid w:val="004655A3"/>
    <w:rsid w:val="00465D7F"/>
    <w:rsid w:val="004675E3"/>
    <w:rsid w:val="004712CE"/>
    <w:rsid w:val="004716A6"/>
    <w:rsid w:val="00473548"/>
    <w:rsid w:val="00476509"/>
    <w:rsid w:val="00480E14"/>
    <w:rsid w:val="004867C8"/>
    <w:rsid w:val="00487FD4"/>
    <w:rsid w:val="00490766"/>
    <w:rsid w:val="0049502C"/>
    <w:rsid w:val="0049615B"/>
    <w:rsid w:val="004961C2"/>
    <w:rsid w:val="00496659"/>
    <w:rsid w:val="004A18F2"/>
    <w:rsid w:val="004A41E3"/>
    <w:rsid w:val="004A52E8"/>
    <w:rsid w:val="004A5554"/>
    <w:rsid w:val="004A7AEB"/>
    <w:rsid w:val="004B0E98"/>
    <w:rsid w:val="004B1C33"/>
    <w:rsid w:val="004B4B65"/>
    <w:rsid w:val="004B501A"/>
    <w:rsid w:val="004C11EA"/>
    <w:rsid w:val="004C182D"/>
    <w:rsid w:val="004C4089"/>
    <w:rsid w:val="004C4A3D"/>
    <w:rsid w:val="004C59CD"/>
    <w:rsid w:val="004C5AD6"/>
    <w:rsid w:val="004C7105"/>
    <w:rsid w:val="004D0855"/>
    <w:rsid w:val="004D5F35"/>
    <w:rsid w:val="004E1F4F"/>
    <w:rsid w:val="004E6738"/>
    <w:rsid w:val="004F15FF"/>
    <w:rsid w:val="004F1B61"/>
    <w:rsid w:val="004F4F94"/>
    <w:rsid w:val="004F6473"/>
    <w:rsid w:val="004F6A57"/>
    <w:rsid w:val="005003B1"/>
    <w:rsid w:val="00502918"/>
    <w:rsid w:val="00503CB7"/>
    <w:rsid w:val="00503F86"/>
    <w:rsid w:val="00505950"/>
    <w:rsid w:val="00505966"/>
    <w:rsid w:val="00510818"/>
    <w:rsid w:val="00512099"/>
    <w:rsid w:val="00512638"/>
    <w:rsid w:val="00515AEA"/>
    <w:rsid w:val="0051622C"/>
    <w:rsid w:val="00534451"/>
    <w:rsid w:val="00535195"/>
    <w:rsid w:val="00535687"/>
    <w:rsid w:val="00540AF3"/>
    <w:rsid w:val="0054185A"/>
    <w:rsid w:val="0054439B"/>
    <w:rsid w:val="00545D9D"/>
    <w:rsid w:val="00551A32"/>
    <w:rsid w:val="00556BBB"/>
    <w:rsid w:val="005608BF"/>
    <w:rsid w:val="00560DC7"/>
    <w:rsid w:val="00561AA1"/>
    <w:rsid w:val="00562743"/>
    <w:rsid w:val="00565008"/>
    <w:rsid w:val="00567916"/>
    <w:rsid w:val="0057135D"/>
    <w:rsid w:val="00575F1C"/>
    <w:rsid w:val="00576E29"/>
    <w:rsid w:val="00581481"/>
    <w:rsid w:val="0058170F"/>
    <w:rsid w:val="00582712"/>
    <w:rsid w:val="00582E53"/>
    <w:rsid w:val="00585777"/>
    <w:rsid w:val="00585F81"/>
    <w:rsid w:val="0058790D"/>
    <w:rsid w:val="00587DA8"/>
    <w:rsid w:val="00592B14"/>
    <w:rsid w:val="00596059"/>
    <w:rsid w:val="0059633E"/>
    <w:rsid w:val="0059648F"/>
    <w:rsid w:val="00597155"/>
    <w:rsid w:val="00597C8B"/>
    <w:rsid w:val="00597D21"/>
    <w:rsid w:val="005B0596"/>
    <w:rsid w:val="005B1161"/>
    <w:rsid w:val="005B2733"/>
    <w:rsid w:val="005B3F3E"/>
    <w:rsid w:val="005C073E"/>
    <w:rsid w:val="005C39BE"/>
    <w:rsid w:val="005C4232"/>
    <w:rsid w:val="005C4EB0"/>
    <w:rsid w:val="005C7FF1"/>
    <w:rsid w:val="005D0FCA"/>
    <w:rsid w:val="005D6B86"/>
    <w:rsid w:val="005D7B6F"/>
    <w:rsid w:val="005E1CDE"/>
    <w:rsid w:val="005E2908"/>
    <w:rsid w:val="005E5AA8"/>
    <w:rsid w:val="005E6042"/>
    <w:rsid w:val="005E678C"/>
    <w:rsid w:val="005F18FC"/>
    <w:rsid w:val="005F2CEA"/>
    <w:rsid w:val="005F4555"/>
    <w:rsid w:val="005F6D23"/>
    <w:rsid w:val="005F7905"/>
    <w:rsid w:val="00602069"/>
    <w:rsid w:val="0060252A"/>
    <w:rsid w:val="006078CF"/>
    <w:rsid w:val="00613BEB"/>
    <w:rsid w:val="00616FD6"/>
    <w:rsid w:val="00623832"/>
    <w:rsid w:val="00632A6A"/>
    <w:rsid w:val="00633FD7"/>
    <w:rsid w:val="006359C2"/>
    <w:rsid w:val="00640CBD"/>
    <w:rsid w:val="00641825"/>
    <w:rsid w:val="006426C8"/>
    <w:rsid w:val="0064344D"/>
    <w:rsid w:val="00644657"/>
    <w:rsid w:val="006456DF"/>
    <w:rsid w:val="00650160"/>
    <w:rsid w:val="00651233"/>
    <w:rsid w:val="006517F1"/>
    <w:rsid w:val="00656DBC"/>
    <w:rsid w:val="00660EB7"/>
    <w:rsid w:val="006615C8"/>
    <w:rsid w:val="0066224E"/>
    <w:rsid w:val="006622F3"/>
    <w:rsid w:val="00666E2D"/>
    <w:rsid w:val="00670551"/>
    <w:rsid w:val="00670758"/>
    <w:rsid w:val="0067078D"/>
    <w:rsid w:val="0067278A"/>
    <w:rsid w:val="00677F02"/>
    <w:rsid w:val="006840F7"/>
    <w:rsid w:val="00684604"/>
    <w:rsid w:val="00684A29"/>
    <w:rsid w:val="00684F2D"/>
    <w:rsid w:val="006932ED"/>
    <w:rsid w:val="00695C92"/>
    <w:rsid w:val="00697DA3"/>
    <w:rsid w:val="006A094C"/>
    <w:rsid w:val="006A1AE8"/>
    <w:rsid w:val="006A282D"/>
    <w:rsid w:val="006A3F31"/>
    <w:rsid w:val="006A470A"/>
    <w:rsid w:val="006A5CDE"/>
    <w:rsid w:val="006A7257"/>
    <w:rsid w:val="006C11FF"/>
    <w:rsid w:val="006C1B45"/>
    <w:rsid w:val="006C7D00"/>
    <w:rsid w:val="006D4254"/>
    <w:rsid w:val="006D50C7"/>
    <w:rsid w:val="006D5115"/>
    <w:rsid w:val="006D51BE"/>
    <w:rsid w:val="006D715B"/>
    <w:rsid w:val="006E1EC5"/>
    <w:rsid w:val="006E4621"/>
    <w:rsid w:val="006E5460"/>
    <w:rsid w:val="006E5A7C"/>
    <w:rsid w:val="006F1192"/>
    <w:rsid w:val="006F270F"/>
    <w:rsid w:val="006F62CF"/>
    <w:rsid w:val="00700B14"/>
    <w:rsid w:val="007022B1"/>
    <w:rsid w:val="00703A9D"/>
    <w:rsid w:val="00704B3A"/>
    <w:rsid w:val="00704F22"/>
    <w:rsid w:val="00705151"/>
    <w:rsid w:val="00705741"/>
    <w:rsid w:val="00706312"/>
    <w:rsid w:val="007070C7"/>
    <w:rsid w:val="00707226"/>
    <w:rsid w:val="00725319"/>
    <w:rsid w:val="00725511"/>
    <w:rsid w:val="00740523"/>
    <w:rsid w:val="00740CF4"/>
    <w:rsid w:val="0074624E"/>
    <w:rsid w:val="00750126"/>
    <w:rsid w:val="00751A84"/>
    <w:rsid w:val="00752796"/>
    <w:rsid w:val="007560F7"/>
    <w:rsid w:val="007570FD"/>
    <w:rsid w:val="007577E9"/>
    <w:rsid w:val="0075799B"/>
    <w:rsid w:val="00761E11"/>
    <w:rsid w:val="00762F29"/>
    <w:rsid w:val="007642EE"/>
    <w:rsid w:val="00764B52"/>
    <w:rsid w:val="007705D5"/>
    <w:rsid w:val="00771797"/>
    <w:rsid w:val="007729C5"/>
    <w:rsid w:val="007738CD"/>
    <w:rsid w:val="00773E74"/>
    <w:rsid w:val="007742B6"/>
    <w:rsid w:val="007751A4"/>
    <w:rsid w:val="00777D6A"/>
    <w:rsid w:val="00782854"/>
    <w:rsid w:val="00783A87"/>
    <w:rsid w:val="00783BB2"/>
    <w:rsid w:val="00784B15"/>
    <w:rsid w:val="00784CA7"/>
    <w:rsid w:val="00786C13"/>
    <w:rsid w:val="00792794"/>
    <w:rsid w:val="00792E39"/>
    <w:rsid w:val="007A18EE"/>
    <w:rsid w:val="007A26C1"/>
    <w:rsid w:val="007A2815"/>
    <w:rsid w:val="007A3BCB"/>
    <w:rsid w:val="007A6942"/>
    <w:rsid w:val="007A7C2D"/>
    <w:rsid w:val="007B459B"/>
    <w:rsid w:val="007C0BD2"/>
    <w:rsid w:val="007C3855"/>
    <w:rsid w:val="007D376D"/>
    <w:rsid w:val="007D78C4"/>
    <w:rsid w:val="007E00FB"/>
    <w:rsid w:val="007E0145"/>
    <w:rsid w:val="007E1176"/>
    <w:rsid w:val="007E1A10"/>
    <w:rsid w:val="007E1A1D"/>
    <w:rsid w:val="007E4EBD"/>
    <w:rsid w:val="007E567B"/>
    <w:rsid w:val="007E68BB"/>
    <w:rsid w:val="007E767E"/>
    <w:rsid w:val="007F065A"/>
    <w:rsid w:val="007F2E96"/>
    <w:rsid w:val="007F32A4"/>
    <w:rsid w:val="00800C3E"/>
    <w:rsid w:val="00802F78"/>
    <w:rsid w:val="00806BEE"/>
    <w:rsid w:val="0080794A"/>
    <w:rsid w:val="00810555"/>
    <w:rsid w:val="008156E9"/>
    <w:rsid w:val="008166C2"/>
    <w:rsid w:val="00820822"/>
    <w:rsid w:val="00821181"/>
    <w:rsid w:val="008246CD"/>
    <w:rsid w:val="00831FD8"/>
    <w:rsid w:val="008328D4"/>
    <w:rsid w:val="008356B4"/>
    <w:rsid w:val="008369CF"/>
    <w:rsid w:val="008369FC"/>
    <w:rsid w:val="0084012E"/>
    <w:rsid w:val="00840365"/>
    <w:rsid w:val="008411BF"/>
    <w:rsid w:val="00843A01"/>
    <w:rsid w:val="00846BFB"/>
    <w:rsid w:val="00852305"/>
    <w:rsid w:val="00852AA2"/>
    <w:rsid w:val="008540A0"/>
    <w:rsid w:val="00854AB3"/>
    <w:rsid w:val="008554BA"/>
    <w:rsid w:val="0085609D"/>
    <w:rsid w:val="00862AE8"/>
    <w:rsid w:val="00863C07"/>
    <w:rsid w:val="00866CFA"/>
    <w:rsid w:val="00867BA4"/>
    <w:rsid w:val="00867F0F"/>
    <w:rsid w:val="008725F4"/>
    <w:rsid w:val="00872D38"/>
    <w:rsid w:val="00872EED"/>
    <w:rsid w:val="00875771"/>
    <w:rsid w:val="008759CE"/>
    <w:rsid w:val="00884A3D"/>
    <w:rsid w:val="00887538"/>
    <w:rsid w:val="008876AB"/>
    <w:rsid w:val="00890B9A"/>
    <w:rsid w:val="00892DE0"/>
    <w:rsid w:val="00897BBB"/>
    <w:rsid w:val="00897D64"/>
    <w:rsid w:val="008A50B1"/>
    <w:rsid w:val="008A7E50"/>
    <w:rsid w:val="008B2901"/>
    <w:rsid w:val="008B2E00"/>
    <w:rsid w:val="008B45B6"/>
    <w:rsid w:val="008B4BDF"/>
    <w:rsid w:val="008B6555"/>
    <w:rsid w:val="008C4BE3"/>
    <w:rsid w:val="008C7336"/>
    <w:rsid w:val="008D13BD"/>
    <w:rsid w:val="008D4936"/>
    <w:rsid w:val="008D576C"/>
    <w:rsid w:val="008D6775"/>
    <w:rsid w:val="008E06A0"/>
    <w:rsid w:val="008E366B"/>
    <w:rsid w:val="008E485B"/>
    <w:rsid w:val="008E5D68"/>
    <w:rsid w:val="008E618A"/>
    <w:rsid w:val="008F0592"/>
    <w:rsid w:val="008F2304"/>
    <w:rsid w:val="008F696E"/>
    <w:rsid w:val="008F70D2"/>
    <w:rsid w:val="00900FA9"/>
    <w:rsid w:val="009017C4"/>
    <w:rsid w:val="00904090"/>
    <w:rsid w:val="00905A1E"/>
    <w:rsid w:val="00910787"/>
    <w:rsid w:val="00910F5A"/>
    <w:rsid w:val="0091172B"/>
    <w:rsid w:val="00911CC1"/>
    <w:rsid w:val="0091301B"/>
    <w:rsid w:val="00913D36"/>
    <w:rsid w:val="009149A2"/>
    <w:rsid w:val="00914A98"/>
    <w:rsid w:val="00915822"/>
    <w:rsid w:val="00921496"/>
    <w:rsid w:val="00921965"/>
    <w:rsid w:val="009258F9"/>
    <w:rsid w:val="009275BC"/>
    <w:rsid w:val="009279C5"/>
    <w:rsid w:val="00931787"/>
    <w:rsid w:val="00931C53"/>
    <w:rsid w:val="00937125"/>
    <w:rsid w:val="00937781"/>
    <w:rsid w:val="00937A4B"/>
    <w:rsid w:val="0094063A"/>
    <w:rsid w:val="00942F32"/>
    <w:rsid w:val="00943577"/>
    <w:rsid w:val="009459BC"/>
    <w:rsid w:val="00946732"/>
    <w:rsid w:val="00946931"/>
    <w:rsid w:val="00951F8A"/>
    <w:rsid w:val="00952778"/>
    <w:rsid w:val="0095387A"/>
    <w:rsid w:val="00953ABA"/>
    <w:rsid w:val="00954171"/>
    <w:rsid w:val="00955A2C"/>
    <w:rsid w:val="00960D90"/>
    <w:rsid w:val="00962229"/>
    <w:rsid w:val="00963100"/>
    <w:rsid w:val="009670F0"/>
    <w:rsid w:val="009704D9"/>
    <w:rsid w:val="009745B4"/>
    <w:rsid w:val="00975C1D"/>
    <w:rsid w:val="009803EB"/>
    <w:rsid w:val="00980EDD"/>
    <w:rsid w:val="00980F14"/>
    <w:rsid w:val="009810C2"/>
    <w:rsid w:val="009817EC"/>
    <w:rsid w:val="0098387C"/>
    <w:rsid w:val="00986A46"/>
    <w:rsid w:val="00990739"/>
    <w:rsid w:val="0099655D"/>
    <w:rsid w:val="009A1875"/>
    <w:rsid w:val="009A4FB5"/>
    <w:rsid w:val="009A6AC5"/>
    <w:rsid w:val="009A7AA8"/>
    <w:rsid w:val="009B0157"/>
    <w:rsid w:val="009B0385"/>
    <w:rsid w:val="009B0E30"/>
    <w:rsid w:val="009B4578"/>
    <w:rsid w:val="009B528C"/>
    <w:rsid w:val="009C0676"/>
    <w:rsid w:val="009C07E7"/>
    <w:rsid w:val="009C11B8"/>
    <w:rsid w:val="009C7E00"/>
    <w:rsid w:val="009D18BB"/>
    <w:rsid w:val="009D3A56"/>
    <w:rsid w:val="009D604F"/>
    <w:rsid w:val="009D6DE1"/>
    <w:rsid w:val="009D7C65"/>
    <w:rsid w:val="009E09A7"/>
    <w:rsid w:val="009E641D"/>
    <w:rsid w:val="009F0883"/>
    <w:rsid w:val="009F1089"/>
    <w:rsid w:val="009F26EB"/>
    <w:rsid w:val="009F2DBA"/>
    <w:rsid w:val="009F50E5"/>
    <w:rsid w:val="009F6CA4"/>
    <w:rsid w:val="009F7BB8"/>
    <w:rsid w:val="00A010B8"/>
    <w:rsid w:val="00A020F1"/>
    <w:rsid w:val="00A02DF1"/>
    <w:rsid w:val="00A03649"/>
    <w:rsid w:val="00A051AF"/>
    <w:rsid w:val="00A055DA"/>
    <w:rsid w:val="00A0680B"/>
    <w:rsid w:val="00A10435"/>
    <w:rsid w:val="00A14A64"/>
    <w:rsid w:val="00A218A5"/>
    <w:rsid w:val="00A26E9E"/>
    <w:rsid w:val="00A272C2"/>
    <w:rsid w:val="00A30DF8"/>
    <w:rsid w:val="00A31AB5"/>
    <w:rsid w:val="00A428C8"/>
    <w:rsid w:val="00A4315C"/>
    <w:rsid w:val="00A43413"/>
    <w:rsid w:val="00A4556F"/>
    <w:rsid w:val="00A45A89"/>
    <w:rsid w:val="00A466F5"/>
    <w:rsid w:val="00A5152A"/>
    <w:rsid w:val="00A52D9C"/>
    <w:rsid w:val="00A55AC8"/>
    <w:rsid w:val="00A55BDA"/>
    <w:rsid w:val="00A56DCB"/>
    <w:rsid w:val="00A57D30"/>
    <w:rsid w:val="00A61B4F"/>
    <w:rsid w:val="00A6274D"/>
    <w:rsid w:val="00A65493"/>
    <w:rsid w:val="00A67AE8"/>
    <w:rsid w:val="00A70917"/>
    <w:rsid w:val="00A742C4"/>
    <w:rsid w:val="00A74D05"/>
    <w:rsid w:val="00A81877"/>
    <w:rsid w:val="00A82746"/>
    <w:rsid w:val="00A87742"/>
    <w:rsid w:val="00A90219"/>
    <w:rsid w:val="00A90AEC"/>
    <w:rsid w:val="00A91624"/>
    <w:rsid w:val="00A94780"/>
    <w:rsid w:val="00A951CB"/>
    <w:rsid w:val="00AA3FB2"/>
    <w:rsid w:val="00AA6DD6"/>
    <w:rsid w:val="00AB0260"/>
    <w:rsid w:val="00AB4FCC"/>
    <w:rsid w:val="00AC173F"/>
    <w:rsid w:val="00AC229B"/>
    <w:rsid w:val="00AC2BE9"/>
    <w:rsid w:val="00AC3107"/>
    <w:rsid w:val="00AC60E0"/>
    <w:rsid w:val="00AD0DE4"/>
    <w:rsid w:val="00AD6BB3"/>
    <w:rsid w:val="00AD7C97"/>
    <w:rsid w:val="00AE14E8"/>
    <w:rsid w:val="00AE2D8D"/>
    <w:rsid w:val="00AE3254"/>
    <w:rsid w:val="00AE4CA6"/>
    <w:rsid w:val="00AE52D2"/>
    <w:rsid w:val="00AE57E3"/>
    <w:rsid w:val="00AF03AE"/>
    <w:rsid w:val="00AF044B"/>
    <w:rsid w:val="00AF2253"/>
    <w:rsid w:val="00AF2699"/>
    <w:rsid w:val="00AF2F5E"/>
    <w:rsid w:val="00AF2FF2"/>
    <w:rsid w:val="00AF64E9"/>
    <w:rsid w:val="00AF7289"/>
    <w:rsid w:val="00AF7D3C"/>
    <w:rsid w:val="00B00464"/>
    <w:rsid w:val="00B10FF2"/>
    <w:rsid w:val="00B13799"/>
    <w:rsid w:val="00B162B6"/>
    <w:rsid w:val="00B16853"/>
    <w:rsid w:val="00B2051C"/>
    <w:rsid w:val="00B220F8"/>
    <w:rsid w:val="00B2332D"/>
    <w:rsid w:val="00B236E4"/>
    <w:rsid w:val="00B24C71"/>
    <w:rsid w:val="00B26CF8"/>
    <w:rsid w:val="00B27D33"/>
    <w:rsid w:val="00B3045A"/>
    <w:rsid w:val="00B31D53"/>
    <w:rsid w:val="00B325B7"/>
    <w:rsid w:val="00B377DD"/>
    <w:rsid w:val="00B42F6A"/>
    <w:rsid w:val="00B44462"/>
    <w:rsid w:val="00B457F6"/>
    <w:rsid w:val="00B45C11"/>
    <w:rsid w:val="00B52031"/>
    <w:rsid w:val="00B54A97"/>
    <w:rsid w:val="00B57D73"/>
    <w:rsid w:val="00B608B8"/>
    <w:rsid w:val="00B62FE7"/>
    <w:rsid w:val="00B64B9F"/>
    <w:rsid w:val="00B668FD"/>
    <w:rsid w:val="00B7135D"/>
    <w:rsid w:val="00B7299C"/>
    <w:rsid w:val="00B73D71"/>
    <w:rsid w:val="00B76409"/>
    <w:rsid w:val="00B814DB"/>
    <w:rsid w:val="00B82D08"/>
    <w:rsid w:val="00B857ED"/>
    <w:rsid w:val="00B93AB7"/>
    <w:rsid w:val="00B93D9A"/>
    <w:rsid w:val="00B9507B"/>
    <w:rsid w:val="00BA1A3C"/>
    <w:rsid w:val="00BA57C4"/>
    <w:rsid w:val="00BA5F87"/>
    <w:rsid w:val="00BA69DE"/>
    <w:rsid w:val="00BB0ACF"/>
    <w:rsid w:val="00BB19EC"/>
    <w:rsid w:val="00BB2971"/>
    <w:rsid w:val="00BB74AC"/>
    <w:rsid w:val="00BC03E3"/>
    <w:rsid w:val="00BC30AD"/>
    <w:rsid w:val="00BC6B82"/>
    <w:rsid w:val="00BC7001"/>
    <w:rsid w:val="00BD2306"/>
    <w:rsid w:val="00BD2EB0"/>
    <w:rsid w:val="00BD55C9"/>
    <w:rsid w:val="00BD56C3"/>
    <w:rsid w:val="00BE14A1"/>
    <w:rsid w:val="00BE3AD7"/>
    <w:rsid w:val="00BE5F3A"/>
    <w:rsid w:val="00BE735C"/>
    <w:rsid w:val="00BF0328"/>
    <w:rsid w:val="00BF3BC9"/>
    <w:rsid w:val="00BF5323"/>
    <w:rsid w:val="00BF6F99"/>
    <w:rsid w:val="00C02049"/>
    <w:rsid w:val="00C02568"/>
    <w:rsid w:val="00C03C8F"/>
    <w:rsid w:val="00C05034"/>
    <w:rsid w:val="00C12F4F"/>
    <w:rsid w:val="00C13AFE"/>
    <w:rsid w:val="00C2321B"/>
    <w:rsid w:val="00C23D76"/>
    <w:rsid w:val="00C24066"/>
    <w:rsid w:val="00C24E70"/>
    <w:rsid w:val="00C26F24"/>
    <w:rsid w:val="00C32A76"/>
    <w:rsid w:val="00C32F8D"/>
    <w:rsid w:val="00C3447D"/>
    <w:rsid w:val="00C35340"/>
    <w:rsid w:val="00C37EB2"/>
    <w:rsid w:val="00C4098E"/>
    <w:rsid w:val="00C4470B"/>
    <w:rsid w:val="00C45DEF"/>
    <w:rsid w:val="00C45E15"/>
    <w:rsid w:val="00C507BA"/>
    <w:rsid w:val="00C52CCF"/>
    <w:rsid w:val="00C574A6"/>
    <w:rsid w:val="00C60BA8"/>
    <w:rsid w:val="00C610D8"/>
    <w:rsid w:val="00C62B74"/>
    <w:rsid w:val="00C651C2"/>
    <w:rsid w:val="00C67398"/>
    <w:rsid w:val="00C67CCE"/>
    <w:rsid w:val="00C70DD3"/>
    <w:rsid w:val="00C717F5"/>
    <w:rsid w:val="00C727A0"/>
    <w:rsid w:val="00C74CC9"/>
    <w:rsid w:val="00C87999"/>
    <w:rsid w:val="00C92ACD"/>
    <w:rsid w:val="00C94860"/>
    <w:rsid w:val="00C9503B"/>
    <w:rsid w:val="00C96B0D"/>
    <w:rsid w:val="00CA1530"/>
    <w:rsid w:val="00CA2472"/>
    <w:rsid w:val="00CA3488"/>
    <w:rsid w:val="00CA63DE"/>
    <w:rsid w:val="00CA67A0"/>
    <w:rsid w:val="00CA75E4"/>
    <w:rsid w:val="00CB303E"/>
    <w:rsid w:val="00CB407C"/>
    <w:rsid w:val="00CB68C8"/>
    <w:rsid w:val="00CB7917"/>
    <w:rsid w:val="00CC1906"/>
    <w:rsid w:val="00CC1BDD"/>
    <w:rsid w:val="00CC1F06"/>
    <w:rsid w:val="00CC226D"/>
    <w:rsid w:val="00CC4A2D"/>
    <w:rsid w:val="00CC60E7"/>
    <w:rsid w:val="00CC6C0E"/>
    <w:rsid w:val="00CD52A7"/>
    <w:rsid w:val="00CF05BA"/>
    <w:rsid w:val="00CF0FDB"/>
    <w:rsid w:val="00CF17AD"/>
    <w:rsid w:val="00CF3568"/>
    <w:rsid w:val="00CF38FB"/>
    <w:rsid w:val="00CF3F34"/>
    <w:rsid w:val="00CF4607"/>
    <w:rsid w:val="00D0132E"/>
    <w:rsid w:val="00D01831"/>
    <w:rsid w:val="00D06FF8"/>
    <w:rsid w:val="00D13ED2"/>
    <w:rsid w:val="00D16515"/>
    <w:rsid w:val="00D16D8D"/>
    <w:rsid w:val="00D17217"/>
    <w:rsid w:val="00D17F55"/>
    <w:rsid w:val="00D24DF2"/>
    <w:rsid w:val="00D25285"/>
    <w:rsid w:val="00D266D0"/>
    <w:rsid w:val="00D30388"/>
    <w:rsid w:val="00D34C22"/>
    <w:rsid w:val="00D36227"/>
    <w:rsid w:val="00D40C11"/>
    <w:rsid w:val="00D40D4A"/>
    <w:rsid w:val="00D43310"/>
    <w:rsid w:val="00D436C2"/>
    <w:rsid w:val="00D4393B"/>
    <w:rsid w:val="00D46588"/>
    <w:rsid w:val="00D50FB5"/>
    <w:rsid w:val="00D52FA8"/>
    <w:rsid w:val="00D53B30"/>
    <w:rsid w:val="00D53CBF"/>
    <w:rsid w:val="00D61CEB"/>
    <w:rsid w:val="00D657BA"/>
    <w:rsid w:val="00D753BA"/>
    <w:rsid w:val="00D81459"/>
    <w:rsid w:val="00D853C0"/>
    <w:rsid w:val="00D878B5"/>
    <w:rsid w:val="00D8791E"/>
    <w:rsid w:val="00D87D7B"/>
    <w:rsid w:val="00D94DB3"/>
    <w:rsid w:val="00D97EBD"/>
    <w:rsid w:val="00DA1BE8"/>
    <w:rsid w:val="00DA30B0"/>
    <w:rsid w:val="00DA3FFC"/>
    <w:rsid w:val="00DA5682"/>
    <w:rsid w:val="00DA5AC4"/>
    <w:rsid w:val="00DA5D41"/>
    <w:rsid w:val="00DA796D"/>
    <w:rsid w:val="00DB0AA3"/>
    <w:rsid w:val="00DB0D5E"/>
    <w:rsid w:val="00DB18C9"/>
    <w:rsid w:val="00DB22A9"/>
    <w:rsid w:val="00DB27FA"/>
    <w:rsid w:val="00DB63D6"/>
    <w:rsid w:val="00DB696E"/>
    <w:rsid w:val="00DC349D"/>
    <w:rsid w:val="00DC3A3A"/>
    <w:rsid w:val="00DC5EF6"/>
    <w:rsid w:val="00DC6909"/>
    <w:rsid w:val="00DD0462"/>
    <w:rsid w:val="00DD0E55"/>
    <w:rsid w:val="00DD0F11"/>
    <w:rsid w:val="00DD1970"/>
    <w:rsid w:val="00DD2460"/>
    <w:rsid w:val="00DD281A"/>
    <w:rsid w:val="00DD36C5"/>
    <w:rsid w:val="00DD77EE"/>
    <w:rsid w:val="00DE018F"/>
    <w:rsid w:val="00DE0D89"/>
    <w:rsid w:val="00DE18EE"/>
    <w:rsid w:val="00DE4253"/>
    <w:rsid w:val="00DE56AE"/>
    <w:rsid w:val="00DE7452"/>
    <w:rsid w:val="00DE76D8"/>
    <w:rsid w:val="00DF03CB"/>
    <w:rsid w:val="00DF41E0"/>
    <w:rsid w:val="00DF43A9"/>
    <w:rsid w:val="00DF4BDD"/>
    <w:rsid w:val="00E01A01"/>
    <w:rsid w:val="00E02841"/>
    <w:rsid w:val="00E079A7"/>
    <w:rsid w:val="00E101ED"/>
    <w:rsid w:val="00E1210F"/>
    <w:rsid w:val="00E12512"/>
    <w:rsid w:val="00E128F2"/>
    <w:rsid w:val="00E21452"/>
    <w:rsid w:val="00E2193C"/>
    <w:rsid w:val="00E22A1F"/>
    <w:rsid w:val="00E367DA"/>
    <w:rsid w:val="00E3719F"/>
    <w:rsid w:val="00E3789E"/>
    <w:rsid w:val="00E37DE4"/>
    <w:rsid w:val="00E409C6"/>
    <w:rsid w:val="00E434A9"/>
    <w:rsid w:val="00E43F9A"/>
    <w:rsid w:val="00E47B99"/>
    <w:rsid w:val="00E513A6"/>
    <w:rsid w:val="00E543F4"/>
    <w:rsid w:val="00E54B67"/>
    <w:rsid w:val="00E56FDE"/>
    <w:rsid w:val="00E608CF"/>
    <w:rsid w:val="00E757A0"/>
    <w:rsid w:val="00E76243"/>
    <w:rsid w:val="00E77AA6"/>
    <w:rsid w:val="00E80FBB"/>
    <w:rsid w:val="00E815DA"/>
    <w:rsid w:val="00E8220F"/>
    <w:rsid w:val="00E857A3"/>
    <w:rsid w:val="00E8797D"/>
    <w:rsid w:val="00E87996"/>
    <w:rsid w:val="00E94068"/>
    <w:rsid w:val="00E962C7"/>
    <w:rsid w:val="00EA2C10"/>
    <w:rsid w:val="00EA32AE"/>
    <w:rsid w:val="00EA4A23"/>
    <w:rsid w:val="00EC0DBB"/>
    <w:rsid w:val="00EC1548"/>
    <w:rsid w:val="00EC2AFC"/>
    <w:rsid w:val="00EC3FE0"/>
    <w:rsid w:val="00EC43F8"/>
    <w:rsid w:val="00EC6085"/>
    <w:rsid w:val="00ED13FF"/>
    <w:rsid w:val="00ED364B"/>
    <w:rsid w:val="00ED6A1E"/>
    <w:rsid w:val="00EE65CD"/>
    <w:rsid w:val="00EF2650"/>
    <w:rsid w:val="00EF268D"/>
    <w:rsid w:val="00EF4334"/>
    <w:rsid w:val="00EF591E"/>
    <w:rsid w:val="00F045FA"/>
    <w:rsid w:val="00F04C99"/>
    <w:rsid w:val="00F0597C"/>
    <w:rsid w:val="00F05C1D"/>
    <w:rsid w:val="00F071FF"/>
    <w:rsid w:val="00F12CFE"/>
    <w:rsid w:val="00F150F5"/>
    <w:rsid w:val="00F226CF"/>
    <w:rsid w:val="00F25E61"/>
    <w:rsid w:val="00F324DB"/>
    <w:rsid w:val="00F35B0E"/>
    <w:rsid w:val="00F42CCA"/>
    <w:rsid w:val="00F51A8A"/>
    <w:rsid w:val="00F5200A"/>
    <w:rsid w:val="00F522F8"/>
    <w:rsid w:val="00F523F0"/>
    <w:rsid w:val="00F54BFA"/>
    <w:rsid w:val="00F550AA"/>
    <w:rsid w:val="00F55622"/>
    <w:rsid w:val="00F601F1"/>
    <w:rsid w:val="00F611CE"/>
    <w:rsid w:val="00F620CB"/>
    <w:rsid w:val="00F64AA6"/>
    <w:rsid w:val="00F64E84"/>
    <w:rsid w:val="00F6538F"/>
    <w:rsid w:val="00F66408"/>
    <w:rsid w:val="00F66B6F"/>
    <w:rsid w:val="00F67164"/>
    <w:rsid w:val="00F7342B"/>
    <w:rsid w:val="00F74753"/>
    <w:rsid w:val="00F83448"/>
    <w:rsid w:val="00F84F30"/>
    <w:rsid w:val="00F859F3"/>
    <w:rsid w:val="00F85E82"/>
    <w:rsid w:val="00F9221A"/>
    <w:rsid w:val="00F939A7"/>
    <w:rsid w:val="00F96519"/>
    <w:rsid w:val="00F96987"/>
    <w:rsid w:val="00FA0628"/>
    <w:rsid w:val="00FA5D1A"/>
    <w:rsid w:val="00FB0256"/>
    <w:rsid w:val="00FB1330"/>
    <w:rsid w:val="00FB138D"/>
    <w:rsid w:val="00FB2B22"/>
    <w:rsid w:val="00FC1A19"/>
    <w:rsid w:val="00FC20E3"/>
    <w:rsid w:val="00FC3FB6"/>
    <w:rsid w:val="00FC5813"/>
    <w:rsid w:val="00FC65A6"/>
    <w:rsid w:val="00FC7A44"/>
    <w:rsid w:val="00FD0E32"/>
    <w:rsid w:val="00FD1E4E"/>
    <w:rsid w:val="00FD756C"/>
    <w:rsid w:val="00FE0BB6"/>
    <w:rsid w:val="00FE1167"/>
    <w:rsid w:val="00FE2105"/>
    <w:rsid w:val="00FE2F19"/>
    <w:rsid w:val="00FE3278"/>
    <w:rsid w:val="00FE3801"/>
    <w:rsid w:val="00FE51E7"/>
    <w:rsid w:val="00FE58BD"/>
    <w:rsid w:val="00FE5AFA"/>
    <w:rsid w:val="00FE5CB7"/>
    <w:rsid w:val="00FE7E92"/>
    <w:rsid w:val="00FF1069"/>
    <w:rsid w:val="00FF1DDE"/>
    <w:rsid w:val="00FF412E"/>
    <w:rsid w:val="00FF437D"/>
    <w:rsid w:val="00FF62B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5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7C4"/>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BA57C4"/>
    <w:pPr>
      <w:spacing w:after="120" w:line="480" w:lineRule="auto"/>
    </w:pPr>
    <w:rPr>
      <w:lang w:val="x-none"/>
    </w:rPr>
  </w:style>
  <w:style w:type="character" w:customStyle="1" w:styleId="BodyText2Char">
    <w:name w:val="Body Text 2 Char"/>
    <w:basedOn w:val="DefaultParagraphFont"/>
    <w:link w:val="BodyText2"/>
    <w:semiHidden/>
    <w:rsid w:val="00BA57C4"/>
    <w:rPr>
      <w:rFonts w:eastAsia="Times New Roman" w:cs="Times New Roman"/>
      <w:szCs w:val="24"/>
      <w:lang w:val="x-none" w:eastAsia="ru-RU"/>
    </w:rPr>
  </w:style>
  <w:style w:type="paragraph" w:styleId="Header">
    <w:name w:val="header"/>
    <w:basedOn w:val="Normal"/>
    <w:link w:val="HeaderChar"/>
    <w:uiPriority w:val="99"/>
    <w:unhideWhenUsed/>
    <w:rsid w:val="00BA57C4"/>
    <w:pPr>
      <w:tabs>
        <w:tab w:val="center" w:pos="4153"/>
        <w:tab w:val="right" w:pos="8306"/>
      </w:tabs>
    </w:pPr>
  </w:style>
  <w:style w:type="character" w:customStyle="1" w:styleId="HeaderChar">
    <w:name w:val="Header Char"/>
    <w:basedOn w:val="DefaultParagraphFont"/>
    <w:link w:val="Header"/>
    <w:uiPriority w:val="99"/>
    <w:rsid w:val="00BA57C4"/>
    <w:rPr>
      <w:rFonts w:eastAsia="Times New Roman" w:cs="Times New Roman"/>
      <w:szCs w:val="24"/>
      <w:lang w:eastAsia="ru-RU"/>
    </w:rPr>
  </w:style>
  <w:style w:type="paragraph" w:styleId="Footer">
    <w:name w:val="footer"/>
    <w:basedOn w:val="Normal"/>
    <w:link w:val="FooterChar"/>
    <w:uiPriority w:val="99"/>
    <w:unhideWhenUsed/>
    <w:rsid w:val="00BA57C4"/>
    <w:pPr>
      <w:tabs>
        <w:tab w:val="center" w:pos="4153"/>
        <w:tab w:val="right" w:pos="8306"/>
      </w:tabs>
    </w:pPr>
  </w:style>
  <w:style w:type="character" w:customStyle="1" w:styleId="FooterChar">
    <w:name w:val="Footer Char"/>
    <w:basedOn w:val="DefaultParagraphFont"/>
    <w:link w:val="Footer"/>
    <w:uiPriority w:val="99"/>
    <w:rsid w:val="00BA57C4"/>
    <w:rPr>
      <w:rFonts w:eastAsia="Times New Roman" w:cs="Times New Roman"/>
      <w:szCs w:val="24"/>
      <w:lang w:eastAsia="ru-RU"/>
    </w:rPr>
  </w:style>
  <w:style w:type="table" w:styleId="TableGrid">
    <w:name w:val="Table Grid"/>
    <w:basedOn w:val="TableNormal"/>
    <w:uiPriority w:val="39"/>
    <w:rsid w:val="00BA57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57BA"/>
    <w:rPr>
      <w:color w:val="0563C1" w:themeColor="hyperlink"/>
      <w:u w:val="single"/>
    </w:rPr>
  </w:style>
  <w:style w:type="character" w:customStyle="1" w:styleId="UnresolvedMention1">
    <w:name w:val="Unresolved Mention1"/>
    <w:basedOn w:val="DefaultParagraphFont"/>
    <w:uiPriority w:val="99"/>
    <w:semiHidden/>
    <w:unhideWhenUsed/>
    <w:rsid w:val="00D657BA"/>
    <w:rPr>
      <w:color w:val="605E5C"/>
      <w:shd w:val="clear" w:color="auto" w:fill="E1DFDD"/>
    </w:rPr>
  </w:style>
  <w:style w:type="character" w:customStyle="1" w:styleId="UnresolvedMention2">
    <w:name w:val="Unresolved Mention2"/>
    <w:basedOn w:val="DefaultParagraphFont"/>
    <w:uiPriority w:val="99"/>
    <w:semiHidden/>
    <w:unhideWhenUsed/>
    <w:rsid w:val="000E7065"/>
    <w:rPr>
      <w:color w:val="605E5C"/>
      <w:shd w:val="clear" w:color="auto" w:fill="E1DFDD"/>
    </w:rPr>
  </w:style>
  <w:style w:type="paragraph" w:styleId="ListParagraph">
    <w:name w:val="List Paragraph"/>
    <w:basedOn w:val="Normal"/>
    <w:uiPriority w:val="34"/>
    <w:qFormat/>
    <w:rsid w:val="00124E0A"/>
    <w:pPr>
      <w:ind w:left="720"/>
      <w:contextualSpacing/>
    </w:pPr>
  </w:style>
  <w:style w:type="character" w:styleId="UnresolvedMention">
    <w:name w:val="Unresolved Mention"/>
    <w:basedOn w:val="DefaultParagraphFont"/>
    <w:uiPriority w:val="99"/>
    <w:semiHidden/>
    <w:unhideWhenUsed/>
    <w:rsid w:val="002E2D30"/>
    <w:rPr>
      <w:color w:val="605E5C"/>
      <w:shd w:val="clear" w:color="auto" w:fill="E1DFDD"/>
    </w:rPr>
  </w:style>
  <w:style w:type="character" w:customStyle="1" w:styleId="cf01">
    <w:name w:val="cf01"/>
    <w:basedOn w:val="DefaultParagraphFont"/>
    <w:rsid w:val="000C257C"/>
    <w:rPr>
      <w:rFonts w:ascii="Segoe UI" w:hAnsi="Segoe UI" w:cs="Segoe UI" w:hint="default"/>
      <w:sz w:val="18"/>
      <w:szCs w:val="18"/>
    </w:rPr>
  </w:style>
  <w:style w:type="paragraph" w:customStyle="1" w:styleId="pf0">
    <w:name w:val="pf0"/>
    <w:basedOn w:val="Normal"/>
    <w:rsid w:val="006359C2"/>
    <w:pPr>
      <w:spacing w:before="100" w:beforeAutospacing="1" w:after="100" w:afterAutospacing="1"/>
    </w:pPr>
    <w:rPr>
      <w:lang w:eastAsia="lv-LV"/>
    </w:rPr>
  </w:style>
  <w:style w:type="paragraph" w:customStyle="1" w:styleId="Default">
    <w:name w:val="Default"/>
    <w:basedOn w:val="Normal"/>
    <w:rsid w:val="003000F9"/>
    <w:pPr>
      <w:autoSpaceDE w:val="0"/>
      <w:autoSpaceDN w:val="0"/>
    </w:pPr>
    <w:rPr>
      <w:rFonts w:eastAsiaTheme="minorHAnsi"/>
      <w:color w:val="000000"/>
      <w:lang w:eastAsia="en-US"/>
      <w14:ligatures w14:val="standardContextual"/>
    </w:rPr>
  </w:style>
  <w:style w:type="character" w:styleId="FollowedHyperlink">
    <w:name w:val="FollowedHyperlink"/>
    <w:basedOn w:val="DefaultParagraphFont"/>
    <w:uiPriority w:val="99"/>
    <w:semiHidden/>
    <w:unhideWhenUsed/>
    <w:rsid w:val="00292E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74852">
      <w:bodyDiv w:val="1"/>
      <w:marLeft w:val="0"/>
      <w:marRight w:val="0"/>
      <w:marTop w:val="0"/>
      <w:marBottom w:val="0"/>
      <w:divBdr>
        <w:top w:val="none" w:sz="0" w:space="0" w:color="auto"/>
        <w:left w:val="none" w:sz="0" w:space="0" w:color="auto"/>
        <w:bottom w:val="none" w:sz="0" w:space="0" w:color="auto"/>
        <w:right w:val="none" w:sz="0" w:space="0" w:color="auto"/>
      </w:divBdr>
    </w:div>
    <w:div w:id="154297014">
      <w:bodyDiv w:val="1"/>
      <w:marLeft w:val="0"/>
      <w:marRight w:val="0"/>
      <w:marTop w:val="0"/>
      <w:marBottom w:val="0"/>
      <w:divBdr>
        <w:top w:val="none" w:sz="0" w:space="0" w:color="auto"/>
        <w:left w:val="none" w:sz="0" w:space="0" w:color="auto"/>
        <w:bottom w:val="none" w:sz="0" w:space="0" w:color="auto"/>
        <w:right w:val="none" w:sz="0" w:space="0" w:color="auto"/>
      </w:divBdr>
    </w:div>
    <w:div w:id="189146938">
      <w:bodyDiv w:val="1"/>
      <w:marLeft w:val="0"/>
      <w:marRight w:val="0"/>
      <w:marTop w:val="0"/>
      <w:marBottom w:val="0"/>
      <w:divBdr>
        <w:top w:val="none" w:sz="0" w:space="0" w:color="auto"/>
        <w:left w:val="none" w:sz="0" w:space="0" w:color="auto"/>
        <w:bottom w:val="none" w:sz="0" w:space="0" w:color="auto"/>
        <w:right w:val="none" w:sz="0" w:space="0" w:color="auto"/>
      </w:divBdr>
    </w:div>
    <w:div w:id="207836735">
      <w:bodyDiv w:val="1"/>
      <w:marLeft w:val="0"/>
      <w:marRight w:val="0"/>
      <w:marTop w:val="0"/>
      <w:marBottom w:val="0"/>
      <w:divBdr>
        <w:top w:val="none" w:sz="0" w:space="0" w:color="auto"/>
        <w:left w:val="none" w:sz="0" w:space="0" w:color="auto"/>
        <w:bottom w:val="none" w:sz="0" w:space="0" w:color="auto"/>
        <w:right w:val="none" w:sz="0" w:space="0" w:color="auto"/>
      </w:divBdr>
    </w:div>
    <w:div w:id="213735203">
      <w:bodyDiv w:val="1"/>
      <w:marLeft w:val="0"/>
      <w:marRight w:val="0"/>
      <w:marTop w:val="0"/>
      <w:marBottom w:val="0"/>
      <w:divBdr>
        <w:top w:val="none" w:sz="0" w:space="0" w:color="auto"/>
        <w:left w:val="none" w:sz="0" w:space="0" w:color="auto"/>
        <w:bottom w:val="none" w:sz="0" w:space="0" w:color="auto"/>
        <w:right w:val="none" w:sz="0" w:space="0" w:color="auto"/>
      </w:divBdr>
    </w:div>
    <w:div w:id="228614005">
      <w:bodyDiv w:val="1"/>
      <w:marLeft w:val="0"/>
      <w:marRight w:val="0"/>
      <w:marTop w:val="0"/>
      <w:marBottom w:val="0"/>
      <w:divBdr>
        <w:top w:val="none" w:sz="0" w:space="0" w:color="auto"/>
        <w:left w:val="none" w:sz="0" w:space="0" w:color="auto"/>
        <w:bottom w:val="none" w:sz="0" w:space="0" w:color="auto"/>
        <w:right w:val="none" w:sz="0" w:space="0" w:color="auto"/>
      </w:divBdr>
    </w:div>
    <w:div w:id="301623212">
      <w:bodyDiv w:val="1"/>
      <w:marLeft w:val="0"/>
      <w:marRight w:val="0"/>
      <w:marTop w:val="0"/>
      <w:marBottom w:val="0"/>
      <w:divBdr>
        <w:top w:val="none" w:sz="0" w:space="0" w:color="auto"/>
        <w:left w:val="none" w:sz="0" w:space="0" w:color="auto"/>
        <w:bottom w:val="none" w:sz="0" w:space="0" w:color="auto"/>
        <w:right w:val="none" w:sz="0" w:space="0" w:color="auto"/>
      </w:divBdr>
    </w:div>
    <w:div w:id="346952292">
      <w:bodyDiv w:val="1"/>
      <w:marLeft w:val="0"/>
      <w:marRight w:val="0"/>
      <w:marTop w:val="0"/>
      <w:marBottom w:val="0"/>
      <w:divBdr>
        <w:top w:val="none" w:sz="0" w:space="0" w:color="auto"/>
        <w:left w:val="none" w:sz="0" w:space="0" w:color="auto"/>
        <w:bottom w:val="none" w:sz="0" w:space="0" w:color="auto"/>
        <w:right w:val="none" w:sz="0" w:space="0" w:color="auto"/>
      </w:divBdr>
    </w:div>
    <w:div w:id="478350811">
      <w:bodyDiv w:val="1"/>
      <w:marLeft w:val="0"/>
      <w:marRight w:val="0"/>
      <w:marTop w:val="0"/>
      <w:marBottom w:val="0"/>
      <w:divBdr>
        <w:top w:val="none" w:sz="0" w:space="0" w:color="auto"/>
        <w:left w:val="none" w:sz="0" w:space="0" w:color="auto"/>
        <w:bottom w:val="none" w:sz="0" w:space="0" w:color="auto"/>
        <w:right w:val="none" w:sz="0" w:space="0" w:color="auto"/>
      </w:divBdr>
    </w:div>
    <w:div w:id="485127365">
      <w:bodyDiv w:val="1"/>
      <w:marLeft w:val="0"/>
      <w:marRight w:val="0"/>
      <w:marTop w:val="0"/>
      <w:marBottom w:val="0"/>
      <w:divBdr>
        <w:top w:val="none" w:sz="0" w:space="0" w:color="auto"/>
        <w:left w:val="none" w:sz="0" w:space="0" w:color="auto"/>
        <w:bottom w:val="none" w:sz="0" w:space="0" w:color="auto"/>
        <w:right w:val="none" w:sz="0" w:space="0" w:color="auto"/>
      </w:divBdr>
    </w:div>
    <w:div w:id="533034233">
      <w:bodyDiv w:val="1"/>
      <w:marLeft w:val="0"/>
      <w:marRight w:val="0"/>
      <w:marTop w:val="0"/>
      <w:marBottom w:val="0"/>
      <w:divBdr>
        <w:top w:val="none" w:sz="0" w:space="0" w:color="auto"/>
        <w:left w:val="none" w:sz="0" w:space="0" w:color="auto"/>
        <w:bottom w:val="none" w:sz="0" w:space="0" w:color="auto"/>
        <w:right w:val="none" w:sz="0" w:space="0" w:color="auto"/>
      </w:divBdr>
    </w:div>
    <w:div w:id="612250292">
      <w:bodyDiv w:val="1"/>
      <w:marLeft w:val="0"/>
      <w:marRight w:val="0"/>
      <w:marTop w:val="0"/>
      <w:marBottom w:val="0"/>
      <w:divBdr>
        <w:top w:val="none" w:sz="0" w:space="0" w:color="auto"/>
        <w:left w:val="none" w:sz="0" w:space="0" w:color="auto"/>
        <w:bottom w:val="none" w:sz="0" w:space="0" w:color="auto"/>
        <w:right w:val="none" w:sz="0" w:space="0" w:color="auto"/>
      </w:divBdr>
    </w:div>
    <w:div w:id="621961290">
      <w:bodyDiv w:val="1"/>
      <w:marLeft w:val="0"/>
      <w:marRight w:val="0"/>
      <w:marTop w:val="0"/>
      <w:marBottom w:val="0"/>
      <w:divBdr>
        <w:top w:val="none" w:sz="0" w:space="0" w:color="auto"/>
        <w:left w:val="none" w:sz="0" w:space="0" w:color="auto"/>
        <w:bottom w:val="none" w:sz="0" w:space="0" w:color="auto"/>
        <w:right w:val="none" w:sz="0" w:space="0" w:color="auto"/>
      </w:divBdr>
    </w:div>
    <w:div w:id="643435195">
      <w:bodyDiv w:val="1"/>
      <w:marLeft w:val="0"/>
      <w:marRight w:val="0"/>
      <w:marTop w:val="0"/>
      <w:marBottom w:val="0"/>
      <w:divBdr>
        <w:top w:val="none" w:sz="0" w:space="0" w:color="auto"/>
        <w:left w:val="none" w:sz="0" w:space="0" w:color="auto"/>
        <w:bottom w:val="none" w:sz="0" w:space="0" w:color="auto"/>
        <w:right w:val="none" w:sz="0" w:space="0" w:color="auto"/>
      </w:divBdr>
      <w:divsChild>
        <w:div w:id="1017005989">
          <w:marLeft w:val="0"/>
          <w:marRight w:val="0"/>
          <w:marTop w:val="15"/>
          <w:marBottom w:val="0"/>
          <w:divBdr>
            <w:top w:val="single" w:sz="48" w:space="0" w:color="auto"/>
            <w:left w:val="single" w:sz="48" w:space="0" w:color="auto"/>
            <w:bottom w:val="single" w:sz="48" w:space="0" w:color="auto"/>
            <w:right w:val="single" w:sz="48" w:space="0" w:color="auto"/>
          </w:divBdr>
          <w:divsChild>
            <w:div w:id="1402680532">
              <w:marLeft w:val="0"/>
              <w:marRight w:val="0"/>
              <w:marTop w:val="0"/>
              <w:marBottom w:val="0"/>
              <w:divBdr>
                <w:top w:val="none" w:sz="0" w:space="0" w:color="auto"/>
                <w:left w:val="none" w:sz="0" w:space="0" w:color="auto"/>
                <w:bottom w:val="none" w:sz="0" w:space="0" w:color="auto"/>
                <w:right w:val="none" w:sz="0" w:space="0" w:color="auto"/>
              </w:divBdr>
            </w:div>
          </w:divsChild>
        </w:div>
        <w:div w:id="2092307155">
          <w:marLeft w:val="0"/>
          <w:marRight w:val="0"/>
          <w:marTop w:val="15"/>
          <w:marBottom w:val="0"/>
          <w:divBdr>
            <w:top w:val="single" w:sz="48" w:space="0" w:color="auto"/>
            <w:left w:val="single" w:sz="48" w:space="0" w:color="auto"/>
            <w:bottom w:val="single" w:sz="48" w:space="0" w:color="auto"/>
            <w:right w:val="single" w:sz="48" w:space="0" w:color="auto"/>
          </w:divBdr>
          <w:divsChild>
            <w:div w:id="71862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4508">
      <w:bodyDiv w:val="1"/>
      <w:marLeft w:val="0"/>
      <w:marRight w:val="0"/>
      <w:marTop w:val="0"/>
      <w:marBottom w:val="0"/>
      <w:divBdr>
        <w:top w:val="none" w:sz="0" w:space="0" w:color="auto"/>
        <w:left w:val="none" w:sz="0" w:space="0" w:color="auto"/>
        <w:bottom w:val="none" w:sz="0" w:space="0" w:color="auto"/>
        <w:right w:val="none" w:sz="0" w:space="0" w:color="auto"/>
      </w:divBdr>
    </w:div>
    <w:div w:id="706569558">
      <w:bodyDiv w:val="1"/>
      <w:marLeft w:val="0"/>
      <w:marRight w:val="0"/>
      <w:marTop w:val="0"/>
      <w:marBottom w:val="0"/>
      <w:divBdr>
        <w:top w:val="none" w:sz="0" w:space="0" w:color="auto"/>
        <w:left w:val="none" w:sz="0" w:space="0" w:color="auto"/>
        <w:bottom w:val="none" w:sz="0" w:space="0" w:color="auto"/>
        <w:right w:val="none" w:sz="0" w:space="0" w:color="auto"/>
      </w:divBdr>
    </w:div>
    <w:div w:id="744034590">
      <w:bodyDiv w:val="1"/>
      <w:marLeft w:val="0"/>
      <w:marRight w:val="0"/>
      <w:marTop w:val="0"/>
      <w:marBottom w:val="0"/>
      <w:divBdr>
        <w:top w:val="none" w:sz="0" w:space="0" w:color="auto"/>
        <w:left w:val="none" w:sz="0" w:space="0" w:color="auto"/>
        <w:bottom w:val="none" w:sz="0" w:space="0" w:color="auto"/>
        <w:right w:val="none" w:sz="0" w:space="0" w:color="auto"/>
      </w:divBdr>
    </w:div>
    <w:div w:id="812336588">
      <w:bodyDiv w:val="1"/>
      <w:marLeft w:val="0"/>
      <w:marRight w:val="0"/>
      <w:marTop w:val="0"/>
      <w:marBottom w:val="0"/>
      <w:divBdr>
        <w:top w:val="none" w:sz="0" w:space="0" w:color="auto"/>
        <w:left w:val="none" w:sz="0" w:space="0" w:color="auto"/>
        <w:bottom w:val="none" w:sz="0" w:space="0" w:color="auto"/>
        <w:right w:val="none" w:sz="0" w:space="0" w:color="auto"/>
      </w:divBdr>
    </w:div>
    <w:div w:id="860388308">
      <w:bodyDiv w:val="1"/>
      <w:marLeft w:val="0"/>
      <w:marRight w:val="0"/>
      <w:marTop w:val="0"/>
      <w:marBottom w:val="0"/>
      <w:divBdr>
        <w:top w:val="none" w:sz="0" w:space="0" w:color="auto"/>
        <w:left w:val="none" w:sz="0" w:space="0" w:color="auto"/>
        <w:bottom w:val="none" w:sz="0" w:space="0" w:color="auto"/>
        <w:right w:val="none" w:sz="0" w:space="0" w:color="auto"/>
      </w:divBdr>
    </w:div>
    <w:div w:id="936790374">
      <w:bodyDiv w:val="1"/>
      <w:marLeft w:val="0"/>
      <w:marRight w:val="0"/>
      <w:marTop w:val="0"/>
      <w:marBottom w:val="0"/>
      <w:divBdr>
        <w:top w:val="none" w:sz="0" w:space="0" w:color="auto"/>
        <w:left w:val="none" w:sz="0" w:space="0" w:color="auto"/>
        <w:bottom w:val="none" w:sz="0" w:space="0" w:color="auto"/>
        <w:right w:val="none" w:sz="0" w:space="0" w:color="auto"/>
      </w:divBdr>
    </w:div>
    <w:div w:id="966936820">
      <w:bodyDiv w:val="1"/>
      <w:marLeft w:val="0"/>
      <w:marRight w:val="0"/>
      <w:marTop w:val="0"/>
      <w:marBottom w:val="0"/>
      <w:divBdr>
        <w:top w:val="none" w:sz="0" w:space="0" w:color="auto"/>
        <w:left w:val="none" w:sz="0" w:space="0" w:color="auto"/>
        <w:bottom w:val="none" w:sz="0" w:space="0" w:color="auto"/>
        <w:right w:val="none" w:sz="0" w:space="0" w:color="auto"/>
      </w:divBdr>
    </w:div>
    <w:div w:id="1151486565">
      <w:bodyDiv w:val="1"/>
      <w:marLeft w:val="0"/>
      <w:marRight w:val="0"/>
      <w:marTop w:val="0"/>
      <w:marBottom w:val="0"/>
      <w:divBdr>
        <w:top w:val="none" w:sz="0" w:space="0" w:color="auto"/>
        <w:left w:val="none" w:sz="0" w:space="0" w:color="auto"/>
        <w:bottom w:val="none" w:sz="0" w:space="0" w:color="auto"/>
        <w:right w:val="none" w:sz="0" w:space="0" w:color="auto"/>
      </w:divBdr>
    </w:div>
    <w:div w:id="1175388637">
      <w:bodyDiv w:val="1"/>
      <w:marLeft w:val="0"/>
      <w:marRight w:val="0"/>
      <w:marTop w:val="0"/>
      <w:marBottom w:val="0"/>
      <w:divBdr>
        <w:top w:val="none" w:sz="0" w:space="0" w:color="auto"/>
        <w:left w:val="none" w:sz="0" w:space="0" w:color="auto"/>
        <w:bottom w:val="none" w:sz="0" w:space="0" w:color="auto"/>
        <w:right w:val="none" w:sz="0" w:space="0" w:color="auto"/>
      </w:divBdr>
    </w:div>
    <w:div w:id="1222014010">
      <w:bodyDiv w:val="1"/>
      <w:marLeft w:val="0"/>
      <w:marRight w:val="0"/>
      <w:marTop w:val="0"/>
      <w:marBottom w:val="0"/>
      <w:divBdr>
        <w:top w:val="none" w:sz="0" w:space="0" w:color="auto"/>
        <w:left w:val="none" w:sz="0" w:space="0" w:color="auto"/>
        <w:bottom w:val="none" w:sz="0" w:space="0" w:color="auto"/>
        <w:right w:val="none" w:sz="0" w:space="0" w:color="auto"/>
      </w:divBdr>
    </w:div>
    <w:div w:id="1505897309">
      <w:bodyDiv w:val="1"/>
      <w:marLeft w:val="0"/>
      <w:marRight w:val="0"/>
      <w:marTop w:val="0"/>
      <w:marBottom w:val="0"/>
      <w:divBdr>
        <w:top w:val="none" w:sz="0" w:space="0" w:color="auto"/>
        <w:left w:val="none" w:sz="0" w:space="0" w:color="auto"/>
        <w:bottom w:val="none" w:sz="0" w:space="0" w:color="auto"/>
        <w:right w:val="none" w:sz="0" w:space="0" w:color="auto"/>
      </w:divBdr>
    </w:div>
    <w:div w:id="1628781357">
      <w:bodyDiv w:val="1"/>
      <w:marLeft w:val="0"/>
      <w:marRight w:val="0"/>
      <w:marTop w:val="0"/>
      <w:marBottom w:val="0"/>
      <w:divBdr>
        <w:top w:val="none" w:sz="0" w:space="0" w:color="auto"/>
        <w:left w:val="none" w:sz="0" w:space="0" w:color="auto"/>
        <w:bottom w:val="none" w:sz="0" w:space="0" w:color="auto"/>
        <w:right w:val="none" w:sz="0" w:space="0" w:color="auto"/>
      </w:divBdr>
    </w:div>
    <w:div w:id="1632058158">
      <w:bodyDiv w:val="1"/>
      <w:marLeft w:val="0"/>
      <w:marRight w:val="0"/>
      <w:marTop w:val="0"/>
      <w:marBottom w:val="0"/>
      <w:divBdr>
        <w:top w:val="none" w:sz="0" w:space="0" w:color="auto"/>
        <w:left w:val="none" w:sz="0" w:space="0" w:color="auto"/>
        <w:bottom w:val="none" w:sz="0" w:space="0" w:color="auto"/>
        <w:right w:val="none" w:sz="0" w:space="0" w:color="auto"/>
      </w:divBdr>
    </w:div>
    <w:div w:id="1684890852">
      <w:bodyDiv w:val="1"/>
      <w:marLeft w:val="0"/>
      <w:marRight w:val="0"/>
      <w:marTop w:val="0"/>
      <w:marBottom w:val="0"/>
      <w:divBdr>
        <w:top w:val="none" w:sz="0" w:space="0" w:color="auto"/>
        <w:left w:val="none" w:sz="0" w:space="0" w:color="auto"/>
        <w:bottom w:val="none" w:sz="0" w:space="0" w:color="auto"/>
        <w:right w:val="none" w:sz="0" w:space="0" w:color="auto"/>
      </w:divBdr>
      <w:divsChild>
        <w:div w:id="495195030">
          <w:marLeft w:val="0"/>
          <w:marRight w:val="0"/>
          <w:marTop w:val="15"/>
          <w:marBottom w:val="0"/>
          <w:divBdr>
            <w:top w:val="single" w:sz="48" w:space="0" w:color="auto"/>
            <w:left w:val="single" w:sz="48" w:space="0" w:color="auto"/>
            <w:bottom w:val="single" w:sz="48" w:space="0" w:color="auto"/>
            <w:right w:val="single" w:sz="48" w:space="0" w:color="auto"/>
          </w:divBdr>
          <w:divsChild>
            <w:div w:id="1104107991">
              <w:marLeft w:val="0"/>
              <w:marRight w:val="0"/>
              <w:marTop w:val="0"/>
              <w:marBottom w:val="0"/>
              <w:divBdr>
                <w:top w:val="none" w:sz="0" w:space="0" w:color="auto"/>
                <w:left w:val="none" w:sz="0" w:space="0" w:color="auto"/>
                <w:bottom w:val="none" w:sz="0" w:space="0" w:color="auto"/>
                <w:right w:val="none" w:sz="0" w:space="0" w:color="auto"/>
              </w:divBdr>
            </w:div>
          </w:divsChild>
        </w:div>
        <w:div w:id="1842037160">
          <w:marLeft w:val="0"/>
          <w:marRight w:val="0"/>
          <w:marTop w:val="15"/>
          <w:marBottom w:val="0"/>
          <w:divBdr>
            <w:top w:val="single" w:sz="48" w:space="0" w:color="auto"/>
            <w:left w:val="single" w:sz="48" w:space="0" w:color="auto"/>
            <w:bottom w:val="single" w:sz="48" w:space="0" w:color="auto"/>
            <w:right w:val="single" w:sz="48" w:space="0" w:color="auto"/>
          </w:divBdr>
          <w:divsChild>
            <w:div w:id="181162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85769">
      <w:bodyDiv w:val="1"/>
      <w:marLeft w:val="0"/>
      <w:marRight w:val="0"/>
      <w:marTop w:val="0"/>
      <w:marBottom w:val="0"/>
      <w:divBdr>
        <w:top w:val="none" w:sz="0" w:space="0" w:color="auto"/>
        <w:left w:val="none" w:sz="0" w:space="0" w:color="auto"/>
        <w:bottom w:val="none" w:sz="0" w:space="0" w:color="auto"/>
        <w:right w:val="none" w:sz="0" w:space="0" w:color="auto"/>
      </w:divBdr>
    </w:div>
    <w:div w:id="1700744355">
      <w:bodyDiv w:val="1"/>
      <w:marLeft w:val="0"/>
      <w:marRight w:val="0"/>
      <w:marTop w:val="0"/>
      <w:marBottom w:val="0"/>
      <w:divBdr>
        <w:top w:val="none" w:sz="0" w:space="0" w:color="auto"/>
        <w:left w:val="none" w:sz="0" w:space="0" w:color="auto"/>
        <w:bottom w:val="none" w:sz="0" w:space="0" w:color="auto"/>
        <w:right w:val="none" w:sz="0" w:space="0" w:color="auto"/>
      </w:divBdr>
    </w:div>
    <w:div w:id="1835753001">
      <w:bodyDiv w:val="1"/>
      <w:marLeft w:val="0"/>
      <w:marRight w:val="0"/>
      <w:marTop w:val="0"/>
      <w:marBottom w:val="0"/>
      <w:divBdr>
        <w:top w:val="none" w:sz="0" w:space="0" w:color="auto"/>
        <w:left w:val="none" w:sz="0" w:space="0" w:color="auto"/>
        <w:bottom w:val="none" w:sz="0" w:space="0" w:color="auto"/>
        <w:right w:val="none" w:sz="0" w:space="0" w:color="auto"/>
      </w:divBdr>
    </w:div>
    <w:div w:id="1935550472">
      <w:bodyDiv w:val="1"/>
      <w:marLeft w:val="0"/>
      <w:marRight w:val="0"/>
      <w:marTop w:val="0"/>
      <w:marBottom w:val="0"/>
      <w:divBdr>
        <w:top w:val="none" w:sz="0" w:space="0" w:color="auto"/>
        <w:left w:val="none" w:sz="0" w:space="0" w:color="auto"/>
        <w:bottom w:val="none" w:sz="0" w:space="0" w:color="auto"/>
        <w:right w:val="none" w:sz="0" w:space="0" w:color="auto"/>
      </w:divBdr>
    </w:div>
    <w:div w:id="1976373217">
      <w:bodyDiv w:val="1"/>
      <w:marLeft w:val="0"/>
      <w:marRight w:val="0"/>
      <w:marTop w:val="0"/>
      <w:marBottom w:val="0"/>
      <w:divBdr>
        <w:top w:val="none" w:sz="0" w:space="0" w:color="auto"/>
        <w:left w:val="none" w:sz="0" w:space="0" w:color="auto"/>
        <w:bottom w:val="none" w:sz="0" w:space="0" w:color="auto"/>
        <w:right w:val="none" w:sz="0" w:space="0" w:color="auto"/>
      </w:divBdr>
    </w:div>
    <w:div w:id="2104762053">
      <w:bodyDiv w:val="1"/>
      <w:marLeft w:val="0"/>
      <w:marRight w:val="0"/>
      <w:marTop w:val="0"/>
      <w:marBottom w:val="0"/>
      <w:divBdr>
        <w:top w:val="none" w:sz="0" w:space="0" w:color="auto"/>
        <w:left w:val="none" w:sz="0" w:space="0" w:color="auto"/>
        <w:bottom w:val="none" w:sz="0" w:space="0" w:color="auto"/>
        <w:right w:val="none" w:sz="0" w:space="0" w:color="auto"/>
      </w:divBdr>
    </w:div>
    <w:div w:id="2145197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9e7c62d8-2067-4a91-8498-fdd1074c814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tv.tiesa.gov.lv/wp-content/uploads/2016/02/2012-06-01_Spriedums.pdf" TargetMode="External"/><Relationship Id="rId5" Type="http://schemas.openxmlformats.org/officeDocument/2006/relationships/webSettings" Target="webSettings.xml"/><Relationship Id="rId10" Type="http://schemas.openxmlformats.org/officeDocument/2006/relationships/hyperlink" Target="https://manas.tiesas.lv/eTiesasMvc/eclinolemumi/ECLI:LV:AT:2020:0616.A420215019.13.L" TargetMode="External"/><Relationship Id="rId4" Type="http://schemas.openxmlformats.org/officeDocument/2006/relationships/settings" Target="settings.xml"/><Relationship Id="rId9" Type="http://schemas.openxmlformats.org/officeDocument/2006/relationships/hyperlink" Target="https://manas.tiesas.lv/eTiesasMvc/eclinolemumi/ECLI:LV:AT:2020:0217.SKA086320.4.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D8209-3428-43F6-ACEF-2E9140A01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13063</Words>
  <Characters>7447</Characters>
  <Application>Microsoft Office Word</Application>
  <DocSecurity>0</DocSecurity>
  <Lines>62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2025-05-06T14:17:00Z</dcterms:created>
  <dcterms:modified xsi:type="dcterms:W3CDTF">2025-08-27T12:43:00Z</dcterms:modified>
</cp:coreProperties>
</file>