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56B" w14:textId="77777777" w:rsidR="0000475F" w:rsidRPr="009334FF" w:rsidRDefault="0000475F" w:rsidP="0000475F">
      <w:pPr>
        <w:spacing w:after="0" w:line="276" w:lineRule="auto"/>
        <w:jc w:val="both"/>
        <w:rPr>
          <w:b/>
          <w:bCs/>
        </w:rPr>
      </w:pPr>
      <w:r w:rsidRPr="009334FF">
        <w:rPr>
          <w:b/>
          <w:bCs/>
        </w:rPr>
        <w:t>Izmeklēšanas iestādes pienākums veikt neatliekamas procesuālās darbības neatkarīgi no institucionālās piekritības</w:t>
      </w:r>
    </w:p>
    <w:p w14:paraId="62E664DF" w14:textId="5A8F2AC3" w:rsidR="0000475F" w:rsidRPr="009334FF" w:rsidRDefault="0000475F" w:rsidP="0000475F">
      <w:pPr>
        <w:spacing w:after="0" w:line="276" w:lineRule="auto"/>
        <w:jc w:val="both"/>
      </w:pPr>
      <w:r w:rsidRPr="009334FF">
        <w:t>Kriminālprocesa obligātuma princips prevalē pār institucionālo piekritību un atbilstoši Kriminālprocesa likuma 387.</w:t>
      </w:r>
      <w:r>
        <w:t> </w:t>
      </w:r>
      <w:r w:rsidRPr="009334FF">
        <w:t>panta trīspadsmitajai daļai procesuāli pilnvarotai amatpersonai kriminālprocess obligāti jāuzsāk un jāveic neatliekamas procesuālās darbības neatkarīgi no tā, kādai izmeklēšanas iestādei turpmāk jāveic noziedzīga nodarījuma izmeklēšana.</w:t>
      </w:r>
    </w:p>
    <w:p w14:paraId="3BB8B865" w14:textId="60A95FB5" w:rsidR="0000475F" w:rsidRDefault="0000475F" w:rsidP="0000475F">
      <w:pPr>
        <w:spacing w:after="0" w:line="276" w:lineRule="auto"/>
        <w:jc w:val="both"/>
      </w:pPr>
      <w:r w:rsidRPr="009334FF">
        <w:t>Konstatējot nepieciešamo priekšnosacījumu</w:t>
      </w:r>
      <w:r w:rsidR="00470559">
        <w:t> </w:t>
      </w:r>
      <w:r w:rsidRPr="009334FF">
        <w:t>–</w:t>
      </w:r>
      <w:r w:rsidR="00470559">
        <w:t> </w:t>
      </w:r>
      <w:r w:rsidRPr="009334FF">
        <w:t xml:space="preserve">ziņas par notikušu noziedzīgu </w:t>
      </w:r>
      <w:r w:rsidR="00A86803" w:rsidRPr="00D22308">
        <w:rPr>
          <w:rFonts w:eastAsia="Times New Roman" w:cs="Times New Roman"/>
          <w:color w:val="000000"/>
          <w:szCs w:val="24"/>
          <w:lang w:eastAsia="lv-LV"/>
        </w:rPr>
        <w:t>nodarījumu</w:t>
      </w:r>
      <w:r w:rsidR="00470559">
        <w:rPr>
          <w:rFonts w:eastAsia="Times New Roman" w:cs="Times New Roman"/>
          <w:color w:val="000000"/>
          <w:szCs w:val="24"/>
          <w:lang w:eastAsia="lv-LV"/>
        </w:rPr>
        <w:t> </w:t>
      </w:r>
      <w:r w:rsidR="00A86803" w:rsidRPr="00D22308">
        <w:rPr>
          <w:rFonts w:eastAsia="Times New Roman" w:cs="Times New Roman"/>
          <w:color w:val="000000"/>
          <w:szCs w:val="24"/>
          <w:lang w:eastAsia="lv-LV"/>
        </w:rPr>
        <w:t>–,</w:t>
      </w:r>
      <w:r w:rsidR="00DE311B">
        <w:rPr>
          <w:rFonts w:eastAsia="Times New Roman" w:cs="Times New Roman"/>
          <w:color w:val="000000"/>
          <w:szCs w:val="24"/>
          <w:lang w:eastAsia="lv-LV"/>
        </w:rPr>
        <w:t xml:space="preserve"> </w:t>
      </w:r>
      <w:r w:rsidR="00A86803" w:rsidRPr="00D22308">
        <w:rPr>
          <w:rFonts w:eastAsia="Times New Roman" w:cs="Times New Roman"/>
          <w:color w:val="000000"/>
          <w:szCs w:val="24"/>
          <w:lang w:eastAsia="lv-LV"/>
        </w:rPr>
        <w:t xml:space="preserve">atbilstoši </w:t>
      </w:r>
      <w:r w:rsidRPr="009334FF">
        <w:t>Kriminālprocesa likuma 6.</w:t>
      </w:r>
      <w:r>
        <w:t> </w:t>
      </w:r>
      <w:r w:rsidRPr="009334FF">
        <w:t>pantam un 387.</w:t>
      </w:r>
      <w:r>
        <w:t> </w:t>
      </w:r>
      <w:r w:rsidRPr="009334FF">
        <w:t>panta trīspadsmitajai daļai izmeklēšanas iestādei, kuras rīcībā ir šādas ziņas par faktiem, ir pienākums veikt neatliekamas procesuālās darbības, lai saglabātu noziedzīgā nodarījuma pēdas, kuras var pazust vai var tikt neatgriezeniski iznīcinātas.</w:t>
      </w:r>
    </w:p>
    <w:p w14:paraId="1BDEB522" w14:textId="77777777" w:rsidR="0000475F" w:rsidRPr="009334FF" w:rsidRDefault="0000475F" w:rsidP="0000475F">
      <w:pPr>
        <w:spacing w:after="0" w:line="276" w:lineRule="auto"/>
      </w:pPr>
    </w:p>
    <w:p w14:paraId="76AB8319" w14:textId="44CBC3A8" w:rsidR="00F43AEE" w:rsidRPr="0000475F" w:rsidRDefault="00F43AEE" w:rsidP="0000475F">
      <w:pPr>
        <w:spacing w:after="0" w:line="276" w:lineRule="auto"/>
        <w:jc w:val="center"/>
        <w:rPr>
          <w:rFonts w:cs="Times New Roman"/>
          <w:b/>
          <w:szCs w:val="24"/>
        </w:rPr>
      </w:pPr>
      <w:r w:rsidRPr="0000475F">
        <w:rPr>
          <w:rFonts w:cs="Times New Roman"/>
          <w:b/>
          <w:szCs w:val="24"/>
        </w:rPr>
        <w:t>Latvijas Republikas Senāt</w:t>
      </w:r>
      <w:r w:rsidR="0000475F" w:rsidRPr="0000475F">
        <w:rPr>
          <w:rFonts w:cs="Times New Roman"/>
          <w:b/>
          <w:szCs w:val="24"/>
        </w:rPr>
        <w:t>a</w:t>
      </w:r>
    </w:p>
    <w:p w14:paraId="67A7E254" w14:textId="2D0CF1F2" w:rsidR="0000475F" w:rsidRPr="0000475F" w:rsidRDefault="0000475F" w:rsidP="0000475F">
      <w:pPr>
        <w:spacing w:after="0" w:line="276" w:lineRule="auto"/>
        <w:jc w:val="center"/>
        <w:rPr>
          <w:rFonts w:eastAsia="Times New Roman" w:cs="Times New Roman"/>
          <w:b/>
          <w:szCs w:val="24"/>
        </w:rPr>
      </w:pPr>
      <w:r w:rsidRPr="0000475F">
        <w:rPr>
          <w:rFonts w:eastAsia="Times New Roman" w:cs="Times New Roman"/>
          <w:b/>
          <w:szCs w:val="24"/>
        </w:rPr>
        <w:t>Krimināllietu departamenta</w:t>
      </w:r>
    </w:p>
    <w:p w14:paraId="53CE3932" w14:textId="3114FF26" w:rsidR="0000475F" w:rsidRPr="0000475F" w:rsidRDefault="0000475F" w:rsidP="0000475F">
      <w:pPr>
        <w:spacing w:after="0" w:line="276" w:lineRule="auto"/>
        <w:jc w:val="center"/>
        <w:rPr>
          <w:rFonts w:cs="Times New Roman"/>
          <w:b/>
          <w:szCs w:val="24"/>
        </w:rPr>
      </w:pPr>
      <w:r w:rsidRPr="0000475F">
        <w:rPr>
          <w:rFonts w:eastAsia="Times New Roman" w:cs="Times New Roman"/>
          <w:b/>
          <w:szCs w:val="24"/>
        </w:rPr>
        <w:t>2025. gada 31. marta</w:t>
      </w:r>
    </w:p>
    <w:p w14:paraId="2CD15B9B" w14:textId="7850EE2D" w:rsidR="00F43AEE" w:rsidRPr="0000475F" w:rsidRDefault="00F43AEE" w:rsidP="0000475F">
      <w:pPr>
        <w:spacing w:after="0" w:line="276" w:lineRule="auto"/>
        <w:jc w:val="center"/>
        <w:rPr>
          <w:rFonts w:cs="Times New Roman"/>
          <w:b/>
          <w:szCs w:val="24"/>
        </w:rPr>
      </w:pPr>
      <w:r w:rsidRPr="0000475F">
        <w:rPr>
          <w:rFonts w:cs="Times New Roman"/>
          <w:b/>
          <w:szCs w:val="24"/>
        </w:rPr>
        <w:t>LĒMUMS</w:t>
      </w:r>
    </w:p>
    <w:p w14:paraId="31309D72" w14:textId="77777777" w:rsidR="0000475F" w:rsidRPr="0000475F" w:rsidRDefault="0000475F" w:rsidP="0000475F">
      <w:pPr>
        <w:spacing w:after="0" w:line="276" w:lineRule="auto"/>
        <w:jc w:val="center"/>
        <w:rPr>
          <w:rFonts w:eastAsia="Times New Roman" w:cs="Times New Roman"/>
          <w:b/>
          <w:szCs w:val="24"/>
        </w:rPr>
      </w:pPr>
      <w:r w:rsidRPr="0000475F">
        <w:rPr>
          <w:rFonts w:eastAsia="Times New Roman" w:cs="Times New Roman"/>
          <w:b/>
          <w:szCs w:val="24"/>
        </w:rPr>
        <w:t>Lieta Nr. 58400027923, SKK</w:t>
      </w:r>
      <w:r w:rsidRPr="0000475F">
        <w:rPr>
          <w:rFonts w:eastAsia="Times New Roman" w:cs="Times New Roman"/>
          <w:b/>
          <w:szCs w:val="24"/>
        </w:rPr>
        <w:noBreakHyphen/>
        <w:t>34/2025</w:t>
      </w:r>
    </w:p>
    <w:p w14:paraId="28A51D7E" w14:textId="1FD2AF1C" w:rsidR="0000475F" w:rsidRDefault="00614323" w:rsidP="0000475F">
      <w:pPr>
        <w:spacing w:after="0" w:line="276" w:lineRule="auto"/>
        <w:jc w:val="center"/>
        <w:rPr>
          <w:rFonts w:eastAsia="Times New Roman" w:cs="Times New Roman"/>
          <w:szCs w:val="24"/>
        </w:rPr>
      </w:pPr>
      <w:hyperlink r:id="rId8" w:history="1">
        <w:r w:rsidR="0000475F" w:rsidRPr="00614323">
          <w:rPr>
            <w:rStyle w:val="Hyperlink"/>
            <w:rFonts w:eastAsia="Times New Roman" w:cs="Times New Roman"/>
            <w:szCs w:val="24"/>
          </w:rPr>
          <w:t>ECLI:LV:AT:2025:0331.58400027923.11.L</w:t>
        </w:r>
      </w:hyperlink>
    </w:p>
    <w:p w14:paraId="796082D9" w14:textId="77777777" w:rsidR="0000475F" w:rsidRPr="00D22308" w:rsidRDefault="0000475F" w:rsidP="0000475F">
      <w:pPr>
        <w:spacing w:after="0" w:line="276" w:lineRule="auto"/>
        <w:rPr>
          <w:rFonts w:eastAsia="Times New Roman" w:cs="Times New Roman"/>
          <w:szCs w:val="24"/>
        </w:rPr>
      </w:pPr>
    </w:p>
    <w:p w14:paraId="128F055B" w14:textId="1726E09E" w:rsidR="00F43AEE" w:rsidRPr="00D22308" w:rsidRDefault="00F43AEE" w:rsidP="00172CB6">
      <w:pPr>
        <w:spacing w:after="0" w:line="276" w:lineRule="auto"/>
        <w:ind w:firstLine="720"/>
        <w:jc w:val="both"/>
        <w:rPr>
          <w:rFonts w:cs="Times New Roman"/>
          <w:szCs w:val="24"/>
        </w:rPr>
      </w:pPr>
      <w:r w:rsidRPr="00D22308">
        <w:rPr>
          <w:rFonts w:cs="Times New Roman"/>
          <w:szCs w:val="24"/>
        </w:rPr>
        <w:t>Tiesa šādā sastāv</w:t>
      </w:r>
      <w:r w:rsidR="00F357E9" w:rsidRPr="00D22308">
        <w:rPr>
          <w:rFonts w:cs="Times New Roman"/>
          <w:szCs w:val="24"/>
        </w:rPr>
        <w:t xml:space="preserve">ā: </w:t>
      </w:r>
      <w:r w:rsidR="00F357E9" w:rsidRPr="00D22308">
        <w:rPr>
          <w:rFonts w:cs="Times New Roman"/>
          <w:color w:val="000000" w:themeColor="text1"/>
          <w:szCs w:val="24"/>
        </w:rPr>
        <w:t>senator</w:t>
      </w:r>
      <w:r w:rsidR="00B36F2F" w:rsidRPr="00D22308">
        <w:rPr>
          <w:rFonts w:cs="Times New Roman"/>
          <w:color w:val="000000" w:themeColor="text1"/>
          <w:szCs w:val="24"/>
        </w:rPr>
        <w:t>s referents</w:t>
      </w:r>
      <w:r w:rsidR="00F357E9" w:rsidRPr="00D22308">
        <w:rPr>
          <w:rFonts w:cs="Times New Roman"/>
          <w:color w:val="000000" w:themeColor="text1"/>
          <w:szCs w:val="24"/>
        </w:rPr>
        <w:t xml:space="preserve"> </w:t>
      </w:r>
      <w:r w:rsidR="00D85436" w:rsidRPr="00D22308">
        <w:rPr>
          <w:rFonts w:cs="Times New Roman"/>
          <w:color w:val="000000" w:themeColor="text1"/>
          <w:szCs w:val="24"/>
        </w:rPr>
        <w:t>Aivars Uminskis,</w:t>
      </w:r>
      <w:r w:rsidR="00B36F2F" w:rsidRPr="00D22308">
        <w:rPr>
          <w:rFonts w:cs="Times New Roman"/>
          <w:color w:val="000000" w:themeColor="text1"/>
          <w:szCs w:val="24"/>
        </w:rPr>
        <w:t xml:space="preserve"> senatores</w:t>
      </w:r>
      <w:r w:rsidR="00D85436" w:rsidRPr="00D22308">
        <w:rPr>
          <w:rFonts w:cs="Times New Roman"/>
          <w:color w:val="000000" w:themeColor="text1"/>
          <w:szCs w:val="24"/>
        </w:rPr>
        <w:t xml:space="preserve"> </w:t>
      </w:r>
      <w:r w:rsidR="00AE3F38" w:rsidRPr="00D22308">
        <w:rPr>
          <w:rFonts w:cs="Times New Roman"/>
          <w:szCs w:val="24"/>
        </w:rPr>
        <w:t>Irīna Jansone</w:t>
      </w:r>
      <w:r w:rsidR="00D22308">
        <w:rPr>
          <w:rFonts w:cs="Times New Roman"/>
          <w:szCs w:val="24"/>
        </w:rPr>
        <w:t xml:space="preserve"> un</w:t>
      </w:r>
      <w:r w:rsidR="00D85436" w:rsidRPr="00D22308">
        <w:rPr>
          <w:rFonts w:cs="Times New Roman"/>
          <w:szCs w:val="24"/>
        </w:rPr>
        <w:t xml:space="preserve"> </w:t>
      </w:r>
      <w:r w:rsidR="00B515B7" w:rsidRPr="00D22308">
        <w:rPr>
          <w:rFonts w:cs="Times New Roman"/>
          <w:szCs w:val="24"/>
        </w:rPr>
        <w:t>Anita Poļakova</w:t>
      </w:r>
    </w:p>
    <w:p w14:paraId="77480365" w14:textId="77777777" w:rsidR="00F31F55" w:rsidRPr="00D22308" w:rsidRDefault="00F31F55" w:rsidP="00172CB6">
      <w:pPr>
        <w:spacing w:after="0" w:line="276" w:lineRule="auto"/>
        <w:ind w:firstLine="720"/>
        <w:jc w:val="both"/>
        <w:rPr>
          <w:rFonts w:cs="Times New Roman"/>
          <w:szCs w:val="24"/>
        </w:rPr>
      </w:pPr>
    </w:p>
    <w:p w14:paraId="13CD3AB8" w14:textId="468A2E08" w:rsidR="00F43AEE" w:rsidRPr="00D22308" w:rsidRDefault="00F43AEE" w:rsidP="00172CB6">
      <w:pPr>
        <w:spacing w:after="0" w:line="276" w:lineRule="auto"/>
        <w:ind w:firstLine="720"/>
        <w:jc w:val="both"/>
        <w:rPr>
          <w:rFonts w:eastAsia="Times New Roman" w:cs="Times New Roman"/>
          <w:szCs w:val="24"/>
        </w:rPr>
      </w:pPr>
      <w:r w:rsidRPr="00D22308">
        <w:rPr>
          <w:rFonts w:eastAsia="Times New Roman" w:cs="Times New Roman"/>
          <w:szCs w:val="24"/>
        </w:rPr>
        <w:t xml:space="preserve">rakstveida procesā </w:t>
      </w:r>
      <w:r w:rsidR="00D22308" w:rsidRPr="00D22308">
        <w:rPr>
          <w:rFonts w:eastAsia="Times New Roman" w:cs="Times New Roman"/>
          <w:szCs w:val="24"/>
        </w:rPr>
        <w:t xml:space="preserve">izskatīja </w:t>
      </w:r>
      <w:r w:rsidRPr="00D22308">
        <w:rPr>
          <w:rFonts w:eastAsia="Times New Roman" w:cs="Times New Roman"/>
          <w:szCs w:val="24"/>
        </w:rPr>
        <w:t>krimināllietu sakarā ar</w:t>
      </w:r>
      <w:r w:rsidR="00AE3F38" w:rsidRPr="00D22308">
        <w:rPr>
          <w:rFonts w:eastAsia="Times New Roman" w:cs="Times New Roman"/>
          <w:szCs w:val="24"/>
        </w:rPr>
        <w:t xml:space="preserve"> Dienvidkurzemes prokuratūras prokurora Sigita </w:t>
      </w:r>
      <w:proofErr w:type="spellStart"/>
      <w:r w:rsidR="00AE3F38" w:rsidRPr="00D22308">
        <w:rPr>
          <w:rFonts w:eastAsia="Times New Roman" w:cs="Times New Roman"/>
          <w:szCs w:val="24"/>
        </w:rPr>
        <w:t>Šarķa</w:t>
      </w:r>
      <w:proofErr w:type="spellEnd"/>
      <w:r w:rsidR="00AE3F38" w:rsidRPr="00D22308">
        <w:rPr>
          <w:rFonts w:eastAsia="Times New Roman" w:cs="Times New Roman"/>
          <w:szCs w:val="24"/>
        </w:rPr>
        <w:t xml:space="preserve"> kasācijas protestu par Kurzemes apgabaltiesas 2024. gada 29. aprīļa spriedumu.</w:t>
      </w:r>
    </w:p>
    <w:p w14:paraId="2F929E80" w14:textId="77777777" w:rsidR="00AE7795" w:rsidRPr="00D22308" w:rsidRDefault="00AE7795" w:rsidP="00172CB6">
      <w:pPr>
        <w:spacing w:after="0" w:line="276" w:lineRule="auto"/>
        <w:ind w:firstLine="720"/>
        <w:jc w:val="both"/>
        <w:rPr>
          <w:rFonts w:cs="Times New Roman"/>
          <w:szCs w:val="24"/>
        </w:rPr>
      </w:pPr>
    </w:p>
    <w:p w14:paraId="43526356" w14:textId="077B3F51" w:rsidR="00F43AEE" w:rsidRPr="00D22308" w:rsidRDefault="00F43AEE" w:rsidP="00172CB6">
      <w:pPr>
        <w:autoSpaceDE w:val="0"/>
        <w:autoSpaceDN w:val="0"/>
        <w:adjustRightInd w:val="0"/>
        <w:spacing w:after="0" w:line="276" w:lineRule="auto"/>
        <w:jc w:val="center"/>
        <w:rPr>
          <w:rFonts w:cs="Times New Roman"/>
          <w:b/>
          <w:bCs/>
          <w:szCs w:val="24"/>
        </w:rPr>
      </w:pPr>
      <w:r w:rsidRPr="00D22308">
        <w:rPr>
          <w:rFonts w:cs="Times New Roman"/>
          <w:b/>
          <w:bCs/>
          <w:szCs w:val="24"/>
        </w:rPr>
        <w:t>Aprakstošā daļa</w:t>
      </w:r>
    </w:p>
    <w:p w14:paraId="1E38C4B2" w14:textId="77777777" w:rsidR="00AE7795" w:rsidRPr="00D22308" w:rsidRDefault="00AE7795" w:rsidP="00172CB6">
      <w:pPr>
        <w:autoSpaceDE w:val="0"/>
        <w:autoSpaceDN w:val="0"/>
        <w:adjustRightInd w:val="0"/>
        <w:spacing w:after="0" w:line="276" w:lineRule="auto"/>
        <w:ind w:firstLine="720"/>
        <w:jc w:val="center"/>
        <w:rPr>
          <w:rFonts w:cs="Times New Roman"/>
          <w:szCs w:val="24"/>
        </w:rPr>
      </w:pPr>
    </w:p>
    <w:p w14:paraId="4C0DAC55" w14:textId="719620D6" w:rsidR="003A47A8" w:rsidRPr="00D22308" w:rsidRDefault="003A47A8" w:rsidP="00172CB6">
      <w:pPr>
        <w:tabs>
          <w:tab w:val="left" w:pos="1710"/>
        </w:tabs>
        <w:spacing w:after="0" w:line="276" w:lineRule="auto"/>
        <w:ind w:firstLine="720"/>
        <w:jc w:val="both"/>
        <w:rPr>
          <w:rFonts w:cs="Times New Roman"/>
          <w:szCs w:val="24"/>
        </w:rPr>
      </w:pPr>
      <w:r w:rsidRPr="00D22308">
        <w:rPr>
          <w:rFonts w:cs="Times New Roman"/>
          <w:szCs w:val="24"/>
        </w:rPr>
        <w:t>[1]</w:t>
      </w:r>
      <w:r w:rsidR="00847D82" w:rsidRPr="00D22308">
        <w:rPr>
          <w:rFonts w:cs="Times New Roman"/>
          <w:szCs w:val="24"/>
        </w:rPr>
        <w:t> </w:t>
      </w:r>
      <w:r w:rsidRPr="00D22308">
        <w:rPr>
          <w:rFonts w:cs="Times New Roman"/>
          <w:szCs w:val="24"/>
        </w:rPr>
        <w:t xml:space="preserve">Ar </w:t>
      </w:r>
      <w:r w:rsidR="00AE3F38" w:rsidRPr="00D22308">
        <w:rPr>
          <w:rFonts w:cs="Times New Roman"/>
          <w:szCs w:val="24"/>
        </w:rPr>
        <w:t>Kurzemes</w:t>
      </w:r>
      <w:r w:rsidR="00F4525B" w:rsidRPr="00D22308">
        <w:rPr>
          <w:rFonts w:cs="Times New Roman"/>
          <w:szCs w:val="24"/>
        </w:rPr>
        <w:t xml:space="preserve"> rajona tiesas 202</w:t>
      </w:r>
      <w:r w:rsidR="00AE3F38" w:rsidRPr="00D22308">
        <w:rPr>
          <w:rFonts w:cs="Times New Roman"/>
          <w:szCs w:val="24"/>
        </w:rPr>
        <w:t>3</w:t>
      </w:r>
      <w:r w:rsidR="00F4525B" w:rsidRPr="00D22308">
        <w:rPr>
          <w:rFonts w:cs="Times New Roman"/>
          <w:szCs w:val="24"/>
        </w:rPr>
        <w:t>. gada</w:t>
      </w:r>
      <w:r w:rsidRPr="00D22308">
        <w:rPr>
          <w:rFonts w:cs="Times New Roman"/>
          <w:szCs w:val="24"/>
        </w:rPr>
        <w:t xml:space="preserve"> </w:t>
      </w:r>
      <w:r w:rsidR="00AE3F38" w:rsidRPr="00D22308">
        <w:rPr>
          <w:rFonts w:cs="Times New Roman"/>
          <w:szCs w:val="24"/>
        </w:rPr>
        <w:t>8</w:t>
      </w:r>
      <w:r w:rsidR="00F4525B" w:rsidRPr="00D22308">
        <w:rPr>
          <w:rFonts w:cs="Times New Roman"/>
          <w:szCs w:val="24"/>
        </w:rPr>
        <w:t>. </w:t>
      </w:r>
      <w:r w:rsidR="00AE3F38" w:rsidRPr="00D22308">
        <w:rPr>
          <w:rFonts w:cs="Times New Roman"/>
          <w:szCs w:val="24"/>
        </w:rPr>
        <w:t>novembra</w:t>
      </w:r>
      <w:r w:rsidRPr="00D22308">
        <w:rPr>
          <w:rFonts w:cs="Times New Roman"/>
          <w:szCs w:val="24"/>
        </w:rPr>
        <w:t xml:space="preserve"> spriedumu</w:t>
      </w:r>
    </w:p>
    <w:p w14:paraId="616042BA" w14:textId="19E74CE2" w:rsidR="00302D99" w:rsidRPr="00D22308" w:rsidRDefault="0000475F" w:rsidP="00172CB6">
      <w:pPr>
        <w:tabs>
          <w:tab w:val="left" w:pos="1710"/>
        </w:tabs>
        <w:spacing w:after="0" w:line="276" w:lineRule="auto"/>
        <w:ind w:firstLine="720"/>
        <w:jc w:val="both"/>
        <w:rPr>
          <w:rFonts w:cs="Times New Roman"/>
          <w:szCs w:val="24"/>
        </w:rPr>
      </w:pPr>
      <w:r>
        <w:rPr>
          <w:rFonts w:cs="Times New Roman"/>
          <w:szCs w:val="24"/>
        </w:rPr>
        <w:t>[pers. A]</w:t>
      </w:r>
      <w:r w:rsidR="00F4525B" w:rsidRPr="00D22308">
        <w:rPr>
          <w:rFonts w:cs="Times New Roman"/>
          <w:szCs w:val="24"/>
        </w:rPr>
        <w:t xml:space="preserve">, personas </w:t>
      </w:r>
      <w:r w:rsidR="00AE3F38" w:rsidRPr="00D22308">
        <w:rPr>
          <w:rFonts w:cs="Times New Roman"/>
          <w:szCs w:val="24"/>
        </w:rPr>
        <w:t xml:space="preserve">kods </w:t>
      </w:r>
      <w:r>
        <w:rPr>
          <w:rFonts w:cs="Times New Roman"/>
          <w:szCs w:val="24"/>
        </w:rPr>
        <w:t>[..]</w:t>
      </w:r>
      <w:r w:rsidR="00AE3F38" w:rsidRPr="00D22308">
        <w:rPr>
          <w:rFonts w:cs="Times New Roman"/>
          <w:szCs w:val="24"/>
        </w:rPr>
        <w:t>,</w:t>
      </w:r>
    </w:p>
    <w:p w14:paraId="1D1D8302" w14:textId="22D8C296" w:rsidR="00D4450C" w:rsidRPr="00D22308" w:rsidRDefault="003A47A8" w:rsidP="00172CB6">
      <w:pPr>
        <w:tabs>
          <w:tab w:val="left" w:pos="1710"/>
        </w:tabs>
        <w:spacing w:after="0" w:line="276" w:lineRule="auto"/>
        <w:ind w:firstLine="720"/>
        <w:jc w:val="both"/>
        <w:rPr>
          <w:rFonts w:cs="Times New Roman"/>
          <w:szCs w:val="24"/>
        </w:rPr>
      </w:pPr>
      <w:r w:rsidRPr="00D22308">
        <w:rPr>
          <w:rFonts w:cs="Times New Roman"/>
          <w:szCs w:val="24"/>
        </w:rPr>
        <w:t xml:space="preserve">atzīts par vainīgu Krimināllikuma </w:t>
      </w:r>
      <w:r w:rsidR="00D4450C" w:rsidRPr="00D22308">
        <w:rPr>
          <w:rFonts w:cs="Times New Roman"/>
          <w:szCs w:val="24"/>
        </w:rPr>
        <w:t>262</w:t>
      </w:r>
      <w:r w:rsidRPr="00D22308">
        <w:rPr>
          <w:rFonts w:cs="Times New Roman"/>
          <w:szCs w:val="24"/>
        </w:rPr>
        <w:t>.</w:t>
      </w:r>
      <w:r w:rsidR="00302D99" w:rsidRPr="00D22308">
        <w:rPr>
          <w:rFonts w:cs="Times New Roman"/>
          <w:szCs w:val="24"/>
        </w:rPr>
        <w:t> </w:t>
      </w:r>
      <w:r w:rsidRPr="00D22308">
        <w:rPr>
          <w:rFonts w:cs="Times New Roman"/>
          <w:szCs w:val="24"/>
        </w:rPr>
        <w:t xml:space="preserve">panta </w:t>
      </w:r>
      <w:r w:rsidR="00D4450C" w:rsidRPr="00D22308">
        <w:rPr>
          <w:rFonts w:cs="Times New Roman"/>
          <w:szCs w:val="24"/>
        </w:rPr>
        <w:t>1.</w:t>
      </w:r>
      <w:r w:rsidR="00D4450C" w:rsidRPr="00D22308">
        <w:rPr>
          <w:rFonts w:cs="Times New Roman"/>
          <w:szCs w:val="24"/>
          <w:vertAlign w:val="superscript"/>
        </w:rPr>
        <w:t>1</w:t>
      </w:r>
      <w:r w:rsidR="00D4450C" w:rsidRPr="00D22308">
        <w:rPr>
          <w:rFonts w:cs="Times New Roman"/>
          <w:szCs w:val="24"/>
        </w:rPr>
        <w:t> </w:t>
      </w:r>
      <w:r w:rsidRPr="00D22308">
        <w:rPr>
          <w:rFonts w:cs="Times New Roman"/>
          <w:szCs w:val="24"/>
        </w:rPr>
        <w:t>daļā paredzētajā noziedzīgajā nodarījumā un s</w:t>
      </w:r>
      <w:r w:rsidR="001D21ED" w:rsidRPr="00D22308">
        <w:rPr>
          <w:rFonts w:cs="Times New Roman"/>
          <w:szCs w:val="24"/>
        </w:rPr>
        <w:t xml:space="preserve">odīts ar </w:t>
      </w:r>
      <w:r w:rsidR="00D4450C" w:rsidRPr="00D22308">
        <w:rPr>
          <w:rFonts w:cs="Times New Roman"/>
          <w:szCs w:val="24"/>
        </w:rPr>
        <w:t>sabiedrisko darbu uz 150 stundām, atņemot transportlīdzekļa vadīšanas tiesības uz 5 gadiem.</w:t>
      </w:r>
    </w:p>
    <w:p w14:paraId="54813F31" w14:textId="77777777" w:rsidR="00D4450C" w:rsidRPr="00D22308" w:rsidRDefault="00D4450C" w:rsidP="00172CB6">
      <w:pPr>
        <w:tabs>
          <w:tab w:val="left" w:pos="1710"/>
        </w:tabs>
        <w:spacing w:after="0" w:line="276" w:lineRule="auto"/>
        <w:ind w:firstLine="720"/>
        <w:jc w:val="both"/>
        <w:rPr>
          <w:rFonts w:cs="Times New Roman"/>
          <w:szCs w:val="24"/>
        </w:rPr>
      </w:pPr>
    </w:p>
    <w:p w14:paraId="70C8C2CB" w14:textId="5E3FDA2D" w:rsidR="00D4450C" w:rsidRPr="00D22308" w:rsidRDefault="00D4450C" w:rsidP="00172CB6">
      <w:pPr>
        <w:tabs>
          <w:tab w:val="left" w:pos="1710"/>
        </w:tabs>
        <w:spacing w:after="0" w:line="276" w:lineRule="auto"/>
        <w:ind w:firstLine="720"/>
        <w:jc w:val="both"/>
        <w:rPr>
          <w:rFonts w:cs="Times New Roman"/>
          <w:szCs w:val="24"/>
        </w:rPr>
      </w:pPr>
      <w:r w:rsidRPr="00D22308">
        <w:rPr>
          <w:rFonts w:cs="Times New Roman"/>
          <w:szCs w:val="24"/>
        </w:rPr>
        <w:t>[2] </w:t>
      </w:r>
      <w:r w:rsidR="00017FDF" w:rsidRPr="00D22308">
        <w:rPr>
          <w:rFonts w:cs="Times New Roman"/>
          <w:szCs w:val="24"/>
        </w:rPr>
        <w:t xml:space="preserve">Ar </w:t>
      </w:r>
      <w:r w:rsidR="00017FDF" w:rsidRPr="00D22308">
        <w:rPr>
          <w:rFonts w:cs="Times New Roman"/>
          <w:szCs w:val="24"/>
          <w:lang w:eastAsia="lv-LV"/>
        </w:rPr>
        <w:t xml:space="preserve">pirmās instances tiesas spriedumu </w:t>
      </w:r>
      <w:r w:rsidR="00373AB6">
        <w:rPr>
          <w:rFonts w:cs="Times New Roman"/>
          <w:szCs w:val="24"/>
        </w:rPr>
        <w:t>[pers. A]</w:t>
      </w:r>
      <w:r w:rsidR="00017FDF" w:rsidRPr="00D22308">
        <w:rPr>
          <w:rFonts w:cs="Times New Roman"/>
          <w:szCs w:val="24"/>
        </w:rPr>
        <w:t xml:space="preserve"> atzīts par vainīgu un sodīts pēc Krimināllikuma </w:t>
      </w:r>
      <w:r w:rsidRPr="00D22308">
        <w:rPr>
          <w:rFonts w:cs="Times New Roman"/>
          <w:szCs w:val="24"/>
        </w:rPr>
        <w:t>262. panta 1.</w:t>
      </w:r>
      <w:r w:rsidRPr="00D22308">
        <w:rPr>
          <w:rFonts w:cs="Times New Roman"/>
          <w:szCs w:val="24"/>
          <w:vertAlign w:val="superscript"/>
        </w:rPr>
        <w:t>1</w:t>
      </w:r>
      <w:r w:rsidRPr="00D22308">
        <w:rPr>
          <w:rFonts w:cs="Times New Roman"/>
          <w:szCs w:val="24"/>
        </w:rPr>
        <w:t> </w:t>
      </w:r>
      <w:r w:rsidR="00017FDF" w:rsidRPr="00D22308">
        <w:rPr>
          <w:rFonts w:cs="Times New Roman"/>
          <w:szCs w:val="24"/>
        </w:rPr>
        <w:t xml:space="preserve">daļas par </w:t>
      </w:r>
      <w:r w:rsidRPr="00D22308">
        <w:rPr>
          <w:rFonts w:cs="Times New Roman"/>
          <w:szCs w:val="24"/>
        </w:rPr>
        <w:t>transportlīdzekļa vadīšanu, atrodoties narkotisko vielu ietekmē.</w:t>
      </w:r>
    </w:p>
    <w:p w14:paraId="4F8AA739" w14:textId="77777777" w:rsidR="00D4450C" w:rsidRPr="00D22308" w:rsidRDefault="00D4450C" w:rsidP="00172CB6">
      <w:pPr>
        <w:tabs>
          <w:tab w:val="left" w:pos="1710"/>
        </w:tabs>
        <w:spacing w:after="0" w:line="276" w:lineRule="auto"/>
        <w:ind w:firstLine="720"/>
        <w:jc w:val="both"/>
        <w:rPr>
          <w:rFonts w:cs="Times New Roman"/>
          <w:szCs w:val="24"/>
        </w:rPr>
      </w:pPr>
    </w:p>
    <w:p w14:paraId="72A88CAB" w14:textId="26B36422" w:rsidR="00381CF3" w:rsidRPr="00D22308" w:rsidRDefault="00D4450C" w:rsidP="00172CB6">
      <w:pPr>
        <w:tabs>
          <w:tab w:val="left" w:pos="1710"/>
        </w:tabs>
        <w:spacing w:after="0" w:line="276" w:lineRule="auto"/>
        <w:ind w:firstLine="720"/>
        <w:jc w:val="both"/>
        <w:rPr>
          <w:rFonts w:cs="Times New Roman"/>
          <w:szCs w:val="24"/>
        </w:rPr>
      </w:pPr>
      <w:r w:rsidRPr="00D22308">
        <w:rPr>
          <w:rFonts w:cs="Times New Roman"/>
          <w:szCs w:val="24"/>
        </w:rPr>
        <w:t>[3]</w:t>
      </w:r>
      <w:r w:rsidR="00381CF3" w:rsidRPr="00D22308">
        <w:rPr>
          <w:rFonts w:cs="Times New Roman"/>
          <w:szCs w:val="24"/>
        </w:rPr>
        <w:t xml:space="preserve"> Ar Kurzemes apgabaltiesas 2024. gada 29. aprīļa spriedumu, iztiesājot krimināllietu apelācijas kārtībā sakarā ar apsūdzētā </w:t>
      </w:r>
      <w:r w:rsidR="00373AB6">
        <w:rPr>
          <w:rFonts w:cs="Times New Roman"/>
          <w:szCs w:val="24"/>
        </w:rPr>
        <w:t>[pers. A]</w:t>
      </w:r>
      <w:r w:rsidR="00381CF3" w:rsidRPr="00D22308">
        <w:rPr>
          <w:rFonts w:cs="Times New Roman"/>
          <w:szCs w:val="24"/>
        </w:rPr>
        <w:t xml:space="preserve"> aizstāvja zvērināta advokāta Āra Stoka apelācijas sūdzību, Kurzemes rajona tiesas 2023. gada 8. novembra spriedums atcelts.</w:t>
      </w:r>
    </w:p>
    <w:p w14:paraId="7B1CC7DB" w14:textId="07DF923F" w:rsidR="00381CF3" w:rsidRPr="00D22308" w:rsidRDefault="006D3340" w:rsidP="00172CB6">
      <w:pPr>
        <w:widowControl w:val="0"/>
        <w:spacing w:after="0" w:line="276" w:lineRule="auto"/>
        <w:ind w:firstLine="720"/>
        <w:jc w:val="both"/>
        <w:rPr>
          <w:rFonts w:cs="Times New Roman"/>
          <w:szCs w:val="24"/>
        </w:rPr>
      </w:pPr>
      <w:r>
        <w:rPr>
          <w:rFonts w:cs="Times New Roman"/>
          <w:szCs w:val="24"/>
        </w:rPr>
        <w:t xml:space="preserve">Ar minēto spriedumu </w:t>
      </w:r>
      <w:r w:rsidR="00373AB6">
        <w:rPr>
          <w:rFonts w:cs="Times New Roman"/>
          <w:szCs w:val="24"/>
        </w:rPr>
        <w:t>[pers. A]</w:t>
      </w:r>
      <w:r w:rsidR="00381CF3" w:rsidRPr="00D22308">
        <w:rPr>
          <w:rFonts w:cs="Times New Roman"/>
          <w:szCs w:val="24"/>
        </w:rPr>
        <w:t xml:space="preserve"> atzīts par nevainīgu pret viņu celtajā apsūdzībā pēc Krimināllikuma 262. panta 1.</w:t>
      </w:r>
      <w:r w:rsidR="00381CF3" w:rsidRPr="00D22308">
        <w:rPr>
          <w:rFonts w:cs="Times New Roman"/>
          <w:szCs w:val="24"/>
          <w:vertAlign w:val="superscript"/>
        </w:rPr>
        <w:t>1</w:t>
      </w:r>
      <w:r w:rsidR="00381CF3" w:rsidRPr="00D22308">
        <w:rPr>
          <w:rFonts w:cs="Times New Roman"/>
          <w:szCs w:val="24"/>
        </w:rPr>
        <w:t> daļas un attaisnots.</w:t>
      </w:r>
    </w:p>
    <w:p w14:paraId="682C380C" w14:textId="77777777" w:rsidR="00381CF3" w:rsidRPr="00D22308" w:rsidRDefault="00381CF3" w:rsidP="00172CB6">
      <w:pPr>
        <w:widowControl w:val="0"/>
        <w:spacing w:after="0" w:line="276" w:lineRule="auto"/>
        <w:ind w:firstLine="720"/>
        <w:jc w:val="both"/>
        <w:rPr>
          <w:rFonts w:cs="Times New Roman"/>
          <w:szCs w:val="24"/>
        </w:rPr>
      </w:pPr>
    </w:p>
    <w:p w14:paraId="0441BEBB" w14:textId="36835090" w:rsidR="00381CF3" w:rsidRPr="00D22308" w:rsidRDefault="00381CF3" w:rsidP="00172CB6">
      <w:pPr>
        <w:widowControl w:val="0"/>
        <w:spacing w:after="0" w:line="276" w:lineRule="auto"/>
        <w:ind w:firstLine="720"/>
        <w:jc w:val="both"/>
        <w:rPr>
          <w:rFonts w:cs="Times New Roman"/>
          <w:szCs w:val="24"/>
        </w:rPr>
      </w:pPr>
      <w:r w:rsidRPr="00D22308">
        <w:rPr>
          <w:rFonts w:cs="Times New Roman"/>
          <w:szCs w:val="24"/>
        </w:rPr>
        <w:lastRenderedPageBreak/>
        <w:t>[4] Par Kurzemes apgabaltiesas 2024. gada 29. aprīļa spriedumu prokurors S. </w:t>
      </w:r>
      <w:proofErr w:type="spellStart"/>
      <w:r w:rsidRPr="00D22308">
        <w:rPr>
          <w:rFonts w:cs="Times New Roman"/>
          <w:szCs w:val="24"/>
        </w:rPr>
        <w:t>Šarķis</w:t>
      </w:r>
      <w:proofErr w:type="spellEnd"/>
      <w:r w:rsidRPr="00D22308">
        <w:rPr>
          <w:rFonts w:cs="Times New Roman"/>
          <w:szCs w:val="24"/>
        </w:rPr>
        <w:t xml:space="preserve"> iesniedzis kasācijas protestu, lūdzot spriedumu atcelt un nosūtīt lietu jaunai izskatīšanai apelācijas instances tiesā.</w:t>
      </w:r>
    </w:p>
    <w:p w14:paraId="5238A3F1" w14:textId="77777777" w:rsidR="00391E83" w:rsidRPr="00D22308" w:rsidRDefault="00381CF3" w:rsidP="00172CB6">
      <w:pPr>
        <w:widowControl w:val="0"/>
        <w:spacing w:after="0" w:line="276" w:lineRule="auto"/>
        <w:ind w:firstLine="720"/>
        <w:jc w:val="both"/>
        <w:rPr>
          <w:rFonts w:cs="Times New Roman"/>
          <w:szCs w:val="24"/>
        </w:rPr>
      </w:pPr>
      <w:r w:rsidRPr="00D22308">
        <w:rPr>
          <w:rFonts w:cs="Times New Roman"/>
          <w:szCs w:val="24"/>
        </w:rPr>
        <w:t>Kasācijas protestu pamato turpmāk norādītie argumenti.</w:t>
      </w:r>
    </w:p>
    <w:p w14:paraId="2C6AC2D0" w14:textId="2D3C845B" w:rsidR="00E71A53" w:rsidRPr="00D651E5" w:rsidRDefault="00391E83" w:rsidP="00172CB6">
      <w:pPr>
        <w:widowControl w:val="0"/>
        <w:spacing w:after="0" w:line="276" w:lineRule="auto"/>
        <w:ind w:firstLine="720"/>
        <w:jc w:val="both"/>
        <w:rPr>
          <w:rFonts w:cs="Times New Roman"/>
          <w:szCs w:val="24"/>
        </w:rPr>
      </w:pPr>
      <w:r w:rsidRPr="00D22308">
        <w:rPr>
          <w:rFonts w:cs="Times New Roman"/>
          <w:szCs w:val="24"/>
        </w:rPr>
        <w:t>[4.</w:t>
      </w:r>
      <w:r w:rsidR="00DC24D2" w:rsidRPr="00D22308">
        <w:rPr>
          <w:rFonts w:cs="Times New Roman"/>
          <w:szCs w:val="24"/>
        </w:rPr>
        <w:t>1</w:t>
      </w:r>
      <w:r w:rsidRPr="00D22308">
        <w:rPr>
          <w:rFonts w:cs="Times New Roman"/>
          <w:szCs w:val="24"/>
        </w:rPr>
        <w:t>]</w:t>
      </w:r>
      <w:r w:rsidR="00DC24D2" w:rsidRPr="00D22308">
        <w:rPr>
          <w:rFonts w:cs="Times New Roman"/>
          <w:szCs w:val="24"/>
        </w:rPr>
        <w:t> </w:t>
      </w:r>
      <w:r w:rsidR="00901EF4" w:rsidRPr="00D22308">
        <w:rPr>
          <w:rFonts w:cs="Times New Roman"/>
          <w:szCs w:val="24"/>
        </w:rPr>
        <w:t>Apelācijas instances tiesa</w:t>
      </w:r>
      <w:r w:rsidR="00C870C8" w:rsidRPr="00D22308">
        <w:rPr>
          <w:rFonts w:cs="Times New Roman"/>
          <w:szCs w:val="24"/>
        </w:rPr>
        <w:t xml:space="preserve"> </w:t>
      </w:r>
      <w:r w:rsidR="00DC24D2" w:rsidRPr="00D22308">
        <w:rPr>
          <w:rFonts w:cs="Times New Roman"/>
          <w:szCs w:val="24"/>
        </w:rPr>
        <w:t xml:space="preserve">nepamatoti </w:t>
      </w:r>
      <w:r w:rsidR="00252040" w:rsidRPr="00D22308">
        <w:rPr>
          <w:rFonts w:cs="Times New Roman"/>
          <w:szCs w:val="24"/>
        </w:rPr>
        <w:t>atzinusi, ka medicīniskās pārbaudes protokols un ķīmiski toksikoloģiskās izmeklēšanas rezultāt</w:t>
      </w:r>
      <w:r w:rsidR="00721FA5" w:rsidRPr="00D22308">
        <w:rPr>
          <w:rFonts w:cs="Times New Roman"/>
          <w:szCs w:val="24"/>
        </w:rPr>
        <w:t xml:space="preserve">i Nr. 3181 </w:t>
      </w:r>
      <w:r w:rsidR="00252040" w:rsidRPr="00D22308">
        <w:rPr>
          <w:rFonts w:cs="Times New Roman"/>
          <w:szCs w:val="24"/>
        </w:rPr>
        <w:t xml:space="preserve">saskaņā ar Kriminālprocesa likuma 130. panta otrās daļas 2. punktu nav pieļaujams </w:t>
      </w:r>
      <w:r w:rsidR="00764C0D" w:rsidRPr="00D22308">
        <w:rPr>
          <w:rFonts w:cs="Times New Roman"/>
          <w:szCs w:val="24"/>
        </w:rPr>
        <w:t xml:space="preserve">pierādījums </w:t>
      </w:r>
      <w:r w:rsidR="00252040" w:rsidRPr="00D22308">
        <w:rPr>
          <w:rFonts w:cs="Times New Roman"/>
          <w:szCs w:val="24"/>
        </w:rPr>
        <w:t xml:space="preserve">un </w:t>
      </w:r>
      <w:r w:rsidR="00764C0D">
        <w:rPr>
          <w:rFonts w:cs="Times New Roman"/>
          <w:szCs w:val="24"/>
        </w:rPr>
        <w:t xml:space="preserve">nav </w:t>
      </w:r>
      <w:r w:rsidR="00764C0D" w:rsidRPr="00D22308">
        <w:rPr>
          <w:rFonts w:cs="Times New Roman"/>
          <w:szCs w:val="24"/>
        </w:rPr>
        <w:t>izmantojams</w:t>
      </w:r>
      <w:r w:rsidR="00764C0D">
        <w:rPr>
          <w:rFonts w:cs="Times New Roman"/>
          <w:szCs w:val="24"/>
        </w:rPr>
        <w:t xml:space="preserve"> </w:t>
      </w:r>
      <w:r w:rsidR="00764C0D" w:rsidRPr="00D22308">
        <w:rPr>
          <w:rFonts w:cs="Times New Roman"/>
          <w:szCs w:val="24"/>
        </w:rPr>
        <w:t>pierādīšanā</w:t>
      </w:r>
      <w:r w:rsidR="007A264A" w:rsidRPr="00D22308">
        <w:rPr>
          <w:rFonts w:cs="Times New Roman"/>
          <w:szCs w:val="24"/>
        </w:rPr>
        <w:t>, jo</w:t>
      </w:r>
      <w:r w:rsidR="008F642C" w:rsidRPr="00D22308">
        <w:rPr>
          <w:rFonts w:cs="Times New Roman"/>
          <w:szCs w:val="24"/>
        </w:rPr>
        <w:t xml:space="preserve"> pirmstiesas izmeklēšanu ir veikusi Valsts ieņēmumu dienesta Nodokļu un muitas policija</w:t>
      </w:r>
      <w:r w:rsidR="00DC284C" w:rsidRPr="00D22308">
        <w:rPr>
          <w:rFonts w:cs="Times New Roman"/>
          <w:szCs w:val="24"/>
        </w:rPr>
        <w:t>s</w:t>
      </w:r>
      <w:r w:rsidR="008F642C" w:rsidRPr="00D22308">
        <w:rPr>
          <w:rFonts w:cs="Times New Roman"/>
          <w:szCs w:val="24"/>
        </w:rPr>
        <w:t xml:space="preserve"> amatpersona</w:t>
      </w:r>
      <w:r w:rsidR="004C233C" w:rsidRPr="00D22308">
        <w:rPr>
          <w:rFonts w:cs="Times New Roman"/>
          <w:szCs w:val="24"/>
        </w:rPr>
        <w:t>, kuras kompetencē</w:t>
      </w:r>
      <w:r w:rsidR="00DC284C" w:rsidRPr="00D22308">
        <w:rPr>
          <w:rFonts w:cs="Times New Roman"/>
          <w:szCs w:val="24"/>
        </w:rPr>
        <w:t xml:space="preserve"> nav </w:t>
      </w:r>
      <w:r w:rsidR="00CB7AE5" w:rsidRPr="00D22308">
        <w:rPr>
          <w:rFonts w:cs="Times New Roman"/>
          <w:szCs w:val="24"/>
        </w:rPr>
        <w:t xml:space="preserve">izmeklēt </w:t>
      </w:r>
      <w:r w:rsidR="000C36A9" w:rsidRPr="00D22308">
        <w:rPr>
          <w:rFonts w:cs="Times New Roman"/>
          <w:szCs w:val="24"/>
        </w:rPr>
        <w:t>noziedzīg</w:t>
      </w:r>
      <w:r w:rsidR="00CB7AE5" w:rsidRPr="00D22308">
        <w:rPr>
          <w:rFonts w:cs="Times New Roman"/>
          <w:szCs w:val="24"/>
        </w:rPr>
        <w:t>us</w:t>
      </w:r>
      <w:r w:rsidR="000C36A9" w:rsidRPr="00D22308">
        <w:rPr>
          <w:rFonts w:cs="Times New Roman"/>
          <w:szCs w:val="24"/>
        </w:rPr>
        <w:t xml:space="preserve"> nodarījum</w:t>
      </w:r>
      <w:r w:rsidR="00CB7AE5" w:rsidRPr="00D22308">
        <w:rPr>
          <w:rFonts w:cs="Times New Roman"/>
          <w:szCs w:val="24"/>
        </w:rPr>
        <w:t xml:space="preserve">us </w:t>
      </w:r>
      <w:r w:rsidR="000C36A9" w:rsidRPr="00D22308">
        <w:rPr>
          <w:rFonts w:cs="Times New Roman"/>
          <w:szCs w:val="24"/>
        </w:rPr>
        <w:t xml:space="preserve">pret </w:t>
      </w:r>
      <w:r w:rsidR="000C36A9" w:rsidRPr="00D651E5">
        <w:rPr>
          <w:rFonts w:cs="Times New Roman"/>
          <w:szCs w:val="24"/>
        </w:rPr>
        <w:t>satiksmes drošību</w:t>
      </w:r>
      <w:r w:rsidR="00721FA5" w:rsidRPr="00D651E5">
        <w:rPr>
          <w:rFonts w:cs="Times New Roman"/>
          <w:szCs w:val="24"/>
        </w:rPr>
        <w:t>.</w:t>
      </w:r>
    </w:p>
    <w:p w14:paraId="26073E87" w14:textId="3684DB9B" w:rsidR="00A454CD" w:rsidRPr="00D22308" w:rsidRDefault="00726F61" w:rsidP="00172CB6">
      <w:pPr>
        <w:widowControl w:val="0"/>
        <w:spacing w:after="0" w:line="276" w:lineRule="auto"/>
        <w:ind w:firstLine="720"/>
        <w:jc w:val="both"/>
        <w:rPr>
          <w:rFonts w:cs="Times New Roman"/>
          <w:szCs w:val="24"/>
        </w:rPr>
      </w:pPr>
      <w:r w:rsidRPr="00D651E5">
        <w:rPr>
          <w:rFonts w:cs="Times New Roman"/>
          <w:szCs w:val="24"/>
        </w:rPr>
        <w:t xml:space="preserve">Pierādījumi par apsūdzētā atrašanos </w:t>
      </w:r>
      <w:r w:rsidRPr="00D22308">
        <w:rPr>
          <w:rFonts w:cs="Times New Roman"/>
          <w:szCs w:val="24"/>
        </w:rPr>
        <w:t>narkotisko vielu ietekmē tika iegūti neatliekamu izmeklēšanas darbību</w:t>
      </w:r>
      <w:r w:rsidR="00721FA5" w:rsidRPr="00D22308">
        <w:rPr>
          <w:rFonts w:cs="Times New Roman"/>
          <w:szCs w:val="24"/>
        </w:rPr>
        <w:t xml:space="preserve"> </w:t>
      </w:r>
      <w:r w:rsidRPr="00D22308">
        <w:rPr>
          <w:rFonts w:cs="Times New Roman"/>
          <w:szCs w:val="24"/>
        </w:rPr>
        <w:t>laikā, kad izmeklēšana bija piekritīga Valsts ieņēmumu dienesta Nodokļu un muitas policijai</w:t>
      </w:r>
      <w:r w:rsidR="009969CC" w:rsidRPr="00D22308">
        <w:rPr>
          <w:rFonts w:cs="Times New Roman"/>
          <w:szCs w:val="24"/>
        </w:rPr>
        <w:t xml:space="preserve"> (turpmāk</w:t>
      </w:r>
      <w:r w:rsidR="00654A03" w:rsidRPr="00D22308">
        <w:rPr>
          <w:rFonts w:cs="Times New Roman"/>
          <w:szCs w:val="24"/>
        </w:rPr>
        <w:t xml:space="preserve"> – </w:t>
      </w:r>
      <w:r w:rsidR="00764C0D">
        <w:rPr>
          <w:rFonts w:cs="Times New Roman"/>
          <w:szCs w:val="24"/>
        </w:rPr>
        <w:t>N</w:t>
      </w:r>
      <w:r w:rsidR="009969CC" w:rsidRPr="00D22308">
        <w:rPr>
          <w:rFonts w:cs="Times New Roman"/>
          <w:szCs w:val="24"/>
        </w:rPr>
        <w:t>odokļu un muitas policija)</w:t>
      </w:r>
      <w:r w:rsidRPr="00D22308">
        <w:rPr>
          <w:rFonts w:cs="Times New Roman"/>
          <w:szCs w:val="24"/>
        </w:rPr>
        <w:t>, līdz ar to minētie pierādījumi ir atzīstami par pieļaujamiem.</w:t>
      </w:r>
    </w:p>
    <w:p w14:paraId="65F3F8CC" w14:textId="47AA1898" w:rsidR="00CD2167" w:rsidRPr="00D22308" w:rsidRDefault="00726F61" w:rsidP="00172CB6">
      <w:pPr>
        <w:widowControl w:val="0"/>
        <w:spacing w:after="0" w:line="276" w:lineRule="auto"/>
        <w:ind w:firstLine="720"/>
        <w:jc w:val="both"/>
        <w:rPr>
          <w:rFonts w:cs="Times New Roman"/>
          <w:szCs w:val="24"/>
        </w:rPr>
      </w:pPr>
      <w:r w:rsidRPr="00D22308">
        <w:rPr>
          <w:rFonts w:cs="Times New Roman"/>
          <w:szCs w:val="24"/>
        </w:rPr>
        <w:t>[4.2] </w:t>
      </w:r>
      <w:r w:rsidR="00B95A22" w:rsidRPr="00D22308">
        <w:rPr>
          <w:rFonts w:cs="Times New Roman"/>
          <w:szCs w:val="24"/>
        </w:rPr>
        <w:t xml:space="preserve">Apstāklis, ka </w:t>
      </w:r>
      <w:r w:rsidR="00E64F87" w:rsidRPr="00D22308">
        <w:rPr>
          <w:rFonts w:cs="Times New Roman"/>
          <w:szCs w:val="24"/>
        </w:rPr>
        <w:t xml:space="preserve">uzsāktā kriminālprocesa materiāli netika nodoti pēc piekritības, atzīstams par </w:t>
      </w:r>
      <w:r w:rsidR="00B95A22" w:rsidRPr="00D22308">
        <w:rPr>
          <w:rFonts w:cs="Times New Roman"/>
          <w:szCs w:val="24"/>
        </w:rPr>
        <w:t xml:space="preserve">nebūtisku Kriminālprocesa likuma pārkāpumu, </w:t>
      </w:r>
      <w:r w:rsidR="00E64F87" w:rsidRPr="00D22308">
        <w:rPr>
          <w:rFonts w:cs="Times New Roman"/>
          <w:szCs w:val="24"/>
        </w:rPr>
        <w:t xml:space="preserve">kas nav ietekmējis </w:t>
      </w:r>
      <w:r w:rsidR="00B95A22" w:rsidRPr="00D22308">
        <w:rPr>
          <w:rFonts w:cs="Times New Roman"/>
          <w:szCs w:val="24"/>
        </w:rPr>
        <w:t>iegūto ziņu patiesumu</w:t>
      </w:r>
      <w:r w:rsidR="00CD2167" w:rsidRPr="00D22308">
        <w:rPr>
          <w:rFonts w:cs="Times New Roman"/>
          <w:szCs w:val="24"/>
        </w:rPr>
        <w:t xml:space="preserve"> un ticamību.</w:t>
      </w:r>
    </w:p>
    <w:p w14:paraId="201140D9" w14:textId="77777777" w:rsidR="00CD2167" w:rsidRPr="00D22308" w:rsidRDefault="00CD2167" w:rsidP="00172CB6">
      <w:pPr>
        <w:widowControl w:val="0"/>
        <w:spacing w:after="0" w:line="276" w:lineRule="auto"/>
        <w:ind w:firstLine="720"/>
        <w:jc w:val="both"/>
        <w:rPr>
          <w:rFonts w:cs="Times New Roman"/>
          <w:szCs w:val="24"/>
        </w:rPr>
      </w:pPr>
    </w:p>
    <w:p w14:paraId="39376198" w14:textId="77777777" w:rsidR="00913A16" w:rsidRPr="00D22308" w:rsidRDefault="00913A16" w:rsidP="00172CB6">
      <w:pPr>
        <w:tabs>
          <w:tab w:val="left" w:pos="1710"/>
        </w:tabs>
        <w:spacing w:after="0" w:line="276" w:lineRule="auto"/>
        <w:jc w:val="center"/>
        <w:rPr>
          <w:rFonts w:cs="Times New Roman"/>
          <w:b/>
          <w:szCs w:val="24"/>
        </w:rPr>
      </w:pPr>
      <w:r w:rsidRPr="00D22308">
        <w:rPr>
          <w:rFonts w:cs="Times New Roman"/>
          <w:b/>
          <w:szCs w:val="24"/>
        </w:rPr>
        <w:t>Motīvu daļa</w:t>
      </w:r>
    </w:p>
    <w:p w14:paraId="54EDCAF5" w14:textId="77777777" w:rsidR="00FC0F7F" w:rsidRPr="00D22308" w:rsidRDefault="00FC0F7F" w:rsidP="00172CB6">
      <w:pPr>
        <w:tabs>
          <w:tab w:val="left" w:pos="1710"/>
        </w:tabs>
        <w:spacing w:after="0" w:line="276" w:lineRule="auto"/>
        <w:ind w:firstLine="720"/>
        <w:jc w:val="center"/>
        <w:rPr>
          <w:rFonts w:cs="Times New Roman"/>
          <w:szCs w:val="24"/>
        </w:rPr>
      </w:pPr>
    </w:p>
    <w:p w14:paraId="4D9E378E" w14:textId="7D1B5FD7" w:rsidR="00012F1D" w:rsidRPr="00D651E5" w:rsidRDefault="001B16E3" w:rsidP="00172CB6">
      <w:pPr>
        <w:pStyle w:val="NormalWeb"/>
        <w:widowControl w:val="0"/>
        <w:shd w:val="clear" w:color="auto" w:fill="FFFFFF"/>
        <w:spacing w:line="276" w:lineRule="auto"/>
        <w:ind w:firstLine="720"/>
        <w:jc w:val="both"/>
      </w:pPr>
      <w:r w:rsidRPr="00D22308">
        <w:t>[5] </w:t>
      </w:r>
      <w:r w:rsidR="00DB2C6D" w:rsidRPr="00D22308">
        <w:t xml:space="preserve">Senāts atzīst, ka izskatāmajā lietā ir </w:t>
      </w:r>
      <w:bookmarkStart w:id="0" w:name="_Hlk187827734"/>
      <w:r w:rsidR="00DB2C6D" w:rsidRPr="00D22308">
        <w:t>jāatbild uz jautājumu, vai apelācijas instances tiesa i</w:t>
      </w:r>
      <w:r w:rsidR="00DF315E" w:rsidRPr="00D22308">
        <w:t>r pareizi piemērojusi</w:t>
      </w:r>
      <w:r w:rsidR="00DB2C6D" w:rsidRPr="00D22308">
        <w:t xml:space="preserve"> Kriminālprocesa likuma </w:t>
      </w:r>
      <w:r w:rsidR="00E012BF" w:rsidRPr="00D22308">
        <w:t>387</w:t>
      </w:r>
      <w:r w:rsidR="00FA5002" w:rsidRPr="00D22308">
        <w:t>.</w:t>
      </w:r>
      <w:r w:rsidR="00D651E5">
        <w:t> </w:t>
      </w:r>
      <w:r w:rsidR="00FA5002" w:rsidRPr="00D22308">
        <w:t>panta</w:t>
      </w:r>
      <w:r w:rsidR="00E012BF" w:rsidRPr="00D22308">
        <w:t xml:space="preserve"> 13. daļu</w:t>
      </w:r>
      <w:r w:rsidR="00DB2C6D" w:rsidRPr="00D22308">
        <w:t xml:space="preserve">, </w:t>
      </w:r>
      <w:r w:rsidR="00AF0763" w:rsidRPr="00D22308">
        <w:t xml:space="preserve">atzīstot, ka </w:t>
      </w:r>
      <w:r w:rsidR="00F934EB">
        <w:t>N</w:t>
      </w:r>
      <w:r w:rsidR="000164EA" w:rsidRPr="00D22308">
        <w:t xml:space="preserve">odokļu </w:t>
      </w:r>
      <w:r w:rsidR="00F934EB">
        <w:t xml:space="preserve">un </w:t>
      </w:r>
      <w:r w:rsidR="00F934EB" w:rsidRPr="00D22308">
        <w:t xml:space="preserve">muitas </w:t>
      </w:r>
      <w:r w:rsidR="000164EA" w:rsidRPr="00D22308">
        <w:t>policija</w:t>
      </w:r>
      <w:r w:rsidR="00533E29" w:rsidRPr="00D22308">
        <w:t>s amatpersona</w:t>
      </w:r>
      <w:r w:rsidR="000164EA" w:rsidRPr="00D22308">
        <w:t xml:space="preserve"> pārkāpusi sav</w:t>
      </w:r>
      <w:r w:rsidR="00291E5B" w:rsidRPr="00D22308">
        <w:t>as pilnvaras</w:t>
      </w:r>
      <w:r w:rsidR="000164EA" w:rsidRPr="00D22308">
        <w:t xml:space="preserve">, </w:t>
      </w:r>
      <w:r w:rsidR="00692E65" w:rsidRPr="00D22308">
        <w:t xml:space="preserve">nosūtot transportlīdzekļa vadītāju medicīniskai pārbaudei narkotisko vai citu apreibinošu vielu ietekmes </w:t>
      </w:r>
      <w:r w:rsidR="00692E65" w:rsidRPr="00D651E5">
        <w:t>noskaidrošanai</w:t>
      </w:r>
      <w:r w:rsidR="00721FA5" w:rsidRPr="00D651E5">
        <w:t>.</w:t>
      </w:r>
    </w:p>
    <w:p w14:paraId="70B03474" w14:textId="320BE54B" w:rsidR="00B17101" w:rsidRPr="00D22308" w:rsidRDefault="00392045" w:rsidP="00172CB6">
      <w:pPr>
        <w:shd w:val="clear" w:color="auto" w:fill="FFFFFF"/>
        <w:spacing w:after="0" w:line="276" w:lineRule="auto"/>
        <w:ind w:firstLine="720"/>
        <w:jc w:val="both"/>
        <w:rPr>
          <w:rFonts w:cs="Times New Roman"/>
        </w:rPr>
      </w:pPr>
      <w:r w:rsidRPr="00D651E5">
        <w:rPr>
          <w:rFonts w:cs="Times New Roman"/>
        </w:rPr>
        <w:t>[5.1]</w:t>
      </w:r>
      <w:r w:rsidR="00B17101" w:rsidRPr="00D651E5">
        <w:rPr>
          <w:rFonts w:cs="Times New Roman"/>
        </w:rPr>
        <w:t> </w:t>
      </w:r>
      <w:r w:rsidRPr="00D651E5">
        <w:rPr>
          <w:rFonts w:cs="Times New Roman"/>
        </w:rPr>
        <w:t xml:space="preserve">Apelācijas instances </w:t>
      </w:r>
      <w:r w:rsidRPr="00D22308">
        <w:rPr>
          <w:rFonts w:cs="Times New Roman"/>
        </w:rPr>
        <w:t xml:space="preserve">tiesa </w:t>
      </w:r>
      <w:r w:rsidR="00012F1D" w:rsidRPr="00D22308">
        <w:rPr>
          <w:rFonts w:cs="Times New Roman"/>
        </w:rPr>
        <w:t>norādījusi</w:t>
      </w:r>
      <w:r w:rsidRPr="00D22308">
        <w:rPr>
          <w:rFonts w:cs="Times New Roman"/>
        </w:rPr>
        <w:t>, ka</w:t>
      </w:r>
      <w:r w:rsidRPr="00D22308">
        <w:rPr>
          <w:rFonts w:cs="Times New Roman"/>
          <w:color w:val="000000"/>
          <w:lang w:eastAsia="lv-LV"/>
        </w:rPr>
        <w:t xml:space="preserve"> </w:t>
      </w:r>
      <w:r w:rsidR="00587912" w:rsidRPr="00D22308">
        <w:rPr>
          <w:rFonts w:eastAsia="Times New Roman" w:cs="Times New Roman"/>
          <w:color w:val="000000"/>
          <w:szCs w:val="24"/>
          <w:lang w:eastAsia="lv-LV"/>
        </w:rPr>
        <w:t xml:space="preserve">Kriminālprocesa likuma 387. pants precīzi reglamentē institucionālo piekritību, </w:t>
      </w:r>
      <w:r w:rsidR="00D762C5" w:rsidRPr="00D22308">
        <w:rPr>
          <w:rFonts w:eastAsia="Times New Roman" w:cs="Times New Roman"/>
          <w:color w:val="000000"/>
          <w:szCs w:val="24"/>
          <w:lang w:eastAsia="lv-LV"/>
        </w:rPr>
        <w:t>no</w:t>
      </w:r>
      <w:r w:rsidR="00587912" w:rsidRPr="00D22308">
        <w:rPr>
          <w:rFonts w:eastAsia="Times New Roman" w:cs="Times New Roman"/>
          <w:color w:val="000000"/>
          <w:szCs w:val="24"/>
          <w:lang w:eastAsia="lv-LV"/>
        </w:rPr>
        <w:t xml:space="preserve"> šī panta </w:t>
      </w:r>
      <w:r w:rsidR="00D762C5" w:rsidRPr="00D22308">
        <w:rPr>
          <w:rFonts w:eastAsia="Times New Roman" w:cs="Times New Roman"/>
          <w:color w:val="000000"/>
          <w:szCs w:val="24"/>
          <w:lang w:eastAsia="lv-LV"/>
        </w:rPr>
        <w:t>pirmās un septītās daļas izriet, ka Valsts policijas amatpersonas izmeklē jebkuru noziedzīgu nodarījumu, bet</w:t>
      </w:r>
      <w:r w:rsidR="00587912" w:rsidRPr="00D22308">
        <w:rPr>
          <w:rFonts w:eastAsia="Times New Roman" w:cs="Times New Roman"/>
          <w:color w:val="000000"/>
          <w:szCs w:val="24"/>
          <w:lang w:eastAsia="lv-LV"/>
        </w:rPr>
        <w:t xml:space="preserve"> Valsts ieņēmumu dienesta nodokļu un muitas policijas pilnvarotas amatpersonas izmeklē noziedzīgus nodarījumus valsts ieņēmumu un muitas lietu jomā. </w:t>
      </w:r>
      <w:r w:rsidR="00B17101" w:rsidRPr="00D22308">
        <w:rPr>
          <w:rFonts w:eastAsia="Times New Roman" w:cs="Times New Roman"/>
          <w:color w:val="000000"/>
          <w:szCs w:val="24"/>
          <w:lang w:eastAsia="lv-LV"/>
        </w:rPr>
        <w:t xml:space="preserve">Savukārt </w:t>
      </w:r>
      <w:r w:rsidR="00C755A5" w:rsidRPr="00D22308">
        <w:rPr>
          <w:rFonts w:eastAsia="Times New Roman" w:cs="Times New Roman"/>
          <w:color w:val="000000"/>
          <w:szCs w:val="24"/>
          <w:lang w:eastAsia="lv-LV"/>
        </w:rPr>
        <w:t xml:space="preserve">no minētā panta </w:t>
      </w:r>
      <w:r w:rsidR="00B17101" w:rsidRPr="00D22308">
        <w:rPr>
          <w:rFonts w:eastAsia="Times New Roman" w:cs="Times New Roman"/>
          <w:color w:val="000000"/>
          <w:szCs w:val="24"/>
          <w:lang w:eastAsia="lv-LV"/>
        </w:rPr>
        <w:t>13.</w:t>
      </w:r>
      <w:r w:rsidR="009E694B" w:rsidRPr="00D22308">
        <w:rPr>
          <w:rFonts w:eastAsia="Times New Roman" w:cs="Times New Roman"/>
          <w:color w:val="000000"/>
          <w:szCs w:val="24"/>
          <w:lang w:eastAsia="lv-LV"/>
        </w:rPr>
        <w:t> </w:t>
      </w:r>
      <w:r w:rsidR="00B17101" w:rsidRPr="00D22308">
        <w:rPr>
          <w:rFonts w:eastAsia="Times New Roman" w:cs="Times New Roman"/>
          <w:color w:val="000000"/>
          <w:szCs w:val="24"/>
          <w:lang w:eastAsia="lv-LV"/>
        </w:rPr>
        <w:t>daļa</w:t>
      </w:r>
      <w:r w:rsidR="00C755A5" w:rsidRPr="00D22308">
        <w:rPr>
          <w:rFonts w:eastAsia="Times New Roman" w:cs="Times New Roman"/>
          <w:color w:val="000000"/>
          <w:szCs w:val="24"/>
          <w:lang w:eastAsia="lv-LV"/>
        </w:rPr>
        <w:t xml:space="preserve">s izriet, ka </w:t>
      </w:r>
      <w:r w:rsidR="00B72F9B" w:rsidRPr="00D22308">
        <w:rPr>
          <w:rFonts w:eastAsia="Times New Roman" w:cs="Times New Roman"/>
          <w:color w:val="000000"/>
          <w:szCs w:val="24"/>
          <w:lang w:eastAsia="lv-LV"/>
        </w:rPr>
        <w:t>neatliekamas izmeklēšanas darbības var veikt arī iestāde, kura saņem ziņas par noziedzīgu nodarījumu un tās kompetencē neietilpst konkrētu noziedzīgu nodarījumu izmeklēšana</w:t>
      </w:r>
      <w:r w:rsidR="00B17101" w:rsidRPr="00D22308">
        <w:rPr>
          <w:rFonts w:eastAsia="Times New Roman" w:cs="Times New Roman"/>
          <w:color w:val="000000"/>
          <w:szCs w:val="24"/>
          <w:lang w:eastAsia="lv-LV"/>
        </w:rPr>
        <w:t>.</w:t>
      </w:r>
    </w:p>
    <w:p w14:paraId="2EAE0AE7" w14:textId="3B5BF326" w:rsidR="00587912" w:rsidRPr="00D22308" w:rsidRDefault="00587912"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eastAsia="Times New Roman" w:cs="Times New Roman"/>
          <w:color w:val="000000"/>
          <w:szCs w:val="24"/>
          <w:lang w:eastAsia="lv-LV"/>
        </w:rPr>
        <w:t xml:space="preserve">Likums „Par Valsts ieņēmumu dienestu”, kas reglamentē </w:t>
      </w:r>
      <w:r w:rsidR="00F934EB">
        <w:rPr>
          <w:rFonts w:eastAsia="Times New Roman" w:cs="Times New Roman"/>
          <w:color w:val="000000"/>
          <w:szCs w:val="24"/>
          <w:lang w:eastAsia="lv-LV"/>
        </w:rPr>
        <w:t>N</w:t>
      </w:r>
      <w:r w:rsidRPr="00D22308">
        <w:rPr>
          <w:rFonts w:eastAsia="Times New Roman" w:cs="Times New Roman"/>
          <w:color w:val="000000"/>
          <w:szCs w:val="24"/>
          <w:lang w:eastAsia="lv-LV"/>
        </w:rPr>
        <w:t xml:space="preserve">odokļu un muitas policijas uzdevumus, ierēdņu tiesības likumpārkāpumu atklāšanā, nosaka tās kompetenci tieši valsts ieņēmumu un muitas </w:t>
      </w:r>
      <w:r w:rsidRPr="00C83147">
        <w:rPr>
          <w:rFonts w:eastAsia="Times New Roman" w:cs="Times New Roman"/>
          <w:color w:val="000000"/>
          <w:szCs w:val="24"/>
          <w:lang w:eastAsia="lv-LV"/>
        </w:rPr>
        <w:t>lietu jomā. Šī likuma 14. panta pirmā daļa nosaka Nodokļu un muitas policijas uzdevumus, tai skaitā veikt izmeklēšanu krimināllietās par noziedzīgiem nodarījumiem, kas konstatēti valsts ieņēmumu jomā.</w:t>
      </w:r>
      <w:r w:rsidRPr="00D22308">
        <w:rPr>
          <w:rFonts w:eastAsia="Times New Roman" w:cs="Times New Roman"/>
          <w:color w:val="000000"/>
          <w:szCs w:val="24"/>
          <w:lang w:eastAsia="lv-LV"/>
        </w:rPr>
        <w:t xml:space="preserve"> Savukārt šī likuma 16.</w:t>
      </w:r>
      <w:r w:rsidR="00AE1BCA" w:rsidRPr="00D22308">
        <w:rPr>
          <w:rFonts w:eastAsia="Times New Roman" w:cs="Times New Roman"/>
          <w:color w:val="000000"/>
          <w:szCs w:val="24"/>
          <w:lang w:eastAsia="lv-LV"/>
        </w:rPr>
        <w:t> </w:t>
      </w:r>
      <w:r w:rsidRPr="00D22308">
        <w:rPr>
          <w:rFonts w:eastAsia="Times New Roman" w:cs="Times New Roman"/>
          <w:color w:val="000000"/>
          <w:szCs w:val="24"/>
          <w:lang w:eastAsia="lv-LV"/>
        </w:rPr>
        <w:t xml:space="preserve">panta otrā daļa paredz, ka Nodokļu un muitas policija </w:t>
      </w:r>
      <w:r w:rsidR="00432743" w:rsidRPr="00D22308">
        <w:rPr>
          <w:rFonts w:eastAsia="Times New Roman" w:cs="Times New Roman"/>
          <w:color w:val="000000"/>
          <w:szCs w:val="24"/>
          <w:lang w:eastAsia="lv-LV"/>
        </w:rPr>
        <w:t>noziedzīg</w:t>
      </w:r>
      <w:r w:rsidR="00432743">
        <w:rPr>
          <w:rFonts w:eastAsia="Times New Roman" w:cs="Times New Roman"/>
          <w:color w:val="000000"/>
          <w:szCs w:val="24"/>
          <w:lang w:eastAsia="lv-LV"/>
        </w:rPr>
        <w:t>u</w:t>
      </w:r>
      <w:r w:rsidR="00432743" w:rsidRPr="00D22308">
        <w:rPr>
          <w:rFonts w:eastAsia="Times New Roman" w:cs="Times New Roman"/>
          <w:color w:val="000000"/>
          <w:szCs w:val="24"/>
          <w:lang w:eastAsia="lv-LV"/>
        </w:rPr>
        <w:t xml:space="preserve"> </w:t>
      </w:r>
      <w:r w:rsidRPr="00D22308">
        <w:rPr>
          <w:rFonts w:eastAsia="Times New Roman" w:cs="Times New Roman"/>
          <w:color w:val="000000"/>
          <w:szCs w:val="24"/>
          <w:lang w:eastAsia="lv-LV"/>
        </w:rPr>
        <w:t>nodarījumu izmeklēšanu veic Kriminālprocesa likumā noteiktajā kārtībā.</w:t>
      </w:r>
    </w:p>
    <w:p w14:paraId="331773F6" w14:textId="4A252177" w:rsidR="004F5AE3" w:rsidRPr="00D22308" w:rsidRDefault="004B79A2" w:rsidP="00172CB6">
      <w:pPr>
        <w:shd w:val="clear" w:color="auto" w:fill="FFFFFF"/>
        <w:spacing w:after="0" w:line="276" w:lineRule="auto"/>
        <w:ind w:firstLine="720"/>
        <w:jc w:val="both"/>
        <w:rPr>
          <w:rFonts w:cs="Times New Roman"/>
          <w:szCs w:val="24"/>
        </w:rPr>
      </w:pPr>
      <w:r w:rsidRPr="00D22308">
        <w:rPr>
          <w:rFonts w:cs="Times New Roman"/>
          <w:color w:val="000000"/>
          <w:lang w:eastAsia="lv-LV"/>
        </w:rPr>
        <w:t>Atsaucoties uz Ceļu satiksmes likumu un</w:t>
      </w:r>
      <w:r w:rsidRPr="00D22308">
        <w:rPr>
          <w:rFonts w:eastAsia="Times New Roman" w:cs="Times New Roman"/>
          <w:color w:val="000000"/>
          <w:szCs w:val="24"/>
          <w:lang w:eastAsia="lv-LV"/>
        </w:rPr>
        <w:t xml:space="preserve"> Ministru kabineta 2018. gada 27. novembra noteikumiem Nr.</w:t>
      </w:r>
      <w:r w:rsidR="00E17B93" w:rsidRPr="00D22308">
        <w:rPr>
          <w:rFonts w:eastAsia="Times New Roman" w:cs="Times New Roman"/>
          <w:color w:val="000000"/>
          <w:szCs w:val="24"/>
          <w:lang w:eastAsia="lv-LV"/>
        </w:rPr>
        <w:t> </w:t>
      </w:r>
      <w:r w:rsidRPr="00D22308">
        <w:rPr>
          <w:rFonts w:eastAsia="Times New Roman" w:cs="Times New Roman"/>
          <w:color w:val="000000"/>
          <w:szCs w:val="24"/>
          <w:lang w:eastAsia="lv-LV"/>
        </w:rPr>
        <w:t>719</w:t>
      </w:r>
      <w:r w:rsidR="00432743">
        <w:rPr>
          <w:rFonts w:eastAsia="Times New Roman" w:cs="Times New Roman"/>
          <w:color w:val="000000"/>
          <w:szCs w:val="24"/>
          <w:lang w:eastAsia="lv-LV"/>
        </w:rPr>
        <w:t> </w:t>
      </w:r>
      <w:r w:rsidRPr="00D22308">
        <w:rPr>
          <w:rFonts w:eastAsia="Times New Roman" w:cs="Times New Roman"/>
          <w:color w:val="000000"/>
          <w:szCs w:val="24"/>
          <w:lang w:eastAsia="lv-LV"/>
        </w:rPr>
        <w:t>„Kārtība, kādā transportlīdzekļa vadītājam nosaka alkohola koncentrāciju asinīs un izelpas gaisā un konstatē narkotisko vai citu apreibinošo vielu ietekmi”,</w:t>
      </w:r>
      <w:r w:rsidRPr="00D22308">
        <w:rPr>
          <w:rFonts w:cs="Times New Roman"/>
          <w:color w:val="000000"/>
          <w:lang w:eastAsia="lv-LV"/>
        </w:rPr>
        <w:t xml:space="preserve"> apelācijas instances tiesa secinājusi, ka</w:t>
      </w:r>
      <w:r w:rsidR="00AE1BCA" w:rsidRPr="00D22308">
        <w:rPr>
          <w:rFonts w:cs="Times New Roman"/>
          <w:color w:val="000000"/>
          <w:lang w:eastAsia="lv-LV"/>
        </w:rPr>
        <w:t xml:space="preserve"> </w:t>
      </w:r>
      <w:r w:rsidR="00432743" w:rsidRPr="00D22308">
        <w:rPr>
          <w:rFonts w:cs="Times New Roman"/>
          <w:szCs w:val="24"/>
        </w:rPr>
        <w:t>kompetence</w:t>
      </w:r>
      <w:r w:rsidR="00432743" w:rsidRPr="00D22308">
        <w:rPr>
          <w:rFonts w:cs="Times New Roman"/>
          <w:color w:val="000000"/>
          <w:lang w:eastAsia="lv-LV"/>
        </w:rPr>
        <w:t xml:space="preserve"> </w:t>
      </w:r>
      <w:r w:rsidR="0025699F" w:rsidRPr="00D22308">
        <w:rPr>
          <w:rFonts w:cs="Times New Roman"/>
          <w:color w:val="000000"/>
          <w:lang w:eastAsia="lv-LV"/>
        </w:rPr>
        <w:t xml:space="preserve">izmeklēt </w:t>
      </w:r>
      <w:r w:rsidRPr="00D22308">
        <w:rPr>
          <w:rFonts w:cs="Times New Roman"/>
          <w:szCs w:val="24"/>
        </w:rPr>
        <w:t>noziedzīgus nodarījumus</w:t>
      </w:r>
      <w:r w:rsidR="0025699F" w:rsidRPr="00D22308">
        <w:rPr>
          <w:rFonts w:cs="Times New Roman"/>
          <w:szCs w:val="24"/>
        </w:rPr>
        <w:t xml:space="preserve"> saistībā ar </w:t>
      </w:r>
      <w:r w:rsidR="004F5AE3" w:rsidRPr="00D22308">
        <w:rPr>
          <w:rFonts w:cs="Times New Roman"/>
          <w:szCs w:val="24"/>
        </w:rPr>
        <w:t>transportlīdzekļa vadīšanu narkotisko vai citu apreibinošo vielu ietekmē</w:t>
      </w:r>
      <w:r w:rsidR="00AE1BCA" w:rsidRPr="00D22308">
        <w:rPr>
          <w:rFonts w:cs="Times New Roman"/>
          <w:szCs w:val="24"/>
        </w:rPr>
        <w:t xml:space="preserve"> ir noteikta </w:t>
      </w:r>
      <w:r w:rsidR="004F5AE3" w:rsidRPr="00D22308">
        <w:rPr>
          <w:rFonts w:cs="Times New Roman"/>
          <w:szCs w:val="24"/>
        </w:rPr>
        <w:t>Valsts policija</w:t>
      </w:r>
      <w:r w:rsidR="00AE1BCA" w:rsidRPr="00D22308">
        <w:rPr>
          <w:rFonts w:cs="Times New Roman"/>
          <w:szCs w:val="24"/>
        </w:rPr>
        <w:t>i</w:t>
      </w:r>
      <w:r w:rsidR="004F5AE3" w:rsidRPr="00D22308">
        <w:rPr>
          <w:rFonts w:cs="Times New Roman"/>
          <w:szCs w:val="24"/>
        </w:rPr>
        <w:t xml:space="preserve"> vai Valsts robežsardze</w:t>
      </w:r>
      <w:r w:rsidR="00AE1BCA" w:rsidRPr="00D22308">
        <w:rPr>
          <w:rFonts w:cs="Times New Roman"/>
          <w:szCs w:val="24"/>
        </w:rPr>
        <w:t>i</w:t>
      </w:r>
      <w:r w:rsidR="004F5AE3" w:rsidRPr="00D22308">
        <w:rPr>
          <w:rFonts w:cs="Times New Roman"/>
          <w:szCs w:val="24"/>
        </w:rPr>
        <w:t>.</w:t>
      </w:r>
    </w:p>
    <w:p w14:paraId="10FE7EBF" w14:textId="6304497D" w:rsidR="00D03C99" w:rsidRPr="00D22308" w:rsidRDefault="00AE1BCA" w:rsidP="00172CB6">
      <w:pPr>
        <w:pStyle w:val="NormalWeb"/>
        <w:widowControl w:val="0"/>
        <w:shd w:val="clear" w:color="auto" w:fill="FFFFFF"/>
        <w:spacing w:line="276" w:lineRule="auto"/>
        <w:ind w:firstLine="720"/>
        <w:jc w:val="both"/>
      </w:pPr>
      <w:r w:rsidRPr="00D22308">
        <w:rPr>
          <w:color w:val="000000"/>
          <w:lang w:eastAsia="lv-LV"/>
        </w:rPr>
        <w:lastRenderedPageBreak/>
        <w:t>S</w:t>
      </w:r>
      <w:r w:rsidR="00D03C99" w:rsidRPr="00D22308">
        <w:rPr>
          <w:color w:val="000000"/>
          <w:lang w:eastAsia="lv-LV"/>
        </w:rPr>
        <w:t>askaņā ar Ceļu satiksmes likuma 43.</w:t>
      </w:r>
      <w:r w:rsidR="00D03C99" w:rsidRPr="00D22308">
        <w:rPr>
          <w:color w:val="000000"/>
          <w:vertAlign w:val="superscript"/>
          <w:lang w:eastAsia="lv-LV"/>
        </w:rPr>
        <w:t>5</w:t>
      </w:r>
      <w:r w:rsidR="00D03C99" w:rsidRPr="00432743">
        <w:rPr>
          <w:color w:val="000000"/>
          <w:lang w:eastAsia="lv-LV"/>
        </w:rPr>
        <w:t> </w:t>
      </w:r>
      <w:r w:rsidR="00D03C99" w:rsidRPr="00D22308">
        <w:rPr>
          <w:color w:val="000000"/>
          <w:lang w:eastAsia="lv-LV"/>
        </w:rPr>
        <w:t>panta otro daļu, lai konstatētu narkotisko vai citu apreibinošo vielu ietekmi, Valsts policijas darbinieki nogādā transportlīdzekļa vadītāju medicīnas iestādē pārbaudes veikšanai, ja ir pamatotas aizdomas par narkotisko vai citu apreibinošu vielu lietošanu.</w:t>
      </w:r>
    </w:p>
    <w:p w14:paraId="0B5F2635" w14:textId="43C179EB" w:rsidR="00312007" w:rsidRPr="005B0431" w:rsidRDefault="00D03C99" w:rsidP="00172CB6">
      <w:pPr>
        <w:shd w:val="clear" w:color="auto" w:fill="FFFFFF"/>
        <w:spacing w:after="0" w:line="276" w:lineRule="auto"/>
        <w:ind w:firstLine="720"/>
        <w:jc w:val="both"/>
        <w:rPr>
          <w:rFonts w:eastAsia="Times New Roman" w:cs="Times New Roman"/>
          <w:szCs w:val="24"/>
          <w:lang w:eastAsia="lv-LV"/>
        </w:rPr>
      </w:pPr>
      <w:r w:rsidRPr="001358CE">
        <w:rPr>
          <w:rFonts w:eastAsia="Times New Roman" w:cs="Times New Roman"/>
          <w:color w:val="000000"/>
          <w:szCs w:val="24"/>
          <w:lang w:eastAsia="lv-LV"/>
        </w:rPr>
        <w:t>Ministru kabineta 2018. gada 27. novembra noteikum</w:t>
      </w:r>
      <w:r w:rsidR="00012F1D" w:rsidRPr="001358CE">
        <w:rPr>
          <w:rFonts w:eastAsia="Times New Roman" w:cs="Times New Roman"/>
          <w:color w:val="000000"/>
          <w:szCs w:val="24"/>
          <w:lang w:eastAsia="lv-LV"/>
        </w:rPr>
        <w:t>os</w:t>
      </w:r>
      <w:r w:rsidRPr="001358CE">
        <w:rPr>
          <w:rFonts w:eastAsia="Times New Roman" w:cs="Times New Roman"/>
          <w:color w:val="000000"/>
          <w:szCs w:val="24"/>
          <w:lang w:eastAsia="lv-LV"/>
        </w:rPr>
        <w:t xml:space="preserve"> Nr.</w:t>
      </w:r>
      <w:r w:rsidR="00E17B93" w:rsidRPr="001358CE">
        <w:rPr>
          <w:rFonts w:eastAsia="Times New Roman" w:cs="Times New Roman"/>
          <w:color w:val="000000"/>
          <w:szCs w:val="24"/>
          <w:lang w:eastAsia="lv-LV"/>
        </w:rPr>
        <w:t> </w:t>
      </w:r>
      <w:r w:rsidRPr="001358CE">
        <w:rPr>
          <w:rFonts w:eastAsia="Times New Roman" w:cs="Times New Roman"/>
          <w:color w:val="000000"/>
          <w:szCs w:val="24"/>
          <w:lang w:eastAsia="lv-LV"/>
        </w:rPr>
        <w:t xml:space="preserve">719 „Kārtība, kādā transportlīdzekļa vadītājam nosaka alkohola koncentrāciju asinīs un izelpas gaisā un konstatē narkotisko vai citu apreibinošo vielu ietekmi” noteikta kārtība, kādā izdarāma pārbaude, lai noteiktu alkohola, narkotisko, psihotropo vai citu apreibinošo vielu ietekmi transportlīdzekļa vadītāja </w:t>
      </w:r>
      <w:r w:rsidRPr="001358CE">
        <w:rPr>
          <w:rFonts w:eastAsia="Times New Roman" w:cs="Times New Roman"/>
          <w:szCs w:val="24"/>
          <w:lang w:eastAsia="lv-LV"/>
        </w:rPr>
        <w:t>organismā.</w:t>
      </w:r>
    </w:p>
    <w:p w14:paraId="758F0964" w14:textId="3EDAF580" w:rsidR="00DA418D" w:rsidRPr="00D22308" w:rsidRDefault="00C2550E" w:rsidP="00172CB6">
      <w:pPr>
        <w:shd w:val="clear" w:color="auto" w:fill="FFFFFF"/>
        <w:spacing w:after="0" w:line="276" w:lineRule="auto"/>
        <w:ind w:firstLine="720"/>
        <w:jc w:val="both"/>
        <w:rPr>
          <w:rFonts w:cs="Times New Roman"/>
        </w:rPr>
      </w:pPr>
      <w:r w:rsidRPr="005B0431">
        <w:rPr>
          <w:rFonts w:cs="Times New Roman"/>
          <w:lang w:eastAsia="lv-LV"/>
        </w:rPr>
        <w:t xml:space="preserve">Tādējādi </w:t>
      </w:r>
      <w:r w:rsidR="00E17B93" w:rsidRPr="005B0431">
        <w:rPr>
          <w:rFonts w:cs="Times New Roman"/>
          <w:lang w:eastAsia="lv-LV"/>
        </w:rPr>
        <w:t xml:space="preserve">apelācijas instances tiesa </w:t>
      </w:r>
      <w:r w:rsidR="00E17B93" w:rsidRPr="00D22308">
        <w:rPr>
          <w:rFonts w:cs="Times New Roman"/>
          <w:color w:val="000000"/>
          <w:lang w:eastAsia="lv-LV"/>
        </w:rPr>
        <w:t xml:space="preserve">konstatējusi, ka </w:t>
      </w:r>
      <w:r w:rsidRPr="00D22308">
        <w:rPr>
          <w:rFonts w:cs="Times New Roman"/>
          <w:color w:val="000000"/>
          <w:lang w:eastAsia="lv-LV"/>
        </w:rPr>
        <w:t>N</w:t>
      </w:r>
      <w:r w:rsidR="00B17101" w:rsidRPr="00D22308">
        <w:rPr>
          <w:rFonts w:cs="Times New Roman"/>
          <w:color w:val="000000"/>
          <w:lang w:eastAsia="lv-LV"/>
        </w:rPr>
        <w:t>odokļu un muitas policijas</w:t>
      </w:r>
      <w:r w:rsidR="00FC0921" w:rsidRPr="00D22308">
        <w:rPr>
          <w:rFonts w:cs="Times New Roman"/>
          <w:color w:val="000000"/>
          <w:lang w:eastAsia="lv-LV"/>
        </w:rPr>
        <w:t xml:space="preserve"> </w:t>
      </w:r>
      <w:r w:rsidR="00E17B93" w:rsidRPr="00D22308">
        <w:rPr>
          <w:rFonts w:cs="Times New Roman"/>
          <w:color w:val="000000"/>
          <w:lang w:eastAsia="lv-LV"/>
        </w:rPr>
        <w:t xml:space="preserve">amatpersonu </w:t>
      </w:r>
      <w:r w:rsidR="005A720E" w:rsidRPr="00D22308">
        <w:rPr>
          <w:rFonts w:cs="Times New Roman"/>
          <w:color w:val="000000"/>
          <w:lang w:eastAsia="lv-LV"/>
        </w:rPr>
        <w:t xml:space="preserve">kompetencē </w:t>
      </w:r>
      <w:r w:rsidR="00DA418D" w:rsidRPr="00D22308">
        <w:rPr>
          <w:rFonts w:cs="Times New Roman"/>
          <w:color w:val="000000"/>
          <w:lang w:eastAsia="lv-LV"/>
        </w:rPr>
        <w:t xml:space="preserve">ir izmeklēt </w:t>
      </w:r>
      <w:r w:rsidR="00DA418D" w:rsidRPr="00D22308">
        <w:rPr>
          <w:rFonts w:eastAsia="Times New Roman" w:cs="Times New Roman"/>
          <w:color w:val="000000"/>
          <w:szCs w:val="24"/>
          <w:lang w:eastAsia="lv-LV"/>
        </w:rPr>
        <w:t>noziedzīgus nodarījumus valsts ieņēmumu un muitas lietu jomā</w:t>
      </w:r>
      <w:r w:rsidR="00DA418D" w:rsidRPr="00D22308">
        <w:rPr>
          <w:rFonts w:cs="Times New Roman"/>
          <w:color w:val="000000"/>
          <w:lang w:eastAsia="lv-LV"/>
        </w:rPr>
        <w:t xml:space="preserve">, </w:t>
      </w:r>
      <w:r w:rsidR="00885F6F" w:rsidRPr="00D22308">
        <w:rPr>
          <w:rFonts w:cs="Times New Roman"/>
          <w:color w:val="000000"/>
          <w:lang w:eastAsia="lv-LV"/>
        </w:rPr>
        <w:t>izņēmums ir neatliekamo izmeklēšanas darbību veikšana, ja nepieciešams fiksēt pierādījumus.</w:t>
      </w:r>
      <w:r w:rsidR="00885F6F" w:rsidRPr="00D22308">
        <w:rPr>
          <w:rFonts w:eastAsia="Times New Roman" w:cs="Times New Roman"/>
          <w:color w:val="000000"/>
          <w:szCs w:val="24"/>
          <w:lang w:eastAsia="lv-LV"/>
        </w:rPr>
        <w:t xml:space="preserve"> </w:t>
      </w:r>
      <w:r w:rsidR="009E6E42" w:rsidRPr="00D22308">
        <w:rPr>
          <w:rFonts w:eastAsia="Times New Roman" w:cs="Times New Roman"/>
          <w:color w:val="000000"/>
          <w:szCs w:val="24"/>
          <w:lang w:eastAsia="lv-LV"/>
        </w:rPr>
        <w:t>Šādā gadījumā u</w:t>
      </w:r>
      <w:r w:rsidR="00885F6F" w:rsidRPr="00D22308">
        <w:rPr>
          <w:rFonts w:eastAsia="Times New Roman" w:cs="Times New Roman"/>
          <w:color w:val="000000"/>
          <w:szCs w:val="24"/>
          <w:lang w:eastAsia="lv-LV"/>
        </w:rPr>
        <w:t>zsākot kriminālprocesu, jāinformē par to kompetentā izmeklēšanas iestāde un jānodod materiāli pēc piekritības.</w:t>
      </w:r>
    </w:p>
    <w:p w14:paraId="612FF3EF" w14:textId="1B37D2BD" w:rsidR="00B17101" w:rsidRPr="00D22308" w:rsidRDefault="00B17101" w:rsidP="00172CB6">
      <w:pPr>
        <w:pStyle w:val="NormalWeb"/>
        <w:widowControl w:val="0"/>
        <w:shd w:val="clear" w:color="auto" w:fill="FFFFFF"/>
        <w:spacing w:line="276" w:lineRule="auto"/>
        <w:ind w:firstLine="720"/>
        <w:jc w:val="both"/>
        <w:rPr>
          <w:color w:val="000000"/>
          <w:lang w:eastAsia="lv-LV"/>
        </w:rPr>
      </w:pPr>
      <w:r w:rsidRPr="00D22308">
        <w:t>[5.2]</w:t>
      </w:r>
      <w:r w:rsidR="005B0431">
        <w:t> </w:t>
      </w:r>
      <w:r w:rsidRPr="00D22308">
        <w:t>Apelācijas instances tiesa konstatējusi, ka n</w:t>
      </w:r>
      <w:r w:rsidRPr="00D22308">
        <w:rPr>
          <w:color w:val="000000"/>
          <w:lang w:eastAsia="lv-LV"/>
        </w:rPr>
        <w:t xml:space="preserve">o krimināllietas materiāliem izriet, ka 2023. gada 15. maijā pret </w:t>
      </w:r>
      <w:r w:rsidR="00373AB6">
        <w:t>[pers. A]</w:t>
      </w:r>
      <w:r w:rsidRPr="00D22308">
        <w:rPr>
          <w:color w:val="000000"/>
          <w:lang w:eastAsia="lv-LV"/>
        </w:rPr>
        <w:t xml:space="preserve"> uzsākts kriminālprocess Nr.</w:t>
      </w:r>
      <w:r w:rsidR="00E17B93" w:rsidRPr="00D22308">
        <w:rPr>
          <w:color w:val="000000"/>
          <w:lang w:eastAsia="lv-LV"/>
        </w:rPr>
        <w:t> </w:t>
      </w:r>
      <w:r w:rsidRPr="00AF0B86">
        <w:rPr>
          <w:color w:val="000000"/>
          <w:lang w:eastAsia="lv-LV"/>
        </w:rPr>
        <w:t>58400027523</w:t>
      </w:r>
      <w:r w:rsidRPr="00D22308">
        <w:rPr>
          <w:color w:val="000000"/>
          <w:lang w:eastAsia="lv-LV"/>
        </w:rPr>
        <w:t xml:space="preserve"> pēc Krimināllikuma 190.</w:t>
      </w:r>
      <w:r w:rsidRPr="00D22308">
        <w:rPr>
          <w:color w:val="000000"/>
          <w:vertAlign w:val="superscript"/>
          <w:lang w:eastAsia="lv-LV"/>
        </w:rPr>
        <w:t>1</w:t>
      </w:r>
      <w:r w:rsidR="00E17B93" w:rsidRPr="005B0431">
        <w:rPr>
          <w:color w:val="000000"/>
          <w:lang w:eastAsia="lv-LV"/>
        </w:rPr>
        <w:t> </w:t>
      </w:r>
      <w:r w:rsidRPr="00D22308">
        <w:rPr>
          <w:color w:val="000000"/>
          <w:lang w:eastAsia="lv-LV"/>
        </w:rPr>
        <w:t xml:space="preserve">panta pirmās daļas par iespējamu narkotisko vai psihotropo vielu pārvietošanu pāri Latvijas Republikas robežai nelikumīgā veidā, kura ietvaros iegūtas ziņas, ka </w:t>
      </w:r>
      <w:r w:rsidR="00373AB6">
        <w:t>[pers. A]</w:t>
      </w:r>
      <w:r w:rsidRPr="00D22308">
        <w:rPr>
          <w:color w:val="000000"/>
          <w:lang w:eastAsia="lv-LV"/>
        </w:rPr>
        <w:t xml:space="preserve"> vadījis transportlīdzekli, atrodoties narkotisko vielu ietekmē.</w:t>
      </w:r>
    </w:p>
    <w:p w14:paraId="07AE0A18" w14:textId="4246442D" w:rsidR="00B17101" w:rsidRPr="00D22308" w:rsidRDefault="00373AB6" w:rsidP="00172CB6">
      <w:pPr>
        <w:shd w:val="clear" w:color="auto" w:fill="FFFFFF"/>
        <w:spacing w:after="0" w:line="276" w:lineRule="auto"/>
        <w:ind w:firstLine="720"/>
        <w:jc w:val="both"/>
        <w:rPr>
          <w:rFonts w:eastAsia="Times New Roman" w:cs="Times New Roman"/>
          <w:color w:val="000000"/>
          <w:szCs w:val="24"/>
          <w:lang w:eastAsia="lv-LV"/>
        </w:rPr>
      </w:pPr>
      <w:r>
        <w:rPr>
          <w:rFonts w:cs="Times New Roman"/>
          <w:szCs w:val="24"/>
        </w:rPr>
        <w:t>[Pers. A]</w:t>
      </w:r>
      <w:r w:rsidR="00B17101" w:rsidRPr="00D22308">
        <w:rPr>
          <w:rFonts w:eastAsia="Times New Roman" w:cs="Times New Roman"/>
          <w:color w:val="000000"/>
          <w:szCs w:val="24"/>
          <w:lang w:eastAsia="lv-LV"/>
        </w:rPr>
        <w:t xml:space="preserve"> paskaidrojis, ka pāris dienas atpakaļ ir smēķējis marihuānu, kas savukārt norādīja uz varbūtību, ka </w:t>
      </w:r>
      <w:r>
        <w:rPr>
          <w:rFonts w:cs="Times New Roman"/>
          <w:szCs w:val="24"/>
        </w:rPr>
        <w:t>[pers. A]</w:t>
      </w:r>
      <w:r w:rsidR="00B17101" w:rsidRPr="00D22308">
        <w:rPr>
          <w:rFonts w:eastAsia="Times New Roman" w:cs="Times New Roman"/>
          <w:color w:val="000000"/>
          <w:szCs w:val="24"/>
          <w:lang w:eastAsia="lv-LV"/>
        </w:rPr>
        <w:t xml:space="preserve"> vadījis transportlīdzekli, atrodoties narkotisko vielu ietekmē. </w:t>
      </w:r>
      <w:r>
        <w:rPr>
          <w:rFonts w:cs="Times New Roman"/>
          <w:szCs w:val="24"/>
        </w:rPr>
        <w:t>[Pers. A]</w:t>
      </w:r>
      <w:r w:rsidR="00B17101" w:rsidRPr="00D22308">
        <w:rPr>
          <w:rFonts w:eastAsia="Times New Roman" w:cs="Times New Roman"/>
          <w:color w:val="000000"/>
          <w:szCs w:val="24"/>
          <w:lang w:eastAsia="lv-LV"/>
        </w:rPr>
        <w:t xml:space="preserve"> uz medicīnisko pārbaudi no Liepājas nogādāts uz VSIA „Rīgas psihiatrijas un narkoloģijas </w:t>
      </w:r>
      <w:r w:rsidR="00B17101" w:rsidRPr="001358CE">
        <w:rPr>
          <w:rFonts w:eastAsia="Times New Roman" w:cs="Times New Roman"/>
          <w:color w:val="000000"/>
          <w:szCs w:val="24"/>
          <w:lang w:eastAsia="lv-LV"/>
        </w:rPr>
        <w:t>centr</w:t>
      </w:r>
      <w:r w:rsidR="005B0431" w:rsidRPr="001358CE">
        <w:rPr>
          <w:rFonts w:eastAsia="Times New Roman" w:cs="Times New Roman"/>
          <w:color w:val="000000"/>
          <w:szCs w:val="24"/>
          <w:lang w:eastAsia="lv-LV"/>
        </w:rPr>
        <w:t>s</w:t>
      </w:r>
      <w:r w:rsidR="00B17101" w:rsidRPr="001358CE">
        <w:rPr>
          <w:rFonts w:eastAsia="Times New Roman" w:cs="Times New Roman"/>
          <w:color w:val="000000"/>
          <w:szCs w:val="24"/>
          <w:lang w:eastAsia="lv-LV"/>
        </w:rPr>
        <w:t>”</w:t>
      </w:r>
      <w:r w:rsidR="00B17101" w:rsidRPr="00D22308">
        <w:rPr>
          <w:rFonts w:eastAsia="Times New Roman" w:cs="Times New Roman"/>
          <w:color w:val="000000"/>
          <w:szCs w:val="24"/>
          <w:lang w:eastAsia="lv-LV"/>
        </w:rPr>
        <w:t>, kur medicīniskā pārbaude uzsākta plkst.</w:t>
      </w:r>
      <w:r w:rsidR="00E17B93" w:rsidRPr="00D22308">
        <w:rPr>
          <w:rFonts w:eastAsia="Times New Roman" w:cs="Times New Roman"/>
          <w:color w:val="000000"/>
          <w:szCs w:val="24"/>
          <w:lang w:eastAsia="lv-LV"/>
        </w:rPr>
        <w:t> </w:t>
      </w:r>
      <w:r w:rsidR="00B17101" w:rsidRPr="00D22308">
        <w:rPr>
          <w:rFonts w:eastAsia="Times New Roman" w:cs="Times New Roman"/>
          <w:color w:val="000000"/>
          <w:szCs w:val="24"/>
          <w:lang w:eastAsia="lv-LV"/>
        </w:rPr>
        <w:t>22.23, proti, vairāk nekā astoņas stundas pēc viņa vadītās automašīnas apturēšanas.</w:t>
      </w:r>
    </w:p>
    <w:p w14:paraId="030ADFCE" w14:textId="26EE30D0" w:rsidR="00CB40F9" w:rsidRPr="00D22308" w:rsidRDefault="009E6E42"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eastAsia="Times New Roman" w:cs="Times New Roman"/>
          <w:color w:val="000000"/>
          <w:szCs w:val="24"/>
          <w:lang w:eastAsia="lv-LV"/>
        </w:rPr>
        <w:t>Ievērojot minēto, a</w:t>
      </w:r>
      <w:r w:rsidR="00D21B50" w:rsidRPr="00D22308">
        <w:rPr>
          <w:rFonts w:eastAsia="Times New Roman" w:cs="Times New Roman"/>
          <w:color w:val="000000"/>
          <w:szCs w:val="24"/>
          <w:lang w:eastAsia="lv-LV"/>
        </w:rPr>
        <w:t>pelācijas instances tiesa secinājusi, ka Nodokļu un muitas policijas amatpersonām, saņemot ziņas par notikušo noziedzīgo nodarījumu pret ceļu satiksmes drošību, nepastāvēja objektīvi šķēršļi par šo faktu informēt Valsts policiju.</w:t>
      </w:r>
    </w:p>
    <w:p w14:paraId="3AC5EE45" w14:textId="56F5817F" w:rsidR="00B17101" w:rsidRPr="00D22308" w:rsidRDefault="00CB40F9"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eastAsia="Times New Roman" w:cs="Times New Roman"/>
          <w:color w:val="000000"/>
          <w:szCs w:val="24"/>
          <w:lang w:eastAsia="lv-LV"/>
        </w:rPr>
        <w:t>Turklāt a</w:t>
      </w:r>
      <w:r w:rsidR="00B17101" w:rsidRPr="00D22308">
        <w:rPr>
          <w:rFonts w:eastAsia="Times New Roman" w:cs="Times New Roman"/>
          <w:color w:val="000000"/>
          <w:szCs w:val="24"/>
          <w:lang w:eastAsia="lv-LV"/>
        </w:rPr>
        <w:t>r Nodokļu un muitas policijas izmeklētājas 2023. gada 16. maija lēmumu kriminālprocess Nr.</w:t>
      </w:r>
      <w:r w:rsidR="00E17B93" w:rsidRPr="00D22308">
        <w:rPr>
          <w:rFonts w:eastAsia="Times New Roman" w:cs="Times New Roman"/>
          <w:color w:val="000000"/>
          <w:szCs w:val="24"/>
          <w:lang w:eastAsia="lv-LV"/>
        </w:rPr>
        <w:t> </w:t>
      </w:r>
      <w:r w:rsidR="00B17101" w:rsidRPr="00D22308">
        <w:rPr>
          <w:rFonts w:eastAsia="Times New Roman" w:cs="Times New Roman"/>
          <w:color w:val="000000"/>
          <w:szCs w:val="24"/>
          <w:lang w:eastAsia="lv-LV"/>
        </w:rPr>
        <w:t>58400027523 sadalīts, uzsākot jaunu kriminālprocesu Nr.</w:t>
      </w:r>
      <w:r w:rsidR="00E17B93" w:rsidRPr="00D22308">
        <w:rPr>
          <w:rFonts w:eastAsia="Times New Roman" w:cs="Times New Roman"/>
          <w:color w:val="000000"/>
          <w:szCs w:val="24"/>
          <w:lang w:eastAsia="lv-LV"/>
        </w:rPr>
        <w:t> </w:t>
      </w:r>
      <w:r w:rsidR="00B17101" w:rsidRPr="00D22308">
        <w:rPr>
          <w:rFonts w:eastAsia="Times New Roman" w:cs="Times New Roman"/>
          <w:color w:val="000000"/>
          <w:szCs w:val="24"/>
          <w:lang w:eastAsia="lv-LV"/>
        </w:rPr>
        <w:t xml:space="preserve">58400027923 pret </w:t>
      </w:r>
      <w:r w:rsidR="00373AB6">
        <w:rPr>
          <w:rFonts w:cs="Times New Roman"/>
          <w:szCs w:val="24"/>
        </w:rPr>
        <w:t>[pers. A]</w:t>
      </w:r>
      <w:r w:rsidR="00B17101" w:rsidRPr="00D22308">
        <w:rPr>
          <w:rFonts w:eastAsia="Times New Roman" w:cs="Times New Roman"/>
          <w:color w:val="000000"/>
          <w:szCs w:val="24"/>
          <w:lang w:eastAsia="lv-LV"/>
        </w:rPr>
        <w:t xml:space="preserve"> pēc Krimināllikuma 262. panta 2.</w:t>
      </w:r>
      <w:r w:rsidR="00B17101" w:rsidRPr="00D22308">
        <w:rPr>
          <w:rFonts w:eastAsia="Times New Roman" w:cs="Times New Roman"/>
          <w:color w:val="000000"/>
          <w:szCs w:val="24"/>
          <w:vertAlign w:val="superscript"/>
          <w:lang w:eastAsia="lv-LV"/>
        </w:rPr>
        <w:t>1</w:t>
      </w:r>
      <w:r w:rsidR="00E17B93" w:rsidRPr="005B0431">
        <w:rPr>
          <w:rFonts w:eastAsia="Times New Roman" w:cs="Times New Roman"/>
          <w:color w:val="000000"/>
          <w:szCs w:val="24"/>
          <w:lang w:eastAsia="lv-LV"/>
        </w:rPr>
        <w:t> </w:t>
      </w:r>
      <w:r w:rsidR="00B17101" w:rsidRPr="00D22308">
        <w:rPr>
          <w:rFonts w:eastAsia="Times New Roman" w:cs="Times New Roman"/>
          <w:color w:val="000000"/>
          <w:szCs w:val="24"/>
          <w:lang w:eastAsia="lv-LV"/>
        </w:rPr>
        <w:t xml:space="preserve">daļas par iespējamu transportlīdzekļa vadīšanu, atrodoties narkotisko, psihotropo, toksisko vai citu apreibinošu vielu ietekmē. 2023. gada 20. jūnijā </w:t>
      </w:r>
      <w:r w:rsidR="00373AB6">
        <w:rPr>
          <w:rFonts w:cs="Times New Roman"/>
          <w:szCs w:val="24"/>
        </w:rPr>
        <w:t>[pers. A]</w:t>
      </w:r>
      <w:r w:rsidR="00B17101" w:rsidRPr="00D22308">
        <w:rPr>
          <w:rFonts w:eastAsia="Times New Roman" w:cs="Times New Roman"/>
          <w:color w:val="000000"/>
          <w:szCs w:val="24"/>
          <w:lang w:eastAsia="lv-LV"/>
        </w:rPr>
        <w:t xml:space="preserve"> atzīts par aizdomās turēto Krimināllikuma 262. panta 1.</w:t>
      </w:r>
      <w:r w:rsidR="00B17101" w:rsidRPr="00D22308">
        <w:rPr>
          <w:rFonts w:eastAsia="Times New Roman" w:cs="Times New Roman"/>
          <w:color w:val="000000"/>
          <w:szCs w:val="24"/>
          <w:vertAlign w:val="superscript"/>
          <w:lang w:eastAsia="lv-LV"/>
        </w:rPr>
        <w:t>1</w:t>
      </w:r>
      <w:r w:rsidR="00E17B93" w:rsidRPr="005E2FB0">
        <w:rPr>
          <w:rFonts w:eastAsia="Times New Roman" w:cs="Times New Roman"/>
          <w:color w:val="000000"/>
          <w:szCs w:val="24"/>
          <w:lang w:eastAsia="lv-LV"/>
        </w:rPr>
        <w:t> </w:t>
      </w:r>
      <w:r w:rsidR="00B17101" w:rsidRPr="00D22308">
        <w:rPr>
          <w:rFonts w:eastAsia="Times New Roman" w:cs="Times New Roman"/>
          <w:color w:val="000000"/>
          <w:szCs w:val="24"/>
          <w:lang w:eastAsia="lv-LV"/>
        </w:rPr>
        <w:t xml:space="preserve">daļā paredzētā noziedzīgā nodarījuma izdarīšanā, bet 2023. gada 1. augustā krimināllietas materiāli </w:t>
      </w:r>
      <w:r w:rsidR="005E2FB0" w:rsidRPr="00D22308">
        <w:rPr>
          <w:rFonts w:eastAsia="Times New Roman" w:cs="Times New Roman"/>
          <w:color w:val="000000"/>
          <w:szCs w:val="24"/>
          <w:lang w:eastAsia="lv-LV"/>
        </w:rPr>
        <w:t xml:space="preserve">nodoti </w:t>
      </w:r>
      <w:r w:rsidR="00B17101" w:rsidRPr="00D22308">
        <w:rPr>
          <w:rFonts w:eastAsia="Times New Roman" w:cs="Times New Roman"/>
          <w:color w:val="000000"/>
          <w:szCs w:val="24"/>
          <w:lang w:eastAsia="lv-LV"/>
        </w:rPr>
        <w:t>prokuroram kriminālvajāšanas uzsākšanai.</w:t>
      </w:r>
    </w:p>
    <w:p w14:paraId="57AD4206" w14:textId="7662813B" w:rsidR="00312007" w:rsidRPr="00D22308" w:rsidRDefault="009E6E42"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cs="Times New Roman"/>
          <w:color w:val="000000"/>
          <w:lang w:eastAsia="lv-LV"/>
        </w:rPr>
        <w:t>Tādējādi</w:t>
      </w:r>
      <w:r w:rsidR="00C2550E" w:rsidRPr="00D22308">
        <w:rPr>
          <w:rFonts w:cs="Times New Roman"/>
          <w:color w:val="000000"/>
          <w:lang w:eastAsia="lv-LV"/>
        </w:rPr>
        <w:t xml:space="preserve"> apelācijas instances tiesa atzinusi, ka </w:t>
      </w:r>
      <w:r w:rsidRPr="00D22308">
        <w:rPr>
          <w:rFonts w:eastAsia="Times New Roman" w:cs="Times New Roman"/>
          <w:color w:val="000000"/>
          <w:szCs w:val="24"/>
          <w:lang w:eastAsia="lv-LV"/>
        </w:rPr>
        <w:t xml:space="preserve">arī </w:t>
      </w:r>
      <w:r w:rsidR="00312007" w:rsidRPr="00D22308">
        <w:rPr>
          <w:rFonts w:eastAsia="Times New Roman" w:cs="Times New Roman"/>
          <w:color w:val="000000"/>
          <w:szCs w:val="24"/>
          <w:lang w:eastAsia="lv-LV"/>
        </w:rPr>
        <w:t xml:space="preserve">izmeklēšanu par noziedzīgu nodarījumu pret satiksmes drošību ir veikusi </w:t>
      </w:r>
      <w:r w:rsidR="00F934EB">
        <w:rPr>
          <w:rFonts w:eastAsia="Times New Roman" w:cs="Times New Roman"/>
          <w:color w:val="000000"/>
          <w:szCs w:val="24"/>
          <w:lang w:eastAsia="lv-LV"/>
        </w:rPr>
        <w:t>N</w:t>
      </w:r>
      <w:r w:rsidR="00312007" w:rsidRPr="00D22308">
        <w:rPr>
          <w:rFonts w:eastAsia="Times New Roman" w:cs="Times New Roman"/>
          <w:color w:val="000000"/>
          <w:szCs w:val="24"/>
          <w:lang w:eastAsia="lv-LV"/>
        </w:rPr>
        <w:t>odokļu un muitas policijas amatpersona, nepastāvot neatliekamībai.</w:t>
      </w:r>
    </w:p>
    <w:p w14:paraId="3974B99C" w14:textId="796854C1" w:rsidR="00C153CC" w:rsidRPr="00D22308" w:rsidRDefault="009E6E42" w:rsidP="00172CB6">
      <w:pPr>
        <w:shd w:val="clear" w:color="auto" w:fill="FFFFFF"/>
        <w:spacing w:after="0" w:line="276" w:lineRule="auto"/>
        <w:ind w:firstLine="720"/>
        <w:jc w:val="both"/>
        <w:rPr>
          <w:rFonts w:cs="Times New Roman"/>
          <w:szCs w:val="24"/>
        </w:rPr>
      </w:pPr>
      <w:r w:rsidRPr="00D22308">
        <w:rPr>
          <w:rFonts w:cs="Times New Roman"/>
          <w:szCs w:val="24"/>
        </w:rPr>
        <w:t>Ievērojot minēto, a</w:t>
      </w:r>
      <w:r w:rsidR="00B337FF" w:rsidRPr="00D22308">
        <w:rPr>
          <w:rFonts w:cs="Times New Roman"/>
          <w:szCs w:val="24"/>
        </w:rPr>
        <w:t>pelācijas instances tiesa atbilstoši Kriminālprocesa likuma 130. panta otrās daļas 2. punktam konstatēj</w:t>
      </w:r>
      <w:r w:rsidR="00E17B93" w:rsidRPr="00D22308">
        <w:rPr>
          <w:rFonts w:cs="Times New Roman"/>
          <w:szCs w:val="24"/>
        </w:rPr>
        <w:t>usi</w:t>
      </w:r>
      <w:r w:rsidR="00B337FF" w:rsidRPr="00D22308">
        <w:rPr>
          <w:rFonts w:cs="Times New Roman"/>
          <w:szCs w:val="24"/>
        </w:rPr>
        <w:t xml:space="preserve"> pierādījumu absolūtās nepieļaujamības gadījumu, atzīstot medicīniskās pārbaudes protokolu Nr.</w:t>
      </w:r>
      <w:r w:rsidR="00E17B93" w:rsidRPr="00D22308">
        <w:rPr>
          <w:rFonts w:cs="Times New Roman"/>
          <w:szCs w:val="24"/>
        </w:rPr>
        <w:t> </w:t>
      </w:r>
      <w:r w:rsidR="00B337FF" w:rsidRPr="00D22308">
        <w:rPr>
          <w:rFonts w:cs="Times New Roman"/>
          <w:szCs w:val="24"/>
        </w:rPr>
        <w:t>799 un ķīmiski toksikoloģiskās izmeklēšanas rezultātus Nr.</w:t>
      </w:r>
      <w:r w:rsidR="00E17B93" w:rsidRPr="00D22308">
        <w:rPr>
          <w:rFonts w:cs="Times New Roman"/>
          <w:szCs w:val="24"/>
        </w:rPr>
        <w:t> </w:t>
      </w:r>
      <w:r w:rsidR="00B337FF" w:rsidRPr="00D22308">
        <w:rPr>
          <w:rFonts w:cs="Times New Roman"/>
          <w:szCs w:val="24"/>
        </w:rPr>
        <w:t xml:space="preserve">3181 par nepieļaujamiem un neizmantojamiem </w:t>
      </w:r>
      <w:r w:rsidR="00373AB6">
        <w:rPr>
          <w:rFonts w:cs="Times New Roman"/>
          <w:szCs w:val="24"/>
        </w:rPr>
        <w:t>[pers. A]</w:t>
      </w:r>
      <w:r w:rsidR="00B337FF" w:rsidRPr="00D22308">
        <w:rPr>
          <w:rFonts w:cs="Times New Roman"/>
          <w:szCs w:val="24"/>
        </w:rPr>
        <w:t xml:space="preserve"> vainīguma pierādīšanā, jo tie iegūti procesuālajā darbībā, ko veikusi persona, kurai saskaņā ar Kriminālprocesa likumu nebija tiesību to veikt.</w:t>
      </w:r>
    </w:p>
    <w:p w14:paraId="5734A182" w14:textId="5CB5B1D8" w:rsidR="00E012BF" w:rsidRPr="00D22308" w:rsidRDefault="00AE1BCA" w:rsidP="00172CB6">
      <w:pPr>
        <w:pStyle w:val="NormalWeb"/>
        <w:widowControl w:val="0"/>
        <w:shd w:val="clear" w:color="auto" w:fill="FFFFFF"/>
        <w:spacing w:line="276" w:lineRule="auto"/>
        <w:ind w:firstLine="720"/>
        <w:jc w:val="both"/>
        <w:rPr>
          <w:color w:val="000000"/>
          <w:lang w:eastAsia="lv-LV"/>
        </w:rPr>
      </w:pPr>
      <w:r w:rsidRPr="00D22308">
        <w:t>[5.</w:t>
      </w:r>
      <w:r w:rsidR="004B79A2" w:rsidRPr="00D22308">
        <w:t>3</w:t>
      </w:r>
      <w:r w:rsidRPr="00D22308">
        <w:t>]</w:t>
      </w:r>
      <w:r w:rsidR="005E2FB0">
        <w:t> </w:t>
      </w:r>
      <w:r w:rsidR="00E012BF" w:rsidRPr="00D22308">
        <w:t xml:space="preserve">Lai </w:t>
      </w:r>
      <w:r w:rsidR="00B103B6" w:rsidRPr="00D22308">
        <w:t xml:space="preserve">noskaidrotu </w:t>
      </w:r>
      <w:r w:rsidR="00E012BF" w:rsidRPr="00D22308">
        <w:rPr>
          <w:color w:val="000000"/>
          <w:lang w:eastAsia="lv-LV"/>
        </w:rPr>
        <w:t xml:space="preserve">Kriminālprocesa likuma 387. panta 13. daļas </w:t>
      </w:r>
      <w:r w:rsidR="00B103B6" w:rsidRPr="00D22308">
        <w:rPr>
          <w:color w:val="000000"/>
          <w:lang w:eastAsia="lv-LV"/>
        </w:rPr>
        <w:t xml:space="preserve">piemērošanu, ir </w:t>
      </w:r>
      <w:r w:rsidR="00E012BF" w:rsidRPr="00D22308">
        <w:rPr>
          <w:color w:val="000000"/>
          <w:lang w:eastAsia="lv-LV"/>
        </w:rPr>
        <w:t>jā</w:t>
      </w:r>
      <w:r w:rsidR="00B103B6" w:rsidRPr="00D22308">
        <w:rPr>
          <w:color w:val="000000"/>
          <w:lang w:eastAsia="lv-LV"/>
        </w:rPr>
        <w:t>atklāj</w:t>
      </w:r>
      <w:r w:rsidR="00B81E41" w:rsidRPr="00D22308">
        <w:rPr>
          <w:color w:val="000000"/>
          <w:lang w:eastAsia="lv-LV"/>
        </w:rPr>
        <w:t xml:space="preserve"> </w:t>
      </w:r>
      <w:r w:rsidR="00AB479D" w:rsidRPr="00D22308">
        <w:rPr>
          <w:color w:val="000000"/>
          <w:lang w:eastAsia="lv-LV"/>
        </w:rPr>
        <w:t xml:space="preserve">tās </w:t>
      </w:r>
      <w:r w:rsidR="00B103B6" w:rsidRPr="00D22308">
        <w:rPr>
          <w:color w:val="000000"/>
          <w:lang w:eastAsia="lv-LV"/>
        </w:rPr>
        <w:t>jēga</w:t>
      </w:r>
      <w:r w:rsidR="005E2FB0">
        <w:rPr>
          <w:color w:val="000000"/>
          <w:lang w:eastAsia="lv-LV"/>
        </w:rPr>
        <w:t>.</w:t>
      </w:r>
    </w:p>
    <w:p w14:paraId="010F6239" w14:textId="00AE5CBE" w:rsidR="008114F8" w:rsidRPr="00D22308" w:rsidRDefault="00E012BF" w:rsidP="00172CB6">
      <w:pPr>
        <w:pStyle w:val="NormalWeb"/>
        <w:widowControl w:val="0"/>
        <w:shd w:val="clear" w:color="auto" w:fill="FFFFFF"/>
        <w:spacing w:line="276" w:lineRule="auto"/>
        <w:ind w:firstLine="720"/>
        <w:jc w:val="both"/>
        <w:rPr>
          <w:i/>
          <w:iCs/>
        </w:rPr>
      </w:pPr>
      <w:r w:rsidRPr="00D22308">
        <w:lastRenderedPageBreak/>
        <w:t>N</w:t>
      </w:r>
      <w:r w:rsidR="005515AA" w:rsidRPr="00D22308">
        <w:t xml:space="preserve">o </w:t>
      </w:r>
      <w:r w:rsidR="008114F8" w:rsidRPr="00D22308">
        <w:t>Kriminālprocesa likuma 386.</w:t>
      </w:r>
      <w:r w:rsidR="005515AA" w:rsidRPr="00D22308">
        <w:t> </w:t>
      </w:r>
      <w:r w:rsidR="008114F8" w:rsidRPr="00D22308">
        <w:t>panta un 387.</w:t>
      </w:r>
      <w:r w:rsidR="00F47F66" w:rsidRPr="00D22308">
        <w:t> </w:t>
      </w:r>
      <w:r w:rsidR="008114F8" w:rsidRPr="00D22308">
        <w:t>panta pirmās līdz 10.</w:t>
      </w:r>
      <w:r w:rsidR="00C657C5" w:rsidRPr="00D22308">
        <w:rPr>
          <w:vertAlign w:val="superscript"/>
        </w:rPr>
        <w:t>1</w:t>
      </w:r>
      <w:r w:rsidR="00C657C5" w:rsidRPr="005E2FB0">
        <w:t> </w:t>
      </w:r>
      <w:r w:rsidR="008114F8" w:rsidRPr="00D22308">
        <w:t>daļa</w:t>
      </w:r>
      <w:r w:rsidR="00721FA5" w:rsidRPr="00D22308">
        <w:t>i</w:t>
      </w:r>
      <w:r w:rsidR="00A31FB0" w:rsidRPr="00D22308">
        <w:t xml:space="preserve"> </w:t>
      </w:r>
      <w:r w:rsidR="005515AA" w:rsidRPr="00D22308">
        <w:t>secināms</w:t>
      </w:r>
      <w:r w:rsidR="008114F8" w:rsidRPr="00D22308">
        <w:t xml:space="preserve">, ka minētajos </w:t>
      </w:r>
      <w:r w:rsidR="008114F8" w:rsidRPr="002D672F">
        <w:t>pantos</w:t>
      </w:r>
      <w:r w:rsidR="008114F8" w:rsidRPr="00D22308">
        <w:t xml:space="preserve"> norādītās izmeklēšanas iestādes veic vienu un to pašu izmeklēšanas funkciju,</w:t>
      </w:r>
      <w:r w:rsidR="008114F8" w:rsidRPr="0056440E">
        <w:t xml:space="preserve"> </w:t>
      </w:r>
      <w:r w:rsidR="008114F8" w:rsidRPr="00D22308">
        <w:t>taču tām ir noteikta dažāda specializācija atkarībā no resora funkcijām un darbinieku specifiskām zināšanām un prasmēm attiecīgajā jomā.</w:t>
      </w:r>
    </w:p>
    <w:p w14:paraId="4637CEE4" w14:textId="3FB3D8D3" w:rsidR="008114F8" w:rsidRPr="00D22308" w:rsidRDefault="008114F8"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cs="Times New Roman"/>
          <w:szCs w:val="24"/>
        </w:rPr>
        <w:t xml:space="preserve">Institucionālā piekritība pamatā ir vērsta uz to, lai lietderīgi izmantotu katras iestādes specializāciju. </w:t>
      </w:r>
      <w:r w:rsidR="009E694B" w:rsidRPr="00D22308">
        <w:rPr>
          <w:rFonts w:cs="Times New Roman"/>
          <w:szCs w:val="24"/>
        </w:rPr>
        <w:t>T</w:t>
      </w:r>
      <w:r w:rsidRPr="00D22308">
        <w:rPr>
          <w:rFonts w:cs="Times New Roman"/>
          <w:szCs w:val="24"/>
        </w:rPr>
        <w:t>ā nav absolūta, jo atbilstoši Kriminālprocesa likuma 387. panta 11. daļai konkrētu noziedzīgu nodarījumu institucionālo piekritību</w:t>
      </w:r>
      <w:r w:rsidR="00C657C5" w:rsidRPr="00D22308">
        <w:rPr>
          <w:rFonts w:cs="Times New Roman"/>
          <w:szCs w:val="24"/>
        </w:rPr>
        <w:t xml:space="preserve"> </w:t>
      </w:r>
      <w:r w:rsidRPr="00D22308">
        <w:rPr>
          <w:rFonts w:cs="Times New Roman"/>
          <w:szCs w:val="24"/>
        </w:rPr>
        <w:t xml:space="preserve">nosaka ģenerālprokurors. </w:t>
      </w:r>
      <w:r w:rsidRPr="00D22308">
        <w:rPr>
          <w:rFonts w:eastAsia="Times New Roman" w:cs="Times New Roman"/>
          <w:color w:val="000000"/>
          <w:szCs w:val="24"/>
          <w:lang w:eastAsia="lv-LV"/>
        </w:rPr>
        <w:t xml:space="preserve">Savukārt </w:t>
      </w:r>
      <w:r w:rsidR="005515AA" w:rsidRPr="00D22308">
        <w:rPr>
          <w:rFonts w:eastAsia="Times New Roman" w:cs="Times New Roman"/>
          <w:color w:val="000000"/>
          <w:szCs w:val="24"/>
          <w:lang w:eastAsia="lv-LV"/>
        </w:rPr>
        <w:t xml:space="preserve">Kriminālprocesa likuma </w:t>
      </w:r>
      <w:r w:rsidRPr="00D22308">
        <w:rPr>
          <w:rFonts w:eastAsia="Times New Roman" w:cs="Times New Roman"/>
          <w:color w:val="000000"/>
          <w:szCs w:val="24"/>
          <w:lang w:eastAsia="lv-LV"/>
        </w:rPr>
        <w:t>387. panta 13.</w:t>
      </w:r>
      <w:r w:rsidR="009E694B" w:rsidRPr="00D22308">
        <w:rPr>
          <w:rFonts w:eastAsia="Times New Roman" w:cs="Times New Roman"/>
          <w:color w:val="000000"/>
          <w:szCs w:val="24"/>
          <w:lang w:eastAsia="lv-LV"/>
        </w:rPr>
        <w:t> </w:t>
      </w:r>
      <w:r w:rsidRPr="00D22308">
        <w:rPr>
          <w:rFonts w:eastAsia="Times New Roman" w:cs="Times New Roman"/>
          <w:color w:val="000000"/>
          <w:szCs w:val="24"/>
          <w:lang w:eastAsia="lv-LV"/>
        </w:rPr>
        <w:t xml:space="preserve">daļa noteic izmeklēšanas iestādes rīcību gadījumā, ja tā saņem ziņu par notiekošu vai notikušu noziedzīgu nodarījumu, kura izmeklēšana neietilpst tās kompetencē, bet pierādījumu fiksēšanai vai nozieguma izdarītāja aizturēšanai nepieciešams veikt neatliekamas izmeklēšanas darbības. Tādā gadījumā izmeklēšanas iestāde uzsāk kriminālprocesu, informē par to </w:t>
      </w:r>
      <w:r w:rsidR="005E2FB0">
        <w:rPr>
          <w:rFonts w:eastAsia="Times New Roman" w:cs="Times New Roman"/>
          <w:color w:val="000000"/>
          <w:szCs w:val="24"/>
          <w:lang w:eastAsia="lv-LV"/>
        </w:rPr>
        <w:t xml:space="preserve">attiecīgo </w:t>
      </w:r>
      <w:r w:rsidRPr="00D22308">
        <w:rPr>
          <w:rFonts w:eastAsia="Times New Roman" w:cs="Times New Roman"/>
          <w:color w:val="000000"/>
          <w:szCs w:val="24"/>
          <w:lang w:eastAsia="lv-LV"/>
        </w:rPr>
        <w:t>kompetento izmeklēšanas iestādi, veic neatliekamās izmeklēšanas darbības un nodod uzsāktā kriminālprocesa materiālus pēc piekritības.</w:t>
      </w:r>
    </w:p>
    <w:p w14:paraId="359419D4" w14:textId="2700F861" w:rsidR="00F47F66" w:rsidRPr="00D22308" w:rsidRDefault="00F47F66"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eastAsia="Times New Roman" w:cs="Times New Roman"/>
          <w:color w:val="000000"/>
          <w:szCs w:val="24"/>
          <w:lang w:eastAsia="lv-LV"/>
        </w:rPr>
        <w:t>Prasība par obligātu kriminālprocesa uzsākšanu izriet arī no Kriminālprocesa likuma 6.</w:t>
      </w:r>
      <w:r w:rsidR="005E2FB0">
        <w:rPr>
          <w:rFonts w:eastAsia="Times New Roman" w:cs="Times New Roman"/>
          <w:color w:val="000000"/>
          <w:szCs w:val="24"/>
          <w:lang w:eastAsia="lv-LV"/>
        </w:rPr>
        <w:t> </w:t>
      </w:r>
      <w:r w:rsidRPr="00D22308">
        <w:rPr>
          <w:rFonts w:eastAsia="Times New Roman" w:cs="Times New Roman"/>
          <w:color w:val="000000"/>
          <w:szCs w:val="24"/>
          <w:lang w:eastAsia="lv-LV"/>
        </w:rPr>
        <w:t xml:space="preserve">panta, kurā nostiprināts kriminālprocesa obligātuma princips. Proti, </w:t>
      </w:r>
      <w:r w:rsidR="001D216F">
        <w:rPr>
          <w:rFonts w:eastAsia="Times New Roman" w:cs="Times New Roman"/>
          <w:color w:val="000000"/>
          <w:szCs w:val="24"/>
          <w:lang w:eastAsia="lv-LV"/>
        </w:rPr>
        <w:t xml:space="preserve">saskaņā ar šajā pantā noteikto </w:t>
      </w:r>
      <w:r w:rsidRPr="00D22308">
        <w:rPr>
          <w:rFonts w:eastAsia="Times New Roman" w:cs="Times New Roman"/>
          <w:color w:val="000000"/>
          <w:szCs w:val="24"/>
          <w:lang w:eastAsia="lv-LV"/>
        </w:rPr>
        <w:t>amatpersonai, saņemot ziņas, kuras ir pamats kriminālprocesa uzsākšanai, ir pienākums uzsākt kriminālprocesu un tai jāveic neatliekam</w:t>
      </w:r>
      <w:r w:rsidR="00392F99" w:rsidRPr="00D22308">
        <w:rPr>
          <w:rFonts w:eastAsia="Times New Roman" w:cs="Times New Roman"/>
          <w:color w:val="000000"/>
          <w:szCs w:val="24"/>
          <w:lang w:eastAsia="lv-LV"/>
        </w:rPr>
        <w:t>as</w:t>
      </w:r>
      <w:r w:rsidRPr="00D22308">
        <w:rPr>
          <w:rFonts w:eastAsia="Times New Roman" w:cs="Times New Roman"/>
          <w:color w:val="000000"/>
          <w:szCs w:val="24"/>
          <w:lang w:eastAsia="lv-LV"/>
        </w:rPr>
        <w:t xml:space="preserve"> procesuālās darbības, neatkarīgi no institucionālās piekritības.</w:t>
      </w:r>
    </w:p>
    <w:p w14:paraId="0E3C873E" w14:textId="5D00ECAF" w:rsidR="00322BF0" w:rsidRPr="00D22308" w:rsidRDefault="008114F8"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eastAsia="Times New Roman" w:cs="Times New Roman"/>
          <w:color w:val="000000"/>
          <w:szCs w:val="24"/>
          <w:lang w:eastAsia="lv-LV"/>
        </w:rPr>
        <w:t>Tādējādi</w:t>
      </w:r>
      <w:r w:rsidR="003D0B9E" w:rsidRPr="00D22308">
        <w:rPr>
          <w:rFonts w:eastAsia="Times New Roman" w:cs="Times New Roman"/>
          <w:color w:val="000000"/>
          <w:szCs w:val="24"/>
          <w:lang w:eastAsia="lv-LV"/>
        </w:rPr>
        <w:t xml:space="preserve"> Senāts atzīst, ka</w:t>
      </w:r>
      <w:r w:rsidRPr="00D22308">
        <w:rPr>
          <w:rFonts w:eastAsia="Times New Roman" w:cs="Times New Roman"/>
          <w:color w:val="000000"/>
          <w:szCs w:val="24"/>
          <w:lang w:eastAsia="lv-LV"/>
        </w:rPr>
        <w:t xml:space="preserve"> kriminālprocesa obligātuma princips prevalē pār institucionālo piekritību un </w:t>
      </w:r>
      <w:r w:rsidR="008655B5" w:rsidRPr="00D22308">
        <w:rPr>
          <w:rFonts w:eastAsia="Times New Roman" w:cs="Times New Roman"/>
          <w:color w:val="000000"/>
          <w:szCs w:val="24"/>
          <w:lang w:eastAsia="lv-LV"/>
        </w:rPr>
        <w:t>atbilstoši Kriminālprocesa likuma 387. panta 13. </w:t>
      </w:r>
      <w:r w:rsidR="008655B5" w:rsidRPr="00D22308">
        <w:rPr>
          <w:rFonts w:cs="Times New Roman"/>
        </w:rPr>
        <w:t xml:space="preserve">daļai </w:t>
      </w:r>
      <w:r w:rsidR="008655B5" w:rsidRPr="00D22308">
        <w:rPr>
          <w:rFonts w:eastAsia="Times New Roman" w:cs="Times New Roman"/>
          <w:color w:val="000000"/>
          <w:szCs w:val="24"/>
          <w:lang w:eastAsia="lv-LV"/>
        </w:rPr>
        <w:t xml:space="preserve">pilnvarotai amatpersonai </w:t>
      </w:r>
      <w:r w:rsidRPr="00D22308">
        <w:rPr>
          <w:rFonts w:eastAsia="Times New Roman" w:cs="Times New Roman"/>
          <w:color w:val="000000"/>
          <w:szCs w:val="24"/>
          <w:lang w:eastAsia="lv-LV"/>
        </w:rPr>
        <w:t xml:space="preserve">kriminālprocess obligāti jāuzsāk </w:t>
      </w:r>
      <w:r w:rsidR="008655B5" w:rsidRPr="00D22308">
        <w:rPr>
          <w:rFonts w:eastAsia="Times New Roman" w:cs="Times New Roman"/>
          <w:color w:val="000000"/>
          <w:szCs w:val="24"/>
          <w:lang w:eastAsia="lv-LV"/>
        </w:rPr>
        <w:t xml:space="preserve">un jāveic neatliekamas procesuālās darbības </w:t>
      </w:r>
      <w:r w:rsidRPr="00D22308">
        <w:rPr>
          <w:rFonts w:eastAsia="Times New Roman" w:cs="Times New Roman"/>
          <w:color w:val="000000"/>
          <w:szCs w:val="24"/>
          <w:lang w:eastAsia="lv-LV"/>
        </w:rPr>
        <w:t>neatkarīgi no tā, kādai izmeklēšanas iestādei ir turpmāk jāveic noziedzīga nodarījuma izmeklēšana.</w:t>
      </w:r>
    </w:p>
    <w:p w14:paraId="2AABC78A" w14:textId="39075CD5" w:rsidR="00DE4032" w:rsidRPr="00D22308" w:rsidRDefault="00266224"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cs="Times New Roman"/>
          <w:color w:val="000000"/>
          <w:lang w:eastAsia="lv-LV"/>
        </w:rPr>
        <w:t>[5.4]</w:t>
      </w:r>
      <w:r w:rsidR="005E2FB0">
        <w:rPr>
          <w:rFonts w:cs="Times New Roman"/>
          <w:color w:val="000000"/>
          <w:lang w:eastAsia="lv-LV"/>
        </w:rPr>
        <w:t> </w:t>
      </w:r>
      <w:r w:rsidR="00DD6F73" w:rsidRPr="00D22308">
        <w:rPr>
          <w:rFonts w:cs="Times New Roman"/>
          <w:color w:val="000000"/>
          <w:lang w:eastAsia="lv-LV"/>
        </w:rPr>
        <w:t>S</w:t>
      </w:r>
      <w:r w:rsidR="00F17707" w:rsidRPr="00D22308">
        <w:rPr>
          <w:rFonts w:cs="Times New Roman"/>
          <w:color w:val="000000"/>
          <w:lang w:eastAsia="lv-LV"/>
        </w:rPr>
        <w:t xml:space="preserve">enāts konstatē, ka 2023. gada 15. maijā pret </w:t>
      </w:r>
      <w:r w:rsidR="00373AB6">
        <w:rPr>
          <w:rFonts w:cs="Times New Roman"/>
          <w:szCs w:val="24"/>
        </w:rPr>
        <w:t>[pers. A]</w:t>
      </w:r>
      <w:r w:rsidR="00F17707" w:rsidRPr="00D22308">
        <w:rPr>
          <w:rFonts w:cs="Times New Roman"/>
          <w:color w:val="000000"/>
          <w:lang w:eastAsia="lv-LV"/>
        </w:rPr>
        <w:t xml:space="preserve"> uzsākts kriminālprocess Nr.</w:t>
      </w:r>
      <w:r w:rsidR="003D0B9E" w:rsidRPr="00D22308">
        <w:rPr>
          <w:rFonts w:cs="Times New Roman"/>
          <w:color w:val="000000"/>
          <w:lang w:eastAsia="lv-LV"/>
        </w:rPr>
        <w:t> </w:t>
      </w:r>
      <w:r w:rsidR="00F17707" w:rsidRPr="00D22308">
        <w:rPr>
          <w:rFonts w:cs="Times New Roman"/>
          <w:color w:val="000000"/>
          <w:lang w:eastAsia="lv-LV"/>
        </w:rPr>
        <w:t>58400027523 pēc Krimināllikuma 190.</w:t>
      </w:r>
      <w:r w:rsidR="00F17707" w:rsidRPr="00D22308">
        <w:rPr>
          <w:rFonts w:cs="Times New Roman"/>
          <w:color w:val="000000"/>
          <w:vertAlign w:val="superscript"/>
          <w:lang w:eastAsia="lv-LV"/>
        </w:rPr>
        <w:t>1</w:t>
      </w:r>
      <w:r w:rsidR="00F47F66" w:rsidRPr="001D216F">
        <w:rPr>
          <w:rFonts w:cs="Times New Roman"/>
          <w:color w:val="000000"/>
          <w:lang w:eastAsia="lv-LV"/>
        </w:rPr>
        <w:t> </w:t>
      </w:r>
      <w:r w:rsidR="00F17707" w:rsidRPr="00D22308">
        <w:rPr>
          <w:rFonts w:cs="Times New Roman"/>
          <w:color w:val="000000"/>
          <w:lang w:eastAsia="lv-LV"/>
        </w:rPr>
        <w:t>panta pirmās daļas par iespējamu narkotisko vai psihotropo vielu pārvietošanu pāri Latvijas Republikas robežai nelikumīgā veidā.</w:t>
      </w:r>
      <w:r w:rsidR="00EC30E5" w:rsidRPr="00D22308">
        <w:rPr>
          <w:rFonts w:cs="Times New Roman"/>
          <w:color w:val="000000"/>
          <w:lang w:eastAsia="lv-LV"/>
        </w:rPr>
        <w:t xml:space="preserve"> Šajā kriminālprocesā saistībā ar aizdomām par transportlīdzekļa vadīšanu narkotisko vielu ietekmē </w:t>
      </w:r>
      <w:r w:rsidR="00373AB6">
        <w:rPr>
          <w:rFonts w:cs="Times New Roman"/>
          <w:szCs w:val="24"/>
        </w:rPr>
        <w:t>[pers. A]</w:t>
      </w:r>
      <w:r w:rsidR="00EC30E5" w:rsidRPr="00D22308">
        <w:rPr>
          <w:rFonts w:cs="Times New Roman"/>
          <w:color w:val="000000"/>
          <w:lang w:eastAsia="lv-LV"/>
        </w:rPr>
        <w:t xml:space="preserve"> nosūtīts uz medicīnisko pārbaudi no Liepājas uz </w:t>
      </w:r>
      <w:r w:rsidR="00EC30E5" w:rsidRPr="001358CE">
        <w:rPr>
          <w:rFonts w:cs="Times New Roman"/>
          <w:color w:val="000000"/>
          <w:lang w:eastAsia="lv-LV"/>
        </w:rPr>
        <w:t xml:space="preserve">VSIA „Rīgas psihiatrijas un narkoloģijas </w:t>
      </w:r>
      <w:r w:rsidR="001D216F" w:rsidRPr="001358CE">
        <w:rPr>
          <w:rFonts w:cs="Times New Roman"/>
          <w:color w:val="000000"/>
          <w:lang w:eastAsia="lv-LV"/>
        </w:rPr>
        <w:t>centrs</w:t>
      </w:r>
      <w:r w:rsidR="00EC30E5" w:rsidRPr="00D22308">
        <w:rPr>
          <w:rFonts w:cs="Times New Roman"/>
          <w:color w:val="000000"/>
          <w:lang w:eastAsia="lv-LV"/>
        </w:rPr>
        <w:t xml:space="preserve">”, kur </w:t>
      </w:r>
      <w:r w:rsidR="003D0B9E" w:rsidRPr="00D22308">
        <w:rPr>
          <w:rFonts w:cs="Times New Roman"/>
          <w:color w:val="000000"/>
          <w:lang w:eastAsia="lv-LV"/>
        </w:rPr>
        <w:t xml:space="preserve">viņam </w:t>
      </w:r>
      <w:r w:rsidR="00EC30E5" w:rsidRPr="00D22308">
        <w:rPr>
          <w:rFonts w:cs="Times New Roman"/>
          <w:color w:val="000000"/>
          <w:lang w:eastAsia="lv-LV"/>
        </w:rPr>
        <w:t>veikta medicīniskā pārbaude.</w:t>
      </w:r>
    </w:p>
    <w:p w14:paraId="49831639" w14:textId="41B1E010" w:rsidR="00DE4032" w:rsidRPr="00D22308" w:rsidRDefault="00266224"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cs="Times New Roman"/>
          <w:szCs w:val="24"/>
        </w:rPr>
        <w:t xml:space="preserve">Senāts norāda, ka </w:t>
      </w:r>
      <w:r w:rsidRPr="00D22308">
        <w:rPr>
          <w:rFonts w:eastAsia="Times New Roman" w:cs="Times New Roman"/>
          <w:color w:val="000000"/>
          <w:szCs w:val="24"/>
          <w:lang w:eastAsia="lv-LV"/>
        </w:rPr>
        <w:t xml:space="preserve">medicīniskā pārbaude narkotisko, psihotropo vai toksisko vielu ietekmes noteikšanai veicama pēc iespējas ātrāk, jo </w:t>
      </w:r>
      <w:r w:rsidR="001D216F">
        <w:rPr>
          <w:rFonts w:eastAsia="Times New Roman" w:cs="Times New Roman"/>
          <w:color w:val="000000"/>
          <w:szCs w:val="24"/>
          <w:lang w:eastAsia="lv-LV"/>
        </w:rPr>
        <w:t xml:space="preserve">ir </w:t>
      </w:r>
      <w:r w:rsidRPr="00D22308">
        <w:rPr>
          <w:rFonts w:eastAsia="Times New Roman" w:cs="Times New Roman"/>
          <w:color w:val="000000"/>
          <w:szCs w:val="24"/>
          <w:lang w:eastAsia="lv-LV"/>
        </w:rPr>
        <w:t>vispārzināms fakts, ka narkotisko vielu ietekme organismā ar laiku samazinās, tādējādi noziedzīga nodarījuma pēdas var neatgriezeniski zust.</w:t>
      </w:r>
    </w:p>
    <w:p w14:paraId="42CF62CC" w14:textId="49D18DD3" w:rsidR="00EB7CAC" w:rsidRPr="00D22308" w:rsidRDefault="00C304D0" w:rsidP="00172CB6">
      <w:pPr>
        <w:shd w:val="clear" w:color="auto" w:fill="FFFFFF"/>
        <w:spacing w:after="0" w:line="276" w:lineRule="auto"/>
        <w:ind w:firstLine="720"/>
        <w:jc w:val="both"/>
        <w:rPr>
          <w:rFonts w:eastAsia="Times New Roman" w:cs="Times New Roman"/>
          <w:color w:val="000000"/>
          <w:szCs w:val="24"/>
          <w:lang w:eastAsia="lv-LV"/>
        </w:rPr>
      </w:pPr>
      <w:r w:rsidRPr="00D22308">
        <w:rPr>
          <w:rFonts w:eastAsia="Times New Roman" w:cs="Times New Roman"/>
          <w:color w:val="000000"/>
          <w:szCs w:val="24"/>
          <w:lang w:eastAsia="lv-LV"/>
        </w:rPr>
        <w:t>Savukārt i</w:t>
      </w:r>
      <w:r w:rsidR="00DE4032" w:rsidRPr="00D22308">
        <w:rPr>
          <w:rFonts w:eastAsia="Times New Roman" w:cs="Times New Roman"/>
          <w:color w:val="000000"/>
          <w:szCs w:val="24"/>
          <w:lang w:eastAsia="lv-LV"/>
        </w:rPr>
        <w:t xml:space="preserve">zlemjot par </w:t>
      </w:r>
      <w:r w:rsidR="00392F99" w:rsidRPr="00D22308">
        <w:rPr>
          <w:rFonts w:eastAsia="Times New Roman" w:cs="Times New Roman"/>
          <w:color w:val="000000" w:themeColor="text1"/>
          <w:szCs w:val="24"/>
          <w:lang w:eastAsia="lv-LV"/>
        </w:rPr>
        <w:t xml:space="preserve">neatliekamu </w:t>
      </w:r>
      <w:r w:rsidR="00DE4032" w:rsidRPr="00D22308">
        <w:rPr>
          <w:rFonts w:eastAsia="Times New Roman" w:cs="Times New Roman"/>
          <w:color w:val="000000"/>
          <w:szCs w:val="24"/>
          <w:lang w:eastAsia="lv-LV"/>
        </w:rPr>
        <w:t>procesuāl</w:t>
      </w:r>
      <w:r w:rsidR="00392F99" w:rsidRPr="00D22308">
        <w:rPr>
          <w:rFonts w:eastAsia="Times New Roman" w:cs="Times New Roman"/>
          <w:color w:val="000000"/>
          <w:szCs w:val="24"/>
          <w:lang w:eastAsia="lv-LV"/>
        </w:rPr>
        <w:t>o</w:t>
      </w:r>
      <w:r w:rsidR="00DE4032" w:rsidRPr="00D22308">
        <w:rPr>
          <w:rFonts w:eastAsia="Times New Roman" w:cs="Times New Roman"/>
          <w:color w:val="000000"/>
          <w:szCs w:val="24"/>
          <w:lang w:eastAsia="lv-LV"/>
        </w:rPr>
        <w:t xml:space="preserve"> darbīb</w:t>
      </w:r>
      <w:r w:rsidR="00392F99" w:rsidRPr="00D22308">
        <w:rPr>
          <w:rFonts w:eastAsia="Times New Roman" w:cs="Times New Roman"/>
          <w:color w:val="000000"/>
          <w:szCs w:val="24"/>
          <w:lang w:eastAsia="lv-LV"/>
        </w:rPr>
        <w:t>u</w:t>
      </w:r>
      <w:r w:rsidR="00DE4032" w:rsidRPr="00D22308">
        <w:rPr>
          <w:rFonts w:eastAsia="Times New Roman" w:cs="Times New Roman"/>
          <w:color w:val="000000"/>
          <w:szCs w:val="24"/>
          <w:lang w:eastAsia="lv-LV"/>
        </w:rPr>
        <w:t xml:space="preserve">, nav izšķirošas nozīmes tam, vai izmeklēšanas iestādei pastāvēja vai nepastāvēja objektīvi šķēršļi par šo faktu informēt iestādi, kuras kompetencē bija izmeklēt noziedzīgus nodarījumus pret ceļu satiksmes drošību. Konstatējot nepieciešamo priekšnosacījumu – ziņas par </w:t>
      </w:r>
      <w:r w:rsidR="001D216F" w:rsidRPr="00D22308">
        <w:rPr>
          <w:rFonts w:eastAsia="Times New Roman" w:cs="Times New Roman"/>
          <w:color w:val="000000"/>
          <w:szCs w:val="24"/>
          <w:lang w:eastAsia="lv-LV"/>
        </w:rPr>
        <w:t>notikuš</w:t>
      </w:r>
      <w:r w:rsidR="001D216F">
        <w:rPr>
          <w:rFonts w:eastAsia="Times New Roman" w:cs="Times New Roman"/>
          <w:color w:val="000000"/>
          <w:szCs w:val="24"/>
          <w:lang w:eastAsia="lv-LV"/>
        </w:rPr>
        <w:t>u</w:t>
      </w:r>
      <w:r w:rsidR="001D216F" w:rsidRPr="00D22308">
        <w:rPr>
          <w:rFonts w:eastAsia="Times New Roman" w:cs="Times New Roman"/>
          <w:color w:val="000000"/>
          <w:szCs w:val="24"/>
          <w:lang w:eastAsia="lv-LV"/>
        </w:rPr>
        <w:t xml:space="preserve"> </w:t>
      </w:r>
      <w:r w:rsidR="00DE4032" w:rsidRPr="00D22308">
        <w:rPr>
          <w:rFonts w:eastAsia="Times New Roman" w:cs="Times New Roman"/>
          <w:color w:val="000000"/>
          <w:szCs w:val="24"/>
          <w:lang w:eastAsia="lv-LV"/>
        </w:rPr>
        <w:t>noziedzīgu nodarījumu –, atbilstoši Kriminālprocesa likuma 6.</w:t>
      </w:r>
      <w:r w:rsidR="00C657C5" w:rsidRPr="00D22308">
        <w:rPr>
          <w:rFonts w:eastAsia="Times New Roman" w:cs="Times New Roman"/>
          <w:color w:val="000000"/>
          <w:szCs w:val="24"/>
          <w:lang w:eastAsia="lv-LV"/>
        </w:rPr>
        <w:t> </w:t>
      </w:r>
      <w:r w:rsidR="00DE4032" w:rsidRPr="00D22308">
        <w:rPr>
          <w:rFonts w:eastAsia="Times New Roman" w:cs="Times New Roman"/>
          <w:color w:val="000000"/>
          <w:szCs w:val="24"/>
          <w:lang w:eastAsia="lv-LV"/>
        </w:rPr>
        <w:t>pantam un 387. panta 13.</w:t>
      </w:r>
      <w:r w:rsidR="003D0B9E" w:rsidRPr="00D22308">
        <w:rPr>
          <w:rFonts w:eastAsia="Times New Roman" w:cs="Times New Roman"/>
          <w:color w:val="000000"/>
          <w:szCs w:val="24"/>
          <w:lang w:eastAsia="lv-LV"/>
        </w:rPr>
        <w:t> </w:t>
      </w:r>
      <w:r w:rsidR="00DE4032" w:rsidRPr="00D22308">
        <w:rPr>
          <w:rFonts w:eastAsia="Times New Roman" w:cs="Times New Roman"/>
          <w:color w:val="000000"/>
          <w:szCs w:val="24"/>
          <w:lang w:eastAsia="lv-LV"/>
        </w:rPr>
        <w:t>daļai izmeklēšanas iestādei</w:t>
      </w:r>
      <w:r w:rsidRPr="00D22308">
        <w:rPr>
          <w:rFonts w:eastAsia="Times New Roman" w:cs="Times New Roman"/>
          <w:color w:val="000000"/>
          <w:szCs w:val="24"/>
          <w:lang w:eastAsia="lv-LV"/>
        </w:rPr>
        <w:t>, kuras rīcībā ir šādas ziņas par faktiem,</w:t>
      </w:r>
      <w:r w:rsidR="00DE4032" w:rsidRPr="00D22308">
        <w:rPr>
          <w:rFonts w:eastAsia="Times New Roman" w:cs="Times New Roman"/>
          <w:color w:val="000000"/>
          <w:szCs w:val="24"/>
          <w:lang w:eastAsia="lv-LV"/>
        </w:rPr>
        <w:t xml:space="preserve"> </w:t>
      </w:r>
      <w:r w:rsidR="008655B5" w:rsidRPr="00D22308">
        <w:rPr>
          <w:rFonts w:eastAsia="Times New Roman" w:cs="Times New Roman"/>
          <w:color w:val="000000"/>
          <w:szCs w:val="24"/>
          <w:lang w:eastAsia="lv-LV"/>
        </w:rPr>
        <w:t>ir pienākums veikt</w:t>
      </w:r>
      <w:r w:rsidR="00DE4032" w:rsidRPr="00D22308">
        <w:rPr>
          <w:rFonts w:eastAsia="Times New Roman" w:cs="Times New Roman"/>
          <w:color w:val="000000"/>
          <w:szCs w:val="24"/>
          <w:lang w:eastAsia="lv-LV"/>
        </w:rPr>
        <w:t xml:space="preserve"> neatliekam</w:t>
      </w:r>
      <w:r w:rsidR="00392F99" w:rsidRPr="00D22308">
        <w:rPr>
          <w:rFonts w:eastAsia="Times New Roman" w:cs="Times New Roman"/>
          <w:color w:val="000000"/>
          <w:szCs w:val="24"/>
          <w:lang w:eastAsia="lv-LV"/>
        </w:rPr>
        <w:t>a</w:t>
      </w:r>
      <w:r w:rsidR="00DE4032" w:rsidRPr="00D22308">
        <w:rPr>
          <w:rFonts w:eastAsia="Times New Roman" w:cs="Times New Roman"/>
          <w:color w:val="000000"/>
          <w:szCs w:val="24"/>
          <w:lang w:eastAsia="lv-LV"/>
        </w:rPr>
        <w:t xml:space="preserve">s </w:t>
      </w:r>
      <w:r w:rsidRPr="00D22308">
        <w:rPr>
          <w:rFonts w:eastAsia="Times New Roman" w:cs="Times New Roman"/>
          <w:color w:val="000000"/>
          <w:szCs w:val="24"/>
          <w:lang w:eastAsia="lv-LV"/>
        </w:rPr>
        <w:t>procesuālās</w:t>
      </w:r>
      <w:r w:rsidR="00DE4032" w:rsidRPr="00D22308">
        <w:rPr>
          <w:rFonts w:eastAsia="Times New Roman" w:cs="Times New Roman"/>
          <w:color w:val="000000"/>
          <w:szCs w:val="24"/>
          <w:lang w:eastAsia="lv-LV"/>
        </w:rPr>
        <w:t xml:space="preserve"> darbības, lai saglabātu noziedzīgā nodarījuma pēdas, kuras var pazust vai </w:t>
      </w:r>
      <w:r w:rsidR="003D0B9E" w:rsidRPr="00D22308">
        <w:rPr>
          <w:rFonts w:eastAsia="Times New Roman" w:cs="Times New Roman"/>
          <w:color w:val="000000"/>
          <w:szCs w:val="24"/>
          <w:lang w:eastAsia="lv-LV"/>
        </w:rPr>
        <w:t xml:space="preserve">var tikt </w:t>
      </w:r>
      <w:r w:rsidR="00DE4032" w:rsidRPr="00D22308">
        <w:rPr>
          <w:rFonts w:eastAsia="Times New Roman" w:cs="Times New Roman"/>
          <w:color w:val="000000"/>
          <w:szCs w:val="24"/>
          <w:lang w:eastAsia="lv-LV"/>
        </w:rPr>
        <w:t>neatgriezeniski iznīcinātas.</w:t>
      </w:r>
    </w:p>
    <w:p w14:paraId="00894659" w14:textId="621AF780" w:rsidR="0063567B" w:rsidRPr="00D22308" w:rsidRDefault="00266224" w:rsidP="00172CB6">
      <w:pPr>
        <w:pStyle w:val="NormalWeb"/>
        <w:widowControl w:val="0"/>
        <w:shd w:val="clear" w:color="auto" w:fill="FFFFFF"/>
        <w:spacing w:line="276" w:lineRule="auto"/>
        <w:ind w:firstLine="720"/>
        <w:jc w:val="both"/>
        <w:rPr>
          <w:color w:val="000000"/>
          <w:lang w:eastAsia="lv-LV"/>
        </w:rPr>
      </w:pPr>
      <w:r w:rsidRPr="00D22308">
        <w:rPr>
          <w:color w:val="000000"/>
          <w:lang w:eastAsia="lv-LV"/>
        </w:rPr>
        <w:t xml:space="preserve">Tādējādi </w:t>
      </w:r>
      <w:r w:rsidR="003D0B9E" w:rsidRPr="00D22308">
        <w:rPr>
          <w:color w:val="000000"/>
          <w:lang w:eastAsia="lv-LV"/>
        </w:rPr>
        <w:t xml:space="preserve">Senāts </w:t>
      </w:r>
      <w:r w:rsidR="00863C8A" w:rsidRPr="00D22308">
        <w:rPr>
          <w:color w:val="000000"/>
          <w:lang w:eastAsia="lv-LV"/>
        </w:rPr>
        <w:t>konstatē</w:t>
      </w:r>
      <w:r w:rsidR="003D0B9E" w:rsidRPr="00D22308">
        <w:rPr>
          <w:color w:val="000000"/>
          <w:lang w:eastAsia="lv-LV"/>
        </w:rPr>
        <w:t xml:space="preserve">, ka </w:t>
      </w:r>
      <w:r w:rsidRPr="00D22308">
        <w:rPr>
          <w:color w:val="000000"/>
          <w:lang w:eastAsia="lv-LV"/>
        </w:rPr>
        <w:t>Nodokļu un muitas policijas amatpersona</w:t>
      </w:r>
      <w:r w:rsidR="00C304D0" w:rsidRPr="00D22308">
        <w:rPr>
          <w:color w:val="000000"/>
          <w:lang w:eastAsia="lv-LV"/>
        </w:rPr>
        <w:t xml:space="preserve"> tiesiski </w:t>
      </w:r>
      <w:r w:rsidR="00A8476E" w:rsidRPr="00D22308">
        <w:rPr>
          <w:color w:val="000000"/>
          <w:lang w:eastAsia="lv-LV"/>
        </w:rPr>
        <w:t xml:space="preserve">veica neatliekamās procesuālās darbības, nosūtot </w:t>
      </w:r>
      <w:r w:rsidR="00373AB6">
        <w:t>[pers. A]</w:t>
      </w:r>
      <w:r w:rsidR="00C304D0" w:rsidRPr="00D22308">
        <w:rPr>
          <w:color w:val="000000"/>
          <w:lang w:eastAsia="lv-LV"/>
        </w:rPr>
        <w:t xml:space="preserve"> </w:t>
      </w:r>
      <w:r w:rsidRPr="00D22308">
        <w:rPr>
          <w:color w:val="000000"/>
          <w:lang w:eastAsia="lv-LV"/>
        </w:rPr>
        <w:t>medicī</w:t>
      </w:r>
      <w:r w:rsidR="00A8476E" w:rsidRPr="00D22308">
        <w:rPr>
          <w:color w:val="000000"/>
          <w:lang w:eastAsia="lv-LV"/>
        </w:rPr>
        <w:t xml:space="preserve">niskās </w:t>
      </w:r>
      <w:r w:rsidRPr="00D22308">
        <w:rPr>
          <w:color w:val="000000"/>
          <w:lang w:eastAsia="lv-LV"/>
        </w:rPr>
        <w:t xml:space="preserve">pārbaudes veikšanai. </w:t>
      </w:r>
      <w:r w:rsidR="00A8476E" w:rsidRPr="00D22308">
        <w:rPr>
          <w:color w:val="000000"/>
          <w:lang w:eastAsia="lv-LV"/>
        </w:rPr>
        <w:t xml:space="preserve">Turklāt minētā procesuālā darbība tika veikta </w:t>
      </w:r>
      <w:r w:rsidR="003D0B9E" w:rsidRPr="00D22308">
        <w:rPr>
          <w:color w:val="000000"/>
          <w:lang w:eastAsia="lv-LV"/>
        </w:rPr>
        <w:t xml:space="preserve">uzsāktā </w:t>
      </w:r>
      <w:r w:rsidR="00A8476E" w:rsidRPr="00D22308">
        <w:rPr>
          <w:color w:val="000000"/>
          <w:lang w:eastAsia="lv-LV"/>
        </w:rPr>
        <w:t>kriminālprocesā</w:t>
      </w:r>
      <w:r w:rsidR="00EE6B5E" w:rsidRPr="00D22308">
        <w:rPr>
          <w:color w:val="000000"/>
          <w:lang w:eastAsia="lv-LV"/>
        </w:rPr>
        <w:t xml:space="preserve"> </w:t>
      </w:r>
      <w:r w:rsidR="00A8476E" w:rsidRPr="00D22308">
        <w:rPr>
          <w:color w:val="000000"/>
          <w:lang w:eastAsia="lv-LV"/>
        </w:rPr>
        <w:t xml:space="preserve">par </w:t>
      </w:r>
      <w:r w:rsidR="00A8476E" w:rsidRPr="00D22308">
        <w:rPr>
          <w:color w:val="000000"/>
          <w:lang w:eastAsia="lv-LV"/>
        </w:rPr>
        <w:lastRenderedPageBreak/>
        <w:t>nelikumīgu narkotisko vai psihotropo vielu pārvietošanu pāri Latvijas Republikas robežai</w:t>
      </w:r>
      <w:r w:rsidR="00EE6B5E" w:rsidRPr="00D22308">
        <w:rPr>
          <w:color w:val="000000"/>
          <w:lang w:eastAsia="lv-LV"/>
        </w:rPr>
        <w:t>, kas institucionāli piekritīgs Nodokļu un muitas policijai</w:t>
      </w:r>
      <w:r w:rsidR="00A8476E" w:rsidRPr="00D22308">
        <w:rPr>
          <w:color w:val="000000"/>
          <w:lang w:eastAsia="lv-LV"/>
        </w:rPr>
        <w:t>.</w:t>
      </w:r>
      <w:r w:rsidR="00EE6B5E" w:rsidRPr="00D22308">
        <w:rPr>
          <w:color w:val="000000"/>
          <w:lang w:eastAsia="lv-LV"/>
        </w:rPr>
        <w:t xml:space="preserve"> Atbilstoši Kriminālprocesa likuma 27.</w:t>
      </w:r>
      <w:r w:rsidR="00C657C5" w:rsidRPr="00D22308">
        <w:rPr>
          <w:color w:val="000000"/>
          <w:lang w:eastAsia="lv-LV"/>
        </w:rPr>
        <w:t> </w:t>
      </w:r>
      <w:r w:rsidR="00EE6B5E" w:rsidRPr="00D22308">
        <w:rPr>
          <w:color w:val="000000"/>
          <w:lang w:eastAsia="lv-LV"/>
        </w:rPr>
        <w:t>panta pirmās daļas 2.</w:t>
      </w:r>
      <w:r w:rsidR="003D0B9E" w:rsidRPr="00D22308">
        <w:rPr>
          <w:color w:val="000000"/>
          <w:lang w:eastAsia="lv-LV"/>
        </w:rPr>
        <w:t> </w:t>
      </w:r>
      <w:r w:rsidR="00EE6B5E" w:rsidRPr="00D22308">
        <w:rPr>
          <w:color w:val="000000"/>
          <w:lang w:eastAsia="lv-LV"/>
        </w:rPr>
        <w:t>punktam procesa virzītājs pieņem lēmumus par kriminālprocesa virzību, proti, tā kompetencē ir veikt vai neveikt konkrētas procesuālās darbības, lai iegūtu pierādījumus, ar kuriem pamatotu pierādīšanas priekšmetā ietilpstošos apstākļus</w:t>
      </w:r>
      <w:r w:rsidR="00E56136" w:rsidRPr="00D22308">
        <w:rPr>
          <w:color w:val="000000"/>
          <w:lang w:eastAsia="lv-LV"/>
        </w:rPr>
        <w:t xml:space="preserve">, tai skaitā pierādītu </w:t>
      </w:r>
      <w:r w:rsidR="00373AB6">
        <w:t>[pers. A]</w:t>
      </w:r>
      <w:r w:rsidR="00E56136" w:rsidRPr="00D22308">
        <w:rPr>
          <w:color w:val="000000"/>
          <w:lang w:eastAsia="lv-LV"/>
        </w:rPr>
        <w:t xml:space="preserve"> saistību ar nelikumīgu narkotisko vai psihotropo vielu pārvietošanu pāri Latvijas Republikas robežai.</w:t>
      </w:r>
      <w:bookmarkEnd w:id="0"/>
    </w:p>
    <w:p w14:paraId="3B96A15C" w14:textId="4AE203F7" w:rsidR="006B08AF" w:rsidRPr="00D22308" w:rsidRDefault="006B08AF" w:rsidP="00172CB6">
      <w:pPr>
        <w:pStyle w:val="NormalWeb"/>
        <w:widowControl w:val="0"/>
        <w:shd w:val="clear" w:color="auto" w:fill="FFFFFF"/>
        <w:spacing w:line="276" w:lineRule="auto"/>
        <w:ind w:firstLine="720"/>
        <w:jc w:val="both"/>
        <w:rPr>
          <w:b/>
          <w:bCs/>
        </w:rPr>
      </w:pPr>
      <w:r w:rsidRPr="00D22308">
        <w:t>Senāts</w:t>
      </w:r>
      <w:r w:rsidR="00C657C5" w:rsidRPr="00D22308">
        <w:t xml:space="preserve"> </w:t>
      </w:r>
      <w:r w:rsidR="004910F5" w:rsidRPr="00D22308">
        <w:t>atzīst</w:t>
      </w:r>
      <w:r w:rsidR="00C657C5" w:rsidRPr="00D22308">
        <w:t>,</w:t>
      </w:r>
      <w:r w:rsidRPr="00D22308">
        <w:t xml:space="preserve"> ka apelācijas instances tiesa</w:t>
      </w:r>
      <w:r w:rsidR="008655B5" w:rsidRPr="00D22308">
        <w:t xml:space="preserve"> </w:t>
      </w:r>
      <w:r w:rsidR="00392F99" w:rsidRPr="00D22308">
        <w:t>nepareizi</w:t>
      </w:r>
      <w:r w:rsidR="008655B5" w:rsidRPr="00D22308">
        <w:t xml:space="preserve"> </w:t>
      </w:r>
      <w:r w:rsidR="00A82298" w:rsidRPr="00D22308">
        <w:t>interpretējusi</w:t>
      </w:r>
      <w:r w:rsidR="008655B5" w:rsidRPr="00D22308">
        <w:t xml:space="preserve"> Kriminālprocesa likuma 387.</w:t>
      </w:r>
      <w:r w:rsidR="001D216F">
        <w:t> </w:t>
      </w:r>
      <w:r w:rsidR="008655B5" w:rsidRPr="00D22308">
        <w:t>panta 13. daļu</w:t>
      </w:r>
      <w:r w:rsidR="00A82298" w:rsidRPr="00D22308">
        <w:t>, kā rezultā</w:t>
      </w:r>
      <w:r w:rsidR="00476F61" w:rsidRPr="00D22308">
        <w:t>tā</w:t>
      </w:r>
      <w:r w:rsidR="008655B5" w:rsidRPr="00D22308">
        <w:t xml:space="preserve"> </w:t>
      </w:r>
      <w:r w:rsidRPr="00D22308">
        <w:t xml:space="preserve">nepamatoti </w:t>
      </w:r>
      <w:r w:rsidR="007040EF" w:rsidRPr="00D22308">
        <w:t>atbilstoši Kriminālprocesa likuma 130.</w:t>
      </w:r>
      <w:r w:rsidR="001D216F">
        <w:t> </w:t>
      </w:r>
      <w:r w:rsidR="007040EF" w:rsidRPr="00D22308">
        <w:t>panta otrās daļas 2.</w:t>
      </w:r>
      <w:r w:rsidR="001D216F">
        <w:t> </w:t>
      </w:r>
      <w:r w:rsidR="007040EF" w:rsidRPr="00D22308">
        <w:t xml:space="preserve">punktam </w:t>
      </w:r>
      <w:r w:rsidRPr="00D22308">
        <w:t>atz</w:t>
      </w:r>
      <w:r w:rsidR="008655B5" w:rsidRPr="00D22308">
        <w:t>inusi</w:t>
      </w:r>
      <w:r w:rsidRPr="00D22308">
        <w:t xml:space="preserve"> par absolūti nepieļaujam</w:t>
      </w:r>
      <w:r w:rsidR="00476F61" w:rsidRPr="00D22308">
        <w:t>iem</w:t>
      </w:r>
      <w:r w:rsidRPr="00D22308">
        <w:t xml:space="preserve"> pierādījum</w:t>
      </w:r>
      <w:r w:rsidR="00476F61" w:rsidRPr="00D22308">
        <w:t>iem</w:t>
      </w:r>
      <w:r w:rsidR="008655B5" w:rsidRPr="00D22308">
        <w:t> </w:t>
      </w:r>
      <w:r w:rsidR="00266224" w:rsidRPr="00D22308">
        <w:t>– medicīniskās pārbaudes protokolu Nr.</w:t>
      </w:r>
      <w:r w:rsidR="003D0B9E" w:rsidRPr="00D22308">
        <w:t> </w:t>
      </w:r>
      <w:r w:rsidR="00266224" w:rsidRPr="00D22308">
        <w:t>799 un ķīmiski toksikoloģiskās izmeklēšanas rezultātus Nr.</w:t>
      </w:r>
      <w:r w:rsidR="003D0B9E" w:rsidRPr="00D22308">
        <w:t> </w:t>
      </w:r>
      <w:r w:rsidR="00266224" w:rsidRPr="00D22308">
        <w:t>3181 –</w:t>
      </w:r>
      <w:r w:rsidRPr="00D22308">
        <w:t>, kas atzīstams par Kriminālprocesa likuma būtisku pārkāpumu šā likuma 575.</w:t>
      </w:r>
      <w:r w:rsidR="00266224" w:rsidRPr="00D22308">
        <w:t> </w:t>
      </w:r>
      <w:r w:rsidRPr="00D22308">
        <w:t>panta trešās daļas izpratnē</w:t>
      </w:r>
      <w:r w:rsidR="00476F61" w:rsidRPr="00D22308">
        <w:t xml:space="preserve"> un novedis pie nelikumīga nolēmuma</w:t>
      </w:r>
      <w:r w:rsidRPr="00D22308">
        <w:t>.</w:t>
      </w:r>
    </w:p>
    <w:p w14:paraId="1899A841" w14:textId="11F197E9" w:rsidR="00E012BF" w:rsidRPr="00D22308" w:rsidRDefault="00476F61" w:rsidP="00172CB6">
      <w:pPr>
        <w:shd w:val="clear" w:color="auto" w:fill="FFFFFF"/>
        <w:spacing w:after="0" w:line="276" w:lineRule="auto"/>
        <w:ind w:firstLine="720"/>
        <w:jc w:val="both"/>
        <w:rPr>
          <w:rFonts w:cs="Times New Roman"/>
          <w:i/>
          <w:iCs/>
        </w:rPr>
      </w:pPr>
      <w:r w:rsidRPr="00D22308">
        <w:rPr>
          <w:rFonts w:cs="Times New Roman"/>
        </w:rPr>
        <w:t>[5.5]</w:t>
      </w:r>
      <w:r w:rsidR="001D216F">
        <w:rPr>
          <w:rFonts w:cs="Times New Roman"/>
        </w:rPr>
        <w:t> </w:t>
      </w:r>
      <w:r w:rsidRPr="00D22308">
        <w:rPr>
          <w:rFonts w:cs="Times New Roman"/>
        </w:rPr>
        <w:t>T</w:t>
      </w:r>
      <w:r w:rsidR="006E02ED" w:rsidRPr="00D22308">
        <w:rPr>
          <w:rFonts w:cs="Times New Roman"/>
        </w:rPr>
        <w:t>āpat</w:t>
      </w:r>
      <w:r w:rsidRPr="00D22308">
        <w:rPr>
          <w:rFonts w:cs="Times New Roman"/>
        </w:rPr>
        <w:t xml:space="preserve"> Senāts norāda, ka </w:t>
      </w:r>
      <w:r w:rsidR="00384B1E" w:rsidRPr="00D22308">
        <w:rPr>
          <w:rFonts w:cs="Times New Roman"/>
          <w:color w:val="000000" w:themeColor="text1"/>
        </w:rPr>
        <w:t xml:space="preserve">amatpersonas </w:t>
      </w:r>
      <w:r w:rsidR="00384B1E" w:rsidRPr="00D22308">
        <w:rPr>
          <w:rFonts w:cs="Times New Roman"/>
        </w:rPr>
        <w:t>pilnvaras veikt kriminālprocesu</w:t>
      </w:r>
      <w:r w:rsidR="00384B1E" w:rsidRPr="00D22308">
        <w:rPr>
          <w:rFonts w:cs="Times New Roman"/>
          <w:color w:val="000000" w:themeColor="text1"/>
        </w:rPr>
        <w:t xml:space="preserve"> </w:t>
      </w:r>
      <w:r w:rsidR="00B311C1" w:rsidRPr="00D22308">
        <w:rPr>
          <w:rFonts w:cs="Times New Roman"/>
          <w:color w:val="000000" w:themeColor="text1"/>
        </w:rPr>
        <w:t xml:space="preserve">neatņem </w:t>
      </w:r>
      <w:r w:rsidRPr="00D22308">
        <w:rPr>
          <w:rFonts w:cs="Times New Roman"/>
          <w:color w:val="000000" w:themeColor="text1"/>
        </w:rPr>
        <w:t>institucionālās piekritības pārkāpums</w:t>
      </w:r>
      <w:r w:rsidR="00384B1E" w:rsidRPr="00D22308">
        <w:rPr>
          <w:rFonts w:cs="Times New Roman"/>
          <w:color w:val="000000" w:themeColor="text1"/>
        </w:rPr>
        <w:t>, kas izpaudās tādējādi, ka</w:t>
      </w:r>
      <w:r w:rsidR="00B41E15" w:rsidRPr="00D22308">
        <w:rPr>
          <w:rFonts w:cs="Times New Roman"/>
          <w:color w:val="000000" w:themeColor="text1"/>
        </w:rPr>
        <w:t xml:space="preserve"> pēc kriminālprocesa uzsākšanas </w:t>
      </w:r>
      <w:r w:rsidR="00384B1E" w:rsidRPr="00D22308">
        <w:rPr>
          <w:rFonts w:cs="Times New Roman"/>
          <w:color w:val="000000" w:themeColor="text1"/>
        </w:rPr>
        <w:t xml:space="preserve">amatpersona </w:t>
      </w:r>
      <w:r w:rsidR="00B41E15" w:rsidRPr="00D22308">
        <w:rPr>
          <w:rFonts w:cs="Times New Roman"/>
          <w:color w:val="000000" w:themeColor="text1"/>
        </w:rPr>
        <w:t>turpināja veikt procesuālās darbības līdz krimināllietas materiālu nodošanai prokuroram kriminālvajāšanas uzsākšanai</w:t>
      </w:r>
      <w:r w:rsidRPr="00D22308">
        <w:rPr>
          <w:rFonts w:cs="Times New Roman"/>
        </w:rPr>
        <w:t>.</w:t>
      </w:r>
    </w:p>
    <w:p w14:paraId="1E4E821B" w14:textId="6B16194E" w:rsidR="00E012BF" w:rsidRPr="00F934EB" w:rsidRDefault="00E012BF" w:rsidP="00172CB6">
      <w:pPr>
        <w:shd w:val="clear" w:color="auto" w:fill="FFFFFF"/>
        <w:spacing w:after="0" w:line="276" w:lineRule="auto"/>
        <w:ind w:firstLine="720"/>
        <w:jc w:val="both"/>
        <w:rPr>
          <w:rFonts w:cs="Times New Roman"/>
        </w:rPr>
      </w:pPr>
      <w:r w:rsidRPr="00D22308">
        <w:rPr>
          <w:rFonts w:cs="Times New Roman"/>
        </w:rPr>
        <w:t xml:space="preserve">Senāts piekrīt tiesību zinātnē paustajam viedoklim, ka, apskatot šo pieļaujamības aspektu, ir jāpārbauda šādi kritēriji: vai amatpersona ir pilnvarota veikt kriminālprocesu un vai tai noteiktas kompetences robežas </w:t>
      </w:r>
      <w:r w:rsidRPr="00F934EB">
        <w:rPr>
          <w:rFonts w:cs="Times New Roman"/>
        </w:rPr>
        <w:t xml:space="preserve">konkrētās procesuālas darbības veikšanā </w:t>
      </w:r>
      <w:r w:rsidRPr="00F934EB">
        <w:rPr>
          <w:rFonts w:cs="Times New Roman"/>
          <w:color w:val="000000"/>
          <w:szCs w:val="24"/>
        </w:rPr>
        <w:t>(</w:t>
      </w:r>
      <w:r w:rsidRPr="00F934EB">
        <w:rPr>
          <w:rFonts w:cs="Times New Roman"/>
          <w:i/>
          <w:iCs/>
          <w:color w:val="000000"/>
          <w:szCs w:val="24"/>
        </w:rPr>
        <w:t>Strada</w:t>
      </w:r>
      <w:r w:rsidR="00D013E3" w:rsidRPr="00F934EB">
        <w:rPr>
          <w:rFonts w:cs="Times New Roman"/>
          <w:i/>
          <w:iCs/>
          <w:color w:val="000000"/>
          <w:szCs w:val="24"/>
        </w:rPr>
        <w:noBreakHyphen/>
      </w:r>
      <w:r w:rsidRPr="00F934EB">
        <w:rPr>
          <w:rFonts w:cs="Times New Roman"/>
          <w:i/>
          <w:iCs/>
          <w:color w:val="000000"/>
          <w:szCs w:val="24"/>
        </w:rPr>
        <w:t>Rozenberga</w:t>
      </w:r>
      <w:r w:rsidR="00D013E3" w:rsidRPr="00F934EB">
        <w:rPr>
          <w:rFonts w:cs="Times New Roman"/>
          <w:i/>
          <w:iCs/>
          <w:color w:val="000000"/>
          <w:szCs w:val="24"/>
        </w:rPr>
        <w:t> </w:t>
      </w:r>
      <w:r w:rsidRPr="00F934EB">
        <w:rPr>
          <w:rFonts w:cs="Times New Roman"/>
          <w:i/>
          <w:iCs/>
          <w:color w:val="000000"/>
          <w:szCs w:val="24"/>
        </w:rPr>
        <w:t xml:space="preserve">K. Pierādīšanas teorija kriminālprocesā. Vispārīgā daļa. </w:t>
      </w:r>
      <w:r w:rsidR="00952D55" w:rsidRPr="00F934EB">
        <w:rPr>
          <w:rFonts w:cs="Times New Roman"/>
          <w:i/>
          <w:iCs/>
          <w:color w:val="000000"/>
          <w:szCs w:val="24"/>
        </w:rPr>
        <w:t>Rīga</w:t>
      </w:r>
      <w:r w:rsidR="00952D55">
        <w:rPr>
          <w:rFonts w:cs="Times New Roman"/>
          <w:i/>
          <w:iCs/>
          <w:color w:val="000000"/>
          <w:szCs w:val="24"/>
        </w:rPr>
        <w:t>:</w:t>
      </w:r>
      <w:r w:rsidR="00952D55" w:rsidRPr="00F934EB">
        <w:rPr>
          <w:rFonts w:cs="Times New Roman"/>
          <w:i/>
          <w:iCs/>
          <w:color w:val="000000"/>
          <w:szCs w:val="24"/>
        </w:rPr>
        <w:t xml:space="preserve"> </w:t>
      </w:r>
      <w:r w:rsidRPr="00F934EB">
        <w:rPr>
          <w:rFonts w:cs="Times New Roman"/>
          <w:i/>
          <w:iCs/>
          <w:color w:val="000000"/>
          <w:szCs w:val="24"/>
        </w:rPr>
        <w:t>Biznesa augstskola Turība, 2002, 99. lpp., Strada</w:t>
      </w:r>
      <w:r w:rsidR="00D013E3" w:rsidRPr="00F934EB">
        <w:rPr>
          <w:rFonts w:cs="Times New Roman"/>
          <w:i/>
          <w:iCs/>
          <w:color w:val="000000"/>
          <w:szCs w:val="24"/>
        </w:rPr>
        <w:noBreakHyphen/>
      </w:r>
      <w:r w:rsidRPr="00F934EB">
        <w:rPr>
          <w:rFonts w:cs="Times New Roman"/>
          <w:i/>
          <w:iCs/>
          <w:color w:val="000000"/>
          <w:szCs w:val="24"/>
        </w:rPr>
        <w:t>Rozenberga</w:t>
      </w:r>
      <w:r w:rsidR="00D013E3" w:rsidRPr="00F934EB">
        <w:rPr>
          <w:rFonts w:cs="Times New Roman"/>
          <w:i/>
          <w:iCs/>
          <w:color w:val="000000"/>
          <w:szCs w:val="24"/>
        </w:rPr>
        <w:t> </w:t>
      </w:r>
      <w:r w:rsidRPr="00F934EB">
        <w:rPr>
          <w:rFonts w:cs="Times New Roman"/>
          <w:i/>
          <w:iCs/>
          <w:color w:val="000000"/>
          <w:szCs w:val="24"/>
        </w:rPr>
        <w:t xml:space="preserve">K. </w:t>
      </w:r>
      <w:r w:rsidR="00F934EB" w:rsidRPr="00F934EB">
        <w:rPr>
          <w:rFonts w:cs="Times New Roman"/>
          <w:i/>
          <w:iCs/>
          <w:color w:val="000000"/>
          <w:szCs w:val="24"/>
        </w:rPr>
        <w:t xml:space="preserve">130. panta komentārs. </w:t>
      </w:r>
      <w:proofErr w:type="spellStart"/>
      <w:r w:rsidR="00F934EB" w:rsidRPr="00F934EB">
        <w:rPr>
          <w:rFonts w:cs="Times New Roman"/>
          <w:i/>
          <w:iCs/>
          <w:color w:val="000000"/>
          <w:szCs w:val="24"/>
        </w:rPr>
        <w:t>Grām</w:t>
      </w:r>
      <w:proofErr w:type="spellEnd"/>
      <w:r w:rsidR="00F934EB" w:rsidRPr="00F934EB">
        <w:rPr>
          <w:rFonts w:cs="Times New Roman"/>
          <w:i/>
          <w:iCs/>
          <w:color w:val="000000"/>
          <w:szCs w:val="24"/>
        </w:rPr>
        <w:t xml:space="preserve">.: </w:t>
      </w:r>
      <w:r w:rsidRPr="00F934EB">
        <w:rPr>
          <w:rFonts w:cs="Times New Roman"/>
          <w:i/>
          <w:iCs/>
          <w:color w:val="000000"/>
          <w:szCs w:val="24"/>
        </w:rPr>
        <w:t>Kriminālprocesa likuma komentāri. A</w:t>
      </w:r>
      <w:r w:rsidR="00F934EB" w:rsidRPr="00F934EB">
        <w:rPr>
          <w:rFonts w:cs="Times New Roman"/>
          <w:i/>
          <w:iCs/>
          <w:color w:val="000000"/>
          <w:szCs w:val="24"/>
        </w:rPr>
        <w:t> </w:t>
      </w:r>
      <w:r w:rsidRPr="00F934EB">
        <w:rPr>
          <w:rFonts w:cs="Times New Roman"/>
          <w:i/>
          <w:iCs/>
          <w:color w:val="000000"/>
          <w:szCs w:val="24"/>
        </w:rPr>
        <w:t xml:space="preserve">daļa. </w:t>
      </w:r>
      <w:r w:rsidR="00F934EB" w:rsidRPr="00F934EB">
        <w:rPr>
          <w:i/>
          <w:iCs/>
        </w:rPr>
        <w:t>Zinātniska monogrāfija prof. K. </w:t>
      </w:r>
      <w:proofErr w:type="spellStart"/>
      <w:r w:rsidR="00F934EB" w:rsidRPr="00F934EB">
        <w:rPr>
          <w:i/>
          <w:iCs/>
        </w:rPr>
        <w:t>Stradas</w:t>
      </w:r>
      <w:proofErr w:type="spellEnd"/>
      <w:r w:rsidR="00F934EB" w:rsidRPr="00F934EB">
        <w:rPr>
          <w:i/>
          <w:iCs/>
        </w:rPr>
        <w:noBreakHyphen/>
        <w:t xml:space="preserve">Rozenbergas zinātniskā redakcijā. </w:t>
      </w:r>
      <w:r w:rsidRPr="00F934EB">
        <w:rPr>
          <w:rFonts w:cs="Times New Roman"/>
          <w:i/>
          <w:iCs/>
          <w:color w:val="000000"/>
          <w:szCs w:val="24"/>
        </w:rPr>
        <w:t xml:space="preserve">Rīga: Latvijas Vēstnesis, </w:t>
      </w:r>
      <w:r w:rsidR="00F934EB" w:rsidRPr="00F934EB">
        <w:rPr>
          <w:rFonts w:cs="Times New Roman"/>
          <w:i/>
          <w:iCs/>
          <w:color w:val="000000"/>
          <w:szCs w:val="24"/>
        </w:rPr>
        <w:t xml:space="preserve">2019, </w:t>
      </w:r>
      <w:r w:rsidRPr="00F934EB">
        <w:rPr>
          <w:rFonts w:cs="Times New Roman"/>
          <w:i/>
          <w:iCs/>
          <w:color w:val="000000"/>
          <w:szCs w:val="24"/>
        </w:rPr>
        <w:t>441. lpp.</w:t>
      </w:r>
      <w:r w:rsidRPr="00F934EB">
        <w:rPr>
          <w:rFonts w:cs="Times New Roman"/>
          <w:color w:val="000000"/>
          <w:szCs w:val="24"/>
        </w:rPr>
        <w:t>)</w:t>
      </w:r>
      <w:r w:rsidRPr="00F934EB">
        <w:rPr>
          <w:rFonts w:cs="Times New Roman"/>
        </w:rPr>
        <w:t>.</w:t>
      </w:r>
    </w:p>
    <w:p w14:paraId="44E1F7A3" w14:textId="77777777" w:rsidR="00E012BF" w:rsidRPr="00D22308" w:rsidRDefault="00E012BF" w:rsidP="00172CB6">
      <w:pPr>
        <w:shd w:val="clear" w:color="auto" w:fill="FFFFFF"/>
        <w:spacing w:after="0" w:line="276" w:lineRule="auto"/>
        <w:ind w:firstLine="720"/>
        <w:jc w:val="both"/>
        <w:rPr>
          <w:rFonts w:cs="Times New Roman"/>
          <w:color w:val="000000" w:themeColor="text1"/>
        </w:rPr>
      </w:pPr>
      <w:r w:rsidRPr="00F934EB">
        <w:rPr>
          <w:rFonts w:cs="Times New Roman"/>
        </w:rPr>
        <w:t>Kriminālprocesa likuma 26. panta pirmā daļa noteic</w:t>
      </w:r>
      <w:r w:rsidRPr="00F934EB">
        <w:rPr>
          <w:rFonts w:cs="Times New Roman"/>
          <w:color w:val="000000" w:themeColor="text1"/>
        </w:rPr>
        <w:t>, ka</w:t>
      </w:r>
      <w:r w:rsidRPr="00D22308">
        <w:rPr>
          <w:rFonts w:cs="Times New Roman"/>
          <w:color w:val="000000" w:themeColor="text1"/>
        </w:rPr>
        <w:t xml:space="preserve"> pilnvaras veikt kriminālprocesu valsts vārdā ir tikai Kriminālprocesa likumā noteikto iestāžu amatpersonām, kurām tās piešķirtas sakarā ar šo personu ieņemamo amatu, iestādes vadītāja rīkojumu vai kriminālprocesa virzītāja lēmumu. Šī panta otrā daļa noteic to personu loku, kurām ir pilnvaras konkrētajā kriminālprocesā.</w:t>
      </w:r>
    </w:p>
    <w:p w14:paraId="15E59402" w14:textId="3B1D9D10" w:rsidR="00384B1E" w:rsidRPr="00D22308" w:rsidRDefault="00E012BF" w:rsidP="00172CB6">
      <w:pPr>
        <w:shd w:val="clear" w:color="auto" w:fill="FFFFFF"/>
        <w:spacing w:after="0" w:line="276" w:lineRule="auto"/>
        <w:ind w:firstLine="720"/>
        <w:jc w:val="both"/>
        <w:rPr>
          <w:rFonts w:cs="Times New Roman"/>
        </w:rPr>
      </w:pPr>
      <w:r w:rsidRPr="00D22308">
        <w:rPr>
          <w:rFonts w:cs="Times New Roman"/>
          <w:color w:val="000000" w:themeColor="text1"/>
        </w:rPr>
        <w:t xml:space="preserve">Katrai no šīm amatpersonām ir sava kompetence kriminālprocesa veikšanā. Šo amatpersonu kompetence noteikta Kriminālprocesa likumā no </w:t>
      </w:r>
      <w:r w:rsidRPr="002651DC">
        <w:rPr>
          <w:rFonts w:cs="Times New Roman"/>
          <w:color w:val="000000" w:themeColor="text1"/>
        </w:rPr>
        <w:t>26.</w:t>
      </w:r>
      <w:r w:rsidRPr="002651DC">
        <w:rPr>
          <w:rFonts w:cs="Times New Roman"/>
          <w:color w:val="000000" w:themeColor="text1"/>
          <w:vertAlign w:val="superscript"/>
        </w:rPr>
        <w:t>1</w:t>
      </w:r>
      <w:r w:rsidRPr="00D22308">
        <w:rPr>
          <w:rFonts w:cs="Times New Roman"/>
          <w:color w:val="000000" w:themeColor="text1"/>
        </w:rPr>
        <w:t> panta līdz 49. pantam</w:t>
      </w:r>
      <w:r w:rsidR="00F82258" w:rsidRPr="00D22308">
        <w:rPr>
          <w:rFonts w:cs="Times New Roman"/>
          <w:color w:val="000000" w:themeColor="text1"/>
        </w:rPr>
        <w:t xml:space="preserve">, </w:t>
      </w:r>
      <w:r w:rsidR="00106141" w:rsidRPr="00D22308">
        <w:rPr>
          <w:rFonts w:cs="Times New Roman"/>
          <w:color w:val="000000" w:themeColor="text1"/>
        </w:rPr>
        <w:t xml:space="preserve">un tā nav </w:t>
      </w:r>
      <w:r w:rsidR="00106141" w:rsidRPr="002651DC">
        <w:rPr>
          <w:rFonts w:cs="Times New Roman"/>
        </w:rPr>
        <w:t>saistīta</w:t>
      </w:r>
      <w:r w:rsidR="00384B1E" w:rsidRPr="002651DC">
        <w:rPr>
          <w:rFonts w:cs="Times New Roman"/>
        </w:rPr>
        <w:t xml:space="preserve"> ar </w:t>
      </w:r>
      <w:r w:rsidR="002651DC" w:rsidRPr="002651DC">
        <w:rPr>
          <w:rFonts w:cs="Times New Roman"/>
        </w:rPr>
        <w:t xml:space="preserve">minēto amatpersonu </w:t>
      </w:r>
      <w:r w:rsidR="00384B1E" w:rsidRPr="002651DC">
        <w:rPr>
          <w:rFonts w:cs="Times New Roman"/>
        </w:rPr>
        <w:t xml:space="preserve">institucionālo </w:t>
      </w:r>
      <w:r w:rsidR="002651DC" w:rsidRPr="002651DC">
        <w:rPr>
          <w:rFonts w:cs="Times New Roman"/>
        </w:rPr>
        <w:t>pie</w:t>
      </w:r>
      <w:r w:rsidR="002651DC">
        <w:rPr>
          <w:rFonts w:cs="Times New Roman"/>
        </w:rPr>
        <w:t>derību</w:t>
      </w:r>
      <w:r w:rsidR="00384B1E" w:rsidRPr="00D22308">
        <w:rPr>
          <w:rFonts w:cs="Times New Roman"/>
        </w:rPr>
        <w:t>.</w:t>
      </w:r>
    </w:p>
    <w:p w14:paraId="791647C4" w14:textId="618854EF" w:rsidR="00384B1E" w:rsidRPr="001358CE" w:rsidRDefault="00106141" w:rsidP="00172CB6">
      <w:pPr>
        <w:shd w:val="clear" w:color="auto" w:fill="FFFFFF"/>
        <w:spacing w:after="0" w:line="276" w:lineRule="auto"/>
        <w:ind w:firstLine="720"/>
        <w:jc w:val="both"/>
        <w:rPr>
          <w:rFonts w:cs="Times New Roman"/>
        </w:rPr>
      </w:pPr>
      <w:r w:rsidRPr="00D22308">
        <w:rPr>
          <w:rFonts w:cs="Times New Roman"/>
        </w:rPr>
        <w:t xml:space="preserve">Turklāt no lietas materiāliem izriet, ka </w:t>
      </w:r>
      <w:r w:rsidR="00F82258" w:rsidRPr="00D22308">
        <w:rPr>
          <w:rFonts w:cs="Times New Roman"/>
          <w:color w:val="000000"/>
          <w:lang w:eastAsia="lv-LV"/>
        </w:rPr>
        <w:t>Nodokļu un muitas policijas amatpersona uzsākot kriminālprocesu par to ir paziņojusi Dienvidkurzemes prokuratūras uzraugošajam prokuroram. Atbilstoši Kriminālprocesa likuma 37. panta trešās daļas 2. punktam izmeklēšanu uzraugošam prokuroram ir tiesības dod norādījumus</w:t>
      </w:r>
      <w:r w:rsidR="007040EF" w:rsidRPr="00D22308">
        <w:rPr>
          <w:rFonts w:cs="Times New Roman"/>
          <w:color w:val="000000"/>
          <w:lang w:eastAsia="lv-LV"/>
        </w:rPr>
        <w:t>, tai skaitā</w:t>
      </w:r>
      <w:r w:rsidR="00F82258" w:rsidRPr="00D22308">
        <w:rPr>
          <w:rFonts w:cs="Times New Roman"/>
          <w:color w:val="000000"/>
          <w:lang w:eastAsia="lv-LV"/>
        </w:rPr>
        <w:t xml:space="preserve"> par lietas nosūtīšanu pēc piekritības Valsts policijai. </w:t>
      </w:r>
      <w:r w:rsidR="007040EF" w:rsidRPr="00D22308">
        <w:rPr>
          <w:rFonts w:cs="Times New Roman"/>
          <w:color w:val="000000"/>
          <w:lang w:eastAsia="lv-LV"/>
        </w:rPr>
        <w:t>Iebildumi n</w:t>
      </w:r>
      <w:r w:rsidR="00F82258" w:rsidRPr="00D22308">
        <w:rPr>
          <w:rFonts w:cs="Times New Roman"/>
          <w:color w:val="000000"/>
          <w:lang w:eastAsia="lv-LV"/>
        </w:rPr>
        <w:t xml:space="preserve">o uzraugošā prokurora, kas turpmāk pārņēma kriminālprocesu, netika </w:t>
      </w:r>
      <w:r w:rsidR="00F82258" w:rsidRPr="001358CE">
        <w:rPr>
          <w:rFonts w:cs="Times New Roman"/>
          <w:lang w:eastAsia="lv-LV"/>
        </w:rPr>
        <w:t>saņemti.</w:t>
      </w:r>
    </w:p>
    <w:p w14:paraId="5D416B2F" w14:textId="77777777" w:rsidR="00D63BBB" w:rsidRPr="001358CE" w:rsidRDefault="00D63BBB" w:rsidP="00172CB6">
      <w:pPr>
        <w:widowControl w:val="0"/>
        <w:tabs>
          <w:tab w:val="left" w:pos="1710"/>
        </w:tabs>
        <w:suppressAutoHyphens/>
        <w:spacing w:after="0" w:line="276" w:lineRule="auto"/>
        <w:ind w:firstLine="720"/>
        <w:contextualSpacing/>
        <w:jc w:val="both"/>
        <w:rPr>
          <w:rFonts w:cs="Times New Roman"/>
          <w:bCs/>
        </w:rPr>
      </w:pPr>
    </w:p>
    <w:p w14:paraId="6079EC3B" w14:textId="21DBBAA9" w:rsidR="00332482" w:rsidRPr="00D013E3" w:rsidRDefault="003F3A72" w:rsidP="00172CB6">
      <w:pPr>
        <w:widowControl w:val="0"/>
        <w:tabs>
          <w:tab w:val="left" w:pos="1710"/>
        </w:tabs>
        <w:suppressAutoHyphens/>
        <w:spacing w:after="0" w:line="276" w:lineRule="auto"/>
        <w:ind w:firstLine="720"/>
        <w:contextualSpacing/>
        <w:jc w:val="both"/>
        <w:rPr>
          <w:rFonts w:cs="Times New Roman"/>
          <w:bCs/>
        </w:rPr>
      </w:pPr>
      <w:r w:rsidRPr="00D22308">
        <w:rPr>
          <w:rFonts w:cs="Times New Roman"/>
          <w:bCs/>
        </w:rPr>
        <w:t>[6] </w:t>
      </w:r>
      <w:r w:rsidR="00332482" w:rsidRPr="00D22308">
        <w:rPr>
          <w:rFonts w:cs="Times New Roman"/>
        </w:rPr>
        <w:t xml:space="preserve">Apsūdzētajam </w:t>
      </w:r>
      <w:r w:rsidR="00373AB6">
        <w:rPr>
          <w:rFonts w:cs="Times New Roman"/>
          <w:szCs w:val="24"/>
        </w:rPr>
        <w:t>[pers. A]</w:t>
      </w:r>
      <w:r w:rsidR="00332482" w:rsidRPr="00D22308">
        <w:rPr>
          <w:rFonts w:cs="Times New Roman"/>
        </w:rPr>
        <w:t xml:space="preserve"> lietā piemērots drošības līdzeklis – dzīvesvietas maiņas paziņošana. </w:t>
      </w:r>
      <w:r w:rsidR="00863C8A" w:rsidRPr="00D22308">
        <w:rPr>
          <w:rFonts w:cs="Times New Roman"/>
          <w:szCs w:val="24"/>
        </w:rPr>
        <w:t>Ar apelācijas instances tiesas attaisnojošo</w:t>
      </w:r>
      <w:r w:rsidR="002A382E" w:rsidRPr="00D22308">
        <w:rPr>
          <w:rFonts w:cs="Times New Roman"/>
          <w:szCs w:val="24"/>
        </w:rPr>
        <w:t xml:space="preserve"> </w:t>
      </w:r>
      <w:r w:rsidR="00863C8A" w:rsidRPr="00D22308">
        <w:rPr>
          <w:rFonts w:cs="Times New Roman"/>
          <w:szCs w:val="24"/>
        </w:rPr>
        <w:t xml:space="preserve">spriedumu </w:t>
      </w:r>
      <w:r w:rsidR="00373AB6">
        <w:rPr>
          <w:rFonts w:cs="Times New Roman"/>
          <w:szCs w:val="24"/>
        </w:rPr>
        <w:t>[pers. A]</w:t>
      </w:r>
      <w:r w:rsidR="00863C8A" w:rsidRPr="00D22308">
        <w:rPr>
          <w:rFonts w:cs="Times New Roman"/>
          <w:szCs w:val="24"/>
        </w:rPr>
        <w:t xml:space="preserve"> piemērotais drošības līdzeklis – </w:t>
      </w:r>
      <w:r w:rsidR="00863C8A" w:rsidRPr="00D22308">
        <w:rPr>
          <w:rFonts w:cs="Times New Roman"/>
        </w:rPr>
        <w:t>dzīvesvietas maiņas paziņošana</w:t>
      </w:r>
      <w:r w:rsidR="00863C8A" w:rsidRPr="00D22308">
        <w:rPr>
          <w:rFonts w:cs="Times New Roman"/>
          <w:szCs w:val="24"/>
        </w:rPr>
        <w:t xml:space="preserve"> – ir </w:t>
      </w:r>
      <w:r w:rsidR="00863C8A" w:rsidRPr="00D013E3">
        <w:rPr>
          <w:rFonts w:cs="Times New Roman"/>
          <w:szCs w:val="24"/>
        </w:rPr>
        <w:t>atcelts.</w:t>
      </w:r>
    </w:p>
    <w:p w14:paraId="1C8F5610" w14:textId="2A98EA76" w:rsidR="00863C8A" w:rsidRPr="00D013E3" w:rsidRDefault="00863C8A" w:rsidP="00172CB6">
      <w:pPr>
        <w:spacing w:after="0" w:line="276" w:lineRule="auto"/>
        <w:ind w:firstLine="720"/>
        <w:jc w:val="both"/>
        <w:rPr>
          <w:rFonts w:cs="Times New Roman"/>
          <w:szCs w:val="24"/>
        </w:rPr>
      </w:pPr>
      <w:r w:rsidRPr="00D013E3">
        <w:rPr>
          <w:rFonts w:cs="Times New Roman"/>
          <w:szCs w:val="24"/>
        </w:rPr>
        <w:t>Senāts atzīst, ka drošības līdzekļa piemērošanai apsūdzētajam šajā kriminālprocesa stadijā nav tiesiska pamata.</w:t>
      </w:r>
    </w:p>
    <w:p w14:paraId="5E8166D6" w14:textId="49D07F8B" w:rsidR="00445F89" w:rsidRPr="00D22308" w:rsidRDefault="00445F89" w:rsidP="00172CB6">
      <w:pPr>
        <w:tabs>
          <w:tab w:val="left" w:pos="1710"/>
        </w:tabs>
        <w:spacing w:after="0" w:line="276" w:lineRule="auto"/>
        <w:ind w:firstLine="720"/>
        <w:jc w:val="both"/>
        <w:rPr>
          <w:rFonts w:cs="Times New Roman"/>
          <w:szCs w:val="24"/>
        </w:rPr>
      </w:pPr>
    </w:p>
    <w:p w14:paraId="49D3B073" w14:textId="25531802" w:rsidR="00581AA6" w:rsidRPr="00D22308" w:rsidRDefault="00F43AEE" w:rsidP="00172CB6">
      <w:pPr>
        <w:spacing w:after="0" w:line="276" w:lineRule="auto"/>
        <w:jc w:val="center"/>
        <w:rPr>
          <w:rFonts w:eastAsia="Times New Roman" w:cs="Times New Roman"/>
          <w:b/>
          <w:szCs w:val="24"/>
        </w:rPr>
      </w:pPr>
      <w:r w:rsidRPr="00D22308">
        <w:rPr>
          <w:rFonts w:eastAsia="Times New Roman" w:cs="Times New Roman"/>
          <w:b/>
          <w:szCs w:val="24"/>
        </w:rPr>
        <w:lastRenderedPageBreak/>
        <w:t>Rezolutīvā daļa</w:t>
      </w:r>
    </w:p>
    <w:p w14:paraId="7FCCBD4B" w14:textId="77777777" w:rsidR="00445F89" w:rsidRPr="00D22308" w:rsidRDefault="00445F89" w:rsidP="00172CB6">
      <w:pPr>
        <w:spacing w:after="0" w:line="276" w:lineRule="auto"/>
        <w:ind w:firstLine="720"/>
        <w:jc w:val="center"/>
        <w:rPr>
          <w:rFonts w:eastAsia="Times New Roman" w:cs="Times New Roman"/>
          <w:b/>
          <w:szCs w:val="24"/>
        </w:rPr>
      </w:pPr>
    </w:p>
    <w:p w14:paraId="1D503023" w14:textId="527388A1" w:rsidR="00F43AEE" w:rsidRDefault="00F43AEE" w:rsidP="00172CB6">
      <w:pPr>
        <w:spacing w:after="0" w:line="276" w:lineRule="auto"/>
        <w:ind w:firstLine="720"/>
        <w:jc w:val="both"/>
        <w:rPr>
          <w:rFonts w:eastAsia="Times New Roman" w:cs="Times New Roman"/>
          <w:bCs/>
          <w:szCs w:val="24"/>
        </w:rPr>
      </w:pPr>
      <w:r w:rsidRPr="00D22308">
        <w:rPr>
          <w:rFonts w:eastAsia="Times New Roman" w:cs="Times New Roman"/>
          <w:szCs w:val="24"/>
        </w:rPr>
        <w:t>P</w:t>
      </w:r>
      <w:r w:rsidRPr="00D22308">
        <w:rPr>
          <w:rFonts w:eastAsia="Times New Roman" w:cs="Times New Roman"/>
          <w:bCs/>
          <w:szCs w:val="24"/>
        </w:rPr>
        <w:t>amatojoties uz Kriminālprocesa likuma 585.</w:t>
      </w:r>
      <w:r w:rsidR="00FC0F7F" w:rsidRPr="00D22308">
        <w:rPr>
          <w:rFonts w:eastAsia="Times New Roman" w:cs="Times New Roman"/>
          <w:bCs/>
          <w:szCs w:val="24"/>
        </w:rPr>
        <w:t> </w:t>
      </w:r>
      <w:r w:rsidR="00726F35" w:rsidRPr="00D22308">
        <w:rPr>
          <w:rFonts w:eastAsia="Times New Roman" w:cs="Times New Roman"/>
          <w:bCs/>
          <w:szCs w:val="24"/>
        </w:rPr>
        <w:t>pantu</w:t>
      </w:r>
      <w:r w:rsidRPr="00D22308">
        <w:rPr>
          <w:rFonts w:eastAsia="Times New Roman" w:cs="Times New Roman"/>
          <w:bCs/>
          <w:szCs w:val="24"/>
        </w:rPr>
        <w:t xml:space="preserve"> un 587.</w:t>
      </w:r>
      <w:r w:rsidR="00D013E3">
        <w:rPr>
          <w:rFonts w:eastAsia="Times New Roman" w:cs="Times New Roman"/>
          <w:bCs/>
          <w:szCs w:val="24"/>
        </w:rPr>
        <w:t> </w:t>
      </w:r>
      <w:r w:rsidRPr="00D22308">
        <w:rPr>
          <w:rFonts w:eastAsia="Times New Roman" w:cs="Times New Roman"/>
          <w:bCs/>
          <w:szCs w:val="24"/>
        </w:rPr>
        <w:t>pant</w:t>
      </w:r>
      <w:r w:rsidR="00726F35" w:rsidRPr="00D22308">
        <w:rPr>
          <w:rFonts w:eastAsia="Times New Roman" w:cs="Times New Roman"/>
          <w:bCs/>
          <w:szCs w:val="24"/>
        </w:rPr>
        <w:t>a pirmās daļas 2.</w:t>
      </w:r>
      <w:r w:rsidR="00D013E3">
        <w:rPr>
          <w:rFonts w:eastAsia="Times New Roman" w:cs="Times New Roman"/>
          <w:bCs/>
          <w:szCs w:val="24"/>
        </w:rPr>
        <w:t> </w:t>
      </w:r>
      <w:r w:rsidR="00726F35" w:rsidRPr="00D22308">
        <w:rPr>
          <w:rFonts w:eastAsia="Times New Roman" w:cs="Times New Roman"/>
          <w:bCs/>
          <w:szCs w:val="24"/>
        </w:rPr>
        <w:t>punktu</w:t>
      </w:r>
      <w:r w:rsidRPr="00D22308">
        <w:rPr>
          <w:rFonts w:eastAsia="Times New Roman" w:cs="Times New Roman"/>
          <w:bCs/>
          <w:szCs w:val="24"/>
        </w:rPr>
        <w:t xml:space="preserve">, </w:t>
      </w:r>
      <w:r w:rsidR="00285F1D" w:rsidRPr="00D22308">
        <w:rPr>
          <w:rFonts w:eastAsia="Times New Roman" w:cs="Times New Roman"/>
          <w:bCs/>
          <w:szCs w:val="24"/>
        </w:rPr>
        <w:t>Senāts</w:t>
      </w:r>
    </w:p>
    <w:p w14:paraId="2A101DFE" w14:textId="77777777" w:rsidR="00BD3364" w:rsidRPr="00172CB6" w:rsidRDefault="00BD3364" w:rsidP="00172CB6">
      <w:pPr>
        <w:spacing w:after="0" w:line="276" w:lineRule="auto"/>
        <w:jc w:val="center"/>
        <w:rPr>
          <w:rFonts w:eastAsia="Times New Roman" w:cs="Times New Roman"/>
          <w:bCs/>
          <w:szCs w:val="24"/>
          <w:lang w:eastAsia="lv-LV"/>
        </w:rPr>
      </w:pPr>
    </w:p>
    <w:p w14:paraId="3910D920" w14:textId="77777777" w:rsidR="00172CB6" w:rsidRPr="00172CB6" w:rsidRDefault="00172CB6" w:rsidP="00172CB6">
      <w:pPr>
        <w:spacing w:after="0" w:line="276" w:lineRule="auto"/>
        <w:jc w:val="center"/>
        <w:rPr>
          <w:rFonts w:eastAsia="Times New Roman" w:cs="Times New Roman"/>
          <w:bCs/>
          <w:szCs w:val="24"/>
          <w:lang w:eastAsia="lv-LV"/>
        </w:rPr>
      </w:pPr>
    </w:p>
    <w:p w14:paraId="326410B3" w14:textId="77777777" w:rsidR="00172CB6" w:rsidRPr="00172CB6" w:rsidRDefault="00172CB6" w:rsidP="00172CB6">
      <w:pPr>
        <w:spacing w:after="0" w:line="276" w:lineRule="auto"/>
        <w:jc w:val="center"/>
        <w:rPr>
          <w:rFonts w:eastAsia="Times New Roman" w:cs="Times New Roman"/>
          <w:bCs/>
          <w:szCs w:val="24"/>
          <w:lang w:eastAsia="lv-LV"/>
        </w:rPr>
      </w:pPr>
    </w:p>
    <w:p w14:paraId="2385D0FB" w14:textId="0E3889EE" w:rsidR="00F43AEE" w:rsidRPr="00D22308" w:rsidRDefault="003F3A72" w:rsidP="00172CB6">
      <w:pPr>
        <w:spacing w:after="0" w:line="276" w:lineRule="auto"/>
        <w:jc w:val="center"/>
        <w:rPr>
          <w:rFonts w:eastAsia="Times New Roman" w:cs="Times New Roman"/>
          <w:b/>
          <w:szCs w:val="24"/>
          <w:lang w:eastAsia="lv-LV"/>
        </w:rPr>
      </w:pPr>
      <w:r w:rsidRPr="00D22308">
        <w:rPr>
          <w:rFonts w:eastAsia="Times New Roman" w:cs="Times New Roman"/>
          <w:b/>
          <w:szCs w:val="24"/>
          <w:lang w:eastAsia="lv-LV"/>
        </w:rPr>
        <w:t>n</w:t>
      </w:r>
      <w:r w:rsidR="00F43AEE" w:rsidRPr="00D22308">
        <w:rPr>
          <w:rFonts w:eastAsia="Times New Roman" w:cs="Times New Roman"/>
          <w:b/>
          <w:szCs w:val="24"/>
          <w:lang w:eastAsia="lv-LV"/>
        </w:rPr>
        <w:t>olēma</w:t>
      </w:r>
    </w:p>
    <w:p w14:paraId="40FA566A" w14:textId="77777777" w:rsidR="00266224" w:rsidRPr="00D22308" w:rsidRDefault="00266224" w:rsidP="00172CB6">
      <w:pPr>
        <w:spacing w:after="0" w:line="276" w:lineRule="auto"/>
        <w:ind w:firstLine="720"/>
        <w:jc w:val="center"/>
        <w:rPr>
          <w:rFonts w:eastAsia="Times New Roman" w:cs="Times New Roman"/>
          <w:b/>
          <w:szCs w:val="24"/>
          <w:lang w:eastAsia="lv-LV"/>
        </w:rPr>
      </w:pPr>
    </w:p>
    <w:p w14:paraId="1955DF8F" w14:textId="33D96815" w:rsidR="003F3A72" w:rsidRPr="00D22308" w:rsidRDefault="00266224" w:rsidP="00172CB6">
      <w:pPr>
        <w:tabs>
          <w:tab w:val="left" w:pos="1710"/>
        </w:tabs>
        <w:spacing w:after="0" w:line="276" w:lineRule="auto"/>
        <w:ind w:firstLine="720"/>
        <w:jc w:val="both"/>
        <w:rPr>
          <w:rFonts w:cs="Times New Roman"/>
          <w:szCs w:val="24"/>
        </w:rPr>
      </w:pPr>
      <w:r w:rsidRPr="00D22308">
        <w:rPr>
          <w:rFonts w:cs="Times New Roman"/>
          <w:szCs w:val="24"/>
        </w:rPr>
        <w:t>atcelt Kurzemes apgabaltiesas 2024. gada 29. aprīļa spriedumu</w:t>
      </w:r>
      <w:r w:rsidR="003F3A72" w:rsidRPr="00D22308">
        <w:rPr>
          <w:rFonts w:cs="Times New Roman"/>
          <w:szCs w:val="24"/>
        </w:rPr>
        <w:t xml:space="preserve"> </w:t>
      </w:r>
      <w:r w:rsidR="001D216F">
        <w:rPr>
          <w:rFonts w:cs="Times New Roman"/>
          <w:szCs w:val="24"/>
        </w:rPr>
        <w:t>pilnīb</w:t>
      </w:r>
      <w:r w:rsidR="00D013E3">
        <w:rPr>
          <w:rFonts w:cs="Times New Roman"/>
          <w:szCs w:val="24"/>
        </w:rPr>
        <w:t>ā</w:t>
      </w:r>
      <w:r w:rsidR="003F3A72" w:rsidRPr="00D22308">
        <w:rPr>
          <w:rFonts w:cs="Times New Roman"/>
          <w:szCs w:val="24"/>
        </w:rPr>
        <w:t>;</w:t>
      </w:r>
    </w:p>
    <w:p w14:paraId="45534798" w14:textId="7147BA2E" w:rsidR="00266224" w:rsidRPr="00D22308" w:rsidRDefault="003F3A72" w:rsidP="00172CB6">
      <w:pPr>
        <w:tabs>
          <w:tab w:val="left" w:pos="1710"/>
        </w:tabs>
        <w:spacing w:after="0" w:line="276" w:lineRule="auto"/>
        <w:ind w:firstLine="720"/>
        <w:jc w:val="both"/>
        <w:rPr>
          <w:rFonts w:cs="Times New Roman"/>
          <w:szCs w:val="24"/>
        </w:rPr>
      </w:pPr>
      <w:r w:rsidRPr="00D22308">
        <w:rPr>
          <w:rFonts w:cs="Times New Roman"/>
          <w:color w:val="000000" w:themeColor="text1"/>
        </w:rPr>
        <w:t xml:space="preserve">lietu nosūtīt jaunai izskatīšanai </w:t>
      </w:r>
      <w:r w:rsidRPr="00D22308">
        <w:rPr>
          <w:rFonts w:cs="Times New Roman"/>
        </w:rPr>
        <w:t xml:space="preserve">Kurzemes </w:t>
      </w:r>
      <w:r w:rsidRPr="00D22308">
        <w:rPr>
          <w:rFonts w:cs="Times New Roman"/>
          <w:color w:val="000000" w:themeColor="text1"/>
        </w:rPr>
        <w:t>apgabaltiesā.</w:t>
      </w:r>
    </w:p>
    <w:p w14:paraId="0D0ACD0B" w14:textId="77777777" w:rsidR="003F3A72" w:rsidRPr="00D22308" w:rsidRDefault="003F3A72" w:rsidP="00172CB6">
      <w:pPr>
        <w:tabs>
          <w:tab w:val="left" w:pos="1710"/>
        </w:tabs>
        <w:spacing w:after="0" w:line="276" w:lineRule="auto"/>
        <w:ind w:firstLine="720"/>
        <w:jc w:val="both"/>
        <w:rPr>
          <w:rFonts w:cs="Times New Roman"/>
          <w:szCs w:val="24"/>
        </w:rPr>
      </w:pPr>
    </w:p>
    <w:p w14:paraId="0F0FB26C" w14:textId="693718BB" w:rsidR="00445F89" w:rsidRPr="00D22308" w:rsidRDefault="003F3A72" w:rsidP="00172CB6">
      <w:pPr>
        <w:spacing w:after="0" w:line="276" w:lineRule="auto"/>
        <w:ind w:firstLine="720"/>
        <w:jc w:val="both"/>
        <w:rPr>
          <w:rFonts w:eastAsia="Times New Roman" w:cs="Times New Roman"/>
          <w:bCs/>
          <w:szCs w:val="24"/>
          <w:lang w:eastAsia="lv-LV"/>
        </w:rPr>
      </w:pPr>
      <w:r w:rsidRPr="00D22308">
        <w:rPr>
          <w:rFonts w:eastAsia="Times New Roman" w:cs="Times New Roman"/>
          <w:bCs/>
          <w:szCs w:val="24"/>
          <w:lang w:eastAsia="lv-LV"/>
        </w:rPr>
        <w:t>Lēmums nav pārsūdzams.</w:t>
      </w:r>
    </w:p>
    <w:p w14:paraId="3FBA8331" w14:textId="77777777" w:rsidR="003F3A72" w:rsidRPr="00D22308" w:rsidRDefault="003F3A72" w:rsidP="00172CB6">
      <w:pPr>
        <w:spacing w:after="0" w:line="276" w:lineRule="auto"/>
        <w:ind w:firstLine="720"/>
        <w:jc w:val="both"/>
        <w:rPr>
          <w:rFonts w:eastAsia="Times New Roman" w:cs="Times New Roman"/>
          <w:bCs/>
          <w:szCs w:val="24"/>
          <w:lang w:eastAsia="lv-LV"/>
        </w:rPr>
      </w:pPr>
    </w:p>
    <w:p w14:paraId="43959ED2" w14:textId="77777777" w:rsidR="003F3A72" w:rsidRPr="00D22308" w:rsidRDefault="003F3A72" w:rsidP="00172CB6">
      <w:pPr>
        <w:spacing w:after="0" w:line="276" w:lineRule="auto"/>
        <w:ind w:firstLine="720"/>
        <w:jc w:val="both"/>
        <w:rPr>
          <w:rFonts w:eastAsia="Times New Roman" w:cs="Times New Roman"/>
          <w:bCs/>
          <w:szCs w:val="24"/>
          <w:lang w:eastAsia="lv-LV"/>
        </w:rPr>
      </w:pPr>
    </w:p>
    <w:p w14:paraId="3A1CF08C" w14:textId="77777777" w:rsidR="00DC4A75" w:rsidRPr="00D22308" w:rsidRDefault="00DC4A75" w:rsidP="00172CB6">
      <w:pPr>
        <w:spacing w:after="0" w:line="276" w:lineRule="auto"/>
        <w:ind w:firstLine="720"/>
        <w:rPr>
          <w:rFonts w:cs="Times New Roman"/>
          <w:color w:val="000000"/>
          <w:szCs w:val="24"/>
        </w:rPr>
      </w:pPr>
    </w:p>
    <w:p w14:paraId="07179821" w14:textId="77777777" w:rsidR="00DC4A75" w:rsidRPr="00D22308" w:rsidRDefault="00DC4A75" w:rsidP="00172CB6">
      <w:pPr>
        <w:spacing w:after="0" w:line="276" w:lineRule="auto"/>
        <w:rPr>
          <w:rFonts w:eastAsia="Times New Roman" w:cs="Times New Roman"/>
          <w:szCs w:val="24"/>
        </w:rPr>
      </w:pPr>
    </w:p>
    <w:sectPr w:rsidR="00DC4A75" w:rsidRPr="00D22308" w:rsidSect="00172CB6">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559F" w14:textId="77777777" w:rsidR="00E67933" w:rsidRPr="00D21B50" w:rsidRDefault="00E67933" w:rsidP="00EC300B">
      <w:pPr>
        <w:spacing w:after="0" w:line="240" w:lineRule="auto"/>
      </w:pPr>
      <w:r w:rsidRPr="00D21B50">
        <w:separator/>
      </w:r>
    </w:p>
  </w:endnote>
  <w:endnote w:type="continuationSeparator" w:id="0">
    <w:p w14:paraId="2120B9C1" w14:textId="77777777" w:rsidR="00E67933" w:rsidRPr="00D21B50" w:rsidRDefault="00E67933" w:rsidP="00EC300B">
      <w:pPr>
        <w:spacing w:after="0" w:line="240" w:lineRule="auto"/>
      </w:pPr>
      <w:r w:rsidRPr="00D21B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48844780"/>
      <w:docPartObj>
        <w:docPartGallery w:val="Page Numbers (Top of Page)"/>
        <w:docPartUnique/>
      </w:docPartObj>
    </w:sdtPr>
    <w:sdtEndPr/>
    <w:sdtContent>
      <w:p w14:paraId="5B54FC6B" w14:textId="7739EF8E" w:rsidR="00D54759" w:rsidRPr="00D21B50" w:rsidRDefault="00D54759" w:rsidP="001917CA">
        <w:pPr>
          <w:pStyle w:val="Footer"/>
          <w:tabs>
            <w:tab w:val="clear" w:pos="4153"/>
            <w:tab w:val="clear" w:pos="8306"/>
            <w:tab w:val="center" w:pos="4513"/>
            <w:tab w:val="right" w:pos="9026"/>
          </w:tabs>
          <w:jc w:val="center"/>
        </w:pPr>
        <w:r w:rsidRPr="00D21B50">
          <w:rPr>
            <w:sz w:val="20"/>
            <w:szCs w:val="20"/>
          </w:rPr>
          <w:fldChar w:fldCharType="begin"/>
        </w:r>
        <w:r w:rsidRPr="00D21B50">
          <w:rPr>
            <w:sz w:val="20"/>
            <w:szCs w:val="20"/>
          </w:rPr>
          <w:instrText xml:space="preserve"> PAGE </w:instrText>
        </w:r>
        <w:r w:rsidRPr="00D21B50">
          <w:rPr>
            <w:sz w:val="20"/>
            <w:szCs w:val="20"/>
          </w:rPr>
          <w:fldChar w:fldCharType="separate"/>
        </w:r>
        <w:r w:rsidR="000479A2" w:rsidRPr="00D21B50">
          <w:rPr>
            <w:sz w:val="20"/>
            <w:szCs w:val="20"/>
          </w:rPr>
          <w:t>2</w:t>
        </w:r>
        <w:r w:rsidRPr="00D21B50">
          <w:rPr>
            <w:sz w:val="20"/>
            <w:szCs w:val="20"/>
          </w:rPr>
          <w:fldChar w:fldCharType="end"/>
        </w:r>
        <w:r w:rsidRPr="00D21B50">
          <w:rPr>
            <w:sz w:val="20"/>
            <w:szCs w:val="20"/>
          </w:rPr>
          <w:t xml:space="preserve"> no </w:t>
        </w:r>
        <w:r w:rsidRPr="00D21B50">
          <w:rPr>
            <w:sz w:val="20"/>
            <w:szCs w:val="20"/>
          </w:rPr>
          <w:fldChar w:fldCharType="begin"/>
        </w:r>
        <w:r w:rsidRPr="00D21B50">
          <w:rPr>
            <w:sz w:val="20"/>
            <w:szCs w:val="20"/>
          </w:rPr>
          <w:instrText xml:space="preserve"> NUMPAGES  </w:instrText>
        </w:r>
        <w:r w:rsidRPr="00D21B50">
          <w:rPr>
            <w:sz w:val="20"/>
            <w:szCs w:val="20"/>
          </w:rPr>
          <w:fldChar w:fldCharType="separate"/>
        </w:r>
        <w:r w:rsidR="000479A2" w:rsidRPr="00D21B50">
          <w:rPr>
            <w:sz w:val="20"/>
            <w:szCs w:val="20"/>
          </w:rPr>
          <w:t>8</w:t>
        </w:r>
        <w:r w:rsidRPr="00D21B5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BE9F" w14:textId="77777777" w:rsidR="00E67933" w:rsidRPr="00D21B50" w:rsidRDefault="00E67933" w:rsidP="00EC300B">
      <w:pPr>
        <w:spacing w:after="0" w:line="240" w:lineRule="auto"/>
      </w:pPr>
      <w:r w:rsidRPr="00D21B50">
        <w:separator/>
      </w:r>
    </w:p>
  </w:footnote>
  <w:footnote w:type="continuationSeparator" w:id="0">
    <w:p w14:paraId="5C88DC40" w14:textId="77777777" w:rsidR="00E67933" w:rsidRPr="00D21B50" w:rsidRDefault="00E67933" w:rsidP="00EC300B">
      <w:pPr>
        <w:spacing w:after="0" w:line="240" w:lineRule="auto"/>
      </w:pPr>
      <w:r w:rsidRPr="00D21B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C18"/>
    <w:multiLevelType w:val="hybridMultilevel"/>
    <w:tmpl w:val="62A8229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1156CD4"/>
    <w:multiLevelType w:val="hybridMultilevel"/>
    <w:tmpl w:val="428670D2"/>
    <w:lvl w:ilvl="0" w:tplc="96C44CA2">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 w15:restartNumberingAfterBreak="0">
    <w:nsid w:val="24CD08EA"/>
    <w:multiLevelType w:val="hybridMultilevel"/>
    <w:tmpl w:val="3262580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582C50"/>
    <w:multiLevelType w:val="hybridMultilevel"/>
    <w:tmpl w:val="30F6A874"/>
    <w:lvl w:ilvl="0" w:tplc="33549504">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8C558FE"/>
    <w:multiLevelType w:val="hybridMultilevel"/>
    <w:tmpl w:val="6B6EB3F6"/>
    <w:lvl w:ilvl="0" w:tplc="0BC87502">
      <w:start w:val="1"/>
      <w:numFmt w:val="lowerRoman"/>
      <w:lvlText w:val="%1)"/>
      <w:lvlJc w:val="left"/>
      <w:pPr>
        <w:ind w:left="1425" w:hanging="72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1219782282">
    <w:abstractNumId w:val="1"/>
  </w:num>
  <w:num w:numId="2" w16cid:durableId="433481442">
    <w:abstractNumId w:val="4"/>
  </w:num>
  <w:num w:numId="3" w16cid:durableId="1443265983">
    <w:abstractNumId w:val="6"/>
  </w:num>
  <w:num w:numId="4" w16cid:durableId="887107343">
    <w:abstractNumId w:val="2"/>
  </w:num>
  <w:num w:numId="5" w16cid:durableId="1096436364">
    <w:abstractNumId w:val="0"/>
  </w:num>
  <w:num w:numId="6" w16cid:durableId="337469201">
    <w:abstractNumId w:val="3"/>
  </w:num>
  <w:num w:numId="7" w16cid:durableId="777719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0361"/>
    <w:rsid w:val="00000A41"/>
    <w:rsid w:val="00001BC4"/>
    <w:rsid w:val="0000475F"/>
    <w:rsid w:val="00005C8F"/>
    <w:rsid w:val="00006136"/>
    <w:rsid w:val="0001057E"/>
    <w:rsid w:val="00012F1D"/>
    <w:rsid w:val="0001357F"/>
    <w:rsid w:val="00013860"/>
    <w:rsid w:val="0001464E"/>
    <w:rsid w:val="00014AA1"/>
    <w:rsid w:val="00015E85"/>
    <w:rsid w:val="000162BF"/>
    <w:rsid w:val="000164EA"/>
    <w:rsid w:val="000175EB"/>
    <w:rsid w:val="00017FDF"/>
    <w:rsid w:val="00020434"/>
    <w:rsid w:val="00020B1E"/>
    <w:rsid w:val="000230E3"/>
    <w:rsid w:val="00024C36"/>
    <w:rsid w:val="000258EC"/>
    <w:rsid w:val="000276DE"/>
    <w:rsid w:val="000277CF"/>
    <w:rsid w:val="00027B5B"/>
    <w:rsid w:val="000304DB"/>
    <w:rsid w:val="00035B51"/>
    <w:rsid w:val="00040C44"/>
    <w:rsid w:val="000416D1"/>
    <w:rsid w:val="00045BA9"/>
    <w:rsid w:val="00045DA3"/>
    <w:rsid w:val="000479A2"/>
    <w:rsid w:val="00047E94"/>
    <w:rsid w:val="00052148"/>
    <w:rsid w:val="000532AE"/>
    <w:rsid w:val="00053654"/>
    <w:rsid w:val="00057D20"/>
    <w:rsid w:val="00060157"/>
    <w:rsid w:val="00060DC2"/>
    <w:rsid w:val="0006459E"/>
    <w:rsid w:val="00064C2F"/>
    <w:rsid w:val="00064F29"/>
    <w:rsid w:val="00065071"/>
    <w:rsid w:val="000674D5"/>
    <w:rsid w:val="00070E0F"/>
    <w:rsid w:val="000711FC"/>
    <w:rsid w:val="00071CDC"/>
    <w:rsid w:val="0007238E"/>
    <w:rsid w:val="00072DC6"/>
    <w:rsid w:val="00077379"/>
    <w:rsid w:val="00077483"/>
    <w:rsid w:val="0008015F"/>
    <w:rsid w:val="0008269F"/>
    <w:rsid w:val="00082F17"/>
    <w:rsid w:val="0008507C"/>
    <w:rsid w:val="000853DA"/>
    <w:rsid w:val="000874C0"/>
    <w:rsid w:val="00093F98"/>
    <w:rsid w:val="00096561"/>
    <w:rsid w:val="000973A9"/>
    <w:rsid w:val="000A18DD"/>
    <w:rsid w:val="000A1908"/>
    <w:rsid w:val="000A2A33"/>
    <w:rsid w:val="000A3A03"/>
    <w:rsid w:val="000A66F8"/>
    <w:rsid w:val="000A7A67"/>
    <w:rsid w:val="000B0D76"/>
    <w:rsid w:val="000B0DE2"/>
    <w:rsid w:val="000B1915"/>
    <w:rsid w:val="000B1A5A"/>
    <w:rsid w:val="000B24D3"/>
    <w:rsid w:val="000B3651"/>
    <w:rsid w:val="000B490D"/>
    <w:rsid w:val="000C20E8"/>
    <w:rsid w:val="000C36A9"/>
    <w:rsid w:val="000C4273"/>
    <w:rsid w:val="000C5D7A"/>
    <w:rsid w:val="000C7AE6"/>
    <w:rsid w:val="000D0DA0"/>
    <w:rsid w:val="000D1CA0"/>
    <w:rsid w:val="000D2A45"/>
    <w:rsid w:val="000D4A0D"/>
    <w:rsid w:val="000D6AAC"/>
    <w:rsid w:val="000D6D30"/>
    <w:rsid w:val="000D7298"/>
    <w:rsid w:val="000D77B5"/>
    <w:rsid w:val="000D7DAE"/>
    <w:rsid w:val="000E06E3"/>
    <w:rsid w:val="000E09C7"/>
    <w:rsid w:val="000E0C4B"/>
    <w:rsid w:val="000E1A28"/>
    <w:rsid w:val="000E2814"/>
    <w:rsid w:val="000E2910"/>
    <w:rsid w:val="000E2CF3"/>
    <w:rsid w:val="000E2D31"/>
    <w:rsid w:val="000E4A73"/>
    <w:rsid w:val="000E5072"/>
    <w:rsid w:val="000F0129"/>
    <w:rsid w:val="000F0517"/>
    <w:rsid w:val="000F2F79"/>
    <w:rsid w:val="000F4330"/>
    <w:rsid w:val="000F5057"/>
    <w:rsid w:val="000F6DC0"/>
    <w:rsid w:val="000F7646"/>
    <w:rsid w:val="00100A8B"/>
    <w:rsid w:val="00102B1C"/>
    <w:rsid w:val="00106141"/>
    <w:rsid w:val="001062BB"/>
    <w:rsid w:val="00112906"/>
    <w:rsid w:val="00112E1E"/>
    <w:rsid w:val="001146FE"/>
    <w:rsid w:val="00114864"/>
    <w:rsid w:val="00114C97"/>
    <w:rsid w:val="00114DDD"/>
    <w:rsid w:val="00116116"/>
    <w:rsid w:val="00120D9C"/>
    <w:rsid w:val="00123908"/>
    <w:rsid w:val="00126678"/>
    <w:rsid w:val="00130075"/>
    <w:rsid w:val="0013081F"/>
    <w:rsid w:val="00131C3B"/>
    <w:rsid w:val="001320B8"/>
    <w:rsid w:val="001358CE"/>
    <w:rsid w:val="00135F1E"/>
    <w:rsid w:val="00136C34"/>
    <w:rsid w:val="00136CB6"/>
    <w:rsid w:val="00136E73"/>
    <w:rsid w:val="0014053E"/>
    <w:rsid w:val="00141E76"/>
    <w:rsid w:val="001456A0"/>
    <w:rsid w:val="00145C9D"/>
    <w:rsid w:val="00150F02"/>
    <w:rsid w:val="00150FAC"/>
    <w:rsid w:val="001513D5"/>
    <w:rsid w:val="0015214F"/>
    <w:rsid w:val="00152209"/>
    <w:rsid w:val="00160CAB"/>
    <w:rsid w:val="00161707"/>
    <w:rsid w:val="00162867"/>
    <w:rsid w:val="001632AD"/>
    <w:rsid w:val="001633B2"/>
    <w:rsid w:val="00165363"/>
    <w:rsid w:val="001657DA"/>
    <w:rsid w:val="00165EFE"/>
    <w:rsid w:val="00166106"/>
    <w:rsid w:val="00166370"/>
    <w:rsid w:val="00170DF5"/>
    <w:rsid w:val="00172843"/>
    <w:rsid w:val="00172CB6"/>
    <w:rsid w:val="001745CE"/>
    <w:rsid w:val="00174A4B"/>
    <w:rsid w:val="0017670D"/>
    <w:rsid w:val="00180F77"/>
    <w:rsid w:val="0018231A"/>
    <w:rsid w:val="00183307"/>
    <w:rsid w:val="001837BD"/>
    <w:rsid w:val="00183CCC"/>
    <w:rsid w:val="00184045"/>
    <w:rsid w:val="00187030"/>
    <w:rsid w:val="0018776B"/>
    <w:rsid w:val="00191618"/>
    <w:rsid w:val="001917CA"/>
    <w:rsid w:val="00193C72"/>
    <w:rsid w:val="00194E25"/>
    <w:rsid w:val="001A0A63"/>
    <w:rsid w:val="001A0D80"/>
    <w:rsid w:val="001A1571"/>
    <w:rsid w:val="001A16B2"/>
    <w:rsid w:val="001A25EA"/>
    <w:rsid w:val="001A275A"/>
    <w:rsid w:val="001A73DE"/>
    <w:rsid w:val="001A7E51"/>
    <w:rsid w:val="001B0B02"/>
    <w:rsid w:val="001B16E3"/>
    <w:rsid w:val="001B171A"/>
    <w:rsid w:val="001B21E7"/>
    <w:rsid w:val="001B2563"/>
    <w:rsid w:val="001B2614"/>
    <w:rsid w:val="001B3D83"/>
    <w:rsid w:val="001B51DA"/>
    <w:rsid w:val="001C40C4"/>
    <w:rsid w:val="001C6954"/>
    <w:rsid w:val="001C7C3C"/>
    <w:rsid w:val="001D06F3"/>
    <w:rsid w:val="001D196C"/>
    <w:rsid w:val="001D2008"/>
    <w:rsid w:val="001D216F"/>
    <w:rsid w:val="001D21EA"/>
    <w:rsid w:val="001D21ED"/>
    <w:rsid w:val="001D23E1"/>
    <w:rsid w:val="001D31B1"/>
    <w:rsid w:val="001D6911"/>
    <w:rsid w:val="001D6D48"/>
    <w:rsid w:val="001E2B36"/>
    <w:rsid w:val="001E2D10"/>
    <w:rsid w:val="001E3147"/>
    <w:rsid w:val="001E3C80"/>
    <w:rsid w:val="001F28A6"/>
    <w:rsid w:val="001F3134"/>
    <w:rsid w:val="001F44FE"/>
    <w:rsid w:val="001F53FF"/>
    <w:rsid w:val="001F5646"/>
    <w:rsid w:val="001F67BE"/>
    <w:rsid w:val="001F721A"/>
    <w:rsid w:val="001F7B28"/>
    <w:rsid w:val="00204561"/>
    <w:rsid w:val="00204D15"/>
    <w:rsid w:val="002065C8"/>
    <w:rsid w:val="00207661"/>
    <w:rsid w:val="002077E6"/>
    <w:rsid w:val="00211DBA"/>
    <w:rsid w:val="002147F7"/>
    <w:rsid w:val="00217805"/>
    <w:rsid w:val="002214DD"/>
    <w:rsid w:val="00221B2C"/>
    <w:rsid w:val="00222C51"/>
    <w:rsid w:val="0022435A"/>
    <w:rsid w:val="00227A66"/>
    <w:rsid w:val="00230EC9"/>
    <w:rsid w:val="002330EF"/>
    <w:rsid w:val="0023697B"/>
    <w:rsid w:val="00243437"/>
    <w:rsid w:val="002443D5"/>
    <w:rsid w:val="0024447A"/>
    <w:rsid w:val="002462BB"/>
    <w:rsid w:val="00246C68"/>
    <w:rsid w:val="002473E3"/>
    <w:rsid w:val="00250DE5"/>
    <w:rsid w:val="00252040"/>
    <w:rsid w:val="00252E5B"/>
    <w:rsid w:val="00253D6E"/>
    <w:rsid w:val="0025699F"/>
    <w:rsid w:val="00256A03"/>
    <w:rsid w:val="00257FC2"/>
    <w:rsid w:val="00261093"/>
    <w:rsid w:val="0026148E"/>
    <w:rsid w:val="00262E70"/>
    <w:rsid w:val="002651DC"/>
    <w:rsid w:val="00266224"/>
    <w:rsid w:val="00267131"/>
    <w:rsid w:val="00267811"/>
    <w:rsid w:val="00274AAC"/>
    <w:rsid w:val="0027555C"/>
    <w:rsid w:val="00275D81"/>
    <w:rsid w:val="002779D9"/>
    <w:rsid w:val="00280F05"/>
    <w:rsid w:val="002823AE"/>
    <w:rsid w:val="00282689"/>
    <w:rsid w:val="002844EE"/>
    <w:rsid w:val="00285F1D"/>
    <w:rsid w:val="002864FB"/>
    <w:rsid w:val="0028695F"/>
    <w:rsid w:val="00287C8D"/>
    <w:rsid w:val="0029071D"/>
    <w:rsid w:val="002910E4"/>
    <w:rsid w:val="00291BD8"/>
    <w:rsid w:val="00291E5B"/>
    <w:rsid w:val="002930E5"/>
    <w:rsid w:val="00293B2F"/>
    <w:rsid w:val="00293C69"/>
    <w:rsid w:val="00295C17"/>
    <w:rsid w:val="00297A2F"/>
    <w:rsid w:val="002A0A96"/>
    <w:rsid w:val="002A1A0F"/>
    <w:rsid w:val="002A382E"/>
    <w:rsid w:val="002A68BD"/>
    <w:rsid w:val="002B02F1"/>
    <w:rsid w:val="002B06D8"/>
    <w:rsid w:val="002B096F"/>
    <w:rsid w:val="002B1996"/>
    <w:rsid w:val="002B4158"/>
    <w:rsid w:val="002B7DFF"/>
    <w:rsid w:val="002C1FCB"/>
    <w:rsid w:val="002C723B"/>
    <w:rsid w:val="002C769E"/>
    <w:rsid w:val="002D0C96"/>
    <w:rsid w:val="002D3D3B"/>
    <w:rsid w:val="002D4A6E"/>
    <w:rsid w:val="002D4B6E"/>
    <w:rsid w:val="002D5330"/>
    <w:rsid w:val="002D672F"/>
    <w:rsid w:val="002D6BC5"/>
    <w:rsid w:val="002D6D30"/>
    <w:rsid w:val="002E07C7"/>
    <w:rsid w:val="002E0996"/>
    <w:rsid w:val="002E3B42"/>
    <w:rsid w:val="002E3CB6"/>
    <w:rsid w:val="002E59EF"/>
    <w:rsid w:val="002E74E3"/>
    <w:rsid w:val="002F18D7"/>
    <w:rsid w:val="002F1BCF"/>
    <w:rsid w:val="002F2024"/>
    <w:rsid w:val="002F21FD"/>
    <w:rsid w:val="002F2FE3"/>
    <w:rsid w:val="002F5226"/>
    <w:rsid w:val="00300AE0"/>
    <w:rsid w:val="00300B2C"/>
    <w:rsid w:val="00302097"/>
    <w:rsid w:val="003027BA"/>
    <w:rsid w:val="003029AC"/>
    <w:rsid w:val="00302D99"/>
    <w:rsid w:val="00311391"/>
    <w:rsid w:val="00312007"/>
    <w:rsid w:val="003124EF"/>
    <w:rsid w:val="00314711"/>
    <w:rsid w:val="003160D2"/>
    <w:rsid w:val="00320259"/>
    <w:rsid w:val="00321381"/>
    <w:rsid w:val="00322BF0"/>
    <w:rsid w:val="00323817"/>
    <w:rsid w:val="0032395D"/>
    <w:rsid w:val="00323FF6"/>
    <w:rsid w:val="00324174"/>
    <w:rsid w:val="003243C5"/>
    <w:rsid w:val="00325949"/>
    <w:rsid w:val="00326E74"/>
    <w:rsid w:val="00332482"/>
    <w:rsid w:val="00332490"/>
    <w:rsid w:val="0033310C"/>
    <w:rsid w:val="00333B61"/>
    <w:rsid w:val="00333F59"/>
    <w:rsid w:val="00334CDE"/>
    <w:rsid w:val="003400F1"/>
    <w:rsid w:val="003412F4"/>
    <w:rsid w:val="00343C0C"/>
    <w:rsid w:val="00343E82"/>
    <w:rsid w:val="0034513E"/>
    <w:rsid w:val="00347823"/>
    <w:rsid w:val="00352C61"/>
    <w:rsid w:val="00354918"/>
    <w:rsid w:val="00355BA9"/>
    <w:rsid w:val="00355C0A"/>
    <w:rsid w:val="00356B1C"/>
    <w:rsid w:val="0035709B"/>
    <w:rsid w:val="00370E4B"/>
    <w:rsid w:val="0037255C"/>
    <w:rsid w:val="003727F5"/>
    <w:rsid w:val="0037372B"/>
    <w:rsid w:val="00373AB6"/>
    <w:rsid w:val="003744A3"/>
    <w:rsid w:val="00376BA8"/>
    <w:rsid w:val="00377023"/>
    <w:rsid w:val="0037724F"/>
    <w:rsid w:val="003777F0"/>
    <w:rsid w:val="00380C73"/>
    <w:rsid w:val="00381CF3"/>
    <w:rsid w:val="00384B1E"/>
    <w:rsid w:val="003856AF"/>
    <w:rsid w:val="00391E83"/>
    <w:rsid w:val="00392045"/>
    <w:rsid w:val="00392F99"/>
    <w:rsid w:val="0039590A"/>
    <w:rsid w:val="00395970"/>
    <w:rsid w:val="003A1FDC"/>
    <w:rsid w:val="003A2B13"/>
    <w:rsid w:val="003A4565"/>
    <w:rsid w:val="003A47A8"/>
    <w:rsid w:val="003A6945"/>
    <w:rsid w:val="003B06EC"/>
    <w:rsid w:val="003B25B9"/>
    <w:rsid w:val="003B2B46"/>
    <w:rsid w:val="003B2B88"/>
    <w:rsid w:val="003B31DE"/>
    <w:rsid w:val="003B32D0"/>
    <w:rsid w:val="003B65E4"/>
    <w:rsid w:val="003C2059"/>
    <w:rsid w:val="003C3853"/>
    <w:rsid w:val="003C4349"/>
    <w:rsid w:val="003C4608"/>
    <w:rsid w:val="003C48D8"/>
    <w:rsid w:val="003C4A44"/>
    <w:rsid w:val="003C5F37"/>
    <w:rsid w:val="003D0B9E"/>
    <w:rsid w:val="003D3229"/>
    <w:rsid w:val="003D522C"/>
    <w:rsid w:val="003E2076"/>
    <w:rsid w:val="003E3D10"/>
    <w:rsid w:val="003E4E8E"/>
    <w:rsid w:val="003E5EA6"/>
    <w:rsid w:val="003F0370"/>
    <w:rsid w:val="003F133B"/>
    <w:rsid w:val="003F3993"/>
    <w:rsid w:val="003F3A72"/>
    <w:rsid w:val="003F4448"/>
    <w:rsid w:val="004055AD"/>
    <w:rsid w:val="0041094F"/>
    <w:rsid w:val="0041209D"/>
    <w:rsid w:val="0041215D"/>
    <w:rsid w:val="004134EA"/>
    <w:rsid w:val="0042078A"/>
    <w:rsid w:val="0042269D"/>
    <w:rsid w:val="0042504C"/>
    <w:rsid w:val="004305D0"/>
    <w:rsid w:val="0043089C"/>
    <w:rsid w:val="004310B7"/>
    <w:rsid w:val="00432743"/>
    <w:rsid w:val="00432BB6"/>
    <w:rsid w:val="0043309A"/>
    <w:rsid w:val="00435C67"/>
    <w:rsid w:val="00437FE5"/>
    <w:rsid w:val="004426F6"/>
    <w:rsid w:val="00442B73"/>
    <w:rsid w:val="00442DD1"/>
    <w:rsid w:val="004456B4"/>
    <w:rsid w:val="00445F89"/>
    <w:rsid w:val="004465C7"/>
    <w:rsid w:val="00446745"/>
    <w:rsid w:val="004476D4"/>
    <w:rsid w:val="00452D1C"/>
    <w:rsid w:val="00454803"/>
    <w:rsid w:val="004562F1"/>
    <w:rsid w:val="00457D6B"/>
    <w:rsid w:val="004604E7"/>
    <w:rsid w:val="00460731"/>
    <w:rsid w:val="004620E3"/>
    <w:rsid w:val="0046472B"/>
    <w:rsid w:val="004648B3"/>
    <w:rsid w:val="00466898"/>
    <w:rsid w:val="00470170"/>
    <w:rsid w:val="00470559"/>
    <w:rsid w:val="004723E1"/>
    <w:rsid w:val="00473627"/>
    <w:rsid w:val="004745C1"/>
    <w:rsid w:val="004758A7"/>
    <w:rsid w:val="00476D0F"/>
    <w:rsid w:val="00476F61"/>
    <w:rsid w:val="004777D4"/>
    <w:rsid w:val="00480853"/>
    <w:rsid w:val="004813DE"/>
    <w:rsid w:val="0048226F"/>
    <w:rsid w:val="00482DFC"/>
    <w:rsid w:val="00485BB8"/>
    <w:rsid w:val="004910F5"/>
    <w:rsid w:val="0049262A"/>
    <w:rsid w:val="00492A87"/>
    <w:rsid w:val="004954E9"/>
    <w:rsid w:val="0049685A"/>
    <w:rsid w:val="00497BB1"/>
    <w:rsid w:val="004A07A1"/>
    <w:rsid w:val="004A1D45"/>
    <w:rsid w:val="004A2A23"/>
    <w:rsid w:val="004A4413"/>
    <w:rsid w:val="004A5A2F"/>
    <w:rsid w:val="004A6A9E"/>
    <w:rsid w:val="004A7D74"/>
    <w:rsid w:val="004B13A1"/>
    <w:rsid w:val="004B2EBB"/>
    <w:rsid w:val="004B3643"/>
    <w:rsid w:val="004B642E"/>
    <w:rsid w:val="004B79A2"/>
    <w:rsid w:val="004C05CA"/>
    <w:rsid w:val="004C2046"/>
    <w:rsid w:val="004C233C"/>
    <w:rsid w:val="004C28F9"/>
    <w:rsid w:val="004C3165"/>
    <w:rsid w:val="004C5019"/>
    <w:rsid w:val="004C5525"/>
    <w:rsid w:val="004D0D38"/>
    <w:rsid w:val="004D4B8D"/>
    <w:rsid w:val="004D5102"/>
    <w:rsid w:val="004D72CA"/>
    <w:rsid w:val="004D7B5D"/>
    <w:rsid w:val="004D7FA0"/>
    <w:rsid w:val="004E45E6"/>
    <w:rsid w:val="004E54A5"/>
    <w:rsid w:val="004E6CE5"/>
    <w:rsid w:val="004E7794"/>
    <w:rsid w:val="004F0827"/>
    <w:rsid w:val="004F3413"/>
    <w:rsid w:val="004F359F"/>
    <w:rsid w:val="004F51A1"/>
    <w:rsid w:val="004F5AE3"/>
    <w:rsid w:val="004F620F"/>
    <w:rsid w:val="00501ED0"/>
    <w:rsid w:val="0050508C"/>
    <w:rsid w:val="005058FC"/>
    <w:rsid w:val="00506F79"/>
    <w:rsid w:val="0051380E"/>
    <w:rsid w:val="00514E65"/>
    <w:rsid w:val="00517934"/>
    <w:rsid w:val="00517AEB"/>
    <w:rsid w:val="00520325"/>
    <w:rsid w:val="00520405"/>
    <w:rsid w:val="00523D40"/>
    <w:rsid w:val="00523DBD"/>
    <w:rsid w:val="00524709"/>
    <w:rsid w:val="00524ABF"/>
    <w:rsid w:val="0052577F"/>
    <w:rsid w:val="00527C13"/>
    <w:rsid w:val="005307CA"/>
    <w:rsid w:val="0053122E"/>
    <w:rsid w:val="005313E7"/>
    <w:rsid w:val="00533E29"/>
    <w:rsid w:val="005345E5"/>
    <w:rsid w:val="005360CF"/>
    <w:rsid w:val="005364FB"/>
    <w:rsid w:val="00540C47"/>
    <w:rsid w:val="00545494"/>
    <w:rsid w:val="0054628A"/>
    <w:rsid w:val="00547854"/>
    <w:rsid w:val="00550A58"/>
    <w:rsid w:val="00550C0F"/>
    <w:rsid w:val="005515AA"/>
    <w:rsid w:val="005534A5"/>
    <w:rsid w:val="005534DF"/>
    <w:rsid w:val="0055378F"/>
    <w:rsid w:val="00553E9B"/>
    <w:rsid w:val="0055511B"/>
    <w:rsid w:val="00556168"/>
    <w:rsid w:val="00557BF8"/>
    <w:rsid w:val="005614A4"/>
    <w:rsid w:val="0056215F"/>
    <w:rsid w:val="00563818"/>
    <w:rsid w:val="0056440E"/>
    <w:rsid w:val="005669CE"/>
    <w:rsid w:val="00570F54"/>
    <w:rsid w:val="005745D4"/>
    <w:rsid w:val="00574A38"/>
    <w:rsid w:val="00581AA6"/>
    <w:rsid w:val="005831DD"/>
    <w:rsid w:val="005834CC"/>
    <w:rsid w:val="00583887"/>
    <w:rsid w:val="00586056"/>
    <w:rsid w:val="00587912"/>
    <w:rsid w:val="005908CD"/>
    <w:rsid w:val="005919D9"/>
    <w:rsid w:val="005933FC"/>
    <w:rsid w:val="00594CE4"/>
    <w:rsid w:val="00595654"/>
    <w:rsid w:val="00596683"/>
    <w:rsid w:val="00596AA7"/>
    <w:rsid w:val="005971DC"/>
    <w:rsid w:val="00597DEB"/>
    <w:rsid w:val="005A69F7"/>
    <w:rsid w:val="005A6B6D"/>
    <w:rsid w:val="005A720E"/>
    <w:rsid w:val="005B0431"/>
    <w:rsid w:val="005B06A4"/>
    <w:rsid w:val="005B2415"/>
    <w:rsid w:val="005B287D"/>
    <w:rsid w:val="005B4D2C"/>
    <w:rsid w:val="005B5431"/>
    <w:rsid w:val="005B7751"/>
    <w:rsid w:val="005C00A7"/>
    <w:rsid w:val="005C0C86"/>
    <w:rsid w:val="005C17D8"/>
    <w:rsid w:val="005C26BE"/>
    <w:rsid w:val="005C4958"/>
    <w:rsid w:val="005C720B"/>
    <w:rsid w:val="005D1664"/>
    <w:rsid w:val="005D1851"/>
    <w:rsid w:val="005D1A5D"/>
    <w:rsid w:val="005D2802"/>
    <w:rsid w:val="005D2A9F"/>
    <w:rsid w:val="005E0F7E"/>
    <w:rsid w:val="005E2626"/>
    <w:rsid w:val="005E2A3C"/>
    <w:rsid w:val="005E2FB0"/>
    <w:rsid w:val="005E41DE"/>
    <w:rsid w:val="005E49BF"/>
    <w:rsid w:val="005E4C66"/>
    <w:rsid w:val="005E5A78"/>
    <w:rsid w:val="005E6C16"/>
    <w:rsid w:val="005E747B"/>
    <w:rsid w:val="005E76A9"/>
    <w:rsid w:val="005E76E2"/>
    <w:rsid w:val="005E78E5"/>
    <w:rsid w:val="005F0A56"/>
    <w:rsid w:val="005F480C"/>
    <w:rsid w:val="005F5085"/>
    <w:rsid w:val="006008AA"/>
    <w:rsid w:val="006018AA"/>
    <w:rsid w:val="00604604"/>
    <w:rsid w:val="00606181"/>
    <w:rsid w:val="00606A74"/>
    <w:rsid w:val="00606E41"/>
    <w:rsid w:val="006074D6"/>
    <w:rsid w:val="0061179D"/>
    <w:rsid w:val="00613E15"/>
    <w:rsid w:val="00614323"/>
    <w:rsid w:val="0061449A"/>
    <w:rsid w:val="006160AB"/>
    <w:rsid w:val="00622BD7"/>
    <w:rsid w:val="00625D3B"/>
    <w:rsid w:val="00626ECF"/>
    <w:rsid w:val="00631D7E"/>
    <w:rsid w:val="00633D69"/>
    <w:rsid w:val="0063565F"/>
    <w:rsid w:val="0063567B"/>
    <w:rsid w:val="00635D49"/>
    <w:rsid w:val="00643804"/>
    <w:rsid w:val="00647815"/>
    <w:rsid w:val="006536FC"/>
    <w:rsid w:val="006544A5"/>
    <w:rsid w:val="00654A03"/>
    <w:rsid w:val="00654DB1"/>
    <w:rsid w:val="00654EC1"/>
    <w:rsid w:val="0065650A"/>
    <w:rsid w:val="0065720E"/>
    <w:rsid w:val="00657EEF"/>
    <w:rsid w:val="00662623"/>
    <w:rsid w:val="00663F2B"/>
    <w:rsid w:val="0066435A"/>
    <w:rsid w:val="006654CE"/>
    <w:rsid w:val="006668A6"/>
    <w:rsid w:val="00666D55"/>
    <w:rsid w:val="006724C9"/>
    <w:rsid w:val="006728C4"/>
    <w:rsid w:val="006737BB"/>
    <w:rsid w:val="0067482B"/>
    <w:rsid w:val="006754B9"/>
    <w:rsid w:val="00675E81"/>
    <w:rsid w:val="00677AF7"/>
    <w:rsid w:val="006802C3"/>
    <w:rsid w:val="0068096D"/>
    <w:rsid w:val="00680B46"/>
    <w:rsid w:val="0068351D"/>
    <w:rsid w:val="00683DCA"/>
    <w:rsid w:val="00685C12"/>
    <w:rsid w:val="00686887"/>
    <w:rsid w:val="00686FA4"/>
    <w:rsid w:val="00692E65"/>
    <w:rsid w:val="00692FE0"/>
    <w:rsid w:val="00693D48"/>
    <w:rsid w:val="0069697B"/>
    <w:rsid w:val="006979E5"/>
    <w:rsid w:val="00697C4D"/>
    <w:rsid w:val="006A0716"/>
    <w:rsid w:val="006A3F52"/>
    <w:rsid w:val="006A4F89"/>
    <w:rsid w:val="006A5A1C"/>
    <w:rsid w:val="006A6803"/>
    <w:rsid w:val="006A7B13"/>
    <w:rsid w:val="006A7B26"/>
    <w:rsid w:val="006B08AF"/>
    <w:rsid w:val="006B3E8F"/>
    <w:rsid w:val="006B3F6D"/>
    <w:rsid w:val="006B519B"/>
    <w:rsid w:val="006C076A"/>
    <w:rsid w:val="006C1289"/>
    <w:rsid w:val="006C18BA"/>
    <w:rsid w:val="006C2B6A"/>
    <w:rsid w:val="006C2FF2"/>
    <w:rsid w:val="006D0BCF"/>
    <w:rsid w:val="006D1C1A"/>
    <w:rsid w:val="006D2943"/>
    <w:rsid w:val="006D3340"/>
    <w:rsid w:val="006D3D4D"/>
    <w:rsid w:val="006D4226"/>
    <w:rsid w:val="006D4561"/>
    <w:rsid w:val="006D461F"/>
    <w:rsid w:val="006D5ECF"/>
    <w:rsid w:val="006E02ED"/>
    <w:rsid w:val="006E303D"/>
    <w:rsid w:val="006E4BE5"/>
    <w:rsid w:val="006E5362"/>
    <w:rsid w:val="006E5382"/>
    <w:rsid w:val="006E6BC1"/>
    <w:rsid w:val="006E74A4"/>
    <w:rsid w:val="006F1335"/>
    <w:rsid w:val="006F3552"/>
    <w:rsid w:val="006F4806"/>
    <w:rsid w:val="006F5346"/>
    <w:rsid w:val="00703A41"/>
    <w:rsid w:val="007040EF"/>
    <w:rsid w:val="00704F1A"/>
    <w:rsid w:val="0070701E"/>
    <w:rsid w:val="00713A67"/>
    <w:rsid w:val="00713BC8"/>
    <w:rsid w:val="00714158"/>
    <w:rsid w:val="007153CC"/>
    <w:rsid w:val="007167B5"/>
    <w:rsid w:val="00716AF8"/>
    <w:rsid w:val="007174F1"/>
    <w:rsid w:val="007202EA"/>
    <w:rsid w:val="00720FE1"/>
    <w:rsid w:val="00721FA5"/>
    <w:rsid w:val="00723712"/>
    <w:rsid w:val="00726F35"/>
    <w:rsid w:val="00726F61"/>
    <w:rsid w:val="00727F2A"/>
    <w:rsid w:val="007302E2"/>
    <w:rsid w:val="00732678"/>
    <w:rsid w:val="00733C17"/>
    <w:rsid w:val="00733D73"/>
    <w:rsid w:val="00737298"/>
    <w:rsid w:val="00740017"/>
    <w:rsid w:val="007466E5"/>
    <w:rsid w:val="00746F6E"/>
    <w:rsid w:val="00747D7E"/>
    <w:rsid w:val="00751609"/>
    <w:rsid w:val="00751923"/>
    <w:rsid w:val="00752D86"/>
    <w:rsid w:val="0075311C"/>
    <w:rsid w:val="00755F9C"/>
    <w:rsid w:val="00756E04"/>
    <w:rsid w:val="00757D7F"/>
    <w:rsid w:val="0076373B"/>
    <w:rsid w:val="00764C0D"/>
    <w:rsid w:val="0077101F"/>
    <w:rsid w:val="00771E43"/>
    <w:rsid w:val="00773E9B"/>
    <w:rsid w:val="0077492F"/>
    <w:rsid w:val="00776A34"/>
    <w:rsid w:val="00776FF1"/>
    <w:rsid w:val="00780108"/>
    <w:rsid w:val="00780300"/>
    <w:rsid w:val="00783045"/>
    <w:rsid w:val="00783167"/>
    <w:rsid w:val="00783C60"/>
    <w:rsid w:val="00787941"/>
    <w:rsid w:val="00791192"/>
    <w:rsid w:val="007914C6"/>
    <w:rsid w:val="00793486"/>
    <w:rsid w:val="00795E32"/>
    <w:rsid w:val="007A0070"/>
    <w:rsid w:val="007A0A07"/>
    <w:rsid w:val="007A12C6"/>
    <w:rsid w:val="007A264A"/>
    <w:rsid w:val="007A2C09"/>
    <w:rsid w:val="007A2C71"/>
    <w:rsid w:val="007A360C"/>
    <w:rsid w:val="007A3B53"/>
    <w:rsid w:val="007B10F9"/>
    <w:rsid w:val="007B11F8"/>
    <w:rsid w:val="007B14FD"/>
    <w:rsid w:val="007B1926"/>
    <w:rsid w:val="007B1B25"/>
    <w:rsid w:val="007B2767"/>
    <w:rsid w:val="007B6377"/>
    <w:rsid w:val="007B747A"/>
    <w:rsid w:val="007C1DC9"/>
    <w:rsid w:val="007C283F"/>
    <w:rsid w:val="007C2C3B"/>
    <w:rsid w:val="007C463B"/>
    <w:rsid w:val="007C6C85"/>
    <w:rsid w:val="007D4217"/>
    <w:rsid w:val="007D76F9"/>
    <w:rsid w:val="007E7007"/>
    <w:rsid w:val="007E7FA6"/>
    <w:rsid w:val="007F04CB"/>
    <w:rsid w:val="007F376A"/>
    <w:rsid w:val="007F3BD2"/>
    <w:rsid w:val="007F3C59"/>
    <w:rsid w:val="007F62A8"/>
    <w:rsid w:val="007F7D81"/>
    <w:rsid w:val="00800AF0"/>
    <w:rsid w:val="00800B05"/>
    <w:rsid w:val="00804C8E"/>
    <w:rsid w:val="008058ED"/>
    <w:rsid w:val="00807EFF"/>
    <w:rsid w:val="00810E49"/>
    <w:rsid w:val="00810F82"/>
    <w:rsid w:val="00811092"/>
    <w:rsid w:val="00811296"/>
    <w:rsid w:val="008114F8"/>
    <w:rsid w:val="00812B94"/>
    <w:rsid w:val="00815380"/>
    <w:rsid w:val="008164D4"/>
    <w:rsid w:val="00816AD4"/>
    <w:rsid w:val="0082222F"/>
    <w:rsid w:val="008222E0"/>
    <w:rsid w:val="0082369A"/>
    <w:rsid w:val="0082404D"/>
    <w:rsid w:val="00824820"/>
    <w:rsid w:val="00824A10"/>
    <w:rsid w:val="0082657F"/>
    <w:rsid w:val="00827433"/>
    <w:rsid w:val="00830B98"/>
    <w:rsid w:val="00830D14"/>
    <w:rsid w:val="0083594F"/>
    <w:rsid w:val="0084111F"/>
    <w:rsid w:val="00842838"/>
    <w:rsid w:val="008434F2"/>
    <w:rsid w:val="00844058"/>
    <w:rsid w:val="008459EA"/>
    <w:rsid w:val="00845C30"/>
    <w:rsid w:val="00847D82"/>
    <w:rsid w:val="00847E7E"/>
    <w:rsid w:val="00855D40"/>
    <w:rsid w:val="00856223"/>
    <w:rsid w:val="00863C86"/>
    <w:rsid w:val="00863C8A"/>
    <w:rsid w:val="00864639"/>
    <w:rsid w:val="008655B5"/>
    <w:rsid w:val="00866F3C"/>
    <w:rsid w:val="00867ED0"/>
    <w:rsid w:val="008718C1"/>
    <w:rsid w:val="00872503"/>
    <w:rsid w:val="008769ED"/>
    <w:rsid w:val="00877F20"/>
    <w:rsid w:val="00880842"/>
    <w:rsid w:val="008810D9"/>
    <w:rsid w:val="008831B6"/>
    <w:rsid w:val="0088395B"/>
    <w:rsid w:val="00884968"/>
    <w:rsid w:val="00884C37"/>
    <w:rsid w:val="00885528"/>
    <w:rsid w:val="00885AF1"/>
    <w:rsid w:val="00885B5E"/>
    <w:rsid w:val="00885F6F"/>
    <w:rsid w:val="00887CE8"/>
    <w:rsid w:val="00894589"/>
    <w:rsid w:val="00895B04"/>
    <w:rsid w:val="0089610E"/>
    <w:rsid w:val="0089626C"/>
    <w:rsid w:val="008A30EC"/>
    <w:rsid w:val="008A37F5"/>
    <w:rsid w:val="008A3C60"/>
    <w:rsid w:val="008A43AC"/>
    <w:rsid w:val="008A6D6F"/>
    <w:rsid w:val="008A7447"/>
    <w:rsid w:val="008B0FC2"/>
    <w:rsid w:val="008B448D"/>
    <w:rsid w:val="008B5AE7"/>
    <w:rsid w:val="008B5D6D"/>
    <w:rsid w:val="008C4A49"/>
    <w:rsid w:val="008C7663"/>
    <w:rsid w:val="008D20DC"/>
    <w:rsid w:val="008D30B8"/>
    <w:rsid w:val="008D3C7A"/>
    <w:rsid w:val="008D5695"/>
    <w:rsid w:val="008D6882"/>
    <w:rsid w:val="008D6F5C"/>
    <w:rsid w:val="008E0098"/>
    <w:rsid w:val="008E1773"/>
    <w:rsid w:val="008E323E"/>
    <w:rsid w:val="008E39B7"/>
    <w:rsid w:val="008E449D"/>
    <w:rsid w:val="008E61B3"/>
    <w:rsid w:val="008E7A16"/>
    <w:rsid w:val="008F10FE"/>
    <w:rsid w:val="008F1828"/>
    <w:rsid w:val="008F3837"/>
    <w:rsid w:val="008F386B"/>
    <w:rsid w:val="008F4388"/>
    <w:rsid w:val="008F5E7F"/>
    <w:rsid w:val="008F6234"/>
    <w:rsid w:val="008F642C"/>
    <w:rsid w:val="008F6F36"/>
    <w:rsid w:val="00901EF4"/>
    <w:rsid w:val="00903070"/>
    <w:rsid w:val="009030AE"/>
    <w:rsid w:val="009039F6"/>
    <w:rsid w:val="00904F42"/>
    <w:rsid w:val="009059BB"/>
    <w:rsid w:val="009064BB"/>
    <w:rsid w:val="00907F2D"/>
    <w:rsid w:val="00913A16"/>
    <w:rsid w:val="00917985"/>
    <w:rsid w:val="009205E4"/>
    <w:rsid w:val="0092230E"/>
    <w:rsid w:val="00926706"/>
    <w:rsid w:val="00930F82"/>
    <w:rsid w:val="009321B5"/>
    <w:rsid w:val="00932780"/>
    <w:rsid w:val="009349EB"/>
    <w:rsid w:val="009354DD"/>
    <w:rsid w:val="00936F85"/>
    <w:rsid w:val="00942984"/>
    <w:rsid w:val="0094430F"/>
    <w:rsid w:val="00945B98"/>
    <w:rsid w:val="00946AB6"/>
    <w:rsid w:val="00950927"/>
    <w:rsid w:val="00951E8A"/>
    <w:rsid w:val="00952D55"/>
    <w:rsid w:val="009559E4"/>
    <w:rsid w:val="00961290"/>
    <w:rsid w:val="00962117"/>
    <w:rsid w:val="00962265"/>
    <w:rsid w:val="00962C65"/>
    <w:rsid w:val="00963597"/>
    <w:rsid w:val="00967F69"/>
    <w:rsid w:val="0097157F"/>
    <w:rsid w:val="00974370"/>
    <w:rsid w:val="00977E6F"/>
    <w:rsid w:val="00980A75"/>
    <w:rsid w:val="00982396"/>
    <w:rsid w:val="00982EE4"/>
    <w:rsid w:val="009856A5"/>
    <w:rsid w:val="00987C43"/>
    <w:rsid w:val="00990105"/>
    <w:rsid w:val="00990536"/>
    <w:rsid w:val="00993D4B"/>
    <w:rsid w:val="009950DB"/>
    <w:rsid w:val="009969CC"/>
    <w:rsid w:val="0099780F"/>
    <w:rsid w:val="00997885"/>
    <w:rsid w:val="00997DFF"/>
    <w:rsid w:val="009A0F3E"/>
    <w:rsid w:val="009A2AFA"/>
    <w:rsid w:val="009A35D1"/>
    <w:rsid w:val="009A3CFA"/>
    <w:rsid w:val="009A6195"/>
    <w:rsid w:val="009B0C29"/>
    <w:rsid w:val="009B29E2"/>
    <w:rsid w:val="009B36DC"/>
    <w:rsid w:val="009B4C6C"/>
    <w:rsid w:val="009B4EE5"/>
    <w:rsid w:val="009B5EED"/>
    <w:rsid w:val="009B5F4C"/>
    <w:rsid w:val="009B6400"/>
    <w:rsid w:val="009B72C3"/>
    <w:rsid w:val="009B736E"/>
    <w:rsid w:val="009C3A75"/>
    <w:rsid w:val="009C4DEC"/>
    <w:rsid w:val="009D1A45"/>
    <w:rsid w:val="009D2988"/>
    <w:rsid w:val="009D41FE"/>
    <w:rsid w:val="009D49C2"/>
    <w:rsid w:val="009D5E20"/>
    <w:rsid w:val="009E206E"/>
    <w:rsid w:val="009E694B"/>
    <w:rsid w:val="009E6E42"/>
    <w:rsid w:val="009F008F"/>
    <w:rsid w:val="009F1D68"/>
    <w:rsid w:val="009F2EFA"/>
    <w:rsid w:val="009F42ED"/>
    <w:rsid w:val="009F4414"/>
    <w:rsid w:val="009F5104"/>
    <w:rsid w:val="009F575C"/>
    <w:rsid w:val="009F64D4"/>
    <w:rsid w:val="009F7DD7"/>
    <w:rsid w:val="00A0435A"/>
    <w:rsid w:val="00A06910"/>
    <w:rsid w:val="00A111DA"/>
    <w:rsid w:val="00A14697"/>
    <w:rsid w:val="00A17563"/>
    <w:rsid w:val="00A21B94"/>
    <w:rsid w:val="00A22ADA"/>
    <w:rsid w:val="00A238D7"/>
    <w:rsid w:val="00A23CFE"/>
    <w:rsid w:val="00A24031"/>
    <w:rsid w:val="00A2686A"/>
    <w:rsid w:val="00A26C3C"/>
    <w:rsid w:val="00A276B0"/>
    <w:rsid w:val="00A31FB0"/>
    <w:rsid w:val="00A36B8F"/>
    <w:rsid w:val="00A36E40"/>
    <w:rsid w:val="00A37B18"/>
    <w:rsid w:val="00A37C7A"/>
    <w:rsid w:val="00A40C0D"/>
    <w:rsid w:val="00A42148"/>
    <w:rsid w:val="00A43DF1"/>
    <w:rsid w:val="00A44ABB"/>
    <w:rsid w:val="00A44EF7"/>
    <w:rsid w:val="00A454CD"/>
    <w:rsid w:val="00A45E50"/>
    <w:rsid w:val="00A4649E"/>
    <w:rsid w:val="00A466C1"/>
    <w:rsid w:val="00A4705F"/>
    <w:rsid w:val="00A510B2"/>
    <w:rsid w:val="00A51A29"/>
    <w:rsid w:val="00A51DAD"/>
    <w:rsid w:val="00A52A92"/>
    <w:rsid w:val="00A53FD9"/>
    <w:rsid w:val="00A543F7"/>
    <w:rsid w:val="00A57CCA"/>
    <w:rsid w:val="00A60B77"/>
    <w:rsid w:val="00A61E77"/>
    <w:rsid w:val="00A62C3F"/>
    <w:rsid w:val="00A63F9F"/>
    <w:rsid w:val="00A64BF2"/>
    <w:rsid w:val="00A67A66"/>
    <w:rsid w:val="00A70ECE"/>
    <w:rsid w:val="00A72951"/>
    <w:rsid w:val="00A77665"/>
    <w:rsid w:val="00A8037C"/>
    <w:rsid w:val="00A81C3E"/>
    <w:rsid w:val="00A82298"/>
    <w:rsid w:val="00A8476E"/>
    <w:rsid w:val="00A86803"/>
    <w:rsid w:val="00A873AD"/>
    <w:rsid w:val="00A90261"/>
    <w:rsid w:val="00A9169A"/>
    <w:rsid w:val="00A94830"/>
    <w:rsid w:val="00A9580F"/>
    <w:rsid w:val="00A96749"/>
    <w:rsid w:val="00A97593"/>
    <w:rsid w:val="00AA1384"/>
    <w:rsid w:val="00AA18B4"/>
    <w:rsid w:val="00AA1DC3"/>
    <w:rsid w:val="00AA36B9"/>
    <w:rsid w:val="00AA524C"/>
    <w:rsid w:val="00AA5310"/>
    <w:rsid w:val="00AB1182"/>
    <w:rsid w:val="00AB13B9"/>
    <w:rsid w:val="00AB2D93"/>
    <w:rsid w:val="00AB479D"/>
    <w:rsid w:val="00AB510E"/>
    <w:rsid w:val="00AC23CB"/>
    <w:rsid w:val="00AC6125"/>
    <w:rsid w:val="00AC6F49"/>
    <w:rsid w:val="00AC79EB"/>
    <w:rsid w:val="00AD1C72"/>
    <w:rsid w:val="00AD1E98"/>
    <w:rsid w:val="00AD4944"/>
    <w:rsid w:val="00AD636E"/>
    <w:rsid w:val="00AD680C"/>
    <w:rsid w:val="00AD6F3E"/>
    <w:rsid w:val="00AE0F90"/>
    <w:rsid w:val="00AE1BCA"/>
    <w:rsid w:val="00AE2381"/>
    <w:rsid w:val="00AE3F38"/>
    <w:rsid w:val="00AE7795"/>
    <w:rsid w:val="00AE79BE"/>
    <w:rsid w:val="00AF0763"/>
    <w:rsid w:val="00AF0B86"/>
    <w:rsid w:val="00AF1DFD"/>
    <w:rsid w:val="00AF2958"/>
    <w:rsid w:val="00AF4451"/>
    <w:rsid w:val="00AF4806"/>
    <w:rsid w:val="00AF5F33"/>
    <w:rsid w:val="00B01BEC"/>
    <w:rsid w:val="00B03AF8"/>
    <w:rsid w:val="00B03E68"/>
    <w:rsid w:val="00B05109"/>
    <w:rsid w:val="00B078AE"/>
    <w:rsid w:val="00B1021A"/>
    <w:rsid w:val="00B103B6"/>
    <w:rsid w:val="00B10565"/>
    <w:rsid w:val="00B1268F"/>
    <w:rsid w:val="00B1472D"/>
    <w:rsid w:val="00B14E25"/>
    <w:rsid w:val="00B152A2"/>
    <w:rsid w:val="00B1687F"/>
    <w:rsid w:val="00B17101"/>
    <w:rsid w:val="00B1739F"/>
    <w:rsid w:val="00B20D1C"/>
    <w:rsid w:val="00B24E8A"/>
    <w:rsid w:val="00B24F6C"/>
    <w:rsid w:val="00B266F8"/>
    <w:rsid w:val="00B26BDD"/>
    <w:rsid w:val="00B27A52"/>
    <w:rsid w:val="00B311C1"/>
    <w:rsid w:val="00B327F6"/>
    <w:rsid w:val="00B32E4C"/>
    <w:rsid w:val="00B337FF"/>
    <w:rsid w:val="00B339EE"/>
    <w:rsid w:val="00B341B0"/>
    <w:rsid w:val="00B35404"/>
    <w:rsid w:val="00B36F2F"/>
    <w:rsid w:val="00B40037"/>
    <w:rsid w:val="00B41E15"/>
    <w:rsid w:val="00B41FE9"/>
    <w:rsid w:val="00B42400"/>
    <w:rsid w:val="00B4433B"/>
    <w:rsid w:val="00B450C8"/>
    <w:rsid w:val="00B504FB"/>
    <w:rsid w:val="00B50A68"/>
    <w:rsid w:val="00B51001"/>
    <w:rsid w:val="00B515B7"/>
    <w:rsid w:val="00B51A80"/>
    <w:rsid w:val="00B5501F"/>
    <w:rsid w:val="00B6101A"/>
    <w:rsid w:val="00B62465"/>
    <w:rsid w:val="00B63157"/>
    <w:rsid w:val="00B6421B"/>
    <w:rsid w:val="00B67FD7"/>
    <w:rsid w:val="00B70008"/>
    <w:rsid w:val="00B71B2C"/>
    <w:rsid w:val="00B72F9B"/>
    <w:rsid w:val="00B74B16"/>
    <w:rsid w:val="00B765CB"/>
    <w:rsid w:val="00B81168"/>
    <w:rsid w:val="00B812FF"/>
    <w:rsid w:val="00B81E41"/>
    <w:rsid w:val="00B829E7"/>
    <w:rsid w:val="00B83912"/>
    <w:rsid w:val="00B83FCA"/>
    <w:rsid w:val="00B908B0"/>
    <w:rsid w:val="00B91056"/>
    <w:rsid w:val="00B91859"/>
    <w:rsid w:val="00B92775"/>
    <w:rsid w:val="00B92CBB"/>
    <w:rsid w:val="00B92F17"/>
    <w:rsid w:val="00B92F2F"/>
    <w:rsid w:val="00B95A22"/>
    <w:rsid w:val="00BA408B"/>
    <w:rsid w:val="00BA4352"/>
    <w:rsid w:val="00BB250B"/>
    <w:rsid w:val="00BB3BC4"/>
    <w:rsid w:val="00BB42B9"/>
    <w:rsid w:val="00BB5E4D"/>
    <w:rsid w:val="00BB76D1"/>
    <w:rsid w:val="00BB7DBC"/>
    <w:rsid w:val="00BC2EA8"/>
    <w:rsid w:val="00BC2F58"/>
    <w:rsid w:val="00BC4091"/>
    <w:rsid w:val="00BC4185"/>
    <w:rsid w:val="00BC459D"/>
    <w:rsid w:val="00BC5943"/>
    <w:rsid w:val="00BC6701"/>
    <w:rsid w:val="00BC68F1"/>
    <w:rsid w:val="00BC7034"/>
    <w:rsid w:val="00BD052C"/>
    <w:rsid w:val="00BD0A0E"/>
    <w:rsid w:val="00BD0DE2"/>
    <w:rsid w:val="00BD27DC"/>
    <w:rsid w:val="00BD2C4F"/>
    <w:rsid w:val="00BD3364"/>
    <w:rsid w:val="00BD4592"/>
    <w:rsid w:val="00BD59B5"/>
    <w:rsid w:val="00BD5E05"/>
    <w:rsid w:val="00BD6900"/>
    <w:rsid w:val="00BD7369"/>
    <w:rsid w:val="00BE12F3"/>
    <w:rsid w:val="00BE1E3F"/>
    <w:rsid w:val="00BE5AEF"/>
    <w:rsid w:val="00BF1B77"/>
    <w:rsid w:val="00BF31C9"/>
    <w:rsid w:val="00BF6A90"/>
    <w:rsid w:val="00C028F9"/>
    <w:rsid w:val="00C035E0"/>
    <w:rsid w:val="00C05649"/>
    <w:rsid w:val="00C07707"/>
    <w:rsid w:val="00C10AD6"/>
    <w:rsid w:val="00C10EC3"/>
    <w:rsid w:val="00C11745"/>
    <w:rsid w:val="00C12A74"/>
    <w:rsid w:val="00C131BB"/>
    <w:rsid w:val="00C15014"/>
    <w:rsid w:val="00C153CC"/>
    <w:rsid w:val="00C16057"/>
    <w:rsid w:val="00C16E38"/>
    <w:rsid w:val="00C235E2"/>
    <w:rsid w:val="00C2550E"/>
    <w:rsid w:val="00C304D0"/>
    <w:rsid w:val="00C316A3"/>
    <w:rsid w:val="00C36228"/>
    <w:rsid w:val="00C36F26"/>
    <w:rsid w:val="00C43B01"/>
    <w:rsid w:val="00C46A33"/>
    <w:rsid w:val="00C4746E"/>
    <w:rsid w:val="00C477B1"/>
    <w:rsid w:val="00C47A99"/>
    <w:rsid w:val="00C52056"/>
    <w:rsid w:val="00C5340C"/>
    <w:rsid w:val="00C535B1"/>
    <w:rsid w:val="00C54A93"/>
    <w:rsid w:val="00C55199"/>
    <w:rsid w:val="00C55AA9"/>
    <w:rsid w:val="00C62F5F"/>
    <w:rsid w:val="00C64953"/>
    <w:rsid w:val="00C657C5"/>
    <w:rsid w:val="00C65F27"/>
    <w:rsid w:val="00C66D53"/>
    <w:rsid w:val="00C66FF5"/>
    <w:rsid w:val="00C67965"/>
    <w:rsid w:val="00C67C55"/>
    <w:rsid w:val="00C71772"/>
    <w:rsid w:val="00C74CE7"/>
    <w:rsid w:val="00C755A5"/>
    <w:rsid w:val="00C8116F"/>
    <w:rsid w:val="00C816C4"/>
    <w:rsid w:val="00C83147"/>
    <w:rsid w:val="00C83AAD"/>
    <w:rsid w:val="00C849EB"/>
    <w:rsid w:val="00C84ACE"/>
    <w:rsid w:val="00C870C8"/>
    <w:rsid w:val="00C87B2D"/>
    <w:rsid w:val="00C91C80"/>
    <w:rsid w:val="00C9284C"/>
    <w:rsid w:val="00C92957"/>
    <w:rsid w:val="00C94DC6"/>
    <w:rsid w:val="00C9702C"/>
    <w:rsid w:val="00C97B77"/>
    <w:rsid w:val="00CA4111"/>
    <w:rsid w:val="00CA48B6"/>
    <w:rsid w:val="00CA519B"/>
    <w:rsid w:val="00CA5B2A"/>
    <w:rsid w:val="00CB22E7"/>
    <w:rsid w:val="00CB401B"/>
    <w:rsid w:val="00CB40F9"/>
    <w:rsid w:val="00CB68C1"/>
    <w:rsid w:val="00CB77A9"/>
    <w:rsid w:val="00CB7AE5"/>
    <w:rsid w:val="00CC3585"/>
    <w:rsid w:val="00CC4C86"/>
    <w:rsid w:val="00CC6146"/>
    <w:rsid w:val="00CD2167"/>
    <w:rsid w:val="00CD3B38"/>
    <w:rsid w:val="00CD438A"/>
    <w:rsid w:val="00CD4B42"/>
    <w:rsid w:val="00CD60BF"/>
    <w:rsid w:val="00CD7227"/>
    <w:rsid w:val="00CE2A41"/>
    <w:rsid w:val="00CE4CAC"/>
    <w:rsid w:val="00CE67D2"/>
    <w:rsid w:val="00CE79CD"/>
    <w:rsid w:val="00CE7EEB"/>
    <w:rsid w:val="00CF16AA"/>
    <w:rsid w:val="00CF277E"/>
    <w:rsid w:val="00CF3568"/>
    <w:rsid w:val="00CF3687"/>
    <w:rsid w:val="00CF3DFC"/>
    <w:rsid w:val="00CF4C4B"/>
    <w:rsid w:val="00D013E3"/>
    <w:rsid w:val="00D032E6"/>
    <w:rsid w:val="00D03C99"/>
    <w:rsid w:val="00D07CF5"/>
    <w:rsid w:val="00D1075D"/>
    <w:rsid w:val="00D110CC"/>
    <w:rsid w:val="00D11F31"/>
    <w:rsid w:val="00D12741"/>
    <w:rsid w:val="00D13BE2"/>
    <w:rsid w:val="00D143BE"/>
    <w:rsid w:val="00D16E52"/>
    <w:rsid w:val="00D20F06"/>
    <w:rsid w:val="00D21B50"/>
    <w:rsid w:val="00D22308"/>
    <w:rsid w:val="00D24EBC"/>
    <w:rsid w:val="00D258AF"/>
    <w:rsid w:val="00D31D73"/>
    <w:rsid w:val="00D32A81"/>
    <w:rsid w:val="00D35A29"/>
    <w:rsid w:val="00D402F0"/>
    <w:rsid w:val="00D4450C"/>
    <w:rsid w:val="00D4451A"/>
    <w:rsid w:val="00D44A68"/>
    <w:rsid w:val="00D4568D"/>
    <w:rsid w:val="00D4621F"/>
    <w:rsid w:val="00D5110A"/>
    <w:rsid w:val="00D51913"/>
    <w:rsid w:val="00D53E0C"/>
    <w:rsid w:val="00D54759"/>
    <w:rsid w:val="00D6140F"/>
    <w:rsid w:val="00D61915"/>
    <w:rsid w:val="00D63BBB"/>
    <w:rsid w:val="00D646A7"/>
    <w:rsid w:val="00D64B6E"/>
    <w:rsid w:val="00D64F72"/>
    <w:rsid w:val="00D651E5"/>
    <w:rsid w:val="00D72999"/>
    <w:rsid w:val="00D72FC9"/>
    <w:rsid w:val="00D73FEE"/>
    <w:rsid w:val="00D75FB7"/>
    <w:rsid w:val="00D762C5"/>
    <w:rsid w:val="00D77BBA"/>
    <w:rsid w:val="00D82CC1"/>
    <w:rsid w:val="00D834C7"/>
    <w:rsid w:val="00D8383C"/>
    <w:rsid w:val="00D84093"/>
    <w:rsid w:val="00D85436"/>
    <w:rsid w:val="00D919A6"/>
    <w:rsid w:val="00D9646A"/>
    <w:rsid w:val="00D97234"/>
    <w:rsid w:val="00DA04EB"/>
    <w:rsid w:val="00DA1803"/>
    <w:rsid w:val="00DA225E"/>
    <w:rsid w:val="00DA2E1B"/>
    <w:rsid w:val="00DA32CB"/>
    <w:rsid w:val="00DA418D"/>
    <w:rsid w:val="00DA421A"/>
    <w:rsid w:val="00DA4E20"/>
    <w:rsid w:val="00DB2C6D"/>
    <w:rsid w:val="00DB4E78"/>
    <w:rsid w:val="00DB5EFD"/>
    <w:rsid w:val="00DB5F8E"/>
    <w:rsid w:val="00DB6196"/>
    <w:rsid w:val="00DB71C3"/>
    <w:rsid w:val="00DB7B33"/>
    <w:rsid w:val="00DB7D60"/>
    <w:rsid w:val="00DC0CA5"/>
    <w:rsid w:val="00DC15A3"/>
    <w:rsid w:val="00DC1EA4"/>
    <w:rsid w:val="00DC1F64"/>
    <w:rsid w:val="00DC24D2"/>
    <w:rsid w:val="00DC284C"/>
    <w:rsid w:val="00DC2E57"/>
    <w:rsid w:val="00DC4A75"/>
    <w:rsid w:val="00DC54EE"/>
    <w:rsid w:val="00DC7A60"/>
    <w:rsid w:val="00DD0725"/>
    <w:rsid w:val="00DD1552"/>
    <w:rsid w:val="00DD3163"/>
    <w:rsid w:val="00DD3DB3"/>
    <w:rsid w:val="00DD46CB"/>
    <w:rsid w:val="00DD4A1B"/>
    <w:rsid w:val="00DD5FBA"/>
    <w:rsid w:val="00DD6931"/>
    <w:rsid w:val="00DD6E80"/>
    <w:rsid w:val="00DD6EDD"/>
    <w:rsid w:val="00DD6F73"/>
    <w:rsid w:val="00DE04ED"/>
    <w:rsid w:val="00DE12D3"/>
    <w:rsid w:val="00DE311B"/>
    <w:rsid w:val="00DE4032"/>
    <w:rsid w:val="00DE46BC"/>
    <w:rsid w:val="00DE7D15"/>
    <w:rsid w:val="00DF28B6"/>
    <w:rsid w:val="00DF315E"/>
    <w:rsid w:val="00DF625E"/>
    <w:rsid w:val="00DF747D"/>
    <w:rsid w:val="00DF75C2"/>
    <w:rsid w:val="00E012BF"/>
    <w:rsid w:val="00E060A6"/>
    <w:rsid w:val="00E06FE5"/>
    <w:rsid w:val="00E07C19"/>
    <w:rsid w:val="00E117F3"/>
    <w:rsid w:val="00E127C6"/>
    <w:rsid w:val="00E12B0E"/>
    <w:rsid w:val="00E13D91"/>
    <w:rsid w:val="00E1405F"/>
    <w:rsid w:val="00E14459"/>
    <w:rsid w:val="00E149EA"/>
    <w:rsid w:val="00E15E27"/>
    <w:rsid w:val="00E15F5E"/>
    <w:rsid w:val="00E17B93"/>
    <w:rsid w:val="00E220ED"/>
    <w:rsid w:val="00E22CB3"/>
    <w:rsid w:val="00E2375A"/>
    <w:rsid w:val="00E2496E"/>
    <w:rsid w:val="00E25A62"/>
    <w:rsid w:val="00E2722D"/>
    <w:rsid w:val="00E2748E"/>
    <w:rsid w:val="00E311D1"/>
    <w:rsid w:val="00E314D0"/>
    <w:rsid w:val="00E31AEF"/>
    <w:rsid w:val="00E3221D"/>
    <w:rsid w:val="00E36F02"/>
    <w:rsid w:val="00E4010A"/>
    <w:rsid w:val="00E410EB"/>
    <w:rsid w:val="00E41EBC"/>
    <w:rsid w:val="00E434FD"/>
    <w:rsid w:val="00E47B03"/>
    <w:rsid w:val="00E47DA7"/>
    <w:rsid w:val="00E5106C"/>
    <w:rsid w:val="00E534E1"/>
    <w:rsid w:val="00E540AE"/>
    <w:rsid w:val="00E55B31"/>
    <w:rsid w:val="00E56079"/>
    <w:rsid w:val="00E56136"/>
    <w:rsid w:val="00E614C4"/>
    <w:rsid w:val="00E623A7"/>
    <w:rsid w:val="00E64F87"/>
    <w:rsid w:val="00E6740B"/>
    <w:rsid w:val="00E67933"/>
    <w:rsid w:val="00E67F88"/>
    <w:rsid w:val="00E70C13"/>
    <w:rsid w:val="00E71A53"/>
    <w:rsid w:val="00E80185"/>
    <w:rsid w:val="00E83132"/>
    <w:rsid w:val="00E83214"/>
    <w:rsid w:val="00E844D9"/>
    <w:rsid w:val="00E85407"/>
    <w:rsid w:val="00E85B59"/>
    <w:rsid w:val="00E85EEF"/>
    <w:rsid w:val="00E86CDE"/>
    <w:rsid w:val="00E8784A"/>
    <w:rsid w:val="00E87926"/>
    <w:rsid w:val="00E90519"/>
    <w:rsid w:val="00E93DF7"/>
    <w:rsid w:val="00E95648"/>
    <w:rsid w:val="00E964B7"/>
    <w:rsid w:val="00EA182A"/>
    <w:rsid w:val="00EA2174"/>
    <w:rsid w:val="00EA276D"/>
    <w:rsid w:val="00EA2D79"/>
    <w:rsid w:val="00EA469F"/>
    <w:rsid w:val="00EB00B7"/>
    <w:rsid w:val="00EB0AC2"/>
    <w:rsid w:val="00EB152F"/>
    <w:rsid w:val="00EB3C37"/>
    <w:rsid w:val="00EB52A1"/>
    <w:rsid w:val="00EB7CAC"/>
    <w:rsid w:val="00EC01A6"/>
    <w:rsid w:val="00EC1D59"/>
    <w:rsid w:val="00EC300B"/>
    <w:rsid w:val="00EC30E5"/>
    <w:rsid w:val="00EC45DA"/>
    <w:rsid w:val="00EC5F1E"/>
    <w:rsid w:val="00EC71D8"/>
    <w:rsid w:val="00EC7ACF"/>
    <w:rsid w:val="00ED2E68"/>
    <w:rsid w:val="00ED31EB"/>
    <w:rsid w:val="00ED34BB"/>
    <w:rsid w:val="00ED3B08"/>
    <w:rsid w:val="00ED3DAB"/>
    <w:rsid w:val="00ED4C73"/>
    <w:rsid w:val="00ED7FCC"/>
    <w:rsid w:val="00EE08A6"/>
    <w:rsid w:val="00EE3CE4"/>
    <w:rsid w:val="00EE6B5E"/>
    <w:rsid w:val="00EE6D7A"/>
    <w:rsid w:val="00EE7979"/>
    <w:rsid w:val="00EF04B5"/>
    <w:rsid w:val="00EF0FEB"/>
    <w:rsid w:val="00EF1DB6"/>
    <w:rsid w:val="00EF2545"/>
    <w:rsid w:val="00EF319D"/>
    <w:rsid w:val="00EF47A4"/>
    <w:rsid w:val="00EF4DC6"/>
    <w:rsid w:val="00EF6D66"/>
    <w:rsid w:val="00EF7361"/>
    <w:rsid w:val="00EF78FF"/>
    <w:rsid w:val="00EF7F84"/>
    <w:rsid w:val="00F008AC"/>
    <w:rsid w:val="00F00EF3"/>
    <w:rsid w:val="00F02DD6"/>
    <w:rsid w:val="00F034F1"/>
    <w:rsid w:val="00F0374F"/>
    <w:rsid w:val="00F042CE"/>
    <w:rsid w:val="00F05069"/>
    <w:rsid w:val="00F07F91"/>
    <w:rsid w:val="00F10046"/>
    <w:rsid w:val="00F11DFE"/>
    <w:rsid w:val="00F14303"/>
    <w:rsid w:val="00F17707"/>
    <w:rsid w:val="00F178EA"/>
    <w:rsid w:val="00F20D7C"/>
    <w:rsid w:val="00F20DDC"/>
    <w:rsid w:val="00F2184E"/>
    <w:rsid w:val="00F2270E"/>
    <w:rsid w:val="00F23DED"/>
    <w:rsid w:val="00F248EB"/>
    <w:rsid w:val="00F3108B"/>
    <w:rsid w:val="00F31F55"/>
    <w:rsid w:val="00F35694"/>
    <w:rsid w:val="00F357E9"/>
    <w:rsid w:val="00F402F1"/>
    <w:rsid w:val="00F40498"/>
    <w:rsid w:val="00F40B6E"/>
    <w:rsid w:val="00F43AEE"/>
    <w:rsid w:val="00F4525B"/>
    <w:rsid w:val="00F47291"/>
    <w:rsid w:val="00F47F66"/>
    <w:rsid w:val="00F504A3"/>
    <w:rsid w:val="00F51863"/>
    <w:rsid w:val="00F550A4"/>
    <w:rsid w:val="00F56B5B"/>
    <w:rsid w:val="00F57E0C"/>
    <w:rsid w:val="00F600C2"/>
    <w:rsid w:val="00F606A8"/>
    <w:rsid w:val="00F6414E"/>
    <w:rsid w:val="00F665B5"/>
    <w:rsid w:val="00F66B08"/>
    <w:rsid w:val="00F70AE4"/>
    <w:rsid w:val="00F71E0E"/>
    <w:rsid w:val="00F721F4"/>
    <w:rsid w:val="00F731B7"/>
    <w:rsid w:val="00F8078C"/>
    <w:rsid w:val="00F80C6E"/>
    <w:rsid w:val="00F81BAF"/>
    <w:rsid w:val="00F82258"/>
    <w:rsid w:val="00F83D10"/>
    <w:rsid w:val="00F85156"/>
    <w:rsid w:val="00F859C3"/>
    <w:rsid w:val="00F85A7C"/>
    <w:rsid w:val="00F86BCD"/>
    <w:rsid w:val="00F86FF1"/>
    <w:rsid w:val="00F87CB6"/>
    <w:rsid w:val="00F922D2"/>
    <w:rsid w:val="00F929EF"/>
    <w:rsid w:val="00F9308A"/>
    <w:rsid w:val="00F934EB"/>
    <w:rsid w:val="00F94386"/>
    <w:rsid w:val="00F97A22"/>
    <w:rsid w:val="00FA33A8"/>
    <w:rsid w:val="00FA3904"/>
    <w:rsid w:val="00FA4FD6"/>
    <w:rsid w:val="00FA5002"/>
    <w:rsid w:val="00FA6FF9"/>
    <w:rsid w:val="00FA774E"/>
    <w:rsid w:val="00FB16BA"/>
    <w:rsid w:val="00FB5CB9"/>
    <w:rsid w:val="00FB609E"/>
    <w:rsid w:val="00FB6BB8"/>
    <w:rsid w:val="00FC0921"/>
    <w:rsid w:val="00FC0F7F"/>
    <w:rsid w:val="00FC17BE"/>
    <w:rsid w:val="00FC1D19"/>
    <w:rsid w:val="00FC22A4"/>
    <w:rsid w:val="00FC25C7"/>
    <w:rsid w:val="00FC2998"/>
    <w:rsid w:val="00FD1AD3"/>
    <w:rsid w:val="00FD2A76"/>
    <w:rsid w:val="00FD3080"/>
    <w:rsid w:val="00FD3FA9"/>
    <w:rsid w:val="00FD620B"/>
    <w:rsid w:val="00FD68E6"/>
    <w:rsid w:val="00FD695D"/>
    <w:rsid w:val="00FE0517"/>
    <w:rsid w:val="00FE25D2"/>
    <w:rsid w:val="00FE3F16"/>
    <w:rsid w:val="00FE5537"/>
    <w:rsid w:val="00FE6E21"/>
    <w:rsid w:val="00FF137A"/>
    <w:rsid w:val="00FF239F"/>
    <w:rsid w:val="00FF34B7"/>
    <w:rsid w:val="00FF6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semiHidden/>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C2B6A"/>
    <w:rPr>
      <w:rFonts w:asciiTheme="minorHAnsi" w:hAnsiTheme="minorHAnsi"/>
      <w:sz w:val="20"/>
      <w:szCs w:val="20"/>
    </w:rPr>
  </w:style>
  <w:style w:type="character" w:styleId="FootnoteReference">
    <w:name w:val="footnote reference"/>
    <w:aliases w:val="Footnote Reference times"/>
    <w:basedOn w:val="DefaultParagraphFont"/>
    <w:uiPriority w:val="99"/>
    <w:unhideWhenUsed/>
    <w:qFormat/>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paragraph" w:styleId="Revision">
    <w:name w:val="Revision"/>
    <w:hidden/>
    <w:uiPriority w:val="99"/>
    <w:semiHidden/>
    <w:rsid w:val="00867ED0"/>
    <w:pPr>
      <w:spacing w:after="0" w:line="240" w:lineRule="auto"/>
    </w:pPr>
  </w:style>
  <w:style w:type="character" w:styleId="Emphasis">
    <w:name w:val="Emphasis"/>
    <w:qFormat/>
    <w:rsid w:val="001A275A"/>
    <w:rPr>
      <w:i/>
      <w:iCs/>
    </w:rPr>
  </w:style>
  <w:style w:type="character" w:styleId="UnresolvedMention">
    <w:name w:val="Unresolved Mention"/>
    <w:basedOn w:val="DefaultParagraphFont"/>
    <w:uiPriority w:val="99"/>
    <w:semiHidden/>
    <w:unhideWhenUsed/>
    <w:rsid w:val="000B0D76"/>
    <w:rPr>
      <w:color w:val="605E5C"/>
      <w:shd w:val="clear" w:color="auto" w:fill="E1DFDD"/>
    </w:rPr>
  </w:style>
  <w:style w:type="paragraph" w:styleId="NormalWeb">
    <w:name w:val="Normal (Web)"/>
    <w:basedOn w:val="Normal"/>
    <w:uiPriority w:val="99"/>
    <w:unhideWhenUsed/>
    <w:rsid w:val="00DB2C6D"/>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2711">
      <w:bodyDiv w:val="1"/>
      <w:marLeft w:val="0"/>
      <w:marRight w:val="0"/>
      <w:marTop w:val="0"/>
      <w:marBottom w:val="0"/>
      <w:divBdr>
        <w:top w:val="none" w:sz="0" w:space="0" w:color="auto"/>
        <w:left w:val="none" w:sz="0" w:space="0" w:color="auto"/>
        <w:bottom w:val="none" w:sz="0" w:space="0" w:color="auto"/>
        <w:right w:val="none" w:sz="0" w:space="0" w:color="auto"/>
      </w:divBdr>
    </w:div>
    <w:div w:id="84620659">
      <w:bodyDiv w:val="1"/>
      <w:marLeft w:val="0"/>
      <w:marRight w:val="0"/>
      <w:marTop w:val="0"/>
      <w:marBottom w:val="0"/>
      <w:divBdr>
        <w:top w:val="none" w:sz="0" w:space="0" w:color="auto"/>
        <w:left w:val="none" w:sz="0" w:space="0" w:color="auto"/>
        <w:bottom w:val="none" w:sz="0" w:space="0" w:color="auto"/>
        <w:right w:val="none" w:sz="0" w:space="0" w:color="auto"/>
      </w:divBdr>
    </w:div>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248657522">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359356024">
      <w:bodyDiv w:val="1"/>
      <w:marLeft w:val="0"/>
      <w:marRight w:val="0"/>
      <w:marTop w:val="0"/>
      <w:marBottom w:val="0"/>
      <w:divBdr>
        <w:top w:val="none" w:sz="0" w:space="0" w:color="auto"/>
        <w:left w:val="none" w:sz="0" w:space="0" w:color="auto"/>
        <w:bottom w:val="none" w:sz="0" w:space="0" w:color="auto"/>
        <w:right w:val="none" w:sz="0" w:space="0" w:color="auto"/>
      </w:divBdr>
    </w:div>
    <w:div w:id="371999205">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552740529">
      <w:bodyDiv w:val="1"/>
      <w:marLeft w:val="0"/>
      <w:marRight w:val="0"/>
      <w:marTop w:val="0"/>
      <w:marBottom w:val="0"/>
      <w:divBdr>
        <w:top w:val="none" w:sz="0" w:space="0" w:color="auto"/>
        <w:left w:val="none" w:sz="0" w:space="0" w:color="auto"/>
        <w:bottom w:val="none" w:sz="0" w:space="0" w:color="auto"/>
        <w:right w:val="none" w:sz="0" w:space="0" w:color="auto"/>
      </w:divBdr>
    </w:div>
    <w:div w:id="950942166">
      <w:bodyDiv w:val="1"/>
      <w:marLeft w:val="0"/>
      <w:marRight w:val="0"/>
      <w:marTop w:val="0"/>
      <w:marBottom w:val="0"/>
      <w:divBdr>
        <w:top w:val="none" w:sz="0" w:space="0" w:color="auto"/>
        <w:left w:val="none" w:sz="0" w:space="0" w:color="auto"/>
        <w:bottom w:val="none" w:sz="0" w:space="0" w:color="auto"/>
        <w:right w:val="none" w:sz="0" w:space="0" w:color="auto"/>
      </w:divBdr>
    </w:div>
    <w:div w:id="1035959630">
      <w:bodyDiv w:val="1"/>
      <w:marLeft w:val="0"/>
      <w:marRight w:val="0"/>
      <w:marTop w:val="0"/>
      <w:marBottom w:val="0"/>
      <w:divBdr>
        <w:top w:val="none" w:sz="0" w:space="0" w:color="auto"/>
        <w:left w:val="none" w:sz="0" w:space="0" w:color="auto"/>
        <w:bottom w:val="none" w:sz="0" w:space="0" w:color="auto"/>
        <w:right w:val="none" w:sz="0" w:space="0" w:color="auto"/>
      </w:divBdr>
    </w:div>
    <w:div w:id="1204831875">
      <w:bodyDiv w:val="1"/>
      <w:marLeft w:val="0"/>
      <w:marRight w:val="0"/>
      <w:marTop w:val="0"/>
      <w:marBottom w:val="0"/>
      <w:divBdr>
        <w:top w:val="none" w:sz="0" w:space="0" w:color="auto"/>
        <w:left w:val="none" w:sz="0" w:space="0" w:color="auto"/>
        <w:bottom w:val="none" w:sz="0" w:space="0" w:color="auto"/>
        <w:right w:val="none" w:sz="0" w:space="0" w:color="auto"/>
      </w:divBdr>
    </w:div>
    <w:div w:id="1274363097">
      <w:bodyDiv w:val="1"/>
      <w:marLeft w:val="0"/>
      <w:marRight w:val="0"/>
      <w:marTop w:val="0"/>
      <w:marBottom w:val="0"/>
      <w:divBdr>
        <w:top w:val="none" w:sz="0" w:space="0" w:color="auto"/>
        <w:left w:val="none" w:sz="0" w:space="0" w:color="auto"/>
        <w:bottom w:val="none" w:sz="0" w:space="0" w:color="auto"/>
        <w:right w:val="none" w:sz="0" w:space="0" w:color="auto"/>
      </w:divBdr>
    </w:div>
    <w:div w:id="1406536559">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549611254">
      <w:bodyDiv w:val="1"/>
      <w:marLeft w:val="0"/>
      <w:marRight w:val="0"/>
      <w:marTop w:val="0"/>
      <w:marBottom w:val="0"/>
      <w:divBdr>
        <w:top w:val="none" w:sz="0" w:space="0" w:color="auto"/>
        <w:left w:val="none" w:sz="0" w:space="0" w:color="auto"/>
        <w:bottom w:val="none" w:sz="0" w:space="0" w:color="auto"/>
        <w:right w:val="none" w:sz="0" w:space="0" w:color="auto"/>
      </w:divBdr>
    </w:div>
    <w:div w:id="1624656441">
      <w:bodyDiv w:val="1"/>
      <w:marLeft w:val="0"/>
      <w:marRight w:val="0"/>
      <w:marTop w:val="0"/>
      <w:marBottom w:val="0"/>
      <w:divBdr>
        <w:top w:val="none" w:sz="0" w:space="0" w:color="auto"/>
        <w:left w:val="none" w:sz="0" w:space="0" w:color="auto"/>
        <w:bottom w:val="none" w:sz="0" w:space="0" w:color="auto"/>
        <w:right w:val="none" w:sz="0" w:space="0" w:color="auto"/>
      </w:divBdr>
    </w:div>
    <w:div w:id="1692607350">
      <w:bodyDiv w:val="1"/>
      <w:marLeft w:val="0"/>
      <w:marRight w:val="0"/>
      <w:marTop w:val="0"/>
      <w:marBottom w:val="0"/>
      <w:divBdr>
        <w:top w:val="none" w:sz="0" w:space="0" w:color="auto"/>
        <w:left w:val="none" w:sz="0" w:space="0" w:color="auto"/>
        <w:bottom w:val="none" w:sz="0" w:space="0" w:color="auto"/>
        <w:right w:val="none" w:sz="0" w:space="0" w:color="auto"/>
      </w:divBdr>
    </w:div>
    <w:div w:id="189715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8379a1b-b718-475d-ac1b-84f282586b6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E963-7EEA-454D-92BD-14B577F3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10364</Words>
  <Characters>5908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2025-04-04T05:55:00Z</dcterms:created>
  <dcterms:modified xsi:type="dcterms:W3CDTF">2025-08-29T07:09:00Z</dcterms:modified>
</cp:coreProperties>
</file>