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1546" w14:textId="53B19742" w:rsidR="00B65637" w:rsidRPr="005A5AAC" w:rsidRDefault="00B65637" w:rsidP="00B65637">
      <w:pPr>
        <w:spacing w:line="276" w:lineRule="auto"/>
        <w:jc w:val="both"/>
        <w:rPr>
          <w:b/>
          <w:bCs/>
        </w:rPr>
      </w:pPr>
      <w:bookmarkStart w:id="0" w:name="_Hlk185253272"/>
      <w:r w:rsidRPr="005A5AAC">
        <w:rPr>
          <w:b/>
          <w:bCs/>
        </w:rPr>
        <w:t>Apsūdzības detalizācijas pakāpe</w:t>
      </w:r>
    </w:p>
    <w:p w14:paraId="72D0E097" w14:textId="77777777" w:rsidR="00B65637" w:rsidRDefault="00B65637" w:rsidP="00B65637">
      <w:pPr>
        <w:spacing w:line="276" w:lineRule="auto"/>
        <w:jc w:val="both"/>
      </w:pPr>
      <w:r w:rsidRPr="005A5AAC">
        <w:t>Personas informētībai par viņai izvirzīto apsūdzību ir būtiska nozīme procesa taisnīgas norises un tiesību uz aizstāvības efektīvu īstenošanu garantēšanā. Tā dod iespēju izprast apsūdzības būtību un sagatavoties aizstāvībai, tomēr apsūdzības detalizācijas pakāpe var būt atšķirīga atkarībā no lietas apstākļiem.</w:t>
      </w:r>
    </w:p>
    <w:p w14:paraId="5E970E9D" w14:textId="77777777" w:rsidR="00B65637" w:rsidRPr="005A5AAC" w:rsidRDefault="00B65637" w:rsidP="00B65637">
      <w:pPr>
        <w:spacing w:line="276" w:lineRule="auto"/>
        <w:jc w:val="both"/>
      </w:pPr>
    </w:p>
    <w:p w14:paraId="2C652D3A" w14:textId="77777777" w:rsidR="00B65637" w:rsidRPr="005A5AAC" w:rsidRDefault="00B65637" w:rsidP="00B65637">
      <w:pPr>
        <w:spacing w:line="276" w:lineRule="auto"/>
        <w:jc w:val="both"/>
        <w:rPr>
          <w:b/>
          <w:bCs/>
        </w:rPr>
      </w:pPr>
      <w:r w:rsidRPr="005A5AAC">
        <w:rPr>
          <w:b/>
          <w:bCs/>
        </w:rPr>
        <w:t>Līķa apgānīšana Krimināllikuma 117. panta 5. punkta izpratnē</w:t>
      </w:r>
    </w:p>
    <w:p w14:paraId="4084DDB1" w14:textId="77777777" w:rsidR="00B65637" w:rsidRPr="005A5AAC" w:rsidRDefault="00B65637" w:rsidP="00B65637">
      <w:pPr>
        <w:spacing w:line="276" w:lineRule="auto"/>
        <w:jc w:val="both"/>
      </w:pPr>
      <w:r w:rsidRPr="005A5AAC">
        <w:t>Darbības, kas saistītas ar līķa noglabāšanu, slēpšanu, aiznešanu, atstāšanu, pienācīgas apglabāšanas nenodrošināšanu, pašas par sevi, ja apsūdzētais nav iedarbojies uz līķi, nav uzskatāmas par līķa apgānīšanu Krimināllikuma 117. panta 5. punkta izpratnē.</w:t>
      </w:r>
    </w:p>
    <w:p w14:paraId="44399E0D" w14:textId="77777777" w:rsidR="00B65637" w:rsidRDefault="00B65637" w:rsidP="00B65637">
      <w:pPr>
        <w:spacing w:line="276" w:lineRule="auto"/>
        <w:jc w:val="both"/>
      </w:pPr>
      <w:r w:rsidRPr="005A5AAC">
        <w:t>Motīvu izklāstam tiesas atzinumā par to, ka ir pierādīts personas vainīgums Krimināllikuma 117. panta 5. punktā paredzētajā noziedzīgajā nodarījumā, jābūt tādam, kas ļauj saprast, kā tiesa nonākusi pie šāda atzinuma. Ja noziedzīgā nodarījuma aprakstā ir norādīts, ka līķis ir iznīcināts, to apgānot, tad tiesai ir jānorāda ziņas par faktiem, kas to pamato.</w:t>
      </w:r>
    </w:p>
    <w:p w14:paraId="2726EC10" w14:textId="77777777" w:rsidR="00B65637" w:rsidRDefault="00B65637" w:rsidP="00B65637">
      <w:pPr>
        <w:spacing w:line="276" w:lineRule="auto"/>
        <w:jc w:val="both"/>
      </w:pPr>
    </w:p>
    <w:p w14:paraId="2FACF2F5" w14:textId="77777777" w:rsidR="00B65637" w:rsidRPr="005A5AAC" w:rsidRDefault="00B65637" w:rsidP="00B65637">
      <w:pPr>
        <w:spacing w:line="276" w:lineRule="auto"/>
        <w:jc w:val="both"/>
        <w:rPr>
          <w:b/>
          <w:bCs/>
        </w:rPr>
      </w:pPr>
      <w:r w:rsidRPr="005A5AAC">
        <w:rPr>
          <w:b/>
          <w:bCs/>
        </w:rPr>
        <w:t xml:space="preserve">Apsūdzētā vainīguma konstatēšana, ja nonāvētās personas līķis nav atrasts </w:t>
      </w:r>
    </w:p>
    <w:p w14:paraId="18F17B98" w14:textId="77777777" w:rsidR="00B65637" w:rsidRDefault="00B65637" w:rsidP="00B65637">
      <w:pPr>
        <w:spacing w:line="276" w:lineRule="auto"/>
        <w:jc w:val="both"/>
      </w:pPr>
      <w:r w:rsidRPr="005A5AAC">
        <w:t>Fakts, ka līķis nav atrasts, neatbrīvo tiesu no pienākuma pārbaudīt un izvērtēt krimināl</w:t>
      </w:r>
      <w:r>
        <w:t>lietā</w:t>
      </w:r>
      <w:r w:rsidRPr="005A5AAC">
        <w:t xml:space="preserve"> esošos pierādījumus, lai konstatētu, vai apsūdzētais ir izdarījis apsūdzībā norādītās faktiskās darbības un vai pastāv saprātīgas šaubas, ka personas nāve iestājusies apsūdzētajam inkriminēto faktisko darbību rezultātā. </w:t>
      </w:r>
    </w:p>
    <w:p w14:paraId="6F3B84E0" w14:textId="77777777" w:rsidR="00B65637" w:rsidRPr="005A5AAC" w:rsidRDefault="00B65637" w:rsidP="00B65637">
      <w:pPr>
        <w:spacing w:line="276" w:lineRule="auto"/>
        <w:jc w:val="both"/>
      </w:pPr>
    </w:p>
    <w:p w14:paraId="4C8FEE1B" w14:textId="77777777" w:rsidR="00B65637" w:rsidRPr="005A5AAC" w:rsidRDefault="00B65637" w:rsidP="00B65637">
      <w:pPr>
        <w:spacing w:line="276" w:lineRule="auto"/>
        <w:jc w:val="both"/>
        <w:rPr>
          <w:b/>
          <w:bCs/>
        </w:rPr>
      </w:pPr>
      <w:r w:rsidRPr="005A5AAC">
        <w:rPr>
          <w:b/>
          <w:bCs/>
        </w:rPr>
        <w:t>Aprūpes nesniegšana jaundzimušam bērnam kā slepkavība, vainīgajam apzinoties, ka noslepkavotā persona ir bijusi bezpalīdzības stāvoklī</w:t>
      </w:r>
    </w:p>
    <w:p w14:paraId="5200AF12" w14:textId="7F492239" w:rsidR="00B65637" w:rsidRPr="005A5AAC" w:rsidRDefault="00B65637" w:rsidP="00B65637">
      <w:pPr>
        <w:spacing w:line="276" w:lineRule="auto"/>
        <w:jc w:val="both"/>
      </w:pPr>
      <w:r w:rsidRPr="005A5AAC">
        <w:t>Krimināllikuma 117. panta 2. punktā paredzētā noziedzīgā nodarījuma objektīvā puse var izpausties kā bezdarbība, ko persona pieļāvusi, atstājot jaundzimušu bērnu bezpalīdzības stāvoklī un nesniedzot primāro aprūpi, kā rezultātā iestājusies jaundzimušā nāve, ja šai personai bija pienākums novērst jaundzimušā bērna nāves iestāšanos un viņa varēja to izdarīt.</w:t>
      </w:r>
    </w:p>
    <w:p w14:paraId="66EFDF17" w14:textId="4FC70981" w:rsidR="00B65637" w:rsidRDefault="00B65637" w:rsidP="00B65637">
      <w:pPr>
        <w:spacing w:line="276" w:lineRule="auto"/>
        <w:jc w:val="both"/>
      </w:pPr>
      <w:r w:rsidRPr="005A5AAC">
        <w:t>Lai norobežotu Krimināllikuma 117.</w:t>
      </w:r>
      <w:r>
        <w:t> </w:t>
      </w:r>
      <w:r w:rsidRPr="005A5AAC">
        <w:t>panta 2.</w:t>
      </w:r>
      <w:r>
        <w:t> </w:t>
      </w:r>
      <w:r w:rsidRPr="005A5AAC">
        <w:t>punktā paredzēto slepkavību no Krimināllikuma 141.</w:t>
      </w:r>
      <w:r>
        <w:t> </w:t>
      </w:r>
      <w:r w:rsidRPr="005A5AAC">
        <w:t>panta otrajā un 2</w:t>
      </w:r>
      <w:r w:rsidR="005928DD">
        <w:t>.</w:t>
      </w:r>
      <w:r w:rsidRPr="005A5AAC">
        <w:rPr>
          <w:vertAlign w:val="superscript"/>
        </w:rPr>
        <w:t>1</w:t>
      </w:r>
      <w:r>
        <w:t> </w:t>
      </w:r>
      <w:r w:rsidRPr="005A5AAC">
        <w:t>daļā paredzētās personas apzinātas atstāšanas bez palīdzības, ir jāvērtē noziedzīgā nodarījuma subjektīvā puse, proti, kādu rezultātu apsūdzētā persona vēlējusies sasniegt, pieļaujot bezdarbību pret jaundzimušo.</w:t>
      </w:r>
    </w:p>
    <w:p w14:paraId="1A83E7C6" w14:textId="77777777" w:rsidR="00B65637" w:rsidRPr="005A5AAC" w:rsidRDefault="00B65637" w:rsidP="00B65637">
      <w:pPr>
        <w:spacing w:line="276" w:lineRule="auto"/>
        <w:jc w:val="both"/>
      </w:pPr>
    </w:p>
    <w:p w14:paraId="73EFBD77" w14:textId="77777777" w:rsidR="00B65637" w:rsidRPr="005A5AAC" w:rsidRDefault="00B65637" w:rsidP="00B65637">
      <w:pPr>
        <w:spacing w:line="276" w:lineRule="auto"/>
        <w:jc w:val="both"/>
        <w:rPr>
          <w:b/>
          <w:bCs/>
        </w:rPr>
      </w:pPr>
      <w:r w:rsidRPr="005A5AAC">
        <w:rPr>
          <w:b/>
          <w:bCs/>
        </w:rPr>
        <w:t>Personas nolaupīšana ir tīšs nodarījums, kuru raksturo tikai tiešs nodoms</w:t>
      </w:r>
    </w:p>
    <w:p w14:paraId="4DBF7FEC" w14:textId="77777777" w:rsidR="00B65637" w:rsidRDefault="00B65637" w:rsidP="00D924FC">
      <w:pPr>
        <w:spacing w:line="276" w:lineRule="auto"/>
        <w:jc w:val="center"/>
        <w:rPr>
          <w:rFonts w:asciiTheme="majorBidi" w:hAnsiTheme="majorBidi" w:cstheme="majorBidi"/>
          <w:b/>
        </w:rPr>
      </w:pPr>
    </w:p>
    <w:p w14:paraId="2E4F3AA3" w14:textId="245AE2E7" w:rsidR="00D924FC" w:rsidRDefault="00D924FC" w:rsidP="00D924FC">
      <w:pPr>
        <w:spacing w:line="276" w:lineRule="auto"/>
        <w:jc w:val="center"/>
        <w:rPr>
          <w:rFonts w:asciiTheme="majorBidi" w:hAnsiTheme="majorBidi" w:cstheme="majorBidi"/>
          <w:b/>
        </w:rPr>
      </w:pPr>
      <w:r w:rsidRPr="00FE0007">
        <w:rPr>
          <w:rFonts w:asciiTheme="majorBidi" w:hAnsiTheme="majorBidi" w:cstheme="majorBidi"/>
          <w:b/>
        </w:rPr>
        <w:t>Latvijas Republikas Senāt</w:t>
      </w:r>
      <w:r w:rsidR="00B31F82">
        <w:rPr>
          <w:rFonts w:asciiTheme="majorBidi" w:hAnsiTheme="majorBidi" w:cstheme="majorBidi"/>
          <w:b/>
        </w:rPr>
        <w:t>a</w:t>
      </w:r>
    </w:p>
    <w:p w14:paraId="39F47185" w14:textId="4E6D6CC3" w:rsidR="00B31F82" w:rsidRPr="00B31F82" w:rsidRDefault="00B31F82" w:rsidP="00B31F82">
      <w:pPr>
        <w:spacing w:line="276" w:lineRule="auto"/>
        <w:jc w:val="center"/>
        <w:rPr>
          <w:rFonts w:asciiTheme="majorBidi" w:hAnsiTheme="majorBidi" w:cstheme="majorBidi"/>
          <w:b/>
          <w:bCs/>
        </w:rPr>
      </w:pPr>
      <w:r w:rsidRPr="00B31F82">
        <w:rPr>
          <w:rFonts w:asciiTheme="majorBidi" w:hAnsiTheme="majorBidi" w:cstheme="majorBidi"/>
          <w:b/>
          <w:bCs/>
        </w:rPr>
        <w:t>Krimināllietu departamenta</w:t>
      </w:r>
    </w:p>
    <w:p w14:paraId="34A177A0" w14:textId="3A5BFFA9" w:rsidR="00B31F82" w:rsidRPr="005928DD" w:rsidRDefault="00B31F82" w:rsidP="00D924FC">
      <w:pPr>
        <w:spacing w:line="276" w:lineRule="auto"/>
        <w:jc w:val="center"/>
        <w:rPr>
          <w:rFonts w:asciiTheme="majorBidi" w:hAnsiTheme="majorBidi" w:cstheme="majorBidi"/>
          <w:b/>
          <w:bCs/>
        </w:rPr>
      </w:pPr>
      <w:r w:rsidRPr="005928DD">
        <w:rPr>
          <w:rFonts w:asciiTheme="majorBidi" w:hAnsiTheme="majorBidi" w:cstheme="majorBidi"/>
          <w:b/>
          <w:bCs/>
        </w:rPr>
        <w:t>2025. gada [..]</w:t>
      </w:r>
    </w:p>
    <w:p w14:paraId="30895DED" w14:textId="215E2AED" w:rsidR="00D924FC" w:rsidRDefault="00D924FC" w:rsidP="00D924FC">
      <w:pPr>
        <w:spacing w:line="276" w:lineRule="auto"/>
        <w:jc w:val="center"/>
        <w:rPr>
          <w:rFonts w:asciiTheme="majorBidi" w:hAnsiTheme="majorBidi" w:cstheme="majorBidi"/>
          <w:b/>
        </w:rPr>
      </w:pPr>
      <w:r w:rsidRPr="00FE0007">
        <w:rPr>
          <w:rFonts w:asciiTheme="majorBidi" w:hAnsiTheme="majorBidi" w:cstheme="majorBidi"/>
          <w:b/>
        </w:rPr>
        <w:t>LĒMUMS</w:t>
      </w:r>
    </w:p>
    <w:p w14:paraId="40D13951" w14:textId="78B7A064" w:rsidR="00B31F82" w:rsidRPr="00B31F82" w:rsidRDefault="00B31F82" w:rsidP="00B31F82">
      <w:pPr>
        <w:spacing w:line="276" w:lineRule="auto"/>
        <w:jc w:val="center"/>
        <w:rPr>
          <w:rFonts w:asciiTheme="majorBidi" w:hAnsiTheme="majorBidi" w:cstheme="majorBidi"/>
          <w:b/>
          <w:bCs/>
        </w:rPr>
      </w:pPr>
      <w:r w:rsidRPr="00B31F82">
        <w:rPr>
          <w:rFonts w:asciiTheme="majorBidi" w:hAnsiTheme="majorBidi" w:cstheme="majorBidi"/>
          <w:b/>
          <w:bCs/>
        </w:rPr>
        <w:t>Lieta Nr. [..], SKK-[A]/2025</w:t>
      </w:r>
      <w:r w:rsidRPr="00B31F82">
        <w:rPr>
          <w:rStyle w:val="FootnoteReference"/>
          <w:rFonts w:asciiTheme="majorBidi" w:hAnsiTheme="majorBidi" w:cstheme="majorBidi"/>
          <w:b/>
          <w:bCs/>
        </w:rPr>
        <w:footnoteReference w:id="1"/>
      </w:r>
    </w:p>
    <w:p w14:paraId="4C16964D" w14:textId="66BE0E7F" w:rsidR="00B31F82" w:rsidRDefault="00B31F82" w:rsidP="00B31F82">
      <w:pPr>
        <w:spacing w:line="276" w:lineRule="auto"/>
        <w:jc w:val="center"/>
        <w:rPr>
          <w:rFonts w:asciiTheme="majorBidi" w:hAnsiTheme="majorBidi" w:cstheme="majorBidi"/>
          <w:color w:val="000000"/>
          <w:shd w:val="clear" w:color="auto" w:fill="FFFFFF"/>
        </w:rPr>
      </w:pPr>
      <w:r w:rsidRPr="0080371E">
        <w:rPr>
          <w:rFonts w:asciiTheme="majorBidi" w:hAnsiTheme="majorBidi" w:cstheme="majorBidi"/>
          <w:color w:val="000000"/>
          <w:shd w:val="clear" w:color="auto" w:fill="FFFFFF"/>
        </w:rPr>
        <w:t>ECLI:LV:AT:202</w:t>
      </w:r>
      <w:r>
        <w:rPr>
          <w:rFonts w:asciiTheme="majorBidi" w:hAnsiTheme="majorBidi" w:cstheme="majorBidi"/>
          <w:color w:val="000000"/>
          <w:shd w:val="clear" w:color="auto" w:fill="FFFFFF"/>
        </w:rPr>
        <w:t>5</w:t>
      </w:r>
      <w:r w:rsidRPr="0080371E">
        <w:rPr>
          <w:rFonts w:asciiTheme="majorBidi" w:hAnsiTheme="majorBidi" w:cstheme="majorBidi"/>
          <w:color w:val="000000"/>
          <w:shd w:val="clear" w:color="auto" w:fill="FFFFFF"/>
        </w:rPr>
        <w:t>:</w:t>
      </w:r>
      <w:r>
        <w:rPr>
          <w:rFonts w:asciiTheme="majorBidi" w:hAnsiTheme="majorBidi" w:cstheme="majorBidi"/>
          <w:color w:val="000000"/>
          <w:shd w:val="clear" w:color="auto" w:fill="FFFFFF"/>
        </w:rPr>
        <w:t>[..]</w:t>
      </w:r>
    </w:p>
    <w:p w14:paraId="0FBDB1C3" w14:textId="77777777" w:rsidR="00D924FC" w:rsidRPr="00FE0007" w:rsidRDefault="00D924FC" w:rsidP="00D924FC">
      <w:pPr>
        <w:spacing w:line="276" w:lineRule="auto"/>
        <w:ind w:firstLine="567"/>
        <w:jc w:val="both"/>
        <w:rPr>
          <w:rFonts w:asciiTheme="majorBidi" w:hAnsiTheme="majorBidi" w:cstheme="majorBidi"/>
        </w:rPr>
      </w:pPr>
    </w:p>
    <w:p w14:paraId="7B59460D" w14:textId="7777777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lastRenderedPageBreak/>
        <w:t xml:space="preserve">Senāts šādā sastāvā: senatore referente Sandra Kaija, senatori Inguna Radzeviča un Aivars Uminskis </w:t>
      </w:r>
    </w:p>
    <w:p w14:paraId="2AE1541D" w14:textId="77777777" w:rsidR="00D924FC" w:rsidRPr="00FE0007" w:rsidRDefault="00D924FC" w:rsidP="00D924FC">
      <w:pPr>
        <w:spacing w:line="276" w:lineRule="auto"/>
        <w:ind w:firstLine="567"/>
        <w:jc w:val="both"/>
        <w:rPr>
          <w:rFonts w:asciiTheme="majorBidi" w:hAnsiTheme="majorBidi" w:cstheme="majorBidi"/>
        </w:rPr>
      </w:pPr>
    </w:p>
    <w:p w14:paraId="2164ABE3" w14:textId="620F6E8E"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izskatīja rakstveida procesā krimināllietu sakarā ar </w:t>
      </w:r>
      <w:bookmarkStart w:id="1" w:name="_Hlk143091203"/>
      <w:r w:rsidRPr="00FE0007">
        <w:rPr>
          <w:rFonts w:asciiTheme="majorBidi" w:hAnsiTheme="majorBidi" w:cstheme="majorBidi"/>
        </w:rPr>
        <w:t xml:space="preserve">apsūdzētās </w:t>
      </w:r>
      <w:r w:rsidR="00B31F82">
        <w:rPr>
          <w:rFonts w:asciiTheme="majorBidi" w:hAnsiTheme="majorBidi" w:cstheme="majorBidi"/>
        </w:rPr>
        <w:t>[pers. A]</w:t>
      </w:r>
      <w:r w:rsidRPr="00FE0007">
        <w:rPr>
          <w:rFonts w:asciiTheme="majorBidi" w:hAnsiTheme="majorBidi" w:cstheme="majorBidi"/>
        </w:rPr>
        <w:t xml:space="preserve"> aizstāves zvērinātas advokātes Jeļenas Kvjatkovskas kasācijas </w:t>
      </w:r>
      <w:bookmarkEnd w:id="1"/>
      <w:r w:rsidRPr="00FE0007">
        <w:rPr>
          <w:rFonts w:asciiTheme="majorBidi" w:hAnsiTheme="majorBidi" w:cstheme="majorBidi"/>
        </w:rPr>
        <w:t xml:space="preserve">sūdzību par </w:t>
      </w:r>
      <w:r w:rsidR="00B31F82">
        <w:rPr>
          <w:rFonts w:asciiTheme="majorBidi" w:hAnsiTheme="majorBidi" w:cstheme="majorBidi"/>
        </w:rPr>
        <w:t>[..]</w:t>
      </w:r>
      <w:r w:rsidRPr="00FE0007">
        <w:rPr>
          <w:rFonts w:asciiTheme="majorBidi" w:hAnsiTheme="majorBidi" w:cstheme="majorBidi"/>
          <w:iCs/>
        </w:rPr>
        <w:t xml:space="preserve"> apgabaltiesas 2023. gada </w:t>
      </w:r>
      <w:r w:rsidR="00B31F82">
        <w:rPr>
          <w:rFonts w:asciiTheme="majorBidi" w:hAnsiTheme="majorBidi" w:cstheme="majorBidi"/>
          <w:iCs/>
        </w:rPr>
        <w:t>[..]</w:t>
      </w:r>
      <w:r w:rsidRPr="00FE0007">
        <w:rPr>
          <w:rFonts w:asciiTheme="majorBidi" w:hAnsiTheme="majorBidi" w:cstheme="majorBidi"/>
          <w:iCs/>
        </w:rPr>
        <w:t xml:space="preserve"> lēmumu.</w:t>
      </w:r>
    </w:p>
    <w:p w14:paraId="2E22E4A7" w14:textId="77777777" w:rsidR="00D924FC" w:rsidRPr="00FE0007" w:rsidRDefault="00D924FC" w:rsidP="00D924FC">
      <w:pPr>
        <w:spacing w:line="276" w:lineRule="auto"/>
        <w:ind w:firstLine="567"/>
        <w:jc w:val="both"/>
        <w:rPr>
          <w:rFonts w:asciiTheme="majorBidi" w:hAnsiTheme="majorBidi" w:cstheme="majorBidi"/>
        </w:rPr>
      </w:pPr>
    </w:p>
    <w:p w14:paraId="0BAAB58F" w14:textId="77777777" w:rsidR="00D924FC" w:rsidRPr="00FE0007" w:rsidRDefault="00D924FC" w:rsidP="00D924FC">
      <w:pPr>
        <w:spacing w:line="276" w:lineRule="auto"/>
        <w:jc w:val="center"/>
        <w:rPr>
          <w:rFonts w:asciiTheme="majorBidi" w:hAnsiTheme="majorBidi" w:cstheme="majorBidi"/>
          <w:b/>
        </w:rPr>
      </w:pPr>
      <w:r w:rsidRPr="00FE0007">
        <w:rPr>
          <w:rFonts w:asciiTheme="majorBidi" w:hAnsiTheme="majorBidi" w:cstheme="majorBidi"/>
          <w:b/>
        </w:rPr>
        <w:t>Aprakstošā daļa</w:t>
      </w:r>
    </w:p>
    <w:p w14:paraId="2F03EF17" w14:textId="77777777" w:rsidR="00D924FC" w:rsidRPr="00FE0007" w:rsidRDefault="00D924FC" w:rsidP="00D924FC">
      <w:pPr>
        <w:spacing w:line="276" w:lineRule="auto"/>
        <w:ind w:firstLine="567"/>
        <w:jc w:val="both"/>
        <w:rPr>
          <w:rFonts w:asciiTheme="majorBidi" w:hAnsiTheme="majorBidi" w:cstheme="majorBidi"/>
        </w:rPr>
      </w:pPr>
    </w:p>
    <w:p w14:paraId="44F80B6A" w14:textId="4B8C0DE4"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[1] Ar </w:t>
      </w:r>
      <w:bookmarkStart w:id="2" w:name="_Hlk122506980"/>
      <w:bookmarkStart w:id="3" w:name="_Hlk143159686"/>
      <w:r w:rsidR="001C6AE7">
        <w:rPr>
          <w:rFonts w:asciiTheme="majorBidi" w:hAnsiTheme="majorBidi" w:cstheme="majorBidi"/>
        </w:rPr>
        <w:t xml:space="preserve">[rajona (pilsētas)] </w:t>
      </w:r>
      <w:r w:rsidRPr="00FE0007">
        <w:rPr>
          <w:rFonts w:asciiTheme="majorBidi" w:hAnsiTheme="majorBidi" w:cstheme="majorBidi"/>
        </w:rPr>
        <w:t xml:space="preserve">tiesas 2021. gada </w:t>
      </w:r>
      <w:r w:rsidR="001C6AE7">
        <w:rPr>
          <w:rFonts w:asciiTheme="majorBidi" w:hAnsiTheme="majorBidi" w:cstheme="majorBidi"/>
        </w:rPr>
        <w:t>[..]</w:t>
      </w:r>
      <w:r w:rsidRPr="00FE0007">
        <w:rPr>
          <w:rFonts w:asciiTheme="majorBidi" w:hAnsiTheme="majorBidi" w:cstheme="majorBidi"/>
        </w:rPr>
        <w:t xml:space="preserve"> </w:t>
      </w:r>
      <w:bookmarkEnd w:id="2"/>
      <w:r w:rsidRPr="00FE0007">
        <w:rPr>
          <w:rFonts w:asciiTheme="majorBidi" w:hAnsiTheme="majorBidi" w:cstheme="majorBidi"/>
        </w:rPr>
        <w:t>spriedumu</w:t>
      </w:r>
      <w:bookmarkEnd w:id="3"/>
    </w:p>
    <w:p w14:paraId="7ADAB4FA" w14:textId="306A2456" w:rsidR="00D924FC" w:rsidRPr="00FE0007" w:rsidRDefault="001C6AE7" w:rsidP="00D924FC">
      <w:pPr>
        <w:spacing w:line="276" w:lineRule="auto"/>
        <w:ind w:firstLine="720"/>
        <w:jc w:val="both"/>
        <w:rPr>
          <w:rFonts w:asciiTheme="majorBidi" w:hAnsiTheme="majorBidi" w:cstheme="majorBidi"/>
        </w:rPr>
      </w:pPr>
      <w:r>
        <w:rPr>
          <w:rFonts w:asciiTheme="majorBidi" w:hAnsiTheme="majorBidi" w:cstheme="majorBidi"/>
        </w:rPr>
        <w:t>[pers. A]</w:t>
      </w:r>
      <w:r w:rsidR="00D924FC" w:rsidRPr="00FE0007">
        <w:rPr>
          <w:rFonts w:asciiTheme="majorBidi" w:hAnsiTheme="majorBidi" w:cstheme="majorBidi"/>
        </w:rPr>
        <w:t xml:space="preserve">, </w:t>
      </w:r>
      <w:bookmarkStart w:id="4" w:name="_Hlk122505110"/>
      <w:r w:rsidR="00D924FC" w:rsidRPr="00FE0007">
        <w:rPr>
          <w:rFonts w:asciiTheme="majorBidi" w:hAnsiTheme="majorBidi" w:cstheme="majorBidi"/>
        </w:rPr>
        <w:t xml:space="preserve">personas kods </w:t>
      </w:r>
      <w:r>
        <w:rPr>
          <w:rFonts w:asciiTheme="majorBidi" w:hAnsiTheme="majorBidi" w:cstheme="majorBidi"/>
        </w:rPr>
        <w:t>[..]</w:t>
      </w:r>
      <w:r w:rsidR="00D924FC" w:rsidRPr="00FE0007">
        <w:rPr>
          <w:rFonts w:asciiTheme="majorBidi" w:hAnsiTheme="majorBidi" w:cstheme="majorBidi"/>
        </w:rPr>
        <w:t>,</w:t>
      </w:r>
    </w:p>
    <w:p w14:paraId="335DC1FF" w14:textId="7777777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atzīta par vainīgu Krimināllikuma 153. panta trešajā daļā paredzētajā noziedzīgajā nodarījumā un sodīta ar brīvības atņemšanu uz 6 gadiem un probācijas uzraudzību uz 2 gadiem;</w:t>
      </w:r>
    </w:p>
    <w:p w14:paraId="2EE8321F" w14:textId="7777777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atzīta par vainīgu </w:t>
      </w:r>
      <w:bookmarkStart w:id="5" w:name="_Hlk121319357"/>
      <w:r w:rsidRPr="00FE0007">
        <w:rPr>
          <w:rFonts w:asciiTheme="majorBidi" w:hAnsiTheme="majorBidi" w:cstheme="majorBidi"/>
        </w:rPr>
        <w:t>Krimināllikuma 117. panta 2. un 5. punktā paredzētajā noziedzīgajā nodarījumā</w:t>
      </w:r>
      <w:bookmarkEnd w:id="5"/>
      <w:r w:rsidRPr="00FE0007">
        <w:rPr>
          <w:rFonts w:asciiTheme="majorBidi" w:hAnsiTheme="majorBidi" w:cstheme="majorBidi"/>
        </w:rPr>
        <w:t xml:space="preserve"> un sodīta ar brīvības atņemšanu uz 15 gadiem un probācijas uzraudzību uz 2 gadiem</w:t>
      </w:r>
      <w:bookmarkStart w:id="6" w:name="_Hlk143091039"/>
      <w:bookmarkStart w:id="7" w:name="_Hlk122505146"/>
      <w:bookmarkEnd w:id="4"/>
      <w:r w:rsidRPr="00FE0007">
        <w:rPr>
          <w:rFonts w:asciiTheme="majorBidi" w:hAnsiTheme="majorBidi" w:cstheme="majorBidi"/>
        </w:rPr>
        <w:t>.</w:t>
      </w:r>
    </w:p>
    <w:bookmarkEnd w:id="6"/>
    <w:bookmarkEnd w:id="7"/>
    <w:p w14:paraId="1CD7AAFA" w14:textId="7777777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Saskaņā ar Krimināllikuma 50. panta pirmo un trešo daļu galīgais sods noteikts brīvības atņemšana uz 18 gadiem un probācijas uzraudzība uz 3 gadiem.</w:t>
      </w:r>
    </w:p>
    <w:p w14:paraId="18C6F8E3" w14:textId="28546C0F"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Saskaņā ar Krimināllikuma 52. panta ceturto daļu brīvības atņemšanas soda laikā ieskaitīts apcietinājums no 2019.</w:t>
      </w:r>
      <w:r w:rsidR="00F5198E" w:rsidRPr="00FE0007">
        <w:rPr>
          <w:rFonts w:asciiTheme="majorBidi" w:hAnsiTheme="majorBidi" w:cstheme="majorBidi"/>
        </w:rPr>
        <w:t> </w:t>
      </w:r>
      <w:r w:rsidRPr="00FE0007">
        <w:rPr>
          <w:rFonts w:asciiTheme="majorBidi" w:hAnsiTheme="majorBidi" w:cstheme="majorBidi"/>
        </w:rPr>
        <w:t xml:space="preserve">gada </w:t>
      </w:r>
      <w:r w:rsidR="00BB7354">
        <w:rPr>
          <w:rFonts w:asciiTheme="majorBidi" w:hAnsiTheme="majorBidi" w:cstheme="majorBidi"/>
        </w:rPr>
        <w:t>[..]</w:t>
      </w:r>
      <w:r w:rsidRPr="00FE0007">
        <w:rPr>
          <w:rFonts w:asciiTheme="majorBidi" w:hAnsiTheme="majorBidi" w:cstheme="majorBidi"/>
        </w:rPr>
        <w:t>.</w:t>
      </w:r>
    </w:p>
    <w:p w14:paraId="2446DB8E" w14:textId="7F035510"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No </w:t>
      </w:r>
      <w:r w:rsidR="001C6AE7">
        <w:rPr>
          <w:rFonts w:asciiTheme="majorBidi" w:hAnsiTheme="majorBidi" w:cstheme="majorBidi"/>
        </w:rPr>
        <w:t>[pers. A]</w:t>
      </w:r>
      <w:r w:rsidRPr="00FE0007">
        <w:rPr>
          <w:rFonts w:asciiTheme="majorBidi" w:hAnsiTheme="majorBidi" w:cstheme="majorBidi"/>
        </w:rPr>
        <w:t xml:space="preserve"> valsts labā piedzīta cietušajai izmaksātā valsts kompensācija 2150 </w:t>
      </w:r>
      <w:r w:rsidRPr="00FE0007">
        <w:rPr>
          <w:rFonts w:asciiTheme="majorBidi" w:hAnsiTheme="majorBidi" w:cstheme="majorBidi"/>
          <w:i/>
          <w:iCs/>
        </w:rPr>
        <w:t>euro</w:t>
      </w:r>
      <w:r w:rsidRPr="00FE0007">
        <w:rPr>
          <w:rFonts w:asciiTheme="majorBidi" w:hAnsiTheme="majorBidi" w:cstheme="majorBidi"/>
        </w:rPr>
        <w:t>.</w:t>
      </w:r>
    </w:p>
    <w:p w14:paraId="4D61AE2D" w14:textId="77777777" w:rsidR="00D924FC" w:rsidRPr="00FE0007" w:rsidRDefault="00D924FC" w:rsidP="00D924FC">
      <w:pPr>
        <w:spacing w:line="276" w:lineRule="auto"/>
        <w:ind w:firstLine="720"/>
        <w:jc w:val="both"/>
        <w:rPr>
          <w:rFonts w:asciiTheme="majorBidi" w:hAnsiTheme="majorBidi" w:cstheme="majorBidi"/>
        </w:rPr>
      </w:pPr>
    </w:p>
    <w:p w14:paraId="3763DB26" w14:textId="3DE341C5" w:rsidR="00D924FC" w:rsidRPr="00FE0007" w:rsidRDefault="00D924FC" w:rsidP="00D924FC">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hAnsiTheme="majorBidi" w:cstheme="majorBidi"/>
        </w:rPr>
        <w:t>[2] </w:t>
      </w:r>
      <w:r w:rsidRPr="00FE0007">
        <w:rPr>
          <w:rFonts w:asciiTheme="majorBidi" w:eastAsiaTheme="minorHAnsi" w:hAnsiTheme="majorBidi" w:cstheme="majorBidi"/>
          <w:lang w:eastAsia="en-US"/>
          <w14:ligatures w14:val="standardContextual"/>
        </w:rPr>
        <w:t xml:space="preserve">Ar pirmās instances tiesas spriedumu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atzīta par vainīgu un sodīta pēc Krimināllikuma 153. panta trešās daļas par personas nolaupīšanu, ja tā izdarīta pret mazgadīgo, izmantojot personas bezpalīdzības stāvokli, un pēc </w:t>
      </w:r>
      <w:r w:rsidRPr="00FE0007">
        <w:rPr>
          <w:rFonts w:asciiTheme="majorBidi" w:hAnsiTheme="majorBidi" w:cstheme="majorBidi"/>
        </w:rPr>
        <w:t xml:space="preserve">Krimināllikuma 117. panta 2. un 5. punkta par </w:t>
      </w:r>
      <w:r w:rsidRPr="00FE0007">
        <w:rPr>
          <w:rFonts w:asciiTheme="majorBidi" w:eastAsiaTheme="minorHAnsi" w:hAnsiTheme="majorBidi" w:cstheme="majorBidi"/>
          <w:lang w:eastAsia="en-US"/>
          <w14:ligatures w14:val="standardContextual"/>
        </w:rPr>
        <w:t xml:space="preserve">citas personas tīšu prettiesisku nonāvēšanu (slepkavību), apzinoties, ka tā ir bezpalīdzības stāvoklī, un līķa apgānīšanu. </w:t>
      </w:r>
    </w:p>
    <w:p w14:paraId="0CDB22BD" w14:textId="77777777" w:rsidR="00D924FC" w:rsidRPr="00FE0007" w:rsidRDefault="00D924FC" w:rsidP="00D924FC">
      <w:pPr>
        <w:spacing w:line="276" w:lineRule="auto"/>
        <w:ind w:firstLine="720"/>
        <w:jc w:val="both"/>
        <w:rPr>
          <w:rFonts w:asciiTheme="majorBidi" w:eastAsiaTheme="minorHAnsi" w:hAnsiTheme="majorBidi" w:cstheme="majorBidi"/>
          <w:lang w:eastAsia="en-US"/>
          <w14:ligatures w14:val="standardContextual"/>
        </w:rPr>
      </w:pPr>
    </w:p>
    <w:p w14:paraId="4DD06FA5" w14:textId="39FF3D58"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[3] Ar </w:t>
      </w:r>
      <w:bookmarkStart w:id="8" w:name="_Hlk125100365"/>
      <w:bookmarkStart w:id="9" w:name="_Hlk125109740"/>
      <w:r w:rsidR="00825A70">
        <w:rPr>
          <w:rFonts w:asciiTheme="majorBidi" w:hAnsiTheme="majorBidi" w:cstheme="majorBidi"/>
        </w:rPr>
        <w:t>[..]</w:t>
      </w:r>
      <w:r w:rsidRPr="00FE0007">
        <w:rPr>
          <w:rFonts w:asciiTheme="majorBidi" w:hAnsiTheme="majorBidi" w:cstheme="majorBidi"/>
        </w:rPr>
        <w:t xml:space="preserve"> apgabaltiesas </w:t>
      </w:r>
      <w:bookmarkEnd w:id="8"/>
      <w:bookmarkEnd w:id="9"/>
      <w:r w:rsidRPr="00FE0007">
        <w:rPr>
          <w:rFonts w:asciiTheme="majorBidi" w:hAnsiTheme="majorBidi" w:cstheme="majorBidi"/>
          <w:iCs/>
        </w:rPr>
        <w:t xml:space="preserve">2023. gada </w:t>
      </w:r>
      <w:r w:rsidR="00825A70">
        <w:rPr>
          <w:rFonts w:asciiTheme="majorBidi" w:hAnsiTheme="majorBidi" w:cstheme="majorBidi"/>
          <w:iCs/>
        </w:rPr>
        <w:t>[..]</w:t>
      </w:r>
      <w:r w:rsidRPr="00FE0007">
        <w:rPr>
          <w:rFonts w:asciiTheme="majorBidi" w:hAnsiTheme="majorBidi" w:cstheme="majorBidi"/>
          <w:iCs/>
        </w:rPr>
        <w:t xml:space="preserve"> </w:t>
      </w:r>
      <w:r w:rsidRPr="00FE0007">
        <w:rPr>
          <w:rFonts w:asciiTheme="majorBidi" w:hAnsiTheme="majorBidi" w:cstheme="majorBidi"/>
        </w:rPr>
        <w:t xml:space="preserve">lēmumu, iztiesājot lietu sakarā ar apsūdzētās </w:t>
      </w:r>
      <w:r w:rsidR="001C6AE7">
        <w:rPr>
          <w:rFonts w:asciiTheme="majorBidi" w:hAnsiTheme="majorBidi" w:cstheme="majorBidi"/>
        </w:rPr>
        <w:t>[pers. A]</w:t>
      </w:r>
      <w:r w:rsidRPr="00FE0007">
        <w:rPr>
          <w:rFonts w:asciiTheme="majorBidi" w:hAnsiTheme="majorBidi" w:cstheme="majorBidi"/>
        </w:rPr>
        <w:t xml:space="preserve"> un viņas aizstāvja zvērināta advokāta Alda Liepiņa apelācijas sūdzībām, </w:t>
      </w:r>
      <w:r w:rsidR="00825A70">
        <w:rPr>
          <w:rFonts w:asciiTheme="majorBidi" w:hAnsiTheme="majorBidi" w:cstheme="majorBidi"/>
        </w:rPr>
        <w:t xml:space="preserve">[rajona (pilsētas)] </w:t>
      </w:r>
      <w:r w:rsidRPr="00FE0007">
        <w:rPr>
          <w:rFonts w:asciiTheme="majorBidi" w:hAnsiTheme="majorBidi" w:cstheme="majorBidi"/>
        </w:rPr>
        <w:t xml:space="preserve">tiesas 2021. gada </w:t>
      </w:r>
      <w:r w:rsidR="00825A70">
        <w:rPr>
          <w:rFonts w:asciiTheme="majorBidi" w:hAnsiTheme="majorBidi" w:cstheme="majorBidi"/>
        </w:rPr>
        <w:t>[..]</w:t>
      </w:r>
      <w:r w:rsidRPr="00FE0007">
        <w:rPr>
          <w:rFonts w:asciiTheme="majorBidi" w:hAnsiTheme="majorBidi" w:cstheme="majorBidi"/>
        </w:rPr>
        <w:t xml:space="preserve"> </w:t>
      </w:r>
      <w:r w:rsidRPr="00FE0007">
        <w:rPr>
          <w:rFonts w:asciiTheme="majorBidi" w:hAnsiTheme="majorBidi" w:cstheme="majorBidi"/>
          <w:lang w:eastAsia="lv-LV"/>
          <w14:ligatures w14:val="standardContextual"/>
        </w:rPr>
        <w:t>spriedums atstāts negrozīts.</w:t>
      </w:r>
    </w:p>
    <w:p w14:paraId="5057F59E" w14:textId="77777777" w:rsidR="00D924FC" w:rsidRPr="00FE0007" w:rsidRDefault="00D924FC" w:rsidP="00D924FC">
      <w:pPr>
        <w:spacing w:line="276" w:lineRule="auto"/>
        <w:ind w:firstLine="720"/>
        <w:jc w:val="both"/>
        <w:rPr>
          <w:rFonts w:asciiTheme="majorBidi" w:hAnsiTheme="majorBidi" w:cstheme="majorBidi"/>
        </w:rPr>
      </w:pPr>
    </w:p>
    <w:p w14:paraId="59767EB8" w14:textId="5F1E05C6" w:rsidR="00D924FC" w:rsidRPr="00FE0007" w:rsidRDefault="00D924FC" w:rsidP="00D924FC">
      <w:pPr>
        <w:spacing w:line="276" w:lineRule="auto"/>
        <w:ind w:firstLine="720"/>
        <w:jc w:val="both"/>
        <w:rPr>
          <w:rFonts w:asciiTheme="majorBidi" w:hAnsiTheme="majorBidi" w:cstheme="majorBidi"/>
        </w:rPr>
      </w:pPr>
      <w:bookmarkStart w:id="10" w:name="_Hlk124927615"/>
      <w:bookmarkStart w:id="11" w:name="_Hlk130464055"/>
      <w:bookmarkStart w:id="12" w:name="_Hlk175823304"/>
      <w:r w:rsidRPr="00FE0007">
        <w:rPr>
          <w:rFonts w:asciiTheme="majorBidi" w:hAnsiTheme="majorBidi" w:cstheme="majorBidi"/>
        </w:rPr>
        <w:t xml:space="preserve">[4] Par </w:t>
      </w:r>
      <w:r w:rsidR="00EE0EF6">
        <w:rPr>
          <w:rFonts w:asciiTheme="majorBidi" w:hAnsiTheme="majorBidi" w:cstheme="majorBidi"/>
        </w:rPr>
        <w:t>[..]</w:t>
      </w:r>
      <w:r w:rsidRPr="00FE0007">
        <w:rPr>
          <w:rFonts w:asciiTheme="majorBidi" w:hAnsiTheme="majorBidi" w:cstheme="majorBidi"/>
        </w:rPr>
        <w:t xml:space="preserve"> apgabaltiesas </w:t>
      </w:r>
      <w:bookmarkStart w:id="13" w:name="_Hlk143159601"/>
      <w:r w:rsidRPr="00FE0007">
        <w:rPr>
          <w:rFonts w:asciiTheme="majorBidi" w:hAnsiTheme="majorBidi" w:cstheme="majorBidi"/>
          <w:iCs/>
        </w:rPr>
        <w:t xml:space="preserve">2023. gada </w:t>
      </w:r>
      <w:r w:rsidR="00EE0EF6">
        <w:rPr>
          <w:rFonts w:asciiTheme="majorBidi" w:hAnsiTheme="majorBidi" w:cstheme="majorBidi"/>
          <w:iCs/>
        </w:rPr>
        <w:t>[..]</w:t>
      </w:r>
      <w:r w:rsidRPr="00FE0007">
        <w:rPr>
          <w:rFonts w:asciiTheme="majorBidi" w:hAnsiTheme="majorBidi" w:cstheme="majorBidi"/>
          <w:iCs/>
        </w:rPr>
        <w:t xml:space="preserve"> </w:t>
      </w:r>
      <w:r w:rsidRPr="00FE0007">
        <w:rPr>
          <w:rFonts w:asciiTheme="majorBidi" w:hAnsiTheme="majorBidi" w:cstheme="majorBidi"/>
        </w:rPr>
        <w:t xml:space="preserve">lēmumu </w:t>
      </w:r>
      <w:bookmarkEnd w:id="13"/>
      <w:r w:rsidRPr="00FE0007">
        <w:rPr>
          <w:rFonts w:asciiTheme="majorBidi" w:hAnsiTheme="majorBidi" w:cstheme="majorBidi"/>
        </w:rPr>
        <w:t xml:space="preserve">apsūdzētās </w:t>
      </w:r>
      <w:r w:rsidR="001C6AE7">
        <w:rPr>
          <w:rFonts w:asciiTheme="majorBidi" w:hAnsiTheme="majorBidi" w:cstheme="majorBidi"/>
        </w:rPr>
        <w:t>[pers. A]</w:t>
      </w:r>
      <w:r w:rsidRPr="00FE0007">
        <w:rPr>
          <w:rFonts w:asciiTheme="majorBidi" w:hAnsiTheme="majorBidi" w:cstheme="majorBidi"/>
        </w:rPr>
        <w:t xml:space="preserve"> aizstāve J. Kvjatkovska iesniegusi kasācijas sūdzību, lūdzot atcelt lēmumu pilnībā </w:t>
      </w:r>
      <w:r w:rsidRPr="00FE0007">
        <w:rPr>
          <w:rFonts w:asciiTheme="majorBidi" w:eastAsiaTheme="minorHAnsi" w:hAnsiTheme="majorBidi" w:cstheme="majorBidi"/>
          <w:lang w:eastAsia="en-US"/>
          <w14:ligatures w14:val="standardContextual"/>
        </w:rPr>
        <w:t>un nosūtīt lietu jaunai izskatīšanai apelācijas instances tiesā.</w:t>
      </w:r>
    </w:p>
    <w:p w14:paraId="31E84E42" w14:textId="00BEC574" w:rsidR="00D924FC" w:rsidRPr="00FE0007" w:rsidRDefault="00D924FC" w:rsidP="00D924FC">
      <w:pPr>
        <w:spacing w:after="120" w:line="276" w:lineRule="auto"/>
        <w:ind w:firstLine="720"/>
        <w:contextualSpacing/>
        <w:jc w:val="both"/>
        <w:rPr>
          <w:rFonts w:asciiTheme="majorBidi" w:hAnsiTheme="majorBidi" w:cstheme="majorBidi"/>
        </w:rPr>
      </w:pPr>
      <w:r w:rsidRPr="00FE0007">
        <w:rPr>
          <w:rFonts w:asciiTheme="majorBidi" w:hAnsiTheme="majorBidi" w:cstheme="majorBidi"/>
        </w:rPr>
        <w:t xml:space="preserve">Apelācijas instances tiesa pieļāvusi Kriminālprocesa likuma 574. panta 2. punktā norādīto Krimināllikuma pārkāpumu, kā arī Kriminālprocesa likuma pārkāpumus, kas atzīstami par būtiskiem šā likuma 575. panta trešās daļas izpratnē, un kas kopumā noveduši pie nelikumīga nolēmuma. </w:t>
      </w:r>
    </w:p>
    <w:p w14:paraId="380F05A8" w14:textId="77777777" w:rsidR="00D924FC" w:rsidRPr="00FE0007" w:rsidRDefault="00D924FC" w:rsidP="00D924FC">
      <w:pPr>
        <w:spacing w:line="276" w:lineRule="auto"/>
        <w:ind w:firstLine="720"/>
        <w:jc w:val="both"/>
        <w:rPr>
          <w:rFonts w:asciiTheme="majorBidi" w:hAnsiTheme="majorBidi" w:cstheme="majorBidi"/>
        </w:rPr>
      </w:pPr>
      <w:r w:rsidRPr="00FE0007">
        <w:rPr>
          <w:rStyle w:val="CharStyle10"/>
          <w:rFonts w:asciiTheme="majorBidi" w:hAnsiTheme="majorBidi" w:cstheme="majorBidi"/>
        </w:rPr>
        <w:t>Kasācijas sūdzību aizstāve pamatojusi ar turpmāk norādītajiem argumentiem.</w:t>
      </w:r>
    </w:p>
    <w:p w14:paraId="3358C30B" w14:textId="28DDD5BC" w:rsidR="00D924FC" w:rsidRPr="00FE0007" w:rsidRDefault="00D924FC" w:rsidP="00D924FC">
      <w:pPr>
        <w:tabs>
          <w:tab w:val="left" w:pos="5733"/>
        </w:tabs>
        <w:spacing w:line="276" w:lineRule="auto"/>
        <w:ind w:firstLine="720"/>
        <w:jc w:val="both"/>
        <w:rPr>
          <w:rFonts w:asciiTheme="majorBidi" w:hAnsiTheme="majorBidi" w:cstheme="majorBidi"/>
        </w:rPr>
      </w:pPr>
      <w:r w:rsidRPr="00FE0007">
        <w:rPr>
          <w:rFonts w:asciiTheme="majorBidi" w:hAnsiTheme="majorBidi" w:cstheme="majorBidi"/>
        </w:rPr>
        <w:t xml:space="preserve">[4.1] Apelācijas instances tiesa, atzīstot par pamatotu </w:t>
      </w:r>
      <w:r w:rsidR="001C6AE7">
        <w:rPr>
          <w:rFonts w:asciiTheme="majorBidi" w:hAnsiTheme="majorBidi" w:cstheme="majorBidi"/>
        </w:rPr>
        <w:t>[pers. A]</w:t>
      </w:r>
      <w:r w:rsidRPr="00FE0007">
        <w:rPr>
          <w:rFonts w:asciiTheme="majorBidi" w:hAnsiTheme="majorBidi" w:cstheme="majorBidi"/>
        </w:rPr>
        <w:t xml:space="preserve"> celto apsūdzību pēc Krimināllikuma 117. panta 2. un 5. punkta, pieļāvusi Kriminālprocesa likuma 15. panta un 20. panta pirmās daļas pārkāpumus. </w:t>
      </w:r>
    </w:p>
    <w:p w14:paraId="6F3F3BA2" w14:textId="30318E5A"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lastRenderedPageBreak/>
        <w:t xml:space="preserve">Apsūdzībā šajā daļā nav pietiekami konkrēti norādīti noziedzīgā nodarījuma faktiskie apstākļi, kas nosaka juridisko kvalifikāciju. Proti, apsūdzībā norādīts, ka </w:t>
      </w:r>
      <w:r w:rsidR="001C6AE7">
        <w:rPr>
          <w:rFonts w:asciiTheme="majorBidi" w:hAnsiTheme="majorBidi" w:cstheme="majorBidi"/>
        </w:rPr>
        <w:t>[pers. A]</w:t>
      </w:r>
      <w:r w:rsidRPr="00FE0007">
        <w:rPr>
          <w:rFonts w:asciiTheme="majorBidi" w:hAnsiTheme="majorBidi" w:cstheme="majorBidi"/>
        </w:rPr>
        <w:t xml:space="preserve"> izmeklēšanā nenoskaidrotā vietā un apstākļos noslepkavoja jaundzimušo bērnu, pēc kā izmeklēšanā precīzi nenoskaidrotā vietā un laikā, bet ne vēlāk kā līdz 2020. gada </w:t>
      </w:r>
      <w:r w:rsidR="00CC1B59">
        <w:rPr>
          <w:rFonts w:asciiTheme="majorBidi" w:hAnsiTheme="majorBidi" w:cstheme="majorBidi"/>
        </w:rPr>
        <w:t>[..]</w:t>
      </w:r>
      <w:r w:rsidRPr="00FE0007">
        <w:rPr>
          <w:rFonts w:asciiTheme="majorBidi" w:hAnsiTheme="majorBidi" w:cstheme="majorBidi"/>
        </w:rPr>
        <w:t xml:space="preserve"> plkst. </w:t>
      </w:r>
      <w:r w:rsidR="00CC1B59">
        <w:rPr>
          <w:rFonts w:asciiTheme="majorBidi" w:hAnsiTheme="majorBidi" w:cstheme="majorBidi"/>
        </w:rPr>
        <w:t>[..]</w:t>
      </w:r>
      <w:r w:rsidRPr="00FE0007">
        <w:rPr>
          <w:rFonts w:asciiTheme="majorBidi" w:hAnsiTheme="majorBidi" w:cstheme="majorBidi"/>
        </w:rPr>
        <w:t xml:space="preserve">, iznīcināja jaundzimušā līķi izmeklēšanā nenoskaidrotos apstākļos, to apgānot izmeklēšanā nenoskaidrotos apstākļos. </w:t>
      </w:r>
    </w:p>
    <w:p w14:paraId="67DFB05B" w14:textId="77D264BC" w:rsidR="00D924FC" w:rsidRPr="00FE0007" w:rsidRDefault="00D924FC" w:rsidP="00D924FC">
      <w:pPr>
        <w:spacing w:after="120" w:line="276" w:lineRule="auto"/>
        <w:ind w:firstLine="720"/>
        <w:contextualSpacing/>
        <w:jc w:val="both"/>
        <w:rPr>
          <w:rFonts w:asciiTheme="majorBidi" w:hAnsiTheme="majorBidi" w:cstheme="majorBidi"/>
        </w:rPr>
      </w:pPr>
      <w:r w:rsidRPr="00FE0007">
        <w:rPr>
          <w:rFonts w:asciiTheme="majorBidi" w:hAnsiTheme="majorBidi" w:cstheme="majorBidi"/>
        </w:rPr>
        <w:t>No Kriminālprocesa likuma 20. panta pirmās daļas, 60.</w:t>
      </w:r>
      <w:r w:rsidRPr="00FE0007">
        <w:rPr>
          <w:rFonts w:asciiTheme="majorBidi" w:hAnsiTheme="majorBidi" w:cstheme="majorBidi"/>
          <w:vertAlign w:val="superscript"/>
        </w:rPr>
        <w:t>2 </w:t>
      </w:r>
      <w:r w:rsidRPr="00FE0007">
        <w:rPr>
          <w:rFonts w:asciiTheme="majorBidi" w:hAnsiTheme="majorBidi" w:cstheme="majorBidi"/>
        </w:rPr>
        <w:t>panta pirmās daļas 6. punkta, 405.</w:t>
      </w:r>
      <w:r w:rsidRPr="00FE0007">
        <w:rPr>
          <w:rFonts w:asciiTheme="majorBidi" w:hAnsiTheme="majorBidi" w:cstheme="majorBidi"/>
          <w:vertAlign w:val="superscript"/>
        </w:rPr>
        <w:t> </w:t>
      </w:r>
      <w:r w:rsidRPr="00FE0007">
        <w:rPr>
          <w:rFonts w:asciiTheme="majorBidi" w:hAnsiTheme="majorBidi" w:cstheme="majorBidi"/>
        </w:rPr>
        <w:t xml:space="preserve">panta, Eiropas Cilvēka tiesību un pamatbrīvību aizsardzības konvencijas 6. panta trešās daļas un Eiropas Parlamenta un Padomes 2012. gada 22. maija </w:t>
      </w:r>
      <w:r w:rsidR="00DD3CF4" w:rsidRPr="00FE0007">
        <w:rPr>
          <w:rFonts w:asciiTheme="majorBidi" w:hAnsiTheme="majorBidi" w:cstheme="majorBidi"/>
        </w:rPr>
        <w:t xml:space="preserve">Direktīvas </w:t>
      </w:r>
      <w:r w:rsidRPr="00FE0007">
        <w:rPr>
          <w:rFonts w:asciiTheme="majorBidi" w:hAnsiTheme="majorBidi" w:cstheme="majorBidi"/>
        </w:rPr>
        <w:t xml:space="preserve">Nr. 2012/13/ES </w:t>
      </w:r>
      <w:r w:rsidR="00F67114" w:rsidRPr="00FE0007">
        <w:rPr>
          <w:rFonts w:asciiTheme="majorBidi" w:hAnsiTheme="majorBidi" w:cstheme="majorBidi"/>
        </w:rPr>
        <w:t>p</w:t>
      </w:r>
      <w:r w:rsidRPr="00FE0007">
        <w:rPr>
          <w:rFonts w:asciiTheme="majorBidi" w:hAnsiTheme="majorBidi" w:cstheme="majorBidi"/>
        </w:rPr>
        <w:t xml:space="preserve">ar tiesībām uz informāciju kriminālprocesā preambulas 28. punkta izriet, ka apsūdzībai ir jābūt pietiekami konkrētai, detalizētai un saprotamai, tādā kvalitātē un apjomā, lai persona varētu pilnvērtīgi </w:t>
      </w:r>
      <w:r w:rsidR="00C54247" w:rsidRPr="00FE0007">
        <w:rPr>
          <w:rFonts w:asciiTheme="majorBidi" w:hAnsiTheme="majorBidi" w:cstheme="majorBidi"/>
        </w:rPr>
        <w:t>īstenot</w:t>
      </w:r>
      <w:r w:rsidRPr="00FE0007">
        <w:rPr>
          <w:rFonts w:asciiTheme="majorBidi" w:hAnsiTheme="majorBidi" w:cstheme="majorBidi"/>
        </w:rPr>
        <w:t xml:space="preserve"> savas tiesības uz aizstāvību.</w:t>
      </w:r>
    </w:p>
    <w:p w14:paraId="0B7D92AA" w14:textId="77777777" w:rsidR="00D924FC" w:rsidRPr="00FE0007" w:rsidRDefault="00D924FC" w:rsidP="00D924FC">
      <w:pPr>
        <w:tabs>
          <w:tab w:val="left" w:pos="5733"/>
        </w:tabs>
        <w:spacing w:line="276" w:lineRule="auto"/>
        <w:ind w:firstLine="720"/>
        <w:jc w:val="both"/>
        <w:rPr>
          <w:rFonts w:asciiTheme="majorBidi" w:hAnsiTheme="majorBidi" w:cstheme="majorBidi"/>
          <w:strike/>
        </w:rPr>
      </w:pPr>
      <w:r w:rsidRPr="00FE0007">
        <w:rPr>
          <w:rFonts w:asciiTheme="majorBidi" w:hAnsiTheme="majorBidi" w:cstheme="majorBidi"/>
        </w:rPr>
        <w:t xml:space="preserve">Apsūdzība šajā daļā neatbilst Kriminālprocesa likumā noteiktajām prasībām, jo, norādot tik nekonkrētus nodarījuma faktiskos apstākļus, apsūdzētajai tika liegts pilnvērtīgi īstenot tiesības uz aizstāvību. </w:t>
      </w:r>
    </w:p>
    <w:p w14:paraId="6B70440B" w14:textId="144E2FA1" w:rsidR="00D924FC" w:rsidRPr="00FE0007" w:rsidRDefault="00D924FC" w:rsidP="00D924FC">
      <w:pPr>
        <w:spacing w:line="276" w:lineRule="auto"/>
        <w:ind w:firstLine="720"/>
        <w:jc w:val="both"/>
        <w:rPr>
          <w:rFonts w:asciiTheme="majorBidi" w:hAnsiTheme="majorBidi" w:cstheme="majorBidi"/>
        </w:rPr>
      </w:pPr>
      <w:bookmarkStart w:id="14" w:name="_Hlk187823501"/>
      <w:r w:rsidRPr="00FE0007">
        <w:rPr>
          <w:rFonts w:asciiTheme="majorBidi" w:hAnsiTheme="majorBidi" w:cstheme="majorBidi"/>
        </w:rPr>
        <w:t xml:space="preserve">[4.2] Lietā nav iegūti ticami un pietiekami pierādījumi, lai ārpus saprātīgām šaubām apsūdzēto </w:t>
      </w:r>
      <w:r w:rsidR="001C6AE7">
        <w:rPr>
          <w:rFonts w:asciiTheme="majorBidi" w:hAnsiTheme="majorBidi" w:cstheme="majorBidi"/>
        </w:rPr>
        <w:t>[pers. A]</w:t>
      </w:r>
      <w:r w:rsidRPr="00FE0007">
        <w:rPr>
          <w:rFonts w:asciiTheme="majorBidi" w:hAnsiTheme="majorBidi" w:cstheme="majorBidi"/>
        </w:rPr>
        <w:t xml:space="preserve"> atzītu par vainīgu inkriminētajos noziedzīgajos nodarījumos. Apelācijas instances tiesa pieļāvusi Kriminālprocesa likuma </w:t>
      </w:r>
      <w:r w:rsidR="00F67114" w:rsidRPr="00FE0007">
        <w:rPr>
          <w:rFonts w:asciiTheme="majorBidi" w:hAnsiTheme="majorBidi" w:cstheme="majorBidi"/>
        </w:rPr>
        <w:t xml:space="preserve">15. panta, 19. panta trešās daļas, </w:t>
      </w:r>
      <w:r w:rsidRPr="00FE0007">
        <w:rPr>
          <w:rFonts w:asciiTheme="majorBidi" w:hAnsiTheme="majorBidi" w:cstheme="majorBidi"/>
        </w:rPr>
        <w:t>124. panta piektās daļas</w:t>
      </w:r>
      <w:r w:rsidR="00C54247" w:rsidRPr="00FE0007">
        <w:rPr>
          <w:rFonts w:asciiTheme="majorBidi" w:hAnsiTheme="majorBidi" w:cstheme="majorBidi"/>
        </w:rPr>
        <w:t xml:space="preserve"> un</w:t>
      </w:r>
      <w:r w:rsidRPr="00FE0007">
        <w:rPr>
          <w:rFonts w:asciiTheme="majorBidi" w:hAnsiTheme="majorBidi" w:cstheme="majorBidi"/>
        </w:rPr>
        <w:t xml:space="preserve"> 128. panta</w:t>
      </w:r>
      <w:r w:rsidR="00F5198E" w:rsidRPr="00FE0007">
        <w:rPr>
          <w:rFonts w:asciiTheme="majorBidi" w:hAnsiTheme="majorBidi" w:cstheme="majorBidi"/>
        </w:rPr>
        <w:t xml:space="preserve"> </w:t>
      </w:r>
      <w:r w:rsidRPr="00FE0007">
        <w:rPr>
          <w:rFonts w:asciiTheme="majorBidi" w:hAnsiTheme="majorBidi" w:cstheme="majorBidi"/>
        </w:rPr>
        <w:t>pārkāpumus, jo</w:t>
      </w:r>
      <w:r w:rsidR="00F67114" w:rsidRPr="00FE0007">
        <w:rPr>
          <w:rFonts w:asciiTheme="majorBidi" w:hAnsiTheme="majorBidi" w:cstheme="majorBidi"/>
        </w:rPr>
        <w:t xml:space="preserve"> </w:t>
      </w:r>
      <w:r w:rsidRPr="00FE0007">
        <w:rPr>
          <w:rFonts w:asciiTheme="majorBidi" w:hAnsiTheme="majorBidi" w:cstheme="majorBidi"/>
        </w:rPr>
        <w:t>lietā radušās šaubas par apsūdzētās vainīgumu inkriminētajos noziedzīgajos nodarījumos</w:t>
      </w:r>
      <w:r w:rsidR="00C54247" w:rsidRPr="00FE0007">
        <w:rPr>
          <w:rFonts w:asciiTheme="majorBidi" w:hAnsiTheme="majorBidi" w:cstheme="majorBidi"/>
        </w:rPr>
        <w:t xml:space="preserve"> nav vērtējusi par labu apsūdzētajai.</w:t>
      </w:r>
      <w:r w:rsidRPr="00FE0007">
        <w:rPr>
          <w:rFonts w:asciiTheme="majorBidi" w:hAnsiTheme="majorBidi" w:cstheme="majorBidi"/>
        </w:rPr>
        <w:t xml:space="preserve"> </w:t>
      </w:r>
    </w:p>
    <w:p w14:paraId="4CEF545B" w14:textId="7036BD24"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[4.2.1] Nodarījuma kvalifikācijā nozīmīgus apstākļus, proti, </w:t>
      </w:r>
      <w:r w:rsidR="009F1121" w:rsidRPr="00FE0007">
        <w:rPr>
          <w:rFonts w:asciiTheme="majorBidi" w:hAnsiTheme="majorBidi" w:cstheme="majorBidi"/>
        </w:rPr>
        <w:t xml:space="preserve">to, </w:t>
      </w:r>
      <w:r w:rsidRPr="00FE0007">
        <w:rPr>
          <w:rFonts w:asciiTheme="majorBidi" w:hAnsiTheme="majorBidi" w:cstheme="majorBidi"/>
        </w:rPr>
        <w:t xml:space="preserve">vai </w:t>
      </w:r>
      <w:r w:rsidR="001C6AE7">
        <w:rPr>
          <w:rFonts w:asciiTheme="majorBidi" w:hAnsiTheme="majorBidi" w:cstheme="majorBidi"/>
        </w:rPr>
        <w:t>[pers. A]</w:t>
      </w:r>
      <w:r w:rsidRPr="00FE0007">
        <w:rPr>
          <w:rFonts w:asciiTheme="majorBidi" w:hAnsiTheme="majorBidi" w:cstheme="majorBidi"/>
        </w:rPr>
        <w:t xml:space="preserve"> ir bijusi klāt </w:t>
      </w:r>
      <w:r w:rsidR="00373CF6">
        <w:rPr>
          <w:rFonts w:asciiTheme="majorBidi" w:hAnsiTheme="majorBidi" w:cstheme="majorBidi"/>
        </w:rPr>
        <w:t>[pers. B]</w:t>
      </w:r>
      <w:r w:rsidRPr="00FE0007">
        <w:rPr>
          <w:rFonts w:asciiTheme="majorBidi" w:hAnsiTheme="majorBidi" w:cstheme="majorBidi"/>
        </w:rPr>
        <w:t xml:space="preserve"> dzemdībās</w:t>
      </w:r>
      <w:r w:rsidR="00F5198E" w:rsidRPr="00FE0007">
        <w:rPr>
          <w:rFonts w:asciiTheme="majorBidi" w:hAnsiTheme="majorBidi" w:cstheme="majorBidi"/>
        </w:rPr>
        <w:t xml:space="preserve"> un to</w:t>
      </w:r>
      <w:r w:rsidR="009F1121" w:rsidRPr="00FE0007">
        <w:rPr>
          <w:rFonts w:asciiTheme="majorBidi" w:hAnsiTheme="majorBidi" w:cstheme="majorBidi"/>
        </w:rPr>
        <w:t xml:space="preserve">, </w:t>
      </w:r>
      <w:r w:rsidRPr="00FE0007">
        <w:rPr>
          <w:rFonts w:asciiTheme="majorBidi" w:hAnsiTheme="majorBidi" w:cstheme="majorBidi"/>
        </w:rPr>
        <w:t xml:space="preserve">vai </w:t>
      </w:r>
      <w:r w:rsidR="00373CF6">
        <w:rPr>
          <w:rFonts w:asciiTheme="majorBidi" w:hAnsiTheme="majorBidi" w:cstheme="majorBidi"/>
        </w:rPr>
        <w:t>[pers. B]</w:t>
      </w:r>
      <w:r w:rsidRPr="00FE0007">
        <w:rPr>
          <w:rFonts w:asciiTheme="majorBidi" w:hAnsiTheme="majorBidi" w:cstheme="majorBidi"/>
        </w:rPr>
        <w:t xml:space="preserve"> bērns piedzimis dzīvs, pirmās instances un apelācijas instances tiesa pamatojušas ar vienīgo pierādījumu lietā – cietušās </w:t>
      </w:r>
      <w:r w:rsidR="00373CF6">
        <w:rPr>
          <w:rFonts w:asciiTheme="majorBidi" w:hAnsiTheme="majorBidi" w:cstheme="majorBidi"/>
        </w:rPr>
        <w:t>[pers. B]</w:t>
      </w:r>
      <w:r w:rsidRPr="00FE0007">
        <w:rPr>
          <w:rFonts w:asciiTheme="majorBidi" w:hAnsiTheme="majorBidi" w:cstheme="majorBidi"/>
        </w:rPr>
        <w:t xml:space="preserve"> liecībām –, kurām turklāt nepamatoti noteikušas augstāku ticamības pakāpi, jo cietusī sniegusi pretrunīgas liecības. Apelācijas instances tiesa </w:t>
      </w:r>
      <w:r w:rsidR="00373CF6">
        <w:rPr>
          <w:rFonts w:asciiTheme="majorBidi" w:hAnsiTheme="majorBidi" w:cstheme="majorBidi"/>
        </w:rPr>
        <w:t>[pers. B]</w:t>
      </w:r>
      <w:r w:rsidRPr="00FE0007">
        <w:rPr>
          <w:rFonts w:asciiTheme="majorBidi" w:hAnsiTheme="majorBidi" w:cstheme="majorBidi"/>
        </w:rPr>
        <w:t xml:space="preserve"> liecības vērtējusi selektīvi un tendenciozi. Turklāt tiesas atzinumi par </w:t>
      </w:r>
      <w:r w:rsidR="00373CF6">
        <w:rPr>
          <w:rFonts w:asciiTheme="majorBidi" w:hAnsiTheme="majorBidi" w:cstheme="majorBidi"/>
        </w:rPr>
        <w:t>[pers. B]</w:t>
      </w:r>
      <w:r w:rsidRPr="00FE0007">
        <w:rPr>
          <w:rFonts w:asciiTheme="majorBidi" w:hAnsiTheme="majorBidi" w:cstheme="majorBidi"/>
        </w:rPr>
        <w:t xml:space="preserve"> liecību ticamību ir pretrunīgi, daļu atzīstot par ticamām,</w:t>
      </w:r>
      <w:r w:rsidR="001F1A3D" w:rsidRPr="00FE0007">
        <w:rPr>
          <w:rFonts w:asciiTheme="majorBidi" w:hAnsiTheme="majorBidi" w:cstheme="majorBidi"/>
        </w:rPr>
        <w:t xml:space="preserve"> jo</w:t>
      </w:r>
      <w:r w:rsidRPr="00FE0007">
        <w:rPr>
          <w:rFonts w:asciiTheme="majorBidi" w:hAnsiTheme="majorBidi" w:cstheme="majorBidi"/>
        </w:rPr>
        <w:t xml:space="preserve"> tās sniegtas apstākļos, kad apsūdzētā nevarēja cietušo ietekmēt, savukārt citām, kas sniegtas līdzīgos apstākļos, nav piešķīrusi ticamību. Citu pierādījumu par šiem apstākļiem lietā nav. Arī jaundzimušā līķis netika atrasts, tādēļ nav iespējams konstatēt bērna nāves cēloni, kam ir būtiska nozīme apsūdzētās vainīguma izvērtēšanā.</w:t>
      </w:r>
    </w:p>
    <w:p w14:paraId="1483F25D" w14:textId="030AE6D3"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[4.2.2</w:t>
      </w:r>
      <w:r w:rsidR="00B1082B" w:rsidRPr="00FE0007">
        <w:rPr>
          <w:rFonts w:asciiTheme="majorBidi" w:hAnsiTheme="majorBidi" w:cstheme="majorBidi"/>
        </w:rPr>
        <w:t>] </w:t>
      </w:r>
      <w:r w:rsidRPr="00FE0007">
        <w:rPr>
          <w:rFonts w:asciiTheme="majorBidi" w:hAnsiTheme="majorBidi" w:cstheme="majorBidi"/>
        </w:rPr>
        <w:t xml:space="preserve">Apelācijas instances tiesa nav pamatojusi atzinumus par noziedzīgo nodarījumu – nolaupīšanas un slepkavības – subjektīvās puses esību apsūdzētās rīcībā. </w:t>
      </w:r>
    </w:p>
    <w:p w14:paraId="24F5A251" w14:textId="730475DC"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Slepkavība ir izdarīta ar tiešu nodomu, ja vainīgā rīcība liecina par to, ka viņš apzinājies savas darbības vai bezdarbības kaitīgumu, paredzējis nāves iestāšanos, vēlējies to un viņa nodarījuma rezultātā iestājusies cietušā nāve. Arī slepkavību, kas saistīta ar līķa apgānīšanu, var izdarīt tikai ar tiešu nodomu, kad vainīgais apzinās savas rīcības raksturu un pēc cietušā nonāvēšanas</w:t>
      </w:r>
      <w:r w:rsidR="001F1A3D" w:rsidRPr="00FE0007">
        <w:rPr>
          <w:rFonts w:asciiTheme="majorBidi" w:hAnsiTheme="majorBidi" w:cstheme="majorBidi"/>
        </w:rPr>
        <w:t xml:space="preserve"> vēlas apgānīt viņa līķi</w:t>
      </w:r>
      <w:r w:rsidRPr="00FE0007">
        <w:rPr>
          <w:rFonts w:asciiTheme="majorBidi" w:hAnsiTheme="majorBidi" w:cstheme="majorBidi"/>
        </w:rPr>
        <w:t xml:space="preserve">. Savukārt neviens ar tiešu nodomu izdarīts nodarījums netiek izdarīts bez motīva un mērķa. </w:t>
      </w:r>
    </w:p>
    <w:p w14:paraId="7E60D0AB" w14:textId="47AE7112"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Apelācijas instances tiesa lēmumā nav norādījusi un analizējusi apsūdzētās motīvu nolaupīt un noslepkavot </w:t>
      </w:r>
      <w:r w:rsidR="00373CF6">
        <w:rPr>
          <w:rFonts w:asciiTheme="majorBidi" w:hAnsiTheme="majorBidi" w:cstheme="majorBidi"/>
        </w:rPr>
        <w:t>[pers. B]</w:t>
      </w:r>
      <w:r w:rsidRPr="00FE0007">
        <w:rPr>
          <w:rFonts w:asciiTheme="majorBidi" w:hAnsiTheme="majorBidi" w:cstheme="majorBidi"/>
        </w:rPr>
        <w:t xml:space="preserve"> jaundzimušo bērnu, līdz ar to secināms, ka tiesa to nav konstatējusi, tādēļ nepamatoti pievienojusies pirmās instances tiesas atzinumiem par inkriminēto noziedzīgo nodarījumu subjektīvās puses esību apsūdzētās </w:t>
      </w:r>
      <w:r w:rsidR="001C6AE7">
        <w:rPr>
          <w:rFonts w:asciiTheme="majorBidi" w:hAnsiTheme="majorBidi" w:cstheme="majorBidi"/>
        </w:rPr>
        <w:t>[pers. A]</w:t>
      </w:r>
      <w:r w:rsidRPr="00FE0007">
        <w:rPr>
          <w:rFonts w:asciiTheme="majorBidi" w:hAnsiTheme="majorBidi" w:cstheme="majorBidi"/>
        </w:rPr>
        <w:t xml:space="preserve"> darbībās. </w:t>
      </w:r>
    </w:p>
    <w:p w14:paraId="633228C1" w14:textId="56B15E26"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[4.2.3] Apelācijas instances tiesas pretrunīgie atzinumi par slepkavības objektīvās puses izpausmi apsūdzētās rīcībā lieguši tiesai izdarīt pamatotus secinājumus par </w:t>
      </w:r>
      <w:r w:rsidRPr="00FE0007">
        <w:rPr>
          <w:rFonts w:asciiTheme="majorBidi" w:hAnsiTheme="majorBidi" w:cstheme="majorBidi"/>
        </w:rPr>
        <w:lastRenderedPageBreak/>
        <w:t xml:space="preserve">cēloņsakarību starp </w:t>
      </w:r>
      <w:r w:rsidR="001C6AE7">
        <w:rPr>
          <w:rFonts w:asciiTheme="majorBidi" w:hAnsiTheme="majorBidi" w:cstheme="majorBidi"/>
        </w:rPr>
        <w:t>[pers. A]</w:t>
      </w:r>
      <w:r w:rsidRPr="00FE0007">
        <w:rPr>
          <w:rFonts w:asciiTheme="majorBidi" w:hAnsiTheme="majorBidi" w:cstheme="majorBidi"/>
        </w:rPr>
        <w:t xml:space="preserve"> nodarījumu un kaitīgajām sekām, kas ir obligāta šā noziedzīgā nodarījuma sastāva pazīme. Proti, tiesa atzinusi, ka apsūdzētā slepkavību ir izdarījusi gan pasīvi, atstājot jaundzimušo bezpalīdzības stāvoklī un nesniedzot viņam primāro aprūpi, gan ar aktīvu darbību, apzināti nošķirot jaundzimušo no mātes uzreiz pēc dzemdībām mājas apstākļos un viņu aiznesot, izmantojot mātes nespēju pretoties.  </w:t>
      </w:r>
    </w:p>
    <w:p w14:paraId="16525F0A" w14:textId="7777777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Lai arī tiesību doktrīnā ir norādīts, ka slepkavība var tikt izdarīta kā ar aktīvu darbību, tā arī ar bezdarbību, slepkavību nevar izdarīt abos veidos vienlaicīgi, jo katru no tiem raksturo atšķirīgi faktiskie apstākļi, kas ņemami vērā, vērtējot cēloņsakarības esību vai neesību starp nodarījumu un sekām. </w:t>
      </w:r>
    </w:p>
    <w:p w14:paraId="2DFCB6AB" w14:textId="6BA54939" w:rsidR="00954699" w:rsidRPr="00FE0007" w:rsidRDefault="00954699" w:rsidP="00954699">
      <w:pPr>
        <w:spacing w:line="276" w:lineRule="auto"/>
        <w:ind w:firstLine="720"/>
        <w:jc w:val="both"/>
        <w:rPr>
          <w:rFonts w:asciiTheme="majorBidi" w:hAnsiTheme="majorBidi" w:cstheme="majorBidi"/>
        </w:rPr>
      </w:pPr>
      <w:r w:rsidRPr="00FE0007">
        <w:rPr>
          <w:rFonts w:asciiTheme="majorBidi" w:hAnsiTheme="majorBidi" w:cstheme="majorBidi"/>
        </w:rPr>
        <w:t xml:space="preserve">Pretrunīgs nolēmums nav atzīstams par tiesisku un pamatotu Kriminālprocesa likuma 511. panta otrās daļas un 512. panta pirmās daļas izpratnē, un tas ir pamats apelācijas instances tiesas lēmuma atcelšanai. </w:t>
      </w:r>
    </w:p>
    <w:p w14:paraId="7114BDD3" w14:textId="6D75AD98"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Ievērojot minēto, apelācijas instances tiesa </w:t>
      </w:r>
      <w:r w:rsidR="001C6AE7">
        <w:rPr>
          <w:rFonts w:asciiTheme="majorBidi" w:hAnsiTheme="majorBidi" w:cstheme="majorBidi"/>
        </w:rPr>
        <w:t>[pers. A]</w:t>
      </w:r>
      <w:r w:rsidRPr="00FE0007">
        <w:rPr>
          <w:rFonts w:asciiTheme="majorBidi" w:hAnsiTheme="majorBidi" w:cstheme="majorBidi"/>
        </w:rPr>
        <w:t xml:space="preserve"> </w:t>
      </w:r>
      <w:r w:rsidR="008151CD" w:rsidRPr="00FE0007">
        <w:rPr>
          <w:rFonts w:asciiTheme="majorBidi" w:hAnsiTheme="majorBidi" w:cstheme="majorBidi"/>
        </w:rPr>
        <w:t xml:space="preserve">nepamatoti </w:t>
      </w:r>
      <w:r w:rsidRPr="00FE0007">
        <w:rPr>
          <w:rFonts w:asciiTheme="majorBidi" w:hAnsiTheme="majorBidi" w:cstheme="majorBidi"/>
        </w:rPr>
        <w:t xml:space="preserve">atzinusi par vainīgu slepkavības izdarīšanā un nav vērtējusi, vai viņas darbībās nav saskatāmas Krimināllikuma 141. pantā paredzētā noziedzīgā nodarījuma sastāva pazīmes.  </w:t>
      </w:r>
    </w:p>
    <w:p w14:paraId="32C2CFAC" w14:textId="5F2E3DE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[4.3]</w:t>
      </w:r>
      <w:bookmarkEnd w:id="10"/>
      <w:bookmarkEnd w:id="11"/>
      <w:r w:rsidRPr="00FE0007">
        <w:rPr>
          <w:rFonts w:asciiTheme="majorBidi" w:hAnsiTheme="majorBidi" w:cstheme="majorBidi"/>
        </w:rPr>
        <w:t xml:space="preserve"> Apelācijas instances tiesa, taisot nolēmumu, ir pieļāvusi Kriminālprocesa likuma 563. panta pirmās daļas 3. punkta un 564. panta piektās daļas pārkāpumus, jo, konstatējot no pirmās instances tiesas sprieduma atšķirīgus slepkavības faktiskos apstākļus, nav sniegusi jaunu noziedzīga nodarījuma aprakstu. Pirmās instances tiesa sprieduma aprakstošajā daļā norādījusi, ka apsūdzētā prettiesiski tīši nonāvējusi jaundzimušo bērnu izmeklēšanā nenoskaidrotos apstākļos. Savukārt apelācijas instances tiesa atzinusi, ka, apzināti nošķirot jaundzimušu bērnu no mātes uzreiz pēc </w:t>
      </w:r>
      <w:r w:rsidR="008151CD" w:rsidRPr="00FE0007">
        <w:rPr>
          <w:rFonts w:asciiTheme="majorBidi" w:hAnsiTheme="majorBidi" w:cstheme="majorBidi"/>
        </w:rPr>
        <w:t xml:space="preserve">mājas apstākļos notikušām </w:t>
      </w:r>
      <w:r w:rsidRPr="00FE0007">
        <w:rPr>
          <w:rFonts w:asciiTheme="majorBidi" w:hAnsiTheme="majorBidi" w:cstheme="majorBidi"/>
        </w:rPr>
        <w:t>dzemdībām, kad māte tam nespēja pretoties, apsūdzētā faktiski liegusi bērnam iespēju izdzīvot, tādējādi noslepkavoj</w:t>
      </w:r>
      <w:r w:rsidR="008151CD" w:rsidRPr="00FE0007">
        <w:rPr>
          <w:rFonts w:asciiTheme="majorBidi" w:hAnsiTheme="majorBidi" w:cstheme="majorBidi"/>
        </w:rPr>
        <w:t>ot</w:t>
      </w:r>
      <w:r w:rsidRPr="00FE0007">
        <w:rPr>
          <w:rFonts w:asciiTheme="majorBidi" w:hAnsiTheme="majorBidi" w:cstheme="majorBidi"/>
        </w:rPr>
        <w:t xml:space="preserve"> viņu.  </w:t>
      </w:r>
    </w:p>
    <w:p w14:paraId="76A5CEE6" w14:textId="7777777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Turklāt apelācijas instances tiesa, atzīstot par pierādītiem no apsūdzības atšķirīgus noziedzīgā nodarījuma faktiskos apstākļus, pretēji Kriminālprocesa likuma 455. panta trešajā daļā noteiktajam nav izvērtējusi, vai ar to netiek pasliktināts apsūdzētās stāvoklis un pārkāptas viņas tiesības uz aizstāvību.</w:t>
      </w:r>
    </w:p>
    <w:bookmarkEnd w:id="12"/>
    <w:bookmarkEnd w:id="14"/>
    <w:p w14:paraId="51FF5074" w14:textId="77777777" w:rsidR="00D924FC" w:rsidRPr="00FE0007" w:rsidRDefault="00D924FC" w:rsidP="00D924FC">
      <w:pPr>
        <w:tabs>
          <w:tab w:val="left" w:pos="5733"/>
        </w:tabs>
        <w:spacing w:line="276" w:lineRule="auto"/>
        <w:jc w:val="both"/>
        <w:rPr>
          <w:rFonts w:asciiTheme="majorBidi" w:hAnsiTheme="majorBidi" w:cstheme="majorBidi"/>
        </w:rPr>
      </w:pPr>
    </w:p>
    <w:p w14:paraId="4ABE5891" w14:textId="77777777" w:rsidR="00D924FC" w:rsidRPr="00FE0007" w:rsidRDefault="00D924FC" w:rsidP="00D924FC">
      <w:pPr>
        <w:spacing w:line="276" w:lineRule="auto"/>
        <w:jc w:val="center"/>
        <w:rPr>
          <w:rFonts w:asciiTheme="majorBidi" w:hAnsiTheme="majorBidi" w:cstheme="majorBidi"/>
          <w:b/>
        </w:rPr>
      </w:pPr>
      <w:r w:rsidRPr="00FE0007">
        <w:rPr>
          <w:rFonts w:asciiTheme="majorBidi" w:hAnsiTheme="majorBidi" w:cstheme="majorBidi"/>
          <w:b/>
        </w:rPr>
        <w:t>Motīvu daļa</w:t>
      </w:r>
    </w:p>
    <w:p w14:paraId="03589822" w14:textId="77777777" w:rsidR="00D924FC" w:rsidRPr="00FE0007" w:rsidRDefault="00D924FC" w:rsidP="00D924FC">
      <w:pPr>
        <w:spacing w:line="276" w:lineRule="auto"/>
        <w:rPr>
          <w:rFonts w:asciiTheme="majorBidi" w:hAnsiTheme="majorBidi" w:cstheme="majorBidi"/>
        </w:rPr>
      </w:pPr>
    </w:p>
    <w:p w14:paraId="4610906A" w14:textId="2BA48255" w:rsidR="001E575A" w:rsidRPr="00FE0007" w:rsidRDefault="00D924FC" w:rsidP="001E575A">
      <w:pPr>
        <w:spacing w:line="276" w:lineRule="auto"/>
        <w:ind w:firstLine="720"/>
        <w:jc w:val="both"/>
        <w:rPr>
          <w:rFonts w:asciiTheme="majorBidi" w:hAnsiTheme="majorBidi" w:cstheme="majorBidi"/>
        </w:rPr>
      </w:pPr>
      <w:r w:rsidRPr="00FE0007">
        <w:rPr>
          <w:rFonts w:asciiTheme="majorBidi" w:hAnsiTheme="majorBidi" w:cstheme="majorBidi"/>
        </w:rPr>
        <w:t>[5] </w:t>
      </w:r>
      <w:r w:rsidR="00954699" w:rsidRPr="00FE0007">
        <w:rPr>
          <w:rFonts w:asciiTheme="majorBidi" w:hAnsiTheme="majorBidi" w:cstheme="majorBidi"/>
        </w:rPr>
        <w:t>Senāts atzīst, ka izskatāmajā lietā vispirms ir jāizvērtē</w:t>
      </w:r>
      <w:r w:rsidR="00252E0B" w:rsidRPr="00FE0007">
        <w:rPr>
          <w:rFonts w:asciiTheme="majorBidi" w:hAnsiTheme="majorBidi" w:cstheme="majorBidi"/>
        </w:rPr>
        <w:t xml:space="preserve">, </w:t>
      </w:r>
      <w:r w:rsidR="00954699" w:rsidRPr="00FE0007">
        <w:rPr>
          <w:rFonts w:asciiTheme="majorBidi" w:hAnsiTheme="majorBidi" w:cstheme="majorBidi"/>
        </w:rPr>
        <w:t xml:space="preserve">vai </w:t>
      </w:r>
      <w:r w:rsidR="001C6AE7">
        <w:rPr>
          <w:rFonts w:asciiTheme="majorBidi" w:hAnsiTheme="majorBidi" w:cstheme="majorBidi"/>
        </w:rPr>
        <w:t>[pers. A]</w:t>
      </w:r>
      <w:r w:rsidR="00954699" w:rsidRPr="00FE0007">
        <w:rPr>
          <w:rFonts w:asciiTheme="majorBidi" w:hAnsiTheme="majorBidi" w:cstheme="majorBidi"/>
        </w:rPr>
        <w:t xml:space="preserve"> celtā apsūdzība </w:t>
      </w:r>
      <w:r w:rsidR="009135C2" w:rsidRPr="00FE0007">
        <w:rPr>
          <w:rFonts w:asciiTheme="majorBidi" w:hAnsiTheme="majorBidi" w:cstheme="majorBidi"/>
        </w:rPr>
        <w:t xml:space="preserve">pēc Krimināllikuma 117. panta 2. un 5. punkta, 153. panta trešās daļas </w:t>
      </w:r>
      <w:r w:rsidR="00954699" w:rsidRPr="00FE0007">
        <w:rPr>
          <w:rFonts w:asciiTheme="majorBidi" w:hAnsiTheme="majorBidi" w:cstheme="majorBidi"/>
        </w:rPr>
        <w:t>atbilst Kriminālprocesa likuma 405. panta prasībām</w:t>
      </w:r>
      <w:r w:rsidR="00252E0B" w:rsidRPr="00FE0007">
        <w:rPr>
          <w:rFonts w:asciiTheme="majorBidi" w:hAnsiTheme="majorBidi" w:cstheme="majorBidi"/>
        </w:rPr>
        <w:t>.</w:t>
      </w:r>
      <w:r w:rsidR="00954699" w:rsidRPr="00FE0007">
        <w:rPr>
          <w:rFonts w:asciiTheme="majorBidi" w:hAnsiTheme="majorBidi" w:cstheme="majorBidi"/>
          <w:highlight w:val="yellow"/>
        </w:rPr>
        <w:t xml:space="preserve"> </w:t>
      </w:r>
    </w:p>
    <w:p w14:paraId="6968DBF9" w14:textId="01FA7D24" w:rsidR="001E575A" w:rsidRPr="00FE0007" w:rsidRDefault="00D924FC" w:rsidP="009135C2">
      <w:pPr>
        <w:spacing w:line="276" w:lineRule="auto"/>
        <w:ind w:firstLine="720"/>
        <w:jc w:val="both"/>
        <w:rPr>
          <w:rFonts w:asciiTheme="majorBidi" w:hAnsiTheme="majorBidi" w:cstheme="majorBidi"/>
        </w:rPr>
      </w:pPr>
      <w:r w:rsidRPr="00FE0007">
        <w:rPr>
          <w:rFonts w:asciiTheme="majorBidi" w:hAnsiTheme="majorBidi" w:cstheme="majorBidi"/>
        </w:rPr>
        <w:t>[5.1]</w:t>
      </w:r>
      <w:r w:rsidR="001E575A" w:rsidRPr="00FE0007">
        <w:rPr>
          <w:rFonts w:asciiTheme="majorBidi" w:hAnsiTheme="majorBidi" w:cstheme="majorBidi"/>
        </w:rPr>
        <w:t> </w:t>
      </w:r>
      <w:r w:rsidR="001E575A" w:rsidRPr="00FE0007">
        <w:rPr>
          <w:rFonts w:asciiTheme="majorBidi" w:eastAsiaTheme="minorHAnsi" w:hAnsiTheme="majorBidi" w:cstheme="majorBidi"/>
          <w:lang w:eastAsia="en-US"/>
          <w14:ligatures w14:val="standardContextual"/>
        </w:rPr>
        <w:t>Apsūdzības saturs ir noteikts Kriminālprocesa likuma 405. panta pirmajā daļā</w:t>
      </w:r>
      <w:r w:rsidR="008151CD" w:rsidRPr="00FE0007">
        <w:rPr>
          <w:rFonts w:asciiTheme="majorBidi" w:eastAsiaTheme="minorHAnsi" w:hAnsiTheme="majorBidi" w:cstheme="majorBidi"/>
          <w:lang w:eastAsia="en-US"/>
          <w14:ligatures w14:val="standardContextual"/>
        </w:rPr>
        <w:t>,</w:t>
      </w:r>
      <w:r w:rsidR="001E575A" w:rsidRPr="00FE0007">
        <w:rPr>
          <w:rFonts w:asciiTheme="majorBidi" w:eastAsiaTheme="minorHAnsi" w:hAnsiTheme="majorBidi" w:cstheme="majorBidi"/>
          <w:lang w:eastAsia="en-US"/>
          <w14:ligatures w14:val="standardContextual"/>
        </w:rPr>
        <w:t xml:space="preserve"> un proti, lēmumā par personas saukšanu pie kriminālatbildības (apsūdzībā) prokurors norāda: 1) pie kriminālatbildības saucamo personu identificējošos datus; 2) katra inkriminētā noziedzīgā nodarījuma faktiskos apstākļus, kas nosaka juridisko kvalifikāciju; 3) noziedzīgā nodarījuma juridisko kvalifikāciju; 4) personas, kuras cietušas noziedzīgā nodarījuma rezultātā; 5) citas personas, kuras sauktas pie kriminālatbildības par līdzdalību vai dalību tā paša noziedzīgā nodarījuma izdarīšanā.</w:t>
      </w:r>
    </w:p>
    <w:p w14:paraId="6733BB8F" w14:textId="77777777" w:rsidR="001C3465" w:rsidRPr="00FE0007" w:rsidRDefault="001E575A" w:rsidP="001C3465">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 xml:space="preserve">Lemjot par to, cik detalizēti apsūdzībā aprakstāms katrs no Kriminālprocesa likuma 405. panta pirmās daļas 2. punktā minētajiem apstākļiem, Senāts jau iepriekš ir norādījis, ka Kriminālprocesa likuma 405. pants, kurā norādītas prasības apsūdzības saturam, jāaplūko kopsakarā ar Kriminālprocesa likuma 20. panta pirmo daļu, kas paredz personas </w:t>
      </w:r>
      <w:r w:rsidRPr="00FE0007">
        <w:rPr>
          <w:rFonts w:asciiTheme="majorBidi" w:eastAsiaTheme="minorHAnsi" w:hAnsiTheme="majorBidi" w:cstheme="majorBidi"/>
          <w:lang w:eastAsia="en-US"/>
          <w14:ligatures w14:val="standardContextual"/>
        </w:rPr>
        <w:lastRenderedPageBreak/>
        <w:t>tiesības uz aizstāvību, proti, apsūdzībai jābūt tādai, lai apsūdzētā persona varētu zināt ne tikai par kāda noziedzīga nodarījuma izdarīšanu tā tiek apsūdzēta, bet arī kādas konkrēti un kādos apstākļos izdarītas darbības tai tiek inkriminētas uzrādītās apsūdzības ietvaros (</w:t>
      </w:r>
      <w:r w:rsidRPr="00FE0007">
        <w:rPr>
          <w:rFonts w:asciiTheme="majorBidi" w:eastAsiaTheme="minorHAnsi" w:hAnsiTheme="majorBidi" w:cstheme="majorBidi"/>
          <w:i/>
          <w:iCs/>
          <w:lang w:eastAsia="en-US"/>
          <w14:ligatures w14:val="standardContextual"/>
        </w:rPr>
        <w:t>Senāta 2009. gada 21. oktobra lēmums lietā Nr</w:t>
      </w:r>
      <w:hyperlink r:id="rId8" w:history="1">
        <w:r w:rsidRPr="00FE0007">
          <w:rPr>
            <w:rStyle w:val="Hyperlink"/>
            <w:rFonts w:asciiTheme="majorBidi" w:eastAsiaTheme="minorHAnsi" w:hAnsiTheme="majorBidi" w:cstheme="majorBidi"/>
            <w:i/>
            <w:iCs/>
            <w:color w:val="auto"/>
            <w:lang w:eastAsia="en-US"/>
            <w14:ligatures w14:val="standardContextual"/>
          </w:rPr>
          <w:t>. SKK-520/2009</w:t>
        </w:r>
      </w:hyperlink>
      <w:r w:rsidRPr="00FE0007">
        <w:rPr>
          <w:rFonts w:asciiTheme="majorBidi" w:eastAsiaTheme="minorHAnsi" w:hAnsiTheme="majorBidi" w:cstheme="majorBidi"/>
          <w:i/>
          <w:iCs/>
          <w:lang w:eastAsia="en-US"/>
          <w14:ligatures w14:val="standardContextual"/>
        </w:rPr>
        <w:t>, 11096325006, 2011. gada 28. janvāra lēmums lietā Nr. </w:t>
      </w:r>
      <w:hyperlink r:id="rId9" w:history="1">
        <w:r w:rsidRPr="00FE0007">
          <w:rPr>
            <w:rStyle w:val="Hyperlink"/>
            <w:rFonts w:asciiTheme="majorBidi" w:eastAsiaTheme="minorHAnsi" w:hAnsiTheme="majorBidi" w:cstheme="majorBidi"/>
            <w:i/>
            <w:iCs/>
            <w:color w:val="auto"/>
            <w:lang w:eastAsia="en-US"/>
            <w14:ligatures w14:val="standardContextual"/>
          </w:rPr>
          <w:t>SKK-22/2011</w:t>
        </w:r>
      </w:hyperlink>
      <w:r w:rsidRPr="00FE0007">
        <w:rPr>
          <w:rFonts w:asciiTheme="majorBidi" w:eastAsiaTheme="minorHAnsi" w:hAnsiTheme="majorBidi" w:cstheme="majorBidi"/>
          <w:i/>
          <w:iCs/>
          <w:lang w:eastAsia="en-US"/>
          <w14:ligatures w14:val="standardContextual"/>
        </w:rPr>
        <w:t>, 11331032409</w:t>
      </w:r>
      <w:r w:rsidRPr="00FE0007">
        <w:rPr>
          <w:rFonts w:asciiTheme="majorBidi" w:eastAsiaTheme="minorHAnsi" w:hAnsiTheme="majorBidi" w:cstheme="majorBidi"/>
          <w:lang w:eastAsia="en-US"/>
          <w14:ligatures w14:val="standardContextual"/>
        </w:rPr>
        <w:t>).</w:t>
      </w:r>
    </w:p>
    <w:p w14:paraId="6091A31A" w14:textId="55F06714" w:rsidR="001C3465" w:rsidRPr="00FE0007" w:rsidRDefault="009135C2" w:rsidP="001C3465">
      <w:pPr>
        <w:spacing w:line="276" w:lineRule="auto"/>
        <w:ind w:firstLine="720"/>
        <w:jc w:val="both"/>
        <w:rPr>
          <w:rFonts w:asciiTheme="majorBidi" w:hAnsiTheme="majorBidi" w:cstheme="majorBidi"/>
        </w:rPr>
      </w:pPr>
      <w:r w:rsidRPr="00FE0007">
        <w:rPr>
          <w:rFonts w:asciiTheme="majorBidi" w:hAnsiTheme="majorBidi" w:cstheme="majorBidi"/>
        </w:rPr>
        <w:t>Personas informē</w:t>
      </w:r>
      <w:r w:rsidR="001C3465" w:rsidRPr="00FE0007">
        <w:rPr>
          <w:rFonts w:asciiTheme="majorBidi" w:hAnsiTheme="majorBidi" w:cstheme="majorBidi"/>
        </w:rPr>
        <w:t>tībai</w:t>
      </w:r>
      <w:r w:rsidRPr="00FE0007">
        <w:rPr>
          <w:rFonts w:asciiTheme="majorBidi" w:hAnsiTheme="majorBidi" w:cstheme="majorBidi"/>
        </w:rPr>
        <w:t xml:space="preserve"> par viņai izvirzīto apsūdzību ir būtiska nozīme procesa taisnīgas norises un tiesību uz aizstāvības efektīvu īstenošanu garantēšanā</w:t>
      </w:r>
      <w:r w:rsidR="001C3465" w:rsidRPr="00FE0007">
        <w:rPr>
          <w:rFonts w:asciiTheme="majorBidi" w:hAnsiTheme="majorBidi" w:cstheme="majorBidi"/>
        </w:rPr>
        <w:t>. Tā dod iespēju izprast apsūdzības būtību un sagatavoties aizstāvībai, tomēr apsūdzības detalizācijas pakāpe var būt atšķirīga atkarībā no lietas apstākļiem.</w:t>
      </w:r>
    </w:p>
    <w:p w14:paraId="0250D61C" w14:textId="4357BC12" w:rsidR="001E575A" w:rsidRPr="00FE0007" w:rsidRDefault="001E575A" w:rsidP="001C3465">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 xml:space="preserve">Senāts </w:t>
      </w:r>
      <w:r w:rsidR="00CF52E9" w:rsidRPr="00FE0007">
        <w:rPr>
          <w:rFonts w:asciiTheme="majorBidi" w:eastAsiaTheme="minorHAnsi" w:hAnsiTheme="majorBidi" w:cstheme="majorBidi"/>
          <w:lang w:eastAsia="en-US"/>
          <w14:ligatures w14:val="standardContextual"/>
        </w:rPr>
        <w:t xml:space="preserve">jau agrāk </w:t>
      </w:r>
      <w:r w:rsidR="001C3465" w:rsidRPr="00FE0007">
        <w:rPr>
          <w:rFonts w:asciiTheme="majorBidi" w:eastAsiaTheme="minorHAnsi" w:hAnsiTheme="majorBidi" w:cstheme="majorBidi"/>
          <w:lang w:eastAsia="en-US"/>
          <w14:ligatures w14:val="standardContextual"/>
        </w:rPr>
        <w:t>ir</w:t>
      </w:r>
      <w:r w:rsidR="009135C2" w:rsidRPr="00FE0007">
        <w:rPr>
          <w:rFonts w:asciiTheme="majorBidi" w:eastAsiaTheme="minorHAnsi" w:hAnsiTheme="majorBidi" w:cstheme="majorBidi"/>
          <w:lang w:eastAsia="en-US"/>
          <w14:ligatures w14:val="standardContextual"/>
        </w:rPr>
        <w:t xml:space="preserve"> </w:t>
      </w:r>
      <w:r w:rsidRPr="00FE0007">
        <w:rPr>
          <w:rFonts w:asciiTheme="majorBidi" w:eastAsiaTheme="minorHAnsi" w:hAnsiTheme="majorBidi" w:cstheme="majorBidi"/>
          <w:lang w:eastAsia="en-US"/>
          <w14:ligatures w14:val="standardContextual"/>
        </w:rPr>
        <w:t xml:space="preserve">atzinis, ka </w:t>
      </w:r>
      <w:bookmarkStart w:id="15" w:name="_Hlk160190973"/>
      <w:r w:rsidRPr="00FE0007">
        <w:rPr>
          <w:rFonts w:asciiTheme="majorBidi" w:eastAsiaTheme="minorHAnsi" w:hAnsiTheme="majorBidi" w:cstheme="majorBidi"/>
          <w:lang w:eastAsia="en-US"/>
          <w14:ligatures w14:val="standardContextual"/>
        </w:rPr>
        <w:t>g</w:t>
      </w:r>
      <w:r w:rsidRPr="00FE0007">
        <w:rPr>
          <w:rFonts w:asciiTheme="majorBidi" w:hAnsiTheme="majorBidi" w:cstheme="majorBidi"/>
        </w:rPr>
        <w:t>alvenais apsūdzībā norādāmo inkriminētā noziedzīgā nodarījuma faktisko apstākļu konkretizācijas pakāpes kritērijs ir tas, vai apsūdzība izpilda tās norobežojošo un informatīvo funkciju, proti: 1</w:t>
      </w:r>
      <w:r w:rsidR="00021444" w:rsidRPr="00FE0007">
        <w:rPr>
          <w:rFonts w:asciiTheme="majorBidi" w:hAnsiTheme="majorBidi" w:cstheme="majorBidi"/>
        </w:rPr>
        <w:t>) </w:t>
      </w:r>
      <w:r w:rsidRPr="00FE0007">
        <w:rPr>
          <w:rFonts w:asciiTheme="majorBidi" w:hAnsiTheme="majorBidi" w:cstheme="majorBidi"/>
        </w:rPr>
        <w:t>vai konkretizācija ir pietiekama, lai inkriminēto noziedzīgo nodarījumu norobežotu no citiem iespējamiem līdzīgiem tās pašas personas noziedzīgajiem nodarījumiem; 2</w:t>
      </w:r>
      <w:r w:rsidR="00021444" w:rsidRPr="00FE0007">
        <w:rPr>
          <w:rFonts w:asciiTheme="majorBidi" w:hAnsiTheme="majorBidi" w:cstheme="majorBidi"/>
        </w:rPr>
        <w:t>) </w:t>
      </w:r>
      <w:r w:rsidRPr="00FE0007">
        <w:rPr>
          <w:rFonts w:asciiTheme="majorBidi" w:hAnsiTheme="majorBidi" w:cstheme="majorBidi"/>
        </w:rPr>
        <w:t xml:space="preserve">vai konkretizācija ir pietiekama, lai apsūdzētais varētu pilnvērtīgi īstenot savas tiesības uz aizstāvību. Tas nozīmē, ka gadījumā, ja kāds no apstākļiem izmeklēšanā nav noskaidrots vai nav noskaidrots pietiekami detalizēti, ir jāizvērtē, vai tas nav šķērslis, lai atzītu, ka apsūdzība pilda tās norobežojošo un informatīvo funkciju. Vienlaikus jāņem vērā, ka, lai nodrošinātu krimināltiesību normu efektīvu piemērošanu, ievērojot noteiktu apstākļu noskaidrošanas iespēju, no valsts apsūdzību uzturošās iestādes nevar ikreiz prasīt tādu faktisko apstākļu izklāstu, kas sīkāk nav </w:t>
      </w:r>
      <w:bookmarkEnd w:id="15"/>
      <w:r w:rsidRPr="00FE0007">
        <w:rPr>
          <w:rFonts w:asciiTheme="majorBidi" w:eastAsiaTheme="minorHAnsi" w:hAnsiTheme="majorBidi" w:cstheme="majorBidi"/>
          <w:lang w:eastAsia="en-US"/>
          <w14:ligatures w14:val="standardContextual"/>
        </w:rPr>
        <w:t>konkretizējams (</w:t>
      </w:r>
      <w:r w:rsidRPr="00FE0007">
        <w:rPr>
          <w:rFonts w:asciiTheme="majorBidi" w:eastAsiaTheme="minorHAnsi" w:hAnsiTheme="majorBidi" w:cstheme="majorBidi"/>
          <w:i/>
          <w:iCs/>
          <w:lang w:eastAsia="en-US"/>
          <w14:ligatures w14:val="standardContextual"/>
        </w:rPr>
        <w:t>Senāta 2024. gada 15. februāra lēmum</w:t>
      </w:r>
      <w:r w:rsidR="00FE0007">
        <w:rPr>
          <w:rFonts w:asciiTheme="majorBidi" w:eastAsiaTheme="minorHAnsi" w:hAnsiTheme="majorBidi" w:cstheme="majorBidi"/>
          <w:i/>
          <w:iCs/>
          <w:lang w:eastAsia="en-US"/>
          <w14:ligatures w14:val="standardContextual"/>
        </w:rPr>
        <w:t>a</w:t>
      </w:r>
      <w:r w:rsidRPr="00FE0007">
        <w:rPr>
          <w:rFonts w:asciiTheme="majorBidi" w:eastAsiaTheme="minorHAnsi" w:hAnsiTheme="majorBidi" w:cstheme="majorBidi"/>
          <w:i/>
          <w:iCs/>
          <w:lang w:eastAsia="en-US"/>
          <w14:ligatures w14:val="standardContextual"/>
        </w:rPr>
        <w:t xml:space="preserve"> lietā Nr. </w:t>
      </w:r>
      <w:r w:rsidR="00B1082B" w:rsidRPr="00FE0007">
        <w:rPr>
          <w:rFonts w:eastAsiaTheme="minorHAnsi"/>
          <w:i/>
          <w:iCs/>
        </w:rPr>
        <w:t>SKK-6/2024</w:t>
      </w:r>
      <w:r w:rsidRPr="00FE0007">
        <w:rPr>
          <w:rFonts w:asciiTheme="majorBidi" w:eastAsiaTheme="minorHAnsi" w:hAnsiTheme="majorBidi" w:cstheme="majorBidi"/>
          <w:i/>
          <w:iCs/>
          <w:lang w:eastAsia="en-US"/>
          <w14:ligatures w14:val="standardContextual"/>
        </w:rPr>
        <w:t xml:space="preserve">, </w:t>
      </w:r>
      <w:hyperlink r:id="rId10" w:history="1">
        <w:r w:rsidRPr="00FE0007">
          <w:rPr>
            <w:rStyle w:val="Hyperlink"/>
            <w:rFonts w:asciiTheme="majorBidi" w:eastAsiaTheme="minorHAnsi" w:hAnsiTheme="majorBidi" w:cstheme="majorBidi"/>
            <w:i/>
            <w:iCs/>
            <w:color w:val="auto"/>
            <w:lang w:eastAsia="en-US"/>
            <w14:ligatures w14:val="standardContextual"/>
          </w:rPr>
          <w:t>ECLI:LV:AT:2024:0215.11120047317.16.L</w:t>
        </w:r>
      </w:hyperlink>
      <w:r w:rsidRPr="00FE0007">
        <w:rPr>
          <w:rFonts w:asciiTheme="majorBidi" w:eastAsiaTheme="minorHAnsi" w:hAnsiTheme="majorBidi" w:cstheme="majorBidi"/>
          <w:i/>
          <w:iCs/>
          <w:lang w:eastAsia="en-US"/>
          <w14:ligatures w14:val="standardContextual"/>
        </w:rPr>
        <w:t>, 9.1. punkts</w:t>
      </w:r>
      <w:r w:rsidRPr="00FE0007">
        <w:rPr>
          <w:rFonts w:asciiTheme="majorBidi" w:eastAsiaTheme="minorHAnsi" w:hAnsiTheme="majorBidi" w:cstheme="majorBidi"/>
          <w:lang w:eastAsia="en-US"/>
          <w14:ligatures w14:val="standardContextual"/>
        </w:rPr>
        <w:t>).</w:t>
      </w:r>
    </w:p>
    <w:p w14:paraId="559CD859" w14:textId="23182BB5" w:rsidR="004D6B26" w:rsidRPr="00FE0007" w:rsidRDefault="001C3465" w:rsidP="004D6B26">
      <w:pPr>
        <w:spacing w:line="276" w:lineRule="auto"/>
        <w:ind w:firstLine="720"/>
        <w:jc w:val="both"/>
        <w:rPr>
          <w:rFonts w:asciiTheme="majorBidi" w:hAnsiTheme="majorBidi" w:cstheme="majorBidi"/>
        </w:rPr>
      </w:pPr>
      <w:r w:rsidRPr="00FE0007">
        <w:rPr>
          <w:rFonts w:asciiTheme="majorBidi" w:eastAsiaTheme="minorHAnsi" w:hAnsiTheme="majorBidi" w:cstheme="majorBidi"/>
          <w:lang w:eastAsia="en-US"/>
          <w14:ligatures w14:val="standardContextual"/>
        </w:rPr>
        <w:t>[5.2</w:t>
      </w:r>
      <w:r w:rsidR="00021444" w:rsidRPr="00FE0007">
        <w:rPr>
          <w:rFonts w:asciiTheme="majorBidi" w:eastAsiaTheme="minorHAnsi" w:hAnsiTheme="majorBidi" w:cstheme="majorBidi"/>
          <w:lang w:eastAsia="en-US"/>
          <w14:ligatures w14:val="standardContextual"/>
        </w:rPr>
        <w:t>] </w:t>
      </w:r>
      <w:r w:rsidR="004D6B26" w:rsidRPr="00FE0007">
        <w:rPr>
          <w:rFonts w:asciiTheme="majorBidi" w:eastAsiaTheme="minorHAnsi" w:hAnsiTheme="majorBidi" w:cstheme="majorBidi"/>
          <w:lang w:eastAsia="en-US"/>
          <w14:ligatures w14:val="standardContextual"/>
        </w:rPr>
        <w:t xml:space="preserve">Saskaņā ar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w:t>
      </w:r>
      <w:r w:rsidR="004D6B26" w:rsidRPr="00FE0007">
        <w:rPr>
          <w:rFonts w:asciiTheme="majorBidi" w:eastAsiaTheme="minorHAnsi" w:hAnsiTheme="majorBidi" w:cstheme="majorBidi"/>
          <w:lang w:eastAsia="en-US"/>
          <w14:ligatures w14:val="standardContextual"/>
        </w:rPr>
        <w:t xml:space="preserve">celto </w:t>
      </w:r>
      <w:r w:rsidRPr="00FE0007">
        <w:rPr>
          <w:rFonts w:asciiTheme="majorBidi" w:eastAsiaTheme="minorHAnsi" w:hAnsiTheme="majorBidi" w:cstheme="majorBidi"/>
          <w:lang w:eastAsia="en-US"/>
          <w14:ligatures w14:val="standardContextual"/>
        </w:rPr>
        <w:t>apsūdzīb</w:t>
      </w:r>
      <w:r w:rsidR="004D6B26" w:rsidRPr="00FE0007">
        <w:rPr>
          <w:rFonts w:asciiTheme="majorBidi" w:eastAsiaTheme="minorHAnsi" w:hAnsiTheme="majorBidi" w:cstheme="majorBidi"/>
          <w:lang w:eastAsia="en-US"/>
          <w14:ligatures w14:val="standardContextual"/>
        </w:rPr>
        <w:t xml:space="preserve">u </w:t>
      </w:r>
      <w:r w:rsidRPr="00FE0007">
        <w:rPr>
          <w:rFonts w:asciiTheme="majorBidi" w:eastAsiaTheme="minorHAnsi" w:hAnsiTheme="majorBidi" w:cstheme="majorBidi"/>
          <w:lang w:eastAsia="en-US"/>
          <w14:ligatures w14:val="standardContextual"/>
        </w:rPr>
        <w:t xml:space="preserve">2019. gadā, laika posmā no </w:t>
      </w:r>
      <w:r w:rsidR="00CC1B59">
        <w:rPr>
          <w:rFonts w:asciiTheme="majorBidi" w:eastAsiaTheme="minorHAnsi" w:hAnsiTheme="majorBidi" w:cstheme="majorBidi"/>
          <w:lang w:eastAsia="en-US"/>
          <w14:ligatures w14:val="standardContextual"/>
        </w:rPr>
        <w:t>[..]</w:t>
      </w:r>
      <w:r w:rsidRPr="00FE0007">
        <w:rPr>
          <w:rFonts w:asciiTheme="majorBidi" w:eastAsiaTheme="minorHAnsi" w:hAnsiTheme="majorBidi" w:cstheme="majorBidi"/>
          <w:lang w:eastAsia="en-US"/>
          <w14:ligatures w14:val="standardContextual"/>
        </w:rPr>
        <w:t xml:space="preserve"> plkst. </w:t>
      </w:r>
      <w:r w:rsidR="002B62CF">
        <w:rPr>
          <w:rFonts w:asciiTheme="majorBidi" w:eastAsiaTheme="minorHAnsi" w:hAnsiTheme="majorBidi" w:cstheme="majorBidi"/>
          <w:lang w:eastAsia="en-US"/>
          <w14:ligatures w14:val="standardContextual"/>
        </w:rPr>
        <w:t>23.00</w:t>
      </w:r>
      <w:r w:rsidRPr="00FE0007">
        <w:rPr>
          <w:rFonts w:asciiTheme="majorBidi" w:eastAsiaTheme="minorHAnsi" w:hAnsiTheme="majorBidi" w:cstheme="majorBidi"/>
          <w:lang w:eastAsia="en-US"/>
          <w14:ligatures w14:val="standardContextual"/>
        </w:rPr>
        <w:t xml:space="preserve"> līdz </w:t>
      </w:r>
      <w:r w:rsidR="00CC1B59">
        <w:rPr>
          <w:rFonts w:asciiTheme="majorBidi" w:eastAsiaTheme="minorHAnsi" w:hAnsiTheme="majorBidi" w:cstheme="majorBidi"/>
          <w:lang w:eastAsia="en-US"/>
          <w14:ligatures w14:val="standardContextual"/>
        </w:rPr>
        <w:t>[..]</w:t>
      </w:r>
      <w:r w:rsidRPr="00FE0007">
        <w:rPr>
          <w:rFonts w:asciiTheme="majorBidi" w:eastAsiaTheme="minorHAnsi" w:hAnsiTheme="majorBidi" w:cstheme="majorBidi"/>
          <w:lang w:eastAsia="en-US"/>
          <w14:ligatures w14:val="standardContextual"/>
        </w:rPr>
        <w:t xml:space="preserve"> izmeklēšanā precīzi nenoskaidrotam laikam,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atradās savā dzīvesvietā – mājās </w:t>
      </w:r>
      <w:r w:rsidR="00CC1B59">
        <w:rPr>
          <w:rFonts w:asciiTheme="majorBidi" w:eastAsiaTheme="minorHAnsi" w:hAnsiTheme="majorBidi" w:cstheme="majorBidi"/>
          <w:lang w:eastAsia="en-US"/>
          <w14:ligatures w14:val="standardContextual"/>
        </w:rPr>
        <w:t>[adrese]</w:t>
      </w:r>
      <w:r w:rsidRPr="00FE0007">
        <w:rPr>
          <w:rFonts w:asciiTheme="majorBidi" w:eastAsiaTheme="minorHAnsi" w:hAnsiTheme="majorBidi" w:cstheme="majorBidi"/>
          <w:lang w:eastAsia="en-US"/>
          <w14:ligatures w14:val="standardContextual"/>
        </w:rPr>
        <w:t xml:space="preserve"> – kopā ar savu mazmeitu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k</w:t>
      </w:r>
      <w:r w:rsidR="00B26F5C" w:rsidRPr="00FE0007">
        <w:rPr>
          <w:rFonts w:asciiTheme="majorBidi" w:eastAsiaTheme="minorHAnsi" w:hAnsiTheme="majorBidi" w:cstheme="majorBidi"/>
          <w:lang w:eastAsia="en-US"/>
          <w14:ligatures w14:val="standardContextual"/>
        </w:rPr>
        <w:t>ura</w:t>
      </w:r>
      <w:r w:rsidRPr="00FE0007">
        <w:rPr>
          <w:rFonts w:asciiTheme="majorBidi" w:eastAsiaTheme="minorHAnsi" w:hAnsiTheme="majorBidi" w:cstheme="majorBidi"/>
          <w:lang w:eastAsia="en-US"/>
          <w14:ligatures w14:val="standardContextual"/>
        </w:rPr>
        <w:t xml:space="preserve"> bija grūtniecības stāvoklī un kurai sākās dzemdības. </w:t>
      </w:r>
      <w:r w:rsidR="001C6AE7">
        <w:rPr>
          <w:rFonts w:asciiTheme="majorBidi" w:eastAsiaTheme="minorHAnsi" w:hAnsiTheme="majorBidi" w:cstheme="majorBidi"/>
          <w:lang w:eastAsia="en-US"/>
          <w14:ligatures w14:val="standardContextual"/>
        </w:rPr>
        <w:t>[</w:t>
      </w:r>
      <w:r w:rsidR="00E76DC1">
        <w:rPr>
          <w:rFonts w:asciiTheme="majorBidi" w:eastAsiaTheme="minorHAnsi" w:hAnsiTheme="majorBidi" w:cstheme="majorBidi"/>
          <w:lang w:eastAsia="en-US"/>
          <w14:ligatures w14:val="standardContextual"/>
        </w:rPr>
        <w:t>P</w:t>
      </w:r>
      <w:r w:rsidR="001C6AE7">
        <w:rPr>
          <w:rFonts w:asciiTheme="majorBidi" w:eastAsiaTheme="minorHAnsi" w:hAnsiTheme="majorBidi" w:cstheme="majorBidi"/>
          <w:lang w:eastAsia="en-US"/>
          <w14:ligatures w14:val="standardContextual"/>
        </w:rPr>
        <w:t>ers. A]</w:t>
      </w:r>
      <w:r w:rsidRPr="00FE0007">
        <w:rPr>
          <w:rFonts w:asciiTheme="majorBidi" w:eastAsiaTheme="minorHAnsi" w:hAnsiTheme="majorBidi" w:cstheme="majorBidi"/>
          <w:lang w:eastAsia="en-US"/>
          <w14:ligatures w14:val="standardContextual"/>
        </w:rPr>
        <w:t>, būdama persona ar ārsta palīga kvalifikāciju (feldšeris), apzinoties, ka dzemdības ir sarežģīts fizioloģisks process</w:t>
      </w:r>
      <w:r w:rsidR="00B26F5C" w:rsidRPr="00FE0007">
        <w:rPr>
          <w:rFonts w:asciiTheme="majorBidi" w:eastAsiaTheme="minorHAnsi" w:hAnsiTheme="majorBidi" w:cstheme="majorBidi"/>
          <w:lang w:eastAsia="en-US"/>
          <w14:ligatures w14:val="standardContextual"/>
        </w:rPr>
        <w:t>, kas</w:t>
      </w:r>
      <w:r w:rsidRPr="00FE0007">
        <w:rPr>
          <w:rFonts w:asciiTheme="majorBidi" w:eastAsiaTheme="minorHAnsi" w:hAnsiTheme="majorBidi" w:cstheme="majorBidi"/>
          <w:lang w:eastAsia="en-US"/>
          <w14:ligatures w14:val="standardContextual"/>
        </w:rPr>
        <w:t xml:space="preserve"> var būt bīstams gan grūtniece</w:t>
      </w:r>
      <w:r w:rsidR="00B26F5C" w:rsidRPr="00FE0007">
        <w:rPr>
          <w:rFonts w:asciiTheme="majorBidi" w:eastAsiaTheme="minorHAnsi" w:hAnsiTheme="majorBidi" w:cstheme="majorBidi"/>
          <w:lang w:eastAsia="en-US"/>
          <w14:ligatures w14:val="standardContextual"/>
        </w:rPr>
        <w:t>s</w:t>
      </w:r>
      <w:r w:rsidRPr="00FE0007">
        <w:rPr>
          <w:rFonts w:asciiTheme="majorBidi" w:eastAsiaTheme="minorHAnsi" w:hAnsiTheme="majorBidi" w:cstheme="majorBidi"/>
          <w:lang w:eastAsia="en-US"/>
          <w14:ligatures w14:val="standardContextual"/>
        </w:rPr>
        <w:t>, gan bērna</w:t>
      </w:r>
      <w:r w:rsidR="00B26F5C" w:rsidRPr="00FE0007">
        <w:rPr>
          <w:rFonts w:asciiTheme="majorBidi" w:eastAsiaTheme="minorHAnsi" w:hAnsiTheme="majorBidi" w:cstheme="majorBidi"/>
          <w:lang w:eastAsia="en-US"/>
          <w14:ligatures w14:val="standardContextual"/>
        </w:rPr>
        <w:t xml:space="preserve"> dzīvībai</w:t>
      </w:r>
      <w:r w:rsidRPr="00FE0007">
        <w:rPr>
          <w:rFonts w:asciiTheme="majorBidi" w:eastAsiaTheme="minorHAnsi" w:hAnsiTheme="majorBidi" w:cstheme="majorBidi"/>
          <w:lang w:eastAsia="en-US"/>
          <w14:ligatures w14:val="standardContextual"/>
        </w:rPr>
        <w:t xml:space="preserve">, </w:t>
      </w:r>
      <w:r w:rsidR="00B26F5C" w:rsidRPr="00FE0007">
        <w:rPr>
          <w:rFonts w:asciiTheme="majorBidi" w:eastAsiaTheme="minorHAnsi" w:hAnsiTheme="majorBidi" w:cstheme="majorBidi"/>
          <w:lang w:eastAsia="en-US"/>
          <w14:ligatures w14:val="standardContextual"/>
        </w:rPr>
        <w:t xml:space="preserve">bez atbilstošas izglītības </w:t>
      </w:r>
      <w:r w:rsidRPr="00FE0007">
        <w:rPr>
          <w:rFonts w:asciiTheme="majorBidi" w:eastAsiaTheme="minorHAnsi" w:hAnsiTheme="majorBidi" w:cstheme="majorBidi"/>
          <w:lang w:eastAsia="en-US"/>
          <w14:ligatures w14:val="standardContextual"/>
        </w:rPr>
        <w:t>sniedza dzemdībpalīdzību mājās</w:t>
      </w:r>
      <w:r w:rsidR="00B26F5C" w:rsidRPr="00FE0007">
        <w:rPr>
          <w:rFonts w:asciiTheme="majorBidi" w:eastAsiaTheme="minorHAnsi" w:hAnsiTheme="majorBidi" w:cstheme="majorBidi"/>
          <w:lang w:eastAsia="en-US"/>
          <w14:ligatures w14:val="standardContextual"/>
        </w:rPr>
        <w:t>,</w:t>
      </w:r>
      <w:r w:rsidRPr="00FE0007">
        <w:rPr>
          <w:rFonts w:asciiTheme="majorBidi" w:eastAsiaTheme="minorHAnsi" w:hAnsiTheme="majorBidi" w:cstheme="majorBidi"/>
          <w:lang w:eastAsia="en-US"/>
          <w14:ligatures w14:val="standardContextual"/>
        </w:rPr>
        <w:t xml:space="preserve"> neizsaucot neatliekamo medicīnisko palīdzību</w:t>
      </w:r>
      <w:r w:rsidR="00B26F5C" w:rsidRPr="00FE0007">
        <w:rPr>
          <w:rFonts w:asciiTheme="majorBidi" w:eastAsiaTheme="minorHAnsi" w:hAnsiTheme="majorBidi" w:cstheme="majorBidi"/>
          <w:lang w:eastAsia="en-US"/>
          <w14:ligatures w14:val="standardContextual"/>
        </w:rPr>
        <w:t>. A</w:t>
      </w:r>
      <w:r w:rsidRPr="00FE0007">
        <w:rPr>
          <w:rFonts w:asciiTheme="majorBidi" w:eastAsiaTheme="minorHAnsi" w:hAnsiTheme="majorBidi" w:cstheme="majorBidi"/>
          <w:lang w:eastAsia="en-US"/>
          <w14:ligatures w14:val="standardContextual"/>
        </w:rPr>
        <w:t xml:space="preserve">r nodomu slēpt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xml:space="preserve"> grūtniecību un izdarīt tikko dzimušā bērna nolaupīšanu un prettiesisku nonāvēšanu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pati pieņēma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xml:space="preserve"> dzemdības. </w:t>
      </w:r>
      <w:r w:rsidR="00373CF6">
        <w:rPr>
          <w:rFonts w:asciiTheme="majorBidi" w:eastAsiaTheme="minorHAnsi" w:hAnsiTheme="majorBidi" w:cstheme="majorBidi"/>
          <w:lang w:eastAsia="en-US"/>
          <w14:ligatures w14:val="standardContextual"/>
        </w:rPr>
        <w:t>[</w:t>
      </w:r>
      <w:r w:rsidR="005A7D18">
        <w:rPr>
          <w:rFonts w:asciiTheme="majorBidi" w:eastAsiaTheme="minorHAnsi" w:hAnsiTheme="majorBidi" w:cstheme="majorBidi"/>
          <w:lang w:eastAsia="en-US"/>
          <w14:ligatures w14:val="standardContextual"/>
        </w:rPr>
        <w:t>P</w:t>
      </w:r>
      <w:r w:rsidR="00373CF6">
        <w:rPr>
          <w:rFonts w:asciiTheme="majorBidi" w:eastAsiaTheme="minorHAnsi" w:hAnsiTheme="majorBidi" w:cstheme="majorBidi"/>
          <w:lang w:eastAsia="en-US"/>
          <w14:ligatures w14:val="standardContextual"/>
        </w:rPr>
        <w:t>ers. B]</w:t>
      </w:r>
      <w:r w:rsidRPr="00FE0007">
        <w:rPr>
          <w:rFonts w:asciiTheme="majorBidi" w:eastAsiaTheme="minorHAnsi" w:hAnsiTheme="majorBidi" w:cstheme="majorBidi"/>
          <w:lang w:eastAsia="en-US"/>
          <w14:ligatures w14:val="standardContextual"/>
        </w:rPr>
        <w:t xml:space="preserve"> piedzima izmeklēšanā nenoskaidrota dzimuma bērns ar dzīvības pazīmēm. Lai slēptu to, ka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xml:space="preserve"> ir piedzimis bērns,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w:t>
      </w:r>
      <w:r w:rsidR="00B26F5C" w:rsidRPr="00FE0007">
        <w:rPr>
          <w:rFonts w:asciiTheme="majorBidi" w:eastAsiaTheme="minorHAnsi" w:hAnsiTheme="majorBidi" w:cstheme="majorBidi"/>
          <w:lang w:eastAsia="en-US"/>
          <w14:ligatures w14:val="standardContextual"/>
        </w:rPr>
        <w:t xml:space="preserve">aiz </w:t>
      </w:r>
      <w:r w:rsidRPr="00FE0007">
        <w:rPr>
          <w:rFonts w:asciiTheme="majorBidi" w:eastAsiaTheme="minorHAnsi" w:hAnsiTheme="majorBidi" w:cstheme="majorBidi"/>
          <w:lang w:eastAsia="en-US"/>
          <w14:ligatures w14:val="standardContextual"/>
        </w:rPr>
        <w:t>dusm</w:t>
      </w:r>
      <w:r w:rsidR="00B26F5C" w:rsidRPr="00FE0007">
        <w:rPr>
          <w:rFonts w:asciiTheme="majorBidi" w:eastAsiaTheme="minorHAnsi" w:hAnsiTheme="majorBidi" w:cstheme="majorBidi"/>
          <w:lang w:eastAsia="en-US"/>
          <w14:ligatures w14:val="standardContextual"/>
        </w:rPr>
        <w:t>ām</w:t>
      </w:r>
      <w:r w:rsidRPr="00FE0007">
        <w:rPr>
          <w:rFonts w:asciiTheme="majorBidi" w:eastAsiaTheme="minorHAnsi" w:hAnsiTheme="majorBidi" w:cstheme="majorBidi"/>
          <w:lang w:eastAsia="en-US"/>
          <w14:ligatures w14:val="standardContextual"/>
        </w:rPr>
        <w:t xml:space="preserve"> un atriebības par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xml:space="preserve"> rīcību</w:t>
      </w:r>
      <w:r w:rsidR="00021444" w:rsidRPr="00FE0007">
        <w:rPr>
          <w:rFonts w:asciiTheme="majorBidi" w:eastAsiaTheme="minorHAnsi" w:hAnsiTheme="majorBidi" w:cstheme="majorBidi"/>
          <w:lang w:eastAsia="en-US"/>
          <w14:ligatures w14:val="standardContextual"/>
        </w:rPr>
        <w:t>,</w:t>
      </w:r>
      <w:r w:rsidRPr="00FE0007">
        <w:rPr>
          <w:rFonts w:asciiTheme="majorBidi" w:eastAsiaTheme="minorHAnsi" w:hAnsiTheme="majorBidi" w:cstheme="majorBidi"/>
          <w:lang w:eastAsia="en-US"/>
          <w14:ligatures w14:val="standardContextual"/>
        </w:rPr>
        <w:t xml:space="preserve"> iesaistoties attiecībās ar vīriešiem, uzreiz pēc dzemdībām, apzinoties, ka jaundzimušais bērns ir bezpalīdzības stāvoklī sava vecuma dēļ un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xml:space="preserve"> ir bezpalīdzības stāvoklī, jo pēc dzemdībām zaudējusi samaņu, iznesa tikko dzimuš</w:t>
      </w:r>
      <w:r w:rsidR="00B26F5C" w:rsidRPr="00FE0007">
        <w:rPr>
          <w:rFonts w:asciiTheme="majorBidi" w:eastAsiaTheme="minorHAnsi" w:hAnsiTheme="majorBidi" w:cstheme="majorBidi"/>
          <w:lang w:eastAsia="en-US"/>
          <w14:ligatures w14:val="standardContextual"/>
        </w:rPr>
        <w:t>o</w:t>
      </w:r>
      <w:r w:rsidRPr="00FE0007">
        <w:rPr>
          <w:rFonts w:asciiTheme="majorBidi" w:eastAsiaTheme="minorHAnsi" w:hAnsiTheme="majorBidi" w:cstheme="majorBidi"/>
          <w:lang w:eastAsia="en-US"/>
          <w14:ligatures w14:val="standardContextual"/>
        </w:rPr>
        <w:t xml:space="preserve">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xml:space="preserve"> bērnu no mājas, tādā veidā viņu nolaupot. Turpinot savas prettiesiskās darbības, kas vērstas uz citas personas nonāvēšanu, apzinoties, ka tā atrodas bezpalīdzības stāvoklī, </w:t>
      </w:r>
      <w:r w:rsidR="00B26F5C" w:rsidRPr="00FE0007">
        <w:rPr>
          <w:rFonts w:asciiTheme="majorBidi" w:eastAsiaTheme="minorHAnsi" w:hAnsiTheme="majorBidi" w:cstheme="majorBidi"/>
          <w:lang w:eastAsia="en-US"/>
          <w14:ligatures w14:val="standardContextual"/>
        </w:rPr>
        <w:t xml:space="preserve">aiz </w:t>
      </w:r>
      <w:r w:rsidRPr="00FE0007">
        <w:rPr>
          <w:rFonts w:asciiTheme="majorBidi" w:eastAsiaTheme="minorHAnsi" w:hAnsiTheme="majorBidi" w:cstheme="majorBidi"/>
          <w:lang w:eastAsia="en-US"/>
          <w14:ligatures w14:val="standardContextual"/>
        </w:rPr>
        <w:t>dusm</w:t>
      </w:r>
      <w:r w:rsidR="00B26F5C" w:rsidRPr="00FE0007">
        <w:rPr>
          <w:rFonts w:asciiTheme="majorBidi" w:eastAsiaTheme="minorHAnsi" w:hAnsiTheme="majorBidi" w:cstheme="majorBidi"/>
          <w:lang w:eastAsia="en-US"/>
          <w14:ligatures w14:val="standardContextual"/>
        </w:rPr>
        <w:t>ām</w:t>
      </w:r>
      <w:r w:rsidRPr="00FE0007">
        <w:rPr>
          <w:rFonts w:asciiTheme="majorBidi" w:eastAsiaTheme="minorHAnsi" w:hAnsiTheme="majorBidi" w:cstheme="majorBidi"/>
          <w:lang w:eastAsia="en-US"/>
          <w14:ligatures w14:val="standardContextual"/>
        </w:rPr>
        <w:t xml:space="preserve"> un atriebības par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xml:space="preserve"> rīcību</w:t>
      </w:r>
      <w:r w:rsidR="00021444" w:rsidRPr="00FE0007">
        <w:rPr>
          <w:rFonts w:asciiTheme="majorBidi" w:eastAsiaTheme="minorHAnsi" w:hAnsiTheme="majorBidi" w:cstheme="majorBidi"/>
          <w:lang w:eastAsia="en-US"/>
          <w14:ligatures w14:val="standardContextual"/>
        </w:rPr>
        <w:t>,</w:t>
      </w:r>
      <w:r w:rsidRPr="00FE0007">
        <w:rPr>
          <w:rFonts w:asciiTheme="majorBidi" w:eastAsiaTheme="minorHAnsi" w:hAnsiTheme="majorBidi" w:cstheme="majorBidi"/>
          <w:lang w:eastAsia="en-US"/>
          <w14:ligatures w14:val="standardContextual"/>
        </w:rPr>
        <w:t xml:space="preserve"> iesaistoties attiecībās ar vīriešiem, kā rezultātā piedzimis bērns,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izmeklēšanā nenoskaidrotā vietā un nenoskaidrotos apstākļos bērnu prettiesiski tīši nonāvēja.</w:t>
      </w:r>
      <w:r w:rsidR="004D6B26" w:rsidRPr="00FE0007">
        <w:rPr>
          <w:rFonts w:asciiTheme="majorBidi" w:eastAsiaTheme="minorHAnsi" w:hAnsiTheme="majorBidi" w:cstheme="majorBidi"/>
          <w:lang w:eastAsia="en-US"/>
          <w14:ligatures w14:val="standardContextual"/>
        </w:rPr>
        <w:t xml:space="preserve"> </w:t>
      </w:r>
      <w:r w:rsidR="004D6B26" w:rsidRPr="00FE0007">
        <w:rPr>
          <w:rFonts w:asciiTheme="majorBidi" w:hAnsiTheme="majorBidi" w:cstheme="majorBidi"/>
        </w:rPr>
        <w:t xml:space="preserve">Nolūkā slēpt jaundzimušā bērna slepkavības pēdas </w:t>
      </w:r>
      <w:r w:rsidR="001C6AE7">
        <w:rPr>
          <w:rFonts w:asciiTheme="majorBidi" w:hAnsiTheme="majorBidi" w:cstheme="majorBidi"/>
        </w:rPr>
        <w:t>[pers. A]</w:t>
      </w:r>
      <w:r w:rsidR="004D6B26" w:rsidRPr="00FE0007">
        <w:rPr>
          <w:rFonts w:asciiTheme="majorBidi" w:hAnsiTheme="majorBidi" w:cstheme="majorBidi"/>
        </w:rPr>
        <w:t xml:space="preserve"> nolēma </w:t>
      </w:r>
      <w:r w:rsidR="00B26F5C" w:rsidRPr="00FE0007">
        <w:rPr>
          <w:rFonts w:asciiTheme="majorBidi" w:hAnsiTheme="majorBidi" w:cstheme="majorBidi"/>
        </w:rPr>
        <w:t xml:space="preserve">apgānīt </w:t>
      </w:r>
      <w:r w:rsidR="004D6B26" w:rsidRPr="00FE0007">
        <w:rPr>
          <w:rFonts w:asciiTheme="majorBidi" w:hAnsiTheme="majorBidi" w:cstheme="majorBidi"/>
        </w:rPr>
        <w:t>jaundzimušā līķ</w:t>
      </w:r>
      <w:r w:rsidR="00B26F5C" w:rsidRPr="00FE0007">
        <w:rPr>
          <w:rFonts w:asciiTheme="majorBidi" w:hAnsiTheme="majorBidi" w:cstheme="majorBidi"/>
        </w:rPr>
        <w:t>i</w:t>
      </w:r>
      <w:r w:rsidR="004D6B26" w:rsidRPr="00FE0007">
        <w:rPr>
          <w:rFonts w:asciiTheme="majorBidi" w:hAnsiTheme="majorBidi" w:cstheme="majorBidi"/>
        </w:rPr>
        <w:t xml:space="preserve">. Īstenojot </w:t>
      </w:r>
      <w:r w:rsidR="00B26F5C" w:rsidRPr="00FE0007">
        <w:rPr>
          <w:rFonts w:asciiTheme="majorBidi" w:hAnsiTheme="majorBidi" w:cstheme="majorBidi"/>
        </w:rPr>
        <w:t>savu</w:t>
      </w:r>
      <w:r w:rsidR="004D6B26" w:rsidRPr="00FE0007">
        <w:rPr>
          <w:rFonts w:asciiTheme="majorBidi" w:hAnsiTheme="majorBidi" w:cstheme="majorBidi"/>
        </w:rPr>
        <w:t xml:space="preserve"> nodomu atbrīvoties no </w:t>
      </w:r>
      <w:r w:rsidR="00373CF6">
        <w:rPr>
          <w:rFonts w:asciiTheme="majorBidi" w:hAnsiTheme="majorBidi" w:cstheme="majorBidi"/>
        </w:rPr>
        <w:t>[pers. B]</w:t>
      </w:r>
      <w:r w:rsidR="004D6B26" w:rsidRPr="00FE0007">
        <w:rPr>
          <w:rFonts w:asciiTheme="majorBidi" w:hAnsiTheme="majorBidi" w:cstheme="majorBidi"/>
        </w:rPr>
        <w:t xml:space="preserve"> jaundzimušā </w:t>
      </w:r>
      <w:r w:rsidR="00B26F5C" w:rsidRPr="00FE0007">
        <w:rPr>
          <w:rFonts w:asciiTheme="majorBidi" w:hAnsiTheme="majorBidi" w:cstheme="majorBidi"/>
        </w:rPr>
        <w:t xml:space="preserve">bērna </w:t>
      </w:r>
      <w:r w:rsidR="004D6B26" w:rsidRPr="00FE0007">
        <w:rPr>
          <w:rFonts w:asciiTheme="majorBidi" w:hAnsiTheme="majorBidi" w:cstheme="majorBidi"/>
        </w:rPr>
        <w:t xml:space="preserve">līķa, </w:t>
      </w:r>
      <w:r w:rsidR="001C6AE7">
        <w:rPr>
          <w:rFonts w:asciiTheme="majorBidi" w:hAnsiTheme="majorBidi" w:cstheme="majorBidi"/>
        </w:rPr>
        <w:t>[pers. A]</w:t>
      </w:r>
      <w:r w:rsidR="004D6B26" w:rsidRPr="00FE0007">
        <w:rPr>
          <w:rFonts w:asciiTheme="majorBidi" w:hAnsiTheme="majorBidi" w:cstheme="majorBidi"/>
        </w:rPr>
        <w:t xml:space="preserve"> izmeklēšanā precīzi nenoskaidrotā vietā un laikā, bet ne vēlāk kā līdz 2020. gada </w:t>
      </w:r>
      <w:r w:rsidR="00A54B23">
        <w:rPr>
          <w:rFonts w:asciiTheme="majorBidi" w:hAnsiTheme="majorBidi" w:cstheme="majorBidi"/>
        </w:rPr>
        <w:t>[..]</w:t>
      </w:r>
      <w:r w:rsidR="004D6B26" w:rsidRPr="00FE0007">
        <w:rPr>
          <w:rFonts w:asciiTheme="majorBidi" w:hAnsiTheme="majorBidi" w:cstheme="majorBidi"/>
        </w:rPr>
        <w:t xml:space="preserve"> plkst. </w:t>
      </w:r>
      <w:r w:rsidR="00A54B23">
        <w:rPr>
          <w:rFonts w:asciiTheme="majorBidi" w:hAnsiTheme="majorBidi" w:cstheme="majorBidi"/>
        </w:rPr>
        <w:t>[..]</w:t>
      </w:r>
      <w:r w:rsidR="004D6B26" w:rsidRPr="00FE0007">
        <w:rPr>
          <w:rFonts w:asciiTheme="majorBidi" w:hAnsiTheme="majorBidi" w:cstheme="majorBidi"/>
        </w:rPr>
        <w:t xml:space="preserve">, </w:t>
      </w:r>
      <w:r w:rsidR="00F2559F" w:rsidRPr="00FE0007">
        <w:rPr>
          <w:rFonts w:asciiTheme="majorBidi" w:hAnsiTheme="majorBidi" w:cstheme="majorBidi"/>
        </w:rPr>
        <w:t xml:space="preserve">nenoskaidrotos apstākļos </w:t>
      </w:r>
      <w:r w:rsidR="004D6B26" w:rsidRPr="00FE0007">
        <w:rPr>
          <w:rFonts w:asciiTheme="majorBidi" w:hAnsiTheme="majorBidi" w:cstheme="majorBidi"/>
        </w:rPr>
        <w:t xml:space="preserve">iznīcināja jaundzimušā līķi, </w:t>
      </w:r>
      <w:r w:rsidR="00C83CF8" w:rsidRPr="00FE0007">
        <w:rPr>
          <w:rFonts w:asciiTheme="majorBidi" w:hAnsiTheme="majorBidi" w:cstheme="majorBidi"/>
        </w:rPr>
        <w:t xml:space="preserve">tādējādi </w:t>
      </w:r>
      <w:r w:rsidR="004D6B26" w:rsidRPr="00FE0007">
        <w:rPr>
          <w:rFonts w:asciiTheme="majorBidi" w:hAnsiTheme="majorBidi" w:cstheme="majorBidi"/>
        </w:rPr>
        <w:t>to</w:t>
      </w:r>
      <w:r w:rsidR="00F2559F" w:rsidRPr="00FE0007">
        <w:rPr>
          <w:rFonts w:asciiTheme="majorBidi" w:hAnsiTheme="majorBidi" w:cstheme="majorBidi"/>
        </w:rPr>
        <w:t xml:space="preserve"> </w:t>
      </w:r>
      <w:r w:rsidR="004D6B26" w:rsidRPr="00FE0007">
        <w:rPr>
          <w:rFonts w:asciiTheme="majorBidi" w:hAnsiTheme="majorBidi" w:cstheme="majorBidi"/>
        </w:rPr>
        <w:t xml:space="preserve">apgānot. Tādā veidā </w:t>
      </w:r>
      <w:r w:rsidR="001C6AE7">
        <w:rPr>
          <w:rFonts w:asciiTheme="majorBidi" w:hAnsiTheme="majorBidi" w:cstheme="majorBidi"/>
        </w:rPr>
        <w:t>[pers. A]</w:t>
      </w:r>
      <w:r w:rsidR="004D6B26" w:rsidRPr="00FE0007">
        <w:rPr>
          <w:rFonts w:asciiTheme="majorBidi" w:hAnsiTheme="majorBidi" w:cstheme="majorBidi"/>
        </w:rPr>
        <w:t xml:space="preserve"> veica </w:t>
      </w:r>
      <w:r w:rsidR="00F2559F" w:rsidRPr="00FE0007">
        <w:rPr>
          <w:rFonts w:asciiTheme="majorBidi" w:hAnsiTheme="majorBidi" w:cstheme="majorBidi"/>
        </w:rPr>
        <w:lastRenderedPageBreak/>
        <w:t xml:space="preserve">mazgadīgas </w:t>
      </w:r>
      <w:r w:rsidR="004D6B26" w:rsidRPr="00FE0007">
        <w:rPr>
          <w:rFonts w:asciiTheme="majorBidi" w:hAnsiTheme="majorBidi" w:cstheme="majorBidi"/>
        </w:rPr>
        <w:t xml:space="preserve">personas nolaupīšanu, izmantojot tā bezpalīdzības stāvokli, un tīši prettiesiski nonāvēja </w:t>
      </w:r>
      <w:r w:rsidR="00373CF6">
        <w:rPr>
          <w:rFonts w:asciiTheme="majorBidi" w:hAnsiTheme="majorBidi" w:cstheme="majorBidi"/>
        </w:rPr>
        <w:t>[pers. B]</w:t>
      </w:r>
      <w:r w:rsidR="004D6B26" w:rsidRPr="00FE0007">
        <w:rPr>
          <w:rFonts w:asciiTheme="majorBidi" w:hAnsiTheme="majorBidi" w:cstheme="majorBidi"/>
        </w:rPr>
        <w:t xml:space="preserve"> jaundzimušo.</w:t>
      </w:r>
    </w:p>
    <w:p w14:paraId="7289214A" w14:textId="78E85E09" w:rsidR="00684B45" w:rsidRPr="00FE0007" w:rsidRDefault="00684B45" w:rsidP="00E60540">
      <w:pPr>
        <w:pStyle w:val="NoSpacing"/>
        <w:spacing w:line="276" w:lineRule="auto"/>
        <w:ind w:firstLine="720"/>
        <w:jc w:val="both"/>
        <w:rPr>
          <w:rFonts w:asciiTheme="majorBidi" w:hAnsiTheme="majorBidi" w:cstheme="majorBidi"/>
          <w:i/>
          <w:iCs/>
          <w:sz w:val="24"/>
          <w:szCs w:val="24"/>
          <w14:ligatures w14:val="standardContextual"/>
        </w:rPr>
      </w:pPr>
      <w:r w:rsidRPr="00FE0007">
        <w:rPr>
          <w:rFonts w:asciiTheme="majorBidi" w:hAnsiTheme="majorBidi" w:cstheme="majorBidi"/>
          <w:sz w:val="24"/>
          <w:szCs w:val="24"/>
        </w:rPr>
        <w:t>[5.3] Eiropas Cilvēktiesību tiesa lietā „</w:t>
      </w:r>
      <w:r w:rsidRPr="00FE0007">
        <w:rPr>
          <w:rFonts w:asciiTheme="majorBidi" w:hAnsiTheme="majorBidi" w:cstheme="majorBidi"/>
          <w:i/>
          <w:iCs/>
          <w:sz w:val="24"/>
          <w:szCs w:val="24"/>
        </w:rPr>
        <w:t>Previti c. Italie”</w:t>
      </w:r>
      <w:r w:rsidRPr="00FE0007">
        <w:rPr>
          <w:rFonts w:asciiTheme="majorBidi" w:hAnsiTheme="majorBidi" w:cstheme="majorBidi"/>
          <w:sz w:val="24"/>
          <w:szCs w:val="24"/>
        </w:rPr>
        <w:t xml:space="preserve">, vērtējot apsūdzības detalizētību, atzinusi, ka </w:t>
      </w:r>
      <w:r w:rsidR="00F67114" w:rsidRPr="00FE0007">
        <w:rPr>
          <w:rFonts w:asciiTheme="majorBidi" w:hAnsiTheme="majorBidi" w:cstheme="majorBidi"/>
          <w:sz w:val="24"/>
          <w:szCs w:val="24"/>
        </w:rPr>
        <w:t>apsūdzība pēc būtības tiek izteikta kodolīgi un sīkāka informācija par nodarījumu parasti izriet no citiem lietas materiāliem, kas aizstāvībai ir pieejama</w:t>
      </w:r>
      <w:r w:rsidR="00F67114" w:rsidRPr="00FE0007" w:rsidDel="00F67114">
        <w:rPr>
          <w:rFonts w:asciiTheme="majorBidi" w:hAnsiTheme="majorBidi" w:cstheme="majorBidi"/>
          <w:sz w:val="24"/>
          <w:szCs w:val="24"/>
        </w:rPr>
        <w:t xml:space="preserve"> </w:t>
      </w:r>
      <w:r w:rsidRPr="00FE0007">
        <w:rPr>
          <w:rFonts w:asciiTheme="majorBidi" w:hAnsiTheme="majorBidi" w:cstheme="majorBidi"/>
          <w:sz w:val="24"/>
          <w:szCs w:val="24"/>
        </w:rPr>
        <w:t>(</w:t>
      </w:r>
      <w:r w:rsidRPr="00FE0007">
        <w:rPr>
          <w:rFonts w:asciiTheme="majorBidi" w:hAnsiTheme="majorBidi" w:cstheme="majorBidi"/>
          <w:i/>
          <w:iCs/>
          <w:sz w:val="24"/>
          <w:szCs w:val="24"/>
        </w:rPr>
        <w:t>Eiropas Cilvēktiesību tiesas 2009. gada 8. decembra lēmuma lietā „Previti c. Italie”, iesnieguma Nr. </w:t>
      </w:r>
      <w:hyperlink r:id="rId11" w:history="1">
        <w:r w:rsidRPr="00FE0007">
          <w:rPr>
            <w:rStyle w:val="Hyperlink"/>
            <w:rFonts w:asciiTheme="majorBidi" w:hAnsiTheme="majorBidi" w:cstheme="majorBidi"/>
            <w:i/>
            <w:iCs/>
            <w:color w:val="auto"/>
            <w:sz w:val="24"/>
            <w:szCs w:val="24"/>
          </w:rPr>
          <w:t>45291/06</w:t>
        </w:r>
      </w:hyperlink>
      <w:r w:rsidRPr="00FE0007">
        <w:rPr>
          <w:rFonts w:asciiTheme="majorBidi" w:hAnsiTheme="majorBidi" w:cstheme="majorBidi"/>
          <w:i/>
          <w:iCs/>
          <w:sz w:val="24"/>
          <w:szCs w:val="24"/>
        </w:rPr>
        <w:t>, 208. punkts</w:t>
      </w:r>
      <w:r w:rsidRPr="00FE0007">
        <w:rPr>
          <w:rFonts w:asciiTheme="majorBidi" w:hAnsiTheme="majorBidi" w:cstheme="majorBidi"/>
          <w:sz w:val="24"/>
          <w:szCs w:val="24"/>
        </w:rPr>
        <w:t xml:space="preserve">). </w:t>
      </w:r>
      <w:r w:rsidRPr="00FE0007">
        <w:rPr>
          <w:rFonts w:asciiTheme="majorBidi" w:hAnsiTheme="majorBidi" w:cstheme="majorBidi"/>
          <w:sz w:val="24"/>
          <w:szCs w:val="24"/>
          <w14:ligatures w14:val="standardContextual"/>
        </w:rPr>
        <w:t>Tiesa arī uzsvērusi, ka informācijā par personai izvirzītās apsūdzības raksturu nav obligāti jānorāda pierādījumi, uz kuriem ir balstīta apsūdzība (</w:t>
      </w:r>
      <w:r w:rsidRPr="00FE0007">
        <w:rPr>
          <w:rFonts w:asciiTheme="majorBidi" w:hAnsiTheme="majorBidi" w:cstheme="majorBidi"/>
          <w:i/>
          <w:iCs/>
          <w:sz w:val="24"/>
          <w:szCs w:val="24"/>
        </w:rPr>
        <w:t>Eiropas Cilvēktiesību tiesas 1977. gada 9. maija lēmums lietā „</w:t>
      </w:r>
      <w:r w:rsidRPr="00FE0007">
        <w:rPr>
          <w:rFonts w:asciiTheme="majorBidi" w:hAnsiTheme="majorBidi" w:cstheme="majorBidi"/>
          <w:i/>
          <w:iCs/>
          <w:sz w:val="24"/>
          <w:szCs w:val="24"/>
          <w14:ligatures w14:val="standardContextual"/>
        </w:rPr>
        <w:t xml:space="preserve">X </w:t>
      </w:r>
      <w:r w:rsidR="00F2559F" w:rsidRPr="00FE0007">
        <w:rPr>
          <w:rFonts w:asciiTheme="majorBidi" w:hAnsiTheme="majorBidi" w:cstheme="majorBidi"/>
          <w:i/>
          <w:iCs/>
          <w:sz w:val="24"/>
          <w:szCs w:val="24"/>
          <w14:ligatures w14:val="standardContextual"/>
        </w:rPr>
        <w:t>v. Belgium</w:t>
      </w:r>
      <w:r w:rsidRPr="00FE0007">
        <w:rPr>
          <w:rFonts w:asciiTheme="majorBidi" w:hAnsiTheme="majorBidi" w:cstheme="majorBidi"/>
          <w:i/>
          <w:iCs/>
          <w:sz w:val="24"/>
          <w:szCs w:val="24"/>
        </w:rPr>
        <w:t>”, iesnieguma Nr. </w:t>
      </w:r>
      <w:hyperlink r:id="rId12" w:history="1">
        <w:r w:rsidRPr="00FE0007">
          <w:rPr>
            <w:rStyle w:val="Hyperlink"/>
            <w:rFonts w:asciiTheme="majorBidi" w:hAnsiTheme="majorBidi" w:cstheme="majorBidi"/>
            <w:i/>
            <w:iCs/>
            <w:color w:val="auto"/>
            <w:sz w:val="24"/>
            <w:szCs w:val="24"/>
            <w14:ligatures w14:val="standardContextual"/>
          </w:rPr>
          <w:t>7628/76</w:t>
        </w:r>
      </w:hyperlink>
      <w:r w:rsidRPr="00FE0007">
        <w:rPr>
          <w:rFonts w:asciiTheme="majorBidi" w:hAnsiTheme="majorBidi" w:cstheme="majorBidi"/>
          <w:i/>
          <w:iCs/>
          <w:sz w:val="24"/>
          <w:szCs w:val="24"/>
          <w14:ligatures w14:val="standardContextual"/>
        </w:rPr>
        <w:t xml:space="preserve">). </w:t>
      </w:r>
    </w:p>
    <w:p w14:paraId="28055F24" w14:textId="2EB6A5C0" w:rsidR="00AF6FF3" w:rsidRPr="00FE0007" w:rsidRDefault="001C3465" w:rsidP="00AB0383">
      <w:pPr>
        <w:pStyle w:val="NoSpacing"/>
        <w:spacing w:line="276" w:lineRule="auto"/>
        <w:ind w:firstLine="720"/>
        <w:jc w:val="both"/>
        <w:rPr>
          <w:rFonts w:asciiTheme="majorBidi" w:hAnsiTheme="majorBidi" w:cstheme="majorBidi"/>
          <w:sz w:val="24"/>
          <w:szCs w:val="24"/>
          <w14:ligatures w14:val="standardContextual"/>
        </w:rPr>
      </w:pPr>
      <w:r w:rsidRPr="00FE0007">
        <w:rPr>
          <w:rFonts w:asciiTheme="majorBidi" w:hAnsiTheme="majorBidi" w:cstheme="majorBidi"/>
          <w:sz w:val="24"/>
          <w:szCs w:val="24"/>
          <w14:ligatures w14:val="standardContextual"/>
        </w:rPr>
        <w:t xml:space="preserve">Senāts konstatē, ka apsūdzībā ir norādīti </w:t>
      </w:r>
      <w:r w:rsidR="001C6AE7">
        <w:rPr>
          <w:rFonts w:asciiTheme="majorBidi" w:hAnsiTheme="majorBidi" w:cstheme="majorBidi"/>
          <w:sz w:val="24"/>
          <w:szCs w:val="24"/>
          <w14:ligatures w14:val="standardContextual"/>
        </w:rPr>
        <w:t>[pers. A]</w:t>
      </w:r>
      <w:r w:rsidRPr="00FE0007">
        <w:rPr>
          <w:rFonts w:asciiTheme="majorBidi" w:hAnsiTheme="majorBidi" w:cstheme="majorBidi"/>
          <w:sz w:val="24"/>
          <w:szCs w:val="24"/>
          <w14:ligatures w14:val="standardContextual"/>
        </w:rPr>
        <w:t xml:space="preserve"> inkriminēto noziedzīgo nodarījumu faktiskie apstākļi, kas nosaka juridisko kvalifikāciju, ciktāl tos </w:t>
      </w:r>
      <w:r w:rsidR="00D13381" w:rsidRPr="00FE0007">
        <w:rPr>
          <w:rFonts w:asciiTheme="majorBidi" w:hAnsiTheme="majorBidi" w:cstheme="majorBidi"/>
          <w:sz w:val="24"/>
          <w:szCs w:val="24"/>
        </w:rPr>
        <w:t>b</w:t>
      </w:r>
      <w:r w:rsidR="00D13381" w:rsidRPr="00FE0007">
        <w:rPr>
          <w:rFonts w:asciiTheme="majorBidi" w:hAnsiTheme="majorBidi" w:cstheme="majorBidi"/>
          <w:sz w:val="24"/>
          <w:szCs w:val="24"/>
          <w14:ligatures w14:val="standardContextual"/>
        </w:rPr>
        <w:t>ijis</w:t>
      </w:r>
      <w:r w:rsidRPr="00FE0007">
        <w:rPr>
          <w:rFonts w:asciiTheme="majorBidi" w:hAnsiTheme="majorBidi" w:cstheme="majorBidi"/>
          <w:sz w:val="24"/>
          <w:szCs w:val="24"/>
          <w14:ligatures w14:val="standardContextual"/>
        </w:rPr>
        <w:t xml:space="preserve"> iespējams </w:t>
      </w:r>
      <w:r w:rsidR="00D13381" w:rsidRPr="00FE0007">
        <w:rPr>
          <w:rFonts w:asciiTheme="majorBidi" w:hAnsiTheme="majorBidi" w:cstheme="majorBidi"/>
          <w:sz w:val="24"/>
          <w:szCs w:val="24"/>
        </w:rPr>
        <w:t xml:space="preserve">kriminālprocesā </w:t>
      </w:r>
      <w:r w:rsidRPr="00FE0007">
        <w:rPr>
          <w:rFonts w:asciiTheme="majorBidi" w:hAnsiTheme="majorBidi" w:cstheme="majorBidi"/>
          <w:sz w:val="24"/>
          <w:szCs w:val="24"/>
          <w14:ligatures w14:val="standardContextual"/>
        </w:rPr>
        <w:t>noskaidrot</w:t>
      </w:r>
      <w:r w:rsidR="00705A04" w:rsidRPr="00FE0007">
        <w:rPr>
          <w:rFonts w:asciiTheme="majorBidi" w:hAnsiTheme="majorBidi" w:cstheme="majorBidi"/>
          <w:sz w:val="24"/>
          <w:szCs w:val="24"/>
          <w14:ligatures w14:val="standardContextual"/>
        </w:rPr>
        <w:t>, tai skaitā apstākļi, kas raksturo apsūdzētās nodomu izdarīt viņai inkriminētās darbības.</w:t>
      </w:r>
      <w:r w:rsidR="00AB0383" w:rsidRPr="00FE0007">
        <w:rPr>
          <w:rFonts w:asciiTheme="majorBidi" w:hAnsiTheme="majorBidi" w:cstheme="majorBidi"/>
          <w:sz w:val="24"/>
          <w:szCs w:val="24"/>
          <w14:ligatures w14:val="standardContextual"/>
        </w:rPr>
        <w:t xml:space="preserve"> </w:t>
      </w:r>
      <w:r w:rsidR="00AF6FF3" w:rsidRPr="00FE0007">
        <w:rPr>
          <w:rFonts w:asciiTheme="majorBidi" w:hAnsiTheme="majorBidi" w:cstheme="majorBidi"/>
          <w:sz w:val="24"/>
          <w:szCs w:val="24"/>
        </w:rPr>
        <w:t>Apsūdzība raksturo inkriminētos noziedzīgos nodarījumus un ļauj pret to aizstāvēties, kas izriet arī no apsūdzētās aizstāvības pozīcijas satura. N</w:t>
      </w:r>
      <w:r w:rsidR="00AF6FF3" w:rsidRPr="00FE0007">
        <w:rPr>
          <w:rFonts w:asciiTheme="majorBidi" w:hAnsiTheme="majorBidi" w:cstheme="majorBidi"/>
          <w:sz w:val="24"/>
          <w:szCs w:val="24"/>
          <w14:ligatures w14:val="standardContextual"/>
        </w:rPr>
        <w:t xml:space="preserve">o </w:t>
      </w:r>
      <w:bookmarkStart w:id="16" w:name="_Hlk184990052"/>
      <w:r w:rsidR="00AF6FF3" w:rsidRPr="00FE0007">
        <w:rPr>
          <w:rFonts w:asciiTheme="majorBidi" w:hAnsiTheme="majorBidi" w:cstheme="majorBidi"/>
          <w:sz w:val="24"/>
          <w:szCs w:val="24"/>
          <w14:ligatures w14:val="standardContextual"/>
        </w:rPr>
        <w:t xml:space="preserve">pirmās instances un apelācijas instances tiesas </w:t>
      </w:r>
      <w:bookmarkEnd w:id="16"/>
      <w:r w:rsidR="00AF6FF3" w:rsidRPr="00FE0007">
        <w:rPr>
          <w:rFonts w:asciiTheme="majorBidi" w:hAnsiTheme="majorBidi" w:cstheme="majorBidi"/>
          <w:sz w:val="24"/>
          <w:szCs w:val="24"/>
          <w14:ligatures w14:val="standardContextual"/>
        </w:rPr>
        <w:t xml:space="preserve">sēžu protokoliem konstatējams, ka apsūdzība </w:t>
      </w:r>
      <w:r w:rsidR="001C6AE7">
        <w:rPr>
          <w:rFonts w:asciiTheme="majorBidi" w:hAnsiTheme="majorBidi" w:cstheme="majorBidi"/>
          <w:sz w:val="24"/>
          <w:szCs w:val="24"/>
          <w14:ligatures w14:val="standardContextual"/>
        </w:rPr>
        <w:t>[pers. A]</w:t>
      </w:r>
      <w:r w:rsidR="00AF6FF3" w:rsidRPr="00FE0007">
        <w:rPr>
          <w:rFonts w:asciiTheme="majorBidi" w:hAnsiTheme="majorBidi" w:cstheme="majorBidi"/>
          <w:sz w:val="24"/>
          <w:szCs w:val="24"/>
          <w14:ligatures w14:val="standardContextual"/>
        </w:rPr>
        <w:t xml:space="preserve"> bija saprotama, viņa aktīvi aizstāvējusies pret celto apsūdzību, sniegusi liecības par notikušā apstākļiem, apstrīdot apsūdzībā norādītos nodarījuma faktiskos apstākļus un izvirzot savu versiju par notikušo. Iztiesāšanas laikā apsūdzētā un viņas aizstāvji ir pieteikuši lūgumus un iesnieguši pierādījumus. </w:t>
      </w:r>
      <w:r w:rsidR="00AF6FF3" w:rsidRPr="00FE0007">
        <w:rPr>
          <w:rFonts w:asciiTheme="majorBidi" w:hAnsiTheme="majorBidi" w:cstheme="majorBidi"/>
          <w:sz w:val="24"/>
          <w:szCs w:val="24"/>
        </w:rPr>
        <w:t>Savukārt pierādījumus, kas apstiprina vai izslēdz apsūdzībā norādīto faktu esību, vērtē tiesa, kas iztiesā lietu pēc būtības, proti, pirmās instances tiesa vai apelācijas instances tiesa.</w:t>
      </w:r>
    </w:p>
    <w:p w14:paraId="6DF1613D" w14:textId="77777777" w:rsidR="00CB056B" w:rsidRPr="00FE0007" w:rsidRDefault="00CB056B" w:rsidP="00CB056B">
      <w:pPr>
        <w:pStyle w:val="NoSpacing"/>
        <w:spacing w:line="276" w:lineRule="auto"/>
        <w:ind w:firstLine="720"/>
        <w:jc w:val="both"/>
        <w:rPr>
          <w:rFonts w:asciiTheme="majorBidi" w:hAnsiTheme="majorBidi" w:cstheme="majorBidi"/>
          <w:i/>
          <w:iCs/>
          <w:sz w:val="24"/>
          <w:szCs w:val="24"/>
          <w14:ligatures w14:val="standardContextual"/>
        </w:rPr>
      </w:pPr>
    </w:p>
    <w:p w14:paraId="3936857B" w14:textId="5BA15878" w:rsidR="00CB056B" w:rsidRPr="00FE0007" w:rsidRDefault="00CB056B" w:rsidP="00A30DFC">
      <w:pPr>
        <w:pStyle w:val="NoSpacing"/>
        <w:spacing w:line="276" w:lineRule="auto"/>
        <w:ind w:firstLine="720"/>
        <w:jc w:val="both"/>
        <w:rPr>
          <w:rFonts w:asciiTheme="majorBidi" w:hAnsiTheme="majorBidi" w:cstheme="majorBidi"/>
          <w:sz w:val="24"/>
          <w:szCs w:val="24"/>
        </w:rPr>
      </w:pPr>
      <w:r w:rsidRPr="00FE0007">
        <w:rPr>
          <w:rFonts w:asciiTheme="majorBidi" w:hAnsiTheme="majorBidi" w:cstheme="majorBidi"/>
          <w:sz w:val="24"/>
          <w:szCs w:val="24"/>
          <w14:ligatures w14:val="standardContextual"/>
        </w:rPr>
        <w:t xml:space="preserve">[6] Ievērot minēto, </w:t>
      </w:r>
      <w:r w:rsidRPr="00FE0007">
        <w:rPr>
          <w:rFonts w:asciiTheme="majorBidi" w:hAnsiTheme="majorBidi" w:cstheme="majorBidi"/>
          <w:sz w:val="24"/>
          <w:szCs w:val="24"/>
        </w:rPr>
        <w:t xml:space="preserve">Senāts atzīst, ka turpmāk lēmumā ir jānoskaidro, </w:t>
      </w:r>
      <w:r w:rsidRPr="00FE0007">
        <w:rPr>
          <w:rFonts w:asciiTheme="majorBidi" w:hAnsiTheme="majorBidi" w:cstheme="majorBidi"/>
          <w:sz w:val="24"/>
          <w:szCs w:val="24"/>
          <w14:ligatures w14:val="standardContextual"/>
        </w:rPr>
        <w:t xml:space="preserve">vai </w:t>
      </w:r>
      <w:r w:rsidRPr="00FE0007">
        <w:rPr>
          <w:rFonts w:asciiTheme="majorBidi" w:hAnsiTheme="majorBidi" w:cstheme="majorBidi"/>
          <w:sz w:val="24"/>
          <w:szCs w:val="24"/>
        </w:rPr>
        <w:t>apelācijas instances tiesa</w:t>
      </w:r>
      <w:r w:rsidR="00E53F92" w:rsidRPr="00FE0007">
        <w:rPr>
          <w:rFonts w:asciiTheme="majorBidi" w:hAnsiTheme="majorBidi" w:cstheme="majorBidi"/>
          <w:sz w:val="24"/>
          <w:szCs w:val="24"/>
        </w:rPr>
        <w:t>s</w:t>
      </w:r>
      <w:r w:rsidRPr="00FE0007">
        <w:rPr>
          <w:rFonts w:asciiTheme="majorBidi" w:hAnsiTheme="majorBidi" w:cstheme="majorBidi"/>
          <w:sz w:val="24"/>
          <w:szCs w:val="24"/>
        </w:rPr>
        <w:t xml:space="preserve"> atzinum</w:t>
      </w:r>
      <w:r w:rsidR="00393593" w:rsidRPr="00FE0007">
        <w:rPr>
          <w:rFonts w:asciiTheme="majorBidi" w:hAnsiTheme="majorBidi" w:cstheme="majorBidi"/>
          <w:sz w:val="24"/>
          <w:szCs w:val="24"/>
        </w:rPr>
        <w:t>a pamatotība</w:t>
      </w:r>
      <w:r w:rsidRPr="00FE0007">
        <w:rPr>
          <w:rFonts w:asciiTheme="majorBidi" w:hAnsiTheme="majorBidi" w:cstheme="majorBidi"/>
          <w:sz w:val="24"/>
          <w:szCs w:val="24"/>
        </w:rPr>
        <w:t xml:space="preserve"> par apsūdzētās </w:t>
      </w:r>
      <w:r w:rsidR="001C6AE7">
        <w:rPr>
          <w:rFonts w:asciiTheme="majorBidi" w:hAnsiTheme="majorBidi" w:cstheme="majorBidi"/>
          <w:sz w:val="24"/>
          <w:szCs w:val="24"/>
          <w14:ligatures w14:val="standardContextual"/>
        </w:rPr>
        <w:t>[pers. A]</w:t>
      </w:r>
      <w:r w:rsidRPr="00FE0007">
        <w:rPr>
          <w:rFonts w:asciiTheme="majorBidi" w:hAnsiTheme="majorBidi" w:cstheme="majorBidi"/>
          <w:sz w:val="24"/>
          <w:szCs w:val="24"/>
          <w14:ligatures w14:val="standardContextual"/>
        </w:rPr>
        <w:t xml:space="preserve"> </w:t>
      </w:r>
      <w:r w:rsidRPr="00FE0007">
        <w:rPr>
          <w:rFonts w:asciiTheme="majorBidi" w:hAnsiTheme="majorBidi" w:cstheme="majorBidi"/>
          <w:sz w:val="24"/>
          <w:szCs w:val="24"/>
        </w:rPr>
        <w:t xml:space="preserve">vainīgumu </w:t>
      </w:r>
      <w:r w:rsidR="00A30DFC" w:rsidRPr="00FE0007">
        <w:rPr>
          <w:rFonts w:ascii="TimesNewRomanPSMT" w:hAnsi="TimesNewRomanPSMT" w:cs="TimesNewRomanPSMT"/>
          <w:sz w:val="24"/>
          <w:szCs w:val="24"/>
          <w14:ligatures w14:val="standardContextual"/>
        </w:rPr>
        <w:t>Krimināllikuma 117. panta 5. punktā paredzētajā noziegumā</w:t>
      </w:r>
      <w:r w:rsidR="00A30DFC" w:rsidRPr="00FE0007">
        <w:rPr>
          <w:rFonts w:asciiTheme="majorBidi" w:hAnsiTheme="majorBidi" w:cstheme="majorBidi"/>
          <w:sz w:val="24"/>
          <w:szCs w:val="24"/>
        </w:rPr>
        <w:t xml:space="preserve"> </w:t>
      </w:r>
      <w:r w:rsidRPr="00FE0007">
        <w:rPr>
          <w:rFonts w:asciiTheme="majorBidi" w:hAnsiTheme="majorBidi" w:cstheme="majorBidi"/>
          <w:sz w:val="24"/>
          <w:szCs w:val="24"/>
        </w:rPr>
        <w:t>atbilst Kriminālprocesa likuma 564. panta ceturtās daļas prasībām.</w:t>
      </w:r>
    </w:p>
    <w:p w14:paraId="1AE1FAAD" w14:textId="77777777" w:rsidR="00545223" w:rsidRPr="00FE0007" w:rsidRDefault="00545223" w:rsidP="00545223">
      <w:pPr>
        <w:spacing w:line="276" w:lineRule="auto"/>
        <w:ind w:firstLine="720"/>
        <w:jc w:val="both"/>
        <w:rPr>
          <w:rStyle w:val="Hyperlink"/>
          <w:rFonts w:eastAsiaTheme="majorEastAsia"/>
          <w:color w:val="auto"/>
          <w:u w:val="none"/>
        </w:rPr>
      </w:pPr>
      <w:r w:rsidRPr="00FE0007">
        <w:rPr>
          <w:rStyle w:val="Hyperlink"/>
          <w:rFonts w:eastAsiaTheme="majorEastAsia"/>
          <w:color w:val="auto"/>
          <w:u w:val="none"/>
        </w:rPr>
        <w:t>Saskaņā ar Kriminālprocesa likuma 511. panta otro daļu spriedumam jābūt</w:t>
      </w:r>
      <w:r w:rsidRPr="00FE0007">
        <w:rPr>
          <w:rStyle w:val="Hyperlink"/>
          <w:rFonts w:eastAsiaTheme="majorEastAsia"/>
          <w:color w:val="auto"/>
        </w:rPr>
        <w:t xml:space="preserve"> </w:t>
      </w:r>
      <w:r w:rsidRPr="00FE0007">
        <w:rPr>
          <w:rStyle w:val="Hyperlink"/>
          <w:rFonts w:eastAsiaTheme="majorEastAsia"/>
          <w:color w:val="auto"/>
          <w:u w:val="none"/>
        </w:rPr>
        <w:t>tiesiskam un pamatotam. Spriedums ir tiesisks un pamatots, ja tas atbilst Kriminālprocesa likuma 512. panta prasībām, tai skaitā šā panta pirmajai daļai, kas noteic, ka tiesa, taisot spriedumu, pamatojas uz materiālo un procesuālo tiesību normām. Šīs prasības attiecas arī uz apelācijas instances tiesas nolēmumu.</w:t>
      </w:r>
    </w:p>
    <w:p w14:paraId="6A5A8AE6" w14:textId="77777777" w:rsidR="00545223" w:rsidRPr="00FE0007" w:rsidRDefault="00545223" w:rsidP="00545223">
      <w:pPr>
        <w:spacing w:line="276" w:lineRule="auto"/>
        <w:ind w:firstLine="720"/>
        <w:jc w:val="both"/>
        <w:rPr>
          <w:rStyle w:val="Hyperlink"/>
          <w:rFonts w:eastAsiaTheme="majorEastAsia"/>
          <w:color w:val="auto"/>
          <w:u w:val="none"/>
        </w:rPr>
      </w:pPr>
      <w:r w:rsidRPr="00FE0007">
        <w:rPr>
          <w:rStyle w:val="Hyperlink"/>
          <w:rFonts w:eastAsiaTheme="majorEastAsia"/>
          <w:color w:val="auto"/>
          <w:u w:val="none"/>
        </w:rPr>
        <w:t>Savukārt Kriminālprocesa likuma 564.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0234AB0" w14:textId="446EE0A3" w:rsidR="00545223" w:rsidRPr="00FE0007" w:rsidRDefault="00684B45" w:rsidP="00545223">
      <w:pPr>
        <w:spacing w:line="276" w:lineRule="auto"/>
        <w:ind w:firstLine="720"/>
        <w:jc w:val="both"/>
        <w:rPr>
          <w:rFonts w:asciiTheme="majorBidi" w:hAnsiTheme="majorBidi" w:cstheme="majorBidi"/>
        </w:rPr>
      </w:pPr>
      <w:r w:rsidRPr="00FE0007">
        <w:rPr>
          <w:rFonts w:asciiTheme="majorBidi" w:hAnsiTheme="majorBidi" w:cstheme="majorBidi"/>
        </w:rPr>
        <w:t>[6.1] </w:t>
      </w:r>
      <w:r w:rsidR="00545223" w:rsidRPr="00FE0007">
        <w:rPr>
          <w:rFonts w:asciiTheme="majorBidi" w:hAnsiTheme="majorBidi" w:cstheme="majorBidi"/>
        </w:rPr>
        <w:t>Apelācijas instances tiesa atstājusi negrozītu pirmās instances tiesas spriedumu un atzinusi par pamatotiem pirmās instances tiesas secinājumus par apsūdzētās darbību juridisko kvalifikāciju, tai skaitā</w:t>
      </w:r>
      <w:r w:rsidR="003D0EC6" w:rsidRPr="00FE0007">
        <w:rPr>
          <w:rFonts w:asciiTheme="majorBidi" w:hAnsiTheme="majorBidi" w:cstheme="majorBidi"/>
        </w:rPr>
        <w:t xml:space="preserve"> par to, </w:t>
      </w:r>
      <w:r w:rsidR="00545223" w:rsidRPr="00FE0007">
        <w:rPr>
          <w:rFonts w:asciiTheme="majorBidi" w:hAnsiTheme="majorBidi" w:cstheme="majorBidi"/>
        </w:rPr>
        <w:t xml:space="preserve">ka apsūdzētā ir izdarījusi </w:t>
      </w:r>
      <w:r w:rsidR="00901A29" w:rsidRPr="00FE0007">
        <w:rPr>
          <w:rFonts w:asciiTheme="majorBidi" w:hAnsiTheme="majorBidi" w:cstheme="majorBidi"/>
        </w:rPr>
        <w:t xml:space="preserve">citas personas tīšu prettiesisku nonāvēšanu, pēc tās </w:t>
      </w:r>
      <w:r w:rsidR="003D0EC6" w:rsidRPr="00FE0007">
        <w:rPr>
          <w:rFonts w:asciiTheme="majorBidi" w:hAnsiTheme="majorBidi" w:cstheme="majorBidi"/>
        </w:rPr>
        <w:t>apgānot šīs personas</w:t>
      </w:r>
      <w:r w:rsidR="00901A29" w:rsidRPr="00FE0007">
        <w:rPr>
          <w:rFonts w:asciiTheme="majorBidi" w:hAnsiTheme="majorBidi" w:cstheme="majorBidi"/>
        </w:rPr>
        <w:t xml:space="preserve"> līķ</w:t>
      </w:r>
      <w:r w:rsidR="003D0EC6" w:rsidRPr="00FE0007">
        <w:rPr>
          <w:rFonts w:asciiTheme="majorBidi" w:hAnsiTheme="majorBidi" w:cstheme="majorBidi"/>
        </w:rPr>
        <w:t>i</w:t>
      </w:r>
      <w:r w:rsidR="00545223" w:rsidRPr="00FE0007">
        <w:rPr>
          <w:rFonts w:asciiTheme="majorBidi" w:hAnsiTheme="majorBidi" w:cstheme="majorBidi"/>
        </w:rPr>
        <w:t>, un,</w:t>
      </w:r>
      <w:r w:rsidR="003D0EC6" w:rsidRPr="00FE0007">
        <w:rPr>
          <w:rFonts w:asciiTheme="majorBidi" w:hAnsiTheme="majorBidi" w:cstheme="majorBidi"/>
        </w:rPr>
        <w:t xml:space="preserve"> par to,</w:t>
      </w:r>
      <w:r w:rsidR="00545223" w:rsidRPr="00FE0007">
        <w:rPr>
          <w:rFonts w:asciiTheme="majorBidi" w:hAnsiTheme="majorBidi" w:cstheme="majorBidi"/>
        </w:rPr>
        <w:t xml:space="preserve"> ka šādas apsūdzētās </w:t>
      </w:r>
      <w:r w:rsidR="001C6AE7">
        <w:rPr>
          <w:rFonts w:asciiTheme="majorBidi" w:hAnsiTheme="majorBidi" w:cstheme="majorBidi"/>
        </w:rPr>
        <w:t>[pers. A]</w:t>
      </w:r>
      <w:r w:rsidR="00545223" w:rsidRPr="00FE0007">
        <w:rPr>
          <w:rFonts w:asciiTheme="majorBidi" w:hAnsiTheme="majorBidi" w:cstheme="majorBidi"/>
        </w:rPr>
        <w:t xml:space="preserve"> darbības pareizi k</w:t>
      </w:r>
      <w:r w:rsidR="00393593" w:rsidRPr="00FE0007">
        <w:rPr>
          <w:rFonts w:asciiTheme="majorBidi" w:hAnsiTheme="majorBidi" w:cstheme="majorBidi"/>
        </w:rPr>
        <w:t>v</w:t>
      </w:r>
      <w:r w:rsidR="00545223" w:rsidRPr="00FE0007">
        <w:rPr>
          <w:rFonts w:asciiTheme="majorBidi" w:hAnsiTheme="majorBidi" w:cstheme="majorBidi"/>
        </w:rPr>
        <w:t xml:space="preserve">alificētas pēc Krimināllikuma 117. panta 5. punkta. </w:t>
      </w:r>
    </w:p>
    <w:p w14:paraId="503AFD60" w14:textId="77777777" w:rsidR="00E1185D" w:rsidRPr="00FE0007" w:rsidRDefault="00ED061A" w:rsidP="00E1185D">
      <w:pPr>
        <w:spacing w:line="276" w:lineRule="auto"/>
        <w:ind w:firstLine="720"/>
        <w:jc w:val="both"/>
        <w:rPr>
          <w:rFonts w:asciiTheme="majorBidi" w:hAnsiTheme="majorBidi" w:cstheme="majorBidi"/>
        </w:rPr>
      </w:pPr>
      <w:r w:rsidRPr="00FE0007">
        <w:rPr>
          <w:rFonts w:asciiTheme="majorBidi" w:hAnsiTheme="majorBidi" w:cstheme="majorBidi"/>
        </w:rPr>
        <w:lastRenderedPageBreak/>
        <w:t>[6.1.1] </w:t>
      </w:r>
      <w:r w:rsidR="00E1185D" w:rsidRPr="00FE0007">
        <w:rPr>
          <w:rFonts w:asciiTheme="majorBidi" w:hAnsiTheme="majorBidi" w:cstheme="majorBidi"/>
        </w:rPr>
        <w:t xml:space="preserve">Krimināllikuma 117. pantā paredzēta kriminālatbildība par slepkavību pastiprinošos apstākļos. Atbilstoši šā panta 5. punktam slepkavība ir izdarīta pastiprinošos apstākļos, ja pēc slepkavības ir izdarīta līķa apgānīšana.  </w:t>
      </w:r>
    </w:p>
    <w:p w14:paraId="021729B0" w14:textId="77777777" w:rsidR="00E1185D" w:rsidRPr="00FE0007" w:rsidRDefault="00E1185D" w:rsidP="00E1185D">
      <w:pPr>
        <w:spacing w:line="276" w:lineRule="auto"/>
        <w:ind w:firstLine="720"/>
        <w:jc w:val="both"/>
        <w:rPr>
          <w:rFonts w:asciiTheme="majorBidi" w:hAnsiTheme="majorBidi" w:cstheme="majorBidi"/>
        </w:rPr>
      </w:pPr>
      <w:r w:rsidRPr="00FE0007">
        <w:rPr>
          <w:rFonts w:asciiTheme="majorBidi" w:hAnsiTheme="majorBidi" w:cstheme="majorBidi"/>
        </w:rPr>
        <w:t>Senāts jau iepriekš ir skaidrojis Krimināllikuma 117. panta 5. punktā paredzētā noziedzīgā nodarījuma kvalifikācijas jautājumus un atzinis, ka sabiedrībā vispārpieņemtām morāles un sadzīves normām pretēja rīcība pati par sevi nav atzīstama par līķa apgānīšanu krimināltiesiskā izpratnē, jo ne katra līķa pārvietošana un slēpšana ir atzīstama par līķa apgānīšanu. Lai apsūdzētā darbības kvalificētu kā līķa apgānīšanu, ir jākonstatē, ka apsūdzētais ir iedarbojies uz līķi (</w:t>
      </w:r>
      <w:r w:rsidRPr="00FE0007">
        <w:rPr>
          <w:rFonts w:asciiTheme="majorBidi" w:hAnsiTheme="majorBidi" w:cstheme="majorBidi"/>
          <w:i/>
          <w:iCs/>
        </w:rPr>
        <w:t>sk. Senāta 2013. gada 10. decembra lēmumu lietā Nr. </w:t>
      </w:r>
      <w:hyperlink r:id="rId13" w:history="1">
        <w:r w:rsidRPr="00FE0007">
          <w:rPr>
            <w:rStyle w:val="Hyperlink"/>
            <w:rFonts w:asciiTheme="majorBidi" w:eastAsiaTheme="majorEastAsia" w:hAnsiTheme="majorBidi" w:cstheme="majorBidi"/>
            <w:i/>
            <w:iCs/>
            <w:color w:val="auto"/>
          </w:rPr>
          <w:t>SKK-572/2013</w:t>
        </w:r>
      </w:hyperlink>
      <w:r w:rsidRPr="00FE0007">
        <w:rPr>
          <w:rFonts w:asciiTheme="majorBidi" w:hAnsiTheme="majorBidi" w:cstheme="majorBidi"/>
          <w:i/>
          <w:iCs/>
        </w:rPr>
        <w:t>, 11221007013</w:t>
      </w:r>
      <w:r w:rsidRPr="00FE0007">
        <w:rPr>
          <w:rFonts w:asciiTheme="majorBidi" w:hAnsiTheme="majorBidi" w:cstheme="majorBidi"/>
        </w:rPr>
        <w:t xml:space="preserve">). </w:t>
      </w:r>
    </w:p>
    <w:p w14:paraId="4DA7084C" w14:textId="558E11A9" w:rsidR="00E1185D" w:rsidRPr="00FE0007" w:rsidRDefault="00E1185D" w:rsidP="00E1185D">
      <w:pPr>
        <w:spacing w:line="276" w:lineRule="auto"/>
        <w:ind w:firstLine="720"/>
        <w:jc w:val="both"/>
        <w:rPr>
          <w:rFonts w:asciiTheme="majorBidi" w:hAnsiTheme="majorBidi" w:cstheme="majorBidi"/>
        </w:rPr>
      </w:pPr>
      <w:r w:rsidRPr="00FE0007">
        <w:rPr>
          <w:rFonts w:asciiTheme="majorBidi" w:hAnsiTheme="majorBidi" w:cstheme="majorBidi"/>
        </w:rPr>
        <w:t>Tiesību doktrīnā ir pausts viedoklis, ka līķa apgānīšana var izpausties kā ņirgāšanās par līķi, tā izķēmošana, sadalīšana, dedzināšana, kā kanibālisms un citādi. Šāda nozieguma motivācija galvenokārt saistīta ar vēlmi paņirgāties par mirušā ķermeni vai arī vēlēšanos slēpt iepriekš izdarītu slepkavību, kad tiek izdarīta līķa sadalīšana, sadedzināšana, nolikšana uz sliedēm, lai līķi sabrauktu vilciens u. tml. (</w:t>
      </w:r>
      <w:r w:rsidR="00901A29" w:rsidRPr="00FE0007">
        <w:rPr>
          <w:rFonts w:asciiTheme="majorBidi" w:hAnsiTheme="majorBidi" w:cstheme="majorBidi"/>
          <w:i/>
          <w:iCs/>
        </w:rPr>
        <w:t>Liholaja V. 117. panta komentārs. Grām</w:t>
      </w:r>
      <w:r w:rsidR="0032373D" w:rsidRPr="00FE0007">
        <w:rPr>
          <w:rFonts w:asciiTheme="majorBidi" w:hAnsiTheme="majorBidi" w:cstheme="majorBidi"/>
          <w:i/>
          <w:iCs/>
        </w:rPr>
        <w:t>.:</w:t>
      </w:r>
      <w:r w:rsidRPr="00FE0007">
        <w:rPr>
          <w:rFonts w:asciiTheme="majorBidi" w:hAnsiTheme="majorBidi" w:cstheme="majorBidi"/>
          <w:i/>
          <w:iCs/>
        </w:rPr>
        <w:t>Krimināllikuma komentāri. Otrā daļa (IX–</w:t>
      </w:r>
      <w:r w:rsidR="0032373D" w:rsidRPr="00FE0007">
        <w:rPr>
          <w:rFonts w:asciiTheme="majorBidi" w:hAnsiTheme="majorBidi" w:cstheme="majorBidi"/>
          <w:i/>
          <w:iCs/>
        </w:rPr>
        <w:t>XVII </w:t>
      </w:r>
      <w:r w:rsidRPr="00FE0007">
        <w:rPr>
          <w:rFonts w:asciiTheme="majorBidi" w:hAnsiTheme="majorBidi" w:cstheme="majorBidi"/>
          <w:i/>
          <w:iCs/>
        </w:rPr>
        <w:t xml:space="preserve">nodaļa). Trešais papildinātais izdevums. </w:t>
      </w:r>
      <w:r w:rsidR="00901A29" w:rsidRPr="00FE0007">
        <w:rPr>
          <w:rFonts w:asciiTheme="majorBidi" w:hAnsiTheme="majorBidi" w:cstheme="majorBidi"/>
          <w:i/>
          <w:iCs/>
        </w:rPr>
        <w:t xml:space="preserve">Krastiņš U., Liholaja V. </w:t>
      </w:r>
      <w:r w:rsidRPr="00FE0007">
        <w:rPr>
          <w:rFonts w:asciiTheme="majorBidi" w:hAnsiTheme="majorBidi" w:cstheme="majorBidi"/>
          <w:i/>
          <w:iCs/>
        </w:rPr>
        <w:t>Rīga: Tiesu namu aģentūra. 2022, 265</w:t>
      </w:r>
      <w:r w:rsidR="00901A29" w:rsidRPr="00FE0007">
        <w:rPr>
          <w:rFonts w:asciiTheme="majorBidi" w:hAnsiTheme="majorBidi" w:cstheme="majorBidi"/>
          <w:i/>
          <w:iCs/>
        </w:rPr>
        <w:t>.</w:t>
      </w:r>
      <w:r w:rsidRPr="00FE0007">
        <w:rPr>
          <w:rFonts w:asciiTheme="majorBidi" w:hAnsiTheme="majorBidi" w:cstheme="majorBidi"/>
          <w:i/>
          <w:iCs/>
        </w:rPr>
        <w:t>–267. </w:t>
      </w:r>
      <w:r w:rsidR="0032373D" w:rsidRPr="00FE0007">
        <w:rPr>
          <w:rFonts w:asciiTheme="majorBidi" w:hAnsiTheme="majorBidi" w:cstheme="majorBidi"/>
          <w:i/>
          <w:iCs/>
        </w:rPr>
        <w:t>lpp.</w:t>
      </w:r>
      <w:r w:rsidRPr="00FE0007">
        <w:rPr>
          <w:rFonts w:asciiTheme="majorBidi" w:hAnsiTheme="majorBidi" w:cstheme="majorBidi"/>
        </w:rPr>
        <w:t>). Līķa (apbedīta vai neapbedīta) apgānīšana var izpausties kapa atrakšanā, lai ņirgātos par līķi, līķa pārvietošanā no kapa uz citu vietu, apbedīta vai neapbedīta līķa izģērbšanā, sadalīšanā, izķēmošanā, tā orgānu vai audu izņemšanā, nekrofilijas aktā un tamlīdzīgās darbībās (</w:t>
      </w:r>
      <w:r w:rsidR="0032373D" w:rsidRPr="00FE0007">
        <w:rPr>
          <w:rFonts w:asciiTheme="majorBidi" w:hAnsiTheme="majorBidi" w:cstheme="majorBidi"/>
          <w:i/>
          <w:iCs/>
        </w:rPr>
        <w:t>Liholaja V. 228. panta komentārs.</w:t>
      </w:r>
      <w:r w:rsidR="0032373D" w:rsidRPr="00FE0007">
        <w:rPr>
          <w:rFonts w:asciiTheme="majorBidi" w:hAnsiTheme="majorBidi" w:cstheme="majorBidi"/>
        </w:rPr>
        <w:t xml:space="preserve"> </w:t>
      </w:r>
      <w:r w:rsidR="0032373D" w:rsidRPr="00FE0007">
        <w:rPr>
          <w:rFonts w:asciiTheme="majorBidi" w:hAnsiTheme="majorBidi" w:cstheme="majorBidi"/>
          <w:i/>
          <w:iCs/>
        </w:rPr>
        <w:t xml:space="preserve">Grām.: </w:t>
      </w:r>
      <w:r w:rsidRPr="00FE0007">
        <w:rPr>
          <w:rFonts w:asciiTheme="majorBidi" w:hAnsiTheme="majorBidi" w:cstheme="majorBidi"/>
          <w:i/>
          <w:iCs/>
        </w:rPr>
        <w:t xml:space="preserve">Krimināllikuma komentāri. Trešā daļa (XVIII–XXV nodaļa). Trešais papildinātais izdevums. </w:t>
      </w:r>
      <w:r w:rsidR="0032373D" w:rsidRPr="00FE0007">
        <w:rPr>
          <w:rFonts w:asciiTheme="majorBidi" w:hAnsiTheme="majorBidi" w:cstheme="majorBidi"/>
          <w:i/>
          <w:iCs/>
        </w:rPr>
        <w:t xml:space="preserve">Krastiņš U., Liholaja V., Hamkova D. </w:t>
      </w:r>
      <w:r w:rsidRPr="00FE0007">
        <w:rPr>
          <w:rFonts w:asciiTheme="majorBidi" w:hAnsiTheme="majorBidi" w:cstheme="majorBidi"/>
          <w:i/>
          <w:iCs/>
        </w:rPr>
        <w:t>Rīga: Tiesu namu aģentūra. 2023, 296.–298. </w:t>
      </w:r>
      <w:r w:rsidR="0032373D" w:rsidRPr="00FE0007">
        <w:rPr>
          <w:rFonts w:asciiTheme="majorBidi" w:hAnsiTheme="majorBidi" w:cstheme="majorBidi"/>
          <w:i/>
          <w:iCs/>
        </w:rPr>
        <w:t>lpp</w:t>
      </w:r>
      <w:r w:rsidRPr="00FE0007">
        <w:rPr>
          <w:rFonts w:asciiTheme="majorBidi" w:hAnsiTheme="majorBidi" w:cstheme="majorBidi"/>
        </w:rPr>
        <w:t xml:space="preserve">). </w:t>
      </w:r>
    </w:p>
    <w:p w14:paraId="0A9D5D8E" w14:textId="6CACAC85" w:rsidR="00E1185D" w:rsidRPr="00FE0007" w:rsidRDefault="00ED061A" w:rsidP="00E1185D">
      <w:pPr>
        <w:spacing w:line="276" w:lineRule="auto"/>
        <w:ind w:firstLine="720"/>
        <w:jc w:val="both"/>
        <w:rPr>
          <w:rFonts w:asciiTheme="majorBidi" w:hAnsiTheme="majorBidi" w:cstheme="majorBidi"/>
        </w:rPr>
      </w:pPr>
      <w:r w:rsidRPr="00FE0007">
        <w:rPr>
          <w:rFonts w:asciiTheme="majorBidi" w:hAnsiTheme="majorBidi" w:cstheme="majorBidi"/>
        </w:rPr>
        <w:t>[6.1.2] </w:t>
      </w:r>
      <w:r w:rsidR="00E1185D" w:rsidRPr="00FE0007">
        <w:rPr>
          <w:rFonts w:asciiTheme="majorBidi" w:hAnsiTheme="majorBidi" w:cstheme="majorBidi"/>
        </w:rPr>
        <w:t xml:space="preserve">Atbilstoši </w:t>
      </w:r>
      <w:r w:rsidR="00705A04" w:rsidRPr="00FE0007">
        <w:rPr>
          <w:rFonts w:asciiTheme="majorBidi" w:hAnsiTheme="majorBidi" w:cstheme="majorBidi"/>
        </w:rPr>
        <w:t>noziedzīgā nodarījuma</w:t>
      </w:r>
      <w:r w:rsidR="00E1185D" w:rsidRPr="00FE0007">
        <w:rPr>
          <w:rFonts w:asciiTheme="majorBidi" w:hAnsiTheme="majorBidi" w:cstheme="majorBidi"/>
        </w:rPr>
        <w:t xml:space="preserve"> aprakstam </w:t>
      </w:r>
      <w:r w:rsidR="001C6AE7">
        <w:rPr>
          <w:rFonts w:asciiTheme="majorBidi" w:hAnsiTheme="majorBidi" w:cstheme="majorBidi"/>
        </w:rPr>
        <w:t>[pers. A]</w:t>
      </w:r>
      <w:r w:rsidR="00E1185D" w:rsidRPr="00FE0007">
        <w:rPr>
          <w:rFonts w:asciiTheme="majorBidi" w:hAnsiTheme="majorBidi" w:cstheme="majorBidi"/>
        </w:rPr>
        <w:t xml:space="preserve"> </w:t>
      </w:r>
      <w:r w:rsidR="0032373D" w:rsidRPr="00FE0007">
        <w:rPr>
          <w:rFonts w:asciiTheme="majorBidi" w:hAnsiTheme="majorBidi" w:cstheme="majorBidi"/>
        </w:rPr>
        <w:t xml:space="preserve">nenoskaidrotos apstākļos </w:t>
      </w:r>
      <w:r w:rsidR="00E1185D" w:rsidRPr="00FE0007">
        <w:rPr>
          <w:rFonts w:asciiTheme="majorBidi" w:hAnsiTheme="majorBidi" w:cstheme="majorBidi"/>
        </w:rPr>
        <w:t xml:space="preserve">iznīcināja jaundzimušā līķi, </w:t>
      </w:r>
      <w:r w:rsidR="00C83CF8" w:rsidRPr="00FE0007">
        <w:rPr>
          <w:rFonts w:asciiTheme="majorBidi" w:hAnsiTheme="majorBidi" w:cstheme="majorBidi"/>
        </w:rPr>
        <w:t xml:space="preserve">tādējādi </w:t>
      </w:r>
      <w:r w:rsidR="00E1185D" w:rsidRPr="00FE0007">
        <w:rPr>
          <w:rFonts w:asciiTheme="majorBidi" w:hAnsiTheme="majorBidi" w:cstheme="majorBidi"/>
        </w:rPr>
        <w:t>to apgānot.</w:t>
      </w:r>
    </w:p>
    <w:p w14:paraId="521AD19F" w14:textId="14E2F3DF" w:rsidR="00E1185D" w:rsidRPr="00FE0007" w:rsidRDefault="00E1185D" w:rsidP="00E1185D">
      <w:pPr>
        <w:spacing w:line="276" w:lineRule="auto"/>
        <w:ind w:firstLine="720"/>
        <w:jc w:val="both"/>
        <w:rPr>
          <w:rFonts w:asciiTheme="majorBidi" w:hAnsiTheme="majorBidi" w:cstheme="majorBidi"/>
        </w:rPr>
      </w:pPr>
      <w:r w:rsidRPr="00FE0007">
        <w:rPr>
          <w:rFonts w:asciiTheme="majorBidi" w:hAnsiTheme="majorBidi" w:cstheme="majorBidi"/>
        </w:rPr>
        <w:t>Apelācijas instances tiesa</w:t>
      </w:r>
      <w:r w:rsidRPr="00FE0007">
        <w:rPr>
          <w:rFonts w:ascii="TimesNewRomanPSMT" w:eastAsiaTheme="minorHAnsi" w:hAnsi="TimesNewRomanPSMT" w:cs="TimesNewRomanPSMT"/>
          <w:lang w:eastAsia="en-US"/>
          <w14:ligatures w14:val="standardContextual"/>
        </w:rPr>
        <w:t xml:space="preserve"> atzinusi, ka Krimināllikuma 117. panta 5. punktā paredzētā nozieguma motīvs saistīts ar vēlēšanos slēpt iepriekš izdarīto slepkavību. </w:t>
      </w:r>
      <w:r w:rsidRPr="00FE0007">
        <w:rPr>
          <w:rFonts w:asciiTheme="majorBidi" w:hAnsiTheme="majorBidi" w:cstheme="majorBidi"/>
        </w:rPr>
        <w:t>Tiesa norādījusi, ka z</w:t>
      </w:r>
      <w:r w:rsidRPr="00FE0007">
        <w:rPr>
          <w:rFonts w:ascii="TimesNewRomanPSMT" w:eastAsiaTheme="minorHAnsi" w:hAnsi="TimesNewRomanPSMT" w:cs="TimesNewRomanPSMT"/>
          <w:lang w:eastAsia="en-US"/>
          <w14:ligatures w14:val="standardContextual"/>
        </w:rPr>
        <w:t xml:space="preserve">īdaiņa </w:t>
      </w:r>
      <w:r w:rsidR="0032373D" w:rsidRPr="00FE0007">
        <w:rPr>
          <w:rFonts w:ascii="TimesNewRomanPSMT" w:eastAsiaTheme="minorHAnsi" w:hAnsi="TimesNewRomanPSMT" w:cs="TimesNewRomanPSMT"/>
          <w:lang w:eastAsia="en-US"/>
          <w14:ligatures w14:val="standardContextual"/>
        </w:rPr>
        <w:t xml:space="preserve">līķa </w:t>
      </w:r>
      <w:r w:rsidRPr="00FE0007">
        <w:rPr>
          <w:rFonts w:ascii="TimesNewRomanPSMT" w:eastAsiaTheme="minorHAnsi" w:hAnsi="TimesNewRomanPSMT" w:cs="TimesNewRomanPSMT"/>
          <w:lang w:eastAsia="en-US"/>
          <w14:ligatures w14:val="standardContextual"/>
        </w:rPr>
        <w:t xml:space="preserve">noglabāšana vai atstāšana tikai viņai zināmā vietā un veidā, nenodrošinot pienācīgu apglabāšanu, vērtējama ne tikai kā amorāla un neētiska rīcība, bet arī kā līķa apgānīšana </w:t>
      </w:r>
      <w:r w:rsidRPr="00FE0007">
        <w:rPr>
          <w:rStyle w:val="Hyperlink"/>
          <w:rFonts w:eastAsiaTheme="majorEastAsia"/>
          <w:color w:val="auto"/>
          <w:u w:val="none"/>
          <w:shd w:val="clear" w:color="auto" w:fill="FFFFFF"/>
        </w:rPr>
        <w:t xml:space="preserve">Krimināllikuma </w:t>
      </w:r>
      <w:r w:rsidRPr="00FE0007">
        <w:rPr>
          <w:rFonts w:asciiTheme="majorBidi" w:hAnsiTheme="majorBidi" w:cstheme="majorBidi"/>
        </w:rPr>
        <w:t>117. panta 5. punkta izpratnē.</w:t>
      </w:r>
    </w:p>
    <w:p w14:paraId="69E8B413" w14:textId="18AD93A8" w:rsidR="00E1185D" w:rsidRPr="00FE0007" w:rsidRDefault="00E1185D" w:rsidP="00E1185D">
      <w:pPr>
        <w:spacing w:line="276" w:lineRule="auto"/>
        <w:ind w:firstLine="720"/>
        <w:jc w:val="both"/>
        <w:rPr>
          <w:rFonts w:asciiTheme="majorBidi" w:hAnsiTheme="majorBidi" w:cstheme="majorBidi"/>
        </w:rPr>
      </w:pPr>
      <w:r w:rsidRPr="00FE0007">
        <w:rPr>
          <w:rFonts w:asciiTheme="majorBidi" w:hAnsiTheme="majorBidi" w:cstheme="majorBidi"/>
        </w:rPr>
        <w:t xml:space="preserve">Tiesa norādījusi, ka </w:t>
      </w:r>
      <w:r w:rsidRPr="00FE0007">
        <w:rPr>
          <w:rFonts w:ascii="TimesNewRomanPSMT" w:eastAsiaTheme="minorHAnsi" w:hAnsi="TimesNewRomanPSMT" w:cs="TimesNewRomanPSMT"/>
          <w:lang w:eastAsia="en-US"/>
          <w14:ligatures w14:val="standardContextual"/>
        </w:rPr>
        <w:t>līķa apgānīšanu Krimināllikuma 117. panta 5. punkta izpratnē</w:t>
      </w:r>
      <w:r w:rsidRPr="00FE0007">
        <w:rPr>
          <w:rFonts w:asciiTheme="majorBidi" w:hAnsiTheme="majorBidi" w:cstheme="majorBidi"/>
        </w:rPr>
        <w:t xml:space="preserve"> apstiprina 2020. gada </w:t>
      </w:r>
      <w:r w:rsidR="00FF194C">
        <w:rPr>
          <w:rFonts w:asciiTheme="majorBidi" w:hAnsiTheme="majorBidi" w:cstheme="majorBidi"/>
        </w:rPr>
        <w:t>[..]</w:t>
      </w:r>
      <w:r w:rsidRPr="00FE0007">
        <w:rPr>
          <w:rFonts w:asciiTheme="majorBidi" w:hAnsiTheme="majorBidi" w:cstheme="majorBidi"/>
        </w:rPr>
        <w:t xml:space="preserve"> kompleksās psiholoģiskās poligrāfa ekspertīzes eksperta atzinumā norādītais, ka apsūdzētā melo, teikdama, ka nav slēpusi </w:t>
      </w:r>
      <w:r w:rsidR="00373CF6">
        <w:rPr>
          <w:rFonts w:asciiTheme="majorBidi" w:hAnsiTheme="majorBidi" w:cstheme="majorBidi"/>
        </w:rPr>
        <w:t>[pers. B]</w:t>
      </w:r>
      <w:r w:rsidRPr="00FE0007">
        <w:rPr>
          <w:rFonts w:asciiTheme="majorBidi" w:hAnsiTheme="majorBidi" w:cstheme="majorBidi"/>
        </w:rPr>
        <w:t xml:space="preserve"> jaundzimušā līķi, un 2020. gada </w:t>
      </w:r>
      <w:r w:rsidR="00FF194C">
        <w:rPr>
          <w:rFonts w:asciiTheme="majorBidi" w:hAnsiTheme="majorBidi" w:cstheme="majorBidi"/>
        </w:rPr>
        <w:t>[..]</w:t>
      </w:r>
      <w:r w:rsidRPr="00FE0007">
        <w:rPr>
          <w:rFonts w:asciiTheme="majorBidi" w:hAnsiTheme="majorBidi" w:cstheme="majorBidi"/>
        </w:rPr>
        <w:t xml:space="preserve"> kompleksās psiholoģiskās poligrāfa ekspertīzes eksperta atzinumā konstatētais, ka </w:t>
      </w:r>
      <w:r w:rsidR="00373CF6">
        <w:rPr>
          <w:rFonts w:asciiTheme="majorBidi" w:hAnsiTheme="majorBidi" w:cstheme="majorBidi"/>
        </w:rPr>
        <w:t>[pers. B]</w:t>
      </w:r>
      <w:r w:rsidRPr="00FE0007">
        <w:rPr>
          <w:rFonts w:asciiTheme="majorBidi" w:hAnsiTheme="majorBidi" w:cstheme="majorBidi"/>
        </w:rPr>
        <w:t xml:space="preserve"> nemelo, teikdama, ka pēc dzemdībām 2019. gada </w:t>
      </w:r>
      <w:r w:rsidR="00FF194C">
        <w:rPr>
          <w:rFonts w:asciiTheme="majorBidi" w:hAnsiTheme="majorBidi" w:cstheme="majorBidi"/>
        </w:rPr>
        <w:t>[..]</w:t>
      </w:r>
      <w:r w:rsidRPr="00FE0007">
        <w:rPr>
          <w:rFonts w:asciiTheme="majorBidi" w:hAnsiTheme="majorBidi" w:cstheme="majorBidi"/>
        </w:rPr>
        <w:t xml:space="preserve"> </w:t>
      </w:r>
      <w:r w:rsidR="001C6AE7">
        <w:rPr>
          <w:rFonts w:asciiTheme="majorBidi" w:hAnsiTheme="majorBidi" w:cstheme="majorBidi"/>
        </w:rPr>
        <w:t>[pers. A]</w:t>
      </w:r>
      <w:r w:rsidRPr="00FE0007">
        <w:rPr>
          <w:rFonts w:asciiTheme="majorBidi" w:hAnsiTheme="majorBidi" w:cstheme="majorBidi"/>
        </w:rPr>
        <w:t xml:space="preserve"> paņēma jaundzimušo un iznesa no mājas.</w:t>
      </w:r>
    </w:p>
    <w:p w14:paraId="5E0D8622" w14:textId="2C41C883" w:rsidR="005E7064" w:rsidRPr="00FE0007" w:rsidRDefault="00ED061A" w:rsidP="005E7064">
      <w:pPr>
        <w:spacing w:line="276" w:lineRule="auto"/>
        <w:ind w:firstLine="720"/>
        <w:jc w:val="both"/>
        <w:rPr>
          <w:rStyle w:val="Hyperlink"/>
          <w:rFonts w:eastAsiaTheme="majorEastAsia"/>
          <w:color w:val="auto"/>
          <w:u w:val="none"/>
        </w:rPr>
      </w:pPr>
      <w:r w:rsidRPr="00FE0007">
        <w:rPr>
          <w:rFonts w:asciiTheme="majorBidi" w:hAnsiTheme="majorBidi" w:cstheme="majorBidi"/>
        </w:rPr>
        <w:t>[6.1.3] </w:t>
      </w:r>
      <w:r w:rsidR="005E7064" w:rsidRPr="00FE0007">
        <w:rPr>
          <w:rFonts w:asciiTheme="majorBidi" w:hAnsiTheme="majorBidi" w:cstheme="majorBidi"/>
        </w:rPr>
        <w:t>Senāts norāda, ka d</w:t>
      </w:r>
      <w:r w:rsidR="005E7064" w:rsidRPr="00FE0007">
        <w:rPr>
          <w:rStyle w:val="Hyperlink"/>
          <w:rFonts w:eastAsiaTheme="majorEastAsia"/>
          <w:color w:val="auto"/>
          <w:u w:val="none"/>
        </w:rPr>
        <w:t>arbības, kas saistītas ar l</w:t>
      </w:r>
      <w:r w:rsidR="005E7064" w:rsidRPr="00FE0007">
        <w:rPr>
          <w:rFonts w:ascii="TimesNewRomanPSMT" w:eastAsiaTheme="minorHAnsi" w:hAnsi="TimesNewRomanPSMT" w:cs="TimesNewRomanPSMT"/>
          <w:lang w:eastAsia="en-US"/>
          <w14:ligatures w14:val="standardContextual"/>
        </w:rPr>
        <w:t>īķa noglabāšanu, slēpšanu, aiznešanu, atstāšanu, pienācīgas apglabāšanas nenodrošināšanu, pašas par sevi</w:t>
      </w:r>
      <w:r w:rsidR="00B66921" w:rsidRPr="00FE0007">
        <w:rPr>
          <w:rFonts w:ascii="TimesNewRomanPSMT" w:eastAsiaTheme="minorHAnsi" w:hAnsi="TimesNewRomanPSMT" w:cs="TimesNewRomanPSMT"/>
          <w:lang w:eastAsia="en-US"/>
          <w14:ligatures w14:val="standardContextual"/>
        </w:rPr>
        <w:t>, ja apsūdzētais nav iedarbojies uz līķi,</w:t>
      </w:r>
      <w:r w:rsidR="0046351C" w:rsidRPr="00FE0007">
        <w:rPr>
          <w:rFonts w:ascii="TimesNewRomanPSMT" w:eastAsiaTheme="minorHAnsi" w:hAnsi="TimesNewRomanPSMT" w:cs="TimesNewRomanPSMT"/>
          <w:lang w:eastAsia="en-US"/>
          <w14:ligatures w14:val="standardContextual"/>
        </w:rPr>
        <w:t xml:space="preserve"> </w:t>
      </w:r>
      <w:r w:rsidR="005E7064" w:rsidRPr="00FE0007">
        <w:rPr>
          <w:rFonts w:ascii="TimesNewRomanPSMT" w:eastAsiaTheme="minorHAnsi" w:hAnsi="TimesNewRomanPSMT" w:cs="TimesNewRomanPSMT"/>
          <w:lang w:eastAsia="en-US"/>
          <w14:ligatures w14:val="standardContextual"/>
        </w:rPr>
        <w:t xml:space="preserve">nav uzskatāmas par līķa apgānīšanu.  </w:t>
      </w:r>
      <w:r w:rsidR="005E7064" w:rsidRPr="00FE0007">
        <w:rPr>
          <w:rStyle w:val="Hyperlink"/>
          <w:rFonts w:eastAsiaTheme="majorEastAsia"/>
          <w:color w:val="auto"/>
          <w:u w:val="none"/>
        </w:rPr>
        <w:t xml:space="preserve"> </w:t>
      </w:r>
    </w:p>
    <w:p w14:paraId="40AA6E33" w14:textId="5B63271A" w:rsidR="00E96BFA" w:rsidRPr="00FE0007" w:rsidRDefault="00E96BFA" w:rsidP="00E96BFA">
      <w:pPr>
        <w:spacing w:line="276" w:lineRule="auto"/>
        <w:ind w:firstLine="720"/>
        <w:jc w:val="both"/>
        <w:rPr>
          <w:rFonts w:asciiTheme="majorBidi" w:hAnsiTheme="majorBidi" w:cstheme="majorBidi"/>
        </w:rPr>
      </w:pPr>
      <w:r w:rsidRPr="00FE0007">
        <w:rPr>
          <w:rFonts w:asciiTheme="majorBidi" w:hAnsiTheme="majorBidi" w:cstheme="majorBidi"/>
        </w:rPr>
        <w:t>Senāts konstatē, ka apelācijas instances tiesa lēmumā nav norādījusi tādas ziņas par faktiem, kas pamatotu noziedzīgā nodarījuma aprakstā norādīto</w:t>
      </w:r>
      <w:r w:rsidR="005E7064" w:rsidRPr="00FE0007">
        <w:rPr>
          <w:rFonts w:asciiTheme="majorBidi" w:hAnsiTheme="majorBidi" w:cstheme="majorBidi"/>
        </w:rPr>
        <w:t>,</w:t>
      </w:r>
      <w:r w:rsidRPr="00FE0007">
        <w:rPr>
          <w:rFonts w:asciiTheme="majorBidi" w:hAnsiTheme="majorBidi" w:cstheme="majorBidi"/>
        </w:rPr>
        <w:t xml:space="preserve"> </w:t>
      </w:r>
      <w:r w:rsidR="005E7064" w:rsidRPr="00FE0007">
        <w:rPr>
          <w:rStyle w:val="Hyperlink"/>
          <w:rFonts w:eastAsiaTheme="majorEastAsia"/>
          <w:color w:val="auto"/>
          <w:u w:val="none"/>
        </w:rPr>
        <w:t xml:space="preserve">ka apsūdzētā </w:t>
      </w:r>
      <w:r w:rsidR="001C6AE7">
        <w:rPr>
          <w:rStyle w:val="Hyperlink"/>
          <w:rFonts w:eastAsiaTheme="majorEastAsia"/>
          <w:color w:val="auto"/>
          <w:u w:val="none"/>
        </w:rPr>
        <w:t>[pers. A]</w:t>
      </w:r>
      <w:r w:rsidR="005E7064" w:rsidRPr="00FE0007">
        <w:rPr>
          <w:rStyle w:val="Hyperlink"/>
          <w:rFonts w:eastAsiaTheme="majorEastAsia"/>
          <w:color w:val="auto"/>
          <w:u w:val="none"/>
        </w:rPr>
        <w:t xml:space="preserve"> ir iznīcinājusi līķi, to apgānot</w:t>
      </w:r>
      <w:r w:rsidRPr="00FE0007">
        <w:rPr>
          <w:rFonts w:asciiTheme="majorBidi" w:hAnsiTheme="majorBidi" w:cstheme="majorBidi"/>
        </w:rPr>
        <w:t xml:space="preserve">. Tādējādi tiesas apgalvojums lēmumā, ka </w:t>
      </w:r>
      <w:r w:rsidR="001C6AE7">
        <w:rPr>
          <w:rStyle w:val="Hyperlink"/>
          <w:rFonts w:eastAsiaTheme="majorEastAsia"/>
          <w:color w:val="auto"/>
          <w:u w:val="none"/>
        </w:rPr>
        <w:t>[pers. A]</w:t>
      </w:r>
      <w:r w:rsidR="005E7064" w:rsidRPr="00FE0007">
        <w:rPr>
          <w:rStyle w:val="Hyperlink"/>
          <w:rFonts w:eastAsiaTheme="majorEastAsia"/>
          <w:color w:val="auto"/>
          <w:u w:val="none"/>
        </w:rPr>
        <w:t xml:space="preserve"> </w:t>
      </w:r>
      <w:r w:rsidRPr="00FE0007">
        <w:rPr>
          <w:rFonts w:asciiTheme="majorBidi" w:hAnsiTheme="majorBidi" w:cstheme="majorBidi"/>
        </w:rPr>
        <w:t>vain</w:t>
      </w:r>
      <w:r w:rsidR="00B66921" w:rsidRPr="00FE0007">
        <w:rPr>
          <w:rFonts w:asciiTheme="majorBidi" w:hAnsiTheme="majorBidi" w:cstheme="majorBidi"/>
        </w:rPr>
        <w:t>īgums</w:t>
      </w:r>
      <w:r w:rsidRPr="00FE0007">
        <w:rPr>
          <w:rFonts w:asciiTheme="majorBidi" w:hAnsiTheme="majorBidi" w:cstheme="majorBidi"/>
        </w:rPr>
        <w:t xml:space="preserve"> </w:t>
      </w:r>
      <w:r w:rsidR="005E7064" w:rsidRPr="00FE0007">
        <w:rPr>
          <w:rFonts w:ascii="TimesNewRomanPSMT" w:eastAsiaTheme="minorHAnsi" w:hAnsi="TimesNewRomanPSMT" w:cs="TimesNewRomanPSMT"/>
          <w:lang w:eastAsia="en-US"/>
          <w14:ligatures w14:val="standardContextual"/>
        </w:rPr>
        <w:t xml:space="preserve">Krimināllikuma 117. panta 5. punktā paredzētā nozieguma </w:t>
      </w:r>
      <w:r w:rsidRPr="00FE0007">
        <w:rPr>
          <w:rFonts w:asciiTheme="majorBidi" w:hAnsiTheme="majorBidi" w:cstheme="majorBidi"/>
        </w:rPr>
        <w:t>ir pierādīt</w:t>
      </w:r>
      <w:r w:rsidR="00B66921" w:rsidRPr="00FE0007">
        <w:rPr>
          <w:rFonts w:asciiTheme="majorBidi" w:hAnsiTheme="majorBidi" w:cstheme="majorBidi"/>
        </w:rPr>
        <w:t>s</w:t>
      </w:r>
      <w:r w:rsidRPr="00FE0007">
        <w:rPr>
          <w:rFonts w:asciiTheme="majorBidi" w:hAnsiTheme="majorBidi" w:cstheme="majorBidi"/>
        </w:rPr>
        <w:t>, nav pamatots un motīvu izklāsts neļauj saprast, kā tiesa nonākusi pie šāda atzinuma.</w:t>
      </w:r>
    </w:p>
    <w:p w14:paraId="4B0D1782" w14:textId="4D1FCBF3" w:rsidR="00B66921" w:rsidRPr="00FE0007" w:rsidRDefault="00545223" w:rsidP="00B66921">
      <w:pPr>
        <w:spacing w:line="276" w:lineRule="auto"/>
        <w:ind w:firstLine="720"/>
        <w:jc w:val="both"/>
        <w:rPr>
          <w:rStyle w:val="Hyperlink"/>
          <w:rFonts w:eastAsiaTheme="majorEastAsia"/>
          <w:color w:val="auto"/>
          <w:shd w:val="clear" w:color="auto" w:fill="FFFFFF"/>
        </w:rPr>
      </w:pPr>
      <w:r w:rsidRPr="00FE0007">
        <w:rPr>
          <w:rStyle w:val="Hyperlink"/>
          <w:rFonts w:eastAsiaTheme="majorEastAsia"/>
          <w:color w:val="auto"/>
          <w:u w:val="none"/>
        </w:rPr>
        <w:lastRenderedPageBreak/>
        <w:t xml:space="preserve">Senāts jau agrāk ir norādījis, ka </w:t>
      </w:r>
      <w:r w:rsidR="00BD53D8" w:rsidRPr="00FE0007">
        <w:t>Kriminālprocesa likumā ietvertā prasība par sprieduma pamatotību ir saistīta ar sprieduma satura pareizību pēc būtības un attiecas uz tiesas atzinumiem, motīviem un nolēmumiem spriedumā. Visiem tiesas atzinumiem par noziedzīgā nodarījuma apstākļiem, kurus tiesa ietvērusi pierādītā noziedzīgā nodarījuma aprakstā, jābūt pamatotiem ar lietā iegūtajiem pierādījumiem atbilstoši Kriminālprocesa likuma 124. panta piektajā daļā norādītajam pierādīšanas standartam</w:t>
      </w:r>
      <w:r w:rsidR="00BD53D8" w:rsidRPr="00FE0007">
        <w:rPr>
          <w:rStyle w:val="Hyperlink"/>
          <w:rFonts w:eastAsiaTheme="majorEastAsia"/>
          <w:color w:val="auto"/>
          <w:u w:val="none"/>
          <w:shd w:val="clear" w:color="auto" w:fill="FFFFFF"/>
        </w:rPr>
        <w:t xml:space="preserve"> (</w:t>
      </w:r>
      <w:r w:rsidR="00BD53D8" w:rsidRPr="00FE0007">
        <w:rPr>
          <w:i/>
        </w:rPr>
        <w:t>Senāta 2021. gada 26. februāra lēmums lietā Nr. </w:t>
      </w:r>
      <w:r w:rsidR="008C7CE0" w:rsidRPr="00FE0007">
        <w:rPr>
          <w:rFonts w:eastAsiaTheme="majorEastAsia"/>
          <w:i/>
          <w:iCs/>
        </w:rPr>
        <w:t>SKK-4/202</w:t>
      </w:r>
      <w:r w:rsidR="00BD53D8" w:rsidRPr="00FE0007">
        <w:rPr>
          <w:rStyle w:val="Hyperlink"/>
          <w:rFonts w:eastAsiaTheme="majorEastAsia"/>
          <w:i/>
          <w:iCs/>
          <w:color w:val="auto"/>
          <w:u w:val="none"/>
        </w:rPr>
        <w:t>1</w:t>
      </w:r>
      <w:r w:rsidR="00BD53D8" w:rsidRPr="00FE0007">
        <w:rPr>
          <w:i/>
        </w:rPr>
        <w:t>,</w:t>
      </w:r>
      <w:r w:rsidR="00BD53D8" w:rsidRPr="00FE0007">
        <w:rPr>
          <w:i/>
          <w:iCs/>
        </w:rPr>
        <w:t xml:space="preserve"> </w:t>
      </w:r>
      <w:hyperlink r:id="rId14" w:history="1">
        <w:r w:rsidR="00BD53D8" w:rsidRPr="00FE0007">
          <w:rPr>
            <w:rStyle w:val="Hyperlink"/>
            <w:rFonts w:eastAsiaTheme="majorEastAsia"/>
            <w:i/>
            <w:iCs/>
            <w:color w:val="auto"/>
            <w:shd w:val="clear" w:color="auto" w:fill="FFFFFF"/>
          </w:rPr>
          <w:t>ECLI:LV:AT:2021:0226.15830014213.11.L</w:t>
        </w:r>
      </w:hyperlink>
      <w:r w:rsidR="00BD53D8" w:rsidRPr="00FE0007">
        <w:rPr>
          <w:rStyle w:val="Hyperlink"/>
          <w:rFonts w:eastAsiaTheme="majorEastAsia"/>
          <w:color w:val="auto"/>
          <w:u w:val="none"/>
          <w:shd w:val="clear" w:color="auto" w:fill="FFFFFF"/>
        </w:rPr>
        <w:t>).</w:t>
      </w:r>
    </w:p>
    <w:p w14:paraId="77D235B4" w14:textId="5F235BF7" w:rsidR="00545223" w:rsidRPr="00FE0007" w:rsidRDefault="00B66921" w:rsidP="00B66921">
      <w:pPr>
        <w:spacing w:line="276" w:lineRule="auto"/>
        <w:ind w:firstLine="720"/>
        <w:jc w:val="both"/>
        <w:rPr>
          <w:rStyle w:val="Hyperlink"/>
          <w:rFonts w:asciiTheme="majorBidi" w:hAnsiTheme="majorBidi" w:cstheme="majorBidi"/>
          <w:color w:val="auto"/>
          <w:u w:val="none"/>
        </w:rPr>
      </w:pPr>
      <w:r w:rsidRPr="00FE0007">
        <w:t>Senāts arī atzinis, ka par tiesisku un pamatotu nav atzīstams tiesas nolēmums, kurā atzinumi par apsūdzētā vainīgumu noziedzīgā nodarījuma izdarīšanā nav pamatoti ar pierādījumiem. Apelācijas instances tiesa var piemērot Kriminālprocesa likuma 564. panta sestās daļas nosacījumus un pilnībā pievienoties pirmās instances tiesas spriedumā sniegtajam pierādījumu novērtējumam un secinājumiem par apsūdzētā vainīgumu viņam inkriminētā noziedzīgā nodarījuma izdarīšanā tikai tad, ja pirmās instances tiesa</w:t>
      </w:r>
      <w:r w:rsidRPr="00FE0007">
        <w:rPr>
          <w:i/>
          <w:iCs/>
        </w:rPr>
        <w:t xml:space="preserve"> </w:t>
      </w:r>
      <w:r w:rsidRPr="00FE0007">
        <w:t xml:space="preserve">pierādījumus ir novērtējusi atbilstoši Kriminālprocesa likuma 9. nodaļas prasībām un tiesas atzinumi ir pamatoti ar šiem pierādījumiem </w:t>
      </w:r>
      <w:r w:rsidR="00545223" w:rsidRPr="00FE0007">
        <w:rPr>
          <w:rStyle w:val="Hyperlink"/>
          <w:rFonts w:eastAsiaTheme="majorEastAsia"/>
          <w:color w:val="auto"/>
          <w:u w:val="none"/>
          <w:shd w:val="clear" w:color="auto" w:fill="FFFFFF"/>
        </w:rPr>
        <w:t>(</w:t>
      </w:r>
      <w:r w:rsidR="00545223" w:rsidRPr="00FE0007">
        <w:rPr>
          <w:i/>
        </w:rPr>
        <w:t>Senāta 202</w:t>
      </w:r>
      <w:r w:rsidRPr="00FE0007">
        <w:rPr>
          <w:i/>
        </w:rPr>
        <w:t>4</w:t>
      </w:r>
      <w:r w:rsidR="00545223" w:rsidRPr="00FE0007">
        <w:rPr>
          <w:i/>
        </w:rPr>
        <w:t xml:space="preserve">. gada </w:t>
      </w:r>
      <w:r w:rsidRPr="00FE0007">
        <w:rPr>
          <w:i/>
        </w:rPr>
        <w:t>3</w:t>
      </w:r>
      <w:r w:rsidR="00545223" w:rsidRPr="00FE0007">
        <w:rPr>
          <w:i/>
        </w:rPr>
        <w:t>. </w:t>
      </w:r>
      <w:r w:rsidRPr="00FE0007">
        <w:rPr>
          <w:i/>
        </w:rPr>
        <w:t>decembra</w:t>
      </w:r>
      <w:r w:rsidR="00545223" w:rsidRPr="00FE0007">
        <w:rPr>
          <w:i/>
        </w:rPr>
        <w:t xml:space="preserve"> </w:t>
      </w:r>
      <w:r w:rsidR="00447D8E" w:rsidRPr="00FE0007">
        <w:rPr>
          <w:i/>
        </w:rPr>
        <w:t xml:space="preserve">lēmuma </w:t>
      </w:r>
      <w:r w:rsidR="00545223" w:rsidRPr="00FE0007">
        <w:rPr>
          <w:i/>
        </w:rPr>
        <w:t>lietā Nr. </w:t>
      </w:r>
      <w:r w:rsidR="00545223" w:rsidRPr="001006FA">
        <w:rPr>
          <w:rFonts w:eastAsiaTheme="majorEastAsia"/>
          <w:i/>
          <w:iCs/>
        </w:rPr>
        <w:t>SKK-</w:t>
      </w:r>
      <w:r w:rsidRPr="001006FA">
        <w:rPr>
          <w:rFonts w:eastAsiaTheme="majorEastAsia"/>
          <w:i/>
          <w:iCs/>
        </w:rPr>
        <w:t>272</w:t>
      </w:r>
      <w:r w:rsidR="00545223" w:rsidRPr="001006FA">
        <w:rPr>
          <w:rFonts w:eastAsiaTheme="majorEastAsia"/>
          <w:i/>
          <w:iCs/>
        </w:rPr>
        <w:t>/202</w:t>
      </w:r>
      <w:r w:rsidRPr="00FE0007">
        <w:rPr>
          <w:rStyle w:val="Hyperlink"/>
          <w:rFonts w:eastAsiaTheme="majorEastAsia"/>
          <w:i/>
          <w:iCs/>
          <w:color w:val="auto"/>
          <w:u w:val="none"/>
        </w:rPr>
        <w:t>4</w:t>
      </w:r>
      <w:r w:rsidR="00545223" w:rsidRPr="00FE0007">
        <w:rPr>
          <w:i/>
        </w:rPr>
        <w:t xml:space="preserve">, </w:t>
      </w:r>
      <w:hyperlink r:id="rId15" w:history="1">
        <w:r w:rsidRPr="00FE0007">
          <w:rPr>
            <w:rStyle w:val="Hyperlink"/>
            <w:rFonts w:asciiTheme="majorBidi" w:eastAsiaTheme="majorEastAsia" w:hAnsiTheme="majorBidi"/>
            <w:i/>
            <w:iCs/>
            <w:color w:val="auto"/>
          </w:rPr>
          <w:t>ECLI:LV:AT:2024:1203.11087048521.4.L</w:t>
        </w:r>
      </w:hyperlink>
      <w:r w:rsidRPr="00FE0007">
        <w:rPr>
          <w:i/>
          <w:iCs/>
        </w:rPr>
        <w:t xml:space="preserve">, </w:t>
      </w:r>
      <w:r w:rsidRPr="00FE0007">
        <w:rPr>
          <w:rFonts w:asciiTheme="majorBidi" w:hAnsiTheme="majorBidi" w:cstheme="majorBidi"/>
          <w:i/>
          <w:iCs/>
        </w:rPr>
        <w:t>5.2. punkts</w:t>
      </w:r>
      <w:r w:rsidR="00545223" w:rsidRPr="00FE0007">
        <w:rPr>
          <w:rStyle w:val="Hyperlink"/>
          <w:rFonts w:eastAsiaTheme="majorEastAsia"/>
          <w:color w:val="auto"/>
          <w:u w:val="none"/>
          <w:shd w:val="clear" w:color="auto" w:fill="FFFFFF"/>
        </w:rPr>
        <w:t>).</w:t>
      </w:r>
    </w:p>
    <w:p w14:paraId="5DD09FCD" w14:textId="66CA1092" w:rsidR="00E96BFA" w:rsidRPr="00FE0007" w:rsidRDefault="00545223" w:rsidP="00B66921">
      <w:pPr>
        <w:spacing w:line="276" w:lineRule="auto"/>
        <w:ind w:firstLine="720"/>
        <w:jc w:val="both"/>
        <w:rPr>
          <w:rFonts w:asciiTheme="majorBidi" w:hAnsiTheme="majorBidi" w:cstheme="majorBidi"/>
        </w:rPr>
      </w:pPr>
      <w:r w:rsidRPr="00FE0007">
        <w:rPr>
          <w:rFonts w:asciiTheme="majorBidi" w:hAnsiTheme="majorBidi" w:cstheme="majorBidi"/>
        </w:rPr>
        <w:t>[6.1.4] </w:t>
      </w:r>
      <w:r w:rsidR="00E96BFA" w:rsidRPr="00FE0007">
        <w:rPr>
          <w:rFonts w:asciiTheme="majorBidi" w:hAnsiTheme="majorBidi" w:cstheme="majorBidi"/>
        </w:rPr>
        <w:t xml:space="preserve">Ievērojot minēto, </w:t>
      </w:r>
      <w:r w:rsidR="00447D8E" w:rsidRPr="00FE0007">
        <w:rPr>
          <w:rFonts w:asciiTheme="majorBidi" w:hAnsiTheme="majorBidi" w:cstheme="majorBidi"/>
        </w:rPr>
        <w:t xml:space="preserve">Senāts atzīst, ka apelācijas instances tiesa ir pieļāvusi </w:t>
      </w:r>
      <w:r w:rsidR="00E96BFA" w:rsidRPr="00FE0007">
        <w:rPr>
          <w:rFonts w:asciiTheme="majorBidi" w:hAnsiTheme="majorBidi" w:cstheme="majorBidi"/>
        </w:rPr>
        <w:t>Kriminālprocesa likuma 511. panta otrās daļas, 512. panta pirmās daļas, 564. panta ceturtās daļas pārkāpumus</w:t>
      </w:r>
      <w:r w:rsidR="00447D8E" w:rsidRPr="00FE0007">
        <w:rPr>
          <w:rFonts w:asciiTheme="majorBidi" w:hAnsiTheme="majorBidi" w:cstheme="majorBidi"/>
        </w:rPr>
        <w:t>, kas atzīs</w:t>
      </w:r>
      <w:r w:rsidR="00031388" w:rsidRPr="00FE0007">
        <w:rPr>
          <w:rFonts w:asciiTheme="majorBidi" w:hAnsiTheme="majorBidi" w:cstheme="majorBidi"/>
        </w:rPr>
        <w:t>t</w:t>
      </w:r>
      <w:r w:rsidR="00447D8E" w:rsidRPr="00FE0007">
        <w:rPr>
          <w:rFonts w:asciiTheme="majorBidi" w:hAnsiTheme="majorBidi" w:cstheme="majorBidi"/>
        </w:rPr>
        <w:t>ami</w:t>
      </w:r>
      <w:r w:rsidR="00E96BFA" w:rsidRPr="00FE0007">
        <w:rPr>
          <w:rFonts w:asciiTheme="majorBidi" w:hAnsiTheme="majorBidi" w:cstheme="majorBidi"/>
        </w:rPr>
        <w:t xml:space="preserve"> par Kriminālprocesa likuma būtiskiem pārkāpumiem </w:t>
      </w:r>
      <w:r w:rsidR="00447D8E" w:rsidRPr="00FE0007">
        <w:rPr>
          <w:rFonts w:asciiTheme="majorBidi" w:hAnsiTheme="majorBidi" w:cstheme="majorBidi"/>
        </w:rPr>
        <w:t>šā likuma</w:t>
      </w:r>
      <w:r w:rsidR="00E96BFA" w:rsidRPr="00FE0007">
        <w:rPr>
          <w:rFonts w:asciiTheme="majorBidi" w:hAnsiTheme="majorBidi" w:cstheme="majorBidi"/>
        </w:rPr>
        <w:t xml:space="preserve"> 575. panta trešās daļas izpratnē</w:t>
      </w:r>
      <w:r w:rsidR="00447D8E" w:rsidRPr="00FE0007">
        <w:rPr>
          <w:rFonts w:asciiTheme="majorBidi" w:hAnsiTheme="majorBidi" w:cstheme="majorBidi"/>
        </w:rPr>
        <w:t xml:space="preserve"> un</w:t>
      </w:r>
      <w:r w:rsidR="00393593" w:rsidRPr="00FE0007">
        <w:rPr>
          <w:rFonts w:asciiTheme="majorBidi" w:hAnsiTheme="majorBidi" w:cstheme="majorBidi"/>
        </w:rPr>
        <w:t xml:space="preserve"> </w:t>
      </w:r>
      <w:r w:rsidR="00E96BFA" w:rsidRPr="00FE0007">
        <w:rPr>
          <w:rFonts w:asciiTheme="majorBidi" w:hAnsiTheme="majorBidi" w:cstheme="majorBidi"/>
        </w:rPr>
        <w:t xml:space="preserve">ir pamats apelācijas instances tiesas lēmuma atcelšanai </w:t>
      </w:r>
      <w:r w:rsidR="005E7064" w:rsidRPr="00FE0007">
        <w:rPr>
          <w:rFonts w:asciiTheme="majorBidi" w:hAnsiTheme="majorBidi" w:cstheme="majorBidi"/>
        </w:rPr>
        <w:t xml:space="preserve">šajā daļā </w:t>
      </w:r>
      <w:r w:rsidR="00E96BFA" w:rsidRPr="00FE0007">
        <w:rPr>
          <w:rFonts w:asciiTheme="majorBidi" w:hAnsiTheme="majorBidi" w:cstheme="majorBidi"/>
        </w:rPr>
        <w:t>un lietas nosūtīšanai jaunai izskatīšanai apelācijas instances tiesā.</w:t>
      </w:r>
    </w:p>
    <w:p w14:paraId="041A455B" w14:textId="77777777" w:rsidR="00A30DFC" w:rsidRPr="00FE0007" w:rsidRDefault="00A30DFC" w:rsidP="00A30DFC">
      <w:pPr>
        <w:spacing w:line="276" w:lineRule="auto"/>
        <w:ind w:firstLine="720"/>
        <w:jc w:val="both"/>
        <w:rPr>
          <w:rFonts w:asciiTheme="majorBidi" w:eastAsiaTheme="minorHAnsi" w:hAnsiTheme="majorBidi" w:cstheme="majorBidi"/>
          <w:lang w:eastAsia="en-US"/>
          <w14:ligatures w14:val="standardContextual"/>
        </w:rPr>
      </w:pPr>
    </w:p>
    <w:p w14:paraId="3CE92B07" w14:textId="72431B5F" w:rsidR="008A4E6C" w:rsidRPr="00FE0007" w:rsidRDefault="003C73B5" w:rsidP="008A4E6C">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hAnsiTheme="majorBidi" w:cstheme="majorBidi"/>
        </w:rPr>
        <w:t>[7] </w:t>
      </w:r>
      <w:r w:rsidR="008A4E6C" w:rsidRPr="00FE0007">
        <w:rPr>
          <w:rFonts w:asciiTheme="majorBidi" w:eastAsiaTheme="minorHAnsi" w:hAnsiTheme="majorBidi" w:cstheme="majorBidi"/>
          <w:lang w:eastAsia="en-US"/>
          <w14:ligatures w14:val="standardContextual"/>
        </w:rPr>
        <w:t>Senāts atzīst, ka aizstāves kasācijas sūdzības argumenti par Kriminālprocesa likuma būtiskiem pārkāpumiem un Krimināllikuma nepareizu piemērošanu, vērtējot apsūdzētās vainīgumu un kvalificējot apsūdzētās darbības pēc Krimināllikuma 117. panta 2. punkta un 153. panta trešās daļas, ir nepamatoti</w:t>
      </w:r>
      <w:r w:rsidR="00393593" w:rsidRPr="00FE0007">
        <w:rPr>
          <w:rFonts w:asciiTheme="majorBidi" w:eastAsiaTheme="minorHAnsi" w:hAnsiTheme="majorBidi" w:cstheme="majorBidi"/>
          <w:lang w:eastAsia="en-US"/>
          <w14:ligatures w14:val="standardContextual"/>
        </w:rPr>
        <w:t>.</w:t>
      </w:r>
    </w:p>
    <w:p w14:paraId="47B1FFF9" w14:textId="4A221F90" w:rsidR="008A4E6C" w:rsidRPr="00FE0007" w:rsidRDefault="008A4E6C" w:rsidP="008A4E6C">
      <w:pPr>
        <w:spacing w:line="276" w:lineRule="auto"/>
        <w:ind w:firstLine="720"/>
        <w:jc w:val="both"/>
      </w:pPr>
      <w:r w:rsidRPr="00FE0007">
        <w:rPr>
          <w:rFonts w:asciiTheme="majorBidi" w:hAnsiTheme="majorBidi" w:cstheme="majorBidi"/>
        </w:rPr>
        <w:t>[7.1] </w:t>
      </w:r>
      <w:r w:rsidRPr="00FE0007">
        <w:rPr>
          <w:rFonts w:ascii="TimesNewRomanPSMT" w:eastAsiaTheme="minorHAnsi" w:hAnsi="TimesNewRomanPSMT" w:cs="TimesNewRomanPSMT"/>
          <w:lang w:eastAsia="en-US"/>
          <w14:ligatures w14:val="standardContextual"/>
        </w:rPr>
        <w:t>Senāts norāda,</w:t>
      </w:r>
      <w:r w:rsidR="00031388" w:rsidRPr="00FE0007">
        <w:rPr>
          <w:rFonts w:ascii="TimesNewRomanPSMT" w:eastAsiaTheme="minorHAnsi" w:hAnsi="TimesNewRomanPSMT" w:cs="TimesNewRomanPSMT"/>
          <w:lang w:eastAsia="en-US"/>
          <w14:ligatures w14:val="standardContextual"/>
        </w:rPr>
        <w:t xml:space="preserve"> ka</w:t>
      </w:r>
      <w:r w:rsidRPr="00FE0007">
        <w:rPr>
          <w:rFonts w:ascii="TimesNewRomanPSMT" w:eastAsiaTheme="minorHAnsi" w:hAnsi="TimesNewRomanPSMT" w:cs="TimesNewRomanPSMT"/>
          <w:lang w:eastAsia="en-US"/>
          <w14:ligatures w14:val="standardContextual"/>
        </w:rPr>
        <w:t xml:space="preserve"> fakts, ka </w:t>
      </w:r>
      <w:r w:rsidRPr="00FE0007">
        <w:rPr>
          <w:rFonts w:asciiTheme="majorBidi" w:hAnsiTheme="majorBidi" w:cstheme="majorBidi"/>
        </w:rPr>
        <w:t xml:space="preserve">jaundzimušā līķis netika atrasts, </w:t>
      </w:r>
      <w:r w:rsidRPr="00FE0007">
        <w:t xml:space="preserve">neatbrīvo tiesu no pienākuma pārbaudīt un izvērtēt kriminālprocesā esošos pierādījumus, lai konstatētu, vai apsūdzētā ir izdarījusi apsūdzībā norādītās faktiskās darbības un vai pastāv saprātīgas šaubas, ka jaundzimušā nāve iestājusies viņas faktisko darbību rezultātā. </w:t>
      </w:r>
    </w:p>
    <w:p w14:paraId="3BBFD9E4" w14:textId="7EC92F09" w:rsidR="008A4E6C" w:rsidRPr="00FE0007" w:rsidRDefault="008A4E6C" w:rsidP="008A4E6C">
      <w:pPr>
        <w:spacing w:line="276" w:lineRule="auto"/>
        <w:ind w:firstLine="720"/>
        <w:jc w:val="both"/>
        <w:rPr>
          <w:rFonts w:asciiTheme="majorBidi" w:eastAsiaTheme="minorHAnsi" w:hAnsiTheme="majorBidi" w:cstheme="majorBidi"/>
        </w:rPr>
      </w:pPr>
      <w:r w:rsidRPr="00FE0007">
        <w:rPr>
          <w:rFonts w:asciiTheme="majorBidi" w:eastAsiaTheme="minorHAnsi" w:hAnsiTheme="majorBidi" w:cstheme="majorBidi"/>
        </w:rPr>
        <w:t xml:space="preserve">[7.1.1] Pretēji kasācijas sūdzībā norādītajam apelācijas instances tiesa savus atzinumus par </w:t>
      </w:r>
      <w:r w:rsidR="001C6AE7">
        <w:rPr>
          <w:rFonts w:asciiTheme="majorBidi" w:eastAsiaTheme="minorHAnsi" w:hAnsiTheme="majorBidi" w:cstheme="majorBidi"/>
        </w:rPr>
        <w:t>[pers. A]</w:t>
      </w:r>
      <w:r w:rsidRPr="00FE0007">
        <w:rPr>
          <w:rFonts w:asciiTheme="majorBidi" w:eastAsiaTheme="minorHAnsi" w:hAnsiTheme="majorBidi" w:cstheme="majorBidi"/>
        </w:rPr>
        <w:t xml:space="preserve"> vainīgumu </w:t>
      </w:r>
      <w:r w:rsidRPr="00FE0007">
        <w:rPr>
          <w:rFonts w:asciiTheme="majorBidi" w:hAnsiTheme="majorBidi" w:cstheme="majorBidi"/>
        </w:rPr>
        <w:t>inkriminētajos noziedzīgajos nodarījumos pēc Krimināllikuma 117. panta 2. punkta un 153. panta trešās daļas</w:t>
      </w:r>
      <w:r w:rsidRPr="00FE0007">
        <w:rPr>
          <w:rFonts w:asciiTheme="majorBidi" w:eastAsiaTheme="minorHAnsi" w:hAnsiTheme="majorBidi" w:cstheme="majorBidi"/>
        </w:rPr>
        <w:t xml:space="preserve"> ir pamatojusi ar</w:t>
      </w:r>
      <w:r w:rsidRPr="00FE0007">
        <w:rPr>
          <w:rFonts w:asciiTheme="majorBidi" w:hAnsiTheme="majorBidi" w:cstheme="majorBidi"/>
        </w:rPr>
        <w:t xml:space="preserve"> lietā esošajiem pierādījumiem</w:t>
      </w:r>
      <w:r w:rsidRPr="00FE0007">
        <w:rPr>
          <w:rFonts w:asciiTheme="majorBidi" w:eastAsiaTheme="minorHAnsi" w:hAnsiTheme="majorBidi" w:cstheme="majorBidi"/>
        </w:rPr>
        <w:t>.</w:t>
      </w:r>
    </w:p>
    <w:p w14:paraId="00A0D0F1" w14:textId="20A008CB" w:rsidR="008A4E6C" w:rsidRPr="00FE0007" w:rsidRDefault="008A4E6C" w:rsidP="008A4E6C">
      <w:pPr>
        <w:spacing w:line="276" w:lineRule="auto"/>
        <w:ind w:firstLine="720"/>
        <w:jc w:val="both"/>
        <w:rPr>
          <w:rFonts w:ascii="TimesNewRomanPSMT" w:eastAsiaTheme="minorHAnsi" w:hAnsi="TimesNewRomanPSMT" w:cs="TimesNewRomanPSMT"/>
          <w:lang w:eastAsia="en-US"/>
          <w14:ligatures w14:val="standardContextual"/>
        </w:rPr>
      </w:pPr>
      <w:r w:rsidRPr="00FE0007">
        <w:rPr>
          <w:rFonts w:asciiTheme="majorBidi" w:hAnsiTheme="majorBidi" w:cstheme="majorBidi"/>
        </w:rPr>
        <w:t>[7.1.2] </w:t>
      </w:r>
      <w:r w:rsidR="00490305" w:rsidRPr="00FE0007">
        <w:rPr>
          <w:rFonts w:asciiTheme="majorBidi" w:eastAsiaTheme="minorHAnsi" w:hAnsiTheme="majorBidi" w:cstheme="majorBidi"/>
        </w:rPr>
        <w:t>Apelācijas instances tiesa</w:t>
      </w:r>
      <w:r w:rsidR="00A86BF2" w:rsidRPr="00FE0007">
        <w:rPr>
          <w:rFonts w:asciiTheme="majorBidi" w:eastAsiaTheme="minorHAnsi" w:hAnsiTheme="majorBidi" w:cstheme="majorBidi"/>
        </w:rPr>
        <w:t>,</w:t>
      </w:r>
      <w:r w:rsidR="00490305" w:rsidRPr="00FE0007">
        <w:rPr>
          <w:rFonts w:asciiTheme="majorBidi" w:eastAsiaTheme="minorHAnsi" w:hAnsiTheme="majorBidi" w:cstheme="majorBidi"/>
        </w:rPr>
        <w:t xml:space="preserve"> </w:t>
      </w:r>
      <w:r w:rsidR="00490305" w:rsidRPr="00FE0007">
        <w:rPr>
          <w:rFonts w:asciiTheme="majorBidi" w:hAnsiTheme="majorBidi" w:cstheme="majorBidi"/>
        </w:rPr>
        <w:t xml:space="preserve">izvērtējusi cietušās </w:t>
      </w:r>
      <w:r w:rsidR="00373CF6">
        <w:rPr>
          <w:rFonts w:asciiTheme="majorBidi" w:hAnsiTheme="majorBidi" w:cstheme="majorBidi"/>
        </w:rPr>
        <w:t>[pers. B]</w:t>
      </w:r>
      <w:r w:rsidR="00490305" w:rsidRPr="00FE0007">
        <w:rPr>
          <w:rFonts w:asciiTheme="majorBidi" w:hAnsiTheme="majorBidi" w:cstheme="majorBidi"/>
        </w:rPr>
        <w:t xml:space="preserve"> liecības</w:t>
      </w:r>
      <w:r w:rsidR="00060790" w:rsidRPr="00FE0007">
        <w:rPr>
          <w:rFonts w:asciiTheme="majorBidi" w:hAnsiTheme="majorBidi" w:cstheme="majorBidi"/>
        </w:rPr>
        <w:t xml:space="preserve"> to</w:t>
      </w:r>
      <w:r w:rsidR="00490305" w:rsidRPr="00FE0007">
        <w:rPr>
          <w:rFonts w:asciiTheme="majorBidi" w:hAnsiTheme="majorBidi" w:cstheme="majorBidi"/>
        </w:rPr>
        <w:t xml:space="preserve"> kop</w:t>
      </w:r>
      <w:r w:rsidR="00060790" w:rsidRPr="00FE0007">
        <w:rPr>
          <w:rFonts w:asciiTheme="majorBidi" w:hAnsiTheme="majorBidi" w:cstheme="majorBidi"/>
        </w:rPr>
        <w:t>umā</w:t>
      </w:r>
      <w:r w:rsidR="00490305" w:rsidRPr="00FE0007">
        <w:rPr>
          <w:rFonts w:asciiTheme="majorBidi" w:hAnsiTheme="majorBidi" w:cstheme="majorBidi"/>
        </w:rPr>
        <w:t xml:space="preserve"> un savstarpējā sakarībā ar citiem lietā esošajiem pierādījumiem, norādījusi, kuras liecībās sniegtās ziņas ir atzinusi par ticamām </w:t>
      </w:r>
      <w:r w:rsidR="00393593" w:rsidRPr="00FE0007">
        <w:rPr>
          <w:rFonts w:asciiTheme="majorBidi" w:hAnsiTheme="majorBidi" w:cstheme="majorBidi"/>
        </w:rPr>
        <w:t>un</w:t>
      </w:r>
      <w:r w:rsidR="00490305" w:rsidRPr="00FE0007">
        <w:rPr>
          <w:rFonts w:asciiTheme="majorBidi" w:hAnsiTheme="majorBidi" w:cstheme="majorBidi"/>
        </w:rPr>
        <w:t xml:space="preserve">, ka tai nav pamata apšaubīt to ticamību, jo šīs liecības apstiprina citi lietā iegūtie pierādījumi. Tiesa atzinusi, ka cietušās liecības, ka </w:t>
      </w:r>
      <w:r w:rsidR="001C6AE7">
        <w:rPr>
          <w:rFonts w:asciiTheme="majorBidi" w:hAnsiTheme="majorBidi" w:cstheme="majorBidi"/>
        </w:rPr>
        <w:t>[pers. A]</w:t>
      </w:r>
      <w:r w:rsidR="00490305" w:rsidRPr="00FE0007">
        <w:rPr>
          <w:rFonts w:asciiTheme="majorBidi" w:hAnsiTheme="majorBidi" w:cstheme="majorBidi"/>
        </w:rPr>
        <w:t xml:space="preserve"> pieņēma viņas dzemdības, kurās piedzima bērns ar dzīvības pazīmēm</w:t>
      </w:r>
      <w:r w:rsidR="00354785" w:rsidRPr="00FE0007">
        <w:rPr>
          <w:rFonts w:asciiTheme="majorBidi" w:hAnsiTheme="majorBidi" w:cstheme="majorBidi"/>
        </w:rPr>
        <w:t>,</w:t>
      </w:r>
      <w:r w:rsidR="00490305" w:rsidRPr="00FE0007">
        <w:rPr>
          <w:rFonts w:asciiTheme="majorBidi" w:hAnsiTheme="majorBidi" w:cstheme="majorBidi"/>
        </w:rPr>
        <w:t xml:space="preserve"> apstiprina liecinieces </w:t>
      </w:r>
      <w:r w:rsidR="00FF194C">
        <w:rPr>
          <w:rFonts w:asciiTheme="majorBidi" w:hAnsiTheme="majorBidi" w:cstheme="majorBidi"/>
        </w:rPr>
        <w:t>[pers. C]</w:t>
      </w:r>
      <w:r w:rsidR="00490305" w:rsidRPr="00FE0007">
        <w:rPr>
          <w:rFonts w:asciiTheme="majorBidi" w:hAnsiTheme="majorBidi" w:cstheme="majorBidi"/>
        </w:rPr>
        <w:t xml:space="preserve"> liecībās, kā arī </w:t>
      </w:r>
      <w:r w:rsidR="00490305" w:rsidRPr="00FE0007">
        <w:rPr>
          <w:rFonts w:ascii="TimesNewRomanPSMT" w:eastAsiaTheme="minorHAnsi" w:hAnsi="TimesNewRomanPSMT" w:cs="TimesNewRomanPSMT"/>
          <w:lang w:eastAsia="en-US"/>
          <w14:ligatures w14:val="standardContextual"/>
        </w:rPr>
        <w:t xml:space="preserve">2020. gada </w:t>
      </w:r>
      <w:r w:rsidR="00FF194C">
        <w:rPr>
          <w:rFonts w:ascii="TimesNewRomanPSMT" w:eastAsiaTheme="minorHAnsi" w:hAnsi="TimesNewRomanPSMT" w:cs="TimesNewRomanPSMT"/>
          <w:lang w:eastAsia="en-US"/>
          <w14:ligatures w14:val="standardContextual"/>
        </w:rPr>
        <w:t>[..]</w:t>
      </w:r>
      <w:r w:rsidR="00490305" w:rsidRPr="00FE0007">
        <w:rPr>
          <w:rFonts w:ascii="TimesNewRomanPSMT" w:eastAsiaTheme="minorHAnsi" w:hAnsi="TimesNewRomanPSMT" w:cs="TimesNewRomanPSMT"/>
          <w:lang w:eastAsia="en-US"/>
          <w14:ligatures w14:val="standardContextual"/>
        </w:rPr>
        <w:t xml:space="preserve"> kompleksās psiholoģiskās poligrāfa ekspertīzes eksperta atzinumā Nr. </w:t>
      </w:r>
      <w:r w:rsidR="00301076">
        <w:rPr>
          <w:rFonts w:ascii="TimesNewRomanPSMT" w:eastAsiaTheme="minorHAnsi" w:hAnsi="TimesNewRomanPSMT" w:cs="TimesNewRomanPSMT"/>
          <w:lang w:eastAsia="en-US"/>
          <w14:ligatures w14:val="standardContextual"/>
        </w:rPr>
        <w:t>[..]</w:t>
      </w:r>
      <w:r w:rsidR="00490305" w:rsidRPr="00FE0007">
        <w:rPr>
          <w:rFonts w:ascii="TimesNewRomanPSMT" w:eastAsiaTheme="minorHAnsi" w:hAnsi="TimesNewRomanPSMT" w:cs="TimesNewRomanPSMT"/>
          <w:lang w:eastAsia="en-US"/>
          <w14:ligatures w14:val="standardContextual"/>
        </w:rPr>
        <w:t xml:space="preserve"> norādītās ziņas, ka </w:t>
      </w:r>
      <w:r w:rsidR="00373CF6">
        <w:rPr>
          <w:rFonts w:ascii="TimesNewRomanPSMT" w:eastAsiaTheme="minorHAnsi" w:hAnsi="TimesNewRomanPSMT" w:cs="TimesNewRomanPSMT"/>
          <w:lang w:eastAsia="en-US"/>
          <w14:ligatures w14:val="standardContextual"/>
        </w:rPr>
        <w:t>[pers. B]</w:t>
      </w:r>
      <w:r w:rsidR="00490305" w:rsidRPr="00FE0007">
        <w:rPr>
          <w:rFonts w:ascii="TimesNewRomanPSMT" w:eastAsiaTheme="minorHAnsi" w:hAnsi="TimesNewRomanPSMT" w:cs="TimesNewRomanPSMT"/>
          <w:lang w:eastAsia="en-US"/>
          <w14:ligatures w14:val="standardContextual"/>
        </w:rPr>
        <w:t xml:space="preserve"> nemelo, teikdama, ka </w:t>
      </w:r>
      <w:r w:rsidR="001C6AE7">
        <w:rPr>
          <w:rFonts w:asciiTheme="majorBidi" w:hAnsiTheme="majorBidi" w:cstheme="majorBidi"/>
        </w:rPr>
        <w:t>[pers. A]</w:t>
      </w:r>
      <w:r w:rsidR="00490305" w:rsidRPr="00FE0007">
        <w:rPr>
          <w:rFonts w:asciiTheme="majorBidi" w:hAnsiTheme="majorBidi" w:cstheme="majorBidi"/>
        </w:rPr>
        <w:t xml:space="preserve"> pieņēma viņas dzemdības</w:t>
      </w:r>
      <w:r w:rsidR="00E60540" w:rsidRPr="00FE0007">
        <w:rPr>
          <w:rFonts w:ascii="TimesNewRomanPSMT" w:eastAsiaTheme="minorHAnsi" w:hAnsi="TimesNewRomanPSMT" w:cs="TimesNewRomanPSMT"/>
          <w:lang w:eastAsia="en-US"/>
          <w14:ligatures w14:val="standardContextual"/>
        </w:rPr>
        <w:t xml:space="preserve">, ka jaundzimušais bērns iekliedzās, </w:t>
      </w:r>
      <w:r w:rsidR="00490305" w:rsidRPr="00FE0007">
        <w:rPr>
          <w:rFonts w:ascii="TimesNewRomanPSMT" w:eastAsiaTheme="minorHAnsi" w:hAnsi="TimesNewRomanPSMT" w:cs="TimesNewRomanPSMT"/>
          <w:lang w:eastAsia="en-US"/>
          <w14:ligatures w14:val="standardContextual"/>
        </w:rPr>
        <w:t xml:space="preserve">ka pēc dzemdībām </w:t>
      </w:r>
      <w:r w:rsidR="001C6AE7">
        <w:rPr>
          <w:rFonts w:ascii="TimesNewRomanPSMT" w:eastAsiaTheme="minorHAnsi" w:hAnsi="TimesNewRomanPSMT" w:cs="TimesNewRomanPSMT"/>
          <w:lang w:eastAsia="en-US"/>
          <w14:ligatures w14:val="standardContextual"/>
        </w:rPr>
        <w:t>[pers. A]</w:t>
      </w:r>
      <w:r w:rsidR="00490305" w:rsidRPr="00FE0007">
        <w:rPr>
          <w:rFonts w:ascii="TimesNewRomanPSMT" w:eastAsiaTheme="minorHAnsi" w:hAnsi="TimesNewRomanPSMT" w:cs="TimesNewRomanPSMT"/>
          <w:lang w:eastAsia="en-US"/>
          <w14:ligatures w14:val="standardContextual"/>
        </w:rPr>
        <w:t xml:space="preserve"> paņēm</w:t>
      </w:r>
      <w:r w:rsidR="00354785" w:rsidRPr="00FE0007">
        <w:rPr>
          <w:rFonts w:ascii="TimesNewRomanPSMT" w:eastAsiaTheme="minorHAnsi" w:hAnsi="TimesNewRomanPSMT" w:cs="TimesNewRomanPSMT"/>
          <w:lang w:eastAsia="en-US"/>
          <w14:ligatures w14:val="standardContextual"/>
        </w:rPr>
        <w:t>a</w:t>
      </w:r>
      <w:r w:rsidR="00490305" w:rsidRPr="00FE0007">
        <w:rPr>
          <w:rFonts w:ascii="TimesNewRomanPSMT" w:eastAsiaTheme="minorHAnsi" w:hAnsi="TimesNewRomanPSMT" w:cs="TimesNewRomanPSMT"/>
          <w:lang w:eastAsia="en-US"/>
          <w14:ligatures w14:val="standardContextual"/>
        </w:rPr>
        <w:t xml:space="preserve"> jaundzimušo un iznes</w:t>
      </w:r>
      <w:r w:rsidR="00354785" w:rsidRPr="00FE0007">
        <w:rPr>
          <w:rFonts w:ascii="TimesNewRomanPSMT" w:eastAsiaTheme="minorHAnsi" w:hAnsi="TimesNewRomanPSMT" w:cs="TimesNewRomanPSMT"/>
          <w:lang w:eastAsia="en-US"/>
          <w14:ligatures w14:val="standardContextual"/>
        </w:rPr>
        <w:t>a</w:t>
      </w:r>
      <w:r w:rsidR="00490305" w:rsidRPr="00FE0007">
        <w:rPr>
          <w:rFonts w:ascii="TimesNewRomanPSMT" w:eastAsiaTheme="minorHAnsi" w:hAnsi="TimesNewRomanPSMT" w:cs="TimesNewRomanPSMT"/>
          <w:lang w:eastAsia="en-US"/>
          <w14:ligatures w14:val="standardContextual"/>
        </w:rPr>
        <w:t xml:space="preserve"> no mājas, kā arī</w:t>
      </w:r>
      <w:r w:rsidR="00490305" w:rsidRPr="00FE0007">
        <w:rPr>
          <w:rFonts w:asciiTheme="majorBidi" w:hAnsiTheme="majorBidi" w:cstheme="majorBidi"/>
        </w:rPr>
        <w:t xml:space="preserve">, ka </w:t>
      </w:r>
      <w:r w:rsidR="00373CF6">
        <w:rPr>
          <w:rFonts w:ascii="TimesNewRomanPSMT" w:eastAsiaTheme="minorHAnsi" w:hAnsi="TimesNewRomanPSMT" w:cs="TimesNewRomanPSMT"/>
          <w:lang w:eastAsia="en-US"/>
          <w14:ligatures w14:val="standardContextual"/>
        </w:rPr>
        <w:t>[pers. B]</w:t>
      </w:r>
      <w:r w:rsidR="00490305" w:rsidRPr="00FE0007">
        <w:rPr>
          <w:rFonts w:ascii="TimesNewRomanPSMT" w:eastAsiaTheme="minorHAnsi" w:hAnsi="TimesNewRomanPSMT" w:cs="TimesNewRomanPSMT"/>
          <w:lang w:eastAsia="en-US"/>
          <w14:ligatures w14:val="standardContextual"/>
        </w:rPr>
        <w:t xml:space="preserve"> nezina vietu, kur atrodas viņas jaundzimušā bērna līķis. Tiesa ņēmusi vērā arī </w:t>
      </w:r>
      <w:r w:rsidR="00222EB8" w:rsidRPr="00FE0007">
        <w:rPr>
          <w:rFonts w:ascii="TimesNewRomanPSMT" w:eastAsiaTheme="minorHAnsi" w:hAnsi="TimesNewRomanPSMT" w:cs="TimesNewRomanPSMT"/>
          <w:lang w:eastAsia="en-US"/>
          <w14:ligatures w14:val="standardContextual"/>
        </w:rPr>
        <w:t xml:space="preserve">2020. gada </w:t>
      </w:r>
      <w:r w:rsidR="00FF194C">
        <w:rPr>
          <w:rFonts w:ascii="TimesNewRomanPSMT" w:eastAsiaTheme="minorHAnsi" w:hAnsi="TimesNewRomanPSMT" w:cs="TimesNewRomanPSMT"/>
          <w:lang w:eastAsia="en-US"/>
          <w14:ligatures w14:val="standardContextual"/>
        </w:rPr>
        <w:t>[..]</w:t>
      </w:r>
      <w:r w:rsidR="00222EB8" w:rsidRPr="00FE0007">
        <w:rPr>
          <w:rFonts w:ascii="TimesNewRomanPSMT" w:eastAsiaTheme="minorHAnsi" w:hAnsi="TimesNewRomanPSMT" w:cs="TimesNewRomanPSMT"/>
          <w:lang w:eastAsia="en-US"/>
          <w14:ligatures w14:val="standardContextual"/>
        </w:rPr>
        <w:t xml:space="preserve"> kompleksās </w:t>
      </w:r>
      <w:r w:rsidR="00222EB8" w:rsidRPr="00FE0007">
        <w:rPr>
          <w:rFonts w:ascii="TimesNewRomanPSMT" w:eastAsiaTheme="minorHAnsi" w:hAnsi="TimesNewRomanPSMT" w:cs="TimesNewRomanPSMT"/>
          <w:lang w:eastAsia="en-US"/>
          <w14:ligatures w14:val="standardContextual"/>
        </w:rPr>
        <w:lastRenderedPageBreak/>
        <w:t>psiholoģiskās poligrāfa ekspertīzes eksperta atzinumā Nr. </w:t>
      </w:r>
      <w:r w:rsidR="007977EA">
        <w:rPr>
          <w:rFonts w:ascii="TimesNewRomanPSMT" w:eastAsiaTheme="minorHAnsi" w:hAnsi="TimesNewRomanPSMT" w:cs="TimesNewRomanPSMT"/>
          <w:lang w:eastAsia="en-US"/>
          <w14:ligatures w14:val="standardContextual"/>
        </w:rPr>
        <w:t>[..]</w:t>
      </w:r>
      <w:r w:rsidR="00222EB8" w:rsidRPr="00FE0007">
        <w:rPr>
          <w:rFonts w:ascii="TimesNewRomanPSMT" w:eastAsiaTheme="minorHAnsi" w:hAnsi="TimesNewRomanPSMT" w:cs="TimesNewRomanPSMT"/>
          <w:lang w:eastAsia="en-US"/>
          <w14:ligatures w14:val="standardContextual"/>
        </w:rPr>
        <w:t xml:space="preserve"> </w:t>
      </w:r>
      <w:r w:rsidR="00490305" w:rsidRPr="00FE0007">
        <w:rPr>
          <w:rFonts w:ascii="TimesNewRomanPSMT" w:eastAsiaTheme="minorHAnsi" w:hAnsi="TimesNewRomanPSMT" w:cs="TimesNewRomanPSMT"/>
          <w:lang w:eastAsia="en-US"/>
          <w14:ligatures w14:val="standardContextual"/>
        </w:rPr>
        <w:t xml:space="preserve">norādītās ziņas, ka apsūdzētā </w:t>
      </w:r>
      <w:r w:rsidR="001C6AE7">
        <w:rPr>
          <w:rFonts w:ascii="TimesNewRomanPSMT" w:eastAsiaTheme="minorHAnsi" w:hAnsi="TimesNewRomanPSMT" w:cs="TimesNewRomanPSMT"/>
          <w:lang w:eastAsia="en-US"/>
          <w14:ligatures w14:val="standardContextual"/>
        </w:rPr>
        <w:t>[pers. A]</w:t>
      </w:r>
      <w:r w:rsidR="00490305" w:rsidRPr="00FE0007">
        <w:rPr>
          <w:rFonts w:ascii="TimesNewRomanPSMT" w:eastAsiaTheme="minorHAnsi" w:hAnsi="TimesNewRomanPSMT" w:cs="TimesNewRomanPSMT"/>
          <w:lang w:eastAsia="en-US"/>
          <w14:ligatures w14:val="standardContextual"/>
        </w:rPr>
        <w:t xml:space="preserve"> melo teikdama, ka nav pieņēmusi </w:t>
      </w:r>
      <w:r w:rsidR="00373CF6">
        <w:rPr>
          <w:rFonts w:ascii="TimesNewRomanPSMT" w:eastAsiaTheme="minorHAnsi" w:hAnsi="TimesNewRomanPSMT" w:cs="TimesNewRomanPSMT"/>
          <w:lang w:eastAsia="en-US"/>
          <w14:ligatures w14:val="standardContextual"/>
        </w:rPr>
        <w:t>[pers. B]</w:t>
      </w:r>
      <w:r w:rsidR="00490305" w:rsidRPr="00FE0007">
        <w:rPr>
          <w:rFonts w:ascii="TimesNewRomanPSMT" w:eastAsiaTheme="minorHAnsi" w:hAnsi="TimesNewRomanPSMT" w:cs="TimesNewRomanPSMT"/>
          <w:lang w:eastAsia="en-US"/>
          <w14:ligatures w14:val="standardContextual"/>
        </w:rPr>
        <w:t xml:space="preserve"> dzemdības un nav slēpusi jaundzimušā līķi</w:t>
      </w:r>
      <w:r w:rsidR="00E60540" w:rsidRPr="00FE0007">
        <w:rPr>
          <w:rFonts w:ascii="TimesNewRomanPSMT" w:eastAsiaTheme="minorHAnsi" w:hAnsi="TimesNewRomanPSMT" w:cs="TimesNewRomanPSMT"/>
          <w:lang w:eastAsia="en-US"/>
          <w14:ligatures w14:val="standardContextual"/>
        </w:rPr>
        <w:t>, kā arī</w:t>
      </w:r>
      <w:r w:rsidR="00060790" w:rsidRPr="00FE0007">
        <w:rPr>
          <w:rFonts w:ascii="TimesNewRomanPSMT" w:eastAsiaTheme="minorHAnsi" w:hAnsi="TimesNewRomanPSMT" w:cs="TimesNewRomanPSMT"/>
          <w:lang w:eastAsia="en-US"/>
          <w14:ligatures w14:val="standardContextual"/>
        </w:rPr>
        <w:t>,</w:t>
      </w:r>
      <w:r w:rsidR="00E60540" w:rsidRPr="00FE0007">
        <w:rPr>
          <w:rFonts w:ascii="TimesNewRomanPSMT" w:eastAsiaTheme="minorHAnsi" w:hAnsi="TimesNewRomanPSMT" w:cs="TimesNewRomanPSMT"/>
          <w:lang w:eastAsia="en-US"/>
          <w14:ligatures w14:val="standardContextual"/>
        </w:rPr>
        <w:t xml:space="preserve"> visticamāk</w:t>
      </w:r>
      <w:r w:rsidR="00060790" w:rsidRPr="00FE0007">
        <w:rPr>
          <w:rFonts w:ascii="TimesNewRomanPSMT" w:eastAsiaTheme="minorHAnsi" w:hAnsi="TimesNewRomanPSMT" w:cs="TimesNewRomanPSMT"/>
          <w:lang w:eastAsia="en-US"/>
          <w14:ligatures w14:val="standardContextual"/>
        </w:rPr>
        <w:t>,</w:t>
      </w:r>
      <w:r w:rsidR="00E60540" w:rsidRPr="00FE0007">
        <w:rPr>
          <w:rFonts w:ascii="TimesNewRomanPSMT" w:eastAsiaTheme="minorHAnsi" w:hAnsi="TimesNewRomanPSMT" w:cs="TimesNewRomanPSMT"/>
          <w:lang w:eastAsia="en-US"/>
          <w14:ligatures w14:val="standardContextual"/>
        </w:rPr>
        <w:t xml:space="preserve"> melo, ka nav atstājusi jaundzimušo bezpalīdzības stāvoklī</w:t>
      </w:r>
      <w:r w:rsidR="002C733D">
        <w:rPr>
          <w:rFonts w:ascii="TimesNewRomanPSMT" w:eastAsiaTheme="minorHAnsi" w:hAnsi="TimesNewRomanPSMT" w:cs="TimesNewRomanPSMT"/>
          <w:lang w:eastAsia="en-US"/>
          <w14:ligatures w14:val="standardContextual"/>
        </w:rPr>
        <w:t>.</w:t>
      </w:r>
    </w:p>
    <w:p w14:paraId="26BAD0E1" w14:textId="2B7399F2" w:rsidR="00641DE4" w:rsidRPr="00FE0007" w:rsidRDefault="008A4E6C" w:rsidP="00FF4CC7">
      <w:pPr>
        <w:spacing w:line="276" w:lineRule="auto"/>
        <w:ind w:firstLine="720"/>
        <w:jc w:val="both"/>
        <w:rPr>
          <w:rFonts w:asciiTheme="majorBidi" w:hAnsiTheme="majorBidi" w:cstheme="majorBidi"/>
        </w:rPr>
      </w:pPr>
      <w:r w:rsidRPr="00FE0007">
        <w:t>[7.2</w:t>
      </w:r>
      <w:r w:rsidR="00031388" w:rsidRPr="00FE0007">
        <w:t>] </w:t>
      </w:r>
      <w:r w:rsidR="00641DE4" w:rsidRPr="00FE0007">
        <w:rPr>
          <w:rFonts w:asciiTheme="majorBidi" w:hAnsiTheme="majorBidi" w:cstheme="majorBidi"/>
        </w:rPr>
        <w:t>Pretēji kasācijas sūdzībā norādītajam apelācijas instances tiesa nav sniegusi pretrunīgus atzinumus par Krimināllikuma 117</w:t>
      </w:r>
      <w:r w:rsidR="003B5736" w:rsidRPr="00FE0007">
        <w:rPr>
          <w:rFonts w:asciiTheme="majorBidi" w:hAnsiTheme="majorBidi" w:cstheme="majorBidi"/>
        </w:rPr>
        <w:t>. </w:t>
      </w:r>
      <w:r w:rsidR="00641DE4" w:rsidRPr="00FE0007">
        <w:rPr>
          <w:rFonts w:asciiTheme="majorBidi" w:hAnsiTheme="majorBidi" w:cstheme="majorBidi"/>
        </w:rPr>
        <w:t>panta 2</w:t>
      </w:r>
      <w:r w:rsidR="00031388" w:rsidRPr="00FE0007">
        <w:rPr>
          <w:rFonts w:asciiTheme="majorBidi" w:hAnsiTheme="majorBidi" w:cstheme="majorBidi"/>
        </w:rPr>
        <w:t>. </w:t>
      </w:r>
      <w:r w:rsidR="00641DE4" w:rsidRPr="00FE0007">
        <w:rPr>
          <w:rFonts w:asciiTheme="majorBidi" w:hAnsiTheme="majorBidi" w:cstheme="majorBidi"/>
        </w:rPr>
        <w:t xml:space="preserve">punktā paredzētā noziedzīgā nodarījuma objektīvās puses izpausmi un nav konstatējusi </w:t>
      </w:r>
      <w:r w:rsidR="00FF4CC7" w:rsidRPr="00FE0007">
        <w:rPr>
          <w:rFonts w:asciiTheme="majorBidi" w:hAnsiTheme="majorBidi" w:cstheme="majorBidi"/>
        </w:rPr>
        <w:t>atšķirīgus</w:t>
      </w:r>
      <w:r w:rsidR="00641DE4" w:rsidRPr="00FE0007">
        <w:rPr>
          <w:rFonts w:asciiTheme="majorBidi" w:hAnsiTheme="majorBidi" w:cstheme="majorBidi"/>
        </w:rPr>
        <w:t xml:space="preserve"> noziedzīgā nodarījuma faktiskos apstākļus.</w:t>
      </w:r>
    </w:p>
    <w:p w14:paraId="5F7019F6" w14:textId="612841C1" w:rsidR="00641DE4" w:rsidRPr="00FE0007" w:rsidRDefault="00FF4CC7" w:rsidP="00641DE4">
      <w:pPr>
        <w:spacing w:line="276" w:lineRule="auto"/>
        <w:ind w:firstLine="720"/>
        <w:jc w:val="both"/>
        <w:rPr>
          <w:rFonts w:asciiTheme="majorBidi" w:hAnsiTheme="majorBidi" w:cstheme="majorBidi"/>
        </w:rPr>
      </w:pPr>
      <w:r w:rsidRPr="00FE0007">
        <w:rPr>
          <w:rFonts w:asciiTheme="majorBidi" w:hAnsiTheme="majorBidi" w:cstheme="majorBidi"/>
        </w:rPr>
        <w:t>[7.2.1] </w:t>
      </w:r>
      <w:r w:rsidR="00641DE4" w:rsidRPr="00FE0007">
        <w:rPr>
          <w:rFonts w:asciiTheme="majorBidi" w:hAnsiTheme="majorBidi" w:cstheme="majorBidi"/>
        </w:rPr>
        <w:t xml:space="preserve">Apelācijas instances tiesa pievienojusies pirmās instances tiesas atzinumiem un lēmumā norādījusi, ka apsūdzētā </w:t>
      </w:r>
      <w:r w:rsidR="001C6AE7">
        <w:rPr>
          <w:rFonts w:asciiTheme="majorBidi" w:hAnsiTheme="majorBidi" w:cstheme="majorBidi"/>
        </w:rPr>
        <w:t>[pers. A]</w:t>
      </w:r>
      <w:r w:rsidR="00641DE4" w:rsidRPr="00FE0007">
        <w:rPr>
          <w:rFonts w:asciiTheme="majorBidi" w:hAnsiTheme="majorBidi" w:cstheme="majorBidi"/>
        </w:rPr>
        <w:t xml:space="preserve"> jaundzimušo bērnu noslepkavoja pasīvi, atstājot viņu bezpalīdzības stāvoklī un nesniedzot primāro aprūpi, lai gan viņas pienākums bija novērst </w:t>
      </w:r>
      <w:r w:rsidR="00060790" w:rsidRPr="00FE0007">
        <w:rPr>
          <w:rFonts w:asciiTheme="majorBidi" w:hAnsiTheme="majorBidi" w:cstheme="majorBidi"/>
        </w:rPr>
        <w:t>jaundzimušā</w:t>
      </w:r>
      <w:r w:rsidR="00641DE4" w:rsidRPr="00FE0007">
        <w:rPr>
          <w:rFonts w:asciiTheme="majorBidi" w:hAnsiTheme="majorBidi" w:cstheme="majorBidi"/>
        </w:rPr>
        <w:t xml:space="preserve"> nāves iestāšanos un viņa varēja to izdarīt. Turklāt apsūdzētā, sākoties mazmeitas dzemdībām, neizsauca neatliekamo medicīnisko palīdzību, lai gan cietusī to vairākkārt lūdza. Apzināti nošķirot jaundzimušu bērnu no mātes uzreiz pēc </w:t>
      </w:r>
      <w:r w:rsidR="00354785" w:rsidRPr="00FE0007">
        <w:rPr>
          <w:rFonts w:asciiTheme="majorBidi" w:hAnsiTheme="majorBidi" w:cstheme="majorBidi"/>
        </w:rPr>
        <w:t xml:space="preserve">mājas apstākļos notikušām </w:t>
      </w:r>
      <w:r w:rsidR="00641DE4" w:rsidRPr="00FE0007">
        <w:rPr>
          <w:rFonts w:asciiTheme="majorBidi" w:hAnsiTheme="majorBidi" w:cstheme="majorBidi"/>
        </w:rPr>
        <w:t xml:space="preserve">dzemdībām, kad māte tam nespēja pretoties, apsūdzētā </w:t>
      </w:r>
      <w:r w:rsidR="001C6AE7">
        <w:rPr>
          <w:rFonts w:asciiTheme="majorBidi" w:hAnsiTheme="majorBidi" w:cstheme="majorBidi"/>
        </w:rPr>
        <w:t>[pers. A]</w:t>
      </w:r>
      <w:r w:rsidR="00A55D3E" w:rsidRPr="00FE0007">
        <w:rPr>
          <w:rFonts w:asciiTheme="majorBidi" w:hAnsiTheme="majorBidi" w:cstheme="majorBidi"/>
        </w:rPr>
        <w:t xml:space="preserve"> </w:t>
      </w:r>
      <w:r w:rsidR="00641DE4" w:rsidRPr="00FE0007">
        <w:rPr>
          <w:rFonts w:asciiTheme="majorBidi" w:hAnsiTheme="majorBidi" w:cstheme="majorBidi"/>
        </w:rPr>
        <w:t>faktiski liedza bērnam iespēju izdzīvot, un tādā veidā noslepkavoja jaundzimušo.</w:t>
      </w:r>
    </w:p>
    <w:p w14:paraId="5B189877" w14:textId="4A924E88" w:rsidR="00922B1B" w:rsidRPr="00FE0007" w:rsidRDefault="00641DE4" w:rsidP="00922B1B">
      <w:pPr>
        <w:spacing w:line="276" w:lineRule="auto"/>
        <w:ind w:firstLine="720"/>
        <w:jc w:val="both"/>
        <w:rPr>
          <w:rFonts w:asciiTheme="majorBidi" w:hAnsiTheme="majorBidi" w:cstheme="majorBidi"/>
          <w:lang w:eastAsia="en-US"/>
          <w14:ligatures w14:val="standardContextual"/>
        </w:rPr>
      </w:pPr>
      <w:r w:rsidRPr="00FE0007">
        <w:rPr>
          <w:rFonts w:asciiTheme="majorBidi" w:hAnsiTheme="majorBidi" w:cstheme="majorBidi"/>
          <w:lang w:eastAsia="en-US"/>
          <w14:ligatures w14:val="standardContextual"/>
        </w:rPr>
        <w:t>Tādējādi abu instanču tiesas ir atzinušas, ka apsūdzētā</w:t>
      </w:r>
      <w:r w:rsidR="00922B1B" w:rsidRPr="00FE0007">
        <w:rPr>
          <w:rFonts w:asciiTheme="majorBidi" w:hAnsiTheme="majorBidi" w:cstheme="majorBidi"/>
          <w:lang w:eastAsia="en-US"/>
          <w14:ligatures w14:val="standardContextual"/>
        </w:rPr>
        <w:t xml:space="preserve"> slepkavību izdarīja</w:t>
      </w:r>
      <w:r w:rsidR="00F67114" w:rsidRPr="00FE0007">
        <w:t>, pieļaujot bezdarbību</w:t>
      </w:r>
      <w:r w:rsidR="00922B1B" w:rsidRPr="00FE0007">
        <w:rPr>
          <w:rFonts w:asciiTheme="majorBidi" w:hAnsiTheme="majorBidi" w:cstheme="majorBidi"/>
          <w:lang w:eastAsia="en-US"/>
          <w14:ligatures w14:val="standardContextual"/>
        </w:rPr>
        <w:t>, turklāt atzīstot, ka apsūdzētās</w:t>
      </w:r>
      <w:r w:rsidR="00A55D3E" w:rsidRPr="00FE0007">
        <w:rPr>
          <w:rFonts w:asciiTheme="majorBidi" w:hAnsiTheme="majorBidi" w:cstheme="majorBidi"/>
          <w:lang w:eastAsia="en-US"/>
          <w14:ligatures w14:val="standardContextual"/>
        </w:rPr>
        <w:t xml:space="preserve"> bezdarbība</w:t>
      </w:r>
      <w:r w:rsidR="00922B1B" w:rsidRPr="00FE0007">
        <w:rPr>
          <w:rFonts w:asciiTheme="majorBidi" w:hAnsiTheme="majorBidi" w:cstheme="majorBidi"/>
          <w:lang w:eastAsia="en-US"/>
          <w14:ligatures w14:val="standardContextual"/>
        </w:rPr>
        <w:t xml:space="preserve"> </w:t>
      </w:r>
      <w:r w:rsidRPr="00FE0007">
        <w:rPr>
          <w:rFonts w:asciiTheme="majorBidi" w:hAnsiTheme="majorBidi" w:cstheme="majorBidi"/>
          <w:lang w:eastAsia="en-US"/>
          <w14:ligatures w14:val="standardContextual"/>
        </w:rPr>
        <w:t xml:space="preserve">ir tiešā cēloniskā sakarībā ar jaundzimušā bērna nāvi. </w:t>
      </w:r>
    </w:p>
    <w:p w14:paraId="0DC4360B" w14:textId="21D1324A" w:rsidR="00922B1B" w:rsidRPr="00FE0007" w:rsidRDefault="00922B1B" w:rsidP="00F67114">
      <w:pPr>
        <w:spacing w:line="276" w:lineRule="auto"/>
        <w:ind w:firstLine="709"/>
        <w:jc w:val="both"/>
        <w:rPr>
          <w:rFonts w:asciiTheme="majorBidi" w:hAnsiTheme="majorBidi" w:cstheme="majorBidi"/>
        </w:rPr>
      </w:pPr>
      <w:r w:rsidRPr="00FE0007">
        <w:rPr>
          <w:rFonts w:asciiTheme="majorBidi" w:hAnsiTheme="majorBidi" w:cstheme="majorBidi"/>
          <w:lang w:eastAsia="en-US"/>
          <w14:ligatures w14:val="standardContextual"/>
        </w:rPr>
        <w:t>[7.2.2]</w:t>
      </w:r>
      <w:r w:rsidRPr="00FE0007">
        <w:rPr>
          <w:rFonts w:asciiTheme="majorBidi" w:hAnsiTheme="majorBidi" w:cstheme="majorBidi"/>
        </w:rPr>
        <w:t> Kriminālprocesa likuma 563. panta pirmās daļas 3. punktā noteikts, ka mutvārdu procesā apelācijas instances tiesa atceļ pirmās instances tiesas nolēmumu kādā tā daļā un taisa šajā daļā jaunu nolēmumu. Atbilstoši Kriminālprocesa likuma 564. panta piektajai daļai, ja apelācijas instances tiesa konstatē tādus noziedzīga nodarījuma apstākļus, kas atšķiras no pirmās instances tiesas spriedumā norādītajiem apstākļiem, tā sniedz jaunu noziedzīga nodarījuma aprakstu.</w:t>
      </w:r>
    </w:p>
    <w:p w14:paraId="4C722A77" w14:textId="77777777" w:rsidR="00265C3B" w:rsidRPr="00FE0007" w:rsidRDefault="00265C3B" w:rsidP="00265C3B">
      <w:pPr>
        <w:spacing w:line="276" w:lineRule="auto"/>
        <w:ind w:firstLine="720"/>
        <w:jc w:val="both"/>
        <w:rPr>
          <w:rFonts w:asciiTheme="majorBidi" w:hAnsiTheme="majorBidi" w:cstheme="majorBidi"/>
        </w:rPr>
      </w:pPr>
      <w:r w:rsidRPr="00FE0007">
        <w:rPr>
          <w:rFonts w:asciiTheme="majorBidi" w:hAnsiTheme="majorBidi" w:cstheme="majorBidi"/>
        </w:rPr>
        <w:t>Senāts norāda, ka detalizētāka informācija par personai inkriminēto noziedzīgo nodarījumu var tikt iegūta no lietā esošajiem pierādījumiem</w:t>
      </w:r>
      <w:r w:rsidRPr="00FE0007">
        <w:rPr>
          <w:rFonts w:asciiTheme="majorBidi" w:eastAsiaTheme="minorHAnsi" w:hAnsiTheme="majorBidi" w:cstheme="majorBidi"/>
        </w:rPr>
        <w:t xml:space="preserve">. </w:t>
      </w:r>
      <w:r w:rsidRPr="00FE0007">
        <w:rPr>
          <w:rFonts w:asciiTheme="majorBidi" w:hAnsiTheme="majorBidi" w:cstheme="majorBidi"/>
        </w:rPr>
        <w:t>Tiesas lēmuma motīvu daļā ietvertie tiesas secinājumi nav uzskatāmi par atšķirīgu noziedzīgā nodarījuma apstākļu noteikšanu.</w:t>
      </w:r>
    </w:p>
    <w:p w14:paraId="78A14948" w14:textId="52D40334" w:rsidR="00922B1B" w:rsidRPr="00FE0007" w:rsidRDefault="00922B1B" w:rsidP="00265C3B">
      <w:pPr>
        <w:spacing w:line="276" w:lineRule="auto"/>
        <w:ind w:firstLine="720"/>
        <w:jc w:val="both"/>
        <w:rPr>
          <w:rFonts w:asciiTheme="majorBidi" w:hAnsiTheme="majorBidi" w:cstheme="majorBidi"/>
        </w:rPr>
      </w:pPr>
      <w:r w:rsidRPr="00FE0007">
        <w:rPr>
          <w:rFonts w:asciiTheme="majorBidi" w:hAnsiTheme="majorBidi" w:cstheme="majorBidi"/>
          <w:bCs/>
        </w:rPr>
        <w:t>Senāts jau agrāk paudis atziņu, ka tiesas nolēmuma daļā izteiktie motīvi nepaplašina par pierādītiem atzīto apstākļu loku</w:t>
      </w:r>
      <w:r w:rsidRPr="00FE0007">
        <w:rPr>
          <w:rFonts w:asciiTheme="majorBidi" w:hAnsiTheme="majorBidi" w:cstheme="majorBidi"/>
        </w:rPr>
        <w:t xml:space="preserve"> (</w:t>
      </w:r>
      <w:r w:rsidRPr="002C733D">
        <w:rPr>
          <w:rFonts w:asciiTheme="majorBidi" w:hAnsiTheme="majorBidi" w:cstheme="majorBidi"/>
          <w:i/>
          <w:iCs/>
        </w:rPr>
        <w:t>Senāta 2014. gada 6. novembra lēmums lietā Nr. </w:t>
      </w:r>
      <w:hyperlink r:id="rId16" w:history="1">
        <w:r w:rsidRPr="002C733D">
          <w:rPr>
            <w:rStyle w:val="Hyperlink"/>
            <w:rFonts w:asciiTheme="majorBidi" w:eastAsiaTheme="majorEastAsia" w:hAnsiTheme="majorBidi" w:cstheme="majorBidi"/>
            <w:i/>
            <w:iCs/>
            <w:color w:val="auto"/>
          </w:rPr>
          <w:t>SKK-505/2014</w:t>
        </w:r>
      </w:hyperlink>
      <w:r w:rsidRPr="002C733D">
        <w:rPr>
          <w:rFonts w:asciiTheme="majorBidi" w:hAnsiTheme="majorBidi" w:cstheme="majorBidi"/>
          <w:i/>
          <w:iCs/>
        </w:rPr>
        <w:t>, 11240010812, 2021. gada 20. oktobra lēmuma lietā Nr. SKK</w:t>
      </w:r>
      <w:r w:rsidRPr="002C733D">
        <w:rPr>
          <w:rFonts w:asciiTheme="majorBidi" w:hAnsiTheme="majorBidi" w:cstheme="majorBidi"/>
          <w:i/>
          <w:iCs/>
        </w:rPr>
        <w:noBreakHyphen/>
        <w:t xml:space="preserve">505/2021, </w:t>
      </w:r>
      <w:hyperlink r:id="rId17" w:history="1">
        <w:r w:rsidRPr="002C733D">
          <w:rPr>
            <w:rStyle w:val="Hyperlink"/>
            <w:rFonts w:asciiTheme="majorBidi" w:eastAsiaTheme="majorEastAsia" w:hAnsiTheme="majorBidi" w:cstheme="majorBidi"/>
            <w:i/>
            <w:iCs/>
            <w:color w:val="auto"/>
          </w:rPr>
          <w:t>ECLI:LV:AT:2021:1020.15840020319.4.L</w:t>
        </w:r>
      </w:hyperlink>
      <w:r w:rsidRPr="002C733D">
        <w:rPr>
          <w:rFonts w:asciiTheme="majorBidi" w:hAnsiTheme="majorBidi" w:cstheme="majorBidi"/>
          <w:i/>
          <w:iCs/>
        </w:rPr>
        <w:t>, 6. punkts</w:t>
      </w:r>
      <w:r w:rsidRPr="00FE0007">
        <w:rPr>
          <w:rFonts w:asciiTheme="majorBidi" w:hAnsiTheme="majorBidi" w:cstheme="majorBidi"/>
        </w:rPr>
        <w:t xml:space="preserve">).  </w:t>
      </w:r>
    </w:p>
    <w:p w14:paraId="19C2CADE" w14:textId="1DD867B1" w:rsidR="00E02B61" w:rsidRPr="00FE0007" w:rsidRDefault="00E02B61" w:rsidP="00E02B61">
      <w:pPr>
        <w:spacing w:line="276" w:lineRule="auto"/>
        <w:ind w:firstLine="720"/>
        <w:jc w:val="both"/>
        <w:rPr>
          <w:rFonts w:asciiTheme="majorBidi" w:hAnsiTheme="majorBidi" w:cstheme="majorBidi"/>
          <w:lang w:eastAsia="en-US"/>
          <w14:ligatures w14:val="standardContextual"/>
        </w:rPr>
      </w:pPr>
      <w:r w:rsidRPr="00FE0007">
        <w:rPr>
          <w:rFonts w:asciiTheme="majorBidi" w:hAnsiTheme="majorBidi" w:cstheme="majorBidi"/>
          <w:lang w:eastAsia="en-US"/>
          <w14:ligatures w14:val="standardContextual"/>
        </w:rPr>
        <w:t>[7.2.3] </w:t>
      </w:r>
      <w:r w:rsidR="00222EB8" w:rsidRPr="00FE0007">
        <w:rPr>
          <w:rFonts w:asciiTheme="majorBidi" w:hAnsiTheme="majorBidi" w:cstheme="majorBidi"/>
          <w:lang w:eastAsia="en-US"/>
          <w14:ligatures w14:val="standardContextual"/>
        </w:rPr>
        <w:t>Pretēji kasācijas sūdzībā norādītajam apelācijas instances tiesa, atstājot negrozītu pirmās instances tiesas spriedumu, no pierādītā noziedzīgo nodarījumu apraksta nav izslēgusi apsūdzētās noziedzīgo nodarījumu izdarīšanas motīvu</w:t>
      </w:r>
      <w:r w:rsidRPr="00FE0007">
        <w:rPr>
          <w:rFonts w:asciiTheme="majorBidi" w:hAnsiTheme="majorBidi" w:cstheme="majorBidi"/>
          <w:lang w:eastAsia="en-US"/>
          <w14:ligatures w14:val="standardContextual"/>
        </w:rPr>
        <w:t xml:space="preserve">, proti, ka </w:t>
      </w:r>
      <w:r w:rsidR="001C6AE7">
        <w:rPr>
          <w:rFonts w:asciiTheme="majorBidi" w:hAnsiTheme="majorBidi" w:cstheme="majorBidi"/>
        </w:rPr>
        <w:t>[pers. A]</w:t>
      </w:r>
      <w:r w:rsidRPr="00FE0007">
        <w:rPr>
          <w:rFonts w:asciiTheme="majorBidi" w:hAnsiTheme="majorBidi" w:cstheme="majorBidi"/>
        </w:rPr>
        <w:t xml:space="preserve"> rīkojusies </w:t>
      </w:r>
      <w:r w:rsidR="00D347C0" w:rsidRPr="00FE0007">
        <w:rPr>
          <w:rFonts w:asciiTheme="majorBidi" w:hAnsiTheme="majorBidi" w:cstheme="majorBidi"/>
        </w:rPr>
        <w:t xml:space="preserve">aiz </w:t>
      </w:r>
      <w:r w:rsidRPr="00FE0007">
        <w:rPr>
          <w:rFonts w:asciiTheme="majorBidi" w:hAnsiTheme="majorBidi" w:cstheme="majorBidi"/>
        </w:rPr>
        <w:t>dusm</w:t>
      </w:r>
      <w:r w:rsidR="00D347C0" w:rsidRPr="00FE0007">
        <w:rPr>
          <w:rFonts w:asciiTheme="majorBidi" w:hAnsiTheme="majorBidi" w:cstheme="majorBidi"/>
        </w:rPr>
        <w:t>ām</w:t>
      </w:r>
      <w:r w:rsidRPr="00FE0007">
        <w:rPr>
          <w:rFonts w:asciiTheme="majorBidi" w:hAnsiTheme="majorBidi" w:cstheme="majorBidi"/>
        </w:rPr>
        <w:t xml:space="preserve"> un atriebības par </w:t>
      </w:r>
      <w:r w:rsidR="00373CF6">
        <w:rPr>
          <w:rFonts w:asciiTheme="majorBidi" w:hAnsiTheme="majorBidi" w:cstheme="majorBidi"/>
        </w:rPr>
        <w:t>[pers. B]</w:t>
      </w:r>
      <w:r w:rsidRPr="00FE0007">
        <w:rPr>
          <w:rFonts w:asciiTheme="majorBidi" w:hAnsiTheme="majorBidi" w:cstheme="majorBidi"/>
        </w:rPr>
        <w:t xml:space="preserve"> rīcību, iesaistoties attiecībās ar vīriešiem.</w:t>
      </w:r>
    </w:p>
    <w:p w14:paraId="2D094051" w14:textId="148FACC2" w:rsidR="00E02B61" w:rsidRPr="00FE0007" w:rsidRDefault="00E02B61" w:rsidP="00E02B61">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Turklāt Senāts norāda, ka motīvs nav Krimināllikuma 117. panta 2. punktā un Krimināllikuma 153. panta trešajā daļā paredzēto noziedzīgo nodarījumu sastāva pazīme un neietekmē to kvalifikāciju.</w:t>
      </w:r>
    </w:p>
    <w:p w14:paraId="56F53DA3" w14:textId="77777777" w:rsidR="00E02B61" w:rsidRPr="00FE0007" w:rsidRDefault="00E02B61" w:rsidP="00E02B61">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 xml:space="preserve">Krimināllikuma 117. panta 2. punktā ir paredzēta kriminālatbildība par slepkavību, ja noslepkavota persona, vainīgajam apzinoties, ka tā ir bezpalīdzības stāvoklī. Krimināllikuma 153. panta trešajā daļā paredzēta kriminālatbildība par personas </w:t>
      </w:r>
      <w:r w:rsidRPr="00FE0007">
        <w:rPr>
          <w:rFonts w:asciiTheme="majorBidi" w:eastAsiaTheme="minorHAnsi" w:hAnsiTheme="majorBidi" w:cstheme="majorBidi"/>
          <w:lang w:eastAsia="en-US"/>
          <w14:ligatures w14:val="standardContextual"/>
        </w:rPr>
        <w:lastRenderedPageBreak/>
        <w:t xml:space="preserve">nolaupīšanu, ja tā izraisījusi smagas sekas vai tā izdarīta pret mazgadīgo, vai to izdarījusi organizēta grupa. </w:t>
      </w:r>
    </w:p>
    <w:p w14:paraId="44B90F44" w14:textId="4DF7856F" w:rsidR="00E02B61" w:rsidRPr="00FE0007" w:rsidRDefault="00E02B61" w:rsidP="00E02B61">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 xml:space="preserve">Arī tiesību doktrīnā skaidrots, ka motīvs un mērķis ir noziedzīga nodarījuma patstāvīgas subjektīvās puses pazīmes, kas tāpat kā vainas forma obligāti pierādāmas, ja tās ietvertas krimināltiesību normas dispozīcijā. </w:t>
      </w:r>
      <w:r w:rsidR="00A55D3E" w:rsidRPr="00FE0007">
        <w:rPr>
          <w:rFonts w:asciiTheme="majorBidi" w:eastAsiaTheme="minorHAnsi" w:hAnsiTheme="majorBidi" w:cstheme="majorBidi"/>
          <w:lang w:eastAsia="en-US"/>
          <w14:ligatures w14:val="standardContextual"/>
        </w:rPr>
        <w:t xml:space="preserve">Motīvs un mērķis </w:t>
      </w:r>
      <w:r w:rsidRPr="00FE0007">
        <w:rPr>
          <w:rFonts w:asciiTheme="majorBidi" w:eastAsiaTheme="minorHAnsi" w:hAnsiTheme="majorBidi" w:cstheme="majorBidi"/>
          <w:lang w:eastAsia="en-US"/>
          <w14:ligatures w14:val="standardContextual"/>
        </w:rPr>
        <w:t>var būt ietverts noziedzīga nodarījuma sastāvā kā obligāta pazīme, un tad tas ietekmē nodarījuma kvalifikāciju. Ja motīvs un mērķis nav ietverti noziedzīga nodarījuma sastāva pazīmju skaitā, tad tie neietekmē nodarījuma kvalifikāciju, kaut arī neviens ar tiešu nodomu izdarīts nodarījums netiek izdarīts bez motīva un mērķa (</w:t>
      </w:r>
      <w:r w:rsidRPr="00FE0007">
        <w:rPr>
          <w:rFonts w:asciiTheme="majorBidi" w:eastAsiaTheme="minorHAnsi" w:hAnsiTheme="majorBidi" w:cstheme="majorBidi"/>
          <w:i/>
          <w:iCs/>
          <w:lang w:eastAsia="en-US"/>
          <w14:ligatures w14:val="standardContextual"/>
        </w:rPr>
        <w:t>Krastiņš U.,</w:t>
      </w:r>
      <w:r w:rsidR="00E83629" w:rsidRPr="00FE0007">
        <w:rPr>
          <w:rFonts w:asciiTheme="majorBidi" w:eastAsiaTheme="minorHAnsi" w:hAnsiTheme="majorBidi" w:cstheme="majorBidi"/>
          <w:i/>
          <w:iCs/>
          <w:lang w:eastAsia="en-US"/>
          <w14:ligatures w14:val="standardContextual"/>
        </w:rPr>
        <w:t xml:space="preserve"> </w:t>
      </w:r>
      <w:r w:rsidR="00E83629" w:rsidRPr="00FE0007">
        <w:rPr>
          <w:i/>
          <w:iCs/>
        </w:rPr>
        <w:t xml:space="preserve">9. panta komentārs. Grām.: Krimināllikuma komentāri. </w:t>
      </w:r>
      <w:r w:rsidRPr="00FE0007">
        <w:rPr>
          <w:rFonts w:asciiTheme="majorBidi" w:eastAsiaTheme="minorHAnsi" w:hAnsiTheme="majorBidi" w:cstheme="majorBidi"/>
          <w:i/>
          <w:iCs/>
          <w:lang w:eastAsia="en-US"/>
          <w14:ligatures w14:val="standardContextual"/>
        </w:rPr>
        <w:t>Krimināllikuma komentāri. Pirmā daļa (I–VIII</w:t>
      </w:r>
      <w:r w:rsidR="00E83629" w:rsidRPr="00FE0007">
        <w:rPr>
          <w:rFonts w:asciiTheme="majorBidi" w:eastAsiaTheme="minorHAnsi" w:hAnsiTheme="majorBidi" w:cstheme="majorBidi"/>
          <w:i/>
          <w:iCs/>
          <w:vertAlign w:val="superscript"/>
          <w:lang w:eastAsia="en-US"/>
          <w14:ligatures w14:val="standardContextual"/>
        </w:rPr>
        <w:t>2</w:t>
      </w:r>
      <w:r w:rsidRPr="00FE0007">
        <w:rPr>
          <w:rFonts w:asciiTheme="majorBidi" w:eastAsiaTheme="minorHAnsi" w:hAnsiTheme="majorBidi" w:cstheme="majorBidi"/>
          <w:i/>
          <w:iCs/>
          <w:lang w:eastAsia="en-US"/>
          <w14:ligatures w14:val="standardContextual"/>
        </w:rPr>
        <w:t xml:space="preserve">). </w:t>
      </w:r>
      <w:r w:rsidR="00E83629" w:rsidRPr="00FE0007">
        <w:rPr>
          <w:rFonts w:asciiTheme="majorBidi" w:eastAsiaTheme="minorHAnsi" w:hAnsiTheme="majorBidi" w:cstheme="majorBidi"/>
          <w:i/>
          <w:iCs/>
          <w:lang w:eastAsia="en-US"/>
          <w14:ligatures w14:val="standardContextual"/>
        </w:rPr>
        <w:t xml:space="preserve">Krastiņš U., Liholaja V. </w:t>
      </w:r>
      <w:r w:rsidRPr="00FE0007">
        <w:rPr>
          <w:rFonts w:asciiTheme="majorBidi" w:eastAsiaTheme="minorHAnsi" w:hAnsiTheme="majorBidi" w:cstheme="majorBidi"/>
          <w:i/>
          <w:iCs/>
          <w:lang w:eastAsia="en-US"/>
          <w14:ligatures w14:val="standardContextual"/>
        </w:rPr>
        <w:t>Rīga: Tiesu namu aģentūra. 20</w:t>
      </w:r>
      <w:r w:rsidR="00E83629" w:rsidRPr="00FE0007">
        <w:rPr>
          <w:rFonts w:asciiTheme="majorBidi" w:eastAsiaTheme="minorHAnsi" w:hAnsiTheme="majorBidi" w:cstheme="majorBidi"/>
          <w:i/>
          <w:iCs/>
          <w:lang w:eastAsia="en-US"/>
          <w14:ligatures w14:val="standardContextual"/>
        </w:rPr>
        <w:t>22</w:t>
      </w:r>
      <w:r w:rsidRPr="00FE0007">
        <w:rPr>
          <w:rFonts w:asciiTheme="majorBidi" w:eastAsiaTheme="minorHAnsi" w:hAnsiTheme="majorBidi" w:cstheme="majorBidi"/>
          <w:i/>
          <w:iCs/>
          <w:lang w:eastAsia="en-US"/>
          <w14:ligatures w14:val="standardContextual"/>
        </w:rPr>
        <w:t xml:space="preserve">. </w:t>
      </w:r>
      <w:r w:rsidR="00E83629" w:rsidRPr="00FE0007">
        <w:rPr>
          <w:rFonts w:asciiTheme="majorBidi" w:eastAsiaTheme="minorHAnsi" w:hAnsiTheme="majorBidi" w:cstheme="majorBidi"/>
          <w:i/>
          <w:iCs/>
          <w:lang w:eastAsia="en-US"/>
          <w14:ligatures w14:val="standardContextual"/>
        </w:rPr>
        <w:t>70</w:t>
      </w:r>
      <w:r w:rsidRPr="00FE0007">
        <w:rPr>
          <w:rFonts w:asciiTheme="majorBidi" w:eastAsiaTheme="minorHAnsi" w:hAnsiTheme="majorBidi" w:cstheme="majorBidi"/>
          <w:i/>
          <w:iCs/>
          <w:lang w:eastAsia="en-US"/>
          <w14:ligatures w14:val="standardContextual"/>
        </w:rPr>
        <w:t>.–</w:t>
      </w:r>
      <w:r w:rsidR="00E83629" w:rsidRPr="00FE0007">
        <w:rPr>
          <w:rFonts w:asciiTheme="majorBidi" w:eastAsiaTheme="minorHAnsi" w:hAnsiTheme="majorBidi" w:cstheme="majorBidi"/>
          <w:i/>
          <w:iCs/>
          <w:lang w:eastAsia="en-US"/>
          <w14:ligatures w14:val="standardContextual"/>
        </w:rPr>
        <w:t>71</w:t>
      </w:r>
      <w:r w:rsidRPr="00FE0007">
        <w:rPr>
          <w:rFonts w:asciiTheme="majorBidi" w:eastAsiaTheme="minorHAnsi" w:hAnsiTheme="majorBidi" w:cstheme="majorBidi"/>
          <w:i/>
          <w:iCs/>
          <w:lang w:eastAsia="en-US"/>
          <w14:ligatures w14:val="standardContextual"/>
        </w:rPr>
        <w:t>. lpp.</w:t>
      </w:r>
      <w:r w:rsidRPr="00FE0007">
        <w:rPr>
          <w:rFonts w:asciiTheme="majorBidi" w:eastAsiaTheme="minorHAnsi" w:hAnsiTheme="majorBidi" w:cstheme="majorBidi"/>
          <w:lang w:eastAsia="en-US"/>
          <w14:ligatures w14:val="standardContextual"/>
        </w:rPr>
        <w:t>).</w:t>
      </w:r>
    </w:p>
    <w:p w14:paraId="043796FD" w14:textId="7752F463" w:rsidR="00E83629" w:rsidRPr="00FE0007" w:rsidRDefault="00D924FC" w:rsidP="00E83629">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Slepkavību var izdarīt kā ar tiešu, tā ar netiešu nodomu</w:t>
      </w:r>
      <w:r w:rsidR="00D347C0" w:rsidRPr="00FE0007">
        <w:rPr>
          <w:rFonts w:asciiTheme="majorBidi" w:eastAsiaTheme="minorHAnsi" w:hAnsiTheme="majorBidi" w:cstheme="majorBidi"/>
          <w:lang w:eastAsia="en-US"/>
          <w14:ligatures w14:val="standardContextual"/>
        </w:rPr>
        <w:t>, s</w:t>
      </w:r>
      <w:r w:rsidRPr="00FE0007">
        <w:rPr>
          <w:rFonts w:asciiTheme="majorBidi" w:eastAsiaTheme="minorHAnsi" w:hAnsiTheme="majorBidi" w:cstheme="majorBidi"/>
          <w:lang w:eastAsia="en-US"/>
          <w14:ligatures w14:val="standardContextual"/>
        </w:rPr>
        <w:t>avukārt personas nolaupīšana ir tīšs nodarījums, kuru raksturo tikai tiešs nodoms</w:t>
      </w:r>
      <w:r w:rsidR="00A55D3E" w:rsidRPr="00FE0007">
        <w:rPr>
          <w:rFonts w:asciiTheme="majorBidi" w:eastAsiaTheme="minorHAnsi" w:hAnsiTheme="majorBidi" w:cstheme="majorBidi"/>
          <w:lang w:eastAsia="en-US"/>
          <w14:ligatures w14:val="standardContextual"/>
        </w:rPr>
        <w:t>.</w:t>
      </w:r>
    </w:p>
    <w:p w14:paraId="51A51E47" w14:textId="32A665C1" w:rsidR="00E02B61" w:rsidRPr="00FE0007" w:rsidRDefault="00E02B61" w:rsidP="00E02B61">
      <w:pPr>
        <w:spacing w:line="276" w:lineRule="auto"/>
        <w:ind w:firstLine="720"/>
        <w:jc w:val="both"/>
        <w:rPr>
          <w:rFonts w:asciiTheme="majorBidi" w:hAnsiTheme="majorBidi" w:cstheme="majorBidi"/>
          <w:lang w:eastAsia="en-US"/>
          <w14:ligatures w14:val="standardContextual"/>
        </w:rPr>
      </w:pPr>
      <w:r w:rsidRPr="00FE0007">
        <w:rPr>
          <w:rFonts w:asciiTheme="majorBidi" w:hAnsiTheme="majorBidi" w:cstheme="majorBidi"/>
          <w:lang w:eastAsia="en-US"/>
          <w14:ligatures w14:val="standardContextual"/>
        </w:rPr>
        <w:t>Senāta judikatūrā jau iepriekš ir pausta atziņa, ka apsūdzētās personas nodoma patieso saturu atklāj arī viņa faktiskās darbības (</w:t>
      </w:r>
      <w:r w:rsidRPr="00FE0007">
        <w:rPr>
          <w:rFonts w:asciiTheme="majorBidi" w:hAnsiTheme="majorBidi" w:cstheme="majorBidi"/>
          <w:i/>
          <w:lang w:eastAsia="en-US"/>
          <w14:ligatures w14:val="standardContextual"/>
        </w:rPr>
        <w:t>Senāta 2006. gada 28. decembra lēmums lietā Nr. </w:t>
      </w:r>
      <w:hyperlink r:id="rId18" w:history="1">
        <w:r w:rsidRPr="00FE0007">
          <w:rPr>
            <w:rFonts w:asciiTheme="majorBidi" w:hAnsiTheme="majorBidi" w:cstheme="majorBidi"/>
            <w:i/>
            <w:u w:val="single"/>
            <w:lang w:eastAsia="en-US"/>
            <w14:ligatures w14:val="standardContextual"/>
          </w:rPr>
          <w:t>SKK</w:t>
        </w:r>
        <w:r w:rsidRPr="00FE0007">
          <w:rPr>
            <w:rFonts w:asciiTheme="majorBidi" w:hAnsiTheme="majorBidi" w:cstheme="majorBidi"/>
            <w:i/>
            <w:u w:val="single"/>
            <w:lang w:eastAsia="en-US"/>
            <w14:ligatures w14:val="standardContextual"/>
          </w:rPr>
          <w:noBreakHyphen/>
          <w:t>770/2006</w:t>
        </w:r>
      </w:hyperlink>
      <w:r w:rsidRPr="00FE0007">
        <w:rPr>
          <w:rFonts w:asciiTheme="majorBidi" w:hAnsiTheme="majorBidi" w:cstheme="majorBidi"/>
          <w:i/>
          <w:lang w:eastAsia="en-US"/>
          <w14:ligatures w14:val="standardContextual"/>
        </w:rPr>
        <w:t>, 1130025500, 2023. gada 27. aprīļa lēmuma lietā Nr. SKK</w:t>
      </w:r>
      <w:r w:rsidRPr="00FE0007">
        <w:rPr>
          <w:rFonts w:asciiTheme="majorBidi" w:hAnsiTheme="majorBidi" w:cstheme="majorBidi"/>
          <w:i/>
          <w:lang w:eastAsia="en-US"/>
          <w14:ligatures w14:val="standardContextual"/>
        </w:rPr>
        <w:noBreakHyphen/>
        <w:t xml:space="preserve">139/2023, </w:t>
      </w:r>
      <w:hyperlink r:id="rId19" w:history="1">
        <w:r w:rsidRPr="00FE0007">
          <w:rPr>
            <w:rFonts w:asciiTheme="majorBidi" w:hAnsiTheme="majorBidi" w:cstheme="majorBidi"/>
            <w:i/>
            <w:u w:val="single"/>
            <w:lang w:eastAsia="en-US"/>
            <w14:ligatures w14:val="standardContextual"/>
          </w:rPr>
          <w:t>ECLI:LV:AT:2023:0427.11221103319.16.L</w:t>
        </w:r>
      </w:hyperlink>
      <w:r w:rsidRPr="00FE0007">
        <w:rPr>
          <w:rFonts w:asciiTheme="majorBidi" w:hAnsiTheme="majorBidi" w:cstheme="majorBidi"/>
          <w:i/>
          <w:lang w:eastAsia="en-US"/>
          <w14:ligatures w14:val="standardContextual"/>
        </w:rPr>
        <w:t xml:space="preserve">, 6.3. punkts, 2024. gada 9. aprīļa lēmuma lietā Nr. SKK-22/2024, </w:t>
      </w:r>
      <w:hyperlink r:id="rId20" w:history="1">
        <w:r w:rsidRPr="00FE0007">
          <w:rPr>
            <w:rFonts w:asciiTheme="majorBidi" w:hAnsiTheme="majorBidi" w:cstheme="majorBidi"/>
            <w:i/>
            <w:u w:val="single"/>
            <w:lang w:eastAsia="en-US"/>
            <w14:ligatures w14:val="standardContextual"/>
          </w:rPr>
          <w:t>ECLI:LV:AT:2024:0409.15840015519.5.L</w:t>
        </w:r>
      </w:hyperlink>
      <w:r w:rsidRPr="00FE0007">
        <w:rPr>
          <w:rFonts w:asciiTheme="majorBidi" w:hAnsiTheme="majorBidi" w:cstheme="majorBidi"/>
          <w:i/>
          <w:lang w:eastAsia="en-US"/>
          <w14:ligatures w14:val="standardContextual"/>
        </w:rPr>
        <w:t>, 5.2.3. punkts</w:t>
      </w:r>
      <w:r w:rsidRPr="00FE0007">
        <w:rPr>
          <w:rFonts w:asciiTheme="majorBidi" w:hAnsiTheme="majorBidi" w:cstheme="majorBidi"/>
          <w:lang w:eastAsia="en-US"/>
          <w14:ligatures w14:val="standardContextual"/>
        </w:rPr>
        <w:t xml:space="preserve">). </w:t>
      </w:r>
    </w:p>
    <w:p w14:paraId="331898A7" w14:textId="62353D15" w:rsidR="00E02B61" w:rsidRPr="00FE0007" w:rsidRDefault="00F422D6" w:rsidP="00360574">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hAnsiTheme="majorBidi" w:cstheme="majorBidi"/>
          <w:lang w:eastAsia="en-US"/>
          <w14:ligatures w14:val="standardContextual"/>
        </w:rPr>
        <w:t xml:space="preserve">Lai norobežotu Krimināllikuma </w:t>
      </w:r>
      <w:r w:rsidRPr="00FE0007">
        <w:rPr>
          <w:rFonts w:asciiTheme="majorBidi" w:eastAsiaTheme="minorHAnsi" w:hAnsiTheme="majorBidi" w:cstheme="majorBidi"/>
          <w:lang w:eastAsia="en-US"/>
          <w14:ligatures w14:val="standardContextual"/>
        </w:rPr>
        <w:t xml:space="preserve">117. panta 2. punktā paredzēto </w:t>
      </w:r>
      <w:r w:rsidRPr="00FE0007">
        <w:rPr>
          <w:rFonts w:asciiTheme="majorBidi" w:hAnsiTheme="majorBidi" w:cstheme="majorBidi"/>
          <w:lang w:eastAsia="en-US"/>
          <w14:ligatures w14:val="standardContextual"/>
        </w:rPr>
        <w:t xml:space="preserve">slepkavību no Krimināllikuma 141. panta otrajā </w:t>
      </w:r>
      <w:r w:rsidR="00360574" w:rsidRPr="00FE0007">
        <w:rPr>
          <w:rFonts w:asciiTheme="majorBidi" w:hAnsiTheme="majorBidi" w:cstheme="majorBidi"/>
          <w:lang w:eastAsia="en-US"/>
          <w14:ligatures w14:val="standardContextual"/>
        </w:rPr>
        <w:t>un 2</w:t>
      </w:r>
      <w:r w:rsidR="00360574" w:rsidRPr="00FE0007">
        <w:rPr>
          <w:rFonts w:asciiTheme="majorBidi" w:hAnsiTheme="majorBidi" w:cstheme="majorBidi"/>
          <w:vertAlign w:val="superscript"/>
          <w:lang w:eastAsia="en-US"/>
          <w14:ligatures w14:val="standardContextual"/>
        </w:rPr>
        <w:t>1</w:t>
      </w:r>
      <w:r w:rsidR="00360574" w:rsidRPr="00FE0007">
        <w:rPr>
          <w:rFonts w:asciiTheme="majorBidi" w:hAnsiTheme="majorBidi" w:cstheme="majorBidi"/>
          <w:lang w:eastAsia="en-US"/>
          <w14:ligatures w14:val="standardContextual"/>
        </w:rPr>
        <w:t xml:space="preserve"> </w:t>
      </w:r>
      <w:r w:rsidRPr="00FE0007">
        <w:rPr>
          <w:rFonts w:asciiTheme="majorBidi" w:hAnsiTheme="majorBidi" w:cstheme="majorBidi"/>
          <w:lang w:eastAsia="en-US"/>
          <w14:ligatures w14:val="standardContextual"/>
        </w:rPr>
        <w:t>daļā paredzēt</w:t>
      </w:r>
      <w:r w:rsidR="00360574" w:rsidRPr="00FE0007">
        <w:rPr>
          <w:rFonts w:asciiTheme="majorBidi" w:hAnsiTheme="majorBidi" w:cstheme="majorBidi"/>
          <w:lang w:eastAsia="en-US"/>
          <w14:ligatures w14:val="standardContextual"/>
        </w:rPr>
        <w:t>ās</w:t>
      </w:r>
      <w:r w:rsidRPr="00FE0007">
        <w:rPr>
          <w:rFonts w:asciiTheme="majorBidi" w:hAnsiTheme="majorBidi" w:cstheme="majorBidi"/>
          <w:lang w:eastAsia="en-US"/>
          <w14:ligatures w14:val="standardContextual"/>
        </w:rPr>
        <w:t xml:space="preserve"> personas apzināt</w:t>
      </w:r>
      <w:r w:rsidR="00360574" w:rsidRPr="00FE0007">
        <w:rPr>
          <w:rFonts w:asciiTheme="majorBidi" w:hAnsiTheme="majorBidi" w:cstheme="majorBidi"/>
          <w:lang w:eastAsia="en-US"/>
          <w14:ligatures w14:val="standardContextual"/>
        </w:rPr>
        <w:t>as</w:t>
      </w:r>
      <w:r w:rsidRPr="00FE0007">
        <w:rPr>
          <w:rFonts w:asciiTheme="majorBidi" w:hAnsiTheme="majorBidi" w:cstheme="majorBidi"/>
          <w:lang w:eastAsia="en-US"/>
          <w14:ligatures w14:val="standardContextual"/>
        </w:rPr>
        <w:t xml:space="preserve"> atstāšan</w:t>
      </w:r>
      <w:r w:rsidR="00360574" w:rsidRPr="00FE0007">
        <w:rPr>
          <w:rFonts w:asciiTheme="majorBidi" w:hAnsiTheme="majorBidi" w:cstheme="majorBidi"/>
          <w:lang w:eastAsia="en-US"/>
          <w14:ligatures w14:val="standardContextual"/>
        </w:rPr>
        <w:t>as</w:t>
      </w:r>
      <w:r w:rsidRPr="00FE0007">
        <w:rPr>
          <w:rFonts w:asciiTheme="majorBidi" w:hAnsiTheme="majorBidi" w:cstheme="majorBidi"/>
          <w:lang w:eastAsia="en-US"/>
          <w14:ligatures w14:val="standardContextual"/>
        </w:rPr>
        <w:t xml:space="preserve"> bez palīdzības, ir jāvērtē noziedzīgā nodarījuma subjektīvā puse, proti, kādu rezultātu apsūdzētā persona vēlējusies sasniegt, pieļaujot bezdarbību attiecībā pret jaundzimušo.</w:t>
      </w:r>
      <w:r w:rsidR="00360574" w:rsidRPr="00FE0007">
        <w:rPr>
          <w:rFonts w:asciiTheme="majorBidi" w:hAnsiTheme="majorBidi" w:cstheme="majorBidi"/>
          <w:lang w:eastAsia="en-US"/>
          <w14:ligatures w14:val="standardContextual"/>
        </w:rPr>
        <w:t xml:space="preserve"> Personas psihiskā attieksme pret </w:t>
      </w:r>
      <w:bookmarkStart w:id="17" w:name="_Hlk194561833"/>
      <w:r w:rsidR="00360574" w:rsidRPr="00FE0007">
        <w:rPr>
          <w:rFonts w:asciiTheme="majorBidi" w:hAnsiTheme="majorBidi" w:cstheme="majorBidi"/>
          <w:lang w:eastAsia="en-US"/>
          <w14:ligatures w14:val="standardContextual"/>
        </w:rPr>
        <w:t>Krimināllikuma 141. panta 2</w:t>
      </w:r>
      <w:r w:rsidR="00360574" w:rsidRPr="00FE0007">
        <w:rPr>
          <w:rFonts w:asciiTheme="majorBidi" w:hAnsiTheme="majorBidi" w:cstheme="majorBidi"/>
          <w:vertAlign w:val="superscript"/>
          <w:lang w:eastAsia="en-US"/>
          <w14:ligatures w14:val="standardContextual"/>
        </w:rPr>
        <w:t>1</w:t>
      </w:r>
      <w:r w:rsidR="00360574" w:rsidRPr="00FE0007">
        <w:rPr>
          <w:rFonts w:asciiTheme="majorBidi" w:hAnsiTheme="majorBidi" w:cstheme="majorBidi"/>
          <w:lang w:eastAsia="en-US"/>
          <w14:ligatures w14:val="standardContextual"/>
        </w:rPr>
        <w:t xml:space="preserve"> daļā </w:t>
      </w:r>
      <w:bookmarkEnd w:id="17"/>
      <w:r w:rsidR="00360574" w:rsidRPr="00FE0007">
        <w:rPr>
          <w:rFonts w:asciiTheme="majorBidi" w:hAnsiTheme="majorBidi" w:cstheme="majorBidi"/>
          <w:lang w:eastAsia="en-US"/>
          <w14:ligatures w14:val="standardContextual"/>
        </w:rPr>
        <w:t>norādīto nāvi, var izpausties tikai kā neuzmanība (</w:t>
      </w:r>
      <w:r w:rsidR="00360574" w:rsidRPr="00FE0007">
        <w:rPr>
          <w:rFonts w:asciiTheme="majorBidi" w:hAnsiTheme="majorBidi" w:cstheme="majorBidi"/>
          <w:i/>
          <w:iCs/>
          <w:lang w:eastAsia="en-US"/>
          <w14:ligatures w14:val="standardContextual"/>
        </w:rPr>
        <w:t xml:space="preserve">plašāk sk. </w:t>
      </w:r>
      <w:r w:rsidR="00E83629" w:rsidRPr="00FE0007">
        <w:rPr>
          <w:rFonts w:asciiTheme="majorBidi" w:eastAsiaTheme="minorHAnsi" w:hAnsiTheme="majorBidi" w:cstheme="majorBidi"/>
          <w:i/>
          <w:iCs/>
          <w:lang w:eastAsia="en-US"/>
          <w14:ligatures w14:val="standardContextual"/>
        </w:rPr>
        <w:t>Liholaja V.</w:t>
      </w:r>
      <w:r w:rsidR="00E83629" w:rsidRPr="00FE0007">
        <w:rPr>
          <w:i/>
          <w:iCs/>
        </w:rPr>
        <w:t xml:space="preserve"> 141. panta komentārs. Grām.: </w:t>
      </w:r>
      <w:r w:rsidR="00360574" w:rsidRPr="00FE0007">
        <w:rPr>
          <w:rFonts w:asciiTheme="majorBidi" w:eastAsiaTheme="minorHAnsi" w:hAnsiTheme="majorBidi" w:cstheme="majorBidi"/>
          <w:i/>
          <w:iCs/>
          <w:lang w:eastAsia="en-US"/>
          <w14:ligatures w14:val="standardContextual"/>
        </w:rPr>
        <w:t xml:space="preserve">Krimināllikuma komentāri. Otrā daļa (IX–XVII). </w:t>
      </w:r>
      <w:r w:rsidR="00E83629" w:rsidRPr="00FE0007">
        <w:rPr>
          <w:rFonts w:asciiTheme="majorBidi" w:eastAsiaTheme="minorHAnsi" w:hAnsiTheme="majorBidi" w:cstheme="majorBidi"/>
          <w:i/>
          <w:iCs/>
          <w:lang w:eastAsia="en-US"/>
          <w14:ligatures w14:val="standardContextual"/>
        </w:rPr>
        <w:t xml:space="preserve">Krastiņš U., Liholaja V. </w:t>
      </w:r>
      <w:r w:rsidR="00360574" w:rsidRPr="00FE0007">
        <w:rPr>
          <w:rFonts w:asciiTheme="majorBidi" w:eastAsiaTheme="minorHAnsi" w:hAnsiTheme="majorBidi" w:cstheme="majorBidi"/>
          <w:i/>
          <w:iCs/>
          <w:lang w:eastAsia="en-US"/>
          <w14:ligatures w14:val="standardContextual"/>
        </w:rPr>
        <w:t>Rīga: Tiesu namu aģentūra. 2022. 398.–399. lpp.</w:t>
      </w:r>
      <w:r w:rsidR="00360574" w:rsidRPr="00FE0007">
        <w:rPr>
          <w:rFonts w:asciiTheme="majorBidi" w:eastAsiaTheme="minorHAnsi" w:hAnsiTheme="majorBidi" w:cstheme="majorBidi"/>
          <w:lang w:eastAsia="en-US"/>
          <w14:ligatures w14:val="standardContextual"/>
        </w:rPr>
        <w:t>).</w:t>
      </w:r>
    </w:p>
    <w:p w14:paraId="42E7E247" w14:textId="30017CE3" w:rsidR="00D924FC" w:rsidRPr="00FE0007" w:rsidRDefault="00D924FC" w:rsidP="00E02B61">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 xml:space="preserve">Apelācijas instances tiesa </w:t>
      </w:r>
      <w:r w:rsidR="006D0654" w:rsidRPr="00FE0007">
        <w:rPr>
          <w:rFonts w:asciiTheme="majorBidi" w:eastAsiaTheme="minorHAnsi" w:hAnsiTheme="majorBidi" w:cstheme="majorBidi"/>
          <w:lang w:eastAsia="en-US"/>
          <w14:ligatures w14:val="standardContextual"/>
        </w:rPr>
        <w:t xml:space="preserve">ir </w:t>
      </w:r>
      <w:r w:rsidRPr="00FE0007">
        <w:rPr>
          <w:rFonts w:asciiTheme="majorBidi" w:eastAsiaTheme="minorHAnsi" w:hAnsiTheme="majorBidi" w:cstheme="majorBidi"/>
          <w:lang w:eastAsia="en-US"/>
          <w14:ligatures w14:val="standardContextual"/>
        </w:rPr>
        <w:t xml:space="preserve">izvērtējusi Krimināllikuma 117. panta 2. punktā paredzētā noziedzīgā nodarījuma faktiskos apstākļus un pievienojusies pirmās instances tiesas secinājumam, ka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jaundzimušā slepkavību izdarījusi tīši ar tiešu nodomu, jo viņa apzinājusies savu darbību raksturu, paredzējusi jaundzimušā bērna nāves iestāšanos un vēlējusies to. Abu instanču tiesas secinājušas, ka apsūdzētā ir ieguvusi ārsta palīga izglītību un viņai ir zināšanas dzemdniecībā, tādēļ viņa zināja, ka, nošķirot jaundzimušu bērnu no mātes uzreiz pēc dzemdībām mājas apstākļos, kā arī</w:t>
      </w:r>
      <w:r w:rsidRPr="00FE0007">
        <w:rPr>
          <w:rFonts w:asciiTheme="majorBidi" w:hAnsiTheme="majorBidi" w:cstheme="majorBidi"/>
        </w:rPr>
        <w:t xml:space="preserve"> </w:t>
      </w:r>
      <w:r w:rsidRPr="00FE0007">
        <w:rPr>
          <w:rFonts w:asciiTheme="majorBidi" w:eastAsiaTheme="minorHAnsi" w:hAnsiTheme="majorBidi" w:cstheme="majorBidi"/>
          <w:lang w:eastAsia="en-US"/>
          <w14:ligatures w14:val="standardContextual"/>
        </w:rPr>
        <w:t xml:space="preserve">jaundzimušajam nesniedzot nepieciešamo primāro aprūpi, viņa faktiski liedza bērnam iespēju izdzīvot, un tādā veidā jaundzimušo noslepkavoja. </w:t>
      </w:r>
    </w:p>
    <w:p w14:paraId="54E08A25" w14:textId="5D686167" w:rsidR="00D924FC" w:rsidRPr="00FE0007" w:rsidRDefault="00D924FC" w:rsidP="00D924FC">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 xml:space="preserve">Pirmās instances un apelācijas instances tiesas atzinušas, ka Krimināllikuma 153. panta trešajā daļā paredzēto noziedzīgo nodarījumu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izdarīja tīši ar tiešu nodomu, uzreiz pēc dzemdībām, izmantojot </w:t>
      </w:r>
      <w:r w:rsidR="00373CF6">
        <w:rPr>
          <w:rFonts w:asciiTheme="majorBidi" w:eastAsiaTheme="minorHAnsi" w:hAnsiTheme="majorBidi" w:cstheme="majorBidi"/>
          <w:lang w:eastAsia="en-US"/>
          <w14:ligatures w14:val="standardContextual"/>
        </w:rPr>
        <w:t>[pers. B]</w:t>
      </w:r>
      <w:r w:rsidRPr="00FE0007">
        <w:rPr>
          <w:rFonts w:asciiTheme="majorBidi" w:eastAsiaTheme="minorHAnsi" w:hAnsiTheme="majorBidi" w:cstheme="majorBidi"/>
          <w:lang w:eastAsia="en-US"/>
          <w14:ligatures w14:val="standardContextual"/>
        </w:rPr>
        <w:t xml:space="preserve"> bezsamaņas stāvokli, iznesa viņas jaundzimušo bērnu no mājas, zinot, ka viņš </w:t>
      </w:r>
      <w:r w:rsidRPr="00FE0007">
        <w:rPr>
          <w:rFonts w:asciiTheme="majorBidi" w:hAnsiTheme="majorBidi" w:cstheme="majorBidi"/>
          <w:lang w:eastAsia="en-US"/>
          <w14:ligatures w14:val="standardContextual"/>
        </w:rPr>
        <w:t>sava vecuma un fiziskās attīstības dēļ nespēs izrādīt pretošanos,</w:t>
      </w:r>
      <w:r w:rsidRPr="00FE0007">
        <w:rPr>
          <w:rFonts w:asciiTheme="majorBidi" w:eastAsiaTheme="minorHAnsi" w:hAnsiTheme="majorBidi" w:cstheme="majorBidi"/>
          <w:lang w:eastAsia="en-US"/>
          <w14:ligatures w14:val="standardContextual"/>
        </w:rPr>
        <w:t xml:space="preserve"> un atstāja tikai sev zināmā vietā. </w:t>
      </w:r>
    </w:p>
    <w:p w14:paraId="0C79C0C1" w14:textId="1418F7B6" w:rsidR="00D924FC" w:rsidRPr="00FE0007" w:rsidRDefault="00E02B61" w:rsidP="00E02B61">
      <w:pPr>
        <w:autoSpaceDE w:val="0"/>
        <w:autoSpaceDN w:val="0"/>
        <w:adjustRightInd w:val="0"/>
        <w:spacing w:line="276" w:lineRule="auto"/>
        <w:ind w:firstLine="720"/>
        <w:jc w:val="both"/>
        <w:rPr>
          <w:rFonts w:asciiTheme="majorBidi" w:hAnsiTheme="majorBidi" w:cstheme="majorBidi"/>
          <w:lang w:eastAsia="en-US"/>
          <w14:ligatures w14:val="standardContextual"/>
        </w:rPr>
      </w:pPr>
      <w:r w:rsidRPr="00FE0007">
        <w:rPr>
          <w:rFonts w:asciiTheme="majorBidi" w:hAnsiTheme="majorBidi" w:cstheme="majorBidi"/>
          <w:lang w:eastAsia="en-US"/>
          <w14:ligatures w14:val="standardContextual"/>
        </w:rPr>
        <w:t xml:space="preserve">[7.2.4] Ievērojot minēto, </w:t>
      </w:r>
      <w:r w:rsidR="00D924FC" w:rsidRPr="00FE0007">
        <w:rPr>
          <w:rFonts w:asciiTheme="majorBidi" w:hAnsiTheme="majorBidi" w:cstheme="majorBidi"/>
          <w:lang w:eastAsia="en-US"/>
          <w14:ligatures w14:val="standardContextual"/>
        </w:rPr>
        <w:t xml:space="preserve">Senāts atzīst, ka apelācijas instances tiesa ir pareizi izvērtējusi </w:t>
      </w:r>
      <w:r w:rsidR="00D924FC" w:rsidRPr="00FE0007">
        <w:rPr>
          <w:rFonts w:asciiTheme="majorBidi" w:eastAsiaTheme="minorHAnsi" w:hAnsiTheme="majorBidi" w:cstheme="majorBidi"/>
          <w:lang w:eastAsia="en-US"/>
          <w14:ligatures w14:val="standardContextual"/>
        </w:rPr>
        <w:t>Krimināllikuma 117. panta 2. punktā un Krimināllikuma 153. panta trešajā daļā paredzēto noziedzīgo nodarījumu subjektīvo</w:t>
      </w:r>
      <w:r w:rsidR="00380795" w:rsidRPr="00FE0007">
        <w:rPr>
          <w:rFonts w:asciiTheme="majorBidi" w:eastAsiaTheme="minorHAnsi" w:hAnsiTheme="majorBidi" w:cstheme="majorBidi"/>
          <w:lang w:eastAsia="en-US"/>
          <w14:ligatures w14:val="standardContextual"/>
        </w:rPr>
        <w:t xml:space="preserve"> un objektīvo</w:t>
      </w:r>
      <w:r w:rsidR="00D924FC" w:rsidRPr="00FE0007">
        <w:rPr>
          <w:rFonts w:asciiTheme="majorBidi" w:eastAsiaTheme="minorHAnsi" w:hAnsiTheme="majorBidi" w:cstheme="majorBidi"/>
          <w:lang w:eastAsia="en-US"/>
          <w14:ligatures w14:val="standardContextual"/>
        </w:rPr>
        <w:t xml:space="preserve"> pusi</w:t>
      </w:r>
      <w:r w:rsidR="00380795" w:rsidRPr="00FE0007">
        <w:rPr>
          <w:rFonts w:asciiTheme="majorBidi" w:eastAsiaTheme="minorHAnsi" w:hAnsiTheme="majorBidi" w:cstheme="majorBidi"/>
          <w:lang w:eastAsia="en-US"/>
          <w14:ligatures w14:val="standardContextual"/>
        </w:rPr>
        <w:t xml:space="preserve"> </w:t>
      </w:r>
      <w:r w:rsidR="00D924FC" w:rsidRPr="00FE0007">
        <w:rPr>
          <w:rFonts w:asciiTheme="majorBidi" w:eastAsiaTheme="minorHAnsi" w:hAnsiTheme="majorBidi" w:cstheme="majorBidi"/>
          <w:lang w:eastAsia="en-US"/>
          <w14:ligatures w14:val="standardContextual"/>
        </w:rPr>
        <w:t xml:space="preserve">un pamatoti apsūdzētās </w:t>
      </w:r>
      <w:r w:rsidR="001C6AE7">
        <w:rPr>
          <w:rFonts w:asciiTheme="majorBidi" w:eastAsiaTheme="minorHAnsi" w:hAnsiTheme="majorBidi" w:cstheme="majorBidi"/>
          <w:lang w:eastAsia="en-US"/>
          <w14:ligatures w14:val="standardContextual"/>
        </w:rPr>
        <w:t>[pers. A]</w:t>
      </w:r>
      <w:r w:rsidR="00D924FC" w:rsidRPr="00FE0007">
        <w:rPr>
          <w:rFonts w:asciiTheme="majorBidi" w:eastAsiaTheme="minorHAnsi" w:hAnsiTheme="majorBidi" w:cstheme="majorBidi"/>
          <w:lang w:eastAsia="en-US"/>
          <w14:ligatures w14:val="standardContextual"/>
        </w:rPr>
        <w:t xml:space="preserve"> darbībās konstatējusi šo noziedzīgo nodarījumu </w:t>
      </w:r>
      <w:r w:rsidR="00031388" w:rsidRPr="00FE0007">
        <w:rPr>
          <w:rFonts w:asciiTheme="majorBidi" w:eastAsiaTheme="minorHAnsi" w:hAnsiTheme="majorBidi" w:cstheme="majorBidi"/>
          <w:lang w:eastAsia="en-US"/>
          <w14:ligatures w14:val="standardContextual"/>
        </w:rPr>
        <w:t xml:space="preserve">sastāvu </w:t>
      </w:r>
      <w:r w:rsidR="00D924FC" w:rsidRPr="00FE0007">
        <w:rPr>
          <w:rFonts w:asciiTheme="majorBidi" w:eastAsiaTheme="minorHAnsi" w:hAnsiTheme="majorBidi" w:cstheme="majorBidi"/>
          <w:lang w:eastAsia="en-US"/>
          <w14:ligatures w14:val="standardContextual"/>
        </w:rPr>
        <w:t xml:space="preserve">esību. </w:t>
      </w:r>
    </w:p>
    <w:p w14:paraId="1B22058A" w14:textId="77777777" w:rsidR="00D924FC" w:rsidRPr="00FE0007" w:rsidRDefault="00D924FC" w:rsidP="00D924FC">
      <w:pPr>
        <w:spacing w:line="276" w:lineRule="auto"/>
        <w:ind w:firstLine="720"/>
        <w:jc w:val="both"/>
        <w:rPr>
          <w:rFonts w:asciiTheme="majorBidi" w:eastAsiaTheme="minorHAnsi" w:hAnsiTheme="majorBidi" w:cstheme="majorBidi"/>
          <w:lang w:eastAsia="en-US"/>
          <w14:ligatures w14:val="standardContextual"/>
        </w:rPr>
      </w:pPr>
      <w:bookmarkStart w:id="18" w:name="_Hlk185251566"/>
    </w:p>
    <w:bookmarkEnd w:id="18"/>
    <w:p w14:paraId="349E612A" w14:textId="221C6582" w:rsidR="00545223" w:rsidRPr="00FE0007" w:rsidRDefault="00D924FC" w:rsidP="00F422D6">
      <w:pPr>
        <w:spacing w:line="276" w:lineRule="auto"/>
        <w:ind w:firstLine="720"/>
        <w:jc w:val="both"/>
        <w:rPr>
          <w:rStyle w:val="Hyperlink"/>
          <w:rFonts w:eastAsiaTheme="majorEastAsia"/>
          <w:color w:val="auto"/>
          <w:u w:val="none"/>
        </w:rPr>
      </w:pPr>
      <w:r w:rsidRPr="00FE0007">
        <w:rPr>
          <w:rFonts w:asciiTheme="majorBidi" w:hAnsiTheme="majorBidi" w:cstheme="majorBidi"/>
        </w:rPr>
        <w:t>[</w:t>
      </w:r>
      <w:r w:rsidR="00380795" w:rsidRPr="00FE0007">
        <w:rPr>
          <w:rFonts w:asciiTheme="majorBidi" w:hAnsiTheme="majorBidi" w:cstheme="majorBidi"/>
        </w:rPr>
        <w:t>8</w:t>
      </w:r>
      <w:r w:rsidRPr="00FE0007">
        <w:rPr>
          <w:rFonts w:asciiTheme="majorBidi" w:hAnsiTheme="majorBidi" w:cstheme="majorBidi"/>
        </w:rPr>
        <w:t>]</w:t>
      </w:r>
      <w:bookmarkStart w:id="19" w:name="_Hlk121475718"/>
      <w:r w:rsidR="00F422D6" w:rsidRPr="00FE0007">
        <w:rPr>
          <w:rFonts w:asciiTheme="majorBidi" w:hAnsiTheme="majorBidi" w:cstheme="majorBidi"/>
        </w:rPr>
        <w:t> </w:t>
      </w:r>
      <w:r w:rsidR="00545223" w:rsidRPr="00FE0007">
        <w:rPr>
          <w:rFonts w:eastAsiaTheme="minorHAnsi"/>
          <w:lang w:eastAsia="en-US"/>
        </w:rPr>
        <w:t>Ievērojot, ka tiesa</w:t>
      </w:r>
      <w:r w:rsidR="000436C0" w:rsidRPr="00FE0007">
        <w:rPr>
          <w:rFonts w:eastAsiaTheme="minorHAnsi"/>
          <w:lang w:eastAsia="en-US"/>
        </w:rPr>
        <w:t xml:space="preserve"> </w:t>
      </w:r>
      <w:r w:rsidR="000436C0" w:rsidRPr="00FE0007">
        <w:rPr>
          <w:rFonts w:asciiTheme="majorBidi" w:eastAsiaTheme="minorHAnsi" w:hAnsiTheme="majorBidi" w:cstheme="majorBidi"/>
          <w:lang w:eastAsia="en-US"/>
          <w14:ligatures w14:val="standardContextual"/>
        </w:rPr>
        <w:t xml:space="preserve">apsūdzētajai </w:t>
      </w:r>
      <w:r w:rsidR="001C6AE7">
        <w:rPr>
          <w:rFonts w:asciiTheme="majorBidi" w:eastAsiaTheme="minorHAnsi" w:hAnsiTheme="majorBidi" w:cstheme="majorBidi"/>
          <w:lang w:eastAsia="en-US"/>
          <w14:ligatures w14:val="standardContextual"/>
        </w:rPr>
        <w:t>[pers. A]</w:t>
      </w:r>
      <w:r w:rsidR="000436C0" w:rsidRPr="00FE0007">
        <w:rPr>
          <w:rFonts w:asciiTheme="majorBidi" w:eastAsiaTheme="minorHAnsi" w:hAnsiTheme="majorBidi" w:cstheme="majorBidi"/>
          <w:lang w:eastAsia="en-US"/>
          <w14:ligatures w14:val="standardContextual"/>
        </w:rPr>
        <w:t xml:space="preserve"> par </w:t>
      </w:r>
      <w:r w:rsidR="00F422D6" w:rsidRPr="00FE0007">
        <w:rPr>
          <w:rFonts w:asciiTheme="majorBidi" w:eastAsiaTheme="minorHAnsi" w:hAnsiTheme="majorBidi" w:cstheme="majorBidi"/>
          <w:lang w:eastAsia="en-US"/>
          <w14:ligatures w14:val="standardContextual"/>
        </w:rPr>
        <w:t>inkriminē</w:t>
      </w:r>
      <w:r w:rsidR="000436C0" w:rsidRPr="00FE0007">
        <w:rPr>
          <w:rFonts w:asciiTheme="majorBidi" w:eastAsiaTheme="minorHAnsi" w:hAnsiTheme="majorBidi" w:cstheme="majorBidi"/>
          <w:lang w:eastAsia="en-US"/>
          <w14:ligatures w14:val="standardContextual"/>
        </w:rPr>
        <w:t>tajiem noziedzīgajiem nodar</w:t>
      </w:r>
      <w:r w:rsidR="00F422D6" w:rsidRPr="00FE0007">
        <w:rPr>
          <w:rFonts w:asciiTheme="majorBidi" w:eastAsiaTheme="minorHAnsi" w:hAnsiTheme="majorBidi" w:cstheme="majorBidi"/>
          <w:lang w:eastAsia="en-US"/>
          <w14:ligatures w14:val="standardContextual"/>
        </w:rPr>
        <w:t>ī</w:t>
      </w:r>
      <w:r w:rsidR="000436C0" w:rsidRPr="00FE0007">
        <w:rPr>
          <w:rFonts w:asciiTheme="majorBidi" w:eastAsiaTheme="minorHAnsi" w:hAnsiTheme="majorBidi" w:cstheme="majorBidi"/>
          <w:lang w:eastAsia="en-US"/>
          <w14:ligatures w14:val="standardContextual"/>
        </w:rPr>
        <w:t>jumiem ir</w:t>
      </w:r>
      <w:r w:rsidR="000436C0" w:rsidRPr="00FE0007">
        <w:rPr>
          <w:rFonts w:eastAsiaTheme="minorHAnsi"/>
          <w:lang w:eastAsia="en-US"/>
        </w:rPr>
        <w:t xml:space="preserve"> </w:t>
      </w:r>
      <w:r w:rsidR="00545223" w:rsidRPr="00FE0007">
        <w:rPr>
          <w:rFonts w:eastAsiaTheme="minorHAnsi"/>
          <w:lang w:eastAsia="en-US"/>
        </w:rPr>
        <w:t xml:space="preserve">sniegusi </w:t>
      </w:r>
      <w:r w:rsidR="000436C0" w:rsidRPr="00FE0007">
        <w:rPr>
          <w:rFonts w:asciiTheme="majorBidi" w:hAnsiTheme="majorBidi" w:cstheme="majorBidi"/>
        </w:rPr>
        <w:t xml:space="preserve">kopīgu </w:t>
      </w:r>
      <w:r w:rsidR="00545223" w:rsidRPr="00FE0007">
        <w:rPr>
          <w:rFonts w:eastAsiaTheme="minorHAnsi"/>
          <w:lang w:eastAsia="en-US"/>
        </w:rPr>
        <w:t xml:space="preserve">noziedzīgo nodarījumu aprakstu, Senāts atzīst, ka </w:t>
      </w:r>
      <w:r w:rsidR="00F422D6" w:rsidRPr="00FE0007">
        <w:rPr>
          <w:rFonts w:asciiTheme="majorBidi" w:hAnsiTheme="majorBidi" w:cstheme="majorBidi"/>
        </w:rPr>
        <w:t>apelācijas instances tiesas lēmums</w:t>
      </w:r>
      <w:r w:rsidR="00F422D6" w:rsidRPr="00FE0007">
        <w:rPr>
          <w:rStyle w:val="Hyperlink"/>
          <w:rFonts w:eastAsiaTheme="majorEastAsia"/>
          <w:color w:val="auto"/>
          <w:u w:val="none"/>
        </w:rPr>
        <w:t xml:space="preserve"> </w:t>
      </w:r>
      <w:r w:rsidR="00545223" w:rsidRPr="00FE0007">
        <w:rPr>
          <w:rStyle w:val="Hyperlink"/>
          <w:rFonts w:eastAsiaTheme="majorEastAsia"/>
          <w:color w:val="auto"/>
          <w:u w:val="none"/>
        </w:rPr>
        <w:t xml:space="preserve">atceļams pilnībā un lieta nosūtāma jaunai izskatīšanai </w:t>
      </w:r>
      <w:r w:rsidR="00B70BBC">
        <w:rPr>
          <w:rStyle w:val="Hyperlink"/>
          <w:rFonts w:eastAsiaTheme="majorEastAsia"/>
          <w:color w:val="auto"/>
          <w:u w:val="none"/>
        </w:rPr>
        <w:t>[..]</w:t>
      </w:r>
      <w:r w:rsidR="00545223" w:rsidRPr="00FE0007">
        <w:rPr>
          <w:rStyle w:val="Hyperlink"/>
          <w:rFonts w:eastAsiaTheme="majorEastAsia"/>
          <w:color w:val="auto"/>
          <w:u w:val="none"/>
        </w:rPr>
        <w:t xml:space="preserve"> apgabaltiesā.</w:t>
      </w:r>
    </w:p>
    <w:p w14:paraId="7549F715" w14:textId="77777777" w:rsidR="00545223" w:rsidRPr="00FE0007" w:rsidRDefault="00545223" w:rsidP="00D924FC">
      <w:pPr>
        <w:spacing w:line="276" w:lineRule="auto"/>
        <w:jc w:val="both"/>
        <w:rPr>
          <w:rFonts w:asciiTheme="majorBidi" w:eastAsiaTheme="minorHAnsi" w:hAnsiTheme="majorBidi" w:cstheme="majorBidi"/>
          <w:lang w:eastAsia="en-US"/>
          <w14:ligatures w14:val="standardContextual"/>
        </w:rPr>
      </w:pPr>
    </w:p>
    <w:bookmarkEnd w:id="19"/>
    <w:p w14:paraId="22C5AD2E" w14:textId="7756FD71" w:rsidR="00D924FC" w:rsidRPr="00FE0007" w:rsidRDefault="00D924FC" w:rsidP="00D924FC">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hAnsiTheme="majorBidi" w:cstheme="majorBidi"/>
        </w:rPr>
        <w:t>[</w:t>
      </w:r>
      <w:r w:rsidR="00F422D6" w:rsidRPr="00FE0007">
        <w:rPr>
          <w:rFonts w:asciiTheme="majorBidi" w:hAnsiTheme="majorBidi" w:cstheme="majorBidi"/>
        </w:rPr>
        <w:t>9</w:t>
      </w:r>
      <w:r w:rsidRPr="00FE0007">
        <w:rPr>
          <w:rFonts w:asciiTheme="majorBidi" w:hAnsiTheme="majorBidi" w:cstheme="majorBidi"/>
        </w:rPr>
        <w:t>] </w:t>
      </w:r>
      <w:r w:rsidRPr="00FE0007">
        <w:rPr>
          <w:rFonts w:asciiTheme="majorBidi" w:eastAsiaTheme="minorHAnsi" w:hAnsiTheme="majorBidi" w:cstheme="majorBidi"/>
          <w:lang w:eastAsia="en-US"/>
          <w14:ligatures w14:val="standardContextual"/>
        </w:rPr>
        <w:t xml:space="preserve">Pirmstiesas kriminālprocesā apsūdzētajai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piemērots drošības līdzeklis – apcietinājums –, kuru zemāko instanču tiesas atstājušas negrozītu. </w:t>
      </w:r>
    </w:p>
    <w:p w14:paraId="14918DAA" w14:textId="591550B4" w:rsidR="00D924FC" w:rsidRPr="00FE0007" w:rsidRDefault="00D924FC" w:rsidP="00D924FC">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 xml:space="preserve">Atbilstoši Kriminālprocesa likuma 272. panta ceturtajai daļai pamats apcietinājumam var būt tiesas spriedums par smaga vai sevišķi smaga nozieguma izdarīšanu, par kuru piespriests brīvības atņemšanas sods. </w:t>
      </w:r>
      <w:r w:rsidR="001C6AE7">
        <w:rPr>
          <w:rFonts w:asciiTheme="majorBidi" w:eastAsiaTheme="minorHAnsi" w:hAnsiTheme="majorBidi" w:cstheme="majorBidi"/>
          <w:lang w:eastAsia="en-US"/>
          <w14:ligatures w14:val="standardContextual"/>
        </w:rPr>
        <w:t>[</w:t>
      </w:r>
      <w:r w:rsidR="00B70BBC">
        <w:rPr>
          <w:rFonts w:asciiTheme="majorBidi" w:eastAsiaTheme="minorHAnsi" w:hAnsiTheme="majorBidi" w:cstheme="majorBidi"/>
          <w:lang w:eastAsia="en-US"/>
          <w14:ligatures w14:val="standardContextual"/>
        </w:rPr>
        <w:t>P</w:t>
      </w:r>
      <w:r w:rsidR="001C6AE7">
        <w:rPr>
          <w:rFonts w:asciiTheme="majorBidi" w:eastAsiaTheme="minorHAnsi" w:hAnsiTheme="majorBidi" w:cstheme="majorBidi"/>
          <w:lang w:eastAsia="en-US"/>
          <w14:ligatures w14:val="standardContextual"/>
        </w:rPr>
        <w:t>ers. A]</w:t>
      </w:r>
      <w:r w:rsidRPr="00FE0007">
        <w:rPr>
          <w:rFonts w:asciiTheme="majorBidi" w:eastAsiaTheme="minorHAnsi" w:hAnsiTheme="majorBidi" w:cstheme="majorBidi"/>
          <w:lang w:eastAsia="en-US"/>
          <w14:ligatures w14:val="standardContextual"/>
        </w:rPr>
        <w:t xml:space="preserve"> atzīta par vainīgu sevišķi smagu noziedzīgu nodarījumu izdarīšanā un sodīta ar brīvības atņemšanu. </w:t>
      </w:r>
    </w:p>
    <w:p w14:paraId="2EF45EF8" w14:textId="2D3AE6BE" w:rsidR="00D924FC" w:rsidRPr="00FE0007" w:rsidRDefault="00D924FC" w:rsidP="00D924FC">
      <w:pPr>
        <w:spacing w:line="276" w:lineRule="auto"/>
        <w:ind w:firstLine="720"/>
        <w:jc w:val="both"/>
        <w:rPr>
          <w:rFonts w:asciiTheme="majorBidi" w:eastAsiaTheme="minorHAnsi" w:hAnsiTheme="majorBidi" w:cstheme="majorBidi"/>
          <w:lang w:eastAsia="en-US"/>
          <w14:ligatures w14:val="standardContextual"/>
        </w:rPr>
      </w:pPr>
      <w:r w:rsidRPr="00FE0007">
        <w:rPr>
          <w:rFonts w:asciiTheme="majorBidi" w:eastAsiaTheme="minorHAnsi" w:hAnsiTheme="majorBidi" w:cstheme="majorBidi"/>
          <w:lang w:eastAsia="en-US"/>
          <w14:ligatures w14:val="standardContextual"/>
        </w:rPr>
        <w:t xml:space="preserve">Senāts atzīst, ka apsūdzētajai noteiktā drošības līdzekļa – apcietinājuma – piemērošana ir turpināma. Piemērotais drošības līdzeklis izskatāmajā lietā atzīstams par samērīgu un nepamatoti neierobežo apsūdzētās </w:t>
      </w:r>
      <w:r w:rsidR="001C6AE7">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pamattiesības.</w:t>
      </w:r>
    </w:p>
    <w:p w14:paraId="6FEC0A03" w14:textId="77777777" w:rsidR="00D924FC" w:rsidRPr="00FE0007" w:rsidRDefault="00D924FC" w:rsidP="00D924FC">
      <w:pPr>
        <w:spacing w:line="276" w:lineRule="auto"/>
        <w:jc w:val="center"/>
        <w:rPr>
          <w:rFonts w:asciiTheme="majorBidi" w:hAnsiTheme="majorBidi" w:cstheme="majorBidi"/>
          <w:b/>
        </w:rPr>
      </w:pPr>
    </w:p>
    <w:p w14:paraId="4D48FE97" w14:textId="77777777" w:rsidR="00D924FC" w:rsidRPr="00FE0007" w:rsidRDefault="00D924FC" w:rsidP="00D924FC">
      <w:pPr>
        <w:spacing w:line="276" w:lineRule="auto"/>
        <w:jc w:val="center"/>
        <w:rPr>
          <w:rFonts w:asciiTheme="majorBidi" w:hAnsiTheme="majorBidi" w:cstheme="majorBidi"/>
          <w:b/>
        </w:rPr>
      </w:pPr>
      <w:r w:rsidRPr="00FE0007">
        <w:rPr>
          <w:rFonts w:asciiTheme="majorBidi" w:hAnsiTheme="majorBidi" w:cstheme="majorBidi"/>
          <w:b/>
        </w:rPr>
        <w:t>Rezolutīvā daļa</w:t>
      </w:r>
    </w:p>
    <w:p w14:paraId="045BB71C" w14:textId="77777777" w:rsidR="00D924FC" w:rsidRPr="00FE0007" w:rsidRDefault="00D924FC" w:rsidP="00D924FC">
      <w:pPr>
        <w:spacing w:line="276" w:lineRule="auto"/>
        <w:jc w:val="center"/>
        <w:rPr>
          <w:rFonts w:asciiTheme="majorBidi" w:hAnsiTheme="majorBidi" w:cstheme="majorBidi"/>
          <w:b/>
        </w:rPr>
      </w:pPr>
    </w:p>
    <w:p w14:paraId="4D8C4EE4" w14:textId="7777777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Pamatojoties uz Kriminālprocesa likuma 585. un 587. panta pirmās daļas 2. punktu, Senāts</w:t>
      </w:r>
    </w:p>
    <w:p w14:paraId="1ABB50A1" w14:textId="77777777" w:rsidR="00D924FC" w:rsidRPr="00FE0007" w:rsidRDefault="00D924FC" w:rsidP="00D924FC">
      <w:pPr>
        <w:spacing w:line="276" w:lineRule="auto"/>
        <w:ind w:firstLine="567"/>
        <w:jc w:val="both"/>
        <w:rPr>
          <w:rFonts w:asciiTheme="majorBidi" w:hAnsiTheme="majorBidi" w:cstheme="majorBidi"/>
        </w:rPr>
      </w:pPr>
    </w:p>
    <w:p w14:paraId="1F10F520" w14:textId="77777777" w:rsidR="00D924FC" w:rsidRPr="00FE0007" w:rsidRDefault="00D924FC" w:rsidP="00D924FC">
      <w:pPr>
        <w:spacing w:line="276" w:lineRule="auto"/>
        <w:jc w:val="center"/>
        <w:rPr>
          <w:rFonts w:asciiTheme="majorBidi" w:hAnsiTheme="majorBidi" w:cstheme="majorBidi"/>
          <w:b/>
        </w:rPr>
      </w:pPr>
      <w:r w:rsidRPr="00FE0007">
        <w:rPr>
          <w:rFonts w:asciiTheme="majorBidi" w:hAnsiTheme="majorBidi" w:cstheme="majorBidi"/>
          <w:b/>
        </w:rPr>
        <w:t>nolēma</w:t>
      </w:r>
    </w:p>
    <w:p w14:paraId="68988EC9" w14:textId="77777777" w:rsidR="00D924FC" w:rsidRPr="00FE0007" w:rsidRDefault="00D924FC" w:rsidP="00D924FC">
      <w:pPr>
        <w:spacing w:line="276" w:lineRule="auto"/>
        <w:jc w:val="center"/>
        <w:rPr>
          <w:rFonts w:asciiTheme="majorBidi" w:hAnsiTheme="majorBidi" w:cstheme="majorBidi"/>
          <w:b/>
        </w:rPr>
      </w:pPr>
    </w:p>
    <w:p w14:paraId="3FAA9DC5" w14:textId="6C836EA2"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 xml:space="preserve">atcelt </w:t>
      </w:r>
      <w:bookmarkStart w:id="20" w:name="_Hlk180569457"/>
      <w:r w:rsidR="00956EFA">
        <w:rPr>
          <w:rFonts w:asciiTheme="majorBidi" w:hAnsiTheme="majorBidi" w:cstheme="majorBidi"/>
        </w:rPr>
        <w:t>[..]</w:t>
      </w:r>
      <w:r w:rsidRPr="00FE0007">
        <w:rPr>
          <w:rFonts w:asciiTheme="majorBidi" w:hAnsiTheme="majorBidi" w:cstheme="majorBidi"/>
        </w:rPr>
        <w:t xml:space="preserve"> apgabaltiesas </w:t>
      </w:r>
      <w:r w:rsidRPr="00FE0007">
        <w:rPr>
          <w:rFonts w:asciiTheme="majorBidi" w:hAnsiTheme="majorBidi" w:cstheme="majorBidi"/>
          <w:iCs/>
        </w:rPr>
        <w:t xml:space="preserve">2023. gada </w:t>
      </w:r>
      <w:r w:rsidR="00956EFA">
        <w:rPr>
          <w:rFonts w:asciiTheme="majorBidi" w:hAnsiTheme="majorBidi" w:cstheme="majorBidi"/>
          <w:iCs/>
        </w:rPr>
        <w:t>[..]</w:t>
      </w:r>
      <w:r w:rsidRPr="00FE0007">
        <w:rPr>
          <w:rFonts w:asciiTheme="majorBidi" w:hAnsiTheme="majorBidi" w:cstheme="majorBidi"/>
          <w:iCs/>
        </w:rPr>
        <w:t xml:space="preserve"> lēmumu </w:t>
      </w:r>
      <w:bookmarkEnd w:id="20"/>
      <w:r w:rsidRPr="00FE0007">
        <w:rPr>
          <w:rFonts w:asciiTheme="majorBidi" w:hAnsiTheme="majorBidi" w:cstheme="majorBidi"/>
          <w:iCs/>
        </w:rPr>
        <w:t>pilnībā un</w:t>
      </w:r>
      <w:r w:rsidRPr="00FE0007">
        <w:rPr>
          <w:rFonts w:asciiTheme="majorBidi" w:hAnsiTheme="majorBidi" w:cstheme="majorBidi"/>
        </w:rPr>
        <w:t xml:space="preserve"> nosūtīt lietu jaunai izskatīšanai </w:t>
      </w:r>
      <w:r w:rsidR="00956EFA">
        <w:rPr>
          <w:rFonts w:asciiTheme="majorBidi" w:hAnsiTheme="majorBidi" w:cstheme="majorBidi"/>
        </w:rPr>
        <w:t>[..]</w:t>
      </w:r>
      <w:r w:rsidRPr="00FE0007">
        <w:rPr>
          <w:rFonts w:asciiTheme="majorBidi" w:hAnsiTheme="majorBidi" w:cstheme="majorBidi"/>
        </w:rPr>
        <w:t xml:space="preserve"> apgabaltiesā;</w:t>
      </w:r>
    </w:p>
    <w:p w14:paraId="0F7365DC" w14:textId="6FBD041C" w:rsidR="00D924FC" w:rsidRPr="00FE0007" w:rsidRDefault="00D924FC" w:rsidP="00D924FC">
      <w:pPr>
        <w:spacing w:line="276" w:lineRule="auto"/>
        <w:ind w:firstLine="720"/>
        <w:jc w:val="both"/>
        <w:rPr>
          <w:rFonts w:asciiTheme="majorBidi" w:hAnsiTheme="majorBidi" w:cstheme="majorBidi"/>
        </w:rPr>
      </w:pPr>
      <w:r w:rsidRPr="00FE0007">
        <w:rPr>
          <w:rFonts w:asciiTheme="majorBidi" w:eastAsiaTheme="minorHAnsi" w:hAnsiTheme="majorBidi" w:cstheme="majorBidi"/>
          <w:lang w:eastAsia="en-US"/>
          <w14:ligatures w14:val="standardContextual"/>
        </w:rPr>
        <w:t xml:space="preserve">turpināt piemērot apsūdzētajai </w:t>
      </w:r>
      <w:r w:rsidR="004E0D5D">
        <w:rPr>
          <w:rFonts w:asciiTheme="majorBidi" w:eastAsiaTheme="minorHAnsi" w:hAnsiTheme="majorBidi" w:cstheme="majorBidi"/>
          <w:lang w:eastAsia="en-US"/>
          <w14:ligatures w14:val="standardContextual"/>
        </w:rPr>
        <w:t>[pers. A]</w:t>
      </w:r>
      <w:r w:rsidRPr="00FE0007">
        <w:rPr>
          <w:rFonts w:asciiTheme="majorBidi" w:eastAsiaTheme="minorHAnsi" w:hAnsiTheme="majorBidi" w:cstheme="majorBidi"/>
          <w:lang w:eastAsia="en-US"/>
          <w14:ligatures w14:val="standardContextual"/>
        </w:rPr>
        <w:t xml:space="preserve"> drošības līdzekli – apcietinājumu.</w:t>
      </w:r>
    </w:p>
    <w:p w14:paraId="591773D9" w14:textId="77777777" w:rsidR="00D924FC" w:rsidRPr="00FE0007" w:rsidRDefault="00D924FC" w:rsidP="00D924FC">
      <w:pPr>
        <w:spacing w:line="276" w:lineRule="auto"/>
        <w:ind w:firstLine="720"/>
        <w:jc w:val="both"/>
        <w:rPr>
          <w:rFonts w:asciiTheme="majorBidi" w:hAnsiTheme="majorBidi" w:cstheme="majorBidi"/>
        </w:rPr>
      </w:pPr>
    </w:p>
    <w:p w14:paraId="73C43E3F" w14:textId="77777777" w:rsidR="00D924FC" w:rsidRPr="00FE0007" w:rsidRDefault="00D924FC" w:rsidP="00D924FC">
      <w:pPr>
        <w:spacing w:line="276" w:lineRule="auto"/>
        <w:ind w:firstLine="720"/>
        <w:jc w:val="both"/>
        <w:rPr>
          <w:rFonts w:asciiTheme="majorBidi" w:hAnsiTheme="majorBidi" w:cstheme="majorBidi"/>
        </w:rPr>
      </w:pPr>
      <w:r w:rsidRPr="00FE0007">
        <w:rPr>
          <w:rFonts w:asciiTheme="majorBidi" w:hAnsiTheme="majorBidi" w:cstheme="majorBidi"/>
        </w:rPr>
        <w:t>Lēmums nav pārsūdzams.</w:t>
      </w:r>
    </w:p>
    <w:p w14:paraId="4A94DEBD" w14:textId="77777777" w:rsidR="00D924FC" w:rsidRPr="00FE0007" w:rsidRDefault="00D924FC" w:rsidP="00D924FC">
      <w:pPr>
        <w:spacing w:line="276" w:lineRule="auto"/>
        <w:jc w:val="both"/>
        <w:rPr>
          <w:rFonts w:asciiTheme="majorBidi" w:hAnsiTheme="majorBidi" w:cstheme="majorBidi"/>
        </w:rPr>
      </w:pPr>
    </w:p>
    <w:p w14:paraId="4C31C935" w14:textId="77777777" w:rsidR="00D924FC" w:rsidRPr="00FE0007" w:rsidRDefault="00D924FC" w:rsidP="00D924FC">
      <w:pPr>
        <w:spacing w:line="276" w:lineRule="auto"/>
        <w:rPr>
          <w:rFonts w:asciiTheme="majorBidi" w:hAnsiTheme="majorBidi" w:cstheme="majorBidi"/>
        </w:rPr>
      </w:pPr>
    </w:p>
    <w:p w14:paraId="562B8398" w14:textId="77777777" w:rsidR="00D924FC" w:rsidRPr="00FE0007" w:rsidRDefault="00D924FC" w:rsidP="00D924FC">
      <w:pPr>
        <w:spacing w:line="276" w:lineRule="auto"/>
        <w:jc w:val="both"/>
        <w:rPr>
          <w:rFonts w:asciiTheme="majorBidi" w:hAnsiTheme="majorBidi" w:cstheme="majorBidi"/>
        </w:rPr>
      </w:pPr>
    </w:p>
    <w:bookmarkEnd w:id="0"/>
    <w:p w14:paraId="5E642F84" w14:textId="77777777" w:rsidR="00D924FC" w:rsidRPr="00FE0007" w:rsidRDefault="00D924FC" w:rsidP="00D924FC">
      <w:pPr>
        <w:spacing w:line="276" w:lineRule="auto"/>
        <w:jc w:val="both"/>
        <w:rPr>
          <w:rFonts w:asciiTheme="majorBidi" w:hAnsiTheme="majorBidi" w:cstheme="majorBidi"/>
        </w:rPr>
      </w:pPr>
    </w:p>
    <w:sectPr w:rsidR="00D924FC" w:rsidRPr="00FE0007" w:rsidSect="00D924FC">
      <w:footerReference w:type="default" r:id="rId21"/>
      <w:pgSz w:w="11906" w:h="16838"/>
      <w:pgMar w:top="1134" w:right="158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A79C2" w14:textId="77777777" w:rsidR="002C189F" w:rsidRDefault="002C189F">
      <w:r>
        <w:separator/>
      </w:r>
    </w:p>
  </w:endnote>
  <w:endnote w:type="continuationSeparator" w:id="0">
    <w:p w14:paraId="17B0B551" w14:textId="77777777" w:rsidR="002C189F" w:rsidRDefault="002C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06FEDF1F" w14:textId="77777777" w:rsidR="002551A9" w:rsidRPr="00DA0153" w:rsidRDefault="002551A9">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Pr>
                <w:bCs/>
                <w:noProof/>
                <w:sz w:val="20"/>
                <w:szCs w:val="20"/>
              </w:rPr>
              <w:t>2</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Pr>
                <w:bCs/>
                <w:noProof/>
                <w:sz w:val="20"/>
                <w:szCs w:val="20"/>
              </w:rPr>
              <w:t>6</w:t>
            </w:r>
            <w:r w:rsidRPr="00EA2253">
              <w:rPr>
                <w:bCs/>
                <w:sz w:val="20"/>
                <w:szCs w:val="20"/>
              </w:rPr>
              <w:fldChar w:fldCharType="end"/>
            </w:r>
          </w:p>
        </w:sdtContent>
      </w:sdt>
    </w:sdtContent>
  </w:sdt>
  <w:p w14:paraId="7AC255E4" w14:textId="77777777" w:rsidR="002551A9" w:rsidRDefault="0025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6BB3D" w14:textId="77777777" w:rsidR="002C189F" w:rsidRDefault="002C189F">
      <w:r>
        <w:separator/>
      </w:r>
    </w:p>
  </w:footnote>
  <w:footnote w:type="continuationSeparator" w:id="0">
    <w:p w14:paraId="4F5DAC7B" w14:textId="77777777" w:rsidR="002C189F" w:rsidRDefault="002C189F">
      <w:r>
        <w:continuationSeparator/>
      </w:r>
    </w:p>
  </w:footnote>
  <w:footnote w:id="1">
    <w:p w14:paraId="379104A1" w14:textId="124D1994" w:rsidR="00B31F82" w:rsidRDefault="00B31F82">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E6171"/>
    <w:multiLevelType w:val="hybridMultilevel"/>
    <w:tmpl w:val="A5289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139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FC"/>
    <w:rsid w:val="000022BB"/>
    <w:rsid w:val="0001286D"/>
    <w:rsid w:val="00013606"/>
    <w:rsid w:val="00014FB0"/>
    <w:rsid w:val="00016443"/>
    <w:rsid w:val="000165AC"/>
    <w:rsid w:val="00021444"/>
    <w:rsid w:val="00023282"/>
    <w:rsid w:val="00024140"/>
    <w:rsid w:val="00024795"/>
    <w:rsid w:val="00026AE1"/>
    <w:rsid w:val="00031388"/>
    <w:rsid w:val="000337EA"/>
    <w:rsid w:val="000340F3"/>
    <w:rsid w:val="00034947"/>
    <w:rsid w:val="00037231"/>
    <w:rsid w:val="00040BBB"/>
    <w:rsid w:val="00042D01"/>
    <w:rsid w:val="0004356D"/>
    <w:rsid w:val="000436C0"/>
    <w:rsid w:val="00044313"/>
    <w:rsid w:val="00044A0D"/>
    <w:rsid w:val="00044C15"/>
    <w:rsid w:val="00047A7B"/>
    <w:rsid w:val="00050308"/>
    <w:rsid w:val="0005089C"/>
    <w:rsid w:val="00051016"/>
    <w:rsid w:val="00051E43"/>
    <w:rsid w:val="000550B5"/>
    <w:rsid w:val="00057E29"/>
    <w:rsid w:val="00060790"/>
    <w:rsid w:val="0006274F"/>
    <w:rsid w:val="000668E3"/>
    <w:rsid w:val="00073BA2"/>
    <w:rsid w:val="00075C16"/>
    <w:rsid w:val="00077C19"/>
    <w:rsid w:val="00080F44"/>
    <w:rsid w:val="000823CF"/>
    <w:rsid w:val="000838CA"/>
    <w:rsid w:val="00083D1E"/>
    <w:rsid w:val="000876AD"/>
    <w:rsid w:val="00087E51"/>
    <w:rsid w:val="0009006F"/>
    <w:rsid w:val="00090E51"/>
    <w:rsid w:val="00091FAF"/>
    <w:rsid w:val="00092ABB"/>
    <w:rsid w:val="0009441D"/>
    <w:rsid w:val="000A0F33"/>
    <w:rsid w:val="000A1553"/>
    <w:rsid w:val="000A1877"/>
    <w:rsid w:val="000A1C16"/>
    <w:rsid w:val="000A423D"/>
    <w:rsid w:val="000A5975"/>
    <w:rsid w:val="000A5CF5"/>
    <w:rsid w:val="000B2227"/>
    <w:rsid w:val="000B24F4"/>
    <w:rsid w:val="000B762C"/>
    <w:rsid w:val="000C13FA"/>
    <w:rsid w:val="000C142B"/>
    <w:rsid w:val="000C208D"/>
    <w:rsid w:val="000C5409"/>
    <w:rsid w:val="000D25DC"/>
    <w:rsid w:val="000D3BEB"/>
    <w:rsid w:val="000D5AC2"/>
    <w:rsid w:val="000D5EA2"/>
    <w:rsid w:val="000D646C"/>
    <w:rsid w:val="000D6780"/>
    <w:rsid w:val="000E0CDB"/>
    <w:rsid w:val="000E139F"/>
    <w:rsid w:val="000E1561"/>
    <w:rsid w:val="000E3420"/>
    <w:rsid w:val="000E6F8F"/>
    <w:rsid w:val="000E726C"/>
    <w:rsid w:val="000F05C0"/>
    <w:rsid w:val="000F20E9"/>
    <w:rsid w:val="000F2940"/>
    <w:rsid w:val="000F6DF2"/>
    <w:rsid w:val="000F7CB1"/>
    <w:rsid w:val="001006FA"/>
    <w:rsid w:val="00104194"/>
    <w:rsid w:val="001042AD"/>
    <w:rsid w:val="00106B6D"/>
    <w:rsid w:val="00107BF3"/>
    <w:rsid w:val="00113ABC"/>
    <w:rsid w:val="00114CD0"/>
    <w:rsid w:val="00115331"/>
    <w:rsid w:val="00116AAE"/>
    <w:rsid w:val="001220BB"/>
    <w:rsid w:val="001224C6"/>
    <w:rsid w:val="00125D31"/>
    <w:rsid w:val="00126622"/>
    <w:rsid w:val="00131A62"/>
    <w:rsid w:val="001322F0"/>
    <w:rsid w:val="001367C5"/>
    <w:rsid w:val="001379F7"/>
    <w:rsid w:val="00137F07"/>
    <w:rsid w:val="00142F17"/>
    <w:rsid w:val="00146481"/>
    <w:rsid w:val="00151C4B"/>
    <w:rsid w:val="001576B4"/>
    <w:rsid w:val="0016016E"/>
    <w:rsid w:val="00160F37"/>
    <w:rsid w:val="00162111"/>
    <w:rsid w:val="001646F5"/>
    <w:rsid w:val="00173FA3"/>
    <w:rsid w:val="00174FF0"/>
    <w:rsid w:val="001754E3"/>
    <w:rsid w:val="00176836"/>
    <w:rsid w:val="00177FB4"/>
    <w:rsid w:val="00190DD6"/>
    <w:rsid w:val="00193A4C"/>
    <w:rsid w:val="00196BE1"/>
    <w:rsid w:val="001A1E80"/>
    <w:rsid w:val="001A2A8A"/>
    <w:rsid w:val="001A2BFC"/>
    <w:rsid w:val="001A31D5"/>
    <w:rsid w:val="001B0F59"/>
    <w:rsid w:val="001B361F"/>
    <w:rsid w:val="001B36E9"/>
    <w:rsid w:val="001B5824"/>
    <w:rsid w:val="001C3465"/>
    <w:rsid w:val="001C6037"/>
    <w:rsid w:val="001C6AE7"/>
    <w:rsid w:val="001D127D"/>
    <w:rsid w:val="001D3AA2"/>
    <w:rsid w:val="001D776B"/>
    <w:rsid w:val="001E1D71"/>
    <w:rsid w:val="001E44AC"/>
    <w:rsid w:val="001E575A"/>
    <w:rsid w:val="001F051B"/>
    <w:rsid w:val="001F1A3D"/>
    <w:rsid w:val="001F1FC9"/>
    <w:rsid w:val="001F4B79"/>
    <w:rsid w:val="001F6E83"/>
    <w:rsid w:val="001F7700"/>
    <w:rsid w:val="00200A1D"/>
    <w:rsid w:val="00200E58"/>
    <w:rsid w:val="002028D2"/>
    <w:rsid w:val="00203580"/>
    <w:rsid w:val="00206D1B"/>
    <w:rsid w:val="00212F40"/>
    <w:rsid w:val="00213512"/>
    <w:rsid w:val="002140C7"/>
    <w:rsid w:val="0021433E"/>
    <w:rsid w:val="0022048E"/>
    <w:rsid w:val="00222EB8"/>
    <w:rsid w:val="00232FEF"/>
    <w:rsid w:val="00235840"/>
    <w:rsid w:val="0023638D"/>
    <w:rsid w:val="00236CA5"/>
    <w:rsid w:val="0024012B"/>
    <w:rsid w:val="00243537"/>
    <w:rsid w:val="00247E84"/>
    <w:rsid w:val="00252171"/>
    <w:rsid w:val="00252858"/>
    <w:rsid w:val="00252E0B"/>
    <w:rsid w:val="00253E95"/>
    <w:rsid w:val="00254F1F"/>
    <w:rsid w:val="002551A9"/>
    <w:rsid w:val="00255359"/>
    <w:rsid w:val="00256570"/>
    <w:rsid w:val="00257774"/>
    <w:rsid w:val="0026105E"/>
    <w:rsid w:val="00265C3B"/>
    <w:rsid w:val="00266F77"/>
    <w:rsid w:val="00271627"/>
    <w:rsid w:val="00275A8D"/>
    <w:rsid w:val="0027692D"/>
    <w:rsid w:val="00281AD5"/>
    <w:rsid w:val="00284B07"/>
    <w:rsid w:val="00293117"/>
    <w:rsid w:val="00293A95"/>
    <w:rsid w:val="00294C2A"/>
    <w:rsid w:val="002A26EE"/>
    <w:rsid w:val="002A26F2"/>
    <w:rsid w:val="002A2DB2"/>
    <w:rsid w:val="002A336A"/>
    <w:rsid w:val="002A77EF"/>
    <w:rsid w:val="002B0EE0"/>
    <w:rsid w:val="002B29FC"/>
    <w:rsid w:val="002B62CF"/>
    <w:rsid w:val="002B7E73"/>
    <w:rsid w:val="002C03A0"/>
    <w:rsid w:val="002C189F"/>
    <w:rsid w:val="002C272C"/>
    <w:rsid w:val="002C2E51"/>
    <w:rsid w:val="002C43EB"/>
    <w:rsid w:val="002C733D"/>
    <w:rsid w:val="002C7B9D"/>
    <w:rsid w:val="002D0899"/>
    <w:rsid w:val="002D40A0"/>
    <w:rsid w:val="002D6DE9"/>
    <w:rsid w:val="002E0BF8"/>
    <w:rsid w:val="002E300F"/>
    <w:rsid w:val="002E6FEE"/>
    <w:rsid w:val="002F09F4"/>
    <w:rsid w:val="002F1B2F"/>
    <w:rsid w:val="002F2771"/>
    <w:rsid w:val="00301076"/>
    <w:rsid w:val="00301162"/>
    <w:rsid w:val="00306C5C"/>
    <w:rsid w:val="0031013A"/>
    <w:rsid w:val="00311C3F"/>
    <w:rsid w:val="00315B4C"/>
    <w:rsid w:val="00316DA8"/>
    <w:rsid w:val="0032373D"/>
    <w:rsid w:val="003237A6"/>
    <w:rsid w:val="00326C2F"/>
    <w:rsid w:val="0032798A"/>
    <w:rsid w:val="00333D44"/>
    <w:rsid w:val="00335D24"/>
    <w:rsid w:val="00336163"/>
    <w:rsid w:val="00336989"/>
    <w:rsid w:val="0034196F"/>
    <w:rsid w:val="003447F0"/>
    <w:rsid w:val="00345078"/>
    <w:rsid w:val="00345FF4"/>
    <w:rsid w:val="003461DB"/>
    <w:rsid w:val="0034636C"/>
    <w:rsid w:val="00346A88"/>
    <w:rsid w:val="00354785"/>
    <w:rsid w:val="0035760C"/>
    <w:rsid w:val="00357F37"/>
    <w:rsid w:val="00360574"/>
    <w:rsid w:val="003608CE"/>
    <w:rsid w:val="00365611"/>
    <w:rsid w:val="003679B9"/>
    <w:rsid w:val="00370605"/>
    <w:rsid w:val="003716F6"/>
    <w:rsid w:val="00372988"/>
    <w:rsid w:val="003732E9"/>
    <w:rsid w:val="00373CF6"/>
    <w:rsid w:val="00374204"/>
    <w:rsid w:val="00374BB0"/>
    <w:rsid w:val="00374BF9"/>
    <w:rsid w:val="00375F23"/>
    <w:rsid w:val="00376C27"/>
    <w:rsid w:val="00380795"/>
    <w:rsid w:val="00385A07"/>
    <w:rsid w:val="00386C66"/>
    <w:rsid w:val="003917AE"/>
    <w:rsid w:val="00393593"/>
    <w:rsid w:val="00394F07"/>
    <w:rsid w:val="00396F63"/>
    <w:rsid w:val="00397F93"/>
    <w:rsid w:val="003A1051"/>
    <w:rsid w:val="003A3426"/>
    <w:rsid w:val="003A4211"/>
    <w:rsid w:val="003A5B4E"/>
    <w:rsid w:val="003A7587"/>
    <w:rsid w:val="003B4869"/>
    <w:rsid w:val="003B5736"/>
    <w:rsid w:val="003B5F69"/>
    <w:rsid w:val="003C42EA"/>
    <w:rsid w:val="003C4950"/>
    <w:rsid w:val="003C4E16"/>
    <w:rsid w:val="003C5B36"/>
    <w:rsid w:val="003C73B5"/>
    <w:rsid w:val="003D0EC6"/>
    <w:rsid w:val="003D2068"/>
    <w:rsid w:val="003D2372"/>
    <w:rsid w:val="003D4BEC"/>
    <w:rsid w:val="003D52A8"/>
    <w:rsid w:val="003D746F"/>
    <w:rsid w:val="003E2D6E"/>
    <w:rsid w:val="003E7074"/>
    <w:rsid w:val="003F060C"/>
    <w:rsid w:val="003F07A5"/>
    <w:rsid w:val="003F0D64"/>
    <w:rsid w:val="003F2785"/>
    <w:rsid w:val="004006BA"/>
    <w:rsid w:val="00401D05"/>
    <w:rsid w:val="0040347C"/>
    <w:rsid w:val="00405871"/>
    <w:rsid w:val="004059BD"/>
    <w:rsid w:val="00405BE8"/>
    <w:rsid w:val="00406D46"/>
    <w:rsid w:val="00415D9F"/>
    <w:rsid w:val="004160D5"/>
    <w:rsid w:val="00421FBF"/>
    <w:rsid w:val="00423F3D"/>
    <w:rsid w:val="00425904"/>
    <w:rsid w:val="00427CAA"/>
    <w:rsid w:val="00430FA0"/>
    <w:rsid w:val="004312C6"/>
    <w:rsid w:val="00433E72"/>
    <w:rsid w:val="00435FB3"/>
    <w:rsid w:val="004368EB"/>
    <w:rsid w:val="00437C13"/>
    <w:rsid w:val="00437EB5"/>
    <w:rsid w:val="00443993"/>
    <w:rsid w:val="00447326"/>
    <w:rsid w:val="00447977"/>
    <w:rsid w:val="00447D8E"/>
    <w:rsid w:val="00447DA7"/>
    <w:rsid w:val="004506CF"/>
    <w:rsid w:val="004529A4"/>
    <w:rsid w:val="0045503A"/>
    <w:rsid w:val="00457105"/>
    <w:rsid w:val="00461C1A"/>
    <w:rsid w:val="0046351C"/>
    <w:rsid w:val="00465E58"/>
    <w:rsid w:val="004675E2"/>
    <w:rsid w:val="004712CA"/>
    <w:rsid w:val="00473783"/>
    <w:rsid w:val="00475339"/>
    <w:rsid w:val="00477965"/>
    <w:rsid w:val="00483C36"/>
    <w:rsid w:val="00485CD3"/>
    <w:rsid w:val="004867C8"/>
    <w:rsid w:val="00487D56"/>
    <w:rsid w:val="00490305"/>
    <w:rsid w:val="00491EFF"/>
    <w:rsid w:val="00494236"/>
    <w:rsid w:val="004950F1"/>
    <w:rsid w:val="00497C37"/>
    <w:rsid w:val="004A0153"/>
    <w:rsid w:val="004A7623"/>
    <w:rsid w:val="004A7C90"/>
    <w:rsid w:val="004B1EF3"/>
    <w:rsid w:val="004B4D82"/>
    <w:rsid w:val="004B5718"/>
    <w:rsid w:val="004B74D9"/>
    <w:rsid w:val="004C0953"/>
    <w:rsid w:val="004C1A6E"/>
    <w:rsid w:val="004C4D7A"/>
    <w:rsid w:val="004C5CA3"/>
    <w:rsid w:val="004C6A64"/>
    <w:rsid w:val="004D07BD"/>
    <w:rsid w:val="004D6B26"/>
    <w:rsid w:val="004D6D27"/>
    <w:rsid w:val="004E0D5D"/>
    <w:rsid w:val="004F1134"/>
    <w:rsid w:val="004F1CBF"/>
    <w:rsid w:val="004F2688"/>
    <w:rsid w:val="004F7CA6"/>
    <w:rsid w:val="00500AB9"/>
    <w:rsid w:val="005035E9"/>
    <w:rsid w:val="00503B83"/>
    <w:rsid w:val="00503D3A"/>
    <w:rsid w:val="005040C4"/>
    <w:rsid w:val="00507034"/>
    <w:rsid w:val="00526D71"/>
    <w:rsid w:val="00532824"/>
    <w:rsid w:val="00533B85"/>
    <w:rsid w:val="00533C80"/>
    <w:rsid w:val="00537537"/>
    <w:rsid w:val="00540B24"/>
    <w:rsid w:val="0054423A"/>
    <w:rsid w:val="00544D54"/>
    <w:rsid w:val="00545223"/>
    <w:rsid w:val="00545360"/>
    <w:rsid w:val="005459A8"/>
    <w:rsid w:val="0055033B"/>
    <w:rsid w:val="00551C1A"/>
    <w:rsid w:val="005530C4"/>
    <w:rsid w:val="00563386"/>
    <w:rsid w:val="0056779A"/>
    <w:rsid w:val="00572F91"/>
    <w:rsid w:val="00573DB5"/>
    <w:rsid w:val="0057444B"/>
    <w:rsid w:val="00576FBA"/>
    <w:rsid w:val="00582B0E"/>
    <w:rsid w:val="00583A77"/>
    <w:rsid w:val="00584336"/>
    <w:rsid w:val="005928DD"/>
    <w:rsid w:val="00594D7D"/>
    <w:rsid w:val="005A14EB"/>
    <w:rsid w:val="005A3068"/>
    <w:rsid w:val="005A5EB3"/>
    <w:rsid w:val="005A7D18"/>
    <w:rsid w:val="005B0B18"/>
    <w:rsid w:val="005B2875"/>
    <w:rsid w:val="005B28D0"/>
    <w:rsid w:val="005B2BE4"/>
    <w:rsid w:val="005B409F"/>
    <w:rsid w:val="005B5646"/>
    <w:rsid w:val="005C1B13"/>
    <w:rsid w:val="005C61A0"/>
    <w:rsid w:val="005C68E6"/>
    <w:rsid w:val="005C7F07"/>
    <w:rsid w:val="005D72F7"/>
    <w:rsid w:val="005E0477"/>
    <w:rsid w:val="005E37A7"/>
    <w:rsid w:val="005E4784"/>
    <w:rsid w:val="005E7064"/>
    <w:rsid w:val="005F0444"/>
    <w:rsid w:val="005F2728"/>
    <w:rsid w:val="005F2D0B"/>
    <w:rsid w:val="005F2D68"/>
    <w:rsid w:val="005F32B1"/>
    <w:rsid w:val="005F5873"/>
    <w:rsid w:val="005F5CCF"/>
    <w:rsid w:val="005F60EC"/>
    <w:rsid w:val="005F6391"/>
    <w:rsid w:val="00600B24"/>
    <w:rsid w:val="00601FA9"/>
    <w:rsid w:val="00603BB4"/>
    <w:rsid w:val="00604679"/>
    <w:rsid w:val="00614455"/>
    <w:rsid w:val="00614976"/>
    <w:rsid w:val="00617E05"/>
    <w:rsid w:val="006217EA"/>
    <w:rsid w:val="00625159"/>
    <w:rsid w:val="00625DFB"/>
    <w:rsid w:val="0063065F"/>
    <w:rsid w:val="006323DB"/>
    <w:rsid w:val="0063659C"/>
    <w:rsid w:val="00641DE4"/>
    <w:rsid w:val="0064669C"/>
    <w:rsid w:val="00647605"/>
    <w:rsid w:val="00647EAE"/>
    <w:rsid w:val="0065601F"/>
    <w:rsid w:val="006567F2"/>
    <w:rsid w:val="00657FC0"/>
    <w:rsid w:val="006673BE"/>
    <w:rsid w:val="006753C9"/>
    <w:rsid w:val="006804DD"/>
    <w:rsid w:val="00680E76"/>
    <w:rsid w:val="006835A8"/>
    <w:rsid w:val="00683B59"/>
    <w:rsid w:val="00684B45"/>
    <w:rsid w:val="00690DC5"/>
    <w:rsid w:val="0069181A"/>
    <w:rsid w:val="00693FF4"/>
    <w:rsid w:val="00695B2A"/>
    <w:rsid w:val="006A021D"/>
    <w:rsid w:val="006A074F"/>
    <w:rsid w:val="006A115F"/>
    <w:rsid w:val="006A1F83"/>
    <w:rsid w:val="006A2DBE"/>
    <w:rsid w:val="006B6565"/>
    <w:rsid w:val="006C561E"/>
    <w:rsid w:val="006C7FC7"/>
    <w:rsid w:val="006D0654"/>
    <w:rsid w:val="006D07C1"/>
    <w:rsid w:val="006D4B5A"/>
    <w:rsid w:val="006D6266"/>
    <w:rsid w:val="006E0FB5"/>
    <w:rsid w:val="006E347E"/>
    <w:rsid w:val="006E3AE5"/>
    <w:rsid w:val="006E71AA"/>
    <w:rsid w:val="006F0545"/>
    <w:rsid w:val="006F1A6E"/>
    <w:rsid w:val="006F2BC2"/>
    <w:rsid w:val="00705A04"/>
    <w:rsid w:val="00705CAD"/>
    <w:rsid w:val="00711C46"/>
    <w:rsid w:val="00714FF3"/>
    <w:rsid w:val="007223CD"/>
    <w:rsid w:val="007223F1"/>
    <w:rsid w:val="00722995"/>
    <w:rsid w:val="00724A9A"/>
    <w:rsid w:val="00736201"/>
    <w:rsid w:val="0074075F"/>
    <w:rsid w:val="007410E2"/>
    <w:rsid w:val="00745270"/>
    <w:rsid w:val="00750E0C"/>
    <w:rsid w:val="0075137F"/>
    <w:rsid w:val="0075228F"/>
    <w:rsid w:val="007543A7"/>
    <w:rsid w:val="00757146"/>
    <w:rsid w:val="0075794B"/>
    <w:rsid w:val="00757E60"/>
    <w:rsid w:val="007646C6"/>
    <w:rsid w:val="007709B2"/>
    <w:rsid w:val="00771578"/>
    <w:rsid w:val="00774631"/>
    <w:rsid w:val="007755D8"/>
    <w:rsid w:val="007759E2"/>
    <w:rsid w:val="00775BDD"/>
    <w:rsid w:val="00781FC2"/>
    <w:rsid w:val="00786E64"/>
    <w:rsid w:val="00787870"/>
    <w:rsid w:val="0079136A"/>
    <w:rsid w:val="00791645"/>
    <w:rsid w:val="00791E57"/>
    <w:rsid w:val="00792A6E"/>
    <w:rsid w:val="00795180"/>
    <w:rsid w:val="00795337"/>
    <w:rsid w:val="007977EA"/>
    <w:rsid w:val="007A2C15"/>
    <w:rsid w:val="007A2C70"/>
    <w:rsid w:val="007A3BB5"/>
    <w:rsid w:val="007A70B8"/>
    <w:rsid w:val="007B0D08"/>
    <w:rsid w:val="007B0F99"/>
    <w:rsid w:val="007B6EDE"/>
    <w:rsid w:val="007C0C80"/>
    <w:rsid w:val="007C276A"/>
    <w:rsid w:val="007C466B"/>
    <w:rsid w:val="007C677F"/>
    <w:rsid w:val="007C6873"/>
    <w:rsid w:val="007C70E0"/>
    <w:rsid w:val="007D1D29"/>
    <w:rsid w:val="007D4DA8"/>
    <w:rsid w:val="007E485D"/>
    <w:rsid w:val="007E4D58"/>
    <w:rsid w:val="007E5842"/>
    <w:rsid w:val="007F135D"/>
    <w:rsid w:val="007F5F6D"/>
    <w:rsid w:val="00800C49"/>
    <w:rsid w:val="00801DAE"/>
    <w:rsid w:val="00805443"/>
    <w:rsid w:val="00810D9A"/>
    <w:rsid w:val="00814F8B"/>
    <w:rsid w:val="008151CD"/>
    <w:rsid w:val="0081666E"/>
    <w:rsid w:val="008221AE"/>
    <w:rsid w:val="00822213"/>
    <w:rsid w:val="0082246E"/>
    <w:rsid w:val="0082266B"/>
    <w:rsid w:val="0082354B"/>
    <w:rsid w:val="00825A70"/>
    <w:rsid w:val="00827E9C"/>
    <w:rsid w:val="00832964"/>
    <w:rsid w:val="00833DEA"/>
    <w:rsid w:val="00835948"/>
    <w:rsid w:val="008362CA"/>
    <w:rsid w:val="00843457"/>
    <w:rsid w:val="00846388"/>
    <w:rsid w:val="00854F12"/>
    <w:rsid w:val="00867B1D"/>
    <w:rsid w:val="0087495C"/>
    <w:rsid w:val="0088101D"/>
    <w:rsid w:val="00882E34"/>
    <w:rsid w:val="00885185"/>
    <w:rsid w:val="0088706F"/>
    <w:rsid w:val="00890694"/>
    <w:rsid w:val="00891FF5"/>
    <w:rsid w:val="008A4E6C"/>
    <w:rsid w:val="008B0743"/>
    <w:rsid w:val="008B0AC4"/>
    <w:rsid w:val="008B167D"/>
    <w:rsid w:val="008B37DE"/>
    <w:rsid w:val="008C2AAB"/>
    <w:rsid w:val="008C404B"/>
    <w:rsid w:val="008C51A0"/>
    <w:rsid w:val="008C5553"/>
    <w:rsid w:val="008C7C12"/>
    <w:rsid w:val="008C7CE0"/>
    <w:rsid w:val="008D4656"/>
    <w:rsid w:val="008D6B4A"/>
    <w:rsid w:val="008E5F41"/>
    <w:rsid w:val="008F26AA"/>
    <w:rsid w:val="008F61B8"/>
    <w:rsid w:val="008F6575"/>
    <w:rsid w:val="008F75D8"/>
    <w:rsid w:val="008F7C2C"/>
    <w:rsid w:val="00901A29"/>
    <w:rsid w:val="00901BD6"/>
    <w:rsid w:val="009050DC"/>
    <w:rsid w:val="00911683"/>
    <w:rsid w:val="009135C2"/>
    <w:rsid w:val="009165A3"/>
    <w:rsid w:val="00917526"/>
    <w:rsid w:val="009176D5"/>
    <w:rsid w:val="0092299D"/>
    <w:rsid w:val="00922B1B"/>
    <w:rsid w:val="00934D04"/>
    <w:rsid w:val="0093579F"/>
    <w:rsid w:val="009359CB"/>
    <w:rsid w:val="00936583"/>
    <w:rsid w:val="00937943"/>
    <w:rsid w:val="009403C1"/>
    <w:rsid w:val="00951EC5"/>
    <w:rsid w:val="00954473"/>
    <w:rsid w:val="00954699"/>
    <w:rsid w:val="00955D2A"/>
    <w:rsid w:val="00956EFA"/>
    <w:rsid w:val="009613BD"/>
    <w:rsid w:val="00962FB8"/>
    <w:rsid w:val="009634D8"/>
    <w:rsid w:val="009733EE"/>
    <w:rsid w:val="00975DED"/>
    <w:rsid w:val="0097657A"/>
    <w:rsid w:val="00981788"/>
    <w:rsid w:val="009855D3"/>
    <w:rsid w:val="009934D0"/>
    <w:rsid w:val="00995DF1"/>
    <w:rsid w:val="00996EB3"/>
    <w:rsid w:val="009A5ABD"/>
    <w:rsid w:val="009B6459"/>
    <w:rsid w:val="009B694E"/>
    <w:rsid w:val="009B6F44"/>
    <w:rsid w:val="009C104B"/>
    <w:rsid w:val="009C10E1"/>
    <w:rsid w:val="009C3860"/>
    <w:rsid w:val="009C47F9"/>
    <w:rsid w:val="009C5B7B"/>
    <w:rsid w:val="009C685A"/>
    <w:rsid w:val="009D25BA"/>
    <w:rsid w:val="009D3E36"/>
    <w:rsid w:val="009D4A87"/>
    <w:rsid w:val="009D4DEE"/>
    <w:rsid w:val="009D4E40"/>
    <w:rsid w:val="009D5883"/>
    <w:rsid w:val="009E4B3E"/>
    <w:rsid w:val="009E5868"/>
    <w:rsid w:val="009E6DD7"/>
    <w:rsid w:val="009E7E7A"/>
    <w:rsid w:val="009F1121"/>
    <w:rsid w:val="009F4092"/>
    <w:rsid w:val="00A0261E"/>
    <w:rsid w:val="00A029B9"/>
    <w:rsid w:val="00A03C9F"/>
    <w:rsid w:val="00A05CE6"/>
    <w:rsid w:val="00A17D66"/>
    <w:rsid w:val="00A21BD4"/>
    <w:rsid w:val="00A21FF5"/>
    <w:rsid w:val="00A24BDC"/>
    <w:rsid w:val="00A279A0"/>
    <w:rsid w:val="00A30DFC"/>
    <w:rsid w:val="00A31D5E"/>
    <w:rsid w:val="00A32B23"/>
    <w:rsid w:val="00A32F7C"/>
    <w:rsid w:val="00A3351D"/>
    <w:rsid w:val="00A33B96"/>
    <w:rsid w:val="00A34DA1"/>
    <w:rsid w:val="00A42A55"/>
    <w:rsid w:val="00A44A96"/>
    <w:rsid w:val="00A51D55"/>
    <w:rsid w:val="00A53B25"/>
    <w:rsid w:val="00A54B23"/>
    <w:rsid w:val="00A55D3E"/>
    <w:rsid w:val="00A56932"/>
    <w:rsid w:val="00A57EDC"/>
    <w:rsid w:val="00A63454"/>
    <w:rsid w:val="00A644B8"/>
    <w:rsid w:val="00A651C5"/>
    <w:rsid w:val="00A66D21"/>
    <w:rsid w:val="00A6729D"/>
    <w:rsid w:val="00A72E8B"/>
    <w:rsid w:val="00A74D64"/>
    <w:rsid w:val="00A75448"/>
    <w:rsid w:val="00A761AF"/>
    <w:rsid w:val="00A77573"/>
    <w:rsid w:val="00A77959"/>
    <w:rsid w:val="00A84842"/>
    <w:rsid w:val="00A864DD"/>
    <w:rsid w:val="00A86BF2"/>
    <w:rsid w:val="00A91583"/>
    <w:rsid w:val="00A935ED"/>
    <w:rsid w:val="00A957A5"/>
    <w:rsid w:val="00AA3188"/>
    <w:rsid w:val="00AA3CB0"/>
    <w:rsid w:val="00AA58A3"/>
    <w:rsid w:val="00AB0383"/>
    <w:rsid w:val="00AB0887"/>
    <w:rsid w:val="00AB53DA"/>
    <w:rsid w:val="00AB6DD6"/>
    <w:rsid w:val="00AC17CF"/>
    <w:rsid w:val="00AC206A"/>
    <w:rsid w:val="00AC6691"/>
    <w:rsid w:val="00AC6BDB"/>
    <w:rsid w:val="00AD2310"/>
    <w:rsid w:val="00AD3095"/>
    <w:rsid w:val="00AD5BA0"/>
    <w:rsid w:val="00AD5F74"/>
    <w:rsid w:val="00AE4CBA"/>
    <w:rsid w:val="00AE6CF4"/>
    <w:rsid w:val="00AE7B01"/>
    <w:rsid w:val="00AF0A28"/>
    <w:rsid w:val="00AF3D10"/>
    <w:rsid w:val="00AF45DD"/>
    <w:rsid w:val="00AF59E6"/>
    <w:rsid w:val="00AF5D1A"/>
    <w:rsid w:val="00AF6FF3"/>
    <w:rsid w:val="00B02113"/>
    <w:rsid w:val="00B02E0B"/>
    <w:rsid w:val="00B0464F"/>
    <w:rsid w:val="00B0613F"/>
    <w:rsid w:val="00B1082B"/>
    <w:rsid w:val="00B11407"/>
    <w:rsid w:val="00B154D1"/>
    <w:rsid w:val="00B15EA7"/>
    <w:rsid w:val="00B23E93"/>
    <w:rsid w:val="00B26ADF"/>
    <w:rsid w:val="00B26F5C"/>
    <w:rsid w:val="00B27470"/>
    <w:rsid w:val="00B31868"/>
    <w:rsid w:val="00B31F82"/>
    <w:rsid w:val="00B33BEB"/>
    <w:rsid w:val="00B33D0E"/>
    <w:rsid w:val="00B34D2D"/>
    <w:rsid w:val="00B3606D"/>
    <w:rsid w:val="00B37E53"/>
    <w:rsid w:val="00B40879"/>
    <w:rsid w:val="00B44847"/>
    <w:rsid w:val="00B463CB"/>
    <w:rsid w:val="00B47B7F"/>
    <w:rsid w:val="00B543A1"/>
    <w:rsid w:val="00B54BE2"/>
    <w:rsid w:val="00B54E26"/>
    <w:rsid w:val="00B6558B"/>
    <w:rsid w:val="00B65637"/>
    <w:rsid w:val="00B66921"/>
    <w:rsid w:val="00B6724E"/>
    <w:rsid w:val="00B70BBC"/>
    <w:rsid w:val="00B8645F"/>
    <w:rsid w:val="00B87E29"/>
    <w:rsid w:val="00B9032B"/>
    <w:rsid w:val="00B92BD8"/>
    <w:rsid w:val="00B96605"/>
    <w:rsid w:val="00B96D21"/>
    <w:rsid w:val="00B96EDB"/>
    <w:rsid w:val="00BA4D8F"/>
    <w:rsid w:val="00BA5775"/>
    <w:rsid w:val="00BB0658"/>
    <w:rsid w:val="00BB6142"/>
    <w:rsid w:val="00BB7354"/>
    <w:rsid w:val="00BB7B06"/>
    <w:rsid w:val="00BC45F8"/>
    <w:rsid w:val="00BC5904"/>
    <w:rsid w:val="00BD273A"/>
    <w:rsid w:val="00BD344E"/>
    <w:rsid w:val="00BD53D8"/>
    <w:rsid w:val="00BE0E42"/>
    <w:rsid w:val="00BE1B08"/>
    <w:rsid w:val="00BE22AE"/>
    <w:rsid w:val="00BE615F"/>
    <w:rsid w:val="00BF3E00"/>
    <w:rsid w:val="00BF3E57"/>
    <w:rsid w:val="00BF552C"/>
    <w:rsid w:val="00BF634C"/>
    <w:rsid w:val="00C04A1D"/>
    <w:rsid w:val="00C07246"/>
    <w:rsid w:val="00C072AB"/>
    <w:rsid w:val="00C11B8B"/>
    <w:rsid w:val="00C13262"/>
    <w:rsid w:val="00C152DD"/>
    <w:rsid w:val="00C1727B"/>
    <w:rsid w:val="00C206D8"/>
    <w:rsid w:val="00C21655"/>
    <w:rsid w:val="00C22914"/>
    <w:rsid w:val="00C241FC"/>
    <w:rsid w:val="00C30EAA"/>
    <w:rsid w:val="00C32A82"/>
    <w:rsid w:val="00C35901"/>
    <w:rsid w:val="00C35D36"/>
    <w:rsid w:val="00C40185"/>
    <w:rsid w:val="00C54247"/>
    <w:rsid w:val="00C548C4"/>
    <w:rsid w:val="00C55663"/>
    <w:rsid w:val="00C60616"/>
    <w:rsid w:val="00C622EB"/>
    <w:rsid w:val="00C622FF"/>
    <w:rsid w:val="00C626FF"/>
    <w:rsid w:val="00C629A1"/>
    <w:rsid w:val="00C65C98"/>
    <w:rsid w:val="00C731F4"/>
    <w:rsid w:val="00C77405"/>
    <w:rsid w:val="00C776F4"/>
    <w:rsid w:val="00C81A85"/>
    <w:rsid w:val="00C82717"/>
    <w:rsid w:val="00C83842"/>
    <w:rsid w:val="00C83CF8"/>
    <w:rsid w:val="00C86B18"/>
    <w:rsid w:val="00C87B18"/>
    <w:rsid w:val="00C94443"/>
    <w:rsid w:val="00C9792F"/>
    <w:rsid w:val="00CA2E3C"/>
    <w:rsid w:val="00CA494D"/>
    <w:rsid w:val="00CA4E5E"/>
    <w:rsid w:val="00CA520E"/>
    <w:rsid w:val="00CA590E"/>
    <w:rsid w:val="00CB056B"/>
    <w:rsid w:val="00CB2D84"/>
    <w:rsid w:val="00CB4829"/>
    <w:rsid w:val="00CC0E30"/>
    <w:rsid w:val="00CC1B59"/>
    <w:rsid w:val="00CC427A"/>
    <w:rsid w:val="00CD3759"/>
    <w:rsid w:val="00CD453D"/>
    <w:rsid w:val="00CD6124"/>
    <w:rsid w:val="00CE0C43"/>
    <w:rsid w:val="00CE16BC"/>
    <w:rsid w:val="00CE3659"/>
    <w:rsid w:val="00CE6EE4"/>
    <w:rsid w:val="00CF52E9"/>
    <w:rsid w:val="00CF54C4"/>
    <w:rsid w:val="00CF5FA6"/>
    <w:rsid w:val="00CF7199"/>
    <w:rsid w:val="00D0248A"/>
    <w:rsid w:val="00D04603"/>
    <w:rsid w:val="00D063F2"/>
    <w:rsid w:val="00D066E0"/>
    <w:rsid w:val="00D0670F"/>
    <w:rsid w:val="00D0701B"/>
    <w:rsid w:val="00D0743D"/>
    <w:rsid w:val="00D11A76"/>
    <w:rsid w:val="00D12698"/>
    <w:rsid w:val="00D13381"/>
    <w:rsid w:val="00D20929"/>
    <w:rsid w:val="00D22DA9"/>
    <w:rsid w:val="00D26B92"/>
    <w:rsid w:val="00D27284"/>
    <w:rsid w:val="00D3000E"/>
    <w:rsid w:val="00D30FD7"/>
    <w:rsid w:val="00D31053"/>
    <w:rsid w:val="00D3256E"/>
    <w:rsid w:val="00D32648"/>
    <w:rsid w:val="00D3298E"/>
    <w:rsid w:val="00D34233"/>
    <w:rsid w:val="00D347C0"/>
    <w:rsid w:val="00D34859"/>
    <w:rsid w:val="00D3566F"/>
    <w:rsid w:val="00D35CA7"/>
    <w:rsid w:val="00D37770"/>
    <w:rsid w:val="00D404D6"/>
    <w:rsid w:val="00D4606F"/>
    <w:rsid w:val="00D523E1"/>
    <w:rsid w:val="00D52678"/>
    <w:rsid w:val="00D54D9B"/>
    <w:rsid w:val="00D552EC"/>
    <w:rsid w:val="00D56A10"/>
    <w:rsid w:val="00D60B62"/>
    <w:rsid w:val="00D60E49"/>
    <w:rsid w:val="00D76588"/>
    <w:rsid w:val="00D80A2D"/>
    <w:rsid w:val="00D8414F"/>
    <w:rsid w:val="00D846A2"/>
    <w:rsid w:val="00D85E8C"/>
    <w:rsid w:val="00D878A5"/>
    <w:rsid w:val="00D9087B"/>
    <w:rsid w:val="00D924FC"/>
    <w:rsid w:val="00D92DA2"/>
    <w:rsid w:val="00DA1EC8"/>
    <w:rsid w:val="00DA2727"/>
    <w:rsid w:val="00DA4F19"/>
    <w:rsid w:val="00DA5FBC"/>
    <w:rsid w:val="00DA639D"/>
    <w:rsid w:val="00DB0E78"/>
    <w:rsid w:val="00DB1B92"/>
    <w:rsid w:val="00DB465C"/>
    <w:rsid w:val="00DB4A3C"/>
    <w:rsid w:val="00DB599A"/>
    <w:rsid w:val="00DC06B7"/>
    <w:rsid w:val="00DC0938"/>
    <w:rsid w:val="00DC3D3F"/>
    <w:rsid w:val="00DC66E1"/>
    <w:rsid w:val="00DD1996"/>
    <w:rsid w:val="00DD3CF4"/>
    <w:rsid w:val="00DE5280"/>
    <w:rsid w:val="00DE5554"/>
    <w:rsid w:val="00DF10D8"/>
    <w:rsid w:val="00DF2337"/>
    <w:rsid w:val="00DF36AC"/>
    <w:rsid w:val="00DF6CD0"/>
    <w:rsid w:val="00DF7AC8"/>
    <w:rsid w:val="00E02B61"/>
    <w:rsid w:val="00E050C3"/>
    <w:rsid w:val="00E05D14"/>
    <w:rsid w:val="00E06859"/>
    <w:rsid w:val="00E06F7C"/>
    <w:rsid w:val="00E0728D"/>
    <w:rsid w:val="00E1185D"/>
    <w:rsid w:val="00E136FE"/>
    <w:rsid w:val="00E13C5E"/>
    <w:rsid w:val="00E24D5A"/>
    <w:rsid w:val="00E31ECB"/>
    <w:rsid w:val="00E367F4"/>
    <w:rsid w:val="00E42414"/>
    <w:rsid w:val="00E427D2"/>
    <w:rsid w:val="00E4317F"/>
    <w:rsid w:val="00E44F95"/>
    <w:rsid w:val="00E45DFD"/>
    <w:rsid w:val="00E51248"/>
    <w:rsid w:val="00E535F1"/>
    <w:rsid w:val="00E53BE5"/>
    <w:rsid w:val="00E53F92"/>
    <w:rsid w:val="00E55D05"/>
    <w:rsid w:val="00E55D60"/>
    <w:rsid w:val="00E60540"/>
    <w:rsid w:val="00E61356"/>
    <w:rsid w:val="00E66D9A"/>
    <w:rsid w:val="00E70F47"/>
    <w:rsid w:val="00E71912"/>
    <w:rsid w:val="00E72536"/>
    <w:rsid w:val="00E739AC"/>
    <w:rsid w:val="00E75ABF"/>
    <w:rsid w:val="00E76348"/>
    <w:rsid w:val="00E76DC1"/>
    <w:rsid w:val="00E82D5D"/>
    <w:rsid w:val="00E835A8"/>
    <w:rsid w:val="00E83629"/>
    <w:rsid w:val="00E83D79"/>
    <w:rsid w:val="00E83F4B"/>
    <w:rsid w:val="00E903AF"/>
    <w:rsid w:val="00E96BFA"/>
    <w:rsid w:val="00EA0B37"/>
    <w:rsid w:val="00EA141B"/>
    <w:rsid w:val="00EA3CBF"/>
    <w:rsid w:val="00EA7B13"/>
    <w:rsid w:val="00EB1897"/>
    <w:rsid w:val="00EB2E45"/>
    <w:rsid w:val="00EB5A1C"/>
    <w:rsid w:val="00EB6E3B"/>
    <w:rsid w:val="00EB75C4"/>
    <w:rsid w:val="00EC595D"/>
    <w:rsid w:val="00ED061A"/>
    <w:rsid w:val="00ED3D8B"/>
    <w:rsid w:val="00ED5C9F"/>
    <w:rsid w:val="00ED7EEF"/>
    <w:rsid w:val="00EE0C65"/>
    <w:rsid w:val="00EE0EF6"/>
    <w:rsid w:val="00EE17C5"/>
    <w:rsid w:val="00EE1920"/>
    <w:rsid w:val="00EE2A1A"/>
    <w:rsid w:val="00EE310C"/>
    <w:rsid w:val="00EE473F"/>
    <w:rsid w:val="00EE4C4F"/>
    <w:rsid w:val="00EF0FDD"/>
    <w:rsid w:val="00EF50F6"/>
    <w:rsid w:val="00EF7118"/>
    <w:rsid w:val="00F00BCE"/>
    <w:rsid w:val="00F0189A"/>
    <w:rsid w:val="00F04CD0"/>
    <w:rsid w:val="00F067ED"/>
    <w:rsid w:val="00F07F22"/>
    <w:rsid w:val="00F10114"/>
    <w:rsid w:val="00F13487"/>
    <w:rsid w:val="00F22693"/>
    <w:rsid w:val="00F2388E"/>
    <w:rsid w:val="00F24724"/>
    <w:rsid w:val="00F2559F"/>
    <w:rsid w:val="00F26C4B"/>
    <w:rsid w:val="00F27AE8"/>
    <w:rsid w:val="00F3254B"/>
    <w:rsid w:val="00F34A52"/>
    <w:rsid w:val="00F35872"/>
    <w:rsid w:val="00F36F88"/>
    <w:rsid w:val="00F422D6"/>
    <w:rsid w:val="00F42AF4"/>
    <w:rsid w:val="00F47CD3"/>
    <w:rsid w:val="00F50A12"/>
    <w:rsid w:val="00F5198E"/>
    <w:rsid w:val="00F5667A"/>
    <w:rsid w:val="00F57018"/>
    <w:rsid w:val="00F57BD3"/>
    <w:rsid w:val="00F62B3C"/>
    <w:rsid w:val="00F64E8A"/>
    <w:rsid w:val="00F65D51"/>
    <w:rsid w:val="00F664FD"/>
    <w:rsid w:val="00F67114"/>
    <w:rsid w:val="00F67FB0"/>
    <w:rsid w:val="00F76E96"/>
    <w:rsid w:val="00F82FB5"/>
    <w:rsid w:val="00F83F33"/>
    <w:rsid w:val="00F87219"/>
    <w:rsid w:val="00F91AB5"/>
    <w:rsid w:val="00F944CB"/>
    <w:rsid w:val="00F95CFF"/>
    <w:rsid w:val="00F95DEE"/>
    <w:rsid w:val="00F963BD"/>
    <w:rsid w:val="00FA23AE"/>
    <w:rsid w:val="00FA689E"/>
    <w:rsid w:val="00FA6BA3"/>
    <w:rsid w:val="00FB1995"/>
    <w:rsid w:val="00FB2540"/>
    <w:rsid w:val="00FB2E7C"/>
    <w:rsid w:val="00FB59DE"/>
    <w:rsid w:val="00FB5F65"/>
    <w:rsid w:val="00FD01F2"/>
    <w:rsid w:val="00FD0E4D"/>
    <w:rsid w:val="00FD205C"/>
    <w:rsid w:val="00FD2A17"/>
    <w:rsid w:val="00FD2A46"/>
    <w:rsid w:val="00FD4030"/>
    <w:rsid w:val="00FD7ECB"/>
    <w:rsid w:val="00FE0007"/>
    <w:rsid w:val="00FE0BBE"/>
    <w:rsid w:val="00FE3EE6"/>
    <w:rsid w:val="00FF194C"/>
    <w:rsid w:val="00FF217F"/>
    <w:rsid w:val="00FF4A4E"/>
    <w:rsid w:val="00FF4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F9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FC"/>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D924F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D924F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D924F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D924FC"/>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D924FC"/>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D924FC"/>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D924FC"/>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D924FC"/>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D924FC"/>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4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4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4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24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24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24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24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24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24FC"/>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D92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4F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D924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24FC"/>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D924FC"/>
    <w:rPr>
      <w:i/>
      <w:iCs/>
      <w:color w:val="404040" w:themeColor="text1" w:themeTint="BF"/>
    </w:rPr>
  </w:style>
  <w:style w:type="paragraph" w:styleId="ListParagraph">
    <w:name w:val="List Paragraph"/>
    <w:basedOn w:val="Normal"/>
    <w:uiPriority w:val="34"/>
    <w:qFormat/>
    <w:rsid w:val="00D924FC"/>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D924FC"/>
    <w:rPr>
      <w:i/>
      <w:iCs/>
      <w:color w:val="2F5496" w:themeColor="accent1" w:themeShade="BF"/>
    </w:rPr>
  </w:style>
  <w:style w:type="paragraph" w:styleId="IntenseQuote">
    <w:name w:val="Intense Quote"/>
    <w:basedOn w:val="Normal"/>
    <w:next w:val="Normal"/>
    <w:link w:val="IntenseQuoteChar"/>
    <w:uiPriority w:val="30"/>
    <w:qFormat/>
    <w:rsid w:val="00D924F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D924FC"/>
    <w:rPr>
      <w:i/>
      <w:iCs/>
      <w:color w:val="2F5496" w:themeColor="accent1" w:themeShade="BF"/>
    </w:rPr>
  </w:style>
  <w:style w:type="character" w:styleId="IntenseReference">
    <w:name w:val="Intense Reference"/>
    <w:basedOn w:val="DefaultParagraphFont"/>
    <w:uiPriority w:val="32"/>
    <w:qFormat/>
    <w:rsid w:val="00D924FC"/>
    <w:rPr>
      <w:b/>
      <w:bCs/>
      <w:smallCaps/>
      <w:color w:val="2F5496" w:themeColor="accent1" w:themeShade="BF"/>
      <w:spacing w:val="5"/>
    </w:rPr>
  </w:style>
  <w:style w:type="paragraph" w:styleId="BodyText2">
    <w:name w:val="Body Text 2"/>
    <w:basedOn w:val="Normal"/>
    <w:link w:val="BodyText2Char"/>
    <w:semiHidden/>
    <w:unhideWhenUsed/>
    <w:rsid w:val="00D924FC"/>
    <w:pPr>
      <w:spacing w:after="120" w:line="480" w:lineRule="auto"/>
    </w:pPr>
    <w:rPr>
      <w:lang w:val="x-none"/>
    </w:rPr>
  </w:style>
  <w:style w:type="character" w:customStyle="1" w:styleId="BodyText2Char">
    <w:name w:val="Body Text 2 Char"/>
    <w:basedOn w:val="DefaultParagraphFont"/>
    <w:link w:val="BodyText2"/>
    <w:semiHidden/>
    <w:rsid w:val="00D924FC"/>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D924FC"/>
    <w:pPr>
      <w:tabs>
        <w:tab w:val="center" w:pos="4153"/>
        <w:tab w:val="right" w:pos="8306"/>
      </w:tabs>
    </w:pPr>
  </w:style>
  <w:style w:type="character" w:customStyle="1" w:styleId="FooterChar">
    <w:name w:val="Footer Char"/>
    <w:basedOn w:val="DefaultParagraphFont"/>
    <w:link w:val="Footer"/>
    <w:uiPriority w:val="99"/>
    <w:rsid w:val="00D924FC"/>
    <w:rPr>
      <w:rFonts w:eastAsia="Times New Roman" w:cs="Times New Roman"/>
      <w:kern w:val="0"/>
      <w:szCs w:val="24"/>
      <w:lang w:val="lv-LV" w:eastAsia="ru-RU"/>
      <w14:ligatures w14:val="none"/>
    </w:rPr>
  </w:style>
  <w:style w:type="table" w:styleId="TableGrid">
    <w:name w:val="Table Grid"/>
    <w:basedOn w:val="TableNormal"/>
    <w:uiPriority w:val="39"/>
    <w:rsid w:val="00D924FC"/>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4FC"/>
    <w:rPr>
      <w:color w:val="0563C1" w:themeColor="hyperlink"/>
      <w:u w:val="single"/>
    </w:rPr>
  </w:style>
  <w:style w:type="character" w:styleId="CommentReference">
    <w:name w:val="annotation reference"/>
    <w:basedOn w:val="DefaultParagraphFont"/>
    <w:uiPriority w:val="99"/>
    <w:semiHidden/>
    <w:unhideWhenUsed/>
    <w:rsid w:val="00D924FC"/>
    <w:rPr>
      <w:sz w:val="16"/>
      <w:szCs w:val="16"/>
    </w:rPr>
  </w:style>
  <w:style w:type="paragraph" w:styleId="CommentText">
    <w:name w:val="annotation text"/>
    <w:basedOn w:val="Normal"/>
    <w:link w:val="CommentTextChar"/>
    <w:uiPriority w:val="99"/>
    <w:unhideWhenUsed/>
    <w:rsid w:val="00D924FC"/>
    <w:rPr>
      <w:sz w:val="20"/>
      <w:szCs w:val="20"/>
    </w:rPr>
  </w:style>
  <w:style w:type="character" w:customStyle="1" w:styleId="CommentTextChar">
    <w:name w:val="Comment Text Char"/>
    <w:basedOn w:val="DefaultParagraphFont"/>
    <w:link w:val="CommentText"/>
    <w:uiPriority w:val="99"/>
    <w:rsid w:val="00D924FC"/>
    <w:rPr>
      <w:rFonts w:eastAsia="Times New Roman" w:cs="Times New Roman"/>
      <w:kern w:val="0"/>
      <w:sz w:val="20"/>
      <w:szCs w:val="20"/>
      <w:lang w:val="lv-LV" w:eastAsia="ru-RU"/>
      <w14:ligatures w14:val="none"/>
    </w:rPr>
  </w:style>
  <w:style w:type="character" w:customStyle="1" w:styleId="CharStyle10">
    <w:name w:val="Char Style 10"/>
    <w:basedOn w:val="DefaultParagraphFont"/>
    <w:link w:val="Style2"/>
    <w:uiPriority w:val="99"/>
    <w:rsid w:val="00D924FC"/>
    <w:rPr>
      <w:shd w:val="clear" w:color="auto" w:fill="FFFFFF"/>
    </w:rPr>
  </w:style>
  <w:style w:type="paragraph" w:customStyle="1" w:styleId="Style2">
    <w:name w:val="Style 2"/>
    <w:basedOn w:val="Normal"/>
    <w:link w:val="CharStyle10"/>
    <w:uiPriority w:val="99"/>
    <w:qFormat/>
    <w:rsid w:val="00D924FC"/>
    <w:pPr>
      <w:widowControl w:val="0"/>
      <w:shd w:val="clear" w:color="auto" w:fill="FFFFFF"/>
      <w:spacing w:before="280" w:after="280" w:line="274" w:lineRule="exact"/>
      <w:jc w:val="both"/>
    </w:pPr>
    <w:rPr>
      <w:rFonts w:eastAsiaTheme="minorHAnsi" w:cstheme="minorBidi"/>
      <w:kern w:val="2"/>
      <w:szCs w:val="22"/>
      <w:lang w:val="en-US" w:eastAsia="en-US"/>
      <w14:ligatures w14:val="standardContextual"/>
    </w:rPr>
  </w:style>
  <w:style w:type="paragraph" w:styleId="NoSpacing">
    <w:name w:val="No Spacing"/>
    <w:uiPriority w:val="1"/>
    <w:qFormat/>
    <w:rsid w:val="00D924FC"/>
    <w:pPr>
      <w:spacing w:after="0" w:line="240" w:lineRule="auto"/>
    </w:pPr>
    <w:rPr>
      <w:rFonts w:asciiTheme="minorHAnsi" w:hAnsiTheme="minorHAnsi"/>
      <w:kern w:val="0"/>
      <w:sz w:val="22"/>
      <w:lang w:val="lv-LV"/>
      <w14:ligatures w14:val="none"/>
    </w:rPr>
  </w:style>
  <w:style w:type="character" w:styleId="FollowedHyperlink">
    <w:name w:val="FollowedHyperlink"/>
    <w:basedOn w:val="DefaultParagraphFont"/>
    <w:uiPriority w:val="99"/>
    <w:semiHidden/>
    <w:unhideWhenUsed/>
    <w:rsid w:val="00DC3D3F"/>
    <w:rPr>
      <w:color w:val="954F72" w:themeColor="followedHyperlink"/>
      <w:u w:val="single"/>
    </w:rPr>
  </w:style>
  <w:style w:type="character" w:styleId="UnresolvedMention">
    <w:name w:val="Unresolved Mention"/>
    <w:basedOn w:val="DefaultParagraphFont"/>
    <w:uiPriority w:val="99"/>
    <w:semiHidden/>
    <w:unhideWhenUsed/>
    <w:rsid w:val="00EE0C6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68EB"/>
    <w:rPr>
      <w:b/>
      <w:bCs/>
    </w:rPr>
  </w:style>
  <w:style w:type="character" w:customStyle="1" w:styleId="CommentSubjectChar">
    <w:name w:val="Comment Subject Char"/>
    <w:basedOn w:val="CommentTextChar"/>
    <w:link w:val="CommentSubject"/>
    <w:uiPriority w:val="99"/>
    <w:semiHidden/>
    <w:rsid w:val="004368EB"/>
    <w:rPr>
      <w:rFonts w:eastAsia="Times New Roman" w:cs="Times New Roman"/>
      <w:b/>
      <w:bCs/>
      <w:kern w:val="0"/>
      <w:sz w:val="20"/>
      <w:szCs w:val="20"/>
      <w:lang w:val="lv-LV" w:eastAsia="ru-RU"/>
      <w14:ligatures w14:val="none"/>
    </w:rPr>
  </w:style>
  <w:style w:type="paragraph" w:styleId="Revision">
    <w:name w:val="Revision"/>
    <w:hidden/>
    <w:uiPriority w:val="99"/>
    <w:semiHidden/>
    <w:rsid w:val="00BF3E00"/>
    <w:pPr>
      <w:spacing w:after="0" w:line="240" w:lineRule="auto"/>
    </w:pPr>
    <w:rPr>
      <w:rFonts w:eastAsia="Times New Roman" w:cs="Times New Roman"/>
      <w:kern w:val="0"/>
      <w:szCs w:val="24"/>
      <w:lang w:val="lv-LV" w:eastAsia="ru-RU"/>
      <w14:ligatures w14:val="none"/>
    </w:rPr>
  </w:style>
  <w:style w:type="paragraph" w:styleId="FootnoteText">
    <w:name w:val="footnote text"/>
    <w:basedOn w:val="Normal"/>
    <w:link w:val="FootnoteTextChar"/>
    <w:uiPriority w:val="99"/>
    <w:semiHidden/>
    <w:unhideWhenUsed/>
    <w:rsid w:val="00B31F82"/>
    <w:rPr>
      <w:sz w:val="20"/>
      <w:szCs w:val="20"/>
    </w:rPr>
  </w:style>
  <w:style w:type="character" w:customStyle="1" w:styleId="FootnoteTextChar">
    <w:name w:val="Footnote Text Char"/>
    <w:basedOn w:val="DefaultParagraphFont"/>
    <w:link w:val="FootnoteText"/>
    <w:uiPriority w:val="99"/>
    <w:semiHidden/>
    <w:rsid w:val="00B31F82"/>
    <w:rPr>
      <w:rFonts w:eastAsia="Times New Roman" w:cs="Times New Roman"/>
      <w:kern w:val="0"/>
      <w:sz w:val="20"/>
      <w:szCs w:val="20"/>
      <w:lang w:val="lv-LV" w:eastAsia="ru-RU"/>
      <w14:ligatures w14:val="none"/>
    </w:rPr>
  </w:style>
  <w:style w:type="character" w:styleId="FootnoteReference">
    <w:name w:val="footnote reference"/>
    <w:basedOn w:val="DefaultParagraphFont"/>
    <w:uiPriority w:val="99"/>
    <w:semiHidden/>
    <w:unhideWhenUsed/>
    <w:rsid w:val="00B31F82"/>
    <w:rPr>
      <w:vertAlign w:val="superscript"/>
    </w:rPr>
  </w:style>
  <w:style w:type="paragraph" w:styleId="Header">
    <w:name w:val="header"/>
    <w:basedOn w:val="Normal"/>
    <w:link w:val="HeaderChar"/>
    <w:uiPriority w:val="99"/>
    <w:unhideWhenUsed/>
    <w:rsid w:val="00B47B7F"/>
    <w:pPr>
      <w:tabs>
        <w:tab w:val="center" w:pos="4513"/>
        <w:tab w:val="right" w:pos="9026"/>
      </w:tabs>
    </w:pPr>
  </w:style>
  <w:style w:type="character" w:customStyle="1" w:styleId="HeaderChar">
    <w:name w:val="Header Char"/>
    <w:basedOn w:val="DefaultParagraphFont"/>
    <w:link w:val="Header"/>
    <w:uiPriority w:val="99"/>
    <w:rsid w:val="00B47B7F"/>
    <w:rPr>
      <w:rFonts w:eastAsia="Times New Roman" w:cs="Times New Roman"/>
      <w:kern w:val="0"/>
      <w:szCs w:val="24"/>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35">
      <w:bodyDiv w:val="1"/>
      <w:marLeft w:val="0"/>
      <w:marRight w:val="0"/>
      <w:marTop w:val="0"/>
      <w:marBottom w:val="0"/>
      <w:divBdr>
        <w:top w:val="none" w:sz="0" w:space="0" w:color="auto"/>
        <w:left w:val="none" w:sz="0" w:space="0" w:color="auto"/>
        <w:bottom w:val="none" w:sz="0" w:space="0" w:color="auto"/>
        <w:right w:val="none" w:sz="0" w:space="0" w:color="auto"/>
      </w:divBdr>
      <w:divsChild>
        <w:div w:id="1933121718">
          <w:marLeft w:val="0"/>
          <w:marRight w:val="0"/>
          <w:marTop w:val="0"/>
          <w:marBottom w:val="0"/>
          <w:divBdr>
            <w:top w:val="none" w:sz="0" w:space="0" w:color="auto"/>
            <w:left w:val="none" w:sz="0" w:space="0" w:color="auto"/>
            <w:bottom w:val="none" w:sz="0" w:space="0" w:color="auto"/>
            <w:right w:val="none" w:sz="0" w:space="0" w:color="auto"/>
          </w:divBdr>
          <w:divsChild>
            <w:div w:id="117648657">
              <w:marLeft w:val="0"/>
              <w:marRight w:val="0"/>
              <w:marTop w:val="0"/>
              <w:marBottom w:val="0"/>
              <w:divBdr>
                <w:top w:val="none" w:sz="0" w:space="0" w:color="auto"/>
                <w:left w:val="none" w:sz="0" w:space="0" w:color="auto"/>
                <w:bottom w:val="none" w:sz="0" w:space="0" w:color="auto"/>
                <w:right w:val="none" w:sz="0" w:space="0" w:color="auto"/>
              </w:divBdr>
              <w:divsChild>
                <w:div w:id="575479460">
                  <w:marLeft w:val="0"/>
                  <w:marRight w:val="0"/>
                  <w:marTop w:val="0"/>
                  <w:marBottom w:val="0"/>
                  <w:divBdr>
                    <w:top w:val="none" w:sz="0" w:space="0" w:color="auto"/>
                    <w:left w:val="none" w:sz="0" w:space="0" w:color="auto"/>
                    <w:bottom w:val="none" w:sz="0" w:space="0" w:color="auto"/>
                    <w:right w:val="none" w:sz="0" w:space="0" w:color="auto"/>
                  </w:divBdr>
                  <w:divsChild>
                    <w:div w:id="1632439504">
                      <w:marLeft w:val="0"/>
                      <w:marRight w:val="0"/>
                      <w:marTop w:val="0"/>
                      <w:marBottom w:val="0"/>
                      <w:divBdr>
                        <w:top w:val="none" w:sz="0" w:space="0" w:color="auto"/>
                        <w:left w:val="none" w:sz="0" w:space="0" w:color="auto"/>
                        <w:bottom w:val="none" w:sz="0" w:space="0" w:color="auto"/>
                        <w:right w:val="none" w:sz="0" w:space="0" w:color="auto"/>
                      </w:divBdr>
                      <w:divsChild>
                        <w:div w:id="1721053817">
                          <w:marLeft w:val="0"/>
                          <w:marRight w:val="0"/>
                          <w:marTop w:val="0"/>
                          <w:marBottom w:val="0"/>
                          <w:divBdr>
                            <w:top w:val="none" w:sz="0" w:space="0" w:color="auto"/>
                            <w:left w:val="none" w:sz="0" w:space="0" w:color="auto"/>
                            <w:bottom w:val="none" w:sz="0" w:space="0" w:color="auto"/>
                            <w:right w:val="none" w:sz="0" w:space="0" w:color="auto"/>
                          </w:divBdr>
                          <w:divsChild>
                            <w:div w:id="13146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986138">
      <w:bodyDiv w:val="1"/>
      <w:marLeft w:val="0"/>
      <w:marRight w:val="0"/>
      <w:marTop w:val="0"/>
      <w:marBottom w:val="0"/>
      <w:divBdr>
        <w:top w:val="none" w:sz="0" w:space="0" w:color="auto"/>
        <w:left w:val="none" w:sz="0" w:space="0" w:color="auto"/>
        <w:bottom w:val="none" w:sz="0" w:space="0" w:color="auto"/>
        <w:right w:val="none" w:sz="0" w:space="0" w:color="auto"/>
      </w:divBdr>
      <w:divsChild>
        <w:div w:id="1093161367">
          <w:marLeft w:val="0"/>
          <w:marRight w:val="0"/>
          <w:marTop w:val="0"/>
          <w:marBottom w:val="0"/>
          <w:divBdr>
            <w:top w:val="none" w:sz="0" w:space="0" w:color="auto"/>
            <w:left w:val="none" w:sz="0" w:space="0" w:color="auto"/>
            <w:bottom w:val="none" w:sz="0" w:space="0" w:color="auto"/>
            <w:right w:val="none" w:sz="0" w:space="0" w:color="auto"/>
          </w:divBdr>
          <w:divsChild>
            <w:div w:id="901790242">
              <w:marLeft w:val="-225"/>
              <w:marRight w:val="-225"/>
              <w:marTop w:val="0"/>
              <w:marBottom w:val="0"/>
              <w:divBdr>
                <w:top w:val="none" w:sz="0" w:space="0" w:color="auto"/>
                <w:left w:val="none" w:sz="0" w:space="0" w:color="auto"/>
                <w:bottom w:val="none" w:sz="0" w:space="0" w:color="auto"/>
                <w:right w:val="none" w:sz="0" w:space="0" w:color="auto"/>
              </w:divBdr>
              <w:divsChild>
                <w:div w:id="215702496">
                  <w:marLeft w:val="0"/>
                  <w:marRight w:val="0"/>
                  <w:marTop w:val="0"/>
                  <w:marBottom w:val="0"/>
                  <w:divBdr>
                    <w:top w:val="none" w:sz="0" w:space="0" w:color="auto"/>
                    <w:left w:val="none" w:sz="0" w:space="0" w:color="auto"/>
                    <w:bottom w:val="none" w:sz="0" w:space="0" w:color="auto"/>
                    <w:right w:val="none" w:sz="0" w:space="0" w:color="auto"/>
                  </w:divBdr>
                  <w:divsChild>
                    <w:div w:id="13296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9205">
          <w:marLeft w:val="0"/>
          <w:marRight w:val="0"/>
          <w:marTop w:val="0"/>
          <w:marBottom w:val="0"/>
          <w:divBdr>
            <w:top w:val="none" w:sz="0" w:space="0" w:color="auto"/>
            <w:left w:val="none" w:sz="0" w:space="0" w:color="auto"/>
            <w:bottom w:val="none" w:sz="0" w:space="0" w:color="auto"/>
            <w:right w:val="none" w:sz="0" w:space="0" w:color="auto"/>
          </w:divBdr>
          <w:divsChild>
            <w:div w:id="749278783">
              <w:marLeft w:val="-225"/>
              <w:marRight w:val="-225"/>
              <w:marTop w:val="0"/>
              <w:marBottom w:val="0"/>
              <w:divBdr>
                <w:top w:val="none" w:sz="0" w:space="0" w:color="auto"/>
                <w:left w:val="none" w:sz="0" w:space="0" w:color="auto"/>
                <w:bottom w:val="none" w:sz="0" w:space="0" w:color="auto"/>
                <w:right w:val="none" w:sz="0" w:space="0" w:color="auto"/>
              </w:divBdr>
              <w:divsChild>
                <w:div w:id="560596432">
                  <w:marLeft w:val="0"/>
                  <w:marRight w:val="150"/>
                  <w:marTop w:val="0"/>
                  <w:marBottom w:val="0"/>
                  <w:divBdr>
                    <w:top w:val="none" w:sz="0" w:space="0" w:color="auto"/>
                    <w:left w:val="none" w:sz="0" w:space="0" w:color="auto"/>
                    <w:bottom w:val="none" w:sz="0" w:space="0" w:color="auto"/>
                    <w:right w:val="none" w:sz="0" w:space="0" w:color="auto"/>
                  </w:divBdr>
                </w:div>
                <w:div w:id="562757670">
                  <w:marLeft w:val="0"/>
                  <w:marRight w:val="0"/>
                  <w:marTop w:val="0"/>
                  <w:marBottom w:val="0"/>
                  <w:divBdr>
                    <w:top w:val="none" w:sz="0" w:space="0" w:color="auto"/>
                    <w:left w:val="none" w:sz="0" w:space="0" w:color="auto"/>
                    <w:bottom w:val="none" w:sz="0" w:space="0" w:color="auto"/>
                    <w:right w:val="none" w:sz="0" w:space="0" w:color="auto"/>
                  </w:divBdr>
                  <w:divsChild>
                    <w:div w:id="1166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2875">
          <w:marLeft w:val="0"/>
          <w:marRight w:val="0"/>
          <w:marTop w:val="0"/>
          <w:marBottom w:val="0"/>
          <w:divBdr>
            <w:top w:val="none" w:sz="0" w:space="0" w:color="auto"/>
            <w:left w:val="none" w:sz="0" w:space="0" w:color="auto"/>
            <w:bottom w:val="none" w:sz="0" w:space="0" w:color="auto"/>
            <w:right w:val="none" w:sz="0" w:space="0" w:color="auto"/>
          </w:divBdr>
          <w:divsChild>
            <w:div w:id="1994135975">
              <w:marLeft w:val="-225"/>
              <w:marRight w:val="-225"/>
              <w:marTop w:val="0"/>
              <w:marBottom w:val="0"/>
              <w:divBdr>
                <w:top w:val="none" w:sz="0" w:space="0" w:color="auto"/>
                <w:left w:val="none" w:sz="0" w:space="0" w:color="auto"/>
                <w:bottom w:val="none" w:sz="0" w:space="0" w:color="auto"/>
                <w:right w:val="none" w:sz="0" w:space="0" w:color="auto"/>
              </w:divBdr>
              <w:divsChild>
                <w:div w:id="2012485857">
                  <w:marLeft w:val="0"/>
                  <w:marRight w:val="150"/>
                  <w:marTop w:val="0"/>
                  <w:marBottom w:val="0"/>
                  <w:divBdr>
                    <w:top w:val="none" w:sz="0" w:space="0" w:color="auto"/>
                    <w:left w:val="none" w:sz="0" w:space="0" w:color="auto"/>
                    <w:bottom w:val="none" w:sz="0" w:space="0" w:color="auto"/>
                    <w:right w:val="none" w:sz="0" w:space="0" w:color="auto"/>
                  </w:divBdr>
                </w:div>
                <w:div w:id="1317688339">
                  <w:marLeft w:val="0"/>
                  <w:marRight w:val="0"/>
                  <w:marTop w:val="0"/>
                  <w:marBottom w:val="0"/>
                  <w:divBdr>
                    <w:top w:val="none" w:sz="0" w:space="0" w:color="auto"/>
                    <w:left w:val="none" w:sz="0" w:space="0" w:color="auto"/>
                    <w:bottom w:val="none" w:sz="0" w:space="0" w:color="auto"/>
                    <w:right w:val="none" w:sz="0" w:space="0" w:color="auto"/>
                  </w:divBdr>
                  <w:divsChild>
                    <w:div w:id="665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12058">
          <w:marLeft w:val="0"/>
          <w:marRight w:val="0"/>
          <w:marTop w:val="0"/>
          <w:marBottom w:val="0"/>
          <w:divBdr>
            <w:top w:val="none" w:sz="0" w:space="0" w:color="auto"/>
            <w:left w:val="none" w:sz="0" w:space="0" w:color="auto"/>
            <w:bottom w:val="none" w:sz="0" w:space="0" w:color="auto"/>
            <w:right w:val="none" w:sz="0" w:space="0" w:color="auto"/>
          </w:divBdr>
          <w:divsChild>
            <w:div w:id="404838709">
              <w:marLeft w:val="-225"/>
              <w:marRight w:val="-225"/>
              <w:marTop w:val="0"/>
              <w:marBottom w:val="0"/>
              <w:divBdr>
                <w:top w:val="none" w:sz="0" w:space="0" w:color="auto"/>
                <w:left w:val="none" w:sz="0" w:space="0" w:color="auto"/>
                <w:bottom w:val="none" w:sz="0" w:space="0" w:color="auto"/>
                <w:right w:val="none" w:sz="0" w:space="0" w:color="auto"/>
              </w:divBdr>
              <w:divsChild>
                <w:div w:id="155271498">
                  <w:marLeft w:val="0"/>
                  <w:marRight w:val="150"/>
                  <w:marTop w:val="0"/>
                  <w:marBottom w:val="0"/>
                  <w:divBdr>
                    <w:top w:val="none" w:sz="0" w:space="0" w:color="auto"/>
                    <w:left w:val="none" w:sz="0" w:space="0" w:color="auto"/>
                    <w:bottom w:val="none" w:sz="0" w:space="0" w:color="auto"/>
                    <w:right w:val="none" w:sz="0" w:space="0" w:color="auto"/>
                  </w:divBdr>
                </w:div>
                <w:div w:id="1186747538">
                  <w:marLeft w:val="0"/>
                  <w:marRight w:val="0"/>
                  <w:marTop w:val="0"/>
                  <w:marBottom w:val="0"/>
                  <w:divBdr>
                    <w:top w:val="none" w:sz="0" w:space="0" w:color="auto"/>
                    <w:left w:val="none" w:sz="0" w:space="0" w:color="auto"/>
                    <w:bottom w:val="none" w:sz="0" w:space="0" w:color="auto"/>
                    <w:right w:val="none" w:sz="0" w:space="0" w:color="auto"/>
                  </w:divBdr>
                  <w:divsChild>
                    <w:div w:id="1299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5497">
          <w:marLeft w:val="0"/>
          <w:marRight w:val="0"/>
          <w:marTop w:val="0"/>
          <w:marBottom w:val="0"/>
          <w:divBdr>
            <w:top w:val="none" w:sz="0" w:space="0" w:color="auto"/>
            <w:left w:val="none" w:sz="0" w:space="0" w:color="auto"/>
            <w:bottom w:val="none" w:sz="0" w:space="0" w:color="auto"/>
            <w:right w:val="none" w:sz="0" w:space="0" w:color="auto"/>
          </w:divBdr>
          <w:divsChild>
            <w:div w:id="950161536">
              <w:marLeft w:val="-225"/>
              <w:marRight w:val="-225"/>
              <w:marTop w:val="0"/>
              <w:marBottom w:val="0"/>
              <w:divBdr>
                <w:top w:val="none" w:sz="0" w:space="0" w:color="auto"/>
                <w:left w:val="none" w:sz="0" w:space="0" w:color="auto"/>
                <w:bottom w:val="none" w:sz="0" w:space="0" w:color="auto"/>
                <w:right w:val="none" w:sz="0" w:space="0" w:color="auto"/>
              </w:divBdr>
              <w:divsChild>
                <w:div w:id="1860583081">
                  <w:marLeft w:val="0"/>
                  <w:marRight w:val="150"/>
                  <w:marTop w:val="0"/>
                  <w:marBottom w:val="0"/>
                  <w:divBdr>
                    <w:top w:val="none" w:sz="0" w:space="0" w:color="auto"/>
                    <w:left w:val="none" w:sz="0" w:space="0" w:color="auto"/>
                    <w:bottom w:val="none" w:sz="0" w:space="0" w:color="auto"/>
                    <w:right w:val="none" w:sz="0" w:space="0" w:color="auto"/>
                  </w:divBdr>
                </w:div>
                <w:div w:id="1268074983">
                  <w:marLeft w:val="0"/>
                  <w:marRight w:val="0"/>
                  <w:marTop w:val="0"/>
                  <w:marBottom w:val="0"/>
                  <w:divBdr>
                    <w:top w:val="none" w:sz="0" w:space="0" w:color="auto"/>
                    <w:left w:val="none" w:sz="0" w:space="0" w:color="auto"/>
                    <w:bottom w:val="none" w:sz="0" w:space="0" w:color="auto"/>
                    <w:right w:val="none" w:sz="0" w:space="0" w:color="auto"/>
                  </w:divBdr>
                  <w:divsChild>
                    <w:div w:id="20210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3723">
          <w:marLeft w:val="0"/>
          <w:marRight w:val="0"/>
          <w:marTop w:val="0"/>
          <w:marBottom w:val="0"/>
          <w:divBdr>
            <w:top w:val="none" w:sz="0" w:space="0" w:color="auto"/>
            <w:left w:val="none" w:sz="0" w:space="0" w:color="auto"/>
            <w:bottom w:val="none" w:sz="0" w:space="0" w:color="auto"/>
            <w:right w:val="none" w:sz="0" w:space="0" w:color="auto"/>
          </w:divBdr>
          <w:divsChild>
            <w:div w:id="2057193861">
              <w:marLeft w:val="-225"/>
              <w:marRight w:val="-225"/>
              <w:marTop w:val="0"/>
              <w:marBottom w:val="0"/>
              <w:divBdr>
                <w:top w:val="none" w:sz="0" w:space="0" w:color="auto"/>
                <w:left w:val="none" w:sz="0" w:space="0" w:color="auto"/>
                <w:bottom w:val="none" w:sz="0" w:space="0" w:color="auto"/>
                <w:right w:val="none" w:sz="0" w:space="0" w:color="auto"/>
              </w:divBdr>
              <w:divsChild>
                <w:div w:id="1333139358">
                  <w:marLeft w:val="0"/>
                  <w:marRight w:val="150"/>
                  <w:marTop w:val="0"/>
                  <w:marBottom w:val="0"/>
                  <w:divBdr>
                    <w:top w:val="none" w:sz="0" w:space="0" w:color="auto"/>
                    <w:left w:val="none" w:sz="0" w:space="0" w:color="auto"/>
                    <w:bottom w:val="none" w:sz="0" w:space="0" w:color="auto"/>
                    <w:right w:val="none" w:sz="0" w:space="0" w:color="auto"/>
                  </w:divBdr>
                </w:div>
                <w:div w:id="1677003159">
                  <w:marLeft w:val="0"/>
                  <w:marRight w:val="0"/>
                  <w:marTop w:val="0"/>
                  <w:marBottom w:val="0"/>
                  <w:divBdr>
                    <w:top w:val="none" w:sz="0" w:space="0" w:color="auto"/>
                    <w:left w:val="none" w:sz="0" w:space="0" w:color="auto"/>
                    <w:bottom w:val="none" w:sz="0" w:space="0" w:color="auto"/>
                    <w:right w:val="none" w:sz="0" w:space="0" w:color="auto"/>
                  </w:divBdr>
                  <w:divsChild>
                    <w:div w:id="4416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8198">
          <w:marLeft w:val="0"/>
          <w:marRight w:val="0"/>
          <w:marTop w:val="0"/>
          <w:marBottom w:val="0"/>
          <w:divBdr>
            <w:top w:val="none" w:sz="0" w:space="0" w:color="auto"/>
            <w:left w:val="none" w:sz="0" w:space="0" w:color="auto"/>
            <w:bottom w:val="none" w:sz="0" w:space="0" w:color="auto"/>
            <w:right w:val="none" w:sz="0" w:space="0" w:color="auto"/>
          </w:divBdr>
          <w:divsChild>
            <w:div w:id="973295140">
              <w:marLeft w:val="-225"/>
              <w:marRight w:val="-225"/>
              <w:marTop w:val="0"/>
              <w:marBottom w:val="0"/>
              <w:divBdr>
                <w:top w:val="none" w:sz="0" w:space="0" w:color="auto"/>
                <w:left w:val="none" w:sz="0" w:space="0" w:color="auto"/>
                <w:bottom w:val="none" w:sz="0" w:space="0" w:color="auto"/>
                <w:right w:val="none" w:sz="0" w:space="0" w:color="auto"/>
              </w:divBdr>
              <w:divsChild>
                <w:div w:id="937177343">
                  <w:marLeft w:val="0"/>
                  <w:marRight w:val="150"/>
                  <w:marTop w:val="0"/>
                  <w:marBottom w:val="0"/>
                  <w:divBdr>
                    <w:top w:val="none" w:sz="0" w:space="0" w:color="auto"/>
                    <w:left w:val="none" w:sz="0" w:space="0" w:color="auto"/>
                    <w:bottom w:val="none" w:sz="0" w:space="0" w:color="auto"/>
                    <w:right w:val="none" w:sz="0" w:space="0" w:color="auto"/>
                  </w:divBdr>
                </w:div>
                <w:div w:id="1644698554">
                  <w:marLeft w:val="0"/>
                  <w:marRight w:val="0"/>
                  <w:marTop w:val="0"/>
                  <w:marBottom w:val="0"/>
                  <w:divBdr>
                    <w:top w:val="none" w:sz="0" w:space="0" w:color="auto"/>
                    <w:left w:val="none" w:sz="0" w:space="0" w:color="auto"/>
                    <w:bottom w:val="none" w:sz="0" w:space="0" w:color="auto"/>
                    <w:right w:val="none" w:sz="0" w:space="0" w:color="auto"/>
                  </w:divBdr>
                  <w:divsChild>
                    <w:div w:id="8765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86575">
      <w:bodyDiv w:val="1"/>
      <w:marLeft w:val="0"/>
      <w:marRight w:val="0"/>
      <w:marTop w:val="0"/>
      <w:marBottom w:val="0"/>
      <w:divBdr>
        <w:top w:val="none" w:sz="0" w:space="0" w:color="auto"/>
        <w:left w:val="none" w:sz="0" w:space="0" w:color="auto"/>
        <w:bottom w:val="none" w:sz="0" w:space="0" w:color="auto"/>
        <w:right w:val="none" w:sz="0" w:space="0" w:color="auto"/>
      </w:divBdr>
      <w:divsChild>
        <w:div w:id="1208877494">
          <w:marLeft w:val="0"/>
          <w:marRight w:val="0"/>
          <w:marTop w:val="0"/>
          <w:marBottom w:val="0"/>
          <w:divBdr>
            <w:top w:val="none" w:sz="0" w:space="0" w:color="auto"/>
            <w:left w:val="none" w:sz="0" w:space="0" w:color="auto"/>
            <w:bottom w:val="none" w:sz="0" w:space="0" w:color="auto"/>
            <w:right w:val="none" w:sz="0" w:space="0" w:color="auto"/>
          </w:divBdr>
          <w:divsChild>
            <w:div w:id="299461264">
              <w:marLeft w:val="-225"/>
              <w:marRight w:val="-225"/>
              <w:marTop w:val="0"/>
              <w:marBottom w:val="0"/>
              <w:divBdr>
                <w:top w:val="none" w:sz="0" w:space="0" w:color="auto"/>
                <w:left w:val="none" w:sz="0" w:space="0" w:color="auto"/>
                <w:bottom w:val="none" w:sz="0" w:space="0" w:color="auto"/>
                <w:right w:val="none" w:sz="0" w:space="0" w:color="auto"/>
              </w:divBdr>
              <w:divsChild>
                <w:div w:id="2131393578">
                  <w:marLeft w:val="0"/>
                  <w:marRight w:val="0"/>
                  <w:marTop w:val="0"/>
                  <w:marBottom w:val="0"/>
                  <w:divBdr>
                    <w:top w:val="none" w:sz="0" w:space="0" w:color="auto"/>
                    <w:left w:val="none" w:sz="0" w:space="0" w:color="auto"/>
                    <w:bottom w:val="none" w:sz="0" w:space="0" w:color="auto"/>
                    <w:right w:val="none" w:sz="0" w:space="0" w:color="auto"/>
                  </w:divBdr>
                  <w:divsChild>
                    <w:div w:id="6972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6789">
          <w:marLeft w:val="0"/>
          <w:marRight w:val="0"/>
          <w:marTop w:val="0"/>
          <w:marBottom w:val="0"/>
          <w:divBdr>
            <w:top w:val="none" w:sz="0" w:space="0" w:color="auto"/>
            <w:left w:val="none" w:sz="0" w:space="0" w:color="auto"/>
            <w:bottom w:val="none" w:sz="0" w:space="0" w:color="auto"/>
            <w:right w:val="none" w:sz="0" w:space="0" w:color="auto"/>
          </w:divBdr>
          <w:divsChild>
            <w:div w:id="1866560284">
              <w:marLeft w:val="-225"/>
              <w:marRight w:val="-225"/>
              <w:marTop w:val="0"/>
              <w:marBottom w:val="0"/>
              <w:divBdr>
                <w:top w:val="none" w:sz="0" w:space="0" w:color="auto"/>
                <w:left w:val="none" w:sz="0" w:space="0" w:color="auto"/>
                <w:bottom w:val="none" w:sz="0" w:space="0" w:color="auto"/>
                <w:right w:val="none" w:sz="0" w:space="0" w:color="auto"/>
              </w:divBdr>
              <w:divsChild>
                <w:div w:id="876044779">
                  <w:marLeft w:val="0"/>
                  <w:marRight w:val="150"/>
                  <w:marTop w:val="0"/>
                  <w:marBottom w:val="0"/>
                  <w:divBdr>
                    <w:top w:val="none" w:sz="0" w:space="0" w:color="auto"/>
                    <w:left w:val="none" w:sz="0" w:space="0" w:color="auto"/>
                    <w:bottom w:val="none" w:sz="0" w:space="0" w:color="auto"/>
                    <w:right w:val="none" w:sz="0" w:space="0" w:color="auto"/>
                  </w:divBdr>
                </w:div>
                <w:div w:id="1765803571">
                  <w:marLeft w:val="0"/>
                  <w:marRight w:val="0"/>
                  <w:marTop w:val="0"/>
                  <w:marBottom w:val="0"/>
                  <w:divBdr>
                    <w:top w:val="none" w:sz="0" w:space="0" w:color="auto"/>
                    <w:left w:val="none" w:sz="0" w:space="0" w:color="auto"/>
                    <w:bottom w:val="none" w:sz="0" w:space="0" w:color="auto"/>
                    <w:right w:val="none" w:sz="0" w:space="0" w:color="auto"/>
                  </w:divBdr>
                  <w:divsChild>
                    <w:div w:id="6862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5745">
          <w:marLeft w:val="0"/>
          <w:marRight w:val="0"/>
          <w:marTop w:val="0"/>
          <w:marBottom w:val="0"/>
          <w:divBdr>
            <w:top w:val="none" w:sz="0" w:space="0" w:color="auto"/>
            <w:left w:val="none" w:sz="0" w:space="0" w:color="auto"/>
            <w:bottom w:val="none" w:sz="0" w:space="0" w:color="auto"/>
            <w:right w:val="none" w:sz="0" w:space="0" w:color="auto"/>
          </w:divBdr>
          <w:divsChild>
            <w:div w:id="1075012435">
              <w:marLeft w:val="-225"/>
              <w:marRight w:val="-225"/>
              <w:marTop w:val="0"/>
              <w:marBottom w:val="0"/>
              <w:divBdr>
                <w:top w:val="none" w:sz="0" w:space="0" w:color="auto"/>
                <w:left w:val="none" w:sz="0" w:space="0" w:color="auto"/>
                <w:bottom w:val="none" w:sz="0" w:space="0" w:color="auto"/>
                <w:right w:val="none" w:sz="0" w:space="0" w:color="auto"/>
              </w:divBdr>
              <w:divsChild>
                <w:div w:id="1739085998">
                  <w:marLeft w:val="0"/>
                  <w:marRight w:val="150"/>
                  <w:marTop w:val="0"/>
                  <w:marBottom w:val="0"/>
                  <w:divBdr>
                    <w:top w:val="none" w:sz="0" w:space="0" w:color="auto"/>
                    <w:left w:val="none" w:sz="0" w:space="0" w:color="auto"/>
                    <w:bottom w:val="none" w:sz="0" w:space="0" w:color="auto"/>
                    <w:right w:val="none" w:sz="0" w:space="0" w:color="auto"/>
                  </w:divBdr>
                </w:div>
                <w:div w:id="1040131823">
                  <w:marLeft w:val="0"/>
                  <w:marRight w:val="0"/>
                  <w:marTop w:val="0"/>
                  <w:marBottom w:val="0"/>
                  <w:divBdr>
                    <w:top w:val="none" w:sz="0" w:space="0" w:color="auto"/>
                    <w:left w:val="none" w:sz="0" w:space="0" w:color="auto"/>
                    <w:bottom w:val="none" w:sz="0" w:space="0" w:color="auto"/>
                    <w:right w:val="none" w:sz="0" w:space="0" w:color="auto"/>
                  </w:divBdr>
                  <w:divsChild>
                    <w:div w:id="7779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3961">
          <w:marLeft w:val="0"/>
          <w:marRight w:val="0"/>
          <w:marTop w:val="0"/>
          <w:marBottom w:val="0"/>
          <w:divBdr>
            <w:top w:val="none" w:sz="0" w:space="0" w:color="auto"/>
            <w:left w:val="none" w:sz="0" w:space="0" w:color="auto"/>
            <w:bottom w:val="none" w:sz="0" w:space="0" w:color="auto"/>
            <w:right w:val="none" w:sz="0" w:space="0" w:color="auto"/>
          </w:divBdr>
          <w:divsChild>
            <w:div w:id="1287543128">
              <w:marLeft w:val="-225"/>
              <w:marRight w:val="-225"/>
              <w:marTop w:val="0"/>
              <w:marBottom w:val="0"/>
              <w:divBdr>
                <w:top w:val="none" w:sz="0" w:space="0" w:color="auto"/>
                <w:left w:val="none" w:sz="0" w:space="0" w:color="auto"/>
                <w:bottom w:val="none" w:sz="0" w:space="0" w:color="auto"/>
                <w:right w:val="none" w:sz="0" w:space="0" w:color="auto"/>
              </w:divBdr>
              <w:divsChild>
                <w:div w:id="1927612102">
                  <w:marLeft w:val="0"/>
                  <w:marRight w:val="150"/>
                  <w:marTop w:val="0"/>
                  <w:marBottom w:val="0"/>
                  <w:divBdr>
                    <w:top w:val="none" w:sz="0" w:space="0" w:color="auto"/>
                    <w:left w:val="none" w:sz="0" w:space="0" w:color="auto"/>
                    <w:bottom w:val="none" w:sz="0" w:space="0" w:color="auto"/>
                    <w:right w:val="none" w:sz="0" w:space="0" w:color="auto"/>
                  </w:divBdr>
                </w:div>
                <w:div w:id="1578975465">
                  <w:marLeft w:val="0"/>
                  <w:marRight w:val="0"/>
                  <w:marTop w:val="0"/>
                  <w:marBottom w:val="0"/>
                  <w:divBdr>
                    <w:top w:val="none" w:sz="0" w:space="0" w:color="auto"/>
                    <w:left w:val="none" w:sz="0" w:space="0" w:color="auto"/>
                    <w:bottom w:val="none" w:sz="0" w:space="0" w:color="auto"/>
                    <w:right w:val="none" w:sz="0" w:space="0" w:color="auto"/>
                  </w:divBdr>
                  <w:divsChild>
                    <w:div w:id="17055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9140">
          <w:marLeft w:val="0"/>
          <w:marRight w:val="0"/>
          <w:marTop w:val="0"/>
          <w:marBottom w:val="0"/>
          <w:divBdr>
            <w:top w:val="none" w:sz="0" w:space="0" w:color="auto"/>
            <w:left w:val="none" w:sz="0" w:space="0" w:color="auto"/>
            <w:bottom w:val="none" w:sz="0" w:space="0" w:color="auto"/>
            <w:right w:val="none" w:sz="0" w:space="0" w:color="auto"/>
          </w:divBdr>
          <w:divsChild>
            <w:div w:id="695086269">
              <w:marLeft w:val="-225"/>
              <w:marRight w:val="-225"/>
              <w:marTop w:val="0"/>
              <w:marBottom w:val="0"/>
              <w:divBdr>
                <w:top w:val="none" w:sz="0" w:space="0" w:color="auto"/>
                <w:left w:val="none" w:sz="0" w:space="0" w:color="auto"/>
                <w:bottom w:val="none" w:sz="0" w:space="0" w:color="auto"/>
                <w:right w:val="none" w:sz="0" w:space="0" w:color="auto"/>
              </w:divBdr>
              <w:divsChild>
                <w:div w:id="954289803">
                  <w:marLeft w:val="0"/>
                  <w:marRight w:val="150"/>
                  <w:marTop w:val="0"/>
                  <w:marBottom w:val="0"/>
                  <w:divBdr>
                    <w:top w:val="none" w:sz="0" w:space="0" w:color="auto"/>
                    <w:left w:val="none" w:sz="0" w:space="0" w:color="auto"/>
                    <w:bottom w:val="none" w:sz="0" w:space="0" w:color="auto"/>
                    <w:right w:val="none" w:sz="0" w:space="0" w:color="auto"/>
                  </w:divBdr>
                </w:div>
                <w:div w:id="1122189668">
                  <w:marLeft w:val="0"/>
                  <w:marRight w:val="0"/>
                  <w:marTop w:val="0"/>
                  <w:marBottom w:val="0"/>
                  <w:divBdr>
                    <w:top w:val="none" w:sz="0" w:space="0" w:color="auto"/>
                    <w:left w:val="none" w:sz="0" w:space="0" w:color="auto"/>
                    <w:bottom w:val="none" w:sz="0" w:space="0" w:color="auto"/>
                    <w:right w:val="none" w:sz="0" w:space="0" w:color="auto"/>
                  </w:divBdr>
                  <w:divsChild>
                    <w:div w:id="15100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0248">
          <w:marLeft w:val="0"/>
          <w:marRight w:val="0"/>
          <w:marTop w:val="0"/>
          <w:marBottom w:val="0"/>
          <w:divBdr>
            <w:top w:val="none" w:sz="0" w:space="0" w:color="auto"/>
            <w:left w:val="none" w:sz="0" w:space="0" w:color="auto"/>
            <w:bottom w:val="none" w:sz="0" w:space="0" w:color="auto"/>
            <w:right w:val="none" w:sz="0" w:space="0" w:color="auto"/>
          </w:divBdr>
          <w:divsChild>
            <w:div w:id="1859343656">
              <w:marLeft w:val="-225"/>
              <w:marRight w:val="-225"/>
              <w:marTop w:val="0"/>
              <w:marBottom w:val="0"/>
              <w:divBdr>
                <w:top w:val="none" w:sz="0" w:space="0" w:color="auto"/>
                <w:left w:val="none" w:sz="0" w:space="0" w:color="auto"/>
                <w:bottom w:val="none" w:sz="0" w:space="0" w:color="auto"/>
                <w:right w:val="none" w:sz="0" w:space="0" w:color="auto"/>
              </w:divBdr>
              <w:divsChild>
                <w:div w:id="1935671643">
                  <w:marLeft w:val="0"/>
                  <w:marRight w:val="150"/>
                  <w:marTop w:val="0"/>
                  <w:marBottom w:val="0"/>
                  <w:divBdr>
                    <w:top w:val="none" w:sz="0" w:space="0" w:color="auto"/>
                    <w:left w:val="none" w:sz="0" w:space="0" w:color="auto"/>
                    <w:bottom w:val="none" w:sz="0" w:space="0" w:color="auto"/>
                    <w:right w:val="none" w:sz="0" w:space="0" w:color="auto"/>
                  </w:divBdr>
                </w:div>
                <w:div w:id="959798351">
                  <w:marLeft w:val="0"/>
                  <w:marRight w:val="0"/>
                  <w:marTop w:val="0"/>
                  <w:marBottom w:val="0"/>
                  <w:divBdr>
                    <w:top w:val="none" w:sz="0" w:space="0" w:color="auto"/>
                    <w:left w:val="none" w:sz="0" w:space="0" w:color="auto"/>
                    <w:bottom w:val="none" w:sz="0" w:space="0" w:color="auto"/>
                    <w:right w:val="none" w:sz="0" w:space="0" w:color="auto"/>
                  </w:divBdr>
                  <w:divsChild>
                    <w:div w:id="2770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6241">
          <w:marLeft w:val="0"/>
          <w:marRight w:val="0"/>
          <w:marTop w:val="0"/>
          <w:marBottom w:val="0"/>
          <w:divBdr>
            <w:top w:val="none" w:sz="0" w:space="0" w:color="auto"/>
            <w:left w:val="none" w:sz="0" w:space="0" w:color="auto"/>
            <w:bottom w:val="none" w:sz="0" w:space="0" w:color="auto"/>
            <w:right w:val="none" w:sz="0" w:space="0" w:color="auto"/>
          </w:divBdr>
          <w:divsChild>
            <w:div w:id="277760782">
              <w:marLeft w:val="-225"/>
              <w:marRight w:val="-225"/>
              <w:marTop w:val="0"/>
              <w:marBottom w:val="0"/>
              <w:divBdr>
                <w:top w:val="none" w:sz="0" w:space="0" w:color="auto"/>
                <w:left w:val="none" w:sz="0" w:space="0" w:color="auto"/>
                <w:bottom w:val="none" w:sz="0" w:space="0" w:color="auto"/>
                <w:right w:val="none" w:sz="0" w:space="0" w:color="auto"/>
              </w:divBdr>
              <w:divsChild>
                <w:div w:id="1728648769">
                  <w:marLeft w:val="0"/>
                  <w:marRight w:val="150"/>
                  <w:marTop w:val="0"/>
                  <w:marBottom w:val="0"/>
                  <w:divBdr>
                    <w:top w:val="none" w:sz="0" w:space="0" w:color="auto"/>
                    <w:left w:val="none" w:sz="0" w:space="0" w:color="auto"/>
                    <w:bottom w:val="none" w:sz="0" w:space="0" w:color="auto"/>
                    <w:right w:val="none" w:sz="0" w:space="0" w:color="auto"/>
                  </w:divBdr>
                </w:div>
                <w:div w:id="884487556">
                  <w:marLeft w:val="0"/>
                  <w:marRight w:val="0"/>
                  <w:marTop w:val="0"/>
                  <w:marBottom w:val="0"/>
                  <w:divBdr>
                    <w:top w:val="none" w:sz="0" w:space="0" w:color="auto"/>
                    <w:left w:val="none" w:sz="0" w:space="0" w:color="auto"/>
                    <w:bottom w:val="none" w:sz="0" w:space="0" w:color="auto"/>
                    <w:right w:val="none" w:sz="0" w:space="0" w:color="auto"/>
                  </w:divBdr>
                  <w:divsChild>
                    <w:div w:id="14386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67341">
      <w:bodyDiv w:val="1"/>
      <w:marLeft w:val="0"/>
      <w:marRight w:val="0"/>
      <w:marTop w:val="0"/>
      <w:marBottom w:val="0"/>
      <w:divBdr>
        <w:top w:val="none" w:sz="0" w:space="0" w:color="auto"/>
        <w:left w:val="none" w:sz="0" w:space="0" w:color="auto"/>
        <w:bottom w:val="none" w:sz="0" w:space="0" w:color="auto"/>
        <w:right w:val="none" w:sz="0" w:space="0" w:color="auto"/>
      </w:divBdr>
      <w:divsChild>
        <w:div w:id="381636475">
          <w:marLeft w:val="0"/>
          <w:marRight w:val="0"/>
          <w:marTop w:val="0"/>
          <w:marBottom w:val="0"/>
          <w:divBdr>
            <w:top w:val="none" w:sz="0" w:space="0" w:color="auto"/>
            <w:left w:val="none" w:sz="0" w:space="0" w:color="auto"/>
            <w:bottom w:val="none" w:sz="0" w:space="0" w:color="auto"/>
            <w:right w:val="none" w:sz="0" w:space="0" w:color="auto"/>
          </w:divBdr>
          <w:divsChild>
            <w:div w:id="64691509">
              <w:marLeft w:val="0"/>
              <w:marRight w:val="0"/>
              <w:marTop w:val="0"/>
              <w:marBottom w:val="0"/>
              <w:divBdr>
                <w:top w:val="none" w:sz="0" w:space="0" w:color="auto"/>
                <w:left w:val="none" w:sz="0" w:space="0" w:color="auto"/>
                <w:bottom w:val="none" w:sz="0" w:space="0" w:color="auto"/>
                <w:right w:val="none" w:sz="0" w:space="0" w:color="auto"/>
              </w:divBdr>
              <w:divsChild>
                <w:div w:id="1734353886">
                  <w:marLeft w:val="0"/>
                  <w:marRight w:val="0"/>
                  <w:marTop w:val="0"/>
                  <w:marBottom w:val="0"/>
                  <w:divBdr>
                    <w:top w:val="none" w:sz="0" w:space="0" w:color="auto"/>
                    <w:left w:val="none" w:sz="0" w:space="0" w:color="auto"/>
                    <w:bottom w:val="none" w:sz="0" w:space="0" w:color="auto"/>
                    <w:right w:val="none" w:sz="0" w:space="0" w:color="auto"/>
                  </w:divBdr>
                  <w:divsChild>
                    <w:div w:id="1802729610">
                      <w:marLeft w:val="0"/>
                      <w:marRight w:val="0"/>
                      <w:marTop w:val="0"/>
                      <w:marBottom w:val="0"/>
                      <w:divBdr>
                        <w:top w:val="none" w:sz="0" w:space="0" w:color="auto"/>
                        <w:left w:val="none" w:sz="0" w:space="0" w:color="auto"/>
                        <w:bottom w:val="none" w:sz="0" w:space="0" w:color="auto"/>
                        <w:right w:val="none" w:sz="0" w:space="0" w:color="auto"/>
                      </w:divBdr>
                      <w:divsChild>
                        <w:div w:id="139033308">
                          <w:marLeft w:val="0"/>
                          <w:marRight w:val="0"/>
                          <w:marTop w:val="0"/>
                          <w:marBottom w:val="0"/>
                          <w:divBdr>
                            <w:top w:val="none" w:sz="0" w:space="0" w:color="auto"/>
                            <w:left w:val="none" w:sz="0" w:space="0" w:color="auto"/>
                            <w:bottom w:val="none" w:sz="0" w:space="0" w:color="auto"/>
                            <w:right w:val="none" w:sz="0" w:space="0" w:color="auto"/>
                          </w:divBdr>
                          <w:divsChild>
                            <w:div w:id="20662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026" TargetMode="External"/><Relationship Id="rId13" Type="http://schemas.openxmlformats.org/officeDocument/2006/relationships/hyperlink" Target="https://manas.tiesas.lv/eTiesasMvc/nolemumi/pdf/136233.pdf" TargetMode="External"/><Relationship Id="rId18" Type="http://schemas.openxmlformats.org/officeDocument/2006/relationships/hyperlink" Target="https://www.at.gov.lv/downloadlawfile/421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udoc.echr.coe.int/eng?i=001-74546" TargetMode="External"/><Relationship Id="rId17" Type="http://schemas.openxmlformats.org/officeDocument/2006/relationships/hyperlink" Target="https://www.at.gov.lv/downloadlawfile/8026" TargetMode="External"/><Relationship Id="rId2" Type="http://schemas.openxmlformats.org/officeDocument/2006/relationships/numbering" Target="numbering.xml"/><Relationship Id="rId16" Type="http://schemas.openxmlformats.org/officeDocument/2006/relationships/hyperlink" Target="https://www.at.gov.lv/downloadlawfile/3712" TargetMode="External"/><Relationship Id="rId20" Type="http://schemas.openxmlformats.org/officeDocument/2006/relationships/hyperlink" Target="https://www.at.gov.lv/downloadlawfile/100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96771" TargetMode="External"/><Relationship Id="rId5" Type="http://schemas.openxmlformats.org/officeDocument/2006/relationships/webSettings" Target="webSettings.xml"/><Relationship Id="rId15" Type="http://schemas.openxmlformats.org/officeDocument/2006/relationships/hyperlink" Target="https://manas.tiesas.lv/eTiesasMvc/nolemumi/pdf/545171.pdf" TargetMode="External"/><Relationship Id="rId23" Type="http://schemas.openxmlformats.org/officeDocument/2006/relationships/theme" Target="theme/theme1.xml"/><Relationship Id="rId10" Type="http://schemas.openxmlformats.org/officeDocument/2006/relationships/hyperlink" Target="https://www.at.gov.lv/downloadlawfile/9813" TargetMode="External"/><Relationship Id="rId19" Type="http://schemas.openxmlformats.org/officeDocument/2006/relationships/hyperlink" Target="https://www.at.gov.lv/downloadlawfile/9810" TargetMode="External"/><Relationship Id="rId4" Type="http://schemas.openxmlformats.org/officeDocument/2006/relationships/settings" Target="settings.xml"/><Relationship Id="rId9" Type="http://schemas.openxmlformats.org/officeDocument/2006/relationships/hyperlink" Target="https://www.at.gov.lv/downloadlawfile/3923" TargetMode="External"/><Relationship Id="rId14" Type="http://schemas.openxmlformats.org/officeDocument/2006/relationships/hyperlink" Target="https://manas.tiesas.lv/eTiesasMvc/nolemumi/pdf/44066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A848-3F4E-4CCD-8A6E-54728ECF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22391</Words>
  <Characters>12764</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2025-02-20T08:39:00Z</dcterms:created>
  <dcterms:modified xsi:type="dcterms:W3CDTF">2025-04-03T05:43:00Z</dcterms:modified>
</cp:coreProperties>
</file>