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E617" w14:textId="77777777" w:rsidR="008D48D0" w:rsidRPr="00F918B2" w:rsidRDefault="008D48D0" w:rsidP="008D48D0">
      <w:pPr>
        <w:spacing w:after="0" w:line="276" w:lineRule="auto"/>
        <w:jc w:val="both"/>
        <w:rPr>
          <w:b/>
          <w:bCs/>
        </w:rPr>
      </w:pPr>
      <w:r w:rsidRPr="00F918B2">
        <w:rPr>
          <w:b/>
          <w:bCs/>
        </w:rPr>
        <w:t>Dienesta pārbaudē un disciplinārlietas izmeklēšanas laikā sniegtajos paskaidrojumos ietverto ziņu izmantošana pierādīšanā kriminālprocesā</w:t>
      </w:r>
    </w:p>
    <w:p w14:paraId="4DB40640" w14:textId="77777777" w:rsidR="008D48D0" w:rsidRDefault="008D48D0" w:rsidP="008D48D0">
      <w:pPr>
        <w:spacing w:after="0" w:line="276" w:lineRule="auto"/>
        <w:jc w:val="both"/>
      </w:pPr>
      <w:r>
        <w:t>1. </w:t>
      </w:r>
      <w:r w:rsidRPr="00F918B2">
        <w:t>Disciplinārlieta ir no kriminālprocesa nošķirams process ar citu mērķi, kas nav saistīts ar efektīvu Krimināllikuma normu piemērošanu un krimināltiesisko attiecību taisnīgu noregulējumu.</w:t>
      </w:r>
    </w:p>
    <w:p w14:paraId="0E60B5DF" w14:textId="77777777" w:rsidR="008D48D0" w:rsidRDefault="008D48D0" w:rsidP="008D48D0">
      <w:pPr>
        <w:spacing w:after="0" w:line="276" w:lineRule="auto"/>
        <w:jc w:val="both"/>
      </w:pPr>
      <w:r>
        <w:t>2. </w:t>
      </w:r>
      <w:r w:rsidRPr="00F918B2">
        <w:t>Ziņas par faktiem, ko apsūdzētā persona sniegusi dienesta pārbaudes un disciplinārlietas ietvaros, ir izmantojamas pierādīšanā kriminālprocesā, ja tās iegūtas likumīgi saskaņā ar Iekšlietu ministrijas sistēmas iestāžu un Ieslodzījuma vietu pārvaldes amatpersonu ar speciālajām dienesta pakāpēm disciplināratbildības likumu un ievērojot personas tiesības sevi neapsūdzēt, proti, šie paskaidrojumi nav iegūti ar tāda rakstura un pakāpes piespiešanas metodēm, kas pārkāpj personas pamattiesības, turklāt apsūdzētajam ir bijusi nodrošināta iespēja apstrīdēt pierādījumu pieļaujamību un ticamību un iebilst pret to izmantošanu pierādīšanā.</w:t>
      </w:r>
    </w:p>
    <w:p w14:paraId="2F2DDFB7" w14:textId="77777777" w:rsidR="008D48D0" w:rsidRDefault="008D48D0" w:rsidP="008D48D0">
      <w:pPr>
        <w:spacing w:after="0" w:line="276" w:lineRule="auto"/>
        <w:jc w:val="both"/>
      </w:pPr>
      <w:r>
        <w:t>3. </w:t>
      </w:r>
      <w:r w:rsidRPr="00F918B2">
        <w:t>Ja starp dienesta pārbaudes un disciplinārlietas izmeklēšanas laikā sniegtajiem paskaidrojumiem un kriminālprocesā sniegtajām liecībām ir pretrunas, tiesai nolēmumā ir jāanalizē šo pretrunu iemesli un jānorāda, kurus no šiem pierādījumiem tā atzīst par apšaubāmiem un kādu iemeslu dēļ.</w:t>
      </w:r>
    </w:p>
    <w:p w14:paraId="616A1499" w14:textId="77777777" w:rsidR="008D48D0" w:rsidRDefault="008D48D0" w:rsidP="008D48D0">
      <w:pPr>
        <w:spacing w:after="0" w:line="276" w:lineRule="auto"/>
        <w:jc w:val="both"/>
      </w:pPr>
    </w:p>
    <w:p w14:paraId="7567AFBC" w14:textId="77777777" w:rsidR="008D48D0" w:rsidRPr="00F918B2" w:rsidRDefault="008D48D0" w:rsidP="008D48D0">
      <w:pPr>
        <w:spacing w:after="0" w:line="276" w:lineRule="auto"/>
        <w:jc w:val="both"/>
        <w:rPr>
          <w:b/>
          <w:bCs/>
        </w:rPr>
      </w:pPr>
      <w:r w:rsidRPr="00F918B2">
        <w:rPr>
          <w:b/>
          <w:bCs/>
        </w:rPr>
        <w:t>Dienesta viltojums (Krimināllikuma 327. pants)</w:t>
      </w:r>
    </w:p>
    <w:p w14:paraId="25CDA3C7" w14:textId="77777777" w:rsidR="008D48D0" w:rsidRDefault="008D48D0" w:rsidP="008D48D0">
      <w:pPr>
        <w:spacing w:after="0" w:line="276" w:lineRule="auto"/>
        <w:jc w:val="both"/>
      </w:pPr>
      <w:r>
        <w:t>1. </w:t>
      </w:r>
      <w:r w:rsidRPr="00F918B2">
        <w:t xml:space="preserve">Ar dokumenta viltošanu Krimināllikuma 327. panta izpratnē saprot neīsta dokumenta sagatavošanu, īsta dokumenta falsifikāciju, kā arī apzinātu patiesībai neatbilstošu ziņu ietveršana dokumentā, ko izdarījusi valsts amatpersona vai cits speciālais subjekts. </w:t>
      </w:r>
    </w:p>
    <w:p w14:paraId="5D10D319" w14:textId="77777777" w:rsidR="008D48D0" w:rsidRDefault="008D48D0" w:rsidP="008D48D0">
      <w:pPr>
        <w:spacing w:after="0" w:line="276" w:lineRule="auto"/>
        <w:jc w:val="both"/>
      </w:pPr>
      <w:r>
        <w:t>2. </w:t>
      </w:r>
      <w:r w:rsidRPr="00F918B2">
        <w:t>Atbildība par Krimināllikuma 327.</w:t>
      </w:r>
      <w:r>
        <w:t> </w:t>
      </w:r>
      <w:r w:rsidRPr="00F918B2">
        <w:t>panta pirmajā daļā paredzēto noziedzīgo nodarījumu iestājas neatkarīgi no tā, kādu motīvu dēļ valsts amatpersona izdarījusi dienesta viltojumu un kādu mērķi ar šo noziedzīgo nodarījumu vēlējusies sasniegt. Motīvam un mērķim, ciktāl tos ir iespējams noskaidrot, var būt nozīme, nosakot vainīgajai personai sodu.</w:t>
      </w:r>
    </w:p>
    <w:p w14:paraId="697F3CB2" w14:textId="77777777" w:rsidR="008D48D0" w:rsidRPr="00F918B2" w:rsidRDefault="008D48D0" w:rsidP="008D48D0">
      <w:pPr>
        <w:spacing w:after="0" w:line="276" w:lineRule="auto"/>
        <w:jc w:val="both"/>
      </w:pPr>
      <w:r>
        <w:t>3. </w:t>
      </w:r>
      <w:r w:rsidRPr="00F918B2">
        <w:t>Noziedzīga nodarījuma izdarīšana personu grupā bez iepriekšējas vienošanās nav Krimināllikuma 327. pantā paredzētā noziedzīgā nodarījuma sastāva pazīme. Ja dienesta viltojums izdarīts personu grupā bez iepriekšējas vienošanās, tiesa, pamatojoties uz Krimināllikuma 48. panta pirmās daļas 2. punktu, to var atzīt par apsūdzētā atbildību pastiprinošu apstākli.</w:t>
      </w:r>
    </w:p>
    <w:p w14:paraId="00019C6B" w14:textId="77777777" w:rsidR="008D48D0" w:rsidRPr="00F918B2" w:rsidRDefault="008D48D0" w:rsidP="008D48D0">
      <w:pPr>
        <w:spacing w:after="0" w:line="276" w:lineRule="auto"/>
        <w:jc w:val="both"/>
      </w:pPr>
    </w:p>
    <w:p w14:paraId="290D9479" w14:textId="55615400" w:rsidR="00BA55DF" w:rsidRPr="008D48D0" w:rsidRDefault="00BA55DF" w:rsidP="008D48D0">
      <w:pPr>
        <w:widowControl w:val="0"/>
        <w:spacing w:after="0" w:line="276" w:lineRule="auto"/>
        <w:jc w:val="center"/>
        <w:rPr>
          <w:rFonts w:asciiTheme="majorBidi" w:hAnsiTheme="majorBidi" w:cstheme="majorBidi"/>
          <w:b/>
          <w:szCs w:val="24"/>
        </w:rPr>
      </w:pPr>
      <w:r w:rsidRPr="008D48D0">
        <w:rPr>
          <w:rFonts w:asciiTheme="majorBidi" w:hAnsiTheme="majorBidi" w:cstheme="majorBidi"/>
          <w:b/>
          <w:szCs w:val="24"/>
        </w:rPr>
        <w:t>Latvijas Republikas Senāt</w:t>
      </w:r>
      <w:r w:rsidR="008D48D0" w:rsidRPr="008D48D0">
        <w:rPr>
          <w:rFonts w:asciiTheme="majorBidi" w:hAnsiTheme="majorBidi" w:cstheme="majorBidi"/>
          <w:b/>
          <w:szCs w:val="24"/>
        </w:rPr>
        <w:t>a</w:t>
      </w:r>
    </w:p>
    <w:p w14:paraId="519C1B62" w14:textId="06A38E4F" w:rsidR="008D48D0" w:rsidRPr="008D48D0" w:rsidRDefault="008D48D0" w:rsidP="008D48D0">
      <w:pPr>
        <w:widowControl w:val="0"/>
        <w:spacing w:after="0" w:line="276" w:lineRule="auto"/>
        <w:jc w:val="center"/>
        <w:rPr>
          <w:rFonts w:asciiTheme="majorBidi" w:eastAsia="Times New Roman" w:hAnsiTheme="majorBidi" w:cstheme="majorBidi"/>
          <w:b/>
          <w:szCs w:val="24"/>
        </w:rPr>
      </w:pPr>
      <w:r w:rsidRPr="008D48D0">
        <w:rPr>
          <w:rFonts w:asciiTheme="majorBidi" w:eastAsia="Times New Roman" w:hAnsiTheme="majorBidi" w:cstheme="majorBidi"/>
          <w:b/>
          <w:szCs w:val="24"/>
        </w:rPr>
        <w:t>Krimināllietu departamenta</w:t>
      </w:r>
    </w:p>
    <w:p w14:paraId="5A8CAFAB" w14:textId="3F1E0EE5" w:rsidR="008D48D0" w:rsidRPr="008D48D0" w:rsidRDefault="008D48D0" w:rsidP="008D48D0">
      <w:pPr>
        <w:widowControl w:val="0"/>
        <w:spacing w:after="0" w:line="276" w:lineRule="auto"/>
        <w:jc w:val="center"/>
        <w:rPr>
          <w:rFonts w:asciiTheme="majorBidi" w:hAnsiTheme="majorBidi" w:cstheme="majorBidi"/>
          <w:b/>
          <w:szCs w:val="24"/>
        </w:rPr>
      </w:pPr>
      <w:r w:rsidRPr="008D48D0">
        <w:rPr>
          <w:rFonts w:asciiTheme="majorBidi" w:eastAsia="Times New Roman" w:hAnsiTheme="majorBidi" w:cstheme="majorBidi"/>
          <w:b/>
          <w:szCs w:val="24"/>
        </w:rPr>
        <w:t>2024. gada 1</w:t>
      </w:r>
      <w:r w:rsidR="00433DE0">
        <w:rPr>
          <w:rFonts w:asciiTheme="majorBidi" w:eastAsia="Times New Roman" w:hAnsiTheme="majorBidi" w:cstheme="majorBidi"/>
          <w:b/>
          <w:szCs w:val="24"/>
        </w:rPr>
        <w:t>7</w:t>
      </w:r>
      <w:r w:rsidRPr="008D48D0">
        <w:rPr>
          <w:rFonts w:asciiTheme="majorBidi" w:eastAsia="Times New Roman" w:hAnsiTheme="majorBidi" w:cstheme="majorBidi"/>
          <w:b/>
          <w:szCs w:val="24"/>
        </w:rPr>
        <w:t>. decembra</w:t>
      </w:r>
    </w:p>
    <w:p w14:paraId="0905A9B2" w14:textId="7D59011D" w:rsidR="00BA55DF" w:rsidRPr="008D48D0" w:rsidRDefault="00BA55DF" w:rsidP="008D48D0">
      <w:pPr>
        <w:widowControl w:val="0"/>
        <w:spacing w:after="0" w:line="276" w:lineRule="auto"/>
        <w:jc w:val="center"/>
        <w:rPr>
          <w:rFonts w:asciiTheme="majorBidi" w:hAnsiTheme="majorBidi" w:cstheme="majorBidi"/>
          <w:b/>
          <w:szCs w:val="24"/>
        </w:rPr>
      </w:pPr>
      <w:r w:rsidRPr="008D48D0">
        <w:rPr>
          <w:rFonts w:asciiTheme="majorBidi" w:hAnsiTheme="majorBidi" w:cstheme="majorBidi"/>
          <w:b/>
          <w:szCs w:val="24"/>
        </w:rPr>
        <w:t>LĒMUMS</w:t>
      </w:r>
    </w:p>
    <w:p w14:paraId="55D6FD7B" w14:textId="77777777" w:rsidR="008D48D0" w:rsidRDefault="008D48D0" w:rsidP="008D48D0">
      <w:pPr>
        <w:widowControl w:val="0"/>
        <w:spacing w:after="0" w:line="276" w:lineRule="auto"/>
        <w:jc w:val="center"/>
        <w:rPr>
          <w:rFonts w:asciiTheme="majorBidi" w:eastAsia="Times New Roman" w:hAnsiTheme="majorBidi" w:cstheme="majorBidi"/>
          <w:b/>
          <w:color w:val="000000" w:themeColor="text1"/>
          <w:szCs w:val="24"/>
        </w:rPr>
      </w:pPr>
      <w:r w:rsidRPr="008D48D0">
        <w:rPr>
          <w:rFonts w:asciiTheme="majorBidi" w:eastAsia="Times New Roman" w:hAnsiTheme="majorBidi" w:cstheme="majorBidi"/>
          <w:b/>
          <w:color w:val="000000" w:themeColor="text1"/>
          <w:szCs w:val="24"/>
        </w:rPr>
        <w:t>Lieta Nr. 11820000121, SKK</w:t>
      </w:r>
      <w:r w:rsidRPr="008D48D0">
        <w:rPr>
          <w:rFonts w:asciiTheme="majorBidi" w:eastAsia="Times New Roman" w:hAnsiTheme="majorBidi" w:cstheme="majorBidi"/>
          <w:b/>
          <w:color w:val="000000" w:themeColor="text1"/>
          <w:szCs w:val="24"/>
        </w:rPr>
        <w:noBreakHyphen/>
        <w:t>37/2024</w:t>
      </w:r>
    </w:p>
    <w:p w14:paraId="353D05DE" w14:textId="397DD79A" w:rsidR="008D48D0" w:rsidRPr="008D48D0" w:rsidRDefault="008D48D0" w:rsidP="008D48D0">
      <w:pPr>
        <w:widowControl w:val="0"/>
        <w:spacing w:after="0" w:line="276" w:lineRule="auto"/>
        <w:jc w:val="center"/>
        <w:rPr>
          <w:rFonts w:asciiTheme="majorBidi" w:eastAsia="Times New Roman" w:hAnsiTheme="majorBidi" w:cstheme="majorBidi"/>
          <w:bCs/>
          <w:color w:val="000000" w:themeColor="text1"/>
          <w:szCs w:val="24"/>
        </w:rPr>
      </w:pPr>
      <w:hyperlink r:id="rId8" w:history="1">
        <w:r w:rsidRPr="008D48D0">
          <w:rPr>
            <w:rStyle w:val="Hyperlink"/>
            <w:rFonts w:asciiTheme="majorBidi" w:eastAsia="Times New Roman" w:hAnsiTheme="majorBidi" w:cstheme="majorBidi"/>
            <w:bCs/>
            <w:szCs w:val="24"/>
          </w:rPr>
          <w:t>ECLI:LV:AT:2024:1217.11820000121.5.L</w:t>
        </w:r>
      </w:hyperlink>
    </w:p>
    <w:p w14:paraId="38EC5483" w14:textId="77777777" w:rsidR="00E71924" w:rsidRPr="003D0D68" w:rsidRDefault="00E71924" w:rsidP="008D48D0">
      <w:pPr>
        <w:widowControl w:val="0"/>
        <w:spacing w:after="0" w:line="276" w:lineRule="auto"/>
        <w:jc w:val="both"/>
        <w:rPr>
          <w:rFonts w:asciiTheme="majorBidi" w:eastAsia="Times New Roman" w:hAnsiTheme="majorBidi" w:cstheme="majorBidi"/>
          <w:szCs w:val="24"/>
        </w:rPr>
      </w:pPr>
      <w:bookmarkStart w:id="0" w:name="_Hlk142035488"/>
    </w:p>
    <w:p w14:paraId="2C01BA4D" w14:textId="467A9503" w:rsidR="00BA55DF" w:rsidRPr="003D0D68" w:rsidRDefault="00E31163" w:rsidP="00C42EC0">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Senāts</w:t>
      </w:r>
      <w:r w:rsidR="00BA55DF" w:rsidRPr="003D0D68">
        <w:rPr>
          <w:rFonts w:asciiTheme="majorBidi" w:hAnsiTheme="majorBidi" w:cstheme="majorBidi"/>
          <w:szCs w:val="24"/>
        </w:rPr>
        <w:t xml:space="preserve"> šādā sastāvā: senator</w:t>
      </w:r>
      <w:r w:rsidRPr="003D0D68">
        <w:rPr>
          <w:rFonts w:asciiTheme="majorBidi" w:hAnsiTheme="majorBidi" w:cstheme="majorBidi"/>
          <w:szCs w:val="24"/>
        </w:rPr>
        <w:t>e referente</w:t>
      </w:r>
      <w:r w:rsidR="00BA55DF" w:rsidRPr="003D0D68">
        <w:rPr>
          <w:rFonts w:asciiTheme="majorBidi" w:hAnsiTheme="majorBidi" w:cstheme="majorBidi"/>
          <w:szCs w:val="24"/>
        </w:rPr>
        <w:t xml:space="preserve"> </w:t>
      </w:r>
      <w:r w:rsidR="00966258" w:rsidRPr="003D0D68">
        <w:rPr>
          <w:rFonts w:asciiTheme="majorBidi" w:hAnsiTheme="majorBidi" w:cstheme="majorBidi"/>
          <w:szCs w:val="24"/>
        </w:rPr>
        <w:t>I</w:t>
      </w:r>
      <w:r w:rsidR="00A34FC9" w:rsidRPr="003D0D68">
        <w:rPr>
          <w:rFonts w:asciiTheme="majorBidi" w:hAnsiTheme="majorBidi" w:cstheme="majorBidi"/>
          <w:szCs w:val="24"/>
        </w:rPr>
        <w:t>nguna Radzeviča</w:t>
      </w:r>
      <w:r w:rsidR="00966258" w:rsidRPr="003D0D68">
        <w:rPr>
          <w:rFonts w:asciiTheme="majorBidi" w:hAnsiTheme="majorBidi" w:cstheme="majorBidi"/>
          <w:szCs w:val="24"/>
        </w:rPr>
        <w:t>,</w:t>
      </w:r>
      <w:r w:rsidR="00A34FC9" w:rsidRPr="003D0D68">
        <w:rPr>
          <w:rFonts w:asciiTheme="majorBidi" w:hAnsiTheme="majorBidi" w:cstheme="majorBidi"/>
          <w:szCs w:val="24"/>
        </w:rPr>
        <w:t xml:space="preserve"> </w:t>
      </w:r>
      <w:r w:rsidRPr="003D0D68">
        <w:rPr>
          <w:rFonts w:asciiTheme="majorBidi" w:hAnsiTheme="majorBidi" w:cstheme="majorBidi"/>
          <w:szCs w:val="24"/>
        </w:rPr>
        <w:t>senator</w:t>
      </w:r>
      <w:r w:rsidR="00C74359">
        <w:rPr>
          <w:rFonts w:asciiTheme="majorBidi" w:hAnsiTheme="majorBidi" w:cstheme="majorBidi"/>
          <w:szCs w:val="24"/>
        </w:rPr>
        <w:t>i</w:t>
      </w:r>
      <w:r w:rsidRPr="003D0D68">
        <w:rPr>
          <w:rFonts w:asciiTheme="majorBidi" w:hAnsiTheme="majorBidi" w:cstheme="majorBidi"/>
          <w:szCs w:val="24"/>
        </w:rPr>
        <w:t xml:space="preserve"> </w:t>
      </w:r>
      <w:r w:rsidR="004A5225">
        <w:rPr>
          <w:rFonts w:asciiTheme="majorBidi" w:hAnsiTheme="majorBidi" w:cstheme="majorBidi"/>
          <w:szCs w:val="24"/>
        </w:rPr>
        <w:t xml:space="preserve">Ivars Bičkovičs, Sandra Kaija, </w:t>
      </w:r>
      <w:r w:rsidR="002B3608">
        <w:rPr>
          <w:rFonts w:asciiTheme="majorBidi" w:hAnsiTheme="majorBidi" w:cstheme="majorBidi"/>
          <w:szCs w:val="24"/>
        </w:rPr>
        <w:t>Anita Poļakova</w:t>
      </w:r>
      <w:r w:rsidR="00C74359">
        <w:rPr>
          <w:rFonts w:asciiTheme="majorBidi" w:hAnsiTheme="majorBidi" w:cstheme="majorBidi"/>
          <w:szCs w:val="24"/>
        </w:rPr>
        <w:t xml:space="preserve"> un Aivars Uminskis,</w:t>
      </w:r>
    </w:p>
    <w:p w14:paraId="5C1143BF" w14:textId="77777777" w:rsidR="00E71924" w:rsidRPr="003D0D68" w:rsidRDefault="00E71924" w:rsidP="00C42EC0">
      <w:pPr>
        <w:widowControl w:val="0"/>
        <w:tabs>
          <w:tab w:val="left" w:pos="1710"/>
        </w:tabs>
        <w:spacing w:after="0" w:line="276" w:lineRule="auto"/>
        <w:ind w:firstLine="720"/>
        <w:jc w:val="both"/>
        <w:rPr>
          <w:rFonts w:asciiTheme="majorBidi" w:hAnsiTheme="majorBidi" w:cstheme="majorBidi"/>
          <w:szCs w:val="24"/>
        </w:rPr>
      </w:pPr>
    </w:p>
    <w:p w14:paraId="2A58CA65" w14:textId="628F3385" w:rsidR="00BA55DF" w:rsidRPr="003D0D68" w:rsidRDefault="00BA55DF" w:rsidP="00C42EC0">
      <w:pPr>
        <w:widowControl w:val="0"/>
        <w:tabs>
          <w:tab w:val="left" w:pos="1710"/>
        </w:tabs>
        <w:spacing w:after="0" w:line="276" w:lineRule="auto"/>
        <w:ind w:firstLine="720"/>
        <w:jc w:val="both"/>
        <w:rPr>
          <w:rFonts w:asciiTheme="majorBidi" w:eastAsia="Times New Roman" w:hAnsiTheme="majorBidi" w:cstheme="majorBidi"/>
          <w:szCs w:val="24"/>
        </w:rPr>
      </w:pPr>
      <w:r w:rsidRPr="006035B1">
        <w:rPr>
          <w:rFonts w:asciiTheme="majorBidi" w:hAnsiTheme="majorBidi" w:cstheme="majorBidi"/>
          <w:szCs w:val="24"/>
        </w:rPr>
        <w:t xml:space="preserve">rakstveida procesā </w:t>
      </w:r>
      <w:r w:rsidR="00C42EC0" w:rsidRPr="006035B1">
        <w:rPr>
          <w:rFonts w:asciiTheme="majorBidi" w:hAnsiTheme="majorBidi" w:cstheme="majorBidi"/>
          <w:szCs w:val="24"/>
        </w:rPr>
        <w:t xml:space="preserve">izskatīja </w:t>
      </w:r>
      <w:r w:rsidRPr="006035B1">
        <w:rPr>
          <w:rFonts w:asciiTheme="majorBidi" w:hAnsiTheme="majorBidi" w:cstheme="majorBidi"/>
          <w:szCs w:val="24"/>
        </w:rPr>
        <w:t>krimināllietu sakarā ar</w:t>
      </w:r>
      <w:r w:rsidR="00C74359">
        <w:rPr>
          <w:rFonts w:asciiTheme="majorBidi" w:hAnsiTheme="majorBidi" w:cstheme="majorBidi"/>
          <w:szCs w:val="24"/>
        </w:rPr>
        <w:t xml:space="preserve"> </w:t>
      </w:r>
      <w:r w:rsidR="002B3608">
        <w:rPr>
          <w:rFonts w:asciiTheme="majorBidi" w:hAnsiTheme="majorBidi" w:cstheme="majorBidi"/>
          <w:szCs w:val="24"/>
        </w:rPr>
        <w:t xml:space="preserve">apsūdzēto </w:t>
      </w:r>
      <w:r w:rsidR="000A7129">
        <w:rPr>
          <w:rFonts w:asciiTheme="majorBidi" w:hAnsiTheme="majorBidi" w:cstheme="majorBidi"/>
          <w:szCs w:val="24"/>
        </w:rPr>
        <w:t>[pers. A]</w:t>
      </w:r>
      <w:r w:rsidR="002B3608">
        <w:rPr>
          <w:rFonts w:asciiTheme="majorBidi" w:hAnsiTheme="majorBidi" w:cstheme="majorBidi"/>
          <w:szCs w:val="24"/>
        </w:rPr>
        <w:t xml:space="preserve"> un </w:t>
      </w:r>
      <w:r w:rsidR="000A7129">
        <w:rPr>
          <w:rFonts w:asciiTheme="majorBidi" w:hAnsiTheme="majorBidi" w:cstheme="majorBidi"/>
          <w:szCs w:val="24"/>
        </w:rPr>
        <w:t>[pers. B]</w:t>
      </w:r>
      <w:r w:rsidR="00C74359">
        <w:rPr>
          <w:rFonts w:asciiTheme="majorBidi" w:hAnsiTheme="majorBidi" w:cstheme="majorBidi"/>
          <w:szCs w:val="24"/>
        </w:rPr>
        <w:t xml:space="preserve"> kasācijas </w:t>
      </w:r>
      <w:r w:rsidR="002B3608">
        <w:rPr>
          <w:rFonts w:asciiTheme="majorBidi" w:hAnsiTheme="majorBidi" w:cstheme="majorBidi"/>
          <w:szCs w:val="24"/>
        </w:rPr>
        <w:t>sūdzībām</w:t>
      </w:r>
      <w:r w:rsidR="00C74359">
        <w:rPr>
          <w:rFonts w:asciiTheme="majorBidi" w:hAnsiTheme="majorBidi" w:cstheme="majorBidi"/>
          <w:szCs w:val="24"/>
        </w:rPr>
        <w:t xml:space="preserve"> par Latgales apgabaltiesas 202</w:t>
      </w:r>
      <w:r w:rsidR="002B3608">
        <w:rPr>
          <w:rFonts w:asciiTheme="majorBidi" w:hAnsiTheme="majorBidi" w:cstheme="majorBidi"/>
          <w:szCs w:val="24"/>
        </w:rPr>
        <w:t>3</w:t>
      </w:r>
      <w:r w:rsidR="00C74359">
        <w:rPr>
          <w:rFonts w:asciiTheme="majorBidi" w:hAnsiTheme="majorBidi" w:cstheme="majorBidi"/>
          <w:szCs w:val="24"/>
        </w:rPr>
        <w:t xml:space="preserve">. gada </w:t>
      </w:r>
      <w:r w:rsidR="002B3608">
        <w:rPr>
          <w:rFonts w:asciiTheme="majorBidi" w:hAnsiTheme="majorBidi" w:cstheme="majorBidi"/>
          <w:szCs w:val="24"/>
        </w:rPr>
        <w:t>29. marta</w:t>
      </w:r>
      <w:r w:rsidR="00C74359">
        <w:rPr>
          <w:rFonts w:asciiTheme="majorBidi" w:hAnsiTheme="majorBidi" w:cstheme="majorBidi"/>
          <w:szCs w:val="24"/>
        </w:rPr>
        <w:t xml:space="preserve"> spriedumu.</w:t>
      </w:r>
    </w:p>
    <w:p w14:paraId="626B1681" w14:textId="77777777" w:rsidR="00A34FC9" w:rsidRPr="003D0D68" w:rsidRDefault="00A34FC9" w:rsidP="00C42EC0">
      <w:pPr>
        <w:widowControl w:val="0"/>
        <w:spacing w:after="0" w:line="276" w:lineRule="auto"/>
        <w:ind w:firstLine="720"/>
        <w:jc w:val="both"/>
        <w:rPr>
          <w:rFonts w:asciiTheme="majorBidi" w:hAnsiTheme="majorBidi" w:cstheme="majorBidi"/>
          <w:szCs w:val="24"/>
        </w:rPr>
      </w:pPr>
    </w:p>
    <w:p w14:paraId="2B593B77" w14:textId="77777777" w:rsidR="00BA55DF" w:rsidRPr="003D0D68" w:rsidRDefault="00BA55DF" w:rsidP="00C42EC0">
      <w:pPr>
        <w:widowControl w:val="0"/>
        <w:autoSpaceDE w:val="0"/>
        <w:autoSpaceDN w:val="0"/>
        <w:adjustRightInd w:val="0"/>
        <w:spacing w:after="0" w:line="276" w:lineRule="auto"/>
        <w:jc w:val="center"/>
        <w:rPr>
          <w:rFonts w:asciiTheme="majorBidi" w:hAnsiTheme="majorBidi" w:cstheme="majorBidi"/>
          <w:b/>
          <w:bCs/>
          <w:szCs w:val="24"/>
        </w:rPr>
      </w:pPr>
      <w:r w:rsidRPr="003D0D68">
        <w:rPr>
          <w:rFonts w:asciiTheme="majorBidi" w:hAnsiTheme="majorBidi" w:cstheme="majorBidi"/>
          <w:b/>
          <w:bCs/>
          <w:szCs w:val="24"/>
        </w:rPr>
        <w:lastRenderedPageBreak/>
        <w:t>Aprakstošā daļa</w:t>
      </w:r>
    </w:p>
    <w:p w14:paraId="194B159B" w14:textId="77777777" w:rsidR="00BA55DF" w:rsidRPr="00067A62" w:rsidRDefault="00BA55DF" w:rsidP="00C42EC0">
      <w:pPr>
        <w:widowControl w:val="0"/>
        <w:autoSpaceDE w:val="0"/>
        <w:autoSpaceDN w:val="0"/>
        <w:adjustRightInd w:val="0"/>
        <w:spacing w:after="0" w:line="276" w:lineRule="auto"/>
        <w:ind w:firstLine="720"/>
        <w:jc w:val="both"/>
        <w:rPr>
          <w:rFonts w:asciiTheme="majorBidi" w:hAnsiTheme="majorBidi" w:cstheme="majorBidi"/>
          <w:szCs w:val="24"/>
        </w:rPr>
      </w:pPr>
    </w:p>
    <w:p w14:paraId="66478649" w14:textId="7F7D542C" w:rsidR="008B52F0" w:rsidRPr="003D0D68" w:rsidRDefault="00CC665C" w:rsidP="00C42EC0">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[1]</w:t>
      </w:r>
      <w:r w:rsidR="0052546C" w:rsidRPr="003D0D68">
        <w:rPr>
          <w:rFonts w:asciiTheme="majorBidi" w:hAnsiTheme="majorBidi" w:cstheme="majorBidi"/>
          <w:szCs w:val="24"/>
        </w:rPr>
        <w:t> </w:t>
      </w:r>
      <w:r w:rsidR="00BA55DF" w:rsidRPr="003D0D68">
        <w:rPr>
          <w:rFonts w:asciiTheme="majorBidi" w:hAnsiTheme="majorBidi" w:cstheme="majorBidi"/>
          <w:szCs w:val="24"/>
        </w:rPr>
        <w:t xml:space="preserve">Ar </w:t>
      </w:r>
      <w:r w:rsidR="002B3608">
        <w:rPr>
          <w:rFonts w:asciiTheme="majorBidi" w:hAnsiTheme="majorBidi" w:cstheme="majorBidi"/>
          <w:szCs w:val="24"/>
        </w:rPr>
        <w:t>Rēzeknes</w:t>
      </w:r>
      <w:r w:rsidR="00C74359">
        <w:rPr>
          <w:rFonts w:asciiTheme="majorBidi" w:hAnsiTheme="majorBidi" w:cstheme="majorBidi"/>
          <w:szCs w:val="24"/>
        </w:rPr>
        <w:t xml:space="preserve"> </w:t>
      </w:r>
      <w:r w:rsidR="00A34FC9" w:rsidRPr="003D0D68">
        <w:rPr>
          <w:rFonts w:asciiTheme="majorBidi" w:hAnsiTheme="majorBidi" w:cstheme="majorBidi"/>
          <w:szCs w:val="24"/>
        </w:rPr>
        <w:t>tiesas 202</w:t>
      </w:r>
      <w:r w:rsidR="002B3608">
        <w:rPr>
          <w:rFonts w:asciiTheme="majorBidi" w:hAnsiTheme="majorBidi" w:cstheme="majorBidi"/>
          <w:szCs w:val="24"/>
        </w:rPr>
        <w:t>2. gada 7. septembra</w:t>
      </w:r>
      <w:r w:rsidR="00C74359">
        <w:rPr>
          <w:rFonts w:asciiTheme="majorBidi" w:hAnsiTheme="majorBidi" w:cstheme="majorBidi"/>
          <w:szCs w:val="24"/>
        </w:rPr>
        <w:t xml:space="preserve"> spriedumu</w:t>
      </w:r>
    </w:p>
    <w:p w14:paraId="6DE0DDA6" w14:textId="25EA3521" w:rsidR="008B52F0" w:rsidRDefault="002B3608"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[1.1] </w:t>
      </w:r>
      <w:r w:rsidR="000A7129">
        <w:rPr>
          <w:rFonts w:asciiTheme="majorBidi" w:hAnsiTheme="majorBidi" w:cstheme="majorBidi"/>
          <w:szCs w:val="24"/>
        </w:rPr>
        <w:t>[pers. A]</w:t>
      </w:r>
      <w:r w:rsidR="008B52F0" w:rsidRPr="003D0D68">
        <w:rPr>
          <w:rFonts w:asciiTheme="majorBidi" w:hAnsiTheme="majorBidi" w:cstheme="majorBidi"/>
          <w:szCs w:val="24"/>
        </w:rPr>
        <w:t>, personas kods</w:t>
      </w:r>
      <w:r w:rsidR="00983A49">
        <w:rPr>
          <w:rFonts w:asciiTheme="majorBidi" w:hAnsiTheme="majorBidi" w:cstheme="majorBidi"/>
          <w:szCs w:val="24"/>
        </w:rPr>
        <w:t xml:space="preserve"> </w:t>
      </w:r>
      <w:r w:rsidR="000A7129">
        <w:rPr>
          <w:rFonts w:asciiTheme="majorBidi" w:hAnsiTheme="majorBidi" w:cstheme="majorBidi"/>
          <w:szCs w:val="24"/>
        </w:rPr>
        <w:t>[..]</w:t>
      </w:r>
      <w:r w:rsidR="00983A49">
        <w:rPr>
          <w:rFonts w:asciiTheme="majorBidi" w:hAnsiTheme="majorBidi" w:cstheme="majorBidi"/>
          <w:szCs w:val="24"/>
        </w:rPr>
        <w:t>,</w:t>
      </w:r>
    </w:p>
    <w:p w14:paraId="00CE159D" w14:textId="0D74E5B0" w:rsidR="00983A49" w:rsidRDefault="00983A4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atzīts par vainīgu Krimināllikuma </w:t>
      </w:r>
      <w:r w:rsidR="002B3608">
        <w:rPr>
          <w:rFonts w:asciiTheme="majorBidi" w:hAnsiTheme="majorBidi" w:cstheme="majorBidi"/>
          <w:szCs w:val="24"/>
        </w:rPr>
        <w:t xml:space="preserve">327. panta </w:t>
      </w:r>
      <w:r w:rsidR="00526A7F">
        <w:rPr>
          <w:rFonts w:asciiTheme="majorBidi" w:hAnsiTheme="majorBidi" w:cstheme="majorBidi"/>
          <w:szCs w:val="24"/>
        </w:rPr>
        <w:t xml:space="preserve">pirmajā daļā </w:t>
      </w:r>
      <w:r>
        <w:rPr>
          <w:rFonts w:asciiTheme="majorBidi" w:hAnsiTheme="majorBidi" w:cstheme="majorBidi"/>
          <w:szCs w:val="24"/>
        </w:rPr>
        <w:t xml:space="preserve">paredzētajā noziedzīgajā nodarījumā un sodīts ar </w:t>
      </w:r>
      <w:r w:rsidR="002B3608">
        <w:rPr>
          <w:rFonts w:asciiTheme="majorBidi" w:hAnsiTheme="majorBidi" w:cstheme="majorBidi"/>
          <w:szCs w:val="24"/>
        </w:rPr>
        <w:t>sabiedrisko darbu uz 70 stundām.</w:t>
      </w:r>
    </w:p>
    <w:p w14:paraId="7FD88C78" w14:textId="765229F9" w:rsidR="00983A49" w:rsidRDefault="000A712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983A49">
        <w:rPr>
          <w:rFonts w:asciiTheme="majorBidi" w:hAnsiTheme="majorBidi" w:cstheme="majorBidi"/>
          <w:szCs w:val="24"/>
        </w:rPr>
        <w:t xml:space="preserve"> piemērotais drošības līdzeklis – </w:t>
      </w:r>
      <w:r w:rsidR="002B3608">
        <w:rPr>
          <w:rFonts w:asciiTheme="majorBidi" w:hAnsiTheme="majorBidi" w:cstheme="majorBidi"/>
          <w:szCs w:val="24"/>
        </w:rPr>
        <w:t>dzīvesvietas maiņas paziņošana</w:t>
      </w:r>
      <w:r w:rsidR="00983A49">
        <w:rPr>
          <w:rFonts w:asciiTheme="majorBidi" w:hAnsiTheme="majorBidi" w:cstheme="majorBidi"/>
          <w:szCs w:val="24"/>
        </w:rPr>
        <w:t xml:space="preserve"> – </w:t>
      </w:r>
      <w:r w:rsidR="002B3608">
        <w:rPr>
          <w:rFonts w:asciiTheme="majorBidi" w:hAnsiTheme="majorBidi" w:cstheme="majorBidi"/>
          <w:szCs w:val="24"/>
        </w:rPr>
        <w:t>atstāts negrozīts, līdz spriedums stāsies spēkā;</w:t>
      </w:r>
    </w:p>
    <w:p w14:paraId="0B0A4D15" w14:textId="2BDCD108" w:rsidR="002B3608" w:rsidRDefault="002B3608"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[1.2]</w:t>
      </w:r>
      <w:r w:rsidR="009E0946">
        <w:rPr>
          <w:rFonts w:asciiTheme="majorBidi" w:hAnsiTheme="majorBidi" w:cstheme="majorBidi"/>
          <w:szCs w:val="24"/>
        </w:rPr>
        <w:t> </w:t>
      </w:r>
      <w:r w:rsidR="000A7129">
        <w:rPr>
          <w:rFonts w:asciiTheme="majorBidi" w:hAnsiTheme="majorBidi" w:cstheme="majorBidi"/>
          <w:szCs w:val="24"/>
        </w:rPr>
        <w:t>[pers. B]</w:t>
      </w:r>
      <w:r>
        <w:rPr>
          <w:rFonts w:asciiTheme="majorBidi" w:hAnsiTheme="majorBidi" w:cstheme="majorBidi"/>
          <w:szCs w:val="24"/>
        </w:rPr>
        <w:t xml:space="preserve">, personas kods </w:t>
      </w:r>
      <w:r w:rsidR="000A7129">
        <w:rPr>
          <w:rFonts w:asciiTheme="majorBidi" w:hAnsiTheme="majorBidi" w:cstheme="majorBidi"/>
          <w:szCs w:val="24"/>
        </w:rPr>
        <w:t>[..]</w:t>
      </w:r>
      <w:r>
        <w:rPr>
          <w:rFonts w:asciiTheme="majorBidi" w:hAnsiTheme="majorBidi" w:cstheme="majorBidi"/>
          <w:szCs w:val="24"/>
        </w:rPr>
        <w:t>,</w:t>
      </w:r>
    </w:p>
    <w:p w14:paraId="1CB6CA49" w14:textId="0BD0B83E" w:rsidR="00526A7F" w:rsidRDefault="002B3608"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atzīts par vainīgu</w:t>
      </w:r>
      <w:r w:rsidR="00526A7F">
        <w:rPr>
          <w:rFonts w:asciiTheme="majorBidi" w:hAnsiTheme="majorBidi" w:cstheme="majorBidi"/>
          <w:szCs w:val="24"/>
        </w:rPr>
        <w:t xml:space="preserve"> Krimināllikuma 327. panta pirmajā daļā paredzētajā noziedzīgajā nodarījumā un sodīts ar sabiedrisko darbu uz 70 stundām.</w:t>
      </w:r>
    </w:p>
    <w:p w14:paraId="2B7B0373" w14:textId="4B422354" w:rsidR="00526A7F" w:rsidRDefault="000A712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B]</w:t>
      </w:r>
      <w:r w:rsidR="00526A7F">
        <w:rPr>
          <w:rFonts w:asciiTheme="majorBidi" w:hAnsiTheme="majorBidi" w:cstheme="majorBidi"/>
          <w:szCs w:val="24"/>
        </w:rPr>
        <w:t xml:space="preserve"> piemērotais drošības līdzeklis – dzīvesvietas maiņas paziņošana – atstāts negrozīts, līdz spriedums stāsies spēkā;</w:t>
      </w:r>
    </w:p>
    <w:p w14:paraId="76283230" w14:textId="1B0B44F2" w:rsidR="00526A7F" w:rsidRDefault="00526A7F" w:rsidP="000A712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[1.3]</w:t>
      </w:r>
      <w:r w:rsidR="009E0946">
        <w:rPr>
          <w:rFonts w:asciiTheme="majorBidi" w:hAnsiTheme="majorBidi" w:cstheme="majorBidi"/>
          <w:szCs w:val="24"/>
        </w:rPr>
        <w:t> </w:t>
      </w:r>
      <w:r w:rsidR="000A7129">
        <w:rPr>
          <w:rFonts w:asciiTheme="majorBidi" w:hAnsiTheme="majorBidi" w:cstheme="majorBidi"/>
          <w:szCs w:val="24"/>
        </w:rPr>
        <w:t>[pers. C]</w:t>
      </w:r>
      <w:r>
        <w:rPr>
          <w:rFonts w:asciiTheme="majorBidi" w:hAnsiTheme="majorBidi" w:cstheme="majorBidi"/>
          <w:szCs w:val="24"/>
        </w:rPr>
        <w:t xml:space="preserve">, personas kods </w:t>
      </w:r>
      <w:r w:rsidR="000A7129">
        <w:rPr>
          <w:rFonts w:asciiTheme="majorBidi" w:hAnsiTheme="majorBidi" w:cstheme="majorBidi"/>
          <w:szCs w:val="24"/>
        </w:rPr>
        <w:t>[..]</w:t>
      </w:r>
      <w:r>
        <w:rPr>
          <w:rFonts w:asciiTheme="majorBidi" w:hAnsiTheme="majorBidi" w:cstheme="majorBidi"/>
          <w:szCs w:val="24"/>
        </w:rPr>
        <w:t>,</w:t>
      </w:r>
    </w:p>
    <w:p w14:paraId="20EE666A" w14:textId="440019E4" w:rsidR="00526A7F" w:rsidRDefault="00526A7F"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atzīts par vainīgu Krimināllikuma 327. panta pirmajā daļā paredzētajā noziedzīgajā nodarījumā un sodīts ar sabiedrisko darbu uz 65 stundām.</w:t>
      </w:r>
    </w:p>
    <w:p w14:paraId="74DBA375" w14:textId="7245D8CA" w:rsidR="00526A7F" w:rsidRDefault="000A712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C]</w:t>
      </w:r>
      <w:r w:rsidR="00526A7F">
        <w:rPr>
          <w:rFonts w:asciiTheme="majorBidi" w:hAnsiTheme="majorBidi" w:cstheme="majorBidi"/>
          <w:szCs w:val="24"/>
        </w:rPr>
        <w:t xml:space="preserve"> piemērotais drošības līdzeklis – dzīvesvietas maiņas paziņošana  – atstāts negrozīts, līdz spriedums stāsies spēkā;</w:t>
      </w:r>
    </w:p>
    <w:p w14:paraId="2D73FC0E" w14:textId="64DC3814" w:rsidR="00526A7F" w:rsidRDefault="00526A7F"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[1.4]</w:t>
      </w:r>
      <w:r w:rsidR="009E0946">
        <w:rPr>
          <w:rFonts w:asciiTheme="majorBidi" w:hAnsiTheme="majorBidi" w:cstheme="majorBidi"/>
          <w:szCs w:val="24"/>
        </w:rPr>
        <w:t> </w:t>
      </w:r>
      <w:r w:rsidR="000A7129">
        <w:rPr>
          <w:rFonts w:asciiTheme="majorBidi" w:hAnsiTheme="majorBidi" w:cstheme="majorBidi"/>
          <w:szCs w:val="24"/>
        </w:rPr>
        <w:t>[pers. D]</w:t>
      </w:r>
      <w:r>
        <w:rPr>
          <w:rFonts w:asciiTheme="majorBidi" w:hAnsiTheme="majorBidi" w:cstheme="majorBidi"/>
          <w:szCs w:val="24"/>
        </w:rPr>
        <w:t>, personas kods</w:t>
      </w:r>
      <w:r w:rsidR="009E0946">
        <w:rPr>
          <w:rFonts w:asciiTheme="majorBidi" w:hAnsiTheme="majorBidi" w:cstheme="majorBidi"/>
          <w:szCs w:val="24"/>
        </w:rPr>
        <w:t xml:space="preserve"> </w:t>
      </w:r>
      <w:r w:rsidR="000A7129">
        <w:rPr>
          <w:rFonts w:asciiTheme="majorBidi" w:hAnsiTheme="majorBidi" w:cstheme="majorBidi"/>
          <w:szCs w:val="24"/>
        </w:rPr>
        <w:t>[..]</w:t>
      </w:r>
      <w:r>
        <w:rPr>
          <w:rFonts w:asciiTheme="majorBidi" w:hAnsiTheme="majorBidi" w:cstheme="majorBidi"/>
          <w:szCs w:val="24"/>
        </w:rPr>
        <w:t>,</w:t>
      </w:r>
    </w:p>
    <w:p w14:paraId="305354C8" w14:textId="73892A79" w:rsidR="00526A7F" w:rsidRDefault="00526A7F"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atzīts par vainīgu Krimināllikuma 327. panta pirmajā daļā paredzētajā noziedzīgajā nodarījumā un sodīts ar sabiedrisko darbu uz 60 stundām.</w:t>
      </w:r>
    </w:p>
    <w:p w14:paraId="07E851C7" w14:textId="6CDBFB64" w:rsidR="00526A7F" w:rsidRDefault="000A7129" w:rsidP="00C42EC0">
      <w:pPr>
        <w:widowControl w:val="0"/>
        <w:tabs>
          <w:tab w:val="left" w:pos="1710"/>
        </w:tabs>
        <w:spacing w:after="0" w:line="276" w:lineRule="auto"/>
        <w:ind w:firstLine="720"/>
        <w:jc w:val="both"/>
        <w:rPr>
          <w:rFonts w:asciiTheme="majorBidi" w:hAnsiTheme="majorBidi" w:cstheme="majorBidi"/>
          <w:szCs w:val="24"/>
        </w:rPr>
      </w:pPr>
      <w:bookmarkStart w:id="1" w:name="_Hlk184905646"/>
      <w:r>
        <w:rPr>
          <w:rFonts w:asciiTheme="majorBidi" w:hAnsiTheme="majorBidi" w:cstheme="majorBidi"/>
          <w:szCs w:val="24"/>
        </w:rPr>
        <w:t>[Pers. D]</w:t>
      </w:r>
      <w:r w:rsidR="00526A7F">
        <w:rPr>
          <w:rFonts w:asciiTheme="majorBidi" w:hAnsiTheme="majorBidi" w:cstheme="majorBidi"/>
          <w:szCs w:val="24"/>
        </w:rPr>
        <w:t xml:space="preserve"> piemērotais drošības līdzeklis – dzīvesvietas maiņas paziņošana – atstāts negrozīts, līdz spriedums stāsies spēkā.</w:t>
      </w:r>
    </w:p>
    <w:bookmarkEnd w:id="1"/>
    <w:p w14:paraId="1E94C7D1" w14:textId="77777777" w:rsidR="00526A7F" w:rsidRDefault="00526A7F" w:rsidP="00C42EC0">
      <w:pPr>
        <w:widowControl w:val="0"/>
        <w:tabs>
          <w:tab w:val="left" w:pos="1710"/>
        </w:tabs>
        <w:spacing w:after="0" w:line="276" w:lineRule="auto"/>
        <w:ind w:firstLine="720"/>
        <w:jc w:val="both"/>
        <w:rPr>
          <w:rFonts w:asciiTheme="majorBidi" w:hAnsiTheme="majorBidi" w:cstheme="majorBidi"/>
          <w:szCs w:val="24"/>
        </w:rPr>
      </w:pPr>
    </w:p>
    <w:p w14:paraId="3BCCE0F0" w14:textId="7E206B98" w:rsidR="007C5F60" w:rsidRDefault="00526A7F"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[2]</w:t>
      </w:r>
      <w:r w:rsidR="009E0946">
        <w:rPr>
          <w:rFonts w:asciiTheme="majorBidi" w:hAnsiTheme="majorBidi" w:cstheme="majorBidi"/>
          <w:szCs w:val="24"/>
        </w:rPr>
        <w:t> </w:t>
      </w:r>
      <w:r>
        <w:rPr>
          <w:rFonts w:asciiTheme="majorBidi" w:hAnsiTheme="majorBidi" w:cstheme="majorBidi"/>
          <w:szCs w:val="24"/>
        </w:rPr>
        <w:t xml:space="preserve">Ar Rēzeknes tiesas 2022. gada 7. septembra spriedumu </w:t>
      </w:r>
      <w:r w:rsidR="000A7129">
        <w:rPr>
          <w:rFonts w:asciiTheme="majorBidi" w:hAnsiTheme="majorBidi" w:cstheme="majorBidi"/>
          <w:szCs w:val="24"/>
        </w:rPr>
        <w:t>[pers. A]</w:t>
      </w:r>
      <w:r w:rsidR="007C5F60">
        <w:rPr>
          <w:rFonts w:asciiTheme="majorBidi" w:hAnsiTheme="majorBidi" w:cstheme="majorBidi"/>
          <w:szCs w:val="24"/>
        </w:rPr>
        <w:t xml:space="preserve">, </w:t>
      </w:r>
      <w:r w:rsidR="000A7129">
        <w:rPr>
          <w:rFonts w:asciiTheme="majorBidi" w:hAnsiTheme="majorBidi" w:cstheme="majorBidi"/>
          <w:szCs w:val="24"/>
        </w:rPr>
        <w:t>[pers. B]</w:t>
      </w:r>
      <w:r w:rsidR="007C5F60">
        <w:rPr>
          <w:rFonts w:asciiTheme="majorBidi" w:hAnsiTheme="majorBidi" w:cstheme="majorBidi"/>
          <w:szCs w:val="24"/>
        </w:rPr>
        <w:t xml:space="preserve">, </w:t>
      </w:r>
      <w:r w:rsidR="000A7129">
        <w:rPr>
          <w:rFonts w:asciiTheme="majorBidi" w:hAnsiTheme="majorBidi" w:cstheme="majorBidi"/>
          <w:szCs w:val="24"/>
        </w:rPr>
        <w:t>[pers. C]</w:t>
      </w:r>
      <w:r w:rsidR="007C5F60">
        <w:rPr>
          <w:rFonts w:asciiTheme="majorBidi" w:hAnsiTheme="majorBidi" w:cstheme="majorBidi"/>
          <w:szCs w:val="24"/>
        </w:rPr>
        <w:t xml:space="preserve"> un </w:t>
      </w:r>
      <w:r w:rsidR="000A7129">
        <w:rPr>
          <w:rFonts w:asciiTheme="majorBidi" w:hAnsiTheme="majorBidi" w:cstheme="majorBidi"/>
          <w:szCs w:val="24"/>
        </w:rPr>
        <w:t>[pers. D]</w:t>
      </w:r>
      <w:r w:rsidR="007C5F60">
        <w:rPr>
          <w:rFonts w:asciiTheme="majorBidi" w:hAnsiTheme="majorBidi" w:cstheme="majorBidi"/>
          <w:szCs w:val="24"/>
        </w:rPr>
        <w:t xml:space="preserve"> atzīti par vainīgiem un sodīti pēc Krimināllikuma 327. panta pirmās daļas par to, ka viņi, būdami valsts amatpersonas, izdarīja dienesta viltojumu.</w:t>
      </w:r>
    </w:p>
    <w:p w14:paraId="11369DC5" w14:textId="77777777" w:rsidR="007C5F60" w:rsidRDefault="007C5F60" w:rsidP="00C42EC0">
      <w:pPr>
        <w:widowControl w:val="0"/>
        <w:tabs>
          <w:tab w:val="left" w:pos="1710"/>
        </w:tabs>
        <w:spacing w:after="0" w:line="276" w:lineRule="auto"/>
        <w:ind w:firstLine="720"/>
        <w:jc w:val="both"/>
        <w:rPr>
          <w:rFonts w:asciiTheme="majorBidi" w:hAnsiTheme="majorBidi" w:cstheme="majorBidi"/>
          <w:szCs w:val="24"/>
        </w:rPr>
      </w:pPr>
    </w:p>
    <w:p w14:paraId="5739DE14" w14:textId="5BFDAE37" w:rsidR="00526A7F" w:rsidRDefault="007C5F60"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[3]</w:t>
      </w:r>
      <w:r w:rsidR="009E0946">
        <w:rPr>
          <w:rFonts w:asciiTheme="majorBidi" w:hAnsiTheme="majorBidi" w:cstheme="majorBidi"/>
          <w:szCs w:val="24"/>
        </w:rPr>
        <w:t> </w:t>
      </w:r>
      <w:r>
        <w:rPr>
          <w:rFonts w:asciiTheme="majorBidi" w:hAnsiTheme="majorBidi" w:cstheme="majorBidi"/>
          <w:szCs w:val="24"/>
        </w:rPr>
        <w:t>Ar Latgales apgabaltiesas</w:t>
      </w:r>
      <w:r w:rsidR="002F5BB2">
        <w:rPr>
          <w:rFonts w:asciiTheme="majorBidi" w:hAnsiTheme="majorBidi" w:cstheme="majorBidi"/>
          <w:szCs w:val="24"/>
        </w:rPr>
        <w:t xml:space="preserve"> 2023. gada 29. marta spriedumu, iztiesājot lietu apelācijas kārtībā sakarā ar apsūdzēto </w:t>
      </w:r>
      <w:r w:rsidR="000A7129">
        <w:rPr>
          <w:rFonts w:asciiTheme="majorBidi" w:hAnsiTheme="majorBidi" w:cstheme="majorBidi"/>
          <w:szCs w:val="24"/>
        </w:rPr>
        <w:t>[pers. A]</w:t>
      </w:r>
      <w:r w:rsidR="002F5BB2">
        <w:rPr>
          <w:rFonts w:asciiTheme="majorBidi" w:hAnsiTheme="majorBidi" w:cstheme="majorBidi"/>
          <w:szCs w:val="24"/>
        </w:rPr>
        <w:t xml:space="preserve">, </w:t>
      </w:r>
      <w:r w:rsidR="000A7129">
        <w:rPr>
          <w:rFonts w:asciiTheme="majorBidi" w:hAnsiTheme="majorBidi" w:cstheme="majorBidi"/>
          <w:szCs w:val="24"/>
        </w:rPr>
        <w:t>[pers. B]</w:t>
      </w:r>
      <w:r w:rsidR="002F5BB2">
        <w:rPr>
          <w:rFonts w:asciiTheme="majorBidi" w:hAnsiTheme="majorBidi" w:cstheme="majorBidi"/>
          <w:szCs w:val="24"/>
        </w:rPr>
        <w:t xml:space="preserve">, </w:t>
      </w:r>
      <w:r w:rsidR="000A7129">
        <w:rPr>
          <w:rFonts w:asciiTheme="majorBidi" w:hAnsiTheme="majorBidi" w:cstheme="majorBidi"/>
          <w:szCs w:val="24"/>
        </w:rPr>
        <w:t>[pers. C]</w:t>
      </w:r>
      <w:r w:rsidR="002F5BB2">
        <w:rPr>
          <w:rFonts w:asciiTheme="majorBidi" w:hAnsiTheme="majorBidi" w:cstheme="majorBidi"/>
          <w:szCs w:val="24"/>
        </w:rPr>
        <w:t xml:space="preserve"> un </w:t>
      </w:r>
      <w:r w:rsidR="000A7129">
        <w:rPr>
          <w:rFonts w:asciiTheme="majorBidi" w:hAnsiTheme="majorBidi" w:cstheme="majorBidi"/>
          <w:szCs w:val="24"/>
        </w:rPr>
        <w:t>[pers. D]</w:t>
      </w:r>
      <w:r w:rsidR="002F5BB2">
        <w:rPr>
          <w:rFonts w:asciiTheme="majorBidi" w:hAnsiTheme="majorBidi" w:cstheme="majorBidi"/>
          <w:szCs w:val="24"/>
        </w:rPr>
        <w:t xml:space="preserve"> apelācijas sūdzībām, Rēzeknes tiesas 2022. gada 7. septembra spriedums atcelts pilnībā.</w:t>
      </w:r>
    </w:p>
    <w:p w14:paraId="35A6B1D1" w14:textId="47DF36CA" w:rsidR="002F5BB2" w:rsidRDefault="000A712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2F5BB2">
        <w:rPr>
          <w:rFonts w:asciiTheme="majorBidi" w:hAnsiTheme="majorBidi" w:cstheme="majorBidi"/>
          <w:szCs w:val="24"/>
        </w:rPr>
        <w:t xml:space="preserve"> atzīts par vainīgu Krimināllikuma 327. panta pirmajā daļā paredzētajā noziedzīgajā nodarījumā un sodīts ar sabiedrisko darbu uz 70 stundām.</w:t>
      </w:r>
    </w:p>
    <w:p w14:paraId="403D6420" w14:textId="27F43AEF" w:rsidR="002F5BB2" w:rsidRDefault="000A712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B]</w:t>
      </w:r>
      <w:r w:rsidR="002F5BB2">
        <w:rPr>
          <w:rFonts w:asciiTheme="majorBidi" w:hAnsiTheme="majorBidi" w:cstheme="majorBidi"/>
          <w:szCs w:val="24"/>
        </w:rPr>
        <w:t xml:space="preserve"> atzīts par vainīgu Krimināllikuma 327. panta pirmajā daļā paredzētajā noziedzīgajā nodarījumā un sodīts ar sabiedrisko darbu uz 70 stundām.</w:t>
      </w:r>
    </w:p>
    <w:p w14:paraId="76AE1033" w14:textId="72823609" w:rsidR="002F5BB2" w:rsidRDefault="002F5BB2"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Kriminālprocess pret apsūdzētajiem </w:t>
      </w:r>
      <w:r w:rsidR="000A7129">
        <w:rPr>
          <w:rFonts w:asciiTheme="majorBidi" w:hAnsiTheme="majorBidi" w:cstheme="majorBidi"/>
          <w:szCs w:val="24"/>
        </w:rPr>
        <w:t>[pers. C]</w:t>
      </w:r>
      <w:r>
        <w:rPr>
          <w:rFonts w:asciiTheme="majorBidi" w:hAnsiTheme="majorBidi" w:cstheme="majorBidi"/>
          <w:szCs w:val="24"/>
        </w:rPr>
        <w:t xml:space="preserve"> un </w:t>
      </w:r>
      <w:r w:rsidR="000A7129">
        <w:rPr>
          <w:rFonts w:asciiTheme="majorBidi" w:hAnsiTheme="majorBidi" w:cstheme="majorBidi"/>
          <w:szCs w:val="24"/>
        </w:rPr>
        <w:t>[pers. D]</w:t>
      </w:r>
      <w:r>
        <w:rPr>
          <w:rFonts w:asciiTheme="majorBidi" w:hAnsiTheme="majorBidi" w:cstheme="majorBidi"/>
          <w:szCs w:val="24"/>
        </w:rPr>
        <w:t xml:space="preserve"> par Krimināllikuma 327. panta pirmajā daļā paredzēto noziedzīgo nodarījumu izbeigts, atbrīvojot viņus no kriminālatbildības.</w:t>
      </w:r>
    </w:p>
    <w:p w14:paraId="689841A2" w14:textId="4EC3F3F4" w:rsidR="002F5BB2" w:rsidRDefault="002F5BB2"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Apsūdzētajiem </w:t>
      </w:r>
      <w:r w:rsidR="000A7129">
        <w:rPr>
          <w:rFonts w:asciiTheme="majorBidi" w:hAnsiTheme="majorBidi" w:cstheme="majorBidi"/>
          <w:szCs w:val="24"/>
        </w:rPr>
        <w:t>[pers. A]</w:t>
      </w:r>
      <w:r>
        <w:rPr>
          <w:rFonts w:asciiTheme="majorBidi" w:hAnsiTheme="majorBidi" w:cstheme="majorBidi"/>
          <w:szCs w:val="24"/>
        </w:rPr>
        <w:t xml:space="preserve">, </w:t>
      </w:r>
      <w:r w:rsidR="000A7129">
        <w:rPr>
          <w:rFonts w:asciiTheme="majorBidi" w:hAnsiTheme="majorBidi" w:cstheme="majorBidi"/>
          <w:szCs w:val="24"/>
        </w:rPr>
        <w:t>[pers. B]</w:t>
      </w:r>
      <w:r>
        <w:rPr>
          <w:rFonts w:asciiTheme="majorBidi" w:hAnsiTheme="majorBidi" w:cstheme="majorBidi"/>
          <w:szCs w:val="24"/>
        </w:rPr>
        <w:t xml:space="preserve">, </w:t>
      </w:r>
      <w:r w:rsidR="000A7129">
        <w:rPr>
          <w:rFonts w:asciiTheme="majorBidi" w:hAnsiTheme="majorBidi" w:cstheme="majorBidi"/>
          <w:szCs w:val="24"/>
        </w:rPr>
        <w:t>[pers. C]</w:t>
      </w:r>
      <w:r>
        <w:rPr>
          <w:rFonts w:asciiTheme="majorBidi" w:hAnsiTheme="majorBidi" w:cstheme="majorBidi"/>
          <w:szCs w:val="24"/>
        </w:rPr>
        <w:t xml:space="preserve"> un </w:t>
      </w:r>
      <w:r w:rsidR="000A7129">
        <w:rPr>
          <w:rFonts w:asciiTheme="majorBidi" w:hAnsiTheme="majorBidi" w:cstheme="majorBidi"/>
          <w:szCs w:val="24"/>
        </w:rPr>
        <w:t>[pers. D]</w:t>
      </w:r>
      <w:r>
        <w:rPr>
          <w:rFonts w:asciiTheme="majorBidi" w:hAnsiTheme="majorBidi" w:cstheme="majorBidi"/>
          <w:szCs w:val="24"/>
        </w:rPr>
        <w:t xml:space="preserve"> piemērotais drošības līdzeklis – dzīvesvietas maiņas paziņošana – atcelts.</w:t>
      </w:r>
    </w:p>
    <w:p w14:paraId="0326CF6C" w14:textId="77777777" w:rsidR="002F5BB2" w:rsidRDefault="002F5BB2" w:rsidP="00C42EC0">
      <w:pPr>
        <w:widowControl w:val="0"/>
        <w:tabs>
          <w:tab w:val="left" w:pos="1710"/>
        </w:tabs>
        <w:spacing w:after="0" w:line="276" w:lineRule="auto"/>
        <w:ind w:firstLine="720"/>
        <w:jc w:val="both"/>
        <w:rPr>
          <w:rFonts w:asciiTheme="majorBidi" w:hAnsiTheme="majorBidi" w:cstheme="majorBidi"/>
          <w:szCs w:val="24"/>
        </w:rPr>
      </w:pPr>
    </w:p>
    <w:p w14:paraId="520FFB2D" w14:textId="12A409A3" w:rsidR="002F5BB2" w:rsidRDefault="002F5BB2"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w:t>
      </w:r>
      <w:r w:rsidR="009E0946">
        <w:rPr>
          <w:rFonts w:asciiTheme="majorBidi" w:hAnsiTheme="majorBidi" w:cstheme="majorBidi"/>
          <w:szCs w:val="24"/>
        </w:rPr>
        <w:t> </w:t>
      </w:r>
      <w:r w:rsidR="00E355FB">
        <w:rPr>
          <w:rFonts w:asciiTheme="majorBidi" w:hAnsiTheme="majorBidi" w:cstheme="majorBidi"/>
          <w:szCs w:val="24"/>
        </w:rPr>
        <w:t xml:space="preserve">Par apelācijas instances tiesas spriedumu apsūdzētais </w:t>
      </w:r>
      <w:r w:rsidR="00C54406">
        <w:rPr>
          <w:rFonts w:asciiTheme="majorBidi" w:hAnsiTheme="majorBidi" w:cstheme="majorBidi"/>
          <w:szCs w:val="24"/>
        </w:rPr>
        <w:t>[pers. A]</w:t>
      </w:r>
      <w:r w:rsidR="00E355FB">
        <w:rPr>
          <w:rFonts w:asciiTheme="majorBidi" w:hAnsiTheme="majorBidi" w:cstheme="majorBidi"/>
          <w:szCs w:val="24"/>
        </w:rPr>
        <w:t xml:space="preserve"> iesniedzis kasācijas sūdzību, </w:t>
      </w:r>
      <w:r w:rsidR="00BE7AA3">
        <w:rPr>
          <w:rFonts w:asciiTheme="majorBidi" w:hAnsiTheme="majorBidi" w:cstheme="majorBidi"/>
          <w:szCs w:val="24"/>
        </w:rPr>
        <w:t>kurā lūdz atcelt tiesas spriedumu daļā par viņa atzīšanu par vainīgu un sodīšanu pēc Krimināllikuma 327. panta pirmās daļas un atceltajā daļā nosūtīt lietu jaunai izskatīšanai apelācijas instances tiesā.</w:t>
      </w:r>
    </w:p>
    <w:p w14:paraId="6FF0C12C" w14:textId="5DB0F000" w:rsidR="00BE7AA3" w:rsidRDefault="00BE7AA3"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 lūgumu apsūdzētais </w:t>
      </w:r>
      <w:r w:rsidR="00C54406">
        <w:rPr>
          <w:rFonts w:asciiTheme="majorBidi" w:hAnsiTheme="majorBidi" w:cstheme="majorBidi"/>
          <w:szCs w:val="24"/>
        </w:rPr>
        <w:t xml:space="preserve">[pers. A] </w:t>
      </w:r>
      <w:r>
        <w:rPr>
          <w:rFonts w:asciiTheme="majorBidi" w:hAnsiTheme="majorBidi" w:cstheme="majorBidi"/>
          <w:szCs w:val="24"/>
        </w:rPr>
        <w:t>pamatojis ar šādiem argumentiem.</w:t>
      </w:r>
    </w:p>
    <w:p w14:paraId="0801AB96" w14:textId="4BD0F8B5" w:rsidR="00BE7AA3" w:rsidRDefault="00BE7AA3"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[4.1]</w:t>
      </w:r>
      <w:r w:rsidR="009E0946">
        <w:rPr>
          <w:rFonts w:asciiTheme="majorBidi" w:hAnsiTheme="majorBidi" w:cstheme="majorBidi"/>
          <w:szCs w:val="24"/>
        </w:rPr>
        <w:t> </w:t>
      </w:r>
      <w:r>
        <w:rPr>
          <w:rFonts w:asciiTheme="majorBidi" w:hAnsiTheme="majorBidi" w:cstheme="majorBidi"/>
          <w:szCs w:val="24"/>
        </w:rPr>
        <w:t xml:space="preserve">Tiesa apsūdzētā </w:t>
      </w:r>
      <w:r w:rsidR="00DE2639">
        <w:rPr>
          <w:rFonts w:asciiTheme="majorBidi" w:hAnsiTheme="majorBidi" w:cstheme="majorBidi"/>
          <w:szCs w:val="24"/>
        </w:rPr>
        <w:t>[pers. A]</w:t>
      </w:r>
      <w:r>
        <w:rPr>
          <w:rFonts w:asciiTheme="majorBidi" w:hAnsiTheme="majorBidi" w:cstheme="majorBidi"/>
          <w:szCs w:val="24"/>
        </w:rPr>
        <w:t xml:space="preserve"> darbībās nepareizi konstatējusi noziedzīgā nodarījuma sastāvu.</w:t>
      </w:r>
    </w:p>
    <w:p w14:paraId="47118A12" w14:textId="556684DE" w:rsidR="00BE7AA3" w:rsidRDefault="00BE7AA3"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[4.1.1]</w:t>
      </w:r>
      <w:r w:rsidR="009E0946">
        <w:rPr>
          <w:rFonts w:asciiTheme="majorBidi" w:hAnsiTheme="majorBidi" w:cstheme="majorBidi"/>
          <w:szCs w:val="24"/>
        </w:rPr>
        <w:t> </w:t>
      </w:r>
      <w:r>
        <w:rPr>
          <w:rFonts w:asciiTheme="majorBidi" w:hAnsiTheme="majorBidi" w:cstheme="majorBidi"/>
          <w:szCs w:val="24"/>
        </w:rPr>
        <w:t>Tiesa atzinusi apsūdzēto par vainīgu bezdarbībā, lai gan Krimināllikuma 327. pantā paredzēto noziedzīgo nodarījumu var izdarīt tikai ar nodomu, ko raksturo aktīvas darbības.</w:t>
      </w:r>
    </w:p>
    <w:p w14:paraId="7F3557DA" w14:textId="59042884" w:rsidR="00ED04DD" w:rsidRDefault="00ED04DD"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[4.1.2]</w:t>
      </w:r>
      <w:r w:rsidR="009E0946">
        <w:rPr>
          <w:rFonts w:asciiTheme="majorBidi" w:hAnsiTheme="majorBidi" w:cstheme="majorBidi"/>
          <w:szCs w:val="24"/>
        </w:rPr>
        <w:t> </w:t>
      </w:r>
      <w:r>
        <w:rPr>
          <w:rFonts w:asciiTheme="majorBidi" w:hAnsiTheme="majorBidi" w:cstheme="majorBidi"/>
          <w:szCs w:val="24"/>
        </w:rPr>
        <w:t>Tiesa nepamatoti secinājusi, ka Krimināllikuma 327. pantā paredzētā noziedzīgā nodarījuma motīvs un mērķis nav šī noziedzīgā nodarījuma sastāva obligāta pazīme, jo šāds secinājums ir pretrunā ar juridiskajā literatūrā paustajām atziņām, ka tīšos noziedzīgos nodarījumos motīvs un mērķis ir noziedzīgā nodarījuma subjektīvās puses pazīmes.</w:t>
      </w:r>
    </w:p>
    <w:p w14:paraId="30797C2A" w14:textId="22CC452C" w:rsidR="00422C89" w:rsidRDefault="003F7113"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[4.1.3]</w:t>
      </w:r>
      <w:r w:rsidR="009E0946">
        <w:rPr>
          <w:rFonts w:asciiTheme="majorBidi" w:hAnsiTheme="majorBidi" w:cstheme="majorBidi"/>
          <w:szCs w:val="24"/>
        </w:rPr>
        <w:t> </w:t>
      </w:r>
      <w:r>
        <w:rPr>
          <w:rFonts w:asciiTheme="majorBidi" w:hAnsiTheme="majorBidi" w:cstheme="majorBidi"/>
          <w:szCs w:val="24"/>
        </w:rPr>
        <w:t>Tiesa nepamatoti secinājusi, ka, iekļaujot dienesta dokumentos apsūdzībā norādīto patiesībai neatbilstoš</w:t>
      </w:r>
      <w:r w:rsidR="00FE3CBD">
        <w:rPr>
          <w:rFonts w:asciiTheme="majorBidi" w:hAnsiTheme="majorBidi" w:cstheme="majorBidi"/>
          <w:szCs w:val="24"/>
        </w:rPr>
        <w:t>o</w:t>
      </w:r>
      <w:r>
        <w:rPr>
          <w:rFonts w:asciiTheme="majorBidi" w:hAnsiTheme="majorBidi" w:cstheme="majorBidi"/>
          <w:szCs w:val="24"/>
        </w:rPr>
        <w:t xml:space="preserve"> informāciju, būtiski apdraudēta Valsts robežsardzes iespēja</w:t>
      </w:r>
      <w:r w:rsidR="00422C89">
        <w:rPr>
          <w:rFonts w:asciiTheme="majorBidi" w:hAnsiTheme="majorBidi" w:cstheme="majorBidi"/>
          <w:szCs w:val="24"/>
        </w:rPr>
        <w:t xml:space="preserve"> </w:t>
      </w:r>
      <w:r>
        <w:rPr>
          <w:rFonts w:asciiTheme="majorBidi" w:hAnsiTheme="majorBidi" w:cstheme="majorBidi"/>
          <w:szCs w:val="24"/>
        </w:rPr>
        <w:t>saņemt patiesu informāciju par norīkojuma uzdevumu precīzu izpildi un pārējo dienesta uzdevumu veicošo Valsts robežsardzes amatpersonu drošību</w:t>
      </w:r>
      <w:r w:rsidR="00422C89">
        <w:rPr>
          <w:rFonts w:asciiTheme="majorBidi" w:hAnsiTheme="majorBidi" w:cstheme="majorBidi"/>
          <w:szCs w:val="24"/>
        </w:rPr>
        <w:t xml:space="preserve">, kā arī iespēja </w:t>
      </w:r>
      <w:r>
        <w:rPr>
          <w:rFonts w:asciiTheme="majorBidi" w:hAnsiTheme="majorBidi" w:cstheme="majorBidi"/>
          <w:szCs w:val="24"/>
        </w:rPr>
        <w:t>izsekot valsts iestādes izsniegtā bruņojuma patiesajai apritei un izmantošanas mērķim. Tiesa nav ņēmusi vērā, ka apdraudējuma teorētiska iespējamība neveido inkriminētā noziedzīgā nodarījuma sastāvu</w:t>
      </w:r>
      <w:r w:rsidR="001924FA">
        <w:rPr>
          <w:rFonts w:asciiTheme="majorBidi" w:hAnsiTheme="majorBidi" w:cstheme="majorBidi"/>
          <w:szCs w:val="24"/>
        </w:rPr>
        <w:t xml:space="preserve">, nav norobežojusi katras amatpersonas pienākumus un atbildību, kā arī nav izvērtējusi apsūdzēto liecības, ka </w:t>
      </w:r>
      <w:r w:rsidR="00422C89">
        <w:rPr>
          <w:rFonts w:asciiTheme="majorBidi" w:hAnsiTheme="majorBidi" w:cstheme="majorBidi"/>
          <w:szCs w:val="24"/>
        </w:rPr>
        <w:t xml:space="preserve">dienesta dokumentos </w:t>
      </w:r>
      <w:r w:rsidR="001924FA">
        <w:rPr>
          <w:rFonts w:asciiTheme="majorBidi" w:hAnsiTheme="majorBidi" w:cstheme="majorBidi"/>
          <w:szCs w:val="24"/>
        </w:rPr>
        <w:t>konstatētās neprecizitātes par norīkojuma atgriešanās laiku neviens no viņiem tajā brīdī nav uzskatījis par būtisku apstākli, kas varētu ietekmēt Valsts robežsardzes darba gaitu.</w:t>
      </w:r>
    </w:p>
    <w:p w14:paraId="31FEABBF" w14:textId="31597B98" w:rsidR="00422C89" w:rsidRDefault="00422C8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[4.1.4]</w:t>
      </w:r>
      <w:r w:rsidR="00367B5A">
        <w:rPr>
          <w:rFonts w:asciiTheme="majorBidi" w:hAnsiTheme="majorBidi" w:cstheme="majorBidi"/>
          <w:szCs w:val="24"/>
        </w:rPr>
        <w:t> </w:t>
      </w:r>
      <w:r>
        <w:rPr>
          <w:rFonts w:asciiTheme="majorBidi" w:hAnsiTheme="majorBidi" w:cstheme="majorBidi"/>
          <w:szCs w:val="24"/>
        </w:rPr>
        <w:t xml:space="preserve">Tiesa nepamatoti atzinusi, ka apsūdzētais </w:t>
      </w:r>
      <w:r w:rsidR="00DE2639">
        <w:rPr>
          <w:rFonts w:asciiTheme="majorBidi" w:hAnsiTheme="majorBidi" w:cstheme="majorBidi"/>
          <w:szCs w:val="24"/>
        </w:rPr>
        <w:t>[pers. A]</w:t>
      </w:r>
      <w:r>
        <w:rPr>
          <w:rFonts w:asciiTheme="majorBidi" w:hAnsiTheme="majorBidi" w:cstheme="majorBidi"/>
          <w:szCs w:val="24"/>
        </w:rPr>
        <w:t xml:space="preserve"> dokumentu viltošanu izdarījis personu grupā ar apsūdzētajiem </w:t>
      </w:r>
      <w:r w:rsidR="000F28EB">
        <w:rPr>
          <w:rFonts w:asciiTheme="majorBidi" w:hAnsiTheme="majorBidi" w:cstheme="majorBidi"/>
          <w:szCs w:val="24"/>
        </w:rPr>
        <w:t>[pers. B]</w:t>
      </w:r>
      <w:r>
        <w:rPr>
          <w:rFonts w:asciiTheme="majorBidi" w:hAnsiTheme="majorBidi" w:cstheme="majorBidi"/>
          <w:szCs w:val="24"/>
        </w:rPr>
        <w:t xml:space="preserve"> un </w:t>
      </w:r>
      <w:r w:rsidR="000F28EB">
        <w:rPr>
          <w:rFonts w:asciiTheme="majorBidi" w:hAnsiTheme="majorBidi" w:cstheme="majorBidi"/>
          <w:szCs w:val="24"/>
        </w:rPr>
        <w:t>[pers. C]</w:t>
      </w:r>
      <w:r>
        <w:rPr>
          <w:rFonts w:asciiTheme="majorBidi" w:hAnsiTheme="majorBidi" w:cstheme="majorBidi"/>
          <w:szCs w:val="24"/>
        </w:rPr>
        <w:t>, jo nav konstatējusi, ka apsūdzētajiem ir bijis mērķis kopīgiem spēkiem izdarīt inkriminēto noziedzīgo nodarījumu.</w:t>
      </w:r>
    </w:p>
    <w:p w14:paraId="7DEE2CAA" w14:textId="6DAFA0CF" w:rsidR="006F07D9" w:rsidRDefault="00422C8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[4.2]</w:t>
      </w:r>
      <w:r w:rsidR="00367B5A">
        <w:rPr>
          <w:rFonts w:asciiTheme="majorBidi" w:hAnsiTheme="majorBidi" w:cstheme="majorBidi"/>
          <w:szCs w:val="24"/>
        </w:rPr>
        <w:t> </w:t>
      </w:r>
      <w:r>
        <w:rPr>
          <w:rFonts w:asciiTheme="majorBidi" w:hAnsiTheme="majorBidi" w:cstheme="majorBidi"/>
          <w:szCs w:val="24"/>
        </w:rPr>
        <w:t xml:space="preserve">Tiesa pārkāpusi Kriminālprocesa likuma </w:t>
      </w:r>
      <w:r w:rsidR="0079042D">
        <w:rPr>
          <w:rFonts w:asciiTheme="majorBidi" w:hAnsiTheme="majorBidi" w:cstheme="majorBidi"/>
          <w:szCs w:val="24"/>
        </w:rPr>
        <w:t>512. panta otro daļu un 564. panta ceturto daļu, jo konstatētos apstākļus nav pamatojusi ar lietā iegūtajiem pierādījumiem.</w:t>
      </w:r>
    </w:p>
    <w:p w14:paraId="28BEC8EA" w14:textId="7A452B83" w:rsidR="003F7113" w:rsidRDefault="006F07D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[4.2.1]</w:t>
      </w:r>
      <w:r w:rsidR="00367B5A">
        <w:rPr>
          <w:rFonts w:asciiTheme="majorBidi" w:hAnsiTheme="majorBidi" w:cstheme="majorBidi"/>
          <w:szCs w:val="24"/>
        </w:rPr>
        <w:t> </w:t>
      </w:r>
      <w:r>
        <w:rPr>
          <w:rFonts w:asciiTheme="majorBidi" w:hAnsiTheme="majorBidi" w:cstheme="majorBidi"/>
          <w:szCs w:val="24"/>
        </w:rPr>
        <w:t>Atzīstot</w:t>
      </w:r>
      <w:r w:rsidR="0079042D">
        <w:rPr>
          <w:rFonts w:asciiTheme="majorBidi" w:hAnsiTheme="majorBidi" w:cstheme="majorBidi"/>
          <w:szCs w:val="24"/>
        </w:rPr>
        <w:t xml:space="preserve">, ka </w:t>
      </w:r>
      <w:r w:rsidR="00444985">
        <w:rPr>
          <w:rFonts w:asciiTheme="majorBidi" w:hAnsiTheme="majorBidi" w:cstheme="majorBidi"/>
          <w:szCs w:val="24"/>
        </w:rPr>
        <w:t>[pers. A]</w:t>
      </w:r>
      <w:r w:rsidR="0079042D">
        <w:rPr>
          <w:rFonts w:asciiTheme="majorBidi" w:hAnsiTheme="majorBidi" w:cstheme="majorBidi"/>
          <w:szCs w:val="24"/>
        </w:rPr>
        <w:t xml:space="preserve"> bija pienākums pārbaudīt Valsts robežsardzes </w:t>
      </w:r>
      <w:r w:rsidR="00037FF3">
        <w:rPr>
          <w:rFonts w:asciiTheme="majorBidi" w:hAnsiTheme="majorBidi" w:cstheme="majorBidi"/>
          <w:szCs w:val="24"/>
        </w:rPr>
        <w:t>[Nosaukums A]</w:t>
      </w:r>
      <w:r w:rsidR="0079042D">
        <w:rPr>
          <w:rFonts w:asciiTheme="majorBidi" w:hAnsiTheme="majorBidi" w:cstheme="majorBidi"/>
          <w:szCs w:val="24"/>
        </w:rPr>
        <w:t xml:space="preserve"> pārvaldes </w:t>
      </w:r>
      <w:r w:rsidR="00037FF3">
        <w:rPr>
          <w:rFonts w:asciiTheme="majorBidi" w:hAnsiTheme="majorBidi" w:cstheme="majorBidi"/>
          <w:szCs w:val="24"/>
        </w:rPr>
        <w:t>[Nosaukums B]</w:t>
      </w:r>
      <w:r w:rsidR="0079042D">
        <w:rPr>
          <w:rFonts w:asciiTheme="majorBidi" w:hAnsiTheme="majorBidi" w:cstheme="majorBidi"/>
          <w:szCs w:val="24"/>
        </w:rPr>
        <w:t xml:space="preserve"> robežapsardzības nodaļas obligāti aizpildāmajos dienesta dokumentos norādītās informācijas atbilstību norīkojuma gaitai</w:t>
      </w:r>
      <w:r w:rsidR="00BB5998">
        <w:rPr>
          <w:rFonts w:asciiTheme="majorBidi" w:hAnsiTheme="majorBidi" w:cstheme="majorBidi"/>
          <w:szCs w:val="24"/>
        </w:rPr>
        <w:t xml:space="preserve">, tiesa nav norādījusi pierādījumus, kas apstiprina, ka </w:t>
      </w:r>
      <w:r w:rsidR="00635285">
        <w:rPr>
          <w:rFonts w:asciiTheme="majorBidi" w:hAnsiTheme="majorBidi" w:cstheme="majorBidi"/>
          <w:szCs w:val="24"/>
        </w:rPr>
        <w:t>[pers. A]</w:t>
      </w:r>
      <w:r w:rsidR="00BB5998">
        <w:rPr>
          <w:rFonts w:asciiTheme="majorBidi" w:hAnsiTheme="majorBidi" w:cstheme="majorBidi"/>
          <w:szCs w:val="24"/>
        </w:rPr>
        <w:t xml:space="preserve"> šāds pienākums bija uzlikts. Amata apraksta 5.18. punktā ir noteikts pienākums veikt, organizēt un kontrolēt noteiktajā kārtībā nodaļas dienesta dokumentu aizpildīšanu un noformēšanu. Tādējādi amatā aprakstā ir norādīts, ka iestādē ir noteikta kārtība, kādā ir aizpildāmi un noformējami dokumenti, taču ne amat</w:t>
      </w:r>
      <w:r w:rsidR="00B2769B">
        <w:rPr>
          <w:rFonts w:asciiTheme="majorBidi" w:hAnsiTheme="majorBidi" w:cstheme="majorBidi"/>
          <w:szCs w:val="24"/>
        </w:rPr>
        <w:t>a</w:t>
      </w:r>
      <w:r w:rsidR="00BB5998">
        <w:rPr>
          <w:rFonts w:asciiTheme="majorBidi" w:hAnsiTheme="majorBidi" w:cstheme="majorBidi"/>
          <w:szCs w:val="24"/>
        </w:rPr>
        <w:t xml:space="preserve"> aprakstā, ne kādā citā dokumentā nav noteikts, ka </w:t>
      </w:r>
      <w:r w:rsidR="00635285">
        <w:rPr>
          <w:rFonts w:asciiTheme="majorBidi" w:hAnsiTheme="majorBidi" w:cstheme="majorBidi"/>
          <w:szCs w:val="24"/>
        </w:rPr>
        <w:t>[pers. A]</w:t>
      </w:r>
      <w:r w:rsidR="00BB5998">
        <w:rPr>
          <w:rFonts w:asciiTheme="majorBidi" w:hAnsiTheme="majorBidi" w:cstheme="majorBidi"/>
          <w:szCs w:val="24"/>
        </w:rPr>
        <w:t xml:space="preserve"> kā norīkojuma vecākajam ir pienākums apliecināt kādu dokumentu pareizību.</w:t>
      </w:r>
      <w:r>
        <w:rPr>
          <w:rFonts w:asciiTheme="majorBidi" w:hAnsiTheme="majorBidi" w:cstheme="majorBidi"/>
          <w:szCs w:val="24"/>
        </w:rPr>
        <w:t xml:space="preserve"> Arī dokumentā </w:t>
      </w:r>
      <w:r w:rsidR="002B3F1F">
        <w:rPr>
          <w:rFonts w:asciiTheme="majorBidi" w:hAnsiTheme="majorBidi" w:cstheme="majorBidi"/>
          <w:szCs w:val="24"/>
        </w:rPr>
        <w:t>„</w:t>
      </w:r>
      <w:r>
        <w:rPr>
          <w:rFonts w:asciiTheme="majorBidi" w:hAnsiTheme="majorBidi" w:cstheme="majorBidi"/>
          <w:szCs w:val="24"/>
        </w:rPr>
        <w:t>Robežuzraudzības norīkojuma Nr. 305</w:t>
      </w:r>
      <w:r w:rsidR="00DC2684">
        <w:rPr>
          <w:rFonts w:asciiTheme="majorBidi" w:hAnsiTheme="majorBidi" w:cstheme="majorBidi"/>
          <w:szCs w:val="24"/>
        </w:rPr>
        <w:noBreakHyphen/>
      </w:r>
      <w:r>
        <w:rPr>
          <w:rFonts w:asciiTheme="majorBidi" w:hAnsiTheme="majorBidi" w:cstheme="majorBidi"/>
          <w:szCs w:val="24"/>
        </w:rPr>
        <w:t xml:space="preserve">13 izpilde” </w:t>
      </w:r>
      <w:r w:rsidR="00635285">
        <w:rPr>
          <w:rFonts w:asciiTheme="majorBidi" w:hAnsiTheme="majorBidi" w:cstheme="majorBidi"/>
          <w:szCs w:val="24"/>
        </w:rPr>
        <w:t>[pers. A]</w:t>
      </w:r>
      <w:r>
        <w:rPr>
          <w:rFonts w:asciiTheme="majorBidi" w:hAnsiTheme="majorBidi" w:cstheme="majorBidi"/>
          <w:szCs w:val="24"/>
        </w:rPr>
        <w:t xml:space="preserve"> ir parakstījies tikai par to, ka ir iepazinies ar šo dokumentu, nevis apliecinājis tā pareizību.</w:t>
      </w:r>
    </w:p>
    <w:p w14:paraId="67E24738" w14:textId="45E98168" w:rsidR="00E821CF" w:rsidRDefault="003777A8"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[4.2.2]</w:t>
      </w:r>
      <w:r w:rsidR="00DA138F">
        <w:rPr>
          <w:rFonts w:asciiTheme="majorBidi" w:hAnsiTheme="majorBidi" w:cstheme="majorBidi"/>
          <w:szCs w:val="24"/>
        </w:rPr>
        <w:t> </w:t>
      </w:r>
      <w:r w:rsidR="007852FF">
        <w:rPr>
          <w:rFonts w:asciiTheme="majorBidi" w:hAnsiTheme="majorBidi" w:cstheme="majorBidi"/>
          <w:szCs w:val="24"/>
        </w:rPr>
        <w:t>Konstatējot</w:t>
      </w:r>
      <w:r>
        <w:rPr>
          <w:rFonts w:asciiTheme="majorBidi" w:hAnsiTheme="majorBidi" w:cstheme="majorBidi"/>
          <w:szCs w:val="24"/>
        </w:rPr>
        <w:t xml:space="preserve">, ka </w:t>
      </w:r>
      <w:r w:rsidR="00635285">
        <w:rPr>
          <w:rFonts w:asciiTheme="majorBidi" w:hAnsiTheme="majorBidi" w:cstheme="majorBidi"/>
          <w:szCs w:val="24"/>
        </w:rPr>
        <w:t>[pers. A]</w:t>
      </w:r>
      <w:r w:rsidR="007852FF">
        <w:rPr>
          <w:rFonts w:asciiTheme="majorBidi" w:hAnsiTheme="majorBidi" w:cstheme="majorBidi"/>
          <w:szCs w:val="24"/>
        </w:rPr>
        <w:t xml:space="preserve"> norīkojuma izpildes dokumentos nav licis veikt labojumus par to, ka ne </w:t>
      </w:r>
      <w:r w:rsidR="00635285">
        <w:rPr>
          <w:rFonts w:asciiTheme="majorBidi" w:hAnsiTheme="majorBidi" w:cstheme="majorBidi"/>
          <w:szCs w:val="24"/>
        </w:rPr>
        <w:t>[pers. C]</w:t>
      </w:r>
      <w:r w:rsidR="007852FF">
        <w:rPr>
          <w:rFonts w:asciiTheme="majorBidi" w:hAnsiTheme="majorBidi" w:cstheme="majorBidi"/>
          <w:szCs w:val="24"/>
        </w:rPr>
        <w:t xml:space="preserve">, ne </w:t>
      </w:r>
      <w:r w:rsidR="00635285">
        <w:rPr>
          <w:rFonts w:asciiTheme="majorBidi" w:hAnsiTheme="majorBidi" w:cstheme="majorBidi"/>
          <w:szCs w:val="24"/>
        </w:rPr>
        <w:t>[pers. D]</w:t>
      </w:r>
      <w:r w:rsidR="007852FF">
        <w:rPr>
          <w:rFonts w:asciiTheme="majorBidi" w:hAnsiTheme="majorBidi" w:cstheme="majorBidi"/>
          <w:szCs w:val="24"/>
        </w:rPr>
        <w:t xml:space="preserve"> uz pārtraukuma laiku nav nodevuši bruņojumu, tiesa nav norādījusi pierādījumus, kas apstiprina, ka </w:t>
      </w:r>
      <w:r w:rsidR="00635285">
        <w:rPr>
          <w:rFonts w:asciiTheme="majorBidi" w:hAnsiTheme="majorBidi" w:cstheme="majorBidi"/>
          <w:szCs w:val="24"/>
        </w:rPr>
        <w:t>[pers. A]</w:t>
      </w:r>
      <w:r w:rsidR="007852FF">
        <w:rPr>
          <w:rFonts w:asciiTheme="majorBidi" w:hAnsiTheme="majorBidi" w:cstheme="majorBidi"/>
          <w:szCs w:val="24"/>
        </w:rPr>
        <w:t xml:space="preserve"> būtu bijis norīkots par personu, kura atbildīga par bruņojuma apriti. Amata aprakstā ir norādīts vienīgi vispārīgs pienākums kontrolēt, pārzināt un ievērot bruņojuma, speciālo līdzekļu, robežpārbaudes un robežuzraudzības </w:t>
      </w:r>
      <w:r w:rsidR="00E821CF">
        <w:rPr>
          <w:rFonts w:asciiTheme="majorBidi" w:hAnsiTheme="majorBidi" w:cstheme="majorBidi"/>
          <w:szCs w:val="24"/>
        </w:rPr>
        <w:t xml:space="preserve">tehnisko līdzekļu glabāšanas, izsniegšanas un pielietošanas kārtību. Bruņojuma aprites kārtību nosaka Bruņojuma aprites noteikumi. Atbilstoši šiem noteikumiem par bruņojuma izsniegšanu un glabāšanu ir atbildīgs struktūrvienības dežurants un pārvaldes (struktūrvienības) atbildīgā amatpersona, kura </w:t>
      </w:r>
      <w:r w:rsidR="00E821CF">
        <w:rPr>
          <w:rFonts w:asciiTheme="majorBidi" w:hAnsiTheme="majorBidi" w:cstheme="majorBidi"/>
          <w:szCs w:val="24"/>
        </w:rPr>
        <w:lastRenderedPageBreak/>
        <w:t>tiek noteikta ar pārvaldes priekšnieka pavēli.</w:t>
      </w:r>
    </w:p>
    <w:p w14:paraId="7A98F01F" w14:textId="19B0A454" w:rsidR="00E821CF" w:rsidRDefault="00E821CF"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[4.3]</w:t>
      </w:r>
      <w:r w:rsidR="00C51883">
        <w:rPr>
          <w:rFonts w:asciiTheme="majorBidi" w:hAnsiTheme="majorBidi" w:cstheme="majorBidi"/>
          <w:szCs w:val="24"/>
        </w:rPr>
        <w:t> </w:t>
      </w:r>
      <w:r>
        <w:rPr>
          <w:rFonts w:asciiTheme="majorBidi" w:hAnsiTheme="majorBidi" w:cstheme="majorBidi"/>
          <w:szCs w:val="24"/>
        </w:rPr>
        <w:t>Tiesas spriedums ir pretrunīgs.</w:t>
      </w:r>
    </w:p>
    <w:p w14:paraId="5E79EBCF" w14:textId="2B732279" w:rsidR="007B0BBE" w:rsidRDefault="00E821CF"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Tiesa ir atzinusi, ka </w:t>
      </w:r>
      <w:r w:rsidR="00B867A6">
        <w:rPr>
          <w:rFonts w:asciiTheme="majorBidi" w:hAnsiTheme="majorBidi" w:cstheme="majorBidi"/>
          <w:szCs w:val="24"/>
        </w:rPr>
        <w:t>[pers. C]</w:t>
      </w:r>
      <w:r>
        <w:rPr>
          <w:rFonts w:asciiTheme="majorBidi" w:hAnsiTheme="majorBidi" w:cstheme="majorBidi"/>
          <w:szCs w:val="24"/>
        </w:rPr>
        <w:t xml:space="preserve"> un </w:t>
      </w:r>
      <w:r w:rsidR="00B867A6">
        <w:rPr>
          <w:rFonts w:asciiTheme="majorBidi" w:hAnsiTheme="majorBidi" w:cstheme="majorBidi"/>
          <w:szCs w:val="24"/>
        </w:rPr>
        <w:t>[pers. D]</w:t>
      </w:r>
      <w:r>
        <w:rPr>
          <w:rFonts w:asciiTheme="majorBidi" w:hAnsiTheme="majorBidi" w:cstheme="majorBidi"/>
          <w:szCs w:val="24"/>
        </w:rPr>
        <w:t xml:space="preserve"> darbības, dienesta dokumentos norādot nepatiesu informāciju par atgriešanās laiku</w:t>
      </w:r>
      <w:r w:rsidR="00C77FF4" w:rsidRPr="00C77FF4">
        <w:rPr>
          <w:rFonts w:asciiTheme="majorBidi" w:hAnsiTheme="majorBidi" w:cstheme="majorBidi"/>
          <w:szCs w:val="24"/>
        </w:rPr>
        <w:t xml:space="preserve"> </w:t>
      </w:r>
      <w:r w:rsidR="00C77FF4">
        <w:rPr>
          <w:rFonts w:asciiTheme="majorBidi" w:hAnsiTheme="majorBidi" w:cstheme="majorBidi"/>
          <w:szCs w:val="24"/>
        </w:rPr>
        <w:t>pēc norīkojuma izpildes</w:t>
      </w:r>
      <w:r>
        <w:rPr>
          <w:rFonts w:asciiTheme="majorBidi" w:hAnsiTheme="majorBidi" w:cstheme="majorBidi"/>
          <w:szCs w:val="24"/>
        </w:rPr>
        <w:t xml:space="preserve">, nav būtiskas un nav radījušas apdraudējumu Valsts robežsardzes normālai darbībai. Vienlaikus tiesa secinājusi, ka </w:t>
      </w:r>
      <w:r w:rsidR="00B867A6">
        <w:rPr>
          <w:rFonts w:asciiTheme="majorBidi" w:hAnsiTheme="majorBidi" w:cstheme="majorBidi"/>
          <w:szCs w:val="24"/>
        </w:rPr>
        <w:t>[pers. A]</w:t>
      </w:r>
      <w:r>
        <w:rPr>
          <w:rFonts w:asciiTheme="majorBidi" w:hAnsiTheme="majorBidi" w:cstheme="majorBidi"/>
          <w:szCs w:val="24"/>
        </w:rPr>
        <w:t xml:space="preserve"> rīcība, parakstot </w:t>
      </w:r>
      <w:r w:rsidR="00B867A6">
        <w:rPr>
          <w:rFonts w:asciiTheme="majorBidi" w:hAnsiTheme="majorBidi" w:cstheme="majorBidi"/>
          <w:szCs w:val="24"/>
        </w:rPr>
        <w:t>[pers. C]</w:t>
      </w:r>
      <w:r>
        <w:rPr>
          <w:rFonts w:asciiTheme="majorBidi" w:hAnsiTheme="majorBidi" w:cstheme="majorBidi"/>
          <w:szCs w:val="24"/>
        </w:rPr>
        <w:t xml:space="preserve"> aizpildīto dienesta dokumentu, </w:t>
      </w:r>
      <w:r w:rsidR="007B0BBE">
        <w:rPr>
          <w:rFonts w:asciiTheme="majorBidi" w:hAnsiTheme="majorBidi" w:cstheme="majorBidi"/>
          <w:szCs w:val="24"/>
        </w:rPr>
        <w:t>ir radījusi būtisku apdraudējumu.</w:t>
      </w:r>
    </w:p>
    <w:p w14:paraId="53D3F935" w14:textId="34B1F7DB" w:rsidR="00E24088" w:rsidRDefault="007B0BBE"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[4.4]</w:t>
      </w:r>
      <w:r w:rsidR="00C51883">
        <w:rPr>
          <w:rFonts w:asciiTheme="majorBidi" w:hAnsiTheme="majorBidi" w:cstheme="majorBidi"/>
          <w:szCs w:val="24"/>
        </w:rPr>
        <w:t> </w:t>
      </w:r>
      <w:r>
        <w:rPr>
          <w:rFonts w:asciiTheme="majorBidi" w:hAnsiTheme="majorBidi" w:cstheme="majorBidi"/>
          <w:szCs w:val="24"/>
        </w:rPr>
        <w:t xml:space="preserve">Apsūdzētā </w:t>
      </w:r>
      <w:r w:rsidR="006F1070">
        <w:rPr>
          <w:rFonts w:asciiTheme="majorBidi" w:hAnsiTheme="majorBidi" w:cstheme="majorBidi"/>
          <w:szCs w:val="24"/>
        </w:rPr>
        <w:t>[pers. A]</w:t>
      </w:r>
      <w:r w:rsidDel="00C77FF4">
        <w:rPr>
          <w:rFonts w:asciiTheme="majorBidi" w:hAnsiTheme="majorBidi" w:cstheme="majorBidi"/>
          <w:szCs w:val="24"/>
        </w:rPr>
        <w:t xml:space="preserve"> paskaidrojumi administratīvā procesa ietvaros saskaņā ar Kriminālprocesa likuma 130. panta pirmās daļas 4. punktu nav pieļaujami</w:t>
      </w:r>
      <w:r w:rsidR="00096007" w:rsidDel="00C77FF4">
        <w:rPr>
          <w:rFonts w:asciiTheme="majorBidi" w:hAnsiTheme="majorBidi" w:cstheme="majorBidi"/>
          <w:szCs w:val="24"/>
        </w:rPr>
        <w:t xml:space="preserve">, jo tie nav sniegti procesa virzītājam, turklāt šo paskaidrojumu sniegšanas laikā apsūdzētais nebija brīdināts par tiesībām neliecināt un to, ka šo liecību var izmantot pret viņu. Šāds paskaidrojums nav atzīstams arī par dokumentu, </w:t>
      </w:r>
      <w:r w:rsidR="00E24088" w:rsidDel="00C77FF4">
        <w:rPr>
          <w:rFonts w:asciiTheme="majorBidi" w:hAnsiTheme="majorBidi" w:cstheme="majorBidi"/>
          <w:szCs w:val="24"/>
        </w:rPr>
        <w:t xml:space="preserve">jo atbilstoši Kriminālprocesa likuma 131. pantam ziņas, ko persona sniedz par pierādāmajiem faktiem un palīgfaktiem, ir liecība neatkarīgi no formas un nosaukuma. Turklāt tiesa nav izvērtējusi apsūdzētā </w:t>
      </w:r>
      <w:r w:rsidR="006F1070">
        <w:rPr>
          <w:rFonts w:asciiTheme="majorBidi" w:hAnsiTheme="majorBidi" w:cstheme="majorBidi"/>
          <w:szCs w:val="24"/>
        </w:rPr>
        <w:t>[pers. A]</w:t>
      </w:r>
      <w:r w:rsidR="00E24088" w:rsidDel="00C77FF4">
        <w:rPr>
          <w:rFonts w:asciiTheme="majorBidi" w:hAnsiTheme="majorBidi" w:cstheme="majorBidi"/>
          <w:szCs w:val="24"/>
        </w:rPr>
        <w:t xml:space="preserve"> rakstveida liecību un skaidrojumu par to, kāpēc dienesta pārbaudes laikā viņš ir izteicies par bruņojuma nenodošanu.</w:t>
      </w:r>
    </w:p>
    <w:p w14:paraId="7EC73FFA" w14:textId="77777777" w:rsidR="00871B01" w:rsidRDefault="00871B01" w:rsidP="00C42EC0">
      <w:pPr>
        <w:widowControl w:val="0"/>
        <w:tabs>
          <w:tab w:val="left" w:pos="1710"/>
        </w:tabs>
        <w:spacing w:after="0" w:line="276" w:lineRule="auto"/>
        <w:ind w:firstLine="720"/>
        <w:jc w:val="both"/>
        <w:rPr>
          <w:rFonts w:asciiTheme="majorBidi" w:hAnsiTheme="majorBidi" w:cstheme="majorBidi"/>
          <w:szCs w:val="24"/>
        </w:rPr>
      </w:pPr>
    </w:p>
    <w:p w14:paraId="2FC315E4" w14:textId="6A16C0A1" w:rsidR="00F255CD" w:rsidRDefault="00871B01"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w:t>
      </w:r>
      <w:r w:rsidR="00C51883">
        <w:rPr>
          <w:rFonts w:asciiTheme="majorBidi" w:hAnsiTheme="majorBidi" w:cstheme="majorBidi"/>
          <w:szCs w:val="24"/>
        </w:rPr>
        <w:t> </w:t>
      </w:r>
      <w:r>
        <w:rPr>
          <w:rFonts w:asciiTheme="majorBidi" w:hAnsiTheme="majorBidi" w:cstheme="majorBidi"/>
          <w:szCs w:val="24"/>
        </w:rPr>
        <w:t>Par apelācijas instances tiesas spriedumu apsūdzētais</w:t>
      </w:r>
      <w:r w:rsidR="00F255CD">
        <w:rPr>
          <w:rFonts w:asciiTheme="majorBidi" w:hAnsiTheme="majorBidi" w:cstheme="majorBidi"/>
          <w:szCs w:val="24"/>
        </w:rPr>
        <w:t xml:space="preserve"> </w:t>
      </w:r>
      <w:r w:rsidR="006F1070">
        <w:rPr>
          <w:rFonts w:asciiTheme="majorBidi" w:hAnsiTheme="majorBidi" w:cstheme="majorBidi"/>
          <w:szCs w:val="24"/>
        </w:rPr>
        <w:t>[pers. B]</w:t>
      </w:r>
      <w:r w:rsidR="00F255CD">
        <w:rPr>
          <w:rFonts w:asciiTheme="majorBidi" w:hAnsiTheme="majorBidi" w:cstheme="majorBidi"/>
          <w:szCs w:val="24"/>
        </w:rPr>
        <w:t xml:space="preserve"> iesniedzis kasācijas sūdzību, kurā lūdz atcelt tiesas spriedumu pilnībā un nosūtīt lietu jaunai izskatīšanai.</w:t>
      </w:r>
    </w:p>
    <w:p w14:paraId="00CD66ED" w14:textId="51E09D5C" w:rsidR="00F255CD" w:rsidRDefault="00F255CD"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 lūgumu apsūdzētais </w:t>
      </w:r>
      <w:r w:rsidR="006F1070">
        <w:rPr>
          <w:rFonts w:asciiTheme="majorBidi" w:hAnsiTheme="majorBidi" w:cstheme="majorBidi"/>
          <w:szCs w:val="24"/>
        </w:rPr>
        <w:t>[pers. B]</w:t>
      </w:r>
      <w:r>
        <w:rPr>
          <w:rFonts w:asciiTheme="majorBidi" w:hAnsiTheme="majorBidi" w:cstheme="majorBidi"/>
          <w:szCs w:val="24"/>
        </w:rPr>
        <w:t xml:space="preserve"> pamatojis ar šādiem argumentiem.</w:t>
      </w:r>
    </w:p>
    <w:p w14:paraId="1150AAF8" w14:textId="34A4D0D7" w:rsidR="00F255CD" w:rsidRDefault="00F255CD"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[5.1]</w:t>
      </w:r>
      <w:r w:rsidR="00C51883">
        <w:rPr>
          <w:rFonts w:asciiTheme="majorBidi" w:hAnsiTheme="majorBidi" w:cstheme="majorBidi"/>
          <w:szCs w:val="24"/>
        </w:rPr>
        <w:t> </w:t>
      </w:r>
      <w:r>
        <w:rPr>
          <w:rFonts w:asciiTheme="majorBidi" w:hAnsiTheme="majorBidi" w:cstheme="majorBidi"/>
          <w:szCs w:val="24"/>
        </w:rPr>
        <w:t>Tiesa pārkāpusi Kriminālprocesa likuma 20. pantā noteiktās apsūdzētā tiesības uz aizstāvību, jo pierādītā noziedzīgā nodarījuma aprakstā nav norādījusi noziedzīgā nodarījuma objektu.</w:t>
      </w:r>
    </w:p>
    <w:p w14:paraId="7C41C757" w14:textId="4CFD844A" w:rsidR="00F255CD" w:rsidRDefault="00F255CD"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[5.2]</w:t>
      </w:r>
      <w:r w:rsidR="00DC2684">
        <w:rPr>
          <w:rFonts w:asciiTheme="majorBidi" w:hAnsiTheme="majorBidi" w:cstheme="majorBidi"/>
          <w:szCs w:val="24"/>
        </w:rPr>
        <w:t> </w:t>
      </w:r>
      <w:r>
        <w:rPr>
          <w:rFonts w:asciiTheme="majorBidi" w:hAnsiTheme="majorBidi" w:cstheme="majorBidi"/>
          <w:szCs w:val="24"/>
        </w:rPr>
        <w:t>Tiesas spriedums ir pretrunīgs.</w:t>
      </w:r>
    </w:p>
    <w:p w14:paraId="1DF7F5D4" w14:textId="7033E3A3" w:rsidR="00871B01" w:rsidRDefault="00F255CD"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Tiesa secinājusi, ka noziedzīgais nodarījums nav izdarīts personu grupā pēc iepriekšējas vienošanās.</w:t>
      </w:r>
      <w:r w:rsidR="00871B01">
        <w:rPr>
          <w:rFonts w:asciiTheme="majorBidi" w:hAnsiTheme="majorBidi" w:cstheme="majorBidi"/>
          <w:szCs w:val="24"/>
        </w:rPr>
        <w:t xml:space="preserve"> </w:t>
      </w:r>
      <w:r>
        <w:rPr>
          <w:rFonts w:asciiTheme="majorBidi" w:hAnsiTheme="majorBidi" w:cstheme="majorBidi"/>
          <w:szCs w:val="24"/>
        </w:rPr>
        <w:t>Vienlaikus personu grupas esību starp apsūdzētajiem</w:t>
      </w:r>
      <w:r w:rsidR="00432AA6">
        <w:rPr>
          <w:rFonts w:asciiTheme="majorBidi" w:hAnsiTheme="majorBidi" w:cstheme="majorBidi"/>
          <w:szCs w:val="24"/>
        </w:rPr>
        <w:t xml:space="preserve"> </w:t>
      </w:r>
      <w:r w:rsidR="000D66F6">
        <w:rPr>
          <w:rFonts w:asciiTheme="majorBidi" w:hAnsiTheme="majorBidi" w:cstheme="majorBidi"/>
          <w:szCs w:val="24"/>
        </w:rPr>
        <w:t>[pers. A]</w:t>
      </w:r>
      <w:r w:rsidR="00432AA6">
        <w:rPr>
          <w:rFonts w:asciiTheme="majorBidi" w:hAnsiTheme="majorBidi" w:cstheme="majorBidi"/>
          <w:szCs w:val="24"/>
        </w:rPr>
        <w:t xml:space="preserve"> un</w:t>
      </w:r>
      <w:r>
        <w:rPr>
          <w:rFonts w:asciiTheme="majorBidi" w:hAnsiTheme="majorBidi" w:cstheme="majorBidi"/>
          <w:szCs w:val="24"/>
        </w:rPr>
        <w:t xml:space="preserve"> </w:t>
      </w:r>
      <w:r w:rsidR="000D66F6">
        <w:rPr>
          <w:rFonts w:asciiTheme="majorBidi" w:hAnsiTheme="majorBidi" w:cstheme="majorBidi"/>
          <w:szCs w:val="24"/>
        </w:rPr>
        <w:t>[pers. B]</w:t>
      </w:r>
      <w:r w:rsidR="00432AA6">
        <w:rPr>
          <w:rFonts w:asciiTheme="majorBidi" w:hAnsiTheme="majorBidi" w:cstheme="majorBidi"/>
          <w:szCs w:val="24"/>
        </w:rPr>
        <w:t xml:space="preserve"> tiesa atzinusi par atbildību pastiprinošu apstākli.</w:t>
      </w:r>
    </w:p>
    <w:p w14:paraId="009D1B81" w14:textId="43D89025" w:rsidR="00432AA6" w:rsidRDefault="00432AA6"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[5.3]</w:t>
      </w:r>
      <w:r w:rsidR="00DC2684">
        <w:rPr>
          <w:rFonts w:asciiTheme="majorBidi" w:hAnsiTheme="majorBidi" w:cstheme="majorBidi"/>
          <w:szCs w:val="24"/>
        </w:rPr>
        <w:t> </w:t>
      </w:r>
      <w:r>
        <w:rPr>
          <w:rFonts w:asciiTheme="majorBidi" w:hAnsiTheme="majorBidi" w:cstheme="majorBidi"/>
          <w:szCs w:val="24"/>
        </w:rPr>
        <w:t xml:space="preserve">Tiesa atstājusi bez ievērības apsūdzētā </w:t>
      </w:r>
      <w:r w:rsidR="000D66F6">
        <w:rPr>
          <w:rFonts w:asciiTheme="majorBidi" w:hAnsiTheme="majorBidi" w:cstheme="majorBidi"/>
          <w:szCs w:val="24"/>
        </w:rPr>
        <w:t>[pers. B]</w:t>
      </w:r>
      <w:r>
        <w:rPr>
          <w:rFonts w:asciiTheme="majorBidi" w:hAnsiTheme="majorBidi" w:cstheme="majorBidi"/>
          <w:szCs w:val="24"/>
        </w:rPr>
        <w:t xml:space="preserve"> liecības, ka viņš nav apzinājies, ka dokumentos ietvertas patiesībai neatbilstošas ziņas, jo normatīvajos aktos nav precīzi atrunāta ieroču nodošanas kārtība. Turklāt praksē ieroču nodošanas process dažādos posteņos un dažādā laikā atšķīrās atkarībā no personas, kas ieņēma priekšnieka amatu. Tāpat tiesa nav ņēmusi vērā apsūdzētā liecības par to, ka, interpretējot saistošos normatīvos aktus, viņš nonācis pie secinājuma, ka </w:t>
      </w:r>
      <w:r w:rsidR="00763886">
        <w:rPr>
          <w:rFonts w:asciiTheme="majorBidi" w:hAnsiTheme="majorBidi" w:cstheme="majorBidi"/>
          <w:szCs w:val="24"/>
        </w:rPr>
        <w:t>ieroču aprites noteikumu galvenais mērķis ir</w:t>
      </w:r>
      <w:r w:rsidR="000A58B9">
        <w:rPr>
          <w:rFonts w:asciiTheme="majorBidi" w:hAnsiTheme="majorBidi" w:cstheme="majorBidi"/>
          <w:szCs w:val="24"/>
        </w:rPr>
        <w:t>, lai notiktu ieroču kontrole un ieroči bez atļaujas netiktu iznesti ārpus robežkontroles punkta teritorijas.</w:t>
      </w:r>
      <w:r w:rsidR="0085213B">
        <w:rPr>
          <w:rFonts w:asciiTheme="majorBidi" w:hAnsiTheme="majorBidi" w:cstheme="majorBidi"/>
          <w:szCs w:val="24"/>
        </w:rPr>
        <w:t xml:space="preserve"> Apsūdzētais šīs prasības ir nodrošinājis, proti, pēc </w:t>
      </w:r>
      <w:r w:rsidR="000D66F6">
        <w:rPr>
          <w:rFonts w:asciiTheme="majorBidi" w:hAnsiTheme="majorBidi" w:cstheme="majorBidi"/>
          <w:szCs w:val="24"/>
        </w:rPr>
        <w:t>[pers. C]</w:t>
      </w:r>
      <w:r w:rsidR="0085213B">
        <w:rPr>
          <w:rFonts w:asciiTheme="majorBidi" w:hAnsiTheme="majorBidi" w:cstheme="majorBidi"/>
          <w:szCs w:val="24"/>
        </w:rPr>
        <w:t xml:space="preserve"> un </w:t>
      </w:r>
      <w:r w:rsidR="000D66F6">
        <w:rPr>
          <w:rFonts w:asciiTheme="majorBidi" w:hAnsiTheme="majorBidi" w:cstheme="majorBidi"/>
          <w:szCs w:val="24"/>
        </w:rPr>
        <w:t>[pers. D]</w:t>
      </w:r>
      <w:r w:rsidR="0085213B">
        <w:rPr>
          <w:rFonts w:asciiTheme="majorBidi" w:hAnsiTheme="majorBidi" w:cstheme="majorBidi"/>
          <w:szCs w:val="24"/>
        </w:rPr>
        <w:t xml:space="preserve"> ierašanās apskatījis viņu ieročus un aptveres, parakstījis ierakstu, ka ieroči ir nodoti, un uzreiz veicis ierakstu, ka ieroči ir izsniegti. </w:t>
      </w:r>
      <w:r w:rsidR="00763886">
        <w:rPr>
          <w:rFonts w:asciiTheme="majorBidi" w:hAnsiTheme="majorBidi" w:cstheme="majorBidi"/>
          <w:szCs w:val="24"/>
        </w:rPr>
        <w:t xml:space="preserve">Prasība šādos apstākļos ienest ieročus un aptveres ieroču istabā, lai uzreiz pēc tam tos iznestu ārā un izsniegtu </w:t>
      </w:r>
      <w:r w:rsidR="00EC3B27">
        <w:rPr>
          <w:rFonts w:asciiTheme="majorBidi" w:hAnsiTheme="majorBidi" w:cstheme="majorBidi"/>
          <w:szCs w:val="24"/>
        </w:rPr>
        <w:t>[pers. C]</w:t>
      </w:r>
      <w:r w:rsidR="00763886">
        <w:rPr>
          <w:rFonts w:asciiTheme="majorBidi" w:hAnsiTheme="majorBidi" w:cstheme="majorBidi"/>
          <w:szCs w:val="24"/>
        </w:rPr>
        <w:t xml:space="preserve"> un </w:t>
      </w:r>
      <w:r w:rsidR="00EC3B27">
        <w:rPr>
          <w:rFonts w:asciiTheme="majorBidi" w:hAnsiTheme="majorBidi" w:cstheme="majorBidi"/>
          <w:szCs w:val="24"/>
        </w:rPr>
        <w:t>[pers. D]</w:t>
      </w:r>
      <w:r w:rsidR="00763886">
        <w:rPr>
          <w:rFonts w:asciiTheme="majorBidi" w:hAnsiTheme="majorBidi" w:cstheme="majorBidi"/>
          <w:szCs w:val="24"/>
        </w:rPr>
        <w:t>, nav loģiski pamatota.</w:t>
      </w:r>
    </w:p>
    <w:p w14:paraId="06A022BE" w14:textId="38DF77C0" w:rsidR="00D92C32" w:rsidRDefault="00763886"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[5.4] Tiesa nav ņēmusi vērā </w:t>
      </w:r>
      <w:r w:rsidR="00D92C32">
        <w:rPr>
          <w:rFonts w:asciiTheme="majorBidi" w:hAnsiTheme="majorBidi" w:cstheme="majorBidi"/>
          <w:szCs w:val="24"/>
        </w:rPr>
        <w:t xml:space="preserve">liecinieku – </w:t>
      </w:r>
      <w:r>
        <w:rPr>
          <w:rFonts w:asciiTheme="majorBidi" w:hAnsiTheme="majorBidi" w:cstheme="majorBidi"/>
          <w:szCs w:val="24"/>
        </w:rPr>
        <w:t>Valsts robežsardzes pārstāvju</w:t>
      </w:r>
      <w:r w:rsidR="00D92C32">
        <w:rPr>
          <w:rFonts w:asciiTheme="majorBidi" w:hAnsiTheme="majorBidi" w:cstheme="majorBidi"/>
          <w:szCs w:val="24"/>
        </w:rPr>
        <w:t xml:space="preserve"> –</w:t>
      </w:r>
      <w:r>
        <w:rPr>
          <w:rFonts w:asciiTheme="majorBidi" w:hAnsiTheme="majorBidi" w:cstheme="majorBidi"/>
          <w:szCs w:val="24"/>
        </w:rPr>
        <w:t xml:space="preserve"> liecības par to, ka iekšējie normatīvie akti daļēji neatbilst </w:t>
      </w:r>
      <w:r w:rsidR="00007EB0">
        <w:rPr>
          <w:rFonts w:asciiTheme="majorBidi" w:hAnsiTheme="majorBidi" w:cstheme="majorBidi"/>
          <w:szCs w:val="24"/>
        </w:rPr>
        <w:t>faktiskajiem</w:t>
      </w:r>
      <w:r>
        <w:rPr>
          <w:rFonts w:asciiTheme="majorBidi" w:hAnsiTheme="majorBidi" w:cstheme="majorBidi"/>
          <w:szCs w:val="24"/>
        </w:rPr>
        <w:t xml:space="preserve"> apstākļiem, </w:t>
      </w:r>
      <w:r w:rsidR="00D92C32">
        <w:rPr>
          <w:rFonts w:asciiTheme="majorBidi" w:hAnsiTheme="majorBidi" w:cstheme="majorBidi"/>
          <w:szCs w:val="24"/>
        </w:rPr>
        <w:t xml:space="preserve">jo sakaru pārbaudes būtība ir pārliecināties par norīkojuma atrašanās vietu un veikt kontroli, tādēļ tā vairs netiek veikta tikai ar telefona vai rācijas palīdzību, bet tiek izmantoti arī citi līdzekļi – videonovērošanas kameras, fotokameras un </w:t>
      </w:r>
      <w:r w:rsidR="00824117">
        <w:rPr>
          <w:rFonts w:asciiTheme="majorBidi" w:hAnsiTheme="majorBidi" w:cstheme="majorBidi"/>
          <w:szCs w:val="24"/>
        </w:rPr>
        <w:t>Robežuzraudzības un kontroles sistēma.</w:t>
      </w:r>
    </w:p>
    <w:p w14:paraId="3C9B3F2D" w14:textId="6120A9F1" w:rsidR="00824117" w:rsidRDefault="00824117"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[5.5]</w:t>
      </w:r>
      <w:r w:rsidR="00DC2684">
        <w:rPr>
          <w:rFonts w:asciiTheme="majorBidi" w:hAnsiTheme="majorBidi" w:cstheme="majorBidi"/>
          <w:szCs w:val="24"/>
        </w:rPr>
        <w:t> </w:t>
      </w:r>
      <w:r>
        <w:rPr>
          <w:rFonts w:asciiTheme="majorBidi" w:hAnsiTheme="majorBidi" w:cstheme="majorBidi"/>
          <w:szCs w:val="24"/>
        </w:rPr>
        <w:t>Tiesa nav ņēmusi vērā vairāku liecinieku, tai skaitā liecinieces</w:t>
      </w:r>
      <w:r w:rsidR="00BD32D1">
        <w:rPr>
          <w:rFonts w:asciiTheme="majorBidi" w:hAnsiTheme="majorBidi" w:cstheme="majorBidi"/>
          <w:szCs w:val="24"/>
        </w:rPr>
        <w:t xml:space="preserve"> </w:t>
      </w:r>
      <w:r w:rsidR="00C537A0">
        <w:rPr>
          <w:rFonts w:asciiTheme="majorBidi" w:hAnsiTheme="majorBidi" w:cstheme="majorBidi"/>
          <w:szCs w:val="24"/>
        </w:rPr>
        <w:t>[pers. E]</w:t>
      </w:r>
      <w:r w:rsidR="003B0CFD">
        <w:rPr>
          <w:rFonts w:asciiTheme="majorBidi" w:hAnsiTheme="majorBidi" w:cstheme="majorBidi"/>
          <w:szCs w:val="24"/>
        </w:rPr>
        <w:t>,</w:t>
      </w:r>
      <w:r w:rsidR="00BD32D1">
        <w:rPr>
          <w:rFonts w:asciiTheme="majorBidi" w:hAnsiTheme="majorBidi" w:cstheme="majorBidi"/>
          <w:szCs w:val="24"/>
        </w:rPr>
        <w:t xml:space="preserve"> liecības</w:t>
      </w:r>
      <w:r w:rsidR="003B0CFD">
        <w:rPr>
          <w:rFonts w:asciiTheme="majorBidi" w:hAnsiTheme="majorBidi" w:cstheme="majorBidi"/>
          <w:szCs w:val="24"/>
        </w:rPr>
        <w:t xml:space="preserve"> par to, ka apsūdzētajam </w:t>
      </w:r>
      <w:r w:rsidR="00DD6C6D">
        <w:rPr>
          <w:rFonts w:asciiTheme="majorBidi" w:hAnsiTheme="majorBidi" w:cstheme="majorBidi"/>
          <w:szCs w:val="24"/>
        </w:rPr>
        <w:t>[pers. B]</w:t>
      </w:r>
      <w:r w:rsidR="003B0CFD">
        <w:rPr>
          <w:rFonts w:asciiTheme="majorBidi" w:hAnsiTheme="majorBidi" w:cstheme="majorBidi"/>
          <w:szCs w:val="24"/>
        </w:rPr>
        <w:t xml:space="preserve"> inkriminētās darbības nav radījušas kaitējumu. Arī tiesa nav </w:t>
      </w:r>
      <w:r w:rsidR="001B1FA3">
        <w:rPr>
          <w:rFonts w:asciiTheme="majorBidi" w:hAnsiTheme="majorBidi" w:cstheme="majorBidi"/>
          <w:szCs w:val="24"/>
        </w:rPr>
        <w:t>norādījusi</w:t>
      </w:r>
      <w:r w:rsidR="003B0CFD">
        <w:rPr>
          <w:rFonts w:asciiTheme="majorBidi" w:hAnsiTheme="majorBidi" w:cstheme="majorBidi"/>
          <w:szCs w:val="24"/>
        </w:rPr>
        <w:t xml:space="preserve">, kā izpaudies ar apsūdzētā </w:t>
      </w:r>
      <w:r w:rsidR="00DD6C6D">
        <w:rPr>
          <w:rFonts w:asciiTheme="majorBidi" w:hAnsiTheme="majorBidi" w:cstheme="majorBidi"/>
          <w:szCs w:val="24"/>
        </w:rPr>
        <w:t>[pers. B]</w:t>
      </w:r>
      <w:r w:rsidR="003B0CFD">
        <w:rPr>
          <w:rFonts w:asciiTheme="majorBidi" w:hAnsiTheme="majorBidi" w:cstheme="majorBidi"/>
          <w:szCs w:val="24"/>
        </w:rPr>
        <w:t xml:space="preserve"> darbībām radītais kaitējums.</w:t>
      </w:r>
      <w:r w:rsidR="001B1FA3">
        <w:rPr>
          <w:rFonts w:asciiTheme="majorBidi" w:hAnsiTheme="majorBidi" w:cstheme="majorBidi"/>
          <w:szCs w:val="24"/>
        </w:rPr>
        <w:t xml:space="preserve"> Tāpat tiesa nav pamatojusi, kādēļ pret apsūdzētajiem </w:t>
      </w:r>
      <w:r w:rsidR="00DD6C6D">
        <w:rPr>
          <w:rFonts w:asciiTheme="majorBidi" w:hAnsiTheme="majorBidi" w:cstheme="majorBidi"/>
          <w:szCs w:val="24"/>
        </w:rPr>
        <w:t>[pers. C]</w:t>
      </w:r>
      <w:r w:rsidR="001B1FA3">
        <w:rPr>
          <w:rFonts w:asciiTheme="majorBidi" w:hAnsiTheme="majorBidi" w:cstheme="majorBidi"/>
          <w:szCs w:val="24"/>
        </w:rPr>
        <w:t xml:space="preserve"> un </w:t>
      </w:r>
      <w:r w:rsidR="00DD6C6D">
        <w:rPr>
          <w:rFonts w:asciiTheme="majorBidi" w:hAnsiTheme="majorBidi" w:cstheme="majorBidi"/>
          <w:szCs w:val="24"/>
        </w:rPr>
        <w:t>[pers. D]</w:t>
      </w:r>
      <w:r w:rsidR="001B1FA3">
        <w:rPr>
          <w:rFonts w:asciiTheme="majorBidi" w:hAnsiTheme="majorBidi" w:cstheme="majorBidi"/>
          <w:szCs w:val="24"/>
        </w:rPr>
        <w:t xml:space="preserve"> kriminālprocess ir izbeigts, bet pret apsūdzētajiem </w:t>
      </w:r>
      <w:r w:rsidR="00DD6C6D">
        <w:rPr>
          <w:rFonts w:asciiTheme="majorBidi" w:hAnsiTheme="majorBidi" w:cstheme="majorBidi"/>
          <w:szCs w:val="24"/>
        </w:rPr>
        <w:t>[pers. A]</w:t>
      </w:r>
      <w:r w:rsidR="001B1FA3">
        <w:rPr>
          <w:rFonts w:asciiTheme="majorBidi" w:hAnsiTheme="majorBidi" w:cstheme="majorBidi"/>
          <w:szCs w:val="24"/>
        </w:rPr>
        <w:t xml:space="preserve"> un </w:t>
      </w:r>
      <w:r w:rsidR="00DD6C6D">
        <w:rPr>
          <w:rFonts w:asciiTheme="majorBidi" w:hAnsiTheme="majorBidi" w:cstheme="majorBidi"/>
          <w:szCs w:val="24"/>
        </w:rPr>
        <w:t>[pers. B]</w:t>
      </w:r>
      <w:r w:rsidR="001B1FA3">
        <w:rPr>
          <w:rFonts w:asciiTheme="majorBidi" w:hAnsiTheme="majorBidi" w:cstheme="majorBidi"/>
          <w:szCs w:val="24"/>
        </w:rPr>
        <w:t xml:space="preserve"> par nodarījumu ar tādām pašām sekām kriminālprocess tiek turpināts.</w:t>
      </w:r>
    </w:p>
    <w:p w14:paraId="61DA3228" w14:textId="171462A8" w:rsidR="002A7748" w:rsidRDefault="002A7748" w:rsidP="00C42EC0">
      <w:pPr>
        <w:widowControl w:val="0"/>
        <w:tabs>
          <w:tab w:val="left" w:pos="1710"/>
        </w:tabs>
        <w:spacing w:after="0" w:line="276" w:lineRule="auto"/>
        <w:ind w:firstLine="720"/>
        <w:jc w:val="both"/>
        <w:rPr>
          <w:rFonts w:asciiTheme="majorBidi" w:hAnsiTheme="majorBidi" w:cstheme="majorBidi"/>
          <w:szCs w:val="24"/>
        </w:rPr>
      </w:pPr>
    </w:p>
    <w:p w14:paraId="297AEB5B" w14:textId="5C77B03D" w:rsidR="002A7748" w:rsidRDefault="002A7748"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[6]</w:t>
      </w:r>
      <w:r w:rsidR="00DC2684">
        <w:rPr>
          <w:rFonts w:asciiTheme="majorBidi" w:hAnsiTheme="majorBidi" w:cstheme="majorBidi"/>
          <w:szCs w:val="24"/>
        </w:rPr>
        <w:t> </w:t>
      </w:r>
      <w:r>
        <w:rPr>
          <w:rFonts w:cs="Arial"/>
        </w:rPr>
        <w:t>Atbilstoši Kriminālprocesa likuma 585. panta otrās daļas noteikumiem Ģenerālprokuratūras Krimināltiesiskā departamenta virsprokurors Arvīds Kalniņš iesniedzis prokurora viedokli, kurā norādījis, ka apelācijas instances tiesas spriedums atstājams negrozīts, bet kasācijas sūdzības noraidāmas.</w:t>
      </w:r>
    </w:p>
    <w:p w14:paraId="1967408C" w14:textId="77777777" w:rsidR="002A7748" w:rsidRDefault="002A7748" w:rsidP="00C42EC0">
      <w:pPr>
        <w:widowControl w:val="0"/>
        <w:tabs>
          <w:tab w:val="left" w:pos="1710"/>
        </w:tabs>
        <w:spacing w:after="0" w:line="276" w:lineRule="auto"/>
        <w:ind w:firstLine="720"/>
        <w:jc w:val="both"/>
        <w:rPr>
          <w:rFonts w:asciiTheme="majorBidi" w:hAnsiTheme="majorBidi" w:cstheme="majorBidi"/>
          <w:szCs w:val="24"/>
        </w:rPr>
      </w:pPr>
    </w:p>
    <w:p w14:paraId="3C3D90F2" w14:textId="28F4B03C" w:rsidR="00526A7F" w:rsidRDefault="001B1FA3" w:rsidP="00C42EC0">
      <w:pPr>
        <w:widowControl w:val="0"/>
        <w:tabs>
          <w:tab w:val="left" w:pos="1710"/>
        </w:tabs>
        <w:spacing w:after="0" w:line="276" w:lineRule="auto"/>
        <w:jc w:val="center"/>
        <w:rPr>
          <w:rFonts w:asciiTheme="majorBidi" w:hAnsiTheme="majorBidi" w:cstheme="majorBidi"/>
          <w:b/>
          <w:bCs/>
          <w:szCs w:val="24"/>
        </w:rPr>
      </w:pPr>
      <w:r>
        <w:rPr>
          <w:rFonts w:asciiTheme="majorBidi" w:hAnsiTheme="majorBidi" w:cstheme="majorBidi"/>
          <w:b/>
          <w:bCs/>
          <w:szCs w:val="24"/>
        </w:rPr>
        <w:t>Motīvu daļa</w:t>
      </w:r>
    </w:p>
    <w:p w14:paraId="1E51CB49" w14:textId="77777777" w:rsidR="00BA230B" w:rsidRDefault="00BA230B" w:rsidP="00C42EC0">
      <w:pPr>
        <w:widowControl w:val="0"/>
        <w:tabs>
          <w:tab w:val="left" w:pos="1710"/>
        </w:tabs>
        <w:spacing w:after="0" w:line="276" w:lineRule="auto"/>
        <w:ind w:firstLine="720"/>
        <w:jc w:val="both"/>
        <w:rPr>
          <w:rFonts w:asciiTheme="majorBidi" w:hAnsiTheme="majorBidi" w:cstheme="majorBidi"/>
          <w:b/>
          <w:bCs/>
          <w:szCs w:val="24"/>
        </w:rPr>
      </w:pPr>
    </w:p>
    <w:p w14:paraId="2897A209" w14:textId="503410A2" w:rsidR="00A0772E" w:rsidRDefault="00BA230B"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2A7748">
        <w:rPr>
          <w:rFonts w:asciiTheme="majorBidi" w:hAnsiTheme="majorBidi" w:cstheme="majorBidi"/>
          <w:szCs w:val="24"/>
        </w:rPr>
        <w:t>7</w:t>
      </w:r>
      <w:r>
        <w:rPr>
          <w:rFonts w:asciiTheme="majorBidi" w:hAnsiTheme="majorBidi" w:cstheme="majorBidi"/>
          <w:szCs w:val="24"/>
        </w:rPr>
        <w:t>]</w:t>
      </w:r>
      <w:r w:rsidR="00416B68">
        <w:rPr>
          <w:rFonts w:asciiTheme="majorBidi" w:hAnsiTheme="majorBidi" w:cstheme="majorBidi"/>
          <w:szCs w:val="24"/>
        </w:rPr>
        <w:t> </w:t>
      </w:r>
      <w:r>
        <w:rPr>
          <w:rFonts w:asciiTheme="majorBidi" w:hAnsiTheme="majorBidi" w:cstheme="majorBidi"/>
          <w:szCs w:val="24"/>
        </w:rPr>
        <w:t>Senāts atzīts, ka</w:t>
      </w:r>
      <w:r w:rsidR="002A7748">
        <w:rPr>
          <w:rFonts w:asciiTheme="majorBidi" w:hAnsiTheme="majorBidi" w:cstheme="majorBidi"/>
          <w:szCs w:val="24"/>
        </w:rPr>
        <w:t xml:space="preserve"> Latgales apgabaltiesas 2023. gada 29. marta spriedums ir atceļams un lieta nosūtāma jaunai izskatīšanai apelācijas instances tiesā.</w:t>
      </w:r>
    </w:p>
    <w:p w14:paraId="0A4742A7" w14:textId="2B3F9A98" w:rsidR="00A0772E" w:rsidRPr="00A0772E" w:rsidRDefault="00A0772E"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[7.1]</w:t>
      </w:r>
      <w:r w:rsidR="00416B68">
        <w:rPr>
          <w:rFonts w:asciiTheme="majorBidi" w:hAnsiTheme="majorBidi" w:cstheme="majorBidi"/>
          <w:szCs w:val="24"/>
        </w:rPr>
        <w:t> </w:t>
      </w:r>
      <w:r>
        <w:t>Saskaņā ar Kriminālprocesa likuma 511. panta otro daļu spriedumam jābūt tiesiskam un pamatotam.</w:t>
      </w:r>
    </w:p>
    <w:p w14:paraId="7BED6E2C" w14:textId="421A81D3" w:rsidR="00A0772E" w:rsidRDefault="00215736" w:rsidP="00C42EC0">
      <w:pPr>
        <w:pStyle w:val="NoSpacing"/>
        <w:widowControl w:val="0"/>
        <w:spacing w:line="276" w:lineRule="auto"/>
        <w:ind w:firstLine="720"/>
        <w:jc w:val="both"/>
      </w:pPr>
      <w:r>
        <w:t xml:space="preserve">Savukārt Kriminālprocesa likuma 564. panta ceturtā daļa noteic, ka apelācijas instances tiesas </w:t>
      </w:r>
      <w:r w:rsidR="00A0772E">
        <w:t>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83DCB54" w14:textId="77777777" w:rsidR="008D7A19" w:rsidRDefault="008D7A19" w:rsidP="00C42EC0">
      <w:pPr>
        <w:pStyle w:val="NoSpacing"/>
        <w:widowControl w:val="0"/>
        <w:spacing w:line="276" w:lineRule="auto"/>
        <w:ind w:firstLine="720"/>
        <w:jc w:val="both"/>
      </w:pPr>
      <w:r>
        <w:t>Senāts atzīst, ka apelācijas instances tiesa, iztiesājot lietu, šīs Kriminālprocesa likuma normas nav ievērojusi.</w:t>
      </w:r>
    </w:p>
    <w:p w14:paraId="5DF47098" w14:textId="7B8AEB36" w:rsidR="008D7A19" w:rsidRDefault="00A0772E" w:rsidP="00C42EC0">
      <w:pPr>
        <w:widowControl w:val="0"/>
        <w:tabs>
          <w:tab w:val="left" w:pos="709"/>
        </w:tabs>
        <w:spacing w:after="0" w:line="276" w:lineRule="auto"/>
        <w:ind w:firstLine="720"/>
        <w:jc w:val="both"/>
      </w:pPr>
      <w:r>
        <w:t xml:space="preserve">Senāts jau iepriekš ir norādījis, </w:t>
      </w:r>
      <w:r w:rsidR="008D7A19">
        <w:t>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w:t>
      </w:r>
      <w:bookmarkStart w:id="2" w:name="_Hlk160777249"/>
      <w:bookmarkStart w:id="3" w:name="_Hlk189124523"/>
      <w:r w:rsidR="008D7A19">
        <w:rPr>
          <w:i/>
          <w:iCs/>
        </w:rPr>
        <w:t>Senāta 2022. gada 5. jūlija lēmuma lietā Nr.</w:t>
      </w:r>
      <w:r w:rsidR="00416B68">
        <w:rPr>
          <w:i/>
          <w:iCs/>
        </w:rPr>
        <w:t> </w:t>
      </w:r>
      <w:r w:rsidR="008D7A19">
        <w:rPr>
          <w:i/>
          <w:iCs/>
        </w:rPr>
        <w:t>SKK</w:t>
      </w:r>
      <w:r w:rsidR="00434FD6">
        <w:rPr>
          <w:i/>
          <w:iCs/>
        </w:rPr>
        <w:noBreakHyphen/>
      </w:r>
      <w:r w:rsidR="008D7A19">
        <w:rPr>
          <w:i/>
          <w:iCs/>
        </w:rPr>
        <w:t xml:space="preserve">1/2022 </w:t>
      </w:r>
      <w:hyperlink r:id="rId9" w:history="1">
        <w:r w:rsidR="008D7A19" w:rsidRPr="00416B68">
          <w:rPr>
            <w:rStyle w:val="Hyperlink"/>
            <w:i/>
            <w:iCs/>
          </w:rPr>
          <w:t>ECLI:LV:AT:2022:0705.11816006914.4.L</w:t>
        </w:r>
        <w:bookmarkEnd w:id="2"/>
      </w:hyperlink>
      <w:r w:rsidR="008D7A19">
        <w:rPr>
          <w:i/>
          <w:iCs/>
        </w:rPr>
        <w:t>, 18.</w:t>
      </w:r>
      <w:r w:rsidR="00416B68">
        <w:rPr>
          <w:i/>
          <w:iCs/>
        </w:rPr>
        <w:t> </w:t>
      </w:r>
      <w:r w:rsidR="008D7A19">
        <w:rPr>
          <w:i/>
          <w:iCs/>
        </w:rPr>
        <w:t>punkts</w:t>
      </w:r>
      <w:bookmarkEnd w:id="3"/>
      <w:r w:rsidR="008D7A19">
        <w:t>).</w:t>
      </w:r>
    </w:p>
    <w:p w14:paraId="00334E4C" w14:textId="1FEC4258" w:rsidR="008958CD" w:rsidRDefault="002A7748"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[7.</w:t>
      </w:r>
      <w:r w:rsidR="00A0772E">
        <w:rPr>
          <w:rFonts w:asciiTheme="majorBidi" w:hAnsiTheme="majorBidi" w:cstheme="majorBidi"/>
          <w:szCs w:val="24"/>
        </w:rPr>
        <w:t>2</w:t>
      </w:r>
      <w:r>
        <w:rPr>
          <w:rFonts w:asciiTheme="majorBidi" w:hAnsiTheme="majorBidi" w:cstheme="majorBidi"/>
          <w:szCs w:val="24"/>
        </w:rPr>
        <w:t>]</w:t>
      </w:r>
      <w:r w:rsidR="00416B68">
        <w:rPr>
          <w:rFonts w:asciiTheme="majorBidi" w:hAnsiTheme="majorBidi" w:cstheme="majorBidi"/>
          <w:szCs w:val="24"/>
        </w:rPr>
        <w:t> </w:t>
      </w:r>
      <w:r w:rsidR="008958CD">
        <w:rPr>
          <w:rFonts w:asciiTheme="majorBidi" w:hAnsiTheme="majorBidi" w:cstheme="majorBidi"/>
          <w:szCs w:val="24"/>
        </w:rPr>
        <w:t xml:space="preserve">No apelācijas instances tiesas sprieduma redzams, ka apelācijas instances tiesa apsūdzēto </w:t>
      </w:r>
      <w:r w:rsidR="005E6BA5">
        <w:rPr>
          <w:rFonts w:asciiTheme="majorBidi" w:hAnsiTheme="majorBidi" w:cstheme="majorBidi"/>
          <w:szCs w:val="24"/>
        </w:rPr>
        <w:t>[pers. A]</w:t>
      </w:r>
      <w:r w:rsidR="008958CD">
        <w:rPr>
          <w:rFonts w:asciiTheme="majorBidi" w:hAnsiTheme="majorBidi" w:cstheme="majorBidi"/>
          <w:szCs w:val="24"/>
        </w:rPr>
        <w:t xml:space="preserve">, </w:t>
      </w:r>
      <w:r w:rsidR="005E6BA5">
        <w:rPr>
          <w:rFonts w:asciiTheme="majorBidi" w:hAnsiTheme="majorBidi" w:cstheme="majorBidi"/>
          <w:szCs w:val="24"/>
        </w:rPr>
        <w:t>[pers. B]</w:t>
      </w:r>
      <w:r w:rsidR="008958CD">
        <w:rPr>
          <w:rFonts w:asciiTheme="majorBidi" w:hAnsiTheme="majorBidi" w:cstheme="majorBidi"/>
          <w:szCs w:val="24"/>
        </w:rPr>
        <w:t xml:space="preserve">, </w:t>
      </w:r>
      <w:r w:rsidR="005E6BA5">
        <w:rPr>
          <w:rFonts w:asciiTheme="majorBidi" w:hAnsiTheme="majorBidi" w:cstheme="majorBidi"/>
          <w:szCs w:val="24"/>
        </w:rPr>
        <w:t>[pers. C]</w:t>
      </w:r>
      <w:r w:rsidR="008958CD">
        <w:rPr>
          <w:rFonts w:asciiTheme="majorBidi" w:hAnsiTheme="majorBidi" w:cstheme="majorBidi"/>
          <w:szCs w:val="24"/>
        </w:rPr>
        <w:t xml:space="preserve"> un </w:t>
      </w:r>
      <w:r w:rsidR="005E6BA5">
        <w:rPr>
          <w:rFonts w:asciiTheme="majorBidi" w:hAnsiTheme="majorBidi" w:cstheme="majorBidi"/>
          <w:szCs w:val="24"/>
        </w:rPr>
        <w:t>[pers. D]</w:t>
      </w:r>
      <w:r w:rsidR="008958CD">
        <w:rPr>
          <w:rFonts w:asciiTheme="majorBidi" w:hAnsiTheme="majorBidi" w:cstheme="majorBidi"/>
          <w:szCs w:val="24"/>
        </w:rPr>
        <w:t xml:space="preserve"> vainīguma pamatošanā izmantojusi viņu dienesta pārbaudes un disciplinārlietas izmeklēšanas laikā sniegtos paskaidrojumus.</w:t>
      </w:r>
    </w:p>
    <w:p w14:paraId="107128A6" w14:textId="507681E1" w:rsidR="003A56E9" w:rsidRDefault="008958CD"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Izvērtējusi apsūdzētā </w:t>
      </w:r>
      <w:r w:rsidR="0028405D">
        <w:rPr>
          <w:rFonts w:asciiTheme="majorBidi" w:hAnsiTheme="majorBidi" w:cstheme="majorBidi"/>
          <w:szCs w:val="24"/>
        </w:rPr>
        <w:t>[pers. A]</w:t>
      </w:r>
      <w:r>
        <w:rPr>
          <w:rFonts w:asciiTheme="majorBidi" w:hAnsiTheme="majorBidi" w:cstheme="majorBidi"/>
          <w:szCs w:val="24"/>
        </w:rPr>
        <w:t xml:space="preserve"> apelācijas sūdzības argumentus par šādu ziņu nepieļaujamību, apelācijas instances tiesa</w:t>
      </w:r>
      <w:r w:rsidR="00583C8B">
        <w:rPr>
          <w:rFonts w:asciiTheme="majorBidi" w:hAnsiTheme="majorBidi" w:cstheme="majorBidi"/>
          <w:szCs w:val="24"/>
        </w:rPr>
        <w:t xml:space="preserve"> atzinusi</w:t>
      </w:r>
      <w:r>
        <w:rPr>
          <w:rFonts w:asciiTheme="majorBidi" w:hAnsiTheme="majorBidi" w:cstheme="majorBidi"/>
          <w:szCs w:val="24"/>
        </w:rPr>
        <w:t>, ka paskaidrojumos norādītās</w:t>
      </w:r>
      <w:r w:rsidR="001269CC">
        <w:rPr>
          <w:rFonts w:asciiTheme="majorBidi" w:hAnsiTheme="majorBidi" w:cstheme="majorBidi"/>
          <w:szCs w:val="24"/>
        </w:rPr>
        <w:t xml:space="preserve"> ziņas par faktiem, ko apsūdzētie ir snieguši dienesta pārbaudes un disciplinārlietas ietvaros, ir izmantojamas pierādīšanā, jo šie pierādījumi iegūt</w:t>
      </w:r>
      <w:r w:rsidR="00416B68">
        <w:rPr>
          <w:rFonts w:asciiTheme="majorBidi" w:hAnsiTheme="majorBidi" w:cstheme="majorBidi"/>
          <w:szCs w:val="24"/>
        </w:rPr>
        <w:t>i</w:t>
      </w:r>
      <w:r w:rsidR="001269CC">
        <w:rPr>
          <w:rFonts w:asciiTheme="majorBidi" w:hAnsiTheme="majorBidi" w:cstheme="majorBidi"/>
          <w:szCs w:val="24"/>
        </w:rPr>
        <w:t xml:space="preserve"> likumīgi saskaņā ar Iekšlietu ministrijas sistēmas iestāžu un Ieslodzījuma vietu pārvaldes amatpersonu ar speciālajām dienesta pakāpēm disciplināratbildības likumu</w:t>
      </w:r>
      <w:r w:rsidR="003A56E9">
        <w:rPr>
          <w:rFonts w:asciiTheme="majorBidi" w:hAnsiTheme="majorBidi" w:cstheme="majorBidi"/>
          <w:szCs w:val="24"/>
        </w:rPr>
        <w:t xml:space="preserve"> (turpmāk – Disciplināratbildības likums)</w:t>
      </w:r>
      <w:r w:rsidR="001269CC">
        <w:rPr>
          <w:rFonts w:asciiTheme="majorBidi" w:hAnsiTheme="majorBidi" w:cstheme="majorBidi"/>
          <w:szCs w:val="24"/>
        </w:rPr>
        <w:t xml:space="preserve"> un dod patiesu priekšstatu par amatpersonu sākotnējo rīcību un attieksmi pret konstatētajiem pārkāpumiem</w:t>
      </w:r>
      <w:r w:rsidR="00821AA5">
        <w:rPr>
          <w:rFonts w:asciiTheme="majorBidi" w:hAnsiTheme="majorBidi" w:cstheme="majorBidi"/>
          <w:szCs w:val="24"/>
        </w:rPr>
        <w:t>.</w:t>
      </w:r>
    </w:p>
    <w:p w14:paraId="4C343F0E" w14:textId="69DEE763" w:rsidR="005D3999" w:rsidRDefault="005D3999"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Saskaņā ar Kriminālprocesa likuma 127. panta pirmo daļu pierādījumi </w:t>
      </w:r>
      <w:r>
        <w:rPr>
          <w:rFonts w:asciiTheme="majorBidi" w:hAnsiTheme="majorBidi" w:cstheme="majorBidi"/>
          <w:szCs w:val="24"/>
        </w:rPr>
        <w:lastRenderedPageBreak/>
        <w:t>kriminālprocesā ir jebkuras likumā paredzētajā kārtībā iegūtas un noteiktā procesuālajā formā nostiprinātas ziņas par faktiem, kur</w:t>
      </w:r>
      <w:r w:rsidR="00FB315F">
        <w:rPr>
          <w:rFonts w:asciiTheme="majorBidi" w:hAnsiTheme="majorBidi" w:cstheme="majorBidi"/>
          <w:szCs w:val="24"/>
        </w:rPr>
        <w:t>u</w:t>
      </w:r>
      <w:r>
        <w:rPr>
          <w:rFonts w:asciiTheme="majorBidi" w:hAnsiTheme="majorBidi" w:cstheme="majorBidi"/>
          <w:szCs w:val="24"/>
        </w:rPr>
        <w:t>s kriminālprocesā iesaistītās personas savas kompetences ietvaros izmanto pierādīšanas priekšmetā ietilpstošo apstākļu esamības vai neesamības pamatošanai.</w:t>
      </w:r>
    </w:p>
    <w:p w14:paraId="135BD2E4" w14:textId="5A361375" w:rsidR="00253100" w:rsidRDefault="00F56EB3" w:rsidP="00C42EC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No </w:t>
      </w:r>
      <w:r w:rsidR="00E061A5">
        <w:rPr>
          <w:rFonts w:asciiTheme="majorBidi" w:hAnsiTheme="majorBidi" w:cstheme="majorBidi"/>
          <w:szCs w:val="24"/>
        </w:rPr>
        <w:t>krimināl</w:t>
      </w:r>
      <w:r>
        <w:rPr>
          <w:rFonts w:asciiTheme="majorBidi" w:hAnsiTheme="majorBidi" w:cstheme="majorBidi"/>
          <w:szCs w:val="24"/>
        </w:rPr>
        <w:t xml:space="preserve">lietas materiāliem izriet, ka apsūdzēto </w:t>
      </w:r>
      <w:r w:rsidR="005C5D4A">
        <w:rPr>
          <w:rFonts w:asciiTheme="majorBidi" w:hAnsiTheme="majorBidi" w:cstheme="majorBidi"/>
          <w:szCs w:val="24"/>
        </w:rPr>
        <w:t>[pers. A]</w:t>
      </w:r>
      <w:r>
        <w:rPr>
          <w:rFonts w:asciiTheme="majorBidi" w:hAnsiTheme="majorBidi" w:cstheme="majorBidi"/>
          <w:szCs w:val="24"/>
        </w:rPr>
        <w:t xml:space="preserve">, </w:t>
      </w:r>
      <w:r w:rsidR="005C5D4A">
        <w:rPr>
          <w:rFonts w:asciiTheme="majorBidi" w:hAnsiTheme="majorBidi" w:cstheme="majorBidi"/>
          <w:szCs w:val="24"/>
        </w:rPr>
        <w:t>[pers. B]</w:t>
      </w:r>
      <w:r>
        <w:rPr>
          <w:rFonts w:asciiTheme="majorBidi" w:hAnsiTheme="majorBidi" w:cstheme="majorBidi"/>
          <w:szCs w:val="24"/>
        </w:rPr>
        <w:t xml:space="preserve">, </w:t>
      </w:r>
      <w:r w:rsidR="005C5D4A">
        <w:rPr>
          <w:rFonts w:asciiTheme="majorBidi" w:hAnsiTheme="majorBidi" w:cstheme="majorBidi"/>
          <w:szCs w:val="24"/>
        </w:rPr>
        <w:t>[pers. C]</w:t>
      </w:r>
      <w:r>
        <w:rPr>
          <w:rFonts w:asciiTheme="majorBidi" w:hAnsiTheme="majorBidi" w:cstheme="majorBidi"/>
          <w:szCs w:val="24"/>
        </w:rPr>
        <w:t xml:space="preserve"> un </w:t>
      </w:r>
      <w:r w:rsidR="005C5D4A">
        <w:rPr>
          <w:rFonts w:asciiTheme="majorBidi" w:hAnsiTheme="majorBidi" w:cstheme="majorBidi"/>
          <w:szCs w:val="24"/>
        </w:rPr>
        <w:t>[pers. D]</w:t>
      </w:r>
      <w:r>
        <w:rPr>
          <w:rFonts w:asciiTheme="majorBidi" w:hAnsiTheme="majorBidi" w:cstheme="majorBidi"/>
          <w:szCs w:val="24"/>
        </w:rPr>
        <w:t xml:space="preserve"> dienesta pārbaudes </w:t>
      </w:r>
      <w:r w:rsidR="00E061A5">
        <w:rPr>
          <w:rFonts w:asciiTheme="majorBidi" w:hAnsiTheme="majorBidi" w:cstheme="majorBidi"/>
          <w:szCs w:val="24"/>
        </w:rPr>
        <w:t xml:space="preserve">un </w:t>
      </w:r>
      <w:r>
        <w:rPr>
          <w:rFonts w:asciiTheme="majorBidi" w:hAnsiTheme="majorBidi" w:cstheme="majorBidi"/>
          <w:szCs w:val="24"/>
        </w:rPr>
        <w:t>disciplinārlietas izmeklēšanas laikā sniegto paskaidrojumu</w:t>
      </w:r>
      <w:r w:rsidR="00E061A5">
        <w:rPr>
          <w:rFonts w:asciiTheme="majorBidi" w:hAnsiTheme="majorBidi" w:cstheme="majorBidi"/>
          <w:szCs w:val="24"/>
        </w:rPr>
        <w:t xml:space="preserve"> apliecinātas kopijas procesa virzītāja </w:t>
      </w:r>
      <w:r>
        <w:rPr>
          <w:rFonts w:asciiTheme="majorBidi" w:hAnsiTheme="majorBidi" w:cstheme="majorBidi"/>
          <w:szCs w:val="24"/>
        </w:rPr>
        <w:t>pirmstiesas kri</w:t>
      </w:r>
      <w:r w:rsidR="00473D8C">
        <w:rPr>
          <w:rFonts w:asciiTheme="majorBidi" w:hAnsiTheme="majorBidi" w:cstheme="majorBidi"/>
          <w:szCs w:val="24"/>
        </w:rPr>
        <w:t>minālprocesa laikā pievienojusi krimināllietas materiāliem</w:t>
      </w:r>
      <w:r w:rsidR="00E061A5">
        <w:rPr>
          <w:rFonts w:asciiTheme="majorBidi" w:hAnsiTheme="majorBidi" w:cstheme="majorBidi"/>
          <w:szCs w:val="24"/>
        </w:rPr>
        <w:t>,</w:t>
      </w:r>
      <w:r w:rsidR="00473D8C">
        <w:rPr>
          <w:rFonts w:asciiTheme="majorBidi" w:hAnsiTheme="majorBidi" w:cstheme="majorBidi"/>
          <w:szCs w:val="24"/>
        </w:rPr>
        <w:t xml:space="preserve"> pamatojoties</w:t>
      </w:r>
      <w:r w:rsidR="00E061A5">
        <w:rPr>
          <w:rFonts w:asciiTheme="majorBidi" w:hAnsiTheme="majorBidi" w:cstheme="majorBidi"/>
          <w:szCs w:val="24"/>
        </w:rPr>
        <w:t xml:space="preserve"> uz Kriminālprocesa likuma 190. panta pirmo daļu</w:t>
      </w:r>
      <w:r w:rsidR="00473D8C">
        <w:rPr>
          <w:rFonts w:asciiTheme="majorBidi" w:hAnsiTheme="majorBidi" w:cstheme="majorBidi"/>
          <w:szCs w:val="24"/>
        </w:rPr>
        <w:t xml:space="preserve">, kas </w:t>
      </w:r>
      <w:r w:rsidR="00E061A5">
        <w:rPr>
          <w:rFonts w:asciiTheme="majorBidi" w:hAnsiTheme="majorBidi" w:cstheme="majorBidi"/>
          <w:szCs w:val="24"/>
        </w:rPr>
        <w:t>noteic, ka procesa virzītājs</w:t>
      </w:r>
      <w:r w:rsidR="00752F71">
        <w:rPr>
          <w:rFonts w:asciiTheme="majorBidi" w:hAnsiTheme="majorBidi" w:cstheme="majorBidi"/>
          <w:szCs w:val="24"/>
        </w:rPr>
        <w:t xml:space="preserve">, neizdarot šā likuma 186. pantā paredzēto izņemšanu, ir tiesīgs rakstveidā pieprasīt no fiziskajām un juridiskajām personām kriminālprocesam nozīmīgus priekšmetus, dokumentus un ziņas par faktiem, tai skaitā elektroniskas informācijas vai dokumenta formā, kas apstrādātas, uzglabātas vai </w:t>
      </w:r>
      <w:r w:rsidR="000F4FB9">
        <w:rPr>
          <w:rFonts w:asciiTheme="majorBidi" w:hAnsiTheme="majorBidi" w:cstheme="majorBidi"/>
          <w:szCs w:val="24"/>
        </w:rPr>
        <w:t>pārraidītas</w:t>
      </w:r>
      <w:r w:rsidR="00752F71">
        <w:rPr>
          <w:rFonts w:asciiTheme="majorBidi" w:hAnsiTheme="majorBidi" w:cstheme="majorBidi"/>
          <w:szCs w:val="24"/>
        </w:rPr>
        <w:t>, izmantojot elektroniskās informācijas sistēmas.</w:t>
      </w:r>
    </w:p>
    <w:p w14:paraId="6DDCFBF5" w14:textId="077AA6C2" w:rsidR="00416B68" w:rsidRDefault="00473D8C"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ir pamats atzīt, ka apsūdzēto dienesta pārbaudes un disciplinārlietas izmeklēšanas laikā sniegto paskaidrojumu kopijas </w:t>
      </w:r>
      <w:r w:rsidR="00DA05F4">
        <w:rPr>
          <w:rFonts w:asciiTheme="majorBidi" w:hAnsiTheme="majorBidi" w:cstheme="majorBidi"/>
          <w:szCs w:val="24"/>
        </w:rPr>
        <w:t xml:space="preserve">pievienotas izskatāmās lietas materiāliem </w:t>
      </w:r>
      <w:r>
        <w:rPr>
          <w:rFonts w:asciiTheme="majorBidi" w:hAnsiTheme="majorBidi" w:cstheme="majorBidi"/>
          <w:szCs w:val="24"/>
        </w:rPr>
        <w:t>Kriminālprocesa likumā noteiktajā kārtībā.</w:t>
      </w:r>
    </w:p>
    <w:p w14:paraId="4EF0C4DF" w14:textId="6C9A1DA5" w:rsidR="00835DCC" w:rsidRDefault="00473D8C"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Vienlaikus apelācijas instances tiesa</w:t>
      </w:r>
      <w:r w:rsidR="00DA05F4">
        <w:rPr>
          <w:rFonts w:asciiTheme="majorBidi" w:hAnsiTheme="majorBidi" w:cstheme="majorBidi"/>
          <w:szCs w:val="24"/>
        </w:rPr>
        <w:t xml:space="preserve"> nav izvērtējusi, vai šajos paskaidrojumos ietverto ziņu izmantošana </w:t>
      </w:r>
      <w:r w:rsidR="00137B31">
        <w:rPr>
          <w:rFonts w:asciiTheme="majorBidi" w:hAnsiTheme="majorBidi" w:cstheme="majorBidi"/>
          <w:szCs w:val="24"/>
        </w:rPr>
        <w:t xml:space="preserve">apsūdzēto </w:t>
      </w:r>
      <w:r w:rsidR="005C5D4A">
        <w:rPr>
          <w:rFonts w:asciiTheme="majorBidi" w:hAnsiTheme="majorBidi" w:cstheme="majorBidi"/>
          <w:szCs w:val="24"/>
        </w:rPr>
        <w:t>[pers. A], [pers. B], [pers. C] un [pers. D]</w:t>
      </w:r>
      <w:r w:rsidR="00137B31" w:rsidRPr="00561D94">
        <w:rPr>
          <w:rFonts w:asciiTheme="majorBidi" w:hAnsiTheme="majorBidi" w:cstheme="majorBidi"/>
          <w:szCs w:val="24"/>
        </w:rPr>
        <w:t xml:space="preserve"> vainīgum</w:t>
      </w:r>
      <w:r w:rsidR="00DA05F4" w:rsidRPr="00561D94">
        <w:rPr>
          <w:rFonts w:asciiTheme="majorBidi" w:hAnsiTheme="majorBidi" w:cstheme="majorBidi"/>
          <w:szCs w:val="24"/>
        </w:rPr>
        <w:t>a</w:t>
      </w:r>
      <w:r w:rsidR="00DA05F4">
        <w:rPr>
          <w:rFonts w:asciiTheme="majorBidi" w:hAnsiTheme="majorBidi" w:cstheme="majorBidi"/>
          <w:szCs w:val="24"/>
        </w:rPr>
        <w:t xml:space="preserve"> pamatošanā nav ierobežojusi apsūdzēto tiesības uz taisnīgu tiesu</w:t>
      </w:r>
      <w:r w:rsidR="005373D8">
        <w:rPr>
          <w:rFonts w:asciiTheme="majorBidi" w:hAnsiTheme="majorBidi" w:cstheme="majorBidi"/>
          <w:szCs w:val="24"/>
        </w:rPr>
        <w:t>, proti, vai šo paskaidrojumu iegūšanas apstākļi nav ierobežojuši apmēru, kādā tiesa var balstīties uz šajos paskaidrojumos ietvertajām ziņām</w:t>
      </w:r>
      <w:r w:rsidR="00DF0F27">
        <w:rPr>
          <w:rFonts w:asciiTheme="majorBidi" w:hAnsiTheme="majorBidi" w:cstheme="majorBidi"/>
          <w:szCs w:val="24"/>
        </w:rPr>
        <w:t>.</w:t>
      </w:r>
    </w:p>
    <w:p w14:paraId="73FD2F02" w14:textId="6B69AD15" w:rsidR="00416B68" w:rsidRDefault="005373D8" w:rsidP="00C42EC0">
      <w:pPr>
        <w:pStyle w:val="NoSpacing"/>
        <w:widowControl w:val="0"/>
        <w:spacing w:line="276" w:lineRule="auto"/>
        <w:ind w:firstLine="720"/>
        <w:jc w:val="both"/>
        <w:rPr>
          <w:rFonts w:asciiTheme="majorBidi" w:hAnsiTheme="majorBidi" w:cstheme="majorBidi"/>
          <w:szCs w:val="24"/>
        </w:rPr>
      </w:pPr>
      <w:r w:rsidDel="00835DCC">
        <w:rPr>
          <w:rFonts w:asciiTheme="majorBidi" w:hAnsiTheme="majorBidi" w:cstheme="majorBidi"/>
          <w:szCs w:val="24"/>
        </w:rPr>
        <w:t>Apelācijas instances tiesa</w:t>
      </w:r>
      <w:r w:rsidR="00DF0F27" w:rsidDel="00835DCC">
        <w:rPr>
          <w:rFonts w:asciiTheme="majorBidi" w:hAnsiTheme="majorBidi" w:cstheme="majorBidi"/>
          <w:szCs w:val="24"/>
        </w:rPr>
        <w:t xml:space="preserve"> </w:t>
      </w:r>
      <w:r w:rsidR="00835DCC">
        <w:rPr>
          <w:rFonts w:asciiTheme="majorBidi" w:hAnsiTheme="majorBidi" w:cstheme="majorBidi"/>
          <w:szCs w:val="24"/>
        </w:rPr>
        <w:t>secinājusi</w:t>
      </w:r>
      <w:r w:rsidR="00DF0F27" w:rsidDel="00835DCC">
        <w:rPr>
          <w:rFonts w:asciiTheme="majorBidi" w:hAnsiTheme="majorBidi" w:cstheme="majorBidi"/>
          <w:szCs w:val="24"/>
        </w:rPr>
        <w:t>, ka ziņas par faktiem, ko apsūdzētie ir snieguši dienesta pārbaudes un disciplinārlietas ietvaros, ir izmantojamas pierādīšanā, jo tās iegūtas likumīgi saskaņā ar Disciplināratbildības likumu.</w:t>
      </w:r>
    </w:p>
    <w:p w14:paraId="39A0B7ED" w14:textId="4ADA60F2" w:rsidR="00963D08" w:rsidRPr="00283167" w:rsidRDefault="000B185E" w:rsidP="00C42EC0">
      <w:pPr>
        <w:pStyle w:val="NoSpacing"/>
        <w:widowControl w:val="0"/>
        <w:spacing w:line="276" w:lineRule="auto"/>
        <w:ind w:firstLine="720"/>
        <w:jc w:val="both"/>
      </w:pPr>
      <w:r>
        <w:rPr>
          <w:rFonts w:asciiTheme="majorBidi" w:hAnsiTheme="majorBidi" w:cstheme="majorBidi"/>
          <w:szCs w:val="24"/>
        </w:rPr>
        <w:t xml:space="preserve">Senāts norāda, ka šāds atzinums būtu </w:t>
      </w:r>
      <w:r w:rsidR="00916E44">
        <w:rPr>
          <w:rFonts w:asciiTheme="majorBidi" w:hAnsiTheme="majorBidi" w:cstheme="majorBidi"/>
          <w:szCs w:val="24"/>
        </w:rPr>
        <w:t>atbilstošs</w:t>
      </w:r>
      <w:r>
        <w:rPr>
          <w:rFonts w:asciiTheme="majorBidi" w:hAnsiTheme="majorBidi" w:cstheme="majorBidi"/>
          <w:szCs w:val="24"/>
        </w:rPr>
        <w:t>, ja paskaidrojumos sniegtās ziņas tiktu izmantotas apsūdzēto disciplināratbildības pamatošanai, bet tas nav pietiekams, lai ar šīm ziņām pamatotu apsūdzēto personu vainīgumu noziedzīgajā nodarījumā</w:t>
      </w:r>
      <w:r w:rsidR="00916E44">
        <w:rPr>
          <w:rFonts w:asciiTheme="majorBidi" w:hAnsiTheme="majorBidi" w:cstheme="majorBidi"/>
          <w:szCs w:val="24"/>
        </w:rPr>
        <w:t>.</w:t>
      </w:r>
      <w:r w:rsidR="00963D08">
        <w:rPr>
          <w:rFonts w:asciiTheme="majorBidi" w:hAnsiTheme="majorBidi" w:cstheme="majorBidi"/>
          <w:szCs w:val="24"/>
        </w:rPr>
        <w:t xml:space="preserve"> </w:t>
      </w:r>
      <w:r w:rsidR="00963D08" w:rsidRPr="00283167">
        <w:t>Disciplinārlieta ir no kriminālprocesa nošķirams process ar citu mērķi, kas nav saistīts ar efektīvu Krimināllikuma normu piemērošanu un krimināltiesisko attiecību taisnīgu noregulējumu.</w:t>
      </w:r>
    </w:p>
    <w:p w14:paraId="67B5B0FE" w14:textId="6B34DD9C" w:rsidR="00835DCC" w:rsidRDefault="00916E44"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 xml:space="preserve">No lietas materiāliem izriet, ka paskaidrojumus disciplinārlietas izmeklēšanas ietvaros apsūdzētie </w:t>
      </w:r>
      <w:r w:rsidR="005C5D4A">
        <w:rPr>
          <w:rFonts w:asciiTheme="majorBidi" w:hAnsiTheme="majorBidi" w:cstheme="majorBidi"/>
          <w:szCs w:val="24"/>
        </w:rPr>
        <w:t>[pers. A], [pers. B], [pers. C] un [pers. D]</w:t>
      </w:r>
      <w:r>
        <w:rPr>
          <w:rFonts w:asciiTheme="majorBidi" w:hAnsiTheme="majorBidi" w:cstheme="majorBidi"/>
          <w:szCs w:val="24"/>
        </w:rPr>
        <w:t xml:space="preserve"> </w:t>
      </w:r>
      <w:r w:rsidR="00B057E9">
        <w:rPr>
          <w:rFonts w:asciiTheme="majorBidi" w:hAnsiTheme="majorBidi" w:cstheme="majorBidi"/>
          <w:szCs w:val="24"/>
        </w:rPr>
        <w:t xml:space="preserve">ir snieguši </w:t>
      </w:r>
      <w:r>
        <w:rPr>
          <w:rFonts w:asciiTheme="majorBidi" w:hAnsiTheme="majorBidi" w:cstheme="majorBidi"/>
          <w:szCs w:val="24"/>
        </w:rPr>
        <w:t xml:space="preserve">pēc </w:t>
      </w:r>
      <w:r w:rsidR="00D462B6">
        <w:rPr>
          <w:rFonts w:asciiTheme="majorBidi" w:hAnsiTheme="majorBidi" w:cstheme="majorBidi"/>
          <w:szCs w:val="24"/>
        </w:rPr>
        <w:t xml:space="preserve">disciplinārlietas izmeklēšanu veicošās </w:t>
      </w:r>
      <w:r>
        <w:rPr>
          <w:rFonts w:asciiTheme="majorBidi" w:hAnsiTheme="majorBidi" w:cstheme="majorBidi"/>
          <w:szCs w:val="24"/>
        </w:rPr>
        <w:t>amatpersonas pieprasījuma</w:t>
      </w:r>
      <w:r w:rsidR="00B057E9">
        <w:rPr>
          <w:rFonts w:asciiTheme="majorBidi" w:hAnsiTheme="majorBidi" w:cstheme="majorBidi"/>
          <w:szCs w:val="24"/>
        </w:rPr>
        <w:t>. Š</w:t>
      </w:r>
      <w:r w:rsidR="00C65C74">
        <w:rPr>
          <w:rFonts w:asciiTheme="majorBidi" w:hAnsiTheme="majorBidi" w:cstheme="majorBidi"/>
          <w:szCs w:val="24"/>
        </w:rPr>
        <w:t>ī amatpers</w:t>
      </w:r>
      <w:r w:rsidR="00D462B6">
        <w:rPr>
          <w:rFonts w:asciiTheme="majorBidi" w:hAnsiTheme="majorBidi" w:cstheme="majorBidi"/>
          <w:szCs w:val="24"/>
        </w:rPr>
        <w:t>ona, pamatojot savu pieprasījumu,</w:t>
      </w:r>
      <w:r w:rsidR="00C65C74">
        <w:rPr>
          <w:rFonts w:asciiTheme="majorBidi" w:hAnsiTheme="majorBidi" w:cstheme="majorBidi"/>
          <w:szCs w:val="24"/>
        </w:rPr>
        <w:t xml:space="preserve"> atsaukusies</w:t>
      </w:r>
      <w:r w:rsidR="00234D5D">
        <w:rPr>
          <w:rFonts w:asciiTheme="majorBidi" w:hAnsiTheme="majorBidi" w:cstheme="majorBidi"/>
          <w:szCs w:val="24"/>
        </w:rPr>
        <w:t xml:space="preserve"> </w:t>
      </w:r>
      <w:r w:rsidR="00D462B6">
        <w:rPr>
          <w:rFonts w:asciiTheme="majorBidi" w:hAnsiTheme="majorBidi" w:cstheme="majorBidi"/>
          <w:szCs w:val="24"/>
        </w:rPr>
        <w:t>uz</w:t>
      </w:r>
      <w:r w:rsidR="00234D5D">
        <w:rPr>
          <w:rFonts w:asciiTheme="majorBidi" w:hAnsiTheme="majorBidi" w:cstheme="majorBidi"/>
          <w:szCs w:val="24"/>
        </w:rPr>
        <w:t xml:space="preserve"> Administratīvā procesa likuma 59. panta otro daļu, kas noteic, ka, iegūstot informāciju, iestāde var izmantot visas tiesiskās metodes, arī iegūt informāciju no administratīvā procesa dalībniekiem [..], un Disciplināratbildības likuma 17. panta otro daļu, kas noteic, ka</w:t>
      </w:r>
      <w:r w:rsidR="007F02E2">
        <w:rPr>
          <w:rFonts w:asciiTheme="majorBidi" w:hAnsiTheme="majorBidi" w:cstheme="majorBidi"/>
          <w:szCs w:val="24"/>
        </w:rPr>
        <w:t xml:space="preserve"> amatpersonu nekavējoties iepazīstina ar lēmumu par disciplinārlietas ierosināšanu un pieprasa no tās rakstveida paskaidrojumu par tās darbību vai bezdarbību, kas ietver disciplinārpārkāpuma pazīmes, un citiem apstākļiem, kas ir noskaidrojami disciplinārlietā.</w:t>
      </w:r>
      <w:r w:rsidR="00234D5D">
        <w:rPr>
          <w:rFonts w:asciiTheme="majorBidi" w:hAnsiTheme="majorBidi" w:cstheme="majorBidi"/>
          <w:szCs w:val="24"/>
        </w:rPr>
        <w:t xml:space="preserve"> </w:t>
      </w:r>
      <w:r w:rsidR="007F02E2">
        <w:rPr>
          <w:rFonts w:asciiTheme="majorBidi" w:hAnsiTheme="majorBidi" w:cstheme="majorBidi"/>
          <w:szCs w:val="24"/>
        </w:rPr>
        <w:t>Savukārt pirms paskaidrojumu sniegšanas apsūdzētie ir iepazīstināti ar Administratīvā procesa likuma 59. panta ceturto daļu, kas noteic, ka procesa dalībniekam ir pienākums iesniegt pierādījumus, kas ir viņa rīcībā, un paziņot iestādei par faktiem, kas viņam ir zināmi un konkrētajā lietā varētu būt būtiski, un ar Disciplināratbildības likuma 4. panta ceturto daļu</w:t>
      </w:r>
      <w:r w:rsidR="004F219A">
        <w:rPr>
          <w:rFonts w:asciiTheme="majorBidi" w:hAnsiTheme="majorBidi" w:cstheme="majorBidi"/>
          <w:szCs w:val="24"/>
        </w:rPr>
        <w:t xml:space="preserve">, kas noteic, ka jebkurai amatpersonai, kuras rīcībā ir informācija par disciplinārlietā noskaidrojamiem apstākļiem, ir pienākums sadarboties ar disciplinārlietas izmeklēšanas veicēju un pēc </w:t>
      </w:r>
      <w:r w:rsidR="004F219A">
        <w:rPr>
          <w:rFonts w:asciiTheme="majorBidi" w:hAnsiTheme="majorBidi" w:cstheme="majorBidi"/>
          <w:szCs w:val="24"/>
        </w:rPr>
        <w:lastRenderedPageBreak/>
        <w:t xml:space="preserve">iestādes kompetentas amatpersonas pieprasījuma nekavējoties sniegt savā rīcībā esošo informāciju. Turklāt lietas materiāliem pievienotajā </w:t>
      </w:r>
      <w:r w:rsidR="00610795">
        <w:rPr>
          <w:rFonts w:asciiTheme="majorBidi" w:hAnsiTheme="majorBidi" w:cstheme="majorBidi"/>
          <w:szCs w:val="24"/>
        </w:rPr>
        <w:t>[pers. A]</w:t>
      </w:r>
      <w:r w:rsidR="004F219A">
        <w:rPr>
          <w:rFonts w:asciiTheme="majorBidi" w:hAnsiTheme="majorBidi" w:cstheme="majorBidi"/>
          <w:szCs w:val="24"/>
        </w:rPr>
        <w:t xml:space="preserve"> adresētajā paziņojumā par lēmuma nosūtīšanu un paskaidrojumu norādīts, ka Administratīvā procesa likumā nav atrunāti izņēmumi, kad amatpersonai nebūtu pienākuma sniegt paskaidrojumu disciplinārlietā, savukārt nepamatots atteikums sniegt paskaidrojumu var tikt vērtēts kā šķēršļu radīšana disciplinārlietas tiesiskai, objektīvai un nepieciešamai izskatīšanai (</w:t>
      </w:r>
      <w:r w:rsidR="004F219A">
        <w:rPr>
          <w:rFonts w:asciiTheme="majorBidi" w:hAnsiTheme="majorBidi" w:cstheme="majorBidi"/>
          <w:i/>
          <w:iCs/>
          <w:szCs w:val="24"/>
        </w:rPr>
        <w:t>lietas 3. sējuma 110. lapa</w:t>
      </w:r>
      <w:r w:rsidR="004F219A">
        <w:rPr>
          <w:rFonts w:asciiTheme="majorBidi" w:hAnsiTheme="majorBidi" w:cstheme="majorBidi"/>
          <w:szCs w:val="24"/>
        </w:rPr>
        <w:t>).</w:t>
      </w:r>
    </w:p>
    <w:p w14:paraId="681C53A0" w14:textId="7EA52348" w:rsidR="009F4035" w:rsidRDefault="009F4035" w:rsidP="00C42EC0">
      <w:pPr>
        <w:pStyle w:val="NoSpacing"/>
        <w:widowControl w:val="0"/>
        <w:spacing w:line="276" w:lineRule="auto"/>
        <w:ind w:firstLine="720"/>
        <w:jc w:val="both"/>
      </w:pPr>
      <w:r w:rsidRPr="00283167">
        <w:t xml:space="preserve">Eiropas Cilvēktiesību tiesas (turpmāk – ECT) praksē nostiprināts, ka privilēģija sevi neapsūdzēt pati par sevi nepasargā pret inkriminējošu paskaidrojumu paušanu, bet gan pret šādu paskaidrojumu iegūšanu ar piespiešanas vai apspiešanas metožu palīdzību. Tieši piespiešanas esamība rada šaubas par to, vai ir ievērota personas privilēģija sevi neapsūdzēt, kuras sakarā </w:t>
      </w:r>
      <w:r w:rsidR="001B0430">
        <w:t>ECT</w:t>
      </w:r>
      <w:r w:rsidRPr="00283167">
        <w:t xml:space="preserve"> vērtē pierādījumu iegūšanā veiktās piespiešanas raksturu un pakāpi. Savā judikatūrā ECT ir identificējusi vismaz trīs situāciju veidus, kas raisa šaubas par Eiropas Cilvēktiesību konvencijas 6. pantam neatbilstošu piespiešanu. Pirmkārt, kad aizdomās turētajam uzlikts par pienākumu liecināt, to pastiprinot ar sankciju piedraudējumu, kā rezultātā viņš sniedz liecību vai arī par atteikšanos liecināt tiek sankcionēts. Otrkārt, kad fizisks vai psiholoģisks spiediens, kas visbiežāk pārkāpj Eiropas Cilvēk</w:t>
      </w:r>
      <w:r>
        <w:t>a tiesību un pamatbrīvību aizsardzības</w:t>
      </w:r>
      <w:r w:rsidRPr="00283167">
        <w:t xml:space="preserve"> konvencijas 3. pantu, tiek izmantots ar mērķi iegūt paskaidrojumus vai lietiskus pierādījumus. Treškārt, kad varas iestādes izmanto viltu, lai iegūtu tādu informāciju, ko nebija iespējams iegūt pratināšanas laikā (sk.</w:t>
      </w:r>
      <w:r w:rsidR="00581A06">
        <w:t> </w:t>
      </w:r>
      <w:bookmarkStart w:id="4" w:name="_Hlk189124684"/>
      <w:r w:rsidRPr="00283167">
        <w:rPr>
          <w:i/>
          <w:iCs/>
        </w:rPr>
        <w:t xml:space="preserve">Eiropas Cilvēktiesību tiesas </w:t>
      </w:r>
      <w:r w:rsidR="001B0430">
        <w:rPr>
          <w:i/>
          <w:iCs/>
        </w:rPr>
        <w:t xml:space="preserve">(Lielā palāta) </w:t>
      </w:r>
      <w:r w:rsidRPr="00283167">
        <w:rPr>
          <w:i/>
          <w:iCs/>
        </w:rPr>
        <w:t>2016. gada 13. septembra sprieduma lietā „Ibrahim and Others v. The United Kingdom“</w:t>
      </w:r>
      <w:r w:rsidR="001B0430">
        <w:rPr>
          <w:i/>
          <w:iCs/>
        </w:rPr>
        <w:t>,</w:t>
      </w:r>
      <w:r w:rsidRPr="00283167">
        <w:rPr>
          <w:i/>
          <w:iCs/>
        </w:rPr>
        <w:t xml:space="preserve"> iesniegum</w:t>
      </w:r>
      <w:r w:rsidR="001B0430">
        <w:rPr>
          <w:i/>
          <w:iCs/>
        </w:rPr>
        <w:t>a</w:t>
      </w:r>
      <w:r w:rsidRPr="00283167">
        <w:rPr>
          <w:i/>
          <w:iCs/>
        </w:rPr>
        <w:t xml:space="preserve"> Nr.</w:t>
      </w:r>
      <w:r w:rsidR="001B0430">
        <w:rPr>
          <w:i/>
          <w:iCs/>
        </w:rPr>
        <w:t> </w:t>
      </w:r>
      <w:hyperlink r:id="rId10" w:history="1">
        <w:r w:rsidRPr="00283167">
          <w:rPr>
            <w:rStyle w:val="Hyperlink"/>
            <w:i/>
            <w:iCs/>
          </w:rPr>
          <w:t>50541/08, 50571/08, 50573/08, 40351/09</w:t>
        </w:r>
      </w:hyperlink>
      <w:bookmarkEnd w:id="4"/>
      <w:r w:rsidRPr="00283167">
        <w:rPr>
          <w:i/>
          <w:iCs/>
        </w:rPr>
        <w:t>, 267.</w:t>
      </w:r>
      <w:r w:rsidR="00581A06">
        <w:rPr>
          <w:i/>
          <w:iCs/>
        </w:rPr>
        <w:t> </w:t>
      </w:r>
      <w:r w:rsidRPr="00283167">
        <w:rPr>
          <w:i/>
          <w:iCs/>
        </w:rPr>
        <w:t>punkts</w:t>
      </w:r>
      <w:r w:rsidRPr="00283167">
        <w:t>).</w:t>
      </w:r>
    </w:p>
    <w:p w14:paraId="7E1C5E00" w14:textId="7037905C" w:rsidR="009F4035" w:rsidRDefault="009F4035" w:rsidP="00C42EC0">
      <w:pPr>
        <w:pStyle w:val="NoSpacing"/>
        <w:widowControl w:val="0"/>
        <w:spacing w:line="276" w:lineRule="auto"/>
        <w:ind w:firstLine="720"/>
        <w:jc w:val="both"/>
      </w:pPr>
      <w:r>
        <w:t>Turklāt v</w:t>
      </w:r>
      <w:r w:rsidRPr="00283167">
        <w:t>ērtējot procesa taisnīgumu un apsūdzēto personu tiesību ievērošanu, ECT uzsver, ka izvērtējams, vai personai dota iespēja apstrīdēt pierādījumu pieļaujamību un ticamību un iebilst pret to izmantošanu pierādīšanā. Papildus jāņem vērā pierādījumu kvalitāte, vai to iegūšanas apstākļi liek apšaubīt to ticamību vai precizitāti. Ja ir strīds par pierādījumu ticamību, vēl lielāku nozīmi iegūst tas, ka pastāv taisnīga procedūra pierādījumu pieļaujamības pārbaudei (</w:t>
      </w:r>
      <w:r w:rsidRPr="00283167">
        <w:rPr>
          <w:i/>
          <w:iCs/>
        </w:rPr>
        <w:t>Eiropas Cilvēktiesību tiesas</w:t>
      </w:r>
      <w:r w:rsidR="00115949">
        <w:rPr>
          <w:i/>
          <w:iCs/>
        </w:rPr>
        <w:t xml:space="preserve"> (Lielā palāta)</w:t>
      </w:r>
      <w:r w:rsidRPr="00283167">
        <w:rPr>
          <w:i/>
          <w:iCs/>
        </w:rPr>
        <w:t xml:space="preserve"> 2016. gada 13. septembra sprieduma lietā „Ibrahim and Others v. The United Kingdom“</w:t>
      </w:r>
      <w:r w:rsidR="00115949">
        <w:rPr>
          <w:i/>
          <w:iCs/>
        </w:rPr>
        <w:t>,</w:t>
      </w:r>
      <w:r w:rsidRPr="00283167">
        <w:rPr>
          <w:i/>
          <w:iCs/>
        </w:rPr>
        <w:t xml:space="preserve"> iesniegum</w:t>
      </w:r>
      <w:r w:rsidR="00115949">
        <w:rPr>
          <w:i/>
          <w:iCs/>
        </w:rPr>
        <w:t>a</w:t>
      </w:r>
      <w:r w:rsidRPr="00283167">
        <w:rPr>
          <w:i/>
          <w:iCs/>
        </w:rPr>
        <w:t xml:space="preserve"> Nr. </w:t>
      </w:r>
      <w:hyperlink r:id="rId11" w:history="1">
        <w:r w:rsidRPr="00283167">
          <w:rPr>
            <w:rStyle w:val="Hyperlink"/>
            <w:i/>
            <w:iCs/>
          </w:rPr>
          <w:t>50541/08, 50571/08, 50573/08, 40351/09</w:t>
        </w:r>
      </w:hyperlink>
      <w:r w:rsidRPr="00283167">
        <w:rPr>
          <w:i/>
          <w:iCs/>
        </w:rPr>
        <w:t xml:space="preserve"> 274. punkts, </w:t>
      </w:r>
      <w:bookmarkStart w:id="5" w:name="_Hlk189124733"/>
      <w:r w:rsidRPr="00283167">
        <w:rPr>
          <w:i/>
          <w:iCs/>
        </w:rPr>
        <w:t>2018. gada 9. novembra sprieduma lietā „Beuze v. Belgium”, iesnieguma Nr. </w:t>
      </w:r>
      <w:hyperlink r:id="rId12" w:history="1">
        <w:r w:rsidRPr="00283167">
          <w:rPr>
            <w:rStyle w:val="Hyperlink"/>
            <w:i/>
            <w:iCs/>
          </w:rPr>
          <w:t>71409/10</w:t>
        </w:r>
      </w:hyperlink>
      <w:r w:rsidRPr="00283167">
        <w:rPr>
          <w:i/>
          <w:iCs/>
        </w:rPr>
        <w:t xml:space="preserve">, </w:t>
      </w:r>
      <w:bookmarkEnd w:id="5"/>
      <w:r w:rsidRPr="00283167">
        <w:rPr>
          <w:i/>
          <w:iCs/>
        </w:rPr>
        <w:t xml:space="preserve">150. punkts, </w:t>
      </w:r>
      <w:bookmarkStart w:id="6" w:name="_Hlk189124743"/>
      <w:r w:rsidR="00115949" w:rsidRPr="00283167">
        <w:rPr>
          <w:i/>
          <w:iCs/>
        </w:rPr>
        <w:t xml:space="preserve">Eiropas Cilvēktiesību tiesas </w:t>
      </w:r>
      <w:r w:rsidRPr="00283167">
        <w:rPr>
          <w:i/>
          <w:iCs/>
        </w:rPr>
        <w:t>2019. gada 30. jūlija sprieduma lietā „Harun Gü</w:t>
      </w:r>
      <w:r w:rsidR="00115949">
        <w:rPr>
          <w:i/>
          <w:iCs/>
        </w:rPr>
        <w:t>r</w:t>
      </w:r>
      <w:r w:rsidRPr="00283167">
        <w:rPr>
          <w:i/>
          <w:iCs/>
        </w:rPr>
        <w:t>büz v. Turkey”, iesnieguma Nr. </w:t>
      </w:r>
      <w:hyperlink r:id="rId13" w:history="1">
        <w:r w:rsidRPr="00283167">
          <w:rPr>
            <w:rStyle w:val="Hyperlink"/>
            <w:i/>
            <w:iCs/>
          </w:rPr>
          <w:t>68556/10</w:t>
        </w:r>
      </w:hyperlink>
      <w:bookmarkEnd w:id="6"/>
      <w:r w:rsidR="00115949">
        <w:rPr>
          <w:rStyle w:val="Hyperlink"/>
          <w:i/>
          <w:iCs/>
        </w:rPr>
        <w:t>,</w:t>
      </w:r>
      <w:r w:rsidRPr="00283167">
        <w:rPr>
          <w:i/>
          <w:iCs/>
        </w:rPr>
        <w:t xml:space="preserve"> 72. punkts</w:t>
      </w:r>
      <w:r w:rsidRPr="00283167">
        <w:t>).</w:t>
      </w:r>
    </w:p>
    <w:p w14:paraId="1C49330D" w14:textId="74B463AB" w:rsidR="00662720" w:rsidRDefault="00197448"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 xml:space="preserve">Apelācijas </w:t>
      </w:r>
      <w:r w:rsidRPr="00485A0C">
        <w:t>instances</w:t>
      </w:r>
      <w:r>
        <w:rPr>
          <w:rFonts w:asciiTheme="majorBidi" w:hAnsiTheme="majorBidi" w:cstheme="majorBidi"/>
          <w:szCs w:val="24"/>
        </w:rPr>
        <w:t xml:space="preserve"> tiesa, pamatojot savus atzinumus par apsūdzēto </w:t>
      </w:r>
      <w:r w:rsidR="00610795">
        <w:rPr>
          <w:rFonts w:asciiTheme="majorBidi" w:hAnsiTheme="majorBidi" w:cstheme="majorBidi"/>
          <w:szCs w:val="24"/>
        </w:rPr>
        <w:t>[pers. A], [pers. B], [pers. C] un [pers. D]</w:t>
      </w:r>
      <w:r>
        <w:rPr>
          <w:rFonts w:asciiTheme="majorBidi" w:hAnsiTheme="majorBidi" w:cstheme="majorBidi"/>
          <w:szCs w:val="24"/>
        </w:rPr>
        <w:t xml:space="preserve"> vainīgumu</w:t>
      </w:r>
      <w:r w:rsidR="00215736">
        <w:rPr>
          <w:rFonts w:asciiTheme="majorBidi" w:hAnsiTheme="majorBidi" w:cstheme="majorBidi"/>
          <w:szCs w:val="24"/>
        </w:rPr>
        <w:t xml:space="preserve"> ar viņu dienesta pārbaudes un disciplinārlietas izmeklēšanas laikā sniegtajiem paskaidrojumiem</w:t>
      </w:r>
      <w:r>
        <w:rPr>
          <w:rFonts w:asciiTheme="majorBidi" w:hAnsiTheme="majorBidi" w:cstheme="majorBidi"/>
          <w:szCs w:val="24"/>
        </w:rPr>
        <w:t xml:space="preserve">, nav izvērtējusi, </w:t>
      </w:r>
      <w:r w:rsidR="000A5612">
        <w:rPr>
          <w:rFonts w:asciiTheme="majorBidi" w:hAnsiTheme="majorBidi" w:cstheme="majorBidi"/>
          <w:szCs w:val="24"/>
        </w:rPr>
        <w:t xml:space="preserve">arī atbilstoši ECT judikatūrā norādītajiem kritērijiem, </w:t>
      </w:r>
      <w:r>
        <w:rPr>
          <w:rFonts w:asciiTheme="majorBidi" w:hAnsiTheme="majorBidi" w:cstheme="majorBidi"/>
          <w:szCs w:val="24"/>
        </w:rPr>
        <w:t xml:space="preserve">vai šie paskaidrojumi nav iegūti </w:t>
      </w:r>
      <w:r w:rsidR="000A5612">
        <w:rPr>
          <w:rFonts w:asciiTheme="majorBidi" w:hAnsiTheme="majorBidi" w:cstheme="majorBidi"/>
          <w:szCs w:val="24"/>
        </w:rPr>
        <w:t xml:space="preserve">ar </w:t>
      </w:r>
      <w:r w:rsidR="009F2E82">
        <w:rPr>
          <w:rFonts w:asciiTheme="majorBidi" w:hAnsiTheme="majorBidi" w:cstheme="majorBidi"/>
          <w:szCs w:val="24"/>
        </w:rPr>
        <w:t xml:space="preserve">tāda rakstura un pakāpes </w:t>
      </w:r>
      <w:r w:rsidR="000A5612">
        <w:rPr>
          <w:rFonts w:asciiTheme="majorBidi" w:hAnsiTheme="majorBidi" w:cstheme="majorBidi"/>
          <w:szCs w:val="24"/>
        </w:rPr>
        <w:t>piespiešanas meto</w:t>
      </w:r>
      <w:r w:rsidR="009F2E82">
        <w:rPr>
          <w:rFonts w:asciiTheme="majorBidi" w:hAnsiTheme="majorBidi" w:cstheme="majorBidi"/>
          <w:szCs w:val="24"/>
        </w:rPr>
        <w:t>dēm, kas pārkāpj personas tiesības sevi neapsūdzēt.</w:t>
      </w:r>
    </w:p>
    <w:p w14:paraId="7F0FE0ED" w14:textId="6082C264" w:rsidR="00E2671F" w:rsidRPr="00662720" w:rsidRDefault="00662720"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Izmantojot apsūdzēto</w:t>
      </w:r>
      <w:r w:rsidR="009F2E82">
        <w:rPr>
          <w:rFonts w:asciiTheme="majorBidi" w:hAnsiTheme="majorBidi" w:cstheme="majorBidi"/>
          <w:szCs w:val="24"/>
        </w:rPr>
        <w:t xml:space="preserve"> </w:t>
      </w:r>
      <w:r>
        <w:rPr>
          <w:rFonts w:asciiTheme="majorBidi" w:hAnsiTheme="majorBidi" w:cstheme="majorBidi"/>
          <w:szCs w:val="24"/>
        </w:rPr>
        <w:t xml:space="preserve">dienesta pārbaudes un disciplinārlietas izmeklēšanas laikā sniegtos paskaidrojumus, neizvērtējot šo apstākli, tiesa pārkāpusi apsūdzēto tiesības uz taisnīgu tiesu. </w:t>
      </w:r>
      <w:r w:rsidR="003615E4">
        <w:rPr>
          <w:rFonts w:cs="Times New Roman"/>
          <w:szCs w:val="24"/>
        </w:rPr>
        <w:t>Šī iemesla dēļ apelācijas instances tiesas pieļautie</w:t>
      </w:r>
      <w:r w:rsidR="00C642A4">
        <w:rPr>
          <w:rFonts w:cs="Times New Roman"/>
          <w:szCs w:val="24"/>
        </w:rPr>
        <w:t xml:space="preserve"> </w:t>
      </w:r>
      <w:r w:rsidR="00215736">
        <w:rPr>
          <w:rFonts w:cs="Times New Roman"/>
          <w:szCs w:val="24"/>
        </w:rPr>
        <w:t xml:space="preserve">Kriminālprocesa likuma 511. panta otrās daļas un 564. panta ceturtās daļas pārkāpumi atzīstami par </w:t>
      </w:r>
      <w:r w:rsidR="00C642A4">
        <w:rPr>
          <w:rFonts w:cs="Times New Roman"/>
          <w:szCs w:val="24"/>
        </w:rPr>
        <w:t>būtiskiem pārkāp</w:t>
      </w:r>
      <w:r w:rsidR="00692E07">
        <w:rPr>
          <w:rFonts w:cs="Times New Roman"/>
          <w:szCs w:val="24"/>
        </w:rPr>
        <w:t>um</w:t>
      </w:r>
      <w:r w:rsidR="00C642A4">
        <w:rPr>
          <w:rFonts w:cs="Times New Roman"/>
          <w:szCs w:val="24"/>
        </w:rPr>
        <w:t>iem šā likuma 575. panta trešās daļas izpratnē</w:t>
      </w:r>
      <w:r w:rsidR="00692E07">
        <w:rPr>
          <w:rFonts w:cs="Times New Roman"/>
          <w:szCs w:val="24"/>
        </w:rPr>
        <w:t>, kuru dēļ apelācijas instances tiesas spriedums atceļams pilnībā un lieta nosūtāma jaunai izskatīšanai apelācijas instances tiesā.</w:t>
      </w:r>
    </w:p>
    <w:p w14:paraId="376263BB" w14:textId="5D415800" w:rsidR="002E6691" w:rsidRDefault="002E6691" w:rsidP="00C42EC0">
      <w:pPr>
        <w:pStyle w:val="NoSpacing"/>
        <w:widowControl w:val="0"/>
        <w:spacing w:line="276" w:lineRule="auto"/>
        <w:ind w:firstLine="720"/>
        <w:jc w:val="both"/>
        <w:rPr>
          <w:rFonts w:cs="Times New Roman"/>
          <w:szCs w:val="24"/>
        </w:rPr>
      </w:pPr>
      <w:r>
        <w:rPr>
          <w:rFonts w:cs="Times New Roman"/>
          <w:szCs w:val="24"/>
        </w:rPr>
        <w:lastRenderedPageBreak/>
        <w:t xml:space="preserve">Iztiesājot lietu no jauna, apelācijas instances tiesai, ja tā atzīst, ka apsūdzēto </w:t>
      </w:r>
      <w:r w:rsidR="00610795">
        <w:rPr>
          <w:rFonts w:asciiTheme="majorBidi" w:hAnsiTheme="majorBidi" w:cstheme="majorBidi"/>
          <w:szCs w:val="24"/>
        </w:rPr>
        <w:t>[pers. A], [pers. B], [pers. C] un [pers. D]</w:t>
      </w:r>
      <w:r>
        <w:rPr>
          <w:rFonts w:cs="Times New Roman"/>
          <w:szCs w:val="24"/>
        </w:rPr>
        <w:t xml:space="preserve"> </w:t>
      </w:r>
      <w:r>
        <w:rPr>
          <w:rFonts w:asciiTheme="majorBidi" w:hAnsiTheme="majorBidi" w:cstheme="majorBidi"/>
          <w:szCs w:val="24"/>
        </w:rPr>
        <w:t xml:space="preserve">dienesta pārbaudes un disciplinārlietas izmeklēšanas laikā sniegtie paskaidrojumi ir izmantojami viņu vainīguma pamatošanā izskatāmajā kriminālprocesā, ir jāizvērtē arī šo </w:t>
      </w:r>
      <w:r w:rsidR="00E428D0">
        <w:rPr>
          <w:rFonts w:asciiTheme="majorBidi" w:hAnsiTheme="majorBidi" w:cstheme="majorBidi"/>
          <w:szCs w:val="24"/>
        </w:rPr>
        <w:t>paskaidrojumu</w:t>
      </w:r>
      <w:r>
        <w:rPr>
          <w:rFonts w:asciiTheme="majorBidi" w:hAnsiTheme="majorBidi" w:cstheme="majorBidi"/>
          <w:szCs w:val="24"/>
        </w:rPr>
        <w:t xml:space="preserve"> ticamība, aplūkojot tos kopumā un savstarpējā sakarībā ar citiem lietā iegūtajiem pierādījumiem, kā arī</w:t>
      </w:r>
      <w:r w:rsidR="00D92F91">
        <w:rPr>
          <w:rFonts w:asciiTheme="majorBidi" w:hAnsiTheme="majorBidi" w:cstheme="majorBidi"/>
          <w:szCs w:val="24"/>
        </w:rPr>
        <w:t xml:space="preserve"> </w:t>
      </w:r>
      <w:r>
        <w:rPr>
          <w:rFonts w:asciiTheme="majorBidi" w:hAnsiTheme="majorBidi" w:cstheme="majorBidi"/>
          <w:szCs w:val="24"/>
        </w:rPr>
        <w:t>iegūto pierādījumu pietiekamība lietā nozīmīgu apstākļu pierādīšan</w:t>
      </w:r>
      <w:r w:rsidR="00E428D0">
        <w:rPr>
          <w:rFonts w:asciiTheme="majorBidi" w:hAnsiTheme="majorBidi" w:cstheme="majorBidi"/>
          <w:szCs w:val="24"/>
        </w:rPr>
        <w:t>ai</w:t>
      </w:r>
      <w:r>
        <w:rPr>
          <w:rFonts w:asciiTheme="majorBidi" w:hAnsiTheme="majorBidi" w:cstheme="majorBidi"/>
          <w:szCs w:val="24"/>
        </w:rPr>
        <w:t xml:space="preserve"> atbilstoši kriminālprocesa likumā noteiktajam pierādīšanas standartam. </w:t>
      </w:r>
      <w:r w:rsidR="00E428D0" w:rsidRPr="00E428D0">
        <w:rPr>
          <w:rFonts w:asciiTheme="majorBidi" w:hAnsiTheme="majorBidi" w:cstheme="majorBidi"/>
          <w:szCs w:val="24"/>
        </w:rPr>
        <w:t>Ja starp</w:t>
      </w:r>
      <w:r w:rsidR="00E428D0">
        <w:rPr>
          <w:rFonts w:asciiTheme="majorBidi" w:hAnsiTheme="majorBidi" w:cstheme="majorBidi"/>
          <w:szCs w:val="24"/>
        </w:rPr>
        <w:t xml:space="preserve"> apsūdzēto dienesta pārbaudes un disciplinārlietas izmeklēšanas laikā sniegtajiem paskaidrojumiem un kriminālprocesā sniegtajām liecībām</w:t>
      </w:r>
      <w:r w:rsidR="00E428D0" w:rsidRPr="00E428D0">
        <w:rPr>
          <w:rFonts w:asciiTheme="majorBidi" w:hAnsiTheme="majorBidi" w:cstheme="majorBidi"/>
          <w:szCs w:val="24"/>
        </w:rPr>
        <w:t xml:space="preserve"> ir pretrunas, tiesai </w:t>
      </w:r>
      <w:r w:rsidR="00E428D0">
        <w:rPr>
          <w:rFonts w:asciiTheme="majorBidi" w:hAnsiTheme="majorBidi" w:cstheme="majorBidi"/>
          <w:szCs w:val="24"/>
        </w:rPr>
        <w:t>nolēmumā</w:t>
      </w:r>
      <w:r w:rsidR="00E428D0" w:rsidRPr="00E428D0">
        <w:rPr>
          <w:rFonts w:asciiTheme="majorBidi" w:hAnsiTheme="majorBidi" w:cstheme="majorBidi"/>
          <w:szCs w:val="24"/>
        </w:rPr>
        <w:t xml:space="preserve"> jāanalizē šo pretrunu iemesli un jānorāda, k</w:t>
      </w:r>
      <w:r w:rsidR="00E428D0">
        <w:rPr>
          <w:rFonts w:asciiTheme="majorBidi" w:hAnsiTheme="majorBidi" w:cstheme="majorBidi"/>
          <w:szCs w:val="24"/>
        </w:rPr>
        <w:t xml:space="preserve">urus no šiem pierādījumiem </w:t>
      </w:r>
      <w:r w:rsidR="00E428D0" w:rsidRPr="00E428D0">
        <w:rPr>
          <w:rFonts w:asciiTheme="majorBidi" w:hAnsiTheme="majorBidi" w:cstheme="majorBidi"/>
          <w:szCs w:val="24"/>
        </w:rPr>
        <w:t>tā atz</w:t>
      </w:r>
      <w:r w:rsidR="00E428D0">
        <w:rPr>
          <w:rFonts w:asciiTheme="majorBidi" w:hAnsiTheme="majorBidi" w:cstheme="majorBidi"/>
          <w:szCs w:val="24"/>
        </w:rPr>
        <w:t>īst</w:t>
      </w:r>
      <w:r w:rsidR="00E428D0" w:rsidRPr="00E428D0">
        <w:rPr>
          <w:rFonts w:asciiTheme="majorBidi" w:hAnsiTheme="majorBidi" w:cstheme="majorBidi"/>
          <w:szCs w:val="24"/>
        </w:rPr>
        <w:t xml:space="preserve"> par apšaubāmiem un kādu iemeslu dēļ.</w:t>
      </w:r>
    </w:p>
    <w:p w14:paraId="52A7EAFA" w14:textId="6117ECF7" w:rsidR="00E2671F" w:rsidRDefault="00A0772E" w:rsidP="00BB14E2">
      <w:pPr>
        <w:pStyle w:val="NoSpacing"/>
        <w:widowControl w:val="0"/>
        <w:spacing w:line="276" w:lineRule="auto"/>
        <w:ind w:firstLine="720"/>
        <w:jc w:val="both"/>
        <w:rPr>
          <w:rFonts w:cs="Times New Roman"/>
          <w:szCs w:val="24"/>
        </w:rPr>
      </w:pPr>
      <w:r>
        <w:rPr>
          <w:rFonts w:cs="Times New Roman"/>
          <w:szCs w:val="24"/>
        </w:rPr>
        <w:t>[7.3]</w:t>
      </w:r>
      <w:r w:rsidR="00835DCC">
        <w:rPr>
          <w:rFonts w:cs="Times New Roman"/>
          <w:szCs w:val="24"/>
        </w:rPr>
        <w:t> </w:t>
      </w:r>
      <w:r w:rsidR="00692E07">
        <w:rPr>
          <w:rFonts w:cs="Times New Roman"/>
          <w:szCs w:val="24"/>
        </w:rPr>
        <w:t xml:space="preserve">Ievērojot to, ka apsūdzētie </w:t>
      </w:r>
      <w:r w:rsidR="00BB14E2">
        <w:rPr>
          <w:rFonts w:cs="Times New Roman"/>
          <w:szCs w:val="24"/>
        </w:rPr>
        <w:t>[pers. C]</w:t>
      </w:r>
      <w:r w:rsidR="00692E07">
        <w:rPr>
          <w:rFonts w:cs="Times New Roman"/>
          <w:szCs w:val="24"/>
        </w:rPr>
        <w:t xml:space="preserve"> un </w:t>
      </w:r>
      <w:r w:rsidR="00BB14E2">
        <w:rPr>
          <w:rFonts w:cs="Times New Roman"/>
          <w:szCs w:val="24"/>
        </w:rPr>
        <w:t>[pers. D]</w:t>
      </w:r>
      <w:r w:rsidR="00692E07">
        <w:rPr>
          <w:rFonts w:cs="Times New Roman"/>
          <w:szCs w:val="24"/>
        </w:rPr>
        <w:t xml:space="preserve"> kasācijas sūdzības par apelācijas </w:t>
      </w:r>
      <w:r w:rsidR="00692E07" w:rsidRPr="00485A0C">
        <w:rPr>
          <w:rFonts w:asciiTheme="majorBidi" w:hAnsiTheme="majorBidi" w:cstheme="majorBidi"/>
          <w:szCs w:val="24"/>
        </w:rPr>
        <w:t>instances</w:t>
      </w:r>
      <w:r w:rsidR="00692E07">
        <w:rPr>
          <w:rFonts w:cs="Times New Roman"/>
          <w:szCs w:val="24"/>
        </w:rPr>
        <w:t xml:space="preserve"> tiesas spriedumu nav iesnieguši, bet apelācijas instances tiesas pieļautie Kriminālprocesa likuma pārkāpumi attiecas arī uz </w:t>
      </w:r>
      <w:r w:rsidR="00E2671F">
        <w:rPr>
          <w:rFonts w:cs="Times New Roman"/>
          <w:szCs w:val="24"/>
        </w:rPr>
        <w:t>lietas iztiesāšanu daļā par viņiem</w:t>
      </w:r>
      <w:r w:rsidR="00692E07">
        <w:rPr>
          <w:rFonts w:cs="Times New Roman"/>
          <w:szCs w:val="24"/>
        </w:rPr>
        <w:t xml:space="preserve">, </w:t>
      </w:r>
      <w:r w:rsidR="00E2671F">
        <w:rPr>
          <w:rFonts w:cs="Times New Roman"/>
          <w:szCs w:val="24"/>
        </w:rPr>
        <w:t>Senāts</w:t>
      </w:r>
      <w:r w:rsidR="00E428D0">
        <w:rPr>
          <w:rFonts w:cs="Times New Roman"/>
          <w:szCs w:val="24"/>
        </w:rPr>
        <w:t>,</w:t>
      </w:r>
      <w:r w:rsidR="00E2671F">
        <w:rPr>
          <w:rFonts w:cs="Times New Roman"/>
          <w:szCs w:val="24"/>
        </w:rPr>
        <w:t xml:space="preserve"> pamatojoties uz Kriminālprocesa likuma 584. panta otro daļu, atzīst par nepieciešamu pārsniegt apsūdzēto </w:t>
      </w:r>
      <w:r w:rsidR="00BB14E2">
        <w:rPr>
          <w:rFonts w:cs="Times New Roman"/>
          <w:szCs w:val="24"/>
        </w:rPr>
        <w:t>[pers. A]</w:t>
      </w:r>
      <w:r w:rsidR="00E2671F">
        <w:rPr>
          <w:rFonts w:cs="Times New Roman"/>
          <w:szCs w:val="24"/>
        </w:rPr>
        <w:t xml:space="preserve"> un </w:t>
      </w:r>
      <w:r w:rsidR="00BB14E2">
        <w:rPr>
          <w:rFonts w:cs="Times New Roman"/>
          <w:szCs w:val="24"/>
        </w:rPr>
        <w:t>[pers. B]</w:t>
      </w:r>
      <w:r w:rsidR="00E2671F">
        <w:rPr>
          <w:rFonts w:cs="Times New Roman"/>
          <w:szCs w:val="24"/>
        </w:rPr>
        <w:t xml:space="preserve"> kasācijas sūdzību ietvarus un atcelt apelācijas instances tiesas spriedumu arī attiecībā uz apsūdzētajiem </w:t>
      </w:r>
      <w:r w:rsidR="00BB14E2">
        <w:rPr>
          <w:rFonts w:cs="Times New Roman"/>
          <w:szCs w:val="24"/>
        </w:rPr>
        <w:t>[pers. C]</w:t>
      </w:r>
      <w:r w:rsidR="00E2671F">
        <w:rPr>
          <w:rFonts w:cs="Times New Roman"/>
          <w:szCs w:val="24"/>
        </w:rPr>
        <w:t xml:space="preserve"> un </w:t>
      </w:r>
      <w:r w:rsidR="00BB14E2">
        <w:rPr>
          <w:rFonts w:cs="Times New Roman"/>
          <w:szCs w:val="24"/>
        </w:rPr>
        <w:t>[pers. D]</w:t>
      </w:r>
      <w:r w:rsidR="00E2671F">
        <w:rPr>
          <w:rFonts w:cs="Times New Roman"/>
          <w:szCs w:val="24"/>
        </w:rPr>
        <w:t>.</w:t>
      </w:r>
    </w:p>
    <w:p w14:paraId="0B9DD84D" w14:textId="6D268894" w:rsidR="00DA0CF2" w:rsidRDefault="00E2671F" w:rsidP="00C42EC0">
      <w:pPr>
        <w:pStyle w:val="NoSpacing"/>
        <w:widowControl w:val="0"/>
        <w:spacing w:line="276" w:lineRule="auto"/>
        <w:ind w:firstLine="720"/>
        <w:jc w:val="both"/>
        <w:rPr>
          <w:rFonts w:cs="Times New Roman"/>
          <w:szCs w:val="24"/>
        </w:rPr>
      </w:pPr>
      <w:r>
        <w:rPr>
          <w:rFonts w:cs="Times New Roman"/>
          <w:szCs w:val="24"/>
        </w:rPr>
        <w:t>Vienlaikus</w:t>
      </w:r>
      <w:r w:rsidR="001F5A50">
        <w:rPr>
          <w:rFonts w:cs="Times New Roman"/>
          <w:szCs w:val="24"/>
        </w:rPr>
        <w:t xml:space="preserve"> Senāts norāda, ka,</w:t>
      </w:r>
      <w:r>
        <w:rPr>
          <w:rFonts w:cs="Times New Roman"/>
          <w:szCs w:val="24"/>
        </w:rPr>
        <w:t xml:space="preserve"> ievērojot to, ka kasācijas protests lietā netika iesniegts, apelācijas instances tiesa, iztiesājot liet</w:t>
      </w:r>
      <w:r w:rsidR="00A8160C">
        <w:rPr>
          <w:rFonts w:cs="Times New Roman"/>
          <w:szCs w:val="24"/>
        </w:rPr>
        <w:t>u</w:t>
      </w:r>
      <w:r>
        <w:rPr>
          <w:rFonts w:cs="Times New Roman"/>
          <w:szCs w:val="24"/>
        </w:rPr>
        <w:t xml:space="preserve"> no jauna, atbilstoši Kriminālprocesa likuma 591. panta otrajai daļai nedrīkst pasliktināt apsūdzēto, tai skaitā </w:t>
      </w:r>
      <w:r w:rsidR="00810A82">
        <w:rPr>
          <w:rFonts w:cs="Times New Roman"/>
          <w:szCs w:val="24"/>
        </w:rPr>
        <w:t>[pers. C]</w:t>
      </w:r>
      <w:r>
        <w:rPr>
          <w:rFonts w:cs="Times New Roman"/>
          <w:szCs w:val="24"/>
        </w:rPr>
        <w:t xml:space="preserve"> un </w:t>
      </w:r>
      <w:r w:rsidR="00810A82">
        <w:rPr>
          <w:rFonts w:cs="Times New Roman"/>
          <w:szCs w:val="24"/>
        </w:rPr>
        <w:t>[pers. D]</w:t>
      </w:r>
      <w:r>
        <w:rPr>
          <w:rFonts w:cs="Times New Roman"/>
          <w:szCs w:val="24"/>
        </w:rPr>
        <w:t>, stāvokli lietā.</w:t>
      </w:r>
    </w:p>
    <w:p w14:paraId="3C12B586" w14:textId="77777777" w:rsidR="00215736" w:rsidRDefault="00215736" w:rsidP="00F6081F">
      <w:pPr>
        <w:pStyle w:val="NoSpacing"/>
        <w:widowControl w:val="0"/>
        <w:spacing w:line="276" w:lineRule="auto"/>
        <w:jc w:val="both"/>
        <w:rPr>
          <w:rFonts w:cs="Times New Roman"/>
          <w:szCs w:val="24"/>
        </w:rPr>
      </w:pPr>
    </w:p>
    <w:p w14:paraId="5BE233D6" w14:textId="690DD0AC" w:rsidR="00215736" w:rsidRDefault="00215736" w:rsidP="00C42EC0">
      <w:pPr>
        <w:pStyle w:val="NoSpacing"/>
        <w:widowControl w:val="0"/>
        <w:spacing w:line="276" w:lineRule="auto"/>
        <w:ind w:firstLine="720"/>
        <w:jc w:val="both"/>
        <w:rPr>
          <w:rFonts w:cs="Times New Roman"/>
          <w:szCs w:val="24"/>
        </w:rPr>
      </w:pPr>
      <w:r>
        <w:rPr>
          <w:rFonts w:cs="Times New Roman"/>
          <w:szCs w:val="24"/>
        </w:rPr>
        <w:t>[8]</w:t>
      </w:r>
      <w:r w:rsidR="00835DCC">
        <w:rPr>
          <w:rFonts w:cs="Times New Roman"/>
          <w:szCs w:val="24"/>
        </w:rPr>
        <w:t> </w:t>
      </w:r>
      <w:r w:rsidR="00A57011">
        <w:rPr>
          <w:rFonts w:cs="Times New Roman"/>
          <w:szCs w:val="24"/>
        </w:rPr>
        <w:t>Atceļot apelācijas instances tiesas spriedumu pilnībā un nosūtot lietu jaunai izskatīšanai apelācijas instances tiesā, Senāts atzīst par nepieciešamu norādīt turpmāk minēto.</w:t>
      </w:r>
    </w:p>
    <w:p w14:paraId="26ECB699" w14:textId="6B20069B" w:rsidR="00A57011" w:rsidRPr="00942F9F" w:rsidRDefault="00A57011" w:rsidP="00C42EC0">
      <w:pPr>
        <w:pStyle w:val="NoSpacing"/>
        <w:widowControl w:val="0"/>
        <w:spacing w:line="276" w:lineRule="auto"/>
        <w:ind w:firstLine="720"/>
        <w:jc w:val="both"/>
        <w:rPr>
          <w:rFonts w:cs="Times New Roman"/>
          <w:szCs w:val="24"/>
        </w:rPr>
      </w:pPr>
      <w:r>
        <w:rPr>
          <w:rFonts w:cs="Times New Roman"/>
          <w:szCs w:val="24"/>
        </w:rPr>
        <w:t>[8.1]</w:t>
      </w:r>
      <w:r w:rsidR="00835DCC">
        <w:rPr>
          <w:rFonts w:cs="Times New Roman"/>
          <w:szCs w:val="24"/>
        </w:rPr>
        <w:t> </w:t>
      </w:r>
      <w:r w:rsidR="004E5168">
        <w:rPr>
          <w:rFonts w:cs="Times New Roman"/>
          <w:szCs w:val="24"/>
        </w:rPr>
        <w:t>Ar pirmās instances tiesas spriedumu a</w:t>
      </w:r>
      <w:r>
        <w:rPr>
          <w:rFonts w:cs="Times New Roman"/>
          <w:szCs w:val="24"/>
        </w:rPr>
        <w:t>psūdzēt</w:t>
      </w:r>
      <w:r w:rsidR="004E5168">
        <w:rPr>
          <w:rFonts w:cs="Times New Roman"/>
          <w:szCs w:val="24"/>
        </w:rPr>
        <w:t>ie</w:t>
      </w:r>
      <w:r>
        <w:rPr>
          <w:rFonts w:cs="Times New Roman"/>
          <w:szCs w:val="24"/>
        </w:rPr>
        <w:t xml:space="preserve"> </w:t>
      </w:r>
      <w:r w:rsidR="0056740A">
        <w:rPr>
          <w:rFonts w:asciiTheme="majorBidi" w:hAnsiTheme="majorBidi" w:cstheme="majorBidi"/>
          <w:szCs w:val="24"/>
        </w:rPr>
        <w:t>[pers. A], [pers. B], [pers. C] un [pers. D]</w:t>
      </w:r>
      <w:r w:rsidR="00942F9F">
        <w:rPr>
          <w:rFonts w:cs="Times New Roman"/>
          <w:szCs w:val="24"/>
        </w:rPr>
        <w:t xml:space="preserve"> atzīti par </w:t>
      </w:r>
      <w:r w:rsidR="004E5168">
        <w:rPr>
          <w:rFonts w:cs="Times New Roman"/>
          <w:szCs w:val="24"/>
        </w:rPr>
        <w:t xml:space="preserve">vainīgiem pēc </w:t>
      </w:r>
      <w:r w:rsidR="006546FE">
        <w:rPr>
          <w:rFonts w:cs="Times New Roman"/>
          <w:szCs w:val="24"/>
        </w:rPr>
        <w:t xml:space="preserve">Krimināllikuma 327. panta par to, ka viņi, būdami valsts amatpersonas, </w:t>
      </w:r>
      <w:r w:rsidR="00942F9F">
        <w:rPr>
          <w:rFonts w:cs="Times New Roman"/>
          <w:szCs w:val="24"/>
        </w:rPr>
        <w:t xml:space="preserve">tīši viltoja dokumentu, bet apsūdzētie </w:t>
      </w:r>
      <w:r w:rsidR="0030543F">
        <w:rPr>
          <w:rFonts w:cs="Times New Roman"/>
          <w:szCs w:val="24"/>
        </w:rPr>
        <w:t>[pers. A]</w:t>
      </w:r>
      <w:r w:rsidR="00942F9F">
        <w:rPr>
          <w:rFonts w:cs="Times New Roman"/>
          <w:szCs w:val="24"/>
        </w:rPr>
        <w:t xml:space="preserve"> un </w:t>
      </w:r>
      <w:r w:rsidR="0030543F">
        <w:rPr>
          <w:rFonts w:cs="Times New Roman"/>
          <w:szCs w:val="24"/>
        </w:rPr>
        <w:t>[pers. </w:t>
      </w:r>
      <w:r w:rsidR="002D0A36">
        <w:rPr>
          <w:rFonts w:cs="Times New Roman"/>
          <w:szCs w:val="24"/>
        </w:rPr>
        <w:t>C</w:t>
      </w:r>
      <w:r w:rsidR="0030543F">
        <w:rPr>
          <w:rFonts w:cs="Times New Roman"/>
          <w:szCs w:val="24"/>
        </w:rPr>
        <w:t>]</w:t>
      </w:r>
      <w:r w:rsidR="00942F9F">
        <w:rPr>
          <w:rFonts w:cs="Times New Roman"/>
          <w:szCs w:val="24"/>
        </w:rPr>
        <w:t xml:space="preserve"> – arī par to, ka viņi, būdami valsts amatpersonas, apzināti izsniedza viltotu dokumentu.</w:t>
      </w:r>
    </w:p>
    <w:p w14:paraId="751AA45B" w14:textId="3F7D7115" w:rsidR="00E5237F" w:rsidRDefault="00E5237F" w:rsidP="00C42EC0">
      <w:pPr>
        <w:widowControl w:val="0"/>
        <w:tabs>
          <w:tab w:val="left" w:pos="1710"/>
        </w:tabs>
        <w:spacing w:after="0" w:line="276" w:lineRule="auto"/>
        <w:ind w:firstLine="720"/>
        <w:jc w:val="both"/>
        <w:rPr>
          <w:rFonts w:cs="Times New Roman"/>
          <w:szCs w:val="24"/>
        </w:rPr>
      </w:pPr>
      <w:r>
        <w:rPr>
          <w:rFonts w:cs="Times New Roman"/>
          <w:szCs w:val="24"/>
        </w:rPr>
        <w:t xml:space="preserve">Dokumenta viltošanas </w:t>
      </w:r>
      <w:r w:rsidR="00942F9F">
        <w:rPr>
          <w:rFonts w:cs="Times New Roman"/>
          <w:szCs w:val="24"/>
        </w:rPr>
        <w:t xml:space="preserve">un viltota dokumenta izsniegšanas </w:t>
      </w:r>
      <w:r>
        <w:rPr>
          <w:rFonts w:cs="Times New Roman"/>
          <w:szCs w:val="24"/>
        </w:rPr>
        <w:t>jēdzien</w:t>
      </w:r>
      <w:r w:rsidR="00942F9F">
        <w:rPr>
          <w:rFonts w:cs="Times New Roman"/>
          <w:szCs w:val="24"/>
        </w:rPr>
        <w:t>u</w:t>
      </w:r>
      <w:r>
        <w:rPr>
          <w:rFonts w:cs="Times New Roman"/>
          <w:szCs w:val="24"/>
        </w:rPr>
        <w:t xml:space="preserve"> saturs Krimināllikuma </w:t>
      </w:r>
      <w:r w:rsidR="006546FE">
        <w:rPr>
          <w:rFonts w:cs="Times New Roman"/>
          <w:szCs w:val="24"/>
        </w:rPr>
        <w:t xml:space="preserve">327. pantā </w:t>
      </w:r>
      <w:r>
        <w:rPr>
          <w:rFonts w:cs="Times New Roman"/>
          <w:szCs w:val="24"/>
        </w:rPr>
        <w:t>nav atklāts, tādēļ tas jāinterpretē likuma piemērotājam.</w:t>
      </w:r>
    </w:p>
    <w:p w14:paraId="143FA885" w14:textId="069909ED" w:rsidR="006546FE" w:rsidRDefault="006546FE" w:rsidP="00C42EC0">
      <w:pPr>
        <w:pStyle w:val="NoSpacing"/>
        <w:widowControl w:val="0"/>
        <w:spacing w:line="276" w:lineRule="auto"/>
        <w:ind w:firstLine="720"/>
        <w:jc w:val="both"/>
        <w:rPr>
          <w:rFonts w:cs="Times New Roman"/>
          <w:szCs w:val="24"/>
        </w:rPr>
      </w:pPr>
      <w:r>
        <w:rPr>
          <w:rFonts w:cs="Times New Roman"/>
          <w:szCs w:val="24"/>
        </w:rPr>
        <w:t xml:space="preserve">Apelācijas instances tiesa, atsaucoties uz Senāta judikatūrā </w:t>
      </w:r>
      <w:r w:rsidR="00942F9F">
        <w:rPr>
          <w:rFonts w:cs="Times New Roman"/>
          <w:szCs w:val="24"/>
        </w:rPr>
        <w:t xml:space="preserve">un juridiskajā literatūrā </w:t>
      </w:r>
      <w:r>
        <w:rPr>
          <w:rFonts w:cs="Times New Roman"/>
          <w:szCs w:val="24"/>
        </w:rPr>
        <w:t xml:space="preserve">paustajām atziņām, pamatoti norādījusi, ka ar dokumenta viltošanu Krimināllikuma izpratnē jāsaprot ne tikai neīsta dokumenta </w:t>
      </w:r>
      <w:r w:rsidR="005B7074">
        <w:rPr>
          <w:rFonts w:cs="Times New Roman"/>
          <w:szCs w:val="24"/>
        </w:rPr>
        <w:t>sagatavošana</w:t>
      </w:r>
      <w:r>
        <w:rPr>
          <w:rFonts w:cs="Times New Roman"/>
          <w:szCs w:val="24"/>
        </w:rPr>
        <w:t>, parakstot zem teksta svešu vārdu bez attiecīga pilnvarojuma vai ierakstot nepatiesu tekstu virs īsta paraksta, vai īsta dokumenta falsifikācija, izdzēšot, izkodinot vai labojot esošo tekstu, pierakstot tam jaunu tekstu u.</w:t>
      </w:r>
      <w:r w:rsidR="00FC1FA8">
        <w:rPr>
          <w:rFonts w:cs="Times New Roman"/>
          <w:szCs w:val="24"/>
        </w:rPr>
        <w:t> </w:t>
      </w:r>
      <w:r>
        <w:rPr>
          <w:rFonts w:cs="Times New Roman"/>
          <w:szCs w:val="24"/>
        </w:rPr>
        <w:t>tml., bet arī apzināta patiesībai neatbilstošu ziņu ietveršana dokumentā, ko izdarījusi valsts amatpersona vai cits speciālais subjekts</w:t>
      </w:r>
      <w:r w:rsidR="00942F9F">
        <w:rPr>
          <w:rFonts w:cs="Times New Roman"/>
          <w:szCs w:val="24"/>
        </w:rPr>
        <w:t xml:space="preserve">, savukārt ar viltota dokumenta izsniegšanu jāsaprot </w:t>
      </w:r>
      <w:r w:rsidR="009F0069">
        <w:rPr>
          <w:rFonts w:cs="Times New Roman"/>
          <w:szCs w:val="24"/>
        </w:rPr>
        <w:t>valsts vai pašvaldību institūcijas vai atsevišķas tam pilnvarotas valsts amatpersonas darbība, kas izpaužas kā viltota dokumenta nodošana attiecīgai amatpersonai.</w:t>
      </w:r>
    </w:p>
    <w:p w14:paraId="0E044B2D" w14:textId="3BEACEF4" w:rsidR="00FA0F57" w:rsidRDefault="009F0069" w:rsidP="00C42EC0">
      <w:pPr>
        <w:pStyle w:val="NoSpacing"/>
        <w:widowControl w:val="0"/>
        <w:spacing w:line="276" w:lineRule="auto"/>
        <w:ind w:firstLine="720"/>
        <w:jc w:val="both"/>
        <w:rPr>
          <w:rFonts w:cs="Times New Roman"/>
          <w:szCs w:val="24"/>
        </w:rPr>
      </w:pPr>
      <w:r>
        <w:rPr>
          <w:rFonts w:cs="Times New Roman"/>
          <w:szCs w:val="24"/>
        </w:rPr>
        <w:t>Ievērojot minēto, apelācijas instances tiesa pamatoti izslēgusi</w:t>
      </w:r>
      <w:r w:rsidR="007C1AC2">
        <w:rPr>
          <w:rFonts w:cs="Times New Roman"/>
          <w:szCs w:val="24"/>
        </w:rPr>
        <w:t xml:space="preserve"> no pirmās instances tiesas sniegtā pierādītā noziedzīgā nodarījuma apraksta apstākļus, kas saistīti ar apsūdzēto </w:t>
      </w:r>
      <w:r w:rsidR="0030543F">
        <w:rPr>
          <w:rFonts w:asciiTheme="majorBidi" w:hAnsiTheme="majorBidi" w:cstheme="majorBidi"/>
          <w:szCs w:val="24"/>
        </w:rPr>
        <w:t>[pers. A], [pers. B], [pers. C] un [pers. D]</w:t>
      </w:r>
      <w:r w:rsidR="007C1AC2">
        <w:rPr>
          <w:rFonts w:cs="Times New Roman"/>
          <w:szCs w:val="24"/>
        </w:rPr>
        <w:t xml:space="preserve"> dienesta pienākumu pildīšanu un iekšējo normatīvo aktu pārkāpumiem. Tiesa pareizi norādījusi, ka </w:t>
      </w:r>
      <w:r w:rsidR="00A42AAF">
        <w:rPr>
          <w:rFonts w:cs="Times New Roman"/>
          <w:szCs w:val="24"/>
        </w:rPr>
        <w:t xml:space="preserve">apsūdzētie tiek saukti pie kriminālatbildības par dienesta dokumentu viltošanu un viltotu dokumentu izsniegšanu, </w:t>
      </w:r>
      <w:r w:rsidR="00A42AAF">
        <w:rPr>
          <w:rFonts w:cs="Times New Roman"/>
          <w:szCs w:val="24"/>
        </w:rPr>
        <w:lastRenderedPageBreak/>
        <w:t>nevis par paviršu, neprofesionālu vai nolaidīgu dienesta pildīšanu, līdz ar to šie apstākļi neietekmē noziedzīgā nodarījuma juridisko kvalifikāciju un nav attiecināmi uz Krimināllikuma 327. pantā paredzētā noziedzīgā nodarījuma priekšmetu.</w:t>
      </w:r>
    </w:p>
    <w:p w14:paraId="0688F5F7" w14:textId="4866B6D1" w:rsidR="009F0069" w:rsidRDefault="00A42AAF" w:rsidP="00C42EC0">
      <w:pPr>
        <w:pStyle w:val="NoSpacing"/>
        <w:widowControl w:val="0"/>
        <w:spacing w:line="276" w:lineRule="auto"/>
        <w:ind w:firstLine="720"/>
        <w:jc w:val="both"/>
        <w:rPr>
          <w:rFonts w:cs="Times New Roman"/>
          <w:szCs w:val="24"/>
        </w:rPr>
      </w:pPr>
      <w:r>
        <w:rPr>
          <w:rFonts w:cs="Times New Roman"/>
          <w:szCs w:val="24"/>
        </w:rPr>
        <w:t xml:space="preserve">Senāts norāda, ka šiem apstākļiem varētu būt </w:t>
      </w:r>
      <w:r w:rsidR="00FA0F57">
        <w:rPr>
          <w:rFonts w:cs="Times New Roman"/>
          <w:szCs w:val="24"/>
        </w:rPr>
        <w:t xml:space="preserve">pierādījumu </w:t>
      </w:r>
      <w:r>
        <w:rPr>
          <w:rFonts w:cs="Times New Roman"/>
          <w:szCs w:val="24"/>
        </w:rPr>
        <w:t>nozīme, izvērtējot jautājumu par Krimināllikuma 327. pantā paredzētā noziedzīgā nodarījuma subjektīv</w:t>
      </w:r>
      <w:r w:rsidR="00654D61">
        <w:rPr>
          <w:rFonts w:cs="Times New Roman"/>
          <w:szCs w:val="24"/>
        </w:rPr>
        <w:t>ā</w:t>
      </w:r>
      <w:r>
        <w:rPr>
          <w:rFonts w:cs="Times New Roman"/>
          <w:szCs w:val="24"/>
        </w:rPr>
        <w:t>s puses esību apsūdzēto nodarījumā</w:t>
      </w:r>
      <w:r w:rsidR="00FA0F57">
        <w:rPr>
          <w:rFonts w:cs="Times New Roman"/>
          <w:szCs w:val="24"/>
        </w:rPr>
        <w:t xml:space="preserve">, </w:t>
      </w:r>
      <w:r w:rsidR="00654D61">
        <w:rPr>
          <w:rFonts w:cs="Times New Roman"/>
          <w:szCs w:val="24"/>
        </w:rPr>
        <w:t>taču lietā iegūto pierādījumu izvērtēšana atbilstoši Kriminālprocesa likuma 569. panta trešajai</w:t>
      </w:r>
      <w:r w:rsidR="00B828E8">
        <w:rPr>
          <w:rFonts w:cs="Times New Roman"/>
          <w:szCs w:val="24"/>
        </w:rPr>
        <w:t xml:space="preserve"> daļai</w:t>
      </w:r>
      <w:r w:rsidR="00654D61">
        <w:rPr>
          <w:rFonts w:cs="Times New Roman"/>
          <w:szCs w:val="24"/>
        </w:rPr>
        <w:t xml:space="preserve"> nav kasācijas instances tiesas kompetencē.</w:t>
      </w:r>
      <w:r w:rsidR="007C1AC2">
        <w:rPr>
          <w:rFonts w:cs="Times New Roman"/>
          <w:szCs w:val="24"/>
        </w:rPr>
        <w:t xml:space="preserve"> </w:t>
      </w:r>
      <w:r w:rsidR="00654D61">
        <w:rPr>
          <w:rFonts w:cs="Times New Roman"/>
          <w:szCs w:val="24"/>
        </w:rPr>
        <w:t xml:space="preserve">Ievērojot minēto, apsūdzēto </w:t>
      </w:r>
      <w:r w:rsidR="00D0257C">
        <w:rPr>
          <w:rFonts w:cs="Times New Roman"/>
          <w:szCs w:val="24"/>
        </w:rPr>
        <w:t xml:space="preserve">[pers. A] </w:t>
      </w:r>
      <w:r w:rsidR="00654D61">
        <w:rPr>
          <w:rFonts w:cs="Times New Roman"/>
          <w:szCs w:val="24"/>
        </w:rPr>
        <w:t xml:space="preserve">un </w:t>
      </w:r>
      <w:r w:rsidR="00D0257C">
        <w:rPr>
          <w:rFonts w:cs="Times New Roman"/>
          <w:szCs w:val="24"/>
        </w:rPr>
        <w:t>[pers. B]</w:t>
      </w:r>
      <w:r w:rsidR="00654D61">
        <w:rPr>
          <w:rFonts w:cs="Times New Roman"/>
          <w:szCs w:val="24"/>
        </w:rPr>
        <w:t xml:space="preserve"> kasācijas sūdzību argumenti</w:t>
      </w:r>
      <w:r w:rsidR="00A75977">
        <w:rPr>
          <w:rFonts w:cs="Times New Roman"/>
          <w:szCs w:val="24"/>
        </w:rPr>
        <w:t xml:space="preserve"> par iekšējo normatīvo aktu nepareizu interpretāciju un dienesta pienākumu apjoma un satura nepareizu noteikšanu, nav izskatīšanas priekšmets kasācijas instances tiesā.</w:t>
      </w:r>
    </w:p>
    <w:p w14:paraId="62D6FF07" w14:textId="77BC267A" w:rsidR="00A75977" w:rsidRDefault="00A75977" w:rsidP="00C42EC0">
      <w:pPr>
        <w:pStyle w:val="NoSpacing"/>
        <w:widowControl w:val="0"/>
        <w:spacing w:line="276" w:lineRule="auto"/>
        <w:ind w:firstLine="720"/>
        <w:jc w:val="both"/>
        <w:rPr>
          <w:rFonts w:cs="Times New Roman"/>
          <w:szCs w:val="24"/>
        </w:rPr>
      </w:pPr>
      <w:r>
        <w:rPr>
          <w:rFonts w:cs="Times New Roman"/>
          <w:szCs w:val="24"/>
        </w:rPr>
        <w:t>[8.2]</w:t>
      </w:r>
      <w:r w:rsidR="005B7074">
        <w:rPr>
          <w:rFonts w:cs="Times New Roman"/>
          <w:szCs w:val="24"/>
        </w:rPr>
        <w:t> </w:t>
      </w:r>
      <w:r>
        <w:rPr>
          <w:rFonts w:cs="Times New Roman"/>
          <w:szCs w:val="24"/>
        </w:rPr>
        <w:t xml:space="preserve">Senāts atzīst par nepamatotu apsūdzētā </w:t>
      </w:r>
      <w:r w:rsidR="00D0257C">
        <w:rPr>
          <w:rFonts w:cs="Times New Roman"/>
          <w:szCs w:val="24"/>
        </w:rPr>
        <w:t>[pers. B]</w:t>
      </w:r>
      <w:r>
        <w:rPr>
          <w:rFonts w:cs="Times New Roman"/>
          <w:szCs w:val="24"/>
        </w:rPr>
        <w:t xml:space="preserve"> kasācijas sūdzības argumentu par to, ka tiesa pārkāpusi apsūdzētā tiesības uz aizstāvību</w:t>
      </w:r>
      <w:r w:rsidR="00FE00F0">
        <w:rPr>
          <w:rFonts w:cs="Times New Roman"/>
          <w:szCs w:val="24"/>
        </w:rPr>
        <w:t>, jo pierādītā noziedzīgā nodarījuma aprakstā nav aprakstījusi noziedzīgā nodarījuma objektu.</w:t>
      </w:r>
    </w:p>
    <w:p w14:paraId="335166AE" w14:textId="2A7F4F27" w:rsidR="009B72E3" w:rsidRDefault="009B72E3" w:rsidP="00C42EC0">
      <w:pPr>
        <w:pStyle w:val="NoSpacing"/>
        <w:widowControl w:val="0"/>
        <w:spacing w:line="276" w:lineRule="auto"/>
        <w:ind w:firstLine="720"/>
        <w:jc w:val="both"/>
        <w:rPr>
          <w:rFonts w:cs="Times New Roman"/>
          <w:szCs w:val="24"/>
        </w:rPr>
      </w:pPr>
      <w:r>
        <w:rPr>
          <w:rFonts w:cs="Times New Roman"/>
          <w:szCs w:val="24"/>
        </w:rPr>
        <w:t>Kriminālprocesa likuma 527. panta pirmā daļa noteic, ka notiesājoša sprieduma aprakstošajā daļā sniedz pierādītā noziedzīgā nodarījuma aprakstu un juridisko kvalifikāciju, minot tā izdarīšanas laiku, vietu, izdarīšanas veidu, apsūdzētā vainas formu, motīvus un šā nodarījuma sekas</w:t>
      </w:r>
      <w:r w:rsidR="00DC595B">
        <w:rPr>
          <w:rFonts w:cs="Times New Roman"/>
          <w:szCs w:val="24"/>
        </w:rPr>
        <w:t>, proti, pierādītā noziedzīgā nodarījuma aprakstā tiek norādīti noziedzīgā nodarījuma, kurā persona tiek atzīta par vainīgu, faktiskie apstākļi, kas nosaka juridisko kvalifikāciju.</w:t>
      </w:r>
    </w:p>
    <w:p w14:paraId="5132389F" w14:textId="77292EEC" w:rsidR="00DC595B" w:rsidRDefault="009B72E3" w:rsidP="00C42EC0">
      <w:pPr>
        <w:pStyle w:val="NoSpacing"/>
        <w:widowControl w:val="0"/>
        <w:spacing w:line="276" w:lineRule="auto"/>
        <w:ind w:firstLine="720"/>
        <w:jc w:val="both"/>
        <w:rPr>
          <w:rFonts w:cs="Times New Roman"/>
          <w:szCs w:val="24"/>
        </w:rPr>
      </w:pPr>
      <w:r>
        <w:rPr>
          <w:rFonts w:cs="Times New Roman"/>
          <w:szCs w:val="24"/>
        </w:rPr>
        <w:t>Noziedzīgā nodarījuma objekta jēdziens Krimināllikumā nav dots, bet tas ir izstrādāts krimināltiesību teorijā.</w:t>
      </w:r>
      <w:r w:rsidR="00092B64">
        <w:rPr>
          <w:rFonts w:cs="Times New Roman"/>
          <w:szCs w:val="24"/>
        </w:rPr>
        <w:t xml:space="preserve"> Ievērojot to, ka ikviens noziedzīgs nodarījums ir saistīts ar noteiktu valsts, sabiedrības, atsevišķu cilvēka grupu vai indivīda interešu aizskārumu, vai nu nodarot tām kaitējumu, vai draudot to nodarīt, par noziedzīgā nodarījuma objektu krimināltiesību teorijā tiek atzītas</w:t>
      </w:r>
      <w:r w:rsidR="00E63AE1">
        <w:rPr>
          <w:rFonts w:cs="Times New Roman"/>
          <w:szCs w:val="24"/>
        </w:rPr>
        <w:t xml:space="preserve"> ar Krimināllikumu aizsargātās intereses (</w:t>
      </w:r>
      <w:r w:rsidR="00E63AE1" w:rsidRPr="00485A0C">
        <w:rPr>
          <w:rFonts w:cs="Times New Roman"/>
          <w:szCs w:val="24"/>
        </w:rPr>
        <w:t>sk</w:t>
      </w:r>
      <w:r w:rsidR="00E63AE1">
        <w:rPr>
          <w:rFonts w:cs="Times New Roman"/>
          <w:i/>
          <w:iCs/>
          <w:szCs w:val="24"/>
        </w:rPr>
        <w:t>.</w:t>
      </w:r>
      <w:r w:rsidR="00A10415">
        <w:rPr>
          <w:rFonts w:cs="Times New Roman"/>
          <w:i/>
          <w:iCs/>
          <w:szCs w:val="24"/>
        </w:rPr>
        <w:t> </w:t>
      </w:r>
      <w:r w:rsidR="00E63AE1">
        <w:rPr>
          <w:rFonts w:cs="Times New Roman"/>
          <w:i/>
          <w:iCs/>
          <w:szCs w:val="24"/>
        </w:rPr>
        <w:t>Krastiņš</w:t>
      </w:r>
      <w:r w:rsidR="008432CD">
        <w:rPr>
          <w:rFonts w:cs="Times New Roman"/>
          <w:i/>
          <w:iCs/>
          <w:szCs w:val="24"/>
        </w:rPr>
        <w:t> U.</w:t>
      </w:r>
      <w:r w:rsidR="00E63AE1">
        <w:rPr>
          <w:rFonts w:cs="Times New Roman"/>
          <w:i/>
          <w:iCs/>
          <w:szCs w:val="24"/>
        </w:rPr>
        <w:t>, Liholaja</w:t>
      </w:r>
      <w:r w:rsidR="008432CD">
        <w:rPr>
          <w:rFonts w:cs="Times New Roman"/>
          <w:i/>
          <w:iCs/>
          <w:szCs w:val="24"/>
        </w:rPr>
        <w:t> V.</w:t>
      </w:r>
      <w:r w:rsidR="00E63AE1">
        <w:rPr>
          <w:rFonts w:cs="Times New Roman"/>
          <w:i/>
          <w:iCs/>
          <w:szCs w:val="24"/>
        </w:rPr>
        <w:t>, Niedre. Krimināltiesības. Vispārīgā daļa. Trešais papildinātais izdevums. Rīga: Tiesu namu aģentūra, 2008, 92.–93. lpp.</w:t>
      </w:r>
      <w:r w:rsidR="00E63AE1" w:rsidRPr="00485A0C">
        <w:rPr>
          <w:rFonts w:cs="Times New Roman"/>
          <w:szCs w:val="24"/>
        </w:rPr>
        <w:t>)</w:t>
      </w:r>
      <w:r w:rsidR="00E63AE1">
        <w:rPr>
          <w:rFonts w:cs="Times New Roman"/>
          <w:i/>
          <w:iCs/>
          <w:szCs w:val="24"/>
        </w:rPr>
        <w:t>.</w:t>
      </w:r>
    </w:p>
    <w:p w14:paraId="0809D2AB" w14:textId="62176058" w:rsidR="00DC595B" w:rsidRDefault="00DC595B" w:rsidP="00C42EC0">
      <w:pPr>
        <w:pStyle w:val="NoSpacing"/>
        <w:widowControl w:val="0"/>
        <w:spacing w:line="276" w:lineRule="auto"/>
        <w:ind w:firstLine="720"/>
        <w:jc w:val="both"/>
        <w:rPr>
          <w:rFonts w:cs="Times New Roman"/>
          <w:szCs w:val="24"/>
        </w:rPr>
      </w:pPr>
      <w:r>
        <w:rPr>
          <w:rFonts w:cs="Times New Roman"/>
          <w:szCs w:val="24"/>
        </w:rPr>
        <w:t>Krimināllikuma 327. pantā paredzētā noziedzīgā nodarījuma objekts ir valsts un pašvaldību institūciju, valsts dienesta normāla darbība.</w:t>
      </w:r>
    </w:p>
    <w:p w14:paraId="18138936" w14:textId="77777777" w:rsidR="00EF545B" w:rsidRDefault="00DC595B" w:rsidP="00C42EC0">
      <w:pPr>
        <w:pStyle w:val="NoSpacing"/>
        <w:widowControl w:val="0"/>
        <w:spacing w:line="276" w:lineRule="auto"/>
        <w:ind w:firstLine="720"/>
        <w:jc w:val="both"/>
        <w:rPr>
          <w:rFonts w:cs="Times New Roman"/>
          <w:szCs w:val="24"/>
        </w:rPr>
      </w:pPr>
      <w:r>
        <w:rPr>
          <w:rFonts w:cs="Times New Roman"/>
          <w:szCs w:val="24"/>
        </w:rPr>
        <w:t xml:space="preserve">Noziedzīgā nodarījuma objekts ir </w:t>
      </w:r>
      <w:r w:rsidR="00F51D31">
        <w:rPr>
          <w:rFonts w:cs="Times New Roman"/>
          <w:szCs w:val="24"/>
        </w:rPr>
        <w:t>ietverts</w:t>
      </w:r>
      <w:r>
        <w:rPr>
          <w:rFonts w:cs="Times New Roman"/>
          <w:szCs w:val="24"/>
        </w:rPr>
        <w:t xml:space="preserve"> tikai dažās Krimināllikuma Sevišķās daļas normu dispozīcijās</w:t>
      </w:r>
      <w:r w:rsidR="00F51D31">
        <w:rPr>
          <w:rFonts w:cs="Times New Roman"/>
          <w:szCs w:val="24"/>
        </w:rPr>
        <w:t xml:space="preserve">, un šajos gadījumos tas ir norādāms pierādītā noziedzīgā nodarījuma aprakstā. </w:t>
      </w:r>
      <w:r w:rsidR="00AC588E">
        <w:rPr>
          <w:rFonts w:cs="Times New Roman"/>
          <w:szCs w:val="24"/>
        </w:rPr>
        <w:t xml:space="preserve">Krimināllikuma 327. panta dispozīcijā </w:t>
      </w:r>
      <w:r w:rsidR="00F51D31">
        <w:rPr>
          <w:rFonts w:cs="Times New Roman"/>
          <w:szCs w:val="24"/>
        </w:rPr>
        <w:t>noziedzīgā nodarījuma objekts</w:t>
      </w:r>
      <w:r w:rsidR="00AC588E">
        <w:rPr>
          <w:rFonts w:cs="Times New Roman"/>
          <w:szCs w:val="24"/>
        </w:rPr>
        <w:t xml:space="preserve"> nav ietverts</w:t>
      </w:r>
      <w:r w:rsidR="00F51D31">
        <w:rPr>
          <w:rFonts w:cs="Times New Roman"/>
          <w:szCs w:val="24"/>
        </w:rPr>
        <w:t xml:space="preserve">. </w:t>
      </w:r>
      <w:r w:rsidR="00AC588E">
        <w:rPr>
          <w:rFonts w:cs="Times New Roman"/>
          <w:szCs w:val="24"/>
        </w:rPr>
        <w:t>Parasti noziedzīgā nodarījuma objekts tiek atklāts kvalifikācijas procesā. Arī apelācijas instances tiesa</w:t>
      </w:r>
      <w:r w:rsidR="00F51D31">
        <w:rPr>
          <w:rFonts w:cs="Times New Roman"/>
          <w:szCs w:val="24"/>
        </w:rPr>
        <w:t xml:space="preserve">, kvalificējot noziedzīgo nodarījumu, sprieduma motīvu daļā </w:t>
      </w:r>
      <w:r w:rsidR="00EF545B">
        <w:rPr>
          <w:rFonts w:cs="Times New Roman"/>
          <w:szCs w:val="24"/>
        </w:rPr>
        <w:t>ir detalizēti norādījusi Krimināllikuma 327. pantā paredzētā noziedzīgā nodarījuma sastāva pazīmes, tai skaitā noziedzīgā nodarījuma objektu.</w:t>
      </w:r>
    </w:p>
    <w:p w14:paraId="2093BCDB" w14:textId="00CB3B2B" w:rsidR="00DC595B" w:rsidRDefault="00EF545B" w:rsidP="00C42EC0">
      <w:pPr>
        <w:pStyle w:val="NoSpacing"/>
        <w:widowControl w:val="0"/>
        <w:spacing w:line="276" w:lineRule="auto"/>
        <w:ind w:firstLine="720"/>
        <w:jc w:val="both"/>
        <w:rPr>
          <w:rFonts w:cs="Times New Roman"/>
          <w:szCs w:val="24"/>
        </w:rPr>
      </w:pPr>
      <w:r>
        <w:rPr>
          <w:rFonts w:cs="Times New Roman"/>
          <w:szCs w:val="24"/>
        </w:rPr>
        <w:t>[8.3]</w:t>
      </w:r>
      <w:r w:rsidR="00CD766E">
        <w:rPr>
          <w:rFonts w:cs="Times New Roman"/>
          <w:szCs w:val="24"/>
        </w:rPr>
        <w:t> </w:t>
      </w:r>
      <w:r>
        <w:rPr>
          <w:rFonts w:cs="Times New Roman"/>
          <w:szCs w:val="24"/>
        </w:rPr>
        <w:t>Apelācijas instances tiesa pamatoti atzinusi, ka noziedzīgā nodarījuma motīvs un mērķis</w:t>
      </w:r>
      <w:r w:rsidR="00483550">
        <w:rPr>
          <w:rFonts w:cs="Times New Roman"/>
          <w:szCs w:val="24"/>
        </w:rPr>
        <w:t xml:space="preserve"> jeb nolūks</w:t>
      </w:r>
      <w:r>
        <w:rPr>
          <w:rFonts w:cs="Times New Roman"/>
          <w:szCs w:val="24"/>
        </w:rPr>
        <w:t xml:space="preserve"> nav Krimināllikuma 327. pantā </w:t>
      </w:r>
      <w:r w:rsidR="00E55C8E">
        <w:rPr>
          <w:rFonts w:cs="Times New Roman"/>
          <w:szCs w:val="24"/>
        </w:rPr>
        <w:t>paredzētā noziedzīgā nodarījuma sastāva obligātās pazīmes, līdz ar to šo pazīmju nenoskaidrošana nevar būt par pamatu, lai atzītu, ka apsūdzēto darbībās nav viņiem inkriminētā noziedzīgā nodarījuma sastāva.</w:t>
      </w:r>
    </w:p>
    <w:p w14:paraId="0CCCF23D" w14:textId="0C445ADD" w:rsidR="00460EC4" w:rsidRDefault="00E55C8E" w:rsidP="00C42EC0">
      <w:pPr>
        <w:pStyle w:val="NoSpacing"/>
        <w:widowControl w:val="0"/>
        <w:spacing w:line="276" w:lineRule="auto"/>
        <w:ind w:firstLine="720"/>
        <w:jc w:val="both"/>
        <w:rPr>
          <w:rFonts w:cs="Times New Roman"/>
          <w:szCs w:val="24"/>
        </w:rPr>
      </w:pPr>
      <w:r>
        <w:rPr>
          <w:rFonts w:cs="Times New Roman"/>
          <w:szCs w:val="24"/>
        </w:rPr>
        <w:t xml:space="preserve">Senāts konstatē, ka apsūdzētais </w:t>
      </w:r>
      <w:r w:rsidR="00171217">
        <w:rPr>
          <w:rFonts w:cs="Times New Roman"/>
          <w:szCs w:val="24"/>
        </w:rPr>
        <w:t>[pers. A]</w:t>
      </w:r>
      <w:r>
        <w:rPr>
          <w:rFonts w:cs="Times New Roman"/>
          <w:szCs w:val="24"/>
        </w:rPr>
        <w:t xml:space="preserve"> kasācijas sūdzības argumentus šajā daļā pamatojis ar </w:t>
      </w:r>
      <w:r w:rsidR="00460EC4">
        <w:rPr>
          <w:rFonts w:cs="Times New Roman"/>
          <w:szCs w:val="24"/>
        </w:rPr>
        <w:t xml:space="preserve">vispārīgu </w:t>
      </w:r>
      <w:r>
        <w:rPr>
          <w:rFonts w:cs="Times New Roman"/>
          <w:szCs w:val="24"/>
        </w:rPr>
        <w:t>tiesību teorijas atziņ</w:t>
      </w:r>
      <w:r w:rsidR="00914F18">
        <w:rPr>
          <w:rFonts w:cs="Times New Roman"/>
          <w:szCs w:val="24"/>
        </w:rPr>
        <w:t>u</w:t>
      </w:r>
      <w:r>
        <w:rPr>
          <w:rFonts w:cs="Times New Roman"/>
          <w:szCs w:val="24"/>
        </w:rPr>
        <w:t>, ka</w:t>
      </w:r>
      <w:r w:rsidR="00914F18">
        <w:rPr>
          <w:rFonts w:cs="Times New Roman"/>
          <w:szCs w:val="24"/>
        </w:rPr>
        <w:t xml:space="preserve"> tīšos noziedzīgos nodarījumos mērķis un motīvs ir noziedzīgā nodarījuma subjektīvās puses pazīmes</w:t>
      </w:r>
      <w:r w:rsidR="00460EC4">
        <w:rPr>
          <w:rFonts w:cs="Times New Roman"/>
          <w:szCs w:val="24"/>
        </w:rPr>
        <w:t>.</w:t>
      </w:r>
    </w:p>
    <w:p w14:paraId="0298C8BF" w14:textId="3FC6BA97" w:rsidR="00483550" w:rsidRDefault="00460EC4" w:rsidP="00C42EC0">
      <w:pPr>
        <w:pStyle w:val="NoSpacing"/>
        <w:widowControl w:val="0"/>
        <w:spacing w:line="276" w:lineRule="auto"/>
        <w:ind w:firstLine="720"/>
        <w:jc w:val="both"/>
        <w:rPr>
          <w:rFonts w:cs="Times New Roman"/>
          <w:szCs w:val="24"/>
        </w:rPr>
      </w:pPr>
      <w:r>
        <w:rPr>
          <w:rFonts w:cs="Times New Roman"/>
          <w:szCs w:val="24"/>
        </w:rPr>
        <w:t xml:space="preserve">Faktiski </w:t>
      </w:r>
      <w:r w:rsidR="007F49FF">
        <w:rPr>
          <w:rFonts w:cs="Times New Roman"/>
          <w:szCs w:val="24"/>
        </w:rPr>
        <w:t xml:space="preserve">motīvam un mērķim kā noziedzīgā nodarījuma subjektīvās puses pazīmēm var būt divējāda nozīme: 1) motīvs un mērķis </w:t>
      </w:r>
      <w:r>
        <w:rPr>
          <w:rFonts w:cs="Times New Roman"/>
          <w:szCs w:val="24"/>
        </w:rPr>
        <w:t>var būt</w:t>
      </w:r>
      <w:r w:rsidR="007F49FF">
        <w:rPr>
          <w:rFonts w:cs="Times New Roman"/>
          <w:szCs w:val="24"/>
        </w:rPr>
        <w:t xml:space="preserve"> noziedzīga nodarījuma </w:t>
      </w:r>
      <w:r w:rsidR="007F49FF">
        <w:rPr>
          <w:rFonts w:cs="Times New Roman"/>
          <w:szCs w:val="24"/>
        </w:rPr>
        <w:lastRenderedPageBreak/>
        <w:t>sastāva obligātas pazīmes, kas ietekmē nodarījuma kvalifikāciju; 2)</w:t>
      </w:r>
      <w:r w:rsidR="00CD766E">
        <w:rPr>
          <w:rFonts w:cs="Times New Roman"/>
          <w:szCs w:val="24"/>
        </w:rPr>
        <w:t> </w:t>
      </w:r>
      <w:r w:rsidR="007F49FF">
        <w:rPr>
          <w:rFonts w:cs="Times New Roman"/>
          <w:szCs w:val="24"/>
        </w:rPr>
        <w:t>motīvs un mērķis</w:t>
      </w:r>
      <w:r>
        <w:rPr>
          <w:rFonts w:cs="Times New Roman"/>
          <w:szCs w:val="24"/>
        </w:rPr>
        <w:t xml:space="preserve"> var nebūt noziedzīgā nodarījuma sastāva obligātas pazīmes, kas ietekmē</w:t>
      </w:r>
      <w:r w:rsidR="00204A79">
        <w:rPr>
          <w:rFonts w:cs="Times New Roman"/>
          <w:szCs w:val="24"/>
        </w:rPr>
        <w:t xml:space="preserve"> nodarījuma</w:t>
      </w:r>
      <w:r>
        <w:rPr>
          <w:rFonts w:cs="Times New Roman"/>
          <w:szCs w:val="24"/>
        </w:rPr>
        <w:t xml:space="preserve"> kvalifikāciju.</w:t>
      </w:r>
    </w:p>
    <w:p w14:paraId="6575929B" w14:textId="45F0FE3C" w:rsidR="00CA2C67" w:rsidRDefault="00460EC4" w:rsidP="00C42EC0">
      <w:pPr>
        <w:pStyle w:val="NoSpacing"/>
        <w:widowControl w:val="0"/>
        <w:spacing w:line="276" w:lineRule="auto"/>
        <w:ind w:firstLine="720"/>
        <w:jc w:val="both"/>
        <w:rPr>
          <w:rFonts w:cs="Times New Roman"/>
          <w:szCs w:val="24"/>
        </w:rPr>
      </w:pPr>
      <w:r>
        <w:rPr>
          <w:rFonts w:cs="Times New Roman"/>
          <w:szCs w:val="24"/>
        </w:rPr>
        <w:t xml:space="preserve">Motīvs un mērķis krimināllietā ir pierādāmi, ja tie iekļauti </w:t>
      </w:r>
      <w:r w:rsidR="00204A79">
        <w:rPr>
          <w:rFonts w:cs="Times New Roman"/>
          <w:szCs w:val="24"/>
        </w:rPr>
        <w:t>Krimināllikuma Sevišķās daļas panta dispozīcijā kā noziedzīgā nodarījuma sastāva obligātas pazīmes, piemēram, Krimināllikuma 318. panta</w:t>
      </w:r>
      <w:r w:rsidR="00483550">
        <w:rPr>
          <w:rFonts w:cs="Times New Roman"/>
          <w:szCs w:val="24"/>
        </w:rPr>
        <w:t xml:space="preserve"> otrajā daļā paredzēta atbildība par valsts amatpersonas tīšām darbībām, ļaunprātīgi izmantojot dienesta stāvokli, ja tās izdarītas mantkārīgā nolūkā. Ja vainīgajai personai šāds nolūks nav bijis, atbildība iestājas saskaņā ar Krimināllikuma 318. panta pirmo daļu. Atsevišķu noziedzīgu nodarījumu sastāvi ir konstruēti tā, ka panta dispozīcijā nav īpaši norādīts uz motīvu un mērķi kā </w:t>
      </w:r>
      <w:r w:rsidR="00CA2C67">
        <w:rPr>
          <w:rFonts w:cs="Times New Roman"/>
          <w:szCs w:val="24"/>
        </w:rPr>
        <w:t>obligātām noziedzīgā nodarījuma sastāva pazīmēm, taču, lai konstatētu noziedzīga nodarījuma sastāvu, motīvs un mērķis ir obligāti jāpierāda, piemēram, motīvs un mērķis ir obligātas pazīmes visos mantas nolaupīšanas gadījumos. Ja mantkārīgs nolūks un mērķis iedzīvoties uz citu rēķina nav konstatēti, personas darbībās nebūs šo noziedzīgo nodarījumu sastāva.</w:t>
      </w:r>
    </w:p>
    <w:p w14:paraId="0CB17EFD" w14:textId="7001D74A" w:rsidR="00483550" w:rsidRDefault="00CA2C67" w:rsidP="00C42EC0">
      <w:pPr>
        <w:pStyle w:val="NoSpacing"/>
        <w:widowControl w:val="0"/>
        <w:spacing w:line="276" w:lineRule="auto"/>
        <w:ind w:firstLine="720"/>
        <w:jc w:val="both"/>
        <w:rPr>
          <w:rFonts w:cs="Times New Roman"/>
          <w:szCs w:val="24"/>
        </w:rPr>
      </w:pPr>
      <w:r>
        <w:rPr>
          <w:rFonts w:cs="Times New Roman"/>
          <w:szCs w:val="24"/>
        </w:rPr>
        <w:t>Krimināllikuma 327. panta dispozīcijā motīvs un mērķis nav norādīti kā šī noziedzīgā nodarījuma sastāva pazīmes</w:t>
      </w:r>
      <w:r w:rsidR="00A10415">
        <w:rPr>
          <w:rFonts w:cs="Times New Roman"/>
          <w:szCs w:val="24"/>
        </w:rPr>
        <w:t>,</w:t>
      </w:r>
      <w:r>
        <w:rPr>
          <w:rFonts w:cs="Times New Roman"/>
          <w:szCs w:val="24"/>
        </w:rPr>
        <w:t xml:space="preserve"> un tiem nav nozīmes noziedzīgā nodarījuma kvalifikācij</w:t>
      </w:r>
      <w:r w:rsidR="000E6A3D">
        <w:rPr>
          <w:rFonts w:cs="Times New Roman"/>
          <w:szCs w:val="24"/>
        </w:rPr>
        <w:t>ā</w:t>
      </w:r>
      <w:r>
        <w:rPr>
          <w:rFonts w:cs="Times New Roman"/>
          <w:szCs w:val="24"/>
        </w:rPr>
        <w:t xml:space="preserve">, proti, atbildība par Krimināllikuma 327. pantā paredzēto noziedzīgo nodarījumu iestājas neatkarīgi no tā, kādu motīvu dēļ valsts amatpersona izdarījusi dienesta viltojumu un kādu mērķi ar šo noziedzīgo </w:t>
      </w:r>
      <w:r w:rsidR="000E6A3D">
        <w:rPr>
          <w:rFonts w:cs="Times New Roman"/>
          <w:szCs w:val="24"/>
        </w:rPr>
        <w:t>nodarījumu vēlējusies sasniegt. Šī iemesla dēļ noziedzīgā nodarījuma motīvs un mērķis var palikt arī nenoskaidroti. Motīvam un mērķim, ciktāl tos bijis iespējams noskaidrot, varētu būt nozīme, nosakot vainīgajai personai sodu.</w:t>
      </w:r>
    </w:p>
    <w:p w14:paraId="4C4D357B" w14:textId="3DCFC7D9" w:rsidR="000E6A3D" w:rsidRDefault="000E6A3D" w:rsidP="00C42EC0">
      <w:pPr>
        <w:pStyle w:val="NoSpacing"/>
        <w:widowControl w:val="0"/>
        <w:spacing w:line="276" w:lineRule="auto"/>
        <w:ind w:firstLine="720"/>
        <w:jc w:val="both"/>
        <w:rPr>
          <w:rFonts w:cs="Times New Roman"/>
          <w:szCs w:val="24"/>
        </w:rPr>
      </w:pPr>
      <w:r>
        <w:rPr>
          <w:rFonts w:cs="Times New Roman"/>
          <w:szCs w:val="24"/>
        </w:rPr>
        <w:t>[8.4]</w:t>
      </w:r>
      <w:r w:rsidR="00CD766E">
        <w:rPr>
          <w:rFonts w:cs="Times New Roman"/>
          <w:szCs w:val="24"/>
        </w:rPr>
        <w:t> </w:t>
      </w:r>
      <w:r w:rsidR="00193778">
        <w:rPr>
          <w:rFonts w:cs="Times New Roman"/>
          <w:szCs w:val="24"/>
        </w:rPr>
        <w:t>Senāts nekonstatē pretrunas apelācijas instances tiesas atzinumos par noziedzīgā nodarījuma izdarīšanu personu grupā.</w:t>
      </w:r>
    </w:p>
    <w:p w14:paraId="7835F1FD" w14:textId="1022569A" w:rsidR="00DE0379" w:rsidRDefault="00DF4F6A" w:rsidP="00C42EC0">
      <w:pPr>
        <w:pStyle w:val="NoSpacing"/>
        <w:widowControl w:val="0"/>
        <w:spacing w:line="276" w:lineRule="auto"/>
        <w:ind w:firstLine="720"/>
        <w:jc w:val="both"/>
        <w:rPr>
          <w:rFonts w:cs="Times New Roman"/>
          <w:szCs w:val="24"/>
        </w:rPr>
      </w:pPr>
      <w:r>
        <w:rPr>
          <w:rFonts w:cs="Times New Roman"/>
          <w:szCs w:val="24"/>
        </w:rPr>
        <w:t xml:space="preserve">Pirmstiesas kriminālprocesa laikā apsūdzētajiem </w:t>
      </w:r>
      <w:r w:rsidR="00BB4F3C">
        <w:rPr>
          <w:rFonts w:asciiTheme="majorBidi" w:hAnsiTheme="majorBidi" w:cstheme="majorBidi"/>
          <w:szCs w:val="24"/>
        </w:rPr>
        <w:t xml:space="preserve">[pers. A], [pers. B], [pers. C] un [pers. D] </w:t>
      </w:r>
      <w:r>
        <w:rPr>
          <w:rFonts w:cs="Times New Roman"/>
          <w:szCs w:val="24"/>
        </w:rPr>
        <w:t>tika celta un izsniegta apsūdzība pēc Krimināllikuma 327. panta otrās daļas par to, ka viņi, būdami valsts amatpersonas, veikuši dienesta viltojumu personu grupā pēc iepriekšējas vienošanās.</w:t>
      </w:r>
    </w:p>
    <w:p w14:paraId="3698AEBC" w14:textId="4EA739A7" w:rsidR="00973C84" w:rsidRDefault="00DE0379" w:rsidP="00BB4F3C">
      <w:pPr>
        <w:pStyle w:val="NoSpacing"/>
        <w:widowControl w:val="0"/>
        <w:spacing w:line="276" w:lineRule="auto"/>
        <w:ind w:firstLine="720"/>
        <w:jc w:val="both"/>
        <w:rPr>
          <w:rFonts w:cs="Times New Roman"/>
          <w:szCs w:val="24"/>
        </w:rPr>
      </w:pPr>
      <w:r>
        <w:rPr>
          <w:rFonts w:cs="Times New Roman"/>
          <w:szCs w:val="24"/>
        </w:rPr>
        <w:t xml:space="preserve">Apelācijas instances tiesa atzinusi, ka apsūdzība par noziedzīgā nodarījuma izdarīšanu personu grupā pēc iepriekšējas vienošanās nav guvusi apstiprinājumu, jo </w:t>
      </w:r>
      <w:r w:rsidR="000D2F13">
        <w:rPr>
          <w:rFonts w:cs="Times New Roman"/>
          <w:szCs w:val="24"/>
        </w:rPr>
        <w:t xml:space="preserve">lietā nav pierādīts, ka apsūdzētie iepriekš būtu vienojušies par dienesta dokumentu viltošanu. Pamatojoties uz Kriminālprocesa likuma 455. panta </w:t>
      </w:r>
      <w:r w:rsidR="00CA2FDF">
        <w:rPr>
          <w:rFonts w:cs="Times New Roman"/>
          <w:szCs w:val="24"/>
        </w:rPr>
        <w:t xml:space="preserve">trešo daļu, apelācijas instances tiesa konstatējusi no apsūdzības atšķirīgus noziedzīgā nodarījuma faktiskos apstākļus un pārkvalificējusi apsūdzēto darbības uz Kriminālprocesa likuma 327. panta pirmo daļu. Vienlaikus apelācijas instances tiesa konstatējusi, ka apsūdzētie </w:t>
      </w:r>
      <w:r w:rsidR="00BB4F3C">
        <w:rPr>
          <w:rFonts w:cs="Times New Roman"/>
          <w:szCs w:val="24"/>
        </w:rPr>
        <w:t>[pers. A]</w:t>
      </w:r>
      <w:r w:rsidR="00CA2FDF">
        <w:rPr>
          <w:rFonts w:cs="Times New Roman"/>
          <w:szCs w:val="24"/>
        </w:rPr>
        <w:t xml:space="preserve"> un </w:t>
      </w:r>
      <w:r w:rsidR="00BB4F3C">
        <w:rPr>
          <w:rFonts w:cs="Times New Roman"/>
          <w:szCs w:val="24"/>
        </w:rPr>
        <w:t>[pers. B]</w:t>
      </w:r>
      <w:r w:rsidR="00CA2FDF">
        <w:rPr>
          <w:rFonts w:cs="Times New Roman"/>
          <w:szCs w:val="24"/>
        </w:rPr>
        <w:t xml:space="preserve"> dokumentu </w:t>
      </w:r>
      <w:r w:rsidR="00CD766E">
        <w:rPr>
          <w:rFonts w:cs="Times New Roman"/>
          <w:szCs w:val="24"/>
        </w:rPr>
        <w:t>„</w:t>
      </w:r>
      <w:r w:rsidR="00CA2FDF">
        <w:rPr>
          <w:rFonts w:cs="Times New Roman"/>
          <w:szCs w:val="24"/>
        </w:rPr>
        <w:t xml:space="preserve">Robežuzraudzības norīkojuma uzdevuma Nr. 305-6 izpilde”, bet apsūdzētie </w:t>
      </w:r>
      <w:r w:rsidR="00BB4F3C">
        <w:rPr>
          <w:rFonts w:cs="Times New Roman"/>
          <w:szCs w:val="24"/>
        </w:rPr>
        <w:t>[pers. A]</w:t>
      </w:r>
      <w:r w:rsidR="00CA2FDF">
        <w:rPr>
          <w:rFonts w:cs="Times New Roman"/>
          <w:szCs w:val="24"/>
        </w:rPr>
        <w:t xml:space="preserve"> un </w:t>
      </w:r>
      <w:r w:rsidR="00BB4F3C">
        <w:rPr>
          <w:rFonts w:cs="Times New Roman"/>
          <w:szCs w:val="24"/>
        </w:rPr>
        <w:t>[pers. C]</w:t>
      </w:r>
      <w:r w:rsidR="00CA2FDF">
        <w:rPr>
          <w:rFonts w:cs="Times New Roman"/>
          <w:szCs w:val="24"/>
        </w:rPr>
        <w:t xml:space="preserve"> dokumentu </w:t>
      </w:r>
      <w:r w:rsidR="00CD766E">
        <w:rPr>
          <w:rFonts w:cs="Times New Roman"/>
          <w:szCs w:val="24"/>
        </w:rPr>
        <w:t>„</w:t>
      </w:r>
      <w:r w:rsidR="00CA2FDF">
        <w:rPr>
          <w:rFonts w:cs="Times New Roman"/>
          <w:szCs w:val="24"/>
        </w:rPr>
        <w:t xml:space="preserve">Robežuzraudzības </w:t>
      </w:r>
      <w:r w:rsidR="00E61CDF">
        <w:rPr>
          <w:rFonts w:cs="Times New Roman"/>
          <w:szCs w:val="24"/>
        </w:rPr>
        <w:t xml:space="preserve">norīkojuma </w:t>
      </w:r>
      <w:r w:rsidR="00CA2FDF">
        <w:rPr>
          <w:rFonts w:cs="Times New Roman"/>
          <w:szCs w:val="24"/>
        </w:rPr>
        <w:t>Nr. 305</w:t>
      </w:r>
      <w:r w:rsidR="00911101">
        <w:rPr>
          <w:rFonts w:cs="Times New Roman"/>
          <w:szCs w:val="24"/>
        </w:rPr>
        <w:noBreakHyphen/>
      </w:r>
      <w:r w:rsidR="00CA2FDF">
        <w:rPr>
          <w:rFonts w:cs="Times New Roman"/>
          <w:szCs w:val="24"/>
        </w:rPr>
        <w:t>13 izpilde” viltoja personu grupā bez iepriekšējas vienošanās, jo šie dokumenti tika viltoti ar abu valsts amatpersonu darbībām, proti, viena valsts amatpersona ierakstīja dokumentā patiesībai neatbilstošas ziņas un parakstīja to, bet otra valsts amatpersona ar parakstu apliecināja šo ziņu patiesumu, apzinoties, ka tās neatbilst patiesībai.</w:t>
      </w:r>
    </w:p>
    <w:p w14:paraId="567DD000" w14:textId="676CFF06" w:rsidR="00DE0379" w:rsidRDefault="00973C84" w:rsidP="00C42EC0">
      <w:pPr>
        <w:pStyle w:val="NoSpacing"/>
        <w:widowControl w:val="0"/>
        <w:spacing w:line="276" w:lineRule="auto"/>
        <w:ind w:firstLine="720"/>
        <w:jc w:val="both"/>
        <w:rPr>
          <w:rFonts w:cs="Times New Roman"/>
          <w:szCs w:val="24"/>
        </w:rPr>
      </w:pPr>
      <w:r>
        <w:rPr>
          <w:rFonts w:cs="Times New Roman"/>
          <w:szCs w:val="24"/>
        </w:rPr>
        <w:t>Senāts norāda, ka g</w:t>
      </w:r>
      <w:r w:rsidR="00DE0379">
        <w:rPr>
          <w:rFonts w:cs="Times New Roman"/>
          <w:szCs w:val="24"/>
        </w:rPr>
        <w:t xml:space="preserve">rupa bez iepriekšējas vienošanās un grupa pēc iepriekšējas vienošanās ir divas </w:t>
      </w:r>
      <w:r>
        <w:rPr>
          <w:rFonts w:cs="Times New Roman"/>
          <w:szCs w:val="24"/>
        </w:rPr>
        <w:t>dažādas dalības formas</w:t>
      </w:r>
      <w:r w:rsidR="00DE0379">
        <w:rPr>
          <w:rFonts w:cs="Times New Roman"/>
          <w:szCs w:val="24"/>
        </w:rPr>
        <w:t>, kas atšķiras ar kopīgo darbību izdarītāju subjektīvās saiknes raksturu un viņu prettiesisko darbību saskaņotības un organizētības pakāpi.</w:t>
      </w:r>
    </w:p>
    <w:p w14:paraId="2C14D02B" w14:textId="6AA03180" w:rsidR="00973C84" w:rsidRDefault="00973C84" w:rsidP="00C42EC0">
      <w:pPr>
        <w:pStyle w:val="NoSpacing"/>
        <w:widowControl w:val="0"/>
        <w:spacing w:line="276" w:lineRule="auto"/>
        <w:ind w:firstLine="720"/>
        <w:jc w:val="both"/>
        <w:rPr>
          <w:rFonts w:cs="Times New Roman"/>
          <w:szCs w:val="24"/>
        </w:rPr>
      </w:pPr>
      <w:r>
        <w:rPr>
          <w:rFonts w:cs="Times New Roman"/>
          <w:szCs w:val="24"/>
        </w:rPr>
        <w:lastRenderedPageBreak/>
        <w:t>Ievērojot to, ka noziedzīga nodarījuma izdarīšana personu grupā bez iepriekšējas vienošanās nav Krimināllikuma 327. pantā paredzētā noziedzīgā nodarījuma sastāva pazīme, apelācijas instances tiesa, konstatējot, ka noziedzīgais nodarījums izdarīts personu grupā bez iepriekšējas vienošanās, pamatojoties uz Krimināllikum</w:t>
      </w:r>
      <w:r w:rsidR="00CF6ABD">
        <w:rPr>
          <w:rFonts w:cs="Times New Roman"/>
          <w:szCs w:val="24"/>
        </w:rPr>
        <w:t xml:space="preserve">a 48. panta pirmās daļas 2. punktu, atzinusi to par apsūdzēto </w:t>
      </w:r>
      <w:r w:rsidR="00ED0A56">
        <w:rPr>
          <w:rFonts w:cs="Times New Roman"/>
          <w:szCs w:val="24"/>
        </w:rPr>
        <w:t>[pers. A]</w:t>
      </w:r>
      <w:r w:rsidR="00782669">
        <w:rPr>
          <w:rFonts w:cs="Times New Roman"/>
          <w:szCs w:val="24"/>
        </w:rPr>
        <w:t xml:space="preserve"> un</w:t>
      </w:r>
      <w:r w:rsidR="00CF6ABD">
        <w:rPr>
          <w:rFonts w:cs="Times New Roman"/>
          <w:szCs w:val="24"/>
        </w:rPr>
        <w:t xml:space="preserve"> </w:t>
      </w:r>
      <w:r w:rsidR="00ED0A56">
        <w:rPr>
          <w:rFonts w:cs="Times New Roman"/>
          <w:szCs w:val="24"/>
        </w:rPr>
        <w:t>[pers. B]</w:t>
      </w:r>
      <w:r w:rsidR="00CF6ABD">
        <w:rPr>
          <w:rFonts w:cs="Times New Roman"/>
          <w:szCs w:val="24"/>
        </w:rPr>
        <w:t xml:space="preserve"> atbildību pastiprinošu apstākli.</w:t>
      </w:r>
    </w:p>
    <w:p w14:paraId="3AF89614" w14:textId="6A7C47DA" w:rsidR="00B21421" w:rsidRDefault="000402CB" w:rsidP="00C42EC0">
      <w:pPr>
        <w:pStyle w:val="NoSpacing"/>
        <w:widowControl w:val="0"/>
        <w:spacing w:line="276" w:lineRule="auto"/>
        <w:ind w:firstLine="720"/>
        <w:jc w:val="both"/>
        <w:rPr>
          <w:rFonts w:asciiTheme="majorBidi" w:hAnsiTheme="majorBidi" w:cstheme="majorBidi"/>
          <w:szCs w:val="24"/>
        </w:rPr>
      </w:pPr>
      <w:r>
        <w:rPr>
          <w:rFonts w:cs="Times New Roman"/>
          <w:szCs w:val="24"/>
        </w:rPr>
        <w:t>[8.5]</w:t>
      </w:r>
      <w:r w:rsidR="00782669">
        <w:rPr>
          <w:rFonts w:cs="Times New Roman"/>
          <w:szCs w:val="24"/>
        </w:rPr>
        <w:t> </w:t>
      </w:r>
      <w:r>
        <w:rPr>
          <w:rFonts w:cs="Times New Roman"/>
          <w:szCs w:val="24"/>
        </w:rPr>
        <w:t xml:space="preserve">Senāts konstatē, ka apsūdzētā </w:t>
      </w:r>
      <w:r w:rsidR="00ED0A56">
        <w:rPr>
          <w:rFonts w:cs="Times New Roman"/>
          <w:szCs w:val="24"/>
        </w:rPr>
        <w:t>[pers. A]</w:t>
      </w:r>
      <w:r>
        <w:rPr>
          <w:rFonts w:cs="Times New Roman"/>
          <w:szCs w:val="24"/>
        </w:rPr>
        <w:t xml:space="preserve"> kasācijas sūdzībā paustie apgalvojumi, ka apelācijas instances tiesa atzinusi viņu par vainīgu bezdarbībā, ir pretrunā ar apelācijas instances tiesas sniegto pierādītā noziedzīgā nodarījuma aprakstu, no kura izriet, ka apsūdzētais </w:t>
      </w:r>
      <w:r w:rsidR="00ED0A56">
        <w:rPr>
          <w:rFonts w:cs="Times New Roman"/>
          <w:szCs w:val="24"/>
        </w:rPr>
        <w:t>[pers. A]</w:t>
      </w:r>
      <w:r>
        <w:rPr>
          <w:rFonts w:cs="Times New Roman"/>
          <w:szCs w:val="24"/>
        </w:rPr>
        <w:t xml:space="preserve"> atzīts par vainīgu Krimināllikuma 327. panta pirmajā daļā paredzētajā noziedzīgajā nodarījumā</w:t>
      </w:r>
      <w:r w:rsidR="00B21421">
        <w:rPr>
          <w:rFonts w:cs="Times New Roman"/>
          <w:szCs w:val="24"/>
        </w:rPr>
        <w:t>, kas izpaudies darbībās</w:t>
      </w:r>
      <w:r>
        <w:rPr>
          <w:rFonts w:cs="Times New Roman"/>
          <w:szCs w:val="24"/>
        </w:rPr>
        <w:t xml:space="preserve"> – dokumentu</w:t>
      </w:r>
      <w:r w:rsidR="00B21421">
        <w:rPr>
          <w:rFonts w:cs="Times New Roman"/>
          <w:szCs w:val="24"/>
        </w:rPr>
        <w:t xml:space="preserve"> tīšā viltošanā un viltotu dokumentu apzinātā izsniegšanā. Proti, apsūdzētais </w:t>
      </w:r>
      <w:r w:rsidR="00ED0A56">
        <w:rPr>
          <w:rFonts w:cs="Times New Roman"/>
          <w:szCs w:val="24"/>
        </w:rPr>
        <w:t>[pers. A]</w:t>
      </w:r>
      <w:r w:rsidR="00B21421">
        <w:rPr>
          <w:rFonts w:cs="Times New Roman"/>
          <w:szCs w:val="24"/>
        </w:rPr>
        <w:t>, apzinoties, ka dokumentos</w:t>
      </w:r>
      <w:r>
        <w:rPr>
          <w:rFonts w:cs="Times New Roman"/>
          <w:szCs w:val="24"/>
        </w:rPr>
        <w:t xml:space="preserve"> </w:t>
      </w:r>
      <w:r w:rsidR="00782669">
        <w:rPr>
          <w:rFonts w:cs="Times New Roman"/>
          <w:szCs w:val="24"/>
        </w:rPr>
        <w:t>„</w:t>
      </w:r>
      <w:r>
        <w:rPr>
          <w:rFonts w:cs="Times New Roman"/>
          <w:szCs w:val="24"/>
        </w:rPr>
        <w:t>Robežuzraudzības norīkojuma uzdevuma Nr. 305</w:t>
      </w:r>
      <w:r w:rsidR="0046627D">
        <w:rPr>
          <w:rFonts w:cs="Times New Roman"/>
          <w:szCs w:val="24"/>
        </w:rPr>
        <w:noBreakHyphen/>
      </w:r>
      <w:r>
        <w:rPr>
          <w:rFonts w:cs="Times New Roman"/>
          <w:szCs w:val="24"/>
        </w:rPr>
        <w:t xml:space="preserve">6 izpilde” un </w:t>
      </w:r>
      <w:r w:rsidR="00782669">
        <w:rPr>
          <w:rFonts w:cs="Times New Roman"/>
          <w:szCs w:val="24"/>
        </w:rPr>
        <w:t>„</w:t>
      </w:r>
      <w:r>
        <w:rPr>
          <w:rFonts w:cs="Times New Roman"/>
          <w:szCs w:val="24"/>
        </w:rPr>
        <w:t>Robežuzraudzības norīkojuma Nr. 305</w:t>
      </w:r>
      <w:r w:rsidR="0046627D">
        <w:rPr>
          <w:rFonts w:cs="Times New Roman"/>
          <w:szCs w:val="24"/>
        </w:rPr>
        <w:noBreakHyphen/>
      </w:r>
      <w:r>
        <w:rPr>
          <w:rFonts w:cs="Times New Roman"/>
          <w:szCs w:val="24"/>
        </w:rPr>
        <w:t xml:space="preserve">13 izpilde” </w:t>
      </w:r>
      <w:r w:rsidR="00B21421">
        <w:rPr>
          <w:rFonts w:cs="Times New Roman"/>
          <w:szCs w:val="24"/>
        </w:rPr>
        <w:t xml:space="preserve">ir norādītas patiesībai neatbilstošas ziņas, apliecināja tos ar savu parakstu un iesniedza šos viltotos dokumentus </w:t>
      </w:r>
      <w:r w:rsidR="00B21421">
        <w:rPr>
          <w:rFonts w:asciiTheme="majorBidi" w:hAnsiTheme="majorBidi" w:cstheme="majorBidi"/>
          <w:szCs w:val="24"/>
        </w:rPr>
        <w:t xml:space="preserve">Valsts robežsardzes </w:t>
      </w:r>
      <w:r w:rsidR="00C51489">
        <w:rPr>
          <w:rFonts w:asciiTheme="majorBidi" w:hAnsiTheme="majorBidi" w:cstheme="majorBidi"/>
          <w:szCs w:val="24"/>
        </w:rPr>
        <w:t>[Nosaukums A]</w:t>
      </w:r>
      <w:r w:rsidR="00B21421">
        <w:rPr>
          <w:rFonts w:asciiTheme="majorBidi" w:hAnsiTheme="majorBidi" w:cstheme="majorBidi"/>
          <w:szCs w:val="24"/>
        </w:rPr>
        <w:t xml:space="preserve"> pārvaldes </w:t>
      </w:r>
      <w:r w:rsidR="00C51489">
        <w:rPr>
          <w:rFonts w:asciiTheme="majorBidi" w:hAnsiTheme="majorBidi" w:cstheme="majorBidi"/>
          <w:szCs w:val="24"/>
        </w:rPr>
        <w:t>[Nosaukums B]</w:t>
      </w:r>
      <w:r w:rsidR="00B21421">
        <w:rPr>
          <w:rFonts w:asciiTheme="majorBidi" w:hAnsiTheme="majorBidi" w:cstheme="majorBidi"/>
          <w:szCs w:val="24"/>
        </w:rPr>
        <w:t xml:space="preserve"> robežapsardzības nodaļas priekšniecei norīkojuma uzdevuma izpildes rezultātu apkopošanai un izvērtēšanai.</w:t>
      </w:r>
    </w:p>
    <w:p w14:paraId="1F5D2B56" w14:textId="517BE0C4" w:rsidR="00B5027D" w:rsidRDefault="00B21421"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Senāts jau iepriekš ir norādījis, ka</w:t>
      </w:r>
      <w:r w:rsidR="00B5027D">
        <w:rPr>
          <w:rFonts w:asciiTheme="majorBidi" w:hAnsiTheme="majorBidi" w:cstheme="majorBidi"/>
          <w:szCs w:val="24"/>
        </w:rPr>
        <w:t xml:space="preserve"> Krimināllikuma 327. pantā paredzētais noziedzīgais nodarījums var izpausties ne tikai dokumentu materiālā viltošanā, bet arī tādējādi, ka valsts amatpersona, ļaunprātīgi izmantojot savu dienesta stāvokli, neizma</w:t>
      </w:r>
      <w:r w:rsidR="0046627D">
        <w:rPr>
          <w:rFonts w:asciiTheme="majorBidi" w:hAnsiTheme="majorBidi" w:cstheme="majorBidi"/>
          <w:szCs w:val="24"/>
        </w:rPr>
        <w:t>i</w:t>
      </w:r>
      <w:r w:rsidR="00B5027D">
        <w:rPr>
          <w:rFonts w:asciiTheme="majorBidi" w:hAnsiTheme="majorBidi" w:cstheme="majorBidi"/>
          <w:szCs w:val="24"/>
        </w:rPr>
        <w:t xml:space="preserve">not dokumenta ārējo formu, savu pilnvaru robežās </w:t>
      </w:r>
      <w:r w:rsidR="00782669">
        <w:rPr>
          <w:rFonts w:asciiTheme="majorBidi" w:hAnsiTheme="majorBidi" w:cstheme="majorBidi"/>
          <w:szCs w:val="24"/>
        </w:rPr>
        <w:t xml:space="preserve">sagatavo </w:t>
      </w:r>
      <w:r w:rsidR="00B5027D">
        <w:rPr>
          <w:rFonts w:asciiTheme="majorBidi" w:hAnsiTheme="majorBidi" w:cstheme="majorBidi"/>
          <w:szCs w:val="24"/>
        </w:rPr>
        <w:t>un paraksta dokumentu, kurā ietvertas patiesībai neatbilstošas ziņas</w:t>
      </w:r>
      <w:r w:rsidR="006F2B8C">
        <w:rPr>
          <w:rFonts w:asciiTheme="majorBidi" w:hAnsiTheme="majorBidi" w:cstheme="majorBidi"/>
          <w:szCs w:val="24"/>
        </w:rPr>
        <w:t>, proti, veic intelektuālo viltošanu</w:t>
      </w:r>
      <w:r w:rsidR="00B5027D">
        <w:rPr>
          <w:rFonts w:asciiTheme="majorBidi" w:hAnsiTheme="majorBidi" w:cstheme="majorBidi"/>
          <w:szCs w:val="24"/>
        </w:rPr>
        <w:t xml:space="preserve"> (</w:t>
      </w:r>
      <w:r w:rsidR="00B5027D" w:rsidRPr="00485A0C">
        <w:rPr>
          <w:rFonts w:asciiTheme="majorBidi" w:hAnsiTheme="majorBidi" w:cstheme="majorBidi"/>
          <w:szCs w:val="24"/>
        </w:rPr>
        <w:t>sk</w:t>
      </w:r>
      <w:bookmarkStart w:id="7" w:name="_Hlk189124835"/>
      <w:r w:rsidR="00B5027D">
        <w:rPr>
          <w:rFonts w:asciiTheme="majorBidi" w:hAnsiTheme="majorBidi" w:cstheme="majorBidi"/>
          <w:i/>
          <w:iCs/>
          <w:szCs w:val="24"/>
        </w:rPr>
        <w:t>.</w:t>
      </w:r>
      <w:r w:rsidR="00485A0C">
        <w:rPr>
          <w:rFonts w:asciiTheme="majorBidi" w:hAnsiTheme="majorBidi" w:cstheme="majorBidi"/>
          <w:i/>
          <w:iCs/>
          <w:szCs w:val="24"/>
        </w:rPr>
        <w:t> </w:t>
      </w:r>
      <w:r w:rsidR="00B5027D">
        <w:rPr>
          <w:rFonts w:asciiTheme="majorBidi" w:hAnsiTheme="majorBidi" w:cstheme="majorBidi"/>
          <w:i/>
          <w:iCs/>
          <w:szCs w:val="24"/>
        </w:rPr>
        <w:t>Senāta 2013. gada 18. jūnija lēmumu lietā Nr. </w:t>
      </w:r>
      <w:hyperlink r:id="rId14" w:history="1">
        <w:r w:rsidR="00B5027D" w:rsidRPr="00782669">
          <w:rPr>
            <w:rStyle w:val="Hyperlink"/>
            <w:rFonts w:asciiTheme="majorBidi" w:hAnsiTheme="majorBidi" w:cstheme="majorBidi"/>
            <w:i/>
            <w:iCs/>
            <w:szCs w:val="24"/>
          </w:rPr>
          <w:t>SKK-5/2013</w:t>
        </w:r>
      </w:hyperlink>
      <w:r w:rsidR="00782669">
        <w:rPr>
          <w:rFonts w:asciiTheme="majorBidi" w:hAnsiTheme="majorBidi" w:cstheme="majorBidi"/>
          <w:i/>
          <w:iCs/>
          <w:szCs w:val="24"/>
        </w:rPr>
        <w:t xml:space="preserve">, </w:t>
      </w:r>
      <w:r w:rsidR="00B5027D">
        <w:rPr>
          <w:rFonts w:asciiTheme="majorBidi" w:hAnsiTheme="majorBidi" w:cstheme="majorBidi"/>
          <w:i/>
          <w:iCs/>
          <w:szCs w:val="24"/>
        </w:rPr>
        <w:t>11510500208</w:t>
      </w:r>
      <w:r w:rsidR="00B5027D">
        <w:rPr>
          <w:rFonts w:asciiTheme="majorBidi" w:hAnsiTheme="majorBidi" w:cstheme="majorBidi"/>
          <w:szCs w:val="24"/>
        </w:rPr>
        <w:t>).</w:t>
      </w:r>
    </w:p>
    <w:bookmarkEnd w:id="7"/>
    <w:p w14:paraId="663B8BA4" w14:textId="77777777" w:rsidR="00B5027D" w:rsidRDefault="00B5027D" w:rsidP="00C42EC0">
      <w:pPr>
        <w:pStyle w:val="NoSpacing"/>
        <w:widowControl w:val="0"/>
        <w:spacing w:line="276" w:lineRule="auto"/>
        <w:ind w:firstLine="720"/>
        <w:jc w:val="both"/>
        <w:rPr>
          <w:rFonts w:asciiTheme="majorBidi" w:hAnsiTheme="majorBidi" w:cstheme="majorBidi"/>
          <w:szCs w:val="24"/>
        </w:rPr>
      </w:pPr>
    </w:p>
    <w:p w14:paraId="79BD82F0" w14:textId="68361894" w:rsidR="00B5027D" w:rsidRDefault="00B5027D" w:rsidP="00C42EC0">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[9]</w:t>
      </w:r>
      <w:r w:rsidR="00782669">
        <w:rPr>
          <w:rFonts w:asciiTheme="majorBidi" w:hAnsiTheme="majorBidi" w:cstheme="majorBidi"/>
          <w:szCs w:val="24"/>
        </w:rPr>
        <w:t> </w:t>
      </w:r>
      <w:r>
        <w:rPr>
          <w:rFonts w:asciiTheme="majorBidi" w:hAnsiTheme="majorBidi" w:cstheme="majorBidi"/>
          <w:szCs w:val="24"/>
        </w:rPr>
        <w:t xml:space="preserve">Ievērojot to, ka apelācijas instances tiesas spriedums tiek atcelts pilnībā un lieta apelācijas instances tiesā jāiztiesā no jauna atbilstoši Kriminālprocesa likuma 53. nodaļas prasībām, </w:t>
      </w:r>
      <w:r w:rsidR="006F2B8C">
        <w:rPr>
          <w:rFonts w:asciiTheme="majorBidi" w:hAnsiTheme="majorBidi" w:cstheme="majorBidi"/>
          <w:szCs w:val="24"/>
        </w:rPr>
        <w:t xml:space="preserve">pārējie apsūdzēto </w:t>
      </w:r>
      <w:r w:rsidR="00067E58">
        <w:rPr>
          <w:rFonts w:asciiTheme="majorBidi" w:hAnsiTheme="majorBidi" w:cstheme="majorBidi"/>
          <w:szCs w:val="24"/>
        </w:rPr>
        <w:t>[pers. A]</w:t>
      </w:r>
      <w:r w:rsidR="006F2B8C">
        <w:rPr>
          <w:rFonts w:asciiTheme="majorBidi" w:hAnsiTheme="majorBidi" w:cstheme="majorBidi"/>
          <w:szCs w:val="24"/>
        </w:rPr>
        <w:t xml:space="preserve"> un </w:t>
      </w:r>
      <w:r w:rsidR="00067E58">
        <w:rPr>
          <w:rFonts w:asciiTheme="majorBidi" w:hAnsiTheme="majorBidi" w:cstheme="majorBidi"/>
          <w:szCs w:val="24"/>
        </w:rPr>
        <w:t>[pers. B]</w:t>
      </w:r>
      <w:r w:rsidR="006F2B8C">
        <w:rPr>
          <w:rFonts w:asciiTheme="majorBidi" w:hAnsiTheme="majorBidi" w:cstheme="majorBidi"/>
          <w:szCs w:val="24"/>
        </w:rPr>
        <w:t xml:space="preserve"> kasācijas sūdzību argumenti, kas saistīti ar lietā iegūto pierādījumu izvērtēšanu, ir izvērtējami apelācijas instances tiesā.</w:t>
      </w:r>
    </w:p>
    <w:p w14:paraId="3EBD1895" w14:textId="77777777" w:rsidR="00B5027D" w:rsidRDefault="00B5027D" w:rsidP="00C42EC0">
      <w:pPr>
        <w:pStyle w:val="NoSpacing"/>
        <w:widowControl w:val="0"/>
        <w:spacing w:line="276" w:lineRule="auto"/>
        <w:ind w:firstLine="720"/>
        <w:jc w:val="both"/>
        <w:rPr>
          <w:rFonts w:asciiTheme="majorBidi" w:hAnsiTheme="majorBidi" w:cstheme="majorBidi"/>
          <w:szCs w:val="24"/>
        </w:rPr>
      </w:pPr>
    </w:p>
    <w:p w14:paraId="7318031D" w14:textId="23C3A78B" w:rsidR="00BA3B31" w:rsidRPr="006F2B8C" w:rsidRDefault="00760AC9" w:rsidP="00C42EC0">
      <w:pPr>
        <w:pStyle w:val="NoSpacing"/>
        <w:widowControl w:val="0"/>
        <w:spacing w:line="276" w:lineRule="auto"/>
        <w:ind w:firstLine="720"/>
        <w:jc w:val="both"/>
        <w:rPr>
          <w:rFonts w:cs="Times New Roman"/>
          <w:szCs w:val="24"/>
        </w:rPr>
      </w:pPr>
      <w:r w:rsidRPr="003D0D68">
        <w:rPr>
          <w:rFonts w:asciiTheme="majorBidi" w:hAnsiTheme="majorBidi" w:cstheme="majorBidi"/>
          <w:szCs w:val="24"/>
        </w:rPr>
        <w:t>[</w:t>
      </w:r>
      <w:r w:rsidR="00B5027D">
        <w:rPr>
          <w:rFonts w:asciiTheme="majorBidi" w:hAnsiTheme="majorBidi" w:cstheme="majorBidi"/>
          <w:szCs w:val="24"/>
        </w:rPr>
        <w:t>10</w:t>
      </w:r>
      <w:r w:rsidRPr="003D0D68">
        <w:rPr>
          <w:rFonts w:asciiTheme="majorBidi" w:hAnsiTheme="majorBidi" w:cstheme="majorBidi"/>
          <w:szCs w:val="24"/>
        </w:rPr>
        <w:t>]</w:t>
      </w:r>
      <w:r w:rsidR="008814EC" w:rsidRPr="003D0D68">
        <w:rPr>
          <w:rFonts w:asciiTheme="majorBidi" w:hAnsiTheme="majorBidi" w:cstheme="majorBidi"/>
          <w:szCs w:val="24"/>
        </w:rPr>
        <w:t> </w:t>
      </w:r>
      <w:r w:rsidR="002B0DAB" w:rsidRPr="003D0D68">
        <w:rPr>
          <w:rFonts w:asciiTheme="majorBidi" w:hAnsiTheme="majorBidi" w:cstheme="majorBidi"/>
          <w:szCs w:val="24"/>
        </w:rPr>
        <w:t>Kriminālprocesa likuma 588.</w:t>
      </w:r>
      <w:r w:rsidR="00DB56C6" w:rsidRPr="003D0D68">
        <w:rPr>
          <w:rFonts w:asciiTheme="majorBidi" w:hAnsiTheme="majorBidi" w:cstheme="majorBidi"/>
          <w:szCs w:val="24"/>
        </w:rPr>
        <w:t> </w:t>
      </w:r>
      <w:r w:rsidR="002B0DAB" w:rsidRPr="003D0D68">
        <w:rPr>
          <w:rFonts w:asciiTheme="majorBidi" w:hAnsiTheme="majorBidi" w:cstheme="majorBidi"/>
          <w:szCs w:val="24"/>
        </w:rPr>
        <w:t>panta 3</w:t>
      </w:r>
      <w:r w:rsidR="00DB56C6" w:rsidRPr="003D0D68">
        <w:rPr>
          <w:rFonts w:asciiTheme="majorBidi" w:hAnsiTheme="majorBidi" w:cstheme="majorBidi"/>
          <w:szCs w:val="24"/>
        </w:rPr>
        <w:t>.</w:t>
      </w:r>
      <w:r w:rsidR="00E21B06">
        <w:rPr>
          <w:rFonts w:asciiTheme="majorBidi" w:hAnsiTheme="majorBidi" w:cstheme="majorBidi"/>
          <w:szCs w:val="24"/>
          <w:vertAlign w:val="superscript"/>
        </w:rPr>
        <w:t>1</w:t>
      </w:r>
      <w:r w:rsidR="00DB56C6" w:rsidRPr="003D0D68">
        <w:rPr>
          <w:rFonts w:asciiTheme="majorBidi" w:hAnsiTheme="majorBidi" w:cstheme="majorBidi"/>
          <w:szCs w:val="24"/>
        </w:rPr>
        <w:t> </w:t>
      </w:r>
      <w:r w:rsidR="002B0DAB" w:rsidRPr="003D0D68">
        <w:rPr>
          <w:rFonts w:asciiTheme="majorBidi" w:hAnsiTheme="majorBidi" w:cstheme="majorBidi"/>
          <w:szCs w:val="24"/>
        </w:rPr>
        <w:t>daļa noteic: ja kasācijas instances tiesa pieņem šā likuma 587.</w:t>
      </w:r>
      <w:r w:rsidR="00DB56C6" w:rsidRPr="003D0D68">
        <w:rPr>
          <w:rFonts w:asciiTheme="majorBidi" w:hAnsiTheme="majorBidi" w:cstheme="majorBidi"/>
          <w:szCs w:val="24"/>
        </w:rPr>
        <w:t> </w:t>
      </w:r>
      <w:r w:rsidR="002B0DAB" w:rsidRPr="003D0D68">
        <w:rPr>
          <w:rFonts w:asciiTheme="majorBidi" w:hAnsiTheme="majorBidi" w:cstheme="majorBidi"/>
          <w:szCs w:val="24"/>
        </w:rPr>
        <w:t>panta pirmās daļas 2.</w:t>
      </w:r>
      <w:r w:rsidR="00DB56C6" w:rsidRPr="003D0D68">
        <w:rPr>
          <w:rFonts w:asciiTheme="majorBidi" w:hAnsiTheme="majorBidi" w:cstheme="majorBidi"/>
          <w:szCs w:val="24"/>
        </w:rPr>
        <w:t> </w:t>
      </w:r>
      <w:r w:rsidR="002B0DAB" w:rsidRPr="003D0D68">
        <w:rPr>
          <w:rFonts w:asciiTheme="majorBidi" w:hAnsiTheme="majorBidi" w:cstheme="majorBidi"/>
          <w:szCs w:val="24"/>
        </w:rPr>
        <w:t>punktā paredzēto lēmumu, tā izlemj jautājumu arī par d</w:t>
      </w:r>
      <w:r w:rsidR="0030312A" w:rsidRPr="003D0D68">
        <w:rPr>
          <w:rFonts w:asciiTheme="majorBidi" w:hAnsiTheme="majorBidi" w:cstheme="majorBidi"/>
          <w:szCs w:val="24"/>
        </w:rPr>
        <w:t>rošības līdzekli</w:t>
      </w:r>
      <w:r w:rsidR="002B0DAB" w:rsidRPr="003D0D68">
        <w:rPr>
          <w:rFonts w:asciiTheme="majorBidi" w:hAnsiTheme="majorBidi" w:cstheme="majorBidi"/>
          <w:szCs w:val="24"/>
        </w:rPr>
        <w:t>.</w:t>
      </w:r>
    </w:p>
    <w:p w14:paraId="6DBA90FC" w14:textId="576868D4" w:rsidR="00782669" w:rsidRDefault="0070114E" w:rsidP="00C42EC0">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Ar apelācijas instances tiesas spriedumu apsūdzētaj</w:t>
      </w:r>
      <w:r w:rsidR="008B0AD7">
        <w:rPr>
          <w:rFonts w:asciiTheme="majorBidi" w:hAnsiTheme="majorBidi" w:cstheme="majorBidi"/>
          <w:szCs w:val="24"/>
        </w:rPr>
        <w:t xml:space="preserve">iem </w:t>
      </w:r>
      <w:r w:rsidR="00067E58">
        <w:rPr>
          <w:rFonts w:asciiTheme="majorBidi" w:hAnsiTheme="majorBidi" w:cstheme="majorBidi"/>
          <w:szCs w:val="24"/>
        </w:rPr>
        <w:t>[pers. A], [pers. B], [pers. C] un [pers. D]</w:t>
      </w:r>
      <w:r w:rsidR="008B0AD7">
        <w:rPr>
          <w:rFonts w:asciiTheme="majorBidi" w:hAnsiTheme="majorBidi" w:cstheme="majorBidi"/>
          <w:szCs w:val="24"/>
        </w:rPr>
        <w:t xml:space="preserve"> </w:t>
      </w:r>
      <w:r>
        <w:rPr>
          <w:rFonts w:asciiTheme="majorBidi" w:hAnsiTheme="majorBidi" w:cstheme="majorBidi"/>
          <w:szCs w:val="24"/>
        </w:rPr>
        <w:t xml:space="preserve">piemērotais drošības līdzeklis – </w:t>
      </w:r>
      <w:r w:rsidR="008B0AD7">
        <w:rPr>
          <w:rFonts w:asciiTheme="majorBidi" w:hAnsiTheme="majorBidi" w:cstheme="majorBidi"/>
          <w:szCs w:val="24"/>
        </w:rPr>
        <w:t>dzīvesvietas maiņas paziņošana</w:t>
      </w:r>
      <w:r>
        <w:rPr>
          <w:rFonts w:asciiTheme="majorBidi" w:hAnsiTheme="majorBidi" w:cstheme="majorBidi"/>
          <w:szCs w:val="24"/>
        </w:rPr>
        <w:t xml:space="preserve"> – atcelts</w:t>
      </w:r>
      <w:r w:rsidR="008B0AD7">
        <w:rPr>
          <w:rFonts w:asciiTheme="majorBidi" w:hAnsiTheme="majorBidi" w:cstheme="majorBidi"/>
          <w:szCs w:val="24"/>
        </w:rPr>
        <w:t xml:space="preserve">. </w:t>
      </w:r>
      <w:r w:rsidR="00A437AD">
        <w:rPr>
          <w:rFonts w:asciiTheme="majorBidi" w:hAnsiTheme="majorBidi" w:cstheme="majorBidi"/>
          <w:szCs w:val="24"/>
        </w:rPr>
        <w:t>Cits drošības līdzeklis apsūdzētaj</w:t>
      </w:r>
      <w:r w:rsidR="008B0AD7">
        <w:rPr>
          <w:rFonts w:asciiTheme="majorBidi" w:hAnsiTheme="majorBidi" w:cstheme="majorBidi"/>
          <w:szCs w:val="24"/>
        </w:rPr>
        <w:t>iem</w:t>
      </w:r>
      <w:r w:rsidR="00A437AD">
        <w:rPr>
          <w:rFonts w:asciiTheme="majorBidi" w:hAnsiTheme="majorBidi" w:cstheme="majorBidi"/>
          <w:szCs w:val="24"/>
        </w:rPr>
        <w:t xml:space="preserve"> nav piemērots.</w:t>
      </w:r>
    </w:p>
    <w:p w14:paraId="6F48F4B2" w14:textId="22929DC0" w:rsidR="0070114E" w:rsidRPr="003D0D68" w:rsidRDefault="00A437AD" w:rsidP="00C42EC0">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Senāts atzīst, ka drošības līdzekļa piemērošanai apsūdzētaj</w:t>
      </w:r>
      <w:r w:rsidR="008B0AD7">
        <w:rPr>
          <w:rFonts w:asciiTheme="majorBidi" w:hAnsiTheme="majorBidi" w:cstheme="majorBidi"/>
          <w:szCs w:val="24"/>
        </w:rPr>
        <w:t>ie</w:t>
      </w:r>
      <w:r>
        <w:rPr>
          <w:rFonts w:asciiTheme="majorBidi" w:hAnsiTheme="majorBidi" w:cstheme="majorBidi"/>
          <w:szCs w:val="24"/>
        </w:rPr>
        <w:t>m šajā kriminālprocesa stadijā nav tiesiska pamata.</w:t>
      </w:r>
    </w:p>
    <w:p w14:paraId="7901A43F" w14:textId="77777777" w:rsidR="00E71924" w:rsidRPr="003D0D68" w:rsidRDefault="00E71924" w:rsidP="00C42EC0">
      <w:pPr>
        <w:widowControl w:val="0"/>
        <w:tabs>
          <w:tab w:val="left" w:pos="851"/>
        </w:tabs>
        <w:spacing w:after="0" w:line="276" w:lineRule="auto"/>
        <w:ind w:firstLine="720"/>
        <w:jc w:val="both"/>
        <w:rPr>
          <w:rFonts w:asciiTheme="majorBidi" w:hAnsiTheme="majorBidi" w:cstheme="majorBidi"/>
          <w:szCs w:val="24"/>
        </w:rPr>
      </w:pPr>
    </w:p>
    <w:p w14:paraId="7D84EF18" w14:textId="5D7FA599" w:rsidR="00BA55DF" w:rsidRPr="003D0D68" w:rsidRDefault="00376064" w:rsidP="00C42EC0">
      <w:pPr>
        <w:widowControl w:val="0"/>
        <w:spacing w:after="0" w:line="276" w:lineRule="auto"/>
        <w:jc w:val="center"/>
        <w:rPr>
          <w:rFonts w:asciiTheme="majorBidi" w:eastAsia="Times New Roman" w:hAnsiTheme="majorBidi" w:cstheme="majorBidi"/>
          <w:b/>
          <w:szCs w:val="24"/>
        </w:rPr>
      </w:pPr>
      <w:r w:rsidRPr="003D0D68">
        <w:rPr>
          <w:rFonts w:asciiTheme="majorBidi" w:eastAsia="Times New Roman" w:hAnsiTheme="majorBidi" w:cstheme="majorBidi"/>
          <w:b/>
          <w:szCs w:val="24"/>
        </w:rPr>
        <w:t>R</w:t>
      </w:r>
      <w:r w:rsidR="00BA55DF" w:rsidRPr="003D0D68">
        <w:rPr>
          <w:rFonts w:asciiTheme="majorBidi" w:eastAsia="Times New Roman" w:hAnsiTheme="majorBidi" w:cstheme="majorBidi"/>
          <w:b/>
          <w:szCs w:val="24"/>
        </w:rPr>
        <w:t>ezolutīvā daļa</w:t>
      </w:r>
    </w:p>
    <w:p w14:paraId="42A4D00C" w14:textId="77777777" w:rsidR="00E71924" w:rsidRPr="003D0D68" w:rsidRDefault="00E71924" w:rsidP="00C42EC0">
      <w:pPr>
        <w:widowControl w:val="0"/>
        <w:spacing w:after="0" w:line="276" w:lineRule="auto"/>
        <w:ind w:firstLine="720"/>
        <w:jc w:val="both"/>
        <w:rPr>
          <w:rFonts w:asciiTheme="majorBidi" w:eastAsia="Times New Roman" w:hAnsiTheme="majorBidi" w:cstheme="majorBidi"/>
          <w:b/>
          <w:szCs w:val="24"/>
        </w:rPr>
      </w:pPr>
    </w:p>
    <w:p w14:paraId="6FD55597" w14:textId="2357CB30" w:rsidR="00BA55DF" w:rsidRPr="003D0D68" w:rsidRDefault="00BA55DF" w:rsidP="00C42EC0">
      <w:pPr>
        <w:widowControl w:val="0"/>
        <w:tabs>
          <w:tab w:val="left" w:pos="709"/>
        </w:tabs>
        <w:spacing w:after="0" w:line="276" w:lineRule="auto"/>
        <w:ind w:firstLine="720"/>
        <w:jc w:val="both"/>
        <w:rPr>
          <w:rFonts w:asciiTheme="majorBidi" w:eastAsia="Times New Roman" w:hAnsiTheme="majorBidi" w:cstheme="majorBidi"/>
          <w:bCs/>
          <w:szCs w:val="24"/>
        </w:rPr>
      </w:pPr>
      <w:r w:rsidRPr="003D0D68">
        <w:rPr>
          <w:rFonts w:asciiTheme="majorBidi" w:eastAsia="Times New Roman" w:hAnsiTheme="majorBidi" w:cstheme="majorBidi"/>
          <w:szCs w:val="24"/>
        </w:rPr>
        <w:t>P</w:t>
      </w:r>
      <w:r w:rsidRPr="003D0D68">
        <w:rPr>
          <w:rFonts w:asciiTheme="majorBidi" w:eastAsia="Times New Roman" w:hAnsiTheme="majorBidi" w:cstheme="majorBidi"/>
          <w:bCs/>
          <w:szCs w:val="24"/>
        </w:rPr>
        <w:t xml:space="preserve">amatojoties uz </w:t>
      </w:r>
      <w:r w:rsidRPr="00B53698">
        <w:rPr>
          <w:rFonts w:asciiTheme="majorBidi" w:hAnsiTheme="majorBidi" w:cstheme="majorBidi"/>
          <w:szCs w:val="24"/>
        </w:rPr>
        <w:t>Kriminālprocesa</w:t>
      </w:r>
      <w:r w:rsidRPr="003D0D68">
        <w:rPr>
          <w:rFonts w:asciiTheme="majorBidi" w:eastAsia="Times New Roman" w:hAnsiTheme="majorBidi" w:cstheme="majorBidi"/>
          <w:bCs/>
          <w:szCs w:val="24"/>
        </w:rPr>
        <w:t xml:space="preserve"> likuma 585. un 587.</w:t>
      </w:r>
      <w:r w:rsidR="00613849" w:rsidRPr="003D0D68">
        <w:rPr>
          <w:rFonts w:asciiTheme="majorBidi" w:eastAsia="Times New Roman" w:hAnsiTheme="majorBidi" w:cstheme="majorBidi"/>
          <w:bCs/>
          <w:szCs w:val="24"/>
        </w:rPr>
        <w:t> </w:t>
      </w:r>
      <w:r w:rsidRPr="003D0D68">
        <w:rPr>
          <w:rFonts w:asciiTheme="majorBidi" w:eastAsia="Times New Roman" w:hAnsiTheme="majorBidi" w:cstheme="majorBidi"/>
          <w:bCs/>
          <w:szCs w:val="24"/>
        </w:rPr>
        <w:t xml:space="preserve">pantu, </w:t>
      </w:r>
      <w:r w:rsidR="00B26231" w:rsidRPr="003D0D68">
        <w:rPr>
          <w:rFonts w:asciiTheme="majorBidi" w:eastAsia="Times New Roman" w:hAnsiTheme="majorBidi" w:cstheme="majorBidi"/>
          <w:bCs/>
          <w:szCs w:val="24"/>
        </w:rPr>
        <w:t>Senāts</w:t>
      </w:r>
    </w:p>
    <w:p w14:paraId="66417505" w14:textId="77777777" w:rsidR="00BA55DF" w:rsidRPr="003D0D68" w:rsidRDefault="00BA55DF" w:rsidP="00C42EC0">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54A1D4E" w:rsidR="00BA55DF" w:rsidRPr="003D0D68" w:rsidRDefault="00BA55DF" w:rsidP="00C42EC0">
      <w:pPr>
        <w:pStyle w:val="tv213"/>
        <w:widowControl w:val="0"/>
        <w:spacing w:before="0" w:beforeAutospacing="0" w:after="0" w:afterAutospacing="0" w:line="276" w:lineRule="auto"/>
        <w:jc w:val="center"/>
        <w:rPr>
          <w:rFonts w:asciiTheme="majorBidi" w:hAnsiTheme="majorBidi" w:cstheme="majorBidi"/>
          <w:b/>
        </w:rPr>
      </w:pPr>
      <w:r w:rsidRPr="003D0D68">
        <w:rPr>
          <w:rFonts w:asciiTheme="majorBidi" w:hAnsiTheme="majorBidi" w:cstheme="majorBidi"/>
          <w:b/>
        </w:rPr>
        <w:t>nolēma</w:t>
      </w:r>
    </w:p>
    <w:p w14:paraId="092DF257" w14:textId="77777777" w:rsidR="00A87328" w:rsidRPr="003D0D68" w:rsidRDefault="00A87328" w:rsidP="00C42EC0">
      <w:pPr>
        <w:pStyle w:val="tv213"/>
        <w:widowControl w:val="0"/>
        <w:spacing w:before="0" w:beforeAutospacing="0" w:after="0" w:afterAutospacing="0" w:line="276" w:lineRule="auto"/>
        <w:ind w:firstLine="720"/>
        <w:jc w:val="both"/>
        <w:rPr>
          <w:rFonts w:asciiTheme="majorBidi" w:hAnsiTheme="majorBidi" w:cstheme="majorBidi"/>
          <w:b/>
        </w:rPr>
      </w:pPr>
    </w:p>
    <w:p w14:paraId="7E080926" w14:textId="78DB37CA" w:rsidR="00802956" w:rsidRPr="003D0D68" w:rsidRDefault="00802956" w:rsidP="00C42EC0">
      <w:pPr>
        <w:widowControl w:val="0"/>
        <w:tabs>
          <w:tab w:val="left" w:pos="709"/>
        </w:tabs>
        <w:spacing w:after="0" w:line="276" w:lineRule="auto"/>
        <w:ind w:firstLine="720"/>
        <w:jc w:val="both"/>
        <w:rPr>
          <w:rFonts w:asciiTheme="majorBidi" w:hAnsiTheme="majorBidi" w:cstheme="majorBidi"/>
          <w:szCs w:val="24"/>
        </w:rPr>
      </w:pPr>
      <w:r w:rsidRPr="003D0D68">
        <w:rPr>
          <w:rFonts w:asciiTheme="majorBidi" w:eastAsia="Calibri" w:hAnsiTheme="majorBidi" w:cstheme="majorBidi"/>
          <w:iCs/>
          <w:szCs w:val="24"/>
        </w:rPr>
        <w:t xml:space="preserve">atcelt </w:t>
      </w:r>
      <w:r w:rsidR="00A437AD">
        <w:rPr>
          <w:rFonts w:asciiTheme="majorBidi" w:hAnsiTheme="majorBidi" w:cstheme="majorBidi"/>
          <w:szCs w:val="24"/>
        </w:rPr>
        <w:t>Latgales</w:t>
      </w:r>
      <w:r w:rsidR="00A7422E" w:rsidRPr="003D0D68">
        <w:rPr>
          <w:rFonts w:asciiTheme="majorBidi" w:hAnsiTheme="majorBidi" w:cstheme="majorBidi"/>
          <w:szCs w:val="24"/>
        </w:rPr>
        <w:t xml:space="preserve"> apgabaltiesas 202</w:t>
      </w:r>
      <w:r w:rsidR="008B0AD7">
        <w:rPr>
          <w:rFonts w:asciiTheme="majorBidi" w:hAnsiTheme="majorBidi" w:cstheme="majorBidi"/>
          <w:szCs w:val="24"/>
        </w:rPr>
        <w:t>3</w:t>
      </w:r>
      <w:r w:rsidR="00A7422E" w:rsidRPr="003D0D68">
        <w:rPr>
          <w:rFonts w:asciiTheme="majorBidi" w:hAnsiTheme="majorBidi" w:cstheme="majorBidi"/>
          <w:szCs w:val="24"/>
        </w:rPr>
        <w:t>. gada</w:t>
      </w:r>
      <w:r w:rsidR="008B0AD7">
        <w:rPr>
          <w:rFonts w:asciiTheme="majorBidi" w:hAnsiTheme="majorBidi" w:cstheme="majorBidi"/>
          <w:szCs w:val="24"/>
        </w:rPr>
        <w:t xml:space="preserve"> 29. marta</w:t>
      </w:r>
      <w:r w:rsidR="00A437AD">
        <w:rPr>
          <w:rFonts w:asciiTheme="majorBidi" w:hAnsiTheme="majorBidi" w:cstheme="majorBidi"/>
          <w:szCs w:val="24"/>
        </w:rPr>
        <w:t xml:space="preserve"> spriedumu </w:t>
      </w:r>
      <w:r w:rsidR="008B0AD7">
        <w:rPr>
          <w:rFonts w:asciiTheme="majorBidi" w:hAnsiTheme="majorBidi" w:cstheme="majorBidi"/>
          <w:szCs w:val="24"/>
        </w:rPr>
        <w:t xml:space="preserve">pilnībā un </w:t>
      </w:r>
      <w:r w:rsidR="00A20221" w:rsidRPr="003D0D68">
        <w:rPr>
          <w:rFonts w:asciiTheme="majorBidi" w:hAnsiTheme="majorBidi" w:cstheme="majorBidi"/>
          <w:szCs w:val="24"/>
        </w:rPr>
        <w:t xml:space="preserve">nosūtīt </w:t>
      </w:r>
      <w:r w:rsidR="00A20221" w:rsidRPr="003D0D68">
        <w:rPr>
          <w:rFonts w:asciiTheme="majorBidi" w:hAnsiTheme="majorBidi" w:cstheme="majorBidi"/>
          <w:szCs w:val="24"/>
        </w:rPr>
        <w:lastRenderedPageBreak/>
        <w:t xml:space="preserve">lietu jaunai izskatīšanai </w:t>
      </w:r>
      <w:r w:rsidR="00A437AD">
        <w:rPr>
          <w:rFonts w:asciiTheme="majorBidi" w:hAnsiTheme="majorBidi" w:cstheme="majorBidi"/>
          <w:szCs w:val="24"/>
        </w:rPr>
        <w:t>Latgales</w:t>
      </w:r>
      <w:r w:rsidR="00DC0FF2">
        <w:rPr>
          <w:rFonts w:asciiTheme="majorBidi" w:hAnsiTheme="majorBidi" w:cstheme="majorBidi"/>
          <w:szCs w:val="24"/>
        </w:rPr>
        <w:t xml:space="preserve"> apgabaltiesā.</w:t>
      </w:r>
    </w:p>
    <w:p w14:paraId="5148CB2C" w14:textId="77777777" w:rsidR="00A437AD" w:rsidRDefault="00A437AD" w:rsidP="00C42EC0">
      <w:pPr>
        <w:widowControl w:val="0"/>
        <w:tabs>
          <w:tab w:val="left" w:pos="-3120"/>
        </w:tabs>
        <w:spacing w:after="0" w:line="276" w:lineRule="auto"/>
        <w:ind w:firstLine="720"/>
        <w:jc w:val="both"/>
        <w:rPr>
          <w:rFonts w:asciiTheme="majorBidi" w:hAnsiTheme="majorBidi" w:cstheme="majorBidi"/>
          <w:color w:val="000000"/>
          <w:szCs w:val="24"/>
        </w:rPr>
      </w:pPr>
    </w:p>
    <w:p w14:paraId="19D56481" w14:textId="2703A11E" w:rsidR="00BA55DF" w:rsidRPr="003D0D68" w:rsidRDefault="00BA55DF" w:rsidP="00C42EC0">
      <w:pPr>
        <w:widowControl w:val="0"/>
        <w:tabs>
          <w:tab w:val="left" w:pos="-3120"/>
        </w:tabs>
        <w:spacing w:after="0" w:line="276" w:lineRule="auto"/>
        <w:ind w:firstLine="720"/>
        <w:jc w:val="both"/>
        <w:rPr>
          <w:rFonts w:asciiTheme="majorBidi" w:hAnsiTheme="majorBidi" w:cstheme="majorBidi"/>
          <w:color w:val="000000"/>
          <w:szCs w:val="24"/>
        </w:rPr>
      </w:pPr>
      <w:r w:rsidRPr="003D0D68">
        <w:rPr>
          <w:rFonts w:asciiTheme="majorBidi" w:hAnsiTheme="majorBidi" w:cstheme="majorBidi"/>
          <w:color w:val="000000"/>
          <w:szCs w:val="24"/>
        </w:rPr>
        <w:t>Lēmums nav pārsūdzams.</w:t>
      </w:r>
      <w:bookmarkEnd w:id="0"/>
    </w:p>
    <w:p w14:paraId="60B077F3" w14:textId="77777777" w:rsidR="00B3255A" w:rsidRDefault="00B3255A" w:rsidP="00C42EC0">
      <w:pPr>
        <w:widowControl w:val="0"/>
        <w:tabs>
          <w:tab w:val="left" w:pos="-3120"/>
        </w:tabs>
        <w:spacing w:after="0" w:line="276" w:lineRule="auto"/>
        <w:ind w:firstLine="720"/>
        <w:jc w:val="both"/>
        <w:rPr>
          <w:rFonts w:asciiTheme="majorBidi" w:hAnsiTheme="majorBidi" w:cstheme="majorBidi"/>
          <w:color w:val="000000"/>
          <w:szCs w:val="24"/>
        </w:rPr>
      </w:pPr>
    </w:p>
    <w:p w14:paraId="59A0178C" w14:textId="77777777" w:rsidR="00A10415" w:rsidRDefault="00A10415" w:rsidP="00C42EC0">
      <w:pPr>
        <w:widowControl w:val="0"/>
        <w:tabs>
          <w:tab w:val="left" w:pos="-3120"/>
        </w:tabs>
        <w:spacing w:after="0" w:line="276" w:lineRule="auto"/>
        <w:ind w:firstLine="720"/>
        <w:jc w:val="both"/>
        <w:rPr>
          <w:rFonts w:asciiTheme="majorBidi" w:hAnsiTheme="majorBidi" w:cstheme="majorBidi"/>
          <w:color w:val="000000"/>
          <w:szCs w:val="24"/>
        </w:rPr>
      </w:pPr>
    </w:p>
    <w:p w14:paraId="1E27877C" w14:textId="77777777" w:rsidR="00A10415" w:rsidRDefault="00A10415" w:rsidP="00C42EC0">
      <w:pPr>
        <w:widowControl w:val="0"/>
        <w:tabs>
          <w:tab w:val="left" w:pos="-3120"/>
        </w:tabs>
        <w:spacing w:after="0" w:line="276" w:lineRule="auto"/>
        <w:ind w:firstLine="720"/>
        <w:jc w:val="both"/>
        <w:rPr>
          <w:rFonts w:asciiTheme="majorBidi" w:hAnsiTheme="majorBidi" w:cstheme="majorBidi"/>
          <w:color w:val="000000"/>
          <w:szCs w:val="24"/>
        </w:rPr>
      </w:pPr>
    </w:p>
    <w:p w14:paraId="04C15F80" w14:textId="77777777" w:rsidR="00A10415" w:rsidRDefault="00A10415" w:rsidP="00C42EC0">
      <w:pPr>
        <w:widowControl w:val="0"/>
        <w:tabs>
          <w:tab w:val="left" w:pos="-3120"/>
        </w:tabs>
        <w:spacing w:after="0" w:line="276" w:lineRule="auto"/>
        <w:ind w:firstLine="720"/>
        <w:jc w:val="both"/>
        <w:rPr>
          <w:rFonts w:asciiTheme="majorBidi" w:hAnsiTheme="majorBidi" w:cstheme="majorBidi"/>
          <w:color w:val="000000"/>
          <w:szCs w:val="24"/>
        </w:rPr>
      </w:pPr>
    </w:p>
    <w:p w14:paraId="6ADD01DB" w14:textId="77777777" w:rsidR="0052546C" w:rsidRDefault="0052546C" w:rsidP="00C42EC0">
      <w:pPr>
        <w:widowControl w:val="0"/>
        <w:tabs>
          <w:tab w:val="left" w:pos="-3120"/>
        </w:tabs>
        <w:spacing w:after="0" w:line="276" w:lineRule="auto"/>
        <w:jc w:val="both"/>
        <w:rPr>
          <w:rFonts w:asciiTheme="majorBidi" w:hAnsiTheme="majorBidi" w:cstheme="majorBidi"/>
          <w:color w:val="000000"/>
          <w:szCs w:val="24"/>
        </w:rPr>
      </w:pPr>
    </w:p>
    <w:p w14:paraId="1E3F39A9" w14:textId="3C76B3A3" w:rsidR="00EF7919" w:rsidRPr="00FC7F99" w:rsidRDefault="00EF7919" w:rsidP="00C42EC0">
      <w:pPr>
        <w:widowControl w:val="0"/>
        <w:spacing w:after="0" w:line="276" w:lineRule="auto"/>
        <w:ind w:firstLine="720"/>
        <w:jc w:val="both"/>
        <w:rPr>
          <w:rFonts w:asciiTheme="majorBidi" w:hAnsiTheme="majorBidi" w:cstheme="majorBidi"/>
          <w:sz w:val="2"/>
          <w:szCs w:val="2"/>
        </w:rPr>
      </w:pPr>
    </w:p>
    <w:sectPr w:rsidR="00EF7919" w:rsidRPr="00FC7F99" w:rsidSect="00C42EC0">
      <w:footerReference w:type="default" r:id="rId15"/>
      <w:pgSz w:w="11906" w:h="16838" w:code="9"/>
      <w:pgMar w:top="1134" w:right="1701" w:bottom="1134"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0F71" w14:textId="77777777" w:rsidR="008A08E9" w:rsidRDefault="008A08E9" w:rsidP="00EE3783">
      <w:pPr>
        <w:spacing w:after="0" w:line="240" w:lineRule="auto"/>
      </w:pPr>
      <w:r>
        <w:separator/>
      </w:r>
    </w:p>
  </w:endnote>
  <w:endnote w:type="continuationSeparator" w:id="0">
    <w:p w14:paraId="169457BB" w14:textId="77777777" w:rsidR="008A08E9" w:rsidRDefault="008A08E9"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433DE0"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F081" w14:textId="77777777" w:rsidR="008A08E9" w:rsidRDefault="008A08E9" w:rsidP="00EE3783">
      <w:pPr>
        <w:spacing w:after="0" w:line="240" w:lineRule="auto"/>
      </w:pPr>
      <w:r>
        <w:separator/>
      </w:r>
    </w:p>
  </w:footnote>
  <w:footnote w:type="continuationSeparator" w:id="0">
    <w:p w14:paraId="1ACC0D2B" w14:textId="77777777" w:rsidR="008A08E9" w:rsidRDefault="008A08E9"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172B"/>
    <w:rsid w:val="00002A91"/>
    <w:rsid w:val="00005229"/>
    <w:rsid w:val="00005C3B"/>
    <w:rsid w:val="00005F4B"/>
    <w:rsid w:val="00007DAA"/>
    <w:rsid w:val="00007EB0"/>
    <w:rsid w:val="0001260D"/>
    <w:rsid w:val="0001283C"/>
    <w:rsid w:val="00013A02"/>
    <w:rsid w:val="00014898"/>
    <w:rsid w:val="000160F6"/>
    <w:rsid w:val="0002073C"/>
    <w:rsid w:val="00020BD4"/>
    <w:rsid w:val="00020D33"/>
    <w:rsid w:val="0002459C"/>
    <w:rsid w:val="00024CCE"/>
    <w:rsid w:val="00025ABA"/>
    <w:rsid w:val="00025AFA"/>
    <w:rsid w:val="00026881"/>
    <w:rsid w:val="00030026"/>
    <w:rsid w:val="00030370"/>
    <w:rsid w:val="000312C9"/>
    <w:rsid w:val="000369A0"/>
    <w:rsid w:val="00036C1B"/>
    <w:rsid w:val="00037877"/>
    <w:rsid w:val="00037FF3"/>
    <w:rsid w:val="000402CB"/>
    <w:rsid w:val="00040F88"/>
    <w:rsid w:val="00041E5D"/>
    <w:rsid w:val="00044CA9"/>
    <w:rsid w:val="00046547"/>
    <w:rsid w:val="00046FC0"/>
    <w:rsid w:val="000555B2"/>
    <w:rsid w:val="0005574C"/>
    <w:rsid w:val="0005606F"/>
    <w:rsid w:val="000576E0"/>
    <w:rsid w:val="00062466"/>
    <w:rsid w:val="0006283D"/>
    <w:rsid w:val="00062D8E"/>
    <w:rsid w:val="00063E07"/>
    <w:rsid w:val="00064ACC"/>
    <w:rsid w:val="000657C7"/>
    <w:rsid w:val="00065D4F"/>
    <w:rsid w:val="00067A62"/>
    <w:rsid w:val="00067E58"/>
    <w:rsid w:val="00070F57"/>
    <w:rsid w:val="000726B9"/>
    <w:rsid w:val="00073AA6"/>
    <w:rsid w:val="00075218"/>
    <w:rsid w:val="000758E8"/>
    <w:rsid w:val="00075CE9"/>
    <w:rsid w:val="000809D0"/>
    <w:rsid w:val="0008147D"/>
    <w:rsid w:val="00085ACB"/>
    <w:rsid w:val="00086E33"/>
    <w:rsid w:val="0008771B"/>
    <w:rsid w:val="0009001F"/>
    <w:rsid w:val="00091F7F"/>
    <w:rsid w:val="00092B64"/>
    <w:rsid w:val="00096007"/>
    <w:rsid w:val="000A0143"/>
    <w:rsid w:val="000A1313"/>
    <w:rsid w:val="000A2D49"/>
    <w:rsid w:val="000A4838"/>
    <w:rsid w:val="000A5612"/>
    <w:rsid w:val="000A58B9"/>
    <w:rsid w:val="000A7129"/>
    <w:rsid w:val="000B0ED8"/>
    <w:rsid w:val="000B185E"/>
    <w:rsid w:val="000B2D89"/>
    <w:rsid w:val="000B3613"/>
    <w:rsid w:val="000B4AFC"/>
    <w:rsid w:val="000B56FA"/>
    <w:rsid w:val="000B67B0"/>
    <w:rsid w:val="000B6D67"/>
    <w:rsid w:val="000C0F0E"/>
    <w:rsid w:val="000C3603"/>
    <w:rsid w:val="000C6BF7"/>
    <w:rsid w:val="000C701F"/>
    <w:rsid w:val="000C7819"/>
    <w:rsid w:val="000C7C39"/>
    <w:rsid w:val="000D2F13"/>
    <w:rsid w:val="000D339E"/>
    <w:rsid w:val="000D44CA"/>
    <w:rsid w:val="000D5343"/>
    <w:rsid w:val="000D66F6"/>
    <w:rsid w:val="000D6B1D"/>
    <w:rsid w:val="000E1DA8"/>
    <w:rsid w:val="000E4118"/>
    <w:rsid w:val="000E466D"/>
    <w:rsid w:val="000E48F9"/>
    <w:rsid w:val="000E5381"/>
    <w:rsid w:val="000E6A3D"/>
    <w:rsid w:val="000E6CCA"/>
    <w:rsid w:val="000F28EB"/>
    <w:rsid w:val="000F4FB9"/>
    <w:rsid w:val="000F613E"/>
    <w:rsid w:val="000F61F5"/>
    <w:rsid w:val="00100F91"/>
    <w:rsid w:val="00102A5C"/>
    <w:rsid w:val="00102E49"/>
    <w:rsid w:val="001032C9"/>
    <w:rsid w:val="00103D10"/>
    <w:rsid w:val="00104307"/>
    <w:rsid w:val="00105312"/>
    <w:rsid w:val="00106710"/>
    <w:rsid w:val="00110811"/>
    <w:rsid w:val="00111025"/>
    <w:rsid w:val="0011315C"/>
    <w:rsid w:val="001141F7"/>
    <w:rsid w:val="001147D1"/>
    <w:rsid w:val="00114C35"/>
    <w:rsid w:val="001156C5"/>
    <w:rsid w:val="00115949"/>
    <w:rsid w:val="00115BF9"/>
    <w:rsid w:val="001176B1"/>
    <w:rsid w:val="00120601"/>
    <w:rsid w:val="0012233F"/>
    <w:rsid w:val="001249A8"/>
    <w:rsid w:val="00124E8B"/>
    <w:rsid w:val="001269CC"/>
    <w:rsid w:val="00127DC0"/>
    <w:rsid w:val="00130AF9"/>
    <w:rsid w:val="00130BB6"/>
    <w:rsid w:val="001315DA"/>
    <w:rsid w:val="00131B74"/>
    <w:rsid w:val="00132779"/>
    <w:rsid w:val="001335CE"/>
    <w:rsid w:val="00134823"/>
    <w:rsid w:val="00136606"/>
    <w:rsid w:val="00137B31"/>
    <w:rsid w:val="00137FF9"/>
    <w:rsid w:val="00140495"/>
    <w:rsid w:val="001413B0"/>
    <w:rsid w:val="00142137"/>
    <w:rsid w:val="00145150"/>
    <w:rsid w:val="0014544D"/>
    <w:rsid w:val="00146E19"/>
    <w:rsid w:val="00147EDC"/>
    <w:rsid w:val="00150697"/>
    <w:rsid w:val="00150845"/>
    <w:rsid w:val="001517D9"/>
    <w:rsid w:val="00152CBB"/>
    <w:rsid w:val="00153153"/>
    <w:rsid w:val="00154411"/>
    <w:rsid w:val="001553DC"/>
    <w:rsid w:val="00155DAC"/>
    <w:rsid w:val="00155EDF"/>
    <w:rsid w:val="0016002D"/>
    <w:rsid w:val="00160046"/>
    <w:rsid w:val="001601DC"/>
    <w:rsid w:val="00161A8D"/>
    <w:rsid w:val="001626C6"/>
    <w:rsid w:val="001626CC"/>
    <w:rsid w:val="0016434B"/>
    <w:rsid w:val="001643BC"/>
    <w:rsid w:val="00165A5C"/>
    <w:rsid w:val="0016643A"/>
    <w:rsid w:val="00171217"/>
    <w:rsid w:val="00172069"/>
    <w:rsid w:val="001733D7"/>
    <w:rsid w:val="001734B9"/>
    <w:rsid w:val="00173C2F"/>
    <w:rsid w:val="0017446C"/>
    <w:rsid w:val="00176CC2"/>
    <w:rsid w:val="00180499"/>
    <w:rsid w:val="00181F83"/>
    <w:rsid w:val="00182CD3"/>
    <w:rsid w:val="00183C7F"/>
    <w:rsid w:val="001840BA"/>
    <w:rsid w:val="00184E1F"/>
    <w:rsid w:val="00186592"/>
    <w:rsid w:val="00187AF3"/>
    <w:rsid w:val="00187DDD"/>
    <w:rsid w:val="001907E6"/>
    <w:rsid w:val="0019131A"/>
    <w:rsid w:val="001924FA"/>
    <w:rsid w:val="00192643"/>
    <w:rsid w:val="00193778"/>
    <w:rsid w:val="00193D41"/>
    <w:rsid w:val="00194FA1"/>
    <w:rsid w:val="0019553E"/>
    <w:rsid w:val="00196546"/>
    <w:rsid w:val="00197448"/>
    <w:rsid w:val="001A1D87"/>
    <w:rsid w:val="001A2878"/>
    <w:rsid w:val="001A44F9"/>
    <w:rsid w:val="001A57B6"/>
    <w:rsid w:val="001A5E36"/>
    <w:rsid w:val="001A5E94"/>
    <w:rsid w:val="001A61B4"/>
    <w:rsid w:val="001B0430"/>
    <w:rsid w:val="001B1329"/>
    <w:rsid w:val="001B1FA3"/>
    <w:rsid w:val="001B3434"/>
    <w:rsid w:val="001B3F17"/>
    <w:rsid w:val="001B42B2"/>
    <w:rsid w:val="001B4BCE"/>
    <w:rsid w:val="001B4F7E"/>
    <w:rsid w:val="001C2194"/>
    <w:rsid w:val="001C2888"/>
    <w:rsid w:val="001C37BA"/>
    <w:rsid w:val="001C4822"/>
    <w:rsid w:val="001C4B93"/>
    <w:rsid w:val="001C6D67"/>
    <w:rsid w:val="001D0DC2"/>
    <w:rsid w:val="001D1005"/>
    <w:rsid w:val="001D162D"/>
    <w:rsid w:val="001D1A51"/>
    <w:rsid w:val="001D287E"/>
    <w:rsid w:val="001D3169"/>
    <w:rsid w:val="001D336D"/>
    <w:rsid w:val="001D3FD2"/>
    <w:rsid w:val="001D6268"/>
    <w:rsid w:val="001D6C67"/>
    <w:rsid w:val="001D7092"/>
    <w:rsid w:val="001D79F9"/>
    <w:rsid w:val="001E0986"/>
    <w:rsid w:val="001E194B"/>
    <w:rsid w:val="001E1ABF"/>
    <w:rsid w:val="001E2326"/>
    <w:rsid w:val="001E2D79"/>
    <w:rsid w:val="001E6DC4"/>
    <w:rsid w:val="001F09B3"/>
    <w:rsid w:val="001F21DC"/>
    <w:rsid w:val="001F223C"/>
    <w:rsid w:val="001F3948"/>
    <w:rsid w:val="001F3C70"/>
    <w:rsid w:val="001F54E1"/>
    <w:rsid w:val="001F5A04"/>
    <w:rsid w:val="001F5A50"/>
    <w:rsid w:val="001F5BFD"/>
    <w:rsid w:val="001F5E62"/>
    <w:rsid w:val="001F6254"/>
    <w:rsid w:val="001F62F0"/>
    <w:rsid w:val="001F7582"/>
    <w:rsid w:val="00201EA7"/>
    <w:rsid w:val="00204A79"/>
    <w:rsid w:val="0020614F"/>
    <w:rsid w:val="00207454"/>
    <w:rsid w:val="002076BB"/>
    <w:rsid w:val="002103A9"/>
    <w:rsid w:val="002130FD"/>
    <w:rsid w:val="00215375"/>
    <w:rsid w:val="00215736"/>
    <w:rsid w:val="00220004"/>
    <w:rsid w:val="002208F7"/>
    <w:rsid w:val="002237DF"/>
    <w:rsid w:val="002265B6"/>
    <w:rsid w:val="00230D1E"/>
    <w:rsid w:val="00231FFB"/>
    <w:rsid w:val="00232287"/>
    <w:rsid w:val="002333D3"/>
    <w:rsid w:val="0023465A"/>
    <w:rsid w:val="00234D5D"/>
    <w:rsid w:val="00235D03"/>
    <w:rsid w:val="002361CD"/>
    <w:rsid w:val="002362CD"/>
    <w:rsid w:val="00236972"/>
    <w:rsid w:val="00237DD3"/>
    <w:rsid w:val="0024025D"/>
    <w:rsid w:val="002424F7"/>
    <w:rsid w:val="00243161"/>
    <w:rsid w:val="00246C7E"/>
    <w:rsid w:val="00246E0B"/>
    <w:rsid w:val="00247C9E"/>
    <w:rsid w:val="00250050"/>
    <w:rsid w:val="0025141D"/>
    <w:rsid w:val="0025146E"/>
    <w:rsid w:val="00253100"/>
    <w:rsid w:val="002612F9"/>
    <w:rsid w:val="00261331"/>
    <w:rsid w:val="002613C2"/>
    <w:rsid w:val="00264626"/>
    <w:rsid w:val="0027185C"/>
    <w:rsid w:val="00272EB0"/>
    <w:rsid w:val="00273DC4"/>
    <w:rsid w:val="002742EB"/>
    <w:rsid w:val="00275FB6"/>
    <w:rsid w:val="00277F90"/>
    <w:rsid w:val="00280C8A"/>
    <w:rsid w:val="00280E63"/>
    <w:rsid w:val="00281697"/>
    <w:rsid w:val="002832B9"/>
    <w:rsid w:val="0028405D"/>
    <w:rsid w:val="002849C2"/>
    <w:rsid w:val="00286CFC"/>
    <w:rsid w:val="00287DD0"/>
    <w:rsid w:val="00290F7E"/>
    <w:rsid w:val="0029233D"/>
    <w:rsid w:val="00294E26"/>
    <w:rsid w:val="002975FB"/>
    <w:rsid w:val="002A04C9"/>
    <w:rsid w:val="002A34FD"/>
    <w:rsid w:val="002A5206"/>
    <w:rsid w:val="002A55C9"/>
    <w:rsid w:val="002A61C2"/>
    <w:rsid w:val="002A65E7"/>
    <w:rsid w:val="002A6910"/>
    <w:rsid w:val="002A7748"/>
    <w:rsid w:val="002B047C"/>
    <w:rsid w:val="002B0DAB"/>
    <w:rsid w:val="002B3608"/>
    <w:rsid w:val="002B36DD"/>
    <w:rsid w:val="002B3F1F"/>
    <w:rsid w:val="002B49CF"/>
    <w:rsid w:val="002B7F83"/>
    <w:rsid w:val="002C18A4"/>
    <w:rsid w:val="002C23E6"/>
    <w:rsid w:val="002C2ED1"/>
    <w:rsid w:val="002C38F7"/>
    <w:rsid w:val="002C4EF1"/>
    <w:rsid w:val="002C577F"/>
    <w:rsid w:val="002C5E33"/>
    <w:rsid w:val="002C64A8"/>
    <w:rsid w:val="002C6CBF"/>
    <w:rsid w:val="002D0A36"/>
    <w:rsid w:val="002D14CD"/>
    <w:rsid w:val="002D2263"/>
    <w:rsid w:val="002D230F"/>
    <w:rsid w:val="002D25BB"/>
    <w:rsid w:val="002D3913"/>
    <w:rsid w:val="002D44C1"/>
    <w:rsid w:val="002D6903"/>
    <w:rsid w:val="002E04CB"/>
    <w:rsid w:val="002E2D25"/>
    <w:rsid w:val="002E4A86"/>
    <w:rsid w:val="002E6691"/>
    <w:rsid w:val="002E7491"/>
    <w:rsid w:val="002F0277"/>
    <w:rsid w:val="002F1904"/>
    <w:rsid w:val="002F3DBF"/>
    <w:rsid w:val="002F457A"/>
    <w:rsid w:val="002F5BB2"/>
    <w:rsid w:val="002F6375"/>
    <w:rsid w:val="002F6E8B"/>
    <w:rsid w:val="002F6F7E"/>
    <w:rsid w:val="002F7743"/>
    <w:rsid w:val="003025F3"/>
    <w:rsid w:val="00302AF4"/>
    <w:rsid w:val="0030312A"/>
    <w:rsid w:val="00303757"/>
    <w:rsid w:val="0030543F"/>
    <w:rsid w:val="00305C40"/>
    <w:rsid w:val="0030632D"/>
    <w:rsid w:val="00306C64"/>
    <w:rsid w:val="00310ECE"/>
    <w:rsid w:val="003118E0"/>
    <w:rsid w:val="003136D4"/>
    <w:rsid w:val="00315693"/>
    <w:rsid w:val="00315C63"/>
    <w:rsid w:val="00315E98"/>
    <w:rsid w:val="00317041"/>
    <w:rsid w:val="003175A7"/>
    <w:rsid w:val="00321BEF"/>
    <w:rsid w:val="003249EF"/>
    <w:rsid w:val="00324B34"/>
    <w:rsid w:val="00325A13"/>
    <w:rsid w:val="003263A8"/>
    <w:rsid w:val="00326879"/>
    <w:rsid w:val="003276AF"/>
    <w:rsid w:val="00330D64"/>
    <w:rsid w:val="003329A0"/>
    <w:rsid w:val="0033523A"/>
    <w:rsid w:val="003359DD"/>
    <w:rsid w:val="0033625B"/>
    <w:rsid w:val="00336400"/>
    <w:rsid w:val="00336F9F"/>
    <w:rsid w:val="00337617"/>
    <w:rsid w:val="003378FE"/>
    <w:rsid w:val="003403EE"/>
    <w:rsid w:val="003409E9"/>
    <w:rsid w:val="00344022"/>
    <w:rsid w:val="00344655"/>
    <w:rsid w:val="0034563E"/>
    <w:rsid w:val="0034611B"/>
    <w:rsid w:val="00346F00"/>
    <w:rsid w:val="00347463"/>
    <w:rsid w:val="003508DC"/>
    <w:rsid w:val="00352851"/>
    <w:rsid w:val="00354128"/>
    <w:rsid w:val="003552B7"/>
    <w:rsid w:val="0035571A"/>
    <w:rsid w:val="003566FB"/>
    <w:rsid w:val="003606D7"/>
    <w:rsid w:val="003615E4"/>
    <w:rsid w:val="0036211D"/>
    <w:rsid w:val="00363E0E"/>
    <w:rsid w:val="00367B5A"/>
    <w:rsid w:val="003746F5"/>
    <w:rsid w:val="0037507D"/>
    <w:rsid w:val="00376064"/>
    <w:rsid w:val="00376BC2"/>
    <w:rsid w:val="003777A8"/>
    <w:rsid w:val="00380E8E"/>
    <w:rsid w:val="00381DE7"/>
    <w:rsid w:val="00387150"/>
    <w:rsid w:val="0039127B"/>
    <w:rsid w:val="003920A6"/>
    <w:rsid w:val="00392E23"/>
    <w:rsid w:val="0039439B"/>
    <w:rsid w:val="00394DB4"/>
    <w:rsid w:val="003953EC"/>
    <w:rsid w:val="00395E2F"/>
    <w:rsid w:val="00395FFB"/>
    <w:rsid w:val="003A029B"/>
    <w:rsid w:val="003A02FF"/>
    <w:rsid w:val="003A0A9A"/>
    <w:rsid w:val="003A1561"/>
    <w:rsid w:val="003A1B87"/>
    <w:rsid w:val="003A2875"/>
    <w:rsid w:val="003A2C2B"/>
    <w:rsid w:val="003A3370"/>
    <w:rsid w:val="003A3D4B"/>
    <w:rsid w:val="003A474B"/>
    <w:rsid w:val="003A56E9"/>
    <w:rsid w:val="003B0CFD"/>
    <w:rsid w:val="003B354B"/>
    <w:rsid w:val="003B6F6D"/>
    <w:rsid w:val="003B7675"/>
    <w:rsid w:val="003C0BE3"/>
    <w:rsid w:val="003C122C"/>
    <w:rsid w:val="003C2060"/>
    <w:rsid w:val="003C415D"/>
    <w:rsid w:val="003C57B5"/>
    <w:rsid w:val="003C7BFA"/>
    <w:rsid w:val="003D0D68"/>
    <w:rsid w:val="003D2302"/>
    <w:rsid w:val="003D44A5"/>
    <w:rsid w:val="003E091A"/>
    <w:rsid w:val="003E0B75"/>
    <w:rsid w:val="003E3094"/>
    <w:rsid w:val="003E3B0E"/>
    <w:rsid w:val="003E49F0"/>
    <w:rsid w:val="003E51AF"/>
    <w:rsid w:val="003E6DF9"/>
    <w:rsid w:val="003E7744"/>
    <w:rsid w:val="003E78BE"/>
    <w:rsid w:val="003F032E"/>
    <w:rsid w:val="003F0C80"/>
    <w:rsid w:val="003F0D1C"/>
    <w:rsid w:val="003F114F"/>
    <w:rsid w:val="003F36FB"/>
    <w:rsid w:val="003F5D3B"/>
    <w:rsid w:val="003F5F1C"/>
    <w:rsid w:val="003F7113"/>
    <w:rsid w:val="003F7C6A"/>
    <w:rsid w:val="00400D75"/>
    <w:rsid w:val="004045D9"/>
    <w:rsid w:val="00404C7F"/>
    <w:rsid w:val="0040514D"/>
    <w:rsid w:val="0040581C"/>
    <w:rsid w:val="004058E7"/>
    <w:rsid w:val="004066D9"/>
    <w:rsid w:val="00407088"/>
    <w:rsid w:val="00407D11"/>
    <w:rsid w:val="00410865"/>
    <w:rsid w:val="004113AA"/>
    <w:rsid w:val="00412E74"/>
    <w:rsid w:val="00413525"/>
    <w:rsid w:val="0041687E"/>
    <w:rsid w:val="00416B68"/>
    <w:rsid w:val="00417294"/>
    <w:rsid w:val="004215CE"/>
    <w:rsid w:val="004217A3"/>
    <w:rsid w:val="004225FD"/>
    <w:rsid w:val="00422C89"/>
    <w:rsid w:val="00422F7F"/>
    <w:rsid w:val="004231A6"/>
    <w:rsid w:val="00427433"/>
    <w:rsid w:val="00427D4A"/>
    <w:rsid w:val="0043076E"/>
    <w:rsid w:val="00432AA6"/>
    <w:rsid w:val="00432C08"/>
    <w:rsid w:val="00433DE0"/>
    <w:rsid w:val="00434FD6"/>
    <w:rsid w:val="00435BC5"/>
    <w:rsid w:val="00435DE3"/>
    <w:rsid w:val="004408D6"/>
    <w:rsid w:val="00440E2C"/>
    <w:rsid w:val="00443097"/>
    <w:rsid w:val="00444985"/>
    <w:rsid w:val="00446423"/>
    <w:rsid w:val="00446EA5"/>
    <w:rsid w:val="00447EF4"/>
    <w:rsid w:val="00450B35"/>
    <w:rsid w:val="00450E80"/>
    <w:rsid w:val="00452641"/>
    <w:rsid w:val="00453DEA"/>
    <w:rsid w:val="00455629"/>
    <w:rsid w:val="00456294"/>
    <w:rsid w:val="00457818"/>
    <w:rsid w:val="00460BD8"/>
    <w:rsid w:val="00460EC4"/>
    <w:rsid w:val="00464F69"/>
    <w:rsid w:val="0046627D"/>
    <w:rsid w:val="00466B14"/>
    <w:rsid w:val="004713A4"/>
    <w:rsid w:val="00472980"/>
    <w:rsid w:val="00473D8C"/>
    <w:rsid w:val="004754F8"/>
    <w:rsid w:val="00476344"/>
    <w:rsid w:val="0047761C"/>
    <w:rsid w:val="004779BE"/>
    <w:rsid w:val="004815BE"/>
    <w:rsid w:val="0048191B"/>
    <w:rsid w:val="00483550"/>
    <w:rsid w:val="0048383E"/>
    <w:rsid w:val="0048554D"/>
    <w:rsid w:val="004856D2"/>
    <w:rsid w:val="00485A0C"/>
    <w:rsid w:val="004865E6"/>
    <w:rsid w:val="00486C0A"/>
    <w:rsid w:val="00490DBC"/>
    <w:rsid w:val="00491085"/>
    <w:rsid w:val="0049315B"/>
    <w:rsid w:val="00493630"/>
    <w:rsid w:val="00493683"/>
    <w:rsid w:val="00494F55"/>
    <w:rsid w:val="00496714"/>
    <w:rsid w:val="004A01A2"/>
    <w:rsid w:val="004A0335"/>
    <w:rsid w:val="004A0FD6"/>
    <w:rsid w:val="004A1B54"/>
    <w:rsid w:val="004A22DD"/>
    <w:rsid w:val="004A242D"/>
    <w:rsid w:val="004A29A0"/>
    <w:rsid w:val="004A2DCC"/>
    <w:rsid w:val="004A5225"/>
    <w:rsid w:val="004A7357"/>
    <w:rsid w:val="004A7E6A"/>
    <w:rsid w:val="004A7F81"/>
    <w:rsid w:val="004B0334"/>
    <w:rsid w:val="004B198A"/>
    <w:rsid w:val="004B36CE"/>
    <w:rsid w:val="004B3C9F"/>
    <w:rsid w:val="004B3CE2"/>
    <w:rsid w:val="004B406A"/>
    <w:rsid w:val="004B5611"/>
    <w:rsid w:val="004B64F8"/>
    <w:rsid w:val="004B65F7"/>
    <w:rsid w:val="004B6BED"/>
    <w:rsid w:val="004B7292"/>
    <w:rsid w:val="004C4A7C"/>
    <w:rsid w:val="004C4C1E"/>
    <w:rsid w:val="004C5391"/>
    <w:rsid w:val="004C57D8"/>
    <w:rsid w:val="004C593E"/>
    <w:rsid w:val="004D0D9B"/>
    <w:rsid w:val="004D6AA0"/>
    <w:rsid w:val="004E1F9E"/>
    <w:rsid w:val="004E28D7"/>
    <w:rsid w:val="004E2B1C"/>
    <w:rsid w:val="004E2EDC"/>
    <w:rsid w:val="004E4107"/>
    <w:rsid w:val="004E5168"/>
    <w:rsid w:val="004F1303"/>
    <w:rsid w:val="004F13D7"/>
    <w:rsid w:val="004F219A"/>
    <w:rsid w:val="004F21EC"/>
    <w:rsid w:val="004F2EC8"/>
    <w:rsid w:val="004F3A21"/>
    <w:rsid w:val="004F6433"/>
    <w:rsid w:val="004F7FBA"/>
    <w:rsid w:val="00502E8E"/>
    <w:rsid w:val="00504F53"/>
    <w:rsid w:val="005103BB"/>
    <w:rsid w:val="00511041"/>
    <w:rsid w:val="005114D2"/>
    <w:rsid w:val="0051209F"/>
    <w:rsid w:val="00512413"/>
    <w:rsid w:val="00512B29"/>
    <w:rsid w:val="0051760B"/>
    <w:rsid w:val="005235D8"/>
    <w:rsid w:val="00523F8C"/>
    <w:rsid w:val="00525225"/>
    <w:rsid w:val="0052546C"/>
    <w:rsid w:val="00525960"/>
    <w:rsid w:val="00526A7F"/>
    <w:rsid w:val="005300FA"/>
    <w:rsid w:val="005302A9"/>
    <w:rsid w:val="005317D4"/>
    <w:rsid w:val="0053465E"/>
    <w:rsid w:val="005373D8"/>
    <w:rsid w:val="00537B30"/>
    <w:rsid w:val="00537B7C"/>
    <w:rsid w:val="005400A1"/>
    <w:rsid w:val="0054055D"/>
    <w:rsid w:val="0054064C"/>
    <w:rsid w:val="00541243"/>
    <w:rsid w:val="00541ECB"/>
    <w:rsid w:val="005422A6"/>
    <w:rsid w:val="005426B7"/>
    <w:rsid w:val="0054396D"/>
    <w:rsid w:val="00543C38"/>
    <w:rsid w:val="00543C45"/>
    <w:rsid w:val="00543F87"/>
    <w:rsid w:val="00551A7D"/>
    <w:rsid w:val="0055232E"/>
    <w:rsid w:val="00552533"/>
    <w:rsid w:val="0055506E"/>
    <w:rsid w:val="00560EDB"/>
    <w:rsid w:val="00561D94"/>
    <w:rsid w:val="00562066"/>
    <w:rsid w:val="0056239C"/>
    <w:rsid w:val="00565D60"/>
    <w:rsid w:val="005660E5"/>
    <w:rsid w:val="00566609"/>
    <w:rsid w:val="005671CD"/>
    <w:rsid w:val="0056740A"/>
    <w:rsid w:val="00567C09"/>
    <w:rsid w:val="005702D3"/>
    <w:rsid w:val="00570489"/>
    <w:rsid w:val="00571450"/>
    <w:rsid w:val="00572E80"/>
    <w:rsid w:val="00573D10"/>
    <w:rsid w:val="00574DF2"/>
    <w:rsid w:val="005751AF"/>
    <w:rsid w:val="00575B45"/>
    <w:rsid w:val="0057723C"/>
    <w:rsid w:val="00577263"/>
    <w:rsid w:val="005779BA"/>
    <w:rsid w:val="00577B31"/>
    <w:rsid w:val="00577C35"/>
    <w:rsid w:val="00580A95"/>
    <w:rsid w:val="005812CC"/>
    <w:rsid w:val="00581420"/>
    <w:rsid w:val="00581A06"/>
    <w:rsid w:val="00582C63"/>
    <w:rsid w:val="00583C8B"/>
    <w:rsid w:val="00584294"/>
    <w:rsid w:val="005846D0"/>
    <w:rsid w:val="005851E9"/>
    <w:rsid w:val="00586D87"/>
    <w:rsid w:val="00587611"/>
    <w:rsid w:val="00591352"/>
    <w:rsid w:val="0059322F"/>
    <w:rsid w:val="00596CCD"/>
    <w:rsid w:val="005A082F"/>
    <w:rsid w:val="005A0CE8"/>
    <w:rsid w:val="005A2794"/>
    <w:rsid w:val="005A27D6"/>
    <w:rsid w:val="005A3454"/>
    <w:rsid w:val="005A44E0"/>
    <w:rsid w:val="005A4B63"/>
    <w:rsid w:val="005A4BBB"/>
    <w:rsid w:val="005A4F0A"/>
    <w:rsid w:val="005A62F1"/>
    <w:rsid w:val="005A73AC"/>
    <w:rsid w:val="005B1970"/>
    <w:rsid w:val="005B4FDC"/>
    <w:rsid w:val="005B644A"/>
    <w:rsid w:val="005B6D2B"/>
    <w:rsid w:val="005B7074"/>
    <w:rsid w:val="005B72ED"/>
    <w:rsid w:val="005C1008"/>
    <w:rsid w:val="005C12A1"/>
    <w:rsid w:val="005C1413"/>
    <w:rsid w:val="005C2096"/>
    <w:rsid w:val="005C3801"/>
    <w:rsid w:val="005C3B60"/>
    <w:rsid w:val="005C5D4A"/>
    <w:rsid w:val="005C7234"/>
    <w:rsid w:val="005C7504"/>
    <w:rsid w:val="005C755D"/>
    <w:rsid w:val="005C7C5C"/>
    <w:rsid w:val="005D2AE6"/>
    <w:rsid w:val="005D2B2C"/>
    <w:rsid w:val="005D3999"/>
    <w:rsid w:val="005D3B95"/>
    <w:rsid w:val="005D65B1"/>
    <w:rsid w:val="005D7616"/>
    <w:rsid w:val="005E0048"/>
    <w:rsid w:val="005E0DCB"/>
    <w:rsid w:val="005E0ED8"/>
    <w:rsid w:val="005E10BB"/>
    <w:rsid w:val="005E117A"/>
    <w:rsid w:val="005E2E74"/>
    <w:rsid w:val="005E2E90"/>
    <w:rsid w:val="005E3978"/>
    <w:rsid w:val="005E4079"/>
    <w:rsid w:val="005E5DCA"/>
    <w:rsid w:val="005E62D7"/>
    <w:rsid w:val="005E6BA5"/>
    <w:rsid w:val="005E7927"/>
    <w:rsid w:val="005E794F"/>
    <w:rsid w:val="005F1735"/>
    <w:rsid w:val="005F26C3"/>
    <w:rsid w:val="005F4A6F"/>
    <w:rsid w:val="005F6589"/>
    <w:rsid w:val="005F7111"/>
    <w:rsid w:val="00603283"/>
    <w:rsid w:val="006035B1"/>
    <w:rsid w:val="00605D96"/>
    <w:rsid w:val="006076B7"/>
    <w:rsid w:val="00610795"/>
    <w:rsid w:val="00613447"/>
    <w:rsid w:val="00613849"/>
    <w:rsid w:val="00614806"/>
    <w:rsid w:val="00615B8B"/>
    <w:rsid w:val="00616265"/>
    <w:rsid w:val="006175E8"/>
    <w:rsid w:val="00621530"/>
    <w:rsid w:val="006221BB"/>
    <w:rsid w:val="006230C2"/>
    <w:rsid w:val="00624E48"/>
    <w:rsid w:val="00630037"/>
    <w:rsid w:val="00630438"/>
    <w:rsid w:val="00630F43"/>
    <w:rsid w:val="006316EB"/>
    <w:rsid w:val="00632ED7"/>
    <w:rsid w:val="006333BE"/>
    <w:rsid w:val="00633C96"/>
    <w:rsid w:val="00633D25"/>
    <w:rsid w:val="00635285"/>
    <w:rsid w:val="00637551"/>
    <w:rsid w:val="00637601"/>
    <w:rsid w:val="00640BFA"/>
    <w:rsid w:val="00642E85"/>
    <w:rsid w:val="00644229"/>
    <w:rsid w:val="00646761"/>
    <w:rsid w:val="006467A5"/>
    <w:rsid w:val="006522DD"/>
    <w:rsid w:val="0065245D"/>
    <w:rsid w:val="00652BBE"/>
    <w:rsid w:val="006546FE"/>
    <w:rsid w:val="00654D61"/>
    <w:rsid w:val="00654FBC"/>
    <w:rsid w:val="006554E7"/>
    <w:rsid w:val="00655AA7"/>
    <w:rsid w:val="006564EA"/>
    <w:rsid w:val="00656DA4"/>
    <w:rsid w:val="00656E42"/>
    <w:rsid w:val="00661D82"/>
    <w:rsid w:val="00662720"/>
    <w:rsid w:val="006646AF"/>
    <w:rsid w:val="00665BC7"/>
    <w:rsid w:val="00665E54"/>
    <w:rsid w:val="006737D5"/>
    <w:rsid w:val="0067477B"/>
    <w:rsid w:val="00677D36"/>
    <w:rsid w:val="00682122"/>
    <w:rsid w:val="00683779"/>
    <w:rsid w:val="00685EEB"/>
    <w:rsid w:val="00686909"/>
    <w:rsid w:val="0069067A"/>
    <w:rsid w:val="00690F0E"/>
    <w:rsid w:val="00691686"/>
    <w:rsid w:val="00692E07"/>
    <w:rsid w:val="006934A2"/>
    <w:rsid w:val="00694951"/>
    <w:rsid w:val="00695002"/>
    <w:rsid w:val="00696149"/>
    <w:rsid w:val="0069740C"/>
    <w:rsid w:val="006975F9"/>
    <w:rsid w:val="006A1C55"/>
    <w:rsid w:val="006A3297"/>
    <w:rsid w:val="006A350A"/>
    <w:rsid w:val="006A3670"/>
    <w:rsid w:val="006A388C"/>
    <w:rsid w:val="006A3CE1"/>
    <w:rsid w:val="006A3D71"/>
    <w:rsid w:val="006A4846"/>
    <w:rsid w:val="006A561B"/>
    <w:rsid w:val="006A57BF"/>
    <w:rsid w:val="006A6D65"/>
    <w:rsid w:val="006A7711"/>
    <w:rsid w:val="006A7BD3"/>
    <w:rsid w:val="006B2710"/>
    <w:rsid w:val="006B643A"/>
    <w:rsid w:val="006B669D"/>
    <w:rsid w:val="006C08ED"/>
    <w:rsid w:val="006C1067"/>
    <w:rsid w:val="006C1831"/>
    <w:rsid w:val="006C3BD8"/>
    <w:rsid w:val="006C420A"/>
    <w:rsid w:val="006C4306"/>
    <w:rsid w:val="006C462B"/>
    <w:rsid w:val="006C4B26"/>
    <w:rsid w:val="006C53F3"/>
    <w:rsid w:val="006C5B7A"/>
    <w:rsid w:val="006C69BE"/>
    <w:rsid w:val="006C6EB8"/>
    <w:rsid w:val="006D0327"/>
    <w:rsid w:val="006D0549"/>
    <w:rsid w:val="006D1E5D"/>
    <w:rsid w:val="006D2254"/>
    <w:rsid w:val="006D2D0E"/>
    <w:rsid w:val="006D41F3"/>
    <w:rsid w:val="006D63A3"/>
    <w:rsid w:val="006D6446"/>
    <w:rsid w:val="006D793E"/>
    <w:rsid w:val="006D7CB2"/>
    <w:rsid w:val="006E0FE7"/>
    <w:rsid w:val="006E0FF7"/>
    <w:rsid w:val="006E255B"/>
    <w:rsid w:val="006E2A5E"/>
    <w:rsid w:val="006E3144"/>
    <w:rsid w:val="006E36C2"/>
    <w:rsid w:val="006E3756"/>
    <w:rsid w:val="006E443A"/>
    <w:rsid w:val="006E68EE"/>
    <w:rsid w:val="006F07D9"/>
    <w:rsid w:val="006F0E69"/>
    <w:rsid w:val="006F1070"/>
    <w:rsid w:val="006F19C0"/>
    <w:rsid w:val="006F23A6"/>
    <w:rsid w:val="006F23E5"/>
    <w:rsid w:val="006F2524"/>
    <w:rsid w:val="006F2B8C"/>
    <w:rsid w:val="006F4201"/>
    <w:rsid w:val="006F5142"/>
    <w:rsid w:val="006F7068"/>
    <w:rsid w:val="006F794C"/>
    <w:rsid w:val="006F7C85"/>
    <w:rsid w:val="00701106"/>
    <w:rsid w:val="0070114E"/>
    <w:rsid w:val="00703D7C"/>
    <w:rsid w:val="00705C32"/>
    <w:rsid w:val="007070AF"/>
    <w:rsid w:val="0071147B"/>
    <w:rsid w:val="00711674"/>
    <w:rsid w:val="00714A48"/>
    <w:rsid w:val="007156EB"/>
    <w:rsid w:val="00715774"/>
    <w:rsid w:val="00720082"/>
    <w:rsid w:val="00721483"/>
    <w:rsid w:val="007215CF"/>
    <w:rsid w:val="00722108"/>
    <w:rsid w:val="00722A3B"/>
    <w:rsid w:val="00723FF4"/>
    <w:rsid w:val="007257CB"/>
    <w:rsid w:val="00726767"/>
    <w:rsid w:val="00726BFD"/>
    <w:rsid w:val="0072725B"/>
    <w:rsid w:val="00730F7B"/>
    <w:rsid w:val="00731933"/>
    <w:rsid w:val="00733813"/>
    <w:rsid w:val="00736E12"/>
    <w:rsid w:val="0073710E"/>
    <w:rsid w:val="00737CE4"/>
    <w:rsid w:val="00741F58"/>
    <w:rsid w:val="0074262E"/>
    <w:rsid w:val="00743328"/>
    <w:rsid w:val="00743B60"/>
    <w:rsid w:val="007450F0"/>
    <w:rsid w:val="007464FA"/>
    <w:rsid w:val="00752E1E"/>
    <w:rsid w:val="00752F71"/>
    <w:rsid w:val="00753AE2"/>
    <w:rsid w:val="00755F7E"/>
    <w:rsid w:val="0075769C"/>
    <w:rsid w:val="00757D08"/>
    <w:rsid w:val="00760AC9"/>
    <w:rsid w:val="00763886"/>
    <w:rsid w:val="00763DD6"/>
    <w:rsid w:val="007640DA"/>
    <w:rsid w:val="00765A08"/>
    <w:rsid w:val="007666B2"/>
    <w:rsid w:val="0076770E"/>
    <w:rsid w:val="00770005"/>
    <w:rsid w:val="00771434"/>
    <w:rsid w:val="00772A7A"/>
    <w:rsid w:val="00773380"/>
    <w:rsid w:val="0077342B"/>
    <w:rsid w:val="00775487"/>
    <w:rsid w:val="00775B07"/>
    <w:rsid w:val="00776634"/>
    <w:rsid w:val="00776734"/>
    <w:rsid w:val="00776E49"/>
    <w:rsid w:val="00782669"/>
    <w:rsid w:val="00782A5A"/>
    <w:rsid w:val="00782EF7"/>
    <w:rsid w:val="00783865"/>
    <w:rsid w:val="00783FDF"/>
    <w:rsid w:val="00784198"/>
    <w:rsid w:val="00784B49"/>
    <w:rsid w:val="007851D3"/>
    <w:rsid w:val="007852FF"/>
    <w:rsid w:val="007857E4"/>
    <w:rsid w:val="00787375"/>
    <w:rsid w:val="0079042D"/>
    <w:rsid w:val="00794397"/>
    <w:rsid w:val="007958D5"/>
    <w:rsid w:val="00797D9F"/>
    <w:rsid w:val="007A1CE3"/>
    <w:rsid w:val="007A27BD"/>
    <w:rsid w:val="007A5094"/>
    <w:rsid w:val="007A543B"/>
    <w:rsid w:val="007A6976"/>
    <w:rsid w:val="007B0BBE"/>
    <w:rsid w:val="007B3160"/>
    <w:rsid w:val="007B43D2"/>
    <w:rsid w:val="007B65E2"/>
    <w:rsid w:val="007C01B8"/>
    <w:rsid w:val="007C10FE"/>
    <w:rsid w:val="007C1AC2"/>
    <w:rsid w:val="007C3205"/>
    <w:rsid w:val="007C4E57"/>
    <w:rsid w:val="007C58FB"/>
    <w:rsid w:val="007C5F60"/>
    <w:rsid w:val="007C6533"/>
    <w:rsid w:val="007D01AD"/>
    <w:rsid w:val="007D0666"/>
    <w:rsid w:val="007D193B"/>
    <w:rsid w:val="007D3A63"/>
    <w:rsid w:val="007D4846"/>
    <w:rsid w:val="007D5142"/>
    <w:rsid w:val="007D60E4"/>
    <w:rsid w:val="007D633E"/>
    <w:rsid w:val="007D6D32"/>
    <w:rsid w:val="007D6FFF"/>
    <w:rsid w:val="007D7CA4"/>
    <w:rsid w:val="007E037F"/>
    <w:rsid w:val="007E147E"/>
    <w:rsid w:val="007E1925"/>
    <w:rsid w:val="007E1F3A"/>
    <w:rsid w:val="007E36E1"/>
    <w:rsid w:val="007E4857"/>
    <w:rsid w:val="007E5FE7"/>
    <w:rsid w:val="007E6CD0"/>
    <w:rsid w:val="007E7F4A"/>
    <w:rsid w:val="007F02DC"/>
    <w:rsid w:val="007F02E2"/>
    <w:rsid w:val="007F211E"/>
    <w:rsid w:val="007F2912"/>
    <w:rsid w:val="007F2BB8"/>
    <w:rsid w:val="007F3498"/>
    <w:rsid w:val="007F3753"/>
    <w:rsid w:val="007F49FF"/>
    <w:rsid w:val="00802956"/>
    <w:rsid w:val="00802CF7"/>
    <w:rsid w:val="00803480"/>
    <w:rsid w:val="008104CC"/>
    <w:rsid w:val="00810A82"/>
    <w:rsid w:val="008130FA"/>
    <w:rsid w:val="008133B3"/>
    <w:rsid w:val="00813C35"/>
    <w:rsid w:val="00814486"/>
    <w:rsid w:val="00817299"/>
    <w:rsid w:val="00821AA5"/>
    <w:rsid w:val="00824117"/>
    <w:rsid w:val="008249C4"/>
    <w:rsid w:val="008316A6"/>
    <w:rsid w:val="00831C76"/>
    <w:rsid w:val="008323B0"/>
    <w:rsid w:val="00832B4B"/>
    <w:rsid w:val="00834646"/>
    <w:rsid w:val="00835DCC"/>
    <w:rsid w:val="008403CA"/>
    <w:rsid w:val="008432CD"/>
    <w:rsid w:val="008433F1"/>
    <w:rsid w:val="0084343E"/>
    <w:rsid w:val="00843AF5"/>
    <w:rsid w:val="008442A3"/>
    <w:rsid w:val="0084649C"/>
    <w:rsid w:val="00847C28"/>
    <w:rsid w:val="00847F9A"/>
    <w:rsid w:val="008509A7"/>
    <w:rsid w:val="00850F3B"/>
    <w:rsid w:val="0085107A"/>
    <w:rsid w:val="00851B66"/>
    <w:rsid w:val="0085213B"/>
    <w:rsid w:val="00852DA8"/>
    <w:rsid w:val="008571CE"/>
    <w:rsid w:val="00860864"/>
    <w:rsid w:val="00861491"/>
    <w:rsid w:val="00861C71"/>
    <w:rsid w:val="00862713"/>
    <w:rsid w:val="008628B2"/>
    <w:rsid w:val="008642A7"/>
    <w:rsid w:val="008655FB"/>
    <w:rsid w:val="00865602"/>
    <w:rsid w:val="00867089"/>
    <w:rsid w:val="00867A9C"/>
    <w:rsid w:val="00871192"/>
    <w:rsid w:val="00871B01"/>
    <w:rsid w:val="00871D8A"/>
    <w:rsid w:val="00874CE7"/>
    <w:rsid w:val="00874F7D"/>
    <w:rsid w:val="008767C5"/>
    <w:rsid w:val="00876835"/>
    <w:rsid w:val="008814EC"/>
    <w:rsid w:val="00881916"/>
    <w:rsid w:val="00884206"/>
    <w:rsid w:val="00884B1F"/>
    <w:rsid w:val="008958CD"/>
    <w:rsid w:val="00895A06"/>
    <w:rsid w:val="008A08E9"/>
    <w:rsid w:val="008A0EBD"/>
    <w:rsid w:val="008A140F"/>
    <w:rsid w:val="008A2BC4"/>
    <w:rsid w:val="008B0AD7"/>
    <w:rsid w:val="008B0FB7"/>
    <w:rsid w:val="008B106D"/>
    <w:rsid w:val="008B355F"/>
    <w:rsid w:val="008B4497"/>
    <w:rsid w:val="008B4ECB"/>
    <w:rsid w:val="008B52F0"/>
    <w:rsid w:val="008B5C1D"/>
    <w:rsid w:val="008B6502"/>
    <w:rsid w:val="008B6726"/>
    <w:rsid w:val="008B7AAF"/>
    <w:rsid w:val="008C0B2C"/>
    <w:rsid w:val="008C107C"/>
    <w:rsid w:val="008C11E0"/>
    <w:rsid w:val="008C192A"/>
    <w:rsid w:val="008C3C3C"/>
    <w:rsid w:val="008C4F7F"/>
    <w:rsid w:val="008C7066"/>
    <w:rsid w:val="008C78A4"/>
    <w:rsid w:val="008D0580"/>
    <w:rsid w:val="008D11D7"/>
    <w:rsid w:val="008D13B1"/>
    <w:rsid w:val="008D1E9A"/>
    <w:rsid w:val="008D1FFF"/>
    <w:rsid w:val="008D2449"/>
    <w:rsid w:val="008D2527"/>
    <w:rsid w:val="008D2F6D"/>
    <w:rsid w:val="008D48D0"/>
    <w:rsid w:val="008D4F12"/>
    <w:rsid w:val="008D7A19"/>
    <w:rsid w:val="008E1C59"/>
    <w:rsid w:val="008E2647"/>
    <w:rsid w:val="008E693D"/>
    <w:rsid w:val="008F0579"/>
    <w:rsid w:val="008F20C5"/>
    <w:rsid w:val="008F21EB"/>
    <w:rsid w:val="008F402D"/>
    <w:rsid w:val="008F5231"/>
    <w:rsid w:val="008F59BC"/>
    <w:rsid w:val="008F5FDD"/>
    <w:rsid w:val="008F6ADA"/>
    <w:rsid w:val="008F756C"/>
    <w:rsid w:val="0090125A"/>
    <w:rsid w:val="009018F1"/>
    <w:rsid w:val="00901E1C"/>
    <w:rsid w:val="009024E9"/>
    <w:rsid w:val="00902EFA"/>
    <w:rsid w:val="0090664A"/>
    <w:rsid w:val="009078F1"/>
    <w:rsid w:val="0091009C"/>
    <w:rsid w:val="00910D26"/>
    <w:rsid w:val="009110D2"/>
    <w:rsid w:val="00911101"/>
    <w:rsid w:val="00912533"/>
    <w:rsid w:val="0091286B"/>
    <w:rsid w:val="009128A8"/>
    <w:rsid w:val="00913F58"/>
    <w:rsid w:val="00914C3A"/>
    <w:rsid w:val="00914F18"/>
    <w:rsid w:val="00916245"/>
    <w:rsid w:val="00916A6D"/>
    <w:rsid w:val="00916E44"/>
    <w:rsid w:val="00921E13"/>
    <w:rsid w:val="00923A8E"/>
    <w:rsid w:val="00923B20"/>
    <w:rsid w:val="00924078"/>
    <w:rsid w:val="00925C6F"/>
    <w:rsid w:val="009308C7"/>
    <w:rsid w:val="009315A0"/>
    <w:rsid w:val="00932FAF"/>
    <w:rsid w:val="0093360E"/>
    <w:rsid w:val="00934DD1"/>
    <w:rsid w:val="00934FBB"/>
    <w:rsid w:val="00935AFF"/>
    <w:rsid w:val="00935C72"/>
    <w:rsid w:val="00935F82"/>
    <w:rsid w:val="009361FC"/>
    <w:rsid w:val="00936ED9"/>
    <w:rsid w:val="00941BB2"/>
    <w:rsid w:val="0094286F"/>
    <w:rsid w:val="00942F9F"/>
    <w:rsid w:val="009468D1"/>
    <w:rsid w:val="0094773E"/>
    <w:rsid w:val="009506A7"/>
    <w:rsid w:val="00950C88"/>
    <w:rsid w:val="009515FD"/>
    <w:rsid w:val="00952CC2"/>
    <w:rsid w:val="00953683"/>
    <w:rsid w:val="009537E0"/>
    <w:rsid w:val="00954593"/>
    <w:rsid w:val="00955B9E"/>
    <w:rsid w:val="0095607D"/>
    <w:rsid w:val="009570AA"/>
    <w:rsid w:val="00960B5B"/>
    <w:rsid w:val="00961B87"/>
    <w:rsid w:val="00961F5A"/>
    <w:rsid w:val="00962835"/>
    <w:rsid w:val="00963D08"/>
    <w:rsid w:val="00964CE2"/>
    <w:rsid w:val="00964E40"/>
    <w:rsid w:val="0096565A"/>
    <w:rsid w:val="00966258"/>
    <w:rsid w:val="009669A7"/>
    <w:rsid w:val="0096735E"/>
    <w:rsid w:val="00970736"/>
    <w:rsid w:val="00971E71"/>
    <w:rsid w:val="00973C84"/>
    <w:rsid w:val="00974449"/>
    <w:rsid w:val="00974A54"/>
    <w:rsid w:val="0098220F"/>
    <w:rsid w:val="00983025"/>
    <w:rsid w:val="00983A49"/>
    <w:rsid w:val="00986FF9"/>
    <w:rsid w:val="00990544"/>
    <w:rsid w:val="00991933"/>
    <w:rsid w:val="00994171"/>
    <w:rsid w:val="00994EFA"/>
    <w:rsid w:val="00997D0A"/>
    <w:rsid w:val="009A1B21"/>
    <w:rsid w:val="009A4476"/>
    <w:rsid w:val="009A4B04"/>
    <w:rsid w:val="009B18A6"/>
    <w:rsid w:val="009B378E"/>
    <w:rsid w:val="009B707E"/>
    <w:rsid w:val="009B72E3"/>
    <w:rsid w:val="009B7BBA"/>
    <w:rsid w:val="009C079D"/>
    <w:rsid w:val="009D0098"/>
    <w:rsid w:val="009D3FCC"/>
    <w:rsid w:val="009D4D00"/>
    <w:rsid w:val="009D5539"/>
    <w:rsid w:val="009D69FD"/>
    <w:rsid w:val="009D76C0"/>
    <w:rsid w:val="009D76EB"/>
    <w:rsid w:val="009D7A40"/>
    <w:rsid w:val="009D7ABD"/>
    <w:rsid w:val="009E0733"/>
    <w:rsid w:val="009E0946"/>
    <w:rsid w:val="009E192F"/>
    <w:rsid w:val="009E4949"/>
    <w:rsid w:val="009E50AF"/>
    <w:rsid w:val="009E5B6B"/>
    <w:rsid w:val="009E6019"/>
    <w:rsid w:val="009F0069"/>
    <w:rsid w:val="009F0BC9"/>
    <w:rsid w:val="009F1058"/>
    <w:rsid w:val="009F2319"/>
    <w:rsid w:val="009F2609"/>
    <w:rsid w:val="009F2E5F"/>
    <w:rsid w:val="009F2E82"/>
    <w:rsid w:val="009F4035"/>
    <w:rsid w:val="009F5DEC"/>
    <w:rsid w:val="009F5EAA"/>
    <w:rsid w:val="009F6A37"/>
    <w:rsid w:val="009F7049"/>
    <w:rsid w:val="00A0248A"/>
    <w:rsid w:val="00A044E5"/>
    <w:rsid w:val="00A0457E"/>
    <w:rsid w:val="00A04B57"/>
    <w:rsid w:val="00A04EEC"/>
    <w:rsid w:val="00A0772E"/>
    <w:rsid w:val="00A10415"/>
    <w:rsid w:val="00A1249D"/>
    <w:rsid w:val="00A15117"/>
    <w:rsid w:val="00A157CA"/>
    <w:rsid w:val="00A17B2D"/>
    <w:rsid w:val="00A20221"/>
    <w:rsid w:val="00A22EC8"/>
    <w:rsid w:val="00A23ACC"/>
    <w:rsid w:val="00A23DEB"/>
    <w:rsid w:val="00A240AC"/>
    <w:rsid w:val="00A2446F"/>
    <w:rsid w:val="00A2612F"/>
    <w:rsid w:val="00A267E8"/>
    <w:rsid w:val="00A2715F"/>
    <w:rsid w:val="00A2724A"/>
    <w:rsid w:val="00A34FC9"/>
    <w:rsid w:val="00A414B6"/>
    <w:rsid w:val="00A41C43"/>
    <w:rsid w:val="00A42600"/>
    <w:rsid w:val="00A42AAF"/>
    <w:rsid w:val="00A437AD"/>
    <w:rsid w:val="00A45DC6"/>
    <w:rsid w:val="00A45EFA"/>
    <w:rsid w:val="00A46412"/>
    <w:rsid w:val="00A465B6"/>
    <w:rsid w:val="00A51070"/>
    <w:rsid w:val="00A516AD"/>
    <w:rsid w:val="00A53902"/>
    <w:rsid w:val="00A53AC1"/>
    <w:rsid w:val="00A541C2"/>
    <w:rsid w:val="00A5427D"/>
    <w:rsid w:val="00A557CE"/>
    <w:rsid w:val="00A57011"/>
    <w:rsid w:val="00A5796E"/>
    <w:rsid w:val="00A60B8B"/>
    <w:rsid w:val="00A62DBA"/>
    <w:rsid w:val="00A63A7F"/>
    <w:rsid w:val="00A64323"/>
    <w:rsid w:val="00A66310"/>
    <w:rsid w:val="00A663F3"/>
    <w:rsid w:val="00A66C5B"/>
    <w:rsid w:val="00A6752C"/>
    <w:rsid w:val="00A67A7A"/>
    <w:rsid w:val="00A71CA2"/>
    <w:rsid w:val="00A71DF7"/>
    <w:rsid w:val="00A724E7"/>
    <w:rsid w:val="00A74052"/>
    <w:rsid w:val="00A7422E"/>
    <w:rsid w:val="00A75977"/>
    <w:rsid w:val="00A77154"/>
    <w:rsid w:val="00A8160C"/>
    <w:rsid w:val="00A824A6"/>
    <w:rsid w:val="00A8278F"/>
    <w:rsid w:val="00A82E86"/>
    <w:rsid w:val="00A87325"/>
    <w:rsid w:val="00A87328"/>
    <w:rsid w:val="00A87CA4"/>
    <w:rsid w:val="00A92905"/>
    <w:rsid w:val="00A93997"/>
    <w:rsid w:val="00A93DE8"/>
    <w:rsid w:val="00A97D35"/>
    <w:rsid w:val="00AA0641"/>
    <w:rsid w:val="00AA208D"/>
    <w:rsid w:val="00AA3E64"/>
    <w:rsid w:val="00AA4DC4"/>
    <w:rsid w:val="00AA578B"/>
    <w:rsid w:val="00AA5D63"/>
    <w:rsid w:val="00AA7332"/>
    <w:rsid w:val="00AB46EF"/>
    <w:rsid w:val="00AB4E0D"/>
    <w:rsid w:val="00AB5A6D"/>
    <w:rsid w:val="00AB6E3F"/>
    <w:rsid w:val="00AC0679"/>
    <w:rsid w:val="00AC0DFB"/>
    <w:rsid w:val="00AC3FCE"/>
    <w:rsid w:val="00AC588E"/>
    <w:rsid w:val="00AC6FE2"/>
    <w:rsid w:val="00AD1637"/>
    <w:rsid w:val="00AD226D"/>
    <w:rsid w:val="00AD2A7C"/>
    <w:rsid w:val="00AD3B84"/>
    <w:rsid w:val="00AD3E23"/>
    <w:rsid w:val="00AD413B"/>
    <w:rsid w:val="00AD5786"/>
    <w:rsid w:val="00AD5F3D"/>
    <w:rsid w:val="00AD602D"/>
    <w:rsid w:val="00AE0A79"/>
    <w:rsid w:val="00AE4D82"/>
    <w:rsid w:val="00AE6176"/>
    <w:rsid w:val="00AE7401"/>
    <w:rsid w:val="00AF1462"/>
    <w:rsid w:val="00AF1B7F"/>
    <w:rsid w:val="00AF354C"/>
    <w:rsid w:val="00AF5324"/>
    <w:rsid w:val="00AF5E76"/>
    <w:rsid w:val="00B009F8"/>
    <w:rsid w:val="00B0503C"/>
    <w:rsid w:val="00B05115"/>
    <w:rsid w:val="00B05657"/>
    <w:rsid w:val="00B057E9"/>
    <w:rsid w:val="00B06742"/>
    <w:rsid w:val="00B10651"/>
    <w:rsid w:val="00B1249F"/>
    <w:rsid w:val="00B14428"/>
    <w:rsid w:val="00B16E10"/>
    <w:rsid w:val="00B16E98"/>
    <w:rsid w:val="00B21421"/>
    <w:rsid w:val="00B21A56"/>
    <w:rsid w:val="00B2370E"/>
    <w:rsid w:val="00B240E2"/>
    <w:rsid w:val="00B2474E"/>
    <w:rsid w:val="00B24ACB"/>
    <w:rsid w:val="00B24C51"/>
    <w:rsid w:val="00B25AA2"/>
    <w:rsid w:val="00B26231"/>
    <w:rsid w:val="00B2769B"/>
    <w:rsid w:val="00B304D4"/>
    <w:rsid w:val="00B3255A"/>
    <w:rsid w:val="00B32631"/>
    <w:rsid w:val="00B35CF1"/>
    <w:rsid w:val="00B4024C"/>
    <w:rsid w:val="00B4072F"/>
    <w:rsid w:val="00B41CE1"/>
    <w:rsid w:val="00B42C28"/>
    <w:rsid w:val="00B442AB"/>
    <w:rsid w:val="00B44DC7"/>
    <w:rsid w:val="00B46A8F"/>
    <w:rsid w:val="00B47AE6"/>
    <w:rsid w:val="00B5027D"/>
    <w:rsid w:val="00B5035D"/>
    <w:rsid w:val="00B508B8"/>
    <w:rsid w:val="00B518D3"/>
    <w:rsid w:val="00B52A24"/>
    <w:rsid w:val="00B52E94"/>
    <w:rsid w:val="00B53698"/>
    <w:rsid w:val="00B5404B"/>
    <w:rsid w:val="00B54DEB"/>
    <w:rsid w:val="00B5565E"/>
    <w:rsid w:val="00B55B6A"/>
    <w:rsid w:val="00B5670B"/>
    <w:rsid w:val="00B577E8"/>
    <w:rsid w:val="00B60053"/>
    <w:rsid w:val="00B6165C"/>
    <w:rsid w:val="00B62A90"/>
    <w:rsid w:val="00B64817"/>
    <w:rsid w:val="00B650B8"/>
    <w:rsid w:val="00B65400"/>
    <w:rsid w:val="00B66F5C"/>
    <w:rsid w:val="00B67118"/>
    <w:rsid w:val="00B67377"/>
    <w:rsid w:val="00B674F6"/>
    <w:rsid w:val="00B752F5"/>
    <w:rsid w:val="00B761FD"/>
    <w:rsid w:val="00B76359"/>
    <w:rsid w:val="00B77244"/>
    <w:rsid w:val="00B774B4"/>
    <w:rsid w:val="00B779CB"/>
    <w:rsid w:val="00B80456"/>
    <w:rsid w:val="00B808C7"/>
    <w:rsid w:val="00B828E8"/>
    <w:rsid w:val="00B844BE"/>
    <w:rsid w:val="00B867A6"/>
    <w:rsid w:val="00B87219"/>
    <w:rsid w:val="00B872F1"/>
    <w:rsid w:val="00B914F3"/>
    <w:rsid w:val="00B92585"/>
    <w:rsid w:val="00B93E45"/>
    <w:rsid w:val="00B940AB"/>
    <w:rsid w:val="00B94BC3"/>
    <w:rsid w:val="00B957AB"/>
    <w:rsid w:val="00B96425"/>
    <w:rsid w:val="00B96A53"/>
    <w:rsid w:val="00B97F25"/>
    <w:rsid w:val="00BA0781"/>
    <w:rsid w:val="00BA0B68"/>
    <w:rsid w:val="00BA230B"/>
    <w:rsid w:val="00BA2542"/>
    <w:rsid w:val="00BA2A76"/>
    <w:rsid w:val="00BA3767"/>
    <w:rsid w:val="00BA3B31"/>
    <w:rsid w:val="00BA4CE6"/>
    <w:rsid w:val="00BA514B"/>
    <w:rsid w:val="00BA53E8"/>
    <w:rsid w:val="00BA5516"/>
    <w:rsid w:val="00BA55DF"/>
    <w:rsid w:val="00BA70A7"/>
    <w:rsid w:val="00BA71DB"/>
    <w:rsid w:val="00BB002C"/>
    <w:rsid w:val="00BB009A"/>
    <w:rsid w:val="00BB0E81"/>
    <w:rsid w:val="00BB14E2"/>
    <w:rsid w:val="00BB4549"/>
    <w:rsid w:val="00BB4BEC"/>
    <w:rsid w:val="00BB4E00"/>
    <w:rsid w:val="00BB4F3C"/>
    <w:rsid w:val="00BB5998"/>
    <w:rsid w:val="00BC0126"/>
    <w:rsid w:val="00BC185A"/>
    <w:rsid w:val="00BC2080"/>
    <w:rsid w:val="00BC39F3"/>
    <w:rsid w:val="00BC3DD7"/>
    <w:rsid w:val="00BC41C7"/>
    <w:rsid w:val="00BC4AFB"/>
    <w:rsid w:val="00BC541E"/>
    <w:rsid w:val="00BC5AD4"/>
    <w:rsid w:val="00BC6049"/>
    <w:rsid w:val="00BD0D9A"/>
    <w:rsid w:val="00BD136F"/>
    <w:rsid w:val="00BD23F3"/>
    <w:rsid w:val="00BD2B9B"/>
    <w:rsid w:val="00BD32D1"/>
    <w:rsid w:val="00BD3D64"/>
    <w:rsid w:val="00BE1D38"/>
    <w:rsid w:val="00BE2D19"/>
    <w:rsid w:val="00BE3018"/>
    <w:rsid w:val="00BE4343"/>
    <w:rsid w:val="00BE7AA3"/>
    <w:rsid w:val="00BF0B8E"/>
    <w:rsid w:val="00BF15DF"/>
    <w:rsid w:val="00BF2FD0"/>
    <w:rsid w:val="00BF32C3"/>
    <w:rsid w:val="00BF3B63"/>
    <w:rsid w:val="00BF5114"/>
    <w:rsid w:val="00BF535D"/>
    <w:rsid w:val="00BF73EE"/>
    <w:rsid w:val="00BF769E"/>
    <w:rsid w:val="00C00EA8"/>
    <w:rsid w:val="00C01A32"/>
    <w:rsid w:val="00C02340"/>
    <w:rsid w:val="00C03324"/>
    <w:rsid w:val="00C04732"/>
    <w:rsid w:val="00C0559F"/>
    <w:rsid w:val="00C05C89"/>
    <w:rsid w:val="00C05EBD"/>
    <w:rsid w:val="00C111E4"/>
    <w:rsid w:val="00C11895"/>
    <w:rsid w:val="00C12A38"/>
    <w:rsid w:val="00C16295"/>
    <w:rsid w:val="00C16E32"/>
    <w:rsid w:val="00C241C4"/>
    <w:rsid w:val="00C26EB3"/>
    <w:rsid w:val="00C2744A"/>
    <w:rsid w:val="00C27A76"/>
    <w:rsid w:val="00C31283"/>
    <w:rsid w:val="00C31C6A"/>
    <w:rsid w:val="00C31CFE"/>
    <w:rsid w:val="00C31D0F"/>
    <w:rsid w:val="00C3223E"/>
    <w:rsid w:val="00C325F3"/>
    <w:rsid w:val="00C32BA9"/>
    <w:rsid w:val="00C32BD1"/>
    <w:rsid w:val="00C347C2"/>
    <w:rsid w:val="00C35E4D"/>
    <w:rsid w:val="00C36D48"/>
    <w:rsid w:val="00C4203A"/>
    <w:rsid w:val="00C42EC0"/>
    <w:rsid w:val="00C43286"/>
    <w:rsid w:val="00C43AAE"/>
    <w:rsid w:val="00C45F2F"/>
    <w:rsid w:val="00C51489"/>
    <w:rsid w:val="00C51883"/>
    <w:rsid w:val="00C51FC1"/>
    <w:rsid w:val="00C5334F"/>
    <w:rsid w:val="00C537A0"/>
    <w:rsid w:val="00C54406"/>
    <w:rsid w:val="00C54583"/>
    <w:rsid w:val="00C550E2"/>
    <w:rsid w:val="00C55A32"/>
    <w:rsid w:val="00C57B32"/>
    <w:rsid w:val="00C57EF7"/>
    <w:rsid w:val="00C642A4"/>
    <w:rsid w:val="00C652BD"/>
    <w:rsid w:val="00C65C74"/>
    <w:rsid w:val="00C6641E"/>
    <w:rsid w:val="00C6659F"/>
    <w:rsid w:val="00C671EF"/>
    <w:rsid w:val="00C67648"/>
    <w:rsid w:val="00C67EDB"/>
    <w:rsid w:val="00C67F0C"/>
    <w:rsid w:val="00C67FF4"/>
    <w:rsid w:val="00C70401"/>
    <w:rsid w:val="00C7240D"/>
    <w:rsid w:val="00C72FCB"/>
    <w:rsid w:val="00C731F2"/>
    <w:rsid w:val="00C74359"/>
    <w:rsid w:val="00C74492"/>
    <w:rsid w:val="00C76799"/>
    <w:rsid w:val="00C77540"/>
    <w:rsid w:val="00C77FF4"/>
    <w:rsid w:val="00C80848"/>
    <w:rsid w:val="00C80AD1"/>
    <w:rsid w:val="00C8118F"/>
    <w:rsid w:val="00C820AD"/>
    <w:rsid w:val="00C82531"/>
    <w:rsid w:val="00C82D32"/>
    <w:rsid w:val="00C8545C"/>
    <w:rsid w:val="00C858B4"/>
    <w:rsid w:val="00C934D9"/>
    <w:rsid w:val="00C95E60"/>
    <w:rsid w:val="00C97AC8"/>
    <w:rsid w:val="00CA166D"/>
    <w:rsid w:val="00CA22EA"/>
    <w:rsid w:val="00CA292F"/>
    <w:rsid w:val="00CA2C65"/>
    <w:rsid w:val="00CA2C67"/>
    <w:rsid w:val="00CA2E2B"/>
    <w:rsid w:val="00CA2FDF"/>
    <w:rsid w:val="00CA3A1E"/>
    <w:rsid w:val="00CA3CDB"/>
    <w:rsid w:val="00CA4D78"/>
    <w:rsid w:val="00CA50DC"/>
    <w:rsid w:val="00CB105C"/>
    <w:rsid w:val="00CB18BF"/>
    <w:rsid w:val="00CB1CDF"/>
    <w:rsid w:val="00CB245D"/>
    <w:rsid w:val="00CB358E"/>
    <w:rsid w:val="00CB49EB"/>
    <w:rsid w:val="00CB62CD"/>
    <w:rsid w:val="00CC05ED"/>
    <w:rsid w:val="00CC0C3E"/>
    <w:rsid w:val="00CC0D47"/>
    <w:rsid w:val="00CC2864"/>
    <w:rsid w:val="00CC33FB"/>
    <w:rsid w:val="00CC4EB2"/>
    <w:rsid w:val="00CC5CCC"/>
    <w:rsid w:val="00CC665C"/>
    <w:rsid w:val="00CC73A8"/>
    <w:rsid w:val="00CC754C"/>
    <w:rsid w:val="00CC7B20"/>
    <w:rsid w:val="00CD01EA"/>
    <w:rsid w:val="00CD2751"/>
    <w:rsid w:val="00CD3232"/>
    <w:rsid w:val="00CD36E5"/>
    <w:rsid w:val="00CD43FE"/>
    <w:rsid w:val="00CD462A"/>
    <w:rsid w:val="00CD5773"/>
    <w:rsid w:val="00CD6143"/>
    <w:rsid w:val="00CD766E"/>
    <w:rsid w:val="00CE001D"/>
    <w:rsid w:val="00CE28D7"/>
    <w:rsid w:val="00CE4291"/>
    <w:rsid w:val="00CE4C05"/>
    <w:rsid w:val="00CE672C"/>
    <w:rsid w:val="00CE6839"/>
    <w:rsid w:val="00CE68B2"/>
    <w:rsid w:val="00CE7BBB"/>
    <w:rsid w:val="00CF0135"/>
    <w:rsid w:val="00CF290D"/>
    <w:rsid w:val="00CF4E63"/>
    <w:rsid w:val="00CF515D"/>
    <w:rsid w:val="00CF544C"/>
    <w:rsid w:val="00CF58AE"/>
    <w:rsid w:val="00CF6ABD"/>
    <w:rsid w:val="00CF755B"/>
    <w:rsid w:val="00D0257C"/>
    <w:rsid w:val="00D02D98"/>
    <w:rsid w:val="00D03C6D"/>
    <w:rsid w:val="00D04455"/>
    <w:rsid w:val="00D04CB4"/>
    <w:rsid w:val="00D05327"/>
    <w:rsid w:val="00D05EBF"/>
    <w:rsid w:val="00D06CDF"/>
    <w:rsid w:val="00D0768A"/>
    <w:rsid w:val="00D10027"/>
    <w:rsid w:val="00D1590F"/>
    <w:rsid w:val="00D15D2A"/>
    <w:rsid w:val="00D16E8D"/>
    <w:rsid w:val="00D210CB"/>
    <w:rsid w:val="00D21B7A"/>
    <w:rsid w:val="00D235F4"/>
    <w:rsid w:val="00D23C8B"/>
    <w:rsid w:val="00D25415"/>
    <w:rsid w:val="00D30402"/>
    <w:rsid w:val="00D30AE9"/>
    <w:rsid w:val="00D31831"/>
    <w:rsid w:val="00D3206E"/>
    <w:rsid w:val="00D3292E"/>
    <w:rsid w:val="00D3316A"/>
    <w:rsid w:val="00D33BBE"/>
    <w:rsid w:val="00D345F4"/>
    <w:rsid w:val="00D35DB7"/>
    <w:rsid w:val="00D36733"/>
    <w:rsid w:val="00D40768"/>
    <w:rsid w:val="00D41925"/>
    <w:rsid w:val="00D42CB0"/>
    <w:rsid w:val="00D42E9A"/>
    <w:rsid w:val="00D430E5"/>
    <w:rsid w:val="00D43869"/>
    <w:rsid w:val="00D460E9"/>
    <w:rsid w:val="00D462B6"/>
    <w:rsid w:val="00D46F33"/>
    <w:rsid w:val="00D476E0"/>
    <w:rsid w:val="00D476FF"/>
    <w:rsid w:val="00D50511"/>
    <w:rsid w:val="00D5059A"/>
    <w:rsid w:val="00D52AC9"/>
    <w:rsid w:val="00D533F7"/>
    <w:rsid w:val="00D539F2"/>
    <w:rsid w:val="00D5605C"/>
    <w:rsid w:val="00D563F6"/>
    <w:rsid w:val="00D57013"/>
    <w:rsid w:val="00D60ABC"/>
    <w:rsid w:val="00D6253E"/>
    <w:rsid w:val="00D625E9"/>
    <w:rsid w:val="00D67196"/>
    <w:rsid w:val="00D67391"/>
    <w:rsid w:val="00D67509"/>
    <w:rsid w:val="00D67791"/>
    <w:rsid w:val="00D706AB"/>
    <w:rsid w:val="00D708D1"/>
    <w:rsid w:val="00D70A36"/>
    <w:rsid w:val="00D71FC2"/>
    <w:rsid w:val="00D72428"/>
    <w:rsid w:val="00D730DC"/>
    <w:rsid w:val="00D761E1"/>
    <w:rsid w:val="00D8247B"/>
    <w:rsid w:val="00D82F64"/>
    <w:rsid w:val="00D83008"/>
    <w:rsid w:val="00D85165"/>
    <w:rsid w:val="00D85671"/>
    <w:rsid w:val="00D86260"/>
    <w:rsid w:val="00D874AD"/>
    <w:rsid w:val="00D9046F"/>
    <w:rsid w:val="00D92C32"/>
    <w:rsid w:val="00D92F91"/>
    <w:rsid w:val="00D94DD3"/>
    <w:rsid w:val="00D96AA5"/>
    <w:rsid w:val="00D96ABA"/>
    <w:rsid w:val="00D96FEE"/>
    <w:rsid w:val="00D97665"/>
    <w:rsid w:val="00DA05F4"/>
    <w:rsid w:val="00DA0CF2"/>
    <w:rsid w:val="00DA138F"/>
    <w:rsid w:val="00DA2E6E"/>
    <w:rsid w:val="00DA4367"/>
    <w:rsid w:val="00DA7410"/>
    <w:rsid w:val="00DB12C2"/>
    <w:rsid w:val="00DB3791"/>
    <w:rsid w:val="00DB4F2C"/>
    <w:rsid w:val="00DB5606"/>
    <w:rsid w:val="00DB56C6"/>
    <w:rsid w:val="00DB5878"/>
    <w:rsid w:val="00DB61E7"/>
    <w:rsid w:val="00DB6CAE"/>
    <w:rsid w:val="00DB6D87"/>
    <w:rsid w:val="00DC0149"/>
    <w:rsid w:val="00DC0FF2"/>
    <w:rsid w:val="00DC178B"/>
    <w:rsid w:val="00DC250A"/>
    <w:rsid w:val="00DC2684"/>
    <w:rsid w:val="00DC34A0"/>
    <w:rsid w:val="00DC5463"/>
    <w:rsid w:val="00DC595B"/>
    <w:rsid w:val="00DC634B"/>
    <w:rsid w:val="00DD158C"/>
    <w:rsid w:val="00DD17BE"/>
    <w:rsid w:val="00DD297F"/>
    <w:rsid w:val="00DD47E9"/>
    <w:rsid w:val="00DD6C6D"/>
    <w:rsid w:val="00DD78A4"/>
    <w:rsid w:val="00DE0379"/>
    <w:rsid w:val="00DE2639"/>
    <w:rsid w:val="00DE2C16"/>
    <w:rsid w:val="00DE3489"/>
    <w:rsid w:val="00DE39C6"/>
    <w:rsid w:val="00DE4DB5"/>
    <w:rsid w:val="00DE5AA0"/>
    <w:rsid w:val="00DE6062"/>
    <w:rsid w:val="00DE6BB9"/>
    <w:rsid w:val="00DE7853"/>
    <w:rsid w:val="00DE79E0"/>
    <w:rsid w:val="00DF0F27"/>
    <w:rsid w:val="00DF262E"/>
    <w:rsid w:val="00DF2A16"/>
    <w:rsid w:val="00DF3EBD"/>
    <w:rsid w:val="00DF44E4"/>
    <w:rsid w:val="00DF4F6A"/>
    <w:rsid w:val="00DF5798"/>
    <w:rsid w:val="00DF656C"/>
    <w:rsid w:val="00DF7460"/>
    <w:rsid w:val="00DF7D8F"/>
    <w:rsid w:val="00E00D6B"/>
    <w:rsid w:val="00E00E93"/>
    <w:rsid w:val="00E01508"/>
    <w:rsid w:val="00E02BC5"/>
    <w:rsid w:val="00E061A5"/>
    <w:rsid w:val="00E112E8"/>
    <w:rsid w:val="00E12280"/>
    <w:rsid w:val="00E13EAA"/>
    <w:rsid w:val="00E14727"/>
    <w:rsid w:val="00E15FF5"/>
    <w:rsid w:val="00E21B06"/>
    <w:rsid w:val="00E21BDA"/>
    <w:rsid w:val="00E22F48"/>
    <w:rsid w:val="00E24088"/>
    <w:rsid w:val="00E25D35"/>
    <w:rsid w:val="00E2671F"/>
    <w:rsid w:val="00E2722E"/>
    <w:rsid w:val="00E27C78"/>
    <w:rsid w:val="00E30562"/>
    <w:rsid w:val="00E30B00"/>
    <w:rsid w:val="00E31163"/>
    <w:rsid w:val="00E31250"/>
    <w:rsid w:val="00E34781"/>
    <w:rsid w:val="00E355FB"/>
    <w:rsid w:val="00E36D68"/>
    <w:rsid w:val="00E4132A"/>
    <w:rsid w:val="00E42028"/>
    <w:rsid w:val="00E42419"/>
    <w:rsid w:val="00E426F2"/>
    <w:rsid w:val="00E428D0"/>
    <w:rsid w:val="00E447EF"/>
    <w:rsid w:val="00E45208"/>
    <w:rsid w:val="00E51209"/>
    <w:rsid w:val="00E51536"/>
    <w:rsid w:val="00E5237F"/>
    <w:rsid w:val="00E527CF"/>
    <w:rsid w:val="00E5292B"/>
    <w:rsid w:val="00E53917"/>
    <w:rsid w:val="00E5560B"/>
    <w:rsid w:val="00E55C8E"/>
    <w:rsid w:val="00E56902"/>
    <w:rsid w:val="00E5692C"/>
    <w:rsid w:val="00E5694C"/>
    <w:rsid w:val="00E602F2"/>
    <w:rsid w:val="00E612CD"/>
    <w:rsid w:val="00E61CDF"/>
    <w:rsid w:val="00E62187"/>
    <w:rsid w:val="00E63AE1"/>
    <w:rsid w:val="00E676B5"/>
    <w:rsid w:val="00E71924"/>
    <w:rsid w:val="00E734AF"/>
    <w:rsid w:val="00E7579F"/>
    <w:rsid w:val="00E77583"/>
    <w:rsid w:val="00E821CF"/>
    <w:rsid w:val="00E82DE2"/>
    <w:rsid w:val="00E84647"/>
    <w:rsid w:val="00E8728A"/>
    <w:rsid w:val="00E90DCD"/>
    <w:rsid w:val="00E91017"/>
    <w:rsid w:val="00E91F47"/>
    <w:rsid w:val="00E9560C"/>
    <w:rsid w:val="00EA1570"/>
    <w:rsid w:val="00EA20B1"/>
    <w:rsid w:val="00EA47C7"/>
    <w:rsid w:val="00EA590B"/>
    <w:rsid w:val="00EB11A4"/>
    <w:rsid w:val="00EB1B5E"/>
    <w:rsid w:val="00EB2EF3"/>
    <w:rsid w:val="00EB3359"/>
    <w:rsid w:val="00EB34D9"/>
    <w:rsid w:val="00EB3BE5"/>
    <w:rsid w:val="00EB4AD7"/>
    <w:rsid w:val="00EC09FA"/>
    <w:rsid w:val="00EC0C06"/>
    <w:rsid w:val="00EC3662"/>
    <w:rsid w:val="00EC3B27"/>
    <w:rsid w:val="00EC7B53"/>
    <w:rsid w:val="00ED04DD"/>
    <w:rsid w:val="00ED0A56"/>
    <w:rsid w:val="00ED0D20"/>
    <w:rsid w:val="00ED360E"/>
    <w:rsid w:val="00ED6765"/>
    <w:rsid w:val="00ED67F2"/>
    <w:rsid w:val="00ED6B0F"/>
    <w:rsid w:val="00EE174C"/>
    <w:rsid w:val="00EE1843"/>
    <w:rsid w:val="00EE1B5F"/>
    <w:rsid w:val="00EE2BDD"/>
    <w:rsid w:val="00EE3783"/>
    <w:rsid w:val="00EE5C2A"/>
    <w:rsid w:val="00EE764A"/>
    <w:rsid w:val="00EE7FD5"/>
    <w:rsid w:val="00EF0728"/>
    <w:rsid w:val="00EF0CC3"/>
    <w:rsid w:val="00EF1A99"/>
    <w:rsid w:val="00EF34DE"/>
    <w:rsid w:val="00EF3BC4"/>
    <w:rsid w:val="00EF4509"/>
    <w:rsid w:val="00EF545B"/>
    <w:rsid w:val="00EF578B"/>
    <w:rsid w:val="00EF7919"/>
    <w:rsid w:val="00F01600"/>
    <w:rsid w:val="00F01667"/>
    <w:rsid w:val="00F01BDD"/>
    <w:rsid w:val="00F01F09"/>
    <w:rsid w:val="00F044B3"/>
    <w:rsid w:val="00F07B53"/>
    <w:rsid w:val="00F07ED8"/>
    <w:rsid w:val="00F14516"/>
    <w:rsid w:val="00F16F95"/>
    <w:rsid w:val="00F200CC"/>
    <w:rsid w:val="00F20488"/>
    <w:rsid w:val="00F20E18"/>
    <w:rsid w:val="00F21770"/>
    <w:rsid w:val="00F22666"/>
    <w:rsid w:val="00F22ED9"/>
    <w:rsid w:val="00F241DD"/>
    <w:rsid w:val="00F255CD"/>
    <w:rsid w:val="00F25811"/>
    <w:rsid w:val="00F26EC7"/>
    <w:rsid w:val="00F302E1"/>
    <w:rsid w:val="00F304F3"/>
    <w:rsid w:val="00F3142C"/>
    <w:rsid w:val="00F317B2"/>
    <w:rsid w:val="00F31E72"/>
    <w:rsid w:val="00F3204A"/>
    <w:rsid w:val="00F32C48"/>
    <w:rsid w:val="00F350E6"/>
    <w:rsid w:val="00F35A92"/>
    <w:rsid w:val="00F35C9B"/>
    <w:rsid w:val="00F36895"/>
    <w:rsid w:val="00F404D2"/>
    <w:rsid w:val="00F40AD5"/>
    <w:rsid w:val="00F40C54"/>
    <w:rsid w:val="00F40F78"/>
    <w:rsid w:val="00F42119"/>
    <w:rsid w:val="00F42F72"/>
    <w:rsid w:val="00F4494B"/>
    <w:rsid w:val="00F45124"/>
    <w:rsid w:val="00F46505"/>
    <w:rsid w:val="00F46A6D"/>
    <w:rsid w:val="00F47C3D"/>
    <w:rsid w:val="00F5189F"/>
    <w:rsid w:val="00F51D31"/>
    <w:rsid w:val="00F523EE"/>
    <w:rsid w:val="00F530B2"/>
    <w:rsid w:val="00F535E1"/>
    <w:rsid w:val="00F53752"/>
    <w:rsid w:val="00F54337"/>
    <w:rsid w:val="00F56EB3"/>
    <w:rsid w:val="00F57335"/>
    <w:rsid w:val="00F57A57"/>
    <w:rsid w:val="00F6062C"/>
    <w:rsid w:val="00F6081F"/>
    <w:rsid w:val="00F61AA0"/>
    <w:rsid w:val="00F62466"/>
    <w:rsid w:val="00F63A62"/>
    <w:rsid w:val="00F64AFF"/>
    <w:rsid w:val="00F64FF8"/>
    <w:rsid w:val="00F675E1"/>
    <w:rsid w:val="00F67701"/>
    <w:rsid w:val="00F72300"/>
    <w:rsid w:val="00F746B3"/>
    <w:rsid w:val="00F74DB0"/>
    <w:rsid w:val="00F75F64"/>
    <w:rsid w:val="00F81B19"/>
    <w:rsid w:val="00F81D51"/>
    <w:rsid w:val="00F82938"/>
    <w:rsid w:val="00F9033A"/>
    <w:rsid w:val="00F92437"/>
    <w:rsid w:val="00F92527"/>
    <w:rsid w:val="00F9265B"/>
    <w:rsid w:val="00F97795"/>
    <w:rsid w:val="00FA09BC"/>
    <w:rsid w:val="00FA0F57"/>
    <w:rsid w:val="00FA112A"/>
    <w:rsid w:val="00FA3714"/>
    <w:rsid w:val="00FA3A13"/>
    <w:rsid w:val="00FA3DF4"/>
    <w:rsid w:val="00FA4310"/>
    <w:rsid w:val="00FA4774"/>
    <w:rsid w:val="00FA58D4"/>
    <w:rsid w:val="00FA5B6E"/>
    <w:rsid w:val="00FA637D"/>
    <w:rsid w:val="00FB0EA1"/>
    <w:rsid w:val="00FB0EC4"/>
    <w:rsid w:val="00FB0F49"/>
    <w:rsid w:val="00FB212E"/>
    <w:rsid w:val="00FB315F"/>
    <w:rsid w:val="00FB50E4"/>
    <w:rsid w:val="00FB6617"/>
    <w:rsid w:val="00FB6F7D"/>
    <w:rsid w:val="00FC146D"/>
    <w:rsid w:val="00FC19B5"/>
    <w:rsid w:val="00FC1FA8"/>
    <w:rsid w:val="00FC33B1"/>
    <w:rsid w:val="00FC3CE4"/>
    <w:rsid w:val="00FC3D61"/>
    <w:rsid w:val="00FC48D1"/>
    <w:rsid w:val="00FC7600"/>
    <w:rsid w:val="00FC7796"/>
    <w:rsid w:val="00FC7BDD"/>
    <w:rsid w:val="00FC7F99"/>
    <w:rsid w:val="00FD0ED4"/>
    <w:rsid w:val="00FD254C"/>
    <w:rsid w:val="00FD3EB7"/>
    <w:rsid w:val="00FD50B5"/>
    <w:rsid w:val="00FD6F39"/>
    <w:rsid w:val="00FE00F0"/>
    <w:rsid w:val="00FE2148"/>
    <w:rsid w:val="00FE29A1"/>
    <w:rsid w:val="00FE2C0B"/>
    <w:rsid w:val="00FE3CBD"/>
    <w:rsid w:val="00FE3D9D"/>
    <w:rsid w:val="00FE4253"/>
    <w:rsid w:val="00FE483B"/>
    <w:rsid w:val="00FE58BD"/>
    <w:rsid w:val="00FE719C"/>
    <w:rsid w:val="00FF1021"/>
    <w:rsid w:val="00FF1E96"/>
    <w:rsid w:val="00FF45E4"/>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461.pdf" TargetMode="External"/><Relationship Id="rId13" Type="http://schemas.openxmlformats.org/officeDocument/2006/relationships/hyperlink" Target="https://hudoc.echr.coe.int/eng?i=001-1948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i=001-1878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fre?i=001-16668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udoc.echr.coe.int/fre?i=001-166680" TargetMode="External"/><Relationship Id="rId4" Type="http://schemas.openxmlformats.org/officeDocument/2006/relationships/settings" Target="settings.xml"/><Relationship Id="rId9" Type="http://schemas.openxmlformats.org/officeDocument/2006/relationships/hyperlink" Target="https://www.at.gov.lv/downloadlawfile/8555" TargetMode="External"/><Relationship Id="rId14" Type="http://schemas.openxmlformats.org/officeDocument/2006/relationships/hyperlink" Target="https://www.at.gov.lv/downloadlawfile/3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23484</Words>
  <Characters>13386</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2025-01-29T12:20:00Z</dcterms:created>
  <dcterms:modified xsi:type="dcterms:W3CDTF">2025-02-11T11:13:00Z</dcterms:modified>
</cp:coreProperties>
</file>